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AB4528">
      <w:pPr>
        <w:keepNext w:val="0"/>
        <w:keepLines w:val="0"/>
        <w:pageBreakBefore w:val="0"/>
        <w:widowControl w:val="0"/>
        <w:kinsoku/>
        <w:wordWrap/>
        <w:overflowPunct/>
        <w:topLinePunct w:val="0"/>
        <w:autoSpaceDE/>
        <w:autoSpaceDN/>
        <w:bidi w:val="0"/>
        <w:adjustRightInd/>
        <w:snapToGrid/>
        <w:ind w:firstLine="800" w:firstLineChars="200"/>
        <w:jc w:val="center"/>
        <w:textAlignment w:val="auto"/>
        <w:rPr>
          <w:rFonts w:hint="eastAsia" w:ascii="黑体" w:hAnsi="黑体" w:eastAsia="黑体" w:cs="黑体"/>
          <w:sz w:val="40"/>
          <w:szCs w:val="40"/>
        </w:rPr>
      </w:pPr>
      <w:r>
        <w:rPr>
          <w:rFonts w:hint="eastAsia" w:ascii="黑体" w:hAnsi="黑体" w:eastAsia="黑体" w:cs="黑体"/>
          <w:sz w:val="40"/>
          <w:szCs w:val="40"/>
        </w:rPr>
        <w:t>壤塘县防返贫防致贫专项资金管理办法</w:t>
      </w:r>
    </w:p>
    <w:p w14:paraId="5D7663FD">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800" w:firstLineChars="200"/>
        <w:jc w:val="center"/>
        <w:textAlignment w:val="auto"/>
        <w:rPr>
          <w:rFonts w:hint="eastAsia" w:ascii="黑体" w:hAnsi="黑体" w:eastAsia="黑体" w:cs="黑体"/>
          <w:b/>
          <w:bCs/>
          <w:sz w:val="32"/>
          <w:szCs w:val="32"/>
          <w:lang w:eastAsia="zh-CN"/>
        </w:rPr>
      </w:pPr>
      <w:r>
        <w:rPr>
          <w:rFonts w:hint="eastAsia" w:ascii="黑体" w:hAnsi="黑体" w:eastAsia="黑体" w:cs="黑体"/>
          <w:sz w:val="40"/>
          <w:szCs w:val="40"/>
          <w:lang w:eastAsia="zh-CN"/>
        </w:rPr>
        <w:t>（征求意见稿）</w:t>
      </w:r>
    </w:p>
    <w:p w14:paraId="15F6D7E2">
      <w:pPr>
        <w:keepNext w:val="0"/>
        <w:keepLines w:val="0"/>
        <w:pageBreakBefore w:val="0"/>
        <w:widowControl w:val="0"/>
        <w:numPr>
          <w:ilvl w:val="0"/>
          <w:numId w:val="1"/>
        </w:numPr>
        <w:kinsoku/>
        <w:wordWrap/>
        <w:overflowPunct/>
        <w:topLinePunct w:val="0"/>
        <w:autoSpaceDE/>
        <w:autoSpaceDN/>
        <w:bidi w:val="0"/>
        <w:adjustRightInd/>
        <w:snapToGrid/>
        <w:spacing w:before="157" w:beforeLines="50" w:after="157" w:afterLines="50" w:line="560" w:lineRule="exact"/>
        <w:ind w:firstLine="643" w:firstLineChars="200"/>
        <w:jc w:val="center"/>
        <w:textAlignment w:val="auto"/>
        <w:rPr>
          <w:rFonts w:hint="eastAsia" w:ascii="黑体" w:hAnsi="黑体" w:eastAsia="黑体" w:cs="黑体"/>
          <w:b/>
          <w:bCs/>
          <w:sz w:val="32"/>
          <w:szCs w:val="32"/>
        </w:rPr>
      </w:pPr>
      <w:r>
        <w:rPr>
          <w:rFonts w:hint="eastAsia" w:ascii="黑体" w:hAnsi="黑体" w:eastAsia="黑体" w:cs="黑体"/>
          <w:b/>
          <w:bCs/>
          <w:sz w:val="32"/>
          <w:szCs w:val="32"/>
        </w:rPr>
        <w:t>总则</w:t>
      </w:r>
    </w:p>
    <w:p w14:paraId="0A26EC5E">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60" w:lineRule="exact"/>
        <w:jc w:val="both"/>
        <w:textAlignment w:val="auto"/>
        <w:rPr>
          <w:rFonts w:hint="eastAsia" w:ascii="黑体" w:hAnsi="黑体" w:eastAsia="黑体" w:cs="黑体"/>
          <w:b/>
          <w:bCs/>
          <w:sz w:val="32"/>
          <w:szCs w:val="32"/>
        </w:rPr>
      </w:pPr>
    </w:p>
    <w:p w14:paraId="67C82B69">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第一条</w:t>
      </w:r>
      <w:r>
        <w:rPr>
          <w:rFonts w:hint="eastAsia" w:ascii="仿宋_GB2312" w:hAnsi="仿宋_GB2312" w:eastAsia="仿宋_GB2312" w:cs="仿宋_GB2312"/>
          <w:sz w:val="32"/>
          <w:szCs w:val="32"/>
        </w:rPr>
        <w:t xml:space="preserve"> 为构建我县“脱贫有政策、返贫有保障”的巩固脱贫攻坚成果体系，实现长效稳定脱贫，进一步规范防返贫防致贫专项资金管理，提高资金使用效率，根据《阿坝州脱贫攻坚领导小组关于印发〈阿坝州健全防止返贫动态监测和帮扶机制的管理办法〉的通知》，特制定本办法。</w:t>
      </w:r>
      <w:bookmarkStart w:id="0" w:name="_GoBack"/>
      <w:bookmarkEnd w:id="0"/>
    </w:p>
    <w:p w14:paraId="158AFDD3">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第二条</w:t>
      </w:r>
      <w:r>
        <w:rPr>
          <w:rFonts w:hint="eastAsia" w:ascii="仿宋_GB2312" w:hAnsi="仿宋_GB2312" w:eastAsia="仿宋_GB2312" w:cs="仿宋_GB2312"/>
          <w:sz w:val="32"/>
          <w:szCs w:val="32"/>
        </w:rPr>
        <w:t xml:space="preserve"> 防返贫防致贫专项资金是政府主导、社会参与的公益性、救助性专项资金，用于救助壤塘县脱贫户、未消除风险的监测户。</w:t>
      </w:r>
    </w:p>
    <w:p w14:paraId="1511BD4D">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第三条</w:t>
      </w:r>
      <w:r>
        <w:rPr>
          <w:rFonts w:hint="eastAsia" w:ascii="仿宋_GB2312" w:hAnsi="仿宋_GB2312" w:eastAsia="仿宋_GB2312" w:cs="仿宋_GB2312"/>
          <w:sz w:val="32"/>
          <w:szCs w:val="32"/>
        </w:rPr>
        <w:t xml:space="preserve"> 防返贫防致贫专项资金实行动态管理，公开透明、规范运行，遵循“应助尽助”原则，实行差别化救助。</w:t>
      </w:r>
    </w:p>
    <w:p w14:paraId="4FC15ED9">
      <w:pPr>
        <w:keepNext w:val="0"/>
        <w:keepLines w:val="0"/>
        <w:pageBreakBefore w:val="0"/>
        <w:widowControl w:val="0"/>
        <w:kinsoku/>
        <w:wordWrap/>
        <w:overflowPunct/>
        <w:topLinePunct w:val="0"/>
        <w:autoSpaceDE/>
        <w:autoSpaceDN/>
        <w:bidi w:val="0"/>
        <w:adjustRightInd/>
        <w:snapToGrid/>
        <w:ind w:firstLine="643" w:firstLineChars="200"/>
        <w:jc w:val="center"/>
        <w:textAlignment w:val="auto"/>
        <w:rPr>
          <w:rFonts w:hint="eastAsia" w:ascii="仿宋_GB2312" w:hAnsi="仿宋_GB2312" w:eastAsia="仿宋_GB2312" w:cs="仿宋_GB2312"/>
          <w:b/>
          <w:bCs/>
          <w:sz w:val="32"/>
          <w:szCs w:val="32"/>
        </w:rPr>
      </w:pPr>
    </w:p>
    <w:p w14:paraId="3C82C0AE">
      <w:pPr>
        <w:keepNext w:val="0"/>
        <w:keepLines w:val="0"/>
        <w:pageBreakBefore w:val="0"/>
        <w:widowControl w:val="0"/>
        <w:numPr>
          <w:ilvl w:val="0"/>
          <w:numId w:val="1"/>
        </w:numPr>
        <w:kinsoku/>
        <w:wordWrap/>
        <w:overflowPunct/>
        <w:topLinePunct w:val="0"/>
        <w:autoSpaceDE/>
        <w:autoSpaceDN/>
        <w:bidi w:val="0"/>
        <w:adjustRightInd/>
        <w:snapToGrid/>
        <w:ind w:left="0" w:leftChars="0" w:firstLine="643" w:firstLineChars="200"/>
        <w:jc w:val="center"/>
        <w:textAlignment w:val="auto"/>
        <w:rPr>
          <w:rFonts w:hint="eastAsia" w:ascii="黑体" w:hAnsi="黑体" w:eastAsia="黑体" w:cs="黑体"/>
          <w:b/>
          <w:bCs/>
          <w:sz w:val="32"/>
          <w:szCs w:val="32"/>
        </w:rPr>
      </w:pPr>
      <w:r>
        <w:rPr>
          <w:rFonts w:hint="eastAsia" w:ascii="黑体" w:hAnsi="黑体" w:eastAsia="黑体" w:cs="黑体"/>
          <w:b/>
          <w:bCs/>
          <w:sz w:val="32"/>
          <w:szCs w:val="32"/>
        </w:rPr>
        <w:t>资金来源</w:t>
      </w:r>
    </w:p>
    <w:p w14:paraId="7C1A4D2D">
      <w:pPr>
        <w:keepNext w:val="0"/>
        <w:keepLines w:val="0"/>
        <w:pageBreakBefore w:val="0"/>
        <w:widowControl w:val="0"/>
        <w:numPr>
          <w:ilvl w:val="0"/>
          <w:numId w:val="0"/>
        </w:numPr>
        <w:kinsoku/>
        <w:wordWrap/>
        <w:overflowPunct/>
        <w:topLinePunct w:val="0"/>
        <w:autoSpaceDE/>
        <w:autoSpaceDN/>
        <w:bidi w:val="0"/>
        <w:adjustRightInd/>
        <w:snapToGrid/>
        <w:ind w:leftChars="200"/>
        <w:jc w:val="both"/>
        <w:textAlignment w:val="auto"/>
        <w:rPr>
          <w:rFonts w:hint="eastAsia" w:ascii="仿宋_GB2312" w:hAnsi="仿宋_GB2312" w:eastAsia="仿宋_GB2312" w:cs="仿宋_GB2312"/>
          <w:b/>
          <w:bCs/>
          <w:sz w:val="32"/>
          <w:szCs w:val="32"/>
        </w:rPr>
      </w:pPr>
    </w:p>
    <w:p w14:paraId="0C98349D">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第四条</w:t>
      </w:r>
      <w:r>
        <w:rPr>
          <w:rFonts w:hint="eastAsia" w:ascii="仿宋_GB2312" w:hAnsi="仿宋_GB2312" w:eastAsia="仿宋_GB2312" w:cs="仿宋_GB2312"/>
          <w:sz w:val="32"/>
          <w:szCs w:val="32"/>
        </w:rPr>
        <w:t xml:space="preserve"> 防返贫防致贫专项资金主要为财政投入、社会捐赠和其他合规资金及资金收益。本资金账户设立在县红十字会。</w:t>
      </w:r>
    </w:p>
    <w:p w14:paraId="161BCD03">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第五条</w:t>
      </w:r>
      <w:r>
        <w:rPr>
          <w:rFonts w:hint="eastAsia" w:ascii="仿宋_GB2312" w:hAnsi="仿宋_GB2312" w:eastAsia="仿宋_GB2312" w:cs="仿宋_GB2312"/>
          <w:sz w:val="32"/>
          <w:szCs w:val="32"/>
        </w:rPr>
        <w:t xml:space="preserve"> 防返贫防致贫专项资金的募资规模不低于300万元。当资金规模低于50万元时，县财政应启动限时补充机制，及时进行补充，纳入下年度财政预算。</w:t>
      </w:r>
    </w:p>
    <w:p w14:paraId="6F671397">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第六条 捐赠流程</w:t>
      </w:r>
    </w:p>
    <w:p w14:paraId="4B1B247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（一）企事业单位、个体工商户、社会团体、行业协会、社会爱心人士等有意愿捐赠者，首先将捐赠意向函发送至壤塘县红十字会（邮箱1754253072＠qq.com，联系电话：0837</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2376595）。</w:t>
      </w:r>
    </w:p>
    <w:p w14:paraId="6B8ACBA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捐赠者与壤塘县红十字会签订捐赠协议，捐赠协议签订完后再将捐赠款汇入壤塘县红十字会捐赠账户（户名：壤塘县红十字会，开户行：中国农业银行壤塘县支行，账号：22605701040007033），汇款时注明资金用途为“用于壤塘县防返贫防致贫专项资金”。</w:t>
      </w:r>
    </w:p>
    <w:p w14:paraId="1AFE3E2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（三）资金管理工作人员在确认捐赠款到账后，及时告知捐赠人开具公益性捐赠票据。</w:t>
      </w:r>
    </w:p>
    <w:p w14:paraId="04C1E15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（四）对捐款在5万元以上的企业（社会团体）和捐款在5000元以上的捐赠个人，由县红十字会在全县范围内公示并颁发捐款荣誉证书。</w:t>
      </w:r>
    </w:p>
    <w:p w14:paraId="750BEABF">
      <w:pPr>
        <w:keepNext w:val="0"/>
        <w:keepLines w:val="0"/>
        <w:pageBreakBefore w:val="0"/>
        <w:widowControl w:val="0"/>
        <w:kinsoku/>
        <w:wordWrap/>
        <w:overflowPunct/>
        <w:topLinePunct w:val="0"/>
        <w:autoSpaceDE/>
        <w:autoSpaceDN/>
        <w:bidi w:val="0"/>
        <w:adjustRightInd/>
        <w:snapToGrid/>
        <w:ind w:firstLine="643" w:firstLineChars="200"/>
        <w:jc w:val="center"/>
        <w:textAlignment w:val="auto"/>
        <w:rPr>
          <w:rFonts w:hint="eastAsia" w:ascii="仿宋_GB2312" w:hAnsi="仿宋_GB2312" w:eastAsia="仿宋_GB2312" w:cs="仿宋_GB2312"/>
          <w:b/>
          <w:bCs/>
          <w:sz w:val="32"/>
          <w:szCs w:val="32"/>
        </w:rPr>
      </w:pPr>
    </w:p>
    <w:p w14:paraId="177C6E88">
      <w:pPr>
        <w:keepNext w:val="0"/>
        <w:keepLines w:val="0"/>
        <w:pageBreakBefore w:val="0"/>
        <w:widowControl w:val="0"/>
        <w:numPr>
          <w:ilvl w:val="0"/>
          <w:numId w:val="1"/>
        </w:numPr>
        <w:kinsoku/>
        <w:wordWrap/>
        <w:overflowPunct/>
        <w:topLinePunct w:val="0"/>
        <w:autoSpaceDE/>
        <w:autoSpaceDN/>
        <w:bidi w:val="0"/>
        <w:adjustRightInd/>
        <w:snapToGrid/>
        <w:ind w:left="0" w:leftChars="0" w:firstLine="643" w:firstLineChars="200"/>
        <w:jc w:val="center"/>
        <w:textAlignment w:val="auto"/>
        <w:rPr>
          <w:rFonts w:hint="eastAsia" w:ascii="黑体" w:hAnsi="黑体" w:eastAsia="黑体" w:cs="黑体"/>
          <w:b/>
          <w:bCs/>
          <w:sz w:val="32"/>
          <w:szCs w:val="32"/>
        </w:rPr>
      </w:pPr>
      <w:r>
        <w:rPr>
          <w:rFonts w:hint="eastAsia" w:ascii="黑体" w:hAnsi="黑体" w:eastAsia="黑体" w:cs="黑体"/>
          <w:b/>
          <w:bCs/>
          <w:sz w:val="32"/>
          <w:szCs w:val="32"/>
        </w:rPr>
        <w:t>补助对象及标准</w:t>
      </w:r>
    </w:p>
    <w:p w14:paraId="315C4EA4">
      <w:pPr>
        <w:keepNext w:val="0"/>
        <w:keepLines w:val="0"/>
        <w:pageBreakBefore w:val="0"/>
        <w:widowControl w:val="0"/>
        <w:numPr>
          <w:ilvl w:val="0"/>
          <w:numId w:val="0"/>
        </w:numPr>
        <w:kinsoku/>
        <w:wordWrap/>
        <w:overflowPunct/>
        <w:topLinePunct w:val="0"/>
        <w:autoSpaceDE/>
        <w:autoSpaceDN/>
        <w:bidi w:val="0"/>
        <w:adjustRightInd/>
        <w:snapToGrid/>
        <w:ind w:leftChars="200"/>
        <w:jc w:val="both"/>
        <w:textAlignment w:val="auto"/>
        <w:rPr>
          <w:rFonts w:hint="eastAsia" w:ascii="仿宋_GB2312" w:hAnsi="仿宋_GB2312" w:eastAsia="仿宋_GB2312" w:cs="仿宋_GB2312"/>
          <w:b/>
          <w:bCs/>
          <w:sz w:val="32"/>
          <w:szCs w:val="32"/>
        </w:rPr>
      </w:pPr>
    </w:p>
    <w:p w14:paraId="712B5081">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第七条 </w:t>
      </w:r>
      <w:r>
        <w:rPr>
          <w:rFonts w:hint="eastAsia" w:ascii="仿宋_GB2312" w:hAnsi="仿宋_GB2312" w:eastAsia="仿宋_GB2312" w:cs="仿宋_GB2312"/>
          <w:sz w:val="32"/>
          <w:szCs w:val="32"/>
        </w:rPr>
        <w:t>补助对象必须同时满足以下条件：</w:t>
      </w:r>
    </w:p>
    <w:p w14:paraId="7FEE10D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（一）壤塘县脱贫户、未消除风险的监测户（注：必须是全国防止返贫监测和衔接推进乡村振兴信息系统人员，已消除风险的监测户不得享受本专项资金补助）。</w:t>
      </w:r>
    </w:p>
    <w:p w14:paraId="29D5CE2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（二）因病、因灾、因残、因意外事故、因主要劳动力死亡或其他原因导致家庭收入骤减或支出骤增的。</w:t>
      </w:r>
    </w:p>
    <w:p w14:paraId="056C0742">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第八条</w:t>
      </w:r>
      <w:r>
        <w:rPr>
          <w:rFonts w:hint="eastAsia" w:ascii="仿宋_GB2312" w:hAnsi="仿宋_GB2312" w:eastAsia="仿宋_GB2312" w:cs="仿宋_GB2312"/>
          <w:sz w:val="32"/>
          <w:szCs w:val="32"/>
        </w:rPr>
        <w:t xml:space="preserve"> 以下对象不得纳入补助：</w:t>
      </w:r>
    </w:p>
    <w:p w14:paraId="6521022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脱贫户、未消除风险的监测户家庭成员中如有涉及违法违规，不得纳入补助范围。</w:t>
      </w:r>
    </w:p>
    <w:p w14:paraId="25B6F1EF">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第九条 </w:t>
      </w:r>
      <w:r>
        <w:rPr>
          <w:rFonts w:hint="eastAsia" w:ascii="仿宋_GB2312" w:hAnsi="仿宋_GB2312" w:eastAsia="仿宋_GB2312" w:cs="仿宋_GB2312"/>
          <w:sz w:val="32"/>
          <w:szCs w:val="32"/>
        </w:rPr>
        <w:t>补助标准</w:t>
      </w:r>
    </w:p>
    <w:p w14:paraId="2840E46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脱贫户、未消除风险的监测户因病就医，医疗费用通过医保、捐赠、帮扶等其他途径部分解决后，自费医疗费用仍在0.5万元至1万元（含1万元）给付25%；在1万元（不含1万元）至5万元（含5万元）的给付35%；在5万元（不含5万元）至10万元（含10万元）的给付45%；10万元（不含10万元）以上给付金额不超过7万元；患重大疾病（包含：儿童白血病、先心病、乳腺癌、宫颈癌、重性精神病、终末期肾病、耐多药肺结核、艾滋病机会性感染、肝癌、胃癌、肺癌、苯丙酮尿症、食道癌、结肠癌、直肠癌、慢性粒细胞白血病、急性心肌梗死、甲亢、脑梗死、血友病、再生障碍性贫血、I型糖尿病、唇腭裂、重症胰腺炎、尿道下裂及其他恶性肿瘤等重特大疾病）可凭借住院证明提前申请防返贫防致贫专项资金；县外州内就医一次性给予3000元补助、州外就医一次性给予5000元补助。</w:t>
      </w:r>
    </w:p>
    <w:p w14:paraId="0490F34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（二）脱贫户、未消除风险的监测户因病、因灾、因突发事故等导致生命财产严重毁损的。根据家庭实际情况进行救助。</w:t>
      </w:r>
    </w:p>
    <w:p w14:paraId="46F3237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财产性损失。脱贫户、未消除风险的监测户若没有相关住房政策可以支持的，房屋维修加固的一次性给予8000元救助资金，房屋重建的一次性给予2万元救助资金；农田、牲畜等其他财产性损失，因行业部门有相关救助政策，不纳入防返贫防致贫专项资金救助范围。</w:t>
      </w:r>
    </w:p>
    <w:p w14:paraId="2EB3FF4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脱贫户、未消除风险的监测户造成主要劳动力缺失（主要指因死亡、失联、残疾、意外事故导致无法务工）的在享受民政救助的基础上一次性给予家庭中无劳动力人员2000元/人（无劳动力人员指：因残致无劳动力、0‑16周岁的在校学生和60岁以上的老人）。</w:t>
      </w:r>
    </w:p>
    <w:p w14:paraId="000CE54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3.脱贫户、未消除风险的监测户因不可抗拒的因素或其他特殊情况，导致吃、穿、住等基本生活条件出现困难的家庭可申请补助，补助金按其家庭实际困难进行补助，一次性补助总金额不超过800元/人。</w:t>
      </w:r>
    </w:p>
    <w:p w14:paraId="707A0E8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（三）未消除风险的监测户家中有劳动力符合公益性岗位安置条件的按照一户一岗原则设置公益性岗位，每个岗位工资每年1万元。</w:t>
      </w:r>
    </w:p>
    <w:p w14:paraId="7874969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脱贫户和未消除风险的监测户整户无劳动力户或缺劳动力户（缺劳动力户指：家中劳动力占比在1/4及以下）家庭年人均纯收入在当年脱贫户家庭人均纯收入75%以下的进行“兜底”补助（按照当年收入的75%补差）。</w:t>
      </w:r>
    </w:p>
    <w:p w14:paraId="5BC97B4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（五）如以上情况有同时发生的，可以按照补助标准同时享受相关补助。</w:t>
      </w:r>
    </w:p>
    <w:p w14:paraId="7409293B">
      <w:pPr>
        <w:keepNext w:val="0"/>
        <w:keepLines w:val="0"/>
        <w:pageBreakBefore w:val="0"/>
        <w:widowControl w:val="0"/>
        <w:kinsoku/>
        <w:wordWrap/>
        <w:overflowPunct/>
        <w:topLinePunct w:val="0"/>
        <w:autoSpaceDE/>
        <w:autoSpaceDN/>
        <w:bidi w:val="0"/>
        <w:adjustRightInd/>
        <w:snapToGrid/>
        <w:ind w:firstLine="643" w:firstLineChars="200"/>
        <w:jc w:val="center"/>
        <w:textAlignment w:val="auto"/>
        <w:rPr>
          <w:rFonts w:hint="eastAsia" w:ascii="仿宋_GB2312" w:hAnsi="仿宋_GB2312" w:eastAsia="仿宋_GB2312" w:cs="仿宋_GB2312"/>
          <w:b/>
          <w:bCs/>
          <w:sz w:val="32"/>
          <w:szCs w:val="32"/>
        </w:rPr>
      </w:pPr>
    </w:p>
    <w:p w14:paraId="5AA82A0D">
      <w:pPr>
        <w:keepNext w:val="0"/>
        <w:keepLines w:val="0"/>
        <w:pageBreakBefore w:val="0"/>
        <w:widowControl w:val="0"/>
        <w:numPr>
          <w:ilvl w:val="0"/>
          <w:numId w:val="2"/>
        </w:numPr>
        <w:kinsoku/>
        <w:wordWrap/>
        <w:overflowPunct/>
        <w:topLinePunct w:val="0"/>
        <w:autoSpaceDE/>
        <w:autoSpaceDN/>
        <w:bidi w:val="0"/>
        <w:adjustRightInd/>
        <w:snapToGrid/>
        <w:ind w:firstLine="643" w:firstLineChars="200"/>
        <w:jc w:val="center"/>
        <w:textAlignment w:val="auto"/>
        <w:rPr>
          <w:rFonts w:hint="eastAsia" w:ascii="黑体" w:hAnsi="黑体" w:eastAsia="黑体" w:cs="黑体"/>
          <w:b/>
          <w:bCs/>
          <w:sz w:val="32"/>
          <w:szCs w:val="32"/>
        </w:rPr>
      </w:pPr>
      <w:r>
        <w:rPr>
          <w:rFonts w:hint="eastAsia" w:ascii="黑体" w:hAnsi="黑体" w:eastAsia="黑体" w:cs="黑体"/>
          <w:b/>
          <w:bCs/>
          <w:sz w:val="32"/>
          <w:szCs w:val="32"/>
        </w:rPr>
        <w:t>补助程序及时间</w:t>
      </w:r>
    </w:p>
    <w:p w14:paraId="22AA42C8">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仿宋_GB2312" w:hAnsi="仿宋_GB2312" w:eastAsia="仿宋_GB2312" w:cs="仿宋_GB2312"/>
          <w:b/>
          <w:bCs/>
          <w:sz w:val="32"/>
          <w:szCs w:val="32"/>
        </w:rPr>
      </w:pPr>
    </w:p>
    <w:p w14:paraId="7B134507">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第十条</w:t>
      </w:r>
      <w:r>
        <w:rPr>
          <w:rFonts w:hint="eastAsia" w:ascii="仿宋_GB2312" w:hAnsi="仿宋_GB2312" w:eastAsia="仿宋_GB2312" w:cs="仿宋_GB2312"/>
          <w:sz w:val="32"/>
          <w:szCs w:val="32"/>
        </w:rPr>
        <w:t xml:space="preserve"> 补助程序</w:t>
      </w:r>
    </w:p>
    <w:p w14:paraId="4AFD048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申领补助按照“个人申请—村级初审—乡（镇）复审—县科学技术和农业畜牧局审定—红十字会拨付发放”的程序运行。</w:t>
      </w:r>
    </w:p>
    <w:p w14:paraId="4DA703C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（一）个人申请。符合补助条件的对象填报《壤塘县防返贫防致贫专项资金申请表》，并提交身份证复印件及相关证明。</w:t>
      </w:r>
    </w:p>
    <w:p w14:paraId="57EB527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村级初审。符合补助条件的对象将申请表、身份证复印件及相关证明（相关证明指：医疗费用报销单、房屋等级鉴定报告、死亡证明、人口失联等相关证明），交由所在村委会初审，重点审查是否符合补助相关条件，初审后在村内进行公示，公示时间为7天，公示无异议后由村两委负责人签字盖章后方能报乡（镇）复审。</w:t>
      </w:r>
    </w:p>
    <w:p w14:paraId="56BE444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乡（镇）复审。村级初审后，将申请表、身份证复印件及相关证明，交由所在乡（镇）核查复审，由乡（镇）审议，审议通过后，在乡（镇）一级公示，公示时间为7天，公示无异议后报县科学技术和农业畜牧局审定。</w:t>
      </w:r>
    </w:p>
    <w:p w14:paraId="4A9D4DE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（四）县红十字会负责拨付发放资金。县科学技术和农业畜牧局负责审核申报材料，进行县级7天公示，公示无异议后，由县红十字会将资金通过打卡直发给补助对象。</w:t>
      </w:r>
    </w:p>
    <w:p w14:paraId="4C29443C">
      <w:pPr>
        <w:keepNext w:val="0"/>
        <w:keepLines w:val="0"/>
        <w:pageBreakBefore w:val="0"/>
        <w:widowControl w:val="0"/>
        <w:kinsoku/>
        <w:wordWrap/>
        <w:overflowPunct/>
        <w:topLinePunct w:val="0"/>
        <w:autoSpaceDE/>
        <w:autoSpaceDN/>
        <w:bidi w:val="0"/>
        <w:adjustRightInd/>
        <w:snapToGrid/>
        <w:ind w:firstLine="643" w:firstLineChars="200"/>
        <w:jc w:val="center"/>
        <w:textAlignment w:val="auto"/>
        <w:rPr>
          <w:rFonts w:hint="eastAsia" w:ascii="黑体" w:hAnsi="黑体" w:eastAsia="黑体" w:cs="黑体"/>
          <w:b/>
          <w:bCs/>
          <w:sz w:val="32"/>
          <w:szCs w:val="32"/>
        </w:rPr>
      </w:pPr>
      <w:r>
        <w:rPr>
          <w:rFonts w:hint="eastAsia" w:ascii="黑体" w:hAnsi="黑体" w:eastAsia="黑体" w:cs="黑体"/>
          <w:b/>
          <w:bCs/>
          <w:sz w:val="32"/>
          <w:szCs w:val="32"/>
        </w:rPr>
        <w:t>第五章 资金管理</w:t>
      </w:r>
    </w:p>
    <w:p w14:paraId="1AB04F0E">
      <w:pPr>
        <w:keepNext w:val="0"/>
        <w:keepLines w:val="0"/>
        <w:pageBreakBefore w:val="0"/>
        <w:widowControl w:val="0"/>
        <w:kinsoku/>
        <w:wordWrap/>
        <w:overflowPunct/>
        <w:topLinePunct w:val="0"/>
        <w:autoSpaceDE/>
        <w:autoSpaceDN/>
        <w:bidi w:val="0"/>
        <w:adjustRightInd/>
        <w:snapToGrid/>
        <w:ind w:firstLine="643" w:firstLineChars="200"/>
        <w:jc w:val="center"/>
        <w:textAlignment w:val="auto"/>
        <w:rPr>
          <w:rFonts w:hint="eastAsia" w:ascii="仿宋_GB2312" w:hAnsi="仿宋_GB2312" w:eastAsia="仿宋_GB2312" w:cs="仿宋_GB2312"/>
          <w:b/>
          <w:bCs/>
          <w:sz w:val="32"/>
          <w:szCs w:val="32"/>
        </w:rPr>
      </w:pPr>
    </w:p>
    <w:p w14:paraId="3B3EF8E5">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第十一条 </w:t>
      </w:r>
      <w:r>
        <w:rPr>
          <w:rFonts w:hint="eastAsia" w:ascii="仿宋_GB2312" w:hAnsi="仿宋_GB2312" w:eastAsia="仿宋_GB2312" w:cs="仿宋_GB2312"/>
          <w:sz w:val="32"/>
          <w:szCs w:val="32"/>
        </w:rPr>
        <w:t>县红十字会、县科学技术和农业畜牧局负责资金的管理及使用，同时接受社会捐赠。</w:t>
      </w:r>
    </w:p>
    <w:p w14:paraId="33D2B675">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第十二条 </w:t>
      </w:r>
      <w:r>
        <w:rPr>
          <w:rFonts w:hint="eastAsia" w:ascii="仿宋_GB2312" w:hAnsi="仿宋_GB2312" w:eastAsia="仿宋_GB2312" w:cs="仿宋_GB2312"/>
          <w:sz w:val="32"/>
          <w:szCs w:val="32"/>
        </w:rPr>
        <w:t>县财政局根据资金的募集、使用等情况，负责财政资金的筹集和监管。</w:t>
      </w:r>
    </w:p>
    <w:p w14:paraId="45B8F02A">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第十三条</w:t>
      </w:r>
      <w:r>
        <w:rPr>
          <w:rFonts w:hint="eastAsia" w:ascii="仿宋_GB2312" w:hAnsi="仿宋_GB2312" w:eastAsia="仿宋_GB2312" w:cs="仿宋_GB2312"/>
          <w:sz w:val="32"/>
          <w:szCs w:val="32"/>
        </w:rPr>
        <w:t xml:space="preserve"> 对使用防返贫防致贫专项资金的单位、部门必须配合审计部门接受审计监督。</w:t>
      </w:r>
    </w:p>
    <w:p w14:paraId="5072DC4E">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第十四条 </w:t>
      </w:r>
      <w:r>
        <w:rPr>
          <w:rFonts w:hint="eastAsia" w:ascii="仿宋_GB2312" w:hAnsi="仿宋_GB2312" w:eastAsia="仿宋_GB2312" w:cs="仿宋_GB2312"/>
          <w:sz w:val="32"/>
          <w:szCs w:val="32"/>
        </w:rPr>
        <w:t>各乡（镇）负责做好政策宣传、受助认定、信息公示等工作。</w:t>
      </w:r>
    </w:p>
    <w:p w14:paraId="4DA4B648">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第十五条</w:t>
      </w:r>
      <w:r>
        <w:rPr>
          <w:rFonts w:hint="eastAsia" w:ascii="仿宋_GB2312" w:hAnsi="仿宋_GB2312" w:eastAsia="仿宋_GB2312" w:cs="仿宋_GB2312"/>
          <w:sz w:val="32"/>
          <w:szCs w:val="32"/>
        </w:rPr>
        <w:t xml:space="preserve"> 县科学技术和农业畜牧局要建立信息公开机制，会同县红十字会定期向社会公开资金管理、使用情况。</w:t>
      </w:r>
    </w:p>
    <w:p w14:paraId="7C82E39E">
      <w:pPr>
        <w:keepNext w:val="0"/>
        <w:keepLines w:val="0"/>
        <w:pageBreakBefore w:val="0"/>
        <w:widowControl w:val="0"/>
        <w:kinsoku/>
        <w:wordWrap/>
        <w:overflowPunct/>
        <w:topLinePunct w:val="0"/>
        <w:autoSpaceDE/>
        <w:autoSpaceDN/>
        <w:bidi w:val="0"/>
        <w:adjustRightInd/>
        <w:snapToGrid/>
        <w:ind w:firstLine="643" w:firstLineChars="200"/>
        <w:jc w:val="center"/>
        <w:textAlignment w:val="auto"/>
        <w:rPr>
          <w:rFonts w:hint="eastAsia" w:ascii="仿宋_GB2312" w:hAnsi="仿宋_GB2312" w:eastAsia="仿宋_GB2312" w:cs="仿宋_GB2312"/>
          <w:b/>
          <w:bCs/>
          <w:sz w:val="32"/>
          <w:szCs w:val="32"/>
        </w:rPr>
      </w:pPr>
    </w:p>
    <w:p w14:paraId="2C43ED5D">
      <w:pPr>
        <w:keepNext w:val="0"/>
        <w:keepLines w:val="0"/>
        <w:pageBreakBefore w:val="0"/>
        <w:widowControl w:val="0"/>
        <w:numPr>
          <w:ilvl w:val="0"/>
          <w:numId w:val="3"/>
        </w:numPr>
        <w:kinsoku/>
        <w:wordWrap/>
        <w:overflowPunct/>
        <w:topLinePunct w:val="0"/>
        <w:autoSpaceDE/>
        <w:autoSpaceDN/>
        <w:bidi w:val="0"/>
        <w:adjustRightInd/>
        <w:snapToGrid/>
        <w:ind w:firstLine="643" w:firstLineChars="200"/>
        <w:jc w:val="center"/>
        <w:textAlignment w:val="auto"/>
        <w:rPr>
          <w:rFonts w:hint="eastAsia" w:ascii="黑体" w:hAnsi="黑体" w:eastAsia="黑体" w:cs="黑体"/>
          <w:b/>
          <w:bCs/>
          <w:sz w:val="32"/>
          <w:szCs w:val="32"/>
        </w:rPr>
      </w:pPr>
      <w:r>
        <w:rPr>
          <w:rFonts w:hint="eastAsia" w:ascii="黑体" w:hAnsi="黑体" w:eastAsia="黑体" w:cs="黑体"/>
          <w:b/>
          <w:bCs/>
          <w:sz w:val="32"/>
          <w:szCs w:val="32"/>
        </w:rPr>
        <w:t>监督考核</w:t>
      </w:r>
    </w:p>
    <w:p w14:paraId="0981AAA1">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仿宋_GB2312" w:hAnsi="仿宋_GB2312" w:eastAsia="仿宋_GB2312" w:cs="仿宋_GB2312"/>
          <w:b/>
          <w:bCs/>
          <w:sz w:val="32"/>
          <w:szCs w:val="32"/>
        </w:rPr>
      </w:pPr>
    </w:p>
    <w:p w14:paraId="67EE5A43">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第十六条</w:t>
      </w:r>
      <w:r>
        <w:rPr>
          <w:rFonts w:hint="eastAsia" w:ascii="仿宋_GB2312" w:hAnsi="仿宋_GB2312" w:eastAsia="仿宋_GB2312" w:cs="仿宋_GB2312"/>
          <w:sz w:val="32"/>
          <w:szCs w:val="32"/>
        </w:rPr>
        <w:t xml:space="preserve"> 县红十字会、县科学技术和农业畜牧局应加强资金使用监管，按照“谁主管、谁负责”原则，落实行业主管部门的管理工作责任。</w:t>
      </w:r>
    </w:p>
    <w:p w14:paraId="39CB51A0">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第十七条</w:t>
      </w:r>
      <w:r>
        <w:rPr>
          <w:rFonts w:hint="eastAsia" w:ascii="仿宋_GB2312" w:hAnsi="仿宋_GB2312" w:eastAsia="仿宋_GB2312" w:cs="仿宋_GB2312"/>
          <w:sz w:val="32"/>
          <w:szCs w:val="32"/>
        </w:rPr>
        <w:t xml:space="preserve"> 县审计局、县纪委监委、县财政局、县科学技术和农业畜牧局等部门要切实加强资金的跟踪监督，对违反规定使用防返贫防致贫专项资金的行为，一经查实，按照国家有关法律规定严肃处理。</w:t>
      </w:r>
    </w:p>
    <w:p w14:paraId="521100D4">
      <w:pPr>
        <w:keepNext w:val="0"/>
        <w:keepLines w:val="0"/>
        <w:pageBreakBefore w:val="0"/>
        <w:widowControl w:val="0"/>
        <w:kinsoku/>
        <w:wordWrap/>
        <w:overflowPunct/>
        <w:topLinePunct w:val="0"/>
        <w:autoSpaceDE/>
        <w:autoSpaceDN/>
        <w:bidi w:val="0"/>
        <w:adjustRightInd/>
        <w:snapToGrid/>
        <w:ind w:firstLine="643" w:firstLineChars="200"/>
        <w:jc w:val="center"/>
        <w:textAlignment w:val="auto"/>
        <w:rPr>
          <w:rFonts w:hint="eastAsia" w:ascii="仿宋_GB2312" w:hAnsi="仿宋_GB2312" w:eastAsia="仿宋_GB2312" w:cs="仿宋_GB2312"/>
          <w:b/>
          <w:bCs/>
          <w:sz w:val="32"/>
          <w:szCs w:val="32"/>
        </w:rPr>
      </w:pPr>
    </w:p>
    <w:p w14:paraId="66E2C695">
      <w:pPr>
        <w:keepNext w:val="0"/>
        <w:keepLines w:val="0"/>
        <w:pageBreakBefore w:val="0"/>
        <w:widowControl w:val="0"/>
        <w:numPr>
          <w:ilvl w:val="0"/>
          <w:numId w:val="4"/>
        </w:numPr>
        <w:kinsoku/>
        <w:wordWrap/>
        <w:overflowPunct/>
        <w:topLinePunct w:val="0"/>
        <w:autoSpaceDE/>
        <w:autoSpaceDN/>
        <w:bidi w:val="0"/>
        <w:adjustRightInd/>
        <w:snapToGrid/>
        <w:ind w:firstLine="643" w:firstLineChars="200"/>
        <w:jc w:val="center"/>
        <w:textAlignment w:val="auto"/>
        <w:rPr>
          <w:rFonts w:hint="eastAsia" w:ascii="黑体" w:hAnsi="黑体" w:eastAsia="黑体" w:cs="黑体"/>
          <w:b/>
          <w:bCs/>
          <w:sz w:val="32"/>
          <w:szCs w:val="32"/>
        </w:rPr>
      </w:pPr>
      <w:r>
        <w:rPr>
          <w:rFonts w:hint="eastAsia" w:ascii="黑体" w:hAnsi="黑体" w:eastAsia="黑体" w:cs="黑体"/>
          <w:b/>
          <w:bCs/>
          <w:sz w:val="32"/>
          <w:szCs w:val="32"/>
        </w:rPr>
        <w:t>违规处理</w:t>
      </w:r>
    </w:p>
    <w:p w14:paraId="7419B5C3">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仿宋_GB2312" w:hAnsi="仿宋_GB2312" w:eastAsia="仿宋_GB2312" w:cs="仿宋_GB2312"/>
          <w:b/>
          <w:bCs/>
          <w:sz w:val="32"/>
          <w:szCs w:val="32"/>
        </w:rPr>
      </w:pPr>
    </w:p>
    <w:p w14:paraId="2FE4197F">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第十八条</w:t>
      </w:r>
      <w:r>
        <w:rPr>
          <w:rFonts w:hint="eastAsia" w:ascii="仿宋_GB2312" w:hAnsi="仿宋_GB2312" w:eastAsia="仿宋_GB2312" w:cs="仿宋_GB2312"/>
          <w:sz w:val="32"/>
          <w:szCs w:val="32"/>
        </w:rPr>
        <w:t xml:space="preserve"> 补助机构和申请补助者骗取和套取防返贫专项资金的，除追回资金外，对直接责任人按照相关法律法规严肃处理。</w:t>
      </w:r>
    </w:p>
    <w:p w14:paraId="47CFDF05">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第十九条 </w:t>
      </w:r>
      <w:r>
        <w:rPr>
          <w:rFonts w:hint="eastAsia" w:ascii="仿宋_GB2312" w:hAnsi="仿宋_GB2312" w:eastAsia="仿宋_GB2312" w:cs="仿宋_GB2312"/>
          <w:sz w:val="32"/>
          <w:szCs w:val="32"/>
        </w:rPr>
        <w:t>有下列情形之一的，对防返贫防致贫专项资金管理机构及其负责人依法进行处理，并根据情形决定是否更换资金管理机构：</w:t>
      </w:r>
    </w:p>
    <w:p w14:paraId="547F4B5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（一）未按照规定受理、审核资金支付申请并进行支付的；</w:t>
      </w:r>
    </w:p>
    <w:p w14:paraId="4424DC7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（二）挪用、违规使用防返贫防致贫专项资金的；</w:t>
      </w:r>
    </w:p>
    <w:p w14:paraId="10005A1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（三）拒绝或者妨碍有关部门依法实施监督检查的。</w:t>
      </w:r>
    </w:p>
    <w:p w14:paraId="6F2D5140">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第二十条</w:t>
      </w:r>
      <w:r>
        <w:rPr>
          <w:rFonts w:hint="eastAsia" w:ascii="仿宋_GB2312" w:hAnsi="仿宋_GB2312" w:eastAsia="仿宋_GB2312" w:cs="仿宋_GB2312"/>
          <w:sz w:val="32"/>
          <w:szCs w:val="32"/>
        </w:rPr>
        <w:t xml:space="preserve"> 防返贫防致贫专项资金主管部门和有关部门工作人员，在工作中滥用职权、玩忽职守、徇私舞弊的，依法给予处分，涉嫌犯罪的，依法移送司法机关。</w:t>
      </w:r>
    </w:p>
    <w:p w14:paraId="21F7B45C">
      <w:pPr>
        <w:keepNext w:val="0"/>
        <w:keepLines w:val="0"/>
        <w:pageBreakBefore w:val="0"/>
        <w:widowControl w:val="0"/>
        <w:kinsoku/>
        <w:wordWrap/>
        <w:overflowPunct/>
        <w:topLinePunct w:val="0"/>
        <w:autoSpaceDE/>
        <w:autoSpaceDN/>
        <w:bidi w:val="0"/>
        <w:adjustRightInd/>
        <w:snapToGrid/>
        <w:ind w:firstLine="643" w:firstLineChars="200"/>
        <w:jc w:val="center"/>
        <w:textAlignment w:val="auto"/>
        <w:rPr>
          <w:rFonts w:hint="eastAsia" w:ascii="仿宋_GB2312" w:hAnsi="仿宋_GB2312" w:eastAsia="仿宋_GB2312" w:cs="仿宋_GB2312"/>
          <w:b/>
          <w:bCs/>
          <w:sz w:val="32"/>
          <w:szCs w:val="32"/>
        </w:rPr>
      </w:pPr>
    </w:p>
    <w:p w14:paraId="79E09227">
      <w:pPr>
        <w:keepNext w:val="0"/>
        <w:keepLines w:val="0"/>
        <w:pageBreakBefore w:val="0"/>
        <w:widowControl w:val="0"/>
        <w:numPr>
          <w:ilvl w:val="0"/>
          <w:numId w:val="5"/>
        </w:numPr>
        <w:kinsoku/>
        <w:wordWrap/>
        <w:overflowPunct/>
        <w:topLinePunct w:val="0"/>
        <w:autoSpaceDE/>
        <w:autoSpaceDN/>
        <w:bidi w:val="0"/>
        <w:adjustRightInd/>
        <w:snapToGrid/>
        <w:ind w:firstLine="643" w:firstLineChars="200"/>
        <w:jc w:val="center"/>
        <w:textAlignment w:val="auto"/>
        <w:rPr>
          <w:rFonts w:hint="eastAsia" w:ascii="黑体" w:hAnsi="黑体" w:eastAsia="黑体" w:cs="黑体"/>
          <w:b/>
          <w:bCs/>
          <w:sz w:val="32"/>
          <w:szCs w:val="32"/>
        </w:rPr>
      </w:pPr>
      <w:r>
        <w:rPr>
          <w:rFonts w:hint="eastAsia" w:ascii="黑体" w:hAnsi="黑体" w:eastAsia="黑体" w:cs="黑体"/>
          <w:b/>
          <w:bCs/>
          <w:sz w:val="32"/>
          <w:szCs w:val="32"/>
        </w:rPr>
        <w:t>附则</w:t>
      </w:r>
    </w:p>
    <w:p w14:paraId="20310033">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仿宋_GB2312" w:hAnsi="仿宋_GB2312" w:eastAsia="仿宋_GB2312" w:cs="仿宋_GB2312"/>
          <w:b/>
          <w:bCs/>
          <w:sz w:val="32"/>
          <w:szCs w:val="32"/>
        </w:rPr>
      </w:pPr>
    </w:p>
    <w:p w14:paraId="56DE8C2C">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第二十一条</w:t>
      </w:r>
      <w:r>
        <w:rPr>
          <w:rFonts w:hint="eastAsia" w:ascii="仿宋_GB2312" w:hAnsi="仿宋_GB2312" w:eastAsia="仿宋_GB2312" w:cs="仿宋_GB2312"/>
          <w:sz w:val="32"/>
          <w:szCs w:val="32"/>
        </w:rPr>
        <w:t xml:space="preserve"> 本《办法》自公布后3日内正式试行，原《壤塘县防返贫防致贫专项资金管理办法》（壤府</w:t>
      </w:r>
      <w:r>
        <w:rPr>
          <w:rFonts w:hint="eastAsia" w:ascii="仿宋_GB2312" w:hAnsi="仿宋_GB2312" w:eastAsia="仿宋_GB2312" w:cs="仿宋_GB2312"/>
          <w:sz w:val="32"/>
          <w:szCs w:val="32"/>
          <w:lang w:eastAsia="zh-CN"/>
        </w:rPr>
        <w:t>规</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号）同时废止。有效期至202</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年12月31日，后续根据防止返贫动态监测和帮扶工作机制政策的变更相应进行调整。</w:t>
      </w:r>
    </w:p>
    <w:p w14:paraId="04568AEB">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第二十二条</w:t>
      </w:r>
      <w:r>
        <w:rPr>
          <w:rFonts w:hint="eastAsia" w:ascii="仿宋_GB2312" w:hAnsi="仿宋_GB2312" w:eastAsia="仿宋_GB2312" w:cs="仿宋_GB2312"/>
          <w:sz w:val="32"/>
          <w:szCs w:val="32"/>
        </w:rPr>
        <w:t xml:space="preserve"> 本办法由县科学技术和农业畜牧局、县红十字会负责解释。</w:t>
      </w:r>
    </w:p>
    <w:p w14:paraId="6C1509E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p>
    <w:p w14:paraId="06B37DB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p>
    <w:p w14:paraId="223AC229">
      <w:pPr>
        <w:keepNext w:val="0"/>
        <w:keepLines w:val="0"/>
        <w:pageBreakBefore w:val="0"/>
        <w:widowControl w:val="0"/>
        <w:kinsoku/>
        <w:wordWrap/>
        <w:overflowPunct/>
        <w:topLinePunct w:val="0"/>
        <w:autoSpaceDE/>
        <w:autoSpaceDN/>
        <w:bidi w:val="0"/>
        <w:adjustRightInd/>
        <w:snapToGrid/>
        <w:textAlignment w:val="auto"/>
        <w:rPr>
          <w:rFonts w:hint="eastAsia" w:ascii="仿宋_GB2312" w:hAnsi="仿宋_GB2312" w:eastAsia="仿宋_GB2312" w:cs="仿宋_GB2312"/>
          <w:b/>
          <w:bCs/>
          <w:sz w:val="32"/>
          <w:szCs w:val="32"/>
        </w:rPr>
      </w:pPr>
    </w:p>
    <w:p w14:paraId="41A46EEF">
      <w:pPr>
        <w:keepNext w:val="0"/>
        <w:keepLines w:val="0"/>
        <w:pageBreakBefore w:val="0"/>
        <w:widowControl w:val="0"/>
        <w:kinsoku/>
        <w:wordWrap/>
        <w:overflowPunct/>
        <w:topLinePunct w:val="0"/>
        <w:autoSpaceDE/>
        <w:autoSpaceDN/>
        <w:bidi w:val="0"/>
        <w:adjustRightInd/>
        <w:snapToGrid/>
        <w:textAlignment w:val="auto"/>
        <w:rPr>
          <w:rFonts w:hint="eastAsia" w:ascii="仿宋_GB2312" w:hAnsi="仿宋_GB2312" w:eastAsia="仿宋_GB2312" w:cs="仿宋_GB2312"/>
          <w:b/>
          <w:bCs/>
          <w:sz w:val="32"/>
          <w:szCs w:val="32"/>
        </w:rPr>
      </w:pPr>
    </w:p>
    <w:p w14:paraId="78FD8076">
      <w:pPr>
        <w:keepNext w:val="0"/>
        <w:keepLines w:val="0"/>
        <w:pageBreakBefore w:val="0"/>
        <w:widowControl w:val="0"/>
        <w:kinsoku/>
        <w:wordWrap/>
        <w:overflowPunct/>
        <w:topLinePunct w:val="0"/>
        <w:autoSpaceDE/>
        <w:autoSpaceDN/>
        <w:bidi w:val="0"/>
        <w:adjustRightInd/>
        <w:snapToGrid/>
        <w:textAlignment w:val="auto"/>
        <w:rPr>
          <w:rFonts w:hint="eastAsia" w:ascii="仿宋_GB2312" w:hAnsi="仿宋_GB2312" w:eastAsia="仿宋_GB2312" w:cs="仿宋_GB2312"/>
          <w:b/>
          <w:bCs/>
          <w:sz w:val="32"/>
          <w:szCs w:val="32"/>
        </w:rPr>
      </w:pPr>
    </w:p>
    <w:p w14:paraId="0EDEEBA5">
      <w:pPr>
        <w:keepNext w:val="0"/>
        <w:keepLines w:val="0"/>
        <w:pageBreakBefore w:val="0"/>
        <w:widowControl w:val="0"/>
        <w:kinsoku/>
        <w:wordWrap/>
        <w:overflowPunct/>
        <w:topLinePunct w:val="0"/>
        <w:autoSpaceDE/>
        <w:autoSpaceDN/>
        <w:bidi w:val="0"/>
        <w:adjustRightInd/>
        <w:snapToGrid/>
        <w:textAlignment w:val="auto"/>
        <w:rPr>
          <w:rFonts w:hint="eastAsia" w:ascii="仿宋_GB2312" w:hAnsi="仿宋_GB2312" w:eastAsia="仿宋_GB2312" w:cs="仿宋_GB2312"/>
          <w:b/>
          <w:bCs/>
          <w:sz w:val="32"/>
          <w:szCs w:val="32"/>
        </w:rPr>
      </w:pPr>
    </w:p>
    <w:p w14:paraId="3D8F7F64">
      <w:pPr>
        <w:keepNext w:val="0"/>
        <w:keepLines w:val="0"/>
        <w:pageBreakBefore w:val="0"/>
        <w:widowControl w:val="0"/>
        <w:kinsoku/>
        <w:wordWrap/>
        <w:overflowPunct/>
        <w:topLinePunct w:val="0"/>
        <w:autoSpaceDE/>
        <w:autoSpaceDN/>
        <w:bidi w:val="0"/>
        <w:adjustRightInd/>
        <w:snapToGrid/>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附件：</w:t>
      </w:r>
    </w:p>
    <w:p w14:paraId="628ABA42">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小标宋_GBK" w:hAnsi="方正小标宋_GBK" w:eastAsia="方正小标宋_GBK" w:cs="方正小标宋_GBK"/>
          <w:b/>
          <w:bCs/>
          <w:sz w:val="44"/>
          <w:szCs w:val="44"/>
        </w:rPr>
      </w:pPr>
      <w:r>
        <w:rPr>
          <w:rFonts w:hint="eastAsia" w:ascii="方正小标宋_GBK" w:hAnsi="方正小标宋_GBK" w:eastAsia="方正小标宋_GBK" w:cs="方正小标宋_GBK"/>
          <w:b/>
          <w:bCs/>
          <w:sz w:val="44"/>
          <w:szCs w:val="44"/>
        </w:rPr>
        <w:t>壤塘县防返贫防致贫专项资金申请表</w:t>
      </w:r>
    </w:p>
    <w:tbl>
      <w:tblPr>
        <w:tblStyle w:val="2"/>
        <w:tblpPr w:leftFromText="180" w:rightFromText="180" w:vertAnchor="text" w:horzAnchor="page" w:tblpX="1901" w:tblpY="224"/>
        <w:tblOverlap w:val="never"/>
        <w:tblW w:w="89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890"/>
        <w:gridCol w:w="679"/>
        <w:gridCol w:w="1057"/>
        <w:gridCol w:w="742"/>
        <w:gridCol w:w="698"/>
        <w:gridCol w:w="106"/>
        <w:gridCol w:w="576"/>
        <w:gridCol w:w="506"/>
        <w:gridCol w:w="1148"/>
        <w:gridCol w:w="311"/>
        <w:gridCol w:w="1514"/>
      </w:tblGrid>
      <w:tr w14:paraId="76B99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1580"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0E6FE1DE">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姓名</w:t>
            </w:r>
          </w:p>
        </w:tc>
        <w:tc>
          <w:tcPr>
            <w:tcW w:w="67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DB22547">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21"/>
                <w:szCs w:val="21"/>
              </w:rPr>
            </w:pPr>
          </w:p>
        </w:tc>
        <w:tc>
          <w:tcPr>
            <w:tcW w:w="1799"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689C0911">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年龄</w:t>
            </w:r>
          </w:p>
        </w:tc>
        <w:tc>
          <w:tcPr>
            <w:tcW w:w="1380"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5AFD760A">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21"/>
                <w:szCs w:val="21"/>
              </w:rPr>
            </w:pPr>
          </w:p>
        </w:tc>
        <w:tc>
          <w:tcPr>
            <w:tcW w:w="1654"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2EFFD1C1">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身份证号</w:t>
            </w:r>
          </w:p>
        </w:tc>
        <w:tc>
          <w:tcPr>
            <w:tcW w:w="1825"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7408AF99">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21"/>
                <w:szCs w:val="21"/>
              </w:rPr>
            </w:pPr>
          </w:p>
        </w:tc>
      </w:tr>
      <w:tr w14:paraId="05F42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580"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53FF5158">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贫困属性</w:t>
            </w:r>
          </w:p>
        </w:tc>
        <w:tc>
          <w:tcPr>
            <w:tcW w:w="67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7DDB3B9">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21"/>
                <w:szCs w:val="21"/>
              </w:rPr>
            </w:pPr>
          </w:p>
        </w:tc>
        <w:tc>
          <w:tcPr>
            <w:tcW w:w="1799"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2C33E686">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rPr>
              <w:t>家庭劳动力人</w:t>
            </w:r>
            <w:r>
              <w:rPr>
                <w:rFonts w:hint="eastAsia" w:ascii="仿宋_GB2312" w:hAnsi="仿宋_GB2312" w:eastAsia="仿宋_GB2312" w:cs="仿宋_GB2312"/>
                <w:color w:val="auto"/>
                <w:sz w:val="21"/>
                <w:szCs w:val="21"/>
                <w:lang w:eastAsia="zh-CN"/>
              </w:rPr>
              <w:t>口</w:t>
            </w:r>
          </w:p>
        </w:tc>
        <w:tc>
          <w:tcPr>
            <w:tcW w:w="1380"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1B284BE5">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21"/>
                <w:szCs w:val="21"/>
              </w:rPr>
            </w:pPr>
          </w:p>
        </w:tc>
        <w:tc>
          <w:tcPr>
            <w:tcW w:w="1654"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491C0BBB">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联系电话</w:t>
            </w:r>
          </w:p>
        </w:tc>
        <w:tc>
          <w:tcPr>
            <w:tcW w:w="1825"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1EDC8435">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21"/>
                <w:szCs w:val="21"/>
              </w:rPr>
            </w:pPr>
          </w:p>
        </w:tc>
      </w:tr>
      <w:tr w14:paraId="41029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1580"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710593BD">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纳入系统年度</w:t>
            </w:r>
          </w:p>
        </w:tc>
        <w:tc>
          <w:tcPr>
            <w:tcW w:w="2478"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62DC369A">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21"/>
                <w:szCs w:val="21"/>
              </w:rPr>
            </w:pPr>
          </w:p>
        </w:tc>
        <w:tc>
          <w:tcPr>
            <w:tcW w:w="1380"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5DB4D538">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户口所在地</w:t>
            </w:r>
          </w:p>
        </w:tc>
        <w:tc>
          <w:tcPr>
            <w:tcW w:w="3479"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0418852B">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21"/>
                <w:szCs w:val="21"/>
              </w:rPr>
            </w:pPr>
          </w:p>
        </w:tc>
      </w:tr>
      <w:tr w14:paraId="10C38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exact"/>
        </w:trPr>
        <w:tc>
          <w:tcPr>
            <w:tcW w:w="8917" w:type="dxa"/>
            <w:gridSpan w:val="12"/>
            <w:tcBorders>
              <w:top w:val="single" w:color="auto" w:sz="4" w:space="0"/>
              <w:left w:val="single" w:color="auto" w:sz="4" w:space="0"/>
              <w:bottom w:val="single" w:color="auto" w:sz="4" w:space="0"/>
              <w:right w:val="single" w:color="auto" w:sz="4" w:space="0"/>
              <w:tl2br w:val="nil"/>
              <w:tr2bl w:val="nil"/>
            </w:tcBorders>
            <w:noWrap w:val="0"/>
            <w:vAlign w:val="top"/>
          </w:tcPr>
          <w:p w14:paraId="695C3FBA">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家庭成员</w:t>
            </w:r>
          </w:p>
        </w:tc>
      </w:tr>
      <w:tr w14:paraId="79AE8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3" w:hRule="atLeast"/>
        </w:trPr>
        <w:tc>
          <w:tcPr>
            <w:tcW w:w="69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5690953">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姓名</w:t>
            </w:r>
          </w:p>
        </w:tc>
        <w:tc>
          <w:tcPr>
            <w:tcW w:w="89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AE6DB2F">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性别</w:t>
            </w:r>
          </w:p>
        </w:tc>
        <w:tc>
          <w:tcPr>
            <w:tcW w:w="1736"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31CAF70C">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身份证号码</w:t>
            </w:r>
          </w:p>
        </w:tc>
        <w:tc>
          <w:tcPr>
            <w:tcW w:w="1546"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2F5343C6">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与户主关系</w:t>
            </w:r>
          </w:p>
        </w:tc>
        <w:tc>
          <w:tcPr>
            <w:tcW w:w="2541"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635EAE60">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在读学校、年级或者工作（务工）情况、地点</w:t>
            </w:r>
          </w:p>
        </w:tc>
        <w:tc>
          <w:tcPr>
            <w:tcW w:w="151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FB3232E">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健康状况（残疾注明残疾类别、等级）</w:t>
            </w:r>
          </w:p>
        </w:tc>
      </w:tr>
      <w:tr w14:paraId="30373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exact"/>
        </w:trPr>
        <w:tc>
          <w:tcPr>
            <w:tcW w:w="69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509935A">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21"/>
                <w:szCs w:val="21"/>
              </w:rPr>
            </w:pPr>
          </w:p>
        </w:tc>
        <w:tc>
          <w:tcPr>
            <w:tcW w:w="89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D628E22">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21"/>
                <w:szCs w:val="21"/>
              </w:rPr>
            </w:pPr>
          </w:p>
        </w:tc>
        <w:tc>
          <w:tcPr>
            <w:tcW w:w="1736"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3E6E451E">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21"/>
                <w:szCs w:val="21"/>
              </w:rPr>
            </w:pPr>
          </w:p>
        </w:tc>
        <w:tc>
          <w:tcPr>
            <w:tcW w:w="1546"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48C36BBC">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21"/>
                <w:szCs w:val="21"/>
              </w:rPr>
            </w:pPr>
          </w:p>
        </w:tc>
        <w:tc>
          <w:tcPr>
            <w:tcW w:w="2541"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66A64D2A">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21"/>
                <w:szCs w:val="21"/>
              </w:rPr>
            </w:pPr>
          </w:p>
        </w:tc>
        <w:tc>
          <w:tcPr>
            <w:tcW w:w="151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13E3522">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21"/>
                <w:szCs w:val="21"/>
              </w:rPr>
            </w:pPr>
          </w:p>
        </w:tc>
      </w:tr>
      <w:tr w14:paraId="0260F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exact"/>
        </w:trPr>
        <w:tc>
          <w:tcPr>
            <w:tcW w:w="69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5A94C7C">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21"/>
                <w:szCs w:val="21"/>
              </w:rPr>
            </w:pPr>
          </w:p>
        </w:tc>
        <w:tc>
          <w:tcPr>
            <w:tcW w:w="89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183C143">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21"/>
                <w:szCs w:val="21"/>
              </w:rPr>
            </w:pPr>
          </w:p>
        </w:tc>
        <w:tc>
          <w:tcPr>
            <w:tcW w:w="1736"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44B06531">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21"/>
                <w:szCs w:val="21"/>
              </w:rPr>
            </w:pPr>
          </w:p>
        </w:tc>
        <w:tc>
          <w:tcPr>
            <w:tcW w:w="1546"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5789CB30">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21"/>
                <w:szCs w:val="21"/>
              </w:rPr>
            </w:pPr>
          </w:p>
        </w:tc>
        <w:tc>
          <w:tcPr>
            <w:tcW w:w="2541"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0EF2F4B2">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21"/>
                <w:szCs w:val="21"/>
              </w:rPr>
            </w:pPr>
          </w:p>
        </w:tc>
        <w:tc>
          <w:tcPr>
            <w:tcW w:w="151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D631AFA">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21"/>
                <w:szCs w:val="21"/>
              </w:rPr>
            </w:pPr>
          </w:p>
        </w:tc>
      </w:tr>
      <w:tr w14:paraId="6E818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exact"/>
        </w:trPr>
        <w:tc>
          <w:tcPr>
            <w:tcW w:w="69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3878F92">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21"/>
                <w:szCs w:val="21"/>
              </w:rPr>
            </w:pPr>
          </w:p>
        </w:tc>
        <w:tc>
          <w:tcPr>
            <w:tcW w:w="89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CB833CD">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21"/>
                <w:szCs w:val="21"/>
              </w:rPr>
            </w:pPr>
          </w:p>
        </w:tc>
        <w:tc>
          <w:tcPr>
            <w:tcW w:w="1736"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217EFF0C">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21"/>
                <w:szCs w:val="21"/>
              </w:rPr>
            </w:pPr>
          </w:p>
        </w:tc>
        <w:tc>
          <w:tcPr>
            <w:tcW w:w="1546"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73E2D6CF">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21"/>
                <w:szCs w:val="21"/>
              </w:rPr>
            </w:pPr>
          </w:p>
        </w:tc>
        <w:tc>
          <w:tcPr>
            <w:tcW w:w="2541"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7BD27C0C">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21"/>
                <w:szCs w:val="21"/>
              </w:rPr>
            </w:pPr>
          </w:p>
        </w:tc>
        <w:tc>
          <w:tcPr>
            <w:tcW w:w="151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6A0226E">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21"/>
                <w:szCs w:val="21"/>
              </w:rPr>
            </w:pPr>
          </w:p>
        </w:tc>
      </w:tr>
      <w:tr w14:paraId="0DAA6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exact"/>
        </w:trPr>
        <w:tc>
          <w:tcPr>
            <w:tcW w:w="69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7C206D8">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21"/>
                <w:szCs w:val="21"/>
              </w:rPr>
            </w:pPr>
          </w:p>
        </w:tc>
        <w:tc>
          <w:tcPr>
            <w:tcW w:w="89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0B9A358">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21"/>
                <w:szCs w:val="21"/>
              </w:rPr>
            </w:pPr>
          </w:p>
        </w:tc>
        <w:tc>
          <w:tcPr>
            <w:tcW w:w="1736"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2A653493">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21"/>
                <w:szCs w:val="21"/>
              </w:rPr>
            </w:pPr>
          </w:p>
        </w:tc>
        <w:tc>
          <w:tcPr>
            <w:tcW w:w="1546"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120506B9">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21"/>
                <w:szCs w:val="21"/>
              </w:rPr>
            </w:pPr>
          </w:p>
        </w:tc>
        <w:tc>
          <w:tcPr>
            <w:tcW w:w="2541"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7FF0690C">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21"/>
                <w:szCs w:val="21"/>
              </w:rPr>
            </w:pPr>
          </w:p>
        </w:tc>
        <w:tc>
          <w:tcPr>
            <w:tcW w:w="151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2B8B9D4">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21"/>
                <w:szCs w:val="21"/>
              </w:rPr>
            </w:pPr>
          </w:p>
        </w:tc>
      </w:tr>
      <w:tr w14:paraId="49E91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exact"/>
        </w:trPr>
        <w:tc>
          <w:tcPr>
            <w:tcW w:w="1580"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7CDBC82A">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返贫原因</w:t>
            </w:r>
          </w:p>
        </w:tc>
        <w:tc>
          <w:tcPr>
            <w:tcW w:w="7337" w:type="dxa"/>
            <w:gridSpan w:val="10"/>
            <w:tcBorders>
              <w:top w:val="single" w:color="auto" w:sz="4" w:space="0"/>
              <w:left w:val="single" w:color="auto" w:sz="4" w:space="0"/>
              <w:bottom w:val="single" w:color="auto" w:sz="4" w:space="0"/>
              <w:right w:val="single" w:color="auto" w:sz="4" w:space="0"/>
              <w:tl2br w:val="nil"/>
              <w:tr2bl w:val="nil"/>
            </w:tcBorders>
            <w:noWrap w:val="0"/>
            <w:vAlign w:val="center"/>
          </w:tcPr>
          <w:p w14:paraId="3CE0E886">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21"/>
                <w:szCs w:val="21"/>
              </w:rPr>
            </w:pPr>
          </w:p>
        </w:tc>
      </w:tr>
      <w:tr w14:paraId="0395D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exact"/>
        </w:trPr>
        <w:tc>
          <w:tcPr>
            <w:tcW w:w="1580" w:type="dxa"/>
            <w:gridSpan w:val="2"/>
            <w:tcBorders>
              <w:top w:val="single" w:color="auto" w:sz="4" w:space="0"/>
              <w:left w:val="single" w:color="auto" w:sz="4" w:space="0"/>
              <w:bottom w:val="single" w:color="auto" w:sz="4" w:space="0"/>
              <w:right w:val="single" w:color="auto" w:sz="4" w:space="0"/>
              <w:tl2br w:val="nil"/>
              <w:tr2bl w:val="nil"/>
            </w:tcBorders>
            <w:noWrap w:val="0"/>
            <w:vAlign w:val="top"/>
          </w:tcPr>
          <w:p w14:paraId="719B1351">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人均纯收入</w:t>
            </w:r>
          </w:p>
        </w:tc>
        <w:tc>
          <w:tcPr>
            <w:tcW w:w="7337" w:type="dxa"/>
            <w:gridSpan w:val="10"/>
            <w:tcBorders>
              <w:top w:val="single" w:color="auto" w:sz="4" w:space="0"/>
              <w:left w:val="single" w:color="auto" w:sz="4" w:space="0"/>
              <w:bottom w:val="single" w:color="auto" w:sz="4" w:space="0"/>
              <w:right w:val="single" w:color="auto" w:sz="4" w:space="0"/>
              <w:tl2br w:val="nil"/>
              <w:tr2bl w:val="nil"/>
            </w:tcBorders>
            <w:noWrap w:val="0"/>
            <w:vAlign w:val="top"/>
          </w:tcPr>
          <w:p w14:paraId="70AFAE25">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21"/>
                <w:szCs w:val="21"/>
              </w:rPr>
            </w:pPr>
          </w:p>
        </w:tc>
      </w:tr>
      <w:tr w14:paraId="7FA26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exact"/>
        </w:trPr>
        <w:tc>
          <w:tcPr>
            <w:tcW w:w="1580" w:type="dxa"/>
            <w:gridSpan w:val="2"/>
            <w:tcBorders>
              <w:top w:val="single" w:color="auto" w:sz="4" w:space="0"/>
              <w:left w:val="single" w:color="auto" w:sz="4" w:space="0"/>
              <w:bottom w:val="single" w:color="auto" w:sz="4" w:space="0"/>
              <w:right w:val="single" w:color="auto" w:sz="4" w:space="0"/>
              <w:tl2br w:val="nil"/>
              <w:tr2bl w:val="nil"/>
            </w:tcBorders>
            <w:noWrap w:val="0"/>
            <w:vAlign w:val="top"/>
          </w:tcPr>
          <w:p w14:paraId="3331A211">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申请</w:t>
            </w:r>
            <w:r>
              <w:rPr>
                <w:rFonts w:hint="eastAsia" w:ascii="仿宋_GB2312" w:hAnsi="仿宋_GB2312" w:eastAsia="仿宋_GB2312" w:cs="仿宋_GB2312"/>
                <w:color w:val="auto"/>
                <w:sz w:val="21"/>
                <w:szCs w:val="21"/>
                <w:lang w:eastAsia="zh-CN"/>
              </w:rPr>
              <w:t>资金（元）</w:t>
            </w:r>
          </w:p>
        </w:tc>
        <w:tc>
          <w:tcPr>
            <w:tcW w:w="7337" w:type="dxa"/>
            <w:gridSpan w:val="10"/>
            <w:tcBorders>
              <w:top w:val="single" w:color="auto" w:sz="4" w:space="0"/>
              <w:left w:val="single" w:color="auto" w:sz="4" w:space="0"/>
              <w:bottom w:val="single" w:color="auto" w:sz="4" w:space="0"/>
              <w:right w:val="single" w:color="auto" w:sz="4" w:space="0"/>
              <w:tl2br w:val="nil"/>
              <w:tr2bl w:val="nil"/>
            </w:tcBorders>
            <w:noWrap w:val="0"/>
            <w:vAlign w:val="top"/>
          </w:tcPr>
          <w:p w14:paraId="4F70FC9E">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21"/>
                <w:szCs w:val="21"/>
              </w:rPr>
            </w:pPr>
          </w:p>
          <w:p w14:paraId="36DBF753">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21"/>
                <w:szCs w:val="21"/>
              </w:rPr>
            </w:pPr>
          </w:p>
        </w:tc>
      </w:tr>
      <w:tr w14:paraId="6163B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exact"/>
        </w:trPr>
        <w:tc>
          <w:tcPr>
            <w:tcW w:w="1580" w:type="dxa"/>
            <w:gridSpan w:val="2"/>
            <w:tcBorders>
              <w:top w:val="single" w:color="auto" w:sz="4" w:space="0"/>
              <w:left w:val="single" w:color="auto" w:sz="4" w:space="0"/>
              <w:bottom w:val="single" w:color="auto" w:sz="4" w:space="0"/>
              <w:right w:val="single" w:color="auto" w:sz="4" w:space="0"/>
              <w:tl2br w:val="nil"/>
              <w:tr2bl w:val="nil"/>
            </w:tcBorders>
            <w:noWrap w:val="0"/>
            <w:vAlign w:val="top"/>
          </w:tcPr>
          <w:p w14:paraId="3372DEF8">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户名及卡号</w:t>
            </w:r>
          </w:p>
        </w:tc>
        <w:tc>
          <w:tcPr>
            <w:tcW w:w="7337" w:type="dxa"/>
            <w:gridSpan w:val="10"/>
            <w:tcBorders>
              <w:top w:val="single" w:color="auto" w:sz="4" w:space="0"/>
              <w:left w:val="single" w:color="auto" w:sz="4" w:space="0"/>
              <w:bottom w:val="single" w:color="auto" w:sz="4" w:space="0"/>
              <w:right w:val="single" w:color="auto" w:sz="4" w:space="0"/>
              <w:tl2br w:val="nil"/>
              <w:tr2bl w:val="nil"/>
            </w:tcBorders>
            <w:noWrap w:val="0"/>
            <w:vAlign w:val="top"/>
          </w:tcPr>
          <w:p w14:paraId="2B1013ED">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21"/>
                <w:szCs w:val="21"/>
              </w:rPr>
            </w:pPr>
          </w:p>
          <w:p w14:paraId="4FD3E3C1">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21"/>
                <w:szCs w:val="21"/>
              </w:rPr>
            </w:pPr>
          </w:p>
          <w:p w14:paraId="55EC7D5F">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年   月    日</w:t>
            </w:r>
          </w:p>
        </w:tc>
      </w:tr>
      <w:tr w14:paraId="2050B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1" w:hRule="exact"/>
        </w:trPr>
        <w:tc>
          <w:tcPr>
            <w:tcW w:w="1580"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33730282">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hint="eastAsia" w:ascii="仿宋_GB2312" w:hAnsi="仿宋_GB2312" w:eastAsia="仿宋_GB2312" w:cs="仿宋_GB2312"/>
                <w:color w:val="auto"/>
                <w:sz w:val="21"/>
                <w:szCs w:val="21"/>
              </w:rPr>
            </w:pPr>
            <w:r>
              <w:rPr>
                <w:rFonts w:hint="eastAsia" w:ascii="方正仿宋_GBK" w:hAnsi="方正仿宋_GBK" w:eastAsia="方正仿宋_GBK" w:cs="方正仿宋_GBK"/>
                <w:b w:val="0"/>
                <w:i w:val="0"/>
                <w:caps w:val="0"/>
                <w:color w:val="auto"/>
                <w:spacing w:val="0"/>
                <w:w w:val="100"/>
                <w:sz w:val="21"/>
                <w:szCs w:val="21"/>
              </w:rPr>
              <w:t>村初审意见</w:t>
            </w:r>
          </w:p>
        </w:tc>
        <w:tc>
          <w:tcPr>
            <w:tcW w:w="3176" w:type="dxa"/>
            <w:gridSpan w:val="4"/>
            <w:tcBorders>
              <w:top w:val="single" w:color="auto" w:sz="4" w:space="0"/>
              <w:left w:val="single" w:color="auto" w:sz="4" w:space="0"/>
              <w:bottom w:val="single" w:color="auto" w:sz="4" w:space="0"/>
              <w:right w:val="single" w:color="auto" w:sz="4" w:space="0"/>
              <w:tl2br w:val="nil"/>
              <w:tr2bl w:val="nil"/>
            </w:tcBorders>
            <w:noWrap w:val="0"/>
            <w:vAlign w:val="top"/>
          </w:tcPr>
          <w:p w14:paraId="296DC1AB">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baseline"/>
              <w:rPr>
                <w:rFonts w:hint="eastAsia" w:ascii="方正仿宋_GBK" w:hAnsi="方正仿宋_GBK" w:eastAsia="方正仿宋_GBK" w:cs="方正仿宋_GBK"/>
                <w:b w:val="0"/>
                <w:i w:val="0"/>
                <w:caps w:val="0"/>
                <w:color w:val="auto"/>
                <w:spacing w:val="0"/>
                <w:w w:val="100"/>
                <w:sz w:val="21"/>
                <w:szCs w:val="21"/>
              </w:rPr>
            </w:pPr>
          </w:p>
          <w:p w14:paraId="1530D28B">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420" w:firstLineChars="200"/>
              <w:jc w:val="both"/>
              <w:textAlignment w:val="baseline"/>
              <w:rPr>
                <w:rFonts w:hint="eastAsia" w:ascii="方正仿宋_GBK" w:hAnsi="方正仿宋_GBK" w:eastAsia="方正仿宋_GBK" w:cs="方正仿宋_GBK"/>
                <w:b w:val="0"/>
                <w:i w:val="0"/>
                <w:caps w:val="0"/>
                <w:color w:val="auto"/>
                <w:spacing w:val="0"/>
                <w:w w:val="100"/>
                <w:sz w:val="21"/>
                <w:szCs w:val="21"/>
              </w:rPr>
            </w:pPr>
            <w:r>
              <w:rPr>
                <w:rFonts w:hint="eastAsia" w:ascii="方正仿宋_GBK" w:hAnsi="方正仿宋_GBK" w:eastAsia="方正仿宋_GBK" w:cs="方正仿宋_GBK"/>
                <w:b w:val="0"/>
                <w:i w:val="0"/>
                <w:caps w:val="0"/>
                <w:color w:val="auto"/>
                <w:spacing w:val="0"/>
                <w:w w:val="100"/>
                <w:sz w:val="21"/>
                <w:szCs w:val="21"/>
              </w:rPr>
              <w:t xml:space="preserve">签字（盖章）：     </w:t>
            </w:r>
          </w:p>
          <w:p w14:paraId="24F99C89">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840" w:firstLineChars="400"/>
              <w:jc w:val="both"/>
              <w:textAlignment w:val="baseline"/>
              <w:rPr>
                <w:rFonts w:hint="eastAsia" w:ascii="仿宋_GB2312" w:hAnsi="仿宋_GB2312" w:eastAsia="仿宋_GB2312" w:cs="仿宋_GB2312"/>
                <w:color w:val="auto"/>
                <w:sz w:val="21"/>
                <w:szCs w:val="21"/>
              </w:rPr>
            </w:pPr>
            <w:r>
              <w:rPr>
                <w:rFonts w:hint="eastAsia" w:ascii="方正仿宋_GBK" w:hAnsi="方正仿宋_GBK" w:eastAsia="方正仿宋_GBK" w:cs="方正仿宋_GBK"/>
                <w:b w:val="0"/>
                <w:i w:val="0"/>
                <w:caps w:val="0"/>
                <w:color w:val="auto"/>
                <w:spacing w:val="0"/>
                <w:w w:val="100"/>
                <w:sz w:val="21"/>
                <w:szCs w:val="21"/>
              </w:rPr>
              <w:t xml:space="preserve"> 年   月   日</w:t>
            </w:r>
          </w:p>
        </w:tc>
        <w:tc>
          <w:tcPr>
            <w:tcW w:w="1188"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46263755">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hint="eastAsia" w:ascii="仿宋_GB2312" w:hAnsi="仿宋_GB2312" w:eastAsia="仿宋_GB2312" w:cs="仿宋_GB2312"/>
                <w:color w:val="auto"/>
                <w:sz w:val="21"/>
                <w:szCs w:val="21"/>
              </w:rPr>
            </w:pPr>
            <w:r>
              <w:rPr>
                <w:rFonts w:hint="eastAsia" w:ascii="方正仿宋_GBK" w:hAnsi="方正仿宋_GBK" w:eastAsia="方正仿宋_GBK" w:cs="方正仿宋_GBK"/>
                <w:b w:val="0"/>
                <w:i w:val="0"/>
                <w:caps w:val="0"/>
                <w:color w:val="auto"/>
                <w:spacing w:val="0"/>
                <w:w w:val="100"/>
                <w:sz w:val="21"/>
                <w:szCs w:val="21"/>
              </w:rPr>
              <w:t>乡（镇）复审意见</w:t>
            </w:r>
          </w:p>
        </w:tc>
        <w:tc>
          <w:tcPr>
            <w:tcW w:w="2973" w:type="dxa"/>
            <w:gridSpan w:val="3"/>
            <w:tcBorders>
              <w:top w:val="single" w:color="auto" w:sz="4" w:space="0"/>
              <w:left w:val="single" w:color="auto" w:sz="4" w:space="0"/>
              <w:bottom w:val="single" w:color="auto" w:sz="4" w:space="0"/>
              <w:right w:val="single" w:color="auto" w:sz="4" w:space="0"/>
              <w:tl2br w:val="nil"/>
              <w:tr2bl w:val="nil"/>
            </w:tcBorders>
            <w:noWrap w:val="0"/>
            <w:vAlign w:val="top"/>
          </w:tcPr>
          <w:p w14:paraId="203D387E">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420" w:firstLineChars="200"/>
              <w:jc w:val="both"/>
              <w:textAlignment w:val="baseline"/>
              <w:rPr>
                <w:rFonts w:hint="eastAsia" w:ascii="方正仿宋_GBK" w:hAnsi="方正仿宋_GBK" w:eastAsia="方正仿宋_GBK" w:cs="方正仿宋_GBK"/>
                <w:b w:val="0"/>
                <w:i w:val="0"/>
                <w:caps w:val="0"/>
                <w:color w:val="auto"/>
                <w:spacing w:val="0"/>
                <w:w w:val="100"/>
                <w:sz w:val="21"/>
                <w:szCs w:val="21"/>
              </w:rPr>
            </w:pPr>
          </w:p>
          <w:p w14:paraId="3DDD60D0">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420" w:firstLineChars="200"/>
              <w:jc w:val="both"/>
              <w:textAlignment w:val="baseline"/>
              <w:rPr>
                <w:rFonts w:hint="eastAsia" w:ascii="方正仿宋_GBK" w:hAnsi="方正仿宋_GBK" w:eastAsia="方正仿宋_GBK" w:cs="方正仿宋_GBK"/>
                <w:b w:val="0"/>
                <w:i w:val="0"/>
                <w:caps w:val="0"/>
                <w:color w:val="auto"/>
                <w:spacing w:val="0"/>
                <w:w w:val="100"/>
                <w:sz w:val="21"/>
                <w:szCs w:val="21"/>
              </w:rPr>
            </w:pPr>
          </w:p>
          <w:p w14:paraId="5773E56B">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420" w:firstLineChars="200"/>
              <w:jc w:val="both"/>
              <w:textAlignment w:val="baseline"/>
              <w:rPr>
                <w:rFonts w:hint="eastAsia" w:ascii="方正仿宋_GBK" w:hAnsi="方正仿宋_GBK" w:eastAsia="方正仿宋_GBK" w:cs="方正仿宋_GBK"/>
                <w:b w:val="0"/>
                <w:i w:val="0"/>
                <w:caps w:val="0"/>
                <w:color w:val="auto"/>
                <w:spacing w:val="0"/>
                <w:w w:val="100"/>
                <w:sz w:val="21"/>
                <w:szCs w:val="21"/>
              </w:rPr>
            </w:pPr>
            <w:r>
              <w:rPr>
                <w:rFonts w:hint="eastAsia" w:ascii="方正仿宋_GBK" w:hAnsi="方正仿宋_GBK" w:eastAsia="方正仿宋_GBK" w:cs="方正仿宋_GBK"/>
                <w:b w:val="0"/>
                <w:i w:val="0"/>
                <w:caps w:val="0"/>
                <w:color w:val="auto"/>
                <w:spacing w:val="0"/>
                <w:w w:val="100"/>
                <w:sz w:val="21"/>
                <w:szCs w:val="21"/>
              </w:rPr>
              <w:t xml:space="preserve">签字（盖章）：     </w:t>
            </w:r>
          </w:p>
          <w:p w14:paraId="56DF2A34">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420" w:firstLineChars="200"/>
              <w:jc w:val="both"/>
              <w:textAlignment w:val="baseline"/>
              <w:rPr>
                <w:rFonts w:hint="eastAsia" w:ascii="仿宋_GB2312" w:hAnsi="仿宋_GB2312" w:eastAsia="仿宋_GB2312" w:cs="仿宋_GB2312"/>
                <w:color w:val="auto"/>
                <w:sz w:val="21"/>
                <w:szCs w:val="21"/>
              </w:rPr>
            </w:pPr>
            <w:r>
              <w:rPr>
                <w:rFonts w:hint="eastAsia" w:ascii="方正仿宋_GBK" w:hAnsi="方正仿宋_GBK" w:eastAsia="方正仿宋_GBK" w:cs="方正仿宋_GBK"/>
                <w:b w:val="0"/>
                <w:i w:val="0"/>
                <w:caps w:val="0"/>
                <w:color w:val="auto"/>
                <w:spacing w:val="0"/>
                <w:w w:val="100"/>
                <w:sz w:val="21"/>
                <w:szCs w:val="21"/>
              </w:rPr>
              <w:t xml:space="preserve">      年   月   日</w:t>
            </w:r>
          </w:p>
        </w:tc>
      </w:tr>
      <w:tr w14:paraId="29A29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6" w:hRule="exact"/>
        </w:trPr>
        <w:tc>
          <w:tcPr>
            <w:tcW w:w="1580"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483F4BE8">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hint="eastAsia" w:ascii="仿宋_GB2312" w:hAnsi="仿宋_GB2312" w:eastAsia="仿宋_GB2312" w:cs="仿宋_GB2312"/>
                <w:color w:val="auto"/>
                <w:sz w:val="21"/>
                <w:szCs w:val="21"/>
              </w:rPr>
            </w:pPr>
            <w:r>
              <w:rPr>
                <w:rFonts w:hint="eastAsia" w:ascii="方正仿宋_GBK" w:hAnsi="方正仿宋_GBK" w:eastAsia="方正仿宋_GBK" w:cs="方正仿宋_GBK"/>
                <w:b w:val="0"/>
                <w:i w:val="0"/>
                <w:caps w:val="0"/>
                <w:color w:val="auto"/>
                <w:spacing w:val="0"/>
                <w:w w:val="100"/>
                <w:sz w:val="21"/>
                <w:szCs w:val="21"/>
                <w:lang w:eastAsia="zh-CN"/>
              </w:rPr>
              <w:t>县科学技术和农业畜牧局</w:t>
            </w:r>
            <w:r>
              <w:rPr>
                <w:rFonts w:hint="eastAsia" w:ascii="方正仿宋_GBK" w:hAnsi="方正仿宋_GBK" w:eastAsia="方正仿宋_GBK" w:cs="方正仿宋_GBK"/>
                <w:b w:val="0"/>
                <w:i w:val="0"/>
                <w:caps w:val="0"/>
                <w:color w:val="auto"/>
                <w:spacing w:val="0"/>
                <w:w w:val="100"/>
                <w:sz w:val="21"/>
                <w:szCs w:val="21"/>
              </w:rPr>
              <w:t>审核意见</w:t>
            </w:r>
          </w:p>
        </w:tc>
        <w:tc>
          <w:tcPr>
            <w:tcW w:w="3176" w:type="dxa"/>
            <w:gridSpan w:val="4"/>
            <w:tcBorders>
              <w:top w:val="single" w:color="auto" w:sz="4" w:space="0"/>
              <w:left w:val="single" w:color="auto" w:sz="4" w:space="0"/>
              <w:bottom w:val="single" w:color="auto" w:sz="4" w:space="0"/>
              <w:right w:val="single" w:color="auto" w:sz="4" w:space="0"/>
              <w:tl2br w:val="nil"/>
              <w:tr2bl w:val="nil"/>
            </w:tcBorders>
            <w:noWrap w:val="0"/>
            <w:vAlign w:val="top"/>
          </w:tcPr>
          <w:p w14:paraId="65F53B9C">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baseline"/>
              <w:rPr>
                <w:rFonts w:hint="eastAsia" w:ascii="方正仿宋_GBK" w:hAnsi="方正仿宋_GBK" w:eastAsia="方正仿宋_GBK" w:cs="方正仿宋_GBK"/>
                <w:b w:val="0"/>
                <w:i w:val="0"/>
                <w:caps w:val="0"/>
                <w:color w:val="auto"/>
                <w:spacing w:val="0"/>
                <w:w w:val="100"/>
                <w:sz w:val="21"/>
                <w:szCs w:val="21"/>
              </w:rPr>
            </w:pPr>
          </w:p>
          <w:p w14:paraId="3F1B8386">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420" w:firstLineChars="200"/>
              <w:jc w:val="both"/>
              <w:textAlignment w:val="baseline"/>
              <w:rPr>
                <w:rFonts w:hint="eastAsia" w:ascii="方正仿宋_GBK" w:hAnsi="方正仿宋_GBK" w:eastAsia="方正仿宋_GBK" w:cs="方正仿宋_GBK"/>
                <w:b w:val="0"/>
                <w:i w:val="0"/>
                <w:caps w:val="0"/>
                <w:color w:val="auto"/>
                <w:spacing w:val="0"/>
                <w:w w:val="100"/>
                <w:sz w:val="21"/>
                <w:szCs w:val="21"/>
              </w:rPr>
            </w:pPr>
            <w:r>
              <w:rPr>
                <w:rFonts w:hint="eastAsia" w:ascii="方正仿宋_GBK" w:hAnsi="方正仿宋_GBK" w:eastAsia="方正仿宋_GBK" w:cs="方正仿宋_GBK"/>
                <w:b w:val="0"/>
                <w:i w:val="0"/>
                <w:caps w:val="0"/>
                <w:color w:val="auto"/>
                <w:spacing w:val="0"/>
                <w:w w:val="100"/>
                <w:sz w:val="21"/>
                <w:szCs w:val="21"/>
              </w:rPr>
              <w:t xml:space="preserve">签字（盖章）：     </w:t>
            </w:r>
          </w:p>
          <w:p w14:paraId="4F906B18">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1050" w:firstLineChars="500"/>
              <w:jc w:val="both"/>
              <w:textAlignment w:val="baseline"/>
              <w:rPr>
                <w:rFonts w:hint="eastAsia" w:ascii="仿宋_GB2312" w:hAnsi="仿宋_GB2312" w:eastAsia="仿宋_GB2312" w:cs="仿宋_GB2312"/>
                <w:color w:val="auto"/>
                <w:sz w:val="21"/>
                <w:szCs w:val="21"/>
              </w:rPr>
            </w:pPr>
            <w:r>
              <w:rPr>
                <w:rFonts w:hint="eastAsia" w:ascii="方正仿宋_GBK" w:hAnsi="方正仿宋_GBK" w:eastAsia="方正仿宋_GBK" w:cs="方正仿宋_GBK"/>
                <w:b w:val="0"/>
                <w:i w:val="0"/>
                <w:caps w:val="0"/>
                <w:color w:val="auto"/>
                <w:spacing w:val="0"/>
                <w:w w:val="100"/>
                <w:sz w:val="21"/>
                <w:szCs w:val="21"/>
              </w:rPr>
              <w:t xml:space="preserve"> 年   月    日</w:t>
            </w:r>
          </w:p>
        </w:tc>
        <w:tc>
          <w:tcPr>
            <w:tcW w:w="1188"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44E741C3">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hint="eastAsia" w:ascii="仿宋_GB2312" w:hAnsi="仿宋_GB2312" w:eastAsia="仿宋_GB2312" w:cs="仿宋_GB2312"/>
                <w:color w:val="auto"/>
                <w:sz w:val="21"/>
                <w:szCs w:val="21"/>
              </w:rPr>
            </w:pPr>
            <w:r>
              <w:rPr>
                <w:rFonts w:hint="eastAsia" w:ascii="方正仿宋_GBK" w:hAnsi="方正仿宋_GBK" w:eastAsia="方正仿宋_GBK" w:cs="方正仿宋_GBK"/>
                <w:b w:val="0"/>
                <w:i w:val="0"/>
                <w:caps w:val="0"/>
                <w:color w:val="auto"/>
                <w:spacing w:val="0"/>
                <w:w w:val="100"/>
                <w:sz w:val="21"/>
                <w:szCs w:val="21"/>
              </w:rPr>
              <w:t>红十字会审核意见</w:t>
            </w:r>
          </w:p>
        </w:tc>
        <w:tc>
          <w:tcPr>
            <w:tcW w:w="2973" w:type="dxa"/>
            <w:gridSpan w:val="3"/>
            <w:tcBorders>
              <w:top w:val="single" w:color="auto" w:sz="4" w:space="0"/>
              <w:left w:val="single" w:color="auto" w:sz="4" w:space="0"/>
              <w:bottom w:val="single" w:color="auto" w:sz="4" w:space="0"/>
              <w:right w:val="single" w:color="auto" w:sz="4" w:space="0"/>
              <w:tl2br w:val="nil"/>
              <w:tr2bl w:val="nil"/>
            </w:tcBorders>
            <w:noWrap w:val="0"/>
            <w:vAlign w:val="top"/>
          </w:tcPr>
          <w:p w14:paraId="637902B8">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baseline"/>
              <w:rPr>
                <w:rFonts w:hint="eastAsia" w:ascii="方正仿宋_GBK" w:hAnsi="方正仿宋_GBK" w:eastAsia="方正仿宋_GBK" w:cs="方正仿宋_GBK"/>
                <w:b w:val="0"/>
                <w:i w:val="0"/>
                <w:caps w:val="0"/>
                <w:color w:val="auto"/>
                <w:spacing w:val="0"/>
                <w:w w:val="100"/>
                <w:sz w:val="21"/>
                <w:szCs w:val="21"/>
              </w:rPr>
            </w:pPr>
          </w:p>
          <w:p w14:paraId="0293471B">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420" w:firstLineChars="200"/>
              <w:jc w:val="both"/>
              <w:textAlignment w:val="baseline"/>
              <w:rPr>
                <w:rFonts w:hint="eastAsia" w:ascii="方正仿宋_GBK" w:hAnsi="方正仿宋_GBK" w:eastAsia="方正仿宋_GBK" w:cs="方正仿宋_GBK"/>
                <w:b w:val="0"/>
                <w:i w:val="0"/>
                <w:caps w:val="0"/>
                <w:color w:val="auto"/>
                <w:spacing w:val="0"/>
                <w:w w:val="100"/>
                <w:sz w:val="21"/>
                <w:szCs w:val="21"/>
              </w:rPr>
            </w:pPr>
            <w:r>
              <w:rPr>
                <w:rFonts w:hint="eastAsia" w:ascii="方正仿宋_GBK" w:hAnsi="方正仿宋_GBK" w:eastAsia="方正仿宋_GBK" w:cs="方正仿宋_GBK"/>
                <w:b w:val="0"/>
                <w:i w:val="0"/>
                <w:caps w:val="0"/>
                <w:color w:val="auto"/>
                <w:spacing w:val="0"/>
                <w:w w:val="100"/>
                <w:sz w:val="21"/>
                <w:szCs w:val="21"/>
              </w:rPr>
              <w:t xml:space="preserve">签字（盖章）：     </w:t>
            </w:r>
          </w:p>
          <w:p w14:paraId="4B706178">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1050" w:firstLineChars="500"/>
              <w:jc w:val="both"/>
              <w:textAlignment w:val="baseline"/>
              <w:rPr>
                <w:rFonts w:hint="eastAsia" w:ascii="仿宋_GB2312" w:hAnsi="仿宋_GB2312" w:eastAsia="仿宋_GB2312" w:cs="仿宋_GB2312"/>
                <w:color w:val="auto"/>
                <w:sz w:val="21"/>
                <w:szCs w:val="21"/>
              </w:rPr>
            </w:pPr>
            <w:r>
              <w:rPr>
                <w:rFonts w:hint="eastAsia" w:ascii="方正仿宋_GBK" w:hAnsi="方正仿宋_GBK" w:eastAsia="方正仿宋_GBK" w:cs="方正仿宋_GBK"/>
                <w:b w:val="0"/>
                <w:i w:val="0"/>
                <w:caps w:val="0"/>
                <w:color w:val="auto"/>
                <w:spacing w:val="0"/>
                <w:w w:val="100"/>
                <w:sz w:val="21"/>
                <w:szCs w:val="21"/>
              </w:rPr>
              <w:t>年   月   日</w:t>
            </w:r>
          </w:p>
        </w:tc>
      </w:tr>
    </w:tbl>
    <w:p w14:paraId="1B140189">
      <w:pPr>
        <w:keepNext w:val="0"/>
        <w:keepLines w:val="0"/>
        <w:pageBreakBefore w:val="0"/>
        <w:widowControl w:val="0"/>
        <w:kinsoku/>
        <w:wordWrap/>
        <w:overflowPunct/>
        <w:topLinePunct w:val="0"/>
        <w:autoSpaceDE/>
        <w:autoSpaceDN/>
        <w:bidi w:val="0"/>
        <w:adjustRightInd/>
        <w:snapToGrid/>
        <w:textAlignment w:val="auto"/>
        <w:rPr>
          <w:rFonts w:hint="eastAsia" w:ascii="仿宋_GB2312" w:hAnsi="仿宋_GB2312" w:eastAsia="仿宋_GB2312" w:cs="仿宋_GB2312"/>
          <w:sz w:val="32"/>
          <w:szCs w:val="32"/>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FF9B8C6-2BD2-4973-A142-F1DDF5DA33F8}"/>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embedRegular r:id="rId2" w:fontKey="{B159C6C8-E6C1-402D-9956-6B950F75384A}"/>
  </w:font>
  <w:font w:name="方正小标宋_GBK">
    <w:panose1 w:val="02000000000000000000"/>
    <w:charset w:val="86"/>
    <w:family w:val="auto"/>
    <w:pitch w:val="default"/>
    <w:sig w:usb0="A00002BF" w:usb1="38CF7CFA" w:usb2="00082016" w:usb3="00000000" w:csb0="00040001" w:csb1="00000000"/>
    <w:embedRegular r:id="rId3" w:fontKey="{BF9570B4-6BA8-45A2-B047-B093B3EC6AA4}"/>
  </w:font>
  <w:font w:name="方正仿宋_GBK">
    <w:altName w:val="微软雅黑"/>
    <w:panose1 w:val="02000000000000000000"/>
    <w:charset w:val="86"/>
    <w:family w:val="auto"/>
    <w:pitch w:val="default"/>
    <w:sig w:usb0="00000000" w:usb1="00000000" w:usb2="00082016" w:usb3="00000000" w:csb0="00040001" w:csb1="00000000"/>
    <w:embedRegular r:id="rId4" w:fontKey="{DD1E47E0-88CB-4288-A254-BDF7C4408E1B}"/>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1C0A0A"/>
    <w:multiLevelType w:val="singleLevel"/>
    <w:tmpl w:val="A51C0A0A"/>
    <w:lvl w:ilvl="0" w:tentative="0">
      <w:start w:val="6"/>
      <w:numFmt w:val="chineseCounting"/>
      <w:suff w:val="space"/>
      <w:lvlText w:val="第%1章"/>
      <w:lvlJc w:val="left"/>
      <w:rPr>
        <w:rFonts w:hint="eastAsia"/>
      </w:rPr>
    </w:lvl>
  </w:abstractNum>
  <w:abstractNum w:abstractNumId="1">
    <w:nsid w:val="A5E9E226"/>
    <w:multiLevelType w:val="singleLevel"/>
    <w:tmpl w:val="A5E9E226"/>
    <w:lvl w:ilvl="0" w:tentative="0">
      <w:start w:val="7"/>
      <w:numFmt w:val="chineseCounting"/>
      <w:suff w:val="space"/>
      <w:lvlText w:val="第%1章"/>
      <w:lvlJc w:val="left"/>
      <w:rPr>
        <w:rFonts w:hint="eastAsia"/>
      </w:rPr>
    </w:lvl>
  </w:abstractNum>
  <w:abstractNum w:abstractNumId="2">
    <w:nsid w:val="0BF94684"/>
    <w:multiLevelType w:val="singleLevel"/>
    <w:tmpl w:val="0BF94684"/>
    <w:lvl w:ilvl="0" w:tentative="0">
      <w:start w:val="8"/>
      <w:numFmt w:val="chineseCounting"/>
      <w:suff w:val="space"/>
      <w:lvlText w:val="第%1章"/>
      <w:lvlJc w:val="left"/>
      <w:rPr>
        <w:rFonts w:hint="eastAsia"/>
      </w:rPr>
    </w:lvl>
  </w:abstractNum>
  <w:abstractNum w:abstractNumId="3">
    <w:nsid w:val="1591E4E7"/>
    <w:multiLevelType w:val="singleLevel"/>
    <w:tmpl w:val="1591E4E7"/>
    <w:lvl w:ilvl="0" w:tentative="0">
      <w:start w:val="1"/>
      <w:numFmt w:val="chineseCounting"/>
      <w:suff w:val="space"/>
      <w:lvlText w:val="第%1章"/>
      <w:lvlJc w:val="left"/>
      <w:rPr>
        <w:rFonts w:hint="eastAsia"/>
      </w:rPr>
    </w:lvl>
  </w:abstractNum>
  <w:abstractNum w:abstractNumId="4">
    <w:nsid w:val="50DD5057"/>
    <w:multiLevelType w:val="singleLevel"/>
    <w:tmpl w:val="50DD5057"/>
    <w:lvl w:ilvl="0" w:tentative="0">
      <w:start w:val="4"/>
      <w:numFmt w:val="chineseCounting"/>
      <w:suff w:val="space"/>
      <w:lvlText w:val="第%1章"/>
      <w:lvlJc w:val="left"/>
      <w:rPr>
        <w:rFonts w:hint="eastAsia"/>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E6B1E"/>
    <w:rsid w:val="01C5178B"/>
    <w:rsid w:val="0AB37609"/>
    <w:rsid w:val="0D251372"/>
    <w:rsid w:val="270A6C51"/>
    <w:rsid w:val="709652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3161</Words>
  <Characters>3253</Characters>
  <Lines>0</Lines>
  <Paragraphs>0</Paragraphs>
  <TotalTime>6</TotalTime>
  <ScaleCrop>false</ScaleCrop>
  <LinksUpToDate>false</LinksUpToDate>
  <CharactersWithSpaces>3336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2026-08-17T03:12:00Z</dcterms:created>
  <dc:creator>Administrator</dc:creator>
  <cp:lastModifiedBy>木子吖</cp:lastModifiedBy>
  <dcterms:modified xsi:type="dcterms:W3CDTF">2026-09-09T09:20:16Z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eyJoZGlkIjoiYTIyZThmNDg3ZjhlOTM2MTE2MzFiMjY1Njk2ZDE1ZjkiLCJ1c2VySWQiOiIzODE2MjQ4MzYifQ==</vt:lpwstr>
  </property>
  <property fmtid="{D5CDD505-2E9C-101B-9397-08002B2CF9AE}" pid="4" name="ICV">
    <vt:lpwstr>C9838F28F0A04655A31ACDBC29A9A0C8_12</vt:lpwstr>
  </property>
</Properties>
</file>