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C116E">
      <w:pPr>
        <w:pStyle w:val="17"/>
        <w:widowControl/>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壤塘县水预算管理办法（试行）</w:t>
      </w:r>
    </w:p>
    <w:p w14:paraId="7C95631A">
      <w:pPr>
        <w:pStyle w:val="17"/>
        <w:widowControl/>
        <w:rPr>
          <w:rFonts w:hint="eastAsia" w:ascii="仿宋" w:hAnsi="仿宋" w:eastAsia="仿宋" w:cs="仿宋"/>
        </w:rPr>
      </w:pPr>
    </w:p>
    <w:p w14:paraId="0A07DADA">
      <w:pPr>
        <w:pStyle w:val="17"/>
        <w:widowControl/>
        <w:rPr>
          <w:rFonts w:hint="eastAsia" w:ascii="仿宋" w:hAnsi="仿宋" w:eastAsia="仿宋" w:cs="仿宋"/>
        </w:rPr>
      </w:pPr>
    </w:p>
    <w:p w14:paraId="6A63A127">
      <w:pPr>
        <w:pStyle w:val="2"/>
        <w:widowControl/>
        <w:numPr>
          <w:ilvl w:val="0"/>
          <w:numId w:val="1"/>
        </w:numPr>
        <w:rPr>
          <w:rFonts w:hint="eastAsia" w:ascii="黑体" w:hAnsi="黑体" w:cs="黑体"/>
        </w:rPr>
      </w:pPr>
      <w:r>
        <w:rPr>
          <w:rFonts w:hint="eastAsia" w:ascii="黑体" w:hAnsi="黑体" w:cs="黑体"/>
        </w:rPr>
        <w:t xml:space="preserve"> 总则</w:t>
      </w:r>
    </w:p>
    <w:p w14:paraId="0B2A4BB5">
      <w:pPr>
        <w:ind w:firstLine="480"/>
      </w:pPr>
    </w:p>
    <w:p w14:paraId="70A71FDD">
      <w:pPr>
        <w:pStyle w:val="12"/>
        <w:widowControl/>
        <w:ind w:firstLine="643" w:firstLineChars="0"/>
        <w:rPr>
          <w:rFonts w:hint="eastAsia" w:ascii="仿宋" w:hAnsi="仿宋" w:eastAsia="仿宋" w:cs="仿宋"/>
          <w:b/>
        </w:rPr>
      </w:pPr>
      <w:r>
        <w:rPr>
          <w:rFonts w:hint="eastAsia" w:ascii="仿宋" w:hAnsi="仿宋" w:eastAsia="仿宋" w:cs="仿宋"/>
          <w:b/>
        </w:rPr>
        <w:t>第一条</w:t>
      </w:r>
      <w:r>
        <w:rPr>
          <w:rStyle w:val="21"/>
          <w:rFonts w:hint="eastAsia" w:ascii="仿宋" w:hAnsi="仿宋" w:eastAsia="仿宋" w:cs="仿宋"/>
          <w:b/>
        </w:rPr>
        <w:t>（目的依据）</w:t>
      </w:r>
      <w:r>
        <w:rPr>
          <w:rFonts w:hint="eastAsia" w:ascii="仿宋" w:hAnsi="仿宋" w:eastAsia="仿宋" w:cs="仿宋"/>
        </w:rPr>
        <w:t>为深入贯彻“节水优先、空间均衡、系统治理、两手发力”治水思路，落实水资源刚性约束制度，坚持“以水定城、以水定地、以水定人、以水定产”，立足壤塘县高原高寒、水资源时空分布不均、工程性缺水突出的实际，规范全县水预算管理，从供给侧、需求侧协同优化水资源配置，落实用水总量和强度双控，保障城乡供水安全、河湖生态流量，支撑川西北生态示范区建设。依据《中华人民共和国水法》《节约用水条例》《计划用水管理办法》《四川省水资源条例》《阿坝藏族羌族自治州水资源管理条例》以及四川省水利厅印发的《扩大水预算管理试点方案</w:t>
      </w:r>
      <w:r>
        <w:rPr>
          <w:rFonts w:hint="eastAsia" w:ascii="仿宋" w:hAnsi="仿宋" w:eastAsia="仿宋" w:cs="仿宋"/>
          <w:lang w:eastAsia="zh-CN"/>
        </w:rPr>
        <w:t>（</w:t>
      </w:r>
      <w:r>
        <w:rPr>
          <w:rFonts w:hint="eastAsia" w:ascii="仿宋" w:hAnsi="仿宋" w:eastAsia="仿宋" w:cs="仿宋"/>
        </w:rPr>
        <w:t>川水函〔2026〕74号</w:t>
      </w:r>
      <w:r>
        <w:rPr>
          <w:rFonts w:hint="eastAsia" w:ascii="仿宋" w:hAnsi="仿宋" w:eastAsia="仿宋" w:cs="仿宋"/>
          <w:lang w:eastAsia="zh-CN"/>
        </w:rPr>
        <w:t>）</w:t>
      </w:r>
      <w:r>
        <w:rPr>
          <w:rFonts w:hint="eastAsia" w:ascii="仿宋" w:hAnsi="仿宋" w:eastAsia="仿宋" w:cs="仿宋"/>
        </w:rPr>
        <w:t>等法规政策，制定本办法。</w:t>
      </w:r>
    </w:p>
    <w:p w14:paraId="567E5B91">
      <w:pPr>
        <w:pStyle w:val="12"/>
        <w:widowControl/>
        <w:ind w:firstLine="643" w:firstLineChars="0"/>
        <w:rPr>
          <w:rFonts w:hint="eastAsia" w:ascii="仿宋" w:hAnsi="仿宋" w:eastAsia="仿宋" w:cs="仿宋"/>
          <w:b/>
        </w:rPr>
      </w:pPr>
      <w:r>
        <w:rPr>
          <w:rFonts w:hint="eastAsia" w:ascii="仿宋" w:hAnsi="仿宋" w:eastAsia="仿宋" w:cs="仿宋"/>
          <w:b/>
        </w:rPr>
        <w:t>第二条（适用范围）</w:t>
      </w:r>
      <w:r>
        <w:rPr>
          <w:rFonts w:hint="eastAsia" w:ascii="仿宋" w:hAnsi="仿宋" w:eastAsia="仿宋" w:cs="仿宋"/>
        </w:rPr>
        <w:t>本县行政区域内水预算的编制、告知复核、审核下达、执行调整、决算评估及监督管理等活动，适用本办法。</w:t>
      </w:r>
    </w:p>
    <w:p w14:paraId="488BB44C">
      <w:pPr>
        <w:pStyle w:val="12"/>
        <w:widowControl/>
        <w:ind w:firstLine="643" w:firstLineChars="0"/>
        <w:rPr>
          <w:rFonts w:hint="eastAsia" w:ascii="仿宋" w:hAnsi="仿宋" w:eastAsia="仿宋" w:cs="仿宋"/>
        </w:rPr>
      </w:pPr>
      <w:r>
        <w:rPr>
          <w:rFonts w:hint="eastAsia" w:ascii="仿宋" w:hAnsi="仿宋" w:eastAsia="仿宋" w:cs="仿宋"/>
          <w:b/>
        </w:rPr>
        <w:t>第三条（管理原则）</w:t>
      </w:r>
      <w:r>
        <w:rPr>
          <w:rFonts w:hint="eastAsia" w:ascii="仿宋" w:hAnsi="仿宋" w:eastAsia="仿宋" w:cs="仿宋"/>
        </w:rPr>
        <w:t>水预算管理遵循</w:t>
      </w:r>
      <w:r>
        <w:rPr>
          <w:rStyle w:val="21"/>
          <w:rFonts w:hint="eastAsia" w:ascii="仿宋" w:hAnsi="仿宋" w:eastAsia="仿宋" w:cs="仿宋"/>
        </w:rPr>
        <w:t>总量控制、定额管理，优先保障、统筹兼顾，动态平衡，分类施策、讲求实效</w:t>
      </w:r>
      <w:r>
        <w:rPr>
          <w:rFonts w:hint="eastAsia" w:ascii="仿宋" w:hAnsi="仿宋" w:eastAsia="仿宋" w:cs="仿宋"/>
        </w:rPr>
        <w:t>原则；坚持优先保障城乡居民生活用水，保障河湖基本生态用水，合理保障粮食及特色农牧产业用水，重点支持高效益文旅、公共服务项目用水，从严管控不合理用水需求。针对县域用水主体分散特点，实行独立预算与片区打捆管理相结合。</w:t>
      </w:r>
    </w:p>
    <w:p w14:paraId="3290B3A8">
      <w:pPr>
        <w:pStyle w:val="12"/>
        <w:widowControl/>
        <w:ind w:firstLine="643" w:firstLineChars="0"/>
        <w:rPr>
          <w:rFonts w:hint="eastAsia" w:ascii="仿宋" w:hAnsi="仿宋" w:eastAsia="仿宋" w:cs="仿宋"/>
        </w:rPr>
      </w:pPr>
      <w:r>
        <w:rPr>
          <w:rFonts w:hint="eastAsia" w:ascii="仿宋" w:hAnsi="仿宋" w:eastAsia="仿宋" w:cs="仿宋"/>
          <w:b/>
        </w:rPr>
        <w:t>第四条（适用对象）</w:t>
      </w:r>
      <w:r>
        <w:rPr>
          <w:rFonts w:hint="eastAsia" w:ascii="仿宋" w:hAnsi="仿宋" w:eastAsia="仿宋" w:cs="仿宋"/>
        </w:rPr>
        <w:t>实行全县域、全水源、全行业水预算管理。涵盖地表水、地下水、非常规水（再生水、集蓄雨水）等各类水源；覆盖农业、工业、服务业、建筑业、居民生活、河湖生态、城乡环境等各行业用水。对自备水源取水户、公共供水管网内年用水量1万立方米及以上非居民用水户实行</w:t>
      </w:r>
      <w:r>
        <w:rPr>
          <w:rStyle w:val="21"/>
          <w:rFonts w:hint="eastAsia" w:ascii="仿宋" w:hAnsi="仿宋" w:eastAsia="仿宋" w:cs="仿宋"/>
        </w:rPr>
        <w:t>独立预算管理</w:t>
      </w:r>
      <w:r>
        <w:rPr>
          <w:rFonts w:hint="eastAsia" w:ascii="仿宋" w:hAnsi="仿宋" w:eastAsia="仿宋" w:cs="仿宋"/>
        </w:rPr>
        <w:t>；对分散农牧灌溉、小微民宿、小型种养散户等点多面广、计量条件有限的用水主体，按乡镇、灌区片区实行</w:t>
      </w:r>
      <w:r>
        <w:rPr>
          <w:rStyle w:val="21"/>
          <w:rFonts w:hint="eastAsia" w:ascii="仿宋" w:hAnsi="仿宋" w:eastAsia="仿宋" w:cs="仿宋"/>
        </w:rPr>
        <w:t>打捆归集管理</w:t>
      </w:r>
      <w:r>
        <w:rPr>
          <w:rFonts w:hint="eastAsia" w:ascii="仿宋" w:hAnsi="仿宋" w:eastAsia="仿宋" w:cs="仿宋"/>
        </w:rPr>
        <w:t>；水电站、地源热泵暂不纳入水预算名录库管理。</w:t>
      </w:r>
    </w:p>
    <w:p w14:paraId="74490B05">
      <w:pPr>
        <w:pStyle w:val="12"/>
        <w:widowControl/>
        <w:ind w:firstLine="643"/>
        <w:rPr>
          <w:rFonts w:hint="eastAsia" w:ascii="仿宋" w:hAnsi="仿宋" w:eastAsia="仿宋" w:cs="仿宋"/>
        </w:rPr>
      </w:pPr>
      <w:r>
        <w:rPr>
          <w:rFonts w:hint="eastAsia" w:ascii="仿宋" w:hAnsi="仿宋" w:eastAsia="仿宋" w:cs="仿宋"/>
          <w:b/>
        </w:rPr>
        <w:t>职责分工：</w:t>
      </w:r>
      <w:r>
        <w:rPr>
          <w:rStyle w:val="21"/>
          <w:rFonts w:hint="eastAsia" w:ascii="仿宋" w:hAnsi="仿宋" w:eastAsia="仿宋" w:cs="仿宋"/>
        </w:rPr>
        <w:t>自备水源取用水由县水务局主管；城镇公共供水管网（自来水）范围内用水单位由县住建局主管</w:t>
      </w:r>
      <w:r>
        <w:rPr>
          <w:rFonts w:hint="eastAsia" w:ascii="仿宋" w:hAnsi="仿宋" w:eastAsia="仿宋" w:cs="仿宋"/>
        </w:rPr>
        <w:t>。</w:t>
      </w:r>
    </w:p>
    <w:p w14:paraId="3138BA99">
      <w:pPr>
        <w:pStyle w:val="12"/>
        <w:widowControl/>
        <w:ind w:firstLine="643" w:firstLineChars="0"/>
        <w:rPr>
          <w:rFonts w:hint="eastAsia" w:ascii="仿宋" w:hAnsi="仿宋" w:eastAsia="仿宋" w:cs="仿宋"/>
          <w:b/>
        </w:rPr>
      </w:pPr>
      <w:r>
        <w:rPr>
          <w:rFonts w:hint="eastAsia" w:ascii="仿宋" w:hAnsi="仿宋" w:eastAsia="仿宋" w:cs="仿宋"/>
          <w:b/>
        </w:rPr>
        <w:t>第五条（预算组成）</w:t>
      </w:r>
      <w:r>
        <w:rPr>
          <w:rFonts w:hint="eastAsia" w:ascii="仿宋" w:hAnsi="仿宋" w:eastAsia="仿宋" w:cs="仿宋"/>
        </w:rPr>
        <w:t xml:space="preserve">水预算由水预算收入、水预算支出两部分组成。 </w:t>
      </w:r>
    </w:p>
    <w:p w14:paraId="685B5C1E">
      <w:pPr>
        <w:pStyle w:val="12"/>
        <w:widowControl/>
        <w:ind w:firstLine="643"/>
        <w:rPr>
          <w:rFonts w:hint="eastAsia" w:ascii="仿宋" w:hAnsi="仿宋" w:eastAsia="仿宋" w:cs="仿宋"/>
        </w:rPr>
      </w:pPr>
      <w:r>
        <w:rPr>
          <w:rFonts w:hint="eastAsia" w:ascii="仿宋" w:hAnsi="仿宋" w:eastAsia="仿宋" w:cs="仿宋"/>
          <w:b/>
          <w:bCs/>
        </w:rPr>
        <w:t>水预算收入：</w:t>
      </w:r>
      <w:r>
        <w:rPr>
          <w:rFonts w:hint="eastAsia" w:ascii="仿宋" w:hAnsi="仿宋" w:eastAsia="仿宋" w:cs="仿宋"/>
        </w:rPr>
        <w:t>县域内地表水、地下水、非常规水等各类水源可利用水量；</w:t>
      </w:r>
    </w:p>
    <w:p w14:paraId="13E9D141">
      <w:pPr>
        <w:pStyle w:val="12"/>
        <w:widowControl/>
        <w:ind w:firstLine="643"/>
        <w:rPr>
          <w:rFonts w:hint="eastAsia" w:ascii="仿宋" w:hAnsi="仿宋" w:eastAsia="仿宋" w:cs="仿宋"/>
          <w:b/>
        </w:rPr>
      </w:pPr>
      <w:r>
        <w:rPr>
          <w:rFonts w:hint="eastAsia" w:ascii="仿宋" w:hAnsi="仿宋" w:eastAsia="仿宋" w:cs="仿宋"/>
          <w:b/>
          <w:bCs/>
        </w:rPr>
        <w:t>水预算支出：</w:t>
      </w:r>
      <w:r>
        <w:rPr>
          <w:rFonts w:hint="eastAsia" w:ascii="仿宋" w:hAnsi="仿宋" w:eastAsia="仿宋" w:cs="仿宋"/>
        </w:rPr>
        <w:t>分行业核算农业用水、工业用水、服务业用水、建筑业用水、居民生活用水、河湖生态用水、城乡环境用水。</w:t>
      </w:r>
    </w:p>
    <w:p w14:paraId="0C0D62BD">
      <w:pPr>
        <w:pStyle w:val="12"/>
        <w:widowControl/>
        <w:ind w:firstLine="643" w:firstLineChars="0"/>
        <w:rPr>
          <w:rFonts w:hint="eastAsia" w:ascii="仿宋" w:hAnsi="仿宋" w:eastAsia="仿宋" w:cs="仿宋"/>
        </w:rPr>
      </w:pPr>
      <w:r>
        <w:rPr>
          <w:rFonts w:hint="eastAsia" w:ascii="仿宋" w:hAnsi="仿宋" w:eastAsia="仿宋" w:cs="仿宋"/>
          <w:b/>
        </w:rPr>
        <w:t>第六条（预算层级）</w:t>
      </w:r>
      <w:r>
        <w:rPr>
          <w:rFonts w:hint="eastAsia" w:ascii="仿宋" w:hAnsi="仿宋" w:eastAsia="仿宋" w:cs="仿宋"/>
        </w:rPr>
        <w:t xml:space="preserve"> 设立</w:t>
      </w:r>
      <w:r>
        <w:rPr>
          <w:rStyle w:val="21"/>
          <w:rFonts w:hint="eastAsia" w:ascii="仿宋" w:hAnsi="仿宋" w:eastAsia="仿宋" w:cs="仿宋"/>
        </w:rPr>
        <w:t>县级、取用水户（片区）</w:t>
      </w:r>
      <w:r>
        <w:rPr>
          <w:rFonts w:hint="eastAsia" w:ascii="仿宋" w:hAnsi="仿宋" w:eastAsia="仿宋" w:cs="仿宋"/>
        </w:rPr>
        <w:t>两级水预算。县级水预算由独立预算户、打捆管理片区预算汇总构成，不得突破州下达本县用水总量、地下水管控指标。</w:t>
      </w:r>
    </w:p>
    <w:p w14:paraId="7891A202">
      <w:pPr>
        <w:pStyle w:val="12"/>
        <w:widowControl/>
        <w:ind w:firstLine="643" w:firstLineChars="0"/>
        <w:rPr>
          <w:rFonts w:hint="eastAsia" w:ascii="仿宋" w:hAnsi="仿宋" w:eastAsia="仿宋" w:cs="仿宋"/>
        </w:rPr>
      </w:pPr>
      <w:r>
        <w:rPr>
          <w:rFonts w:hint="eastAsia" w:ascii="仿宋" w:hAnsi="仿宋" w:eastAsia="仿宋" w:cs="仿宋"/>
          <w:b/>
        </w:rPr>
        <w:t>第七条（预算周期）</w:t>
      </w:r>
      <w:r>
        <w:rPr>
          <w:rFonts w:hint="eastAsia" w:ascii="仿宋" w:hAnsi="仿宋" w:eastAsia="仿宋" w:cs="仿宋"/>
        </w:rPr>
        <w:t xml:space="preserve"> 县级水预算实行“基准额度+年度动态调整”，结合杜柯河、则曲河年度来水情势、生态流量管控要求开展预算复核与指标动态调整，严守区域用水总量刚性约束。</w:t>
      </w:r>
    </w:p>
    <w:p w14:paraId="06010D28">
      <w:pPr>
        <w:pStyle w:val="12"/>
        <w:widowControl/>
        <w:ind w:firstLine="643" w:firstLineChars="0"/>
        <w:rPr>
          <w:rFonts w:hint="eastAsia" w:ascii="仿宋" w:hAnsi="仿宋" w:eastAsia="仿宋" w:cs="仿宋"/>
          <w:b/>
        </w:rPr>
      </w:pPr>
      <w:r>
        <w:rPr>
          <w:rFonts w:hint="eastAsia" w:ascii="仿宋" w:hAnsi="仿宋" w:eastAsia="仿宋" w:cs="仿宋"/>
        </w:rPr>
        <w:t>用水户水预算采用“零基预算+绩效调节”，遵循“一年一预算，一年一审核”的要求，按照预算年管理（即从1月1日起到12月31日止），以年度需水量为预算基准额度，根据年度用水绩效评估结果进行调节。打捆管理片区以年度为周期开展片区总预算管控。水预算管理实行一年一预算、一年一审核、一年一评价，不以上年用水量简单基数递增，结合气候、草场、产业、生态需求逐年重新核算。</w:t>
      </w:r>
    </w:p>
    <w:p w14:paraId="716276B1">
      <w:pPr>
        <w:pStyle w:val="12"/>
        <w:widowControl/>
        <w:ind w:firstLine="643" w:firstLineChars="0"/>
        <w:rPr>
          <w:rFonts w:hint="eastAsia" w:ascii="仿宋" w:hAnsi="仿宋" w:eastAsia="仿宋" w:cs="仿宋"/>
          <w:b/>
        </w:rPr>
      </w:pPr>
      <w:r>
        <w:rPr>
          <w:rFonts w:hint="eastAsia" w:ascii="仿宋" w:hAnsi="仿宋" w:eastAsia="仿宋" w:cs="仿宋"/>
          <w:b/>
        </w:rPr>
        <w:t>第八条（总量强度管控）</w:t>
      </w:r>
      <w:r>
        <w:rPr>
          <w:rFonts w:hint="eastAsia" w:ascii="仿宋" w:hAnsi="仿宋" w:eastAsia="仿宋" w:cs="仿宋"/>
        </w:rPr>
        <w:t xml:space="preserve"> 水预算总量严格执行州下达用水总量、地下水控制指标。地表水预算不得突破流域水量分配指标；地下水预算严格执行地下水管控指标；用水效率指标满足省、州下达考核要求；用水户用水定额不得突破《四川省用水定额》。</w:t>
      </w:r>
    </w:p>
    <w:p w14:paraId="69706939">
      <w:pPr>
        <w:pStyle w:val="12"/>
        <w:widowControl/>
        <w:ind w:firstLine="643" w:firstLineChars="0"/>
        <w:rPr>
          <w:rFonts w:hint="eastAsia" w:ascii="仿宋" w:hAnsi="仿宋" w:eastAsia="仿宋" w:cs="仿宋"/>
          <w:b/>
        </w:rPr>
      </w:pPr>
      <w:r>
        <w:rPr>
          <w:rFonts w:hint="eastAsia" w:ascii="仿宋" w:hAnsi="仿宋" w:eastAsia="仿宋" w:cs="仿宋"/>
          <w:b/>
        </w:rPr>
        <w:t>第九条（预留额度）</w:t>
      </w:r>
      <w:r>
        <w:rPr>
          <w:rFonts w:hint="eastAsia" w:ascii="仿宋" w:hAnsi="仿宋" w:eastAsia="仿宋" w:cs="仿宋"/>
        </w:rPr>
        <w:t>县级水预算设置预留额度，专项用于突发事件应急供水、重大项目新增用水等临时性用水需求。预留额度规模由县水务局会同县住建局，结合年度水资源情势、用水总量控制指标统筹确定。</w:t>
      </w:r>
    </w:p>
    <w:p w14:paraId="1881928A">
      <w:pPr>
        <w:pStyle w:val="12"/>
        <w:widowControl/>
        <w:ind w:firstLine="643" w:firstLineChars="0"/>
        <w:rPr>
          <w:rFonts w:hint="eastAsia" w:ascii="仿宋" w:hAnsi="仿宋" w:eastAsia="仿宋" w:cs="仿宋"/>
        </w:rPr>
      </w:pPr>
      <w:r>
        <w:rPr>
          <w:rFonts w:hint="eastAsia" w:ascii="仿宋" w:hAnsi="仿宋" w:eastAsia="仿宋" w:cs="仿宋"/>
          <w:b/>
        </w:rPr>
        <w:t>第十条</w:t>
      </w:r>
      <w:r>
        <w:rPr>
          <w:rStyle w:val="21"/>
          <w:rFonts w:hint="eastAsia" w:ascii="仿宋" w:hAnsi="仿宋" w:eastAsia="仿宋" w:cs="仿宋"/>
          <w:b/>
        </w:rPr>
        <w:t>（非常规水源利用）</w:t>
      </w:r>
      <w:r>
        <w:rPr>
          <w:rFonts w:hint="eastAsia" w:ascii="仿宋" w:hAnsi="仿宋" w:eastAsia="仿宋" w:cs="仿宋"/>
        </w:rPr>
        <w:t xml:space="preserve"> 鼓励开发利用再生水、集蓄雨水等非常规水源，统一纳入县域水预算统筹配置。园林绿化、道路清扫等用水场景，优先配置符合水质标准的非常规水源。用水单元使用达标非常规水源替代新鲜水的，该部分非常规水量不计入新鲜水消耗考核，可按规定核减对应新鲜水预算额度；非常规水利用成效纳入用水绩效评价，作为后续年度水预算核定的正向参考。</w:t>
      </w:r>
    </w:p>
    <w:p w14:paraId="3DDF8203">
      <w:pPr>
        <w:pStyle w:val="12"/>
        <w:widowControl/>
        <w:ind w:firstLine="643" w:firstLineChars="0"/>
        <w:rPr>
          <w:rFonts w:hint="eastAsia" w:ascii="宋体" w:hAnsi="宋体" w:eastAsia="宋体" w:cs="宋体"/>
          <w:sz w:val="24"/>
          <w:szCs w:val="24"/>
        </w:rPr>
      </w:pPr>
      <w:r>
        <w:rPr>
          <w:rFonts w:hint="eastAsia" w:ascii="仿宋" w:hAnsi="仿宋" w:eastAsia="仿宋" w:cs="仿宋"/>
          <w:b/>
        </w:rPr>
        <w:t>第十一条</w:t>
      </w:r>
      <w:r>
        <w:rPr>
          <w:rStyle w:val="21"/>
          <w:rFonts w:hint="eastAsia" w:ascii="仿宋" w:hAnsi="仿宋" w:eastAsia="仿宋" w:cs="仿宋"/>
          <w:b/>
        </w:rPr>
        <w:t>（名录库管理）</w:t>
      </w:r>
      <w:r>
        <w:rPr>
          <w:rFonts w:hint="eastAsia" w:ascii="仿宋" w:hAnsi="仿宋" w:eastAsia="仿宋" w:cs="仿宋"/>
        </w:rPr>
        <w:t xml:space="preserve"> 建立全县统一水预算用水户名录库、公共供水运营单位名录库，由</w:t>
      </w:r>
      <w:r>
        <w:rPr>
          <w:rStyle w:val="21"/>
          <w:rFonts w:hint="eastAsia" w:ascii="仿宋" w:hAnsi="仿宋" w:eastAsia="仿宋" w:cs="仿宋"/>
        </w:rPr>
        <w:t>县水务局会同县住建局牵头</w:t>
      </w:r>
      <w:r>
        <w:rPr>
          <w:rFonts w:hint="eastAsia" w:ascii="仿宋" w:hAnsi="仿宋" w:eastAsia="仿宋" w:cs="仿宋"/>
        </w:rPr>
        <w:t>共同维护、实行动态更新。自备水源用水户信息由县水务局负责归集；城镇公共供水管网内用水户信息由县住建局督促供水企业归集推送入库。独立预算户全部纳入名录库；实行打捆管理的片区，以片区单元整体纳入名录管理。及时完成用水主体新增、注销、信息变更等工作，保障名录信息真实、准确、完整。</w:t>
      </w:r>
    </w:p>
    <w:p w14:paraId="428B8AAD">
      <w:pPr>
        <w:pStyle w:val="12"/>
        <w:widowControl/>
        <w:ind w:firstLine="643" w:firstLineChars="0"/>
        <w:rPr>
          <w:rFonts w:hint="eastAsia" w:ascii="仿宋" w:hAnsi="仿宋" w:eastAsia="仿宋" w:cs="仿宋"/>
        </w:rPr>
      </w:pPr>
      <w:r>
        <w:rPr>
          <w:rFonts w:hint="eastAsia" w:ascii="仿宋" w:hAnsi="仿宋" w:eastAsia="仿宋" w:cs="仿宋"/>
          <w:b/>
        </w:rPr>
        <w:t>第十二条</w:t>
      </w:r>
      <w:r>
        <w:rPr>
          <w:rStyle w:val="21"/>
          <w:rFonts w:hint="eastAsia" w:ascii="仿宋" w:hAnsi="仿宋" w:eastAsia="仿宋" w:cs="仿宋"/>
          <w:b/>
        </w:rPr>
        <w:t>（管理职责）</w:t>
      </w:r>
      <w:r>
        <w:rPr>
          <w:rFonts w:hint="eastAsia" w:ascii="仿宋" w:hAnsi="仿宋" w:eastAsia="仿宋" w:cs="仿宋"/>
        </w:rPr>
        <w:t xml:space="preserve"> 县人民政府统筹领导全县水预算管理工作，审批县级年度水预算，监督预算执行。</w:t>
      </w:r>
    </w:p>
    <w:p w14:paraId="7E53E3AA">
      <w:pPr>
        <w:pStyle w:val="12"/>
        <w:widowControl/>
        <w:ind w:firstLine="643" w:firstLineChars="0"/>
        <w:rPr>
          <w:rFonts w:hint="eastAsia" w:ascii="仿宋" w:hAnsi="仿宋" w:eastAsia="仿宋" w:cs="仿宋"/>
        </w:rPr>
      </w:pPr>
      <w:r>
        <w:rPr>
          <w:rFonts w:hint="eastAsia" w:ascii="仿宋" w:hAnsi="仿宋" w:eastAsia="仿宋" w:cs="仿宋"/>
        </w:rPr>
        <w:t>县水务局：牵头全县水预算管理试点总体工作；负责自备水源取用水户水预算全流程管理；负责农业、河湖生态用水、灌区打捆片区水预算管理；牵头县级水预算草案汇总编制、决算评估；定期向县人民政府、州水务局报告水预算整体执行情况。</w:t>
      </w:r>
    </w:p>
    <w:p w14:paraId="7351E245">
      <w:pPr>
        <w:pStyle w:val="12"/>
        <w:widowControl/>
        <w:ind w:firstLine="643" w:firstLineChars="0"/>
        <w:rPr>
          <w:rFonts w:hint="eastAsia" w:ascii="仿宋" w:hAnsi="仿宋" w:eastAsia="仿宋" w:cs="仿宋"/>
        </w:rPr>
      </w:pPr>
      <w:r>
        <w:rPr>
          <w:rFonts w:hint="eastAsia" w:ascii="仿宋" w:hAnsi="仿宋" w:eastAsia="仿宋" w:cs="仿宋"/>
        </w:rPr>
        <w:t xml:space="preserve">县住建局：负责城镇公共供水管网范围内用水户的水预算业务管理；督促供水企业落实管网内用水户数据统计、初步额度摸排、预算告知传递、计量数据共享；配合县级水预算草案、决算报告编制。 </w:t>
      </w:r>
    </w:p>
    <w:p w14:paraId="27627877">
      <w:pPr>
        <w:pStyle w:val="12"/>
        <w:widowControl/>
        <w:ind w:firstLine="643" w:firstLineChars="0"/>
        <w:rPr>
          <w:rFonts w:hint="eastAsia" w:ascii="仿宋" w:hAnsi="仿宋" w:eastAsia="仿宋" w:cs="仿宋"/>
        </w:rPr>
      </w:pPr>
      <w:r>
        <w:rPr>
          <w:rFonts w:hint="eastAsia" w:ascii="仿宋" w:hAnsi="仿宋" w:eastAsia="仿宋" w:cs="仿宋"/>
        </w:rPr>
        <w:t xml:space="preserve">县发改、财政、科农、生态环境、卫健、教育、城管等部门按照职责协同落实水预算相关工作；各乡镇配合做好辖区打捆片区用水情况摸排、政策宣传。 </w:t>
      </w:r>
    </w:p>
    <w:p w14:paraId="07B42967">
      <w:pPr>
        <w:pStyle w:val="12"/>
        <w:widowControl/>
        <w:ind w:firstLine="643" w:firstLineChars="0"/>
        <w:rPr>
          <w:rFonts w:hint="eastAsia" w:ascii="仿宋" w:hAnsi="仿宋" w:eastAsia="仿宋" w:cs="仿宋"/>
        </w:rPr>
      </w:pPr>
      <w:r>
        <w:rPr>
          <w:rFonts w:hint="eastAsia" w:ascii="仿宋" w:hAnsi="仿宋" w:eastAsia="仿宋" w:cs="仿宋"/>
        </w:rPr>
        <w:t>城镇供水企业：落实公共管网内用水户抄表计量、基础数据报送，配合开展预算告知、预警提醒等工作。</w:t>
      </w:r>
    </w:p>
    <w:p w14:paraId="25A5026D">
      <w:pPr>
        <w:ind w:firstLine="480"/>
      </w:pPr>
    </w:p>
    <w:p w14:paraId="465AD74E">
      <w:pPr>
        <w:pStyle w:val="2"/>
        <w:widowControl/>
        <w:numPr>
          <w:ilvl w:val="0"/>
          <w:numId w:val="1"/>
        </w:numPr>
        <w:rPr>
          <w:rFonts w:hint="eastAsia" w:ascii="黑体" w:hAnsi="黑体" w:cs="黑体"/>
        </w:rPr>
      </w:pPr>
      <w:r>
        <w:rPr>
          <w:rFonts w:hint="eastAsia" w:ascii="黑体" w:hAnsi="黑体" w:cs="黑体"/>
        </w:rPr>
        <w:t xml:space="preserve"> 水预算编制</w:t>
      </w:r>
    </w:p>
    <w:p w14:paraId="26029EA8">
      <w:pPr>
        <w:ind w:firstLine="480"/>
      </w:pPr>
    </w:p>
    <w:p w14:paraId="4D8D6C45">
      <w:pPr>
        <w:pStyle w:val="12"/>
        <w:widowControl/>
        <w:ind w:firstLine="643" w:firstLineChars="0"/>
        <w:rPr>
          <w:rFonts w:hint="eastAsia" w:ascii="仿宋" w:hAnsi="仿宋" w:eastAsia="仿宋" w:cs="仿宋"/>
          <w:b/>
        </w:rPr>
      </w:pPr>
      <w:r>
        <w:rPr>
          <w:rFonts w:hint="eastAsia" w:ascii="仿宋" w:hAnsi="仿宋" w:eastAsia="仿宋" w:cs="仿宋"/>
          <w:b/>
        </w:rPr>
        <w:t>第十三条</w:t>
      </w:r>
      <w:r>
        <w:rPr>
          <w:rStyle w:val="21"/>
          <w:rFonts w:hint="eastAsia" w:ascii="仿宋" w:hAnsi="仿宋" w:eastAsia="仿宋" w:cs="仿宋"/>
          <w:b/>
          <w:bCs/>
        </w:rPr>
        <w:t>（县级总量核算）</w:t>
      </w:r>
      <w:r>
        <w:rPr>
          <w:rFonts w:hint="eastAsia" w:ascii="仿宋" w:hAnsi="仿宋" w:eastAsia="仿宋" w:cs="仿宋"/>
        </w:rPr>
        <w:t xml:space="preserve"> 县水务局对全县各类水源可利用水量实施全口径核算，以州下达的用水总量控制指标、流域水量分配方案作为县级水预算总量上限。核算过程充分考虑高原河流季节性径流差异、工程性缺水等现实约束。县住建局负责提供城镇供水供需基础数据，协同开展总量测算。</w:t>
      </w:r>
    </w:p>
    <w:p w14:paraId="457F79B8">
      <w:pPr>
        <w:pStyle w:val="12"/>
        <w:widowControl/>
        <w:ind w:firstLine="643" w:firstLineChars="0"/>
        <w:rPr>
          <w:rFonts w:hint="eastAsia" w:ascii="仿宋" w:hAnsi="仿宋" w:eastAsia="仿宋" w:cs="仿宋"/>
          <w:b/>
        </w:rPr>
      </w:pPr>
      <w:r>
        <w:rPr>
          <w:rFonts w:hint="eastAsia" w:ascii="仿宋" w:hAnsi="仿宋" w:eastAsia="仿宋" w:cs="仿宋"/>
          <w:b/>
        </w:rPr>
        <w:t>第十四条</w:t>
      </w:r>
      <w:r>
        <w:rPr>
          <w:rStyle w:val="21"/>
          <w:rFonts w:hint="eastAsia" w:ascii="仿宋" w:hAnsi="仿宋" w:eastAsia="仿宋" w:cs="仿宋"/>
          <w:b/>
        </w:rPr>
        <w:t>（额度申报）</w:t>
      </w:r>
      <w:r>
        <w:rPr>
          <w:rFonts w:hint="eastAsia" w:ascii="仿宋" w:hAnsi="仿宋" w:eastAsia="仿宋" w:cs="仿宋"/>
        </w:rPr>
        <w:t xml:space="preserve"> 县水务局会同县住建局每年11月联合部署下一年度水预算编制工作。</w:t>
      </w:r>
    </w:p>
    <w:p w14:paraId="466D5BD7">
      <w:pPr>
        <w:pStyle w:val="12"/>
        <w:widowControl/>
        <w:numPr>
          <w:ilvl w:val="0"/>
          <w:numId w:val="2"/>
        </w:numPr>
        <w:ind w:firstLineChars="0"/>
        <w:rPr>
          <w:rFonts w:hint="eastAsia" w:ascii="仿宋" w:hAnsi="仿宋" w:eastAsia="仿宋" w:cs="仿宋"/>
        </w:rPr>
      </w:pPr>
      <w:r>
        <w:rPr>
          <w:rStyle w:val="21"/>
          <w:rFonts w:hint="eastAsia" w:ascii="仿宋" w:hAnsi="仿宋" w:eastAsia="仿宋" w:cs="仿宋"/>
        </w:rPr>
        <w:t>自备水源独立预算户</w:t>
      </w:r>
      <w:r>
        <w:rPr>
          <w:rFonts w:hint="eastAsia" w:ascii="仿宋" w:hAnsi="仿宋" w:eastAsia="仿宋" w:cs="仿宋"/>
        </w:rPr>
        <w:t>：于每年12月20日前直接向县水务局申报下一年度水预算基准额度。</w:t>
      </w:r>
    </w:p>
    <w:p w14:paraId="6C691255">
      <w:pPr>
        <w:pStyle w:val="12"/>
        <w:widowControl/>
        <w:numPr>
          <w:ilvl w:val="0"/>
          <w:numId w:val="2"/>
        </w:numPr>
        <w:ind w:firstLineChars="0"/>
        <w:rPr>
          <w:rFonts w:hint="eastAsia" w:ascii="仿宋" w:hAnsi="仿宋" w:eastAsia="仿宋" w:cs="仿宋"/>
        </w:rPr>
      </w:pPr>
      <w:r>
        <w:rPr>
          <w:rStyle w:val="21"/>
          <w:rFonts w:hint="eastAsia" w:ascii="仿宋" w:hAnsi="仿宋" w:eastAsia="仿宋" w:cs="仿宋"/>
        </w:rPr>
        <w:t>城镇公共供水管网内独立预算户</w:t>
      </w:r>
      <w:r>
        <w:rPr>
          <w:rFonts w:hint="eastAsia" w:ascii="仿宋" w:hAnsi="仿宋" w:eastAsia="仿宋" w:cs="仿宋"/>
        </w:rPr>
        <w:t>：每年12月20日前向县住建局申报下一年度水预算基准额度，由县住建局复核后移交县水务局。</w:t>
      </w:r>
    </w:p>
    <w:p w14:paraId="15F12ECF">
      <w:pPr>
        <w:pStyle w:val="12"/>
        <w:widowControl/>
        <w:numPr>
          <w:ilvl w:val="0"/>
          <w:numId w:val="2"/>
        </w:numPr>
        <w:ind w:firstLineChars="0"/>
        <w:rPr>
          <w:rFonts w:hint="eastAsia" w:ascii="仿宋" w:hAnsi="仿宋" w:eastAsia="仿宋" w:cs="仿宋"/>
        </w:rPr>
      </w:pPr>
      <w:r>
        <w:rPr>
          <w:rStyle w:val="21"/>
          <w:rFonts w:hint="eastAsia" w:ascii="仿宋" w:hAnsi="仿宋" w:eastAsia="仿宋" w:cs="仿宋"/>
        </w:rPr>
        <w:t>打捆管理片区</w:t>
      </w:r>
      <w:r>
        <w:rPr>
          <w:rFonts w:hint="eastAsia" w:ascii="仿宋" w:hAnsi="仿宋" w:eastAsia="仿宋" w:cs="仿宋"/>
        </w:rPr>
        <w:t>：由乡镇会同灌区管理、供水单位，汇总片区用水需求后报送县水务局。</w:t>
      </w:r>
    </w:p>
    <w:p w14:paraId="609D6C47">
      <w:pPr>
        <w:pStyle w:val="12"/>
        <w:widowControl/>
        <w:rPr>
          <w:rFonts w:hint="eastAsia" w:ascii="仿宋" w:hAnsi="仿宋" w:eastAsia="仿宋" w:cs="仿宋"/>
        </w:rPr>
      </w:pPr>
      <w:r>
        <w:rPr>
          <w:rFonts w:hint="eastAsia" w:ascii="仿宋" w:hAnsi="仿宋" w:eastAsia="仿宋" w:cs="仿宋"/>
        </w:rPr>
        <w:t>4.年中新增用水的情形</w:t>
      </w:r>
    </w:p>
    <w:p w14:paraId="124FB8A9">
      <w:pPr>
        <w:pStyle w:val="12"/>
        <w:widowControl/>
        <w:rPr>
          <w:rFonts w:hint="eastAsia" w:ascii="仿宋" w:hAnsi="仿宋" w:eastAsia="仿宋" w:cs="仿宋"/>
        </w:rPr>
      </w:pPr>
      <w:r>
        <w:rPr>
          <w:rFonts w:hint="eastAsia" w:ascii="仿宋" w:hAnsi="仿宋" w:eastAsia="仿宋" w:cs="仿宋"/>
        </w:rPr>
        <w:t>（1）公共管网新增非自备水源用水户：由县住建局开展初步预算额度测算，报送县水务局审核备案。</w:t>
      </w:r>
    </w:p>
    <w:p w14:paraId="176BEF35">
      <w:pPr>
        <w:pStyle w:val="12"/>
        <w:widowControl/>
        <w:rPr>
          <w:rFonts w:hint="eastAsia" w:ascii="仿宋" w:hAnsi="仿宋" w:eastAsia="仿宋" w:cs="仿宋"/>
        </w:rPr>
      </w:pPr>
      <w:r>
        <w:rPr>
          <w:rFonts w:hint="eastAsia" w:ascii="仿宋" w:hAnsi="仿宋" w:eastAsia="仿宋" w:cs="仿宋"/>
        </w:rPr>
        <w:t>（2）新增自备水源用水户：依法应当办理取水许可的，依法申请领取取水许可证；取水许可水量作为预算核定重要依据。</w:t>
      </w:r>
    </w:p>
    <w:p w14:paraId="22C4867E">
      <w:pPr>
        <w:pStyle w:val="12"/>
        <w:widowControl/>
        <w:ind w:firstLine="643" w:firstLineChars="0"/>
        <w:rPr>
          <w:rFonts w:hint="eastAsia" w:ascii="仿宋" w:hAnsi="仿宋" w:eastAsia="仿宋" w:cs="仿宋"/>
        </w:rPr>
      </w:pPr>
      <w:r>
        <w:rPr>
          <w:rFonts w:hint="eastAsia" w:ascii="仿宋" w:hAnsi="仿宋" w:eastAsia="仿宋" w:cs="仿宋"/>
          <w:b/>
        </w:rPr>
        <w:t>第十五条</w:t>
      </w:r>
      <w:r>
        <w:rPr>
          <w:rStyle w:val="21"/>
          <w:rFonts w:hint="eastAsia" w:ascii="仿宋" w:hAnsi="仿宋" w:eastAsia="仿宋" w:cs="仿宋"/>
          <w:b/>
        </w:rPr>
        <w:t>（基准额度核算）</w:t>
      </w:r>
      <w:r>
        <w:rPr>
          <w:rFonts w:hint="eastAsia" w:ascii="仿宋" w:hAnsi="仿宋" w:eastAsia="仿宋" w:cs="仿宋"/>
          <w:bCs/>
        </w:rPr>
        <w:t>独立预算户基准额度可选用定额法、历史统计法或综合法核算，优先执行国家用水定额标准及《四川省用水定额》；农牧业用水优先执行《四川省农业生</w:t>
      </w:r>
      <w:r>
        <w:rPr>
          <w:rFonts w:hint="eastAsia" w:ascii="仿宋" w:hAnsi="仿宋" w:eastAsia="仿宋" w:cs="仿宋"/>
        </w:rPr>
        <w:t>产取用水限额（试行）》；暂无对应定额标准的用水单元，结合高原牧区用水特征综合核定。</w:t>
      </w:r>
    </w:p>
    <w:p w14:paraId="68685920">
      <w:pPr>
        <w:pStyle w:val="12"/>
        <w:widowControl/>
        <w:ind w:firstLine="643" w:firstLineChars="0"/>
        <w:rPr>
          <w:rFonts w:hint="eastAsia" w:ascii="仿宋" w:hAnsi="仿宋" w:eastAsia="仿宋" w:cs="仿宋"/>
        </w:rPr>
      </w:pPr>
      <w:r>
        <w:rPr>
          <w:rFonts w:hint="eastAsia" w:ascii="仿宋" w:hAnsi="仿宋" w:eastAsia="仿宋" w:cs="仿宋"/>
        </w:rPr>
        <w:t>自备水源户由县水务局核算；管网内独立用水户由县住建局结合供水台账初审，县水务局开展总量复核。打捆管理片区以乡镇、灌区为单元综合测算片区总基准额度。</w:t>
      </w:r>
    </w:p>
    <w:p w14:paraId="06301A2A">
      <w:pPr>
        <w:pStyle w:val="12"/>
        <w:widowControl/>
        <w:ind w:firstLine="643" w:firstLineChars="0"/>
        <w:rPr>
          <w:rFonts w:hint="eastAsia" w:ascii="仿宋" w:hAnsi="仿宋" w:eastAsia="仿宋" w:cs="仿宋"/>
          <w:b/>
        </w:rPr>
      </w:pPr>
      <w:r>
        <w:rPr>
          <w:rFonts w:hint="eastAsia" w:ascii="仿宋" w:hAnsi="仿宋" w:eastAsia="仿宋" w:cs="仿宋"/>
          <w:b/>
        </w:rPr>
        <w:t>第十六条</w:t>
      </w:r>
      <w:r>
        <w:rPr>
          <w:rStyle w:val="21"/>
          <w:rFonts w:hint="eastAsia" w:ascii="仿宋" w:hAnsi="仿宋" w:eastAsia="仿宋" w:cs="仿宋"/>
          <w:b/>
        </w:rPr>
        <w:t>（告知与复核）</w:t>
      </w:r>
      <w:r>
        <w:rPr>
          <w:rFonts w:hint="eastAsia" w:ascii="仿宋" w:hAnsi="仿宋" w:eastAsia="仿宋" w:cs="仿宋"/>
        </w:rPr>
        <w:t>县水务局汇总形成全部用水户、打捆片区初步基准额度：</w:t>
      </w:r>
    </w:p>
    <w:p w14:paraId="7E686232">
      <w:pPr>
        <w:pStyle w:val="12"/>
        <w:widowControl/>
        <w:rPr>
          <w:rFonts w:hint="eastAsia" w:ascii="仿宋" w:hAnsi="仿宋" w:eastAsia="仿宋" w:cs="仿宋"/>
        </w:rPr>
      </w:pPr>
      <w:r>
        <w:rPr>
          <w:rFonts w:hint="eastAsia" w:ascii="仿宋" w:hAnsi="仿宋" w:eastAsia="仿宋" w:cs="仿宋"/>
        </w:rPr>
        <w:t>自备水源户由县水务局直接告知；</w:t>
      </w:r>
    </w:p>
    <w:p w14:paraId="058C0710">
      <w:pPr>
        <w:pStyle w:val="12"/>
        <w:widowControl/>
        <w:rPr>
          <w:rFonts w:hint="eastAsia" w:ascii="仿宋" w:hAnsi="仿宋" w:eastAsia="仿宋" w:cs="仿宋"/>
        </w:rPr>
      </w:pPr>
      <w:r>
        <w:rPr>
          <w:rFonts w:hint="eastAsia" w:ascii="仿宋" w:hAnsi="仿宋" w:eastAsia="仿宋" w:cs="仿宋"/>
        </w:rPr>
        <w:t>公共供水管网内用水户由县住建局完成额度告知。</w:t>
      </w:r>
    </w:p>
    <w:p w14:paraId="67F79DB1">
      <w:pPr>
        <w:pStyle w:val="12"/>
        <w:widowControl/>
        <w:rPr>
          <w:rFonts w:hint="eastAsia" w:ascii="仿宋" w:hAnsi="仿宋" w:eastAsia="仿宋" w:cs="仿宋"/>
        </w:rPr>
      </w:pPr>
      <w:r>
        <w:rPr>
          <w:rFonts w:hint="eastAsia" w:ascii="仿宋" w:hAnsi="仿宋" w:eastAsia="仿宋" w:cs="仿宋"/>
        </w:rPr>
        <w:t>管理对象对额度有异议，收到告知10个工作日内提交复核申请：自备水源户向县水务局申请；管网内用水户向县住建局提交，由县住建局初审后移交县水务局统一复核。县水务局收到复核申请10个工作日内完成复核并反馈结果。逾期未提交复核申请，视为无异议。</w:t>
      </w:r>
    </w:p>
    <w:p w14:paraId="216987F0">
      <w:pPr>
        <w:pStyle w:val="12"/>
        <w:widowControl/>
        <w:ind w:firstLine="643" w:firstLineChars="0"/>
        <w:rPr>
          <w:rFonts w:hint="eastAsia" w:ascii="仿宋" w:hAnsi="仿宋" w:eastAsia="仿宋" w:cs="仿宋"/>
          <w:b/>
        </w:rPr>
      </w:pPr>
      <w:r>
        <w:rPr>
          <w:rFonts w:hint="eastAsia" w:ascii="仿宋" w:hAnsi="仿宋" w:eastAsia="仿宋" w:cs="仿宋"/>
          <w:b/>
        </w:rPr>
        <w:t>第十七条</w:t>
      </w:r>
      <w:r>
        <w:rPr>
          <w:rStyle w:val="21"/>
          <w:rFonts w:hint="eastAsia" w:ascii="仿宋" w:hAnsi="仿宋" w:eastAsia="仿宋" w:cs="仿宋"/>
          <w:b/>
        </w:rPr>
        <w:t>（县级水预算草案编制）</w:t>
      </w:r>
      <w:r>
        <w:rPr>
          <w:rFonts w:hint="eastAsia" w:ascii="仿宋" w:hAnsi="仿宋" w:eastAsia="仿宋" w:cs="仿宋"/>
        </w:rPr>
        <w:t>县水务局根据行业类别、用水特征及数据完备程度，差异化选取定额法、统计法、综合法核算，并将非常规水纳入基准额度统筹计算，确保预算底数真实、测算标准精准、额度分配科学，逐级汇总形成全县年度水预算草案</w:t>
      </w:r>
      <w:r>
        <w:rPr>
          <w:rFonts w:hint="eastAsia" w:ascii="仿宋" w:hAnsi="仿宋" w:eastAsia="仿宋" w:cs="仿宋"/>
          <w:lang w:eastAsia="zh-CN"/>
        </w:rPr>
        <w:t>并</w:t>
      </w:r>
      <w:bookmarkStart w:id="0" w:name="_GoBack"/>
      <w:bookmarkEnd w:id="0"/>
      <w:r>
        <w:rPr>
          <w:rFonts w:hint="eastAsia" w:ascii="仿宋" w:hAnsi="仿宋" w:eastAsia="仿宋" w:cs="仿宋"/>
        </w:rPr>
        <w:t>征求县住建局及相关部门意见。</w:t>
      </w:r>
    </w:p>
    <w:p w14:paraId="6890C698">
      <w:pPr>
        <w:pStyle w:val="12"/>
        <w:widowControl/>
        <w:ind w:firstLine="643" w:firstLineChars="0"/>
        <w:rPr>
          <w:rFonts w:hint="eastAsia" w:ascii="仿宋" w:hAnsi="仿宋" w:eastAsia="仿宋" w:cs="仿宋"/>
          <w:b/>
        </w:rPr>
      </w:pPr>
      <w:r>
        <w:rPr>
          <w:rFonts w:hint="eastAsia" w:ascii="仿宋" w:hAnsi="仿宋" w:eastAsia="仿宋" w:cs="仿宋"/>
          <w:b/>
        </w:rPr>
        <w:t>第十八条</w:t>
      </w:r>
      <w:r>
        <w:rPr>
          <w:rStyle w:val="21"/>
          <w:rFonts w:hint="eastAsia" w:ascii="仿宋" w:hAnsi="仿宋" w:eastAsia="仿宋" w:cs="仿宋"/>
          <w:b/>
        </w:rPr>
        <w:t>（指标调剂）</w:t>
      </w:r>
      <w:r>
        <w:rPr>
          <w:rFonts w:hint="eastAsia" w:ascii="仿宋" w:hAnsi="仿宋" w:eastAsia="仿宋" w:cs="仿宋"/>
        </w:rPr>
        <w:t>试点阶段节水改造产生的节余预算额度，可在县域内农业、公共机构用水主体间探索内部调剂，调剂不突破县域用水总量红线。公共管网用水户节余额度调剂，由县住建局前置审核后，县水务局按程序统筹办理。</w:t>
      </w:r>
    </w:p>
    <w:p w14:paraId="151FAF34">
      <w:pPr>
        <w:rPr>
          <w:rFonts w:hint="eastAsia" w:ascii="仿宋" w:hAnsi="仿宋" w:eastAsia="仿宋" w:cs="仿宋"/>
          <w:sz w:val="32"/>
          <w:szCs w:val="32"/>
        </w:rPr>
      </w:pPr>
      <w:r>
        <w:rPr>
          <w:rFonts w:hint="eastAsia" w:ascii="仿宋" w:hAnsi="仿宋" w:eastAsia="仿宋" w:cs="仿宋"/>
          <w:sz w:val="32"/>
          <w:szCs w:val="32"/>
        </w:rPr>
        <w:br w:type="page"/>
      </w:r>
    </w:p>
    <w:p w14:paraId="7B912CA3">
      <w:pPr>
        <w:pStyle w:val="2"/>
        <w:widowControl/>
        <w:numPr>
          <w:ilvl w:val="0"/>
          <w:numId w:val="1"/>
        </w:numPr>
        <w:rPr>
          <w:rFonts w:hint="eastAsia" w:ascii="黑体" w:hAnsi="黑体" w:cs="黑体"/>
        </w:rPr>
      </w:pPr>
      <w:r>
        <w:rPr>
          <w:rFonts w:hint="eastAsia" w:ascii="黑体" w:hAnsi="黑体" w:cs="黑体"/>
        </w:rPr>
        <w:t xml:space="preserve"> 水预算审核和下达</w:t>
      </w:r>
    </w:p>
    <w:p w14:paraId="0B6A65C0">
      <w:pPr>
        <w:ind w:firstLine="480"/>
      </w:pPr>
    </w:p>
    <w:p w14:paraId="0BCE2609">
      <w:pPr>
        <w:pStyle w:val="12"/>
        <w:widowControl/>
        <w:ind w:firstLine="643" w:firstLineChars="0"/>
        <w:rPr>
          <w:rFonts w:hint="eastAsia" w:ascii="仿宋" w:hAnsi="仿宋" w:eastAsia="仿宋" w:cs="仿宋"/>
          <w:b/>
        </w:rPr>
      </w:pPr>
      <w:r>
        <w:rPr>
          <w:rFonts w:hint="eastAsia" w:ascii="仿宋" w:hAnsi="仿宋" w:eastAsia="仿宋" w:cs="仿宋"/>
          <w:b/>
        </w:rPr>
        <w:t>第十九条</w:t>
      </w:r>
      <w:r>
        <w:rPr>
          <w:rStyle w:val="21"/>
          <w:rFonts w:hint="eastAsia" w:ascii="仿宋" w:hAnsi="仿宋" w:eastAsia="仿宋" w:cs="仿宋"/>
          <w:b/>
        </w:rPr>
        <w:t>（预算审核）</w:t>
      </w:r>
      <w:r>
        <w:rPr>
          <w:rFonts w:hint="eastAsia" w:ascii="仿宋" w:hAnsi="仿宋" w:eastAsia="仿宋" w:cs="仿宋"/>
        </w:rPr>
        <w:t>县水务局会同县住建局对县级水预算草案开展审核，书面征求县发改局、县科农局、县生态环境局等相关部门意见，吸纳合理意见完善预算草案。</w:t>
      </w:r>
    </w:p>
    <w:p w14:paraId="7E95CBFB">
      <w:pPr>
        <w:pStyle w:val="12"/>
        <w:widowControl/>
        <w:ind w:firstLine="643" w:firstLineChars="0"/>
        <w:rPr>
          <w:rFonts w:hint="eastAsia" w:ascii="仿宋" w:hAnsi="仿宋" w:eastAsia="仿宋" w:cs="仿宋"/>
          <w:b/>
        </w:rPr>
      </w:pPr>
      <w:r>
        <w:rPr>
          <w:rFonts w:hint="eastAsia" w:ascii="仿宋" w:hAnsi="仿宋" w:eastAsia="仿宋" w:cs="仿宋"/>
          <w:b/>
        </w:rPr>
        <w:t>第二十条（预算批准备案）</w:t>
      </w:r>
      <w:r>
        <w:rPr>
          <w:rFonts w:hint="eastAsia" w:ascii="仿宋" w:hAnsi="仿宋" w:eastAsia="仿宋" w:cs="仿宋"/>
        </w:rPr>
        <w:t>审核后的水预算草案报县人民政府批准后正式生效，同步报送阿坝州水务局备案。</w:t>
      </w:r>
    </w:p>
    <w:p w14:paraId="53BF5C89">
      <w:pPr>
        <w:pStyle w:val="12"/>
        <w:widowControl/>
        <w:ind w:firstLine="643" w:firstLineChars="0"/>
        <w:rPr>
          <w:rFonts w:hint="eastAsia" w:ascii="仿宋" w:hAnsi="仿宋" w:eastAsia="仿宋" w:cs="仿宋"/>
          <w:b/>
        </w:rPr>
      </w:pPr>
      <w:r>
        <w:rPr>
          <w:rFonts w:hint="eastAsia" w:ascii="仿宋" w:hAnsi="仿宋" w:eastAsia="仿宋" w:cs="仿宋"/>
          <w:b/>
        </w:rPr>
        <w:t>第二十一条（预算下达）</w:t>
      </w:r>
      <w:r>
        <w:rPr>
          <w:rFonts w:hint="eastAsia" w:ascii="仿宋" w:hAnsi="仿宋" w:eastAsia="仿宋" w:cs="仿宋"/>
        </w:rPr>
        <w:t>县水务局于次年1月31日前完成额度下达工作：</w:t>
      </w:r>
    </w:p>
    <w:p w14:paraId="6F4DD373">
      <w:pPr>
        <w:pStyle w:val="12"/>
        <w:widowControl/>
        <w:ind w:firstLineChars="0"/>
        <w:rPr>
          <w:rFonts w:hint="eastAsia" w:ascii="仿宋" w:hAnsi="仿宋" w:eastAsia="仿宋" w:cs="仿宋"/>
        </w:rPr>
      </w:pPr>
      <w:r>
        <w:rPr>
          <w:rFonts w:ascii="仿宋" w:hAnsi="仿宋" w:eastAsia="仿宋" w:cs="仿宋"/>
        </w:rPr>
        <w:t>1.</w:t>
      </w:r>
      <w:r>
        <w:rPr>
          <w:rFonts w:hint="eastAsia" w:ascii="仿宋" w:hAnsi="仿宋" w:eastAsia="仿宋" w:cs="仿宋"/>
        </w:rPr>
        <w:t>自备水源用水户，由县水务局直接下达水预算基准额度；</w:t>
      </w:r>
    </w:p>
    <w:p w14:paraId="17B5E142">
      <w:pPr>
        <w:pStyle w:val="12"/>
        <w:widowControl/>
        <w:ind w:firstLineChars="0"/>
        <w:rPr>
          <w:rFonts w:hint="eastAsia" w:ascii="仿宋" w:hAnsi="仿宋" w:eastAsia="仿宋" w:cs="仿宋"/>
        </w:rPr>
      </w:pPr>
      <w:r>
        <w:rPr>
          <w:rFonts w:ascii="仿宋" w:hAnsi="仿宋" w:eastAsia="仿宋" w:cs="仿宋"/>
        </w:rPr>
        <w:t>2.</w:t>
      </w:r>
      <w:r>
        <w:rPr>
          <w:rFonts w:hint="eastAsia" w:ascii="仿宋" w:hAnsi="仿宋" w:eastAsia="仿宋" w:cs="仿宋"/>
        </w:rPr>
        <w:t>城镇公共供水管网内独立预算户，由县水务局将核定额度抄送县住建局，由县住建局向用水户正式下达；</w:t>
      </w:r>
    </w:p>
    <w:p w14:paraId="378F6BD5">
      <w:pPr>
        <w:pStyle w:val="12"/>
        <w:widowControl/>
        <w:ind w:firstLineChars="0"/>
        <w:rPr>
          <w:rFonts w:hint="eastAsia" w:ascii="仿宋" w:hAnsi="仿宋" w:eastAsia="仿宋" w:cs="仿宋"/>
        </w:rPr>
      </w:pPr>
      <w:r>
        <w:rPr>
          <w:rFonts w:ascii="仿宋" w:hAnsi="仿宋" w:eastAsia="仿宋" w:cs="仿宋"/>
        </w:rPr>
        <w:t>3.</w:t>
      </w:r>
      <w:r>
        <w:rPr>
          <w:rFonts w:hint="eastAsia" w:ascii="仿宋" w:hAnsi="仿宋" w:eastAsia="仿宋" w:cs="仿宋"/>
        </w:rPr>
        <w:t>打捆管理片区总预算控制额度，下达至相关乡镇及供水单位。</w:t>
      </w:r>
    </w:p>
    <w:p w14:paraId="14288F77">
      <w:pPr>
        <w:pStyle w:val="2"/>
        <w:widowControl/>
        <w:numPr>
          <w:ilvl w:val="0"/>
          <w:numId w:val="1"/>
        </w:numPr>
        <w:rPr>
          <w:rFonts w:hint="eastAsia" w:ascii="黑体" w:hAnsi="黑体" w:cs="黑体"/>
        </w:rPr>
      </w:pPr>
      <w:r>
        <w:rPr>
          <w:rFonts w:hint="eastAsia" w:ascii="黑体" w:hAnsi="黑体" w:cs="黑体"/>
        </w:rPr>
        <w:t xml:space="preserve"> 水预算执行和调整</w:t>
      </w:r>
    </w:p>
    <w:p w14:paraId="73148DD6">
      <w:pPr>
        <w:pStyle w:val="12"/>
        <w:widowControl/>
        <w:ind w:firstLine="643" w:firstLineChars="0"/>
        <w:rPr>
          <w:rFonts w:hint="eastAsia" w:ascii="仿宋" w:hAnsi="仿宋" w:eastAsia="仿宋" w:cs="仿宋"/>
          <w:b/>
        </w:rPr>
      </w:pPr>
      <w:r>
        <w:rPr>
          <w:rStyle w:val="21"/>
          <w:rFonts w:hint="eastAsia" w:ascii="仿宋" w:hAnsi="仿宋" w:eastAsia="仿宋" w:cs="仿宋"/>
          <w:b/>
          <w:bCs/>
        </w:rPr>
        <w:t>第二十二条（预算执行）</w:t>
      </w:r>
      <w:r>
        <w:rPr>
          <w:rFonts w:hint="eastAsia" w:ascii="仿宋" w:hAnsi="仿宋" w:eastAsia="仿宋" w:cs="仿宋"/>
        </w:rPr>
        <w:t>水预算应当按照县人民政府批准的额度严格执行。独立预算户应当在下达额度内规范取用水；打捆片区实行片区总用水量管控。水预算执行服从杜柯河、则曲河流域统一调度，优先保障预算内民生、生态用水。 自备水源用水执行监管由县水务局负责；城镇公共管网内用水执行监管由县住建局负责。</w:t>
      </w:r>
    </w:p>
    <w:p w14:paraId="76924120">
      <w:pPr>
        <w:pStyle w:val="12"/>
        <w:widowControl/>
        <w:ind w:firstLine="643" w:firstLineChars="0"/>
        <w:rPr>
          <w:rFonts w:hint="eastAsia" w:ascii="仿宋" w:hAnsi="仿宋" w:eastAsia="仿宋" w:cs="仿宋"/>
        </w:rPr>
      </w:pPr>
      <w:r>
        <w:rPr>
          <w:rStyle w:val="21"/>
          <w:rFonts w:hint="eastAsia" w:ascii="仿宋" w:hAnsi="仿宋" w:eastAsia="仿宋" w:cs="仿宋"/>
          <w:b/>
          <w:bCs/>
        </w:rPr>
        <w:t>第二十三条（预警管控）</w:t>
      </w:r>
      <w:r>
        <w:rPr>
          <w:rFonts w:hint="eastAsia" w:ascii="仿宋" w:hAnsi="仿宋" w:eastAsia="仿宋" w:cs="仿宋"/>
        </w:rPr>
        <w:t>建立预算执行预警机制。独立预算户实际用水量达到基准额度80%时开展预警提醒：自备水源户由县水务局预警；管网内用水户由县住建局预警。超预算用水的，应当制定节水整改方案，限期整改到位。</w:t>
      </w:r>
      <w:r>
        <w:rPr>
          <w:rStyle w:val="21"/>
          <w:rFonts w:hint="eastAsia" w:ascii="仿宋" w:hAnsi="仿宋" w:eastAsia="仿宋" w:cs="仿宋"/>
        </w:rPr>
        <w:t>超定额（超计划）用水部分，依法按照超定额累进加价制度加价收费。</w:t>
      </w:r>
    </w:p>
    <w:p w14:paraId="63D96887">
      <w:pPr>
        <w:pStyle w:val="12"/>
        <w:widowControl/>
        <w:ind w:firstLine="643" w:firstLineChars="0"/>
        <w:rPr>
          <w:rFonts w:hint="eastAsia" w:ascii="仿宋" w:hAnsi="仿宋" w:eastAsia="仿宋" w:cs="仿宋"/>
          <w:b/>
        </w:rPr>
      </w:pPr>
      <w:r>
        <w:rPr>
          <w:rStyle w:val="21"/>
          <w:rFonts w:hint="eastAsia" w:ascii="仿宋" w:hAnsi="仿宋" w:eastAsia="仿宋" w:cs="仿宋"/>
          <w:b/>
          <w:bCs/>
        </w:rPr>
        <w:t>第二十四条（预算调整）</w:t>
      </w:r>
      <w:r>
        <w:rPr>
          <w:rFonts w:hint="eastAsia" w:ascii="仿宋" w:hAnsi="仿宋" w:eastAsia="仿宋" w:cs="仿宋"/>
        </w:rPr>
        <w:t>经批准的水预算指标原则上不予调整。遇企业重大生产计划变更、新增经批准重大用水项目、供水范围变更、特大自然灾害等情形确需调整，用水单位提前 30个工作日提交书面申请，附佐证材料及情况说明，核实后按程序调整；调整不得突破县域用水总量红线。</w:t>
      </w:r>
    </w:p>
    <w:p w14:paraId="268BDF48">
      <w:pPr>
        <w:pStyle w:val="12"/>
        <w:widowControl/>
        <w:ind w:firstLineChars="0"/>
        <w:rPr>
          <w:rFonts w:hint="eastAsia" w:ascii="仿宋" w:hAnsi="仿宋" w:eastAsia="仿宋" w:cs="仿宋"/>
        </w:rPr>
      </w:pPr>
      <w:r>
        <w:rPr>
          <w:rFonts w:ascii="仿宋" w:hAnsi="仿宋" w:eastAsia="仿宋" w:cs="仿宋"/>
        </w:rPr>
        <w:t>1.</w:t>
      </w:r>
      <w:r>
        <w:rPr>
          <w:rStyle w:val="21"/>
          <w:rFonts w:hint="eastAsia" w:ascii="仿宋" w:hAnsi="仿宋" w:eastAsia="仿宋" w:cs="仿宋"/>
        </w:rPr>
        <w:t>自备水源独立预算户</w:t>
      </w:r>
      <w:r>
        <w:rPr>
          <w:rFonts w:hint="eastAsia" w:ascii="仿宋" w:hAnsi="仿宋" w:eastAsia="仿宋" w:cs="仿宋"/>
        </w:rPr>
        <w:t>：直接向县水务局提交调整申请；</w:t>
      </w:r>
    </w:p>
    <w:p w14:paraId="5F0197A2">
      <w:pPr>
        <w:pStyle w:val="12"/>
        <w:widowControl/>
        <w:ind w:firstLineChars="0"/>
        <w:rPr>
          <w:rFonts w:hint="eastAsia" w:ascii="仿宋" w:hAnsi="仿宋" w:eastAsia="仿宋" w:cs="仿宋"/>
        </w:rPr>
      </w:pPr>
      <w:r>
        <w:rPr>
          <w:rFonts w:ascii="仿宋" w:hAnsi="仿宋" w:eastAsia="仿宋" w:cs="仿宋"/>
        </w:rPr>
        <w:t>2.</w:t>
      </w:r>
      <w:r>
        <w:rPr>
          <w:rStyle w:val="21"/>
          <w:rFonts w:hint="eastAsia" w:ascii="仿宋" w:hAnsi="仿宋" w:eastAsia="仿宋" w:cs="仿宋"/>
        </w:rPr>
        <w:t>城镇公共供水管网内独立预算户</w:t>
      </w:r>
      <w:r>
        <w:rPr>
          <w:rFonts w:hint="eastAsia" w:ascii="仿宋" w:hAnsi="仿宋" w:eastAsia="仿宋" w:cs="仿宋"/>
        </w:rPr>
        <w:t>：向县住建局提交调整申请，转送县水务局审核；</w:t>
      </w:r>
    </w:p>
    <w:p w14:paraId="5B2310D2">
      <w:pPr>
        <w:pStyle w:val="12"/>
        <w:widowControl/>
        <w:rPr>
          <w:rFonts w:hint="eastAsia" w:ascii="仿宋" w:hAnsi="仿宋" w:eastAsia="仿宋" w:cs="仿宋"/>
        </w:rPr>
      </w:pPr>
      <w:r>
        <w:rPr>
          <w:rFonts w:ascii="仿宋" w:hAnsi="仿宋" w:eastAsia="仿宋" w:cs="仿宋"/>
        </w:rPr>
        <w:t>3.</w:t>
      </w:r>
      <w:r>
        <w:rPr>
          <w:rStyle w:val="21"/>
          <w:rFonts w:hint="eastAsia" w:ascii="仿宋" w:hAnsi="仿宋" w:eastAsia="仿宋" w:cs="仿宋"/>
        </w:rPr>
        <w:t>打捆片区预算调整</w:t>
      </w:r>
      <w:r>
        <w:rPr>
          <w:rFonts w:hint="eastAsia" w:ascii="仿宋" w:hAnsi="仿宋" w:eastAsia="仿宋" w:cs="仿宋"/>
        </w:rPr>
        <w:t>：由乡镇牵头提出申请，县水务局会同县住建局，结合来水情势、县域用水总量控制红线综合研判后开展审核。</w:t>
      </w:r>
    </w:p>
    <w:p w14:paraId="6B492280">
      <w:pPr>
        <w:pStyle w:val="12"/>
        <w:widowControl/>
        <w:rPr>
          <w:rFonts w:hint="eastAsia" w:ascii="仿宋" w:hAnsi="仿宋" w:eastAsia="仿宋" w:cs="仿宋"/>
        </w:rPr>
      </w:pPr>
      <w:r>
        <w:rPr>
          <w:rFonts w:hint="eastAsia" w:ascii="仿宋" w:hAnsi="仿宋" w:eastAsia="仿宋" w:cs="仿宋"/>
        </w:rPr>
        <w:t>一般性调整由县水务局会同县住建局按程序审批；重大预算调整须报县人民政府审定。水预算额度调整后，同步衔接更新计划用水指标，调整全程不得突破县域用水总量控制目标。</w:t>
      </w:r>
    </w:p>
    <w:p w14:paraId="6FBD7D03">
      <w:pPr>
        <w:pStyle w:val="12"/>
        <w:widowControl/>
        <w:ind w:firstLine="643" w:firstLineChars="0"/>
        <w:rPr>
          <w:rFonts w:hint="eastAsia" w:ascii="仿宋" w:hAnsi="仿宋" w:eastAsia="仿宋" w:cs="仿宋"/>
          <w:b/>
        </w:rPr>
      </w:pPr>
      <w:r>
        <w:rPr>
          <w:rStyle w:val="21"/>
          <w:rFonts w:hint="eastAsia" w:ascii="仿宋" w:hAnsi="仿宋" w:eastAsia="仿宋" w:cs="仿宋"/>
          <w:b/>
          <w:bCs/>
        </w:rPr>
        <w:t>第二十五条（与计划用水衔接）</w:t>
      </w:r>
      <w:r>
        <w:rPr>
          <w:rFonts w:hint="eastAsia" w:ascii="仿宋" w:hAnsi="仿宋" w:eastAsia="仿宋" w:cs="仿宋"/>
        </w:rPr>
        <w:t>水预算是计划用水的全域化精细化升级，两项制度并轨实施，数据同源、成果互通。水预算侧重全县域总量统筹、基准额度核定、全过程监测与决算评估；计划用水聚焦用水户个体年度指标管控。独立预算户以水预算基准额度为基础生成计划用水指标，预算额度发生调整的，计划用水指标同步更新。自备水源计划用水由县水务局管理；城镇公共管网内计划用水由县住建局管理。</w:t>
      </w:r>
    </w:p>
    <w:p w14:paraId="5371C750">
      <w:pPr>
        <w:pStyle w:val="12"/>
        <w:widowControl/>
        <w:ind w:left="643" w:firstLine="0" w:firstLineChars="0"/>
        <w:rPr>
          <w:rFonts w:hint="eastAsia" w:ascii="仿宋" w:hAnsi="仿宋" w:eastAsia="仿宋" w:cs="仿宋"/>
          <w:b/>
        </w:rPr>
      </w:pPr>
    </w:p>
    <w:p w14:paraId="4EF81F34">
      <w:pPr>
        <w:pStyle w:val="2"/>
        <w:widowControl/>
        <w:numPr>
          <w:ilvl w:val="0"/>
          <w:numId w:val="1"/>
        </w:numPr>
        <w:rPr>
          <w:rFonts w:hint="eastAsia" w:ascii="黑体" w:hAnsi="黑体" w:cs="黑体"/>
        </w:rPr>
      </w:pPr>
      <w:r>
        <w:rPr>
          <w:rFonts w:hint="eastAsia" w:ascii="黑体" w:hAnsi="黑体" w:cs="黑体"/>
        </w:rPr>
        <w:t xml:space="preserve"> 水预算决算</w:t>
      </w:r>
    </w:p>
    <w:p w14:paraId="1FD1F13F">
      <w:pPr>
        <w:ind w:firstLine="480"/>
      </w:pPr>
    </w:p>
    <w:p w14:paraId="5420D22E">
      <w:pPr>
        <w:pStyle w:val="16"/>
        <w:widowControl/>
        <w:spacing w:beforeAutospacing="0" w:afterAutospacing="0"/>
        <w:ind w:firstLine="643"/>
        <w:jc w:val="both"/>
        <w:rPr>
          <w:rFonts w:hint="eastAsia" w:ascii="仿宋" w:hAnsi="仿宋" w:eastAsia="仿宋" w:cs="仿宋"/>
          <w:sz w:val="32"/>
        </w:rPr>
      </w:pPr>
      <w:r>
        <w:rPr>
          <w:rFonts w:hint="eastAsia" w:ascii="仿宋" w:hAnsi="仿宋" w:eastAsia="仿宋" w:cs="仿宋"/>
          <w:b/>
          <w:bCs/>
          <w:sz w:val="32"/>
        </w:rPr>
        <w:t>第二十六条</w:t>
      </w:r>
      <w:r>
        <w:rPr>
          <w:rStyle w:val="21"/>
          <w:rFonts w:hint="eastAsia" w:ascii="仿宋" w:hAnsi="仿宋" w:eastAsia="仿宋" w:cs="仿宋"/>
          <w:b/>
          <w:bCs/>
          <w:sz w:val="32"/>
        </w:rPr>
        <w:t>（决算编制）</w:t>
      </w:r>
      <w:r>
        <w:rPr>
          <w:rFonts w:hint="eastAsia" w:ascii="仿宋" w:hAnsi="仿宋" w:eastAsia="仿宋" w:cs="仿宋"/>
          <w:sz w:val="32"/>
        </w:rPr>
        <w:t>县水务局于次年1月30日前组织完成上年度水预算决算。自备水源用水数据由县水务局归集；城镇公共供水管网覆盖范围内用水数据由县住建局组织供水企业汇总后提交县水务局；打捆管理片区由乡镇、供水管理单位汇总片区实际用水数据。独立预算用水户按要求报送年度实际用水情况。决算比对年初下达额度、年度调整额度与实际用水量，分析预算执行偏差，测算用水执行率，确保数据真实准确。</w:t>
      </w:r>
    </w:p>
    <w:p w14:paraId="0A2C15D1">
      <w:pPr>
        <w:pStyle w:val="16"/>
        <w:widowControl/>
        <w:spacing w:beforeAutospacing="0" w:afterAutospacing="0"/>
        <w:ind w:firstLine="643"/>
        <w:jc w:val="both"/>
        <w:rPr>
          <w:rFonts w:hint="eastAsia" w:ascii="仿宋" w:hAnsi="仿宋" w:eastAsia="仿宋" w:cs="仿宋"/>
          <w:b/>
          <w:sz w:val="32"/>
        </w:rPr>
      </w:pPr>
      <w:r>
        <w:rPr>
          <w:rFonts w:hint="eastAsia" w:ascii="仿宋" w:hAnsi="仿宋" w:eastAsia="仿宋" w:cs="仿宋"/>
          <w:b/>
          <w:bCs/>
          <w:sz w:val="32"/>
        </w:rPr>
        <w:t>第二十七条（决算主要内容）</w:t>
      </w:r>
      <w:r>
        <w:rPr>
          <w:rFonts w:hint="eastAsia" w:ascii="仿宋" w:hAnsi="仿宋" w:eastAsia="仿宋" w:cs="仿宋"/>
          <w:sz w:val="32"/>
        </w:rPr>
        <w:t>年度水预算决算报告主要包含：预算编制及额度下达情况、年度预算调整情况、用水预算执行情况、用水绩效评估、非常规水源开发利用情况、存在问题及下年度改进建议等内容。</w:t>
      </w:r>
    </w:p>
    <w:p w14:paraId="584DA401">
      <w:pPr>
        <w:pStyle w:val="12"/>
        <w:widowControl/>
        <w:ind w:firstLine="643" w:firstLineChars="0"/>
        <w:rPr>
          <w:rFonts w:hint="eastAsia" w:ascii="仿宋" w:hAnsi="仿宋" w:eastAsia="仿宋" w:cs="仿宋"/>
        </w:rPr>
      </w:pPr>
      <w:r>
        <w:rPr>
          <w:rFonts w:hint="eastAsia" w:ascii="仿宋" w:hAnsi="仿宋" w:eastAsia="仿宋" w:cs="仿宋"/>
          <w:b/>
          <w:bCs/>
        </w:rPr>
        <w:t>第二十八条（决算审批备案）</w:t>
      </w:r>
      <w:r>
        <w:rPr>
          <w:rFonts w:hint="eastAsia" w:ascii="仿宋" w:hAnsi="仿宋" w:eastAsia="仿宋" w:cs="仿宋"/>
        </w:rPr>
        <w:t>县水务局会同县住建局及相关部门审核年度决算报告，报送阿坝州水务局备案。决算评估结果作为以后年度水预算基准额度核定的重要依据。</w:t>
      </w:r>
    </w:p>
    <w:p w14:paraId="3599933B">
      <w:pPr>
        <w:rPr>
          <w:rFonts w:hint="eastAsia" w:ascii="仿宋" w:hAnsi="仿宋" w:eastAsia="仿宋" w:cs="仿宋"/>
          <w:sz w:val="32"/>
        </w:rPr>
      </w:pPr>
      <w:r>
        <w:rPr>
          <w:rFonts w:hint="eastAsia" w:ascii="仿宋" w:hAnsi="仿宋" w:eastAsia="仿宋" w:cs="仿宋"/>
          <w:sz w:val="32"/>
        </w:rPr>
        <w:br w:type="page"/>
      </w:r>
    </w:p>
    <w:p w14:paraId="5FB2023E">
      <w:pPr>
        <w:pStyle w:val="2"/>
        <w:widowControl/>
        <w:numPr>
          <w:ilvl w:val="0"/>
          <w:numId w:val="1"/>
        </w:numPr>
        <w:rPr>
          <w:rFonts w:hint="eastAsia" w:ascii="黑体" w:hAnsi="黑体" w:cs="黑体"/>
        </w:rPr>
      </w:pPr>
      <w:r>
        <w:rPr>
          <w:rFonts w:hint="eastAsia" w:ascii="黑体" w:hAnsi="黑体" w:cs="黑体"/>
        </w:rPr>
        <w:t xml:space="preserve"> 监督管理</w:t>
      </w:r>
    </w:p>
    <w:p w14:paraId="4B0CED1F">
      <w:pPr>
        <w:ind w:firstLine="480"/>
      </w:pPr>
    </w:p>
    <w:p w14:paraId="49F1ADFB">
      <w:pPr>
        <w:pStyle w:val="12"/>
        <w:widowControl/>
        <w:ind w:firstLine="643"/>
        <w:rPr>
          <w:rFonts w:hint="eastAsia" w:ascii="仿宋" w:hAnsi="仿宋" w:eastAsia="仿宋" w:cs="仿宋"/>
          <w:b/>
        </w:rPr>
      </w:pPr>
      <w:r>
        <w:rPr>
          <w:rStyle w:val="21"/>
          <w:rFonts w:hint="eastAsia" w:ascii="仿宋" w:hAnsi="仿宋" w:eastAsia="仿宋" w:cs="仿宋"/>
          <w:b/>
          <w:bCs/>
        </w:rPr>
        <w:t>第二十九条（计量监测要求）</w:t>
      </w:r>
      <w:r>
        <w:rPr>
          <w:rFonts w:hint="eastAsia" w:ascii="仿宋" w:hAnsi="仿宋" w:eastAsia="仿宋" w:cs="仿宋"/>
        </w:rPr>
        <w:t>独立预算户应当配备合格计量器具，逐步推进现有计量设备在线化改造归集；灌区渠首、乡镇集中供水厂完善在线计量设施；打捆管理片区结合工程建设分批补齐计量手段。建立计量设施巡检、校准维护制度，适配高原高寒运行条件。自备水源取水计量监管由县水务局负责；城镇供水厂及管网内用水户计量监管由县住建局负责。依托四川省水资源管理调配系统开展数据归集，待条件成熟后统筹探索建设县级独立智慧水资源监控平台。</w:t>
      </w:r>
    </w:p>
    <w:p w14:paraId="57AC495A">
      <w:pPr>
        <w:pStyle w:val="12"/>
        <w:widowControl/>
        <w:ind w:firstLine="643" w:firstLineChars="0"/>
        <w:rPr>
          <w:rStyle w:val="21"/>
          <w:rFonts w:hint="eastAsia" w:ascii="仿宋" w:hAnsi="仿宋" w:eastAsia="仿宋" w:cs="仿宋"/>
        </w:rPr>
      </w:pPr>
      <w:r>
        <w:rPr>
          <w:rStyle w:val="21"/>
          <w:rFonts w:hint="eastAsia" w:ascii="仿宋" w:hAnsi="仿宋" w:eastAsia="仿宋" w:cs="仿宋"/>
          <w:b/>
          <w:bCs/>
        </w:rPr>
        <w:t>第三十条（多部门协同监管）</w:t>
      </w:r>
      <w:r>
        <w:rPr>
          <w:rFonts w:hint="eastAsia" w:ascii="仿宋" w:hAnsi="仿宋" w:eastAsia="仿宋" w:cs="仿宋"/>
        </w:rPr>
        <w:t>各部门按照职责开展监督检查。县水务局将水预算执行情况纳入自备水源取水许可事中事后监管，对</w:t>
      </w:r>
      <w:r>
        <w:rPr>
          <w:rStyle w:val="21"/>
          <w:rFonts w:hint="eastAsia" w:ascii="仿宋" w:hAnsi="仿宋" w:eastAsia="仿宋" w:cs="仿宋"/>
        </w:rPr>
        <w:t xml:space="preserve">自备水源户超预算且整改不到位的，依法作为取水许可延续、变更审批的审查参考。县住建局强化城镇公共供水管网内用水户日常监督，督促供水企业落实水预算管控要求。 </w:t>
      </w:r>
    </w:p>
    <w:p w14:paraId="0786F35E">
      <w:pPr>
        <w:pStyle w:val="12"/>
        <w:widowControl/>
        <w:ind w:firstLine="643" w:firstLineChars="0"/>
        <w:rPr>
          <w:rFonts w:hint="eastAsia" w:ascii="仿宋" w:hAnsi="仿宋" w:eastAsia="仿宋" w:cs="仿宋"/>
        </w:rPr>
      </w:pPr>
      <w:r>
        <w:rPr>
          <w:rStyle w:val="21"/>
          <w:rFonts w:hint="eastAsia" w:ascii="仿宋" w:hAnsi="仿宋" w:eastAsia="仿宋" w:cs="仿宋"/>
        </w:rPr>
        <w:t>全县水预算执行结果统一纳入最严格水资源管理制度考核。</w:t>
      </w:r>
    </w:p>
    <w:p w14:paraId="5F32FF50">
      <w:pPr>
        <w:pStyle w:val="12"/>
        <w:widowControl/>
        <w:ind w:firstLine="643" w:firstLineChars="0"/>
        <w:rPr>
          <w:rFonts w:hint="eastAsia" w:ascii="仿宋" w:hAnsi="仿宋" w:eastAsia="仿宋" w:cs="仿宋"/>
          <w:b/>
        </w:rPr>
      </w:pPr>
      <w:r>
        <w:rPr>
          <w:rStyle w:val="21"/>
          <w:rFonts w:hint="eastAsia" w:ascii="仿宋" w:hAnsi="仿宋" w:eastAsia="仿宋" w:cs="仿宋"/>
          <w:b/>
          <w:bCs/>
        </w:rPr>
        <w:t>第三十一条（用水户义务）</w:t>
      </w:r>
      <w:r>
        <w:rPr>
          <w:rFonts w:hint="eastAsia" w:ascii="仿宋" w:hAnsi="仿宋" w:eastAsia="仿宋" w:cs="仿宋"/>
        </w:rPr>
        <w:t>各用水单位应当落实节水主体责任，完整保存用水台账，配合县水务局、县住建局开展监督检查、数据统计；不得擅自超预算取水用水。</w:t>
      </w:r>
    </w:p>
    <w:p w14:paraId="427999AC">
      <w:pPr>
        <w:rPr>
          <w:rFonts w:hint="eastAsia" w:ascii="黑体" w:hAnsi="黑体" w:eastAsia="黑体" w:cs="黑体"/>
          <w:sz w:val="32"/>
          <w:szCs w:val="32"/>
        </w:rPr>
      </w:pPr>
      <w:r>
        <w:rPr>
          <w:rFonts w:hint="eastAsia" w:ascii="黑体" w:hAnsi="黑体" w:eastAsia="黑体" w:cs="黑体"/>
          <w:sz w:val="32"/>
          <w:szCs w:val="32"/>
        </w:rPr>
        <w:br w:type="page"/>
      </w:r>
    </w:p>
    <w:p w14:paraId="4E092DC1">
      <w:pPr>
        <w:pStyle w:val="2"/>
        <w:widowControl/>
        <w:numPr>
          <w:ilvl w:val="0"/>
          <w:numId w:val="1"/>
        </w:numPr>
        <w:rPr>
          <w:rFonts w:hint="eastAsia" w:ascii="黑体" w:hAnsi="黑体" w:cs="黑体"/>
        </w:rPr>
      </w:pPr>
      <w:r>
        <w:rPr>
          <w:rFonts w:hint="eastAsia" w:ascii="黑体" w:hAnsi="黑体" w:cs="黑体"/>
        </w:rPr>
        <w:t xml:space="preserve"> 附则</w:t>
      </w:r>
    </w:p>
    <w:p w14:paraId="512D2FE3">
      <w:pPr>
        <w:pStyle w:val="12"/>
        <w:widowControl/>
        <w:ind w:firstLine="643" w:firstLineChars="0"/>
        <w:rPr>
          <w:rFonts w:hint="eastAsia" w:ascii="仿宋" w:hAnsi="仿宋" w:eastAsia="仿宋" w:cs="仿宋"/>
          <w:b/>
        </w:rPr>
      </w:pPr>
      <w:r>
        <w:rPr>
          <w:rStyle w:val="21"/>
          <w:rFonts w:hint="eastAsia" w:ascii="仿宋" w:hAnsi="仿宋" w:eastAsia="仿宋" w:cs="仿宋"/>
          <w:b/>
          <w:bCs/>
        </w:rPr>
        <w:t>第三十二条（配套实施细则）</w:t>
      </w:r>
      <w:r>
        <w:rPr>
          <w:rFonts w:hint="eastAsia" w:ascii="仿宋" w:hAnsi="仿宋" w:eastAsia="仿宋" w:cs="仿宋"/>
        </w:rPr>
        <w:t>县水务局依据本办法，结合本县高原农牧业、工业及服务业等用水实际，组织制定水预算核算、村级农牧用水预算申报、节余水量内部调剂等配套实施细则。各乡镇、用水单位可结合实际制定内部用水管控措施。</w:t>
      </w:r>
    </w:p>
    <w:p w14:paraId="4D92EB16">
      <w:pPr>
        <w:pStyle w:val="12"/>
        <w:widowControl/>
        <w:ind w:firstLine="643" w:firstLineChars="0"/>
        <w:rPr>
          <w:rFonts w:hint="eastAsia" w:ascii="仿宋" w:hAnsi="仿宋" w:eastAsia="仿宋" w:cs="仿宋"/>
          <w:b/>
        </w:rPr>
      </w:pPr>
      <w:r>
        <w:rPr>
          <w:rStyle w:val="21"/>
          <w:rFonts w:hint="eastAsia" w:ascii="仿宋" w:hAnsi="仿宋" w:eastAsia="仿宋" w:cs="仿宋"/>
          <w:b/>
          <w:bCs/>
        </w:rPr>
        <w:t>第三十三条（解释权）</w:t>
      </w:r>
      <w:r>
        <w:rPr>
          <w:rFonts w:hint="eastAsia" w:ascii="仿宋" w:hAnsi="仿宋" w:eastAsia="仿宋" w:cs="仿宋"/>
        </w:rPr>
        <w:t>本办法由壤塘县水务局、壤塘县住房和城乡建设局负责共同解释。</w:t>
      </w:r>
    </w:p>
    <w:p w14:paraId="185179BF">
      <w:pPr>
        <w:pStyle w:val="12"/>
        <w:widowControl/>
        <w:ind w:firstLine="643" w:firstLineChars="0"/>
        <w:rPr>
          <w:rFonts w:hint="eastAsia" w:ascii="仿宋" w:hAnsi="仿宋" w:eastAsia="仿宋" w:cs="仿宋"/>
        </w:rPr>
      </w:pPr>
      <w:r>
        <w:rPr>
          <w:rStyle w:val="21"/>
          <w:rFonts w:hint="eastAsia" w:ascii="仿宋" w:hAnsi="仿宋" w:eastAsia="仿宋" w:cs="仿宋"/>
          <w:b/>
          <w:bCs/>
        </w:rPr>
        <w:t>第三十四条（试行期限）</w:t>
      </w:r>
      <w:r>
        <w:rPr>
          <w:rStyle w:val="21"/>
          <w:rFonts w:hint="eastAsia" w:ascii="仿宋" w:hAnsi="仿宋" w:eastAsia="仿宋" w:cs="仿宋"/>
        </w:rPr>
        <w:t>本办法有效期2年（自施行之日起计算，有效期届满本办法自动失效）。试行期间根据州级试点要求、县域用水变化适时修订完善</w:t>
      </w:r>
      <w:r>
        <w:rPr>
          <w:rFonts w:hint="eastAsia" w:ascii="仿宋" w:hAnsi="仿宋" w:eastAsia="仿宋" w:cs="仿宋"/>
        </w:rPr>
        <w:t>。</w:t>
      </w:r>
      <w:r>
        <w:rPr>
          <w:rStyle w:val="21"/>
          <w:rFonts w:hint="eastAsia" w:ascii="仿宋" w:hAnsi="仿宋" w:eastAsia="仿宋" w:cs="仿宋"/>
        </w:rPr>
        <w:t>有效期届满需要继续实施的，依法组织评估后重新公布施行。</w:t>
      </w:r>
    </w:p>
    <w:p w14:paraId="08B84432">
      <w:pPr>
        <w:ind w:firstLine="480"/>
        <w:rPr>
          <w:rFonts w:hint="eastAsia" w:ascii="仿宋" w:hAnsi="仿宋" w:eastAsia="仿宋" w:cs="仿宋"/>
        </w:rPr>
      </w:pPr>
    </w:p>
    <w:sectPr>
      <w:footerReference r:id="rId5" w:type="default"/>
      <w:pgSz w:w="11906" w:h="16838"/>
      <w:pgMar w:top="2098" w:right="1531" w:bottom="1531" w:left="1587"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仿宋">
    <w:altName w:val="汉仪仿宋简"/>
    <w:panose1 w:val="02010600040101010101"/>
    <w:charset w:val="86"/>
    <w:family w:val="auto"/>
    <w:pitch w:val="default"/>
    <w:sig w:usb0="00000000" w:usb1="00000000" w:usb2="00000010" w:usb3="00000000" w:csb0="0004009F" w:csb1="00000000"/>
  </w:font>
  <w:font w:name="汉仪仿宋简">
    <w:panose1 w:val="02010600000101010101"/>
    <w:charset w:val="86"/>
    <w:family w:val="auto"/>
    <w:pitch w:val="default"/>
    <w:sig w:usb0="00000001" w:usb1="080E0800" w:usb2="00000002" w:usb3="00000000" w:csb0="00040000" w:csb1="00000000"/>
  </w:font>
  <w:font w:name="方正公文小标宋">
    <w:altName w:val="方正小标宋简体"/>
    <w:panose1 w:val="00000000000000000000"/>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7BD3E">
    <w:pPr>
      <w:pStyle w:val="13"/>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D3447">
                          <w:pPr>
                            <w:pStyle w:val="13"/>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sz w:val="32"/>
                              <w:szCs w:val="32"/>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F7D3447">
                    <w:pPr>
                      <w:pStyle w:val="13"/>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  \* MERGEFORMAT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sz w:val="32"/>
                        <w:szCs w:val="32"/>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862C3B"/>
    <w:multiLevelType w:val="singleLevel"/>
    <w:tmpl w:val="00862C3B"/>
    <w:lvl w:ilvl="0" w:tentative="0">
      <w:start w:val="1"/>
      <w:numFmt w:val="chineseCounting"/>
      <w:suff w:val="space"/>
      <w:lvlText w:val="第%1章"/>
      <w:lvlJc w:val="left"/>
      <w:pPr>
        <w:ind w:left="0" w:firstLine="0"/>
      </w:pPr>
      <w:rPr>
        <w:rFonts w:hint="eastAsia"/>
      </w:rPr>
    </w:lvl>
  </w:abstractNum>
  <w:abstractNum w:abstractNumId="1">
    <w:nsid w:val="5E45754A"/>
    <w:multiLevelType w:val="singleLevel"/>
    <w:tmpl w:val="5E45754A"/>
    <w:lvl w:ilvl="0" w:tentative="0">
      <w:start w:val="1"/>
      <w:numFmt w:val="decimal"/>
      <w:suff w:val="nothing"/>
      <w:lvlText w:val="%1."/>
      <w:lvlJc w:val="left"/>
      <w:pPr>
        <w:ind w:left="0" w:firstLine="6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A01086"/>
    <w:rsid w:val="00076A68"/>
    <w:rsid w:val="00181AA8"/>
    <w:rsid w:val="0021484B"/>
    <w:rsid w:val="00565EA7"/>
    <w:rsid w:val="00D95ED2"/>
    <w:rsid w:val="00ED6709"/>
    <w:rsid w:val="00FB4E21"/>
    <w:rsid w:val="01973518"/>
    <w:rsid w:val="02B7516F"/>
    <w:rsid w:val="02F731D7"/>
    <w:rsid w:val="030B388D"/>
    <w:rsid w:val="03AC7B94"/>
    <w:rsid w:val="03EE0393"/>
    <w:rsid w:val="07BB743D"/>
    <w:rsid w:val="07FD62ED"/>
    <w:rsid w:val="0A3825FD"/>
    <w:rsid w:val="0D291FA0"/>
    <w:rsid w:val="140D4449"/>
    <w:rsid w:val="16014295"/>
    <w:rsid w:val="1A9122CA"/>
    <w:rsid w:val="1B33302E"/>
    <w:rsid w:val="1D607DB8"/>
    <w:rsid w:val="1FA63478"/>
    <w:rsid w:val="232D2E8F"/>
    <w:rsid w:val="23A5630C"/>
    <w:rsid w:val="24FE78B3"/>
    <w:rsid w:val="29A6158F"/>
    <w:rsid w:val="2AE56412"/>
    <w:rsid w:val="2E6826FC"/>
    <w:rsid w:val="2E894691"/>
    <w:rsid w:val="2F3F3237"/>
    <w:rsid w:val="2F8524A6"/>
    <w:rsid w:val="318873D1"/>
    <w:rsid w:val="31CE554C"/>
    <w:rsid w:val="355377A7"/>
    <w:rsid w:val="3A034F3D"/>
    <w:rsid w:val="3A8441A4"/>
    <w:rsid w:val="3CB215A2"/>
    <w:rsid w:val="3D337942"/>
    <w:rsid w:val="420E147B"/>
    <w:rsid w:val="4259700D"/>
    <w:rsid w:val="47A01086"/>
    <w:rsid w:val="47AF4D11"/>
    <w:rsid w:val="49DA5835"/>
    <w:rsid w:val="4A6144A5"/>
    <w:rsid w:val="4B793E24"/>
    <w:rsid w:val="4DC16DD5"/>
    <w:rsid w:val="4E1B20DD"/>
    <w:rsid w:val="4F0A6CD0"/>
    <w:rsid w:val="53407165"/>
    <w:rsid w:val="54507D7D"/>
    <w:rsid w:val="548712BD"/>
    <w:rsid w:val="548A5CD5"/>
    <w:rsid w:val="549816EF"/>
    <w:rsid w:val="56192895"/>
    <w:rsid w:val="596F2552"/>
    <w:rsid w:val="5A671AC7"/>
    <w:rsid w:val="61586404"/>
    <w:rsid w:val="63DE4DFD"/>
    <w:rsid w:val="676A0044"/>
    <w:rsid w:val="67DB0DB2"/>
    <w:rsid w:val="70EE1CA9"/>
    <w:rsid w:val="7AA8721A"/>
    <w:rsid w:val="7B251239"/>
    <w:rsid w:val="7B4C38D7"/>
    <w:rsid w:val="7B8E6410"/>
    <w:rsid w:val="7D4B339D"/>
    <w:rsid w:val="7FF92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40" w:firstLineChars="200"/>
      <w:jc w:val="both"/>
    </w:pPr>
    <w:rPr>
      <w:rFonts w:ascii="Times New Roman" w:hAnsi="Times New Roman" w:eastAsia="宋体" w:cstheme="minorBidi"/>
      <w:kern w:val="2"/>
      <w:sz w:val="24"/>
      <w:szCs w:val="22"/>
      <w:lang w:val="en-US" w:eastAsia="zh-CN" w:bidi="ar-SA"/>
    </w:rPr>
  </w:style>
  <w:style w:type="paragraph" w:styleId="2">
    <w:name w:val="heading 1"/>
    <w:next w:val="1"/>
    <w:qFormat/>
    <w:uiPriority w:val="0"/>
    <w:pPr>
      <w:widowControl w:val="0"/>
      <w:spacing w:line="580" w:lineRule="exact"/>
      <w:jc w:val="center"/>
      <w:textAlignment w:val="center"/>
      <w:outlineLvl w:val="0"/>
    </w:pPr>
    <w:rPr>
      <w:rFonts w:ascii="Times New Roman" w:hAnsi="Times New Roman" w:eastAsia="黑体" w:cs="Times New Roman"/>
      <w:kern w:val="2"/>
      <w:sz w:val="32"/>
      <w:szCs w:val="32"/>
      <w:lang w:val="en-US" w:eastAsia="zh-CN" w:bidi="ar-SA"/>
    </w:rPr>
  </w:style>
  <w:style w:type="paragraph" w:styleId="3">
    <w:name w:val="heading 2"/>
    <w:next w:val="1"/>
    <w:semiHidden/>
    <w:unhideWhenUsed/>
    <w:qFormat/>
    <w:uiPriority w:val="0"/>
    <w:pPr>
      <w:widowControl w:val="0"/>
      <w:spacing w:line="580" w:lineRule="exact"/>
      <w:ind w:firstLine="640" w:firstLineChars="200"/>
      <w:jc w:val="both"/>
      <w:textAlignment w:val="center"/>
      <w:outlineLvl w:val="1"/>
    </w:pPr>
    <w:rPr>
      <w:rFonts w:ascii="Times New Roman" w:hAnsi="Times New Roman" w:eastAsia="黑体" w:cs="Times New Roman"/>
      <w:kern w:val="2"/>
      <w:sz w:val="32"/>
      <w:szCs w:val="32"/>
      <w:lang w:val="en-US" w:eastAsia="zh-CN" w:bidi="ar-SA"/>
    </w:rPr>
  </w:style>
  <w:style w:type="paragraph" w:styleId="4">
    <w:name w:val="heading 3"/>
    <w:next w:val="1"/>
    <w:semiHidden/>
    <w:unhideWhenUsed/>
    <w:qFormat/>
    <w:uiPriority w:val="0"/>
    <w:pPr>
      <w:keepNext/>
      <w:keepLines/>
      <w:widowControl w:val="0"/>
      <w:adjustRightInd w:val="0"/>
      <w:spacing w:before="100" w:after="100" w:line="360" w:lineRule="auto"/>
      <w:jc w:val="both"/>
      <w:outlineLvl w:val="2"/>
    </w:pPr>
    <w:rPr>
      <w:rFonts w:ascii="Times New Roman" w:hAnsi="Times New Roman" w:eastAsia="宋体" w:cs="Times New Roman"/>
      <w:b/>
      <w:kern w:val="2"/>
      <w:sz w:val="30"/>
      <w:szCs w:val="24"/>
      <w:lang w:val="en-US" w:eastAsia="zh-CN" w:bidi="ar-SA"/>
    </w:rPr>
  </w:style>
  <w:style w:type="paragraph" w:styleId="5">
    <w:name w:val="heading 4"/>
    <w:next w:val="1"/>
    <w:link w:val="26"/>
    <w:semiHidden/>
    <w:unhideWhenUsed/>
    <w:qFormat/>
    <w:uiPriority w:val="0"/>
    <w:pPr>
      <w:keepNext/>
      <w:keepLines/>
      <w:widowControl w:val="0"/>
      <w:adjustRightInd w:val="0"/>
      <w:spacing w:before="100" w:after="100" w:line="360" w:lineRule="auto"/>
      <w:jc w:val="both"/>
      <w:outlineLvl w:val="3"/>
    </w:pPr>
    <w:rPr>
      <w:rFonts w:ascii="Times New Roman" w:hAnsi="Times New Roman" w:eastAsia="宋体" w:cs="Times New Roman"/>
      <w:b/>
      <w:bCs/>
      <w:kern w:val="2"/>
      <w:sz w:val="28"/>
      <w:szCs w:val="28"/>
      <w:lang w:val="en-US" w:eastAsia="zh-CN" w:bidi="ar-SA"/>
    </w:rPr>
  </w:style>
  <w:style w:type="paragraph" w:styleId="6">
    <w:name w:val="heading 5"/>
    <w:next w:val="1"/>
    <w:semiHidden/>
    <w:unhideWhenUsed/>
    <w:qFormat/>
    <w:uiPriority w:val="0"/>
    <w:pPr>
      <w:keepNext/>
      <w:keepLines/>
      <w:widowControl w:val="0"/>
      <w:adjustRightInd w:val="0"/>
      <w:spacing w:before="100" w:after="100" w:line="360" w:lineRule="auto"/>
      <w:jc w:val="both"/>
      <w:outlineLvl w:val="4"/>
    </w:pPr>
    <w:rPr>
      <w:rFonts w:ascii="Times New Roman" w:hAnsi="Times New Roman" w:eastAsia="宋体" w:cs="Times New Roman"/>
      <w:b/>
      <w:bCs/>
      <w:kern w:val="2"/>
      <w:sz w:val="28"/>
      <w:szCs w:val="28"/>
      <w:lang w:val="en-US" w:eastAsia="zh-CN" w:bidi="ar-SA"/>
    </w:rPr>
  </w:style>
  <w:style w:type="paragraph" w:styleId="7">
    <w:name w:val="heading 6"/>
    <w:next w:val="1"/>
    <w:semiHidden/>
    <w:unhideWhenUsed/>
    <w:qFormat/>
    <w:uiPriority w:val="0"/>
    <w:pPr>
      <w:keepNext/>
      <w:keepLines/>
      <w:widowControl w:val="0"/>
      <w:adjustRightInd w:val="0"/>
      <w:spacing w:before="100" w:after="100" w:line="360" w:lineRule="auto"/>
      <w:jc w:val="both"/>
      <w:outlineLvl w:val="5"/>
    </w:pPr>
    <w:rPr>
      <w:rFonts w:ascii="Times New Roman" w:hAnsi="Times New Roman" w:eastAsia="宋体" w:cs="Times New Roman"/>
      <w:b/>
      <w:bCs/>
      <w:kern w:val="2"/>
      <w:sz w:val="28"/>
      <w:szCs w:val="24"/>
      <w:lang w:val="en-US" w:eastAsia="zh-CN" w:bidi="ar-SA"/>
    </w:rPr>
  </w:style>
  <w:style w:type="paragraph" w:styleId="8">
    <w:name w:val="heading 7"/>
    <w:next w:val="1"/>
    <w:semiHidden/>
    <w:unhideWhenUsed/>
    <w:qFormat/>
    <w:uiPriority w:val="0"/>
    <w:pPr>
      <w:keepNext/>
      <w:keepLines/>
      <w:widowControl w:val="0"/>
      <w:adjustRightInd w:val="0"/>
      <w:spacing w:before="100" w:after="100" w:line="360" w:lineRule="auto"/>
      <w:jc w:val="both"/>
      <w:outlineLvl w:val="6"/>
    </w:pPr>
    <w:rPr>
      <w:rFonts w:ascii="Times New Roman" w:hAnsi="Times New Roman" w:eastAsia="宋体" w:cs="Times New Roman"/>
      <w:b/>
      <w:bCs/>
      <w:kern w:val="2"/>
      <w:sz w:val="24"/>
      <w:szCs w:val="24"/>
      <w:lang w:val="en-US" w:eastAsia="zh-CN" w:bidi="ar-SA"/>
    </w:rPr>
  </w:style>
  <w:style w:type="paragraph" w:styleId="9">
    <w:name w:val="heading 8"/>
    <w:next w:val="1"/>
    <w:semiHidden/>
    <w:unhideWhenUsed/>
    <w:qFormat/>
    <w:uiPriority w:val="0"/>
    <w:pPr>
      <w:keepNext/>
      <w:keepLines/>
      <w:widowControl w:val="0"/>
      <w:adjustRightInd w:val="0"/>
      <w:spacing w:before="100" w:after="100" w:line="360" w:lineRule="auto"/>
      <w:jc w:val="both"/>
      <w:outlineLvl w:val="7"/>
    </w:pPr>
    <w:rPr>
      <w:rFonts w:ascii="Times New Roman" w:hAnsi="Times New Roman" w:eastAsia="宋体" w:cs="Times New Roman"/>
      <w:b/>
      <w:kern w:val="2"/>
      <w:sz w:val="24"/>
      <w:szCs w:val="24"/>
      <w:lang w:val="en-US" w:eastAsia="zh-CN" w:bidi="ar-SA"/>
    </w:rPr>
  </w:style>
  <w:style w:type="paragraph" w:styleId="10">
    <w:name w:val="heading 9"/>
    <w:next w:val="1"/>
    <w:semiHidden/>
    <w:unhideWhenUsed/>
    <w:qFormat/>
    <w:uiPriority w:val="0"/>
    <w:pPr>
      <w:keepNext/>
      <w:keepLines/>
      <w:widowControl w:val="0"/>
      <w:adjustRightInd w:val="0"/>
      <w:spacing w:before="100" w:after="100" w:line="360" w:lineRule="auto"/>
      <w:jc w:val="both"/>
      <w:outlineLvl w:val="8"/>
    </w:pPr>
    <w:rPr>
      <w:rFonts w:ascii="Times New Roman" w:hAnsi="Times New Roman" w:eastAsia="宋体" w:cs="Times New Roman"/>
      <w:b/>
      <w:kern w:val="2"/>
      <w:sz w:val="21"/>
      <w:szCs w:val="21"/>
      <w:lang w:val="en-US" w:eastAsia="zh-CN" w:bidi="ar-SA"/>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qFormat/>
    <w:uiPriority w:val="0"/>
    <w:rPr>
      <w:rFonts w:ascii="Times New Roman" w:hAnsi="Times New Roman" w:eastAsia="宋体" w:cs="Times New Roman"/>
      <w:sz w:val="21"/>
      <w:lang w:val="en-US" w:eastAsia="zh-CN" w:bidi="ar-SA"/>
    </w:rPr>
  </w:style>
  <w:style w:type="paragraph" w:styleId="12">
    <w:name w:val="Body Text"/>
    <w:qFormat/>
    <w:uiPriority w:val="0"/>
    <w:pPr>
      <w:widowControl w:val="0"/>
      <w:spacing w:line="580" w:lineRule="exact"/>
      <w:ind w:firstLine="640" w:firstLineChars="200"/>
      <w:jc w:val="both"/>
      <w:textAlignment w:val="center"/>
    </w:pPr>
    <w:rPr>
      <w:rFonts w:ascii="Times New Roman" w:hAnsi="Calibri" w:eastAsia="黑体" w:cs="Times New Roman"/>
      <w:sz w:val="32"/>
      <w:lang w:val="en-US" w:eastAsia="zh-CN" w:bidi="ar-SA"/>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Subtitle"/>
    <w:qFormat/>
    <w:uiPriority w:val="0"/>
    <w:pPr>
      <w:widowControl w:val="0"/>
      <w:adjustRightInd w:val="0"/>
      <w:spacing w:before="100" w:after="100"/>
      <w:jc w:val="center"/>
    </w:pPr>
    <w:rPr>
      <w:rFonts w:ascii="Times New Roman" w:hAnsi="Times New Roman" w:eastAsia="黑体" w:cs="Times New Roman"/>
      <w:b/>
      <w:kern w:val="28"/>
      <w:sz w:val="32"/>
      <w:szCs w:val="24"/>
      <w:lang w:val="en-US" w:eastAsia="zh-CN" w:bidi="ar-SA"/>
    </w:rPr>
  </w:style>
  <w:style w:type="paragraph" w:styleId="16">
    <w:name w:val="Normal (Web)"/>
    <w:basedOn w:val="1"/>
    <w:qFormat/>
    <w:uiPriority w:val="0"/>
    <w:pPr>
      <w:spacing w:beforeAutospacing="1" w:afterAutospacing="1"/>
      <w:jc w:val="left"/>
    </w:pPr>
    <w:rPr>
      <w:rFonts w:cs="Times New Roman"/>
      <w:kern w:val="0"/>
    </w:rPr>
  </w:style>
  <w:style w:type="paragraph" w:styleId="17">
    <w:name w:val="Title"/>
    <w:qFormat/>
    <w:uiPriority w:val="0"/>
    <w:pPr>
      <w:widowControl w:val="0"/>
      <w:spacing w:line="0" w:lineRule="atLeast"/>
      <w:jc w:val="center"/>
      <w:textAlignment w:val="center"/>
    </w:pPr>
    <w:rPr>
      <w:rFonts w:ascii="Times New Roman" w:hAnsi="Times New Roman" w:eastAsia="方正小标宋简体" w:cs="Times New Roman"/>
      <w:kern w:val="2"/>
      <w:sz w:val="42"/>
      <w:szCs w:val="42"/>
      <w:lang w:val="en-US" w:eastAsia="zh-CN" w:bidi="ar-SA"/>
    </w:rPr>
  </w:style>
  <w:style w:type="paragraph" w:styleId="18">
    <w:name w:val="Body Text First Indent"/>
    <w:basedOn w:val="12"/>
    <w:qFormat/>
    <w:uiPriority w:val="0"/>
    <w:pPr>
      <w:ind w:firstLine="420" w:firstLineChars="100"/>
    </w:pPr>
  </w:style>
  <w:style w:type="character" w:styleId="21">
    <w:name w:val="Strong"/>
    <w:basedOn w:val="20"/>
    <w:qFormat/>
    <w:uiPriority w:val="0"/>
    <w:rPr>
      <w:rFonts w:ascii="Times New Roman" w:hAnsi="Times New Roman" w:eastAsia="宋体"/>
    </w:rPr>
  </w:style>
  <w:style w:type="character" w:styleId="22">
    <w:name w:val="annotation reference"/>
    <w:qFormat/>
    <w:uiPriority w:val="0"/>
    <w:rPr>
      <w:sz w:val="18"/>
      <w:vertAlign w:val="superscript"/>
    </w:rPr>
  </w:style>
  <w:style w:type="paragraph" w:customStyle="1" w:styleId="23">
    <w:name w:val="样式1"/>
    <w:basedOn w:val="1"/>
    <w:qFormat/>
    <w:uiPriority w:val="0"/>
    <w:pPr>
      <w:ind w:firstLine="680"/>
    </w:pPr>
    <w:rPr>
      <w:rFonts w:hint="eastAsia" w:ascii="仿宋" w:hAnsi="仿宋" w:eastAsia="仿宋" w:cs="仿宋"/>
      <w:sz w:val="32"/>
      <w:szCs w:val="32"/>
    </w:rPr>
  </w:style>
  <w:style w:type="character" w:customStyle="1" w:styleId="24">
    <w:name w:val="标题 3 Char"/>
    <w:qFormat/>
    <w:uiPriority w:val="9"/>
    <w:rPr>
      <w:rFonts w:ascii="Times New Roman" w:hAnsi="Times New Roman" w:eastAsia="华文仿宋" w:cs="宋体"/>
      <w:iCs/>
      <w:kern w:val="0"/>
      <w:sz w:val="28"/>
      <w:szCs w:val="28"/>
      <w:lang w:val="en-US" w:eastAsia="zh-CN" w:bidi="en-US"/>
    </w:rPr>
  </w:style>
  <w:style w:type="character" w:customStyle="1" w:styleId="25">
    <w:name w:val="标题 2 Char"/>
    <w:qFormat/>
    <w:uiPriority w:val="9"/>
    <w:rPr>
      <w:rFonts w:ascii="Times New Roman" w:hAnsi="Times New Roman" w:eastAsia="宋体" w:cs="Times New Roman"/>
      <w:b/>
      <w:iCs/>
      <w:kern w:val="0"/>
      <w:sz w:val="28"/>
      <w:szCs w:val="28"/>
      <w:lang w:bidi="en-US"/>
    </w:rPr>
  </w:style>
  <w:style w:type="character" w:customStyle="1" w:styleId="26">
    <w:name w:val="标题 4 字符"/>
    <w:basedOn w:val="20"/>
    <w:link w:val="5"/>
    <w:qFormat/>
    <w:uiPriority w:val="0"/>
    <w:rPr>
      <w:rFonts w:ascii="Times New Roman" w:hAnsi="Times New Roman" w:eastAsia="宋体" w:cs="Times New Roman"/>
      <w:b/>
      <w:bCs/>
      <w:kern w:val="2"/>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62eb781d-45c0-400d-888f-1ebeae3233f9</errorID>
      <errorWord xmlns="http://schemas.wps.cn/vas-ai-hub/contract-review">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会议</item>
      </candidateList>
      <explain xmlns="http://schemas.wps.cn/vas-ai-hub/contract-review"/>
      <paraID xmlns="http://schemas.wps.cn/vas-ai-hub/contract-review">18F0A20B</paraID>
      <start xmlns="http://schemas.wps.cn/vas-ai-hub/contract-review">25</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4398bf72-f3fd-49a2-a8fe-cfc2e3f606f8</errorID>
      <errorWord xmlns="http://schemas.wps.cn/vas-ai-hub/contract-review">推送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报送</item>
      </candidateList>
      <explain xmlns="http://schemas.wps.cn/vas-ai-hub/contract-review"/>
      <paraID xmlns="http://schemas.wps.cn/vas-ai-hub/contract-review">5C72F018</paraID>
      <start xmlns="http://schemas.wps.cn/vas-ai-hub/contract-review">42</start>
      <end xmlns="http://schemas.wps.cn/vas-ai-hub/contract-review">44</end>
      <status xmlns="http://schemas.wps.cn/vas-ai-hub/contract-review">modified</status>
      <modifiedWord xmlns="http://schemas.wps.cn/vas-ai-hub/contract-review">报送</modifiedWord>
      <trackRevisions xmlns="http://schemas.wps.cn/vas-ai-hub/contract-review">false</trackRevisions>
    </reviewItem>
    <reviewItem xmlns="http://schemas.wps.cn/vas-ai-hub/contract-review">
      <errorID xmlns="http://schemas.wps.cn/vas-ai-hub/contract-review">c0006e59-30d6-4677-8657-0c5beb7f7dc5</errorID>
      <errorWord xmlns="http://schemas.wps.cn/vas-ai-hub/contract-review">节余</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结余</item>
      </candidateList>
      <explain xmlns="http://schemas.wps.cn/vas-ai-hub/contract-review">存在发音相同字词的误用。</explain>
      <paraID xmlns="http://schemas.wps.cn/vas-ai-hub/contract-review">4EF9501A</paraID>
      <start xmlns="http://schemas.wps.cn/vas-ai-hub/contract-review">86</start>
      <end xmlns="http://schemas.wps.cn/vas-ai-hub/contract-review">88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3752acb0-34ce-48a2-83a4-8b411a05079a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
      <paraID xmlns="http://schemas.wps.cn/vas-ai-hub/contract-review">3A26A62E</paraID>
      <start xmlns="http://schemas.wps.cn/vas-ai-hub/contract-review">51</start>
      <end xmlns="http://schemas.wps.cn/vas-ai-hub/contract-review">53</end>
      <status xmlns="http://schemas.wps.cn/vas-ai-hub/contract-review">modified</status>
      <modifiedWord xmlns="http://schemas.wps.cn/vas-ai-hub/contract-review">，对</modifiedWord>
      <trackRevisions xmlns="http://schemas.wps.cn/vas-ai-hub/contract-review">false</trackRevisions>
    </reviewItem>
    <reviewItem xmlns="http://schemas.wps.cn/vas-ai-hub/contract-review">
      <errorID xmlns="http://schemas.wps.cn/vas-ai-hub/contract-review">fd29ed4c-113e-41d0-83e6-cce46e239ca3</errorID>
      <errorWord xmlns="http://schemas.wps.cn/vas-ai-hub/contract-review">工业级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工业</item>
      </candidateList>
      <explain xmlns="http://schemas.wps.cn/vas-ai-hub/contract-review"/>
      <paraID xmlns="http://schemas.wps.cn/vas-ai-hub/contract-review">1F32E08B</paraID>
      <start xmlns="http://schemas.wps.cn/vas-ai-hub/contract-review">28</start>
      <end xmlns="http://schemas.wps.cn/vas-ai-hub/contract-review">30</end>
      <status xmlns="http://schemas.wps.cn/vas-ai-hub/contract-review">modified</status>
      <modifiedWord xmlns="http://schemas.wps.cn/vas-ai-hub/contract-review">工业</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506B50-B69E-47B0-BB02-F802FAD15F9A}">
  <ds:schemaRefs/>
</ds:datastoreItem>
</file>

<file path=customXml/itemProps3.xml><?xml version="1.0" encoding="utf-8"?>
<ds:datastoreItem xmlns:ds="http://schemas.openxmlformats.org/officeDocument/2006/customXml" ds:itemID="{F7A1CF4B-08A2-488E-856E-4D64CDB466A1}">
  <ds:schemaRefs/>
</ds:datastoreItem>
</file>

<file path=docProps/app.xml><?xml version="1.0" encoding="utf-8"?>
<Properties xmlns="http://schemas.openxmlformats.org/officeDocument/2006/extended-properties" xmlns:vt="http://schemas.openxmlformats.org/officeDocument/2006/docPropsVTypes">
  <Template>Normal</Template>
  <Pages>12</Pages>
  <Words>803</Words>
  <Characters>4583</Characters>
  <Lines>38</Lines>
  <Paragraphs>10</Paragraphs>
  <TotalTime>0</TotalTime>
  <ScaleCrop>false</ScaleCrop>
  <LinksUpToDate>false</LinksUpToDate>
  <CharactersWithSpaces>5376</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2026-09-13T01:50:00Z</dcterms:created>
  <dc:creator>魁宝</dc:creator>
  <cp:lastModifiedBy>huawei</cp:lastModifiedBy>
  <dcterms:modified xsi:type="dcterms:W3CDTF">2026-10-20T16:25:20Z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F16CA5DFA1F348B8B4573A9A6FCE8DBB_13</vt:lpwstr>
  </property>
  <property fmtid="{D5CDD505-2E9C-101B-9397-08002B2CF9AE}" pid="4" name="KSOTemplateDocerSaveRecord">
    <vt:lpwstr>eyJoZGlkIjoiMzBmNGY1ODI3NjcyOTY2NWVkMTVkMDJiZGRhNTAxOGYiLCJ1c2VySWQiOiI0MzUzNjE5NjQifQ==</vt:lpwstr>
  </property>
</Properties>
</file>