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E5F2D">
      <w:pPr>
        <w:jc w:val="center"/>
        <w:rPr>
          <w:rFonts w:hint="eastAsia" w:ascii="方正小标宋简体" w:hAnsi="方正小标宋简体" w:eastAsia="方正小标宋简体" w:cs="方正小标宋简体"/>
          <w:sz w:val="44"/>
          <w:szCs w:val="44"/>
        </w:rPr>
      </w:pPr>
    </w:p>
    <w:p w14:paraId="78D62440">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阿坝州壤塘县水预算管理试点实施方案</w:t>
      </w:r>
    </w:p>
    <w:p w14:paraId="4A39A276">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（送审稿）</w:t>
      </w:r>
    </w:p>
    <w:p w14:paraId="201A6269">
      <w:pPr>
        <w:jc w:val="center"/>
        <w:rPr>
          <w:rFonts w:hint="eastAsia" w:ascii="方正小标宋简体" w:hAnsi="方正小标宋简体" w:eastAsia="方正小标宋简体" w:cs="方正小标宋简体"/>
          <w:sz w:val="44"/>
          <w:szCs w:val="44"/>
        </w:rPr>
      </w:pPr>
    </w:p>
    <w:p w14:paraId="2F3E0BF2">
      <w:pPr>
        <w:jc w:val="center"/>
        <w:rPr>
          <w:rFonts w:hint="eastAsia" w:ascii="方正小标宋简体" w:hAnsi="方正小标宋简体" w:eastAsia="方正小标宋简体" w:cs="方正小标宋简体"/>
          <w:sz w:val="44"/>
          <w:szCs w:val="44"/>
        </w:rPr>
      </w:pPr>
    </w:p>
    <w:p w14:paraId="7A5D066C">
      <w:pPr>
        <w:jc w:val="center"/>
        <w:rPr>
          <w:rFonts w:hint="eastAsia" w:ascii="方正小标宋简体" w:hAnsi="方正小标宋简体" w:eastAsia="方正小标宋简体" w:cs="方正小标宋简体"/>
          <w:sz w:val="44"/>
          <w:szCs w:val="44"/>
        </w:rPr>
      </w:pPr>
    </w:p>
    <w:p w14:paraId="5DCC5053">
      <w:pPr>
        <w:jc w:val="center"/>
        <w:rPr>
          <w:rFonts w:hint="eastAsia" w:ascii="方正小标宋简体" w:hAnsi="方正小标宋简体" w:eastAsia="方正小标宋简体" w:cs="方正小标宋简体"/>
          <w:sz w:val="44"/>
          <w:szCs w:val="44"/>
        </w:rPr>
      </w:pPr>
    </w:p>
    <w:p w14:paraId="023259FF">
      <w:pPr>
        <w:jc w:val="center"/>
        <w:rPr>
          <w:rFonts w:hint="eastAsia" w:ascii="方正小标宋简体" w:hAnsi="方正小标宋简体" w:eastAsia="方正小标宋简体" w:cs="方正小标宋简体"/>
          <w:sz w:val="44"/>
          <w:szCs w:val="44"/>
        </w:rPr>
      </w:pPr>
    </w:p>
    <w:p w14:paraId="60B336F2">
      <w:pPr>
        <w:jc w:val="center"/>
        <w:rPr>
          <w:rFonts w:hint="eastAsia" w:ascii="方正小标宋简体" w:hAnsi="方正小标宋简体" w:eastAsia="方正小标宋简体" w:cs="方正小标宋简体"/>
          <w:sz w:val="44"/>
          <w:szCs w:val="44"/>
        </w:rPr>
      </w:pPr>
    </w:p>
    <w:p w14:paraId="564FBB4E">
      <w:pPr>
        <w:jc w:val="center"/>
        <w:rPr>
          <w:rFonts w:hint="eastAsia" w:ascii="方正小标宋简体" w:hAnsi="方正小标宋简体" w:eastAsia="方正小标宋简体" w:cs="方正小标宋简体"/>
          <w:sz w:val="44"/>
          <w:szCs w:val="44"/>
        </w:rPr>
      </w:pPr>
    </w:p>
    <w:p w14:paraId="4BD18490">
      <w:pPr>
        <w:rPr>
          <w:rFonts w:hint="eastAsia" w:ascii="方正小标宋简体" w:hAnsi="方正小标宋简体" w:eastAsia="方正小标宋简体" w:cs="方正小标宋简体"/>
          <w:sz w:val="44"/>
          <w:szCs w:val="44"/>
        </w:rPr>
      </w:pPr>
    </w:p>
    <w:p w14:paraId="3FD7715D">
      <w:pPr>
        <w:jc w:val="center"/>
        <w:rPr>
          <w:rFonts w:hint="eastAsia" w:ascii="微软雅黑" w:hAnsi="微软雅黑" w:eastAsia="微软雅黑" w:cs="微软雅黑"/>
          <w:sz w:val="36"/>
          <w:szCs w:val="36"/>
        </w:rPr>
      </w:pPr>
    </w:p>
    <w:p w14:paraId="4724C996">
      <w:pPr>
        <w:jc w:val="center"/>
        <w:rPr>
          <w:rFonts w:hint="eastAsia" w:ascii="黑体" w:hAnsi="黑体" w:eastAsia="黑体" w:cs="黑体"/>
          <w:sz w:val="32"/>
          <w:szCs w:val="32"/>
        </w:rPr>
      </w:pPr>
      <w:r>
        <w:rPr>
          <w:rFonts w:hint="eastAsia" w:ascii="黑体" w:hAnsi="黑体" w:eastAsia="黑体" w:cs="黑体"/>
          <w:sz w:val="32"/>
          <w:szCs w:val="32"/>
        </w:rPr>
        <w:t>壤塘县水务局</w:t>
      </w:r>
    </w:p>
    <w:p w14:paraId="6956604C">
      <w:pPr>
        <w:jc w:val="center"/>
        <w:rPr>
          <w:rFonts w:hint="eastAsia" w:ascii="黑体" w:hAnsi="黑体" w:eastAsia="黑体" w:cs="黑体"/>
          <w:sz w:val="32"/>
          <w:szCs w:val="32"/>
        </w:rPr>
      </w:pPr>
      <w:r>
        <w:rPr>
          <w:rFonts w:hint="eastAsia" w:ascii="黑体" w:hAnsi="黑体" w:eastAsia="黑体" w:cs="黑体"/>
          <w:sz w:val="32"/>
          <w:szCs w:val="32"/>
        </w:rPr>
        <w:t>2026年9月</w:t>
      </w:r>
    </w:p>
    <w:p w14:paraId="31B93786">
      <w:pPr>
        <w:jc w:val="center"/>
        <w:rPr>
          <w:rFonts w:hint="eastAsia" w:ascii="宋体" w:hAnsi="宋体" w:eastAsia="宋体"/>
        </w:rPr>
        <w:sectPr>
          <w:pgSz w:w="11906" w:h="16838"/>
          <w:pgMar w:top="2098" w:right="1474" w:bottom="1984" w:left="1587" w:header="851" w:footer="1559" w:gutter="0"/>
          <w:cols w:space="0" w:num="1"/>
          <w:docGrid w:type="lines" w:linePitch="312" w:charSpace="0"/>
        </w:sectPr>
      </w:pPr>
    </w:p>
    <w:sdt>
      <w:sdtPr>
        <w:rPr>
          <w:rFonts w:ascii="宋体" w:hAnsi="宋体" w:eastAsia="宋体"/>
        </w:rPr>
        <w:id w:val="147473514"/>
        <w15:color w:val="DBDBDB"/>
        <w:docPartObj>
          <w:docPartGallery w:val="Table of Contents"/>
          <w:docPartUnique/>
        </w:docPartObj>
      </w:sdtPr>
      <w:sdtEndPr>
        <w:rPr>
          <w:rFonts w:ascii="宋体" w:hAnsi="宋体" w:eastAsia="宋体"/>
        </w:rPr>
      </w:sdtEndPr>
      <w:sdtContent>
        <w:p w14:paraId="2993E972">
          <w:pPr>
            <w:jc w:val="center"/>
            <w:rPr>
              <w:rFonts w:hint="eastAsia" w:ascii="黑体" w:hAnsi="黑体" w:eastAsia="黑体" w:cs="黑体"/>
              <w:sz w:val="32"/>
              <w:szCs w:val="32"/>
            </w:rPr>
          </w:pPr>
          <w:r>
            <w:rPr>
              <w:rFonts w:hint="eastAsia" w:ascii="黑体" w:hAnsi="黑体" w:eastAsia="黑体" w:cs="黑体"/>
              <w:sz w:val="32"/>
              <w:szCs w:val="32"/>
            </w:rPr>
            <w:t>目  录</w:t>
          </w:r>
        </w:p>
        <w:p w14:paraId="2A6F851F">
          <w:pPr>
            <w:pStyle w:val="9"/>
            <w:tabs>
              <w:tab w:val="right" w:leader="dot" w:pos="8845"/>
            </w:tabs>
            <w:spacing w:line="740" w:lineRule="exact"/>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"1-9" \h \u </w:instrText>
          </w:r>
          <w:r>
            <w:rPr>
              <w:rFonts w:hint="eastAsia" w:ascii="仿宋" w:hAnsi="仿宋" w:eastAsia="仿宋" w:cs="仿宋"/>
              <w:sz w:val="32"/>
              <w:szCs w:val="32"/>
            </w:rPr>
            <w:fldChar w:fldCharType="separate"/>
          </w:r>
          <w:r>
            <w:fldChar w:fldCharType="begin"/>
          </w:r>
          <w:r>
            <w:instrText xml:space="preserve"> HYPERLINK \l "_Toc23507" </w:instrText>
          </w:r>
          <w:r>
            <w:fldChar w:fldCharType="separate"/>
          </w:r>
          <w:r>
            <w:rPr>
              <w:rFonts w:hint="eastAsia" w:ascii="仿宋" w:hAnsi="仿宋" w:eastAsia="仿宋" w:cs="仿宋"/>
              <w:sz w:val="32"/>
              <w:szCs w:val="32"/>
            </w:rPr>
            <w:t>一、概述</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_Toc23507 \h </w:instrText>
          </w:r>
          <w:r>
            <w:rPr>
              <w:rFonts w:hint="eastAsia" w:ascii="仿宋" w:hAnsi="仿宋" w:eastAsia="仿宋" w:cs="仿宋"/>
              <w:sz w:val="32"/>
              <w:szCs w:val="32"/>
            </w:rPr>
            <w:fldChar w:fldCharType="separate"/>
          </w:r>
          <w:r>
            <w:rPr>
              <w:rFonts w:hint="eastAsia" w:ascii="仿宋" w:hAnsi="仿宋" w:eastAsia="仿宋" w:cs="仿宋"/>
              <w:sz w:val="32"/>
              <w:szCs w:val="32"/>
            </w:rPr>
            <w:t>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352AD69">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"_Toc13537" </w:instrText>
          </w:r>
          <w:r>
            <w:fldChar w:fldCharType="separate"/>
          </w:r>
          <w:r>
            <w:rPr>
              <w:rFonts w:hint="eastAsia" w:ascii="仿宋" w:hAnsi="仿宋" w:eastAsia="仿宋" w:cs="仿宋"/>
              <w:bCs/>
              <w:sz w:val="32"/>
              <w:szCs w:val="32"/>
            </w:rPr>
            <w:t>（一）基本情况</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_Toc13537 \h </w:instrText>
          </w:r>
          <w:r>
            <w:rPr>
              <w:rFonts w:hint="eastAsia" w:ascii="仿宋" w:hAnsi="仿宋" w:eastAsia="仿宋" w:cs="仿宋"/>
              <w:sz w:val="32"/>
              <w:szCs w:val="32"/>
            </w:rPr>
            <w:fldChar w:fldCharType="separate"/>
          </w:r>
          <w:r>
            <w:rPr>
              <w:rFonts w:hint="eastAsia" w:ascii="仿宋" w:hAnsi="仿宋" w:eastAsia="仿宋" w:cs="仿宋"/>
              <w:sz w:val="32"/>
              <w:szCs w:val="32"/>
            </w:rPr>
            <w:t>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5D362FE">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"_Toc7151" </w:instrText>
          </w:r>
          <w:r>
            <w:fldChar w:fldCharType="separate"/>
          </w:r>
          <w:r>
            <w:rPr>
              <w:rFonts w:hint="eastAsia" w:ascii="仿宋" w:hAnsi="仿宋" w:eastAsia="仿宋" w:cs="仿宋"/>
              <w:bCs/>
              <w:sz w:val="32"/>
              <w:szCs w:val="32"/>
            </w:rPr>
            <w:t>（二）工作基础</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_Toc7151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9899FE8">
          <w:pPr>
            <w:pStyle w:val="9"/>
            <w:tabs>
              <w:tab w:val="right" w:leader="dot" w:pos="8845"/>
            </w:tabs>
            <w:spacing w:line="740" w:lineRule="exact"/>
            <w:rPr>
              <w:rFonts w:hint="eastAsia" w:ascii="仿宋" w:hAnsi="仿宋" w:eastAsia="仿宋" w:cs="仿宋"/>
              <w:sz w:val="32"/>
              <w:szCs w:val="32"/>
            </w:rPr>
          </w:pPr>
          <w:r>
            <w:fldChar w:fldCharType="begin"/>
          </w:r>
          <w:r>
            <w:instrText xml:space="preserve"> HYPERLINK \l "_Toc7965" </w:instrText>
          </w:r>
          <w:r>
            <w:fldChar w:fldCharType="separate"/>
          </w:r>
          <w:r>
            <w:rPr>
              <w:rFonts w:hint="eastAsia" w:ascii="仿宋" w:hAnsi="仿宋" w:eastAsia="仿宋" w:cs="仿宋"/>
              <w:sz w:val="32"/>
              <w:szCs w:val="32"/>
            </w:rPr>
            <w:t>二、试点内容</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_Toc7965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FC88E3A">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"_Toc28025" </w:instrText>
          </w:r>
          <w:r>
            <w:fldChar w:fldCharType="separate"/>
          </w:r>
          <w:r>
            <w:rPr>
              <w:rFonts w:hint="eastAsia" w:ascii="仿宋" w:hAnsi="仿宋" w:eastAsia="仿宋" w:cs="仿宋"/>
              <w:bCs/>
              <w:sz w:val="32"/>
              <w:szCs w:val="32"/>
            </w:rPr>
            <w:t>（一）总体目标</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_Toc28025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C052628">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"_Toc5728" </w:instrText>
          </w:r>
          <w:r>
            <w:fldChar w:fldCharType="separate"/>
          </w:r>
          <w:r>
            <w:rPr>
              <w:rFonts w:hint="eastAsia" w:ascii="仿宋" w:hAnsi="仿宋" w:eastAsia="仿宋" w:cs="仿宋"/>
              <w:bCs/>
              <w:sz w:val="32"/>
              <w:szCs w:val="32"/>
            </w:rPr>
            <w:t>（二）具体目标</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_Toc5728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C959344">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"_Toc2344" </w:instrText>
          </w:r>
          <w:r>
            <w:fldChar w:fldCharType="separate"/>
          </w:r>
          <w:r>
            <w:rPr>
              <w:rFonts w:hint="eastAsia" w:ascii="仿宋" w:hAnsi="仿宋" w:eastAsia="仿宋" w:cs="仿宋"/>
              <w:bCs/>
              <w:sz w:val="32"/>
              <w:szCs w:val="32"/>
            </w:rPr>
            <w:t>（三）试点范围</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_Toc2344 \h </w:instrText>
          </w:r>
          <w:r>
            <w:rPr>
              <w:rFonts w:hint="eastAsia" w:ascii="仿宋" w:hAnsi="仿宋" w:eastAsia="仿宋" w:cs="仿宋"/>
              <w:sz w:val="32"/>
              <w:szCs w:val="32"/>
            </w:rPr>
            <w:fldChar w:fldCharType="separate"/>
          </w:r>
          <w:r>
            <w:rPr>
              <w:rFonts w:hint="eastAsia" w:ascii="仿宋" w:hAnsi="仿宋" w:eastAsia="仿宋" w:cs="仿宋"/>
              <w:sz w:val="32"/>
              <w:szCs w:val="32"/>
            </w:rPr>
            <w:t>9</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13F5D2A">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"_Toc11272" </w:instrText>
          </w:r>
          <w:r>
            <w:fldChar w:fldCharType="separate"/>
          </w:r>
          <w:r>
            <w:rPr>
              <w:rFonts w:hint="eastAsia" w:ascii="仿宋" w:hAnsi="仿宋" w:eastAsia="仿宋" w:cs="仿宋"/>
              <w:bCs/>
              <w:sz w:val="32"/>
              <w:szCs w:val="32"/>
            </w:rPr>
            <w:t>（四）重点任务</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_Toc11272 \h </w:instrText>
          </w:r>
          <w:r>
            <w:rPr>
              <w:rFonts w:hint="eastAsia" w:ascii="仿宋" w:hAnsi="仿宋" w:eastAsia="仿宋" w:cs="仿宋"/>
              <w:sz w:val="32"/>
              <w:szCs w:val="32"/>
            </w:rPr>
            <w:fldChar w:fldCharType="separate"/>
          </w:r>
          <w:r>
            <w:rPr>
              <w:rFonts w:hint="eastAsia" w:ascii="仿宋" w:hAnsi="仿宋" w:eastAsia="仿宋" w:cs="仿宋"/>
              <w:sz w:val="32"/>
              <w:szCs w:val="32"/>
            </w:rPr>
            <w:t>9</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6E5D657">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"_Toc18094" </w:instrText>
          </w:r>
          <w:r>
            <w:fldChar w:fldCharType="separate"/>
          </w:r>
          <w:r>
            <w:rPr>
              <w:rFonts w:hint="eastAsia" w:ascii="仿宋" w:hAnsi="仿宋" w:eastAsia="仿宋" w:cs="仿宋"/>
              <w:bCs/>
              <w:sz w:val="32"/>
              <w:szCs w:val="32"/>
            </w:rPr>
            <w:t>（五）与现行制度衔接关系</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_Toc18094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A5CCFC0">
          <w:pPr>
            <w:pStyle w:val="9"/>
            <w:tabs>
              <w:tab w:val="right" w:leader="dot" w:pos="8845"/>
            </w:tabs>
            <w:spacing w:line="740" w:lineRule="exact"/>
            <w:rPr>
              <w:rFonts w:hint="eastAsia" w:ascii="仿宋" w:hAnsi="仿宋" w:eastAsia="仿宋" w:cs="仿宋"/>
              <w:sz w:val="32"/>
              <w:szCs w:val="32"/>
            </w:rPr>
          </w:pPr>
          <w:r>
            <w:fldChar w:fldCharType="begin"/>
          </w:r>
          <w:r>
            <w:instrText xml:space="preserve"> HYPERLINK \l "_Toc19992" </w:instrText>
          </w:r>
          <w:r>
            <w:fldChar w:fldCharType="separate"/>
          </w:r>
          <w:r>
            <w:rPr>
              <w:rFonts w:hint="eastAsia" w:ascii="仿宋" w:hAnsi="仿宋" w:eastAsia="仿宋" w:cs="仿宋"/>
              <w:sz w:val="32"/>
              <w:szCs w:val="32"/>
            </w:rPr>
            <w:t>三、组织实施</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_Toc19992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59ADFC8">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"_Toc20021" </w:instrText>
          </w:r>
          <w:r>
            <w:fldChar w:fldCharType="separate"/>
          </w:r>
          <w:r>
            <w:rPr>
              <w:rFonts w:hint="eastAsia" w:ascii="仿宋" w:hAnsi="仿宋" w:eastAsia="仿宋" w:cs="仿宋"/>
              <w:bCs/>
              <w:sz w:val="32"/>
              <w:szCs w:val="32"/>
            </w:rPr>
            <w:t>（一）组织领导与任务分工</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_Toc20021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187A5C5">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"_Toc30079" </w:instrText>
          </w:r>
          <w:r>
            <w:fldChar w:fldCharType="separate"/>
          </w:r>
          <w:r>
            <w:rPr>
              <w:rFonts w:hint="eastAsia" w:ascii="仿宋" w:hAnsi="仿宋" w:eastAsia="仿宋" w:cs="仿宋"/>
              <w:bCs/>
              <w:sz w:val="32"/>
              <w:szCs w:val="32"/>
            </w:rPr>
            <w:t>（二）实施进度</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_Toc30079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BEF2D30">
          <w:pPr>
            <w:pStyle w:val="11"/>
            <w:tabs>
              <w:tab w:val="right" w:leader="dot" w:pos="8845"/>
            </w:tabs>
            <w:spacing w:line="740" w:lineRule="exact"/>
            <w:rPr>
              <w:rFonts w:hint="eastAsia" w:ascii="仿宋" w:hAnsi="仿宋" w:eastAsia="仿宋" w:cs="仿宋"/>
              <w:sz w:val="32"/>
              <w:szCs w:val="32"/>
            </w:rPr>
          </w:pPr>
          <w:r>
            <w:fldChar w:fldCharType="begin"/>
          </w:r>
          <w:r>
            <w:instrText xml:space="preserve"> HYPERLINK \l "_Toc17316" </w:instrText>
          </w:r>
          <w:r>
            <w:fldChar w:fldCharType="separate"/>
          </w:r>
          <w:r>
            <w:rPr>
              <w:rFonts w:hint="eastAsia" w:ascii="仿宋" w:hAnsi="仿宋" w:eastAsia="仿宋" w:cs="仿宋"/>
              <w:bCs/>
              <w:sz w:val="32"/>
              <w:szCs w:val="32"/>
            </w:rPr>
            <w:t>（三）投资估算</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_Toc17316 \h </w:instrText>
          </w:r>
          <w:r>
            <w:rPr>
              <w:rFonts w:hint="eastAsia" w:ascii="仿宋" w:hAnsi="仿宋" w:eastAsia="仿宋" w:cs="仿宋"/>
              <w:sz w:val="32"/>
              <w:szCs w:val="32"/>
            </w:rPr>
            <w:fldChar w:fldCharType="separate"/>
          </w:r>
          <w:r>
            <w:rPr>
              <w:rFonts w:hint="eastAsia" w:ascii="仿宋" w:hAnsi="仿宋" w:eastAsia="仿宋" w:cs="仿宋"/>
              <w:sz w:val="32"/>
              <w:szCs w:val="32"/>
            </w:rPr>
            <w:t>15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1A5743C">
          <w:pPr>
            <w:pStyle w:val="9"/>
            <w:tabs>
              <w:tab w:val="right" w:leader="dot" w:pos="8845"/>
            </w:tabs>
            <w:spacing w:line="740" w:lineRule="exact"/>
            <w:rPr>
              <w:rFonts w:hint="eastAsia" w:ascii="仿宋" w:hAnsi="仿宋" w:eastAsia="仿宋" w:cs="仿宋"/>
              <w:sz w:val="32"/>
              <w:szCs w:val="32"/>
            </w:rPr>
          </w:pPr>
          <w:r>
            <w:fldChar w:fldCharType="begin"/>
          </w:r>
          <w:r>
            <w:instrText xml:space="preserve"> HYPERLINK \l "_Toc7679" </w:instrText>
          </w:r>
          <w:r>
            <w:fldChar w:fldCharType="separate"/>
          </w:r>
          <w:r>
            <w:rPr>
              <w:rFonts w:hint="eastAsia" w:ascii="仿宋" w:hAnsi="仿宋" w:eastAsia="仿宋" w:cs="仿宋"/>
              <w:sz w:val="32"/>
              <w:szCs w:val="32"/>
            </w:rPr>
            <w:t>四、保障措施</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_Toc7679 \h </w:instrText>
          </w:r>
          <w:r>
            <w:rPr>
              <w:rFonts w:hint="eastAsia" w:ascii="仿宋" w:hAnsi="仿宋" w:eastAsia="仿宋" w:cs="仿宋"/>
              <w:sz w:val="32"/>
              <w:szCs w:val="32"/>
            </w:rPr>
            <w:fldChar w:fldCharType="separate"/>
          </w:r>
          <w:r>
            <w:rPr>
              <w:rFonts w:hint="eastAsia" w:ascii="仿宋" w:hAnsi="仿宋" w:eastAsia="仿宋" w:cs="仿宋"/>
              <w:sz w:val="32"/>
              <w:szCs w:val="32"/>
            </w:rPr>
            <w:t>15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3690DEB">
          <w:pPr>
            <w:spacing w:line="740" w:lineRule="exact"/>
            <w:ind w:firstLine="640" w:firstLineChars="200"/>
            <w:rPr>
              <w:rFonts w:hint="eastAsia" w:ascii="宋体" w:hAnsi="宋体" w:eastAsia="宋体"/>
            </w:rPr>
          </w:pPr>
          <w:r>
            <w:rPr>
              <w:rFonts w:hint="eastAsia" w:ascii="仿宋" w:hAnsi="仿宋" w:eastAsia="仿宋" w:cs="仿宋"/>
              <w:sz w:val="32"/>
              <w:szCs w:val="32"/>
            </w:rPr>
            <w:fldChar w:fldCharType="end"/>
          </w:r>
        </w:p>
      </w:sdtContent>
    </w:sdt>
    <w:p w14:paraId="0047CE56">
      <w:pPr>
        <w:spacing w:line="560" w:lineRule="exact"/>
        <w:ind w:firstLine="640" w:firstLineChars="200"/>
        <w:rPr>
          <w:rFonts w:ascii="Times New Roman" w:hAnsi="Times New Roman" w:eastAsia="仿宋_GB2312" w:cs="仿宋_GB2312"/>
          <w:sz w:val="32"/>
          <w:szCs w:val="32"/>
        </w:rPr>
        <w:sectPr>
          <w:footerReference r:id="rId3" w:type="default"/>
          <w:pgSz w:w="11906" w:h="16838"/>
          <w:pgMar w:top="2098" w:right="1474" w:bottom="1984" w:left="1587" w:header="851" w:footer="1559" w:gutter="0"/>
          <w:pgNumType w:start="1"/>
          <w:cols w:space="0" w:num="1"/>
          <w:docGrid w:type="lines" w:linePitch="312" w:charSpace="0"/>
        </w:sectPr>
      </w:pPr>
    </w:p>
    <w:p w14:paraId="5DC3642D">
      <w:pPr>
        <w:jc w:val="center"/>
        <w:rPr>
          <w:rFonts w:hint="eastAsia" w:ascii="黑体" w:hAnsi="黑体" w:eastAsia="黑体" w:cs="黑体"/>
          <w:sz w:val="32"/>
          <w:szCs w:val="32"/>
        </w:rPr>
      </w:pPr>
      <w:bookmarkStart w:id="0" w:name="_Toc23507"/>
      <w:r>
        <w:rPr>
          <w:rFonts w:hint="eastAsia" w:ascii="黑体" w:hAnsi="黑体" w:eastAsia="黑体" w:cs="黑体"/>
          <w:sz w:val="32"/>
          <w:szCs w:val="32"/>
        </w:rPr>
        <w:t>前  言</w:t>
      </w:r>
    </w:p>
    <w:p w14:paraId="2BE6EF43">
      <w:pPr>
        <w:ind w:firstLine="640" w:firstLineChars="200"/>
        <w:rPr>
          <w:rFonts w:hint="eastAsia" w:ascii="仿宋" w:hAnsi="仿宋" w:eastAsia="仿宋" w:cs="仿宋"/>
          <w:sz w:val="32"/>
          <w:szCs w:val="32"/>
        </w:rPr>
      </w:pPr>
      <w:r>
        <w:rPr>
          <w:rFonts w:hint="eastAsia" w:ascii="仿宋" w:hAnsi="仿宋" w:eastAsia="仿宋" w:cs="仿宋"/>
          <w:sz w:val="32"/>
          <w:szCs w:val="32"/>
        </w:rPr>
        <w:t>开展水预算管理试点工作，是深入贯彻落实习近平总书记关于治水工作重要指示精神、践行“节水优先、空间均衡、系统治理、两手发力”治水思路的重要举措，是严格执行《节约用水条例》、落实水资源刚性约束制度、健全用水总量和强度双控机制的关键抓手，更是精细化、规范化、科学化管好、用好水资源的创新实践。</w:t>
      </w:r>
    </w:p>
    <w:p w14:paraId="5575A831">
      <w:pPr>
        <w:ind w:firstLine="640" w:firstLineChars="200"/>
        <w:rPr>
          <w:rFonts w:hint="eastAsia" w:ascii="仿宋" w:hAnsi="仿宋" w:eastAsia="仿宋" w:cs="仿宋"/>
          <w:sz w:val="32"/>
          <w:szCs w:val="32"/>
        </w:rPr>
      </w:pPr>
      <w:r>
        <w:rPr>
          <w:rFonts w:hint="eastAsia" w:ascii="仿宋" w:hAnsi="仿宋" w:eastAsia="仿宋" w:cs="仿宋"/>
          <w:sz w:val="32"/>
          <w:szCs w:val="32"/>
        </w:rPr>
        <w:t>2026年1月，四川省水利厅印发《扩大水预算管理试点方案》</w:t>
      </w:r>
      <w:r>
        <w:rPr>
          <w:rFonts w:hint="eastAsia" w:ascii="仿宋" w:hAnsi="仿宋" w:eastAsia="仿宋" w:cs="仿宋"/>
          <w:sz w:val="32"/>
          <w:szCs w:val="32"/>
          <w:lang w:eastAsia="zh-CN"/>
        </w:rPr>
        <w:t>（</w:t>
      </w:r>
      <w:r>
        <w:rPr>
          <w:rFonts w:hint="eastAsia" w:ascii="仿宋" w:hAnsi="仿宋" w:eastAsia="仿宋" w:cs="仿宋"/>
          <w:sz w:val="32"/>
          <w:szCs w:val="32"/>
        </w:rPr>
        <w:t>川水函〔2026〕74号</w:t>
      </w:r>
      <w:r>
        <w:rPr>
          <w:rFonts w:hint="eastAsia" w:ascii="仿宋" w:hAnsi="仿宋" w:eastAsia="仿宋" w:cs="仿宋"/>
          <w:sz w:val="32"/>
          <w:szCs w:val="32"/>
          <w:lang w:eastAsia="zh-CN"/>
        </w:rPr>
        <w:t>）</w:t>
      </w:r>
      <w:r>
        <w:rPr>
          <w:rFonts w:hint="eastAsia" w:ascii="仿宋" w:hAnsi="仿宋" w:eastAsia="仿宋" w:cs="仿宋"/>
          <w:sz w:val="32"/>
          <w:szCs w:val="32"/>
        </w:rPr>
        <w:t>（以下简称《水预算管理试点方案》），明确全省水预算试点工作总体要求。文件中强调，试点地区要坚守“以水定城、以水定地、以水定人、以水定产”核心原则，借鉴财政预算“收支平衡”管理理念，遵循市场经济规律，充分发挥市场在资源</w:t>
      </w:r>
      <w:bookmarkStart w:id="25" w:name="_GoBack"/>
      <w:bookmarkEnd w:id="25"/>
      <w:r>
        <w:rPr>
          <w:rFonts w:hint="eastAsia" w:ascii="仿宋" w:hAnsi="仿宋" w:eastAsia="仿宋" w:cs="仿宋"/>
          <w:sz w:val="32"/>
          <w:szCs w:val="32"/>
        </w:rPr>
        <w:t>配置中的决定性作用。</w:t>
      </w:r>
    </w:p>
    <w:p w14:paraId="1DC24B40">
      <w:pPr>
        <w:ind w:firstLine="640" w:firstLineChars="200"/>
        <w:rPr>
          <w:rFonts w:hint="eastAsia" w:ascii="仿宋" w:hAnsi="仿宋" w:eastAsia="仿宋" w:cs="仿宋"/>
          <w:sz w:val="32"/>
          <w:szCs w:val="32"/>
        </w:rPr>
      </w:pPr>
      <w:r>
        <w:rPr>
          <w:rFonts w:hint="eastAsia" w:ascii="仿宋" w:hAnsi="仿宋" w:eastAsia="仿宋" w:cs="仿宋"/>
          <w:sz w:val="32"/>
          <w:szCs w:val="32"/>
        </w:rPr>
        <w:t>为落实省、州水利部门工作部署，扎实推进壤塘县水预算管理试点工作，壤塘县严格对标《水预算管理试点方案》、阿坝州水务局相关转发文件及会议精神，全面梳理县域水资源管理工作现状、夯实工作基础，系统学习借鉴先进地区试点经验，结合壤塘县实际制定本实施方案。本次试点周期为1年，旨在通过系统性探索与实践，全力打造阿坝州水预算管理先行示范县，为全州全域推行水预算管理工作积累实践经验、提供有力支撑。</w:t>
      </w:r>
    </w:p>
    <w:p w14:paraId="41CD9BDC">
      <w:pPr>
        <w:spacing w:before="156" w:beforeLines="50" w:after="156" w:afterLines="50" w:line="60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一、概述</w:t>
      </w:r>
      <w:bookmarkEnd w:id="0"/>
    </w:p>
    <w:p w14:paraId="07E116F3">
      <w:pPr>
        <w:spacing w:line="600" w:lineRule="exact"/>
        <w:ind w:firstLine="643" w:firstLineChars="200"/>
        <w:outlineLvl w:val="1"/>
        <w:rPr>
          <w:rFonts w:hint="eastAsia" w:ascii="楷体" w:hAnsi="楷体" w:eastAsia="楷体" w:cs="楷体"/>
          <w:b/>
          <w:bCs/>
          <w:sz w:val="32"/>
          <w:szCs w:val="32"/>
        </w:rPr>
      </w:pPr>
      <w:bookmarkStart w:id="1" w:name="_Toc13537"/>
      <w:r>
        <w:rPr>
          <w:rFonts w:hint="eastAsia" w:ascii="楷体" w:hAnsi="楷体" w:eastAsia="楷体" w:cs="楷体"/>
          <w:b/>
          <w:bCs/>
          <w:sz w:val="32"/>
          <w:szCs w:val="32"/>
        </w:rPr>
        <w:t>（一）基本情况</w:t>
      </w:r>
      <w:bookmarkEnd w:id="1"/>
    </w:p>
    <w:p w14:paraId="613A1B74">
      <w:pPr>
        <w:spacing w:line="600" w:lineRule="exact"/>
        <w:ind w:firstLine="643" w:firstLineChars="200"/>
        <w:outlineLvl w:val="2"/>
        <w:rPr>
          <w:rFonts w:hint="eastAsia" w:ascii="仿宋_GB2312" w:hAnsi="仿宋_GB2312" w:eastAsia="仿宋_GB2312" w:cs="仿宋_GB2312"/>
          <w:b/>
          <w:bCs/>
          <w:sz w:val="32"/>
          <w:szCs w:val="32"/>
        </w:rPr>
      </w:pPr>
      <w:bookmarkStart w:id="2" w:name="_Toc29923"/>
      <w:r>
        <w:rPr>
          <w:rFonts w:hint="eastAsia" w:ascii="仿宋_GB2312" w:hAnsi="仿宋_GB2312" w:eastAsia="仿宋_GB2312" w:cs="仿宋_GB2312"/>
          <w:b/>
          <w:bCs/>
          <w:sz w:val="32"/>
          <w:szCs w:val="32"/>
        </w:rPr>
        <w:t>1.区域概况</w:t>
      </w:r>
      <w:bookmarkEnd w:id="2"/>
    </w:p>
    <w:p w14:paraId="0D3C0D4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壤塘县地处四川阿坝州西部、青藏高原东部大渡河上游，东、东北接马尔康、阿坝县，南连金川，西、南邻甘孜色达、炉霍、道孚，北靠青海班玛，距成都395公里；幅员6836平方公里，辖</w:t>
      </w:r>
      <w:r>
        <w:rPr>
          <w:rFonts w:ascii="仿宋_GB2312" w:hAnsi="仿宋_GB2312" w:eastAsia="仿宋_GB2312" w:cs="仿宋_GB2312"/>
          <w:sz w:val="32"/>
          <w:szCs w:val="32"/>
        </w:rPr>
        <w:t>3镇8乡</w:t>
      </w:r>
      <w:r>
        <w:rPr>
          <w:rFonts w:hint="eastAsia" w:ascii="仿宋_GB2312" w:hAnsi="仿宋_GB2312" w:eastAsia="仿宋_GB2312" w:cs="仿宋_GB2312"/>
          <w:sz w:val="32"/>
          <w:szCs w:val="32"/>
        </w:rPr>
        <w:t>。县域地势西北高东南低，海拔2650—5178米，最高峰杜苟拉甲格则山5178米，县城壤柯镇海拔3285米，地貌以丘状高原、高山深切河谷为主，全域平均海拔超 3300 米。属高原寒温带季风气候，昼夜温差大、无霜期短、立体气候显著，干湿季分明；年均温4.7℃，平均降水763.19mm，雨水集中5—10月。冬春干旱少雨、蒸发量大，枯水期依赖融雪补水，季节性、工程性缺水突出。全域为大渡河水系，主要有杜柯河、则曲河，支流密布，径流靠降雨、融雪混合补给，汛期水丰、枯季流量小，水资源时空分布不均，地表水水质良好，是长江上游重要水源涵养地。</w:t>
      </w:r>
    </w:p>
    <w:p w14:paraId="53D72CD8">
      <w:pPr>
        <w:spacing w:line="600" w:lineRule="exact"/>
        <w:ind w:firstLine="643" w:firstLineChars="200"/>
        <w:outlineLvl w:val="2"/>
        <w:rPr>
          <w:rFonts w:hint="eastAsia" w:ascii="仿宋_GB2312" w:hAnsi="仿宋_GB2312" w:eastAsia="仿宋_GB2312" w:cs="仿宋_GB2312"/>
          <w:sz w:val="32"/>
          <w:szCs w:val="32"/>
        </w:rPr>
      </w:pPr>
      <w:bookmarkStart w:id="3" w:name="_Toc18248"/>
      <w:r>
        <w:rPr>
          <w:rFonts w:hint="eastAsia" w:ascii="仿宋_GB2312" w:hAnsi="仿宋_GB2312" w:eastAsia="仿宋_GB2312" w:cs="仿宋_GB2312"/>
          <w:b/>
          <w:bCs/>
          <w:sz w:val="32"/>
          <w:szCs w:val="32"/>
        </w:rPr>
        <w:t>2.经济社会发展情况</w:t>
      </w:r>
      <w:bookmarkEnd w:id="3"/>
    </w:p>
    <w:p w14:paraId="00E04D9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eastAsia="zh-CN"/>
        </w:rPr>
        <w:t>是</w:t>
      </w:r>
      <w:r>
        <w:rPr>
          <w:rFonts w:hint="eastAsia" w:ascii="仿宋_GB2312" w:hAnsi="仿宋_GB2312" w:eastAsia="仿宋_GB2312" w:cs="仿宋_GB2312"/>
          <w:sz w:val="32"/>
          <w:szCs w:val="32"/>
        </w:rPr>
        <w:t>“十四五”</w:t>
      </w:r>
      <w:r>
        <w:rPr>
          <w:rFonts w:hint="eastAsia" w:ascii="仿宋_GB2312" w:hAnsi="仿宋_GB2312" w:eastAsia="仿宋_GB2312" w:cs="仿宋_GB2312"/>
          <w:sz w:val="32"/>
          <w:szCs w:val="32"/>
          <w:lang w:eastAsia="zh-CN"/>
        </w:rPr>
        <w:t>规划</w:t>
      </w:r>
      <w:r>
        <w:rPr>
          <w:rFonts w:hint="eastAsia" w:ascii="仿宋_GB2312" w:hAnsi="仿宋_GB2312" w:eastAsia="仿宋_GB2312" w:cs="仿宋_GB2312"/>
          <w:sz w:val="32"/>
          <w:szCs w:val="32"/>
        </w:rPr>
        <w:t>收官之年，全县GDP24.13亿元，同比增长6.3%。一产增加值5.25亿元（+5%）、二产2.28亿元（+8.9%）、三产16.60亿元（+6.3%）；三产拉动经济作用最强，人均GDP52450元，增长5.2%。年末户籍人口5.03万，少数民族占95.55%，以藏族为主；常住人口4.64万，城镇1.49万、农村3.15万。2025年耕地47812亩，粮食播种面积小幅增长；全县实际灌溉面积1.725万亩，亩均灌溉用水157.69立方米。</w:t>
      </w:r>
    </w:p>
    <w:p w14:paraId="380C40C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全县推行“农牧立县、文旅兴县、能源富县、开放活县”发展战略，打造“一城三副”城乡发展格局。特色种养产业稳步发展，水利固定资产投资1.6亿元，农村自来水普及率 90.3%；文旅势头向好，全年接待游客60.04万人次，旅游收入4.49亿元，生活用水逐年提升。县域属长江上游生态屏障与水源涵养核心区。</w:t>
      </w:r>
    </w:p>
    <w:p w14:paraId="491E570E">
      <w:pPr>
        <w:widowControl/>
        <w:spacing w:line="360" w:lineRule="atLeast"/>
        <w:ind w:firstLine="440" w:firstLineChars="200"/>
        <w:jc w:val="lef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数据来源：2026年6月11日发布的《壤塘县2025年国民经济和社会发展统计公报》。</w:t>
      </w:r>
    </w:p>
    <w:p w14:paraId="2BFE98F1">
      <w:pPr>
        <w:spacing w:line="600" w:lineRule="exact"/>
        <w:ind w:firstLine="643" w:firstLineChars="200"/>
        <w:outlineLvl w:val="2"/>
        <w:rPr>
          <w:rFonts w:hint="eastAsia" w:ascii="仿宋_GB2312" w:hAnsi="仿宋_GB2312" w:eastAsia="仿宋_GB2312" w:cs="仿宋_GB2312"/>
          <w:b/>
          <w:bCs/>
          <w:sz w:val="32"/>
          <w:szCs w:val="32"/>
        </w:rPr>
      </w:pPr>
      <w:bookmarkStart w:id="4" w:name="_Toc32008"/>
      <w:r>
        <w:rPr>
          <w:rFonts w:hint="eastAsia" w:ascii="仿宋_GB2312" w:hAnsi="仿宋_GB2312" w:eastAsia="仿宋_GB2312" w:cs="仿宋_GB2312"/>
          <w:b/>
          <w:bCs/>
          <w:sz w:val="32"/>
          <w:szCs w:val="32"/>
        </w:rPr>
        <w:t>3.水资源条件</w:t>
      </w:r>
      <w:bookmarkEnd w:id="4"/>
    </w:p>
    <w:p w14:paraId="613E1BC2">
      <w:pPr>
        <w:spacing w:line="600" w:lineRule="exact"/>
        <w:ind w:firstLine="643" w:firstLineChars="200"/>
        <w:outlineLvl w:val="3"/>
        <w:rPr>
          <w:rFonts w:hint="eastAsia" w:ascii="仿宋_GB2312" w:hAnsi="仿宋_GB2312" w:eastAsia="仿宋_GB2312" w:cs="仿宋_GB2312"/>
          <w:b/>
          <w:bCs/>
          <w:sz w:val="32"/>
          <w:szCs w:val="32"/>
        </w:rPr>
      </w:pPr>
      <w:bookmarkStart w:id="5" w:name="_Toc26734"/>
      <w:r>
        <w:rPr>
          <w:rFonts w:hint="eastAsia" w:ascii="仿宋_GB2312" w:hAnsi="仿宋_GB2312" w:eastAsia="仿宋_GB2312" w:cs="仿宋_GB2312"/>
          <w:b/>
          <w:bCs/>
          <w:sz w:val="32"/>
          <w:szCs w:val="32"/>
        </w:rPr>
        <w:t>（1）水资源总量</w:t>
      </w:r>
      <w:bookmarkEnd w:id="5"/>
    </w:p>
    <w:p w14:paraId="26BBC2E3">
      <w:pPr>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壤塘县全境属长江大渡河水系，水资源以地表水为主，依靠降雨、高山融雪混合补给，辅以浅层地下水、高原湿地与高山湖泊，总量充沛但时空分布不均。径流年内悬殊，5—10月湿季径流量占全年八成以上，11月至次年4月干季河道水量锐减，仅靠高海拔融雪、湿地地下水维持基流。县域主干河道为杜柯河（绰斯甲河）、则曲河，均是大金川一级支流；杜柯河境内流程180公里，为核心水系，南莫且国家高原湿地持续为则曲河稳定补水。</w:t>
      </w:r>
    </w:p>
    <w:p w14:paraId="0C30370A">
      <w:pPr>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据第三次全国水资源调查评价，全县多年平均地表水资源量26.30亿m³，地下水资源量5.66亿m³，水资源总量26.30亿m³。受地形地质制约，当地工程性缺水明显，水资源开发利用难度较高。按照阿坝州水务局文件管控要求，依据《阿坝州水务局关于印发〈阿坝州2026年度主要江河流域水量分配计划〉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阿州水发</w:t>
      </w:r>
      <w:r>
        <w:rPr>
          <w:rFonts w:ascii="Times New Roman" w:hAnsi="Times New Roman" w:eastAsia="仿宋_GB2312" w:cs="Times New Roman"/>
          <w:sz w:val="32"/>
        </w:rPr>
        <w:t>〔202</w:t>
      </w:r>
      <w:r>
        <w:rPr>
          <w:rFonts w:hint="eastAsia" w:ascii="Times New Roman" w:hAnsi="Times New Roman" w:eastAsia="仿宋_GB2312" w:cs="Times New Roman"/>
          <w:sz w:val="32"/>
        </w:rPr>
        <w:t>6</w:t>
      </w:r>
      <w:r>
        <w:rPr>
          <w:rFonts w:ascii="Times New Roman" w:hAnsi="Times New Roman" w:eastAsia="仿宋_GB2312" w:cs="Times New Roman"/>
          <w:sz w:val="32"/>
        </w:rPr>
        <w:t>〕</w:t>
      </w:r>
      <w:r>
        <w:rPr>
          <w:rFonts w:hint="eastAsia" w:ascii="仿宋_GB2312" w:hAnsi="仿宋_GB2312" w:eastAsia="仿宋_GB2312" w:cs="仿宋_GB2312"/>
          <w:sz w:val="32"/>
          <w:szCs w:val="32"/>
        </w:rPr>
        <w:t>14号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文件中的水量分配计划，壤塘县2026年用水总量控制指标1784万m³，其中地下水控制指标102万m³。</w:t>
      </w:r>
    </w:p>
    <w:p w14:paraId="30BC336E">
      <w:pPr>
        <w:spacing w:line="600" w:lineRule="exact"/>
        <w:ind w:firstLine="643" w:firstLineChars="200"/>
        <w:outlineLvl w:val="3"/>
        <w:rPr>
          <w:rFonts w:hint="eastAsia" w:ascii="仿宋_GB2312" w:hAnsi="仿宋_GB2312" w:eastAsia="仿宋_GB2312" w:cs="仿宋_GB2312"/>
          <w:b/>
          <w:bCs/>
          <w:sz w:val="32"/>
          <w:szCs w:val="32"/>
        </w:rPr>
      </w:pPr>
      <w:bookmarkStart w:id="6" w:name="_Toc1530"/>
      <w:r>
        <w:rPr>
          <w:rFonts w:hint="eastAsia" w:ascii="仿宋_GB2312" w:hAnsi="仿宋_GB2312" w:eastAsia="仿宋_GB2312" w:cs="仿宋_GB2312"/>
          <w:b/>
          <w:bCs/>
          <w:sz w:val="32"/>
          <w:szCs w:val="32"/>
        </w:rPr>
        <w:t>（2）用水结构</w:t>
      </w:r>
      <w:bookmarkEnd w:id="6"/>
    </w:p>
    <w:p w14:paraId="3F0DD0A9">
      <w:pPr>
        <w:pStyle w:val="5"/>
        <w:widowControl/>
        <w:spacing w:line="600" w:lineRule="exact"/>
        <w:ind w:firstLine="640"/>
        <w:rPr>
          <w:rFonts w:ascii="Times New Roman" w:hAnsi="Times New Roman" w:eastAsia="仿宋_GB2312" w:cs="Times New Roman"/>
          <w:sz w:val="32"/>
          <w:lang w:eastAsia="zh-CN"/>
        </w:rPr>
      </w:pPr>
      <w:r>
        <w:rPr>
          <w:rFonts w:ascii="Times New Roman" w:hAnsi="Times New Roman" w:eastAsia="仿宋_GB2312" w:cs="Times New Roman"/>
          <w:sz w:val="32"/>
          <w:lang w:eastAsia="zh-CN"/>
        </w:rPr>
        <w:t>2025年，壤塘县总用水量1318.64万</w:t>
      </w:r>
      <w:r>
        <w:rPr>
          <w:rFonts w:ascii="Times New Roman" w:hAnsi="Times New Roman" w:cs="Times New Roman"/>
          <w:sz w:val="32"/>
          <w:lang w:eastAsia="zh-CN"/>
        </w:rPr>
        <w:t>m³</w:t>
      </w:r>
      <w:r>
        <w:rPr>
          <w:rFonts w:ascii="Times New Roman" w:hAnsi="Times New Roman" w:eastAsia="仿宋_GB2312" w:cs="Times New Roman"/>
          <w:sz w:val="32"/>
          <w:lang w:eastAsia="zh-CN"/>
        </w:rPr>
        <w:t>，其中地表水1316.39万</w:t>
      </w:r>
      <w:r>
        <w:rPr>
          <w:rFonts w:ascii="Times New Roman" w:hAnsi="Times New Roman" w:cs="Times New Roman"/>
          <w:sz w:val="32"/>
          <w:lang w:eastAsia="zh-CN"/>
        </w:rPr>
        <w:t>m³</w:t>
      </w:r>
      <w:r>
        <w:rPr>
          <w:rFonts w:ascii="Times New Roman" w:hAnsi="Times New Roman" w:eastAsia="仿宋_GB2312" w:cs="Times New Roman"/>
          <w:sz w:val="32"/>
          <w:lang w:eastAsia="zh-CN"/>
        </w:rPr>
        <w:t>，占总用水量的99.83%；地下水0.02万</w:t>
      </w:r>
      <w:r>
        <w:rPr>
          <w:rFonts w:ascii="Times New Roman" w:hAnsi="Times New Roman" w:cs="Times New Roman"/>
          <w:sz w:val="32"/>
          <w:lang w:eastAsia="zh-CN"/>
        </w:rPr>
        <w:t>m³</w:t>
      </w:r>
      <w:r>
        <w:rPr>
          <w:rFonts w:ascii="Times New Roman" w:hAnsi="Times New Roman" w:eastAsia="仿宋_GB2312" w:cs="Times New Roman"/>
          <w:sz w:val="32"/>
          <w:lang w:eastAsia="zh-CN"/>
        </w:rPr>
        <w:t>，占总用水量的0.001%；非常规水2.23万</w:t>
      </w:r>
      <w:r>
        <w:rPr>
          <w:rFonts w:ascii="Times New Roman" w:hAnsi="Times New Roman" w:cs="Times New Roman"/>
          <w:sz w:val="32"/>
          <w:lang w:eastAsia="zh-CN"/>
        </w:rPr>
        <w:t>m³</w:t>
      </w:r>
      <w:r>
        <w:rPr>
          <w:rFonts w:ascii="Times New Roman" w:hAnsi="Times New Roman" w:eastAsia="仿宋_GB2312" w:cs="Times New Roman"/>
          <w:sz w:val="32"/>
          <w:lang w:eastAsia="zh-CN"/>
        </w:rPr>
        <w:t>，占总用水量的0.17%。分行业看：农业用水量6</w:t>
      </w:r>
      <w:r>
        <w:rPr>
          <w:rFonts w:ascii="Times New Roman" w:hAnsi="Times New Roman" w:cs="Times New Roman"/>
          <w:sz w:val="32"/>
          <w:lang w:eastAsia="zh-CN"/>
        </w:rPr>
        <w:t>8</w:t>
      </w:r>
      <w:r>
        <w:rPr>
          <w:rFonts w:ascii="Times New Roman" w:hAnsi="Times New Roman" w:eastAsia="仿宋_GB2312" w:cs="Times New Roman"/>
          <w:sz w:val="32"/>
          <w:lang w:eastAsia="zh-CN"/>
        </w:rPr>
        <w:t>0.52万</w:t>
      </w:r>
      <w:r>
        <w:rPr>
          <w:rFonts w:ascii="Times New Roman" w:hAnsi="Times New Roman" w:cs="Times New Roman"/>
          <w:sz w:val="32"/>
          <w:lang w:eastAsia="zh-CN"/>
        </w:rPr>
        <w:t>m³</w:t>
      </w:r>
      <w:r>
        <w:rPr>
          <w:rFonts w:ascii="Times New Roman" w:hAnsi="Times New Roman" w:eastAsia="仿宋_GB2312" w:cs="Times New Roman"/>
          <w:sz w:val="32"/>
          <w:lang w:eastAsia="zh-CN"/>
        </w:rPr>
        <w:t>，占5</w:t>
      </w:r>
      <w:r>
        <w:rPr>
          <w:rFonts w:ascii="Times New Roman" w:hAnsi="Times New Roman" w:cs="Times New Roman"/>
          <w:sz w:val="32"/>
          <w:lang w:eastAsia="zh-CN"/>
        </w:rPr>
        <w:t>1.61</w:t>
      </w:r>
      <w:r>
        <w:rPr>
          <w:rFonts w:ascii="Times New Roman" w:hAnsi="Times New Roman" w:eastAsia="仿宋_GB2312" w:cs="Times New Roman"/>
          <w:sz w:val="32"/>
          <w:lang w:eastAsia="zh-CN"/>
        </w:rPr>
        <w:t>%；工业用水量12.71万</w:t>
      </w:r>
      <w:r>
        <w:rPr>
          <w:rFonts w:ascii="Times New Roman" w:hAnsi="Times New Roman" w:cs="Times New Roman"/>
          <w:sz w:val="32"/>
          <w:lang w:eastAsia="zh-CN"/>
        </w:rPr>
        <w:t>m³</w:t>
      </w:r>
      <w:r>
        <w:rPr>
          <w:rFonts w:ascii="Times New Roman" w:hAnsi="Times New Roman" w:eastAsia="仿宋_GB2312" w:cs="Times New Roman"/>
          <w:sz w:val="32"/>
          <w:lang w:eastAsia="zh-CN"/>
        </w:rPr>
        <w:t>，占0.96%；生活用水量625.41万</w:t>
      </w:r>
      <w:r>
        <w:rPr>
          <w:rFonts w:ascii="Times New Roman" w:hAnsi="Times New Roman" w:cs="Times New Roman"/>
          <w:sz w:val="32"/>
          <w:lang w:eastAsia="zh-CN"/>
        </w:rPr>
        <w:t>m³</w:t>
      </w:r>
      <w:r>
        <w:rPr>
          <w:rFonts w:ascii="Times New Roman" w:hAnsi="Times New Roman" w:eastAsia="仿宋_GB2312" w:cs="Times New Roman"/>
          <w:sz w:val="32"/>
          <w:lang w:eastAsia="zh-CN"/>
        </w:rPr>
        <w:t>，占47.43%；生态环境补水量0万</w:t>
      </w:r>
      <w:r>
        <w:rPr>
          <w:rFonts w:ascii="Times New Roman" w:hAnsi="Times New Roman" w:cs="Times New Roman"/>
          <w:sz w:val="32"/>
          <w:lang w:eastAsia="zh-CN"/>
        </w:rPr>
        <w:t>m³</w:t>
      </w:r>
      <w:r>
        <w:rPr>
          <w:rFonts w:ascii="Times New Roman" w:hAnsi="Times New Roman" w:eastAsia="仿宋_GB2312" w:cs="Times New Roman"/>
          <w:sz w:val="32"/>
          <w:lang w:eastAsia="zh-CN"/>
        </w:rPr>
        <w:t>。用水结构呈现“农牧业为主、生活用水占比高、工业用水规模小”的高原县域典型特征。</w:t>
      </w:r>
    </w:p>
    <w:p w14:paraId="100ACB19">
      <w:pPr>
        <w:spacing w:line="600" w:lineRule="exact"/>
        <w:ind w:firstLine="643" w:firstLineChars="200"/>
        <w:outlineLvl w:val="3"/>
        <w:rPr>
          <w:rFonts w:hint="eastAsia" w:ascii="仿宋_GB2312" w:hAnsi="仿宋_GB2312" w:eastAsia="仿宋_GB2312" w:cs="仿宋_GB2312"/>
          <w:b/>
          <w:bCs/>
          <w:sz w:val="32"/>
          <w:szCs w:val="32"/>
        </w:rPr>
      </w:pPr>
      <w:bookmarkStart w:id="7" w:name="_Toc15627"/>
      <w:r>
        <w:rPr>
          <w:rFonts w:hint="eastAsia" w:ascii="仿宋_GB2312" w:hAnsi="仿宋_GB2312" w:eastAsia="仿宋_GB2312" w:cs="仿宋_GB2312"/>
          <w:b/>
          <w:bCs/>
          <w:sz w:val="32"/>
          <w:szCs w:val="32"/>
        </w:rPr>
        <w:t>（3）用水效率</w:t>
      </w:r>
      <w:bookmarkEnd w:id="7"/>
    </w:p>
    <w:p w14:paraId="091E408C">
      <w:pPr>
        <w:spacing w:line="60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根据阿坝州水务局</w:t>
      </w:r>
      <w:r>
        <w:rPr>
          <w:rFonts w:hint="eastAsia" w:ascii="Times New Roman" w:hAnsi="Times New Roman" w:eastAsia="仿宋_GB2312" w:cs="Times New Roman"/>
          <w:sz w:val="32"/>
        </w:rPr>
        <w:t>印发的</w:t>
      </w:r>
      <w:r>
        <w:rPr>
          <w:rFonts w:ascii="Times New Roman" w:hAnsi="Times New Roman" w:eastAsia="仿宋_GB2312" w:cs="Times New Roman"/>
          <w:sz w:val="32"/>
        </w:rPr>
        <w:t>《2025年用水总量控制目标》（阿州水发〔2025〕13号）要求，壤塘县2025年度用水总量控制指标为1320万m³（0.132亿m³），万元国内生产总值用水量比2020年下降10%，万元工业增加值用水量比2020年下降20%，农田灌溉水有效利用系数提高到0.490。</w:t>
      </w:r>
    </w:p>
    <w:p w14:paraId="689EF2C1">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壤塘县常规水源用水总量为1318.64万m³，万元国内生产总值用水量（54.56m³/万元）较2020年累计降幅满足考核要求，万元工业增加值用水量（6.70m³/万元）较2020年累计降幅超额完成下达标准，农田灌溉水有效利用系数达到0.49，用水总量及强度均达到阿坝州下达的目标任务。</w:t>
      </w:r>
    </w:p>
    <w:p w14:paraId="34D3C349">
      <w:pPr>
        <w:spacing w:line="600" w:lineRule="exact"/>
        <w:ind w:firstLine="643" w:firstLineChars="200"/>
        <w:outlineLvl w:val="1"/>
        <w:rPr>
          <w:rFonts w:hint="eastAsia" w:ascii="楷体" w:hAnsi="楷体" w:eastAsia="楷体" w:cs="楷体"/>
          <w:b/>
          <w:bCs/>
          <w:sz w:val="32"/>
          <w:szCs w:val="32"/>
        </w:rPr>
      </w:pPr>
      <w:bookmarkStart w:id="8" w:name="_Toc7151"/>
      <w:r>
        <w:rPr>
          <w:rFonts w:hint="eastAsia" w:ascii="楷体" w:hAnsi="楷体" w:eastAsia="楷体" w:cs="楷体"/>
          <w:b/>
          <w:bCs/>
          <w:sz w:val="32"/>
          <w:szCs w:val="32"/>
        </w:rPr>
        <w:t>（二）工作基础</w:t>
      </w:r>
      <w:bookmarkEnd w:id="8"/>
    </w:p>
    <w:p w14:paraId="3AF793F2">
      <w:pPr>
        <w:spacing w:line="600" w:lineRule="exact"/>
        <w:ind w:firstLine="655"/>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1.严格落实最严格水资源管理制度，压实水资源刚性管控责任。</w:t>
      </w:r>
      <w:r>
        <w:rPr>
          <w:rFonts w:hint="eastAsia" w:ascii="仿宋_GB2312" w:hAnsi="仿宋_GB2312" w:eastAsia="仿宋_GB2312" w:cs="仿宋_GB2312"/>
          <w:sz w:val="32"/>
          <w:szCs w:val="32"/>
        </w:rPr>
        <w:t>壤塘县始终坚持“节水优先、空间均衡、系统治理、两手发力”治水思路，紧扣长江上游水源涵养区生态定位，全面落实用水总量、用水强度双控刚性约束。严格执行州级下达年度用水控制指标与流域水量分配方案，依据《阿坝州水务局关于印发〈阿坝州2026年度主要江河流域水量分配计划〉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阿州水发</w:t>
      </w:r>
      <w:r>
        <w:rPr>
          <w:rFonts w:ascii="Times New Roman" w:hAnsi="Times New Roman" w:eastAsia="仿宋_GB2312" w:cs="Times New Roman"/>
          <w:sz w:val="32"/>
        </w:rPr>
        <w:t>〔202</w:t>
      </w:r>
      <w:r>
        <w:rPr>
          <w:rFonts w:hint="eastAsia" w:ascii="Times New Roman" w:hAnsi="Times New Roman" w:eastAsia="仿宋_GB2312" w:cs="Times New Roman"/>
          <w:sz w:val="32"/>
        </w:rPr>
        <w:t>6</w:t>
      </w:r>
      <w:r>
        <w:rPr>
          <w:rFonts w:ascii="Times New Roman" w:hAnsi="Times New Roman" w:eastAsia="仿宋_GB2312" w:cs="Times New Roman"/>
          <w:sz w:val="32"/>
        </w:rPr>
        <w:t>〕</w:t>
      </w:r>
      <w:r>
        <w:rPr>
          <w:rFonts w:hint="eastAsia" w:ascii="仿宋_GB2312" w:hAnsi="仿宋_GB2312" w:eastAsia="仿宋_GB2312" w:cs="仿宋_GB2312"/>
          <w:sz w:val="32"/>
          <w:szCs w:val="32"/>
        </w:rPr>
        <w:t>14号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文件要求，分解落实各行业用水额度，常态化开展河道生态基流巡查、取用水监督检查。2025年用水总量、万元GDP用水量、农田灌溉水有效利用系数等各项考核指标均圆满完成州级目标，为开展水预算管理试点筑牢制度执行根基。</w:t>
      </w:r>
    </w:p>
    <w:p w14:paraId="46F38F3E">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2.规范计划用水与取水许可管理，夯实精细化管控底数。</w:t>
      </w:r>
      <w:r>
        <w:rPr>
          <w:rFonts w:hint="eastAsia" w:ascii="仿宋_GB2312" w:hAnsi="仿宋_GB2312" w:eastAsia="仿宋_GB2312" w:cs="仿宋_GB2312"/>
          <w:sz w:val="32"/>
          <w:szCs w:val="32"/>
        </w:rPr>
        <w:t>全面规范县域取水许可审批、台账管理，对所有经营性自备水源取水户逐户核定年度取水计划，严格限定取水时段、取水规模与用途，杜绝超许可、超计划取水。针对城乡公共供水范围内企业、民宿、酒店、机关学校等重点用水户建立计划用水台账，将用水定额作为计划水量测算核心依据，匹配产业规模核定年度取水控制额度。建立常态化用水预警机制，对临近用水控制目标的用水户提前提醒、限期节水整改，持续规范全县取用水秩序。</w:t>
      </w:r>
    </w:p>
    <w:p w14:paraId="08CB1FAF">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3.稳步推进全域节水改造，提升水资源节约利用水平。</w:t>
      </w:r>
      <w:r>
        <w:rPr>
          <w:rFonts w:hint="eastAsia" w:ascii="仿宋_GB2312" w:hAnsi="仿宋_GB2312" w:eastAsia="仿宋_GB2312" w:cs="仿宋_GB2312"/>
          <w:sz w:val="32"/>
          <w:szCs w:val="32"/>
        </w:rPr>
        <w:t>立足农牧立县发展定位，持续实施灌区节水配套改造项目，完善田间渠系计量设施，全县农田灌溉水有效利用系数稳定达到0.49。大力推广高原高效节水灌溉等节水技术，建设棚内配套喷淋洒水系统，配套落实水利固定资产投入，持续提升农牧区用水效率。依托县域文旅产业发展，引导景区、民宿经营主体配套安装节水器具，普及节水宣传；同步探索符合高原牧区实际的水资源优化配置路径，为后续市场化配置预留工作基础。</w:t>
      </w:r>
    </w:p>
    <w:p w14:paraId="738B2E19">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4.完善取用水计量设施，推进水资源数字化监管。</w:t>
      </w:r>
      <w:r>
        <w:rPr>
          <w:rFonts w:hint="eastAsia" w:ascii="仿宋_GB2312" w:hAnsi="仿宋_GB2312" w:eastAsia="仿宋_GB2312" w:cs="仿宋_GB2312"/>
          <w:sz w:val="32"/>
          <w:szCs w:val="32"/>
        </w:rPr>
        <w:t>分层分类推进全县取用水计量体系建设：对杜柯河、则曲河沿线重点取水口、规模化灌区配套安装测控计量设施，实现灌溉用水流量可监测、可统计；对乡镇集中供水厂、重点文旅经营用水户配齐智能水表，完善基础计量台账。同时依托省级水资源管理系统归集基础用水数据，具备开展水预算动态监管的数据支撑条件。</w:t>
      </w:r>
    </w:p>
    <w:p w14:paraId="3D7477C2">
      <w:pPr>
        <w:spacing w:line="600" w:lineRule="exact"/>
        <w:ind w:firstLine="655"/>
        <w:rPr>
          <w:rFonts w:hint="eastAsia" w:ascii="仿宋_GB2312" w:hAnsi="仿宋_GB2312" w:eastAsia="仿宋_GB2312" w:cs="仿宋_GB2312"/>
          <w:b/>
          <w:bCs/>
          <w:sz w:val="32"/>
          <w:szCs w:val="32"/>
        </w:rPr>
      </w:pPr>
      <w:bookmarkStart w:id="9" w:name="_Toc6510"/>
      <w:r>
        <w:rPr>
          <w:rFonts w:hint="eastAsia" w:ascii="仿宋_GB2312" w:hAnsi="仿宋_GB2312" w:eastAsia="仿宋_GB2312" w:cs="仿宋_GB2312"/>
          <w:b/>
          <w:bCs/>
          <w:sz w:val="32"/>
          <w:szCs w:val="32"/>
        </w:rPr>
        <w:t>5.各行业具备节水管理基础，总体适配水预算试点推行条件。</w:t>
      </w:r>
      <w:bookmarkEnd w:id="9"/>
    </w:p>
    <w:p w14:paraId="38231EED">
      <w:pPr>
        <w:spacing w:line="600" w:lineRule="exact"/>
        <w:ind w:firstLine="655"/>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工业领域：</w:t>
      </w:r>
      <w:r>
        <w:rPr>
          <w:rFonts w:hint="eastAsia" w:ascii="仿宋_GB2312" w:hAnsi="仿宋_GB2312" w:eastAsia="仿宋_GB2312" w:cs="仿宋_GB2312"/>
          <w:sz w:val="32"/>
          <w:szCs w:val="32"/>
        </w:rPr>
        <w:t>全县工业体量小，工业用水量占全县总用水量比重不足1%。拟纳入水预算名录的工业独立预算户共6户，主要为饮料生产、建材物料加工、新能源建设配套、农特产品加工等市场主体，无医药健康、电子信息、装备制造等高耗水产业。企业用水以生产清洗、场地保洁、厂区辅助用水为主，生产工艺用水规模小；持证自备水源企业取水许可手续完备，用水台账基本建立，用水规模总体可控，具备核定水预算基准额度的工作基础。</w:t>
      </w:r>
    </w:p>
    <w:p w14:paraId="36662E95">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农业领域：</w:t>
      </w:r>
      <w:r>
        <w:rPr>
          <w:rFonts w:hint="eastAsia" w:ascii="仿宋_GB2312" w:hAnsi="仿宋_GB2312" w:eastAsia="仿宋_GB2312" w:cs="仿宋_GB2312"/>
          <w:sz w:val="32"/>
          <w:szCs w:val="32"/>
        </w:rPr>
        <w:t>拟纳入水预算管理的农业独立预算户仅1户，为灾后农业产业基地提升项目；其余农业用水以打捆管理为主，涵盖青稞等粮食种植、高原食用菌、牦牛畜禽散养及规模化种养片区。</w:t>
      </w:r>
    </w:p>
    <w:p w14:paraId="0915E4B9">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服务业领域：</w:t>
      </w:r>
      <w:r>
        <w:rPr>
          <w:rFonts w:hint="eastAsia" w:ascii="仿宋_GB2312" w:hAnsi="仿宋_GB2312" w:eastAsia="仿宋_GB2312" w:cs="仿宋_GB2312"/>
          <w:sz w:val="32"/>
          <w:szCs w:val="32"/>
        </w:rPr>
        <w:t>拟纳入水预算管理的服务业独立预算户共9户，主要为县级学校、医院、机关事业单位、规模酒店宾馆等公共机构及经营性主体，全部为公共供水管网内年用水量1万m³以上用水户，用水类型以教学生活、医疗服务、住宿经营、办公公共服务用水为主。县城范围内重点服务业单位内部节水管理制度基本建立，抄表统计记录较为完整；但县域大量乡村民宿、小微商铺、小型经营网点分布零散，纳入打捆管理，用水器具全部为节水器具，节水管理基本实现全员全面覆盖。</w:t>
      </w:r>
    </w:p>
    <w:p w14:paraId="27F43179">
      <w:pPr>
        <w:spacing w:line="600" w:lineRule="exact"/>
        <w:ind w:firstLine="65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来看，县城及名录内独立预算户计量统计体系基本成型，用水户节水意识持续提升，现有水资源管理制度框架可与水预算编制、执行、考核全流程有效衔接。同时，依托四川省水资源管理和调配系统和各自来水厂抄表系统，部分单位的取用水数据能够实现实时采集、动态监控，为水预算编制、执行、监督提供了精准的数据支撑，确保水预算管理工作能够有序推进、落地见效。</w:t>
      </w:r>
    </w:p>
    <w:p w14:paraId="5E1AC57F">
      <w:pPr>
        <w:spacing w:before="156" w:beforeLines="50" w:after="156" w:afterLines="50" w:line="600" w:lineRule="exact"/>
        <w:ind w:firstLine="640" w:firstLineChars="200"/>
        <w:outlineLvl w:val="0"/>
        <w:rPr>
          <w:rFonts w:hint="eastAsia" w:ascii="黑体" w:hAnsi="黑体" w:eastAsia="黑体" w:cs="黑体"/>
          <w:sz w:val="32"/>
          <w:szCs w:val="32"/>
        </w:rPr>
      </w:pPr>
      <w:bookmarkStart w:id="10" w:name="_Toc7965"/>
      <w:r>
        <w:rPr>
          <w:rFonts w:hint="eastAsia" w:ascii="黑体" w:hAnsi="黑体" w:eastAsia="黑体" w:cs="黑体"/>
          <w:sz w:val="32"/>
          <w:szCs w:val="32"/>
        </w:rPr>
        <w:t>二、试点内容</w:t>
      </w:r>
      <w:bookmarkEnd w:id="10"/>
    </w:p>
    <w:p w14:paraId="44179179">
      <w:pPr>
        <w:spacing w:line="600" w:lineRule="exact"/>
        <w:ind w:firstLine="643" w:firstLineChars="200"/>
        <w:outlineLvl w:val="1"/>
        <w:rPr>
          <w:rFonts w:hint="eastAsia" w:ascii="仿宋_GB2312" w:hAnsi="仿宋_GB2312" w:eastAsia="仿宋_GB2312" w:cs="仿宋_GB2312"/>
          <w:b/>
          <w:bCs/>
          <w:sz w:val="32"/>
          <w:szCs w:val="32"/>
        </w:rPr>
      </w:pPr>
      <w:bookmarkStart w:id="11" w:name="_Toc28025"/>
      <w:r>
        <w:rPr>
          <w:rFonts w:hint="eastAsia" w:ascii="楷体" w:hAnsi="楷体" w:eastAsia="楷体" w:cs="楷体"/>
          <w:b/>
          <w:bCs/>
          <w:sz w:val="32"/>
          <w:szCs w:val="32"/>
        </w:rPr>
        <w:t>（一）总体目标</w:t>
      </w:r>
      <w:bookmarkEnd w:id="11"/>
    </w:p>
    <w:p w14:paraId="57349DDB">
      <w:pPr>
        <w:ind w:firstLine="640" w:firstLineChars="200"/>
        <w:rPr>
          <w:rFonts w:hint="eastAsia" w:ascii="仿宋" w:hAnsi="仿宋" w:eastAsia="仿宋" w:cs="仿宋"/>
          <w:color w:val="000000" w:themeColor="text1"/>
          <w:sz w:val="32"/>
          <w:szCs w:val="32"/>
          <w14:textFill>
            <w14:solidFill>
              <w14:schemeClr w14:val="tx1"/>
            </w14:solidFill>
          </w14:textFill>
        </w:rPr>
      </w:pPr>
      <w:bookmarkStart w:id="12" w:name="_Toc5728"/>
      <w:r>
        <w:rPr>
          <w:rFonts w:hint="eastAsia" w:ascii="仿宋" w:hAnsi="仿宋" w:eastAsia="仿宋" w:cs="仿宋"/>
          <w:color w:val="000000" w:themeColor="text1"/>
          <w:sz w:val="32"/>
          <w:szCs w:val="32"/>
          <w14:textFill>
            <w14:solidFill>
              <w14:schemeClr w14:val="tx1"/>
            </w14:solidFill>
          </w14:textFill>
        </w:rPr>
        <w:t>通过1—2年水预算管理试点探索，构建制度完善、执行有力、评价科学、创新驱动，权责清晰、流程规范、监管严格、激励有效的水预算管理制度、技术标准与监督考核体系，形成具有壤塘县高原特色的水预算管理模式，实现区域独立户水预算管理覆盖率100%，全面形成节水型生产生活方式，实现水预算管理与节水工作深度融合，为壤塘县水资源可持续利用奠定坚实基础。</w:t>
      </w:r>
    </w:p>
    <w:p w14:paraId="1898BEAA">
      <w:pPr>
        <w:spacing w:line="600" w:lineRule="exact"/>
        <w:ind w:firstLine="643" w:firstLineChars="200"/>
        <w:outlineLvl w:val="1"/>
        <w:rPr>
          <w:rFonts w:hint="eastAsia" w:ascii="楷体" w:hAnsi="楷体" w:eastAsia="楷体" w:cs="楷体"/>
          <w:b/>
          <w:bCs/>
          <w:sz w:val="32"/>
          <w:szCs w:val="32"/>
        </w:rPr>
      </w:pPr>
      <w:r>
        <w:rPr>
          <w:rFonts w:hint="eastAsia" w:ascii="楷体" w:hAnsi="楷体" w:eastAsia="楷体" w:cs="楷体"/>
          <w:b/>
          <w:bCs/>
          <w:sz w:val="32"/>
          <w:szCs w:val="32"/>
        </w:rPr>
        <w:t>（二）</w:t>
      </w:r>
      <w:bookmarkEnd w:id="12"/>
      <w:r>
        <w:rPr>
          <w:rFonts w:hint="eastAsia" w:ascii="楷体" w:hAnsi="楷体" w:eastAsia="楷体" w:cs="楷体"/>
          <w:b/>
          <w:bCs/>
          <w:sz w:val="32"/>
          <w:szCs w:val="32"/>
        </w:rPr>
        <w:t>预期成果</w:t>
      </w:r>
    </w:p>
    <w:p w14:paraId="36D74D03">
      <w:pPr>
        <w:pStyle w:val="5"/>
        <w:ind w:firstLine="620"/>
        <w:rPr>
          <w:rFonts w:hint="eastAsia"/>
          <w:lang w:eastAsia="zh-CN"/>
        </w:rPr>
      </w:pPr>
      <w:r>
        <w:rPr>
          <w:rFonts w:hint="eastAsia"/>
          <w:lang w:eastAsia="zh-CN"/>
        </w:rPr>
        <w:t>紧扣“总量管理、科学配置、高效利用、智能服务”总体要求，以水预算管理为抓手推动水资源精细化管控，赋能县域经济社会高质量发展。</w:t>
      </w:r>
    </w:p>
    <w:p w14:paraId="7CB229FA">
      <w:pPr>
        <w:pStyle w:val="5"/>
        <w:ind w:firstLine="620"/>
        <w:rPr>
          <w:rFonts w:hint="eastAsia"/>
          <w:lang w:eastAsia="zh-CN"/>
        </w:rPr>
      </w:pPr>
      <w:r>
        <w:rPr>
          <w:rFonts w:hint="eastAsia"/>
          <w:lang w:eastAsia="zh-CN"/>
        </w:rPr>
        <w:t>到2026年底，基本建立健全壤塘县水预算制度标准体系，制定出台《壤塘县水预算管理办法（试行）》，构建水预算配套制度体系；科学核定全县域水预算基准额度，明晰用水结构配置方案；持续完善水资源数字化智慧化管理能力。</w:t>
      </w:r>
    </w:p>
    <w:p w14:paraId="5A015D5F">
      <w:pPr>
        <w:pStyle w:val="5"/>
        <w:ind w:firstLine="620"/>
        <w:rPr>
          <w:rFonts w:hint="eastAsia"/>
          <w:lang w:eastAsia="zh-CN"/>
        </w:rPr>
      </w:pPr>
      <w:r>
        <w:rPr>
          <w:rFonts w:hint="eastAsia"/>
          <w:lang w:eastAsia="zh-CN"/>
        </w:rPr>
        <w:t>到2027年，全面建成归属清晰、权责明确、监管有效的水预算管理制度体系；持续优化水源结构，提升用水配置效能；探索水预算节余额度市场化流转机制，用水精细化管理水平显著提升；实现水资源利用与县域发展规模、空间布局、人口总量、产业结构协同适配。</w:t>
      </w:r>
    </w:p>
    <w:p w14:paraId="0167E19A">
      <w:pPr>
        <w:spacing w:line="600" w:lineRule="exact"/>
        <w:ind w:firstLine="643" w:firstLineChars="200"/>
        <w:outlineLvl w:val="1"/>
        <w:rPr>
          <w:rFonts w:hint="eastAsia" w:ascii="仿宋_GB2312" w:hAnsi="仿宋_GB2312" w:eastAsia="仿宋_GB2312" w:cs="仿宋_GB2312"/>
          <w:sz w:val="32"/>
          <w:szCs w:val="32"/>
        </w:rPr>
      </w:pPr>
      <w:bookmarkStart w:id="13" w:name="_Toc2344"/>
      <w:r>
        <w:rPr>
          <w:rFonts w:hint="eastAsia" w:ascii="楷体" w:hAnsi="楷体" w:eastAsia="楷体" w:cs="楷体"/>
          <w:b/>
          <w:bCs/>
          <w:sz w:val="32"/>
          <w:szCs w:val="32"/>
        </w:rPr>
        <w:t>（三）试点范围</w:t>
      </w:r>
      <w:bookmarkEnd w:id="13"/>
    </w:p>
    <w:p w14:paraId="09468D7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试点覆盖阿坝州壤塘县全域、全行业及各类水源。</w:t>
      </w:r>
    </w:p>
    <w:p w14:paraId="72AEC542">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行业层面：</w:t>
      </w:r>
      <w:r>
        <w:rPr>
          <w:rFonts w:hint="eastAsia" w:ascii="仿宋_GB2312" w:hAnsi="仿宋_GB2312" w:eastAsia="仿宋_GB2312" w:cs="仿宋_GB2312"/>
          <w:sz w:val="32"/>
          <w:szCs w:val="32"/>
        </w:rPr>
        <w:t>涵盖农业、工业、服务业、建筑业、居民生活、河湖生态、城乡环境等用水领域。</w:t>
      </w:r>
    </w:p>
    <w:p w14:paraId="35D259F2">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水源层面：</w:t>
      </w:r>
      <w:r>
        <w:rPr>
          <w:rFonts w:hint="eastAsia" w:ascii="仿宋_GB2312" w:hAnsi="仿宋_GB2312" w:eastAsia="仿宋_GB2312" w:cs="仿宋_GB2312"/>
          <w:sz w:val="32"/>
          <w:szCs w:val="32"/>
        </w:rPr>
        <w:t>包括地表水、地下水、外调水、非常规水源及水权交易水量等所有类型。</w:t>
      </w:r>
    </w:p>
    <w:p w14:paraId="61D1566E">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管理层面：</w:t>
      </w:r>
      <w:r>
        <w:rPr>
          <w:rFonts w:hint="eastAsia" w:ascii="仿宋_GB2312" w:hAnsi="仿宋_GB2312" w:eastAsia="仿宋_GB2312" w:cs="仿宋_GB2312"/>
          <w:sz w:val="32"/>
          <w:szCs w:val="32"/>
        </w:rPr>
        <w:t>需纳入水预算名录库管理的标准如下：</w:t>
      </w:r>
    </w:p>
    <w:p w14:paraId="36ED98AC">
      <w:pPr>
        <w:spacing w:line="600" w:lineRule="exact"/>
        <w:ind w:firstLine="640" w:firstLineChars="200"/>
      </w:pPr>
      <w:r>
        <w:rPr>
          <w:rFonts w:hint="eastAsia" w:ascii="仿宋_GB2312" w:hAnsi="仿宋_GB2312" w:eastAsia="仿宋_GB2312" w:cs="仿宋_GB2312"/>
          <w:sz w:val="32"/>
          <w:szCs w:val="32"/>
        </w:rPr>
        <w:t>1.高耗水工业企业：包括啤酒酿造、化工、冶金、造纸、纺织、食品加工等行业，以及生产过程中取用水量大、单位产品耗水量高的工业企业。</w:t>
      </w:r>
    </w:p>
    <w:p w14:paraId="5406C8BD">
      <w:pPr>
        <w:spacing w:line="600" w:lineRule="exact"/>
        <w:ind w:firstLine="640" w:firstLineChars="200"/>
      </w:pPr>
      <w:r>
        <w:rPr>
          <w:rFonts w:hint="eastAsia" w:ascii="仿宋_GB2312" w:hAnsi="仿宋_GB2312" w:eastAsia="仿宋_GB2312" w:cs="仿宋_GB2312"/>
          <w:sz w:val="32"/>
          <w:szCs w:val="32"/>
        </w:rPr>
        <w:t>2.农业用水大户：包括规模化经营的农田灌溉、林草灌溉、畜禽养殖、水产养殖等用水主体。</w:t>
      </w:r>
    </w:p>
    <w:p w14:paraId="234FD4BA">
      <w:pPr>
        <w:spacing w:line="600" w:lineRule="exact"/>
        <w:ind w:firstLine="640" w:firstLineChars="200"/>
      </w:pPr>
      <w:r>
        <w:rPr>
          <w:rFonts w:hint="eastAsia" w:ascii="仿宋_GB2312" w:hAnsi="仿宋_GB2312" w:eastAsia="仿宋_GB2312" w:cs="仿宋_GB2312"/>
          <w:sz w:val="32"/>
          <w:szCs w:val="32"/>
        </w:rPr>
        <w:t>3.公共供水管网内年用水量1万m³及以上的非居民用水户：涵盖工业、服务业、建筑业、城乡环境等行业。</w:t>
      </w:r>
    </w:p>
    <w:p w14:paraId="48A0A3C9">
      <w:pPr>
        <w:spacing w:line="600" w:lineRule="exact"/>
        <w:ind w:firstLine="640" w:firstLineChars="200"/>
      </w:pPr>
      <w:r>
        <w:rPr>
          <w:rFonts w:hint="eastAsia" w:ascii="仿宋_GB2312" w:hAnsi="仿宋_GB2312" w:eastAsia="仿宋_GB2312" w:cs="仿宋_GB2312"/>
          <w:sz w:val="32"/>
          <w:szCs w:val="32"/>
        </w:rPr>
        <w:t>4.已办理取水许可证的自备水取用水户（水电站、地源热泵等取用水户暂不纳入）。</w:t>
      </w:r>
    </w:p>
    <w:p w14:paraId="55B8230B">
      <w:pPr>
        <w:spacing w:line="600" w:lineRule="exact"/>
        <w:ind w:firstLine="641"/>
        <w:outlineLvl w:val="1"/>
        <w:rPr>
          <w:rFonts w:hint="eastAsia" w:ascii="楷体" w:hAnsi="楷体" w:eastAsia="楷体" w:cs="楷体"/>
          <w:b/>
          <w:bCs/>
          <w:sz w:val="32"/>
          <w:szCs w:val="32"/>
        </w:rPr>
      </w:pPr>
      <w:bookmarkStart w:id="14" w:name="_Toc11272"/>
      <w:r>
        <w:rPr>
          <w:rFonts w:hint="eastAsia" w:ascii="楷体" w:hAnsi="楷体" w:eastAsia="楷体" w:cs="楷体"/>
          <w:b/>
          <w:bCs/>
          <w:sz w:val="32"/>
          <w:szCs w:val="32"/>
        </w:rPr>
        <w:t>（四）重点任务</w:t>
      </w:r>
      <w:bookmarkEnd w:id="14"/>
    </w:p>
    <w:p w14:paraId="142552B6">
      <w:pPr>
        <w:pStyle w:val="5"/>
        <w:ind w:firstLine="622"/>
        <w:rPr>
          <w:rFonts w:hint="eastAsia"/>
          <w:lang w:eastAsia="zh-CN"/>
        </w:rPr>
      </w:pPr>
      <w:r>
        <w:rPr>
          <w:rFonts w:hint="eastAsia"/>
          <w:b/>
          <w:bCs/>
          <w:lang w:eastAsia="zh-CN"/>
        </w:rPr>
        <w:t>1.分类建立水预算单位名录库，实行独立预算与打捆管理相结合。</w:t>
      </w:r>
      <w:r>
        <w:rPr>
          <w:rFonts w:hint="eastAsia"/>
          <w:lang w:eastAsia="zh-CN"/>
        </w:rPr>
        <w:t>全面摸排全县取用水主体，整合取水许可台账、公共供水大户台账、用水统计台账，建立水预算单位名录库并实行动态更新维护。针对县域实际实行差异化管理：对自备水源取水户、公共供水管网内年用水量1万m³以上机关、学校、医院、酒店等服务业主体、少数规模化农业产业基地纳入独立预算管理；对广大农牧区分散灌溉、小微民宿、个体经营户、小型种养散户，因点多面广、计量条件有限，采取片区打捆归集管理模式，建立名录库入库、变更、销号工作流程，确保应管尽管，夯实水预算管理基础底数。</w:t>
      </w:r>
    </w:p>
    <w:p w14:paraId="76E2D14D">
      <w:pPr>
        <w:pStyle w:val="5"/>
        <w:ind w:firstLine="622"/>
        <w:rPr>
          <w:rFonts w:hint="eastAsia"/>
          <w:lang w:eastAsia="zh-CN"/>
        </w:rPr>
      </w:pPr>
      <w:r>
        <w:rPr>
          <w:rFonts w:hint="eastAsia"/>
          <w:b/>
          <w:bCs/>
          <w:lang w:eastAsia="zh-CN"/>
        </w:rPr>
        <w:t>2.构建适配高原县域的水预算制度标准体系。</w:t>
      </w:r>
      <w:r>
        <w:rPr>
          <w:rFonts w:hint="eastAsia"/>
          <w:lang w:eastAsia="zh-CN"/>
        </w:rPr>
        <w:t>出台《壤塘县水预算管理办法（试行）》核心制度，配套完善预算动态调整、监督考核、决算评估等相关工作规则。充分衔接高原季节性缺水、丰枯变化大的现实，明确丰增枯减预算调节规则；厘清水利、住建、供水企业各方在水预算编制、下达、执行、监督中的职责边界，打通部门协同制度通道。</w:t>
      </w:r>
    </w:p>
    <w:p w14:paraId="76847839">
      <w:pPr>
        <w:pStyle w:val="5"/>
        <w:ind w:firstLine="622"/>
        <w:rPr>
          <w:rFonts w:hint="eastAsia"/>
          <w:lang w:eastAsia="zh-CN"/>
        </w:rPr>
      </w:pPr>
      <w:r>
        <w:rPr>
          <w:rFonts w:hint="eastAsia"/>
          <w:b/>
          <w:bCs/>
          <w:lang w:eastAsia="zh-CN"/>
        </w:rPr>
        <w:t>3.科学核定水预算基准额度，优化高原地区水资源配置。</w:t>
      </w:r>
      <w:r>
        <w:rPr>
          <w:rFonts w:hint="eastAsia"/>
          <w:lang w:eastAsia="zh-CN"/>
        </w:rPr>
        <w:t>严格以州下达壤塘县用水总量、地下水管控指标为刚性上限，统筹地表水、地下水、非常规水源，优先保障城乡居民生活用水、河湖基本生态流量，保障青稞、高原食用菌、畜禽养殖等粮食及特色农牧产业合理用水需求，重点支持文旅、民生公共服务等高效益项目用水，从严管控不合理用水需求。</w:t>
      </w:r>
    </w:p>
    <w:p w14:paraId="53050948">
      <w:pPr>
        <w:pStyle w:val="5"/>
        <w:ind w:firstLine="620"/>
        <w:rPr>
          <w:rFonts w:hint="eastAsia"/>
          <w:lang w:eastAsia="zh-CN"/>
        </w:rPr>
      </w:pPr>
      <w:r>
        <w:rPr>
          <w:rFonts w:hint="eastAsia"/>
          <w:lang w:eastAsia="zh-CN"/>
        </w:rPr>
        <w:t>区分独立预算户、打捆管理片区两类对象差异化测算基准额度：独立预算户优先采用用水定额法结合实际用水台账核定；打捆管理片区以灌区、乡镇片区为单元综合核算；编制形成年度水预算草案，按程序开展部门会商、征求意见后报批下达。</w:t>
      </w:r>
    </w:p>
    <w:p w14:paraId="034202A0">
      <w:pPr>
        <w:pStyle w:val="5"/>
        <w:ind w:firstLine="622"/>
        <w:rPr>
          <w:rFonts w:hint="eastAsia"/>
          <w:lang w:eastAsia="zh-CN"/>
        </w:rPr>
      </w:pPr>
      <w:r>
        <w:rPr>
          <w:rFonts w:hint="eastAsia"/>
          <w:b/>
          <w:bCs/>
          <w:lang w:eastAsia="zh-CN"/>
        </w:rPr>
        <w:t>4.补齐高原取用水计量短板，稳步提升数字化智慧化管理水平。</w:t>
      </w:r>
      <w:r>
        <w:rPr>
          <w:rFonts w:hint="eastAsia"/>
          <w:lang w:eastAsia="zh-CN"/>
        </w:rPr>
        <w:t>结合壤塘县计量设施现状，分层次推进监测能力提升。名录库内独立预算用水户已基本配备基础计量器具，重点推进现有计量设备的在线化改造、数据接入归集工作；优先完善重点灌区渠首、乡镇集中供水厂在线计量设施建设；对广大农牧区打捆管理片区，结合灌区节水改造、乡村供水工程建设，分批补齐计量手段。依托四川省水资源管理调配系统做好本地用水数据归集，打通县自来水厂供水抄表数据共享通道。现阶段充分用好省级现有系统开展水预算数据统计、台账管理、预警提醒，降低建设运维成本，待后期条件成熟后，统筹资源探索搭建县级独立计量智慧管理平台。</w:t>
      </w:r>
    </w:p>
    <w:p w14:paraId="166B6415">
      <w:pPr>
        <w:pStyle w:val="5"/>
        <w:ind w:firstLine="622"/>
        <w:rPr>
          <w:rFonts w:hint="eastAsia"/>
          <w:lang w:eastAsia="zh-CN"/>
        </w:rPr>
      </w:pPr>
      <w:r>
        <w:rPr>
          <w:rFonts w:hint="eastAsia"/>
          <w:b/>
          <w:bCs/>
          <w:lang w:eastAsia="zh-CN"/>
        </w:rPr>
        <w:t>5.推动水预算与现有水资源管理制度深度融合，探索本土化实践路径。</w:t>
      </w:r>
      <w:r>
        <w:rPr>
          <w:rFonts w:hint="eastAsia"/>
          <w:lang w:eastAsia="zh-CN"/>
        </w:rPr>
        <w:t>坚持立足现行水资源管理体系，做好制度衔接、协同联动。水预算是计划用水管理的深化拓展，实现二者的有机衔接；以州下达的流域水量分配成果作为水预算总量管控边界，水预算编制、执行严格服从流域水资源统一调度；严格落实《四川省用水定额》，将其作为水预算基准额度测算、用水合理性研判、督促用水户开展节水改造的重要技术标尺；强化与取水许可制度联动，把水预算执行结果依法作为取水许可延续、变更审批的重要参考依据；立足本县工业规模，重点研究节余额度内部调剂的工作流程，探索在县域内部农业、公共机构之间开展节余指标调剂路径；总结高原高寒地区水预算打捆管理、季节性调控的实践经验，形成可供阿坝州同类高原县借鉴的试点成果。</w:t>
      </w:r>
    </w:p>
    <w:p w14:paraId="30EB36B3">
      <w:pPr>
        <w:pStyle w:val="5"/>
        <w:ind w:firstLine="622"/>
        <w:rPr>
          <w:rFonts w:hint="eastAsia" w:ascii="仿宋_GB2312" w:hAnsi="仿宋_GB2312" w:eastAsia="仿宋_GB2312" w:cs="仿宋_GB2312"/>
          <w:b/>
          <w:bCs/>
          <w:sz w:val="32"/>
          <w:szCs w:val="32"/>
          <w:highlight w:val="yellow"/>
          <w:lang w:eastAsia="zh-CN"/>
        </w:rPr>
      </w:pPr>
      <w:r>
        <w:rPr>
          <w:rFonts w:hint="eastAsia"/>
          <w:b/>
          <w:bCs/>
          <w:lang w:eastAsia="zh-CN"/>
        </w:rPr>
        <w:t>6.强化业务培训与宣传引导，构建适配高原牧区的水预算工作氛围。</w:t>
      </w:r>
      <w:r>
        <w:rPr>
          <w:rFonts w:hint="eastAsia"/>
          <w:lang w:eastAsia="zh-CN"/>
        </w:rPr>
        <w:t>针对企事业单位用水管理人员、供水运维人员开展水预算业务培训，讲清制度流程、填报要求；面向机关事业单位、规模经营主体做好政策宣讲。面向农牧群众，结合本地宣传载体普及水预算、水资源刚性约束理念，讲清“像管财政一样管水”的意义，转变用水观念，为试点落地营造良好社会氛围。</w:t>
      </w:r>
    </w:p>
    <w:p w14:paraId="4A9E3CEE">
      <w:pPr>
        <w:spacing w:line="600" w:lineRule="exact"/>
        <w:ind w:firstLine="643" w:firstLineChars="200"/>
        <w:outlineLvl w:val="1"/>
        <w:rPr>
          <w:rFonts w:hint="eastAsia" w:ascii="仿宋_GB2312" w:hAnsi="仿宋_GB2312" w:eastAsia="仿宋_GB2312" w:cs="仿宋_GB2312"/>
          <w:sz w:val="32"/>
          <w:szCs w:val="32"/>
        </w:rPr>
      </w:pPr>
      <w:bookmarkStart w:id="15" w:name="_Toc18094"/>
      <w:r>
        <w:rPr>
          <w:rFonts w:hint="eastAsia" w:ascii="楷体" w:hAnsi="楷体" w:eastAsia="楷体" w:cs="楷体"/>
          <w:b/>
          <w:bCs/>
          <w:sz w:val="32"/>
          <w:szCs w:val="32"/>
        </w:rPr>
        <w:t>（五）与现行制度衔接关系</w:t>
      </w:r>
      <w:bookmarkEnd w:id="15"/>
    </w:p>
    <w:p w14:paraId="33945060">
      <w:pPr>
        <w:pStyle w:val="5"/>
        <w:ind w:firstLine="622"/>
        <w:rPr>
          <w:rFonts w:hint="eastAsia"/>
          <w:b/>
          <w:bCs/>
          <w:lang w:eastAsia="zh-CN"/>
        </w:rPr>
      </w:pPr>
      <w:r>
        <w:rPr>
          <w:rFonts w:hint="eastAsia"/>
          <w:b/>
          <w:bCs/>
          <w:lang w:eastAsia="zh-CN"/>
        </w:rPr>
        <w:t>1.与水量分配及水资源调度相衔接</w:t>
      </w:r>
    </w:p>
    <w:p w14:paraId="5BDC4B84">
      <w:pPr>
        <w:pStyle w:val="5"/>
        <w:ind w:firstLine="620"/>
        <w:rPr>
          <w:rFonts w:hint="eastAsia"/>
          <w:lang w:eastAsia="zh-CN"/>
        </w:rPr>
      </w:pPr>
      <w:r>
        <w:rPr>
          <w:rFonts w:hint="eastAsia"/>
          <w:lang w:eastAsia="zh-CN"/>
        </w:rPr>
        <w:t>以州下达壤塘县用水总量控制指标、流域水量分配方案作为水预算编制的刚性总量边界，将流域分解的水量指标进一步细化落实到各行业、各用水单元。水预算执行全过程服从杜柯河、则曲河流域统一水资源调度，优先保障预算内民生、生态用水需求，统筹处置预算外应急用水，推动水量分配目标与水预算管控目标同步落地。</w:t>
      </w:r>
    </w:p>
    <w:p w14:paraId="2D49DC39">
      <w:pPr>
        <w:pStyle w:val="5"/>
        <w:ind w:firstLine="622"/>
        <w:rPr>
          <w:rFonts w:hint="eastAsia"/>
          <w:b/>
          <w:bCs/>
          <w:lang w:eastAsia="zh-CN"/>
        </w:rPr>
      </w:pPr>
      <w:r>
        <w:rPr>
          <w:rFonts w:hint="eastAsia"/>
          <w:b/>
          <w:bCs/>
          <w:lang w:eastAsia="zh-CN"/>
        </w:rPr>
        <w:t>2.与取水许可制度相衔接</w:t>
      </w:r>
    </w:p>
    <w:p w14:paraId="05924550">
      <w:pPr>
        <w:pStyle w:val="5"/>
        <w:ind w:firstLine="62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取水许可核定取水规模是水预算基准额度测算的重要基础依据。强化审批—执行联动，将水预算执行情况纳入取水许可事中事后监管；用水单位水预算执行异常、超预算用水且整改不到位的，依法作为取水许可延续、变更审批的重要参考，以水预算强化取水行为的刚性管控。</w:t>
      </w:r>
    </w:p>
    <w:p w14:paraId="5779AFEE">
      <w:pPr>
        <w:pStyle w:val="5"/>
        <w:ind w:firstLine="622"/>
        <w:rPr>
          <w:rFonts w:hint="eastAsia"/>
          <w:b/>
          <w:bCs/>
          <w:lang w:eastAsia="zh-CN"/>
        </w:rPr>
      </w:pPr>
      <w:r>
        <w:rPr>
          <w:rFonts w:hint="eastAsia"/>
          <w:b/>
          <w:bCs/>
          <w:lang w:eastAsia="zh-CN"/>
        </w:rPr>
        <w:t>3.与计划用水制度相衔接</w:t>
      </w:r>
    </w:p>
    <w:p w14:paraId="725F1B32">
      <w:pPr>
        <w:pStyle w:val="5"/>
        <w:ind w:firstLine="620"/>
        <w:rPr>
          <w:rFonts w:hint="eastAsia"/>
          <w:lang w:eastAsia="zh-CN"/>
        </w:rPr>
      </w:pPr>
      <w:r>
        <w:rPr>
          <w:rFonts w:hint="eastAsia"/>
          <w:lang w:eastAsia="zh-CN"/>
        </w:rPr>
        <w:t>试点期间，水预算管理与计划用水管理并轨实施。自备取水户年度水预算额度不得超过许可水量；水预算额度可按规定在年内实施定期调整，水预算额度调整后，其用水计划相应同步调整。水预算侧重全县域总量统筹、基准额度核定、全过程监测与决算评估，计划用水聚焦用水户年度用水指标管控，两项制度数据同源、成果互通，协同强化用水刚性约束。</w:t>
      </w:r>
    </w:p>
    <w:p w14:paraId="45A32FEB">
      <w:pPr>
        <w:spacing w:before="156" w:beforeLines="50" w:after="156" w:afterLines="50" w:line="600" w:lineRule="exact"/>
        <w:ind w:firstLine="640" w:firstLineChars="200"/>
        <w:outlineLvl w:val="0"/>
        <w:rPr>
          <w:rFonts w:hint="eastAsia" w:ascii="黑体" w:hAnsi="黑体" w:eastAsia="黑体" w:cs="黑体"/>
          <w:sz w:val="32"/>
          <w:szCs w:val="32"/>
        </w:rPr>
      </w:pPr>
      <w:bookmarkStart w:id="16" w:name="_Toc19992"/>
      <w:r>
        <w:rPr>
          <w:rFonts w:hint="eastAsia" w:ascii="黑体" w:hAnsi="黑体" w:eastAsia="黑体" w:cs="黑体"/>
          <w:sz w:val="32"/>
          <w:szCs w:val="32"/>
        </w:rPr>
        <w:t>三、组织实施</w:t>
      </w:r>
      <w:bookmarkEnd w:id="16"/>
    </w:p>
    <w:p w14:paraId="207233CC">
      <w:pPr>
        <w:spacing w:line="600" w:lineRule="exact"/>
        <w:ind w:firstLine="643" w:firstLineChars="200"/>
        <w:outlineLvl w:val="1"/>
        <w:rPr>
          <w:rFonts w:hint="eastAsia" w:ascii="楷体" w:hAnsi="楷体" w:eastAsia="楷体" w:cs="楷体"/>
          <w:b/>
          <w:bCs/>
          <w:sz w:val="32"/>
          <w:szCs w:val="32"/>
        </w:rPr>
      </w:pPr>
      <w:bookmarkStart w:id="17" w:name="_Toc20021"/>
      <w:r>
        <w:rPr>
          <w:rFonts w:hint="eastAsia" w:ascii="楷体" w:hAnsi="楷体" w:eastAsia="楷体" w:cs="楷体"/>
          <w:b/>
          <w:bCs/>
          <w:sz w:val="32"/>
          <w:szCs w:val="32"/>
        </w:rPr>
        <w:t>（一）组织领导与任务分工</w:t>
      </w:r>
      <w:bookmarkEnd w:id="17"/>
    </w:p>
    <w:p w14:paraId="5839E263">
      <w:pPr>
        <w:spacing w:line="360" w:lineRule="auto"/>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水预算管理是一项重要的制度创新，与现行水量分配、取水许可、用水定额、计划用水等管理制度及用水权改革等涉水改革事项关系密切，涉及</w:t>
      </w:r>
      <w:r>
        <w:rPr>
          <w:rFonts w:hint="eastAsia" w:ascii="Times New Roman" w:hAnsi="Times New Roman" w:eastAsia="仿宋_GB2312" w:cs="Times New Roman"/>
          <w:bCs/>
          <w:sz w:val="32"/>
          <w:szCs w:val="32"/>
        </w:rPr>
        <w:t>县</w:t>
      </w:r>
      <w:r>
        <w:rPr>
          <w:rFonts w:ascii="Times New Roman" w:hAnsi="Times New Roman" w:eastAsia="仿宋_GB2312" w:cs="Times New Roman"/>
          <w:bCs/>
          <w:sz w:val="32"/>
          <w:szCs w:val="32"/>
        </w:rPr>
        <w:t>政府、水行政主管部门、发改、</w:t>
      </w:r>
      <w:r>
        <w:rPr>
          <w:rFonts w:hint="eastAsia" w:ascii="Times New Roman" w:hAnsi="Times New Roman" w:eastAsia="仿宋_GB2312" w:cs="Times New Roman"/>
          <w:bCs/>
          <w:sz w:val="32"/>
          <w:szCs w:val="32"/>
        </w:rPr>
        <w:t>财政</w:t>
      </w: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rPr>
        <w:t>经信</w:t>
      </w: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rPr>
        <w:t>科农</w:t>
      </w:r>
      <w:r>
        <w:rPr>
          <w:rFonts w:ascii="Times New Roman" w:hAnsi="Times New Roman" w:eastAsia="仿宋_GB2312" w:cs="Times New Roman"/>
          <w:bCs/>
          <w:sz w:val="32"/>
          <w:szCs w:val="32"/>
        </w:rPr>
        <w:t>等相关部门，以及基层用水单位等不同主体，需要各级各部门、相关单位、用水户广泛参与和大力支持。</w:t>
      </w:r>
    </w:p>
    <w:p w14:paraId="3FAEE288">
      <w:pPr>
        <w:spacing w:line="360" w:lineRule="auto"/>
        <w:ind w:firstLine="640" w:firstLineChars="200"/>
        <w:rPr>
          <w:rFonts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Times New Roman"/>
          <w:bCs/>
          <w:color w:val="000000" w:themeColor="text1"/>
          <w:sz w:val="32"/>
          <w:szCs w:val="32"/>
          <w14:textFill>
            <w14:solidFill>
              <w14:schemeClr w14:val="tx1"/>
            </w14:solidFill>
          </w14:textFill>
        </w:rPr>
        <w:t>为建立政府统一领导，部门协作配合，全社会广泛参与的工作机制，保障水预算管理试点工作顺利实施和推进，</w:t>
      </w:r>
      <w:r>
        <w:rPr>
          <w:rFonts w:hint="eastAsia" w:ascii="Times New Roman" w:hAnsi="Times New Roman" w:eastAsia="仿宋_GB2312" w:cs="仿宋_GB2312"/>
          <w:bCs/>
          <w:color w:val="000000" w:themeColor="text1"/>
          <w:sz w:val="32"/>
          <w:szCs w:val="32"/>
          <w14:textFill>
            <w14:solidFill>
              <w14:schemeClr w14:val="tx1"/>
            </w14:solidFill>
          </w14:textFill>
        </w:rPr>
        <w:t>成立由县政府分管领导牵头，</w:t>
      </w:r>
      <w:r>
        <w:rPr>
          <w:rFonts w:hint="eastAsia" w:ascii="Times New Roman" w:hAnsi="Times New Roman" w:eastAsia="仿宋_GB2312" w:cs="Times New Roman"/>
          <w:bCs/>
          <w:color w:val="000000" w:themeColor="text1"/>
          <w:sz w:val="32"/>
          <w:szCs w:val="32"/>
          <w14:textFill>
            <w14:solidFill>
              <w14:schemeClr w14:val="tx1"/>
            </w14:solidFill>
          </w14:textFill>
        </w:rPr>
        <w:t>县水务局、县住建局</w:t>
      </w:r>
      <w:r>
        <w:rPr>
          <w:rFonts w:ascii="Times New Roman" w:hAnsi="Times New Roman" w:eastAsia="仿宋_GB2312" w:cs="Times New Roman"/>
          <w:bCs/>
          <w:color w:val="000000" w:themeColor="text1"/>
          <w:sz w:val="32"/>
          <w:szCs w:val="32"/>
          <w14:textFill>
            <w14:solidFill>
              <w14:schemeClr w14:val="tx1"/>
            </w14:solidFill>
          </w14:textFill>
        </w:rPr>
        <w:t>、</w:t>
      </w:r>
      <w:r>
        <w:rPr>
          <w:rFonts w:hint="eastAsia" w:ascii="Times New Roman" w:hAnsi="Times New Roman" w:eastAsia="仿宋_GB2312" w:cs="Times New Roman"/>
          <w:bCs/>
          <w:color w:val="000000" w:themeColor="text1"/>
          <w:sz w:val="32"/>
          <w:szCs w:val="32"/>
          <w14:textFill>
            <w14:solidFill>
              <w14:schemeClr w14:val="tx1"/>
            </w14:solidFill>
          </w14:textFill>
        </w:rPr>
        <w:t>县</w:t>
      </w:r>
      <w:r>
        <w:rPr>
          <w:rFonts w:ascii="Times New Roman" w:hAnsi="Times New Roman" w:eastAsia="仿宋_GB2312" w:cs="Times New Roman"/>
          <w:bCs/>
          <w:color w:val="000000" w:themeColor="text1"/>
          <w:sz w:val="32"/>
          <w:szCs w:val="32"/>
          <w14:textFill>
            <w14:solidFill>
              <w14:schemeClr w14:val="tx1"/>
            </w14:solidFill>
          </w14:textFill>
        </w:rPr>
        <w:t>发改</w:t>
      </w:r>
      <w:r>
        <w:rPr>
          <w:rFonts w:hint="eastAsia" w:ascii="Times New Roman" w:hAnsi="Times New Roman" w:eastAsia="仿宋_GB2312" w:cs="Times New Roman"/>
          <w:bCs/>
          <w:color w:val="000000" w:themeColor="text1"/>
          <w:sz w:val="32"/>
          <w:szCs w:val="32"/>
          <w14:textFill>
            <w14:solidFill>
              <w14:schemeClr w14:val="tx1"/>
            </w14:solidFill>
          </w14:textFill>
        </w:rPr>
        <w:t>局</w:t>
      </w:r>
      <w:r>
        <w:rPr>
          <w:rFonts w:ascii="Times New Roman" w:hAnsi="Times New Roman" w:eastAsia="仿宋_GB2312" w:cs="Times New Roman"/>
          <w:bCs/>
          <w:color w:val="000000" w:themeColor="text1"/>
          <w:sz w:val="32"/>
          <w:szCs w:val="32"/>
          <w14:textFill>
            <w14:solidFill>
              <w14:schemeClr w14:val="tx1"/>
            </w14:solidFill>
          </w14:textFill>
        </w:rPr>
        <w:t>、</w:t>
      </w:r>
      <w:r>
        <w:rPr>
          <w:rFonts w:hint="eastAsia" w:ascii="Times New Roman" w:hAnsi="Times New Roman" w:eastAsia="仿宋_GB2312" w:cs="Times New Roman"/>
          <w:bCs/>
          <w:color w:val="000000" w:themeColor="text1"/>
          <w:sz w:val="32"/>
          <w:szCs w:val="32"/>
          <w14:textFill>
            <w14:solidFill>
              <w14:schemeClr w14:val="tx1"/>
            </w14:solidFill>
          </w14:textFill>
        </w:rPr>
        <w:t>县经信局</w:t>
      </w:r>
      <w:r>
        <w:rPr>
          <w:rFonts w:ascii="Times New Roman" w:hAnsi="Times New Roman" w:eastAsia="仿宋_GB2312" w:cs="Times New Roman"/>
          <w:bCs/>
          <w:color w:val="000000" w:themeColor="text1"/>
          <w:sz w:val="32"/>
          <w:szCs w:val="32"/>
          <w14:textFill>
            <w14:solidFill>
              <w14:schemeClr w14:val="tx1"/>
            </w14:solidFill>
          </w14:textFill>
        </w:rPr>
        <w:t>、</w:t>
      </w:r>
      <w:r>
        <w:rPr>
          <w:rFonts w:hint="eastAsia" w:ascii="Times New Roman" w:hAnsi="Times New Roman" w:eastAsia="仿宋_GB2312" w:cs="Times New Roman"/>
          <w:bCs/>
          <w:color w:val="000000" w:themeColor="text1"/>
          <w:sz w:val="32"/>
          <w:szCs w:val="32"/>
          <w14:textFill>
            <w14:solidFill>
              <w14:schemeClr w14:val="tx1"/>
            </w14:solidFill>
          </w14:textFill>
        </w:rPr>
        <w:t>县</w:t>
      </w:r>
      <w:r>
        <w:rPr>
          <w:rFonts w:ascii="Times New Roman" w:hAnsi="Times New Roman" w:eastAsia="仿宋_GB2312" w:cs="Times New Roman"/>
          <w:bCs/>
          <w:color w:val="000000" w:themeColor="text1"/>
          <w:sz w:val="32"/>
          <w:szCs w:val="32"/>
          <w14:textFill>
            <w14:solidFill>
              <w14:schemeClr w14:val="tx1"/>
            </w14:solidFill>
          </w14:textFill>
        </w:rPr>
        <w:t>财政局、</w:t>
      </w:r>
      <w:r>
        <w:rPr>
          <w:rFonts w:hint="eastAsia" w:ascii="Times New Roman" w:hAnsi="Times New Roman" w:eastAsia="仿宋_GB2312" w:cs="Times New Roman"/>
          <w:bCs/>
          <w:color w:val="000000" w:themeColor="text1"/>
          <w:sz w:val="32"/>
          <w:szCs w:val="32"/>
          <w14:textFill>
            <w14:solidFill>
              <w14:schemeClr w14:val="tx1"/>
            </w14:solidFill>
          </w14:textFill>
        </w:rPr>
        <w:t>县科农</w:t>
      </w:r>
      <w:r>
        <w:rPr>
          <w:rFonts w:ascii="Times New Roman" w:hAnsi="Times New Roman" w:eastAsia="仿宋_GB2312" w:cs="Times New Roman"/>
          <w:bCs/>
          <w:color w:val="000000" w:themeColor="text1"/>
          <w:sz w:val="32"/>
          <w:szCs w:val="32"/>
          <w14:textFill>
            <w14:solidFill>
              <w14:schemeClr w14:val="tx1"/>
            </w14:solidFill>
          </w14:textFill>
        </w:rPr>
        <w:t>局、</w:t>
      </w:r>
      <w:r>
        <w:rPr>
          <w:rFonts w:hint="eastAsia" w:ascii="Times New Roman" w:hAnsi="Times New Roman" w:eastAsia="仿宋_GB2312" w:cs="Times New Roman"/>
          <w:bCs/>
          <w:color w:val="000000" w:themeColor="text1"/>
          <w:sz w:val="32"/>
          <w:szCs w:val="32"/>
          <w14:textFill>
            <w14:solidFill>
              <w14:schemeClr w14:val="tx1"/>
            </w14:solidFill>
          </w14:textFill>
        </w:rPr>
        <w:t>县行审政管局</w:t>
      </w:r>
      <w:r>
        <w:rPr>
          <w:rFonts w:ascii="Times New Roman" w:hAnsi="Times New Roman" w:eastAsia="仿宋_GB2312" w:cs="Times New Roman"/>
          <w:bCs/>
          <w:color w:val="000000" w:themeColor="text1"/>
          <w:sz w:val="32"/>
          <w:szCs w:val="32"/>
          <w14:textFill>
            <w14:solidFill>
              <w14:schemeClr w14:val="tx1"/>
            </w14:solidFill>
          </w14:textFill>
        </w:rPr>
        <w:t>、</w:t>
      </w:r>
      <w:r>
        <w:rPr>
          <w:rFonts w:hint="eastAsia" w:ascii="Times New Roman" w:hAnsi="Times New Roman" w:eastAsia="仿宋_GB2312" w:cs="Times New Roman"/>
          <w:bCs/>
          <w:color w:val="000000" w:themeColor="text1"/>
          <w:sz w:val="32"/>
          <w:szCs w:val="32"/>
          <w14:textFill>
            <w14:solidFill>
              <w14:schemeClr w14:val="tx1"/>
            </w14:solidFill>
          </w14:textFill>
        </w:rPr>
        <w:t>县</w:t>
      </w:r>
      <w:r>
        <w:rPr>
          <w:rFonts w:ascii="Times New Roman" w:hAnsi="Times New Roman" w:eastAsia="仿宋_GB2312" w:cs="Times New Roman"/>
          <w:bCs/>
          <w:color w:val="000000" w:themeColor="text1"/>
          <w:sz w:val="32"/>
          <w:szCs w:val="32"/>
          <w14:textFill>
            <w14:solidFill>
              <w14:schemeClr w14:val="tx1"/>
            </w14:solidFill>
          </w14:textFill>
        </w:rPr>
        <w:t>教育局、</w:t>
      </w:r>
      <w:r>
        <w:rPr>
          <w:rFonts w:hint="eastAsia" w:ascii="Times New Roman" w:hAnsi="Times New Roman" w:eastAsia="仿宋_GB2312" w:cs="Times New Roman"/>
          <w:bCs/>
          <w:color w:val="000000" w:themeColor="text1"/>
          <w:sz w:val="32"/>
          <w:szCs w:val="32"/>
          <w14:textFill>
            <w14:solidFill>
              <w14:schemeClr w14:val="tx1"/>
            </w14:solidFill>
          </w14:textFill>
        </w:rPr>
        <w:t>县卫健局、县</w:t>
      </w:r>
      <w:r>
        <w:rPr>
          <w:rFonts w:ascii="Times New Roman" w:hAnsi="Times New Roman" w:eastAsia="仿宋_GB2312" w:cs="Times New Roman"/>
          <w:bCs/>
          <w:color w:val="000000" w:themeColor="text1"/>
          <w:sz w:val="32"/>
          <w:szCs w:val="32"/>
          <w14:textFill>
            <w14:solidFill>
              <w14:schemeClr w14:val="tx1"/>
            </w14:solidFill>
          </w14:textFill>
        </w:rPr>
        <w:t>统计局、</w:t>
      </w:r>
      <w:r>
        <w:rPr>
          <w:rFonts w:hint="eastAsia" w:ascii="Times New Roman" w:hAnsi="Times New Roman" w:eastAsia="仿宋_GB2312" w:cs="Times New Roman"/>
          <w:bCs/>
          <w:color w:val="000000" w:themeColor="text1"/>
          <w:sz w:val="32"/>
          <w:szCs w:val="32"/>
          <w14:textFill>
            <w14:solidFill>
              <w14:schemeClr w14:val="tx1"/>
            </w14:solidFill>
          </w14:textFill>
        </w:rPr>
        <w:t>县城乡文明综合服务中心、</w:t>
      </w:r>
      <w:r>
        <w:rPr>
          <w:rFonts w:hint="eastAsia" w:ascii="Times New Roman" w:hAnsi="Times New Roman" w:eastAsia="仿宋_GB2312" w:cs="仿宋_GB2312"/>
          <w:bCs/>
          <w:color w:val="000000" w:themeColor="text1"/>
          <w:sz w:val="32"/>
          <w:szCs w:val="32"/>
          <w14:textFill>
            <w14:solidFill>
              <w14:schemeClr w14:val="tx1"/>
            </w14:solidFill>
          </w14:textFill>
        </w:rPr>
        <w:t>各镇（乡）及县自来水厂等相关部门组成的水预算管理试点专项工作组，统筹推进试点工作，</w:t>
      </w:r>
      <w:r>
        <w:rPr>
          <w:rFonts w:ascii="Times New Roman" w:hAnsi="Times New Roman" w:eastAsia="仿宋_GB2312" w:cs="Times New Roman"/>
          <w:bCs/>
          <w:color w:val="000000" w:themeColor="text1"/>
          <w:sz w:val="32"/>
          <w:szCs w:val="32"/>
          <w14:textFill>
            <w14:solidFill>
              <w14:schemeClr w14:val="tx1"/>
            </w14:solidFill>
          </w14:textFill>
        </w:rPr>
        <w:t>共同协调解决试点建设中遇到的矛盾问题。</w:t>
      </w:r>
      <w:r>
        <w:rPr>
          <w:rFonts w:hint="eastAsia" w:ascii="Times New Roman" w:hAnsi="Times New Roman" w:eastAsia="仿宋_GB2312" w:cs="Times New Roman"/>
          <w:bCs/>
          <w:color w:val="000000" w:themeColor="text1"/>
          <w:sz w:val="32"/>
          <w:szCs w:val="32"/>
          <w14:textFill>
            <w14:solidFill>
              <w14:schemeClr w14:val="tx1"/>
            </w14:solidFill>
          </w14:textFill>
        </w:rPr>
        <w:t>如因工作需要，可相应调整成员单位。</w:t>
      </w:r>
      <w:r>
        <w:rPr>
          <w:rFonts w:hint="eastAsia" w:ascii="Times New Roman" w:hAnsi="Times New Roman" w:eastAsia="仿宋_GB2312" w:cs="仿宋_GB2312"/>
          <w:bCs/>
          <w:color w:val="000000" w:themeColor="text1"/>
          <w:sz w:val="32"/>
          <w:szCs w:val="32"/>
          <w14:textFill>
            <w14:solidFill>
              <w14:schemeClr w14:val="tx1"/>
            </w14:solidFill>
          </w14:textFill>
        </w:rPr>
        <w:t>县水务局承担试点日常工作，各相关部门依据职责分工协同落实（详见附件）。</w:t>
      </w:r>
    </w:p>
    <w:p w14:paraId="33354AD5">
      <w:pPr>
        <w:spacing w:line="600" w:lineRule="exact"/>
        <w:ind w:firstLine="643" w:firstLineChars="200"/>
        <w:outlineLvl w:val="1"/>
        <w:rPr>
          <w:rFonts w:hint="eastAsia" w:ascii="仿宋_GB2312" w:hAnsi="仿宋_GB2312" w:eastAsia="仿宋_GB2312" w:cs="仿宋_GB2312"/>
          <w:sz w:val="32"/>
          <w:szCs w:val="32"/>
        </w:rPr>
      </w:pPr>
      <w:bookmarkStart w:id="18" w:name="_Toc30079"/>
      <w:r>
        <w:rPr>
          <w:rFonts w:hint="eastAsia" w:ascii="楷体" w:hAnsi="楷体" w:eastAsia="楷体" w:cs="楷体"/>
          <w:b/>
          <w:bCs/>
          <w:sz w:val="32"/>
          <w:szCs w:val="32"/>
        </w:rPr>
        <w:t>（二）实施进度</w:t>
      </w:r>
      <w:bookmarkEnd w:id="18"/>
    </w:p>
    <w:p w14:paraId="1E84958A">
      <w:pPr>
        <w:spacing w:line="600" w:lineRule="exact"/>
        <w:ind w:firstLine="643" w:firstLineChars="200"/>
        <w:outlineLvl w:val="2"/>
        <w:rPr>
          <w:rFonts w:hint="eastAsia" w:ascii="仿宋_GB2312" w:hAnsi="仿宋_GB2312" w:eastAsia="仿宋_GB2312" w:cs="仿宋_GB2312"/>
          <w:b/>
          <w:bCs/>
          <w:sz w:val="32"/>
          <w:szCs w:val="32"/>
        </w:rPr>
      </w:pPr>
      <w:bookmarkStart w:id="19" w:name="_Toc2228"/>
      <w:r>
        <w:rPr>
          <w:rFonts w:hint="eastAsia" w:ascii="仿宋_GB2312" w:hAnsi="仿宋_GB2312" w:eastAsia="仿宋_GB2312" w:cs="仿宋_GB2312"/>
          <w:b/>
          <w:bCs/>
          <w:sz w:val="32"/>
          <w:szCs w:val="32"/>
        </w:rPr>
        <w:t>1.准备阶段（2026年3—7月）</w:t>
      </w:r>
      <w:bookmarkEnd w:id="19"/>
    </w:p>
    <w:p w14:paraId="5F697F8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一是开展全县水资源现状调查，摸清水资源总量、用水结构、用水效率等基本情况；</w:t>
      </w:r>
    </w:p>
    <w:p w14:paraId="6D4E91A5">
      <w:pPr>
        <w:spacing w:line="600" w:lineRule="exact"/>
        <w:ind w:firstLine="640" w:firstLineChars="200"/>
      </w:pPr>
      <w:r>
        <w:rPr>
          <w:rFonts w:hint="eastAsia" w:ascii="仿宋_GB2312" w:hAnsi="仿宋_GB2312" w:eastAsia="仿宋_GB2312" w:cs="仿宋_GB2312"/>
          <w:sz w:val="32"/>
          <w:szCs w:val="32"/>
        </w:rPr>
        <w:t>二是初步建立壤塘县水预算管理名录库，编制完成《阿坝州壤塘县2026年度水预算草案》，并通过县政府批复；</w:t>
      </w:r>
    </w:p>
    <w:p w14:paraId="7A364FD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三是成立试点专项工作组与技术支撑团队，组织开展相关业务培训；</w:t>
      </w:r>
    </w:p>
    <w:p w14:paraId="10A1D056">
      <w:pPr>
        <w:spacing w:line="600" w:lineRule="exact"/>
        <w:ind w:firstLine="643" w:firstLineChars="200"/>
        <w:outlineLvl w:val="2"/>
        <w:rPr>
          <w:rFonts w:hint="eastAsia" w:ascii="仿宋_GB2312" w:hAnsi="仿宋_GB2312" w:eastAsia="仿宋_GB2312" w:cs="仿宋_GB2312"/>
          <w:b/>
          <w:bCs/>
          <w:sz w:val="32"/>
          <w:szCs w:val="32"/>
        </w:rPr>
      </w:pPr>
      <w:bookmarkStart w:id="20" w:name="_Toc29709"/>
      <w:r>
        <w:rPr>
          <w:rFonts w:hint="eastAsia" w:ascii="仿宋_GB2312" w:hAnsi="仿宋_GB2312" w:eastAsia="仿宋_GB2312" w:cs="仿宋_GB2312"/>
          <w:b/>
          <w:bCs/>
          <w:sz w:val="32"/>
          <w:szCs w:val="32"/>
        </w:rPr>
        <w:t>2.制度建设阶段（2026年7—10月）</w:t>
      </w:r>
      <w:bookmarkEnd w:id="20"/>
    </w:p>
    <w:p w14:paraId="2AC2360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制定出台《阿坝州壤塘县水预算管理试点实施方案》；制定出台《壤塘县水预算管理办法（试行）》及其他相关配套制度。</w:t>
      </w:r>
    </w:p>
    <w:p w14:paraId="779E9821">
      <w:pPr>
        <w:spacing w:line="600" w:lineRule="exact"/>
        <w:ind w:firstLine="643" w:firstLineChars="200"/>
        <w:outlineLvl w:val="2"/>
        <w:rPr>
          <w:rFonts w:hint="eastAsia" w:ascii="仿宋_GB2312" w:hAnsi="仿宋_GB2312" w:eastAsia="仿宋_GB2312" w:cs="仿宋_GB2312"/>
          <w:b/>
          <w:bCs/>
          <w:sz w:val="32"/>
          <w:szCs w:val="32"/>
        </w:rPr>
      </w:pPr>
      <w:bookmarkStart w:id="21" w:name="_Toc17030"/>
      <w:r>
        <w:rPr>
          <w:rFonts w:hint="eastAsia" w:ascii="仿宋_GB2312" w:hAnsi="仿宋_GB2312" w:eastAsia="仿宋_GB2312" w:cs="仿宋_GB2312"/>
          <w:b/>
          <w:bCs/>
          <w:sz w:val="32"/>
          <w:szCs w:val="32"/>
        </w:rPr>
        <w:t>3.试点实施阶段（2026年3—12月）</w:t>
      </w:r>
      <w:bookmarkEnd w:id="21"/>
    </w:p>
    <w:p w14:paraId="1A3F2D0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将《阿坝州壤塘县2026年度水预算草案》中核算的水预算基准额度告知相关取用水户，并要求其限期反馈意见，由县水务局根据</w:t>
      </w:r>
      <w:r>
        <w:rPr>
          <w:rFonts w:hint="eastAsia" w:ascii="仿宋" w:hAnsi="仿宋" w:eastAsia="仿宋" w:cs="仿宋"/>
          <w:sz w:val="32"/>
          <w:szCs w:val="32"/>
        </w:rPr>
        <w:t>反馈进行复核。组织开展水预算执行情况监测、评估和监督考核</w:t>
      </w:r>
      <w:r>
        <w:rPr>
          <w:rFonts w:hint="eastAsia" w:ascii="仿宋" w:hAnsi="仿宋" w:eastAsia="仿宋" w:cs="仿宋"/>
          <w:b/>
          <w:bCs/>
          <w:sz w:val="32"/>
          <w:szCs w:val="32"/>
        </w:rPr>
        <w:t>（2026年度为试点启动过渡期，实施阶段预算告知与下达时序按试点实际安排执行）</w:t>
      </w:r>
      <w:r>
        <w:rPr>
          <w:rFonts w:hint="eastAsia" w:ascii="仿宋" w:hAnsi="仿宋" w:eastAsia="仿宋" w:cs="仿宋"/>
          <w:sz w:val="32"/>
          <w:szCs w:val="32"/>
        </w:rPr>
        <w:t>。</w:t>
      </w:r>
    </w:p>
    <w:p w14:paraId="04AFA6A3">
      <w:pPr>
        <w:spacing w:line="600" w:lineRule="exact"/>
        <w:ind w:firstLine="643" w:firstLineChars="200"/>
        <w:outlineLvl w:val="2"/>
        <w:rPr>
          <w:rFonts w:hint="eastAsia" w:ascii="仿宋_GB2312" w:hAnsi="仿宋_GB2312" w:eastAsia="仿宋_GB2312" w:cs="仿宋_GB2312"/>
          <w:b/>
          <w:bCs/>
          <w:sz w:val="32"/>
          <w:szCs w:val="32"/>
        </w:rPr>
      </w:pPr>
      <w:bookmarkStart w:id="22" w:name="_Toc26428"/>
      <w:r>
        <w:rPr>
          <w:rFonts w:hint="eastAsia" w:ascii="仿宋_GB2312" w:hAnsi="仿宋_GB2312" w:eastAsia="仿宋_GB2312" w:cs="仿宋_GB2312"/>
          <w:b/>
          <w:bCs/>
          <w:sz w:val="32"/>
          <w:szCs w:val="32"/>
        </w:rPr>
        <w:t>4.总结推广阶段（2027年1—2月）</w:t>
      </w:r>
      <w:bookmarkEnd w:id="22"/>
    </w:p>
    <w:p w14:paraId="6198721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一是全面总结和评估试点工作，围绕试点总体目标，总结试点工作成效，分析问题不足，据实形成阿坝州壤塘县水预算管理改革试点成果总结报告。</w:t>
      </w:r>
    </w:p>
    <w:p w14:paraId="305CA827">
      <w:pPr>
        <w:spacing w:line="600"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二是根据总结评估结果，提出改进意见和建议，总结形成有效的水预算管理实践经验，并将试点成果、实践经验以及意见建议等呈报上级部门。</w:t>
      </w:r>
    </w:p>
    <w:p w14:paraId="6DABBFED">
      <w:pPr>
        <w:spacing w:line="600" w:lineRule="exact"/>
        <w:ind w:firstLine="643" w:firstLineChars="200"/>
        <w:outlineLvl w:val="1"/>
        <w:rPr>
          <w:rFonts w:hint="eastAsia" w:ascii="仿宋_GB2312" w:hAnsi="仿宋_GB2312" w:eastAsia="仿宋_GB2312" w:cs="仿宋_GB2312"/>
          <w:sz w:val="32"/>
          <w:szCs w:val="32"/>
        </w:rPr>
      </w:pPr>
      <w:bookmarkStart w:id="23" w:name="_Toc17316"/>
      <w:r>
        <w:rPr>
          <w:rFonts w:hint="eastAsia" w:ascii="楷体" w:hAnsi="楷体" w:eastAsia="楷体" w:cs="楷体"/>
          <w:b/>
          <w:bCs/>
          <w:sz w:val="32"/>
          <w:szCs w:val="32"/>
        </w:rPr>
        <w:t>（三）投资估算</w:t>
      </w:r>
      <w:bookmarkEnd w:id="23"/>
    </w:p>
    <w:p w14:paraId="70EEC62E">
      <w:pPr>
        <w:pStyle w:val="5"/>
        <w:ind w:firstLine="620"/>
        <w:rPr>
          <w:rFonts w:hint="eastAsia"/>
          <w:lang w:eastAsia="zh-CN"/>
        </w:rPr>
      </w:pPr>
      <w:r>
        <w:rPr>
          <w:rFonts w:hint="eastAsia"/>
          <w:lang w:eastAsia="zh-CN"/>
        </w:rPr>
        <w:t>阿坝州壤塘县水预算管理试点建设经费主要包括技术支撑及咨询服务、取用水户远程监测计量能力提升与计量设施安装、水预算管理宣传培训及奖补等费用。综合考虑壤塘县财政承受能力、管理基础及水资源禀赋等实际情况，2026年11月底前编制完成《壤塘县取用水监测计量能力提升建设实施方案》，取用水户远程监测计量能力提升、计量设施安装相关投资以该方案为准。</w:t>
      </w:r>
    </w:p>
    <w:p w14:paraId="1335BFE2">
      <w:pPr>
        <w:spacing w:before="156" w:beforeLines="50" w:after="156" w:afterLines="50" w:line="600" w:lineRule="exact"/>
        <w:ind w:firstLine="640" w:firstLineChars="200"/>
        <w:outlineLvl w:val="0"/>
        <w:rPr>
          <w:rFonts w:hint="eastAsia" w:ascii="仿宋_GB2312" w:hAnsi="仿宋_GB2312" w:eastAsia="仿宋_GB2312" w:cs="仿宋_GB2312"/>
          <w:sz w:val="32"/>
          <w:szCs w:val="32"/>
        </w:rPr>
      </w:pPr>
      <w:bookmarkStart w:id="24" w:name="_Toc7679"/>
      <w:r>
        <w:rPr>
          <w:rFonts w:hint="eastAsia" w:ascii="黑体" w:hAnsi="黑体" w:eastAsia="黑体" w:cs="黑体"/>
          <w:sz w:val="32"/>
          <w:szCs w:val="32"/>
        </w:rPr>
        <w:t>四、保障措施</w:t>
      </w:r>
      <w:bookmarkEnd w:id="24"/>
    </w:p>
    <w:p w14:paraId="100F0D9B">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（一）强化组织领导。</w:t>
      </w:r>
      <w:r>
        <w:rPr>
          <w:rFonts w:hint="eastAsia" w:ascii="仿宋" w:hAnsi="仿宋" w:eastAsia="仿宋" w:cs="仿宋"/>
          <w:sz w:val="32"/>
          <w:szCs w:val="32"/>
        </w:rPr>
        <w:t>坚持高位推动，由县政府统筹负责全县水预算管理试点工作的组织领导。县水务局要充分发挥牵头抓总作用，做好统筹协调与业务指导；建立部门联动机制，加强信息共享、协同配合，切实凝聚工作合力，确保各项试点任务落地见效。</w:t>
      </w:r>
    </w:p>
    <w:p w14:paraId="2C89B83E">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（二）强化资金保障。</w:t>
      </w:r>
      <w:r>
        <w:rPr>
          <w:rFonts w:hint="eastAsia" w:ascii="仿宋" w:hAnsi="仿宋" w:eastAsia="仿宋" w:cs="仿宋"/>
          <w:sz w:val="32"/>
          <w:szCs w:val="32"/>
        </w:rPr>
        <w:t>坚持多元投入，积极争取上级财政资金支持，统筹整合现有水利发展资金渠道。资金重点向水预算信息化建设、取用水计量设施改造、节水技术研发应用、示范项目建设等方面倾斜，确保试点工作中的各项任务顺利实施。</w:t>
      </w:r>
    </w:p>
    <w:p w14:paraId="3A6E008F">
      <w:pPr>
        <w:spacing w:line="60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（三）强化考核机制。</w:t>
      </w:r>
      <w:r>
        <w:rPr>
          <w:rFonts w:hint="eastAsia" w:ascii="仿宋" w:hAnsi="仿宋" w:eastAsia="仿宋" w:cs="仿宋"/>
          <w:sz w:val="32"/>
          <w:szCs w:val="32"/>
        </w:rPr>
        <w:t>将试点工作成效及执行情况纳入水资源刚性约束制度考核和县级部门年度目标绩效考核体系，强化结果运用，压实工作责任。</w:t>
      </w:r>
    </w:p>
    <w:p w14:paraId="29184637">
      <w:pPr>
        <w:spacing w:line="60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（四）强化培训宣传。</w:t>
      </w:r>
      <w:r>
        <w:rPr>
          <w:rFonts w:hint="eastAsia" w:ascii="仿宋" w:hAnsi="仿宋" w:eastAsia="仿宋" w:cs="仿宋"/>
          <w:sz w:val="32"/>
          <w:szCs w:val="32"/>
        </w:rPr>
        <w:t>组织开展水预算管理培训，提升各级管理人员和用水单位负责人的业务能力，及时宣传试点工作进展和成效，充分利用电视、网络、新媒体等平台，广泛宣传“水预算管理”理念，营造全社会</w:t>
      </w:r>
      <w:r>
        <w:rPr>
          <w:rFonts w:hint="eastAsia" w:ascii="仿宋" w:hAnsi="仿宋" w:eastAsia="仿宋" w:cs="仿宋"/>
          <w:sz w:val="32"/>
          <w:szCs w:val="32"/>
          <w:lang w:eastAsia="zh-CN"/>
        </w:rPr>
        <w:t>共同</w:t>
      </w:r>
      <w:r>
        <w:rPr>
          <w:rFonts w:hint="eastAsia" w:ascii="仿宋" w:hAnsi="仿宋" w:eastAsia="仿宋" w:cs="仿宋"/>
          <w:sz w:val="32"/>
          <w:szCs w:val="32"/>
        </w:rPr>
        <w:t>参与的良好舆论环境。</w:t>
      </w:r>
    </w:p>
    <w:p w14:paraId="234A84C6">
      <w:pPr>
        <w:spacing w:line="600" w:lineRule="exact"/>
        <w:ind w:firstLine="964" w:firstLineChars="300"/>
        <w:rPr>
          <w:rFonts w:hint="eastAsia" w:ascii="仿宋" w:hAnsi="仿宋" w:eastAsia="仿宋" w:cs="仿宋"/>
          <w:sz w:val="32"/>
          <w:szCs w:val="32"/>
        </w:rPr>
      </w:pPr>
      <w:r>
        <w:rPr>
          <w:rFonts w:hint="eastAsia" w:ascii="仿宋" w:hAnsi="仿宋" w:eastAsia="仿宋" w:cs="仿宋"/>
          <w:b/>
          <w:bCs/>
          <w:sz w:val="32"/>
          <w:szCs w:val="32"/>
        </w:rPr>
        <w:t>附件：</w:t>
      </w:r>
      <w:r>
        <w:rPr>
          <w:rFonts w:hint="eastAsia" w:ascii="仿宋" w:hAnsi="仿宋" w:eastAsia="仿宋" w:cs="仿宋"/>
          <w:sz w:val="32"/>
          <w:szCs w:val="32"/>
        </w:rPr>
        <w:t>壤塘县水预算管理实施责任分工</w:t>
      </w:r>
    </w:p>
    <w:p w14:paraId="7CD45CC5">
      <w:pPr>
        <w:spacing w:line="600" w:lineRule="exact"/>
        <w:ind w:firstLine="640" w:firstLineChars="200"/>
        <w:rPr>
          <w:rFonts w:hint="eastAsia" w:ascii="仿宋_GB2312" w:hAnsi="仿宋_GB2312" w:eastAsia="仿宋_GB2312" w:cs="仿宋_GB2312"/>
          <w:sz w:val="32"/>
          <w:szCs w:val="32"/>
        </w:rPr>
      </w:pPr>
    </w:p>
    <w:p w14:paraId="79F7DE49">
      <w:pPr>
        <w:spacing w:line="600" w:lineRule="exact"/>
        <w:rPr>
          <w:rFonts w:hint="eastAsia" w:ascii="宋体" w:hAnsi="宋体" w:eastAsia="宋体" w:cs="宋体"/>
          <w:sz w:val="24"/>
        </w:rPr>
        <w:sectPr>
          <w:footerReference r:id="rId4" w:type="default"/>
          <w:pgSz w:w="11906" w:h="16838"/>
          <w:pgMar w:top="2098" w:right="1474" w:bottom="1984" w:left="1587" w:header="851" w:footer="1559" w:gutter="0"/>
          <w:pgNumType w:start="1"/>
          <w:cols w:space="0" w:num="1"/>
          <w:docGrid w:type="lines" w:linePitch="312" w:charSpace="0"/>
        </w:sectPr>
      </w:pPr>
    </w:p>
    <w:p w14:paraId="351785F0">
      <w:pPr>
        <w:spacing w:line="600" w:lineRule="exact"/>
        <w:rPr>
          <w:rFonts w:hint="eastAsia" w:ascii="仿宋" w:hAnsi="仿宋" w:eastAsia="仿宋" w:cs="仿宋"/>
          <w:b/>
          <w:bCs/>
          <w:sz w:val="32"/>
          <w:szCs w:val="32"/>
        </w:rPr>
      </w:pPr>
      <w:r>
        <w:rPr>
          <w:rFonts w:hint="eastAsia" w:ascii="仿宋" w:hAnsi="仿宋" w:eastAsia="仿宋" w:cs="仿宋"/>
          <w:b/>
          <w:bCs/>
          <w:sz w:val="32"/>
          <w:szCs w:val="32"/>
        </w:rPr>
        <w:t>附件：</w:t>
      </w:r>
    </w:p>
    <w:p w14:paraId="627A25EC">
      <w:pPr>
        <w:spacing w:line="600" w:lineRule="exact"/>
        <w:jc w:val="center"/>
        <w:rPr>
          <w:rFonts w:hint="eastAsia" w:ascii="黑体" w:hAnsi="黑体" w:eastAsia="黑体" w:cs="黑体"/>
          <w:sz w:val="32"/>
          <w:szCs w:val="32"/>
        </w:rPr>
      </w:pPr>
      <w:r>
        <w:rPr>
          <w:rFonts w:hint="eastAsia" w:ascii="黑体" w:hAnsi="黑体" w:eastAsia="黑体" w:cs="黑体"/>
          <w:sz w:val="32"/>
          <w:szCs w:val="32"/>
        </w:rPr>
        <w:t>壤塘县水预算管理实施责任分工</w:t>
      </w:r>
    </w:p>
    <w:tbl>
      <w:tblPr>
        <w:tblStyle w:val="12"/>
        <w:tblW w:w="5282" w:type="pct"/>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72"/>
        <w:gridCol w:w="2225"/>
        <w:gridCol w:w="9603"/>
        <w:gridCol w:w="929"/>
      </w:tblGrid>
      <w:tr w14:paraId="5964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354" w:type="pct"/>
            <w:tcMar>
              <w:top w:w="120" w:type="dxa"/>
              <w:left w:w="120" w:type="dxa"/>
              <w:bottom w:w="120" w:type="dxa"/>
              <w:right w:w="120" w:type="dxa"/>
            </w:tcMar>
            <w:vAlign w:val="center"/>
          </w:tcPr>
          <w:p w14:paraId="030DB17E">
            <w:pPr>
              <w:widowControl/>
              <w:jc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序号</w:t>
            </w:r>
          </w:p>
        </w:tc>
        <w:tc>
          <w:tcPr>
            <w:tcW w:w="810" w:type="pct"/>
            <w:tcMar>
              <w:top w:w="120" w:type="dxa"/>
              <w:left w:w="120" w:type="dxa"/>
              <w:bottom w:w="120" w:type="dxa"/>
              <w:right w:w="120" w:type="dxa"/>
            </w:tcMar>
            <w:vAlign w:val="center"/>
          </w:tcPr>
          <w:p w14:paraId="3F5EF1AF">
            <w:pPr>
              <w:widowControl/>
              <w:jc w:val="center"/>
              <w:rPr>
                <w:rFonts w:hint="eastAsia" w:ascii="仿宋" w:hAnsi="仿宋" w:eastAsia="仿宋" w:cs="仿宋"/>
                <w:b/>
                <w:bCs/>
              </w:rPr>
            </w:pPr>
            <w:r>
              <w:rPr>
                <w:rFonts w:hint="eastAsia" w:ascii="仿宋" w:hAnsi="仿宋" w:eastAsia="仿宋" w:cs="仿宋"/>
                <w:b/>
                <w:bCs/>
                <w:kern w:val="0"/>
                <w:sz w:val="24"/>
                <w:lang w:bidi="ar"/>
              </w:rPr>
              <w:t>成员单位</w:t>
            </w:r>
          </w:p>
        </w:tc>
        <w:tc>
          <w:tcPr>
            <w:tcW w:w="3496" w:type="pct"/>
            <w:tcMar>
              <w:top w:w="120" w:type="dxa"/>
              <w:left w:w="120" w:type="dxa"/>
              <w:bottom w:w="120" w:type="dxa"/>
              <w:right w:w="120" w:type="dxa"/>
            </w:tcMar>
            <w:vAlign w:val="center"/>
          </w:tcPr>
          <w:p w14:paraId="386AA849">
            <w:pPr>
              <w:widowControl/>
              <w:jc w:val="center"/>
              <w:rPr>
                <w:rFonts w:hint="eastAsia" w:ascii="仿宋" w:hAnsi="仿宋" w:eastAsia="仿宋" w:cs="仿宋"/>
                <w:b/>
                <w:bCs/>
              </w:rPr>
            </w:pPr>
            <w:r>
              <w:rPr>
                <w:rFonts w:hint="eastAsia" w:ascii="仿宋" w:hAnsi="仿宋" w:eastAsia="仿宋" w:cs="仿宋"/>
                <w:b/>
                <w:bCs/>
                <w:kern w:val="0"/>
                <w:sz w:val="24"/>
                <w:lang w:bidi="ar"/>
              </w:rPr>
              <w:t>一般职责分工</w:t>
            </w:r>
          </w:p>
        </w:tc>
        <w:tc>
          <w:tcPr>
            <w:tcW w:w="338" w:type="pct"/>
            <w:tcMar>
              <w:top w:w="120" w:type="dxa"/>
              <w:left w:w="120" w:type="dxa"/>
              <w:bottom w:w="120" w:type="dxa"/>
              <w:right w:w="120" w:type="dxa"/>
            </w:tcMar>
            <w:vAlign w:val="center"/>
          </w:tcPr>
          <w:p w14:paraId="6EC6BD9A">
            <w:pPr>
              <w:widowControl/>
              <w:jc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备注</w:t>
            </w:r>
          </w:p>
        </w:tc>
      </w:tr>
      <w:tr w14:paraId="7B24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16" w:hRule="atLeast"/>
        </w:trPr>
        <w:tc>
          <w:tcPr>
            <w:tcW w:w="354" w:type="pct"/>
            <w:tcMar>
              <w:top w:w="120" w:type="dxa"/>
              <w:left w:w="120" w:type="dxa"/>
              <w:bottom w:w="120" w:type="dxa"/>
              <w:right w:w="120" w:type="dxa"/>
            </w:tcMar>
            <w:vAlign w:val="center"/>
          </w:tcPr>
          <w:p w14:paraId="05B10F79">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1</w:t>
            </w:r>
          </w:p>
        </w:tc>
        <w:tc>
          <w:tcPr>
            <w:tcW w:w="810" w:type="pct"/>
            <w:tcMar>
              <w:top w:w="120" w:type="dxa"/>
              <w:left w:w="120" w:type="dxa"/>
              <w:bottom w:w="120" w:type="dxa"/>
              <w:right w:w="120" w:type="dxa"/>
            </w:tcMar>
            <w:vAlign w:val="center"/>
          </w:tcPr>
          <w:p w14:paraId="74AB4F19">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县水务局</w:t>
            </w:r>
          </w:p>
        </w:tc>
        <w:tc>
          <w:tcPr>
            <w:tcW w:w="3496" w:type="pct"/>
            <w:tcMar>
              <w:top w:w="120" w:type="dxa"/>
              <w:left w:w="120" w:type="dxa"/>
              <w:bottom w:w="120" w:type="dxa"/>
              <w:right w:w="120" w:type="dxa"/>
            </w:tcMar>
            <w:vAlign w:val="center"/>
          </w:tcPr>
          <w:p w14:paraId="6B06707C">
            <w:pPr>
              <w:widowControl/>
              <w:jc w:val="left"/>
              <w:rPr>
                <w:rFonts w:hint="eastAsia" w:ascii="仿宋" w:hAnsi="仿宋" w:eastAsia="仿宋" w:cs="仿宋"/>
                <w:bCs/>
              </w:rPr>
            </w:pPr>
            <w:r>
              <w:rPr>
                <w:rFonts w:hint="eastAsia" w:ascii="仿宋" w:hAnsi="仿宋" w:eastAsia="仿宋" w:cs="仿宋"/>
                <w:bCs/>
                <w:kern w:val="0"/>
                <w:sz w:val="24"/>
                <w:lang w:bidi="ar"/>
              </w:rPr>
              <w:t>拟订工作方案、管理办法、考核办法；制定用水户纳入标准、行业水预算基准额度等技术标准；负责水预算指标下达、执行、复核、监督、决算；信息化平台对接、计量设施改造、节水技改项目；节余水量市场交易、水价改革配套；探索奖惩激励机制。</w:t>
            </w:r>
          </w:p>
        </w:tc>
        <w:tc>
          <w:tcPr>
            <w:tcW w:w="338" w:type="pct"/>
            <w:tcMar>
              <w:top w:w="120" w:type="dxa"/>
              <w:left w:w="120" w:type="dxa"/>
              <w:bottom w:w="120" w:type="dxa"/>
              <w:right w:w="120" w:type="dxa"/>
            </w:tcMar>
            <w:vAlign w:val="center"/>
          </w:tcPr>
          <w:p w14:paraId="71162F5E">
            <w:pPr>
              <w:widowControl/>
              <w:jc w:val="left"/>
              <w:rPr>
                <w:rFonts w:hint="eastAsia" w:ascii="仿宋" w:hAnsi="仿宋" w:eastAsia="仿宋" w:cs="仿宋"/>
                <w:bCs/>
                <w:kern w:val="0"/>
                <w:sz w:val="24"/>
                <w:lang w:bidi="ar"/>
              </w:rPr>
            </w:pPr>
            <w:r>
              <w:rPr>
                <w:rFonts w:hint="eastAsia" w:ascii="仿宋" w:hAnsi="仿宋" w:eastAsia="仿宋" w:cs="仿宋"/>
                <w:bCs/>
                <w:kern w:val="0"/>
                <w:sz w:val="24"/>
                <w:lang w:bidi="ar"/>
              </w:rPr>
              <w:t>牵头单位</w:t>
            </w:r>
          </w:p>
        </w:tc>
      </w:tr>
      <w:tr w14:paraId="382C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33E343FF">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2</w:t>
            </w:r>
          </w:p>
        </w:tc>
        <w:tc>
          <w:tcPr>
            <w:tcW w:w="810" w:type="pct"/>
            <w:tcMar>
              <w:top w:w="120" w:type="dxa"/>
              <w:left w:w="120" w:type="dxa"/>
              <w:bottom w:w="120" w:type="dxa"/>
              <w:right w:w="120" w:type="dxa"/>
            </w:tcMar>
            <w:vAlign w:val="center"/>
          </w:tcPr>
          <w:p w14:paraId="30B4647B">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县住建局</w:t>
            </w:r>
          </w:p>
        </w:tc>
        <w:tc>
          <w:tcPr>
            <w:tcW w:w="3496" w:type="pct"/>
            <w:tcMar>
              <w:top w:w="120" w:type="dxa"/>
              <w:left w:w="120" w:type="dxa"/>
              <w:bottom w:w="120" w:type="dxa"/>
              <w:right w:w="120" w:type="dxa"/>
            </w:tcMar>
            <w:vAlign w:val="center"/>
          </w:tcPr>
          <w:p w14:paraId="137F8A2B">
            <w:pPr>
              <w:widowControl/>
              <w:jc w:val="left"/>
              <w:rPr>
                <w:rFonts w:hint="eastAsia" w:ascii="仿宋" w:hAnsi="仿宋" w:eastAsia="仿宋" w:cs="仿宋"/>
                <w:bCs/>
                <w:kern w:val="0"/>
                <w:sz w:val="24"/>
                <w:lang w:bidi="ar"/>
              </w:rPr>
            </w:pPr>
            <w:r>
              <w:rPr>
                <w:rFonts w:hint="eastAsia" w:ascii="仿宋" w:hAnsi="仿宋" w:eastAsia="仿宋" w:cs="仿宋"/>
                <w:bCs/>
                <w:kern w:val="0"/>
                <w:sz w:val="24"/>
                <w:lang w:bidi="ar"/>
              </w:rPr>
              <w:t>会同水务局编制年度水预算方案并制定与下达城镇供水管网内取用水户的水预算额度；协调壤塘县自来水厂开展公共供水管网提升改造，提供管网内用水户的用水计量、用水量、服务对象、生产数据等信息。</w:t>
            </w:r>
          </w:p>
        </w:tc>
        <w:tc>
          <w:tcPr>
            <w:tcW w:w="338" w:type="pct"/>
            <w:tcMar>
              <w:top w:w="120" w:type="dxa"/>
              <w:left w:w="120" w:type="dxa"/>
              <w:bottom w:w="120" w:type="dxa"/>
              <w:right w:w="120" w:type="dxa"/>
            </w:tcMar>
            <w:vAlign w:val="center"/>
          </w:tcPr>
          <w:p w14:paraId="1EE4520A">
            <w:pPr>
              <w:widowControl/>
              <w:jc w:val="left"/>
              <w:rPr>
                <w:rFonts w:hint="eastAsia" w:ascii="仿宋" w:hAnsi="仿宋" w:eastAsia="仿宋" w:cs="仿宋"/>
                <w:bCs/>
                <w:kern w:val="0"/>
                <w:sz w:val="24"/>
                <w:lang w:bidi="ar"/>
              </w:rPr>
            </w:pPr>
          </w:p>
        </w:tc>
      </w:tr>
      <w:tr w14:paraId="37B7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0C5D388B">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3</w:t>
            </w:r>
          </w:p>
        </w:tc>
        <w:tc>
          <w:tcPr>
            <w:tcW w:w="810" w:type="pct"/>
            <w:tcMar>
              <w:top w:w="120" w:type="dxa"/>
              <w:left w:w="120" w:type="dxa"/>
              <w:bottom w:w="120" w:type="dxa"/>
              <w:right w:w="120" w:type="dxa"/>
            </w:tcMar>
            <w:vAlign w:val="center"/>
          </w:tcPr>
          <w:p w14:paraId="6F4EE4B1">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县发改局</w:t>
            </w:r>
          </w:p>
        </w:tc>
        <w:tc>
          <w:tcPr>
            <w:tcW w:w="3496" w:type="pct"/>
            <w:tcMar>
              <w:top w:w="120" w:type="dxa"/>
              <w:left w:w="120" w:type="dxa"/>
              <w:bottom w:w="120" w:type="dxa"/>
              <w:right w:w="120" w:type="dxa"/>
            </w:tcMar>
            <w:vAlign w:val="center"/>
          </w:tcPr>
          <w:p w14:paraId="40A83CFB">
            <w:pPr>
              <w:widowControl/>
              <w:jc w:val="left"/>
              <w:rPr>
                <w:rFonts w:hint="eastAsia" w:ascii="仿宋" w:hAnsi="仿宋" w:eastAsia="仿宋" w:cs="仿宋"/>
                <w:bCs/>
              </w:rPr>
            </w:pPr>
            <w:r>
              <w:rPr>
                <w:rFonts w:hint="eastAsia" w:ascii="仿宋" w:hAnsi="仿宋" w:eastAsia="仿宋" w:cs="仿宋"/>
                <w:bCs/>
                <w:kern w:val="0"/>
                <w:sz w:val="24"/>
                <w:lang w:bidi="ar"/>
              </w:rPr>
              <w:t>协助确定重大项目产业布局的水预算额度需求和水预算制定相关的区域城镇预测人口；试点水预算项目审批。</w:t>
            </w:r>
          </w:p>
        </w:tc>
        <w:tc>
          <w:tcPr>
            <w:tcW w:w="338" w:type="pct"/>
            <w:tcMar>
              <w:top w:w="120" w:type="dxa"/>
              <w:left w:w="120" w:type="dxa"/>
              <w:bottom w:w="120" w:type="dxa"/>
              <w:right w:w="120" w:type="dxa"/>
            </w:tcMar>
            <w:vAlign w:val="center"/>
          </w:tcPr>
          <w:p w14:paraId="11384B91">
            <w:pPr>
              <w:widowControl/>
              <w:jc w:val="left"/>
              <w:rPr>
                <w:rFonts w:hint="eastAsia" w:ascii="仿宋" w:hAnsi="仿宋" w:eastAsia="仿宋" w:cs="仿宋"/>
                <w:bCs/>
                <w:kern w:val="0"/>
                <w:sz w:val="24"/>
                <w:lang w:bidi="ar"/>
              </w:rPr>
            </w:pPr>
          </w:p>
        </w:tc>
      </w:tr>
      <w:tr w14:paraId="7A22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1F51C21F">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4</w:t>
            </w:r>
          </w:p>
        </w:tc>
        <w:tc>
          <w:tcPr>
            <w:tcW w:w="810" w:type="pct"/>
            <w:tcMar>
              <w:top w:w="120" w:type="dxa"/>
              <w:left w:w="120" w:type="dxa"/>
              <w:bottom w:w="120" w:type="dxa"/>
              <w:right w:w="120" w:type="dxa"/>
            </w:tcMar>
            <w:vAlign w:val="center"/>
          </w:tcPr>
          <w:p w14:paraId="1E90F1D6">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县财政局</w:t>
            </w:r>
          </w:p>
        </w:tc>
        <w:tc>
          <w:tcPr>
            <w:tcW w:w="3496" w:type="pct"/>
            <w:tcMar>
              <w:top w:w="120" w:type="dxa"/>
              <w:left w:w="120" w:type="dxa"/>
              <w:bottom w:w="120" w:type="dxa"/>
              <w:right w:w="120" w:type="dxa"/>
            </w:tcMar>
            <w:vAlign w:val="center"/>
          </w:tcPr>
          <w:p w14:paraId="399A58AA">
            <w:pPr>
              <w:widowControl/>
              <w:jc w:val="left"/>
              <w:rPr>
                <w:rFonts w:hint="eastAsia" w:ascii="仿宋" w:hAnsi="仿宋" w:eastAsia="仿宋" w:cs="仿宋"/>
                <w:bCs/>
              </w:rPr>
            </w:pPr>
            <w:r>
              <w:rPr>
                <w:rFonts w:hint="eastAsia" w:ascii="仿宋" w:hAnsi="仿宋" w:eastAsia="仿宋" w:cs="仿宋"/>
                <w:bCs/>
                <w:kern w:val="0"/>
                <w:sz w:val="24"/>
                <w:lang w:bidi="ar"/>
              </w:rPr>
              <w:t>试点工作资金保障与支付；支持技术支撑、计量设施改造等项目实施；推动机关事业单位节水技术改造；开展节水宣传教育。</w:t>
            </w:r>
          </w:p>
        </w:tc>
        <w:tc>
          <w:tcPr>
            <w:tcW w:w="338" w:type="pct"/>
            <w:tcMar>
              <w:top w:w="120" w:type="dxa"/>
              <w:left w:w="120" w:type="dxa"/>
              <w:bottom w:w="120" w:type="dxa"/>
              <w:right w:w="120" w:type="dxa"/>
            </w:tcMar>
            <w:vAlign w:val="center"/>
          </w:tcPr>
          <w:p w14:paraId="714834E4">
            <w:pPr>
              <w:widowControl/>
              <w:jc w:val="left"/>
              <w:rPr>
                <w:rFonts w:hint="eastAsia" w:ascii="仿宋" w:hAnsi="仿宋" w:eastAsia="仿宋" w:cs="仿宋"/>
                <w:bCs/>
                <w:kern w:val="0"/>
                <w:sz w:val="24"/>
                <w:lang w:bidi="ar"/>
              </w:rPr>
            </w:pPr>
          </w:p>
        </w:tc>
      </w:tr>
      <w:tr w14:paraId="0829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06378836">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5</w:t>
            </w:r>
          </w:p>
        </w:tc>
        <w:tc>
          <w:tcPr>
            <w:tcW w:w="810" w:type="pct"/>
            <w:tcMar>
              <w:top w:w="120" w:type="dxa"/>
              <w:left w:w="120" w:type="dxa"/>
              <w:bottom w:w="120" w:type="dxa"/>
              <w:right w:w="120" w:type="dxa"/>
            </w:tcMar>
            <w:vAlign w:val="center"/>
          </w:tcPr>
          <w:p w14:paraId="1B713019">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县经信局</w:t>
            </w:r>
          </w:p>
        </w:tc>
        <w:tc>
          <w:tcPr>
            <w:tcW w:w="3496" w:type="pct"/>
            <w:tcMar>
              <w:top w:w="120" w:type="dxa"/>
              <w:left w:w="120" w:type="dxa"/>
              <w:bottom w:w="120" w:type="dxa"/>
              <w:right w:w="120" w:type="dxa"/>
            </w:tcMar>
            <w:vAlign w:val="center"/>
          </w:tcPr>
          <w:p w14:paraId="604EF690">
            <w:pPr>
              <w:widowControl/>
              <w:jc w:val="left"/>
              <w:rPr>
                <w:rFonts w:hint="eastAsia" w:ascii="仿宋" w:hAnsi="仿宋" w:eastAsia="仿宋" w:cs="仿宋"/>
                <w:bCs/>
              </w:rPr>
            </w:pPr>
            <w:r>
              <w:rPr>
                <w:rFonts w:hint="eastAsia" w:ascii="仿宋" w:hAnsi="仿宋" w:eastAsia="仿宋" w:cs="仿宋"/>
                <w:bCs/>
                <w:kern w:val="0"/>
                <w:sz w:val="24"/>
                <w:lang w:bidi="ar"/>
              </w:rPr>
              <w:t>组织实施工业企业水预算管理；推动工业节水技术改造；协助完善相关制度。</w:t>
            </w:r>
          </w:p>
        </w:tc>
        <w:tc>
          <w:tcPr>
            <w:tcW w:w="338" w:type="pct"/>
            <w:tcMar>
              <w:top w:w="120" w:type="dxa"/>
              <w:left w:w="120" w:type="dxa"/>
              <w:bottom w:w="120" w:type="dxa"/>
              <w:right w:w="120" w:type="dxa"/>
            </w:tcMar>
            <w:vAlign w:val="center"/>
          </w:tcPr>
          <w:p w14:paraId="5055D717">
            <w:pPr>
              <w:widowControl/>
              <w:jc w:val="left"/>
              <w:rPr>
                <w:rFonts w:hint="eastAsia" w:ascii="仿宋" w:hAnsi="仿宋" w:eastAsia="仿宋" w:cs="仿宋"/>
                <w:bCs/>
                <w:kern w:val="0"/>
                <w:sz w:val="24"/>
                <w:lang w:bidi="ar"/>
              </w:rPr>
            </w:pPr>
          </w:p>
        </w:tc>
      </w:tr>
      <w:tr w14:paraId="102C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392C0688">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6</w:t>
            </w:r>
          </w:p>
        </w:tc>
        <w:tc>
          <w:tcPr>
            <w:tcW w:w="810" w:type="pct"/>
            <w:tcMar>
              <w:top w:w="120" w:type="dxa"/>
              <w:left w:w="120" w:type="dxa"/>
              <w:bottom w:w="120" w:type="dxa"/>
              <w:right w:w="120" w:type="dxa"/>
            </w:tcMar>
            <w:vAlign w:val="center"/>
          </w:tcPr>
          <w:p w14:paraId="69036DF7">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县教育局</w:t>
            </w:r>
          </w:p>
        </w:tc>
        <w:tc>
          <w:tcPr>
            <w:tcW w:w="3496" w:type="pct"/>
            <w:tcMar>
              <w:top w:w="120" w:type="dxa"/>
              <w:left w:w="120" w:type="dxa"/>
              <w:bottom w:w="120" w:type="dxa"/>
              <w:right w:w="120" w:type="dxa"/>
            </w:tcMar>
            <w:vAlign w:val="center"/>
          </w:tcPr>
          <w:p w14:paraId="439E7F69">
            <w:pPr>
              <w:widowControl/>
              <w:jc w:val="left"/>
              <w:rPr>
                <w:rFonts w:hint="eastAsia" w:ascii="仿宋" w:hAnsi="仿宋" w:eastAsia="仿宋" w:cs="仿宋"/>
                <w:bCs/>
              </w:rPr>
            </w:pPr>
            <w:r>
              <w:rPr>
                <w:rFonts w:hint="eastAsia" w:ascii="仿宋" w:hAnsi="仿宋" w:eastAsia="仿宋" w:cs="仿宋"/>
                <w:bCs/>
                <w:kern w:val="0"/>
                <w:sz w:val="24"/>
                <w:lang w:bidi="ar"/>
              </w:rPr>
              <w:t>组织实施学校水预算管理；推动学校节水技术改造；开展节水宣传教育。</w:t>
            </w:r>
          </w:p>
        </w:tc>
        <w:tc>
          <w:tcPr>
            <w:tcW w:w="338" w:type="pct"/>
            <w:tcMar>
              <w:top w:w="120" w:type="dxa"/>
              <w:left w:w="120" w:type="dxa"/>
              <w:bottom w:w="120" w:type="dxa"/>
              <w:right w:w="120" w:type="dxa"/>
            </w:tcMar>
            <w:vAlign w:val="center"/>
          </w:tcPr>
          <w:p w14:paraId="328AC174">
            <w:pPr>
              <w:widowControl/>
              <w:jc w:val="left"/>
              <w:rPr>
                <w:rFonts w:hint="eastAsia" w:ascii="仿宋" w:hAnsi="仿宋" w:eastAsia="仿宋" w:cs="仿宋"/>
                <w:bCs/>
                <w:kern w:val="0"/>
                <w:sz w:val="24"/>
                <w:lang w:bidi="ar"/>
              </w:rPr>
            </w:pPr>
          </w:p>
        </w:tc>
      </w:tr>
      <w:tr w14:paraId="10C0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0C6A9462">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7</w:t>
            </w:r>
          </w:p>
        </w:tc>
        <w:tc>
          <w:tcPr>
            <w:tcW w:w="810" w:type="pct"/>
            <w:tcMar>
              <w:top w:w="120" w:type="dxa"/>
              <w:left w:w="120" w:type="dxa"/>
              <w:bottom w:w="120" w:type="dxa"/>
              <w:right w:w="120" w:type="dxa"/>
            </w:tcMar>
            <w:vAlign w:val="center"/>
          </w:tcPr>
          <w:p w14:paraId="6FCB1F6F">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县卫健局</w:t>
            </w:r>
          </w:p>
        </w:tc>
        <w:tc>
          <w:tcPr>
            <w:tcW w:w="3496" w:type="pct"/>
            <w:tcMar>
              <w:top w:w="120" w:type="dxa"/>
              <w:left w:w="120" w:type="dxa"/>
              <w:bottom w:w="120" w:type="dxa"/>
              <w:right w:w="120" w:type="dxa"/>
            </w:tcMar>
            <w:vAlign w:val="center"/>
          </w:tcPr>
          <w:p w14:paraId="5E81C921">
            <w:pPr>
              <w:widowControl/>
              <w:jc w:val="left"/>
              <w:rPr>
                <w:rFonts w:hint="eastAsia" w:ascii="仿宋" w:hAnsi="仿宋" w:eastAsia="仿宋" w:cs="仿宋"/>
                <w:bCs/>
              </w:rPr>
            </w:pPr>
            <w:r>
              <w:rPr>
                <w:rFonts w:hint="eastAsia" w:ascii="仿宋" w:hAnsi="仿宋" w:eastAsia="仿宋" w:cs="仿宋"/>
                <w:bCs/>
                <w:kern w:val="0"/>
                <w:sz w:val="24"/>
                <w:lang w:bidi="ar"/>
              </w:rPr>
              <w:t>组织实施医院水预算管理；推动医院节水技术改造；开展节水宣传教育。</w:t>
            </w:r>
          </w:p>
        </w:tc>
        <w:tc>
          <w:tcPr>
            <w:tcW w:w="338" w:type="pct"/>
            <w:tcMar>
              <w:top w:w="120" w:type="dxa"/>
              <w:left w:w="120" w:type="dxa"/>
              <w:bottom w:w="120" w:type="dxa"/>
              <w:right w:w="120" w:type="dxa"/>
            </w:tcMar>
            <w:vAlign w:val="center"/>
          </w:tcPr>
          <w:p w14:paraId="340DCEBB">
            <w:pPr>
              <w:widowControl/>
              <w:jc w:val="left"/>
              <w:rPr>
                <w:rFonts w:hint="eastAsia" w:ascii="仿宋" w:hAnsi="仿宋" w:eastAsia="仿宋" w:cs="仿宋"/>
                <w:bCs/>
                <w:kern w:val="0"/>
                <w:sz w:val="24"/>
                <w:lang w:bidi="ar"/>
              </w:rPr>
            </w:pPr>
          </w:p>
        </w:tc>
      </w:tr>
      <w:tr w14:paraId="72B7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4A527263">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8</w:t>
            </w:r>
          </w:p>
        </w:tc>
        <w:tc>
          <w:tcPr>
            <w:tcW w:w="810" w:type="pct"/>
            <w:tcMar>
              <w:top w:w="120" w:type="dxa"/>
              <w:left w:w="120" w:type="dxa"/>
              <w:bottom w:w="120" w:type="dxa"/>
              <w:right w:w="120" w:type="dxa"/>
            </w:tcMar>
            <w:vAlign w:val="center"/>
          </w:tcPr>
          <w:p w14:paraId="57FB2A10">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县科农局</w:t>
            </w:r>
          </w:p>
        </w:tc>
        <w:tc>
          <w:tcPr>
            <w:tcW w:w="3496" w:type="pct"/>
            <w:tcMar>
              <w:top w:w="120" w:type="dxa"/>
              <w:left w:w="120" w:type="dxa"/>
              <w:bottom w:w="120" w:type="dxa"/>
              <w:right w:w="120" w:type="dxa"/>
            </w:tcMar>
            <w:vAlign w:val="center"/>
          </w:tcPr>
          <w:p w14:paraId="59898971">
            <w:pPr>
              <w:widowControl/>
              <w:jc w:val="left"/>
              <w:rPr>
                <w:rFonts w:hint="eastAsia" w:ascii="仿宋" w:hAnsi="仿宋" w:eastAsia="仿宋" w:cs="仿宋"/>
                <w:bCs/>
              </w:rPr>
            </w:pPr>
            <w:r>
              <w:rPr>
                <w:rFonts w:hint="eastAsia" w:ascii="仿宋" w:hAnsi="仿宋" w:eastAsia="仿宋" w:cs="仿宋"/>
                <w:bCs/>
                <w:kern w:val="0"/>
                <w:sz w:val="24"/>
                <w:lang w:bidi="ar"/>
              </w:rPr>
              <w:t>组织实施农业水预算管理；推广农业节水技术（高效灌溉、畜禽养殖循环用水）；协助确定试点用水户名单、开展政策宣传。</w:t>
            </w:r>
          </w:p>
        </w:tc>
        <w:tc>
          <w:tcPr>
            <w:tcW w:w="338" w:type="pct"/>
            <w:tcMar>
              <w:top w:w="120" w:type="dxa"/>
              <w:left w:w="120" w:type="dxa"/>
              <w:bottom w:w="120" w:type="dxa"/>
              <w:right w:w="120" w:type="dxa"/>
            </w:tcMar>
            <w:vAlign w:val="center"/>
          </w:tcPr>
          <w:p w14:paraId="0C6AA7E5">
            <w:pPr>
              <w:widowControl/>
              <w:jc w:val="left"/>
              <w:rPr>
                <w:rFonts w:hint="eastAsia" w:ascii="仿宋" w:hAnsi="仿宋" w:eastAsia="仿宋" w:cs="仿宋"/>
                <w:bCs/>
                <w:kern w:val="0"/>
                <w:sz w:val="24"/>
                <w:lang w:bidi="ar"/>
              </w:rPr>
            </w:pPr>
          </w:p>
        </w:tc>
      </w:tr>
      <w:tr w14:paraId="321E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0ACCD0F4">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9</w:t>
            </w:r>
          </w:p>
        </w:tc>
        <w:tc>
          <w:tcPr>
            <w:tcW w:w="810" w:type="pct"/>
            <w:tcMar>
              <w:top w:w="120" w:type="dxa"/>
              <w:left w:w="120" w:type="dxa"/>
              <w:bottom w:w="120" w:type="dxa"/>
              <w:right w:w="120" w:type="dxa"/>
            </w:tcMar>
            <w:vAlign w:val="center"/>
          </w:tcPr>
          <w:p w14:paraId="6E78D769">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县行审政管局</w:t>
            </w:r>
          </w:p>
        </w:tc>
        <w:tc>
          <w:tcPr>
            <w:tcW w:w="3496" w:type="pct"/>
            <w:tcMar>
              <w:top w:w="120" w:type="dxa"/>
              <w:left w:w="120" w:type="dxa"/>
              <w:bottom w:w="120" w:type="dxa"/>
              <w:right w:w="120" w:type="dxa"/>
            </w:tcMar>
            <w:vAlign w:val="center"/>
          </w:tcPr>
          <w:p w14:paraId="2CECCEE2">
            <w:pPr>
              <w:widowControl/>
              <w:jc w:val="left"/>
              <w:rPr>
                <w:rFonts w:hint="eastAsia" w:ascii="仿宋" w:hAnsi="仿宋" w:eastAsia="仿宋" w:cs="仿宋"/>
                <w:bCs/>
                <w:kern w:val="0"/>
                <w:sz w:val="24"/>
                <w:lang w:bidi="ar"/>
              </w:rPr>
            </w:pPr>
            <w:r>
              <w:rPr>
                <w:rFonts w:hint="eastAsia" w:ascii="仿宋" w:hAnsi="仿宋" w:eastAsia="仿宋" w:cs="仿宋"/>
                <w:bCs/>
                <w:kern w:val="0"/>
                <w:sz w:val="24"/>
                <w:lang w:bidi="ar"/>
              </w:rPr>
              <w:t>组织实施机关事业单位水预算管理：并对预算执行情况等进行跟踪问效。</w:t>
            </w:r>
          </w:p>
        </w:tc>
        <w:tc>
          <w:tcPr>
            <w:tcW w:w="338" w:type="pct"/>
            <w:tcMar>
              <w:top w:w="120" w:type="dxa"/>
              <w:left w:w="120" w:type="dxa"/>
              <w:bottom w:w="120" w:type="dxa"/>
              <w:right w:w="120" w:type="dxa"/>
            </w:tcMar>
            <w:vAlign w:val="center"/>
          </w:tcPr>
          <w:p w14:paraId="13C971C5">
            <w:pPr>
              <w:widowControl/>
              <w:jc w:val="left"/>
              <w:rPr>
                <w:rFonts w:hint="eastAsia" w:ascii="仿宋" w:hAnsi="仿宋" w:eastAsia="仿宋" w:cs="仿宋"/>
                <w:bCs/>
                <w:kern w:val="0"/>
                <w:sz w:val="24"/>
                <w:lang w:bidi="ar"/>
              </w:rPr>
            </w:pPr>
          </w:p>
        </w:tc>
      </w:tr>
      <w:tr w14:paraId="6190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51436535">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10</w:t>
            </w:r>
          </w:p>
        </w:tc>
        <w:tc>
          <w:tcPr>
            <w:tcW w:w="810" w:type="pct"/>
            <w:tcMar>
              <w:top w:w="120" w:type="dxa"/>
              <w:left w:w="120" w:type="dxa"/>
              <w:bottom w:w="120" w:type="dxa"/>
              <w:right w:w="120" w:type="dxa"/>
            </w:tcMar>
            <w:vAlign w:val="center"/>
          </w:tcPr>
          <w:p w14:paraId="218E7D12">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县统计局</w:t>
            </w:r>
          </w:p>
        </w:tc>
        <w:tc>
          <w:tcPr>
            <w:tcW w:w="3496" w:type="pct"/>
            <w:tcMar>
              <w:top w:w="120" w:type="dxa"/>
              <w:left w:w="120" w:type="dxa"/>
              <w:bottom w:w="120" w:type="dxa"/>
              <w:right w:w="120" w:type="dxa"/>
            </w:tcMar>
            <w:vAlign w:val="center"/>
          </w:tcPr>
          <w:p w14:paraId="7260D4B5">
            <w:pPr>
              <w:widowControl/>
              <w:jc w:val="left"/>
              <w:rPr>
                <w:rFonts w:hint="eastAsia" w:ascii="仿宋" w:hAnsi="仿宋" w:eastAsia="仿宋" w:cs="仿宋"/>
                <w:bCs/>
                <w:kern w:val="0"/>
                <w:sz w:val="24"/>
                <w:lang w:bidi="ar"/>
              </w:rPr>
            </w:pPr>
            <w:r>
              <w:rPr>
                <w:rFonts w:hint="eastAsia" w:ascii="仿宋" w:hAnsi="仿宋" w:eastAsia="仿宋" w:cs="仿宋"/>
                <w:bCs/>
                <w:kern w:val="0"/>
                <w:sz w:val="24"/>
                <w:lang w:bidi="ar"/>
              </w:rPr>
              <w:t>提供壤塘县水预算额度制定所需的社会经济发展、行业发展、环境资源等基本情况数据；配合做好用水户基础信息调查工作，对水预算决算相关的产量、人员、面积等数据进行核定。</w:t>
            </w:r>
          </w:p>
        </w:tc>
        <w:tc>
          <w:tcPr>
            <w:tcW w:w="338" w:type="pct"/>
            <w:tcMar>
              <w:top w:w="120" w:type="dxa"/>
              <w:left w:w="120" w:type="dxa"/>
              <w:bottom w:w="120" w:type="dxa"/>
              <w:right w:w="120" w:type="dxa"/>
            </w:tcMar>
            <w:vAlign w:val="center"/>
          </w:tcPr>
          <w:p w14:paraId="07CD144D">
            <w:pPr>
              <w:widowControl/>
              <w:jc w:val="left"/>
              <w:rPr>
                <w:rFonts w:hint="eastAsia" w:ascii="仿宋" w:hAnsi="仿宋" w:eastAsia="仿宋" w:cs="仿宋"/>
                <w:bCs/>
                <w:kern w:val="0"/>
                <w:sz w:val="24"/>
                <w:lang w:bidi="ar"/>
              </w:rPr>
            </w:pPr>
          </w:p>
        </w:tc>
      </w:tr>
      <w:tr w14:paraId="097D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7EC5F5D4">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11</w:t>
            </w:r>
          </w:p>
        </w:tc>
        <w:tc>
          <w:tcPr>
            <w:tcW w:w="810" w:type="pct"/>
            <w:tcMar>
              <w:top w:w="120" w:type="dxa"/>
              <w:left w:w="120" w:type="dxa"/>
              <w:bottom w:w="120" w:type="dxa"/>
              <w:right w:w="120" w:type="dxa"/>
            </w:tcMar>
            <w:vAlign w:val="center"/>
          </w:tcPr>
          <w:p w14:paraId="0B74B0CB">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壤塘县城乡文明综合服务中心</w:t>
            </w:r>
          </w:p>
        </w:tc>
        <w:tc>
          <w:tcPr>
            <w:tcW w:w="3496" w:type="pct"/>
            <w:tcMar>
              <w:top w:w="120" w:type="dxa"/>
              <w:left w:w="120" w:type="dxa"/>
              <w:bottom w:w="120" w:type="dxa"/>
              <w:right w:w="120" w:type="dxa"/>
            </w:tcMar>
            <w:vAlign w:val="center"/>
          </w:tcPr>
          <w:p w14:paraId="16AF0915">
            <w:pPr>
              <w:widowControl/>
              <w:jc w:val="left"/>
              <w:rPr>
                <w:rFonts w:hint="eastAsia" w:ascii="仿宋" w:hAnsi="仿宋" w:eastAsia="仿宋" w:cs="仿宋"/>
                <w:bCs/>
                <w:kern w:val="0"/>
                <w:sz w:val="24"/>
                <w:lang w:bidi="ar"/>
              </w:rPr>
            </w:pPr>
            <w:r>
              <w:rPr>
                <w:rFonts w:hint="eastAsia" w:ascii="仿宋" w:hAnsi="仿宋" w:eastAsia="仿宋" w:cs="仿宋"/>
                <w:bCs/>
                <w:kern w:val="0"/>
                <w:sz w:val="24"/>
                <w:lang w:bidi="ar"/>
              </w:rPr>
              <w:t>城乡环境用水预算管理；配合相关执法监督。</w:t>
            </w:r>
          </w:p>
        </w:tc>
        <w:tc>
          <w:tcPr>
            <w:tcW w:w="338" w:type="pct"/>
            <w:tcMar>
              <w:top w:w="120" w:type="dxa"/>
              <w:left w:w="120" w:type="dxa"/>
              <w:bottom w:w="120" w:type="dxa"/>
              <w:right w:w="120" w:type="dxa"/>
            </w:tcMar>
            <w:vAlign w:val="center"/>
          </w:tcPr>
          <w:p w14:paraId="53FC19FC">
            <w:pPr>
              <w:widowControl/>
              <w:jc w:val="left"/>
              <w:rPr>
                <w:rFonts w:hint="eastAsia" w:ascii="仿宋" w:hAnsi="仿宋" w:eastAsia="仿宋" w:cs="仿宋"/>
                <w:bCs/>
                <w:kern w:val="0"/>
                <w:sz w:val="24"/>
                <w:lang w:bidi="ar"/>
              </w:rPr>
            </w:pPr>
          </w:p>
        </w:tc>
      </w:tr>
      <w:tr w14:paraId="6E79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54" w:type="pct"/>
            <w:tcMar>
              <w:top w:w="120" w:type="dxa"/>
              <w:left w:w="120" w:type="dxa"/>
              <w:bottom w:w="120" w:type="dxa"/>
              <w:right w:w="120" w:type="dxa"/>
            </w:tcMar>
            <w:vAlign w:val="center"/>
          </w:tcPr>
          <w:p w14:paraId="35065F16">
            <w:pPr>
              <w:widowControl/>
              <w:jc w:val="center"/>
              <w:rPr>
                <w:rStyle w:val="14"/>
                <w:rFonts w:hint="eastAsia" w:ascii="仿宋" w:hAnsi="仿宋" w:eastAsia="仿宋" w:cs="仿宋"/>
                <w:b w:val="0"/>
                <w:bCs/>
                <w:kern w:val="0"/>
                <w:sz w:val="24"/>
                <w:lang w:bidi="ar"/>
              </w:rPr>
            </w:pPr>
            <w:r>
              <w:rPr>
                <w:rStyle w:val="14"/>
                <w:rFonts w:hint="eastAsia" w:ascii="仿宋" w:hAnsi="仿宋" w:eastAsia="仿宋" w:cs="仿宋"/>
                <w:b w:val="0"/>
                <w:bCs/>
                <w:kern w:val="0"/>
                <w:sz w:val="24"/>
                <w:lang w:bidi="ar"/>
              </w:rPr>
              <w:t>12</w:t>
            </w:r>
          </w:p>
        </w:tc>
        <w:tc>
          <w:tcPr>
            <w:tcW w:w="810" w:type="pct"/>
            <w:tcMar>
              <w:top w:w="120" w:type="dxa"/>
              <w:left w:w="120" w:type="dxa"/>
              <w:bottom w:w="120" w:type="dxa"/>
              <w:right w:w="120" w:type="dxa"/>
            </w:tcMar>
            <w:vAlign w:val="center"/>
          </w:tcPr>
          <w:p w14:paraId="507AAEFA">
            <w:pPr>
              <w:widowControl/>
              <w:jc w:val="center"/>
              <w:rPr>
                <w:rFonts w:hint="eastAsia" w:ascii="仿宋" w:hAnsi="仿宋" w:eastAsia="仿宋" w:cs="仿宋"/>
                <w:bCs/>
              </w:rPr>
            </w:pPr>
            <w:r>
              <w:rPr>
                <w:rStyle w:val="14"/>
                <w:rFonts w:hint="eastAsia" w:ascii="仿宋" w:hAnsi="仿宋" w:eastAsia="仿宋" w:cs="仿宋"/>
                <w:b w:val="0"/>
                <w:bCs/>
                <w:kern w:val="0"/>
                <w:sz w:val="24"/>
                <w:lang w:bidi="ar"/>
              </w:rPr>
              <w:t>壤塘县自来水厂</w:t>
            </w:r>
            <w:r>
              <w:rPr>
                <w:rFonts w:hint="eastAsia" w:ascii="仿宋" w:hAnsi="仿宋" w:eastAsia="仿宋" w:cs="仿宋"/>
                <w:bCs/>
                <w:kern w:val="0"/>
                <w:sz w:val="24"/>
                <w:lang w:bidi="ar"/>
              </w:rPr>
              <w:t>（供水企业）</w:t>
            </w:r>
          </w:p>
        </w:tc>
        <w:tc>
          <w:tcPr>
            <w:tcW w:w="3496" w:type="pct"/>
            <w:tcMar>
              <w:top w:w="120" w:type="dxa"/>
              <w:left w:w="120" w:type="dxa"/>
              <w:bottom w:w="120" w:type="dxa"/>
              <w:right w:w="120" w:type="dxa"/>
            </w:tcMar>
            <w:vAlign w:val="center"/>
          </w:tcPr>
          <w:p w14:paraId="0D977A73">
            <w:pPr>
              <w:widowControl/>
              <w:jc w:val="left"/>
              <w:rPr>
                <w:rFonts w:hint="eastAsia" w:ascii="仿宋" w:hAnsi="仿宋" w:eastAsia="仿宋" w:cs="仿宋"/>
                <w:bCs/>
              </w:rPr>
            </w:pPr>
            <w:r>
              <w:rPr>
                <w:rFonts w:hint="eastAsia" w:ascii="仿宋" w:hAnsi="仿宋" w:eastAsia="仿宋" w:cs="仿宋"/>
                <w:bCs/>
                <w:kern w:val="0"/>
                <w:sz w:val="24"/>
                <w:lang w:bidi="ar"/>
              </w:rPr>
              <w:t>提供公共管网用水户的用水计量与水量信息；完善管网内重点监控对象在线计量监测设施；与县水务局用水信息交互、互联互通共享。</w:t>
            </w:r>
          </w:p>
        </w:tc>
        <w:tc>
          <w:tcPr>
            <w:tcW w:w="338" w:type="pct"/>
            <w:tcMar>
              <w:top w:w="120" w:type="dxa"/>
              <w:left w:w="120" w:type="dxa"/>
              <w:bottom w:w="120" w:type="dxa"/>
              <w:right w:w="120" w:type="dxa"/>
            </w:tcMar>
            <w:vAlign w:val="center"/>
          </w:tcPr>
          <w:p w14:paraId="07414826">
            <w:pPr>
              <w:widowControl/>
              <w:jc w:val="left"/>
              <w:rPr>
                <w:rFonts w:hint="eastAsia" w:ascii="仿宋" w:hAnsi="仿宋" w:eastAsia="仿宋" w:cs="仿宋"/>
                <w:bCs/>
                <w:kern w:val="0"/>
                <w:sz w:val="24"/>
                <w:lang w:bidi="ar"/>
              </w:rPr>
            </w:pPr>
          </w:p>
        </w:tc>
      </w:tr>
    </w:tbl>
    <w:p w14:paraId="4B0AD3DA">
      <w:pPr>
        <w:spacing w:line="600" w:lineRule="exact"/>
        <w:rPr>
          <w:rFonts w:hint="eastAsia" w:ascii="仿宋_GB2312" w:hAnsi="仿宋_GB2312" w:eastAsia="仿宋_GB2312" w:cs="仿宋_GB2312"/>
          <w:sz w:val="32"/>
          <w:szCs w:val="32"/>
        </w:rPr>
      </w:pPr>
    </w:p>
    <w:sectPr>
      <w:pgSz w:w="16838" w:h="11906" w:orient="landscape"/>
      <w:pgMar w:top="1587" w:right="2098" w:bottom="1474" w:left="1984" w:header="851" w:footer="1559"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3A32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25C5E">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35CDD">
                          <w:pPr>
                            <w:pStyle w:val="7"/>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rPr>
                            <w:fldChar w:fldCharType="begin"/>
                          </w:r>
                          <w:r>
                            <w:rPr>
                              <w:rFonts w:hint="eastAsia" w:ascii="宋体" w:hAnsi="宋体" w:eastAsia="宋体" w:cs="宋体"/>
                              <w:sz w:val="24"/>
                            </w:rPr>
                            <w:instrText xml:space="preserve"> PAGE  \* MERGEFORMAT </w:instrText>
                          </w:r>
                          <w:r>
                            <w:rPr>
                              <w:rFonts w:hint="eastAsia" w:ascii="宋体" w:hAnsi="宋体" w:eastAsia="宋体" w:cs="宋体"/>
                              <w:sz w:val="24"/>
                            </w:rPr>
                            <w:fldChar w:fldCharType="separate"/>
                          </w:r>
                          <w:r>
                            <w:rPr>
                              <w:rFonts w:hint="eastAsia" w:ascii="宋体" w:hAnsi="宋体" w:eastAsia="宋体" w:cs="宋体"/>
                              <w:sz w:val="24"/>
                            </w:rPr>
                            <w:t>1</w:t>
                          </w:r>
                          <w:r>
                            <w:rPr>
                              <w:rFonts w:hint="eastAsia" w:ascii="宋体" w:hAnsi="宋体" w:eastAsia="宋体" w:cs="宋体"/>
                              <w:sz w:val="24"/>
                            </w:rPr>
                            <w:fldChar w:fldCharType="end"/>
                          </w:r>
                          <w:r>
                            <w:rPr>
                              <w:rFonts w:hint="eastAsia" w:ascii="宋体" w:hAnsi="宋体" w:eastAsia="宋体" w:cs="宋体"/>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2D35CDD">
                    <w:pPr>
                      <w:pStyle w:val="7"/>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rPr>
                      <w:fldChar w:fldCharType="begin"/>
                    </w:r>
                    <w:r>
                      <w:rPr>
                        <w:rFonts w:hint="eastAsia" w:ascii="宋体" w:hAnsi="宋体" w:eastAsia="宋体" w:cs="宋体"/>
                        <w:sz w:val="24"/>
                      </w:rPr>
                      <w:instrText xml:space="preserve"> PAGE  \* MERGEFORMAT </w:instrText>
                    </w:r>
                    <w:r>
                      <w:rPr>
                        <w:rFonts w:hint="eastAsia" w:ascii="宋体" w:hAnsi="宋体" w:eastAsia="宋体" w:cs="宋体"/>
                        <w:sz w:val="24"/>
                      </w:rPr>
                      <w:fldChar w:fldCharType="separate"/>
                    </w:r>
                    <w:r>
                      <w:rPr>
                        <w:rFonts w:hint="eastAsia" w:ascii="宋体" w:hAnsi="宋体" w:eastAsia="宋体" w:cs="宋体"/>
                        <w:sz w:val="24"/>
                      </w:rPr>
                      <w:t>1</w:t>
                    </w:r>
                    <w:r>
                      <w:rPr>
                        <w:rFonts w:hint="eastAsia" w:ascii="宋体" w:hAnsi="宋体" w:eastAsia="宋体" w:cs="宋体"/>
                        <w:sz w:val="24"/>
                      </w:rPr>
                      <w:fldChar w:fldCharType="end"/>
                    </w:r>
                    <w:r>
                      <w:rPr>
                        <w:rFonts w:hint="eastAsia" w:ascii="宋体" w:hAnsi="宋体" w:eastAsia="宋体" w:cs="宋体"/>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A77"/>
    <w:rsid w:val="001A6A77"/>
    <w:rsid w:val="007F0E91"/>
    <w:rsid w:val="00876024"/>
    <w:rsid w:val="009E2530"/>
    <w:rsid w:val="00D97BDD"/>
    <w:rsid w:val="00DF1FC4"/>
    <w:rsid w:val="00ED6709"/>
    <w:rsid w:val="00F2052C"/>
    <w:rsid w:val="00FE1FDA"/>
    <w:rsid w:val="024D2875"/>
    <w:rsid w:val="02DC1DDF"/>
    <w:rsid w:val="03EE2141"/>
    <w:rsid w:val="052102F4"/>
    <w:rsid w:val="08A05F2E"/>
    <w:rsid w:val="0B4F0DC0"/>
    <w:rsid w:val="0F2A5B26"/>
    <w:rsid w:val="10924847"/>
    <w:rsid w:val="11390774"/>
    <w:rsid w:val="134C7BD2"/>
    <w:rsid w:val="191B78E6"/>
    <w:rsid w:val="1BC75406"/>
    <w:rsid w:val="1F4762B0"/>
    <w:rsid w:val="21CF7C0F"/>
    <w:rsid w:val="26705B30"/>
    <w:rsid w:val="26BE554B"/>
    <w:rsid w:val="2C674B68"/>
    <w:rsid w:val="2D6D431B"/>
    <w:rsid w:val="2DB11966"/>
    <w:rsid w:val="2E8C5F2F"/>
    <w:rsid w:val="2EAF6A86"/>
    <w:rsid w:val="30AC487E"/>
    <w:rsid w:val="35A12F48"/>
    <w:rsid w:val="36930424"/>
    <w:rsid w:val="39A17C47"/>
    <w:rsid w:val="3D8E1AD4"/>
    <w:rsid w:val="42330F04"/>
    <w:rsid w:val="460623C6"/>
    <w:rsid w:val="46FF32EA"/>
    <w:rsid w:val="479837E5"/>
    <w:rsid w:val="4C5E4F57"/>
    <w:rsid w:val="4D87403A"/>
    <w:rsid w:val="51254295"/>
    <w:rsid w:val="521B48FF"/>
    <w:rsid w:val="555B416B"/>
    <w:rsid w:val="593B51C7"/>
    <w:rsid w:val="59467ABA"/>
    <w:rsid w:val="59B50433"/>
    <w:rsid w:val="5A1E73B3"/>
    <w:rsid w:val="5BF3569E"/>
    <w:rsid w:val="5C440135"/>
    <w:rsid w:val="5EBF72A2"/>
    <w:rsid w:val="5ED9440D"/>
    <w:rsid w:val="602A70D6"/>
    <w:rsid w:val="63412AB0"/>
    <w:rsid w:val="669711DF"/>
    <w:rsid w:val="66B64DB7"/>
    <w:rsid w:val="66FD1BBE"/>
    <w:rsid w:val="68112A26"/>
    <w:rsid w:val="6AB44779"/>
    <w:rsid w:val="6FA95DE3"/>
    <w:rsid w:val="73353040"/>
    <w:rsid w:val="79AB6836"/>
    <w:rsid w:val="7DE7E211"/>
    <w:rsid w:val="7E725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qFormat/>
    <w:uiPriority w:val="0"/>
    <w:rPr>
      <w:rFonts w:ascii="Times New Roman" w:hAnsi="Times New Roman" w:eastAsia="宋体" w:cs="Times New Roman"/>
      <w:sz w:val="21"/>
      <w:lang w:val="en-US" w:eastAsia="zh-CN" w:bidi="ar-SA"/>
    </w:rPr>
  </w:style>
  <w:style w:type="paragraph" w:styleId="5">
    <w:name w:val="Body Text"/>
    <w:basedOn w:val="1"/>
    <w:next w:val="1"/>
    <w:qFormat/>
    <w:uiPriority w:val="0"/>
    <w:pPr>
      <w:ind w:firstLine="880" w:firstLineChars="200"/>
    </w:pPr>
    <w:rPr>
      <w:rFonts w:ascii="仿宋" w:hAnsi="仿宋" w:eastAsia="仿宋" w:cs="仿宋"/>
      <w:sz w:val="31"/>
      <w:szCs w:val="31"/>
      <w:lang w:eastAsia="en-US"/>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toc 4"/>
    <w:basedOn w:val="1"/>
    <w:next w:val="1"/>
    <w:qFormat/>
    <w:uiPriority w:val="0"/>
    <w:pPr>
      <w:ind w:left="1260" w:leftChars="600"/>
    </w:pPr>
  </w:style>
  <w:style w:type="paragraph" w:styleId="11">
    <w:name w:val="toc 2"/>
    <w:basedOn w:val="1"/>
    <w:next w:val="1"/>
    <w:qFormat/>
    <w:uiPriority w:val="0"/>
    <w:pPr>
      <w:ind w:left="420" w:leftChars="200"/>
    </w:pPr>
  </w:style>
  <w:style w:type="character" w:styleId="14">
    <w:name w:val="Strong"/>
    <w:basedOn w:val="13"/>
    <w:qFormat/>
    <w:uiPriority w:val="0"/>
    <w:rPr>
      <w:b/>
    </w:rPr>
  </w:style>
  <w:style w:type="character" w:styleId="15">
    <w:name w:val="annotation reference"/>
    <w:qFormat/>
    <w:uiPriority w:val="0"/>
    <w:rPr>
      <w:sz w:val="18"/>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3d1f30d8-7584-47ac-b2c4-75d80410248b</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4FA77104</paraID>
      <start xmlns="http://schemas.wps.cn/vas-ai-hub/contract-review">137</start>
      <end xmlns="http://schemas.wps.cn/vas-ai-hub/contract-review">138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2bf757d4-f77a-435c-ad3a-ac0d69fce4d2</errorID>
      <errorWord xmlns="http://schemas.wps.cn/vas-ai-hub/contract-review">节余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结余</item>
      </candidateList>
      <explain xmlns="http://schemas.wps.cn/vas-ai-hub/contract-review">存在发音相同字词的误用。</explain>
      <paraID xmlns="http://schemas.wps.cn/vas-ai-hub/contract-review">22520F9A</paraID>
      <start xmlns="http://schemas.wps.cn/vas-ai-hub/contract-review">59</start>
      <end xmlns="http://schemas.wps.cn/vas-ai-hub/contract-review">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9337fae6-f6b7-4c88-98c0-388979ea1b19</errorID>
      <errorWord xmlns="http://schemas.wps.cn/vas-ai-hub/contract-review">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业用</item>
      </candidateList>
      <explain xmlns="http://schemas.wps.cn/vas-ai-hub/contract-review"/>
      <paraID xmlns="http://schemas.wps.cn/vas-ai-hub/contract-review">122FF729</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CF31DB-C506-41F1-AE17-0313FD6CB0C9}">
  <ds:schemaRefs/>
</ds:datastoreItem>
</file>

<file path=docProps/app.xml><?xml version="1.0" encoding="utf-8"?>
<Properties xmlns="http://schemas.openxmlformats.org/officeDocument/2006/extended-properties" xmlns:vt="http://schemas.openxmlformats.org/officeDocument/2006/docPropsVTypes">
  <Template>Normal</Template>
  <Pages>20</Pages>
  <Words>1485</Words>
  <Characters>8471</Characters>
  <Lines>70</Lines>
  <Paragraphs>19</Paragraphs>
  <TotalTime>10</TotalTime>
  <ScaleCrop>false</ScaleCrop>
  <LinksUpToDate>false</LinksUpToDate>
  <CharactersWithSpaces>9937</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2026-04-12T17:38:00Z</dcterms:created>
  <dc:creator>50320</dc:creator>
  <cp:lastModifiedBy>huawei</cp:lastModifiedBy>
  <dcterms:modified xsi:type="dcterms:W3CDTF">2026-10-20T16:23:34Z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KSOTemplateDocerSaveRecord">
    <vt:lpwstr>eyJoZGlkIjoiMzBmNGY1ODI3NjcyOTY2NWVkMTVkMDJiZGRhNTAxOGYiLCJ1c2VySWQiOiI0MzUzNjE5NjQifQ==</vt:lpwstr>
  </property>
  <property fmtid="{D5CDD505-2E9C-101B-9397-08002B2CF9AE}" pid="4" name="ICV">
    <vt:lpwstr>F8B500EDEE2644FAA1631759983FEA36_13</vt:lpwstr>
  </property>
</Properties>
</file>