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8C84E">
      <w:pPr>
        <w:widowControl w:val="0"/>
        <w:kinsoku/>
        <w:wordWrap/>
        <w:autoSpaceDE/>
        <w:autoSpaceDN/>
        <w:adjustRightInd/>
        <w:spacing w:before="0" w:beforeLines="-2147483648" w:line="560" w:lineRule="exact"/>
        <w:jc w:val="center"/>
        <w:textAlignment w:val="auto"/>
        <w:rPr>
          <w:rFonts w:ascii="Times New Roman" w:hAnsi="Times New Roman" w:eastAsia="楷体" w:cs="楷体"/>
          <w:sz w:val="32"/>
          <w:szCs w:val="32"/>
          <w:lang w:eastAsia="zh-CN"/>
        </w:rPr>
      </w:pPr>
      <w:r>
        <w:rPr>
          <w:rFonts w:hint="eastAsia" w:ascii="Times New Roman" w:hAnsi="Times New Roman" w:eastAsia="方正小标宋简体" w:cs="方正小标宋简体"/>
          <w:snapToGrid/>
          <w:kern w:val="2"/>
          <w:sz w:val="44"/>
          <w:szCs w:val="44"/>
          <w:lang w:eastAsia="zh-CN"/>
        </w:rPr>
        <w:t>壤塘县水预算基准额度核算办法（试行）</w:t>
      </w:r>
    </w:p>
    <w:p w14:paraId="01B90AEB">
      <w:pPr>
        <w:widowControl w:val="0"/>
        <w:kinsoku/>
        <w:autoSpaceDE/>
        <w:autoSpaceDN/>
        <w:adjustRightInd/>
        <w:snapToGrid/>
        <w:spacing w:line="560" w:lineRule="exact"/>
        <w:jc w:val="center"/>
        <w:textAlignment w:val="auto"/>
        <w:rPr>
          <w:rFonts w:ascii="Times New Roman" w:hAnsi="Times New Roman" w:eastAsia="黑体"/>
          <w:sz w:val="32"/>
          <w:szCs w:val="32"/>
          <w:lang w:eastAsia="zh-CN"/>
        </w:rPr>
      </w:pPr>
      <w:r>
        <w:rPr>
          <w:rFonts w:hint="eastAsia" w:ascii="Times New Roman" w:hAnsi="Times New Roman" w:eastAsia="楷体" w:cs="楷体"/>
          <w:sz w:val="32"/>
          <w:szCs w:val="32"/>
          <w:lang w:eastAsia="zh-CN"/>
        </w:rPr>
        <w:t>（初稿）</w:t>
      </w:r>
    </w:p>
    <w:p w14:paraId="32E47DCA">
      <w:pPr>
        <w:widowControl w:val="0"/>
        <w:suppressAutoHyphens/>
        <w:kinsoku/>
        <w:autoSpaceDE/>
        <w:autoSpaceDN/>
        <w:adjustRightInd/>
        <w:snapToGrid/>
        <w:spacing w:before="120" w:beforeLines="50" w:after="120" w:afterLines="50" w:line="560" w:lineRule="exact"/>
        <w:jc w:val="center"/>
        <w:textAlignment w:val="auto"/>
        <w:rPr>
          <w:rFonts w:ascii="Times New Roman" w:hAnsi="Times New Roman" w:eastAsia="黑体" w:cs="Times New Roman"/>
          <w:snapToGrid/>
          <w:color w:val="auto"/>
          <w:sz w:val="36"/>
          <w:szCs w:val="36"/>
          <w:lang w:eastAsia="zh-CN"/>
        </w:rPr>
      </w:pPr>
      <w:r>
        <w:rPr>
          <w:rFonts w:hint="eastAsia" w:ascii="Times New Roman" w:hAnsi="Times New Roman" w:eastAsia="黑体" w:cs="Times New Roman"/>
          <w:snapToGrid/>
          <w:color w:val="auto"/>
          <w:sz w:val="36"/>
          <w:szCs w:val="36"/>
          <w:lang w:eastAsia="zh-CN"/>
        </w:rPr>
        <w:t>第一章 总则</w:t>
      </w:r>
    </w:p>
    <w:p w14:paraId="02BA6C81">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第一条 目的依据</w:t>
      </w:r>
    </w:p>
    <w:p w14:paraId="44E14B3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为探索建立水资源消耗总量和强度双控的市场化机制，全面落实水利部关于开展水预算管理试点的部署要求，科学、规范核定全区域和取用水户水预算基准额度，依据《</w:t>
      </w:r>
      <w:bookmarkStart w:id="0" w:name="_GoBack"/>
      <w:bookmarkEnd w:id="0"/>
      <w:r>
        <w:rPr>
          <w:rFonts w:hint="eastAsia" w:ascii="Times New Roman" w:hAnsi="Times New Roman" w:eastAsia="仿宋_GB2312" w:cs="仿宋_GB2312"/>
          <w:sz w:val="32"/>
          <w:szCs w:val="32"/>
          <w:lang w:eastAsia="zh-CN"/>
        </w:rPr>
        <w:t>中华人民共和国水法》《节约用水条例》《四川省水利厅关于印发〈扩大水预算管理试点方案〉的通知（川水函〔2026〕74号）》《四川省节约用水办公室关于印发〈水预算管理流程工作指引（试行）〉的通知》等法律法规和相关文件，制定本办法。</w:t>
      </w:r>
    </w:p>
    <w:p w14:paraId="12100363">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第二条 适用范围</w:t>
      </w:r>
    </w:p>
    <w:p w14:paraId="0B5E9521">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本办法适用于</w:t>
      </w:r>
      <w:r>
        <w:rPr>
          <w:rFonts w:hint="eastAsia" w:ascii="Times New Roman" w:hAnsi="Times New Roman" w:eastAsia="仿宋_GB2312" w:cs="仿宋_GB2312"/>
          <w:sz w:val="32"/>
          <w:szCs w:val="32"/>
          <w:lang w:val="en-US" w:eastAsia="zh-CN"/>
        </w:rPr>
        <w:t>壤塘县域</w:t>
      </w:r>
      <w:r>
        <w:rPr>
          <w:rFonts w:hint="eastAsia" w:ascii="Times New Roman" w:hAnsi="Times New Roman" w:eastAsia="仿宋_GB2312" w:cs="仿宋_GB2312"/>
          <w:sz w:val="32"/>
          <w:szCs w:val="32"/>
          <w:lang w:eastAsia="zh-CN"/>
        </w:rPr>
        <w:t>行政区域内所有取用水户的水预算基准额度的核算。</w:t>
      </w:r>
    </w:p>
    <w:p w14:paraId="468BD440">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第三条 核算原则</w:t>
      </w:r>
    </w:p>
    <w:p w14:paraId="7D5A7D1A">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水预算基准额度核算坚持“一年一预算，一年一审核”原则，应在优先保障居民生活、基本生态用水、粮食安全和农业合理用水权益前提下，按照水资源节约集约利用原则向各行业分配水资源，促进水资源向单位用水产出效益高的产业和项目倾斜。全区需预留一定的水预算额度，用于统筹保障居民生活、国家鼓励类产业、重大项目布局、生态文明建设等用水需求，以及突发事件的应急用水保障。</w:t>
      </w:r>
    </w:p>
    <w:p w14:paraId="137E5731">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第四条 核算方法</w:t>
      </w:r>
    </w:p>
    <w:p w14:paraId="70E3B94E">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取用水单位水预算额度原则上按照“加权平均+零基预算+申报额度”的方式核定，且不得超出行业用水定额标准。</w:t>
      </w:r>
    </w:p>
    <w:p w14:paraId="6B48E29D">
      <w:pPr>
        <w:widowControl w:val="0"/>
        <w:kinsoku/>
        <w:autoSpaceDE/>
        <w:autoSpaceDN/>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（一）</w:t>
      </w:r>
      <w:r>
        <w:rPr>
          <w:rFonts w:ascii="Times New Roman" w:hAnsi="Times New Roman" w:eastAsia="仿宋_GB2312" w:cs="Times New Roman"/>
          <w:sz w:val="32"/>
          <w:szCs w:val="32"/>
          <w:lang w:eastAsia="zh-CN"/>
        </w:rPr>
        <w:t>统计法</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sz w:val="32"/>
          <w:szCs w:val="32"/>
          <w:lang w:eastAsia="zh-CN"/>
        </w:rPr>
        <w:t>加权平均</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。采用取用水单位近三年实际取用水量计算加权平均值核算下一年度的水预算基准额度</w:t>
      </w:r>
      <w:r>
        <w:rPr>
          <w:rFonts w:hint="eastAsia" w:ascii="Times New Roman" w:hAnsi="Times New Roman" w:eastAsia="仿宋_GB2312" w:cs="Times New Roman"/>
          <w:sz w:val="32"/>
          <w:szCs w:val="32"/>
          <w:lang w:eastAsia="zh-CN"/>
        </w:rPr>
        <w:t>（历史用水数据不足</w:t>
      </w:r>
      <w:r>
        <w:rPr>
          <w:rFonts w:ascii="Times New Roman" w:hAnsi="Times New Roman" w:eastAsia="仿宋_GB2312" w:cs="Times New Roman"/>
          <w:sz w:val="32"/>
          <w:szCs w:val="32"/>
          <w:lang w:eastAsia="zh-CN"/>
        </w:rPr>
        <w:t>3</w:t>
      </w:r>
      <w:r>
        <w:rPr>
          <w:rFonts w:hint="eastAsia" w:ascii="Times New Roman" w:hAnsi="Times New Roman" w:eastAsia="仿宋_GB2312" w:cs="Times New Roman"/>
          <w:sz w:val="32"/>
          <w:szCs w:val="32"/>
          <w:lang w:eastAsia="zh-CN"/>
        </w:rPr>
        <w:t>年的，采用定额法核算）</w:t>
      </w:r>
      <w:r>
        <w:rPr>
          <w:rFonts w:ascii="Times New Roman" w:hAnsi="Times New Roman" w:eastAsia="仿宋_GB2312" w:cs="Times New Roman"/>
          <w:sz w:val="32"/>
          <w:szCs w:val="32"/>
          <w:lang w:eastAsia="zh-CN"/>
        </w:rPr>
        <w:t>，权重分配为上一年度用水量占比90%、前年用水量占比6%、上前年用水量占比4%。</w:t>
      </w:r>
    </w:p>
    <w:p w14:paraId="662A95D9">
      <w:pPr>
        <w:widowControl w:val="0"/>
        <w:kinsoku/>
        <w:autoSpaceDE/>
        <w:autoSpaceDN/>
        <w:adjustRightInd/>
        <w:snapToGrid/>
        <w:spacing w:before="0" w:beforeLines="-2147483648" w:line="560" w:lineRule="exact"/>
        <w:jc w:val="center"/>
        <w:textAlignment w:val="auto"/>
        <w:rPr>
          <w:rFonts w:ascii="Times New Roman" w:hAnsi="Times New Roman" w:eastAsia="仿宋_GB2312" w:cs="Times New Roman"/>
          <w:sz w:val="32"/>
          <w:szCs w:val="32"/>
          <w:lang w:eastAsia="zh-CN"/>
        </w:rPr>
      </w:pPr>
      <m:oMathPara>
        <m:oMath>
          <m:r>
            <m:rPr>
              <m:nor/>
              <m:sty m:val="p"/>
            </m:rPr>
            <w:rPr>
              <w:rFonts w:ascii="Times New Roman" w:hAnsi="Times New Roman" w:eastAsia="仿宋_GB2312" w:cs="Times New Roman"/>
              <w:b w:val="0"/>
              <w:i w:val="0"/>
              <w:sz w:val="32"/>
              <w:szCs w:val="32"/>
              <w:lang w:eastAsia="zh-CN"/>
            </w:rPr>
            <m:t>W=</m:t>
          </m:r>
          <m:sSub>
            <m:sSubPr>
              <m:ctrlPr>
                <w:rPr>
                  <w:rFonts w:ascii="Cambria Math" w:hAnsi="Cambria Math" w:eastAsia="仿宋_GB2312" w:cs="Times New Roman"/>
                  <w:sz w:val="32"/>
                  <w:szCs w:val="32"/>
                  <w:lang w:eastAsia="zh-CN"/>
                </w:rPr>
              </m:ctrlPr>
            </m:sSubPr>
            <m:e>
              <m:r>
                <m:rPr>
                  <m:nor/>
                  <m:sty m:val="p"/>
                </m:rPr>
                <w:rPr>
                  <w:rFonts w:ascii="Times New Roman" w:hAnsi="Times New Roman" w:eastAsia="仿宋_GB2312" w:cs="Times New Roman"/>
                  <w:b w:val="0"/>
                  <w:i w:val="0"/>
                  <w:sz w:val="32"/>
                  <w:szCs w:val="32"/>
                  <w:lang w:eastAsia="zh-CN"/>
                </w:rPr>
                <m:t>0.9W</m:t>
              </m:r>
              <m:ctrlPr>
                <w:rPr>
                  <w:rFonts w:ascii="Cambria Math" w:hAnsi="Cambria Math" w:eastAsia="仿宋_GB2312" w:cs="Times New Roman"/>
                  <w:sz w:val="32"/>
                  <w:szCs w:val="32"/>
                  <w:lang w:eastAsia="zh-CN"/>
                </w:rPr>
              </m:ctrlPr>
            </m:e>
            <m:sub>
              <m:r>
                <m:rPr>
                  <m:nor/>
                  <m:sty m:val="p"/>
                </m:rPr>
                <w:rPr>
                  <w:rFonts w:ascii="Times New Roman" w:hAnsi="Times New Roman" w:eastAsia="仿宋_GB2312" w:cs="Times New Roman"/>
                  <w:b w:val="0"/>
                  <w:i w:val="0"/>
                  <w:sz w:val="32"/>
                  <w:szCs w:val="32"/>
                  <w:lang w:eastAsia="zh-CN"/>
                </w:rPr>
                <m:t>1</m:t>
              </m:r>
              <m:ctrlPr>
                <w:rPr>
                  <w:rFonts w:ascii="Cambria Math" w:hAnsi="Cambria Math" w:eastAsia="仿宋_GB2312" w:cs="Times New Roman"/>
                  <w:sz w:val="32"/>
                  <w:szCs w:val="32"/>
                  <w:lang w:eastAsia="zh-CN"/>
                </w:rPr>
              </m:ctrlPr>
            </m:sub>
          </m:sSub>
          <m:r>
            <m:rPr>
              <m:nor/>
              <m:sty m:val="p"/>
            </m:rPr>
            <w:rPr>
              <w:rFonts w:ascii="Times New Roman" w:hAnsi="Times New Roman" w:eastAsia="仿宋_GB2312" w:cs="Times New Roman"/>
              <w:b w:val="0"/>
              <w:i w:val="0"/>
              <w:sz w:val="32"/>
              <w:szCs w:val="32"/>
            </w:rPr>
            <m:t>+</m:t>
          </m:r>
          <m:sSub>
            <m:sSubPr>
              <m:ctrlPr>
                <w:rPr>
                  <w:rFonts w:ascii="Cambria Math" w:hAnsi="Cambria Math" w:eastAsia="仿宋_GB2312" w:cs="Times New Roman"/>
                  <w:sz w:val="32"/>
                  <w:szCs w:val="32"/>
                  <w:lang w:eastAsia="zh-CN"/>
                </w:rPr>
              </m:ctrlPr>
            </m:sSubPr>
            <m:e>
              <m:r>
                <m:rPr>
                  <m:nor/>
                  <m:sty m:val="p"/>
                </m:rPr>
                <w:rPr>
                  <w:rFonts w:ascii="Times New Roman" w:hAnsi="Times New Roman" w:eastAsia="仿宋_GB2312" w:cs="Times New Roman"/>
                  <w:b w:val="0"/>
                  <w:i w:val="0"/>
                  <w:sz w:val="32"/>
                  <w:szCs w:val="32"/>
                  <w:lang w:eastAsia="zh-CN"/>
                </w:rPr>
                <m:t>0.06W</m:t>
              </m:r>
              <m:ctrlPr>
                <w:rPr>
                  <w:rFonts w:ascii="Cambria Math" w:hAnsi="Cambria Math" w:eastAsia="仿宋_GB2312" w:cs="Times New Roman"/>
                  <w:sz w:val="32"/>
                  <w:szCs w:val="32"/>
                  <w:lang w:eastAsia="zh-CN"/>
                </w:rPr>
              </m:ctrlPr>
            </m:e>
            <m:sub>
              <m:r>
                <m:rPr>
                  <m:nor/>
                  <m:sty m:val="p"/>
                </m:rPr>
                <w:rPr>
                  <w:rFonts w:ascii="Times New Roman" w:hAnsi="Times New Roman" w:eastAsia="仿宋_GB2312" w:cs="Times New Roman"/>
                  <w:b w:val="0"/>
                  <w:i w:val="0"/>
                  <w:sz w:val="32"/>
                  <w:szCs w:val="32"/>
                  <w:lang w:eastAsia="zh-CN"/>
                </w:rPr>
                <m:t>2</m:t>
              </m:r>
              <m:ctrlPr>
                <w:rPr>
                  <w:rFonts w:ascii="Cambria Math" w:hAnsi="Cambria Math" w:eastAsia="仿宋_GB2312" w:cs="Times New Roman"/>
                  <w:sz w:val="32"/>
                  <w:szCs w:val="32"/>
                  <w:lang w:eastAsia="zh-CN"/>
                </w:rPr>
              </m:ctrlPr>
            </m:sub>
          </m:sSub>
          <m:sSub>
            <m:sSubPr>
              <m:ctrlPr>
                <w:rPr>
                  <w:rFonts w:ascii="Cambria Math" w:hAnsi="Cambria Math" w:eastAsia="仿宋_GB2312" w:cs="Times New Roman"/>
                  <w:sz w:val="32"/>
                  <w:szCs w:val="32"/>
                  <w:lang w:eastAsia="zh-CN"/>
                </w:rPr>
              </m:ctrlPr>
            </m:sSubPr>
            <m:e>
              <m:r>
                <m:rPr>
                  <m:nor/>
                  <m:sty m:val="p"/>
                </m:rPr>
                <w:rPr>
                  <w:rFonts w:ascii="Times New Roman" w:hAnsi="Times New Roman" w:eastAsia="仿宋_GB2312" w:cs="Times New Roman"/>
                  <w:b w:val="0"/>
                  <w:i w:val="0"/>
                  <w:sz w:val="32"/>
                  <w:szCs w:val="32"/>
                </w:rPr>
                <m:t>+</m:t>
              </m:r>
              <m:r>
                <m:rPr>
                  <m:nor/>
                  <m:sty m:val="p"/>
                </m:rPr>
                <w:rPr>
                  <w:rFonts w:ascii="Times New Roman" w:hAnsi="Times New Roman" w:eastAsia="仿宋_GB2312" w:cs="Times New Roman"/>
                  <w:b w:val="0"/>
                  <w:i w:val="0"/>
                  <w:sz w:val="32"/>
                  <w:szCs w:val="32"/>
                  <w:lang w:eastAsia="zh-CN"/>
                </w:rPr>
                <m:t>0.04W</m:t>
              </m:r>
              <m:ctrlPr>
                <w:rPr>
                  <w:rFonts w:ascii="Cambria Math" w:hAnsi="Cambria Math" w:eastAsia="仿宋_GB2312" w:cs="Times New Roman"/>
                  <w:sz w:val="32"/>
                  <w:szCs w:val="32"/>
                  <w:lang w:eastAsia="zh-CN"/>
                </w:rPr>
              </m:ctrlPr>
            </m:e>
            <m:sub>
              <m:r>
                <m:rPr>
                  <m:nor/>
                  <m:sty m:val="p"/>
                </m:rPr>
                <w:rPr>
                  <w:rFonts w:ascii="Times New Roman" w:hAnsi="Times New Roman" w:eastAsia="仿宋_GB2312" w:cs="Times New Roman"/>
                  <w:b w:val="0"/>
                  <w:i w:val="0"/>
                  <w:sz w:val="32"/>
                  <w:szCs w:val="32"/>
                  <w:lang w:eastAsia="zh-CN"/>
                </w:rPr>
                <m:t>3</m:t>
              </m:r>
              <m:ctrlPr>
                <w:rPr>
                  <w:rFonts w:ascii="Cambria Math" w:hAnsi="Cambria Math" w:eastAsia="仿宋_GB2312" w:cs="Times New Roman"/>
                  <w:sz w:val="32"/>
                  <w:szCs w:val="32"/>
                  <w:lang w:eastAsia="zh-CN"/>
                </w:rPr>
              </m:ctrlPr>
            </m:sub>
          </m:sSub>
        </m:oMath>
      </m:oMathPara>
    </w:p>
    <w:p w14:paraId="0AC38691">
      <w:pPr>
        <w:widowControl w:val="0"/>
        <w:kinsoku/>
        <w:autoSpaceDE/>
        <w:autoSpaceDN/>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W——用水需求（单位：万m</w:t>
      </w:r>
      <w:r>
        <w:rPr>
          <w:rFonts w:ascii="Times New Roman" w:hAnsi="Times New Roman" w:eastAsia="仿宋_GB2312" w:cs="Times New Roman"/>
          <w:sz w:val="32"/>
          <w:szCs w:val="32"/>
          <w:vertAlign w:val="superscript"/>
          <w:lang w:eastAsia="zh-CN"/>
        </w:rPr>
        <w:t>3</w:t>
      </w:r>
      <w:r>
        <w:rPr>
          <w:rFonts w:ascii="Times New Roman" w:hAnsi="Times New Roman" w:eastAsia="仿宋_GB2312" w:cs="Times New Roman"/>
          <w:sz w:val="32"/>
          <w:szCs w:val="32"/>
          <w:lang w:eastAsia="zh-CN"/>
        </w:rPr>
        <w:t>）；</w:t>
      </w:r>
    </w:p>
    <w:p w14:paraId="5D37D4DC">
      <w:pPr>
        <w:widowControl w:val="0"/>
        <w:kinsoku/>
        <w:autoSpaceDE/>
        <w:autoSpaceDN/>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W</w:t>
      </w:r>
      <w:r>
        <w:rPr>
          <w:rFonts w:ascii="Times New Roman" w:hAnsi="Times New Roman" w:eastAsia="仿宋_GB2312" w:cs="Times New Roman"/>
          <w:sz w:val="32"/>
          <w:szCs w:val="32"/>
          <w:vertAlign w:val="subscript"/>
          <w:lang w:eastAsia="zh-CN"/>
        </w:rPr>
        <w:t>1</w:t>
      </w:r>
      <w:r>
        <w:rPr>
          <w:rFonts w:ascii="Times New Roman" w:hAnsi="Times New Roman" w:eastAsia="仿宋_GB2312" w:cs="Times New Roman"/>
          <w:sz w:val="32"/>
          <w:szCs w:val="32"/>
          <w:lang w:eastAsia="zh-CN"/>
        </w:rPr>
        <w:t xml:space="preserve"> ——上一年度实际取用水量（单位：万m</w:t>
      </w:r>
      <w:r>
        <w:rPr>
          <w:rFonts w:ascii="Times New Roman" w:hAnsi="Times New Roman" w:eastAsia="仿宋_GB2312" w:cs="Times New Roman"/>
          <w:sz w:val="32"/>
          <w:szCs w:val="32"/>
          <w:vertAlign w:val="superscript"/>
          <w:lang w:eastAsia="zh-CN"/>
        </w:rPr>
        <w:t>3</w:t>
      </w:r>
      <w:r>
        <w:rPr>
          <w:rFonts w:ascii="Times New Roman" w:hAnsi="Times New Roman" w:eastAsia="仿宋_GB2312" w:cs="Times New Roman"/>
          <w:sz w:val="32"/>
          <w:szCs w:val="32"/>
          <w:lang w:eastAsia="zh-CN"/>
        </w:rPr>
        <w:t>）。</w:t>
      </w:r>
    </w:p>
    <w:p w14:paraId="41EDEC9D">
      <w:pPr>
        <w:widowControl w:val="0"/>
        <w:kinsoku/>
        <w:autoSpaceDE/>
        <w:autoSpaceDN/>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W</w:t>
      </w:r>
      <w:r>
        <w:rPr>
          <w:rFonts w:ascii="Times New Roman" w:hAnsi="Times New Roman" w:eastAsia="仿宋_GB2312" w:cs="Times New Roman"/>
          <w:sz w:val="32"/>
          <w:szCs w:val="32"/>
          <w:vertAlign w:val="subscript"/>
          <w:lang w:eastAsia="zh-CN"/>
        </w:rPr>
        <w:t>2</w:t>
      </w:r>
      <w:r>
        <w:rPr>
          <w:rFonts w:ascii="Times New Roman" w:hAnsi="Times New Roman" w:eastAsia="仿宋_GB2312" w:cs="Times New Roman"/>
          <w:sz w:val="32"/>
          <w:szCs w:val="32"/>
          <w:lang w:eastAsia="zh-CN"/>
        </w:rPr>
        <w:t xml:space="preserve"> ——前年实际取用水量（单位：万m</w:t>
      </w:r>
      <w:r>
        <w:rPr>
          <w:rFonts w:ascii="Times New Roman" w:hAnsi="Times New Roman" w:eastAsia="仿宋_GB2312" w:cs="Times New Roman"/>
          <w:sz w:val="32"/>
          <w:szCs w:val="32"/>
          <w:vertAlign w:val="superscript"/>
          <w:lang w:eastAsia="zh-CN"/>
        </w:rPr>
        <w:t>3</w:t>
      </w:r>
      <w:r>
        <w:rPr>
          <w:rFonts w:ascii="Times New Roman" w:hAnsi="Times New Roman" w:eastAsia="仿宋_GB2312" w:cs="Times New Roman"/>
          <w:sz w:val="32"/>
          <w:szCs w:val="32"/>
          <w:lang w:eastAsia="zh-CN"/>
        </w:rPr>
        <w:t>）。</w:t>
      </w:r>
    </w:p>
    <w:p w14:paraId="5F9B2411">
      <w:pPr>
        <w:widowControl w:val="0"/>
        <w:kinsoku/>
        <w:autoSpaceDE/>
        <w:autoSpaceDN/>
        <w:adjustRightInd/>
        <w:snapToGrid/>
        <w:spacing w:line="560" w:lineRule="exact"/>
        <w:ind w:firstLine="640" w:firstLineChars="200"/>
        <w:textAlignment w:val="auto"/>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W</w:t>
      </w:r>
      <w:r>
        <w:rPr>
          <w:rFonts w:ascii="Times New Roman" w:hAnsi="Times New Roman" w:eastAsia="仿宋_GB2312" w:cs="Times New Roman"/>
          <w:sz w:val="32"/>
          <w:szCs w:val="32"/>
          <w:vertAlign w:val="subscript"/>
          <w:lang w:eastAsia="zh-CN"/>
        </w:rPr>
        <w:t>3</w:t>
      </w:r>
      <w:r>
        <w:rPr>
          <w:rFonts w:ascii="Times New Roman" w:hAnsi="Times New Roman" w:eastAsia="仿宋_GB2312" w:cs="Times New Roman"/>
          <w:sz w:val="32"/>
          <w:szCs w:val="32"/>
          <w:lang w:eastAsia="zh-CN"/>
        </w:rPr>
        <w:t xml:space="preserve"> ——上前年实际取用水量（单位：万m</w:t>
      </w:r>
      <w:r>
        <w:rPr>
          <w:rFonts w:ascii="Times New Roman" w:hAnsi="Times New Roman" w:eastAsia="仿宋_GB2312" w:cs="Times New Roman"/>
          <w:sz w:val="32"/>
          <w:szCs w:val="32"/>
          <w:vertAlign w:val="superscript"/>
          <w:lang w:eastAsia="zh-CN"/>
        </w:rPr>
        <w:t>3</w:t>
      </w:r>
      <w:r>
        <w:rPr>
          <w:rFonts w:ascii="Times New Roman" w:hAnsi="Times New Roman" w:eastAsia="仿宋_GB2312" w:cs="Times New Roman"/>
          <w:sz w:val="32"/>
          <w:szCs w:val="32"/>
          <w:lang w:eastAsia="zh-CN"/>
        </w:rPr>
        <w:t>）。</w:t>
      </w:r>
    </w:p>
    <w:p w14:paraId="5DC382A1">
      <w:pPr>
        <w:widowControl w:val="0"/>
        <w:kinsoku/>
        <w:autoSpaceDE/>
        <w:autoSpaceDN/>
        <w:adjustRightInd/>
        <w:snapToGrid/>
        <w:spacing w:line="560" w:lineRule="exact"/>
        <w:ind w:firstLine="640" w:firstLineChars="200"/>
        <w:textAlignment w:val="auto"/>
        <w:rPr>
          <w:rFonts w:hint="eastAsia" w:ascii="Times New Roman" w:hAnsi="Times New Roman" w:eastAsia="仿宋_GB2312" w:cs="Times New Roman"/>
          <w:sz w:val="32"/>
          <w:szCs w:val="24"/>
          <w:lang w:eastAsia="zh-CN"/>
        </w:rPr>
      </w:pPr>
      <w:r>
        <w:rPr>
          <w:rFonts w:hint="eastAsia" w:ascii="Times New Roman" w:hAnsi="Times New Roman" w:eastAsia="仿宋_GB2312" w:cs="Times New Roman"/>
          <w:sz w:val="32"/>
          <w:szCs w:val="32"/>
          <w:lang w:eastAsia="zh-CN"/>
        </w:rPr>
        <w:t>（二）</w:t>
      </w:r>
      <w:r>
        <w:rPr>
          <w:rFonts w:ascii="Times New Roman" w:hAnsi="Times New Roman" w:eastAsia="仿宋_GB2312" w:cs="Times New Roman"/>
          <w:sz w:val="32"/>
          <w:szCs w:val="32"/>
          <w:lang w:eastAsia="zh-CN"/>
        </w:rPr>
        <w:t>定额法</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sz w:val="32"/>
          <w:szCs w:val="32"/>
          <w:lang w:eastAsia="zh-CN"/>
        </w:rPr>
        <w:t>零基预算</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lang w:eastAsia="zh-CN"/>
        </w:rPr>
        <w:t>。采用取用水单位的下一年度生产经营计划量与相应行业用水定额标准的乘积，结合一定的调节系数，核算下一年度的水预算基准额度。相应行业用水定额以省</w:t>
      </w:r>
      <w:r>
        <w:rPr>
          <w:rFonts w:hint="eastAsia" w:ascii="Times New Roman" w:hAnsi="Times New Roman" w:eastAsia="仿宋_GB2312" w:cs="Times New Roman"/>
          <w:sz w:val="32"/>
          <w:szCs w:val="32"/>
          <w:lang w:val="en-US" w:eastAsia="zh-CN"/>
        </w:rPr>
        <w:t>州</w:t>
      </w:r>
      <w:r>
        <w:rPr>
          <w:rFonts w:ascii="Times New Roman" w:hAnsi="Times New Roman" w:eastAsia="仿宋_GB2312" w:cs="Times New Roman"/>
          <w:sz w:val="32"/>
          <w:szCs w:val="32"/>
          <w:lang w:eastAsia="zh-CN"/>
        </w:rPr>
        <w:t>最新发布的用水定额标准通用值为基准确定。</w:t>
      </w:r>
      <w:r>
        <w:rPr>
          <w:rFonts w:ascii="Times New Roman" w:hAnsi="Times New Roman" w:eastAsia="仿宋_GB2312" w:cs="Times New Roman"/>
          <w:sz w:val="32"/>
          <w:szCs w:val="32"/>
        </w:rPr>
        <w:t>计算方法如下</w:t>
      </w:r>
      <w:r>
        <w:rPr>
          <w:rFonts w:ascii="Times New Roman" w:hAnsi="Times New Roman" w:eastAsia="仿宋_GB2312" w:cs="Times New Roman"/>
          <w:sz w:val="32"/>
          <w:szCs w:val="32"/>
          <w:lang w:eastAsia="zh-CN"/>
        </w:rPr>
        <w:t>：</w:t>
      </w:r>
    </w:p>
    <w:p w14:paraId="30774E41">
      <w:pPr>
        <w:widowControl w:val="0"/>
        <w:kinsoku/>
        <w:autoSpaceDE/>
        <w:autoSpaceDN/>
        <w:adjustRightInd/>
        <w:snapToGrid/>
        <w:spacing w:before="480" w:beforeLines="200" w:after="480" w:afterLines="200" w:line="600" w:lineRule="exact"/>
        <w:textAlignment w:val="auto"/>
        <w:rPr>
          <w:rFonts w:ascii="Times New Roman" w:hAnsi="Times New Roman" w:eastAsia="仿宋_GB2312" w:cs="Times New Roman"/>
          <w:sz w:val="32"/>
          <w:szCs w:val="24"/>
        </w:rPr>
      </w:pPr>
      <m:oMathPara>
        <m:oMath>
          <m:r>
            <m:rPr>
              <m:nor/>
              <m:sty m:val="p"/>
            </m:rPr>
            <w:rPr>
              <w:rFonts w:ascii="Times New Roman" w:hAnsi="Times New Roman" w:cs="Times New Roman"/>
              <w:b w:val="0"/>
              <w:i w:val="0"/>
              <w:sz w:val="32"/>
              <w:szCs w:val="32"/>
              <w:lang w:eastAsia="zh-CN"/>
            </w:rPr>
            <m:t>W=</m:t>
          </m:r>
          <m:nary>
            <m:naryPr>
              <m:chr m:val="∑"/>
              <m:limLoc m:val="undOvr"/>
              <m:ctrlPr>
                <w:rPr>
                  <w:rFonts w:ascii="Cambria Math" w:hAnsi="Cambria Math" w:cs="Times New Roman"/>
                  <w:sz w:val="32"/>
                  <w:szCs w:val="32"/>
                  <w:lang w:eastAsia="zh-CN"/>
                </w:rPr>
              </m:ctrlPr>
            </m:naryPr>
            <m:sub>
              <m:r>
                <m:rPr>
                  <m:nor/>
                  <m:sty m:val="p"/>
                </m:rPr>
                <w:rPr>
                  <w:rFonts w:ascii="Times New Roman" w:hAnsi="Times New Roman" w:cs="Times New Roman"/>
                  <w:b w:val="0"/>
                  <w:i w:val="0"/>
                  <w:sz w:val="32"/>
                  <w:szCs w:val="32"/>
                  <w:lang w:eastAsia="zh-CN"/>
                </w:rPr>
                <m:t>i</m:t>
              </m:r>
              <m:ctrlPr>
                <w:rPr>
                  <w:rFonts w:ascii="Cambria Math" w:hAnsi="Cambria Math" w:cs="Times New Roman"/>
                  <w:sz w:val="32"/>
                  <w:szCs w:val="32"/>
                  <w:lang w:eastAsia="zh-CN"/>
                </w:rPr>
              </m:ctrlPr>
            </m:sub>
            <m:sup>
              <m:r>
                <m:rPr>
                  <m:nor/>
                  <m:sty m:val="p"/>
                </m:rPr>
                <w:rPr>
                  <w:rFonts w:ascii="Times New Roman" w:hAnsi="Times New Roman" w:cs="Times New Roman"/>
                  <w:b w:val="0"/>
                  <w:i w:val="0"/>
                  <w:sz w:val="32"/>
                  <w:szCs w:val="32"/>
                  <w:lang w:eastAsia="zh-CN"/>
                </w:rPr>
                <m:t>H</m:t>
              </m:r>
              <m:ctrlPr>
                <w:rPr>
                  <w:rFonts w:ascii="Cambria Math" w:hAnsi="Cambria Math" w:cs="Times New Roman"/>
                  <w:sz w:val="32"/>
                  <w:szCs w:val="32"/>
                  <w:lang w:eastAsia="zh-CN"/>
                </w:rPr>
              </m:ctrlPr>
            </m:sup>
            <m:e>
              <m:sSub>
                <m:sSubPr>
                  <m:ctrlPr>
                    <w:rPr>
                      <w:rFonts w:ascii="Cambria Math" w:hAnsi="Cambria Math" w:cs="Times New Roman"/>
                      <w:sz w:val="32"/>
                      <w:szCs w:val="32"/>
                      <w:lang w:eastAsia="zh-CN"/>
                    </w:rPr>
                  </m:ctrlPr>
                </m:sSubPr>
                <m:e>
                  <m:r>
                    <m:rPr>
                      <m:nor/>
                      <m:sty m:val="p"/>
                    </m:rPr>
                    <w:rPr>
                      <w:rFonts w:ascii="Times New Roman" w:hAnsi="Times New Roman" w:cs="Times New Roman"/>
                      <w:b w:val="0"/>
                      <w:i w:val="0"/>
                      <w:sz w:val="32"/>
                      <w:szCs w:val="32"/>
                      <w:lang w:eastAsia="zh-CN"/>
                    </w:rPr>
                    <m:t>q</m:t>
                  </m:r>
                  <m:ctrlPr>
                    <w:rPr>
                      <w:rFonts w:ascii="Cambria Math" w:hAnsi="Cambria Math" w:cs="Times New Roman"/>
                      <w:sz w:val="32"/>
                      <w:szCs w:val="32"/>
                      <w:lang w:eastAsia="zh-CN"/>
                    </w:rPr>
                  </m:ctrlPr>
                </m:e>
                <m:sub>
                  <m:r>
                    <m:rPr>
                      <m:nor/>
                      <m:sty m:val="p"/>
                    </m:rPr>
                    <w:rPr>
                      <w:rFonts w:ascii="Times New Roman" w:hAnsi="Times New Roman" w:cs="Times New Roman"/>
                      <w:b w:val="0"/>
                      <w:i w:val="0"/>
                      <w:sz w:val="32"/>
                      <w:szCs w:val="32"/>
                      <w:lang w:eastAsia="zh-CN"/>
                    </w:rPr>
                    <m:t>i</m:t>
                  </m:r>
                  <m:ctrlPr>
                    <w:rPr>
                      <w:rFonts w:ascii="Cambria Math" w:hAnsi="Cambria Math" w:cs="Times New Roman"/>
                      <w:sz w:val="32"/>
                      <w:szCs w:val="32"/>
                      <w:lang w:eastAsia="zh-CN"/>
                    </w:rPr>
                  </m:ctrlPr>
                </m:sub>
              </m:sSub>
              <m:sSub>
                <m:sSubPr>
                  <m:ctrlPr>
                    <w:rPr>
                      <w:rFonts w:ascii="Cambria Math" w:hAnsi="Cambria Math" w:cs="Times New Roman"/>
                      <w:sz w:val="32"/>
                      <w:szCs w:val="32"/>
                      <w:lang w:eastAsia="zh-CN"/>
                    </w:rPr>
                  </m:ctrlPr>
                </m:sSubPr>
                <m:e>
                  <m:r>
                    <m:rPr>
                      <m:nor/>
                      <m:sty m:val="p"/>
                    </m:rPr>
                    <w:rPr>
                      <w:rFonts w:ascii="Times New Roman" w:hAnsi="Times New Roman" w:cs="Times New Roman"/>
                      <w:b w:val="0"/>
                      <w:i w:val="0"/>
                      <w:sz w:val="32"/>
                      <w:szCs w:val="32"/>
                      <w:lang w:eastAsia="zh-CN"/>
                    </w:rPr>
                    <m:t>A</m:t>
                  </m:r>
                  <m:ctrlPr>
                    <w:rPr>
                      <w:rFonts w:ascii="Cambria Math" w:hAnsi="Cambria Math" w:cs="Times New Roman"/>
                      <w:sz w:val="32"/>
                      <w:szCs w:val="32"/>
                      <w:lang w:eastAsia="zh-CN"/>
                    </w:rPr>
                  </m:ctrlPr>
                </m:e>
                <m:sub>
                  <m:r>
                    <m:rPr>
                      <m:nor/>
                      <m:sty m:val="p"/>
                    </m:rPr>
                    <w:rPr>
                      <w:rFonts w:ascii="Times New Roman" w:hAnsi="Times New Roman" w:cs="Times New Roman"/>
                      <w:b w:val="0"/>
                      <w:i w:val="0"/>
                      <w:sz w:val="32"/>
                      <w:szCs w:val="32"/>
                      <w:lang w:eastAsia="zh-CN"/>
                    </w:rPr>
                    <m:t>i</m:t>
                  </m:r>
                  <m:ctrlPr>
                    <w:rPr>
                      <w:rFonts w:ascii="Cambria Math" w:hAnsi="Cambria Math" w:cs="Times New Roman"/>
                      <w:sz w:val="32"/>
                      <w:szCs w:val="32"/>
                      <w:lang w:eastAsia="zh-CN"/>
                    </w:rPr>
                  </m:ctrlPr>
                </m:sub>
              </m:sSub>
              <m:ctrlPr>
                <w:rPr>
                  <w:rFonts w:ascii="Cambria Math" w:hAnsi="Cambria Math" w:cs="Times New Roman"/>
                  <w:sz w:val="32"/>
                  <w:szCs w:val="32"/>
                  <w:lang w:eastAsia="zh-CN"/>
                </w:rPr>
              </m:ctrlPr>
            </m:e>
          </m:nary>
        </m:oMath>
      </m:oMathPara>
    </w:p>
    <w:p w14:paraId="6C01DF70">
      <w:pPr>
        <w:spacing w:before="0" w:beforeLines="-2147483648" w:line="560" w:lineRule="exact"/>
        <w:ind w:firstLine="640" w:firstLineChars="200"/>
        <w:rPr>
          <w:rFonts w:ascii="Times New Roman" w:hAnsi="Times New Roman" w:eastAsia="仿宋_GB2312" w:cs="Times New Roman"/>
          <w:sz w:val="32"/>
          <w:szCs w:val="24"/>
          <w:lang w:eastAsia="zh-CN"/>
        </w:rPr>
      </w:pPr>
      <w:r>
        <w:rPr>
          <w:rFonts w:ascii="Times New Roman" w:hAnsi="Times New Roman" w:eastAsia="仿宋_GB2312" w:cs="Times New Roman"/>
          <w:sz w:val="32"/>
          <w:szCs w:val="24"/>
          <w:lang w:eastAsia="zh-CN"/>
        </w:rPr>
        <w:t>W——用水需求（单位：万m</w:t>
      </w:r>
      <w:r>
        <w:rPr>
          <w:rFonts w:ascii="Times New Roman" w:hAnsi="Times New Roman" w:eastAsia="仿宋_GB2312" w:cs="Times New Roman"/>
          <w:sz w:val="32"/>
          <w:szCs w:val="24"/>
          <w:vertAlign w:val="superscript"/>
          <w:lang w:eastAsia="zh-CN"/>
        </w:rPr>
        <w:t>3</w:t>
      </w:r>
      <w:r>
        <w:rPr>
          <w:rFonts w:ascii="Times New Roman" w:hAnsi="Times New Roman" w:eastAsia="仿宋_GB2312" w:cs="Times New Roman"/>
          <w:sz w:val="32"/>
          <w:szCs w:val="24"/>
          <w:lang w:eastAsia="zh-CN"/>
        </w:rPr>
        <w:t>）；</w:t>
      </w:r>
    </w:p>
    <w:p w14:paraId="1EE5C500">
      <w:pPr>
        <w:spacing w:line="560" w:lineRule="exact"/>
        <w:ind w:firstLine="640" w:firstLineChars="200"/>
        <w:rPr>
          <w:rFonts w:ascii="Times New Roman" w:hAnsi="Times New Roman" w:eastAsia="仿宋_GB2312" w:cs="Times New Roman"/>
          <w:sz w:val="32"/>
          <w:szCs w:val="24"/>
          <w:lang w:eastAsia="zh-CN"/>
        </w:rPr>
      </w:pPr>
      <w:r>
        <w:rPr>
          <w:rFonts w:ascii="Times New Roman" w:hAnsi="Times New Roman" w:eastAsia="仿宋_GB2312" w:cs="Times New Roman"/>
          <w:sz w:val="32"/>
          <w:szCs w:val="24"/>
          <w:lang w:eastAsia="zh-CN"/>
        </w:rPr>
        <w:t>H——行业（用户）类型（i=1，2，3，…，t），主要包括农业、工业、生活、人工生态环境补水；</w:t>
      </w:r>
    </w:p>
    <w:p w14:paraId="6FC34778">
      <w:pPr>
        <w:spacing w:line="560" w:lineRule="exact"/>
        <w:ind w:firstLine="640" w:firstLineChars="200"/>
        <w:rPr>
          <w:rFonts w:ascii="Times New Roman" w:hAnsi="Times New Roman" w:eastAsia="仿宋_GB2312" w:cs="Times New Roman"/>
          <w:sz w:val="32"/>
          <w:szCs w:val="24"/>
          <w:lang w:eastAsia="zh-CN"/>
        </w:rPr>
      </w:pPr>
      <w:r>
        <w:rPr>
          <w:rFonts w:ascii="Times New Roman" w:hAnsi="Times New Roman" w:eastAsia="仿宋_GB2312" w:cs="Times New Roman"/>
          <w:sz w:val="32"/>
          <w:szCs w:val="24"/>
          <w:lang w:eastAsia="zh-CN"/>
        </w:rPr>
        <w:t>qi——第（i）个行业（用户）用水定额（单位：m</w:t>
      </w:r>
      <w:r>
        <w:rPr>
          <w:rFonts w:ascii="Times New Roman" w:hAnsi="Times New Roman" w:eastAsia="仿宋_GB2312" w:cs="Times New Roman"/>
          <w:sz w:val="32"/>
          <w:szCs w:val="24"/>
          <w:vertAlign w:val="superscript"/>
          <w:lang w:eastAsia="zh-CN"/>
        </w:rPr>
        <w:t>3</w:t>
      </w:r>
      <w:r>
        <w:rPr>
          <w:rFonts w:ascii="Times New Roman" w:hAnsi="Times New Roman" w:eastAsia="仿宋_GB2312" w:cs="Times New Roman"/>
          <w:sz w:val="32"/>
          <w:szCs w:val="24"/>
          <w:lang w:eastAsia="zh-CN"/>
        </w:rPr>
        <w:t>/亩、m</w:t>
      </w:r>
      <w:r>
        <w:rPr>
          <w:rFonts w:ascii="Times New Roman" w:hAnsi="Times New Roman" w:eastAsia="仿宋_GB2312" w:cs="Times New Roman"/>
          <w:sz w:val="32"/>
          <w:szCs w:val="24"/>
          <w:vertAlign w:val="superscript"/>
          <w:lang w:eastAsia="zh-CN"/>
        </w:rPr>
        <w:t>3</w:t>
      </w:r>
      <w:r>
        <w:rPr>
          <w:rFonts w:ascii="Times New Roman" w:hAnsi="Times New Roman" w:eastAsia="仿宋_GB2312" w:cs="Times New Roman"/>
          <w:sz w:val="32"/>
          <w:szCs w:val="24"/>
          <w:lang w:eastAsia="zh-CN"/>
        </w:rPr>
        <w:t>/m</w:t>
      </w:r>
      <w:r>
        <w:rPr>
          <w:rFonts w:ascii="Times New Roman" w:hAnsi="Times New Roman" w:eastAsia="仿宋_GB2312" w:cs="Times New Roman"/>
          <w:sz w:val="32"/>
          <w:szCs w:val="24"/>
          <w:vertAlign w:val="superscript"/>
          <w:lang w:eastAsia="zh-CN"/>
        </w:rPr>
        <w:t>2</w:t>
      </w:r>
      <w:r>
        <w:rPr>
          <w:rFonts w:ascii="Times New Roman" w:hAnsi="Times New Roman" w:eastAsia="仿宋_GB2312" w:cs="Times New Roman"/>
          <w:sz w:val="32"/>
          <w:szCs w:val="24"/>
          <w:lang w:eastAsia="zh-CN"/>
        </w:rPr>
        <w:t>、L/人、L/头等）；</w:t>
      </w:r>
    </w:p>
    <w:p w14:paraId="3199C8D2">
      <w:pPr>
        <w:spacing w:line="560" w:lineRule="exact"/>
        <w:ind w:firstLine="640" w:firstLineChars="200"/>
        <w:rPr>
          <w:rFonts w:ascii="Times New Roman" w:hAnsi="Times New Roman" w:eastAsia="仿宋_GB2312" w:cs="Times New Roman"/>
          <w:sz w:val="32"/>
          <w:szCs w:val="32"/>
          <w:lang w:eastAsia="zh-CN"/>
        </w:rPr>
      </w:pPr>
      <w:r>
        <w:rPr>
          <w:rFonts w:ascii="Times New Roman" w:hAnsi="Times New Roman" w:eastAsia="仿宋_GB2312" w:cs="Times New Roman"/>
          <w:sz w:val="32"/>
          <w:szCs w:val="24"/>
          <w:lang w:eastAsia="zh-CN"/>
        </w:rPr>
        <w:t>Ai——第（i）个行业（用户）面积（人数、头数）（单位：亩、m</w:t>
      </w:r>
      <w:r>
        <w:rPr>
          <w:rFonts w:ascii="Times New Roman" w:hAnsi="Times New Roman" w:eastAsia="仿宋_GB2312" w:cs="Times New Roman"/>
          <w:sz w:val="32"/>
          <w:szCs w:val="24"/>
          <w:vertAlign w:val="superscript"/>
          <w:lang w:eastAsia="zh-CN"/>
        </w:rPr>
        <w:t>2</w:t>
      </w:r>
      <w:r>
        <w:rPr>
          <w:rFonts w:ascii="Times New Roman" w:hAnsi="Times New Roman" w:eastAsia="仿宋_GB2312" w:cs="Times New Roman"/>
          <w:sz w:val="32"/>
          <w:szCs w:val="24"/>
          <w:lang w:eastAsia="zh-CN"/>
        </w:rPr>
        <w:t>、人、头等）。</w:t>
      </w:r>
    </w:p>
    <w:p w14:paraId="73B9EE70">
      <w:pPr>
        <w:widowControl w:val="0"/>
        <w:kinsoku/>
        <w:autoSpaceDE/>
        <w:autoSpaceDN/>
        <w:adjustRightInd/>
        <w:snapToGrid/>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lang w:eastAsia="zh-CN"/>
        </w:rPr>
        <w:t>综合法。采用定额法和统计法分别测算常规基准用水量，</w:t>
      </w:r>
      <w:r>
        <w:rPr>
          <w:rFonts w:hint="eastAsia" w:ascii="Times New Roman" w:hAnsi="Times New Roman" w:eastAsia="仿宋_GB2312" w:cs="Times New Roman"/>
          <w:sz w:val="32"/>
          <w:szCs w:val="32"/>
          <w:lang w:eastAsia="zh-CN"/>
        </w:rPr>
        <w:t>再参考</w:t>
      </w:r>
      <w:r>
        <w:rPr>
          <w:rFonts w:hint="eastAsia" w:ascii="Times New Roman" w:hAnsi="Times New Roman" w:eastAsia="仿宋_GB2312" w:cs="仿宋_GB2312"/>
          <w:sz w:val="32"/>
          <w:szCs w:val="32"/>
          <w:lang w:eastAsia="zh-CN"/>
        </w:rPr>
        <w:t>取用水户申报的预算额度，</w:t>
      </w:r>
      <w:r>
        <w:rPr>
          <w:rFonts w:ascii="Times New Roman" w:hAnsi="Times New Roman" w:eastAsia="仿宋_GB2312" w:cs="Times New Roman"/>
          <w:sz w:val="32"/>
          <w:szCs w:val="32"/>
          <w:lang w:eastAsia="zh-CN"/>
        </w:rPr>
        <w:t>取</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lang w:eastAsia="zh-CN"/>
        </w:rPr>
        <w:t>项测算结果中的较小值作为</w:t>
      </w:r>
      <w:r>
        <w:rPr>
          <w:rFonts w:hint="eastAsia" w:ascii="Times New Roman" w:hAnsi="Times New Roman" w:eastAsia="仿宋_GB2312" w:cs="仿宋_GB2312"/>
          <w:sz w:val="32"/>
          <w:szCs w:val="32"/>
          <w:lang w:eastAsia="zh-CN"/>
        </w:rPr>
        <w:t>最终核算参考基数，再结合用水调节系数综合确定。</w:t>
      </w:r>
    </w:p>
    <w:p w14:paraId="3EFD29D6">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第五条 核算方式</w:t>
      </w:r>
    </w:p>
    <w:p w14:paraId="113AC6FE">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农业灌区、农业大户（企业）、有取水许可证的河道外自备水取水户、年度用水量1万m</w:t>
      </w:r>
      <w:r>
        <w:rPr>
          <w:rFonts w:hint="default" w:ascii="Calibri" w:hAnsi="Calibri" w:eastAsia="仿宋_GB2312" w:cs="Calibri"/>
          <w:sz w:val="32"/>
          <w:szCs w:val="32"/>
          <w:lang w:eastAsia="zh-CN"/>
        </w:rPr>
        <w:t>³</w:t>
      </w:r>
      <w:r>
        <w:rPr>
          <w:rFonts w:hint="eastAsia" w:ascii="Times New Roman" w:hAnsi="Times New Roman" w:eastAsia="仿宋_GB2312" w:cs="仿宋_GB2312"/>
          <w:sz w:val="32"/>
          <w:szCs w:val="32"/>
          <w:lang w:eastAsia="zh-CN"/>
        </w:rPr>
        <w:t>及以上管网内非居民用水户和公共供水企业，逐个核算水预算基准额度；其他的取用水户以打捆形式，整体核算水预算基准额度。</w:t>
      </w:r>
    </w:p>
    <w:p w14:paraId="16F0C65B">
      <w:pPr>
        <w:widowControl w:val="0"/>
        <w:suppressAutoHyphens/>
        <w:kinsoku/>
        <w:autoSpaceDE/>
        <w:autoSpaceDN/>
        <w:adjustRightInd/>
        <w:snapToGrid/>
        <w:spacing w:before="120" w:beforeLines="50" w:after="120" w:afterLines="50" w:line="560" w:lineRule="exact"/>
        <w:jc w:val="center"/>
        <w:textAlignment w:val="auto"/>
        <w:rPr>
          <w:rFonts w:ascii="Times New Roman" w:hAnsi="Times New Roman" w:eastAsia="黑体" w:cs="Times New Roman"/>
          <w:snapToGrid/>
          <w:color w:val="auto"/>
          <w:sz w:val="36"/>
          <w:szCs w:val="36"/>
          <w:lang w:eastAsia="zh-CN"/>
        </w:rPr>
      </w:pPr>
      <w:r>
        <w:rPr>
          <w:rFonts w:hint="eastAsia" w:ascii="Times New Roman" w:hAnsi="Times New Roman" w:eastAsia="黑体" w:cs="Times New Roman"/>
          <w:snapToGrid/>
          <w:color w:val="auto"/>
          <w:sz w:val="36"/>
          <w:szCs w:val="36"/>
          <w:lang w:eastAsia="zh-CN"/>
        </w:rPr>
        <w:t>第二章 核算对象</w:t>
      </w:r>
    </w:p>
    <w:p w14:paraId="2DF660DC">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第六条 核算对象分类</w:t>
      </w:r>
    </w:p>
    <w:p w14:paraId="5FEE9C8E">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水预算基准额度核算对象分为区域预算对象、行业预算对象、用水户预算对象。</w:t>
      </w:r>
    </w:p>
    <w:p w14:paraId="5FF8DC1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区域水预算对象为壤塘县全境。</w:t>
      </w:r>
    </w:p>
    <w:p w14:paraId="692106EB">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行业水预算对象分为农业用水、工业用水、服务业用水、建筑业用水、居民生活用水、城乡环境用水、河湖生态用水。</w:t>
      </w:r>
    </w:p>
    <w:p w14:paraId="33136307">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用水户水预算对象分为农业用水户、工业用水户、服务业用水户、建筑业用水户、公共供水企业、城乡环境用水户、河湖生态用水户。</w:t>
      </w:r>
    </w:p>
    <w:p w14:paraId="09CACE7A">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第七条 农业预算对象</w:t>
      </w:r>
    </w:p>
    <w:p w14:paraId="445FC402">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业预算对象包括农业用水灌区、农业用水大户（企业）、农业用水散户。灌区管理单位和农业大户（企业）为独立预算对象主体；农业散户以打捆方式整体管理，并按农田灌溉、林草灌溉、畜禽养殖和水产养殖等分类打捆预算。</w:t>
      </w:r>
    </w:p>
    <w:p w14:paraId="28EF6894">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第八条 工业预算对象</w:t>
      </w:r>
    </w:p>
    <w:p w14:paraId="038BC62B">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工业预算对象包括自备水源工业取水户、公共供水管网1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以上工业用水户、公共供水管网1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以下工业用水户。自备水源工业取水户、公共供水管网1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以上工业用水户为独立预算对象主体；公共供水管网1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以下工业用水户以打捆形式整体管理，预算到公共供水企业。</w:t>
      </w:r>
    </w:p>
    <w:p w14:paraId="243E0F47">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第九条 服务业预算对象</w:t>
      </w:r>
    </w:p>
    <w:p w14:paraId="7BDCDE59">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服务业预算对象包括自备水源服务业取水户、公共供水管网1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以上服务业用水户、公共供水管网1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以下服务业用水户。自备水源服务业取水户、公共供水管网1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以上服务业用水户为独立预算对象主体；公共供水管网1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以下服务业用水户以打捆形式整体管理，预算到公共供水企业。</w:t>
      </w:r>
    </w:p>
    <w:p w14:paraId="634AE814">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第十条 建筑业预算对象</w:t>
      </w:r>
    </w:p>
    <w:p w14:paraId="4BB628E6">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建筑业预算对象包括自备水源建筑业取水户、公共供水管网1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以上建筑业用水户、公共供水管网1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以下建筑业用水户。自备水源建筑业取水户、公共供水管网1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以上建筑业用水户为独立预算对象主体；公共供水管网1</w:t>
      </w:r>
      <w:r>
        <w:rPr>
          <w:rFonts w:ascii="Times New Roman" w:hAnsi="Times New Roman" w:eastAsia="仿宋_GB2312" w:cs="Times New Roman"/>
          <w:sz w:val="32"/>
          <w:szCs w:val="32"/>
          <w:lang w:eastAsia="zh-CN"/>
        </w:rPr>
        <w:t>万m</w:t>
      </w:r>
      <w:r>
        <w:rPr>
          <w:rFonts w:ascii="Times New Roman" w:hAnsi="Times New Roman" w:eastAsia="仿宋_GB2312" w:cs="Times New Roman"/>
          <w:sz w:val="32"/>
          <w:szCs w:val="32"/>
          <w:vertAlign w:val="superscript"/>
          <w:lang w:eastAsia="zh-CN"/>
        </w:rPr>
        <w:t>3</w:t>
      </w:r>
      <w:r>
        <w:rPr>
          <w:rFonts w:hint="eastAsia" w:ascii="Times New Roman" w:hAnsi="Times New Roman" w:eastAsia="仿宋_GB2312" w:cs="仿宋_GB2312"/>
          <w:sz w:val="32"/>
          <w:szCs w:val="32"/>
          <w:lang w:eastAsia="zh-CN"/>
        </w:rPr>
        <w:t>以下建筑业用水户以打捆形式整体管理，预算到公共供水企业。</w:t>
      </w:r>
    </w:p>
    <w:p w14:paraId="264BCD08">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第十一条 居民生活预算对象</w:t>
      </w:r>
    </w:p>
    <w:p w14:paraId="45057EB4">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居民生活预算对象包括城镇居民生活用水户和农村居民生活用水户，预算对象主体为公共供水企业。</w:t>
      </w:r>
    </w:p>
    <w:p w14:paraId="7EDA8E36">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第十二条 人工河湖预算对象</w:t>
      </w:r>
    </w:p>
    <w:p w14:paraId="218EB11E">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人工河湖预算对象为区域内各人工河湖补水工程，预算对象主体为人工河湖补水工程的管理单位。</w:t>
      </w:r>
    </w:p>
    <w:p w14:paraId="7A2D9D58">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第十三条 城乡环境预算对象</w:t>
      </w:r>
    </w:p>
    <w:p w14:paraId="42FA23D1">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城乡环境预算对象包括绿地灌溉用水户和环境卫生用水，预算对象主体为区级城乡园林绿化和环境卫生的管理部门或服务承包单位。</w:t>
      </w:r>
    </w:p>
    <w:p w14:paraId="113CE3AB">
      <w:pPr>
        <w:widowControl w:val="0"/>
        <w:suppressAutoHyphens/>
        <w:kinsoku/>
        <w:autoSpaceDE/>
        <w:autoSpaceDN/>
        <w:adjustRightInd/>
        <w:snapToGrid/>
        <w:spacing w:before="120" w:beforeLines="50" w:after="120" w:afterLines="50" w:line="560" w:lineRule="exact"/>
        <w:jc w:val="center"/>
        <w:textAlignment w:val="auto"/>
        <w:rPr>
          <w:rFonts w:ascii="Times New Roman" w:hAnsi="Times New Roman" w:eastAsia="黑体" w:cs="Times New Roman"/>
          <w:snapToGrid/>
          <w:color w:val="auto"/>
          <w:sz w:val="36"/>
          <w:szCs w:val="36"/>
          <w:lang w:eastAsia="zh-CN"/>
        </w:rPr>
      </w:pPr>
      <w:r>
        <w:rPr>
          <w:rFonts w:hint="eastAsia" w:ascii="Times New Roman" w:hAnsi="Times New Roman" w:eastAsia="黑体" w:cs="Times New Roman"/>
          <w:snapToGrid/>
          <w:color w:val="auto"/>
          <w:sz w:val="36"/>
          <w:szCs w:val="36"/>
          <w:lang w:eastAsia="zh-CN"/>
        </w:rPr>
        <w:t>第三章 供给端基准额度核算</w:t>
      </w:r>
    </w:p>
    <w:p w14:paraId="67F6C952">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第十四条 总量核算</w:t>
      </w:r>
    </w:p>
    <w:p w14:paraId="01964375">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区域水预算总量=当地地表水预算量+地下水预算量+非常规水预算量+外调水预算量+跨区域交易水量。核算口径分为全口径水量、可用水量和工程技术可供水量。</w:t>
      </w:r>
    </w:p>
    <w:p w14:paraId="7CA68BDC">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第十五条 分项核算</w:t>
      </w:r>
    </w:p>
    <w:p w14:paraId="1C506525">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地表水预算的全口径水量依据第三次全国水资源调查评价成果进行确定，可用水量依据</w:t>
      </w:r>
      <w:r>
        <w:rPr>
          <w:rFonts w:hint="eastAsia" w:ascii="Times New Roman" w:hAnsi="Times New Roman" w:eastAsia="仿宋_GB2312" w:cs="Times New Roman"/>
          <w:sz w:val="32"/>
          <w:szCs w:val="32"/>
          <w:lang w:val="en-US" w:eastAsia="zh-CN"/>
        </w:rPr>
        <w:t>州</w:t>
      </w:r>
      <w:r>
        <w:rPr>
          <w:rFonts w:hint="eastAsia" w:ascii="Times New Roman" w:hAnsi="Times New Roman" w:eastAsia="仿宋_GB2312" w:cs="Times New Roman"/>
          <w:sz w:val="32"/>
          <w:szCs w:val="32"/>
          <w:lang w:eastAsia="zh-CN"/>
        </w:rPr>
        <w:t>上级水行政主管部门下达的年度主要江河流域水量分配方案或年度</w:t>
      </w:r>
      <w:r>
        <w:rPr>
          <w:rFonts w:ascii="Times New Roman" w:hAnsi="Times New Roman" w:eastAsia="仿宋_GB2312" w:cs="Times New Roman"/>
          <w:sz w:val="32"/>
          <w:szCs w:val="32"/>
          <w:lang w:eastAsia="zh-CN"/>
        </w:rPr>
        <w:t>用水总量控制指标</w:t>
      </w:r>
      <w:r>
        <w:rPr>
          <w:rFonts w:hint="eastAsia" w:ascii="Times New Roman" w:hAnsi="Times New Roman" w:eastAsia="仿宋_GB2312" w:cs="仿宋_GB2312"/>
          <w:sz w:val="32"/>
          <w:szCs w:val="32"/>
          <w:lang w:eastAsia="zh-CN"/>
        </w:rPr>
        <w:t>进行确定，工程技术可供水量依据河道外地表水取水许可批复存量和打捆散户取水量确定。</w:t>
      </w:r>
    </w:p>
    <w:p w14:paraId="534502F3">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地下水全口径水量依据第三次全国水资源调查评价成果扣除地表水与地下水重复计算量确定，可用水量依据省水利厅关于地下水管控指标确定，工程技术可供水量依据地下水取水许可批复存量和打捆散户取水量确定。</w:t>
      </w:r>
    </w:p>
    <w:p w14:paraId="198EFB32">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非常规水预算包括再生水预算、集蓄雨水预算等。再生水预算全口径水量为达到利用标准的污水处理厂现状污水处理量，集蓄雨水全口径水量为利用集蓄工程措施存储水量；可用水量为上级水行政主管部门下达的年度非常规水最低利用量；再生水工程技术可供水量为再生水输配工程的需求配置规模，集蓄雨水工程技术可供水量为预期能代替常规水源使用的水量。</w:t>
      </w:r>
    </w:p>
    <w:p w14:paraId="1D477B9E">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外调水全口径水量和可用水量依据调水工程为本区域的供水计划确定，工程技术可供水量依据外调水取水许可批复存量和本区域的需求量确定。</w:t>
      </w:r>
    </w:p>
    <w:p w14:paraId="5A5E16B1">
      <w:pPr>
        <w:widowControl w:val="0"/>
        <w:suppressAutoHyphens/>
        <w:kinsoku/>
        <w:autoSpaceDE/>
        <w:autoSpaceDN/>
        <w:adjustRightInd/>
        <w:snapToGrid/>
        <w:spacing w:before="120" w:beforeLines="50" w:after="120" w:afterLines="50" w:line="560" w:lineRule="exact"/>
        <w:jc w:val="center"/>
        <w:textAlignment w:val="auto"/>
        <w:rPr>
          <w:rFonts w:ascii="Times New Roman" w:hAnsi="Times New Roman" w:eastAsia="黑体" w:cs="Times New Roman"/>
          <w:snapToGrid/>
          <w:color w:val="auto"/>
          <w:sz w:val="36"/>
          <w:szCs w:val="36"/>
          <w:lang w:eastAsia="zh-CN"/>
        </w:rPr>
      </w:pPr>
      <w:r>
        <w:rPr>
          <w:rFonts w:hint="eastAsia" w:ascii="Times New Roman" w:hAnsi="Times New Roman" w:eastAsia="黑体" w:cs="Times New Roman"/>
          <w:snapToGrid/>
          <w:color w:val="auto"/>
          <w:sz w:val="36"/>
          <w:szCs w:val="36"/>
          <w:lang w:eastAsia="zh-CN"/>
        </w:rPr>
        <w:t>第四章 需求端基准额度核算</w:t>
      </w:r>
    </w:p>
    <w:p w14:paraId="66996A47">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第十六条 农业水预算核算</w:t>
      </w:r>
    </w:p>
    <w:p w14:paraId="268F07CD">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农业水预算基准额度核算包括农业灌区、农业用水大户（企业）水预算基准额度核算和农业散户水预算基准额度核算。</w:t>
      </w:r>
    </w:p>
    <w:p w14:paraId="582B0D6D">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（一）农业灌区水预算基准额度核算方法</w:t>
      </w:r>
    </w:p>
    <w:p w14:paraId="06AEF328">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农业灌区用水指农田灌溉和非农田灌溉水预算额度之和，计算公式为：</w:t>
      </w:r>
    </w:p>
    <w:p w14:paraId="00B2EFDF">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农田灌溉取水量=</w:t>
      </w:r>
      <w:r>
        <w:rPr>
          <w:rFonts w:hint="eastAsia" w:ascii="Times New Roman" w:hAnsi="Times New Roman" w:eastAsia="仿宋_GB2312" w:cs="仿宋_GB2312"/>
          <w:sz w:val="32"/>
          <w:szCs w:val="32"/>
          <w:lang w:val="en-US" w:eastAsia="zh-CN"/>
        </w:rPr>
        <w:t>各</w:t>
      </w:r>
      <w:r>
        <w:rPr>
          <w:rFonts w:hint="eastAsia" w:ascii="Times New Roman" w:hAnsi="Times New Roman" w:eastAsia="仿宋_GB2312" w:cs="仿宋_GB2312"/>
          <w:sz w:val="32"/>
          <w:szCs w:val="32"/>
          <w:lang w:eastAsia="zh-CN"/>
        </w:rPr>
        <w:t>作物净灌溉用水定额</w:t>
      </w:r>
      <w:r>
        <w:rPr>
          <w:rFonts w:hint="default" w:ascii="Arial" w:hAnsi="Arial" w:eastAsia="仿宋_GB2312" w:cs="Arial"/>
          <w:sz w:val="32"/>
          <w:szCs w:val="32"/>
          <w:lang w:eastAsia="zh-CN"/>
        </w:rPr>
        <w:t>÷</w:t>
      </w:r>
      <w:r>
        <w:rPr>
          <w:rFonts w:hint="eastAsia" w:ascii="Times New Roman" w:hAnsi="Times New Roman" w:eastAsia="仿宋_GB2312" w:cs="仿宋_GB2312"/>
          <w:sz w:val="32"/>
          <w:szCs w:val="32"/>
          <w:lang w:val="en-US" w:eastAsia="zh-CN"/>
        </w:rPr>
        <w:t>上年度农田灌溉水有效利用系数</w:t>
      </w:r>
      <w:r>
        <w:rPr>
          <w:rFonts w:hint="eastAsia" w:ascii="Times New Roman" w:hAnsi="Times New Roman" w:eastAsia="仿宋_GB2312" w:cs="仿宋_GB2312"/>
          <w:sz w:val="32"/>
          <w:szCs w:val="32"/>
          <w:lang w:eastAsia="zh-CN"/>
        </w:rPr>
        <w:t>×预测灌溉（</w:t>
      </w:r>
      <w:r>
        <w:rPr>
          <w:rFonts w:hint="eastAsia" w:ascii="Times New Roman" w:hAnsi="Times New Roman" w:eastAsia="仿宋_GB2312" w:cs="仿宋_GB2312"/>
          <w:sz w:val="32"/>
          <w:szCs w:val="32"/>
          <w:lang w:val="en-US" w:eastAsia="zh-CN"/>
        </w:rPr>
        <w:t>播种</w:t>
      </w:r>
      <w:r>
        <w:rPr>
          <w:rFonts w:hint="eastAsia" w:ascii="Times New Roman" w:hAnsi="Times New Roman" w:eastAsia="仿宋_GB2312" w:cs="仿宋_GB2312"/>
          <w:sz w:val="32"/>
          <w:szCs w:val="32"/>
          <w:lang w:eastAsia="zh-CN"/>
        </w:rPr>
        <w:t>）面积</w:t>
      </w:r>
    </w:p>
    <w:p w14:paraId="6BA8E32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非农田灌溉取水量=非农田灌溉用水定额×预测用水面积</w:t>
      </w:r>
    </w:p>
    <w:p w14:paraId="492012C9">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以上计算结果，再结合农业灌区近三年用水量加权平均值进行</w:t>
      </w:r>
      <w:r>
        <w:rPr>
          <w:rFonts w:hint="eastAsia" w:ascii="Times New Roman" w:hAnsi="Times New Roman" w:eastAsia="仿宋_GB2312" w:cs="仿宋_GB2312"/>
          <w:sz w:val="32"/>
          <w:szCs w:val="32"/>
          <w:lang w:val="en-US" w:eastAsia="zh-CN"/>
        </w:rPr>
        <w:t>校核</w:t>
      </w:r>
      <w:r>
        <w:rPr>
          <w:rFonts w:hint="eastAsia" w:ascii="Times New Roman" w:hAnsi="Times New Roman" w:eastAsia="仿宋_GB2312" w:cs="仿宋_GB2312"/>
          <w:sz w:val="32"/>
          <w:szCs w:val="32"/>
          <w:lang w:eastAsia="zh-CN"/>
        </w:rPr>
        <w:t>，从而核算出农业灌区水预算基准额度。</w:t>
      </w:r>
    </w:p>
    <w:p w14:paraId="6E7D7B83">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（二）农业用水大户（企业）水预算基准额度核算方法</w:t>
      </w:r>
    </w:p>
    <w:p w14:paraId="5EF85044">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农业水预算基准额度（即农田灌溉取用水量）=</w:t>
      </w:r>
      <w:r>
        <w:rPr>
          <w:rFonts w:hint="eastAsia" w:ascii="Times New Roman" w:hAnsi="Times New Roman" w:eastAsia="仿宋_GB2312" w:cs="仿宋_GB2312"/>
          <w:sz w:val="32"/>
          <w:szCs w:val="32"/>
          <w:lang w:val="en-US" w:eastAsia="zh-CN"/>
        </w:rPr>
        <w:t>各</w:t>
      </w:r>
      <w:r>
        <w:rPr>
          <w:rFonts w:hint="eastAsia" w:ascii="Times New Roman" w:hAnsi="Times New Roman" w:eastAsia="仿宋_GB2312" w:cs="仿宋_GB2312"/>
          <w:sz w:val="32"/>
          <w:szCs w:val="32"/>
          <w:lang w:eastAsia="zh-CN"/>
        </w:rPr>
        <w:t>作物净灌溉用水定额</w:t>
      </w:r>
      <w:r>
        <w:rPr>
          <w:rFonts w:hint="default" w:ascii="Arial" w:hAnsi="Arial" w:eastAsia="仿宋_GB2312" w:cs="Arial"/>
          <w:sz w:val="32"/>
          <w:szCs w:val="32"/>
          <w:lang w:eastAsia="zh-CN"/>
        </w:rPr>
        <w:t>÷</w:t>
      </w:r>
      <w:r>
        <w:rPr>
          <w:rFonts w:hint="eastAsia" w:ascii="Times New Roman" w:hAnsi="Times New Roman" w:eastAsia="仿宋_GB2312" w:cs="仿宋_GB2312"/>
          <w:sz w:val="32"/>
          <w:szCs w:val="32"/>
          <w:lang w:val="en-US" w:eastAsia="zh-CN"/>
        </w:rPr>
        <w:t>上年度农田灌溉水有效利用系数</w:t>
      </w:r>
      <w:r>
        <w:rPr>
          <w:rFonts w:hint="eastAsia" w:ascii="Times New Roman" w:hAnsi="Times New Roman" w:eastAsia="仿宋_GB2312" w:cs="仿宋_GB2312"/>
          <w:sz w:val="32"/>
          <w:szCs w:val="32"/>
          <w:lang w:eastAsia="zh-CN"/>
        </w:rPr>
        <w:t>×预测灌溉（</w:t>
      </w:r>
      <w:r>
        <w:rPr>
          <w:rFonts w:hint="eastAsia" w:ascii="Times New Roman" w:hAnsi="Times New Roman" w:eastAsia="仿宋_GB2312" w:cs="仿宋_GB2312"/>
          <w:sz w:val="32"/>
          <w:szCs w:val="32"/>
          <w:lang w:val="en-US" w:eastAsia="zh-CN"/>
        </w:rPr>
        <w:t>播种</w:t>
      </w:r>
      <w:r>
        <w:rPr>
          <w:rFonts w:hint="eastAsia" w:ascii="Times New Roman" w:hAnsi="Times New Roman" w:eastAsia="仿宋_GB2312" w:cs="仿宋_GB2312"/>
          <w:sz w:val="32"/>
          <w:szCs w:val="32"/>
          <w:lang w:eastAsia="zh-CN"/>
        </w:rPr>
        <w:t>）面积。</w:t>
      </w:r>
    </w:p>
    <w:p w14:paraId="772C2E52">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农作物净灌溉用水定额一般采用75%灌溉保证率。</w:t>
      </w:r>
    </w:p>
    <w:p w14:paraId="74F9F606">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以上计算结果，再结合农业用水大户（企业）近三年用水量加权平均值进行</w:t>
      </w:r>
      <w:r>
        <w:rPr>
          <w:rFonts w:hint="eastAsia" w:ascii="Times New Roman" w:hAnsi="Times New Roman" w:eastAsia="仿宋_GB2312" w:cs="仿宋_GB2312"/>
          <w:sz w:val="32"/>
          <w:szCs w:val="32"/>
          <w:lang w:val="en-US" w:eastAsia="zh-CN"/>
        </w:rPr>
        <w:t>校核</w:t>
      </w:r>
      <w:r>
        <w:rPr>
          <w:rFonts w:hint="eastAsia" w:ascii="Times New Roman" w:hAnsi="Times New Roman" w:eastAsia="仿宋_GB2312" w:cs="仿宋_GB2312"/>
          <w:sz w:val="32"/>
          <w:szCs w:val="32"/>
          <w:lang w:eastAsia="zh-CN"/>
        </w:rPr>
        <w:t>，从而核算出农业用水大户（企业）水预算基准额度。</w:t>
      </w:r>
    </w:p>
    <w:p w14:paraId="3460364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（三）农业散户水预算基准额度核算方法</w:t>
      </w:r>
    </w:p>
    <w:p w14:paraId="6A0FCDA9">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农业散户用水指农田灌溉、林草灌溉、牲畜养殖和水产养殖等用水户水预算额度之和，计算公式为：</w:t>
      </w:r>
    </w:p>
    <w:p w14:paraId="7B51B43E">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农田灌溉取水量=</w:t>
      </w:r>
      <w:r>
        <w:rPr>
          <w:rFonts w:hint="eastAsia" w:ascii="Times New Roman" w:hAnsi="Times New Roman" w:eastAsia="仿宋_GB2312" w:cs="仿宋_GB2312"/>
          <w:sz w:val="32"/>
          <w:szCs w:val="32"/>
          <w:lang w:val="en-US" w:eastAsia="zh-CN"/>
        </w:rPr>
        <w:t>各</w:t>
      </w:r>
      <w:r>
        <w:rPr>
          <w:rFonts w:hint="eastAsia" w:ascii="Times New Roman" w:hAnsi="Times New Roman" w:eastAsia="仿宋_GB2312" w:cs="仿宋_GB2312"/>
          <w:sz w:val="32"/>
          <w:szCs w:val="32"/>
          <w:lang w:eastAsia="zh-CN"/>
        </w:rPr>
        <w:t>作物净灌溉用水定额</w:t>
      </w:r>
      <w:r>
        <w:rPr>
          <w:rFonts w:hint="default" w:ascii="Arial" w:hAnsi="Arial" w:eastAsia="仿宋_GB2312" w:cs="Arial"/>
          <w:sz w:val="32"/>
          <w:szCs w:val="32"/>
          <w:lang w:eastAsia="zh-CN"/>
        </w:rPr>
        <w:t>÷</w:t>
      </w:r>
      <w:r>
        <w:rPr>
          <w:rFonts w:hint="eastAsia" w:ascii="Times New Roman" w:hAnsi="Times New Roman" w:eastAsia="仿宋_GB2312" w:cs="仿宋_GB2312"/>
          <w:sz w:val="32"/>
          <w:szCs w:val="32"/>
          <w:lang w:val="en-US" w:eastAsia="zh-CN"/>
        </w:rPr>
        <w:t>上年度农田灌溉水有效利用系数</w:t>
      </w:r>
      <w:r>
        <w:rPr>
          <w:rFonts w:hint="eastAsia" w:ascii="Times New Roman" w:hAnsi="Times New Roman" w:eastAsia="仿宋_GB2312" w:cs="仿宋_GB2312"/>
          <w:sz w:val="32"/>
          <w:szCs w:val="32"/>
          <w:lang w:eastAsia="zh-CN"/>
        </w:rPr>
        <w:t>×预测灌溉（</w:t>
      </w:r>
      <w:r>
        <w:rPr>
          <w:rFonts w:hint="eastAsia" w:ascii="Times New Roman" w:hAnsi="Times New Roman" w:eastAsia="仿宋_GB2312" w:cs="仿宋_GB2312"/>
          <w:sz w:val="32"/>
          <w:szCs w:val="32"/>
          <w:lang w:val="en-US" w:eastAsia="zh-CN"/>
        </w:rPr>
        <w:t>播种</w:t>
      </w:r>
      <w:r>
        <w:rPr>
          <w:rFonts w:hint="eastAsia" w:ascii="Times New Roman" w:hAnsi="Times New Roman" w:eastAsia="仿宋_GB2312" w:cs="仿宋_GB2312"/>
          <w:sz w:val="32"/>
          <w:szCs w:val="32"/>
          <w:lang w:eastAsia="zh-CN"/>
        </w:rPr>
        <w:t>）面积</w:t>
      </w:r>
    </w:p>
    <w:p w14:paraId="087CA54A">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林草灌溉取用水量=</w:t>
      </w:r>
      <w:r>
        <w:rPr>
          <w:rFonts w:hint="eastAsia" w:ascii="Times New Roman" w:hAnsi="Times New Roman" w:eastAsia="仿宋_GB2312" w:cs="仿宋_GB2312"/>
          <w:sz w:val="32"/>
          <w:szCs w:val="32"/>
          <w:lang w:val="en-US" w:eastAsia="zh-CN"/>
        </w:rPr>
        <w:t>各种类</w:t>
      </w:r>
      <w:r>
        <w:rPr>
          <w:rFonts w:hint="eastAsia" w:ascii="Times New Roman" w:hAnsi="Times New Roman" w:eastAsia="仿宋_GB2312" w:cs="仿宋_GB2312"/>
          <w:sz w:val="32"/>
          <w:szCs w:val="32"/>
          <w:lang w:eastAsia="zh-CN"/>
        </w:rPr>
        <w:t>净灌溉用水定额</w:t>
      </w:r>
      <w:r>
        <w:rPr>
          <w:rFonts w:hint="default" w:ascii="Arial" w:hAnsi="Arial" w:eastAsia="仿宋_GB2312" w:cs="Arial"/>
          <w:sz w:val="32"/>
          <w:szCs w:val="32"/>
          <w:lang w:eastAsia="zh-CN"/>
        </w:rPr>
        <w:t>÷</w:t>
      </w:r>
      <w:r>
        <w:rPr>
          <w:rFonts w:hint="eastAsia" w:ascii="Times New Roman" w:hAnsi="Times New Roman" w:eastAsia="仿宋_GB2312" w:cs="仿宋_GB2312"/>
          <w:sz w:val="32"/>
          <w:szCs w:val="32"/>
          <w:lang w:val="en-US" w:eastAsia="zh-CN"/>
        </w:rPr>
        <w:t>上年度农田灌溉水有效利用系数</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上年度统计的</w:t>
      </w:r>
      <w:r>
        <w:rPr>
          <w:rFonts w:hint="eastAsia" w:ascii="Times New Roman" w:hAnsi="Times New Roman" w:eastAsia="仿宋_GB2312" w:cs="仿宋_GB2312"/>
          <w:sz w:val="32"/>
          <w:szCs w:val="32"/>
          <w:lang w:eastAsia="zh-CN"/>
        </w:rPr>
        <w:t>林</w:t>
      </w:r>
      <w:r>
        <w:rPr>
          <w:rFonts w:hint="eastAsia" w:ascii="Times New Roman" w:hAnsi="Times New Roman" w:eastAsia="仿宋_GB2312" w:cs="仿宋_GB2312"/>
          <w:sz w:val="32"/>
          <w:szCs w:val="32"/>
          <w:lang w:val="en-US" w:eastAsia="zh-CN"/>
        </w:rPr>
        <w:t>草</w:t>
      </w:r>
      <w:r>
        <w:rPr>
          <w:rFonts w:hint="eastAsia" w:ascii="Times New Roman" w:hAnsi="Times New Roman" w:eastAsia="仿宋_GB2312" w:cs="仿宋_GB2312"/>
          <w:sz w:val="32"/>
          <w:szCs w:val="32"/>
          <w:lang w:eastAsia="zh-CN"/>
        </w:rPr>
        <w:t>灌溉面积</w:t>
      </w:r>
    </w:p>
    <w:p w14:paraId="30DDB79D">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牲畜养殖用水量=单位规模牲畜养殖用水定额×预测养殖规模</w:t>
      </w:r>
    </w:p>
    <w:p w14:paraId="44D9D08F">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水产养殖用水量=单位规模水产养殖用水定额×预测养殖规模</w:t>
      </w:r>
    </w:p>
    <w:p w14:paraId="6ADFF5F5">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农田、林草灌溉用水定额及单位规模牲畜、水产用水定额参照省</w:t>
      </w:r>
      <w:r>
        <w:rPr>
          <w:rFonts w:hint="eastAsia" w:ascii="Times New Roman" w:hAnsi="Times New Roman" w:eastAsia="仿宋_GB2312" w:cs="仿宋_GB2312"/>
          <w:sz w:val="32"/>
          <w:szCs w:val="32"/>
          <w:lang w:val="en-US" w:eastAsia="zh-CN"/>
        </w:rPr>
        <w:t>州</w:t>
      </w:r>
      <w:r>
        <w:rPr>
          <w:rFonts w:hint="eastAsia" w:ascii="Times New Roman" w:hAnsi="Times New Roman" w:eastAsia="仿宋_GB2312" w:cs="仿宋_GB2312"/>
          <w:sz w:val="32"/>
          <w:szCs w:val="32"/>
          <w:lang w:eastAsia="zh-CN"/>
        </w:rPr>
        <w:t>最新发布的用水定额标准（</w:t>
      </w:r>
      <w:r>
        <w:rPr>
          <w:rFonts w:hint="eastAsia" w:ascii="Times New Roman" w:hAnsi="Times New Roman" w:eastAsia="仿宋_GB2312" w:cs="仿宋_GB2312"/>
          <w:sz w:val="32"/>
          <w:szCs w:val="32"/>
          <w:lang w:val="en-US" w:eastAsia="zh-CN"/>
        </w:rPr>
        <w:t>取</w:t>
      </w:r>
      <w:r>
        <w:rPr>
          <w:rFonts w:hint="eastAsia" w:ascii="Times New Roman" w:hAnsi="Times New Roman" w:eastAsia="仿宋_GB2312" w:cs="仿宋_GB2312"/>
          <w:sz w:val="32"/>
          <w:szCs w:val="32"/>
          <w:lang w:eastAsia="zh-CN"/>
        </w:rPr>
        <w:t>75%灌溉保证率），农田灌溉水有效利用系数</w:t>
      </w:r>
      <w:r>
        <w:rPr>
          <w:rFonts w:hint="eastAsia" w:ascii="Times New Roman" w:hAnsi="Times New Roman" w:eastAsia="仿宋_GB2312" w:cs="仿宋_GB2312"/>
          <w:sz w:val="32"/>
          <w:szCs w:val="32"/>
          <w:lang w:val="en-US" w:eastAsia="zh-CN"/>
        </w:rPr>
        <w:t>用上年度核算上报数据</w:t>
      </w:r>
      <w:r>
        <w:rPr>
          <w:rFonts w:hint="eastAsia" w:ascii="Times New Roman" w:hAnsi="Times New Roman" w:eastAsia="仿宋_GB2312" w:cs="仿宋_GB2312"/>
          <w:sz w:val="32"/>
          <w:szCs w:val="32"/>
          <w:lang w:eastAsia="zh-CN"/>
        </w:rPr>
        <w:t>，预测灌溉（</w:t>
      </w:r>
      <w:r>
        <w:rPr>
          <w:rFonts w:hint="eastAsia" w:ascii="Times New Roman" w:hAnsi="Times New Roman" w:eastAsia="仿宋_GB2312" w:cs="仿宋_GB2312"/>
          <w:sz w:val="32"/>
          <w:szCs w:val="32"/>
          <w:lang w:val="en-US" w:eastAsia="zh-CN"/>
        </w:rPr>
        <w:t>播种</w:t>
      </w:r>
      <w:r>
        <w:rPr>
          <w:rFonts w:hint="eastAsia" w:ascii="Times New Roman" w:hAnsi="Times New Roman" w:eastAsia="仿宋_GB2312" w:cs="仿宋_GB2312"/>
          <w:sz w:val="32"/>
          <w:szCs w:val="32"/>
          <w:lang w:eastAsia="zh-CN"/>
        </w:rPr>
        <w:t>）面积、预测养殖规模由区级农业主管部门提供。</w:t>
      </w:r>
    </w:p>
    <w:p w14:paraId="1CCE1A43">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以上计算结果，再结合农业散户近三年用水量加权平均值进行</w:t>
      </w:r>
      <w:r>
        <w:rPr>
          <w:rFonts w:hint="eastAsia" w:ascii="Times New Roman" w:hAnsi="Times New Roman" w:eastAsia="仿宋_GB2312" w:cs="仿宋_GB2312"/>
          <w:sz w:val="32"/>
          <w:szCs w:val="32"/>
          <w:lang w:val="en-US" w:eastAsia="zh-CN"/>
        </w:rPr>
        <w:t>校核</w:t>
      </w:r>
      <w:r>
        <w:rPr>
          <w:rFonts w:hint="eastAsia" w:ascii="Times New Roman" w:hAnsi="Times New Roman" w:eastAsia="仿宋_GB2312" w:cs="仿宋_GB2312"/>
          <w:sz w:val="32"/>
          <w:szCs w:val="32"/>
          <w:lang w:eastAsia="zh-CN"/>
        </w:rPr>
        <w:t>，从而核算出农业散户水预算基准额度。</w:t>
      </w:r>
    </w:p>
    <w:p w14:paraId="29D23882">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第十七条 工业水预算核算</w:t>
      </w:r>
    </w:p>
    <w:p w14:paraId="00CEA79A">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工业水预算基准额度核算包括工业独立户水预算基准额度核算和工业打捆户水预算基准额度核算。</w:t>
      </w:r>
    </w:p>
    <w:p w14:paraId="1300604B">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（一）工业独立户水预算基准额度核算方法</w:t>
      </w:r>
    </w:p>
    <w:p w14:paraId="107ACA35">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Times New Roman"/>
          <w:sz w:val="32"/>
          <w:szCs w:val="32"/>
          <w:lang w:eastAsia="zh-CN"/>
        </w:rPr>
        <w:t>采用</w:t>
      </w:r>
      <w:r>
        <w:rPr>
          <w:rFonts w:ascii="Times New Roman" w:hAnsi="Times New Roman" w:eastAsia="仿宋_GB2312" w:cs="Times New Roman"/>
          <w:sz w:val="32"/>
          <w:szCs w:val="32"/>
          <w:lang w:eastAsia="zh-CN"/>
        </w:rPr>
        <w:t>定额法</w:t>
      </w:r>
      <w:r>
        <w:rPr>
          <w:rFonts w:hint="eastAsia" w:ascii="Times New Roman" w:hAnsi="Times New Roman" w:eastAsia="仿宋_GB2312" w:cs="Times New Roman"/>
          <w:sz w:val="32"/>
          <w:szCs w:val="32"/>
          <w:lang w:eastAsia="zh-CN"/>
        </w:rPr>
        <w:t>和统计法分别对</w:t>
      </w:r>
      <w:r>
        <w:rPr>
          <w:rFonts w:hint="eastAsia" w:ascii="Times New Roman" w:hAnsi="Times New Roman" w:eastAsia="仿宋_GB2312" w:cs="仿宋_GB2312"/>
          <w:sz w:val="32"/>
          <w:szCs w:val="32"/>
          <w:lang w:eastAsia="zh-CN"/>
        </w:rPr>
        <w:t>工业独立户水预算额度进行测算，再应用</w:t>
      </w:r>
      <w:r>
        <w:rPr>
          <w:rFonts w:ascii="Times New Roman" w:hAnsi="Times New Roman" w:eastAsia="仿宋_GB2312" w:cs="Times New Roman"/>
          <w:sz w:val="32"/>
          <w:szCs w:val="32"/>
          <w:lang w:eastAsia="zh-CN"/>
        </w:rPr>
        <w:t>综合法</w:t>
      </w:r>
      <w:r>
        <w:rPr>
          <w:rFonts w:hint="eastAsia" w:ascii="Times New Roman" w:hAnsi="Times New Roman" w:eastAsia="仿宋_GB2312" w:cs="仿宋_GB2312"/>
          <w:sz w:val="32"/>
          <w:szCs w:val="32"/>
          <w:lang w:eastAsia="zh-CN"/>
        </w:rPr>
        <w:t>核算出工业独立户水预算基准额度。</w:t>
      </w:r>
    </w:p>
    <w:p w14:paraId="51AC11A2">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（二）工业打捆户水预算基准额度核算方法</w:t>
      </w:r>
    </w:p>
    <w:p w14:paraId="4C2D0942">
      <w:pPr>
        <w:kinsoku/>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上年度实际用水量×（1+预估增长率）×调整系数。其中，预估增长率由区统计主管部门根据上一年度产业增长率提供，调整系数由县级水行政主管部门会同同级城市供水主管部门根据区域水资源供需状况、行业节水水平等因素综合核定，未核定前默认为</w:t>
      </w:r>
      <w:r>
        <w:rPr>
          <w:rFonts w:ascii="Times New Roman" w:hAnsi="Times New Roman" w:eastAsia="仿宋_GB2312" w:cs="仿宋_GB2312"/>
          <w:sz w:val="32"/>
          <w:szCs w:val="32"/>
          <w:lang w:eastAsia="zh-CN"/>
        </w:rPr>
        <w:t>1</w:t>
      </w:r>
      <w:r>
        <w:rPr>
          <w:rFonts w:hint="eastAsia" w:ascii="Times New Roman" w:hAnsi="Times New Roman" w:eastAsia="仿宋_GB2312" w:cs="仿宋_GB2312"/>
          <w:sz w:val="32"/>
          <w:szCs w:val="32"/>
          <w:lang w:eastAsia="zh-CN"/>
        </w:rPr>
        <w:t>。</w:t>
      </w:r>
    </w:p>
    <w:p w14:paraId="21DF6C37">
      <w:pPr>
        <w:rPr>
          <w:rFonts w:hint="eastAsia" w:ascii="Times New Roman" w:hAnsi="Times New Roman" w:eastAsia="黑体" w:cs="黑体"/>
          <w:sz w:val="32"/>
          <w:szCs w:val="32"/>
          <w:lang w:eastAsia="zh-CN"/>
        </w:rPr>
      </w:pPr>
      <w:r>
        <w:rPr>
          <w:rFonts w:hint="eastAsia" w:ascii="Times New Roman" w:hAnsi="Times New Roman" w:eastAsia="黑体" w:cs="黑体"/>
          <w:sz w:val="32"/>
          <w:szCs w:val="32"/>
          <w:lang w:eastAsia="zh-CN"/>
        </w:rPr>
        <w:br w:type="page"/>
      </w:r>
    </w:p>
    <w:p w14:paraId="506813C0">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第十八条 服务业水预算核算</w:t>
      </w:r>
    </w:p>
    <w:p w14:paraId="43CA9AD2">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服务业水预算基准额度核算包括服务业独立户水预算基准额度核算和服务业打捆户水预算基准额度核算。</w:t>
      </w:r>
    </w:p>
    <w:p w14:paraId="4EA23D9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（一）服务业独立户水预算基准额度核算方法</w:t>
      </w:r>
    </w:p>
    <w:p w14:paraId="412262E9">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Times New Roman"/>
          <w:sz w:val="32"/>
          <w:szCs w:val="32"/>
          <w:lang w:eastAsia="zh-CN"/>
        </w:rPr>
        <w:t>采用</w:t>
      </w:r>
      <w:r>
        <w:rPr>
          <w:rFonts w:ascii="Times New Roman" w:hAnsi="Times New Roman" w:eastAsia="仿宋_GB2312" w:cs="Times New Roman"/>
          <w:sz w:val="32"/>
          <w:szCs w:val="32"/>
          <w:lang w:eastAsia="zh-CN"/>
        </w:rPr>
        <w:t>定额法</w:t>
      </w:r>
      <w:r>
        <w:rPr>
          <w:rFonts w:hint="eastAsia" w:ascii="Times New Roman" w:hAnsi="Times New Roman" w:eastAsia="仿宋_GB2312" w:cs="Times New Roman"/>
          <w:sz w:val="32"/>
          <w:szCs w:val="32"/>
          <w:lang w:eastAsia="zh-CN"/>
        </w:rPr>
        <w:t>和统计法分别对</w:t>
      </w:r>
      <w:r>
        <w:rPr>
          <w:rFonts w:hint="eastAsia" w:ascii="Times New Roman" w:hAnsi="Times New Roman" w:eastAsia="仿宋_GB2312" w:cs="仿宋_GB2312"/>
          <w:sz w:val="32"/>
          <w:szCs w:val="32"/>
          <w:lang w:eastAsia="zh-CN"/>
        </w:rPr>
        <w:t>服务业独立户水预算额度进行测算，再应用</w:t>
      </w:r>
      <w:r>
        <w:rPr>
          <w:rFonts w:ascii="Times New Roman" w:hAnsi="Times New Roman" w:eastAsia="仿宋_GB2312" w:cs="Times New Roman"/>
          <w:sz w:val="32"/>
          <w:szCs w:val="32"/>
          <w:lang w:eastAsia="zh-CN"/>
        </w:rPr>
        <w:t>综合法</w:t>
      </w:r>
      <w:r>
        <w:rPr>
          <w:rFonts w:hint="eastAsia" w:ascii="Times New Roman" w:hAnsi="Times New Roman" w:eastAsia="仿宋_GB2312" w:cs="仿宋_GB2312"/>
          <w:sz w:val="32"/>
          <w:szCs w:val="32"/>
          <w:lang w:eastAsia="zh-CN"/>
        </w:rPr>
        <w:t>核算出服务业独立户水预算基准额度。</w:t>
      </w:r>
    </w:p>
    <w:p w14:paraId="5F396B4B">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（二）服务业打捆户水预算基准额度核算方法</w:t>
      </w:r>
    </w:p>
    <w:p w14:paraId="28024157">
      <w:pPr>
        <w:kinsoku/>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上年度实际用水量×（1+预估增长率）×调整系数。其中，预估增长率由区统计主管部门根据上一年度产业增长率提供，调整系数由县级水行政主管部门会同同级城市供水主管部门根据区域水资源供需状况、行业节水水平等因素综合核定，未核定前默认为</w:t>
      </w:r>
      <w:r>
        <w:rPr>
          <w:rFonts w:ascii="Times New Roman" w:hAnsi="Times New Roman" w:eastAsia="仿宋_GB2312" w:cs="仿宋_GB2312"/>
          <w:sz w:val="32"/>
          <w:szCs w:val="32"/>
          <w:lang w:eastAsia="zh-CN"/>
        </w:rPr>
        <w:t>1</w:t>
      </w:r>
      <w:r>
        <w:rPr>
          <w:rFonts w:hint="eastAsia" w:ascii="Times New Roman" w:hAnsi="Times New Roman" w:eastAsia="仿宋_GB2312" w:cs="仿宋_GB2312"/>
          <w:sz w:val="32"/>
          <w:szCs w:val="32"/>
          <w:lang w:eastAsia="zh-CN"/>
        </w:rPr>
        <w:t>。</w:t>
      </w:r>
    </w:p>
    <w:p w14:paraId="082E038A">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第十九条 建筑业水预算核算</w:t>
      </w:r>
    </w:p>
    <w:p w14:paraId="684A86B1">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建筑业水预算基准额度核算包括建筑业独立户水预算基准额度核算和建筑业打捆户水预算基准额度核算。</w:t>
      </w:r>
    </w:p>
    <w:p w14:paraId="0E1E3209">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（一）建筑业独立户水预算基准额度核算方法</w:t>
      </w:r>
    </w:p>
    <w:p w14:paraId="37722ECE">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Times New Roman"/>
          <w:sz w:val="32"/>
          <w:szCs w:val="32"/>
          <w:lang w:eastAsia="zh-CN"/>
        </w:rPr>
        <w:t>采用</w:t>
      </w:r>
      <w:r>
        <w:rPr>
          <w:rFonts w:ascii="Times New Roman" w:hAnsi="Times New Roman" w:eastAsia="仿宋_GB2312" w:cs="Times New Roman"/>
          <w:sz w:val="32"/>
          <w:szCs w:val="32"/>
          <w:lang w:eastAsia="zh-CN"/>
        </w:rPr>
        <w:t>定额法</w:t>
      </w:r>
      <w:r>
        <w:rPr>
          <w:rFonts w:hint="eastAsia" w:ascii="Times New Roman" w:hAnsi="Times New Roman" w:eastAsia="仿宋_GB2312" w:cs="仿宋_GB2312"/>
          <w:sz w:val="32"/>
          <w:szCs w:val="32"/>
          <w:lang w:eastAsia="zh-CN"/>
        </w:rPr>
        <w:t>核算出建筑业独立户水预算基准额度。</w:t>
      </w:r>
    </w:p>
    <w:p w14:paraId="327A5CC5">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（二）建筑业打捆户水预算基准额度核算方法</w:t>
      </w:r>
    </w:p>
    <w:p w14:paraId="3038CDAD">
      <w:pPr>
        <w:kinsoku/>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上年度实际用水量×（1+预估增长率）×调整系数。其中，预估增长率由区统计主管部门根据上一年度产业增长率提供，调整系数由县级水行政主管部门会同同级城市供水主管部门根据区域水资源供需状况、行业节水水平等因素综合核定，未核定前默认为</w:t>
      </w:r>
      <w:r>
        <w:rPr>
          <w:rFonts w:ascii="Times New Roman" w:hAnsi="Times New Roman" w:eastAsia="仿宋_GB2312" w:cs="仿宋_GB2312"/>
          <w:sz w:val="32"/>
          <w:szCs w:val="32"/>
          <w:lang w:eastAsia="zh-CN"/>
        </w:rPr>
        <w:t>1</w:t>
      </w:r>
      <w:r>
        <w:rPr>
          <w:rFonts w:hint="eastAsia" w:ascii="Times New Roman" w:hAnsi="Times New Roman" w:eastAsia="仿宋_GB2312" w:cs="仿宋_GB2312"/>
          <w:sz w:val="32"/>
          <w:szCs w:val="32"/>
          <w:lang w:eastAsia="zh-CN"/>
        </w:rPr>
        <w:t>。</w:t>
      </w:r>
    </w:p>
    <w:p w14:paraId="5C014FD6">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第二十条 居民生活水预算核算</w:t>
      </w:r>
    </w:p>
    <w:p w14:paraId="3960AC85">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居民生活水预算基准额度核算包括城镇居民生活用水户水预算基准额度核算和农村居民生活用水户水预算基准额度核算。</w:t>
      </w:r>
    </w:p>
    <w:p w14:paraId="4CC733BF">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（一）城镇居民生活用水户水预算基准额度核算方法</w:t>
      </w:r>
    </w:p>
    <w:p w14:paraId="11190087">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Times New Roman"/>
          <w:sz w:val="32"/>
          <w:szCs w:val="32"/>
          <w:lang w:eastAsia="zh-CN"/>
        </w:rPr>
        <w:t>城镇居民生活用水户水预算基准额度=城镇居民生活用水定额×</w:t>
      </w:r>
      <w:r>
        <w:rPr>
          <w:rFonts w:hint="eastAsia" w:ascii="Times New Roman" w:hAnsi="Times New Roman" w:eastAsia="仿宋_GB2312" w:cs="仿宋_GB2312"/>
          <w:sz w:val="32"/>
          <w:szCs w:val="32"/>
          <w:lang w:eastAsia="zh-CN"/>
        </w:rPr>
        <w:t>城镇居民常住人口</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sz w:val="32"/>
          <w:szCs w:val="32"/>
          <w:lang w:eastAsia="zh-CN"/>
        </w:rPr>
        <w:t>（1+9%）。</w:t>
      </w:r>
    </w:p>
    <w:p w14:paraId="0736023B">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（二）农村居民生活用水户水预算基准额度核算方法</w:t>
      </w:r>
    </w:p>
    <w:p w14:paraId="3E0033FA">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农村</w:t>
      </w:r>
      <w:r>
        <w:rPr>
          <w:rFonts w:hint="eastAsia" w:ascii="Times New Roman" w:hAnsi="Times New Roman" w:eastAsia="仿宋_GB2312" w:cs="Times New Roman"/>
          <w:sz w:val="32"/>
          <w:szCs w:val="32"/>
          <w:lang w:eastAsia="zh-CN"/>
        </w:rPr>
        <w:t>居民生活用水户水预算基准额度=</w:t>
      </w:r>
      <w:r>
        <w:rPr>
          <w:rFonts w:hint="eastAsia" w:ascii="Times New Roman" w:hAnsi="Times New Roman" w:eastAsia="仿宋_GB2312" w:cs="仿宋_GB2312"/>
          <w:sz w:val="32"/>
          <w:szCs w:val="32"/>
          <w:lang w:eastAsia="zh-CN"/>
        </w:rPr>
        <w:t>农村</w:t>
      </w:r>
      <w:r>
        <w:rPr>
          <w:rFonts w:hint="eastAsia" w:ascii="Times New Roman" w:hAnsi="Times New Roman" w:eastAsia="仿宋_GB2312" w:cs="Times New Roman"/>
          <w:sz w:val="32"/>
          <w:szCs w:val="32"/>
          <w:lang w:eastAsia="zh-CN"/>
        </w:rPr>
        <w:t>居民生活用水定额×</w:t>
      </w:r>
      <w:r>
        <w:rPr>
          <w:rFonts w:hint="eastAsia" w:ascii="Times New Roman" w:hAnsi="Times New Roman" w:eastAsia="仿宋_GB2312" w:cs="仿宋_GB2312"/>
          <w:sz w:val="32"/>
          <w:szCs w:val="32"/>
          <w:lang w:eastAsia="zh-CN"/>
        </w:rPr>
        <w:t>农村居民常住人口</w:t>
      </w:r>
      <w:r>
        <w:rPr>
          <w:rFonts w:hint="eastAsia" w:ascii="Times New Roman" w:hAnsi="Times New Roman" w:eastAsia="仿宋_GB2312" w:cs="Times New Roman"/>
          <w:sz w:val="32"/>
          <w:szCs w:val="32"/>
          <w:lang w:eastAsia="zh-CN"/>
        </w:rPr>
        <w:t>×</w:t>
      </w:r>
      <w:r>
        <w:rPr>
          <w:rFonts w:hint="eastAsia" w:ascii="Times New Roman" w:hAnsi="Times New Roman" w:eastAsia="仿宋_GB2312" w:cs="仿宋_GB2312"/>
          <w:sz w:val="32"/>
          <w:szCs w:val="32"/>
          <w:lang w:eastAsia="zh-CN"/>
        </w:rPr>
        <w:t>（1+9%）。</w:t>
      </w:r>
    </w:p>
    <w:p w14:paraId="28D6CD8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城镇居民和农村居民常住人口可参照上年度《国民经济和社会发展统计公报》，管网漏损率取9%。</w:t>
      </w:r>
    </w:p>
    <w:p w14:paraId="53983186">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第二十一条 河湖生态水预算核算</w:t>
      </w:r>
    </w:p>
    <w:p w14:paraId="10B0CE54">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根据河湖近年实际补水量，综合考虑河湖水生态保护用水需求、非常规水利用条件等因素，确定河湖水预算基准额度。</w:t>
      </w:r>
    </w:p>
    <w:p w14:paraId="69E82E86">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第二十二条 城乡环境水预算核算</w:t>
      </w:r>
    </w:p>
    <w:p w14:paraId="0B4DCBD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城乡环境用水户水预算基准额度核算包括绿地灌溉用水户和环境卫生用水户。</w:t>
      </w:r>
    </w:p>
    <w:p w14:paraId="635E30EF">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绿地灌溉用水户水预算基准额度=绿化用水定额×预测用水面积，绿化用水定额参照</w:t>
      </w:r>
      <w:r>
        <w:rPr>
          <w:rFonts w:ascii="Times New Roman" w:hAnsi="Times New Roman" w:eastAsia="仿宋_GB2312" w:cs="Times New Roman"/>
          <w:sz w:val="32"/>
          <w:szCs w:val="32"/>
          <w:lang w:eastAsia="zh-CN"/>
        </w:rPr>
        <w:t>省</w:t>
      </w:r>
      <w:r>
        <w:rPr>
          <w:rFonts w:hint="eastAsia" w:ascii="Times New Roman" w:hAnsi="Times New Roman" w:eastAsia="仿宋_GB2312" w:cs="Times New Roman"/>
          <w:sz w:val="32"/>
          <w:szCs w:val="32"/>
          <w:lang w:val="en-US" w:eastAsia="zh-CN"/>
        </w:rPr>
        <w:t>州</w:t>
      </w:r>
      <w:r>
        <w:rPr>
          <w:rFonts w:ascii="Times New Roman" w:hAnsi="Times New Roman" w:eastAsia="仿宋_GB2312" w:cs="Times New Roman"/>
          <w:sz w:val="32"/>
          <w:szCs w:val="32"/>
          <w:lang w:eastAsia="zh-CN"/>
        </w:rPr>
        <w:t>最新发布的用水定额标准</w:t>
      </w:r>
      <w:r>
        <w:rPr>
          <w:rFonts w:hint="eastAsia" w:ascii="Times New Roman" w:hAnsi="Times New Roman" w:eastAsia="仿宋_GB2312" w:cs="Times New Roman"/>
          <w:sz w:val="32"/>
          <w:szCs w:val="32"/>
          <w:lang w:val="en-US" w:eastAsia="zh-CN"/>
        </w:rPr>
        <w:t>通用值</w:t>
      </w:r>
      <w:r>
        <w:rPr>
          <w:rFonts w:hint="eastAsia" w:ascii="Times New Roman" w:hAnsi="Times New Roman" w:eastAsia="仿宋_GB2312" w:cs="仿宋_GB2312"/>
          <w:sz w:val="32"/>
          <w:szCs w:val="32"/>
          <w:lang w:eastAsia="zh-CN"/>
        </w:rPr>
        <w:t>，预测用水面积由区级园林绿化主管部门提供。</w:t>
      </w:r>
    </w:p>
    <w:p w14:paraId="06E312E7">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环境卫生用水户水预算基准额度=浇洒道路和场地用水定额×预测用水面积，浇洒道路和场地用水定额参照</w:t>
      </w:r>
      <w:r>
        <w:rPr>
          <w:rFonts w:ascii="Times New Roman" w:hAnsi="Times New Roman" w:eastAsia="仿宋_GB2312" w:cs="Times New Roman"/>
          <w:sz w:val="32"/>
          <w:szCs w:val="32"/>
          <w:lang w:eastAsia="zh-CN"/>
        </w:rPr>
        <w:t>省市最新发布的用水定额标准</w:t>
      </w:r>
      <w:r>
        <w:rPr>
          <w:rFonts w:hint="eastAsia" w:ascii="Times New Roman" w:hAnsi="Times New Roman" w:eastAsia="仿宋_GB2312" w:cs="Times New Roman"/>
          <w:sz w:val="32"/>
          <w:szCs w:val="32"/>
          <w:lang w:val="en-US" w:eastAsia="zh-CN"/>
        </w:rPr>
        <w:t>通用值</w:t>
      </w:r>
      <w:r>
        <w:rPr>
          <w:rFonts w:hint="eastAsia" w:ascii="Times New Roman" w:hAnsi="Times New Roman" w:eastAsia="仿宋_GB2312" w:cs="仿宋_GB2312"/>
          <w:sz w:val="32"/>
          <w:szCs w:val="32"/>
          <w:lang w:eastAsia="zh-CN"/>
        </w:rPr>
        <w:t>，预测用水面积由区级市政主管部门提供。</w:t>
      </w:r>
    </w:p>
    <w:p w14:paraId="5058D4A6">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第二十三条 公共供水企业水预算核算</w:t>
      </w:r>
    </w:p>
    <w:p w14:paraId="7AE2CF00">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供水企业水预算基准额度主要包括售水量、免费供水量、水厂制水损失及自用水量、输配水漏损水量。售水量包含所供城镇居民、农村居民、工业、服务业、建筑业和城乡环境等行业用水量。另外，免费供水量、水厂制水损失及自用水量、输配水漏损水量预估量需按比例分摊到售水量的各行业中。</w:t>
      </w:r>
    </w:p>
    <w:p w14:paraId="6A2C2603">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供水企业水预算基准额度=城镇居民生活用水预算基准额度+农村居民生活用水预算基准额度+管网内工业、服务业、建筑业和城乡环境用水户的管网水预算基准额度之和。</w:t>
      </w:r>
    </w:p>
    <w:p w14:paraId="3ABB3A66">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第二十四条 非常规水鼓励政策</w:t>
      </w:r>
    </w:p>
    <w:p w14:paraId="3BBC37D1">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鼓励扩大非常规水源利用领域和规模，推动再生水融入工业生产及生态环境补水体系。非常规水可全部纳入水预算基准额度。</w:t>
      </w:r>
    </w:p>
    <w:p w14:paraId="3EB621D2">
      <w:pPr>
        <w:widowControl w:val="0"/>
        <w:suppressAutoHyphens/>
        <w:kinsoku/>
        <w:autoSpaceDE/>
        <w:autoSpaceDN/>
        <w:adjustRightInd/>
        <w:snapToGrid/>
        <w:spacing w:before="120" w:beforeLines="50" w:after="120" w:afterLines="50" w:line="560" w:lineRule="exact"/>
        <w:jc w:val="center"/>
        <w:textAlignment w:val="auto"/>
        <w:rPr>
          <w:rFonts w:ascii="Times New Roman" w:hAnsi="Times New Roman" w:eastAsia="黑体" w:cs="Times New Roman"/>
          <w:snapToGrid/>
          <w:color w:val="auto"/>
          <w:sz w:val="36"/>
          <w:szCs w:val="36"/>
          <w:lang w:eastAsia="zh-CN"/>
        </w:rPr>
      </w:pPr>
      <w:r>
        <w:rPr>
          <w:rFonts w:hint="eastAsia" w:ascii="Times New Roman" w:hAnsi="Times New Roman" w:eastAsia="黑体" w:cs="Times New Roman"/>
          <w:snapToGrid/>
          <w:color w:val="auto"/>
          <w:sz w:val="36"/>
          <w:szCs w:val="36"/>
          <w:lang w:eastAsia="zh-CN"/>
        </w:rPr>
        <w:t>第五章 供需两端基准额度汇总核算</w:t>
      </w:r>
    </w:p>
    <w:p w14:paraId="6C3C4768">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第二十五条 需求端额度汇总方法</w:t>
      </w:r>
    </w:p>
    <w:p w14:paraId="5F8C63FB">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需求端额度汇总包括农业额度、工业额度、服务业额度、建筑业额度、居民生活额度、城乡环境用水额度、河湖生态用水额度等汇总。</w:t>
      </w:r>
    </w:p>
    <w:p w14:paraId="27E4701F">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农业用水预算基准额度由农业灌区、农业一类大户（企业）用水、农业散户用水的基准额度汇总而成。</w:t>
      </w:r>
    </w:p>
    <w:p w14:paraId="01AE2A3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工业用水预算基准额度由规模以上工业用水户、规模以下工业用水户的基准额度汇总而成。</w:t>
      </w:r>
    </w:p>
    <w:p w14:paraId="1196F287">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服务业用水预算基准额度由规模以上服务业用水户、规模以下服务业用水户的基准额度汇总而成。</w:t>
      </w:r>
    </w:p>
    <w:p w14:paraId="66E2D765">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建筑业用水预算基准额度由规模以上建筑业用水户、规模以下建筑业用水户的基准额度汇总而成。</w:t>
      </w:r>
    </w:p>
    <w:p w14:paraId="276E30EF">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居民生活用水预算基准额度由城镇居民生活用水户、农村居民生活用水户的基准额度汇总而成。</w:t>
      </w:r>
    </w:p>
    <w:p w14:paraId="4958023D">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城乡环境用水预算基准额度由绿地灌溉用水户和环境卫生用水户的基准额度汇总而成。</w:t>
      </w:r>
    </w:p>
    <w:p w14:paraId="505AA797">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河湖生态用水水预算基准额度由需要保障生态用水河湖用水户的基准额度汇总而成。</w:t>
      </w:r>
    </w:p>
    <w:p w14:paraId="40DC25FF">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 xml:space="preserve">第二十六条 供给端额度汇总 </w:t>
      </w:r>
    </w:p>
    <w:p w14:paraId="58AA6ED1">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供给端额度汇总包括地表水预算额度、地下水预算额度、非常规水预算额度、外调水预算额度和跨区域交易水预算额度等汇总。</w:t>
      </w:r>
    </w:p>
    <w:p w14:paraId="1D6A3732">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地表水预算额度为属地居民生活、农业、工业、服务业、建筑业、城乡环境、河湖生态用水户的地表水额度之和，再加上预留额度。</w:t>
      </w:r>
    </w:p>
    <w:p w14:paraId="0ED448E4">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地下水预算额度为属地所有生活、农业、工业、服务业、建筑业的地下水额度之和。</w:t>
      </w:r>
    </w:p>
    <w:p w14:paraId="00FD1080">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非常规水预算额度汇总为各行业的再生水额度、集蓄雨水额度。再生水预算额度为属地所有工业、城乡环境、河湖生态用水户的再生水额度之和。集蓄雨水预算额度为属地所有农业、工业、城乡环境用水户、河湖生态用水户的集蓄雨水额度之和。</w:t>
      </w:r>
    </w:p>
    <w:p w14:paraId="076E9E6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外调水预算额度为属地所有取自本区域外引水水源的农业、公共供水企业等额度之和。</w:t>
      </w:r>
    </w:p>
    <w:p w14:paraId="39C05740">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跨区域交易水为属地所有购买本区域外水权交易量额度之和。</w:t>
      </w:r>
    </w:p>
    <w:p w14:paraId="22DFF234">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第二十七条 供需动态匹配校验</w:t>
      </w:r>
    </w:p>
    <w:p w14:paraId="7F2CFC66">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区域水预算中常规水源预算额度不得超过属地常规水源可用水量刚性约束上限。管网内居民生活、工业、服务业、建筑业和城乡环境用水额度之和不得超过公共供水工程供水能力上限。</w:t>
      </w:r>
      <w:r>
        <w:rPr>
          <w:rFonts w:eastAsia="仿宋_GB2312" w:cs="仿宋_GB2312"/>
          <w:sz w:val="32"/>
          <w:szCs w:val="32"/>
          <w:lang w:eastAsia="zh-CN"/>
        </w:rPr>
        <w:t>当需求端汇总额度超过供给端上限时，按照优先保障居民生活、基本生态和粮食生产用水</w:t>
      </w:r>
      <w:r>
        <w:rPr>
          <w:rFonts w:hint="eastAsia" w:eastAsia="仿宋_GB2312" w:cs="仿宋_GB2312"/>
          <w:sz w:val="32"/>
          <w:szCs w:val="32"/>
          <w:lang w:eastAsia="zh-CN"/>
        </w:rPr>
        <w:t>，</w:t>
      </w:r>
      <w:r>
        <w:rPr>
          <w:rFonts w:eastAsia="仿宋_GB2312" w:cs="仿宋_GB2312"/>
          <w:sz w:val="32"/>
          <w:szCs w:val="32"/>
          <w:lang w:eastAsia="zh-CN"/>
        </w:rPr>
        <w:t>优化工业和服务业用水的原则进行核减</w:t>
      </w:r>
      <w:r>
        <w:rPr>
          <w:rFonts w:hint="eastAsia" w:eastAsia="仿宋_GB2312" w:cs="仿宋_GB2312"/>
          <w:sz w:val="32"/>
          <w:szCs w:val="32"/>
          <w:lang w:eastAsia="zh-CN"/>
        </w:rPr>
        <w:t>。</w:t>
      </w:r>
    </w:p>
    <w:p w14:paraId="44CAACC6">
      <w:pPr>
        <w:widowControl w:val="0"/>
        <w:suppressAutoHyphens/>
        <w:kinsoku/>
        <w:autoSpaceDE/>
        <w:autoSpaceDN/>
        <w:adjustRightInd/>
        <w:snapToGrid/>
        <w:spacing w:before="120" w:beforeLines="50" w:after="120" w:afterLines="50" w:line="560" w:lineRule="exact"/>
        <w:jc w:val="center"/>
        <w:textAlignment w:val="auto"/>
        <w:rPr>
          <w:rFonts w:ascii="Times New Roman" w:hAnsi="Times New Roman" w:eastAsia="黑体" w:cs="Times New Roman"/>
          <w:snapToGrid/>
          <w:color w:val="auto"/>
          <w:sz w:val="36"/>
          <w:szCs w:val="36"/>
          <w:lang w:eastAsia="zh-CN"/>
        </w:rPr>
      </w:pPr>
      <w:r>
        <w:rPr>
          <w:rFonts w:hint="eastAsia" w:ascii="Times New Roman" w:hAnsi="Times New Roman" w:eastAsia="黑体" w:cs="Times New Roman"/>
          <w:snapToGrid/>
          <w:color w:val="auto"/>
          <w:sz w:val="36"/>
          <w:szCs w:val="36"/>
          <w:lang w:eastAsia="zh-CN"/>
        </w:rPr>
        <w:t>第六章 附则</w:t>
      </w:r>
    </w:p>
    <w:p w14:paraId="2E52FD0D">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第二十八条 办法解释</w:t>
      </w:r>
    </w:p>
    <w:p w14:paraId="40C29C63">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本办法由县级水行政主管部门</w:t>
      </w:r>
      <w:r>
        <w:rPr>
          <w:rFonts w:hint="eastAsia" w:ascii="Times New Roman" w:hAnsi="Times New Roman" w:eastAsia="仿宋_GB2312" w:cs="仿宋_GB2312"/>
          <w:sz w:val="32"/>
          <w:szCs w:val="32"/>
          <w:lang w:val="en-US" w:eastAsia="zh-CN"/>
        </w:rPr>
        <w:t>和</w:t>
      </w:r>
      <w:r>
        <w:rPr>
          <w:rFonts w:hint="eastAsia" w:ascii="Times New Roman" w:hAnsi="Times New Roman" w:eastAsia="仿宋_GB2312" w:cs="仿宋_GB2312"/>
          <w:sz w:val="32"/>
          <w:szCs w:val="32"/>
          <w:lang w:eastAsia="zh-CN"/>
        </w:rPr>
        <w:t>同级城市供水主管部门负责解释。</w:t>
      </w:r>
    </w:p>
    <w:p w14:paraId="04F65271">
      <w:pPr>
        <w:kinsoku/>
        <w:wordWrap/>
        <w:autoSpaceDE/>
        <w:autoSpaceDN/>
        <w:spacing w:line="560" w:lineRule="exact"/>
        <w:ind w:firstLine="640" w:firstLineChars="200"/>
        <w:textAlignment w:val="auto"/>
        <w:rPr>
          <w:rFonts w:ascii="Times New Roman" w:hAnsi="Times New Roman" w:eastAsia="黑体" w:cs="黑体"/>
          <w:sz w:val="32"/>
          <w:szCs w:val="32"/>
          <w:lang w:eastAsia="zh-CN"/>
        </w:rPr>
      </w:pPr>
      <w:r>
        <w:rPr>
          <w:rFonts w:hint="eastAsia" w:ascii="Times New Roman" w:hAnsi="Times New Roman" w:eastAsia="黑体" w:cs="黑体"/>
          <w:sz w:val="32"/>
          <w:szCs w:val="32"/>
          <w:lang w:eastAsia="zh-CN"/>
        </w:rPr>
        <w:t>第二十九条 施行日期</w:t>
      </w:r>
    </w:p>
    <w:p w14:paraId="78C56FAC">
      <w:pPr>
        <w:kinsoku/>
        <w:wordWrap/>
        <w:autoSpaceDE/>
        <w:autoSpaceDN/>
        <w:spacing w:line="560" w:lineRule="exact"/>
        <w:ind w:firstLine="640" w:firstLineChars="200"/>
        <w:textAlignment w:val="auto"/>
        <w:rPr>
          <w:rFonts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本办法自印发之日起施行，有效期2年。</w:t>
      </w:r>
    </w:p>
    <w:p w14:paraId="1D3CCD48">
      <w:pPr>
        <w:rPr>
          <w:rFonts w:hint="eastAsia" w:ascii="Times New Roman" w:hAnsi="Times New Roman" w:eastAsiaTheme="minorEastAsia"/>
          <w:lang w:eastAsia="zh-CN"/>
        </w:rPr>
      </w:pPr>
    </w:p>
    <w:sectPr>
      <w:footerReference r:id="rId3" w:type="default"/>
      <w:pgSz w:w="11900" w:h="16821"/>
      <w:pgMar w:top="2098" w:right="1474" w:bottom="1985" w:left="1588" w:header="850" w:footer="1417"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1F094">
    <w:pPr>
      <w:pStyle w:val="4"/>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9E75E">
                          <w:pPr>
                            <w:pStyle w:val="4"/>
                            <w:rPr>
                              <w:rFonts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D19E75E">
                    <w:pPr>
                      <w:pStyle w:val="4"/>
                      <w:rPr>
                        <w:rFonts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HorizontalSpacing w:val="210"/>
  <w:drawingGridVerticalSpacing w:val="-794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2A7"/>
    <w:rsid w:val="002948E1"/>
    <w:rsid w:val="00323802"/>
    <w:rsid w:val="003F0615"/>
    <w:rsid w:val="00882333"/>
    <w:rsid w:val="008E2DA7"/>
    <w:rsid w:val="00913C51"/>
    <w:rsid w:val="00C33013"/>
    <w:rsid w:val="00D752A7"/>
    <w:rsid w:val="00E5515C"/>
    <w:rsid w:val="036208AE"/>
    <w:rsid w:val="03BD646B"/>
    <w:rsid w:val="0D411534"/>
    <w:rsid w:val="0EE952B1"/>
    <w:rsid w:val="112C42A9"/>
    <w:rsid w:val="151F440E"/>
    <w:rsid w:val="18624A54"/>
    <w:rsid w:val="1B3E3557"/>
    <w:rsid w:val="22B67E76"/>
    <w:rsid w:val="31464ABB"/>
    <w:rsid w:val="321B46F1"/>
    <w:rsid w:val="326C6333"/>
    <w:rsid w:val="39D07618"/>
    <w:rsid w:val="3A3A5DC4"/>
    <w:rsid w:val="3D3879AE"/>
    <w:rsid w:val="3EFC16ED"/>
    <w:rsid w:val="4FCA469A"/>
    <w:rsid w:val="50F9524E"/>
    <w:rsid w:val="54667F8E"/>
    <w:rsid w:val="70DF2A3C"/>
    <w:rsid w:val="7A096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9"/>
    <w:pPr>
      <w:keepNext/>
      <w:keepLines/>
      <w:spacing w:before="480" w:after="80"/>
      <w:outlineLvl w:val="0"/>
    </w:pPr>
    <w:rPr>
      <w:rFonts w:ascii="Cambria" w:hAnsi="Cambria" w:eastAsia="宋体" w:cs="Times New Roman"/>
      <w:color w:val="366091"/>
      <w:sz w:val="48"/>
      <w:szCs w:val="48"/>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rPr>
      <w:rFonts w:ascii="Times New Roman" w:hAnsi="Times New Roman" w:cs="Times New Roman"/>
      <w:sz w:val="24"/>
      <w:szCs w:val="24"/>
    </w:rPr>
  </w:style>
  <w:style w:type="paragraph" w:customStyle="1" w:styleId="9">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02818aa9-d743-4584-98b2-039b60f1a96b</errorID>
      <errorWord>额度核算</errorWord>
      <group>L1_Grammar</group>
      <groupName>语法问题</groupName>
      <ability>L2_Grammar</ability>
      <abilityName>语法错误</abilityName>
      <candidateList>
        <item>额度</item>
      </candidateList>
      <explain/>
      <paraID>44E14B3C</paraID>
      <start>68</start>
      <end>72</end>
      <status>unmodified</status>
      <modifiedWord/>
      <trackRevisions>false</trackRevisions>
    </reviewItem>
    <reviewItem>
      <errorID>0e75dd03-a092-4b22-9e56-1c27592c04ef</errorID>
      <errorWord> 1</errorWord>
      <group>L1_Word</group>
      <groupName>字词问题</groupName>
      <ability>L2_Typo</ability>
      <abilityName>字词错误</abilityName>
      <candidateList>
        <item>₁</item>
      </candidateList>
      <explain/>
      <paraID>662A95D9</paraID>
      <start>7</start>
      <end>9</end>
      <status>modified</status>
      <modifiedWord> 1</modifiedWord>
      <trackRevisions>true</trackRevisions>
    </reviewItem>
    <reviewItem>
      <errorID>267ad189-086a-4b8e-833d-7aa028083d40</errorID>
      <errorWord> 2</errorWord>
      <group>L1_Word</group>
      <groupName>字词问题</groupName>
      <ability>L2_Typo</ability>
      <abilityName>字词错误</abilityName>
      <candidateList>
        <item>₂</item>
      </candidateList>
      <explain/>
      <paraID>662A95D9</paraID>
      <start>17</start>
      <end>19</end>
      <status>unmodified</status>
      <modifiedWord/>
      <trackRevisions>false</trackRevisions>
    </reviewItem>
    <reviewItem>
      <errorID>1b230293-00d2-4cbe-a4ae-97d114e2d776</errorID>
      <errorWord> +</errorWord>
      <group>L1_Word</group>
      <groupName>字词问题</groupName>
      <ability>L2_Typo</ability>
      <abilityName>字词错误</abilityName>
      <candidateList>
        <item>+ </item>
      </candidateList>
      <explain/>
      <paraID>662A95D9</paraID>
      <start>20</start>
      <end>22</end>
      <status>unmodified</status>
      <modifiedWord/>
      <trackRevisions>false</trackRevisions>
    </reviewItem>
    <reviewItem>
      <errorID>650536c7-5ef4-4cd4-a686-9efecbf4e0e9</errorID>
      <errorWord> 3</errorWord>
      <group>L1_Word</group>
      <groupName>字词问题</groupName>
      <ability>L2_Typo</ability>
      <abilityName>字词错误</abilityName>
      <candidateList>
        <item>₃</item>
      </candidateList>
      <explain/>
      <paraID>662A95D9</paraID>
      <start>27</start>
      <end>29</end>
      <status>unmodified</status>
      <modifiedWord/>
      <trackRevisions>false</trackRevisions>
    </reviewItem>
    <reviewItem>
      <errorID>55c9bc47-338c-491e-843c-fb1f442c9e33</errorID>
      <errorWord>m3</errorWord>
      <group>L1_Word</group>
      <groupName>字词问题</groupName>
      <ability>L2_Typo</ability>
      <abilityName>字词错误</abilityName>
      <candidateList>
        <item>m³</item>
      </candidateList>
      <explain/>
      <paraID> AC38691</paraID>
      <start>12</start>
      <end>14</end>
      <status>unmodified</status>
      <modifiedWord/>
      <trackRevisions>false</trackRevisions>
    </reviewItem>
    <reviewItem>
      <errorID>59b77d64-942d-4080-8a2d-e95b0b511861</errorID>
      <errorWord>  </errorWord>
      <group>L1_Punc</group>
      <groupName>标点问题</groupName>
      <ability>L2_Punc_CN</ability>
      <abilityName>标点符号问题</abilityName>
      <candidateList>
        <item/>
      </candidateList>
      <explain>此处空格冗余，建议删除。</explain>
      <paraID> A0E2F43</paraID>
      <start>1</start>
      <end>3</end>
      <status>unmodified</status>
      <modifiedWord/>
      <trackRevisions>false</trackRevisions>
    </reviewItem>
    <reviewItem>
      <errorID>80e0c27a-332b-46b1-85ca-eda9ec885764</errorID>
      <errorWord>W1</errorWord>
      <group>L1_Word</group>
      <groupName>字词问题</groupName>
      <ability>L2_Typo</ability>
      <abilityName>字词错误</abilityName>
      <candidateList>
        <item>W₁</item>
      </candidateList>
      <explain/>
      <paraID>5D37D4DC</paraID>
      <start>0</start>
      <end>2</end>
      <status>unmodified</status>
      <modifiedWord/>
      <trackRevisions>false</trackRevisions>
    </reviewItem>
    <reviewItem>
      <errorID>d96464b3-5ab4-4872-8713-1ad1e63c0faa</errorID>
      <errorWord>m3</errorWord>
      <group>L1_Word</group>
      <groupName>字词问题</groupName>
      <ability>L2_Typo</ability>
      <abilityName>字词错误</abilityName>
      <candidateList>
        <item>m³</item>
      </candidateList>
      <explain/>
      <paraID>5D37D4DC</paraID>
      <start>20</start>
      <end>22</end>
      <status>unmodified</status>
      <modifiedWord/>
      <trackRevisions>false</trackRevisions>
    </reviewItem>
    <reviewItem>
      <errorID>ed911f59-a080-4d1c-a384-3947930ea596</errorID>
      <errorWord>W2</errorWord>
      <group>L1_Word</group>
      <groupName>字词问题</groupName>
      <ability>L2_Typo</ability>
      <abilityName>字词错误</abilityName>
      <candidateList>
        <item>W₂</item>
      </candidateList>
      <explain/>
      <paraID>41EDEC9D</paraID>
      <start>0</start>
      <end>2</end>
      <status>unmodified</status>
      <modifiedWord/>
      <trackRevisions>false</trackRevisions>
    </reviewItem>
    <reviewItem>
      <errorID>bd9b4ca0-a578-4b61-8e69-8b2a9fa5202a</errorID>
      <errorWord>m3</errorWord>
      <group>L1_Word</group>
      <groupName>字词问题</groupName>
      <ability>L2_Typo</ability>
      <abilityName>字词错误</abilityName>
      <candidateList>
        <item>m³</item>
      </candidateList>
      <explain/>
      <paraID>41EDEC9D</paraID>
      <start>18</start>
      <end>20</end>
      <status>unmodified</status>
      <modifiedWord/>
      <trackRevisions>false</trackRevisions>
    </reviewItem>
    <reviewItem>
      <errorID>780a5a67-e19a-4a17-8dd1-9d30fa8e76e0</errorID>
      <errorWord>W3</errorWord>
      <group>L1_Word</group>
      <groupName>字词问题</groupName>
      <ability>L2_Typo</ability>
      <abilityName>字词错误</abilityName>
      <candidateList>
        <item>W₃</item>
      </candidateList>
      <explain/>
      <paraID>5F9B2411</paraID>
      <start>0</start>
      <end>2</end>
      <status>unmodified</status>
      <modifiedWord/>
      <trackRevisions>false</trackRevisions>
    </reviewItem>
    <reviewItem>
      <errorID>21c46dd4-52b2-4f24-8a69-1a7bd0c298e5</errorID>
      <errorWord>m3</errorWord>
      <group>L1_Word</group>
      <groupName>字词问题</groupName>
      <ability>L2_Typo</ability>
      <abilityName>字词错误</abilityName>
      <candidateList>
        <item>m³</item>
      </candidateList>
      <explain/>
      <paraID>5F9B2411</paraID>
      <start>19</start>
      <end>21</end>
      <status>unmodified</status>
      <modifiedWord/>
      <trackRevisions>false</trackRevisions>
    </reviewItem>
    <reviewItem>
      <errorID>25f58d38-66f6-47d3-aa8e-31df328db8fe</errorID>
      <errorWord> i </errorWord>
      <group>L1_Grammar</group>
      <groupName>语法问题</groupName>
      <ability>L2_Grammar</ability>
      <abilityName>语法错误</abilityName>
      <candidateList>
        <item>Σ</item>
      </candidateList>
      <explain/>
      <paraID>30774E41</paraID>
      <start>2</start>
      <end>5</end>
      <status>unmodified</status>
      <modifiedWord/>
      <trackRevisions>false</trackRevisions>
    </reviewItem>
    <reviewItem>
      <errorID>18e0b4a9-7583-4762-b1de-10b42fa59235</errorID>
      <errorWord> </errorWord>
      <group>L1_Word</group>
      <groupName>字词问题</groupName>
      <ability>L2_Typo</ability>
      <abilityName>字词错误</abilityName>
      <candidateList>
        <item>ₖ</item>
      </candidateList>
      <explain/>
      <paraID>30774E41</paraID>
      <start>6</start>
      <end>7</end>
      <status>unmodified</status>
      <modifiedWord/>
      <trackRevisions>false</trackRevisions>
    </reviewItem>
    <reviewItem>
      <errorID>04963ea4-8256-419c-aaa1-2100eb110603</errorID>
      <errorWord> i </errorWord>
      <group>L1_Grammar</group>
      <groupName>语法问题</groupName>
      <ability>L2_Grammar</ability>
      <abilityName>语法错误</abilityName>
      <candidateList>
        <item>ₖ</item>
      </candidateList>
      <explain/>
      <paraID>30774E41</paraID>
      <start>9</start>
      <end>12</end>
      <status>unmodified</status>
      <modifiedWord/>
      <trackRevisions>false</trackRevisions>
    </reviewItem>
    <reviewItem>
      <errorID>581b9482-0634-4c8a-b262-2957fe5b881d</errorID>
      <errorWord> i</errorWord>
      <group>L1_Word</group>
      <groupName>字词问题</groupName>
      <ability>L2_Typo</ability>
      <abilityName>字词错误</abilityName>
      <candidateList>
        <item>ₖ</item>
      </candidateList>
      <explain/>
      <paraID>30774E41</paraID>
      <start>14</start>
      <end>16</end>
      <status>unmodified</status>
      <modifiedWord/>
      <trackRevisions>false</trackRevisions>
    </reviewItem>
    <reviewItem>
      <errorID>9580e8e6-1a36-479f-9374-3448095d829a</errorID>
      <errorWord>，…，</errorWord>
      <group>L1_Punc</group>
      <groupName>标点问题</groupName>
      <ability>L2_Punc_CN</ability>
      <abilityName>标点符号问题</abilityName>
      <candidateList>
        <item>，</item>
      </candidateList>
      <explain/>
      <paraID>1EE5C500</paraID>
      <start>19</start>
      <end>22</end>
      <status>unmodified</status>
      <modifiedWord/>
      <trackRevisions>false</trackRevisions>
    </reviewItem>
    <reviewItem>
      <errorID>a0d903dc-6304-4c0e-8919-d047b26d2738</errorID>
      <errorWord>1万m³</errorWord>
      <group>L1_Other</group>
      <groupName>其他问题</groupName>
      <ability>L2_Consistency</ability>
      <abilityName>一致性检查</abilityName>
      <candidateList>
        <item>1万m3</item>
      </candidateList>
      <explain>数字一致性错误，全文其余位置同类表述均使用1万m3，此处单位写法不一致</explain>
      <paraID>113AC6FE</paraID>
      <start>36</start>
      <end>40</end>
      <status>unmodified</status>
      <modifiedWord/>
      <trackRevisions>false</trackRevisions>
    </reviewItem>
    <reviewItem>
      <errorID>fb0233ad-f358-4a75-af7e-9d9b42067c87</errorID>
      <errorWord>农业灌溉水有效利用系数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词汇“农田灌溉水有效利用系数”在特定场景下为固定表述形式，请确认此处的“农业灌溉水有效利用系数”是否存在不当。</explain>
      <paraID>  B2EFDF</paraID>
      <start>22</start>
      <end>33</end>
      <status>modified</status>
      <modifiedWord>农田灌溉水有效利用系数</modifiedWord>
      <trackRevisions>true</trackRevisions>
    </reviewItem>
    <reviewItem>
      <errorID>79be2ab5-c457-41db-9049-ac4468fe92cf</errorID>
      <errorWord>农业灌溉水有效利用系数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词汇“农田灌溉水有效利用系数”在特定场景下为固定表述形式，请确认此处的“农业灌溉水有效利用系数”是否存在不当。</explain>
      <paraID>5EF85044</paraID>
      <start>44</start>
      <end>55</end>
      <status>modified</status>
      <modifiedWord>农田灌溉水有效利用系数</modifiedWord>
      <trackRevisions>true</trackRevisions>
    </reviewItem>
    <reviewItem>
      <errorID>9c7fc08d-3cf3-420d-be63-779c00e44e54</errorID>
      <errorWord>农业灌溉水有效利用系数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词汇“农田灌溉水有效利用系数”在特定场景下为固定表述形式，请确认此处的“农业灌溉水有效利用系数”是否存在不当。</explain>
      <paraID>7B51B43E</paraID>
      <start>22</start>
      <end>33</end>
      <status>modified</status>
      <modifiedWord>农田灌溉水有效利用系数</modifiedWord>
      <trackRevisions>true</trackRevisions>
    </reviewItem>
    <reviewItem>
      <errorID>032dd558-ac4e-4cd3-8522-e12b52247ce2</errorID>
      <errorWord>农业灌溉水有效利用系数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词汇“农田灌溉水有效利用系数”在特定场景下为固定表述形式，请确认此处的“农业灌溉水有效利用系数”是否存在不当。</explain>
      <paraID> 87CA54A</paraID>
      <start>23</start>
      <end>34</end>
      <status>modified</status>
      <modifiedWord>农田灌溉水有效利用系数</modifiedWord>
      <trackRevisions>true</trackRevisions>
    </reviewItem>
    <reviewItem>
      <errorID>76cb7fd9-3b8d-4909-bc97-89121fedbe4b</errorID>
      <errorWord>农业灌溉水有效利用系数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词汇“农田灌溉水有效利用系数”在特定场景下为固定表述形式，请确认此处的“农业灌溉水有效利用系数”是否存在不当。</explain>
      <paraID>6ADFF5F5</paraID>
      <start>52</start>
      <end>63</end>
      <status>modified</status>
      <modifiedWord>农田灌溉水有效利用系数</modifiedWord>
      <trackRevisions>true</trackRevisions>
    </reviewItem>
    <reviewItem>
      <errorID>e7310447-90e6-4cf3-b2d6-dea2b09a8932</errorID>
      <errorWord>业</errorWord>
      <group>L1_Word</group>
      <groupName>字词问题</groupName>
      <ability>L2_Typo</ability>
      <abilityName>字词错误</abilityName>
      <candidateList>
        <item>业用</item>
      </candidateList>
      <explain/>
      <paraID>6A2C2603</paraID>
      <start>3</start>
      <end>4</end>
      <status>unmodified</status>
      <modifiedWord/>
      <trackRevisions>false</trackRevisions>
    </reviewItem>
    <reviewItem>
      <errorID>adf852d3-9c41-4556-8c2b-850394b679fa</errorID>
      <errorWord>业</errorWord>
      <group>L1_Word</group>
      <groupName>字词问题</groupName>
      <ability>L2_Typo</ability>
      <abilityName>字词错误</abilityName>
      <candidateList>
        <item>业用</item>
      </candidateList>
      <explain/>
      <paraID>27E4701F</paraID>
      <start>5</start>
      <end>6</end>
      <status>unmodified</status>
      <modifiedWord/>
      <trackRevisions>false</trackRevisions>
    </reviewItem>
    <reviewItem>
      <errorID>abac833e-d39e-4a78-ae2d-35fad84e7d31</errorID>
      <errorWord>业</errorWord>
      <group>L1_Word</group>
      <groupName>字词问题</groupName>
      <ability>L2_Typo</ability>
      <abilityName>字词错误</abilityName>
      <candidateList>
        <item>业用</item>
      </candidateList>
      <explain/>
      <paraID> 1AE2A3C</paraID>
      <start>5</start>
      <end>6</end>
      <status>unmodified</status>
      <modifiedWord/>
      <trackRevisions>false</trackRevisions>
    </reviewItem>
    <reviewItem>
      <errorID>159334d3-aff1-4dd0-9fa9-1df5097353e5</errorID>
      <errorWord>业</errorWord>
      <group>L1_Word</group>
      <groupName>字词问题</groupName>
      <ability>L2_Typo</ability>
      <abilityName>字词错误</abilityName>
      <candidateList>
        <item>业用</item>
      </candidateList>
      <explain/>
      <paraID>1196F287</paraID>
      <start>6</start>
      <end>7</end>
      <status>unmodified</status>
      <modifiedWord/>
      <trackRevisions>false</trackRevisions>
    </reviewItem>
    <reviewItem>
      <errorID>8684e1d2-13b9-4c97-9b95-0d3b674d0569</errorID>
      <errorWord>业</errorWord>
      <group>L1_Word</group>
      <groupName>字词问题</groupName>
      <ability>L2_Typo</ability>
      <abilityName>字词错误</abilityName>
      <candidateList>
        <item>业用</item>
      </candidateList>
      <explain/>
      <paraID>66E2D765</paraID>
      <start>6</start>
      <end>7</end>
      <status>unmodified</status>
      <modifiedWord/>
      <trackRevisions>false</trackRevisions>
    </reviewItem>
    <reviewItem>
      <errorID>b08ec49d-da8b-472e-bdbd-29196d92f78e</errorID>
      <errorWord>业</errorWord>
      <group>L1_Word</group>
      <groupName>字词问题</groupName>
      <ability>L2_Typo</ability>
      <abilityName>字词错误</abilityName>
      <candidateList>
        <item>业用</item>
      </candidateList>
      <explain/>
      <paraID>4958023D</paraID>
      <start>7</start>
      <end>8</end>
      <status>unmodified</status>
      <modifiedWord/>
      <trackRevisions>false</trackRevisions>
    </reviewItem>
    <reviewItem>
      <errorID>8fa9f344-9c24-410a-8cca-a61d90127a46</errorID>
      <errorWord> </errorWord>
      <group>L1_Punc</group>
      <groupName>标点问题</groupName>
      <ability>L2_Punc_CN</ability>
      <abilityName>标点符号问题</abilityName>
      <candidateList>
        <item/>
      </candidateList>
      <explain>此处空格冗余，建议删除。</explain>
      <paraID> 76E9E6C</paraID>
      <start>26</start>
      <end>27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e5f455-77f5-4d80-8f24-6efe16d1575d}">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5749</Words>
  <Characters>5845</Characters>
  <Lines>43</Lines>
  <Paragraphs>12</Paragraphs>
  <TotalTime>28</TotalTime>
  <ScaleCrop>false</ScaleCrop>
  <LinksUpToDate>false</LinksUpToDate>
  <CharactersWithSpaces>5884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2026-07-22T15:52:00Z</dcterms:created>
  <dc:creator>50320</dc:creator>
  <cp:lastModifiedBy>魁宝</cp:lastModifiedBy>
  <dcterms:modified xsi:type="dcterms:W3CDTF">2026-09-22T03:25:55Z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eyJoZGlkIjoiMzBmNGY1ODI3NjcyOTY2NWVkMTVkMDJiZGRhNTAxOGYiLCJ1c2VySWQiOiI0MzUzNjE5NjQifQ==</vt:lpwstr>
  </property>
  <property fmtid="{D5CDD505-2E9C-101B-9397-08002B2CF9AE}" pid="4" name="ICV">
    <vt:lpwstr>65B50664FC9F4C3DA7FD346571E37BB4_13</vt:lpwstr>
  </property>
</Properties>
</file>