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adjustRightInd w:val="0"/>
        <w:snapToGrid w:val="0"/>
        <w:spacing w:line="560" w:lineRule="exact"/>
        <w:ind w:firstLine="113"/>
        <w:jc w:val="center"/>
        <w:rPr>
          <w:rFonts w:ascii="Times New Roman" w:hAnsi="Times New Roman" w:eastAsia="方正小标宋_GBK"/>
          <w:snapToGrid w:val="0"/>
          <w:kern w:val="0"/>
          <w:sz w:val="44"/>
          <w:szCs w:val="44"/>
        </w:rPr>
      </w:pPr>
      <w:r>
        <w:rPr>
          <w:rFonts w:ascii="Times New Roman" w:hAnsi="Times New Roman" w:eastAsia="方正小标宋_GBK"/>
          <w:snapToGrid w:val="0"/>
          <w:kern w:val="0"/>
          <w:sz w:val="44"/>
          <w:szCs w:val="44"/>
        </w:rPr>
        <w:t>壤塘县</w:t>
      </w:r>
      <w:r>
        <w:rPr>
          <w:rFonts w:hint="eastAsia" w:ascii="Times New Roman" w:hAnsi="Times New Roman" w:eastAsia="方正小标宋_GBK"/>
          <w:snapToGrid w:val="0"/>
          <w:kern w:val="0"/>
          <w:sz w:val="44"/>
          <w:szCs w:val="44"/>
        </w:rPr>
        <w:t>人民政府</w:t>
      </w:r>
    </w:p>
    <w:p>
      <w:pPr>
        <w:adjustRightInd w:val="0"/>
        <w:snapToGrid w:val="0"/>
        <w:spacing w:line="560" w:lineRule="exact"/>
        <w:ind w:firstLine="113"/>
        <w:jc w:val="center"/>
        <w:rPr>
          <w:rFonts w:ascii="Times New Roman" w:hAnsi="Times New Roman" w:eastAsia="方正小标宋_GBK"/>
          <w:snapToGrid w:val="0"/>
          <w:kern w:val="0"/>
          <w:sz w:val="44"/>
          <w:szCs w:val="44"/>
        </w:rPr>
      </w:pPr>
      <w:r>
        <w:rPr>
          <w:rFonts w:ascii="Times New Roman" w:hAnsi="Times New Roman" w:eastAsia="方正小标宋_GBK"/>
          <w:snapToGrid w:val="0"/>
          <w:kern w:val="0"/>
          <w:sz w:val="44"/>
          <w:szCs w:val="44"/>
        </w:rPr>
        <w:t>关于壤塘县202</w:t>
      </w:r>
      <w:r>
        <w:rPr>
          <w:rFonts w:hint="eastAsia" w:ascii="Times New Roman" w:hAnsi="Times New Roman" w:eastAsia="方正小标宋_GBK"/>
          <w:snapToGrid w:val="0"/>
          <w:kern w:val="0"/>
          <w:sz w:val="44"/>
          <w:szCs w:val="44"/>
        </w:rPr>
        <w:t>1</w:t>
      </w:r>
      <w:r>
        <w:rPr>
          <w:rFonts w:ascii="Times New Roman" w:hAnsi="Times New Roman" w:eastAsia="方正小标宋_GBK"/>
          <w:snapToGrid w:val="0"/>
          <w:kern w:val="0"/>
          <w:sz w:val="44"/>
          <w:szCs w:val="44"/>
        </w:rPr>
        <w:t>年财政决算</w:t>
      </w:r>
    </w:p>
    <w:p>
      <w:pPr>
        <w:adjustRightInd w:val="0"/>
        <w:snapToGrid w:val="0"/>
        <w:spacing w:line="560" w:lineRule="exact"/>
        <w:ind w:firstLine="113"/>
        <w:jc w:val="center"/>
        <w:rPr>
          <w:rFonts w:hint="eastAsia" w:ascii="楷体_GB2312" w:eastAsia="方正小标宋_GBK"/>
          <w:bCs/>
          <w:snapToGrid w:val="0"/>
          <w:kern w:val="0"/>
          <w:sz w:val="30"/>
          <w:szCs w:val="30"/>
          <w:lang w:eastAsia="zh-CN"/>
        </w:rPr>
      </w:pPr>
      <w:r>
        <w:rPr>
          <w:rFonts w:ascii="Times New Roman" w:hAnsi="Times New Roman" w:eastAsia="方正小标宋_GBK"/>
          <w:snapToGrid w:val="0"/>
          <w:kern w:val="0"/>
          <w:sz w:val="44"/>
          <w:szCs w:val="44"/>
        </w:rPr>
        <w:t>情况的报告</w:t>
      </w:r>
    </w:p>
    <w:p>
      <w:pPr>
        <w:adjustRightInd w:val="0"/>
        <w:snapToGrid w:val="0"/>
        <w:spacing w:line="560" w:lineRule="exact"/>
        <w:jc w:val="center"/>
        <w:rPr>
          <w:rFonts w:hint="eastAsia" w:ascii="楷体_GB2312" w:eastAsia="楷体_GB2312"/>
          <w:b w:val="0"/>
          <w:bCs/>
          <w:snapToGrid w:val="0"/>
          <w:kern w:val="0"/>
          <w:sz w:val="30"/>
          <w:szCs w:val="30"/>
        </w:rPr>
      </w:pPr>
      <w:r>
        <w:rPr>
          <w:rFonts w:hint="eastAsia" w:ascii="楷体_GB2312" w:eastAsia="楷体_GB2312"/>
          <w:b w:val="0"/>
          <w:bCs/>
          <w:snapToGrid w:val="0"/>
          <w:kern w:val="0"/>
          <w:sz w:val="30"/>
          <w:szCs w:val="30"/>
        </w:rPr>
        <w:t>2022年9月</w:t>
      </w:r>
      <w:r>
        <w:rPr>
          <w:rFonts w:hint="eastAsia" w:ascii="楷体_GB2312" w:eastAsia="楷体_GB2312"/>
          <w:b w:val="0"/>
          <w:bCs/>
          <w:snapToGrid w:val="0"/>
          <w:kern w:val="0"/>
          <w:sz w:val="30"/>
          <w:szCs w:val="30"/>
          <w:lang w:val="en-US" w:eastAsia="zh-CN"/>
        </w:rPr>
        <w:t>28</w:t>
      </w:r>
      <w:r>
        <w:rPr>
          <w:rFonts w:hint="eastAsia" w:ascii="楷体_GB2312" w:eastAsia="楷体_GB2312"/>
          <w:b w:val="0"/>
          <w:bCs/>
          <w:snapToGrid w:val="0"/>
          <w:kern w:val="0"/>
          <w:sz w:val="30"/>
          <w:szCs w:val="30"/>
        </w:rPr>
        <w:t>日</w:t>
      </w:r>
    </w:p>
    <w:p>
      <w:pPr>
        <w:adjustRightInd w:val="0"/>
        <w:snapToGrid w:val="0"/>
        <w:spacing w:line="560" w:lineRule="exact"/>
        <w:jc w:val="center"/>
        <w:rPr>
          <w:rFonts w:hint="eastAsia" w:ascii="楷体_GB2312" w:eastAsia="楷体_GB2312"/>
          <w:b w:val="0"/>
          <w:bCs/>
          <w:snapToGrid w:val="0"/>
          <w:kern w:val="0"/>
          <w:sz w:val="30"/>
          <w:szCs w:val="30"/>
        </w:rPr>
      </w:pPr>
      <w:r>
        <w:rPr>
          <w:rFonts w:hint="eastAsia" w:ascii="楷体_GB2312" w:eastAsia="楷体_GB2312"/>
          <w:b w:val="0"/>
          <w:bCs/>
          <w:snapToGrid w:val="0"/>
          <w:kern w:val="0"/>
          <w:sz w:val="30"/>
          <w:szCs w:val="30"/>
        </w:rPr>
        <w:t>在壤塘县第十五届人大常委会第</w:t>
      </w:r>
      <w:r>
        <w:rPr>
          <w:rFonts w:hint="eastAsia" w:ascii="楷体_GB2312" w:eastAsia="楷体_GB2312"/>
          <w:b w:val="0"/>
          <w:bCs/>
          <w:snapToGrid w:val="0"/>
          <w:kern w:val="0"/>
          <w:sz w:val="30"/>
          <w:szCs w:val="30"/>
          <w:lang w:val="en-US" w:eastAsia="zh-CN"/>
        </w:rPr>
        <w:t>五</w:t>
      </w:r>
      <w:r>
        <w:rPr>
          <w:rFonts w:hint="eastAsia" w:ascii="楷体_GB2312" w:eastAsia="楷体_GB2312"/>
          <w:b w:val="0"/>
          <w:bCs/>
          <w:snapToGrid w:val="0"/>
          <w:kern w:val="0"/>
          <w:sz w:val="30"/>
          <w:szCs w:val="30"/>
        </w:rPr>
        <w:t>次会议上</w:t>
      </w:r>
    </w:p>
    <w:p>
      <w:pPr>
        <w:adjustRightInd w:val="0"/>
        <w:snapToGrid w:val="0"/>
        <w:spacing w:line="560" w:lineRule="exact"/>
        <w:ind w:firstLine="113"/>
        <w:jc w:val="center"/>
        <w:rPr>
          <w:rFonts w:hint="eastAsia" w:ascii="楷体" w:eastAsia="楷体"/>
          <w:b w:val="0"/>
          <w:bCs/>
          <w:snapToGrid w:val="0"/>
          <w:kern w:val="0"/>
          <w:sz w:val="30"/>
          <w:szCs w:val="30"/>
        </w:rPr>
      </w:pPr>
      <w:r>
        <w:rPr>
          <w:rFonts w:hint="eastAsia" w:ascii="楷体_GB2312" w:eastAsia="楷体_GB2312"/>
          <w:b w:val="0"/>
          <w:bCs/>
          <w:snapToGrid w:val="0"/>
          <w:kern w:val="0"/>
          <w:sz w:val="30"/>
          <w:szCs w:val="30"/>
        </w:rPr>
        <w:t>壤塘县财政局局长  王永莲</w:t>
      </w:r>
    </w:p>
    <w:p>
      <w:pPr>
        <w:adjustRightInd w:val="0"/>
        <w:snapToGrid w:val="0"/>
        <w:spacing w:line="560" w:lineRule="exact"/>
        <w:ind w:firstLine="113"/>
        <w:rPr>
          <w:rFonts w:hint="eastAsia" w:ascii="Times New Roman" w:hAnsi="Times New Roman" w:eastAsia="方正小标宋_GBK"/>
          <w:snapToGrid w:val="0"/>
          <w:kern w:val="0"/>
          <w:sz w:val="44"/>
          <w:szCs w:val="44"/>
        </w:rPr>
      </w:pPr>
    </w:p>
    <w:p>
      <w:pPr>
        <w:adjustRightInd w:val="0"/>
        <w:snapToGrid w:val="0"/>
        <w:spacing w:line="560" w:lineRule="exact"/>
        <w:rPr>
          <w:rFonts w:hint="eastAsia" w:ascii="仿宋_GB2312" w:eastAsia="仿宋_GB2312"/>
          <w:b/>
          <w:snapToGrid w:val="0"/>
          <w:kern w:val="0"/>
          <w:sz w:val="32"/>
          <w:szCs w:val="32"/>
        </w:rPr>
      </w:pPr>
      <w:r>
        <w:rPr>
          <w:rFonts w:hint="eastAsia" w:ascii="仿宋_GB2312" w:eastAsia="仿宋_GB2312"/>
          <w:b/>
          <w:snapToGrid w:val="0"/>
          <w:kern w:val="0"/>
          <w:sz w:val="32"/>
          <w:szCs w:val="32"/>
        </w:rPr>
        <w:t>主任、各位副主任、各位委员：</w:t>
      </w:r>
    </w:p>
    <w:p>
      <w:pPr>
        <w:spacing w:line="560" w:lineRule="exact"/>
        <w:ind w:firstLine="606" w:firstLineChars="200"/>
        <w:rPr>
          <w:rFonts w:hint="eastAsia" w:ascii="仿宋_GB2312" w:eastAsia="仿宋_GB2312"/>
          <w:snapToGrid w:val="0"/>
          <w:kern w:val="0"/>
          <w:sz w:val="32"/>
          <w:szCs w:val="32"/>
        </w:rPr>
      </w:pPr>
      <w:r>
        <w:rPr>
          <w:rFonts w:hint="eastAsia" w:ascii="仿宋_GB2312" w:eastAsia="仿宋_GB2312"/>
          <w:snapToGrid w:val="0"/>
          <w:kern w:val="0"/>
          <w:sz w:val="32"/>
          <w:szCs w:val="32"/>
        </w:rPr>
        <w:t>受县人民政府委托，我向本次会议报告壤塘县2021年财政决算情况，请予以审议。</w:t>
      </w:r>
    </w:p>
    <w:p>
      <w:pPr>
        <w:spacing w:line="560" w:lineRule="exact"/>
        <w:ind w:firstLine="606" w:firstLineChars="200"/>
        <w:rPr>
          <w:rFonts w:ascii="Times New Roman" w:hAnsi="Times New Roman" w:eastAsia="黑体"/>
          <w:bCs/>
          <w:color w:val="000000"/>
          <w:kern w:val="0"/>
          <w:sz w:val="32"/>
          <w:szCs w:val="32"/>
        </w:rPr>
      </w:pPr>
      <w:r>
        <w:rPr>
          <w:rFonts w:ascii="Times New Roman" w:hAnsi="Times New Roman" w:eastAsia="黑体"/>
          <w:snapToGrid w:val="0"/>
          <w:kern w:val="0"/>
          <w:sz w:val="32"/>
          <w:szCs w:val="32"/>
        </w:rPr>
        <w:t>一、</w:t>
      </w:r>
      <w:r>
        <w:rPr>
          <w:rFonts w:ascii="Times New Roman" w:hAnsi="Times New Roman" w:eastAsia="黑体"/>
          <w:bCs/>
          <w:color w:val="000000"/>
          <w:kern w:val="0"/>
          <w:sz w:val="32"/>
          <w:szCs w:val="32"/>
        </w:rPr>
        <w:t>2021年财政决算情况</w:t>
      </w:r>
    </w:p>
    <w:p>
      <w:pPr>
        <w:spacing w:line="560" w:lineRule="exact"/>
        <w:ind w:firstLine="603" w:firstLineChars="199"/>
        <w:rPr>
          <w:rFonts w:ascii="Times New Roman" w:hAnsi="Times New Roman" w:eastAsia="楷体_GB2312"/>
          <w:b/>
          <w:snapToGrid w:val="0"/>
          <w:kern w:val="0"/>
          <w:sz w:val="32"/>
          <w:szCs w:val="32"/>
        </w:rPr>
      </w:pPr>
      <w:r>
        <w:rPr>
          <w:rFonts w:ascii="Times New Roman" w:hAnsi="Times New Roman" w:eastAsia="楷体_GB2312"/>
          <w:b/>
          <w:snapToGrid w:val="0"/>
          <w:kern w:val="0"/>
          <w:sz w:val="32"/>
          <w:szCs w:val="32"/>
        </w:rPr>
        <w:t>（一）一般公共预算收支决算情况</w:t>
      </w:r>
    </w:p>
    <w:p>
      <w:pPr>
        <w:adjustRightInd w:val="0"/>
        <w:snapToGrid w:val="0"/>
        <w:spacing w:line="560" w:lineRule="exact"/>
        <w:ind w:firstLine="603" w:firstLineChars="199"/>
        <w:rPr>
          <w:rFonts w:ascii="Times New Roman" w:hAnsi="Times New Roman" w:eastAsia="仿宋_GB2312"/>
          <w:b/>
          <w:snapToGrid w:val="0"/>
          <w:kern w:val="0"/>
          <w:sz w:val="32"/>
          <w:szCs w:val="32"/>
        </w:rPr>
      </w:pPr>
      <w:r>
        <w:rPr>
          <w:rFonts w:ascii="Times New Roman" w:hAnsi="Times New Roman" w:eastAsia="仿宋_GB2312"/>
          <w:b/>
          <w:snapToGrid w:val="0"/>
          <w:kern w:val="0"/>
          <w:sz w:val="32"/>
          <w:szCs w:val="32"/>
        </w:rPr>
        <w:t>一是收入决算情况。</w:t>
      </w:r>
      <w:r>
        <w:rPr>
          <w:rFonts w:ascii="Times New Roman" w:hAnsi="Times New Roman" w:eastAsia="仿宋_GB2312"/>
          <w:snapToGrid w:val="0"/>
          <w:kern w:val="0"/>
          <w:sz w:val="32"/>
          <w:szCs w:val="32"/>
        </w:rPr>
        <w:t>完成一般公共预算收入2659万元，为预算的103.91％，同比增收191万元，增长7.74％。其中：税收收入完成1552万元，为预算1639元的94.69%，同比增收318万元，增长25.77%。非税收入完成1107万元，为预算9</w:t>
      </w:r>
      <w:r>
        <w:rPr>
          <w:rFonts w:hint="eastAsia" w:ascii="Times New Roman" w:hAnsi="Times New Roman" w:eastAsia="仿宋_GB2312"/>
          <w:snapToGrid w:val="0"/>
          <w:kern w:val="0"/>
          <w:sz w:val="32"/>
          <w:szCs w:val="32"/>
        </w:rPr>
        <w:t>20</w:t>
      </w:r>
      <w:r>
        <w:rPr>
          <w:rFonts w:ascii="Times New Roman" w:hAnsi="Times New Roman" w:eastAsia="仿宋_GB2312"/>
          <w:snapToGrid w:val="0"/>
          <w:kern w:val="0"/>
          <w:sz w:val="32"/>
          <w:szCs w:val="32"/>
        </w:rPr>
        <w:t>万元的120.33%，同比减收127万元，下降1.03%。</w:t>
      </w:r>
    </w:p>
    <w:p>
      <w:pPr>
        <w:adjustRightInd w:val="0"/>
        <w:snapToGrid w:val="0"/>
        <w:spacing w:line="560" w:lineRule="exact"/>
        <w:ind w:firstLine="603" w:firstLineChars="199"/>
        <w:rPr>
          <w:rFonts w:ascii="Times New Roman" w:hAnsi="Times New Roman" w:eastAsia="仿宋_GB2312"/>
          <w:snapToGrid w:val="0"/>
          <w:color w:val="FF0000"/>
          <w:kern w:val="0"/>
          <w:sz w:val="32"/>
          <w:szCs w:val="32"/>
        </w:rPr>
      </w:pPr>
      <w:r>
        <w:rPr>
          <w:rFonts w:ascii="Times New Roman" w:hAnsi="Times New Roman" w:eastAsia="仿宋_GB2312"/>
          <w:b/>
          <w:snapToGrid w:val="0"/>
          <w:kern w:val="0"/>
          <w:sz w:val="32"/>
          <w:szCs w:val="32"/>
        </w:rPr>
        <w:t>二是支出决算情况。</w:t>
      </w:r>
      <w:r>
        <w:rPr>
          <w:rFonts w:ascii="Times New Roman" w:hAnsi="Times New Roman" w:eastAsia="仿宋_GB2312"/>
          <w:snapToGrid w:val="0"/>
          <w:kern w:val="0"/>
          <w:sz w:val="32"/>
          <w:szCs w:val="32"/>
        </w:rPr>
        <w:t>实现一般公共预算支出166199万元，为预算的98.52％，同比减支</w:t>
      </w:r>
      <w:r>
        <w:rPr>
          <w:rFonts w:ascii="Times New Roman" w:hAnsi="Times New Roman" w:eastAsia="仿宋_GB2312"/>
          <w:sz w:val="32"/>
          <w:szCs w:val="32"/>
        </w:rPr>
        <w:t>25363万元，下降1.32%。</w:t>
      </w:r>
      <w:r>
        <w:rPr>
          <w:rFonts w:ascii="Times New Roman" w:hAnsi="Times New Roman" w:eastAsia="仿宋_GB2312"/>
          <w:snapToGrid w:val="0"/>
          <w:kern w:val="0"/>
          <w:sz w:val="32"/>
          <w:szCs w:val="32"/>
        </w:rPr>
        <w:t>其中：</w:t>
      </w:r>
      <w:r>
        <w:rPr>
          <w:rFonts w:ascii="Times New Roman" w:hAnsi="Times New Roman" w:eastAsia="仿宋_GB2312"/>
          <w:sz w:val="32"/>
          <w:szCs w:val="32"/>
        </w:rPr>
        <w:t>一般公共服务支出21899万元，为预算的100%；国防支出269万元，为预算的100%；公共安全支出6887万元，为预算的99.38%；教育支出17572万元，为预算的99.98%；科学技术支出439万元，为预算的100.00%；文化体育与传媒支出3134万元，为预算的100%；社会保障和就业支出15750万元，为预算的100.00%；卫生健康支出10840万元，为预算的100.00%；节能环保支出8013万元，为预算的99.43%；城乡社区支出6094万元，为预算的100.00%；农林水支出48901万元，为预算的99.50%；交通运输支出5302万元，为预算的96.35%；资源勘探工业信息等支出41万元，为预算的100.00%；商业服务业等支出369万元，为预算的98.66%；自然资源海洋气象等支出465万元，为预算的100.00%；住房保障支出5458万元，为预算的100.00%；粮油物资储备支出414万元，为预算的100.00%；灾害防治及应急管理支出3701万元，为预算的95.98%；其他支出9864万元，为预算的99.39%；债务付息支出783万元，为预算的100.00%；债务发行费用支出4万元，为预算的100.00%。</w:t>
      </w:r>
    </w:p>
    <w:p>
      <w:pPr>
        <w:tabs>
          <w:tab w:val="left" w:pos="1737"/>
        </w:tabs>
        <w:spacing w:line="560" w:lineRule="exact"/>
        <w:ind w:firstLine="606" w:firstLineChars="200"/>
        <w:rPr>
          <w:rFonts w:ascii="Times New Roman" w:hAnsi="Times New Roman" w:eastAsia="仿宋_GB2312"/>
          <w:b/>
          <w:snapToGrid w:val="0"/>
          <w:kern w:val="0"/>
          <w:sz w:val="32"/>
          <w:szCs w:val="32"/>
        </w:rPr>
      </w:pPr>
      <w:r>
        <w:rPr>
          <w:rFonts w:ascii="Times New Roman" w:hAnsi="Times New Roman" w:eastAsia="仿宋_GB2312"/>
          <w:b/>
          <w:snapToGrid w:val="0"/>
          <w:kern w:val="0"/>
          <w:sz w:val="32"/>
          <w:szCs w:val="32"/>
        </w:rPr>
        <w:t>三是超收收入安排情况。</w:t>
      </w:r>
      <w:r>
        <w:rPr>
          <w:rFonts w:ascii="Times New Roman" w:hAnsi="Times New Roman" w:eastAsia="仿宋_GB2312"/>
          <w:snapToGrid w:val="0"/>
          <w:kern w:val="0"/>
          <w:sz w:val="32"/>
          <w:szCs w:val="32"/>
        </w:rPr>
        <w:t>2021年超收收入100万元，按照《预算法》规定，全部增设为预算稳定调节基金。</w:t>
      </w:r>
    </w:p>
    <w:p>
      <w:pPr>
        <w:tabs>
          <w:tab w:val="left" w:pos="1737"/>
        </w:tabs>
        <w:adjustRightInd w:val="0"/>
        <w:snapToGrid w:val="0"/>
        <w:spacing w:line="560" w:lineRule="exact"/>
        <w:ind w:firstLine="594" w:firstLineChars="196"/>
        <w:rPr>
          <w:rFonts w:ascii="Times New Roman" w:hAnsi="Times New Roman" w:eastAsia="仿宋_GB2312"/>
          <w:sz w:val="32"/>
          <w:szCs w:val="32"/>
        </w:rPr>
      </w:pPr>
      <w:r>
        <w:rPr>
          <w:rFonts w:ascii="Times New Roman" w:hAnsi="Times New Roman" w:eastAsia="仿宋_GB2312"/>
          <w:b/>
          <w:snapToGrid w:val="0"/>
          <w:kern w:val="0"/>
          <w:sz w:val="32"/>
          <w:szCs w:val="32"/>
        </w:rPr>
        <w:t>四是</w:t>
      </w:r>
      <w:r>
        <w:rPr>
          <w:rFonts w:ascii="Times New Roman" w:hAnsi="Times New Roman" w:eastAsia="仿宋_GB2312"/>
          <w:b/>
          <w:bCs/>
          <w:sz w:val="32"/>
          <w:szCs w:val="32"/>
        </w:rPr>
        <w:t>税收返还和转移支付情况。</w:t>
      </w:r>
      <w:r>
        <w:rPr>
          <w:rFonts w:ascii="Times New Roman" w:hAnsi="Times New Roman" w:eastAsia="仿宋_GB2312"/>
          <w:sz w:val="32"/>
          <w:szCs w:val="32"/>
        </w:rPr>
        <w:t>2021年上级下达我县税收返还及转移支付合计152225万元，较上年减少29198万元，</w:t>
      </w:r>
      <w:r>
        <w:rPr>
          <w:rFonts w:hint="eastAsia" w:ascii="Times New Roman" w:hAnsi="Times New Roman" w:eastAsia="仿宋_GB2312"/>
          <w:sz w:val="32"/>
          <w:szCs w:val="32"/>
        </w:rPr>
        <w:t>下降</w:t>
      </w:r>
      <w:r>
        <w:rPr>
          <w:rFonts w:ascii="Times New Roman" w:hAnsi="Times New Roman" w:eastAsia="仿宋_GB2312"/>
          <w:sz w:val="32"/>
          <w:szCs w:val="32"/>
        </w:rPr>
        <w:t>16.09%，其中：返还性收入418万元，较上年无变化；一般性转移支付117505万元，较上年减少31038万元，下降2.09%；专项转移支付34302万元，较上年减少1840万元，</w:t>
      </w:r>
      <w:r>
        <w:rPr>
          <w:rFonts w:hint="eastAsia" w:ascii="Times New Roman" w:hAnsi="Times New Roman" w:eastAsia="仿宋_GB2312"/>
          <w:sz w:val="32"/>
          <w:szCs w:val="32"/>
        </w:rPr>
        <w:t>下降</w:t>
      </w:r>
      <w:r>
        <w:rPr>
          <w:rFonts w:ascii="Times New Roman" w:hAnsi="Times New Roman" w:eastAsia="仿宋_GB2312"/>
          <w:sz w:val="32"/>
          <w:szCs w:val="32"/>
        </w:rPr>
        <w:t>5.</w:t>
      </w:r>
      <w:r>
        <w:rPr>
          <w:rFonts w:hint="eastAsia" w:ascii="Times New Roman" w:hAnsi="Times New Roman" w:eastAsia="仿宋_GB2312"/>
          <w:sz w:val="32"/>
          <w:szCs w:val="32"/>
        </w:rPr>
        <w:t>09</w:t>
      </w:r>
      <w:r>
        <w:rPr>
          <w:rFonts w:ascii="Times New Roman" w:hAnsi="Times New Roman" w:eastAsia="仿宋_GB2312"/>
          <w:sz w:val="32"/>
          <w:szCs w:val="32"/>
        </w:rPr>
        <w:t>%。全部按规定用途安排到各相关科目支出。</w:t>
      </w:r>
    </w:p>
    <w:p>
      <w:pPr>
        <w:tabs>
          <w:tab w:val="left" w:pos="1737"/>
        </w:tabs>
        <w:adjustRightInd w:val="0"/>
        <w:snapToGrid w:val="0"/>
        <w:spacing w:line="560" w:lineRule="exact"/>
        <w:ind w:firstLine="594" w:firstLineChars="196"/>
        <w:rPr>
          <w:rFonts w:ascii="Times New Roman" w:hAnsi="Times New Roman" w:eastAsia="仿宋_GB2312"/>
          <w:b/>
          <w:snapToGrid w:val="0"/>
          <w:kern w:val="0"/>
          <w:sz w:val="32"/>
          <w:szCs w:val="32"/>
        </w:rPr>
      </w:pPr>
      <w:r>
        <w:rPr>
          <w:rFonts w:ascii="Times New Roman" w:hAnsi="Times New Roman" w:eastAsia="仿宋_GB2312"/>
          <w:b/>
          <w:bCs/>
          <w:sz w:val="32"/>
          <w:szCs w:val="32"/>
        </w:rPr>
        <w:t>五是“三公经费”决算情况。</w:t>
      </w:r>
      <w:r>
        <w:rPr>
          <w:rFonts w:ascii="Times New Roman" w:hAnsi="Times New Roman" w:eastAsia="仿宋_GB2312"/>
          <w:sz w:val="32"/>
          <w:szCs w:val="32"/>
        </w:rPr>
        <w:t>2021年财政拨款“三公经费”支出合计1588万元，占年初预算的77.01%，</w:t>
      </w:r>
      <w:r>
        <w:rPr>
          <w:rFonts w:hint="eastAsia" w:ascii="Times New Roman" w:hAnsi="Times New Roman" w:eastAsia="仿宋_GB2312"/>
          <w:sz w:val="32"/>
          <w:szCs w:val="32"/>
        </w:rPr>
        <w:t>较</w:t>
      </w:r>
      <w:r>
        <w:rPr>
          <w:rFonts w:ascii="Times New Roman" w:hAnsi="Times New Roman" w:eastAsia="仿宋_GB2312"/>
          <w:sz w:val="32"/>
          <w:szCs w:val="32"/>
        </w:rPr>
        <w:t>上年增加536万元，增长50.95%。其中：公务接待费179万元，占预算81.36%，</w:t>
      </w:r>
      <w:r>
        <w:rPr>
          <w:rFonts w:hint="eastAsia" w:ascii="Times New Roman" w:hAnsi="Times New Roman" w:eastAsia="仿宋_GB2312"/>
          <w:sz w:val="32"/>
          <w:szCs w:val="32"/>
        </w:rPr>
        <w:t>较</w:t>
      </w:r>
      <w:r>
        <w:rPr>
          <w:rFonts w:ascii="Times New Roman" w:hAnsi="Times New Roman" w:eastAsia="仿宋_GB2312"/>
          <w:sz w:val="32"/>
          <w:szCs w:val="32"/>
        </w:rPr>
        <w:t>上年增加35万元，增长24.31%；公务用车购置费553万元，占预算的55.3%，</w:t>
      </w:r>
      <w:r>
        <w:rPr>
          <w:rFonts w:hint="eastAsia" w:ascii="Times New Roman" w:hAnsi="Times New Roman" w:eastAsia="仿宋_GB2312"/>
          <w:sz w:val="32"/>
          <w:szCs w:val="32"/>
        </w:rPr>
        <w:t>较</w:t>
      </w:r>
      <w:r>
        <w:rPr>
          <w:rFonts w:ascii="Times New Roman" w:hAnsi="Times New Roman" w:eastAsia="仿宋_GB2312"/>
          <w:sz w:val="32"/>
          <w:szCs w:val="32"/>
        </w:rPr>
        <w:t>上年增加358万元，增长64.74%；公务用车运行维护费856万元，占预算101.66%，</w:t>
      </w:r>
      <w:r>
        <w:rPr>
          <w:rFonts w:hint="eastAsia" w:ascii="Times New Roman" w:hAnsi="Times New Roman" w:eastAsia="仿宋_GB2312"/>
          <w:sz w:val="32"/>
          <w:szCs w:val="32"/>
        </w:rPr>
        <w:t>较</w:t>
      </w:r>
      <w:r>
        <w:rPr>
          <w:rFonts w:ascii="Times New Roman" w:hAnsi="Times New Roman" w:eastAsia="仿宋_GB2312"/>
          <w:sz w:val="32"/>
          <w:szCs w:val="32"/>
        </w:rPr>
        <w:t>上年增加143万元，增长20.06%（主要因为单位新购车辆增加）。</w:t>
      </w:r>
    </w:p>
    <w:p>
      <w:pPr>
        <w:tabs>
          <w:tab w:val="left" w:pos="1737"/>
        </w:tabs>
        <w:adjustRightInd w:val="0"/>
        <w:snapToGrid w:val="0"/>
        <w:spacing w:line="560" w:lineRule="exact"/>
        <w:ind w:firstLine="594" w:firstLineChars="196"/>
        <w:rPr>
          <w:rFonts w:ascii="Times New Roman" w:hAnsi="Times New Roman" w:eastAsia="仿宋_GB2312"/>
          <w:snapToGrid w:val="0"/>
          <w:kern w:val="0"/>
          <w:sz w:val="32"/>
          <w:szCs w:val="32"/>
          <w:shd w:val="clear" w:color="FFFFFF" w:fill="auto"/>
        </w:rPr>
      </w:pPr>
      <w:r>
        <w:rPr>
          <w:rFonts w:ascii="Times New Roman" w:hAnsi="Times New Roman" w:eastAsia="仿宋_GB2312"/>
          <w:b/>
          <w:snapToGrid w:val="0"/>
          <w:kern w:val="0"/>
          <w:sz w:val="32"/>
          <w:szCs w:val="32"/>
        </w:rPr>
        <w:t>六是收支平衡情况。</w:t>
      </w:r>
      <w:r>
        <w:rPr>
          <w:rFonts w:ascii="Times New Roman" w:hAnsi="Times New Roman" w:eastAsia="仿宋_GB2312"/>
          <w:snapToGrid w:val="0"/>
          <w:kern w:val="0"/>
          <w:sz w:val="32"/>
          <w:szCs w:val="32"/>
          <w:shd w:val="clear" w:color="FFFFFF" w:fill="auto"/>
        </w:rPr>
        <w:t>2021年一般公共财政总收入为168701万元，其中：本级一般公共预算收入2659万元、上级补助收入152225万元、接受其他地区援助收入8025万元、债券转贷收入4730万元、上年结余924万元、调入资金6万元、动用预算稳定调节基金132万元。2021年一般公共预算支出166199万元，上解上级支出412万元，债务还本支出1230万元，增设预算稳定调节基金100万元，2021年一般公共预算支出总计</w:t>
      </w:r>
      <w:bookmarkStart w:id="0" w:name="_GoBack"/>
      <w:bookmarkEnd w:id="0"/>
      <w:r>
        <w:rPr>
          <w:rFonts w:ascii="Times New Roman" w:hAnsi="Times New Roman" w:eastAsia="仿宋_GB2312"/>
          <w:snapToGrid w:val="0"/>
          <w:kern w:val="0"/>
          <w:sz w:val="32"/>
          <w:szCs w:val="32"/>
          <w:shd w:val="clear" w:color="FFFFFF" w:fill="auto"/>
        </w:rPr>
        <w:t>167941万元。年终结余760万元，已全部结转下年支出，当年收支平衡。</w:t>
      </w:r>
    </w:p>
    <w:p>
      <w:pPr>
        <w:tabs>
          <w:tab w:val="left" w:pos="1737"/>
        </w:tabs>
        <w:adjustRightInd w:val="0"/>
        <w:snapToGrid w:val="0"/>
        <w:spacing w:line="560" w:lineRule="exact"/>
        <w:ind w:firstLine="594" w:firstLineChars="196"/>
        <w:rPr>
          <w:rFonts w:ascii="Times New Roman" w:hAnsi="Times New Roman" w:eastAsia="仿宋_GB2312"/>
          <w:snapToGrid w:val="0"/>
          <w:kern w:val="0"/>
          <w:sz w:val="32"/>
          <w:szCs w:val="32"/>
          <w:shd w:val="clear" w:color="FFFFFF" w:fill="auto"/>
        </w:rPr>
      </w:pPr>
      <w:r>
        <w:rPr>
          <w:rFonts w:ascii="Times New Roman" w:hAnsi="Times New Roman" w:eastAsia="仿宋_GB2312"/>
          <w:b/>
          <w:snapToGrid w:val="0"/>
          <w:kern w:val="0"/>
          <w:sz w:val="32"/>
          <w:szCs w:val="32"/>
          <w:shd w:val="clear" w:color="FFFFFF" w:fill="auto"/>
        </w:rPr>
        <w:t>七是预备费使用情况。</w:t>
      </w:r>
      <w:r>
        <w:rPr>
          <w:rFonts w:ascii="Times New Roman" w:hAnsi="Times New Roman" w:eastAsia="仿宋_GB2312"/>
          <w:snapToGrid w:val="0"/>
          <w:kern w:val="0"/>
          <w:sz w:val="32"/>
          <w:szCs w:val="32"/>
          <w:shd w:val="clear" w:color="FFFFFF" w:fill="auto"/>
        </w:rPr>
        <w:t>2021年一般公共预算年初安排预备费1000万元，全部</w:t>
      </w:r>
      <w:r>
        <w:rPr>
          <w:rFonts w:hint="eastAsia" w:ascii="Times New Roman" w:hAnsi="Times New Roman" w:eastAsia="仿宋_GB2312"/>
          <w:snapToGrid w:val="0"/>
          <w:kern w:val="0"/>
          <w:sz w:val="32"/>
          <w:szCs w:val="32"/>
          <w:shd w:val="clear" w:color="FFFFFF" w:fill="auto"/>
        </w:rPr>
        <w:t>安排至“224-灾害防治及应急管理支出”科目，主要用于</w:t>
      </w:r>
      <w:r>
        <w:rPr>
          <w:rFonts w:ascii="Times New Roman" w:hAnsi="Times New Roman" w:eastAsia="仿宋_GB2312"/>
          <w:snapToGrid w:val="0"/>
          <w:kern w:val="0"/>
          <w:sz w:val="32"/>
          <w:szCs w:val="32"/>
          <w:shd w:val="clear" w:color="FFFFFF" w:fill="auto"/>
        </w:rPr>
        <w:t>当年发生的自然灾害应急处置、恢复重建等方面的支出。</w:t>
      </w:r>
    </w:p>
    <w:p>
      <w:pPr>
        <w:spacing w:line="560" w:lineRule="exact"/>
        <w:ind w:firstLine="606" w:firstLineChars="200"/>
        <w:jc w:val="left"/>
        <w:rPr>
          <w:rFonts w:ascii="Times New Roman" w:hAnsi="Times New Roman" w:eastAsia="楷体_GB2312"/>
          <w:b/>
          <w:snapToGrid w:val="0"/>
          <w:kern w:val="0"/>
          <w:sz w:val="32"/>
          <w:szCs w:val="32"/>
        </w:rPr>
      </w:pPr>
      <w:r>
        <w:rPr>
          <w:rFonts w:ascii="Times New Roman" w:hAnsi="Times New Roman" w:eastAsia="楷体_GB2312"/>
          <w:b/>
          <w:snapToGrid w:val="0"/>
          <w:kern w:val="0"/>
          <w:sz w:val="32"/>
          <w:szCs w:val="32"/>
        </w:rPr>
        <w:t>（二）政府</w:t>
      </w:r>
      <w:r>
        <w:rPr>
          <w:rFonts w:ascii="Times New Roman" w:hAnsi="Times New Roman" w:eastAsia="楷体_GB2312"/>
          <w:b/>
          <w:sz w:val="32"/>
          <w:szCs w:val="32"/>
        </w:rPr>
        <w:t>性</w:t>
      </w:r>
      <w:r>
        <w:rPr>
          <w:rFonts w:ascii="Times New Roman" w:hAnsi="Times New Roman" w:eastAsia="楷体_GB2312"/>
          <w:b/>
          <w:snapToGrid w:val="0"/>
          <w:kern w:val="0"/>
          <w:sz w:val="32"/>
          <w:szCs w:val="32"/>
        </w:rPr>
        <w:t>基金预算收支决算情况</w:t>
      </w:r>
    </w:p>
    <w:p>
      <w:pPr>
        <w:adjustRightInd w:val="0"/>
        <w:snapToGrid w:val="0"/>
        <w:spacing w:line="560" w:lineRule="exact"/>
        <w:ind w:firstLine="606" w:firstLineChars="200"/>
        <w:rPr>
          <w:rFonts w:ascii="Times New Roman" w:hAnsi="Times New Roman" w:eastAsia="仿宋_GB2312"/>
          <w:snapToGrid w:val="0"/>
          <w:kern w:val="0"/>
          <w:sz w:val="32"/>
        </w:rPr>
      </w:pPr>
      <w:r>
        <w:rPr>
          <w:rFonts w:ascii="Times New Roman" w:hAnsi="Times New Roman" w:eastAsia="仿宋_GB2312"/>
          <w:snapToGrid w:val="0"/>
          <w:kern w:val="0"/>
          <w:sz w:val="32"/>
          <w:szCs w:val="32"/>
        </w:rPr>
        <w:t>政府性基金预算收入完成34万元</w:t>
      </w:r>
      <w:r>
        <w:rPr>
          <w:rStyle w:val="10"/>
          <w:rFonts w:ascii="Times New Roman" w:hAnsi="Times New Roman" w:eastAsia="仿宋_GB2312"/>
          <w:snapToGrid w:val="0"/>
          <w:kern w:val="0"/>
          <w:sz w:val="32"/>
        </w:rPr>
        <w:t>，上级补助收入145万元，调入资金89万元，</w:t>
      </w:r>
      <w:r>
        <w:rPr>
          <w:rFonts w:ascii="Times New Roman" w:hAnsi="Times New Roman" w:eastAsia="仿宋_GB2312"/>
          <w:snapToGrid w:val="0"/>
          <w:kern w:val="0"/>
          <w:sz w:val="32"/>
          <w:szCs w:val="32"/>
        </w:rPr>
        <w:t>政府性基金收入总计为268万元</w:t>
      </w:r>
      <w:r>
        <w:rPr>
          <w:rStyle w:val="10"/>
          <w:rFonts w:ascii="Times New Roman" w:hAnsi="Times New Roman" w:eastAsia="仿宋_GB2312"/>
          <w:snapToGrid w:val="0"/>
          <w:kern w:val="0"/>
          <w:sz w:val="32"/>
        </w:rPr>
        <w:t>。</w:t>
      </w:r>
      <w:r>
        <w:rPr>
          <w:rFonts w:ascii="Times New Roman" w:hAnsi="Times New Roman" w:eastAsia="仿宋_GB2312"/>
          <w:snapToGrid w:val="0"/>
          <w:kern w:val="0"/>
          <w:sz w:val="32"/>
          <w:szCs w:val="32"/>
        </w:rPr>
        <w:t>政府性基金支出完成262万元（其中：社会保障和就业支出1万元，城乡社区支出10万元，其他支出225万元，债务付息支出26万元），调出资金6万元，当年政府性基金预算收支平衡。</w:t>
      </w:r>
    </w:p>
    <w:p>
      <w:pPr>
        <w:adjustRightInd w:val="0"/>
        <w:snapToGrid w:val="0"/>
        <w:spacing w:line="560" w:lineRule="exact"/>
        <w:ind w:firstLine="606" w:firstLineChars="200"/>
        <w:rPr>
          <w:rFonts w:ascii="Times New Roman" w:hAnsi="Times New Roman" w:eastAsia="楷体_GB2312"/>
          <w:b/>
          <w:bCs/>
          <w:kern w:val="0"/>
          <w:sz w:val="32"/>
          <w:szCs w:val="32"/>
        </w:rPr>
      </w:pPr>
      <w:r>
        <w:rPr>
          <w:rFonts w:ascii="Times New Roman" w:hAnsi="Times New Roman" w:eastAsia="楷体_GB2312"/>
          <w:b/>
          <w:bCs/>
          <w:kern w:val="0"/>
          <w:sz w:val="32"/>
          <w:szCs w:val="32"/>
        </w:rPr>
        <w:t>（三）国有资本经营预算收支决算情况</w:t>
      </w:r>
    </w:p>
    <w:p>
      <w:pPr>
        <w:spacing w:line="560" w:lineRule="exact"/>
        <w:ind w:firstLine="606" w:firstLineChars="200"/>
        <w:rPr>
          <w:rFonts w:ascii="Times New Roman" w:hAnsi="Times New Roman" w:eastAsia="仿宋_GB2312"/>
          <w:sz w:val="32"/>
          <w:szCs w:val="32"/>
        </w:rPr>
      </w:pPr>
      <w:r>
        <w:rPr>
          <w:rFonts w:ascii="Times New Roman" w:hAnsi="Times New Roman" w:eastAsia="仿宋_GB2312"/>
          <w:sz w:val="32"/>
          <w:szCs w:val="32"/>
        </w:rPr>
        <w:t>因阿坝明达水电开发有限公司将利润弥补了以前年度亏损，导致年初预算的3万元收入任务未完成，2021年国有资本经营预算收支为零。</w:t>
      </w:r>
    </w:p>
    <w:p>
      <w:pPr>
        <w:spacing w:line="560" w:lineRule="exact"/>
        <w:ind w:firstLine="606" w:firstLineChars="200"/>
        <w:rPr>
          <w:rFonts w:ascii="Times New Roman" w:hAnsi="Times New Roman" w:eastAsia="楷体_GB2312"/>
          <w:b/>
          <w:bCs/>
          <w:kern w:val="0"/>
          <w:sz w:val="32"/>
          <w:szCs w:val="32"/>
        </w:rPr>
      </w:pPr>
      <w:r>
        <w:rPr>
          <w:rFonts w:ascii="Times New Roman" w:hAnsi="Times New Roman" w:eastAsia="楷体_GB2312"/>
          <w:b/>
          <w:bCs/>
          <w:kern w:val="0"/>
          <w:sz w:val="32"/>
          <w:szCs w:val="32"/>
        </w:rPr>
        <w:t>（四）社会保险基金预算收支决算情况</w:t>
      </w:r>
    </w:p>
    <w:p>
      <w:pPr>
        <w:spacing w:line="560" w:lineRule="exact"/>
        <w:ind w:firstLine="606" w:firstLineChars="200"/>
        <w:jc w:val="left"/>
        <w:rPr>
          <w:rFonts w:ascii="Times New Roman" w:hAnsi="Times New Roman" w:eastAsia="仿宋_GB2312"/>
          <w:sz w:val="32"/>
          <w:szCs w:val="32"/>
        </w:rPr>
      </w:pPr>
      <w:r>
        <w:rPr>
          <w:rFonts w:ascii="Times New Roman" w:hAnsi="Times New Roman" w:eastAsia="仿宋_GB2312"/>
          <w:sz w:val="32"/>
          <w:szCs w:val="32"/>
        </w:rPr>
        <w:t>城乡居民养老保险基金完成收入925万元，城乡居民养老保险基金完成支出512万元，当年结余413万元，累计结余2300万元。</w:t>
      </w:r>
    </w:p>
    <w:p>
      <w:pPr>
        <w:spacing w:line="560" w:lineRule="exact"/>
        <w:ind w:firstLine="606" w:firstLineChars="200"/>
        <w:rPr>
          <w:rFonts w:ascii="Times New Roman" w:hAnsi="Times New Roman" w:eastAsia="楷体_GB2312"/>
          <w:b/>
          <w:bCs/>
          <w:kern w:val="0"/>
          <w:sz w:val="32"/>
          <w:szCs w:val="32"/>
        </w:rPr>
      </w:pPr>
      <w:r>
        <w:rPr>
          <w:rFonts w:ascii="Times New Roman" w:hAnsi="Times New Roman" w:eastAsia="楷体_GB2312"/>
          <w:b/>
          <w:bCs/>
          <w:kern w:val="0"/>
          <w:sz w:val="32"/>
          <w:szCs w:val="32"/>
        </w:rPr>
        <w:t>（五）2021年州县财政资金结算情况</w:t>
      </w:r>
    </w:p>
    <w:p>
      <w:pPr>
        <w:spacing w:line="560" w:lineRule="exact"/>
        <w:ind w:firstLine="606" w:firstLineChars="200"/>
        <w:jc w:val="left"/>
        <w:rPr>
          <w:rFonts w:ascii="Times New Roman" w:hAnsi="Times New Roman" w:eastAsia="仿宋_GB2312"/>
          <w:snapToGrid w:val="0"/>
          <w:kern w:val="0"/>
          <w:sz w:val="32"/>
          <w:szCs w:val="32"/>
        </w:rPr>
      </w:pPr>
      <w:r>
        <w:rPr>
          <w:rFonts w:ascii="Times New Roman" w:hAnsi="Times New Roman" w:eastAsia="仿宋_GB2312"/>
          <w:snapToGrid w:val="0"/>
          <w:kern w:val="0"/>
          <w:sz w:val="32"/>
          <w:szCs w:val="32"/>
        </w:rPr>
        <w:t>根据《阿坝州财政局关于2021年州财政与县（市）、卧龙特区财政年终结算有关事项的通知》</w:t>
      </w:r>
      <w:r>
        <w:rPr>
          <w:rFonts w:ascii="Times New Roman" w:hAnsi="Times New Roman" w:eastAsia="仿宋_GB2312"/>
          <w:b/>
          <w:snapToGrid w:val="0"/>
          <w:kern w:val="0"/>
          <w:sz w:val="32"/>
          <w:szCs w:val="32"/>
        </w:rPr>
        <w:t>（</w:t>
      </w:r>
      <w:r>
        <w:rPr>
          <w:rFonts w:ascii="Times New Roman" w:hAnsi="Times New Roman" w:eastAsia="仿宋_GB2312"/>
          <w:snapToGrid w:val="0"/>
          <w:kern w:val="0"/>
          <w:sz w:val="32"/>
          <w:szCs w:val="32"/>
        </w:rPr>
        <w:t>阿州财预〔2022〕45号）文件，州县财政资金结算情况为：2021年州财政应拨付壤塘县财政款151958万元，2021年州财政已拨付壤塘县财政款(含上划中央两税就地留用资金)181378万元，2020年年终结算州财政累计欠壤塘县财政款31769万元，2021年年终结算州财政累计欠壤塘县财政款2349万元。2021年末预算周转金5万元。</w:t>
      </w:r>
    </w:p>
    <w:p>
      <w:pPr>
        <w:spacing w:line="560" w:lineRule="exact"/>
        <w:ind w:firstLine="606" w:firstLineChars="200"/>
        <w:rPr>
          <w:rFonts w:ascii="Times New Roman" w:hAnsi="Times New Roman" w:eastAsia="楷体_GB2312"/>
          <w:b/>
          <w:bCs/>
          <w:kern w:val="0"/>
          <w:sz w:val="32"/>
          <w:szCs w:val="32"/>
        </w:rPr>
      </w:pPr>
      <w:r>
        <w:rPr>
          <w:rFonts w:ascii="Times New Roman" w:hAnsi="Times New Roman" w:eastAsia="楷体_GB2312"/>
          <w:b/>
          <w:bCs/>
          <w:kern w:val="0"/>
          <w:sz w:val="32"/>
          <w:szCs w:val="32"/>
        </w:rPr>
        <w:t>（六）2021年地方政府债务情况</w:t>
      </w:r>
    </w:p>
    <w:p>
      <w:pPr>
        <w:spacing w:line="560" w:lineRule="exact"/>
        <w:ind w:firstLine="606" w:firstLineChars="200"/>
        <w:rPr>
          <w:rFonts w:ascii="Times New Roman" w:hAnsi="Times New Roman" w:eastAsia="仿宋_GB2312"/>
          <w:snapToGrid w:val="0"/>
          <w:kern w:val="0"/>
          <w:sz w:val="32"/>
          <w:szCs w:val="32"/>
        </w:rPr>
      </w:pPr>
      <w:r>
        <w:rPr>
          <w:rFonts w:ascii="Times New Roman" w:hAnsi="Times New Roman" w:eastAsia="仿宋_GB2312"/>
          <w:snapToGrid w:val="0"/>
          <w:kern w:val="0"/>
          <w:sz w:val="32"/>
          <w:szCs w:val="32"/>
        </w:rPr>
        <w:t>2021年初政府存量债务21686万元，</w:t>
      </w:r>
      <w:r>
        <w:rPr>
          <w:rFonts w:ascii="Times New Roman" w:hAnsi="Times New Roman" w:eastAsia="仿宋_GB2312"/>
          <w:bCs/>
          <w:sz w:val="32"/>
        </w:rPr>
        <w:t>当年新增地方政府债券转贷收入4730万元，其中：</w:t>
      </w:r>
      <w:r>
        <w:rPr>
          <w:rFonts w:ascii="Times New Roman" w:hAnsi="Times New Roman" w:eastAsia="仿宋_GB2312"/>
          <w:sz w:val="32"/>
          <w:szCs w:val="32"/>
        </w:rPr>
        <w:t>一般债券3500万元、</w:t>
      </w:r>
      <w:r>
        <w:rPr>
          <w:rFonts w:ascii="Times New Roman" w:hAnsi="Times New Roman" w:eastAsia="仿宋_GB2312"/>
          <w:bCs/>
          <w:sz w:val="32"/>
        </w:rPr>
        <w:t>再融资债券1230万元。当年地方政府一般债券还本支出1230万元，2021年末地方政府债务余额为25186万元，其中：一般债务24526万元、专项债务660万元。上级核定2021年我县地方政府债务限额为28342万元，</w:t>
      </w:r>
      <w:r>
        <w:rPr>
          <w:rFonts w:ascii="Times New Roman" w:hAnsi="Times New Roman" w:eastAsia="仿宋_GB2312"/>
          <w:snapToGrid w:val="0"/>
          <w:kern w:val="0"/>
          <w:sz w:val="32"/>
          <w:szCs w:val="32"/>
        </w:rPr>
        <w:t>债务风险可控。</w:t>
      </w:r>
    </w:p>
    <w:p>
      <w:pPr>
        <w:spacing w:line="560" w:lineRule="exact"/>
        <w:ind w:firstLine="606" w:firstLineChars="200"/>
        <w:rPr>
          <w:rStyle w:val="9"/>
          <w:rFonts w:ascii="Times New Roman" w:hAnsi="Times New Roman" w:eastAsia="仿宋_GB2312"/>
          <w:snapToGrid w:val="0"/>
          <w:kern w:val="0"/>
          <w:sz w:val="32"/>
          <w:szCs w:val="32"/>
        </w:rPr>
      </w:pPr>
      <w:r>
        <w:rPr>
          <w:rFonts w:ascii="Times New Roman" w:hAnsi="Times New Roman" w:eastAsia="仿宋_GB2312"/>
          <w:kern w:val="0"/>
          <w:sz w:val="32"/>
          <w:szCs w:val="32"/>
        </w:rPr>
        <w:t>以上数据是州财政批复的决算数据，与</w:t>
      </w:r>
      <w:r>
        <w:rPr>
          <w:rFonts w:ascii="Times New Roman" w:hAnsi="Times New Roman" w:eastAsia="仿宋_GB2312"/>
          <w:snapToGrid w:val="0"/>
          <w:kern w:val="0"/>
          <w:sz w:val="32"/>
          <w:szCs w:val="32"/>
        </w:rPr>
        <w:t>县第十五届人民代表大会第一次会议审议的年度预算执行情况报告略有差异。</w:t>
      </w:r>
    </w:p>
    <w:p>
      <w:pPr>
        <w:spacing w:line="560" w:lineRule="exact"/>
        <w:ind w:firstLine="606" w:firstLineChars="200"/>
        <w:rPr>
          <w:rFonts w:ascii="Times New Roman" w:hAnsi="Times New Roman" w:eastAsia="黑体"/>
          <w:snapToGrid w:val="0"/>
          <w:kern w:val="0"/>
          <w:sz w:val="32"/>
          <w:szCs w:val="32"/>
        </w:rPr>
      </w:pPr>
      <w:r>
        <w:rPr>
          <w:rFonts w:ascii="Times New Roman" w:hAnsi="黑体" w:eastAsia="黑体"/>
          <w:snapToGrid w:val="0"/>
          <w:kern w:val="0"/>
          <w:sz w:val="32"/>
          <w:szCs w:val="32"/>
        </w:rPr>
        <w:t>二、</w:t>
      </w:r>
      <w:r>
        <w:rPr>
          <w:rFonts w:ascii="Times New Roman" w:hAnsi="Times New Roman" w:eastAsia="黑体"/>
          <w:snapToGrid w:val="0"/>
          <w:kern w:val="0"/>
          <w:sz w:val="32"/>
          <w:szCs w:val="32"/>
        </w:rPr>
        <w:t>2021</w:t>
      </w:r>
      <w:r>
        <w:rPr>
          <w:rFonts w:ascii="Times New Roman" w:hAnsi="黑体" w:eastAsia="黑体"/>
          <w:snapToGrid w:val="0"/>
          <w:kern w:val="0"/>
          <w:sz w:val="32"/>
          <w:szCs w:val="32"/>
        </w:rPr>
        <w:t>年财政工作开展情况</w:t>
      </w:r>
    </w:p>
    <w:p>
      <w:pPr>
        <w:spacing w:line="560" w:lineRule="exact"/>
        <w:ind w:firstLine="606" w:firstLineChars="200"/>
        <w:rPr>
          <w:rFonts w:ascii="Times New Roman" w:hAnsi="Times New Roman" w:eastAsia="仿宋_GB2312"/>
          <w:sz w:val="32"/>
          <w:szCs w:val="32"/>
        </w:rPr>
      </w:pPr>
      <w:r>
        <w:rPr>
          <w:rFonts w:hint="eastAsia" w:ascii="仿宋_GB2312" w:eastAsia="仿宋_GB2312"/>
          <w:b/>
          <w:color w:val="000000"/>
          <w:sz w:val="32"/>
          <w:szCs w:val="32"/>
        </w:rPr>
        <w:t>主任、各位副主任、各位委员：</w:t>
      </w:r>
      <w:r>
        <w:rPr>
          <w:rFonts w:ascii="Times New Roman" w:hAnsi="Times New Roman" w:eastAsia="仿宋_GB2312"/>
          <w:sz w:val="32"/>
          <w:szCs w:val="32"/>
        </w:rPr>
        <w:t>2021年预算执行情况良好，财政工作平稳运行，重点支出保障有力，较好完成了全年目标任务，这是县委正确领导和县人大、县政协监督指导及社会各界大力支持、共同关心的结果，在此谨表示衷心的感谢！在充分肯定成绩的同时，我们也清醒地认识到我县财政运行管理中还存在一些困难和问题，</w:t>
      </w:r>
      <w:r>
        <w:rPr>
          <w:rFonts w:ascii="Times New Roman" w:hAnsi="Times New Roman" w:eastAsia="仿宋_GB2312"/>
          <w:b/>
          <w:bCs/>
          <w:sz w:val="32"/>
          <w:szCs w:val="32"/>
        </w:rPr>
        <w:t>一是</w:t>
      </w:r>
      <w:r>
        <w:rPr>
          <w:rFonts w:ascii="Times New Roman" w:hAnsi="Times New Roman" w:eastAsia="仿宋_GB2312"/>
          <w:sz w:val="32"/>
          <w:szCs w:val="32"/>
        </w:rPr>
        <w:t>目前我县财政收支矛盾较为突出。</w:t>
      </w:r>
      <w:r>
        <w:rPr>
          <w:rFonts w:ascii="Times New Roman" w:hAnsi="Times New Roman" w:eastAsia="仿宋_GB2312"/>
          <w:b/>
          <w:bCs/>
          <w:sz w:val="32"/>
          <w:szCs w:val="32"/>
        </w:rPr>
        <w:t>二是</w:t>
      </w:r>
      <w:r>
        <w:rPr>
          <w:rFonts w:ascii="Times New Roman" w:hAnsi="Times New Roman" w:eastAsia="仿宋_GB2312"/>
          <w:sz w:val="32"/>
          <w:szCs w:val="32"/>
        </w:rPr>
        <w:t>预算公开范围和内容仍需细化。</w:t>
      </w:r>
      <w:r>
        <w:rPr>
          <w:rFonts w:ascii="Times New Roman" w:hAnsi="Times New Roman" w:eastAsia="仿宋_GB2312"/>
          <w:b/>
          <w:bCs/>
          <w:sz w:val="32"/>
          <w:szCs w:val="32"/>
        </w:rPr>
        <w:t>三是</w:t>
      </w:r>
      <w:r>
        <w:rPr>
          <w:rFonts w:ascii="Times New Roman" w:hAnsi="Times New Roman" w:eastAsia="仿宋_GB2312"/>
          <w:sz w:val="32"/>
          <w:szCs w:val="32"/>
        </w:rPr>
        <w:t>预算管理统筹力度不足，预算约束不够有力，资源配置使用效率不高。</w:t>
      </w:r>
      <w:r>
        <w:rPr>
          <w:rFonts w:ascii="Times New Roman" w:hAnsi="Times New Roman" w:eastAsia="仿宋_GB2312"/>
          <w:b/>
          <w:bCs/>
          <w:sz w:val="32"/>
          <w:szCs w:val="32"/>
        </w:rPr>
        <w:t>四是</w:t>
      </w:r>
      <w:r>
        <w:rPr>
          <w:rFonts w:ascii="Times New Roman" w:hAnsi="Times New Roman" w:eastAsia="仿宋_GB2312"/>
          <w:sz w:val="32"/>
          <w:szCs w:val="32"/>
        </w:rPr>
        <w:t>预算绩效管理尚不全面，资金使用效益有待提高。为此，我们将虚心听取各位代表的意见建议，增添措施，扎实有效地抓好财政工作。</w:t>
      </w:r>
    </w:p>
    <w:p>
      <w:pPr>
        <w:spacing w:line="560" w:lineRule="exact"/>
        <w:ind w:firstLine="606" w:firstLineChars="200"/>
        <w:rPr>
          <w:rFonts w:ascii="Times New Roman" w:hAnsi="Times New Roman" w:eastAsia="仿宋_GB2312"/>
          <w:bCs/>
          <w:sz w:val="32"/>
        </w:rPr>
      </w:pPr>
      <w:r>
        <w:rPr>
          <w:rFonts w:ascii="Times New Roman" w:hAnsi="Times New Roman" w:eastAsia="仿宋_GB2312"/>
          <w:sz w:val="32"/>
          <w:szCs w:val="32"/>
        </w:rPr>
        <w:t>根据2021年工作中遇到的困难和问题，在汲取经验及教训后理出了下一步工作思路及措施。</w:t>
      </w:r>
      <w:r>
        <w:rPr>
          <w:rFonts w:ascii="Times New Roman" w:hAnsi="Times New Roman" w:eastAsia="楷体_GB2312"/>
          <w:b/>
          <w:sz w:val="32"/>
        </w:rPr>
        <w:t>一是</w:t>
      </w:r>
      <w:r>
        <w:rPr>
          <w:rFonts w:ascii="Times New Roman" w:hAnsi="Times New Roman" w:eastAsia="仿宋_GB2312"/>
          <w:color w:val="000000"/>
          <w:kern w:val="0"/>
          <w:sz w:val="32"/>
          <w:szCs w:val="32"/>
        </w:rPr>
        <w:t>进一步加强财税协作，及时掌握税收动态，对重点行业、重大项目和重点税种进行分析和预测，掌控财政收入的主动性</w:t>
      </w:r>
      <w:r>
        <w:rPr>
          <w:rFonts w:ascii="Times New Roman" w:hAnsi="Times New Roman" w:eastAsia="仿宋_GB2312"/>
          <w:bCs/>
          <w:sz w:val="32"/>
        </w:rPr>
        <w:t>。</w:t>
      </w:r>
      <w:r>
        <w:rPr>
          <w:rFonts w:ascii="Times New Roman" w:hAnsi="Times New Roman" w:eastAsia="楷体_GB2312"/>
          <w:b/>
          <w:sz w:val="32"/>
        </w:rPr>
        <w:t>二是</w:t>
      </w:r>
      <w:r>
        <w:rPr>
          <w:rFonts w:ascii="Times New Roman" w:hAnsi="Times New Roman" w:eastAsia="仿宋_GB2312"/>
          <w:color w:val="000000"/>
          <w:sz w:val="32"/>
          <w:szCs w:val="32"/>
        </w:rPr>
        <w:t>积极应对经济下行压力、疫情冲击及中央和省、州出台的一系列减税降费政策，严格执行留抵退税任务，确保应退尽退</w:t>
      </w:r>
      <w:r>
        <w:rPr>
          <w:rFonts w:ascii="Times New Roman" w:hAnsi="Times New Roman" w:eastAsia="仿宋_GB2312"/>
          <w:bCs/>
          <w:sz w:val="32"/>
        </w:rPr>
        <w:t>。</w:t>
      </w:r>
      <w:r>
        <w:rPr>
          <w:rFonts w:ascii="Times New Roman" w:hAnsi="Times New Roman" w:eastAsia="楷体_GB2312"/>
          <w:b/>
          <w:sz w:val="32"/>
        </w:rPr>
        <w:t>三是</w:t>
      </w:r>
      <w:r>
        <w:rPr>
          <w:rFonts w:ascii="Times New Roman" w:hAnsi="Times New Roman" w:eastAsia="仿宋_GB2312"/>
          <w:color w:val="000000"/>
          <w:sz w:val="32"/>
          <w:szCs w:val="32"/>
        </w:rPr>
        <w:t>严控一般性支出，将压减工作落实到预算执行上。建立“保工资、保运转、保基本民生”支出风险防范联动机制，确保“三保”支出足额保障、不留缺口，切实兜住“三保”底线。</w:t>
      </w:r>
      <w:r>
        <w:rPr>
          <w:rFonts w:ascii="Times New Roman" w:hAnsi="Times New Roman" w:eastAsia="仿宋_GB2312"/>
          <w:b/>
          <w:bCs/>
          <w:sz w:val="32"/>
        </w:rPr>
        <w:t>四是</w:t>
      </w:r>
      <w:r>
        <w:rPr>
          <w:rFonts w:ascii="Times New Roman" w:hAnsi="Times New Roman" w:eastAsia="仿宋_GB2312"/>
          <w:sz w:val="32"/>
          <w:szCs w:val="32"/>
        </w:rPr>
        <w:t>有序推进预算管理系统一体化、政府购买服务等财政改革工作，持续用力加快财政资金支出进度，对衔接资金、民生领域资金、重点项目资金实行动态清理和监督检查。</w:t>
      </w:r>
    </w:p>
    <w:p>
      <w:pPr>
        <w:spacing w:line="560" w:lineRule="exact"/>
        <w:ind w:firstLine="606" w:firstLineChars="200"/>
        <w:rPr>
          <w:rFonts w:ascii="Times New Roman" w:hAnsi="Times New Roman" w:eastAsia="仿宋_GB2312"/>
          <w:sz w:val="32"/>
          <w:szCs w:val="32"/>
        </w:rPr>
      </w:pPr>
    </w:p>
    <w:p>
      <w:pPr>
        <w:spacing w:line="560" w:lineRule="exact"/>
        <w:ind w:firstLine="606" w:firstLineChars="200"/>
        <w:rPr>
          <w:rFonts w:ascii="Times New Roman" w:hAnsi="Times New Roman" w:eastAsia="仿宋_GB2312"/>
          <w:color w:val="000000"/>
          <w:sz w:val="32"/>
          <w:szCs w:val="32"/>
        </w:rPr>
      </w:pPr>
    </w:p>
    <w:sectPr>
      <w:footerReference r:id="rId5" w:type="first"/>
      <w:footerReference r:id="rId3" w:type="default"/>
      <w:footerReference r:id="rId4" w:type="even"/>
      <w:pgSz w:w="11906" w:h="16838"/>
      <w:pgMar w:top="2098" w:right="1474" w:bottom="1985" w:left="1588" w:header="851" w:footer="992" w:gutter="0"/>
      <w:cols w:space="720" w:num="1"/>
      <w:titlePg/>
      <w:docGrid w:type="linesAndChars" w:linePitch="289" w:charSpace="-36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280"/>
      <w:jc w:val="right"/>
      <w:rPr>
        <w:rFonts w:ascii="宋体"/>
        <w:sz w:val="28"/>
        <w:szCs w:val="28"/>
      </w:rPr>
    </w:pPr>
    <w:r>
      <w:rPr>
        <w:rFonts w:hint="eastAsia" w:ascii="宋体"/>
        <w:sz w:val="28"/>
        <w:szCs w:val="28"/>
      </w:rPr>
      <w:t xml:space="preserve">— </w:t>
    </w:r>
    <w:r>
      <w:rPr>
        <w:rFonts w:hint="eastAsia" w:ascii="宋体"/>
        <w:sz w:val="28"/>
        <w:szCs w:val="28"/>
      </w:rPr>
      <w:fldChar w:fldCharType="begin"/>
    </w:r>
    <w:r>
      <w:rPr>
        <w:rFonts w:hint="eastAsia" w:ascii="宋体"/>
        <w:sz w:val="28"/>
        <w:szCs w:val="28"/>
      </w:rPr>
      <w:instrText xml:space="preserve"> PAGE   \* MERGEFORMAT </w:instrText>
    </w:r>
    <w:r>
      <w:rPr>
        <w:rFonts w:hint="eastAsia" w:ascii="宋体"/>
        <w:sz w:val="28"/>
        <w:szCs w:val="28"/>
      </w:rPr>
      <w:fldChar w:fldCharType="separate"/>
    </w:r>
    <w:r>
      <w:rPr>
        <w:rFonts w:ascii="宋体"/>
        <w:sz w:val="28"/>
        <w:szCs w:val="28"/>
        <w:lang w:val="zh-CN"/>
      </w:rPr>
      <w:t>3</w:t>
    </w:r>
    <w:r>
      <w:rPr>
        <w:rFonts w:hint="eastAsia" w:ascii="宋体"/>
        <w:sz w:val="28"/>
        <w:szCs w:val="28"/>
      </w:rPr>
      <w:fldChar w:fldCharType="end"/>
    </w:r>
    <w:r>
      <w:rPr>
        <w:rFonts w:hint="eastAsia" w:ascii="宋体"/>
        <w:sz w:val="28"/>
        <w:szCs w:val="28"/>
      </w:rPr>
      <w:t xml:space="preserve"> —</w:t>
    </w:r>
  </w:p>
  <w:p>
    <w:pPr>
      <w:pStyle w:val="3"/>
      <w:ind w:right="840"/>
      <w:rPr>
        <w:rFonts w:asci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ascii="宋体"/>
        <w:sz w:val="28"/>
        <w:szCs w:val="28"/>
      </w:rPr>
    </w:pPr>
    <w:r>
      <w:rPr>
        <w:rFonts w:hint="eastAsia" w:ascii="宋体"/>
        <w:sz w:val="28"/>
        <w:szCs w:val="28"/>
      </w:rPr>
      <w:t xml:space="preserve">— </w:t>
    </w:r>
    <w:r>
      <w:rPr>
        <w:rFonts w:hint="eastAsia" w:ascii="宋体"/>
        <w:sz w:val="28"/>
        <w:szCs w:val="28"/>
      </w:rPr>
      <w:fldChar w:fldCharType="begin"/>
    </w:r>
    <w:r>
      <w:rPr>
        <w:rFonts w:hint="eastAsia" w:ascii="宋体"/>
        <w:sz w:val="28"/>
        <w:szCs w:val="28"/>
      </w:rPr>
      <w:instrText xml:space="preserve"> PAGE   \* MERGEFORMAT </w:instrText>
    </w:r>
    <w:r>
      <w:rPr>
        <w:rFonts w:hint="eastAsia" w:ascii="宋体"/>
        <w:sz w:val="28"/>
        <w:szCs w:val="28"/>
      </w:rPr>
      <w:fldChar w:fldCharType="separate"/>
    </w:r>
    <w:r>
      <w:rPr>
        <w:rFonts w:ascii="宋体"/>
        <w:sz w:val="28"/>
        <w:szCs w:val="28"/>
        <w:lang w:val="zh-CN"/>
      </w:rPr>
      <w:t>6</w:t>
    </w:r>
    <w:r>
      <w:rPr>
        <w:rFonts w:hint="eastAsia" w:ascii="宋体"/>
        <w:sz w:val="28"/>
        <w:szCs w:val="28"/>
      </w:rPr>
      <w:fldChar w:fldCharType="end"/>
    </w:r>
    <w:r>
      <w:rPr>
        <w:rFonts w:hint="eastAsia" w:ascii="宋体"/>
        <w:sz w:val="28"/>
        <w:szCs w:val="28"/>
      </w:rPr>
      <w:t xml:space="preserve"> —</w:t>
    </w:r>
  </w:p>
  <w:p>
    <w:pPr>
      <w:pStyle w:val="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280"/>
      <w:jc w:val="right"/>
      <w:rPr>
        <w:rFonts w:ascii="宋体"/>
        <w:sz w:val="28"/>
        <w:szCs w:val="28"/>
      </w:rPr>
    </w:pPr>
    <w:r>
      <w:rPr>
        <w:rFonts w:hint="eastAsia" w:ascii="宋体"/>
        <w:sz w:val="28"/>
        <w:szCs w:val="28"/>
      </w:rPr>
      <w:t xml:space="preserve">— </w:t>
    </w:r>
    <w:r>
      <w:rPr>
        <w:rFonts w:hint="eastAsia" w:ascii="宋体"/>
        <w:sz w:val="28"/>
        <w:szCs w:val="28"/>
      </w:rPr>
      <w:fldChar w:fldCharType="begin"/>
    </w:r>
    <w:r>
      <w:rPr>
        <w:rFonts w:hint="eastAsia" w:ascii="宋体"/>
        <w:sz w:val="28"/>
        <w:szCs w:val="28"/>
      </w:rPr>
      <w:instrText xml:space="preserve"> PAGE   \* MERGEFORMAT </w:instrText>
    </w:r>
    <w:r>
      <w:rPr>
        <w:rFonts w:hint="eastAsia" w:ascii="宋体"/>
        <w:sz w:val="28"/>
        <w:szCs w:val="28"/>
      </w:rPr>
      <w:fldChar w:fldCharType="separate"/>
    </w:r>
    <w:r>
      <w:rPr>
        <w:rFonts w:ascii="宋体"/>
        <w:sz w:val="28"/>
        <w:szCs w:val="28"/>
        <w:lang w:val="zh-CN"/>
      </w:rPr>
      <w:t>1</w:t>
    </w:r>
    <w:r>
      <w:rPr>
        <w:rFonts w:hint="eastAsia" w:ascii="宋体"/>
        <w:sz w:val="28"/>
        <w:szCs w:val="28"/>
      </w:rPr>
      <w:fldChar w:fldCharType="end"/>
    </w:r>
    <w:r>
      <w:rPr>
        <w:rFonts w:hint="eastAsia" w:ascii="宋体"/>
        <w:sz w:val="28"/>
        <w:szCs w:val="28"/>
      </w:rPr>
      <w:t xml:space="preserve"> —</w:t>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hideGrammaticalErrors/>
  <w:documentProtection w:enforcement="0"/>
  <w:defaultTabStop w:val="420"/>
  <w:evenAndOddHeaders w:val="1"/>
  <w:drawingGridHorizontalSpacing w:val="96"/>
  <w:drawingGridVerticalSpacing w:val="289"/>
  <w:displayHorizontalDrawingGridEvery w:val="0"/>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DE7DF2"/>
    <w:rsid w:val="000210E2"/>
    <w:rsid w:val="000A045D"/>
    <w:rsid w:val="001A1472"/>
    <w:rsid w:val="001F14B7"/>
    <w:rsid w:val="002670FE"/>
    <w:rsid w:val="00276573"/>
    <w:rsid w:val="00292FA3"/>
    <w:rsid w:val="002A08D4"/>
    <w:rsid w:val="002D3E44"/>
    <w:rsid w:val="00347F7D"/>
    <w:rsid w:val="003A4B17"/>
    <w:rsid w:val="003C08A8"/>
    <w:rsid w:val="00423F05"/>
    <w:rsid w:val="004441E4"/>
    <w:rsid w:val="00540C02"/>
    <w:rsid w:val="005A1D51"/>
    <w:rsid w:val="006415EA"/>
    <w:rsid w:val="007127E1"/>
    <w:rsid w:val="007B359F"/>
    <w:rsid w:val="007D4EAB"/>
    <w:rsid w:val="007D5061"/>
    <w:rsid w:val="008430BB"/>
    <w:rsid w:val="008F18FA"/>
    <w:rsid w:val="008F6281"/>
    <w:rsid w:val="0094282F"/>
    <w:rsid w:val="009B3BFA"/>
    <w:rsid w:val="009F1C0D"/>
    <w:rsid w:val="00A143B2"/>
    <w:rsid w:val="00A20B65"/>
    <w:rsid w:val="00B6655E"/>
    <w:rsid w:val="00BA2B75"/>
    <w:rsid w:val="00C0015B"/>
    <w:rsid w:val="00C70E3A"/>
    <w:rsid w:val="00CE5511"/>
    <w:rsid w:val="00CF1773"/>
    <w:rsid w:val="00D826AD"/>
    <w:rsid w:val="00DE0222"/>
    <w:rsid w:val="00DE7DF2"/>
    <w:rsid w:val="00E70B79"/>
    <w:rsid w:val="52FE39C9"/>
    <w:rsid w:val="53B158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仿宋_GB2312"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uiPriority w:val="0"/>
    <w:rPr>
      <w:sz w:val="18"/>
      <w:szCs w:val="18"/>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cs="宋体"/>
      <w:kern w:val="0"/>
      <w:sz w:val="24"/>
      <w:szCs w:val="24"/>
    </w:rPr>
  </w:style>
  <w:style w:type="character" w:styleId="8">
    <w:name w:val="page number"/>
    <w:basedOn w:val="7"/>
    <w:uiPriority w:val="0"/>
  </w:style>
  <w:style w:type="character" w:styleId="9">
    <w:name w:val="Emphasis"/>
    <w:basedOn w:val="7"/>
    <w:qFormat/>
    <w:uiPriority w:val="0"/>
  </w:style>
  <w:style w:type="character" w:customStyle="1" w:styleId="10">
    <w:name w:val="da"/>
    <w:basedOn w:val="7"/>
    <w:uiPriority w:val="0"/>
  </w:style>
  <w:style w:type="paragraph" w:customStyle="1" w:styleId="11">
    <w:name w:val="Char"/>
    <w:basedOn w:val="1"/>
    <w:uiPriority w:val="0"/>
    <w:rPr>
      <w:rFonts w:ascii="Times New Roman" w:hAnsi="Times New Roman"/>
      <w:szCs w:val="21"/>
    </w:rPr>
  </w:style>
  <w:style w:type="paragraph" w:customStyle="1" w:styleId="12">
    <w:name w:val="正文1"/>
    <w:uiPriority w:val="0"/>
    <w:pPr>
      <w:jc w:val="both"/>
    </w:pPr>
    <w:rPr>
      <w:rFonts w:ascii="Calibri" w:hAnsi="Calibri" w:eastAsia="宋体" w:cs="宋体"/>
      <w:kern w:val="2"/>
      <w:sz w:val="21"/>
      <w:szCs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6</Pages>
  <Words>460</Words>
  <Characters>2622</Characters>
  <Lines>21</Lines>
  <Paragraphs>6</Paragraphs>
  <TotalTime>44</TotalTime>
  <ScaleCrop>false</ScaleCrop>
  <LinksUpToDate>false</LinksUpToDate>
  <CharactersWithSpaces>3076</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2022-08-23T06:20:00Z</dcterms:created>
  <dc:creator>admin</dc:creator>
  <cp:lastModifiedBy>Lenovo</cp:lastModifiedBy>
  <cp:lastPrinted>2022-09-21T01:07:00Z</cp:lastPrinted>
  <dcterms:modified xsi:type="dcterms:W3CDTF">2022-09-27T10:45:18Z</dcterms:modified>
  <dc:title>壤塘县人民政府</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KSOSaveFontToCloudKey">
    <vt:lpwstr>226417299_btnclosed</vt:lpwstr>
  </property>
  <property fmtid="{D5CDD505-2E9C-101B-9397-08002B2CF9AE}" pid="4" name="ICV">
    <vt:lpwstr>23C3D28EE86440B69249A596D1DF5B97</vt:lpwstr>
  </property>
</Properties>
</file>