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auto"/>
          <w:sz w:val="72"/>
          <w:szCs w:val="72"/>
        </w:rPr>
      </w:pPr>
      <w:bookmarkStart w:id="0" w:name="_Toc15306267"/>
    </w:p>
    <w:p>
      <w:pPr>
        <w:spacing w:line="600" w:lineRule="exact"/>
        <w:jc w:val="center"/>
        <w:rPr>
          <w:rFonts w:ascii="方正小标宋简体" w:hAnsi="宋体" w:eastAsia="方正小标宋简体"/>
          <w:color w:val="auto"/>
          <w:sz w:val="72"/>
          <w:szCs w:val="72"/>
        </w:rPr>
      </w:pPr>
    </w:p>
    <w:p>
      <w:pPr>
        <w:spacing w:line="600" w:lineRule="exact"/>
        <w:jc w:val="center"/>
        <w:rPr>
          <w:rFonts w:ascii="方正小标宋简体" w:hAnsi="宋体" w:eastAsia="方正小标宋简体"/>
          <w:color w:val="auto"/>
          <w:sz w:val="72"/>
          <w:szCs w:val="72"/>
        </w:rPr>
      </w:pPr>
    </w:p>
    <w:p>
      <w:pPr>
        <w:spacing w:line="600" w:lineRule="exact"/>
        <w:jc w:val="center"/>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7823"/>
      <w:bookmarkStart w:id="2" w:name="_Toc15396597"/>
      <w:bookmarkStart w:id="3" w:name="_Toc15377425"/>
      <w:bookmarkStart w:id="4" w:name="_Toc15378441"/>
      <w:bookmarkStart w:id="5" w:name="_Toc15377193"/>
      <w:bookmarkStart w:id="6" w:name="_Toc15396475"/>
      <w:bookmarkStart w:id="7" w:name="_Toc2279"/>
      <w:bookmarkStart w:id="8" w:name="_Toc85790876"/>
      <w:bookmarkStart w:id="9" w:name="_Toc83809814"/>
      <w:bookmarkStart w:id="10" w:name="_Toc85625045"/>
      <w:bookmarkStart w:id="11" w:name="_Toc17946"/>
      <w:bookmarkStart w:id="12" w:name="_Toc21305"/>
      <w:bookmarkStart w:id="13" w:name="_Toc29434"/>
      <w:r>
        <w:rPr>
          <w:rFonts w:hint="eastAsia" w:ascii="黑体" w:hAnsi="黑体" w:eastAsia="黑体"/>
          <w:color w:val="auto"/>
          <w:sz w:val="72"/>
          <w:szCs w:val="72"/>
        </w:rPr>
        <w:t>2021</w:t>
      </w:r>
      <w:r>
        <w:rPr>
          <w:rFonts w:hint="eastAsia" w:ascii="方正小标宋简体" w:hAnsi="宋体" w:eastAsia="方正小标宋简体"/>
          <w:color w:val="auto"/>
          <w:sz w:val="72"/>
          <w:szCs w:val="72"/>
        </w:rPr>
        <w:t>年度</w:t>
      </w:r>
      <w:bookmarkEnd w:id="0"/>
      <w:bookmarkEnd w:id="1"/>
      <w:bookmarkEnd w:id="2"/>
      <w:bookmarkEnd w:id="3"/>
      <w:bookmarkEnd w:id="4"/>
      <w:bookmarkEnd w:id="5"/>
      <w:bookmarkEnd w:id="6"/>
      <w:bookmarkStart w:id="14" w:name="_Toc15377426"/>
      <w:bookmarkStart w:id="15" w:name="_Toc15396598"/>
      <w:bookmarkStart w:id="16" w:name="_Toc15378442"/>
      <w:bookmarkStart w:id="17" w:name="_Toc15396476"/>
      <w:bookmarkStart w:id="18" w:name="_Toc15306268"/>
      <w:bookmarkStart w:id="19" w:name="_Toc15377194"/>
    </w:p>
    <w:p>
      <w:pPr>
        <w:adjustRightInd w:val="0"/>
        <w:snapToGrid w:val="0"/>
        <w:spacing w:line="360" w:lineRule="auto"/>
        <w:jc w:val="center"/>
        <w:outlineLvl w:val="0"/>
        <w:rPr>
          <w:rFonts w:ascii="方正小标宋简体" w:hAnsi="宋体" w:eastAsia="方正小标宋简体"/>
          <w:color w:val="auto"/>
          <w:sz w:val="72"/>
          <w:szCs w:val="72"/>
        </w:rPr>
      </w:pPr>
      <w:bookmarkStart w:id="20" w:name="_Toc12604"/>
      <w:r>
        <w:rPr>
          <w:rFonts w:hint="eastAsia" w:ascii="方正小标宋简体" w:hAnsi="宋体" w:eastAsia="方正小标宋简体"/>
          <w:color w:val="auto"/>
          <w:sz w:val="72"/>
          <w:szCs w:val="72"/>
        </w:rPr>
        <w:t>政协壤塘县委员会办公室</w:t>
      </w:r>
      <w:bookmarkEnd w:id="7"/>
      <w:bookmarkEnd w:id="8"/>
      <w:bookmarkEnd w:id="9"/>
      <w:bookmarkEnd w:id="10"/>
      <w:bookmarkEnd w:id="11"/>
      <w:bookmarkEnd w:id="12"/>
      <w:bookmarkEnd w:id="13"/>
      <w:bookmarkEnd w:id="20"/>
    </w:p>
    <w:p>
      <w:pPr>
        <w:adjustRightInd w:val="0"/>
        <w:snapToGrid w:val="0"/>
        <w:spacing w:line="360" w:lineRule="auto"/>
        <w:jc w:val="center"/>
        <w:outlineLvl w:val="0"/>
        <w:rPr>
          <w:rFonts w:ascii="方正小标宋简体" w:hAnsi="宋体" w:eastAsia="方正小标宋简体"/>
          <w:color w:val="auto"/>
          <w:sz w:val="72"/>
          <w:szCs w:val="72"/>
        </w:rPr>
      </w:pPr>
      <w:bookmarkStart w:id="21" w:name="_Toc85625046"/>
      <w:bookmarkStart w:id="22" w:name="_Toc4464"/>
      <w:bookmarkStart w:id="23" w:name="_Toc19132"/>
      <w:bookmarkStart w:id="24" w:name="_Toc85790877"/>
      <w:bookmarkStart w:id="25" w:name="_Toc83809815"/>
      <w:bookmarkStart w:id="26" w:name="_Toc6761"/>
      <w:r>
        <w:rPr>
          <w:rFonts w:hint="eastAsia" w:ascii="方正小标宋简体" w:hAnsi="宋体" w:eastAsia="方正小标宋简体"/>
          <w:color w:val="auto"/>
          <w:sz w:val="72"/>
          <w:szCs w:val="72"/>
        </w:rPr>
        <w:t>部门决算</w:t>
      </w:r>
      <w:bookmarkEnd w:id="14"/>
      <w:bookmarkEnd w:id="15"/>
      <w:bookmarkEnd w:id="16"/>
      <w:bookmarkEnd w:id="17"/>
      <w:bookmarkEnd w:id="18"/>
      <w:bookmarkEnd w:id="19"/>
      <w:r>
        <w:rPr>
          <w:rFonts w:hint="eastAsia" w:ascii="方正小标宋简体" w:hAnsi="宋体" w:eastAsia="方正小标宋简体"/>
          <w:color w:val="auto"/>
          <w:sz w:val="72"/>
          <w:szCs w:val="72"/>
        </w:rPr>
        <w:t>编制说明</w:t>
      </w:r>
      <w:bookmarkEnd w:id="21"/>
      <w:bookmarkEnd w:id="22"/>
      <w:bookmarkEnd w:id="23"/>
      <w:bookmarkEnd w:id="24"/>
      <w:bookmarkEnd w:id="25"/>
      <w:bookmarkEnd w:id="26"/>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autoSpaceDE w:val="0"/>
        <w:autoSpaceDN w:val="0"/>
        <w:adjustRightInd w:val="0"/>
        <w:jc w:val="center"/>
        <w:rPr>
          <w:rFonts w:ascii="宋体" w:hAnsi="宋体"/>
          <w:color w:val="auto"/>
          <w:sz w:val="32"/>
          <w:szCs w:val="32"/>
        </w:rPr>
      </w:pPr>
      <w:r>
        <w:rPr>
          <w:rFonts w:hint="eastAsia"/>
          <w:color w:val="auto"/>
          <w:sz w:val="30"/>
          <w:szCs w:val="30"/>
        </w:rPr>
        <w:t>公开时间：2022年</w:t>
      </w:r>
      <w:r>
        <w:rPr>
          <w:color w:val="auto"/>
          <w:sz w:val="30"/>
          <w:szCs w:val="30"/>
        </w:rPr>
        <w:t>10</w:t>
      </w:r>
      <w:r>
        <w:rPr>
          <w:rFonts w:hint="eastAsia"/>
          <w:color w:val="auto"/>
          <w:sz w:val="30"/>
          <w:szCs w:val="30"/>
        </w:rPr>
        <w:t>月19日</w:t>
      </w:r>
      <w:r>
        <w:rPr>
          <w:rFonts w:ascii="方正小标宋简体" w:hAnsi="宋体" w:eastAsia="方正小标宋简体"/>
          <w:color w:val="auto"/>
          <w:sz w:val="30"/>
          <w:szCs w:val="30"/>
        </w:rPr>
        <w:br w:type="page"/>
      </w:r>
    </w:p>
    <w:sdt>
      <w:sdtPr>
        <w:rPr>
          <w:rFonts w:ascii="宋体" w:hAnsi="宋体"/>
          <w:color w:val="auto"/>
          <w:sz w:val="44"/>
          <w:szCs w:val="44"/>
        </w:rPr>
        <w:id w:val="147476413"/>
        <w:docPartObj>
          <w:docPartGallery w:val="Table of Contents"/>
          <w:docPartUnique/>
        </w:docPartObj>
      </w:sdtPr>
      <w:sdtEndPr>
        <w:rPr>
          <w:rFonts w:ascii="宋体" w:hAnsi="宋体"/>
          <w:b/>
          <w:color w:val="auto"/>
          <w:sz w:val="32"/>
          <w:szCs w:val="32"/>
        </w:rPr>
      </w:sdtEndPr>
      <w:sdtContent>
        <w:p>
          <w:pPr>
            <w:jc w:val="center"/>
            <w:rPr>
              <w:color w:val="auto"/>
              <w:sz w:val="44"/>
              <w:szCs w:val="44"/>
            </w:rPr>
          </w:pPr>
          <w:r>
            <w:rPr>
              <w:rFonts w:ascii="宋体" w:hAnsi="宋体"/>
              <w:b/>
              <w:bCs/>
              <w:color w:val="auto"/>
              <w:sz w:val="44"/>
              <w:szCs w:val="44"/>
            </w:rPr>
            <w:t>目录</w:t>
          </w:r>
        </w:p>
        <w:p>
          <w:pPr>
            <w:pStyle w:val="11"/>
            <w:tabs>
              <w:tab w:val="right" w:leader="dot" w:pos="8306"/>
              <w:tab w:val="clear" w:pos="8296"/>
            </w:tabs>
            <w:rPr>
              <w:color w:val="auto"/>
              <w:sz w:val="32"/>
              <w:szCs w:val="32"/>
            </w:rPr>
          </w:pPr>
          <w:r>
            <w:rPr>
              <w:color w:val="auto"/>
              <w:sz w:val="32"/>
              <w:szCs w:val="32"/>
            </w:rPr>
            <w:fldChar w:fldCharType="begin"/>
          </w:r>
          <w:r>
            <w:rPr>
              <w:color w:val="auto"/>
              <w:sz w:val="32"/>
              <w:szCs w:val="32"/>
            </w:rPr>
            <w:instrText xml:space="preserve">TOC \o "1-2" \h \u </w:instrText>
          </w:r>
          <w:r>
            <w:rPr>
              <w:color w:val="auto"/>
              <w:sz w:val="32"/>
              <w:szCs w:val="32"/>
            </w:rPr>
            <w:fldChar w:fldCharType="separate"/>
          </w:r>
          <w:r>
            <w:rPr>
              <w:color w:val="auto"/>
            </w:rPr>
            <w:fldChar w:fldCharType="begin"/>
          </w:r>
          <w:r>
            <w:rPr>
              <w:color w:val="auto"/>
            </w:rPr>
            <w:instrText xml:space="preserve"> HYPERLINK \l "_Toc7823" </w:instrText>
          </w:r>
          <w:r>
            <w:rPr>
              <w:color w:val="auto"/>
            </w:rPr>
            <w:fldChar w:fldCharType="separate"/>
          </w:r>
          <w:r>
            <w:rPr>
              <w:rFonts w:hint="eastAsia" w:ascii="黑体" w:hAnsi="黑体" w:eastAsia="黑体"/>
              <w:color w:val="auto"/>
              <w:sz w:val="32"/>
              <w:szCs w:val="32"/>
            </w:rPr>
            <w:t>2021</w:t>
          </w:r>
          <w:r>
            <w:rPr>
              <w:rFonts w:hint="eastAsia" w:ascii="方正小标宋简体" w:hAnsi="宋体" w:eastAsia="方正小标宋简体"/>
              <w:color w:val="auto"/>
              <w:sz w:val="32"/>
              <w:szCs w:val="32"/>
            </w:rPr>
            <w:t>年度</w:t>
          </w:r>
          <w:r>
            <w:rPr>
              <w:color w:val="auto"/>
              <w:sz w:val="32"/>
              <w:szCs w:val="32"/>
            </w:rPr>
            <w:tab/>
          </w:r>
          <w:r>
            <w:rPr>
              <w:color w:val="auto"/>
              <w:sz w:val="32"/>
              <w:szCs w:val="32"/>
            </w:rPr>
            <w:fldChar w:fldCharType="begin"/>
          </w:r>
          <w:r>
            <w:rPr>
              <w:color w:val="auto"/>
              <w:sz w:val="32"/>
              <w:szCs w:val="32"/>
            </w:rPr>
            <w:instrText xml:space="preserve"> PAGEREF _Toc7823 \h </w:instrText>
          </w:r>
          <w:r>
            <w:rPr>
              <w:color w:val="auto"/>
              <w:sz w:val="32"/>
              <w:szCs w:val="32"/>
            </w:rPr>
            <w:fldChar w:fldCharType="separate"/>
          </w:r>
          <w:r>
            <w:rPr>
              <w:color w:val="auto"/>
              <w:sz w:val="32"/>
              <w:szCs w:val="32"/>
            </w:rPr>
            <w:t>1</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"_Toc12604" </w:instrText>
          </w:r>
          <w:r>
            <w:rPr>
              <w:color w:val="auto"/>
            </w:rPr>
            <w:fldChar w:fldCharType="separate"/>
          </w:r>
          <w:r>
            <w:rPr>
              <w:rFonts w:hint="eastAsia" w:ascii="方正小标宋简体" w:hAnsi="宋体" w:eastAsia="方正小标宋简体"/>
              <w:color w:val="auto"/>
              <w:sz w:val="32"/>
              <w:szCs w:val="32"/>
            </w:rPr>
            <w:t>政协壤塘县委员会办公室</w:t>
          </w:r>
          <w:r>
            <w:rPr>
              <w:color w:val="auto"/>
              <w:sz w:val="32"/>
              <w:szCs w:val="32"/>
            </w:rPr>
            <w:tab/>
          </w:r>
          <w:r>
            <w:rPr>
              <w:color w:val="auto"/>
              <w:sz w:val="32"/>
              <w:szCs w:val="32"/>
            </w:rPr>
            <w:fldChar w:fldCharType="begin"/>
          </w:r>
          <w:r>
            <w:rPr>
              <w:color w:val="auto"/>
              <w:sz w:val="32"/>
              <w:szCs w:val="32"/>
            </w:rPr>
            <w:instrText xml:space="preserve"> PAGEREF _Toc12604 \h </w:instrText>
          </w:r>
          <w:r>
            <w:rPr>
              <w:color w:val="auto"/>
              <w:sz w:val="32"/>
              <w:szCs w:val="32"/>
            </w:rPr>
            <w:fldChar w:fldCharType="separate"/>
          </w:r>
          <w:r>
            <w:rPr>
              <w:color w:val="auto"/>
              <w:sz w:val="32"/>
              <w:szCs w:val="32"/>
            </w:rPr>
            <w:t>1</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"_Toc19132" </w:instrText>
          </w:r>
          <w:r>
            <w:rPr>
              <w:color w:val="auto"/>
            </w:rPr>
            <w:fldChar w:fldCharType="separate"/>
          </w:r>
          <w:r>
            <w:rPr>
              <w:rFonts w:hint="eastAsia" w:ascii="方正小标宋简体" w:hAnsi="宋体" w:eastAsia="方正小标宋简体"/>
              <w:color w:val="auto"/>
              <w:sz w:val="32"/>
              <w:szCs w:val="32"/>
            </w:rPr>
            <w:t>部门决算编制说明</w:t>
          </w:r>
          <w:r>
            <w:rPr>
              <w:color w:val="auto"/>
              <w:sz w:val="32"/>
              <w:szCs w:val="32"/>
            </w:rPr>
            <w:tab/>
          </w:r>
          <w:r>
            <w:rPr>
              <w:color w:val="auto"/>
              <w:sz w:val="32"/>
              <w:szCs w:val="32"/>
            </w:rPr>
            <w:fldChar w:fldCharType="begin"/>
          </w:r>
          <w:r>
            <w:rPr>
              <w:color w:val="auto"/>
              <w:sz w:val="32"/>
              <w:szCs w:val="32"/>
            </w:rPr>
            <w:instrText xml:space="preserve"> PAGEREF _Toc19132 \h </w:instrText>
          </w:r>
          <w:r>
            <w:rPr>
              <w:color w:val="auto"/>
              <w:sz w:val="32"/>
              <w:szCs w:val="32"/>
            </w:rPr>
            <w:fldChar w:fldCharType="separate"/>
          </w:r>
          <w:r>
            <w:rPr>
              <w:color w:val="auto"/>
              <w:sz w:val="32"/>
              <w:szCs w:val="32"/>
            </w:rPr>
            <w:t>1</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"_Toc23378" </w:instrText>
          </w:r>
          <w:r>
            <w:rPr>
              <w:color w:val="auto"/>
            </w:rPr>
            <w:fldChar w:fldCharType="separate"/>
          </w:r>
          <w:r>
            <w:rPr>
              <w:rFonts w:hint="eastAsia" w:ascii="仿宋_GB2312" w:hAnsi="黑体" w:eastAsia="仿宋_GB2312"/>
              <w:color w:val="auto"/>
              <w:sz w:val="32"/>
              <w:szCs w:val="32"/>
            </w:rPr>
            <w:t>第一部分  部门概括</w:t>
          </w:r>
          <w:r>
            <w:rPr>
              <w:color w:val="auto"/>
              <w:sz w:val="32"/>
              <w:szCs w:val="32"/>
            </w:rPr>
            <w:tab/>
          </w:r>
          <w:r>
            <w:rPr>
              <w:color w:val="auto"/>
              <w:sz w:val="32"/>
              <w:szCs w:val="32"/>
            </w:rPr>
            <w:fldChar w:fldCharType="begin"/>
          </w:r>
          <w:r>
            <w:rPr>
              <w:color w:val="auto"/>
              <w:sz w:val="32"/>
              <w:szCs w:val="32"/>
            </w:rPr>
            <w:instrText xml:space="preserve"> PAGEREF _Toc23378 \h </w:instrText>
          </w:r>
          <w:r>
            <w:rPr>
              <w:color w:val="auto"/>
              <w:sz w:val="32"/>
              <w:szCs w:val="32"/>
            </w:rPr>
            <w:fldChar w:fldCharType="separate"/>
          </w:r>
          <w:r>
            <w:rPr>
              <w:color w:val="auto"/>
              <w:sz w:val="32"/>
              <w:szCs w:val="32"/>
            </w:rPr>
            <w:t>4</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"_Toc23870" </w:instrText>
          </w:r>
          <w:r>
            <w:rPr>
              <w:color w:val="auto"/>
            </w:rPr>
            <w:fldChar w:fldCharType="separate"/>
          </w:r>
          <w:r>
            <w:rPr>
              <w:rFonts w:hint="eastAsia" w:ascii="黑体" w:hAnsi="黑体" w:eastAsia="黑体"/>
              <w:color w:val="auto"/>
              <w:sz w:val="32"/>
              <w:szCs w:val="32"/>
            </w:rPr>
            <w:t>一、基本职能及主要工作</w:t>
          </w:r>
          <w:r>
            <w:rPr>
              <w:color w:val="auto"/>
              <w:sz w:val="32"/>
              <w:szCs w:val="32"/>
            </w:rPr>
            <w:tab/>
          </w:r>
          <w:r>
            <w:rPr>
              <w:color w:val="auto"/>
              <w:sz w:val="32"/>
              <w:szCs w:val="32"/>
            </w:rPr>
            <w:fldChar w:fldCharType="begin"/>
          </w:r>
          <w:r>
            <w:rPr>
              <w:color w:val="auto"/>
              <w:sz w:val="32"/>
              <w:szCs w:val="32"/>
            </w:rPr>
            <w:instrText xml:space="preserve"> PAGEREF _Toc23870 \h </w:instrText>
          </w:r>
          <w:r>
            <w:rPr>
              <w:color w:val="auto"/>
              <w:sz w:val="32"/>
              <w:szCs w:val="32"/>
            </w:rPr>
            <w:fldChar w:fldCharType="separate"/>
          </w:r>
          <w:r>
            <w:rPr>
              <w:color w:val="auto"/>
              <w:sz w:val="32"/>
              <w:szCs w:val="32"/>
            </w:rPr>
            <w:t>4</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"_Toc7073" </w:instrText>
          </w:r>
          <w:r>
            <w:rPr>
              <w:color w:val="auto"/>
            </w:rPr>
            <w:fldChar w:fldCharType="separate"/>
          </w:r>
          <w:r>
            <w:rPr>
              <w:rFonts w:hint="eastAsia" w:ascii="黑体" w:eastAsia="黑体"/>
              <w:color w:val="auto"/>
              <w:sz w:val="32"/>
              <w:szCs w:val="32"/>
            </w:rPr>
            <w:t>二、</w:t>
          </w:r>
          <w:r>
            <w:rPr>
              <w:rFonts w:hint="eastAsia" w:ascii="黑体" w:hAnsi="黑体" w:eastAsia="黑体"/>
              <w:color w:val="auto"/>
              <w:sz w:val="32"/>
              <w:szCs w:val="32"/>
            </w:rPr>
            <w:t>机构设置</w:t>
          </w:r>
          <w:r>
            <w:rPr>
              <w:color w:val="auto"/>
              <w:sz w:val="32"/>
              <w:szCs w:val="32"/>
            </w:rPr>
            <w:tab/>
          </w:r>
          <w:r>
            <w:rPr>
              <w:color w:val="auto"/>
              <w:sz w:val="32"/>
              <w:szCs w:val="32"/>
            </w:rPr>
            <w:fldChar w:fldCharType="begin"/>
          </w:r>
          <w:r>
            <w:rPr>
              <w:color w:val="auto"/>
              <w:sz w:val="32"/>
              <w:szCs w:val="32"/>
            </w:rPr>
            <w:instrText xml:space="preserve"> PAGEREF _Toc7073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"_Toc13943" </w:instrText>
          </w:r>
          <w:r>
            <w:rPr>
              <w:color w:val="auto"/>
            </w:rPr>
            <w:fldChar w:fldCharType="separate"/>
          </w:r>
          <w:r>
            <w:rPr>
              <w:rFonts w:hint="eastAsia" w:ascii="仿宋_GB2312" w:hAnsi="黑体" w:eastAsia="仿宋_GB2312"/>
              <w:color w:val="auto"/>
              <w:sz w:val="32"/>
              <w:szCs w:val="32"/>
            </w:rPr>
            <w:t>第二部分 2021年度部门决算情况说明</w:t>
          </w:r>
          <w:r>
            <w:rPr>
              <w:color w:val="auto"/>
              <w:sz w:val="32"/>
              <w:szCs w:val="32"/>
            </w:rPr>
            <w:tab/>
          </w:r>
          <w:r>
            <w:rPr>
              <w:color w:val="auto"/>
              <w:sz w:val="32"/>
              <w:szCs w:val="32"/>
            </w:rPr>
            <w:fldChar w:fldCharType="begin"/>
          </w:r>
          <w:r>
            <w:rPr>
              <w:color w:val="auto"/>
              <w:sz w:val="32"/>
              <w:szCs w:val="32"/>
            </w:rPr>
            <w:instrText xml:space="preserve"> PAGEREF _Toc13943 \h </w:instrText>
          </w:r>
          <w:r>
            <w:rPr>
              <w:color w:val="auto"/>
              <w:sz w:val="32"/>
              <w:szCs w:val="32"/>
            </w:rPr>
            <w:fldChar w:fldCharType="separate"/>
          </w:r>
          <w:r>
            <w:rPr>
              <w:color w:val="auto"/>
              <w:sz w:val="32"/>
              <w:szCs w:val="32"/>
            </w:rPr>
            <w:t>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"_Toc15529" </w:instrText>
          </w:r>
          <w:r>
            <w:rPr>
              <w:color w:val="auto"/>
            </w:rPr>
            <w:fldChar w:fldCharType="separate"/>
          </w:r>
          <w:r>
            <w:rPr>
              <w:rFonts w:ascii="仿宋_GB2312" w:hAnsi="黑体" w:eastAsia="仿宋_GB2312"/>
              <w:color w:val="auto"/>
              <w:sz w:val="32"/>
              <w:szCs w:val="32"/>
            </w:rPr>
            <w:t xml:space="preserve">一、 </w:t>
          </w:r>
          <w:r>
            <w:rPr>
              <w:rFonts w:hint="eastAsia" w:ascii="仿宋_GB2312" w:hAnsi="黑体" w:eastAsia="仿宋_GB2312"/>
              <w:color w:val="auto"/>
              <w:sz w:val="32"/>
              <w:szCs w:val="32"/>
            </w:rPr>
            <w:t>收入支出决算总体情况说明</w:t>
          </w:r>
          <w:r>
            <w:rPr>
              <w:color w:val="auto"/>
              <w:sz w:val="32"/>
              <w:szCs w:val="32"/>
            </w:rPr>
            <w:tab/>
          </w:r>
          <w:r>
            <w:rPr>
              <w:color w:val="auto"/>
              <w:sz w:val="32"/>
              <w:szCs w:val="32"/>
            </w:rPr>
            <w:fldChar w:fldCharType="begin"/>
          </w:r>
          <w:r>
            <w:rPr>
              <w:color w:val="auto"/>
              <w:sz w:val="32"/>
              <w:szCs w:val="32"/>
            </w:rPr>
            <w:instrText xml:space="preserve"> PAGEREF _Toc15529 \h </w:instrText>
          </w:r>
          <w:r>
            <w:rPr>
              <w:color w:val="auto"/>
              <w:sz w:val="32"/>
              <w:szCs w:val="32"/>
            </w:rPr>
            <w:fldChar w:fldCharType="separate"/>
          </w:r>
          <w:r>
            <w:rPr>
              <w:color w:val="auto"/>
              <w:sz w:val="32"/>
              <w:szCs w:val="32"/>
            </w:rPr>
            <w:t>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"_Toc23525" </w:instrText>
          </w:r>
          <w:r>
            <w:rPr>
              <w:color w:val="auto"/>
            </w:rPr>
            <w:fldChar w:fldCharType="separate"/>
          </w:r>
          <w:r>
            <w:rPr>
              <w:rFonts w:ascii="仿宋_GB2312" w:hAnsi="黑体" w:eastAsia="仿宋_GB2312"/>
              <w:color w:val="auto"/>
              <w:sz w:val="32"/>
              <w:szCs w:val="32"/>
            </w:rPr>
            <w:t xml:space="preserve">二、 </w:t>
          </w:r>
          <w:r>
            <w:rPr>
              <w:rFonts w:hint="eastAsia" w:ascii="仿宋_GB2312" w:hAnsi="黑体" w:eastAsia="仿宋_GB2312"/>
              <w:color w:val="auto"/>
              <w:sz w:val="32"/>
              <w:szCs w:val="32"/>
            </w:rPr>
            <w:t>收入决算情况说明</w:t>
          </w:r>
          <w:r>
            <w:rPr>
              <w:color w:val="auto"/>
              <w:sz w:val="32"/>
              <w:szCs w:val="32"/>
            </w:rPr>
            <w:tab/>
          </w:r>
          <w:r>
            <w:rPr>
              <w:color w:val="auto"/>
              <w:sz w:val="32"/>
              <w:szCs w:val="32"/>
            </w:rPr>
            <w:fldChar w:fldCharType="begin"/>
          </w:r>
          <w:r>
            <w:rPr>
              <w:color w:val="auto"/>
              <w:sz w:val="32"/>
              <w:szCs w:val="32"/>
            </w:rPr>
            <w:instrText xml:space="preserve"> PAGEREF _Toc23525 \h </w:instrText>
          </w:r>
          <w:r>
            <w:rPr>
              <w:color w:val="auto"/>
              <w:sz w:val="32"/>
              <w:szCs w:val="32"/>
            </w:rPr>
            <w:fldChar w:fldCharType="separate"/>
          </w:r>
          <w:r>
            <w:rPr>
              <w:color w:val="auto"/>
              <w:sz w:val="32"/>
              <w:szCs w:val="32"/>
            </w:rPr>
            <w:t>7</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"_Toc1771" </w:instrText>
          </w:r>
          <w:r>
            <w:rPr>
              <w:color w:val="auto"/>
            </w:rPr>
            <w:fldChar w:fldCharType="separate"/>
          </w:r>
          <w:r>
            <w:rPr>
              <w:rFonts w:ascii="仿宋_GB2312" w:hAnsi="黑体" w:eastAsia="仿宋_GB2312"/>
              <w:color w:val="auto"/>
              <w:sz w:val="32"/>
              <w:szCs w:val="32"/>
            </w:rPr>
            <w:t xml:space="preserve">三、 </w:t>
          </w:r>
          <w:r>
            <w:rPr>
              <w:rFonts w:hint="eastAsia" w:ascii="仿宋_GB2312" w:hAnsi="黑体" w:eastAsia="仿宋_GB2312"/>
              <w:color w:val="auto"/>
              <w:sz w:val="32"/>
              <w:szCs w:val="32"/>
            </w:rPr>
            <w:t>支出决算情况说明</w:t>
          </w:r>
          <w:r>
            <w:rPr>
              <w:color w:val="auto"/>
              <w:sz w:val="32"/>
              <w:szCs w:val="32"/>
            </w:rPr>
            <w:tab/>
          </w:r>
          <w:r>
            <w:rPr>
              <w:color w:val="auto"/>
              <w:sz w:val="32"/>
              <w:szCs w:val="32"/>
            </w:rPr>
            <w:fldChar w:fldCharType="begin"/>
          </w:r>
          <w:r>
            <w:rPr>
              <w:color w:val="auto"/>
              <w:sz w:val="32"/>
              <w:szCs w:val="32"/>
            </w:rPr>
            <w:instrText xml:space="preserve"> PAGEREF _Toc1771 \h </w:instrText>
          </w:r>
          <w:r>
            <w:rPr>
              <w:color w:val="auto"/>
              <w:sz w:val="32"/>
              <w:szCs w:val="32"/>
            </w:rPr>
            <w:fldChar w:fldCharType="separate"/>
          </w:r>
          <w:r>
            <w:rPr>
              <w:color w:val="auto"/>
              <w:sz w:val="32"/>
              <w:szCs w:val="32"/>
            </w:rPr>
            <w:t>7</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"_Toc20762" </w:instrText>
          </w:r>
          <w:r>
            <w:rPr>
              <w:color w:val="auto"/>
            </w:rPr>
            <w:fldChar w:fldCharType="separate"/>
          </w:r>
          <w:r>
            <w:rPr>
              <w:rFonts w:hint="eastAsia" w:ascii="仿宋_GB2312" w:hAnsi="黑体" w:eastAsia="仿宋_GB2312"/>
              <w:color w:val="auto"/>
              <w:sz w:val="32"/>
              <w:szCs w:val="32"/>
            </w:rPr>
            <w:t>四、财政拨款收入支出决算总体情况说明</w:t>
          </w:r>
          <w:r>
            <w:rPr>
              <w:color w:val="auto"/>
              <w:sz w:val="32"/>
              <w:szCs w:val="32"/>
            </w:rPr>
            <w:tab/>
          </w:r>
          <w:r>
            <w:rPr>
              <w:color w:val="auto"/>
              <w:sz w:val="32"/>
              <w:szCs w:val="32"/>
            </w:rPr>
            <w:fldChar w:fldCharType="begin"/>
          </w:r>
          <w:r>
            <w:rPr>
              <w:color w:val="auto"/>
              <w:sz w:val="32"/>
              <w:szCs w:val="32"/>
            </w:rPr>
            <w:instrText xml:space="preserve"> PAGEREF _Toc20762 \h </w:instrText>
          </w:r>
          <w:r>
            <w:rPr>
              <w:color w:val="auto"/>
              <w:sz w:val="32"/>
              <w:szCs w:val="32"/>
            </w:rPr>
            <w:fldChar w:fldCharType="separate"/>
          </w:r>
          <w:r>
            <w:rPr>
              <w:color w:val="auto"/>
              <w:sz w:val="32"/>
              <w:szCs w:val="32"/>
            </w:rPr>
            <w:t>8</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"_Toc8315" </w:instrText>
          </w:r>
          <w:r>
            <w:rPr>
              <w:color w:val="auto"/>
            </w:rPr>
            <w:fldChar w:fldCharType="separate"/>
          </w:r>
          <w:r>
            <w:rPr>
              <w:rFonts w:hint="eastAsia" w:ascii="仿宋_GB2312" w:hAnsi="黑体" w:eastAsia="仿宋_GB2312"/>
              <w:color w:val="auto"/>
              <w:sz w:val="32"/>
              <w:szCs w:val="32"/>
            </w:rPr>
            <w:t>五、一般公共预算财政拨款支出决算情况说明</w:t>
          </w:r>
          <w:r>
            <w:rPr>
              <w:color w:val="auto"/>
              <w:sz w:val="32"/>
              <w:szCs w:val="32"/>
            </w:rPr>
            <w:tab/>
          </w:r>
          <w:r>
            <w:rPr>
              <w:color w:val="auto"/>
              <w:sz w:val="32"/>
              <w:szCs w:val="32"/>
            </w:rPr>
            <w:fldChar w:fldCharType="begin"/>
          </w:r>
          <w:r>
            <w:rPr>
              <w:color w:val="auto"/>
              <w:sz w:val="32"/>
              <w:szCs w:val="32"/>
            </w:rPr>
            <w:instrText xml:space="preserve"> PAGEREF _Toc8315 \h </w:instrText>
          </w:r>
          <w:r>
            <w:rPr>
              <w:color w:val="auto"/>
              <w:sz w:val="32"/>
              <w:szCs w:val="32"/>
            </w:rPr>
            <w:fldChar w:fldCharType="separate"/>
          </w:r>
          <w:r>
            <w:rPr>
              <w:color w:val="auto"/>
              <w:sz w:val="32"/>
              <w:szCs w:val="32"/>
            </w:rPr>
            <w:t>9</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"_Toc14713" </w:instrText>
          </w:r>
          <w:r>
            <w:rPr>
              <w:color w:val="auto"/>
            </w:rPr>
            <w:fldChar w:fldCharType="separate"/>
          </w:r>
          <w:r>
            <w:rPr>
              <w:rFonts w:hint="eastAsia" w:ascii="仿宋_GB2312" w:hAnsi="黑体" w:eastAsia="仿宋_GB2312"/>
              <w:color w:val="auto"/>
              <w:sz w:val="32"/>
              <w:szCs w:val="32"/>
            </w:rPr>
            <w:t>六、一般公共预算财政拨款基本支出决算情况说明</w:t>
          </w:r>
          <w:r>
            <w:rPr>
              <w:color w:val="auto"/>
              <w:sz w:val="32"/>
              <w:szCs w:val="32"/>
            </w:rPr>
            <w:tab/>
          </w:r>
          <w:r>
            <w:rPr>
              <w:color w:val="auto"/>
              <w:sz w:val="32"/>
              <w:szCs w:val="32"/>
            </w:rPr>
            <w:fldChar w:fldCharType="begin"/>
          </w:r>
          <w:r>
            <w:rPr>
              <w:color w:val="auto"/>
              <w:sz w:val="32"/>
              <w:szCs w:val="32"/>
            </w:rPr>
            <w:instrText xml:space="preserve"> PAGEREF _Toc14713 \h </w:instrText>
          </w:r>
          <w:r>
            <w:rPr>
              <w:color w:val="auto"/>
              <w:sz w:val="32"/>
              <w:szCs w:val="32"/>
            </w:rPr>
            <w:fldChar w:fldCharType="separate"/>
          </w:r>
          <w:r>
            <w:rPr>
              <w:color w:val="auto"/>
              <w:sz w:val="32"/>
              <w:szCs w:val="32"/>
            </w:rPr>
            <w:t>12</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"_Toc26188" </w:instrText>
          </w:r>
          <w:r>
            <w:rPr>
              <w:color w:val="auto"/>
            </w:rPr>
            <w:fldChar w:fldCharType="separate"/>
          </w:r>
          <w:r>
            <w:rPr>
              <w:rFonts w:hint="eastAsia" w:ascii="仿宋_GB2312" w:hAnsi="黑体" w:eastAsia="仿宋_GB2312"/>
              <w:color w:val="auto"/>
              <w:sz w:val="32"/>
              <w:szCs w:val="32"/>
            </w:rPr>
            <w:t>七、“三公”经费财政拨款支出决算情况说明</w:t>
          </w:r>
          <w:r>
            <w:rPr>
              <w:color w:val="auto"/>
              <w:sz w:val="32"/>
              <w:szCs w:val="32"/>
            </w:rPr>
            <w:tab/>
          </w:r>
          <w:r>
            <w:rPr>
              <w:color w:val="auto"/>
              <w:sz w:val="32"/>
              <w:szCs w:val="32"/>
            </w:rPr>
            <w:fldChar w:fldCharType="begin"/>
          </w:r>
          <w:r>
            <w:rPr>
              <w:color w:val="auto"/>
              <w:sz w:val="32"/>
              <w:szCs w:val="32"/>
            </w:rPr>
            <w:instrText xml:space="preserve"> PAGEREF _Toc26188 \h </w:instrText>
          </w:r>
          <w:r>
            <w:rPr>
              <w:color w:val="auto"/>
              <w:sz w:val="32"/>
              <w:szCs w:val="32"/>
            </w:rPr>
            <w:fldChar w:fldCharType="separate"/>
          </w:r>
          <w:r>
            <w:rPr>
              <w:color w:val="auto"/>
              <w:sz w:val="32"/>
              <w:szCs w:val="32"/>
            </w:rPr>
            <w:t>12</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"_Toc4320" </w:instrText>
          </w:r>
          <w:r>
            <w:rPr>
              <w:color w:val="auto"/>
            </w:rPr>
            <w:fldChar w:fldCharType="separate"/>
          </w:r>
          <w:r>
            <w:rPr>
              <w:rFonts w:hint="eastAsia" w:ascii="仿宋_GB2312" w:hAnsi="黑体" w:eastAsia="仿宋_GB2312"/>
              <w:color w:val="auto"/>
              <w:sz w:val="32"/>
              <w:szCs w:val="32"/>
            </w:rPr>
            <w:t>八、政府性基金预算支出决算情况说明</w:t>
          </w:r>
          <w:r>
            <w:rPr>
              <w:color w:val="auto"/>
              <w:sz w:val="32"/>
              <w:szCs w:val="32"/>
            </w:rPr>
            <w:tab/>
          </w:r>
          <w:r>
            <w:rPr>
              <w:color w:val="auto"/>
              <w:sz w:val="32"/>
              <w:szCs w:val="32"/>
            </w:rPr>
            <w:fldChar w:fldCharType="begin"/>
          </w:r>
          <w:r>
            <w:rPr>
              <w:color w:val="auto"/>
              <w:sz w:val="32"/>
              <w:szCs w:val="32"/>
            </w:rPr>
            <w:instrText xml:space="preserve"> PAGEREF _Toc4320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"_Toc29866" </w:instrText>
          </w:r>
          <w:r>
            <w:rPr>
              <w:color w:val="auto"/>
            </w:rPr>
            <w:fldChar w:fldCharType="separate"/>
          </w:r>
          <w:r>
            <w:rPr>
              <w:rFonts w:hint="eastAsia" w:ascii="仿宋_GB2312" w:hAnsi="黑体" w:eastAsia="仿宋_GB2312"/>
              <w:color w:val="auto"/>
              <w:sz w:val="32"/>
              <w:szCs w:val="32"/>
            </w:rPr>
            <w:t>九、 国有资本经营预算支出决算情况说明</w:t>
          </w:r>
          <w:r>
            <w:rPr>
              <w:color w:val="auto"/>
              <w:sz w:val="32"/>
              <w:szCs w:val="32"/>
            </w:rPr>
            <w:tab/>
          </w:r>
          <w:r>
            <w:rPr>
              <w:color w:val="auto"/>
              <w:sz w:val="32"/>
              <w:szCs w:val="32"/>
            </w:rPr>
            <w:fldChar w:fldCharType="begin"/>
          </w:r>
          <w:r>
            <w:rPr>
              <w:color w:val="auto"/>
              <w:sz w:val="32"/>
              <w:szCs w:val="32"/>
            </w:rPr>
            <w:instrText xml:space="preserve"> PAGEREF _Toc29866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"_Toc31403" </w:instrText>
          </w:r>
          <w:r>
            <w:rPr>
              <w:color w:val="auto"/>
            </w:rPr>
            <w:fldChar w:fldCharType="separate"/>
          </w:r>
          <w:r>
            <w:rPr>
              <w:rFonts w:hint="eastAsia" w:ascii="仿宋_GB2312" w:hAnsi="黑体" w:eastAsia="仿宋_GB2312"/>
              <w:color w:val="auto"/>
              <w:sz w:val="32"/>
              <w:szCs w:val="32"/>
            </w:rPr>
            <w:t>十、 其他重要事项的情况说明</w:t>
          </w:r>
          <w:r>
            <w:rPr>
              <w:color w:val="auto"/>
              <w:sz w:val="32"/>
              <w:szCs w:val="32"/>
            </w:rPr>
            <w:tab/>
          </w:r>
          <w:r>
            <w:rPr>
              <w:color w:val="auto"/>
              <w:sz w:val="32"/>
              <w:szCs w:val="32"/>
            </w:rPr>
            <w:fldChar w:fldCharType="begin"/>
          </w:r>
          <w:r>
            <w:rPr>
              <w:color w:val="auto"/>
              <w:sz w:val="32"/>
              <w:szCs w:val="32"/>
            </w:rPr>
            <w:instrText xml:space="preserve"> PAGEREF _Toc31403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"_Toc191" </w:instrText>
          </w:r>
          <w:r>
            <w:rPr>
              <w:color w:val="auto"/>
            </w:rPr>
            <w:fldChar w:fldCharType="separate"/>
          </w:r>
          <w:r>
            <w:rPr>
              <w:rFonts w:hint="eastAsia" w:ascii="仿宋_GB2312" w:hAnsi="黑体" w:eastAsia="仿宋_GB2312"/>
              <w:color w:val="auto"/>
              <w:sz w:val="32"/>
              <w:szCs w:val="32"/>
            </w:rPr>
            <w:t xml:space="preserve">第三部分 </w:t>
          </w:r>
          <w:r>
            <w:rPr>
              <w:rFonts w:hint="eastAsia" w:ascii="仿宋_GB2312" w:hAnsi="黑体"/>
              <w:color w:val="auto"/>
              <w:sz w:val="32"/>
              <w:szCs w:val="32"/>
            </w:rPr>
            <w:t>名</w:t>
          </w:r>
          <w:r>
            <w:rPr>
              <w:rFonts w:hint="eastAsia" w:ascii="仿宋_GB2312" w:hAnsi="黑体" w:eastAsia="仿宋_GB2312"/>
              <w:color w:val="auto"/>
              <w:sz w:val="32"/>
              <w:szCs w:val="32"/>
            </w:rPr>
            <w:t>词解释</w:t>
          </w:r>
          <w:r>
            <w:rPr>
              <w:color w:val="auto"/>
              <w:sz w:val="32"/>
              <w:szCs w:val="32"/>
            </w:rPr>
            <w:tab/>
          </w:r>
          <w:r>
            <w:rPr>
              <w:color w:val="auto"/>
              <w:sz w:val="32"/>
              <w:szCs w:val="32"/>
            </w:rPr>
            <w:fldChar w:fldCharType="begin"/>
          </w:r>
          <w:r>
            <w:rPr>
              <w:color w:val="auto"/>
              <w:sz w:val="32"/>
              <w:szCs w:val="32"/>
            </w:rPr>
            <w:instrText xml:space="preserve"> PAGEREF _Toc191 \h </w:instrText>
          </w:r>
          <w:r>
            <w:rPr>
              <w:color w:val="auto"/>
              <w:sz w:val="32"/>
              <w:szCs w:val="32"/>
            </w:rPr>
            <w:fldChar w:fldCharType="separate"/>
          </w:r>
          <w:r>
            <w:rPr>
              <w:color w:val="auto"/>
              <w:sz w:val="32"/>
              <w:szCs w:val="32"/>
            </w:rPr>
            <w:t>16</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"_Toc25004" </w:instrText>
          </w:r>
          <w:r>
            <w:rPr>
              <w:color w:val="auto"/>
            </w:rPr>
            <w:fldChar w:fldCharType="separate"/>
          </w:r>
          <w:r>
            <w:rPr>
              <w:rFonts w:hint="eastAsia" w:ascii="仿宋_GB2312" w:hAnsi="黑体" w:eastAsia="仿宋_GB2312"/>
              <w:color w:val="auto"/>
              <w:sz w:val="32"/>
              <w:szCs w:val="32"/>
            </w:rPr>
            <w:t>第四部分 附件</w:t>
          </w:r>
          <w:r>
            <w:rPr>
              <w:color w:val="auto"/>
              <w:sz w:val="32"/>
              <w:szCs w:val="32"/>
            </w:rPr>
            <w:tab/>
          </w:r>
          <w:r>
            <w:rPr>
              <w:color w:val="auto"/>
              <w:sz w:val="32"/>
              <w:szCs w:val="32"/>
            </w:rPr>
            <w:fldChar w:fldCharType="begin"/>
          </w:r>
          <w:r>
            <w:rPr>
              <w:color w:val="auto"/>
              <w:sz w:val="32"/>
              <w:szCs w:val="32"/>
            </w:rPr>
            <w:instrText xml:space="preserve"> PAGEREF _Toc25004 \h </w:instrText>
          </w:r>
          <w:r>
            <w:rPr>
              <w:color w:val="auto"/>
              <w:sz w:val="32"/>
              <w:szCs w:val="32"/>
            </w:rPr>
            <w:fldChar w:fldCharType="separate"/>
          </w:r>
          <w:r>
            <w:rPr>
              <w:color w:val="auto"/>
              <w:sz w:val="32"/>
              <w:szCs w:val="32"/>
            </w:rPr>
            <w:t>19</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"_Toc29469" </w:instrText>
          </w:r>
          <w:r>
            <w:rPr>
              <w:color w:val="auto"/>
            </w:rPr>
            <w:fldChar w:fldCharType="separate"/>
          </w:r>
          <w:r>
            <w:rPr>
              <w:rFonts w:hint="eastAsia"/>
              <w:color w:val="auto"/>
              <w:sz w:val="32"/>
              <w:szCs w:val="32"/>
            </w:rPr>
            <w:t>附件</w:t>
          </w:r>
          <w:r>
            <w:rPr>
              <w:color w:val="auto"/>
              <w:sz w:val="32"/>
              <w:szCs w:val="32"/>
            </w:rPr>
            <w:t>1</w:t>
          </w:r>
          <w:r>
            <w:rPr>
              <w:color w:val="auto"/>
              <w:sz w:val="32"/>
              <w:szCs w:val="32"/>
            </w:rPr>
            <w:tab/>
          </w:r>
          <w:r>
            <w:rPr>
              <w:color w:val="auto"/>
              <w:sz w:val="32"/>
              <w:szCs w:val="32"/>
            </w:rPr>
            <w:fldChar w:fldCharType="begin"/>
          </w:r>
          <w:r>
            <w:rPr>
              <w:color w:val="auto"/>
              <w:sz w:val="32"/>
              <w:szCs w:val="32"/>
            </w:rPr>
            <w:instrText xml:space="preserve"> PAGEREF _Toc29469 \h </w:instrText>
          </w:r>
          <w:r>
            <w:rPr>
              <w:color w:val="auto"/>
              <w:sz w:val="32"/>
              <w:szCs w:val="32"/>
            </w:rPr>
            <w:fldChar w:fldCharType="separate"/>
          </w:r>
          <w:r>
            <w:rPr>
              <w:color w:val="auto"/>
              <w:sz w:val="32"/>
              <w:szCs w:val="32"/>
            </w:rPr>
            <w:t>19</w:t>
          </w:r>
          <w:r>
            <w:rPr>
              <w:color w:val="auto"/>
              <w:sz w:val="32"/>
              <w:szCs w:val="32"/>
            </w:rPr>
            <w:fldChar w:fldCharType="end"/>
          </w:r>
          <w:r>
            <w:rPr>
              <w:color w:val="auto"/>
              <w:sz w:val="32"/>
              <w:szCs w:val="32"/>
            </w:rPr>
            <w:fldChar w:fldCharType="end"/>
          </w:r>
        </w:p>
        <w:p>
          <w:pPr>
            <w:pStyle w:val="11"/>
            <w:tabs>
              <w:tab w:val="right" w:leader="dot" w:pos="8306"/>
              <w:tab w:val="clear" w:pos="8296"/>
            </w:tabs>
            <w:rPr>
              <w:color w:val="auto"/>
              <w:sz w:val="32"/>
              <w:szCs w:val="32"/>
            </w:rPr>
          </w:pPr>
          <w:r>
            <w:rPr>
              <w:color w:val="auto"/>
            </w:rPr>
            <w:fldChar w:fldCharType="begin"/>
          </w:r>
          <w:r>
            <w:rPr>
              <w:color w:val="auto"/>
            </w:rPr>
            <w:instrText xml:space="preserve"> HYPERLINK \l "_Toc14607" </w:instrText>
          </w:r>
          <w:r>
            <w:rPr>
              <w:color w:val="auto"/>
            </w:rPr>
            <w:fldChar w:fldCharType="separate"/>
          </w:r>
          <w:r>
            <w:rPr>
              <w:rFonts w:hint="eastAsia" w:ascii="仿宋_GB2312" w:hAnsi="黑体" w:eastAsia="仿宋_GB2312"/>
              <w:color w:val="auto"/>
              <w:sz w:val="32"/>
              <w:szCs w:val="32"/>
            </w:rPr>
            <w:t>第五部分</w:t>
          </w:r>
          <w:r>
            <w:rPr>
              <w:rFonts w:ascii="仿宋_GB2312" w:hAnsi="黑体" w:eastAsia="仿宋_GB2312"/>
              <w:color w:val="auto"/>
              <w:sz w:val="32"/>
              <w:szCs w:val="32"/>
            </w:rPr>
            <w:t xml:space="preserve"> </w:t>
          </w:r>
          <w:r>
            <w:rPr>
              <w:rFonts w:hint="eastAsia" w:ascii="仿宋_GB2312" w:hAnsi="黑体" w:eastAsia="仿宋_GB2312"/>
              <w:color w:val="auto"/>
              <w:sz w:val="32"/>
              <w:szCs w:val="32"/>
            </w:rPr>
            <w:t>附表</w:t>
          </w:r>
          <w:r>
            <w:rPr>
              <w:color w:val="auto"/>
              <w:sz w:val="32"/>
              <w:szCs w:val="32"/>
            </w:rPr>
            <w:tab/>
          </w:r>
          <w:r>
            <w:rPr>
              <w:color w:val="auto"/>
              <w:sz w:val="32"/>
              <w:szCs w:val="32"/>
            </w:rPr>
            <w:fldChar w:fldCharType="begin"/>
          </w:r>
          <w:r>
            <w:rPr>
              <w:color w:val="auto"/>
              <w:sz w:val="32"/>
              <w:szCs w:val="32"/>
            </w:rPr>
            <w:instrText xml:space="preserve"> PAGEREF _Toc14607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"_Toc29593" </w:instrText>
          </w:r>
          <w:r>
            <w:rPr>
              <w:color w:val="auto"/>
            </w:rPr>
            <w:fldChar w:fldCharType="separate"/>
          </w:r>
          <w:r>
            <w:rPr>
              <w:rFonts w:hint="eastAsia" w:ascii="仿宋" w:hAnsi="仿宋" w:eastAsia="仿宋"/>
              <w:color w:val="auto"/>
              <w:sz w:val="32"/>
              <w:szCs w:val="32"/>
            </w:rPr>
            <w:t>一、收</w:t>
          </w:r>
          <w:r>
            <w:rPr>
              <w:rFonts w:hint="eastAsia" w:ascii="仿宋" w:hAnsi="仿宋" w:eastAsia="仿宋"/>
              <w:bCs/>
              <w:color w:val="auto"/>
              <w:sz w:val="32"/>
              <w:szCs w:val="32"/>
            </w:rPr>
            <w:t>入支出决算总表</w:t>
          </w:r>
          <w:r>
            <w:rPr>
              <w:color w:val="auto"/>
              <w:sz w:val="32"/>
              <w:szCs w:val="32"/>
            </w:rPr>
            <w:tab/>
          </w:r>
          <w:r>
            <w:rPr>
              <w:color w:val="auto"/>
              <w:sz w:val="32"/>
              <w:szCs w:val="32"/>
            </w:rPr>
            <w:fldChar w:fldCharType="begin"/>
          </w:r>
          <w:r>
            <w:rPr>
              <w:color w:val="auto"/>
              <w:sz w:val="32"/>
              <w:szCs w:val="32"/>
            </w:rPr>
            <w:instrText xml:space="preserve"> PAGEREF _Toc29593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"_Toc27978" </w:instrText>
          </w:r>
          <w:r>
            <w:rPr>
              <w:color w:val="auto"/>
            </w:rPr>
            <w:fldChar w:fldCharType="separate"/>
          </w:r>
          <w:r>
            <w:rPr>
              <w:rFonts w:hint="eastAsia" w:ascii="仿宋" w:hAnsi="仿宋" w:eastAsia="仿宋"/>
              <w:color w:val="auto"/>
              <w:sz w:val="32"/>
              <w:szCs w:val="32"/>
            </w:rPr>
            <w:t>二、收</w:t>
          </w:r>
          <w:r>
            <w:rPr>
              <w:rFonts w:hint="eastAsia" w:ascii="仿宋" w:hAnsi="仿宋" w:eastAsia="仿宋"/>
              <w:bCs/>
              <w:color w:val="auto"/>
              <w:sz w:val="32"/>
              <w:szCs w:val="32"/>
            </w:rPr>
            <w:t>入决算表</w:t>
          </w:r>
          <w:r>
            <w:rPr>
              <w:color w:val="auto"/>
              <w:sz w:val="32"/>
              <w:szCs w:val="32"/>
            </w:rPr>
            <w:tab/>
          </w:r>
          <w:r>
            <w:rPr>
              <w:color w:val="auto"/>
              <w:sz w:val="32"/>
              <w:szCs w:val="32"/>
            </w:rPr>
            <w:fldChar w:fldCharType="begin"/>
          </w:r>
          <w:r>
            <w:rPr>
              <w:color w:val="auto"/>
              <w:sz w:val="32"/>
              <w:szCs w:val="32"/>
            </w:rPr>
            <w:instrText xml:space="preserve"> PAGEREF _Toc27978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"_Toc22781" </w:instrText>
          </w:r>
          <w:r>
            <w:rPr>
              <w:color w:val="auto"/>
            </w:rPr>
            <w:fldChar w:fldCharType="separate"/>
          </w:r>
          <w:r>
            <w:rPr>
              <w:rFonts w:hint="eastAsia" w:ascii="仿宋" w:hAnsi="仿宋" w:eastAsia="仿宋"/>
              <w:bCs/>
              <w:color w:val="auto"/>
              <w:sz w:val="32"/>
              <w:szCs w:val="32"/>
            </w:rPr>
            <w:t>三、</w:t>
          </w:r>
          <w:r>
            <w:rPr>
              <w:rFonts w:hint="eastAsia" w:ascii="仿宋" w:hAnsi="仿宋" w:eastAsia="仿宋"/>
              <w:color w:val="auto"/>
              <w:sz w:val="32"/>
              <w:szCs w:val="32"/>
            </w:rPr>
            <w:t>支</w:t>
          </w:r>
          <w:r>
            <w:rPr>
              <w:rFonts w:hint="eastAsia" w:ascii="仿宋" w:hAnsi="仿宋" w:eastAsia="仿宋"/>
              <w:bCs/>
              <w:color w:val="auto"/>
              <w:sz w:val="32"/>
              <w:szCs w:val="32"/>
            </w:rPr>
            <w:t>出决算表</w:t>
          </w:r>
          <w:r>
            <w:rPr>
              <w:color w:val="auto"/>
              <w:sz w:val="32"/>
              <w:szCs w:val="32"/>
            </w:rPr>
            <w:tab/>
          </w:r>
          <w:r>
            <w:rPr>
              <w:color w:val="auto"/>
              <w:sz w:val="32"/>
              <w:szCs w:val="32"/>
            </w:rPr>
            <w:fldChar w:fldCharType="begin"/>
          </w:r>
          <w:r>
            <w:rPr>
              <w:color w:val="auto"/>
              <w:sz w:val="32"/>
              <w:szCs w:val="32"/>
            </w:rPr>
            <w:instrText xml:space="preserve"> PAGEREF _Toc22781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"_Toc19838" </w:instrText>
          </w:r>
          <w:r>
            <w:rPr>
              <w:color w:val="auto"/>
            </w:rPr>
            <w:fldChar w:fldCharType="separate"/>
          </w:r>
          <w:r>
            <w:rPr>
              <w:rFonts w:hint="eastAsia" w:ascii="仿宋" w:hAnsi="仿宋" w:eastAsia="仿宋"/>
              <w:bCs/>
              <w:color w:val="auto"/>
              <w:sz w:val="32"/>
              <w:szCs w:val="32"/>
            </w:rPr>
            <w:t>四、</w:t>
          </w:r>
          <w:r>
            <w:rPr>
              <w:rFonts w:hint="eastAsia" w:ascii="仿宋" w:hAnsi="仿宋" w:eastAsia="仿宋"/>
              <w:color w:val="auto"/>
              <w:sz w:val="32"/>
              <w:szCs w:val="32"/>
            </w:rPr>
            <w:t>财</w:t>
          </w:r>
          <w:r>
            <w:rPr>
              <w:rFonts w:hint="eastAsia" w:ascii="仿宋" w:hAnsi="仿宋" w:eastAsia="仿宋"/>
              <w:bCs/>
              <w:color w:val="auto"/>
              <w:sz w:val="32"/>
              <w:szCs w:val="32"/>
            </w:rPr>
            <w:t>政拨款收入支出决算总表</w:t>
          </w:r>
          <w:r>
            <w:rPr>
              <w:color w:val="auto"/>
              <w:sz w:val="32"/>
              <w:szCs w:val="32"/>
            </w:rPr>
            <w:tab/>
          </w:r>
          <w:r>
            <w:rPr>
              <w:color w:val="auto"/>
              <w:sz w:val="32"/>
              <w:szCs w:val="32"/>
            </w:rPr>
            <w:fldChar w:fldCharType="begin"/>
          </w:r>
          <w:r>
            <w:rPr>
              <w:color w:val="auto"/>
              <w:sz w:val="32"/>
              <w:szCs w:val="32"/>
            </w:rPr>
            <w:instrText xml:space="preserve"> PAGEREF _Toc19838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"_Toc17248" </w:instrText>
          </w:r>
          <w:r>
            <w:rPr>
              <w:color w:val="auto"/>
            </w:rPr>
            <w:fldChar w:fldCharType="separate"/>
          </w:r>
          <w:r>
            <w:rPr>
              <w:rFonts w:hint="eastAsia" w:ascii="仿宋" w:hAnsi="仿宋" w:eastAsia="仿宋"/>
              <w:bCs/>
              <w:color w:val="auto"/>
              <w:sz w:val="32"/>
              <w:szCs w:val="32"/>
            </w:rPr>
            <w:t>五、</w:t>
          </w:r>
          <w:r>
            <w:rPr>
              <w:rFonts w:hint="eastAsia" w:ascii="仿宋" w:hAnsi="仿宋" w:eastAsia="仿宋"/>
              <w:color w:val="auto"/>
              <w:sz w:val="32"/>
              <w:szCs w:val="32"/>
            </w:rPr>
            <w:t>财</w:t>
          </w:r>
          <w:r>
            <w:rPr>
              <w:rFonts w:hint="eastAsia" w:ascii="仿宋" w:hAnsi="仿宋" w:eastAsia="仿宋"/>
              <w:bCs/>
              <w:color w:val="auto"/>
              <w:sz w:val="32"/>
              <w:szCs w:val="32"/>
            </w:rPr>
            <w:t>政拨款支出决算明细表</w:t>
          </w:r>
          <w:r>
            <w:rPr>
              <w:color w:val="auto"/>
              <w:sz w:val="32"/>
              <w:szCs w:val="32"/>
            </w:rPr>
            <w:tab/>
          </w:r>
          <w:r>
            <w:rPr>
              <w:color w:val="auto"/>
              <w:sz w:val="32"/>
              <w:szCs w:val="32"/>
            </w:rPr>
            <w:fldChar w:fldCharType="begin"/>
          </w:r>
          <w:r>
            <w:rPr>
              <w:color w:val="auto"/>
              <w:sz w:val="32"/>
              <w:szCs w:val="32"/>
            </w:rPr>
            <w:instrText xml:space="preserve"> PAGEREF _Toc17248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"_Toc14584" </w:instrText>
          </w:r>
          <w:r>
            <w:rPr>
              <w:color w:val="auto"/>
            </w:rPr>
            <w:fldChar w:fldCharType="separate"/>
          </w:r>
          <w:r>
            <w:rPr>
              <w:rFonts w:hint="eastAsia" w:ascii="仿宋" w:hAnsi="仿宋" w:eastAsia="仿宋"/>
              <w:bCs/>
              <w:color w:val="auto"/>
              <w:sz w:val="32"/>
              <w:szCs w:val="32"/>
            </w:rPr>
            <w:t>六、</w:t>
          </w:r>
          <w:r>
            <w:rPr>
              <w:rFonts w:hint="eastAsia" w:ascii="仿宋" w:hAnsi="仿宋" w:eastAsia="仿宋"/>
              <w:color w:val="auto"/>
              <w:sz w:val="32"/>
              <w:szCs w:val="32"/>
            </w:rPr>
            <w:t>一</w:t>
          </w:r>
          <w:r>
            <w:rPr>
              <w:rFonts w:hint="eastAsia" w:ascii="仿宋" w:hAnsi="仿宋" w:eastAsia="仿宋"/>
              <w:bCs/>
              <w:color w:val="auto"/>
              <w:sz w:val="32"/>
              <w:szCs w:val="32"/>
            </w:rPr>
            <w:t>般公共预算财政拨款支出决算表</w:t>
          </w:r>
          <w:r>
            <w:rPr>
              <w:color w:val="auto"/>
              <w:sz w:val="32"/>
              <w:szCs w:val="32"/>
            </w:rPr>
            <w:tab/>
          </w:r>
          <w:r>
            <w:rPr>
              <w:color w:val="auto"/>
              <w:sz w:val="32"/>
              <w:szCs w:val="32"/>
            </w:rPr>
            <w:fldChar w:fldCharType="begin"/>
          </w:r>
          <w:r>
            <w:rPr>
              <w:color w:val="auto"/>
              <w:sz w:val="32"/>
              <w:szCs w:val="32"/>
            </w:rPr>
            <w:instrText xml:space="preserve"> PAGEREF _Toc14584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"_Toc7716" </w:instrText>
          </w:r>
          <w:r>
            <w:rPr>
              <w:color w:val="auto"/>
            </w:rPr>
            <w:fldChar w:fldCharType="separate"/>
          </w:r>
          <w:r>
            <w:rPr>
              <w:rFonts w:hint="eastAsia" w:ascii="仿宋" w:hAnsi="仿宋" w:eastAsia="仿宋"/>
              <w:bCs/>
              <w:color w:val="auto"/>
              <w:sz w:val="32"/>
              <w:szCs w:val="32"/>
            </w:rPr>
            <w:t>七、</w:t>
          </w:r>
          <w:r>
            <w:rPr>
              <w:rFonts w:hint="eastAsia" w:ascii="仿宋" w:hAnsi="仿宋" w:eastAsia="仿宋"/>
              <w:color w:val="auto"/>
              <w:sz w:val="32"/>
              <w:szCs w:val="32"/>
            </w:rPr>
            <w:t>一</w:t>
          </w:r>
          <w:r>
            <w:rPr>
              <w:rFonts w:hint="eastAsia" w:ascii="仿宋" w:hAnsi="仿宋" w:eastAsia="仿宋"/>
              <w:bCs/>
              <w:color w:val="auto"/>
              <w:sz w:val="32"/>
              <w:szCs w:val="32"/>
            </w:rPr>
            <w:t>般公共预算财政拨款支出决算明细表</w:t>
          </w:r>
          <w:r>
            <w:rPr>
              <w:color w:val="auto"/>
              <w:sz w:val="32"/>
              <w:szCs w:val="32"/>
            </w:rPr>
            <w:tab/>
          </w:r>
          <w:r>
            <w:rPr>
              <w:color w:val="auto"/>
              <w:sz w:val="32"/>
              <w:szCs w:val="32"/>
            </w:rPr>
            <w:fldChar w:fldCharType="begin"/>
          </w:r>
          <w:r>
            <w:rPr>
              <w:color w:val="auto"/>
              <w:sz w:val="32"/>
              <w:szCs w:val="32"/>
            </w:rPr>
            <w:instrText xml:space="preserve"> PAGEREF _Toc7716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"_Toc31161" </w:instrText>
          </w:r>
          <w:r>
            <w:rPr>
              <w:color w:val="auto"/>
            </w:rPr>
            <w:fldChar w:fldCharType="separate"/>
          </w:r>
          <w:r>
            <w:rPr>
              <w:rFonts w:hint="eastAsia" w:ascii="仿宋" w:hAnsi="仿宋" w:eastAsia="仿宋"/>
              <w:bCs/>
              <w:color w:val="auto"/>
              <w:sz w:val="32"/>
              <w:szCs w:val="32"/>
            </w:rPr>
            <w:t>八、</w:t>
          </w:r>
          <w:r>
            <w:rPr>
              <w:rFonts w:hint="eastAsia" w:ascii="仿宋" w:hAnsi="仿宋" w:eastAsia="仿宋"/>
              <w:color w:val="auto"/>
              <w:sz w:val="32"/>
              <w:szCs w:val="32"/>
            </w:rPr>
            <w:t>一</w:t>
          </w:r>
          <w:r>
            <w:rPr>
              <w:rFonts w:hint="eastAsia" w:ascii="仿宋" w:hAnsi="仿宋" w:eastAsia="仿宋"/>
              <w:bCs/>
              <w:color w:val="auto"/>
              <w:sz w:val="32"/>
              <w:szCs w:val="32"/>
            </w:rPr>
            <w:t>般公共预算财政拨款基本支出决算表</w:t>
          </w:r>
          <w:r>
            <w:rPr>
              <w:color w:val="auto"/>
              <w:sz w:val="32"/>
              <w:szCs w:val="32"/>
            </w:rPr>
            <w:tab/>
          </w:r>
          <w:r>
            <w:rPr>
              <w:color w:val="auto"/>
              <w:sz w:val="32"/>
              <w:szCs w:val="32"/>
            </w:rPr>
            <w:fldChar w:fldCharType="begin"/>
          </w:r>
          <w:r>
            <w:rPr>
              <w:color w:val="auto"/>
              <w:sz w:val="32"/>
              <w:szCs w:val="32"/>
            </w:rPr>
            <w:instrText xml:space="preserve"> PAGEREF _Toc31161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"_Toc28385" </w:instrText>
          </w:r>
          <w:r>
            <w:rPr>
              <w:color w:val="auto"/>
            </w:rPr>
            <w:fldChar w:fldCharType="separate"/>
          </w:r>
          <w:r>
            <w:rPr>
              <w:rFonts w:hint="eastAsia" w:ascii="仿宋" w:hAnsi="仿宋" w:eastAsia="仿宋"/>
              <w:bCs/>
              <w:color w:val="auto"/>
              <w:sz w:val="32"/>
              <w:szCs w:val="32"/>
            </w:rPr>
            <w:t>九、</w:t>
          </w:r>
          <w:r>
            <w:rPr>
              <w:rFonts w:hint="eastAsia" w:ascii="仿宋" w:hAnsi="仿宋" w:eastAsia="仿宋"/>
              <w:color w:val="auto"/>
              <w:sz w:val="32"/>
              <w:szCs w:val="32"/>
            </w:rPr>
            <w:t>一</w:t>
          </w:r>
          <w:r>
            <w:rPr>
              <w:rFonts w:hint="eastAsia" w:ascii="仿宋" w:hAnsi="仿宋" w:eastAsia="仿宋"/>
              <w:bCs/>
              <w:color w:val="auto"/>
              <w:sz w:val="32"/>
              <w:szCs w:val="32"/>
            </w:rPr>
            <w:t>般公共预算财政拨款项目支出决算表</w:t>
          </w:r>
          <w:r>
            <w:rPr>
              <w:color w:val="auto"/>
              <w:sz w:val="32"/>
              <w:szCs w:val="32"/>
            </w:rPr>
            <w:tab/>
          </w:r>
          <w:r>
            <w:rPr>
              <w:color w:val="auto"/>
              <w:sz w:val="32"/>
              <w:szCs w:val="32"/>
            </w:rPr>
            <w:fldChar w:fldCharType="begin"/>
          </w:r>
          <w:r>
            <w:rPr>
              <w:color w:val="auto"/>
              <w:sz w:val="32"/>
              <w:szCs w:val="32"/>
            </w:rPr>
            <w:instrText xml:space="preserve"> PAGEREF _Toc28385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"_Toc15397" </w:instrText>
          </w:r>
          <w:r>
            <w:rPr>
              <w:color w:val="auto"/>
            </w:rPr>
            <w:fldChar w:fldCharType="separate"/>
          </w:r>
          <w:r>
            <w:rPr>
              <w:rFonts w:hint="eastAsia" w:ascii="仿宋" w:hAnsi="仿宋" w:eastAsia="仿宋"/>
              <w:bCs/>
              <w:color w:val="auto"/>
              <w:sz w:val="32"/>
              <w:szCs w:val="32"/>
            </w:rPr>
            <w:t>十、</w:t>
          </w:r>
          <w:r>
            <w:rPr>
              <w:rFonts w:hint="eastAsia" w:ascii="仿宋" w:hAnsi="仿宋" w:eastAsia="仿宋"/>
              <w:color w:val="auto"/>
              <w:sz w:val="32"/>
              <w:szCs w:val="32"/>
            </w:rPr>
            <w:t>一</w:t>
          </w:r>
          <w:r>
            <w:rPr>
              <w:rFonts w:hint="eastAsia" w:ascii="仿宋" w:hAnsi="仿宋" w:eastAsia="仿宋"/>
              <w:bCs/>
              <w:color w:val="auto"/>
              <w:sz w:val="32"/>
              <w:szCs w:val="32"/>
            </w:rPr>
            <w:t>般公共预算财政拨款“三公”经费支出决算表</w:t>
          </w:r>
          <w:r>
            <w:rPr>
              <w:color w:val="auto"/>
              <w:sz w:val="32"/>
              <w:szCs w:val="32"/>
            </w:rPr>
            <w:tab/>
          </w:r>
          <w:r>
            <w:rPr>
              <w:color w:val="auto"/>
              <w:sz w:val="32"/>
              <w:szCs w:val="32"/>
            </w:rPr>
            <w:fldChar w:fldCharType="begin"/>
          </w:r>
          <w:r>
            <w:rPr>
              <w:color w:val="auto"/>
              <w:sz w:val="32"/>
              <w:szCs w:val="32"/>
            </w:rPr>
            <w:instrText xml:space="preserve"> PAGEREF _Toc15397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"_Toc16594" </w:instrText>
          </w:r>
          <w:r>
            <w:rPr>
              <w:color w:val="auto"/>
            </w:rPr>
            <w:fldChar w:fldCharType="separate"/>
          </w:r>
          <w:r>
            <w:rPr>
              <w:rFonts w:hint="eastAsia" w:ascii="仿宋" w:hAnsi="仿宋" w:eastAsia="仿宋"/>
              <w:bCs/>
              <w:color w:val="auto"/>
              <w:sz w:val="32"/>
              <w:szCs w:val="32"/>
            </w:rPr>
            <w:t>十一、</w:t>
          </w:r>
          <w:r>
            <w:rPr>
              <w:rFonts w:hint="eastAsia" w:ascii="仿宋" w:hAnsi="仿宋" w:eastAsia="仿宋"/>
              <w:color w:val="auto"/>
              <w:sz w:val="32"/>
              <w:szCs w:val="32"/>
            </w:rPr>
            <w:t>政</w:t>
          </w:r>
          <w:r>
            <w:rPr>
              <w:rFonts w:hint="eastAsia" w:ascii="仿宋" w:hAnsi="仿宋" w:eastAsia="仿宋"/>
              <w:bCs/>
              <w:color w:val="auto"/>
              <w:sz w:val="32"/>
              <w:szCs w:val="32"/>
            </w:rPr>
            <w:t>府性基金预算财政拨款收入支出决算表</w:t>
          </w:r>
          <w:r>
            <w:rPr>
              <w:color w:val="auto"/>
              <w:sz w:val="32"/>
              <w:szCs w:val="32"/>
            </w:rPr>
            <w:tab/>
          </w:r>
          <w:r>
            <w:rPr>
              <w:color w:val="auto"/>
              <w:sz w:val="32"/>
              <w:szCs w:val="32"/>
            </w:rPr>
            <w:fldChar w:fldCharType="begin"/>
          </w:r>
          <w:r>
            <w:rPr>
              <w:color w:val="auto"/>
              <w:sz w:val="32"/>
              <w:szCs w:val="32"/>
            </w:rPr>
            <w:instrText xml:space="preserve"> PAGEREF _Toc16594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"_Toc21838" </w:instrText>
          </w:r>
          <w:r>
            <w:rPr>
              <w:color w:val="auto"/>
            </w:rPr>
            <w:fldChar w:fldCharType="separate"/>
          </w:r>
          <w:r>
            <w:rPr>
              <w:rFonts w:hint="eastAsia" w:ascii="仿宋" w:hAnsi="仿宋" w:eastAsia="仿宋"/>
              <w:bCs/>
              <w:color w:val="auto"/>
              <w:sz w:val="32"/>
              <w:szCs w:val="32"/>
            </w:rPr>
            <w:t>十二、</w:t>
          </w:r>
          <w:r>
            <w:rPr>
              <w:rFonts w:hint="eastAsia" w:ascii="仿宋" w:hAnsi="仿宋" w:eastAsia="仿宋"/>
              <w:color w:val="auto"/>
              <w:sz w:val="32"/>
              <w:szCs w:val="32"/>
            </w:rPr>
            <w:t>政</w:t>
          </w:r>
          <w:r>
            <w:rPr>
              <w:rFonts w:hint="eastAsia" w:ascii="仿宋" w:hAnsi="仿宋" w:eastAsia="仿宋"/>
              <w:bCs/>
              <w:color w:val="auto"/>
              <w:sz w:val="32"/>
              <w:szCs w:val="32"/>
            </w:rPr>
            <w:t>府性基金预算财政拨款“三公”经费支出决算表</w:t>
          </w:r>
          <w:r>
            <w:rPr>
              <w:color w:val="auto"/>
              <w:sz w:val="32"/>
              <w:szCs w:val="32"/>
            </w:rPr>
            <w:tab/>
          </w:r>
          <w:r>
            <w:rPr>
              <w:color w:val="auto"/>
              <w:sz w:val="32"/>
              <w:szCs w:val="32"/>
            </w:rPr>
            <w:fldChar w:fldCharType="begin"/>
          </w:r>
          <w:r>
            <w:rPr>
              <w:color w:val="auto"/>
              <w:sz w:val="32"/>
              <w:szCs w:val="32"/>
            </w:rPr>
            <w:instrText xml:space="preserve"> PAGEREF _Toc21838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"_Toc14461" </w:instrText>
          </w:r>
          <w:r>
            <w:rPr>
              <w:color w:val="auto"/>
            </w:rPr>
            <w:fldChar w:fldCharType="separate"/>
          </w:r>
          <w:r>
            <w:rPr>
              <w:rFonts w:hint="eastAsia" w:ascii="仿宋" w:hAnsi="仿宋" w:eastAsia="仿宋"/>
              <w:bCs/>
              <w:color w:val="auto"/>
              <w:sz w:val="32"/>
              <w:szCs w:val="32"/>
            </w:rPr>
            <w:t>十三、</w:t>
          </w:r>
          <w:r>
            <w:rPr>
              <w:rFonts w:hint="eastAsia" w:ascii="仿宋" w:hAnsi="仿宋" w:eastAsia="仿宋"/>
              <w:color w:val="auto"/>
              <w:sz w:val="32"/>
              <w:szCs w:val="32"/>
            </w:rPr>
            <w:t>国</w:t>
          </w:r>
          <w:r>
            <w:rPr>
              <w:rFonts w:hint="eastAsia" w:ascii="仿宋" w:hAnsi="仿宋" w:eastAsia="仿宋"/>
              <w:bCs/>
              <w:color w:val="auto"/>
              <w:sz w:val="32"/>
              <w:szCs w:val="32"/>
            </w:rPr>
            <w:t>有资本经营预算财政拨款支出决算表</w:t>
          </w:r>
          <w:r>
            <w:rPr>
              <w:color w:val="auto"/>
              <w:sz w:val="32"/>
              <w:szCs w:val="32"/>
            </w:rPr>
            <w:tab/>
          </w:r>
          <w:r>
            <w:rPr>
              <w:color w:val="auto"/>
              <w:sz w:val="32"/>
              <w:szCs w:val="32"/>
            </w:rPr>
            <w:fldChar w:fldCharType="begin"/>
          </w:r>
          <w:r>
            <w:rPr>
              <w:color w:val="auto"/>
              <w:sz w:val="32"/>
              <w:szCs w:val="32"/>
            </w:rPr>
            <w:instrText xml:space="preserve"> PAGEREF _Toc14461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pStyle w:val="12"/>
            <w:tabs>
              <w:tab w:val="right" w:leader="dot" w:pos="8306"/>
              <w:tab w:val="clear" w:pos="8296"/>
            </w:tabs>
            <w:rPr>
              <w:color w:val="auto"/>
              <w:sz w:val="32"/>
              <w:szCs w:val="32"/>
            </w:rPr>
          </w:pPr>
          <w:r>
            <w:rPr>
              <w:color w:val="auto"/>
            </w:rPr>
            <w:fldChar w:fldCharType="begin"/>
          </w:r>
          <w:r>
            <w:rPr>
              <w:color w:val="auto"/>
            </w:rPr>
            <w:instrText xml:space="preserve"> HYPERLINK \l "_Toc21624" </w:instrText>
          </w:r>
          <w:r>
            <w:rPr>
              <w:color w:val="auto"/>
            </w:rPr>
            <w:fldChar w:fldCharType="separate"/>
          </w:r>
          <w:r>
            <w:rPr>
              <w:rFonts w:hint="eastAsia" w:ascii="仿宋" w:hAnsi="仿宋" w:eastAsia="仿宋"/>
              <w:bCs/>
              <w:color w:val="auto"/>
              <w:sz w:val="32"/>
              <w:szCs w:val="32"/>
            </w:rPr>
            <w:t>十四、国有资本经营预算财政拨款支出决算表</w:t>
          </w:r>
          <w:r>
            <w:rPr>
              <w:color w:val="auto"/>
              <w:sz w:val="32"/>
              <w:szCs w:val="32"/>
            </w:rPr>
            <w:tab/>
          </w:r>
          <w:r>
            <w:rPr>
              <w:color w:val="auto"/>
              <w:sz w:val="32"/>
              <w:szCs w:val="32"/>
            </w:rPr>
            <w:fldChar w:fldCharType="begin"/>
          </w:r>
          <w:r>
            <w:rPr>
              <w:color w:val="auto"/>
              <w:sz w:val="32"/>
              <w:szCs w:val="32"/>
            </w:rPr>
            <w:instrText xml:space="preserve"> PAGEREF _Toc21624 \h </w:instrText>
          </w:r>
          <w:r>
            <w:rPr>
              <w:color w:val="auto"/>
              <w:sz w:val="32"/>
              <w:szCs w:val="32"/>
            </w:rPr>
            <w:fldChar w:fldCharType="separate"/>
          </w:r>
          <w:r>
            <w:rPr>
              <w:color w:val="auto"/>
              <w:sz w:val="32"/>
              <w:szCs w:val="32"/>
            </w:rPr>
            <w:t>26</w:t>
          </w:r>
          <w:r>
            <w:rPr>
              <w:color w:val="auto"/>
              <w:sz w:val="32"/>
              <w:szCs w:val="32"/>
            </w:rPr>
            <w:fldChar w:fldCharType="end"/>
          </w:r>
          <w:r>
            <w:rPr>
              <w:color w:val="auto"/>
              <w:sz w:val="32"/>
              <w:szCs w:val="32"/>
            </w:rPr>
            <w:fldChar w:fldCharType="end"/>
          </w:r>
        </w:p>
        <w:p>
          <w:pPr>
            <w:rPr>
              <w:color w:val="auto"/>
              <w:sz w:val="32"/>
              <w:szCs w:val="32"/>
            </w:rPr>
          </w:pPr>
          <w:r>
            <w:rPr>
              <w:color w:val="auto"/>
              <w:sz w:val="32"/>
              <w:szCs w:val="32"/>
            </w:rPr>
            <w:fldChar w:fldCharType="end"/>
          </w:r>
        </w:p>
      </w:sdtContent>
    </w:sdt>
    <w:p>
      <w:pPr>
        <w:rPr>
          <w:rStyle w:val="25"/>
          <w:rFonts w:ascii="仿宋_GB2312" w:hAnsi="黑体" w:eastAsia="仿宋_GB2312"/>
          <w:bCs w:val="0"/>
          <w:color w:val="auto"/>
          <w:sz w:val="32"/>
          <w:szCs w:val="32"/>
        </w:rPr>
      </w:pPr>
      <w:r>
        <w:rPr>
          <w:rFonts w:hint="eastAsia" w:ascii="宋体" w:hAnsi="宋体"/>
          <w:color w:val="auto"/>
          <w:sz w:val="32"/>
          <w:szCs w:val="32"/>
        </w:rPr>
        <w:t xml:space="preserve">                                                                                                  </w:t>
      </w:r>
    </w:p>
    <w:p>
      <w:pPr>
        <w:pStyle w:val="3"/>
        <w:rPr>
          <w:rStyle w:val="25"/>
          <w:rFonts w:ascii="仿宋_GB2312" w:hAnsi="黑体" w:eastAsia="仿宋_GB2312"/>
          <w:b/>
          <w:bCs w:val="0"/>
          <w:color w:val="auto"/>
          <w:sz w:val="32"/>
          <w:szCs w:val="32"/>
        </w:rPr>
      </w:pPr>
    </w:p>
    <w:p>
      <w:pPr>
        <w:rPr>
          <w:rStyle w:val="25"/>
          <w:rFonts w:ascii="仿宋_GB2312" w:hAnsi="黑体" w:eastAsia="仿宋_GB2312"/>
          <w:bCs w:val="0"/>
          <w:color w:val="auto"/>
        </w:rPr>
      </w:pPr>
    </w:p>
    <w:p>
      <w:pPr>
        <w:rPr>
          <w:rStyle w:val="26"/>
          <w:rFonts w:ascii="仿宋_GB2312" w:hAnsi="黑体" w:eastAsia="仿宋_GB2312"/>
          <w:bCs w:val="0"/>
          <w:color w:val="auto"/>
        </w:rPr>
      </w:pPr>
      <w:bookmarkStart w:id="27" w:name="_Toc15377197"/>
      <w:bookmarkStart w:id="28" w:name="_Toc3149"/>
      <w:bookmarkStart w:id="29" w:name="_Toc85625048"/>
    </w:p>
    <w:p>
      <w:pPr>
        <w:jc w:val="center"/>
        <w:outlineLvl w:val="0"/>
        <w:rPr>
          <w:rStyle w:val="26"/>
          <w:rFonts w:ascii="仿宋_GB2312" w:hAnsi="黑体" w:eastAsia="仿宋_GB2312"/>
          <w:bCs w:val="0"/>
          <w:color w:val="auto"/>
          <w:sz w:val="44"/>
          <w:szCs w:val="44"/>
        </w:rPr>
      </w:pPr>
      <w:bookmarkStart w:id="30" w:name="_Toc23378"/>
      <w:r>
        <w:rPr>
          <w:rStyle w:val="26"/>
          <w:rFonts w:hint="eastAsia" w:ascii="仿宋_GB2312" w:hAnsi="黑体" w:eastAsia="仿宋_GB2312"/>
          <w:bCs w:val="0"/>
          <w:color w:val="auto"/>
          <w:sz w:val="44"/>
          <w:szCs w:val="44"/>
        </w:rPr>
        <w:t>第一部分  部门概括</w:t>
      </w:r>
      <w:bookmarkEnd w:id="30"/>
    </w:p>
    <w:bookmarkEnd w:id="27"/>
    <w:bookmarkEnd w:id="28"/>
    <w:bookmarkEnd w:id="29"/>
    <w:p>
      <w:pPr>
        <w:pStyle w:val="4"/>
        <w:ind w:firstLine="640" w:firstLineChars="200"/>
        <w:rPr>
          <w:rStyle w:val="30"/>
          <w:rFonts w:ascii="仿宋" w:hAnsi="仿宋" w:eastAsia="仿宋"/>
          <w:b w:val="0"/>
          <w:bCs w:val="0"/>
          <w:color w:val="auto"/>
        </w:rPr>
      </w:pPr>
      <w:bookmarkStart w:id="31" w:name="_Toc23870"/>
      <w:bookmarkStart w:id="32" w:name="_Toc25772"/>
      <w:bookmarkStart w:id="33" w:name="_Toc15396600"/>
      <w:bookmarkStart w:id="34" w:name="_Toc15377204"/>
      <w:r>
        <w:rPr>
          <w:rFonts w:hint="eastAsia" w:ascii="黑体" w:hAnsi="黑体" w:eastAsia="黑体"/>
          <w:b w:val="0"/>
          <w:color w:val="auto"/>
        </w:rPr>
        <w:t>一、基</w:t>
      </w:r>
      <w:r>
        <w:rPr>
          <w:rStyle w:val="30"/>
          <w:rFonts w:hint="eastAsia" w:ascii="黑体" w:hAnsi="黑体" w:eastAsia="黑体"/>
          <w:b w:val="0"/>
          <w:bCs w:val="0"/>
          <w:color w:val="auto"/>
        </w:rPr>
        <w:t>本职能及主要工作</w:t>
      </w:r>
      <w:bookmarkEnd w:id="31"/>
      <w:bookmarkEnd w:id="32"/>
      <w:bookmarkEnd w:id="33"/>
    </w:p>
    <w:p>
      <w:pPr>
        <w:pStyle w:val="6"/>
        <w:adjustRightInd w:val="0"/>
        <w:snapToGrid w:val="0"/>
        <w:spacing w:before="93" w:line="600" w:lineRule="exact"/>
        <w:ind w:firstLine="672" w:firstLineChars="210"/>
        <w:outlineLvl w:val="2"/>
        <w:rPr>
          <w:rFonts w:ascii="仿宋" w:hAnsi="仿宋" w:eastAsia="仿宋"/>
          <w:bCs/>
          <w:color w:val="auto"/>
          <w:sz w:val="32"/>
          <w:szCs w:val="32"/>
        </w:rPr>
      </w:pPr>
      <w:bookmarkStart w:id="35" w:name="_Toc8619"/>
      <w:bookmarkStart w:id="36" w:name="_Toc15377198"/>
      <w:bookmarkStart w:id="37" w:name="_Toc15378445"/>
      <w:bookmarkStart w:id="38" w:name="_Toc15378446"/>
      <w:bookmarkStart w:id="39" w:name="_Toc15377199"/>
      <w:r>
        <w:rPr>
          <w:rFonts w:hint="eastAsia" w:ascii="仿宋" w:hAnsi="仿宋" w:eastAsia="仿宋"/>
          <w:bCs/>
          <w:color w:val="auto"/>
          <w:sz w:val="32"/>
          <w:szCs w:val="32"/>
        </w:rPr>
        <w:t>（一）主要职能。</w:t>
      </w:r>
      <w:bookmarkEnd w:id="35"/>
      <w:bookmarkEnd w:id="36"/>
      <w:bookmarkEnd w:id="37"/>
    </w:p>
    <w:p>
      <w:pPr>
        <w:widowControl/>
        <w:spacing w:line="600" w:lineRule="exact"/>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中华人民共和国宪法规定中国共产党领导的多党合作和政治协商制度将长期存在和发展，其主要职能职责是：政治协商、民主监督、参政议政。</w:t>
      </w:r>
    </w:p>
    <w:p>
      <w:pPr>
        <w:widowControl/>
        <w:spacing w:line="600" w:lineRule="exact"/>
        <w:ind w:firstLine="800" w:firstLineChars="250"/>
        <w:jc w:val="left"/>
        <w:rPr>
          <w:rFonts w:ascii="仿宋" w:hAnsi="仿宋" w:eastAsia="仿宋"/>
          <w:bCs/>
          <w:color w:val="auto"/>
          <w:sz w:val="32"/>
          <w:szCs w:val="32"/>
        </w:rPr>
      </w:pPr>
      <w:r>
        <w:rPr>
          <w:rFonts w:hint="eastAsia" w:ascii="仿宋" w:hAnsi="仿宋" w:eastAsia="仿宋" w:cs="宋体"/>
          <w:color w:val="auto"/>
          <w:kern w:val="0"/>
          <w:sz w:val="32"/>
          <w:szCs w:val="32"/>
        </w:rPr>
        <w:t>2021年主要工作任务是：全县政治协商、民主监督、参政议政。</w:t>
      </w:r>
    </w:p>
    <w:p>
      <w:pPr>
        <w:pStyle w:val="6"/>
        <w:adjustRightInd w:val="0"/>
        <w:snapToGrid w:val="0"/>
        <w:spacing w:before="93" w:line="600" w:lineRule="exact"/>
        <w:ind w:firstLine="672" w:firstLineChars="210"/>
        <w:outlineLvl w:val="2"/>
        <w:rPr>
          <w:rFonts w:ascii="仿宋" w:hAnsi="仿宋" w:eastAsia="仿宋"/>
          <w:bCs/>
          <w:color w:val="auto"/>
          <w:sz w:val="32"/>
          <w:szCs w:val="32"/>
        </w:rPr>
      </w:pPr>
      <w:bookmarkStart w:id="40" w:name="_Toc30080"/>
      <w:r>
        <w:rPr>
          <w:rFonts w:hint="eastAsia" w:ascii="仿宋" w:hAnsi="仿宋" w:eastAsia="仿宋"/>
          <w:bCs/>
          <w:color w:val="auto"/>
          <w:sz w:val="32"/>
          <w:szCs w:val="32"/>
        </w:rPr>
        <w:t>（二）2021年重点工作完成情况。</w:t>
      </w:r>
      <w:bookmarkEnd w:id="38"/>
      <w:bookmarkEnd w:id="39"/>
      <w:bookmarkEnd w:id="40"/>
    </w:p>
    <w:p>
      <w:pPr>
        <w:widowControl/>
        <w:adjustRightInd w:val="0"/>
        <w:snapToGrid w:val="0"/>
        <w:spacing w:line="560" w:lineRule="exact"/>
        <w:ind w:firstLine="642" w:firstLineChars="200"/>
        <w:contextualSpacing/>
        <w:jc w:val="left"/>
        <w:rPr>
          <w:rFonts w:ascii="仿宋" w:hAnsi="仿宋" w:eastAsia="仿宋" w:cs="仿宋"/>
          <w:color w:val="auto"/>
          <w:kern w:val="0"/>
          <w:sz w:val="32"/>
          <w:szCs w:val="32"/>
          <w:shd w:val="clear" w:color="auto" w:fill="FFFFFF"/>
        </w:rPr>
      </w:pPr>
      <w:bookmarkStart w:id="41" w:name="_Toc15377200"/>
      <w:bookmarkStart w:id="42" w:name="_Toc6586"/>
      <w:bookmarkStart w:id="43" w:name="_Toc15396601"/>
      <w:r>
        <w:rPr>
          <w:rFonts w:hint="eastAsia" w:ascii="仿宋" w:hAnsi="仿宋" w:eastAsia="仿宋" w:cs="仿宋"/>
          <w:b/>
          <w:bCs/>
          <w:color w:val="auto"/>
          <w:kern w:val="0"/>
          <w:sz w:val="32"/>
          <w:szCs w:val="32"/>
          <w:shd w:val="clear" w:color="auto" w:fill="FFFFFF"/>
        </w:rPr>
        <w:t xml:space="preserve">1.政协会议     </w:t>
      </w:r>
      <w:r>
        <w:rPr>
          <w:rFonts w:hint="eastAsia" w:ascii="仿宋" w:hAnsi="仿宋" w:eastAsia="仿宋" w:cs="仿宋"/>
          <w:color w:val="auto"/>
          <w:kern w:val="0"/>
          <w:sz w:val="32"/>
          <w:szCs w:val="32"/>
          <w:shd w:val="clear" w:color="auto" w:fill="FFFFFF"/>
        </w:rPr>
        <w:t xml:space="preserve">                                                 </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2021年度我单位应召开政协常委会3次，政协全体会议1次，实召开政协常委会3次，政协全体会议0次。政协全体会议未召开的原因：因为疫情防控工作，推迟至次年召开。在3次常委会议中，听取“一府两院”、县纪委监委工作情况通报，听取县人民政府关于十三届四次会议提案办理工作情况的通报，向公安、法院、检察院等多个执法部门委派16人次委员担任监督员、陪审员，推荐委员参加电视问政、民主测评、征求意见、专项检查等活动10余次。</w:t>
      </w:r>
    </w:p>
    <w:p>
      <w:pPr>
        <w:widowControl/>
        <w:adjustRightInd w:val="0"/>
        <w:snapToGrid w:val="0"/>
        <w:spacing w:line="560" w:lineRule="exact"/>
        <w:ind w:firstLine="642" w:firstLineChars="200"/>
        <w:contextualSpacing/>
        <w:jc w:val="left"/>
        <w:rPr>
          <w:rFonts w:ascii="仿宋" w:hAnsi="仿宋" w:eastAsia="仿宋" w:cs="仿宋"/>
          <w:b/>
          <w:bCs/>
          <w:color w:val="auto"/>
          <w:kern w:val="0"/>
          <w:sz w:val="32"/>
          <w:szCs w:val="32"/>
          <w:shd w:val="clear" w:color="auto" w:fill="FFFFFF"/>
        </w:rPr>
      </w:pPr>
      <w:r>
        <w:rPr>
          <w:rFonts w:hint="eastAsia" w:ascii="仿宋" w:hAnsi="仿宋" w:eastAsia="仿宋" w:cs="仿宋"/>
          <w:b/>
          <w:bCs/>
          <w:color w:val="auto"/>
          <w:kern w:val="0"/>
          <w:sz w:val="32"/>
          <w:szCs w:val="32"/>
          <w:shd w:val="clear" w:color="auto" w:fill="FFFFFF"/>
        </w:rPr>
        <w:t>2.委员视察</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注重上下联动，组织政协委员和群众代表参加县政协“有事好商量”活动，就提升医疗卫生服务水平、推进教育民生实事、乡村道路改造提升、实现农村饮用水达标等方面协商建言。组织委员考察青海、甘肃藏区经济社会发展和长治久安，重视与浙江温州市、绵阳游仙区、西藏拉萨市、甘孜州德格县、青海班玛及州内县市等政协的沟通联系，不断扩大对外交往交流。参与壤巴拉节、硕博进阿坝等活动，发出政协好声音。</w:t>
      </w:r>
    </w:p>
    <w:p>
      <w:pPr>
        <w:widowControl/>
        <w:adjustRightInd w:val="0"/>
        <w:snapToGrid w:val="0"/>
        <w:spacing w:line="560" w:lineRule="exact"/>
        <w:ind w:firstLine="642" w:firstLineChars="200"/>
        <w:contextualSpacing/>
        <w:jc w:val="left"/>
        <w:rPr>
          <w:rFonts w:ascii="仿宋" w:hAnsi="仿宋" w:eastAsia="仿宋" w:cs="仿宋"/>
          <w:b/>
          <w:bCs/>
          <w:color w:val="auto"/>
          <w:kern w:val="0"/>
          <w:sz w:val="32"/>
          <w:szCs w:val="32"/>
          <w:shd w:val="clear" w:color="auto" w:fill="FFFFFF"/>
        </w:rPr>
      </w:pPr>
      <w:r>
        <w:rPr>
          <w:rFonts w:hint="eastAsia" w:ascii="仿宋" w:hAnsi="仿宋" w:eastAsia="仿宋" w:cs="仿宋"/>
          <w:b/>
          <w:bCs/>
          <w:color w:val="auto"/>
          <w:kern w:val="0"/>
          <w:sz w:val="32"/>
          <w:szCs w:val="32"/>
          <w:shd w:val="clear" w:color="auto" w:fill="FFFFFF"/>
        </w:rPr>
        <w:t>3.参政议政</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按照年度计划，综合运用工作通报、现场视察、情况介绍、互动交流等形式，围绕“川甘青结合部区域强县”、“地质灾害防治”开展常委会专题协商，围绕“乡镇行政区划调整”开展主席会议重点协商，围绕“壤塘县城镇供水工作”等开展提案办理协商，围绕做好“六稳”工作、落实“六保”任务等开展专委会对口协商，并适时邀请党政领导、部门负责人、界别群众参加协商议政会，全年组织委员外出培训、调研4次、有效协商6次，参与委员100余人次，开出“政协方子”20多条，为县委、县政府提供了有益决策参考，帮助相关部门改进了工作。</w:t>
      </w:r>
    </w:p>
    <w:p>
      <w:pPr>
        <w:pStyle w:val="4"/>
        <w:ind w:firstLine="640" w:firstLineChars="200"/>
        <w:rPr>
          <w:rStyle w:val="30"/>
          <w:b w:val="0"/>
          <w:bCs w:val="0"/>
          <w:color w:val="auto"/>
        </w:rPr>
      </w:pPr>
      <w:bookmarkStart w:id="44" w:name="_Toc7073"/>
      <w:r>
        <w:rPr>
          <w:rFonts w:hint="eastAsia" w:ascii="黑体" w:eastAsia="黑体"/>
          <w:b w:val="0"/>
          <w:color w:val="auto"/>
        </w:rPr>
        <w:t>二、</w:t>
      </w:r>
      <w:r>
        <w:rPr>
          <w:rFonts w:hint="eastAsia" w:ascii="黑体" w:hAnsi="黑体" w:eastAsia="黑体"/>
          <w:b w:val="0"/>
          <w:color w:val="auto"/>
        </w:rPr>
        <w:t>机</w:t>
      </w:r>
      <w:r>
        <w:rPr>
          <w:rStyle w:val="30"/>
          <w:rFonts w:hint="eastAsia" w:ascii="黑体" w:hAnsi="黑体" w:eastAsia="黑体"/>
          <w:b w:val="0"/>
          <w:bCs w:val="0"/>
          <w:color w:val="auto"/>
        </w:rPr>
        <w:t>构设置</w:t>
      </w:r>
      <w:bookmarkEnd w:id="41"/>
      <w:bookmarkEnd w:id="42"/>
      <w:bookmarkEnd w:id="43"/>
      <w:bookmarkEnd w:id="44"/>
    </w:p>
    <w:p>
      <w:pPr>
        <w:widowControl/>
        <w:spacing w:line="600" w:lineRule="exact"/>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本部门下属二级预算单位</w:t>
      </w:r>
      <w:r>
        <w:rPr>
          <w:rFonts w:ascii="仿宋" w:hAnsi="仿宋" w:eastAsia="仿宋" w:cs="宋体"/>
          <w:color w:val="auto"/>
          <w:kern w:val="0"/>
          <w:sz w:val="32"/>
          <w:szCs w:val="32"/>
          <w:u w:val="single"/>
        </w:rPr>
        <w:t xml:space="preserve"> 0 </w:t>
      </w:r>
      <w:r>
        <w:rPr>
          <w:rFonts w:hint="eastAsia" w:ascii="仿宋" w:hAnsi="仿宋" w:eastAsia="仿宋" w:cs="宋体"/>
          <w:color w:val="auto"/>
          <w:kern w:val="0"/>
          <w:sz w:val="32"/>
          <w:szCs w:val="32"/>
        </w:rPr>
        <w:t>个，其中内设机构</w:t>
      </w:r>
      <w:r>
        <w:rPr>
          <w:rFonts w:ascii="仿宋" w:hAnsi="仿宋" w:eastAsia="仿宋" w:cs="宋体"/>
          <w:color w:val="auto"/>
          <w:kern w:val="0"/>
          <w:sz w:val="32"/>
          <w:szCs w:val="32"/>
          <w:u w:val="single"/>
        </w:rPr>
        <w:t xml:space="preserve"> </w:t>
      </w:r>
      <w:r>
        <w:rPr>
          <w:rFonts w:hint="eastAsia" w:ascii="仿宋" w:hAnsi="仿宋" w:eastAsia="仿宋" w:cs="宋体"/>
          <w:color w:val="auto"/>
          <w:kern w:val="0"/>
          <w:sz w:val="32"/>
          <w:szCs w:val="32"/>
          <w:u w:val="single"/>
        </w:rPr>
        <w:t>1</w:t>
      </w:r>
      <w:r>
        <w:rPr>
          <w:rFonts w:ascii="仿宋" w:hAnsi="仿宋" w:eastAsia="仿宋" w:cs="宋体"/>
          <w:color w:val="auto"/>
          <w:kern w:val="0"/>
          <w:sz w:val="32"/>
          <w:szCs w:val="32"/>
          <w:u w:val="single"/>
        </w:rPr>
        <w:t xml:space="preserve"> </w:t>
      </w:r>
      <w:r>
        <w:rPr>
          <w:rFonts w:hint="eastAsia" w:ascii="仿宋" w:hAnsi="仿宋" w:eastAsia="仿宋" w:cs="宋体"/>
          <w:color w:val="auto"/>
          <w:kern w:val="0"/>
          <w:sz w:val="32"/>
          <w:szCs w:val="32"/>
        </w:rPr>
        <w:t>个（信息中心）。</w:t>
      </w:r>
    </w:p>
    <w:p>
      <w:pPr>
        <w:widowControl/>
        <w:spacing w:line="600" w:lineRule="exact"/>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总在编人数28人（与上年度一致）,其中:行政编制24人,事业编制4人。其中：公务员19人，行政工勤5人，其他事业人员4人。退休人员26人。</w:t>
      </w:r>
    </w:p>
    <w:p>
      <w:pPr>
        <w:pStyle w:val="6"/>
        <w:adjustRightInd w:val="0"/>
        <w:snapToGrid w:val="0"/>
        <w:spacing w:before="93" w:line="600" w:lineRule="exact"/>
        <w:ind w:firstLine="1120" w:firstLineChars="350"/>
        <w:rPr>
          <w:rFonts w:ascii="仿宋" w:hAnsi="仿宋" w:eastAsia="仿宋"/>
          <w:color w:val="auto"/>
          <w:sz w:val="32"/>
          <w:szCs w:val="32"/>
        </w:rPr>
      </w:pPr>
    </w:p>
    <w:p>
      <w:pPr>
        <w:widowControl/>
        <w:jc w:val="center"/>
        <w:rPr>
          <w:rFonts w:ascii="仿宋_GB2312" w:hAnsi="黑体" w:eastAsia="仿宋_GB2312"/>
          <w:b/>
          <w:color w:val="auto"/>
        </w:rPr>
      </w:pPr>
      <w:r>
        <w:rPr>
          <w:rFonts w:ascii="仿宋" w:hAnsi="仿宋" w:eastAsia="仿宋"/>
          <w:color w:val="auto"/>
          <w:sz w:val="32"/>
          <w:szCs w:val="32"/>
        </w:rPr>
        <w:br w:type="page"/>
      </w:r>
      <w:bookmarkStart w:id="45" w:name="_Toc13943"/>
      <w:bookmarkStart w:id="46" w:name="_Toc85625050"/>
      <w:bookmarkStart w:id="47" w:name="_Toc22026"/>
      <w:r>
        <w:rPr>
          <w:rFonts w:hint="eastAsia" w:ascii="仿宋_GB2312" w:hAnsi="黑体" w:eastAsia="仿宋_GB2312"/>
          <w:b/>
          <w:color w:val="auto"/>
          <w:sz w:val="40"/>
        </w:rPr>
        <w:t>第二部分</w:t>
      </w:r>
    </w:p>
    <w:p>
      <w:pPr>
        <w:widowControl/>
        <w:jc w:val="center"/>
        <w:rPr>
          <w:rStyle w:val="25"/>
          <w:rFonts w:ascii="仿宋" w:hAnsi="仿宋" w:eastAsia="仿宋"/>
          <w:b w:val="0"/>
          <w:bCs w:val="0"/>
          <w:color w:val="auto"/>
          <w:kern w:val="0"/>
          <w:sz w:val="32"/>
          <w:szCs w:val="32"/>
        </w:rPr>
      </w:pPr>
      <w:r>
        <w:rPr>
          <w:rStyle w:val="25"/>
          <w:rFonts w:hint="eastAsia" w:ascii="仿宋_GB2312" w:hAnsi="黑体" w:eastAsia="仿宋_GB2312"/>
          <w:bCs w:val="0"/>
          <w:color w:val="auto"/>
        </w:rPr>
        <w:t>2021年度部门决算情况说明</w:t>
      </w:r>
      <w:bookmarkEnd w:id="34"/>
      <w:bookmarkEnd w:id="45"/>
      <w:bookmarkEnd w:id="46"/>
      <w:bookmarkEnd w:id="47"/>
    </w:p>
    <w:p>
      <w:pPr>
        <w:pStyle w:val="24"/>
        <w:numPr>
          <w:ilvl w:val="0"/>
          <w:numId w:val="1"/>
        </w:numPr>
        <w:spacing w:line="600" w:lineRule="exact"/>
        <w:ind w:firstLineChars="0"/>
        <w:outlineLvl w:val="1"/>
        <w:rPr>
          <w:rStyle w:val="26"/>
          <w:rFonts w:ascii="仿宋_GB2312" w:hAnsi="黑体" w:eastAsia="仿宋_GB2312"/>
          <w:bCs w:val="0"/>
          <w:color w:val="auto"/>
        </w:rPr>
      </w:pPr>
      <w:bookmarkStart w:id="48" w:name="_Toc15529"/>
      <w:bookmarkStart w:id="49" w:name="_Toc25718"/>
      <w:bookmarkStart w:id="50" w:name="_Toc85625051"/>
      <w:bookmarkStart w:id="51" w:name="_Toc15377205"/>
      <w:r>
        <w:rPr>
          <w:rStyle w:val="26"/>
          <w:rFonts w:hint="eastAsia" w:ascii="仿宋_GB2312" w:hAnsi="黑体" w:eastAsia="仿宋_GB2312"/>
          <w:bCs w:val="0"/>
          <w:color w:val="auto"/>
        </w:rPr>
        <w:t>收入支出决算总体情况说明</w:t>
      </w:r>
      <w:bookmarkEnd w:id="48"/>
      <w:bookmarkEnd w:id="49"/>
      <w:bookmarkEnd w:id="50"/>
      <w:bookmarkEnd w:id="51"/>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2021年度收入总计985.89万元，与2020年相比，增加212.79万元，增长21.58%。主要变动原因是随着本县政治经济不断发展，政协事务也逐渐增加，财政拨款增加。支出总计1024.63万元，与2020年相比，增加240.34万元，增长23.46%，主要变动原因是随着本县政治经济不断发展，政协事务也逐渐增加，支出增加。</w:t>
      </w:r>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（图1：收、支决算总计变动情况图）（柱状图）</w:t>
      </w:r>
    </w:p>
    <w:p>
      <w:pPr>
        <w:jc w:val="left"/>
        <w:rPr>
          <w:rFonts w:ascii="仿宋_GB2312" w:eastAsia="仿宋_GB2312"/>
          <w:color w:val="auto"/>
          <w:sz w:val="32"/>
          <w:szCs w:val="32"/>
        </w:rPr>
      </w:pPr>
      <w:r>
        <w:rPr>
          <w:color w:val="auto"/>
        </w:rPr>
        <w:drawing>
          <wp:inline distT="0" distB="0" distL="114300" distR="114300">
            <wp:extent cx="4275455" cy="1804035"/>
            <wp:effectExtent l="4445" t="5080" r="17780" b="4445"/>
            <wp:docPr id="153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jc w:val="left"/>
        <w:rPr>
          <w:rFonts w:ascii="仿宋_GB2312" w:eastAsia="仿宋_GB2312"/>
          <w:color w:val="auto"/>
          <w:sz w:val="32"/>
          <w:szCs w:val="32"/>
        </w:rPr>
      </w:pPr>
    </w:p>
    <w:p>
      <w:pPr>
        <w:jc w:val="left"/>
        <w:rPr>
          <w:rFonts w:eastAsia="仿宋_GB2312" w:asciiTheme="minorHAnsi" w:hAnsiTheme="minorHAnsi"/>
          <w:color w:val="auto"/>
          <w:sz w:val="32"/>
          <w:szCs w:val="32"/>
        </w:rPr>
      </w:pPr>
      <w:r>
        <w:rPr>
          <w:color w:val="auto"/>
        </w:rPr>
        <w:drawing>
          <wp:inline distT="0" distB="0" distL="114300" distR="114300">
            <wp:extent cx="4137660" cy="2276475"/>
            <wp:effectExtent l="4445" t="5080" r="18415" b="4445"/>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1"/>
        </w:numPr>
        <w:spacing w:line="600" w:lineRule="exact"/>
        <w:ind w:firstLineChars="0"/>
        <w:outlineLvl w:val="1"/>
        <w:rPr>
          <w:rStyle w:val="26"/>
          <w:rFonts w:ascii="仿宋_GB2312" w:hAnsi="黑体" w:eastAsia="仿宋_GB2312"/>
          <w:bCs w:val="0"/>
          <w:color w:val="auto"/>
        </w:rPr>
      </w:pPr>
      <w:bookmarkStart w:id="52" w:name="_Toc15377206"/>
      <w:bookmarkStart w:id="53" w:name="_Toc23502"/>
      <w:bookmarkStart w:id="54" w:name="_Toc85625052"/>
      <w:bookmarkStart w:id="55" w:name="_Toc23525"/>
      <w:r>
        <w:rPr>
          <w:rStyle w:val="26"/>
          <w:rFonts w:hint="eastAsia" w:ascii="仿宋_GB2312" w:hAnsi="黑体" w:eastAsia="仿宋_GB2312"/>
          <w:bCs w:val="0"/>
          <w:color w:val="auto"/>
        </w:rPr>
        <w:t>收入决算情况说明</w:t>
      </w:r>
      <w:bookmarkEnd w:id="52"/>
      <w:bookmarkEnd w:id="53"/>
      <w:bookmarkEnd w:id="54"/>
      <w:bookmarkEnd w:id="55"/>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2021年本年收入合计985.89万元，其中：一般公共预算财政拨款收入985.89万元，占</w:t>
      </w:r>
      <w:r>
        <w:rPr>
          <w:rFonts w:ascii="仿宋_GB2312" w:hAnsi="仿宋" w:eastAsia="仿宋_GB2312"/>
          <w:color w:val="auto"/>
          <w:sz w:val="32"/>
          <w:szCs w:val="32"/>
        </w:rPr>
        <w:t>100</w:t>
      </w:r>
      <w:r>
        <w:rPr>
          <w:rFonts w:hint="eastAsia" w:ascii="仿宋_GB2312" w:hAnsi="仿宋" w:eastAsia="仿宋_GB2312"/>
          <w:color w:val="auto"/>
          <w:sz w:val="32"/>
          <w:szCs w:val="32"/>
        </w:rPr>
        <w:t>%；政府性基金预算财政拨款收入</w:t>
      </w:r>
      <w:r>
        <w:rPr>
          <w:rFonts w:ascii="仿宋_GB2312" w:hAnsi="仿宋" w:eastAsia="仿宋_GB2312"/>
          <w:color w:val="auto"/>
          <w:sz w:val="32"/>
          <w:szCs w:val="32"/>
        </w:rPr>
        <w:t>0</w:t>
      </w:r>
      <w:r>
        <w:rPr>
          <w:rFonts w:hint="eastAsia" w:ascii="仿宋_GB2312" w:hAnsi="仿宋" w:eastAsia="仿宋_GB2312"/>
          <w:color w:val="auto"/>
          <w:sz w:val="32"/>
          <w:szCs w:val="32"/>
        </w:rPr>
        <w:t>万元；国有资本经营预算财政拨款收入</w:t>
      </w:r>
      <w:r>
        <w:rPr>
          <w:rFonts w:ascii="仿宋_GB2312" w:hAnsi="仿宋" w:eastAsia="仿宋_GB2312"/>
          <w:color w:val="auto"/>
          <w:sz w:val="32"/>
          <w:szCs w:val="32"/>
        </w:rPr>
        <w:t>0</w:t>
      </w:r>
      <w:r>
        <w:rPr>
          <w:rFonts w:hint="eastAsia" w:ascii="仿宋_GB2312" w:hAnsi="仿宋" w:eastAsia="仿宋_GB2312"/>
          <w:color w:val="auto"/>
          <w:sz w:val="32"/>
          <w:szCs w:val="32"/>
        </w:rPr>
        <w:t>万元；事业收入</w:t>
      </w:r>
      <w:r>
        <w:rPr>
          <w:rFonts w:ascii="仿宋_GB2312" w:hAnsi="仿宋" w:eastAsia="仿宋_GB2312"/>
          <w:color w:val="auto"/>
          <w:sz w:val="32"/>
          <w:szCs w:val="32"/>
        </w:rPr>
        <w:t>0</w:t>
      </w:r>
      <w:r>
        <w:rPr>
          <w:rFonts w:hint="eastAsia" w:ascii="仿宋_GB2312" w:hAnsi="仿宋" w:eastAsia="仿宋_GB2312"/>
          <w:color w:val="auto"/>
          <w:sz w:val="32"/>
          <w:szCs w:val="32"/>
        </w:rPr>
        <w:t>万元；经营收入</w:t>
      </w:r>
      <w:r>
        <w:rPr>
          <w:rFonts w:ascii="仿宋_GB2312" w:hAnsi="仿宋" w:eastAsia="仿宋_GB2312"/>
          <w:color w:val="auto"/>
          <w:sz w:val="32"/>
          <w:szCs w:val="32"/>
        </w:rPr>
        <w:t>0</w:t>
      </w:r>
      <w:r>
        <w:rPr>
          <w:rFonts w:hint="eastAsia" w:ascii="仿宋_GB2312" w:hAnsi="仿宋" w:eastAsia="仿宋_GB2312"/>
          <w:color w:val="auto"/>
          <w:sz w:val="32"/>
          <w:szCs w:val="32"/>
        </w:rPr>
        <w:t>万元；附属单位上缴收入</w:t>
      </w:r>
      <w:r>
        <w:rPr>
          <w:rFonts w:ascii="仿宋_GB2312" w:hAnsi="仿宋" w:eastAsia="仿宋_GB2312"/>
          <w:color w:val="auto"/>
          <w:sz w:val="32"/>
          <w:szCs w:val="32"/>
        </w:rPr>
        <w:t>0</w:t>
      </w:r>
      <w:r>
        <w:rPr>
          <w:rFonts w:hint="eastAsia" w:ascii="仿宋_GB2312" w:hAnsi="仿宋" w:eastAsia="仿宋_GB2312"/>
          <w:color w:val="auto"/>
          <w:sz w:val="32"/>
          <w:szCs w:val="32"/>
        </w:rPr>
        <w:t>万元；其他收入</w:t>
      </w:r>
      <w:r>
        <w:rPr>
          <w:rFonts w:ascii="仿宋_GB2312" w:hAnsi="仿宋" w:eastAsia="仿宋_GB2312"/>
          <w:color w:val="auto"/>
          <w:sz w:val="32"/>
          <w:szCs w:val="32"/>
        </w:rPr>
        <w:t>0</w:t>
      </w:r>
      <w:r>
        <w:rPr>
          <w:rFonts w:hint="eastAsia" w:ascii="仿宋_GB2312" w:hAnsi="仿宋" w:eastAsia="仿宋_GB2312"/>
          <w:color w:val="auto"/>
          <w:sz w:val="32"/>
          <w:szCs w:val="32"/>
        </w:rPr>
        <w:t>万元。</w:t>
      </w:r>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（图2：收入决算结构图）（饼状图）</w:t>
      </w:r>
    </w:p>
    <w:p>
      <w:pPr>
        <w:jc w:val="center"/>
        <w:rPr>
          <w:rFonts w:ascii="仿宋_GB2312" w:eastAsia="仿宋_GB2312"/>
          <w:color w:val="auto"/>
          <w:sz w:val="32"/>
          <w:szCs w:val="32"/>
        </w:rPr>
      </w:pPr>
      <w:r>
        <w:rPr>
          <w:color w:val="auto"/>
        </w:rPr>
        <w:drawing>
          <wp:inline distT="0" distB="0" distL="114300" distR="114300">
            <wp:extent cx="3993515" cy="2027555"/>
            <wp:effectExtent l="4445" t="4445" r="10160" b="1016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numPr>
          <w:ilvl w:val="0"/>
          <w:numId w:val="1"/>
        </w:numPr>
        <w:spacing w:line="600" w:lineRule="exact"/>
        <w:ind w:firstLineChars="0"/>
        <w:outlineLvl w:val="1"/>
        <w:rPr>
          <w:rStyle w:val="26"/>
          <w:rFonts w:ascii="仿宋_GB2312" w:hAnsi="黑体" w:eastAsia="仿宋_GB2312"/>
          <w:bCs w:val="0"/>
          <w:color w:val="auto"/>
        </w:rPr>
      </w:pPr>
      <w:bookmarkStart w:id="56" w:name="_Toc159"/>
      <w:bookmarkStart w:id="57" w:name="_Toc85625053"/>
      <w:bookmarkStart w:id="58" w:name="_Toc1771"/>
      <w:bookmarkStart w:id="59" w:name="_Toc15377207"/>
      <w:r>
        <w:rPr>
          <w:rStyle w:val="26"/>
          <w:rFonts w:hint="eastAsia" w:ascii="仿宋_GB2312" w:hAnsi="黑体" w:eastAsia="仿宋_GB2312"/>
          <w:color w:val="auto"/>
        </w:rPr>
        <w:t>支</w:t>
      </w:r>
      <w:r>
        <w:rPr>
          <w:rStyle w:val="26"/>
          <w:rFonts w:hint="eastAsia" w:ascii="仿宋_GB2312" w:hAnsi="黑体" w:eastAsia="仿宋_GB2312"/>
          <w:bCs w:val="0"/>
          <w:color w:val="auto"/>
        </w:rPr>
        <w:t>出决算情况说明</w:t>
      </w:r>
      <w:bookmarkEnd w:id="56"/>
      <w:bookmarkEnd w:id="57"/>
      <w:bookmarkEnd w:id="58"/>
      <w:bookmarkEnd w:id="59"/>
    </w:p>
    <w:p>
      <w:pPr>
        <w:spacing w:line="600" w:lineRule="exact"/>
        <w:ind w:firstLine="640"/>
        <w:rPr>
          <w:rFonts w:ascii="仿宋_GB2312" w:hAnsi="仿宋" w:eastAsia="仿宋_GB2312"/>
          <w:color w:val="auto"/>
          <w:sz w:val="32"/>
          <w:szCs w:val="32"/>
          <w:shd w:val="pct10" w:color="auto" w:fill="FFFFFF"/>
        </w:rPr>
      </w:pPr>
      <w:r>
        <w:rPr>
          <w:rFonts w:hint="eastAsia" w:ascii="仿宋_GB2312" w:hAnsi="仿宋" w:eastAsia="仿宋_GB2312"/>
          <w:color w:val="auto"/>
          <w:sz w:val="32"/>
          <w:szCs w:val="32"/>
        </w:rPr>
        <w:t>2021年本年支出合计1024.63万元，其中：基本支出904.56万元，占88.28%；项目支出120.07万元，占11.72%；上缴上级支出</w:t>
      </w:r>
      <w:r>
        <w:rPr>
          <w:rFonts w:ascii="仿宋_GB2312" w:hAnsi="仿宋" w:eastAsia="仿宋_GB2312"/>
          <w:color w:val="auto"/>
          <w:sz w:val="32"/>
          <w:szCs w:val="32"/>
        </w:rPr>
        <w:t>0</w:t>
      </w:r>
      <w:r>
        <w:rPr>
          <w:rFonts w:hint="eastAsia" w:ascii="仿宋_GB2312" w:hAnsi="仿宋" w:eastAsia="仿宋_GB2312"/>
          <w:color w:val="auto"/>
          <w:sz w:val="32"/>
          <w:szCs w:val="32"/>
        </w:rPr>
        <w:t>万元；经营支出</w:t>
      </w:r>
      <w:r>
        <w:rPr>
          <w:rFonts w:ascii="仿宋_GB2312" w:hAnsi="仿宋" w:eastAsia="仿宋_GB2312"/>
          <w:color w:val="auto"/>
          <w:sz w:val="32"/>
          <w:szCs w:val="32"/>
        </w:rPr>
        <w:t>0</w:t>
      </w:r>
      <w:r>
        <w:rPr>
          <w:rFonts w:hint="eastAsia" w:ascii="仿宋_GB2312" w:hAnsi="仿宋" w:eastAsia="仿宋_GB2312"/>
          <w:color w:val="auto"/>
          <w:sz w:val="32"/>
          <w:szCs w:val="32"/>
        </w:rPr>
        <w:t>万元；对附属单位补助支出</w:t>
      </w:r>
      <w:r>
        <w:rPr>
          <w:rFonts w:ascii="仿宋_GB2312" w:hAnsi="仿宋" w:eastAsia="仿宋_GB2312"/>
          <w:color w:val="auto"/>
          <w:sz w:val="32"/>
          <w:szCs w:val="32"/>
        </w:rPr>
        <w:t>0</w:t>
      </w:r>
      <w:r>
        <w:rPr>
          <w:rFonts w:hint="eastAsia" w:ascii="仿宋_GB2312" w:hAnsi="仿宋" w:eastAsia="仿宋_GB2312"/>
          <w:color w:val="auto"/>
          <w:sz w:val="32"/>
          <w:szCs w:val="32"/>
        </w:rPr>
        <w:t>万元。</w:t>
      </w:r>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（图3：支出决算结构图）（饼状图）</w:t>
      </w:r>
    </w:p>
    <w:p>
      <w:pPr>
        <w:jc w:val="center"/>
        <w:rPr>
          <w:rFonts w:ascii="仿宋_GB2312" w:eastAsia="仿宋_GB2312"/>
          <w:color w:val="auto"/>
          <w:sz w:val="32"/>
          <w:szCs w:val="32"/>
        </w:rPr>
      </w:pPr>
      <w:r>
        <w:rPr>
          <w:color w:val="auto"/>
        </w:rPr>
        <w:drawing>
          <wp:inline distT="0" distB="0" distL="114300" distR="114300">
            <wp:extent cx="3712210" cy="1623695"/>
            <wp:effectExtent l="4445" t="4445" r="17145" b="177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left="640"/>
        <w:outlineLvl w:val="1"/>
        <w:rPr>
          <w:rStyle w:val="26"/>
          <w:rFonts w:ascii="仿宋_GB2312" w:hAnsi="黑体" w:eastAsia="仿宋_GB2312"/>
          <w:color w:val="auto"/>
        </w:rPr>
      </w:pPr>
      <w:bookmarkStart w:id="60" w:name="_Toc20762"/>
      <w:bookmarkStart w:id="61" w:name="_Toc22928"/>
      <w:bookmarkStart w:id="62" w:name="_Toc15377208"/>
      <w:bookmarkStart w:id="63" w:name="_Toc85625054"/>
      <w:r>
        <w:rPr>
          <w:rStyle w:val="26"/>
          <w:rFonts w:hint="eastAsia" w:ascii="仿宋_GB2312" w:hAnsi="黑体" w:eastAsia="仿宋_GB2312"/>
          <w:color w:val="auto"/>
        </w:rPr>
        <w:t>四、财政拨款收入支出决算总体情况说明</w:t>
      </w:r>
      <w:bookmarkEnd w:id="60"/>
      <w:bookmarkEnd w:id="61"/>
      <w:bookmarkEnd w:id="62"/>
      <w:bookmarkEnd w:id="63"/>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2021年度财政拨款收入总计985.89万元，与2020年相比，增加212.78万元，增长21.58%。主要变动原因是随着本县政治经济不断发展，政协事务也逐渐增加，财政拨款增加。</w:t>
      </w:r>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2021年度支出总计1024.63万元。与2020年相比，增加240.34万元，增长24.36%。主要变动原因是随着本县政治经济不断发展，政协事务也逐渐增加，财政拨款支出增加。</w:t>
      </w:r>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（图4：财政拨款收、支决算总计变动情况）（柱状图）</w:t>
      </w:r>
    </w:p>
    <w:p>
      <w:pPr>
        <w:jc w:val="center"/>
        <w:rPr>
          <w:rFonts w:ascii="仿宋_GB2312" w:hAnsi="仿宋" w:eastAsia="仿宋_GB2312"/>
          <w:color w:val="auto"/>
          <w:sz w:val="32"/>
          <w:szCs w:val="32"/>
        </w:rPr>
      </w:pPr>
      <w:r>
        <w:rPr>
          <w:color w:val="auto"/>
        </w:rPr>
        <w:drawing>
          <wp:inline distT="0" distB="0" distL="114300" distR="114300">
            <wp:extent cx="4381500" cy="2157095"/>
            <wp:effectExtent l="4445" t="4445" r="18415" b="17780"/>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center"/>
        <w:rPr>
          <w:rFonts w:ascii="仿宋_GB2312" w:hAnsi="仿宋" w:eastAsia="仿宋_GB2312"/>
          <w:color w:val="auto"/>
          <w:sz w:val="32"/>
          <w:szCs w:val="32"/>
        </w:rPr>
      </w:pPr>
    </w:p>
    <w:p>
      <w:pPr>
        <w:jc w:val="center"/>
        <w:rPr>
          <w:rFonts w:ascii="仿宋_GB2312" w:hAnsi="仿宋" w:eastAsia="仿宋_GB2312"/>
          <w:color w:val="auto"/>
          <w:sz w:val="32"/>
          <w:szCs w:val="32"/>
        </w:rPr>
      </w:pPr>
      <w:r>
        <w:rPr>
          <w:color w:val="auto"/>
        </w:rPr>
        <w:drawing>
          <wp:inline distT="0" distB="0" distL="114300" distR="114300">
            <wp:extent cx="4465320" cy="2552700"/>
            <wp:effectExtent l="4445" t="4445" r="10795" b="18415"/>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1"/>
        <w:rPr>
          <w:rStyle w:val="26"/>
          <w:rFonts w:ascii="仿宋_GB2312" w:hAnsi="黑体" w:eastAsia="仿宋_GB2312"/>
          <w:color w:val="auto"/>
        </w:rPr>
      </w:pPr>
      <w:bookmarkStart w:id="64" w:name="_Toc8315"/>
      <w:bookmarkStart w:id="65" w:name="_Toc85625055"/>
      <w:bookmarkStart w:id="66" w:name="_Toc192"/>
      <w:bookmarkStart w:id="67" w:name="_Toc15377209"/>
      <w:r>
        <w:rPr>
          <w:rStyle w:val="26"/>
          <w:rFonts w:hint="eastAsia" w:ascii="仿宋_GB2312" w:hAnsi="黑体" w:eastAsia="仿宋_GB2312"/>
          <w:color w:val="auto"/>
        </w:rPr>
        <w:t>五、</w:t>
      </w:r>
      <w:r>
        <w:rPr>
          <w:rStyle w:val="26"/>
          <w:rFonts w:hint="eastAsia" w:ascii="仿宋_GB2312" w:hAnsi="黑体" w:eastAsia="仿宋_GB2312"/>
          <w:b w:val="0"/>
          <w:color w:val="auto"/>
        </w:rPr>
        <w:t>一</w:t>
      </w:r>
      <w:r>
        <w:rPr>
          <w:rStyle w:val="26"/>
          <w:rFonts w:hint="eastAsia" w:ascii="仿宋_GB2312" w:hAnsi="黑体" w:eastAsia="仿宋_GB2312"/>
          <w:color w:val="auto"/>
        </w:rPr>
        <w:t>般公共预算财政拨款支出决算情况说明</w:t>
      </w:r>
      <w:bookmarkEnd w:id="64"/>
      <w:bookmarkEnd w:id="65"/>
      <w:bookmarkEnd w:id="66"/>
      <w:bookmarkEnd w:id="67"/>
    </w:p>
    <w:p>
      <w:pPr>
        <w:spacing w:line="600" w:lineRule="exact"/>
        <w:ind w:firstLine="642" w:firstLineChars="200"/>
        <w:outlineLvl w:val="2"/>
        <w:rPr>
          <w:rFonts w:ascii="仿宋_GB2312" w:hAnsi="仿宋" w:eastAsia="仿宋_GB2312"/>
          <w:b/>
          <w:color w:val="auto"/>
          <w:sz w:val="32"/>
          <w:szCs w:val="32"/>
        </w:rPr>
      </w:pPr>
      <w:bookmarkStart w:id="68" w:name="_Toc15377210"/>
      <w:r>
        <w:rPr>
          <w:rFonts w:hint="eastAsia" w:ascii="仿宋_GB2312" w:hAnsi="仿宋" w:eastAsia="仿宋_GB2312"/>
          <w:b/>
          <w:color w:val="auto"/>
          <w:sz w:val="32"/>
          <w:szCs w:val="32"/>
        </w:rPr>
        <w:t>（一）一般公共预算财政拨款支出决算总体情况</w:t>
      </w:r>
      <w:bookmarkEnd w:id="68"/>
    </w:p>
    <w:p>
      <w:pPr>
        <w:spacing w:line="6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2021年一般公共预算财政拨款支出1024.63万元，占本年支出合计的</w:t>
      </w:r>
      <w:r>
        <w:rPr>
          <w:rFonts w:ascii="仿宋_GB2312" w:hAnsi="仿宋" w:eastAsia="仿宋_GB2312"/>
          <w:color w:val="auto"/>
          <w:sz w:val="32"/>
          <w:szCs w:val="32"/>
        </w:rPr>
        <w:t>100</w:t>
      </w:r>
      <w:r>
        <w:rPr>
          <w:rFonts w:hint="eastAsia" w:ascii="仿宋_GB2312" w:hAnsi="仿宋" w:eastAsia="仿宋_GB2312"/>
          <w:color w:val="auto"/>
          <w:sz w:val="32"/>
          <w:szCs w:val="32"/>
        </w:rPr>
        <w:t>%。与2020年相比，一般公共预算财政拨款增加240.34万元，增长23.46%。主要变动原因是随着本县政治经济不断发展，政协事务也逐渐增加，一般公共预算财政拨款支出增加。</w:t>
      </w:r>
    </w:p>
    <w:p>
      <w:pPr>
        <w:spacing w:line="600" w:lineRule="exact"/>
        <w:ind w:firstLine="560" w:firstLineChars="200"/>
        <w:rPr>
          <w:rFonts w:ascii="仿宋_GB2312" w:hAnsi="仿宋" w:eastAsia="仿宋_GB2312"/>
          <w:color w:val="auto"/>
          <w:sz w:val="28"/>
          <w:szCs w:val="28"/>
        </w:rPr>
      </w:pPr>
      <w:r>
        <w:rPr>
          <w:rFonts w:hint="eastAsia" w:ascii="仿宋_GB2312" w:hAnsi="仿宋" w:eastAsia="仿宋_GB2312"/>
          <w:color w:val="auto"/>
          <w:sz w:val="28"/>
          <w:szCs w:val="28"/>
        </w:rPr>
        <w:t>（图5：一般公共预算财政拨款支出决算变动情况）（柱状图）</w:t>
      </w:r>
    </w:p>
    <w:p>
      <w:pPr>
        <w:jc w:val="center"/>
        <w:rPr>
          <w:rFonts w:ascii="仿宋_GB2312" w:hAnsi="仿宋" w:eastAsia="仿宋_GB2312"/>
          <w:color w:val="auto"/>
          <w:sz w:val="32"/>
          <w:szCs w:val="32"/>
        </w:rPr>
      </w:pPr>
      <w:r>
        <w:rPr>
          <w:color w:val="auto"/>
        </w:rPr>
        <w:drawing>
          <wp:inline distT="0" distB="0" distL="114300" distR="114300">
            <wp:extent cx="4572000" cy="2743200"/>
            <wp:effectExtent l="4445" t="4445" r="10795" b="10795"/>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ascii="仿宋_GB2312" w:hAnsi="仿宋" w:eastAsia="仿宋_GB2312"/>
          <w:b/>
          <w:color w:val="auto"/>
          <w:sz w:val="32"/>
          <w:szCs w:val="32"/>
        </w:rPr>
      </w:pPr>
      <w:bookmarkStart w:id="69" w:name="_Toc15377211"/>
      <w:r>
        <w:rPr>
          <w:rFonts w:hint="eastAsia" w:ascii="仿宋_GB2312" w:hAnsi="仿宋" w:eastAsia="仿宋_GB2312"/>
          <w:b/>
          <w:color w:val="auto"/>
          <w:sz w:val="32"/>
          <w:szCs w:val="32"/>
        </w:rPr>
        <w:t>（二）一般公共预算财政拨款支出决算结构情况</w:t>
      </w:r>
      <w:bookmarkEnd w:id="69"/>
    </w:p>
    <w:p>
      <w:pPr>
        <w:spacing w:line="60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2021年一般公共预算财政拨款支出1024.63万元，主要用于以下方面:</w:t>
      </w:r>
      <w:r>
        <w:rPr>
          <w:rFonts w:hint="eastAsia" w:ascii="仿宋_GB2312" w:hAnsi="仿宋" w:eastAsia="仿宋_GB2312"/>
          <w:b/>
          <w:color w:val="auto"/>
          <w:sz w:val="32"/>
          <w:szCs w:val="32"/>
        </w:rPr>
        <w:t>一般公共服务（类）</w:t>
      </w:r>
      <w:r>
        <w:rPr>
          <w:rFonts w:hint="eastAsia" w:ascii="仿宋_GB2312" w:hAnsi="仿宋" w:eastAsia="仿宋_GB2312"/>
          <w:color w:val="auto"/>
          <w:sz w:val="32"/>
          <w:szCs w:val="32"/>
        </w:rPr>
        <w:t>支出846.45万元，占82.61%；</w:t>
      </w:r>
      <w:r>
        <w:rPr>
          <w:rFonts w:hint="eastAsia" w:ascii="仿宋_GB2312" w:hAnsi="仿宋" w:eastAsia="仿宋_GB2312"/>
          <w:b/>
          <w:color w:val="auto"/>
          <w:sz w:val="32"/>
          <w:szCs w:val="32"/>
        </w:rPr>
        <w:t>社会保障和就业（类）</w:t>
      </w:r>
      <w:r>
        <w:rPr>
          <w:rFonts w:hint="eastAsia" w:ascii="仿宋_GB2312" w:hAnsi="仿宋" w:eastAsia="仿宋_GB2312"/>
          <w:color w:val="auto"/>
          <w:sz w:val="32"/>
          <w:szCs w:val="32"/>
        </w:rPr>
        <w:t>支出93.78万元，占9.15%；医疗卫生支出32.14万元，占3.14%；住房保障支出52.26万元，占5.10%。</w:t>
      </w:r>
    </w:p>
    <w:p>
      <w:pPr>
        <w:pStyle w:val="2"/>
        <w:rPr>
          <w:color w:val="auto"/>
        </w:rPr>
      </w:pPr>
    </w:p>
    <w:p>
      <w:pPr>
        <w:spacing w:line="600" w:lineRule="exact"/>
        <w:rPr>
          <w:rFonts w:ascii="仿宋_GB2312" w:hAnsi="仿宋" w:eastAsia="仿宋_GB2312"/>
          <w:color w:val="auto"/>
          <w:sz w:val="32"/>
          <w:szCs w:val="32"/>
        </w:rPr>
      </w:pPr>
      <w:r>
        <w:rPr>
          <w:rFonts w:hint="eastAsia" w:ascii="仿宋_GB2312" w:hAnsi="仿宋" w:eastAsia="仿宋_GB2312"/>
          <w:color w:val="auto"/>
          <w:sz w:val="32"/>
          <w:szCs w:val="32"/>
        </w:rPr>
        <w:t>（图6：一般公共预算财政拨款支出决算结构）（饼状图）</w:t>
      </w:r>
    </w:p>
    <w:p>
      <w:pPr>
        <w:jc w:val="center"/>
        <w:rPr>
          <w:rFonts w:ascii="仿宋_GB2312" w:hAnsi="仿宋" w:eastAsia="仿宋_GB2312"/>
          <w:color w:val="auto"/>
          <w:sz w:val="32"/>
          <w:szCs w:val="32"/>
        </w:rPr>
      </w:pPr>
      <w:r>
        <w:rPr>
          <w:color w:val="auto"/>
        </w:rPr>
        <w:drawing>
          <wp:inline distT="0" distB="0" distL="114300" distR="114300">
            <wp:extent cx="4572000" cy="2743200"/>
            <wp:effectExtent l="4445" t="4445" r="10795" b="10795"/>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ascii="仿宋_GB2312" w:hAnsi="仿宋" w:eastAsia="仿宋_GB2312"/>
          <w:b/>
          <w:color w:val="auto"/>
          <w:sz w:val="32"/>
          <w:szCs w:val="32"/>
        </w:rPr>
      </w:pPr>
      <w:bookmarkStart w:id="70" w:name="_Toc15377212"/>
      <w:r>
        <w:rPr>
          <w:rFonts w:hint="eastAsia" w:ascii="仿宋_GB2312" w:hAnsi="仿宋" w:eastAsia="仿宋_GB2312"/>
          <w:b/>
          <w:color w:val="auto"/>
          <w:sz w:val="32"/>
          <w:szCs w:val="32"/>
        </w:rPr>
        <w:t>（三）一般公共预算财政拨款支出决算具体情况</w:t>
      </w:r>
      <w:bookmarkEnd w:id="70"/>
    </w:p>
    <w:p>
      <w:pPr>
        <w:ind w:firstLine="642" w:firstLineChars="200"/>
        <w:rPr>
          <w:rStyle w:val="15"/>
          <w:bCs/>
          <w:color w:val="auto"/>
        </w:rPr>
      </w:pPr>
      <w:bookmarkStart w:id="71" w:name="_Toc15378460"/>
      <w:bookmarkStart w:id="72" w:name="_Toc15377444"/>
      <w:bookmarkStart w:id="73" w:name="_Toc15377213"/>
      <w:r>
        <w:rPr>
          <w:rStyle w:val="15"/>
          <w:rFonts w:hint="eastAsia" w:ascii="仿宋_GB2312" w:hAnsi="仿宋" w:eastAsia="仿宋_GB2312"/>
          <w:bCs/>
          <w:color w:val="auto"/>
          <w:sz w:val="32"/>
          <w:szCs w:val="32"/>
        </w:rPr>
        <w:t>2021年般公共预算支出决算数为1024.63万元，完成预算</w:t>
      </w:r>
      <w:r>
        <w:rPr>
          <w:rStyle w:val="15"/>
          <w:rFonts w:ascii="仿宋_GB2312" w:hAnsi="仿宋" w:eastAsia="仿宋_GB2312"/>
          <w:bCs/>
          <w:color w:val="auto"/>
          <w:sz w:val="32"/>
          <w:szCs w:val="32"/>
        </w:rPr>
        <w:t>100</w:t>
      </w:r>
      <w:r>
        <w:rPr>
          <w:rStyle w:val="15"/>
          <w:rFonts w:hint="eastAsia" w:ascii="仿宋_GB2312" w:hAnsi="仿宋" w:eastAsia="仿宋_GB2312"/>
          <w:bCs/>
          <w:color w:val="auto"/>
          <w:sz w:val="32"/>
          <w:szCs w:val="32"/>
        </w:rPr>
        <w:t>%。其中：</w:t>
      </w:r>
      <w:bookmarkEnd w:id="71"/>
      <w:bookmarkEnd w:id="72"/>
      <w:bookmarkEnd w:id="73"/>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1.一般公共服务（类）政协事务（款）行政运行（项）:</w:t>
      </w:r>
      <w:r>
        <w:rPr>
          <w:rStyle w:val="15"/>
          <w:rFonts w:hint="eastAsia" w:ascii="仿宋_GB2312" w:hAnsi="仿宋" w:eastAsia="仿宋_GB2312"/>
          <w:b w:val="0"/>
          <w:bCs/>
          <w:color w:val="auto"/>
          <w:sz w:val="32"/>
          <w:szCs w:val="32"/>
        </w:rPr>
        <w:t>支出决算为743.46万元，完成预算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2.一般公共服务（类）政协事务（款）政协会议（项）:</w:t>
      </w:r>
      <w:r>
        <w:rPr>
          <w:rStyle w:val="15"/>
          <w:rFonts w:hint="eastAsia" w:ascii="仿宋_GB2312" w:hAnsi="仿宋" w:eastAsia="仿宋_GB2312"/>
          <w:b w:val="0"/>
          <w:bCs/>
          <w:color w:val="auto"/>
          <w:sz w:val="32"/>
          <w:szCs w:val="32"/>
        </w:rPr>
        <w:t>支出决算为59.12万元，完成预算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3.一般公共服务（类）政协事务（款）委员视察（项）:</w:t>
      </w:r>
      <w:r>
        <w:rPr>
          <w:rStyle w:val="15"/>
          <w:rFonts w:hint="eastAsia" w:ascii="仿宋_GB2312" w:hAnsi="仿宋" w:eastAsia="仿宋_GB2312"/>
          <w:b w:val="0"/>
          <w:bCs/>
          <w:color w:val="auto"/>
          <w:sz w:val="32"/>
          <w:szCs w:val="32"/>
        </w:rPr>
        <w:t>支出决算为10.27万元，完成预算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4.一般公共服务（类）政协事务（款）参政议政（项）:</w:t>
      </w:r>
      <w:r>
        <w:rPr>
          <w:rStyle w:val="15"/>
          <w:rFonts w:hint="eastAsia" w:ascii="仿宋_GB2312" w:hAnsi="仿宋" w:eastAsia="仿宋_GB2312"/>
          <w:b w:val="0"/>
          <w:bCs/>
          <w:color w:val="auto"/>
          <w:sz w:val="32"/>
          <w:szCs w:val="32"/>
        </w:rPr>
        <w:t>支出决算为33.60万元，完成预算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5.社会保障和就业（类）行政事业单位养老支出（款）  机关事业单位基本养老保险缴费支出（项）:</w:t>
      </w:r>
      <w:r>
        <w:rPr>
          <w:rStyle w:val="15"/>
          <w:rFonts w:hint="eastAsia" w:ascii="仿宋_GB2312" w:hAnsi="仿宋" w:eastAsia="仿宋_GB2312"/>
          <w:b w:val="0"/>
          <w:bCs/>
          <w:color w:val="auto"/>
          <w:sz w:val="32"/>
          <w:szCs w:val="32"/>
        </w:rPr>
        <w:t>支出决算为51.13万元，完成预算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6.社会保障和就业（类）行政事业单位养老支出（款）    机关事业单位职业年金缴费支出（项）:</w:t>
      </w:r>
      <w:r>
        <w:rPr>
          <w:rStyle w:val="15"/>
          <w:rFonts w:hint="eastAsia" w:ascii="仿宋_GB2312" w:hAnsi="仿宋" w:eastAsia="仿宋_GB2312"/>
          <w:b w:val="0"/>
          <w:bCs/>
          <w:color w:val="auto"/>
          <w:sz w:val="32"/>
          <w:szCs w:val="32"/>
        </w:rPr>
        <w:t>支出决算为25.56万元，完成预算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7.社会保障和就业（类）抚恤（款）死亡抚恤（项）:</w:t>
      </w:r>
      <w:r>
        <w:rPr>
          <w:rStyle w:val="15"/>
          <w:rFonts w:hint="eastAsia" w:ascii="仿宋_GB2312" w:hAnsi="仿宋" w:eastAsia="仿宋_GB2312"/>
          <w:b w:val="0"/>
          <w:bCs/>
          <w:color w:val="auto"/>
          <w:sz w:val="32"/>
          <w:szCs w:val="32"/>
        </w:rPr>
        <w:t>支出决算为17.09万元，完成预算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8.卫生与健康支出（类）行政事业单位医疗（款）行政单位医疗（项）:</w:t>
      </w:r>
      <w:r>
        <w:rPr>
          <w:rStyle w:val="15"/>
          <w:rFonts w:hint="eastAsia" w:ascii="仿宋_GB2312" w:hAnsi="仿宋" w:eastAsia="仿宋_GB2312"/>
          <w:b w:val="0"/>
          <w:bCs/>
          <w:color w:val="auto"/>
          <w:sz w:val="32"/>
          <w:szCs w:val="32"/>
        </w:rPr>
        <w:t>支出决算为</w:t>
      </w:r>
      <w:r>
        <w:rPr>
          <w:rStyle w:val="15"/>
          <w:rFonts w:ascii="仿宋_GB2312" w:hAnsi="仿宋" w:eastAsia="仿宋_GB2312"/>
          <w:b w:val="0"/>
          <w:bCs/>
          <w:color w:val="auto"/>
          <w:sz w:val="32"/>
          <w:szCs w:val="32"/>
        </w:rPr>
        <w:t>22.5</w:t>
      </w:r>
      <w:r>
        <w:rPr>
          <w:rStyle w:val="15"/>
          <w:rFonts w:hint="eastAsia" w:ascii="仿宋_GB2312" w:hAnsi="仿宋" w:eastAsia="仿宋_GB2312"/>
          <w:b w:val="0"/>
          <w:bCs/>
          <w:color w:val="auto"/>
          <w:sz w:val="32"/>
          <w:szCs w:val="32"/>
        </w:rPr>
        <w:t>0万元，完成预算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hint="eastAsia" w:ascii="仿宋_GB2312" w:hAnsi="仿宋" w:eastAsia="仿宋_GB2312"/>
          <w:bCs/>
          <w:color w:val="auto"/>
          <w:sz w:val="32"/>
          <w:szCs w:val="32"/>
        </w:rPr>
        <w:t>9.卫生与健康支出（类）行政事业单位医疗（款）公务员医疗补助（项）:</w:t>
      </w:r>
      <w:r>
        <w:rPr>
          <w:rStyle w:val="15"/>
          <w:rFonts w:hint="eastAsia" w:ascii="仿宋_GB2312" w:hAnsi="仿宋" w:eastAsia="仿宋_GB2312"/>
          <w:b w:val="0"/>
          <w:bCs/>
          <w:color w:val="auto"/>
          <w:sz w:val="32"/>
          <w:szCs w:val="32"/>
        </w:rPr>
        <w:t>支出决算为9.64万元，完成预算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Style w:val="15"/>
          <w:rFonts w:ascii="仿宋_GB2312" w:hAnsi="仿宋" w:eastAsia="仿宋_GB2312"/>
          <w:b w:val="0"/>
          <w:bCs/>
          <w:color w:val="auto"/>
          <w:sz w:val="32"/>
          <w:szCs w:val="32"/>
        </w:rPr>
      </w:pPr>
      <w:r>
        <w:rPr>
          <w:rStyle w:val="15"/>
          <w:rFonts w:ascii="仿宋_GB2312" w:hAnsi="仿宋" w:eastAsia="仿宋_GB2312"/>
          <w:bCs/>
          <w:color w:val="auto"/>
          <w:sz w:val="32"/>
          <w:szCs w:val="32"/>
        </w:rPr>
        <w:t>10</w:t>
      </w:r>
      <w:r>
        <w:rPr>
          <w:rStyle w:val="15"/>
          <w:rFonts w:hint="eastAsia" w:ascii="仿宋_GB2312" w:hAnsi="仿宋" w:eastAsia="仿宋_GB2312"/>
          <w:bCs/>
          <w:color w:val="auto"/>
          <w:sz w:val="32"/>
          <w:szCs w:val="32"/>
        </w:rPr>
        <w:t>.</w:t>
      </w:r>
      <w:r>
        <w:rPr>
          <w:rFonts w:hint="eastAsia"/>
          <w:color w:val="auto"/>
        </w:rPr>
        <w:t xml:space="preserve"> </w:t>
      </w:r>
      <w:r>
        <w:rPr>
          <w:rStyle w:val="15"/>
          <w:rFonts w:hint="eastAsia" w:ascii="仿宋_GB2312" w:hAnsi="仿宋" w:eastAsia="仿宋_GB2312"/>
          <w:bCs/>
          <w:color w:val="auto"/>
          <w:sz w:val="32"/>
          <w:szCs w:val="32"/>
        </w:rPr>
        <w:t>住房保障支出（类）住房改革支出（款）住房公积金（项）:</w:t>
      </w:r>
      <w:r>
        <w:rPr>
          <w:rStyle w:val="15"/>
          <w:rFonts w:hint="eastAsia" w:ascii="仿宋_GB2312" w:hAnsi="仿宋" w:eastAsia="仿宋_GB2312"/>
          <w:b w:val="0"/>
          <w:bCs/>
          <w:color w:val="auto"/>
          <w:sz w:val="32"/>
          <w:szCs w:val="32"/>
        </w:rPr>
        <w:t>支出决算为49.82万元，完成预算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spacing w:line="600" w:lineRule="exact"/>
        <w:ind w:firstLine="642" w:firstLineChars="200"/>
        <w:rPr>
          <w:rFonts w:ascii="仿宋_GB2312" w:hAnsi="仿宋" w:eastAsia="仿宋_GB2312"/>
          <w:b/>
          <w:color w:val="auto"/>
          <w:sz w:val="32"/>
          <w:szCs w:val="32"/>
        </w:rPr>
      </w:pPr>
      <w:r>
        <w:rPr>
          <w:rStyle w:val="15"/>
          <w:rFonts w:ascii="仿宋_GB2312" w:hAnsi="仿宋" w:eastAsia="仿宋_GB2312"/>
          <w:bCs/>
          <w:color w:val="auto"/>
          <w:sz w:val="32"/>
          <w:szCs w:val="32"/>
        </w:rPr>
        <w:t>11</w:t>
      </w:r>
      <w:r>
        <w:rPr>
          <w:rStyle w:val="15"/>
          <w:rFonts w:hint="eastAsia" w:ascii="仿宋_GB2312" w:hAnsi="仿宋" w:eastAsia="仿宋_GB2312"/>
          <w:bCs/>
          <w:color w:val="auto"/>
          <w:sz w:val="32"/>
          <w:szCs w:val="32"/>
        </w:rPr>
        <w:t>.</w:t>
      </w:r>
      <w:r>
        <w:rPr>
          <w:rFonts w:hint="eastAsia"/>
          <w:color w:val="auto"/>
        </w:rPr>
        <w:t xml:space="preserve"> </w:t>
      </w:r>
      <w:r>
        <w:rPr>
          <w:rStyle w:val="15"/>
          <w:rFonts w:hint="eastAsia" w:ascii="仿宋_GB2312" w:hAnsi="仿宋" w:eastAsia="仿宋_GB2312"/>
          <w:bCs/>
          <w:color w:val="auto"/>
          <w:sz w:val="32"/>
          <w:szCs w:val="32"/>
        </w:rPr>
        <w:t>住房保障支出（类）住房改革支出（款）购房补贴（项）:</w:t>
      </w:r>
      <w:r>
        <w:rPr>
          <w:rStyle w:val="15"/>
          <w:rFonts w:hint="eastAsia" w:ascii="仿宋_GB2312" w:hAnsi="仿宋" w:eastAsia="仿宋_GB2312"/>
          <w:b w:val="0"/>
          <w:bCs/>
          <w:color w:val="auto"/>
          <w:sz w:val="32"/>
          <w:szCs w:val="32"/>
        </w:rPr>
        <w:t>支出决算为</w:t>
      </w:r>
      <w:r>
        <w:rPr>
          <w:rStyle w:val="15"/>
          <w:rFonts w:ascii="仿宋_GB2312" w:hAnsi="仿宋" w:eastAsia="仿宋_GB2312"/>
          <w:b w:val="0"/>
          <w:bCs/>
          <w:color w:val="auto"/>
          <w:sz w:val="32"/>
          <w:szCs w:val="32"/>
        </w:rPr>
        <w:t>2.4</w:t>
      </w:r>
      <w:r>
        <w:rPr>
          <w:rStyle w:val="15"/>
          <w:rFonts w:hint="eastAsia" w:ascii="仿宋_GB2312" w:hAnsi="仿宋" w:eastAsia="仿宋_GB2312"/>
          <w:b w:val="0"/>
          <w:bCs/>
          <w:color w:val="auto"/>
          <w:sz w:val="32"/>
          <w:szCs w:val="32"/>
        </w:rPr>
        <w:t>4万元，完成预算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%，决算数等于预算数。</w:t>
      </w:r>
    </w:p>
    <w:p>
      <w:pPr>
        <w:tabs>
          <w:tab w:val="right" w:pos="8306"/>
        </w:tabs>
        <w:spacing w:line="600" w:lineRule="exact"/>
        <w:ind w:firstLine="640"/>
        <w:outlineLvl w:val="1"/>
        <w:rPr>
          <w:rStyle w:val="26"/>
          <w:rFonts w:ascii="仿宋_GB2312" w:hAnsi="黑体" w:eastAsia="仿宋_GB2312"/>
          <w:color w:val="auto"/>
        </w:rPr>
      </w:pPr>
      <w:bookmarkStart w:id="74" w:name="_Toc15377214"/>
      <w:bookmarkStart w:id="75" w:name="_Toc85625056"/>
      <w:bookmarkStart w:id="76" w:name="_Toc14713"/>
      <w:bookmarkStart w:id="77" w:name="_Toc7319"/>
      <w:r>
        <w:rPr>
          <w:rStyle w:val="26"/>
          <w:rFonts w:hint="eastAsia" w:ascii="仿宋_GB2312" w:hAnsi="黑体" w:eastAsia="仿宋_GB2312"/>
          <w:color w:val="auto"/>
        </w:rPr>
        <w:t>六</w:t>
      </w:r>
      <w:r>
        <w:rPr>
          <w:rStyle w:val="26"/>
          <w:rFonts w:hint="eastAsia" w:ascii="仿宋_GB2312" w:hAnsi="黑体" w:eastAsia="仿宋_GB2312"/>
          <w:b w:val="0"/>
          <w:color w:val="auto"/>
        </w:rPr>
        <w:t>、一</w:t>
      </w:r>
      <w:r>
        <w:rPr>
          <w:rStyle w:val="26"/>
          <w:rFonts w:hint="eastAsia" w:ascii="仿宋_GB2312" w:hAnsi="黑体" w:eastAsia="仿宋_GB2312"/>
          <w:color w:val="auto"/>
        </w:rPr>
        <w:t>般公共预算财政拨款基本支出决算情况说明</w:t>
      </w:r>
      <w:bookmarkEnd w:id="74"/>
      <w:bookmarkEnd w:id="75"/>
      <w:bookmarkEnd w:id="76"/>
      <w:bookmarkEnd w:id="77"/>
      <w:r>
        <w:rPr>
          <w:rStyle w:val="26"/>
          <w:rFonts w:hint="eastAsia" w:ascii="仿宋_GB2312" w:hAnsi="黑体" w:eastAsia="仿宋_GB2312"/>
          <w:color w:val="auto"/>
        </w:rPr>
        <w:tab/>
      </w:r>
    </w:p>
    <w:p>
      <w:pPr>
        <w:spacing w:line="600" w:lineRule="exact"/>
        <w:ind w:firstLine="645"/>
        <w:rPr>
          <w:rFonts w:ascii="仿宋_GB2312" w:hAnsi="仿宋" w:eastAsia="仿宋_GB2312"/>
          <w:color w:val="auto"/>
          <w:sz w:val="32"/>
          <w:szCs w:val="32"/>
        </w:rPr>
      </w:pPr>
      <w:r>
        <w:rPr>
          <w:rFonts w:hint="eastAsia" w:ascii="仿宋_GB2312" w:hAnsi="仿宋" w:eastAsia="仿宋_GB2312"/>
          <w:color w:val="auto"/>
          <w:sz w:val="32"/>
          <w:szCs w:val="32"/>
        </w:rPr>
        <w:t>2021年一般公共预算财政拨款基本支出904.56万元，其中：</w:t>
      </w:r>
    </w:p>
    <w:p>
      <w:pPr>
        <w:spacing w:line="600" w:lineRule="exact"/>
        <w:ind w:firstLine="645"/>
        <w:rPr>
          <w:rFonts w:ascii="仿宋_GB2312" w:hAnsi="仿宋" w:eastAsia="仿宋_GB2312"/>
          <w:color w:val="auto"/>
          <w:sz w:val="32"/>
          <w:szCs w:val="32"/>
        </w:rPr>
      </w:pPr>
      <w:r>
        <w:rPr>
          <w:rFonts w:hint="eastAsia" w:ascii="仿宋_GB2312" w:hAnsi="仿宋" w:eastAsia="仿宋_GB2312"/>
          <w:color w:val="auto"/>
          <w:sz w:val="32"/>
          <w:szCs w:val="32"/>
        </w:rPr>
        <w:t>人员经费749.58万元，主要包括：基本工资、津贴补贴、奖金、机关事业单位基本养老保险缴费、职业年金缴费、职工</w:t>
      </w:r>
      <w:r>
        <w:rPr>
          <w:rFonts w:ascii="仿宋_GB2312" w:hAnsi="仿宋" w:eastAsia="仿宋_GB2312"/>
          <w:color w:val="auto"/>
          <w:sz w:val="32"/>
          <w:szCs w:val="32"/>
        </w:rPr>
        <w:t>基本医疗保险缴纳、</w:t>
      </w:r>
      <w:r>
        <w:rPr>
          <w:rFonts w:hint="eastAsia" w:ascii="仿宋_GB2312" w:hAnsi="仿宋" w:eastAsia="仿宋_GB2312"/>
          <w:color w:val="auto"/>
          <w:sz w:val="32"/>
          <w:szCs w:val="32"/>
        </w:rPr>
        <w:t>其他社会保障缴费、生活补助、医疗费补助、奖励金、住房公积金等。</w:t>
      </w:r>
      <w:r>
        <w:rPr>
          <w:rFonts w:hint="eastAsia" w:ascii="仿宋_GB2312" w:hAnsi="仿宋" w:eastAsia="仿宋_GB2312"/>
          <w:color w:val="auto"/>
          <w:sz w:val="32"/>
          <w:szCs w:val="32"/>
        </w:rPr>
        <w:br w:type="textWrapping"/>
      </w:r>
      <w:r>
        <w:rPr>
          <w:rFonts w:hint="eastAsia" w:ascii="仿宋_GB2312" w:hAnsi="仿宋" w:eastAsia="仿宋_GB2312"/>
          <w:color w:val="auto"/>
          <w:sz w:val="32"/>
          <w:szCs w:val="32"/>
        </w:rPr>
        <w:t>　　公用经费154.98万元，主要包括：办公费、印刷费、手续费、水费、电费、邮电费、取暖费、物业管理费、差旅费、维修（护）费、会议费、培训费、劳务费、委托业务费、公务用车运行维护费等。</w:t>
      </w:r>
    </w:p>
    <w:p>
      <w:pPr>
        <w:spacing w:line="600" w:lineRule="exact"/>
        <w:ind w:firstLine="640"/>
        <w:outlineLvl w:val="1"/>
        <w:rPr>
          <w:rStyle w:val="26"/>
          <w:rFonts w:ascii="仿宋_GB2312" w:hAnsi="黑体" w:eastAsia="仿宋_GB2312"/>
          <w:color w:val="auto"/>
        </w:rPr>
      </w:pPr>
      <w:bookmarkStart w:id="78" w:name="_Toc85625057"/>
      <w:bookmarkStart w:id="79" w:name="_Toc15377215"/>
      <w:bookmarkStart w:id="80" w:name="_Toc24206"/>
      <w:bookmarkStart w:id="81" w:name="_Toc26188"/>
      <w:r>
        <w:rPr>
          <w:rStyle w:val="26"/>
          <w:rFonts w:hint="eastAsia" w:ascii="仿宋_GB2312" w:hAnsi="黑体" w:eastAsia="仿宋_GB2312"/>
          <w:color w:val="auto"/>
        </w:rPr>
        <w:t>七、“三公”经费财政拨款支出决算情况说明</w:t>
      </w:r>
      <w:bookmarkEnd w:id="78"/>
      <w:bookmarkEnd w:id="79"/>
      <w:bookmarkEnd w:id="80"/>
      <w:bookmarkEnd w:id="81"/>
    </w:p>
    <w:p>
      <w:pPr>
        <w:spacing w:line="600" w:lineRule="exact"/>
        <w:ind w:firstLine="640"/>
        <w:outlineLvl w:val="2"/>
        <w:rPr>
          <w:rFonts w:ascii="仿宋_GB2312" w:hAnsi="仿宋" w:eastAsia="仿宋_GB2312"/>
          <w:b/>
          <w:color w:val="auto"/>
          <w:sz w:val="32"/>
          <w:szCs w:val="32"/>
        </w:rPr>
      </w:pPr>
      <w:bookmarkStart w:id="82" w:name="_Toc15377216"/>
      <w:r>
        <w:rPr>
          <w:rFonts w:hint="eastAsia" w:ascii="仿宋_GB2312" w:hAnsi="仿宋" w:eastAsia="仿宋_GB2312"/>
          <w:b/>
          <w:color w:val="auto"/>
          <w:sz w:val="32"/>
          <w:szCs w:val="32"/>
        </w:rPr>
        <w:t>（一）“三公”经费财政拨款支出决算总体情况说明</w:t>
      </w:r>
      <w:bookmarkEnd w:id="82"/>
    </w:p>
    <w:p>
      <w:pPr>
        <w:spacing w:line="60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2021年“三公”经费财政拨款支出决算为97.11万元，完成预算</w:t>
      </w:r>
      <w:r>
        <w:rPr>
          <w:rFonts w:ascii="仿宋_GB2312" w:hAnsi="仿宋" w:eastAsia="仿宋_GB2312"/>
          <w:color w:val="auto"/>
          <w:sz w:val="32"/>
          <w:szCs w:val="32"/>
        </w:rPr>
        <w:t>100</w:t>
      </w:r>
      <w:r>
        <w:rPr>
          <w:rFonts w:hint="eastAsia" w:ascii="仿宋_GB2312" w:hAnsi="仿宋" w:eastAsia="仿宋_GB2312"/>
          <w:color w:val="auto"/>
          <w:sz w:val="32"/>
          <w:szCs w:val="32"/>
        </w:rPr>
        <w:t>%，决算数与预算数持平。</w:t>
      </w:r>
    </w:p>
    <w:p>
      <w:pPr>
        <w:spacing w:line="600" w:lineRule="exact"/>
        <w:ind w:firstLine="640"/>
        <w:outlineLvl w:val="2"/>
        <w:rPr>
          <w:rFonts w:ascii="仿宋_GB2312" w:hAnsi="仿宋" w:eastAsia="仿宋_GB2312"/>
          <w:b/>
          <w:color w:val="auto"/>
          <w:sz w:val="32"/>
          <w:szCs w:val="32"/>
        </w:rPr>
      </w:pPr>
      <w:bookmarkStart w:id="83" w:name="_Toc15377217"/>
      <w:r>
        <w:rPr>
          <w:rFonts w:hint="eastAsia" w:ascii="仿宋_GB2312" w:hAnsi="仿宋" w:eastAsia="仿宋_GB2312"/>
          <w:b/>
          <w:color w:val="auto"/>
          <w:sz w:val="32"/>
          <w:szCs w:val="32"/>
        </w:rPr>
        <w:t>（二）“三公”经费财政拨款支出决算具体情况说明</w:t>
      </w:r>
      <w:bookmarkEnd w:id="83"/>
    </w:p>
    <w:p>
      <w:pPr>
        <w:spacing w:line="60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2021年“三公”经费财政拨款支出决算中，因公出国（境）费支出决算</w:t>
      </w:r>
      <w:r>
        <w:rPr>
          <w:rFonts w:ascii="仿宋_GB2312" w:hAnsi="仿宋" w:eastAsia="仿宋_GB2312"/>
          <w:color w:val="auto"/>
          <w:sz w:val="32"/>
          <w:szCs w:val="32"/>
        </w:rPr>
        <w:t>0</w:t>
      </w:r>
      <w:r>
        <w:rPr>
          <w:rFonts w:hint="eastAsia" w:ascii="仿宋_GB2312" w:hAnsi="仿宋" w:eastAsia="仿宋_GB2312"/>
          <w:color w:val="auto"/>
          <w:sz w:val="32"/>
          <w:szCs w:val="32"/>
        </w:rPr>
        <w:t>万元；公务用车购置及运行维护费支出决算97.11万元，占</w:t>
      </w:r>
      <w:r>
        <w:rPr>
          <w:rFonts w:ascii="仿宋_GB2312" w:hAnsi="仿宋" w:eastAsia="仿宋_GB2312"/>
          <w:color w:val="auto"/>
          <w:sz w:val="32"/>
          <w:szCs w:val="32"/>
        </w:rPr>
        <w:t>100</w:t>
      </w:r>
      <w:r>
        <w:rPr>
          <w:rFonts w:hint="eastAsia" w:ascii="仿宋_GB2312" w:hAnsi="仿宋" w:eastAsia="仿宋_GB2312"/>
          <w:color w:val="auto"/>
          <w:sz w:val="32"/>
          <w:szCs w:val="32"/>
        </w:rPr>
        <w:t>%；公务接待费支出决算</w:t>
      </w:r>
      <w:r>
        <w:rPr>
          <w:rFonts w:ascii="仿宋_GB2312" w:hAnsi="仿宋" w:eastAsia="仿宋_GB2312"/>
          <w:color w:val="auto"/>
          <w:sz w:val="32"/>
          <w:szCs w:val="32"/>
        </w:rPr>
        <w:t>0</w:t>
      </w:r>
      <w:r>
        <w:rPr>
          <w:rFonts w:hint="eastAsia" w:ascii="仿宋_GB2312" w:hAnsi="仿宋" w:eastAsia="仿宋_GB2312"/>
          <w:color w:val="auto"/>
          <w:sz w:val="32"/>
          <w:szCs w:val="32"/>
        </w:rPr>
        <w:t>万元。具体情况如下：</w:t>
      </w:r>
    </w:p>
    <w:p>
      <w:pPr>
        <w:spacing w:line="60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（图8：“三公”经费财政拨款支出结构）（饼状图）</w:t>
      </w:r>
    </w:p>
    <w:p>
      <w:pPr>
        <w:jc w:val="center"/>
        <w:rPr>
          <w:rFonts w:ascii="仿宋_GB2312" w:hAnsi="仿宋" w:eastAsia="仿宋_GB2312"/>
          <w:color w:val="auto"/>
          <w:sz w:val="32"/>
          <w:szCs w:val="32"/>
        </w:rPr>
      </w:pPr>
      <w:r>
        <w:rPr>
          <w:color w:val="auto"/>
        </w:rPr>
        <w:drawing>
          <wp:inline distT="0" distB="0" distL="114300" distR="114300">
            <wp:extent cx="4107815" cy="2111375"/>
            <wp:effectExtent l="5080" t="4445" r="17145" b="177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ascii="仿宋_GB2312" w:eastAsia="仿宋_GB2312"/>
          <w:b/>
          <w:color w:val="auto"/>
          <w:sz w:val="32"/>
          <w:szCs w:val="32"/>
        </w:rPr>
      </w:pPr>
      <w:r>
        <w:rPr>
          <w:rFonts w:hint="eastAsia" w:ascii="仿宋_GB2312" w:eastAsia="仿宋_GB2312"/>
          <w:b/>
          <w:color w:val="auto"/>
          <w:sz w:val="32"/>
          <w:szCs w:val="32"/>
        </w:rPr>
        <w:t>1.因公出国（境）经费支出</w:t>
      </w:r>
      <w:r>
        <w:rPr>
          <w:rFonts w:ascii="仿宋_GB2312" w:eastAsia="仿宋_GB2312"/>
          <w:color w:val="auto"/>
          <w:sz w:val="32"/>
          <w:szCs w:val="32"/>
        </w:rPr>
        <w:t>0</w:t>
      </w:r>
      <w:r>
        <w:rPr>
          <w:rFonts w:hint="eastAsia" w:ascii="仿宋_GB2312" w:eastAsia="仿宋_GB2312"/>
          <w:color w:val="auto"/>
          <w:sz w:val="32"/>
          <w:szCs w:val="32"/>
        </w:rPr>
        <w:t>万元</w:t>
      </w:r>
      <w:r>
        <w:rPr>
          <w:rFonts w:hint="eastAsia" w:ascii="仿宋_GB2312" w:hAnsi="仿宋" w:eastAsia="仿宋_GB2312"/>
          <w:color w:val="auto"/>
          <w:sz w:val="32"/>
          <w:szCs w:val="32"/>
        </w:rPr>
        <w:t>，完成预算</w:t>
      </w:r>
      <w:r>
        <w:rPr>
          <w:rFonts w:ascii="仿宋_GB2312" w:hAnsi="仿宋" w:eastAsia="仿宋_GB2312"/>
          <w:color w:val="auto"/>
          <w:sz w:val="32"/>
          <w:szCs w:val="32"/>
        </w:rPr>
        <w:t>100</w:t>
      </w:r>
      <w:r>
        <w:rPr>
          <w:rFonts w:hint="eastAsia" w:ascii="仿宋_GB2312" w:hAnsi="仿宋" w:eastAsia="仿宋_GB2312"/>
          <w:color w:val="auto"/>
          <w:sz w:val="32"/>
          <w:szCs w:val="32"/>
        </w:rPr>
        <w:t>%</w:t>
      </w:r>
      <w:r>
        <w:rPr>
          <w:rStyle w:val="15"/>
          <w:rFonts w:hint="eastAsia" w:ascii="仿宋_GB2312" w:hAnsi="仿宋" w:eastAsia="仿宋_GB2312"/>
          <w:b w:val="0"/>
          <w:bCs/>
          <w:color w:val="auto"/>
          <w:sz w:val="32"/>
          <w:szCs w:val="32"/>
        </w:rPr>
        <w:t>。</w:t>
      </w:r>
      <w:r>
        <w:rPr>
          <w:rFonts w:hint="eastAsia" w:ascii="仿宋_GB2312" w:eastAsia="仿宋_GB2312"/>
          <w:color w:val="auto"/>
          <w:sz w:val="32"/>
          <w:szCs w:val="32"/>
        </w:rPr>
        <w:t>全年安排因公出国（境）团组</w:t>
      </w:r>
      <w:r>
        <w:rPr>
          <w:rFonts w:ascii="仿宋_GB2312" w:eastAsia="仿宋_GB2312"/>
          <w:color w:val="auto"/>
          <w:sz w:val="32"/>
          <w:szCs w:val="32"/>
        </w:rPr>
        <w:t>0</w:t>
      </w:r>
      <w:r>
        <w:rPr>
          <w:rFonts w:hint="eastAsia" w:ascii="仿宋_GB2312" w:eastAsia="仿宋_GB2312"/>
          <w:color w:val="auto"/>
          <w:sz w:val="32"/>
          <w:szCs w:val="32"/>
        </w:rPr>
        <w:t>次，出国（境）</w:t>
      </w:r>
      <w:r>
        <w:rPr>
          <w:rFonts w:ascii="仿宋_GB2312" w:eastAsia="仿宋_GB2312"/>
          <w:color w:val="auto"/>
          <w:sz w:val="32"/>
          <w:szCs w:val="32"/>
        </w:rPr>
        <w:t>0</w:t>
      </w:r>
      <w:r>
        <w:rPr>
          <w:rFonts w:hint="eastAsia" w:ascii="仿宋_GB2312" w:eastAsia="仿宋_GB2312"/>
          <w:color w:val="auto"/>
          <w:sz w:val="32"/>
          <w:szCs w:val="32"/>
        </w:rPr>
        <w:t>人。因公出国（境）支出决算比2020年增加/减少</w:t>
      </w:r>
      <w:r>
        <w:rPr>
          <w:rFonts w:ascii="仿宋_GB2312" w:eastAsia="仿宋_GB2312"/>
          <w:color w:val="auto"/>
          <w:sz w:val="32"/>
          <w:szCs w:val="32"/>
        </w:rPr>
        <w:t>0</w:t>
      </w:r>
      <w:r>
        <w:rPr>
          <w:rFonts w:hint="eastAsia" w:ascii="仿宋_GB2312" w:eastAsia="仿宋_GB2312"/>
          <w:color w:val="auto"/>
          <w:sz w:val="32"/>
          <w:szCs w:val="32"/>
        </w:rPr>
        <w:t>万元。主要原因是我单位未</w:t>
      </w:r>
      <w:r>
        <w:rPr>
          <w:rFonts w:ascii="仿宋_GB2312" w:eastAsia="仿宋_GB2312"/>
          <w:color w:val="auto"/>
          <w:sz w:val="32"/>
          <w:szCs w:val="32"/>
        </w:rPr>
        <w:t>涉及因公出国（</w:t>
      </w:r>
      <w:r>
        <w:rPr>
          <w:rFonts w:hint="eastAsia" w:ascii="仿宋_GB2312" w:eastAsia="仿宋_GB2312"/>
          <w:color w:val="auto"/>
          <w:sz w:val="32"/>
          <w:szCs w:val="32"/>
        </w:rPr>
        <w:t>境</w:t>
      </w:r>
      <w:r>
        <w:rPr>
          <w:rFonts w:ascii="仿宋_GB2312" w:eastAsia="仿宋_GB2312"/>
          <w:color w:val="auto"/>
          <w:sz w:val="32"/>
          <w:szCs w:val="32"/>
        </w:rPr>
        <w:t>）</w:t>
      </w:r>
      <w:r>
        <w:rPr>
          <w:rFonts w:hint="eastAsia" w:ascii="仿宋_GB2312" w:eastAsia="仿宋_GB2312"/>
          <w:color w:val="auto"/>
          <w:sz w:val="32"/>
          <w:szCs w:val="32"/>
        </w:rPr>
        <w:t>的</w:t>
      </w:r>
      <w:r>
        <w:rPr>
          <w:rFonts w:ascii="仿宋_GB2312" w:eastAsia="仿宋_GB2312"/>
          <w:color w:val="auto"/>
          <w:sz w:val="32"/>
          <w:szCs w:val="32"/>
        </w:rPr>
        <w:t>工作任务</w:t>
      </w:r>
      <w:r>
        <w:rPr>
          <w:rFonts w:hint="eastAsia" w:ascii="仿宋_GB2312" w:eastAsia="仿宋_GB2312"/>
          <w:color w:val="auto"/>
          <w:sz w:val="32"/>
          <w:szCs w:val="32"/>
        </w:rPr>
        <w:t>。</w:t>
      </w:r>
    </w:p>
    <w:p>
      <w:pPr>
        <w:spacing w:line="600" w:lineRule="exact"/>
        <w:ind w:firstLine="640"/>
        <w:rPr>
          <w:rFonts w:ascii="仿宋" w:hAnsi="仿宋" w:eastAsia="仿宋"/>
          <w:color w:val="auto"/>
          <w:sz w:val="32"/>
          <w:szCs w:val="32"/>
        </w:rPr>
      </w:pPr>
      <w:r>
        <w:rPr>
          <w:rFonts w:hint="eastAsia" w:ascii="仿宋_GB2312" w:eastAsia="仿宋_GB2312"/>
          <w:b/>
          <w:color w:val="auto"/>
          <w:sz w:val="32"/>
          <w:szCs w:val="32"/>
        </w:rPr>
        <w:t>2.公务用车购置及运行维护费支出</w:t>
      </w:r>
      <w:r>
        <w:rPr>
          <w:rFonts w:hint="eastAsia" w:ascii="仿宋_GB2312" w:hAnsi="仿宋" w:eastAsia="仿宋_GB2312"/>
          <w:color w:val="auto"/>
          <w:sz w:val="32"/>
          <w:szCs w:val="32"/>
        </w:rPr>
        <w:t>97.11</w:t>
      </w:r>
      <w:r>
        <w:rPr>
          <w:rFonts w:hint="eastAsia" w:ascii="仿宋_GB2312" w:eastAsia="仿宋_GB2312"/>
          <w:color w:val="auto"/>
          <w:sz w:val="32"/>
          <w:szCs w:val="32"/>
        </w:rPr>
        <w:t>万元,</w:t>
      </w:r>
      <w:r>
        <w:rPr>
          <w:rStyle w:val="15"/>
          <w:rFonts w:hint="eastAsia" w:ascii="仿宋_GB2312" w:hAnsi="仿宋" w:eastAsia="仿宋_GB2312"/>
          <w:b w:val="0"/>
          <w:bCs/>
          <w:color w:val="auto"/>
          <w:sz w:val="32"/>
          <w:szCs w:val="32"/>
        </w:rPr>
        <w:t>完成预算</w:t>
      </w:r>
      <w:r>
        <w:rPr>
          <w:rStyle w:val="15"/>
          <w:rFonts w:ascii="仿宋_GB2312" w:hAnsi="仿宋" w:eastAsia="仿宋_GB2312"/>
          <w:b w:val="0"/>
          <w:bCs/>
          <w:color w:val="auto"/>
          <w:sz w:val="32"/>
          <w:szCs w:val="32"/>
        </w:rPr>
        <w:t>100</w:t>
      </w:r>
      <w:r>
        <w:rPr>
          <w:rStyle w:val="15"/>
          <w:rFonts w:hint="eastAsia" w:ascii="仿宋_GB2312" w:hAnsi="仿宋" w:eastAsia="仿宋_GB2312"/>
          <w:b w:val="0"/>
          <w:bCs/>
          <w:color w:val="auto"/>
          <w:sz w:val="32"/>
          <w:szCs w:val="32"/>
        </w:rPr>
        <w:t>%。</w:t>
      </w:r>
      <w:r>
        <w:rPr>
          <w:rFonts w:hint="eastAsia" w:ascii="仿宋_GB2312" w:eastAsia="仿宋_GB2312"/>
          <w:color w:val="auto"/>
          <w:sz w:val="32"/>
          <w:szCs w:val="32"/>
        </w:rPr>
        <w:t>公务用车购置及运行维护费支出决算比2020年增加47.26万元，增长94.00%。主要原因是</w:t>
      </w:r>
      <w:r>
        <w:rPr>
          <w:rFonts w:hint="eastAsia" w:ascii="仿宋" w:hAnsi="仿宋" w:eastAsia="仿宋"/>
          <w:color w:val="auto"/>
          <w:sz w:val="32"/>
          <w:szCs w:val="32"/>
        </w:rPr>
        <w:t>本年购置越野车一辆。</w:t>
      </w:r>
    </w:p>
    <w:p>
      <w:pPr>
        <w:spacing w:line="600" w:lineRule="exact"/>
        <w:ind w:firstLine="642" w:firstLineChars="200"/>
        <w:rPr>
          <w:rFonts w:ascii="仿宋_GB2312" w:eastAsia="仿宋_GB2312"/>
          <w:b/>
          <w:color w:val="auto"/>
          <w:sz w:val="32"/>
          <w:szCs w:val="32"/>
        </w:rPr>
      </w:pPr>
      <w:r>
        <w:rPr>
          <w:rFonts w:hint="eastAsia" w:ascii="仿宋_GB2312" w:eastAsia="仿宋_GB2312"/>
          <w:b/>
          <w:color w:val="auto"/>
          <w:sz w:val="32"/>
          <w:szCs w:val="32"/>
        </w:rPr>
        <w:t>（1）公务用车购置支出</w:t>
      </w:r>
      <w:r>
        <w:rPr>
          <w:rFonts w:hint="eastAsia" w:ascii="仿宋_GB2312" w:eastAsia="仿宋_GB2312"/>
          <w:color w:val="auto"/>
          <w:sz w:val="32"/>
          <w:szCs w:val="32"/>
        </w:rPr>
        <w:t>49.60万元。全年按规定更新购置公务用车1辆，其中：轿车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万元，越野车1辆、金额49.60万元，载客汽车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万元。截至2021年12月底，单位共有公务用车</w:t>
      </w:r>
      <w:r>
        <w:rPr>
          <w:rFonts w:ascii="仿宋_GB2312" w:eastAsia="仿宋_GB2312"/>
          <w:color w:val="auto"/>
          <w:sz w:val="32"/>
          <w:szCs w:val="32"/>
        </w:rPr>
        <w:t>5</w:t>
      </w:r>
      <w:r>
        <w:rPr>
          <w:rFonts w:hint="eastAsia" w:ascii="仿宋_GB2312" w:eastAsia="仿宋_GB2312"/>
          <w:color w:val="auto"/>
          <w:sz w:val="32"/>
          <w:szCs w:val="32"/>
        </w:rPr>
        <w:t>辆，其中：轿车</w:t>
      </w:r>
      <w:r>
        <w:rPr>
          <w:rFonts w:ascii="仿宋_GB2312" w:eastAsia="仿宋_GB2312"/>
          <w:color w:val="auto"/>
          <w:sz w:val="32"/>
          <w:szCs w:val="32"/>
        </w:rPr>
        <w:t>0</w:t>
      </w:r>
      <w:r>
        <w:rPr>
          <w:rFonts w:hint="eastAsia" w:ascii="仿宋_GB2312" w:eastAsia="仿宋_GB2312"/>
          <w:color w:val="auto"/>
          <w:sz w:val="32"/>
          <w:szCs w:val="32"/>
        </w:rPr>
        <w:t>辆、越野车</w:t>
      </w:r>
      <w:r>
        <w:rPr>
          <w:rFonts w:ascii="仿宋_GB2312" w:eastAsia="仿宋_GB2312"/>
          <w:color w:val="auto"/>
          <w:sz w:val="32"/>
          <w:szCs w:val="32"/>
        </w:rPr>
        <w:t>5</w:t>
      </w:r>
      <w:r>
        <w:rPr>
          <w:rFonts w:hint="eastAsia" w:ascii="仿宋_GB2312" w:eastAsia="仿宋_GB2312"/>
          <w:color w:val="auto"/>
          <w:sz w:val="32"/>
          <w:szCs w:val="32"/>
        </w:rPr>
        <w:t>辆、载客汽车</w:t>
      </w:r>
      <w:r>
        <w:rPr>
          <w:rFonts w:ascii="仿宋_GB2312" w:eastAsia="仿宋_GB2312"/>
          <w:color w:val="auto"/>
          <w:sz w:val="32"/>
          <w:szCs w:val="32"/>
        </w:rPr>
        <w:t>0</w:t>
      </w:r>
      <w:r>
        <w:rPr>
          <w:rFonts w:hint="eastAsia" w:ascii="仿宋_GB2312" w:eastAsia="仿宋_GB2312"/>
          <w:color w:val="auto"/>
          <w:sz w:val="32"/>
          <w:szCs w:val="32"/>
        </w:rPr>
        <w:t>辆。</w:t>
      </w:r>
    </w:p>
    <w:p>
      <w:pPr>
        <w:spacing w:line="600" w:lineRule="exact"/>
        <w:ind w:firstLine="640"/>
        <w:rPr>
          <w:rFonts w:ascii="仿宋" w:hAnsi="仿宋" w:eastAsia="仿宋" w:cs="仿宋"/>
          <w:color w:val="auto"/>
          <w:sz w:val="32"/>
          <w:szCs w:val="32"/>
        </w:rPr>
      </w:pPr>
      <w:r>
        <w:rPr>
          <w:rFonts w:hint="eastAsia" w:ascii="仿宋_GB2312" w:eastAsia="仿宋_GB2312"/>
          <w:b/>
          <w:color w:val="auto"/>
          <w:sz w:val="32"/>
          <w:szCs w:val="32"/>
        </w:rPr>
        <w:t>（2）公务用车运行维护费</w:t>
      </w:r>
      <w:r>
        <w:rPr>
          <w:rFonts w:hint="eastAsia" w:ascii="仿宋_GB2312" w:eastAsia="仿宋_GB2312"/>
          <w:color w:val="auto"/>
          <w:sz w:val="32"/>
          <w:szCs w:val="32"/>
        </w:rPr>
        <w:t>47.51万元。主要用于</w:t>
      </w:r>
      <w:r>
        <w:rPr>
          <w:rFonts w:hint="eastAsia" w:ascii="仿宋" w:hAnsi="仿宋" w:eastAsia="仿宋" w:cs="仿宋"/>
          <w:color w:val="auto"/>
          <w:sz w:val="32"/>
          <w:szCs w:val="32"/>
        </w:rPr>
        <w:t>壤塘县政协委员参政议政学习、考察；委员县内视察；机关工作人员出差；机关工作人员下乡等所需的公务用车燃料费、维修费、过路过桥费、保险费等支出。</w:t>
      </w:r>
    </w:p>
    <w:p>
      <w:pPr>
        <w:spacing w:line="600" w:lineRule="exact"/>
        <w:ind w:firstLine="642" w:firstLineChars="200"/>
        <w:rPr>
          <w:rFonts w:ascii="仿宋_GB2312" w:eastAsia="仿宋_GB2312"/>
          <w:color w:val="auto"/>
          <w:sz w:val="32"/>
          <w:szCs w:val="32"/>
        </w:rPr>
      </w:pPr>
      <w:r>
        <w:rPr>
          <w:rFonts w:hint="eastAsia" w:ascii="仿宋_GB2312" w:eastAsia="仿宋_GB2312"/>
          <w:b/>
          <w:color w:val="auto"/>
          <w:sz w:val="32"/>
          <w:szCs w:val="32"/>
        </w:rPr>
        <w:t>（3）.公务接待费支出</w:t>
      </w:r>
      <w:r>
        <w:rPr>
          <w:rFonts w:ascii="仿宋_GB2312" w:eastAsia="仿宋_GB2312"/>
          <w:color w:val="auto"/>
          <w:sz w:val="32"/>
          <w:szCs w:val="32"/>
        </w:rPr>
        <w:t>0</w:t>
      </w:r>
      <w:r>
        <w:rPr>
          <w:rFonts w:hint="eastAsia" w:ascii="仿宋_GB2312" w:eastAsia="仿宋_GB2312"/>
          <w:color w:val="auto"/>
          <w:sz w:val="32"/>
          <w:szCs w:val="32"/>
        </w:rPr>
        <w:t>万元</w:t>
      </w:r>
      <w:r>
        <w:rPr>
          <w:rFonts w:hint="eastAsia" w:ascii="仿宋_GB2312" w:hAnsi="仿宋" w:eastAsia="仿宋_GB2312"/>
          <w:color w:val="auto"/>
          <w:sz w:val="32"/>
          <w:szCs w:val="32"/>
        </w:rPr>
        <w:t>，完成预算</w:t>
      </w:r>
      <w:r>
        <w:rPr>
          <w:rFonts w:ascii="仿宋_GB2312" w:hAnsi="仿宋" w:eastAsia="仿宋_GB2312"/>
          <w:color w:val="auto"/>
          <w:sz w:val="32"/>
          <w:szCs w:val="32"/>
        </w:rPr>
        <w:t>100</w:t>
      </w:r>
      <w:r>
        <w:rPr>
          <w:rFonts w:hint="eastAsia" w:ascii="仿宋_GB2312" w:hAnsi="仿宋" w:eastAsia="仿宋_GB2312"/>
          <w:color w:val="auto"/>
          <w:sz w:val="32"/>
          <w:szCs w:val="32"/>
        </w:rPr>
        <w:t>%</w:t>
      </w:r>
      <w:r>
        <w:rPr>
          <w:rStyle w:val="15"/>
          <w:rFonts w:hint="eastAsia" w:ascii="仿宋_GB2312" w:hAnsi="仿宋" w:eastAsia="仿宋_GB2312"/>
          <w:b w:val="0"/>
          <w:bCs/>
          <w:color w:val="auto"/>
          <w:sz w:val="32"/>
          <w:szCs w:val="32"/>
        </w:rPr>
        <w:t>。</w:t>
      </w:r>
      <w:r>
        <w:rPr>
          <w:rFonts w:hint="eastAsia" w:ascii="仿宋_GB2312" w:eastAsia="仿宋_GB2312"/>
          <w:color w:val="auto"/>
          <w:sz w:val="32"/>
          <w:szCs w:val="32"/>
        </w:rPr>
        <w:t>公务接待费支出决算比2020年增加/减少</w:t>
      </w:r>
      <w:r>
        <w:rPr>
          <w:rFonts w:ascii="仿宋_GB2312" w:eastAsia="仿宋_GB2312"/>
          <w:color w:val="auto"/>
          <w:sz w:val="32"/>
          <w:szCs w:val="32"/>
        </w:rPr>
        <w:t>0</w:t>
      </w:r>
      <w:r>
        <w:rPr>
          <w:rFonts w:hint="eastAsia" w:ascii="仿宋_GB2312" w:eastAsia="仿宋_GB2312"/>
          <w:color w:val="auto"/>
          <w:sz w:val="32"/>
          <w:szCs w:val="32"/>
        </w:rPr>
        <w:t>万元。主要原因是我单位</w:t>
      </w:r>
      <w:r>
        <w:rPr>
          <w:rFonts w:ascii="仿宋_GB2312" w:eastAsia="仿宋_GB2312"/>
          <w:color w:val="auto"/>
          <w:sz w:val="32"/>
          <w:szCs w:val="32"/>
        </w:rPr>
        <w:t>未涉及公务接待的工作任务</w:t>
      </w:r>
      <w:r>
        <w:rPr>
          <w:rFonts w:hint="eastAsia" w:ascii="仿宋_GB2312" w:eastAsia="仿宋_GB2312"/>
          <w:color w:val="auto"/>
          <w:sz w:val="32"/>
          <w:szCs w:val="32"/>
        </w:rPr>
        <w:t>。其中：</w:t>
      </w:r>
    </w:p>
    <w:p>
      <w:pPr>
        <w:spacing w:line="600" w:lineRule="exact"/>
        <w:ind w:firstLine="642" w:firstLineChars="200"/>
        <w:rPr>
          <w:rFonts w:ascii="仿宋_GB2312" w:eastAsia="仿宋_GB2312"/>
          <w:color w:val="auto"/>
          <w:sz w:val="32"/>
          <w:szCs w:val="32"/>
        </w:rPr>
      </w:pPr>
      <w:r>
        <w:rPr>
          <w:rFonts w:hint="eastAsia" w:ascii="仿宋" w:hAnsi="仿宋" w:eastAsia="仿宋"/>
          <w:b/>
          <w:color w:val="auto"/>
          <w:sz w:val="32"/>
          <w:szCs w:val="32"/>
        </w:rPr>
        <w:t>国内公务接待支出</w:t>
      </w:r>
      <w:r>
        <w:rPr>
          <w:rFonts w:hint="eastAsia" w:ascii="仿宋" w:hAnsi="仿宋" w:eastAsia="仿宋"/>
          <w:color w:val="auto"/>
          <w:sz w:val="32"/>
          <w:szCs w:val="32"/>
        </w:rPr>
        <w:t>0</w:t>
      </w:r>
      <w:r>
        <w:rPr>
          <w:rFonts w:hint="eastAsia" w:ascii="仿宋_GB2312" w:eastAsia="仿宋_GB2312"/>
          <w:color w:val="auto"/>
          <w:sz w:val="32"/>
          <w:szCs w:val="32"/>
        </w:rPr>
        <w:t>万元。国内公务接待</w:t>
      </w:r>
      <w:r>
        <w:rPr>
          <w:rFonts w:ascii="仿宋_GB2312" w:eastAsia="仿宋_GB2312"/>
          <w:color w:val="auto"/>
          <w:sz w:val="32"/>
          <w:szCs w:val="32"/>
        </w:rPr>
        <w:t>0</w:t>
      </w:r>
      <w:r>
        <w:rPr>
          <w:rFonts w:hint="eastAsia" w:ascii="仿宋_GB2312" w:eastAsia="仿宋_GB2312"/>
          <w:color w:val="auto"/>
          <w:sz w:val="32"/>
          <w:szCs w:val="32"/>
        </w:rPr>
        <w:t>批次，</w:t>
      </w:r>
      <w:r>
        <w:rPr>
          <w:rFonts w:ascii="仿宋_GB2312" w:eastAsia="仿宋_GB2312"/>
          <w:color w:val="auto"/>
          <w:sz w:val="32"/>
          <w:szCs w:val="32"/>
        </w:rPr>
        <w:t>0</w:t>
      </w:r>
      <w:r>
        <w:rPr>
          <w:rFonts w:hint="eastAsia" w:ascii="仿宋_GB2312" w:eastAsia="仿宋_GB2312"/>
          <w:color w:val="auto"/>
          <w:sz w:val="32"/>
          <w:szCs w:val="32"/>
        </w:rPr>
        <w:t>人次（不包括陪同人员），共计支出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600" w:lineRule="exact"/>
        <w:ind w:firstLine="642" w:firstLineChars="200"/>
        <w:rPr>
          <w:rFonts w:ascii="仿宋_GB2312" w:eastAsia="仿宋_GB2312"/>
          <w:color w:val="auto"/>
          <w:sz w:val="32"/>
          <w:szCs w:val="32"/>
        </w:rPr>
      </w:pPr>
      <w:r>
        <w:rPr>
          <w:rFonts w:hint="eastAsia" w:ascii="仿宋_GB2312" w:hAnsi="仿宋" w:eastAsia="仿宋_GB2312"/>
          <w:b/>
          <w:color w:val="auto"/>
          <w:sz w:val="32"/>
          <w:szCs w:val="32"/>
        </w:rPr>
        <w:t>外事接待支出</w:t>
      </w:r>
      <w:r>
        <w:rPr>
          <w:rFonts w:ascii="仿宋_GB2312" w:hAnsi="仿宋" w:eastAsia="仿宋_GB2312"/>
          <w:color w:val="auto"/>
          <w:sz w:val="32"/>
          <w:szCs w:val="32"/>
        </w:rPr>
        <w:t>0</w:t>
      </w:r>
      <w:r>
        <w:rPr>
          <w:rFonts w:hint="eastAsia" w:ascii="仿宋_GB2312" w:eastAsia="仿宋_GB2312"/>
          <w:color w:val="auto"/>
          <w:sz w:val="32"/>
          <w:szCs w:val="32"/>
        </w:rPr>
        <w:t>万元，外事接待</w:t>
      </w:r>
      <w:r>
        <w:rPr>
          <w:rFonts w:ascii="仿宋_GB2312" w:eastAsia="仿宋_GB2312"/>
          <w:color w:val="auto"/>
          <w:sz w:val="32"/>
          <w:szCs w:val="32"/>
        </w:rPr>
        <w:t>0</w:t>
      </w:r>
      <w:r>
        <w:rPr>
          <w:rFonts w:hint="eastAsia" w:ascii="仿宋_GB2312" w:eastAsia="仿宋_GB2312"/>
          <w:color w:val="auto"/>
          <w:sz w:val="32"/>
          <w:szCs w:val="32"/>
        </w:rPr>
        <w:t>批次，</w:t>
      </w:r>
      <w:r>
        <w:rPr>
          <w:rFonts w:ascii="仿宋_GB2312" w:eastAsia="仿宋_GB2312"/>
          <w:color w:val="auto"/>
          <w:sz w:val="32"/>
          <w:szCs w:val="32"/>
        </w:rPr>
        <w:t>0</w:t>
      </w:r>
      <w:r>
        <w:rPr>
          <w:rFonts w:hint="eastAsia" w:ascii="仿宋_GB2312" w:eastAsia="仿宋_GB2312"/>
          <w:color w:val="auto"/>
          <w:sz w:val="32"/>
          <w:szCs w:val="32"/>
        </w:rPr>
        <w:t>人，共计支出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600" w:lineRule="exact"/>
        <w:ind w:firstLine="640"/>
        <w:outlineLvl w:val="1"/>
        <w:rPr>
          <w:rStyle w:val="26"/>
          <w:rFonts w:ascii="仿宋_GB2312" w:hAnsi="黑体" w:eastAsia="仿宋_GB2312"/>
          <w:color w:val="auto"/>
        </w:rPr>
      </w:pPr>
      <w:bookmarkStart w:id="84" w:name="_Toc15140"/>
      <w:bookmarkStart w:id="85" w:name="_Toc15377218"/>
      <w:bookmarkStart w:id="86" w:name="_Toc4320"/>
      <w:bookmarkStart w:id="87" w:name="_Toc85625058"/>
      <w:r>
        <w:rPr>
          <w:rStyle w:val="26"/>
          <w:rFonts w:hint="eastAsia" w:ascii="仿宋_GB2312" w:hAnsi="黑体" w:eastAsia="仿宋_GB2312"/>
          <w:color w:val="auto"/>
        </w:rPr>
        <w:t>八、政府性基金预算支出决算情况说明</w:t>
      </w:r>
      <w:bookmarkEnd w:id="84"/>
      <w:bookmarkEnd w:id="85"/>
      <w:bookmarkEnd w:id="86"/>
      <w:bookmarkEnd w:id="87"/>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rPr>
        <w:t>2021年政府性基金预算拨款支出</w:t>
      </w:r>
      <w:r>
        <w:rPr>
          <w:rFonts w:ascii="仿宋_GB2312" w:eastAsia="仿宋_GB2312"/>
          <w:color w:val="auto"/>
          <w:sz w:val="32"/>
          <w:szCs w:val="32"/>
        </w:rPr>
        <w:t>0</w:t>
      </w:r>
      <w:r>
        <w:rPr>
          <w:rFonts w:hint="eastAsia" w:ascii="仿宋_GB2312" w:eastAsia="仿宋_GB2312"/>
          <w:color w:val="auto"/>
          <w:sz w:val="32"/>
          <w:szCs w:val="32"/>
        </w:rPr>
        <w:t>万元。</w:t>
      </w:r>
    </w:p>
    <w:p>
      <w:pPr>
        <w:numPr>
          <w:ilvl w:val="0"/>
          <w:numId w:val="2"/>
        </w:numPr>
        <w:spacing w:line="600" w:lineRule="exact"/>
        <w:ind w:firstLine="640"/>
        <w:outlineLvl w:val="1"/>
        <w:rPr>
          <w:rStyle w:val="26"/>
          <w:rFonts w:ascii="仿宋_GB2312" w:hAnsi="黑体" w:eastAsia="仿宋_GB2312"/>
          <w:color w:val="auto"/>
        </w:rPr>
      </w:pPr>
      <w:bookmarkStart w:id="88" w:name="_Toc85625059"/>
      <w:bookmarkStart w:id="89" w:name="_Toc29866"/>
      <w:bookmarkStart w:id="90" w:name="_Toc15377219"/>
      <w:bookmarkStart w:id="91" w:name="_Toc21791"/>
      <w:r>
        <w:rPr>
          <w:rStyle w:val="26"/>
          <w:rFonts w:hint="eastAsia" w:ascii="仿宋_GB2312" w:hAnsi="黑体" w:eastAsia="仿宋_GB2312"/>
          <w:color w:val="auto"/>
        </w:rPr>
        <w:t>国有资本经营预算支出决算情况说明</w:t>
      </w:r>
      <w:bookmarkEnd w:id="88"/>
      <w:bookmarkEnd w:id="89"/>
      <w:bookmarkEnd w:id="90"/>
      <w:bookmarkEnd w:id="91"/>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rPr>
        <w:t>2021年国有资本经营预算拨款支出</w:t>
      </w:r>
      <w:r>
        <w:rPr>
          <w:rFonts w:ascii="仿宋_GB2312" w:eastAsia="仿宋_GB2312"/>
          <w:color w:val="auto"/>
          <w:sz w:val="32"/>
          <w:szCs w:val="32"/>
        </w:rPr>
        <w:t>0</w:t>
      </w:r>
      <w:r>
        <w:rPr>
          <w:rFonts w:hint="eastAsia" w:ascii="仿宋_GB2312" w:eastAsia="仿宋_GB2312"/>
          <w:color w:val="auto"/>
          <w:sz w:val="32"/>
          <w:szCs w:val="32"/>
        </w:rPr>
        <w:t>万元。</w:t>
      </w:r>
    </w:p>
    <w:p>
      <w:pPr>
        <w:numPr>
          <w:ilvl w:val="0"/>
          <w:numId w:val="2"/>
        </w:numPr>
        <w:spacing w:line="600" w:lineRule="exact"/>
        <w:ind w:firstLine="640"/>
        <w:outlineLvl w:val="1"/>
        <w:rPr>
          <w:rStyle w:val="26"/>
          <w:rFonts w:ascii="仿宋_GB2312" w:hAnsi="黑体" w:eastAsia="仿宋_GB2312"/>
          <w:color w:val="auto"/>
        </w:rPr>
      </w:pPr>
      <w:bookmarkStart w:id="92" w:name="_Toc15377221"/>
      <w:bookmarkStart w:id="93" w:name="_Toc29291"/>
      <w:bookmarkStart w:id="94" w:name="_Toc85625061"/>
      <w:bookmarkStart w:id="95" w:name="_Toc31403"/>
      <w:r>
        <w:rPr>
          <w:rStyle w:val="26"/>
          <w:rFonts w:hint="eastAsia" w:ascii="仿宋_GB2312" w:hAnsi="黑体" w:eastAsia="仿宋_GB2312"/>
          <w:color w:val="auto"/>
        </w:rPr>
        <w:t>其他重要事项的情况说明</w:t>
      </w:r>
      <w:bookmarkEnd w:id="92"/>
      <w:bookmarkEnd w:id="93"/>
      <w:bookmarkEnd w:id="94"/>
      <w:bookmarkEnd w:id="95"/>
    </w:p>
    <w:p>
      <w:pPr>
        <w:spacing w:line="600" w:lineRule="exact"/>
        <w:ind w:firstLine="642" w:firstLineChars="200"/>
        <w:outlineLvl w:val="2"/>
        <w:rPr>
          <w:rFonts w:ascii="仿宋_GB2312" w:hAnsi="仿宋" w:eastAsia="仿宋_GB2312"/>
          <w:color w:val="auto"/>
          <w:sz w:val="32"/>
          <w:szCs w:val="32"/>
        </w:rPr>
      </w:pPr>
      <w:bookmarkStart w:id="96" w:name="_Toc15377222"/>
      <w:r>
        <w:rPr>
          <w:rFonts w:hint="eastAsia" w:ascii="仿宋_GB2312" w:hAnsi="仿宋" w:eastAsia="仿宋_GB2312"/>
          <w:b/>
          <w:color w:val="auto"/>
          <w:sz w:val="32"/>
          <w:szCs w:val="32"/>
        </w:rPr>
        <w:t>（一）机关运行经费支出情况</w:t>
      </w:r>
      <w:bookmarkEnd w:id="96"/>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2021年，</w:t>
      </w:r>
      <w:r>
        <w:rPr>
          <w:rFonts w:hint="eastAsia" w:ascii="仿宋_GB2312" w:hAnsi="仿宋" w:eastAsia="仿宋_GB2312"/>
          <w:color w:val="auto"/>
          <w:sz w:val="32"/>
          <w:szCs w:val="32"/>
        </w:rPr>
        <w:t>政协壤塘县委员会办公室</w:t>
      </w:r>
      <w:r>
        <w:rPr>
          <w:rFonts w:hint="eastAsia" w:ascii="仿宋_GB2312" w:eastAsia="仿宋_GB2312"/>
          <w:color w:val="auto"/>
          <w:sz w:val="32"/>
          <w:szCs w:val="32"/>
        </w:rPr>
        <w:t>机关运行经费支出154.98万元，比2020年增加52.06万元，增长33.59%。主要原因是政协事务增加、人员增加，导致机关运行经费支出增加。</w:t>
      </w:r>
    </w:p>
    <w:p>
      <w:pPr>
        <w:autoSpaceDE w:val="0"/>
        <w:autoSpaceDN w:val="0"/>
        <w:adjustRightInd w:val="0"/>
        <w:spacing w:line="600" w:lineRule="exact"/>
        <w:ind w:firstLine="642" w:firstLineChars="200"/>
        <w:jc w:val="left"/>
        <w:outlineLvl w:val="2"/>
        <w:rPr>
          <w:rFonts w:ascii="仿宋_GB2312" w:hAnsi="仿宋" w:eastAsia="仿宋_GB2312"/>
          <w:b/>
          <w:color w:val="auto"/>
          <w:sz w:val="32"/>
          <w:szCs w:val="32"/>
        </w:rPr>
      </w:pPr>
      <w:bookmarkStart w:id="97" w:name="_Toc15377223"/>
      <w:r>
        <w:rPr>
          <w:rFonts w:hint="eastAsia" w:ascii="仿宋_GB2312" w:hAnsi="仿宋" w:eastAsia="仿宋_GB2312"/>
          <w:b/>
          <w:color w:val="auto"/>
          <w:sz w:val="32"/>
          <w:szCs w:val="32"/>
        </w:rPr>
        <w:t>（二）政府采购支出情况</w:t>
      </w:r>
      <w:bookmarkEnd w:id="97"/>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2021年，</w:t>
      </w:r>
      <w:r>
        <w:rPr>
          <w:rFonts w:hint="eastAsia" w:ascii="仿宋_GB2312" w:hAnsi="仿宋" w:eastAsia="仿宋_GB2312"/>
          <w:color w:val="auto"/>
          <w:sz w:val="32"/>
          <w:szCs w:val="32"/>
        </w:rPr>
        <w:t>政协壤塘县委员会办公室</w:t>
      </w:r>
      <w:r>
        <w:rPr>
          <w:rFonts w:hint="eastAsia" w:ascii="仿宋_GB2312" w:eastAsia="仿宋_GB2312"/>
          <w:color w:val="auto"/>
          <w:sz w:val="32"/>
          <w:szCs w:val="32"/>
        </w:rPr>
        <w:t>政府采购支出总额49.60万元，其中：政府采购货物支出49.60万元、政府采购工程支出</w:t>
      </w:r>
      <w:r>
        <w:rPr>
          <w:rFonts w:ascii="仿宋_GB2312" w:eastAsia="仿宋_GB2312"/>
          <w:color w:val="auto"/>
          <w:sz w:val="32"/>
          <w:szCs w:val="32"/>
        </w:rPr>
        <w:t>0</w:t>
      </w:r>
      <w:r>
        <w:rPr>
          <w:rFonts w:hint="eastAsia" w:ascii="仿宋_GB2312" w:eastAsia="仿宋_GB2312"/>
          <w:color w:val="auto"/>
          <w:sz w:val="32"/>
          <w:szCs w:val="32"/>
        </w:rPr>
        <w:t>万元、政府采购服务支出</w:t>
      </w:r>
      <w:r>
        <w:rPr>
          <w:rFonts w:ascii="仿宋_GB2312" w:eastAsia="仿宋_GB2312"/>
          <w:color w:val="auto"/>
          <w:sz w:val="32"/>
          <w:szCs w:val="32"/>
        </w:rPr>
        <w:t>0</w:t>
      </w:r>
      <w:r>
        <w:rPr>
          <w:rFonts w:hint="eastAsia" w:ascii="仿宋_GB2312" w:eastAsia="仿宋_GB2312"/>
          <w:color w:val="auto"/>
          <w:sz w:val="32"/>
          <w:szCs w:val="32"/>
        </w:rPr>
        <w:t>万元。授予中小企业合同金额49.60万元，其中：授予小微企业合同金额</w:t>
      </w:r>
      <w:r>
        <w:rPr>
          <w:rFonts w:ascii="仿宋_GB2312" w:eastAsia="仿宋_GB2312"/>
          <w:color w:val="auto"/>
          <w:sz w:val="32"/>
          <w:szCs w:val="32"/>
        </w:rPr>
        <w:t>0</w:t>
      </w:r>
      <w:r>
        <w:rPr>
          <w:rFonts w:hint="eastAsia" w:ascii="仿宋_GB2312" w:eastAsia="仿宋_GB2312"/>
          <w:color w:val="auto"/>
          <w:sz w:val="32"/>
          <w:szCs w:val="32"/>
        </w:rPr>
        <w:t>万元。</w:t>
      </w:r>
    </w:p>
    <w:p>
      <w:pPr>
        <w:autoSpaceDE w:val="0"/>
        <w:autoSpaceDN w:val="0"/>
        <w:adjustRightInd w:val="0"/>
        <w:spacing w:line="600" w:lineRule="exact"/>
        <w:ind w:firstLine="642" w:firstLineChars="200"/>
        <w:jc w:val="left"/>
        <w:outlineLvl w:val="2"/>
        <w:rPr>
          <w:rFonts w:ascii="仿宋_GB2312" w:hAnsi="仿宋" w:eastAsia="仿宋_GB2312"/>
          <w:b/>
          <w:color w:val="auto"/>
          <w:sz w:val="32"/>
          <w:szCs w:val="32"/>
        </w:rPr>
      </w:pPr>
      <w:bookmarkStart w:id="98" w:name="_Toc15377224"/>
      <w:r>
        <w:rPr>
          <w:rFonts w:hint="eastAsia" w:ascii="仿宋_GB2312" w:hAnsi="仿宋" w:eastAsia="仿宋_GB2312"/>
          <w:b/>
          <w:color w:val="auto"/>
          <w:sz w:val="32"/>
          <w:szCs w:val="32"/>
        </w:rPr>
        <w:t>（三）国有资产占有使用情况</w:t>
      </w:r>
      <w:bookmarkEnd w:id="98"/>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rPr>
        <w:t>截至2021年12月31日，政协壤塘县委员会办公室共有车辆</w:t>
      </w:r>
      <w:r>
        <w:rPr>
          <w:rFonts w:ascii="仿宋_GB2312" w:eastAsia="仿宋_GB2312"/>
          <w:color w:val="auto"/>
          <w:sz w:val="32"/>
          <w:szCs w:val="32"/>
        </w:rPr>
        <w:t>5</w:t>
      </w:r>
      <w:r>
        <w:rPr>
          <w:rFonts w:hint="eastAsia" w:ascii="仿宋_GB2312" w:eastAsia="仿宋_GB2312"/>
          <w:color w:val="auto"/>
          <w:sz w:val="32"/>
          <w:szCs w:val="32"/>
        </w:rPr>
        <w:t>辆，其中：部级领导干部用车</w:t>
      </w:r>
      <w:r>
        <w:rPr>
          <w:rFonts w:ascii="仿宋_GB2312" w:eastAsia="仿宋_GB2312"/>
          <w:color w:val="auto"/>
          <w:sz w:val="32"/>
          <w:szCs w:val="32"/>
        </w:rPr>
        <w:t>0</w:t>
      </w:r>
      <w:r>
        <w:rPr>
          <w:rFonts w:hint="eastAsia" w:ascii="仿宋_GB2312" w:eastAsia="仿宋_GB2312"/>
          <w:color w:val="auto"/>
          <w:sz w:val="32"/>
          <w:szCs w:val="32"/>
        </w:rPr>
        <w:t>辆、一般公务用车</w:t>
      </w:r>
      <w:r>
        <w:rPr>
          <w:rFonts w:ascii="仿宋_GB2312" w:eastAsia="仿宋_GB2312"/>
          <w:color w:val="auto"/>
          <w:sz w:val="32"/>
          <w:szCs w:val="32"/>
        </w:rPr>
        <w:t>0</w:t>
      </w:r>
      <w:r>
        <w:rPr>
          <w:rFonts w:hint="eastAsia" w:ascii="仿宋_GB2312" w:eastAsia="仿宋_GB2312"/>
          <w:color w:val="auto"/>
          <w:sz w:val="32"/>
          <w:szCs w:val="32"/>
        </w:rPr>
        <w:t>辆、一般执法执勤用车</w:t>
      </w:r>
      <w:r>
        <w:rPr>
          <w:rFonts w:ascii="仿宋_GB2312" w:eastAsia="仿宋_GB2312"/>
          <w:color w:val="auto"/>
          <w:sz w:val="32"/>
          <w:szCs w:val="32"/>
        </w:rPr>
        <w:t>0</w:t>
      </w:r>
      <w:r>
        <w:rPr>
          <w:rFonts w:hint="eastAsia" w:ascii="仿宋_GB2312" w:eastAsia="仿宋_GB2312"/>
          <w:color w:val="auto"/>
          <w:sz w:val="32"/>
          <w:szCs w:val="32"/>
        </w:rPr>
        <w:t>辆、特种专业技术用车</w:t>
      </w:r>
      <w:r>
        <w:rPr>
          <w:rFonts w:ascii="仿宋_GB2312" w:eastAsia="仿宋_GB2312"/>
          <w:color w:val="auto"/>
          <w:sz w:val="32"/>
          <w:szCs w:val="32"/>
        </w:rPr>
        <w:t>0</w:t>
      </w:r>
      <w:r>
        <w:rPr>
          <w:rFonts w:hint="eastAsia" w:ascii="仿宋_GB2312" w:eastAsia="仿宋_GB2312"/>
          <w:color w:val="auto"/>
          <w:sz w:val="32"/>
          <w:szCs w:val="32"/>
        </w:rPr>
        <w:t>辆、其他用车</w:t>
      </w:r>
      <w:r>
        <w:rPr>
          <w:rFonts w:ascii="仿宋_GB2312" w:eastAsia="仿宋_GB2312"/>
          <w:color w:val="auto"/>
          <w:sz w:val="32"/>
          <w:szCs w:val="32"/>
        </w:rPr>
        <w:t>5</w:t>
      </w:r>
      <w:r>
        <w:rPr>
          <w:rFonts w:hint="eastAsia" w:ascii="仿宋_GB2312" w:eastAsia="仿宋_GB2312"/>
          <w:color w:val="auto"/>
          <w:sz w:val="32"/>
          <w:szCs w:val="32"/>
        </w:rPr>
        <w:t>辆，其他用车主要是用于壤塘县政协委员参政议政学习、考察；委员县内视察；机关工作人员出差；机关工作人员下乡等所需的公务用车。单价50万元以上通用设备</w:t>
      </w:r>
      <w:r>
        <w:rPr>
          <w:rFonts w:ascii="仿宋_GB2312" w:eastAsia="仿宋_GB2312"/>
          <w:color w:val="auto"/>
          <w:sz w:val="32"/>
          <w:szCs w:val="32"/>
        </w:rPr>
        <w:t>1</w:t>
      </w:r>
      <w:r>
        <w:rPr>
          <w:rFonts w:hint="eastAsia" w:ascii="仿宋_GB2312" w:eastAsia="仿宋_GB2312"/>
          <w:color w:val="auto"/>
          <w:sz w:val="32"/>
          <w:szCs w:val="32"/>
        </w:rPr>
        <w:t>台，单价100万元以上专用设备</w:t>
      </w:r>
      <w:r>
        <w:rPr>
          <w:rFonts w:ascii="仿宋_GB2312" w:eastAsia="仿宋_GB2312"/>
          <w:color w:val="auto"/>
          <w:sz w:val="32"/>
          <w:szCs w:val="32"/>
        </w:rPr>
        <w:t>0</w:t>
      </w:r>
      <w:r>
        <w:rPr>
          <w:rFonts w:hint="eastAsia" w:ascii="仿宋_GB2312" w:eastAsia="仿宋_GB2312"/>
          <w:color w:val="auto"/>
          <w:sz w:val="32"/>
          <w:szCs w:val="32"/>
        </w:rPr>
        <w:t>台。</w:t>
      </w:r>
    </w:p>
    <w:p>
      <w:pPr>
        <w:autoSpaceDE w:val="0"/>
        <w:autoSpaceDN w:val="0"/>
        <w:adjustRightInd w:val="0"/>
        <w:spacing w:line="600" w:lineRule="exact"/>
        <w:ind w:firstLine="642" w:firstLineChars="200"/>
        <w:jc w:val="left"/>
        <w:outlineLvl w:val="2"/>
        <w:rPr>
          <w:rFonts w:ascii="仿宋" w:hAnsi="仿宋" w:eastAsia="仿宋"/>
          <w:b/>
          <w:color w:val="auto"/>
          <w:sz w:val="32"/>
          <w:szCs w:val="32"/>
        </w:rPr>
      </w:pPr>
      <w:bookmarkStart w:id="99" w:name="_Toc79163628"/>
      <w:bookmarkStart w:id="100" w:name="_Toc26064"/>
      <w:r>
        <w:rPr>
          <w:rFonts w:hint="eastAsia" w:ascii="仿宋" w:hAnsi="仿宋" w:eastAsia="仿宋"/>
          <w:b/>
          <w:color w:val="auto"/>
          <w:sz w:val="32"/>
          <w:szCs w:val="32"/>
        </w:rPr>
        <w:t>（四）预算绩效管理情况</w:t>
      </w:r>
      <w:bookmarkEnd w:id="99"/>
      <w:bookmarkEnd w:id="100"/>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本部门按要求对2021年部门整体支出开展绩效自评，从评价情况来看，我单位2021年目标任务基本完成，预算执行情况较好。</w:t>
      </w:r>
    </w:p>
    <w:p>
      <w:pPr>
        <w:spacing w:line="600" w:lineRule="atLeast"/>
        <w:ind w:firstLine="642" w:firstLineChars="200"/>
        <w:rPr>
          <w:rFonts w:ascii="仿宋_GB2312" w:eastAsia="仿宋_GB2312"/>
          <w:b/>
          <w:color w:val="auto"/>
          <w:sz w:val="32"/>
          <w:szCs w:val="32"/>
        </w:rPr>
      </w:pPr>
    </w:p>
    <w:p>
      <w:pPr>
        <w:widowControl/>
        <w:jc w:val="left"/>
        <w:rPr>
          <w:rFonts w:ascii="仿宋_GB2312" w:eastAsia="仿宋_GB2312"/>
          <w:b/>
          <w:color w:val="auto"/>
          <w:sz w:val="32"/>
          <w:szCs w:val="32"/>
        </w:rPr>
      </w:pPr>
      <w:r>
        <w:rPr>
          <w:rFonts w:hint="eastAsia" w:ascii="仿宋_GB2312" w:eastAsia="仿宋_GB2312"/>
          <w:b/>
          <w:color w:val="auto"/>
          <w:sz w:val="32"/>
          <w:szCs w:val="32"/>
        </w:rPr>
        <w:br w:type="page"/>
      </w:r>
    </w:p>
    <w:p>
      <w:pPr>
        <w:numPr>
          <w:ilvl w:val="0"/>
          <w:numId w:val="3"/>
        </w:numPr>
        <w:spacing w:line="600" w:lineRule="exact"/>
        <w:ind w:firstLine="662" w:firstLineChars="150"/>
        <w:jc w:val="center"/>
        <w:outlineLvl w:val="0"/>
        <w:rPr>
          <w:rStyle w:val="25"/>
          <w:rFonts w:ascii="仿宋_GB2312" w:hAnsi="黑体" w:eastAsia="仿宋_GB2312"/>
          <w:bCs w:val="0"/>
          <w:color w:val="auto"/>
        </w:rPr>
      </w:pPr>
      <w:bookmarkStart w:id="101" w:name="_Toc191"/>
      <w:bookmarkStart w:id="102" w:name="_Toc10626"/>
      <w:bookmarkStart w:id="103" w:name="_Toc15377225"/>
      <w:bookmarkStart w:id="104" w:name="_Toc85625062"/>
      <w:r>
        <w:rPr>
          <w:rStyle w:val="25"/>
          <w:rFonts w:hint="eastAsia" w:ascii="仿宋_GB2312" w:hAnsi="黑体"/>
          <w:color w:val="auto"/>
        </w:rPr>
        <w:t>名</w:t>
      </w:r>
      <w:r>
        <w:rPr>
          <w:rStyle w:val="25"/>
          <w:rFonts w:hint="eastAsia" w:ascii="仿宋_GB2312" w:hAnsi="黑体" w:eastAsia="仿宋_GB2312"/>
          <w:bCs w:val="0"/>
          <w:color w:val="auto"/>
        </w:rPr>
        <w:t>词解释</w:t>
      </w:r>
      <w:bookmarkEnd w:id="101"/>
      <w:bookmarkEnd w:id="102"/>
      <w:bookmarkEnd w:id="103"/>
      <w:bookmarkEnd w:id="104"/>
    </w:p>
    <w:p>
      <w:pPr>
        <w:spacing w:line="600" w:lineRule="exact"/>
        <w:jc w:val="left"/>
        <w:rPr>
          <w:rFonts w:ascii="仿宋_GB2312" w:eastAsia="仿宋_GB2312"/>
          <w:b/>
          <w:color w:val="auto"/>
          <w:sz w:val="32"/>
          <w:szCs w:val="32"/>
        </w:rPr>
      </w:pPr>
    </w:p>
    <w:p>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1.财政拨款收入：指单位从同级财政部门取得的财政预算资金。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年末结转和结余：指单位按有关规定结转到下年或以后年度继续使用的资金。</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5</w:t>
      </w:r>
      <w:r>
        <w:rPr>
          <w:rStyle w:val="15"/>
          <w:rFonts w:hint="eastAsia" w:ascii="仿宋_GB2312" w:hAnsi="仿宋" w:eastAsia="仿宋_GB2312"/>
          <w:b w:val="0"/>
          <w:bCs/>
          <w:color w:val="auto"/>
          <w:sz w:val="32"/>
          <w:szCs w:val="32"/>
        </w:rPr>
        <w:t>.一般公共服务（类）政协事务（款）行政运行（项）:</w:t>
      </w:r>
      <w:r>
        <w:rPr>
          <w:rStyle w:val="15"/>
          <w:rFonts w:ascii="仿宋_GB2312" w:hAnsi="仿宋" w:eastAsia="仿宋_GB2312"/>
          <w:b w:val="0"/>
          <w:bCs/>
          <w:color w:val="auto"/>
          <w:sz w:val="32"/>
          <w:szCs w:val="32"/>
        </w:rPr>
        <w:t xml:space="preserve"> </w:t>
      </w:r>
      <w:r>
        <w:rPr>
          <w:rStyle w:val="15"/>
          <w:rFonts w:hint="eastAsia" w:ascii="仿宋_GB2312" w:hAnsi="仿宋" w:eastAsia="仿宋_GB2312"/>
          <w:b w:val="0"/>
          <w:bCs/>
          <w:color w:val="auto"/>
          <w:sz w:val="32"/>
          <w:szCs w:val="32"/>
        </w:rPr>
        <w:t>反映</w:t>
      </w:r>
      <w:r>
        <w:rPr>
          <w:rStyle w:val="15"/>
          <w:rFonts w:ascii="仿宋_GB2312" w:hAnsi="仿宋" w:eastAsia="仿宋_GB2312"/>
          <w:b w:val="0"/>
          <w:bCs/>
          <w:color w:val="auto"/>
          <w:sz w:val="32"/>
          <w:szCs w:val="32"/>
        </w:rPr>
        <w:t>行政单位（</w:t>
      </w:r>
      <w:r>
        <w:rPr>
          <w:rStyle w:val="15"/>
          <w:rFonts w:hint="eastAsia" w:ascii="仿宋_GB2312" w:hAnsi="仿宋" w:eastAsia="仿宋_GB2312"/>
          <w:b w:val="0"/>
          <w:bCs/>
          <w:color w:val="auto"/>
          <w:sz w:val="32"/>
          <w:szCs w:val="32"/>
        </w:rPr>
        <w:t>包括实行</w:t>
      </w:r>
      <w:r>
        <w:rPr>
          <w:rStyle w:val="15"/>
          <w:rFonts w:ascii="仿宋_GB2312" w:hAnsi="仿宋" w:eastAsia="仿宋_GB2312"/>
          <w:b w:val="0"/>
          <w:bCs/>
          <w:color w:val="auto"/>
          <w:sz w:val="32"/>
          <w:szCs w:val="32"/>
        </w:rPr>
        <w:t>公务员管理的事业单位）</w:t>
      </w:r>
      <w:r>
        <w:rPr>
          <w:rStyle w:val="15"/>
          <w:rFonts w:hint="eastAsia" w:ascii="仿宋_GB2312" w:hAnsi="仿宋" w:eastAsia="仿宋_GB2312"/>
          <w:b w:val="0"/>
          <w:bCs/>
          <w:color w:val="auto"/>
          <w:sz w:val="32"/>
          <w:szCs w:val="32"/>
        </w:rPr>
        <w:t>的</w:t>
      </w:r>
      <w:r>
        <w:rPr>
          <w:rStyle w:val="15"/>
          <w:rFonts w:ascii="仿宋_GB2312" w:hAnsi="仿宋" w:eastAsia="仿宋_GB2312"/>
          <w:b w:val="0"/>
          <w:bCs/>
          <w:color w:val="auto"/>
          <w:sz w:val="32"/>
          <w:szCs w:val="32"/>
        </w:rPr>
        <w:t>基本支出。</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6</w:t>
      </w:r>
      <w:r>
        <w:rPr>
          <w:rStyle w:val="15"/>
          <w:rFonts w:hint="eastAsia" w:ascii="仿宋_GB2312" w:hAnsi="仿宋" w:eastAsia="仿宋_GB2312"/>
          <w:b w:val="0"/>
          <w:bCs/>
          <w:color w:val="auto"/>
          <w:sz w:val="32"/>
          <w:szCs w:val="32"/>
        </w:rPr>
        <w:t>.一般公共服务（类）政协事务（款）一般行政管理事务（项）:反映</w:t>
      </w:r>
      <w:r>
        <w:rPr>
          <w:rStyle w:val="15"/>
          <w:rFonts w:ascii="仿宋_GB2312" w:hAnsi="仿宋" w:eastAsia="仿宋_GB2312"/>
          <w:b w:val="0"/>
          <w:bCs/>
          <w:color w:val="auto"/>
          <w:sz w:val="32"/>
          <w:szCs w:val="32"/>
        </w:rPr>
        <w:t>行政单位（</w:t>
      </w:r>
      <w:r>
        <w:rPr>
          <w:rStyle w:val="15"/>
          <w:rFonts w:hint="eastAsia" w:ascii="仿宋_GB2312" w:hAnsi="仿宋" w:eastAsia="仿宋_GB2312"/>
          <w:b w:val="0"/>
          <w:bCs/>
          <w:color w:val="auto"/>
          <w:sz w:val="32"/>
          <w:szCs w:val="32"/>
        </w:rPr>
        <w:t>包括实行</w:t>
      </w:r>
      <w:r>
        <w:rPr>
          <w:rStyle w:val="15"/>
          <w:rFonts w:ascii="仿宋_GB2312" w:hAnsi="仿宋" w:eastAsia="仿宋_GB2312"/>
          <w:b w:val="0"/>
          <w:bCs/>
          <w:color w:val="auto"/>
          <w:sz w:val="32"/>
          <w:szCs w:val="32"/>
        </w:rPr>
        <w:t>公务员管理的事业单位）</w:t>
      </w:r>
      <w:r>
        <w:rPr>
          <w:rStyle w:val="15"/>
          <w:rFonts w:hint="eastAsia" w:ascii="仿宋_GB2312" w:hAnsi="仿宋" w:eastAsia="仿宋_GB2312"/>
          <w:b w:val="0"/>
          <w:bCs/>
          <w:color w:val="auto"/>
          <w:sz w:val="32"/>
          <w:szCs w:val="32"/>
        </w:rPr>
        <w:t>未单独</w:t>
      </w:r>
      <w:r>
        <w:rPr>
          <w:rStyle w:val="15"/>
          <w:rFonts w:ascii="仿宋_GB2312" w:hAnsi="仿宋" w:eastAsia="仿宋_GB2312"/>
          <w:b w:val="0"/>
          <w:bCs/>
          <w:color w:val="auto"/>
          <w:sz w:val="32"/>
          <w:szCs w:val="32"/>
        </w:rPr>
        <w:t>设置项级科目的其他项目支出。</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7</w:t>
      </w:r>
      <w:r>
        <w:rPr>
          <w:rStyle w:val="15"/>
          <w:rFonts w:hint="eastAsia" w:ascii="仿宋_GB2312" w:hAnsi="仿宋" w:eastAsia="仿宋_GB2312"/>
          <w:b w:val="0"/>
          <w:bCs/>
          <w:color w:val="auto"/>
          <w:sz w:val="32"/>
          <w:szCs w:val="32"/>
        </w:rPr>
        <w:t>.一般公共服务（类）政协事务（款）政协会议（项）:</w:t>
      </w:r>
      <w:r>
        <w:rPr>
          <w:rStyle w:val="15"/>
          <w:rFonts w:ascii="仿宋_GB2312" w:hAnsi="仿宋" w:eastAsia="仿宋_GB2312"/>
          <w:b w:val="0"/>
          <w:bCs/>
          <w:color w:val="auto"/>
          <w:sz w:val="32"/>
          <w:szCs w:val="32"/>
        </w:rPr>
        <w:t xml:space="preserve"> </w:t>
      </w:r>
      <w:r>
        <w:rPr>
          <w:rStyle w:val="15"/>
          <w:rFonts w:hint="eastAsia" w:ascii="仿宋_GB2312" w:hAnsi="仿宋" w:eastAsia="仿宋_GB2312"/>
          <w:b w:val="0"/>
          <w:bCs/>
          <w:color w:val="auto"/>
          <w:sz w:val="32"/>
          <w:szCs w:val="32"/>
        </w:rPr>
        <w:t>反映各级</w:t>
      </w:r>
      <w:r>
        <w:rPr>
          <w:rStyle w:val="15"/>
          <w:rFonts w:ascii="仿宋_GB2312" w:hAnsi="仿宋" w:eastAsia="仿宋_GB2312"/>
          <w:b w:val="0"/>
          <w:bCs/>
          <w:color w:val="auto"/>
          <w:sz w:val="32"/>
          <w:szCs w:val="32"/>
        </w:rPr>
        <w:t>政协召开政治协商会议等专门会议的</w:t>
      </w:r>
      <w:r>
        <w:rPr>
          <w:rStyle w:val="15"/>
          <w:rFonts w:hint="eastAsia" w:ascii="仿宋_GB2312" w:hAnsi="仿宋" w:eastAsia="仿宋_GB2312"/>
          <w:b w:val="0"/>
          <w:bCs/>
          <w:color w:val="auto"/>
          <w:sz w:val="32"/>
          <w:szCs w:val="32"/>
        </w:rPr>
        <w:t>支出</w:t>
      </w:r>
      <w:r>
        <w:rPr>
          <w:rStyle w:val="15"/>
          <w:rFonts w:ascii="仿宋_GB2312" w:hAnsi="仿宋" w:eastAsia="仿宋_GB2312"/>
          <w:b w:val="0"/>
          <w:bCs/>
          <w:color w:val="auto"/>
          <w:sz w:val="32"/>
          <w:szCs w:val="32"/>
        </w:rPr>
        <w:t>。</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8</w:t>
      </w:r>
      <w:r>
        <w:rPr>
          <w:rStyle w:val="15"/>
          <w:rFonts w:hint="eastAsia" w:ascii="仿宋_GB2312" w:hAnsi="仿宋" w:eastAsia="仿宋_GB2312"/>
          <w:b w:val="0"/>
          <w:bCs/>
          <w:color w:val="auto"/>
          <w:sz w:val="32"/>
          <w:szCs w:val="32"/>
        </w:rPr>
        <w:t>.一般公共服务（类）政协事务（款）委员视察（项）:</w:t>
      </w:r>
      <w:r>
        <w:rPr>
          <w:rStyle w:val="15"/>
          <w:rFonts w:ascii="仿宋_GB2312" w:hAnsi="仿宋" w:eastAsia="仿宋_GB2312"/>
          <w:b w:val="0"/>
          <w:bCs/>
          <w:color w:val="auto"/>
          <w:sz w:val="32"/>
          <w:szCs w:val="32"/>
        </w:rPr>
        <w:t xml:space="preserve"> </w:t>
      </w:r>
      <w:r>
        <w:rPr>
          <w:rStyle w:val="15"/>
          <w:rFonts w:hint="eastAsia" w:ascii="仿宋_GB2312" w:hAnsi="仿宋" w:eastAsia="仿宋_GB2312"/>
          <w:b w:val="0"/>
          <w:bCs/>
          <w:color w:val="auto"/>
          <w:sz w:val="32"/>
          <w:szCs w:val="32"/>
        </w:rPr>
        <w:t>反映</w:t>
      </w:r>
      <w:r>
        <w:rPr>
          <w:rStyle w:val="15"/>
          <w:rFonts w:ascii="仿宋_GB2312" w:hAnsi="仿宋" w:eastAsia="仿宋_GB2312"/>
          <w:b w:val="0"/>
          <w:bCs/>
          <w:color w:val="auto"/>
          <w:sz w:val="32"/>
          <w:szCs w:val="32"/>
        </w:rPr>
        <w:t>政协委员开展各类视察的支出。</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9</w:t>
      </w:r>
      <w:r>
        <w:rPr>
          <w:rStyle w:val="15"/>
          <w:rFonts w:hint="eastAsia" w:ascii="仿宋_GB2312" w:hAnsi="仿宋" w:eastAsia="仿宋_GB2312"/>
          <w:b w:val="0"/>
          <w:bCs/>
          <w:color w:val="auto"/>
          <w:sz w:val="32"/>
          <w:szCs w:val="32"/>
        </w:rPr>
        <w:t>.一般公共服务（类）政协事务（款）参政议政（项）:</w:t>
      </w:r>
      <w:r>
        <w:rPr>
          <w:rStyle w:val="15"/>
          <w:rFonts w:ascii="仿宋_GB2312" w:hAnsi="仿宋" w:eastAsia="仿宋_GB2312"/>
          <w:b w:val="0"/>
          <w:bCs/>
          <w:color w:val="auto"/>
          <w:sz w:val="32"/>
          <w:szCs w:val="32"/>
        </w:rPr>
        <w:t xml:space="preserve"> </w:t>
      </w:r>
      <w:r>
        <w:rPr>
          <w:rStyle w:val="15"/>
          <w:rFonts w:hint="eastAsia" w:ascii="仿宋_GB2312" w:hAnsi="仿宋" w:eastAsia="仿宋_GB2312"/>
          <w:b w:val="0"/>
          <w:bCs/>
          <w:color w:val="auto"/>
          <w:sz w:val="32"/>
          <w:szCs w:val="32"/>
        </w:rPr>
        <w:t>反映</w:t>
      </w:r>
      <w:r>
        <w:rPr>
          <w:rStyle w:val="15"/>
          <w:rFonts w:ascii="仿宋_GB2312" w:hAnsi="仿宋" w:eastAsia="仿宋_GB2312"/>
          <w:b w:val="0"/>
          <w:bCs/>
          <w:color w:val="auto"/>
          <w:sz w:val="32"/>
          <w:szCs w:val="32"/>
        </w:rPr>
        <w:t>政协为参政议政进行调研、检查等方面的支出。</w:t>
      </w:r>
    </w:p>
    <w:p>
      <w:pPr>
        <w:spacing w:line="600" w:lineRule="exact"/>
        <w:ind w:firstLine="640" w:firstLineChars="200"/>
        <w:rPr>
          <w:rStyle w:val="15"/>
          <w:rFonts w:ascii="仿宋_GB2312" w:hAnsi="仿宋" w:eastAsia="仿宋_GB2312"/>
          <w:b w:val="0"/>
          <w:bCs/>
          <w:color w:val="auto"/>
          <w:sz w:val="32"/>
          <w:szCs w:val="32"/>
        </w:rPr>
      </w:pPr>
      <w:r>
        <w:rPr>
          <w:rStyle w:val="15"/>
          <w:rFonts w:ascii="仿宋_GB2312" w:hAnsi="仿宋" w:eastAsia="仿宋_GB2312"/>
          <w:b w:val="0"/>
          <w:bCs/>
          <w:color w:val="auto"/>
          <w:sz w:val="32"/>
          <w:szCs w:val="32"/>
        </w:rPr>
        <w:t>10</w:t>
      </w:r>
      <w:r>
        <w:rPr>
          <w:rStyle w:val="15"/>
          <w:rFonts w:hint="eastAsia" w:ascii="仿宋_GB2312" w:hAnsi="仿宋" w:eastAsia="仿宋_GB2312"/>
          <w:b w:val="0"/>
          <w:bCs/>
          <w:color w:val="auto"/>
          <w:sz w:val="32"/>
          <w:szCs w:val="32"/>
        </w:rPr>
        <w:t>.一般公共服务（类）人力资源事务（款）引进人才费用（项）:</w:t>
      </w:r>
      <w:r>
        <w:rPr>
          <w:rStyle w:val="15"/>
          <w:rFonts w:ascii="仿宋_GB2312" w:hAnsi="仿宋" w:eastAsia="仿宋_GB2312"/>
          <w:b w:val="0"/>
          <w:bCs/>
          <w:color w:val="auto"/>
          <w:sz w:val="32"/>
          <w:szCs w:val="32"/>
        </w:rPr>
        <w:t xml:space="preserve"> </w:t>
      </w:r>
      <w:r>
        <w:rPr>
          <w:rStyle w:val="15"/>
          <w:rFonts w:hint="eastAsia" w:ascii="仿宋_GB2312" w:hAnsi="仿宋" w:eastAsia="仿宋_GB2312"/>
          <w:b w:val="0"/>
          <w:bCs/>
          <w:color w:val="auto"/>
          <w:sz w:val="32"/>
          <w:szCs w:val="32"/>
        </w:rPr>
        <w:t>反映</w:t>
      </w:r>
      <w:r>
        <w:rPr>
          <w:rStyle w:val="15"/>
          <w:rFonts w:ascii="仿宋_GB2312" w:hAnsi="仿宋" w:eastAsia="仿宋_GB2312"/>
          <w:b w:val="0"/>
          <w:bCs/>
          <w:color w:val="auto"/>
          <w:sz w:val="32"/>
          <w:szCs w:val="32"/>
        </w:rPr>
        <w:t>用于引进外国专家补助、引</w:t>
      </w:r>
      <w:r>
        <w:rPr>
          <w:rStyle w:val="15"/>
          <w:rFonts w:hint="eastAsia" w:ascii="仿宋_GB2312" w:hAnsi="仿宋" w:eastAsia="仿宋_GB2312"/>
          <w:b w:val="0"/>
          <w:bCs/>
          <w:color w:val="auto"/>
          <w:sz w:val="32"/>
          <w:szCs w:val="32"/>
        </w:rPr>
        <w:t>智成果</w:t>
      </w:r>
      <w:r>
        <w:rPr>
          <w:rStyle w:val="15"/>
          <w:rFonts w:ascii="仿宋_GB2312" w:hAnsi="仿宋" w:eastAsia="仿宋_GB2312"/>
          <w:b w:val="0"/>
          <w:bCs/>
          <w:color w:val="auto"/>
          <w:sz w:val="32"/>
          <w:szCs w:val="32"/>
        </w:rPr>
        <w:t>推广等方面的支出</w:t>
      </w:r>
      <w:r>
        <w:rPr>
          <w:rStyle w:val="15"/>
          <w:rFonts w:hint="eastAsia" w:ascii="仿宋_GB2312" w:hAnsi="仿宋" w:eastAsia="仿宋_GB2312"/>
          <w:b w:val="0"/>
          <w:bCs/>
          <w:color w:val="auto"/>
          <w:sz w:val="32"/>
          <w:szCs w:val="32"/>
        </w:rPr>
        <w:t>。</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11</w:t>
      </w:r>
      <w:r>
        <w:rPr>
          <w:rFonts w:hint="eastAsia" w:ascii="仿宋_GB2312" w:eastAsia="仿宋_GB2312"/>
          <w:color w:val="auto"/>
          <w:sz w:val="32"/>
          <w:szCs w:val="32"/>
        </w:rPr>
        <w:t>.社会保障和就业（类）行政事业</w:t>
      </w:r>
      <w:r>
        <w:rPr>
          <w:rFonts w:ascii="仿宋_GB2312" w:eastAsia="仿宋_GB2312"/>
          <w:color w:val="auto"/>
          <w:sz w:val="32"/>
          <w:szCs w:val="32"/>
        </w:rPr>
        <w:t>单位养老支出</w:t>
      </w:r>
      <w:r>
        <w:rPr>
          <w:rFonts w:hint="eastAsia" w:ascii="仿宋_GB2312" w:eastAsia="仿宋_GB2312"/>
          <w:color w:val="auto"/>
          <w:sz w:val="32"/>
          <w:szCs w:val="32"/>
        </w:rPr>
        <w:t>（款）  机关事业单位基本养老保险缴费支出（项）：</w:t>
      </w:r>
      <w:r>
        <w:rPr>
          <w:rFonts w:ascii="仿宋_GB2312" w:eastAsia="仿宋_GB2312"/>
          <w:color w:val="auto"/>
          <w:sz w:val="32"/>
          <w:szCs w:val="32"/>
        </w:rPr>
        <w:t>指</w:t>
      </w:r>
      <w:r>
        <w:rPr>
          <w:rFonts w:hint="eastAsia" w:ascii="仿宋_GB2312" w:eastAsia="仿宋_GB2312"/>
          <w:color w:val="auto"/>
          <w:sz w:val="32"/>
          <w:szCs w:val="32"/>
        </w:rPr>
        <w:t>单位</w:t>
      </w:r>
      <w:r>
        <w:rPr>
          <w:rFonts w:ascii="仿宋_GB2312" w:eastAsia="仿宋_GB2312"/>
          <w:color w:val="auto"/>
          <w:sz w:val="32"/>
          <w:szCs w:val="32"/>
        </w:rPr>
        <w:t>实施养老保险制度由单位缴纳的基本养老保险支出。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12</w:t>
      </w:r>
      <w:r>
        <w:rPr>
          <w:rFonts w:hint="eastAsia" w:ascii="仿宋_GB2312" w:eastAsia="仿宋_GB2312"/>
          <w:color w:val="auto"/>
          <w:sz w:val="32"/>
          <w:szCs w:val="32"/>
        </w:rPr>
        <w:t>.社会保障和就业（类）行政事业</w:t>
      </w:r>
      <w:r>
        <w:rPr>
          <w:rFonts w:ascii="仿宋_GB2312" w:eastAsia="仿宋_GB2312"/>
          <w:color w:val="auto"/>
          <w:sz w:val="32"/>
          <w:szCs w:val="32"/>
        </w:rPr>
        <w:t>单位养老支出</w:t>
      </w:r>
      <w:r>
        <w:rPr>
          <w:rFonts w:hint="eastAsia" w:ascii="仿宋_GB2312" w:eastAsia="仿宋_GB2312"/>
          <w:color w:val="auto"/>
          <w:sz w:val="32"/>
          <w:szCs w:val="32"/>
        </w:rPr>
        <w:t>（款）    机关事业单位职业年金缴费支出（项）：</w:t>
      </w:r>
      <w:r>
        <w:rPr>
          <w:rFonts w:ascii="仿宋_GB2312" w:eastAsia="仿宋_GB2312"/>
          <w:color w:val="auto"/>
          <w:sz w:val="32"/>
          <w:szCs w:val="32"/>
        </w:rPr>
        <w:t>指</w:t>
      </w:r>
      <w:r>
        <w:rPr>
          <w:rFonts w:hint="eastAsia" w:ascii="仿宋_GB2312" w:eastAsia="仿宋_GB2312"/>
          <w:color w:val="auto"/>
          <w:sz w:val="32"/>
          <w:szCs w:val="32"/>
        </w:rPr>
        <w:t>单位</w:t>
      </w:r>
      <w:r>
        <w:rPr>
          <w:rFonts w:ascii="仿宋_GB2312" w:eastAsia="仿宋_GB2312"/>
          <w:color w:val="auto"/>
          <w:sz w:val="32"/>
          <w:szCs w:val="32"/>
        </w:rPr>
        <w:t>实施养老保险制度由单位</w:t>
      </w:r>
      <w:r>
        <w:rPr>
          <w:rFonts w:hint="eastAsia" w:ascii="仿宋_GB2312" w:eastAsia="仿宋_GB2312"/>
          <w:color w:val="auto"/>
          <w:sz w:val="32"/>
          <w:szCs w:val="32"/>
        </w:rPr>
        <w:t>实际</w:t>
      </w:r>
      <w:r>
        <w:rPr>
          <w:rFonts w:ascii="仿宋_GB2312" w:eastAsia="仿宋_GB2312"/>
          <w:color w:val="auto"/>
          <w:sz w:val="32"/>
          <w:szCs w:val="32"/>
        </w:rPr>
        <w:t>缴纳的</w:t>
      </w:r>
      <w:r>
        <w:rPr>
          <w:rFonts w:hint="eastAsia" w:ascii="仿宋_GB2312" w:eastAsia="仿宋_GB2312"/>
          <w:color w:val="auto"/>
          <w:sz w:val="32"/>
          <w:szCs w:val="32"/>
        </w:rPr>
        <w:t>职业年金支</w:t>
      </w:r>
      <w:r>
        <w:rPr>
          <w:rFonts w:ascii="仿宋_GB2312" w:eastAsia="仿宋_GB2312"/>
          <w:color w:val="auto"/>
          <w:sz w:val="32"/>
          <w:szCs w:val="32"/>
        </w:rPr>
        <w:t>出。</w:t>
      </w:r>
    </w:p>
    <w:p>
      <w:pPr>
        <w:ind w:firstLine="640" w:firstLineChars="200"/>
        <w:rPr>
          <w:rFonts w:ascii="仿宋_GB2312" w:eastAsia="仿宋_GB2312"/>
          <w:color w:val="auto"/>
          <w:sz w:val="32"/>
          <w:szCs w:val="32"/>
        </w:rPr>
      </w:pPr>
      <w:r>
        <w:rPr>
          <w:rFonts w:ascii="仿宋_GB2312" w:eastAsia="仿宋_GB2312"/>
          <w:color w:val="auto"/>
          <w:sz w:val="32"/>
          <w:szCs w:val="32"/>
        </w:rPr>
        <w:t>13</w:t>
      </w:r>
      <w:r>
        <w:rPr>
          <w:rFonts w:hint="eastAsia" w:ascii="仿宋_GB2312" w:eastAsia="仿宋_GB2312"/>
          <w:color w:val="auto"/>
          <w:sz w:val="32"/>
          <w:szCs w:val="32"/>
        </w:rPr>
        <w:t>.医疗卫生与计划生育（类）行政事业</w:t>
      </w:r>
      <w:r>
        <w:rPr>
          <w:rFonts w:ascii="仿宋_GB2312" w:eastAsia="仿宋_GB2312"/>
          <w:color w:val="auto"/>
          <w:sz w:val="32"/>
          <w:szCs w:val="32"/>
        </w:rPr>
        <w:t>单位医疗</w:t>
      </w:r>
      <w:r>
        <w:rPr>
          <w:rFonts w:hint="eastAsia" w:ascii="仿宋_GB2312" w:eastAsia="仿宋_GB2312"/>
          <w:color w:val="auto"/>
          <w:sz w:val="32"/>
          <w:szCs w:val="32"/>
        </w:rPr>
        <w:t>（款）行政</w:t>
      </w:r>
      <w:r>
        <w:rPr>
          <w:rFonts w:ascii="仿宋_GB2312" w:eastAsia="仿宋_GB2312"/>
          <w:color w:val="auto"/>
          <w:sz w:val="32"/>
          <w:szCs w:val="32"/>
        </w:rPr>
        <w:t>单位医疗</w:t>
      </w:r>
      <w:r>
        <w:rPr>
          <w:rFonts w:hint="eastAsia" w:ascii="仿宋_GB2312" w:eastAsia="仿宋_GB2312"/>
          <w:color w:val="auto"/>
          <w:sz w:val="32"/>
          <w:szCs w:val="32"/>
        </w:rPr>
        <w:t>（项）：指财政部门安排的</w:t>
      </w:r>
      <w:r>
        <w:rPr>
          <w:rFonts w:ascii="仿宋_GB2312" w:eastAsia="仿宋_GB2312"/>
          <w:color w:val="auto"/>
          <w:sz w:val="32"/>
          <w:szCs w:val="32"/>
        </w:rPr>
        <w:t>行政单位（</w:t>
      </w:r>
      <w:r>
        <w:rPr>
          <w:rFonts w:hint="eastAsia" w:ascii="仿宋_GB2312" w:eastAsia="仿宋_GB2312"/>
          <w:color w:val="auto"/>
          <w:sz w:val="32"/>
          <w:szCs w:val="32"/>
        </w:rPr>
        <w:t>包括</w:t>
      </w:r>
      <w:r>
        <w:rPr>
          <w:rFonts w:ascii="仿宋_GB2312" w:eastAsia="仿宋_GB2312"/>
          <w:color w:val="auto"/>
          <w:sz w:val="32"/>
          <w:szCs w:val="32"/>
        </w:rPr>
        <w:t>试行</w:t>
      </w:r>
      <w:r>
        <w:rPr>
          <w:rFonts w:hint="eastAsia" w:ascii="仿宋_GB2312" w:eastAsia="仿宋_GB2312"/>
          <w:color w:val="auto"/>
          <w:sz w:val="32"/>
          <w:szCs w:val="32"/>
        </w:rPr>
        <w:t>公务员</w:t>
      </w:r>
      <w:r>
        <w:rPr>
          <w:rFonts w:ascii="仿宋_GB2312" w:eastAsia="仿宋_GB2312"/>
          <w:color w:val="auto"/>
          <w:sz w:val="32"/>
          <w:szCs w:val="32"/>
        </w:rPr>
        <w:t>管理的事业单位，下同）</w:t>
      </w:r>
      <w:r>
        <w:rPr>
          <w:rFonts w:hint="eastAsia" w:ascii="仿宋_GB2312" w:eastAsia="仿宋_GB2312"/>
          <w:color w:val="auto"/>
          <w:sz w:val="32"/>
          <w:szCs w:val="32"/>
        </w:rPr>
        <w:t>基本</w:t>
      </w:r>
      <w:r>
        <w:rPr>
          <w:rFonts w:ascii="仿宋_GB2312" w:eastAsia="仿宋_GB2312"/>
          <w:color w:val="auto"/>
          <w:sz w:val="32"/>
          <w:szCs w:val="32"/>
        </w:rPr>
        <w:t>医疗保险缴纳经费，未参加医疗保险的行政单位的</w:t>
      </w:r>
      <w:r>
        <w:rPr>
          <w:rFonts w:hint="eastAsia" w:ascii="仿宋_GB2312" w:eastAsia="仿宋_GB2312"/>
          <w:color w:val="auto"/>
          <w:sz w:val="32"/>
          <w:szCs w:val="32"/>
        </w:rPr>
        <w:t>公费</w:t>
      </w:r>
      <w:r>
        <w:rPr>
          <w:rFonts w:ascii="仿宋_GB2312" w:eastAsia="仿宋_GB2312"/>
          <w:color w:val="auto"/>
          <w:sz w:val="32"/>
          <w:szCs w:val="32"/>
        </w:rPr>
        <w:t>医疗经费，按照国家规定</w:t>
      </w:r>
      <w:r>
        <w:rPr>
          <w:rFonts w:hint="eastAsia" w:ascii="仿宋_GB2312" w:eastAsia="仿宋_GB2312"/>
          <w:color w:val="auto"/>
          <w:sz w:val="32"/>
          <w:szCs w:val="32"/>
        </w:rPr>
        <w:t>享受</w:t>
      </w:r>
      <w:r>
        <w:rPr>
          <w:rFonts w:ascii="仿宋_GB2312" w:eastAsia="仿宋_GB2312"/>
          <w:color w:val="auto"/>
          <w:sz w:val="32"/>
          <w:szCs w:val="32"/>
        </w:rPr>
        <w:t>离休人员、红军老战士待遇人员的医疗经费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14</w:t>
      </w:r>
      <w:r>
        <w:rPr>
          <w:rFonts w:hint="eastAsia" w:ascii="仿宋_GB2312" w:eastAsia="仿宋_GB2312"/>
          <w:color w:val="auto"/>
          <w:sz w:val="32"/>
          <w:szCs w:val="32"/>
        </w:rPr>
        <w:t>.住房保障</w:t>
      </w:r>
      <w:r>
        <w:rPr>
          <w:rFonts w:ascii="仿宋_GB2312" w:eastAsia="仿宋_GB2312"/>
          <w:color w:val="auto"/>
          <w:sz w:val="32"/>
          <w:szCs w:val="32"/>
        </w:rPr>
        <w:t>支出</w:t>
      </w:r>
      <w:r>
        <w:rPr>
          <w:rFonts w:hint="eastAsia" w:ascii="仿宋_GB2312" w:eastAsia="仿宋_GB2312"/>
          <w:color w:val="auto"/>
          <w:sz w:val="32"/>
          <w:szCs w:val="32"/>
        </w:rPr>
        <w:t>（类）住房改革</w:t>
      </w:r>
      <w:r>
        <w:rPr>
          <w:rFonts w:ascii="仿宋_GB2312" w:eastAsia="仿宋_GB2312"/>
          <w:color w:val="auto"/>
          <w:sz w:val="32"/>
          <w:szCs w:val="32"/>
        </w:rPr>
        <w:t>支出</w:t>
      </w:r>
      <w:r>
        <w:rPr>
          <w:rFonts w:hint="eastAsia" w:ascii="仿宋_GB2312" w:eastAsia="仿宋_GB2312"/>
          <w:color w:val="auto"/>
          <w:sz w:val="32"/>
          <w:szCs w:val="32"/>
        </w:rPr>
        <w:t>（款）住房公积金（项）:指单位</w:t>
      </w:r>
      <w:r>
        <w:rPr>
          <w:rFonts w:ascii="仿宋_GB2312" w:eastAsia="仿宋_GB2312"/>
          <w:color w:val="auto"/>
          <w:sz w:val="32"/>
          <w:szCs w:val="32"/>
        </w:rPr>
        <w:t>按人力资源和社会保障部、财政部规定的基本工资和津贴补贴以及规定比例为职工缴纳的住房公积金</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15</w:t>
      </w:r>
      <w:r>
        <w:rPr>
          <w:rFonts w:hint="eastAsia" w:ascii="仿宋_GB2312" w:eastAsia="仿宋_GB2312"/>
          <w:color w:val="auto"/>
          <w:sz w:val="32"/>
          <w:szCs w:val="32"/>
        </w:rPr>
        <w:t>.住房保障</w:t>
      </w:r>
      <w:r>
        <w:rPr>
          <w:rFonts w:ascii="仿宋_GB2312" w:eastAsia="仿宋_GB2312"/>
          <w:color w:val="auto"/>
          <w:sz w:val="32"/>
          <w:szCs w:val="32"/>
        </w:rPr>
        <w:t>支出</w:t>
      </w:r>
      <w:r>
        <w:rPr>
          <w:rFonts w:hint="eastAsia" w:ascii="仿宋_GB2312" w:eastAsia="仿宋_GB2312"/>
          <w:color w:val="auto"/>
          <w:sz w:val="32"/>
          <w:szCs w:val="32"/>
        </w:rPr>
        <w:t>（类）住房改革</w:t>
      </w:r>
      <w:r>
        <w:rPr>
          <w:rFonts w:ascii="仿宋_GB2312" w:eastAsia="仿宋_GB2312"/>
          <w:color w:val="auto"/>
          <w:sz w:val="32"/>
          <w:szCs w:val="32"/>
        </w:rPr>
        <w:t>支出</w:t>
      </w:r>
      <w:r>
        <w:rPr>
          <w:rFonts w:hint="eastAsia" w:ascii="仿宋_GB2312" w:eastAsia="仿宋_GB2312"/>
          <w:color w:val="auto"/>
          <w:sz w:val="32"/>
          <w:szCs w:val="32"/>
        </w:rPr>
        <w:t>（款）购房补贴（项）:指按</w:t>
      </w:r>
      <w:r>
        <w:rPr>
          <w:rFonts w:ascii="仿宋_GB2312" w:eastAsia="仿宋_GB2312"/>
          <w:color w:val="auto"/>
          <w:sz w:val="32"/>
          <w:szCs w:val="32"/>
        </w:rPr>
        <w:t>房改政策规定，单位向符合条件职工（</w:t>
      </w:r>
      <w:r>
        <w:rPr>
          <w:rFonts w:hint="eastAsia" w:ascii="仿宋_GB2312" w:eastAsia="仿宋_GB2312"/>
          <w:color w:val="auto"/>
          <w:sz w:val="32"/>
          <w:szCs w:val="32"/>
        </w:rPr>
        <w:t>含</w:t>
      </w:r>
      <w:r>
        <w:rPr>
          <w:rFonts w:ascii="仿宋_GB2312" w:eastAsia="仿宋_GB2312"/>
          <w:color w:val="auto"/>
          <w:sz w:val="32"/>
          <w:szCs w:val="32"/>
        </w:rPr>
        <w:t>离退休人员）</w:t>
      </w:r>
      <w:r>
        <w:rPr>
          <w:rFonts w:hint="eastAsia" w:ascii="仿宋_GB2312" w:eastAsia="仿宋_GB2312"/>
          <w:color w:val="auto"/>
          <w:sz w:val="32"/>
          <w:szCs w:val="32"/>
        </w:rPr>
        <w:t>、</w:t>
      </w:r>
      <w:r>
        <w:rPr>
          <w:rFonts w:ascii="仿宋_GB2312" w:eastAsia="仿宋_GB2312"/>
          <w:color w:val="auto"/>
          <w:sz w:val="32"/>
          <w:szCs w:val="32"/>
        </w:rPr>
        <w:t>军队（</w:t>
      </w:r>
      <w:r>
        <w:rPr>
          <w:rFonts w:hint="eastAsia" w:ascii="仿宋_GB2312" w:eastAsia="仿宋_GB2312"/>
          <w:color w:val="auto"/>
          <w:sz w:val="32"/>
          <w:szCs w:val="32"/>
        </w:rPr>
        <w:t>含</w:t>
      </w:r>
      <w:r>
        <w:rPr>
          <w:rFonts w:ascii="仿宋_GB2312" w:eastAsia="仿宋_GB2312"/>
          <w:color w:val="auto"/>
          <w:sz w:val="32"/>
          <w:szCs w:val="32"/>
        </w:rPr>
        <w:t>武警）</w:t>
      </w:r>
      <w:r>
        <w:rPr>
          <w:rFonts w:hint="eastAsia" w:ascii="仿宋_GB2312" w:eastAsia="仿宋_GB2312"/>
          <w:color w:val="auto"/>
          <w:sz w:val="32"/>
          <w:szCs w:val="32"/>
        </w:rPr>
        <w:t>向</w:t>
      </w:r>
      <w:r>
        <w:rPr>
          <w:rFonts w:ascii="仿宋_GB2312" w:eastAsia="仿宋_GB2312"/>
          <w:color w:val="auto"/>
          <w:sz w:val="32"/>
          <w:szCs w:val="32"/>
        </w:rPr>
        <w:t>转役</w:t>
      </w:r>
      <w:r>
        <w:rPr>
          <w:rFonts w:hint="eastAsia" w:ascii="仿宋_GB2312" w:eastAsia="仿宋_GB2312"/>
          <w:color w:val="auto"/>
          <w:sz w:val="32"/>
          <w:szCs w:val="32"/>
        </w:rPr>
        <w:t>复员</w:t>
      </w:r>
      <w:r>
        <w:rPr>
          <w:rFonts w:ascii="仿宋_GB2312" w:eastAsia="仿宋_GB2312"/>
          <w:color w:val="auto"/>
          <w:sz w:val="32"/>
          <w:szCs w:val="32"/>
        </w:rPr>
        <w:t>离退休人员发放的用于购买住房的补贴。</w:t>
      </w:r>
    </w:p>
    <w:p>
      <w:pPr>
        <w:ind w:firstLine="640" w:firstLineChars="200"/>
        <w:rPr>
          <w:rFonts w:ascii="仿宋_GB2312" w:eastAsia="仿宋_GB2312"/>
          <w:color w:val="auto"/>
          <w:sz w:val="32"/>
          <w:szCs w:val="32"/>
        </w:rPr>
      </w:pPr>
      <w:r>
        <w:rPr>
          <w:rFonts w:ascii="仿宋_GB2312" w:eastAsia="仿宋_GB2312"/>
          <w:color w:val="auto"/>
          <w:sz w:val="32"/>
          <w:szCs w:val="32"/>
        </w:rPr>
        <w:t>16</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ascii="仿宋_GB2312" w:eastAsia="仿宋_GB2312"/>
          <w:color w:val="auto"/>
          <w:sz w:val="32"/>
          <w:szCs w:val="32"/>
        </w:rPr>
        <w:t>17</w:t>
      </w:r>
      <w:r>
        <w:rPr>
          <w:rFonts w:hint="eastAsia" w:ascii="仿宋_GB2312" w:eastAsia="仿宋_GB2312"/>
          <w:color w:val="auto"/>
          <w:sz w:val="32"/>
          <w:szCs w:val="32"/>
        </w:rPr>
        <w:t>.项目支出：指在基本支出之外为完成特定行政任务和事业发展目标所发生的支出。</w:t>
      </w:r>
    </w:p>
    <w:p>
      <w:pPr>
        <w:ind w:firstLine="640" w:firstLineChars="200"/>
        <w:rPr>
          <w:rFonts w:ascii="仿宋_GB2312" w:eastAsia="仿宋_GB2312"/>
          <w:color w:val="auto"/>
          <w:sz w:val="32"/>
          <w:szCs w:val="32"/>
        </w:rPr>
      </w:pPr>
      <w:r>
        <w:rPr>
          <w:rFonts w:ascii="仿宋_GB2312" w:eastAsia="仿宋_GB2312"/>
          <w:color w:val="auto"/>
          <w:sz w:val="32"/>
          <w:szCs w:val="32"/>
        </w:rPr>
        <w:t>18</w:t>
      </w:r>
      <w:r>
        <w:rPr>
          <w:rFonts w:hint="eastAsia" w:ascii="仿宋_GB2312" w:eastAsia="仿宋_GB2312"/>
          <w:color w:val="auto"/>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19</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jc w:val="center"/>
        <w:rPr>
          <w:rStyle w:val="25"/>
          <w:rFonts w:ascii="仿宋_GB2312" w:hAnsi="黑体" w:eastAsia="仿宋_GB2312"/>
          <w:b/>
          <w:bCs w:val="0"/>
          <w:color w:val="auto"/>
        </w:rPr>
      </w:pPr>
      <w:bookmarkStart w:id="105" w:name="_Toc9531"/>
      <w:bookmarkStart w:id="106" w:name="_Toc25004"/>
      <w:r>
        <w:rPr>
          <w:rStyle w:val="25"/>
          <w:rFonts w:hint="eastAsia" w:ascii="仿宋_GB2312" w:hAnsi="黑体" w:eastAsia="仿宋_GB2312"/>
          <w:b/>
          <w:bCs w:val="0"/>
          <w:color w:val="auto"/>
        </w:rPr>
        <w:t>第四部分 附件</w:t>
      </w:r>
      <w:bookmarkEnd w:id="105"/>
      <w:bookmarkEnd w:id="106"/>
    </w:p>
    <w:p>
      <w:pPr>
        <w:pStyle w:val="4"/>
        <w:rPr>
          <w:rFonts w:ascii="方正小标宋简体" w:hAnsi="方正小标宋简体" w:eastAsia="方正小标宋简体" w:cs="方正小标宋简体"/>
          <w:color w:val="auto"/>
        </w:rPr>
      </w:pPr>
      <w:bookmarkStart w:id="107" w:name="_Toc79163631"/>
      <w:bookmarkStart w:id="108" w:name="_Toc29469"/>
      <w:bookmarkStart w:id="109" w:name="_Toc17676"/>
      <w:bookmarkStart w:id="110" w:name="_Toc9538"/>
      <w:r>
        <w:rPr>
          <w:rFonts w:hint="eastAsia"/>
          <w:color w:val="auto"/>
        </w:rPr>
        <w:t>附件</w:t>
      </w:r>
      <w:r>
        <w:rPr>
          <w:color w:val="auto"/>
        </w:rPr>
        <w:t>1</w:t>
      </w:r>
      <w:bookmarkEnd w:id="107"/>
      <w:bookmarkEnd w:id="108"/>
      <w:bookmarkEnd w:id="109"/>
      <w:bookmarkEnd w:id="110"/>
      <w:r>
        <w:rPr>
          <w:rFonts w:hint="eastAsia" w:ascii="方正小标宋简体" w:hAnsi="方正小标宋简体" w:eastAsia="方正小标宋简体" w:cs="方正小标宋简体"/>
          <w:color w:val="auto"/>
        </w:rPr>
        <w:t xml:space="preserve"> </w:t>
      </w:r>
    </w:p>
    <w:p>
      <w:pPr>
        <w:widowControl/>
        <w:spacing w:line="560" w:lineRule="exact"/>
        <w:contextualSpacing/>
        <w:jc w:val="center"/>
        <w:rPr>
          <w:rFonts w:ascii="方正小标宋_GBK" w:hAnsi="方正小标宋_GBK" w:eastAsia="方正小标宋_GBK" w:cs="方正小标宋_GBK"/>
          <w:bCs/>
          <w:color w:val="auto"/>
          <w:sz w:val="44"/>
          <w:szCs w:val="44"/>
          <w:shd w:val="clear" w:color="auto" w:fill="FFFFFF"/>
        </w:rPr>
      </w:pPr>
      <w:bookmarkStart w:id="111" w:name="_Toc15396616"/>
      <w:r>
        <w:rPr>
          <w:rFonts w:hint="eastAsia" w:ascii="方正小标宋_GBK" w:hAnsi="方正小标宋_GBK" w:eastAsia="方正小标宋_GBK" w:cs="方正小标宋_GBK"/>
          <w:bCs/>
          <w:color w:val="auto"/>
          <w:sz w:val="44"/>
          <w:szCs w:val="44"/>
          <w:shd w:val="clear" w:color="auto" w:fill="FFFFFF"/>
        </w:rPr>
        <w:t>政协壤塘县委员会办公室</w:t>
      </w:r>
    </w:p>
    <w:p>
      <w:pPr>
        <w:widowControl/>
        <w:spacing w:line="560" w:lineRule="exact"/>
        <w:contextualSpacing/>
        <w:jc w:val="center"/>
        <w:rPr>
          <w:rFonts w:ascii="方正小标宋_GBK" w:hAnsi="方正小标宋_GBK" w:eastAsia="方正小标宋_GBK" w:cs="方正小标宋_GBK"/>
          <w:bCs/>
          <w:color w:val="auto"/>
          <w:sz w:val="44"/>
          <w:szCs w:val="44"/>
          <w:shd w:val="clear" w:color="auto" w:fill="FFFFFF"/>
        </w:rPr>
      </w:pPr>
      <w:r>
        <w:rPr>
          <w:rFonts w:ascii="方正小标宋_GBK" w:hAnsi="方正小标宋_GBK" w:eastAsia="方正小标宋_GBK" w:cs="方正小标宋_GBK"/>
          <w:bCs/>
          <w:color w:val="auto"/>
          <w:sz w:val="44"/>
          <w:szCs w:val="44"/>
          <w:shd w:val="clear" w:color="auto" w:fill="FFFFFF"/>
        </w:rPr>
        <w:t>202</w:t>
      </w:r>
      <w:r>
        <w:rPr>
          <w:rFonts w:hint="eastAsia" w:ascii="方正小标宋_GBK" w:hAnsi="方正小标宋_GBK" w:eastAsia="方正小标宋_GBK" w:cs="方正小标宋_GBK"/>
          <w:bCs/>
          <w:color w:val="auto"/>
          <w:sz w:val="44"/>
          <w:szCs w:val="44"/>
          <w:shd w:val="clear" w:color="auto" w:fill="FFFFFF"/>
        </w:rPr>
        <w:t>1年部门整体支出绩效评价自评报告</w:t>
      </w:r>
    </w:p>
    <w:p>
      <w:pPr>
        <w:widowControl/>
        <w:adjustRightInd w:val="0"/>
        <w:snapToGrid w:val="0"/>
        <w:spacing w:line="560" w:lineRule="exact"/>
        <w:ind w:firstLine="480" w:firstLineChars="200"/>
        <w:contextualSpacing/>
        <w:jc w:val="left"/>
        <w:rPr>
          <w:rFonts w:ascii="黑体" w:hAnsi="宋体" w:eastAsia="黑体" w:cs="宋体"/>
          <w:color w:val="auto"/>
          <w:kern w:val="0"/>
          <w:sz w:val="24"/>
          <w:szCs w:val="32"/>
          <w:shd w:val="clear" w:color="auto" w:fill="FFFFFF"/>
        </w:rPr>
      </w:pPr>
    </w:p>
    <w:p>
      <w:pPr>
        <w:widowControl/>
        <w:adjustRightInd w:val="0"/>
        <w:snapToGrid w:val="0"/>
        <w:spacing w:line="560" w:lineRule="exact"/>
        <w:ind w:firstLine="640" w:firstLineChars="200"/>
        <w:contextualSpacing/>
        <w:jc w:val="left"/>
        <w:rPr>
          <w:rFonts w:ascii="黑体" w:hAnsi="宋体" w:eastAsia="黑体" w:cs="宋体"/>
          <w:color w:val="auto"/>
          <w:kern w:val="0"/>
          <w:sz w:val="32"/>
          <w:szCs w:val="32"/>
          <w:shd w:val="clear" w:color="auto" w:fill="FFFFFF"/>
          <w:lang w:val="zh-CN"/>
        </w:rPr>
      </w:pPr>
      <w:r>
        <w:rPr>
          <w:rFonts w:hint="eastAsia" w:ascii="黑体" w:hAnsi="宋体" w:eastAsia="黑体" w:cs="宋体"/>
          <w:color w:val="auto"/>
          <w:kern w:val="0"/>
          <w:sz w:val="32"/>
          <w:szCs w:val="32"/>
          <w:shd w:val="clear" w:color="auto" w:fill="FFFFFF"/>
        </w:rPr>
        <w:t>一、</w:t>
      </w:r>
      <w:r>
        <w:rPr>
          <w:rFonts w:hint="eastAsia" w:ascii="黑体" w:hAnsi="宋体" w:eastAsia="黑体" w:cs="宋体"/>
          <w:color w:val="auto"/>
          <w:kern w:val="0"/>
          <w:sz w:val="32"/>
          <w:szCs w:val="32"/>
          <w:shd w:val="clear" w:color="auto" w:fill="FFFFFF"/>
          <w:lang w:val="zh-CN"/>
        </w:rPr>
        <w:t>部门（单位）概况</w:t>
      </w:r>
    </w:p>
    <w:p>
      <w:pPr>
        <w:pStyle w:val="24"/>
        <w:adjustRightInd w:val="0"/>
        <w:snapToGrid w:val="0"/>
        <w:spacing w:line="560" w:lineRule="exact"/>
        <w:ind w:firstLine="640"/>
        <w:rPr>
          <w:rFonts w:eastAsia="仿宋_GB2312"/>
          <w:color w:val="auto"/>
          <w:sz w:val="32"/>
          <w:szCs w:val="32"/>
        </w:rPr>
      </w:pPr>
      <w:r>
        <w:rPr>
          <w:rFonts w:hint="eastAsia" w:eastAsia="仿宋_GB2312"/>
          <w:color w:val="auto"/>
          <w:sz w:val="32"/>
          <w:szCs w:val="32"/>
        </w:rPr>
        <w:t>政协壤塘县委员会办公室</w:t>
      </w:r>
      <w:r>
        <w:rPr>
          <w:rFonts w:eastAsia="仿宋_GB2312"/>
          <w:color w:val="auto"/>
          <w:sz w:val="32"/>
          <w:szCs w:val="32"/>
        </w:rPr>
        <w:t>（以下简称“壤塘县</w:t>
      </w:r>
      <w:r>
        <w:rPr>
          <w:rFonts w:hint="eastAsia"/>
          <w:color w:val="auto"/>
          <w:sz w:val="32"/>
          <w:szCs w:val="32"/>
        </w:rPr>
        <w:t>政协办</w:t>
      </w:r>
      <w:r>
        <w:rPr>
          <w:rFonts w:eastAsia="仿宋_GB2312"/>
          <w:color w:val="auto"/>
          <w:sz w:val="32"/>
          <w:szCs w:val="32"/>
        </w:rPr>
        <w:t>”），机构性质：机关，机构地址：壤塘县岗木达镇罗吾塘中街，负责人：</w:t>
      </w:r>
      <w:r>
        <w:rPr>
          <w:rFonts w:hint="eastAsia"/>
          <w:color w:val="auto"/>
          <w:sz w:val="32"/>
          <w:szCs w:val="32"/>
        </w:rPr>
        <w:t>王运敏</w:t>
      </w:r>
      <w:r>
        <w:rPr>
          <w:rFonts w:eastAsia="仿宋_GB2312"/>
          <w:color w:val="auto"/>
          <w:sz w:val="32"/>
          <w:szCs w:val="32"/>
        </w:rPr>
        <w:t>。</w:t>
      </w:r>
    </w:p>
    <w:p>
      <w:pPr>
        <w:numPr>
          <w:ilvl w:val="0"/>
          <w:numId w:val="4"/>
        </w:numPr>
        <w:adjustRightInd w:val="0"/>
        <w:snapToGrid w:val="0"/>
        <w:spacing w:line="560" w:lineRule="exact"/>
        <w:ind w:firstLine="642" w:firstLineChars="200"/>
        <w:rPr>
          <w:rFonts w:eastAsia="楷体_GB2312"/>
          <w:b/>
          <w:bCs/>
          <w:color w:val="auto"/>
          <w:kern w:val="0"/>
          <w:sz w:val="32"/>
          <w:szCs w:val="32"/>
        </w:rPr>
      </w:pPr>
      <w:r>
        <w:rPr>
          <w:rFonts w:eastAsia="楷体_GB2312"/>
          <w:b/>
          <w:bCs/>
          <w:color w:val="auto"/>
          <w:kern w:val="0"/>
          <w:sz w:val="32"/>
          <w:szCs w:val="32"/>
        </w:rPr>
        <w:t>机构组成：</w:t>
      </w:r>
    </w:p>
    <w:p>
      <w:pPr>
        <w:widowControl/>
        <w:spacing w:line="600" w:lineRule="exact"/>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本部门下属二级预算单位</w:t>
      </w:r>
      <w:r>
        <w:rPr>
          <w:rFonts w:ascii="仿宋" w:hAnsi="仿宋" w:eastAsia="仿宋" w:cs="宋体"/>
          <w:color w:val="auto"/>
          <w:kern w:val="0"/>
          <w:sz w:val="32"/>
          <w:szCs w:val="32"/>
          <w:u w:val="single"/>
        </w:rPr>
        <w:t xml:space="preserve"> 0 </w:t>
      </w:r>
      <w:r>
        <w:rPr>
          <w:rFonts w:hint="eastAsia" w:ascii="仿宋" w:hAnsi="仿宋" w:eastAsia="仿宋" w:cs="宋体"/>
          <w:color w:val="auto"/>
          <w:kern w:val="0"/>
          <w:sz w:val="32"/>
          <w:szCs w:val="32"/>
        </w:rPr>
        <w:t>个，其中内设机构</w:t>
      </w:r>
      <w:r>
        <w:rPr>
          <w:rFonts w:ascii="仿宋" w:hAnsi="仿宋" w:eastAsia="仿宋" w:cs="宋体"/>
          <w:color w:val="auto"/>
          <w:kern w:val="0"/>
          <w:sz w:val="32"/>
          <w:szCs w:val="32"/>
          <w:u w:val="single"/>
        </w:rPr>
        <w:t xml:space="preserve"> </w:t>
      </w:r>
      <w:r>
        <w:rPr>
          <w:rFonts w:hint="eastAsia" w:ascii="仿宋" w:hAnsi="仿宋" w:eastAsia="仿宋" w:cs="宋体"/>
          <w:color w:val="auto"/>
          <w:kern w:val="0"/>
          <w:sz w:val="32"/>
          <w:szCs w:val="32"/>
          <w:u w:val="single"/>
        </w:rPr>
        <w:t>1</w:t>
      </w:r>
      <w:r>
        <w:rPr>
          <w:rFonts w:ascii="仿宋" w:hAnsi="仿宋" w:eastAsia="仿宋" w:cs="宋体"/>
          <w:color w:val="auto"/>
          <w:kern w:val="0"/>
          <w:sz w:val="32"/>
          <w:szCs w:val="32"/>
          <w:u w:val="single"/>
        </w:rPr>
        <w:t xml:space="preserve"> </w:t>
      </w:r>
      <w:r>
        <w:rPr>
          <w:rFonts w:hint="eastAsia" w:ascii="仿宋" w:hAnsi="仿宋" w:eastAsia="仿宋" w:cs="宋体"/>
          <w:color w:val="auto"/>
          <w:kern w:val="0"/>
          <w:sz w:val="32"/>
          <w:szCs w:val="32"/>
        </w:rPr>
        <w:t>个（信息中心）。</w:t>
      </w:r>
    </w:p>
    <w:p>
      <w:pPr>
        <w:widowControl/>
        <w:spacing w:line="600" w:lineRule="exact"/>
        <w:ind w:firstLine="640" w:firstLineChars="200"/>
        <w:jc w:val="left"/>
        <w:rPr>
          <w:rFonts w:eastAsia="楷体_GB2312"/>
          <w:b/>
          <w:bCs/>
          <w:color w:val="auto"/>
          <w:kern w:val="0"/>
          <w:sz w:val="32"/>
          <w:szCs w:val="32"/>
        </w:rPr>
      </w:pPr>
      <w:r>
        <w:rPr>
          <w:rFonts w:hint="eastAsia" w:ascii="仿宋" w:hAnsi="仿宋" w:eastAsia="仿宋" w:cs="宋体"/>
          <w:color w:val="auto"/>
          <w:kern w:val="0"/>
          <w:sz w:val="32"/>
          <w:szCs w:val="32"/>
        </w:rPr>
        <w:t>总在编人数28人（与上年度一致）,其中:行政编制24人,事业编制4人。其中：公务员19人，行政工勤5人，其他事业人员4人。退休人员26人。</w:t>
      </w:r>
    </w:p>
    <w:p>
      <w:pPr>
        <w:adjustRightInd w:val="0"/>
        <w:snapToGrid w:val="0"/>
        <w:spacing w:line="560" w:lineRule="exact"/>
        <w:ind w:firstLine="642" w:firstLineChars="200"/>
        <w:rPr>
          <w:rFonts w:eastAsia="楷体_GB2312"/>
          <w:b/>
          <w:bCs/>
          <w:color w:val="auto"/>
          <w:kern w:val="0"/>
          <w:sz w:val="32"/>
          <w:szCs w:val="32"/>
        </w:rPr>
      </w:pPr>
      <w:r>
        <w:rPr>
          <w:rFonts w:hint="eastAsia" w:eastAsia="楷体_GB2312"/>
          <w:b/>
          <w:bCs/>
          <w:color w:val="auto"/>
          <w:kern w:val="0"/>
          <w:sz w:val="32"/>
          <w:szCs w:val="32"/>
        </w:rPr>
        <w:t>（二）</w:t>
      </w:r>
      <w:r>
        <w:rPr>
          <w:rFonts w:eastAsia="楷体_GB2312"/>
          <w:b/>
          <w:bCs/>
          <w:color w:val="auto"/>
          <w:kern w:val="0"/>
          <w:sz w:val="32"/>
          <w:szCs w:val="32"/>
        </w:rPr>
        <w:t>机构职能：</w:t>
      </w:r>
    </w:p>
    <w:p>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1.负责政协</w:t>
      </w:r>
      <w:r>
        <w:rPr>
          <w:rFonts w:hint="eastAsia" w:ascii="仿宋_GB2312" w:hAnsi="仿宋_GB2312" w:eastAsia="仿宋_GB2312" w:cs="仿宋_GB2312"/>
          <w:color w:val="auto"/>
          <w:sz w:val="32"/>
          <w:szCs w:val="32"/>
          <w:lang w:eastAsia="zh-CN"/>
        </w:rPr>
        <w:t>壤塘</w:t>
      </w:r>
      <w:r>
        <w:rPr>
          <w:rFonts w:ascii="仿宋_GB2312" w:hAnsi="仿宋_GB2312" w:eastAsia="仿宋_GB2312" w:cs="仿宋_GB2312"/>
          <w:color w:val="auto"/>
          <w:sz w:val="32"/>
          <w:szCs w:val="32"/>
        </w:rPr>
        <w:t>县委员会全体</w:t>
      </w:r>
      <w:r>
        <w:rPr>
          <w:rFonts w:hint="eastAsia" w:ascii="仿宋_GB2312" w:hAnsi="仿宋_GB2312" w:eastAsia="仿宋_GB2312" w:cs="仿宋_GB2312"/>
          <w:color w:val="auto"/>
          <w:sz w:val="32"/>
          <w:szCs w:val="32"/>
        </w:rPr>
        <w:t>会议</w:t>
      </w:r>
      <w:r>
        <w:rPr>
          <w:rFonts w:ascii="仿宋_GB2312" w:hAnsi="仿宋_GB2312" w:eastAsia="仿宋_GB2312" w:cs="仿宋_GB2312"/>
          <w:color w:val="auto"/>
          <w:sz w:val="32"/>
          <w:szCs w:val="32"/>
        </w:rPr>
        <w:t>,常委会议、主席会议和</w:t>
      </w:r>
      <w:r>
        <w:rPr>
          <w:rFonts w:hint="eastAsia" w:ascii="仿宋_GB2312" w:hAnsi="仿宋_GB2312" w:eastAsia="仿宋_GB2312" w:cs="仿宋_GB2312"/>
          <w:color w:val="auto"/>
          <w:sz w:val="32"/>
          <w:szCs w:val="32"/>
          <w:lang w:eastAsia="zh-CN"/>
        </w:rPr>
        <w:t>其他</w:t>
      </w:r>
      <w:r>
        <w:rPr>
          <w:rFonts w:ascii="仿宋_GB2312" w:hAnsi="仿宋_GB2312" w:eastAsia="仿宋_GB2312" w:cs="仿宋_GB2312"/>
          <w:color w:val="auto"/>
          <w:sz w:val="32"/>
          <w:szCs w:val="32"/>
        </w:rPr>
        <w:t>会议的会务工作;</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2.</w:t>
      </w:r>
      <w:r>
        <w:rPr>
          <w:rFonts w:ascii="仿宋_GB2312" w:hAnsi="仿宋_GB2312" w:eastAsia="仿宋_GB2312" w:cs="仿宋_GB2312"/>
          <w:color w:val="auto"/>
          <w:sz w:val="32"/>
          <w:szCs w:val="32"/>
        </w:rPr>
        <w:t>组织实施政协壤塘县委员会全体会议,常委会议主席会议的决定、决议;</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3.负责</w:t>
      </w:r>
      <w:r>
        <w:rPr>
          <w:rFonts w:ascii="仿宋_GB2312" w:hAnsi="仿宋_GB2312" w:eastAsia="仿宋_GB2312" w:cs="仿宋_GB2312"/>
          <w:color w:val="auto"/>
          <w:sz w:val="32"/>
          <w:szCs w:val="32"/>
        </w:rPr>
        <w:t>委员视察、</w:t>
      </w:r>
      <w:r>
        <w:rPr>
          <w:rFonts w:hint="eastAsia" w:ascii="仿宋_GB2312" w:hAnsi="仿宋_GB2312" w:eastAsia="仿宋_GB2312" w:cs="仿宋_GB2312"/>
          <w:color w:val="auto"/>
          <w:sz w:val="32"/>
          <w:szCs w:val="32"/>
        </w:rPr>
        <w:t>参政</w:t>
      </w:r>
      <w:r>
        <w:rPr>
          <w:rFonts w:ascii="仿宋_GB2312" w:hAnsi="仿宋_GB2312" w:eastAsia="仿宋_GB2312" w:cs="仿宋_GB2312"/>
          <w:color w:val="auto"/>
          <w:sz w:val="32"/>
          <w:szCs w:val="32"/>
        </w:rPr>
        <w:t>、调查、座谈、研讨等日常活动,负责县政协各种重要活动的筹备、联络、服务、宣传等工作;</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4.</w:t>
      </w:r>
      <w:r>
        <w:rPr>
          <w:rFonts w:ascii="仿宋_GB2312" w:hAnsi="仿宋_GB2312" w:eastAsia="仿宋_GB2312" w:cs="仿宋_GB2312"/>
          <w:color w:val="auto"/>
          <w:sz w:val="32"/>
          <w:szCs w:val="32"/>
        </w:rPr>
        <w:t>研究统一战线和人民政协理论,研究总结政协工作,</w:t>
      </w:r>
      <w:r>
        <w:rPr>
          <w:rFonts w:hint="eastAsia" w:ascii="仿宋_GB2312" w:hAnsi="仿宋_GB2312" w:eastAsia="仿宋_GB2312" w:cs="仿宋_GB2312"/>
          <w:color w:val="auto"/>
          <w:sz w:val="32"/>
          <w:szCs w:val="32"/>
        </w:rPr>
        <w:t>发挥</w:t>
      </w:r>
      <w:r>
        <w:rPr>
          <w:rFonts w:ascii="仿宋_GB2312" w:hAnsi="仿宋_GB2312" w:eastAsia="仿宋_GB2312" w:cs="仿宋_GB2312"/>
          <w:color w:val="auto"/>
          <w:sz w:val="32"/>
          <w:szCs w:val="32"/>
        </w:rPr>
        <w:t>好参谋助手作用;</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5.负责</w:t>
      </w:r>
      <w:r>
        <w:rPr>
          <w:rFonts w:ascii="仿宋_GB2312" w:hAnsi="仿宋_GB2312" w:eastAsia="仿宋_GB2312" w:cs="仿宋_GB2312"/>
          <w:color w:val="auto"/>
          <w:sz w:val="32"/>
          <w:szCs w:val="32"/>
        </w:rPr>
        <w:t>政协的对内外宣传,收集反映社情民意;</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6.</w:t>
      </w:r>
      <w:r>
        <w:rPr>
          <w:rFonts w:ascii="仿宋_GB2312" w:hAnsi="仿宋_GB2312" w:eastAsia="仿宋_GB2312" w:cs="仿宋_GB2312"/>
          <w:color w:val="auto"/>
          <w:sz w:val="32"/>
          <w:szCs w:val="32"/>
        </w:rPr>
        <w:t>密切与县委、人大、政府及相关部门的对口联系,协调工作,加强与对口界别委员联系,搞好联系委员工作;</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7.</w:t>
      </w:r>
      <w:r>
        <w:rPr>
          <w:rFonts w:ascii="仿宋_GB2312" w:hAnsi="仿宋_GB2312" w:eastAsia="仿宋_GB2312" w:cs="仿宋_GB2312"/>
          <w:color w:val="auto"/>
          <w:sz w:val="32"/>
          <w:szCs w:val="32"/>
        </w:rPr>
        <w:t>负责机关文电处理、文书档案、文印、通讯、机要保密,安全保卫工作,负责机关接待联络工作;</w:t>
      </w:r>
      <w:r>
        <w:rPr>
          <w:rFonts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8.</w:t>
      </w:r>
      <w:r>
        <w:rPr>
          <w:rFonts w:ascii="仿宋_GB2312" w:hAnsi="仿宋_GB2312" w:eastAsia="仿宋_GB2312" w:cs="仿宋_GB2312"/>
          <w:color w:val="auto"/>
          <w:sz w:val="32"/>
          <w:szCs w:val="32"/>
        </w:rPr>
        <w:t>完成全委会议、常委会议、主席会议交办的</w:t>
      </w:r>
      <w:r>
        <w:rPr>
          <w:rFonts w:hint="eastAsia" w:ascii="仿宋_GB2312" w:hAnsi="仿宋_GB2312" w:eastAsia="仿宋_GB2312" w:cs="仿宋_GB2312"/>
          <w:color w:val="auto"/>
          <w:sz w:val="32"/>
          <w:szCs w:val="32"/>
          <w:lang w:eastAsia="zh-CN"/>
        </w:rPr>
        <w:t>其他</w:t>
      </w:r>
      <w:r>
        <w:rPr>
          <w:rFonts w:ascii="仿宋_GB2312" w:hAnsi="仿宋_GB2312" w:eastAsia="仿宋_GB2312" w:cs="仿宋_GB2312"/>
          <w:color w:val="auto"/>
          <w:sz w:val="32"/>
          <w:szCs w:val="32"/>
        </w:rPr>
        <w:t>事项,承担县委安排和</w:t>
      </w:r>
      <w:r>
        <w:rPr>
          <w:rFonts w:ascii="仿宋_GB2312" w:hAnsi="仿宋_GB2312" w:eastAsia="仿宋_GB2312" w:cs="仿宋_GB2312"/>
          <w:color w:val="auto"/>
          <w:sz w:val="32"/>
          <w:szCs w:val="32"/>
        </w:rPr>
        <w:t>政府</w:t>
      </w:r>
      <w:r>
        <w:rPr>
          <w:rFonts w:ascii="仿宋_GB2312" w:hAnsi="仿宋_GB2312" w:eastAsia="仿宋_GB2312" w:cs="仿宋_GB2312"/>
          <w:color w:val="auto"/>
          <w:sz w:val="32"/>
          <w:szCs w:val="32"/>
        </w:rPr>
        <w:t>委托的</w:t>
      </w:r>
      <w:r>
        <w:rPr>
          <w:rFonts w:hint="eastAsia" w:ascii="仿宋_GB2312" w:hAnsi="仿宋_GB2312" w:eastAsia="仿宋_GB2312" w:cs="仿宋_GB2312"/>
          <w:color w:val="auto"/>
          <w:sz w:val="32"/>
          <w:szCs w:val="32"/>
          <w:lang w:eastAsia="zh-CN"/>
        </w:rPr>
        <w:t>其他</w:t>
      </w:r>
      <w:r>
        <w:rPr>
          <w:rFonts w:ascii="仿宋_GB2312" w:hAnsi="仿宋_GB2312" w:eastAsia="仿宋_GB2312" w:cs="仿宋_GB2312"/>
          <w:color w:val="auto"/>
          <w:sz w:val="32"/>
          <w:szCs w:val="32"/>
        </w:rPr>
        <w:t>事项。</w:t>
      </w:r>
    </w:p>
    <w:p>
      <w:pPr>
        <w:widowControl/>
        <w:adjustRightInd w:val="0"/>
        <w:snapToGrid w:val="0"/>
        <w:spacing w:line="560" w:lineRule="exact"/>
        <w:ind w:firstLine="420" w:firstLineChars="200"/>
        <w:contextualSpacing/>
        <w:jc w:val="left"/>
        <w:rPr>
          <w:rFonts w:ascii="仿宋_GB2312" w:hAnsi="宋体" w:cs="宋体"/>
          <w:color w:val="auto"/>
          <w:kern w:val="0"/>
          <w:szCs w:val="32"/>
          <w:shd w:val="clear" w:color="auto" w:fill="FFFFFF"/>
          <w:lang w:val="zh-CN"/>
        </w:rPr>
      </w:pPr>
      <w:r>
        <w:rPr>
          <w:rFonts w:hint="eastAsia" w:ascii="仿宋_GB2312" w:hAnsi="宋体" w:cs="宋体"/>
          <w:color w:val="auto"/>
          <w:kern w:val="0"/>
          <w:szCs w:val="32"/>
          <w:shd w:val="clear" w:color="auto" w:fill="FFFFFF"/>
          <w:lang w:val="zh-CN"/>
        </w:rPr>
        <w:t>（三）人员概况</w:t>
      </w:r>
    </w:p>
    <w:p>
      <w:pPr>
        <w:spacing w:line="560" w:lineRule="exact"/>
        <w:ind w:firstLine="640" w:firstLineChars="200"/>
        <w:rPr>
          <w:rFonts w:ascii="仿宋_GB2312" w:hAnsi="宋体" w:cs="宋体"/>
          <w:color w:val="auto"/>
          <w:kern w:val="0"/>
          <w:szCs w:val="32"/>
          <w:shd w:val="clear" w:color="auto" w:fill="FFFFFF"/>
          <w:lang w:val="zh-CN"/>
        </w:rPr>
      </w:pPr>
      <w:r>
        <w:rPr>
          <w:rFonts w:hint="eastAsia" w:ascii="仿宋_GB2312" w:hAnsi="宋体" w:eastAsia="仿宋_GB2312"/>
          <w:color w:val="auto"/>
          <w:sz w:val="32"/>
          <w:szCs w:val="32"/>
        </w:rPr>
        <w:t xml:space="preserve">总编制 </w:t>
      </w:r>
      <w:r>
        <w:rPr>
          <w:rFonts w:hint="eastAsia" w:ascii="仿宋_GB2312" w:hAnsi="宋体"/>
          <w:color w:val="auto"/>
          <w:sz w:val="32"/>
          <w:szCs w:val="32"/>
        </w:rPr>
        <w:t>28</w:t>
      </w:r>
      <w:r>
        <w:rPr>
          <w:rFonts w:hint="eastAsia" w:ascii="仿宋_GB2312" w:hAnsi="宋体" w:eastAsia="仿宋_GB2312"/>
          <w:color w:val="auto"/>
          <w:sz w:val="32"/>
          <w:szCs w:val="32"/>
        </w:rPr>
        <w:t xml:space="preserve">名,其中:行政编制 </w:t>
      </w:r>
      <w:r>
        <w:rPr>
          <w:rFonts w:hint="eastAsia" w:ascii="仿宋_GB2312" w:hAnsi="宋体"/>
          <w:color w:val="auto"/>
          <w:sz w:val="32"/>
          <w:szCs w:val="32"/>
        </w:rPr>
        <w:t>24</w:t>
      </w:r>
      <w:r>
        <w:rPr>
          <w:rFonts w:hint="eastAsia" w:ascii="仿宋_GB2312" w:hAnsi="宋体" w:eastAsia="仿宋_GB2312"/>
          <w:color w:val="auto"/>
          <w:sz w:val="32"/>
          <w:szCs w:val="32"/>
        </w:rPr>
        <w:t xml:space="preserve"> 名</w:t>
      </w:r>
      <w:r>
        <w:rPr>
          <w:rFonts w:hint="eastAsia" w:ascii="仿宋_GB2312" w:hAnsi="宋体"/>
          <w:color w:val="auto"/>
          <w:sz w:val="32"/>
          <w:szCs w:val="32"/>
        </w:rPr>
        <w:t>,事业编制4名</w:t>
      </w:r>
      <w:r>
        <w:rPr>
          <w:rFonts w:hint="eastAsia" w:ascii="仿宋_GB2312" w:hAnsi="宋体" w:eastAsia="仿宋_GB2312"/>
          <w:color w:val="auto"/>
          <w:sz w:val="32"/>
          <w:szCs w:val="32"/>
        </w:rPr>
        <w:t>。在职人员总数</w:t>
      </w:r>
      <w:r>
        <w:rPr>
          <w:rFonts w:hint="eastAsia" w:ascii="仿宋_GB2312" w:hAnsi="宋体"/>
          <w:color w:val="auto"/>
          <w:sz w:val="32"/>
          <w:szCs w:val="32"/>
        </w:rPr>
        <w:t>28</w:t>
      </w:r>
      <w:r>
        <w:rPr>
          <w:rFonts w:hint="eastAsia" w:ascii="仿宋_GB2312" w:hAnsi="宋体" w:eastAsia="仿宋_GB2312"/>
          <w:color w:val="auto"/>
          <w:sz w:val="32"/>
          <w:szCs w:val="32"/>
        </w:rPr>
        <w:t>名，其中：行政人员</w:t>
      </w:r>
      <w:r>
        <w:rPr>
          <w:rFonts w:hint="eastAsia" w:ascii="仿宋_GB2312" w:hAnsi="宋体"/>
          <w:color w:val="auto"/>
          <w:sz w:val="32"/>
          <w:szCs w:val="32"/>
        </w:rPr>
        <w:t>24</w:t>
      </w:r>
      <w:r>
        <w:rPr>
          <w:rFonts w:hint="eastAsia" w:ascii="仿宋_GB2312" w:hAnsi="宋体" w:eastAsia="仿宋_GB2312"/>
          <w:color w:val="auto"/>
          <w:sz w:val="32"/>
          <w:szCs w:val="32"/>
        </w:rPr>
        <w:t>名（其中行政工勤</w:t>
      </w:r>
      <w:r>
        <w:rPr>
          <w:rFonts w:hint="eastAsia" w:ascii="仿宋_GB2312" w:hAnsi="宋体"/>
          <w:color w:val="auto"/>
          <w:sz w:val="32"/>
          <w:szCs w:val="32"/>
        </w:rPr>
        <w:t>5</w:t>
      </w:r>
      <w:r>
        <w:rPr>
          <w:rFonts w:hint="eastAsia" w:ascii="仿宋_GB2312" w:hAnsi="宋体" w:eastAsia="仿宋_GB2312"/>
          <w:color w:val="auto"/>
          <w:sz w:val="32"/>
          <w:szCs w:val="32"/>
        </w:rPr>
        <w:t>名），事业人员</w:t>
      </w:r>
      <w:r>
        <w:rPr>
          <w:rFonts w:hint="eastAsia" w:ascii="仿宋_GB2312" w:hAnsi="宋体"/>
          <w:color w:val="auto"/>
          <w:sz w:val="32"/>
          <w:szCs w:val="32"/>
        </w:rPr>
        <w:t>4</w:t>
      </w:r>
      <w:r>
        <w:rPr>
          <w:rFonts w:hint="eastAsia" w:ascii="仿宋_GB2312" w:hAnsi="宋体" w:eastAsia="仿宋_GB2312"/>
          <w:color w:val="auto"/>
          <w:sz w:val="32"/>
          <w:szCs w:val="32"/>
        </w:rPr>
        <w:t>名；退休人员2</w:t>
      </w:r>
      <w:r>
        <w:rPr>
          <w:rFonts w:hint="eastAsia" w:ascii="仿宋_GB2312" w:hAnsi="宋体"/>
          <w:color w:val="auto"/>
          <w:sz w:val="32"/>
          <w:szCs w:val="32"/>
        </w:rPr>
        <w:t>7</w:t>
      </w:r>
      <w:r>
        <w:rPr>
          <w:rFonts w:hint="eastAsia" w:ascii="仿宋_GB2312" w:hAnsi="宋体" w:eastAsia="仿宋_GB2312"/>
          <w:color w:val="auto"/>
          <w:sz w:val="32"/>
          <w:szCs w:val="32"/>
        </w:rPr>
        <w:t>人已全部交机保机构。</w:t>
      </w:r>
    </w:p>
    <w:p>
      <w:pPr>
        <w:widowControl/>
        <w:adjustRightInd w:val="0"/>
        <w:snapToGrid w:val="0"/>
        <w:spacing w:line="56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二、部门财政资金收支情况</w:t>
      </w:r>
    </w:p>
    <w:p>
      <w:pPr>
        <w:widowControl/>
        <w:adjustRightInd w:val="0"/>
        <w:snapToGrid w:val="0"/>
        <w:spacing w:line="560" w:lineRule="exact"/>
        <w:ind w:firstLine="640" w:firstLineChars="200"/>
        <w:contextualSpacing/>
        <w:jc w:val="left"/>
        <w:rPr>
          <w:rFonts w:ascii="仿宋_GB2312" w:hAnsi="宋体" w:cs="宋体"/>
          <w:color w:val="auto"/>
          <w:kern w:val="0"/>
          <w:sz w:val="32"/>
          <w:szCs w:val="32"/>
          <w:shd w:val="clear" w:color="auto" w:fill="FFFFFF"/>
          <w:lang w:val="zh-CN"/>
        </w:rPr>
      </w:pPr>
      <w:r>
        <w:rPr>
          <w:rFonts w:hint="eastAsia" w:ascii="仿宋_GB2312" w:hAnsi="宋体" w:cs="宋体"/>
          <w:color w:val="auto"/>
          <w:kern w:val="0"/>
          <w:sz w:val="32"/>
          <w:szCs w:val="32"/>
          <w:shd w:val="clear" w:color="auto" w:fill="FFFFFF"/>
          <w:lang w:val="zh-CN"/>
        </w:rPr>
        <w:t>（一）部门财政资金预算情况</w:t>
      </w:r>
    </w:p>
    <w:p>
      <w:pPr>
        <w:pStyle w:val="33"/>
        <w:ind w:firstLine="640"/>
        <w:rPr>
          <w:color w:val="auto"/>
          <w:lang w:val="zh-CN"/>
        </w:rPr>
      </w:pPr>
      <w:r>
        <w:rPr>
          <w:rFonts w:hint="eastAsia" w:ascii="仿宋_GB2312" w:hAnsi="仿宋_GB2312" w:eastAsia="仿宋_GB2312" w:cs="仿宋_GB2312"/>
          <w:color w:val="auto"/>
          <w:sz w:val="32"/>
          <w:szCs w:val="32"/>
        </w:rPr>
        <w:t>2021年年初预算收入717.20万元，2020年预算收入692.00</w:t>
      </w:r>
      <w:r>
        <w:rPr>
          <w:rFonts w:hint="eastAsia" w:ascii="仿宋_GB2312" w:eastAsia="仿宋_GB2312" w:cs="仿宋_GB2312"/>
          <w:color w:val="auto"/>
          <w:sz w:val="32"/>
          <w:szCs w:val="32"/>
        </w:rPr>
        <w:t>万</w:t>
      </w:r>
      <w:r>
        <w:rPr>
          <w:rFonts w:hint="eastAsia" w:ascii="仿宋_GB2312" w:hAnsi="仿宋_GB2312" w:eastAsia="仿宋_GB2312" w:cs="仿宋_GB2312"/>
          <w:color w:val="auto"/>
          <w:sz w:val="32"/>
          <w:szCs w:val="32"/>
        </w:rPr>
        <w:t>元，比上年增加3.61%。</w:t>
      </w:r>
    </w:p>
    <w:p>
      <w:pPr>
        <w:widowControl/>
        <w:numPr>
          <w:ilvl w:val="0"/>
          <w:numId w:val="5"/>
        </w:numPr>
        <w:adjustRightInd w:val="0"/>
        <w:snapToGrid w:val="0"/>
        <w:spacing w:line="560" w:lineRule="exact"/>
        <w:ind w:firstLine="640" w:firstLineChars="200"/>
        <w:contextualSpacing/>
        <w:jc w:val="left"/>
        <w:rPr>
          <w:rFonts w:ascii="仿宋_GB2312" w:hAnsi="宋体" w:cs="宋体"/>
          <w:color w:val="auto"/>
          <w:kern w:val="0"/>
          <w:sz w:val="32"/>
          <w:szCs w:val="32"/>
          <w:shd w:val="clear" w:color="auto" w:fill="FFFFFF"/>
          <w:lang w:val="zh-CN"/>
        </w:rPr>
      </w:pPr>
      <w:r>
        <w:rPr>
          <w:rFonts w:hint="eastAsia" w:ascii="仿宋_GB2312" w:hAnsi="宋体" w:cs="宋体"/>
          <w:color w:val="auto"/>
          <w:kern w:val="0"/>
          <w:sz w:val="32"/>
          <w:szCs w:val="32"/>
          <w:shd w:val="clear" w:color="auto" w:fill="FFFFFF"/>
          <w:lang w:val="zh-CN"/>
        </w:rPr>
        <w:t>部门财政资金支出情况</w:t>
      </w:r>
    </w:p>
    <w:p>
      <w:pPr>
        <w:ind w:firstLine="640" w:firstLineChars="200"/>
        <w:rPr>
          <w:color w:val="auto"/>
        </w:rPr>
      </w:pPr>
      <w:r>
        <w:rPr>
          <w:rFonts w:ascii="仿宋" w:hAnsi="仿宋" w:eastAsia="仿宋"/>
          <w:color w:val="auto"/>
          <w:sz w:val="32"/>
          <w:szCs w:val="32"/>
        </w:rPr>
        <w:t>20</w:t>
      </w:r>
      <w:r>
        <w:rPr>
          <w:rFonts w:hint="eastAsia" w:ascii="仿宋" w:hAnsi="仿宋" w:eastAsia="仿宋"/>
          <w:color w:val="auto"/>
          <w:sz w:val="32"/>
          <w:szCs w:val="32"/>
        </w:rPr>
        <w:t>21年一般公共预算财政拨款支出(3)1024.64万元，主要用于以下方面:一般公共服务支出846.44万元，占82.61%；社会保障和就业支出93.78万元，占9.15%；医疗卫生支出32.14万元，占3.14%；住房保障支出52.26万元，占5.1%。</w:t>
      </w:r>
    </w:p>
    <w:p>
      <w:pPr>
        <w:widowControl/>
        <w:adjustRightInd w:val="0"/>
        <w:snapToGrid w:val="0"/>
        <w:spacing w:line="56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三、部门整体预算绩效管理情况</w:t>
      </w:r>
    </w:p>
    <w:p>
      <w:pPr>
        <w:adjustRightInd w:val="0"/>
        <w:snapToGrid w:val="0"/>
        <w:spacing w:line="560" w:lineRule="exact"/>
        <w:ind w:firstLine="642" w:firstLineChars="200"/>
        <w:rPr>
          <w:rFonts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（一）预算编制情况</w:t>
      </w:r>
    </w:p>
    <w:p>
      <w:pPr>
        <w:adjustRightInd w:val="0"/>
        <w:snapToGrid w:val="0"/>
        <w:spacing w:line="560" w:lineRule="exact"/>
        <w:ind w:firstLine="640" w:firstLineChars="200"/>
        <w:rPr>
          <w:rFonts w:eastAsia="仿宋_GB2312"/>
          <w:color w:val="auto"/>
          <w:sz w:val="32"/>
          <w:szCs w:val="32"/>
        </w:rPr>
      </w:pPr>
      <w:r>
        <w:rPr>
          <w:rFonts w:eastAsia="仿宋_GB2312"/>
          <w:color w:val="auto"/>
          <w:sz w:val="32"/>
          <w:szCs w:val="32"/>
        </w:rPr>
        <w:t>20</w:t>
      </w:r>
      <w:r>
        <w:rPr>
          <w:rFonts w:hint="eastAsia"/>
          <w:color w:val="auto"/>
          <w:sz w:val="32"/>
          <w:szCs w:val="32"/>
        </w:rPr>
        <w:t>21</w:t>
      </w:r>
      <w:r>
        <w:rPr>
          <w:rFonts w:eastAsia="仿宋_GB2312"/>
          <w:color w:val="auto"/>
          <w:sz w:val="32"/>
          <w:szCs w:val="32"/>
        </w:rPr>
        <w:t>年财政下达壤塘县</w:t>
      </w:r>
      <w:r>
        <w:rPr>
          <w:rFonts w:hint="eastAsia"/>
          <w:color w:val="auto"/>
          <w:sz w:val="32"/>
          <w:szCs w:val="32"/>
        </w:rPr>
        <w:t>政协</w:t>
      </w:r>
      <w:r>
        <w:rPr>
          <w:rFonts w:eastAsia="仿宋_GB2312"/>
          <w:color w:val="auto"/>
          <w:sz w:val="32"/>
          <w:szCs w:val="32"/>
        </w:rPr>
        <w:t>办年初预算收入</w:t>
      </w:r>
      <w:r>
        <w:rPr>
          <w:rFonts w:hint="eastAsia"/>
          <w:color w:val="auto"/>
          <w:sz w:val="32"/>
          <w:szCs w:val="32"/>
        </w:rPr>
        <w:t>717.20万</w:t>
      </w:r>
      <w:r>
        <w:rPr>
          <w:rFonts w:eastAsia="仿宋_GB2312"/>
          <w:color w:val="auto"/>
          <w:sz w:val="32"/>
          <w:szCs w:val="32"/>
        </w:rPr>
        <w:t>元，</w:t>
      </w:r>
      <w:r>
        <w:rPr>
          <w:rFonts w:hint="eastAsia"/>
          <w:color w:val="auto"/>
          <w:sz w:val="32"/>
          <w:szCs w:val="32"/>
        </w:rPr>
        <w:t>决算数为1024.64</w:t>
      </w:r>
      <w:r>
        <w:rPr>
          <w:rFonts w:eastAsia="仿宋_GB2312"/>
          <w:color w:val="auto"/>
          <w:sz w:val="32"/>
          <w:szCs w:val="32"/>
        </w:rPr>
        <w:t>万元</w:t>
      </w:r>
      <w:r>
        <w:rPr>
          <w:rFonts w:hint="eastAsia"/>
          <w:color w:val="auto"/>
          <w:sz w:val="32"/>
          <w:szCs w:val="32"/>
        </w:rPr>
        <w:t>，中期调整307.44万元</w:t>
      </w:r>
      <w:r>
        <w:rPr>
          <w:rFonts w:eastAsia="仿宋_GB2312"/>
          <w:color w:val="auto"/>
          <w:sz w:val="32"/>
          <w:szCs w:val="32"/>
        </w:rPr>
        <w:t xml:space="preserve">。   </w:t>
      </w:r>
    </w:p>
    <w:p>
      <w:pPr>
        <w:adjustRightInd w:val="0"/>
        <w:snapToGrid w:val="0"/>
        <w:spacing w:line="560" w:lineRule="exact"/>
        <w:ind w:firstLine="640" w:firstLineChars="200"/>
        <w:rPr>
          <w:rFonts w:eastAsia="仿宋_GB2312"/>
          <w:color w:val="auto"/>
          <w:sz w:val="32"/>
          <w:szCs w:val="32"/>
        </w:rPr>
      </w:pPr>
      <w:r>
        <w:rPr>
          <w:rFonts w:eastAsia="仿宋_GB2312"/>
          <w:color w:val="auto"/>
          <w:sz w:val="32"/>
          <w:szCs w:val="32"/>
        </w:rPr>
        <w:t>20</w:t>
      </w:r>
      <w:r>
        <w:rPr>
          <w:rFonts w:hint="eastAsia"/>
          <w:color w:val="auto"/>
          <w:sz w:val="32"/>
          <w:szCs w:val="32"/>
        </w:rPr>
        <w:t>21</w:t>
      </w:r>
      <w:r>
        <w:rPr>
          <w:rFonts w:eastAsia="仿宋_GB2312"/>
          <w:color w:val="auto"/>
          <w:sz w:val="32"/>
          <w:szCs w:val="32"/>
        </w:rPr>
        <w:t>年壤塘县</w:t>
      </w:r>
      <w:r>
        <w:rPr>
          <w:rFonts w:hint="eastAsia"/>
          <w:color w:val="auto"/>
          <w:sz w:val="32"/>
          <w:szCs w:val="32"/>
        </w:rPr>
        <w:t>政协</w:t>
      </w:r>
      <w:r>
        <w:rPr>
          <w:rFonts w:eastAsia="仿宋_GB2312"/>
          <w:color w:val="auto"/>
          <w:sz w:val="32"/>
          <w:szCs w:val="32"/>
        </w:rPr>
        <w:t>办</w:t>
      </w:r>
      <w:r>
        <w:rPr>
          <w:rFonts w:hint="eastAsia"/>
          <w:color w:val="auto"/>
          <w:sz w:val="32"/>
          <w:szCs w:val="32"/>
        </w:rPr>
        <w:t>年初</w:t>
      </w:r>
      <w:r>
        <w:rPr>
          <w:rFonts w:eastAsia="仿宋_GB2312"/>
          <w:color w:val="auto"/>
          <w:sz w:val="32"/>
          <w:szCs w:val="32"/>
        </w:rPr>
        <w:t>预算支出</w:t>
      </w:r>
      <w:r>
        <w:rPr>
          <w:rFonts w:hint="eastAsia"/>
          <w:color w:val="auto"/>
          <w:sz w:val="32"/>
          <w:szCs w:val="32"/>
        </w:rPr>
        <w:t>717.20</w:t>
      </w:r>
      <w:r>
        <w:rPr>
          <w:rFonts w:eastAsia="仿宋_GB2312"/>
          <w:color w:val="auto"/>
          <w:sz w:val="32"/>
          <w:szCs w:val="32"/>
        </w:rPr>
        <w:t>万元，基本支出</w:t>
      </w:r>
      <w:r>
        <w:rPr>
          <w:rFonts w:hint="eastAsia"/>
          <w:color w:val="auto"/>
          <w:sz w:val="32"/>
          <w:szCs w:val="32"/>
        </w:rPr>
        <w:t>615.13</w:t>
      </w:r>
      <w:r>
        <w:rPr>
          <w:rFonts w:eastAsia="仿宋_GB2312"/>
          <w:color w:val="auto"/>
          <w:sz w:val="32"/>
          <w:szCs w:val="32"/>
        </w:rPr>
        <w:t>万元，项目支出</w:t>
      </w:r>
      <w:r>
        <w:rPr>
          <w:rFonts w:hint="eastAsia"/>
          <w:color w:val="auto"/>
          <w:sz w:val="32"/>
          <w:szCs w:val="32"/>
        </w:rPr>
        <w:t>102.07</w:t>
      </w:r>
      <w:r>
        <w:rPr>
          <w:rFonts w:eastAsia="仿宋_GB2312"/>
          <w:color w:val="auto"/>
          <w:sz w:val="32"/>
          <w:szCs w:val="32"/>
        </w:rPr>
        <w:t>万元。</w:t>
      </w:r>
    </w:p>
    <w:p>
      <w:pPr>
        <w:pStyle w:val="24"/>
        <w:adjustRightInd w:val="0"/>
        <w:snapToGrid w:val="0"/>
        <w:spacing w:line="560" w:lineRule="exact"/>
        <w:ind w:left="643" w:firstLine="0" w:firstLineChars="0"/>
        <w:rPr>
          <w:rFonts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（二）结果应用情况</w:t>
      </w:r>
    </w:p>
    <w:p>
      <w:pPr>
        <w:adjustRightInd w:val="0"/>
        <w:snapToGrid w:val="0"/>
        <w:spacing w:line="560" w:lineRule="exact"/>
        <w:ind w:firstLine="642" w:firstLineChars="200"/>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1、基础管理</w:t>
      </w:r>
    </w:p>
    <w:p>
      <w:pPr>
        <w:adjustRightInd w:val="0"/>
        <w:snapToGrid w:val="0"/>
        <w:spacing w:line="560" w:lineRule="exact"/>
        <w:ind w:firstLine="640" w:firstLineChars="200"/>
        <w:rPr>
          <w:rFonts w:ascii="楷体_GB2312" w:hAnsi="楷体_GB2312" w:eastAsia="楷体_GB2312" w:cs="楷体_GB2312"/>
          <w:b/>
          <w:bCs/>
          <w:color w:val="auto"/>
          <w:kern w:val="0"/>
          <w:sz w:val="32"/>
          <w:szCs w:val="32"/>
        </w:rPr>
      </w:pPr>
      <w:r>
        <w:rPr>
          <w:rFonts w:hint="eastAsia" w:eastAsia="仿宋_GB2312"/>
          <w:color w:val="auto"/>
          <w:sz w:val="32"/>
          <w:szCs w:val="32"/>
        </w:rPr>
        <w:t>我办不断强化预算意识，实行综合预算管理，形成以单位领导支持、财务室牵头、其他委室密切配合的工作格局，</w:t>
      </w:r>
      <w:r>
        <w:rPr>
          <w:rFonts w:hint="eastAsia"/>
          <w:color w:val="auto"/>
          <w:sz w:val="32"/>
          <w:szCs w:val="32"/>
        </w:rPr>
        <w:t>确</w:t>
      </w:r>
      <w:r>
        <w:rPr>
          <w:rFonts w:hint="eastAsia" w:eastAsia="仿宋_GB2312"/>
          <w:color w:val="auto"/>
          <w:sz w:val="32"/>
          <w:szCs w:val="32"/>
        </w:rPr>
        <w:t>保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w:t>
      </w:r>
      <w:r>
        <w:rPr>
          <w:rFonts w:hint="eastAsia"/>
          <w:color w:val="auto"/>
          <w:sz w:val="32"/>
          <w:szCs w:val="32"/>
        </w:rPr>
        <w:t>委</w:t>
      </w:r>
      <w:r>
        <w:rPr>
          <w:rFonts w:hint="eastAsia" w:eastAsia="仿宋_GB2312"/>
          <w:color w:val="auto"/>
          <w:sz w:val="32"/>
          <w:szCs w:val="32"/>
        </w:rPr>
        <w:t>室进行反馈，以采取措施纠正执行偏差，促进预算目标的全面完成。健全完善部门内控制度，全面梳理业务流程，明确业务环节，分析风险隐患，完善风险评估机制，制定风险应对策略</w:t>
      </w:r>
      <w:r>
        <w:rPr>
          <w:rFonts w:eastAsia="仿宋_GB2312"/>
          <w:color w:val="auto"/>
          <w:sz w:val="32"/>
          <w:szCs w:val="32"/>
        </w:rPr>
        <w:t>;</w:t>
      </w:r>
      <w:r>
        <w:rPr>
          <w:rFonts w:hint="eastAsia" w:eastAsia="仿宋_GB2312"/>
          <w:color w:val="auto"/>
          <w:sz w:val="32"/>
          <w:szCs w:val="32"/>
        </w:rPr>
        <w:t>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r>
        <w:rPr>
          <w:rFonts w:eastAsia="仿宋_GB2312"/>
          <w:color w:val="auto"/>
          <w:sz w:val="32"/>
          <w:szCs w:val="32"/>
        </w:rPr>
        <w:br w:type="textWrapping"/>
      </w:r>
      <w:r>
        <w:rPr>
          <w:rFonts w:hint="eastAsia" w:ascii="楷体_GB2312" w:hAnsi="楷体_GB2312" w:eastAsia="楷体_GB2312" w:cs="楷体_GB2312"/>
          <w:b/>
          <w:bCs/>
          <w:color w:val="auto"/>
          <w:kern w:val="0"/>
          <w:sz w:val="32"/>
          <w:szCs w:val="32"/>
        </w:rPr>
        <w:t xml:space="preserve">   2、行政成本</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“三公”经费支出情况：本年度支出</w:t>
      </w:r>
      <w:r>
        <w:rPr>
          <w:rFonts w:hint="eastAsia" w:ascii="仿宋_GB2312" w:hAnsi="仿宋"/>
          <w:color w:val="auto"/>
          <w:sz w:val="32"/>
          <w:szCs w:val="32"/>
        </w:rPr>
        <w:t>97.11</w:t>
      </w:r>
      <w:r>
        <w:rPr>
          <w:rFonts w:hint="eastAsia" w:ascii="仿宋_GB2312" w:hAnsi="仿宋" w:eastAsia="仿宋_GB2312"/>
          <w:color w:val="auto"/>
          <w:sz w:val="32"/>
          <w:szCs w:val="32"/>
        </w:rPr>
        <w:t>万元，</w:t>
      </w:r>
      <w:r>
        <w:rPr>
          <w:rFonts w:hint="eastAsia" w:ascii="仿宋_GB2312" w:hAnsi="仿宋_GB2312" w:eastAsia="仿宋_GB2312" w:cs="仿宋_GB2312"/>
          <w:color w:val="auto"/>
          <w:sz w:val="32"/>
          <w:szCs w:val="32"/>
        </w:rPr>
        <w:t>（其中公务用车购置及运行维护费为</w:t>
      </w:r>
      <w:r>
        <w:rPr>
          <w:rFonts w:hint="eastAsia" w:ascii="仿宋_GB2312" w:hAnsi="仿宋"/>
          <w:color w:val="auto"/>
          <w:sz w:val="32"/>
          <w:szCs w:val="32"/>
        </w:rPr>
        <w:t>47.51</w:t>
      </w:r>
      <w:r>
        <w:rPr>
          <w:rFonts w:ascii="仿宋_GB2312" w:hAnsi="仿宋" w:eastAsia="仿宋_GB2312"/>
          <w:color w:val="auto"/>
          <w:sz w:val="32"/>
          <w:szCs w:val="32"/>
        </w:rPr>
        <w:t>万</w:t>
      </w:r>
      <w:r>
        <w:rPr>
          <w:rFonts w:hint="eastAsia" w:ascii="仿宋_GB2312" w:hAnsi="仿宋_GB2312" w:eastAsia="仿宋_GB2312" w:cs="仿宋_GB2312"/>
          <w:color w:val="auto"/>
          <w:sz w:val="32"/>
          <w:szCs w:val="32"/>
        </w:rPr>
        <w:t>元</w:t>
      </w:r>
      <w:r>
        <w:rPr>
          <w:rFonts w:hint="eastAsia" w:ascii="仿宋_GB2312" w:hAnsi="仿宋_GB2312" w:cs="仿宋_GB2312"/>
          <w:color w:val="auto"/>
          <w:sz w:val="32"/>
          <w:szCs w:val="32"/>
        </w:rPr>
        <w:t>，公车购置49.60万元</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除去公车购置，比上年度减少2.49万元。</w:t>
      </w:r>
    </w:p>
    <w:p>
      <w:pPr>
        <w:pStyle w:val="33"/>
        <w:adjustRightInd w:val="0"/>
        <w:snapToGrid w:val="0"/>
        <w:spacing w:line="560" w:lineRule="exact"/>
        <w:ind w:firstLine="643"/>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3、</w:t>
      </w:r>
      <w:r>
        <w:rPr>
          <w:rFonts w:ascii="楷体_GB2312" w:hAnsi="楷体_GB2312" w:eastAsia="楷体_GB2312" w:cs="楷体_GB2312"/>
          <w:b/>
          <w:bCs/>
          <w:color w:val="auto"/>
          <w:kern w:val="0"/>
          <w:sz w:val="32"/>
          <w:szCs w:val="32"/>
        </w:rPr>
        <w:t xml:space="preserve">资产管理 </w:t>
      </w:r>
    </w:p>
    <w:p>
      <w:pPr>
        <w:adjustRightInd w:val="0"/>
        <w:snapToGrid w:val="0"/>
        <w:spacing w:line="560" w:lineRule="exact"/>
        <w:ind w:firstLine="642" w:firstLineChars="200"/>
        <w:rPr>
          <w:rFonts w:eastAsia="仿宋_GB2312"/>
          <w:color w:val="auto"/>
          <w:sz w:val="32"/>
          <w:szCs w:val="32"/>
        </w:rPr>
      </w:pPr>
      <w:r>
        <w:rPr>
          <w:rFonts w:ascii="仿宋_GB2312" w:hAnsi="仿宋_GB2312" w:eastAsia="仿宋_GB2312" w:cs="仿宋_GB2312"/>
          <w:b/>
          <w:bCs/>
          <w:color w:val="auto"/>
          <w:sz w:val="32"/>
          <w:szCs w:val="32"/>
        </w:rPr>
        <w:t>固定资产在用率。</w:t>
      </w:r>
      <w:r>
        <w:rPr>
          <w:rFonts w:eastAsia="仿宋_GB2312"/>
          <w:color w:val="auto"/>
          <w:sz w:val="32"/>
          <w:szCs w:val="32"/>
        </w:rPr>
        <w:t>截止20</w:t>
      </w:r>
      <w:r>
        <w:rPr>
          <w:rFonts w:hint="eastAsia"/>
          <w:color w:val="auto"/>
          <w:sz w:val="32"/>
          <w:szCs w:val="32"/>
        </w:rPr>
        <w:t>21</w:t>
      </w:r>
      <w:r>
        <w:rPr>
          <w:rFonts w:eastAsia="仿宋_GB2312"/>
          <w:color w:val="auto"/>
          <w:sz w:val="32"/>
          <w:szCs w:val="32"/>
        </w:rPr>
        <w:t>年12月31日，壤塘县</w:t>
      </w:r>
      <w:r>
        <w:rPr>
          <w:rFonts w:hint="eastAsia"/>
          <w:color w:val="auto"/>
          <w:sz w:val="32"/>
          <w:szCs w:val="32"/>
        </w:rPr>
        <w:t>政协</w:t>
      </w:r>
      <w:r>
        <w:rPr>
          <w:rFonts w:eastAsia="仿宋_GB2312"/>
          <w:color w:val="auto"/>
          <w:sz w:val="32"/>
          <w:szCs w:val="32"/>
        </w:rPr>
        <w:t>办《行政单位资产管理系统》固定资产总计</w:t>
      </w:r>
      <w:r>
        <w:rPr>
          <w:rFonts w:hint="eastAsia"/>
          <w:color w:val="auto"/>
          <w:sz w:val="32"/>
          <w:szCs w:val="32"/>
        </w:rPr>
        <w:t>462.29</w:t>
      </w:r>
      <w:r>
        <w:rPr>
          <w:rFonts w:eastAsia="仿宋_GB2312"/>
          <w:color w:val="auto"/>
          <w:sz w:val="32"/>
          <w:szCs w:val="32"/>
        </w:rPr>
        <w:t>万元，在用的固定资产总计</w:t>
      </w:r>
      <w:r>
        <w:rPr>
          <w:rFonts w:hint="eastAsia"/>
          <w:color w:val="auto"/>
          <w:sz w:val="32"/>
          <w:szCs w:val="32"/>
        </w:rPr>
        <w:t>462.29</w:t>
      </w:r>
      <w:r>
        <w:rPr>
          <w:rFonts w:eastAsia="仿宋_GB2312"/>
          <w:color w:val="auto"/>
          <w:sz w:val="32"/>
          <w:szCs w:val="32"/>
        </w:rPr>
        <w:t>万元，固定资产在用率达100%。</w:t>
      </w:r>
    </w:p>
    <w:p>
      <w:pPr>
        <w:adjustRightInd w:val="0"/>
        <w:snapToGrid w:val="0"/>
        <w:spacing w:line="560" w:lineRule="exact"/>
        <w:ind w:firstLine="642" w:firstLineChars="200"/>
        <w:rPr>
          <w:rFonts w:eastAsia="仿宋_GB2312"/>
          <w:b/>
          <w:bCs/>
          <w:color w:val="auto"/>
          <w:kern w:val="0"/>
          <w:sz w:val="32"/>
          <w:szCs w:val="32"/>
        </w:rPr>
      </w:pPr>
      <w:r>
        <w:rPr>
          <w:rFonts w:hint="eastAsia"/>
          <w:b/>
          <w:bCs/>
          <w:color w:val="auto"/>
          <w:kern w:val="0"/>
          <w:sz w:val="32"/>
          <w:szCs w:val="32"/>
        </w:rPr>
        <w:t>4、</w:t>
      </w:r>
      <w:r>
        <w:rPr>
          <w:rFonts w:eastAsia="仿宋_GB2312"/>
          <w:b/>
          <w:bCs/>
          <w:color w:val="auto"/>
          <w:kern w:val="0"/>
          <w:sz w:val="32"/>
          <w:szCs w:val="32"/>
        </w:rPr>
        <w:t>信息公开</w:t>
      </w:r>
    </w:p>
    <w:p>
      <w:pPr>
        <w:pStyle w:val="33"/>
        <w:adjustRightInd w:val="0"/>
        <w:snapToGrid w:val="0"/>
        <w:spacing w:line="560" w:lineRule="exact"/>
        <w:ind w:firstLine="643"/>
        <w:rPr>
          <w:rFonts w:ascii="Times New Roman" w:hAnsi="Times New Roman" w:eastAsia="仿宋_GB2312"/>
          <w:color w:val="auto"/>
          <w:sz w:val="32"/>
          <w:szCs w:val="32"/>
        </w:rPr>
      </w:pPr>
      <w:r>
        <w:rPr>
          <w:rFonts w:ascii="仿宋_GB2312" w:hAnsi="仿宋_GB2312" w:eastAsia="仿宋_GB2312" w:cs="仿宋_GB2312"/>
          <w:b/>
          <w:bCs/>
          <w:color w:val="auto"/>
          <w:sz w:val="32"/>
          <w:szCs w:val="32"/>
        </w:rPr>
        <w:t>信息公开。</w:t>
      </w:r>
      <w:r>
        <w:rPr>
          <w:rFonts w:ascii="Times New Roman" w:hAnsi="Times New Roman" w:eastAsia="仿宋_GB2312"/>
          <w:color w:val="auto"/>
          <w:sz w:val="32"/>
          <w:szCs w:val="32"/>
        </w:rPr>
        <w:t>壤塘县</w:t>
      </w:r>
      <w:r>
        <w:rPr>
          <w:rFonts w:hint="eastAsia" w:ascii="Times New Roman" w:hAnsi="Times New Roman" w:eastAsia="仿宋_GB2312"/>
          <w:color w:val="auto"/>
          <w:sz w:val="32"/>
          <w:szCs w:val="32"/>
        </w:rPr>
        <w:t>政协</w:t>
      </w:r>
      <w:r>
        <w:rPr>
          <w:rFonts w:ascii="Times New Roman" w:hAnsi="Times New Roman" w:eastAsia="仿宋_GB2312"/>
          <w:color w:val="auto"/>
          <w:sz w:val="32"/>
          <w:szCs w:val="32"/>
        </w:rPr>
        <w:t>办已经按财政要求及时完成预算、决算、绩效等信息公开工作，信息在政府门户网站中公开。</w:t>
      </w:r>
    </w:p>
    <w:p>
      <w:pPr>
        <w:pStyle w:val="33"/>
        <w:adjustRightInd w:val="0"/>
        <w:snapToGrid w:val="0"/>
        <w:spacing w:line="560" w:lineRule="exact"/>
        <w:ind w:firstLine="640"/>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四、部门履职效能</w:t>
      </w:r>
    </w:p>
    <w:p>
      <w:pPr>
        <w:spacing w:line="560" w:lineRule="exact"/>
        <w:ind w:firstLine="640" w:firstLineChars="200"/>
        <w:rPr>
          <w:rFonts w:ascii="仿宋_GB2312" w:hAnsi="宋体" w:eastAsia="仿宋_GB2312" w:cs="仿宋_GB2312"/>
          <w:color w:val="auto"/>
          <w:sz w:val="32"/>
          <w:szCs w:val="32"/>
          <w:shd w:val="clear" w:color="auto" w:fill="FFFFFF"/>
        </w:rPr>
      </w:pPr>
      <w:r>
        <w:rPr>
          <w:rFonts w:hint="eastAsia" w:ascii="仿宋_GB2312" w:hAnsi="宋体" w:eastAsia="仿宋_GB2312" w:cs="仿宋_GB2312"/>
          <w:color w:val="auto"/>
          <w:sz w:val="32"/>
          <w:szCs w:val="32"/>
          <w:shd w:val="clear" w:color="auto" w:fill="FFFFFF"/>
        </w:rPr>
        <w:t>专题听取“一府两院”、县纪委监委工作情况通报，听取县人民政府关于十三届四次会议提案办理工作情况的通报，向公安、法院、检察院等多个执法部门委派16人次委员担任监督员、陪审员，推荐委员参加电视问政、民主测评、征求意见、专项检查等活动10次，有效履行监督职责。把视察作为民主监督的重要途径，组织委员对“五美寺庙”等进行了集体视察，提出意见建议，解决实际问题。发挥社情民意信息的经常性监督作用，开展委员进社区、进园区、进牧场、进农村活动，真心倾听民声、真情了解民情、真实反映民意，一件件关系群众切身利益的民生问题得到妥善解决。配合州政协做好“高原病慢性病康复医疗服务体系建设情况”、“重点旅游集镇规划建设情况”等调研视察。</w:t>
      </w:r>
    </w:p>
    <w:p>
      <w:pPr>
        <w:spacing w:line="560" w:lineRule="exact"/>
        <w:ind w:firstLine="640" w:firstLineChars="200"/>
        <w:rPr>
          <w:rFonts w:ascii="仿宋_GB2312" w:hAnsi="宋体" w:eastAsia="仿宋_GB2312" w:cs="仿宋_GB2312"/>
          <w:color w:val="auto"/>
          <w:sz w:val="32"/>
          <w:szCs w:val="32"/>
          <w:shd w:val="clear" w:color="auto" w:fill="FFFFFF"/>
        </w:rPr>
      </w:pPr>
      <w:r>
        <w:rPr>
          <w:rFonts w:hint="eastAsia" w:ascii="仿宋_GB2312" w:hAnsi="宋体" w:eastAsia="仿宋_GB2312" w:cs="仿宋_GB2312"/>
          <w:color w:val="auto"/>
          <w:sz w:val="32"/>
          <w:szCs w:val="32"/>
          <w:shd w:val="clear" w:color="auto" w:fill="FFFFFF"/>
        </w:rPr>
        <w:t>注重上下联动，组织政协委员和群众代表参加县政协“有事好商量”活动，就提升医疗卫生服务水平、推进教育民生实事、乡村道路改造提升、实现农村饮用水达标等方面协商建言。组织委员</w:t>
      </w:r>
      <w:r>
        <w:rPr>
          <w:rFonts w:hint="eastAsia" w:ascii="仿宋_GB2312" w:hAnsi="宋体" w:cs="仿宋_GB2312"/>
          <w:color w:val="auto"/>
          <w:sz w:val="32"/>
          <w:szCs w:val="32"/>
          <w:shd w:val="clear" w:color="auto" w:fill="FFFFFF"/>
        </w:rPr>
        <w:t>到上海、井冈山等地</w:t>
      </w:r>
      <w:r>
        <w:rPr>
          <w:rFonts w:hint="eastAsia" w:ascii="仿宋_GB2312" w:hAnsi="宋体" w:eastAsia="仿宋_GB2312" w:cs="仿宋_GB2312"/>
          <w:color w:val="auto"/>
          <w:sz w:val="32"/>
          <w:szCs w:val="32"/>
          <w:shd w:val="clear" w:color="auto" w:fill="FFFFFF"/>
        </w:rPr>
        <w:t>考察，重视与绵阳游仙区、西藏拉萨市、甘孜州德格县、青海班玛及州内县市等政协的沟通联系，不断扩大对外交往交流，发出政协好声音。</w:t>
      </w:r>
    </w:p>
    <w:p>
      <w:pPr>
        <w:widowControl/>
        <w:adjustRightInd w:val="0"/>
        <w:snapToGrid w:val="0"/>
        <w:spacing w:line="56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五、重点任务完成情况</w:t>
      </w:r>
    </w:p>
    <w:p>
      <w:pPr>
        <w:widowControl/>
        <w:adjustRightInd w:val="0"/>
        <w:snapToGrid w:val="0"/>
        <w:spacing w:line="560" w:lineRule="exact"/>
        <w:ind w:firstLine="642"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b/>
          <w:bCs/>
          <w:color w:val="auto"/>
          <w:kern w:val="0"/>
          <w:sz w:val="32"/>
          <w:szCs w:val="32"/>
          <w:shd w:val="clear" w:color="auto" w:fill="FFFFFF"/>
        </w:rPr>
        <w:t xml:space="preserve">（一）政协会议     </w:t>
      </w:r>
      <w:r>
        <w:rPr>
          <w:rFonts w:hint="eastAsia" w:ascii="仿宋" w:hAnsi="仿宋" w:eastAsia="仿宋" w:cs="仿宋"/>
          <w:color w:val="auto"/>
          <w:kern w:val="0"/>
          <w:sz w:val="32"/>
          <w:szCs w:val="32"/>
          <w:shd w:val="clear" w:color="auto" w:fill="FFFFFF"/>
        </w:rPr>
        <w:t xml:space="preserve">                                                 </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2021年度我单位应召开政协常委会3次，政协全体会议1次，实召开政协常委会3次，政协全体会议0次。政协全体会议未召开的原因：因为疫情防控工作，推迟至次年召开。在3次常委会议中，听取“一府两院”、县纪委监委工作情况通报，听取县人民政府关于十三届四次会议提案办理工作情况的通报，向公安、法院、检察院等多个执法部门委派16人次委员担任监督员、陪审员，推荐委员参加电视问政、民主测评、征求意见、专项检查等活动10余次。</w:t>
      </w:r>
    </w:p>
    <w:p>
      <w:pPr>
        <w:widowControl/>
        <w:adjustRightInd w:val="0"/>
        <w:snapToGrid w:val="0"/>
        <w:spacing w:line="560" w:lineRule="exact"/>
        <w:ind w:firstLine="642" w:firstLineChars="200"/>
        <w:contextualSpacing/>
        <w:jc w:val="left"/>
        <w:rPr>
          <w:rFonts w:ascii="仿宋" w:hAnsi="仿宋" w:eastAsia="仿宋" w:cs="仿宋"/>
          <w:b/>
          <w:bCs/>
          <w:color w:val="auto"/>
          <w:kern w:val="0"/>
          <w:sz w:val="32"/>
          <w:szCs w:val="32"/>
          <w:shd w:val="clear" w:color="auto" w:fill="FFFFFF"/>
        </w:rPr>
      </w:pPr>
      <w:r>
        <w:rPr>
          <w:rFonts w:hint="eastAsia" w:ascii="仿宋" w:hAnsi="仿宋" w:eastAsia="仿宋" w:cs="仿宋"/>
          <w:b/>
          <w:bCs/>
          <w:color w:val="auto"/>
          <w:kern w:val="0"/>
          <w:sz w:val="32"/>
          <w:szCs w:val="32"/>
          <w:shd w:val="clear" w:color="auto" w:fill="FFFFFF"/>
        </w:rPr>
        <w:t>（二）委员视察</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注重上下联动，组织政协委员和群众代表参加县政协“有事好商量”活动，就提升医疗卫生服务水平、推进教育民生实事、乡村道路改造提升、实现农村饮用水达标等方面协商建言。组织委员考察青海、甘肃藏区经济社会发展和长治久安，重视与浙江温州市、绵阳游仙区、西藏拉萨市、甘孜州德格县、青海班玛及州内县市等政协的沟通联系，不断扩大对外交往交流。参与壤巴拉节、硕博进阿坝等活动，发出政协好声音。</w:t>
      </w:r>
    </w:p>
    <w:p>
      <w:pPr>
        <w:widowControl/>
        <w:adjustRightInd w:val="0"/>
        <w:snapToGrid w:val="0"/>
        <w:spacing w:line="560" w:lineRule="exact"/>
        <w:ind w:firstLine="642" w:firstLineChars="200"/>
        <w:contextualSpacing/>
        <w:jc w:val="left"/>
        <w:rPr>
          <w:rFonts w:ascii="仿宋" w:hAnsi="仿宋" w:eastAsia="仿宋" w:cs="仿宋"/>
          <w:b/>
          <w:bCs/>
          <w:color w:val="auto"/>
          <w:kern w:val="0"/>
          <w:sz w:val="32"/>
          <w:szCs w:val="32"/>
          <w:shd w:val="clear" w:color="auto" w:fill="FFFFFF"/>
        </w:rPr>
      </w:pPr>
      <w:r>
        <w:rPr>
          <w:rFonts w:hint="eastAsia" w:ascii="仿宋" w:hAnsi="仿宋" w:eastAsia="仿宋" w:cs="仿宋"/>
          <w:b/>
          <w:bCs/>
          <w:color w:val="auto"/>
          <w:kern w:val="0"/>
          <w:sz w:val="32"/>
          <w:szCs w:val="32"/>
          <w:shd w:val="clear" w:color="auto" w:fill="FFFFFF"/>
        </w:rPr>
        <w:t>（三）参政议政</w:t>
      </w:r>
    </w:p>
    <w:p>
      <w:pPr>
        <w:widowControl/>
        <w:adjustRightInd w:val="0"/>
        <w:snapToGrid w:val="0"/>
        <w:spacing w:line="560" w:lineRule="exact"/>
        <w:ind w:firstLine="640" w:firstLineChars="200"/>
        <w:contextualSpacing/>
        <w:jc w:val="left"/>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按照年度计划，综合运用工作通报、现场视察、情况介绍、互动交流等形式，围绕“川甘青结合部区域强县”、“地质灾害防治”开展常委会专题协商，围绕“乡镇行政区划调整”开展主席会议重点协商，围绕“壤塘县城镇供水工作”等开展提案办理协商，围绕做好“六稳”工作、落实“六保”任务等开展专委会对口协商，并适时邀请党政领导、部门负责人、界别群众参加协商议政会，全年组织委员外出培训、调研4次、有效协商6次，参与委员100余人次，开出“政协方子”20多条，为县委、县政府提供了有益决策参考，帮助相关部门改进了工作。</w:t>
      </w:r>
    </w:p>
    <w:p>
      <w:pPr>
        <w:widowControl/>
        <w:adjustRightInd w:val="0"/>
        <w:snapToGrid w:val="0"/>
        <w:spacing w:line="560" w:lineRule="exact"/>
        <w:ind w:firstLine="640" w:firstLineChars="200"/>
        <w:contextualSpacing/>
        <w:jc w:val="left"/>
        <w:rPr>
          <w:color w:val="auto"/>
          <w:sz w:val="32"/>
          <w:szCs w:val="32"/>
        </w:rPr>
      </w:pPr>
      <w:r>
        <w:rPr>
          <w:rFonts w:hint="eastAsia" w:ascii="黑体" w:hAnsi="宋体" w:eastAsia="黑体" w:cs="宋体"/>
          <w:color w:val="auto"/>
          <w:kern w:val="0"/>
          <w:sz w:val="32"/>
          <w:szCs w:val="32"/>
          <w:shd w:val="clear" w:color="auto" w:fill="FFFFFF"/>
        </w:rPr>
        <w:t>六、评价结论及建议</w:t>
      </w:r>
    </w:p>
    <w:p>
      <w:pPr>
        <w:pStyle w:val="33"/>
        <w:adjustRightInd w:val="0"/>
        <w:snapToGrid w:val="0"/>
        <w:spacing w:line="560" w:lineRule="exact"/>
        <w:ind w:firstLine="643"/>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（一）评价结论：良好</w:t>
      </w:r>
    </w:p>
    <w:p>
      <w:pPr>
        <w:pStyle w:val="33"/>
        <w:adjustRightInd w:val="0"/>
        <w:snapToGrid w:val="0"/>
        <w:spacing w:line="560" w:lineRule="exact"/>
        <w:ind w:firstLine="643"/>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（二）存在问题</w:t>
      </w:r>
    </w:p>
    <w:p>
      <w:pPr>
        <w:ind w:firstLine="739" w:firstLineChars="231"/>
        <w:rPr>
          <w:rFonts w:ascii="仿宋" w:hAnsi="仿宋" w:eastAsia="仿宋"/>
          <w:color w:val="auto"/>
          <w:sz w:val="32"/>
          <w:szCs w:val="32"/>
        </w:rPr>
      </w:pPr>
      <w:r>
        <w:rPr>
          <w:rFonts w:hint="eastAsia" w:eastAsia="仿宋_GB2312"/>
          <w:color w:val="auto"/>
          <w:sz w:val="32"/>
          <w:szCs w:val="32"/>
        </w:rPr>
        <w:t>因前期准备工作不完善或不可抗力因素影响，</w:t>
      </w:r>
      <w:r>
        <w:rPr>
          <w:rFonts w:hint="eastAsia" w:ascii="仿宋" w:hAnsi="仿宋" w:eastAsia="仿宋"/>
          <w:color w:val="auto"/>
          <w:sz w:val="32"/>
          <w:szCs w:val="32"/>
        </w:rPr>
        <w:t>在肯定成绩的同时，工作中存在一些问题和不足，如对新时代人民政协新方位新使命的认识有待进一步深化，发挥专门协商机构作用的制度机制有待进一步健全，建言资政和凝聚共识双向发力有待进一步到位，基础工作薄弱问题还有待进一步解决。</w:t>
      </w:r>
    </w:p>
    <w:p>
      <w:pPr>
        <w:widowControl/>
        <w:adjustRightInd w:val="0"/>
        <w:snapToGrid w:val="0"/>
        <w:spacing w:line="560" w:lineRule="exact"/>
        <w:ind w:left="420" w:leftChars="200"/>
        <w:contextualSpacing/>
        <w:jc w:val="left"/>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（三）改进措施</w:t>
      </w:r>
    </w:p>
    <w:p>
      <w:pPr>
        <w:ind w:firstLine="739" w:firstLineChars="231"/>
        <w:rPr>
          <w:rFonts w:ascii="仿宋" w:hAnsi="仿宋" w:eastAsia="仿宋"/>
          <w:color w:val="auto"/>
          <w:sz w:val="32"/>
          <w:szCs w:val="32"/>
        </w:rPr>
      </w:pPr>
      <w:r>
        <w:rPr>
          <w:rFonts w:hint="eastAsia" w:ascii="仿宋" w:hAnsi="仿宋" w:eastAsia="仿宋"/>
          <w:color w:val="auto"/>
          <w:sz w:val="32"/>
          <w:szCs w:val="32"/>
        </w:rPr>
        <w:t xml:space="preserve"> 2022年是深入贯彻落实十九届五中全会、中央第七次西藏工作座谈会精神的重要一年，也是实施“十四五”规划的开局之年。县政协办将深入贯彻中央、省委、州委决策部署，在县委的带领下，加强思想政治引领、广泛凝聚共识，切实肩负起人民政协的使命担当，为壤塘坚定不移地贯彻新发展理念、构建新发展格局、实现高质量发展贡献政协的智慧和力量。</w:t>
      </w:r>
    </w:p>
    <w:bookmarkEnd w:id="111"/>
    <w:p>
      <w:pPr>
        <w:rPr>
          <w:color w:val="auto"/>
        </w:rPr>
      </w:pPr>
    </w:p>
    <w:p>
      <w:pPr>
        <w:rPr>
          <w:color w:val="auto"/>
        </w:rPr>
      </w:pPr>
    </w:p>
    <w:p>
      <w:pPr>
        <w:rPr>
          <w:rFonts w:ascii="仿宋" w:hAnsi="仿宋" w:eastAsia="仿宋" w:cs="仿宋"/>
          <w:color w:val="auto"/>
          <w:sz w:val="32"/>
          <w:szCs w:val="32"/>
        </w:rPr>
      </w:pPr>
    </w:p>
    <w:p>
      <w:pPr>
        <w:ind w:firstLine="4160" w:firstLineChars="1300"/>
        <w:rPr>
          <w:rFonts w:ascii="仿宋" w:hAnsi="仿宋" w:eastAsia="仿宋" w:cs="仿宋"/>
          <w:color w:val="auto"/>
          <w:sz w:val="32"/>
          <w:szCs w:val="32"/>
        </w:rPr>
      </w:pPr>
      <w:r>
        <w:rPr>
          <w:rFonts w:hint="eastAsia" w:ascii="仿宋" w:hAnsi="仿宋" w:eastAsia="仿宋" w:cs="仿宋"/>
          <w:color w:val="auto"/>
          <w:sz w:val="32"/>
          <w:szCs w:val="32"/>
        </w:rPr>
        <w:t>政协壤塘县委员会办公室</w:t>
      </w:r>
    </w:p>
    <w:p>
      <w:pPr>
        <w:pStyle w:val="2"/>
        <w:ind w:firstLine="4800" w:firstLineChars="1500"/>
        <w:rPr>
          <w:rFonts w:ascii="仿宋" w:hAnsi="仿宋" w:eastAsia="仿宋" w:cs="仿宋"/>
          <w:b w:val="0"/>
          <w:bCs w:val="0"/>
          <w:color w:val="auto"/>
        </w:rPr>
      </w:pPr>
      <w:r>
        <w:rPr>
          <w:rFonts w:hint="eastAsia" w:ascii="仿宋" w:hAnsi="仿宋" w:eastAsia="仿宋" w:cs="仿宋"/>
          <w:b w:val="0"/>
          <w:bCs w:val="0"/>
          <w:color w:val="auto"/>
        </w:rPr>
        <w:t>2022年10月19日</w:t>
      </w: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ind w:firstLine="2650" w:firstLineChars="600"/>
        <w:rPr>
          <w:rStyle w:val="25"/>
          <w:rFonts w:ascii="仿宋_GB2312" w:hAnsi="黑体" w:eastAsia="仿宋_GB2312"/>
          <w:b/>
          <w:bCs w:val="0"/>
          <w:color w:val="auto"/>
        </w:rPr>
      </w:pPr>
      <w:bookmarkStart w:id="112" w:name="_Toc2315"/>
      <w:bookmarkStart w:id="113" w:name="_Toc79163635"/>
      <w:bookmarkStart w:id="114" w:name="_Toc14607"/>
      <w:bookmarkStart w:id="115" w:name="_Toc15396618"/>
      <w:bookmarkStart w:id="116" w:name="_Toc12241"/>
      <w:bookmarkStart w:id="117" w:name="_Toc19304"/>
      <w:r>
        <w:rPr>
          <w:rStyle w:val="25"/>
          <w:rFonts w:hint="eastAsia" w:ascii="仿宋_GB2312" w:hAnsi="黑体" w:eastAsia="仿宋_GB2312"/>
          <w:b/>
          <w:bCs w:val="0"/>
          <w:color w:val="auto"/>
        </w:rPr>
        <w:t>第五部分</w:t>
      </w:r>
      <w:r>
        <w:rPr>
          <w:rStyle w:val="25"/>
          <w:rFonts w:ascii="仿宋_GB2312" w:hAnsi="黑体" w:eastAsia="仿宋_GB2312"/>
          <w:b/>
          <w:bCs w:val="0"/>
          <w:color w:val="auto"/>
        </w:rPr>
        <w:t xml:space="preserve"> </w:t>
      </w:r>
      <w:r>
        <w:rPr>
          <w:rStyle w:val="25"/>
          <w:rFonts w:hint="eastAsia" w:ascii="仿宋_GB2312" w:hAnsi="黑体" w:eastAsia="仿宋_GB2312"/>
          <w:b/>
          <w:bCs w:val="0"/>
          <w:color w:val="auto"/>
        </w:rPr>
        <w:t>附表</w:t>
      </w:r>
      <w:bookmarkEnd w:id="112"/>
      <w:bookmarkEnd w:id="113"/>
      <w:bookmarkEnd w:id="114"/>
      <w:bookmarkEnd w:id="115"/>
      <w:bookmarkEnd w:id="116"/>
      <w:bookmarkEnd w:id="117"/>
    </w:p>
    <w:p>
      <w:pPr>
        <w:pStyle w:val="4"/>
        <w:rPr>
          <w:rFonts w:ascii="仿宋" w:hAnsi="仿宋" w:eastAsia="仿宋"/>
          <w:b w:val="0"/>
          <w:color w:val="auto"/>
        </w:rPr>
      </w:pPr>
      <w:bookmarkStart w:id="118" w:name="_Toc29593"/>
      <w:bookmarkStart w:id="119" w:name="_Toc7436"/>
      <w:bookmarkStart w:id="120" w:name="_Toc85785840"/>
      <w:bookmarkStart w:id="121" w:name="_Toc14790"/>
      <w:bookmarkStart w:id="122" w:name="_Toc79163636"/>
      <w:bookmarkStart w:id="123" w:name="_Toc85790897"/>
      <w:bookmarkStart w:id="124" w:name="_Toc5427"/>
      <w:bookmarkStart w:id="125" w:name="_Toc15396619"/>
      <w:r>
        <w:rPr>
          <w:rFonts w:hint="eastAsia" w:ascii="仿宋" w:hAnsi="仿宋" w:eastAsia="仿宋"/>
          <w:b w:val="0"/>
          <w:color w:val="auto"/>
        </w:rPr>
        <w:t>一、收</w:t>
      </w:r>
      <w:r>
        <w:rPr>
          <w:rStyle w:val="26"/>
          <w:rFonts w:hint="eastAsia" w:ascii="仿宋" w:hAnsi="仿宋" w:eastAsia="仿宋"/>
          <w:b w:val="0"/>
          <w:bCs/>
          <w:color w:val="auto"/>
        </w:rPr>
        <w:t>入支出决算总表</w:t>
      </w:r>
      <w:bookmarkEnd w:id="118"/>
      <w:bookmarkEnd w:id="119"/>
      <w:bookmarkEnd w:id="120"/>
      <w:bookmarkEnd w:id="121"/>
      <w:bookmarkEnd w:id="122"/>
      <w:bookmarkEnd w:id="123"/>
      <w:bookmarkEnd w:id="124"/>
      <w:bookmarkEnd w:id="125"/>
    </w:p>
    <w:p>
      <w:pPr>
        <w:pStyle w:val="4"/>
        <w:rPr>
          <w:rFonts w:ascii="仿宋" w:hAnsi="仿宋" w:eastAsia="仿宋"/>
          <w:b w:val="0"/>
          <w:color w:val="auto"/>
        </w:rPr>
      </w:pPr>
      <w:bookmarkStart w:id="126" w:name="_Toc85790898"/>
      <w:bookmarkStart w:id="127" w:name="_Toc27978"/>
      <w:bookmarkStart w:id="128" w:name="_Toc79163637"/>
      <w:bookmarkStart w:id="129" w:name="_Toc85785841"/>
      <w:bookmarkStart w:id="130" w:name="_Toc19637"/>
      <w:bookmarkStart w:id="131" w:name="_Toc15427"/>
      <w:bookmarkStart w:id="132" w:name="_Toc16353"/>
      <w:bookmarkStart w:id="133" w:name="_Toc15396620"/>
      <w:r>
        <w:rPr>
          <w:rFonts w:hint="eastAsia" w:ascii="仿宋" w:hAnsi="仿宋" w:eastAsia="仿宋"/>
          <w:b w:val="0"/>
          <w:color w:val="auto"/>
        </w:rPr>
        <w:t>二、收</w:t>
      </w:r>
      <w:r>
        <w:rPr>
          <w:rStyle w:val="26"/>
          <w:rFonts w:hint="eastAsia" w:ascii="仿宋" w:hAnsi="仿宋" w:eastAsia="仿宋"/>
          <w:b w:val="0"/>
          <w:bCs/>
          <w:color w:val="auto"/>
        </w:rPr>
        <w:t>入决算表</w:t>
      </w:r>
      <w:bookmarkEnd w:id="126"/>
      <w:bookmarkEnd w:id="127"/>
      <w:bookmarkEnd w:id="128"/>
      <w:bookmarkEnd w:id="129"/>
      <w:bookmarkEnd w:id="130"/>
      <w:bookmarkEnd w:id="131"/>
      <w:bookmarkEnd w:id="132"/>
      <w:bookmarkEnd w:id="133"/>
    </w:p>
    <w:p>
      <w:pPr>
        <w:pStyle w:val="4"/>
        <w:rPr>
          <w:rFonts w:ascii="仿宋" w:hAnsi="仿宋" w:eastAsia="仿宋"/>
          <w:b w:val="0"/>
          <w:color w:val="auto"/>
        </w:rPr>
      </w:pPr>
      <w:bookmarkStart w:id="134" w:name="_Toc15396621"/>
      <w:bookmarkStart w:id="135" w:name="_Toc12206"/>
      <w:bookmarkStart w:id="136" w:name="_Toc85785842"/>
      <w:bookmarkStart w:id="137" w:name="_Toc79163638"/>
      <w:bookmarkStart w:id="138" w:name="_Toc15341"/>
      <w:bookmarkStart w:id="139" w:name="_Toc22781"/>
      <w:bookmarkStart w:id="140" w:name="_Toc24584"/>
      <w:bookmarkStart w:id="141" w:name="_Toc85790899"/>
      <w:r>
        <w:rPr>
          <w:rStyle w:val="26"/>
          <w:rFonts w:hint="eastAsia" w:ascii="仿宋" w:hAnsi="仿宋" w:eastAsia="仿宋"/>
          <w:b w:val="0"/>
          <w:bCs/>
          <w:color w:val="auto"/>
        </w:rPr>
        <w:t>三、</w:t>
      </w:r>
      <w:r>
        <w:rPr>
          <w:rFonts w:hint="eastAsia" w:ascii="仿宋" w:hAnsi="仿宋" w:eastAsia="仿宋"/>
          <w:b w:val="0"/>
          <w:color w:val="auto"/>
        </w:rPr>
        <w:t>支</w:t>
      </w:r>
      <w:r>
        <w:rPr>
          <w:rStyle w:val="26"/>
          <w:rFonts w:hint="eastAsia" w:ascii="仿宋" w:hAnsi="仿宋" w:eastAsia="仿宋"/>
          <w:b w:val="0"/>
          <w:bCs/>
          <w:color w:val="auto"/>
        </w:rPr>
        <w:t>出决算表</w:t>
      </w:r>
      <w:bookmarkEnd w:id="134"/>
      <w:bookmarkEnd w:id="135"/>
      <w:bookmarkEnd w:id="136"/>
      <w:bookmarkEnd w:id="137"/>
      <w:bookmarkEnd w:id="138"/>
      <w:bookmarkEnd w:id="139"/>
      <w:bookmarkEnd w:id="140"/>
      <w:bookmarkEnd w:id="141"/>
    </w:p>
    <w:p>
      <w:pPr>
        <w:pStyle w:val="4"/>
        <w:rPr>
          <w:rFonts w:ascii="仿宋" w:hAnsi="仿宋" w:eastAsia="仿宋"/>
          <w:b w:val="0"/>
          <w:color w:val="auto"/>
        </w:rPr>
      </w:pPr>
      <w:bookmarkStart w:id="142" w:name="_Toc6140"/>
      <w:bookmarkStart w:id="143" w:name="_Toc85785843"/>
      <w:bookmarkStart w:id="144" w:name="_Toc19691"/>
      <w:bookmarkStart w:id="145" w:name="_Toc85790900"/>
      <w:bookmarkStart w:id="146" w:name="_Toc79163639"/>
      <w:bookmarkStart w:id="147" w:name="_Toc15396622"/>
      <w:bookmarkStart w:id="148" w:name="_Toc20951"/>
      <w:bookmarkStart w:id="149" w:name="_Toc19838"/>
      <w:r>
        <w:rPr>
          <w:rStyle w:val="26"/>
          <w:rFonts w:hint="eastAsia" w:ascii="仿宋" w:hAnsi="仿宋" w:eastAsia="仿宋"/>
          <w:b w:val="0"/>
          <w:bCs/>
          <w:color w:val="auto"/>
        </w:rPr>
        <w:t>四、</w:t>
      </w:r>
      <w:r>
        <w:rPr>
          <w:rFonts w:hint="eastAsia" w:ascii="仿宋" w:hAnsi="仿宋" w:eastAsia="仿宋"/>
          <w:b w:val="0"/>
          <w:color w:val="auto"/>
        </w:rPr>
        <w:t>财</w:t>
      </w:r>
      <w:r>
        <w:rPr>
          <w:rStyle w:val="26"/>
          <w:rFonts w:hint="eastAsia" w:ascii="仿宋" w:hAnsi="仿宋" w:eastAsia="仿宋"/>
          <w:b w:val="0"/>
          <w:bCs/>
          <w:color w:val="auto"/>
        </w:rPr>
        <w:t>政拨款收入支出决算总表</w:t>
      </w:r>
      <w:bookmarkEnd w:id="142"/>
      <w:bookmarkEnd w:id="143"/>
      <w:bookmarkEnd w:id="144"/>
      <w:bookmarkEnd w:id="145"/>
      <w:bookmarkEnd w:id="146"/>
      <w:bookmarkEnd w:id="147"/>
      <w:bookmarkEnd w:id="148"/>
      <w:bookmarkEnd w:id="149"/>
    </w:p>
    <w:p>
      <w:pPr>
        <w:pStyle w:val="4"/>
        <w:rPr>
          <w:rStyle w:val="26"/>
          <w:rFonts w:ascii="仿宋" w:hAnsi="仿宋" w:eastAsia="仿宋"/>
          <w:b w:val="0"/>
          <w:bCs w:val="0"/>
          <w:color w:val="auto"/>
        </w:rPr>
      </w:pPr>
      <w:bookmarkStart w:id="150" w:name="_Toc79163640"/>
      <w:bookmarkStart w:id="151" w:name="_Toc15396623"/>
      <w:bookmarkStart w:id="152" w:name="_Toc26446"/>
      <w:bookmarkStart w:id="153" w:name="_Toc85790901"/>
      <w:bookmarkStart w:id="154" w:name="_Toc85785844"/>
      <w:bookmarkStart w:id="155" w:name="_Toc17248"/>
      <w:bookmarkStart w:id="156" w:name="_Toc21611"/>
      <w:bookmarkStart w:id="157" w:name="_Toc24923"/>
      <w:r>
        <w:rPr>
          <w:rStyle w:val="26"/>
          <w:rFonts w:hint="eastAsia" w:ascii="仿宋" w:hAnsi="仿宋" w:eastAsia="仿宋"/>
          <w:b w:val="0"/>
          <w:bCs/>
          <w:color w:val="auto"/>
        </w:rPr>
        <w:t>五、</w:t>
      </w:r>
      <w:r>
        <w:rPr>
          <w:rFonts w:hint="eastAsia" w:ascii="仿宋" w:hAnsi="仿宋" w:eastAsia="仿宋"/>
          <w:b w:val="0"/>
          <w:color w:val="auto"/>
        </w:rPr>
        <w:t>财</w:t>
      </w:r>
      <w:r>
        <w:rPr>
          <w:rStyle w:val="26"/>
          <w:rFonts w:hint="eastAsia" w:ascii="仿宋" w:hAnsi="仿宋" w:eastAsia="仿宋"/>
          <w:b w:val="0"/>
          <w:bCs/>
          <w:color w:val="auto"/>
        </w:rPr>
        <w:t>政拨款支出决算明细表</w:t>
      </w:r>
      <w:bookmarkEnd w:id="150"/>
      <w:bookmarkEnd w:id="151"/>
      <w:bookmarkEnd w:id="152"/>
      <w:bookmarkEnd w:id="153"/>
      <w:bookmarkEnd w:id="154"/>
      <w:bookmarkEnd w:id="155"/>
      <w:bookmarkEnd w:id="156"/>
      <w:bookmarkEnd w:id="157"/>
      <w:bookmarkStart w:id="158" w:name="_Toc15396624"/>
    </w:p>
    <w:p>
      <w:pPr>
        <w:pStyle w:val="4"/>
        <w:rPr>
          <w:rFonts w:ascii="仿宋" w:hAnsi="仿宋" w:eastAsia="仿宋"/>
          <w:b w:val="0"/>
          <w:color w:val="auto"/>
        </w:rPr>
      </w:pPr>
      <w:bookmarkStart w:id="159" w:name="_Toc28897"/>
      <w:bookmarkStart w:id="160" w:name="_Toc85790902"/>
      <w:bookmarkStart w:id="161" w:name="_Toc24714"/>
      <w:bookmarkStart w:id="162" w:name="_Toc85785845"/>
      <w:bookmarkStart w:id="163" w:name="_Toc79163641"/>
      <w:bookmarkStart w:id="164" w:name="_Toc14584"/>
      <w:bookmarkStart w:id="165" w:name="_Toc23434"/>
      <w:r>
        <w:rPr>
          <w:rStyle w:val="26"/>
          <w:rFonts w:hint="eastAsia" w:ascii="仿宋" w:hAnsi="仿宋" w:eastAsia="仿宋"/>
          <w:b w:val="0"/>
          <w:bCs/>
          <w:color w:val="auto"/>
        </w:rPr>
        <w:t>六、</w:t>
      </w:r>
      <w:r>
        <w:rPr>
          <w:rFonts w:hint="eastAsia" w:ascii="仿宋" w:hAnsi="仿宋" w:eastAsia="仿宋"/>
          <w:b w:val="0"/>
          <w:color w:val="auto"/>
        </w:rPr>
        <w:t>一</w:t>
      </w:r>
      <w:r>
        <w:rPr>
          <w:rStyle w:val="26"/>
          <w:rFonts w:hint="eastAsia" w:ascii="仿宋" w:hAnsi="仿宋" w:eastAsia="仿宋"/>
          <w:b w:val="0"/>
          <w:bCs/>
          <w:color w:val="auto"/>
        </w:rPr>
        <w:t>般公共预算财政拨款支出决算表</w:t>
      </w:r>
      <w:bookmarkEnd w:id="158"/>
      <w:bookmarkEnd w:id="159"/>
      <w:bookmarkEnd w:id="160"/>
      <w:bookmarkEnd w:id="161"/>
      <w:bookmarkEnd w:id="162"/>
      <w:bookmarkEnd w:id="163"/>
      <w:bookmarkEnd w:id="164"/>
      <w:bookmarkEnd w:id="165"/>
    </w:p>
    <w:p>
      <w:pPr>
        <w:pStyle w:val="4"/>
        <w:rPr>
          <w:rFonts w:ascii="仿宋" w:hAnsi="仿宋" w:eastAsia="仿宋"/>
          <w:b w:val="0"/>
          <w:color w:val="auto"/>
        </w:rPr>
      </w:pPr>
      <w:bookmarkStart w:id="166" w:name="_Toc79163642"/>
      <w:bookmarkStart w:id="167" w:name="_Toc10142"/>
      <w:bookmarkStart w:id="168" w:name="_Toc85785846"/>
      <w:bookmarkStart w:id="169" w:name="_Toc27213"/>
      <w:bookmarkStart w:id="170" w:name="_Toc13644"/>
      <w:bookmarkStart w:id="171" w:name="_Toc85790903"/>
      <w:bookmarkStart w:id="172" w:name="_Toc7716"/>
      <w:bookmarkStart w:id="173" w:name="_Toc15396625"/>
      <w:r>
        <w:rPr>
          <w:rStyle w:val="26"/>
          <w:rFonts w:hint="eastAsia" w:ascii="仿宋" w:hAnsi="仿宋" w:eastAsia="仿宋"/>
          <w:b w:val="0"/>
          <w:bCs/>
          <w:color w:val="auto"/>
        </w:rPr>
        <w:t>七、</w:t>
      </w:r>
      <w:r>
        <w:rPr>
          <w:rFonts w:hint="eastAsia" w:ascii="仿宋" w:hAnsi="仿宋" w:eastAsia="仿宋"/>
          <w:b w:val="0"/>
          <w:color w:val="auto"/>
        </w:rPr>
        <w:t>一</w:t>
      </w:r>
      <w:r>
        <w:rPr>
          <w:rStyle w:val="26"/>
          <w:rFonts w:hint="eastAsia" w:ascii="仿宋" w:hAnsi="仿宋" w:eastAsia="仿宋"/>
          <w:b w:val="0"/>
          <w:bCs/>
          <w:color w:val="auto"/>
        </w:rPr>
        <w:t>般公共预算财</w:t>
      </w:r>
      <w:bookmarkStart w:id="229" w:name="_GoBack"/>
      <w:bookmarkEnd w:id="229"/>
      <w:r>
        <w:rPr>
          <w:rStyle w:val="26"/>
          <w:rFonts w:hint="eastAsia" w:ascii="仿宋" w:hAnsi="仿宋" w:eastAsia="仿宋"/>
          <w:b w:val="0"/>
          <w:bCs/>
          <w:color w:val="auto"/>
        </w:rPr>
        <w:t>政拨款支出决算明细表</w:t>
      </w:r>
      <w:bookmarkEnd w:id="166"/>
      <w:bookmarkEnd w:id="167"/>
      <w:bookmarkEnd w:id="168"/>
      <w:bookmarkEnd w:id="169"/>
      <w:bookmarkEnd w:id="170"/>
      <w:bookmarkEnd w:id="171"/>
      <w:bookmarkEnd w:id="172"/>
      <w:bookmarkEnd w:id="173"/>
    </w:p>
    <w:p>
      <w:pPr>
        <w:pStyle w:val="4"/>
        <w:rPr>
          <w:rFonts w:ascii="仿宋" w:hAnsi="仿宋" w:eastAsia="仿宋"/>
          <w:b w:val="0"/>
          <w:color w:val="auto"/>
        </w:rPr>
      </w:pPr>
      <w:bookmarkStart w:id="174" w:name="_Toc21387"/>
      <w:bookmarkStart w:id="175" w:name="_Toc85785847"/>
      <w:bookmarkStart w:id="176" w:name="_Toc31161"/>
      <w:bookmarkStart w:id="177" w:name="_Toc13556"/>
      <w:bookmarkStart w:id="178" w:name="_Toc15396626"/>
      <w:bookmarkStart w:id="179" w:name="_Toc79163643"/>
      <w:bookmarkStart w:id="180" w:name="_Toc6802"/>
      <w:bookmarkStart w:id="181" w:name="_Toc85790904"/>
      <w:r>
        <w:rPr>
          <w:rStyle w:val="26"/>
          <w:rFonts w:hint="eastAsia" w:ascii="仿宋" w:hAnsi="仿宋" w:eastAsia="仿宋"/>
          <w:b w:val="0"/>
          <w:bCs/>
          <w:color w:val="auto"/>
        </w:rPr>
        <w:t>八、</w:t>
      </w:r>
      <w:r>
        <w:rPr>
          <w:rFonts w:hint="eastAsia" w:ascii="仿宋" w:hAnsi="仿宋" w:eastAsia="仿宋"/>
          <w:b w:val="0"/>
          <w:color w:val="auto"/>
        </w:rPr>
        <w:t>一</w:t>
      </w:r>
      <w:r>
        <w:rPr>
          <w:rStyle w:val="26"/>
          <w:rFonts w:hint="eastAsia" w:ascii="仿宋" w:hAnsi="仿宋" w:eastAsia="仿宋"/>
          <w:b w:val="0"/>
          <w:bCs/>
          <w:color w:val="auto"/>
        </w:rPr>
        <w:t>般公共预算财政拨款基本支出决算表</w:t>
      </w:r>
      <w:bookmarkEnd w:id="174"/>
      <w:bookmarkEnd w:id="175"/>
      <w:bookmarkEnd w:id="176"/>
      <w:bookmarkEnd w:id="177"/>
      <w:bookmarkEnd w:id="178"/>
      <w:bookmarkEnd w:id="179"/>
      <w:bookmarkEnd w:id="180"/>
      <w:bookmarkEnd w:id="181"/>
    </w:p>
    <w:p>
      <w:pPr>
        <w:pStyle w:val="4"/>
        <w:rPr>
          <w:rFonts w:ascii="仿宋" w:hAnsi="仿宋" w:eastAsia="仿宋"/>
          <w:b w:val="0"/>
          <w:color w:val="auto"/>
        </w:rPr>
      </w:pPr>
      <w:bookmarkStart w:id="182" w:name="_Toc85785848"/>
      <w:bookmarkStart w:id="183" w:name="_Toc85790905"/>
      <w:bookmarkStart w:id="184" w:name="_Toc22876"/>
      <w:bookmarkStart w:id="185" w:name="_Toc15396627"/>
      <w:bookmarkStart w:id="186" w:name="_Toc28385"/>
      <w:bookmarkStart w:id="187" w:name="_Toc79163644"/>
      <w:bookmarkStart w:id="188" w:name="_Toc10476"/>
      <w:bookmarkStart w:id="189" w:name="_Toc13422"/>
      <w:r>
        <w:rPr>
          <w:rStyle w:val="26"/>
          <w:rFonts w:hint="eastAsia" w:ascii="仿宋" w:hAnsi="仿宋" w:eastAsia="仿宋"/>
          <w:b w:val="0"/>
          <w:bCs/>
          <w:color w:val="auto"/>
        </w:rPr>
        <w:t>九、</w:t>
      </w:r>
      <w:r>
        <w:rPr>
          <w:rFonts w:hint="eastAsia" w:ascii="仿宋" w:hAnsi="仿宋" w:eastAsia="仿宋"/>
          <w:b w:val="0"/>
          <w:color w:val="auto"/>
        </w:rPr>
        <w:t>一</w:t>
      </w:r>
      <w:r>
        <w:rPr>
          <w:rStyle w:val="26"/>
          <w:rFonts w:hint="eastAsia" w:ascii="仿宋" w:hAnsi="仿宋" w:eastAsia="仿宋"/>
          <w:b w:val="0"/>
          <w:bCs/>
          <w:color w:val="auto"/>
        </w:rPr>
        <w:t>般公共预算财政拨款项目支出决算表</w:t>
      </w:r>
      <w:bookmarkEnd w:id="182"/>
      <w:bookmarkEnd w:id="183"/>
      <w:bookmarkEnd w:id="184"/>
      <w:bookmarkEnd w:id="185"/>
      <w:bookmarkEnd w:id="186"/>
      <w:bookmarkEnd w:id="187"/>
      <w:bookmarkEnd w:id="188"/>
      <w:bookmarkEnd w:id="189"/>
    </w:p>
    <w:p>
      <w:pPr>
        <w:pStyle w:val="4"/>
        <w:rPr>
          <w:rFonts w:ascii="仿宋" w:hAnsi="仿宋" w:eastAsia="仿宋"/>
          <w:b w:val="0"/>
          <w:color w:val="auto"/>
        </w:rPr>
      </w:pPr>
      <w:bookmarkStart w:id="190" w:name="_Toc79163645"/>
      <w:bookmarkStart w:id="191" w:name="_Toc85785849"/>
      <w:bookmarkStart w:id="192" w:name="_Toc18267"/>
      <w:bookmarkStart w:id="193" w:name="_Toc2812"/>
      <w:bookmarkStart w:id="194" w:name="_Toc85790906"/>
      <w:bookmarkStart w:id="195" w:name="_Toc32417"/>
      <w:bookmarkStart w:id="196" w:name="_Toc15397"/>
      <w:bookmarkStart w:id="197" w:name="_Toc15396628"/>
      <w:r>
        <w:rPr>
          <w:rStyle w:val="26"/>
          <w:rFonts w:hint="eastAsia" w:ascii="仿宋" w:hAnsi="仿宋" w:eastAsia="仿宋"/>
          <w:b w:val="0"/>
          <w:bCs/>
          <w:color w:val="auto"/>
        </w:rPr>
        <w:t>十、</w:t>
      </w:r>
      <w:r>
        <w:rPr>
          <w:rFonts w:hint="eastAsia" w:ascii="仿宋" w:hAnsi="仿宋" w:eastAsia="仿宋"/>
          <w:b w:val="0"/>
          <w:color w:val="auto"/>
        </w:rPr>
        <w:t>一</w:t>
      </w:r>
      <w:r>
        <w:rPr>
          <w:rStyle w:val="26"/>
          <w:rFonts w:hint="eastAsia" w:ascii="仿宋" w:hAnsi="仿宋" w:eastAsia="仿宋"/>
          <w:b w:val="0"/>
          <w:bCs/>
          <w:color w:val="auto"/>
        </w:rPr>
        <w:t>般公共预算财政拨款“三公”经费支出决算表</w:t>
      </w:r>
      <w:bookmarkEnd w:id="190"/>
      <w:bookmarkEnd w:id="191"/>
      <w:bookmarkEnd w:id="192"/>
      <w:bookmarkEnd w:id="193"/>
      <w:bookmarkEnd w:id="194"/>
      <w:bookmarkEnd w:id="195"/>
      <w:bookmarkEnd w:id="196"/>
      <w:bookmarkEnd w:id="197"/>
    </w:p>
    <w:p>
      <w:pPr>
        <w:pStyle w:val="4"/>
        <w:rPr>
          <w:rFonts w:ascii="仿宋" w:hAnsi="仿宋" w:eastAsia="仿宋"/>
          <w:b w:val="0"/>
          <w:color w:val="auto"/>
        </w:rPr>
      </w:pPr>
      <w:bookmarkStart w:id="198" w:name="_Toc26127"/>
      <w:bookmarkStart w:id="199" w:name="_Toc79163646"/>
      <w:bookmarkStart w:id="200" w:name="_Toc16594"/>
      <w:bookmarkStart w:id="201" w:name="_Toc85785850"/>
      <w:bookmarkStart w:id="202" w:name="_Toc15396629"/>
      <w:bookmarkStart w:id="203" w:name="_Toc17287"/>
      <w:bookmarkStart w:id="204" w:name="_Toc85790907"/>
      <w:bookmarkStart w:id="205" w:name="_Toc14487"/>
      <w:r>
        <w:rPr>
          <w:rStyle w:val="26"/>
          <w:rFonts w:hint="eastAsia" w:ascii="仿宋" w:hAnsi="仿宋" w:eastAsia="仿宋"/>
          <w:b w:val="0"/>
          <w:bCs/>
          <w:color w:val="auto"/>
        </w:rPr>
        <w:t>十一、</w:t>
      </w:r>
      <w:r>
        <w:rPr>
          <w:rFonts w:hint="eastAsia" w:ascii="仿宋" w:hAnsi="仿宋" w:eastAsia="仿宋"/>
          <w:b w:val="0"/>
          <w:color w:val="auto"/>
        </w:rPr>
        <w:t>政</w:t>
      </w:r>
      <w:r>
        <w:rPr>
          <w:rStyle w:val="26"/>
          <w:rFonts w:hint="eastAsia" w:ascii="仿宋" w:hAnsi="仿宋" w:eastAsia="仿宋"/>
          <w:b w:val="0"/>
          <w:bCs/>
          <w:color w:val="auto"/>
        </w:rPr>
        <w:t>府性基金预算财政拨款收入支出决算表</w:t>
      </w:r>
      <w:bookmarkEnd w:id="198"/>
      <w:bookmarkEnd w:id="199"/>
      <w:bookmarkEnd w:id="200"/>
      <w:bookmarkEnd w:id="201"/>
      <w:bookmarkEnd w:id="202"/>
      <w:bookmarkEnd w:id="203"/>
      <w:bookmarkEnd w:id="204"/>
      <w:bookmarkEnd w:id="205"/>
    </w:p>
    <w:p>
      <w:pPr>
        <w:pStyle w:val="4"/>
        <w:rPr>
          <w:rFonts w:ascii="仿宋" w:hAnsi="仿宋" w:eastAsia="仿宋"/>
          <w:b w:val="0"/>
          <w:color w:val="auto"/>
        </w:rPr>
      </w:pPr>
      <w:bookmarkStart w:id="206" w:name="_Toc24465"/>
      <w:bookmarkStart w:id="207" w:name="_Toc85785851"/>
      <w:bookmarkStart w:id="208" w:name="_Toc24920"/>
      <w:bookmarkStart w:id="209" w:name="_Toc79163647"/>
      <w:bookmarkStart w:id="210" w:name="_Toc28431"/>
      <w:bookmarkStart w:id="211" w:name="_Toc85790908"/>
      <w:bookmarkStart w:id="212" w:name="_Toc15396630"/>
      <w:bookmarkStart w:id="213" w:name="_Toc21838"/>
      <w:r>
        <w:rPr>
          <w:rStyle w:val="26"/>
          <w:rFonts w:hint="eastAsia" w:ascii="仿宋" w:hAnsi="仿宋" w:eastAsia="仿宋"/>
          <w:b w:val="0"/>
          <w:bCs/>
          <w:color w:val="auto"/>
        </w:rPr>
        <w:t>十二、</w:t>
      </w:r>
      <w:r>
        <w:rPr>
          <w:rFonts w:hint="eastAsia" w:ascii="仿宋" w:hAnsi="仿宋" w:eastAsia="仿宋"/>
          <w:b w:val="0"/>
          <w:color w:val="auto"/>
        </w:rPr>
        <w:t>政</w:t>
      </w:r>
      <w:r>
        <w:rPr>
          <w:rStyle w:val="26"/>
          <w:rFonts w:hint="eastAsia" w:ascii="仿宋" w:hAnsi="仿宋" w:eastAsia="仿宋"/>
          <w:b w:val="0"/>
          <w:bCs/>
          <w:color w:val="auto"/>
        </w:rPr>
        <w:t>府性基金预算财政拨款“三公”经费支出决算表</w:t>
      </w:r>
      <w:bookmarkEnd w:id="206"/>
      <w:bookmarkEnd w:id="207"/>
      <w:bookmarkEnd w:id="208"/>
      <w:bookmarkEnd w:id="209"/>
      <w:bookmarkEnd w:id="210"/>
      <w:bookmarkEnd w:id="211"/>
      <w:bookmarkEnd w:id="212"/>
      <w:bookmarkEnd w:id="213"/>
    </w:p>
    <w:p>
      <w:pPr>
        <w:pStyle w:val="4"/>
        <w:rPr>
          <w:rStyle w:val="26"/>
          <w:rFonts w:ascii="仿宋" w:hAnsi="仿宋" w:eastAsia="仿宋"/>
          <w:b w:val="0"/>
          <w:bCs w:val="0"/>
          <w:color w:val="auto"/>
        </w:rPr>
      </w:pPr>
      <w:bookmarkStart w:id="214" w:name="_Toc85790909"/>
      <w:bookmarkStart w:id="215" w:name="_Toc22788"/>
      <w:bookmarkStart w:id="216" w:name="_Toc10073"/>
      <w:bookmarkStart w:id="217" w:name="_Toc85785852"/>
      <w:bookmarkStart w:id="218" w:name="_Toc15396631"/>
      <w:bookmarkStart w:id="219" w:name="_Toc7696"/>
      <w:bookmarkStart w:id="220" w:name="_Toc14461"/>
      <w:bookmarkStart w:id="221" w:name="_Toc79163648"/>
      <w:r>
        <w:rPr>
          <w:rStyle w:val="26"/>
          <w:rFonts w:hint="eastAsia" w:ascii="仿宋" w:hAnsi="仿宋" w:eastAsia="仿宋"/>
          <w:b w:val="0"/>
          <w:bCs/>
          <w:color w:val="auto"/>
        </w:rPr>
        <w:t>十三、</w:t>
      </w:r>
      <w:r>
        <w:rPr>
          <w:rFonts w:hint="eastAsia" w:ascii="仿宋" w:hAnsi="仿宋" w:eastAsia="仿宋"/>
          <w:b w:val="0"/>
          <w:color w:val="auto"/>
        </w:rPr>
        <w:t>国</w:t>
      </w:r>
      <w:r>
        <w:rPr>
          <w:rStyle w:val="26"/>
          <w:rFonts w:hint="eastAsia" w:ascii="仿宋" w:hAnsi="仿宋" w:eastAsia="仿宋"/>
          <w:b w:val="0"/>
          <w:bCs/>
          <w:color w:val="auto"/>
        </w:rPr>
        <w:t>有资本经营预算财政拨款支出决算表</w:t>
      </w:r>
      <w:bookmarkEnd w:id="214"/>
      <w:bookmarkEnd w:id="215"/>
      <w:bookmarkEnd w:id="216"/>
      <w:bookmarkEnd w:id="217"/>
      <w:bookmarkEnd w:id="218"/>
      <w:bookmarkEnd w:id="219"/>
      <w:bookmarkEnd w:id="220"/>
      <w:bookmarkEnd w:id="221"/>
    </w:p>
    <w:p>
      <w:pPr>
        <w:pStyle w:val="4"/>
        <w:rPr>
          <w:rFonts w:ascii="仿宋" w:hAnsi="仿宋" w:eastAsia="仿宋"/>
          <w:color w:val="auto"/>
        </w:rPr>
      </w:pPr>
      <w:bookmarkStart w:id="222" w:name="_Toc79163649"/>
      <w:bookmarkStart w:id="223" w:name="_Toc12138"/>
      <w:bookmarkStart w:id="224" w:name="_Toc85785853"/>
      <w:bookmarkStart w:id="225" w:name="_Toc21624"/>
      <w:bookmarkStart w:id="226" w:name="_Toc85790910"/>
      <w:bookmarkStart w:id="227" w:name="_Toc2036"/>
      <w:bookmarkStart w:id="228" w:name="_Toc16372"/>
      <w:r>
        <w:rPr>
          <w:rStyle w:val="26"/>
          <w:rFonts w:hint="eastAsia" w:ascii="仿宋" w:hAnsi="仿宋" w:eastAsia="仿宋"/>
          <w:b w:val="0"/>
          <w:bCs/>
          <w:color w:val="auto"/>
        </w:rPr>
        <w:t>十四、国有资本经营预算财政拨款支出决算表</w:t>
      </w:r>
      <w:bookmarkEnd w:id="222"/>
      <w:bookmarkEnd w:id="223"/>
      <w:bookmarkEnd w:id="224"/>
      <w:bookmarkEnd w:id="225"/>
      <w:bookmarkEnd w:id="226"/>
      <w:bookmarkEnd w:id="227"/>
      <w:bookmarkEnd w:id="22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4"/>
        <w:szCs w:val="24"/>
      </w:rPr>
      <w:id w:val="-1994781956"/>
    </w:sdtPr>
    <w:sdtEndPr>
      <w:rPr>
        <w:sz w:val="24"/>
        <w:szCs w:val="24"/>
      </w:rPr>
    </w:sdtEndPr>
    <w:sdtContent>
      <w:p>
        <w:pPr>
          <w:pStyle w:val="9"/>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26</w:t>
        </w:r>
        <w:r>
          <w:rPr>
            <w:sz w:val="24"/>
            <w:szCs w:val="24"/>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FF8FB77"/>
    <w:multiLevelType w:val="singleLevel"/>
    <w:tmpl w:val="2FF8FB77"/>
    <w:lvl w:ilvl="0" w:tentative="0">
      <w:start w:val="2"/>
      <w:numFmt w:val="chineseCounting"/>
      <w:suff w:val="nothing"/>
      <w:lvlText w:val="（%1）"/>
      <w:lvlJc w:val="left"/>
      <w:rPr>
        <w:rFonts w:hint="eastAsia"/>
      </w:rPr>
    </w:lvl>
  </w:abstractNum>
  <w:abstractNum w:abstractNumId="4">
    <w:nsid w:val="783A7810"/>
    <w:multiLevelType w:val="singleLevel"/>
    <w:tmpl w:val="783A7810"/>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Y4YzEyMGUyYjJlMDAwYTc5NTdlNzk1ZTAxYjcyNDMifQ=="/>
  </w:docVars>
  <w:rsids>
    <w:rsidRoot w:val="00F1361C"/>
    <w:rsid w:val="00012DFC"/>
    <w:rsid w:val="000222C6"/>
    <w:rsid w:val="0002549F"/>
    <w:rsid w:val="0002749D"/>
    <w:rsid w:val="00052F55"/>
    <w:rsid w:val="0006487A"/>
    <w:rsid w:val="00065F8F"/>
    <w:rsid w:val="000768F2"/>
    <w:rsid w:val="0009184B"/>
    <w:rsid w:val="0009593C"/>
    <w:rsid w:val="000B047F"/>
    <w:rsid w:val="000B202D"/>
    <w:rsid w:val="000B5923"/>
    <w:rsid w:val="000B5A48"/>
    <w:rsid w:val="000B6FF3"/>
    <w:rsid w:val="000C3467"/>
    <w:rsid w:val="000C3CA6"/>
    <w:rsid w:val="000C5D65"/>
    <w:rsid w:val="000D1267"/>
    <w:rsid w:val="000D1D50"/>
    <w:rsid w:val="000D5782"/>
    <w:rsid w:val="000E6613"/>
    <w:rsid w:val="000E7119"/>
    <w:rsid w:val="00114E9B"/>
    <w:rsid w:val="0014729F"/>
    <w:rsid w:val="00157BAB"/>
    <w:rsid w:val="001654D1"/>
    <w:rsid w:val="0018106D"/>
    <w:rsid w:val="001877A7"/>
    <w:rsid w:val="00191536"/>
    <w:rsid w:val="00196687"/>
    <w:rsid w:val="001B1FA9"/>
    <w:rsid w:val="001C0962"/>
    <w:rsid w:val="001C2446"/>
    <w:rsid w:val="001D3B38"/>
    <w:rsid w:val="001D6C1E"/>
    <w:rsid w:val="001D7531"/>
    <w:rsid w:val="001E737D"/>
    <w:rsid w:val="001F0592"/>
    <w:rsid w:val="001F66D0"/>
    <w:rsid w:val="001F7506"/>
    <w:rsid w:val="002006CD"/>
    <w:rsid w:val="00202B36"/>
    <w:rsid w:val="00204B7A"/>
    <w:rsid w:val="00210C52"/>
    <w:rsid w:val="0021101A"/>
    <w:rsid w:val="00220536"/>
    <w:rsid w:val="00235629"/>
    <w:rsid w:val="00260C38"/>
    <w:rsid w:val="002616C0"/>
    <w:rsid w:val="002662AA"/>
    <w:rsid w:val="00280496"/>
    <w:rsid w:val="00295495"/>
    <w:rsid w:val="002B2613"/>
    <w:rsid w:val="002D0923"/>
    <w:rsid w:val="002D3305"/>
    <w:rsid w:val="002F1818"/>
    <w:rsid w:val="002F31DF"/>
    <w:rsid w:val="002F33BA"/>
    <w:rsid w:val="002F567B"/>
    <w:rsid w:val="003154F5"/>
    <w:rsid w:val="003216A9"/>
    <w:rsid w:val="00333F1D"/>
    <w:rsid w:val="0037013F"/>
    <w:rsid w:val="00380C92"/>
    <w:rsid w:val="003A1919"/>
    <w:rsid w:val="003A484F"/>
    <w:rsid w:val="003A7793"/>
    <w:rsid w:val="003B0BE0"/>
    <w:rsid w:val="003B0C1B"/>
    <w:rsid w:val="003B688C"/>
    <w:rsid w:val="003B73BA"/>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BC1"/>
    <w:rsid w:val="00512FDA"/>
    <w:rsid w:val="00520DA0"/>
    <w:rsid w:val="0052304E"/>
    <w:rsid w:val="005404C0"/>
    <w:rsid w:val="00565AF1"/>
    <w:rsid w:val="005664BB"/>
    <w:rsid w:val="0057481D"/>
    <w:rsid w:val="0058486E"/>
    <w:rsid w:val="00597919"/>
    <w:rsid w:val="005B02A3"/>
    <w:rsid w:val="005C52C6"/>
    <w:rsid w:val="005D1C8B"/>
    <w:rsid w:val="005D5CED"/>
    <w:rsid w:val="005E3365"/>
    <w:rsid w:val="005F1A4C"/>
    <w:rsid w:val="00605688"/>
    <w:rsid w:val="006070AF"/>
    <w:rsid w:val="00607E6C"/>
    <w:rsid w:val="006101B1"/>
    <w:rsid w:val="00614E44"/>
    <w:rsid w:val="006166D2"/>
    <w:rsid w:val="00622830"/>
    <w:rsid w:val="00630AEF"/>
    <w:rsid w:val="006325F8"/>
    <w:rsid w:val="00634C9A"/>
    <w:rsid w:val="00643C0A"/>
    <w:rsid w:val="006440E4"/>
    <w:rsid w:val="0066343B"/>
    <w:rsid w:val="00664777"/>
    <w:rsid w:val="006748A4"/>
    <w:rsid w:val="00683E73"/>
    <w:rsid w:val="00691E08"/>
    <w:rsid w:val="006A3141"/>
    <w:rsid w:val="006A5E34"/>
    <w:rsid w:val="006B2422"/>
    <w:rsid w:val="006B2B9A"/>
    <w:rsid w:val="006C1937"/>
    <w:rsid w:val="006F020C"/>
    <w:rsid w:val="007127B7"/>
    <w:rsid w:val="00726B3F"/>
    <w:rsid w:val="007416B6"/>
    <w:rsid w:val="0074474D"/>
    <w:rsid w:val="00746F48"/>
    <w:rsid w:val="0075404D"/>
    <w:rsid w:val="0076182A"/>
    <w:rsid w:val="00767B7E"/>
    <w:rsid w:val="007770C3"/>
    <w:rsid w:val="00784D24"/>
    <w:rsid w:val="00785FBA"/>
    <w:rsid w:val="00786E4A"/>
    <w:rsid w:val="007875EB"/>
    <w:rsid w:val="0079426B"/>
    <w:rsid w:val="007D1FB8"/>
    <w:rsid w:val="007D312A"/>
    <w:rsid w:val="007D3F19"/>
    <w:rsid w:val="007D7724"/>
    <w:rsid w:val="007E23B0"/>
    <w:rsid w:val="007F1991"/>
    <w:rsid w:val="007F2C2F"/>
    <w:rsid w:val="007F55FC"/>
    <w:rsid w:val="007F5665"/>
    <w:rsid w:val="00800112"/>
    <w:rsid w:val="008077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7F3"/>
    <w:rsid w:val="00946945"/>
    <w:rsid w:val="00951248"/>
    <w:rsid w:val="0095152F"/>
    <w:rsid w:val="00954C49"/>
    <w:rsid w:val="00954D46"/>
    <w:rsid w:val="0097099F"/>
    <w:rsid w:val="00971997"/>
    <w:rsid w:val="00971FFC"/>
    <w:rsid w:val="0098660A"/>
    <w:rsid w:val="009931C3"/>
    <w:rsid w:val="009B2C43"/>
    <w:rsid w:val="009B4EAE"/>
    <w:rsid w:val="009B7573"/>
    <w:rsid w:val="009C22F4"/>
    <w:rsid w:val="009C2E98"/>
    <w:rsid w:val="009D3447"/>
    <w:rsid w:val="009D4711"/>
    <w:rsid w:val="009D7043"/>
    <w:rsid w:val="009F1185"/>
    <w:rsid w:val="009F18CD"/>
    <w:rsid w:val="009F2A13"/>
    <w:rsid w:val="00A04EB0"/>
    <w:rsid w:val="00A13CC1"/>
    <w:rsid w:val="00A16847"/>
    <w:rsid w:val="00A237D8"/>
    <w:rsid w:val="00A268C4"/>
    <w:rsid w:val="00A307CD"/>
    <w:rsid w:val="00A40A00"/>
    <w:rsid w:val="00A4142F"/>
    <w:rsid w:val="00A52260"/>
    <w:rsid w:val="00A56DF2"/>
    <w:rsid w:val="00A57F63"/>
    <w:rsid w:val="00A6489D"/>
    <w:rsid w:val="00A67AB5"/>
    <w:rsid w:val="00A91760"/>
    <w:rsid w:val="00A93B00"/>
    <w:rsid w:val="00A93C21"/>
    <w:rsid w:val="00AB105C"/>
    <w:rsid w:val="00AC3C6A"/>
    <w:rsid w:val="00AD5620"/>
    <w:rsid w:val="00AD7C1B"/>
    <w:rsid w:val="00AE16BA"/>
    <w:rsid w:val="00AE1EBE"/>
    <w:rsid w:val="00AE7003"/>
    <w:rsid w:val="00B03C9D"/>
    <w:rsid w:val="00B060AE"/>
    <w:rsid w:val="00B10517"/>
    <w:rsid w:val="00B11D36"/>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B4DF0"/>
    <w:rsid w:val="00BC289F"/>
    <w:rsid w:val="00BC5361"/>
    <w:rsid w:val="00BC5460"/>
    <w:rsid w:val="00BC6B50"/>
    <w:rsid w:val="00BD0E25"/>
    <w:rsid w:val="00BF5BD6"/>
    <w:rsid w:val="00C03E31"/>
    <w:rsid w:val="00C11EAA"/>
    <w:rsid w:val="00C13B26"/>
    <w:rsid w:val="00C33E72"/>
    <w:rsid w:val="00C34EED"/>
    <w:rsid w:val="00C354B2"/>
    <w:rsid w:val="00C35554"/>
    <w:rsid w:val="00C42709"/>
    <w:rsid w:val="00C533CC"/>
    <w:rsid w:val="00C5751C"/>
    <w:rsid w:val="00C61BFC"/>
    <w:rsid w:val="00C61E71"/>
    <w:rsid w:val="00C62B85"/>
    <w:rsid w:val="00C65438"/>
    <w:rsid w:val="00C663B4"/>
    <w:rsid w:val="00C82227"/>
    <w:rsid w:val="00C91CBB"/>
    <w:rsid w:val="00CA1D7E"/>
    <w:rsid w:val="00CC09B6"/>
    <w:rsid w:val="00CC666F"/>
    <w:rsid w:val="00CD1E3F"/>
    <w:rsid w:val="00CE44F6"/>
    <w:rsid w:val="00CE49DA"/>
    <w:rsid w:val="00CE7B61"/>
    <w:rsid w:val="00CF7CF1"/>
    <w:rsid w:val="00D00095"/>
    <w:rsid w:val="00D04D02"/>
    <w:rsid w:val="00D20620"/>
    <w:rsid w:val="00D26091"/>
    <w:rsid w:val="00D34E7C"/>
    <w:rsid w:val="00D35489"/>
    <w:rsid w:val="00D43BB3"/>
    <w:rsid w:val="00D51276"/>
    <w:rsid w:val="00D53550"/>
    <w:rsid w:val="00D7035F"/>
    <w:rsid w:val="00D73D4D"/>
    <w:rsid w:val="00DA65AC"/>
    <w:rsid w:val="00DB1913"/>
    <w:rsid w:val="00DC0A99"/>
    <w:rsid w:val="00DC410D"/>
    <w:rsid w:val="00DC68CA"/>
    <w:rsid w:val="00DC7CBA"/>
    <w:rsid w:val="00DD2D64"/>
    <w:rsid w:val="00DD73B7"/>
    <w:rsid w:val="00DF28BC"/>
    <w:rsid w:val="00DF34B9"/>
    <w:rsid w:val="00DF36DA"/>
    <w:rsid w:val="00E01053"/>
    <w:rsid w:val="00E07ACF"/>
    <w:rsid w:val="00E12BE8"/>
    <w:rsid w:val="00E331A1"/>
    <w:rsid w:val="00E33202"/>
    <w:rsid w:val="00E336A9"/>
    <w:rsid w:val="00E50624"/>
    <w:rsid w:val="00E568DF"/>
    <w:rsid w:val="00E64269"/>
    <w:rsid w:val="00E82267"/>
    <w:rsid w:val="00E969FA"/>
    <w:rsid w:val="00EA010F"/>
    <w:rsid w:val="00EC09BB"/>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636CA"/>
    <w:rsid w:val="00F81FD9"/>
    <w:rsid w:val="00F841AA"/>
    <w:rsid w:val="00F87CE3"/>
    <w:rsid w:val="00FA23E8"/>
    <w:rsid w:val="00FA7233"/>
    <w:rsid w:val="00FD3CC1"/>
    <w:rsid w:val="00FE17BC"/>
    <w:rsid w:val="00FF1E02"/>
    <w:rsid w:val="00FF30B4"/>
    <w:rsid w:val="10C055FF"/>
    <w:rsid w:val="16BB723D"/>
    <w:rsid w:val="191F5441"/>
    <w:rsid w:val="198650E3"/>
    <w:rsid w:val="1D570264"/>
    <w:rsid w:val="231F1A18"/>
    <w:rsid w:val="240371BF"/>
    <w:rsid w:val="276F1834"/>
    <w:rsid w:val="29FD04D3"/>
    <w:rsid w:val="2F300799"/>
    <w:rsid w:val="3114709A"/>
    <w:rsid w:val="319F7F4E"/>
    <w:rsid w:val="35B61E9E"/>
    <w:rsid w:val="38550237"/>
    <w:rsid w:val="38F8371D"/>
    <w:rsid w:val="3FC418D9"/>
    <w:rsid w:val="405B254E"/>
    <w:rsid w:val="40F50404"/>
    <w:rsid w:val="459C2AF5"/>
    <w:rsid w:val="46A40E29"/>
    <w:rsid w:val="48C752D2"/>
    <w:rsid w:val="4E5B00FD"/>
    <w:rsid w:val="4EA92531"/>
    <w:rsid w:val="52ED6284"/>
    <w:rsid w:val="531F163B"/>
    <w:rsid w:val="539C4613"/>
    <w:rsid w:val="64C35CCC"/>
    <w:rsid w:val="64C656C1"/>
    <w:rsid w:val="6747359F"/>
    <w:rsid w:val="68997542"/>
    <w:rsid w:val="68A72570"/>
    <w:rsid w:val="69CB52C8"/>
    <w:rsid w:val="6B7933D8"/>
    <w:rsid w:val="6FA61456"/>
    <w:rsid w:val="70202A42"/>
    <w:rsid w:val="796850D8"/>
    <w:rsid w:val="7C907317"/>
    <w:rsid w:val="7CD6E588"/>
    <w:rsid w:val="7D8DABB1"/>
    <w:rsid w:val="BC5F7FDB"/>
    <w:rsid w:val="FFFFE1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keepNext/>
      <w:keepLines/>
      <w:spacing w:before="260" w:after="260" w:line="416" w:lineRule="auto"/>
      <w:textAlignment w:val="baseline"/>
    </w:pPr>
    <w:rPr>
      <w:rFonts w:ascii="Cambria" w:hAnsi="Cambria"/>
      <w:b/>
      <w:bCs/>
      <w:sz w:val="32"/>
      <w:szCs w:val="32"/>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character" w:customStyle="1" w:styleId="30">
    <w:name w:val="标题 2 Char1"/>
    <w:basedOn w:val="14"/>
    <w:link w:val="4"/>
    <w:qFormat/>
    <w:uiPriority w:val="9"/>
    <w:rPr>
      <w:rFonts w:asciiTheme="majorHAnsi" w:hAnsiTheme="majorHAnsi" w:eastAsiaTheme="majorEastAsia" w:cstheme="majorBidi"/>
      <w:b/>
      <w:bCs/>
      <w:kern w:val="2"/>
      <w:sz w:val="32"/>
      <w:szCs w:val="32"/>
    </w:rPr>
  </w:style>
  <w:style w:type="paragraph" w:customStyle="1" w:styleId="31">
    <w:name w:val="WPSOffice手动目录 1"/>
    <w:qFormat/>
    <w:uiPriority w:val="0"/>
    <w:rPr>
      <w:rFonts w:ascii="Calibri" w:hAnsi="Calibri" w:eastAsia="宋体" w:cs="Times New Roman"/>
      <w:lang w:val="en-US" w:eastAsia="zh-CN" w:bidi="ar-SA"/>
    </w:rPr>
  </w:style>
  <w:style w:type="paragraph" w:customStyle="1" w:styleId="32">
    <w:name w:val="WPSOffice手动目录 2"/>
    <w:qFormat/>
    <w:uiPriority w:val="0"/>
    <w:pPr>
      <w:ind w:left="200" w:leftChars="200"/>
    </w:pPr>
    <w:rPr>
      <w:rFonts w:ascii="Calibri" w:hAnsi="Calibri" w:eastAsia="宋体" w:cs="Times New Roman"/>
      <w:lang w:val="en-US" w:eastAsia="zh-CN" w:bidi="ar-SA"/>
    </w:rPr>
  </w:style>
  <w:style w:type="paragraph" w:customStyle="1" w:styleId="33">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6700;&#38754;\2021&#24180;&#20915;&#31639;&#20844;&#24320;\&#20915;&#31639;&#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6700;&#38754;\2021&#24180;&#20915;&#31639;&#20844;&#24320;\&#20915;&#31639;&#22270;&#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6700;&#38754;\2021&#24180;&#20915;&#31639;&#20844;&#24320;\&#20915;&#31639;&#22270;&#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6700;&#38754;\2021&#24180;&#20915;&#31639;&#20844;&#24320;\&#20915;&#31639;&#22270;&#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26700;&#38754;\2021&#24180;&#20915;&#31639;&#20844;&#24320;\&#20915;&#31639;&#22270;&#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26700;&#38754;\2021&#24180;&#20915;&#31639;&#20844;&#24320;\&#20915;&#31639;&#22270;&#34920;.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6700;&#38754;\2021&#24180;&#20915;&#31639;&#20844;&#24320;\&#25919;&#21327;\&#35745;&#31639;&#34920;.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26700;&#38754;\2021&#24180;&#20915;&#31639;&#20844;&#24320;\&#20915;&#31639;&#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rPr>
              <a:t>收入决算总计变动情况图</a:t>
            </a: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69444444444444"/>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985.89</c:v>
                </c:pt>
                <c:pt idx="1">
                  <c:v>773.1</c:v>
                </c:pt>
              </c:numCache>
            </c:numRef>
          </c:val>
        </c:ser>
        <c:dLbls>
          <c:showLegendKey val="0"/>
          <c:showVal val="0"/>
          <c:showCatName val="0"/>
          <c:showSerName val="0"/>
          <c:showPercent val="0"/>
          <c:showBubbleSize val="0"/>
        </c:dLbls>
        <c:gapWidth val="219"/>
        <c:overlap val="-27"/>
        <c:axId val="159550848"/>
        <c:axId val="46920448"/>
      </c:barChart>
      <c:catAx>
        <c:axId val="1595508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46920448"/>
        <c:crosses val="autoZero"/>
        <c:auto val="1"/>
        <c:lblAlgn val="ctr"/>
        <c:lblOffset val="100"/>
        <c:noMultiLvlLbl val="0"/>
      </c:catAx>
      <c:valAx>
        <c:axId val="469204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15955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rPr>
              <a:t>支出决算总计变动情况图</a:t>
            </a: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89451385996576"/>
          <c:y val="0.0169444444444444"/>
        </c:manualLayout>
      </c:layout>
      <c:overlay val="0"/>
    </c:title>
    <c:autoTitleDeleted val="0"/>
    <c:plotArea>
      <c:layout/>
      <c:barChart>
        <c:barDir val="col"/>
        <c:grouping val="clustered"/>
        <c:varyColors val="0"/>
        <c:ser>
          <c:idx val="0"/>
          <c:order val="0"/>
          <c:spPr>
            <a:solidFill>
              <a:srgbClr val="5B9BD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[决算图表.xls]Sheet1!$A$20:$A$21</c:f>
              <c:strCache>
                <c:ptCount val="2"/>
                <c:pt idx="0">
                  <c:v>2021年</c:v>
                </c:pt>
                <c:pt idx="1">
                  <c:v>2020年</c:v>
                </c:pt>
              </c:strCache>
            </c:strRef>
          </c:cat>
          <c:val>
            <c:numRef>
              <c:f>[决算图表.xls]Sheet1!$B$20:$B$21</c:f>
              <c:numCache>
                <c:formatCode>General</c:formatCode>
                <c:ptCount val="2"/>
                <c:pt idx="0">
                  <c:v>1024.63</c:v>
                </c:pt>
                <c:pt idx="1">
                  <c:v>784.29</c:v>
                </c:pt>
              </c:numCache>
            </c:numRef>
          </c:val>
        </c:ser>
        <c:dLbls>
          <c:showLegendKey val="0"/>
          <c:showVal val="0"/>
          <c:showCatName val="0"/>
          <c:showSerName val="0"/>
          <c:showPercent val="0"/>
          <c:showBubbleSize val="0"/>
        </c:dLbls>
        <c:gapWidth val="219"/>
        <c:overlap val="-27"/>
        <c:axId val="71324416"/>
        <c:axId val="71325952"/>
      </c:barChart>
      <c:catAx>
        <c:axId val="713244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71325952"/>
        <c:crosses val="autoZero"/>
        <c:auto val="1"/>
        <c:lblAlgn val="ctr"/>
        <c:lblOffset val="100"/>
        <c:noMultiLvlLbl val="0"/>
      </c:catAx>
      <c:valAx>
        <c:axId val="713259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7132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[决算图表.xls]政协2021年决算公开!$A$1:$A$7</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[决算图表.xls]政协2021年决算公开!$B$1:$B$7</c:f>
              <c:numCache>
                <c:formatCode>General</c:formatCode>
                <c:ptCount val="7"/>
                <c:pt idx="0">
                  <c:v>985.89</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[决算图表.xls]政协2021年决算公开!$A$31:$A$35</c:f>
              <c:strCache>
                <c:ptCount val="5"/>
                <c:pt idx="0">
                  <c:v>基本支出</c:v>
                </c:pt>
                <c:pt idx="1">
                  <c:v>项目支出</c:v>
                </c:pt>
                <c:pt idx="2">
                  <c:v>上缴上级支出</c:v>
                </c:pt>
                <c:pt idx="3">
                  <c:v>经营支出</c:v>
                </c:pt>
                <c:pt idx="4">
                  <c:v>对附属单位补助支出</c:v>
                </c:pt>
              </c:strCache>
            </c:strRef>
          </c:cat>
          <c:val>
            <c:numRef>
              <c:f>[决算图表.xls]政协2021年决算公开!$B$31:$B$35</c:f>
              <c:numCache>
                <c:formatCode>General</c:formatCode>
                <c:ptCount val="5"/>
                <c:pt idx="0">
                  <c:v>904.56</c:v>
                </c:pt>
                <c:pt idx="1">
                  <c:v>120.07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财政拨款收入决算总计变动情况</a:t>
            </a:r>
          </a:p>
        </c:rich>
      </c:tx>
      <c:layout>
        <c:manualLayout>
          <c:xMode val="edge"/>
          <c:yMode val="edge"/>
          <c:x val="0.242777777777778"/>
          <c:y val="0.0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[决算图表.xls]决算公开柱图!$A$1:$A$2</c:f>
              <c:strCache>
                <c:ptCount val="2"/>
                <c:pt idx="0">
                  <c:v>2021年度</c:v>
                </c:pt>
                <c:pt idx="1">
                  <c:v>2020年度</c:v>
                </c:pt>
              </c:strCache>
            </c:strRef>
          </c:cat>
          <c:val>
            <c:numRef>
              <c:f>[决算图表.xls]决算公开柱图!$B$1:$B$2</c:f>
              <c:numCache>
                <c:formatCode>General</c:formatCode>
                <c:ptCount val="2"/>
                <c:pt idx="0">
                  <c:v>985.89</c:v>
                </c:pt>
                <c:pt idx="1">
                  <c:v>773.1</c:v>
                </c:pt>
              </c:numCache>
            </c:numRef>
          </c:val>
        </c:ser>
        <c:dLbls>
          <c:showLegendKey val="0"/>
          <c:showVal val="0"/>
          <c:showCatName val="0"/>
          <c:showSerName val="0"/>
          <c:showPercent val="0"/>
          <c:showBubbleSize val="0"/>
        </c:dLbls>
        <c:gapWidth val="219"/>
        <c:overlap val="-27"/>
        <c:axId val="73013504"/>
        <c:axId val="73015296"/>
      </c:barChart>
      <c:catAx>
        <c:axId val="730135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15296"/>
        <c:crosses val="autoZero"/>
        <c:auto val="1"/>
        <c:lblAlgn val="ctr"/>
        <c:lblOffset val="100"/>
        <c:noMultiLvlLbl val="0"/>
      </c:catAx>
      <c:valAx>
        <c:axId val="7301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13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财政拨款支出决算总计变动情况</a:t>
            </a:r>
          </a:p>
        </c:rich>
      </c:tx>
      <c:layout>
        <c:manualLayout>
          <c:xMode val="edge"/>
          <c:yMode val="edge"/>
          <c:x val="0.242777777777778"/>
          <c:y val="0.0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[决算图表.xls]决算公开柱图!$A$1:$A$2</c:f>
              <c:strCache>
                <c:ptCount val="2"/>
                <c:pt idx="0">
                  <c:v>2021年度</c:v>
                </c:pt>
                <c:pt idx="1">
                  <c:v>2020年度</c:v>
                </c:pt>
              </c:strCache>
            </c:strRef>
          </c:cat>
          <c:val>
            <c:numRef>
              <c:f>[决算图表.xls]决算公开柱图!$B$1:$B$2</c:f>
              <c:numCache>
                <c:formatCode>General</c:formatCode>
                <c:ptCount val="2"/>
                <c:pt idx="0">
                  <c:v>1024.63</c:v>
                </c:pt>
                <c:pt idx="1">
                  <c:v>784.29</c:v>
                </c:pt>
              </c:numCache>
            </c:numRef>
          </c:val>
        </c:ser>
        <c:dLbls>
          <c:showLegendKey val="0"/>
          <c:showVal val="0"/>
          <c:showCatName val="0"/>
          <c:showSerName val="0"/>
          <c:showPercent val="0"/>
          <c:showBubbleSize val="0"/>
        </c:dLbls>
        <c:gapWidth val="219"/>
        <c:overlap val="-27"/>
        <c:axId val="73026560"/>
        <c:axId val="73044736"/>
      </c:barChart>
      <c:catAx>
        <c:axId val="730265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44736"/>
        <c:crosses val="autoZero"/>
        <c:auto val="1"/>
        <c:lblAlgn val="ctr"/>
        <c:lblOffset val="100"/>
        <c:noMultiLvlLbl val="0"/>
      </c:catAx>
      <c:valAx>
        <c:axId val="7304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2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manualLayout>
          <c:xMode val="edge"/>
          <c:yMode val="edge"/>
          <c:x val="0.144444444444444"/>
          <c:y val="0.0277777777777778"/>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[决算图表.xls]决算公开柱图!$A$1:$A$2</c:f>
              <c:strCache>
                <c:ptCount val="2"/>
                <c:pt idx="0">
                  <c:v>2021年度</c:v>
                </c:pt>
                <c:pt idx="1">
                  <c:v>2020年度</c:v>
                </c:pt>
              </c:strCache>
            </c:strRef>
          </c:cat>
          <c:val>
            <c:numRef>
              <c:f>[决算图表.xls]决算公开柱图!$B$1:$B$2</c:f>
              <c:numCache>
                <c:formatCode>General</c:formatCode>
                <c:ptCount val="2"/>
                <c:pt idx="0">
                  <c:v>1024.63</c:v>
                </c:pt>
                <c:pt idx="1">
                  <c:v>784.29</c:v>
                </c:pt>
              </c:numCache>
            </c:numRef>
          </c:val>
        </c:ser>
        <c:dLbls>
          <c:showLegendKey val="0"/>
          <c:showVal val="0"/>
          <c:showCatName val="0"/>
          <c:showSerName val="0"/>
          <c:showPercent val="0"/>
          <c:showBubbleSize val="0"/>
        </c:dLbls>
        <c:gapWidth val="219"/>
        <c:overlap val="-27"/>
        <c:axId val="73072640"/>
        <c:axId val="73074176"/>
      </c:barChart>
      <c:catAx>
        <c:axId val="73072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74176"/>
        <c:crosses val="autoZero"/>
        <c:auto val="1"/>
        <c:lblAlgn val="ctr"/>
        <c:lblOffset val="100"/>
        <c:noMultiLvlLbl val="0"/>
      </c:catAx>
      <c:valAx>
        <c:axId val="73074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07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Lbls>
            <c:delete val="1"/>
          </c:dLbls>
          <c:cat>
            <c:strRef>
              <c:f>[计算表.xlsx]Sheet1!$B$10:$B$13</c:f>
              <c:strCache>
                <c:ptCount val="4"/>
                <c:pt idx="0">
                  <c:v>     一般公共服务（类）支出</c:v>
                </c:pt>
                <c:pt idx="1">
                  <c:v>     社会保障和就业（类）支出</c:v>
                </c:pt>
                <c:pt idx="2">
                  <c:v>     医疗卫生支出</c:v>
                </c:pt>
                <c:pt idx="3">
                  <c:v>    住房保障支出</c:v>
                </c:pt>
              </c:strCache>
            </c:strRef>
          </c:cat>
          <c:val>
            <c:numRef>
              <c:f>[计算表.xlsx]Sheet1!$C$10:$C$13</c:f>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[计算表.xlsx]Sheet1!$B$10:$B$13</c:f>
              <c:strCache>
                <c:ptCount val="4"/>
                <c:pt idx="0">
                  <c:v>     一般公共服务（类）支出</c:v>
                </c:pt>
                <c:pt idx="1">
                  <c:v>     社会保障和就业（类）支出</c:v>
                </c:pt>
                <c:pt idx="2">
                  <c:v>     医疗卫生支出</c:v>
                </c:pt>
                <c:pt idx="3">
                  <c:v>    住房保障支出</c:v>
                </c:pt>
              </c:strCache>
            </c:strRef>
          </c:cat>
          <c:val>
            <c:numRef>
              <c:f>[计算表.xlsx]Sheet1!$D$10:$D$13</c:f>
              <c:numCache>
                <c:formatCode>0.00%</c:formatCode>
                <c:ptCount val="4"/>
                <c:pt idx="0">
                  <c:v>0.826103081112206</c:v>
                </c:pt>
                <c:pt idx="1">
                  <c:v>0.0915257214799488</c:v>
                </c:pt>
                <c:pt idx="2">
                  <c:v>0.0313674204346935</c:v>
                </c:pt>
                <c:pt idx="3">
                  <c:v>0.0510037769731513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[决算图表.xls]决算公开饼图!$A$45:$A$47</c:f>
              <c:strCache>
                <c:ptCount val="3"/>
                <c:pt idx="0">
                  <c:v>因公出国（境）费支出</c:v>
                </c:pt>
                <c:pt idx="1">
                  <c:v>公务用车购置及运行维护费支出</c:v>
                </c:pt>
                <c:pt idx="2">
                  <c:v>公务接待费支出</c:v>
                </c:pt>
              </c:strCache>
            </c:strRef>
          </c:cat>
          <c:val>
            <c:numRef>
              <c:f>[决算图表.xls]决算公开饼图!$B$45:$B$47</c:f>
              <c:numCache>
                <c:formatCode>General</c:formatCode>
                <c:ptCount val="3"/>
                <c:pt idx="0">
                  <c:v>0</c:v>
                </c:pt>
                <c:pt idx="1">
                  <c:v>97.11</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8984</Words>
  <Characters>3150</Characters>
  <Lines>26</Lines>
  <Paragraphs>24</Paragraphs>
  <TotalTime>12</TotalTime>
  <ScaleCrop>false</ScaleCrop>
  <LinksUpToDate>false</LinksUpToDate>
  <CharactersWithSpaces>12110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2022-10-20T07:38:00Z</cp:lastPrinted>
  <dcterms:modified xsi:type="dcterms:W3CDTF">2022-10-19T16:22:12Z</dcterms:modified>
  <dc:title>四川省***</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649F028911B146D18256E78FC3FE395C</vt:lpwstr>
  </property>
</Properties>
</file>