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425"/>
      <w:bookmarkStart w:id="4" w:name="_Toc15377193"/>
      <w:bookmarkStart w:id="5" w:name="_Toc15378441"/>
      <w:bookmarkStart w:id="63" w:name="_GoBack"/>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b/>
          <w:color w:val="000000"/>
          <w:sz w:val="52"/>
          <w:szCs w:val="52"/>
        </w:rPr>
      </w:pPr>
      <w:bookmarkStart w:id="6" w:name="_Toc15396476"/>
      <w:bookmarkStart w:id="7" w:name="_Toc15377194"/>
      <w:bookmarkStart w:id="8" w:name="_Toc15377426"/>
      <w:bookmarkStart w:id="9" w:name="_Toc15396598"/>
      <w:bookmarkStart w:id="10" w:name="_Toc15378442"/>
      <w:r>
        <w:rPr>
          <w:rFonts w:hint="eastAsia" w:ascii="方正小标宋简体" w:hAnsi="宋体" w:eastAsia="方正小标宋简体"/>
          <w:b/>
          <w:color w:val="000000"/>
          <w:sz w:val="52"/>
          <w:szCs w:val="52"/>
        </w:rPr>
        <w:t>四川省</w:t>
      </w:r>
      <w:bookmarkEnd w:id="0"/>
      <w:bookmarkStart w:id="11" w:name="_Toc15306268"/>
      <w:r>
        <w:rPr>
          <w:rFonts w:hint="eastAsia" w:ascii="方正小标宋简体" w:hAnsi="宋体" w:eastAsia="方正小标宋简体"/>
          <w:b/>
          <w:color w:val="000000"/>
          <w:sz w:val="52"/>
          <w:szCs w:val="52"/>
        </w:rPr>
        <w:t>中共壤塘县委组织部</w:t>
      </w:r>
    </w:p>
    <w:p>
      <w:pPr>
        <w:adjustRightInd w:val="0"/>
        <w:snapToGrid w:val="0"/>
        <w:spacing w:line="360" w:lineRule="auto"/>
        <w:jc w:val="center"/>
        <w:outlineLvl w:val="0"/>
        <w:rPr>
          <w:rFonts w:ascii="方正小标宋简体" w:hAnsi="宋体" w:eastAsia="方正小标宋简体"/>
          <w:b/>
          <w:color w:val="000000"/>
          <w:sz w:val="52"/>
          <w:szCs w:val="52"/>
        </w:rPr>
      </w:pPr>
      <w:r>
        <w:rPr>
          <w:rFonts w:hint="eastAsia" w:ascii="方正小标宋简体" w:hAnsi="宋体" w:eastAsia="方正小标宋简体"/>
          <w:b/>
          <w:color w:val="000000"/>
          <w:sz w:val="52"/>
          <w:szCs w:val="52"/>
        </w:rPr>
        <w:t>部门决算</w:t>
      </w:r>
      <w:bookmarkEnd w:id="6"/>
      <w:bookmarkEnd w:id="7"/>
      <w:bookmarkEnd w:id="8"/>
      <w:bookmarkEnd w:id="9"/>
      <w:bookmarkEnd w:id="10"/>
      <w:bookmarkEnd w:id="11"/>
    </w:p>
    <w:bookmarkEnd w:id="63"/>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theme="minorBidi"/>
        </w:rPr>
      </w:pPr>
      <w:r>
        <w:fldChar w:fldCharType="begin"/>
      </w:r>
      <w:r>
        <w:instrText xml:space="preserve"> HYPERLINK \l "_Toc15396599" </w:instrText>
      </w:r>
      <w:r>
        <w:fldChar w:fldCharType="separate"/>
      </w:r>
      <w:r>
        <w:rPr>
          <w:rStyle w:val="17"/>
          <w:rFonts w:hint="eastAsia"/>
        </w:rPr>
        <w:t>第一部分部门概况</w:t>
      </w:r>
      <w:r>
        <w:tab/>
      </w:r>
      <w:r>
        <w:rPr>
          <w:rFonts w:hint="eastAsia"/>
        </w:rPr>
        <w:t>4</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5</w:t>
      </w:r>
      <w:r>
        <w:rPr>
          <w:rFonts w:hint="eastAsia"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tab/>
      </w:r>
      <w:r>
        <w:rPr>
          <w:rFonts w:hint="eastAsia"/>
        </w:rPr>
        <w:t>6</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3"/>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rPr>
      </w:pPr>
      <w:r>
        <w:rPr>
          <w:rStyle w:val="17"/>
          <w:rFonts w:hint="eastAsia" w:ascii="仿宋" w:hAnsi="仿宋" w:eastAsia="仿宋" w:cstheme="majorBidi"/>
          <w:bCs/>
          <w:color w:val="000000" w:themeColor="text1"/>
          <w:sz w:val="28"/>
          <w:szCs w:val="28"/>
          <w:u w:val="none"/>
        </w:rPr>
        <w:t>十、预算绩效情况说明</w:t>
      </w:r>
      <w:r>
        <w:rPr>
          <w:rStyle w:val="17"/>
          <w:rFonts w:ascii="仿宋" w:hAnsi="仿宋" w:eastAsia="仿宋" w:cstheme="majorBidi"/>
          <w:bCs/>
          <w:color w:val="000000" w:themeColor="text1"/>
          <w:sz w:val="28"/>
          <w:szCs w:val="28"/>
          <w:u w:val="none"/>
        </w:rPr>
        <w:t>…………………………………………</w:t>
      </w:r>
      <w:r>
        <w:rPr>
          <w:rStyle w:val="17"/>
          <w:rFonts w:hint="eastAsia" w:ascii="仿宋" w:hAnsi="仿宋" w:eastAsia="仿宋" w:cstheme="majorBidi"/>
          <w:bCs/>
          <w:color w:val="000000" w:themeColor="text1"/>
          <w:sz w:val="28"/>
          <w:szCs w:val="28"/>
          <w:u w:val="none"/>
        </w:rPr>
        <w:t xml:space="preserve">  13</w:t>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19</w:t>
      </w:r>
      <w:r>
        <w:fldChar w:fldCharType="end"/>
      </w:r>
      <w:r>
        <w:fldChar w:fldCharType="end"/>
      </w:r>
    </w:p>
    <w:p>
      <w:pPr>
        <w:pStyle w:val="12"/>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四部分附件</w:t>
      </w:r>
      <w:r>
        <w:tab/>
      </w:r>
      <w:r>
        <w:fldChar w:fldCharType="begin"/>
      </w:r>
      <w:r>
        <w:instrText xml:space="preserve"> PAGEREF _Toc15396614 \h </w:instrText>
      </w:r>
      <w:r>
        <w:fldChar w:fldCharType="separate"/>
      </w:r>
      <w:r>
        <w:t>22</w:t>
      </w:r>
      <w:r>
        <w:fldChar w:fldCharType="end"/>
      </w:r>
      <w:r>
        <w:fldChar w:fldCharType="end"/>
      </w:r>
    </w:p>
    <w:p>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24</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五部分附表</w:t>
      </w:r>
      <w:r>
        <w:tab/>
      </w:r>
      <w:r>
        <w:fldChar w:fldCharType="begin"/>
      </w:r>
      <w:r>
        <w:instrText xml:space="preserve"> PAGEREF _Toc15396618 \h </w:instrText>
      </w:r>
      <w:r>
        <w:fldChar w:fldCharType="separate"/>
      </w:r>
      <w:r>
        <w:t>25</w:t>
      </w:r>
      <w:r>
        <w:fldChar w:fldCharType="end"/>
      </w:r>
      <w:r>
        <w:fldChar w:fldCharType="end"/>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hAnsi="黑体" w:eastAsia="黑体"/>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pStyle w:val="3"/>
        <w:rPr>
          <w:rStyle w:val="2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研究和指导全县党的组织建设特别是党的基层组织建设；探索各类新的经济组织中党组织的设置和活动方式；协调、规划和指导党员教育工作，主管党员的管理和发展工作；组织、协调新时期党建工作新情况、新问题和党建理论的研究，提出加强党的思想、组织、作风建设的意见和建议。</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负责办理我县由州委管理的干部职务任免、工资、退(离)休报批手续；提出对县委管理的领导班子调整配备的意见和建议；负责县管干部的选拔、考察工作，办理其任免、工资、退(离)休审批手续；组织实施公开选拔县管干部和指导协调全县公开选拔领导干部工作；指导领导班子思想作风建设；负责镇（乡）及县直机关科级干部的宏观管理工作；承办部分干部的调配、交流及安置事项。</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3、研究贯彻中央、省委、州委制定的干部队伍建设的方针、政策，组织落实培养选拔中青年干部工作。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4、研究和宏观指导全县党的组织制度和干部人事制度的改革，制定或参与制定我县组织、干部、人事工作的重要政策和制度。  </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5、负责全县组织、干部工作的督促检查，及时向县委反映重要情况，提出建议。</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6、主管全县干部教育工作，研究制定我县干部教育的规定、规划；组织县委管理的干部和一定层次的中、青年干部、高级知识分子以及组织部门干部的培训。</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7、牵头负责全县人才工作，制定全县人才工作和人才队伍建设重大政策措施；组织协调全县高层次人才培养、选拔、引进、服务等工作；负责领导联系专家协调服务工作；履行县人才工作领导小组办公室职责。</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8、对国有企业经营管理者队伍的建设进行宏观管理和指导；探索建立企业经营管理者人才市场，掌握和联系一批优秀的企业经营管理者，并提出培养使用意见。</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9、负责全县党的机关、人大、政协、群众团体、法院、检察院和民主党派机关参照国家公务员制度进行管理的工作。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10、负责全县领导干部监督工作的综合、协调和指导，制定或参与制定干部监督的制度和规定；对干部选拔任用工作和领导干部进行监督。</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11、管理县委老干部局。指导退(离)休干部宏观管理工作。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1. 重规范，严管理，以“四个着力” 持续强化党员干部思想理论武装；组织开展藏汉双语差异化培训测试、干部教育培训工作，完成在职、（离）退休党员干部护照集中管理工作；</w:t>
      </w:r>
    </w:p>
    <w:p>
      <w:pPr>
        <w:spacing w:line="560" w:lineRule="exact"/>
        <w:ind w:firstLine="640" w:firstLineChars="200"/>
        <w:rPr>
          <w:rFonts w:ascii="仿宋_GB2312" w:eastAsia="仿宋_GB2312"/>
          <w:sz w:val="32"/>
          <w:szCs w:val="32"/>
        </w:rPr>
      </w:pPr>
      <w:r>
        <w:rPr>
          <w:rFonts w:hint="eastAsia" w:ascii="仿宋" w:hAnsi="仿宋" w:eastAsia="仿宋"/>
          <w:bCs/>
          <w:color w:val="000000"/>
          <w:sz w:val="32"/>
          <w:szCs w:val="32"/>
        </w:rPr>
        <w:t>2.重实用，强升级，以“强质提能”推动人才工作升级发展；</w:t>
      </w:r>
      <w:r>
        <w:rPr>
          <w:rFonts w:hint="eastAsia" w:ascii="仿宋_GB2312" w:eastAsia="仿宋_GB2312"/>
          <w:sz w:val="32"/>
          <w:szCs w:val="32"/>
        </w:rPr>
        <w:t>召开全县人才队伍建设座谈会，认真总结分析全县人才队伍建设存在问题和成因。建立领导干部联系人才制度。分类建立人才信息管理数据库，增强人才工作的针对性、前瞻性、有效性。按照需求完成2018年选调生、公务员、事业人员招录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w:t>
      </w:r>
      <w:r>
        <w:rPr>
          <w:rFonts w:hint="eastAsia" w:hAnsi="黑体"/>
          <w:snapToGrid w:val="0"/>
          <w:spacing w:val="-20"/>
          <w:sz w:val="32"/>
          <w:szCs w:val="32"/>
        </w:rPr>
        <w:t xml:space="preserve"> </w:t>
      </w:r>
      <w:r>
        <w:rPr>
          <w:rFonts w:hint="eastAsia" w:ascii="仿宋" w:hAnsi="仿宋" w:eastAsia="仿宋"/>
          <w:bCs/>
          <w:color w:val="000000"/>
          <w:sz w:val="32"/>
          <w:szCs w:val="32"/>
        </w:rPr>
        <w:t>重深化，强拓展，推动“两学一做”常态化制度化建设，助推全县“两联一进”全覆盖群众工作，组织实施全县“联户联情”群众工作，壤塘县《以真心赢得群众真情，用辛苦换来群众幸福》七年群众工作实践经验得到了州委的高度肯定并汇编后供各县市各部门参考；</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4.强基础，夯底部，以“五个强化” 全面提高党建工作整体</w:t>
      </w:r>
      <w:r>
        <w:rPr>
          <w:rFonts w:hint="eastAsia" w:hAnsi="黑体"/>
          <w:snapToGrid w:val="0"/>
          <w:spacing w:val="-20"/>
          <w:sz w:val="32"/>
          <w:szCs w:val="32"/>
        </w:rPr>
        <w:t>水平，集中</w:t>
      </w:r>
      <w:r>
        <w:rPr>
          <w:rFonts w:hint="eastAsia" w:ascii="仿宋" w:hAnsi="仿宋" w:eastAsia="仿宋"/>
          <w:bCs/>
          <w:color w:val="000000"/>
          <w:sz w:val="32"/>
          <w:szCs w:val="32"/>
        </w:rPr>
        <w:t>开展“软乡弱村集中整顿”工作，开展“大学习、大讨论、大调研”活动和党建促脱贫攻坚工作及壤塘县“政治体检”工作；</w:t>
      </w:r>
    </w:p>
    <w:p>
      <w:pPr>
        <w:tabs>
          <w:tab w:val="left" w:pos="1966"/>
        </w:tabs>
        <w:spacing w:line="560" w:lineRule="exact"/>
        <w:ind w:firstLine="640" w:firstLineChars="200"/>
        <w:rPr>
          <w:rFonts w:ascii="仿宋_GB2312" w:eastAsia="仿宋_GB2312"/>
          <w:sz w:val="32"/>
          <w:szCs w:val="32"/>
        </w:rPr>
      </w:pPr>
      <w:r>
        <w:rPr>
          <w:rFonts w:hint="eastAsia" w:ascii="仿宋" w:hAnsi="仿宋" w:eastAsia="仿宋"/>
          <w:bCs/>
          <w:color w:val="000000"/>
          <w:sz w:val="32"/>
          <w:szCs w:val="32"/>
        </w:rPr>
        <w:t>5.</w:t>
      </w:r>
      <w:r>
        <w:rPr>
          <w:rFonts w:hint="eastAsia" w:hAnsi="黑体"/>
          <w:snapToGrid w:val="0"/>
          <w:sz w:val="32"/>
          <w:szCs w:val="32"/>
        </w:rPr>
        <w:t xml:space="preserve"> </w:t>
      </w:r>
      <w:r>
        <w:rPr>
          <w:rFonts w:hint="eastAsia" w:ascii="仿宋_GB2312" w:hAnsi="黑体" w:eastAsia="仿宋_GB2312"/>
          <w:snapToGrid w:val="0"/>
          <w:sz w:val="32"/>
          <w:szCs w:val="32"/>
        </w:rPr>
        <w:t>重统筹，强作用，推动老干工作稳中向好</w:t>
      </w:r>
      <w:r>
        <w:rPr>
          <w:rFonts w:hint="eastAsia" w:hAnsi="黑体"/>
          <w:snapToGrid w:val="0"/>
          <w:sz w:val="32"/>
          <w:szCs w:val="32"/>
        </w:rPr>
        <w:t>，</w:t>
      </w:r>
      <w:r>
        <w:rPr>
          <w:rFonts w:hint="eastAsia" w:ascii="仿宋_GB2312" w:eastAsia="仿宋_GB2312"/>
          <w:sz w:val="32"/>
          <w:szCs w:val="32"/>
        </w:rPr>
        <w:t>开展“七一”“重阳”“元旦”“春节”等慰问活动；协调解决好老干部关心的每年体检等事宜；建立《壤塘县退休人员活动经费管理制度》；为老干部征订《民族教育报》《阿坝日报》等杂志。</w:t>
      </w:r>
      <w:r>
        <w:rPr>
          <w:rFonts w:hint="eastAsia" w:ascii="仿宋" w:hAnsi="仿宋" w:eastAsia="仿宋"/>
          <w:bCs/>
          <w:color w:val="000000"/>
          <w:sz w:val="32"/>
          <w:szCs w:val="32"/>
        </w:rPr>
        <w:t>积极组织建县60周年“老干部返乡团”暨“壤巴拉节”活动筹备实施；</w:t>
      </w:r>
    </w:p>
    <w:p>
      <w:pPr>
        <w:spacing w:line="560" w:lineRule="exact"/>
        <w:ind w:firstLine="640" w:firstLineChars="200"/>
        <w:rPr>
          <w:rFonts w:eastAsia="仿宋_GB2312"/>
          <w:snapToGrid w:val="0"/>
          <w:sz w:val="32"/>
          <w:szCs w:val="32"/>
        </w:rPr>
      </w:pPr>
      <w:r>
        <w:rPr>
          <w:rFonts w:hint="eastAsia" w:ascii="仿宋" w:hAnsi="仿宋" w:eastAsia="仿宋"/>
          <w:bCs/>
          <w:color w:val="000000"/>
          <w:sz w:val="32"/>
          <w:szCs w:val="32"/>
        </w:rPr>
        <w:t>6. 重质量，强提升，推动信息宣传工作稳中有进。本年度信息宣传在各级网站、主流媒体及上级专刊共计发表1260篇；</w:t>
      </w:r>
    </w:p>
    <w:p>
      <w:pPr>
        <w:pStyle w:val="3"/>
        <w:rPr>
          <w:rStyle w:val="28"/>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rPr>
        <w:t>中共壤塘县委组织部下属二级单位0个。</w:t>
      </w: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rPr>
          <w:rFonts w:ascii="仿宋" w:hAnsi="仿宋" w:eastAsia="仿宋"/>
          <w:sz w:val="32"/>
          <w:szCs w:val="32"/>
        </w:rPr>
      </w:pPr>
    </w:p>
    <w:p>
      <w:pPr>
        <w:pStyle w:val="2"/>
        <w:ind w:right="440"/>
        <w:jc w:val="right"/>
        <w:rPr>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27"/>
          <w:rFonts w:hint="eastAsia" w:ascii="黑体" w:hAnsi="黑体" w:eastAsia="黑体"/>
          <w:b w:val="0"/>
          <w:bCs w:val="0"/>
        </w:rPr>
        <w:t>2018年度部门决算情况说明</w:t>
      </w:r>
      <w:bookmarkEnd w:id="22"/>
      <w:bookmarkEnd w:id="23"/>
    </w:p>
    <w:p>
      <w:pPr>
        <w:pStyle w:val="26"/>
        <w:numPr>
          <w:ilvl w:val="0"/>
          <w:numId w:val="1"/>
        </w:numPr>
        <w:spacing w:line="600" w:lineRule="exact"/>
        <w:ind w:firstLineChars="0"/>
        <w:outlineLvl w:val="1"/>
        <w:rPr>
          <w:rStyle w:val="28"/>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2018年度收、支总计</w:t>
      </w:r>
      <w:r>
        <w:rPr>
          <w:rFonts w:ascii="仿宋" w:hAnsi="仿宋" w:eastAsia="仿宋"/>
          <w:color w:val="000000"/>
          <w:sz w:val="32"/>
          <w:szCs w:val="32"/>
        </w:rPr>
        <w:t>1,650.34</w:t>
      </w:r>
      <w:r>
        <w:rPr>
          <w:rFonts w:hint="eastAsia" w:ascii="仿宋" w:hAnsi="仿宋" w:eastAsia="仿宋"/>
          <w:color w:val="000000"/>
          <w:sz w:val="32"/>
          <w:szCs w:val="32"/>
        </w:rPr>
        <w:t>万元。与2017年相比，收、支总计各增加801.65万元，各增长49%；主要变动原因是2018年全县绵阳援建及浙江援建人才资金、浙江援建远程教育资金、浙江援建大学生创业资金由我单位进行拨付,人员经费标准变动原因等情况。</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w:t>
      </w:r>
    </w:p>
    <w:p>
      <w:pPr>
        <w:spacing w:line="600" w:lineRule="exact"/>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64384" behindDoc="0" locked="0" layoutInCell="1" allowOverlap="1">
            <wp:simplePos x="0" y="0"/>
            <wp:positionH relativeFrom="column">
              <wp:posOffset>-83185</wp:posOffset>
            </wp:positionH>
            <wp:positionV relativeFrom="paragraph">
              <wp:posOffset>275590</wp:posOffset>
            </wp:positionV>
            <wp:extent cx="5274310" cy="3076575"/>
            <wp:effectExtent l="19050" t="0" r="2159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6"/>
        <w:numPr>
          <w:ilvl w:val="0"/>
          <w:numId w:val="1"/>
        </w:numPr>
        <w:spacing w:line="600" w:lineRule="exact"/>
        <w:ind w:firstLineChars="0"/>
        <w:outlineLvl w:val="1"/>
        <w:rPr>
          <w:rStyle w:val="28"/>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ascii="仿宋" w:hAnsi="仿宋" w:eastAsia="仿宋"/>
          <w:color w:val="000000"/>
          <w:sz w:val="32"/>
          <w:szCs w:val="32"/>
        </w:rPr>
        <w:t>1,432.27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1,412.23</w:t>
      </w:r>
      <w:r>
        <w:rPr>
          <w:rFonts w:hint="eastAsia" w:ascii="仿宋" w:hAnsi="仿宋" w:eastAsia="仿宋"/>
          <w:color w:val="000000"/>
          <w:sz w:val="32"/>
          <w:szCs w:val="32"/>
        </w:rPr>
        <w:t>万元，占99</w:t>
      </w:r>
      <w:r>
        <w:rPr>
          <w:rFonts w:ascii="仿宋" w:hAnsi="仿宋" w:eastAsia="仿宋"/>
          <w:color w:val="000000"/>
          <w:sz w:val="32"/>
          <w:szCs w:val="32"/>
        </w:rPr>
        <w:t>%</w:t>
      </w:r>
      <w:r>
        <w:rPr>
          <w:rFonts w:hint="eastAsia" w:ascii="仿宋" w:hAnsi="仿宋" w:eastAsia="仿宋"/>
          <w:color w:val="000000"/>
          <w:sz w:val="32"/>
          <w:szCs w:val="32"/>
        </w:rPr>
        <w:t>；其他收入</w:t>
      </w:r>
      <w:r>
        <w:rPr>
          <w:rFonts w:ascii="仿宋" w:hAnsi="仿宋" w:eastAsia="仿宋"/>
          <w:color w:val="000000"/>
          <w:sz w:val="32"/>
          <w:szCs w:val="32"/>
        </w:rPr>
        <w:t>20.04</w:t>
      </w:r>
      <w:r>
        <w:rPr>
          <w:rFonts w:hint="eastAsia" w:ascii="仿宋" w:hAnsi="仿宋" w:eastAsia="仿宋"/>
          <w:color w:val="000000"/>
          <w:sz w:val="32"/>
          <w:szCs w:val="32"/>
        </w:rPr>
        <w:t>万元，占1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80" w:firstLineChars="150"/>
        <w:outlineLvl w:val="1"/>
        <w:rPr>
          <w:rFonts w:ascii="仿宋" w:hAnsi="仿宋" w:eastAsia="仿宋"/>
          <w:color w:val="000000"/>
          <w:sz w:val="32"/>
          <w:szCs w:val="32"/>
        </w:rPr>
      </w:pPr>
      <w:r>
        <w:rPr>
          <w:rFonts w:hint="eastAsia" w:ascii="仿宋" w:hAnsi="仿宋" w:eastAsia="仿宋"/>
          <w:color w:val="000000"/>
          <w:sz w:val="32"/>
          <w:szCs w:val="32"/>
        </w:rPr>
        <w:t>图2：收入决算结构图</w:t>
      </w:r>
    </w:p>
    <w:p>
      <w:pPr>
        <w:spacing w:line="600" w:lineRule="exact"/>
        <w:outlineLvl w:val="1"/>
        <w:rPr>
          <w:rFonts w:ascii="仿宋" w:hAnsi="仿宋" w:eastAsia="仿宋"/>
          <w:color w:val="000000"/>
          <w:sz w:val="32"/>
          <w:szCs w:val="32"/>
        </w:rPr>
      </w:pPr>
      <w:r>
        <w:rPr>
          <w:rFonts w:hint="eastAsia" w:ascii="仿宋" w:hAnsi="仿宋" w:eastAsia="仿宋"/>
          <w:color w:val="000000" w:themeColor="text1"/>
          <w:sz w:val="32"/>
          <w:szCs w:val="32"/>
        </w:rPr>
        <w:drawing>
          <wp:anchor distT="0" distB="0" distL="114300" distR="114300" simplePos="0" relativeHeight="251662336" behindDoc="0" locked="0" layoutInCell="1" allowOverlap="1">
            <wp:simplePos x="0" y="0"/>
            <wp:positionH relativeFrom="column">
              <wp:posOffset>-19050</wp:posOffset>
            </wp:positionH>
            <wp:positionV relativeFrom="paragraph">
              <wp:posOffset>276225</wp:posOffset>
            </wp:positionV>
            <wp:extent cx="5274310" cy="3076575"/>
            <wp:effectExtent l="19050" t="0" r="21590" b="0"/>
            <wp:wrapSquare wrapText="bothSides"/>
            <wp:docPr id="14"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6"/>
        <w:numPr>
          <w:ilvl w:val="0"/>
          <w:numId w:val="1"/>
        </w:numPr>
        <w:spacing w:line="600" w:lineRule="exact"/>
        <w:ind w:firstLineChars="0"/>
        <w:outlineLvl w:val="1"/>
        <w:rPr>
          <w:rStyle w:val="28"/>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ascii="仿宋" w:hAnsi="仿宋" w:eastAsia="仿宋"/>
          <w:color w:val="000000"/>
          <w:sz w:val="32"/>
          <w:szCs w:val="32"/>
        </w:rPr>
        <w:t>1,596.49</w:t>
      </w:r>
      <w:r>
        <w:rPr>
          <w:rFonts w:hint="eastAsia" w:ascii="仿宋" w:hAnsi="仿宋" w:eastAsia="仿宋"/>
          <w:color w:val="000000"/>
          <w:sz w:val="32"/>
          <w:szCs w:val="32"/>
        </w:rPr>
        <w:t>万元，其中：基本支出</w:t>
      </w:r>
      <w:r>
        <w:rPr>
          <w:rFonts w:ascii="仿宋" w:hAnsi="仿宋" w:eastAsia="仿宋"/>
          <w:color w:val="000000"/>
          <w:sz w:val="32"/>
          <w:szCs w:val="32"/>
        </w:rPr>
        <w:t>1,222.05</w:t>
      </w:r>
      <w:r>
        <w:rPr>
          <w:rFonts w:hint="eastAsia" w:ascii="仿宋" w:hAnsi="仿宋" w:eastAsia="仿宋"/>
          <w:color w:val="000000"/>
          <w:sz w:val="32"/>
          <w:szCs w:val="32"/>
        </w:rPr>
        <w:t>万元，占77</w:t>
      </w:r>
      <w:r>
        <w:rPr>
          <w:rFonts w:ascii="仿宋" w:hAnsi="仿宋" w:eastAsia="仿宋"/>
          <w:color w:val="000000"/>
          <w:sz w:val="32"/>
          <w:szCs w:val="32"/>
        </w:rPr>
        <w:t>%</w:t>
      </w:r>
      <w:r>
        <w:rPr>
          <w:rFonts w:hint="eastAsia" w:ascii="仿宋" w:hAnsi="仿宋" w:eastAsia="仿宋"/>
          <w:color w:val="000000"/>
          <w:sz w:val="32"/>
          <w:szCs w:val="32"/>
        </w:rPr>
        <w:t>；项目支出</w:t>
      </w:r>
      <w:r>
        <w:rPr>
          <w:rFonts w:ascii="仿宋" w:hAnsi="仿宋" w:eastAsia="仿宋"/>
          <w:color w:val="000000"/>
          <w:sz w:val="32"/>
          <w:szCs w:val="32"/>
        </w:rPr>
        <w:t>374.43</w:t>
      </w:r>
      <w:r>
        <w:rPr>
          <w:rFonts w:hint="eastAsia" w:ascii="仿宋" w:hAnsi="仿宋" w:eastAsia="仿宋"/>
          <w:color w:val="000000"/>
          <w:sz w:val="32"/>
          <w:szCs w:val="32"/>
        </w:rPr>
        <w:t>万元，占23</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shd w:val="pct10" w:color="auto" w:fill="FFFFFF"/>
        </w:rPr>
        <w:t xml:space="preserve"> </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542925</wp:posOffset>
            </wp:positionH>
            <wp:positionV relativeFrom="paragraph">
              <wp:posOffset>28575</wp:posOffset>
            </wp:positionV>
            <wp:extent cx="4572000" cy="2743200"/>
            <wp:effectExtent l="19050" t="0" r="1905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28"/>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w:t>
      </w:r>
      <w:r>
        <w:rPr>
          <w:rFonts w:ascii="仿宋" w:hAnsi="仿宋" w:eastAsia="仿宋"/>
          <w:color w:val="000000"/>
          <w:sz w:val="32"/>
          <w:szCs w:val="32"/>
        </w:rPr>
        <w:t>1,623.00</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7年相比，财政拨款收、支总计各增加456.22万元，增长47.72</w:t>
      </w:r>
      <w:r>
        <w:rPr>
          <w:rFonts w:ascii="仿宋" w:hAnsi="仿宋" w:eastAsia="仿宋"/>
          <w:color w:val="000000"/>
          <w:sz w:val="32"/>
          <w:szCs w:val="32"/>
        </w:rPr>
        <w:t>%</w:t>
      </w:r>
      <w:r>
        <w:rPr>
          <w:rFonts w:hint="eastAsia" w:ascii="仿宋" w:hAnsi="仿宋" w:eastAsia="仿宋"/>
          <w:color w:val="000000"/>
          <w:sz w:val="32"/>
          <w:szCs w:val="32"/>
        </w:rPr>
        <w:t>。主要变动原因是2018年全县绵阳援建及浙江援建人才资金、浙江援建远程教育资金、浙江援建大学生创业资金由我单位进行拨付。</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65408" behindDoc="0" locked="0" layoutInCell="1" allowOverlap="1">
            <wp:simplePos x="0" y="0"/>
            <wp:positionH relativeFrom="column">
              <wp:posOffset>428625</wp:posOffset>
            </wp:positionH>
            <wp:positionV relativeFrom="paragraph">
              <wp:posOffset>-2771775</wp:posOffset>
            </wp:positionV>
            <wp:extent cx="5274310" cy="3076575"/>
            <wp:effectExtent l="19050" t="0" r="2159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ascii="仿宋" w:hAnsi="仿宋" w:eastAsia="仿宋"/>
          <w:color w:val="000000"/>
          <w:sz w:val="32"/>
          <w:szCs w:val="32"/>
        </w:rPr>
        <w:t>1,569.23</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7年相比，一般公共预算财政拨款增加720.54万元，增长84.9</w:t>
      </w:r>
      <w:r>
        <w:rPr>
          <w:rFonts w:ascii="仿宋" w:hAnsi="仿宋" w:eastAsia="仿宋"/>
          <w:color w:val="000000"/>
          <w:sz w:val="32"/>
          <w:szCs w:val="32"/>
        </w:rPr>
        <w:t>%</w:t>
      </w:r>
      <w:r>
        <w:rPr>
          <w:rFonts w:hint="eastAsia" w:ascii="仿宋" w:hAnsi="仿宋" w:eastAsia="仿宋"/>
          <w:color w:val="000000"/>
          <w:sz w:val="32"/>
          <w:szCs w:val="32"/>
        </w:rPr>
        <w:t>。主要变动原因是2018年全县绵阳援建及浙江援建人才资金、浙江援建远程教育资金、浙江援建大学生创业资金由我单位进行拨付,人员经费标准变动原因等情况。</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6432" behindDoc="1" locked="0" layoutInCell="1" allowOverlap="1">
            <wp:simplePos x="0" y="0"/>
            <wp:positionH relativeFrom="column">
              <wp:posOffset>476250</wp:posOffset>
            </wp:positionH>
            <wp:positionV relativeFrom="paragraph">
              <wp:posOffset>28575</wp:posOffset>
            </wp:positionV>
            <wp:extent cx="4505325" cy="3000375"/>
            <wp:effectExtent l="19050" t="0" r="9525" b="0"/>
            <wp:wrapTight wrapText="bothSides">
              <wp:wrapPolygon>
                <wp:start x="-91" y="0"/>
                <wp:lineTo x="-91" y="21531"/>
                <wp:lineTo x="21646" y="21531"/>
                <wp:lineTo x="21646" y="0"/>
                <wp:lineTo x="-91"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35" w:name="_Toc15377211"/>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ascii="仿宋" w:hAnsi="仿宋" w:eastAsia="仿宋"/>
          <w:color w:val="000000" w:themeColor="text1"/>
          <w:sz w:val="32"/>
          <w:szCs w:val="32"/>
        </w:rPr>
        <w:t>1,569.23</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一般公共服务（201）</w:t>
      </w:r>
      <w:r>
        <w:rPr>
          <w:rFonts w:hint="eastAsia" w:ascii="仿宋" w:hAnsi="仿宋" w:eastAsia="仿宋"/>
          <w:color w:val="000000" w:themeColor="text1"/>
          <w:sz w:val="32"/>
          <w:szCs w:val="32"/>
        </w:rPr>
        <w:t>支出</w:t>
      </w:r>
      <w:r>
        <w:rPr>
          <w:rFonts w:ascii="仿宋" w:hAnsi="仿宋" w:eastAsia="仿宋"/>
          <w:color w:val="000000" w:themeColor="text1"/>
          <w:sz w:val="32"/>
          <w:szCs w:val="32"/>
        </w:rPr>
        <w:t>1,459.03</w:t>
      </w:r>
      <w:r>
        <w:rPr>
          <w:rFonts w:hint="eastAsia" w:ascii="仿宋" w:hAnsi="仿宋" w:eastAsia="仿宋"/>
          <w:color w:val="000000" w:themeColor="text1"/>
          <w:sz w:val="32"/>
          <w:szCs w:val="32"/>
        </w:rPr>
        <w:t>万元，占97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0.6万元，占0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支出64.92万元，占4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医疗卫生支出</w:t>
      </w:r>
      <w:r>
        <w:rPr>
          <w:rFonts w:hint="eastAsia" w:ascii="仿宋" w:hAnsi="仿宋" w:eastAsia="仿宋"/>
          <w:color w:val="000000" w:themeColor="text1"/>
          <w:sz w:val="32"/>
          <w:szCs w:val="32"/>
        </w:rPr>
        <w:t>14.47万元，占1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w:t>
      </w:r>
      <w:r>
        <w:rPr>
          <w:rFonts w:hint="eastAsia" w:ascii="仿宋" w:hAnsi="仿宋" w:eastAsia="仿宋"/>
          <w:color w:val="000000" w:themeColor="text1"/>
          <w:sz w:val="32"/>
          <w:szCs w:val="32"/>
        </w:rPr>
        <w:t>支出30.21万元，占2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7456" behindDoc="1" locked="0" layoutInCell="1" allowOverlap="1">
            <wp:simplePos x="0" y="0"/>
            <wp:positionH relativeFrom="column">
              <wp:posOffset>428625</wp:posOffset>
            </wp:positionH>
            <wp:positionV relativeFrom="paragraph">
              <wp:posOffset>276225</wp:posOffset>
            </wp:positionV>
            <wp:extent cx="4133850" cy="3076575"/>
            <wp:effectExtent l="19050" t="0" r="19050" b="0"/>
            <wp:wrapTight wrapText="bothSides">
              <wp:wrapPolygon>
                <wp:start x="-100" y="0"/>
                <wp:lineTo x="-100" y="21533"/>
                <wp:lineTo x="21700" y="21533"/>
                <wp:lineTo x="21700" y="0"/>
                <wp:lineTo x="-100" y="0"/>
              </wp:wrapPolygon>
            </wp:wrapTight>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rPr>
        <w:t>2018年般公共预算支出决算数为</w:t>
      </w:r>
      <w:r>
        <w:rPr>
          <w:rFonts w:ascii="仿宋" w:hAnsi="仿宋" w:eastAsia="仿宋"/>
          <w:b/>
          <w:color w:val="000000" w:themeColor="text1"/>
          <w:sz w:val="32"/>
          <w:szCs w:val="32"/>
        </w:rPr>
        <w:t>1,569.23</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6"/>
          <w:rFonts w:ascii="仿宋" w:hAnsi="仿宋" w:eastAsia="仿宋"/>
          <w:b w:val="0"/>
          <w:bCs/>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一般公共服务（类）201（款）23（项）99</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支出决算为2.88万元，完成预算100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Cs/>
          <w:color w:val="000000"/>
          <w:sz w:val="32"/>
          <w:szCs w:val="32"/>
        </w:rPr>
      </w:pPr>
      <w:r>
        <w:rPr>
          <w:rStyle w:val="16"/>
          <w:rFonts w:hint="eastAsia" w:ascii="仿宋" w:hAnsi="仿宋" w:eastAsia="仿宋"/>
          <w:bCs/>
          <w:color w:val="000000"/>
          <w:sz w:val="32"/>
          <w:szCs w:val="32"/>
        </w:rPr>
        <w:t>一般公共服务（类）201（款）32（项）01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支出决算为1116.34万元，完成预算100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一般公共服务（类）201（款）32（项）99</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339.81</w:t>
      </w:r>
      <w:r>
        <w:rPr>
          <w:rStyle w:val="16"/>
          <w:rFonts w:hint="eastAsia" w:ascii="仿宋" w:hAnsi="仿宋" w:eastAsia="仿宋"/>
          <w:b w:val="0"/>
          <w:bCs/>
          <w:color w:val="000000"/>
          <w:sz w:val="32"/>
          <w:szCs w:val="32"/>
        </w:rPr>
        <w:t>万元，完成预算85</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，决算数小于预算数的主要原因援建资金远程教育项目及干部人才教育专项资金存在年末结转。</w:t>
      </w:r>
    </w:p>
    <w:p>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教育（类）205（款）99（项）99</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支出决算为0.6万元，完成预算0.6</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社会保障和就业（类）208（款）05（项）05</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43.59</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社会保障和就业（类）208（款）05（项）06</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ascii="仿宋" w:hAnsi="仿宋" w:eastAsia="仿宋"/>
          <w:b w:val="0"/>
          <w:bCs/>
          <w:color w:val="000000"/>
          <w:sz w:val="32"/>
          <w:szCs w:val="32"/>
        </w:rPr>
        <w:t>17.44</w:t>
      </w:r>
      <w:r>
        <w:rPr>
          <w:rStyle w:val="16"/>
          <w:rFonts w:hint="eastAsia" w:ascii="仿宋" w:hAnsi="仿宋" w:eastAsia="仿宋"/>
          <w:b w:val="0"/>
          <w:bCs/>
          <w:color w:val="000000"/>
          <w:sz w:val="32"/>
          <w:szCs w:val="32"/>
        </w:rPr>
        <w:t>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社会保障和就业（类）208（款）07（项）13</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支出决算为1.50万元，完成预算100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社会保障和就业（类）208（款）99（项）01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支出决算为2.39万元，完成预算100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4</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医疗卫生与计划生育（类）210（款）11（项）01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支出决算为14.47万元，完成预算100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spacing w:line="600" w:lineRule="exact"/>
        <w:ind w:firstLine="640"/>
        <w:rPr>
          <w:rFonts w:ascii="仿宋" w:hAnsi="仿宋" w:eastAsia="仿宋"/>
          <w:bCs/>
          <w:color w:val="000000"/>
          <w:sz w:val="32"/>
          <w:szCs w:val="32"/>
        </w:rPr>
      </w:pPr>
      <w:r>
        <w:rPr>
          <w:rStyle w:val="16"/>
          <w:rFonts w:hint="eastAsia" w:ascii="仿宋" w:hAnsi="仿宋" w:eastAsia="仿宋"/>
          <w:bCs/>
          <w:color w:val="000000"/>
          <w:sz w:val="32"/>
          <w:szCs w:val="32"/>
        </w:rPr>
        <w:t>5</w:t>
      </w:r>
      <w:r>
        <w:rPr>
          <w:rStyle w:val="16"/>
          <w:rFonts w:ascii="仿宋" w:hAnsi="仿宋" w:eastAsia="仿宋"/>
          <w:bCs/>
          <w:color w:val="000000"/>
          <w:sz w:val="32"/>
          <w:szCs w:val="32"/>
        </w:rPr>
        <w:t>.</w:t>
      </w:r>
      <w:r>
        <w:rPr>
          <w:rFonts w:hint="eastAsia"/>
        </w:rPr>
        <w:t xml:space="preserve"> </w:t>
      </w:r>
      <w:r>
        <w:rPr>
          <w:rStyle w:val="16"/>
          <w:rFonts w:hint="eastAsia" w:ascii="仿宋" w:hAnsi="仿宋" w:eastAsia="仿宋"/>
          <w:bCs/>
          <w:color w:val="000000"/>
          <w:sz w:val="32"/>
          <w:szCs w:val="32"/>
        </w:rPr>
        <w:t>住房保障支出（类）221（款）02（项）01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支出决算为30.21万元，完成预算100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8"/>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40"/>
      <w:bookmarkEnd w:id="41"/>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8年一般公共预算财政拨款基本支出1222.07万元，其中：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972.21万元，主要包括：基本工资、津贴补贴、奖金、伙食补助费、绩效工资、机关事业单位基本养老保险缴费、职业年金缴费、其他社会保障缴费、其他工资福利支出、抚恤金、生活补助、医疗费、奖励金、住房公积金。</w:t>
      </w:r>
      <w:r>
        <w:rPr>
          <w:rFonts w:ascii="仿宋" w:hAnsi="仿宋" w:eastAsia="仿宋"/>
          <w:color w:val="000000"/>
          <w:sz w:val="32"/>
          <w:szCs w:val="32"/>
        </w:rPr>
        <w:br w:type="textWrapping"/>
      </w:r>
      <w:r>
        <w:rPr>
          <w:rFonts w:hint="eastAsia" w:ascii="仿宋" w:hAnsi="仿宋" w:eastAsia="仿宋"/>
          <w:color w:val="000000"/>
          <w:sz w:val="32"/>
          <w:szCs w:val="32"/>
        </w:rPr>
        <w:t>　　公用经费249.86万元，主要包括：办公费、印刷费、水费、电费、邮电费、取暖费、物业管理费、差旅费、维修（护）费、租赁费、培训费、公务接待费、劳务费、公务用车运行维护费、</w:t>
      </w:r>
    </w:p>
    <w:p>
      <w:pPr>
        <w:spacing w:line="600" w:lineRule="exact"/>
        <w:ind w:firstLine="640"/>
        <w:outlineLvl w:val="1"/>
        <w:rPr>
          <w:rStyle w:val="28"/>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8年“三公”经费财政拨款支出决算为72.27万元，完成预算100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8年“三公”经费财政拨款支出决算中，公务用车购置及运行维护费支出决算71.97万元，占99.58</w:t>
      </w:r>
      <w:r>
        <w:rPr>
          <w:rFonts w:ascii="仿宋" w:hAnsi="仿宋" w:eastAsia="仿宋"/>
          <w:color w:val="000000"/>
          <w:sz w:val="32"/>
          <w:szCs w:val="32"/>
        </w:rPr>
        <w:t>%</w:t>
      </w:r>
      <w:r>
        <w:rPr>
          <w:rFonts w:hint="eastAsia" w:ascii="仿宋" w:hAnsi="仿宋" w:eastAsia="仿宋"/>
          <w:color w:val="000000"/>
          <w:sz w:val="32"/>
          <w:szCs w:val="32"/>
        </w:rPr>
        <w:t>；公务接待费支出决算0.3万元，占0.42</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8480" behindDoc="1" locked="0" layoutInCell="1" allowOverlap="1">
            <wp:simplePos x="0" y="0"/>
            <wp:positionH relativeFrom="column">
              <wp:posOffset>371475</wp:posOffset>
            </wp:positionH>
            <wp:positionV relativeFrom="paragraph">
              <wp:posOffset>247650</wp:posOffset>
            </wp:positionV>
            <wp:extent cx="4076700" cy="3000375"/>
            <wp:effectExtent l="19050" t="0" r="19050" b="0"/>
            <wp:wrapTight wrapText="bothSides">
              <wp:wrapPolygon>
                <wp:start x="-101" y="0"/>
                <wp:lineTo x="-101" y="21531"/>
                <wp:lineTo x="21701" y="21531"/>
                <wp:lineTo x="21701" y="0"/>
                <wp:lineTo x="-101"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71.97万元,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34</w:t>
      </w:r>
      <w:r>
        <w:rPr>
          <w:rFonts w:hint="eastAsia" w:ascii="仿宋_GB2312" w:eastAsia="仿宋_GB2312"/>
          <w:color w:val="000000"/>
          <w:sz w:val="32"/>
          <w:szCs w:val="32"/>
        </w:rPr>
        <w:t>.</w:t>
      </w:r>
      <w:r>
        <w:rPr>
          <w:rFonts w:ascii="仿宋_GB2312" w:eastAsia="仿宋_GB2312"/>
          <w:color w:val="000000"/>
          <w:sz w:val="32"/>
          <w:szCs w:val="32"/>
        </w:rPr>
        <w:t>9</w:t>
      </w:r>
      <w:r>
        <w:rPr>
          <w:rFonts w:hint="eastAsia" w:ascii="仿宋_GB2312" w:eastAsia="仿宋_GB2312"/>
          <w:color w:val="000000"/>
          <w:sz w:val="32"/>
          <w:szCs w:val="32"/>
        </w:rPr>
        <w:t>3万元，增长94.28</w:t>
      </w:r>
      <w:r>
        <w:rPr>
          <w:rFonts w:ascii="仿宋_GB2312" w:eastAsia="仿宋_GB2312"/>
          <w:color w:val="000000"/>
          <w:sz w:val="32"/>
          <w:szCs w:val="32"/>
        </w:rPr>
        <w:t>%</w:t>
      </w:r>
      <w:r>
        <w:rPr>
          <w:rFonts w:hint="eastAsia" w:ascii="仿宋_GB2312" w:eastAsia="仿宋_GB2312"/>
          <w:color w:val="000000"/>
          <w:sz w:val="32"/>
          <w:szCs w:val="32"/>
        </w:rPr>
        <w:t>。主要原因是新购置一辆公务用车。</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40万元。全年按规定更新购置公务用车1辆，其中：越野车1辆、金额40万元，主要用于单位日常工作中需使用车辆出差、下乡等事项。截至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月底，单位共有公务用车2辆，其中：越野车1辆。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31.97万元。主要用于职工下乡检查、指导党建工作、考察考核干部、日常工作中需出差、下乡等所需的公务用车燃料费、维修费、过路过桥费、保险费、洗车停车等支出。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0.3万元，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7年增加0.2万元，增长263.64</w:t>
      </w:r>
      <w:r>
        <w:rPr>
          <w:rFonts w:ascii="仿宋_GB2312" w:eastAsia="仿宋_GB2312"/>
          <w:color w:val="000000"/>
          <w:sz w:val="32"/>
          <w:szCs w:val="32"/>
        </w:rPr>
        <w:t>%</w:t>
      </w:r>
      <w:r>
        <w:rPr>
          <w:rFonts w:hint="eastAsia" w:ascii="仿宋_GB2312" w:eastAsia="仿宋_GB2312"/>
          <w:color w:val="000000"/>
          <w:sz w:val="32"/>
          <w:szCs w:val="32"/>
        </w:rPr>
        <w:t>。主要原因是接待次数及人数增加。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主要用于执行公务、开展业务活动开支的交通费、住宿费、用餐费等。国内公务接待2批次，25人次（不包括陪同人员），共计支出0.3万元，具体内容包括：接待专项工作检查指导组。其中：</w:t>
      </w:r>
    </w:p>
    <w:p>
      <w:pPr>
        <w:spacing w:line="600" w:lineRule="exact"/>
        <w:ind w:firstLine="640"/>
        <w:rPr>
          <w:rFonts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0.3</w:t>
      </w:r>
      <w:r>
        <w:rPr>
          <w:rFonts w:hint="eastAsia" w:ascii="仿宋_GB2312" w:eastAsia="仿宋_GB2312"/>
          <w:color w:val="000000"/>
          <w:sz w:val="32"/>
          <w:szCs w:val="32"/>
        </w:rPr>
        <w:t>万元，主要用于</w:t>
      </w:r>
      <w:bookmarkStart w:id="46" w:name="_Toc15377218"/>
      <w:bookmarkStart w:id="47" w:name="_Toc15396610"/>
      <w:r>
        <w:rPr>
          <w:rFonts w:hint="eastAsia" w:ascii="仿宋_GB2312" w:eastAsia="仿宋_GB2312"/>
          <w:color w:val="000000"/>
          <w:sz w:val="32"/>
          <w:szCs w:val="32"/>
        </w:rPr>
        <w:t>接待专项工作检查指导组。</w:t>
      </w:r>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我单位</w:t>
      </w:r>
      <w:r>
        <w:rPr>
          <w:rFonts w:ascii="仿宋_GB2312" w:eastAsia="仿宋_GB2312"/>
          <w:color w:val="000000"/>
          <w:sz w:val="32"/>
          <w:szCs w:val="32"/>
        </w:rPr>
        <w:t>201</w:t>
      </w:r>
      <w:r>
        <w:rPr>
          <w:rFonts w:hint="eastAsia" w:ascii="仿宋_GB2312" w:eastAsia="仿宋_GB2312"/>
          <w:color w:val="000000"/>
          <w:sz w:val="32"/>
          <w:szCs w:val="32"/>
        </w:rPr>
        <w:t>8年无政府性基金预算拨款支出。</w:t>
      </w:r>
    </w:p>
    <w:p>
      <w:pPr>
        <w:numPr>
          <w:ilvl w:val="0"/>
          <w:numId w:val="2"/>
        </w:numPr>
        <w:spacing w:line="600" w:lineRule="exact"/>
        <w:ind w:firstLine="640"/>
        <w:outlineLvl w:val="1"/>
        <w:rPr>
          <w:rStyle w:val="28"/>
          <w:rFonts w:ascii="黑体" w:hAnsi="黑体" w:eastAsia="黑体"/>
          <w:b w:val="0"/>
        </w:rPr>
      </w:pPr>
      <w:bookmarkStart w:id="48" w:name="_Toc15377219"/>
      <w:bookmarkStart w:id="49" w:name="_Toc15396611"/>
      <w:r>
        <w:rPr>
          <w:rStyle w:val="28"/>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我单位</w:t>
      </w:r>
      <w:r>
        <w:rPr>
          <w:rFonts w:ascii="仿宋_GB2312" w:eastAsia="仿宋_GB2312"/>
          <w:color w:val="000000"/>
          <w:sz w:val="32"/>
          <w:szCs w:val="32"/>
        </w:rPr>
        <w:t>201</w:t>
      </w:r>
      <w:r>
        <w:rPr>
          <w:rFonts w:hint="eastAsia" w:ascii="仿宋_GB2312" w:eastAsia="仿宋_GB2312"/>
          <w:color w:val="000000"/>
          <w:sz w:val="32"/>
          <w:szCs w:val="32"/>
        </w:rPr>
        <w:t>8年无国有资本经营预算拨款支出。</w:t>
      </w:r>
    </w:p>
    <w:p>
      <w:pPr>
        <w:pStyle w:val="26"/>
        <w:numPr>
          <w:ilvl w:val="0"/>
          <w:numId w:val="3"/>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中共壤塘县委组织部在年初预算编制阶段，组织对我单位开展了预算事前绩效评估，对3个项目编制了绩效目标，预算执行过程中，选取3个项目开展绩效监控，年终执行完毕后，对3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本年预算配置控制较好，财政供养人员控制在预算编制以内，“三公”经费支出总额在预算范围内。本部门还自行组织了3个项目绩效评价，从评价情况来看项目各项指标完成情况较好。</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本部门在2018年度部门决算中反映“2018年壤塘县远程教育设备采购项目</w:t>
      </w:r>
      <w:r>
        <w:rPr>
          <w:rFonts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2018年壤塘县大学生创业项目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2018年壤塘县干部教育培训”等3个项目绩效目标实际完成情况。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壤塘县远程教育设备采购项目项目绩效目标完成情况综述。项目全年预算数66万元，执行数为58.66万元，完成预算的88%。通过项目实施，保障已完成壤塘县12个乡镇、63个村社区的75个远程教育站点的电视机、投影仪、电脑的更换工作及验收工作。</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2018年壤塘县大学生创业项目绩效目标完成情况综述。项目全年预算数20万元，执行数为20万元，完成预算的100%。通过项目实施，保障已完成对20名大学生创业人员资助。</w:t>
      </w:r>
    </w:p>
    <w:p>
      <w:pPr>
        <w:numPr>
          <w:ilvl w:val="0"/>
          <w:numId w:val="5"/>
        </w:numPr>
        <w:spacing w:line="580" w:lineRule="exact"/>
        <w:ind w:left="64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2018年壤塘县干部教育培训项目绩效目标完成情况综述。项目全年预算数200万元，执行数为155.93万元，完成预算的78%。通过项目实施，已完成65期培训，共培训2100余人次。     </w:t>
      </w:r>
    </w:p>
    <w:tbl>
      <w:tblPr>
        <w:tblStyle w:val="18"/>
        <w:tblpPr w:leftFromText="180" w:rightFromText="180" w:vertAnchor="text" w:horzAnchor="page" w:tblpXSpec="center" w:tblpY="423"/>
        <w:tblOverlap w:val="never"/>
        <w:tblW w:w="9879" w:type="dxa"/>
        <w:tblInd w:w="0" w:type="dxa"/>
        <w:tblLayout w:type="fixed"/>
        <w:tblCellMar>
          <w:top w:w="0" w:type="dxa"/>
          <w:left w:w="0" w:type="dxa"/>
          <w:bottom w:w="0" w:type="dxa"/>
          <w:right w:w="0" w:type="dxa"/>
        </w:tblCellMar>
      </w:tblPr>
      <w:tblGrid>
        <w:gridCol w:w="375"/>
        <w:gridCol w:w="1367"/>
        <w:gridCol w:w="1025"/>
        <w:gridCol w:w="2392"/>
        <w:gridCol w:w="2394"/>
        <w:gridCol w:w="2326"/>
      </w:tblGrid>
      <w:tr>
        <w:tblPrEx>
          <w:tblLayout w:type="fixed"/>
          <w:tblCellMar>
            <w:top w:w="0" w:type="dxa"/>
            <w:left w:w="0" w:type="dxa"/>
            <w:bottom w:w="0" w:type="dxa"/>
            <w:right w:w="0" w:type="dxa"/>
          </w:tblCellMar>
        </w:tblPrEx>
        <w:trPr>
          <w:trHeight w:val="1034" w:hRule="atLeast"/>
        </w:trPr>
        <w:tc>
          <w:tcPr>
            <w:tcW w:w="9879" w:type="dxa"/>
            <w:gridSpan w:val="6"/>
            <w:tcMar>
              <w:top w:w="15" w:type="dxa"/>
              <w:left w:w="15" w:type="dxa"/>
              <w:bottom w:w="0" w:type="dxa"/>
              <w:right w:w="15" w:type="dxa"/>
            </w:tcMar>
            <w:vAlign w:val="center"/>
          </w:tcPr>
          <w:p>
            <w:pPr>
              <w:widowControl/>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2018年壤塘县远程教育设备采购</w:t>
            </w:r>
          </w:p>
          <w:p>
            <w:pPr>
              <w:widowControl/>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项目绩效目标完成情况表</w:t>
            </w:r>
            <w:r>
              <w:rPr>
                <w:rFonts w:ascii="宋体"/>
                <w:b/>
                <w:bCs/>
                <w:color w:val="000000"/>
                <w:kern w:val="0"/>
                <w:sz w:val="36"/>
                <w:szCs w:val="36"/>
              </w:rPr>
              <w:br w:type="textWrapping"/>
            </w:r>
            <w:r>
              <w:rPr>
                <w:rFonts w:ascii="宋体" w:hAnsi="宋体" w:cs="宋体"/>
                <w:color w:val="000000"/>
                <w:kern w:val="0"/>
                <w:sz w:val="36"/>
                <w:szCs w:val="36"/>
              </w:rPr>
              <w:t>(2018</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1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2018年壤塘县远程教育设备采购项目</w:t>
            </w:r>
          </w:p>
        </w:tc>
      </w:tr>
      <w:tr>
        <w:tblPrEx>
          <w:tblLayout w:type="fixed"/>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1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4"/>
              </w:rPr>
              <w:t>壤塘县县委组织部</w:t>
            </w:r>
          </w:p>
        </w:tc>
      </w:tr>
      <w:tr>
        <w:tblPrEx>
          <w:tblLayout w:type="fixed"/>
          <w:tblCellMar>
            <w:top w:w="0" w:type="dxa"/>
            <w:left w:w="0" w:type="dxa"/>
            <w:bottom w:w="0" w:type="dxa"/>
            <w:right w:w="0" w:type="dxa"/>
          </w:tblCellMar>
        </w:tblPrEx>
        <w:trPr>
          <w:trHeight w:val="27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66万元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58.66万元</w:t>
            </w:r>
          </w:p>
        </w:tc>
      </w:tr>
      <w:tr>
        <w:tblPrEx>
          <w:tblLayout w:type="fixed"/>
          <w:tblCellMar>
            <w:top w:w="0" w:type="dxa"/>
            <w:left w:w="0" w:type="dxa"/>
            <w:bottom w:w="0" w:type="dxa"/>
            <w:right w:w="0" w:type="dxa"/>
          </w:tblCellMar>
        </w:tblPrEx>
        <w:trPr>
          <w:trHeight w:val="276"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66万元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58.66万元</w:t>
            </w:r>
          </w:p>
        </w:tc>
      </w:tr>
      <w:tr>
        <w:tblPrEx>
          <w:tblLayout w:type="fixed"/>
          <w:tblCellMar>
            <w:top w:w="0" w:type="dxa"/>
            <w:left w:w="0" w:type="dxa"/>
            <w:bottom w:w="0" w:type="dxa"/>
            <w:right w:w="0" w:type="dxa"/>
          </w:tblCellMar>
        </w:tblPrEx>
        <w:trPr>
          <w:trHeight w:val="1511"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s="宋体"/>
                <w:color w:val="000000"/>
                <w:kern w:val="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olor w:val="000000"/>
                <w:sz w:val="24"/>
              </w:rPr>
            </w:pPr>
            <w:r>
              <w:rPr>
                <w:rFonts w:hint="eastAsia" w:ascii="宋体"/>
                <w:color w:val="000000"/>
                <w:sz w:val="24"/>
              </w:rPr>
              <w:t>无</w:t>
            </w:r>
          </w:p>
        </w:tc>
      </w:tr>
      <w:tr>
        <w:tblPrEx>
          <w:tblLayout w:type="fixed"/>
          <w:tblCellMar>
            <w:top w:w="0" w:type="dxa"/>
            <w:left w:w="0" w:type="dxa"/>
            <w:bottom w:w="0" w:type="dxa"/>
            <w:right w:w="0" w:type="dxa"/>
          </w:tblCellMar>
        </w:tblPrEx>
        <w:trPr>
          <w:trHeight w:val="27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2025"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kern w:val="0"/>
                <w:sz w:val="24"/>
              </w:rPr>
            </w:pPr>
            <w:r>
              <w:rPr>
                <w:rFonts w:hint="eastAsia" w:ascii="宋体" w:hAnsi="宋体" w:cs="宋体"/>
                <w:color w:val="000000"/>
                <w:kern w:val="0"/>
                <w:sz w:val="24"/>
              </w:rPr>
              <w:t>完成壤塘县12个乡镇、63个村社区的75个远程教育站点的电视机、投影仪、电脑的更换工作及验收工作</w:t>
            </w:r>
          </w:p>
          <w:p>
            <w:pPr>
              <w:widowControl/>
              <w:jc w:val="center"/>
              <w:textAlignment w:val="center"/>
              <w:rPr>
                <w:rFonts w:ascii="宋体"/>
                <w:color w:val="000000"/>
                <w:sz w:val="24"/>
              </w:rPr>
            </w:pPr>
          </w:p>
        </w:tc>
        <w:tc>
          <w:tcPr>
            <w:tcW w:w="472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已</w:t>
            </w:r>
            <w:r>
              <w:rPr>
                <w:rFonts w:hint="eastAsia" w:ascii="宋体" w:hAnsi="宋体" w:cs="宋体"/>
                <w:color w:val="000000"/>
                <w:kern w:val="0"/>
                <w:sz w:val="24"/>
              </w:rPr>
              <w:t>完成壤塘县12个乡镇、63个村社区的75个远程教育站点的电视机、投影仪、电脑的更换工作及验收工作</w:t>
            </w:r>
          </w:p>
        </w:tc>
      </w:tr>
      <w:tr>
        <w:tblPrEx>
          <w:tblLayout w:type="fixed"/>
          <w:tblCellMar>
            <w:top w:w="0" w:type="dxa"/>
            <w:left w:w="0" w:type="dxa"/>
            <w:bottom w:w="0" w:type="dxa"/>
            <w:right w:w="0" w:type="dxa"/>
          </w:tblCellMar>
        </w:tblPrEx>
        <w:trPr>
          <w:trHeight w:val="82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12个乡镇、</w:t>
            </w:r>
            <w:r>
              <w:rPr>
                <w:rFonts w:hint="eastAsia" w:ascii="宋体" w:hAnsi="宋体" w:cs="宋体"/>
                <w:color w:val="000000"/>
                <w:kern w:val="0"/>
                <w:sz w:val="24"/>
              </w:rPr>
              <w:t>63个村社区的75个远程教育站点的电视机、投影仪、电脑的更换</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完成壤塘县12个乡镇、63个村社区的75个远程教育站点的电视机、投影仪、电脑的更换工作工作</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已</w:t>
            </w:r>
            <w:r>
              <w:rPr>
                <w:rFonts w:hint="eastAsia" w:ascii="宋体" w:hAnsi="宋体" w:cs="宋体"/>
                <w:color w:val="000000"/>
                <w:kern w:val="0"/>
                <w:sz w:val="24"/>
              </w:rPr>
              <w:t>完成壤塘县12个乡镇、63个村社区的75个远程教育站点的电视机、投影仪、电脑的更换工作工作</w:t>
            </w:r>
          </w:p>
        </w:tc>
      </w:tr>
      <w:tr>
        <w:tblPrEx>
          <w:tblLayout w:type="fixed"/>
          <w:tblCellMar>
            <w:top w:w="0" w:type="dxa"/>
            <w:left w:w="0" w:type="dxa"/>
            <w:bottom w:w="0" w:type="dxa"/>
            <w:right w:w="0" w:type="dxa"/>
          </w:tblCellMar>
        </w:tblPrEx>
        <w:trPr>
          <w:trHeight w:val="840"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数量指标指标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kern w:val="0"/>
                <w:sz w:val="24"/>
              </w:rPr>
            </w:pPr>
            <w:r>
              <w:rPr>
                <w:rFonts w:hint="eastAsia" w:ascii="宋体" w:hAnsi="宋体" w:cs="宋体"/>
                <w:color w:val="000000"/>
                <w:kern w:val="0"/>
                <w:sz w:val="24"/>
              </w:rPr>
              <w:t>完成壤塘县12个乡镇、63个村社区的75个远程教育站点的电视机、投影仪、电脑的更换工作及验收工作</w:t>
            </w:r>
          </w:p>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已</w:t>
            </w:r>
            <w:r>
              <w:rPr>
                <w:rFonts w:hint="eastAsia" w:ascii="宋体" w:hAnsi="宋体" w:cs="宋体"/>
                <w:color w:val="000000"/>
                <w:kern w:val="0"/>
                <w:sz w:val="24"/>
              </w:rPr>
              <w:t>完成壤塘县12个乡镇、63个村社区的75个远程教育站点的电视机、投影仪、电脑的更换工作及验收工作</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已</w:t>
            </w:r>
            <w:r>
              <w:rPr>
                <w:rFonts w:hint="eastAsia" w:ascii="宋体" w:hAnsi="宋体" w:cs="宋体"/>
                <w:color w:val="000000"/>
                <w:kern w:val="0"/>
                <w:sz w:val="24"/>
              </w:rPr>
              <w:t>完成壤塘县12个乡镇、63个村社区的75个远程教育站点的电视机、投影仪、电脑的更换工作及验收工作</w:t>
            </w:r>
          </w:p>
        </w:tc>
      </w:tr>
      <w:tr>
        <w:tblPrEx>
          <w:tblLayout w:type="fixed"/>
          <w:tblCellMar>
            <w:top w:w="0" w:type="dxa"/>
            <w:left w:w="0" w:type="dxa"/>
            <w:bottom w:w="0" w:type="dxa"/>
            <w:right w:w="0" w:type="dxa"/>
          </w:tblCellMar>
        </w:tblPrEx>
        <w:trPr>
          <w:trHeight w:val="514"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社会效益</w:t>
            </w:r>
          </w:p>
          <w:p>
            <w:pPr>
              <w:widowControl/>
              <w:jc w:val="center"/>
              <w:textAlignment w:val="center"/>
              <w:rPr>
                <w:rFonts w:ascii="宋体"/>
                <w:color w:val="000000"/>
                <w:sz w:val="24"/>
              </w:rPr>
            </w:pPr>
            <w:r>
              <w:rPr>
                <w:rFonts w:hint="eastAsia" w:ascii="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完成涉及党员教育的知识宣讲（次）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2140户贫困户，10096人</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2140户贫困户，10096人</w:t>
            </w:r>
          </w:p>
        </w:tc>
      </w:tr>
      <w:tr>
        <w:tblPrEx>
          <w:tblLayout w:type="fixed"/>
          <w:tblCellMar>
            <w:top w:w="0" w:type="dxa"/>
            <w:left w:w="0" w:type="dxa"/>
            <w:bottom w:w="0" w:type="dxa"/>
            <w:right w:w="0" w:type="dxa"/>
          </w:tblCellMar>
        </w:tblPrEx>
        <w:trPr>
          <w:trHeight w:val="832"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政策宣传及执行率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591"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服务对象</w:t>
            </w:r>
          </w:p>
          <w:p>
            <w:pPr>
              <w:widowControl/>
              <w:textAlignment w:val="center"/>
              <w:rPr>
                <w:rFonts w:ascii="宋体"/>
                <w:color w:val="000000"/>
                <w:sz w:val="24"/>
              </w:rPr>
            </w:pPr>
            <w:r>
              <w:rPr>
                <w:rFonts w:hint="eastAsia" w:asci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20" w:firstLineChars="50"/>
              <w:textAlignment w:val="center"/>
              <w:rPr>
                <w:rFonts w:ascii="宋体"/>
                <w:color w:val="000000"/>
                <w:sz w:val="24"/>
              </w:rPr>
            </w:pPr>
            <w:r>
              <w:rPr>
                <w:rFonts w:hint="eastAsia" w:ascii="宋体"/>
                <w:color w:val="000000"/>
                <w:sz w:val="24"/>
              </w:rPr>
              <w:t>基层党组织满意度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23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bl>
    <w:p>
      <w:pPr>
        <w:tabs>
          <w:tab w:val="left" w:pos="312"/>
        </w:tabs>
        <w:spacing w:line="580" w:lineRule="exact"/>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945" w:type="dxa"/>
        <w:tblInd w:w="0" w:type="dxa"/>
        <w:tblLayout w:type="fixed"/>
        <w:tblCellMar>
          <w:top w:w="0" w:type="dxa"/>
          <w:left w:w="0" w:type="dxa"/>
          <w:bottom w:w="0" w:type="dxa"/>
          <w:right w:w="0" w:type="dxa"/>
        </w:tblCellMar>
      </w:tblPr>
      <w:tblGrid>
        <w:gridCol w:w="375"/>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45" w:type="dxa"/>
            <w:gridSpan w:val="6"/>
            <w:tcMar>
              <w:top w:w="15" w:type="dxa"/>
              <w:left w:w="15" w:type="dxa"/>
              <w:bottom w:w="0" w:type="dxa"/>
              <w:right w:w="15" w:type="dxa"/>
            </w:tcMar>
            <w:vAlign w:val="center"/>
          </w:tcPr>
          <w:p>
            <w:pPr>
              <w:widowControl/>
              <w:ind w:left="3960" w:hanging="3960" w:hangingChars="110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2018年壤塘县大学生创业项目绩效目标完成情况表</w:t>
            </w:r>
          </w:p>
          <w:p>
            <w:pPr>
              <w:widowControl/>
              <w:ind w:left="3960" w:hanging="3960" w:hangingChars="1100"/>
              <w:jc w:val="center"/>
              <w:textAlignment w:val="center"/>
              <w:rPr>
                <w:rFonts w:ascii="宋体"/>
                <w:color w:val="000000"/>
                <w:sz w:val="36"/>
                <w:szCs w:val="36"/>
              </w:rPr>
            </w:pPr>
            <w:r>
              <w:rPr>
                <w:rFonts w:ascii="宋体" w:hAnsi="宋体" w:cs="宋体"/>
                <w:color w:val="000000"/>
                <w:kern w:val="0"/>
                <w:sz w:val="36"/>
                <w:szCs w:val="36"/>
              </w:rPr>
              <w:t>(2018</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2018年壤塘县大学生创业项目绩效目标完成情况表</w:t>
            </w:r>
          </w:p>
        </w:tc>
      </w:tr>
      <w:tr>
        <w:tblPrEx>
          <w:tblLayout w:type="fixed"/>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4"/>
              </w:rPr>
              <w:t>壤塘县县委组织部</w:t>
            </w:r>
          </w:p>
        </w:tc>
      </w:tr>
      <w:tr>
        <w:tblPrEx>
          <w:tblLayout w:type="fixed"/>
          <w:tblCellMar>
            <w:top w:w="0" w:type="dxa"/>
            <w:left w:w="0" w:type="dxa"/>
            <w:bottom w:w="0" w:type="dxa"/>
            <w:right w:w="0" w:type="dxa"/>
          </w:tblCellMar>
        </w:tblPrEx>
        <w:trPr>
          <w:trHeight w:val="392"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20万元</w:t>
            </w:r>
          </w:p>
        </w:tc>
      </w:tr>
      <w:tr>
        <w:tblPrEx>
          <w:tblLayout w:type="fixed"/>
          <w:tblCellMar>
            <w:top w:w="0" w:type="dxa"/>
            <w:left w:w="0" w:type="dxa"/>
            <w:bottom w:w="0" w:type="dxa"/>
            <w:right w:w="0" w:type="dxa"/>
          </w:tblCellMar>
        </w:tblPrEx>
        <w:trPr>
          <w:trHeight w:val="276"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0万元</w:t>
            </w:r>
          </w:p>
        </w:tc>
      </w:tr>
      <w:tr>
        <w:tblPrEx>
          <w:tblLayout w:type="fixed"/>
          <w:tblCellMar>
            <w:top w:w="0" w:type="dxa"/>
            <w:left w:w="0" w:type="dxa"/>
            <w:bottom w:w="0" w:type="dxa"/>
            <w:right w:w="0" w:type="dxa"/>
          </w:tblCellMar>
        </w:tblPrEx>
        <w:trPr>
          <w:trHeight w:val="1511"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s="宋体"/>
                <w:color w:val="000000"/>
                <w:kern w:val="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olor w:val="000000"/>
                <w:sz w:val="24"/>
              </w:rPr>
            </w:pPr>
            <w:r>
              <w:rPr>
                <w:rFonts w:hint="eastAsia" w:ascii="宋体"/>
                <w:color w:val="000000"/>
                <w:sz w:val="24"/>
              </w:rPr>
              <w:t>无</w:t>
            </w:r>
          </w:p>
        </w:tc>
      </w:tr>
      <w:tr>
        <w:tblPrEx>
          <w:tblLayout w:type="fixed"/>
          <w:tblCellMar>
            <w:top w:w="0" w:type="dxa"/>
            <w:left w:w="0" w:type="dxa"/>
            <w:bottom w:w="0" w:type="dxa"/>
            <w:right w:w="0" w:type="dxa"/>
          </w:tblCellMar>
        </w:tblPrEx>
        <w:trPr>
          <w:trHeight w:val="27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2025"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2018年预计帮扶20名有意愿创业的大学生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已完成对20名大学生创业资助</w:t>
            </w:r>
          </w:p>
        </w:tc>
      </w:tr>
      <w:tr>
        <w:tblPrEx>
          <w:tblLayout w:type="fixed"/>
          <w:tblCellMar>
            <w:top w:w="0" w:type="dxa"/>
            <w:left w:w="0" w:type="dxa"/>
            <w:bottom w:w="0" w:type="dxa"/>
            <w:right w:w="0" w:type="dxa"/>
          </w:tblCellMar>
        </w:tblPrEx>
        <w:trPr>
          <w:trHeight w:val="82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帮扶20名有意愿创业的大学生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20（人）</w:t>
            </w:r>
          </w:p>
        </w:tc>
      </w:tr>
      <w:tr>
        <w:tblPrEx>
          <w:tblLayout w:type="fixed"/>
          <w:tblCellMar>
            <w:top w:w="0" w:type="dxa"/>
            <w:left w:w="0" w:type="dxa"/>
            <w:bottom w:w="0" w:type="dxa"/>
            <w:right w:w="0" w:type="dxa"/>
          </w:tblCellMar>
        </w:tblPrEx>
        <w:trPr>
          <w:trHeight w:val="840"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数量指标指标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创业资金拨付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20（万元）</w:t>
            </w:r>
          </w:p>
        </w:tc>
      </w:tr>
      <w:tr>
        <w:tblPrEx>
          <w:tblLayout w:type="fixed"/>
          <w:tblCellMar>
            <w:top w:w="0" w:type="dxa"/>
            <w:left w:w="0" w:type="dxa"/>
            <w:bottom w:w="0" w:type="dxa"/>
            <w:right w:w="0" w:type="dxa"/>
          </w:tblCellMar>
        </w:tblPrEx>
        <w:trPr>
          <w:trHeight w:val="823"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足额拨付大学生创业资金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977"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年度考核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537"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20名大学生创业资金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604"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经济效益</w:t>
            </w:r>
          </w:p>
          <w:p>
            <w:pPr>
              <w:widowControl/>
              <w:jc w:val="center"/>
              <w:textAlignment w:val="center"/>
              <w:rPr>
                <w:rFonts w:ascii="宋体"/>
                <w:color w:val="000000"/>
                <w:sz w:val="24"/>
              </w:rPr>
            </w:pPr>
            <w:r>
              <w:rPr>
                <w:rFonts w:hint="eastAsia" w:ascii="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已完成20名大学生创业资金拨付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591"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全县干部意度指标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20名受帮助大学生对我部帮扶计划非常满意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bl>
    <w:p>
      <w:pPr>
        <w:tabs>
          <w:tab w:val="left" w:pos="312"/>
        </w:tabs>
        <w:spacing w:line="580" w:lineRule="exact"/>
        <w:rPr>
          <w:rFonts w:ascii="仿宋_GB2312" w:hAnsi="仿宋_GB2312" w:eastAsia="仿宋_GB2312" w:cs="仿宋_GB2312"/>
          <w:sz w:val="32"/>
          <w:szCs w:val="32"/>
        </w:rPr>
      </w:pPr>
    </w:p>
    <w:tbl>
      <w:tblPr>
        <w:tblStyle w:val="18"/>
        <w:tblpPr w:leftFromText="180" w:rightFromText="180" w:vertAnchor="text" w:horzAnchor="page" w:tblpXSpec="center" w:tblpY="423"/>
        <w:tblOverlap w:val="never"/>
        <w:tblW w:w="9087" w:type="dxa"/>
        <w:tblInd w:w="0" w:type="dxa"/>
        <w:tblLayout w:type="fixed"/>
        <w:tblCellMar>
          <w:top w:w="0" w:type="dxa"/>
          <w:left w:w="0" w:type="dxa"/>
          <w:bottom w:w="0" w:type="dxa"/>
          <w:right w:w="0" w:type="dxa"/>
        </w:tblCellMar>
      </w:tblPr>
      <w:tblGrid>
        <w:gridCol w:w="375"/>
        <w:gridCol w:w="1367"/>
        <w:gridCol w:w="1025"/>
        <w:gridCol w:w="2392"/>
        <w:gridCol w:w="2394"/>
        <w:gridCol w:w="1534"/>
      </w:tblGrid>
      <w:tr>
        <w:tblPrEx>
          <w:tblLayout w:type="fixed"/>
          <w:tblCellMar>
            <w:top w:w="0" w:type="dxa"/>
            <w:left w:w="0" w:type="dxa"/>
            <w:bottom w:w="0" w:type="dxa"/>
            <w:right w:w="0" w:type="dxa"/>
          </w:tblCellMar>
        </w:tblPrEx>
        <w:trPr>
          <w:trHeight w:val="1034" w:hRule="atLeast"/>
        </w:trPr>
        <w:tc>
          <w:tcPr>
            <w:tcW w:w="9087" w:type="dxa"/>
            <w:gridSpan w:val="6"/>
            <w:tcMar>
              <w:top w:w="15" w:type="dxa"/>
              <w:left w:w="15" w:type="dxa"/>
              <w:bottom w:w="0" w:type="dxa"/>
              <w:right w:w="15" w:type="dxa"/>
            </w:tcMar>
            <w:vAlign w:val="center"/>
          </w:tcPr>
          <w:p>
            <w:pPr>
              <w:widowControl/>
              <w:textAlignment w:val="center"/>
              <w:rPr>
                <w:rFonts w:ascii="黑体" w:hAnsi="黑体" w:eastAsia="黑体" w:cs="黑体"/>
                <w:color w:val="000000"/>
                <w:kern w:val="0"/>
                <w:sz w:val="36"/>
                <w:szCs w:val="36"/>
              </w:rPr>
            </w:pPr>
          </w:p>
          <w:p>
            <w:pPr>
              <w:widowControl/>
              <w:ind w:left="3960" w:hanging="3960" w:hangingChars="110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2018年壤塘县干部教育培训项目绩效目标完成情况表</w:t>
            </w:r>
          </w:p>
          <w:p>
            <w:pPr>
              <w:widowControl/>
              <w:ind w:left="3960" w:hanging="3960" w:hangingChars="1100"/>
              <w:jc w:val="center"/>
              <w:textAlignment w:val="center"/>
              <w:rPr>
                <w:rFonts w:ascii="宋体"/>
                <w:color w:val="000000"/>
                <w:sz w:val="36"/>
                <w:szCs w:val="36"/>
              </w:rPr>
            </w:pPr>
            <w:r>
              <w:rPr>
                <w:rFonts w:ascii="宋体" w:hAnsi="宋体" w:cs="宋体"/>
                <w:color w:val="000000"/>
                <w:kern w:val="0"/>
                <w:sz w:val="36"/>
                <w:szCs w:val="36"/>
              </w:rPr>
              <w:t>(2018</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63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2018年壤塘县干部教育培训项目绩效目标完成情况表</w:t>
            </w:r>
          </w:p>
          <w:p>
            <w:pPr>
              <w:widowControl/>
              <w:jc w:val="center"/>
              <w:textAlignment w:val="center"/>
              <w:rPr>
                <w:rFonts w:ascii="宋体" w:hAnsi="宋体" w:cs="宋体"/>
                <w:color w:val="000000"/>
                <w:kern w:val="0"/>
                <w:sz w:val="24"/>
              </w:rPr>
            </w:pPr>
          </w:p>
        </w:tc>
      </w:tr>
      <w:tr>
        <w:tblPrEx>
          <w:tblLayout w:type="fixed"/>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63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4"/>
              </w:rPr>
              <w:t>壤塘县县委组织部</w:t>
            </w:r>
          </w:p>
        </w:tc>
      </w:tr>
      <w:tr>
        <w:tblPrEx>
          <w:tblLayout w:type="fixed"/>
          <w:tblCellMar>
            <w:top w:w="0" w:type="dxa"/>
            <w:left w:w="0" w:type="dxa"/>
            <w:bottom w:w="0" w:type="dxa"/>
            <w:right w:w="0" w:type="dxa"/>
          </w:tblCellMar>
        </w:tblPrEx>
        <w:trPr>
          <w:trHeight w:val="392"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155.9351万元</w:t>
            </w:r>
          </w:p>
        </w:tc>
      </w:tr>
      <w:tr>
        <w:tblPrEx>
          <w:tblLayout w:type="fixed"/>
          <w:tblCellMar>
            <w:top w:w="0" w:type="dxa"/>
            <w:left w:w="0" w:type="dxa"/>
            <w:bottom w:w="0" w:type="dxa"/>
            <w:right w:w="0" w:type="dxa"/>
          </w:tblCellMar>
        </w:tblPrEx>
        <w:trPr>
          <w:trHeight w:val="276"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0万元</w:t>
            </w:r>
          </w:p>
        </w:tc>
      </w:tr>
      <w:tr>
        <w:tblPrEx>
          <w:tblLayout w:type="fixed"/>
          <w:tblCellMar>
            <w:top w:w="0" w:type="dxa"/>
            <w:left w:w="0" w:type="dxa"/>
            <w:bottom w:w="0" w:type="dxa"/>
            <w:right w:w="0" w:type="dxa"/>
          </w:tblCellMar>
        </w:tblPrEx>
        <w:trPr>
          <w:trHeight w:val="1511"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s="宋体"/>
                <w:color w:val="000000"/>
                <w:kern w:val="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olor w:val="000000"/>
                <w:sz w:val="24"/>
              </w:rPr>
            </w:pPr>
            <w:r>
              <w:rPr>
                <w:rFonts w:hint="eastAsia" w:ascii="宋体"/>
                <w:color w:val="000000"/>
                <w:sz w:val="24"/>
              </w:rPr>
              <w:t>无</w:t>
            </w:r>
          </w:p>
        </w:tc>
      </w:tr>
      <w:tr>
        <w:tblPrEx>
          <w:tblLayout w:type="fixed"/>
          <w:tblCellMar>
            <w:top w:w="0" w:type="dxa"/>
            <w:left w:w="0" w:type="dxa"/>
            <w:bottom w:w="0" w:type="dxa"/>
            <w:right w:w="0" w:type="dxa"/>
          </w:tblCellMar>
        </w:tblPrEx>
        <w:trPr>
          <w:trHeight w:val="27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392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2025"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2018年预计主办40类89期干部人才培训班，培训3000余人次</w:t>
            </w:r>
          </w:p>
        </w:tc>
        <w:tc>
          <w:tcPr>
            <w:tcW w:w="392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已完成65期培训，共培训2100余人次</w:t>
            </w:r>
          </w:p>
        </w:tc>
      </w:tr>
      <w:tr>
        <w:tblPrEx>
          <w:tblLayout w:type="fixed"/>
          <w:tblCellMar>
            <w:top w:w="0" w:type="dxa"/>
            <w:left w:w="0" w:type="dxa"/>
            <w:bottom w:w="0" w:type="dxa"/>
            <w:right w:w="0" w:type="dxa"/>
          </w:tblCellMar>
        </w:tblPrEx>
        <w:trPr>
          <w:trHeight w:val="826" w:hRule="atLeast"/>
        </w:trPr>
        <w:tc>
          <w:tcPr>
            <w:tcW w:w="37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培训人数达到3000人次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3000（人次）</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2100（人次）</w:t>
            </w:r>
          </w:p>
        </w:tc>
      </w:tr>
      <w:tr>
        <w:tblPrEx>
          <w:tblLayout w:type="fixed"/>
          <w:tblCellMar>
            <w:top w:w="0" w:type="dxa"/>
            <w:left w:w="0" w:type="dxa"/>
            <w:bottom w:w="0" w:type="dxa"/>
            <w:right w:w="0" w:type="dxa"/>
          </w:tblCellMar>
        </w:tblPrEx>
        <w:trPr>
          <w:trHeight w:val="840"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数量指标指标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培训资金拨付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200（万元）</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155.9351（万元）</w:t>
            </w:r>
          </w:p>
        </w:tc>
      </w:tr>
      <w:tr>
        <w:tblPrEx>
          <w:tblLayout w:type="fixed"/>
          <w:tblCellMar>
            <w:top w:w="0" w:type="dxa"/>
            <w:left w:w="0" w:type="dxa"/>
            <w:bottom w:w="0" w:type="dxa"/>
            <w:right w:w="0" w:type="dxa"/>
          </w:tblCellMar>
        </w:tblPrEx>
        <w:trPr>
          <w:trHeight w:val="823"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各单位在培训结束后15个工作日足额拨付培训资金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977"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年度考核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537"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65期培训班金额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604"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经济效益</w:t>
            </w:r>
          </w:p>
          <w:p>
            <w:pPr>
              <w:widowControl/>
              <w:jc w:val="center"/>
              <w:textAlignment w:val="center"/>
              <w:rPr>
                <w:rFonts w:ascii="宋体"/>
                <w:color w:val="000000"/>
                <w:sz w:val="24"/>
              </w:rPr>
            </w:pPr>
            <w:r>
              <w:rPr>
                <w:rFonts w:hint="eastAsia" w:ascii="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完成已培训班次费用拨付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r>
        <w:tblPrEx>
          <w:tblLayout w:type="fixed"/>
          <w:tblCellMar>
            <w:top w:w="0" w:type="dxa"/>
            <w:left w:w="0" w:type="dxa"/>
            <w:bottom w:w="0" w:type="dxa"/>
            <w:right w:w="0" w:type="dxa"/>
          </w:tblCellMar>
        </w:tblPrEx>
        <w:trPr>
          <w:trHeight w:val="591" w:hRule="atLeast"/>
        </w:trPr>
        <w:tc>
          <w:tcPr>
            <w:tcW w:w="3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全县干部意度指标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color w:val="000000"/>
                <w:sz w:val="24"/>
              </w:rPr>
              <w:t>对我部制定培训计划十分满意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c>
          <w:tcPr>
            <w:tcW w:w="15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olor w:val="000000"/>
                <w:sz w:val="24"/>
              </w:rPr>
              <w:t>100%</w:t>
            </w:r>
          </w:p>
        </w:tc>
      </w:tr>
    </w:tbl>
    <w:p/>
    <w:p>
      <w:pPr>
        <w:tabs>
          <w:tab w:val="left" w:pos="312"/>
        </w:tabs>
        <w:spacing w:line="580" w:lineRule="exact"/>
        <w:ind w:left="640"/>
        <w:rPr>
          <w:rFonts w:ascii="仿宋_GB2312" w:hAnsi="仿宋_GB2312" w:eastAsia="仿宋_GB2312" w:cs="仿宋_GB2312"/>
          <w:sz w:val="32"/>
          <w:szCs w:val="32"/>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本部门按要求对2018年部门整体支出绩效评价情况开展自评，《中共壤塘县委组织部2018年部门整体支出绩效评价报告》见附件。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本部门自行组织对3项目、3项目开展了绩效评价，《2018年壤塘县远程教育设备采购项目绩效评价报告》、《2018年壤塘县大学生创业项目绩效评价报告》、《2018年壤塘县干部教育培训项目绩效评价报告》见附件。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8年，中共壤塘县委组织部机关运行经费支出249.84万元，比</w:t>
      </w:r>
      <w:r>
        <w:rPr>
          <w:rFonts w:ascii="仿宋_GB2312" w:eastAsia="仿宋_GB2312"/>
          <w:color w:val="000000"/>
          <w:sz w:val="32"/>
          <w:szCs w:val="32"/>
        </w:rPr>
        <w:t>201</w:t>
      </w:r>
      <w:r>
        <w:rPr>
          <w:rFonts w:hint="eastAsia" w:ascii="仿宋_GB2312" w:eastAsia="仿宋_GB2312"/>
          <w:color w:val="000000"/>
          <w:sz w:val="32"/>
          <w:szCs w:val="32"/>
        </w:rPr>
        <w:t>7年减少204.45万元，下降445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主要原因是2018年春节慰问金未装入日常公用经费中。</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8年，中共壤塘县委组织部政府采购支出总额158.2万元，其中：政府采购货物支出158.2万元。主要用于全县浙江援建远程教育设施设备采购。授予中小企业合同金额</w:t>
      </w:r>
      <w:r>
        <w:rPr>
          <w:rFonts w:ascii="仿宋_GB2312" w:eastAsia="仿宋_GB2312"/>
          <w:color w:val="000000"/>
          <w:sz w:val="32"/>
          <w:szCs w:val="32"/>
        </w:rPr>
        <w:t>**</w:t>
      </w:r>
      <w:r>
        <w:rPr>
          <w:rFonts w:hint="eastAsia" w:ascii="仿宋_GB2312" w:eastAsia="仿宋_GB2312"/>
          <w:color w:val="000000"/>
          <w:sz w:val="32"/>
          <w:szCs w:val="32"/>
        </w:rPr>
        <w:t>万元，占政府采购支出总额的158.2</w:t>
      </w:r>
      <w:r>
        <w:rPr>
          <w:rFonts w:ascii="仿宋_GB2312" w:eastAsia="仿宋_GB2312"/>
          <w:color w:val="000000"/>
          <w:sz w:val="32"/>
          <w:szCs w:val="32"/>
        </w:rPr>
        <w:t>%</w:t>
      </w:r>
      <w:r>
        <w:rPr>
          <w:rFonts w:hint="eastAsia" w:ascii="仿宋_GB2312" w:eastAsia="仿宋_GB2312"/>
          <w:color w:val="000000"/>
          <w:sz w:val="32"/>
          <w:szCs w:val="32"/>
        </w:rPr>
        <w:t>，其中：授予小微企业合同金额158.2万元，占政府采购支出总额的100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日，中共壤塘县委组织部共有一般公务用车2辆。</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7"/>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7"/>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一般公共服务（类）201（款）32（项）01：指中国共产党组织部门的日常基本支出。</w:t>
      </w:r>
    </w:p>
    <w:p>
      <w:pPr>
        <w:ind w:firstLine="800" w:firstLineChars="250"/>
        <w:rPr>
          <w:rFonts w:ascii="仿宋_GB2312" w:eastAsia="仿宋_GB2312"/>
          <w:color w:val="000000"/>
          <w:sz w:val="32"/>
          <w:szCs w:val="32"/>
        </w:rPr>
      </w:pPr>
      <w:r>
        <w:rPr>
          <w:rFonts w:hint="eastAsia" w:ascii="仿宋_GB2312" w:eastAsia="仿宋_GB2312"/>
          <w:color w:val="000000"/>
          <w:sz w:val="32"/>
          <w:szCs w:val="32"/>
        </w:rPr>
        <w:t>一般公共服务（类）201（款）32（项）99：指中国共产党组织部门的日常事务支出。</w:t>
      </w:r>
    </w:p>
    <w:p>
      <w:pPr>
        <w:ind w:firstLine="800" w:firstLineChars="250"/>
        <w:rPr>
          <w:rFonts w:ascii="仿宋_GB2312" w:eastAsia="仿宋_GB2312"/>
          <w:color w:val="000000"/>
          <w:sz w:val="32"/>
          <w:szCs w:val="32"/>
        </w:rPr>
      </w:pPr>
      <w:r>
        <w:rPr>
          <w:rFonts w:hint="eastAsia" w:ascii="仿宋_GB2312" w:eastAsia="仿宋_GB2312"/>
          <w:color w:val="000000"/>
          <w:sz w:val="32"/>
          <w:szCs w:val="32"/>
        </w:rPr>
        <w:t>一般公共服务（类）201（款）23（项）99：指民族事务管理方面支出。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教育（类）205（款）99（项）99：指2019年州级下拨高级人才慰问。</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社会保障和就业（类）208（款）05（项）05：指本单位养老保险支出。</w:t>
      </w:r>
    </w:p>
    <w:p>
      <w:pPr>
        <w:ind w:firstLine="1120" w:firstLineChars="350"/>
        <w:rPr>
          <w:rFonts w:ascii="仿宋_GB2312" w:eastAsia="仿宋_GB2312"/>
          <w:color w:val="000000"/>
          <w:sz w:val="32"/>
          <w:szCs w:val="32"/>
        </w:rPr>
      </w:pPr>
      <w:r>
        <w:rPr>
          <w:rFonts w:hint="eastAsia" w:ascii="仿宋_GB2312" w:eastAsia="仿宋_GB2312"/>
          <w:color w:val="000000"/>
          <w:sz w:val="32"/>
          <w:szCs w:val="32"/>
        </w:rPr>
        <w:t>社会保障和就业（类）208（款）05（项）06：指本单位职业年金支出。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医疗卫生与计划生育（类）210（款）11（项）01：指单位职工医疗保险费用支出。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住房保障（类）221（款）02（项）01：指本单位为职工住房公积金补助。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8"/>
    </w:p>
    <w:p>
      <w:pPr>
        <w:spacing w:line="600" w:lineRule="exact"/>
        <w:jc w:val="center"/>
        <w:outlineLvl w:val="0"/>
        <w:rPr>
          <w:rStyle w:val="27"/>
        </w:rPr>
      </w:pPr>
    </w:p>
    <w:p>
      <w:pPr>
        <w:pStyle w:val="3"/>
        <w:rPr>
          <w:rStyle w:val="27"/>
          <w:rFonts w:ascii="仿宋" w:hAnsi="仿宋" w:eastAsia="仿宋"/>
          <w:b w:val="0"/>
          <w:bCs w:val="0"/>
          <w:sz w:val="32"/>
          <w:szCs w:val="32"/>
        </w:rPr>
      </w:pPr>
      <w:bookmarkStart w:id="59" w:name="_Toc15396615"/>
      <w:r>
        <w:rPr>
          <w:rStyle w:val="27"/>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rPr>
        <w:t>中共壤塘县委组织部</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2018年部门整体支出绩效评价报告</w:t>
      </w:r>
      <w:bookmarkEnd w:id="60"/>
    </w:p>
    <w:p>
      <w:pPr>
        <w:spacing w:line="600" w:lineRule="exact"/>
        <w:jc w:val="center"/>
        <w:outlineLvl w:val="0"/>
        <w:rPr>
          <w:rFonts w:ascii="黑体" w:hAnsi="黑体" w:eastAsia="黑体" w:cs="方正小标宋简体"/>
          <w:sz w:val="36"/>
          <w:szCs w:val="36"/>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w:t>
      </w:r>
      <w:r>
        <w:rPr>
          <w:rFonts w:hint="eastAsia" w:ascii="仿宋" w:hAnsi="仿宋" w:eastAsia="仿宋" w:cs="仿宋_GB2312"/>
          <w:sz w:val="32"/>
          <w:szCs w:val="32"/>
        </w:rPr>
        <w:t>一</w:t>
      </w:r>
      <w:r>
        <w:rPr>
          <w:rFonts w:ascii="仿宋" w:hAnsi="仿宋" w:eastAsia="仿宋" w:cs="仿宋_GB2312"/>
          <w:sz w:val="32"/>
          <w:szCs w:val="32"/>
        </w:rPr>
        <w:t>）机构职能。</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研究和指导全县党的组织建设特别是党的基层组织建设；探索各类新的经济组织中党组织的设置和活动方式；协调、规划和指导党员教育工作，主管党员的管理和发展工作；组织、协调新时期党建工作新情况、新问题和党建理论的研究，提出加强党的思想、组织、作风建设的意见和建议。</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负责办理我县由州委管理的干部职务任免、工资、退(离)休报批手续；提出对县委管理的领导班子调整配备的意见和建议；负责县管干部的选拔、考察工作，办理其任免、工资、退(离)休审批手续；组织实施公开选拔县管干部和指导协调全县公开选拔领导干部工作；指导领导班子思想作风建设；负责镇（乡）及县直机关科级干部的宏观管理工作；承办部分干部的调配、交流及安置事项。</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3、研究贯彻中央、省委、州委制定的干部队伍建设的方针、政策，组织落实培养选拔中青年干部工作。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 xml:space="preserve">4、研究和宏观指导全县党的组织制度和干部人事制度的改革，制定或参与制定我县组织、干部、人事工作的重要政策和制度。  </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5、负责全县组织、干部工作的督促检查，及时向县委反映重要情况，提出建议。</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6、主管全县干部教育工作，研究制定我县干部教育的规定、规划；组织县委管理的干部和一定层次的中、青年干部、高级知识分子以及组织部门干部的培训。</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7、牵头负责全县人才工作，制定全县人才工作和人才队伍建设重大政策措施；组织协调全县高层次人才培养、选拔、引进、服务等工作；负责领导联系专家协调服务工作；履行县人才工作领导小组办公室职责。</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8、对国有企业经营管理者队伍的建设进行宏观管理和指导；探索建立企业经营管理者人才市场，掌握和联系一批优秀的企业经营管理者，并提出培养使用意见。</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9、负责全县党的机关、人大、政协、群众团体、法院、检察院和民主党派机关参照国家公务员制度进行管理的工作。</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10、负责全县领导干部监督工作的综合、协调和指导，制定或参与制定干部监督的制度和规定；对干部选拔任用工作和领导干部进行监督。</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11、管理县委老干部局。指导退(离)休干部宏观管理工作。</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ascii="仿宋" w:hAnsi="仿宋" w:eastAsia="仿宋"/>
          <w:color w:val="000000"/>
          <w:sz w:val="32"/>
          <w:szCs w:val="32"/>
        </w:rPr>
        <w:t>1,432.27</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1,412.23</w:t>
      </w:r>
      <w:r>
        <w:rPr>
          <w:rFonts w:hint="eastAsia" w:ascii="仿宋" w:hAnsi="仿宋" w:eastAsia="仿宋"/>
          <w:color w:val="000000"/>
          <w:sz w:val="32"/>
          <w:szCs w:val="32"/>
        </w:rPr>
        <w:t>万元，占99</w:t>
      </w:r>
      <w:r>
        <w:rPr>
          <w:rFonts w:ascii="仿宋" w:hAnsi="仿宋" w:eastAsia="仿宋"/>
          <w:color w:val="000000"/>
          <w:sz w:val="32"/>
          <w:szCs w:val="32"/>
        </w:rPr>
        <w:t>%</w:t>
      </w:r>
      <w:r>
        <w:rPr>
          <w:rFonts w:hint="eastAsia" w:ascii="仿宋" w:hAnsi="仿宋" w:eastAsia="仿宋"/>
          <w:color w:val="000000"/>
          <w:sz w:val="32"/>
          <w:szCs w:val="32"/>
        </w:rPr>
        <w:t>；其他收入</w:t>
      </w:r>
      <w:r>
        <w:rPr>
          <w:rFonts w:ascii="仿宋" w:hAnsi="仿宋" w:eastAsia="仿宋"/>
          <w:color w:val="000000"/>
          <w:sz w:val="32"/>
          <w:szCs w:val="32"/>
        </w:rPr>
        <w:t>20.04</w:t>
      </w:r>
      <w:r>
        <w:rPr>
          <w:rFonts w:hint="eastAsia" w:ascii="仿宋" w:hAnsi="仿宋" w:eastAsia="仿宋"/>
          <w:color w:val="000000"/>
          <w:sz w:val="32"/>
          <w:szCs w:val="32"/>
        </w:rPr>
        <w:t>万元，占1</w:t>
      </w:r>
      <w:r>
        <w:rPr>
          <w:rFonts w:ascii="仿宋" w:hAnsi="仿宋" w:eastAsia="仿宋"/>
          <w:color w:val="000000"/>
          <w:sz w:val="32"/>
          <w:szCs w:val="32"/>
        </w:rPr>
        <w:t>%</w:t>
      </w:r>
      <w:r>
        <w:rPr>
          <w:rFonts w:hint="eastAsia" w:ascii="仿宋" w:hAnsi="仿宋" w:eastAsia="仿宋"/>
          <w:color w:val="000000"/>
          <w:sz w:val="32"/>
          <w:szCs w:val="32"/>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pPr>
        <w:spacing w:line="580" w:lineRule="exact"/>
        <w:ind w:firstLine="640" w:firstLineChars="200"/>
        <w:rPr>
          <w:rFonts w:ascii="仿宋" w:hAnsi="仿宋" w:eastAsia="仿宋" w:cs="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ascii="仿宋" w:hAnsi="仿宋" w:eastAsia="仿宋"/>
          <w:color w:val="000000"/>
          <w:sz w:val="32"/>
          <w:szCs w:val="32"/>
        </w:rPr>
        <w:t>1,596.49</w:t>
      </w:r>
      <w:r>
        <w:rPr>
          <w:rFonts w:hint="eastAsia" w:ascii="仿宋" w:hAnsi="仿宋" w:eastAsia="仿宋"/>
          <w:color w:val="000000"/>
          <w:sz w:val="32"/>
          <w:szCs w:val="32"/>
        </w:rPr>
        <w:t>万元，其中：基本支出</w:t>
      </w:r>
      <w:r>
        <w:rPr>
          <w:rFonts w:ascii="仿宋" w:hAnsi="仿宋" w:eastAsia="仿宋"/>
          <w:color w:val="000000"/>
          <w:sz w:val="32"/>
          <w:szCs w:val="32"/>
        </w:rPr>
        <w:t>1,222.05</w:t>
      </w:r>
      <w:r>
        <w:rPr>
          <w:rFonts w:hint="eastAsia" w:ascii="仿宋" w:hAnsi="仿宋" w:eastAsia="仿宋"/>
          <w:color w:val="000000"/>
          <w:sz w:val="32"/>
          <w:szCs w:val="32"/>
        </w:rPr>
        <w:t>万元，占77</w:t>
      </w:r>
      <w:r>
        <w:rPr>
          <w:rFonts w:ascii="仿宋" w:hAnsi="仿宋" w:eastAsia="仿宋"/>
          <w:color w:val="000000"/>
          <w:sz w:val="32"/>
          <w:szCs w:val="32"/>
        </w:rPr>
        <w:t>%</w:t>
      </w:r>
      <w:r>
        <w:rPr>
          <w:rFonts w:hint="eastAsia" w:ascii="仿宋" w:hAnsi="仿宋" w:eastAsia="仿宋"/>
          <w:color w:val="000000"/>
          <w:sz w:val="32"/>
          <w:szCs w:val="32"/>
        </w:rPr>
        <w:t>；项目支出</w:t>
      </w:r>
      <w:r>
        <w:rPr>
          <w:rFonts w:ascii="仿宋" w:hAnsi="仿宋" w:eastAsia="仿宋"/>
          <w:color w:val="000000"/>
          <w:sz w:val="32"/>
          <w:szCs w:val="32"/>
        </w:rPr>
        <w:t>374.43</w:t>
      </w:r>
      <w:r>
        <w:rPr>
          <w:rFonts w:hint="eastAsia" w:ascii="仿宋" w:hAnsi="仿宋" w:eastAsia="仿宋"/>
          <w:color w:val="000000"/>
          <w:sz w:val="32"/>
          <w:szCs w:val="32"/>
        </w:rPr>
        <w:t>万元，占23</w:t>
      </w:r>
      <w:r>
        <w:rPr>
          <w:rFonts w:ascii="仿宋" w:hAnsi="仿宋" w:eastAsia="仿宋"/>
          <w:color w:val="000000"/>
          <w:sz w:val="32"/>
          <w:szCs w:val="32"/>
        </w:rPr>
        <w:t>%</w:t>
      </w:r>
      <w:r>
        <w:rPr>
          <w:rFonts w:hint="eastAsia" w:ascii="仿宋" w:hAnsi="仿宋" w:eastAsia="仿宋"/>
          <w:color w:val="000000"/>
          <w:sz w:val="32"/>
          <w:szCs w:val="32"/>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1、在预算编制上，人员经费按照规定编制，日常公用经费按定额编制，严格控制“三公经费”</w:t>
      </w:r>
      <w:r>
        <w:rPr>
          <w:rFonts w:ascii="仿宋" w:hAnsi="仿宋" w:eastAsia="仿宋" w:cs="仿宋_GB2312"/>
          <w:sz w:val="32"/>
          <w:szCs w:val="32"/>
        </w:rPr>
        <w:t>。</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2、在财务管理上，严格按照国家相关法律法规，制定了机关财务制度，并严格按照制度管理和执行。</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严格</w:t>
      </w:r>
      <w:r>
        <w:rPr>
          <w:rFonts w:ascii="仿宋" w:hAnsi="仿宋" w:eastAsia="仿宋" w:cs="仿宋_GB2312"/>
          <w:sz w:val="32"/>
          <w:szCs w:val="32"/>
        </w:rPr>
        <w:t>专项预算项目</w:t>
      </w:r>
      <w:r>
        <w:rPr>
          <w:rFonts w:hint="eastAsia" w:ascii="仿宋" w:hAnsi="仿宋" w:eastAsia="仿宋" w:cs="仿宋_GB2312"/>
          <w:sz w:val="32"/>
          <w:szCs w:val="32"/>
        </w:rPr>
        <w:t>支出管理，专款专用，保障专项资金支出的规范化、制度化。</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单位制定了内部财务、资产等管理制度，支出总额控制在预算总额以内，基本支出中财政政策性工资有所追加，预算资金按规定管理使用，财政拨款支出总体控制较好。 </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我部严格按照国家规定的相关财务管理制度规定，财务制度健全、会计核算规范，按照预算管理办法使用预算资金。</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（二）存在问题。</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7"/>
          <w:rFonts w:ascii="仿宋" w:hAnsi="仿宋" w:eastAsia="仿宋"/>
          <w:b w:val="0"/>
          <w:bCs w:val="0"/>
          <w:sz w:val="32"/>
          <w:szCs w:val="32"/>
        </w:rPr>
      </w:pPr>
      <w:bookmarkStart w:id="61" w:name="_Toc15396617"/>
      <w:r>
        <w:rPr>
          <w:rStyle w:val="27"/>
          <w:rFonts w:hint="eastAsia" w:ascii="仿宋" w:hAnsi="仿宋" w:eastAsia="仿宋"/>
          <w:b w:val="0"/>
          <w:bCs w:val="0"/>
          <w:sz w:val="32"/>
          <w:szCs w:val="32"/>
        </w:rPr>
        <w:t>附件2</w:t>
      </w:r>
      <w:bookmarkEnd w:id="61"/>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2018年壤塘县远程教育设备采购项目</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壤塘县委组织部于2018年7月19日将壤塘县远程教育设备采购项目向县人民政府提交《中共壤塘县委组织部关于将远程教育设备纳入政府采购的请示》（壤委组〔2018〕69号）文件，县财政局于2018年9月3日下达《壤塘县财政局关于将远程教育设备纳入政府采购方式的批复》（壤财采监〔2018〕109号）。此项目于2018年9月20日在州交易中心挂网招标，由四川天逸辰信息技术有限公司中标（中标金额：40.9万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壤塘县远程教育网络专线来源采购正在筹备开标工作（金额：19.9万元）。该项目的实施将极大的加强农牧民群众教育、政策宣传学习提供一个有利的平台。</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目前项目已完成全县12个乡镇、63个村（社区）的75个远程教育站点的电视机、投影仪、电脑的更换工作及验收工作。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此项目惠及全县2140户贫困户，10096人，为2019年脱贫攻坚县摘帽提供智力支持和人才保障。</w:t>
      </w:r>
    </w:p>
    <w:p>
      <w:pPr>
        <w:spacing w:line="580" w:lineRule="exact"/>
        <w:ind w:firstLine="320" w:firstLineChars="100"/>
        <w:rPr>
          <w:rFonts w:ascii="仿宋" w:hAnsi="仿宋" w:eastAsia="仿宋" w:cs="仿宋_GB2312"/>
          <w:sz w:val="32"/>
          <w:szCs w:val="32"/>
        </w:rPr>
      </w:pPr>
      <w:r>
        <w:rPr>
          <w:rFonts w:ascii="仿宋" w:hAnsi="仿宋" w:eastAsia="仿宋" w:cs="仿宋_GB2312"/>
          <w:sz w:val="32"/>
          <w:szCs w:val="32"/>
        </w:rPr>
        <w:t>（二）绩效分析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在线学习。</w:t>
      </w:r>
      <w:r>
        <w:rPr>
          <w:rFonts w:hint="eastAsia" w:ascii="仿宋_GB2312" w:hAnsi="仿宋_GB2312" w:eastAsia="仿宋_GB2312" w:cs="仿宋_GB2312"/>
          <w:sz w:val="32"/>
          <w:szCs w:val="32"/>
        </w:rPr>
        <w:t>基层党组织通过站点电脑、手机app、微信众号，就可以点播党员教育资源库中的多媒体培训课件、文化影视娱乐节目、电子图书杂志等丰富的教育培训和文化娱乐资源，以丰富站点服务内容，提升站点服务社会主义新农村的科技文化支撑能力。同时，新增入党积极分子题库，入党积极分子可以学到各种党的基本理论知识（pkao题库）</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远程教育。</w:t>
      </w:r>
      <w:r>
        <w:rPr>
          <w:rFonts w:hint="eastAsia" w:ascii="仿宋_GB2312" w:hAnsi="仿宋_GB2312" w:eastAsia="仿宋_GB2312" w:cs="仿宋_GB2312"/>
          <w:sz w:val="32"/>
          <w:szCs w:val="32"/>
        </w:rPr>
        <w:t>主要包括实现与全国农村党员干部现代远程教育平台和四川省天府先锋全媒体党员教育平合的对接，使站点都能接收中央、省党员干部现代远程教育平台传输的大量优秀节目，使当地基层组织部门能够利用这些节目内容开展更为广泛的党员干部教育培训工作中央、省、州、县优秀党组织书记案例和党员教育工作动态等。（全国党员干部现代远程教育网）</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党史博览。</w:t>
      </w:r>
      <w:r>
        <w:rPr>
          <w:rFonts w:hint="eastAsia" w:ascii="仿宋_GB2312" w:hAnsi="仿宋_GB2312" w:eastAsia="仿宋_GB2312" w:cs="仿宋_GB2312"/>
          <w:sz w:val="32"/>
          <w:szCs w:val="32"/>
        </w:rPr>
        <w:t>坚持以“以史鉴今、资政育人”为根本任务多层次、多侧面、全方位地宣传党的光辉历史、弘扬党的优良传统、总结党的经验教训，以优秀的党史作品教育人、激励人、启迪人、警示人。</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网络环境。</w:t>
      </w:r>
      <w:r>
        <w:rPr>
          <w:rFonts w:hint="eastAsia" w:ascii="仿宋_GB2312" w:hAnsi="仿宋_GB2312" w:eastAsia="仿宋_GB2312" w:cs="仿宋_GB2312"/>
          <w:sz w:val="32"/>
          <w:szCs w:val="32"/>
        </w:rPr>
        <w:t>开通宽带网络，提供网络点播功能，实现站点的多通路资源接收，为今后站点接收资源提供又一方便的通路，提高站点的资源接收保障能力和服务功能。</w:t>
      </w:r>
    </w:p>
    <w:p>
      <w:pPr>
        <w:numPr>
          <w:ilvl w:val="0"/>
          <w:numId w:val="7"/>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项目管理</w:t>
      </w:r>
    </w:p>
    <w:p>
      <w:pPr>
        <w:spacing w:line="580" w:lineRule="exact"/>
        <w:rPr>
          <w:rFonts w:ascii="仿宋" w:hAnsi="仿宋" w:eastAsia="仿宋" w:cs="仿宋_GB2312"/>
          <w:sz w:val="32"/>
          <w:szCs w:val="32"/>
        </w:rPr>
      </w:pPr>
      <w:r>
        <w:rPr>
          <w:rFonts w:hint="eastAsia" w:ascii="仿宋" w:hAnsi="仿宋" w:eastAsia="仿宋" w:cs="仿宋_GB2312"/>
          <w:sz w:val="32"/>
          <w:szCs w:val="32"/>
        </w:rPr>
        <w:t xml:space="preserve">    此项目由县委组织部统一管理，项目资金也由组织部统一管理，统一采购远程教育设备，已经支付60.8万元。</w:t>
      </w:r>
    </w:p>
    <w:p>
      <w:pPr>
        <w:numPr>
          <w:ilvl w:val="0"/>
          <w:numId w:val="8"/>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项目绩效</w:t>
      </w:r>
    </w:p>
    <w:p>
      <w:p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完成全县12个乡镇、63个村（社区）的75个远程教育站点的电视机、投影仪、电脑的更换工作及验收工作</w:t>
      </w: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存在主要问题</w:t>
      </w:r>
    </w:p>
    <w:p>
      <w:pPr>
        <w:spacing w:line="580" w:lineRule="exact"/>
        <w:rPr>
          <w:rFonts w:ascii="仿宋" w:hAnsi="仿宋" w:eastAsia="仿宋" w:cs="仿宋_GB2312"/>
          <w:sz w:val="32"/>
          <w:szCs w:val="32"/>
        </w:rPr>
      </w:pPr>
      <w:r>
        <w:rPr>
          <w:rFonts w:hint="eastAsia" w:ascii="仿宋" w:hAnsi="仿宋" w:eastAsia="仿宋" w:cs="仿宋_GB2312"/>
          <w:sz w:val="32"/>
          <w:szCs w:val="32"/>
        </w:rPr>
        <w:t xml:space="preserve">    远程教育</w:t>
      </w:r>
      <w:r>
        <w:rPr>
          <w:rFonts w:hint="eastAsia" w:eastAsia="仿宋"/>
          <w:sz w:val="32"/>
          <w:szCs w:val="32"/>
        </w:rPr>
        <w:t>资金拨付力度较为缓慢</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w:t>
      </w:r>
      <w:r>
        <w:rPr>
          <w:rFonts w:ascii="仿宋" w:hAnsi="仿宋" w:eastAsia="仿宋" w:cs="仿宋_GB2312"/>
          <w:sz w:val="32"/>
          <w:szCs w:val="32"/>
        </w:rPr>
        <w:t>、相关措施建议</w:t>
      </w:r>
    </w:p>
    <w:p>
      <w:pPr>
        <w:spacing w:line="580" w:lineRule="exact"/>
        <w:jc w:val="center"/>
        <w:rPr>
          <w:rFonts w:hint="eastAsia" w:eastAsia="仿宋"/>
          <w:sz w:val="32"/>
          <w:szCs w:val="32"/>
        </w:rPr>
      </w:pPr>
      <w:r>
        <w:rPr>
          <w:rFonts w:hint="eastAsia" w:eastAsia="仿宋"/>
          <w:sz w:val="32"/>
          <w:szCs w:val="32"/>
        </w:rPr>
        <w:t xml:space="preserve">       我部将按承接办每月拨付资金进度要求，按时足额</w:t>
      </w:r>
    </w:p>
    <w:p>
      <w:pPr>
        <w:spacing w:line="580" w:lineRule="exact"/>
        <w:rPr>
          <w:rFonts w:ascii="黑体" w:hAnsi="黑体" w:eastAsia="黑体" w:cs="方正小标宋简体"/>
          <w:sz w:val="44"/>
          <w:szCs w:val="44"/>
        </w:rPr>
      </w:pPr>
      <w:r>
        <w:rPr>
          <w:rFonts w:hint="eastAsia" w:eastAsia="仿宋"/>
          <w:sz w:val="32"/>
          <w:szCs w:val="32"/>
        </w:rPr>
        <w:t>拨付培训资金。</w:t>
      </w: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2018年壤塘县大学生创业项目支出绩效评价报告</w:t>
      </w:r>
    </w:p>
    <w:p>
      <w:pPr>
        <w:spacing w:line="580" w:lineRule="exact"/>
        <w:ind w:firstLine="640" w:firstLineChars="200"/>
        <w:rPr>
          <w:rFonts w:ascii="仿宋_GB2312" w:hAnsi="仿宋_GB2312" w:eastAsia="仿宋_GB2312" w:cs="仿宋_GB2312"/>
          <w:sz w:val="32"/>
          <w:szCs w:val="32"/>
        </w:rPr>
      </w:pPr>
    </w:p>
    <w:p>
      <w:pPr>
        <w:pStyle w:val="2"/>
        <w:keepNext w:val="0"/>
        <w:keepLines w:val="0"/>
        <w:widowControl/>
        <w:spacing w:before="0" w:after="0" w:line="410" w:lineRule="exact"/>
        <w:ind w:firstLine="640" w:firstLineChars="200"/>
        <w:rPr>
          <w:rFonts w:ascii="黑体" w:hAnsi="黑体" w:eastAsia="黑体" w:cs="黑体"/>
          <w:b w:val="0"/>
          <w:bCs w:val="0"/>
          <w:sz w:val="32"/>
          <w:szCs w:val="32"/>
        </w:rPr>
      </w:pPr>
      <w:r>
        <w:rPr>
          <w:rFonts w:hint="eastAsia" w:ascii="黑体" w:hAnsi="黑体" w:eastAsia="黑体" w:cs="黑体"/>
          <w:b w:val="0"/>
          <w:bCs w:val="0"/>
          <w:sz w:val="32"/>
          <w:szCs w:val="32"/>
        </w:rPr>
        <w:t>一、项目建设必要性</w:t>
      </w:r>
    </w:p>
    <w:p>
      <w:pPr>
        <w:spacing w:line="410" w:lineRule="exact"/>
        <w:ind w:firstLine="640"/>
        <w:rPr>
          <w:rFonts w:ascii="仿宋" w:hAnsi="仿宋" w:eastAsia="仿宋" w:cs="仿宋_GB2312"/>
          <w:sz w:val="32"/>
          <w:szCs w:val="32"/>
        </w:rPr>
      </w:pPr>
      <w:r>
        <w:rPr>
          <w:rFonts w:hint="eastAsia" w:ascii="仿宋" w:hAnsi="仿宋" w:eastAsia="仿宋" w:cs="仿宋_GB2312"/>
          <w:sz w:val="32"/>
          <w:szCs w:val="32"/>
        </w:rPr>
        <w:t>为有能力、有愿意创业的大学生、农牧民、乡村致富带头人给予一定的资金支持、创业基金，帮助自主创业，为决战决胜脱贫攻坚、建设“美丽壤巴拉家园”夯实基础。</w:t>
      </w:r>
    </w:p>
    <w:p>
      <w:pPr>
        <w:pStyle w:val="2"/>
        <w:keepNext w:val="0"/>
        <w:keepLines w:val="0"/>
        <w:widowControl/>
        <w:spacing w:before="0" w:after="0" w:line="410" w:lineRule="exact"/>
        <w:ind w:firstLine="640" w:firstLineChars="200"/>
        <w:rPr>
          <w:rFonts w:ascii="黑体" w:hAnsi="黑体" w:eastAsia="黑体" w:cs="黑体"/>
          <w:b w:val="0"/>
          <w:bCs w:val="0"/>
          <w:sz w:val="32"/>
          <w:szCs w:val="32"/>
        </w:rPr>
      </w:pPr>
      <w:r>
        <w:rPr>
          <w:rFonts w:hint="eastAsia" w:ascii="黑体" w:hAnsi="黑体" w:eastAsia="黑体" w:cs="黑体"/>
          <w:b w:val="0"/>
          <w:bCs w:val="0"/>
          <w:sz w:val="32"/>
          <w:szCs w:val="32"/>
        </w:rPr>
        <w:t>二、项目基本情况</w:t>
      </w:r>
    </w:p>
    <w:p>
      <w:pPr>
        <w:pStyle w:val="2"/>
        <w:keepNext w:val="0"/>
        <w:keepLines w:val="0"/>
        <w:widowControl/>
        <w:spacing w:before="0" w:after="0" w:line="410" w:lineRule="exact"/>
        <w:ind w:firstLine="643" w:firstLineChars="200"/>
        <w:rPr>
          <w:rFonts w:ascii="仿宋" w:hAnsi="仿宋" w:eastAsia="仿宋" w:cs="仿宋_GB2312"/>
          <w:b w:val="0"/>
          <w:bCs w:val="0"/>
          <w:kern w:val="2"/>
          <w:sz w:val="32"/>
          <w:szCs w:val="32"/>
        </w:rPr>
      </w:pPr>
      <w:r>
        <w:rPr>
          <w:rFonts w:hint="eastAsia" w:ascii="仿宋_GB2312" w:eastAsia="仿宋_GB2312"/>
          <w:bCs w:val="0"/>
          <w:sz w:val="32"/>
          <w:szCs w:val="32"/>
        </w:rPr>
        <w:t>项目名称：</w:t>
      </w:r>
      <w:r>
        <w:rPr>
          <w:rFonts w:hint="eastAsia" w:ascii="仿宋" w:hAnsi="仿宋" w:eastAsia="仿宋" w:cs="仿宋_GB2312"/>
          <w:b w:val="0"/>
          <w:bCs w:val="0"/>
          <w:kern w:val="2"/>
          <w:sz w:val="32"/>
          <w:szCs w:val="32"/>
        </w:rPr>
        <w:t>壤塘县大学生创业项目</w:t>
      </w:r>
    </w:p>
    <w:p>
      <w:pPr>
        <w:pStyle w:val="2"/>
        <w:keepNext w:val="0"/>
        <w:keepLines w:val="0"/>
        <w:widowControl/>
        <w:spacing w:before="0" w:after="0" w:line="410" w:lineRule="exact"/>
        <w:ind w:firstLine="643" w:firstLineChars="200"/>
        <w:rPr>
          <w:rFonts w:ascii="仿宋" w:hAnsi="仿宋" w:eastAsia="仿宋" w:cs="仿宋_GB2312"/>
          <w:b w:val="0"/>
          <w:bCs w:val="0"/>
          <w:kern w:val="2"/>
          <w:sz w:val="32"/>
          <w:szCs w:val="32"/>
        </w:rPr>
      </w:pPr>
      <w:r>
        <w:rPr>
          <w:rFonts w:hint="eastAsia" w:ascii="仿宋_GB2312" w:eastAsia="仿宋_GB2312"/>
          <w:bCs w:val="0"/>
          <w:sz w:val="32"/>
          <w:szCs w:val="32"/>
        </w:rPr>
        <w:t>项目建设地点：</w:t>
      </w:r>
      <w:r>
        <w:rPr>
          <w:rFonts w:hint="eastAsia" w:ascii="仿宋" w:hAnsi="仿宋" w:eastAsia="仿宋" w:cs="仿宋_GB2312"/>
          <w:b w:val="0"/>
          <w:bCs w:val="0"/>
          <w:kern w:val="2"/>
          <w:sz w:val="32"/>
          <w:szCs w:val="32"/>
        </w:rPr>
        <w:t>壤塘县壤柯镇、中壤塘镇、茸木达乡、南木达镇、吾依乡、石里乡、尕多乡、岗木达乡、宗科乡</w:t>
      </w:r>
    </w:p>
    <w:p>
      <w:pPr>
        <w:pStyle w:val="2"/>
        <w:keepNext w:val="0"/>
        <w:keepLines w:val="0"/>
        <w:widowControl/>
        <w:spacing w:before="0" w:after="0" w:line="410" w:lineRule="exact"/>
        <w:ind w:firstLine="643" w:firstLineChars="200"/>
        <w:rPr>
          <w:rFonts w:ascii="仿宋_GB2312" w:hAnsi="Arial" w:eastAsia="仿宋_GB2312" w:cs="Arial"/>
          <w:b w:val="0"/>
          <w:color w:val="1D1D1D"/>
          <w:sz w:val="32"/>
          <w:szCs w:val="32"/>
        </w:rPr>
      </w:pPr>
      <w:r>
        <w:rPr>
          <w:rFonts w:hint="eastAsia" w:ascii="仿宋_GB2312" w:hAnsi="黑体" w:eastAsia="仿宋_GB2312"/>
          <w:bCs w:val="0"/>
          <w:sz w:val="32"/>
          <w:szCs w:val="32"/>
        </w:rPr>
        <w:t>建设规模及主要建设内容:</w:t>
      </w:r>
      <w:r>
        <w:rPr>
          <w:rFonts w:hint="eastAsia" w:ascii="仿宋_GB2312" w:hAnsi="Arial" w:eastAsia="仿宋_GB2312" w:cs="Arial"/>
          <w:b w:val="0"/>
          <w:color w:val="1D1D1D"/>
          <w:sz w:val="32"/>
          <w:szCs w:val="32"/>
        </w:rPr>
        <w:t>中药材、蔬菜种植基地；少数民族特色手工业传承工艺制作及培训；自主创业民族特色店面。</w:t>
      </w:r>
    </w:p>
    <w:p>
      <w:pPr>
        <w:pStyle w:val="2"/>
        <w:keepNext w:val="0"/>
        <w:keepLines w:val="0"/>
        <w:widowControl/>
        <w:spacing w:before="0" w:after="0" w:line="410" w:lineRule="exact"/>
        <w:ind w:firstLine="643" w:firstLineChars="200"/>
        <w:rPr>
          <w:rFonts w:ascii="仿宋_GB2312" w:eastAsia="仿宋_GB2312"/>
          <w:b w:val="0"/>
          <w:sz w:val="32"/>
          <w:szCs w:val="32"/>
        </w:rPr>
      </w:pPr>
      <w:r>
        <w:rPr>
          <w:rFonts w:hint="eastAsia" w:ascii="仿宋_GB2312" w:hAnsi="Arial" w:eastAsia="仿宋_GB2312" w:cs="Arial"/>
          <w:bCs w:val="0"/>
          <w:color w:val="1D1D1D"/>
          <w:sz w:val="32"/>
          <w:szCs w:val="32"/>
        </w:rPr>
        <w:t>项目扶持对象：</w:t>
      </w:r>
      <w:r>
        <w:rPr>
          <w:rFonts w:hint="eastAsia" w:ascii="仿宋_GB2312" w:eastAsia="仿宋_GB2312"/>
          <w:b w:val="0"/>
          <w:sz w:val="32"/>
          <w:szCs w:val="32"/>
        </w:rPr>
        <w:t>有创业意愿并创业的大学生、大学生村官，优秀人才、实用人才，“土专家”“田秀才”等，用于创办农村专合组织、生产经济效益并带领农牧民群众脱贫的致富带头人，民族特色文化传承工艺制作、培训及创业人。</w:t>
      </w:r>
    </w:p>
    <w:p>
      <w:pPr>
        <w:pStyle w:val="2"/>
        <w:keepNext w:val="0"/>
        <w:keepLines w:val="0"/>
        <w:widowControl/>
        <w:spacing w:before="0" w:after="0" w:line="410" w:lineRule="exact"/>
        <w:ind w:firstLine="643" w:firstLineChars="200"/>
        <w:rPr>
          <w:rFonts w:ascii="仿宋_GB2312" w:eastAsia="仿宋_GB2312"/>
          <w:b w:val="0"/>
          <w:sz w:val="32"/>
          <w:szCs w:val="32"/>
        </w:rPr>
      </w:pPr>
      <w:r>
        <w:rPr>
          <w:rFonts w:hint="eastAsia" w:ascii="仿宋_GB2312" w:eastAsia="仿宋_GB2312"/>
          <w:bCs w:val="0"/>
          <w:sz w:val="32"/>
          <w:szCs w:val="32"/>
        </w:rPr>
        <w:t>直接或间接帮扶贫困人口：</w:t>
      </w:r>
      <w:r>
        <w:rPr>
          <w:rFonts w:hint="eastAsia" w:ascii="仿宋" w:hAnsi="仿宋" w:eastAsia="仿宋" w:cs="仿宋_GB2312"/>
          <w:b w:val="0"/>
          <w:bCs w:val="0"/>
          <w:kern w:val="2"/>
          <w:sz w:val="32"/>
          <w:szCs w:val="32"/>
        </w:rPr>
        <w:t>169户、731人。</w:t>
      </w:r>
    </w:p>
    <w:p>
      <w:pPr>
        <w:adjustRightInd w:val="0"/>
        <w:snapToGrid w:val="0"/>
        <w:spacing w:line="410" w:lineRule="exact"/>
        <w:ind w:firstLine="643" w:firstLineChars="200"/>
        <w:rPr>
          <w:rFonts w:ascii="仿宋" w:hAnsi="仿宋" w:eastAsia="仿宋" w:cs="仿宋_GB2312"/>
          <w:sz w:val="32"/>
          <w:szCs w:val="32"/>
        </w:rPr>
      </w:pPr>
      <w:r>
        <w:rPr>
          <w:rFonts w:hint="eastAsia" w:ascii="仿宋_GB2312" w:eastAsia="仿宋_GB2312"/>
          <w:b/>
          <w:bCs/>
          <w:sz w:val="32"/>
          <w:szCs w:val="32"/>
        </w:rPr>
        <w:t>项目建设总投资及资金来源：</w:t>
      </w:r>
      <w:r>
        <w:rPr>
          <w:rFonts w:hint="eastAsia" w:ascii="仿宋" w:hAnsi="仿宋" w:eastAsia="仿宋" w:cs="仿宋_GB2312"/>
          <w:sz w:val="32"/>
          <w:szCs w:val="32"/>
        </w:rPr>
        <w:t>浙江援建资金20万元。</w:t>
      </w:r>
    </w:p>
    <w:p>
      <w:pPr>
        <w:spacing w:line="410" w:lineRule="exact"/>
        <w:ind w:firstLine="643" w:firstLineChars="200"/>
        <w:rPr>
          <w:rFonts w:ascii="仿宋" w:hAnsi="仿宋" w:eastAsia="仿宋" w:cs="仿宋_GB2312"/>
          <w:sz w:val="32"/>
          <w:szCs w:val="32"/>
        </w:rPr>
      </w:pPr>
      <w:r>
        <w:rPr>
          <w:rFonts w:hint="eastAsia" w:ascii="仿宋_GB2312" w:eastAsia="仿宋_GB2312"/>
          <w:b/>
          <w:bCs/>
          <w:sz w:val="32"/>
          <w:szCs w:val="32"/>
        </w:rPr>
        <w:t>项目建设期限：</w:t>
      </w:r>
      <w:r>
        <w:rPr>
          <w:rFonts w:hint="eastAsia" w:ascii="仿宋" w:hAnsi="仿宋" w:eastAsia="仿宋" w:cs="仿宋_GB2312"/>
          <w:sz w:val="32"/>
          <w:szCs w:val="32"/>
        </w:rPr>
        <w:t>2018年4月—2018年9月</w:t>
      </w:r>
    </w:p>
    <w:p>
      <w:pPr>
        <w:pStyle w:val="14"/>
        <w:spacing w:line="410" w:lineRule="exact"/>
        <w:ind w:firstLine="643" w:firstLineChars="200"/>
        <w:rPr>
          <w:rFonts w:ascii="仿宋" w:hAnsi="仿宋" w:eastAsia="仿宋" w:cs="仿宋_GB2312"/>
          <w:kern w:val="2"/>
          <w:sz w:val="32"/>
          <w:szCs w:val="32"/>
        </w:rPr>
      </w:pPr>
      <w:r>
        <w:rPr>
          <w:rFonts w:hint="eastAsia" w:ascii="仿宋_GB2312" w:eastAsia="仿宋_GB2312"/>
          <w:b/>
          <w:bCs/>
          <w:sz w:val="32"/>
          <w:szCs w:val="32"/>
        </w:rPr>
        <w:t>项目业主：</w:t>
      </w:r>
      <w:r>
        <w:rPr>
          <w:rFonts w:hint="eastAsia" w:ascii="仿宋" w:hAnsi="仿宋" w:eastAsia="仿宋" w:cs="仿宋_GB2312"/>
          <w:kern w:val="2"/>
          <w:sz w:val="32"/>
          <w:szCs w:val="32"/>
        </w:rPr>
        <w:t>中共壤塘县委组织部</w:t>
      </w:r>
    </w:p>
    <w:p>
      <w:pPr>
        <w:pStyle w:val="14"/>
        <w:spacing w:line="410" w:lineRule="exact"/>
        <w:ind w:firstLine="643" w:firstLineChars="200"/>
        <w:rPr>
          <w:rFonts w:ascii="仿宋" w:hAnsi="仿宋" w:eastAsia="仿宋" w:cs="仿宋_GB2312"/>
          <w:kern w:val="2"/>
          <w:sz w:val="32"/>
          <w:szCs w:val="32"/>
        </w:rPr>
      </w:pPr>
      <w:r>
        <w:rPr>
          <w:rFonts w:hint="eastAsia" w:ascii="仿宋_GB2312" w:eastAsia="仿宋_GB2312"/>
          <w:b/>
          <w:bCs/>
          <w:sz w:val="32"/>
          <w:szCs w:val="32"/>
        </w:rPr>
        <w:t>前期工作：</w:t>
      </w:r>
      <w:r>
        <w:rPr>
          <w:rFonts w:hint="eastAsia" w:ascii="仿宋" w:hAnsi="仿宋" w:eastAsia="仿宋" w:cs="仿宋_GB2312"/>
          <w:kern w:val="2"/>
          <w:sz w:val="32"/>
          <w:szCs w:val="32"/>
        </w:rPr>
        <w:t>方案已通过政府审定，拟计划于2018年4月初开工，9月底完工验收。</w:t>
      </w:r>
    </w:p>
    <w:p>
      <w:pPr>
        <w:adjustRightInd w:val="0"/>
        <w:snapToGrid w:val="0"/>
        <w:spacing w:line="410" w:lineRule="exact"/>
        <w:ind w:firstLine="640" w:firstLineChars="200"/>
        <w:rPr>
          <w:rFonts w:ascii="黑体" w:hAnsi="黑体" w:eastAsia="黑体" w:cs="黑体"/>
          <w:bCs/>
          <w:color w:val="000000"/>
          <w:sz w:val="32"/>
          <w:szCs w:val="32"/>
        </w:rPr>
      </w:pPr>
      <w:r>
        <w:rPr>
          <w:rFonts w:hint="eastAsia" w:ascii="黑体" w:hAnsi="黑体" w:eastAsia="黑体" w:cs="黑体"/>
          <w:bCs/>
          <w:sz w:val="32"/>
          <w:szCs w:val="32"/>
        </w:rPr>
        <w:t>三、实施效果分析</w:t>
      </w:r>
    </w:p>
    <w:p>
      <w:pPr>
        <w:adjustRightInd w:val="0"/>
        <w:snapToGrid w:val="0"/>
        <w:spacing w:line="410" w:lineRule="exact"/>
        <w:ind w:firstLine="643" w:firstLineChars="200"/>
        <w:rPr>
          <w:rFonts w:ascii="仿宋" w:hAnsi="仿宋" w:eastAsia="仿宋" w:cs="仿宋_GB2312"/>
          <w:sz w:val="32"/>
          <w:szCs w:val="32"/>
        </w:rPr>
      </w:pPr>
      <w:r>
        <w:rPr>
          <w:rFonts w:hint="eastAsia" w:ascii="仿宋_GB2312" w:hAnsi="仿宋" w:eastAsia="仿宋_GB2312"/>
          <w:b/>
          <w:sz w:val="32"/>
          <w:szCs w:val="32"/>
        </w:rPr>
        <w:t>（一）农民增收</w:t>
      </w:r>
      <w:r>
        <w:rPr>
          <w:rFonts w:hint="eastAsia" w:ascii="仿宋_GB2312" w:hAnsi="仿宋" w:eastAsia="仿宋_GB2312"/>
          <w:b/>
          <w:color w:val="000000"/>
          <w:sz w:val="32"/>
          <w:szCs w:val="32"/>
        </w:rPr>
        <w:t>。</w:t>
      </w:r>
      <w:r>
        <w:rPr>
          <w:rFonts w:hint="eastAsia" w:ascii="仿宋" w:hAnsi="仿宋" w:eastAsia="仿宋" w:cs="仿宋_GB2312"/>
          <w:sz w:val="32"/>
          <w:szCs w:val="32"/>
        </w:rPr>
        <w:t>大学生、农户通过自主创业，实现增收，有效增加贫困大学生、农牧民群众可支配收入。</w:t>
      </w:r>
    </w:p>
    <w:p>
      <w:pPr>
        <w:spacing w:line="410" w:lineRule="exact"/>
        <w:ind w:firstLine="643" w:firstLineChars="200"/>
        <w:rPr>
          <w:rFonts w:ascii="仿宋" w:hAnsi="仿宋" w:eastAsia="仿宋" w:cs="仿宋_GB2312"/>
          <w:sz w:val="32"/>
          <w:szCs w:val="32"/>
        </w:rPr>
      </w:pPr>
      <w:r>
        <w:rPr>
          <w:rFonts w:hint="eastAsia" w:ascii="仿宋_GB2312" w:eastAsia="仿宋_GB2312"/>
          <w:b/>
          <w:sz w:val="32"/>
          <w:szCs w:val="32"/>
        </w:rPr>
        <w:t>（二）社会效益。</w:t>
      </w:r>
      <w:r>
        <w:rPr>
          <w:rFonts w:hint="eastAsia" w:ascii="仿宋" w:hAnsi="仿宋" w:eastAsia="仿宋" w:cs="仿宋_GB2312"/>
          <w:sz w:val="32"/>
          <w:szCs w:val="32"/>
        </w:rPr>
        <w:t>在脱贫攻坚的大社会背景下，给予想干事、想创业的一部分大学生、农牧民一定的创业基金，提高贫困地区的大学生、农牧民创业致富积极性，以点带面，努力营造大众创业的良好社会环境，助力脱贫攻坚。</w:t>
      </w:r>
    </w:p>
    <w:p>
      <w:pPr>
        <w:adjustRightInd w:val="0"/>
        <w:snapToGrid w:val="0"/>
        <w:spacing w:line="41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四、存在主要问题</w:t>
      </w:r>
    </w:p>
    <w:p>
      <w:pPr>
        <w:spacing w:line="580" w:lineRule="exact"/>
        <w:ind w:firstLine="640" w:firstLineChars="200"/>
        <w:rPr>
          <w:rFonts w:ascii="仿宋" w:hAnsi="仿宋" w:eastAsia="仿宋" w:cs="仿宋_GB2312"/>
          <w:sz w:val="32"/>
          <w:szCs w:val="32"/>
        </w:rPr>
      </w:pPr>
      <w:r>
        <w:rPr>
          <w:rFonts w:hint="eastAsia" w:ascii="黑体" w:hAnsi="黑体" w:eastAsia="黑体" w:cs="黑体"/>
          <w:bCs/>
          <w:sz w:val="32"/>
          <w:szCs w:val="32"/>
        </w:rPr>
        <w:t>一是</w:t>
      </w:r>
      <w:r>
        <w:rPr>
          <w:rFonts w:hint="eastAsia" w:ascii="仿宋" w:hAnsi="仿宋" w:eastAsia="仿宋" w:cs="仿宋_GB2312"/>
          <w:sz w:val="32"/>
          <w:szCs w:val="32"/>
        </w:rPr>
        <w:t>资金拨付较为缓慢；二是平时忙于日常工作，实地了解和掌握项目情况较少。</w:t>
      </w:r>
    </w:p>
    <w:p>
      <w:pPr>
        <w:adjustRightInd w:val="0"/>
        <w:snapToGrid w:val="0"/>
        <w:spacing w:line="410" w:lineRule="exact"/>
        <w:ind w:firstLine="640" w:firstLineChars="200"/>
        <w:rPr>
          <w:rFonts w:ascii="黑体" w:hAnsi="黑体" w:eastAsia="黑体" w:cs="黑体"/>
          <w:bCs/>
          <w:sz w:val="32"/>
          <w:szCs w:val="32"/>
        </w:rPr>
      </w:pPr>
      <w:r>
        <w:rPr>
          <w:rFonts w:hint="eastAsia" w:ascii="黑体" w:hAnsi="黑体" w:eastAsia="黑体" w:cs="黑体"/>
          <w:bCs/>
          <w:sz w:val="32"/>
          <w:szCs w:val="32"/>
        </w:rPr>
        <w:t>五、相关措施建议</w:t>
      </w:r>
    </w:p>
    <w:p>
      <w:pPr>
        <w:pStyle w:val="3"/>
        <w:ind w:firstLine="642"/>
        <w:rPr>
          <w:rFonts w:ascii="仿宋" w:hAnsi="仿宋" w:eastAsia="仿宋" w:cs="仿宋_GB2312"/>
          <w:b w:val="0"/>
          <w:bCs w:val="0"/>
        </w:rPr>
      </w:pPr>
      <w:r>
        <w:rPr>
          <w:rFonts w:hint="eastAsia" w:ascii="仿宋" w:hAnsi="仿宋" w:eastAsia="仿宋" w:cs="仿宋_GB2312"/>
          <w:b w:val="0"/>
          <w:bCs w:val="0"/>
        </w:rPr>
        <w:t>我部将按年初制定计划要求按时足额拨付创业资金和加大力度对创业项目的管理。</w:t>
      </w:r>
    </w:p>
    <w:p>
      <w:pPr>
        <w:rPr>
          <w:rFonts w:ascii="仿宋" w:hAnsi="仿宋" w:eastAsia="仿宋" w:cs="仿宋_GB2312"/>
          <w:sz w:val="32"/>
          <w:szCs w:val="32"/>
        </w:rPr>
      </w:pPr>
    </w:p>
    <w:p>
      <w:pPr>
        <w:rPr>
          <w:rFonts w:ascii="仿宋" w:hAnsi="仿宋" w:eastAsia="仿宋" w:cs="仿宋_GB2312"/>
          <w:sz w:val="32"/>
          <w:szCs w:val="32"/>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2018年壤塘县干部教育培训项目支出绩效评价报告</w:t>
      </w:r>
    </w:p>
    <w:p>
      <w:pPr>
        <w:spacing w:line="580" w:lineRule="exact"/>
        <w:jc w:val="center"/>
        <w:rPr>
          <w:rFonts w:ascii="黑体" w:hAnsi="黑体" w:eastAsia="黑体" w:cs="方正小标宋简体"/>
          <w:sz w:val="44"/>
          <w:szCs w:val="44"/>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一、项目建设必要性</w:t>
      </w:r>
    </w:p>
    <w:p>
      <w:pPr>
        <w:spacing w:line="560" w:lineRule="exact"/>
        <w:rPr>
          <w:rFonts w:ascii="黑体" w:hAnsi="黑体" w:eastAsia="黑体"/>
          <w:sz w:val="32"/>
          <w:szCs w:val="32"/>
        </w:rPr>
      </w:pPr>
      <w:r>
        <w:rPr>
          <w:rFonts w:hint="eastAsia" w:ascii="仿宋_GB2312" w:hAnsi="仿宋_GB2312" w:eastAsia="仿宋_GB2312" w:cs="仿宋_GB2312"/>
          <w:sz w:val="32"/>
          <w:szCs w:val="32"/>
        </w:rPr>
        <w:t xml:space="preserve">  壤塘县地处偏僻，干部群众思想观念落后，随着新时代、新任务对干部人才思想观念和工作能力的新要求，急需对全县各级、各类干部人才进行全方位、多层次、多类别地进行培训，不断更新全县干部人才的思想观念，提升工作能力和服务水平。</w:t>
      </w:r>
    </w:p>
    <w:p>
      <w:pPr>
        <w:numPr>
          <w:ilvl w:val="0"/>
          <w:numId w:val="10"/>
        </w:numPr>
        <w:spacing w:line="560" w:lineRule="exact"/>
        <w:ind w:firstLine="640" w:firstLineChars="200"/>
        <w:rPr>
          <w:rFonts w:ascii="黑体" w:hAnsi="黑体" w:eastAsia="黑体"/>
          <w:sz w:val="32"/>
          <w:szCs w:val="32"/>
        </w:rPr>
      </w:pPr>
      <w:r>
        <w:rPr>
          <w:rFonts w:hint="eastAsia" w:ascii="黑体" w:hAnsi="黑体" w:eastAsia="黑体"/>
          <w:sz w:val="32"/>
          <w:szCs w:val="32"/>
        </w:rPr>
        <w:t>项目概况</w:t>
      </w:r>
    </w:p>
    <w:p>
      <w:pPr>
        <w:spacing w:line="560" w:lineRule="exact"/>
        <w:ind w:firstLine="643" w:firstLineChars="200"/>
        <w:rPr>
          <w:rFonts w:ascii="仿宋" w:hAnsi="仿宋" w:eastAsia="仿宋"/>
          <w:sz w:val="32"/>
          <w:szCs w:val="32"/>
        </w:rPr>
      </w:pPr>
      <w:r>
        <w:rPr>
          <w:rFonts w:hint="eastAsia" w:ascii="楷体_GB2312" w:hAnsi="楷体_GB2312" w:eastAsia="楷体_GB2312" w:cs="楷体_GB2312"/>
          <w:b/>
          <w:bCs/>
          <w:sz w:val="32"/>
          <w:szCs w:val="32"/>
        </w:rPr>
        <w:t>项目名称：</w:t>
      </w:r>
      <w:r>
        <w:rPr>
          <w:rFonts w:hint="eastAsia" w:ascii="仿宋" w:hAnsi="仿宋" w:eastAsia="仿宋"/>
          <w:sz w:val="32"/>
          <w:szCs w:val="32"/>
        </w:rPr>
        <w:t>壤塘县2018年干部教育培训</w:t>
      </w:r>
    </w:p>
    <w:p>
      <w:pPr>
        <w:spacing w:line="560" w:lineRule="exact"/>
        <w:ind w:firstLine="640"/>
        <w:rPr>
          <w:rFonts w:ascii="仿宋_GB2312" w:eastAsia="仿宋_GB2312"/>
          <w:b/>
          <w:bCs/>
          <w:sz w:val="32"/>
          <w:szCs w:val="32"/>
        </w:rPr>
      </w:pPr>
      <w:r>
        <w:rPr>
          <w:rFonts w:hint="eastAsia" w:ascii="仿宋_GB2312" w:eastAsia="仿宋_GB2312"/>
          <w:b/>
          <w:bCs/>
          <w:sz w:val="32"/>
          <w:szCs w:val="32"/>
        </w:rPr>
        <w:t>建设规模与内容：</w:t>
      </w:r>
    </w:p>
    <w:p>
      <w:pPr>
        <w:spacing w:line="560" w:lineRule="exact"/>
        <w:ind w:firstLine="640"/>
        <w:rPr>
          <w:rFonts w:eastAsia="仿宋_GB2312"/>
          <w:color w:val="000000"/>
          <w:sz w:val="32"/>
          <w:szCs w:val="32"/>
        </w:rPr>
      </w:pPr>
      <w:r>
        <w:rPr>
          <w:rFonts w:hint="eastAsia" w:eastAsia="仿宋_GB2312"/>
          <w:color w:val="000000"/>
          <w:sz w:val="32"/>
          <w:szCs w:val="32"/>
        </w:rPr>
        <w:t>（一）2018年，</w:t>
      </w:r>
      <w:r>
        <w:rPr>
          <w:rFonts w:hint="eastAsia" w:eastAsia="仿宋_GB2312"/>
          <w:sz w:val="32"/>
          <w:szCs w:val="32"/>
        </w:rPr>
        <w:t>我县</w:t>
      </w:r>
      <w:r>
        <w:rPr>
          <w:rFonts w:hint="eastAsia" w:eastAsia="仿宋_GB2312"/>
          <w:color w:val="000000"/>
          <w:sz w:val="32"/>
          <w:szCs w:val="32"/>
        </w:rPr>
        <w:t>以</w:t>
      </w:r>
      <w:r>
        <w:rPr>
          <w:rFonts w:eastAsia="仿宋_GB2312"/>
          <w:color w:val="000000"/>
          <w:sz w:val="32"/>
          <w:szCs w:val="32"/>
        </w:rPr>
        <w:t>《壤塘县201</w:t>
      </w:r>
      <w:r>
        <w:rPr>
          <w:rFonts w:hint="eastAsia" w:eastAsia="仿宋_GB2312"/>
          <w:color w:val="000000"/>
          <w:sz w:val="32"/>
          <w:szCs w:val="32"/>
        </w:rPr>
        <w:t>8</w:t>
      </w:r>
      <w:r>
        <w:rPr>
          <w:rFonts w:eastAsia="仿宋_GB2312"/>
          <w:color w:val="000000"/>
          <w:sz w:val="32"/>
          <w:szCs w:val="32"/>
        </w:rPr>
        <w:t>年干部教育培训计划》为统领，以“六类人才”为重点，以“专题培训</w:t>
      </w:r>
      <w:r>
        <w:rPr>
          <w:rFonts w:hint="eastAsia" w:eastAsia="仿宋_GB2312"/>
          <w:color w:val="000000"/>
          <w:sz w:val="32"/>
          <w:szCs w:val="32"/>
        </w:rPr>
        <w:t>、</w:t>
      </w:r>
      <w:r>
        <w:rPr>
          <w:rFonts w:eastAsia="仿宋_GB2312"/>
          <w:color w:val="000000"/>
          <w:sz w:val="32"/>
          <w:szCs w:val="32"/>
        </w:rPr>
        <w:t>业务培训</w:t>
      </w:r>
      <w:r>
        <w:rPr>
          <w:rFonts w:hint="eastAsia" w:eastAsia="仿宋_GB2312"/>
          <w:color w:val="000000"/>
          <w:sz w:val="32"/>
          <w:szCs w:val="32"/>
        </w:rPr>
        <w:t>、</w:t>
      </w:r>
      <w:r>
        <w:rPr>
          <w:rFonts w:eastAsia="仿宋_GB2312"/>
          <w:color w:val="000000"/>
          <w:sz w:val="32"/>
          <w:szCs w:val="32"/>
        </w:rPr>
        <w:t>实践培训”为支撑，用习近平新时代中国特色社会主义思想武装全县党员干部。依托浙江援建，扎实抓好干部人才</w:t>
      </w:r>
      <w:r>
        <w:rPr>
          <w:rFonts w:hint="eastAsia" w:eastAsia="仿宋_GB2312"/>
          <w:color w:val="000000"/>
          <w:sz w:val="32"/>
          <w:szCs w:val="32"/>
        </w:rPr>
        <w:t>教育</w:t>
      </w:r>
      <w:r>
        <w:rPr>
          <w:rFonts w:eastAsia="仿宋_GB2312"/>
          <w:color w:val="000000"/>
          <w:sz w:val="32"/>
          <w:szCs w:val="32"/>
        </w:rPr>
        <w:t>培训。</w:t>
      </w:r>
      <w:r>
        <w:rPr>
          <w:rFonts w:hint="eastAsia" w:eastAsia="仿宋_GB2312"/>
          <w:sz w:val="32"/>
          <w:szCs w:val="32"/>
        </w:rPr>
        <w:t>2018年计划以浙江援建资金开设培训班19期，培训干部1900余人次</w:t>
      </w:r>
      <w:r>
        <w:rPr>
          <w:rFonts w:eastAsia="仿宋_GB2312"/>
          <w:color w:val="000000"/>
          <w:sz w:val="32"/>
          <w:szCs w:val="32"/>
        </w:rPr>
        <w:t>，参训人员涉及党政干部、事业人员和工勤人员等全县各级各类人才，培训内容涵盖</w:t>
      </w:r>
      <w:r>
        <w:rPr>
          <w:rFonts w:hint="eastAsia" w:eastAsia="仿宋_GB2312"/>
          <w:color w:val="000000"/>
          <w:sz w:val="32"/>
          <w:szCs w:val="32"/>
        </w:rPr>
        <w:t>重大</w:t>
      </w:r>
      <w:r>
        <w:rPr>
          <w:rFonts w:eastAsia="仿宋_GB2312"/>
          <w:color w:val="000000"/>
          <w:sz w:val="32"/>
          <w:szCs w:val="32"/>
        </w:rPr>
        <w:t>理论学习、</w:t>
      </w:r>
      <w:r>
        <w:rPr>
          <w:rFonts w:hint="eastAsia" w:eastAsia="仿宋_GB2312"/>
          <w:color w:val="000000"/>
          <w:sz w:val="32"/>
          <w:szCs w:val="32"/>
        </w:rPr>
        <w:t>重要岗位</w:t>
      </w:r>
      <w:r>
        <w:rPr>
          <w:rFonts w:eastAsia="仿宋_GB2312"/>
          <w:color w:val="000000"/>
          <w:sz w:val="32"/>
          <w:szCs w:val="32"/>
        </w:rPr>
        <w:t>人才提能、脱贫</w:t>
      </w:r>
      <w:r>
        <w:rPr>
          <w:rFonts w:hint="eastAsia" w:eastAsia="仿宋_GB2312"/>
          <w:color w:val="000000"/>
          <w:sz w:val="32"/>
          <w:szCs w:val="32"/>
        </w:rPr>
        <w:t>攻坚</w:t>
      </w:r>
      <w:r>
        <w:rPr>
          <w:rFonts w:eastAsia="仿宋_GB2312"/>
          <w:color w:val="000000"/>
          <w:sz w:val="32"/>
          <w:szCs w:val="32"/>
        </w:rPr>
        <w:t>专题等</w:t>
      </w:r>
      <w:r>
        <w:rPr>
          <w:rFonts w:hint="eastAsia" w:eastAsia="仿宋_GB2312"/>
          <w:color w:val="000000"/>
          <w:sz w:val="32"/>
          <w:szCs w:val="32"/>
        </w:rPr>
        <w:t>。</w:t>
      </w:r>
    </w:p>
    <w:p>
      <w:pPr>
        <w:spacing w:line="560" w:lineRule="exact"/>
        <w:ind w:firstLine="640"/>
        <w:rPr>
          <w:rFonts w:eastAsia="仿宋_GB2312"/>
          <w:color w:val="000000"/>
          <w:sz w:val="32"/>
          <w:szCs w:val="32"/>
        </w:rPr>
      </w:pPr>
      <w:r>
        <w:rPr>
          <w:rFonts w:hint="eastAsia" w:eastAsia="仿宋_GB2312"/>
          <w:color w:val="000000"/>
          <w:sz w:val="32"/>
          <w:szCs w:val="32"/>
        </w:rPr>
        <w:t>（二）2018年，我县长征干部学院为更好的开展我县红色文化现场教学，拓展党性教育资源，丰富党性教育内容，提高党性教育实效性，县委党校结合我县实际情况，制定现场教学微课14门。</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项目建设总投资及资金来源：</w:t>
      </w:r>
      <w:r>
        <w:rPr>
          <w:rFonts w:hint="eastAsia" w:ascii="仿宋_GB2312" w:eastAsia="仿宋_GB2312"/>
          <w:sz w:val="32"/>
          <w:szCs w:val="32"/>
        </w:rPr>
        <w:t>浙江援建资金100万元。</w:t>
      </w:r>
    </w:p>
    <w:p>
      <w:pPr>
        <w:spacing w:line="560" w:lineRule="exact"/>
        <w:ind w:firstLine="643" w:firstLineChars="200"/>
        <w:rPr>
          <w:rFonts w:eastAsia="仿宋_GB2312"/>
          <w:color w:val="000000"/>
          <w:sz w:val="32"/>
          <w:szCs w:val="32"/>
        </w:rPr>
      </w:pPr>
      <w:r>
        <w:rPr>
          <w:rFonts w:hint="eastAsia" w:ascii="仿宋_GB2312" w:eastAsia="仿宋_GB2312"/>
          <w:b/>
          <w:bCs/>
          <w:sz w:val="32"/>
          <w:szCs w:val="32"/>
        </w:rPr>
        <w:t>项目建设期限：</w:t>
      </w:r>
      <w:r>
        <w:rPr>
          <w:rFonts w:hint="eastAsia" w:ascii="仿宋_GB2312" w:eastAsia="仿宋_GB2312"/>
          <w:sz w:val="32"/>
          <w:szCs w:val="32"/>
        </w:rPr>
        <w:t>2018年3月—2018年12月</w:t>
      </w:r>
    </w:p>
    <w:p>
      <w:pPr>
        <w:pStyle w:val="14"/>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项目业主：</w:t>
      </w:r>
      <w:r>
        <w:rPr>
          <w:rFonts w:hint="eastAsia" w:ascii="仿宋_GB2312" w:eastAsia="仿宋_GB2312"/>
          <w:sz w:val="32"/>
          <w:szCs w:val="32"/>
        </w:rPr>
        <w:t>中共壤塘县委组织部</w:t>
      </w:r>
    </w:p>
    <w:p>
      <w:pPr>
        <w:pStyle w:val="14"/>
        <w:spacing w:line="560" w:lineRule="exact"/>
        <w:ind w:firstLine="643" w:firstLineChars="200"/>
        <w:rPr>
          <w:rFonts w:ascii="仿宋_GB2312" w:eastAsia="仿宋_GB2312"/>
          <w:sz w:val="32"/>
          <w:szCs w:val="32"/>
        </w:rPr>
      </w:pPr>
      <w:r>
        <w:rPr>
          <w:rFonts w:hint="eastAsia" w:ascii="仿宋_GB2312" w:eastAsia="仿宋_GB2312"/>
          <w:b/>
          <w:bCs/>
          <w:sz w:val="32"/>
          <w:szCs w:val="32"/>
        </w:rPr>
        <w:t>前期工作：</w:t>
      </w:r>
      <w:r>
        <w:rPr>
          <w:rFonts w:hint="eastAsia" w:ascii="仿宋_GB2312" w:eastAsia="仿宋_GB2312"/>
          <w:sz w:val="32"/>
          <w:szCs w:val="32"/>
        </w:rPr>
        <w:t>已对全县各单位培训计划进行收集，县委组织部进行审核，拟计划在4月份，全面开展各类培训，按照培训进度拨付培训资金，12月底完成培训。</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三、取得的效益</w:t>
      </w:r>
    </w:p>
    <w:p>
      <w:pPr>
        <w:spacing w:line="560" w:lineRule="exact"/>
        <w:ind w:firstLine="640"/>
        <w:rPr>
          <w:rFonts w:eastAsia="仿宋"/>
          <w:sz w:val="32"/>
          <w:szCs w:val="32"/>
        </w:rPr>
      </w:pPr>
      <w:r>
        <w:rPr>
          <w:rFonts w:hint="eastAsia" w:ascii="仿宋_GB2312" w:hAnsi="仿宋" w:eastAsia="仿宋_GB2312"/>
          <w:sz w:val="32"/>
          <w:szCs w:val="32"/>
        </w:rPr>
        <w:t>该项目主要是为我县干部人才教育培训创造条件，提升我县干部人才综合能力。</w:t>
      </w:r>
      <w:r>
        <w:rPr>
          <w:rFonts w:hint="eastAsia" w:ascii="仿宋_GB2312" w:hAnsi="仿宋_GB2312" w:eastAsia="仿宋_GB2312"/>
          <w:sz w:val="32"/>
          <w:szCs w:val="32"/>
        </w:rPr>
        <w:t>该项目的实施，</w:t>
      </w:r>
      <w:r>
        <w:rPr>
          <w:rFonts w:hint="eastAsia" w:eastAsia="仿宋"/>
          <w:sz w:val="32"/>
          <w:szCs w:val="32"/>
        </w:rPr>
        <w:t>紧扣壤塘事业发展和干部队伍建设需要，接续</w:t>
      </w:r>
      <w:r>
        <w:rPr>
          <w:rFonts w:eastAsia="仿宋"/>
          <w:sz w:val="32"/>
          <w:szCs w:val="32"/>
        </w:rPr>
        <w:t>培养造就一支</w:t>
      </w:r>
      <w:r>
        <w:rPr>
          <w:rFonts w:hint="eastAsia" w:eastAsia="仿宋"/>
          <w:sz w:val="32"/>
          <w:szCs w:val="32"/>
        </w:rPr>
        <w:t>“坚定信念、为民服务、勤政务实、敢于担当、清正廉洁”的</w:t>
      </w:r>
      <w:r>
        <w:rPr>
          <w:rFonts w:eastAsia="仿宋"/>
          <w:sz w:val="32"/>
          <w:szCs w:val="32"/>
        </w:rPr>
        <w:t>干部队伍，更好服务我县经济社会发展，</w:t>
      </w:r>
      <w:r>
        <w:rPr>
          <w:rFonts w:hint="eastAsia" w:eastAsia="仿宋"/>
          <w:sz w:val="32"/>
          <w:szCs w:val="32"/>
        </w:rPr>
        <w:t>为建设川西北阿坝生态示范区“美丽壤巴拉家园”提供人才保障和智力支撑。</w:t>
      </w:r>
    </w:p>
    <w:p>
      <w:pPr>
        <w:spacing w:line="560" w:lineRule="exact"/>
        <w:ind w:firstLine="640"/>
        <w:rPr>
          <w:rFonts w:eastAsia="仿宋"/>
          <w:sz w:val="32"/>
          <w:szCs w:val="32"/>
        </w:rPr>
      </w:pPr>
      <w:r>
        <w:rPr>
          <w:rFonts w:hint="eastAsia" w:eastAsia="仿宋"/>
          <w:sz w:val="32"/>
          <w:szCs w:val="32"/>
        </w:rPr>
        <w:t>四、存在的问题</w:t>
      </w:r>
    </w:p>
    <w:p>
      <w:pPr>
        <w:spacing w:line="560" w:lineRule="exact"/>
        <w:ind w:firstLine="640"/>
        <w:rPr>
          <w:rFonts w:eastAsia="仿宋"/>
          <w:sz w:val="32"/>
          <w:szCs w:val="32"/>
        </w:rPr>
      </w:pPr>
      <w:r>
        <w:rPr>
          <w:rFonts w:hint="eastAsia" w:eastAsia="仿宋"/>
          <w:sz w:val="32"/>
          <w:szCs w:val="32"/>
        </w:rPr>
        <w:t>干部教育培训资金拨付力度较为缓慢</w:t>
      </w:r>
    </w:p>
    <w:p>
      <w:pPr>
        <w:spacing w:line="560" w:lineRule="exact"/>
        <w:ind w:firstLine="640"/>
        <w:rPr>
          <w:rFonts w:eastAsia="仿宋"/>
          <w:sz w:val="32"/>
          <w:szCs w:val="32"/>
        </w:rPr>
      </w:pPr>
      <w:r>
        <w:rPr>
          <w:rFonts w:hint="eastAsia" w:eastAsia="仿宋"/>
          <w:sz w:val="32"/>
          <w:szCs w:val="32"/>
        </w:rPr>
        <w:t>五、相关措施建议</w:t>
      </w:r>
    </w:p>
    <w:p>
      <w:pPr>
        <w:spacing w:line="560" w:lineRule="exact"/>
        <w:ind w:firstLine="640"/>
        <w:rPr>
          <w:rFonts w:eastAsia="仿宋"/>
          <w:sz w:val="32"/>
          <w:szCs w:val="32"/>
        </w:rPr>
      </w:pPr>
      <w:r>
        <w:rPr>
          <w:rFonts w:hint="eastAsia" w:eastAsia="仿宋"/>
          <w:sz w:val="32"/>
          <w:szCs w:val="32"/>
        </w:rPr>
        <w:t>我部将按承接办每月拨付资金进度要求，按时足额拨付培训资金。</w:t>
      </w: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580" w:lineRule="exact"/>
        <w:jc w:val="center"/>
        <w:rPr>
          <w:rFonts w:ascii="黑体" w:hAnsi="黑体" w:eastAsia="黑体" w:cs="方正小标宋简体"/>
          <w:sz w:val="44"/>
          <w:szCs w:val="44"/>
        </w:rPr>
      </w:pPr>
    </w:p>
    <w:p>
      <w:pPr>
        <w:spacing w:line="600" w:lineRule="exact"/>
        <w:jc w:val="center"/>
        <w:outlineLvl w:val="0"/>
        <w:rPr>
          <w:rFonts w:ascii="黑体" w:hAnsi="黑体" w:eastAsia="黑体"/>
          <w:color w:val="000000"/>
          <w:sz w:val="44"/>
          <w:szCs w:val="44"/>
        </w:rPr>
      </w:pPr>
      <w:bookmarkStart w:id="62" w:name="_Toc15396618"/>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7"/>
      <w:bookmarkEnd w:id="62"/>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一、收入支出决算总表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二、收入总表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三、支出总表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四、财政拨款收入支出决算总表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五、财政拨款支出决算明细表（政府经济分类科目）</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六、一般公共预算财政拨款支出决算表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七、一般公共预算财政拨款支出决算明细表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八、一般公共预算财政拨款基本支出决算表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九、一般公共预算财政拨款项目支出决算表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十、一般公共预算财政拨款“三公”经费支出决算表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十一、政府性基金预算财政拨款收入支出决算表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十二、政府性基金预算财政拨款“三公”经费支出决算表</w:t>
      </w:r>
    </w:p>
    <w:p>
      <w:pPr>
        <w:spacing w:line="600" w:lineRule="exact"/>
        <w:outlineLvl w:val="0"/>
        <w:rPr>
          <w:rFonts w:ascii="仿宋_GB2312" w:eastAsia="仿宋_GB2312" w:hAnsiTheme="majorEastAsia"/>
          <w:bCs/>
          <w:kern w:val="44"/>
          <w:sz w:val="32"/>
          <w:szCs w:val="32"/>
        </w:rPr>
      </w:pPr>
      <w:r>
        <w:rPr>
          <w:rFonts w:hint="eastAsia" w:ascii="仿宋_GB2312" w:eastAsia="仿宋_GB2312" w:hAnsiTheme="majorEastAsia"/>
          <w:bCs/>
          <w:kern w:val="44"/>
          <w:sz w:val="32"/>
          <w:szCs w:val="32"/>
        </w:rPr>
        <w:t>十三、国有资本经营预算支出决算表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altName w:val="微软雅黑"/>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0"/>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2F82E9"/>
    <w:multiLevelType w:val="singleLevel"/>
    <w:tmpl w:val="842F82E9"/>
    <w:lvl w:ilvl="0" w:tentative="0">
      <w:start w:val="2"/>
      <w:numFmt w:val="chineseCounting"/>
      <w:suff w:val="nothing"/>
      <w:lvlText w:val="%1、"/>
      <w:lvlJc w:val="left"/>
      <w:rPr>
        <w:rFonts w:hint="eastAsia"/>
      </w:rPr>
    </w:lvl>
  </w:abstractNum>
  <w:abstractNum w:abstractNumId="1">
    <w:nsid w:val="85DB31D8"/>
    <w:multiLevelType w:val="singleLevel"/>
    <w:tmpl w:val="85DB31D8"/>
    <w:lvl w:ilvl="0" w:tentative="0">
      <w:start w:val="3"/>
      <w:numFmt w:val="decimal"/>
      <w:suff w:val="nothing"/>
      <w:lvlText w:val="%1、"/>
      <w:lvlJc w:val="left"/>
    </w:lvl>
  </w:abstractNum>
  <w:abstractNum w:abstractNumId="2">
    <w:nsid w:val="8D2C9546"/>
    <w:multiLevelType w:val="singleLevel"/>
    <w:tmpl w:val="8D2C9546"/>
    <w:lvl w:ilvl="0" w:tentative="0">
      <w:start w:val="2"/>
      <w:numFmt w:val="decimal"/>
      <w:suff w:val="nothing"/>
      <w:lvlText w:val="%1、"/>
      <w:lvlJc w:val="left"/>
    </w:lvl>
  </w:abstractNum>
  <w:abstractNum w:abstractNumId="3">
    <w:nsid w:val="B026C66B"/>
    <w:multiLevelType w:val="singleLevel"/>
    <w:tmpl w:val="B026C66B"/>
    <w:lvl w:ilvl="0" w:tentative="0">
      <w:start w:val="1"/>
      <w:numFmt w:val="decimal"/>
      <w:lvlText w:val="%1."/>
      <w:lvlJc w:val="left"/>
      <w:pPr>
        <w:tabs>
          <w:tab w:val="left" w:pos="312"/>
        </w:tabs>
      </w:pPr>
    </w:lvl>
  </w:abstractNum>
  <w:abstractNum w:abstractNumId="4">
    <w:nsid w:val="CF652CEC"/>
    <w:multiLevelType w:val="singleLevel"/>
    <w:tmpl w:val="CF652CEC"/>
    <w:lvl w:ilvl="0" w:tentative="0">
      <w:start w:val="9"/>
      <w:numFmt w:val="chineseCounting"/>
      <w:suff w:val="nothing"/>
      <w:lvlText w:val="%1、"/>
      <w:lvlJc w:val="left"/>
      <w:rPr>
        <w:rFonts w:hint="eastAsia"/>
        <w:lang w:val="en-US"/>
      </w:rPr>
    </w:lvl>
  </w:abstractNum>
  <w:abstractNum w:abstractNumId="5">
    <w:nsid w:val="E2FA047D"/>
    <w:multiLevelType w:val="singleLevel"/>
    <w:tmpl w:val="E2FA047D"/>
    <w:lvl w:ilvl="0" w:tentative="0">
      <w:start w:val="3"/>
      <w:numFmt w:val="chineseCounting"/>
      <w:suff w:val="space"/>
      <w:lvlText w:val="第%1部分"/>
      <w:lvlJc w:val="left"/>
      <w:rPr>
        <w:rFonts w:hint="eastAsia"/>
      </w:r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5F04AB90"/>
    <w:multiLevelType w:val="singleLevel"/>
    <w:tmpl w:val="5F04AB90"/>
    <w:lvl w:ilvl="0" w:tentative="0">
      <w:start w:val="3"/>
      <w:numFmt w:val="chineseCounting"/>
      <w:suff w:val="nothing"/>
      <w:lvlText w:val="%1、"/>
      <w:lvlJc w:val="left"/>
      <w:rPr>
        <w:rFonts w:hint="eastAsia"/>
      </w:rPr>
    </w:lvl>
  </w:abstractNum>
  <w:num w:numId="1">
    <w:abstractNumId w:val="7"/>
  </w:num>
  <w:num w:numId="2">
    <w:abstractNumId w:val="4"/>
  </w:num>
  <w:num w:numId="3">
    <w:abstractNumId w:val="8"/>
  </w:num>
  <w:num w:numId="4">
    <w:abstractNumId w:val="6"/>
  </w:num>
  <w:num w:numId="5">
    <w:abstractNumId w:val="3"/>
  </w:num>
  <w:num w:numId="6">
    <w:abstractNumId w:val="5"/>
  </w:num>
  <w:num w:numId="7">
    <w:abstractNumId w:val="2"/>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1697"/>
    <w:rsid w:val="00010C85"/>
    <w:rsid w:val="000222C6"/>
    <w:rsid w:val="0002549F"/>
    <w:rsid w:val="00031119"/>
    <w:rsid w:val="00041D97"/>
    <w:rsid w:val="000428A8"/>
    <w:rsid w:val="0006487A"/>
    <w:rsid w:val="00065F8F"/>
    <w:rsid w:val="000768F2"/>
    <w:rsid w:val="0009184B"/>
    <w:rsid w:val="0009593C"/>
    <w:rsid w:val="000B047F"/>
    <w:rsid w:val="000B5923"/>
    <w:rsid w:val="000B5A48"/>
    <w:rsid w:val="000B6FF3"/>
    <w:rsid w:val="000C1A99"/>
    <w:rsid w:val="000C3467"/>
    <w:rsid w:val="000C3CA6"/>
    <w:rsid w:val="000C79F1"/>
    <w:rsid w:val="000D1267"/>
    <w:rsid w:val="000D1D50"/>
    <w:rsid w:val="000D4CC9"/>
    <w:rsid w:val="000D5782"/>
    <w:rsid w:val="000E3253"/>
    <w:rsid w:val="000E6613"/>
    <w:rsid w:val="000E7119"/>
    <w:rsid w:val="00114E9B"/>
    <w:rsid w:val="001320F5"/>
    <w:rsid w:val="0014729F"/>
    <w:rsid w:val="00157BAB"/>
    <w:rsid w:val="001654D1"/>
    <w:rsid w:val="00171FA5"/>
    <w:rsid w:val="0018106D"/>
    <w:rsid w:val="001877A7"/>
    <w:rsid w:val="00191536"/>
    <w:rsid w:val="00196687"/>
    <w:rsid w:val="001B13D5"/>
    <w:rsid w:val="001C0962"/>
    <w:rsid w:val="001D7531"/>
    <w:rsid w:val="001E7022"/>
    <w:rsid w:val="001E737D"/>
    <w:rsid w:val="001F0592"/>
    <w:rsid w:val="001F7506"/>
    <w:rsid w:val="002006CD"/>
    <w:rsid w:val="00202B36"/>
    <w:rsid w:val="00204B7A"/>
    <w:rsid w:val="0021101A"/>
    <w:rsid w:val="00211BCE"/>
    <w:rsid w:val="00220536"/>
    <w:rsid w:val="00235629"/>
    <w:rsid w:val="00260C38"/>
    <w:rsid w:val="00260E13"/>
    <w:rsid w:val="002616C0"/>
    <w:rsid w:val="002662AA"/>
    <w:rsid w:val="00280496"/>
    <w:rsid w:val="0028627E"/>
    <w:rsid w:val="00295495"/>
    <w:rsid w:val="00296141"/>
    <w:rsid w:val="00297D6D"/>
    <w:rsid w:val="002B2613"/>
    <w:rsid w:val="002B6160"/>
    <w:rsid w:val="002F1818"/>
    <w:rsid w:val="002F567B"/>
    <w:rsid w:val="002F5E11"/>
    <w:rsid w:val="003216A9"/>
    <w:rsid w:val="00321C3E"/>
    <w:rsid w:val="003539F5"/>
    <w:rsid w:val="0037013F"/>
    <w:rsid w:val="00380C92"/>
    <w:rsid w:val="003A484F"/>
    <w:rsid w:val="003B0BE0"/>
    <w:rsid w:val="003B0C1B"/>
    <w:rsid w:val="003B688C"/>
    <w:rsid w:val="003C0291"/>
    <w:rsid w:val="003C39AE"/>
    <w:rsid w:val="003C492A"/>
    <w:rsid w:val="003C7B60"/>
    <w:rsid w:val="003D1FB2"/>
    <w:rsid w:val="003D66DA"/>
    <w:rsid w:val="003E1310"/>
    <w:rsid w:val="003E6F55"/>
    <w:rsid w:val="003F1618"/>
    <w:rsid w:val="00406254"/>
    <w:rsid w:val="004223DE"/>
    <w:rsid w:val="00430984"/>
    <w:rsid w:val="00431949"/>
    <w:rsid w:val="00434489"/>
    <w:rsid w:val="00437085"/>
    <w:rsid w:val="00443880"/>
    <w:rsid w:val="004464F4"/>
    <w:rsid w:val="00471401"/>
    <w:rsid w:val="00473F31"/>
    <w:rsid w:val="004806F9"/>
    <w:rsid w:val="0048263A"/>
    <w:rsid w:val="00487E5D"/>
    <w:rsid w:val="004A711F"/>
    <w:rsid w:val="004B199D"/>
    <w:rsid w:val="004B462D"/>
    <w:rsid w:val="004B4690"/>
    <w:rsid w:val="004E0A2D"/>
    <w:rsid w:val="004E206B"/>
    <w:rsid w:val="004E6DF7"/>
    <w:rsid w:val="004F0FBD"/>
    <w:rsid w:val="00505A47"/>
    <w:rsid w:val="00512FDA"/>
    <w:rsid w:val="00520DA0"/>
    <w:rsid w:val="005664BB"/>
    <w:rsid w:val="0057404F"/>
    <w:rsid w:val="0057481D"/>
    <w:rsid w:val="0058486E"/>
    <w:rsid w:val="005A148D"/>
    <w:rsid w:val="005B605D"/>
    <w:rsid w:val="005D1C8B"/>
    <w:rsid w:val="005D28E2"/>
    <w:rsid w:val="005D5CED"/>
    <w:rsid w:val="005F1A4C"/>
    <w:rsid w:val="00605688"/>
    <w:rsid w:val="006070AF"/>
    <w:rsid w:val="00607E6C"/>
    <w:rsid w:val="006101B1"/>
    <w:rsid w:val="00612A65"/>
    <w:rsid w:val="00614E44"/>
    <w:rsid w:val="00622830"/>
    <w:rsid w:val="00630AEF"/>
    <w:rsid w:val="006325F8"/>
    <w:rsid w:val="00634C9A"/>
    <w:rsid w:val="00637F55"/>
    <w:rsid w:val="006440E4"/>
    <w:rsid w:val="0066343B"/>
    <w:rsid w:val="00664777"/>
    <w:rsid w:val="00672385"/>
    <w:rsid w:val="006748A4"/>
    <w:rsid w:val="00683E73"/>
    <w:rsid w:val="00684CED"/>
    <w:rsid w:val="0069427D"/>
    <w:rsid w:val="006A3141"/>
    <w:rsid w:val="006A5E34"/>
    <w:rsid w:val="006B2422"/>
    <w:rsid w:val="006B2915"/>
    <w:rsid w:val="006B2B9A"/>
    <w:rsid w:val="006C1937"/>
    <w:rsid w:val="006D39F6"/>
    <w:rsid w:val="006F020C"/>
    <w:rsid w:val="006F1319"/>
    <w:rsid w:val="007127B7"/>
    <w:rsid w:val="00716F07"/>
    <w:rsid w:val="007224D0"/>
    <w:rsid w:val="007242A6"/>
    <w:rsid w:val="007416B6"/>
    <w:rsid w:val="00746F48"/>
    <w:rsid w:val="00750BAA"/>
    <w:rsid w:val="0075404D"/>
    <w:rsid w:val="0076182A"/>
    <w:rsid w:val="007653C1"/>
    <w:rsid w:val="00767B7E"/>
    <w:rsid w:val="007770C3"/>
    <w:rsid w:val="00784D24"/>
    <w:rsid w:val="00785FBA"/>
    <w:rsid w:val="00786E4A"/>
    <w:rsid w:val="007875EB"/>
    <w:rsid w:val="0079426B"/>
    <w:rsid w:val="007A47E0"/>
    <w:rsid w:val="007A725B"/>
    <w:rsid w:val="007C573E"/>
    <w:rsid w:val="007D312A"/>
    <w:rsid w:val="007D3F19"/>
    <w:rsid w:val="007E23B0"/>
    <w:rsid w:val="007F1991"/>
    <w:rsid w:val="007F2C2F"/>
    <w:rsid w:val="007F55FC"/>
    <w:rsid w:val="007F5665"/>
    <w:rsid w:val="00800112"/>
    <w:rsid w:val="00800919"/>
    <w:rsid w:val="008253BB"/>
    <w:rsid w:val="0083613C"/>
    <w:rsid w:val="0083706E"/>
    <w:rsid w:val="008423A5"/>
    <w:rsid w:val="00850625"/>
    <w:rsid w:val="00853718"/>
    <w:rsid w:val="00855221"/>
    <w:rsid w:val="00860645"/>
    <w:rsid w:val="008626A9"/>
    <w:rsid w:val="00871F71"/>
    <w:rsid w:val="008806C4"/>
    <w:rsid w:val="00885AF4"/>
    <w:rsid w:val="008939CD"/>
    <w:rsid w:val="008B768C"/>
    <w:rsid w:val="008C0E10"/>
    <w:rsid w:val="008C4DB1"/>
    <w:rsid w:val="008C4EAF"/>
    <w:rsid w:val="008C5176"/>
    <w:rsid w:val="008C7FD0"/>
    <w:rsid w:val="008D1AD0"/>
    <w:rsid w:val="008E1DE7"/>
    <w:rsid w:val="008E3430"/>
    <w:rsid w:val="008E707C"/>
    <w:rsid w:val="00900B08"/>
    <w:rsid w:val="00902155"/>
    <w:rsid w:val="00902FA3"/>
    <w:rsid w:val="00912A8E"/>
    <w:rsid w:val="00920615"/>
    <w:rsid w:val="00923564"/>
    <w:rsid w:val="0092392E"/>
    <w:rsid w:val="009315F9"/>
    <w:rsid w:val="009340F9"/>
    <w:rsid w:val="00946945"/>
    <w:rsid w:val="00951248"/>
    <w:rsid w:val="0095152F"/>
    <w:rsid w:val="00954C49"/>
    <w:rsid w:val="0097099F"/>
    <w:rsid w:val="00971997"/>
    <w:rsid w:val="00971FFC"/>
    <w:rsid w:val="0098660A"/>
    <w:rsid w:val="009931C3"/>
    <w:rsid w:val="009932A5"/>
    <w:rsid w:val="009B2C43"/>
    <w:rsid w:val="009B4EAE"/>
    <w:rsid w:val="009B7573"/>
    <w:rsid w:val="009C22F4"/>
    <w:rsid w:val="009C2E98"/>
    <w:rsid w:val="009D3447"/>
    <w:rsid w:val="009D4711"/>
    <w:rsid w:val="009E67B3"/>
    <w:rsid w:val="009F1185"/>
    <w:rsid w:val="009F18CD"/>
    <w:rsid w:val="009F2A13"/>
    <w:rsid w:val="00A04EB0"/>
    <w:rsid w:val="00A13CC1"/>
    <w:rsid w:val="00A15693"/>
    <w:rsid w:val="00A16847"/>
    <w:rsid w:val="00A237D8"/>
    <w:rsid w:val="00A262EB"/>
    <w:rsid w:val="00A268C4"/>
    <w:rsid w:val="00A307CD"/>
    <w:rsid w:val="00A40A00"/>
    <w:rsid w:val="00A4142F"/>
    <w:rsid w:val="00A56DF2"/>
    <w:rsid w:val="00A67AB5"/>
    <w:rsid w:val="00A91760"/>
    <w:rsid w:val="00A9276F"/>
    <w:rsid w:val="00A93B00"/>
    <w:rsid w:val="00A93C21"/>
    <w:rsid w:val="00AC3C6A"/>
    <w:rsid w:val="00AD5333"/>
    <w:rsid w:val="00AD5620"/>
    <w:rsid w:val="00AD7C1B"/>
    <w:rsid w:val="00AE16BA"/>
    <w:rsid w:val="00AE1EBE"/>
    <w:rsid w:val="00B03C9D"/>
    <w:rsid w:val="00B060AE"/>
    <w:rsid w:val="00B10517"/>
    <w:rsid w:val="00B128FE"/>
    <w:rsid w:val="00B14E76"/>
    <w:rsid w:val="00B161B8"/>
    <w:rsid w:val="00B200B9"/>
    <w:rsid w:val="00B2048C"/>
    <w:rsid w:val="00B310B9"/>
    <w:rsid w:val="00B35F3F"/>
    <w:rsid w:val="00B36CBB"/>
    <w:rsid w:val="00B425E0"/>
    <w:rsid w:val="00B440AA"/>
    <w:rsid w:val="00B44B70"/>
    <w:rsid w:val="00B53C56"/>
    <w:rsid w:val="00B77EA6"/>
    <w:rsid w:val="00B81598"/>
    <w:rsid w:val="00B82D13"/>
    <w:rsid w:val="00B841F1"/>
    <w:rsid w:val="00B944D6"/>
    <w:rsid w:val="00B9625C"/>
    <w:rsid w:val="00BA1327"/>
    <w:rsid w:val="00BA5050"/>
    <w:rsid w:val="00BB4DF0"/>
    <w:rsid w:val="00BC289F"/>
    <w:rsid w:val="00BC5361"/>
    <w:rsid w:val="00BC5460"/>
    <w:rsid w:val="00BC6B50"/>
    <w:rsid w:val="00BD0E25"/>
    <w:rsid w:val="00BE461F"/>
    <w:rsid w:val="00BE5E08"/>
    <w:rsid w:val="00BF5BD6"/>
    <w:rsid w:val="00C03E31"/>
    <w:rsid w:val="00C33E72"/>
    <w:rsid w:val="00C354B2"/>
    <w:rsid w:val="00C35554"/>
    <w:rsid w:val="00C42709"/>
    <w:rsid w:val="00C533CC"/>
    <w:rsid w:val="00C5751C"/>
    <w:rsid w:val="00C61BFC"/>
    <w:rsid w:val="00C62B85"/>
    <w:rsid w:val="00C65438"/>
    <w:rsid w:val="00C91CBB"/>
    <w:rsid w:val="00C92524"/>
    <w:rsid w:val="00CC09B6"/>
    <w:rsid w:val="00CC666F"/>
    <w:rsid w:val="00CD1E3F"/>
    <w:rsid w:val="00CE44F6"/>
    <w:rsid w:val="00CE49DA"/>
    <w:rsid w:val="00CE7B61"/>
    <w:rsid w:val="00D00095"/>
    <w:rsid w:val="00D20620"/>
    <w:rsid w:val="00D26091"/>
    <w:rsid w:val="00D34E7C"/>
    <w:rsid w:val="00D35489"/>
    <w:rsid w:val="00D437AC"/>
    <w:rsid w:val="00D43910"/>
    <w:rsid w:val="00D5119A"/>
    <w:rsid w:val="00D51276"/>
    <w:rsid w:val="00D6784F"/>
    <w:rsid w:val="00D7035F"/>
    <w:rsid w:val="00D83EC4"/>
    <w:rsid w:val="00DA2875"/>
    <w:rsid w:val="00DA65AC"/>
    <w:rsid w:val="00DB1913"/>
    <w:rsid w:val="00DB507E"/>
    <w:rsid w:val="00DC023B"/>
    <w:rsid w:val="00DC410D"/>
    <w:rsid w:val="00DC68CA"/>
    <w:rsid w:val="00DC7CBA"/>
    <w:rsid w:val="00DD61E7"/>
    <w:rsid w:val="00DD73B7"/>
    <w:rsid w:val="00DF28BC"/>
    <w:rsid w:val="00DF34B9"/>
    <w:rsid w:val="00E01053"/>
    <w:rsid w:val="00E02E8B"/>
    <w:rsid w:val="00E07ACF"/>
    <w:rsid w:val="00E10EC7"/>
    <w:rsid w:val="00E159B4"/>
    <w:rsid w:val="00E331A1"/>
    <w:rsid w:val="00E33202"/>
    <w:rsid w:val="00E336A9"/>
    <w:rsid w:val="00E45369"/>
    <w:rsid w:val="00E50624"/>
    <w:rsid w:val="00E568DF"/>
    <w:rsid w:val="00E64269"/>
    <w:rsid w:val="00E719C2"/>
    <w:rsid w:val="00E7626E"/>
    <w:rsid w:val="00E82267"/>
    <w:rsid w:val="00EA010F"/>
    <w:rsid w:val="00EA0473"/>
    <w:rsid w:val="00EB7F1F"/>
    <w:rsid w:val="00ED1B63"/>
    <w:rsid w:val="00ED3C1F"/>
    <w:rsid w:val="00ED4085"/>
    <w:rsid w:val="00ED420E"/>
    <w:rsid w:val="00ED4744"/>
    <w:rsid w:val="00EE2F57"/>
    <w:rsid w:val="00EF0D1C"/>
    <w:rsid w:val="00EF4C34"/>
    <w:rsid w:val="00EF77C6"/>
    <w:rsid w:val="00F05438"/>
    <w:rsid w:val="00F1361C"/>
    <w:rsid w:val="00F160C7"/>
    <w:rsid w:val="00F36D8F"/>
    <w:rsid w:val="00F417B1"/>
    <w:rsid w:val="00F4591A"/>
    <w:rsid w:val="00F5566B"/>
    <w:rsid w:val="00F602DF"/>
    <w:rsid w:val="00F61B31"/>
    <w:rsid w:val="00F81FD9"/>
    <w:rsid w:val="00F841AA"/>
    <w:rsid w:val="00FA23E8"/>
    <w:rsid w:val="00FA304D"/>
    <w:rsid w:val="00FB37F8"/>
    <w:rsid w:val="00FD3CC1"/>
    <w:rsid w:val="00FF1E02"/>
    <w:rsid w:val="00FF30B4"/>
    <w:rsid w:val="061E551E"/>
    <w:rsid w:val="10C055FF"/>
    <w:rsid w:val="16BB723D"/>
    <w:rsid w:val="240371BF"/>
    <w:rsid w:val="29FD04D3"/>
    <w:rsid w:val="319F7F4E"/>
    <w:rsid w:val="455B4B3A"/>
    <w:rsid w:val="74615EE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Document Map"/>
    <w:basedOn w:val="1"/>
    <w:link w:val="32"/>
    <w:semiHidden/>
    <w:qFormat/>
    <w:uiPriority w:val="99"/>
    <w:pPr>
      <w:widowControl/>
      <w:shd w:val="clear" w:color="auto" w:fill="000080"/>
      <w:adjustRightInd w:val="0"/>
      <w:snapToGrid w:val="0"/>
      <w:spacing w:after="200"/>
      <w:jc w:val="left"/>
    </w:pPr>
    <w:rPr>
      <w:rFonts w:ascii="Tahoma" w:hAnsi="Tahoma" w:eastAsia="微软雅黑" w:cs="Tahoma"/>
      <w:kern w:val="0"/>
      <w:sz w:val="22"/>
      <w:szCs w:val="22"/>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widowControl/>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9"/>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character" w:customStyle="1" w:styleId="32">
    <w:name w:val="文档结构图 Char"/>
    <w:basedOn w:val="15"/>
    <w:link w:val="6"/>
    <w:semiHidden/>
    <w:qFormat/>
    <w:uiPriority w:val="99"/>
    <w:rPr>
      <w:rFonts w:ascii="Tahoma" w:hAnsi="Tahoma" w:eastAsia="微软雅黑" w:cs="Tahoma"/>
      <w:sz w:val="22"/>
      <w:szCs w:val="22"/>
      <w:shd w:val="clear" w:color="auto" w:fill="00008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收入、总计变动支出变动（万元）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848.69</c:v>
                </c:pt>
                <c:pt idx="1">
                  <c:v>1650.34</c:v>
                </c:pt>
              </c:numCache>
            </c:numRef>
          </c:val>
        </c:ser>
        <c:dLbls>
          <c:showLegendKey val="0"/>
          <c:showVal val="1"/>
          <c:showCatName val="0"/>
          <c:showSerName val="0"/>
          <c:showPercent val="0"/>
          <c:showBubbleSize val="0"/>
        </c:dLbls>
        <c:gapWidth val="150"/>
        <c:axId val="110040576"/>
        <c:axId val="110042112"/>
      </c:barChart>
      <c:catAx>
        <c:axId val="11004057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0042112"/>
        <c:crosses val="autoZero"/>
        <c:auto val="1"/>
        <c:lblAlgn val="ctr"/>
        <c:lblOffset val="100"/>
        <c:noMultiLvlLbl val="0"/>
      </c:catAx>
      <c:valAx>
        <c:axId val="1100421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00405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2018年本年收入结构（万元）</c:v>
                </c:pt>
              </c:strCache>
            </c:strRef>
          </c:tx>
          <c:explosion val="25"/>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一般公共预算财政拨款收入99%</c:v>
                </c:pt>
                <c:pt idx="1">
                  <c:v>其他收入1%</c:v>
                </c:pt>
              </c:strCache>
            </c:strRef>
          </c:cat>
          <c:val>
            <c:numRef>
              <c:f>Sheet1!$B$2:$B$3</c:f>
              <c:numCache>
                <c:formatCode>General</c:formatCode>
                <c:ptCount val="2"/>
                <c:pt idx="0">
                  <c:v>1415.23</c:v>
                </c:pt>
                <c:pt idx="1">
                  <c:v>20.04</c:v>
                </c:pt>
              </c:numCache>
            </c:numRef>
          </c:val>
        </c:ser>
        <c:dLbls>
          <c:showLegendKey val="0"/>
          <c:showVal val="1"/>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Sheet1!$A$7</c:f>
              <c:strCache>
                <c:ptCount val="1"/>
                <c:pt idx="0">
                  <c:v>2018年支出结构图</c:v>
                </c:pt>
              </c:strCache>
            </c:strRef>
          </c:tx>
          <c:explosion val="25"/>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Sheet1!$B$6:$C$6</c:f>
              <c:strCache>
                <c:ptCount val="2"/>
                <c:pt idx="0">
                  <c:v>基本支出（万元）77%</c:v>
                </c:pt>
                <c:pt idx="1">
                  <c:v>项目支出（万元）23%</c:v>
                </c:pt>
              </c:strCache>
            </c:strRef>
          </c:cat>
          <c:val>
            <c:numRef>
              <c:f>Sheet1!$B$7:$C$7</c:f>
              <c:numCache>
                <c:formatCode>#,##0.00</c:formatCode>
                <c:ptCount val="2"/>
                <c:pt idx="0">
                  <c:v>1222.05</c:v>
                </c:pt>
                <c:pt idx="1" c:formatCode="General">
                  <c:v>374.43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财政拨款、支决算总计变动表（万元）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Sheet1!$A$2:$A$3</c:f>
              <c:numCache>
                <c:formatCode>General</c:formatCode>
                <c:ptCount val="2"/>
                <c:pt idx="0">
                  <c:v>2017</c:v>
                </c:pt>
                <c:pt idx="1">
                  <c:v>2018</c:v>
                </c:pt>
              </c:numCache>
            </c:numRef>
          </c:cat>
          <c:val>
            <c:numRef>
              <c:f>Sheet1!$B$2:$B$3</c:f>
              <c:numCache>
                <c:formatCode>General</c:formatCode>
                <c:ptCount val="2"/>
                <c:pt idx="0">
                  <c:v>848.69</c:v>
                </c:pt>
                <c:pt idx="1">
                  <c:v>1623</c:v>
                </c:pt>
              </c:numCache>
            </c:numRef>
          </c:val>
        </c:ser>
        <c:dLbls>
          <c:showLegendKey val="0"/>
          <c:showVal val="1"/>
          <c:showCatName val="0"/>
          <c:showSerName val="0"/>
          <c:showPercent val="0"/>
          <c:showBubbleSize val="0"/>
        </c:dLbls>
        <c:gapWidth val="150"/>
        <c:overlap val="100"/>
        <c:axId val="58284288"/>
        <c:axId val="101515264"/>
      </c:barChart>
      <c:catAx>
        <c:axId val="5828428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515264"/>
        <c:crosses val="autoZero"/>
        <c:auto val="1"/>
        <c:lblAlgn val="ctr"/>
        <c:lblOffset val="100"/>
        <c:noMultiLvlLbl val="0"/>
      </c:catAx>
      <c:valAx>
        <c:axId val="1015152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82842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848.69</c:v>
                </c:pt>
                <c:pt idx="1">
                  <c:v>1569.23</c:v>
                </c:pt>
              </c:numCache>
            </c:numRef>
          </c:val>
        </c:ser>
        <c:dLbls>
          <c:showLegendKey val="0"/>
          <c:showVal val="1"/>
          <c:showCatName val="0"/>
          <c:showSerName val="0"/>
          <c:showPercent val="0"/>
          <c:showBubbleSize val="0"/>
        </c:dLbls>
        <c:gapWidth val="150"/>
        <c:axId val="101527936"/>
        <c:axId val="101529472"/>
      </c:barChart>
      <c:catAx>
        <c:axId val="10152793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529472"/>
        <c:crosses val="autoZero"/>
        <c:auto val="1"/>
        <c:lblAlgn val="ctr"/>
        <c:lblOffset val="100"/>
        <c:noMultiLvlLbl val="0"/>
      </c:catAx>
      <c:valAx>
        <c:axId val="1015294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1527936"/>
        <c:crosses val="autoZero"/>
        <c:crossBetween val="between"/>
      </c:valAx>
    </c:plotArea>
    <c:legend>
      <c:legendPos val="r"/>
      <c:layout>
        <c:manualLayout>
          <c:xMode val="edge"/>
          <c:yMode val="edge"/>
          <c:x val="0.694234316905908"/>
          <c:y val="0.337982334251563"/>
          <c:w val="0.305765732771776"/>
          <c:h val="0.127686039245094"/>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一般公共预算财政拨款支出（万元）</c:v>
                </c:pt>
              </c:strCache>
            </c:strRef>
          </c:tx>
          <c:explosion val="25"/>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教育支出</c:v>
                </c:pt>
                <c:pt idx="2">
                  <c:v>社会保障和就业支出</c:v>
                </c:pt>
                <c:pt idx="3">
                  <c:v>医疗卫生支出</c:v>
                </c:pt>
                <c:pt idx="4">
                  <c:v>住房保障支出</c:v>
                </c:pt>
              </c:strCache>
            </c:strRef>
          </c:cat>
          <c:val>
            <c:numRef>
              <c:f>Sheet1!$B$2:$B$6</c:f>
              <c:numCache>
                <c:formatCode>General</c:formatCode>
                <c:ptCount val="5"/>
                <c:pt idx="0">
                  <c:v>1459.03</c:v>
                </c:pt>
                <c:pt idx="1">
                  <c:v>0.600000000000001</c:v>
                </c:pt>
                <c:pt idx="2">
                  <c:v>64.92</c:v>
                </c:pt>
                <c:pt idx="3">
                  <c:v>14.47</c:v>
                </c:pt>
                <c:pt idx="4">
                  <c:v>30.21</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“三公经费”支出结构（万元）</c:v>
                </c:pt>
              </c:strCache>
            </c:strRef>
          </c:tx>
          <c:explosion val="0"/>
          <c:dPt>
            <c:idx val="0"/>
            <c:bubble3D val="0"/>
          </c:dPt>
          <c:dPt>
            <c:idx val="1"/>
            <c:bubble3D val="0"/>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General</c:formatCode>
                <c:ptCount val="2"/>
                <c:pt idx="0">
                  <c:v>71.97</c:v>
                </c:pt>
                <c:pt idx="1">
                  <c:v>0.3</c:v>
                </c:pt>
              </c:numCache>
            </c:numRef>
          </c:val>
        </c:ser>
        <c:dLbls>
          <c:showLegendKey val="0"/>
          <c:showVal val="0"/>
          <c:showCatName val="0"/>
          <c:showSerName val="0"/>
          <c:showPercent val="0"/>
          <c:showBubbleSize val="0"/>
          <c:showLeaderLines val="1"/>
        </c:dLbls>
        <c:firstSliceAng val="15"/>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722E23-AFA8-4075-AE0D-D95052D00E00}">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36</Pages>
  <Words>11753</Words>
  <Characters>3539</Characters>
  <Lines>29</Lines>
  <Paragraphs>30</Paragraphs>
  <TotalTime>629</TotalTime>
  <ScaleCrop>false</ScaleCrop>
  <LinksUpToDate>false</LinksUpToDate>
  <CharactersWithSpaces>15262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2019-10-22T07:02:00Z</dcterms:created>
  <dc:creator>张彬茜</dc:creator>
  <cp:lastModifiedBy>陶淑群</cp:lastModifiedBy>
  <cp:lastPrinted>2019-10-21T07:14:00Z</cp:lastPrinted>
  <dcterms:modified xsi:type="dcterms:W3CDTF">2019-10-24T02:45:00Z</dcterms:modified>
  <dc:title>四川省***</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