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jc w:val="center"/>
        <w:rPr>
          <w:rFonts w:hint="eastAsia" w:ascii="方正小标宋简体" w:hAnsi="方正小标宋简体" w:eastAsia="方正小标宋简体" w:cs="方正小标宋简体"/>
          <w:sz w:val="72"/>
          <w:szCs w:val="72"/>
        </w:rPr>
      </w:pPr>
    </w:p>
    <w:p>
      <w:pPr>
        <w:jc w:val="center"/>
        <w:rPr>
          <w:rFonts w:hint="eastAsia" w:ascii="方正小标宋简体" w:hAnsi="方正小标宋简体" w:eastAsia="方正小标宋简体" w:cs="方正小标宋简体"/>
          <w:sz w:val="72"/>
          <w:szCs w:val="72"/>
        </w:rPr>
      </w:pPr>
    </w:p>
    <w:p>
      <w:pPr>
        <w:jc w:val="center"/>
        <w:rPr>
          <w:rFonts w:hint="eastAsia" w:ascii="方正小标宋简体" w:hAnsi="方正小标宋简体" w:eastAsia="方正小标宋简体" w:cs="方正小标宋简体"/>
          <w:sz w:val="72"/>
          <w:szCs w:val="72"/>
        </w:rPr>
      </w:pPr>
    </w:p>
    <w:p>
      <w:pPr>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2019年度</w:t>
      </w:r>
    </w:p>
    <w:p>
      <w:pPr>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四川省阿坝州中共</w:t>
      </w:r>
    </w:p>
    <w:p>
      <w:pPr>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壤塘县委组织部部门决算</w:t>
      </w:r>
    </w:p>
    <w:p/>
    <w:p/>
    <w:p/>
    <w:p/>
    <w:p/>
    <w:p/>
    <w:p/>
    <w:p/>
    <w:p/>
    <w:p>
      <w:pPr>
        <w:rPr>
          <w:rFonts w:hint="eastAsia"/>
        </w:rPr>
      </w:pPr>
    </w:p>
    <w:p>
      <w:pPr>
        <w:rPr>
          <w:rFonts w:hint="eastAsia"/>
        </w:rPr>
      </w:pPr>
    </w:p>
    <w:p>
      <w:pPr>
        <w:rPr>
          <w:rFonts w:hint="eastAsia"/>
        </w:rPr>
      </w:pPr>
    </w:p>
    <w:p>
      <w:pPr>
        <w:rPr>
          <w:rFonts w:hint="eastAsia"/>
        </w:rPr>
      </w:pPr>
    </w:p>
    <w:p>
      <w:pPr>
        <w:jc w:val="center"/>
        <w:rPr>
          <w:rFonts w:hint="eastAsia" w:ascii="方正小标宋简体" w:hAnsi="方正小标宋简体" w:eastAsia="方正小标宋简体" w:cs="方正小标宋简体"/>
          <w:sz w:val="44"/>
          <w:szCs w:val="44"/>
        </w:rPr>
        <w:sectPr>
          <w:pgSz w:w="11906" w:h="16838"/>
          <w:pgMar w:top="2098" w:right="1474" w:bottom="1984" w:left="1587" w:header="851" w:footer="992" w:gutter="0"/>
          <w:pgNumType w:fmt="decimal"/>
          <w:cols w:space="425" w:num="1"/>
          <w:docGrid w:type="lines" w:linePitch="312" w:charSpace="0"/>
        </w:sect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jc w:val="lef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第一部分部门概况.............................................4 </w:t>
      </w:r>
    </w:p>
    <w:p>
      <w:pPr>
        <w:jc w:val="left"/>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一、</w:t>
      </w:r>
      <w:r>
        <w:rPr>
          <w:rFonts w:hint="eastAsia" w:ascii="楷体_GB2312" w:hAnsi="楷体_GB2312" w:eastAsia="楷体_GB2312" w:cs="楷体_GB2312"/>
          <w:sz w:val="28"/>
          <w:szCs w:val="28"/>
        </w:rPr>
        <w:t xml:space="preserve">基本职能及主要工作.......................................5 </w:t>
      </w:r>
    </w:p>
    <w:p>
      <w:pPr>
        <w:jc w:val="left"/>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二、</w:t>
      </w:r>
      <w:r>
        <w:rPr>
          <w:rFonts w:hint="eastAsia" w:ascii="楷体_GB2312" w:hAnsi="楷体_GB2312" w:eastAsia="楷体_GB2312" w:cs="楷体_GB2312"/>
          <w:sz w:val="28"/>
          <w:szCs w:val="28"/>
        </w:rPr>
        <w:t xml:space="preserve">机构设置.................................................6 </w:t>
      </w:r>
    </w:p>
    <w:p>
      <w:pPr>
        <w:jc w:val="lef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第二部分</w:t>
      </w:r>
      <w:r>
        <w:rPr>
          <w:rFonts w:hint="eastAsia" w:ascii="楷体_GB2312" w:hAnsi="楷体_GB2312" w:eastAsia="楷体_GB2312" w:cs="楷体_GB2312"/>
          <w:sz w:val="28"/>
          <w:szCs w:val="28"/>
          <w:lang w:val="en-US" w:eastAsia="zh-CN"/>
        </w:rPr>
        <w:t>2019年</w:t>
      </w:r>
      <w:r>
        <w:rPr>
          <w:rFonts w:hint="eastAsia" w:ascii="楷体_GB2312" w:hAnsi="楷体_GB2312" w:eastAsia="楷体_GB2312" w:cs="楷体_GB2312"/>
          <w:sz w:val="28"/>
          <w:szCs w:val="28"/>
        </w:rPr>
        <w:t xml:space="preserve">度部门决算情况说明............................7 </w:t>
      </w:r>
    </w:p>
    <w:p>
      <w:pPr>
        <w:jc w:val="left"/>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一、</w:t>
      </w:r>
      <w:r>
        <w:rPr>
          <w:rFonts w:hint="eastAsia" w:ascii="楷体_GB2312" w:hAnsi="楷体_GB2312" w:eastAsia="楷体_GB2312" w:cs="楷体_GB2312"/>
          <w:sz w:val="28"/>
          <w:szCs w:val="28"/>
        </w:rPr>
        <w:t xml:space="preserve">收入支出决算总体情况说明.................................7 </w:t>
      </w:r>
    </w:p>
    <w:p>
      <w:pPr>
        <w:jc w:val="left"/>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二、</w:t>
      </w:r>
      <w:r>
        <w:rPr>
          <w:rFonts w:hint="eastAsia" w:ascii="楷体_GB2312" w:hAnsi="楷体_GB2312" w:eastAsia="楷体_GB2312" w:cs="楷体_GB2312"/>
          <w:sz w:val="28"/>
          <w:szCs w:val="28"/>
        </w:rPr>
        <w:t xml:space="preserve">收入决算情况说明.........................................7 </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三、</w:t>
      </w:r>
      <w:r>
        <w:rPr>
          <w:rFonts w:hint="eastAsia" w:ascii="楷体_GB2312" w:hAnsi="楷体_GB2312" w:eastAsia="楷体_GB2312" w:cs="楷体_GB2312"/>
          <w:sz w:val="28"/>
          <w:szCs w:val="28"/>
        </w:rPr>
        <w:t xml:space="preserve">支出决算情况说明.........................................8 </w:t>
      </w:r>
    </w:p>
    <w:p>
      <w:pP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eastAsia="zh-CN"/>
        </w:rPr>
        <w:t>四、</w:t>
      </w:r>
      <w:r>
        <w:rPr>
          <w:rFonts w:hint="eastAsia" w:ascii="楷体_GB2312" w:hAnsi="楷体_GB2312" w:eastAsia="楷体_GB2312" w:cs="楷体_GB2312"/>
          <w:sz w:val="28"/>
          <w:szCs w:val="28"/>
        </w:rPr>
        <w:t>财政拨款收入支出决算总体情况说明.........................</w:t>
      </w:r>
      <w:r>
        <w:rPr>
          <w:rFonts w:hint="eastAsia" w:ascii="楷体_GB2312" w:hAnsi="楷体_GB2312" w:eastAsia="楷体_GB2312" w:cs="楷体_GB2312"/>
          <w:sz w:val="28"/>
          <w:szCs w:val="28"/>
          <w:lang w:val="en-US" w:eastAsia="zh-CN"/>
        </w:rPr>
        <w:t>9</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五、</w:t>
      </w:r>
      <w:r>
        <w:rPr>
          <w:rFonts w:hint="eastAsia" w:ascii="楷体_GB2312" w:hAnsi="楷体_GB2312" w:eastAsia="楷体_GB2312" w:cs="楷体_GB2312"/>
          <w:sz w:val="28"/>
          <w:szCs w:val="28"/>
        </w:rPr>
        <w:t xml:space="preserve">一般公共预算财政拨款支出决算情况说明.....................9 </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六、</w:t>
      </w:r>
      <w:r>
        <w:rPr>
          <w:rFonts w:hint="eastAsia" w:ascii="楷体_GB2312" w:hAnsi="楷体_GB2312" w:eastAsia="楷体_GB2312" w:cs="楷体_GB2312"/>
          <w:sz w:val="28"/>
          <w:szCs w:val="28"/>
        </w:rPr>
        <w:t xml:space="preserve">一般公共预算财政拨款基本支出决算情况说明................11 </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七、</w:t>
      </w:r>
      <w:r>
        <w:rPr>
          <w:rFonts w:hint="eastAsia" w:ascii="楷体_GB2312" w:hAnsi="楷体_GB2312" w:eastAsia="楷体_GB2312" w:cs="楷体_GB2312"/>
          <w:sz w:val="28"/>
          <w:szCs w:val="28"/>
        </w:rPr>
        <w:t xml:space="preserve">“三公”经费财政拨款支出决算情况说明....................12 </w:t>
      </w:r>
    </w:p>
    <w:p>
      <w:pP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eastAsia="zh-CN"/>
        </w:rPr>
        <w:t>八、</w:t>
      </w:r>
      <w:r>
        <w:rPr>
          <w:rFonts w:hint="eastAsia" w:ascii="楷体_GB2312" w:hAnsi="楷体_GB2312" w:eastAsia="楷体_GB2312" w:cs="楷体_GB2312"/>
          <w:sz w:val="28"/>
          <w:szCs w:val="28"/>
        </w:rPr>
        <w:t>政府性基金预算支出决算情况说明..........................1</w:t>
      </w:r>
      <w:r>
        <w:rPr>
          <w:rFonts w:hint="eastAsia" w:ascii="楷体_GB2312" w:hAnsi="楷体_GB2312" w:eastAsia="楷体_GB2312" w:cs="楷体_GB2312"/>
          <w:sz w:val="28"/>
          <w:szCs w:val="28"/>
          <w:lang w:val="en-US" w:eastAsia="zh-CN"/>
        </w:rPr>
        <w:t>4</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九、</w:t>
      </w:r>
      <w:r>
        <w:rPr>
          <w:rFonts w:hint="eastAsia" w:ascii="楷体_GB2312" w:hAnsi="楷体_GB2312" w:eastAsia="楷体_GB2312" w:cs="楷体_GB2312"/>
          <w:sz w:val="28"/>
          <w:szCs w:val="28"/>
        </w:rPr>
        <w:t>国有资本经营预算支出决算情况说明........................1</w:t>
      </w:r>
      <w:r>
        <w:rPr>
          <w:rFonts w:hint="eastAsia" w:ascii="楷体_GB2312" w:hAnsi="楷体_GB2312" w:eastAsia="楷体_GB2312" w:cs="楷体_GB2312"/>
          <w:sz w:val="28"/>
          <w:szCs w:val="28"/>
          <w:lang w:val="en-US" w:eastAsia="zh-CN"/>
        </w:rPr>
        <w:t>4</w:t>
      </w:r>
      <w:r>
        <w:rPr>
          <w:rFonts w:hint="eastAsia" w:ascii="楷体_GB2312" w:hAnsi="楷体_GB2312" w:eastAsia="楷体_GB2312" w:cs="楷体_GB2312"/>
          <w:sz w:val="28"/>
          <w:szCs w:val="28"/>
        </w:rPr>
        <w:t xml:space="preserve"> </w:t>
      </w:r>
    </w:p>
    <w:p>
      <w:pP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eastAsia="zh-CN"/>
        </w:rPr>
        <w:t>十、</w:t>
      </w:r>
      <w:r>
        <w:rPr>
          <w:rFonts w:hint="eastAsia" w:ascii="楷体_GB2312" w:hAnsi="楷体_GB2312" w:eastAsia="楷体_GB2312" w:cs="楷体_GB2312"/>
          <w:sz w:val="28"/>
          <w:szCs w:val="28"/>
        </w:rPr>
        <w:t>其他重要事项的情况说明..................................1</w:t>
      </w:r>
      <w:r>
        <w:rPr>
          <w:rFonts w:hint="eastAsia" w:ascii="楷体_GB2312" w:hAnsi="楷体_GB2312" w:eastAsia="楷体_GB2312" w:cs="楷体_GB2312"/>
          <w:sz w:val="28"/>
          <w:szCs w:val="28"/>
          <w:lang w:val="en-US" w:eastAsia="zh-CN"/>
        </w:rPr>
        <w:t>4</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第三部分名词解释............................................</w:t>
      </w:r>
      <w:r>
        <w:rPr>
          <w:rFonts w:hint="eastAsia" w:ascii="楷体_GB2312" w:hAnsi="楷体_GB2312" w:eastAsia="楷体_GB2312" w:cs="楷体_GB2312"/>
          <w:sz w:val="28"/>
          <w:szCs w:val="28"/>
          <w:lang w:val="en-US" w:eastAsia="zh-CN"/>
        </w:rPr>
        <w:t>20</w:t>
      </w:r>
      <w:r>
        <w:rPr>
          <w:rFonts w:hint="eastAsia" w:ascii="楷体_GB2312" w:hAnsi="楷体_GB2312" w:eastAsia="楷体_GB2312" w:cs="楷体_GB2312"/>
          <w:sz w:val="28"/>
          <w:szCs w:val="28"/>
        </w:rPr>
        <w:t xml:space="preserve"> </w:t>
      </w:r>
    </w:p>
    <w:p>
      <w:pPr>
        <w:rPr>
          <w:rFonts w:hint="default"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第四部分</w:t>
      </w:r>
      <w:r>
        <w:rPr>
          <w:rFonts w:hint="eastAsia" w:ascii="楷体_GB2312" w:hAnsi="楷体_GB2312" w:eastAsia="楷体_GB2312" w:cs="楷体_GB2312"/>
          <w:sz w:val="28"/>
          <w:szCs w:val="28"/>
        </w:rPr>
        <w:t>....................................................</w:t>
      </w:r>
      <w:r>
        <w:rPr>
          <w:rFonts w:hint="eastAsia" w:ascii="楷体_GB2312" w:hAnsi="楷体_GB2312" w:eastAsia="楷体_GB2312" w:cs="楷体_GB2312"/>
          <w:sz w:val="28"/>
          <w:szCs w:val="28"/>
          <w:lang w:val="en-US" w:eastAsia="zh-CN"/>
        </w:rPr>
        <w:t>23</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附件1......................................................</w:t>
      </w:r>
      <w:r>
        <w:rPr>
          <w:rFonts w:hint="eastAsia" w:ascii="楷体_GB2312" w:hAnsi="楷体_GB2312" w:eastAsia="楷体_GB2312" w:cs="楷体_GB2312"/>
          <w:sz w:val="28"/>
          <w:szCs w:val="28"/>
          <w:lang w:val="en-US" w:eastAsia="zh-CN"/>
        </w:rPr>
        <w:t>26</w:t>
      </w:r>
      <w:r>
        <w:rPr>
          <w:rFonts w:hint="eastAsia" w:ascii="楷体_GB2312" w:hAnsi="楷体_GB2312" w:eastAsia="楷体_GB2312" w:cs="楷体_GB2312"/>
          <w:sz w:val="28"/>
          <w:szCs w:val="28"/>
        </w:rPr>
        <w:t xml:space="preserve"> </w:t>
      </w:r>
    </w:p>
    <w:p>
      <w:pPr>
        <w:rPr>
          <w:rFonts w:hint="default" w:ascii="楷体_GB2312" w:hAnsi="楷体_GB2312" w:eastAsia="楷体_GB2312" w:cs="楷体_GB2312"/>
          <w:sz w:val="28"/>
          <w:szCs w:val="28"/>
          <w:lang w:val="en-US" w:eastAsia="zh-CN"/>
        </w:rPr>
      </w:pPr>
      <w:r>
        <w:rPr>
          <w:rFonts w:hint="eastAsia" w:ascii="楷体_GB2312" w:hAnsi="楷体_GB2312" w:eastAsia="楷体_GB2312" w:cs="楷体_GB2312"/>
          <w:sz w:val="28"/>
          <w:szCs w:val="28"/>
        </w:rPr>
        <w:t>附件2......................................................</w:t>
      </w:r>
      <w:r>
        <w:rPr>
          <w:rFonts w:hint="eastAsia" w:ascii="楷体_GB2312" w:hAnsi="楷体_GB2312" w:eastAsia="楷体_GB2312" w:cs="楷体_GB2312"/>
          <w:sz w:val="28"/>
          <w:szCs w:val="28"/>
          <w:lang w:val="en-US" w:eastAsia="zh-CN"/>
        </w:rPr>
        <w:t>28</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第五部分附表...............................................3</w:t>
      </w:r>
      <w:r>
        <w:rPr>
          <w:rFonts w:hint="eastAsia" w:ascii="楷体_GB2312" w:hAnsi="楷体_GB2312" w:eastAsia="楷体_GB2312" w:cs="楷体_GB2312"/>
          <w:sz w:val="28"/>
          <w:szCs w:val="28"/>
          <w:lang w:val="en-US" w:eastAsia="zh-CN"/>
        </w:rPr>
        <w:t>0</w:t>
      </w:r>
      <w:r>
        <w:rPr>
          <w:rFonts w:hint="eastAsia" w:ascii="楷体_GB2312" w:hAnsi="楷体_GB2312" w:eastAsia="楷体_GB2312" w:cs="楷体_GB2312"/>
          <w:sz w:val="28"/>
          <w:szCs w:val="28"/>
        </w:rPr>
        <w:t xml:space="preserve"> </w:t>
      </w:r>
    </w:p>
    <w:p>
      <w:pP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eastAsia="zh-CN"/>
        </w:rPr>
        <w:t>一、</w:t>
      </w:r>
      <w:r>
        <w:rPr>
          <w:rFonts w:hint="eastAsia" w:ascii="楷体_GB2312" w:hAnsi="楷体_GB2312" w:eastAsia="楷体_GB2312" w:cs="楷体_GB2312"/>
          <w:sz w:val="28"/>
          <w:szCs w:val="28"/>
        </w:rPr>
        <w:t>收入支出决算总表.....................................3</w:t>
      </w:r>
      <w:r>
        <w:rPr>
          <w:rFonts w:hint="eastAsia" w:ascii="楷体_GB2312" w:hAnsi="楷体_GB2312" w:eastAsia="楷体_GB2312" w:cs="楷体_GB2312"/>
          <w:sz w:val="28"/>
          <w:szCs w:val="28"/>
          <w:lang w:val="en-US" w:eastAsia="zh-CN"/>
        </w:rPr>
        <w:t>0</w:t>
      </w:r>
    </w:p>
    <w:p>
      <w:pP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eastAsia="zh-CN"/>
        </w:rPr>
        <w:t>二、</w:t>
      </w:r>
      <w:r>
        <w:rPr>
          <w:rFonts w:hint="eastAsia" w:ascii="楷体_GB2312" w:hAnsi="楷体_GB2312" w:eastAsia="楷体_GB2312" w:cs="楷体_GB2312"/>
          <w:sz w:val="28"/>
          <w:szCs w:val="28"/>
        </w:rPr>
        <w:t>收入决算表...........................................3</w:t>
      </w:r>
      <w:r>
        <w:rPr>
          <w:rFonts w:hint="eastAsia" w:ascii="楷体_GB2312" w:hAnsi="楷体_GB2312" w:eastAsia="楷体_GB2312" w:cs="楷体_GB2312"/>
          <w:sz w:val="28"/>
          <w:szCs w:val="28"/>
          <w:lang w:val="en-US" w:eastAsia="zh-CN"/>
        </w:rPr>
        <w:t>0</w:t>
      </w:r>
    </w:p>
    <w:p>
      <w:pP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eastAsia="zh-CN"/>
        </w:rPr>
        <w:t>三、</w:t>
      </w:r>
      <w:r>
        <w:rPr>
          <w:rFonts w:hint="eastAsia" w:ascii="楷体_GB2312" w:hAnsi="楷体_GB2312" w:eastAsia="楷体_GB2312" w:cs="楷体_GB2312"/>
          <w:sz w:val="28"/>
          <w:szCs w:val="28"/>
        </w:rPr>
        <w:t>支出决算表...........................................3</w:t>
      </w:r>
      <w:r>
        <w:rPr>
          <w:rFonts w:hint="eastAsia" w:ascii="楷体_GB2312" w:hAnsi="楷体_GB2312" w:eastAsia="楷体_GB2312" w:cs="楷体_GB2312"/>
          <w:sz w:val="28"/>
          <w:szCs w:val="28"/>
          <w:lang w:val="en-US" w:eastAsia="zh-CN"/>
        </w:rPr>
        <w:t>0</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四、</w:t>
      </w:r>
      <w:r>
        <w:rPr>
          <w:rFonts w:hint="eastAsia" w:ascii="楷体_GB2312" w:hAnsi="楷体_GB2312" w:eastAsia="楷体_GB2312" w:cs="楷体_GB2312"/>
          <w:sz w:val="28"/>
          <w:szCs w:val="28"/>
        </w:rPr>
        <w:t>财政拨款收入支出决算总表.............................3</w:t>
      </w:r>
      <w:r>
        <w:rPr>
          <w:rFonts w:hint="eastAsia" w:ascii="楷体_GB2312" w:hAnsi="楷体_GB2312" w:eastAsia="楷体_GB2312" w:cs="楷体_GB2312"/>
          <w:sz w:val="28"/>
          <w:szCs w:val="28"/>
          <w:lang w:val="en-US" w:eastAsia="zh-CN"/>
        </w:rPr>
        <w:t>0</w:t>
      </w:r>
      <w:r>
        <w:rPr>
          <w:rFonts w:hint="eastAsia" w:ascii="楷体_GB2312" w:hAnsi="楷体_GB2312" w:eastAsia="楷体_GB2312" w:cs="楷体_GB2312"/>
          <w:sz w:val="28"/>
          <w:szCs w:val="28"/>
        </w:rPr>
        <w:t xml:space="preserve"> </w:t>
      </w:r>
    </w:p>
    <w:p>
      <w:pP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eastAsia="zh-CN"/>
        </w:rPr>
        <w:t>五、</w:t>
      </w:r>
      <w:r>
        <w:rPr>
          <w:rFonts w:hint="eastAsia" w:ascii="楷体_GB2312" w:hAnsi="楷体_GB2312" w:eastAsia="楷体_GB2312" w:cs="楷体_GB2312"/>
          <w:sz w:val="28"/>
          <w:szCs w:val="28"/>
        </w:rPr>
        <w:t>财政拨款支出决算明细表...............................3</w:t>
      </w:r>
      <w:r>
        <w:rPr>
          <w:rFonts w:hint="eastAsia" w:ascii="楷体_GB2312" w:hAnsi="楷体_GB2312" w:eastAsia="楷体_GB2312" w:cs="楷体_GB2312"/>
          <w:sz w:val="28"/>
          <w:szCs w:val="28"/>
          <w:lang w:val="en-US" w:eastAsia="zh-CN"/>
        </w:rPr>
        <w:t>0</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六、</w:t>
      </w:r>
      <w:r>
        <w:rPr>
          <w:rFonts w:hint="eastAsia" w:ascii="楷体_GB2312" w:hAnsi="楷体_GB2312" w:eastAsia="楷体_GB2312" w:cs="楷体_GB2312"/>
          <w:sz w:val="28"/>
          <w:szCs w:val="28"/>
        </w:rPr>
        <w:t>一般公共预算财政拨款支出决算表.......................3</w:t>
      </w:r>
      <w:r>
        <w:rPr>
          <w:rFonts w:hint="eastAsia" w:ascii="楷体_GB2312" w:hAnsi="楷体_GB2312" w:eastAsia="楷体_GB2312" w:cs="楷体_GB2312"/>
          <w:sz w:val="28"/>
          <w:szCs w:val="28"/>
          <w:lang w:val="en-US" w:eastAsia="zh-CN"/>
        </w:rPr>
        <w:t>0</w:t>
      </w:r>
      <w:r>
        <w:rPr>
          <w:rFonts w:hint="eastAsia" w:ascii="楷体_GB2312" w:hAnsi="楷体_GB2312" w:eastAsia="楷体_GB2312" w:cs="楷体_GB2312"/>
          <w:sz w:val="28"/>
          <w:szCs w:val="28"/>
        </w:rPr>
        <w:t xml:space="preserve"> </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七、</w:t>
      </w:r>
      <w:r>
        <w:rPr>
          <w:rFonts w:hint="eastAsia" w:ascii="楷体_GB2312" w:hAnsi="楷体_GB2312" w:eastAsia="楷体_GB2312" w:cs="楷体_GB2312"/>
          <w:sz w:val="28"/>
          <w:szCs w:val="28"/>
        </w:rPr>
        <w:t>一般公共预算财政拨款支出决算明细表...................3</w:t>
      </w:r>
      <w:r>
        <w:rPr>
          <w:rFonts w:hint="eastAsia" w:ascii="楷体_GB2312" w:hAnsi="楷体_GB2312" w:eastAsia="楷体_GB2312" w:cs="楷体_GB2312"/>
          <w:sz w:val="28"/>
          <w:szCs w:val="28"/>
          <w:lang w:val="en-US" w:eastAsia="zh-CN"/>
        </w:rPr>
        <w:t>0</w:t>
      </w:r>
      <w:r>
        <w:rPr>
          <w:rFonts w:hint="eastAsia" w:ascii="楷体_GB2312" w:hAnsi="楷体_GB2312" w:eastAsia="楷体_GB2312" w:cs="楷体_GB2312"/>
          <w:sz w:val="28"/>
          <w:szCs w:val="28"/>
        </w:rPr>
        <w:t xml:space="preserve"> </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八、</w:t>
      </w:r>
      <w:r>
        <w:rPr>
          <w:rFonts w:hint="eastAsia" w:ascii="楷体_GB2312" w:hAnsi="楷体_GB2312" w:eastAsia="楷体_GB2312" w:cs="楷体_GB2312"/>
          <w:sz w:val="28"/>
          <w:szCs w:val="28"/>
        </w:rPr>
        <w:t>一般公共预算财政拨款基本支出决算表...................3</w:t>
      </w:r>
      <w:r>
        <w:rPr>
          <w:rFonts w:hint="eastAsia" w:ascii="楷体_GB2312" w:hAnsi="楷体_GB2312" w:eastAsia="楷体_GB2312" w:cs="楷体_GB2312"/>
          <w:sz w:val="28"/>
          <w:szCs w:val="28"/>
          <w:lang w:val="en-US" w:eastAsia="zh-CN"/>
        </w:rPr>
        <w:t>0</w:t>
      </w:r>
      <w:r>
        <w:rPr>
          <w:rFonts w:hint="eastAsia" w:ascii="楷体_GB2312" w:hAnsi="楷体_GB2312" w:eastAsia="楷体_GB2312" w:cs="楷体_GB2312"/>
          <w:sz w:val="28"/>
          <w:szCs w:val="28"/>
        </w:rPr>
        <w:t xml:space="preserve"> </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九、</w:t>
      </w:r>
      <w:r>
        <w:rPr>
          <w:rFonts w:hint="eastAsia" w:ascii="楷体_GB2312" w:hAnsi="楷体_GB2312" w:eastAsia="楷体_GB2312" w:cs="楷体_GB2312"/>
          <w:sz w:val="28"/>
          <w:szCs w:val="28"/>
        </w:rPr>
        <w:t>一般公共预算财政拨款项目支出决算表...................3</w:t>
      </w:r>
      <w:r>
        <w:rPr>
          <w:rFonts w:hint="eastAsia" w:ascii="楷体_GB2312" w:hAnsi="楷体_GB2312" w:eastAsia="楷体_GB2312" w:cs="楷体_GB2312"/>
          <w:sz w:val="28"/>
          <w:szCs w:val="28"/>
          <w:lang w:val="en-US" w:eastAsia="zh-CN"/>
        </w:rPr>
        <w:t>0</w:t>
      </w:r>
      <w:r>
        <w:rPr>
          <w:rFonts w:hint="eastAsia" w:ascii="楷体_GB2312" w:hAnsi="楷体_GB2312" w:eastAsia="楷体_GB2312" w:cs="楷体_GB2312"/>
          <w:sz w:val="28"/>
          <w:szCs w:val="28"/>
        </w:rPr>
        <w:t xml:space="preserve"> </w:t>
      </w:r>
    </w:p>
    <w:p>
      <w:pP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eastAsia="zh-CN"/>
        </w:rPr>
        <w:t>十、</w:t>
      </w:r>
      <w:r>
        <w:rPr>
          <w:rFonts w:hint="eastAsia" w:ascii="楷体_GB2312" w:hAnsi="楷体_GB2312" w:eastAsia="楷体_GB2312" w:cs="楷体_GB2312"/>
          <w:sz w:val="28"/>
          <w:szCs w:val="28"/>
        </w:rPr>
        <w:t>一般公共预算财政拨款“三公”经费支出决算表...........3</w:t>
      </w:r>
      <w:r>
        <w:rPr>
          <w:rFonts w:hint="eastAsia" w:ascii="楷体_GB2312" w:hAnsi="楷体_GB2312" w:eastAsia="楷体_GB2312" w:cs="楷体_GB2312"/>
          <w:sz w:val="28"/>
          <w:szCs w:val="28"/>
          <w:lang w:val="en-US" w:eastAsia="zh-CN"/>
        </w:rPr>
        <w:t>0</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十一、</w:t>
      </w:r>
      <w:r>
        <w:rPr>
          <w:rFonts w:hint="eastAsia" w:ascii="楷体_GB2312" w:hAnsi="楷体_GB2312" w:eastAsia="楷体_GB2312" w:cs="楷体_GB2312"/>
          <w:sz w:val="28"/>
          <w:szCs w:val="28"/>
        </w:rPr>
        <w:t>政府性基金预算财政拨款收入支出决算表...............3</w:t>
      </w:r>
      <w:r>
        <w:rPr>
          <w:rFonts w:hint="eastAsia" w:ascii="楷体_GB2312" w:hAnsi="楷体_GB2312" w:eastAsia="楷体_GB2312" w:cs="楷体_GB2312"/>
          <w:sz w:val="28"/>
          <w:szCs w:val="28"/>
          <w:lang w:val="en-US" w:eastAsia="zh-CN"/>
        </w:rPr>
        <w:t>0</w:t>
      </w:r>
      <w:r>
        <w:rPr>
          <w:rFonts w:hint="eastAsia" w:ascii="楷体_GB2312" w:hAnsi="楷体_GB2312" w:eastAsia="楷体_GB2312" w:cs="楷体_GB2312"/>
          <w:sz w:val="28"/>
          <w:szCs w:val="28"/>
        </w:rPr>
        <w:t xml:space="preserve"> </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十二、政府性基金预算财政拨款“三公”经费支出决算表.......3</w:t>
      </w:r>
      <w:r>
        <w:rPr>
          <w:rFonts w:hint="eastAsia" w:ascii="楷体_GB2312" w:hAnsi="楷体_GB2312" w:eastAsia="楷体_GB2312" w:cs="楷体_GB2312"/>
          <w:sz w:val="28"/>
          <w:szCs w:val="28"/>
          <w:lang w:val="en-US" w:eastAsia="zh-CN"/>
        </w:rPr>
        <w:t>0</w:t>
      </w:r>
      <w:r>
        <w:rPr>
          <w:rFonts w:hint="eastAsia" w:ascii="楷体_GB2312" w:hAnsi="楷体_GB2312" w:eastAsia="楷体_GB2312" w:cs="楷体_GB2312"/>
          <w:sz w:val="28"/>
          <w:szCs w:val="28"/>
        </w:rPr>
        <w:t xml:space="preserve"> </w:t>
      </w:r>
    </w:p>
    <w:p>
      <w:pP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rPr>
        <w:t>十</w:t>
      </w:r>
      <w:r>
        <w:rPr>
          <w:rFonts w:hint="eastAsia" w:ascii="楷体_GB2312" w:hAnsi="楷体_GB2312" w:eastAsia="楷体_GB2312" w:cs="楷体_GB2312"/>
          <w:sz w:val="28"/>
          <w:szCs w:val="28"/>
          <w:lang w:eastAsia="zh-CN"/>
        </w:rPr>
        <w:t>三</w:t>
      </w:r>
      <w:r>
        <w:rPr>
          <w:rFonts w:hint="eastAsia" w:ascii="楷体_GB2312" w:hAnsi="楷体_GB2312" w:eastAsia="楷体_GB2312" w:cs="楷体_GB2312"/>
          <w:sz w:val="28"/>
          <w:szCs w:val="28"/>
        </w:rPr>
        <w:t>、国有资本经营预算支出决算表.........................3</w:t>
      </w:r>
      <w:r>
        <w:rPr>
          <w:rFonts w:hint="eastAsia" w:ascii="楷体_GB2312" w:hAnsi="楷体_GB2312" w:eastAsia="楷体_GB2312" w:cs="楷体_GB2312"/>
          <w:sz w:val="28"/>
          <w:szCs w:val="28"/>
          <w:lang w:val="en-US" w:eastAsia="zh-CN"/>
        </w:rPr>
        <w:t>0</w:t>
      </w:r>
    </w:p>
    <w:p>
      <w:pPr>
        <w:rPr>
          <w:rFonts w:hint="eastAsia"/>
          <w:sz w:val="28"/>
          <w:szCs w:val="28"/>
        </w:rPr>
      </w:pPr>
    </w:p>
    <w:p>
      <w:pPr>
        <w:pStyle w:val="2"/>
        <w:rPr>
          <w:rFonts w:hint="eastAsia"/>
          <w:sz w:val="28"/>
          <w:szCs w:val="28"/>
        </w:rPr>
      </w:pPr>
    </w:p>
    <w:p>
      <w:pPr>
        <w:pStyle w:val="3"/>
        <w:rPr>
          <w:rFonts w:hint="eastAsia"/>
          <w:sz w:val="28"/>
          <w:szCs w:val="28"/>
        </w:rPr>
      </w:pPr>
    </w:p>
    <w:p>
      <w:pPr>
        <w:rPr>
          <w:rFonts w:hint="eastAsia"/>
          <w:sz w:val="28"/>
          <w:szCs w:val="28"/>
        </w:rPr>
      </w:pPr>
    </w:p>
    <w:p>
      <w:pPr>
        <w:pStyle w:val="2"/>
        <w:rPr>
          <w:rFonts w:hint="eastAsia"/>
        </w:rPr>
      </w:pPr>
    </w:p>
    <w:p>
      <w:pPr>
        <w:pStyle w:val="3"/>
        <w:rPr>
          <w:rFonts w:hint="eastAsia"/>
        </w:rPr>
      </w:pPr>
    </w:p>
    <w:p>
      <w:pPr>
        <w:rPr>
          <w:rFonts w:hint="eastAsia"/>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第一部分</w:t>
      </w:r>
      <w:r>
        <w:rPr>
          <w:rFonts w:hint="default"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rPr>
        <w:t>部门概况</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105" w:leftChars="0" w:firstLine="534" w:firstLineChars="167"/>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基本职能及主要工作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（一）</w:t>
      </w:r>
      <w:r>
        <w:rPr>
          <w:rFonts w:hint="default" w:ascii="Times New Roman" w:hAnsi="Times New Roman" w:eastAsia="楷体_GB2312" w:cs="Times New Roman"/>
          <w:b/>
          <w:bCs/>
          <w:sz w:val="32"/>
          <w:szCs w:val="32"/>
        </w:rPr>
        <w:t>主要职能。</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研究和指导全县党的组织建设特别是党的基层组织建设；探索各类新的经济组织中党组织的设置和活动方式；协调、规划和指导党员教育工作，主管党员的管理和发展工作；组织、协调新时期党建工作新情况、新问题和党建理论的研究，提出加强党的思想、组织、作风建设的意见和建议</w:t>
      </w:r>
      <w:r>
        <w:rPr>
          <w:rFonts w:hint="default"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负责办理我县由州委管理的干部职务任免、工资、退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休报批手续；提出对县委管理</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领导班子调整配备的意见和建议；负责县管干部的</w:t>
      </w:r>
      <w:r>
        <w:rPr>
          <w:rFonts w:hint="default" w:ascii="Times New Roman" w:hAnsi="Times New Roman" w:eastAsia="仿宋_GB2312" w:cs="Times New Roman"/>
          <w:sz w:val="32"/>
          <w:szCs w:val="32"/>
          <w:lang w:eastAsia="zh-CN"/>
        </w:rPr>
        <w:t>选拔</w:t>
      </w:r>
      <w:r>
        <w:rPr>
          <w:rFonts w:hint="default" w:ascii="Times New Roman" w:hAnsi="Times New Roman" w:eastAsia="仿宋_GB2312" w:cs="Times New Roman"/>
          <w:sz w:val="32"/>
          <w:szCs w:val="32"/>
        </w:rPr>
        <w:t>、考察工作，办理其任免、工资、退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休审批手续；组织实施公开选拔县管干部和指导协调全县公开选拔领导干部工作；指导领导班子思想作风建设；负责乡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镇）及县直机关科级干部的宏观管理工作；承办部分干部的调配、交流及安置事项。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研究贯彻中央、省委、州委制定的干部队伍建设的方针、政策，组织落实培养选拔中青年干部工作。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研究和宏观指导全县党的组织制度和干部人事制度的改革，制定或参与制定我县组织、干部、人事工作的重要政策和制度。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主管全县干部教育工作，研究制定我县干部教育的规定、规划；组织县委管理的干部和一定层次的中、青年干部、高级知识分子以及组织部门干部的培训。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牵头负责全县人才工作，制定全县人才工作和人才队伍建设重大政策措施；组织协调全县高层次人才培养、选拔、引进、服务等工作；负责领导联系专家协调服务工作；履行县人才工作领导小组办公室职责。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对国有企业经营管理者队伍的建设进行宏观管理和指导；探索建立企业经营管理者人才市场，掌握和联系一批优秀的企业经营管理者，并提出培养使用意见。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负责全县党的机关、人大、政协、群众团体、法院、检察院和民主党派机关参照国家公务员制度进行管理的工作。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负责全县领导干部监督工作的综合、协调和指导，制定或参与制定干部监督的制度和规定；对干部选拔任用工作和领导干部进行监督。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管理县委老干部局。指导退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休干部宏观管理工作。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完成县委和州委组织部交办的其他工作任务。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firstLine="643" w:firstLineChars="200"/>
        <w:textAlignment w:val="auto"/>
        <w:rPr>
          <w:rFonts w:hint="default" w:ascii="Times New Roman" w:hAnsi="Times New Roman" w:cs="Times New Roman"/>
        </w:rPr>
      </w:pPr>
      <w:r>
        <w:rPr>
          <w:rFonts w:hint="default" w:ascii="Times New Roman" w:hAnsi="Times New Roman" w:eastAsia="楷体_GB2312" w:cs="Times New Roman"/>
          <w:b/>
          <w:bCs/>
          <w:sz w:val="32"/>
          <w:szCs w:val="32"/>
          <w:lang w:eastAsia="zh-CN"/>
        </w:rPr>
        <w:t>（二）2019年重点工作完成情况。</w:t>
      </w:r>
      <w:r>
        <w:rPr>
          <w:rFonts w:hint="default" w:ascii="Times New Roman" w:hAnsi="Times New Roman" w:cs="Times New Roma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部在2019年组织干部人才工作中，坚持固本强基，突出重点，推进常态化基层党建工作，按照“两个覆盖”要求推进各领域支部标准化规范化建设，认真落实“三会一课”、组织生活会、“主题党日”等党内基本制度，常态化开展“联户联情”工作，实施抓党建促脱贫攻坚、促乡村振兴、促全域生态、促扫黑除恶、促反分维稳“一抓五促”能力提升工程，以点连线、由线扩面，打造基层区域化党建功能区建设。结合开展“不忘初心、牢记使命”主题教育，在全县党员干部中坚决树牢“四个意识”，坚定“四个自信”，做到“两个维护”。扎实推进机构改革，加强干部人才交流学习，累计开展干部培训40期，培训干部3000余人次；涉改单位干部继任41人、转任12人、免兼职5人、免职5人、兼职18人、交流58人。为发挥党组织核心引领</w:t>
      </w:r>
      <w:r>
        <w:rPr>
          <w:rFonts w:hint="default" w:ascii="Times New Roman" w:hAnsi="Times New Roman" w:eastAsia="仿宋_GB2312" w:cs="Times New Roman"/>
          <w:sz w:val="32"/>
          <w:szCs w:val="32"/>
          <w:lang w:val="en-US"/>
        </w:rPr>
        <w:t xml:space="preserve">              </w:t>
      </w:r>
      <w:r>
        <w:rPr>
          <w:rFonts w:hint="default" w:ascii="Times New Roman" w:hAnsi="Times New Roman" w:eastAsia="仿宋_GB2312" w:cs="Times New Roman"/>
          <w:sz w:val="32"/>
          <w:szCs w:val="32"/>
        </w:rPr>
        <w:t>作用，推进新组建部门高效运转，批准设立党组18个，党支部11个，撤销党支部7个，实现了涉改部门党组织全覆盖。落实离退休干部报刊订阅、集中学习、参观考察、电话联系及“五必访”、组织生活等制度；组织老干部开展“我为脱贫攻坚出份力”、“订单式藏汉双语宣讲”等活动，为全县精准扶贫、感恩教育、维护稳定等工作发挥余热。</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firstLine="640" w:firstLineChars="200"/>
        <w:textAlignment w:val="auto"/>
        <w:rPr>
          <w:rFonts w:hint="default" w:ascii="Times New Roman" w:hAnsi="Times New Roman" w:cs="Times New Roman"/>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机构设置</w:t>
      </w:r>
      <w:r>
        <w:rPr>
          <w:rFonts w:hint="default" w:ascii="Times New Roman" w:hAnsi="Times New Roman" w:cs="Times New Roma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firstLine="640" w:firstLineChars="200"/>
        <w:textAlignment w:val="auto"/>
        <w:rPr>
          <w:rFonts w:hint="default" w:ascii="Times New Roman" w:hAnsi="Times New Roman" w:eastAsia="黑体" w:cs="Times New Roman"/>
          <w:sz w:val="44"/>
          <w:szCs w:val="44"/>
        </w:rPr>
      </w:pPr>
      <w:r>
        <w:rPr>
          <w:rFonts w:hint="default" w:ascii="Times New Roman" w:hAnsi="Times New Roman" w:eastAsia="仿宋_GB2312" w:cs="Times New Roman"/>
          <w:sz w:val="32"/>
          <w:szCs w:val="32"/>
        </w:rPr>
        <w:t xml:space="preserve">中共壤塘县委组织部为一级预算单位，下属二级单位0个，其中行政单位0个，参照公务员法管理的事业单位0个，其他事业单位0个。 </w:t>
      </w:r>
    </w:p>
    <w:p>
      <w:pPr>
        <w:numPr>
          <w:ilvl w:val="0"/>
          <w:numId w:val="0"/>
        </w:numPr>
        <w:jc w:val="center"/>
        <w:rPr>
          <w:rFonts w:hint="default" w:ascii="Times New Roman" w:hAnsi="Times New Roman" w:eastAsia="方正小标宋简体" w:cs="Times New Roman"/>
          <w:sz w:val="44"/>
          <w:szCs w:val="44"/>
        </w:rPr>
      </w:pPr>
    </w:p>
    <w:p>
      <w:pPr>
        <w:numPr>
          <w:ilvl w:val="0"/>
          <w:numId w:val="0"/>
        </w:numPr>
        <w:jc w:val="both"/>
        <w:rPr>
          <w:rFonts w:hint="default" w:ascii="Times New Roman" w:hAnsi="Times New Roman" w:eastAsia="方正小标宋简体" w:cs="Times New Roman"/>
          <w:sz w:val="44"/>
          <w:szCs w:val="44"/>
        </w:rPr>
      </w:pPr>
    </w:p>
    <w:p>
      <w:pPr>
        <w:pStyle w:val="2"/>
        <w:rPr>
          <w:rFonts w:hint="default"/>
        </w:rPr>
      </w:pP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第二部分</w:t>
      </w:r>
      <w:r>
        <w:rPr>
          <w:rFonts w:hint="default"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rPr>
        <w:t>2019年度部门决算情况说明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收入支出决算总体情况说明</w:t>
      </w:r>
      <w:r>
        <w:rPr>
          <w:rFonts w:hint="default" w:ascii="Times New Roman" w:hAnsi="Times New Roman" w:cs="Times New Roma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2019年度收、支总计1679.57万元。与2018年相比，收、支总计各增加29.23万元，增长2%。主要变动原因是人员增加等原因导致经费增加。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图1：收、支决算总计变动情况图</w:t>
      </w:r>
      <w:r>
        <w:rPr>
          <w:rFonts w:hint="default" w:ascii="Times New Roman" w:hAnsi="Times New Roman" w:eastAsia="仿宋_GB2312" w:cs="Times New Roman"/>
          <w:sz w:val="32"/>
          <w:szCs w:val="32"/>
          <w:lang w:eastAsia="zh-CN"/>
        </w:rPr>
        <w:t>（单位：万元）</w:t>
      </w:r>
    </w:p>
    <w:p>
      <w:pPr>
        <w:pStyle w:val="2"/>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846320" cy="3388995"/>
            <wp:effectExtent l="4445" t="4445" r="6985" b="1651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8" w:leftChars="0" w:firstLine="640" w:firstLineChars="200"/>
        <w:textAlignment w:val="auto"/>
        <w:rPr>
          <w:rFonts w:hint="default" w:ascii="Times New Roman" w:hAnsi="Times New Roman" w:cs="Times New Roman"/>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 xml:space="preserve">收入决算情况说明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8"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2019年本年收入合计1278.71万元，其中：一般公共预算财政拨款收入1278.71万元，占100%；</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8" w:leftChars="0" w:firstLine="640" w:firstLineChars="200"/>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sz w:val="32"/>
          <w:szCs w:val="32"/>
        </w:rPr>
        <w:t>图2：收入决算结构图</w:t>
      </w:r>
      <w:r>
        <w:rPr>
          <w:rFonts w:hint="default" w:ascii="Times New Roman" w:hAnsi="Times New Roman" w:eastAsia="仿宋_GB2312" w:cs="Times New Roman"/>
          <w:sz w:val="32"/>
          <w:szCs w:val="32"/>
          <w:lang w:eastAsia="zh-CN"/>
        </w:rPr>
        <w:t>（单位：万元）</w:t>
      </w:r>
    </w:p>
    <w:p>
      <w:pPr>
        <w:pStyle w:val="2"/>
        <w:jc w:val="center"/>
        <w:rPr>
          <w:rFonts w:hint="default" w:ascii="Times New Roman" w:hAnsi="Times New Roman" w:eastAsia="黑体" w:cs="Times New Roman"/>
          <w:sz w:val="32"/>
          <w:szCs w:val="32"/>
          <w:lang w:eastAsia="zh-CN"/>
        </w:rPr>
      </w:pPr>
      <w:r>
        <w:rPr>
          <w:rFonts w:hint="default" w:ascii="Times New Roman" w:hAnsi="Times New Roman" w:cs="Times New Roman"/>
        </w:rPr>
        <w:drawing>
          <wp:inline distT="0" distB="0" distL="114300" distR="114300">
            <wp:extent cx="5420995" cy="3012440"/>
            <wp:effectExtent l="4445" t="4445" r="22860" b="1206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8" w:leftChars="0" w:firstLine="640" w:firstLineChars="200"/>
        <w:textAlignment w:val="auto"/>
        <w:rPr>
          <w:rFonts w:hint="default" w:ascii="Times New Roman" w:hAnsi="Times New Roman" w:cs="Times New Roman"/>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 xml:space="preserve">支出决算情况说明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8"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2019年本年支出合计1541.98万元，其中：基本支出856.81万元，占56%；项目支出685.16万元，占44%；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8"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rPr>
        <w:t>图3：支出决算结构图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饼状图）</w:t>
      </w:r>
    </w:p>
    <w:p>
      <w:pPr>
        <w:pStyle w:val="2"/>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130165" cy="3232785"/>
            <wp:effectExtent l="4445" t="4445" r="8890" b="20320"/>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8"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财政拨款收入支出决算总体情况说明</w:t>
      </w:r>
      <w:r>
        <w:rPr>
          <w:rFonts w:hint="default" w:ascii="Times New Roman" w:hAnsi="Times New Roman" w:cs="Times New Roma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8"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2019年财政拨款收、支总计1679.</w:t>
      </w:r>
      <w:r>
        <w:rPr>
          <w:rFonts w:hint="default" w:ascii="Times New Roman" w:hAnsi="Times New Roman" w:eastAsia="仿宋_GB2312" w:cs="Times New Roman"/>
          <w:sz w:val="32"/>
          <w:szCs w:val="32"/>
          <w:lang w:val="en-US"/>
        </w:rPr>
        <w:t>5</w:t>
      </w:r>
      <w:r>
        <w:rPr>
          <w:rFonts w:hint="default" w:ascii="Times New Roman" w:hAnsi="Times New Roman" w:eastAsia="仿宋_GB2312" w:cs="Times New Roman"/>
          <w:sz w:val="32"/>
          <w:szCs w:val="32"/>
        </w:rPr>
        <w:t xml:space="preserve">7万元。与2018年相比，财政拨款收、支总计各增加56.47万元，增长3.4%。主要变动原因是人员增加等原因导致经费增加。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8"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图4：财政拨款收、支决算总计变动情况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柱状图） </w:t>
      </w:r>
    </w:p>
    <w:p>
      <w:pPr>
        <w:pStyle w:val="2"/>
        <w:rPr>
          <w:rFonts w:hint="default" w:ascii="Times New Roman" w:hAnsi="Times New Roman" w:cs="Times New Roman"/>
        </w:rPr>
      </w:pPr>
      <w:r>
        <w:rPr>
          <w:rFonts w:hint="default" w:ascii="Times New Roman" w:hAnsi="Times New Roman" w:cs="Times New Roman"/>
        </w:rPr>
        <w:drawing>
          <wp:inline distT="0" distB="0" distL="114300" distR="114300">
            <wp:extent cx="5523865" cy="3425825"/>
            <wp:effectExtent l="4445" t="4445" r="15240" b="17780"/>
            <wp:docPr id="16"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left="105" w:leftChars="0" w:firstLine="534" w:firstLineChars="167"/>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一般公共预算财政拨款支出决算情况说明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eastAsia="zh-CN"/>
        </w:rPr>
        <w:t>（一）</w:t>
      </w:r>
      <w:r>
        <w:rPr>
          <w:rFonts w:hint="default" w:ascii="Times New Roman" w:hAnsi="Times New Roman" w:eastAsia="楷体_GB2312" w:cs="Times New Roman"/>
          <w:b/>
          <w:bCs/>
          <w:sz w:val="32"/>
          <w:szCs w:val="32"/>
        </w:rPr>
        <w:t>一般公共预算财政拨款支出决算总体情况</w:t>
      </w:r>
      <w:r>
        <w:rPr>
          <w:rFonts w:hint="default" w:ascii="Times New Roman" w:hAnsi="Times New Roman" w:eastAsia="仿宋_GB2312" w:cs="Times New Roman"/>
          <w:sz w:val="32"/>
          <w:szCs w:val="32"/>
        </w:rPr>
        <w:t xml:space="preserve"> 2019年一般公共预算财政拨款支出1541.9</w:t>
      </w:r>
      <w:r>
        <w:rPr>
          <w:rFonts w:hint="default" w:ascii="Times New Roman" w:hAnsi="Times New Roman" w:eastAsia="仿宋_GB2312" w:cs="Times New Roman"/>
          <w:sz w:val="32"/>
          <w:szCs w:val="32"/>
          <w:lang w:val="en-US"/>
        </w:rPr>
        <w:t>8</w:t>
      </w:r>
      <w:r>
        <w:rPr>
          <w:rFonts w:hint="default" w:ascii="Times New Roman" w:hAnsi="Times New Roman" w:eastAsia="仿宋_GB2312" w:cs="Times New Roman"/>
          <w:sz w:val="32"/>
          <w:szCs w:val="32"/>
        </w:rPr>
        <w:t xml:space="preserve">万元，占本年支出合计的100%。与2018年相比，一般公共预算财政拨款减少27.3万元，下降2%。主要变动原因是2019年三老干部补助由各乡镇支付导致一般公共预算财政拨款支出减少。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图5：一般公共预算财政拨款支出决算变动情况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柱状图） </w:t>
      </w:r>
    </w:p>
    <w:p>
      <w:pPr>
        <w:pStyle w:val="2"/>
        <w:jc w:val="center"/>
        <w:rPr>
          <w:rFonts w:hint="default" w:ascii="Times New Roman" w:hAnsi="Times New Roman" w:cs="Times New Roman"/>
        </w:rPr>
      </w:pPr>
      <w:bookmarkStart w:id="0" w:name="_GoBack"/>
      <w:r>
        <w:rPr>
          <w:rFonts w:hint="default" w:ascii="Times New Roman" w:hAnsi="Times New Roman" w:cs="Times New Roman"/>
        </w:rPr>
        <w:drawing>
          <wp:inline distT="0" distB="0" distL="114300" distR="114300">
            <wp:extent cx="5346065" cy="2583180"/>
            <wp:effectExtent l="4445" t="4445" r="21590" b="22225"/>
            <wp:docPr id="3"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rPr>
        <w:t xml:space="preserve">一般公共预算财政拨款支出决算结构情况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2019年一般公共预算财政拨款支出1541.98万元，主要用于以下方面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一般公共服务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类）支出</w:t>
      </w:r>
      <w:r>
        <w:rPr>
          <w:rFonts w:hint="default" w:ascii="Times New Roman" w:hAnsi="Times New Roman" w:eastAsia="楷体_GB2312" w:cs="Times New Roman"/>
          <w:b w:val="0"/>
          <w:bCs w:val="0"/>
          <w:sz w:val="32"/>
          <w:szCs w:val="32"/>
        </w:rPr>
        <w:t>1197</w:t>
      </w:r>
      <w:r>
        <w:rPr>
          <w:rFonts w:hint="default" w:ascii="Times New Roman" w:hAnsi="Times New Roman" w:eastAsia="仿宋_GB2312" w:cs="Times New Roman"/>
          <w:b w:val="0"/>
          <w:bCs w:val="0"/>
          <w:sz w:val="32"/>
          <w:szCs w:val="32"/>
        </w:rPr>
        <w:t>.76</w:t>
      </w:r>
      <w:r>
        <w:rPr>
          <w:rFonts w:hint="default" w:ascii="Times New Roman" w:hAnsi="Times New Roman" w:eastAsia="仿宋_GB2312" w:cs="Times New Roman"/>
          <w:sz w:val="32"/>
          <w:szCs w:val="32"/>
        </w:rPr>
        <w:t>万元，占78%；社会保障和就业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类）支出72.16万元，占5%；卫生健康支出17.92万元，占1%；农林水支217.45万元，占14%；住房保障支出36.69万元，占2%。 </w:t>
      </w:r>
    </w:p>
    <w:p>
      <w:pPr>
        <w:keepNext w:val="0"/>
        <w:keepLines w:val="0"/>
        <w:pageBreakBefore w:val="0"/>
        <w:widowControl w:val="0"/>
        <w:numPr>
          <w:ilvl w:val="0"/>
          <w:numId w:val="0"/>
        </w:numPr>
        <w:tabs>
          <w:tab w:val="right" w:pos="8205"/>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图6：一般公共预算财政拨款支出决算结构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饼状图）</w:t>
      </w:r>
    </w:p>
    <w:p>
      <w:pPr>
        <w:pStyle w:val="2"/>
        <w:widowControl w:val="0"/>
        <w:numPr>
          <w:ilvl w:val="0"/>
          <w:numId w:val="0"/>
        </w:numPr>
        <w:spacing w:before="30" w:beforeLines="3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324475" cy="2555240"/>
            <wp:effectExtent l="4445" t="4445" r="5080" b="12065"/>
            <wp:docPr id="17"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30" w:beforeLines="30"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eastAsia="zh-CN"/>
        </w:rPr>
        <w:t>（三）</w:t>
      </w:r>
      <w:r>
        <w:rPr>
          <w:rFonts w:hint="default" w:ascii="Times New Roman" w:hAnsi="Times New Roman" w:eastAsia="楷体_GB2312" w:cs="Times New Roman"/>
          <w:b/>
          <w:bCs/>
          <w:sz w:val="32"/>
          <w:szCs w:val="32"/>
        </w:rPr>
        <w:t>一般公共预算财政拨款支出决算具体情况</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2019年一般公共预算支出决算数为1541.98，完成预算100%。其中：</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一般公共服务</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类）201</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款）23</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项）</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支出决算为1197.76万元，完成预算100%，决算数等于预算数。 一般公共服务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款）32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项）01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支出决算为734.52万元，完成预算100%，决算数等于预算数。 一般公共服务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款）32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项）99</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支出决算为463.24万元，完成预算100%。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社会保障和就业</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类）208</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款）05</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项）05</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支出决算为43.37万元，完成预算100%，决算数等于预算数。 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款）05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项）06</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支出决算为20.25万元，完成预算100%，决算数等于预算数。 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款）10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项）02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支出决算为4.47万元，完成预算100%，决算数等于预算数。 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款）99</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项）01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支出决算为4.07万元，完成预算100%，决算数等于预算数。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3.卫生健康支出（类）210（款）11（项）01：</w:t>
      </w:r>
      <w:r>
        <w:rPr>
          <w:rFonts w:hint="default" w:ascii="Times New Roman" w:hAnsi="Times New Roman" w:eastAsia="仿宋_GB2312" w:cs="Times New Roman"/>
          <w:sz w:val="32"/>
          <w:szCs w:val="32"/>
        </w:rPr>
        <w:t xml:space="preserve">支出决算为1792万元，完成预算100%，决算数等于预算数。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4.农林水支出（类）213（款）05（项）99：</w:t>
      </w:r>
      <w:r>
        <w:rPr>
          <w:rFonts w:hint="default" w:ascii="Times New Roman" w:hAnsi="Times New Roman" w:eastAsia="仿宋_GB2312" w:cs="Times New Roman"/>
          <w:sz w:val="32"/>
          <w:szCs w:val="32"/>
        </w:rPr>
        <w:t xml:space="preserve">支出决算为217.45万元，完成预算100%，决算数等于预算数。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eastAsia="仿宋_GB2312" w:cs="Times New Roman"/>
          <w:b/>
          <w:bCs/>
          <w:sz w:val="32"/>
          <w:szCs w:val="32"/>
          <w:lang w:val="en-US" w:eastAsia="zh-CN"/>
        </w:rPr>
        <w:t>5.住房保障支出（类）221（款）02（项）01：</w:t>
      </w:r>
      <w:r>
        <w:rPr>
          <w:rFonts w:hint="default" w:ascii="Times New Roman" w:hAnsi="Times New Roman" w:eastAsia="仿宋_GB2312" w:cs="Times New Roman"/>
          <w:sz w:val="32"/>
          <w:szCs w:val="32"/>
        </w:rPr>
        <w:t>支出决算为36.69万元，完成预算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sz w:val="32"/>
          <w:szCs w:val="32"/>
        </w:rPr>
        <w:t>%，决算数等于预算数。</w:t>
      </w:r>
      <w:r>
        <w:rPr>
          <w:rFonts w:hint="default" w:ascii="Times New Roman" w:hAnsi="Times New Roman" w:cs="Times New Roma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firstLine="640" w:firstLineChars="200"/>
        <w:textAlignment w:val="auto"/>
        <w:rPr>
          <w:rFonts w:hint="default" w:ascii="Times New Roman" w:hAnsi="Times New Roman" w:cs="Times New Roman"/>
        </w:rPr>
      </w:pPr>
      <w:r>
        <w:rPr>
          <w:rFonts w:hint="default" w:ascii="Times New Roman" w:hAnsi="Times New Roman" w:eastAsia="黑体" w:cs="Times New Roman"/>
          <w:sz w:val="32"/>
          <w:szCs w:val="32"/>
        </w:rPr>
        <w:t>六、一般公共预算财政拨款基本支出决算情况说明</w:t>
      </w:r>
      <w:r>
        <w:rPr>
          <w:rFonts w:hint="default" w:ascii="Times New Roman" w:hAnsi="Times New Roman" w:cs="Times New Roma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2019年一般公共预算财政拨款基本支出856.78万元，其中：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688.28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 　　</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日常公用经费168.5万元，主要包括：办公费、印刷费、咨询费、手续费、水费、电费、邮电费、取暖费、物业管理费、差旅费、因公出国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境）费用、维修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七、“三公”经费财政拨款支出决算情况说明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38" w:leftChars="304" w:firstLine="0" w:firstLineChars="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一）“三公”经费财政拨款支出决算总体情况说明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2019年“三公”经费财政拨款支出决算为39.1万元，完成预算100%，与预算数持平。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38" w:leftChars="304" w:firstLine="0" w:firstLineChars="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rPr>
        <w:t>“三公”经费财政拨款支出决算具体情况说明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2019年“三公”经费财政拨款支出决算中，因公出国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境）费支出决算0万元；公务用车购置及运行维护费支出决算38.9万元，占99%；公务接待费支出决算0.2万元，占1%。具体情况如下：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图7：“三公”经费财政拨款支出结构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饼状图）</w:t>
      </w:r>
    </w:p>
    <w:p>
      <w:pPr>
        <w:numPr>
          <w:ilvl w:val="0"/>
          <w:numId w:val="0"/>
        </w:numPr>
        <w:ind w:firstLine="420" w:firstLineChars="200"/>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5143500" cy="2655570"/>
            <wp:effectExtent l="4445" t="4445" r="14605" b="6985"/>
            <wp:docPr id="5"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因公出国</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境）经费支出0万元。</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2.公务用车购置及运行维护费支出38.9万元，</w:t>
      </w:r>
      <w:r>
        <w:rPr>
          <w:rFonts w:hint="default" w:ascii="Times New Roman" w:hAnsi="Times New Roman" w:eastAsia="仿宋_GB2312" w:cs="Times New Roman"/>
          <w:sz w:val="32"/>
          <w:szCs w:val="32"/>
        </w:rPr>
        <w:t xml:space="preserve">完成预算100%。公务用车购置及运行维护费支出决算比2018年减少33.07万元，下降46%。主要原因是2018年产生车辆购置费。 其中：公务用车购置支出0万元。全年按规定更新购置公务用车0辆，金额0元。截至2019年12月底，单位共有公务用车2辆，其中：主要领导干部用车2辆。 公务用车运行维护费支出38.9万元。主要用于职工下乡检查、指导党建工作、考察考核干部、日常工作中需出差、下乡等所需的公务用车燃料费、维修费、过路过桥费、保险费、洗车停车等支出。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3.公务接待费支出0.2万元，完成预算100%。</w:t>
      </w:r>
      <w:r>
        <w:rPr>
          <w:rFonts w:hint="default" w:ascii="Times New Roman" w:hAnsi="Times New Roman" w:eastAsia="仿宋_GB2312" w:cs="Times New Roman"/>
          <w:sz w:val="32"/>
          <w:szCs w:val="32"/>
        </w:rPr>
        <w:t>公务接待费支出决算比2018年减少0.1万元，下降33%。主要原因是接待人次减少。 国内公务接待支出0.2万元，主要用于执行公务、开展业务活动开支的交通费、住宿费、用餐费等。国内公务接待2批次，8人次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不包括陪同人员），共计支出0.2万元，具体内容包括：专项工作检查指导组。 外事接待支出0万元。 八、政府性基金预算支出决算情况说明 2019年政府性基金预算拨款支出0万元。 9、国有资本经营预算支出决算情况说明 2019年国有资本经营预算拨款支出0万元。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八、政府性基金预算支出决算情况说明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2019年我办无政府性基金预算拨款支出。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九、国有资本经营预算支出决算情况说明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2019年我办无国有资本经营预算拨款支出。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十、</w:t>
      </w:r>
      <w:r>
        <w:rPr>
          <w:rFonts w:hint="default" w:ascii="Times New Roman" w:hAnsi="Times New Roman" w:eastAsia="黑体" w:cs="Times New Roman"/>
          <w:sz w:val="32"/>
          <w:szCs w:val="32"/>
        </w:rPr>
        <w:t xml:space="preserve">其他重要事项的情况说明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eastAsia="zh-CN"/>
        </w:rPr>
        <w:t>（一）</w:t>
      </w:r>
      <w:r>
        <w:rPr>
          <w:rFonts w:hint="default" w:ascii="Times New Roman" w:hAnsi="Times New Roman" w:eastAsia="楷体_GB2312" w:cs="Times New Roman"/>
          <w:b/>
          <w:bCs/>
          <w:sz w:val="32"/>
          <w:szCs w:val="32"/>
        </w:rPr>
        <w:t>机关运行经费支出情况</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2019年，中共壤塘县委组织部机关运行经费支出168.5万元，比2018年减少81.34万元，下降32%主要原因是2019年三老干部补助未在我单位发放。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 xml:space="preserve">（二）政府采购支出情况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中共壤塘县委组织部政府采购支出总额167.39万元，其中：政府采购货物支出148.17万元、政府采购工程支出0万元、政府采购服务支出19.21万元。主要用于全县浙江援建远程教育设施设备采购。授予中小企业合同金额167.39万元，占政府采购支出总额的100%，其中：授予小微企业合同金额167.39万元，占政府采购支出总额的100%。</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 xml:space="preserve">（三）国有资产占有使用情况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截至2019年12月31日，我部共有车辆2辆，其中：主要领导干部用车2辆主要是用于职工下乡检查、指导党建工作、考察考核干部、日常工作中需出差、下乡等所需的公务用车燃料费、维修费、过路过桥费、保险费、洗车停车等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eastAsia="zh-CN"/>
        </w:rPr>
        <w:t>（四）预算绩效管理情况。</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单位在年初预算编制阶段，组织对“2019年壤塘县大学生创业项目”“2019年壤塘县干部教育培训项目”开展了预算事前绩效评估，对2个项目编制了绩效目标，预算执行过程中，选取2个项目开展绩效监控，年终执行完毕后，对2个项目开展了绩效目标完成情况自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本部门按要求对2019年部门整体支出开展绩效自评，从评价情况来看本年预算配置控制较好，财政供养人员控制在预算编制以内，“三公”经费支出总额在预算范围内。本部门还自行组织了2个项目绩效评价，从评价情况来看项目各项指标完成情况较好。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项目绩效目标完成情况。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本部门在2019年度部门决算中反映“2019年壤塘县远程教育设备采购项目”“2019年壤塘县大学生创业项目”“2019年壤塘县干部教育培训”等3个项目绩效目标实际完成情况。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1）2019年壤塘县大学生创业项目绩效目标完成情况综述。项目全年预算数20万元，执行数为20万元，完成预算的100%。通过项目实施，保障已完成对18名大学生创业人员资助。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2）2019年壤塘县干部教育培训项目绩效目标完成情况综述。项目全年预算数220万元，执行数为215.58万元，完成预算的97%。通过项目实施，已完成45期培训，共培训3000余人次。 </w:t>
      </w:r>
    </w:p>
    <w:p>
      <w:pPr>
        <w:pStyle w:val="3"/>
        <w:rPr>
          <w:rFonts w:hint="default" w:ascii="Times New Roman" w:hAnsi="Times New Roman" w:cs="Times New Roman"/>
        </w:rPr>
      </w:pPr>
    </w:p>
    <w:tbl>
      <w:tblPr>
        <w:tblStyle w:val="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36"/>
                <w:szCs w:val="36"/>
                <w:lang w:eastAsia="zh-CN"/>
              </w:rPr>
            </w:pPr>
            <w:r>
              <w:rPr>
                <w:rFonts w:hint="default" w:ascii="Times New Roman" w:hAnsi="Times New Roman" w:cs="Times New Roman"/>
                <w:b/>
                <w:bCs/>
                <w:color w:val="000000"/>
                <w:kern w:val="0"/>
                <w:sz w:val="36"/>
                <w:szCs w:val="36"/>
              </w:rPr>
              <w:t>项目绩效目标完成情况表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lang w:eastAsia="zh-CN"/>
              </w:rPr>
              <w:t>（</w:t>
            </w:r>
            <w:r>
              <w:rPr>
                <w:rFonts w:hint="default" w:ascii="Times New Roman" w:hAnsi="Times New Roman" w:cs="Times New Roman"/>
                <w:color w:val="000000"/>
                <w:kern w:val="0"/>
                <w:sz w:val="36"/>
                <w:szCs w:val="36"/>
              </w:rPr>
              <w:t>2019 年度</w:t>
            </w:r>
            <w:r>
              <w:rPr>
                <w:rFonts w:hint="default" w:ascii="Times New Roman" w:hAnsi="Times New Roman" w:cs="Times New Roman"/>
                <w:color w:val="000000"/>
                <w:kern w:val="0"/>
                <w:sz w:val="36"/>
                <w:szCs w:val="36"/>
                <w:lang w:eastAsia="zh-CN"/>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eastAsia="仿宋_GB2312" w:cs="Times New Roman"/>
                <w:sz w:val="32"/>
                <w:szCs w:val="32"/>
              </w:rPr>
              <w:t>2019年壤塘县大学生创业项目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color w:val="000000"/>
                <w:sz w:val="18"/>
                <w:szCs w:val="18"/>
                <w:lang w:eastAsia="zh-CN"/>
              </w:rPr>
              <w:t>中共壤塘县委组织部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eastAsiaTheme="minorEastAsia"/>
                <w:color w:val="000000"/>
                <w:kern w:val="0"/>
                <w:sz w:val="18"/>
                <w:szCs w:val="18"/>
              </w:rPr>
              <w:t>预算执行情况</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万元</w:t>
            </w:r>
            <w:r>
              <w:rPr>
                <w:rFonts w:hint="default" w:ascii="Times New Roman" w:hAnsi="Times New Roman" w:cs="Times New Roman"/>
                <w:color w:val="000000"/>
                <w:kern w:val="0"/>
                <w:sz w:val="18"/>
                <w:szCs w:val="18"/>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预算数</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val="en-US" w:eastAsia="zh-CN"/>
              </w:rPr>
              <w:t>20</w:t>
            </w:r>
            <w:r>
              <w:rPr>
                <w:rFonts w:hint="default" w:ascii="Times New Roman" w:hAnsi="Times New Roman" w:cs="Times New Roman" w:eastAsiaTheme="minorEastAsia"/>
                <w:color w:val="000000"/>
                <w:sz w:val="18"/>
                <w:szCs w:val="18"/>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执行数</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val="en-US" w:eastAsia="zh-CN"/>
              </w:rPr>
              <w:t>20</w:t>
            </w:r>
            <w:r>
              <w:rPr>
                <w:rFonts w:hint="default" w:ascii="Times New Roman" w:hAnsi="Times New Roman" w:cs="Times New Roman" w:eastAsiaTheme="minorEastAsia"/>
                <w:color w:val="000000"/>
                <w:sz w:val="18"/>
                <w:szCs w:val="18"/>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hint="default" w:ascii="Times New Roman" w:hAnsi="Times New Roman" w:cs="Times New Roman" w:eastAsiaTheme="minorEastAsia"/>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其中</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财政拨款</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val="en-US" w:eastAsia="zh-CN"/>
              </w:rPr>
              <w:t>20</w:t>
            </w:r>
            <w:r>
              <w:rPr>
                <w:rFonts w:hint="default" w:ascii="Times New Roman" w:hAnsi="Times New Roman" w:cs="Times New Roman" w:eastAsiaTheme="minorEastAsia"/>
                <w:color w:val="000000"/>
                <w:sz w:val="18"/>
                <w:szCs w:val="18"/>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其中</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财政拨款</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val="en-US" w:eastAsia="zh-CN"/>
              </w:rPr>
              <w:t>20</w:t>
            </w:r>
            <w:r>
              <w:rPr>
                <w:rFonts w:hint="default" w:ascii="Times New Roman" w:hAnsi="Times New Roman" w:cs="Times New Roman" w:eastAsiaTheme="minorEastAsia"/>
                <w:color w:val="000000"/>
                <w:sz w:val="18"/>
                <w:szCs w:val="18"/>
              </w:rPr>
              <w:t>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hint="default" w:ascii="Times New Roman" w:hAnsi="Times New Roman" w:cs="Times New Roman" w:eastAsiaTheme="minorEastAsia"/>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kern w:val="0"/>
                <w:sz w:val="18"/>
                <w:szCs w:val="18"/>
                <w:lang w:eastAsia="zh-CN"/>
              </w:rPr>
              <w:t>其他</w:t>
            </w:r>
            <w:r>
              <w:rPr>
                <w:rFonts w:hint="default" w:ascii="Times New Roman" w:hAnsi="Times New Roman" w:cs="Times New Roman" w:eastAsiaTheme="minorEastAsia"/>
                <w:color w:val="000000"/>
                <w:kern w:val="0"/>
                <w:sz w:val="18"/>
                <w:szCs w:val="18"/>
              </w:rPr>
              <w:t>资金</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kern w:val="0"/>
                <w:sz w:val="18"/>
                <w:szCs w:val="18"/>
                <w:lang w:eastAsia="zh-CN"/>
              </w:rPr>
              <w:t>其他</w:t>
            </w:r>
            <w:r>
              <w:rPr>
                <w:rFonts w:hint="default" w:ascii="Times New Roman" w:hAnsi="Times New Roman" w:cs="Times New Roman" w:eastAsiaTheme="minorEastAsia"/>
                <w:color w:val="000000"/>
                <w:kern w:val="0"/>
                <w:sz w:val="18"/>
                <w:szCs w:val="18"/>
              </w:rPr>
              <w:t>资金</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hint="default" w:ascii="Times New Roman" w:hAnsi="Times New Roman" w:cs="Times New Roman" w:eastAsiaTheme="minorEastAsia"/>
                <w:color w:val="000000"/>
                <w:sz w:val="18"/>
                <w:szCs w:val="18"/>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2019年预计帮扶18名有意愿创业的大学生</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总预算为</w:t>
            </w:r>
            <w:r>
              <w:rPr>
                <w:rFonts w:hint="default" w:ascii="Times New Roman" w:hAnsi="Times New Roman" w:cs="Times New Roman"/>
                <w:color w:val="000000"/>
                <w:sz w:val="18"/>
                <w:szCs w:val="18"/>
                <w:lang w:val="en-US" w:eastAsia="zh-CN"/>
              </w:rPr>
              <w:t>20</w:t>
            </w:r>
            <w:r>
              <w:rPr>
                <w:rFonts w:hint="default" w:ascii="Times New Roman" w:hAnsi="Times New Roman" w:cs="Times New Roman" w:eastAsiaTheme="minorEastAsia"/>
                <w:color w:val="000000"/>
                <w:sz w:val="18"/>
                <w:szCs w:val="18"/>
              </w:rPr>
              <w:t>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已完成对18名大学生创业资助</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实际支出</w:t>
            </w:r>
            <w:r>
              <w:rPr>
                <w:rFonts w:hint="default" w:ascii="Times New Roman" w:hAnsi="Times New Roman" w:cs="Times New Roman"/>
                <w:color w:val="000000"/>
                <w:sz w:val="18"/>
                <w:szCs w:val="18"/>
                <w:lang w:val="en-US" w:eastAsia="zh-CN"/>
              </w:rPr>
              <w:t>20</w:t>
            </w:r>
            <w:r>
              <w:rPr>
                <w:rFonts w:hint="default" w:ascii="Times New Roman" w:hAnsi="Times New Roman" w:cs="Times New Roman" w:eastAsiaTheme="minorEastAsia"/>
                <w:color w:val="000000"/>
                <w:sz w:val="18"/>
                <w:szCs w:val="18"/>
              </w:rPr>
              <w:t>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eastAsiaTheme="minorEastAsia"/>
                <w:color w:val="000000"/>
                <w:kern w:val="0"/>
                <w:sz w:val="18"/>
                <w:szCs w:val="18"/>
              </w:rPr>
              <w:t>预期指标值</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包含数字及文字描述</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eastAsiaTheme="minorEastAsia"/>
                <w:color w:val="000000"/>
                <w:kern w:val="0"/>
                <w:sz w:val="18"/>
                <w:szCs w:val="18"/>
              </w:rPr>
              <w:t>实际完成指标值</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包含数字及文字描述</w:t>
            </w:r>
            <w:r>
              <w:rPr>
                <w:rFonts w:hint="default" w:ascii="Times New Roman" w:hAnsi="Times New Roman" w:cs="Times New Roman"/>
                <w:color w:val="000000"/>
                <w:kern w:val="0"/>
                <w:sz w:val="18"/>
                <w:szCs w:val="18"/>
                <w:lang w:eastAsia="zh-CN"/>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color w:val="000000"/>
                <w:sz w:val="18"/>
                <w:szCs w:val="18"/>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帮扶</w:t>
            </w:r>
            <w:r>
              <w:rPr>
                <w:rFonts w:hint="default" w:ascii="Times New Roman" w:hAnsi="Times New Roman" w:cs="Times New Roman"/>
                <w:color w:val="000000"/>
                <w:sz w:val="18"/>
                <w:szCs w:val="18"/>
                <w:lang w:val="en-US" w:eastAsia="zh-CN"/>
              </w:rPr>
              <w:t>18</w:t>
            </w:r>
            <w:r>
              <w:rPr>
                <w:rFonts w:hint="default" w:ascii="Times New Roman" w:hAnsi="Times New Roman" w:cs="Times New Roman" w:eastAsiaTheme="minorEastAsia"/>
                <w:color w:val="000000"/>
                <w:sz w:val="18"/>
                <w:szCs w:val="18"/>
              </w:rPr>
              <w:t>名有意愿创业的大学生 18</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eastAsia="zh-CN"/>
              </w:rPr>
              <w:t>完成</w:t>
            </w:r>
            <w:r>
              <w:rPr>
                <w:rFonts w:hint="default" w:ascii="Times New Roman" w:hAnsi="Times New Roman" w:cs="Times New Roman" w:eastAsiaTheme="minorEastAsia"/>
                <w:color w:val="000000"/>
                <w:sz w:val="18"/>
                <w:szCs w:val="18"/>
              </w:rPr>
              <w:t>帮扶</w:t>
            </w:r>
            <w:r>
              <w:rPr>
                <w:rFonts w:hint="default" w:ascii="Times New Roman" w:hAnsi="Times New Roman" w:cs="Times New Roman"/>
                <w:color w:val="000000"/>
                <w:sz w:val="18"/>
                <w:szCs w:val="18"/>
                <w:lang w:val="en-US" w:eastAsia="zh-CN"/>
              </w:rPr>
              <w:t>18</w:t>
            </w:r>
            <w:r>
              <w:rPr>
                <w:rFonts w:hint="default" w:ascii="Times New Roman" w:hAnsi="Times New Roman" w:cs="Times New Roman" w:eastAsiaTheme="minorEastAsia"/>
                <w:color w:val="000000"/>
                <w:sz w:val="18"/>
                <w:szCs w:val="18"/>
              </w:rPr>
              <w:t>名有意愿创业的大学生 18</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创业资金拨付 20</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sz w:val="18"/>
                <w:szCs w:val="18"/>
                <w:lang w:eastAsia="zh-CN"/>
              </w:rPr>
              <w:t>完成</w:t>
            </w:r>
            <w:r>
              <w:rPr>
                <w:rFonts w:hint="default" w:ascii="Times New Roman" w:hAnsi="Times New Roman" w:cs="Times New Roman" w:eastAsiaTheme="minorEastAsia"/>
                <w:sz w:val="18"/>
                <w:szCs w:val="18"/>
              </w:rPr>
              <w:t>创业资金拨付 20</w:t>
            </w:r>
            <w:r>
              <w:rPr>
                <w:rFonts w:hint="default" w:ascii="Times New Roman" w:hAnsi="Times New Roman" w:cs="Times New Roman"/>
                <w:sz w:val="18"/>
                <w:szCs w:val="18"/>
                <w:lang w:eastAsia="zh-CN"/>
              </w:rPr>
              <w:t>（</w:t>
            </w:r>
            <w:r>
              <w:rPr>
                <w:rFonts w:hint="default" w:ascii="Times New Roman" w:hAnsi="Times New Roman" w:cs="Times New Roman" w:eastAsiaTheme="minorEastAsia"/>
                <w:sz w:val="18"/>
                <w:szCs w:val="18"/>
              </w:rPr>
              <w:t>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足额拨付大学生创业资金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rPr>
              <w:t>足额拨付大学生创业资金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sz w:val="18"/>
                <w:szCs w:val="18"/>
                <w:lang w:eastAsia="zh-CN"/>
              </w:rPr>
              <w:t>于</w:t>
            </w:r>
            <w:r>
              <w:rPr>
                <w:rFonts w:hint="default" w:ascii="Times New Roman" w:hAnsi="Times New Roman" w:cs="Times New Roman"/>
                <w:sz w:val="18"/>
                <w:szCs w:val="18"/>
                <w:lang w:val="en-US" w:eastAsia="zh-CN"/>
              </w:rPr>
              <w:t>2019年12月31日完成支付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color w:val="000000"/>
                <w:sz w:val="18"/>
                <w:szCs w:val="18"/>
                <w:lang w:eastAsia="zh-CN"/>
              </w:rPr>
              <w:t>按时完成资金支付</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创业资金拨付 20</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eastAsia="zh-CN"/>
              </w:rPr>
              <w:t>完成</w:t>
            </w:r>
            <w:r>
              <w:rPr>
                <w:rFonts w:hint="default" w:ascii="Times New Roman" w:hAnsi="Times New Roman" w:cs="Times New Roman" w:eastAsiaTheme="minorEastAsia"/>
                <w:color w:val="000000"/>
                <w:sz w:val="18"/>
                <w:szCs w:val="18"/>
              </w:rPr>
              <w:t>创业资金拨付 20</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万元）</w:t>
            </w:r>
          </w:p>
        </w:tc>
      </w:tr>
      <w:tr>
        <w:tblPrEx>
          <w:tblCellMar>
            <w:top w:w="0" w:type="dxa"/>
            <w:left w:w="0" w:type="dxa"/>
            <w:bottom w:w="0" w:type="dxa"/>
            <w:right w:w="0" w:type="dxa"/>
          </w:tblCellMar>
        </w:tblPrEx>
        <w:trPr>
          <w:trHeight w:val="100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color w:val="000000"/>
                <w:sz w:val="18"/>
                <w:szCs w:val="18"/>
                <w:lang w:eastAsia="zh-CN"/>
              </w:rPr>
              <w:t>扶持当地大学生，提高当地经济收入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eastAsia="zh-CN"/>
              </w:rPr>
              <w:t>扶持当地大学生，提高当地经济收入</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eastAsia="zh-CN"/>
              </w:rPr>
              <w:t>提高当地人民满意度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eastAsia="zh-CN"/>
              </w:rPr>
              <w:t>提高当地人民满意度</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b/>
                <w:bCs/>
                <w:color w:val="000000"/>
                <w:kern w:val="0"/>
                <w:sz w:val="36"/>
                <w:szCs w:val="36"/>
              </w:rPr>
            </w:pPr>
          </w:p>
          <w:p>
            <w:pPr>
              <w:widowControl/>
              <w:spacing w:line="576" w:lineRule="exact"/>
              <w:jc w:val="center"/>
              <w:textAlignment w:val="center"/>
              <w:rPr>
                <w:rFonts w:hint="default" w:ascii="Times New Roman" w:hAnsi="Times New Roman" w:cs="Times New Roman"/>
                <w:b/>
                <w:bCs/>
                <w:color w:val="000000"/>
                <w:kern w:val="0"/>
                <w:sz w:val="36"/>
                <w:szCs w:val="36"/>
              </w:rPr>
            </w:pPr>
          </w:p>
          <w:p>
            <w:pPr>
              <w:widowControl/>
              <w:spacing w:line="576" w:lineRule="exact"/>
              <w:jc w:val="center"/>
              <w:textAlignment w:val="center"/>
              <w:rPr>
                <w:rFonts w:hint="default" w:ascii="Times New Roman" w:hAnsi="Times New Roman" w:cs="Times New Roman"/>
                <w:b/>
                <w:bCs/>
                <w:color w:val="000000"/>
                <w:kern w:val="0"/>
                <w:sz w:val="36"/>
                <w:szCs w:val="36"/>
              </w:rPr>
            </w:pPr>
          </w:p>
          <w:p>
            <w:pPr>
              <w:widowControl/>
              <w:spacing w:line="576" w:lineRule="exact"/>
              <w:jc w:val="center"/>
              <w:textAlignment w:val="center"/>
              <w:rPr>
                <w:rFonts w:hint="default" w:ascii="Times New Roman" w:hAnsi="Times New Roman" w:cs="Times New Roman"/>
                <w:b/>
                <w:bCs/>
                <w:color w:val="000000"/>
                <w:kern w:val="0"/>
                <w:sz w:val="36"/>
                <w:szCs w:val="36"/>
              </w:rPr>
            </w:pPr>
          </w:p>
          <w:p>
            <w:pPr>
              <w:widowControl/>
              <w:spacing w:line="576" w:lineRule="exact"/>
              <w:jc w:val="center"/>
              <w:textAlignment w:val="center"/>
              <w:rPr>
                <w:rFonts w:hint="default" w:ascii="Times New Roman" w:hAnsi="Times New Roman" w:cs="Times New Roman"/>
                <w:b/>
                <w:bCs/>
                <w:color w:val="000000"/>
                <w:kern w:val="0"/>
                <w:sz w:val="36"/>
                <w:szCs w:val="36"/>
              </w:rPr>
            </w:pPr>
          </w:p>
          <w:p>
            <w:pPr>
              <w:widowControl/>
              <w:spacing w:line="576" w:lineRule="exact"/>
              <w:jc w:val="center"/>
              <w:textAlignment w:val="center"/>
              <w:rPr>
                <w:rFonts w:hint="default" w:ascii="Times New Roman" w:hAnsi="Times New Roman" w:cs="Times New Roman"/>
                <w:b/>
                <w:bCs/>
                <w:color w:val="000000"/>
                <w:kern w:val="0"/>
                <w:sz w:val="36"/>
                <w:szCs w:val="36"/>
              </w:rPr>
            </w:pPr>
          </w:p>
          <w:p>
            <w:pPr>
              <w:widowControl/>
              <w:spacing w:line="576" w:lineRule="exact"/>
              <w:jc w:val="center"/>
              <w:textAlignment w:val="center"/>
              <w:rPr>
                <w:rFonts w:hint="default" w:ascii="Times New Roman" w:hAnsi="Times New Roman" w:cs="Times New Roman"/>
                <w:b/>
                <w:bCs/>
                <w:color w:val="000000"/>
                <w:kern w:val="0"/>
                <w:sz w:val="36"/>
                <w:szCs w:val="36"/>
              </w:rPr>
            </w:pPr>
          </w:p>
          <w:p>
            <w:pPr>
              <w:widowControl/>
              <w:spacing w:line="576" w:lineRule="exact"/>
              <w:jc w:val="both"/>
              <w:textAlignment w:val="center"/>
              <w:rPr>
                <w:rFonts w:hint="default" w:ascii="Times New Roman" w:hAnsi="Times New Roman" w:cs="Times New Roman"/>
                <w:b/>
                <w:bCs/>
                <w:color w:val="000000"/>
                <w:kern w:val="0"/>
                <w:sz w:val="36"/>
                <w:szCs w:val="36"/>
              </w:rPr>
            </w:pPr>
          </w:p>
          <w:p>
            <w:pPr>
              <w:widowControl/>
              <w:spacing w:line="576" w:lineRule="exact"/>
              <w:jc w:val="center"/>
              <w:textAlignment w:val="center"/>
              <w:rPr>
                <w:rFonts w:hint="default" w:ascii="Times New Roman" w:hAnsi="Times New Roman" w:cs="Times New Roman" w:eastAsiaTheme="minorEastAsia"/>
                <w:color w:val="000000"/>
                <w:sz w:val="36"/>
                <w:szCs w:val="36"/>
                <w:lang w:eastAsia="zh-CN"/>
              </w:rPr>
            </w:pPr>
            <w:r>
              <w:rPr>
                <w:rFonts w:hint="default" w:ascii="Times New Roman" w:hAnsi="Times New Roman" w:cs="Times New Roman"/>
                <w:b/>
                <w:bCs/>
                <w:color w:val="000000"/>
                <w:kern w:val="0"/>
                <w:sz w:val="36"/>
                <w:szCs w:val="36"/>
              </w:rPr>
              <w:t>项目绩效目标完成情况表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lang w:eastAsia="zh-CN"/>
              </w:rPr>
              <w:t>（</w:t>
            </w:r>
            <w:r>
              <w:rPr>
                <w:rFonts w:hint="default" w:ascii="Times New Roman" w:hAnsi="Times New Roman" w:cs="Times New Roman"/>
                <w:color w:val="000000"/>
                <w:kern w:val="0"/>
                <w:sz w:val="36"/>
                <w:szCs w:val="36"/>
              </w:rPr>
              <w:t>2019 年度</w:t>
            </w:r>
            <w:r>
              <w:rPr>
                <w:rFonts w:hint="default" w:ascii="Times New Roman" w:hAnsi="Times New Roman" w:cs="Times New Roman"/>
                <w:color w:val="000000"/>
                <w:kern w:val="0"/>
                <w:sz w:val="36"/>
                <w:szCs w:val="36"/>
                <w:lang w:eastAsia="zh-CN"/>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eastAsia="仿宋_GB2312" w:cs="Times New Roman"/>
                <w:sz w:val="32"/>
                <w:szCs w:val="32"/>
              </w:rPr>
              <w:t>2019年壤塘县大学生创业项目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color w:val="000000"/>
                <w:sz w:val="18"/>
                <w:szCs w:val="18"/>
                <w:lang w:eastAsia="zh-CN"/>
              </w:rPr>
              <w:t>中共壤塘县委组织部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eastAsiaTheme="minorEastAsia"/>
                <w:color w:val="000000"/>
                <w:kern w:val="0"/>
                <w:sz w:val="18"/>
                <w:szCs w:val="18"/>
              </w:rPr>
              <w:t>预算执行情况</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万元</w:t>
            </w:r>
            <w:r>
              <w:rPr>
                <w:rFonts w:hint="default" w:ascii="Times New Roman" w:hAnsi="Times New Roman" w:cs="Times New Roman"/>
                <w:color w:val="000000"/>
                <w:kern w:val="0"/>
                <w:sz w:val="18"/>
                <w:szCs w:val="18"/>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预算数</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val="en-US" w:eastAsia="zh-CN"/>
              </w:rPr>
              <w:t>220</w:t>
            </w:r>
            <w:r>
              <w:rPr>
                <w:rFonts w:hint="default" w:ascii="Times New Roman" w:hAnsi="Times New Roman" w:cs="Times New Roman" w:eastAsiaTheme="minorEastAsia"/>
                <w:color w:val="000000"/>
                <w:sz w:val="18"/>
                <w:szCs w:val="18"/>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执行数</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val="en-US" w:eastAsia="zh-CN"/>
              </w:rPr>
              <w:t>215.58</w:t>
            </w:r>
            <w:r>
              <w:rPr>
                <w:rFonts w:hint="default" w:ascii="Times New Roman" w:hAnsi="Times New Roman" w:cs="Times New Roman" w:eastAsiaTheme="minorEastAsia"/>
                <w:color w:val="000000"/>
                <w:sz w:val="18"/>
                <w:szCs w:val="18"/>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hint="default" w:ascii="Times New Roman" w:hAnsi="Times New Roman" w:cs="Times New Roman" w:eastAsiaTheme="minorEastAsia"/>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其中</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财政拨款</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val="en-US" w:eastAsia="zh-CN"/>
              </w:rPr>
              <w:t>220</w:t>
            </w:r>
            <w:r>
              <w:rPr>
                <w:rFonts w:hint="default" w:ascii="Times New Roman" w:hAnsi="Times New Roman" w:cs="Times New Roman" w:eastAsiaTheme="minorEastAsia"/>
                <w:color w:val="000000"/>
                <w:sz w:val="18"/>
                <w:szCs w:val="18"/>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其中</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财政拨款</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val="en-US" w:eastAsia="zh-CN"/>
              </w:rPr>
              <w:t>215.58</w:t>
            </w:r>
            <w:r>
              <w:rPr>
                <w:rFonts w:hint="default" w:ascii="Times New Roman" w:hAnsi="Times New Roman" w:cs="Times New Roman" w:eastAsiaTheme="minorEastAsia"/>
                <w:color w:val="000000"/>
                <w:sz w:val="18"/>
                <w:szCs w:val="18"/>
              </w:rPr>
              <w:t>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hint="default" w:ascii="Times New Roman" w:hAnsi="Times New Roman" w:cs="Times New Roman" w:eastAsiaTheme="minorEastAsia"/>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kern w:val="0"/>
                <w:sz w:val="18"/>
                <w:szCs w:val="18"/>
                <w:lang w:eastAsia="zh-CN"/>
              </w:rPr>
              <w:t>其他</w:t>
            </w:r>
            <w:r>
              <w:rPr>
                <w:rFonts w:hint="default" w:ascii="Times New Roman" w:hAnsi="Times New Roman" w:cs="Times New Roman" w:eastAsiaTheme="minorEastAsia"/>
                <w:color w:val="000000"/>
                <w:kern w:val="0"/>
                <w:sz w:val="18"/>
                <w:szCs w:val="18"/>
              </w:rPr>
              <w:t>资金</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kern w:val="0"/>
                <w:sz w:val="18"/>
                <w:szCs w:val="18"/>
                <w:lang w:eastAsia="zh-CN"/>
              </w:rPr>
              <w:t>其他</w:t>
            </w:r>
            <w:r>
              <w:rPr>
                <w:rFonts w:hint="default" w:ascii="Times New Roman" w:hAnsi="Times New Roman" w:cs="Times New Roman" w:eastAsiaTheme="minorEastAsia"/>
                <w:color w:val="000000"/>
                <w:kern w:val="0"/>
                <w:sz w:val="18"/>
                <w:szCs w:val="18"/>
              </w:rPr>
              <w:t>资金</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hint="default" w:ascii="Times New Roman" w:hAnsi="Times New Roman" w:cs="Times New Roman" w:eastAsiaTheme="minorEastAsia"/>
                <w:color w:val="000000"/>
                <w:sz w:val="18"/>
                <w:szCs w:val="18"/>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 xml:space="preserve"> 2019年预计主办39类87期干部人才培训班，培训4500余人次</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已完成45期培训，共培训3000余人次</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eastAsiaTheme="minorEastAsia"/>
                <w:color w:val="000000"/>
                <w:kern w:val="0"/>
                <w:sz w:val="18"/>
                <w:szCs w:val="18"/>
              </w:rPr>
              <w:t>预期指标值</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包含数字及文字描述</w:t>
            </w:r>
            <w:r>
              <w:rPr>
                <w:rFonts w:hint="default" w:ascii="Times New Roman" w:hAnsi="Times New Roman" w:cs="Times New Roman"/>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eastAsiaTheme="minorEastAsia"/>
                <w:color w:val="000000"/>
                <w:kern w:val="0"/>
                <w:sz w:val="18"/>
                <w:szCs w:val="18"/>
              </w:rPr>
              <w:t>实际完成指标值</w:t>
            </w:r>
            <w:r>
              <w:rPr>
                <w:rFonts w:hint="default" w:ascii="Times New Roman" w:hAnsi="Times New Roman" w:cs="Times New Roman"/>
                <w:color w:val="000000"/>
                <w:kern w:val="0"/>
                <w:sz w:val="18"/>
                <w:szCs w:val="18"/>
                <w:lang w:eastAsia="zh-CN"/>
              </w:rPr>
              <w:t>（</w:t>
            </w:r>
            <w:r>
              <w:rPr>
                <w:rFonts w:hint="default" w:ascii="Times New Roman" w:hAnsi="Times New Roman" w:cs="Times New Roman" w:eastAsiaTheme="minorEastAsia"/>
                <w:color w:val="000000"/>
                <w:kern w:val="0"/>
                <w:sz w:val="18"/>
                <w:szCs w:val="18"/>
              </w:rPr>
              <w:t>包含数字及文字描述</w:t>
            </w:r>
            <w:r>
              <w:rPr>
                <w:rFonts w:hint="default" w:ascii="Times New Roman" w:hAnsi="Times New Roman" w:cs="Times New Roman"/>
                <w:color w:val="000000"/>
                <w:kern w:val="0"/>
                <w:sz w:val="18"/>
                <w:szCs w:val="18"/>
                <w:lang w:eastAsia="zh-CN"/>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color w:val="000000"/>
                <w:sz w:val="18"/>
                <w:szCs w:val="18"/>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培训人数达到 4500</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 xml:space="preserve">培训人数达到 </w:t>
            </w:r>
            <w:r>
              <w:rPr>
                <w:rFonts w:hint="default" w:ascii="Times New Roman" w:hAnsi="Times New Roman" w:cs="Times New Roman"/>
                <w:color w:val="000000"/>
                <w:sz w:val="18"/>
                <w:szCs w:val="18"/>
                <w:lang w:val="en-US" w:eastAsia="zh-CN"/>
              </w:rPr>
              <w:t>3000</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培训资金拨付 220</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sz w:val="18"/>
                <w:szCs w:val="18"/>
                <w:lang w:eastAsia="zh-CN"/>
              </w:rPr>
              <w:t>完成</w:t>
            </w:r>
            <w:r>
              <w:rPr>
                <w:rFonts w:hint="default" w:ascii="Times New Roman" w:hAnsi="Times New Roman" w:cs="Times New Roman" w:eastAsiaTheme="minorEastAsia"/>
                <w:sz w:val="18"/>
                <w:szCs w:val="18"/>
              </w:rPr>
              <w:t>资金拨付215.58</w:t>
            </w:r>
            <w:r>
              <w:rPr>
                <w:rFonts w:hint="default" w:ascii="Times New Roman" w:hAnsi="Times New Roman" w:cs="Times New Roman"/>
                <w:sz w:val="18"/>
                <w:szCs w:val="18"/>
                <w:lang w:eastAsia="zh-CN"/>
              </w:rPr>
              <w:t>（</w:t>
            </w:r>
            <w:r>
              <w:rPr>
                <w:rFonts w:hint="default" w:ascii="Times New Roman" w:hAnsi="Times New Roman" w:cs="Times New Roman" w:eastAsiaTheme="minorEastAsia"/>
                <w:sz w:val="18"/>
                <w:szCs w:val="18"/>
              </w:rPr>
              <w:t>万元）</w:t>
            </w:r>
          </w:p>
        </w:tc>
      </w:tr>
      <w:tr>
        <w:tblPrEx>
          <w:tblCellMar>
            <w:top w:w="0" w:type="dxa"/>
            <w:left w:w="0" w:type="dxa"/>
            <w:bottom w:w="0" w:type="dxa"/>
            <w:right w:w="0" w:type="dxa"/>
          </w:tblCellMar>
        </w:tblPrEx>
        <w:trPr>
          <w:trHeight w:val="91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在培训结束后15个工作日足额拨付培训资金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both"/>
              <w:textAlignment w:val="center"/>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color w:val="000000"/>
                <w:sz w:val="18"/>
                <w:szCs w:val="18"/>
                <w:lang w:eastAsia="zh-CN"/>
              </w:rPr>
              <w:t>完成</w:t>
            </w:r>
            <w:r>
              <w:rPr>
                <w:rFonts w:hint="default" w:ascii="Times New Roman" w:hAnsi="Times New Roman" w:cs="Times New Roman" w:eastAsiaTheme="minorEastAsia"/>
                <w:color w:val="000000"/>
                <w:sz w:val="18"/>
                <w:szCs w:val="18"/>
              </w:rPr>
              <w:t>足额拨付资金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sz w:val="18"/>
                <w:szCs w:val="18"/>
                <w:lang w:eastAsia="zh-CN"/>
              </w:rPr>
              <w:t>于</w:t>
            </w:r>
            <w:r>
              <w:rPr>
                <w:rFonts w:hint="default" w:ascii="Times New Roman" w:hAnsi="Times New Roman" w:cs="Times New Roman"/>
                <w:sz w:val="18"/>
                <w:szCs w:val="18"/>
                <w:lang w:val="en-US" w:eastAsia="zh-CN"/>
              </w:rPr>
              <w:t>2019年12月31日完成支付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color w:val="000000"/>
                <w:sz w:val="18"/>
                <w:szCs w:val="18"/>
                <w:lang w:eastAsia="zh-CN"/>
              </w:rPr>
              <w:t>按时完成资金支付</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 xml:space="preserve">创业资金拨付 </w:t>
            </w:r>
            <w:r>
              <w:rPr>
                <w:rFonts w:hint="eastAsia" w:ascii="Times New Roman" w:hAnsi="Times New Roman" w:cs="Times New Roman"/>
                <w:color w:val="000000"/>
                <w:sz w:val="18"/>
                <w:szCs w:val="18"/>
                <w:lang w:val="en-US" w:eastAsia="zh-CN"/>
              </w:rPr>
              <w:t>220</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eastAsia="zh-CN"/>
              </w:rPr>
              <w:t>完成</w:t>
            </w:r>
            <w:r>
              <w:rPr>
                <w:rFonts w:hint="default" w:ascii="Times New Roman" w:hAnsi="Times New Roman" w:cs="Times New Roman" w:eastAsiaTheme="minorEastAsia"/>
                <w:color w:val="000000"/>
                <w:sz w:val="18"/>
                <w:szCs w:val="18"/>
              </w:rPr>
              <w:t>创业资金拨付</w:t>
            </w:r>
            <w:r>
              <w:rPr>
                <w:rFonts w:hint="eastAsia" w:ascii="Times New Roman" w:hAnsi="Times New Roman" w:cs="Times New Roman"/>
                <w:color w:val="000000"/>
                <w:sz w:val="18"/>
                <w:szCs w:val="18"/>
                <w:lang w:val="en-US" w:eastAsia="zh-CN"/>
              </w:rPr>
              <w:t>215.58</w:t>
            </w:r>
            <w:r>
              <w:rPr>
                <w:rFonts w:hint="default" w:ascii="Times New Roman" w:hAnsi="Times New Roman" w:cs="Times New Roman"/>
                <w:color w:val="000000"/>
                <w:sz w:val="18"/>
                <w:szCs w:val="18"/>
                <w:lang w:eastAsia="zh-CN"/>
              </w:rPr>
              <w:t>（</w:t>
            </w:r>
            <w:r>
              <w:rPr>
                <w:rFonts w:hint="default" w:ascii="Times New Roman" w:hAnsi="Times New Roman" w:cs="Times New Roman" w:eastAsiaTheme="minorEastAsia"/>
                <w:color w:val="000000"/>
                <w:sz w:val="18"/>
                <w:szCs w:val="18"/>
              </w:rPr>
              <w:t>万元）</w:t>
            </w:r>
          </w:p>
        </w:tc>
      </w:tr>
      <w:tr>
        <w:tblPrEx>
          <w:tblCellMar>
            <w:top w:w="0" w:type="dxa"/>
            <w:left w:w="0" w:type="dxa"/>
            <w:bottom w:w="0" w:type="dxa"/>
            <w:right w:w="0" w:type="dxa"/>
          </w:tblCellMar>
        </w:tblPrEx>
        <w:trPr>
          <w:trHeight w:val="100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lang w:eastAsia="zh-CN"/>
              </w:rPr>
            </w:pPr>
            <w:r>
              <w:rPr>
                <w:rFonts w:hint="default" w:ascii="Times New Roman" w:hAnsi="Times New Roman" w:cs="Times New Roman" w:eastAsiaTheme="minorEastAsia"/>
                <w:color w:val="000000"/>
                <w:sz w:val="18"/>
                <w:szCs w:val="18"/>
                <w:lang w:eastAsia="zh-CN"/>
              </w:rPr>
              <w:t>完成已培训班次费用拨付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完成已培训班次费用拨付</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kern w:val="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eastAsia="zh-CN"/>
              </w:rPr>
              <w:t>提高当地人民对干部服务群众能力满意度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hint="default" w:ascii="Times New Roman" w:hAnsi="Times New Roman" w:cs="Times New Roman" w:eastAsiaTheme="minorEastAsia"/>
                <w:color w:val="000000"/>
                <w:sz w:val="18"/>
                <w:szCs w:val="18"/>
              </w:rPr>
            </w:pPr>
            <w:r>
              <w:rPr>
                <w:rFonts w:hint="default" w:ascii="Times New Roman" w:hAnsi="Times New Roman" w:cs="Times New Roman"/>
                <w:color w:val="000000"/>
                <w:sz w:val="18"/>
                <w:szCs w:val="18"/>
                <w:lang w:eastAsia="zh-CN"/>
              </w:rPr>
              <w:t>提高当地人民对干部服务群众能力满意度</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部门绩效评价结果。</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rPr>
        <w:t>本部门按要求对2019年部门整体支出绩效评价情况开展自评，《中共壤塘县委组织部2019年部门整体支出绩效评价报告》见附件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附件1）。 本部门自行组织对2个项目开展了绩效评价，《2019年壤塘县大学生创业项目绩效评价报告》、《2019年壤塘县干部教育培训项目绩效评价报告》见附件。</w:t>
      </w:r>
      <w:r>
        <w:rPr>
          <w:rFonts w:hint="default" w:ascii="Times New Roman" w:hAnsi="Times New Roman" w:cs="Times New Roman"/>
        </w:rPr>
        <w:t xml:space="preserve"> </w:t>
      </w:r>
    </w:p>
    <w:p>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pPr>
        <w:pStyle w:val="3"/>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pPr>
        <w:pStyle w:val="3"/>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jc w:val="both"/>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第三</w:t>
      </w:r>
      <w:r>
        <w:rPr>
          <w:rFonts w:hint="default" w:ascii="Times New Roman" w:hAnsi="Times New Roman" w:eastAsia="方正小标宋简体" w:cs="Times New Roman"/>
          <w:sz w:val="44"/>
          <w:szCs w:val="44"/>
        </w:rPr>
        <w:t>部分</w:t>
      </w:r>
      <w:r>
        <w:rPr>
          <w:rFonts w:hint="default"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rPr>
        <w:t>名词解释</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xml:space="preserve">财政拨款收入：指单位从同级财政部门取得的财政预算资金。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 xml:space="preserve">事业收入：指事业单位开展专业业务活动及辅助活动取得的收入。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xml:space="preserve">经营收入：指事业单位在专业业务活动及其辅助活动之外开展非独立核算经营活动取得的收入。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4.其他收入：指单位取得的除上述收入以外的各项收入。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用事业基金弥补收支差额：指事业单位在当年的财政拨款收入、事业收入、经营收入、其他收入不足以安排当年支出的情况下，使用以前年度积累的事业基金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事业单位当年收支相抵后按国家规定提取、用于弥补以后年度收支差额的基金）弥补本年度收支缺口的资金。</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 xml:space="preserve">结余分配：指事业单位按照事业单位会计制度的规定从非财政补助结余中分配的事业基金和职工福利基金等。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 xml:space="preserve">年末结转和结余：指单位按有关规定结转到下年或以后年度继续使用的资金。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一般公共服务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款）32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项）01：指中国共产党组织部门的日常基本支出。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一般公共服务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款）32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项）99：指中国共产党组织部门的日常事务支出。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款）05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项）05：指本单位养老保险支出。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款）05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项）06：指本单位职业年金支出。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类）208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款）10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项）02：指老年福利支出。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医疗卫生与计划生育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类）210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款）11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项）01：指单位职工医疗保险费用支出。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类）221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款）02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项）01：指本单位为职工住房公积金补助。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 xml:space="preserve">基本支出：指为保障机构正常运转、完成日常工作任务而发生的人员支出和公用支出。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 xml:space="preserve">项目支出：指在基本支出之外为完成特定行政任务和事业发展目标所发生的支出。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 xml:space="preserve">经营支出：指事业单位在专业业务活动及其辅助活动之外开展非独立核算经营活动发生的支出。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“三公”经费：指部门用财政拨款安排的因公出国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境）费、公务用车购置及运行费和公务接待费。其中，因公出国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境）费反映单位公务出国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境）的国际旅费、国外城市间交通费、住宿费、伙食费、培训费、公杂费等支出；公务用车购置及运行费反映单位公务用车车辆购置支出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含车辆购置税）及租用费、燃料费、维修费、过路过桥费、保险费等支出；公务接待费反映单位按规定开支的各类公务接待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含外宾接待）支出。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机关运行经费：为保障行政单位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textAlignment w:val="auto"/>
        <w:rPr>
          <w:rFonts w:hint="default" w:ascii="Times New Roman" w:hAnsi="Times New Roman" w:cs="Times New Roma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textAlignment w:val="auto"/>
        <w:rPr>
          <w:rFonts w:hint="default" w:ascii="Times New Roman" w:hAnsi="Times New Roman" w:cs="Times New Roma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textAlignment w:val="auto"/>
        <w:rPr>
          <w:rFonts w:hint="default" w:ascii="Times New Roman" w:hAnsi="Times New Roman" w:cs="Times New Roma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center"/>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108" w:leftChars="0"/>
        <w:jc w:val="center"/>
        <w:textAlignment w:val="auto"/>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第四部分</w:t>
      </w:r>
      <w:r>
        <w:rPr>
          <w:rFonts w:hint="eastAsia" w:ascii="Times New Roman" w:hAnsi="Times New Roman" w:eastAsia="黑体" w:cs="Times New Roman"/>
          <w:sz w:val="44"/>
          <w:szCs w:val="44"/>
          <w:lang w:val="en-US" w:eastAsia="zh-CN"/>
        </w:rPr>
        <w:t xml:space="preserve"> </w:t>
      </w:r>
      <w:r>
        <w:rPr>
          <w:rFonts w:hint="default" w:ascii="Times New Roman" w:hAnsi="Times New Roman" w:eastAsia="黑体" w:cs="Times New Roman"/>
          <w:sz w:val="44"/>
          <w:szCs w:val="44"/>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05" w:leftChars="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附件1</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108" w:lef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中共壤塘县委组织部</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108" w:leftChars="0"/>
        <w:jc w:val="center"/>
        <w:textAlignment w:val="auto"/>
        <w:rPr>
          <w:rFonts w:hint="default" w:ascii="Times New Roman" w:hAnsi="Times New Roman" w:eastAsia="仿宋_GB2312" w:cs="Times New Roman"/>
          <w:sz w:val="44"/>
          <w:szCs w:val="44"/>
        </w:rPr>
      </w:pPr>
      <w:r>
        <w:rPr>
          <w:rFonts w:hint="default" w:ascii="Times New Roman" w:hAnsi="Times New Roman" w:eastAsia="方正小标宋简体" w:cs="Times New Roman"/>
          <w:sz w:val="44"/>
          <w:szCs w:val="44"/>
        </w:rPr>
        <w:t>2019年部门整体支出绩效评价报告</w:t>
      </w:r>
      <w:r>
        <w:rPr>
          <w:rFonts w:hint="default" w:ascii="Times New Roman" w:hAnsi="Times New Roman" w:eastAsia="仿宋_GB2312" w:cs="Times New Roman"/>
          <w:sz w:val="44"/>
          <w:szCs w:val="4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楷体_GB2312" w:hAnsi="楷体_GB2312" w:eastAsia="楷体_GB2312" w:cs="楷体_GB2312"/>
          <w:b/>
          <w:bCs/>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单位）概况</w:t>
      </w:r>
      <w:r>
        <w:rPr>
          <w:rFonts w:hint="default" w:ascii="楷体_GB2312" w:hAnsi="楷体_GB2312" w:eastAsia="楷体_GB2312" w:cs="楷体_GB2312"/>
          <w:b/>
          <w:bCs/>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一）机构职能。</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研究和指导全县党的组织建设特别是党的基层组织建设；探索各类新的经济组织中党组织的设置和活动方式；协调、规划和指导党员教育工作，主管党员的管理和发展工作；组织、协调新时期党建工作新情况、新问题和党建理论的研究，提出加强党的思想、组织、作风建设的意见和建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15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负责办理我县由州委管理的干部职务任免、工资、退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休报批手续；提出对县委管理的领导班子调整配备的意见和建议；负责县管干部的选拔、考察工作，办理其任免、工资、退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休审批手续；组织实施公开选拔县管干部和指导协调全县公开选拔领导干部工作；指导领导班子思想作风建设；负责乡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镇）及县直机关科级干部的宏观管理工作；承办部分干部的调配、交流及安置事项。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rPr>
        <w:t xml:space="preserve">   </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研究贯彻中央、省委、州委制定的干部队伍建设的方针、政策，组织落实培养选拔中青年干部工作。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 xml:space="preserve">研究和宏观指导全县党的组织制度和干部人事制度的改革，制定或参与制定我县组织、干部、人事工作的重要政策和制度。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负责全县组织、干部工作的督促检查，及时向县委反映重要情况，提出建议。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主管全县干部教育工作，研究制定我县干部教育的规定、规划；组织县委管理的干部和一定层次的中、青年干部、高级知识分子以及组织部门干部的培训。</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 xml:space="preserve">牵头负责全县人才工作，制定全县人才工作和人才队伍建设重大政策措施；组织协调全县高层次人才培养、选拔、引进、服务等工作；负责领导联系专家协调服务工作；履行县人才工作领导小组办公室职责。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 xml:space="preserve">对国有企业经营管理者队伍的建设进行宏观管理和指导；探索建立企业经营管理者人才市场，掌握和联系一批优秀的企业经营管理者，并提出培养使用意见。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 xml:space="preserve">负责全县党的机关、人大、政协、群众团体、法院、检察院和民主党派机关参照国家公务员制度进行管理的工作。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 xml:space="preserve">负责全县领导干部监督工作的综合、协调和指导，制定或参与制定干部监督的制度和规定；对干部选拔任用工作和领导干部进行监督。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lang w:val="en-US"/>
        </w:rPr>
        <w:t>.</w:t>
      </w:r>
      <w:r>
        <w:rPr>
          <w:rFonts w:hint="default" w:ascii="Times New Roman" w:hAnsi="Times New Roman" w:eastAsia="仿宋_GB2312" w:cs="Times New Roman"/>
          <w:sz w:val="32"/>
          <w:szCs w:val="32"/>
        </w:rPr>
        <w:t>管理县委老干部局。指导退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休干部宏观管理工作。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黑体" w:hAnsi="黑体" w:eastAsia="黑体" w:cs="黑体"/>
          <w:b w:val="0"/>
          <w:bCs w:val="0"/>
          <w:sz w:val="32"/>
          <w:szCs w:val="32"/>
          <w:lang w:eastAsia="zh-CN"/>
        </w:rPr>
      </w:pPr>
      <w:r>
        <w:rPr>
          <w:rFonts w:hint="default" w:ascii="黑体" w:hAnsi="黑体" w:eastAsia="黑体" w:cs="黑体"/>
          <w:b w:val="0"/>
          <w:bCs w:val="0"/>
          <w:sz w:val="32"/>
          <w:szCs w:val="32"/>
          <w:lang w:eastAsia="zh-CN"/>
        </w:rPr>
        <w:t xml:space="preserve"> </w:t>
      </w:r>
      <w:r>
        <w:rPr>
          <w:rFonts w:hint="default" w:ascii="黑体" w:hAnsi="黑体" w:eastAsia="黑体" w:cs="黑体"/>
          <w:b w:val="0"/>
          <w:bCs w:val="0"/>
          <w:sz w:val="32"/>
          <w:szCs w:val="32"/>
          <w:lang w:val="en-US" w:eastAsia="zh-CN"/>
        </w:rPr>
        <w:t xml:space="preserve">    </w:t>
      </w:r>
      <w:r>
        <w:rPr>
          <w:rFonts w:hint="default" w:ascii="黑体" w:hAnsi="黑体" w:eastAsia="黑体" w:cs="黑体"/>
          <w:b w:val="0"/>
          <w:bCs w:val="0"/>
          <w:sz w:val="32"/>
          <w:szCs w:val="32"/>
          <w:lang w:eastAsia="zh-CN"/>
        </w:rPr>
        <w:t>二、部门财政资金收支情况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lang w:eastAsia="zh-CN"/>
        </w:rPr>
        <w:t>（一）部门财政资金收入情况。</w:t>
      </w:r>
      <w:r>
        <w:rPr>
          <w:rFonts w:hint="default" w:ascii="Times New Roman" w:hAnsi="Times New Roman" w:eastAsia="仿宋_GB2312" w:cs="Times New Roman"/>
          <w:sz w:val="32"/>
          <w:szCs w:val="32"/>
        </w:rPr>
        <w:t xml:space="preserve"> 2019年本年收入合计1278.71万元，其中：一般公共预算财政拨款收入1278.71万元，占100%；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lang w:eastAsia="zh-CN"/>
        </w:rPr>
        <w:t>（二）部门财政资金支出情况。</w:t>
      </w:r>
      <w:r>
        <w:rPr>
          <w:rFonts w:hint="default" w:ascii="Times New Roman" w:hAnsi="Times New Roman" w:eastAsia="仿宋_GB2312" w:cs="Times New Roman"/>
          <w:sz w:val="32"/>
          <w:szCs w:val="32"/>
        </w:rPr>
        <w:t xml:space="preserve"> 2019年本年支出合计1541.98万元，其中：基本支出856.81万元，占56%；项目支出685.16万元，占44%；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eastAsia="zh-CN"/>
        </w:rPr>
      </w:pPr>
      <w:r>
        <w:rPr>
          <w:rFonts w:hint="default" w:ascii="黑体" w:hAnsi="黑体" w:eastAsia="黑体" w:cs="黑体"/>
          <w:b w:val="0"/>
          <w:bCs w:val="0"/>
          <w:sz w:val="32"/>
          <w:szCs w:val="32"/>
          <w:lang w:eastAsia="zh-CN"/>
        </w:rPr>
        <w:t xml:space="preserve">三、部门整体预算绩效管理情况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lang w:eastAsia="zh-CN"/>
        </w:rPr>
        <w:t>（一）部门预算管理。</w:t>
      </w:r>
      <w:r>
        <w:rPr>
          <w:rFonts w:hint="default" w:ascii="Times New Roman" w:hAnsi="Times New Roman" w:eastAsia="仿宋_GB2312" w:cs="Times New Roman"/>
          <w:sz w:val="32"/>
          <w:szCs w:val="32"/>
        </w:rPr>
        <w:t xml:space="preserve">1、在预算编制上，人员经费按照规定编制，日常公用经费按定额编制，严格控制“三公经费”。 2、在财务管理上，严格按照国家相关法律法规，制定了机关财务制度，并严格按照制度管理和执行。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lang w:eastAsia="zh-CN"/>
        </w:rPr>
        <w:t>（二）专项预算管理。</w:t>
      </w:r>
      <w:r>
        <w:rPr>
          <w:rFonts w:hint="default" w:ascii="Times New Roman" w:hAnsi="Times New Roman" w:eastAsia="仿宋_GB2312" w:cs="Times New Roman"/>
          <w:sz w:val="32"/>
          <w:szCs w:val="32"/>
        </w:rPr>
        <w:t xml:space="preserve">严格专项预算项目支出管理，专款专用，保障专项资金支出的规范化、制度化。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b/>
          <w:bCs/>
          <w:sz w:val="32"/>
          <w:szCs w:val="32"/>
          <w:lang w:eastAsia="zh-CN"/>
        </w:rPr>
        <w:t>（三）结果应用情况。</w:t>
      </w:r>
      <w:r>
        <w:rPr>
          <w:rFonts w:hint="default" w:ascii="Times New Roman" w:hAnsi="Times New Roman" w:eastAsia="仿宋_GB2312" w:cs="Times New Roman"/>
          <w:sz w:val="32"/>
          <w:szCs w:val="32"/>
        </w:rPr>
        <w:t xml:space="preserve">单位制定了内部财务、资产等管理制度，支出总额控制在预算总额以内，基本支出中财政政策性工资有所追加，预算资金按规定管理使用，财政拨款支出总体控制较好。 </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b w:val="0"/>
          <w:bCs w:val="0"/>
          <w:sz w:val="32"/>
          <w:szCs w:val="32"/>
          <w:lang w:eastAsia="zh-CN"/>
        </w:rPr>
        <w:t xml:space="preserve">四、评价结论及建议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lang w:eastAsia="zh-CN"/>
        </w:rPr>
        <w:t>（一）评价结论。</w:t>
      </w:r>
      <w:r>
        <w:rPr>
          <w:rFonts w:hint="default" w:ascii="Times New Roman" w:hAnsi="Times New Roman" w:eastAsia="仿宋_GB2312" w:cs="Times New Roman"/>
          <w:sz w:val="32"/>
          <w:szCs w:val="32"/>
        </w:rPr>
        <w:t xml:space="preserve"> 我部严格按照国家规定的相关财务管理制度规定，财务制度健全、会计核算规范，按照预算管理办法使用预算资金。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lang w:eastAsia="zh-CN"/>
        </w:rPr>
        <w:t>（二）存在问题。</w:t>
      </w:r>
      <w:r>
        <w:rPr>
          <w:rFonts w:hint="default" w:ascii="Times New Roman" w:hAnsi="Times New Roman" w:eastAsia="仿宋_GB2312" w:cs="Times New Roman"/>
          <w:sz w:val="32"/>
          <w:szCs w:val="32"/>
        </w:rPr>
        <w:t xml:space="preserve">单位在预算编制上精细化和科学化不够，相关制度不够健全。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黑体" w:cs="Times New Roman"/>
          <w:b w:val="0"/>
          <w:bCs w:val="0"/>
          <w:sz w:val="32"/>
          <w:szCs w:val="32"/>
        </w:rPr>
      </w:pPr>
      <w:r>
        <w:rPr>
          <w:rFonts w:hint="default" w:ascii="楷体_GB2312" w:hAnsi="楷体_GB2312" w:eastAsia="楷体_GB2312" w:cs="楷体_GB2312"/>
          <w:b/>
          <w:bCs/>
          <w:sz w:val="32"/>
          <w:szCs w:val="32"/>
          <w:lang w:eastAsia="zh-CN"/>
        </w:rPr>
        <w:t>（三）改进建议。</w:t>
      </w:r>
      <w:r>
        <w:rPr>
          <w:rFonts w:hint="default" w:ascii="Times New Roman" w:hAnsi="Times New Roman" w:eastAsia="仿宋_GB2312" w:cs="Times New Roman"/>
          <w:sz w:val="32"/>
          <w:szCs w:val="32"/>
        </w:rPr>
        <w:t xml:space="preserve">细化预算编制工作，认真做好预算的编制；加强各项制度的建立健全；加大宣传力度，树立绩效管理理念；加强学习培训，提升业务能力。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sz w:val="44"/>
          <w:szCs w:val="44"/>
          <w:lang w:eastAsia="zh-CN"/>
        </w:rPr>
      </w:pPr>
      <w:r>
        <w:rPr>
          <w:rFonts w:hint="default" w:ascii="Times New Roman" w:hAnsi="Times New Roman" w:eastAsia="黑体" w:cs="Times New Roman"/>
          <w:b w:val="0"/>
          <w:bCs w:val="0"/>
          <w:sz w:val="32"/>
          <w:szCs w:val="32"/>
        </w:rPr>
        <w:t>附件</w:t>
      </w:r>
      <w:r>
        <w:rPr>
          <w:rFonts w:hint="default" w:ascii="Times New Roman" w:hAnsi="Times New Roman" w:eastAsia="黑体" w:cs="Times New Roman"/>
          <w:b w:val="0"/>
          <w:bCs w:val="0"/>
          <w:sz w:val="32"/>
          <w:szCs w:val="32"/>
          <w:lang w:val="en-US" w:eastAsia="zh-CN"/>
        </w:rPr>
        <w:t>2</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2019年壤塘县大学生创业项目支出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绩效评价报告</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w:t>
      </w:r>
      <w:r>
        <w:rPr>
          <w:rFonts w:hint="default" w:ascii="黑体" w:hAnsi="黑体" w:eastAsia="黑体" w:cs="黑体"/>
          <w:b w:val="0"/>
          <w:bCs w:val="0"/>
          <w:sz w:val="32"/>
          <w:szCs w:val="32"/>
          <w:lang w:eastAsia="zh-CN"/>
        </w:rPr>
        <w:t xml:space="preserve">项目建设必要性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32"/>
        </w:rPr>
        <w:t>为有能力、有愿意创业的大学生、农牧民、乡村致富带头人给予一定的资金支持、创业基金，帮助自主创业，为决战决胜脱贫攻坚、</w:t>
      </w:r>
      <w:r>
        <w:rPr>
          <w:rFonts w:hint="default" w:ascii="Times New Roman" w:hAnsi="Times New Roman" w:eastAsia="仿宋_GB2312" w:cs="Times New Roman"/>
          <w:sz w:val="32"/>
          <w:szCs w:val="32"/>
          <w:lang w:eastAsia="zh-CN"/>
        </w:rPr>
        <w:t>助推</w:t>
      </w:r>
      <w:r>
        <w:rPr>
          <w:rFonts w:hint="default" w:ascii="Times New Roman" w:hAnsi="Times New Roman" w:eastAsia="仿宋_GB2312" w:cs="Times New Roman"/>
          <w:sz w:val="32"/>
          <w:szCs w:val="32"/>
        </w:rPr>
        <w:t>“美丽壤巴拉家园”建设夯实基础。</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w:t>
      </w:r>
      <w:r>
        <w:rPr>
          <w:rFonts w:hint="default" w:ascii="黑体" w:hAnsi="黑体" w:eastAsia="黑体" w:cs="黑体"/>
          <w:b w:val="0"/>
          <w:bCs w:val="0"/>
          <w:sz w:val="32"/>
          <w:szCs w:val="32"/>
          <w:lang w:eastAsia="zh-CN"/>
        </w:rPr>
        <w:t xml:space="preserve">项目基本情况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项目名称：壤塘县大学生创业项目 项目建设地点：壤塘县壤柯镇、中壤塘镇、茸木达乡、南木达镇、吾依乡、石里乡、尕多乡、岗木达乡、宗科乡 建设规模及主要建设内容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中药材、蔬菜种植基地；少数民族特色手工业传承工艺制作及培训；自主创业民族特色店面。项目扶持对象：有创业意愿并创业的大学生、大学生村官，优秀人才、实用人才，“土专家”“田秀才”等，用于创办农村专合组织、生产经济效益并带领农牧民群众脱贫的致富带头人，民族特色文化传承工艺制作、培训及创业人。直接或间接帮扶贫困人口：280户、1325人。项目建设总投资及资金来源：浙江援建资金20万元。项目建设期限：2019年3月—2019年10月 项目业主：中共壤塘县委组织部 前期工作：方案已通过政府审定，拟计划于2019年3月初开工，10月底完工验收。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w:t>
      </w:r>
      <w:r>
        <w:rPr>
          <w:rFonts w:hint="default" w:ascii="黑体" w:hAnsi="黑体" w:eastAsia="黑体" w:cs="黑体"/>
          <w:b w:val="0"/>
          <w:bCs w:val="0"/>
          <w:sz w:val="32"/>
          <w:szCs w:val="32"/>
          <w:lang w:eastAsia="zh-CN"/>
        </w:rPr>
        <w:t xml:space="preserve">实施效果分析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bCs/>
          <w:sz w:val="32"/>
          <w:szCs w:val="32"/>
          <w:lang w:eastAsia="zh-CN"/>
        </w:rPr>
        <w:t>（一）</w:t>
      </w:r>
      <w:r>
        <w:rPr>
          <w:rFonts w:hint="default" w:ascii="楷体_GB2312" w:hAnsi="楷体_GB2312" w:eastAsia="楷体_GB2312" w:cs="楷体_GB2312"/>
          <w:b/>
          <w:bCs/>
          <w:sz w:val="32"/>
          <w:szCs w:val="32"/>
          <w:lang w:eastAsia="zh-CN"/>
        </w:rPr>
        <w:t>农民增收。</w:t>
      </w:r>
      <w:r>
        <w:rPr>
          <w:rFonts w:hint="default" w:ascii="Times New Roman" w:hAnsi="Times New Roman" w:eastAsia="仿宋_GB2312" w:cs="Times New Roman"/>
          <w:sz w:val="32"/>
          <w:szCs w:val="32"/>
        </w:rPr>
        <w:t xml:space="preserve">大学生、农户通过自主创业，实现增收，有效增加贫困大学生、农牧民群众可支配收入。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jc w:val="both"/>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bCs/>
          <w:sz w:val="32"/>
          <w:szCs w:val="32"/>
          <w:lang w:eastAsia="zh-CN"/>
        </w:rPr>
        <w:t>（二）</w:t>
      </w:r>
      <w:r>
        <w:rPr>
          <w:rFonts w:hint="default" w:ascii="楷体_GB2312" w:hAnsi="楷体_GB2312" w:eastAsia="楷体_GB2312" w:cs="楷体_GB2312"/>
          <w:b/>
          <w:bCs/>
          <w:sz w:val="32"/>
          <w:szCs w:val="32"/>
          <w:lang w:eastAsia="zh-CN"/>
        </w:rPr>
        <w:t>社会效益。</w:t>
      </w:r>
      <w:r>
        <w:rPr>
          <w:rFonts w:hint="default" w:ascii="Times New Roman" w:hAnsi="Times New Roman" w:eastAsia="仿宋_GB2312" w:cs="Times New Roman"/>
          <w:sz w:val="32"/>
          <w:szCs w:val="32"/>
        </w:rPr>
        <w:t xml:space="preserve">在脱贫攻坚的大社会背景下，给予想干事、想创业的一部分大学生、农牧民一定的创业基金，提高贫困地区的大学生、农牧民创业致富积极性，以点带面，努力营造大众创业的良好社会环境，助力脱贫攻坚。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w:t>
      </w:r>
      <w:r>
        <w:rPr>
          <w:rFonts w:hint="default" w:ascii="黑体" w:hAnsi="黑体" w:eastAsia="黑体" w:cs="黑体"/>
          <w:b w:val="0"/>
          <w:bCs w:val="0"/>
          <w:sz w:val="32"/>
          <w:szCs w:val="32"/>
          <w:lang w:eastAsia="zh-CN"/>
        </w:rPr>
        <w:t xml:space="preserve">存在主要问题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一是资金拨付较为缓慢；二是平时忙于日常工作，实地了解和掌握项目情况较少。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b w:val="0"/>
          <w:bCs w:val="0"/>
          <w:sz w:val="32"/>
          <w:szCs w:val="32"/>
          <w:lang w:eastAsia="zh-CN"/>
        </w:rPr>
        <w:t>五、相关措施建议</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32"/>
        </w:rPr>
        <w:t>我部将</w:t>
      </w:r>
      <w:r>
        <w:rPr>
          <w:rFonts w:hint="default" w:ascii="Times New Roman" w:hAnsi="Times New Roman" w:eastAsia="仿宋_GB2312" w:cs="Times New Roman"/>
          <w:sz w:val="32"/>
          <w:szCs w:val="32"/>
          <w:lang w:eastAsia="zh-CN"/>
        </w:rPr>
        <w:t>按照</w:t>
      </w:r>
      <w:r>
        <w:rPr>
          <w:rFonts w:hint="default" w:ascii="Times New Roman" w:hAnsi="Times New Roman" w:eastAsia="仿宋_GB2312" w:cs="Times New Roman"/>
          <w:sz w:val="32"/>
          <w:szCs w:val="32"/>
        </w:rPr>
        <w:t>年初制定计划要求按时足额拨付创业资金和加大力度对创业项目的管理。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b w:val="0"/>
          <w:bCs w:val="0"/>
          <w:sz w:val="32"/>
          <w:szCs w:val="32"/>
        </w:rPr>
      </w:pPr>
    </w:p>
    <w:p>
      <w:pPr>
        <w:pStyle w:val="2"/>
        <w:rPr>
          <w:rFonts w:hint="default"/>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sz w:val="44"/>
          <w:szCs w:val="44"/>
          <w:lang w:eastAsia="zh-CN"/>
        </w:rPr>
      </w:pPr>
      <w:r>
        <w:rPr>
          <w:rFonts w:hint="default" w:ascii="Times New Roman" w:hAnsi="Times New Roman" w:eastAsia="黑体" w:cs="Times New Roman"/>
          <w:b w:val="0"/>
          <w:bCs w:val="0"/>
          <w:sz w:val="32"/>
          <w:szCs w:val="32"/>
        </w:rPr>
        <w:t>附件</w:t>
      </w:r>
      <w:r>
        <w:rPr>
          <w:rFonts w:hint="default" w:ascii="Times New Roman" w:hAnsi="Times New Roman" w:eastAsia="黑体" w:cs="Times New Roman"/>
          <w:b w:val="0"/>
          <w:bCs w:val="0"/>
          <w:sz w:val="32"/>
          <w:szCs w:val="32"/>
          <w:lang w:val="en-US" w:eastAsia="zh-CN"/>
        </w:rPr>
        <w:t>3</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2019年壤塘县干部教育培训项目支出</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绩效评价报告</w:t>
      </w:r>
    </w:p>
    <w:p>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160" w:leftChars="0" w:firstLine="678" w:firstLineChars="212"/>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项目建设必要性</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6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壤塘县地处偏僻，干部群众思想观念落后，随着新时代、新任务对干部人才思想观念和工作能力的新要求，急需对全县各级、各类干部人才进行全方位、多层次、多类别地进行培训，不断更新全县干部人才的思想观念，提升工作能力和服务水平。 </w:t>
      </w:r>
    </w:p>
    <w:p>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160" w:leftChars="0" w:firstLine="678" w:firstLineChars="212"/>
        <w:jc w:val="both"/>
        <w:textAlignment w:val="auto"/>
        <w:rPr>
          <w:rFonts w:hint="default" w:ascii="方正黑体_GBK" w:hAnsi="方正黑体_GBK" w:eastAsia="方正黑体_GBK" w:cs="方正黑体_GBK"/>
          <w:b w:val="0"/>
          <w:bCs w:val="0"/>
          <w:sz w:val="32"/>
          <w:szCs w:val="32"/>
        </w:rPr>
      </w:pPr>
      <w:r>
        <w:rPr>
          <w:rFonts w:hint="default" w:ascii="方正黑体_GBK" w:hAnsi="方正黑体_GBK" w:eastAsia="方正黑体_GBK" w:cs="方正黑体_GBK"/>
          <w:b w:val="0"/>
          <w:bCs w:val="0"/>
          <w:sz w:val="32"/>
          <w:szCs w:val="32"/>
        </w:rPr>
        <w:t xml:space="preserve">项目概况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798" w:leftChars="380" w:firstLine="0" w:firstLineChars="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项目名称：壤塘县2019年干部教育培训 建设规模与</w:t>
      </w:r>
      <w:r>
        <w:rPr>
          <w:rFonts w:hint="eastAsia" w:ascii="Times New Roman" w:hAnsi="Times New Roman" w:eastAsia="仿宋_GB2312" w:cs="Times New Roman"/>
          <w:sz w:val="32"/>
          <w:szCs w:val="32"/>
          <w:lang w:eastAsia="zh-CN"/>
        </w:rPr>
        <w:t>内容：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一）2019年，我县以《壤塘县2019年干部教育培训计划》为统领，以“六类人才”为重点，以“专题培训、业务培训、实践培训”为支撑，用习近平新时代中国特色社会主义思想武装全县党员干部。依托浙江援建，扎实抓好干部人才教育培训。2019年计划以浙江援建、绵阳援建资金开设培训班45期，培训干部3000余人次，参训人员涉及党政干部、事业人员和工勤人员等全县各级各类人才，培训内容涵盖重大理论学习、重要岗位人才提能、脱贫攻坚专题等。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二）2019年，我县长征干部学院</w:t>
      </w:r>
      <w:r>
        <w:rPr>
          <w:rFonts w:hint="default" w:ascii="Times New Roman" w:hAnsi="Times New Roman" w:eastAsia="仿宋_GB2312" w:cs="Times New Roman"/>
          <w:sz w:val="32"/>
          <w:szCs w:val="32"/>
          <w:lang w:eastAsia="zh-CN"/>
        </w:rPr>
        <w:t>为更好地开展</w:t>
      </w:r>
      <w:r>
        <w:rPr>
          <w:rFonts w:hint="default" w:ascii="Times New Roman" w:hAnsi="Times New Roman" w:eastAsia="仿宋_GB2312" w:cs="Times New Roman"/>
          <w:sz w:val="32"/>
          <w:szCs w:val="32"/>
        </w:rPr>
        <w:t xml:space="preserve">我县红色文化现场教学，拓展党性教育资源，丰富党性教育内容，提高党性教育实效性，县委党校结合我县实际情况，制定现场教学微课7门。 项目建设总投资及资金来源：浙江援建资金100万元。 项目建设期限：2019年3月—2019年12月 项目业主：中共壤塘县委组织部 前期工作：已对全县各单位培训计划进行收集，县委组织部进行审核，拟计划在4月份，全面开展各类培训，按照培训进度拨付培训资金，12月底完成培训。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eastAsia" w:ascii="方正黑体_GBK" w:hAnsi="方正黑体_GBK" w:eastAsia="方正黑体_GBK" w:cs="方正黑体_GBK"/>
          <w:b w:val="0"/>
          <w:bCs w:val="0"/>
          <w:sz w:val="32"/>
          <w:szCs w:val="32"/>
          <w:lang w:eastAsia="zh-CN"/>
        </w:rPr>
        <w:t>三、</w:t>
      </w:r>
      <w:r>
        <w:rPr>
          <w:rFonts w:hint="default" w:ascii="方正黑体_GBK" w:hAnsi="方正黑体_GBK" w:eastAsia="方正黑体_GBK" w:cs="方正黑体_GBK"/>
          <w:b w:val="0"/>
          <w:bCs w:val="0"/>
          <w:sz w:val="32"/>
          <w:szCs w:val="32"/>
        </w:rPr>
        <w:t>取得的效益</w:t>
      </w:r>
      <w:r>
        <w:rPr>
          <w:rFonts w:hint="default"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该项目主要是为我县干部人才教育培训创造条件，提升我县干部人才综合能力。该项目的实施，紧扣壤塘事业发展和干部队伍建设需要，接续培养造就一支“坚定信念、为民服务、勤政务实、敢于担当、清正廉洁”的干部队伍，</w:t>
      </w:r>
      <w:r>
        <w:rPr>
          <w:rFonts w:hint="default" w:ascii="Times New Roman" w:hAnsi="Times New Roman" w:eastAsia="仿宋_GB2312" w:cs="Times New Roman"/>
          <w:sz w:val="32"/>
          <w:szCs w:val="32"/>
          <w:lang w:eastAsia="zh-CN"/>
        </w:rPr>
        <w:t>更好地服务</w:t>
      </w:r>
      <w:r>
        <w:rPr>
          <w:rFonts w:hint="default" w:ascii="Times New Roman" w:hAnsi="Times New Roman" w:eastAsia="仿宋_GB2312" w:cs="Times New Roman"/>
          <w:sz w:val="32"/>
          <w:szCs w:val="32"/>
        </w:rPr>
        <w:t xml:space="preserve">我县经济社会发展，为建设川西北阿坝生态示范区“美丽壤巴拉家园”提供人才保障和智力支撑。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6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方正黑体_GBK" w:hAnsi="方正黑体_GBK" w:eastAsia="方正黑体_GBK" w:cs="方正黑体_GBK"/>
          <w:b w:val="0"/>
          <w:bCs w:val="0"/>
          <w:sz w:val="32"/>
          <w:szCs w:val="32"/>
          <w:lang w:eastAsia="zh-CN"/>
        </w:rPr>
        <w:t>四、</w:t>
      </w:r>
      <w:r>
        <w:rPr>
          <w:rFonts w:hint="default" w:ascii="方正黑体_GBK" w:hAnsi="方正黑体_GBK" w:eastAsia="方正黑体_GBK" w:cs="方正黑体_GBK"/>
          <w:b w:val="0"/>
          <w:bCs w:val="0"/>
          <w:sz w:val="32"/>
          <w:szCs w:val="32"/>
          <w:lang w:eastAsia="zh-CN"/>
        </w:rPr>
        <w:t xml:space="preserve">存在的问题 </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6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干部教育培训资金拨付力度较为缓慢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6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方正黑体_GBK" w:hAnsi="方正黑体_GBK" w:eastAsia="方正黑体_GBK" w:cs="方正黑体_GBK"/>
          <w:b w:val="0"/>
          <w:bCs w:val="0"/>
          <w:sz w:val="32"/>
          <w:szCs w:val="32"/>
          <w:lang w:eastAsia="zh-CN"/>
        </w:rPr>
        <w:t>五、</w:t>
      </w:r>
      <w:r>
        <w:rPr>
          <w:rFonts w:hint="default" w:ascii="方正黑体_GBK" w:hAnsi="方正黑体_GBK" w:eastAsia="方正黑体_GBK" w:cs="方正黑体_GBK"/>
          <w:b w:val="0"/>
          <w:bCs w:val="0"/>
          <w:sz w:val="32"/>
          <w:szCs w:val="32"/>
          <w:lang w:eastAsia="zh-CN"/>
        </w:rPr>
        <w:t xml:space="preserve">相关措施建议 </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60" w:leftChars="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32"/>
        </w:rPr>
        <w:t>我部将按承接办每月拨付资金进度要求，按时足额拨付培训资金。</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第五部分</w:t>
      </w:r>
      <w:r>
        <w:rPr>
          <w:rFonts w:hint="default" w:ascii="Times New Roman" w:hAnsi="Times New Roman" w:eastAsia="黑体" w:cs="Times New Roman"/>
          <w:sz w:val="44"/>
          <w:szCs w:val="44"/>
          <w:lang w:val="en-US" w:eastAsia="zh-CN"/>
        </w:rPr>
        <w:t xml:space="preserve">  </w:t>
      </w:r>
      <w:r>
        <w:rPr>
          <w:rFonts w:hint="default" w:ascii="Times New Roman" w:hAnsi="Times New Roman" w:eastAsia="黑体" w:cs="Times New Roman"/>
          <w:sz w:val="44"/>
          <w:szCs w:val="44"/>
        </w:rPr>
        <w:t>附表</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 xml:space="preserve">收入支出决算总表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收入决算表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支出决算表</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财政拨款收入支出决算总表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财政拨款支出决算明细表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一般公共预算财政拨款支出决算表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一般公共预算财政拨款支出决算明细表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一般公共预算财政拨款基本支出决算表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一般公共预算财政拨款项目支出决算表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一般公共预算财政拨款“三公”经费支出决算表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政府性基金预算财政拨款收入支出决算表 </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政府性基金预算财政拨款“三公”经费支出决算表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 xml:space="preserve">十三、国有资本经营预算支出决算表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F7C120"/>
    <w:multiLevelType w:val="singleLevel"/>
    <w:tmpl w:val="B2F7C120"/>
    <w:lvl w:ilvl="0" w:tentative="0">
      <w:start w:val="1"/>
      <w:numFmt w:val="chineseCounting"/>
      <w:suff w:val="nothing"/>
      <w:lvlText w:val="%1、"/>
      <w:lvlJc w:val="left"/>
      <w:pPr>
        <w:ind w:left="160" w:leftChars="0" w:firstLine="0" w:firstLineChars="0"/>
      </w:pPr>
      <w:rPr>
        <w:rFonts w:hint="eastAsia"/>
      </w:rPr>
    </w:lvl>
  </w:abstractNum>
  <w:abstractNum w:abstractNumId="1">
    <w:nsid w:val="CF375BD5"/>
    <w:multiLevelType w:val="singleLevel"/>
    <w:tmpl w:val="CF375BD5"/>
    <w:lvl w:ilvl="0" w:tentative="0">
      <w:start w:val="1"/>
      <w:numFmt w:val="chineseCounting"/>
      <w:suff w:val="nothing"/>
      <w:lvlText w:val="%1、"/>
      <w:lvlJc w:val="left"/>
      <w:pPr>
        <w:ind w:left="105" w:leftChars="0" w:firstLine="0" w:firstLineChars="0"/>
      </w:pPr>
      <w:rPr>
        <w:rFonts w:hint="eastAsia"/>
      </w:rPr>
    </w:lvl>
  </w:abstractNum>
  <w:abstractNum w:abstractNumId="2">
    <w:nsid w:val="D86C27E7"/>
    <w:multiLevelType w:val="singleLevel"/>
    <w:tmpl w:val="D86C27E7"/>
    <w:lvl w:ilvl="0" w:tentative="0">
      <w:start w:val="5"/>
      <w:numFmt w:val="chineseCounting"/>
      <w:suff w:val="nothing"/>
      <w:lvlText w:val="%1、"/>
      <w:lvlJc w:val="left"/>
      <w:rPr>
        <w:rFonts w:hint="eastAsia"/>
      </w:rPr>
    </w:lvl>
  </w:abstractNum>
  <w:abstractNum w:abstractNumId="3">
    <w:nsid w:val="36DDF13E"/>
    <w:multiLevelType w:val="singleLevel"/>
    <w:tmpl w:val="36DDF13E"/>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zZjk4ZmI4YzUyY2NiZTM5YjJkNjVmMjg0M2I1ODcifQ=="/>
  </w:docVars>
  <w:rsids>
    <w:rsidRoot w:val="69D77E00"/>
    <w:rsid w:val="039F5A79"/>
    <w:rsid w:val="09E86F36"/>
    <w:rsid w:val="0A5D5410"/>
    <w:rsid w:val="21F1192B"/>
    <w:rsid w:val="27B32C62"/>
    <w:rsid w:val="3B057795"/>
    <w:rsid w:val="3F797DA0"/>
    <w:rsid w:val="46BE69A6"/>
    <w:rsid w:val="4AD8457E"/>
    <w:rsid w:val="4F604F02"/>
    <w:rsid w:val="4FFB5D64"/>
    <w:rsid w:val="54DC767A"/>
    <w:rsid w:val="54EC1953"/>
    <w:rsid w:val="69D77E00"/>
    <w:rsid w:val="6B39476E"/>
    <w:rsid w:val="75A7DB9D"/>
    <w:rsid w:val="96B6BE78"/>
    <w:rsid w:val="B7FD30AC"/>
    <w:rsid w:val="DFED1B86"/>
    <w:rsid w:val="EA723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30" w:beforeLines="30"/>
    </w:pPr>
    <w:rPr>
      <w:rFonts w:ascii="仿宋_GB2312" w:eastAsia="仿宋_GB2312"/>
      <w:kern w:val="0"/>
      <w:sz w:val="30"/>
    </w:rPr>
  </w:style>
  <w:style w:type="paragraph" w:styleId="3">
    <w:name w:val="Date"/>
    <w:basedOn w:val="1"/>
    <w:next w:val="1"/>
    <w:qFormat/>
    <w:uiPriority w:val="0"/>
    <w:pPr>
      <w:ind w:left="2500" w:leftChars="25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spacing w:before="93"/>
      <w:jc w:val="center"/>
    </w:pPr>
    <w:rPr>
      <w:rFonts w:ascii="仿宋" w:eastAsia="仿宋"/>
      <w:sz w:val="28"/>
      <w:szCs w:val="28"/>
    </w:rPr>
  </w:style>
  <w:style w:type="paragraph" w:styleId="8">
    <w:name w:val="toc 2"/>
    <w:basedOn w:val="1"/>
    <w:next w:val="1"/>
    <w:qFormat/>
    <w:uiPriority w:val="0"/>
    <w:pPr>
      <w:tabs>
        <w:tab w:val="right" w:leader="dot" w:pos="8296"/>
      </w:tabs>
      <w:ind w:left="200" w:leftChars="200"/>
    </w:pPr>
  </w:style>
  <w:style w:type="character" w:styleId="11">
    <w:name w:val="Strong"/>
    <w:basedOn w:val="10"/>
    <w:qFormat/>
    <w:uiPriority w:val="0"/>
    <w:rPr>
      <w:b/>
    </w:rPr>
  </w:style>
  <w:style w:type="character" w:customStyle="1" w:styleId="12">
    <w:name w:val="标题 2 Char"/>
    <w:basedOn w:val="10"/>
    <w:link w:val="4"/>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[工作簿1]Sheet1!$C$13</c:f>
              <c:strCache>
                <c:ptCount val="1"/>
                <c:pt idx="0">
                  <c:v>收、支决算总计变动情况图</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[工作簿1]Sheet1!$D$11:$E$12</c:f>
              <c:multiLvlStrCache>
                <c:ptCount val="2"/>
                <c:lvl>
                  <c:pt idx="0">
                    <c:v>2018年度</c:v>
                  </c:pt>
                  <c:pt idx="1">
                    <c:v>2019年度</c:v>
                  </c:pt>
                </c:lvl>
                <c:lvl/>
              </c:multiLvlStrCache>
            </c:multiLvlStrRef>
          </c:cat>
          <c:val>
            <c:numRef>
              <c:f>[工作簿1]Sheet1!$D$13:$E$13</c:f>
              <c:numCache>
                <c:formatCode>General</c:formatCode>
                <c:ptCount val="2"/>
                <c:pt idx="0">
                  <c:v>1650.34</c:v>
                </c:pt>
                <c:pt idx="1">
                  <c:v>1679.57</c:v>
                </c:pt>
              </c:numCache>
            </c:numRef>
          </c:val>
        </c:ser>
        <c:dLbls>
          <c:showLegendKey val="0"/>
          <c:showVal val="1"/>
          <c:showCatName val="0"/>
          <c:showSerName val="0"/>
          <c:showPercent val="0"/>
          <c:showBubbleSize val="0"/>
        </c:dLbls>
        <c:gapWidth val="219"/>
        <c:overlap val="-27"/>
        <c:axId val="411991275"/>
        <c:axId val="541621867"/>
      </c:barChart>
      <c:catAx>
        <c:axId val="4119912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1621867"/>
        <c:crosses val="autoZero"/>
        <c:auto val="1"/>
        <c:lblAlgn val="ctr"/>
        <c:lblOffset val="100"/>
        <c:noMultiLvlLbl val="0"/>
      </c:catAx>
      <c:valAx>
        <c:axId val="5416218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19912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[工作簿1]Sheet1!$L$39</c:f>
              <c:strCache>
                <c:ptCount val="1"/>
                <c:pt idx="0">
                  <c:v>收入决算结构图</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[工作簿1]Sheet1!$M$38</c:f>
              <c:strCache>
                <c:ptCount val="1"/>
                <c:pt idx="0">
                  <c:v>一般公共预算财政拨款收入</c:v>
                </c:pt>
              </c:strCache>
            </c:strRef>
          </c:cat>
          <c:val>
            <c:numRef>
              <c:f>[工作簿1]Sheet1!$M$39</c:f>
              <c:numCache>
                <c:formatCode>General</c:formatCode>
                <c:ptCount val="1"/>
                <c:pt idx="0">
                  <c:v>1278.71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[工作簿1]Sheet1!$D$56</c:f>
              <c:strCache>
                <c:ptCount val="1"/>
                <c:pt idx="0">
                  <c:v>支出决算结构图（万元）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[工作簿1]Sheet1!$C$57:$C$58</c:f>
              <c:strCache>
                <c:ptCount val="2"/>
                <c:pt idx="0">
                  <c:v>基本支出</c:v>
                </c:pt>
                <c:pt idx="1">
                  <c:v>项目支出</c:v>
                </c:pt>
              </c:strCache>
            </c:strRef>
          </c:cat>
          <c:val>
            <c:numRef>
              <c:f>[工作簿1]Sheet1!$D$57:$D$58</c:f>
              <c:numCache>
                <c:formatCode>General</c:formatCode>
                <c:ptCount val="2"/>
                <c:pt idx="0">
                  <c:v>856.81</c:v>
                </c:pt>
                <c:pt idx="1">
                  <c:v>685.16</c:v>
                </c:pt>
              </c:numCache>
            </c:numRef>
          </c:val>
        </c:ser>
        <c:ser>
          <c:idx val="1"/>
          <c:order val="1"/>
          <c:tx>
            <c:strRef>
              <c:f>[工作簿1]Sheet1!$E$56</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[工作簿1]Sheet1!$C$57:$C$58</c:f>
              <c:strCache>
                <c:ptCount val="2"/>
                <c:pt idx="0">
                  <c:v>基本支出</c:v>
                </c:pt>
                <c:pt idx="1">
                  <c:v>项目支出</c:v>
                </c:pt>
              </c:strCache>
            </c:strRef>
          </c:cat>
          <c:val>
            <c:numRef>
              <c:f>[工作簿1]Sheet1!$E$57:$E$58</c:f>
              <c:numCache>
                <c:formatCode>0%</c:formatCode>
                <c:ptCount val="2"/>
                <c:pt idx="0">
                  <c:v>0.56</c:v>
                </c:pt>
                <c:pt idx="1">
                  <c:v>0.44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[工作簿1]Sheet1!$C$75</c:f>
              <c:strCache>
                <c:ptCount val="1"/>
                <c:pt idx="0">
                  <c:v>财政拨款收、支总计（万元）</c:v>
                </c:pt>
              </c:strCache>
            </c:strRef>
          </c:tx>
          <c:spPr>
            <a:solidFill>
              <a:schemeClr val="accent1"/>
            </a:solidFill>
            <a:ln>
              <a:noFill/>
            </a:ln>
            <a:effectLst/>
          </c:spPr>
          <c:invertIfNegative val="0"/>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1679.</a:t>
                    </a:r>
                    <a:r>
                      <a:rPr lang="en-US" altLang="zh-CN"/>
                      <a:t>5</a:t>
                    </a:r>
                    <a:r>
                      <a:t>7</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[工作簿1]Sheet1!$D$73:$E$74</c:f>
              <c:multiLvlStrCache>
                <c:ptCount val="2"/>
                <c:lvl>
                  <c:pt idx="0">
                    <c:v>2018年度</c:v>
                  </c:pt>
                  <c:pt idx="1">
                    <c:v>2019年度</c:v>
                  </c:pt>
                </c:lvl>
                <c:lvl/>
              </c:multiLvlStrCache>
            </c:multiLvlStrRef>
          </c:cat>
          <c:val>
            <c:numRef>
              <c:f>[工作簿1]Sheet1!$D$75:$E$75</c:f>
              <c:numCache>
                <c:formatCode>General</c:formatCode>
                <c:ptCount val="2"/>
                <c:pt idx="0">
                  <c:v>1623</c:v>
                </c:pt>
                <c:pt idx="1">
                  <c:v>1679.47</c:v>
                </c:pt>
              </c:numCache>
            </c:numRef>
          </c:val>
        </c:ser>
        <c:dLbls>
          <c:showLegendKey val="0"/>
          <c:showVal val="1"/>
          <c:showCatName val="0"/>
          <c:showSerName val="0"/>
          <c:showPercent val="0"/>
          <c:showBubbleSize val="0"/>
        </c:dLbls>
        <c:gapWidth val="219"/>
        <c:overlap val="-27"/>
        <c:axId val="901554649"/>
        <c:axId val="540478274"/>
      </c:barChart>
      <c:catAx>
        <c:axId val="9015546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0478274"/>
        <c:crosses val="autoZero"/>
        <c:auto val="1"/>
        <c:lblAlgn val="ctr"/>
        <c:lblOffset val="100"/>
        <c:noMultiLvlLbl val="0"/>
      </c:catAx>
      <c:valAx>
        <c:axId val="54047827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155464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[工作簿1]Sheet1!$C$75</c:f>
              <c:strCache>
                <c:ptCount val="1"/>
                <c:pt idx="0">
                  <c:v>一般公共预算财政拨款支出决算变动情况（万元）</c:v>
                </c:pt>
              </c:strCache>
            </c:strRef>
          </c:tx>
          <c:spPr>
            <a:solidFill>
              <a:schemeClr val="accent1"/>
            </a:solidFill>
            <a:ln>
              <a:noFill/>
            </a:ln>
            <a:effectLst/>
          </c:spPr>
          <c:invertIfNegative val="0"/>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1541.9</a:t>
                    </a:r>
                    <a:r>
                      <a:rPr lang="en-US" altLang="zh-CN"/>
                      <a:t>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[工作簿1]Sheet1!$D$73:$E$74</c:f>
              <c:multiLvlStrCache>
                <c:ptCount val="2"/>
                <c:lvl>
                  <c:pt idx="0">
                    <c:v>2018年度</c:v>
                  </c:pt>
                  <c:pt idx="1">
                    <c:v>2019年度</c:v>
                  </c:pt>
                </c:lvl>
                <c:lvl/>
              </c:multiLvlStrCache>
            </c:multiLvlStrRef>
          </c:cat>
          <c:val>
            <c:numRef>
              <c:f>[工作簿1]Sheet1!$D$75:$E$75</c:f>
              <c:numCache>
                <c:formatCode>General</c:formatCode>
                <c:ptCount val="2"/>
                <c:pt idx="0">
                  <c:v>1569.24</c:v>
                </c:pt>
                <c:pt idx="1">
                  <c:v>1541.94</c:v>
                </c:pt>
              </c:numCache>
            </c:numRef>
          </c:val>
        </c:ser>
        <c:dLbls>
          <c:showLegendKey val="0"/>
          <c:showVal val="1"/>
          <c:showCatName val="0"/>
          <c:showSerName val="0"/>
          <c:showPercent val="0"/>
          <c:showBubbleSize val="0"/>
        </c:dLbls>
        <c:gapWidth val="219"/>
        <c:overlap val="-27"/>
        <c:axId val="901554649"/>
        <c:axId val="540478274"/>
      </c:barChart>
      <c:catAx>
        <c:axId val="9015546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0478274"/>
        <c:crosses val="autoZero"/>
        <c:auto val="1"/>
        <c:lblAlgn val="ctr"/>
        <c:lblOffset val="100"/>
        <c:noMultiLvlLbl val="0"/>
      </c:catAx>
      <c:valAx>
        <c:axId val="54047827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155464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[工作簿1]Sheet1!$D$87:$D$88</c:f>
              <c:strCache>
                <c:ptCount val="1"/>
                <c:pt idx="0">
                  <c:v>一般公共预算财政拨款支出决算结构 （万元）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[工作簿1]Sheet1!$C$89:$C$93</c:f>
              <c:strCache>
                <c:ptCount val="5"/>
                <c:pt idx="0">
                  <c:v>一般公共服务（类）支出</c:v>
                </c:pt>
                <c:pt idx="1">
                  <c:v>社会保障和就业（类）支出</c:v>
                </c:pt>
                <c:pt idx="2">
                  <c:v>卫生健康支出</c:v>
                </c:pt>
                <c:pt idx="3">
                  <c:v>农林水支</c:v>
                </c:pt>
                <c:pt idx="4">
                  <c:v>住房保障支出</c:v>
                </c:pt>
              </c:strCache>
            </c:strRef>
          </c:cat>
          <c:val>
            <c:numRef>
              <c:f>[工作簿1]Sheet1!$D$89:$D$93</c:f>
              <c:numCache>
                <c:formatCode>General</c:formatCode>
                <c:ptCount val="5"/>
                <c:pt idx="0">
                  <c:v>1197.76</c:v>
                </c:pt>
                <c:pt idx="1">
                  <c:v>72.16</c:v>
                </c:pt>
                <c:pt idx="2">
                  <c:v>17.92</c:v>
                </c:pt>
                <c:pt idx="3">
                  <c:v>217.45</c:v>
                </c:pt>
                <c:pt idx="4">
                  <c:v>36.69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[工作簿1]Sheet1!$D$87:$D$88</c:f>
              <c:strCache>
                <c:ptCount val="1"/>
                <c:pt idx="0">
                  <c:v>“三公”经费财政拨款支出结构 （万元）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625"/>
                  <c:y val="-0.007662835249042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48288824233741"/>
                  <c:y val="-0.0098672192189223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accent1"/>
                    </a:solidFill>
                    <a:uFill>
                      <a:solidFill>
                        <a:schemeClr val="tx1">
                          <a:lumMod val="75000"/>
                          <a:lumOff val="25000"/>
                        </a:schemeClr>
                      </a:solidFill>
                    </a:u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[工作簿1]Sheet1!$C$89:$C$91</c:f>
              <c:strCache>
                <c:ptCount val="3"/>
                <c:pt idx="0">
                  <c:v>因公出国（境）费支出</c:v>
                </c:pt>
                <c:pt idx="1">
                  <c:v>公务用车购置及运行维护费支出</c:v>
                </c:pt>
                <c:pt idx="2">
                  <c:v>公务接待费支出</c:v>
                </c:pt>
              </c:strCache>
            </c:strRef>
          </c:cat>
          <c:val>
            <c:numRef>
              <c:f>[工作簿1]Sheet1!$D$89:$D$91</c:f>
              <c:numCache>
                <c:formatCode>General</c:formatCode>
                <c:ptCount val="3"/>
                <c:pt idx="0">
                  <c:v>0</c:v>
                </c:pt>
                <c:pt idx="1">
                  <c:v>38.9</c:v>
                </c:pt>
                <c:pt idx="2">
                  <c:v>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10053</Words>
  <Characters>11863</Characters>
  <Lines>0</Lines>
  <Paragraphs>0</Paragraphs>
  <TotalTime>66</TotalTime>
  <ScaleCrop>false</ScaleCrop>
  <LinksUpToDate>false</LinksUpToDate>
  <CharactersWithSpaces>12092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2022-08-03T18:55:00Z</dcterms:created>
  <dc:creator>芳*枫桉楠㭎</dc:creator>
  <cp:lastModifiedBy>芳*枫桉楠㭎</cp:lastModifiedBy>
  <cp:lastPrinted>2022-08-05T02:03:26Z</cp:lastPrinted>
  <dcterms:modified xsi:type="dcterms:W3CDTF">2022-08-05T04:25:18Z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45474514DEF146CBA1DCE5B64CAA3CAA</vt:lpwstr>
  </property>
</Properties>
</file>