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B63DDC">
      <w:pPr>
        <w:spacing w:line="600" w:lineRule="exact"/>
        <w:jc w:val="center"/>
        <w:outlineLvl w:val="9"/>
        <w:rPr>
          <w:rFonts w:ascii="方正小标宋简体" w:hAnsi="宋体" w:eastAsia="方正小标宋简体"/>
          <w:sz w:val="72"/>
          <w:szCs w:val="72"/>
        </w:rPr>
      </w:pPr>
      <w:bookmarkStart w:id="0" w:name="_Toc15378441"/>
      <w:bookmarkStart w:id="1" w:name="_Toc15396597"/>
      <w:bookmarkStart w:id="2" w:name="_Toc15377193"/>
      <w:bookmarkStart w:id="3" w:name="_Toc15396475"/>
      <w:bookmarkStart w:id="4" w:name="_Toc15377425"/>
      <w:bookmarkStart w:id="5" w:name="_Toc15306267"/>
    </w:p>
    <w:p w14:paraId="1EB9D4D5">
      <w:pPr>
        <w:spacing w:line="600" w:lineRule="exact"/>
        <w:jc w:val="center"/>
        <w:outlineLvl w:val="9"/>
        <w:rPr>
          <w:rFonts w:hint="default" w:ascii="Times New Roman" w:hAnsi="Times New Roman" w:eastAsia="方正小标宋简体" w:cs="Times New Roman"/>
          <w:sz w:val="72"/>
          <w:szCs w:val="72"/>
        </w:rPr>
      </w:pPr>
    </w:p>
    <w:p w14:paraId="75F0686B">
      <w:pPr>
        <w:spacing w:line="600" w:lineRule="exact"/>
        <w:jc w:val="center"/>
        <w:outlineLvl w:val="9"/>
        <w:rPr>
          <w:rFonts w:hint="default" w:ascii="Times New Roman" w:hAnsi="Times New Roman" w:eastAsia="方正小标宋简体" w:cs="Times New Roman"/>
          <w:sz w:val="72"/>
          <w:szCs w:val="72"/>
        </w:rPr>
      </w:pPr>
    </w:p>
    <w:p w14:paraId="667F41F3">
      <w:pPr>
        <w:spacing w:line="600" w:lineRule="exact"/>
        <w:jc w:val="center"/>
        <w:outlineLvl w:val="9"/>
        <w:rPr>
          <w:rFonts w:hint="default" w:ascii="Times New Roman" w:hAnsi="Times New Roman" w:eastAsia="方正小标宋简体" w:cs="Times New Roman"/>
          <w:sz w:val="72"/>
          <w:szCs w:val="72"/>
        </w:rPr>
      </w:pPr>
    </w:p>
    <w:bookmarkEnd w:id="0"/>
    <w:bookmarkEnd w:id="1"/>
    <w:bookmarkEnd w:id="2"/>
    <w:bookmarkEnd w:id="3"/>
    <w:bookmarkEnd w:id="4"/>
    <w:p w14:paraId="583546C9">
      <w:pPr>
        <w:adjustRightInd w:val="0"/>
        <w:snapToGrid w:val="0"/>
        <w:spacing w:line="360" w:lineRule="auto"/>
        <w:jc w:val="center"/>
        <w:outlineLvl w:val="9"/>
        <w:rPr>
          <w:rFonts w:hint="default" w:ascii="Times New Roman" w:hAnsi="Times New Roman" w:eastAsia="方正小标宋_GBK" w:cs="Times New Roman"/>
          <w:b/>
          <w:bCs/>
          <w:sz w:val="52"/>
          <w:szCs w:val="52"/>
        </w:rPr>
      </w:pPr>
      <w:r>
        <w:rPr>
          <w:rFonts w:hint="default" w:ascii="Times New Roman" w:hAnsi="Times New Roman" w:eastAsia="方正小标宋_GBK" w:cs="Times New Roman"/>
          <w:b/>
          <w:bCs/>
          <w:sz w:val="52"/>
          <w:szCs w:val="52"/>
        </w:rPr>
        <w:t>202</w:t>
      </w:r>
      <w:r>
        <w:rPr>
          <w:rFonts w:hint="default" w:ascii="Times New Roman" w:hAnsi="Times New Roman" w:eastAsia="方正小标宋_GBK" w:cs="Times New Roman"/>
          <w:b/>
          <w:bCs/>
          <w:sz w:val="52"/>
          <w:szCs w:val="52"/>
          <w:lang w:val="en-US" w:eastAsia="zh-CN"/>
        </w:rPr>
        <w:t>2</w:t>
      </w:r>
      <w:r>
        <w:rPr>
          <w:rFonts w:hint="default" w:ascii="Times New Roman" w:hAnsi="Times New Roman" w:eastAsia="方正小标宋_GBK" w:cs="Times New Roman"/>
          <w:b/>
          <w:bCs/>
          <w:sz w:val="52"/>
          <w:szCs w:val="52"/>
        </w:rPr>
        <w:t>年度</w:t>
      </w:r>
    </w:p>
    <w:bookmarkEnd w:id="5"/>
    <w:p w14:paraId="7F54ADCA">
      <w:pPr>
        <w:adjustRightInd w:val="0"/>
        <w:snapToGrid w:val="0"/>
        <w:spacing w:line="360" w:lineRule="auto"/>
        <w:jc w:val="center"/>
        <w:outlineLvl w:val="9"/>
        <w:rPr>
          <w:rFonts w:hint="default" w:ascii="Times New Roman" w:hAnsi="Times New Roman" w:eastAsia="方正小标宋_GBK" w:cs="Times New Roman"/>
          <w:b/>
          <w:bCs/>
          <w:sz w:val="52"/>
          <w:szCs w:val="52"/>
        </w:rPr>
      </w:pPr>
      <w:bookmarkStart w:id="6" w:name="_Toc15396598"/>
      <w:bookmarkStart w:id="7" w:name="_Toc15378442"/>
      <w:bookmarkStart w:id="8" w:name="_Toc15396476"/>
      <w:bookmarkStart w:id="9" w:name="_Toc15377426"/>
      <w:bookmarkStart w:id="10" w:name="_Toc15377194"/>
      <w:bookmarkStart w:id="11" w:name="_Toc15306268"/>
      <w:r>
        <w:rPr>
          <w:rFonts w:hint="default" w:ascii="Times New Roman" w:hAnsi="Times New Roman" w:eastAsia="方正小标宋_GBK" w:cs="Times New Roman"/>
          <w:b/>
          <w:bCs/>
          <w:sz w:val="52"/>
          <w:szCs w:val="52"/>
        </w:rPr>
        <w:t>中共阿坝州壤塘县委员会组织部</w:t>
      </w:r>
    </w:p>
    <w:p w14:paraId="1D0D2DE8">
      <w:pPr>
        <w:adjustRightInd w:val="0"/>
        <w:snapToGrid w:val="0"/>
        <w:spacing w:line="360" w:lineRule="auto"/>
        <w:jc w:val="center"/>
        <w:outlineLvl w:val="9"/>
        <w:rPr>
          <w:rFonts w:hint="default" w:ascii="Times New Roman" w:hAnsi="Times New Roman" w:eastAsia="方正小标宋_GBK" w:cs="Times New Roman"/>
          <w:b/>
          <w:bCs/>
          <w:sz w:val="52"/>
          <w:szCs w:val="52"/>
        </w:rPr>
      </w:pPr>
      <w:r>
        <w:rPr>
          <w:rFonts w:hint="default" w:ascii="Times New Roman" w:hAnsi="Times New Roman" w:eastAsia="方正小标宋_GBK" w:cs="Times New Roman"/>
          <w:b/>
          <w:bCs/>
          <w:sz w:val="52"/>
          <w:szCs w:val="52"/>
        </w:rPr>
        <w:t>部门决算</w:t>
      </w:r>
      <w:bookmarkEnd w:id="6"/>
      <w:bookmarkEnd w:id="7"/>
      <w:bookmarkEnd w:id="8"/>
      <w:bookmarkEnd w:id="9"/>
      <w:bookmarkEnd w:id="10"/>
      <w:bookmarkEnd w:id="11"/>
    </w:p>
    <w:p w14:paraId="47AFBD2F">
      <w:pPr>
        <w:pStyle w:val="15"/>
        <w:outlineLvl w:val="9"/>
        <w:rPr>
          <w:rFonts w:hint="default" w:ascii="Times New Roman" w:hAnsi="Times New Roman" w:cs="Times New Roman"/>
        </w:rPr>
      </w:pPr>
      <w:r>
        <w:rPr>
          <w:rFonts w:hint="default" w:ascii="Times New Roman" w:hAnsi="Times New Roman" w:eastAsia="方正小标宋简体" w:cs="Times New Roman"/>
          <w:sz w:val="36"/>
          <w:szCs w:val="36"/>
        </w:rPr>
        <w:br w:type="page"/>
      </w:r>
    </w:p>
    <w:sdt>
      <w:sdtPr>
        <w:rPr>
          <w:rFonts w:hint="default" w:ascii="Times New Roman" w:hAnsi="Times New Roman" w:eastAsia="宋体" w:cs="Times New Roman"/>
          <w:kern w:val="2"/>
          <w:sz w:val="21"/>
          <w:szCs w:val="24"/>
          <w:lang w:val="en-US" w:eastAsia="zh-CN" w:bidi="ar-SA"/>
        </w:rPr>
        <w:id w:val="147477636"/>
        <w15:color w:val="DBDBDB"/>
        <w:docPartObj>
          <w:docPartGallery w:val="Table of Contents"/>
          <w:docPartUnique/>
        </w:docPartObj>
      </w:sdtPr>
      <w:sdtEndPr>
        <w:rPr>
          <w:rFonts w:hint="eastAsia" w:ascii="黑体" w:hAnsi="黑体" w:eastAsia="黑体" w:cs="Times New Roman"/>
          <w:b/>
          <w:bCs/>
          <w:kern w:val="44"/>
          <w:sz w:val="44"/>
          <w:szCs w:val="44"/>
          <w:lang w:val="en-US" w:eastAsia="zh-CN" w:bidi="ar-SA"/>
        </w:rPr>
      </w:sdtEndPr>
      <w:sdtContent>
        <w:p w14:paraId="220E8B78">
          <w:pPr>
            <w:widowControl/>
            <w:jc w:val="center"/>
            <w:rPr>
              <w:rFonts w:hint="default" w:ascii="Times New Roman" w:hAnsi="Times New Roman" w:eastAsia="黑体" w:cs="Times New Roman"/>
              <w:sz w:val="48"/>
              <w:szCs w:val="48"/>
            </w:rPr>
          </w:pPr>
          <w:bookmarkStart w:id="12" w:name="_Toc15396599"/>
          <w:bookmarkStart w:id="13" w:name="_Toc15377196"/>
          <w:r>
            <w:rPr>
              <w:rFonts w:hint="default" w:ascii="Times New Roman" w:hAnsi="Times New Roman" w:eastAsia="黑体" w:cs="Times New Roman"/>
              <w:sz w:val="48"/>
              <w:szCs w:val="48"/>
            </w:rPr>
            <w:t>目</w:t>
          </w:r>
          <w:r>
            <w:rPr>
              <w:rFonts w:hint="default" w:ascii="Times New Roman" w:hAnsi="Times New Roman" w:eastAsia="黑体" w:cs="Times New Roman"/>
              <w:sz w:val="48"/>
              <w:szCs w:val="48"/>
              <w:lang w:val="en-US" w:eastAsia="zh-CN"/>
            </w:rPr>
            <w:t xml:space="preserve">   </w:t>
          </w:r>
          <w:r>
            <w:rPr>
              <w:rFonts w:hint="default" w:ascii="Times New Roman" w:hAnsi="Times New Roman" w:eastAsia="黑体" w:cs="Times New Roman"/>
              <w:sz w:val="48"/>
              <w:szCs w:val="48"/>
            </w:rPr>
            <w:t>录</w:t>
          </w:r>
        </w:p>
        <w:p w14:paraId="13E05B04">
          <w:pPr>
            <w:pageBreakBefore w:val="0"/>
            <w:widowControl/>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黑体" w:cs="Times New Roman"/>
              <w:sz w:val="28"/>
              <w:szCs w:val="28"/>
            </w:rPr>
          </w:pPr>
        </w:p>
        <w:p w14:paraId="0C747DE0">
          <w:pPr>
            <w:pStyle w:val="15"/>
            <w:pageBreakBefore w:val="0"/>
            <w:kinsoku/>
            <w:wordWrap/>
            <w:overflowPunct/>
            <w:topLinePunct w:val="0"/>
            <w:autoSpaceDE/>
            <w:autoSpaceDN/>
            <w:bidi w:val="0"/>
            <w:adjustRightInd/>
            <w:snapToGrid/>
            <w:spacing w:before="0" w:line="560" w:lineRule="exact"/>
            <w:ind w:left="0" w:leftChars="0"/>
            <w:textAlignment w:val="auto"/>
            <w:rPr>
              <w:rFonts w:hint="default" w:ascii="Times New Roman" w:hAnsi="Times New Roman" w:cs="Times New Roman"/>
              <w:sz w:val="28"/>
              <w:szCs w:val="28"/>
              <w:highlight w:val="none"/>
            </w:rPr>
          </w:pPr>
          <w:r>
            <w:rPr>
              <w:rFonts w:hint="default" w:ascii="Times New Roman" w:hAnsi="Times New Roman" w:cs="Times New Roman"/>
              <w:sz w:val="28"/>
              <w:szCs w:val="28"/>
            </w:rPr>
            <w:t>公开时间：</w:t>
          </w:r>
          <w:r>
            <w:rPr>
              <w:rFonts w:hint="default" w:ascii="Times New Roman" w:hAnsi="Times New Roman" w:cs="Times New Roman"/>
              <w:sz w:val="28"/>
              <w:szCs w:val="28"/>
              <w:highlight w:val="none"/>
            </w:rPr>
            <w:t>202</w:t>
          </w:r>
          <w:r>
            <w:rPr>
              <w:rFonts w:hint="default" w:ascii="Times New Roman" w:hAnsi="Times New Roman" w:cs="Times New Roman"/>
              <w:sz w:val="28"/>
              <w:szCs w:val="28"/>
              <w:highlight w:val="none"/>
              <w:lang w:val="en-US" w:eastAsia="zh-CN"/>
            </w:rPr>
            <w:t>3</w:t>
          </w:r>
          <w:r>
            <w:rPr>
              <w:rFonts w:hint="default" w:ascii="Times New Roman" w:hAnsi="Times New Roman" w:cs="Times New Roman"/>
              <w:sz w:val="28"/>
              <w:szCs w:val="28"/>
              <w:highlight w:val="none"/>
            </w:rPr>
            <w:t>年</w:t>
          </w:r>
          <w:r>
            <w:rPr>
              <w:rFonts w:hint="default" w:ascii="Times New Roman" w:hAnsi="Times New Roman" w:cs="Times New Roman"/>
              <w:sz w:val="28"/>
              <w:szCs w:val="28"/>
              <w:highlight w:val="none"/>
              <w:lang w:val="en-US" w:eastAsia="zh-CN"/>
            </w:rPr>
            <w:t>10</w:t>
          </w:r>
          <w:r>
            <w:rPr>
              <w:rFonts w:hint="default" w:ascii="Times New Roman" w:hAnsi="Times New Roman" w:cs="Times New Roman"/>
              <w:sz w:val="28"/>
              <w:szCs w:val="28"/>
              <w:highlight w:val="none"/>
            </w:rPr>
            <w:t>月</w:t>
          </w:r>
          <w:r>
            <w:rPr>
              <w:rFonts w:hint="default" w:ascii="Times New Roman" w:hAnsi="Times New Roman" w:cs="Times New Roman"/>
              <w:sz w:val="28"/>
              <w:szCs w:val="28"/>
              <w:highlight w:val="none"/>
              <w:lang w:val="en-US" w:eastAsia="zh-CN"/>
            </w:rPr>
            <w:t>23</w:t>
          </w:r>
          <w:r>
            <w:rPr>
              <w:rFonts w:hint="default" w:ascii="Times New Roman" w:hAnsi="Times New Roman" w:cs="Times New Roman"/>
              <w:sz w:val="28"/>
              <w:szCs w:val="28"/>
              <w:highlight w:val="none"/>
            </w:rPr>
            <w:t>日</w:t>
          </w:r>
        </w:p>
        <w:p w14:paraId="37CBE10B">
          <w:pPr>
            <w:pStyle w:val="15"/>
            <w:tabs>
              <w:tab w:val="right" w:leader="dot" w:pos="8306"/>
              <w:tab w:val="clear" w:pos="8296"/>
            </w:tabs>
            <w:rPr>
              <w:rFonts w:hint="default" w:ascii="Times New Roman" w:hAnsi="Times New Roman" w:cs="Times New Roman"/>
              <w:sz w:val="28"/>
              <w:szCs w:val="28"/>
            </w:rPr>
          </w:pPr>
          <w:r>
            <w:rPr>
              <w:rFonts w:hint="default" w:ascii="Times New Roman" w:hAnsi="Times New Roman" w:eastAsia="黑体" w:cs="Times New Roman"/>
              <w:b w:val="0"/>
              <w:sz w:val="28"/>
              <w:szCs w:val="28"/>
            </w:rPr>
            <w:fldChar w:fldCharType="begin"/>
          </w:r>
          <w:r>
            <w:rPr>
              <w:rFonts w:hint="default" w:ascii="Times New Roman" w:hAnsi="Times New Roman" w:eastAsia="黑体" w:cs="Times New Roman"/>
              <w:b w:val="0"/>
              <w:sz w:val="28"/>
              <w:szCs w:val="28"/>
            </w:rPr>
            <w:instrText xml:space="preserve">TOC \o "1-2" \h \u </w:instrText>
          </w:r>
          <w:r>
            <w:rPr>
              <w:rFonts w:hint="default" w:ascii="Times New Roman" w:hAnsi="Times New Roman" w:eastAsia="黑体" w:cs="Times New Roman"/>
              <w:b w:val="0"/>
              <w:sz w:val="28"/>
              <w:szCs w:val="28"/>
            </w:rPr>
            <w:fldChar w:fldCharType="separate"/>
          </w:r>
          <w:r>
            <w:rPr>
              <w:rFonts w:hint="default" w:ascii="Times New Roman" w:hAnsi="Times New Roman" w:eastAsia="黑体" w:cs="Times New Roman"/>
              <w:sz w:val="28"/>
              <w:szCs w:val="28"/>
            </w:rPr>
            <w:fldChar w:fldCharType="begin"/>
          </w:r>
          <w:r>
            <w:rPr>
              <w:rFonts w:hint="default" w:ascii="Times New Roman" w:hAnsi="Times New Roman" w:eastAsia="黑体" w:cs="Times New Roman"/>
              <w:sz w:val="28"/>
              <w:szCs w:val="28"/>
            </w:rPr>
            <w:instrText xml:space="preserve"> HYPERLINK \l _Toc31844 </w:instrText>
          </w:r>
          <w:r>
            <w:rPr>
              <w:rFonts w:hint="default" w:ascii="Times New Roman" w:hAnsi="Times New Roman" w:eastAsia="黑体" w:cs="Times New Roman"/>
              <w:sz w:val="28"/>
              <w:szCs w:val="28"/>
            </w:rPr>
            <w:fldChar w:fldCharType="separate"/>
          </w:r>
          <w:r>
            <w:rPr>
              <w:rFonts w:hint="default" w:ascii="Times New Roman" w:hAnsi="Times New Roman" w:eastAsia="仿宋" w:cs="Times New Roman"/>
              <w:bCs/>
              <w:sz w:val="28"/>
              <w:szCs w:val="28"/>
            </w:rPr>
            <w:t>第一部分 部门概况</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_Toc31844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w:t>
          </w:r>
          <w:r>
            <w:rPr>
              <w:rFonts w:hint="default" w:ascii="Times New Roman" w:hAnsi="Times New Roman" w:cs="Times New Roman"/>
              <w:sz w:val="28"/>
              <w:szCs w:val="28"/>
            </w:rPr>
            <w:fldChar w:fldCharType="end"/>
          </w:r>
          <w:r>
            <w:rPr>
              <w:rFonts w:hint="default" w:ascii="Times New Roman" w:hAnsi="Times New Roman" w:eastAsia="黑体" w:cs="Times New Roman"/>
              <w:sz w:val="28"/>
              <w:szCs w:val="28"/>
            </w:rPr>
            <w:fldChar w:fldCharType="end"/>
          </w:r>
        </w:p>
        <w:p w14:paraId="6B0BB544">
          <w:pPr>
            <w:pStyle w:val="16"/>
            <w:tabs>
              <w:tab w:val="right" w:leader="dot" w:pos="8306"/>
              <w:tab w:val="clear" w:pos="8296"/>
            </w:tabs>
            <w:rPr>
              <w:rFonts w:hint="default" w:ascii="Times New Roman" w:hAnsi="Times New Roman" w:cs="Times New Roman"/>
              <w:sz w:val="28"/>
              <w:szCs w:val="28"/>
            </w:rPr>
          </w:pPr>
          <w:r>
            <w:rPr>
              <w:rFonts w:hint="default" w:ascii="Times New Roman" w:hAnsi="Times New Roman" w:eastAsia="黑体" w:cs="Times New Roman"/>
              <w:sz w:val="28"/>
              <w:szCs w:val="28"/>
            </w:rPr>
            <w:fldChar w:fldCharType="begin"/>
          </w:r>
          <w:r>
            <w:rPr>
              <w:rFonts w:hint="default" w:ascii="Times New Roman" w:hAnsi="Times New Roman" w:eastAsia="黑体" w:cs="Times New Roman"/>
              <w:sz w:val="28"/>
              <w:szCs w:val="28"/>
            </w:rPr>
            <w:instrText xml:space="preserve"> HYPERLINK \l _Toc22300 </w:instrText>
          </w:r>
          <w:r>
            <w:rPr>
              <w:rFonts w:hint="default" w:ascii="Times New Roman" w:hAnsi="Times New Roman" w:eastAsia="黑体" w:cs="Times New Roman"/>
              <w:sz w:val="28"/>
              <w:szCs w:val="28"/>
            </w:rPr>
            <w:fldChar w:fldCharType="separate"/>
          </w:r>
          <w:r>
            <w:rPr>
              <w:rFonts w:hint="default" w:ascii="Times New Roman" w:hAnsi="Times New Roman" w:eastAsia="仿宋" w:cs="Times New Roman"/>
              <w:bCs/>
              <w:sz w:val="28"/>
              <w:szCs w:val="28"/>
            </w:rPr>
            <w:t>一、基本职能</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_Toc22300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w:t>
          </w:r>
          <w:r>
            <w:rPr>
              <w:rFonts w:hint="default" w:ascii="Times New Roman" w:hAnsi="Times New Roman" w:cs="Times New Roman"/>
              <w:sz w:val="28"/>
              <w:szCs w:val="28"/>
            </w:rPr>
            <w:fldChar w:fldCharType="end"/>
          </w:r>
          <w:r>
            <w:rPr>
              <w:rFonts w:hint="default" w:ascii="Times New Roman" w:hAnsi="Times New Roman" w:eastAsia="黑体" w:cs="Times New Roman"/>
              <w:sz w:val="28"/>
              <w:szCs w:val="28"/>
            </w:rPr>
            <w:fldChar w:fldCharType="end"/>
          </w:r>
        </w:p>
        <w:p w14:paraId="7F99D8FE">
          <w:pPr>
            <w:pStyle w:val="16"/>
            <w:tabs>
              <w:tab w:val="right" w:leader="dot" w:pos="8306"/>
              <w:tab w:val="clear" w:pos="8296"/>
            </w:tabs>
            <w:rPr>
              <w:rFonts w:hint="default" w:ascii="Times New Roman" w:hAnsi="Times New Roman" w:cs="Times New Roman"/>
              <w:sz w:val="28"/>
              <w:szCs w:val="28"/>
            </w:rPr>
          </w:pPr>
          <w:r>
            <w:rPr>
              <w:rFonts w:hint="default" w:ascii="Times New Roman" w:hAnsi="Times New Roman" w:eastAsia="黑体" w:cs="Times New Roman"/>
              <w:sz w:val="28"/>
              <w:szCs w:val="28"/>
            </w:rPr>
            <w:fldChar w:fldCharType="begin"/>
          </w:r>
          <w:r>
            <w:rPr>
              <w:rFonts w:hint="default" w:ascii="Times New Roman" w:hAnsi="Times New Roman" w:eastAsia="黑体" w:cs="Times New Roman"/>
              <w:sz w:val="28"/>
              <w:szCs w:val="28"/>
            </w:rPr>
            <w:instrText xml:space="preserve"> HYPERLINK \l _Toc32346 </w:instrText>
          </w:r>
          <w:r>
            <w:rPr>
              <w:rFonts w:hint="default" w:ascii="Times New Roman" w:hAnsi="Times New Roman" w:eastAsia="黑体" w:cs="Times New Roman"/>
              <w:sz w:val="28"/>
              <w:szCs w:val="28"/>
            </w:rPr>
            <w:fldChar w:fldCharType="separate"/>
          </w:r>
          <w:r>
            <w:rPr>
              <w:rFonts w:hint="default" w:ascii="Times New Roman" w:hAnsi="Times New Roman" w:eastAsia="仿宋" w:cs="Times New Roman"/>
              <w:bCs/>
              <w:sz w:val="28"/>
              <w:szCs w:val="28"/>
            </w:rPr>
            <w:t>二、机构设置</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_Toc32346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w:t>
          </w:r>
          <w:r>
            <w:rPr>
              <w:rFonts w:hint="default" w:ascii="Times New Roman" w:hAnsi="Times New Roman" w:cs="Times New Roman"/>
              <w:sz w:val="28"/>
              <w:szCs w:val="28"/>
            </w:rPr>
            <w:fldChar w:fldCharType="end"/>
          </w:r>
          <w:r>
            <w:rPr>
              <w:rFonts w:hint="default" w:ascii="Times New Roman" w:hAnsi="Times New Roman" w:eastAsia="黑体" w:cs="Times New Roman"/>
              <w:sz w:val="28"/>
              <w:szCs w:val="28"/>
            </w:rPr>
            <w:fldChar w:fldCharType="end"/>
          </w:r>
        </w:p>
        <w:p w14:paraId="5C583C13">
          <w:pPr>
            <w:pStyle w:val="15"/>
            <w:tabs>
              <w:tab w:val="right" w:leader="dot" w:pos="8306"/>
              <w:tab w:val="clear" w:pos="8296"/>
            </w:tabs>
            <w:rPr>
              <w:rFonts w:hint="default" w:ascii="Times New Roman" w:hAnsi="Times New Roman" w:cs="Times New Roman"/>
              <w:sz w:val="28"/>
              <w:szCs w:val="28"/>
            </w:rPr>
          </w:pPr>
          <w:r>
            <w:rPr>
              <w:rFonts w:hint="default" w:ascii="Times New Roman" w:hAnsi="Times New Roman" w:eastAsia="黑体" w:cs="Times New Roman"/>
              <w:sz w:val="28"/>
              <w:szCs w:val="28"/>
            </w:rPr>
            <w:fldChar w:fldCharType="begin"/>
          </w:r>
          <w:r>
            <w:rPr>
              <w:rFonts w:hint="default" w:ascii="Times New Roman" w:hAnsi="Times New Roman" w:eastAsia="黑体" w:cs="Times New Roman"/>
              <w:sz w:val="28"/>
              <w:szCs w:val="28"/>
            </w:rPr>
            <w:instrText xml:space="preserve"> HYPERLINK \l _Toc9893 </w:instrText>
          </w:r>
          <w:r>
            <w:rPr>
              <w:rFonts w:hint="default" w:ascii="Times New Roman" w:hAnsi="Times New Roman" w:eastAsia="黑体" w:cs="Times New Roman"/>
              <w:sz w:val="28"/>
              <w:szCs w:val="28"/>
            </w:rPr>
            <w:fldChar w:fldCharType="separate"/>
          </w:r>
          <w:r>
            <w:rPr>
              <w:rFonts w:hint="default" w:ascii="Times New Roman" w:hAnsi="Times New Roman" w:eastAsia="仿宋" w:cs="Times New Roman"/>
              <w:bCs/>
              <w:sz w:val="28"/>
              <w:szCs w:val="28"/>
            </w:rPr>
            <w:t>第二部分 202</w:t>
          </w:r>
          <w:r>
            <w:rPr>
              <w:rFonts w:hint="default" w:ascii="Times New Roman" w:hAnsi="Times New Roman" w:eastAsia="仿宋" w:cs="Times New Roman"/>
              <w:bCs/>
              <w:sz w:val="28"/>
              <w:szCs w:val="28"/>
              <w:lang w:val="en-US" w:eastAsia="zh-CN"/>
            </w:rPr>
            <w:t>2</w:t>
          </w:r>
          <w:r>
            <w:rPr>
              <w:rFonts w:hint="default" w:ascii="Times New Roman" w:hAnsi="Times New Roman" w:eastAsia="仿宋" w:cs="Times New Roman"/>
              <w:bCs/>
              <w:sz w:val="28"/>
              <w:szCs w:val="28"/>
            </w:rPr>
            <w:t>年度部门决算情况说明</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_Toc9893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4</w:t>
          </w:r>
          <w:r>
            <w:rPr>
              <w:rFonts w:hint="default" w:ascii="Times New Roman" w:hAnsi="Times New Roman" w:cs="Times New Roman"/>
              <w:sz w:val="28"/>
              <w:szCs w:val="28"/>
            </w:rPr>
            <w:fldChar w:fldCharType="end"/>
          </w:r>
          <w:r>
            <w:rPr>
              <w:rFonts w:hint="default" w:ascii="Times New Roman" w:hAnsi="Times New Roman" w:eastAsia="黑体" w:cs="Times New Roman"/>
              <w:sz w:val="28"/>
              <w:szCs w:val="28"/>
            </w:rPr>
            <w:fldChar w:fldCharType="end"/>
          </w:r>
        </w:p>
        <w:p w14:paraId="2F37CD14">
          <w:pPr>
            <w:pStyle w:val="16"/>
            <w:tabs>
              <w:tab w:val="right" w:leader="dot" w:pos="8306"/>
              <w:tab w:val="clear" w:pos="8296"/>
            </w:tabs>
            <w:rPr>
              <w:rFonts w:hint="default" w:ascii="Times New Roman" w:hAnsi="Times New Roman" w:cs="Times New Roman"/>
              <w:sz w:val="28"/>
              <w:szCs w:val="28"/>
            </w:rPr>
          </w:pPr>
          <w:r>
            <w:rPr>
              <w:rFonts w:hint="default" w:ascii="Times New Roman" w:hAnsi="Times New Roman" w:eastAsia="黑体" w:cs="Times New Roman"/>
              <w:sz w:val="28"/>
              <w:szCs w:val="28"/>
            </w:rPr>
            <w:fldChar w:fldCharType="begin"/>
          </w:r>
          <w:r>
            <w:rPr>
              <w:rFonts w:hint="default" w:ascii="Times New Roman" w:hAnsi="Times New Roman" w:eastAsia="黑体" w:cs="Times New Roman"/>
              <w:sz w:val="28"/>
              <w:szCs w:val="28"/>
            </w:rPr>
            <w:instrText xml:space="preserve"> HYPERLINK \l _Toc18208 </w:instrText>
          </w:r>
          <w:r>
            <w:rPr>
              <w:rFonts w:hint="default" w:ascii="Times New Roman" w:hAnsi="Times New Roman" w:eastAsia="黑体" w:cs="Times New Roman"/>
              <w:sz w:val="28"/>
              <w:szCs w:val="28"/>
            </w:rPr>
            <w:fldChar w:fldCharType="separate"/>
          </w:r>
          <w:r>
            <w:rPr>
              <w:rFonts w:hint="default" w:ascii="Times New Roman" w:hAnsi="Times New Roman" w:eastAsia="仿宋" w:cs="Times New Roman"/>
              <w:bCs/>
              <w:sz w:val="28"/>
              <w:szCs w:val="28"/>
            </w:rPr>
            <w:t>一、 收入支出决算总体情况说明</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_Toc18208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4</w:t>
          </w:r>
          <w:r>
            <w:rPr>
              <w:rFonts w:hint="default" w:ascii="Times New Roman" w:hAnsi="Times New Roman" w:cs="Times New Roman"/>
              <w:sz w:val="28"/>
              <w:szCs w:val="28"/>
            </w:rPr>
            <w:fldChar w:fldCharType="end"/>
          </w:r>
          <w:r>
            <w:rPr>
              <w:rFonts w:hint="default" w:ascii="Times New Roman" w:hAnsi="Times New Roman" w:eastAsia="黑体" w:cs="Times New Roman"/>
              <w:sz w:val="28"/>
              <w:szCs w:val="28"/>
            </w:rPr>
            <w:fldChar w:fldCharType="end"/>
          </w:r>
        </w:p>
        <w:p w14:paraId="29E508AA">
          <w:pPr>
            <w:pStyle w:val="16"/>
            <w:tabs>
              <w:tab w:val="right" w:leader="dot" w:pos="8306"/>
              <w:tab w:val="clear" w:pos="8296"/>
            </w:tabs>
            <w:rPr>
              <w:rFonts w:hint="default" w:ascii="Times New Roman" w:hAnsi="Times New Roman" w:cs="Times New Roman"/>
              <w:sz w:val="28"/>
              <w:szCs w:val="28"/>
            </w:rPr>
          </w:pPr>
          <w:r>
            <w:rPr>
              <w:rFonts w:hint="default" w:ascii="Times New Roman" w:hAnsi="Times New Roman" w:eastAsia="黑体" w:cs="Times New Roman"/>
              <w:sz w:val="28"/>
              <w:szCs w:val="28"/>
            </w:rPr>
            <w:fldChar w:fldCharType="begin"/>
          </w:r>
          <w:r>
            <w:rPr>
              <w:rFonts w:hint="default" w:ascii="Times New Roman" w:hAnsi="Times New Roman" w:eastAsia="黑体" w:cs="Times New Roman"/>
              <w:sz w:val="28"/>
              <w:szCs w:val="28"/>
            </w:rPr>
            <w:instrText xml:space="preserve"> HYPERLINK \l _Toc32582 </w:instrText>
          </w:r>
          <w:r>
            <w:rPr>
              <w:rFonts w:hint="default" w:ascii="Times New Roman" w:hAnsi="Times New Roman" w:eastAsia="黑体" w:cs="Times New Roman"/>
              <w:sz w:val="28"/>
              <w:szCs w:val="28"/>
            </w:rPr>
            <w:fldChar w:fldCharType="separate"/>
          </w:r>
          <w:r>
            <w:rPr>
              <w:rFonts w:hint="default" w:ascii="Times New Roman" w:hAnsi="Times New Roman" w:eastAsia="仿宋" w:cs="Times New Roman"/>
              <w:bCs/>
              <w:sz w:val="28"/>
              <w:szCs w:val="28"/>
            </w:rPr>
            <w:t>二、 收入决算情况说明</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_Toc32582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4</w:t>
          </w:r>
          <w:r>
            <w:rPr>
              <w:rFonts w:hint="default" w:ascii="Times New Roman" w:hAnsi="Times New Roman" w:cs="Times New Roman"/>
              <w:sz w:val="28"/>
              <w:szCs w:val="28"/>
            </w:rPr>
            <w:fldChar w:fldCharType="end"/>
          </w:r>
          <w:r>
            <w:rPr>
              <w:rFonts w:hint="default" w:ascii="Times New Roman" w:hAnsi="Times New Roman" w:eastAsia="黑体" w:cs="Times New Roman"/>
              <w:sz w:val="28"/>
              <w:szCs w:val="28"/>
            </w:rPr>
            <w:fldChar w:fldCharType="end"/>
          </w:r>
        </w:p>
        <w:p w14:paraId="52CFA98F">
          <w:pPr>
            <w:pStyle w:val="16"/>
            <w:tabs>
              <w:tab w:val="right" w:leader="dot" w:pos="8306"/>
              <w:tab w:val="clear" w:pos="8296"/>
            </w:tabs>
            <w:rPr>
              <w:rFonts w:hint="default" w:ascii="Times New Roman" w:hAnsi="Times New Roman" w:cs="Times New Roman"/>
              <w:sz w:val="28"/>
              <w:szCs w:val="28"/>
            </w:rPr>
          </w:pPr>
          <w:r>
            <w:rPr>
              <w:rFonts w:hint="default" w:ascii="Times New Roman" w:hAnsi="Times New Roman" w:eastAsia="黑体" w:cs="Times New Roman"/>
              <w:sz w:val="28"/>
              <w:szCs w:val="28"/>
            </w:rPr>
            <w:fldChar w:fldCharType="begin"/>
          </w:r>
          <w:r>
            <w:rPr>
              <w:rFonts w:hint="default" w:ascii="Times New Roman" w:hAnsi="Times New Roman" w:eastAsia="黑体" w:cs="Times New Roman"/>
              <w:sz w:val="28"/>
              <w:szCs w:val="28"/>
            </w:rPr>
            <w:instrText xml:space="preserve"> HYPERLINK \l _Toc6400 </w:instrText>
          </w:r>
          <w:r>
            <w:rPr>
              <w:rFonts w:hint="default" w:ascii="Times New Roman" w:hAnsi="Times New Roman" w:eastAsia="黑体" w:cs="Times New Roman"/>
              <w:sz w:val="28"/>
              <w:szCs w:val="28"/>
            </w:rPr>
            <w:fldChar w:fldCharType="separate"/>
          </w:r>
          <w:r>
            <w:rPr>
              <w:rFonts w:hint="default" w:ascii="Times New Roman" w:hAnsi="Times New Roman" w:eastAsia="仿宋" w:cs="Times New Roman"/>
              <w:bCs/>
              <w:sz w:val="28"/>
              <w:szCs w:val="28"/>
            </w:rPr>
            <w:t>三、 支出决算情况说明</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_Toc6400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5</w:t>
          </w:r>
          <w:r>
            <w:rPr>
              <w:rFonts w:hint="default" w:ascii="Times New Roman" w:hAnsi="Times New Roman" w:cs="Times New Roman"/>
              <w:sz w:val="28"/>
              <w:szCs w:val="28"/>
            </w:rPr>
            <w:fldChar w:fldCharType="end"/>
          </w:r>
          <w:r>
            <w:rPr>
              <w:rFonts w:hint="default" w:ascii="Times New Roman" w:hAnsi="Times New Roman" w:eastAsia="黑体" w:cs="Times New Roman"/>
              <w:sz w:val="28"/>
              <w:szCs w:val="28"/>
            </w:rPr>
            <w:fldChar w:fldCharType="end"/>
          </w:r>
        </w:p>
        <w:p w14:paraId="3CC5142F">
          <w:pPr>
            <w:pStyle w:val="16"/>
            <w:tabs>
              <w:tab w:val="right" w:leader="dot" w:pos="8306"/>
              <w:tab w:val="clear" w:pos="8296"/>
            </w:tabs>
            <w:rPr>
              <w:rFonts w:hint="default" w:ascii="Times New Roman" w:hAnsi="Times New Roman" w:cs="Times New Roman"/>
              <w:sz w:val="28"/>
              <w:szCs w:val="28"/>
            </w:rPr>
          </w:pPr>
          <w:r>
            <w:rPr>
              <w:rFonts w:hint="default" w:ascii="Times New Roman" w:hAnsi="Times New Roman" w:eastAsia="黑体" w:cs="Times New Roman"/>
              <w:sz w:val="28"/>
              <w:szCs w:val="28"/>
            </w:rPr>
            <w:fldChar w:fldCharType="begin"/>
          </w:r>
          <w:r>
            <w:rPr>
              <w:rFonts w:hint="default" w:ascii="Times New Roman" w:hAnsi="Times New Roman" w:eastAsia="黑体" w:cs="Times New Roman"/>
              <w:sz w:val="28"/>
              <w:szCs w:val="28"/>
            </w:rPr>
            <w:instrText xml:space="preserve"> HYPERLINK \l _Toc6272 </w:instrText>
          </w:r>
          <w:r>
            <w:rPr>
              <w:rFonts w:hint="default" w:ascii="Times New Roman" w:hAnsi="Times New Roman" w:eastAsia="黑体" w:cs="Times New Roman"/>
              <w:sz w:val="28"/>
              <w:szCs w:val="28"/>
            </w:rPr>
            <w:fldChar w:fldCharType="separate"/>
          </w:r>
          <w:r>
            <w:rPr>
              <w:rFonts w:hint="default" w:ascii="Times New Roman" w:hAnsi="Times New Roman" w:eastAsia="仿宋" w:cs="Times New Roman"/>
              <w:bCs/>
              <w:sz w:val="28"/>
              <w:szCs w:val="28"/>
            </w:rPr>
            <w:t>四、财政拨款收入支出决算总体情况说明</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_Toc6272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5</w:t>
          </w:r>
          <w:r>
            <w:rPr>
              <w:rFonts w:hint="default" w:ascii="Times New Roman" w:hAnsi="Times New Roman" w:cs="Times New Roman"/>
              <w:sz w:val="28"/>
              <w:szCs w:val="28"/>
            </w:rPr>
            <w:fldChar w:fldCharType="end"/>
          </w:r>
          <w:r>
            <w:rPr>
              <w:rFonts w:hint="default" w:ascii="Times New Roman" w:hAnsi="Times New Roman" w:eastAsia="黑体" w:cs="Times New Roman"/>
              <w:sz w:val="28"/>
              <w:szCs w:val="28"/>
            </w:rPr>
            <w:fldChar w:fldCharType="end"/>
          </w:r>
        </w:p>
        <w:p w14:paraId="2A5C538B">
          <w:pPr>
            <w:pStyle w:val="16"/>
            <w:tabs>
              <w:tab w:val="right" w:leader="dot" w:pos="8306"/>
              <w:tab w:val="clear" w:pos="8296"/>
            </w:tabs>
            <w:rPr>
              <w:rFonts w:hint="default" w:ascii="Times New Roman" w:hAnsi="Times New Roman" w:cs="Times New Roman"/>
              <w:sz w:val="28"/>
              <w:szCs w:val="28"/>
            </w:rPr>
          </w:pPr>
          <w:r>
            <w:rPr>
              <w:rFonts w:hint="default" w:ascii="Times New Roman" w:hAnsi="Times New Roman" w:eastAsia="黑体" w:cs="Times New Roman"/>
              <w:sz w:val="28"/>
              <w:szCs w:val="28"/>
            </w:rPr>
            <w:fldChar w:fldCharType="begin"/>
          </w:r>
          <w:r>
            <w:rPr>
              <w:rFonts w:hint="default" w:ascii="Times New Roman" w:hAnsi="Times New Roman" w:eastAsia="黑体" w:cs="Times New Roman"/>
              <w:sz w:val="28"/>
              <w:szCs w:val="28"/>
            </w:rPr>
            <w:instrText xml:space="preserve"> HYPERLINK \l _Toc14948 </w:instrText>
          </w:r>
          <w:r>
            <w:rPr>
              <w:rFonts w:hint="default" w:ascii="Times New Roman" w:hAnsi="Times New Roman" w:eastAsia="黑体" w:cs="Times New Roman"/>
              <w:sz w:val="28"/>
              <w:szCs w:val="28"/>
            </w:rPr>
            <w:fldChar w:fldCharType="separate"/>
          </w:r>
          <w:r>
            <w:rPr>
              <w:rFonts w:hint="default" w:ascii="Times New Roman" w:hAnsi="Times New Roman" w:eastAsia="仿宋" w:cs="Times New Roman"/>
              <w:bCs/>
              <w:sz w:val="28"/>
              <w:szCs w:val="28"/>
            </w:rPr>
            <w:t>五、一般公共预算财政拨款支出决算情况说明</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_Toc14948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6</w:t>
          </w:r>
          <w:r>
            <w:rPr>
              <w:rFonts w:hint="default" w:ascii="Times New Roman" w:hAnsi="Times New Roman" w:cs="Times New Roman"/>
              <w:sz w:val="28"/>
              <w:szCs w:val="28"/>
            </w:rPr>
            <w:fldChar w:fldCharType="end"/>
          </w:r>
          <w:r>
            <w:rPr>
              <w:rFonts w:hint="default" w:ascii="Times New Roman" w:hAnsi="Times New Roman" w:eastAsia="黑体" w:cs="Times New Roman"/>
              <w:sz w:val="28"/>
              <w:szCs w:val="28"/>
            </w:rPr>
            <w:fldChar w:fldCharType="end"/>
          </w:r>
        </w:p>
        <w:p w14:paraId="124EA52F">
          <w:pPr>
            <w:pStyle w:val="16"/>
            <w:tabs>
              <w:tab w:val="right" w:leader="dot" w:pos="8306"/>
              <w:tab w:val="clear" w:pos="8296"/>
            </w:tabs>
            <w:rPr>
              <w:rFonts w:hint="default" w:ascii="Times New Roman" w:hAnsi="Times New Roman" w:cs="Times New Roman"/>
              <w:sz w:val="28"/>
              <w:szCs w:val="28"/>
            </w:rPr>
          </w:pPr>
          <w:r>
            <w:rPr>
              <w:rFonts w:hint="default" w:ascii="Times New Roman" w:hAnsi="Times New Roman" w:eastAsia="黑体" w:cs="Times New Roman"/>
              <w:sz w:val="28"/>
              <w:szCs w:val="28"/>
            </w:rPr>
            <w:fldChar w:fldCharType="begin"/>
          </w:r>
          <w:r>
            <w:rPr>
              <w:rFonts w:hint="default" w:ascii="Times New Roman" w:hAnsi="Times New Roman" w:eastAsia="黑体" w:cs="Times New Roman"/>
              <w:sz w:val="28"/>
              <w:szCs w:val="28"/>
            </w:rPr>
            <w:instrText xml:space="preserve"> HYPERLINK \l _Toc8255 </w:instrText>
          </w:r>
          <w:r>
            <w:rPr>
              <w:rFonts w:hint="default" w:ascii="Times New Roman" w:hAnsi="Times New Roman" w:eastAsia="黑体" w:cs="Times New Roman"/>
              <w:sz w:val="28"/>
              <w:szCs w:val="28"/>
            </w:rPr>
            <w:fldChar w:fldCharType="separate"/>
          </w:r>
          <w:r>
            <w:rPr>
              <w:rFonts w:hint="default" w:ascii="Times New Roman" w:hAnsi="Times New Roman" w:eastAsia="仿宋" w:cs="Times New Roman"/>
              <w:bCs/>
              <w:sz w:val="28"/>
              <w:szCs w:val="28"/>
            </w:rPr>
            <w:t>六、一般公共预算财政拨款基本支出决算情况说明</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_Toc8255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9</w:t>
          </w:r>
          <w:r>
            <w:rPr>
              <w:rFonts w:hint="default" w:ascii="Times New Roman" w:hAnsi="Times New Roman" w:cs="Times New Roman"/>
              <w:sz w:val="28"/>
              <w:szCs w:val="28"/>
            </w:rPr>
            <w:fldChar w:fldCharType="end"/>
          </w:r>
          <w:r>
            <w:rPr>
              <w:rFonts w:hint="default" w:ascii="Times New Roman" w:hAnsi="Times New Roman" w:eastAsia="黑体" w:cs="Times New Roman"/>
              <w:sz w:val="28"/>
              <w:szCs w:val="28"/>
            </w:rPr>
            <w:fldChar w:fldCharType="end"/>
          </w:r>
        </w:p>
        <w:p w14:paraId="24628AA0">
          <w:pPr>
            <w:pStyle w:val="16"/>
            <w:tabs>
              <w:tab w:val="right" w:leader="dot" w:pos="8306"/>
              <w:tab w:val="clear" w:pos="8296"/>
            </w:tabs>
            <w:rPr>
              <w:rFonts w:hint="default" w:ascii="Times New Roman" w:hAnsi="Times New Roman" w:cs="Times New Roman"/>
              <w:sz w:val="28"/>
              <w:szCs w:val="28"/>
            </w:rPr>
          </w:pPr>
          <w:r>
            <w:rPr>
              <w:rFonts w:hint="default" w:ascii="Times New Roman" w:hAnsi="Times New Roman" w:eastAsia="黑体" w:cs="Times New Roman"/>
              <w:sz w:val="28"/>
              <w:szCs w:val="28"/>
            </w:rPr>
            <w:fldChar w:fldCharType="begin"/>
          </w:r>
          <w:r>
            <w:rPr>
              <w:rFonts w:hint="default" w:ascii="Times New Roman" w:hAnsi="Times New Roman" w:eastAsia="黑体" w:cs="Times New Roman"/>
              <w:sz w:val="28"/>
              <w:szCs w:val="28"/>
            </w:rPr>
            <w:instrText xml:space="preserve"> HYPERLINK \l _Toc17931 </w:instrText>
          </w:r>
          <w:r>
            <w:rPr>
              <w:rFonts w:hint="default" w:ascii="Times New Roman" w:hAnsi="Times New Roman" w:eastAsia="黑体" w:cs="Times New Roman"/>
              <w:sz w:val="28"/>
              <w:szCs w:val="28"/>
            </w:rPr>
            <w:fldChar w:fldCharType="separate"/>
          </w:r>
          <w:r>
            <w:rPr>
              <w:rFonts w:hint="default" w:ascii="Times New Roman" w:hAnsi="Times New Roman" w:eastAsia="仿宋" w:cs="Times New Roman"/>
              <w:bCs w:val="0"/>
              <w:sz w:val="28"/>
              <w:szCs w:val="28"/>
            </w:rPr>
            <w:t>七、“三公”经费财政拨款支出决算情况说明</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_Toc17931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10</w:t>
          </w:r>
          <w:r>
            <w:rPr>
              <w:rFonts w:hint="default" w:ascii="Times New Roman" w:hAnsi="Times New Roman" w:cs="Times New Roman"/>
              <w:sz w:val="28"/>
              <w:szCs w:val="28"/>
            </w:rPr>
            <w:fldChar w:fldCharType="end"/>
          </w:r>
          <w:r>
            <w:rPr>
              <w:rFonts w:hint="default" w:ascii="Times New Roman" w:hAnsi="Times New Roman" w:eastAsia="黑体" w:cs="Times New Roman"/>
              <w:sz w:val="28"/>
              <w:szCs w:val="28"/>
            </w:rPr>
            <w:fldChar w:fldCharType="end"/>
          </w:r>
        </w:p>
        <w:p w14:paraId="3D42736D">
          <w:pPr>
            <w:pStyle w:val="16"/>
            <w:tabs>
              <w:tab w:val="right" w:leader="dot" w:pos="8306"/>
              <w:tab w:val="clear" w:pos="8296"/>
            </w:tabs>
            <w:rPr>
              <w:rFonts w:hint="default" w:ascii="Times New Roman" w:hAnsi="Times New Roman" w:cs="Times New Roman"/>
              <w:sz w:val="28"/>
              <w:szCs w:val="28"/>
            </w:rPr>
          </w:pPr>
          <w:r>
            <w:rPr>
              <w:rFonts w:hint="default" w:ascii="Times New Roman" w:hAnsi="Times New Roman" w:eastAsia="黑体" w:cs="Times New Roman"/>
              <w:sz w:val="28"/>
              <w:szCs w:val="28"/>
            </w:rPr>
            <w:fldChar w:fldCharType="begin"/>
          </w:r>
          <w:r>
            <w:rPr>
              <w:rFonts w:hint="default" w:ascii="Times New Roman" w:hAnsi="Times New Roman" w:eastAsia="黑体" w:cs="Times New Roman"/>
              <w:sz w:val="28"/>
              <w:szCs w:val="28"/>
            </w:rPr>
            <w:instrText xml:space="preserve"> HYPERLINK \l _Toc24764 </w:instrText>
          </w:r>
          <w:r>
            <w:rPr>
              <w:rFonts w:hint="default" w:ascii="Times New Roman" w:hAnsi="Times New Roman" w:eastAsia="黑体" w:cs="Times New Roman"/>
              <w:sz w:val="28"/>
              <w:szCs w:val="28"/>
            </w:rPr>
            <w:fldChar w:fldCharType="separate"/>
          </w:r>
          <w:r>
            <w:rPr>
              <w:rFonts w:hint="default" w:ascii="Times New Roman" w:hAnsi="Times New Roman" w:eastAsia="仿宋" w:cs="Times New Roman"/>
              <w:bCs w:val="0"/>
              <w:sz w:val="28"/>
              <w:szCs w:val="28"/>
            </w:rPr>
            <w:t>八、政府性基金预算支出决算情况说明</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_Toc24764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12</w:t>
          </w:r>
          <w:r>
            <w:rPr>
              <w:rFonts w:hint="default" w:ascii="Times New Roman" w:hAnsi="Times New Roman" w:cs="Times New Roman"/>
              <w:sz w:val="28"/>
              <w:szCs w:val="28"/>
            </w:rPr>
            <w:fldChar w:fldCharType="end"/>
          </w:r>
          <w:r>
            <w:rPr>
              <w:rFonts w:hint="default" w:ascii="Times New Roman" w:hAnsi="Times New Roman" w:eastAsia="黑体" w:cs="Times New Roman"/>
              <w:sz w:val="28"/>
              <w:szCs w:val="28"/>
            </w:rPr>
            <w:fldChar w:fldCharType="end"/>
          </w:r>
        </w:p>
        <w:p w14:paraId="3FF4C1D7">
          <w:pPr>
            <w:pStyle w:val="16"/>
            <w:tabs>
              <w:tab w:val="right" w:leader="dot" w:pos="8306"/>
              <w:tab w:val="clear" w:pos="8296"/>
            </w:tabs>
            <w:rPr>
              <w:rFonts w:hint="default" w:ascii="Times New Roman" w:hAnsi="Times New Roman" w:cs="Times New Roman"/>
              <w:sz w:val="28"/>
              <w:szCs w:val="28"/>
            </w:rPr>
          </w:pPr>
          <w:r>
            <w:rPr>
              <w:rFonts w:hint="default" w:ascii="Times New Roman" w:hAnsi="Times New Roman" w:eastAsia="黑体" w:cs="Times New Roman"/>
              <w:sz w:val="28"/>
              <w:szCs w:val="28"/>
            </w:rPr>
            <w:fldChar w:fldCharType="begin"/>
          </w:r>
          <w:r>
            <w:rPr>
              <w:rFonts w:hint="default" w:ascii="Times New Roman" w:hAnsi="Times New Roman" w:eastAsia="黑体" w:cs="Times New Roman"/>
              <w:sz w:val="28"/>
              <w:szCs w:val="28"/>
            </w:rPr>
            <w:instrText xml:space="preserve"> HYPERLINK \l _Toc30173 </w:instrText>
          </w:r>
          <w:r>
            <w:rPr>
              <w:rFonts w:hint="default" w:ascii="Times New Roman" w:hAnsi="Times New Roman" w:eastAsia="黑体" w:cs="Times New Roman"/>
              <w:sz w:val="28"/>
              <w:szCs w:val="28"/>
            </w:rPr>
            <w:fldChar w:fldCharType="separate"/>
          </w:r>
          <w:r>
            <w:rPr>
              <w:rFonts w:hint="default" w:ascii="Times New Roman" w:hAnsi="Times New Roman" w:eastAsia="仿宋" w:cs="Times New Roman"/>
              <w:bCs w:val="0"/>
              <w:sz w:val="28"/>
              <w:szCs w:val="28"/>
            </w:rPr>
            <w:t>九、 国有资本经营预算支出决算情况说明</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_Toc30173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12</w:t>
          </w:r>
          <w:r>
            <w:rPr>
              <w:rFonts w:hint="default" w:ascii="Times New Roman" w:hAnsi="Times New Roman" w:cs="Times New Roman"/>
              <w:sz w:val="28"/>
              <w:szCs w:val="28"/>
            </w:rPr>
            <w:fldChar w:fldCharType="end"/>
          </w:r>
          <w:r>
            <w:rPr>
              <w:rFonts w:hint="default" w:ascii="Times New Roman" w:hAnsi="Times New Roman" w:eastAsia="黑体" w:cs="Times New Roman"/>
              <w:sz w:val="28"/>
              <w:szCs w:val="28"/>
            </w:rPr>
            <w:fldChar w:fldCharType="end"/>
          </w:r>
        </w:p>
        <w:p w14:paraId="11BA820B">
          <w:pPr>
            <w:pStyle w:val="16"/>
            <w:tabs>
              <w:tab w:val="right" w:leader="dot" w:pos="8306"/>
              <w:tab w:val="clear" w:pos="8296"/>
            </w:tabs>
            <w:rPr>
              <w:rFonts w:hint="default" w:ascii="Times New Roman" w:hAnsi="Times New Roman" w:cs="Times New Roman"/>
              <w:sz w:val="28"/>
              <w:szCs w:val="28"/>
            </w:rPr>
          </w:pPr>
          <w:r>
            <w:rPr>
              <w:rFonts w:hint="default" w:ascii="Times New Roman" w:hAnsi="Times New Roman" w:eastAsia="黑体" w:cs="Times New Roman"/>
              <w:sz w:val="28"/>
              <w:szCs w:val="28"/>
            </w:rPr>
            <w:fldChar w:fldCharType="begin"/>
          </w:r>
          <w:r>
            <w:rPr>
              <w:rFonts w:hint="default" w:ascii="Times New Roman" w:hAnsi="Times New Roman" w:eastAsia="黑体" w:cs="Times New Roman"/>
              <w:sz w:val="28"/>
              <w:szCs w:val="28"/>
            </w:rPr>
            <w:instrText xml:space="preserve"> HYPERLINK \l _Toc10892 </w:instrText>
          </w:r>
          <w:r>
            <w:rPr>
              <w:rFonts w:hint="default" w:ascii="Times New Roman" w:hAnsi="Times New Roman" w:eastAsia="黑体" w:cs="Times New Roman"/>
              <w:sz w:val="28"/>
              <w:szCs w:val="28"/>
            </w:rPr>
            <w:fldChar w:fldCharType="separate"/>
          </w:r>
          <w:r>
            <w:rPr>
              <w:rFonts w:hint="default" w:ascii="Times New Roman" w:hAnsi="Times New Roman" w:eastAsia="仿宋" w:cs="Times New Roman"/>
              <w:bCs w:val="0"/>
              <w:sz w:val="28"/>
              <w:szCs w:val="28"/>
            </w:rPr>
            <w:t>十、 其他重要事项的情况说明</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_Toc10892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12</w:t>
          </w:r>
          <w:r>
            <w:rPr>
              <w:rFonts w:hint="default" w:ascii="Times New Roman" w:hAnsi="Times New Roman" w:cs="Times New Roman"/>
              <w:sz w:val="28"/>
              <w:szCs w:val="28"/>
            </w:rPr>
            <w:fldChar w:fldCharType="end"/>
          </w:r>
          <w:r>
            <w:rPr>
              <w:rFonts w:hint="default" w:ascii="Times New Roman" w:hAnsi="Times New Roman" w:eastAsia="黑体" w:cs="Times New Roman"/>
              <w:sz w:val="28"/>
              <w:szCs w:val="28"/>
            </w:rPr>
            <w:fldChar w:fldCharType="end"/>
          </w:r>
        </w:p>
        <w:p w14:paraId="4EC3A1F8">
          <w:pPr>
            <w:pStyle w:val="15"/>
            <w:tabs>
              <w:tab w:val="right" w:leader="dot" w:pos="8306"/>
              <w:tab w:val="clear" w:pos="8296"/>
            </w:tabs>
            <w:rPr>
              <w:rFonts w:hint="default" w:ascii="Times New Roman" w:hAnsi="Times New Roman" w:cs="Times New Roman"/>
              <w:sz w:val="28"/>
              <w:szCs w:val="28"/>
            </w:rPr>
          </w:pPr>
          <w:r>
            <w:rPr>
              <w:rFonts w:hint="default" w:ascii="Times New Roman" w:hAnsi="Times New Roman" w:eastAsia="黑体" w:cs="Times New Roman"/>
              <w:sz w:val="28"/>
              <w:szCs w:val="28"/>
            </w:rPr>
            <w:fldChar w:fldCharType="begin"/>
          </w:r>
          <w:r>
            <w:rPr>
              <w:rFonts w:hint="default" w:ascii="Times New Roman" w:hAnsi="Times New Roman" w:eastAsia="黑体" w:cs="Times New Roman"/>
              <w:sz w:val="28"/>
              <w:szCs w:val="28"/>
            </w:rPr>
            <w:instrText xml:space="preserve"> HYPERLINK \l _Toc1341 </w:instrText>
          </w:r>
          <w:r>
            <w:rPr>
              <w:rFonts w:hint="default" w:ascii="Times New Roman" w:hAnsi="Times New Roman" w:eastAsia="黑体" w:cs="Times New Roman"/>
              <w:sz w:val="28"/>
              <w:szCs w:val="28"/>
            </w:rPr>
            <w:fldChar w:fldCharType="separate"/>
          </w:r>
          <w:r>
            <w:rPr>
              <w:rFonts w:hint="default" w:ascii="Times New Roman" w:hAnsi="Times New Roman" w:eastAsia="仿宋" w:cs="Times New Roman"/>
              <w:bCs/>
              <w:sz w:val="28"/>
              <w:szCs w:val="28"/>
            </w:rPr>
            <w:t>第三部分 名词解释</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_Toc1341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14</w:t>
          </w:r>
          <w:r>
            <w:rPr>
              <w:rFonts w:hint="default" w:ascii="Times New Roman" w:hAnsi="Times New Roman" w:cs="Times New Roman"/>
              <w:sz w:val="28"/>
              <w:szCs w:val="28"/>
            </w:rPr>
            <w:fldChar w:fldCharType="end"/>
          </w:r>
          <w:r>
            <w:rPr>
              <w:rFonts w:hint="default" w:ascii="Times New Roman" w:hAnsi="Times New Roman" w:eastAsia="黑体" w:cs="Times New Roman"/>
              <w:sz w:val="28"/>
              <w:szCs w:val="28"/>
            </w:rPr>
            <w:fldChar w:fldCharType="end"/>
          </w:r>
        </w:p>
        <w:p w14:paraId="182850EE">
          <w:pPr>
            <w:pStyle w:val="15"/>
            <w:tabs>
              <w:tab w:val="right" w:leader="dot" w:pos="8306"/>
              <w:tab w:val="clear" w:pos="8296"/>
            </w:tabs>
            <w:rPr>
              <w:rFonts w:hint="default" w:ascii="Times New Roman" w:hAnsi="Times New Roman" w:cs="Times New Roman"/>
              <w:sz w:val="28"/>
              <w:szCs w:val="28"/>
            </w:rPr>
          </w:pPr>
          <w:r>
            <w:rPr>
              <w:rFonts w:hint="default" w:ascii="Times New Roman" w:hAnsi="Times New Roman" w:eastAsia="黑体" w:cs="Times New Roman"/>
              <w:sz w:val="28"/>
              <w:szCs w:val="28"/>
            </w:rPr>
            <w:fldChar w:fldCharType="begin"/>
          </w:r>
          <w:r>
            <w:rPr>
              <w:rFonts w:hint="default" w:ascii="Times New Roman" w:hAnsi="Times New Roman" w:eastAsia="黑体" w:cs="Times New Roman"/>
              <w:sz w:val="28"/>
              <w:szCs w:val="28"/>
            </w:rPr>
            <w:instrText xml:space="preserve"> HYPERLINK \l _Toc19486 </w:instrText>
          </w:r>
          <w:r>
            <w:rPr>
              <w:rFonts w:hint="default" w:ascii="Times New Roman" w:hAnsi="Times New Roman" w:eastAsia="黑体" w:cs="Times New Roman"/>
              <w:sz w:val="28"/>
              <w:szCs w:val="28"/>
            </w:rPr>
            <w:fldChar w:fldCharType="separate"/>
          </w:r>
          <w:r>
            <w:rPr>
              <w:rFonts w:hint="default" w:ascii="Times New Roman" w:hAnsi="Times New Roman" w:eastAsia="仿宋" w:cs="Times New Roman"/>
              <w:bCs/>
              <w:sz w:val="28"/>
              <w:szCs w:val="28"/>
            </w:rPr>
            <w:t>第四部分 附件</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_Toc19486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17</w:t>
          </w:r>
          <w:r>
            <w:rPr>
              <w:rFonts w:hint="default" w:ascii="Times New Roman" w:hAnsi="Times New Roman" w:cs="Times New Roman"/>
              <w:sz w:val="28"/>
              <w:szCs w:val="28"/>
            </w:rPr>
            <w:fldChar w:fldCharType="end"/>
          </w:r>
          <w:r>
            <w:rPr>
              <w:rFonts w:hint="default" w:ascii="Times New Roman" w:hAnsi="Times New Roman" w:eastAsia="黑体" w:cs="Times New Roman"/>
              <w:sz w:val="28"/>
              <w:szCs w:val="28"/>
            </w:rPr>
            <w:fldChar w:fldCharType="end"/>
          </w:r>
        </w:p>
        <w:p w14:paraId="1EBB3A5F">
          <w:pPr>
            <w:pStyle w:val="15"/>
            <w:tabs>
              <w:tab w:val="right" w:leader="dot" w:pos="8306"/>
              <w:tab w:val="clear" w:pos="8296"/>
            </w:tabs>
            <w:rPr>
              <w:rFonts w:hint="default" w:ascii="Times New Roman" w:hAnsi="Times New Roman" w:eastAsia="黑体" w:cs="Times New Roman"/>
              <w:sz w:val="28"/>
              <w:szCs w:val="28"/>
              <w:lang w:val="en-US" w:eastAsia="zh-CN"/>
            </w:rPr>
          </w:pPr>
          <w:r>
            <w:rPr>
              <w:rFonts w:hint="default" w:ascii="Times New Roman" w:hAnsi="Times New Roman" w:eastAsia="仿宋" w:cs="Times New Roman"/>
              <w:bCs/>
              <w:sz w:val="28"/>
              <w:szCs w:val="28"/>
              <w:lang w:eastAsia="zh-CN"/>
            </w:rPr>
            <w:t>第五部分</w:t>
          </w:r>
          <w:r>
            <w:rPr>
              <w:rFonts w:hint="default" w:ascii="Times New Roman" w:hAnsi="Times New Roman" w:eastAsia="仿宋" w:cs="Times New Roman"/>
              <w:bCs w:val="0"/>
              <w:kern w:val="2"/>
              <w:sz w:val="28"/>
              <w:szCs w:val="28"/>
              <w:lang w:val="en-US" w:eastAsia="zh-CN" w:bidi="ar-SA"/>
            </w:rPr>
            <w:t xml:space="preserve"> </w:t>
          </w:r>
          <w:r>
            <w:rPr>
              <w:rFonts w:hint="default" w:ascii="Times New Roman" w:hAnsi="Times New Roman" w:eastAsia="仿宋" w:cs="Times New Roman"/>
              <w:bCs w:val="0"/>
              <w:kern w:val="2"/>
              <w:sz w:val="28"/>
              <w:szCs w:val="28"/>
              <w:lang w:val="en-US" w:eastAsia="zh-CN" w:bidi="ar-SA"/>
            </w:rPr>
            <w:fldChar w:fldCharType="begin"/>
          </w:r>
          <w:r>
            <w:rPr>
              <w:rFonts w:hint="default" w:ascii="Times New Roman" w:hAnsi="Times New Roman" w:eastAsia="仿宋" w:cs="Times New Roman"/>
              <w:bCs w:val="0"/>
              <w:kern w:val="2"/>
              <w:sz w:val="28"/>
              <w:szCs w:val="28"/>
              <w:lang w:val="en-US" w:eastAsia="zh-CN" w:bidi="ar-SA"/>
            </w:rPr>
            <w:instrText xml:space="preserve"> HYPERLINK \l _Toc28430 </w:instrText>
          </w:r>
          <w:r>
            <w:rPr>
              <w:rFonts w:hint="default" w:ascii="Times New Roman" w:hAnsi="Times New Roman" w:eastAsia="仿宋" w:cs="Times New Roman"/>
              <w:bCs w:val="0"/>
              <w:kern w:val="2"/>
              <w:sz w:val="28"/>
              <w:szCs w:val="28"/>
              <w:lang w:val="en-US" w:eastAsia="zh-CN" w:bidi="ar-SA"/>
            </w:rPr>
            <w:fldChar w:fldCharType="separate"/>
          </w:r>
          <w:r>
            <w:rPr>
              <w:rFonts w:hint="default" w:ascii="Times New Roman" w:hAnsi="Times New Roman" w:eastAsia="仿宋" w:cs="Times New Roman"/>
              <w:bCs w:val="0"/>
              <w:kern w:val="2"/>
              <w:sz w:val="28"/>
              <w:szCs w:val="28"/>
              <w:lang w:val="en-US" w:eastAsia="zh-CN" w:bidi="ar-SA"/>
            </w:rPr>
            <w:t>附件</w:t>
          </w:r>
          <w:r>
            <w:rPr>
              <w:rFonts w:hint="default" w:ascii="Times New Roman" w:hAnsi="Times New Roman" w:eastAsia="仿宋" w:cs="Times New Roman"/>
              <w:bCs w:val="0"/>
              <w:kern w:val="2"/>
              <w:sz w:val="28"/>
              <w:szCs w:val="28"/>
              <w:lang w:val="en-US" w:eastAsia="zh-CN" w:bidi="ar-SA"/>
            </w:rPr>
            <w:tab/>
          </w:r>
          <w:r>
            <w:rPr>
              <w:rFonts w:hint="default" w:ascii="Times New Roman" w:hAnsi="Times New Roman" w:eastAsia="仿宋" w:cs="Times New Roman"/>
              <w:bCs w:val="0"/>
              <w:kern w:val="2"/>
              <w:sz w:val="28"/>
              <w:szCs w:val="28"/>
              <w:lang w:val="en-US" w:eastAsia="zh-CN" w:bidi="ar-SA"/>
            </w:rPr>
            <w:t>2</w:t>
          </w:r>
          <w:r>
            <w:rPr>
              <w:rFonts w:hint="default" w:ascii="Times New Roman" w:hAnsi="Times New Roman" w:eastAsia="仿宋" w:cs="Times New Roman"/>
              <w:bCs w:val="0"/>
              <w:kern w:val="2"/>
              <w:sz w:val="28"/>
              <w:szCs w:val="28"/>
              <w:lang w:val="en-US" w:eastAsia="zh-CN" w:bidi="ar-SA"/>
            </w:rPr>
            <w:fldChar w:fldCharType="end"/>
          </w:r>
          <w:r>
            <w:rPr>
              <w:rFonts w:hint="eastAsia" w:ascii="Times New Roman" w:hAnsi="Times New Roman" w:cs="Times New Roman"/>
              <w:bCs w:val="0"/>
              <w:kern w:val="2"/>
              <w:sz w:val="28"/>
              <w:szCs w:val="28"/>
              <w:lang w:val="en-US" w:eastAsia="zh-CN" w:bidi="ar-SA"/>
            </w:rPr>
            <w:t>7</w:t>
          </w:r>
        </w:p>
        <w:p w14:paraId="5088A3B4">
          <w:pPr>
            <w:pageBreakBefore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黑体" w:hAnsi="黑体" w:eastAsia="黑体" w:cs="Times New Roman"/>
              <w:b/>
              <w:bCs/>
              <w:kern w:val="44"/>
              <w:sz w:val="44"/>
              <w:szCs w:val="44"/>
              <w:lang w:val="en-US" w:eastAsia="zh-CN" w:bidi="ar-SA"/>
            </w:rPr>
          </w:pPr>
          <w:r>
            <w:rPr>
              <w:rFonts w:hint="default" w:ascii="Times New Roman" w:hAnsi="Times New Roman" w:eastAsia="黑体" w:cs="Times New Roman"/>
              <w:sz w:val="28"/>
              <w:szCs w:val="28"/>
            </w:rPr>
            <w:fldChar w:fldCharType="end"/>
          </w:r>
        </w:p>
      </w:sdtContent>
    </w:sdt>
    <w:sdt>
      <w:sdtPr>
        <w:rPr>
          <w:rFonts w:hint="default" w:ascii="Times New Roman" w:hAnsi="Times New Roman" w:eastAsia="宋体" w:cs="Times New Roman"/>
          <w:kern w:val="2"/>
          <w:sz w:val="21"/>
          <w:szCs w:val="24"/>
          <w:lang w:val="en-US" w:eastAsia="zh-CN" w:bidi="ar-SA"/>
        </w:rPr>
        <w:id w:val="147482239"/>
        <w:showingPlcHdr/>
        <w15:color w:val="DBDBDB"/>
        <w:docPartObj>
          <w:docPartGallery w:val="Table of Contents"/>
          <w:docPartUnique/>
        </w:docPartObj>
      </w:sdtPr>
      <w:sdtEndPr>
        <w:rPr>
          <w:rFonts w:hint="eastAsia" w:ascii="黑体" w:hAnsi="黑体" w:eastAsia="黑体" w:cs="Times New Roman"/>
          <w:b/>
          <w:bCs/>
          <w:kern w:val="44"/>
          <w:sz w:val="44"/>
          <w:szCs w:val="44"/>
          <w:lang w:val="en-US" w:eastAsia="zh-CN" w:bidi="ar-SA"/>
        </w:rPr>
      </w:sdtEndPr>
      <w:sdtContent>
        <w:p w14:paraId="631C23AD">
          <w:pPr>
            <w:pageBreakBefore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黑体" w:hAnsi="黑体" w:eastAsia="黑体"/>
              <w:b w:val="0"/>
            </w:rPr>
            <w:sectPr>
              <w:footerReference r:id="rId4" w:type="first"/>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sdtContent>
    </w:sdt>
    <w:p w14:paraId="1C007AAE">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楷体_GB2312" w:hAnsi="楷体_GB2312" w:eastAsia="楷体_GB2312" w:cs="楷体_GB2312"/>
          <w:b/>
          <w:bCs/>
          <w:sz w:val="32"/>
          <w:szCs w:val="32"/>
        </w:rPr>
      </w:pPr>
      <w:bookmarkStart w:id="14" w:name="_Toc31844"/>
      <w:r>
        <w:rPr>
          <w:rFonts w:hint="eastAsia" w:ascii="黑体" w:hAnsi="黑体" w:eastAsia="黑体" w:cs="黑体"/>
          <w:sz w:val="32"/>
          <w:szCs w:val="32"/>
        </w:rPr>
        <w:t>第一部分 部门概况</w:t>
      </w:r>
      <w:bookmarkEnd w:id="12"/>
      <w:bookmarkEnd w:id="13"/>
      <w:bookmarkEnd w:id="14"/>
      <w:bookmarkStart w:id="15" w:name="_Toc15377197"/>
      <w:bookmarkStart w:id="16" w:name="_Toc22300"/>
      <w:bookmarkStart w:id="17" w:name="_Toc15396600"/>
    </w:p>
    <w:p w14:paraId="3420E3E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一、基本职能</w:t>
      </w:r>
      <w:bookmarkEnd w:id="15"/>
      <w:bookmarkEnd w:id="16"/>
      <w:bookmarkEnd w:id="17"/>
    </w:p>
    <w:p w14:paraId="22B530F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bookmarkStart w:id="18" w:name="_Toc15396601"/>
      <w:bookmarkStart w:id="19" w:name="_Toc32346"/>
      <w:bookmarkStart w:id="20" w:name="_Toc15377200"/>
      <w:r>
        <w:rPr>
          <w:rFonts w:hint="default" w:ascii="Times New Roman" w:hAnsi="Times New Roman" w:eastAsia="仿宋_GB2312" w:cs="Times New Roman"/>
          <w:sz w:val="32"/>
          <w:szCs w:val="32"/>
        </w:rPr>
        <w:t>负责全县各级党组织建设；负责全县的干部管理工作；负责全县公务员工作；负责全县人才工作的宏观指导、组织协调和督促检查；负责全县干部教育培训工作的宏观指导、政策规划、组织协调和督促检查；负责全县干部监督工作的宏观指导和综合协调、制定和落实干部监督工作制度；</w:t>
      </w:r>
      <w:r>
        <w:rPr>
          <w:rFonts w:hint="default" w:ascii="Times New Roman" w:hAnsi="Times New Roman" w:eastAsia="仿宋_GB2312" w:cs="Times New Roman"/>
          <w:sz w:val="32"/>
          <w:szCs w:val="32"/>
          <w:lang w:eastAsia="zh-CN"/>
        </w:rPr>
        <w:t>负责</w:t>
      </w:r>
      <w:r>
        <w:rPr>
          <w:rFonts w:hint="default" w:ascii="Times New Roman" w:hAnsi="Times New Roman" w:eastAsia="仿宋_GB2312" w:cs="Times New Roman"/>
          <w:sz w:val="32"/>
          <w:szCs w:val="32"/>
        </w:rPr>
        <w:t>全县老干部工作；承担县委党建领导小组、县人才工作领导小组日常工作；承办县委、州委组织部交办的其他</w:t>
      </w:r>
      <w:r>
        <w:rPr>
          <w:rFonts w:hint="default" w:ascii="Times New Roman" w:hAnsi="Times New Roman" w:eastAsia="仿宋_GB2312" w:cs="Times New Roman"/>
          <w:sz w:val="32"/>
          <w:szCs w:val="32"/>
          <w:lang w:eastAsia="zh-CN"/>
        </w:rPr>
        <w:t>工作</w:t>
      </w:r>
      <w:r>
        <w:rPr>
          <w:rFonts w:hint="default" w:ascii="Times New Roman" w:hAnsi="Times New Roman" w:eastAsia="仿宋_GB2312" w:cs="Times New Roman"/>
          <w:sz w:val="32"/>
          <w:szCs w:val="32"/>
        </w:rPr>
        <w:t>事项。</w:t>
      </w:r>
    </w:p>
    <w:p w14:paraId="53F17CC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楷体_GB2312" w:hAnsi="楷体_GB2312" w:eastAsia="楷体_GB2312" w:cs="楷体_GB2312"/>
          <w:b/>
          <w:bCs/>
          <w:sz w:val="32"/>
          <w:szCs w:val="32"/>
        </w:rPr>
      </w:pPr>
      <w:r>
        <w:rPr>
          <w:rFonts w:hint="default" w:ascii="楷体_GB2312" w:hAnsi="楷体_GB2312" w:eastAsia="楷体_GB2312" w:cs="楷体_GB2312"/>
          <w:b/>
          <w:bCs/>
          <w:sz w:val="32"/>
          <w:szCs w:val="32"/>
        </w:rPr>
        <w:t>二、机构设置</w:t>
      </w:r>
      <w:bookmarkEnd w:id="18"/>
      <w:bookmarkEnd w:id="19"/>
      <w:bookmarkEnd w:id="20"/>
    </w:p>
    <w:p w14:paraId="16A8C5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rPr>
        <w:t>中共阿坝州壤塘县委员会组织部</w:t>
      </w:r>
      <w:r>
        <w:rPr>
          <w:rFonts w:hint="default" w:ascii="Times New Roman" w:hAnsi="Times New Roman" w:eastAsia="仿宋_GB2312" w:cs="Times New Roman"/>
          <w:sz w:val="32"/>
          <w:szCs w:val="32"/>
          <w:lang w:val="en-US" w:eastAsia="zh-CN"/>
        </w:rPr>
        <w:t>为一级预算单位，基本性质为行政单位。纳入2022年度部门决算编制范围的一级预算单位包括：</w:t>
      </w:r>
    </w:p>
    <w:p w14:paraId="79901E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eastAsia" w:eastAsia="仿宋_GB2312" w:cs="Times New Roman"/>
          <w:sz w:val="32"/>
          <w:szCs w:val="32"/>
          <w:lang w:val="en-US" w:eastAsia="zh-CN"/>
        </w:rPr>
        <w:t>中共壤塘</w:t>
      </w:r>
      <w:r>
        <w:rPr>
          <w:rFonts w:hint="default" w:ascii="Times New Roman" w:hAnsi="Times New Roman" w:eastAsia="仿宋_GB2312" w:cs="Times New Roman"/>
          <w:sz w:val="32"/>
          <w:szCs w:val="32"/>
          <w:lang w:val="en-US" w:eastAsia="zh-CN"/>
        </w:rPr>
        <w:t>县委组织部</w:t>
      </w:r>
    </w:p>
    <w:p w14:paraId="03261C8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rPr>
      </w:pPr>
      <w:r>
        <w:rPr>
          <w:rFonts w:hint="default" w:ascii="Times New Roman" w:hAnsi="Times New Roman" w:eastAsia="仿宋_GB2312" w:cs="Times New Roman"/>
          <w:sz w:val="32"/>
          <w:szCs w:val="32"/>
          <w:lang w:val="en-US" w:eastAsia="zh-CN"/>
        </w:rPr>
        <w:t>2、</w:t>
      </w:r>
      <w:r>
        <w:rPr>
          <w:rFonts w:hint="eastAsia" w:eastAsia="仿宋_GB2312" w:cs="Times New Roman"/>
          <w:sz w:val="32"/>
          <w:szCs w:val="32"/>
          <w:lang w:val="en-US" w:eastAsia="zh-CN"/>
        </w:rPr>
        <w:t>中共壤塘</w:t>
      </w:r>
      <w:r>
        <w:rPr>
          <w:rFonts w:hint="default" w:ascii="Times New Roman" w:hAnsi="Times New Roman" w:eastAsia="仿宋_GB2312" w:cs="Times New Roman"/>
          <w:sz w:val="32"/>
          <w:szCs w:val="32"/>
          <w:lang w:val="en-US" w:eastAsia="zh-CN"/>
        </w:rPr>
        <w:t>县委组织部干部档案管理中心</w:t>
      </w:r>
    </w:p>
    <w:p w14:paraId="2682B26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sz w:val="32"/>
          <w:szCs w:val="32"/>
        </w:rPr>
      </w:pPr>
      <w:r>
        <w:rPr>
          <w:rFonts w:hint="eastAsia" w:ascii="仿宋_GB2312" w:hAnsi="仿宋_GB2312" w:eastAsia="仿宋_GB2312" w:cs="仿宋_GB2312"/>
          <w:sz w:val="32"/>
          <w:szCs w:val="32"/>
        </w:rPr>
        <w:br w:type="page"/>
      </w:r>
      <w:bookmarkStart w:id="21" w:name="_Toc9893"/>
      <w:bookmarkStart w:id="22" w:name="_Toc15396602"/>
      <w:bookmarkStart w:id="23" w:name="_Toc15377204"/>
      <w:r>
        <w:rPr>
          <w:rFonts w:hint="eastAsia" w:ascii="黑体" w:hAnsi="黑体" w:eastAsia="黑体" w:cs="黑体"/>
          <w:b w:val="0"/>
          <w:bCs w:val="0"/>
          <w:kern w:val="2"/>
          <w:sz w:val="32"/>
          <w:szCs w:val="32"/>
          <w:lang w:val="en-US" w:eastAsia="zh-CN" w:bidi="ar-SA"/>
        </w:rPr>
        <w:t>第二部分 2022年度部门决算情况说明</w:t>
      </w:r>
      <w:bookmarkEnd w:id="21"/>
      <w:bookmarkEnd w:id="22"/>
      <w:bookmarkEnd w:id="23"/>
    </w:p>
    <w:p w14:paraId="33FF1A0A">
      <w:pPr>
        <w:pStyle w:val="3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360" w:leftChars="0" w:hanging="720" w:firstLineChars="0"/>
        <w:textAlignment w:val="auto"/>
        <w:outlineLvl w:val="1"/>
        <w:rPr>
          <w:rFonts w:hint="default" w:ascii="楷体_GB2312" w:hAnsi="楷体_GB2312" w:eastAsia="楷体_GB2312" w:cs="楷体_GB2312"/>
          <w:b/>
          <w:bCs/>
          <w:kern w:val="2"/>
          <w:sz w:val="32"/>
          <w:szCs w:val="32"/>
          <w:lang w:val="en-US" w:eastAsia="zh-CN" w:bidi="ar-SA"/>
        </w:rPr>
      </w:pPr>
      <w:bookmarkStart w:id="24" w:name="_Toc18208"/>
      <w:bookmarkStart w:id="25" w:name="_Toc15396603"/>
      <w:bookmarkStart w:id="26" w:name="_Toc15377205"/>
    </w:p>
    <w:p w14:paraId="55436B3E">
      <w:pPr>
        <w:pStyle w:val="3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360" w:leftChars="0" w:hanging="720" w:firstLineChars="0"/>
        <w:textAlignment w:val="auto"/>
        <w:outlineLvl w:val="1"/>
        <w:rPr>
          <w:rFonts w:hint="default" w:ascii="楷体_GB2312" w:hAnsi="楷体_GB2312" w:eastAsia="楷体_GB2312" w:cs="楷体_GB2312"/>
          <w:b/>
          <w:bCs/>
          <w:kern w:val="2"/>
          <w:sz w:val="32"/>
          <w:szCs w:val="32"/>
          <w:lang w:val="en-US" w:eastAsia="zh-CN" w:bidi="ar-SA"/>
        </w:rPr>
      </w:pPr>
      <w:r>
        <w:rPr>
          <w:rFonts w:hint="default" w:ascii="楷体_GB2312" w:hAnsi="楷体_GB2312" w:eastAsia="楷体_GB2312" w:cs="楷体_GB2312"/>
          <w:b/>
          <w:bCs/>
          <w:kern w:val="2"/>
          <w:sz w:val="32"/>
          <w:szCs w:val="32"/>
          <w:lang w:val="en-US" w:eastAsia="zh-CN" w:bidi="ar-SA"/>
        </w:rPr>
        <w:t>一、收入支出决算总体情况说明</w:t>
      </w:r>
      <w:bookmarkEnd w:id="24"/>
      <w:bookmarkEnd w:id="25"/>
      <w:bookmarkEnd w:id="26"/>
    </w:p>
    <w:p w14:paraId="32CEEF5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Style w:val="45"/>
          <w:rFonts w:hint="default" w:ascii="Times New Roman" w:hAnsi="Times New Roman" w:eastAsia="仿宋_GB2312" w:cs="Times New Roman"/>
          <w:sz w:val="32"/>
          <w:szCs w:val="32"/>
          <w:lang w:val="en-US" w:eastAsia="zh-CN"/>
        </w:rPr>
        <w:t>2022年度收入、支出各总计1731.19万元。与2021年相比，收、支总计各增加95.22万元，上升5.5%。主要变动原因项目较2022年增加，相应的项目资金也增加。</w:t>
      </w:r>
    </w:p>
    <w:p w14:paraId="66157BA2">
      <w:pPr>
        <w:pStyle w:val="25"/>
        <w:jc w:val="center"/>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drawing>
          <wp:inline distT="0" distB="0" distL="114300" distR="114300">
            <wp:extent cx="4079875" cy="2802890"/>
            <wp:effectExtent l="4445" t="4445" r="11430" b="1206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1772F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45"/>
          <w:rFonts w:hint="default" w:ascii="Times New Roman" w:hAnsi="Times New Roman" w:eastAsia="仿宋_GB2312" w:cs="Times New Roman"/>
          <w:sz w:val="32"/>
          <w:szCs w:val="32"/>
          <w:lang w:val="en-US" w:eastAsia="zh-CN"/>
        </w:rPr>
      </w:pPr>
      <w:r>
        <w:rPr>
          <w:rStyle w:val="45"/>
          <w:rFonts w:hint="default" w:ascii="Times New Roman" w:hAnsi="Times New Roman" w:eastAsia="仿宋_GB2312" w:cs="Times New Roman"/>
          <w:sz w:val="32"/>
          <w:szCs w:val="32"/>
          <w:lang w:val="en-US" w:eastAsia="zh-CN"/>
        </w:rPr>
        <w:t>（图1：收、支决算总计变动情况图）（柱状图）</w:t>
      </w:r>
    </w:p>
    <w:p w14:paraId="5BA079B2">
      <w:pPr>
        <w:pStyle w:val="3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360" w:leftChars="0" w:hanging="720" w:firstLineChars="0"/>
        <w:textAlignment w:val="auto"/>
        <w:outlineLvl w:val="1"/>
        <w:rPr>
          <w:rFonts w:hint="default" w:ascii="楷体_GB2312" w:hAnsi="楷体_GB2312" w:eastAsia="楷体_GB2312" w:cs="楷体_GB2312"/>
          <w:b/>
          <w:bCs/>
          <w:kern w:val="2"/>
          <w:sz w:val="32"/>
          <w:szCs w:val="32"/>
          <w:lang w:val="en-US" w:eastAsia="zh-CN" w:bidi="ar-SA"/>
        </w:rPr>
      </w:pPr>
      <w:bookmarkStart w:id="27" w:name="_Toc15377206"/>
      <w:bookmarkStart w:id="28" w:name="_Toc15396604"/>
      <w:bookmarkStart w:id="29" w:name="_Toc32582"/>
      <w:r>
        <w:rPr>
          <w:rFonts w:hint="default" w:ascii="楷体_GB2312" w:hAnsi="楷体_GB2312" w:eastAsia="楷体_GB2312" w:cs="楷体_GB2312"/>
          <w:b/>
          <w:bCs/>
          <w:kern w:val="2"/>
          <w:sz w:val="32"/>
          <w:szCs w:val="32"/>
          <w:lang w:val="en-US" w:eastAsia="zh-CN" w:bidi="ar-SA"/>
        </w:rPr>
        <w:t>二、收入决算情况说明</w:t>
      </w:r>
      <w:bookmarkEnd w:id="27"/>
      <w:bookmarkEnd w:id="28"/>
      <w:bookmarkEnd w:id="29"/>
    </w:p>
    <w:p w14:paraId="6425B0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45"/>
          <w:rFonts w:hint="default" w:ascii="Times New Roman" w:hAnsi="Times New Roman" w:eastAsia="仿宋_GB2312" w:cs="Times New Roman"/>
          <w:sz w:val="32"/>
          <w:szCs w:val="32"/>
          <w:lang w:val="en-US" w:eastAsia="zh-CN"/>
        </w:rPr>
      </w:pPr>
      <w:bookmarkStart w:id="30" w:name="_Toc13887"/>
      <w:bookmarkStart w:id="31" w:name="_Toc5986"/>
      <w:r>
        <w:rPr>
          <w:rStyle w:val="45"/>
          <w:rFonts w:hint="default" w:ascii="Times New Roman" w:hAnsi="Times New Roman" w:eastAsia="仿宋_GB2312" w:cs="Times New Roman"/>
          <w:sz w:val="32"/>
          <w:szCs w:val="32"/>
          <w:lang w:val="en-US" w:eastAsia="zh-CN"/>
        </w:rPr>
        <w:t>2022年本年收入合计1799.82万元，其中：一般公共预算财政拨款收入1799.82万元，占100%；政府性基金预算财政拨款收入0万元，占0%；国有资本经营预算财政拨款收入0万元，占0%；上级补助收入0万元，占0%；事业收入0万元，占0%；经营收入0万元，占0%；附属单位上缴收入0万元，占0%；其他收入0万元，占0%。</w:t>
      </w:r>
      <w:bookmarkEnd w:id="30"/>
      <w:bookmarkEnd w:id="31"/>
    </w:p>
    <w:p w14:paraId="7B647259">
      <w:pPr>
        <w:pStyle w:val="25"/>
        <w:rPr>
          <w:rFonts w:hint="default" w:ascii="Times New Roman" w:hAnsi="Times New Roman" w:eastAsia="仿宋_GB2312" w:cs="Times New Roman"/>
          <w:b/>
          <w:sz w:val="32"/>
          <w:szCs w:val="32"/>
        </w:rPr>
      </w:pPr>
    </w:p>
    <w:p w14:paraId="49027BD8">
      <w:pPr>
        <w:pStyle w:val="25"/>
        <w:jc w:val="center"/>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lang w:eastAsia="zh-CN"/>
        </w:rPr>
        <w:drawing>
          <wp:inline distT="0" distB="0" distL="114300" distR="114300">
            <wp:extent cx="3950335" cy="2141220"/>
            <wp:effectExtent l="5080" t="4445" r="6985" b="698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FE58E1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（图2：收入决算结构图）（饼状图）</w:t>
      </w:r>
    </w:p>
    <w:p w14:paraId="7BE625A7">
      <w:pPr>
        <w:pStyle w:val="3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360" w:leftChars="0" w:hanging="720" w:firstLineChars="0"/>
        <w:textAlignment w:val="auto"/>
        <w:outlineLvl w:val="1"/>
        <w:rPr>
          <w:rFonts w:hint="default" w:ascii="楷体_GB2312" w:hAnsi="楷体_GB2312" w:eastAsia="楷体_GB2312" w:cs="楷体_GB2312"/>
          <w:b/>
          <w:bCs/>
          <w:kern w:val="2"/>
          <w:sz w:val="32"/>
          <w:szCs w:val="32"/>
          <w:lang w:val="en-US" w:eastAsia="zh-CN" w:bidi="ar-SA"/>
        </w:rPr>
      </w:pPr>
      <w:bookmarkStart w:id="32" w:name="_Toc6400"/>
      <w:bookmarkStart w:id="33" w:name="_Toc15396605"/>
      <w:bookmarkStart w:id="34" w:name="_Toc15377207"/>
      <w:r>
        <w:rPr>
          <w:rFonts w:hint="default" w:ascii="楷体_GB2312" w:hAnsi="楷体_GB2312" w:eastAsia="楷体_GB2312" w:cs="楷体_GB2312"/>
          <w:b/>
          <w:bCs/>
          <w:kern w:val="2"/>
          <w:sz w:val="32"/>
          <w:szCs w:val="32"/>
          <w:lang w:val="en-US" w:eastAsia="zh-CN" w:bidi="ar-SA"/>
        </w:rPr>
        <w:t>三、支出决算情况说明</w:t>
      </w:r>
      <w:bookmarkEnd w:id="32"/>
      <w:bookmarkEnd w:id="33"/>
      <w:bookmarkEnd w:id="34"/>
    </w:p>
    <w:p w14:paraId="7377775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rPr>
      </w:pPr>
      <w:bookmarkStart w:id="35" w:name="_Toc25808"/>
      <w:bookmarkStart w:id="36" w:name="_Toc20789"/>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年本年支出合计</w:t>
      </w:r>
      <w:r>
        <w:rPr>
          <w:rStyle w:val="45"/>
          <w:rFonts w:hint="default" w:ascii="Times New Roman" w:hAnsi="Times New Roman" w:eastAsia="仿宋_GB2312" w:cs="Times New Roman"/>
          <w:sz w:val="32"/>
          <w:szCs w:val="32"/>
          <w:lang w:val="en-US" w:eastAsia="zh-CN"/>
        </w:rPr>
        <w:t>1799.82</w:t>
      </w:r>
      <w:r>
        <w:rPr>
          <w:rFonts w:hint="default" w:ascii="Times New Roman" w:hAnsi="Times New Roman" w:eastAsia="仿宋_GB2312" w:cs="Times New Roman"/>
          <w:sz w:val="32"/>
          <w:szCs w:val="32"/>
        </w:rPr>
        <w:t>万元，其中：基本支出</w:t>
      </w:r>
      <w:r>
        <w:rPr>
          <w:rFonts w:hint="default" w:ascii="Times New Roman" w:hAnsi="Times New Roman" w:eastAsia="仿宋_GB2312" w:cs="Times New Roman"/>
          <w:sz w:val="32"/>
          <w:szCs w:val="32"/>
          <w:lang w:val="en-US" w:eastAsia="zh-CN"/>
        </w:rPr>
        <w:t>719.11</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39.95</w:t>
      </w:r>
      <w:r>
        <w:rPr>
          <w:rFonts w:hint="default" w:ascii="Times New Roman" w:hAnsi="Times New Roman" w:eastAsia="仿宋_GB2312" w:cs="Times New Roman"/>
          <w:sz w:val="32"/>
          <w:szCs w:val="32"/>
        </w:rPr>
        <w:t>%；项目支出</w:t>
      </w:r>
      <w:r>
        <w:rPr>
          <w:rFonts w:hint="default" w:ascii="Times New Roman" w:hAnsi="Times New Roman" w:eastAsia="仿宋_GB2312" w:cs="Times New Roman"/>
          <w:sz w:val="32"/>
          <w:szCs w:val="32"/>
          <w:lang w:val="en-US" w:eastAsia="zh-CN"/>
        </w:rPr>
        <w:t>1080.71</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60.05</w:t>
      </w:r>
      <w:r>
        <w:rPr>
          <w:rFonts w:hint="default" w:ascii="Times New Roman" w:hAnsi="Times New Roman" w:eastAsia="仿宋_GB2312" w:cs="Times New Roman"/>
          <w:sz w:val="32"/>
          <w:szCs w:val="32"/>
        </w:rPr>
        <w:t>%；上缴上级支出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%；经营支出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%；对附属单位补助支出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w:t>
      </w:r>
      <w:bookmarkEnd w:id="35"/>
      <w:bookmarkEnd w:id="36"/>
    </w:p>
    <w:p w14:paraId="22F41F18">
      <w:pPr>
        <w:pStyle w:val="25"/>
        <w:jc w:val="center"/>
        <w:rPr>
          <w:rFonts w:hint="default" w:ascii="Times New Roman" w:hAnsi="Times New Roman" w:eastAsia="仿宋_GB2312" w:cs="Times New Roman"/>
          <w:sz w:val="32"/>
          <w:szCs w:val="32"/>
          <w:shd w:val="pct10" w:color="auto" w:fill="FFFFFF"/>
          <w:lang w:eastAsia="zh-CN"/>
        </w:rPr>
      </w:pPr>
      <w:r>
        <w:rPr>
          <w:rFonts w:hint="default" w:ascii="Times New Roman" w:hAnsi="Times New Roman" w:eastAsia="仿宋_GB2312" w:cs="Times New Roman"/>
          <w:sz w:val="32"/>
          <w:szCs w:val="32"/>
          <w:shd w:val="pct10" w:color="auto" w:fill="FFFFFF"/>
          <w:lang w:eastAsia="zh-CN"/>
        </w:rPr>
        <w:drawing>
          <wp:inline distT="0" distB="0" distL="114300" distR="114300">
            <wp:extent cx="4127500" cy="2525395"/>
            <wp:effectExtent l="4445" t="5080" r="20955" b="2222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91AB64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（图3：支出决算结构图）（饼状图）</w:t>
      </w:r>
    </w:p>
    <w:p w14:paraId="6700671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楷体_GB2312" w:hAnsi="楷体_GB2312" w:eastAsia="楷体_GB2312" w:cs="楷体_GB2312"/>
          <w:b/>
          <w:bCs/>
          <w:sz w:val="32"/>
          <w:szCs w:val="32"/>
        </w:rPr>
      </w:pPr>
      <w:bookmarkStart w:id="37" w:name="_Toc15396606"/>
      <w:bookmarkStart w:id="38" w:name="_Toc6272"/>
      <w:bookmarkStart w:id="39" w:name="_Toc15377208"/>
      <w:r>
        <w:rPr>
          <w:rFonts w:hint="default" w:ascii="楷体_GB2312" w:hAnsi="楷体_GB2312" w:eastAsia="楷体_GB2312" w:cs="楷体_GB2312"/>
          <w:b/>
          <w:bCs/>
          <w:sz w:val="32"/>
          <w:szCs w:val="32"/>
        </w:rPr>
        <w:t>四、财政拨款收入支出决算总体情况说明</w:t>
      </w:r>
      <w:bookmarkEnd w:id="37"/>
      <w:bookmarkEnd w:id="38"/>
      <w:bookmarkEnd w:id="39"/>
    </w:p>
    <w:p w14:paraId="55FAE682">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年财政拨款收、支总计</w:t>
      </w:r>
      <w:r>
        <w:rPr>
          <w:rFonts w:hint="default" w:ascii="Times New Roman" w:hAnsi="Times New Roman" w:eastAsia="仿宋_GB2312" w:cs="Times New Roman"/>
          <w:sz w:val="32"/>
          <w:szCs w:val="32"/>
          <w:lang w:val="en-US" w:eastAsia="zh-CN"/>
        </w:rPr>
        <w:t>1799.82</w:t>
      </w:r>
      <w:r>
        <w:rPr>
          <w:rFonts w:hint="default" w:ascii="Times New Roman" w:hAnsi="Times New Roman" w:eastAsia="仿宋_GB2312" w:cs="Times New Roman"/>
          <w:sz w:val="32"/>
          <w:szCs w:val="32"/>
        </w:rPr>
        <w:t>万元。与202</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年相比，财政拨款收、支总计各</w:t>
      </w:r>
      <w:r>
        <w:rPr>
          <w:rFonts w:hint="default" w:ascii="Times New Roman" w:hAnsi="Times New Roman" w:eastAsia="仿宋_GB2312" w:cs="Times New Roman"/>
          <w:sz w:val="32"/>
          <w:szCs w:val="32"/>
          <w:lang w:val="en-US" w:eastAsia="zh-CN"/>
        </w:rPr>
        <w:t>增加164.03</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val="en-US" w:eastAsia="zh-CN"/>
        </w:rPr>
        <w:t>上升9.11</w:t>
      </w:r>
      <w:r>
        <w:rPr>
          <w:rFonts w:hint="default" w:ascii="Times New Roman" w:hAnsi="Times New Roman" w:eastAsia="仿宋_GB2312" w:cs="Times New Roman"/>
          <w:sz w:val="32"/>
          <w:szCs w:val="32"/>
        </w:rPr>
        <w:t>%。主要变动原因</w:t>
      </w:r>
      <w:r>
        <w:rPr>
          <w:rFonts w:hint="default" w:ascii="Times New Roman" w:hAnsi="Times New Roman" w:eastAsia="仿宋_GB2312" w:cs="Times New Roman"/>
          <w:sz w:val="32"/>
          <w:szCs w:val="32"/>
          <w:lang w:eastAsia="zh-CN"/>
        </w:rPr>
        <w:t>项目</w:t>
      </w:r>
      <w:r>
        <w:rPr>
          <w:rFonts w:hint="default" w:ascii="Times New Roman" w:hAnsi="Times New Roman" w:eastAsia="仿宋_GB2312" w:cs="Times New Roman"/>
          <w:sz w:val="32"/>
          <w:szCs w:val="32"/>
          <w:lang w:val="en-US" w:eastAsia="zh-CN"/>
        </w:rPr>
        <w:t>增加</w:t>
      </w:r>
      <w:r>
        <w:rPr>
          <w:rFonts w:hint="default" w:ascii="Times New Roman" w:hAnsi="Times New Roman" w:eastAsia="仿宋_GB2312" w:cs="Times New Roman"/>
          <w:sz w:val="32"/>
          <w:szCs w:val="32"/>
          <w:lang w:eastAsia="zh-CN"/>
        </w:rPr>
        <w:t>，相应的项目资金</w:t>
      </w:r>
      <w:r>
        <w:rPr>
          <w:rFonts w:hint="default" w:ascii="Times New Roman" w:hAnsi="Times New Roman" w:eastAsia="仿宋_GB2312" w:cs="Times New Roman"/>
          <w:sz w:val="32"/>
          <w:szCs w:val="32"/>
          <w:lang w:val="en-US" w:eastAsia="zh-CN"/>
        </w:rPr>
        <w:t>增加</w:t>
      </w:r>
      <w:r>
        <w:rPr>
          <w:rFonts w:hint="default" w:ascii="Times New Roman" w:hAnsi="Times New Roman" w:eastAsia="仿宋_GB2312" w:cs="Times New Roman"/>
          <w:sz w:val="32"/>
          <w:szCs w:val="32"/>
          <w:lang w:eastAsia="zh-CN"/>
        </w:rPr>
        <w:t>。</w:t>
      </w:r>
    </w:p>
    <w:p w14:paraId="7FC06A80">
      <w:pPr>
        <w:pStyle w:val="25"/>
        <w:jc w:val="center"/>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lang w:eastAsia="zh-CN"/>
        </w:rPr>
        <w:drawing>
          <wp:inline distT="0" distB="0" distL="114300" distR="114300">
            <wp:extent cx="4420235" cy="2554605"/>
            <wp:effectExtent l="4445" t="4445" r="13970" b="12700"/>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12C96D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bCs/>
          <w:sz w:val="32"/>
          <w:szCs w:val="32"/>
        </w:rPr>
        <w:t>（图4：财政拨款收、支决算总计变动情况）（柱状图）</w:t>
      </w:r>
    </w:p>
    <w:p w14:paraId="3BF71E2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楷体_GB2312" w:hAnsi="楷体_GB2312" w:eastAsia="楷体_GB2312" w:cs="楷体_GB2312"/>
          <w:b/>
          <w:bCs/>
          <w:sz w:val="32"/>
          <w:szCs w:val="32"/>
        </w:rPr>
      </w:pPr>
      <w:bookmarkStart w:id="40" w:name="_Toc15377209"/>
      <w:bookmarkStart w:id="41" w:name="_Toc14948"/>
      <w:bookmarkStart w:id="42" w:name="_Toc15396607"/>
      <w:r>
        <w:rPr>
          <w:rFonts w:hint="default" w:ascii="楷体_GB2312" w:hAnsi="楷体_GB2312" w:eastAsia="楷体_GB2312" w:cs="楷体_GB2312"/>
          <w:b/>
          <w:bCs/>
          <w:sz w:val="32"/>
          <w:szCs w:val="32"/>
        </w:rPr>
        <w:t>五、一般公共预算财政拨款支出决算情况说明</w:t>
      </w:r>
      <w:bookmarkEnd w:id="40"/>
      <w:bookmarkEnd w:id="41"/>
      <w:bookmarkEnd w:id="42"/>
    </w:p>
    <w:p w14:paraId="4139F06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hint="default" w:ascii="Times New Roman" w:hAnsi="Times New Roman" w:eastAsia="仿宋_GB2312" w:cs="Times New Roman"/>
          <w:b/>
          <w:bCs/>
          <w:sz w:val="32"/>
          <w:szCs w:val="32"/>
        </w:rPr>
      </w:pPr>
      <w:bookmarkStart w:id="43" w:name="_Toc15377210"/>
      <w:r>
        <w:rPr>
          <w:rFonts w:hint="default" w:ascii="Times New Roman" w:hAnsi="Times New Roman" w:eastAsia="仿宋_GB2312" w:cs="Times New Roman"/>
          <w:b/>
          <w:bCs/>
          <w:sz w:val="32"/>
          <w:szCs w:val="32"/>
        </w:rPr>
        <w:t>（一）一般公共预算财政拨款支出决算总体情况</w:t>
      </w:r>
      <w:bookmarkEnd w:id="43"/>
    </w:p>
    <w:p w14:paraId="1831EE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年一般公共预算财政拨款支出</w:t>
      </w:r>
      <w:r>
        <w:rPr>
          <w:rFonts w:hint="default" w:ascii="Times New Roman" w:hAnsi="Times New Roman" w:eastAsia="仿宋_GB2312" w:cs="Times New Roman"/>
          <w:sz w:val="32"/>
          <w:szCs w:val="32"/>
          <w:lang w:val="en-US" w:eastAsia="zh-CN"/>
        </w:rPr>
        <w:t>1799.82</w:t>
      </w:r>
      <w:r>
        <w:rPr>
          <w:rFonts w:hint="default" w:ascii="Times New Roman" w:hAnsi="Times New Roman" w:eastAsia="仿宋_GB2312" w:cs="Times New Roman"/>
          <w:sz w:val="32"/>
          <w:szCs w:val="32"/>
        </w:rPr>
        <w:t>万元，占本年支出合计的</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%。与202</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年相比，一般公共预算财政拨款支出</w:t>
      </w:r>
      <w:r>
        <w:rPr>
          <w:rFonts w:hint="default" w:ascii="Times New Roman" w:hAnsi="Times New Roman" w:eastAsia="仿宋_GB2312" w:cs="Times New Roman"/>
          <w:sz w:val="32"/>
          <w:szCs w:val="32"/>
          <w:lang w:val="en-US" w:eastAsia="zh-CN"/>
        </w:rPr>
        <w:t>增加32.79</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val="en-US" w:eastAsia="zh-CN"/>
        </w:rPr>
        <w:t>上升1.82</w:t>
      </w:r>
      <w:r>
        <w:rPr>
          <w:rFonts w:hint="default" w:ascii="Times New Roman" w:hAnsi="Times New Roman" w:eastAsia="仿宋_GB2312" w:cs="Times New Roman"/>
          <w:sz w:val="32"/>
          <w:szCs w:val="32"/>
        </w:rPr>
        <w:t>%。主要变动</w:t>
      </w:r>
      <w:r>
        <w:rPr>
          <w:rFonts w:hint="default" w:ascii="Times New Roman" w:hAnsi="Times New Roman" w:eastAsia="仿宋_GB2312" w:cs="Times New Roman"/>
          <w:sz w:val="32"/>
          <w:szCs w:val="32"/>
          <w:lang w:eastAsia="zh-CN"/>
        </w:rPr>
        <w:t>原因项目</w:t>
      </w:r>
      <w:r>
        <w:rPr>
          <w:rFonts w:hint="default" w:ascii="Times New Roman" w:hAnsi="Times New Roman" w:eastAsia="仿宋_GB2312" w:cs="Times New Roman"/>
          <w:sz w:val="32"/>
          <w:szCs w:val="32"/>
          <w:lang w:val="en-US" w:eastAsia="zh-CN"/>
        </w:rPr>
        <w:t>增加</w:t>
      </w:r>
      <w:r>
        <w:rPr>
          <w:rFonts w:hint="default" w:ascii="Times New Roman" w:hAnsi="Times New Roman" w:eastAsia="仿宋_GB2312" w:cs="Times New Roman"/>
          <w:sz w:val="32"/>
          <w:szCs w:val="32"/>
          <w:lang w:eastAsia="zh-CN"/>
        </w:rPr>
        <w:t>，相应的项目资金</w:t>
      </w:r>
      <w:r>
        <w:rPr>
          <w:rFonts w:hint="default" w:ascii="Times New Roman" w:hAnsi="Times New Roman" w:eastAsia="仿宋_GB2312" w:cs="Times New Roman"/>
          <w:sz w:val="32"/>
          <w:szCs w:val="32"/>
          <w:lang w:val="en-US" w:eastAsia="zh-CN"/>
        </w:rPr>
        <w:t>增加</w:t>
      </w:r>
      <w:r>
        <w:rPr>
          <w:rFonts w:hint="default" w:ascii="Times New Roman" w:hAnsi="Times New Roman" w:eastAsia="仿宋_GB2312" w:cs="Times New Roman"/>
          <w:sz w:val="32"/>
          <w:szCs w:val="32"/>
          <w:lang w:eastAsia="zh-CN"/>
        </w:rPr>
        <w:t>。</w:t>
      </w:r>
    </w:p>
    <w:p w14:paraId="5D20C040">
      <w:pPr>
        <w:bidi w:val="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drawing>
          <wp:inline distT="0" distB="0" distL="114300" distR="114300">
            <wp:extent cx="5195570" cy="2810510"/>
            <wp:effectExtent l="4445" t="4445" r="19685" b="2349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C8B6026">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（图5：一般公共预算财政拨款支出决算变动情况）（柱状图）</w:t>
      </w:r>
    </w:p>
    <w:p w14:paraId="4775F57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hint="default" w:ascii="Times New Roman" w:hAnsi="Times New Roman" w:eastAsia="仿宋_GB2312" w:cs="Times New Roman"/>
          <w:b/>
          <w:bCs/>
          <w:sz w:val="32"/>
          <w:szCs w:val="32"/>
        </w:rPr>
      </w:pPr>
      <w:bookmarkStart w:id="44" w:name="_Toc15377211"/>
      <w:r>
        <w:rPr>
          <w:rFonts w:hint="default" w:ascii="Times New Roman" w:hAnsi="Times New Roman" w:eastAsia="仿宋_GB2312" w:cs="Times New Roman"/>
          <w:b/>
          <w:bCs/>
          <w:sz w:val="32"/>
          <w:szCs w:val="32"/>
        </w:rPr>
        <w:t>（二）一般公共预算财政拨款支出决算结构情况</w:t>
      </w:r>
      <w:bookmarkEnd w:id="44"/>
    </w:p>
    <w:p w14:paraId="1852D1D8">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年一般公共预算财政拨款支出</w:t>
      </w:r>
      <w:r>
        <w:rPr>
          <w:rFonts w:hint="default" w:ascii="Times New Roman" w:hAnsi="Times New Roman" w:eastAsia="仿宋_GB2312" w:cs="Times New Roman"/>
          <w:sz w:val="32"/>
          <w:szCs w:val="32"/>
          <w:lang w:val="en-US" w:eastAsia="zh-CN"/>
        </w:rPr>
        <w:t>1799.82</w:t>
      </w:r>
      <w:r>
        <w:rPr>
          <w:rFonts w:hint="default" w:ascii="Times New Roman" w:hAnsi="Times New Roman" w:eastAsia="仿宋_GB2312" w:cs="Times New Roman"/>
          <w:sz w:val="32"/>
          <w:szCs w:val="32"/>
        </w:rPr>
        <w:t>万元，主要用于以下方面</w:t>
      </w:r>
      <w:r>
        <w:rPr>
          <w:rFonts w:hint="default" w:ascii="Times New Roman" w:hAnsi="Times New Roman" w:eastAsia="仿宋_GB2312" w:cs="Times New Roman"/>
          <w:sz w:val="32"/>
          <w:szCs w:val="32"/>
          <w:lang w:eastAsia="zh-CN"/>
        </w:rPr>
        <w:t>：</w:t>
      </w:r>
    </w:p>
    <w:p w14:paraId="52A1FEB8">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b/>
          <w:bCs/>
          <w:sz w:val="32"/>
          <w:szCs w:val="32"/>
          <w:highlight w:val="none"/>
          <w:lang w:eastAsia="zh-CN"/>
        </w:rPr>
        <w:t>一般公共服务支出</w:t>
      </w:r>
      <w:r>
        <w:rPr>
          <w:rStyle w:val="20"/>
          <w:rFonts w:hint="default" w:ascii="Times New Roman" w:hAnsi="Times New Roman" w:eastAsia="仿宋_GB2312" w:cs="Times New Roman"/>
          <w:bCs/>
          <w:sz w:val="32"/>
          <w:szCs w:val="32"/>
          <w:highlight w:val="none"/>
        </w:rPr>
        <w:t>（</w:t>
      </w:r>
      <w:r>
        <w:rPr>
          <w:rStyle w:val="20"/>
          <w:rFonts w:hint="default" w:ascii="Times New Roman" w:hAnsi="Times New Roman" w:eastAsia="仿宋_GB2312" w:cs="Times New Roman"/>
          <w:bCs/>
          <w:sz w:val="32"/>
          <w:szCs w:val="32"/>
          <w:highlight w:val="none"/>
          <w:lang w:val="en-US" w:eastAsia="zh-CN"/>
        </w:rPr>
        <w:t>类</w:t>
      </w:r>
      <w:r>
        <w:rPr>
          <w:rStyle w:val="20"/>
          <w:rFonts w:hint="default" w:ascii="Times New Roman" w:hAnsi="Times New Roman" w:eastAsia="仿宋_GB2312" w:cs="Times New Roman"/>
          <w:bCs/>
          <w:sz w:val="32"/>
          <w:szCs w:val="32"/>
          <w:highlight w:val="none"/>
        </w:rPr>
        <w:t>）</w:t>
      </w:r>
      <w:r>
        <w:rPr>
          <w:rStyle w:val="20"/>
          <w:rFonts w:hint="default" w:ascii="Times New Roman" w:hAnsi="Times New Roman" w:eastAsia="仿宋_GB2312" w:cs="Times New Roman"/>
          <w:bCs/>
          <w:sz w:val="32"/>
          <w:szCs w:val="32"/>
          <w:highlight w:val="none"/>
          <w:lang w:eastAsia="zh-CN"/>
        </w:rPr>
        <w:t>：</w:t>
      </w:r>
      <w:r>
        <w:rPr>
          <w:rFonts w:hint="default" w:ascii="Times New Roman" w:hAnsi="Times New Roman" w:eastAsia="仿宋_GB2312" w:cs="Times New Roman"/>
          <w:sz w:val="32"/>
          <w:szCs w:val="32"/>
          <w:highlight w:val="none"/>
        </w:rPr>
        <w:t>支出</w:t>
      </w:r>
      <w:r>
        <w:rPr>
          <w:rFonts w:hint="default" w:ascii="Times New Roman" w:hAnsi="Times New Roman" w:eastAsia="仿宋_GB2312" w:cs="Times New Roman"/>
          <w:sz w:val="32"/>
          <w:szCs w:val="32"/>
          <w:highlight w:val="none"/>
          <w:lang w:val="en-US" w:eastAsia="zh-CN"/>
        </w:rPr>
        <w:t>1037.45</w:t>
      </w:r>
      <w:r>
        <w:rPr>
          <w:rFonts w:hint="default" w:ascii="Times New Roman" w:hAnsi="Times New Roman" w:eastAsia="仿宋_GB2312" w:cs="Times New Roman"/>
          <w:sz w:val="32"/>
          <w:szCs w:val="32"/>
          <w:highlight w:val="none"/>
        </w:rPr>
        <w:t>万元，占</w:t>
      </w:r>
      <w:r>
        <w:rPr>
          <w:rFonts w:hint="default" w:ascii="Times New Roman" w:hAnsi="Times New Roman" w:eastAsia="仿宋_GB2312" w:cs="Times New Roman"/>
          <w:sz w:val="32"/>
          <w:szCs w:val="32"/>
          <w:highlight w:val="none"/>
          <w:lang w:val="en-US" w:eastAsia="zh-CN"/>
        </w:rPr>
        <w:t>57.64</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w:t>
      </w:r>
    </w:p>
    <w:p w14:paraId="458B0CFA">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b/>
          <w:bCs/>
          <w:sz w:val="32"/>
          <w:szCs w:val="32"/>
          <w:highlight w:val="none"/>
          <w:lang w:eastAsia="zh-CN"/>
        </w:rPr>
        <w:t>教育支出</w:t>
      </w:r>
      <w:r>
        <w:rPr>
          <w:rStyle w:val="20"/>
          <w:rFonts w:hint="default" w:ascii="Times New Roman" w:hAnsi="Times New Roman" w:eastAsia="仿宋_GB2312" w:cs="Times New Roman"/>
          <w:bCs/>
          <w:sz w:val="32"/>
          <w:szCs w:val="32"/>
          <w:highlight w:val="none"/>
        </w:rPr>
        <w:t>（</w:t>
      </w:r>
      <w:r>
        <w:rPr>
          <w:rStyle w:val="20"/>
          <w:rFonts w:hint="default" w:ascii="Times New Roman" w:hAnsi="Times New Roman" w:eastAsia="仿宋_GB2312" w:cs="Times New Roman"/>
          <w:bCs/>
          <w:sz w:val="32"/>
          <w:szCs w:val="32"/>
          <w:highlight w:val="none"/>
          <w:lang w:val="en-US" w:eastAsia="zh-CN"/>
        </w:rPr>
        <w:t>类</w:t>
      </w:r>
      <w:r>
        <w:rPr>
          <w:rStyle w:val="20"/>
          <w:rFonts w:hint="default" w:ascii="Times New Roman" w:hAnsi="Times New Roman" w:eastAsia="仿宋_GB2312" w:cs="Times New Roman"/>
          <w:bCs/>
          <w:sz w:val="32"/>
          <w:szCs w:val="32"/>
          <w:highlight w:val="none"/>
        </w:rPr>
        <w:t>）</w:t>
      </w:r>
      <w:r>
        <w:rPr>
          <w:rStyle w:val="20"/>
          <w:rFonts w:hint="default" w:ascii="Times New Roman" w:hAnsi="Times New Roman" w:eastAsia="仿宋_GB2312" w:cs="Times New Roman"/>
          <w:bCs/>
          <w:sz w:val="32"/>
          <w:szCs w:val="32"/>
          <w:highlight w:val="none"/>
          <w:lang w:eastAsia="zh-CN"/>
        </w:rPr>
        <w:t>：</w:t>
      </w:r>
      <w:r>
        <w:rPr>
          <w:rFonts w:hint="default" w:ascii="Times New Roman" w:hAnsi="Times New Roman" w:eastAsia="仿宋_GB2312" w:cs="Times New Roman"/>
          <w:sz w:val="32"/>
          <w:szCs w:val="32"/>
          <w:highlight w:val="none"/>
        </w:rPr>
        <w:t>支出</w:t>
      </w:r>
      <w:r>
        <w:rPr>
          <w:rFonts w:hint="default" w:ascii="Times New Roman" w:hAnsi="Times New Roman" w:eastAsia="仿宋_GB2312" w:cs="Times New Roman"/>
          <w:sz w:val="32"/>
          <w:szCs w:val="32"/>
          <w:highlight w:val="none"/>
          <w:lang w:val="en-US" w:eastAsia="zh-CN"/>
        </w:rPr>
        <w:t>0.3</w:t>
      </w:r>
      <w:r>
        <w:rPr>
          <w:rFonts w:hint="default" w:ascii="Times New Roman" w:hAnsi="Times New Roman" w:eastAsia="仿宋_GB2312" w:cs="Times New Roman"/>
          <w:sz w:val="32"/>
          <w:szCs w:val="32"/>
          <w:highlight w:val="none"/>
        </w:rPr>
        <w:t>万元，占</w:t>
      </w:r>
      <w:r>
        <w:rPr>
          <w:rFonts w:hint="default" w:ascii="Times New Roman" w:hAnsi="Times New Roman" w:eastAsia="仿宋_GB2312" w:cs="Times New Roman"/>
          <w:sz w:val="32"/>
          <w:szCs w:val="32"/>
          <w:highlight w:val="none"/>
          <w:lang w:val="en-US" w:eastAsia="zh-CN"/>
        </w:rPr>
        <w:t>0.02</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w:t>
      </w:r>
    </w:p>
    <w:p w14:paraId="2B78FB60">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b/>
          <w:bCs/>
          <w:sz w:val="32"/>
          <w:szCs w:val="32"/>
          <w:highlight w:val="none"/>
          <w:lang w:eastAsia="zh-CN"/>
        </w:rPr>
        <w:t>社会保障和就业支出</w:t>
      </w:r>
      <w:r>
        <w:rPr>
          <w:rStyle w:val="20"/>
          <w:rFonts w:hint="default" w:ascii="Times New Roman" w:hAnsi="Times New Roman" w:eastAsia="仿宋_GB2312" w:cs="Times New Roman"/>
          <w:bCs/>
          <w:sz w:val="32"/>
          <w:szCs w:val="32"/>
          <w:highlight w:val="none"/>
        </w:rPr>
        <w:t>（</w:t>
      </w:r>
      <w:r>
        <w:rPr>
          <w:rStyle w:val="20"/>
          <w:rFonts w:hint="default" w:ascii="Times New Roman" w:hAnsi="Times New Roman" w:eastAsia="仿宋_GB2312" w:cs="Times New Roman"/>
          <w:bCs/>
          <w:sz w:val="32"/>
          <w:szCs w:val="32"/>
          <w:highlight w:val="none"/>
          <w:lang w:val="en-US" w:eastAsia="zh-CN"/>
        </w:rPr>
        <w:t>类</w:t>
      </w:r>
      <w:r>
        <w:rPr>
          <w:rStyle w:val="20"/>
          <w:rFonts w:hint="default" w:ascii="Times New Roman" w:hAnsi="Times New Roman" w:eastAsia="仿宋_GB2312" w:cs="Times New Roman"/>
          <w:bCs/>
          <w:sz w:val="32"/>
          <w:szCs w:val="32"/>
          <w:highlight w:val="none"/>
        </w:rPr>
        <w:t>）</w:t>
      </w:r>
      <w:r>
        <w:rPr>
          <w:rStyle w:val="20"/>
          <w:rFonts w:hint="default" w:ascii="Times New Roman" w:hAnsi="Times New Roman" w:eastAsia="仿宋_GB2312" w:cs="Times New Roman"/>
          <w:bCs/>
          <w:sz w:val="32"/>
          <w:szCs w:val="32"/>
          <w:highlight w:val="none"/>
          <w:lang w:eastAsia="zh-CN"/>
        </w:rPr>
        <w:t>：</w:t>
      </w:r>
      <w:r>
        <w:rPr>
          <w:rFonts w:hint="default" w:ascii="Times New Roman" w:hAnsi="Times New Roman" w:eastAsia="仿宋_GB2312" w:cs="Times New Roman"/>
          <w:sz w:val="32"/>
          <w:szCs w:val="32"/>
          <w:highlight w:val="none"/>
        </w:rPr>
        <w:t>支出</w:t>
      </w:r>
      <w:r>
        <w:rPr>
          <w:rFonts w:hint="default" w:ascii="Times New Roman" w:hAnsi="Times New Roman" w:eastAsia="仿宋_GB2312" w:cs="Times New Roman"/>
          <w:sz w:val="32"/>
          <w:szCs w:val="32"/>
          <w:highlight w:val="none"/>
          <w:lang w:val="en-US" w:eastAsia="zh-CN"/>
        </w:rPr>
        <w:t>76.67</w:t>
      </w:r>
      <w:r>
        <w:rPr>
          <w:rFonts w:hint="default" w:ascii="Times New Roman" w:hAnsi="Times New Roman" w:eastAsia="仿宋_GB2312" w:cs="Times New Roman"/>
          <w:sz w:val="32"/>
          <w:szCs w:val="32"/>
          <w:highlight w:val="none"/>
        </w:rPr>
        <w:t>万元，占</w:t>
      </w:r>
      <w:r>
        <w:rPr>
          <w:rFonts w:hint="default" w:ascii="Times New Roman" w:hAnsi="Times New Roman" w:eastAsia="仿宋_GB2312" w:cs="Times New Roman"/>
          <w:sz w:val="32"/>
          <w:szCs w:val="32"/>
          <w:highlight w:val="none"/>
          <w:lang w:val="en-US" w:eastAsia="zh-CN"/>
        </w:rPr>
        <w:t>4.26</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w:t>
      </w:r>
    </w:p>
    <w:p w14:paraId="4AFD7220">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b/>
          <w:bCs/>
          <w:sz w:val="32"/>
          <w:szCs w:val="32"/>
          <w:highlight w:val="none"/>
          <w:lang w:eastAsia="zh-CN"/>
        </w:rPr>
        <w:t>卫生健康支出</w:t>
      </w:r>
      <w:r>
        <w:rPr>
          <w:rStyle w:val="20"/>
          <w:rFonts w:hint="default" w:ascii="Times New Roman" w:hAnsi="Times New Roman" w:eastAsia="仿宋_GB2312" w:cs="Times New Roman"/>
          <w:bCs/>
          <w:sz w:val="32"/>
          <w:szCs w:val="32"/>
          <w:highlight w:val="none"/>
        </w:rPr>
        <w:t>（</w:t>
      </w:r>
      <w:r>
        <w:rPr>
          <w:rStyle w:val="20"/>
          <w:rFonts w:hint="default" w:ascii="Times New Roman" w:hAnsi="Times New Roman" w:eastAsia="仿宋_GB2312" w:cs="Times New Roman"/>
          <w:bCs/>
          <w:sz w:val="32"/>
          <w:szCs w:val="32"/>
          <w:highlight w:val="none"/>
          <w:lang w:val="en-US" w:eastAsia="zh-CN"/>
        </w:rPr>
        <w:t>类</w:t>
      </w:r>
      <w:r>
        <w:rPr>
          <w:rStyle w:val="20"/>
          <w:rFonts w:hint="default" w:ascii="Times New Roman" w:hAnsi="Times New Roman" w:eastAsia="仿宋_GB2312" w:cs="Times New Roman"/>
          <w:bCs/>
          <w:sz w:val="32"/>
          <w:szCs w:val="32"/>
          <w:highlight w:val="none"/>
        </w:rPr>
        <w:t>）</w:t>
      </w:r>
      <w:r>
        <w:rPr>
          <w:rStyle w:val="20"/>
          <w:rFonts w:hint="default" w:ascii="Times New Roman" w:hAnsi="Times New Roman" w:eastAsia="仿宋_GB2312" w:cs="Times New Roman"/>
          <w:bCs/>
          <w:sz w:val="32"/>
          <w:szCs w:val="32"/>
          <w:highlight w:val="none"/>
          <w:lang w:eastAsia="zh-CN"/>
        </w:rPr>
        <w:t>：</w:t>
      </w:r>
      <w:r>
        <w:rPr>
          <w:rFonts w:hint="default" w:ascii="Times New Roman" w:hAnsi="Times New Roman" w:eastAsia="仿宋_GB2312" w:cs="Times New Roman"/>
          <w:sz w:val="32"/>
          <w:szCs w:val="32"/>
          <w:highlight w:val="none"/>
        </w:rPr>
        <w:t>支出</w:t>
      </w:r>
      <w:r>
        <w:rPr>
          <w:rFonts w:hint="default" w:ascii="Times New Roman" w:hAnsi="Times New Roman" w:eastAsia="仿宋_GB2312" w:cs="Times New Roman"/>
          <w:sz w:val="32"/>
          <w:szCs w:val="32"/>
          <w:highlight w:val="none"/>
          <w:lang w:val="en-US" w:eastAsia="zh-CN"/>
        </w:rPr>
        <w:t>44.14</w:t>
      </w:r>
      <w:r>
        <w:rPr>
          <w:rFonts w:hint="default" w:ascii="Times New Roman" w:hAnsi="Times New Roman" w:eastAsia="仿宋_GB2312" w:cs="Times New Roman"/>
          <w:sz w:val="32"/>
          <w:szCs w:val="32"/>
          <w:highlight w:val="none"/>
        </w:rPr>
        <w:t>万元，占</w:t>
      </w:r>
      <w:r>
        <w:rPr>
          <w:rFonts w:hint="default" w:ascii="Times New Roman" w:hAnsi="Times New Roman" w:eastAsia="仿宋_GB2312" w:cs="Times New Roman"/>
          <w:sz w:val="32"/>
          <w:szCs w:val="32"/>
          <w:highlight w:val="none"/>
          <w:lang w:val="en-US" w:eastAsia="zh-CN"/>
        </w:rPr>
        <w:t>2.45</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w:t>
      </w:r>
    </w:p>
    <w:p w14:paraId="195D485D">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b/>
          <w:bCs/>
          <w:sz w:val="32"/>
          <w:szCs w:val="32"/>
          <w:highlight w:val="none"/>
          <w:lang w:eastAsia="zh-CN"/>
        </w:rPr>
        <w:t>农林水支出</w:t>
      </w:r>
      <w:r>
        <w:rPr>
          <w:rStyle w:val="20"/>
          <w:rFonts w:hint="default" w:ascii="Times New Roman" w:hAnsi="Times New Roman" w:eastAsia="仿宋_GB2312" w:cs="Times New Roman"/>
          <w:bCs/>
          <w:sz w:val="32"/>
          <w:szCs w:val="32"/>
          <w:highlight w:val="none"/>
        </w:rPr>
        <w:t>（</w:t>
      </w:r>
      <w:r>
        <w:rPr>
          <w:rStyle w:val="20"/>
          <w:rFonts w:hint="default" w:ascii="Times New Roman" w:hAnsi="Times New Roman" w:eastAsia="仿宋_GB2312" w:cs="Times New Roman"/>
          <w:bCs/>
          <w:sz w:val="32"/>
          <w:szCs w:val="32"/>
          <w:highlight w:val="none"/>
          <w:lang w:val="en-US" w:eastAsia="zh-CN"/>
        </w:rPr>
        <w:t>类</w:t>
      </w:r>
      <w:r>
        <w:rPr>
          <w:rStyle w:val="20"/>
          <w:rFonts w:hint="default" w:ascii="Times New Roman" w:hAnsi="Times New Roman" w:eastAsia="仿宋_GB2312" w:cs="Times New Roman"/>
          <w:bCs/>
          <w:sz w:val="32"/>
          <w:szCs w:val="32"/>
          <w:highlight w:val="none"/>
        </w:rPr>
        <w:t>）</w:t>
      </w:r>
      <w:r>
        <w:rPr>
          <w:rStyle w:val="20"/>
          <w:rFonts w:hint="default" w:ascii="Times New Roman" w:hAnsi="Times New Roman" w:eastAsia="仿宋_GB2312" w:cs="Times New Roman"/>
          <w:bCs/>
          <w:sz w:val="32"/>
          <w:szCs w:val="32"/>
          <w:highlight w:val="none"/>
          <w:lang w:eastAsia="zh-CN"/>
        </w:rPr>
        <w:t>：</w:t>
      </w:r>
      <w:r>
        <w:rPr>
          <w:rFonts w:hint="default" w:ascii="Times New Roman" w:hAnsi="Times New Roman" w:eastAsia="仿宋_GB2312" w:cs="Times New Roman"/>
          <w:sz w:val="32"/>
          <w:szCs w:val="32"/>
          <w:highlight w:val="none"/>
        </w:rPr>
        <w:t>支出</w:t>
      </w:r>
      <w:r>
        <w:rPr>
          <w:rFonts w:hint="default" w:ascii="Times New Roman" w:hAnsi="Times New Roman" w:eastAsia="仿宋_GB2312" w:cs="Times New Roman"/>
          <w:sz w:val="32"/>
          <w:szCs w:val="32"/>
          <w:highlight w:val="none"/>
          <w:lang w:val="en-US" w:eastAsia="zh-CN"/>
        </w:rPr>
        <w:t>212.68</w:t>
      </w:r>
      <w:r>
        <w:rPr>
          <w:rFonts w:hint="default" w:ascii="Times New Roman" w:hAnsi="Times New Roman" w:eastAsia="仿宋_GB2312" w:cs="Times New Roman"/>
          <w:sz w:val="32"/>
          <w:szCs w:val="32"/>
          <w:highlight w:val="none"/>
        </w:rPr>
        <w:t>万元，占</w:t>
      </w:r>
      <w:r>
        <w:rPr>
          <w:rFonts w:hint="default" w:ascii="Times New Roman" w:hAnsi="Times New Roman" w:eastAsia="仿宋_GB2312" w:cs="Times New Roman"/>
          <w:sz w:val="32"/>
          <w:szCs w:val="32"/>
          <w:highlight w:val="none"/>
          <w:lang w:val="en-US" w:eastAsia="zh-CN"/>
        </w:rPr>
        <w:t>11.82</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w:t>
      </w:r>
    </w:p>
    <w:p w14:paraId="5C2959A1">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eastAsia="仿宋_GB2312" w:cs="Times New Roman"/>
          <w:sz w:val="32"/>
          <w:szCs w:val="32"/>
          <w:highlight w:val="none"/>
          <w:lang w:eastAsia="zh-CN"/>
        </w:rPr>
      </w:pPr>
      <w:r>
        <w:rPr>
          <w:rStyle w:val="20"/>
          <w:rFonts w:hint="default" w:ascii="Times New Roman" w:hAnsi="Times New Roman" w:eastAsia="仿宋_GB2312" w:cs="Times New Roman"/>
          <w:bCs/>
          <w:sz w:val="32"/>
          <w:szCs w:val="32"/>
          <w:highlight w:val="none"/>
          <w:lang w:eastAsia="zh-CN"/>
        </w:rPr>
        <w:t>住房保障支出</w:t>
      </w:r>
      <w:r>
        <w:rPr>
          <w:rStyle w:val="20"/>
          <w:rFonts w:hint="default" w:ascii="Times New Roman" w:hAnsi="Times New Roman" w:eastAsia="仿宋_GB2312" w:cs="Times New Roman"/>
          <w:bCs/>
          <w:sz w:val="32"/>
          <w:szCs w:val="32"/>
          <w:highlight w:val="none"/>
        </w:rPr>
        <w:t>（</w:t>
      </w:r>
      <w:r>
        <w:rPr>
          <w:rStyle w:val="20"/>
          <w:rFonts w:hint="default" w:ascii="Times New Roman" w:hAnsi="Times New Roman" w:eastAsia="仿宋_GB2312" w:cs="Times New Roman"/>
          <w:bCs/>
          <w:sz w:val="32"/>
          <w:szCs w:val="32"/>
          <w:highlight w:val="none"/>
          <w:lang w:val="en-US" w:eastAsia="zh-CN"/>
        </w:rPr>
        <w:t>类</w:t>
      </w:r>
      <w:r>
        <w:rPr>
          <w:rStyle w:val="20"/>
          <w:rFonts w:hint="default" w:ascii="Times New Roman" w:hAnsi="Times New Roman" w:eastAsia="仿宋_GB2312" w:cs="Times New Roman"/>
          <w:bCs/>
          <w:sz w:val="32"/>
          <w:szCs w:val="32"/>
          <w:highlight w:val="none"/>
        </w:rPr>
        <w:t>）</w:t>
      </w:r>
      <w:r>
        <w:rPr>
          <w:rStyle w:val="20"/>
          <w:rFonts w:hint="default" w:ascii="Times New Roman" w:hAnsi="Times New Roman" w:eastAsia="仿宋_GB2312" w:cs="Times New Roman"/>
          <w:bCs/>
          <w:sz w:val="32"/>
          <w:szCs w:val="32"/>
          <w:highlight w:val="none"/>
          <w:lang w:eastAsia="zh-CN"/>
        </w:rPr>
        <w:t>：</w:t>
      </w:r>
      <w:r>
        <w:rPr>
          <w:rFonts w:hint="default" w:ascii="Times New Roman" w:hAnsi="Times New Roman" w:eastAsia="仿宋_GB2312" w:cs="Times New Roman"/>
          <w:sz w:val="32"/>
          <w:szCs w:val="32"/>
          <w:highlight w:val="none"/>
        </w:rPr>
        <w:t>支出</w:t>
      </w:r>
      <w:r>
        <w:rPr>
          <w:rFonts w:hint="default" w:ascii="Times New Roman" w:hAnsi="Times New Roman" w:eastAsia="仿宋_GB2312" w:cs="Times New Roman"/>
          <w:sz w:val="32"/>
          <w:szCs w:val="32"/>
          <w:highlight w:val="none"/>
          <w:lang w:val="en-US" w:eastAsia="zh-CN"/>
        </w:rPr>
        <w:t>43.95</w:t>
      </w:r>
      <w:r>
        <w:rPr>
          <w:rFonts w:hint="default" w:ascii="Times New Roman" w:hAnsi="Times New Roman" w:eastAsia="仿宋_GB2312" w:cs="Times New Roman"/>
          <w:sz w:val="32"/>
          <w:szCs w:val="32"/>
          <w:highlight w:val="none"/>
        </w:rPr>
        <w:t>万元，占</w:t>
      </w:r>
      <w:r>
        <w:rPr>
          <w:rFonts w:hint="default" w:ascii="Times New Roman" w:hAnsi="Times New Roman" w:eastAsia="仿宋_GB2312" w:cs="Times New Roman"/>
          <w:sz w:val="32"/>
          <w:szCs w:val="32"/>
          <w:highlight w:val="none"/>
          <w:lang w:val="en-US" w:eastAsia="zh-CN"/>
        </w:rPr>
        <w:t>2.44</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w:t>
      </w:r>
    </w:p>
    <w:p w14:paraId="393B8A5E">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eastAsia="仿宋_GB2312" w:cs="Times New Roman"/>
          <w:b/>
          <w:sz w:val="32"/>
          <w:szCs w:val="32"/>
        </w:rPr>
      </w:pPr>
      <w:r>
        <w:rPr>
          <w:rStyle w:val="20"/>
          <w:rFonts w:hint="default" w:ascii="Times New Roman" w:hAnsi="Times New Roman" w:eastAsia="仿宋_GB2312" w:cs="Times New Roman"/>
          <w:bCs/>
          <w:sz w:val="32"/>
          <w:szCs w:val="32"/>
          <w:highlight w:val="none"/>
          <w:lang w:eastAsia="zh-CN"/>
        </w:rPr>
        <w:t>其他支出（</w:t>
      </w:r>
      <w:r>
        <w:rPr>
          <w:rStyle w:val="20"/>
          <w:rFonts w:hint="default" w:ascii="Times New Roman" w:hAnsi="Times New Roman" w:eastAsia="仿宋_GB2312" w:cs="Times New Roman"/>
          <w:bCs/>
          <w:sz w:val="32"/>
          <w:szCs w:val="32"/>
          <w:highlight w:val="none"/>
          <w:lang w:val="en-US" w:eastAsia="zh-CN"/>
        </w:rPr>
        <w:t>类）：</w:t>
      </w:r>
      <w:r>
        <w:rPr>
          <w:rFonts w:hint="default" w:ascii="Times New Roman" w:hAnsi="Times New Roman" w:eastAsia="仿宋_GB2312" w:cs="Times New Roman"/>
          <w:sz w:val="32"/>
          <w:szCs w:val="32"/>
          <w:highlight w:val="none"/>
        </w:rPr>
        <w:t>支出</w:t>
      </w:r>
      <w:r>
        <w:rPr>
          <w:rFonts w:hint="default" w:ascii="Times New Roman" w:hAnsi="Times New Roman" w:eastAsia="仿宋_GB2312" w:cs="Times New Roman"/>
          <w:sz w:val="32"/>
          <w:szCs w:val="32"/>
          <w:highlight w:val="none"/>
          <w:lang w:val="en-US" w:eastAsia="zh-CN"/>
        </w:rPr>
        <w:t>384.61</w:t>
      </w:r>
      <w:r>
        <w:rPr>
          <w:rFonts w:hint="default" w:ascii="Times New Roman" w:hAnsi="Times New Roman" w:eastAsia="仿宋_GB2312" w:cs="Times New Roman"/>
          <w:sz w:val="32"/>
          <w:szCs w:val="32"/>
          <w:highlight w:val="none"/>
        </w:rPr>
        <w:t>万元，占</w:t>
      </w:r>
      <w:r>
        <w:rPr>
          <w:rFonts w:hint="default" w:ascii="Times New Roman" w:hAnsi="Times New Roman" w:eastAsia="仿宋_GB2312" w:cs="Times New Roman"/>
          <w:sz w:val="32"/>
          <w:szCs w:val="32"/>
          <w:highlight w:val="none"/>
          <w:lang w:val="en-US" w:eastAsia="zh-CN"/>
        </w:rPr>
        <w:t>21.37</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w:t>
      </w:r>
    </w:p>
    <w:p w14:paraId="76945D4A">
      <w:pPr>
        <w:pStyle w:val="25"/>
        <w:jc w:val="center"/>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lang w:eastAsia="zh-CN"/>
        </w:rPr>
        <w:drawing>
          <wp:inline distT="0" distB="0" distL="114300" distR="114300">
            <wp:extent cx="4284345" cy="2701290"/>
            <wp:effectExtent l="4445" t="4445" r="16510" b="1841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AC1DE8E">
      <w:pPr>
        <w:keepNext w:val="0"/>
        <w:keepLines w:val="0"/>
        <w:pageBreakBefore w:val="0"/>
        <w:widowControl w:val="0"/>
        <w:kinsoku/>
        <w:wordWrap/>
        <w:overflowPunct/>
        <w:topLinePunct w:val="0"/>
        <w:bidi w:val="0"/>
        <w:snapToGrid/>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（图6：一般公共预算财政拨款支出决算结构）（饼状图）</w:t>
      </w:r>
    </w:p>
    <w:p w14:paraId="451C49A8">
      <w:pPr>
        <w:keepNext w:val="0"/>
        <w:keepLines w:val="0"/>
        <w:pageBreakBefore w:val="0"/>
        <w:widowControl w:val="0"/>
        <w:kinsoku/>
        <w:wordWrap/>
        <w:overflowPunct/>
        <w:topLinePunct w:val="0"/>
        <w:bidi w:val="0"/>
        <w:snapToGrid/>
        <w:spacing w:line="560" w:lineRule="exact"/>
        <w:ind w:firstLine="643" w:firstLineChars="200"/>
        <w:textAlignment w:val="auto"/>
        <w:outlineLvl w:val="2"/>
        <w:rPr>
          <w:rFonts w:hint="default" w:ascii="Times New Roman" w:hAnsi="Times New Roman" w:eastAsia="仿宋_GB2312" w:cs="Times New Roman"/>
          <w:b/>
          <w:bCs/>
          <w:sz w:val="32"/>
          <w:szCs w:val="32"/>
        </w:rPr>
      </w:pPr>
      <w:bookmarkStart w:id="45" w:name="_Toc15377212"/>
      <w:r>
        <w:rPr>
          <w:rFonts w:hint="default" w:ascii="Times New Roman" w:hAnsi="Times New Roman" w:eastAsia="仿宋_GB2312" w:cs="Times New Roman"/>
          <w:b/>
          <w:bCs/>
          <w:sz w:val="32"/>
          <w:szCs w:val="32"/>
        </w:rPr>
        <w:t>（三）一般公共预算财政拨款支出决算具体情况</w:t>
      </w:r>
      <w:bookmarkEnd w:id="45"/>
    </w:p>
    <w:p w14:paraId="498C4978">
      <w:pPr>
        <w:keepNext w:val="0"/>
        <w:keepLines w:val="0"/>
        <w:pageBreakBefore w:val="0"/>
        <w:widowControl w:val="0"/>
        <w:kinsoku/>
        <w:wordWrap/>
        <w:overflowPunct/>
        <w:topLinePunct w:val="0"/>
        <w:bidi w:val="0"/>
        <w:snapToGrid/>
        <w:spacing w:line="560" w:lineRule="exact"/>
        <w:ind w:firstLine="640" w:firstLineChars="200"/>
        <w:textAlignment w:val="auto"/>
        <w:outlineLvl w:val="9"/>
        <w:rPr>
          <w:rFonts w:hint="default" w:ascii="Times New Roman" w:hAnsi="Times New Roman" w:eastAsia="仿宋_GB2312" w:cs="Times New Roman"/>
          <w:b w:val="0"/>
          <w:bCs/>
          <w:sz w:val="32"/>
          <w:szCs w:val="32"/>
        </w:rPr>
      </w:pPr>
      <w:bookmarkStart w:id="46" w:name="_Toc15378460"/>
      <w:bookmarkStart w:id="47" w:name="_Toc20654"/>
      <w:bookmarkStart w:id="48" w:name="_Toc15377444"/>
      <w:bookmarkStart w:id="49" w:name="_Toc15377213"/>
      <w:bookmarkStart w:id="50" w:name="_Toc25701"/>
      <w:r>
        <w:rPr>
          <w:rFonts w:hint="default" w:ascii="Times New Roman" w:hAnsi="Times New Roman" w:eastAsia="仿宋_GB2312" w:cs="Times New Roman"/>
          <w:b w:val="0"/>
          <w:bCs/>
          <w:sz w:val="32"/>
          <w:szCs w:val="32"/>
        </w:rPr>
        <w:t>202</w:t>
      </w:r>
      <w:r>
        <w:rPr>
          <w:rFonts w:hint="default" w:ascii="Times New Roman" w:hAnsi="Times New Roman" w:eastAsia="仿宋_GB2312" w:cs="Times New Roman"/>
          <w:b w:val="0"/>
          <w:bCs/>
          <w:sz w:val="32"/>
          <w:szCs w:val="32"/>
          <w:lang w:val="en-US" w:eastAsia="zh-CN"/>
        </w:rPr>
        <w:t>2</w:t>
      </w:r>
      <w:r>
        <w:rPr>
          <w:rFonts w:hint="default" w:ascii="Times New Roman" w:hAnsi="Times New Roman" w:eastAsia="仿宋_GB2312" w:cs="Times New Roman"/>
          <w:b w:val="0"/>
          <w:bCs/>
          <w:sz w:val="32"/>
          <w:szCs w:val="32"/>
        </w:rPr>
        <w:t>年一般公共预算支出决算数为</w:t>
      </w:r>
      <w:r>
        <w:rPr>
          <w:rFonts w:hint="default" w:ascii="Times New Roman" w:hAnsi="Times New Roman" w:eastAsia="仿宋_GB2312" w:cs="Times New Roman"/>
          <w:b w:val="0"/>
          <w:bCs/>
          <w:sz w:val="32"/>
          <w:szCs w:val="32"/>
          <w:lang w:val="en-US" w:eastAsia="zh-CN"/>
        </w:rPr>
        <w:t>1799.82万元</w:t>
      </w:r>
      <w:r>
        <w:rPr>
          <w:rFonts w:hint="default" w:ascii="Times New Roman" w:hAnsi="Times New Roman" w:eastAsia="仿宋_GB2312" w:cs="Times New Roman"/>
          <w:b w:val="0"/>
          <w:bCs/>
          <w:sz w:val="32"/>
          <w:szCs w:val="32"/>
        </w:rPr>
        <w:t>，</w:t>
      </w:r>
      <w:r>
        <w:rPr>
          <w:rStyle w:val="20"/>
          <w:rFonts w:hint="default" w:ascii="Times New Roman" w:hAnsi="Times New Roman" w:eastAsia="仿宋_GB2312" w:cs="Times New Roman"/>
          <w:b w:val="0"/>
          <w:bCs/>
          <w:sz w:val="32"/>
          <w:szCs w:val="32"/>
        </w:rPr>
        <w:t>完成预算</w:t>
      </w:r>
      <w:r>
        <w:rPr>
          <w:rStyle w:val="20"/>
          <w:rFonts w:hint="default" w:ascii="Times New Roman" w:hAnsi="Times New Roman" w:eastAsia="仿宋_GB2312" w:cs="Times New Roman"/>
          <w:b w:val="0"/>
          <w:bCs/>
          <w:sz w:val="32"/>
          <w:szCs w:val="32"/>
          <w:lang w:val="en-US" w:eastAsia="zh-CN"/>
        </w:rPr>
        <w:t>100</w:t>
      </w:r>
      <w:r>
        <w:rPr>
          <w:rStyle w:val="20"/>
          <w:rFonts w:hint="default" w:ascii="Times New Roman" w:hAnsi="Times New Roman" w:eastAsia="仿宋_GB2312" w:cs="Times New Roman"/>
          <w:b w:val="0"/>
          <w:bCs/>
          <w:sz w:val="32"/>
          <w:szCs w:val="32"/>
        </w:rPr>
        <w:t>%。其中：</w:t>
      </w:r>
      <w:bookmarkEnd w:id="46"/>
      <w:bookmarkEnd w:id="47"/>
      <w:bookmarkEnd w:id="48"/>
      <w:bookmarkEnd w:id="49"/>
      <w:bookmarkEnd w:id="50"/>
    </w:p>
    <w:p w14:paraId="75677FFA">
      <w:pPr>
        <w:pStyle w:val="25"/>
        <w:keepNext w:val="0"/>
        <w:keepLines w:val="0"/>
        <w:pageBreakBefore w:val="0"/>
        <w:widowControl w:val="0"/>
        <w:kinsoku/>
        <w:wordWrap/>
        <w:overflowPunct/>
        <w:topLinePunct w:val="0"/>
        <w:bidi w:val="0"/>
        <w:snapToGrid/>
        <w:spacing w:line="560" w:lineRule="exact"/>
        <w:ind w:firstLine="643" w:firstLineChars="200"/>
        <w:textAlignment w:val="auto"/>
        <w:outlineLvl w:val="9"/>
        <w:rPr>
          <w:rStyle w:val="20"/>
          <w:rFonts w:hint="default" w:ascii="Times New Roman" w:hAnsi="Times New Roman" w:eastAsia="仿宋_GB2312" w:cs="Times New Roman"/>
          <w:b w:val="0"/>
          <w:bCs w:val="0"/>
          <w:sz w:val="32"/>
          <w:szCs w:val="32"/>
        </w:rPr>
      </w:pPr>
      <w:r>
        <w:rPr>
          <w:rStyle w:val="20"/>
          <w:rFonts w:hint="default" w:ascii="Times New Roman" w:hAnsi="Times New Roman" w:eastAsia="仿宋_GB2312" w:cs="Times New Roman"/>
          <w:bCs/>
          <w:sz w:val="32"/>
          <w:szCs w:val="32"/>
        </w:rPr>
        <w:t>1、一般公共服务支出（</w:t>
      </w:r>
      <w:r>
        <w:rPr>
          <w:rStyle w:val="20"/>
          <w:rFonts w:hint="default" w:ascii="Times New Roman" w:hAnsi="Times New Roman" w:eastAsia="仿宋_GB2312" w:cs="Times New Roman"/>
          <w:bCs/>
          <w:sz w:val="32"/>
          <w:szCs w:val="32"/>
          <w:lang w:val="en-US" w:eastAsia="zh-CN"/>
        </w:rPr>
        <w:t>类</w:t>
      </w:r>
      <w:r>
        <w:rPr>
          <w:rStyle w:val="20"/>
          <w:rFonts w:hint="default" w:ascii="Times New Roman" w:hAnsi="Times New Roman" w:eastAsia="仿宋_GB2312" w:cs="Times New Roman"/>
          <w:bCs/>
          <w:sz w:val="32"/>
          <w:szCs w:val="32"/>
        </w:rPr>
        <w:t>）组织事务（</w:t>
      </w:r>
      <w:r>
        <w:rPr>
          <w:rStyle w:val="20"/>
          <w:rFonts w:hint="default" w:ascii="Times New Roman" w:hAnsi="Times New Roman" w:eastAsia="仿宋_GB2312" w:cs="Times New Roman"/>
          <w:bCs/>
          <w:sz w:val="32"/>
          <w:szCs w:val="32"/>
          <w:lang w:val="en-US" w:eastAsia="zh-CN"/>
        </w:rPr>
        <w:t>款</w:t>
      </w:r>
      <w:r>
        <w:rPr>
          <w:rStyle w:val="20"/>
          <w:rFonts w:hint="default" w:ascii="Times New Roman" w:hAnsi="Times New Roman" w:eastAsia="仿宋_GB2312" w:cs="Times New Roman"/>
          <w:bCs/>
          <w:sz w:val="32"/>
          <w:szCs w:val="32"/>
        </w:rPr>
        <w:t>）行政运行（</w:t>
      </w:r>
      <w:r>
        <w:rPr>
          <w:rStyle w:val="20"/>
          <w:rFonts w:hint="default" w:ascii="Times New Roman" w:hAnsi="Times New Roman" w:eastAsia="仿宋_GB2312" w:cs="Times New Roman"/>
          <w:bCs/>
          <w:sz w:val="32"/>
          <w:szCs w:val="32"/>
          <w:lang w:val="en-US" w:eastAsia="zh-CN"/>
        </w:rPr>
        <w:t>项</w:t>
      </w:r>
      <w:r>
        <w:rPr>
          <w:rStyle w:val="20"/>
          <w:rFonts w:hint="default" w:ascii="Times New Roman" w:hAnsi="Times New Roman" w:eastAsia="仿宋_GB2312" w:cs="Times New Roman"/>
          <w:bCs/>
          <w:sz w:val="32"/>
          <w:szCs w:val="32"/>
        </w:rPr>
        <w:t>）</w:t>
      </w:r>
      <w:r>
        <w:rPr>
          <w:rStyle w:val="20"/>
          <w:rFonts w:hint="default" w:ascii="Times New Roman" w:hAnsi="Times New Roman" w:eastAsia="仿宋_GB2312" w:cs="Times New Roman"/>
          <w:bCs/>
          <w:sz w:val="32"/>
          <w:szCs w:val="32"/>
          <w:lang w:eastAsia="zh-CN"/>
        </w:rPr>
        <w:t>：</w:t>
      </w:r>
      <w:r>
        <w:rPr>
          <w:rStyle w:val="20"/>
          <w:rFonts w:hint="default" w:ascii="Times New Roman" w:hAnsi="Times New Roman" w:eastAsia="仿宋_GB2312" w:cs="Times New Roman"/>
          <w:bCs/>
          <w:sz w:val="32"/>
          <w:szCs w:val="32"/>
        </w:rPr>
        <w:t xml:space="preserve"> </w:t>
      </w:r>
      <w:r>
        <w:rPr>
          <w:rStyle w:val="20"/>
          <w:rFonts w:hint="default" w:ascii="Times New Roman" w:hAnsi="Times New Roman" w:eastAsia="仿宋_GB2312" w:cs="Times New Roman"/>
          <w:b w:val="0"/>
          <w:bCs w:val="0"/>
          <w:sz w:val="32"/>
          <w:szCs w:val="32"/>
        </w:rPr>
        <w:t>支出决算为516.58万元，完成预算100%，与预算数持平。</w:t>
      </w:r>
    </w:p>
    <w:p w14:paraId="2EA8F1C7">
      <w:pPr>
        <w:pStyle w:val="25"/>
        <w:keepNext w:val="0"/>
        <w:keepLines w:val="0"/>
        <w:pageBreakBefore w:val="0"/>
        <w:widowControl w:val="0"/>
        <w:kinsoku/>
        <w:wordWrap/>
        <w:overflowPunct/>
        <w:topLinePunct w:val="0"/>
        <w:bidi w:val="0"/>
        <w:snapToGrid/>
        <w:spacing w:line="560" w:lineRule="exact"/>
        <w:ind w:firstLine="643" w:firstLineChars="200"/>
        <w:textAlignment w:val="auto"/>
        <w:outlineLvl w:val="9"/>
        <w:rPr>
          <w:rStyle w:val="20"/>
          <w:rFonts w:hint="default" w:ascii="Times New Roman" w:hAnsi="Times New Roman" w:eastAsia="仿宋_GB2312" w:cs="Times New Roman"/>
          <w:b w:val="0"/>
          <w:bCs w:val="0"/>
          <w:sz w:val="32"/>
          <w:szCs w:val="32"/>
        </w:rPr>
      </w:pPr>
      <w:r>
        <w:rPr>
          <w:rStyle w:val="20"/>
          <w:rFonts w:hint="default" w:ascii="Times New Roman" w:hAnsi="Times New Roman" w:eastAsia="仿宋_GB2312" w:cs="Times New Roman"/>
          <w:bCs/>
          <w:sz w:val="32"/>
          <w:szCs w:val="32"/>
        </w:rPr>
        <w:t>2、一般公共服务支出（</w:t>
      </w:r>
      <w:r>
        <w:rPr>
          <w:rStyle w:val="20"/>
          <w:rFonts w:hint="default" w:ascii="Times New Roman" w:hAnsi="Times New Roman" w:eastAsia="仿宋_GB2312" w:cs="Times New Roman"/>
          <w:bCs/>
          <w:sz w:val="32"/>
          <w:szCs w:val="32"/>
          <w:lang w:val="en-US" w:eastAsia="zh-CN"/>
        </w:rPr>
        <w:t>类</w:t>
      </w:r>
      <w:r>
        <w:rPr>
          <w:rStyle w:val="20"/>
          <w:rFonts w:hint="default" w:ascii="Times New Roman" w:hAnsi="Times New Roman" w:eastAsia="仿宋_GB2312" w:cs="Times New Roman"/>
          <w:bCs/>
          <w:sz w:val="32"/>
          <w:szCs w:val="32"/>
        </w:rPr>
        <w:t>）组织事务（</w:t>
      </w:r>
      <w:r>
        <w:rPr>
          <w:rStyle w:val="20"/>
          <w:rFonts w:hint="default" w:ascii="Times New Roman" w:hAnsi="Times New Roman" w:eastAsia="仿宋_GB2312" w:cs="Times New Roman"/>
          <w:bCs/>
          <w:sz w:val="32"/>
          <w:szCs w:val="32"/>
          <w:lang w:val="en-US" w:eastAsia="zh-CN"/>
        </w:rPr>
        <w:t>款</w:t>
      </w:r>
      <w:r>
        <w:rPr>
          <w:rStyle w:val="20"/>
          <w:rFonts w:hint="default" w:ascii="Times New Roman" w:hAnsi="Times New Roman" w:eastAsia="仿宋_GB2312" w:cs="Times New Roman"/>
          <w:bCs/>
          <w:sz w:val="32"/>
          <w:szCs w:val="32"/>
        </w:rPr>
        <w:t>）一般行政管理事务（</w:t>
      </w:r>
      <w:r>
        <w:rPr>
          <w:rStyle w:val="20"/>
          <w:rFonts w:hint="default" w:ascii="Times New Roman" w:hAnsi="Times New Roman" w:eastAsia="仿宋_GB2312" w:cs="Times New Roman"/>
          <w:bCs/>
          <w:sz w:val="32"/>
          <w:szCs w:val="32"/>
          <w:lang w:val="en-US" w:eastAsia="zh-CN"/>
        </w:rPr>
        <w:t>项</w:t>
      </w:r>
      <w:r>
        <w:rPr>
          <w:rStyle w:val="20"/>
          <w:rFonts w:hint="default" w:ascii="Times New Roman" w:hAnsi="Times New Roman" w:eastAsia="仿宋_GB2312" w:cs="Times New Roman"/>
          <w:bCs/>
          <w:sz w:val="32"/>
          <w:szCs w:val="32"/>
        </w:rPr>
        <w:t>）</w:t>
      </w:r>
      <w:r>
        <w:rPr>
          <w:rStyle w:val="20"/>
          <w:rFonts w:hint="default" w:ascii="Times New Roman" w:hAnsi="Times New Roman" w:eastAsia="仿宋_GB2312" w:cs="Times New Roman"/>
          <w:bCs/>
          <w:sz w:val="32"/>
          <w:szCs w:val="32"/>
          <w:lang w:eastAsia="zh-CN"/>
        </w:rPr>
        <w:t>：</w:t>
      </w:r>
      <w:r>
        <w:rPr>
          <w:rStyle w:val="20"/>
          <w:rFonts w:hint="default" w:ascii="Times New Roman" w:hAnsi="Times New Roman" w:eastAsia="仿宋_GB2312" w:cs="Times New Roman"/>
          <w:bCs/>
          <w:sz w:val="32"/>
          <w:szCs w:val="32"/>
        </w:rPr>
        <w:t xml:space="preserve"> </w:t>
      </w:r>
      <w:r>
        <w:rPr>
          <w:rStyle w:val="20"/>
          <w:rFonts w:hint="default" w:ascii="Times New Roman" w:hAnsi="Times New Roman" w:eastAsia="仿宋_GB2312" w:cs="Times New Roman"/>
          <w:b w:val="0"/>
          <w:bCs w:val="0"/>
          <w:sz w:val="32"/>
          <w:szCs w:val="32"/>
        </w:rPr>
        <w:t>支出决算为385.06万元，完成预算100%，与预算数持平。</w:t>
      </w:r>
    </w:p>
    <w:p w14:paraId="488B32CD">
      <w:pPr>
        <w:pStyle w:val="25"/>
        <w:keepNext w:val="0"/>
        <w:keepLines w:val="0"/>
        <w:pageBreakBefore w:val="0"/>
        <w:widowControl w:val="0"/>
        <w:kinsoku/>
        <w:wordWrap/>
        <w:overflowPunct/>
        <w:topLinePunct w:val="0"/>
        <w:bidi w:val="0"/>
        <w:snapToGrid/>
        <w:spacing w:line="560" w:lineRule="exact"/>
        <w:ind w:firstLine="643" w:firstLineChars="200"/>
        <w:textAlignment w:val="auto"/>
        <w:outlineLvl w:val="9"/>
        <w:rPr>
          <w:rStyle w:val="20"/>
          <w:rFonts w:hint="default" w:ascii="Times New Roman" w:hAnsi="Times New Roman" w:eastAsia="仿宋_GB2312" w:cs="Times New Roman"/>
          <w:bCs/>
          <w:sz w:val="32"/>
          <w:szCs w:val="32"/>
        </w:rPr>
      </w:pPr>
      <w:r>
        <w:rPr>
          <w:rStyle w:val="20"/>
          <w:rFonts w:hint="default" w:ascii="Times New Roman" w:hAnsi="Times New Roman" w:eastAsia="仿宋_GB2312" w:cs="Times New Roman"/>
          <w:bCs/>
          <w:sz w:val="32"/>
          <w:szCs w:val="32"/>
        </w:rPr>
        <w:t>3、一般公共服务支出（</w:t>
      </w:r>
      <w:r>
        <w:rPr>
          <w:rStyle w:val="20"/>
          <w:rFonts w:hint="default" w:ascii="Times New Roman" w:hAnsi="Times New Roman" w:eastAsia="仿宋_GB2312" w:cs="Times New Roman"/>
          <w:bCs/>
          <w:sz w:val="32"/>
          <w:szCs w:val="32"/>
          <w:lang w:val="en-US" w:eastAsia="zh-CN"/>
        </w:rPr>
        <w:t>类</w:t>
      </w:r>
      <w:r>
        <w:rPr>
          <w:rStyle w:val="20"/>
          <w:rFonts w:hint="default" w:ascii="Times New Roman" w:hAnsi="Times New Roman" w:eastAsia="仿宋_GB2312" w:cs="Times New Roman"/>
          <w:bCs/>
          <w:sz w:val="32"/>
          <w:szCs w:val="32"/>
        </w:rPr>
        <w:t>）组织事务（</w:t>
      </w:r>
      <w:r>
        <w:rPr>
          <w:rStyle w:val="20"/>
          <w:rFonts w:hint="default" w:ascii="Times New Roman" w:hAnsi="Times New Roman" w:eastAsia="仿宋_GB2312" w:cs="Times New Roman"/>
          <w:bCs/>
          <w:sz w:val="32"/>
          <w:szCs w:val="32"/>
          <w:lang w:val="en-US" w:eastAsia="zh-CN"/>
        </w:rPr>
        <w:t>款</w:t>
      </w:r>
      <w:r>
        <w:rPr>
          <w:rStyle w:val="20"/>
          <w:rFonts w:hint="default" w:ascii="Times New Roman" w:hAnsi="Times New Roman" w:eastAsia="仿宋_GB2312" w:cs="Times New Roman"/>
          <w:bCs/>
          <w:sz w:val="32"/>
          <w:szCs w:val="32"/>
        </w:rPr>
        <w:t>）事业运行（</w:t>
      </w:r>
      <w:r>
        <w:rPr>
          <w:rStyle w:val="20"/>
          <w:rFonts w:hint="default" w:ascii="Times New Roman" w:hAnsi="Times New Roman" w:eastAsia="仿宋_GB2312" w:cs="Times New Roman"/>
          <w:bCs/>
          <w:sz w:val="32"/>
          <w:szCs w:val="32"/>
          <w:lang w:val="en-US" w:eastAsia="zh-CN"/>
        </w:rPr>
        <w:t>项</w:t>
      </w:r>
      <w:r>
        <w:rPr>
          <w:rStyle w:val="20"/>
          <w:rFonts w:hint="default" w:ascii="Times New Roman" w:hAnsi="Times New Roman" w:eastAsia="仿宋_GB2312" w:cs="Times New Roman"/>
          <w:bCs/>
          <w:sz w:val="32"/>
          <w:szCs w:val="32"/>
        </w:rPr>
        <w:t>）</w:t>
      </w:r>
      <w:r>
        <w:rPr>
          <w:rStyle w:val="20"/>
          <w:rFonts w:hint="default" w:ascii="Times New Roman" w:hAnsi="Times New Roman" w:eastAsia="仿宋_GB2312" w:cs="Times New Roman"/>
          <w:bCs/>
          <w:sz w:val="32"/>
          <w:szCs w:val="32"/>
          <w:lang w:eastAsia="zh-CN"/>
        </w:rPr>
        <w:t>：</w:t>
      </w:r>
      <w:r>
        <w:rPr>
          <w:rStyle w:val="20"/>
          <w:rFonts w:hint="default" w:ascii="Times New Roman" w:hAnsi="Times New Roman" w:eastAsia="仿宋_GB2312" w:cs="Times New Roman"/>
          <w:bCs/>
          <w:sz w:val="32"/>
          <w:szCs w:val="32"/>
        </w:rPr>
        <w:t xml:space="preserve"> </w:t>
      </w:r>
      <w:r>
        <w:rPr>
          <w:rStyle w:val="20"/>
          <w:rFonts w:hint="default" w:ascii="Times New Roman" w:hAnsi="Times New Roman" w:eastAsia="仿宋_GB2312" w:cs="Times New Roman"/>
          <w:b w:val="0"/>
          <w:bCs w:val="0"/>
          <w:sz w:val="32"/>
          <w:szCs w:val="32"/>
        </w:rPr>
        <w:t>支出决算为52.03万元，完成预算100%，与预算数持平。</w:t>
      </w:r>
    </w:p>
    <w:p w14:paraId="518C14FC">
      <w:pPr>
        <w:pStyle w:val="25"/>
        <w:keepNext w:val="0"/>
        <w:keepLines w:val="0"/>
        <w:pageBreakBefore w:val="0"/>
        <w:widowControl w:val="0"/>
        <w:kinsoku/>
        <w:wordWrap/>
        <w:overflowPunct/>
        <w:topLinePunct w:val="0"/>
        <w:bidi w:val="0"/>
        <w:snapToGrid/>
        <w:spacing w:line="560" w:lineRule="exact"/>
        <w:ind w:firstLine="643" w:firstLineChars="200"/>
        <w:textAlignment w:val="auto"/>
        <w:outlineLvl w:val="9"/>
        <w:rPr>
          <w:rStyle w:val="20"/>
          <w:rFonts w:hint="default" w:ascii="Times New Roman" w:hAnsi="Times New Roman" w:eastAsia="仿宋_GB2312" w:cs="Times New Roman"/>
          <w:bCs/>
          <w:sz w:val="32"/>
          <w:szCs w:val="32"/>
        </w:rPr>
      </w:pPr>
      <w:r>
        <w:rPr>
          <w:rStyle w:val="20"/>
          <w:rFonts w:hint="default" w:ascii="Times New Roman" w:hAnsi="Times New Roman" w:eastAsia="仿宋_GB2312" w:cs="Times New Roman"/>
          <w:bCs/>
          <w:sz w:val="32"/>
          <w:szCs w:val="32"/>
        </w:rPr>
        <w:t>4、一般公共服务支出（</w:t>
      </w:r>
      <w:r>
        <w:rPr>
          <w:rStyle w:val="20"/>
          <w:rFonts w:hint="default" w:ascii="Times New Roman" w:hAnsi="Times New Roman" w:eastAsia="仿宋_GB2312" w:cs="Times New Roman"/>
          <w:bCs/>
          <w:sz w:val="32"/>
          <w:szCs w:val="32"/>
          <w:lang w:val="en-US" w:eastAsia="zh-CN"/>
        </w:rPr>
        <w:t>类</w:t>
      </w:r>
      <w:r>
        <w:rPr>
          <w:rStyle w:val="20"/>
          <w:rFonts w:hint="default" w:ascii="Times New Roman" w:hAnsi="Times New Roman" w:eastAsia="仿宋_GB2312" w:cs="Times New Roman"/>
          <w:bCs/>
          <w:sz w:val="32"/>
          <w:szCs w:val="32"/>
        </w:rPr>
        <w:t>）组织事务（</w:t>
      </w:r>
      <w:r>
        <w:rPr>
          <w:rStyle w:val="20"/>
          <w:rFonts w:hint="default" w:ascii="Times New Roman" w:hAnsi="Times New Roman" w:eastAsia="仿宋_GB2312" w:cs="Times New Roman"/>
          <w:bCs/>
          <w:sz w:val="32"/>
          <w:szCs w:val="32"/>
          <w:lang w:val="en-US" w:eastAsia="zh-CN"/>
        </w:rPr>
        <w:t>款</w:t>
      </w:r>
      <w:r>
        <w:rPr>
          <w:rStyle w:val="20"/>
          <w:rFonts w:hint="default" w:ascii="Times New Roman" w:hAnsi="Times New Roman" w:eastAsia="仿宋_GB2312" w:cs="Times New Roman"/>
          <w:bCs/>
          <w:sz w:val="32"/>
          <w:szCs w:val="32"/>
        </w:rPr>
        <w:t>）其他组织事务支出（</w:t>
      </w:r>
      <w:r>
        <w:rPr>
          <w:rStyle w:val="20"/>
          <w:rFonts w:hint="default" w:ascii="Times New Roman" w:hAnsi="Times New Roman" w:eastAsia="仿宋_GB2312" w:cs="Times New Roman"/>
          <w:bCs/>
          <w:sz w:val="32"/>
          <w:szCs w:val="32"/>
          <w:lang w:val="en-US" w:eastAsia="zh-CN"/>
        </w:rPr>
        <w:t>项</w:t>
      </w:r>
      <w:r>
        <w:rPr>
          <w:rStyle w:val="20"/>
          <w:rFonts w:hint="default" w:ascii="Times New Roman" w:hAnsi="Times New Roman" w:eastAsia="仿宋_GB2312" w:cs="Times New Roman"/>
          <w:bCs/>
          <w:sz w:val="32"/>
          <w:szCs w:val="32"/>
        </w:rPr>
        <w:t>）</w:t>
      </w:r>
      <w:r>
        <w:rPr>
          <w:rStyle w:val="20"/>
          <w:rFonts w:hint="default" w:ascii="Times New Roman" w:hAnsi="Times New Roman" w:eastAsia="仿宋_GB2312" w:cs="Times New Roman"/>
          <w:bCs/>
          <w:sz w:val="32"/>
          <w:szCs w:val="32"/>
          <w:lang w:eastAsia="zh-CN"/>
        </w:rPr>
        <w:t>：</w:t>
      </w:r>
      <w:r>
        <w:rPr>
          <w:rStyle w:val="20"/>
          <w:rFonts w:hint="default" w:ascii="Times New Roman" w:hAnsi="Times New Roman" w:eastAsia="仿宋_GB2312" w:cs="Times New Roman"/>
          <w:bCs/>
          <w:sz w:val="32"/>
          <w:szCs w:val="32"/>
        </w:rPr>
        <w:t xml:space="preserve"> </w:t>
      </w:r>
      <w:r>
        <w:rPr>
          <w:rStyle w:val="20"/>
          <w:rFonts w:hint="default" w:ascii="Times New Roman" w:hAnsi="Times New Roman" w:eastAsia="仿宋_GB2312" w:cs="Times New Roman"/>
          <w:b w:val="0"/>
          <w:bCs w:val="0"/>
          <w:sz w:val="32"/>
          <w:szCs w:val="32"/>
        </w:rPr>
        <w:t>支出决算为83.8万元，完成预算100%，与预算数持平。</w:t>
      </w:r>
    </w:p>
    <w:p w14:paraId="47F30C06">
      <w:pPr>
        <w:pStyle w:val="25"/>
        <w:keepNext w:val="0"/>
        <w:keepLines w:val="0"/>
        <w:pageBreakBefore w:val="0"/>
        <w:widowControl w:val="0"/>
        <w:kinsoku/>
        <w:wordWrap/>
        <w:overflowPunct/>
        <w:topLinePunct w:val="0"/>
        <w:bidi w:val="0"/>
        <w:snapToGrid/>
        <w:spacing w:line="560" w:lineRule="exact"/>
        <w:ind w:firstLine="643" w:firstLineChars="200"/>
        <w:textAlignment w:val="auto"/>
        <w:outlineLvl w:val="9"/>
        <w:rPr>
          <w:rStyle w:val="20"/>
          <w:rFonts w:hint="default" w:ascii="Times New Roman" w:hAnsi="Times New Roman" w:eastAsia="仿宋_GB2312" w:cs="Times New Roman"/>
          <w:bCs/>
          <w:sz w:val="32"/>
          <w:szCs w:val="32"/>
          <w:lang w:val="en-US" w:eastAsia="zh-CN"/>
        </w:rPr>
      </w:pPr>
      <w:r>
        <w:rPr>
          <w:rStyle w:val="20"/>
          <w:rFonts w:hint="default" w:ascii="Times New Roman" w:hAnsi="Times New Roman" w:eastAsia="仿宋_GB2312" w:cs="Times New Roman"/>
          <w:bCs/>
          <w:sz w:val="32"/>
          <w:szCs w:val="32"/>
        </w:rPr>
        <w:t>5、教育支出（</w:t>
      </w:r>
      <w:r>
        <w:rPr>
          <w:rStyle w:val="20"/>
          <w:rFonts w:hint="default" w:ascii="Times New Roman" w:hAnsi="Times New Roman" w:eastAsia="仿宋_GB2312" w:cs="Times New Roman"/>
          <w:bCs/>
          <w:sz w:val="32"/>
          <w:szCs w:val="32"/>
          <w:lang w:val="en-US" w:eastAsia="zh-CN"/>
        </w:rPr>
        <w:t>类</w:t>
      </w:r>
      <w:r>
        <w:rPr>
          <w:rStyle w:val="20"/>
          <w:rFonts w:hint="default" w:ascii="Times New Roman" w:hAnsi="Times New Roman" w:eastAsia="仿宋_GB2312" w:cs="Times New Roman"/>
          <w:bCs/>
          <w:sz w:val="32"/>
          <w:szCs w:val="32"/>
        </w:rPr>
        <w:t>）其他教育支出（</w:t>
      </w:r>
      <w:r>
        <w:rPr>
          <w:rStyle w:val="20"/>
          <w:rFonts w:hint="default" w:ascii="Times New Roman" w:hAnsi="Times New Roman" w:eastAsia="仿宋_GB2312" w:cs="Times New Roman"/>
          <w:bCs/>
          <w:sz w:val="32"/>
          <w:szCs w:val="32"/>
          <w:lang w:val="en-US" w:eastAsia="zh-CN"/>
        </w:rPr>
        <w:t>款</w:t>
      </w:r>
      <w:r>
        <w:rPr>
          <w:rStyle w:val="20"/>
          <w:rFonts w:hint="default" w:ascii="Times New Roman" w:hAnsi="Times New Roman" w:eastAsia="仿宋_GB2312" w:cs="Times New Roman"/>
          <w:bCs/>
          <w:sz w:val="32"/>
          <w:szCs w:val="32"/>
        </w:rPr>
        <w:t>）其他教育支出（</w:t>
      </w:r>
      <w:r>
        <w:rPr>
          <w:rStyle w:val="20"/>
          <w:rFonts w:hint="default" w:ascii="Times New Roman" w:hAnsi="Times New Roman" w:eastAsia="仿宋_GB2312" w:cs="Times New Roman"/>
          <w:bCs/>
          <w:sz w:val="32"/>
          <w:szCs w:val="32"/>
          <w:lang w:val="en-US" w:eastAsia="zh-CN"/>
        </w:rPr>
        <w:t>项</w:t>
      </w:r>
      <w:r>
        <w:rPr>
          <w:rStyle w:val="20"/>
          <w:rFonts w:hint="default" w:ascii="Times New Roman" w:hAnsi="Times New Roman" w:eastAsia="仿宋_GB2312" w:cs="Times New Roman"/>
          <w:bCs/>
          <w:sz w:val="32"/>
          <w:szCs w:val="32"/>
        </w:rPr>
        <w:t>）</w:t>
      </w:r>
      <w:r>
        <w:rPr>
          <w:rStyle w:val="20"/>
          <w:rFonts w:hint="default" w:ascii="Times New Roman" w:hAnsi="Times New Roman" w:eastAsia="仿宋_GB2312" w:cs="Times New Roman"/>
          <w:bCs/>
          <w:sz w:val="32"/>
          <w:szCs w:val="32"/>
          <w:lang w:eastAsia="zh-CN"/>
        </w:rPr>
        <w:t>：</w:t>
      </w:r>
      <w:r>
        <w:rPr>
          <w:rStyle w:val="20"/>
          <w:rFonts w:hint="default" w:ascii="Times New Roman" w:hAnsi="Times New Roman" w:eastAsia="仿宋_GB2312" w:cs="Times New Roman"/>
          <w:bCs/>
          <w:sz w:val="32"/>
          <w:szCs w:val="32"/>
        </w:rPr>
        <w:t xml:space="preserve"> </w:t>
      </w:r>
      <w:r>
        <w:rPr>
          <w:rStyle w:val="20"/>
          <w:rFonts w:hint="default" w:ascii="Times New Roman" w:hAnsi="Times New Roman" w:eastAsia="仿宋_GB2312" w:cs="Times New Roman"/>
          <w:b w:val="0"/>
          <w:bCs w:val="0"/>
          <w:sz w:val="32"/>
          <w:szCs w:val="32"/>
        </w:rPr>
        <w:t>支出决算为0.3万元，完成预算100%，与预算数持平。</w:t>
      </w:r>
    </w:p>
    <w:p w14:paraId="00C0E8A5">
      <w:pPr>
        <w:pStyle w:val="25"/>
        <w:keepNext w:val="0"/>
        <w:keepLines w:val="0"/>
        <w:pageBreakBefore w:val="0"/>
        <w:widowControl w:val="0"/>
        <w:kinsoku/>
        <w:wordWrap/>
        <w:overflowPunct/>
        <w:topLinePunct w:val="0"/>
        <w:bidi w:val="0"/>
        <w:snapToGrid/>
        <w:spacing w:line="560" w:lineRule="exact"/>
        <w:ind w:firstLine="643" w:firstLineChars="200"/>
        <w:textAlignment w:val="auto"/>
        <w:outlineLvl w:val="9"/>
        <w:rPr>
          <w:rStyle w:val="20"/>
          <w:rFonts w:hint="default" w:ascii="Times New Roman" w:hAnsi="Times New Roman" w:eastAsia="仿宋_GB2312" w:cs="Times New Roman"/>
          <w:b w:val="0"/>
          <w:bCs w:val="0"/>
          <w:sz w:val="32"/>
          <w:szCs w:val="32"/>
        </w:rPr>
      </w:pPr>
      <w:r>
        <w:rPr>
          <w:rStyle w:val="20"/>
          <w:rFonts w:hint="default" w:ascii="Times New Roman" w:hAnsi="Times New Roman" w:eastAsia="仿宋_GB2312" w:cs="Times New Roman"/>
          <w:bCs/>
          <w:sz w:val="32"/>
          <w:szCs w:val="32"/>
        </w:rPr>
        <w:t>6、社会保障和就业支出（</w:t>
      </w:r>
      <w:r>
        <w:rPr>
          <w:rStyle w:val="20"/>
          <w:rFonts w:hint="default" w:ascii="Times New Roman" w:hAnsi="Times New Roman" w:eastAsia="仿宋_GB2312" w:cs="Times New Roman"/>
          <w:bCs/>
          <w:sz w:val="32"/>
          <w:szCs w:val="32"/>
          <w:lang w:val="en-US" w:eastAsia="zh-CN"/>
        </w:rPr>
        <w:t>类</w:t>
      </w:r>
      <w:r>
        <w:rPr>
          <w:rStyle w:val="20"/>
          <w:rFonts w:hint="default" w:ascii="Times New Roman" w:hAnsi="Times New Roman" w:eastAsia="仿宋_GB2312" w:cs="Times New Roman"/>
          <w:bCs/>
          <w:sz w:val="32"/>
          <w:szCs w:val="32"/>
        </w:rPr>
        <w:t>）行政事业单位养老支出</w:t>
      </w:r>
      <w:r>
        <w:rPr>
          <w:rStyle w:val="20"/>
          <w:rFonts w:hint="default" w:ascii="Times New Roman" w:hAnsi="Times New Roman" w:eastAsia="仿宋_GB2312" w:cs="Times New Roman"/>
          <w:bCs/>
          <w:sz w:val="32"/>
          <w:szCs w:val="32"/>
          <w:lang w:eastAsia="zh-CN"/>
        </w:rPr>
        <w:t>（</w:t>
      </w:r>
      <w:r>
        <w:rPr>
          <w:rStyle w:val="20"/>
          <w:rFonts w:hint="default" w:ascii="Times New Roman" w:hAnsi="Times New Roman" w:eastAsia="仿宋_GB2312" w:cs="Times New Roman"/>
          <w:bCs/>
          <w:sz w:val="32"/>
          <w:szCs w:val="32"/>
          <w:lang w:val="en-US" w:eastAsia="zh-CN"/>
        </w:rPr>
        <w:t>款）机关事业单位基本养老保险缴费支出</w:t>
      </w:r>
      <w:r>
        <w:rPr>
          <w:rStyle w:val="20"/>
          <w:rFonts w:hint="default" w:ascii="Times New Roman" w:hAnsi="Times New Roman" w:eastAsia="仿宋_GB2312" w:cs="Times New Roman"/>
          <w:bCs/>
          <w:sz w:val="32"/>
          <w:szCs w:val="32"/>
        </w:rPr>
        <w:t>（</w:t>
      </w:r>
      <w:r>
        <w:rPr>
          <w:rStyle w:val="20"/>
          <w:rFonts w:hint="default" w:ascii="Times New Roman" w:hAnsi="Times New Roman" w:eastAsia="仿宋_GB2312" w:cs="Times New Roman"/>
          <w:bCs/>
          <w:sz w:val="32"/>
          <w:szCs w:val="32"/>
          <w:lang w:val="en-US" w:eastAsia="zh-CN"/>
        </w:rPr>
        <w:t>项</w:t>
      </w:r>
      <w:r>
        <w:rPr>
          <w:rStyle w:val="20"/>
          <w:rFonts w:hint="default" w:ascii="Times New Roman" w:hAnsi="Times New Roman" w:eastAsia="仿宋_GB2312" w:cs="Times New Roman"/>
          <w:bCs/>
          <w:sz w:val="32"/>
          <w:szCs w:val="32"/>
        </w:rPr>
        <w:t>）</w:t>
      </w:r>
      <w:r>
        <w:rPr>
          <w:rStyle w:val="20"/>
          <w:rFonts w:hint="default" w:ascii="Times New Roman" w:hAnsi="Times New Roman" w:eastAsia="仿宋_GB2312" w:cs="Times New Roman"/>
          <w:bCs/>
          <w:sz w:val="32"/>
          <w:szCs w:val="32"/>
          <w:lang w:eastAsia="zh-CN"/>
        </w:rPr>
        <w:t>：</w:t>
      </w:r>
      <w:r>
        <w:rPr>
          <w:rStyle w:val="20"/>
          <w:rFonts w:hint="default" w:ascii="Times New Roman" w:hAnsi="Times New Roman" w:eastAsia="仿宋_GB2312" w:cs="Times New Roman"/>
          <w:bCs/>
          <w:sz w:val="32"/>
          <w:szCs w:val="32"/>
        </w:rPr>
        <w:t xml:space="preserve"> </w:t>
      </w:r>
      <w:r>
        <w:rPr>
          <w:rStyle w:val="20"/>
          <w:rFonts w:hint="default" w:ascii="Times New Roman" w:hAnsi="Times New Roman" w:eastAsia="仿宋_GB2312" w:cs="Times New Roman"/>
          <w:b w:val="0"/>
          <w:bCs w:val="0"/>
          <w:sz w:val="32"/>
          <w:szCs w:val="32"/>
        </w:rPr>
        <w:t>支出决算为51.11万元，完成预算100%，与预算数持平。</w:t>
      </w:r>
    </w:p>
    <w:p w14:paraId="04F97BFB">
      <w:pPr>
        <w:pStyle w:val="25"/>
        <w:keepNext w:val="0"/>
        <w:keepLines w:val="0"/>
        <w:pageBreakBefore w:val="0"/>
        <w:widowControl w:val="0"/>
        <w:kinsoku/>
        <w:wordWrap/>
        <w:overflowPunct/>
        <w:topLinePunct w:val="0"/>
        <w:bidi w:val="0"/>
        <w:snapToGrid/>
        <w:spacing w:line="560" w:lineRule="exact"/>
        <w:ind w:firstLine="643" w:firstLineChars="200"/>
        <w:textAlignment w:val="auto"/>
        <w:outlineLvl w:val="9"/>
        <w:rPr>
          <w:rStyle w:val="20"/>
          <w:rFonts w:hint="default" w:ascii="Times New Roman" w:hAnsi="Times New Roman" w:eastAsia="仿宋_GB2312" w:cs="Times New Roman"/>
          <w:bCs/>
          <w:sz w:val="32"/>
          <w:szCs w:val="32"/>
        </w:rPr>
      </w:pPr>
      <w:r>
        <w:rPr>
          <w:rStyle w:val="20"/>
          <w:rFonts w:hint="default" w:ascii="Times New Roman" w:hAnsi="Times New Roman" w:eastAsia="仿宋_GB2312" w:cs="Times New Roman"/>
          <w:bCs/>
          <w:sz w:val="32"/>
          <w:szCs w:val="32"/>
          <w:lang w:val="en-US" w:eastAsia="zh-CN"/>
        </w:rPr>
        <w:t>7</w:t>
      </w:r>
      <w:r>
        <w:rPr>
          <w:rStyle w:val="20"/>
          <w:rFonts w:hint="default" w:ascii="Times New Roman" w:hAnsi="Times New Roman" w:eastAsia="仿宋_GB2312" w:cs="Times New Roman"/>
          <w:bCs/>
          <w:sz w:val="32"/>
          <w:szCs w:val="32"/>
        </w:rPr>
        <w:t>、社会保障和就业支出（</w:t>
      </w:r>
      <w:r>
        <w:rPr>
          <w:rStyle w:val="20"/>
          <w:rFonts w:hint="default" w:ascii="Times New Roman" w:hAnsi="Times New Roman" w:eastAsia="仿宋_GB2312" w:cs="Times New Roman"/>
          <w:bCs/>
          <w:sz w:val="32"/>
          <w:szCs w:val="32"/>
          <w:lang w:val="en-US" w:eastAsia="zh-CN"/>
        </w:rPr>
        <w:t>类</w:t>
      </w:r>
      <w:r>
        <w:rPr>
          <w:rStyle w:val="20"/>
          <w:rFonts w:hint="default" w:ascii="Times New Roman" w:hAnsi="Times New Roman" w:eastAsia="仿宋_GB2312" w:cs="Times New Roman"/>
          <w:bCs/>
          <w:sz w:val="32"/>
          <w:szCs w:val="32"/>
        </w:rPr>
        <w:t>）行政事业单位养老支出</w:t>
      </w:r>
      <w:r>
        <w:rPr>
          <w:rStyle w:val="20"/>
          <w:rFonts w:hint="default" w:ascii="Times New Roman" w:hAnsi="Times New Roman" w:eastAsia="仿宋_GB2312" w:cs="Times New Roman"/>
          <w:bCs/>
          <w:sz w:val="32"/>
          <w:szCs w:val="32"/>
          <w:lang w:eastAsia="zh-CN"/>
        </w:rPr>
        <w:t>（</w:t>
      </w:r>
      <w:r>
        <w:rPr>
          <w:rStyle w:val="20"/>
          <w:rFonts w:hint="default" w:ascii="Times New Roman" w:hAnsi="Times New Roman" w:eastAsia="仿宋_GB2312" w:cs="Times New Roman"/>
          <w:bCs/>
          <w:sz w:val="32"/>
          <w:szCs w:val="32"/>
          <w:lang w:val="en-US" w:eastAsia="zh-CN"/>
        </w:rPr>
        <w:t>款）机关事业单位职业年金缴费支出</w:t>
      </w:r>
      <w:r>
        <w:rPr>
          <w:rStyle w:val="20"/>
          <w:rFonts w:hint="default" w:ascii="Times New Roman" w:hAnsi="Times New Roman" w:eastAsia="仿宋_GB2312" w:cs="Times New Roman"/>
          <w:bCs/>
          <w:sz w:val="32"/>
          <w:szCs w:val="32"/>
        </w:rPr>
        <w:t>（</w:t>
      </w:r>
      <w:r>
        <w:rPr>
          <w:rStyle w:val="20"/>
          <w:rFonts w:hint="default" w:ascii="Times New Roman" w:hAnsi="Times New Roman" w:eastAsia="仿宋_GB2312" w:cs="Times New Roman"/>
          <w:bCs/>
          <w:sz w:val="32"/>
          <w:szCs w:val="32"/>
          <w:lang w:val="en-US" w:eastAsia="zh-CN"/>
        </w:rPr>
        <w:t>项</w:t>
      </w:r>
      <w:r>
        <w:rPr>
          <w:rStyle w:val="20"/>
          <w:rFonts w:hint="default" w:ascii="Times New Roman" w:hAnsi="Times New Roman" w:eastAsia="仿宋_GB2312" w:cs="Times New Roman"/>
          <w:bCs/>
          <w:sz w:val="32"/>
          <w:szCs w:val="32"/>
        </w:rPr>
        <w:t>）</w:t>
      </w:r>
      <w:r>
        <w:rPr>
          <w:rStyle w:val="20"/>
          <w:rFonts w:hint="default" w:ascii="Times New Roman" w:hAnsi="Times New Roman" w:eastAsia="仿宋_GB2312" w:cs="Times New Roman"/>
          <w:bCs/>
          <w:sz w:val="32"/>
          <w:szCs w:val="32"/>
          <w:lang w:eastAsia="zh-CN"/>
        </w:rPr>
        <w:t>：</w:t>
      </w:r>
      <w:r>
        <w:rPr>
          <w:rStyle w:val="20"/>
          <w:rFonts w:hint="default" w:ascii="Times New Roman" w:hAnsi="Times New Roman" w:eastAsia="仿宋_GB2312" w:cs="Times New Roman"/>
          <w:bCs/>
          <w:sz w:val="32"/>
          <w:szCs w:val="32"/>
        </w:rPr>
        <w:t xml:space="preserve"> </w:t>
      </w:r>
      <w:r>
        <w:rPr>
          <w:rStyle w:val="20"/>
          <w:rFonts w:hint="default" w:ascii="Times New Roman" w:hAnsi="Times New Roman" w:eastAsia="仿宋_GB2312" w:cs="Times New Roman"/>
          <w:b w:val="0"/>
          <w:bCs w:val="0"/>
          <w:sz w:val="32"/>
          <w:szCs w:val="32"/>
        </w:rPr>
        <w:t>支出决算为25.56万元，完成预算100%，与预算数持平。</w:t>
      </w:r>
    </w:p>
    <w:p w14:paraId="6375B6C1">
      <w:pPr>
        <w:pStyle w:val="25"/>
        <w:keepNext w:val="0"/>
        <w:keepLines w:val="0"/>
        <w:pageBreakBefore w:val="0"/>
        <w:widowControl w:val="0"/>
        <w:kinsoku/>
        <w:wordWrap/>
        <w:overflowPunct/>
        <w:topLinePunct w:val="0"/>
        <w:bidi w:val="0"/>
        <w:snapToGrid/>
        <w:spacing w:line="560" w:lineRule="exact"/>
        <w:ind w:firstLine="643" w:firstLineChars="200"/>
        <w:textAlignment w:val="auto"/>
        <w:outlineLvl w:val="9"/>
        <w:rPr>
          <w:rStyle w:val="20"/>
          <w:rFonts w:hint="default" w:ascii="Times New Roman" w:hAnsi="Times New Roman" w:eastAsia="仿宋_GB2312" w:cs="Times New Roman"/>
          <w:bCs/>
          <w:sz w:val="32"/>
          <w:szCs w:val="32"/>
        </w:rPr>
      </w:pPr>
      <w:r>
        <w:rPr>
          <w:rStyle w:val="20"/>
          <w:rFonts w:hint="default" w:ascii="Times New Roman" w:hAnsi="Times New Roman" w:eastAsia="仿宋_GB2312" w:cs="Times New Roman"/>
          <w:bCs/>
          <w:sz w:val="32"/>
          <w:szCs w:val="32"/>
          <w:lang w:val="en-US" w:eastAsia="zh-CN"/>
        </w:rPr>
        <w:t>8</w:t>
      </w:r>
      <w:r>
        <w:rPr>
          <w:rStyle w:val="20"/>
          <w:rFonts w:hint="default" w:ascii="Times New Roman" w:hAnsi="Times New Roman" w:eastAsia="仿宋_GB2312" w:cs="Times New Roman"/>
          <w:bCs/>
          <w:sz w:val="32"/>
          <w:szCs w:val="32"/>
        </w:rPr>
        <w:t>、卫生健康支出（</w:t>
      </w:r>
      <w:r>
        <w:rPr>
          <w:rStyle w:val="20"/>
          <w:rFonts w:hint="default" w:ascii="Times New Roman" w:hAnsi="Times New Roman" w:eastAsia="仿宋_GB2312" w:cs="Times New Roman"/>
          <w:bCs/>
          <w:sz w:val="32"/>
          <w:szCs w:val="32"/>
          <w:lang w:val="en-US" w:eastAsia="zh-CN"/>
        </w:rPr>
        <w:t>类</w:t>
      </w:r>
      <w:r>
        <w:rPr>
          <w:rStyle w:val="20"/>
          <w:rFonts w:hint="default" w:ascii="Times New Roman" w:hAnsi="Times New Roman" w:eastAsia="仿宋_GB2312" w:cs="Times New Roman"/>
          <w:bCs/>
          <w:sz w:val="32"/>
          <w:szCs w:val="32"/>
        </w:rPr>
        <w:t>）公共卫生（</w:t>
      </w:r>
      <w:r>
        <w:rPr>
          <w:rStyle w:val="20"/>
          <w:rFonts w:hint="default" w:ascii="Times New Roman" w:hAnsi="Times New Roman" w:eastAsia="仿宋_GB2312" w:cs="Times New Roman"/>
          <w:bCs/>
          <w:sz w:val="32"/>
          <w:szCs w:val="32"/>
          <w:lang w:val="en-US" w:eastAsia="zh-CN"/>
        </w:rPr>
        <w:t>款</w:t>
      </w:r>
      <w:r>
        <w:rPr>
          <w:rStyle w:val="20"/>
          <w:rFonts w:hint="default" w:ascii="Times New Roman" w:hAnsi="Times New Roman" w:eastAsia="仿宋_GB2312" w:cs="Times New Roman"/>
          <w:bCs/>
          <w:sz w:val="32"/>
          <w:szCs w:val="32"/>
        </w:rPr>
        <w:t>）重大公共卫生服务（</w:t>
      </w:r>
      <w:r>
        <w:rPr>
          <w:rStyle w:val="20"/>
          <w:rFonts w:hint="default" w:ascii="Times New Roman" w:hAnsi="Times New Roman" w:eastAsia="仿宋_GB2312" w:cs="Times New Roman"/>
          <w:bCs/>
          <w:sz w:val="32"/>
          <w:szCs w:val="32"/>
          <w:lang w:val="en-US" w:eastAsia="zh-CN"/>
        </w:rPr>
        <w:t>项</w:t>
      </w:r>
      <w:r>
        <w:rPr>
          <w:rStyle w:val="20"/>
          <w:rFonts w:hint="default" w:ascii="Times New Roman" w:hAnsi="Times New Roman" w:eastAsia="仿宋_GB2312" w:cs="Times New Roman"/>
          <w:bCs/>
          <w:sz w:val="32"/>
          <w:szCs w:val="32"/>
        </w:rPr>
        <w:t>）</w:t>
      </w:r>
      <w:r>
        <w:rPr>
          <w:rStyle w:val="20"/>
          <w:rFonts w:hint="default" w:ascii="Times New Roman" w:hAnsi="Times New Roman" w:eastAsia="仿宋_GB2312" w:cs="Times New Roman"/>
          <w:bCs/>
          <w:sz w:val="32"/>
          <w:szCs w:val="32"/>
          <w:lang w:eastAsia="zh-CN"/>
        </w:rPr>
        <w:t>：</w:t>
      </w:r>
      <w:r>
        <w:rPr>
          <w:rStyle w:val="20"/>
          <w:rFonts w:hint="default" w:ascii="Times New Roman" w:hAnsi="Times New Roman" w:eastAsia="仿宋_GB2312" w:cs="Times New Roman"/>
          <w:bCs/>
          <w:sz w:val="32"/>
          <w:szCs w:val="32"/>
        </w:rPr>
        <w:t xml:space="preserve"> </w:t>
      </w:r>
      <w:r>
        <w:rPr>
          <w:rStyle w:val="20"/>
          <w:rFonts w:hint="default" w:ascii="Times New Roman" w:hAnsi="Times New Roman" w:eastAsia="仿宋_GB2312" w:cs="Times New Roman"/>
          <w:b w:val="0"/>
          <w:bCs w:val="0"/>
          <w:sz w:val="32"/>
          <w:szCs w:val="32"/>
        </w:rPr>
        <w:t>支出决算为14.26万元，完成预算100%，与预算数持平。</w:t>
      </w:r>
    </w:p>
    <w:p w14:paraId="2EBF8C76">
      <w:pPr>
        <w:pStyle w:val="25"/>
        <w:keepNext w:val="0"/>
        <w:keepLines w:val="0"/>
        <w:pageBreakBefore w:val="0"/>
        <w:widowControl w:val="0"/>
        <w:kinsoku/>
        <w:wordWrap/>
        <w:overflowPunct/>
        <w:topLinePunct w:val="0"/>
        <w:bidi w:val="0"/>
        <w:snapToGrid/>
        <w:spacing w:line="560" w:lineRule="exact"/>
        <w:ind w:firstLine="643" w:firstLineChars="200"/>
        <w:textAlignment w:val="auto"/>
        <w:outlineLvl w:val="9"/>
        <w:rPr>
          <w:rStyle w:val="20"/>
          <w:rFonts w:hint="default" w:ascii="Times New Roman" w:hAnsi="Times New Roman" w:eastAsia="仿宋_GB2312" w:cs="Times New Roman"/>
          <w:b w:val="0"/>
          <w:bCs w:val="0"/>
          <w:sz w:val="32"/>
          <w:szCs w:val="32"/>
        </w:rPr>
      </w:pPr>
      <w:r>
        <w:rPr>
          <w:rStyle w:val="20"/>
          <w:rFonts w:hint="default" w:ascii="Times New Roman" w:hAnsi="Times New Roman" w:eastAsia="仿宋_GB2312" w:cs="Times New Roman"/>
          <w:bCs/>
          <w:sz w:val="32"/>
          <w:szCs w:val="32"/>
          <w:lang w:val="en-US" w:eastAsia="zh-CN"/>
        </w:rPr>
        <w:t>9</w:t>
      </w:r>
      <w:r>
        <w:rPr>
          <w:rStyle w:val="20"/>
          <w:rFonts w:hint="default" w:ascii="Times New Roman" w:hAnsi="Times New Roman" w:eastAsia="仿宋_GB2312" w:cs="Times New Roman"/>
          <w:bCs/>
          <w:sz w:val="32"/>
          <w:szCs w:val="32"/>
        </w:rPr>
        <w:t>、卫生健康支出（</w:t>
      </w:r>
      <w:r>
        <w:rPr>
          <w:rStyle w:val="20"/>
          <w:rFonts w:hint="default" w:ascii="Times New Roman" w:hAnsi="Times New Roman" w:eastAsia="仿宋_GB2312" w:cs="Times New Roman"/>
          <w:bCs/>
          <w:sz w:val="32"/>
          <w:szCs w:val="32"/>
          <w:lang w:val="en-US" w:eastAsia="zh-CN"/>
        </w:rPr>
        <w:t>类</w:t>
      </w:r>
      <w:r>
        <w:rPr>
          <w:rStyle w:val="20"/>
          <w:rFonts w:hint="default" w:ascii="Times New Roman" w:hAnsi="Times New Roman" w:eastAsia="仿宋_GB2312" w:cs="Times New Roman"/>
          <w:bCs/>
          <w:sz w:val="32"/>
          <w:szCs w:val="32"/>
        </w:rPr>
        <w:t>）行政事业单位医疗（</w:t>
      </w:r>
      <w:r>
        <w:rPr>
          <w:rStyle w:val="20"/>
          <w:rFonts w:hint="default" w:ascii="Times New Roman" w:hAnsi="Times New Roman" w:eastAsia="仿宋_GB2312" w:cs="Times New Roman"/>
          <w:bCs/>
          <w:sz w:val="32"/>
          <w:szCs w:val="32"/>
          <w:lang w:val="en-US" w:eastAsia="zh-CN"/>
        </w:rPr>
        <w:t>款</w:t>
      </w:r>
      <w:r>
        <w:rPr>
          <w:rStyle w:val="20"/>
          <w:rFonts w:hint="default" w:ascii="Times New Roman" w:hAnsi="Times New Roman" w:eastAsia="仿宋_GB2312" w:cs="Times New Roman"/>
          <w:bCs/>
          <w:sz w:val="32"/>
          <w:szCs w:val="32"/>
        </w:rPr>
        <w:t>）行政单位医疗（</w:t>
      </w:r>
      <w:r>
        <w:rPr>
          <w:rStyle w:val="20"/>
          <w:rFonts w:hint="default" w:ascii="Times New Roman" w:hAnsi="Times New Roman" w:eastAsia="仿宋_GB2312" w:cs="Times New Roman"/>
          <w:bCs/>
          <w:sz w:val="32"/>
          <w:szCs w:val="32"/>
          <w:lang w:val="en-US" w:eastAsia="zh-CN"/>
        </w:rPr>
        <w:t>项</w:t>
      </w:r>
      <w:r>
        <w:rPr>
          <w:rStyle w:val="20"/>
          <w:rFonts w:hint="default" w:ascii="Times New Roman" w:hAnsi="Times New Roman" w:eastAsia="仿宋_GB2312" w:cs="Times New Roman"/>
          <w:bCs/>
          <w:sz w:val="32"/>
          <w:szCs w:val="32"/>
        </w:rPr>
        <w:t>）</w:t>
      </w:r>
      <w:r>
        <w:rPr>
          <w:rStyle w:val="20"/>
          <w:rFonts w:hint="default" w:ascii="Times New Roman" w:hAnsi="Times New Roman" w:eastAsia="仿宋_GB2312" w:cs="Times New Roman"/>
          <w:bCs/>
          <w:sz w:val="32"/>
          <w:szCs w:val="32"/>
          <w:lang w:eastAsia="zh-CN"/>
        </w:rPr>
        <w:t>：</w:t>
      </w:r>
      <w:r>
        <w:rPr>
          <w:rStyle w:val="20"/>
          <w:rFonts w:hint="default" w:ascii="Times New Roman" w:hAnsi="Times New Roman" w:eastAsia="仿宋_GB2312" w:cs="Times New Roman"/>
          <w:b w:val="0"/>
          <w:bCs w:val="0"/>
          <w:sz w:val="32"/>
          <w:szCs w:val="32"/>
        </w:rPr>
        <w:t>支出决算为20.22万元，完成预算100%，与预算数持平。</w:t>
      </w:r>
    </w:p>
    <w:p w14:paraId="6DF7A453">
      <w:pPr>
        <w:pStyle w:val="25"/>
        <w:keepNext w:val="0"/>
        <w:keepLines w:val="0"/>
        <w:pageBreakBefore w:val="0"/>
        <w:widowControl w:val="0"/>
        <w:kinsoku/>
        <w:wordWrap/>
        <w:overflowPunct/>
        <w:topLinePunct w:val="0"/>
        <w:bidi w:val="0"/>
        <w:snapToGrid/>
        <w:spacing w:line="560" w:lineRule="exact"/>
        <w:ind w:firstLine="643" w:firstLineChars="200"/>
        <w:textAlignment w:val="auto"/>
        <w:outlineLvl w:val="9"/>
        <w:rPr>
          <w:rFonts w:hint="default" w:ascii="Times New Roman" w:hAnsi="Times New Roman" w:eastAsia="仿宋_GB2312" w:cs="Times New Roman"/>
          <w:b/>
          <w:bCs w:val="0"/>
          <w:sz w:val="32"/>
          <w:szCs w:val="32"/>
          <w:lang w:val="en-US" w:eastAsia="zh-CN"/>
        </w:rPr>
      </w:pPr>
      <w:r>
        <w:rPr>
          <w:rStyle w:val="20"/>
          <w:rFonts w:hint="default" w:ascii="Times New Roman" w:hAnsi="Times New Roman" w:eastAsia="仿宋_GB2312" w:cs="Times New Roman"/>
          <w:bCs/>
          <w:sz w:val="32"/>
          <w:szCs w:val="32"/>
          <w:lang w:val="en-US" w:eastAsia="zh-CN"/>
        </w:rPr>
        <w:t>10</w:t>
      </w:r>
      <w:r>
        <w:rPr>
          <w:rStyle w:val="20"/>
          <w:rFonts w:hint="default" w:ascii="Times New Roman" w:hAnsi="Times New Roman" w:eastAsia="仿宋_GB2312" w:cs="Times New Roman"/>
          <w:bCs/>
          <w:sz w:val="32"/>
          <w:szCs w:val="32"/>
        </w:rPr>
        <w:t>、卫生健康支出（</w:t>
      </w:r>
      <w:r>
        <w:rPr>
          <w:rStyle w:val="20"/>
          <w:rFonts w:hint="default" w:ascii="Times New Roman" w:hAnsi="Times New Roman" w:eastAsia="仿宋_GB2312" w:cs="Times New Roman"/>
          <w:bCs/>
          <w:sz w:val="32"/>
          <w:szCs w:val="32"/>
          <w:lang w:val="en-US" w:eastAsia="zh-CN"/>
        </w:rPr>
        <w:t>类</w:t>
      </w:r>
      <w:r>
        <w:rPr>
          <w:rStyle w:val="20"/>
          <w:rFonts w:hint="default" w:ascii="Times New Roman" w:hAnsi="Times New Roman" w:eastAsia="仿宋_GB2312" w:cs="Times New Roman"/>
          <w:bCs/>
          <w:sz w:val="32"/>
          <w:szCs w:val="32"/>
        </w:rPr>
        <w:t>）行政事业单位医疗（</w:t>
      </w:r>
      <w:r>
        <w:rPr>
          <w:rStyle w:val="20"/>
          <w:rFonts w:hint="default" w:ascii="Times New Roman" w:hAnsi="Times New Roman" w:eastAsia="仿宋_GB2312" w:cs="Times New Roman"/>
          <w:bCs/>
          <w:sz w:val="32"/>
          <w:szCs w:val="32"/>
          <w:lang w:val="en-US" w:eastAsia="zh-CN"/>
        </w:rPr>
        <w:t>款</w:t>
      </w:r>
      <w:r>
        <w:rPr>
          <w:rStyle w:val="20"/>
          <w:rFonts w:hint="default" w:ascii="Times New Roman" w:hAnsi="Times New Roman" w:eastAsia="仿宋_GB2312" w:cs="Times New Roman"/>
          <w:bCs/>
          <w:sz w:val="32"/>
          <w:szCs w:val="32"/>
        </w:rPr>
        <w:t>）事业单位医疗（</w:t>
      </w:r>
      <w:r>
        <w:rPr>
          <w:rStyle w:val="20"/>
          <w:rFonts w:hint="default" w:ascii="Times New Roman" w:hAnsi="Times New Roman" w:eastAsia="仿宋_GB2312" w:cs="Times New Roman"/>
          <w:bCs/>
          <w:sz w:val="32"/>
          <w:szCs w:val="32"/>
          <w:lang w:val="en-US" w:eastAsia="zh-CN"/>
        </w:rPr>
        <w:t>项</w:t>
      </w:r>
      <w:r>
        <w:rPr>
          <w:rStyle w:val="20"/>
          <w:rFonts w:hint="default" w:ascii="Times New Roman" w:hAnsi="Times New Roman" w:eastAsia="仿宋_GB2312" w:cs="Times New Roman"/>
          <w:bCs/>
          <w:sz w:val="32"/>
          <w:szCs w:val="32"/>
        </w:rPr>
        <w:t>）</w:t>
      </w:r>
      <w:r>
        <w:rPr>
          <w:rStyle w:val="20"/>
          <w:rFonts w:hint="default" w:ascii="Times New Roman" w:hAnsi="Times New Roman" w:eastAsia="仿宋_GB2312" w:cs="Times New Roman"/>
          <w:bCs/>
          <w:sz w:val="32"/>
          <w:szCs w:val="32"/>
          <w:lang w:eastAsia="zh-CN"/>
        </w:rPr>
        <w:t>：</w:t>
      </w:r>
      <w:r>
        <w:rPr>
          <w:rStyle w:val="20"/>
          <w:rFonts w:hint="default" w:ascii="Times New Roman" w:hAnsi="Times New Roman" w:eastAsia="仿宋_GB2312" w:cs="Times New Roman"/>
          <w:bCs/>
          <w:sz w:val="32"/>
          <w:szCs w:val="32"/>
        </w:rPr>
        <w:t xml:space="preserve"> </w:t>
      </w:r>
      <w:r>
        <w:rPr>
          <w:rStyle w:val="20"/>
          <w:rFonts w:hint="default" w:ascii="Times New Roman" w:hAnsi="Times New Roman" w:eastAsia="仿宋_GB2312" w:cs="Times New Roman"/>
          <w:b w:val="0"/>
          <w:bCs w:val="0"/>
          <w:sz w:val="32"/>
          <w:szCs w:val="32"/>
        </w:rPr>
        <w:t>支出决算为2.88万元，完成预算100%，与预算数持平。</w:t>
      </w:r>
    </w:p>
    <w:p w14:paraId="7D29AF8C">
      <w:pPr>
        <w:pStyle w:val="25"/>
        <w:keepNext w:val="0"/>
        <w:keepLines w:val="0"/>
        <w:pageBreakBefore w:val="0"/>
        <w:widowControl w:val="0"/>
        <w:kinsoku/>
        <w:wordWrap/>
        <w:overflowPunct/>
        <w:topLinePunct w:val="0"/>
        <w:bidi w:val="0"/>
        <w:snapToGrid/>
        <w:spacing w:line="560" w:lineRule="exact"/>
        <w:ind w:firstLine="643" w:firstLineChars="200"/>
        <w:textAlignment w:val="auto"/>
        <w:outlineLvl w:val="9"/>
        <w:rPr>
          <w:rFonts w:hint="default" w:ascii="Times New Roman" w:hAnsi="Times New Roman" w:eastAsia="仿宋_GB2312" w:cs="Times New Roman"/>
          <w:b/>
          <w:bCs w:val="0"/>
          <w:sz w:val="32"/>
          <w:szCs w:val="32"/>
          <w:lang w:val="en-US" w:eastAsia="zh-CN"/>
        </w:rPr>
      </w:pPr>
      <w:r>
        <w:rPr>
          <w:rStyle w:val="20"/>
          <w:rFonts w:hint="default" w:ascii="Times New Roman" w:hAnsi="Times New Roman" w:eastAsia="仿宋_GB2312" w:cs="Times New Roman"/>
          <w:bCs/>
          <w:sz w:val="32"/>
          <w:szCs w:val="32"/>
          <w:lang w:val="en-US" w:eastAsia="zh-CN"/>
        </w:rPr>
        <w:t>11</w:t>
      </w:r>
      <w:r>
        <w:rPr>
          <w:rStyle w:val="20"/>
          <w:rFonts w:hint="default" w:ascii="Times New Roman" w:hAnsi="Times New Roman" w:eastAsia="仿宋_GB2312" w:cs="Times New Roman"/>
          <w:bCs/>
          <w:sz w:val="32"/>
          <w:szCs w:val="32"/>
        </w:rPr>
        <w:t>、卫生健康支出（</w:t>
      </w:r>
      <w:r>
        <w:rPr>
          <w:rStyle w:val="20"/>
          <w:rFonts w:hint="default" w:ascii="Times New Roman" w:hAnsi="Times New Roman" w:eastAsia="仿宋_GB2312" w:cs="Times New Roman"/>
          <w:bCs/>
          <w:sz w:val="32"/>
          <w:szCs w:val="32"/>
          <w:lang w:val="en-US" w:eastAsia="zh-CN"/>
        </w:rPr>
        <w:t>类</w:t>
      </w:r>
      <w:r>
        <w:rPr>
          <w:rStyle w:val="20"/>
          <w:rFonts w:hint="default" w:ascii="Times New Roman" w:hAnsi="Times New Roman" w:eastAsia="仿宋_GB2312" w:cs="Times New Roman"/>
          <w:bCs/>
          <w:sz w:val="32"/>
          <w:szCs w:val="32"/>
        </w:rPr>
        <w:t>）行政事业单位医疗（</w:t>
      </w:r>
      <w:r>
        <w:rPr>
          <w:rStyle w:val="20"/>
          <w:rFonts w:hint="default" w:ascii="Times New Roman" w:hAnsi="Times New Roman" w:eastAsia="仿宋_GB2312" w:cs="Times New Roman"/>
          <w:bCs/>
          <w:sz w:val="32"/>
          <w:szCs w:val="32"/>
          <w:lang w:val="en-US" w:eastAsia="zh-CN"/>
        </w:rPr>
        <w:t>款</w:t>
      </w:r>
      <w:r>
        <w:rPr>
          <w:rStyle w:val="20"/>
          <w:rFonts w:hint="default" w:ascii="Times New Roman" w:hAnsi="Times New Roman" w:eastAsia="仿宋_GB2312" w:cs="Times New Roman"/>
          <w:bCs/>
          <w:sz w:val="32"/>
          <w:szCs w:val="32"/>
        </w:rPr>
        <w:t>）公务员医疗补助（</w:t>
      </w:r>
      <w:r>
        <w:rPr>
          <w:rStyle w:val="20"/>
          <w:rFonts w:hint="default" w:ascii="Times New Roman" w:hAnsi="Times New Roman" w:eastAsia="仿宋_GB2312" w:cs="Times New Roman"/>
          <w:bCs/>
          <w:sz w:val="32"/>
          <w:szCs w:val="32"/>
          <w:lang w:val="en-US" w:eastAsia="zh-CN"/>
        </w:rPr>
        <w:t>项</w:t>
      </w:r>
      <w:r>
        <w:rPr>
          <w:rStyle w:val="20"/>
          <w:rFonts w:hint="default" w:ascii="Times New Roman" w:hAnsi="Times New Roman" w:eastAsia="仿宋_GB2312" w:cs="Times New Roman"/>
          <w:bCs/>
          <w:sz w:val="32"/>
          <w:szCs w:val="32"/>
        </w:rPr>
        <w:t>）</w:t>
      </w:r>
      <w:r>
        <w:rPr>
          <w:rStyle w:val="20"/>
          <w:rFonts w:hint="default" w:ascii="Times New Roman" w:hAnsi="Times New Roman" w:eastAsia="仿宋_GB2312" w:cs="Times New Roman"/>
          <w:bCs/>
          <w:sz w:val="32"/>
          <w:szCs w:val="32"/>
          <w:lang w:eastAsia="zh-CN"/>
        </w:rPr>
        <w:t>：</w:t>
      </w:r>
      <w:r>
        <w:rPr>
          <w:rStyle w:val="20"/>
          <w:rFonts w:hint="default" w:ascii="Times New Roman" w:hAnsi="Times New Roman" w:eastAsia="仿宋_GB2312" w:cs="Times New Roman"/>
          <w:bCs/>
          <w:sz w:val="32"/>
          <w:szCs w:val="32"/>
        </w:rPr>
        <w:t xml:space="preserve"> </w:t>
      </w:r>
      <w:r>
        <w:rPr>
          <w:rStyle w:val="20"/>
          <w:rFonts w:hint="default" w:ascii="Times New Roman" w:hAnsi="Times New Roman" w:eastAsia="仿宋_GB2312" w:cs="Times New Roman"/>
          <w:b w:val="0"/>
          <w:bCs w:val="0"/>
          <w:sz w:val="32"/>
          <w:szCs w:val="32"/>
        </w:rPr>
        <w:t>支出决算为</w:t>
      </w:r>
      <w:r>
        <w:rPr>
          <w:rStyle w:val="20"/>
          <w:rFonts w:hint="default" w:ascii="Times New Roman" w:hAnsi="Times New Roman" w:eastAsia="仿宋_GB2312" w:cs="Times New Roman"/>
          <w:b w:val="0"/>
          <w:bCs w:val="0"/>
          <w:sz w:val="32"/>
          <w:szCs w:val="32"/>
          <w:lang w:val="en-US" w:eastAsia="zh-CN"/>
        </w:rPr>
        <w:t>6.01</w:t>
      </w:r>
      <w:r>
        <w:rPr>
          <w:rStyle w:val="20"/>
          <w:rFonts w:hint="default" w:ascii="Times New Roman" w:hAnsi="Times New Roman" w:eastAsia="仿宋_GB2312" w:cs="Times New Roman"/>
          <w:b w:val="0"/>
          <w:bCs w:val="0"/>
          <w:sz w:val="32"/>
          <w:szCs w:val="32"/>
        </w:rPr>
        <w:t>万元，完成预算100%，与预算数持平。</w:t>
      </w:r>
    </w:p>
    <w:p w14:paraId="0D31E555">
      <w:pPr>
        <w:pStyle w:val="25"/>
        <w:keepNext w:val="0"/>
        <w:keepLines w:val="0"/>
        <w:pageBreakBefore w:val="0"/>
        <w:widowControl w:val="0"/>
        <w:kinsoku/>
        <w:wordWrap/>
        <w:overflowPunct/>
        <w:topLinePunct w:val="0"/>
        <w:bidi w:val="0"/>
        <w:snapToGrid/>
        <w:spacing w:line="560" w:lineRule="exact"/>
        <w:ind w:firstLine="643" w:firstLineChars="200"/>
        <w:textAlignment w:val="auto"/>
        <w:outlineLvl w:val="9"/>
        <w:rPr>
          <w:rStyle w:val="20"/>
          <w:rFonts w:hint="default" w:ascii="Times New Roman" w:hAnsi="Times New Roman" w:eastAsia="仿宋_GB2312" w:cs="Times New Roman"/>
          <w:b w:val="0"/>
          <w:bCs w:val="0"/>
          <w:sz w:val="32"/>
          <w:szCs w:val="32"/>
          <w:lang w:val="en-US" w:eastAsia="zh-CN"/>
        </w:rPr>
      </w:pPr>
      <w:r>
        <w:rPr>
          <w:rStyle w:val="20"/>
          <w:rFonts w:hint="default" w:ascii="Times New Roman" w:hAnsi="Times New Roman" w:eastAsia="仿宋_GB2312" w:cs="Times New Roman"/>
          <w:bCs/>
          <w:sz w:val="32"/>
          <w:szCs w:val="32"/>
          <w:lang w:val="en-US" w:eastAsia="zh-CN"/>
        </w:rPr>
        <w:t>12</w:t>
      </w:r>
      <w:r>
        <w:rPr>
          <w:rStyle w:val="20"/>
          <w:rFonts w:hint="default" w:ascii="Times New Roman" w:hAnsi="Times New Roman" w:eastAsia="仿宋_GB2312" w:cs="Times New Roman"/>
          <w:bCs/>
          <w:sz w:val="32"/>
          <w:szCs w:val="32"/>
        </w:rPr>
        <w:t>、卫生健康支出（</w:t>
      </w:r>
      <w:r>
        <w:rPr>
          <w:rStyle w:val="20"/>
          <w:rFonts w:hint="default" w:ascii="Times New Roman" w:hAnsi="Times New Roman" w:eastAsia="仿宋_GB2312" w:cs="Times New Roman"/>
          <w:bCs/>
          <w:sz w:val="32"/>
          <w:szCs w:val="32"/>
          <w:lang w:val="en-US" w:eastAsia="zh-CN"/>
        </w:rPr>
        <w:t>类</w:t>
      </w:r>
      <w:r>
        <w:rPr>
          <w:rStyle w:val="20"/>
          <w:rFonts w:hint="default" w:ascii="Times New Roman" w:hAnsi="Times New Roman" w:eastAsia="仿宋_GB2312" w:cs="Times New Roman"/>
          <w:bCs/>
          <w:sz w:val="32"/>
          <w:szCs w:val="32"/>
        </w:rPr>
        <w:t>）行政事业单位医疗（</w:t>
      </w:r>
      <w:r>
        <w:rPr>
          <w:rStyle w:val="20"/>
          <w:rFonts w:hint="default" w:ascii="Times New Roman" w:hAnsi="Times New Roman" w:eastAsia="仿宋_GB2312" w:cs="Times New Roman"/>
          <w:bCs/>
          <w:sz w:val="32"/>
          <w:szCs w:val="32"/>
          <w:lang w:val="en-US" w:eastAsia="zh-CN"/>
        </w:rPr>
        <w:t>款</w:t>
      </w:r>
      <w:r>
        <w:rPr>
          <w:rStyle w:val="20"/>
          <w:rFonts w:hint="default" w:ascii="Times New Roman" w:hAnsi="Times New Roman" w:eastAsia="仿宋_GB2312" w:cs="Times New Roman"/>
          <w:bCs/>
          <w:sz w:val="32"/>
          <w:szCs w:val="32"/>
        </w:rPr>
        <w:t>）其他行政事业单位医疗支出（</w:t>
      </w:r>
      <w:r>
        <w:rPr>
          <w:rStyle w:val="20"/>
          <w:rFonts w:hint="default" w:ascii="Times New Roman" w:hAnsi="Times New Roman" w:eastAsia="仿宋_GB2312" w:cs="Times New Roman"/>
          <w:bCs/>
          <w:sz w:val="32"/>
          <w:szCs w:val="32"/>
          <w:lang w:val="en-US" w:eastAsia="zh-CN"/>
        </w:rPr>
        <w:t>项</w:t>
      </w:r>
      <w:r>
        <w:rPr>
          <w:rStyle w:val="20"/>
          <w:rFonts w:hint="default" w:ascii="Times New Roman" w:hAnsi="Times New Roman" w:eastAsia="仿宋_GB2312" w:cs="Times New Roman"/>
          <w:bCs/>
          <w:sz w:val="32"/>
          <w:szCs w:val="32"/>
        </w:rPr>
        <w:t>）</w:t>
      </w:r>
      <w:r>
        <w:rPr>
          <w:rStyle w:val="20"/>
          <w:rFonts w:hint="default" w:ascii="Times New Roman" w:hAnsi="Times New Roman" w:eastAsia="仿宋_GB2312" w:cs="Times New Roman"/>
          <w:bCs/>
          <w:sz w:val="32"/>
          <w:szCs w:val="32"/>
          <w:lang w:eastAsia="zh-CN"/>
        </w:rPr>
        <w:t>：</w:t>
      </w:r>
      <w:r>
        <w:rPr>
          <w:rStyle w:val="20"/>
          <w:rFonts w:hint="default" w:ascii="Times New Roman" w:hAnsi="Times New Roman" w:eastAsia="仿宋_GB2312" w:cs="Times New Roman"/>
          <w:bCs/>
          <w:sz w:val="32"/>
          <w:szCs w:val="32"/>
        </w:rPr>
        <w:t xml:space="preserve"> </w:t>
      </w:r>
      <w:r>
        <w:rPr>
          <w:rStyle w:val="20"/>
          <w:rFonts w:hint="default" w:ascii="Times New Roman" w:hAnsi="Times New Roman" w:eastAsia="仿宋_GB2312" w:cs="Times New Roman"/>
          <w:b w:val="0"/>
          <w:bCs w:val="0"/>
          <w:sz w:val="32"/>
          <w:szCs w:val="32"/>
        </w:rPr>
        <w:t>支出决算为</w:t>
      </w:r>
      <w:r>
        <w:rPr>
          <w:rStyle w:val="20"/>
          <w:rFonts w:hint="default" w:ascii="Times New Roman" w:hAnsi="Times New Roman" w:eastAsia="仿宋_GB2312" w:cs="Times New Roman"/>
          <w:b w:val="0"/>
          <w:bCs w:val="0"/>
          <w:sz w:val="32"/>
          <w:szCs w:val="32"/>
          <w:lang w:val="en-US" w:eastAsia="zh-CN"/>
        </w:rPr>
        <w:t>0.75</w:t>
      </w:r>
      <w:r>
        <w:rPr>
          <w:rStyle w:val="20"/>
          <w:rFonts w:hint="default" w:ascii="Times New Roman" w:hAnsi="Times New Roman" w:eastAsia="仿宋_GB2312" w:cs="Times New Roman"/>
          <w:b w:val="0"/>
          <w:bCs w:val="0"/>
          <w:sz w:val="32"/>
          <w:szCs w:val="32"/>
        </w:rPr>
        <w:t>万元，完成预算100%，与预算数持平</w:t>
      </w:r>
      <w:r>
        <w:rPr>
          <w:rStyle w:val="20"/>
          <w:rFonts w:hint="default" w:ascii="Times New Roman" w:hAnsi="Times New Roman" w:eastAsia="仿宋_GB2312" w:cs="Times New Roman"/>
          <w:b w:val="0"/>
          <w:bCs w:val="0"/>
          <w:sz w:val="32"/>
          <w:szCs w:val="32"/>
          <w:lang w:val="en-US" w:eastAsia="zh-CN"/>
        </w:rPr>
        <w:t>。</w:t>
      </w:r>
    </w:p>
    <w:p w14:paraId="21B31A24">
      <w:pPr>
        <w:pStyle w:val="25"/>
        <w:keepNext w:val="0"/>
        <w:keepLines w:val="0"/>
        <w:pageBreakBefore w:val="0"/>
        <w:widowControl w:val="0"/>
        <w:kinsoku/>
        <w:wordWrap/>
        <w:overflowPunct/>
        <w:topLinePunct w:val="0"/>
        <w:bidi w:val="0"/>
        <w:snapToGrid/>
        <w:spacing w:line="560" w:lineRule="exact"/>
        <w:ind w:firstLine="643" w:firstLineChars="200"/>
        <w:textAlignment w:val="auto"/>
        <w:outlineLvl w:val="9"/>
        <w:rPr>
          <w:rStyle w:val="20"/>
          <w:rFonts w:hint="default" w:ascii="Times New Roman" w:hAnsi="Times New Roman" w:eastAsia="仿宋_GB2312" w:cs="Times New Roman"/>
          <w:b w:val="0"/>
          <w:bCs w:val="0"/>
          <w:sz w:val="32"/>
          <w:szCs w:val="32"/>
          <w:lang w:eastAsia="zh-CN"/>
        </w:rPr>
      </w:pPr>
      <w:r>
        <w:rPr>
          <w:rStyle w:val="20"/>
          <w:rFonts w:hint="default" w:ascii="Times New Roman" w:hAnsi="Times New Roman" w:eastAsia="仿宋_GB2312" w:cs="Times New Roman"/>
          <w:bCs/>
          <w:sz w:val="32"/>
          <w:szCs w:val="32"/>
          <w:lang w:val="en-US" w:eastAsia="zh-CN"/>
        </w:rPr>
        <w:t>13</w:t>
      </w:r>
      <w:r>
        <w:rPr>
          <w:rStyle w:val="20"/>
          <w:rFonts w:hint="default" w:ascii="Times New Roman" w:hAnsi="Times New Roman" w:eastAsia="仿宋_GB2312" w:cs="Times New Roman"/>
          <w:bCs/>
          <w:sz w:val="32"/>
          <w:szCs w:val="32"/>
        </w:rPr>
        <w:t>、农林水支出（</w:t>
      </w:r>
      <w:r>
        <w:rPr>
          <w:rStyle w:val="20"/>
          <w:rFonts w:hint="default" w:ascii="Times New Roman" w:hAnsi="Times New Roman" w:eastAsia="仿宋_GB2312" w:cs="Times New Roman"/>
          <w:bCs/>
          <w:sz w:val="32"/>
          <w:szCs w:val="32"/>
          <w:lang w:val="en-US" w:eastAsia="zh-CN"/>
        </w:rPr>
        <w:t>类</w:t>
      </w:r>
      <w:r>
        <w:rPr>
          <w:rStyle w:val="20"/>
          <w:rFonts w:hint="default" w:ascii="Times New Roman" w:hAnsi="Times New Roman" w:eastAsia="仿宋_GB2312" w:cs="Times New Roman"/>
          <w:bCs/>
          <w:sz w:val="32"/>
          <w:szCs w:val="32"/>
        </w:rPr>
        <w:t>）巩固脱贫衔接乡村振兴（</w:t>
      </w:r>
      <w:r>
        <w:rPr>
          <w:rStyle w:val="20"/>
          <w:rFonts w:hint="default" w:ascii="Times New Roman" w:hAnsi="Times New Roman" w:eastAsia="仿宋_GB2312" w:cs="Times New Roman"/>
          <w:bCs/>
          <w:sz w:val="32"/>
          <w:szCs w:val="32"/>
          <w:lang w:val="en-US" w:eastAsia="zh-CN"/>
        </w:rPr>
        <w:t>款</w:t>
      </w:r>
      <w:r>
        <w:rPr>
          <w:rStyle w:val="20"/>
          <w:rFonts w:hint="default" w:ascii="Times New Roman" w:hAnsi="Times New Roman" w:eastAsia="仿宋_GB2312" w:cs="Times New Roman"/>
          <w:bCs/>
          <w:sz w:val="32"/>
          <w:szCs w:val="32"/>
        </w:rPr>
        <w:t>）其他巩固脱贫衔接乡村振兴支出（</w:t>
      </w:r>
      <w:r>
        <w:rPr>
          <w:rStyle w:val="20"/>
          <w:rFonts w:hint="default" w:ascii="Times New Roman" w:hAnsi="Times New Roman" w:eastAsia="仿宋_GB2312" w:cs="Times New Roman"/>
          <w:bCs/>
          <w:sz w:val="32"/>
          <w:szCs w:val="32"/>
          <w:lang w:val="en-US" w:eastAsia="zh-CN"/>
        </w:rPr>
        <w:t>项</w:t>
      </w:r>
      <w:r>
        <w:rPr>
          <w:rStyle w:val="20"/>
          <w:rFonts w:hint="default" w:ascii="Times New Roman" w:hAnsi="Times New Roman" w:eastAsia="仿宋_GB2312" w:cs="Times New Roman"/>
          <w:bCs/>
          <w:sz w:val="32"/>
          <w:szCs w:val="32"/>
        </w:rPr>
        <w:t>）</w:t>
      </w:r>
      <w:r>
        <w:rPr>
          <w:rStyle w:val="20"/>
          <w:rFonts w:hint="default" w:ascii="Times New Roman" w:hAnsi="Times New Roman" w:eastAsia="仿宋_GB2312" w:cs="Times New Roman"/>
          <w:bCs/>
          <w:sz w:val="32"/>
          <w:szCs w:val="32"/>
          <w:lang w:eastAsia="zh-CN"/>
        </w:rPr>
        <w:t>：</w:t>
      </w:r>
      <w:r>
        <w:rPr>
          <w:rStyle w:val="20"/>
          <w:rFonts w:hint="default" w:ascii="Times New Roman" w:hAnsi="Times New Roman" w:eastAsia="仿宋_GB2312" w:cs="Times New Roman"/>
          <w:bCs/>
          <w:sz w:val="32"/>
          <w:szCs w:val="32"/>
        </w:rPr>
        <w:t xml:space="preserve"> </w:t>
      </w:r>
      <w:r>
        <w:rPr>
          <w:rStyle w:val="20"/>
          <w:rFonts w:hint="default" w:ascii="Times New Roman" w:hAnsi="Times New Roman" w:eastAsia="仿宋_GB2312" w:cs="Times New Roman"/>
          <w:b w:val="0"/>
          <w:bCs w:val="0"/>
          <w:sz w:val="32"/>
          <w:szCs w:val="32"/>
        </w:rPr>
        <w:t>支出决算为</w:t>
      </w:r>
      <w:r>
        <w:rPr>
          <w:rStyle w:val="20"/>
          <w:rFonts w:hint="default" w:ascii="Times New Roman" w:hAnsi="Times New Roman" w:eastAsia="仿宋_GB2312" w:cs="Times New Roman"/>
          <w:b w:val="0"/>
          <w:bCs w:val="0"/>
          <w:sz w:val="32"/>
          <w:szCs w:val="32"/>
          <w:lang w:val="en-US" w:eastAsia="zh-CN"/>
        </w:rPr>
        <w:t>208.3</w:t>
      </w:r>
      <w:r>
        <w:rPr>
          <w:rStyle w:val="20"/>
          <w:rFonts w:hint="default" w:ascii="Times New Roman" w:hAnsi="Times New Roman" w:eastAsia="仿宋_GB2312" w:cs="Times New Roman"/>
          <w:b w:val="0"/>
          <w:bCs w:val="0"/>
          <w:sz w:val="32"/>
          <w:szCs w:val="32"/>
        </w:rPr>
        <w:t>万元，完成预算100%，与预算数持平</w:t>
      </w:r>
      <w:r>
        <w:rPr>
          <w:rStyle w:val="20"/>
          <w:rFonts w:hint="default" w:ascii="Times New Roman" w:hAnsi="Times New Roman" w:eastAsia="仿宋_GB2312" w:cs="Times New Roman"/>
          <w:b w:val="0"/>
          <w:bCs w:val="0"/>
          <w:sz w:val="32"/>
          <w:szCs w:val="32"/>
          <w:lang w:eastAsia="zh-CN"/>
        </w:rPr>
        <w:t>。</w:t>
      </w:r>
    </w:p>
    <w:p w14:paraId="09C122FB">
      <w:pPr>
        <w:pStyle w:val="25"/>
        <w:keepNext w:val="0"/>
        <w:keepLines w:val="0"/>
        <w:pageBreakBefore w:val="0"/>
        <w:widowControl w:val="0"/>
        <w:kinsoku/>
        <w:wordWrap/>
        <w:overflowPunct/>
        <w:topLinePunct w:val="0"/>
        <w:bidi w:val="0"/>
        <w:snapToGrid/>
        <w:spacing w:line="560" w:lineRule="exact"/>
        <w:ind w:firstLine="643" w:firstLineChars="200"/>
        <w:textAlignment w:val="auto"/>
        <w:outlineLvl w:val="9"/>
        <w:rPr>
          <w:rStyle w:val="20"/>
          <w:rFonts w:hint="default" w:ascii="Times New Roman" w:hAnsi="Times New Roman" w:eastAsia="仿宋_GB2312" w:cs="Times New Roman"/>
          <w:b w:val="0"/>
          <w:bCs w:val="0"/>
          <w:sz w:val="32"/>
          <w:szCs w:val="32"/>
          <w:lang w:eastAsia="zh-CN"/>
        </w:rPr>
      </w:pPr>
      <w:r>
        <w:rPr>
          <w:rStyle w:val="20"/>
          <w:rFonts w:hint="default" w:ascii="Times New Roman" w:hAnsi="Times New Roman" w:eastAsia="仿宋_GB2312" w:cs="Times New Roman"/>
          <w:bCs/>
          <w:sz w:val="32"/>
          <w:szCs w:val="32"/>
          <w:lang w:val="en-US" w:eastAsia="zh-CN"/>
        </w:rPr>
        <w:t>14</w:t>
      </w:r>
      <w:r>
        <w:rPr>
          <w:rStyle w:val="20"/>
          <w:rFonts w:hint="default" w:ascii="Times New Roman" w:hAnsi="Times New Roman" w:eastAsia="仿宋_GB2312" w:cs="Times New Roman"/>
          <w:bCs/>
          <w:sz w:val="32"/>
          <w:szCs w:val="32"/>
        </w:rPr>
        <w:t>、农林水支出（</w:t>
      </w:r>
      <w:r>
        <w:rPr>
          <w:rStyle w:val="20"/>
          <w:rFonts w:hint="default" w:ascii="Times New Roman" w:hAnsi="Times New Roman" w:eastAsia="仿宋_GB2312" w:cs="Times New Roman"/>
          <w:bCs/>
          <w:sz w:val="32"/>
          <w:szCs w:val="32"/>
          <w:lang w:val="en-US" w:eastAsia="zh-CN"/>
        </w:rPr>
        <w:t>类</w:t>
      </w:r>
      <w:r>
        <w:rPr>
          <w:rStyle w:val="20"/>
          <w:rFonts w:hint="default" w:ascii="Times New Roman" w:hAnsi="Times New Roman" w:eastAsia="仿宋_GB2312" w:cs="Times New Roman"/>
          <w:bCs/>
          <w:sz w:val="32"/>
          <w:szCs w:val="32"/>
        </w:rPr>
        <w:t>）农村综合改革（</w:t>
      </w:r>
      <w:r>
        <w:rPr>
          <w:rStyle w:val="20"/>
          <w:rFonts w:hint="default" w:ascii="Times New Roman" w:hAnsi="Times New Roman" w:eastAsia="仿宋_GB2312" w:cs="Times New Roman"/>
          <w:bCs/>
          <w:sz w:val="32"/>
          <w:szCs w:val="32"/>
          <w:lang w:val="en-US" w:eastAsia="zh-CN"/>
        </w:rPr>
        <w:t>款</w:t>
      </w:r>
      <w:r>
        <w:rPr>
          <w:rStyle w:val="20"/>
          <w:rFonts w:hint="default" w:ascii="Times New Roman" w:hAnsi="Times New Roman" w:eastAsia="仿宋_GB2312" w:cs="Times New Roman"/>
          <w:bCs/>
          <w:sz w:val="32"/>
          <w:szCs w:val="32"/>
        </w:rPr>
        <w:t>）对村民委员会和村党支部的补助（</w:t>
      </w:r>
      <w:r>
        <w:rPr>
          <w:rStyle w:val="20"/>
          <w:rFonts w:hint="default" w:ascii="Times New Roman" w:hAnsi="Times New Roman" w:eastAsia="仿宋_GB2312" w:cs="Times New Roman"/>
          <w:bCs/>
          <w:sz w:val="32"/>
          <w:szCs w:val="32"/>
          <w:lang w:val="en-US" w:eastAsia="zh-CN"/>
        </w:rPr>
        <w:t>项</w:t>
      </w:r>
      <w:r>
        <w:rPr>
          <w:rStyle w:val="20"/>
          <w:rFonts w:hint="default" w:ascii="Times New Roman" w:hAnsi="Times New Roman" w:eastAsia="仿宋_GB2312" w:cs="Times New Roman"/>
          <w:bCs/>
          <w:sz w:val="32"/>
          <w:szCs w:val="32"/>
        </w:rPr>
        <w:t>）</w:t>
      </w:r>
      <w:r>
        <w:rPr>
          <w:rStyle w:val="20"/>
          <w:rFonts w:hint="default" w:ascii="Times New Roman" w:hAnsi="Times New Roman" w:eastAsia="仿宋_GB2312" w:cs="Times New Roman"/>
          <w:bCs/>
          <w:sz w:val="32"/>
          <w:szCs w:val="32"/>
          <w:lang w:eastAsia="zh-CN"/>
        </w:rPr>
        <w:t>：</w:t>
      </w:r>
      <w:r>
        <w:rPr>
          <w:rStyle w:val="20"/>
          <w:rFonts w:hint="default" w:ascii="Times New Roman" w:hAnsi="Times New Roman" w:eastAsia="仿宋_GB2312" w:cs="Times New Roman"/>
          <w:bCs/>
          <w:sz w:val="32"/>
          <w:szCs w:val="32"/>
        </w:rPr>
        <w:t xml:space="preserve"> </w:t>
      </w:r>
      <w:r>
        <w:rPr>
          <w:rStyle w:val="20"/>
          <w:rFonts w:hint="default" w:ascii="Times New Roman" w:hAnsi="Times New Roman" w:eastAsia="仿宋_GB2312" w:cs="Times New Roman"/>
          <w:b w:val="0"/>
          <w:bCs w:val="0"/>
          <w:sz w:val="32"/>
          <w:szCs w:val="32"/>
        </w:rPr>
        <w:t>支出决算为</w:t>
      </w:r>
      <w:r>
        <w:rPr>
          <w:rStyle w:val="20"/>
          <w:rFonts w:hint="default" w:ascii="Times New Roman" w:hAnsi="Times New Roman" w:eastAsia="仿宋_GB2312" w:cs="Times New Roman"/>
          <w:b w:val="0"/>
          <w:bCs w:val="0"/>
          <w:sz w:val="32"/>
          <w:szCs w:val="32"/>
          <w:lang w:val="en-US" w:eastAsia="zh-CN"/>
        </w:rPr>
        <w:t>4.38</w:t>
      </w:r>
      <w:r>
        <w:rPr>
          <w:rStyle w:val="20"/>
          <w:rFonts w:hint="default" w:ascii="Times New Roman" w:hAnsi="Times New Roman" w:eastAsia="仿宋_GB2312" w:cs="Times New Roman"/>
          <w:b w:val="0"/>
          <w:bCs w:val="0"/>
          <w:sz w:val="32"/>
          <w:szCs w:val="32"/>
        </w:rPr>
        <w:t>万元，完成预算100%，与预算数持平</w:t>
      </w:r>
      <w:r>
        <w:rPr>
          <w:rStyle w:val="20"/>
          <w:rFonts w:hint="default" w:ascii="Times New Roman" w:hAnsi="Times New Roman" w:eastAsia="仿宋_GB2312" w:cs="Times New Roman"/>
          <w:b w:val="0"/>
          <w:bCs w:val="0"/>
          <w:sz w:val="32"/>
          <w:szCs w:val="32"/>
          <w:lang w:eastAsia="zh-CN"/>
        </w:rPr>
        <w:t>。</w:t>
      </w:r>
    </w:p>
    <w:p w14:paraId="7A2B6A88">
      <w:pPr>
        <w:pStyle w:val="25"/>
        <w:keepNext w:val="0"/>
        <w:keepLines w:val="0"/>
        <w:pageBreakBefore w:val="0"/>
        <w:widowControl w:val="0"/>
        <w:kinsoku/>
        <w:wordWrap/>
        <w:overflowPunct/>
        <w:topLinePunct w:val="0"/>
        <w:bidi w:val="0"/>
        <w:snapToGrid/>
        <w:spacing w:line="560" w:lineRule="exact"/>
        <w:ind w:firstLine="643" w:firstLineChars="200"/>
        <w:textAlignment w:val="auto"/>
        <w:outlineLvl w:val="9"/>
        <w:rPr>
          <w:rStyle w:val="20"/>
          <w:rFonts w:hint="default" w:ascii="Times New Roman" w:hAnsi="Times New Roman" w:eastAsia="仿宋_GB2312" w:cs="Times New Roman"/>
          <w:b w:val="0"/>
          <w:bCs w:val="0"/>
          <w:sz w:val="32"/>
          <w:szCs w:val="32"/>
          <w:lang w:val="en-US" w:eastAsia="zh-CN"/>
        </w:rPr>
      </w:pPr>
      <w:r>
        <w:rPr>
          <w:rStyle w:val="20"/>
          <w:rFonts w:hint="default" w:ascii="Times New Roman" w:hAnsi="Times New Roman" w:eastAsia="仿宋_GB2312" w:cs="Times New Roman"/>
          <w:bCs/>
          <w:sz w:val="32"/>
          <w:szCs w:val="32"/>
          <w:lang w:val="en-US" w:eastAsia="zh-CN"/>
        </w:rPr>
        <w:t>15</w:t>
      </w:r>
      <w:r>
        <w:rPr>
          <w:rStyle w:val="20"/>
          <w:rFonts w:hint="default" w:ascii="Times New Roman" w:hAnsi="Times New Roman" w:eastAsia="仿宋_GB2312" w:cs="Times New Roman"/>
          <w:bCs/>
          <w:sz w:val="32"/>
          <w:szCs w:val="32"/>
        </w:rPr>
        <w:t>、住房保障支出（</w:t>
      </w:r>
      <w:r>
        <w:rPr>
          <w:rStyle w:val="20"/>
          <w:rFonts w:hint="default" w:ascii="Times New Roman" w:hAnsi="Times New Roman" w:eastAsia="仿宋_GB2312" w:cs="Times New Roman"/>
          <w:bCs/>
          <w:sz w:val="32"/>
          <w:szCs w:val="32"/>
          <w:lang w:val="en-US" w:eastAsia="zh-CN"/>
        </w:rPr>
        <w:t>类</w:t>
      </w:r>
      <w:r>
        <w:rPr>
          <w:rStyle w:val="20"/>
          <w:rFonts w:hint="default" w:ascii="Times New Roman" w:hAnsi="Times New Roman" w:eastAsia="仿宋_GB2312" w:cs="Times New Roman"/>
          <w:bCs/>
          <w:sz w:val="32"/>
          <w:szCs w:val="32"/>
        </w:rPr>
        <w:t>）住房改革支出（</w:t>
      </w:r>
      <w:r>
        <w:rPr>
          <w:rStyle w:val="20"/>
          <w:rFonts w:hint="default" w:ascii="Times New Roman" w:hAnsi="Times New Roman" w:eastAsia="仿宋_GB2312" w:cs="Times New Roman"/>
          <w:bCs/>
          <w:sz w:val="32"/>
          <w:szCs w:val="32"/>
          <w:lang w:val="en-US" w:eastAsia="zh-CN"/>
        </w:rPr>
        <w:t>款</w:t>
      </w:r>
      <w:r>
        <w:rPr>
          <w:rStyle w:val="20"/>
          <w:rFonts w:hint="default" w:ascii="Times New Roman" w:hAnsi="Times New Roman" w:eastAsia="仿宋_GB2312" w:cs="Times New Roman"/>
          <w:bCs/>
          <w:sz w:val="32"/>
          <w:szCs w:val="32"/>
        </w:rPr>
        <w:t>）住房公积金（</w:t>
      </w:r>
      <w:r>
        <w:rPr>
          <w:rStyle w:val="20"/>
          <w:rFonts w:hint="default" w:ascii="Times New Roman" w:hAnsi="Times New Roman" w:eastAsia="仿宋_GB2312" w:cs="Times New Roman"/>
          <w:bCs/>
          <w:sz w:val="32"/>
          <w:szCs w:val="32"/>
          <w:lang w:val="en-US" w:eastAsia="zh-CN"/>
        </w:rPr>
        <w:t>项</w:t>
      </w:r>
      <w:r>
        <w:rPr>
          <w:rStyle w:val="20"/>
          <w:rFonts w:hint="default" w:ascii="Times New Roman" w:hAnsi="Times New Roman" w:eastAsia="仿宋_GB2312" w:cs="Times New Roman"/>
          <w:bCs/>
          <w:sz w:val="32"/>
          <w:szCs w:val="32"/>
        </w:rPr>
        <w:t>）</w:t>
      </w:r>
      <w:r>
        <w:rPr>
          <w:rStyle w:val="20"/>
          <w:rFonts w:hint="default" w:ascii="Times New Roman" w:hAnsi="Times New Roman" w:eastAsia="仿宋_GB2312" w:cs="Times New Roman"/>
          <w:bCs/>
          <w:sz w:val="32"/>
          <w:szCs w:val="32"/>
          <w:lang w:eastAsia="zh-CN"/>
        </w:rPr>
        <w:t>：</w:t>
      </w:r>
      <w:r>
        <w:rPr>
          <w:rStyle w:val="20"/>
          <w:rFonts w:hint="default" w:ascii="Times New Roman" w:hAnsi="Times New Roman" w:eastAsia="仿宋_GB2312" w:cs="Times New Roman"/>
          <w:bCs/>
          <w:sz w:val="32"/>
          <w:szCs w:val="32"/>
        </w:rPr>
        <w:t xml:space="preserve"> </w:t>
      </w:r>
      <w:r>
        <w:rPr>
          <w:rStyle w:val="20"/>
          <w:rFonts w:hint="default" w:ascii="Times New Roman" w:hAnsi="Times New Roman" w:eastAsia="仿宋_GB2312" w:cs="Times New Roman"/>
          <w:b w:val="0"/>
          <w:bCs w:val="0"/>
          <w:sz w:val="32"/>
          <w:szCs w:val="32"/>
        </w:rPr>
        <w:t>支出决算为</w:t>
      </w:r>
      <w:r>
        <w:rPr>
          <w:rStyle w:val="20"/>
          <w:rFonts w:hint="default" w:ascii="Times New Roman" w:hAnsi="Times New Roman" w:eastAsia="仿宋_GB2312" w:cs="Times New Roman"/>
          <w:b w:val="0"/>
          <w:bCs w:val="0"/>
          <w:sz w:val="32"/>
          <w:szCs w:val="32"/>
          <w:lang w:val="en-US" w:eastAsia="zh-CN"/>
        </w:rPr>
        <w:t>43.95</w:t>
      </w:r>
      <w:r>
        <w:rPr>
          <w:rStyle w:val="20"/>
          <w:rFonts w:hint="default" w:ascii="Times New Roman" w:hAnsi="Times New Roman" w:eastAsia="仿宋_GB2312" w:cs="Times New Roman"/>
          <w:b w:val="0"/>
          <w:bCs w:val="0"/>
          <w:sz w:val="32"/>
          <w:szCs w:val="32"/>
        </w:rPr>
        <w:t>万元，完成预算100%，与预算数持平</w:t>
      </w:r>
      <w:r>
        <w:rPr>
          <w:rStyle w:val="20"/>
          <w:rFonts w:hint="default" w:ascii="Times New Roman" w:hAnsi="Times New Roman" w:eastAsia="仿宋_GB2312" w:cs="Times New Roman"/>
          <w:b w:val="0"/>
          <w:bCs w:val="0"/>
          <w:sz w:val="32"/>
          <w:szCs w:val="32"/>
          <w:lang w:eastAsia="zh-CN"/>
        </w:rPr>
        <w:t>。</w:t>
      </w:r>
    </w:p>
    <w:p w14:paraId="5C5E88E0">
      <w:pPr>
        <w:pStyle w:val="25"/>
        <w:keepNext w:val="0"/>
        <w:keepLines w:val="0"/>
        <w:pageBreakBefore w:val="0"/>
        <w:widowControl w:val="0"/>
        <w:kinsoku/>
        <w:wordWrap/>
        <w:overflowPunct/>
        <w:topLinePunct w:val="0"/>
        <w:bidi w:val="0"/>
        <w:snapToGrid/>
        <w:spacing w:line="560" w:lineRule="exact"/>
        <w:ind w:firstLine="643" w:firstLineChars="200"/>
        <w:textAlignment w:val="auto"/>
        <w:outlineLvl w:val="9"/>
        <w:rPr>
          <w:rStyle w:val="20"/>
          <w:rFonts w:hint="default" w:ascii="Times New Roman" w:hAnsi="Times New Roman" w:eastAsia="仿宋_GB2312" w:cs="Times New Roman"/>
          <w:b w:val="0"/>
          <w:bCs w:val="0"/>
          <w:sz w:val="32"/>
          <w:szCs w:val="32"/>
          <w:lang w:val="en-US" w:eastAsia="zh-CN"/>
        </w:rPr>
      </w:pPr>
      <w:r>
        <w:rPr>
          <w:rStyle w:val="20"/>
          <w:rFonts w:hint="default" w:ascii="Times New Roman" w:hAnsi="Times New Roman" w:eastAsia="仿宋_GB2312" w:cs="Times New Roman"/>
          <w:bCs/>
          <w:sz w:val="32"/>
          <w:szCs w:val="32"/>
          <w:lang w:val="en-US" w:eastAsia="zh-CN"/>
        </w:rPr>
        <w:t>16</w:t>
      </w:r>
      <w:r>
        <w:rPr>
          <w:rStyle w:val="20"/>
          <w:rFonts w:hint="default" w:ascii="Times New Roman" w:hAnsi="Times New Roman" w:eastAsia="仿宋_GB2312" w:cs="Times New Roman"/>
          <w:bCs/>
          <w:sz w:val="32"/>
          <w:szCs w:val="32"/>
        </w:rPr>
        <w:t>、其他支出（</w:t>
      </w:r>
      <w:r>
        <w:rPr>
          <w:rStyle w:val="20"/>
          <w:rFonts w:hint="default" w:ascii="Times New Roman" w:hAnsi="Times New Roman" w:eastAsia="仿宋_GB2312" w:cs="Times New Roman"/>
          <w:bCs/>
          <w:sz w:val="32"/>
          <w:szCs w:val="32"/>
          <w:lang w:val="en-US" w:eastAsia="zh-CN"/>
        </w:rPr>
        <w:t>类</w:t>
      </w:r>
      <w:r>
        <w:rPr>
          <w:rStyle w:val="20"/>
          <w:rFonts w:hint="default" w:ascii="Times New Roman" w:hAnsi="Times New Roman" w:eastAsia="仿宋_GB2312" w:cs="Times New Roman"/>
          <w:bCs/>
          <w:sz w:val="32"/>
          <w:szCs w:val="32"/>
        </w:rPr>
        <w:t>）其他支出（</w:t>
      </w:r>
      <w:r>
        <w:rPr>
          <w:rStyle w:val="20"/>
          <w:rFonts w:hint="default" w:ascii="Times New Roman" w:hAnsi="Times New Roman" w:eastAsia="仿宋_GB2312" w:cs="Times New Roman"/>
          <w:bCs/>
          <w:sz w:val="32"/>
          <w:szCs w:val="32"/>
          <w:lang w:val="en-US" w:eastAsia="zh-CN"/>
        </w:rPr>
        <w:t>款</w:t>
      </w:r>
      <w:r>
        <w:rPr>
          <w:rStyle w:val="20"/>
          <w:rFonts w:hint="default" w:ascii="Times New Roman" w:hAnsi="Times New Roman" w:eastAsia="仿宋_GB2312" w:cs="Times New Roman"/>
          <w:bCs/>
          <w:sz w:val="32"/>
          <w:szCs w:val="32"/>
        </w:rPr>
        <w:t>）其他支出（</w:t>
      </w:r>
      <w:r>
        <w:rPr>
          <w:rStyle w:val="20"/>
          <w:rFonts w:hint="default" w:ascii="Times New Roman" w:hAnsi="Times New Roman" w:eastAsia="仿宋_GB2312" w:cs="Times New Roman"/>
          <w:bCs/>
          <w:sz w:val="32"/>
          <w:szCs w:val="32"/>
          <w:lang w:val="en-US" w:eastAsia="zh-CN"/>
        </w:rPr>
        <w:t>项</w:t>
      </w:r>
      <w:r>
        <w:rPr>
          <w:rStyle w:val="20"/>
          <w:rFonts w:hint="default" w:ascii="Times New Roman" w:hAnsi="Times New Roman" w:eastAsia="仿宋_GB2312" w:cs="Times New Roman"/>
          <w:bCs/>
          <w:sz w:val="32"/>
          <w:szCs w:val="32"/>
        </w:rPr>
        <w:t>）</w:t>
      </w:r>
      <w:r>
        <w:rPr>
          <w:rStyle w:val="20"/>
          <w:rFonts w:hint="default" w:ascii="Times New Roman" w:hAnsi="Times New Roman" w:eastAsia="仿宋_GB2312" w:cs="Times New Roman"/>
          <w:bCs/>
          <w:sz w:val="32"/>
          <w:szCs w:val="32"/>
          <w:lang w:eastAsia="zh-CN"/>
        </w:rPr>
        <w:t>：</w:t>
      </w:r>
      <w:r>
        <w:rPr>
          <w:rStyle w:val="20"/>
          <w:rFonts w:hint="default" w:ascii="Times New Roman" w:hAnsi="Times New Roman" w:eastAsia="仿宋_GB2312" w:cs="Times New Roman"/>
          <w:bCs/>
          <w:sz w:val="32"/>
          <w:szCs w:val="32"/>
        </w:rPr>
        <w:t xml:space="preserve"> </w:t>
      </w:r>
      <w:r>
        <w:rPr>
          <w:rStyle w:val="20"/>
          <w:rFonts w:hint="default" w:ascii="Times New Roman" w:hAnsi="Times New Roman" w:eastAsia="仿宋_GB2312" w:cs="Times New Roman"/>
          <w:b w:val="0"/>
          <w:bCs w:val="0"/>
          <w:sz w:val="32"/>
          <w:szCs w:val="32"/>
        </w:rPr>
        <w:t>支出决算为</w:t>
      </w:r>
      <w:r>
        <w:rPr>
          <w:rStyle w:val="20"/>
          <w:rFonts w:hint="default" w:ascii="Times New Roman" w:hAnsi="Times New Roman" w:eastAsia="仿宋_GB2312" w:cs="Times New Roman"/>
          <w:b w:val="0"/>
          <w:bCs w:val="0"/>
          <w:sz w:val="32"/>
          <w:szCs w:val="32"/>
          <w:lang w:val="en-US" w:eastAsia="zh-CN"/>
        </w:rPr>
        <w:t>384.61</w:t>
      </w:r>
      <w:r>
        <w:rPr>
          <w:rStyle w:val="20"/>
          <w:rFonts w:hint="default" w:ascii="Times New Roman" w:hAnsi="Times New Roman" w:eastAsia="仿宋_GB2312" w:cs="Times New Roman"/>
          <w:b w:val="0"/>
          <w:bCs w:val="0"/>
          <w:sz w:val="32"/>
          <w:szCs w:val="32"/>
        </w:rPr>
        <w:t>万元，完成预算100%，与预算数持平</w:t>
      </w:r>
      <w:r>
        <w:rPr>
          <w:rStyle w:val="20"/>
          <w:rFonts w:hint="default" w:ascii="Times New Roman" w:hAnsi="Times New Roman" w:eastAsia="仿宋_GB2312" w:cs="Times New Roman"/>
          <w:b w:val="0"/>
          <w:bCs w:val="0"/>
          <w:sz w:val="32"/>
          <w:szCs w:val="32"/>
          <w:lang w:eastAsia="zh-CN"/>
        </w:rPr>
        <w:t>。</w:t>
      </w:r>
    </w:p>
    <w:p w14:paraId="0B1F059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楷体_GB2312" w:hAnsi="楷体_GB2312" w:eastAsia="楷体_GB2312" w:cs="楷体_GB2312"/>
          <w:b/>
          <w:bCs/>
          <w:sz w:val="32"/>
          <w:szCs w:val="32"/>
        </w:rPr>
      </w:pPr>
      <w:bookmarkStart w:id="51" w:name="_Toc15377214"/>
      <w:bookmarkStart w:id="52" w:name="_Toc15396608"/>
      <w:bookmarkStart w:id="53" w:name="_Toc8255"/>
      <w:r>
        <w:rPr>
          <w:rFonts w:hint="default" w:ascii="楷体_GB2312" w:hAnsi="楷体_GB2312" w:eastAsia="楷体_GB2312" w:cs="楷体_GB2312"/>
          <w:b/>
          <w:bCs/>
          <w:sz w:val="32"/>
          <w:szCs w:val="32"/>
        </w:rPr>
        <w:t>六、一般公共预算财政拨款基本支出决算情况说明</w:t>
      </w:r>
      <w:bookmarkEnd w:id="51"/>
      <w:bookmarkEnd w:id="52"/>
      <w:bookmarkEnd w:id="53"/>
      <w:r>
        <w:rPr>
          <w:rFonts w:hint="default" w:ascii="楷体_GB2312" w:hAnsi="楷体_GB2312" w:eastAsia="楷体_GB2312" w:cs="楷体_GB2312"/>
          <w:b/>
          <w:bCs/>
          <w:sz w:val="32"/>
          <w:szCs w:val="32"/>
        </w:rPr>
        <w:tab/>
      </w:r>
    </w:p>
    <w:p w14:paraId="28ECF6DD">
      <w:pPr>
        <w:keepNext w:val="0"/>
        <w:keepLines w:val="0"/>
        <w:pageBreakBefore w:val="0"/>
        <w:widowControl w:val="0"/>
        <w:kinsoku/>
        <w:wordWrap/>
        <w:overflowPunct/>
        <w:topLinePunct w:val="0"/>
        <w:bidi w:val="0"/>
        <w:snapToGrid/>
        <w:spacing w:line="560" w:lineRule="exact"/>
        <w:ind w:firstLine="645"/>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年一般公共预算财政拨款基本支出</w:t>
      </w:r>
      <w:r>
        <w:rPr>
          <w:rFonts w:hint="default" w:ascii="Times New Roman" w:hAnsi="Times New Roman" w:eastAsia="仿宋_GB2312" w:cs="Times New Roman"/>
          <w:sz w:val="32"/>
          <w:szCs w:val="32"/>
          <w:lang w:val="en-US" w:eastAsia="zh-CN"/>
        </w:rPr>
        <w:t>1799.82</w:t>
      </w:r>
      <w:r>
        <w:rPr>
          <w:rFonts w:hint="default" w:ascii="Times New Roman" w:hAnsi="Times New Roman" w:eastAsia="仿宋_GB2312" w:cs="Times New Roman"/>
          <w:sz w:val="32"/>
          <w:szCs w:val="32"/>
        </w:rPr>
        <w:t>万元，其中：</w:t>
      </w:r>
    </w:p>
    <w:p w14:paraId="0748C7B8">
      <w:pPr>
        <w:keepNext w:val="0"/>
        <w:keepLines w:val="0"/>
        <w:pageBreakBefore w:val="0"/>
        <w:widowControl w:val="0"/>
        <w:kinsoku/>
        <w:wordWrap/>
        <w:overflowPunct/>
        <w:topLinePunct w:val="0"/>
        <w:bidi w:val="0"/>
        <w:snapToGrid/>
        <w:spacing w:line="560" w:lineRule="exact"/>
        <w:ind w:firstLine="645"/>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人员经费</w:t>
      </w:r>
      <w:r>
        <w:rPr>
          <w:rFonts w:hint="default" w:ascii="Times New Roman" w:hAnsi="Times New Roman" w:eastAsia="仿宋_GB2312" w:cs="Times New Roman"/>
          <w:sz w:val="32"/>
          <w:szCs w:val="32"/>
          <w:lang w:val="en-US" w:eastAsia="zh-CN"/>
        </w:rPr>
        <w:t>666.36</w:t>
      </w:r>
      <w:r>
        <w:rPr>
          <w:rFonts w:hint="default" w:ascii="Times New Roman" w:hAnsi="Times New Roman" w:eastAsia="仿宋_GB2312" w:cs="Times New Roman"/>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14:paraId="0339658D">
      <w:pPr>
        <w:keepNext w:val="0"/>
        <w:keepLines w:val="0"/>
        <w:pageBreakBefore w:val="0"/>
        <w:widowControl w:val="0"/>
        <w:kinsoku/>
        <w:wordWrap/>
        <w:overflowPunct/>
        <w:topLinePunct w:val="0"/>
        <w:bidi w:val="0"/>
        <w:snapToGrid/>
        <w:spacing w:line="560" w:lineRule="exact"/>
        <w:ind w:firstLine="645"/>
        <w:textAlignment w:val="auto"/>
        <w:outlineLvl w:val="9"/>
        <w:rPr>
          <w:rFonts w:hint="default" w:ascii="Times New Roman" w:hAnsi="Times New Roman" w:eastAsia="仿宋_GB2312" w:cs="Times New Roman"/>
          <w:b/>
          <w:sz w:val="32"/>
          <w:szCs w:val="32"/>
        </w:rPr>
      </w:pPr>
      <w:r>
        <w:rPr>
          <w:rFonts w:hint="default" w:ascii="Times New Roman" w:hAnsi="Times New Roman" w:eastAsia="仿宋_GB2312" w:cs="Times New Roman"/>
          <w:sz w:val="32"/>
          <w:szCs w:val="32"/>
        </w:rPr>
        <w:t>公用经费</w:t>
      </w:r>
      <w:r>
        <w:rPr>
          <w:rFonts w:hint="default" w:ascii="Times New Roman" w:hAnsi="Times New Roman" w:eastAsia="仿宋_GB2312" w:cs="Times New Roman"/>
          <w:sz w:val="32"/>
          <w:szCs w:val="32"/>
          <w:lang w:val="en-US" w:eastAsia="zh-CN"/>
        </w:rPr>
        <w:t>52.75</w:t>
      </w:r>
      <w:r>
        <w:rPr>
          <w:rFonts w:hint="default" w:ascii="Times New Roman" w:hAnsi="Times New Roman" w:eastAsia="仿宋_GB2312" w:cs="Times New Roman"/>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191FC10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楷体_GB2312" w:hAnsi="楷体_GB2312" w:eastAsia="楷体_GB2312" w:cs="楷体_GB2312"/>
          <w:b/>
          <w:bCs/>
          <w:sz w:val="32"/>
          <w:szCs w:val="32"/>
        </w:rPr>
      </w:pPr>
      <w:bookmarkStart w:id="54" w:name="_Toc15377215"/>
      <w:bookmarkStart w:id="55" w:name="_Toc17931"/>
      <w:bookmarkStart w:id="56" w:name="_Toc15396609"/>
      <w:r>
        <w:rPr>
          <w:rFonts w:hint="default" w:ascii="楷体_GB2312" w:hAnsi="楷体_GB2312" w:eastAsia="楷体_GB2312" w:cs="楷体_GB2312"/>
          <w:b/>
          <w:bCs/>
          <w:sz w:val="32"/>
          <w:szCs w:val="32"/>
        </w:rPr>
        <w:t>七、“三公”经费财政拨款支出决算情况说明</w:t>
      </w:r>
      <w:bookmarkEnd w:id="54"/>
      <w:bookmarkEnd w:id="55"/>
      <w:bookmarkEnd w:id="56"/>
    </w:p>
    <w:p w14:paraId="7AB3AF1A">
      <w:pPr>
        <w:keepNext w:val="0"/>
        <w:keepLines w:val="0"/>
        <w:pageBreakBefore w:val="0"/>
        <w:widowControl w:val="0"/>
        <w:kinsoku/>
        <w:wordWrap/>
        <w:overflowPunct/>
        <w:topLinePunct w:val="0"/>
        <w:bidi w:val="0"/>
        <w:snapToGrid/>
        <w:spacing w:line="560" w:lineRule="exact"/>
        <w:ind w:firstLine="640"/>
        <w:textAlignment w:val="auto"/>
        <w:outlineLvl w:val="2"/>
        <w:rPr>
          <w:rFonts w:hint="default" w:ascii="Times New Roman" w:hAnsi="Times New Roman" w:eastAsia="仿宋_GB2312" w:cs="Times New Roman"/>
          <w:b/>
          <w:bCs w:val="0"/>
          <w:sz w:val="32"/>
          <w:szCs w:val="32"/>
        </w:rPr>
      </w:pPr>
      <w:bookmarkStart w:id="57" w:name="_Toc15377216"/>
      <w:r>
        <w:rPr>
          <w:rFonts w:hint="default" w:ascii="Times New Roman" w:hAnsi="Times New Roman" w:eastAsia="仿宋_GB2312" w:cs="Times New Roman"/>
          <w:b/>
          <w:bCs w:val="0"/>
          <w:sz w:val="32"/>
          <w:szCs w:val="32"/>
        </w:rPr>
        <w:t>（一）“三公”经费财政拨款支出决算总体情况说明</w:t>
      </w:r>
      <w:bookmarkEnd w:id="57"/>
    </w:p>
    <w:p w14:paraId="71F7306D">
      <w:pPr>
        <w:keepNext w:val="0"/>
        <w:keepLines w:val="0"/>
        <w:pageBreakBefore w:val="0"/>
        <w:widowControl w:val="0"/>
        <w:kinsoku/>
        <w:wordWrap/>
        <w:overflowPunct/>
        <w:topLinePunct w:val="0"/>
        <w:bidi w:val="0"/>
        <w:snapToGrid/>
        <w:spacing w:line="560" w:lineRule="exact"/>
        <w:ind w:firstLine="64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年“三公”经费财政拨款支出决算为</w:t>
      </w:r>
      <w:r>
        <w:rPr>
          <w:rFonts w:hint="default" w:ascii="Times New Roman" w:hAnsi="Times New Roman" w:eastAsia="仿宋_GB2312" w:cs="Times New Roman"/>
          <w:sz w:val="32"/>
          <w:szCs w:val="32"/>
          <w:lang w:val="en-US" w:eastAsia="zh-CN"/>
        </w:rPr>
        <w:t>22.24</w:t>
      </w:r>
      <w:r>
        <w:rPr>
          <w:rFonts w:hint="default" w:ascii="Times New Roman" w:hAnsi="Times New Roman" w:eastAsia="仿宋_GB2312" w:cs="Times New Roman"/>
          <w:sz w:val="32"/>
          <w:szCs w:val="32"/>
        </w:rPr>
        <w:t>万元，完成预算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%，与预算数持平。</w:t>
      </w:r>
    </w:p>
    <w:p w14:paraId="13FD8CF3">
      <w:pPr>
        <w:keepNext w:val="0"/>
        <w:keepLines w:val="0"/>
        <w:pageBreakBefore w:val="0"/>
        <w:widowControl w:val="0"/>
        <w:kinsoku/>
        <w:wordWrap/>
        <w:overflowPunct/>
        <w:topLinePunct w:val="0"/>
        <w:bidi w:val="0"/>
        <w:snapToGrid/>
        <w:spacing w:line="560" w:lineRule="exact"/>
        <w:ind w:firstLine="640"/>
        <w:textAlignment w:val="auto"/>
        <w:outlineLvl w:val="2"/>
        <w:rPr>
          <w:rFonts w:hint="default" w:ascii="Times New Roman" w:hAnsi="Times New Roman" w:eastAsia="仿宋_GB2312" w:cs="Times New Roman"/>
          <w:b/>
          <w:bCs w:val="0"/>
          <w:sz w:val="32"/>
          <w:szCs w:val="32"/>
        </w:rPr>
      </w:pPr>
      <w:bookmarkStart w:id="58" w:name="_Toc15377217"/>
      <w:r>
        <w:rPr>
          <w:rFonts w:hint="default" w:ascii="Times New Roman" w:hAnsi="Times New Roman" w:eastAsia="仿宋_GB2312" w:cs="Times New Roman"/>
          <w:b/>
          <w:bCs w:val="0"/>
          <w:sz w:val="32"/>
          <w:szCs w:val="32"/>
        </w:rPr>
        <w:t>（二）“三公”经费财政拨款支出决算具体情况说明</w:t>
      </w:r>
      <w:bookmarkEnd w:id="58"/>
    </w:p>
    <w:p w14:paraId="230FB41D">
      <w:pPr>
        <w:keepNext w:val="0"/>
        <w:keepLines w:val="0"/>
        <w:pageBreakBefore w:val="0"/>
        <w:widowControl w:val="0"/>
        <w:kinsoku/>
        <w:wordWrap/>
        <w:overflowPunct/>
        <w:topLinePunct w:val="0"/>
        <w:bidi w:val="0"/>
        <w:snapToGrid/>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年“三公”经费财政拨款支出决算中，因公出国（境）费支出决算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%；公务用车购置及运行维护费支出决算</w:t>
      </w:r>
      <w:r>
        <w:rPr>
          <w:rFonts w:hint="default" w:ascii="Times New Roman" w:hAnsi="Times New Roman" w:eastAsia="仿宋_GB2312" w:cs="Times New Roman"/>
          <w:sz w:val="32"/>
          <w:szCs w:val="32"/>
          <w:lang w:val="en-US" w:eastAsia="zh-CN"/>
        </w:rPr>
        <w:t>22</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98.92</w:t>
      </w:r>
      <w:r>
        <w:rPr>
          <w:rFonts w:hint="default" w:ascii="Times New Roman" w:hAnsi="Times New Roman" w:eastAsia="仿宋_GB2312" w:cs="Times New Roman"/>
          <w:sz w:val="32"/>
          <w:szCs w:val="32"/>
        </w:rPr>
        <w:t>%；公务接待费支出决算</w:t>
      </w:r>
      <w:r>
        <w:rPr>
          <w:rFonts w:hint="default" w:ascii="Times New Roman" w:hAnsi="Times New Roman" w:eastAsia="仿宋_GB2312" w:cs="Times New Roman"/>
          <w:sz w:val="32"/>
          <w:szCs w:val="32"/>
          <w:lang w:val="en-US" w:eastAsia="zh-CN"/>
        </w:rPr>
        <w:t>0.24</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1.08</w:t>
      </w:r>
      <w:r>
        <w:rPr>
          <w:rFonts w:hint="default" w:ascii="Times New Roman" w:hAnsi="Times New Roman" w:eastAsia="仿宋_GB2312" w:cs="Times New Roman"/>
          <w:sz w:val="32"/>
          <w:szCs w:val="32"/>
        </w:rPr>
        <w:t>%。具体情况如下：</w:t>
      </w:r>
    </w:p>
    <w:p w14:paraId="709235D7">
      <w:pPr>
        <w:pStyle w:val="25"/>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drawing>
          <wp:inline distT="0" distB="0" distL="114300" distR="114300">
            <wp:extent cx="5080000" cy="3328035"/>
            <wp:effectExtent l="4445" t="4445" r="20955" b="2032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323BB30">
      <w:pPr>
        <w:keepNext w:val="0"/>
        <w:keepLines w:val="0"/>
        <w:pageBreakBefore w:val="0"/>
        <w:widowControl w:val="0"/>
        <w:kinsoku/>
        <w:wordWrap/>
        <w:overflowPunct/>
        <w:topLinePunct w:val="0"/>
        <w:bidi w:val="0"/>
        <w:snapToGrid/>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（图7：“三公”经费财政拨款支出结构）（饼状图）</w:t>
      </w:r>
    </w:p>
    <w:p w14:paraId="70A27C14">
      <w:pPr>
        <w:keepNext w:val="0"/>
        <w:keepLines w:val="0"/>
        <w:pageBreakBefore w:val="0"/>
        <w:widowControl w:val="0"/>
        <w:kinsoku/>
        <w:wordWrap/>
        <w:overflowPunct/>
        <w:topLinePunct w:val="0"/>
        <w:bidi w:val="0"/>
        <w:snapToGrid/>
        <w:spacing w:line="560" w:lineRule="exact"/>
        <w:ind w:firstLine="64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1</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因公出国（境）经费支出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Style w:val="20"/>
          <w:rFonts w:hint="default" w:ascii="Times New Roman" w:hAnsi="Times New Roman" w:eastAsia="仿宋_GB2312" w:cs="Times New Roman"/>
          <w:b w:val="0"/>
          <w:bCs/>
          <w:sz w:val="32"/>
          <w:szCs w:val="32"/>
        </w:rPr>
        <w:t>完成预算</w:t>
      </w:r>
      <w:r>
        <w:rPr>
          <w:rStyle w:val="20"/>
          <w:rFonts w:hint="default" w:ascii="Times New Roman" w:hAnsi="Times New Roman" w:eastAsia="仿宋_GB2312" w:cs="Times New Roman"/>
          <w:b w:val="0"/>
          <w:bCs/>
          <w:sz w:val="32"/>
          <w:szCs w:val="32"/>
          <w:lang w:val="en-US" w:eastAsia="zh-CN"/>
        </w:rPr>
        <w:t>0</w:t>
      </w:r>
      <w:r>
        <w:rPr>
          <w:rStyle w:val="20"/>
          <w:rFonts w:hint="default" w:ascii="Times New Roman" w:hAnsi="Times New Roman" w:eastAsia="仿宋_GB2312" w:cs="Times New Roman"/>
          <w:b w:val="0"/>
          <w:bCs/>
          <w:sz w:val="32"/>
          <w:szCs w:val="32"/>
        </w:rPr>
        <w:t>%。</w:t>
      </w:r>
      <w:r>
        <w:rPr>
          <w:rFonts w:hint="default" w:ascii="Times New Roman" w:hAnsi="Times New Roman" w:eastAsia="仿宋_GB2312" w:cs="Times New Roman"/>
          <w:sz w:val="32"/>
          <w:szCs w:val="32"/>
        </w:rPr>
        <w:t>全年安排因公出国（境）团组</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次，出国（境）</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人。因公出国（境）支出决算比202</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年增加/减少</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万元，增长/下降</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%。主要原因</w:t>
      </w:r>
      <w:r>
        <w:rPr>
          <w:rFonts w:hint="default" w:ascii="Times New Roman" w:hAnsi="Times New Roman" w:eastAsia="仿宋_GB2312" w:cs="Times New Roman"/>
          <w:sz w:val="32"/>
          <w:szCs w:val="32"/>
          <w:lang w:eastAsia="zh-CN"/>
        </w:rPr>
        <w:t>未安排</w:t>
      </w:r>
      <w:r>
        <w:rPr>
          <w:rFonts w:hint="default" w:ascii="Times New Roman" w:hAnsi="Times New Roman" w:eastAsia="仿宋_GB2312" w:cs="Times New Roman"/>
          <w:sz w:val="32"/>
          <w:szCs w:val="32"/>
        </w:rPr>
        <w:t>因公出国（境）。</w:t>
      </w:r>
    </w:p>
    <w:p w14:paraId="46FF48AD">
      <w:pPr>
        <w:keepNext w:val="0"/>
        <w:keepLines w:val="0"/>
        <w:pageBreakBefore w:val="0"/>
        <w:widowControl w:val="0"/>
        <w:kinsoku/>
        <w:wordWrap/>
        <w:overflowPunct/>
        <w:topLinePunct w:val="0"/>
        <w:bidi w:val="0"/>
        <w:snapToGrid/>
        <w:spacing w:line="560" w:lineRule="exact"/>
        <w:ind w:firstLine="64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2</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公务用车购置及运行维护费支出</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color w:val="000000"/>
          <w:kern w:val="2"/>
          <w:sz w:val="32"/>
          <w:szCs w:val="32"/>
          <w:lang w:val="en-US" w:eastAsia="zh-CN"/>
        </w:rPr>
        <w:t>22</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Style w:val="20"/>
          <w:rFonts w:hint="default" w:ascii="Times New Roman" w:hAnsi="Times New Roman" w:eastAsia="仿宋_GB2312" w:cs="Times New Roman"/>
          <w:b w:val="0"/>
          <w:bCs/>
          <w:sz w:val="32"/>
          <w:szCs w:val="32"/>
        </w:rPr>
        <w:t>完成预算</w:t>
      </w:r>
      <w:r>
        <w:rPr>
          <w:rFonts w:hint="default" w:ascii="Times New Roman" w:hAnsi="Times New Roman" w:eastAsia="仿宋_GB2312" w:cs="Times New Roman"/>
          <w:color w:val="000000"/>
          <w:kern w:val="2"/>
          <w:sz w:val="32"/>
          <w:szCs w:val="32"/>
          <w:lang w:val="zh-CN"/>
        </w:rPr>
        <w:t>100%</w:t>
      </w:r>
      <w:r>
        <w:rPr>
          <w:rStyle w:val="20"/>
          <w:rFonts w:hint="default" w:ascii="Times New Roman" w:hAnsi="Times New Roman" w:eastAsia="仿宋_GB2312" w:cs="Times New Roman"/>
          <w:b w:val="0"/>
          <w:bCs/>
          <w:sz w:val="32"/>
          <w:szCs w:val="32"/>
        </w:rPr>
        <w:t>。</w:t>
      </w:r>
      <w:r>
        <w:rPr>
          <w:rFonts w:hint="default" w:ascii="Times New Roman" w:hAnsi="Times New Roman" w:eastAsia="仿宋_GB2312" w:cs="Times New Roman"/>
          <w:sz w:val="32"/>
          <w:szCs w:val="32"/>
        </w:rPr>
        <w:t>公务用车购置及运行维护费支出决算比202</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减少5.69</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val="en-US" w:eastAsia="zh-CN"/>
        </w:rPr>
        <w:t>降低25.86</w:t>
      </w:r>
      <w:r>
        <w:rPr>
          <w:rFonts w:hint="default" w:ascii="Times New Roman" w:hAnsi="Times New Roman" w:eastAsia="仿宋_GB2312" w:cs="Times New Roman"/>
          <w:sz w:val="32"/>
          <w:szCs w:val="32"/>
        </w:rPr>
        <w:t>%。</w:t>
      </w:r>
    </w:p>
    <w:p w14:paraId="3AD41CD8">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sz w:val="32"/>
          <w:szCs w:val="32"/>
        </w:rPr>
        <w:t>其中：</w:t>
      </w:r>
      <w:r>
        <w:rPr>
          <w:rFonts w:hint="default" w:ascii="Times New Roman" w:hAnsi="Times New Roman" w:eastAsia="仿宋_GB2312" w:cs="Times New Roman"/>
          <w:b/>
          <w:sz w:val="32"/>
          <w:szCs w:val="32"/>
        </w:rPr>
        <w:t>公务用车购置支出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万元。全年按规定更新购置公务用车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辆，其中：轿车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辆、金额</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万元，越野车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辆、金额</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万元，载客汽车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辆、金额</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万元。202</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年12月底，单位共有公务用车</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辆，其中：轿车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辆、越野车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辆、载客汽车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w:t>
      </w:r>
    </w:p>
    <w:p w14:paraId="3FCF895C">
      <w:pPr>
        <w:keepNext w:val="0"/>
        <w:keepLines w:val="0"/>
        <w:pageBreakBefore w:val="0"/>
        <w:widowControl w:val="0"/>
        <w:kinsoku/>
        <w:wordWrap/>
        <w:overflowPunct/>
        <w:topLinePunct w:val="0"/>
        <w:bidi w:val="0"/>
        <w:snapToGrid/>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公务用车运行维护费支出</w:t>
      </w:r>
      <w:r>
        <w:rPr>
          <w:rFonts w:hint="default" w:ascii="Times New Roman" w:hAnsi="Times New Roman" w:eastAsia="仿宋_GB2312" w:cs="Times New Roman"/>
          <w:sz w:val="32"/>
          <w:szCs w:val="32"/>
          <w:lang w:val="en-US" w:eastAsia="zh-CN"/>
        </w:rPr>
        <w:t>；22</w:t>
      </w:r>
      <w:r>
        <w:rPr>
          <w:rFonts w:hint="default" w:ascii="Times New Roman" w:hAnsi="Times New Roman" w:eastAsia="仿宋_GB2312" w:cs="Times New Roman"/>
          <w:sz w:val="32"/>
          <w:szCs w:val="32"/>
        </w:rPr>
        <w:t>万元。</w:t>
      </w:r>
      <w:r>
        <w:rPr>
          <w:rStyle w:val="20"/>
          <w:rFonts w:hint="default" w:ascii="Times New Roman" w:hAnsi="Times New Roman" w:eastAsia="仿宋_GB2312" w:cs="Times New Roman"/>
          <w:b w:val="0"/>
          <w:bCs/>
          <w:sz w:val="32"/>
          <w:szCs w:val="32"/>
        </w:rPr>
        <w:t>完成预算</w:t>
      </w:r>
      <w:r>
        <w:rPr>
          <w:rStyle w:val="20"/>
          <w:rFonts w:hint="default" w:ascii="Times New Roman" w:hAnsi="Times New Roman" w:eastAsia="仿宋_GB2312" w:cs="Times New Roman"/>
          <w:b w:val="0"/>
          <w:bCs/>
          <w:sz w:val="32"/>
          <w:szCs w:val="32"/>
          <w:lang w:val="en-US" w:eastAsia="zh-CN"/>
        </w:rPr>
        <w:t>100</w:t>
      </w:r>
      <w:r>
        <w:rPr>
          <w:rStyle w:val="20"/>
          <w:rFonts w:hint="default" w:ascii="Times New Roman" w:hAnsi="Times New Roman" w:eastAsia="仿宋_GB2312" w:cs="Times New Roman"/>
          <w:b w:val="0"/>
          <w:bCs/>
          <w:sz w:val="32"/>
          <w:szCs w:val="32"/>
        </w:rPr>
        <w:t>%。</w:t>
      </w:r>
      <w:r>
        <w:rPr>
          <w:rFonts w:hint="default" w:ascii="Times New Roman" w:hAnsi="Times New Roman" w:eastAsia="仿宋_GB2312" w:cs="Times New Roman"/>
          <w:sz w:val="32"/>
          <w:szCs w:val="32"/>
        </w:rPr>
        <w:t>主要用于所需的公务用车燃料费、维修费、过路过桥费、保险费等支出。</w:t>
      </w:r>
    </w:p>
    <w:p w14:paraId="2F3120C5">
      <w:pPr>
        <w:keepNext w:val="0"/>
        <w:keepLines w:val="0"/>
        <w:pageBreakBefore w:val="0"/>
        <w:widowControl w:val="0"/>
        <w:kinsoku/>
        <w:wordWrap/>
        <w:overflowPunct/>
        <w:topLinePunct w:val="0"/>
        <w:bidi w:val="0"/>
        <w:snapToGrid/>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lang w:val="en-US" w:eastAsia="zh-CN"/>
        </w:rPr>
        <w:t>3、</w:t>
      </w:r>
      <w:r>
        <w:rPr>
          <w:rFonts w:hint="default" w:ascii="Times New Roman" w:hAnsi="Times New Roman" w:eastAsia="仿宋_GB2312" w:cs="Times New Roman"/>
          <w:b/>
          <w:bCs/>
          <w:sz w:val="32"/>
          <w:szCs w:val="32"/>
        </w:rPr>
        <w:t>公务接待费支出</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val="en-US" w:eastAsia="zh-CN"/>
        </w:rPr>
        <w:t>0.24</w:t>
      </w:r>
      <w:r>
        <w:rPr>
          <w:rFonts w:hint="default" w:ascii="Times New Roman" w:hAnsi="Times New Roman" w:eastAsia="仿宋_GB2312" w:cs="Times New Roman"/>
          <w:sz w:val="32"/>
          <w:szCs w:val="32"/>
        </w:rPr>
        <w:t>万元，完成预算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%。公务接待费支出决算比202</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年减少</w:t>
      </w:r>
      <w:r>
        <w:rPr>
          <w:rFonts w:hint="default" w:ascii="Times New Roman" w:hAnsi="Times New Roman" w:eastAsia="仿宋_GB2312" w:cs="Times New Roman"/>
          <w:sz w:val="32"/>
          <w:szCs w:val="32"/>
          <w:lang w:val="en-US" w:eastAsia="zh-CN"/>
        </w:rPr>
        <w:t>0.06</w:t>
      </w:r>
      <w:r>
        <w:rPr>
          <w:rFonts w:hint="default" w:ascii="Times New Roman" w:hAnsi="Times New Roman" w:eastAsia="仿宋_GB2312" w:cs="Times New Roman"/>
          <w:sz w:val="32"/>
          <w:szCs w:val="32"/>
        </w:rPr>
        <w:t>万元，下降</w:t>
      </w:r>
      <w:r>
        <w:rPr>
          <w:rFonts w:hint="default" w:ascii="Times New Roman" w:hAnsi="Times New Roman" w:eastAsia="仿宋_GB2312" w:cs="Times New Roman"/>
          <w:sz w:val="32"/>
          <w:szCs w:val="32"/>
          <w:lang w:val="en-US" w:eastAsia="zh-CN"/>
        </w:rPr>
        <w:t>25</w:t>
      </w:r>
      <w:r>
        <w:rPr>
          <w:rFonts w:hint="default" w:ascii="Times New Roman" w:hAnsi="Times New Roman" w:eastAsia="仿宋_GB2312" w:cs="Times New Roman"/>
          <w:sz w:val="32"/>
          <w:szCs w:val="32"/>
        </w:rPr>
        <w:t>%。主要原因</w:t>
      </w:r>
      <w:r>
        <w:rPr>
          <w:rFonts w:hint="default" w:ascii="Times New Roman" w:hAnsi="Times New Roman" w:eastAsia="仿宋_GB2312" w:cs="Times New Roman"/>
          <w:sz w:val="32"/>
          <w:szCs w:val="32"/>
          <w:lang w:eastAsia="zh-CN"/>
        </w:rPr>
        <w:t>厉行勤俭节约</w:t>
      </w:r>
      <w:r>
        <w:rPr>
          <w:rFonts w:hint="default" w:ascii="Times New Roman" w:hAnsi="Times New Roman" w:eastAsia="仿宋_GB2312" w:cs="Times New Roman"/>
          <w:sz w:val="32"/>
          <w:szCs w:val="32"/>
        </w:rPr>
        <w:t>。</w:t>
      </w:r>
    </w:p>
    <w:p w14:paraId="2A18880D">
      <w:pPr>
        <w:keepNext w:val="0"/>
        <w:keepLines w:val="0"/>
        <w:pageBreakBefore w:val="0"/>
        <w:widowControl w:val="0"/>
        <w:kinsoku/>
        <w:wordWrap/>
        <w:overflowPunct/>
        <w:topLinePunct w:val="0"/>
        <w:bidi w:val="0"/>
        <w:snapToGrid/>
        <w:spacing w:line="560" w:lineRule="exact"/>
        <w:ind w:firstLine="643"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4、国内公务接待支出</w:t>
      </w:r>
      <w:r>
        <w:rPr>
          <w:rFonts w:hint="default" w:ascii="Times New Roman" w:hAnsi="Times New Roman" w:eastAsia="仿宋_GB2312" w:cs="Times New Roman"/>
          <w:b w:val="0"/>
          <w:bCs w:val="0"/>
          <w:sz w:val="32"/>
          <w:szCs w:val="32"/>
          <w:lang w:val="en-US" w:eastAsia="zh-CN"/>
        </w:rPr>
        <w:t>0.46万元，主要用于执行公务、开展业务活动开支的交通费、住宿费、用餐费等，共计支出0.46万元。</w:t>
      </w:r>
    </w:p>
    <w:p w14:paraId="7B83996A">
      <w:pPr>
        <w:keepNext w:val="0"/>
        <w:keepLines w:val="0"/>
        <w:pageBreakBefore w:val="0"/>
        <w:widowControl w:val="0"/>
        <w:kinsoku/>
        <w:wordWrap/>
        <w:overflowPunct/>
        <w:topLinePunct w:val="0"/>
        <w:bidi w:val="0"/>
        <w:snapToGrid/>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sz w:val="32"/>
          <w:szCs w:val="32"/>
          <w:lang w:val="en-US" w:eastAsia="zh-CN"/>
        </w:rPr>
        <w:t>5、</w:t>
      </w:r>
      <w:r>
        <w:rPr>
          <w:rFonts w:hint="default" w:ascii="Times New Roman" w:hAnsi="Times New Roman" w:eastAsia="仿宋_GB2312" w:cs="Times New Roman"/>
          <w:b/>
          <w:bCs w:val="0"/>
          <w:sz w:val="32"/>
          <w:szCs w:val="32"/>
        </w:rPr>
        <w:t>外事接待支出</w:t>
      </w:r>
      <w:r>
        <w:rPr>
          <w:rFonts w:hint="default" w:ascii="Times New Roman" w:hAnsi="Times New Roman" w:eastAsia="仿宋_GB2312" w:cs="Times New Roman"/>
          <w:b/>
          <w:bCs w:val="0"/>
          <w:sz w:val="32"/>
          <w:szCs w:val="32"/>
          <w:lang w:eastAsia="zh-CN"/>
        </w:rPr>
        <w:t>：</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万元，外事接待</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批次，</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人，共计支出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bookmarkStart w:id="59" w:name="_Toc15396610"/>
      <w:bookmarkStart w:id="60" w:name="_Toc15377218"/>
    </w:p>
    <w:p w14:paraId="58F037E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楷体_GB2312" w:hAnsi="楷体_GB2312" w:eastAsia="楷体_GB2312" w:cs="楷体_GB2312"/>
          <w:b/>
          <w:bCs/>
          <w:sz w:val="32"/>
          <w:szCs w:val="32"/>
        </w:rPr>
      </w:pPr>
      <w:bookmarkStart w:id="61" w:name="_Toc24764"/>
      <w:r>
        <w:rPr>
          <w:rFonts w:hint="default" w:ascii="楷体_GB2312" w:hAnsi="楷体_GB2312" w:eastAsia="楷体_GB2312" w:cs="楷体_GB2312"/>
          <w:b/>
          <w:bCs/>
          <w:sz w:val="32"/>
          <w:szCs w:val="32"/>
        </w:rPr>
        <w:t>八、政府性基金预算支出决算情况说明</w:t>
      </w:r>
      <w:bookmarkEnd w:id="59"/>
      <w:bookmarkEnd w:id="60"/>
      <w:bookmarkEnd w:id="61"/>
    </w:p>
    <w:p w14:paraId="5898020C">
      <w:pPr>
        <w:keepNext w:val="0"/>
        <w:keepLines w:val="0"/>
        <w:pageBreakBefore w:val="0"/>
        <w:widowControl w:val="0"/>
        <w:kinsoku/>
        <w:wordWrap/>
        <w:overflowPunct/>
        <w:topLinePunct w:val="0"/>
        <w:bidi w:val="0"/>
        <w:snapToGrid/>
        <w:spacing w:line="560" w:lineRule="exact"/>
        <w:ind w:firstLine="640"/>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202</w:t>
      </w:r>
      <w:r>
        <w:rPr>
          <w:rFonts w:hint="default" w:ascii="Times New Roman" w:hAnsi="Times New Roman" w:eastAsia="仿宋_GB2312" w:cs="Times New Roman"/>
          <w:b w:val="0"/>
          <w:bCs/>
          <w:sz w:val="32"/>
          <w:szCs w:val="32"/>
          <w:lang w:val="en-US" w:eastAsia="zh-CN"/>
        </w:rPr>
        <w:t>2</w:t>
      </w:r>
      <w:r>
        <w:rPr>
          <w:rFonts w:hint="default" w:ascii="Times New Roman" w:hAnsi="Times New Roman" w:eastAsia="仿宋_GB2312" w:cs="Times New Roman"/>
          <w:b w:val="0"/>
          <w:bCs/>
          <w:sz w:val="32"/>
          <w:szCs w:val="32"/>
        </w:rPr>
        <w:t>年政府性基金预算财政拨款支出</w:t>
      </w:r>
      <w:r>
        <w:rPr>
          <w:rFonts w:hint="default" w:ascii="Times New Roman" w:hAnsi="Times New Roman" w:eastAsia="仿宋_GB2312" w:cs="Times New Roman"/>
          <w:b w:val="0"/>
          <w:bCs/>
          <w:sz w:val="32"/>
          <w:szCs w:val="32"/>
          <w:lang w:val="en-US" w:eastAsia="zh-CN"/>
        </w:rPr>
        <w:t>0</w:t>
      </w:r>
      <w:r>
        <w:rPr>
          <w:rFonts w:hint="default" w:ascii="Times New Roman" w:hAnsi="Times New Roman" w:eastAsia="仿宋_GB2312" w:cs="Times New Roman"/>
          <w:b w:val="0"/>
          <w:bCs/>
          <w:sz w:val="32"/>
          <w:szCs w:val="32"/>
        </w:rPr>
        <w:t>万元。</w:t>
      </w:r>
    </w:p>
    <w:p w14:paraId="6AE7E302">
      <w:pPr>
        <w:keepNext w:val="0"/>
        <w:keepLines w:val="0"/>
        <w:pageBreakBefore w:val="0"/>
        <w:widowControl w:val="0"/>
        <w:kinsoku/>
        <w:wordWrap/>
        <w:overflowPunct/>
        <w:topLinePunct w:val="0"/>
        <w:bidi w:val="0"/>
        <w:snapToGrid/>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202</w:t>
      </w:r>
      <w:r>
        <w:rPr>
          <w:rFonts w:hint="default" w:ascii="Times New Roman" w:hAnsi="Times New Roman" w:eastAsia="仿宋_GB2312" w:cs="Times New Roman"/>
          <w:b w:val="0"/>
          <w:bCs/>
          <w:sz w:val="32"/>
          <w:szCs w:val="32"/>
          <w:lang w:val="en-US" w:eastAsia="zh-CN"/>
        </w:rPr>
        <w:t>2</w:t>
      </w:r>
      <w:r>
        <w:rPr>
          <w:rFonts w:hint="default" w:ascii="Times New Roman" w:hAnsi="Times New Roman" w:eastAsia="仿宋_GB2312" w:cs="Times New Roman"/>
          <w:b w:val="0"/>
          <w:bCs/>
          <w:sz w:val="32"/>
          <w:szCs w:val="32"/>
        </w:rPr>
        <w:t>年国有资本经营预算财政拨款支出</w:t>
      </w:r>
      <w:r>
        <w:rPr>
          <w:rFonts w:hint="default" w:ascii="Times New Roman" w:hAnsi="Times New Roman" w:eastAsia="仿宋_GB2312" w:cs="Times New Roman"/>
          <w:b w:val="0"/>
          <w:bCs/>
          <w:sz w:val="32"/>
          <w:szCs w:val="32"/>
          <w:lang w:val="en-US" w:eastAsia="zh-CN"/>
        </w:rPr>
        <w:t>0</w:t>
      </w:r>
      <w:r>
        <w:rPr>
          <w:rFonts w:hint="default" w:ascii="Times New Roman" w:hAnsi="Times New Roman" w:eastAsia="仿宋_GB2312" w:cs="Times New Roman"/>
          <w:b w:val="0"/>
          <w:bCs/>
          <w:sz w:val="32"/>
          <w:szCs w:val="32"/>
        </w:rPr>
        <w:t>万元。</w:t>
      </w:r>
    </w:p>
    <w:p w14:paraId="73488D09">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3" w:firstLineChars="200"/>
        <w:textAlignment w:val="auto"/>
        <w:rPr>
          <w:rFonts w:hint="default" w:ascii="楷体_GB2312" w:hAnsi="楷体_GB2312" w:eastAsia="楷体_GB2312" w:cs="楷体_GB2312"/>
          <w:b/>
          <w:bCs/>
          <w:sz w:val="32"/>
          <w:szCs w:val="32"/>
        </w:rPr>
      </w:pPr>
      <w:bookmarkStart w:id="62" w:name="_Toc15396611"/>
      <w:bookmarkStart w:id="63" w:name="_Toc30173"/>
      <w:bookmarkStart w:id="64" w:name="_Toc15377219"/>
      <w:r>
        <w:rPr>
          <w:rFonts w:hint="default" w:ascii="楷体_GB2312" w:hAnsi="楷体_GB2312" w:eastAsia="楷体_GB2312" w:cs="楷体_GB2312"/>
          <w:b/>
          <w:bCs/>
          <w:sz w:val="32"/>
          <w:szCs w:val="32"/>
        </w:rPr>
        <w:t>国有资本经营预算支出决算情况说明</w:t>
      </w:r>
      <w:bookmarkEnd w:id="62"/>
      <w:bookmarkEnd w:id="63"/>
      <w:bookmarkEnd w:id="64"/>
    </w:p>
    <w:p w14:paraId="2907EF2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lang w:val="en-US" w:eastAsia="zh-CN"/>
        </w:rPr>
      </w:pPr>
      <w:r>
        <w:rPr>
          <w:rFonts w:hint="eastAsia" w:ascii="仿宋_GB2312" w:hAnsi="仿宋_GB2312" w:eastAsia="仿宋_GB2312" w:cs="仿宋_GB2312"/>
          <w:b w:val="0"/>
          <w:bCs w:val="0"/>
          <w:sz w:val="32"/>
          <w:szCs w:val="32"/>
          <w:lang w:eastAsia="zh-CN"/>
        </w:rPr>
        <w:t>无</w:t>
      </w:r>
    </w:p>
    <w:p w14:paraId="460A122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楷体_GB2312" w:hAnsi="楷体_GB2312" w:eastAsia="楷体_GB2312" w:cs="楷体_GB2312"/>
          <w:b/>
          <w:bCs/>
          <w:sz w:val="32"/>
          <w:szCs w:val="32"/>
        </w:rPr>
      </w:pPr>
      <w:bookmarkStart w:id="65" w:name="_Toc15396612"/>
      <w:bookmarkStart w:id="66" w:name="_Toc15377221"/>
      <w:bookmarkStart w:id="67" w:name="_Toc10892"/>
      <w:r>
        <w:rPr>
          <w:rFonts w:hint="eastAsia" w:ascii="楷体_GB2312" w:hAnsi="楷体_GB2312" w:eastAsia="楷体_GB2312" w:cs="楷体_GB2312"/>
          <w:b/>
          <w:bCs/>
          <w:sz w:val="32"/>
          <w:szCs w:val="32"/>
          <w:lang w:eastAsia="zh-CN"/>
        </w:rPr>
        <w:t>十、</w:t>
      </w:r>
      <w:r>
        <w:rPr>
          <w:rFonts w:hint="default" w:ascii="楷体_GB2312" w:hAnsi="楷体_GB2312" w:eastAsia="楷体_GB2312" w:cs="楷体_GB2312"/>
          <w:b/>
          <w:bCs/>
          <w:sz w:val="32"/>
          <w:szCs w:val="32"/>
        </w:rPr>
        <w:t>其他重要事项的情况说明</w:t>
      </w:r>
      <w:bookmarkEnd w:id="65"/>
      <w:bookmarkEnd w:id="66"/>
      <w:bookmarkEnd w:id="67"/>
    </w:p>
    <w:p w14:paraId="7BE723E3">
      <w:pPr>
        <w:keepNext w:val="0"/>
        <w:keepLines w:val="0"/>
        <w:pageBreakBefore w:val="0"/>
        <w:widowControl w:val="0"/>
        <w:kinsoku/>
        <w:wordWrap/>
        <w:overflowPunct/>
        <w:topLinePunct w:val="0"/>
        <w:bidi w:val="0"/>
        <w:snapToGrid/>
        <w:spacing w:line="560" w:lineRule="exact"/>
        <w:ind w:firstLine="643" w:firstLineChars="200"/>
        <w:textAlignment w:val="auto"/>
        <w:outlineLvl w:val="2"/>
        <w:rPr>
          <w:rFonts w:hint="default" w:ascii="Times New Roman" w:hAnsi="Times New Roman" w:eastAsia="仿宋_GB2312" w:cs="Times New Roman"/>
          <w:b/>
          <w:bCs w:val="0"/>
          <w:sz w:val="32"/>
          <w:szCs w:val="32"/>
        </w:rPr>
      </w:pPr>
      <w:bookmarkStart w:id="68" w:name="_Toc15377222"/>
      <w:r>
        <w:rPr>
          <w:rFonts w:hint="default" w:ascii="Times New Roman" w:hAnsi="Times New Roman" w:eastAsia="仿宋_GB2312" w:cs="Times New Roman"/>
          <w:b/>
          <w:bCs w:val="0"/>
          <w:sz w:val="32"/>
          <w:szCs w:val="32"/>
        </w:rPr>
        <w:t>（一）机关运行经费支出情况</w:t>
      </w:r>
      <w:bookmarkEnd w:id="68"/>
    </w:p>
    <w:p w14:paraId="38817445">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年，机关运行经费支出</w:t>
      </w:r>
      <w:r>
        <w:rPr>
          <w:rFonts w:hint="default" w:ascii="Times New Roman" w:hAnsi="Times New Roman" w:eastAsia="仿宋_GB2312" w:cs="Times New Roman"/>
          <w:color w:val="000000"/>
          <w:kern w:val="2"/>
          <w:sz w:val="32"/>
          <w:szCs w:val="32"/>
          <w:lang w:val="zh-CN"/>
        </w:rPr>
        <w:t>49.91</w:t>
      </w:r>
      <w:r>
        <w:rPr>
          <w:rFonts w:hint="default" w:ascii="Times New Roman" w:hAnsi="Times New Roman" w:eastAsia="仿宋_GB2312" w:cs="Times New Roman"/>
          <w:sz w:val="32"/>
          <w:szCs w:val="32"/>
        </w:rPr>
        <w:t>万元，比202</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减少9.44</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val="en-US" w:eastAsia="zh-CN"/>
        </w:rPr>
        <w:t>降低18.91</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主要原因</w:t>
      </w:r>
      <w:r>
        <w:rPr>
          <w:rFonts w:hint="default" w:ascii="Times New Roman" w:hAnsi="Times New Roman" w:eastAsia="仿宋_GB2312" w:cs="Times New Roman"/>
          <w:sz w:val="32"/>
          <w:szCs w:val="32"/>
          <w:lang w:eastAsia="zh-CN"/>
        </w:rPr>
        <w:t>人员</w:t>
      </w:r>
      <w:r>
        <w:rPr>
          <w:rFonts w:hint="default" w:ascii="Times New Roman" w:hAnsi="Times New Roman" w:eastAsia="仿宋_GB2312" w:cs="Times New Roman"/>
          <w:sz w:val="32"/>
          <w:szCs w:val="32"/>
          <w:lang w:val="en-US" w:eastAsia="zh-CN"/>
        </w:rPr>
        <w:t>减少</w:t>
      </w:r>
      <w:r>
        <w:rPr>
          <w:rFonts w:hint="default" w:ascii="Times New Roman" w:hAnsi="Times New Roman" w:eastAsia="仿宋_GB2312" w:cs="Times New Roman"/>
          <w:sz w:val="32"/>
          <w:szCs w:val="32"/>
          <w:lang w:eastAsia="zh-CN"/>
        </w:rPr>
        <w:t>，公用经费相应</w:t>
      </w:r>
      <w:r>
        <w:rPr>
          <w:rFonts w:hint="default" w:ascii="Times New Roman" w:hAnsi="Times New Roman" w:eastAsia="仿宋_GB2312" w:cs="Times New Roman"/>
          <w:sz w:val="32"/>
          <w:szCs w:val="32"/>
          <w:lang w:val="en-US" w:eastAsia="zh-CN"/>
        </w:rPr>
        <w:t>减少</w:t>
      </w:r>
      <w:r>
        <w:rPr>
          <w:rFonts w:hint="default" w:ascii="Times New Roman" w:hAnsi="Times New Roman" w:eastAsia="仿宋_GB2312" w:cs="Times New Roman"/>
          <w:sz w:val="32"/>
          <w:szCs w:val="32"/>
          <w:lang w:eastAsia="zh-CN"/>
        </w:rPr>
        <w:t>。</w:t>
      </w:r>
    </w:p>
    <w:p w14:paraId="0FE0D918">
      <w:pPr>
        <w:keepNext w:val="0"/>
        <w:keepLines w:val="0"/>
        <w:pageBreakBefore w:val="0"/>
        <w:widowControl w:val="0"/>
        <w:kinsoku/>
        <w:wordWrap/>
        <w:overflowPunct/>
        <w:topLinePunct w:val="0"/>
        <w:autoSpaceDE w:val="0"/>
        <w:autoSpaceDN w:val="0"/>
        <w:bidi w:val="0"/>
        <w:adjustRightInd w:val="0"/>
        <w:snapToGrid/>
        <w:spacing w:line="560" w:lineRule="exact"/>
        <w:ind w:firstLine="643" w:firstLineChars="200"/>
        <w:jc w:val="left"/>
        <w:textAlignment w:val="auto"/>
        <w:outlineLvl w:val="2"/>
        <w:rPr>
          <w:rFonts w:hint="default" w:ascii="Times New Roman" w:hAnsi="Times New Roman" w:eastAsia="仿宋_GB2312" w:cs="Times New Roman"/>
          <w:b/>
          <w:bCs w:val="0"/>
          <w:sz w:val="32"/>
          <w:szCs w:val="32"/>
        </w:rPr>
      </w:pPr>
      <w:bookmarkStart w:id="69" w:name="_Toc15377223"/>
      <w:r>
        <w:rPr>
          <w:rFonts w:hint="default" w:ascii="Times New Roman" w:hAnsi="Times New Roman" w:eastAsia="仿宋_GB2312" w:cs="Times New Roman"/>
          <w:b/>
          <w:bCs w:val="0"/>
          <w:sz w:val="32"/>
          <w:szCs w:val="32"/>
        </w:rPr>
        <w:t>（二）政府采购支出情况</w:t>
      </w:r>
      <w:bookmarkEnd w:id="69"/>
    </w:p>
    <w:p w14:paraId="3212B2AF">
      <w:pPr>
        <w:keepNext w:val="0"/>
        <w:keepLines w:val="0"/>
        <w:pageBreakBefore w:val="0"/>
        <w:widowControl w:val="0"/>
        <w:kinsoku/>
        <w:wordWrap/>
        <w:overflowPunct/>
        <w:topLinePunct w:val="0"/>
        <w:bidi w:val="0"/>
        <w:snapToGrid/>
        <w:spacing w:line="56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年，政府采购支出总额</w:t>
      </w:r>
      <w:r>
        <w:rPr>
          <w:rFonts w:hint="default" w:ascii="Times New Roman" w:hAnsi="Times New Roman" w:eastAsia="仿宋_GB2312" w:cs="Times New Roman"/>
          <w:color w:val="000000"/>
          <w:kern w:val="2"/>
          <w:sz w:val="32"/>
          <w:szCs w:val="32"/>
          <w:lang w:val="zh-CN"/>
        </w:rPr>
        <w:t>88.98</w:t>
      </w:r>
      <w:r>
        <w:rPr>
          <w:rFonts w:hint="default" w:ascii="Times New Roman" w:hAnsi="Times New Roman" w:eastAsia="仿宋_GB2312" w:cs="Times New Roman"/>
          <w:sz w:val="32"/>
          <w:szCs w:val="32"/>
        </w:rPr>
        <w:t>万元，其中：政府采购货物支出</w:t>
      </w:r>
      <w:r>
        <w:rPr>
          <w:rFonts w:hint="default" w:ascii="Times New Roman" w:hAnsi="Times New Roman" w:eastAsia="仿宋_GB2312" w:cs="Times New Roman"/>
          <w:sz w:val="32"/>
          <w:szCs w:val="32"/>
          <w:lang w:val="en-US" w:eastAsia="zh-CN"/>
        </w:rPr>
        <w:t>88.98</w:t>
      </w:r>
      <w:r>
        <w:rPr>
          <w:rFonts w:hint="default" w:ascii="Times New Roman" w:hAnsi="Times New Roman" w:eastAsia="仿宋_GB2312" w:cs="Times New Roman"/>
          <w:sz w:val="32"/>
          <w:szCs w:val="32"/>
        </w:rPr>
        <w:t>万元、政府采购工程支出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万元、政府采购服务支出</w:t>
      </w:r>
      <w:r>
        <w:rPr>
          <w:rFonts w:hint="default" w:ascii="Times New Roman" w:hAnsi="Times New Roman" w:eastAsia="仿宋_GB2312" w:cs="Times New Roman"/>
          <w:color w:val="000000"/>
          <w:kern w:val="2"/>
          <w:sz w:val="32"/>
          <w:szCs w:val="32"/>
          <w:lang w:val="en-US" w:eastAsia="zh-CN"/>
        </w:rPr>
        <w:t>0</w:t>
      </w:r>
      <w:r>
        <w:rPr>
          <w:rFonts w:hint="default" w:ascii="Times New Roman" w:hAnsi="Times New Roman" w:eastAsia="仿宋_GB2312" w:cs="Times New Roman"/>
          <w:sz w:val="32"/>
          <w:szCs w:val="32"/>
        </w:rPr>
        <w:t>万元。</w:t>
      </w:r>
    </w:p>
    <w:p w14:paraId="089246DD">
      <w:pPr>
        <w:keepNext w:val="0"/>
        <w:keepLines w:val="0"/>
        <w:pageBreakBefore w:val="0"/>
        <w:widowControl w:val="0"/>
        <w:kinsoku/>
        <w:wordWrap/>
        <w:overflowPunct/>
        <w:topLinePunct w:val="0"/>
        <w:autoSpaceDE w:val="0"/>
        <w:autoSpaceDN w:val="0"/>
        <w:bidi w:val="0"/>
        <w:adjustRightInd w:val="0"/>
        <w:snapToGrid/>
        <w:spacing w:line="560" w:lineRule="exact"/>
        <w:ind w:firstLine="643" w:firstLineChars="200"/>
        <w:jc w:val="left"/>
        <w:textAlignment w:val="auto"/>
        <w:outlineLvl w:val="2"/>
        <w:rPr>
          <w:rFonts w:hint="default" w:ascii="Times New Roman" w:hAnsi="Times New Roman" w:eastAsia="仿宋_GB2312" w:cs="Times New Roman"/>
          <w:b/>
          <w:bCs w:val="0"/>
          <w:sz w:val="32"/>
          <w:szCs w:val="32"/>
        </w:rPr>
      </w:pPr>
      <w:bookmarkStart w:id="70" w:name="_Toc15377224"/>
      <w:r>
        <w:rPr>
          <w:rFonts w:hint="default" w:ascii="Times New Roman" w:hAnsi="Times New Roman" w:eastAsia="仿宋_GB2312" w:cs="Times New Roman"/>
          <w:b/>
          <w:bCs w:val="0"/>
          <w:sz w:val="32"/>
          <w:szCs w:val="32"/>
        </w:rPr>
        <w:t>（三）国有资产占有使用情况</w:t>
      </w:r>
      <w:bookmarkEnd w:id="70"/>
    </w:p>
    <w:p w14:paraId="1148E7AC">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年12月31日共有车辆</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辆，其中：主要领导干部用车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辆、机要通信用车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辆、应急保障用车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辆、其他用车</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辆</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单价50万元以上通用设备</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台（套），单价100万元以上专用设备</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台（套）。</w:t>
      </w:r>
    </w:p>
    <w:p w14:paraId="2CAF850F">
      <w:pPr>
        <w:keepNext w:val="0"/>
        <w:keepLines w:val="0"/>
        <w:pageBreakBefore w:val="0"/>
        <w:widowControl w:val="0"/>
        <w:kinsoku/>
        <w:wordWrap/>
        <w:overflowPunct/>
        <w:topLinePunct w:val="0"/>
        <w:autoSpaceDE w:val="0"/>
        <w:autoSpaceDN w:val="0"/>
        <w:bidi w:val="0"/>
        <w:adjustRightInd w:val="0"/>
        <w:snapToGrid/>
        <w:spacing w:line="560" w:lineRule="exact"/>
        <w:ind w:firstLine="643" w:firstLineChars="200"/>
        <w:jc w:val="left"/>
        <w:textAlignment w:val="auto"/>
        <w:outlineLvl w:val="2"/>
        <w:rPr>
          <w:rFonts w:hint="default" w:ascii="Times New Roman" w:hAnsi="Times New Roman" w:eastAsia="仿宋_GB2312" w:cs="Times New Roman"/>
          <w:b/>
          <w:bCs w:val="0"/>
          <w:sz w:val="32"/>
          <w:szCs w:val="32"/>
        </w:rPr>
      </w:pPr>
      <w:r>
        <w:rPr>
          <w:rFonts w:hint="default" w:ascii="Times New Roman" w:hAnsi="Times New Roman" w:eastAsia="仿宋_GB2312" w:cs="Times New Roman"/>
          <w:b/>
          <w:bCs w:val="0"/>
          <w:sz w:val="32"/>
          <w:szCs w:val="32"/>
        </w:rPr>
        <w:t>（四）预算绩效管理情况</w:t>
      </w:r>
    </w:p>
    <w:p w14:paraId="6EAAB4A5">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本部门按要求对202</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年部门整体支出</w:t>
      </w:r>
      <w:r>
        <w:rPr>
          <w:rFonts w:hint="default" w:ascii="Times New Roman" w:hAnsi="Times New Roman" w:eastAsia="仿宋_GB2312" w:cs="Times New Roman"/>
          <w:sz w:val="32"/>
          <w:szCs w:val="32"/>
          <w:lang w:eastAsia="zh-CN"/>
        </w:rPr>
        <w:t>及项目支出</w:t>
      </w:r>
      <w:r>
        <w:rPr>
          <w:rFonts w:hint="default" w:ascii="Times New Roman" w:hAnsi="Times New Roman" w:eastAsia="仿宋_GB2312" w:cs="Times New Roman"/>
          <w:sz w:val="32"/>
          <w:szCs w:val="32"/>
        </w:rPr>
        <w:t>开展绩效自评，从评价情况来看，202</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年目标任务基本完成，预算执行情况较好。</w:t>
      </w:r>
    </w:p>
    <w:p w14:paraId="2E244289">
      <w:pPr>
        <w:keepNext w:val="0"/>
        <w:keepLines w:val="0"/>
        <w:pageBreakBefore w:val="0"/>
        <w:widowControl w:val="0"/>
        <w:numPr>
          <w:ilvl w:val="0"/>
          <w:numId w:val="0"/>
        </w:numPr>
        <w:kinsoku/>
        <w:wordWrap/>
        <w:overflowPunct/>
        <w:topLinePunct w:val="0"/>
        <w:bidi w:val="0"/>
        <w:snapToGrid/>
        <w:spacing w:line="56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项目绩效目标完成情况</w:t>
      </w:r>
    </w:p>
    <w:p w14:paraId="58E82093">
      <w:pPr>
        <w:keepNext w:val="0"/>
        <w:keepLines w:val="0"/>
        <w:pageBreakBefore w:val="0"/>
        <w:widowControl w:val="0"/>
        <w:kinsoku/>
        <w:wordWrap/>
        <w:overflowPunct/>
        <w:topLinePunct w:val="0"/>
        <w:bidi w:val="0"/>
        <w:snapToGrid/>
        <w:spacing w:line="560" w:lineRule="exact"/>
        <w:jc w:val="left"/>
        <w:textAlignment w:val="auto"/>
        <w:rPr>
          <w:rFonts w:hint="default" w:ascii="Times New Roman" w:hAnsi="Times New Roman" w:eastAsia="仿宋_GB2312" w:cs="Times New Roman"/>
          <w:sz w:val="32"/>
          <w:szCs w:val="32"/>
          <w:lang w:val="en-US"/>
        </w:rPr>
      </w:pPr>
      <w:r>
        <w:rPr>
          <w:rFonts w:hint="default" w:ascii="Times New Roman" w:hAnsi="Times New Roman" w:eastAsia="仿宋_GB2312" w:cs="Times New Roman"/>
          <w:sz w:val="32"/>
          <w:szCs w:val="32"/>
        </w:rPr>
        <w:t>按要求对202</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年部门</w:t>
      </w:r>
      <w:r>
        <w:rPr>
          <w:rFonts w:hint="default" w:ascii="Times New Roman" w:hAnsi="Times New Roman" w:eastAsia="仿宋_GB2312" w:cs="Times New Roman"/>
          <w:sz w:val="32"/>
          <w:szCs w:val="32"/>
          <w:lang w:eastAsia="zh-CN"/>
        </w:rPr>
        <w:t>项目支出开展</w:t>
      </w:r>
      <w:r>
        <w:rPr>
          <w:rFonts w:hint="default" w:ascii="Times New Roman" w:hAnsi="Times New Roman" w:eastAsia="仿宋_GB2312" w:cs="Times New Roman"/>
          <w:sz w:val="32"/>
          <w:szCs w:val="32"/>
        </w:rPr>
        <w:t>绩效自评，</w:t>
      </w:r>
      <w:r>
        <w:rPr>
          <w:rFonts w:hint="default" w:ascii="Times New Roman" w:hAnsi="Times New Roman" w:eastAsia="仿宋_GB2312" w:cs="Times New Roman"/>
          <w:sz w:val="32"/>
          <w:szCs w:val="32"/>
          <w:lang w:eastAsia="zh-CN"/>
        </w:rPr>
        <w:t>详见</w:t>
      </w:r>
      <w:r>
        <w:rPr>
          <w:rFonts w:hint="default" w:ascii="Times New Roman" w:hAnsi="Times New Roman" w:eastAsia="仿宋_GB2312" w:cs="Times New Roman"/>
          <w:sz w:val="32"/>
          <w:szCs w:val="32"/>
        </w:rPr>
        <w:t>附件</w:t>
      </w:r>
      <w:r>
        <w:rPr>
          <w:rFonts w:hint="default" w:ascii="Times New Roman" w:hAnsi="Times New Roman" w:eastAsia="仿宋_GB2312" w:cs="Times New Roman"/>
          <w:sz w:val="32"/>
          <w:szCs w:val="32"/>
          <w:lang w:val="en-US" w:eastAsia="zh-CN"/>
        </w:rPr>
        <w:t>2。</w:t>
      </w:r>
    </w:p>
    <w:p w14:paraId="2F4EA9AB">
      <w:pPr>
        <w:keepNext w:val="0"/>
        <w:keepLines w:val="0"/>
        <w:pageBreakBefore w:val="0"/>
        <w:widowControl w:val="0"/>
        <w:kinsoku/>
        <w:wordWrap/>
        <w:overflowPunct/>
        <w:topLinePunct w:val="0"/>
        <w:bidi w:val="0"/>
        <w:snapToGrid/>
        <w:spacing w:line="560" w:lineRule="exact"/>
        <w:ind w:left="63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2.部门绩效评价结果</w:t>
      </w:r>
    </w:p>
    <w:p w14:paraId="71468150">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本部门按要求对2020年部门整体支出绩效评价情况开展自评，</w:t>
      </w:r>
      <w:r>
        <w:rPr>
          <w:rFonts w:hint="default" w:ascii="Times New Roman" w:hAnsi="Times New Roman" w:eastAsia="仿宋_GB2312" w:cs="Times New Roman"/>
          <w:sz w:val="32"/>
          <w:szCs w:val="32"/>
          <w:lang w:eastAsia="zh-CN"/>
        </w:rPr>
        <w:t>详</w:t>
      </w:r>
      <w:r>
        <w:rPr>
          <w:rFonts w:hint="default" w:ascii="Times New Roman" w:hAnsi="Times New Roman" w:eastAsia="仿宋_GB2312" w:cs="Times New Roman"/>
          <w:sz w:val="32"/>
          <w:szCs w:val="32"/>
        </w:rPr>
        <w:t>见附件</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w:t>
      </w:r>
    </w:p>
    <w:p w14:paraId="30985158">
      <w:pPr>
        <w:bidi w:val="0"/>
        <w:jc w:val="left"/>
        <w:rPr>
          <w:rFonts w:hint="eastAsia" w:ascii="黑体" w:hAnsi="黑体" w:eastAsia="黑体" w:cs="黑体"/>
          <w:sz w:val="32"/>
          <w:szCs w:val="32"/>
          <w:lang w:eastAsia="zh-CN"/>
        </w:rPr>
      </w:pPr>
      <w:bookmarkStart w:id="71" w:name="_Toc15396613"/>
      <w:bookmarkStart w:id="72" w:name="_Toc1341"/>
      <w:bookmarkStart w:id="73" w:name="_Toc15377225"/>
    </w:p>
    <w:p w14:paraId="08662168">
      <w:pPr>
        <w:bidi w:val="0"/>
        <w:jc w:val="left"/>
        <w:rPr>
          <w:rFonts w:hint="eastAsia" w:ascii="黑体" w:hAnsi="黑体" w:eastAsia="黑体" w:cs="黑体"/>
          <w:sz w:val="32"/>
          <w:szCs w:val="32"/>
          <w:lang w:eastAsia="zh-CN"/>
        </w:rPr>
      </w:pPr>
    </w:p>
    <w:p w14:paraId="124E13AB">
      <w:pPr>
        <w:bidi w:val="0"/>
        <w:jc w:val="left"/>
        <w:rPr>
          <w:rFonts w:hint="eastAsia" w:ascii="黑体" w:hAnsi="黑体" w:eastAsia="黑体" w:cs="黑体"/>
          <w:sz w:val="32"/>
          <w:szCs w:val="32"/>
          <w:lang w:eastAsia="zh-CN"/>
        </w:rPr>
      </w:pPr>
    </w:p>
    <w:p w14:paraId="40D93F82">
      <w:pPr>
        <w:bidi w:val="0"/>
        <w:jc w:val="left"/>
        <w:rPr>
          <w:rFonts w:hint="eastAsia" w:ascii="黑体" w:hAnsi="黑体" w:eastAsia="黑体" w:cs="黑体"/>
          <w:sz w:val="32"/>
          <w:szCs w:val="32"/>
          <w:lang w:eastAsia="zh-CN"/>
        </w:rPr>
      </w:pPr>
    </w:p>
    <w:p w14:paraId="33CBE678">
      <w:pPr>
        <w:bidi w:val="0"/>
        <w:jc w:val="left"/>
        <w:rPr>
          <w:rFonts w:hint="eastAsia" w:ascii="黑体" w:hAnsi="黑体" w:eastAsia="黑体" w:cs="黑体"/>
          <w:sz w:val="32"/>
          <w:szCs w:val="32"/>
          <w:lang w:eastAsia="zh-CN"/>
        </w:rPr>
      </w:pPr>
    </w:p>
    <w:p w14:paraId="52F480AF">
      <w:pPr>
        <w:bidi w:val="0"/>
        <w:jc w:val="left"/>
        <w:rPr>
          <w:rFonts w:hint="eastAsia" w:ascii="黑体" w:hAnsi="黑体" w:eastAsia="黑体" w:cs="黑体"/>
          <w:sz w:val="32"/>
          <w:szCs w:val="32"/>
          <w:lang w:eastAsia="zh-CN"/>
        </w:rPr>
      </w:pPr>
    </w:p>
    <w:p w14:paraId="3D94C94B">
      <w:pPr>
        <w:bidi w:val="0"/>
        <w:jc w:val="left"/>
        <w:rPr>
          <w:rFonts w:hint="eastAsia" w:ascii="黑体" w:hAnsi="黑体" w:eastAsia="黑体" w:cs="黑体"/>
          <w:sz w:val="32"/>
          <w:szCs w:val="32"/>
          <w:lang w:eastAsia="zh-CN"/>
        </w:rPr>
      </w:pPr>
    </w:p>
    <w:p w14:paraId="27827AB1">
      <w:pPr>
        <w:bidi w:val="0"/>
        <w:jc w:val="left"/>
        <w:rPr>
          <w:rFonts w:hint="eastAsia" w:ascii="黑体" w:hAnsi="黑体" w:eastAsia="黑体" w:cs="黑体"/>
          <w:sz w:val="32"/>
          <w:szCs w:val="32"/>
          <w:lang w:eastAsia="zh-CN"/>
        </w:rPr>
      </w:pPr>
    </w:p>
    <w:p w14:paraId="2977FB13">
      <w:pPr>
        <w:bidi w:val="0"/>
        <w:jc w:val="left"/>
        <w:rPr>
          <w:rFonts w:hint="eastAsia" w:ascii="黑体" w:hAnsi="黑体" w:eastAsia="黑体" w:cs="黑体"/>
          <w:sz w:val="32"/>
          <w:szCs w:val="32"/>
          <w:lang w:eastAsia="zh-CN"/>
        </w:rPr>
      </w:pPr>
    </w:p>
    <w:p w14:paraId="731B3837">
      <w:pPr>
        <w:bidi w:val="0"/>
        <w:jc w:val="left"/>
        <w:rPr>
          <w:rFonts w:hint="eastAsia" w:ascii="黑体" w:hAnsi="黑体" w:eastAsia="黑体" w:cs="黑体"/>
          <w:sz w:val="32"/>
          <w:szCs w:val="32"/>
          <w:lang w:eastAsia="zh-CN"/>
        </w:rPr>
      </w:pPr>
    </w:p>
    <w:p w14:paraId="72C52623">
      <w:pPr>
        <w:bidi w:val="0"/>
        <w:jc w:val="left"/>
        <w:rPr>
          <w:rFonts w:hint="eastAsia" w:ascii="黑体" w:hAnsi="黑体" w:eastAsia="黑体" w:cs="黑体"/>
          <w:sz w:val="32"/>
          <w:szCs w:val="32"/>
          <w:lang w:eastAsia="zh-CN"/>
        </w:rPr>
      </w:pPr>
    </w:p>
    <w:p w14:paraId="401FE3BB">
      <w:pPr>
        <w:bidi w:val="0"/>
        <w:jc w:val="center"/>
        <w:rPr>
          <w:rFonts w:hint="default" w:ascii="Times New Roman" w:hAnsi="Times New Roman" w:eastAsia="仿宋_GB2312" w:cs="Times New Roman"/>
          <w:sz w:val="32"/>
          <w:szCs w:val="32"/>
        </w:rPr>
      </w:pPr>
      <w:r>
        <w:rPr>
          <w:rFonts w:hint="eastAsia" w:ascii="黑体" w:hAnsi="黑体" w:eastAsia="黑体" w:cs="黑体"/>
          <w:sz w:val="32"/>
          <w:szCs w:val="32"/>
          <w:lang w:eastAsia="zh-CN"/>
        </w:rPr>
        <w:t>第三部分</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名词解释</w:t>
      </w:r>
      <w:bookmarkEnd w:id="71"/>
      <w:bookmarkEnd w:id="72"/>
      <w:bookmarkEnd w:id="73"/>
    </w:p>
    <w:p w14:paraId="689495F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41F577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1、财政拨款收入：指单位从同级财政部门取得的财政预算资金。</w:t>
      </w:r>
    </w:p>
    <w:p w14:paraId="47B888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2、事业收入：指事业单位开展专业业务活动及辅助活动取得的收入。</w:t>
      </w:r>
    </w:p>
    <w:p w14:paraId="0D5636F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3、经营收入：指事业单位在专业业务活动及其辅助活动之外开展非独立核算经营活动取得的收入。</w:t>
      </w:r>
    </w:p>
    <w:p w14:paraId="6B487F1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4、其他收入：指单位取得的除上述收入以外的各项收入。主要是援建资金。</w:t>
      </w:r>
    </w:p>
    <w:p w14:paraId="497981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5、年初结转和结余：指以前年度尚未完成、结转到本年按有关规定继续使用的资金。</w:t>
      </w:r>
    </w:p>
    <w:p w14:paraId="0726F95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6、年末结转和结余：指单位按有关规定结转到下年或以后年度继续使用的资金。</w:t>
      </w:r>
    </w:p>
    <w:p w14:paraId="1B1C78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7、社会保障和就业支出（类）行政事业单位养老支出（款）机关事业单位基本养老保险缴费支出（项）：指机关事业单位实施养老保险制度由单位缴纳的基本养老保险费支出。</w:t>
      </w:r>
    </w:p>
    <w:p w14:paraId="5A4B68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8、社会保障和就业支出（类）行政事业单位养老支出（款）机关事业单位职业年金缴费支出（项）：指机关事业单位实施养老保险制度由单位实际缴纳的职业年金。</w:t>
      </w:r>
    </w:p>
    <w:p w14:paraId="3BADAFF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9、一般公共服务支出（类）人力资源事务（款）引进人才费用（项）：指按规定用于人力资源中引进人才的费用。</w:t>
      </w:r>
    </w:p>
    <w:p w14:paraId="50AA7D2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10、卫生健康支出（类）行政事业单位医疗（款）行政单位医疗（项）：指财政部门集中安排的行政单位基本医疗保险缴费经费。</w:t>
      </w:r>
    </w:p>
    <w:p w14:paraId="401450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11、农林水支出（类）农业农村（款）科技转化与推广服务（项）：指用于农业科技成果转化，农业新品种、新机具、新技术引进、试验、示范。推广及服务农村人居环境整治等方面的技术试验示范支出。</w:t>
      </w:r>
    </w:p>
    <w:p w14:paraId="5D862B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12、资源勘探工业信息等支出（类）制造业（款）其他制造业支出（项）：指其他用于制造业方面的支出。</w:t>
      </w:r>
    </w:p>
    <w:p w14:paraId="60D05B9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13、资源勘探工业信息等支出（类）支持中小企业发展和管理支出（款）中小企业发展专项（项）：指用于支持中小企业公共服务体系和融资服务体系建设等方面的支出。</w:t>
      </w:r>
    </w:p>
    <w:p w14:paraId="413D82F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14、商业服务业等支出（类）商业流通事务（款）行政运行（项）：指按规定补助优抚对象的医疗经费。</w:t>
      </w:r>
    </w:p>
    <w:p w14:paraId="140628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15、商业服务业等支出（类）商业流通事务（款）一般行政管理事务（项）：指按规定补助优抚对象的医疗经费。</w:t>
      </w:r>
    </w:p>
    <w:p w14:paraId="480025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16、商业服务业等支出（类）商业流通事务（款）民贸企业补贴（项）：指按规定补助优抚对象的医疗经费。</w:t>
      </w:r>
    </w:p>
    <w:p w14:paraId="6DA07E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17、商业服务业等支出（类）商业流通事务（款）其他商业流通事务支出（项）：指其他用于商业流通事务方面的支出。</w:t>
      </w:r>
    </w:p>
    <w:p w14:paraId="3EE887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18、商业服务业等支出（类）其他商业服务业等支出（款）  其他商业流通事务支出（项）：指在商业服务业中其他用于商业流通事务方面的支出。</w:t>
      </w:r>
    </w:p>
    <w:p w14:paraId="38C7697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19、住房保障支出（类）住房改革支出（款）住房公积金（项）：指行政事业单位</w:t>
      </w:r>
      <w:r>
        <w:rPr>
          <w:rFonts w:hint="default" w:ascii="Times New Roman" w:hAnsi="Times New Roman" w:eastAsia="仿宋_GB2312" w:cs="Times New Roman"/>
          <w:sz w:val="32"/>
          <w:szCs w:val="32"/>
          <w:lang w:eastAsia="zh-CN"/>
        </w:rPr>
        <w:t>按照</w:t>
      </w:r>
      <w:r>
        <w:rPr>
          <w:rFonts w:hint="default" w:ascii="Times New Roman" w:hAnsi="Times New Roman" w:eastAsia="仿宋_GB2312" w:cs="Times New Roman"/>
          <w:sz w:val="32"/>
          <w:szCs w:val="32"/>
        </w:rPr>
        <w:t>工资比例为职工缴纳的住房公积金。</w:t>
      </w:r>
    </w:p>
    <w:p w14:paraId="1C27CF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20、基本支出：指为保障机构正常运转、完成日常工作任务而发生的人员支出和公用支出。</w:t>
      </w:r>
    </w:p>
    <w:p w14:paraId="6F793C3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21、项目支出：指在基本支出之外为完成特定行政任务和事业发展目标所发生的支出。</w:t>
      </w:r>
    </w:p>
    <w:p w14:paraId="62C05F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22、经营支出：指事业单位在专业业务活动及其辅助活动之外开展非独立核算经营活动发生的支出。</w:t>
      </w:r>
    </w:p>
    <w:p w14:paraId="5616C51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23、“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4A25F5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24、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1A4BEE7">
      <w:pPr>
        <w:pStyle w:val="25"/>
        <w:spacing w:line="560" w:lineRule="exact"/>
        <w:ind w:firstLine="560" w:firstLineChars="200"/>
        <w:outlineLvl w:val="9"/>
        <w:rPr>
          <w:rFonts w:hint="eastAsia" w:ascii="仿宋" w:hAnsi="仿宋" w:eastAsia="仿宋" w:cs="仿宋"/>
          <w:color w:val="auto"/>
          <w:sz w:val="28"/>
          <w:szCs w:val="28"/>
        </w:rPr>
      </w:pPr>
    </w:p>
    <w:p w14:paraId="2294473E">
      <w:pPr>
        <w:spacing w:line="600" w:lineRule="exact"/>
        <w:jc w:val="center"/>
        <w:outlineLvl w:val="0"/>
        <w:rPr>
          <w:rStyle w:val="33"/>
          <w:rFonts w:ascii="黑体" w:hAnsi="黑体" w:eastAsia="黑体"/>
          <w:b w:val="0"/>
        </w:rPr>
      </w:pPr>
      <w:bookmarkStart w:id="74" w:name="_Toc15377226"/>
      <w:r>
        <w:rPr>
          <w:rFonts w:hint="eastAsia" w:ascii="仿宋" w:hAnsi="仿宋" w:eastAsia="仿宋" w:cs="仿宋"/>
          <w:b/>
          <w:sz w:val="28"/>
          <w:szCs w:val="28"/>
        </w:rPr>
        <w:br w:type="page"/>
      </w:r>
      <w:bookmarkStart w:id="75" w:name="_Toc15396614"/>
      <w:bookmarkStart w:id="76" w:name="_Toc19486"/>
      <w:r>
        <w:rPr>
          <w:rFonts w:hint="eastAsia" w:ascii="黑体" w:hAnsi="黑体" w:eastAsia="黑体" w:cs="黑体"/>
          <w:b w:val="0"/>
          <w:bCs w:val="0"/>
          <w:sz w:val="32"/>
          <w:szCs w:val="32"/>
        </w:rPr>
        <w:t>第</w:t>
      </w:r>
      <w:r>
        <w:rPr>
          <w:rStyle w:val="33"/>
          <w:rFonts w:hint="eastAsia" w:ascii="黑体" w:hAnsi="黑体" w:eastAsia="黑体" w:cs="黑体"/>
          <w:b w:val="0"/>
          <w:bCs w:val="0"/>
          <w:sz w:val="32"/>
          <w:szCs w:val="32"/>
        </w:rPr>
        <w:t>四部分 附件</w:t>
      </w:r>
      <w:bookmarkEnd w:id="75"/>
      <w:bookmarkEnd w:id="76"/>
    </w:p>
    <w:p w14:paraId="5CBCAB42">
      <w:pPr>
        <w:spacing w:line="572" w:lineRule="exact"/>
        <w:jc w:val="left"/>
        <w:outlineLvl w:val="0"/>
        <w:rPr>
          <w:rFonts w:hint="eastAsia" w:ascii="仿宋_GB2312" w:hAnsi="仿宋_GB2312" w:eastAsia="仿宋_GB2312" w:cs="仿宋_GB2312"/>
          <w:b w:val="0"/>
          <w:bCs w:val="0"/>
          <w:sz w:val="32"/>
          <w:szCs w:val="32"/>
          <w:lang w:val="en-US" w:eastAsia="zh-CN"/>
        </w:rPr>
      </w:pPr>
      <w:bookmarkStart w:id="77" w:name="_Toc28430"/>
      <w:bookmarkStart w:id="78" w:name="_Toc14416"/>
      <w:bookmarkStart w:id="79" w:name="_Toc30849"/>
      <w:r>
        <w:rPr>
          <w:rFonts w:hint="eastAsia" w:ascii="仿宋_GB2312" w:hAnsi="仿宋_GB2312" w:eastAsia="仿宋_GB2312" w:cs="仿宋_GB2312"/>
          <w:b w:val="0"/>
          <w:bCs w:val="0"/>
          <w:sz w:val="32"/>
          <w:szCs w:val="32"/>
        </w:rPr>
        <w:t>附件</w:t>
      </w:r>
      <w:bookmarkEnd w:id="77"/>
      <w:bookmarkEnd w:id="78"/>
      <w:bookmarkEnd w:id="79"/>
      <w:r>
        <w:rPr>
          <w:rFonts w:hint="eastAsia" w:ascii="仿宋_GB2312" w:hAnsi="仿宋_GB2312" w:eastAsia="仿宋_GB2312" w:cs="仿宋_GB2312"/>
          <w:b w:val="0"/>
          <w:bCs w:val="0"/>
          <w:sz w:val="32"/>
          <w:szCs w:val="32"/>
          <w:lang w:val="en-US" w:eastAsia="zh-CN"/>
        </w:rPr>
        <w:t>1</w:t>
      </w:r>
    </w:p>
    <w:p w14:paraId="06B76E0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zh-CN"/>
        </w:rPr>
      </w:pPr>
      <w:bookmarkStart w:id="80" w:name="_Toc27190"/>
      <w:r>
        <w:rPr>
          <w:rFonts w:hint="eastAsia" w:ascii="方正小标宋_GBK" w:hAnsi="方正小标宋_GBK" w:eastAsia="方正小标宋_GBK" w:cs="方正小标宋_GBK"/>
          <w:sz w:val="44"/>
          <w:szCs w:val="44"/>
        </w:rPr>
        <w:t>202</w:t>
      </w:r>
      <w:r>
        <w:rPr>
          <w:rFonts w:hint="eastAsia" w:ascii="方正小标宋_GBK" w:hAnsi="方正小标宋_GBK" w:eastAsia="方正小标宋_GBK" w:cs="方正小标宋_GBK"/>
          <w:sz w:val="44"/>
          <w:szCs w:val="44"/>
          <w:lang w:val="en-US" w:eastAsia="zh-CN"/>
        </w:rPr>
        <w:t>2</w:t>
      </w:r>
      <w:r>
        <w:rPr>
          <w:rFonts w:hint="eastAsia" w:ascii="方正小标宋_GBK" w:hAnsi="方正小标宋_GBK" w:eastAsia="方正小标宋_GBK" w:cs="方正小标宋_GBK"/>
          <w:sz w:val="44"/>
          <w:szCs w:val="44"/>
        </w:rPr>
        <w:t>年部门整体绩效评价报告</w:t>
      </w:r>
      <w:bookmarkEnd w:id="80"/>
    </w:p>
    <w:p w14:paraId="7C641C9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bookmarkStart w:id="81" w:name="_Toc5361"/>
      <w:bookmarkStart w:id="82" w:name="_Toc11464"/>
    </w:p>
    <w:p w14:paraId="5A55569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zh-CN"/>
        </w:rPr>
      </w:pPr>
      <w:r>
        <w:rPr>
          <w:rFonts w:hint="eastAsia" w:ascii="黑体" w:hAnsi="黑体" w:eastAsia="黑体" w:cs="黑体"/>
          <w:sz w:val="32"/>
          <w:szCs w:val="32"/>
        </w:rPr>
        <w:t>一、</w:t>
      </w:r>
      <w:r>
        <w:rPr>
          <w:rFonts w:hint="eastAsia" w:ascii="黑体" w:hAnsi="黑体" w:eastAsia="黑体" w:cs="黑体"/>
          <w:sz w:val="32"/>
          <w:szCs w:val="32"/>
          <w:lang w:val="zh-CN"/>
        </w:rPr>
        <w:t>部门（单位）概况</w:t>
      </w:r>
      <w:bookmarkEnd w:id="81"/>
      <w:bookmarkEnd w:id="82"/>
    </w:p>
    <w:p w14:paraId="54C66BC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lang w:val="zh-CN"/>
        </w:rPr>
      </w:pPr>
      <w:r>
        <w:rPr>
          <w:rFonts w:hint="eastAsia" w:ascii="楷体_GB2312" w:hAnsi="楷体_GB2312" w:eastAsia="楷体_GB2312" w:cs="楷体_GB2312"/>
          <w:b/>
          <w:bCs/>
          <w:sz w:val="32"/>
          <w:szCs w:val="32"/>
          <w:lang w:val="zh-CN"/>
        </w:rPr>
        <w:t>（一）机构组成</w:t>
      </w:r>
    </w:p>
    <w:p w14:paraId="5448A3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rPr>
        <w:t>中共壤塘县</w:t>
      </w:r>
      <w:r>
        <w:rPr>
          <w:rFonts w:hint="eastAsia" w:eastAsia="仿宋_GB2312" w:cs="Times New Roman"/>
          <w:sz w:val="32"/>
          <w:szCs w:val="32"/>
          <w:lang w:eastAsia="zh-CN"/>
        </w:rPr>
        <w:t>委</w:t>
      </w:r>
      <w:r>
        <w:rPr>
          <w:rFonts w:hint="default" w:ascii="Times New Roman" w:hAnsi="Times New Roman" w:eastAsia="仿宋_GB2312" w:cs="Times New Roman"/>
          <w:sz w:val="32"/>
          <w:szCs w:val="32"/>
        </w:rPr>
        <w:t>组织部：行政，机构地址：四川省阿坝藏族羌族自治州壤塘县</w:t>
      </w:r>
      <w:r>
        <w:rPr>
          <w:rFonts w:hint="eastAsia" w:eastAsia="仿宋_GB2312" w:cs="Times New Roman"/>
          <w:sz w:val="32"/>
          <w:szCs w:val="32"/>
          <w:lang w:eastAsia="zh-CN"/>
        </w:rPr>
        <w:t>岗木达镇</w:t>
      </w:r>
      <w:r>
        <w:rPr>
          <w:rFonts w:hint="default" w:ascii="Times New Roman" w:hAnsi="Times New Roman" w:eastAsia="仿宋_GB2312" w:cs="Times New Roman"/>
          <w:sz w:val="32"/>
          <w:szCs w:val="32"/>
        </w:rPr>
        <w:t>罗吾塘中街90号。</w:t>
      </w:r>
    </w:p>
    <w:p w14:paraId="6F746FD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lang w:val="zh-CN"/>
        </w:rPr>
      </w:pPr>
      <w:r>
        <w:rPr>
          <w:rFonts w:hint="eastAsia" w:ascii="Times New Roman" w:hAnsi="Times New Roman" w:eastAsia="仿宋_GB2312" w:cs="Times New Roman"/>
          <w:b/>
          <w:bCs/>
          <w:sz w:val="32"/>
          <w:szCs w:val="32"/>
          <w:lang w:val="en-US" w:eastAsia="zh-CN"/>
        </w:rPr>
        <w:t>1、</w:t>
      </w:r>
      <w:r>
        <w:rPr>
          <w:rFonts w:hint="default" w:ascii="Times New Roman" w:hAnsi="Times New Roman" w:eastAsia="仿宋_GB2312" w:cs="Times New Roman"/>
          <w:b/>
          <w:bCs/>
          <w:sz w:val="32"/>
          <w:szCs w:val="32"/>
          <w:lang w:val="zh-CN"/>
        </w:rPr>
        <w:t>机构职能和人员概况</w:t>
      </w:r>
    </w:p>
    <w:p w14:paraId="32068D2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负责全县各级党组织建设；负责全县的干部管理工作；负责全县公务员工作；负责全县人才工作的宏观指导、组织协调和督促检查；负责全县干部教育培训工作的宏观指导、政策规划、组织协调和督促检查；负责全县干部监督工作的宏观指导和综合协调、制定和落实干部监督工作制度；负责全县老干部工作；承担县委党建领导小组、县人才工作领导小组日常工作；承办县委、州委组织部交办的其他工作事项。</w:t>
      </w:r>
    </w:p>
    <w:p w14:paraId="3DEEC17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lang w:val="zh-CN"/>
        </w:rPr>
      </w:pPr>
      <w:r>
        <w:rPr>
          <w:rFonts w:hint="eastAsia" w:ascii="Times New Roman" w:hAnsi="Times New Roman" w:eastAsia="仿宋_GB2312" w:cs="Times New Roman"/>
          <w:b/>
          <w:bCs/>
          <w:sz w:val="32"/>
          <w:szCs w:val="32"/>
          <w:lang w:val="en-US" w:eastAsia="zh-CN"/>
        </w:rPr>
        <w:t>2、</w:t>
      </w:r>
      <w:r>
        <w:rPr>
          <w:rFonts w:hint="default" w:ascii="Times New Roman" w:hAnsi="Times New Roman" w:eastAsia="仿宋_GB2312" w:cs="Times New Roman"/>
          <w:b/>
          <w:bCs/>
          <w:sz w:val="32"/>
          <w:szCs w:val="32"/>
          <w:lang w:val="zh-CN"/>
        </w:rPr>
        <w:t>年度主要工作任务</w:t>
      </w:r>
    </w:p>
    <w:p w14:paraId="27D8FEE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en-US" w:eastAsia="zh-CN"/>
        </w:rPr>
        <w:t>（</w:t>
      </w:r>
      <w:r>
        <w:rPr>
          <w:rFonts w:hint="eastAsia"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zh-CN" w:eastAsia="zh-CN"/>
        </w:rPr>
        <w:t>抓实抓紧基层组织建设。推动基层党建引领乡村振兴、实现党建工作与重点工作深度融合发展。</w:t>
      </w:r>
    </w:p>
    <w:p w14:paraId="2A38FD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en-US" w:eastAsia="zh-CN"/>
        </w:rPr>
        <w:t>（</w:t>
      </w:r>
      <w:r>
        <w:rPr>
          <w:rFonts w:hint="eastAsia"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zh-CN" w:eastAsia="zh-CN"/>
        </w:rPr>
        <w:t>抓实抓紧干部人才队伍建设。对标补短提能，深化干部教育培训，进一步优化全县干部人才队伍结构，持续巩固硕博进阿坝引才成果。</w:t>
      </w:r>
    </w:p>
    <w:p w14:paraId="2B94AC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lang w:val="zh-CN" w:eastAsia="zh-CN"/>
        </w:rPr>
      </w:pPr>
      <w:r>
        <w:rPr>
          <w:rFonts w:hint="eastAsia" w:eastAsia="仿宋_GB2312" w:cs="Times New Roman"/>
          <w:sz w:val="32"/>
          <w:szCs w:val="32"/>
          <w:lang w:val="zh-CN" w:eastAsia="zh-CN"/>
        </w:rPr>
        <w:t>（</w:t>
      </w:r>
      <w:r>
        <w:rPr>
          <w:rFonts w:hint="eastAsia" w:eastAsia="仿宋_GB2312" w:cs="Times New Roman"/>
          <w:sz w:val="32"/>
          <w:szCs w:val="32"/>
          <w:lang w:val="en-US" w:eastAsia="zh-CN"/>
        </w:rPr>
        <w:t>3</w:t>
      </w:r>
      <w:r>
        <w:rPr>
          <w:rFonts w:hint="eastAsia" w:eastAsia="仿宋_GB2312" w:cs="Times New Roman"/>
          <w:sz w:val="32"/>
          <w:szCs w:val="32"/>
          <w:lang w:val="zh-CN" w:eastAsia="zh-CN"/>
        </w:rPr>
        <w:t>）</w:t>
      </w:r>
      <w:r>
        <w:rPr>
          <w:rFonts w:hint="eastAsia" w:ascii="仿宋_GB2312" w:hAnsi="仿宋_GB2312" w:eastAsia="仿宋_GB2312" w:cs="仿宋_GB2312"/>
          <w:sz w:val="32"/>
          <w:szCs w:val="32"/>
          <w:lang w:val="en-US" w:eastAsia="zh-CN"/>
        </w:rPr>
        <w:t>负责全县干部队伍建设的宏观管理，制订或参与制订干部队伍管理的重要政策、规定、制度。</w:t>
      </w:r>
    </w:p>
    <w:p w14:paraId="661B36D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en-US" w:eastAsia="zh-CN"/>
        </w:rPr>
        <w:t>（</w:t>
      </w:r>
      <w:r>
        <w:rPr>
          <w:rFonts w:hint="eastAsia" w:eastAsia="仿宋_GB2312" w:cs="Times New Roman"/>
          <w:sz w:val="32"/>
          <w:szCs w:val="32"/>
          <w:lang w:val="en-US" w:eastAsia="zh-CN"/>
        </w:rPr>
        <w:t>4</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zh-CN" w:eastAsia="zh-CN"/>
        </w:rPr>
        <w:t>抓实抓紧自身建设。突出从严从实，切实抓好思想政治建设、履职能力建设、制度机制建设、纪律作风建设，努力锻造讲政治、重公道、业务精、作风好的过硬组工队伍，在服务中心大局中彰显组织工作核心价值取向。</w:t>
      </w:r>
    </w:p>
    <w:p w14:paraId="336B377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lang w:val="zh-CN"/>
        </w:rPr>
      </w:pPr>
      <w:bookmarkStart w:id="83" w:name="_Toc14105"/>
      <w:r>
        <w:rPr>
          <w:rFonts w:hint="eastAsia" w:ascii="Times New Roman" w:hAnsi="Times New Roman" w:eastAsia="仿宋_GB2312" w:cs="Times New Roman"/>
          <w:b/>
          <w:bCs/>
          <w:sz w:val="32"/>
          <w:szCs w:val="32"/>
          <w:lang w:val="en-US" w:eastAsia="zh-CN"/>
        </w:rPr>
        <w:t>3、</w:t>
      </w:r>
      <w:r>
        <w:rPr>
          <w:rFonts w:hint="default" w:ascii="Times New Roman" w:hAnsi="Times New Roman" w:eastAsia="仿宋_GB2312" w:cs="Times New Roman"/>
          <w:b/>
          <w:bCs/>
          <w:sz w:val="32"/>
          <w:szCs w:val="32"/>
          <w:lang w:val="zh-CN"/>
        </w:rPr>
        <w:t>部门整体支出绩效目标</w:t>
      </w:r>
    </w:p>
    <w:p w14:paraId="39AEDA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en-US" w:eastAsia="zh-CN"/>
        </w:rPr>
        <w:t>今年以来，中共壤塘县委组织部</w:t>
      </w:r>
      <w:r>
        <w:rPr>
          <w:rFonts w:hint="eastAsia" w:eastAsia="仿宋_GB2312" w:cs="Times New Roman"/>
          <w:sz w:val="32"/>
          <w:szCs w:val="32"/>
          <w:lang w:val="en-US" w:eastAsia="zh-CN"/>
        </w:rPr>
        <w:t>在县委、县政府的坚强领导下，在部门的关心指导下，</w:t>
      </w:r>
      <w:r>
        <w:rPr>
          <w:rFonts w:hint="default" w:ascii="Times New Roman" w:hAnsi="Times New Roman" w:eastAsia="仿宋_GB2312" w:cs="Times New Roman"/>
          <w:sz w:val="32"/>
          <w:szCs w:val="32"/>
          <w:lang w:val="en-US" w:eastAsia="zh-CN"/>
        </w:rPr>
        <w:t>统筹推进各项工作高效稳步发展，较好地完成了全年各项工作。</w:t>
      </w:r>
    </w:p>
    <w:p w14:paraId="15A091D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楷体_GB2312" w:hAnsi="楷体_GB2312" w:eastAsia="楷体_GB2312" w:cs="楷体_GB2312"/>
          <w:b/>
          <w:bCs/>
          <w:sz w:val="32"/>
          <w:szCs w:val="32"/>
          <w:lang w:val="zh-CN"/>
        </w:rPr>
      </w:pPr>
      <w:bookmarkStart w:id="84" w:name="_Toc26914"/>
      <w:r>
        <w:rPr>
          <w:rFonts w:hint="eastAsia" w:ascii="楷体_GB2312" w:hAnsi="楷体_GB2312" w:eastAsia="楷体_GB2312" w:cs="楷体_GB2312"/>
          <w:b/>
          <w:bCs/>
          <w:sz w:val="32"/>
          <w:szCs w:val="32"/>
          <w:lang w:val="zh-CN"/>
        </w:rPr>
        <w:t>二、</w:t>
      </w:r>
      <w:r>
        <w:rPr>
          <w:rFonts w:hint="default" w:ascii="楷体_GB2312" w:hAnsi="楷体_GB2312" w:eastAsia="楷体_GB2312" w:cs="楷体_GB2312"/>
          <w:b/>
          <w:bCs/>
          <w:sz w:val="32"/>
          <w:szCs w:val="32"/>
          <w:lang w:val="zh-CN"/>
        </w:rPr>
        <w:t>部门财政资金收支情况</w:t>
      </w:r>
      <w:bookmarkEnd w:id="83"/>
      <w:bookmarkEnd w:id="84"/>
    </w:p>
    <w:p w14:paraId="528F37D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年本年收入合计</w:t>
      </w:r>
      <w:r>
        <w:rPr>
          <w:rFonts w:hint="default" w:ascii="Times New Roman" w:hAnsi="Times New Roman" w:eastAsia="仿宋_GB2312" w:cs="Times New Roman"/>
          <w:sz w:val="32"/>
          <w:szCs w:val="32"/>
          <w:lang w:val="en-US" w:eastAsia="zh-CN"/>
        </w:rPr>
        <w:t>1799.82</w:t>
      </w:r>
      <w:r>
        <w:rPr>
          <w:rFonts w:hint="default" w:ascii="Times New Roman" w:hAnsi="Times New Roman" w:eastAsia="仿宋_GB2312" w:cs="Times New Roman"/>
          <w:sz w:val="32"/>
          <w:szCs w:val="32"/>
        </w:rPr>
        <w:t>万元，其中：一般公共预算财政拨款收入</w:t>
      </w:r>
      <w:r>
        <w:rPr>
          <w:rFonts w:hint="default" w:ascii="Times New Roman" w:hAnsi="Times New Roman" w:eastAsia="仿宋_GB2312" w:cs="Times New Roman"/>
          <w:sz w:val="32"/>
          <w:szCs w:val="32"/>
          <w:lang w:val="en-US" w:eastAsia="zh-CN"/>
        </w:rPr>
        <w:t>1799.82</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%；政府性基金预算财政拨款收入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%；国有资本经营预算财政拨款收入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%；上级补助收入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%；事业收入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%；经营收入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%；附属单位上缴收入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%；其他收入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w:t>
      </w:r>
    </w:p>
    <w:p w14:paraId="0935D16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val="zh-CN"/>
        </w:rPr>
      </w:pPr>
      <w:bookmarkStart w:id="85" w:name="_Toc1872"/>
      <w:r>
        <w:rPr>
          <w:rFonts w:hint="eastAsia" w:ascii="仿宋_GB2312" w:hAnsi="仿宋_GB2312" w:eastAsia="仿宋_GB2312" w:cs="仿宋_GB2312"/>
          <w:b/>
          <w:bCs/>
          <w:sz w:val="32"/>
          <w:szCs w:val="32"/>
          <w:lang w:val="zh-CN"/>
        </w:rPr>
        <w:t>（</w:t>
      </w:r>
      <w:r>
        <w:rPr>
          <w:rFonts w:hint="eastAsia" w:ascii="仿宋_GB2312" w:hAnsi="仿宋_GB2312" w:eastAsia="仿宋_GB2312" w:cs="仿宋_GB2312"/>
          <w:b/>
          <w:bCs/>
          <w:sz w:val="32"/>
          <w:szCs w:val="32"/>
          <w:lang w:val="en-US" w:eastAsia="zh-CN"/>
        </w:rPr>
        <w:t>一</w:t>
      </w:r>
      <w:r>
        <w:rPr>
          <w:rFonts w:hint="eastAsia" w:ascii="仿宋_GB2312" w:hAnsi="仿宋_GB2312" w:eastAsia="仿宋_GB2312" w:cs="仿宋_GB2312"/>
          <w:b/>
          <w:bCs/>
          <w:sz w:val="32"/>
          <w:szCs w:val="32"/>
          <w:lang w:val="zh-CN"/>
        </w:rPr>
        <w:t>）部门总体收支情况</w:t>
      </w:r>
      <w:bookmarkEnd w:id="85"/>
    </w:p>
    <w:p w14:paraId="5923C36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bookmarkStart w:id="86" w:name="_Toc21698"/>
      <w:r>
        <w:rPr>
          <w:rFonts w:hint="default" w:ascii="Times New Roman" w:hAnsi="Times New Roman" w:eastAsia="仿宋_GB2312" w:cs="Times New Roman"/>
          <w:sz w:val="32"/>
          <w:szCs w:val="32"/>
          <w:lang w:val="en-US" w:eastAsia="zh-CN"/>
        </w:rPr>
        <w:t>1、部门总体收入情况</w:t>
      </w:r>
    </w:p>
    <w:p w14:paraId="5389EC0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2022年度收入总计1799.82万元，其中：一般公共预算财政拨款收入1799.82万元，占财政资金收入的100%。</w:t>
      </w:r>
    </w:p>
    <w:p w14:paraId="70976D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2、部门总体支出情况</w:t>
      </w:r>
    </w:p>
    <w:p w14:paraId="60217D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2022年年度支出合计1799.82万元，其中：一般公共预算财政拨款支出1799.82万元，占财政资金支出的100%。一般公共预算财政拨款支出中，基本支出719.11万元，占39.95%；项目支出1080.71万元，占60.05%。</w:t>
      </w:r>
    </w:p>
    <w:p w14:paraId="7F783A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3、部门总体结转结余情况</w:t>
      </w:r>
    </w:p>
    <w:p w14:paraId="2041DED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2022年度收入总计1799.82万元，其中：一般公共预算财政拨款收入1799.82万元，占财政资金收入的100%；年初结转和结余0万元，占0%。</w:t>
      </w:r>
    </w:p>
    <w:p w14:paraId="738DA68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lang w:val="zh-CN"/>
        </w:rPr>
      </w:pPr>
      <w:r>
        <w:rPr>
          <w:rFonts w:hint="default" w:ascii="Times New Roman" w:hAnsi="Times New Roman" w:eastAsia="仿宋_GB2312" w:cs="Times New Roman"/>
          <w:b/>
          <w:bCs/>
          <w:sz w:val="32"/>
          <w:szCs w:val="32"/>
          <w:lang w:val="zh-CN"/>
        </w:rPr>
        <w:t>（</w:t>
      </w:r>
      <w:r>
        <w:rPr>
          <w:rFonts w:hint="default" w:ascii="Times New Roman" w:hAnsi="Times New Roman" w:eastAsia="仿宋_GB2312" w:cs="Times New Roman"/>
          <w:b/>
          <w:bCs/>
          <w:sz w:val="32"/>
          <w:szCs w:val="32"/>
          <w:lang w:val="en-US" w:eastAsia="zh-CN"/>
        </w:rPr>
        <w:t>二</w:t>
      </w:r>
      <w:r>
        <w:rPr>
          <w:rFonts w:hint="default" w:ascii="Times New Roman" w:hAnsi="Times New Roman" w:eastAsia="仿宋_GB2312" w:cs="Times New Roman"/>
          <w:b/>
          <w:bCs/>
          <w:sz w:val="32"/>
          <w:szCs w:val="32"/>
          <w:lang w:val="zh-CN"/>
        </w:rPr>
        <w:t>）部门财政拨款收支情况</w:t>
      </w:r>
      <w:bookmarkEnd w:id="86"/>
    </w:p>
    <w:p w14:paraId="4D72FCD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bookmarkStart w:id="87" w:name="_Toc2925"/>
      <w:r>
        <w:rPr>
          <w:rFonts w:hint="default" w:ascii="Times New Roman" w:hAnsi="Times New Roman" w:eastAsia="仿宋_GB2312" w:cs="Times New Roman"/>
          <w:sz w:val="32"/>
          <w:szCs w:val="32"/>
          <w:lang w:val="en-US" w:eastAsia="zh-CN"/>
        </w:rPr>
        <w:t>1、部门财政拨款收入情况</w:t>
      </w:r>
    </w:p>
    <w:p w14:paraId="2EE3E4A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2022年度收入总计1799.82万元，其中：一般公共预算财政拨款收入1799.82万元，占财政资金收入的100%。</w:t>
      </w:r>
    </w:p>
    <w:p w14:paraId="0FD0C5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2、部门财政拨款支出情况</w:t>
      </w:r>
    </w:p>
    <w:p w14:paraId="22B1FBA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2022年年度支出合计1799.82万元，其中：一般公共预算财政拨款支出1799.82万元，占财政资金支出的100%。一般公共预算财政拨款支出中，基本支出719.11万元，占39.95%；项目支出1080.71万元，占60.05%。</w:t>
      </w:r>
    </w:p>
    <w:p w14:paraId="0695154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eastAsia" w:ascii="Times New Roman" w:hAnsi="Times New Roman" w:eastAsia="仿宋_GB2312" w:cs="Times New Roman"/>
          <w:b/>
          <w:bCs/>
          <w:sz w:val="32"/>
          <w:szCs w:val="32"/>
          <w:lang w:val="en-US" w:eastAsia="zh-CN"/>
        </w:rPr>
        <w:t>（三）</w:t>
      </w:r>
      <w:r>
        <w:rPr>
          <w:rFonts w:hint="default" w:ascii="Times New Roman" w:hAnsi="Times New Roman" w:eastAsia="仿宋_GB2312" w:cs="Times New Roman"/>
          <w:b/>
          <w:bCs/>
          <w:sz w:val="32"/>
          <w:szCs w:val="32"/>
          <w:lang w:val="en-US" w:eastAsia="zh-CN"/>
        </w:rPr>
        <w:t>部门财政拨款结转结余情况</w:t>
      </w:r>
    </w:p>
    <w:p w14:paraId="45535C4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en-US" w:eastAsia="zh-CN"/>
        </w:rPr>
        <w:t>2022年度收入总计1799.82万元，其中：一般公共预算财政拨款收入1799.82万元，占财政资金收入的100%；年初结转和结余0万元，占0%。</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年本年支出合计</w:t>
      </w:r>
      <w:r>
        <w:rPr>
          <w:rFonts w:hint="default" w:ascii="Times New Roman" w:hAnsi="Times New Roman" w:eastAsia="仿宋_GB2312" w:cs="Times New Roman"/>
          <w:sz w:val="32"/>
          <w:szCs w:val="32"/>
          <w:lang w:val="en-US" w:eastAsia="zh-CN"/>
        </w:rPr>
        <w:t>1799.82</w:t>
      </w:r>
      <w:r>
        <w:rPr>
          <w:rFonts w:hint="default" w:ascii="Times New Roman" w:hAnsi="Times New Roman" w:eastAsia="仿宋_GB2312" w:cs="Times New Roman"/>
          <w:sz w:val="32"/>
          <w:szCs w:val="32"/>
        </w:rPr>
        <w:t>万元，其中：基本支出</w:t>
      </w:r>
      <w:r>
        <w:rPr>
          <w:rFonts w:hint="default" w:ascii="Times New Roman" w:hAnsi="Times New Roman" w:eastAsia="仿宋_GB2312" w:cs="Times New Roman"/>
          <w:sz w:val="32"/>
          <w:szCs w:val="32"/>
          <w:lang w:val="en-US" w:eastAsia="zh-CN"/>
        </w:rPr>
        <w:t>719.11</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39.95</w:t>
      </w:r>
      <w:r>
        <w:rPr>
          <w:rFonts w:hint="default" w:ascii="Times New Roman" w:hAnsi="Times New Roman" w:eastAsia="仿宋_GB2312" w:cs="Times New Roman"/>
          <w:sz w:val="32"/>
          <w:szCs w:val="32"/>
        </w:rPr>
        <w:t>%；项目支出</w:t>
      </w:r>
      <w:r>
        <w:rPr>
          <w:rFonts w:hint="default" w:ascii="Times New Roman" w:hAnsi="Times New Roman" w:eastAsia="仿宋_GB2312" w:cs="Times New Roman"/>
          <w:sz w:val="32"/>
          <w:szCs w:val="32"/>
          <w:lang w:val="en-US" w:eastAsia="zh-CN"/>
        </w:rPr>
        <w:t>1080.71</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60.05</w:t>
      </w:r>
      <w:r>
        <w:rPr>
          <w:rFonts w:hint="default" w:ascii="Times New Roman" w:hAnsi="Times New Roman" w:eastAsia="仿宋_GB2312" w:cs="Times New Roman"/>
          <w:sz w:val="32"/>
          <w:szCs w:val="32"/>
        </w:rPr>
        <w:t>%；上缴上级支出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%；经营支出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%；对附属单位补助支出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w:t>
      </w:r>
      <w:bookmarkEnd w:id="87"/>
    </w:p>
    <w:p w14:paraId="26E5561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楷体_GB2312" w:hAnsi="楷体_GB2312" w:eastAsia="楷体_GB2312" w:cs="楷体_GB2312"/>
          <w:b/>
          <w:bCs/>
          <w:sz w:val="32"/>
          <w:szCs w:val="32"/>
          <w:lang w:val="zh-CN"/>
        </w:rPr>
      </w:pPr>
      <w:bookmarkStart w:id="88" w:name="_Toc14972"/>
      <w:bookmarkStart w:id="89" w:name="_Toc20334"/>
      <w:r>
        <w:rPr>
          <w:rFonts w:hint="default" w:ascii="楷体_GB2312" w:hAnsi="楷体_GB2312" w:eastAsia="楷体_GB2312" w:cs="楷体_GB2312"/>
          <w:b/>
          <w:bCs/>
          <w:sz w:val="32"/>
          <w:szCs w:val="32"/>
          <w:lang w:val="zh-CN"/>
        </w:rPr>
        <w:t>三、</w:t>
      </w:r>
      <w:bookmarkEnd w:id="88"/>
      <w:r>
        <w:rPr>
          <w:rFonts w:hint="default" w:ascii="楷体_GB2312" w:hAnsi="楷体_GB2312" w:eastAsia="楷体_GB2312" w:cs="楷体_GB2312"/>
          <w:b/>
          <w:bCs/>
          <w:sz w:val="32"/>
          <w:szCs w:val="32"/>
          <w:lang w:val="zh-CN"/>
        </w:rPr>
        <w:t>部门整体绩效分析</w:t>
      </w:r>
      <w:bookmarkEnd w:id="89"/>
    </w:p>
    <w:p w14:paraId="692E8CF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lang w:val="zh-CN"/>
        </w:rPr>
      </w:pPr>
      <w:r>
        <w:rPr>
          <w:rFonts w:hint="default" w:ascii="Times New Roman" w:hAnsi="Times New Roman" w:eastAsia="仿宋_GB2312" w:cs="Times New Roman"/>
          <w:b/>
          <w:bCs/>
          <w:sz w:val="32"/>
          <w:szCs w:val="32"/>
          <w:lang w:val="zh-CN"/>
        </w:rPr>
        <w:t>（一）部门预算项目绩效分析</w:t>
      </w:r>
    </w:p>
    <w:p w14:paraId="60D548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1、预算编制情况</w:t>
      </w:r>
    </w:p>
    <w:p w14:paraId="1264EEC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2022年财政下达中共壤塘县委组织部年初预算</w:t>
      </w:r>
      <w:r>
        <w:rPr>
          <w:rFonts w:hint="eastAsia" w:ascii="Times New Roman" w:hAnsi="Times New Roman" w:eastAsia="仿宋_GB2312" w:cs="Times New Roman"/>
          <w:sz w:val="32"/>
          <w:szCs w:val="32"/>
          <w:lang w:val="en-US" w:eastAsia="zh-CN"/>
        </w:rPr>
        <w:t>收入</w:t>
      </w:r>
      <w:r>
        <w:rPr>
          <w:rFonts w:hint="default" w:ascii="Times New Roman" w:hAnsi="Times New Roman" w:eastAsia="仿宋_GB2312" w:cs="Times New Roman"/>
          <w:sz w:val="32"/>
          <w:szCs w:val="32"/>
          <w:lang w:val="en-US" w:eastAsia="zh-CN"/>
        </w:rPr>
        <w:t>546.74万元，执行期间根据工作安排和开展情况追加收入1253.08万元；2022全年实际收入共计1799.82万元，年末无结转结余，预算编制准确率较高。严格按照预算编制方案科学合理编制本单位预算，提前做好情况摸底、数据收集、填报绩效目标、细化专项预算，按照人员经费逐人核定编制，公用经费按定额编制；根据“总量控制、计划管理”的要求从严控制机关经费，严格编制“三公</w:t>
      </w:r>
      <w:r>
        <w:rPr>
          <w:rFonts w:hint="eastAsia"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经费预算，压缩</w:t>
      </w:r>
      <w:r>
        <w:rPr>
          <w:rFonts w:hint="eastAsia" w:ascii="Times New Roman" w:hAnsi="Times New Roman" w:eastAsia="仿宋_GB2312" w:cs="Times New Roman"/>
          <w:sz w:val="32"/>
          <w:szCs w:val="32"/>
          <w:lang w:val="en-US" w:eastAsia="zh-CN"/>
        </w:rPr>
        <w:t>公务</w:t>
      </w:r>
      <w:r>
        <w:rPr>
          <w:rFonts w:hint="default" w:ascii="Times New Roman" w:hAnsi="Times New Roman" w:eastAsia="仿宋_GB2312" w:cs="Times New Roman"/>
          <w:sz w:val="32"/>
          <w:szCs w:val="32"/>
          <w:lang w:val="en-US" w:eastAsia="zh-CN"/>
        </w:rPr>
        <w:t>费，科学编制项目支出，编制部门预算项目绩效目标，按时完成预算编制报送工作。</w:t>
      </w:r>
    </w:p>
    <w:p w14:paraId="0A8D40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2、执行进度情况</w:t>
      </w:r>
    </w:p>
    <w:p w14:paraId="769238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2022年财政下达中共壤塘县委组织部年初预算收入546.74万元，执行期中追加收入1253.08万元本年度收入合计1799.82万。年末无结转结余，进度符合标准达到预期目标。</w:t>
      </w:r>
    </w:p>
    <w:p w14:paraId="36B8B7F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3、预算完成情况</w:t>
      </w:r>
    </w:p>
    <w:p w14:paraId="045279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2022年财政下达中共壤塘县委组织部年初预算收入546.74万元，执行期中追加收入1253.08万元，本年度收入合计1799.82万。年末无结转结余，单位执行进度为100%，达到预期目标。   </w:t>
      </w:r>
    </w:p>
    <w:p w14:paraId="3E69922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4、行政成本</w:t>
      </w:r>
    </w:p>
    <w:p w14:paraId="7D44F3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三公”经费控制。中共壤塘县委组织部2022年“三公”经费预算32.7万元，决算支出32.7万元。其中公务用车购置及运行维护费预算32.46万元，决算支出32.46万元（其中公务用车运行维护费32.46万元），公务接待费年初预算数0.3万元，决算数0.3万元，未发生因公出国（境）费，2022年“三公”经费决算均未超过预算。</w:t>
      </w:r>
    </w:p>
    <w:p w14:paraId="78F5255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5、政府采购</w:t>
      </w:r>
    </w:p>
    <w:p w14:paraId="7BE8076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采购规范性。中共壤塘县委组织部2022年度政府采购支出88.98万元，其中货物支出0万元，政府采购工程支出0万元，政府采购服务支出88.98万元。</w:t>
      </w:r>
    </w:p>
    <w:p w14:paraId="6320AF4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6、资产管理  </w:t>
      </w:r>
    </w:p>
    <w:p w14:paraId="24AF8E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固定资产在用率。2022年12月31日，中共壤塘县委组织部行政单位资产管理系统资产总计436.28万元，在用的固定资产总计436.28万元，固定资产在用率达100%</w:t>
      </w:r>
    </w:p>
    <w:p w14:paraId="779819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7、信息公开</w:t>
      </w:r>
    </w:p>
    <w:p w14:paraId="27125E9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信息公开。中共壤塘县委组织部已经按财政要求及时完成预算、决算、绩效等信息公开工作。</w:t>
      </w:r>
    </w:p>
    <w:p w14:paraId="67D3EE4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lang w:val="zh-CN"/>
        </w:rPr>
      </w:pPr>
      <w:r>
        <w:rPr>
          <w:rFonts w:hint="default" w:ascii="Times New Roman" w:hAnsi="Times New Roman" w:eastAsia="仿宋_GB2312" w:cs="Times New Roman"/>
          <w:b/>
          <w:bCs/>
          <w:sz w:val="32"/>
          <w:szCs w:val="32"/>
          <w:lang w:val="zh-CN"/>
        </w:rPr>
        <w:t>（</w:t>
      </w:r>
      <w:r>
        <w:rPr>
          <w:rFonts w:hint="default" w:ascii="Times New Roman" w:hAnsi="Times New Roman" w:eastAsia="仿宋_GB2312" w:cs="Times New Roman"/>
          <w:b/>
          <w:bCs/>
          <w:sz w:val="32"/>
          <w:szCs w:val="32"/>
          <w:lang w:val="en-US" w:eastAsia="zh-CN"/>
        </w:rPr>
        <w:t>二</w:t>
      </w:r>
      <w:r>
        <w:rPr>
          <w:rFonts w:hint="default" w:ascii="Times New Roman" w:hAnsi="Times New Roman" w:eastAsia="仿宋_GB2312" w:cs="Times New Roman"/>
          <w:b/>
          <w:bCs/>
          <w:sz w:val="32"/>
          <w:szCs w:val="32"/>
          <w:lang w:val="zh-CN"/>
        </w:rPr>
        <w:t>）部门整体履职绩效分析</w:t>
      </w:r>
    </w:p>
    <w:p w14:paraId="528938F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根据预算绩效管理要求，本单位在年初预算编制阶段，开展了预算事前绩效评估，对项目编制了绩效目标，预算执行过程中，开展绩效监控，年终执行完毕后，项目开展了绩效目标完成情况自评。</w:t>
      </w:r>
    </w:p>
    <w:p w14:paraId="0D01E0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eastAsia="zh-CN"/>
        </w:rPr>
        <w:t>本部门按要求对2022年部门整体支出开展绩效自评，从评价情况来看2022年部门整体支出情况良好，从预算到执行和收入、支出管理均严格按照相关要求进行，全年收支平衡，有效保障了单位正常运转，圆满完成了单位目标任务</w:t>
      </w:r>
    </w:p>
    <w:p w14:paraId="3ADE4E7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lang w:val="zh-CN"/>
        </w:rPr>
      </w:pPr>
      <w:r>
        <w:rPr>
          <w:rFonts w:hint="default" w:ascii="Times New Roman" w:hAnsi="Times New Roman" w:eastAsia="仿宋_GB2312" w:cs="Times New Roman"/>
          <w:b/>
          <w:bCs/>
          <w:sz w:val="32"/>
          <w:szCs w:val="32"/>
          <w:lang w:val="zh-CN"/>
        </w:rPr>
        <w:t>（三）结果应用情况</w:t>
      </w:r>
    </w:p>
    <w:p w14:paraId="41DEFDE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zh-CN"/>
        </w:rPr>
        <w:t>本部门按要求对2022年部门整体支出情况开展自评，从评价结果来看，各项均如期完成了年初预算目标，如期完成预算目标，并且按财政局相关要求，在预决算批复后二十日内向社会公开了本单位预决算（含所有财政资金安排的“三公”经费、机关运行经费的安排、使用情况等）。按要求公开了部门整体支出绩效自评报告及其他按要求应公开的绩效信息</w:t>
      </w:r>
      <w:r>
        <w:rPr>
          <w:rFonts w:hint="default" w:ascii="Times New Roman" w:hAnsi="Times New Roman" w:eastAsia="仿宋_GB2312" w:cs="Times New Roman"/>
          <w:sz w:val="32"/>
          <w:szCs w:val="32"/>
        </w:rPr>
        <w:t>。</w:t>
      </w:r>
    </w:p>
    <w:p w14:paraId="668FEFA2">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b/>
          <w:bCs/>
          <w:sz w:val="32"/>
          <w:szCs w:val="32"/>
          <w:lang w:val="zh-CN"/>
        </w:rPr>
      </w:pPr>
      <w:r>
        <w:rPr>
          <w:rFonts w:hint="default" w:ascii="Times New Roman" w:hAnsi="Times New Roman" w:eastAsia="仿宋_GB2312" w:cs="Times New Roman"/>
          <w:b/>
          <w:bCs/>
          <w:sz w:val="32"/>
          <w:szCs w:val="32"/>
          <w:lang w:val="zh-CN"/>
        </w:rPr>
        <w:t>（</w:t>
      </w:r>
      <w:r>
        <w:rPr>
          <w:rFonts w:hint="default" w:ascii="Times New Roman" w:hAnsi="Times New Roman" w:eastAsia="仿宋_GB2312" w:cs="Times New Roman"/>
          <w:b/>
          <w:bCs/>
          <w:sz w:val="32"/>
          <w:szCs w:val="32"/>
          <w:lang w:val="en-US" w:eastAsia="zh-CN"/>
        </w:rPr>
        <w:t>四</w:t>
      </w:r>
      <w:r>
        <w:rPr>
          <w:rFonts w:hint="default" w:ascii="Times New Roman" w:hAnsi="Times New Roman" w:eastAsia="仿宋_GB2312" w:cs="Times New Roman"/>
          <w:b/>
          <w:bCs/>
          <w:sz w:val="32"/>
          <w:szCs w:val="32"/>
          <w:lang w:val="zh-CN"/>
        </w:rPr>
        <w:t>）自评质量</w:t>
      </w:r>
    </w:p>
    <w:p w14:paraId="14E3204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zh-CN"/>
        </w:rPr>
        <w:t xml:space="preserve"> </w:t>
      </w:r>
      <w:r>
        <w:rPr>
          <w:rFonts w:hint="default" w:ascii="Times New Roman" w:hAnsi="Times New Roman" w:eastAsia="仿宋_GB2312" w:cs="Times New Roman"/>
          <w:sz w:val="32"/>
          <w:szCs w:val="32"/>
          <w:lang w:val="en-US" w:eastAsia="zh-CN"/>
        </w:rPr>
        <w:t>本部门按要求对2022年部门整体支出开展绩效自评，从评价情况来看，评价准确率已达标。</w:t>
      </w:r>
    </w:p>
    <w:p w14:paraId="7582DDA9">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楷体_GB2312" w:hAnsi="楷体_GB2312" w:eastAsia="楷体_GB2312" w:cs="楷体_GB2312"/>
          <w:b/>
          <w:bCs/>
          <w:sz w:val="32"/>
          <w:szCs w:val="32"/>
          <w:lang w:val="zh-CN"/>
        </w:rPr>
      </w:pPr>
      <w:bookmarkStart w:id="90" w:name="_Toc21469"/>
      <w:bookmarkStart w:id="91" w:name="_Toc26003"/>
      <w:r>
        <w:rPr>
          <w:rFonts w:hint="default" w:ascii="楷体_GB2312" w:hAnsi="楷体_GB2312" w:eastAsia="楷体_GB2312" w:cs="楷体_GB2312"/>
          <w:b/>
          <w:bCs/>
          <w:sz w:val="32"/>
          <w:szCs w:val="32"/>
          <w:lang w:val="zh-CN"/>
        </w:rPr>
        <w:t>四、评价结论及建议</w:t>
      </w:r>
      <w:bookmarkEnd w:id="90"/>
      <w:bookmarkEnd w:id="91"/>
    </w:p>
    <w:p w14:paraId="55CA89E9">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b/>
          <w:bCs/>
          <w:sz w:val="32"/>
          <w:szCs w:val="32"/>
          <w:lang w:val="zh-CN"/>
        </w:rPr>
        <w:t>（一）评价结论</w:t>
      </w:r>
    </w:p>
    <w:p w14:paraId="0E91026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2022年部门整体支出开展绩效自评，从评价情况来看，评价准确率已达标，部门整体支出绩效情况如下：</w:t>
      </w:r>
    </w:p>
    <w:p w14:paraId="61DC95B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1、本年预算配置控制较好。财政供养人员控制在预算编制以内，“三公”经费支出也控制在预算金额之内。</w:t>
      </w:r>
    </w:p>
    <w:p w14:paraId="6EB98F1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en-US" w:eastAsia="zh-CN"/>
        </w:rPr>
        <w:t>2、预算执行方面。支出总额控制在预算总额以内，除专项预算的追加和政策性工资福利预算的追加外，本年部门预算未进行预算相关事项的调整；“三公”经费总体控制是很理想，基本与预算持平</w:t>
      </w:r>
      <w:r>
        <w:rPr>
          <w:rFonts w:hint="default" w:ascii="Times New Roman" w:hAnsi="Times New Roman" w:eastAsia="仿宋_GB2312" w:cs="Times New Roman"/>
          <w:sz w:val="32"/>
          <w:szCs w:val="32"/>
        </w:rPr>
        <w:t>。</w:t>
      </w:r>
    </w:p>
    <w:p w14:paraId="2CDA0C5A">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b/>
          <w:bCs/>
          <w:sz w:val="32"/>
          <w:szCs w:val="32"/>
          <w:lang w:val="zh-CN"/>
        </w:rPr>
      </w:pPr>
      <w:r>
        <w:rPr>
          <w:rFonts w:hint="default" w:ascii="Times New Roman" w:hAnsi="Times New Roman" w:eastAsia="仿宋_GB2312" w:cs="Times New Roman"/>
          <w:b/>
          <w:bCs/>
          <w:sz w:val="32"/>
          <w:szCs w:val="32"/>
          <w:lang w:val="zh-CN"/>
        </w:rPr>
        <w:t>（</w:t>
      </w:r>
      <w:r>
        <w:rPr>
          <w:rFonts w:hint="default" w:ascii="Times New Roman" w:hAnsi="Times New Roman" w:eastAsia="仿宋_GB2312" w:cs="Times New Roman"/>
          <w:b/>
          <w:bCs/>
          <w:sz w:val="32"/>
          <w:szCs w:val="32"/>
          <w:lang w:val="en-US" w:eastAsia="zh-CN"/>
        </w:rPr>
        <w:t>二</w:t>
      </w:r>
      <w:r>
        <w:rPr>
          <w:rFonts w:hint="default" w:ascii="Times New Roman" w:hAnsi="Times New Roman" w:eastAsia="仿宋_GB2312" w:cs="Times New Roman"/>
          <w:b/>
          <w:bCs/>
          <w:sz w:val="32"/>
          <w:szCs w:val="32"/>
          <w:lang w:val="zh-CN"/>
        </w:rPr>
        <w:t>）存在问题</w:t>
      </w:r>
    </w:p>
    <w:p w14:paraId="797DB68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无</w:t>
      </w:r>
    </w:p>
    <w:p w14:paraId="3BE7EA2E">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_GB2312" w:cs="Times New Roman"/>
          <w:b/>
          <w:bCs/>
          <w:sz w:val="32"/>
          <w:szCs w:val="32"/>
          <w:lang w:val="zh-CN"/>
        </w:rPr>
      </w:pPr>
      <w:r>
        <w:rPr>
          <w:rFonts w:hint="default" w:ascii="Times New Roman" w:hAnsi="Times New Roman" w:eastAsia="仿宋_GB2312" w:cs="Times New Roman"/>
          <w:b/>
          <w:bCs/>
          <w:sz w:val="32"/>
          <w:szCs w:val="32"/>
          <w:lang w:val="zh-CN"/>
        </w:rPr>
        <w:t>（</w:t>
      </w:r>
      <w:r>
        <w:rPr>
          <w:rFonts w:hint="default" w:ascii="Times New Roman" w:hAnsi="Times New Roman" w:eastAsia="仿宋_GB2312" w:cs="Times New Roman"/>
          <w:b/>
          <w:bCs/>
          <w:sz w:val="32"/>
          <w:szCs w:val="32"/>
          <w:lang w:val="en-US" w:eastAsia="zh-CN"/>
        </w:rPr>
        <w:t>三</w:t>
      </w:r>
      <w:r>
        <w:rPr>
          <w:rFonts w:hint="default" w:ascii="Times New Roman" w:hAnsi="Times New Roman" w:eastAsia="仿宋_GB2312" w:cs="Times New Roman"/>
          <w:b/>
          <w:bCs/>
          <w:sz w:val="32"/>
          <w:szCs w:val="32"/>
          <w:lang w:val="zh-CN"/>
        </w:rPr>
        <w:t>）改进建议</w:t>
      </w:r>
    </w:p>
    <w:p w14:paraId="24F2DA1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zh-CN"/>
        </w:rPr>
        <w:t>建立健全财务管理制度及内部控制制度，严格政府财务审核制度，在费用报账支付时，按照预算规定及相关文件要求的费用项目和用途进行审核支付等工作，杜绝超支现象的发生。</w:t>
      </w:r>
    </w:p>
    <w:p w14:paraId="2C6FD39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 xml:space="preserve"> 加强财务管理，严格财务审核。在费用报账支付时，按照预算规定的费用项目和用途进行资金使用审核、列报支付、财务核算，杜绝超支现象的发生。</w:t>
      </w:r>
    </w:p>
    <w:p w14:paraId="22EA9D3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进一步</w:t>
      </w:r>
      <w:r>
        <w:rPr>
          <w:rFonts w:hint="default" w:ascii="Times New Roman" w:hAnsi="Times New Roman" w:eastAsia="仿宋_GB2312" w:cs="Times New Roman"/>
          <w:sz w:val="32"/>
          <w:szCs w:val="32"/>
          <w:lang w:val="zh-CN"/>
        </w:rPr>
        <w:t>规范财务管理的细节，提高财务管理水平。加强业务培训，提高工作效率。</w:t>
      </w:r>
    </w:p>
    <w:p w14:paraId="3B2E38DB">
      <w:pPr>
        <w:pStyle w:val="8"/>
        <w:outlineLvl w:val="9"/>
        <w:rPr>
          <w:rFonts w:hint="default" w:ascii="Times New Roman" w:hAnsi="Times New Roman" w:eastAsia="仿宋_GB2312" w:cs="Times New Roman"/>
          <w:sz w:val="32"/>
          <w:szCs w:val="32"/>
          <w:lang w:val="zh-CN"/>
        </w:rPr>
      </w:pPr>
    </w:p>
    <w:p w14:paraId="6D9C8924">
      <w:pPr>
        <w:pStyle w:val="8"/>
        <w:outlineLvl w:val="9"/>
        <w:rPr>
          <w:rFonts w:hint="default" w:ascii="Times New Roman" w:hAnsi="Times New Roman" w:eastAsia="仿宋_GB2312" w:cs="Times New Roman"/>
          <w:sz w:val="32"/>
          <w:szCs w:val="32"/>
          <w:lang w:val="zh-CN"/>
        </w:rPr>
      </w:pPr>
    </w:p>
    <w:p w14:paraId="7EAC607D">
      <w:pPr>
        <w:pStyle w:val="8"/>
        <w:outlineLvl w:val="9"/>
        <w:rPr>
          <w:rFonts w:hint="default" w:ascii="Times New Roman" w:hAnsi="Times New Roman" w:eastAsia="仿宋_GB2312" w:cs="Times New Roman"/>
          <w:sz w:val="32"/>
          <w:szCs w:val="32"/>
          <w:lang w:val="zh-CN"/>
        </w:rPr>
      </w:pPr>
    </w:p>
    <w:p w14:paraId="5E16D91C">
      <w:pPr>
        <w:pStyle w:val="8"/>
        <w:outlineLvl w:val="9"/>
        <w:rPr>
          <w:rFonts w:hint="default" w:ascii="Times New Roman" w:hAnsi="Times New Roman" w:eastAsia="仿宋_GB2312" w:cs="Times New Roman"/>
          <w:sz w:val="32"/>
          <w:szCs w:val="32"/>
          <w:lang w:val="zh-CN"/>
        </w:rPr>
      </w:pPr>
    </w:p>
    <w:p w14:paraId="193B2CAF">
      <w:pPr>
        <w:pStyle w:val="8"/>
        <w:outlineLvl w:val="9"/>
        <w:rPr>
          <w:rFonts w:hint="default" w:ascii="Times New Roman" w:hAnsi="Times New Roman" w:eastAsia="仿宋_GB2312" w:cs="Times New Roman"/>
          <w:sz w:val="32"/>
          <w:szCs w:val="32"/>
          <w:lang w:val="zh-CN"/>
        </w:rPr>
      </w:pPr>
    </w:p>
    <w:p w14:paraId="222DD0E7">
      <w:pPr>
        <w:pStyle w:val="8"/>
        <w:outlineLvl w:val="9"/>
        <w:rPr>
          <w:rFonts w:hint="default" w:ascii="Times New Roman" w:hAnsi="Times New Roman" w:eastAsia="仿宋_GB2312" w:cs="Times New Roman"/>
          <w:sz w:val="32"/>
          <w:szCs w:val="32"/>
          <w:lang w:val="zh-CN"/>
        </w:rPr>
      </w:pPr>
    </w:p>
    <w:p w14:paraId="7346F19C">
      <w:pPr>
        <w:pStyle w:val="8"/>
        <w:outlineLvl w:val="9"/>
        <w:rPr>
          <w:rFonts w:hint="default" w:ascii="Times New Roman" w:hAnsi="Times New Roman" w:eastAsia="仿宋_GB2312" w:cs="Times New Roman"/>
          <w:sz w:val="32"/>
          <w:szCs w:val="32"/>
          <w:lang w:val="zh-CN"/>
        </w:rPr>
      </w:pPr>
    </w:p>
    <w:p w14:paraId="0C39E0A6">
      <w:pPr>
        <w:pStyle w:val="8"/>
        <w:outlineLvl w:val="9"/>
        <w:rPr>
          <w:rFonts w:hint="default" w:ascii="Times New Roman" w:hAnsi="Times New Roman" w:eastAsia="仿宋_GB2312" w:cs="Times New Roman"/>
          <w:sz w:val="32"/>
          <w:szCs w:val="32"/>
          <w:lang w:val="zh-CN"/>
        </w:rPr>
      </w:pPr>
    </w:p>
    <w:p w14:paraId="6EA2915E">
      <w:pPr>
        <w:pStyle w:val="8"/>
        <w:outlineLvl w:val="9"/>
        <w:rPr>
          <w:rFonts w:hint="default" w:ascii="Times New Roman" w:hAnsi="Times New Roman" w:eastAsia="仿宋_GB2312" w:cs="Times New Roman"/>
          <w:sz w:val="32"/>
          <w:szCs w:val="32"/>
          <w:lang w:val="zh-CN"/>
        </w:rPr>
      </w:pPr>
    </w:p>
    <w:p w14:paraId="74FE5DA3">
      <w:pPr>
        <w:pStyle w:val="8"/>
        <w:outlineLvl w:val="9"/>
        <w:rPr>
          <w:rFonts w:hint="default" w:ascii="Times New Roman" w:hAnsi="Times New Roman" w:eastAsia="仿宋_GB2312" w:cs="Times New Roman"/>
          <w:sz w:val="32"/>
          <w:szCs w:val="32"/>
          <w:lang w:val="zh-CN"/>
        </w:rPr>
      </w:pPr>
    </w:p>
    <w:p w14:paraId="69CC6846">
      <w:pPr>
        <w:pStyle w:val="8"/>
        <w:outlineLvl w:val="9"/>
        <w:rPr>
          <w:rFonts w:hint="default" w:ascii="Times New Roman" w:hAnsi="Times New Roman" w:eastAsia="仿宋_GB2312" w:cs="Times New Roman"/>
          <w:sz w:val="32"/>
          <w:szCs w:val="32"/>
          <w:lang w:val="zh-CN"/>
        </w:rPr>
      </w:pPr>
    </w:p>
    <w:p w14:paraId="505ABA6B">
      <w:pPr>
        <w:pStyle w:val="8"/>
        <w:outlineLvl w:val="9"/>
        <w:rPr>
          <w:rFonts w:hint="default" w:ascii="Times New Roman" w:hAnsi="Times New Roman" w:eastAsia="仿宋_GB2312" w:cs="Times New Roman"/>
          <w:sz w:val="32"/>
          <w:szCs w:val="32"/>
          <w:lang w:val="zh-CN"/>
        </w:rPr>
      </w:pPr>
    </w:p>
    <w:p w14:paraId="7D14C635">
      <w:pPr>
        <w:pStyle w:val="8"/>
        <w:outlineLvl w:val="9"/>
        <w:rPr>
          <w:rFonts w:hint="default" w:ascii="Times New Roman" w:hAnsi="Times New Roman" w:eastAsia="仿宋_GB2312" w:cs="Times New Roman"/>
          <w:sz w:val="32"/>
          <w:szCs w:val="32"/>
          <w:lang w:val="zh-CN"/>
        </w:rPr>
      </w:pPr>
    </w:p>
    <w:p w14:paraId="54FDB53D">
      <w:pPr>
        <w:pStyle w:val="8"/>
        <w:outlineLvl w:val="9"/>
        <w:rPr>
          <w:rFonts w:hint="default" w:ascii="Times New Roman" w:hAnsi="Times New Roman" w:eastAsia="仿宋_GB2312" w:cs="Times New Roman"/>
          <w:sz w:val="32"/>
          <w:szCs w:val="32"/>
          <w:lang w:val="zh-CN"/>
        </w:rPr>
      </w:pPr>
    </w:p>
    <w:p w14:paraId="2434AB61">
      <w:pPr>
        <w:pStyle w:val="8"/>
        <w:outlineLvl w:val="9"/>
        <w:rPr>
          <w:rFonts w:hint="default" w:ascii="Times New Roman" w:hAnsi="Times New Roman" w:eastAsia="仿宋_GB2312" w:cs="Times New Roman"/>
          <w:sz w:val="32"/>
          <w:szCs w:val="32"/>
          <w:lang w:val="zh-CN"/>
        </w:rPr>
      </w:pPr>
    </w:p>
    <w:p w14:paraId="3BD05716">
      <w:pPr>
        <w:pStyle w:val="8"/>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sz w:val="32"/>
          <w:szCs w:val="32"/>
          <w:lang w:val="zh-CN"/>
        </w:rPr>
        <w:t xml:space="preserve"> </w:t>
      </w:r>
      <w:r>
        <w:rPr>
          <w:rFonts w:hint="default" w:ascii="Times New Roman" w:hAnsi="Times New Roman" w:eastAsia="仿宋_GB2312" w:cs="Times New Roman"/>
          <w:color w:val="auto"/>
          <w:kern w:val="0"/>
          <w:sz w:val="32"/>
          <w:szCs w:val="32"/>
          <w:highlight w:val="none"/>
          <w:shd w:val="clear" w:color="auto" w:fill="FFFFFF"/>
          <w:lang w:val="zh-CN"/>
        </w:rPr>
        <w:t>附件</w:t>
      </w:r>
      <w:r>
        <w:rPr>
          <w:rFonts w:hint="default" w:ascii="Times New Roman" w:hAnsi="Times New Roman" w:eastAsia="仿宋_GB2312" w:cs="Times New Roman"/>
          <w:color w:val="auto"/>
          <w:kern w:val="0"/>
          <w:sz w:val="32"/>
          <w:szCs w:val="32"/>
          <w:highlight w:val="none"/>
          <w:shd w:val="clear" w:color="auto" w:fill="FFFFFF"/>
          <w:lang w:val="en-US" w:eastAsia="zh-CN"/>
        </w:rPr>
        <w:t>2</w:t>
      </w:r>
    </w:p>
    <w:p w14:paraId="4869CFCF">
      <w:pPr>
        <w:keepNext w:val="0"/>
        <w:keepLines w:val="0"/>
        <w:pageBreakBefore w:val="0"/>
        <w:widowControl/>
        <w:kinsoku/>
        <w:wordWrap/>
        <w:overflowPunct/>
        <w:topLinePunct w:val="0"/>
        <w:autoSpaceDE/>
        <w:autoSpaceDN/>
        <w:bidi w:val="0"/>
        <w:adjustRightInd w:val="0"/>
        <w:snapToGrid w:val="0"/>
        <w:spacing w:line="700" w:lineRule="exact"/>
        <w:contextualSpacing/>
        <w:jc w:val="center"/>
        <w:textAlignment w:val="auto"/>
        <w:outlineLvl w:val="1"/>
        <w:rPr>
          <w:rFonts w:hint="default" w:ascii="Times New Roman" w:hAnsi="Times New Roman" w:eastAsia="方正小标宋_GBK" w:cs="Times New Roman"/>
          <w:b w:val="0"/>
          <w:bCs w:val="0"/>
          <w:kern w:val="0"/>
          <w:sz w:val="44"/>
          <w:szCs w:val="44"/>
          <w:shd w:val="clear" w:color="auto" w:fill="FFFFFF"/>
          <w:lang w:val="en-US" w:eastAsia="zh-CN"/>
        </w:rPr>
      </w:pPr>
      <w:r>
        <w:rPr>
          <w:rFonts w:hint="default" w:ascii="Times New Roman" w:hAnsi="Times New Roman" w:eastAsia="方正小标宋_GBK" w:cs="Times New Roman"/>
          <w:b w:val="0"/>
          <w:bCs w:val="0"/>
          <w:kern w:val="0"/>
          <w:sz w:val="44"/>
          <w:szCs w:val="44"/>
          <w:shd w:val="clear" w:color="auto" w:fill="FFFFFF"/>
          <w:lang w:val="en-US" w:eastAsia="zh-CN"/>
        </w:rPr>
        <w:t>中共壤塘县委组织部</w:t>
      </w:r>
    </w:p>
    <w:p w14:paraId="32ED74B0">
      <w:pPr>
        <w:keepNext w:val="0"/>
        <w:keepLines w:val="0"/>
        <w:pageBreakBefore w:val="0"/>
        <w:widowControl/>
        <w:kinsoku/>
        <w:wordWrap/>
        <w:overflowPunct/>
        <w:topLinePunct w:val="0"/>
        <w:autoSpaceDE/>
        <w:autoSpaceDN/>
        <w:bidi w:val="0"/>
        <w:adjustRightInd w:val="0"/>
        <w:snapToGrid w:val="0"/>
        <w:spacing w:line="700" w:lineRule="exact"/>
        <w:contextualSpacing/>
        <w:jc w:val="center"/>
        <w:textAlignment w:val="auto"/>
        <w:outlineLvl w:val="1"/>
        <w:rPr>
          <w:rFonts w:hint="default" w:ascii="Times New Roman" w:hAnsi="Times New Roman" w:eastAsia="方正小标宋_GBK" w:cs="Times New Roman"/>
          <w:b w:val="0"/>
          <w:bCs w:val="0"/>
          <w:kern w:val="0"/>
          <w:sz w:val="44"/>
          <w:szCs w:val="44"/>
          <w:shd w:val="clear" w:color="auto" w:fill="FFFFFF"/>
          <w:lang w:val="en-US" w:eastAsia="zh-CN"/>
        </w:rPr>
      </w:pPr>
      <w:r>
        <w:rPr>
          <w:rFonts w:hint="default" w:ascii="Times New Roman" w:hAnsi="Times New Roman" w:eastAsia="方正小标宋_GBK" w:cs="Times New Roman"/>
          <w:b w:val="0"/>
          <w:bCs w:val="0"/>
          <w:kern w:val="0"/>
          <w:sz w:val="44"/>
          <w:szCs w:val="44"/>
          <w:shd w:val="clear" w:color="auto" w:fill="FFFFFF"/>
          <w:lang w:val="en-US" w:eastAsia="zh-CN"/>
        </w:rPr>
        <w:t>壤塘县干部人才培训项目绩效自评报告</w:t>
      </w:r>
    </w:p>
    <w:p w14:paraId="5D5107B0">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黑体" w:cs="Times New Roman"/>
          <w:sz w:val="32"/>
          <w:szCs w:val="32"/>
          <w:lang w:val="en-US" w:eastAsia="zh-CN"/>
        </w:rPr>
      </w:pPr>
    </w:p>
    <w:p w14:paraId="1029C94F">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黑体" w:cs="Times New Roman"/>
          <w:sz w:val="32"/>
          <w:szCs w:val="32"/>
          <w:lang w:val="zh-CN" w:eastAsia="zh-CN"/>
        </w:rPr>
      </w:pPr>
      <w:r>
        <w:rPr>
          <w:rFonts w:hint="default" w:ascii="Times New Roman" w:hAnsi="Times New Roman" w:eastAsia="黑体" w:cs="Times New Roman"/>
          <w:sz w:val="32"/>
          <w:szCs w:val="32"/>
          <w:lang w:val="en-US" w:eastAsia="zh-CN"/>
        </w:rPr>
        <w:t>一、</w:t>
      </w:r>
      <w:r>
        <w:rPr>
          <w:rFonts w:hint="default" w:ascii="Times New Roman" w:hAnsi="Times New Roman" w:eastAsia="黑体" w:cs="Times New Roman"/>
          <w:sz w:val="32"/>
          <w:szCs w:val="32"/>
          <w:lang w:val="zh-CN" w:eastAsia="zh-CN"/>
        </w:rPr>
        <w:t>项目概况</w:t>
      </w:r>
    </w:p>
    <w:p w14:paraId="501CFBC8">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楷体_GB2312" w:cs="Times New Roman"/>
          <w:b/>
          <w:bCs/>
          <w:sz w:val="32"/>
          <w:szCs w:val="32"/>
          <w:lang w:val="zh-CN"/>
        </w:rPr>
      </w:pPr>
      <w:r>
        <w:rPr>
          <w:rFonts w:hint="default" w:ascii="Times New Roman" w:hAnsi="Times New Roman" w:eastAsia="楷体_GB2312" w:cs="Times New Roman"/>
          <w:b/>
          <w:bCs/>
          <w:sz w:val="32"/>
          <w:szCs w:val="32"/>
          <w:lang w:val="zh-CN"/>
        </w:rPr>
        <w:t>（一）项目资金申报及批复情况</w:t>
      </w:r>
    </w:p>
    <w:p w14:paraId="0D06EACE">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en-US" w:eastAsia="zh-CN"/>
        </w:rPr>
        <w:t>2022年全年下达绵阳援建资金（壤塘县干部人才培训项目）100万元，主要用于县内党政干部、专业技术人才培育，乡镇和村干部培养培训。</w:t>
      </w:r>
    </w:p>
    <w:p w14:paraId="5ACB5E06">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楷体_GB2312" w:cs="Times New Roman"/>
          <w:b/>
          <w:bCs/>
          <w:sz w:val="32"/>
          <w:szCs w:val="32"/>
          <w:lang w:val="zh-CN" w:eastAsia="zh-CN"/>
        </w:rPr>
      </w:pPr>
      <w:r>
        <w:rPr>
          <w:rFonts w:hint="default" w:ascii="Times New Roman" w:hAnsi="Times New Roman" w:eastAsia="楷体_GB2312" w:cs="Times New Roman"/>
          <w:b/>
          <w:bCs/>
          <w:sz w:val="32"/>
          <w:szCs w:val="32"/>
          <w:lang w:val="zh-CN" w:eastAsia="zh-CN"/>
        </w:rPr>
        <w:t>（</w:t>
      </w:r>
      <w:r>
        <w:rPr>
          <w:rFonts w:hint="default" w:ascii="Times New Roman" w:hAnsi="Times New Roman" w:eastAsia="楷体_GB2312" w:cs="Times New Roman"/>
          <w:b/>
          <w:bCs/>
          <w:sz w:val="32"/>
          <w:szCs w:val="32"/>
          <w:lang w:val="en-US" w:eastAsia="zh-CN"/>
        </w:rPr>
        <w:t>二</w:t>
      </w:r>
      <w:r>
        <w:rPr>
          <w:rFonts w:hint="default" w:ascii="Times New Roman" w:hAnsi="Times New Roman" w:eastAsia="楷体_GB2312" w:cs="Times New Roman"/>
          <w:b/>
          <w:bCs/>
          <w:sz w:val="32"/>
          <w:szCs w:val="32"/>
          <w:lang w:val="zh-CN" w:eastAsia="zh-CN"/>
        </w:rPr>
        <w:t>）项目绩效目标</w:t>
      </w:r>
    </w:p>
    <w:p w14:paraId="33296608">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干部人才</w:t>
      </w:r>
      <w:r>
        <w:rPr>
          <w:rFonts w:hint="default" w:ascii="Times New Roman" w:hAnsi="Times New Roman" w:eastAsia="仿宋_GB2312" w:cs="Times New Roman"/>
          <w:sz w:val="32"/>
          <w:szCs w:val="32"/>
          <w:lang w:val="zh-CN" w:eastAsia="zh-CN"/>
        </w:rPr>
        <w:t>是</w:t>
      </w:r>
      <w:r>
        <w:rPr>
          <w:rFonts w:hint="default" w:ascii="Times New Roman" w:hAnsi="Times New Roman" w:eastAsia="仿宋_GB2312" w:cs="Times New Roman"/>
          <w:sz w:val="32"/>
          <w:szCs w:val="32"/>
          <w:lang w:val="en-US" w:eastAsia="zh-CN"/>
        </w:rPr>
        <w:t>全面推进理论武装、能力培训和知识更新的重要保障，通过建立长期的培训机制努力形成更加开放、更具活力、更有实效的培训体系，使广大干部人才理想信念更加坚定、理论素养不断提高、党性修养切实增强、工作作风明显改进、德才素质和履职能力显著提升，为加快建设壤塘提供有力的智力支持和人才保障。</w:t>
      </w:r>
    </w:p>
    <w:p w14:paraId="3239AB40">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楷体_GB2312" w:cs="Times New Roman"/>
          <w:b/>
          <w:bCs/>
          <w:sz w:val="32"/>
          <w:szCs w:val="32"/>
          <w:lang w:val="zh-CN" w:eastAsia="zh-CN"/>
        </w:rPr>
      </w:pPr>
      <w:r>
        <w:rPr>
          <w:rFonts w:hint="default" w:ascii="Times New Roman" w:hAnsi="Times New Roman" w:eastAsia="楷体_GB2312" w:cs="Times New Roman"/>
          <w:b/>
          <w:bCs/>
          <w:sz w:val="32"/>
          <w:szCs w:val="32"/>
          <w:lang w:val="zh-CN" w:eastAsia="zh-CN"/>
        </w:rPr>
        <w:t>（</w:t>
      </w:r>
      <w:r>
        <w:rPr>
          <w:rFonts w:hint="default" w:ascii="Times New Roman" w:hAnsi="Times New Roman" w:eastAsia="楷体_GB2312" w:cs="Times New Roman"/>
          <w:b/>
          <w:bCs/>
          <w:sz w:val="32"/>
          <w:szCs w:val="32"/>
          <w:lang w:val="en-US" w:eastAsia="zh-CN"/>
        </w:rPr>
        <w:t>三</w:t>
      </w:r>
      <w:r>
        <w:rPr>
          <w:rFonts w:hint="default" w:ascii="Times New Roman" w:hAnsi="Times New Roman" w:eastAsia="楷体_GB2312" w:cs="Times New Roman"/>
          <w:b/>
          <w:bCs/>
          <w:sz w:val="32"/>
          <w:szCs w:val="32"/>
          <w:lang w:val="zh-CN" w:eastAsia="zh-CN"/>
        </w:rPr>
        <w:t>）项目资金申报相符性</w:t>
      </w:r>
    </w:p>
    <w:p w14:paraId="3C2CE543">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是壤塘县委主管干部人才教育培训方面工作的职能部门，全面贯彻落实党的路线、方针、政策和党中央、省委、州委、县委的决策部署。该项目符合我部职能职责设定，与我部职能职责相符合。</w:t>
      </w:r>
    </w:p>
    <w:p w14:paraId="5817A3F8">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黑体" w:cs="Times New Roman"/>
          <w:sz w:val="32"/>
          <w:szCs w:val="32"/>
          <w:lang w:val="zh-CN" w:eastAsia="zh-CN"/>
        </w:rPr>
      </w:pPr>
      <w:r>
        <w:rPr>
          <w:rFonts w:hint="default" w:ascii="Times New Roman" w:hAnsi="Times New Roman" w:eastAsia="黑体" w:cs="Times New Roman"/>
          <w:sz w:val="32"/>
          <w:szCs w:val="32"/>
          <w:lang w:val="zh-CN" w:eastAsia="zh-CN"/>
        </w:rPr>
        <w:t>二、项目实施及管理情况</w:t>
      </w:r>
    </w:p>
    <w:p w14:paraId="17C028A6">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楷体_GB2312" w:cs="Times New Roman"/>
          <w:b/>
          <w:bCs/>
          <w:sz w:val="32"/>
          <w:szCs w:val="32"/>
          <w:lang w:val="zh-CN" w:eastAsia="zh-CN"/>
        </w:rPr>
        <w:t>（一）资金计划、到位及使用情况</w:t>
      </w:r>
    </w:p>
    <w:p w14:paraId="21A3B5FD">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zh-CN" w:eastAsia="zh-CN"/>
        </w:rPr>
        <w:t>1</w:t>
      </w:r>
      <w:r>
        <w:rPr>
          <w:rFonts w:hint="default" w:ascii="Times New Roman" w:hAnsi="Times New Roman" w:eastAsia="仿宋_GB2312" w:cs="Times New Roman"/>
          <w:b/>
          <w:bCs/>
          <w:sz w:val="32"/>
          <w:szCs w:val="32"/>
          <w:lang w:val="en-US" w:eastAsia="zh-CN"/>
        </w:rPr>
        <w:t>、</w:t>
      </w:r>
      <w:r>
        <w:rPr>
          <w:rFonts w:hint="default" w:ascii="Times New Roman" w:hAnsi="Times New Roman" w:eastAsia="仿宋_GB2312" w:cs="Times New Roman"/>
          <w:b/>
          <w:bCs/>
          <w:sz w:val="32"/>
          <w:szCs w:val="32"/>
          <w:lang w:val="zh-CN" w:eastAsia="zh-CN"/>
        </w:rPr>
        <w:t>资金计划及到位</w:t>
      </w:r>
      <w:r>
        <w:rPr>
          <w:rFonts w:hint="default" w:ascii="Times New Roman" w:hAnsi="Times New Roman" w:eastAsia="仿宋_GB2312" w:cs="Times New Roman"/>
          <w:b/>
          <w:bCs/>
          <w:sz w:val="32"/>
          <w:szCs w:val="32"/>
          <w:lang w:val="en-US" w:eastAsia="zh-CN"/>
        </w:rPr>
        <w:t>情况</w:t>
      </w:r>
    </w:p>
    <w:p w14:paraId="27E88A12">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2022年12月31日，共收到绵阳援建资金（壤塘县干部人才培训项目）100万元，目前资金已全部到位。</w:t>
      </w:r>
    </w:p>
    <w:p w14:paraId="2A809A53">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b/>
          <w:bCs/>
          <w:sz w:val="32"/>
          <w:szCs w:val="32"/>
          <w:lang w:val="zh-CN" w:eastAsia="zh-CN"/>
        </w:rPr>
      </w:pPr>
      <w:r>
        <w:rPr>
          <w:rFonts w:hint="default" w:ascii="Times New Roman" w:hAnsi="Times New Roman" w:eastAsia="仿宋_GB2312" w:cs="Times New Roman"/>
          <w:b/>
          <w:bCs/>
          <w:sz w:val="32"/>
          <w:szCs w:val="32"/>
          <w:lang w:val="en-US" w:eastAsia="zh-CN"/>
        </w:rPr>
        <w:t>2、</w:t>
      </w:r>
      <w:r>
        <w:rPr>
          <w:rFonts w:hint="default" w:ascii="Times New Roman" w:hAnsi="Times New Roman" w:eastAsia="仿宋_GB2312" w:cs="Times New Roman"/>
          <w:b/>
          <w:bCs/>
          <w:sz w:val="32"/>
          <w:szCs w:val="32"/>
          <w:lang w:val="zh-CN" w:eastAsia="zh-CN"/>
        </w:rPr>
        <w:t>资金使用</w:t>
      </w:r>
      <w:r>
        <w:rPr>
          <w:rFonts w:hint="default" w:ascii="Times New Roman" w:hAnsi="Times New Roman" w:eastAsia="仿宋_GB2312" w:cs="Times New Roman"/>
          <w:b/>
          <w:bCs/>
          <w:sz w:val="32"/>
          <w:szCs w:val="32"/>
          <w:lang w:val="en-US" w:eastAsia="zh-CN"/>
        </w:rPr>
        <w:t>情况</w:t>
      </w:r>
    </w:p>
    <w:p w14:paraId="330EA83B">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2022年12月31日，已完成全部培训，已拨付项目资金99.77万元，拨付率99.77%。</w:t>
      </w:r>
    </w:p>
    <w:p w14:paraId="5A05394B">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楷体_GB2312" w:cs="Times New Roman"/>
          <w:b/>
          <w:bCs/>
          <w:sz w:val="32"/>
          <w:szCs w:val="32"/>
          <w:lang w:val="zh-CN" w:eastAsia="zh-CN"/>
        </w:rPr>
      </w:pPr>
      <w:r>
        <w:rPr>
          <w:rFonts w:hint="default" w:ascii="Times New Roman" w:hAnsi="Times New Roman" w:eastAsia="楷体_GB2312" w:cs="Times New Roman"/>
          <w:b/>
          <w:bCs/>
          <w:sz w:val="32"/>
          <w:szCs w:val="32"/>
          <w:lang w:val="zh-CN" w:eastAsia="zh-CN"/>
        </w:rPr>
        <w:t>（二）项目财务管理情况</w:t>
      </w:r>
    </w:p>
    <w:p w14:paraId="7B16C3A2">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b/>
          <w:bCs/>
          <w:color w:val="000000" w:themeColor="text1"/>
          <w:sz w:val="32"/>
          <w:szCs w:val="32"/>
          <w:lang w:val="zh-CN"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b/>
          <w:bCs/>
          <w:color w:val="000000" w:themeColor="text1"/>
          <w:sz w:val="32"/>
          <w:szCs w:val="32"/>
          <w:lang w:val="zh-CN" w:eastAsia="zh-CN"/>
          <w14:textFill>
            <w14:solidFill>
              <w14:schemeClr w14:val="tx1"/>
            </w14:solidFill>
          </w14:textFill>
        </w:rPr>
        <w:t>管理制度健全性</w:t>
      </w:r>
    </w:p>
    <w:p w14:paraId="14EB0A8E">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根据相关法律法规及规章制度规定，结合单位实际情况，在对单位主要经济活动及业务流程梳理分析的基础上，制定符合的培训资金管理办法。</w:t>
      </w:r>
    </w:p>
    <w:p w14:paraId="62C3F103">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b/>
          <w:bCs/>
          <w:color w:val="000000" w:themeColor="text1"/>
          <w:sz w:val="32"/>
          <w:szCs w:val="32"/>
          <w:lang w:val="zh-CN"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lang w:val="zh-CN" w:eastAsia="zh-CN"/>
          <w14:textFill>
            <w14:solidFill>
              <w14:schemeClr w14:val="tx1"/>
            </w14:solidFill>
          </w14:textFill>
        </w:rPr>
        <w:t>2</w:t>
      </w:r>
      <w:r>
        <w:rPr>
          <w:rFonts w:hint="eastAsia" w:eastAsia="仿宋_GB2312" w:cs="Times New Roman"/>
          <w:b/>
          <w:bCs/>
          <w:color w:val="000000" w:themeColor="text1"/>
          <w:sz w:val="32"/>
          <w:szCs w:val="32"/>
          <w:lang w:val="zh-CN" w:eastAsia="zh-CN"/>
          <w14:textFill>
            <w14:solidFill>
              <w14:schemeClr w14:val="tx1"/>
            </w14:solidFill>
          </w14:textFill>
        </w:rPr>
        <w:t>.</w:t>
      </w:r>
      <w:r>
        <w:rPr>
          <w:rFonts w:hint="default" w:ascii="Times New Roman" w:hAnsi="Times New Roman" w:eastAsia="仿宋_GB2312" w:cs="Times New Roman"/>
          <w:b/>
          <w:bCs/>
          <w:color w:val="000000" w:themeColor="text1"/>
          <w:sz w:val="32"/>
          <w:szCs w:val="32"/>
          <w:lang w:val="zh-CN" w:eastAsia="zh-CN"/>
          <w14:textFill>
            <w14:solidFill>
              <w14:schemeClr w14:val="tx1"/>
            </w14:solidFill>
          </w14:textFill>
        </w:rPr>
        <w:t>财务管理以及资金使用合规性</w:t>
      </w:r>
    </w:p>
    <w:p w14:paraId="47A2AF9C">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资金使用过程中严格按照单位财务管理制度要求执行，资金使用的合规性体现在：</w:t>
      </w:r>
    </w:p>
    <w:p w14:paraId="342E9B9D">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报销经费时，经办人使用统一规范的审批单，在审批单上写明用途、经办人员、证明人员、股室负责人、金额、报销日期、单据张数等内容。</w:t>
      </w:r>
    </w:p>
    <w:p w14:paraId="1530AADD">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楷体_GB2312" w:cs="Times New Roman"/>
          <w:b/>
          <w:bCs/>
          <w:sz w:val="32"/>
          <w:szCs w:val="32"/>
          <w:lang w:val="zh-CN" w:eastAsia="zh-CN"/>
        </w:rPr>
        <w:t>（三）项目组织实施情况</w:t>
      </w:r>
    </w:p>
    <w:p w14:paraId="6537BB41">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按照壤塘县干部人才培训项目建设内容及《关于印发〈壤塘县2022年干部人才教育培训实施方案》的通知〉（壤委组〔2022〕39号）要求，有序推行全县干部人才教育培训工作。</w:t>
      </w:r>
    </w:p>
    <w:p w14:paraId="509929EF">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黑体" w:cs="Times New Roman"/>
          <w:sz w:val="32"/>
          <w:szCs w:val="32"/>
          <w:lang w:val="zh-CN" w:eastAsia="zh-CN"/>
        </w:rPr>
      </w:pPr>
      <w:r>
        <w:rPr>
          <w:rFonts w:hint="default" w:ascii="Times New Roman" w:hAnsi="Times New Roman" w:eastAsia="黑体" w:cs="Times New Roman"/>
          <w:sz w:val="32"/>
          <w:szCs w:val="32"/>
          <w:lang w:val="zh-CN" w:eastAsia="zh-CN"/>
        </w:rPr>
        <w:t>三、目标完成情况</w:t>
      </w:r>
      <w:r>
        <w:rPr>
          <w:rFonts w:hint="default" w:ascii="Times New Roman" w:hAnsi="Times New Roman" w:eastAsia="黑体" w:cs="Times New Roman"/>
          <w:sz w:val="32"/>
          <w:szCs w:val="32"/>
          <w:lang w:val="zh-CN" w:eastAsia="zh-CN"/>
        </w:rPr>
        <w:tab/>
      </w:r>
    </w:p>
    <w:p w14:paraId="10A9A775">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楷体_GB2312" w:cs="Times New Roman"/>
          <w:b/>
          <w:bCs/>
          <w:sz w:val="32"/>
          <w:szCs w:val="32"/>
          <w:lang w:val="zh-CN" w:eastAsia="zh-CN"/>
        </w:rPr>
      </w:pPr>
      <w:r>
        <w:rPr>
          <w:rFonts w:hint="default" w:ascii="Times New Roman" w:hAnsi="Times New Roman" w:eastAsia="楷体_GB2312" w:cs="Times New Roman"/>
          <w:b/>
          <w:bCs/>
          <w:sz w:val="32"/>
          <w:szCs w:val="32"/>
          <w:lang w:val="zh-CN" w:eastAsia="zh-CN"/>
        </w:rPr>
        <w:t>（一）目标任务量完成情况</w:t>
      </w:r>
    </w:p>
    <w:p w14:paraId="15F4F924">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2022年12月31日，实施15个培养培训，受益2162人次，完成预定目标任务。</w:t>
      </w:r>
    </w:p>
    <w:p w14:paraId="6D7871A6">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楷体_GB2312" w:cs="Times New Roman"/>
          <w:b/>
          <w:bCs/>
          <w:sz w:val="32"/>
          <w:szCs w:val="32"/>
          <w:lang w:val="zh-CN" w:eastAsia="zh-CN"/>
        </w:rPr>
      </w:pPr>
      <w:r>
        <w:rPr>
          <w:rFonts w:hint="default" w:ascii="Times New Roman" w:hAnsi="Times New Roman" w:eastAsia="楷体_GB2312" w:cs="Times New Roman"/>
          <w:b/>
          <w:bCs/>
          <w:sz w:val="32"/>
          <w:szCs w:val="32"/>
          <w:lang w:val="zh-CN" w:eastAsia="zh-CN"/>
        </w:rPr>
        <w:t>（二）目标质量完成情况</w:t>
      </w:r>
    </w:p>
    <w:p w14:paraId="44D51D9D">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2022年12月31日，实施15个培养培训，受益2162人次，拨付项目资金99.77万元，拨付率99.77%。</w:t>
      </w:r>
    </w:p>
    <w:p w14:paraId="61982CA3">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楷体_GB2312" w:cs="Times New Roman"/>
          <w:b/>
          <w:bCs/>
          <w:sz w:val="32"/>
          <w:szCs w:val="32"/>
          <w:lang w:val="zh-CN" w:eastAsia="zh-CN"/>
        </w:rPr>
      </w:pPr>
      <w:r>
        <w:rPr>
          <w:rFonts w:hint="default" w:ascii="Times New Roman" w:hAnsi="Times New Roman" w:eastAsia="楷体_GB2312" w:cs="Times New Roman"/>
          <w:b/>
          <w:bCs/>
          <w:sz w:val="32"/>
          <w:szCs w:val="32"/>
          <w:lang w:val="zh-CN" w:eastAsia="zh-CN"/>
        </w:rPr>
        <w:t>（三）目标进度完成情况</w:t>
      </w:r>
    </w:p>
    <w:p w14:paraId="70F4B505">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2022年12月31日，实施15个培养培训，受益2162人次，完成预定目标任务。</w:t>
      </w:r>
    </w:p>
    <w:p w14:paraId="246BAE46">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黑体" w:cs="Times New Roman"/>
          <w:sz w:val="32"/>
          <w:szCs w:val="32"/>
          <w:lang w:val="zh-CN" w:eastAsia="zh-CN"/>
        </w:rPr>
      </w:pPr>
      <w:r>
        <w:rPr>
          <w:rFonts w:hint="default" w:ascii="Times New Roman" w:hAnsi="Times New Roman" w:eastAsia="黑体" w:cs="Times New Roman"/>
          <w:sz w:val="32"/>
          <w:szCs w:val="32"/>
          <w:lang w:val="zh-CN" w:eastAsia="zh-CN"/>
        </w:rPr>
        <w:t>四、项目效益情况</w:t>
      </w:r>
    </w:p>
    <w:p w14:paraId="233F4C0C">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教育培训</w:t>
      </w:r>
      <w:r>
        <w:rPr>
          <w:rFonts w:hint="default" w:ascii="Times New Roman" w:hAnsi="Times New Roman" w:eastAsia="仿宋_GB2312" w:cs="Times New Roman"/>
          <w:sz w:val="32"/>
          <w:szCs w:val="32"/>
          <w:lang w:val="zh-CN" w:eastAsia="zh-CN"/>
        </w:rPr>
        <w:t>是</w:t>
      </w:r>
      <w:r>
        <w:rPr>
          <w:rFonts w:hint="default" w:ascii="Times New Roman" w:hAnsi="Times New Roman" w:eastAsia="仿宋_GB2312" w:cs="Times New Roman"/>
          <w:sz w:val="32"/>
          <w:szCs w:val="32"/>
          <w:lang w:val="en-US" w:eastAsia="zh-CN"/>
        </w:rPr>
        <w:t>提升干部人才的</w:t>
      </w:r>
      <w:r>
        <w:rPr>
          <w:rFonts w:hint="default" w:ascii="Times New Roman" w:hAnsi="Times New Roman" w:eastAsia="仿宋_GB2312" w:cs="Times New Roman"/>
          <w:sz w:val="32"/>
          <w:szCs w:val="32"/>
          <w:lang w:val="zh-CN" w:eastAsia="zh-CN"/>
        </w:rPr>
        <w:t>重要提能措施，是</w:t>
      </w:r>
      <w:r>
        <w:rPr>
          <w:rFonts w:hint="default" w:ascii="Times New Roman" w:hAnsi="Times New Roman" w:eastAsia="仿宋_GB2312" w:cs="Times New Roman"/>
          <w:sz w:val="32"/>
          <w:szCs w:val="32"/>
          <w:lang w:val="en-US" w:eastAsia="zh-CN"/>
        </w:rPr>
        <w:t>全面推进理论武装、能力培训和知识更新的重要保障，通过建立长期的培训机制形成了更加开放、更具活力、更有实效的培训体系，使广大干部人才理想信念更加坚定、理论素养不断提高、党性修养切实增强、工作作风明显改进、德才素质和履职能力显著提升，为加快建设壤塘县提供有力的智力支持和人才保障。</w:t>
      </w:r>
    </w:p>
    <w:p w14:paraId="55A0093D">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黑体" w:cs="Times New Roman"/>
          <w:sz w:val="32"/>
          <w:szCs w:val="32"/>
          <w:lang w:val="zh-CN" w:eastAsia="zh-CN"/>
        </w:rPr>
      </w:pPr>
      <w:r>
        <w:rPr>
          <w:rFonts w:hint="default" w:ascii="Times New Roman" w:hAnsi="Times New Roman" w:eastAsia="黑体" w:cs="Times New Roman"/>
          <w:sz w:val="32"/>
          <w:szCs w:val="32"/>
          <w:lang w:val="zh-CN" w:eastAsia="zh-CN"/>
        </w:rPr>
        <w:t>五、问题及建议</w:t>
      </w:r>
    </w:p>
    <w:p w14:paraId="4C1B6DAD">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无</w:t>
      </w:r>
    </w:p>
    <w:p w14:paraId="02A62EA5">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rPr>
      </w:pPr>
      <w:bookmarkStart w:id="92" w:name="_Toc27025"/>
      <w:bookmarkStart w:id="93" w:name="_Toc15396618"/>
    </w:p>
    <w:p w14:paraId="68F1E31A">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rPr>
      </w:pPr>
    </w:p>
    <w:p w14:paraId="3678F008">
      <w:pPr>
        <w:pStyle w:val="2"/>
        <w:rPr>
          <w:rFonts w:hint="eastAsia"/>
        </w:rPr>
      </w:pPr>
    </w:p>
    <w:p w14:paraId="3443CC7E">
      <w:pPr>
        <w:spacing w:line="600" w:lineRule="exact"/>
        <w:jc w:val="center"/>
        <w:outlineLvl w:val="0"/>
        <w:rPr>
          <w:rFonts w:hint="eastAsia" w:ascii="仿宋" w:hAnsi="仿宋" w:eastAsia="仿宋" w:cs="仿宋"/>
          <w:b/>
          <w:bCs/>
          <w:sz w:val="36"/>
          <w:szCs w:val="36"/>
        </w:rPr>
      </w:pPr>
    </w:p>
    <w:p w14:paraId="7A88FCCC">
      <w:pPr>
        <w:pStyle w:val="2"/>
        <w:rPr>
          <w:rFonts w:hint="eastAsia"/>
        </w:rPr>
      </w:pPr>
    </w:p>
    <w:p w14:paraId="24391ABA">
      <w:pPr>
        <w:spacing w:line="600" w:lineRule="exact"/>
        <w:jc w:val="center"/>
        <w:outlineLvl w:val="0"/>
        <w:rPr>
          <w:rFonts w:hint="eastAsia" w:ascii="黑体" w:hAnsi="黑体" w:eastAsia="黑体" w:cs="黑体"/>
          <w:b w:val="0"/>
          <w:bCs w:val="0"/>
          <w:sz w:val="32"/>
          <w:szCs w:val="32"/>
        </w:rPr>
      </w:pPr>
    </w:p>
    <w:p w14:paraId="36E4FA1B">
      <w:pPr>
        <w:spacing w:line="600" w:lineRule="exact"/>
        <w:jc w:val="center"/>
        <w:outlineLvl w:val="0"/>
        <w:rPr>
          <w:rFonts w:hint="eastAsia" w:ascii="黑体" w:hAnsi="黑体" w:eastAsia="黑体" w:cs="黑体"/>
          <w:b w:val="0"/>
          <w:bCs w:val="0"/>
          <w:sz w:val="32"/>
          <w:szCs w:val="32"/>
        </w:rPr>
      </w:pPr>
    </w:p>
    <w:p w14:paraId="4E32F7BD">
      <w:pPr>
        <w:spacing w:line="600" w:lineRule="exact"/>
        <w:jc w:val="center"/>
        <w:outlineLvl w:val="0"/>
        <w:rPr>
          <w:rFonts w:hint="eastAsia" w:ascii="黑体" w:hAnsi="黑体" w:eastAsia="黑体" w:cs="黑体"/>
          <w:b w:val="0"/>
          <w:bCs w:val="0"/>
          <w:sz w:val="32"/>
          <w:szCs w:val="32"/>
        </w:rPr>
      </w:pPr>
    </w:p>
    <w:p w14:paraId="4EFEDB9A">
      <w:pPr>
        <w:spacing w:line="600" w:lineRule="exact"/>
        <w:jc w:val="center"/>
        <w:outlineLvl w:val="0"/>
        <w:rPr>
          <w:rFonts w:hint="eastAsia" w:ascii="黑体" w:hAnsi="黑体" w:eastAsia="黑体" w:cs="黑体"/>
          <w:b w:val="0"/>
          <w:bCs w:val="0"/>
          <w:sz w:val="32"/>
          <w:szCs w:val="32"/>
        </w:rPr>
      </w:pPr>
      <w:bookmarkStart w:id="121" w:name="_GoBack"/>
      <w:bookmarkEnd w:id="121"/>
      <w:r>
        <w:rPr>
          <w:rFonts w:hint="eastAsia" w:ascii="黑体" w:hAnsi="黑体" w:eastAsia="黑体" w:cs="黑体"/>
          <w:b w:val="0"/>
          <w:bCs w:val="0"/>
          <w:sz w:val="32"/>
          <w:szCs w:val="32"/>
        </w:rPr>
        <w:t>第</w:t>
      </w:r>
      <w:r>
        <w:rPr>
          <w:rStyle w:val="33"/>
          <w:rFonts w:hint="eastAsia" w:ascii="黑体" w:hAnsi="黑体" w:eastAsia="黑体" w:cs="黑体"/>
          <w:b w:val="0"/>
          <w:bCs w:val="0"/>
          <w:sz w:val="32"/>
          <w:szCs w:val="32"/>
        </w:rPr>
        <w:t>五部分 附表</w:t>
      </w:r>
      <w:bookmarkEnd w:id="74"/>
      <w:bookmarkEnd w:id="92"/>
      <w:bookmarkEnd w:id="93"/>
      <w:bookmarkStart w:id="94" w:name="_Toc15396619"/>
    </w:p>
    <w:p w14:paraId="586B678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outlineLvl w:val="1"/>
        <w:rPr>
          <w:rFonts w:hint="eastAsia" w:ascii="仿宋" w:hAnsi="仿宋" w:eastAsia="仿宋" w:cs="仿宋"/>
          <w:b w:val="0"/>
          <w:sz w:val="28"/>
          <w:szCs w:val="28"/>
        </w:rPr>
      </w:pPr>
      <w:bookmarkStart w:id="95" w:name="_Toc31464"/>
    </w:p>
    <w:p w14:paraId="6C3587F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outlineLvl w:val="1"/>
        <w:rPr>
          <w:rFonts w:hint="eastAsia" w:ascii="仿宋_GB2312" w:hAnsi="仿宋_GB2312" w:eastAsia="仿宋_GB2312" w:cs="仿宋_GB2312"/>
          <w:sz w:val="28"/>
          <w:szCs w:val="28"/>
        </w:rPr>
      </w:pPr>
      <w:r>
        <w:rPr>
          <w:rFonts w:hint="eastAsia" w:ascii="仿宋_GB2312" w:hAnsi="仿宋_GB2312" w:eastAsia="仿宋_GB2312" w:cs="仿宋_GB2312"/>
          <w:b w:val="0"/>
          <w:sz w:val="28"/>
          <w:szCs w:val="28"/>
        </w:rPr>
        <w:t>一、收</w:t>
      </w:r>
      <w:r>
        <w:rPr>
          <w:rStyle w:val="34"/>
          <w:rFonts w:hint="eastAsia" w:ascii="仿宋_GB2312" w:hAnsi="仿宋_GB2312" w:eastAsia="仿宋_GB2312" w:cs="仿宋_GB2312"/>
          <w:b w:val="0"/>
          <w:bCs w:val="0"/>
          <w:sz w:val="28"/>
          <w:szCs w:val="28"/>
        </w:rPr>
        <w:t>入支出决算总表</w:t>
      </w:r>
      <w:bookmarkEnd w:id="94"/>
      <w:bookmarkEnd w:id="95"/>
    </w:p>
    <w:p w14:paraId="40D455B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outlineLvl w:val="1"/>
        <w:rPr>
          <w:rFonts w:hint="eastAsia" w:ascii="仿宋_GB2312" w:hAnsi="仿宋_GB2312" w:eastAsia="仿宋_GB2312" w:cs="仿宋_GB2312"/>
          <w:sz w:val="28"/>
          <w:szCs w:val="28"/>
        </w:rPr>
      </w:pPr>
      <w:bookmarkStart w:id="96" w:name="_Toc15396620"/>
      <w:bookmarkStart w:id="97" w:name="_Toc30477"/>
      <w:r>
        <w:rPr>
          <w:rFonts w:hint="eastAsia" w:ascii="仿宋_GB2312" w:hAnsi="仿宋_GB2312" w:eastAsia="仿宋_GB2312" w:cs="仿宋_GB2312"/>
          <w:b w:val="0"/>
          <w:sz w:val="28"/>
          <w:szCs w:val="28"/>
        </w:rPr>
        <w:t>二、收</w:t>
      </w:r>
      <w:r>
        <w:rPr>
          <w:rStyle w:val="34"/>
          <w:rFonts w:hint="eastAsia" w:ascii="仿宋_GB2312" w:hAnsi="仿宋_GB2312" w:eastAsia="仿宋_GB2312" w:cs="仿宋_GB2312"/>
          <w:b w:val="0"/>
          <w:bCs w:val="0"/>
          <w:sz w:val="28"/>
          <w:szCs w:val="28"/>
        </w:rPr>
        <w:t>入决算表</w:t>
      </w:r>
      <w:bookmarkEnd w:id="96"/>
      <w:bookmarkEnd w:id="97"/>
    </w:p>
    <w:p w14:paraId="14693ED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outlineLvl w:val="1"/>
        <w:rPr>
          <w:rFonts w:hint="eastAsia" w:ascii="仿宋_GB2312" w:hAnsi="仿宋_GB2312" w:eastAsia="仿宋_GB2312" w:cs="仿宋_GB2312"/>
          <w:sz w:val="28"/>
          <w:szCs w:val="28"/>
        </w:rPr>
      </w:pPr>
      <w:bookmarkStart w:id="98" w:name="_Toc15396621"/>
      <w:bookmarkStart w:id="99" w:name="_Toc24080"/>
      <w:r>
        <w:rPr>
          <w:rStyle w:val="34"/>
          <w:rFonts w:hint="eastAsia" w:ascii="仿宋_GB2312" w:hAnsi="仿宋_GB2312" w:eastAsia="仿宋_GB2312" w:cs="仿宋_GB2312"/>
          <w:b w:val="0"/>
          <w:bCs w:val="0"/>
          <w:sz w:val="28"/>
          <w:szCs w:val="28"/>
        </w:rPr>
        <w:t>三、</w:t>
      </w:r>
      <w:r>
        <w:rPr>
          <w:rFonts w:hint="eastAsia" w:ascii="仿宋_GB2312" w:hAnsi="仿宋_GB2312" w:eastAsia="仿宋_GB2312" w:cs="仿宋_GB2312"/>
          <w:b w:val="0"/>
          <w:sz w:val="28"/>
          <w:szCs w:val="28"/>
        </w:rPr>
        <w:t>支</w:t>
      </w:r>
      <w:r>
        <w:rPr>
          <w:rStyle w:val="34"/>
          <w:rFonts w:hint="eastAsia" w:ascii="仿宋_GB2312" w:hAnsi="仿宋_GB2312" w:eastAsia="仿宋_GB2312" w:cs="仿宋_GB2312"/>
          <w:b w:val="0"/>
          <w:bCs w:val="0"/>
          <w:sz w:val="28"/>
          <w:szCs w:val="28"/>
        </w:rPr>
        <w:t>出决算表</w:t>
      </w:r>
      <w:bookmarkEnd w:id="98"/>
      <w:bookmarkEnd w:id="99"/>
    </w:p>
    <w:p w14:paraId="72A1228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outlineLvl w:val="1"/>
        <w:rPr>
          <w:rFonts w:hint="eastAsia" w:ascii="仿宋_GB2312" w:hAnsi="仿宋_GB2312" w:eastAsia="仿宋_GB2312" w:cs="仿宋_GB2312"/>
          <w:b w:val="0"/>
          <w:sz w:val="28"/>
          <w:szCs w:val="28"/>
        </w:rPr>
      </w:pPr>
      <w:bookmarkStart w:id="100" w:name="_Toc4835"/>
      <w:bookmarkStart w:id="101" w:name="_Toc15396622"/>
      <w:r>
        <w:rPr>
          <w:rStyle w:val="34"/>
          <w:rFonts w:hint="eastAsia" w:ascii="仿宋_GB2312" w:hAnsi="仿宋_GB2312" w:eastAsia="仿宋_GB2312" w:cs="仿宋_GB2312"/>
          <w:b w:val="0"/>
          <w:bCs w:val="0"/>
          <w:sz w:val="28"/>
          <w:szCs w:val="28"/>
        </w:rPr>
        <w:t>四、</w:t>
      </w:r>
      <w:r>
        <w:rPr>
          <w:rFonts w:hint="eastAsia" w:ascii="仿宋_GB2312" w:hAnsi="仿宋_GB2312" w:eastAsia="仿宋_GB2312" w:cs="仿宋_GB2312"/>
          <w:b w:val="0"/>
          <w:sz w:val="28"/>
          <w:szCs w:val="28"/>
        </w:rPr>
        <w:t>财</w:t>
      </w:r>
      <w:r>
        <w:rPr>
          <w:rStyle w:val="34"/>
          <w:rFonts w:hint="eastAsia" w:ascii="仿宋_GB2312" w:hAnsi="仿宋_GB2312" w:eastAsia="仿宋_GB2312" w:cs="仿宋_GB2312"/>
          <w:b w:val="0"/>
          <w:bCs w:val="0"/>
          <w:sz w:val="28"/>
          <w:szCs w:val="28"/>
        </w:rPr>
        <w:t>政拨款收入支出决算总表</w:t>
      </w:r>
      <w:bookmarkEnd w:id="100"/>
      <w:bookmarkEnd w:id="101"/>
    </w:p>
    <w:p w14:paraId="5732E5A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outlineLvl w:val="1"/>
        <w:rPr>
          <w:rStyle w:val="34"/>
          <w:rFonts w:hint="eastAsia" w:ascii="仿宋_GB2312" w:hAnsi="仿宋_GB2312" w:eastAsia="仿宋_GB2312" w:cs="仿宋_GB2312"/>
          <w:b w:val="0"/>
          <w:bCs w:val="0"/>
          <w:sz w:val="28"/>
          <w:szCs w:val="28"/>
        </w:rPr>
      </w:pPr>
      <w:bookmarkStart w:id="102" w:name="_Toc15396623"/>
      <w:bookmarkStart w:id="103" w:name="_Toc583"/>
      <w:r>
        <w:rPr>
          <w:rStyle w:val="34"/>
          <w:rFonts w:hint="eastAsia" w:ascii="仿宋_GB2312" w:hAnsi="仿宋_GB2312" w:eastAsia="仿宋_GB2312" w:cs="仿宋_GB2312"/>
          <w:b w:val="0"/>
          <w:bCs w:val="0"/>
          <w:sz w:val="28"/>
          <w:szCs w:val="28"/>
        </w:rPr>
        <w:t>五、</w:t>
      </w:r>
      <w:r>
        <w:rPr>
          <w:rFonts w:hint="eastAsia" w:ascii="仿宋_GB2312" w:hAnsi="仿宋_GB2312" w:eastAsia="仿宋_GB2312" w:cs="仿宋_GB2312"/>
          <w:b w:val="0"/>
          <w:sz w:val="28"/>
          <w:szCs w:val="28"/>
        </w:rPr>
        <w:t>财</w:t>
      </w:r>
      <w:r>
        <w:rPr>
          <w:rStyle w:val="34"/>
          <w:rFonts w:hint="eastAsia" w:ascii="仿宋_GB2312" w:hAnsi="仿宋_GB2312" w:eastAsia="仿宋_GB2312" w:cs="仿宋_GB2312"/>
          <w:b w:val="0"/>
          <w:bCs w:val="0"/>
          <w:sz w:val="28"/>
          <w:szCs w:val="28"/>
        </w:rPr>
        <w:t>政拨款支出决算明细表</w:t>
      </w:r>
      <w:bookmarkEnd w:id="102"/>
      <w:bookmarkEnd w:id="103"/>
      <w:bookmarkStart w:id="104" w:name="_Toc15396624"/>
    </w:p>
    <w:p w14:paraId="061E309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outlineLvl w:val="1"/>
        <w:rPr>
          <w:rFonts w:hint="eastAsia" w:ascii="仿宋_GB2312" w:hAnsi="仿宋_GB2312" w:eastAsia="仿宋_GB2312" w:cs="仿宋_GB2312"/>
          <w:sz w:val="28"/>
          <w:szCs w:val="28"/>
        </w:rPr>
      </w:pPr>
      <w:bookmarkStart w:id="105" w:name="_Toc26680"/>
      <w:r>
        <w:rPr>
          <w:rStyle w:val="34"/>
          <w:rFonts w:hint="eastAsia" w:ascii="仿宋_GB2312" w:hAnsi="仿宋_GB2312" w:eastAsia="仿宋_GB2312" w:cs="仿宋_GB2312"/>
          <w:b w:val="0"/>
          <w:bCs w:val="0"/>
          <w:sz w:val="28"/>
          <w:szCs w:val="28"/>
        </w:rPr>
        <w:t>六、</w:t>
      </w:r>
      <w:r>
        <w:rPr>
          <w:rFonts w:hint="eastAsia" w:ascii="仿宋_GB2312" w:hAnsi="仿宋_GB2312" w:eastAsia="仿宋_GB2312" w:cs="仿宋_GB2312"/>
          <w:b w:val="0"/>
          <w:sz w:val="28"/>
          <w:szCs w:val="28"/>
        </w:rPr>
        <w:t>一</w:t>
      </w:r>
      <w:r>
        <w:rPr>
          <w:rStyle w:val="34"/>
          <w:rFonts w:hint="eastAsia" w:ascii="仿宋_GB2312" w:hAnsi="仿宋_GB2312" w:eastAsia="仿宋_GB2312" w:cs="仿宋_GB2312"/>
          <w:b w:val="0"/>
          <w:bCs w:val="0"/>
          <w:sz w:val="28"/>
          <w:szCs w:val="28"/>
        </w:rPr>
        <w:t>般公共预算财政拨款支出决算表</w:t>
      </w:r>
      <w:bookmarkEnd w:id="104"/>
      <w:bookmarkEnd w:id="105"/>
    </w:p>
    <w:p w14:paraId="1FFF2A0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outlineLvl w:val="1"/>
        <w:rPr>
          <w:rFonts w:hint="eastAsia" w:ascii="仿宋_GB2312" w:hAnsi="仿宋_GB2312" w:eastAsia="仿宋_GB2312" w:cs="仿宋_GB2312"/>
          <w:sz w:val="28"/>
          <w:szCs w:val="28"/>
        </w:rPr>
      </w:pPr>
      <w:bookmarkStart w:id="106" w:name="_Toc15396625"/>
      <w:bookmarkStart w:id="107" w:name="_Toc16638"/>
      <w:r>
        <w:rPr>
          <w:rStyle w:val="34"/>
          <w:rFonts w:hint="eastAsia" w:ascii="仿宋_GB2312" w:hAnsi="仿宋_GB2312" w:eastAsia="仿宋_GB2312" w:cs="仿宋_GB2312"/>
          <w:b w:val="0"/>
          <w:bCs w:val="0"/>
          <w:sz w:val="28"/>
          <w:szCs w:val="28"/>
        </w:rPr>
        <w:t>七、</w:t>
      </w:r>
      <w:r>
        <w:rPr>
          <w:rFonts w:hint="eastAsia" w:ascii="仿宋_GB2312" w:hAnsi="仿宋_GB2312" w:eastAsia="仿宋_GB2312" w:cs="仿宋_GB2312"/>
          <w:b w:val="0"/>
          <w:sz w:val="28"/>
          <w:szCs w:val="28"/>
        </w:rPr>
        <w:t>一</w:t>
      </w:r>
      <w:r>
        <w:rPr>
          <w:rStyle w:val="34"/>
          <w:rFonts w:hint="eastAsia" w:ascii="仿宋_GB2312" w:hAnsi="仿宋_GB2312" w:eastAsia="仿宋_GB2312" w:cs="仿宋_GB2312"/>
          <w:b w:val="0"/>
          <w:bCs w:val="0"/>
          <w:sz w:val="28"/>
          <w:szCs w:val="28"/>
        </w:rPr>
        <w:t>般公共预算财政拨款支出决算明细表</w:t>
      </w:r>
      <w:bookmarkEnd w:id="106"/>
      <w:bookmarkEnd w:id="107"/>
    </w:p>
    <w:p w14:paraId="4CBFB64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outlineLvl w:val="1"/>
        <w:rPr>
          <w:rFonts w:hint="eastAsia" w:ascii="仿宋_GB2312" w:hAnsi="仿宋_GB2312" w:eastAsia="仿宋_GB2312" w:cs="仿宋_GB2312"/>
          <w:sz w:val="28"/>
          <w:szCs w:val="28"/>
        </w:rPr>
      </w:pPr>
      <w:bookmarkStart w:id="108" w:name="_Toc25103"/>
      <w:bookmarkStart w:id="109" w:name="_Toc15396626"/>
      <w:r>
        <w:rPr>
          <w:rStyle w:val="34"/>
          <w:rFonts w:hint="eastAsia" w:ascii="仿宋_GB2312" w:hAnsi="仿宋_GB2312" w:eastAsia="仿宋_GB2312" w:cs="仿宋_GB2312"/>
          <w:b w:val="0"/>
          <w:bCs w:val="0"/>
          <w:sz w:val="28"/>
          <w:szCs w:val="28"/>
        </w:rPr>
        <w:t>八、</w:t>
      </w:r>
      <w:r>
        <w:rPr>
          <w:rFonts w:hint="eastAsia" w:ascii="仿宋_GB2312" w:hAnsi="仿宋_GB2312" w:eastAsia="仿宋_GB2312" w:cs="仿宋_GB2312"/>
          <w:b w:val="0"/>
          <w:sz w:val="28"/>
          <w:szCs w:val="28"/>
        </w:rPr>
        <w:t>一</w:t>
      </w:r>
      <w:r>
        <w:rPr>
          <w:rStyle w:val="34"/>
          <w:rFonts w:hint="eastAsia" w:ascii="仿宋_GB2312" w:hAnsi="仿宋_GB2312" w:eastAsia="仿宋_GB2312" w:cs="仿宋_GB2312"/>
          <w:b w:val="0"/>
          <w:bCs w:val="0"/>
          <w:sz w:val="28"/>
          <w:szCs w:val="28"/>
        </w:rPr>
        <w:t>般公共预算财政拨款基本支出决算表</w:t>
      </w:r>
      <w:bookmarkEnd w:id="108"/>
      <w:bookmarkEnd w:id="109"/>
    </w:p>
    <w:p w14:paraId="384EC58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outlineLvl w:val="1"/>
        <w:rPr>
          <w:rFonts w:hint="eastAsia" w:ascii="仿宋_GB2312" w:hAnsi="仿宋_GB2312" w:eastAsia="仿宋_GB2312" w:cs="仿宋_GB2312"/>
          <w:sz w:val="28"/>
          <w:szCs w:val="28"/>
        </w:rPr>
      </w:pPr>
      <w:bookmarkStart w:id="110" w:name="_Toc15396627"/>
      <w:bookmarkStart w:id="111" w:name="_Toc23325"/>
      <w:r>
        <w:rPr>
          <w:rStyle w:val="34"/>
          <w:rFonts w:hint="eastAsia" w:ascii="仿宋_GB2312" w:hAnsi="仿宋_GB2312" w:eastAsia="仿宋_GB2312" w:cs="仿宋_GB2312"/>
          <w:b w:val="0"/>
          <w:bCs w:val="0"/>
          <w:sz w:val="28"/>
          <w:szCs w:val="28"/>
        </w:rPr>
        <w:t>九、</w:t>
      </w:r>
      <w:r>
        <w:rPr>
          <w:rFonts w:hint="eastAsia" w:ascii="仿宋_GB2312" w:hAnsi="仿宋_GB2312" w:eastAsia="仿宋_GB2312" w:cs="仿宋_GB2312"/>
          <w:b w:val="0"/>
          <w:sz w:val="28"/>
          <w:szCs w:val="28"/>
        </w:rPr>
        <w:t>一</w:t>
      </w:r>
      <w:r>
        <w:rPr>
          <w:rStyle w:val="34"/>
          <w:rFonts w:hint="eastAsia" w:ascii="仿宋_GB2312" w:hAnsi="仿宋_GB2312" w:eastAsia="仿宋_GB2312" w:cs="仿宋_GB2312"/>
          <w:b w:val="0"/>
          <w:bCs w:val="0"/>
          <w:sz w:val="28"/>
          <w:szCs w:val="28"/>
        </w:rPr>
        <w:t>般公共预算财政拨款项目支出决算表</w:t>
      </w:r>
      <w:bookmarkEnd w:id="110"/>
      <w:bookmarkEnd w:id="111"/>
    </w:p>
    <w:p w14:paraId="5EFAA67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outlineLvl w:val="1"/>
        <w:rPr>
          <w:rFonts w:hint="eastAsia" w:ascii="仿宋_GB2312" w:hAnsi="仿宋_GB2312" w:eastAsia="仿宋_GB2312" w:cs="仿宋_GB2312"/>
          <w:sz w:val="28"/>
          <w:szCs w:val="28"/>
        </w:rPr>
      </w:pPr>
      <w:bookmarkStart w:id="112" w:name="_Toc15396628"/>
      <w:bookmarkStart w:id="113" w:name="_Toc32737"/>
      <w:r>
        <w:rPr>
          <w:rStyle w:val="34"/>
          <w:rFonts w:hint="eastAsia" w:ascii="仿宋_GB2312" w:hAnsi="仿宋_GB2312" w:eastAsia="仿宋_GB2312" w:cs="仿宋_GB2312"/>
          <w:b w:val="0"/>
          <w:bCs w:val="0"/>
          <w:sz w:val="28"/>
          <w:szCs w:val="28"/>
        </w:rPr>
        <w:t>十、</w:t>
      </w:r>
      <w:r>
        <w:rPr>
          <w:rFonts w:hint="eastAsia" w:ascii="仿宋_GB2312" w:hAnsi="仿宋_GB2312" w:eastAsia="仿宋_GB2312" w:cs="仿宋_GB2312"/>
          <w:b w:val="0"/>
          <w:sz w:val="28"/>
          <w:szCs w:val="28"/>
        </w:rPr>
        <w:t>一</w:t>
      </w:r>
      <w:r>
        <w:rPr>
          <w:rStyle w:val="34"/>
          <w:rFonts w:hint="eastAsia" w:ascii="仿宋_GB2312" w:hAnsi="仿宋_GB2312" w:eastAsia="仿宋_GB2312" w:cs="仿宋_GB2312"/>
          <w:b w:val="0"/>
          <w:bCs w:val="0"/>
          <w:sz w:val="28"/>
          <w:szCs w:val="28"/>
        </w:rPr>
        <w:t>般公共预算财政拨款“三公”经费支出决算表</w:t>
      </w:r>
      <w:bookmarkEnd w:id="112"/>
      <w:bookmarkEnd w:id="113"/>
    </w:p>
    <w:p w14:paraId="097C05E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outlineLvl w:val="1"/>
        <w:rPr>
          <w:rFonts w:hint="eastAsia" w:ascii="仿宋_GB2312" w:hAnsi="仿宋_GB2312" w:eastAsia="仿宋_GB2312" w:cs="仿宋_GB2312"/>
          <w:sz w:val="28"/>
          <w:szCs w:val="28"/>
        </w:rPr>
      </w:pPr>
      <w:bookmarkStart w:id="114" w:name="_Toc15396629"/>
      <w:bookmarkStart w:id="115" w:name="_Toc13249"/>
      <w:r>
        <w:rPr>
          <w:rStyle w:val="34"/>
          <w:rFonts w:hint="eastAsia" w:ascii="仿宋_GB2312" w:hAnsi="仿宋_GB2312" w:eastAsia="仿宋_GB2312" w:cs="仿宋_GB2312"/>
          <w:b w:val="0"/>
          <w:bCs w:val="0"/>
          <w:sz w:val="28"/>
          <w:szCs w:val="28"/>
        </w:rPr>
        <w:t>十一、</w:t>
      </w:r>
      <w:r>
        <w:rPr>
          <w:rFonts w:hint="eastAsia" w:ascii="仿宋_GB2312" w:hAnsi="仿宋_GB2312" w:eastAsia="仿宋_GB2312" w:cs="仿宋_GB2312"/>
          <w:b w:val="0"/>
          <w:sz w:val="28"/>
          <w:szCs w:val="28"/>
        </w:rPr>
        <w:t>政</w:t>
      </w:r>
      <w:r>
        <w:rPr>
          <w:rStyle w:val="34"/>
          <w:rFonts w:hint="eastAsia" w:ascii="仿宋_GB2312" w:hAnsi="仿宋_GB2312" w:eastAsia="仿宋_GB2312" w:cs="仿宋_GB2312"/>
          <w:b w:val="0"/>
          <w:bCs w:val="0"/>
          <w:sz w:val="28"/>
          <w:szCs w:val="28"/>
        </w:rPr>
        <w:t>府性基金预算财政拨款收入支出决算表</w:t>
      </w:r>
      <w:bookmarkEnd w:id="114"/>
      <w:bookmarkEnd w:id="115"/>
    </w:p>
    <w:p w14:paraId="21647EE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outlineLvl w:val="1"/>
        <w:rPr>
          <w:rFonts w:hint="eastAsia" w:ascii="仿宋_GB2312" w:hAnsi="仿宋_GB2312" w:eastAsia="仿宋_GB2312" w:cs="仿宋_GB2312"/>
          <w:sz w:val="28"/>
          <w:szCs w:val="28"/>
        </w:rPr>
      </w:pPr>
      <w:bookmarkStart w:id="116" w:name="_Toc31690"/>
      <w:bookmarkStart w:id="117" w:name="_Toc15396630"/>
      <w:r>
        <w:rPr>
          <w:rStyle w:val="34"/>
          <w:rFonts w:hint="eastAsia" w:ascii="仿宋_GB2312" w:hAnsi="仿宋_GB2312" w:eastAsia="仿宋_GB2312" w:cs="仿宋_GB2312"/>
          <w:b w:val="0"/>
          <w:bCs w:val="0"/>
          <w:sz w:val="28"/>
          <w:szCs w:val="28"/>
        </w:rPr>
        <w:t>十二、</w:t>
      </w:r>
      <w:r>
        <w:rPr>
          <w:rFonts w:hint="eastAsia" w:ascii="仿宋_GB2312" w:hAnsi="仿宋_GB2312" w:eastAsia="仿宋_GB2312" w:cs="仿宋_GB2312"/>
          <w:b w:val="0"/>
          <w:sz w:val="28"/>
          <w:szCs w:val="28"/>
        </w:rPr>
        <w:t>政</w:t>
      </w:r>
      <w:r>
        <w:rPr>
          <w:rStyle w:val="34"/>
          <w:rFonts w:hint="eastAsia" w:ascii="仿宋_GB2312" w:hAnsi="仿宋_GB2312" w:eastAsia="仿宋_GB2312" w:cs="仿宋_GB2312"/>
          <w:b w:val="0"/>
          <w:bCs w:val="0"/>
          <w:sz w:val="28"/>
          <w:szCs w:val="28"/>
        </w:rPr>
        <w:t>府性基金预算财政拨款“三公”经费支出决算表</w:t>
      </w:r>
      <w:bookmarkEnd w:id="116"/>
      <w:bookmarkEnd w:id="117"/>
    </w:p>
    <w:p w14:paraId="61DFB32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outlineLvl w:val="1"/>
        <w:rPr>
          <w:rStyle w:val="34"/>
          <w:rFonts w:hint="eastAsia" w:ascii="仿宋_GB2312" w:hAnsi="仿宋_GB2312" w:eastAsia="仿宋_GB2312" w:cs="仿宋_GB2312"/>
          <w:b w:val="0"/>
          <w:bCs w:val="0"/>
          <w:sz w:val="28"/>
          <w:szCs w:val="28"/>
        </w:rPr>
      </w:pPr>
      <w:bookmarkStart w:id="118" w:name="_Toc23075"/>
      <w:bookmarkStart w:id="119" w:name="_Toc15396631"/>
      <w:r>
        <w:rPr>
          <w:rStyle w:val="34"/>
          <w:rFonts w:hint="eastAsia" w:ascii="仿宋_GB2312" w:hAnsi="仿宋_GB2312" w:eastAsia="仿宋_GB2312" w:cs="仿宋_GB2312"/>
          <w:b w:val="0"/>
          <w:bCs w:val="0"/>
          <w:sz w:val="28"/>
          <w:szCs w:val="28"/>
        </w:rPr>
        <w:t>十三、</w:t>
      </w:r>
      <w:r>
        <w:rPr>
          <w:rFonts w:hint="eastAsia" w:ascii="仿宋_GB2312" w:hAnsi="仿宋_GB2312" w:eastAsia="仿宋_GB2312" w:cs="仿宋_GB2312"/>
          <w:b w:val="0"/>
          <w:sz w:val="28"/>
          <w:szCs w:val="28"/>
        </w:rPr>
        <w:t>国</w:t>
      </w:r>
      <w:r>
        <w:rPr>
          <w:rStyle w:val="34"/>
          <w:rFonts w:hint="eastAsia" w:ascii="仿宋_GB2312" w:hAnsi="仿宋_GB2312" w:eastAsia="仿宋_GB2312" w:cs="仿宋_GB2312"/>
          <w:b w:val="0"/>
          <w:bCs w:val="0"/>
          <w:sz w:val="28"/>
          <w:szCs w:val="28"/>
        </w:rPr>
        <w:t>有资本经营预算财政拨款收入支出决算表</w:t>
      </w:r>
      <w:bookmarkEnd w:id="118"/>
      <w:bookmarkEnd w:id="119"/>
    </w:p>
    <w:p w14:paraId="3C57038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outlineLvl w:val="1"/>
        <w:rPr>
          <w:rFonts w:hint="eastAsia" w:ascii="仿宋_GB2312" w:hAnsi="仿宋_GB2312" w:eastAsia="仿宋_GB2312" w:cs="仿宋_GB2312"/>
          <w:sz w:val="28"/>
          <w:szCs w:val="28"/>
        </w:rPr>
      </w:pPr>
      <w:bookmarkStart w:id="120" w:name="_Toc14191"/>
      <w:r>
        <w:rPr>
          <w:rStyle w:val="34"/>
          <w:rFonts w:hint="eastAsia" w:ascii="仿宋_GB2312" w:hAnsi="仿宋_GB2312" w:eastAsia="仿宋_GB2312" w:cs="仿宋_GB2312"/>
          <w:b w:val="0"/>
          <w:bCs w:val="0"/>
          <w:sz w:val="28"/>
          <w:szCs w:val="28"/>
        </w:rPr>
        <w:t>十四、国有资本经营预算财政拨款支出决算表</w:t>
      </w:r>
      <w:bookmarkEnd w:id="120"/>
    </w:p>
    <w:sectPr>
      <w:headerReference r:id="rId5" w:type="default"/>
      <w:footerReference r:id="rId6" w:type="default"/>
      <w:pgSz w:w="11906" w:h="16838"/>
      <w:pgMar w:top="1440" w:right="1800" w:bottom="1440" w:left="1800"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FangSong_GB2312">
    <w:altName w:val="仿宋_GB2312"/>
    <w:panose1 w:val="02010609030101010101"/>
    <w:charset w:val="86"/>
    <w:family w:val="modern"/>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A4C5F8">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17FFFD">
                          <w:pPr>
                            <w:pStyle w:val="1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6A17FFFD">
                    <w:pPr>
                      <w:pStyle w:val="1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p w14:paraId="48CE30BB">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4D8EA0">
    <w:pPr>
      <w:pStyle w:val="13"/>
      <w:ind w:firstLine="3780" w:firstLineChars="2100"/>
    </w:pPr>
    <w:r>
      <w:t xml:space="preserve">— </w:t>
    </w:r>
    <w:r>
      <w:fldChar w:fldCharType="begin"/>
    </w:r>
    <w:r>
      <w:instrText xml:space="preserve"> PAGE  \* MERGEFORMAT </w:instrText>
    </w:r>
    <w:r>
      <w:fldChar w:fldCharType="separate"/>
    </w:r>
    <w:r>
      <w:t>4</w:t>
    </w:r>
    <w:r>
      <w:fldChar w:fldCharType="end"/>
    </w:r>
    <w:r>
      <w:t xml:space="preserve"> —</w:t>
    </w:r>
  </w:p>
  <w:p w14:paraId="6D9B0951">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D6905A">
    <w:pPr>
      <w:pStyle w:val="13"/>
      <w:jc w:val="center"/>
    </w:pPr>
    <w:r>
      <w:rPr>
        <w:sz w:val="18"/>
      </w:rPr>
      <mc:AlternateContent>
        <mc:Choice Requires="wps">
          <w:drawing>
            <wp:anchor distT="0" distB="0" distL="114300" distR="114300" simplePos="0" relativeHeight="251660288" behindDoc="0" locked="0" layoutInCell="1" allowOverlap="1">
              <wp:simplePos x="0" y="0"/>
              <wp:positionH relativeFrom="margin">
                <wp:posOffset>2516505</wp:posOffset>
              </wp:positionH>
              <wp:positionV relativeFrom="paragraph">
                <wp:posOffset>0</wp:posOffset>
              </wp:positionV>
              <wp:extent cx="455295" cy="207645"/>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455295" cy="2076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D594FC">
                          <w:pPr>
                            <w:pStyle w:val="13"/>
                          </w:pPr>
                          <w:r>
                            <w:t xml:space="preserve">— </w:t>
                          </w:r>
                          <w:r>
                            <w:fldChar w:fldCharType="begin"/>
                          </w:r>
                          <w:r>
                            <w:instrText xml:space="preserve"> PAGE  \* MERGEFORMAT </w:instrText>
                          </w:r>
                          <w:r>
                            <w:fldChar w:fldCharType="separate"/>
                          </w:r>
                          <w:r>
                            <w:t>4</w:t>
                          </w:r>
                          <w:r>
                            <w:fldChar w:fldCharType="end"/>
                          </w:r>
                          <w: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98.15pt;margin-top:0pt;height:16.35pt;width:35.85pt;mso-position-horizontal-relative:margin;z-index:251660288;mso-width-relative:page;mso-height-relative:page;" filled="f" stroked="f" coordsize="21600,21600" o:gfxdata="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LU/9/1gAAAAcBAAAPAAAAAAAAAAEAIAAAACIAAABkcnMvZG93bnJl&#10;di54bWxQSwECFAAUAAAACACHTuJAOuToIjgCAABjBAAADgAAAAAAAAABACAAAAAlAQAAZHJzL2Uy&#10;b0RvYy54bWxQSwUGAAAAAAYABgBZAQAAzwUAAAAA&#10;">
              <v:fill on="f" focussize="0,0"/>
              <v:stroke on="f" weight="0.5pt"/>
              <v:imagedata o:title=""/>
              <o:lock v:ext="edit" aspectratio="f"/>
              <v:textbox inset="0mm,0mm,0mm,0mm">
                <w:txbxContent>
                  <w:p w14:paraId="10D594FC">
                    <w:pPr>
                      <w:pStyle w:val="13"/>
                    </w:pPr>
                    <w:r>
                      <w:t xml:space="preserve">— </w:t>
                    </w:r>
                    <w:r>
                      <w:fldChar w:fldCharType="begin"/>
                    </w:r>
                    <w:r>
                      <w:instrText xml:space="preserve"> PAGE  \* MERGEFORMAT </w:instrText>
                    </w:r>
                    <w:r>
                      <w:fldChar w:fldCharType="separate"/>
                    </w:r>
                    <w:r>
                      <w:t>4</w:t>
                    </w:r>
                    <w:r>
                      <w:fldChar w:fldCharType="end"/>
                    </w:r>
                    <w:r>
                      <w:t xml:space="preserve"> —</w:t>
                    </w:r>
                  </w:p>
                </w:txbxContent>
              </v:textbox>
            </v:shape>
          </w:pict>
        </mc:Fallback>
      </mc:AlternateContent>
    </w:r>
  </w:p>
  <w:p w14:paraId="6381C738">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FED41">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793590"/>
    <w:multiLevelType w:val="singleLevel"/>
    <w:tmpl w:val="BC793590"/>
    <w:lvl w:ilvl="0" w:tentative="0">
      <w:start w:val="9"/>
      <w:numFmt w:val="chineseCounting"/>
      <w:suff w:val="nothing"/>
      <w:lvlText w:val="%1、"/>
      <w:lvlJc w:val="left"/>
      <w:rPr>
        <w:rFonts w:hint="eastAsia"/>
      </w:rPr>
    </w:lvl>
  </w:abstractNum>
  <w:abstractNum w:abstractNumId="1">
    <w:nsid w:val="00000001"/>
    <w:multiLevelType w:val="multilevel"/>
    <w:tmpl w:val="0000000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24"/>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zZjk4ZmI4YzUyY2NiZTM5YjJkNjVmMjg0M2I1ODc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65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556C1"/>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96830"/>
    <w:rsid w:val="006A3141"/>
    <w:rsid w:val="006A5E34"/>
    <w:rsid w:val="006B2422"/>
    <w:rsid w:val="006B2B9A"/>
    <w:rsid w:val="006B4A29"/>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4374"/>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515DC"/>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0385F"/>
    <w:rsid w:val="01B06153"/>
    <w:rsid w:val="01F053F2"/>
    <w:rsid w:val="034874ED"/>
    <w:rsid w:val="03634CCC"/>
    <w:rsid w:val="03824AAC"/>
    <w:rsid w:val="039C7B37"/>
    <w:rsid w:val="03B10C72"/>
    <w:rsid w:val="04055CC3"/>
    <w:rsid w:val="04D058DF"/>
    <w:rsid w:val="04E232D6"/>
    <w:rsid w:val="05BE5915"/>
    <w:rsid w:val="05EF743A"/>
    <w:rsid w:val="063C6EBF"/>
    <w:rsid w:val="06641818"/>
    <w:rsid w:val="066E0107"/>
    <w:rsid w:val="06741A3B"/>
    <w:rsid w:val="06B057F0"/>
    <w:rsid w:val="06F06C3D"/>
    <w:rsid w:val="07996F6E"/>
    <w:rsid w:val="07B054DE"/>
    <w:rsid w:val="07D66E6C"/>
    <w:rsid w:val="08C73957"/>
    <w:rsid w:val="09332F3E"/>
    <w:rsid w:val="09730737"/>
    <w:rsid w:val="09D863A9"/>
    <w:rsid w:val="09F50332"/>
    <w:rsid w:val="09FC4A71"/>
    <w:rsid w:val="0A2032A3"/>
    <w:rsid w:val="0A5B169C"/>
    <w:rsid w:val="0AF76F83"/>
    <w:rsid w:val="0B967806"/>
    <w:rsid w:val="0C103F7E"/>
    <w:rsid w:val="0C773AF4"/>
    <w:rsid w:val="0DEC5472"/>
    <w:rsid w:val="0EDF6BD2"/>
    <w:rsid w:val="0F043B1B"/>
    <w:rsid w:val="0F9E443C"/>
    <w:rsid w:val="0FFA64A5"/>
    <w:rsid w:val="101860EC"/>
    <w:rsid w:val="1097457C"/>
    <w:rsid w:val="10A027B1"/>
    <w:rsid w:val="10B47AA1"/>
    <w:rsid w:val="10C055FF"/>
    <w:rsid w:val="11310D46"/>
    <w:rsid w:val="118107EC"/>
    <w:rsid w:val="11D32CDA"/>
    <w:rsid w:val="12C11B6B"/>
    <w:rsid w:val="13D50BC4"/>
    <w:rsid w:val="14241EA5"/>
    <w:rsid w:val="14914BD1"/>
    <w:rsid w:val="15613335"/>
    <w:rsid w:val="15B63C88"/>
    <w:rsid w:val="169D6E5A"/>
    <w:rsid w:val="16BB723D"/>
    <w:rsid w:val="176A1687"/>
    <w:rsid w:val="185E0C40"/>
    <w:rsid w:val="18BB26C5"/>
    <w:rsid w:val="19545C17"/>
    <w:rsid w:val="196F6360"/>
    <w:rsid w:val="1A327F2F"/>
    <w:rsid w:val="1A5254C0"/>
    <w:rsid w:val="1AAD72B8"/>
    <w:rsid w:val="1B0B43E7"/>
    <w:rsid w:val="1BB22C8F"/>
    <w:rsid w:val="1BB975B4"/>
    <w:rsid w:val="1BDC4D60"/>
    <w:rsid w:val="1BE8440E"/>
    <w:rsid w:val="1C340365"/>
    <w:rsid w:val="1C8274C1"/>
    <w:rsid w:val="1D1303D5"/>
    <w:rsid w:val="1D155CEE"/>
    <w:rsid w:val="1DB15DC6"/>
    <w:rsid w:val="1DE1684E"/>
    <w:rsid w:val="1EBB6803"/>
    <w:rsid w:val="1F040917"/>
    <w:rsid w:val="201B50E5"/>
    <w:rsid w:val="21624E14"/>
    <w:rsid w:val="21641F16"/>
    <w:rsid w:val="219B4DC6"/>
    <w:rsid w:val="22214AA1"/>
    <w:rsid w:val="223B4CCB"/>
    <w:rsid w:val="225304CB"/>
    <w:rsid w:val="22891F67"/>
    <w:rsid w:val="23860B96"/>
    <w:rsid w:val="23B8030D"/>
    <w:rsid w:val="23F20E07"/>
    <w:rsid w:val="240371BF"/>
    <w:rsid w:val="240F186A"/>
    <w:rsid w:val="24140326"/>
    <w:rsid w:val="242668C4"/>
    <w:rsid w:val="24B44B8B"/>
    <w:rsid w:val="25AD37B3"/>
    <w:rsid w:val="25D00ACA"/>
    <w:rsid w:val="26260ED6"/>
    <w:rsid w:val="26811DAB"/>
    <w:rsid w:val="268458FA"/>
    <w:rsid w:val="26D84233"/>
    <w:rsid w:val="288B1760"/>
    <w:rsid w:val="293D6764"/>
    <w:rsid w:val="29F86FC6"/>
    <w:rsid w:val="29FA4AAF"/>
    <w:rsid w:val="29FD04D3"/>
    <w:rsid w:val="2AD86C17"/>
    <w:rsid w:val="2C3C655B"/>
    <w:rsid w:val="2C6809EB"/>
    <w:rsid w:val="2C8A61B5"/>
    <w:rsid w:val="2D6D5613"/>
    <w:rsid w:val="2DE2169B"/>
    <w:rsid w:val="2DF04E50"/>
    <w:rsid w:val="2E3A762C"/>
    <w:rsid w:val="2ED5043C"/>
    <w:rsid w:val="2F680F48"/>
    <w:rsid w:val="305E5F3E"/>
    <w:rsid w:val="30A82DEE"/>
    <w:rsid w:val="30BF3A5B"/>
    <w:rsid w:val="319975AA"/>
    <w:rsid w:val="319F7F4E"/>
    <w:rsid w:val="31E16CCD"/>
    <w:rsid w:val="33910185"/>
    <w:rsid w:val="339A09C0"/>
    <w:rsid w:val="33C81479"/>
    <w:rsid w:val="33DE4053"/>
    <w:rsid w:val="343E79CD"/>
    <w:rsid w:val="35A41B73"/>
    <w:rsid w:val="36AA5135"/>
    <w:rsid w:val="37E16F03"/>
    <w:rsid w:val="382948AD"/>
    <w:rsid w:val="38C829C8"/>
    <w:rsid w:val="392E4D43"/>
    <w:rsid w:val="39722A58"/>
    <w:rsid w:val="39934A04"/>
    <w:rsid w:val="39C27EC2"/>
    <w:rsid w:val="3AAA77CF"/>
    <w:rsid w:val="3B84320A"/>
    <w:rsid w:val="3C125873"/>
    <w:rsid w:val="3C5C6E8F"/>
    <w:rsid w:val="3D98207C"/>
    <w:rsid w:val="3EE743D3"/>
    <w:rsid w:val="3F3F046E"/>
    <w:rsid w:val="3F513BC4"/>
    <w:rsid w:val="3F653868"/>
    <w:rsid w:val="3FE03E8E"/>
    <w:rsid w:val="3FFF1AFD"/>
    <w:rsid w:val="408F0158"/>
    <w:rsid w:val="412F79DD"/>
    <w:rsid w:val="41FD181B"/>
    <w:rsid w:val="429B2AB4"/>
    <w:rsid w:val="42BF1480"/>
    <w:rsid w:val="43F9150C"/>
    <w:rsid w:val="44E268DA"/>
    <w:rsid w:val="458F43B4"/>
    <w:rsid w:val="4610791B"/>
    <w:rsid w:val="475573AE"/>
    <w:rsid w:val="4770576A"/>
    <w:rsid w:val="47E04A0B"/>
    <w:rsid w:val="47FF3CEC"/>
    <w:rsid w:val="493F2D1B"/>
    <w:rsid w:val="49853D65"/>
    <w:rsid w:val="4A627F82"/>
    <w:rsid w:val="4B253FAC"/>
    <w:rsid w:val="4B4F25DA"/>
    <w:rsid w:val="4BE068DB"/>
    <w:rsid w:val="4C0864A5"/>
    <w:rsid w:val="4C9F714A"/>
    <w:rsid w:val="4D577224"/>
    <w:rsid w:val="4D6D1203"/>
    <w:rsid w:val="4DC6493B"/>
    <w:rsid w:val="4E222C70"/>
    <w:rsid w:val="4E71630A"/>
    <w:rsid w:val="4EA13B62"/>
    <w:rsid w:val="4EAB630A"/>
    <w:rsid w:val="4ECE2238"/>
    <w:rsid w:val="4F773B2C"/>
    <w:rsid w:val="4F833828"/>
    <w:rsid w:val="512916D5"/>
    <w:rsid w:val="51351ABF"/>
    <w:rsid w:val="52082CC6"/>
    <w:rsid w:val="528A3D2B"/>
    <w:rsid w:val="54262DD4"/>
    <w:rsid w:val="54653D58"/>
    <w:rsid w:val="548966EF"/>
    <w:rsid w:val="55087906"/>
    <w:rsid w:val="55A84859"/>
    <w:rsid w:val="562675FD"/>
    <w:rsid w:val="566C0BDB"/>
    <w:rsid w:val="56896D8A"/>
    <w:rsid w:val="571250FB"/>
    <w:rsid w:val="57BA6514"/>
    <w:rsid w:val="57CA5E9C"/>
    <w:rsid w:val="586B719A"/>
    <w:rsid w:val="58EE1AA5"/>
    <w:rsid w:val="58F31B0A"/>
    <w:rsid w:val="5AB44DEF"/>
    <w:rsid w:val="5AF92295"/>
    <w:rsid w:val="5BBC0BB6"/>
    <w:rsid w:val="5C5D193E"/>
    <w:rsid w:val="5CC44BE0"/>
    <w:rsid w:val="5CD71FC4"/>
    <w:rsid w:val="5CDF7C98"/>
    <w:rsid w:val="5DFE2D48"/>
    <w:rsid w:val="5E9A3CC2"/>
    <w:rsid w:val="609B58F4"/>
    <w:rsid w:val="60A234AA"/>
    <w:rsid w:val="619026CC"/>
    <w:rsid w:val="655C4D44"/>
    <w:rsid w:val="656B3962"/>
    <w:rsid w:val="65E40B8A"/>
    <w:rsid w:val="665074F0"/>
    <w:rsid w:val="66596817"/>
    <w:rsid w:val="66B8432E"/>
    <w:rsid w:val="66BD4BE1"/>
    <w:rsid w:val="685711FB"/>
    <w:rsid w:val="685C4343"/>
    <w:rsid w:val="687661D0"/>
    <w:rsid w:val="689D0ABA"/>
    <w:rsid w:val="69272501"/>
    <w:rsid w:val="69370D14"/>
    <w:rsid w:val="69410028"/>
    <w:rsid w:val="6A010C46"/>
    <w:rsid w:val="6B14410F"/>
    <w:rsid w:val="6BDF7C36"/>
    <w:rsid w:val="6C177508"/>
    <w:rsid w:val="6C382682"/>
    <w:rsid w:val="6C41402B"/>
    <w:rsid w:val="6C4A05C8"/>
    <w:rsid w:val="6C5B47D0"/>
    <w:rsid w:val="6C63766C"/>
    <w:rsid w:val="6D8C23E9"/>
    <w:rsid w:val="6E044540"/>
    <w:rsid w:val="6E3C1CD6"/>
    <w:rsid w:val="6E7E3605"/>
    <w:rsid w:val="6FD75D88"/>
    <w:rsid w:val="6FF5CC65"/>
    <w:rsid w:val="70AF2306"/>
    <w:rsid w:val="70D420AB"/>
    <w:rsid w:val="715A6588"/>
    <w:rsid w:val="715C0E4B"/>
    <w:rsid w:val="717572E9"/>
    <w:rsid w:val="72153C4D"/>
    <w:rsid w:val="72375CBD"/>
    <w:rsid w:val="72734D90"/>
    <w:rsid w:val="72B06F65"/>
    <w:rsid w:val="72EA3321"/>
    <w:rsid w:val="73AD73D5"/>
    <w:rsid w:val="73B46663"/>
    <w:rsid w:val="73B6EB34"/>
    <w:rsid w:val="740B5187"/>
    <w:rsid w:val="766C4E4A"/>
    <w:rsid w:val="769C1ADE"/>
    <w:rsid w:val="769E6CC2"/>
    <w:rsid w:val="780879A1"/>
    <w:rsid w:val="795C61F7"/>
    <w:rsid w:val="79E644B4"/>
    <w:rsid w:val="79EE5BA4"/>
    <w:rsid w:val="7A894339"/>
    <w:rsid w:val="7A964260"/>
    <w:rsid w:val="7B790349"/>
    <w:rsid w:val="7BC64388"/>
    <w:rsid w:val="7D824146"/>
    <w:rsid w:val="7DE83EC2"/>
    <w:rsid w:val="7E272D5D"/>
    <w:rsid w:val="7EEF11D3"/>
    <w:rsid w:val="7F150482"/>
    <w:rsid w:val="7FA30C79"/>
    <w:rsid w:val="7FC96657"/>
    <w:rsid w:val="7FDE3C0B"/>
    <w:rsid w:val="CCEEB78C"/>
    <w:rsid w:val="D8D6DB89"/>
    <w:rsid w:val="DB6F4CAB"/>
    <w:rsid w:val="DF6F9789"/>
    <w:rsid w:val="E9DF2889"/>
    <w:rsid w:val="FFD33BA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iPriority="99" w:semiHidden="0" w:name="Salutation"/>
    <w:lsdException w:uiPriority="99" w:name="Date"/>
    <w:lsdException w:uiPriority="99" w:name="Body Text First Indent"/>
    <w:lsdException w:qFormat="1"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3"/>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7"/>
    <w:unhideWhenUsed/>
    <w:qFormat/>
    <w:uiPriority w:val="9"/>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index 5"/>
    <w:basedOn w:val="1"/>
    <w:next w:val="1"/>
    <w:qFormat/>
    <w:uiPriority w:val="0"/>
    <w:pPr>
      <w:ind w:left="1680"/>
    </w:pPr>
  </w:style>
  <w:style w:type="paragraph" w:styleId="6">
    <w:name w:val="Normal Indent"/>
    <w:basedOn w:val="1"/>
    <w:next w:val="1"/>
    <w:qFormat/>
    <w:uiPriority w:val="99"/>
    <w:pPr>
      <w:ind w:firstLine="680"/>
    </w:pPr>
  </w:style>
  <w:style w:type="paragraph" w:styleId="7">
    <w:name w:val="Salutation"/>
    <w:basedOn w:val="1"/>
    <w:next w:val="1"/>
    <w:unhideWhenUsed/>
    <w:qFormat/>
    <w:uiPriority w:val="99"/>
    <w:rPr>
      <w:szCs w:val="24"/>
    </w:rPr>
  </w:style>
  <w:style w:type="paragraph" w:styleId="8">
    <w:name w:val="Body Text"/>
    <w:basedOn w:val="1"/>
    <w:link w:val="31"/>
    <w:qFormat/>
    <w:uiPriority w:val="99"/>
    <w:pPr>
      <w:spacing w:beforeLines="30"/>
    </w:pPr>
    <w:rPr>
      <w:rFonts w:ascii="FangSong_GB2312" w:eastAsia="FangSong_GB2312"/>
      <w:kern w:val="0"/>
      <w:sz w:val="30"/>
    </w:rPr>
  </w:style>
  <w:style w:type="paragraph" w:styleId="9">
    <w:name w:val="Body Text Indent"/>
    <w:basedOn w:val="1"/>
    <w:next w:val="10"/>
    <w:unhideWhenUsed/>
    <w:qFormat/>
    <w:uiPriority w:val="99"/>
    <w:pPr>
      <w:spacing w:after="120"/>
      <w:ind w:left="420" w:leftChars="200"/>
    </w:pPr>
  </w:style>
  <w:style w:type="paragraph" w:styleId="10">
    <w:name w:val="Body Text First Indent 2"/>
    <w:basedOn w:val="9"/>
    <w:next w:val="1"/>
    <w:unhideWhenUsed/>
    <w:qFormat/>
    <w:uiPriority w:val="0"/>
    <w:pPr>
      <w:spacing w:after="0"/>
      <w:ind w:left="0" w:leftChars="0" w:firstLine="200" w:firstLineChars="200"/>
    </w:pPr>
    <w:rPr>
      <w:bCs/>
      <w:kern w:val="0"/>
      <w:szCs w:val="32"/>
    </w:rPr>
  </w:style>
  <w:style w:type="paragraph" w:styleId="11">
    <w:name w:val="toc 3"/>
    <w:basedOn w:val="1"/>
    <w:next w:val="1"/>
    <w:unhideWhenUsed/>
    <w:qFormat/>
    <w:uiPriority w:val="39"/>
    <w:pPr>
      <w:tabs>
        <w:tab w:val="right" w:leader="dot" w:pos="8296"/>
      </w:tabs>
      <w:ind w:left="840" w:leftChars="400"/>
    </w:pPr>
  </w:style>
  <w:style w:type="paragraph" w:styleId="12">
    <w:name w:val="Balloon Text"/>
    <w:basedOn w:val="1"/>
    <w:link w:val="36"/>
    <w:semiHidden/>
    <w:unhideWhenUsed/>
    <w:qFormat/>
    <w:uiPriority w:val="99"/>
    <w:rPr>
      <w:sz w:val="18"/>
      <w:szCs w:val="18"/>
    </w:rPr>
  </w:style>
  <w:style w:type="paragraph" w:styleId="13">
    <w:name w:val="footer"/>
    <w:basedOn w:val="1"/>
    <w:link w:val="29"/>
    <w:qFormat/>
    <w:uiPriority w:val="99"/>
    <w:pPr>
      <w:tabs>
        <w:tab w:val="center" w:pos="4153"/>
        <w:tab w:val="right" w:pos="8306"/>
      </w:tabs>
      <w:snapToGrid w:val="0"/>
      <w:jc w:val="left"/>
    </w:pPr>
    <w:rPr>
      <w:rFonts w:ascii="Calibri" w:hAnsi="Calibri"/>
      <w:kern w:val="0"/>
      <w:sz w:val="18"/>
      <w:szCs w:val="18"/>
    </w:rPr>
  </w:style>
  <w:style w:type="paragraph" w:styleId="14">
    <w:name w:val="header"/>
    <w:basedOn w:val="1"/>
    <w:link w:val="2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5">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6">
    <w:name w:val="toc 2"/>
    <w:basedOn w:val="1"/>
    <w:next w:val="1"/>
    <w:unhideWhenUsed/>
    <w:qFormat/>
    <w:uiPriority w:val="39"/>
    <w:pPr>
      <w:tabs>
        <w:tab w:val="right" w:leader="dot" w:pos="8296"/>
      </w:tabs>
      <w:ind w:left="420" w:leftChars="200"/>
    </w:pPr>
  </w:style>
  <w:style w:type="paragraph" w:styleId="17">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20">
    <w:name w:val="Strong"/>
    <w:basedOn w:val="19"/>
    <w:qFormat/>
    <w:uiPriority w:val="99"/>
    <w:rPr>
      <w:b/>
    </w:rPr>
  </w:style>
  <w:style w:type="character" w:styleId="21">
    <w:name w:val="page number"/>
    <w:basedOn w:val="19"/>
    <w:qFormat/>
    <w:uiPriority w:val="0"/>
  </w:style>
  <w:style w:type="character" w:styleId="22">
    <w:name w:val="Hyperlink"/>
    <w:basedOn w:val="19"/>
    <w:unhideWhenUsed/>
    <w:qFormat/>
    <w:uiPriority w:val="99"/>
    <w:rPr>
      <w:color w:val="0000FF" w:themeColor="hyperlink"/>
      <w:u w:val="single"/>
      <w14:textFill>
        <w14:solidFill>
          <w14:schemeClr w14:val="hlink"/>
        </w14:solidFill>
      </w14:textFill>
    </w:rPr>
  </w:style>
  <w:style w:type="paragraph" w:customStyle="1" w:styleId="23">
    <w:name w:val="正文2"/>
    <w:basedOn w:val="1"/>
    <w:next w:val="1"/>
    <w:qFormat/>
    <w:uiPriority w:val="0"/>
    <w:pPr>
      <w:spacing w:line="576" w:lineRule="exact"/>
      <w:ind w:firstLine="200" w:firstLineChars="200"/>
    </w:pPr>
    <w:rPr>
      <w:rFonts w:cs="宋体"/>
      <w:szCs w:val="32"/>
      <w:lang w:bidi="ar-SA"/>
    </w:rPr>
  </w:style>
  <w:style w:type="paragraph" w:customStyle="1" w:styleId="24">
    <w:name w:val="标题 5（有编号）（绿盟科技）"/>
    <w:basedOn w:val="1"/>
    <w:next w:val="1"/>
    <w:qFormat/>
    <w:uiPriority w:val="0"/>
    <w:pPr>
      <w:keepNext/>
      <w:keepLines/>
      <w:numPr>
        <w:ilvl w:val="4"/>
        <w:numId w:val="1"/>
      </w:numPr>
      <w:spacing w:before="280" w:after="156" w:line="377" w:lineRule="auto"/>
      <w:jc w:val="left"/>
      <w:outlineLvl w:val="4"/>
    </w:pPr>
    <w:rPr>
      <w:rFonts w:ascii="Arial" w:hAnsi="Arial" w:eastAsia="黑体" w:cs="Times New Roman"/>
      <w:b/>
      <w:kern w:val="0"/>
      <w:sz w:val="24"/>
      <w:szCs w:val="28"/>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6">
    <w:name w:val="Header Char"/>
    <w:basedOn w:val="19"/>
    <w:semiHidden/>
    <w:qFormat/>
    <w:uiPriority w:val="99"/>
    <w:rPr>
      <w:rFonts w:ascii="Times New Roman" w:hAnsi="Times New Roman"/>
      <w:sz w:val="18"/>
      <w:szCs w:val="18"/>
    </w:rPr>
  </w:style>
  <w:style w:type="character" w:customStyle="1" w:styleId="27">
    <w:name w:val="页眉 Char"/>
    <w:link w:val="14"/>
    <w:semiHidden/>
    <w:qFormat/>
    <w:locked/>
    <w:uiPriority w:val="99"/>
    <w:rPr>
      <w:sz w:val="18"/>
    </w:rPr>
  </w:style>
  <w:style w:type="character" w:customStyle="1" w:styleId="28">
    <w:name w:val="Footer Char"/>
    <w:basedOn w:val="19"/>
    <w:semiHidden/>
    <w:qFormat/>
    <w:uiPriority w:val="99"/>
    <w:rPr>
      <w:rFonts w:ascii="Times New Roman" w:hAnsi="Times New Roman"/>
      <w:sz w:val="18"/>
      <w:szCs w:val="18"/>
    </w:rPr>
  </w:style>
  <w:style w:type="character" w:customStyle="1" w:styleId="29">
    <w:name w:val="页脚 Char"/>
    <w:link w:val="13"/>
    <w:qFormat/>
    <w:locked/>
    <w:uiPriority w:val="99"/>
    <w:rPr>
      <w:sz w:val="18"/>
    </w:rPr>
  </w:style>
  <w:style w:type="character" w:customStyle="1" w:styleId="30">
    <w:name w:val="Body Text Char"/>
    <w:basedOn w:val="19"/>
    <w:semiHidden/>
    <w:qFormat/>
    <w:uiPriority w:val="99"/>
    <w:rPr>
      <w:rFonts w:ascii="Times New Roman" w:hAnsi="Times New Roman"/>
      <w:szCs w:val="24"/>
    </w:rPr>
  </w:style>
  <w:style w:type="character" w:customStyle="1" w:styleId="31">
    <w:name w:val="正文文本 Char"/>
    <w:link w:val="8"/>
    <w:qFormat/>
    <w:locked/>
    <w:uiPriority w:val="99"/>
    <w:rPr>
      <w:rFonts w:ascii="FangSong_GB2312" w:hAnsi="Times New Roman" w:eastAsia="FangSong_GB2312"/>
      <w:sz w:val="24"/>
    </w:rPr>
  </w:style>
  <w:style w:type="paragraph" w:styleId="32">
    <w:name w:val="List Paragraph"/>
    <w:basedOn w:val="1"/>
    <w:qFormat/>
    <w:uiPriority w:val="34"/>
    <w:pPr>
      <w:ind w:firstLine="420" w:firstLineChars="200"/>
    </w:pPr>
  </w:style>
  <w:style w:type="character" w:customStyle="1" w:styleId="33">
    <w:name w:val="标题 1 Char"/>
    <w:basedOn w:val="19"/>
    <w:link w:val="3"/>
    <w:qFormat/>
    <w:uiPriority w:val="9"/>
    <w:rPr>
      <w:rFonts w:ascii="Times New Roman" w:hAnsi="Times New Roman"/>
      <w:b/>
      <w:bCs/>
      <w:kern w:val="44"/>
      <w:sz w:val="44"/>
      <w:szCs w:val="44"/>
    </w:rPr>
  </w:style>
  <w:style w:type="character" w:customStyle="1" w:styleId="34">
    <w:name w:val="标题 2 Char"/>
    <w:basedOn w:val="19"/>
    <w:link w:val="4"/>
    <w:qFormat/>
    <w:uiPriority w:val="9"/>
    <w:rPr>
      <w:rFonts w:asciiTheme="majorHAnsi" w:hAnsiTheme="majorHAnsi" w:eastAsiaTheme="majorEastAsia" w:cstheme="majorBidi"/>
      <w:b/>
      <w:bCs/>
      <w:kern w:val="2"/>
      <w:sz w:val="32"/>
      <w:szCs w:val="32"/>
    </w:rPr>
  </w:style>
  <w:style w:type="paragraph" w:customStyle="1" w:styleId="35">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6">
    <w:name w:val="批注框文本 Char"/>
    <w:basedOn w:val="19"/>
    <w:link w:val="12"/>
    <w:semiHidden/>
    <w:qFormat/>
    <w:uiPriority w:val="99"/>
    <w:rPr>
      <w:rFonts w:ascii="Times New Roman" w:hAnsi="Times New Roman"/>
      <w:kern w:val="2"/>
      <w:sz w:val="18"/>
      <w:szCs w:val="18"/>
    </w:rPr>
  </w:style>
  <w:style w:type="character" w:customStyle="1" w:styleId="37">
    <w:name w:val="标题 3 Char"/>
    <w:basedOn w:val="19"/>
    <w:link w:val="5"/>
    <w:qFormat/>
    <w:uiPriority w:val="9"/>
    <w:rPr>
      <w:rFonts w:ascii="Times New Roman" w:hAnsi="Times New Roman"/>
      <w:b/>
      <w:bCs/>
      <w:kern w:val="2"/>
      <w:sz w:val="32"/>
      <w:szCs w:val="32"/>
    </w:rPr>
  </w:style>
  <w:style w:type="paragraph" w:customStyle="1" w:styleId="38">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9">
    <w:name w:val="TOC1"/>
    <w:basedOn w:val="1"/>
    <w:next w:val="1"/>
    <w:qFormat/>
    <w:uiPriority w:val="0"/>
    <w:pPr>
      <w:tabs>
        <w:tab w:val="right" w:leader="dot" w:pos="8721"/>
      </w:tabs>
      <w:spacing w:line="360" w:lineRule="auto"/>
      <w:jc w:val="center"/>
      <w:textAlignment w:val="baseline"/>
    </w:pPr>
    <w:rPr>
      <w:rFonts w:ascii="Calibri" w:hAnsi="仿宋"/>
      <w:b/>
      <w:bCs/>
      <w:caps/>
      <w:sz w:val="28"/>
      <w:szCs w:val="28"/>
    </w:rPr>
  </w:style>
  <w:style w:type="character" w:customStyle="1" w:styleId="40">
    <w:name w:val="font21"/>
    <w:basedOn w:val="19"/>
    <w:qFormat/>
    <w:uiPriority w:val="0"/>
    <w:rPr>
      <w:rFonts w:hint="eastAsia" w:ascii="宋体" w:hAnsi="宋体" w:eastAsia="宋体" w:cs="宋体"/>
      <w:color w:val="000000"/>
      <w:sz w:val="24"/>
      <w:szCs w:val="24"/>
      <w:u w:val="none"/>
    </w:rPr>
  </w:style>
  <w:style w:type="paragraph" w:customStyle="1" w:styleId="41">
    <w:name w:val="表格抬头"/>
    <w:basedOn w:val="1"/>
    <w:qFormat/>
    <w:uiPriority w:val="0"/>
    <w:pPr>
      <w:ind w:firstLine="0" w:firstLineChars="0"/>
      <w:jc w:val="center"/>
    </w:pPr>
    <w:rPr>
      <w:rFonts w:eastAsia="楷体"/>
      <w:b/>
      <w:sz w:val="24"/>
      <w:szCs w:val="24"/>
    </w:rPr>
  </w:style>
  <w:style w:type="paragraph" w:customStyle="1" w:styleId="42">
    <w:name w:val="表格文字"/>
    <w:basedOn w:val="1"/>
    <w:qFormat/>
    <w:uiPriority w:val="0"/>
    <w:pPr>
      <w:spacing w:line="240" w:lineRule="auto"/>
      <w:ind w:firstLine="0" w:firstLineChars="0"/>
      <w:jc w:val="center"/>
    </w:pPr>
    <w:rPr>
      <w:bCs/>
      <w:kern w:val="28"/>
      <w:sz w:val="24"/>
      <w:szCs w:val="24"/>
    </w:rPr>
  </w:style>
  <w:style w:type="paragraph" w:customStyle="1" w:styleId="43">
    <w:name w:val="WPSOffice手动目录 1"/>
    <w:qFormat/>
    <w:uiPriority w:val="0"/>
    <w:pPr>
      <w:ind w:leftChars="0"/>
    </w:pPr>
    <w:rPr>
      <w:rFonts w:ascii="Times New Roman" w:hAnsi="Times New Roman" w:eastAsia="宋体" w:cs="Times New Roman"/>
      <w:sz w:val="20"/>
      <w:szCs w:val="20"/>
    </w:rPr>
  </w:style>
  <w:style w:type="paragraph" w:customStyle="1" w:styleId="44">
    <w:name w:val="WPSOffice手动目录 2"/>
    <w:qFormat/>
    <w:uiPriority w:val="0"/>
    <w:pPr>
      <w:ind w:leftChars="200"/>
    </w:pPr>
    <w:rPr>
      <w:rFonts w:ascii="Times New Roman" w:hAnsi="Times New Roman" w:eastAsia="宋体" w:cs="Times New Roman"/>
      <w:sz w:val="20"/>
      <w:szCs w:val="20"/>
    </w:rPr>
  </w:style>
  <w:style w:type="character" w:customStyle="1" w:styleId="45">
    <w:name w:val="NormalCharacter"/>
    <w:semiHidden/>
    <w:qFormat/>
    <w:uiPriority w:val="0"/>
    <w:rPr>
      <w:rFonts w:ascii="Calibri" w:hAnsi="Calibri" w:eastAsia="宋体" w:cs="Times New Roman"/>
      <w:kern w:val="2"/>
      <w:sz w:val="21"/>
      <w:szCs w:val="24"/>
      <w:lang w:val="en-US" w:eastAsia="zh-CN" w:bidi="ar-SA"/>
    </w:rPr>
  </w:style>
  <w:style w:type="paragraph" w:customStyle="1" w:styleId="46">
    <w:name w:val="正文文本1"/>
    <w:basedOn w:val="1"/>
    <w:qFormat/>
    <w:uiPriority w:val="99"/>
    <w:pPr>
      <w:spacing w:before="93"/>
    </w:pPr>
    <w:rPr>
      <w:rFonts w:ascii="仿宋_GB2312" w:hAnsi="仿宋_GB2312" w:eastAsia="仿宋_GB2312" w:cs="仿宋_GB2312"/>
      <w:kern w:val="0"/>
      <w:sz w:val="30"/>
      <w:szCs w:val="30"/>
    </w:rPr>
  </w:style>
  <w:style w:type="paragraph" w:customStyle="1" w:styleId="47">
    <w:name w:val="四号正文"/>
    <w:basedOn w:val="1"/>
    <w:qFormat/>
    <w:uiPriority w:val="0"/>
    <w:pPr>
      <w:spacing w:line="360" w:lineRule="auto"/>
    </w:pPr>
    <w:rPr>
      <w:rFonts w:ascii="??" w:hAnsi="??" w:eastAsia="宋体"/>
      <w:color w:val="000000"/>
      <w:kern w:val="0"/>
      <w:sz w:val="28"/>
      <w:szCs w:val="21"/>
      <w:lang w:val="zh-CN" w:eastAsia="zh-CN"/>
    </w:rPr>
  </w:style>
  <w:style w:type="paragraph" w:customStyle="1" w:styleId="48">
    <w:name w:val="列出段落1"/>
    <w:basedOn w:val="1"/>
    <w:qFormat/>
    <w:uiPriority w:val="34"/>
    <w:pPr>
      <w:ind w:firstLine="420" w:firstLineChars="200"/>
    </w:pPr>
    <w:rPr>
      <w:rFonts w:ascii="Calibri" w:hAnsi="Calibri" w:eastAsia="宋体" w:cs="Times New Roman"/>
    </w:rPr>
  </w:style>
  <w:style w:type="character" w:customStyle="1" w:styleId="49">
    <w:name w:val="font131"/>
    <w:basedOn w:val="19"/>
    <w:qFormat/>
    <w:uiPriority w:val="0"/>
    <w:rPr>
      <w:rFonts w:hint="eastAsia" w:ascii="宋体" w:hAnsi="宋体" w:eastAsia="宋体" w:cs="宋体"/>
      <w:b/>
      <w:bCs/>
      <w:color w:val="000000"/>
      <w:sz w:val="32"/>
      <w:szCs w:val="32"/>
      <w:u w:val="none"/>
    </w:rPr>
  </w:style>
  <w:style w:type="character" w:customStyle="1" w:styleId="50">
    <w:name w:val="font41"/>
    <w:basedOn w:val="19"/>
    <w:qFormat/>
    <w:uiPriority w:val="0"/>
    <w:rPr>
      <w:rFonts w:hint="eastAsia" w:ascii="宋体" w:hAnsi="宋体" w:eastAsia="宋体" w:cs="宋体"/>
      <w:color w:val="000000"/>
      <w:sz w:val="32"/>
      <w:szCs w:val="32"/>
      <w:u w:val="none"/>
    </w:rPr>
  </w:style>
  <w:style w:type="character" w:customStyle="1" w:styleId="51">
    <w:name w:val="font141"/>
    <w:basedOn w:val="19"/>
    <w:qFormat/>
    <w:uiPriority w:val="0"/>
    <w:rPr>
      <w:rFonts w:hint="eastAsia" w:ascii="宋体" w:hAnsi="宋体" w:eastAsia="宋体" w:cs="宋体"/>
      <w:color w:val="000000"/>
      <w:sz w:val="20"/>
      <w:szCs w:val="20"/>
      <w:u w:val="none"/>
    </w:rPr>
  </w:style>
  <w:style w:type="character" w:customStyle="1" w:styleId="52">
    <w:name w:val="font91"/>
    <w:basedOn w:val="19"/>
    <w:qFormat/>
    <w:uiPriority w:val="0"/>
    <w:rPr>
      <w:rFonts w:hint="eastAsia" w:ascii="宋体" w:hAnsi="宋体" w:eastAsia="宋体" w:cs="宋体"/>
      <w:color w:val="000000"/>
      <w:sz w:val="18"/>
      <w:szCs w:val="18"/>
      <w:u w:val="none"/>
    </w:rPr>
  </w:style>
  <w:style w:type="character" w:customStyle="1" w:styleId="53">
    <w:name w:val="font151"/>
    <w:basedOn w:val="19"/>
    <w:qFormat/>
    <w:uiPriority w:val="0"/>
    <w:rPr>
      <w:rFonts w:hint="eastAsia" w:ascii="宋体" w:hAnsi="宋体" w:eastAsia="宋体" w:cs="宋体"/>
      <w:color w:val="000000"/>
      <w:sz w:val="18"/>
      <w:szCs w:val="18"/>
      <w:u w:val="none"/>
    </w:rPr>
  </w:style>
  <w:style w:type="character" w:customStyle="1" w:styleId="54">
    <w:name w:val="font161"/>
    <w:basedOn w:val="19"/>
    <w:qFormat/>
    <w:uiPriority w:val="0"/>
    <w:rPr>
      <w:rFonts w:hint="eastAsia" w:ascii="宋体" w:hAnsi="宋体" w:eastAsia="宋体" w:cs="宋体"/>
      <w:color w:val="000000"/>
      <w:sz w:val="18"/>
      <w:szCs w:val="18"/>
      <w:u w:val="none"/>
    </w:rPr>
  </w:style>
  <w:style w:type="character" w:customStyle="1" w:styleId="55">
    <w:name w:val="font171"/>
    <w:basedOn w:val="19"/>
    <w:qFormat/>
    <w:uiPriority w:val="0"/>
    <w:rPr>
      <w:rFonts w:hint="eastAsia" w:ascii="宋体" w:hAnsi="宋体" w:eastAsia="宋体" w:cs="宋体"/>
      <w:color w:val="000000"/>
      <w:sz w:val="12"/>
      <w:szCs w:val="12"/>
      <w:u w:val="none"/>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2021年</c:v>
                </c:pt>
              </c:strCache>
            </c:strRef>
          </c:tx>
          <c:spPr>
            <a:solidFill>
              <a:schemeClr val="accent1">
                <a:alpha val="85000"/>
              </a:schemeClr>
            </a:solidFill>
            <a:ln w="9525" cap="flat" cmpd="sng" algn="ctr">
              <a:solidFill>
                <a:schemeClr val="lt1">
                  <a:alpha val="50000"/>
                </a:schemeClr>
              </a:solidFill>
              <a:round/>
            </a:ln>
            <a:effectLst/>
          </c:spPr>
          <c:invertIfNegative val="0"/>
          <c:dLbls>
            <c:delete val="1"/>
          </c:dLbls>
          <c:cat>
            <c:strRef>
              <c:f>Sheet1!$A$2:$A$3</c:f>
              <c:strCache>
                <c:ptCount val="2"/>
                <c:pt idx="0">
                  <c:v>收入</c:v>
                </c:pt>
                <c:pt idx="1">
                  <c:v>支出</c:v>
                </c:pt>
              </c:strCache>
            </c:strRef>
          </c:cat>
          <c:val>
            <c:numRef>
              <c:f>Sheet1!$B$2:$B$3</c:f>
              <c:numCache>
                <c:formatCode>General</c:formatCode>
                <c:ptCount val="2"/>
                <c:pt idx="0">
                  <c:v>1635.79</c:v>
                </c:pt>
                <c:pt idx="1">
                  <c:v>1635.79</c:v>
                </c:pt>
              </c:numCache>
            </c:numRef>
          </c:val>
        </c:ser>
        <c:ser>
          <c:idx val="1"/>
          <c:order val="1"/>
          <c:tx>
            <c:strRef>
              <c:f>Sheet1!$C$1</c:f>
              <c:strCache>
                <c:ptCount val="1"/>
                <c:pt idx="0">
                  <c:v>2022年</c:v>
                </c:pt>
              </c:strCache>
            </c:strRef>
          </c:tx>
          <c:spPr>
            <a:solidFill>
              <a:schemeClr val="accent2">
                <a:alpha val="85000"/>
              </a:schemeClr>
            </a:solidFill>
            <a:ln w="9525" cap="flat" cmpd="sng" algn="ctr">
              <a:solidFill>
                <a:schemeClr val="lt1">
                  <a:alpha val="50000"/>
                </a:schemeClr>
              </a:solidFill>
              <a:round/>
            </a:ln>
            <a:effectLst/>
          </c:spPr>
          <c:invertIfNegative val="0"/>
          <c:dLbls>
            <c:delete val="1"/>
          </c:dLbls>
          <c:cat>
            <c:strRef>
              <c:f>Sheet1!$A$2:$A$3</c:f>
              <c:strCache>
                <c:ptCount val="2"/>
                <c:pt idx="0">
                  <c:v>收入</c:v>
                </c:pt>
                <c:pt idx="1">
                  <c:v>支出</c:v>
                </c:pt>
              </c:strCache>
            </c:strRef>
          </c:cat>
          <c:val>
            <c:numRef>
              <c:f>Sheet1!$C$2:$C$3</c:f>
              <c:numCache>
                <c:formatCode>General</c:formatCode>
                <c:ptCount val="2"/>
                <c:pt idx="0">
                  <c:v>1731.19</c:v>
                </c:pt>
                <c:pt idx="1">
                  <c:v>1731.19</c:v>
                </c:pt>
              </c:numCache>
            </c:numRef>
          </c:val>
        </c:ser>
        <c:ser>
          <c:idx val="2"/>
          <c:order val="2"/>
          <c:tx>
            <c:strRef>
              <c:f>Sheet1!$D$1</c:f>
              <c:strCache>
                <c:ptCount val="1"/>
                <c:pt idx="0">
                  <c:v/>
                </c:pt>
              </c:strCache>
            </c:strRef>
          </c:tx>
          <c:spPr>
            <a:solidFill>
              <a:schemeClr val="accent3">
                <a:alpha val="85000"/>
              </a:schemeClr>
            </a:solidFill>
            <a:ln w="9525" cap="flat" cmpd="sng" algn="ctr">
              <a:solidFill>
                <a:schemeClr val="lt1">
                  <a:alpha val="50000"/>
                </a:schemeClr>
              </a:solidFill>
              <a:round/>
            </a:ln>
            <a:effectLst/>
          </c:spPr>
          <c:invertIfNegative val="0"/>
          <c:dLbls>
            <c:delete val="1"/>
          </c:dLbls>
          <c:cat>
            <c:strRef>
              <c:f>Sheet1!$A$2:$A$3</c:f>
              <c:strCache>
                <c:ptCount val="2"/>
                <c:pt idx="0">
                  <c:v>收入</c:v>
                </c:pt>
                <c:pt idx="1">
                  <c:v>支出</c:v>
                </c:pt>
              </c:strCache>
            </c:strRef>
          </c:cat>
          <c:val>
            <c:numRef>
              <c:f>Sheet1!$D$2:$D$3</c:f>
              <c:numCache>
                <c:formatCode>General</c:formatCode>
                <c:ptCount val="2"/>
              </c:numCache>
            </c:numRef>
          </c:val>
        </c:ser>
        <c:dLbls>
          <c:showLegendKey val="0"/>
          <c:showVal val="1"/>
          <c:showCatName val="0"/>
          <c:showSerName val="0"/>
          <c:showPercent val="0"/>
          <c:showBubbleSize val="0"/>
        </c:dLbls>
        <c:gapWidth val="75"/>
        <c:overlap val="-25"/>
        <c:axId val="283647531"/>
        <c:axId val="427499569"/>
      </c:barChart>
      <c:catAx>
        <c:axId val="283647531"/>
        <c:scaling>
          <c:orientation val="minMax"/>
        </c:scaling>
        <c:delete val="0"/>
        <c:axPos val="b"/>
        <c:majorTickMark val="none"/>
        <c:minorTickMark val="none"/>
        <c:tickLblPos val="nextTo"/>
        <c:spPr>
          <a:noFill/>
          <a:ln w="19050" cap="flat" cmpd="sng" algn="ctr">
            <a:solidFill>
              <a:schemeClr val="dk1">
                <a:lumMod val="75000"/>
                <a:lumOff val="25000"/>
              </a:schemeClr>
            </a:solidFill>
            <a:round/>
          </a:ln>
          <a:effectLst/>
        </c:spPr>
        <c:txPr>
          <a:bodyPr rot="-60000000" spcFirstLastPara="0" vertOverflow="ellipsis" vert="horz" wrap="square" anchor="ctr" anchorCtr="1"/>
          <a:lstStyle/>
          <a:p>
            <a:pPr>
              <a:defRPr lang="zh-CN" sz="900" b="0" i="0" u="none" strike="noStrike" kern="1200" cap="all" baseline="0">
                <a:solidFill>
                  <a:schemeClr val="dk1">
                    <a:lumMod val="75000"/>
                    <a:lumOff val="25000"/>
                  </a:schemeClr>
                </a:solidFill>
                <a:latin typeface="+mn-lt"/>
                <a:ea typeface="+mn-ea"/>
                <a:cs typeface="+mn-cs"/>
              </a:defRPr>
            </a:pPr>
          </a:p>
        </c:txPr>
        <c:crossAx val="427499569"/>
        <c:crosses val="autoZero"/>
        <c:auto val="1"/>
        <c:lblAlgn val="ctr"/>
        <c:lblOffset val="100"/>
        <c:noMultiLvlLbl val="0"/>
      </c:catAx>
      <c:valAx>
        <c:axId val="427499569"/>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crossAx val="283647531"/>
        <c:crosses val="autoZero"/>
        <c:crossBetween val="between"/>
      </c:valAx>
      <c:spPr>
        <a:noFill/>
        <a:ln>
          <a:noFill/>
        </a:ln>
        <a:effectLst/>
      </c:spPr>
    </c:plotArea>
    <c:legend>
      <c:legendPos val="b"/>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extLst>
      <c:ext uri="{0b15fc19-7d7d-44ad-8c2d-2c3a37ce22c3}">
        <chartProps xmlns="https://web.wps.cn/et/2018/main" chartId="{c731f3d3-b3ff-4685-8ddd-aedd22665478}"/>
      </c:ext>
    </c:extLst>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列1</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一般公共财政拨款收入</c:v>
                </c:pt>
                <c:pt idx="1">
                  <c:v>其他收入</c:v>
                </c:pt>
                <c:pt idx="2">
                  <c:v>政府基金</c:v>
                </c:pt>
                <c:pt idx="3">
                  <c:v>上级补助</c:v>
                </c:pt>
              </c:strCache>
            </c:strRef>
          </c:cat>
          <c:val>
            <c:numRef>
              <c:f>Sheet1!$B$2:$B$5</c:f>
              <c:numCache>
                <c:formatCode>General</c:formatCode>
                <c:ptCount val="4"/>
                <c:pt idx="0">
                  <c:v>1799.82</c:v>
                </c:pt>
                <c:pt idx="1">
                  <c:v>0</c:v>
                </c:pt>
                <c:pt idx="2">
                  <c:v>0</c:v>
                </c:pt>
                <c:pt idx="3">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dfbfaf2-4361-4a80-9292-24dc1f1fa13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列1</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基本支出</c:v>
                </c:pt>
                <c:pt idx="1">
                  <c:v>项目支出</c:v>
                </c:pt>
                <c:pt idx="2">
                  <c:v>上缴上级支出</c:v>
                </c:pt>
                <c:pt idx="3">
                  <c:v>其他支出</c:v>
                </c:pt>
              </c:strCache>
            </c:strRef>
          </c:cat>
          <c:val>
            <c:numRef>
              <c:f>Sheet1!$B$2:$B$5</c:f>
              <c:numCache>
                <c:formatCode>General</c:formatCode>
                <c:ptCount val="4"/>
                <c:pt idx="0">
                  <c:v>719.11</c:v>
                </c:pt>
                <c:pt idx="1">
                  <c:v>1080.71</c:v>
                </c:pt>
                <c:pt idx="2">
                  <c:v>0</c:v>
                </c:pt>
                <c:pt idx="3">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1023669-3a79-42b1-93de-6781262712a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2021</c:v>
                </c:pt>
              </c:strCache>
            </c:strRef>
          </c:tx>
          <c:spPr>
            <a:solidFill>
              <a:schemeClr val="accent1"/>
            </a:solidFill>
            <a:ln>
              <a:noFill/>
            </a:ln>
            <a:effectLst/>
          </c:spPr>
          <c:invertIfNegative val="0"/>
          <c:dLbls>
            <c:delete val="1"/>
          </c:dLbls>
          <c:cat>
            <c:strRef>
              <c:f>Sheet1!$A$2:$A$4</c:f>
              <c:strCache>
                <c:ptCount val="3"/>
                <c:pt idx="0">
                  <c:v>财政拨款收入</c:v>
                </c:pt>
                <c:pt idx="1">
                  <c:v>财政拨款支出</c:v>
                </c:pt>
              </c:strCache>
            </c:strRef>
          </c:cat>
          <c:val>
            <c:numRef>
              <c:f>Sheet1!$B$2:$B$4</c:f>
              <c:numCache>
                <c:formatCode>General</c:formatCode>
                <c:ptCount val="3"/>
                <c:pt idx="0">
                  <c:v>1635.79</c:v>
                </c:pt>
                <c:pt idx="1">
                  <c:v>1635.79</c:v>
                </c:pt>
              </c:numCache>
            </c:numRef>
          </c:val>
        </c:ser>
        <c:ser>
          <c:idx val="1"/>
          <c:order val="1"/>
          <c:tx>
            <c:strRef>
              <c:f>Sheet1!$C$1</c:f>
              <c:strCache>
                <c:ptCount val="1"/>
                <c:pt idx="0">
                  <c:v>2022</c:v>
                </c:pt>
              </c:strCache>
            </c:strRef>
          </c:tx>
          <c:spPr>
            <a:solidFill>
              <a:schemeClr val="accent2"/>
            </a:solidFill>
            <a:ln>
              <a:noFill/>
            </a:ln>
            <a:effectLst/>
          </c:spPr>
          <c:invertIfNegative val="0"/>
          <c:dLbls>
            <c:delete val="1"/>
          </c:dLbls>
          <c:cat>
            <c:strRef>
              <c:f>Sheet1!$A$2:$A$4</c:f>
              <c:strCache>
                <c:ptCount val="3"/>
                <c:pt idx="0">
                  <c:v>财政拨款收入</c:v>
                </c:pt>
                <c:pt idx="1">
                  <c:v>财政拨款支出</c:v>
                </c:pt>
              </c:strCache>
            </c:strRef>
          </c:cat>
          <c:val>
            <c:numRef>
              <c:f>Sheet1!$C$2:$C$4</c:f>
              <c:numCache>
                <c:formatCode>General</c:formatCode>
                <c:ptCount val="3"/>
                <c:pt idx="0">
                  <c:v>1799.82</c:v>
                </c:pt>
                <c:pt idx="1">
                  <c:v>1799.82</c:v>
                </c:pt>
              </c:numCache>
            </c:numRef>
          </c:val>
        </c:ser>
        <c:dLbls>
          <c:showLegendKey val="0"/>
          <c:showVal val="0"/>
          <c:showCatName val="0"/>
          <c:showSerName val="0"/>
          <c:showPercent val="0"/>
          <c:showBubbleSize val="0"/>
        </c:dLbls>
        <c:gapWidth val="219"/>
        <c:overlap val="-27"/>
        <c:axId val="723702986"/>
        <c:axId val="184055753"/>
      </c:barChart>
      <c:catAx>
        <c:axId val="72370298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84055753"/>
        <c:crosses val="autoZero"/>
        <c:auto val="1"/>
        <c:lblAlgn val="ctr"/>
        <c:lblOffset val="100"/>
        <c:noMultiLvlLbl val="0"/>
      </c:catAx>
      <c:valAx>
        <c:axId val="18405575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2370298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f04129c-1c3a-454c-b751-cca668f2c283}"/>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0762"/>
          <c:y val="0.127"/>
          <c:w val="0.8938"/>
          <c:h val="0.7169"/>
        </c:manualLayout>
      </c:layout>
      <c:barChart>
        <c:barDir val="col"/>
        <c:grouping val="clustered"/>
        <c:varyColors val="0"/>
        <c:ser>
          <c:idx val="0"/>
          <c:order val="0"/>
          <c:tx>
            <c:strRef>
              <c:f>Sheet1!$B$1</c:f>
              <c:strCache>
                <c:ptCount val="1"/>
                <c:pt idx="0">
                  <c:v>2021</c:v>
                </c:pt>
              </c:strCache>
            </c:strRef>
          </c:tx>
          <c:spPr>
            <a:solidFill>
              <a:schemeClr val="accent1"/>
            </a:solidFill>
            <a:ln>
              <a:noFill/>
            </a:ln>
            <a:effectLst/>
          </c:spPr>
          <c:invertIfNegative val="0"/>
          <c:dLbls>
            <c:delete val="1"/>
          </c:dLbls>
          <c:cat>
            <c:strRef>
              <c:f>Sheet1!$A$2:$A$3</c:f>
              <c:strCache>
                <c:ptCount val="2"/>
                <c:pt idx="0">
                  <c:v>一般公共预算财政拨款支出</c:v>
                </c:pt>
              </c:strCache>
            </c:strRef>
          </c:cat>
          <c:val>
            <c:numRef>
              <c:f>Sheet1!$B$2:$B$3</c:f>
              <c:numCache>
                <c:formatCode>General</c:formatCode>
                <c:ptCount val="2"/>
                <c:pt idx="0">
                  <c:v>1767.03</c:v>
                </c:pt>
              </c:numCache>
            </c:numRef>
          </c:val>
        </c:ser>
        <c:ser>
          <c:idx val="1"/>
          <c:order val="1"/>
          <c:tx>
            <c:strRef>
              <c:f>Sheet1!$C$1</c:f>
              <c:strCache>
                <c:ptCount val="1"/>
                <c:pt idx="0">
                  <c:v>2022</c:v>
                </c:pt>
              </c:strCache>
            </c:strRef>
          </c:tx>
          <c:spPr>
            <a:solidFill>
              <a:schemeClr val="accent2"/>
            </a:solidFill>
            <a:ln>
              <a:noFill/>
            </a:ln>
            <a:effectLst/>
          </c:spPr>
          <c:invertIfNegative val="0"/>
          <c:dLbls>
            <c:delete val="1"/>
          </c:dLbls>
          <c:cat>
            <c:strRef>
              <c:f>Sheet1!$A$2:$A$3</c:f>
              <c:strCache>
                <c:ptCount val="2"/>
                <c:pt idx="0">
                  <c:v>一般公共预算财政拨款支出</c:v>
                </c:pt>
              </c:strCache>
            </c:strRef>
          </c:cat>
          <c:val>
            <c:numRef>
              <c:f>Sheet1!$C$2:$C$3</c:f>
              <c:numCache>
                <c:formatCode>General</c:formatCode>
                <c:ptCount val="2"/>
                <c:pt idx="0">
                  <c:v>1799.82</c:v>
                </c:pt>
              </c:numCache>
            </c:numRef>
          </c:val>
        </c:ser>
        <c:dLbls>
          <c:showLegendKey val="0"/>
          <c:showVal val="0"/>
          <c:showCatName val="0"/>
          <c:showSerName val="0"/>
          <c:showPercent val="0"/>
          <c:showBubbleSize val="0"/>
        </c:dLbls>
        <c:gapWidth val="219"/>
        <c:overlap val="-27"/>
        <c:axId val="406655999"/>
        <c:axId val="326913198"/>
      </c:barChart>
      <c:catAx>
        <c:axId val="40665599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26913198"/>
        <c:crosses val="autoZero"/>
        <c:auto val="1"/>
        <c:lblAlgn val="ctr"/>
        <c:lblOffset val="100"/>
        <c:noMultiLvlLbl val="0"/>
      </c:catAx>
      <c:valAx>
        <c:axId val="32691319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06655999"/>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fe91a06-6005-441f-9987-abff03b2a829}"/>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万元</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delete val="1"/>
          </c:dLbls>
          <c:cat>
            <c:strRef>
              <c:f>Sheet1!$A$2:$A$8</c:f>
              <c:strCache>
                <c:ptCount val="7"/>
                <c:pt idx="0">
                  <c:v>一般公共服务支出</c:v>
                </c:pt>
                <c:pt idx="1">
                  <c:v>教育支出</c:v>
                </c:pt>
                <c:pt idx="2">
                  <c:v>社会保障和就业支出</c:v>
                </c:pt>
                <c:pt idx="3">
                  <c:v>节卫生健康支出</c:v>
                </c:pt>
                <c:pt idx="4">
                  <c:v>农林水支出</c:v>
                </c:pt>
                <c:pt idx="5">
                  <c:v>住房保障支出</c:v>
                </c:pt>
                <c:pt idx="6">
                  <c:v>其他支出</c:v>
                </c:pt>
              </c:strCache>
            </c:strRef>
          </c:cat>
          <c:val>
            <c:numRef>
              <c:f>Sheet1!$B$2:$B$8</c:f>
              <c:numCache>
                <c:formatCode>General</c:formatCode>
                <c:ptCount val="7"/>
                <c:pt idx="0">
                  <c:v>1037.45</c:v>
                </c:pt>
                <c:pt idx="1">
                  <c:v>0.3</c:v>
                </c:pt>
                <c:pt idx="2">
                  <c:v>76.67</c:v>
                </c:pt>
                <c:pt idx="3">
                  <c:v>44.14</c:v>
                </c:pt>
                <c:pt idx="4">
                  <c:v>212.68</c:v>
                </c:pt>
                <c:pt idx="5">
                  <c:v>43.95</c:v>
                </c:pt>
                <c:pt idx="6">
                  <c:v>384.61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323394a-3722-4883-b211-3ae0b28829c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万元</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因公出国出境</c:v>
                </c:pt>
                <c:pt idx="1">
                  <c:v>公务用车运行维护费</c:v>
                </c:pt>
                <c:pt idx="2">
                  <c:v>公务接待费</c:v>
                </c:pt>
              </c:strCache>
            </c:strRef>
          </c:cat>
          <c:val>
            <c:numRef>
              <c:f>Sheet1!$B$2:$B$5</c:f>
              <c:numCache>
                <c:formatCode>General</c:formatCode>
                <c:ptCount val="4"/>
                <c:pt idx="0">
                  <c:v>0</c:v>
                </c:pt>
                <c:pt idx="1">
                  <c:v>22</c:v>
                </c:pt>
                <c:pt idx="2">
                  <c:v>0.24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436cea7-c5b0-460e-bbe3-dd312c735d8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27</Pages>
  <Words>583</Words>
  <Characters>607</Characters>
  <Lines>57</Lines>
  <Paragraphs>16</Paragraphs>
  <TotalTime>6</TotalTime>
  <ScaleCrop>false</ScaleCrop>
  <LinksUpToDate>false</LinksUpToDate>
  <CharactersWithSpaces>673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2022-08-18T03:00:00Z</dcterms:created>
  <dc:creator>曹颖</dc:creator>
  <cp:lastModifiedBy>雪。</cp:lastModifiedBy>
  <cp:lastPrinted>2022-08-09T09:11:00Z</cp:lastPrinted>
  <dcterms:modified xsi:type="dcterms:W3CDTF">2026-07-10T02:06:04Z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50EBC57693F942B8B41E6CF102FD615B_13</vt:lpwstr>
  </property>
  <property fmtid="{D5CDD505-2E9C-101B-9397-08002B2CF9AE}" pid="4" name="KSOTemplateDocerSaveRecord">
    <vt:lpwstr>eyJoZGlkIjoiN2QzZjk4ZmI4YzUyY2NiZTM5YjJkNjVmMjg0M2I1ODciLCJ1c2VySWQiOiIxMTY3MDI4OTQxIn0=</vt:lpwstr>
  </property>
</Properties>
</file>