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28C8B">
      <w:pPr>
        <w:rPr>
          <w:rFonts w:ascii="黑体" w:hAnsi="黑体" w:eastAsia="黑体" w:cs="Times New Roman"/>
          <w:sz w:val="44"/>
          <w:szCs w:val="44"/>
        </w:rPr>
      </w:pPr>
    </w:p>
    <w:p w14:paraId="0794A527">
      <w:pPr>
        <w:rPr>
          <w:rFonts w:ascii="黑体" w:hAnsi="黑体" w:eastAsia="黑体" w:cs="Times New Roman"/>
          <w:sz w:val="44"/>
          <w:szCs w:val="44"/>
        </w:rPr>
      </w:pPr>
    </w:p>
    <w:p w14:paraId="6C248EAA">
      <w:pPr>
        <w:rPr>
          <w:rFonts w:ascii="黑体" w:hAnsi="黑体" w:eastAsia="黑体" w:cs="Times New Roman"/>
          <w:sz w:val="44"/>
          <w:szCs w:val="44"/>
        </w:rPr>
      </w:pPr>
    </w:p>
    <w:p w14:paraId="7210B08C">
      <w:pPr>
        <w:rPr>
          <w:rFonts w:ascii="黑体" w:hAnsi="黑体" w:eastAsia="黑体" w:cs="Times New Roman"/>
          <w:sz w:val="44"/>
          <w:szCs w:val="44"/>
        </w:rPr>
      </w:pPr>
    </w:p>
    <w:p w14:paraId="6E6FD0AD">
      <w:pPr>
        <w:rPr>
          <w:rFonts w:ascii="黑体" w:hAnsi="黑体" w:eastAsia="黑体" w:cs="Times New Roman"/>
          <w:sz w:val="44"/>
          <w:szCs w:val="44"/>
        </w:rPr>
      </w:pPr>
    </w:p>
    <w:p w14:paraId="320AA8B7">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中共壤塘县委组织部</w:t>
      </w:r>
    </w:p>
    <w:p w14:paraId="702F72F3">
      <w:pPr>
        <w:jc w:val="center"/>
        <w:rPr>
          <w:rFonts w:ascii="黑体" w:hAnsi="黑体" w:eastAsia="黑体" w:cs="Times New Roman"/>
          <w:sz w:val="72"/>
          <w:szCs w:val="72"/>
        </w:rPr>
      </w:pPr>
      <w:r>
        <w:rPr>
          <w:rFonts w:ascii="黑体" w:hAnsi="黑体" w:eastAsia="黑体" w:cs="黑体"/>
          <w:sz w:val="72"/>
          <w:szCs w:val="72"/>
        </w:rPr>
        <w:t>202</w:t>
      </w:r>
      <w:r>
        <w:rPr>
          <w:rFonts w:hint="eastAsia" w:ascii="黑体" w:hAnsi="黑体" w:eastAsia="黑体" w:cs="黑体"/>
          <w:sz w:val="72"/>
          <w:szCs w:val="72"/>
          <w:lang w:val="en-US" w:eastAsia="zh-CN"/>
        </w:rPr>
        <w:t>4</w:t>
      </w:r>
      <w:r>
        <w:rPr>
          <w:rFonts w:ascii="黑体" w:hAnsi="黑体" w:eastAsia="黑体" w:cs="黑体"/>
          <w:sz w:val="72"/>
          <w:szCs w:val="72"/>
        </w:rPr>
        <w:t>年</w:t>
      </w:r>
      <w:r>
        <w:rPr>
          <w:rFonts w:hint="eastAsia" w:ascii="黑体" w:hAnsi="黑体" w:eastAsia="黑体" w:cs="黑体"/>
          <w:sz w:val="72"/>
          <w:szCs w:val="72"/>
        </w:rPr>
        <w:t>部门预算</w:t>
      </w:r>
    </w:p>
    <w:p w14:paraId="16766224">
      <w:pPr>
        <w:jc w:val="center"/>
        <w:rPr>
          <w:rFonts w:ascii="黑体" w:hAnsi="黑体" w:eastAsia="黑体" w:cs="Times New Roman"/>
          <w:sz w:val="44"/>
          <w:szCs w:val="44"/>
        </w:rPr>
      </w:pPr>
    </w:p>
    <w:p w14:paraId="433C8458">
      <w:pPr>
        <w:jc w:val="center"/>
        <w:rPr>
          <w:rFonts w:ascii="黑体" w:hAnsi="黑体" w:eastAsia="黑体" w:cs="Times New Roman"/>
          <w:sz w:val="44"/>
          <w:szCs w:val="44"/>
        </w:rPr>
      </w:pPr>
    </w:p>
    <w:p w14:paraId="4611994D">
      <w:pPr>
        <w:jc w:val="center"/>
        <w:rPr>
          <w:rFonts w:ascii="黑体" w:hAnsi="黑体" w:eastAsia="黑体" w:cs="Times New Roman"/>
          <w:sz w:val="44"/>
          <w:szCs w:val="44"/>
        </w:rPr>
      </w:pPr>
    </w:p>
    <w:p w14:paraId="238AC9E6">
      <w:pPr>
        <w:jc w:val="center"/>
        <w:rPr>
          <w:rFonts w:ascii="黑体" w:hAnsi="黑体" w:eastAsia="黑体" w:cs="Times New Roman"/>
          <w:sz w:val="44"/>
          <w:szCs w:val="44"/>
        </w:rPr>
      </w:pPr>
    </w:p>
    <w:p w14:paraId="5A24A5C2">
      <w:pPr>
        <w:jc w:val="center"/>
        <w:rPr>
          <w:rFonts w:ascii="黑体" w:hAnsi="黑体" w:eastAsia="黑体" w:cs="Times New Roman"/>
          <w:sz w:val="44"/>
          <w:szCs w:val="44"/>
        </w:rPr>
      </w:pPr>
    </w:p>
    <w:p w14:paraId="38D1F39C">
      <w:pPr>
        <w:jc w:val="center"/>
        <w:rPr>
          <w:rFonts w:ascii="黑体" w:hAnsi="黑体" w:eastAsia="黑体" w:cs="Times New Roman"/>
          <w:sz w:val="44"/>
          <w:szCs w:val="44"/>
        </w:rPr>
      </w:pPr>
    </w:p>
    <w:p w14:paraId="295D8247">
      <w:pPr>
        <w:jc w:val="center"/>
        <w:rPr>
          <w:rFonts w:ascii="黑体" w:hAnsi="黑体" w:eastAsia="黑体" w:cs="Times New Roman"/>
          <w:sz w:val="44"/>
          <w:szCs w:val="44"/>
        </w:rPr>
      </w:pPr>
    </w:p>
    <w:p w14:paraId="56079F68">
      <w:pPr>
        <w:jc w:val="center"/>
        <w:rPr>
          <w:rFonts w:ascii="黑体" w:hAnsi="黑体" w:eastAsia="黑体" w:cs="Times New Roman"/>
          <w:sz w:val="44"/>
          <w:szCs w:val="44"/>
        </w:rPr>
      </w:pPr>
    </w:p>
    <w:p w14:paraId="44A245CC">
      <w:pPr>
        <w:jc w:val="center"/>
        <w:rPr>
          <w:rFonts w:ascii="黑体" w:hAnsi="黑体" w:eastAsia="黑体" w:cs="Times New Roman"/>
          <w:sz w:val="44"/>
          <w:szCs w:val="44"/>
        </w:rPr>
      </w:pPr>
    </w:p>
    <w:p w14:paraId="76FE7A13">
      <w:pPr>
        <w:jc w:val="center"/>
        <w:rPr>
          <w:rFonts w:ascii="黑体" w:hAnsi="黑体" w:eastAsia="黑体" w:cs="Times New Roman"/>
          <w:sz w:val="44"/>
          <w:szCs w:val="44"/>
        </w:rPr>
      </w:pPr>
    </w:p>
    <w:p w14:paraId="4DFBC6F4">
      <w:pPr>
        <w:jc w:val="center"/>
        <w:rPr>
          <w:rFonts w:ascii="黑体" w:hAnsi="黑体" w:eastAsia="黑体" w:cs="Times New Roman"/>
          <w:sz w:val="52"/>
          <w:szCs w:val="52"/>
        </w:rPr>
      </w:pPr>
      <w:r>
        <w:rPr>
          <w:rFonts w:hint="eastAsia" w:ascii="黑体" w:hAnsi="黑体" w:eastAsia="黑体" w:cs="黑体"/>
          <w:sz w:val="52"/>
          <w:szCs w:val="52"/>
          <w:lang w:val="en-US" w:eastAsia="zh-CN"/>
        </w:rPr>
        <w:t>2024</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hint="eastAsia" w:ascii="黑体" w:hAnsi="黑体" w:eastAsia="黑体" w:cs="黑体"/>
          <w:sz w:val="52"/>
          <w:szCs w:val="52"/>
          <w:lang w:val="en-US" w:eastAsia="zh-CN"/>
        </w:rPr>
        <w:t>30</w:t>
      </w:r>
      <w:r>
        <w:rPr>
          <w:rFonts w:hint="eastAsia" w:ascii="黑体" w:hAnsi="黑体" w:eastAsia="黑体" w:cs="黑体"/>
          <w:sz w:val="52"/>
          <w:szCs w:val="52"/>
        </w:rPr>
        <w:t>日</w:t>
      </w:r>
    </w:p>
    <w:p w14:paraId="72757249">
      <w:pPr>
        <w:rPr>
          <w:rFonts w:ascii="黑体" w:hAnsi="黑体" w:eastAsia="黑体" w:cs="Times New Roman"/>
          <w:sz w:val="44"/>
          <w:szCs w:val="44"/>
        </w:rPr>
      </w:pPr>
    </w:p>
    <w:p w14:paraId="3073550F">
      <w:pPr>
        <w:rPr>
          <w:rFonts w:ascii="黑体" w:hAnsi="黑体" w:eastAsia="黑体" w:cs="Times New Roman"/>
          <w:sz w:val="44"/>
          <w:szCs w:val="44"/>
        </w:rPr>
        <w:sectPr>
          <w:footerReference r:id="rId3" w:type="default"/>
          <w:pgSz w:w="11906" w:h="16838"/>
          <w:pgMar w:top="1440" w:right="1800" w:bottom="1440" w:left="1800" w:header="851" w:footer="992" w:gutter="0"/>
          <w:cols w:space="720" w:num="1"/>
          <w:docGrid w:type="lines" w:linePitch="312" w:charSpace="0"/>
        </w:sectPr>
      </w:pPr>
    </w:p>
    <w:p w14:paraId="5B3EB914">
      <w:pPr>
        <w:pStyle w:val="4"/>
      </w:pPr>
    </w:p>
    <w:sdt>
      <w:sdtPr>
        <w:rPr>
          <w:rFonts w:ascii="宋体" w:hAnsi="宋体" w:eastAsia="宋体" w:cs="Calibri"/>
          <w:b/>
          <w:bCs/>
          <w:kern w:val="2"/>
          <w:sz w:val="52"/>
          <w:szCs w:val="52"/>
          <w:lang w:val="en-US" w:eastAsia="zh-CN" w:bidi="ar-SA"/>
        </w:rPr>
        <w:id w:val="147483376"/>
        <w15:color w:val="DBDBDB"/>
        <w:docPartObj>
          <w:docPartGallery w:val="Table of Contents"/>
          <w:docPartUnique/>
        </w:docPartObj>
      </w:sdtPr>
      <w:sdtEndPr>
        <w:rPr>
          <w:rFonts w:hint="eastAsia" w:ascii="黑体" w:hAnsi="黑体" w:eastAsia="黑体" w:cs="黑体"/>
          <w:b/>
          <w:bCs/>
          <w:kern w:val="2"/>
          <w:sz w:val="30"/>
          <w:szCs w:val="32"/>
          <w:lang w:val="en-US" w:eastAsia="zh-CN" w:bidi="ar-SA"/>
        </w:rPr>
      </w:sdtEndPr>
      <w:sdtContent>
        <w:p w14:paraId="3CD26A56">
          <w:pPr>
            <w:spacing w:before="0" w:beforeLines="0" w:after="0" w:afterLines="0" w:line="240" w:lineRule="auto"/>
            <w:ind w:left="0" w:leftChars="0" w:right="0" w:rightChars="0" w:firstLine="0" w:firstLineChars="0"/>
            <w:jc w:val="center"/>
            <w:rPr>
              <w:b/>
              <w:bCs/>
              <w:sz w:val="36"/>
              <w:szCs w:val="36"/>
            </w:rPr>
          </w:pPr>
          <w:r>
            <w:rPr>
              <w:rFonts w:ascii="宋体" w:hAnsi="宋体" w:eastAsia="宋体"/>
              <w:b/>
              <w:bCs/>
              <w:sz w:val="36"/>
              <w:szCs w:val="36"/>
            </w:rPr>
            <w:t>目录</w:t>
          </w:r>
        </w:p>
        <w:p w14:paraId="1E667E69">
          <w:pPr>
            <w:pStyle w:val="7"/>
            <w:tabs>
              <w:tab w:val="right" w:leader="dot" w:pos="8306"/>
            </w:tabs>
            <w:rPr>
              <w:sz w:val="28"/>
              <w:szCs w:val="28"/>
            </w:rPr>
          </w:pPr>
          <w:r>
            <w:rPr>
              <w:rFonts w:hint="eastAsia" w:ascii="黑体" w:hAnsi="黑体" w:eastAsia="黑体" w:cs="黑体"/>
              <w:kern w:val="2"/>
              <w:sz w:val="36"/>
              <w:szCs w:val="36"/>
              <w:lang w:val="en-US" w:eastAsia="zh-CN"/>
            </w:rPr>
            <w:fldChar w:fldCharType="begin"/>
          </w:r>
          <w:r>
            <w:rPr>
              <w:rFonts w:hint="eastAsia" w:ascii="黑体" w:hAnsi="黑体" w:eastAsia="黑体" w:cs="黑体"/>
              <w:kern w:val="2"/>
              <w:sz w:val="36"/>
              <w:szCs w:val="36"/>
              <w:lang w:val="en-US" w:eastAsia="zh-CN"/>
            </w:rPr>
            <w:instrText xml:space="preserve">TOC \o "1-3" \h \u </w:instrText>
          </w:r>
          <w:r>
            <w:rPr>
              <w:rFonts w:hint="eastAsia" w:ascii="黑体" w:hAnsi="黑体" w:eastAsia="黑体" w:cs="黑体"/>
              <w:kern w:val="2"/>
              <w:sz w:val="36"/>
              <w:szCs w:val="36"/>
              <w:lang w:val="en-US" w:eastAsia="zh-CN"/>
            </w:rPr>
            <w:fldChar w:fldCharType="separate"/>
          </w: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_Toc22984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一、</w:t>
          </w:r>
          <w:r>
            <w:rPr>
              <w:rFonts w:hint="eastAsia" w:ascii="黑体" w:hAnsi="黑体" w:eastAsia="黑体" w:cs="黑体"/>
              <w:kern w:val="2"/>
              <w:sz w:val="28"/>
              <w:szCs w:val="28"/>
            </w:rPr>
            <w:t>基本职能及主要工作</w:t>
          </w:r>
          <w:r>
            <w:rPr>
              <w:sz w:val="28"/>
              <w:szCs w:val="28"/>
            </w:rPr>
            <w:tab/>
          </w:r>
          <w:r>
            <w:rPr>
              <w:sz w:val="28"/>
              <w:szCs w:val="28"/>
            </w:rPr>
            <w:fldChar w:fldCharType="begin"/>
          </w:r>
          <w:r>
            <w:rPr>
              <w:sz w:val="28"/>
              <w:szCs w:val="28"/>
            </w:rPr>
            <w:instrText xml:space="preserve"> PAGEREF _Toc22984 \h </w:instrText>
          </w:r>
          <w:r>
            <w:rPr>
              <w:sz w:val="28"/>
              <w:szCs w:val="28"/>
            </w:rPr>
            <w:fldChar w:fldCharType="separate"/>
          </w:r>
          <w:r>
            <w:rPr>
              <w:sz w:val="28"/>
              <w:szCs w:val="28"/>
            </w:rPr>
            <w:t>3</w:t>
          </w:r>
          <w:r>
            <w:rPr>
              <w:sz w:val="28"/>
              <w:szCs w:val="28"/>
            </w:rPr>
            <w:fldChar w:fldCharType="end"/>
          </w:r>
          <w:r>
            <w:rPr>
              <w:rFonts w:hint="eastAsia" w:ascii="黑体" w:hAnsi="黑体" w:eastAsia="黑体" w:cs="黑体"/>
              <w:kern w:val="2"/>
              <w:sz w:val="28"/>
              <w:szCs w:val="28"/>
              <w:lang w:val="en-US" w:eastAsia="zh-CN"/>
            </w:rPr>
            <w:fldChar w:fldCharType="end"/>
          </w:r>
        </w:p>
        <w:p w14:paraId="4424F199">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_Toc28720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w:t>
          </w:r>
          <w:r>
            <w:rPr>
              <w:rFonts w:hint="eastAsia" w:ascii="楷体_GB2312" w:hAnsi="黑体" w:eastAsia="楷体_GB2312" w:cs="楷体_GB2312"/>
              <w:bCs/>
              <w:kern w:val="2"/>
              <w:sz w:val="28"/>
              <w:szCs w:val="28"/>
              <w:lang w:eastAsia="zh-CN"/>
            </w:rPr>
            <w:t>县委组织部</w:t>
          </w:r>
          <w:r>
            <w:rPr>
              <w:rFonts w:hint="eastAsia" w:ascii="楷体_GB2312" w:hAnsi="黑体" w:eastAsia="楷体_GB2312" w:cs="楷体_GB2312"/>
              <w:bCs/>
              <w:kern w:val="2"/>
              <w:sz w:val="28"/>
              <w:szCs w:val="28"/>
            </w:rPr>
            <w:t>职能简介</w:t>
          </w:r>
          <w:r>
            <w:rPr>
              <w:sz w:val="28"/>
              <w:szCs w:val="28"/>
            </w:rPr>
            <w:tab/>
          </w:r>
          <w:r>
            <w:rPr>
              <w:sz w:val="28"/>
              <w:szCs w:val="28"/>
            </w:rPr>
            <w:fldChar w:fldCharType="begin"/>
          </w:r>
          <w:r>
            <w:rPr>
              <w:sz w:val="28"/>
              <w:szCs w:val="28"/>
            </w:rPr>
            <w:instrText xml:space="preserve"> PAGEREF _Toc28720 \h </w:instrText>
          </w:r>
          <w:r>
            <w:rPr>
              <w:sz w:val="28"/>
              <w:szCs w:val="28"/>
            </w:rPr>
            <w:fldChar w:fldCharType="separate"/>
          </w:r>
          <w:r>
            <w:rPr>
              <w:sz w:val="28"/>
              <w:szCs w:val="28"/>
            </w:rPr>
            <w:t>3</w:t>
          </w:r>
          <w:r>
            <w:rPr>
              <w:sz w:val="28"/>
              <w:szCs w:val="28"/>
            </w:rPr>
            <w:fldChar w:fldCharType="end"/>
          </w:r>
          <w:r>
            <w:rPr>
              <w:rFonts w:hint="eastAsia" w:ascii="黑体" w:hAnsi="黑体" w:eastAsia="黑体" w:cs="黑体"/>
              <w:kern w:val="2"/>
              <w:sz w:val="28"/>
              <w:szCs w:val="28"/>
              <w:lang w:val="en-US" w:eastAsia="zh-CN"/>
            </w:rPr>
            <w:fldChar w:fldCharType="end"/>
          </w:r>
        </w:p>
        <w:p w14:paraId="164B3D5A">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_Toc32765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w:t>
          </w:r>
          <w:r>
            <w:rPr>
              <w:rFonts w:hint="eastAsia" w:ascii="楷体_GB2312" w:hAnsi="黑体" w:eastAsia="楷体_GB2312" w:cs="楷体_GB2312"/>
              <w:bCs/>
              <w:kern w:val="2"/>
              <w:sz w:val="28"/>
              <w:szCs w:val="28"/>
              <w:lang w:val="en-US" w:eastAsia="zh-CN" w:bidi="ar-SA"/>
            </w:rPr>
            <w:t>二）县委组织部2024年重点工</w:t>
          </w:r>
          <w:r>
            <w:rPr>
              <w:rFonts w:hint="eastAsia" w:ascii="楷体_GB2312" w:hAnsi="黑体" w:eastAsia="楷体_GB2312" w:cs="楷体_GB2312"/>
              <w:bCs/>
              <w:kern w:val="2"/>
              <w:sz w:val="28"/>
              <w:szCs w:val="28"/>
            </w:rPr>
            <w:t>作</w:t>
          </w:r>
          <w:r>
            <w:rPr>
              <w:sz w:val="28"/>
              <w:szCs w:val="28"/>
            </w:rPr>
            <w:tab/>
          </w:r>
          <w:r>
            <w:rPr>
              <w:rFonts w:hint="eastAsia"/>
              <w:sz w:val="28"/>
              <w:szCs w:val="28"/>
              <w:lang w:val="en-US" w:eastAsia="zh-CN"/>
            </w:rPr>
            <w:t>3</w:t>
          </w:r>
          <w:r>
            <w:rPr>
              <w:rFonts w:hint="eastAsia" w:ascii="黑体" w:hAnsi="黑体" w:eastAsia="黑体" w:cs="黑体"/>
              <w:kern w:val="2"/>
              <w:sz w:val="28"/>
              <w:szCs w:val="28"/>
              <w:lang w:val="en-US" w:eastAsia="zh-CN"/>
            </w:rPr>
            <w:fldChar w:fldCharType="end"/>
          </w:r>
        </w:p>
        <w:p w14:paraId="6573170C">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_Toc6455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二、部门预算单位构成</w:t>
          </w:r>
          <w:r>
            <w:rPr>
              <w:sz w:val="28"/>
              <w:szCs w:val="28"/>
            </w:rPr>
            <w:tab/>
          </w:r>
          <w:r>
            <w:rPr>
              <w:rFonts w:hint="eastAsia"/>
              <w:sz w:val="28"/>
              <w:szCs w:val="28"/>
              <w:lang w:val="en-US" w:eastAsia="zh-CN"/>
            </w:rPr>
            <w:t>4</w:t>
          </w:r>
          <w:r>
            <w:rPr>
              <w:rFonts w:hint="eastAsia" w:ascii="黑体" w:hAnsi="黑体" w:eastAsia="黑体" w:cs="黑体"/>
              <w:kern w:val="2"/>
              <w:sz w:val="28"/>
              <w:szCs w:val="28"/>
              <w:lang w:val="en-US" w:eastAsia="zh-CN"/>
            </w:rPr>
            <w:fldChar w:fldCharType="end"/>
          </w:r>
        </w:p>
        <w:p w14:paraId="7FF5FD00">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_Toc28308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三、</w:t>
          </w:r>
          <w:r>
            <w:rPr>
              <w:rFonts w:hint="eastAsia" w:ascii="黑体" w:hAnsi="黑体" w:eastAsia="黑体" w:cs="黑体"/>
              <w:kern w:val="2"/>
              <w:sz w:val="28"/>
              <w:szCs w:val="28"/>
            </w:rPr>
            <w:t>收支预算情况说明</w:t>
          </w:r>
          <w:r>
            <w:rPr>
              <w:sz w:val="28"/>
              <w:szCs w:val="28"/>
            </w:rPr>
            <w:tab/>
          </w:r>
          <w:r>
            <w:rPr>
              <w:rFonts w:hint="eastAsia"/>
              <w:sz w:val="28"/>
              <w:szCs w:val="28"/>
              <w:lang w:val="en-US" w:eastAsia="zh-CN"/>
            </w:rPr>
            <w:t>4</w:t>
          </w:r>
          <w:r>
            <w:rPr>
              <w:rFonts w:hint="eastAsia" w:ascii="黑体" w:hAnsi="黑体" w:eastAsia="黑体" w:cs="黑体"/>
              <w:kern w:val="2"/>
              <w:sz w:val="28"/>
              <w:szCs w:val="28"/>
              <w:lang w:val="en-US" w:eastAsia="zh-CN"/>
            </w:rPr>
            <w:fldChar w:fldCharType="end"/>
          </w:r>
        </w:p>
        <w:p w14:paraId="60EF8471">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_Toc23183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四、</w:t>
          </w:r>
          <w:r>
            <w:rPr>
              <w:rFonts w:hint="eastAsia" w:ascii="黑体" w:hAnsi="黑体" w:eastAsia="黑体" w:cs="黑体"/>
              <w:kern w:val="2"/>
              <w:sz w:val="28"/>
              <w:szCs w:val="28"/>
            </w:rPr>
            <w:t>财政拨款收支预算情况说明</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14:paraId="09FB2C8A">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_Toc9431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五、一般公共预算当年拨款情况说明</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14:paraId="2504E6AF">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_Toc25601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（一）一般公共预算当年拨款规模变化情况</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14:paraId="6B813557">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_Toc12914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二</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一般公共预算当年拨款结构情况</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14:paraId="4824CF0C">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_Toc12678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（三）一般公共预算当年拨款具体使用情况</w:t>
          </w:r>
          <w:r>
            <w:rPr>
              <w:sz w:val="28"/>
              <w:szCs w:val="28"/>
            </w:rPr>
            <w:tab/>
          </w:r>
          <w:r>
            <w:rPr>
              <w:rFonts w:hint="eastAsia"/>
              <w:sz w:val="28"/>
              <w:szCs w:val="28"/>
              <w:lang w:val="en-US" w:eastAsia="zh-CN"/>
            </w:rPr>
            <w:t>5</w:t>
          </w:r>
          <w:r>
            <w:rPr>
              <w:rFonts w:hint="eastAsia" w:ascii="黑体" w:hAnsi="黑体" w:eastAsia="黑体" w:cs="黑体"/>
              <w:kern w:val="2"/>
              <w:sz w:val="28"/>
              <w:szCs w:val="28"/>
              <w:lang w:val="en-US" w:eastAsia="zh-CN"/>
            </w:rPr>
            <w:fldChar w:fldCharType="end"/>
          </w:r>
        </w:p>
        <w:p w14:paraId="1C7100A5">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_Toc2694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六、一般公共预算基本支出情况说明</w:t>
          </w:r>
          <w:r>
            <w:rPr>
              <w:sz w:val="28"/>
              <w:szCs w:val="28"/>
            </w:rPr>
            <w:tab/>
          </w:r>
          <w:r>
            <w:rPr>
              <w:rFonts w:hint="eastAsia"/>
              <w:sz w:val="28"/>
              <w:szCs w:val="28"/>
              <w:lang w:val="en-US" w:eastAsia="zh-CN"/>
            </w:rPr>
            <w:t>7</w:t>
          </w:r>
          <w:r>
            <w:rPr>
              <w:rFonts w:hint="eastAsia" w:ascii="黑体" w:hAnsi="黑体" w:eastAsia="黑体" w:cs="黑体"/>
              <w:kern w:val="2"/>
              <w:sz w:val="28"/>
              <w:szCs w:val="28"/>
              <w:lang w:val="en-US" w:eastAsia="zh-CN"/>
            </w:rPr>
            <w:fldChar w:fldCharType="end"/>
          </w:r>
        </w:p>
        <w:p w14:paraId="24B0A085">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_Toc31874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七、</w:t>
          </w:r>
          <w:r>
            <w:rPr>
              <w:rFonts w:ascii="黑体" w:hAnsi="黑体" w:eastAsia="黑体" w:cs="Times New Roman"/>
              <w:kern w:val="2"/>
              <w:sz w:val="28"/>
              <w:szCs w:val="28"/>
            </w:rPr>
            <w:t>“</w:t>
          </w:r>
          <w:r>
            <w:rPr>
              <w:rFonts w:hint="eastAsia" w:ascii="黑体" w:hAnsi="黑体" w:eastAsia="黑体" w:cs="黑体"/>
              <w:kern w:val="2"/>
              <w:sz w:val="28"/>
              <w:szCs w:val="28"/>
            </w:rPr>
            <w:t>三公</w:t>
          </w:r>
          <w:r>
            <w:rPr>
              <w:rFonts w:ascii="黑体" w:hAnsi="黑体" w:eastAsia="黑体" w:cs="Times New Roman"/>
              <w:kern w:val="2"/>
              <w:sz w:val="28"/>
              <w:szCs w:val="28"/>
            </w:rPr>
            <w:t>”</w:t>
          </w:r>
          <w:r>
            <w:rPr>
              <w:rFonts w:hint="eastAsia" w:ascii="黑体" w:hAnsi="黑体" w:eastAsia="黑体" w:cs="黑体"/>
              <w:kern w:val="2"/>
              <w:sz w:val="28"/>
              <w:szCs w:val="28"/>
            </w:rPr>
            <w:t>经费财政拨款预算安排情况说明</w:t>
          </w:r>
          <w:r>
            <w:rPr>
              <w:sz w:val="28"/>
              <w:szCs w:val="28"/>
            </w:rPr>
            <w:tab/>
          </w:r>
          <w:r>
            <w:rPr>
              <w:rFonts w:hint="eastAsia"/>
              <w:sz w:val="28"/>
              <w:szCs w:val="28"/>
              <w:lang w:val="en-US" w:eastAsia="zh-CN"/>
            </w:rPr>
            <w:t>7</w:t>
          </w:r>
          <w:r>
            <w:rPr>
              <w:rFonts w:hint="eastAsia" w:ascii="黑体" w:hAnsi="黑体" w:eastAsia="黑体" w:cs="黑体"/>
              <w:kern w:val="2"/>
              <w:sz w:val="28"/>
              <w:szCs w:val="28"/>
              <w:lang w:val="en-US" w:eastAsia="zh-CN"/>
            </w:rPr>
            <w:fldChar w:fldCharType="end"/>
          </w:r>
        </w:p>
        <w:p w14:paraId="54B1E2C2">
          <w:pPr>
            <w:pStyle w:val="7"/>
            <w:tabs>
              <w:tab w:val="right" w:leader="dot" w:pos="8306"/>
            </w:tabs>
            <w:rPr>
              <w:rFonts w:hint="default"/>
              <w:sz w:val="28"/>
              <w:szCs w:val="28"/>
              <w:lang w:val="en-US"/>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_Toc28810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八、</w:t>
          </w:r>
          <w:r>
            <w:rPr>
              <w:rFonts w:hint="eastAsia" w:ascii="黑体" w:hAnsi="黑体" w:eastAsia="黑体" w:cs="黑体"/>
              <w:kern w:val="2"/>
              <w:sz w:val="28"/>
              <w:szCs w:val="28"/>
            </w:rPr>
            <w:t>政府性基金预算支出情况说明</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4A3C6291">
          <w:pPr>
            <w:pStyle w:val="7"/>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_Toc13225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lang w:val="en-US" w:eastAsia="zh-CN"/>
            </w:rPr>
            <w:t>九、</w:t>
          </w:r>
          <w:r>
            <w:rPr>
              <w:rFonts w:hint="eastAsia" w:ascii="黑体" w:hAnsi="黑体" w:eastAsia="黑体" w:cs="黑体"/>
              <w:kern w:val="2"/>
              <w:sz w:val="28"/>
              <w:szCs w:val="28"/>
            </w:rPr>
            <w:t>其他重要事项的情况说明</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070CB437">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_Toc21783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（一）机关运行经</w:t>
          </w:r>
          <w:r>
            <w:rPr>
              <w:rFonts w:hint="eastAsia" w:ascii="楷体_GB2312" w:hAnsi="黑体" w:eastAsia="楷体_GB2312" w:cs="楷体_GB2312"/>
              <w:bCs/>
              <w:kern w:val="2"/>
              <w:sz w:val="28"/>
              <w:szCs w:val="28"/>
              <w:lang w:val="en-US" w:eastAsia="zh-CN"/>
            </w:rPr>
            <w:t>费</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6F316FFF">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_Toc5918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rPr>
            <w:t>（二）政府采购情况</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2942C749">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_Toc27140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三</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国有资产占有使用情况</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092A2D83">
          <w:pPr>
            <w:pStyle w:val="9"/>
            <w:tabs>
              <w:tab w:val="right" w:leader="dot" w:pos="8306"/>
            </w:tabs>
            <w:rPr>
              <w:sz w:val="28"/>
              <w:szCs w:val="28"/>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_Toc17046 </w:instrText>
          </w:r>
          <w:r>
            <w:rPr>
              <w:rFonts w:hint="eastAsia" w:ascii="黑体" w:hAnsi="黑体" w:eastAsia="黑体" w:cs="黑体"/>
              <w:kern w:val="2"/>
              <w:sz w:val="28"/>
              <w:szCs w:val="28"/>
              <w:lang w:val="en-US" w:eastAsia="zh-CN"/>
            </w:rPr>
            <w:fldChar w:fldCharType="separate"/>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lang w:val="en-US" w:eastAsia="zh-CN"/>
            </w:rPr>
            <w:t>四</w:t>
          </w:r>
          <w:r>
            <w:rPr>
              <w:rFonts w:hint="eastAsia" w:ascii="楷体_GB2312" w:hAnsi="黑体" w:eastAsia="楷体_GB2312" w:cs="楷体_GB2312"/>
              <w:bCs/>
              <w:kern w:val="2"/>
              <w:sz w:val="28"/>
              <w:szCs w:val="28"/>
              <w:lang w:eastAsia="zh-CN"/>
            </w:rPr>
            <w:t>）</w:t>
          </w:r>
          <w:r>
            <w:rPr>
              <w:rFonts w:hint="eastAsia" w:ascii="楷体_GB2312" w:hAnsi="黑体" w:eastAsia="楷体_GB2312" w:cs="楷体_GB2312"/>
              <w:bCs/>
              <w:kern w:val="2"/>
              <w:sz w:val="28"/>
              <w:szCs w:val="28"/>
            </w:rPr>
            <w:t>绩效目标设置情况</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2AF513B0">
          <w:pPr>
            <w:pStyle w:val="7"/>
            <w:tabs>
              <w:tab w:val="right" w:leader="dot" w:pos="8306"/>
            </w:tabs>
            <w:rPr>
              <w:sz w:val="36"/>
              <w:szCs w:val="36"/>
            </w:rPr>
          </w:pPr>
          <w:r>
            <w:rPr>
              <w:rFonts w:hint="eastAsia" w:ascii="黑体" w:hAnsi="黑体" w:eastAsia="黑体" w:cs="黑体"/>
              <w:kern w:val="2"/>
              <w:sz w:val="28"/>
              <w:szCs w:val="28"/>
              <w:lang w:val="en-US" w:eastAsia="zh-CN"/>
            </w:rPr>
            <w:fldChar w:fldCharType="begin"/>
          </w:r>
          <w:r>
            <w:rPr>
              <w:rFonts w:hint="eastAsia" w:ascii="黑体" w:hAnsi="黑体" w:eastAsia="黑体" w:cs="黑体"/>
              <w:kern w:val="2"/>
              <w:sz w:val="28"/>
              <w:szCs w:val="28"/>
              <w:lang w:val="en-US" w:eastAsia="zh-CN"/>
            </w:rPr>
            <w:instrText xml:space="preserve"> HYPERLINK \l _Toc12419 </w:instrText>
          </w:r>
          <w:r>
            <w:rPr>
              <w:rFonts w:hint="eastAsia" w:ascii="黑体" w:hAnsi="黑体" w:eastAsia="黑体" w:cs="黑体"/>
              <w:kern w:val="2"/>
              <w:sz w:val="28"/>
              <w:szCs w:val="28"/>
              <w:lang w:val="en-US" w:eastAsia="zh-CN"/>
            </w:rPr>
            <w:fldChar w:fldCharType="separate"/>
          </w:r>
          <w:r>
            <w:rPr>
              <w:rFonts w:hint="eastAsia" w:ascii="黑体" w:hAnsi="黑体" w:eastAsia="黑体" w:cs="黑体"/>
              <w:kern w:val="2"/>
              <w:sz w:val="28"/>
              <w:szCs w:val="28"/>
            </w:rPr>
            <w:t>十、名词解释</w:t>
          </w:r>
          <w:r>
            <w:rPr>
              <w:sz w:val="28"/>
              <w:szCs w:val="28"/>
            </w:rPr>
            <w:tab/>
          </w:r>
          <w:r>
            <w:rPr>
              <w:rFonts w:hint="eastAsia"/>
              <w:sz w:val="28"/>
              <w:szCs w:val="28"/>
              <w:lang w:val="en-US" w:eastAsia="zh-CN"/>
            </w:rPr>
            <w:t>8</w:t>
          </w:r>
          <w:r>
            <w:rPr>
              <w:rFonts w:hint="eastAsia" w:ascii="黑体" w:hAnsi="黑体" w:eastAsia="黑体" w:cs="黑体"/>
              <w:kern w:val="2"/>
              <w:sz w:val="28"/>
              <w:szCs w:val="28"/>
              <w:lang w:val="en-US" w:eastAsia="zh-CN"/>
            </w:rPr>
            <w:fldChar w:fldCharType="end"/>
          </w:r>
        </w:p>
        <w:p w14:paraId="2B71C5FA">
          <w:pPr>
            <w:pStyle w:val="17"/>
            <w:numPr>
              <w:ilvl w:val="0"/>
              <w:numId w:val="0"/>
            </w:numPr>
            <w:spacing w:before="0" w:line="360" w:lineRule="auto"/>
            <w:outlineLvl w:val="0"/>
            <w:rPr>
              <w:rFonts w:hint="eastAsia" w:ascii="黑体" w:hAnsi="黑体" w:eastAsia="黑体" w:cs="黑体"/>
              <w:kern w:val="2"/>
              <w:szCs w:val="32"/>
              <w:lang w:val="en-US" w:eastAsia="zh-CN"/>
            </w:rPr>
            <w:sectPr>
              <w:pgSz w:w="11906" w:h="16838"/>
              <w:pgMar w:top="1440" w:right="1800" w:bottom="1440" w:left="1800" w:header="851" w:footer="992" w:gutter="0"/>
              <w:cols w:space="720" w:num="1"/>
              <w:docGrid w:type="lines" w:linePitch="312" w:charSpace="0"/>
            </w:sectPr>
          </w:pPr>
          <w:r>
            <w:rPr>
              <w:rFonts w:hint="eastAsia" w:ascii="黑体" w:hAnsi="黑体" w:eastAsia="黑体" w:cs="黑体"/>
              <w:kern w:val="2"/>
              <w:sz w:val="36"/>
              <w:szCs w:val="36"/>
              <w:lang w:val="en-US" w:eastAsia="zh-CN"/>
            </w:rPr>
            <w:fldChar w:fldCharType="end"/>
          </w:r>
        </w:p>
        <w:p w14:paraId="2DCFFF8C">
          <w:pPr>
            <w:pStyle w:val="17"/>
            <w:numPr>
              <w:ilvl w:val="0"/>
              <w:numId w:val="0"/>
            </w:numPr>
            <w:spacing w:before="0" w:line="360" w:lineRule="auto"/>
            <w:outlineLvl w:val="0"/>
            <w:rPr>
              <w:rFonts w:hint="eastAsia" w:ascii="黑体" w:hAnsi="黑体" w:eastAsia="黑体" w:cs="黑体"/>
              <w:kern w:val="2"/>
              <w:sz w:val="32"/>
              <w:szCs w:val="32"/>
              <w:lang w:val="en-US" w:eastAsia="zh-CN"/>
            </w:rPr>
          </w:pPr>
        </w:p>
      </w:sdtContent>
    </w:sdt>
    <w:p w14:paraId="1B9D2A8E">
      <w:pPr>
        <w:pStyle w:val="17"/>
        <w:numPr>
          <w:ilvl w:val="0"/>
          <w:numId w:val="0"/>
        </w:numPr>
        <w:spacing w:before="0" w:line="360" w:lineRule="auto"/>
        <w:ind w:firstLine="640" w:firstLineChars="200"/>
        <w:outlineLvl w:val="0"/>
        <w:rPr>
          <w:rFonts w:hint="eastAsia" w:ascii="黑体" w:hAnsi="黑体" w:eastAsia="黑体" w:cs="黑体"/>
          <w:kern w:val="2"/>
          <w:sz w:val="32"/>
          <w:szCs w:val="32"/>
        </w:rPr>
      </w:pPr>
      <w:bookmarkStart w:id="0" w:name="_Toc22984"/>
      <w:r>
        <w:rPr>
          <w:rFonts w:hint="eastAsia" w:ascii="黑体" w:hAnsi="黑体" w:eastAsia="黑体" w:cs="黑体"/>
          <w:kern w:val="2"/>
          <w:sz w:val="32"/>
          <w:szCs w:val="32"/>
          <w:lang w:val="en-US" w:eastAsia="zh-CN"/>
        </w:rPr>
        <w:t>一、</w:t>
      </w:r>
      <w:r>
        <w:rPr>
          <w:rFonts w:hint="eastAsia" w:ascii="黑体" w:hAnsi="黑体" w:eastAsia="黑体" w:cs="黑体"/>
          <w:kern w:val="2"/>
          <w:sz w:val="32"/>
          <w:szCs w:val="32"/>
        </w:rPr>
        <w:t>基本职能及主要工作</w:t>
      </w:r>
      <w:bookmarkEnd w:id="0"/>
    </w:p>
    <w:p w14:paraId="173990CA">
      <w:pPr>
        <w:pStyle w:val="17"/>
        <w:numPr>
          <w:ilvl w:val="0"/>
          <w:numId w:val="0"/>
        </w:numPr>
        <w:spacing w:before="0" w:line="360" w:lineRule="auto"/>
        <w:ind w:firstLine="643" w:firstLineChars="200"/>
        <w:outlineLvl w:val="1"/>
        <w:rPr>
          <w:rFonts w:hint="eastAsia" w:ascii="楷体_GB2312" w:hAnsi="黑体" w:eastAsia="楷体_GB2312" w:cs="楷体_GB2312"/>
          <w:b/>
          <w:bCs/>
          <w:kern w:val="2"/>
          <w:sz w:val="32"/>
          <w:szCs w:val="32"/>
        </w:rPr>
      </w:pPr>
      <w:bookmarkStart w:id="1" w:name="_Toc28720"/>
      <w:r>
        <w:rPr>
          <w:rFonts w:hint="eastAsia" w:ascii="楷体_GB2312" w:hAnsi="黑体" w:eastAsia="楷体_GB2312" w:cs="楷体_GB2312"/>
          <w:b/>
          <w:bCs/>
          <w:kern w:val="2"/>
          <w:sz w:val="32"/>
          <w:szCs w:val="32"/>
        </w:rPr>
        <w:t>（一）</w:t>
      </w:r>
      <w:r>
        <w:rPr>
          <w:rFonts w:hint="eastAsia" w:ascii="楷体_GB2312" w:hAnsi="黑体" w:eastAsia="楷体_GB2312" w:cs="楷体_GB2312"/>
          <w:b/>
          <w:bCs/>
          <w:kern w:val="2"/>
          <w:sz w:val="32"/>
          <w:szCs w:val="32"/>
          <w:lang w:eastAsia="zh-CN"/>
        </w:rPr>
        <w:t>县委组织部</w:t>
      </w:r>
      <w:r>
        <w:rPr>
          <w:rFonts w:hint="eastAsia" w:ascii="楷体_GB2312" w:hAnsi="黑体" w:eastAsia="楷体_GB2312" w:cs="楷体_GB2312"/>
          <w:b/>
          <w:bCs/>
          <w:kern w:val="2"/>
          <w:sz w:val="32"/>
          <w:szCs w:val="32"/>
        </w:rPr>
        <w:t>职能简介</w:t>
      </w:r>
      <w:bookmarkEnd w:id="1"/>
    </w:p>
    <w:p w14:paraId="2F74E5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sz w:val="32"/>
          <w:szCs w:val="32"/>
        </w:rPr>
      </w:pPr>
      <w:bookmarkStart w:id="2" w:name="_Toc32765"/>
      <w:r>
        <w:rPr>
          <w:rFonts w:hint="eastAsia" w:eastAsia="仿宋_GB2312"/>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w:t>
      </w:r>
      <w:r>
        <w:rPr>
          <w:rFonts w:hint="eastAsia" w:eastAsia="仿宋_GB2312"/>
          <w:sz w:val="32"/>
          <w:szCs w:val="32"/>
          <w:lang w:eastAsia="zh-CN"/>
        </w:rPr>
        <w:t>负责</w:t>
      </w:r>
      <w:r>
        <w:rPr>
          <w:rFonts w:hint="eastAsia" w:eastAsia="仿宋_GB2312"/>
          <w:sz w:val="32"/>
          <w:szCs w:val="32"/>
        </w:rPr>
        <w:t>全县老干部工作；承担县委党建领导小组、县人才工作领导小组日常工作；承办县委、州委组织部交办的其他</w:t>
      </w:r>
      <w:r>
        <w:rPr>
          <w:rFonts w:hint="eastAsia" w:eastAsia="仿宋_GB2312"/>
          <w:sz w:val="32"/>
          <w:szCs w:val="32"/>
          <w:lang w:eastAsia="zh-CN"/>
        </w:rPr>
        <w:t>工作</w:t>
      </w:r>
      <w:r>
        <w:rPr>
          <w:rFonts w:hint="eastAsia" w:eastAsia="仿宋_GB2312"/>
          <w:sz w:val="32"/>
          <w:szCs w:val="32"/>
        </w:rPr>
        <w:t>事项。</w:t>
      </w:r>
    </w:p>
    <w:p w14:paraId="2E7329F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w:t>
      </w:r>
      <w:r>
        <w:rPr>
          <w:rFonts w:hint="eastAsia" w:ascii="楷体_GB2312" w:hAnsi="黑体" w:eastAsia="楷体_GB2312" w:cs="楷体_GB2312"/>
          <w:b/>
          <w:bCs/>
          <w:kern w:val="2"/>
          <w:sz w:val="32"/>
          <w:szCs w:val="32"/>
          <w:lang w:val="en-US" w:eastAsia="zh-CN" w:bidi="ar-SA"/>
        </w:rPr>
        <w:t>二）县委组织部2024年重点工</w:t>
      </w:r>
      <w:r>
        <w:rPr>
          <w:rFonts w:hint="eastAsia" w:ascii="楷体_GB2312" w:hAnsi="黑体" w:eastAsia="楷体_GB2312" w:cs="楷体_GB2312"/>
          <w:b/>
          <w:bCs/>
          <w:kern w:val="2"/>
          <w:sz w:val="32"/>
          <w:szCs w:val="32"/>
        </w:rPr>
        <w:t>作</w:t>
      </w:r>
      <w:bookmarkEnd w:id="2"/>
    </w:p>
    <w:p w14:paraId="563ACEC0">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仿宋_GB2312" w:hAnsi="仿宋_GB2312" w:eastAsia="仿宋_GB2312" w:cs="仿宋_GB2312"/>
          <w:kern w:val="2"/>
          <w:sz w:val="32"/>
          <w:szCs w:val="32"/>
          <w:lang w:val="en-US" w:eastAsia="zh-CN" w:bidi="ar-SA"/>
        </w:rPr>
      </w:pPr>
      <w:bookmarkStart w:id="3" w:name="_Toc6455"/>
      <w:r>
        <w:rPr>
          <w:rFonts w:hint="eastAsia"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持续深化实化“联户联情”群众工作。持续推进“联户联情”群众工作全覆盖，常态化开展“我为群众办实事”活动，推动各级干部联好户、联深情、联实事，工作运行研判实、督查实、改进实，助推党建引乡村振兴、基层治理新面貌、高质量发展新跨越。</w:t>
      </w:r>
    </w:p>
    <w:p w14:paraId="71051CED">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仿宋_GB2312" w:hAnsi="仿宋_GB2312" w:eastAsia="仿宋_GB2312" w:cs="仿宋_GB2312"/>
          <w:kern w:val="2"/>
          <w:sz w:val="32"/>
          <w:szCs w:val="32"/>
          <w:lang w:val="en-US" w:eastAsia="zh-CN" w:bidi="ar-SA"/>
        </w:rPr>
      </w:pPr>
      <w:r>
        <w:rPr>
          <w:rFonts w:hint="eastAsia"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持续提升选人用人科学化水平。鲜明用人导向，坚持“考人”与“考事”相结合，抓紧抓实考核工作，建好干部政治素质档案，强化责任落实和分析调度，发挥考核“指挥棒”作用。持续增强班子功能，提升整体素质、抓好战略储备、激发干事激情，培育一支政治过硬、适应新时代要求、具备领导现代化建设能力的干部队伍。</w:t>
      </w:r>
    </w:p>
    <w:p w14:paraId="2E981C0F">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仿宋_GB2312" w:hAnsi="仿宋_GB2312" w:eastAsia="仿宋_GB2312" w:cs="仿宋_GB2312"/>
          <w:kern w:val="2"/>
          <w:sz w:val="32"/>
          <w:szCs w:val="32"/>
          <w:lang w:val="en-US" w:eastAsia="zh-CN" w:bidi="ar-SA"/>
        </w:rPr>
      </w:pPr>
      <w:r>
        <w:rPr>
          <w:rFonts w:hint="eastAsia"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持续激发人才智力作用发挥。全面打好柔性引才、平台聚才、事业留才“组合拳”，统筹推进干部人才优化整合。积极搭建各类创业平台，坚持聚天下英才而用之，巩固和深化“硕博进阿坝”行动。优化服务保障体系，加大人才慰问、评选表扬等关怀激励力度，营造拴心留人、爱才重才的浓厚氛围。</w:t>
      </w:r>
    </w:p>
    <w:p w14:paraId="7A91AF02">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仿宋_GB2312" w:hAnsi="仿宋_GB2312" w:eastAsia="仿宋_GB2312" w:cs="仿宋_GB2312"/>
          <w:kern w:val="2"/>
          <w:sz w:val="32"/>
          <w:szCs w:val="32"/>
          <w:lang w:val="en-US" w:eastAsia="zh-CN" w:bidi="ar-SA"/>
        </w:rPr>
      </w:pPr>
      <w:r>
        <w:rPr>
          <w:rFonts w:hint="eastAsia" w:cs="仿宋_GB2312"/>
          <w:kern w:val="2"/>
          <w:sz w:val="32"/>
          <w:szCs w:val="32"/>
          <w:lang w:val="en-US" w:eastAsia="zh-CN" w:bidi="ar-SA"/>
        </w:rPr>
        <w:t>4、</w:t>
      </w:r>
      <w:r>
        <w:rPr>
          <w:rFonts w:hint="eastAsia" w:ascii="仿宋_GB2312" w:hAnsi="仿宋_GB2312" w:eastAsia="仿宋_GB2312" w:cs="仿宋_GB2312"/>
          <w:kern w:val="2"/>
          <w:sz w:val="32"/>
          <w:szCs w:val="32"/>
          <w:lang w:val="en-US" w:eastAsia="zh-CN" w:bidi="ar-SA"/>
        </w:rPr>
        <w:t>持续优化规范公务员管理工作。加强公务员队伍结构分析和需求测算，统筹不同类别、不同途径补充公务员的比例数量、资格条件，分类建立招录标准，规范填报2024年公务员、选调生招录计划。严格公务员日常监管、平时考核、津补贴清理规范和抽借调管理。对干部人事档案进行全面专审，对“三龄两历一身份”再次核实认定。</w:t>
      </w:r>
    </w:p>
    <w:p w14:paraId="4B5F377A">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二、部门预算单位构成</w:t>
      </w:r>
      <w:bookmarkEnd w:id="3"/>
    </w:p>
    <w:p w14:paraId="7F9F5EAF">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cs="Times New Roman"/>
          <w:kern w:val="2"/>
          <w:sz w:val="32"/>
          <w:szCs w:val="32"/>
          <w:lang w:eastAsia="zh-CN"/>
        </w:rPr>
      </w:pPr>
      <w:r>
        <w:rPr>
          <w:rFonts w:hint="eastAsia" w:hAnsi="黑体"/>
          <w:kern w:val="2"/>
          <w:sz w:val="32"/>
          <w:szCs w:val="32"/>
          <w:lang w:eastAsia="zh-CN"/>
        </w:rPr>
        <w:t>中共壤塘县委组织部</w:t>
      </w:r>
      <w:r>
        <w:rPr>
          <w:rFonts w:hint="eastAsia" w:hAnsi="黑体"/>
          <w:kern w:val="2"/>
          <w:sz w:val="32"/>
          <w:szCs w:val="32"/>
        </w:rPr>
        <w:t>属一级预算单位，</w:t>
      </w:r>
      <w:r>
        <w:rPr>
          <w:rFonts w:hint="eastAsia" w:hAnsi="黑体"/>
          <w:kern w:val="2"/>
          <w:sz w:val="32"/>
          <w:szCs w:val="32"/>
          <w:lang w:eastAsia="zh-CN"/>
        </w:rPr>
        <w:t>无</w:t>
      </w:r>
      <w:r>
        <w:rPr>
          <w:rFonts w:hint="eastAsia" w:hAnsi="黑体"/>
          <w:kern w:val="2"/>
          <w:sz w:val="32"/>
          <w:szCs w:val="32"/>
        </w:rPr>
        <w:t>下属二级预算单位</w:t>
      </w:r>
      <w:r>
        <w:rPr>
          <w:rFonts w:hint="eastAsia" w:hAnsi="黑体"/>
          <w:kern w:val="2"/>
          <w:sz w:val="32"/>
          <w:szCs w:val="32"/>
          <w:lang w:eastAsia="zh-CN"/>
        </w:rPr>
        <w:t>。</w:t>
      </w:r>
    </w:p>
    <w:p w14:paraId="084049A2">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4" w:name="_Toc28308"/>
      <w:r>
        <w:rPr>
          <w:rFonts w:hint="eastAsia" w:ascii="黑体" w:hAnsi="黑体" w:eastAsia="黑体" w:cs="黑体"/>
          <w:kern w:val="2"/>
          <w:sz w:val="32"/>
          <w:szCs w:val="32"/>
          <w:lang w:val="en-US" w:eastAsia="zh-CN"/>
        </w:rPr>
        <w:t>三、</w:t>
      </w:r>
      <w:r>
        <w:rPr>
          <w:rFonts w:hint="eastAsia" w:ascii="黑体" w:hAnsi="黑体" w:eastAsia="黑体" w:cs="黑体"/>
          <w:kern w:val="2"/>
          <w:sz w:val="32"/>
          <w:szCs w:val="32"/>
        </w:rPr>
        <w:t>收支预算情况说明</w:t>
      </w:r>
      <w:bookmarkEnd w:id="4"/>
    </w:p>
    <w:p w14:paraId="6EEA3BC2">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lang w:val="en-US" w:eastAsia="zh-CN"/>
        </w:rPr>
      </w:pPr>
      <w:r>
        <w:rPr>
          <w:rFonts w:hint="eastAsia" w:hAnsi="黑体"/>
          <w:kern w:val="2"/>
          <w:sz w:val="32"/>
          <w:szCs w:val="32"/>
        </w:rPr>
        <w:t>按照综合预算的原则，</w:t>
      </w:r>
      <w:r>
        <w:rPr>
          <w:rFonts w:hint="eastAsia" w:hAnsi="黑体"/>
          <w:kern w:val="2"/>
          <w:sz w:val="32"/>
          <w:szCs w:val="32"/>
          <w:lang w:eastAsia="zh-CN"/>
        </w:rPr>
        <w:t>县委组织部</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927.49</w:t>
      </w:r>
      <w:r>
        <w:rPr>
          <w:rFonts w:hint="eastAsia" w:hAnsi="黑体"/>
          <w:kern w:val="2"/>
          <w:sz w:val="32"/>
          <w:szCs w:val="32"/>
        </w:rPr>
        <w:t>万元；支出包括：一般公共服务支出</w:t>
      </w:r>
      <w:r>
        <w:rPr>
          <w:rFonts w:hint="eastAsia" w:hAnsi="黑体" w:cs="Times New Roman"/>
          <w:kern w:val="2"/>
          <w:sz w:val="32"/>
          <w:szCs w:val="32"/>
          <w:lang w:val="en-US" w:eastAsia="zh-CN"/>
        </w:rPr>
        <w:t>649.22</w:t>
      </w:r>
      <w:r>
        <w:rPr>
          <w:rFonts w:hint="eastAsia" w:hAnsi="黑体"/>
          <w:kern w:val="2"/>
          <w:sz w:val="32"/>
          <w:szCs w:val="32"/>
        </w:rPr>
        <w:t>万元，社会保障和就业支出</w:t>
      </w:r>
      <w:r>
        <w:rPr>
          <w:rFonts w:hint="eastAsia" w:hAnsi="黑体" w:cs="Times New Roman"/>
          <w:kern w:val="2"/>
          <w:sz w:val="32"/>
          <w:szCs w:val="32"/>
          <w:lang w:val="en-US" w:eastAsia="zh-CN"/>
        </w:rPr>
        <w:t>118.63</w:t>
      </w:r>
      <w:r>
        <w:rPr>
          <w:rFonts w:hint="eastAsia" w:hAnsi="黑体"/>
          <w:kern w:val="2"/>
          <w:sz w:val="32"/>
          <w:szCs w:val="32"/>
        </w:rPr>
        <w:t>万元，卫生健康支出</w:t>
      </w:r>
      <w:r>
        <w:rPr>
          <w:rFonts w:hint="eastAsia" w:hAnsi="黑体"/>
          <w:kern w:val="2"/>
          <w:sz w:val="32"/>
          <w:szCs w:val="32"/>
          <w:lang w:val="en-US" w:eastAsia="zh-CN"/>
        </w:rPr>
        <w:t>43.25</w:t>
      </w:r>
      <w:r>
        <w:rPr>
          <w:rFonts w:hint="eastAsia" w:hAnsi="黑体"/>
          <w:kern w:val="2"/>
          <w:sz w:val="32"/>
          <w:szCs w:val="32"/>
        </w:rPr>
        <w:t>万元，农林水支出</w:t>
      </w:r>
      <w:r>
        <w:rPr>
          <w:rFonts w:hint="eastAsia" w:hAnsi="黑体"/>
          <w:kern w:val="2"/>
          <w:sz w:val="32"/>
          <w:szCs w:val="32"/>
          <w:lang w:val="en-US" w:eastAsia="zh-CN"/>
        </w:rPr>
        <w:t>0万元</w:t>
      </w:r>
      <w:r>
        <w:rPr>
          <w:rFonts w:hint="eastAsia" w:hAnsi="黑体"/>
          <w:kern w:val="2"/>
          <w:sz w:val="32"/>
          <w:szCs w:val="32"/>
          <w:lang w:eastAsia="zh-CN"/>
        </w:rPr>
        <w:t>，</w:t>
      </w:r>
      <w:r>
        <w:rPr>
          <w:rFonts w:hint="eastAsia" w:hAnsi="黑体"/>
          <w:kern w:val="2"/>
          <w:sz w:val="32"/>
          <w:szCs w:val="32"/>
        </w:rPr>
        <w:t>住房保障支出</w:t>
      </w:r>
      <w:r>
        <w:rPr>
          <w:rFonts w:hint="eastAsia" w:hAnsi="黑体" w:cs="Times New Roman"/>
          <w:kern w:val="2"/>
          <w:sz w:val="32"/>
          <w:szCs w:val="32"/>
          <w:lang w:val="en-US" w:eastAsia="zh-CN"/>
        </w:rPr>
        <w:t>63.94</w:t>
      </w:r>
      <w:r>
        <w:rPr>
          <w:rFonts w:hint="eastAsia" w:hAnsi="黑体"/>
          <w:kern w:val="2"/>
          <w:sz w:val="32"/>
          <w:szCs w:val="32"/>
        </w:rPr>
        <w:t>万元。</w:t>
      </w: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收支总</w:t>
      </w:r>
      <w:r>
        <w:rPr>
          <w:rFonts w:hint="eastAsia" w:hAnsi="黑体"/>
          <w:kern w:val="2"/>
          <w:sz w:val="32"/>
          <w:szCs w:val="32"/>
          <w:lang w:val="en-US" w:eastAsia="zh-CN"/>
        </w:rPr>
        <w:t>预算</w:t>
      </w:r>
      <w:r>
        <w:rPr>
          <w:rFonts w:hint="eastAsia" w:hAnsi="黑体" w:cs="Times New Roman"/>
          <w:kern w:val="2"/>
          <w:sz w:val="32"/>
          <w:szCs w:val="32"/>
          <w:lang w:val="en-US" w:eastAsia="zh-CN"/>
        </w:rPr>
        <w:t>927.49万元，</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增加233.93</w:t>
      </w:r>
      <w:r>
        <w:rPr>
          <w:rFonts w:hint="eastAsia" w:hAnsi="黑体"/>
          <w:kern w:val="2"/>
          <w:sz w:val="32"/>
          <w:szCs w:val="32"/>
        </w:rPr>
        <w:t>万元，主要</w:t>
      </w:r>
      <w:r>
        <w:rPr>
          <w:rFonts w:hint="eastAsia" w:hAnsi="黑体"/>
          <w:kern w:val="2"/>
          <w:sz w:val="32"/>
          <w:szCs w:val="32"/>
          <w:lang w:val="en-US" w:eastAsia="zh-CN"/>
        </w:rPr>
        <w:t>原</w:t>
      </w:r>
      <w:r>
        <w:rPr>
          <w:rFonts w:hint="eastAsia" w:hAnsi="黑体"/>
          <w:kern w:val="2"/>
          <w:sz w:val="32"/>
          <w:szCs w:val="32"/>
        </w:rPr>
        <w:t>因</w:t>
      </w:r>
      <w:r>
        <w:rPr>
          <w:rFonts w:hint="eastAsia" w:hAnsi="黑体"/>
          <w:kern w:val="2"/>
          <w:sz w:val="32"/>
          <w:szCs w:val="32"/>
          <w:lang w:val="en-US" w:eastAsia="zh-CN"/>
        </w:rPr>
        <w:t>2024年项目预算增加。</w:t>
      </w:r>
    </w:p>
    <w:p w14:paraId="4104D73B">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一</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收入预算情况</w:t>
      </w:r>
    </w:p>
    <w:p w14:paraId="7004B9FD">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lang w:val="en-US" w:eastAsia="zh-CN"/>
        </w:rPr>
        <w:t>927.49</w:t>
      </w:r>
      <w:r>
        <w:rPr>
          <w:rFonts w:hint="eastAsia" w:hAnsi="黑体"/>
          <w:kern w:val="2"/>
          <w:sz w:val="32"/>
          <w:szCs w:val="32"/>
        </w:rPr>
        <w:t>万元，其中：一般公共预算拨款收入</w:t>
      </w:r>
      <w:r>
        <w:rPr>
          <w:rFonts w:hint="eastAsia" w:hAnsi="黑体" w:cs="Times New Roman"/>
          <w:kern w:val="2"/>
          <w:sz w:val="32"/>
          <w:szCs w:val="32"/>
          <w:lang w:val="en-US" w:eastAsia="zh-CN"/>
        </w:rPr>
        <w:t>927.49</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w:t>
      </w:r>
    </w:p>
    <w:p w14:paraId="35B265B7">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rPr>
          <w:rFonts w:hint="eastAsia" w:ascii="楷体_GB2312" w:hAnsi="黑体" w:eastAsia="楷体_GB2312" w:cs="楷体_GB2312"/>
          <w:b/>
          <w:bCs/>
          <w:kern w:val="2"/>
          <w:sz w:val="32"/>
          <w:szCs w:val="32"/>
          <w:lang w:eastAsia="zh-CN"/>
        </w:rPr>
      </w:pPr>
      <w:r>
        <w:rPr>
          <w:rFonts w:hint="eastAsia" w:ascii="楷体_GB2312" w:hAnsi="黑体" w:eastAsia="楷体_GB2312" w:cs="楷体_GB2312"/>
          <w:b/>
          <w:bCs/>
          <w:kern w:val="2"/>
          <w:sz w:val="32"/>
          <w:szCs w:val="32"/>
          <w:lang w:eastAsia="zh-CN"/>
        </w:rPr>
        <w:t>（二）支出预算情况</w:t>
      </w:r>
    </w:p>
    <w:p w14:paraId="3E036C12">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lang w:val="en-US" w:eastAsia="zh-CN"/>
        </w:rPr>
        <w:t>927.49</w:t>
      </w:r>
      <w:r>
        <w:rPr>
          <w:rFonts w:hint="eastAsia" w:hAnsi="黑体"/>
          <w:kern w:val="2"/>
          <w:sz w:val="32"/>
          <w:szCs w:val="32"/>
        </w:rPr>
        <w:t>万元，其中：基本支出</w:t>
      </w:r>
      <w:r>
        <w:rPr>
          <w:rFonts w:hint="eastAsia" w:hAnsi="黑体" w:cs="Times New Roman"/>
          <w:kern w:val="2"/>
          <w:sz w:val="32"/>
          <w:szCs w:val="32"/>
          <w:lang w:val="en-US" w:eastAsia="zh-CN"/>
        </w:rPr>
        <w:t>672.79</w:t>
      </w:r>
      <w:r>
        <w:rPr>
          <w:rFonts w:hint="eastAsia" w:hAnsi="黑体"/>
          <w:kern w:val="2"/>
          <w:sz w:val="32"/>
          <w:szCs w:val="32"/>
        </w:rPr>
        <w:t>万元，占</w:t>
      </w:r>
      <w:r>
        <w:rPr>
          <w:rFonts w:hint="eastAsia" w:hAnsi="黑体" w:cs="Times New Roman"/>
          <w:kern w:val="2"/>
          <w:sz w:val="32"/>
          <w:szCs w:val="32"/>
          <w:lang w:val="en-US" w:eastAsia="zh-CN"/>
        </w:rPr>
        <w:t xml:space="preserve">72.54 </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254.7</w:t>
      </w:r>
      <w:r>
        <w:rPr>
          <w:rFonts w:hint="eastAsia" w:hAnsi="黑体"/>
          <w:kern w:val="2"/>
          <w:sz w:val="32"/>
          <w:szCs w:val="32"/>
        </w:rPr>
        <w:t>万元，占</w:t>
      </w:r>
      <w:r>
        <w:rPr>
          <w:rFonts w:hint="eastAsia" w:hAnsi="黑体" w:cs="Times New Roman"/>
          <w:kern w:val="2"/>
          <w:sz w:val="32"/>
          <w:szCs w:val="32"/>
          <w:lang w:val="en-US" w:eastAsia="zh-CN"/>
        </w:rPr>
        <w:t xml:space="preserve">27.46 </w:t>
      </w:r>
      <w:r>
        <w:rPr>
          <w:rFonts w:hAnsi="黑体"/>
          <w:kern w:val="2"/>
          <w:sz w:val="32"/>
          <w:szCs w:val="32"/>
        </w:rPr>
        <w:t>%</w:t>
      </w:r>
      <w:r>
        <w:rPr>
          <w:rFonts w:hint="eastAsia" w:hAnsi="黑体"/>
          <w:kern w:val="2"/>
          <w:sz w:val="32"/>
          <w:szCs w:val="32"/>
        </w:rPr>
        <w:t>。</w:t>
      </w:r>
    </w:p>
    <w:p w14:paraId="6B6AFF0E">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5" w:name="_Toc23183"/>
      <w:r>
        <w:rPr>
          <w:rFonts w:hint="eastAsia" w:ascii="黑体" w:hAnsi="黑体" w:eastAsia="黑体" w:cs="黑体"/>
          <w:kern w:val="2"/>
          <w:sz w:val="32"/>
          <w:szCs w:val="32"/>
          <w:lang w:val="en-US" w:eastAsia="zh-CN"/>
        </w:rPr>
        <w:t>四、</w:t>
      </w:r>
      <w:r>
        <w:rPr>
          <w:rFonts w:hint="eastAsia" w:ascii="黑体" w:hAnsi="黑体" w:eastAsia="黑体" w:cs="黑体"/>
          <w:kern w:val="2"/>
          <w:sz w:val="32"/>
          <w:szCs w:val="32"/>
        </w:rPr>
        <w:t>财政拨款收支预算情况说明</w:t>
      </w:r>
      <w:bookmarkEnd w:id="5"/>
    </w:p>
    <w:p w14:paraId="01527750">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县委组织部</w:t>
      </w:r>
      <w:r>
        <w:rPr>
          <w:rFonts w:hint="eastAsia" w:ascii="仿宋_GB2312" w:hAnsi="仿宋_GB2312" w:eastAsia="仿宋_GB2312" w:cs="仿宋_GB2312"/>
          <w:kern w:val="2"/>
          <w:sz w:val="32"/>
          <w:szCs w:val="32"/>
        </w:rPr>
        <w:t>202</w:t>
      </w:r>
      <w:r>
        <w:rPr>
          <w:rFonts w:hint="eastAsia" w:cs="仿宋_GB2312"/>
          <w:kern w:val="2"/>
          <w:sz w:val="32"/>
          <w:szCs w:val="32"/>
          <w:lang w:val="en-US" w:eastAsia="zh-CN"/>
        </w:rPr>
        <w:t>4</w:t>
      </w:r>
      <w:r>
        <w:rPr>
          <w:rFonts w:hint="eastAsia" w:ascii="仿宋_GB2312" w:hAnsi="仿宋_GB2312" w:eastAsia="仿宋_GB2312" w:cs="仿宋_GB2312"/>
          <w:kern w:val="2"/>
          <w:sz w:val="32"/>
          <w:szCs w:val="32"/>
        </w:rPr>
        <w:t>年财政拨款收支总预算</w:t>
      </w:r>
      <w:r>
        <w:rPr>
          <w:rFonts w:hint="eastAsia" w:ascii="仿宋_GB2312" w:hAnsi="仿宋_GB2312" w:eastAsia="仿宋_GB2312" w:cs="仿宋_GB2312"/>
          <w:kern w:val="2"/>
          <w:sz w:val="32"/>
          <w:szCs w:val="32"/>
          <w:lang w:val="en-US" w:eastAsia="zh-CN"/>
        </w:rPr>
        <w:t>927.49</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比202</w:t>
      </w:r>
      <w:r>
        <w:rPr>
          <w:rFonts w:hint="eastAsia" w:cs="仿宋_GB2312"/>
          <w:kern w:val="2"/>
          <w:sz w:val="32"/>
          <w:szCs w:val="32"/>
          <w:lang w:val="en-US" w:eastAsia="zh-CN"/>
        </w:rPr>
        <w:t>3</w:t>
      </w:r>
      <w:r>
        <w:rPr>
          <w:rFonts w:hint="eastAsia" w:ascii="仿宋_GB2312" w:hAnsi="仿宋_GB2312" w:eastAsia="仿宋_GB2312" w:cs="仿宋_GB2312"/>
          <w:kern w:val="2"/>
          <w:sz w:val="32"/>
          <w:szCs w:val="32"/>
        </w:rPr>
        <w:t>年财政拨款收支总预算</w:t>
      </w:r>
      <w:r>
        <w:rPr>
          <w:rFonts w:hint="eastAsia" w:ascii="仿宋_GB2312" w:hAnsi="仿宋_GB2312" w:eastAsia="仿宋_GB2312" w:cs="仿宋_GB2312"/>
          <w:kern w:val="2"/>
          <w:sz w:val="32"/>
          <w:szCs w:val="32"/>
          <w:lang w:val="en-US" w:eastAsia="zh-CN"/>
        </w:rPr>
        <w:t>增加233.93</w:t>
      </w:r>
      <w:r>
        <w:rPr>
          <w:rFonts w:hint="eastAsia" w:ascii="仿宋_GB2312" w:hAnsi="仿宋_GB2312" w:eastAsia="仿宋_GB2312" w:cs="仿宋_GB2312"/>
          <w:kern w:val="2"/>
          <w:sz w:val="32"/>
          <w:szCs w:val="32"/>
        </w:rPr>
        <w:t>万元，主要原因</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202</w:t>
      </w:r>
      <w:r>
        <w:rPr>
          <w:rFonts w:hint="eastAsia" w:cs="仿宋_GB2312"/>
          <w:kern w:val="2"/>
          <w:sz w:val="32"/>
          <w:szCs w:val="32"/>
          <w:lang w:val="en-US" w:eastAsia="zh-CN"/>
        </w:rPr>
        <w:t>4</w:t>
      </w:r>
      <w:r>
        <w:rPr>
          <w:rFonts w:hint="eastAsia" w:ascii="仿宋_GB2312" w:hAnsi="仿宋_GB2312" w:eastAsia="仿宋_GB2312" w:cs="仿宋_GB2312"/>
          <w:kern w:val="2"/>
          <w:sz w:val="32"/>
          <w:szCs w:val="32"/>
          <w:lang w:val="en-US" w:eastAsia="zh-CN"/>
        </w:rPr>
        <w:t>年人员增加，基本支出上涨，202</w:t>
      </w:r>
      <w:r>
        <w:rPr>
          <w:rFonts w:hint="eastAsia" w:cs="仿宋_GB2312"/>
          <w:kern w:val="2"/>
          <w:sz w:val="32"/>
          <w:szCs w:val="32"/>
          <w:lang w:val="en-US" w:eastAsia="zh-CN"/>
        </w:rPr>
        <w:t>4年</w:t>
      </w:r>
      <w:r>
        <w:rPr>
          <w:rFonts w:hint="eastAsia" w:ascii="仿宋_GB2312" w:hAnsi="仿宋_GB2312" w:eastAsia="仿宋_GB2312" w:cs="仿宋_GB2312"/>
          <w:kern w:val="2"/>
          <w:sz w:val="32"/>
          <w:szCs w:val="32"/>
          <w:lang w:val="en-US" w:eastAsia="zh-CN"/>
        </w:rPr>
        <w:t>项目经费增加</w:t>
      </w:r>
      <w:r>
        <w:rPr>
          <w:rFonts w:hint="eastAsia" w:ascii="仿宋_GB2312" w:hAnsi="仿宋_GB2312" w:eastAsia="仿宋_GB2312" w:cs="仿宋_GB2312"/>
          <w:kern w:val="2"/>
          <w:sz w:val="32"/>
          <w:szCs w:val="32"/>
          <w:lang w:eastAsia="zh-CN"/>
        </w:rPr>
        <w:t>。</w:t>
      </w:r>
    </w:p>
    <w:p w14:paraId="385D312B">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支出包括：一般公共服务支出</w:t>
      </w:r>
      <w:r>
        <w:rPr>
          <w:rFonts w:hint="eastAsia" w:ascii="仿宋_GB2312" w:hAnsi="仿宋_GB2312" w:eastAsia="仿宋_GB2312" w:cs="仿宋_GB2312"/>
          <w:kern w:val="2"/>
          <w:sz w:val="32"/>
          <w:szCs w:val="32"/>
          <w:lang w:val="en-US" w:eastAsia="zh-CN"/>
        </w:rPr>
        <w:t>649.22</w:t>
      </w:r>
      <w:r>
        <w:rPr>
          <w:rFonts w:hint="eastAsia" w:ascii="仿宋_GB2312" w:hAnsi="仿宋_GB2312" w:eastAsia="仿宋_GB2312" w:cs="仿宋_GB2312"/>
          <w:kern w:val="2"/>
          <w:sz w:val="32"/>
          <w:szCs w:val="32"/>
        </w:rPr>
        <w:t>万元，社会保障和就业支出</w:t>
      </w:r>
      <w:r>
        <w:rPr>
          <w:rFonts w:hint="eastAsia" w:ascii="仿宋_GB2312" w:hAnsi="仿宋_GB2312" w:eastAsia="仿宋_GB2312" w:cs="仿宋_GB2312"/>
          <w:kern w:val="2"/>
          <w:sz w:val="32"/>
          <w:szCs w:val="32"/>
          <w:lang w:val="en-US" w:eastAsia="zh-CN"/>
        </w:rPr>
        <w:t>118.63</w:t>
      </w:r>
      <w:r>
        <w:rPr>
          <w:rFonts w:hint="eastAsia" w:ascii="仿宋_GB2312" w:hAnsi="仿宋_GB2312" w:eastAsia="仿宋_GB2312" w:cs="仿宋_GB2312"/>
          <w:kern w:val="2"/>
          <w:sz w:val="32"/>
          <w:szCs w:val="32"/>
        </w:rPr>
        <w:t>万元，卫生健康支出43.25万元，住房保障支出</w:t>
      </w:r>
      <w:r>
        <w:rPr>
          <w:rFonts w:hint="eastAsia" w:ascii="仿宋_GB2312" w:hAnsi="仿宋_GB2312" w:eastAsia="仿宋_GB2312" w:cs="仿宋_GB2312"/>
          <w:kern w:val="2"/>
          <w:sz w:val="32"/>
          <w:szCs w:val="32"/>
          <w:lang w:val="en-US" w:eastAsia="zh-CN"/>
        </w:rPr>
        <w:t>63.94</w:t>
      </w:r>
      <w:r>
        <w:rPr>
          <w:rFonts w:hint="eastAsia" w:cs="仿宋_GB2312"/>
          <w:kern w:val="2"/>
          <w:sz w:val="32"/>
          <w:szCs w:val="32"/>
          <w:lang w:val="en-US" w:eastAsia="zh-CN"/>
        </w:rPr>
        <w:t>万元</w:t>
      </w:r>
      <w:r>
        <w:rPr>
          <w:rFonts w:hint="eastAsia" w:ascii="仿宋_GB2312" w:hAnsi="仿宋_GB2312" w:eastAsia="仿宋_GB2312" w:cs="仿宋_GB2312"/>
          <w:kern w:val="2"/>
          <w:sz w:val="32"/>
          <w:szCs w:val="32"/>
          <w:lang w:eastAsia="zh-CN"/>
        </w:rPr>
        <w:t>。</w:t>
      </w:r>
    </w:p>
    <w:p w14:paraId="448A7BFC">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ascii="??" w:hAnsi="??" w:eastAsia="宋体" w:cs="Times New Roman"/>
          <w:sz w:val="16"/>
          <w:szCs w:val="16"/>
        </w:rPr>
      </w:pPr>
      <w:bookmarkStart w:id="6" w:name="_Toc9431"/>
      <w:r>
        <w:rPr>
          <w:rFonts w:hint="eastAsia" w:ascii="黑体" w:hAnsi="黑体" w:eastAsia="黑体" w:cs="黑体"/>
          <w:kern w:val="2"/>
          <w:sz w:val="32"/>
          <w:szCs w:val="32"/>
        </w:rPr>
        <w:t>五、一般公共预算当年拨款情况说明</w:t>
      </w:r>
      <w:bookmarkEnd w:id="6"/>
    </w:p>
    <w:p w14:paraId="6E13FA04">
      <w:pPr>
        <w:pStyle w:val="17"/>
        <w:keepNext w:val="0"/>
        <w:keepLines w:val="0"/>
        <w:pageBreakBefore w:val="0"/>
        <w:widowControl w:val="0"/>
        <w:kinsoku/>
        <w:wordWrap/>
        <w:overflowPunct/>
        <w:topLinePunct w:val="0"/>
        <w:autoSpaceDE/>
        <w:autoSpaceDN/>
        <w:bidi w:val="0"/>
        <w:adjustRightInd/>
        <w:snapToGrid/>
        <w:spacing w:before="0" w:line="560" w:lineRule="exact"/>
        <w:ind w:firstLine="643" w:firstLineChars="200"/>
        <w:textAlignment w:val="auto"/>
        <w:outlineLvl w:val="1"/>
        <w:rPr>
          <w:rFonts w:hAnsi="黑体" w:cs="Times New Roman"/>
          <w:kern w:val="2"/>
          <w:sz w:val="32"/>
          <w:szCs w:val="32"/>
        </w:rPr>
      </w:pPr>
      <w:bookmarkStart w:id="7" w:name="_Toc25601"/>
      <w:r>
        <w:rPr>
          <w:rFonts w:hint="eastAsia" w:ascii="楷体_GB2312" w:hAnsi="黑体" w:eastAsia="楷体_GB2312" w:cs="楷体_GB2312"/>
          <w:b/>
          <w:bCs/>
          <w:kern w:val="2"/>
          <w:sz w:val="32"/>
          <w:szCs w:val="32"/>
        </w:rPr>
        <w:t>（一）一般公共预算当年拨款规模变化情况</w:t>
      </w:r>
      <w:bookmarkEnd w:id="7"/>
    </w:p>
    <w:p w14:paraId="31706314">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一般公共预算当年拨款</w:t>
      </w:r>
      <w:r>
        <w:rPr>
          <w:rFonts w:hint="eastAsia" w:ascii="仿宋_GB2312" w:hAnsi="仿宋_GB2312" w:eastAsia="仿宋_GB2312" w:cs="仿宋_GB2312"/>
          <w:kern w:val="2"/>
          <w:sz w:val="32"/>
          <w:szCs w:val="32"/>
          <w:lang w:val="en-US" w:eastAsia="zh-CN"/>
        </w:rPr>
        <w:t>927.49</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增加233.93</w:t>
      </w:r>
      <w:r>
        <w:rPr>
          <w:rFonts w:hint="eastAsia" w:hAnsi="黑体"/>
          <w:kern w:val="2"/>
          <w:sz w:val="32"/>
          <w:szCs w:val="32"/>
        </w:rPr>
        <w:t>万元，主要原因</w:t>
      </w:r>
      <w:r>
        <w:rPr>
          <w:rFonts w:hint="eastAsia" w:hAnsi="黑体"/>
          <w:kern w:val="2"/>
          <w:sz w:val="32"/>
          <w:szCs w:val="32"/>
          <w:lang w:eastAsia="zh-CN"/>
        </w:rPr>
        <w:t>：</w:t>
      </w:r>
      <w:r>
        <w:rPr>
          <w:rFonts w:hint="eastAsia" w:hAnsi="黑体"/>
          <w:kern w:val="2"/>
          <w:sz w:val="32"/>
          <w:szCs w:val="32"/>
          <w:lang w:val="en-US" w:eastAsia="zh-CN"/>
        </w:rPr>
        <w:t>2024年人员增加，基本支出上涨，2024项目经费增加</w:t>
      </w:r>
      <w:r>
        <w:rPr>
          <w:rFonts w:hint="eastAsia" w:hAnsi="黑体"/>
          <w:kern w:val="2"/>
          <w:sz w:val="32"/>
          <w:szCs w:val="32"/>
          <w:lang w:eastAsia="zh-CN"/>
        </w:rPr>
        <w:t>。</w:t>
      </w:r>
    </w:p>
    <w:p w14:paraId="29CE4894">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rPr>
      </w:pPr>
      <w:bookmarkStart w:id="8" w:name="_Toc12914"/>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二</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一般公共预算当年拨款结构情况</w:t>
      </w:r>
      <w:bookmarkEnd w:id="8"/>
    </w:p>
    <w:p w14:paraId="56FECDD5">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0" w:firstLine="640" w:firstLineChars="200"/>
        <w:textAlignment w:val="auto"/>
        <w:rPr>
          <w:rFonts w:hint="eastAsia" w:hAnsi="黑体"/>
          <w:kern w:val="2"/>
          <w:sz w:val="32"/>
          <w:szCs w:val="32"/>
          <w:lang w:val="en-US" w:eastAsia="zh-CN"/>
        </w:rPr>
      </w:pPr>
      <w:r>
        <w:rPr>
          <w:rFonts w:hint="eastAsia" w:hAnsi="黑体"/>
          <w:kern w:val="2"/>
          <w:sz w:val="32"/>
          <w:szCs w:val="32"/>
        </w:rPr>
        <w:t>一般公共服务支出</w:t>
      </w:r>
      <w:r>
        <w:rPr>
          <w:rFonts w:hint="eastAsia" w:hAnsi="黑体"/>
          <w:kern w:val="2"/>
          <w:sz w:val="32"/>
          <w:szCs w:val="32"/>
          <w:lang w:val="en-US" w:eastAsia="zh-CN"/>
        </w:rPr>
        <w:t>649.22</w:t>
      </w:r>
      <w:r>
        <w:rPr>
          <w:rFonts w:hint="eastAsia" w:hAnsi="黑体"/>
          <w:kern w:val="2"/>
          <w:sz w:val="32"/>
          <w:szCs w:val="32"/>
        </w:rPr>
        <w:t>万元，</w:t>
      </w:r>
      <w:r>
        <w:rPr>
          <w:rFonts w:hint="eastAsia" w:hAnsi="黑体"/>
          <w:kern w:val="2"/>
          <w:sz w:val="32"/>
          <w:szCs w:val="32"/>
          <w:lang w:val="en-US" w:eastAsia="zh-CN"/>
        </w:rPr>
        <w:t>占70.00 %；</w:t>
      </w:r>
      <w:r>
        <w:rPr>
          <w:rFonts w:hint="eastAsia" w:hAnsi="黑体"/>
          <w:kern w:val="2"/>
          <w:sz w:val="32"/>
          <w:szCs w:val="32"/>
        </w:rPr>
        <w:t>社会保障和就业支出</w:t>
      </w:r>
      <w:r>
        <w:rPr>
          <w:rFonts w:hint="eastAsia" w:hAnsi="黑体"/>
          <w:kern w:val="2"/>
          <w:sz w:val="32"/>
          <w:szCs w:val="32"/>
          <w:lang w:val="en-US" w:eastAsia="zh-CN"/>
        </w:rPr>
        <w:t>118.63</w:t>
      </w:r>
      <w:r>
        <w:rPr>
          <w:rFonts w:hint="eastAsia" w:hAnsi="黑体"/>
          <w:kern w:val="2"/>
          <w:sz w:val="32"/>
          <w:szCs w:val="32"/>
        </w:rPr>
        <w:t>万元，</w:t>
      </w:r>
      <w:r>
        <w:rPr>
          <w:rFonts w:hint="eastAsia" w:hAnsi="黑体"/>
          <w:kern w:val="2"/>
          <w:sz w:val="32"/>
          <w:szCs w:val="32"/>
          <w:lang w:val="en-US" w:eastAsia="zh-CN"/>
        </w:rPr>
        <w:t>占12.79 %；</w:t>
      </w:r>
      <w:r>
        <w:rPr>
          <w:rFonts w:hint="eastAsia" w:hAnsi="黑体"/>
          <w:kern w:val="2"/>
          <w:sz w:val="32"/>
          <w:szCs w:val="32"/>
        </w:rPr>
        <w:t>卫生健康支出43.25万元，</w:t>
      </w:r>
      <w:r>
        <w:rPr>
          <w:rFonts w:hint="eastAsia" w:hAnsi="黑体"/>
          <w:kern w:val="2"/>
          <w:sz w:val="32"/>
          <w:szCs w:val="32"/>
          <w:lang w:val="en-US" w:eastAsia="zh-CN"/>
        </w:rPr>
        <w:t>占6.24 %；</w:t>
      </w:r>
      <w:r>
        <w:rPr>
          <w:rFonts w:hint="eastAsia" w:hAnsi="黑体"/>
          <w:kern w:val="2"/>
          <w:sz w:val="32"/>
          <w:szCs w:val="32"/>
        </w:rPr>
        <w:t>住房保障支出</w:t>
      </w:r>
      <w:r>
        <w:rPr>
          <w:rFonts w:hint="eastAsia" w:hAnsi="黑体"/>
          <w:kern w:val="2"/>
          <w:sz w:val="32"/>
          <w:szCs w:val="32"/>
          <w:lang w:val="en-US" w:eastAsia="zh-CN"/>
        </w:rPr>
        <w:t>63.94万元</w:t>
      </w:r>
      <w:r>
        <w:rPr>
          <w:rFonts w:hint="eastAsia" w:hAnsi="黑体"/>
          <w:kern w:val="2"/>
          <w:sz w:val="32"/>
          <w:szCs w:val="32"/>
        </w:rPr>
        <w:t>，占</w:t>
      </w:r>
      <w:r>
        <w:rPr>
          <w:rFonts w:hint="eastAsia" w:hAnsi="黑体"/>
          <w:kern w:val="2"/>
          <w:sz w:val="32"/>
          <w:szCs w:val="32"/>
          <w:lang w:val="en-US" w:eastAsia="zh-CN"/>
        </w:rPr>
        <w:t>9.50 %。</w:t>
      </w:r>
    </w:p>
    <w:p w14:paraId="2DB57234">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Ansi="黑体"/>
          <w:kern w:val="2"/>
          <w:sz w:val="32"/>
          <w:szCs w:val="32"/>
        </w:rPr>
      </w:pPr>
      <w:bookmarkStart w:id="9" w:name="_Toc12678"/>
      <w:r>
        <w:rPr>
          <w:rFonts w:hint="eastAsia" w:ascii="楷体_GB2312" w:hAnsi="黑体" w:eastAsia="楷体_GB2312" w:cs="楷体_GB2312"/>
          <w:b/>
          <w:bCs/>
          <w:kern w:val="2"/>
          <w:sz w:val="32"/>
          <w:szCs w:val="32"/>
        </w:rPr>
        <w:t>（三）一般公共预算当年拨款具体使用情况</w:t>
      </w:r>
      <w:bookmarkEnd w:id="9"/>
    </w:p>
    <w:p w14:paraId="3C4ABA26">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Times New Roman"/>
          <w:sz w:val="32"/>
          <w:szCs w:val="32"/>
        </w:rPr>
      </w:pPr>
      <w:r>
        <w:rPr>
          <w:rFonts w:hint="eastAsia" w:hAnsi="黑体"/>
          <w:kern w:val="2"/>
          <w:sz w:val="32"/>
          <w:szCs w:val="32"/>
        </w:rPr>
        <w:t>一般公共服务（类）组织事务（款）行政运行（项）202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404.21</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行政</w:t>
      </w:r>
      <w:r>
        <w:rPr>
          <w:rFonts w:hint="eastAsia" w:hAnsi="??" w:cs="??"/>
          <w:sz w:val="32"/>
          <w:szCs w:val="32"/>
        </w:rPr>
        <w:t>人员</w:t>
      </w:r>
      <w:r>
        <w:rPr>
          <w:rFonts w:hint="eastAsia" w:hAnsi="??" w:cs="??"/>
          <w:sz w:val="32"/>
          <w:szCs w:val="32"/>
          <w:lang w:eastAsia="zh-CN"/>
        </w:rPr>
        <w:t>工资</w:t>
      </w:r>
      <w:r>
        <w:rPr>
          <w:rFonts w:hint="eastAsia" w:hAnsi="??" w:cs="??"/>
          <w:sz w:val="32"/>
          <w:szCs w:val="32"/>
        </w:rPr>
        <w:t>福利支出、商品和服务支出、对个人和家庭的补助</w:t>
      </w:r>
      <w:r>
        <w:rPr>
          <w:rFonts w:hint="eastAsia" w:hAnsi="??" w:cs="Times New Roman"/>
          <w:sz w:val="32"/>
          <w:szCs w:val="32"/>
        </w:rPr>
        <w:t>。</w:t>
      </w:r>
    </w:p>
    <w:p w14:paraId="2B2236A9">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宋体"/>
          <w:sz w:val="32"/>
          <w:szCs w:val="32"/>
        </w:rPr>
      </w:pPr>
      <w:r>
        <w:rPr>
          <w:rFonts w:hint="eastAsia" w:hAnsi="黑体"/>
          <w:kern w:val="2"/>
          <w:sz w:val="32"/>
          <w:szCs w:val="32"/>
        </w:rPr>
        <w:t>一般公共服务（类）组织事务（款）</w:t>
      </w:r>
      <w:r>
        <w:rPr>
          <w:rFonts w:hint="eastAsia" w:hAnsi="黑体"/>
          <w:kern w:val="2"/>
          <w:sz w:val="32"/>
          <w:szCs w:val="32"/>
          <w:lang w:eastAsia="zh-CN"/>
        </w:rPr>
        <w:t>事业运行</w:t>
      </w:r>
      <w:r>
        <w:rPr>
          <w:rFonts w:hint="eastAsia" w:hAnsi="黑体"/>
          <w:kern w:val="2"/>
          <w:sz w:val="32"/>
          <w:szCs w:val="32"/>
        </w:rPr>
        <w:t>（项）202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47.01</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事业</w:t>
      </w:r>
      <w:r>
        <w:rPr>
          <w:rFonts w:hint="eastAsia" w:hAnsi="??" w:cs="??"/>
          <w:sz w:val="32"/>
          <w:szCs w:val="32"/>
        </w:rPr>
        <w:t>人员</w:t>
      </w:r>
      <w:r>
        <w:rPr>
          <w:rFonts w:hint="eastAsia" w:hAnsi="??" w:cs="??"/>
          <w:sz w:val="32"/>
          <w:szCs w:val="32"/>
          <w:lang w:eastAsia="zh-CN"/>
        </w:rPr>
        <w:t>工资</w:t>
      </w:r>
      <w:r>
        <w:rPr>
          <w:rFonts w:hint="eastAsia" w:hAnsi="??" w:cs="??"/>
          <w:sz w:val="32"/>
          <w:szCs w:val="32"/>
        </w:rPr>
        <w:t>福利支出、商品和服务支出、对个人和家庭的补助</w:t>
      </w:r>
      <w:r>
        <w:rPr>
          <w:rFonts w:hint="eastAsia" w:hAnsi="??" w:cs="Times New Roman"/>
          <w:sz w:val="32"/>
          <w:szCs w:val="32"/>
        </w:rPr>
        <w:t>。</w:t>
      </w:r>
    </w:p>
    <w:p w14:paraId="6E7534BA">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宋体"/>
          <w:sz w:val="32"/>
          <w:szCs w:val="32"/>
        </w:rPr>
      </w:pPr>
      <w:r>
        <w:rPr>
          <w:rFonts w:hint="eastAsia" w:hAnsi="黑体"/>
          <w:kern w:val="2"/>
          <w:sz w:val="32"/>
          <w:szCs w:val="32"/>
        </w:rPr>
        <w:t>一般公共服务（类）组织事务（款）</w:t>
      </w:r>
      <w:r>
        <w:rPr>
          <w:rFonts w:hint="eastAsia" w:hAnsi="黑体"/>
          <w:kern w:val="2"/>
          <w:sz w:val="32"/>
          <w:szCs w:val="32"/>
          <w:lang w:eastAsia="zh-CN"/>
        </w:rPr>
        <w:t> 一般行政管理事务</w:t>
      </w:r>
      <w:r>
        <w:rPr>
          <w:rFonts w:hint="eastAsia" w:hAnsi="黑体"/>
          <w:kern w:val="2"/>
          <w:sz w:val="32"/>
          <w:szCs w:val="32"/>
        </w:rPr>
        <w:t>（项）202</w:t>
      </w:r>
      <w:r>
        <w:rPr>
          <w:rFonts w:hint="eastAsia" w:hAnsi="黑体"/>
          <w:kern w:val="2"/>
          <w:sz w:val="32"/>
          <w:szCs w:val="32"/>
          <w:lang w:val="en-US" w:eastAsia="zh-CN"/>
        </w:rPr>
        <w:t>4</w:t>
      </w:r>
      <w:r>
        <w:rPr>
          <w:rFonts w:hint="eastAsia" w:hAnsi="黑体"/>
          <w:kern w:val="2"/>
          <w:sz w:val="32"/>
          <w:szCs w:val="32"/>
        </w:rPr>
        <w:t>年预算数为</w:t>
      </w:r>
      <w:r>
        <w:rPr>
          <w:rFonts w:hint="eastAsia" w:hAnsi="黑体"/>
          <w:kern w:val="2"/>
          <w:sz w:val="32"/>
          <w:szCs w:val="32"/>
          <w:lang w:val="en-US" w:eastAsia="zh-CN"/>
        </w:rPr>
        <w:t>198.00</w:t>
      </w:r>
      <w:r>
        <w:rPr>
          <w:rFonts w:hint="eastAsia" w:hAnsi="黑体"/>
          <w:kern w:val="2"/>
          <w:sz w:val="32"/>
          <w:szCs w:val="32"/>
        </w:rPr>
        <w:t>万元，主要用于</w:t>
      </w:r>
      <w:r>
        <w:rPr>
          <w:rFonts w:hAnsi="黑体"/>
          <w:kern w:val="2"/>
          <w:sz w:val="32"/>
          <w:szCs w:val="32"/>
        </w:rPr>
        <w:t xml:space="preserve"> :</w:t>
      </w:r>
      <w:r>
        <w:rPr>
          <w:rFonts w:hint="eastAsia" w:hAnsi="??" w:cs="??"/>
          <w:sz w:val="32"/>
          <w:szCs w:val="32"/>
        </w:rPr>
        <w:t xml:space="preserve"> </w:t>
      </w:r>
      <w:r>
        <w:rPr>
          <w:rFonts w:hint="eastAsia" w:hAnsi="??" w:cs="??"/>
          <w:sz w:val="32"/>
          <w:szCs w:val="32"/>
          <w:lang w:eastAsia="zh-CN"/>
        </w:rPr>
        <w:t>事业</w:t>
      </w:r>
      <w:r>
        <w:rPr>
          <w:rFonts w:hint="eastAsia" w:hAnsi="??" w:cs="??"/>
          <w:sz w:val="32"/>
          <w:szCs w:val="32"/>
        </w:rPr>
        <w:t>人员</w:t>
      </w:r>
      <w:r>
        <w:rPr>
          <w:rFonts w:hint="eastAsia" w:hAnsi="??" w:cs="??"/>
          <w:sz w:val="32"/>
          <w:szCs w:val="32"/>
          <w:lang w:eastAsia="zh-CN"/>
        </w:rPr>
        <w:t>工资</w:t>
      </w:r>
      <w:r>
        <w:rPr>
          <w:rFonts w:hint="eastAsia" w:hAnsi="??" w:cs="??"/>
          <w:sz w:val="32"/>
          <w:szCs w:val="32"/>
        </w:rPr>
        <w:t>福利支出、商品和服务支出、对个人和家庭的补助</w:t>
      </w:r>
      <w:r>
        <w:rPr>
          <w:rFonts w:hint="eastAsia" w:hAnsi="??" w:cs="Times New Roman"/>
          <w:sz w:val="32"/>
          <w:szCs w:val="32"/>
        </w:rPr>
        <w:t>。</w:t>
      </w:r>
    </w:p>
    <w:p w14:paraId="40DEF2DE">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hAnsi="??" w:cs="宋体"/>
          <w:sz w:val="32"/>
          <w:szCs w:val="32"/>
        </w:rPr>
        <w:t>社会保障和就业支出</w:t>
      </w:r>
      <w:r>
        <w:rPr>
          <w:rFonts w:hint="eastAsia" w:hAnsi="??" w:cs="宋体"/>
          <w:sz w:val="32"/>
          <w:szCs w:val="32"/>
          <w:lang w:eastAsia="zh-CN"/>
        </w:rPr>
        <w:t>（</w:t>
      </w:r>
      <w:r>
        <w:rPr>
          <w:rFonts w:hint="eastAsia" w:hAnsi="??" w:cs="宋体"/>
          <w:sz w:val="32"/>
          <w:szCs w:val="32"/>
          <w:lang w:val="en-US" w:eastAsia="zh-CN"/>
        </w:rPr>
        <w:t>类</w:t>
      </w:r>
      <w:r>
        <w:rPr>
          <w:rFonts w:hint="eastAsia" w:hAnsi="??" w:cs="宋体"/>
          <w:sz w:val="32"/>
          <w:szCs w:val="32"/>
          <w:lang w:eastAsia="zh-CN"/>
        </w:rPr>
        <w:t>）行政事业单位养老支出（</w:t>
      </w:r>
      <w:r>
        <w:rPr>
          <w:rFonts w:hint="eastAsia" w:hAnsi="??" w:cs="宋体"/>
          <w:sz w:val="32"/>
          <w:szCs w:val="32"/>
          <w:lang w:val="en-US" w:eastAsia="zh-CN"/>
        </w:rPr>
        <w:t>款</w:t>
      </w:r>
      <w:r>
        <w:rPr>
          <w:rFonts w:hint="eastAsia" w:hAnsi="??" w:cs="宋体"/>
          <w:sz w:val="32"/>
          <w:szCs w:val="32"/>
          <w:lang w:eastAsia="zh-CN"/>
        </w:rPr>
        <w:t>）</w:t>
      </w:r>
      <w:r>
        <w:rPr>
          <w:rFonts w:hint="eastAsia" w:hAnsi="??" w:cs="宋体"/>
          <w:sz w:val="32"/>
          <w:szCs w:val="32"/>
        </w:rPr>
        <w:t>机关事业单位基本养老保险缴费支出</w:t>
      </w:r>
      <w:r>
        <w:rPr>
          <w:rFonts w:hint="eastAsia" w:hAnsi="??" w:cs="宋体"/>
          <w:sz w:val="32"/>
          <w:szCs w:val="32"/>
          <w:lang w:eastAsia="zh-CN"/>
        </w:rPr>
        <w:t>（</w:t>
      </w:r>
      <w:r>
        <w:rPr>
          <w:rFonts w:hint="eastAsia" w:hAnsi="??" w:cs="宋体"/>
          <w:sz w:val="32"/>
          <w:szCs w:val="32"/>
          <w:lang w:val="en-US" w:eastAsia="zh-CN"/>
        </w:rPr>
        <w:t>项</w:t>
      </w:r>
      <w:r>
        <w:rPr>
          <w:rFonts w:hint="eastAsia" w:hAnsi="??" w:cs="宋体"/>
          <w:sz w:val="32"/>
          <w:szCs w:val="32"/>
          <w:lang w:eastAsia="zh-CN"/>
        </w:rPr>
        <w:t>）</w:t>
      </w:r>
      <w:r>
        <w:rPr>
          <w:rFonts w:hint="eastAsia" w:hAnsi="??" w:cs="宋体"/>
          <w:sz w:val="32"/>
          <w:szCs w:val="32"/>
          <w:lang w:val="en-US" w:eastAsia="zh-CN"/>
        </w:rPr>
        <w:t>预算79.08</w:t>
      </w:r>
      <w:r>
        <w:rPr>
          <w:rFonts w:hint="eastAsia" w:hAnsi="??" w:cs="宋体"/>
          <w:sz w:val="32"/>
          <w:szCs w:val="32"/>
        </w:rPr>
        <w:t>万元，</w:t>
      </w:r>
      <w:r>
        <w:rPr>
          <w:rFonts w:hint="eastAsia" w:hAnsi="??" w:cs="宋体"/>
          <w:sz w:val="32"/>
          <w:szCs w:val="32"/>
          <w:lang w:val="en-US" w:eastAsia="zh-CN"/>
        </w:rPr>
        <w:t>主要</w:t>
      </w:r>
      <w:r>
        <w:rPr>
          <w:rFonts w:hint="eastAsia" w:hAnsi="??" w:cs="宋体"/>
          <w:sz w:val="32"/>
          <w:szCs w:val="32"/>
        </w:rPr>
        <w:t>用于：</w:t>
      </w:r>
      <w:r>
        <w:rPr>
          <w:rFonts w:hint="eastAsia" w:hAnsi="??" w:cs="宋体"/>
          <w:sz w:val="32"/>
          <w:szCs w:val="32"/>
          <w:lang w:val="en-US" w:eastAsia="zh-CN"/>
        </w:rPr>
        <w:t>单位</w:t>
      </w:r>
      <w:r>
        <w:rPr>
          <w:rFonts w:hint="eastAsia" w:hAnsi="??" w:cs="宋体"/>
          <w:sz w:val="32"/>
          <w:szCs w:val="32"/>
        </w:rPr>
        <w:t>养老保险缴费</w:t>
      </w:r>
      <w:r>
        <w:rPr>
          <w:rFonts w:hint="eastAsia" w:hAnsi="??" w:cs="宋体"/>
          <w:sz w:val="32"/>
          <w:szCs w:val="32"/>
          <w:lang w:val="en-US" w:eastAsia="zh-CN"/>
        </w:rPr>
        <w:t>支出</w:t>
      </w:r>
      <w:r>
        <w:rPr>
          <w:rFonts w:hint="eastAsia" w:hAnsi="??" w:cs="宋体"/>
          <w:sz w:val="32"/>
          <w:szCs w:val="32"/>
        </w:rPr>
        <w:t xml:space="preserve"> </w:t>
      </w:r>
      <w:r>
        <w:rPr>
          <w:rFonts w:hint="eastAsia" w:hAnsi="??" w:cs="??"/>
          <w:sz w:val="32"/>
          <w:szCs w:val="32"/>
        </w:rPr>
        <w:t>。</w:t>
      </w:r>
    </w:p>
    <w:p w14:paraId="789780EF">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社会保障和就业支出</w:t>
      </w:r>
      <w:r>
        <w:rPr>
          <w:rFonts w:hint="eastAsia" w:ascii="仿宋_GB2312" w:hAnsi="??" w:eastAsia="仿宋_GB2312" w:cs="宋体"/>
          <w:sz w:val="32"/>
          <w:szCs w:val="32"/>
          <w:lang w:eastAsia="zh-CN"/>
        </w:rPr>
        <w:t>（</w:t>
      </w:r>
      <w:r>
        <w:rPr>
          <w:rFonts w:hint="eastAsia" w:ascii="仿宋_GB2312" w:hAnsi="??" w:eastAsia="仿宋_GB2312" w:cs="宋体"/>
          <w:sz w:val="32"/>
          <w:szCs w:val="32"/>
          <w:lang w:val="en-US" w:eastAsia="zh-CN"/>
        </w:rPr>
        <w:t>类</w:t>
      </w:r>
      <w:r>
        <w:rPr>
          <w:rFonts w:hint="eastAsia" w:ascii="仿宋_GB2312" w:hAnsi="??" w:eastAsia="仿宋_GB2312" w:cs="宋体"/>
          <w:sz w:val="32"/>
          <w:szCs w:val="32"/>
          <w:lang w:eastAsia="zh-CN"/>
        </w:rPr>
        <w:t>）行政事业单位养老支出（</w:t>
      </w:r>
      <w:r>
        <w:rPr>
          <w:rFonts w:hint="eastAsia" w:ascii="仿宋_GB2312" w:hAnsi="??" w:eastAsia="仿宋_GB2312" w:cs="宋体"/>
          <w:sz w:val="32"/>
          <w:szCs w:val="32"/>
          <w:lang w:val="en-US" w:eastAsia="zh-CN"/>
        </w:rPr>
        <w:t>款</w:t>
      </w:r>
      <w:r>
        <w:rPr>
          <w:rFonts w:hint="eastAsia" w:ascii="仿宋_GB2312" w:hAnsi="??" w:eastAsia="仿宋_GB2312" w:cs="宋体"/>
          <w:sz w:val="32"/>
          <w:szCs w:val="32"/>
          <w:lang w:eastAsia="zh-CN"/>
        </w:rPr>
        <w:t>）机关事业单位职业年金缴费支出</w:t>
      </w:r>
      <w:r>
        <w:rPr>
          <w:rFonts w:hint="eastAsia" w:hAnsi="??" w:cs="宋体"/>
          <w:sz w:val="32"/>
          <w:szCs w:val="32"/>
          <w:lang w:eastAsia="zh-CN"/>
        </w:rPr>
        <w:t>（</w:t>
      </w:r>
      <w:r>
        <w:rPr>
          <w:rFonts w:hint="eastAsia" w:hAnsi="??" w:cs="宋体"/>
          <w:sz w:val="32"/>
          <w:szCs w:val="32"/>
          <w:lang w:val="en-US" w:eastAsia="zh-CN"/>
        </w:rPr>
        <w:t>项</w:t>
      </w:r>
      <w:r>
        <w:rPr>
          <w:rFonts w:hint="eastAsia" w:hAnsi="??" w:cs="宋体"/>
          <w:sz w:val="32"/>
          <w:szCs w:val="32"/>
          <w:lang w:eastAsia="zh-CN"/>
        </w:rPr>
        <w:t>）</w:t>
      </w:r>
      <w:r>
        <w:rPr>
          <w:rFonts w:hint="eastAsia" w:hAnsi="??" w:cs="宋体"/>
          <w:sz w:val="32"/>
          <w:szCs w:val="32"/>
          <w:lang w:val="en-US" w:eastAsia="zh-CN"/>
        </w:rPr>
        <w:t>预算39.55</w:t>
      </w:r>
      <w:r>
        <w:rPr>
          <w:rFonts w:hint="eastAsia" w:hAnsi="??" w:cs="宋体"/>
          <w:sz w:val="32"/>
          <w:szCs w:val="32"/>
          <w:lang w:eastAsia="zh-CN"/>
        </w:rPr>
        <w:t>万元，</w:t>
      </w:r>
      <w:r>
        <w:rPr>
          <w:rFonts w:hint="eastAsia" w:hAnsi="??" w:cs="宋体"/>
          <w:sz w:val="32"/>
          <w:szCs w:val="32"/>
          <w:lang w:val="en-US" w:eastAsia="zh-CN"/>
        </w:rPr>
        <w:t>主要</w:t>
      </w:r>
      <w:r>
        <w:rPr>
          <w:rFonts w:hint="eastAsia" w:hAnsi="??" w:cs="宋体"/>
          <w:sz w:val="32"/>
          <w:szCs w:val="32"/>
          <w:lang w:eastAsia="zh-CN"/>
        </w:rPr>
        <w:t>用于：</w:t>
      </w:r>
      <w:r>
        <w:rPr>
          <w:rFonts w:hint="eastAsia" w:hAnsi="??" w:cs="宋体"/>
          <w:sz w:val="32"/>
          <w:szCs w:val="32"/>
          <w:lang w:val="en-US" w:eastAsia="zh-CN"/>
        </w:rPr>
        <w:t>单位职业年金</w:t>
      </w:r>
      <w:r>
        <w:rPr>
          <w:rFonts w:hint="eastAsia" w:hAnsi="??" w:cs="宋体"/>
          <w:sz w:val="32"/>
          <w:szCs w:val="32"/>
          <w:lang w:eastAsia="zh-CN"/>
        </w:rPr>
        <w:t>缴费</w:t>
      </w:r>
      <w:r>
        <w:rPr>
          <w:rFonts w:hint="eastAsia" w:hAnsi="??" w:cs="宋体"/>
          <w:sz w:val="32"/>
          <w:szCs w:val="32"/>
          <w:lang w:val="en-US" w:eastAsia="zh-CN"/>
        </w:rPr>
        <w:t>支出。</w:t>
      </w:r>
    </w:p>
    <w:p w14:paraId="46B9D688">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hAnsi="??" w:cs="宋体"/>
          <w:sz w:val="32"/>
          <w:szCs w:val="32"/>
        </w:rPr>
      </w:pPr>
      <w:r>
        <w:rPr>
          <w:rFonts w:hint="eastAsia" w:ascii="仿宋_GB2312" w:hAnsi="??" w:eastAsia="仿宋_GB2312" w:cs="宋体"/>
          <w:sz w:val="32"/>
          <w:szCs w:val="32"/>
        </w:rPr>
        <w:t>卫生健康支出（类）行政事业单位医疗（款）行政单位医疗（项）行政单位医疗202</w:t>
      </w:r>
      <w:r>
        <w:rPr>
          <w:rFonts w:hint="eastAsia" w:hAnsi="??" w:cs="宋体"/>
          <w:sz w:val="32"/>
          <w:szCs w:val="32"/>
          <w:lang w:val="en-US" w:eastAsia="zh-CN"/>
        </w:rPr>
        <w:t>4</w:t>
      </w:r>
      <w:r>
        <w:rPr>
          <w:rFonts w:hint="eastAsia" w:ascii="仿宋_GB2312" w:hAnsi="??" w:eastAsia="仿宋_GB2312" w:cs="宋体"/>
          <w:sz w:val="32"/>
          <w:szCs w:val="32"/>
        </w:rPr>
        <w:t>年预算数为30.59万元，主要用于 :202</w:t>
      </w:r>
      <w:r>
        <w:rPr>
          <w:rFonts w:hint="eastAsia" w:hAnsi="??" w:cs="宋体"/>
          <w:sz w:val="32"/>
          <w:szCs w:val="32"/>
          <w:lang w:val="en-US" w:eastAsia="zh-CN"/>
        </w:rPr>
        <w:t>4</w:t>
      </w:r>
      <w:r>
        <w:rPr>
          <w:rFonts w:hint="eastAsia" w:ascii="仿宋_GB2312" w:hAnsi="??" w:eastAsia="仿宋_GB2312" w:cs="宋体"/>
          <w:sz w:val="32"/>
          <w:szCs w:val="32"/>
        </w:rPr>
        <w:t>年单位行政医疗支出。</w:t>
      </w:r>
    </w:p>
    <w:p w14:paraId="270B66CB">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卫生健康支出（类）行政事业单位医疗（款）事业单位医疗（项）：202</w:t>
      </w:r>
      <w:r>
        <w:rPr>
          <w:rFonts w:hint="eastAsia" w:hAnsi="??" w:cs="宋体"/>
          <w:sz w:val="32"/>
          <w:szCs w:val="32"/>
          <w:lang w:val="en-US" w:eastAsia="zh-CN"/>
        </w:rPr>
        <w:t>4</w:t>
      </w:r>
      <w:r>
        <w:rPr>
          <w:rFonts w:hint="eastAsia" w:ascii="仿宋_GB2312" w:hAnsi="??" w:eastAsia="仿宋_GB2312" w:cs="宋体"/>
          <w:sz w:val="32"/>
          <w:szCs w:val="32"/>
        </w:rPr>
        <w:t>年预算数为</w:t>
      </w:r>
      <w:r>
        <w:rPr>
          <w:rFonts w:hint="eastAsia" w:hAnsi="??" w:cs="宋体"/>
          <w:sz w:val="32"/>
          <w:szCs w:val="32"/>
          <w:lang w:val="en-US" w:eastAsia="zh-CN"/>
        </w:rPr>
        <w:t>4.00</w:t>
      </w:r>
      <w:r>
        <w:rPr>
          <w:rFonts w:hint="eastAsia" w:ascii="仿宋_GB2312" w:hAnsi="??" w:eastAsia="仿宋_GB2312" w:cs="宋体"/>
          <w:sz w:val="32"/>
          <w:szCs w:val="32"/>
        </w:rPr>
        <w:t>万元，主要用于 :202</w:t>
      </w:r>
      <w:r>
        <w:rPr>
          <w:rFonts w:hint="eastAsia" w:hAnsi="??" w:cs="宋体"/>
          <w:sz w:val="32"/>
          <w:szCs w:val="32"/>
          <w:lang w:val="en-US" w:eastAsia="zh-CN"/>
        </w:rPr>
        <w:t>4</w:t>
      </w:r>
      <w:r>
        <w:rPr>
          <w:rFonts w:hint="eastAsia" w:ascii="仿宋_GB2312" w:hAnsi="??" w:eastAsia="仿宋_GB2312" w:cs="宋体"/>
          <w:sz w:val="32"/>
          <w:szCs w:val="32"/>
        </w:rPr>
        <w:t>年单位事业医疗支出。</w:t>
      </w:r>
    </w:p>
    <w:p w14:paraId="00C31F44">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卫生健康支出（类）行政事业单位医疗（款）公务员医疗补助（项）：202</w:t>
      </w:r>
      <w:r>
        <w:rPr>
          <w:rFonts w:hint="eastAsia" w:hAnsi="??" w:cs="宋体"/>
          <w:sz w:val="32"/>
          <w:szCs w:val="32"/>
          <w:lang w:val="en-US" w:eastAsia="zh-CN"/>
        </w:rPr>
        <w:t>4</w:t>
      </w:r>
      <w:r>
        <w:rPr>
          <w:rFonts w:hint="eastAsia" w:ascii="仿宋_GB2312" w:hAnsi="??" w:eastAsia="仿宋_GB2312" w:cs="宋体"/>
          <w:sz w:val="32"/>
          <w:szCs w:val="32"/>
        </w:rPr>
        <w:t>年预算数为7.79万元，主要用于 :202</w:t>
      </w:r>
      <w:r>
        <w:rPr>
          <w:rFonts w:hint="eastAsia" w:hAnsi="??" w:cs="宋体"/>
          <w:sz w:val="32"/>
          <w:szCs w:val="32"/>
          <w:lang w:val="en-US" w:eastAsia="zh-CN"/>
        </w:rPr>
        <w:t>4</w:t>
      </w:r>
      <w:r>
        <w:rPr>
          <w:rFonts w:hint="eastAsia" w:ascii="仿宋_GB2312" w:hAnsi="??" w:eastAsia="仿宋_GB2312" w:cs="宋体"/>
          <w:sz w:val="32"/>
          <w:szCs w:val="32"/>
        </w:rPr>
        <w:t>年单位公务员医疗补助支出。</w:t>
      </w:r>
    </w:p>
    <w:p w14:paraId="207E3353">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eastAsia" w:ascii="仿宋_GB2312" w:hAnsi="??" w:eastAsia="仿宋_GB2312" w:cs="宋体"/>
          <w:sz w:val="32"/>
          <w:szCs w:val="32"/>
        </w:rPr>
      </w:pPr>
      <w:r>
        <w:rPr>
          <w:rFonts w:hint="eastAsia" w:ascii="仿宋_GB2312" w:hAnsi="??" w:eastAsia="仿宋_GB2312" w:cs="宋体"/>
          <w:sz w:val="32"/>
          <w:szCs w:val="32"/>
        </w:rPr>
        <w:t>生健康支出（类）行政事业单位医疗（款）其他行政事业单位医疗支出（项）：202</w:t>
      </w:r>
      <w:r>
        <w:rPr>
          <w:rFonts w:hint="eastAsia" w:hAnsi="??" w:cs="宋体"/>
          <w:sz w:val="32"/>
          <w:szCs w:val="32"/>
          <w:lang w:val="en-US" w:eastAsia="zh-CN"/>
        </w:rPr>
        <w:t>4</w:t>
      </w:r>
      <w:r>
        <w:rPr>
          <w:rFonts w:hint="eastAsia" w:ascii="仿宋_GB2312" w:hAnsi="??" w:eastAsia="仿宋_GB2312" w:cs="宋体"/>
          <w:sz w:val="32"/>
          <w:szCs w:val="32"/>
        </w:rPr>
        <w:t>年预算数为</w:t>
      </w:r>
      <w:r>
        <w:rPr>
          <w:rFonts w:hint="eastAsia" w:hAnsi="??" w:cs="宋体"/>
          <w:sz w:val="32"/>
          <w:szCs w:val="32"/>
          <w:lang w:val="en-US" w:eastAsia="zh-CN"/>
        </w:rPr>
        <w:t>0.87</w:t>
      </w:r>
      <w:r>
        <w:rPr>
          <w:rFonts w:hint="eastAsia" w:ascii="仿宋_GB2312" w:hAnsi="??" w:eastAsia="仿宋_GB2312" w:cs="宋体"/>
          <w:sz w:val="32"/>
          <w:szCs w:val="32"/>
        </w:rPr>
        <w:t>万元，主要用于 :202</w:t>
      </w:r>
      <w:r>
        <w:rPr>
          <w:rFonts w:hint="eastAsia" w:hAnsi="??" w:cs="宋体"/>
          <w:sz w:val="32"/>
          <w:szCs w:val="32"/>
          <w:lang w:val="en-US" w:eastAsia="zh-CN"/>
        </w:rPr>
        <w:t>4</w:t>
      </w:r>
      <w:r>
        <w:rPr>
          <w:rFonts w:hint="eastAsia" w:ascii="仿宋_GB2312" w:hAnsi="??" w:eastAsia="仿宋_GB2312" w:cs="宋体"/>
          <w:sz w:val="32"/>
          <w:szCs w:val="32"/>
        </w:rPr>
        <w:t>年单位其他行政事业单位医疗支出。</w:t>
      </w:r>
    </w:p>
    <w:p w14:paraId="005A4F72">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default" w:hAnsi="黑体" w:cs="Times New Roman"/>
          <w:kern w:val="2"/>
          <w:sz w:val="32"/>
          <w:szCs w:val="32"/>
          <w:lang w:val="en-US"/>
        </w:rPr>
      </w:pPr>
      <w:r>
        <w:rPr>
          <w:rFonts w:hint="eastAsia" w:hAnsi="黑体" w:cs="Times New Roman"/>
          <w:kern w:val="2"/>
          <w:sz w:val="32"/>
          <w:szCs w:val="32"/>
        </w:rPr>
        <w:t>农林水支出（类）农村综合改革（款）其他巩固脱贫攻坚成果衔接乡村振兴支出（项）：202</w:t>
      </w:r>
      <w:r>
        <w:rPr>
          <w:rFonts w:hint="eastAsia" w:hAnsi="黑体" w:cs="Times New Roman"/>
          <w:kern w:val="2"/>
          <w:sz w:val="32"/>
          <w:szCs w:val="32"/>
          <w:lang w:val="en-US" w:eastAsia="zh-CN"/>
        </w:rPr>
        <w:t>4</w:t>
      </w:r>
      <w:r>
        <w:rPr>
          <w:rFonts w:hint="eastAsia" w:hAnsi="黑体" w:cs="Times New Roman"/>
          <w:kern w:val="2"/>
          <w:sz w:val="32"/>
          <w:szCs w:val="32"/>
        </w:rPr>
        <w:t>年预算数为</w:t>
      </w:r>
      <w:r>
        <w:rPr>
          <w:rFonts w:hint="eastAsia" w:hAnsi="黑体" w:cs="Times New Roman"/>
          <w:kern w:val="2"/>
          <w:sz w:val="32"/>
          <w:szCs w:val="32"/>
          <w:lang w:val="en-US" w:eastAsia="zh-CN"/>
        </w:rPr>
        <w:t>52.32</w:t>
      </w:r>
      <w:r>
        <w:rPr>
          <w:rFonts w:hint="eastAsia" w:hAnsi="黑体" w:cs="Times New Roman"/>
          <w:kern w:val="2"/>
          <w:sz w:val="32"/>
          <w:szCs w:val="32"/>
        </w:rPr>
        <w:t>万元，主要用于 :202</w:t>
      </w:r>
      <w:r>
        <w:rPr>
          <w:rFonts w:hint="eastAsia" w:hAnsi="黑体" w:cs="Times New Roman"/>
          <w:kern w:val="2"/>
          <w:sz w:val="32"/>
          <w:szCs w:val="32"/>
          <w:lang w:val="en-US" w:eastAsia="zh-CN"/>
        </w:rPr>
        <w:t>4</w:t>
      </w:r>
      <w:r>
        <w:rPr>
          <w:rFonts w:hint="eastAsia" w:hAnsi="黑体" w:cs="Times New Roman"/>
          <w:kern w:val="2"/>
          <w:sz w:val="32"/>
          <w:szCs w:val="32"/>
        </w:rPr>
        <w:t>年巩固</w:t>
      </w:r>
      <w:r>
        <w:rPr>
          <w:rFonts w:hint="eastAsia" w:hAnsi="黑体" w:cs="Times New Roman"/>
          <w:kern w:val="2"/>
          <w:sz w:val="32"/>
          <w:szCs w:val="32"/>
          <w:lang w:eastAsia="zh-CN"/>
        </w:rPr>
        <w:t>拓展</w:t>
      </w:r>
      <w:r>
        <w:rPr>
          <w:rFonts w:hint="eastAsia" w:hAnsi="黑体" w:cs="Times New Roman"/>
          <w:kern w:val="2"/>
          <w:sz w:val="32"/>
          <w:szCs w:val="32"/>
        </w:rPr>
        <w:t>脱贫攻坚成果</w:t>
      </w:r>
      <w:r>
        <w:rPr>
          <w:rFonts w:hint="eastAsia" w:hAnsi="黑体" w:cs="Times New Roman"/>
          <w:kern w:val="2"/>
          <w:sz w:val="32"/>
          <w:szCs w:val="32"/>
          <w:lang w:eastAsia="zh-CN"/>
        </w:rPr>
        <w:t>同</w:t>
      </w:r>
      <w:r>
        <w:rPr>
          <w:rFonts w:hint="eastAsia" w:hAnsi="黑体" w:cs="Times New Roman"/>
          <w:kern w:val="2"/>
          <w:sz w:val="32"/>
          <w:szCs w:val="32"/>
        </w:rPr>
        <w:t>乡村振兴</w:t>
      </w:r>
      <w:r>
        <w:rPr>
          <w:rFonts w:hint="eastAsia" w:hAnsi="黑体" w:cs="Times New Roman"/>
          <w:kern w:val="2"/>
          <w:sz w:val="32"/>
          <w:szCs w:val="32"/>
          <w:lang w:eastAsia="zh-CN"/>
        </w:rPr>
        <w:t>有效衔接</w:t>
      </w:r>
      <w:r>
        <w:rPr>
          <w:rFonts w:hint="eastAsia" w:hAnsi="黑体" w:cs="Times New Roman"/>
          <w:kern w:val="2"/>
          <w:sz w:val="32"/>
          <w:szCs w:val="32"/>
          <w:lang w:val="en-US" w:eastAsia="zh-CN"/>
        </w:rPr>
        <w:t>支出</w:t>
      </w:r>
      <w:r>
        <w:rPr>
          <w:rFonts w:hint="eastAsia" w:hAnsi="黑体" w:cs="Times New Roman"/>
          <w:kern w:val="2"/>
          <w:sz w:val="32"/>
          <w:szCs w:val="32"/>
          <w:lang w:eastAsia="zh-CN"/>
        </w:rPr>
        <w:t>。</w:t>
      </w:r>
    </w:p>
    <w:p w14:paraId="694CA4EC">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default" w:hAnsi="黑体" w:cs="Times New Roman"/>
          <w:kern w:val="2"/>
          <w:sz w:val="32"/>
          <w:szCs w:val="32"/>
          <w:lang w:val="en-US"/>
        </w:rPr>
      </w:pPr>
      <w:r>
        <w:rPr>
          <w:rFonts w:hint="eastAsia" w:hAnsi="黑体" w:cs="Times New Roman"/>
          <w:kern w:val="2"/>
          <w:sz w:val="32"/>
          <w:szCs w:val="32"/>
        </w:rPr>
        <w:t>农林水支出（类）</w:t>
      </w:r>
      <w:r>
        <w:rPr>
          <w:rFonts w:hint="eastAsia" w:hAnsi="黑体" w:cs="Times New Roman"/>
          <w:kern w:val="2"/>
          <w:sz w:val="32"/>
          <w:szCs w:val="32"/>
          <w:lang w:val="en-US" w:eastAsia="zh-CN"/>
        </w:rPr>
        <w:t>农村综合改革</w:t>
      </w:r>
      <w:r>
        <w:rPr>
          <w:rFonts w:hint="eastAsia" w:hAnsi="黑体" w:cs="Times New Roman"/>
          <w:kern w:val="2"/>
          <w:sz w:val="32"/>
          <w:szCs w:val="32"/>
        </w:rPr>
        <w:t>（款）对村民委员会和村党支部的补助</w:t>
      </w:r>
      <w:r>
        <w:rPr>
          <w:rFonts w:hint="eastAsia" w:hAnsi="黑体" w:cs="Times New Roman"/>
          <w:kern w:val="2"/>
          <w:sz w:val="32"/>
          <w:szCs w:val="32"/>
          <w:lang w:eastAsia="zh-CN"/>
        </w:rPr>
        <w:t>：</w:t>
      </w:r>
      <w:r>
        <w:rPr>
          <w:rFonts w:hint="eastAsia" w:hAnsi="黑体" w:cs="Times New Roman"/>
          <w:kern w:val="2"/>
          <w:sz w:val="32"/>
          <w:szCs w:val="32"/>
        </w:rPr>
        <w:t>202</w:t>
      </w:r>
      <w:r>
        <w:rPr>
          <w:rFonts w:hint="eastAsia" w:hAnsi="黑体" w:cs="Times New Roman"/>
          <w:kern w:val="2"/>
          <w:sz w:val="32"/>
          <w:szCs w:val="32"/>
          <w:lang w:val="en-US" w:eastAsia="zh-CN"/>
        </w:rPr>
        <w:t>4</w:t>
      </w:r>
      <w:r>
        <w:rPr>
          <w:rFonts w:hint="eastAsia" w:hAnsi="黑体" w:cs="Times New Roman"/>
          <w:kern w:val="2"/>
          <w:sz w:val="32"/>
          <w:szCs w:val="32"/>
        </w:rPr>
        <w:t>年预算数为</w:t>
      </w:r>
      <w:r>
        <w:rPr>
          <w:rFonts w:hint="eastAsia" w:hAnsi="黑体" w:cs="Times New Roman"/>
          <w:kern w:val="2"/>
          <w:sz w:val="32"/>
          <w:szCs w:val="32"/>
          <w:lang w:val="en-US" w:eastAsia="zh-CN"/>
        </w:rPr>
        <w:t>4.38万元</w:t>
      </w:r>
      <w:r>
        <w:rPr>
          <w:rFonts w:hint="eastAsia" w:hAnsi="黑体" w:cs="Times New Roman"/>
          <w:kern w:val="2"/>
          <w:sz w:val="32"/>
          <w:szCs w:val="32"/>
          <w:lang w:eastAsia="zh-CN"/>
        </w:rPr>
        <w:t>，</w:t>
      </w:r>
      <w:r>
        <w:rPr>
          <w:rFonts w:hint="eastAsia" w:hAnsi="黑体" w:cs="Times New Roman"/>
          <w:kern w:val="2"/>
          <w:sz w:val="32"/>
          <w:szCs w:val="32"/>
        </w:rPr>
        <w:t>主要用于 :202</w:t>
      </w:r>
      <w:r>
        <w:rPr>
          <w:rFonts w:hint="eastAsia" w:hAnsi="黑体" w:cs="Times New Roman"/>
          <w:kern w:val="2"/>
          <w:sz w:val="32"/>
          <w:szCs w:val="32"/>
          <w:lang w:val="en-US" w:eastAsia="zh-CN"/>
        </w:rPr>
        <w:t>4</w:t>
      </w:r>
      <w:r>
        <w:rPr>
          <w:rFonts w:hint="eastAsia" w:hAnsi="黑体" w:cs="Times New Roman"/>
          <w:kern w:val="2"/>
          <w:sz w:val="32"/>
          <w:szCs w:val="32"/>
        </w:rPr>
        <w:t>年</w:t>
      </w:r>
      <w:r>
        <w:rPr>
          <w:rFonts w:hint="eastAsia" w:hAnsi="黑体" w:cs="Times New Roman"/>
          <w:kern w:val="2"/>
          <w:sz w:val="32"/>
          <w:szCs w:val="32"/>
          <w:lang w:val="en-US" w:eastAsia="zh-CN"/>
        </w:rPr>
        <w:t>村干部意外伤害保险。</w:t>
      </w:r>
    </w:p>
    <w:p w14:paraId="1033588C">
      <w:pPr>
        <w:pStyle w:val="17"/>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textAlignment w:val="auto"/>
        <w:rPr>
          <w:rFonts w:hint="default" w:hAnsi="黑体" w:cs="Times New Roman"/>
          <w:kern w:val="2"/>
          <w:sz w:val="32"/>
          <w:szCs w:val="32"/>
          <w:lang w:val="en-US"/>
        </w:rPr>
      </w:pPr>
      <w:r>
        <w:rPr>
          <w:rFonts w:hint="eastAsia" w:ascii="仿宋_GB2312" w:hAnsi="??" w:eastAsia="仿宋_GB2312" w:cs="宋体"/>
          <w:sz w:val="32"/>
          <w:szCs w:val="32"/>
        </w:rPr>
        <w:t>住房保障支出（类）住房改革支出（款）住房公积金（项）：202</w:t>
      </w:r>
      <w:r>
        <w:rPr>
          <w:rFonts w:hint="eastAsia" w:hAnsi="??" w:cs="宋体"/>
          <w:sz w:val="32"/>
          <w:szCs w:val="32"/>
          <w:lang w:val="en-US" w:eastAsia="zh-CN"/>
        </w:rPr>
        <w:t>4</w:t>
      </w:r>
      <w:r>
        <w:rPr>
          <w:rFonts w:hint="eastAsia" w:ascii="仿宋_GB2312" w:hAnsi="??" w:eastAsia="仿宋_GB2312" w:cs="宋体"/>
          <w:sz w:val="32"/>
          <w:szCs w:val="32"/>
        </w:rPr>
        <w:t>年预算数为</w:t>
      </w:r>
      <w:r>
        <w:rPr>
          <w:rFonts w:hint="eastAsia" w:hAnsi="??" w:cs="宋体"/>
          <w:sz w:val="32"/>
          <w:szCs w:val="32"/>
          <w:lang w:val="en-US" w:eastAsia="zh-CN"/>
        </w:rPr>
        <w:t>59.69</w:t>
      </w:r>
      <w:r>
        <w:rPr>
          <w:rFonts w:hint="eastAsia" w:ascii="仿宋_GB2312" w:hAnsi="??" w:eastAsia="仿宋_GB2312" w:cs="宋体"/>
          <w:sz w:val="32"/>
          <w:szCs w:val="32"/>
        </w:rPr>
        <w:t>万元，主要用于 :202</w:t>
      </w:r>
      <w:r>
        <w:rPr>
          <w:rFonts w:hint="eastAsia" w:hAnsi="??" w:cs="宋体"/>
          <w:sz w:val="32"/>
          <w:szCs w:val="32"/>
          <w:lang w:val="en-US" w:eastAsia="zh-CN"/>
        </w:rPr>
        <w:t>4</w:t>
      </w:r>
      <w:r>
        <w:rPr>
          <w:rFonts w:hint="eastAsia" w:ascii="仿宋_GB2312" w:hAnsi="??" w:eastAsia="仿宋_GB2312" w:cs="宋体"/>
          <w:sz w:val="32"/>
          <w:szCs w:val="32"/>
        </w:rPr>
        <w:t>年单位住房公积金支出</w:t>
      </w:r>
      <w:r>
        <w:rPr>
          <w:rFonts w:hint="eastAsia" w:hAnsi="??" w:cs="宋体"/>
          <w:sz w:val="32"/>
          <w:szCs w:val="32"/>
        </w:rPr>
        <w:t>。</w:t>
      </w:r>
    </w:p>
    <w:p w14:paraId="2BB27FE7">
      <w:pPr>
        <w:pStyle w:val="17"/>
        <w:keepNext w:val="0"/>
        <w:keepLines w:val="0"/>
        <w:pageBreakBefore w:val="0"/>
        <w:widowControl w:val="0"/>
        <w:tabs>
          <w:tab w:val="left" w:pos="720"/>
        </w:tabs>
        <w:kinsoku/>
        <w:wordWrap/>
        <w:overflowPunct/>
        <w:topLinePunct w:val="0"/>
        <w:autoSpaceDE/>
        <w:autoSpaceDN/>
        <w:bidi w:val="0"/>
        <w:adjustRightInd/>
        <w:snapToGrid/>
        <w:spacing w:before="0" w:line="560" w:lineRule="exact"/>
        <w:ind w:firstLine="640" w:firstLineChars="200"/>
        <w:textAlignment w:val="auto"/>
        <w:outlineLvl w:val="0"/>
        <w:rPr>
          <w:rFonts w:ascii="??" w:hAnsi="??" w:eastAsia="宋体" w:cs="Times New Roman"/>
          <w:b/>
          <w:bCs/>
          <w:sz w:val="16"/>
          <w:szCs w:val="16"/>
        </w:rPr>
      </w:pPr>
      <w:bookmarkStart w:id="10" w:name="_Toc2694"/>
      <w:r>
        <w:rPr>
          <w:rFonts w:hint="eastAsia" w:ascii="黑体" w:hAnsi="黑体" w:eastAsia="黑体" w:cs="黑体"/>
          <w:kern w:val="2"/>
          <w:sz w:val="32"/>
          <w:szCs w:val="32"/>
        </w:rPr>
        <w:t>六、一般公共预算基本支出情况说明</w:t>
      </w:r>
      <w:bookmarkEnd w:id="10"/>
    </w:p>
    <w:p w14:paraId="2D80DC20">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一般公共预算基本支出</w:t>
      </w:r>
      <w:r>
        <w:rPr>
          <w:rFonts w:hint="eastAsia" w:hAnsi="黑体"/>
          <w:color w:val="auto"/>
          <w:kern w:val="2"/>
          <w:sz w:val="32"/>
          <w:szCs w:val="32"/>
          <w:lang w:val="en-US" w:eastAsia="zh-CN"/>
        </w:rPr>
        <w:t>672.79</w:t>
      </w:r>
      <w:r>
        <w:rPr>
          <w:rFonts w:hint="eastAsia" w:hAnsi="黑体"/>
          <w:kern w:val="2"/>
          <w:sz w:val="32"/>
          <w:szCs w:val="32"/>
        </w:rPr>
        <w:t>万元，其中：人员经费</w:t>
      </w:r>
      <w:r>
        <w:rPr>
          <w:rFonts w:hint="eastAsia" w:hAnsi="黑体"/>
          <w:kern w:val="2"/>
          <w:sz w:val="32"/>
          <w:szCs w:val="32"/>
          <w:lang w:val="en-US" w:eastAsia="zh-CN"/>
        </w:rPr>
        <w:t>615.29</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r>
        <w:rPr>
          <w:rFonts w:hint="eastAsia" w:hAnsi="黑体"/>
          <w:kern w:val="2"/>
          <w:sz w:val="32"/>
          <w:szCs w:val="32"/>
          <w:lang w:val="en-US" w:eastAsia="zh-CN"/>
        </w:rPr>
        <w:t xml:space="preserve">  </w:t>
      </w:r>
    </w:p>
    <w:p w14:paraId="70790D65">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rPr>
        <w:t>公用经费</w:t>
      </w:r>
      <w:r>
        <w:rPr>
          <w:rFonts w:hint="eastAsia" w:hAnsi="黑体"/>
          <w:kern w:val="2"/>
          <w:sz w:val="32"/>
          <w:szCs w:val="32"/>
          <w:lang w:val="en-US" w:eastAsia="zh-CN"/>
        </w:rPr>
        <w:t>57.5</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14:paraId="5BDAD89C">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ascii="??" w:hAnsi="??" w:eastAsia="宋体" w:cs="Times New Roman"/>
          <w:sz w:val="16"/>
          <w:szCs w:val="16"/>
        </w:rPr>
      </w:pPr>
      <w:bookmarkStart w:id="11" w:name="_Toc31874"/>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bookmarkEnd w:id="11"/>
    </w:p>
    <w:p w14:paraId="1527C0D9">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Ansi="黑体" w:cs="Times New Roman"/>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20.81</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0.81</w:t>
      </w:r>
      <w:r>
        <w:rPr>
          <w:rFonts w:hint="eastAsia" w:hAnsi="黑体"/>
          <w:kern w:val="2"/>
          <w:sz w:val="32"/>
          <w:szCs w:val="32"/>
        </w:rPr>
        <w:t>万元，公务用车购置及运行维护费</w:t>
      </w:r>
      <w:r>
        <w:rPr>
          <w:rFonts w:hint="eastAsia" w:hAnsi="黑体"/>
          <w:kern w:val="2"/>
          <w:sz w:val="32"/>
          <w:szCs w:val="32"/>
          <w:lang w:val="en-US" w:eastAsia="zh-CN"/>
        </w:rPr>
        <w:t>20.00</w:t>
      </w:r>
      <w:r>
        <w:rPr>
          <w:rFonts w:hint="eastAsia" w:hAnsi="黑体"/>
          <w:kern w:val="2"/>
          <w:sz w:val="32"/>
          <w:szCs w:val="32"/>
        </w:rPr>
        <w:t>万元。</w:t>
      </w:r>
    </w:p>
    <w:p w14:paraId="750546CC">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w:t>
      </w:r>
    </w:p>
    <w:p w14:paraId="06BB3019">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（二）</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lang w:eastAsia="zh-CN"/>
        </w:rPr>
        <w:t>公务接待</w:t>
      </w:r>
      <w:r>
        <w:rPr>
          <w:rFonts w:hint="eastAsia" w:hAnsi="黑体"/>
          <w:kern w:val="2"/>
          <w:sz w:val="32"/>
          <w:szCs w:val="32"/>
        </w:rPr>
        <w:t>经费</w:t>
      </w:r>
      <w:r>
        <w:rPr>
          <w:rFonts w:hint="eastAsia" w:hAnsi="黑体"/>
          <w:kern w:val="2"/>
          <w:sz w:val="32"/>
          <w:szCs w:val="32"/>
          <w:lang w:val="en-US" w:eastAsia="zh-CN"/>
        </w:rPr>
        <w:t>0.81</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主要原因：2023年预计接待减少</w:t>
      </w:r>
      <w:r>
        <w:rPr>
          <w:rFonts w:hint="eastAsia" w:hAnsi="黑体"/>
          <w:kern w:val="2"/>
          <w:sz w:val="32"/>
          <w:szCs w:val="32"/>
        </w:rPr>
        <w:t>。</w:t>
      </w:r>
    </w:p>
    <w:p w14:paraId="33930E04">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eastAsia="zh-CN"/>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公务用车购置及运行维护费</w:t>
      </w:r>
      <w:r>
        <w:rPr>
          <w:rFonts w:hint="eastAsia" w:hAnsi="黑体"/>
          <w:kern w:val="2"/>
          <w:sz w:val="32"/>
          <w:szCs w:val="32"/>
          <w:lang w:val="en-US" w:eastAsia="zh-CN"/>
        </w:rPr>
        <w:t>20.81</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lang w:val="en-US" w:eastAsia="zh-CN"/>
        </w:rPr>
        <w:t>金额增加</w:t>
      </w:r>
      <w:r>
        <w:rPr>
          <w:rFonts w:hint="eastAsia" w:hAnsi="黑体"/>
          <w:kern w:val="2"/>
          <w:sz w:val="32"/>
          <w:szCs w:val="32"/>
          <w:lang w:eastAsia="zh-CN"/>
        </w:rPr>
        <w:t>。</w:t>
      </w:r>
    </w:p>
    <w:p w14:paraId="57ED984B">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12" w:name="_Toc28810"/>
      <w:r>
        <w:rPr>
          <w:rFonts w:hint="eastAsia" w:ascii="黑体" w:hAnsi="黑体" w:eastAsia="黑体" w:cs="黑体"/>
          <w:kern w:val="2"/>
          <w:sz w:val="32"/>
          <w:szCs w:val="32"/>
          <w:lang w:val="en-US" w:eastAsia="zh-CN"/>
        </w:rPr>
        <w:t>八、</w:t>
      </w:r>
      <w:r>
        <w:rPr>
          <w:rFonts w:hint="eastAsia" w:ascii="黑体" w:hAnsi="黑体" w:eastAsia="黑体" w:cs="黑体"/>
          <w:kern w:val="2"/>
          <w:sz w:val="32"/>
          <w:szCs w:val="32"/>
        </w:rPr>
        <w:t>政府性基金预算支出情况说明</w:t>
      </w:r>
      <w:bookmarkEnd w:id="12"/>
    </w:p>
    <w:p w14:paraId="3CC97BEE">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政府性基金预算拨款安排的支出</w:t>
      </w:r>
      <w:r>
        <w:rPr>
          <w:rFonts w:hint="eastAsia" w:hAnsi="黑体"/>
          <w:kern w:val="2"/>
          <w:sz w:val="32"/>
          <w:szCs w:val="32"/>
          <w:lang w:val="en-US" w:eastAsia="zh-CN"/>
        </w:rPr>
        <w:t>0</w:t>
      </w:r>
      <w:r>
        <w:rPr>
          <w:rFonts w:hint="eastAsia" w:hAnsi="黑体"/>
          <w:kern w:val="2"/>
          <w:sz w:val="32"/>
          <w:szCs w:val="32"/>
        </w:rPr>
        <w:t>万元。</w:t>
      </w:r>
    </w:p>
    <w:p w14:paraId="40727689">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s="黑体"/>
          <w:kern w:val="2"/>
          <w:sz w:val="32"/>
          <w:szCs w:val="32"/>
        </w:rPr>
      </w:pPr>
      <w:bookmarkStart w:id="13" w:name="_Toc13225"/>
      <w:r>
        <w:rPr>
          <w:rFonts w:hint="eastAsia" w:ascii="黑体" w:hAnsi="黑体" w:eastAsia="黑体" w:cs="黑体"/>
          <w:kern w:val="2"/>
          <w:sz w:val="32"/>
          <w:szCs w:val="32"/>
          <w:lang w:val="en-US" w:eastAsia="zh-CN"/>
        </w:rPr>
        <w:t>九、</w:t>
      </w:r>
      <w:r>
        <w:rPr>
          <w:rFonts w:hint="eastAsia" w:ascii="黑体" w:hAnsi="黑体" w:eastAsia="黑体" w:cs="黑体"/>
          <w:kern w:val="2"/>
          <w:sz w:val="32"/>
          <w:szCs w:val="32"/>
        </w:rPr>
        <w:t>其他重要事项的情况说明</w:t>
      </w:r>
      <w:bookmarkEnd w:id="13"/>
    </w:p>
    <w:p w14:paraId="2EE14320">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lang w:val="en-US" w:eastAsia="zh-CN"/>
        </w:rPr>
      </w:pPr>
      <w:bookmarkStart w:id="14" w:name="_Toc21783"/>
      <w:r>
        <w:rPr>
          <w:rFonts w:hint="eastAsia" w:ascii="楷体_GB2312" w:hAnsi="黑体" w:eastAsia="楷体_GB2312" w:cs="楷体_GB2312"/>
          <w:b/>
          <w:bCs/>
          <w:kern w:val="2"/>
          <w:sz w:val="32"/>
          <w:szCs w:val="32"/>
        </w:rPr>
        <w:t>（一）机关运行经</w:t>
      </w:r>
      <w:r>
        <w:rPr>
          <w:rFonts w:hint="eastAsia" w:ascii="楷体_GB2312" w:hAnsi="黑体" w:eastAsia="楷体_GB2312" w:cs="楷体_GB2312"/>
          <w:b/>
          <w:bCs/>
          <w:kern w:val="2"/>
          <w:sz w:val="32"/>
          <w:szCs w:val="32"/>
          <w:lang w:val="en-US" w:eastAsia="zh-CN"/>
        </w:rPr>
        <w:t>费</w:t>
      </w:r>
      <w:bookmarkEnd w:id="14"/>
    </w:p>
    <w:p w14:paraId="106ED5E6">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lang w:val="en-US" w:eastAsia="zh-CN"/>
        </w:rPr>
      </w:pPr>
      <w:r>
        <w:rPr>
          <w:rFonts w:hint="eastAsia" w:hAnsi="黑体"/>
          <w:kern w:val="2"/>
          <w:sz w:val="32"/>
          <w:szCs w:val="32"/>
          <w:lang w:eastAsia="zh-CN"/>
        </w:rPr>
        <w:t>县委组织部</w:t>
      </w: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57.5</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3</w:t>
      </w:r>
      <w:r>
        <w:rPr>
          <w:rFonts w:hAnsi="黑体"/>
          <w:kern w:val="2"/>
          <w:sz w:val="32"/>
          <w:szCs w:val="32"/>
        </w:rPr>
        <w:t>年</w:t>
      </w:r>
      <w:r>
        <w:rPr>
          <w:rFonts w:hint="eastAsia" w:hAnsi="黑体"/>
          <w:kern w:val="2"/>
          <w:sz w:val="32"/>
          <w:szCs w:val="32"/>
        </w:rPr>
        <w:t>预算</w:t>
      </w:r>
      <w:r>
        <w:rPr>
          <w:rFonts w:hint="eastAsia" w:hAnsi="黑体"/>
          <w:kern w:val="2"/>
          <w:sz w:val="32"/>
          <w:szCs w:val="32"/>
          <w:lang w:val="en-US" w:eastAsia="zh-CN"/>
        </w:rPr>
        <w:t>减少7.52</w:t>
      </w:r>
      <w:r>
        <w:rPr>
          <w:rFonts w:hint="eastAsia" w:hAnsi="黑体"/>
          <w:kern w:val="2"/>
          <w:sz w:val="32"/>
          <w:szCs w:val="32"/>
        </w:rPr>
        <w:t>万元，</w:t>
      </w:r>
      <w:r>
        <w:rPr>
          <w:rFonts w:hint="eastAsia" w:hAnsi="黑体"/>
          <w:kern w:val="2"/>
          <w:sz w:val="32"/>
          <w:szCs w:val="32"/>
          <w:lang w:val="en-US" w:eastAsia="zh-CN"/>
        </w:rPr>
        <w:t>减少0.88%。</w:t>
      </w:r>
    </w:p>
    <w:p w14:paraId="10FA22E9">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ascii="楷体_GB2312" w:hAnsi="黑体" w:eastAsia="楷体_GB2312" w:cs="Times New Roman"/>
          <w:b/>
          <w:bCs/>
          <w:kern w:val="2"/>
          <w:sz w:val="32"/>
          <w:szCs w:val="32"/>
        </w:rPr>
      </w:pPr>
      <w:bookmarkStart w:id="15" w:name="_Toc5918"/>
      <w:r>
        <w:rPr>
          <w:rFonts w:hint="eastAsia" w:ascii="楷体_GB2312" w:hAnsi="黑体" w:eastAsia="楷体_GB2312" w:cs="楷体_GB2312"/>
          <w:b/>
          <w:bCs/>
          <w:kern w:val="2"/>
          <w:sz w:val="32"/>
          <w:szCs w:val="32"/>
        </w:rPr>
        <w:t>（二）政府采购情况</w:t>
      </w:r>
      <w:bookmarkEnd w:id="15"/>
    </w:p>
    <w:p w14:paraId="5AD96F21">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cs="Times New Roman"/>
          <w:kern w:val="2"/>
          <w:sz w:val="32"/>
          <w:szCs w:val="32"/>
          <w:lang w:eastAsia="zh-CN"/>
        </w:rPr>
      </w:pP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lang w:eastAsia="zh-CN"/>
        </w:rPr>
        <w:t>县委组织部</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14:paraId="1665228B">
      <w:pPr>
        <w:pStyle w:val="17"/>
        <w:keepNext w:val="0"/>
        <w:keepLines w:val="0"/>
        <w:pageBreakBefore w:val="0"/>
        <w:widowControl w:val="0"/>
        <w:numPr>
          <w:ilvl w:val="0"/>
          <w:numId w:val="2"/>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rPr>
      </w:pPr>
      <w:bookmarkStart w:id="16" w:name="_Toc27140"/>
      <w:r>
        <w:rPr>
          <w:rFonts w:hint="eastAsia" w:ascii="楷体_GB2312" w:hAnsi="黑体" w:eastAsia="楷体_GB2312" w:cs="楷体_GB2312"/>
          <w:b/>
          <w:bCs/>
          <w:kern w:val="2"/>
          <w:sz w:val="32"/>
          <w:szCs w:val="32"/>
        </w:rPr>
        <w:t>国有资产占有使用情况</w:t>
      </w:r>
      <w:bookmarkEnd w:id="16"/>
    </w:p>
    <w:p w14:paraId="484D7268">
      <w:pPr>
        <w:pStyle w:val="17"/>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0" w:firstLineChars="200"/>
        <w:textAlignment w:val="auto"/>
        <w:outlineLvl w:val="1"/>
        <w:rPr>
          <w:rFonts w:hint="eastAsia" w:ascii="楷体_GB2312" w:hAnsi="黑体" w:eastAsia="楷体_GB2312" w:cs="楷体_GB2312"/>
          <w:b/>
          <w:bCs/>
          <w:kern w:val="2"/>
          <w:sz w:val="32"/>
          <w:szCs w:val="32"/>
          <w:lang w:eastAsia="zh-CN"/>
        </w:rPr>
      </w:pPr>
      <w:bookmarkStart w:id="19" w:name="_GoBack"/>
      <w:bookmarkEnd w:id="19"/>
      <w:r>
        <w:rPr>
          <w:rFonts w:hint="eastAsia" w:hAnsi="黑体"/>
          <w:kern w:val="2"/>
          <w:sz w:val="32"/>
          <w:szCs w:val="32"/>
          <w:lang w:eastAsia="zh-CN"/>
        </w:rPr>
        <w:t>无</w:t>
      </w:r>
    </w:p>
    <w:p w14:paraId="504DEEB5">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3" w:firstLineChars="200"/>
        <w:textAlignment w:val="auto"/>
        <w:outlineLvl w:val="1"/>
        <w:rPr>
          <w:rFonts w:hint="eastAsia" w:ascii="楷体_GB2312" w:hAnsi="黑体" w:eastAsia="楷体_GB2312" w:cs="楷体_GB2312"/>
          <w:b/>
          <w:bCs/>
          <w:kern w:val="2"/>
          <w:sz w:val="32"/>
          <w:szCs w:val="32"/>
        </w:rPr>
      </w:pPr>
      <w:bookmarkStart w:id="17" w:name="_Toc17046"/>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bookmarkEnd w:id="17"/>
    </w:p>
    <w:p w14:paraId="12A11732">
      <w:pPr>
        <w:pStyle w:val="17"/>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Chars="196" w:firstLine="640" w:firstLineChars="200"/>
        <w:textAlignment w:val="auto"/>
        <w:outlineLvl w:val="9"/>
        <w:rPr>
          <w:rFonts w:hAnsi="黑体" w:cs="Times New Roman"/>
          <w:kern w:val="2"/>
          <w:sz w:val="32"/>
          <w:szCs w:val="32"/>
        </w:rPr>
      </w:pPr>
      <w:r>
        <w:rPr>
          <w:rFonts w:hAnsi="黑体"/>
          <w:kern w:val="2"/>
          <w:sz w:val="32"/>
          <w:szCs w:val="32"/>
        </w:rPr>
        <w:t>202</w:t>
      </w:r>
      <w:r>
        <w:rPr>
          <w:rFonts w:hint="eastAsia" w:hAnsi="黑体"/>
          <w:kern w:val="2"/>
          <w:sz w:val="32"/>
          <w:szCs w:val="32"/>
          <w:lang w:val="en-US" w:eastAsia="zh-CN"/>
        </w:rPr>
        <w:t>4</w:t>
      </w:r>
      <w:r>
        <w:rPr>
          <w:rFonts w:hAnsi="黑体"/>
          <w:kern w:val="2"/>
          <w:sz w:val="32"/>
          <w:szCs w:val="32"/>
        </w:rPr>
        <w:t>年</w:t>
      </w:r>
      <w:r>
        <w:rPr>
          <w:rFonts w:hint="eastAsia" w:hAnsi="黑体"/>
          <w:kern w:val="2"/>
          <w:sz w:val="32"/>
          <w:szCs w:val="32"/>
          <w:lang w:eastAsia="zh-CN"/>
        </w:rPr>
        <w:t>县委组织部</w:t>
      </w:r>
      <w:r>
        <w:rPr>
          <w:rFonts w:hint="eastAsia" w:hAnsi="黑体"/>
          <w:kern w:val="2"/>
          <w:sz w:val="32"/>
          <w:szCs w:val="32"/>
        </w:rPr>
        <w:t>通用项目和专用项目均按要求实行绩效目标管理，涉及一般公共预算当年拨款</w:t>
      </w:r>
      <w:r>
        <w:rPr>
          <w:rFonts w:hint="eastAsia" w:hAnsi="黑体"/>
          <w:kern w:val="2"/>
          <w:sz w:val="32"/>
          <w:szCs w:val="32"/>
          <w:lang w:val="en-US" w:eastAsia="zh-CN"/>
        </w:rPr>
        <w:t>254.70</w:t>
      </w:r>
      <w:r>
        <w:rPr>
          <w:rFonts w:hint="eastAsia" w:hAnsi="黑体"/>
          <w:kern w:val="2"/>
          <w:sz w:val="32"/>
          <w:szCs w:val="32"/>
        </w:rPr>
        <w:t>万元。</w:t>
      </w:r>
    </w:p>
    <w:p w14:paraId="60E983A6">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 w:hAnsi="??" w:eastAsia="宋体" w:cs="Times New Roman"/>
          <w:sz w:val="16"/>
          <w:szCs w:val="16"/>
        </w:rPr>
      </w:pPr>
      <w:bookmarkStart w:id="18" w:name="_Toc12419"/>
      <w:r>
        <w:rPr>
          <w:rFonts w:hint="eastAsia" w:ascii="黑体" w:hAnsi="黑体" w:eastAsia="黑体" w:cs="黑体"/>
          <w:kern w:val="2"/>
          <w:sz w:val="32"/>
          <w:szCs w:val="32"/>
        </w:rPr>
        <w:t>十、名词解释</w:t>
      </w:r>
      <w:bookmarkEnd w:id="18"/>
    </w:p>
    <w:p w14:paraId="2038332D">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p>
    <w:p w14:paraId="53EA693D">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（二）事业收入：指所属事业单位开展专业业务活动及辅助活动所取得的收入。</w:t>
      </w:r>
    </w:p>
    <w:p w14:paraId="5725E999">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kern w:val="2"/>
          <w:sz w:val="32"/>
          <w:szCs w:val="32"/>
        </w:rPr>
      </w:pPr>
      <w:r>
        <w:rPr>
          <w:rFonts w:hint="eastAsia" w:hAnsi="黑体"/>
          <w:kern w:val="2"/>
          <w:sz w:val="32"/>
          <w:szCs w:val="32"/>
        </w:rPr>
        <w:t>（三）事业单位经营收入：指所属事业单位在专业业务活动及其辅助活动之外开展非独立核算经营活动取得的收入。</w:t>
      </w:r>
    </w:p>
    <w:p w14:paraId="5438A445">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（四）其他收入：指除上述</w:t>
      </w:r>
      <w:r>
        <w:rPr>
          <w:rFonts w:hAnsi="黑体" w:cs="Times New Roman"/>
          <w:kern w:val="2"/>
          <w:sz w:val="32"/>
          <w:szCs w:val="32"/>
        </w:rPr>
        <w:t>“</w:t>
      </w:r>
      <w:r>
        <w:rPr>
          <w:rFonts w:hint="eastAsia" w:hAnsi="黑体"/>
          <w:kern w:val="2"/>
          <w:sz w:val="32"/>
          <w:szCs w:val="32"/>
        </w:rPr>
        <w:t>财政拨款收入</w:t>
      </w:r>
      <w:r>
        <w:rPr>
          <w:rFonts w:hint="eastAsia" w:hAnsi="黑体"/>
          <w:kern w:val="2"/>
          <w:sz w:val="32"/>
          <w:szCs w:val="32"/>
          <w:lang w:eastAsia="zh-CN"/>
        </w:rPr>
        <w:t>”“</w:t>
      </w:r>
      <w:r>
        <w:rPr>
          <w:rFonts w:hint="eastAsia" w:hAnsi="黑体"/>
          <w:kern w:val="2"/>
          <w:sz w:val="32"/>
          <w:szCs w:val="32"/>
        </w:rPr>
        <w:t>事业收入</w:t>
      </w:r>
      <w:r>
        <w:rPr>
          <w:rFonts w:hint="eastAsia" w:hAnsi="黑体"/>
          <w:kern w:val="2"/>
          <w:sz w:val="32"/>
          <w:szCs w:val="32"/>
          <w:lang w:eastAsia="zh-CN"/>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p>
    <w:p w14:paraId="55C1346C">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hAnsi="黑体" w:eastAsia="仿宋_GB2312"/>
          <w:kern w:val="2"/>
          <w:sz w:val="32"/>
          <w:szCs w:val="32"/>
          <w:lang w:eastAsia="zh-CN"/>
        </w:rPr>
      </w:pPr>
      <w:r>
        <w:rPr>
          <w:rFonts w:hint="eastAsia" w:hAnsi="黑体"/>
          <w:kern w:val="2"/>
          <w:sz w:val="32"/>
          <w:szCs w:val="32"/>
        </w:rPr>
        <w:t>（五）用事业基金弥补收支差额：指所属事业单位在预计用当年的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int="eastAsia" w:hAnsi="黑体"/>
          <w:kern w:val="2"/>
          <w:sz w:val="32"/>
          <w:szCs w:val="32"/>
          <w:lang w:eastAsia="zh-CN"/>
        </w:rPr>
        <w:t>”“</w:t>
      </w:r>
      <w:r>
        <w:rPr>
          <w:rFonts w:hint="eastAsia" w:hAnsi="黑体"/>
          <w:kern w:val="2"/>
          <w:sz w:val="32"/>
          <w:szCs w:val="32"/>
        </w:rPr>
        <w:t>事业收入</w:t>
      </w:r>
      <w:r>
        <w:rPr>
          <w:rFonts w:hint="eastAsia" w:hAnsi="黑体"/>
          <w:kern w:val="2"/>
          <w:sz w:val="32"/>
          <w:szCs w:val="32"/>
          <w:lang w:eastAsia="zh-CN"/>
        </w:rPr>
        <w:t>”“</w:t>
      </w:r>
      <w:r>
        <w:rPr>
          <w:rFonts w:hint="eastAsia" w:hAnsi="黑体"/>
          <w:kern w:val="2"/>
          <w:sz w:val="32"/>
          <w:szCs w:val="32"/>
        </w:rPr>
        <w:t>事业单位经营收入</w:t>
      </w:r>
      <w:r>
        <w:rPr>
          <w:rFonts w:hint="eastAsia" w:hAnsi="黑体"/>
          <w:kern w:val="2"/>
          <w:sz w:val="32"/>
          <w:szCs w:val="32"/>
          <w:lang w:eastAsia="zh-CN"/>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p>
    <w:p w14:paraId="2BA510A4">
      <w:pPr>
        <w:pStyle w:val="17"/>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ascii="仿宋_GB2312" w:hAnsi="黑体" w:eastAsia="仿宋_GB2312" w:cs="Times New Roman"/>
          <w:sz w:val="32"/>
          <w:szCs w:val="32"/>
        </w:rPr>
      </w:pPr>
      <w:r>
        <w:rPr>
          <w:rFonts w:hint="eastAsia" w:hAnsi="黑体"/>
          <w:kern w:val="2"/>
          <w:sz w:val="32"/>
          <w:szCs w:val="32"/>
        </w:rPr>
        <w:t>（六）上年结转：指所属行政事业单位以前年度尚未完成、结转至本年按原规定用途继续使用的资金和以前年度已完成项目剩余资金经批准用于新用途使用的资金。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1F5C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31C9FA">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7931C9F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800F1B"/>
    <w:multiLevelType w:val="singleLevel"/>
    <w:tmpl w:val="BA800F1B"/>
    <w:lvl w:ilvl="0" w:tentative="0">
      <w:start w:val="1"/>
      <w:numFmt w:val="decimal"/>
      <w:suff w:val="nothing"/>
      <w:lvlText w:val="%1．"/>
      <w:lvlJc w:val="left"/>
    </w:lvl>
  </w:abstractNum>
  <w:abstractNum w:abstractNumId="1">
    <w:nsid w:val="E90360F3"/>
    <w:multiLevelType w:val="singleLevel"/>
    <w:tmpl w:val="E90360F3"/>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0MzE3MDkyZjA5ZjVlNTBiMGNlNWFjNDk0YzgzZDUifQ=="/>
  </w:docVars>
  <w:rsids>
    <w:rsidRoot w:val="00352854"/>
    <w:rsid w:val="00085137"/>
    <w:rsid w:val="00097A74"/>
    <w:rsid w:val="00260082"/>
    <w:rsid w:val="00352854"/>
    <w:rsid w:val="003762A5"/>
    <w:rsid w:val="00471829"/>
    <w:rsid w:val="0047755A"/>
    <w:rsid w:val="00484AEB"/>
    <w:rsid w:val="00527A2C"/>
    <w:rsid w:val="00681CB7"/>
    <w:rsid w:val="007B3677"/>
    <w:rsid w:val="007C7CD1"/>
    <w:rsid w:val="008F63EB"/>
    <w:rsid w:val="00987B5A"/>
    <w:rsid w:val="009C5F76"/>
    <w:rsid w:val="00A55379"/>
    <w:rsid w:val="00B713B0"/>
    <w:rsid w:val="00B810D7"/>
    <w:rsid w:val="00C0348B"/>
    <w:rsid w:val="00C451EA"/>
    <w:rsid w:val="00C8183B"/>
    <w:rsid w:val="00EF71D0"/>
    <w:rsid w:val="00F743F0"/>
    <w:rsid w:val="00F806C0"/>
    <w:rsid w:val="00F80C32"/>
    <w:rsid w:val="00FF11B9"/>
    <w:rsid w:val="01AA309B"/>
    <w:rsid w:val="027A2F95"/>
    <w:rsid w:val="07DA6710"/>
    <w:rsid w:val="1D175989"/>
    <w:rsid w:val="21EB719D"/>
    <w:rsid w:val="24F70A8B"/>
    <w:rsid w:val="2D1631B1"/>
    <w:rsid w:val="2E345C85"/>
    <w:rsid w:val="37F91FA6"/>
    <w:rsid w:val="38610A4B"/>
    <w:rsid w:val="3866301A"/>
    <w:rsid w:val="3BC74120"/>
    <w:rsid w:val="3BFBDEBA"/>
    <w:rsid w:val="3D670293"/>
    <w:rsid w:val="3DAD30E6"/>
    <w:rsid w:val="3FC36FF8"/>
    <w:rsid w:val="436F39FE"/>
    <w:rsid w:val="452A6789"/>
    <w:rsid w:val="477925CC"/>
    <w:rsid w:val="494040CE"/>
    <w:rsid w:val="51216E81"/>
    <w:rsid w:val="564D44C0"/>
    <w:rsid w:val="5C422E08"/>
    <w:rsid w:val="61F555BE"/>
    <w:rsid w:val="63495BC1"/>
    <w:rsid w:val="706758D9"/>
    <w:rsid w:val="73027968"/>
    <w:rsid w:val="7382374A"/>
    <w:rsid w:val="77901BB9"/>
    <w:rsid w:val="7E81225C"/>
    <w:rsid w:val="BFDC9A8A"/>
    <w:rsid w:val="F87714AD"/>
    <w:rsid w:val="F9B38F7F"/>
    <w:rsid w:val="FFFF38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autoRedefine/>
    <w:semiHidden/>
    <w:qFormat/>
    <w:uiPriority w:val="99"/>
  </w:style>
  <w:style w:type="table" w:default="1" w:styleId="10">
    <w:name w:val="Normal Table"/>
    <w:autoRedefine/>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Indent"/>
    <w:basedOn w:val="1"/>
    <w:next w:val="4"/>
    <w:unhideWhenUsed/>
    <w:qFormat/>
    <w:uiPriority w:val="99"/>
    <w:pPr>
      <w:spacing w:after="120"/>
      <w:ind w:left="420" w:leftChars="200"/>
    </w:pPr>
  </w:style>
  <w:style w:type="paragraph" w:styleId="4">
    <w:name w:val="Body Text First Indent 2"/>
    <w:basedOn w:val="3"/>
    <w:next w:val="1"/>
    <w:autoRedefine/>
    <w:unhideWhenUsed/>
    <w:qFormat/>
    <w:uiPriority w:val="0"/>
    <w:pPr>
      <w:spacing w:after="0"/>
      <w:ind w:left="0" w:leftChars="0" w:firstLine="200" w:firstLineChars="200"/>
    </w:pPr>
    <w:rPr>
      <w:bCs/>
      <w:kern w:val="0"/>
      <w:szCs w:val="32"/>
    </w:rPr>
  </w:style>
  <w:style w:type="paragraph" w:styleId="5">
    <w:name w:val="footer"/>
    <w:basedOn w:val="1"/>
    <w:next w:val="2"/>
    <w:link w:val="14"/>
    <w:autoRedefine/>
    <w:semiHidden/>
    <w:qFormat/>
    <w:uiPriority w:val="99"/>
    <w:pPr>
      <w:tabs>
        <w:tab w:val="center" w:pos="4153"/>
        <w:tab w:val="right" w:pos="8306"/>
      </w:tabs>
      <w:snapToGrid w:val="0"/>
      <w:jc w:val="left"/>
    </w:pPr>
    <w:rPr>
      <w:sz w:val="18"/>
      <w:szCs w:val="18"/>
    </w:rPr>
  </w:style>
  <w:style w:type="paragraph" w:styleId="6">
    <w:name w:val="header"/>
    <w:basedOn w:val="1"/>
    <w:link w:val="15"/>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qFormat/>
    <w:locked/>
    <w:uiPriority w:val="0"/>
  </w:style>
  <w:style w:type="paragraph" w:styleId="8">
    <w:name w:val="table of figures"/>
    <w:basedOn w:val="1"/>
    <w:next w:val="1"/>
    <w:qFormat/>
    <w:uiPriority w:val="0"/>
    <w:pPr>
      <w:ind w:left="200" w:leftChars="200" w:hanging="200" w:hangingChars="200"/>
    </w:pPr>
  </w:style>
  <w:style w:type="paragraph" w:styleId="9">
    <w:name w:val="toc 2"/>
    <w:basedOn w:val="1"/>
    <w:next w:val="1"/>
    <w:autoRedefine/>
    <w:qFormat/>
    <w:locked/>
    <w:uiPriority w:val="0"/>
    <w:pPr>
      <w:ind w:left="420" w:leftChars="200"/>
    </w:pPr>
  </w:style>
  <w:style w:type="character" w:styleId="12">
    <w:name w:val="page number"/>
    <w:basedOn w:val="11"/>
    <w:autoRedefine/>
    <w:qFormat/>
    <w:uiPriority w:val="0"/>
  </w:style>
  <w:style w:type="character" w:styleId="13">
    <w:name w:val="Emphasis"/>
    <w:basedOn w:val="11"/>
    <w:autoRedefine/>
    <w:qFormat/>
    <w:uiPriority w:val="99"/>
  </w:style>
  <w:style w:type="character" w:customStyle="1" w:styleId="14">
    <w:name w:val="页脚 Char"/>
    <w:basedOn w:val="11"/>
    <w:link w:val="5"/>
    <w:autoRedefine/>
    <w:semiHidden/>
    <w:qFormat/>
    <w:locked/>
    <w:uiPriority w:val="99"/>
    <w:rPr>
      <w:sz w:val="18"/>
      <w:szCs w:val="18"/>
    </w:rPr>
  </w:style>
  <w:style w:type="character" w:customStyle="1" w:styleId="15">
    <w:name w:val="页眉 Char"/>
    <w:basedOn w:val="11"/>
    <w:link w:val="6"/>
    <w:autoRedefine/>
    <w:semiHidden/>
    <w:qFormat/>
    <w:locked/>
    <w:uiPriority w:val="99"/>
    <w:rPr>
      <w:sz w:val="18"/>
      <w:szCs w:val="18"/>
    </w:rPr>
  </w:style>
  <w:style w:type="character" w:customStyle="1" w:styleId="16">
    <w:name w:val="默认段落字体1"/>
    <w:autoRedefine/>
    <w:qFormat/>
    <w:uiPriority w:val="99"/>
    <w:rPr>
      <w:sz w:val="22"/>
      <w:szCs w:val="22"/>
    </w:rPr>
  </w:style>
  <w:style w:type="paragraph" w:customStyle="1" w:styleId="17">
    <w:name w:val="正文文本1"/>
    <w:basedOn w:val="1"/>
    <w:autoRedefine/>
    <w:qFormat/>
    <w:uiPriority w:val="99"/>
    <w:pPr>
      <w:spacing w:before="93"/>
    </w:pPr>
    <w:rPr>
      <w:rFonts w:ascii="仿宋_GB2312" w:hAnsi="仿宋_GB2312" w:eastAsia="仿宋_GB2312" w:cs="仿宋_GB2312"/>
      <w:kern w:val="0"/>
      <w:sz w:val="30"/>
      <w:szCs w:val="30"/>
    </w:rPr>
  </w:style>
  <w:style w:type="paragraph" w:customStyle="1" w:styleId="18">
    <w:name w:val="List Paragraph"/>
    <w:basedOn w:val="1"/>
    <w:autoRedefine/>
    <w:qFormat/>
    <w:uiPriority w:val="99"/>
    <w:pPr>
      <w:ind w:firstLine="420" w:firstLineChars="200"/>
    </w:pPr>
  </w:style>
  <w:style w:type="character" w:customStyle="1" w:styleId="19">
    <w:name w:val="font31"/>
    <w:basedOn w:val="11"/>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296</Words>
  <Characters>306</Characters>
  <Lines>17</Lines>
  <Paragraphs>5</Paragraphs>
  <TotalTime>5</TotalTime>
  <ScaleCrop>false</ScaleCrop>
  <LinksUpToDate>false</LinksUpToDate>
  <CharactersWithSpaces>326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2017-12-16T01:50:00Z</dcterms:created>
  <dc:creator>薛永萍</dc:creator>
  <cp:lastModifiedBy>雪。</cp:lastModifiedBy>
  <cp:lastPrinted>2022-01-22T02:05:00Z</cp:lastPrinted>
  <dcterms:modified xsi:type="dcterms:W3CDTF">2026-07-10T02:27:57Z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5D48154EC71E4A6FB412DD96E21CE6CA_13</vt:lpwstr>
  </property>
  <property fmtid="{D5CDD505-2E9C-101B-9397-08002B2CF9AE}" pid="4" name="KSOTemplateDocerSaveRecord">
    <vt:lpwstr>eyJoZGlkIjoiN2QzZjk4ZmI4YzUyY2NiZTM5YjJkNjVmMjg0M2I1ODciLCJ1c2VySWQiOiIxMTY3MDI4OTQxIn0=</vt:lpwstr>
  </property>
</Properties>
</file>