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A0F654">
      <w:pPr>
        <w:spacing w:line="600" w:lineRule="exact"/>
        <w:jc w:val="center"/>
        <w:rPr>
          <w:rFonts w:hint="eastAsia" w:ascii="方正小标宋简体" w:hAnsi="宋体" w:eastAsia="方正小标宋简体"/>
          <w:sz w:val="72"/>
          <w:szCs w:val="72"/>
        </w:rPr>
      </w:pPr>
      <w:bookmarkStart w:id="0" w:name="_Toc15396597"/>
      <w:bookmarkStart w:id="1" w:name="_Toc15377425"/>
      <w:bookmarkStart w:id="2" w:name="_Toc15377193"/>
      <w:bookmarkStart w:id="3" w:name="_Toc15378441"/>
      <w:bookmarkStart w:id="4" w:name="_Toc15396475"/>
      <w:bookmarkStart w:id="5" w:name="_Toc15306267"/>
    </w:p>
    <w:p w14:paraId="491B1D91">
      <w:pPr>
        <w:spacing w:line="600" w:lineRule="exact"/>
        <w:jc w:val="center"/>
        <w:rPr>
          <w:rFonts w:eastAsia="方正小标宋简体"/>
          <w:sz w:val="72"/>
          <w:szCs w:val="72"/>
        </w:rPr>
      </w:pPr>
    </w:p>
    <w:p w14:paraId="4D187E7E">
      <w:pPr>
        <w:spacing w:line="600" w:lineRule="exact"/>
        <w:jc w:val="center"/>
        <w:rPr>
          <w:rFonts w:eastAsia="方正小标宋简体"/>
          <w:sz w:val="72"/>
          <w:szCs w:val="72"/>
        </w:rPr>
      </w:pPr>
    </w:p>
    <w:p w14:paraId="06FC7B94">
      <w:pPr>
        <w:spacing w:line="600" w:lineRule="exact"/>
        <w:jc w:val="center"/>
        <w:rPr>
          <w:rFonts w:eastAsia="方正小标宋简体"/>
          <w:sz w:val="72"/>
          <w:szCs w:val="72"/>
        </w:rPr>
      </w:pPr>
    </w:p>
    <w:bookmarkEnd w:id="0"/>
    <w:bookmarkEnd w:id="1"/>
    <w:bookmarkEnd w:id="2"/>
    <w:bookmarkEnd w:id="3"/>
    <w:bookmarkEnd w:id="4"/>
    <w:p w14:paraId="2D1243AF">
      <w:pPr>
        <w:adjustRightInd w:val="0"/>
        <w:snapToGrid w:val="0"/>
        <w:spacing w:line="360" w:lineRule="auto"/>
        <w:jc w:val="center"/>
        <w:rPr>
          <w:rFonts w:eastAsia="方正小标宋_GBK"/>
          <w:b/>
          <w:bCs/>
          <w:sz w:val="52"/>
          <w:szCs w:val="52"/>
        </w:rPr>
      </w:pPr>
      <w:r>
        <w:rPr>
          <w:rFonts w:hint="eastAsia" w:eastAsia="方正小标宋_GBK"/>
          <w:b/>
          <w:bCs/>
          <w:sz w:val="52"/>
          <w:szCs w:val="52"/>
        </w:rPr>
        <w:t>2023</w:t>
      </w:r>
      <w:r>
        <w:rPr>
          <w:rFonts w:eastAsia="方正小标宋_GBK"/>
          <w:b/>
          <w:bCs/>
          <w:sz w:val="52"/>
          <w:szCs w:val="52"/>
        </w:rPr>
        <w:t>年度</w:t>
      </w:r>
    </w:p>
    <w:bookmarkEnd w:id="5"/>
    <w:p w14:paraId="3329291F">
      <w:pPr>
        <w:adjustRightInd w:val="0"/>
        <w:snapToGrid w:val="0"/>
        <w:spacing w:line="360" w:lineRule="auto"/>
        <w:jc w:val="center"/>
        <w:outlineLvl w:val="0"/>
        <w:rPr>
          <w:rFonts w:eastAsia="方正小标宋_GBK"/>
          <w:b/>
          <w:bCs/>
          <w:sz w:val="52"/>
          <w:szCs w:val="52"/>
        </w:rPr>
      </w:pPr>
      <w:bookmarkStart w:id="6" w:name="_Toc10976"/>
      <w:bookmarkStart w:id="7" w:name="_Toc31164"/>
      <w:bookmarkStart w:id="8" w:name="_Toc15378442"/>
      <w:bookmarkStart w:id="9" w:name="_Toc15396476"/>
      <w:bookmarkStart w:id="10" w:name="_Toc15377426"/>
      <w:bookmarkStart w:id="11" w:name="_Toc15377194"/>
      <w:bookmarkStart w:id="12" w:name="_Toc15396598"/>
      <w:bookmarkStart w:id="13" w:name="_Toc15306268"/>
      <w:r>
        <w:rPr>
          <w:rFonts w:eastAsia="方正小标宋_GBK"/>
          <w:b/>
          <w:bCs/>
          <w:sz w:val="52"/>
          <w:szCs w:val="52"/>
        </w:rPr>
        <w:t>中共阿坝州壤塘县委员会组织部</w:t>
      </w:r>
      <w:bookmarkEnd w:id="6"/>
      <w:bookmarkEnd w:id="7"/>
    </w:p>
    <w:p w14:paraId="78682368">
      <w:pPr>
        <w:adjustRightInd w:val="0"/>
        <w:snapToGrid w:val="0"/>
        <w:spacing w:line="360" w:lineRule="auto"/>
        <w:jc w:val="center"/>
        <w:rPr>
          <w:rFonts w:eastAsia="方正小标宋_GBK"/>
          <w:b/>
          <w:bCs/>
          <w:sz w:val="52"/>
          <w:szCs w:val="52"/>
        </w:rPr>
      </w:pPr>
      <w:r>
        <w:rPr>
          <w:rFonts w:eastAsia="方正小标宋_GBK"/>
          <w:b/>
          <w:bCs/>
          <w:sz w:val="52"/>
          <w:szCs w:val="52"/>
        </w:rPr>
        <w:t>部门决算</w:t>
      </w:r>
      <w:bookmarkEnd w:id="8"/>
      <w:bookmarkEnd w:id="9"/>
      <w:bookmarkEnd w:id="10"/>
      <w:bookmarkEnd w:id="11"/>
      <w:bookmarkEnd w:id="12"/>
      <w:bookmarkEnd w:id="13"/>
    </w:p>
    <w:p w14:paraId="2206B636">
      <w:pPr>
        <w:pStyle w:val="15"/>
        <w:rPr>
          <w:rFonts w:ascii="Times New Roman" w:hAnsi="Times New Roman" w:eastAsia="方正小标宋简体"/>
          <w:sz w:val="36"/>
          <w:szCs w:val="36"/>
        </w:rPr>
      </w:pPr>
      <w:r>
        <w:rPr>
          <w:rFonts w:ascii="Times New Roman" w:hAnsi="Times New Roman" w:eastAsia="方正小标宋简体"/>
          <w:sz w:val="36"/>
          <w:szCs w:val="36"/>
        </w:rPr>
        <w:br w:type="page"/>
      </w:r>
    </w:p>
    <w:p w14:paraId="65AA58A5">
      <w:pPr>
        <w:jc w:val="left"/>
      </w:pPr>
    </w:p>
    <w:sdt>
      <w:sdtPr>
        <w:rPr>
          <w:rFonts w:ascii="宋体" w:hAnsi="宋体"/>
          <w:sz w:val="44"/>
          <w:szCs w:val="52"/>
        </w:rPr>
        <w:id w:val="147460818"/>
        <w:docPartObj>
          <w:docPartGallery w:val="Table of Contents"/>
          <w:docPartUnique/>
        </w:docPartObj>
      </w:sdtPr>
      <w:sdtEndPr>
        <w:rPr>
          <w:rFonts w:ascii="宋体" w:hAnsi="宋体"/>
          <w:b/>
          <w:sz w:val="44"/>
          <w:szCs w:val="52"/>
        </w:rPr>
      </w:sdtEndPr>
      <w:sdtContent>
        <w:p w14:paraId="0FBED05D">
          <w:pPr>
            <w:jc w:val="center"/>
            <w:rPr>
              <w:sz w:val="44"/>
              <w:szCs w:val="52"/>
            </w:rPr>
          </w:pPr>
          <w:bookmarkStart w:id="14" w:name="_Toc31844"/>
          <w:r>
            <w:rPr>
              <w:rFonts w:ascii="宋体" w:hAnsi="宋体"/>
              <w:sz w:val="44"/>
              <w:szCs w:val="52"/>
            </w:rPr>
            <w:t>目录</w:t>
          </w:r>
        </w:p>
        <w:p w14:paraId="78E144FC">
          <w:pPr>
            <w:pStyle w:val="45"/>
            <w:tabs>
              <w:tab w:val="right" w:leader="dot" w:pos="8306"/>
            </w:tabs>
            <w:jc w:val="center"/>
          </w:pPr>
          <w:r>
            <w:rPr>
              <w:rFonts w:hint="eastAsia"/>
              <w:sz w:val="24"/>
              <w:szCs w:val="24"/>
            </w:rPr>
            <w:t>公开时间： 2024年10月25日</w:t>
          </w:r>
          <w:r>
            <w:fldChar w:fldCharType="begin"/>
          </w:r>
          <w:r>
            <w:instrText xml:space="preserve">TOC \o "1-2" \h \u </w:instrText>
          </w:r>
          <w:r>
            <w:fldChar w:fldCharType="separate"/>
          </w:r>
        </w:p>
        <w:p w14:paraId="76DCBD81">
          <w:pPr>
            <w:pStyle w:val="15"/>
            <w:tabs>
              <w:tab w:val="right" w:leader="dot" w:pos="8306"/>
              <w:tab w:val="clear" w:pos="8296"/>
            </w:tabs>
          </w:pPr>
          <w:r>
            <w:fldChar w:fldCharType="begin"/>
          </w:r>
          <w:r>
            <w:instrText xml:space="preserve"> HYPERLINK \l "_Toc9546" </w:instrText>
          </w:r>
          <w:r>
            <w:fldChar w:fldCharType="separate"/>
          </w:r>
          <w:r>
            <w:rPr>
              <w:rFonts w:hint="eastAsia" w:ascii="黑体" w:hAnsi="黑体" w:eastAsia="黑体" w:cs="黑体"/>
              <w:szCs w:val="32"/>
            </w:rPr>
            <w:t>第一部分 部门概况</w:t>
          </w:r>
          <w:r>
            <w:tab/>
          </w:r>
          <w:r>
            <w:fldChar w:fldCharType="begin"/>
          </w:r>
          <w:r>
            <w:instrText xml:space="preserve"> PAGEREF _Toc9546 \h </w:instrText>
          </w:r>
          <w:r>
            <w:fldChar w:fldCharType="separate"/>
          </w:r>
          <w:r>
            <w:t>1</w:t>
          </w:r>
          <w:r>
            <w:fldChar w:fldCharType="end"/>
          </w:r>
          <w:r>
            <w:fldChar w:fldCharType="end"/>
          </w:r>
        </w:p>
        <w:p w14:paraId="03F38D42">
          <w:pPr>
            <w:pStyle w:val="18"/>
            <w:tabs>
              <w:tab w:val="right" w:leader="dot" w:pos="8306"/>
              <w:tab w:val="clear" w:pos="8296"/>
            </w:tabs>
            <w:rPr>
              <w:rFonts w:ascii="仿宋" w:hAnsi="仿宋" w:eastAsia="仿宋" w:cs="仿宋"/>
              <w:sz w:val="28"/>
              <w:szCs w:val="28"/>
            </w:rPr>
          </w:pPr>
          <w:r>
            <w:fldChar w:fldCharType="begin"/>
          </w:r>
          <w:r>
            <w:instrText xml:space="preserve"> HYPERLINK \l "_Toc24494" </w:instrText>
          </w:r>
          <w:r>
            <w:fldChar w:fldCharType="separate"/>
          </w:r>
          <w:r>
            <w:rPr>
              <w:rFonts w:hint="eastAsia" w:ascii="仿宋" w:hAnsi="仿宋" w:eastAsia="仿宋" w:cs="仿宋"/>
              <w:bCs/>
              <w:sz w:val="28"/>
              <w:szCs w:val="28"/>
            </w:rPr>
            <w:t>一、</w:t>
          </w:r>
          <w:r>
            <w:rPr>
              <w:rFonts w:hint="eastAsia" w:ascii="仿宋" w:hAnsi="仿宋" w:eastAsia="仿宋" w:cs="仿宋"/>
              <w:sz w:val="28"/>
              <w:szCs w:val="28"/>
            </w:rPr>
            <w:t>部门职责</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_Toc24494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6A2B1731">
          <w:pPr>
            <w:pStyle w:val="18"/>
            <w:tabs>
              <w:tab w:val="right" w:leader="dot" w:pos="8306"/>
              <w:tab w:val="clear" w:pos="8296"/>
            </w:tabs>
          </w:pPr>
          <w:r>
            <w:fldChar w:fldCharType="begin"/>
          </w:r>
          <w:r>
            <w:instrText xml:space="preserve"> HYPERLINK \l "_Toc17290" </w:instrText>
          </w:r>
          <w:r>
            <w:fldChar w:fldCharType="separate"/>
          </w:r>
          <w:r>
            <w:rPr>
              <w:rFonts w:hint="eastAsia" w:ascii="仿宋" w:hAnsi="仿宋" w:eastAsia="仿宋" w:cs="仿宋"/>
              <w:bCs/>
              <w:sz w:val="28"/>
              <w:szCs w:val="28"/>
            </w:rPr>
            <w:t>二、机构设置</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_Toc17290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24F988B5">
          <w:pPr>
            <w:pStyle w:val="15"/>
            <w:tabs>
              <w:tab w:val="right" w:leader="dot" w:pos="8306"/>
              <w:tab w:val="clear" w:pos="8296"/>
            </w:tabs>
          </w:pPr>
          <w:r>
            <w:fldChar w:fldCharType="begin"/>
          </w:r>
          <w:r>
            <w:instrText xml:space="preserve"> HYPERLINK \l "_Toc16458" </w:instrText>
          </w:r>
          <w:r>
            <w:fldChar w:fldCharType="separate"/>
          </w:r>
          <w:r>
            <w:rPr>
              <w:rFonts w:hint="eastAsia" w:ascii="黑体" w:hAnsi="黑体" w:eastAsia="黑体" w:cs="黑体"/>
              <w:szCs w:val="32"/>
            </w:rPr>
            <w:t>第二部分 2023年度部门决算情况说明</w:t>
          </w:r>
          <w:r>
            <w:tab/>
          </w:r>
          <w:r>
            <w:fldChar w:fldCharType="begin"/>
          </w:r>
          <w:r>
            <w:instrText xml:space="preserve"> PAGEREF _Toc16458 \h </w:instrText>
          </w:r>
          <w:r>
            <w:fldChar w:fldCharType="separate"/>
          </w:r>
          <w:r>
            <w:t>2</w:t>
          </w:r>
          <w:r>
            <w:fldChar w:fldCharType="end"/>
          </w:r>
          <w:r>
            <w:fldChar w:fldCharType="end"/>
          </w:r>
        </w:p>
        <w:p w14:paraId="1B5F814D">
          <w:pPr>
            <w:pStyle w:val="18"/>
            <w:tabs>
              <w:tab w:val="right" w:leader="dot" w:pos="8306"/>
              <w:tab w:val="clear" w:pos="8296"/>
            </w:tabs>
            <w:rPr>
              <w:rFonts w:ascii="仿宋" w:hAnsi="仿宋" w:eastAsia="仿宋" w:cs="仿宋"/>
              <w:bCs/>
              <w:sz w:val="28"/>
              <w:szCs w:val="28"/>
            </w:rPr>
          </w:pPr>
          <w:r>
            <w:fldChar w:fldCharType="begin"/>
          </w:r>
          <w:r>
            <w:instrText xml:space="preserve"> HYPERLINK \l "_Toc27841" </w:instrText>
          </w:r>
          <w:r>
            <w:fldChar w:fldCharType="separate"/>
          </w:r>
          <w:r>
            <w:rPr>
              <w:rFonts w:ascii="仿宋" w:hAnsi="仿宋" w:eastAsia="仿宋" w:cs="仿宋"/>
              <w:bCs/>
              <w:sz w:val="28"/>
              <w:szCs w:val="28"/>
            </w:rPr>
            <w:t>一、收入支出决算总体情况说明</w:t>
          </w:r>
          <w:r>
            <w:rPr>
              <w:rFonts w:hint="eastAsia" w:ascii="仿宋" w:hAnsi="仿宋" w:eastAsia="仿宋" w:cs="仿宋"/>
              <w:bCs/>
              <w:sz w:val="28"/>
              <w:szCs w:val="28"/>
            </w:rPr>
            <w:tab/>
          </w: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 PAGEREF _Toc27841 \h </w:instrText>
          </w:r>
          <w:r>
            <w:rPr>
              <w:rFonts w:hint="eastAsia" w:ascii="仿宋" w:hAnsi="仿宋" w:eastAsia="仿宋" w:cs="仿宋"/>
              <w:bCs/>
              <w:sz w:val="28"/>
              <w:szCs w:val="28"/>
            </w:rPr>
            <w:fldChar w:fldCharType="separate"/>
          </w:r>
          <w:r>
            <w:rPr>
              <w:rFonts w:hint="eastAsia" w:ascii="仿宋" w:hAnsi="仿宋" w:eastAsia="仿宋" w:cs="仿宋"/>
              <w:bCs/>
              <w:sz w:val="28"/>
              <w:szCs w:val="28"/>
            </w:rPr>
            <w:t>2</w:t>
          </w:r>
          <w:r>
            <w:rPr>
              <w:rFonts w:hint="eastAsia" w:ascii="仿宋" w:hAnsi="仿宋" w:eastAsia="仿宋" w:cs="仿宋"/>
              <w:bCs/>
              <w:sz w:val="28"/>
              <w:szCs w:val="28"/>
            </w:rPr>
            <w:fldChar w:fldCharType="end"/>
          </w:r>
          <w:r>
            <w:rPr>
              <w:rFonts w:hint="eastAsia" w:ascii="仿宋" w:hAnsi="仿宋" w:eastAsia="仿宋" w:cs="仿宋"/>
              <w:bCs/>
              <w:sz w:val="28"/>
              <w:szCs w:val="28"/>
            </w:rPr>
            <w:fldChar w:fldCharType="end"/>
          </w:r>
        </w:p>
        <w:p w14:paraId="330D96A0">
          <w:pPr>
            <w:pStyle w:val="18"/>
            <w:tabs>
              <w:tab w:val="right" w:leader="dot" w:pos="8306"/>
              <w:tab w:val="clear" w:pos="8296"/>
            </w:tabs>
            <w:rPr>
              <w:rFonts w:ascii="仿宋" w:hAnsi="仿宋" w:eastAsia="仿宋" w:cs="仿宋"/>
              <w:bCs/>
              <w:sz w:val="28"/>
              <w:szCs w:val="28"/>
            </w:rPr>
          </w:pPr>
          <w:r>
            <w:fldChar w:fldCharType="begin"/>
          </w:r>
          <w:r>
            <w:instrText xml:space="preserve"> HYPERLINK \l "_Toc27689" </w:instrText>
          </w:r>
          <w:r>
            <w:fldChar w:fldCharType="separate"/>
          </w:r>
          <w:r>
            <w:rPr>
              <w:rFonts w:ascii="仿宋" w:hAnsi="仿宋" w:eastAsia="仿宋" w:cs="仿宋"/>
              <w:bCs/>
              <w:sz w:val="28"/>
              <w:szCs w:val="28"/>
            </w:rPr>
            <w:t>二、收入决算情况说明</w:t>
          </w:r>
          <w:r>
            <w:rPr>
              <w:rFonts w:hint="eastAsia" w:ascii="仿宋" w:hAnsi="仿宋" w:eastAsia="仿宋" w:cs="仿宋"/>
              <w:bCs/>
              <w:sz w:val="28"/>
              <w:szCs w:val="28"/>
            </w:rPr>
            <w:tab/>
          </w: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 PAGEREF _Toc27689 \h </w:instrText>
          </w:r>
          <w:r>
            <w:rPr>
              <w:rFonts w:hint="eastAsia" w:ascii="仿宋" w:hAnsi="仿宋" w:eastAsia="仿宋" w:cs="仿宋"/>
              <w:bCs/>
              <w:sz w:val="28"/>
              <w:szCs w:val="28"/>
            </w:rPr>
            <w:fldChar w:fldCharType="separate"/>
          </w:r>
          <w:r>
            <w:rPr>
              <w:rFonts w:hint="eastAsia" w:ascii="仿宋" w:hAnsi="仿宋" w:eastAsia="仿宋" w:cs="仿宋"/>
              <w:bCs/>
              <w:sz w:val="28"/>
              <w:szCs w:val="28"/>
            </w:rPr>
            <w:t>3</w:t>
          </w:r>
          <w:r>
            <w:rPr>
              <w:rFonts w:hint="eastAsia" w:ascii="仿宋" w:hAnsi="仿宋" w:eastAsia="仿宋" w:cs="仿宋"/>
              <w:bCs/>
              <w:sz w:val="28"/>
              <w:szCs w:val="28"/>
            </w:rPr>
            <w:fldChar w:fldCharType="end"/>
          </w:r>
          <w:r>
            <w:rPr>
              <w:rFonts w:hint="eastAsia" w:ascii="仿宋" w:hAnsi="仿宋" w:eastAsia="仿宋" w:cs="仿宋"/>
              <w:bCs/>
              <w:sz w:val="28"/>
              <w:szCs w:val="28"/>
            </w:rPr>
            <w:fldChar w:fldCharType="end"/>
          </w:r>
        </w:p>
        <w:p w14:paraId="1DBF537F">
          <w:pPr>
            <w:pStyle w:val="18"/>
            <w:tabs>
              <w:tab w:val="right" w:leader="dot" w:pos="8306"/>
              <w:tab w:val="clear" w:pos="8296"/>
            </w:tabs>
            <w:rPr>
              <w:rFonts w:ascii="仿宋" w:hAnsi="仿宋" w:eastAsia="仿宋" w:cs="仿宋"/>
              <w:bCs/>
              <w:sz w:val="28"/>
              <w:szCs w:val="28"/>
            </w:rPr>
          </w:pPr>
          <w:r>
            <w:fldChar w:fldCharType="begin"/>
          </w:r>
          <w:r>
            <w:instrText xml:space="preserve"> HYPERLINK \l "_Toc22715" </w:instrText>
          </w:r>
          <w:r>
            <w:fldChar w:fldCharType="separate"/>
          </w:r>
          <w:r>
            <w:rPr>
              <w:rFonts w:ascii="仿宋" w:hAnsi="仿宋" w:eastAsia="仿宋" w:cs="仿宋"/>
              <w:bCs/>
              <w:sz w:val="28"/>
              <w:szCs w:val="28"/>
            </w:rPr>
            <w:t>三、支出决算情况说明</w:t>
          </w:r>
          <w:r>
            <w:rPr>
              <w:rFonts w:hint="eastAsia" w:ascii="仿宋" w:hAnsi="仿宋" w:eastAsia="仿宋" w:cs="仿宋"/>
              <w:bCs/>
              <w:sz w:val="28"/>
              <w:szCs w:val="28"/>
            </w:rPr>
            <w:tab/>
          </w: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 PAGEREF _Toc22715 \h </w:instrText>
          </w:r>
          <w:r>
            <w:rPr>
              <w:rFonts w:hint="eastAsia" w:ascii="仿宋" w:hAnsi="仿宋" w:eastAsia="仿宋" w:cs="仿宋"/>
              <w:bCs/>
              <w:sz w:val="28"/>
              <w:szCs w:val="28"/>
            </w:rPr>
            <w:fldChar w:fldCharType="separate"/>
          </w:r>
          <w:r>
            <w:rPr>
              <w:rFonts w:hint="eastAsia" w:ascii="仿宋" w:hAnsi="仿宋" w:eastAsia="仿宋" w:cs="仿宋"/>
              <w:bCs/>
              <w:sz w:val="28"/>
              <w:szCs w:val="28"/>
            </w:rPr>
            <w:t>3</w:t>
          </w:r>
          <w:r>
            <w:rPr>
              <w:rFonts w:hint="eastAsia" w:ascii="仿宋" w:hAnsi="仿宋" w:eastAsia="仿宋" w:cs="仿宋"/>
              <w:bCs/>
              <w:sz w:val="28"/>
              <w:szCs w:val="28"/>
            </w:rPr>
            <w:fldChar w:fldCharType="end"/>
          </w:r>
          <w:r>
            <w:rPr>
              <w:rFonts w:hint="eastAsia" w:ascii="仿宋" w:hAnsi="仿宋" w:eastAsia="仿宋" w:cs="仿宋"/>
              <w:bCs/>
              <w:sz w:val="28"/>
              <w:szCs w:val="28"/>
            </w:rPr>
            <w:fldChar w:fldCharType="end"/>
          </w:r>
        </w:p>
        <w:p w14:paraId="06033FB6">
          <w:pPr>
            <w:pStyle w:val="18"/>
            <w:tabs>
              <w:tab w:val="right" w:leader="dot" w:pos="8306"/>
              <w:tab w:val="clear" w:pos="8296"/>
            </w:tabs>
            <w:rPr>
              <w:rFonts w:ascii="仿宋" w:hAnsi="仿宋" w:eastAsia="仿宋" w:cs="仿宋"/>
              <w:bCs/>
              <w:sz w:val="28"/>
              <w:szCs w:val="28"/>
            </w:rPr>
          </w:pPr>
          <w:r>
            <w:fldChar w:fldCharType="begin"/>
          </w:r>
          <w:r>
            <w:instrText xml:space="preserve"> HYPERLINK \l "_Toc10006" </w:instrText>
          </w:r>
          <w:r>
            <w:fldChar w:fldCharType="separate"/>
          </w:r>
          <w:r>
            <w:rPr>
              <w:rFonts w:ascii="仿宋" w:hAnsi="仿宋" w:eastAsia="仿宋" w:cs="仿宋"/>
              <w:bCs/>
              <w:sz w:val="28"/>
              <w:szCs w:val="28"/>
            </w:rPr>
            <w:t>四、财政拨款收入支出决算总体情况说明</w:t>
          </w:r>
          <w:r>
            <w:rPr>
              <w:rFonts w:hint="eastAsia" w:ascii="仿宋" w:hAnsi="仿宋" w:eastAsia="仿宋" w:cs="仿宋"/>
              <w:bCs/>
              <w:sz w:val="28"/>
              <w:szCs w:val="28"/>
            </w:rPr>
            <w:tab/>
          </w: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 PAGEREF _Toc10006 \h </w:instrText>
          </w:r>
          <w:r>
            <w:rPr>
              <w:rFonts w:hint="eastAsia" w:ascii="仿宋" w:hAnsi="仿宋" w:eastAsia="仿宋" w:cs="仿宋"/>
              <w:bCs/>
              <w:sz w:val="28"/>
              <w:szCs w:val="28"/>
            </w:rPr>
            <w:fldChar w:fldCharType="separate"/>
          </w:r>
          <w:r>
            <w:rPr>
              <w:rFonts w:hint="eastAsia" w:ascii="仿宋" w:hAnsi="仿宋" w:eastAsia="仿宋" w:cs="仿宋"/>
              <w:bCs/>
              <w:sz w:val="28"/>
              <w:szCs w:val="28"/>
            </w:rPr>
            <w:t>4</w:t>
          </w:r>
          <w:r>
            <w:rPr>
              <w:rFonts w:hint="eastAsia" w:ascii="仿宋" w:hAnsi="仿宋" w:eastAsia="仿宋" w:cs="仿宋"/>
              <w:bCs/>
              <w:sz w:val="28"/>
              <w:szCs w:val="28"/>
            </w:rPr>
            <w:fldChar w:fldCharType="end"/>
          </w:r>
          <w:r>
            <w:rPr>
              <w:rFonts w:hint="eastAsia" w:ascii="仿宋" w:hAnsi="仿宋" w:eastAsia="仿宋" w:cs="仿宋"/>
              <w:bCs/>
              <w:sz w:val="28"/>
              <w:szCs w:val="28"/>
            </w:rPr>
            <w:fldChar w:fldCharType="end"/>
          </w:r>
        </w:p>
        <w:p w14:paraId="6C283C71">
          <w:pPr>
            <w:pStyle w:val="18"/>
            <w:tabs>
              <w:tab w:val="right" w:leader="dot" w:pos="8306"/>
              <w:tab w:val="clear" w:pos="8296"/>
            </w:tabs>
            <w:rPr>
              <w:rFonts w:ascii="仿宋" w:hAnsi="仿宋" w:eastAsia="仿宋" w:cs="仿宋"/>
              <w:bCs/>
              <w:sz w:val="28"/>
              <w:szCs w:val="28"/>
            </w:rPr>
          </w:pPr>
          <w:r>
            <w:fldChar w:fldCharType="begin"/>
          </w:r>
          <w:r>
            <w:instrText xml:space="preserve"> HYPERLINK \l "_Toc17027" </w:instrText>
          </w:r>
          <w:r>
            <w:fldChar w:fldCharType="separate"/>
          </w:r>
          <w:r>
            <w:rPr>
              <w:rFonts w:ascii="仿宋" w:hAnsi="仿宋" w:eastAsia="仿宋" w:cs="仿宋"/>
              <w:bCs/>
              <w:sz w:val="28"/>
              <w:szCs w:val="28"/>
            </w:rPr>
            <w:t>五、一般公共预算财政拨款支出决算情况说明</w:t>
          </w:r>
          <w:r>
            <w:rPr>
              <w:rFonts w:hint="eastAsia" w:ascii="仿宋" w:hAnsi="仿宋" w:eastAsia="仿宋" w:cs="仿宋"/>
              <w:bCs/>
              <w:sz w:val="28"/>
              <w:szCs w:val="28"/>
            </w:rPr>
            <w:tab/>
          </w: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 PAGEREF _Toc17027 \h </w:instrText>
          </w:r>
          <w:r>
            <w:rPr>
              <w:rFonts w:hint="eastAsia" w:ascii="仿宋" w:hAnsi="仿宋" w:eastAsia="仿宋" w:cs="仿宋"/>
              <w:bCs/>
              <w:sz w:val="28"/>
              <w:szCs w:val="28"/>
            </w:rPr>
            <w:fldChar w:fldCharType="separate"/>
          </w:r>
          <w:r>
            <w:rPr>
              <w:rFonts w:hint="eastAsia" w:ascii="仿宋" w:hAnsi="仿宋" w:eastAsia="仿宋" w:cs="仿宋"/>
              <w:bCs/>
              <w:sz w:val="28"/>
              <w:szCs w:val="28"/>
            </w:rPr>
            <w:t>5</w:t>
          </w:r>
          <w:r>
            <w:rPr>
              <w:rFonts w:hint="eastAsia" w:ascii="仿宋" w:hAnsi="仿宋" w:eastAsia="仿宋" w:cs="仿宋"/>
              <w:bCs/>
              <w:sz w:val="28"/>
              <w:szCs w:val="28"/>
            </w:rPr>
            <w:fldChar w:fldCharType="end"/>
          </w:r>
          <w:r>
            <w:rPr>
              <w:rFonts w:hint="eastAsia" w:ascii="仿宋" w:hAnsi="仿宋" w:eastAsia="仿宋" w:cs="仿宋"/>
              <w:bCs/>
              <w:sz w:val="28"/>
              <w:szCs w:val="28"/>
            </w:rPr>
            <w:fldChar w:fldCharType="end"/>
          </w:r>
        </w:p>
        <w:p w14:paraId="1C9B2192">
          <w:pPr>
            <w:pStyle w:val="18"/>
            <w:tabs>
              <w:tab w:val="right" w:leader="dot" w:pos="8306"/>
              <w:tab w:val="clear" w:pos="8296"/>
            </w:tabs>
            <w:rPr>
              <w:rFonts w:ascii="仿宋" w:hAnsi="仿宋" w:eastAsia="仿宋" w:cs="仿宋"/>
              <w:bCs/>
              <w:sz w:val="28"/>
              <w:szCs w:val="28"/>
            </w:rPr>
          </w:pPr>
          <w:r>
            <w:fldChar w:fldCharType="begin"/>
          </w:r>
          <w:r>
            <w:instrText xml:space="preserve"> HYPERLINK \l "_Toc21683" </w:instrText>
          </w:r>
          <w:r>
            <w:fldChar w:fldCharType="separate"/>
          </w:r>
          <w:r>
            <w:rPr>
              <w:rFonts w:ascii="仿宋" w:hAnsi="仿宋" w:eastAsia="仿宋" w:cs="仿宋"/>
              <w:bCs/>
              <w:sz w:val="28"/>
              <w:szCs w:val="28"/>
            </w:rPr>
            <w:t>六、一般公共预算财政拨款基本支出决算情况说明</w:t>
          </w:r>
          <w:r>
            <w:rPr>
              <w:rFonts w:hint="eastAsia" w:ascii="仿宋" w:hAnsi="仿宋" w:eastAsia="仿宋" w:cs="仿宋"/>
              <w:bCs/>
              <w:sz w:val="28"/>
              <w:szCs w:val="28"/>
            </w:rPr>
            <w:tab/>
          </w: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 PAGEREF _Toc21683 \h </w:instrText>
          </w:r>
          <w:r>
            <w:rPr>
              <w:rFonts w:hint="eastAsia" w:ascii="仿宋" w:hAnsi="仿宋" w:eastAsia="仿宋" w:cs="仿宋"/>
              <w:bCs/>
              <w:sz w:val="28"/>
              <w:szCs w:val="28"/>
            </w:rPr>
            <w:fldChar w:fldCharType="separate"/>
          </w:r>
          <w:r>
            <w:rPr>
              <w:rFonts w:hint="eastAsia" w:ascii="仿宋" w:hAnsi="仿宋" w:eastAsia="仿宋" w:cs="仿宋"/>
              <w:bCs/>
              <w:sz w:val="28"/>
              <w:szCs w:val="28"/>
            </w:rPr>
            <w:t>9</w:t>
          </w:r>
          <w:r>
            <w:rPr>
              <w:rFonts w:hint="eastAsia" w:ascii="仿宋" w:hAnsi="仿宋" w:eastAsia="仿宋" w:cs="仿宋"/>
              <w:bCs/>
              <w:sz w:val="28"/>
              <w:szCs w:val="28"/>
            </w:rPr>
            <w:fldChar w:fldCharType="end"/>
          </w:r>
          <w:r>
            <w:rPr>
              <w:rFonts w:hint="eastAsia" w:ascii="仿宋" w:hAnsi="仿宋" w:eastAsia="仿宋" w:cs="仿宋"/>
              <w:bCs/>
              <w:sz w:val="28"/>
              <w:szCs w:val="28"/>
            </w:rPr>
            <w:fldChar w:fldCharType="end"/>
          </w:r>
        </w:p>
        <w:p w14:paraId="31093EB4">
          <w:pPr>
            <w:pStyle w:val="18"/>
            <w:tabs>
              <w:tab w:val="right" w:leader="dot" w:pos="8306"/>
              <w:tab w:val="clear" w:pos="8296"/>
            </w:tabs>
            <w:rPr>
              <w:rFonts w:ascii="仿宋" w:hAnsi="仿宋" w:eastAsia="仿宋" w:cs="仿宋"/>
              <w:bCs/>
              <w:sz w:val="28"/>
              <w:szCs w:val="28"/>
            </w:rPr>
          </w:pPr>
          <w:r>
            <w:fldChar w:fldCharType="begin"/>
          </w:r>
          <w:r>
            <w:instrText xml:space="preserve"> HYPERLINK \l "_Toc18665" </w:instrText>
          </w:r>
          <w:r>
            <w:fldChar w:fldCharType="separate"/>
          </w:r>
          <w:r>
            <w:rPr>
              <w:rFonts w:ascii="仿宋" w:hAnsi="仿宋" w:eastAsia="仿宋" w:cs="仿宋"/>
              <w:bCs/>
              <w:sz w:val="28"/>
              <w:szCs w:val="28"/>
            </w:rPr>
            <w:t>七、“三公”经费财政拨款支出决算情况说明</w:t>
          </w:r>
          <w:r>
            <w:rPr>
              <w:rFonts w:hint="eastAsia" w:ascii="仿宋" w:hAnsi="仿宋" w:eastAsia="仿宋" w:cs="仿宋"/>
              <w:bCs/>
              <w:sz w:val="28"/>
              <w:szCs w:val="28"/>
            </w:rPr>
            <w:tab/>
          </w: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 PAGEREF _Toc18665 \h </w:instrText>
          </w:r>
          <w:r>
            <w:rPr>
              <w:rFonts w:hint="eastAsia" w:ascii="仿宋" w:hAnsi="仿宋" w:eastAsia="仿宋" w:cs="仿宋"/>
              <w:bCs/>
              <w:sz w:val="28"/>
              <w:szCs w:val="28"/>
            </w:rPr>
            <w:fldChar w:fldCharType="separate"/>
          </w:r>
          <w:r>
            <w:rPr>
              <w:rFonts w:hint="eastAsia" w:ascii="仿宋" w:hAnsi="仿宋" w:eastAsia="仿宋" w:cs="仿宋"/>
              <w:bCs/>
              <w:sz w:val="28"/>
              <w:szCs w:val="28"/>
            </w:rPr>
            <w:t>9</w:t>
          </w:r>
          <w:r>
            <w:rPr>
              <w:rFonts w:hint="eastAsia" w:ascii="仿宋" w:hAnsi="仿宋" w:eastAsia="仿宋" w:cs="仿宋"/>
              <w:bCs/>
              <w:sz w:val="28"/>
              <w:szCs w:val="28"/>
            </w:rPr>
            <w:fldChar w:fldCharType="end"/>
          </w:r>
          <w:r>
            <w:rPr>
              <w:rFonts w:hint="eastAsia" w:ascii="仿宋" w:hAnsi="仿宋" w:eastAsia="仿宋" w:cs="仿宋"/>
              <w:bCs/>
              <w:sz w:val="28"/>
              <w:szCs w:val="28"/>
            </w:rPr>
            <w:fldChar w:fldCharType="end"/>
          </w:r>
        </w:p>
        <w:p w14:paraId="647A3670">
          <w:pPr>
            <w:pStyle w:val="18"/>
            <w:tabs>
              <w:tab w:val="right" w:leader="dot" w:pos="8306"/>
              <w:tab w:val="clear" w:pos="8296"/>
            </w:tabs>
            <w:rPr>
              <w:rFonts w:ascii="仿宋" w:hAnsi="仿宋" w:eastAsia="仿宋" w:cs="仿宋"/>
              <w:bCs/>
              <w:sz w:val="28"/>
              <w:szCs w:val="28"/>
            </w:rPr>
          </w:pPr>
          <w:r>
            <w:fldChar w:fldCharType="begin"/>
          </w:r>
          <w:r>
            <w:instrText xml:space="preserve"> HYPERLINK \l "_Toc9058" </w:instrText>
          </w:r>
          <w:r>
            <w:fldChar w:fldCharType="separate"/>
          </w:r>
          <w:r>
            <w:rPr>
              <w:rFonts w:ascii="仿宋" w:hAnsi="仿宋" w:eastAsia="仿宋" w:cs="仿宋"/>
              <w:bCs/>
              <w:sz w:val="28"/>
              <w:szCs w:val="28"/>
            </w:rPr>
            <w:t>八、政府性基金预算支出决算情况说明</w:t>
          </w:r>
          <w:r>
            <w:rPr>
              <w:rFonts w:hint="eastAsia" w:ascii="仿宋" w:hAnsi="仿宋" w:eastAsia="仿宋" w:cs="仿宋"/>
              <w:bCs/>
              <w:sz w:val="28"/>
              <w:szCs w:val="28"/>
            </w:rPr>
            <w:tab/>
          </w: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 PAGEREF _Toc9058 \h </w:instrText>
          </w:r>
          <w:r>
            <w:rPr>
              <w:rFonts w:hint="eastAsia" w:ascii="仿宋" w:hAnsi="仿宋" w:eastAsia="仿宋" w:cs="仿宋"/>
              <w:bCs/>
              <w:sz w:val="28"/>
              <w:szCs w:val="28"/>
            </w:rPr>
            <w:fldChar w:fldCharType="separate"/>
          </w:r>
          <w:r>
            <w:rPr>
              <w:rFonts w:hint="eastAsia" w:ascii="仿宋" w:hAnsi="仿宋" w:eastAsia="仿宋" w:cs="仿宋"/>
              <w:bCs/>
              <w:sz w:val="28"/>
              <w:szCs w:val="28"/>
            </w:rPr>
            <w:t>11</w:t>
          </w:r>
          <w:r>
            <w:rPr>
              <w:rFonts w:hint="eastAsia" w:ascii="仿宋" w:hAnsi="仿宋" w:eastAsia="仿宋" w:cs="仿宋"/>
              <w:bCs/>
              <w:sz w:val="28"/>
              <w:szCs w:val="28"/>
            </w:rPr>
            <w:fldChar w:fldCharType="end"/>
          </w:r>
          <w:r>
            <w:rPr>
              <w:rFonts w:hint="eastAsia" w:ascii="仿宋" w:hAnsi="仿宋" w:eastAsia="仿宋" w:cs="仿宋"/>
              <w:bCs/>
              <w:sz w:val="28"/>
              <w:szCs w:val="28"/>
            </w:rPr>
            <w:fldChar w:fldCharType="end"/>
          </w:r>
        </w:p>
        <w:p w14:paraId="7C88AC73">
          <w:pPr>
            <w:pStyle w:val="18"/>
            <w:tabs>
              <w:tab w:val="right" w:leader="dot" w:pos="8306"/>
              <w:tab w:val="clear" w:pos="8296"/>
            </w:tabs>
            <w:rPr>
              <w:rFonts w:ascii="仿宋" w:hAnsi="仿宋" w:eastAsia="仿宋" w:cs="仿宋"/>
              <w:bCs/>
              <w:sz w:val="28"/>
              <w:szCs w:val="28"/>
            </w:rPr>
          </w:pPr>
          <w:r>
            <w:fldChar w:fldCharType="begin"/>
          </w:r>
          <w:r>
            <w:instrText xml:space="preserve"> HYPERLINK \l "_Toc2135" </w:instrText>
          </w:r>
          <w:r>
            <w:fldChar w:fldCharType="separate"/>
          </w:r>
          <w:r>
            <w:rPr>
              <w:rFonts w:hint="eastAsia" w:ascii="仿宋" w:hAnsi="仿宋" w:eastAsia="仿宋" w:cs="仿宋"/>
              <w:bCs/>
              <w:sz w:val="28"/>
              <w:szCs w:val="28"/>
            </w:rPr>
            <w:t xml:space="preserve">九、 </w:t>
          </w:r>
          <w:r>
            <w:rPr>
              <w:rFonts w:ascii="仿宋" w:hAnsi="仿宋" w:eastAsia="仿宋" w:cs="仿宋"/>
              <w:bCs/>
              <w:sz w:val="28"/>
              <w:szCs w:val="28"/>
            </w:rPr>
            <w:t>国有资本经营预算支出决算情况说明</w:t>
          </w:r>
          <w:r>
            <w:rPr>
              <w:rFonts w:hint="eastAsia" w:ascii="仿宋" w:hAnsi="仿宋" w:eastAsia="仿宋" w:cs="仿宋"/>
              <w:bCs/>
              <w:sz w:val="28"/>
              <w:szCs w:val="28"/>
            </w:rPr>
            <w:tab/>
          </w: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 PAGEREF _Toc2135 \h </w:instrText>
          </w:r>
          <w:r>
            <w:rPr>
              <w:rFonts w:hint="eastAsia" w:ascii="仿宋" w:hAnsi="仿宋" w:eastAsia="仿宋" w:cs="仿宋"/>
              <w:bCs/>
              <w:sz w:val="28"/>
              <w:szCs w:val="28"/>
            </w:rPr>
            <w:fldChar w:fldCharType="separate"/>
          </w:r>
          <w:r>
            <w:rPr>
              <w:rFonts w:hint="eastAsia" w:ascii="仿宋" w:hAnsi="仿宋" w:eastAsia="仿宋" w:cs="仿宋"/>
              <w:bCs/>
              <w:sz w:val="28"/>
              <w:szCs w:val="28"/>
            </w:rPr>
            <w:t>11</w:t>
          </w:r>
          <w:r>
            <w:rPr>
              <w:rFonts w:hint="eastAsia" w:ascii="仿宋" w:hAnsi="仿宋" w:eastAsia="仿宋" w:cs="仿宋"/>
              <w:bCs/>
              <w:sz w:val="28"/>
              <w:szCs w:val="28"/>
            </w:rPr>
            <w:fldChar w:fldCharType="end"/>
          </w:r>
          <w:r>
            <w:rPr>
              <w:rFonts w:hint="eastAsia" w:ascii="仿宋" w:hAnsi="仿宋" w:eastAsia="仿宋" w:cs="仿宋"/>
              <w:bCs/>
              <w:sz w:val="28"/>
              <w:szCs w:val="28"/>
            </w:rPr>
            <w:fldChar w:fldCharType="end"/>
          </w:r>
        </w:p>
        <w:p w14:paraId="6230D83A">
          <w:pPr>
            <w:pStyle w:val="18"/>
            <w:tabs>
              <w:tab w:val="right" w:leader="dot" w:pos="8306"/>
              <w:tab w:val="clear" w:pos="8296"/>
            </w:tabs>
          </w:pPr>
          <w:r>
            <w:fldChar w:fldCharType="begin"/>
          </w:r>
          <w:r>
            <w:instrText xml:space="preserve"> HYPERLINK \l "_Toc28490" </w:instrText>
          </w:r>
          <w:r>
            <w:fldChar w:fldCharType="separate"/>
          </w:r>
          <w:r>
            <w:rPr>
              <w:rFonts w:hint="eastAsia" w:ascii="仿宋" w:hAnsi="仿宋" w:eastAsia="仿宋" w:cs="仿宋"/>
              <w:bCs/>
              <w:sz w:val="28"/>
              <w:szCs w:val="28"/>
            </w:rPr>
            <w:t>十、</w:t>
          </w:r>
          <w:r>
            <w:rPr>
              <w:rFonts w:ascii="仿宋" w:hAnsi="仿宋" w:eastAsia="仿宋" w:cs="仿宋"/>
              <w:bCs/>
              <w:sz w:val="28"/>
              <w:szCs w:val="28"/>
            </w:rPr>
            <w:t>其他重要事项的情况说明</w:t>
          </w:r>
          <w:r>
            <w:rPr>
              <w:rFonts w:hint="eastAsia" w:ascii="仿宋" w:hAnsi="仿宋" w:eastAsia="仿宋" w:cs="仿宋"/>
              <w:bCs/>
              <w:sz w:val="28"/>
              <w:szCs w:val="28"/>
            </w:rPr>
            <w:tab/>
          </w: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 PAGEREF _Toc28490 \h </w:instrText>
          </w:r>
          <w:r>
            <w:rPr>
              <w:rFonts w:hint="eastAsia" w:ascii="仿宋" w:hAnsi="仿宋" w:eastAsia="仿宋" w:cs="仿宋"/>
              <w:bCs/>
              <w:sz w:val="28"/>
              <w:szCs w:val="28"/>
            </w:rPr>
            <w:fldChar w:fldCharType="separate"/>
          </w:r>
          <w:r>
            <w:rPr>
              <w:rFonts w:hint="eastAsia" w:ascii="仿宋" w:hAnsi="仿宋" w:eastAsia="仿宋" w:cs="仿宋"/>
              <w:bCs/>
              <w:sz w:val="28"/>
              <w:szCs w:val="28"/>
            </w:rPr>
            <w:t>11</w:t>
          </w:r>
          <w:r>
            <w:rPr>
              <w:rFonts w:hint="eastAsia" w:ascii="仿宋" w:hAnsi="仿宋" w:eastAsia="仿宋" w:cs="仿宋"/>
              <w:bCs/>
              <w:sz w:val="28"/>
              <w:szCs w:val="28"/>
            </w:rPr>
            <w:fldChar w:fldCharType="end"/>
          </w:r>
          <w:r>
            <w:rPr>
              <w:rFonts w:hint="eastAsia" w:ascii="仿宋" w:hAnsi="仿宋" w:eastAsia="仿宋" w:cs="仿宋"/>
              <w:bCs/>
              <w:sz w:val="28"/>
              <w:szCs w:val="28"/>
            </w:rPr>
            <w:fldChar w:fldCharType="end"/>
          </w:r>
        </w:p>
        <w:p w14:paraId="4CD024FE">
          <w:pPr>
            <w:pStyle w:val="15"/>
            <w:tabs>
              <w:tab w:val="right" w:leader="dot" w:pos="8306"/>
              <w:tab w:val="clear" w:pos="8296"/>
            </w:tabs>
          </w:pPr>
          <w:r>
            <w:fldChar w:fldCharType="begin"/>
          </w:r>
          <w:r>
            <w:instrText xml:space="preserve"> HYPERLINK \l "_Toc24624" </w:instrText>
          </w:r>
          <w:r>
            <w:fldChar w:fldCharType="separate"/>
          </w:r>
          <w:r>
            <w:rPr>
              <w:rFonts w:hint="eastAsia" w:ascii="黑体" w:hAnsi="黑体" w:eastAsia="黑体" w:cs="黑体"/>
              <w:szCs w:val="32"/>
            </w:rPr>
            <w:t>第四部分 附件</w:t>
          </w:r>
          <w:r>
            <w:tab/>
          </w:r>
          <w:r>
            <w:fldChar w:fldCharType="begin"/>
          </w:r>
          <w:r>
            <w:instrText xml:space="preserve"> PAGEREF _Toc24624 \h </w:instrText>
          </w:r>
          <w:r>
            <w:fldChar w:fldCharType="separate"/>
          </w:r>
          <w:r>
            <w:t>16</w:t>
          </w:r>
          <w:r>
            <w:fldChar w:fldCharType="end"/>
          </w:r>
          <w:r>
            <w:fldChar w:fldCharType="end"/>
          </w:r>
        </w:p>
        <w:p w14:paraId="5D817252">
          <w:pPr>
            <w:pStyle w:val="15"/>
            <w:tabs>
              <w:tab w:val="right" w:leader="dot" w:pos="8306"/>
              <w:tab w:val="clear" w:pos="8296"/>
            </w:tabs>
          </w:pPr>
          <w:r>
            <w:fldChar w:fldCharType="begin"/>
          </w:r>
          <w:r>
            <w:instrText xml:space="preserve"> HYPERLINK \l "_Toc9903" </w:instrText>
          </w:r>
          <w:r>
            <w:fldChar w:fldCharType="separate"/>
          </w:r>
          <w:r>
            <w:rPr>
              <w:rFonts w:hint="eastAsia" w:ascii="黑体" w:hAnsi="黑体" w:eastAsia="黑体" w:cs="黑体"/>
              <w:szCs w:val="44"/>
            </w:rPr>
            <w:t>第五部分 附表</w:t>
          </w:r>
          <w:r>
            <w:tab/>
          </w:r>
          <w:r>
            <w:fldChar w:fldCharType="begin"/>
          </w:r>
          <w:r>
            <w:instrText xml:space="preserve"> PAGEREF _Toc9903 \h </w:instrText>
          </w:r>
          <w:r>
            <w:fldChar w:fldCharType="separate"/>
          </w:r>
          <w:r>
            <w:t>51</w:t>
          </w:r>
          <w:r>
            <w:fldChar w:fldCharType="end"/>
          </w:r>
          <w:r>
            <w:fldChar w:fldCharType="end"/>
          </w:r>
        </w:p>
        <w:p w14:paraId="413FDD47">
          <w:pPr>
            <w:pStyle w:val="18"/>
            <w:tabs>
              <w:tab w:val="right" w:leader="dot" w:pos="8306"/>
              <w:tab w:val="clear" w:pos="8296"/>
            </w:tabs>
            <w:rPr>
              <w:rFonts w:ascii="仿宋" w:hAnsi="仿宋" w:eastAsia="仿宋" w:cs="仿宋"/>
              <w:bCs/>
              <w:sz w:val="28"/>
              <w:szCs w:val="28"/>
            </w:rPr>
          </w:pPr>
          <w:r>
            <w:fldChar w:fldCharType="begin"/>
          </w:r>
          <w:r>
            <w:instrText xml:space="preserve"> HYPERLINK \l "_Toc10321" </w:instrText>
          </w:r>
          <w:r>
            <w:fldChar w:fldCharType="separate"/>
          </w:r>
          <w:r>
            <w:rPr>
              <w:rFonts w:hint="eastAsia" w:ascii="仿宋" w:hAnsi="仿宋" w:eastAsia="仿宋" w:cs="仿宋"/>
              <w:bCs/>
              <w:sz w:val="28"/>
              <w:szCs w:val="28"/>
            </w:rPr>
            <w:t>一、收入支出决算总表</w:t>
          </w:r>
          <w:r>
            <w:rPr>
              <w:rFonts w:hint="eastAsia" w:ascii="仿宋" w:hAnsi="仿宋" w:eastAsia="仿宋" w:cs="仿宋"/>
              <w:bCs/>
              <w:sz w:val="28"/>
              <w:szCs w:val="28"/>
            </w:rPr>
            <w:tab/>
          </w: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 PAGEREF _Toc10321 \h </w:instrText>
          </w:r>
          <w:r>
            <w:rPr>
              <w:rFonts w:hint="eastAsia" w:ascii="仿宋" w:hAnsi="仿宋" w:eastAsia="仿宋" w:cs="仿宋"/>
              <w:bCs/>
              <w:sz w:val="28"/>
              <w:szCs w:val="28"/>
            </w:rPr>
            <w:fldChar w:fldCharType="separate"/>
          </w:r>
          <w:r>
            <w:rPr>
              <w:rFonts w:hint="eastAsia" w:ascii="仿宋" w:hAnsi="仿宋" w:eastAsia="仿宋" w:cs="仿宋"/>
              <w:bCs/>
              <w:sz w:val="28"/>
              <w:szCs w:val="28"/>
            </w:rPr>
            <w:t>51</w:t>
          </w:r>
          <w:r>
            <w:rPr>
              <w:rFonts w:hint="eastAsia" w:ascii="仿宋" w:hAnsi="仿宋" w:eastAsia="仿宋" w:cs="仿宋"/>
              <w:bCs/>
              <w:sz w:val="28"/>
              <w:szCs w:val="28"/>
            </w:rPr>
            <w:fldChar w:fldCharType="end"/>
          </w:r>
          <w:r>
            <w:rPr>
              <w:rFonts w:hint="eastAsia" w:ascii="仿宋" w:hAnsi="仿宋" w:eastAsia="仿宋" w:cs="仿宋"/>
              <w:bCs/>
              <w:sz w:val="28"/>
              <w:szCs w:val="28"/>
            </w:rPr>
            <w:fldChar w:fldCharType="end"/>
          </w:r>
        </w:p>
        <w:p w14:paraId="1E4EBC38">
          <w:pPr>
            <w:pStyle w:val="18"/>
            <w:tabs>
              <w:tab w:val="right" w:leader="dot" w:pos="8306"/>
              <w:tab w:val="clear" w:pos="8296"/>
            </w:tabs>
            <w:rPr>
              <w:rFonts w:ascii="仿宋" w:hAnsi="仿宋" w:eastAsia="仿宋" w:cs="仿宋"/>
              <w:bCs/>
              <w:sz w:val="28"/>
              <w:szCs w:val="28"/>
            </w:rPr>
          </w:pPr>
          <w:r>
            <w:fldChar w:fldCharType="begin"/>
          </w:r>
          <w:r>
            <w:instrText xml:space="preserve"> HYPERLINK \l "_Toc510" </w:instrText>
          </w:r>
          <w:r>
            <w:fldChar w:fldCharType="separate"/>
          </w:r>
          <w:r>
            <w:rPr>
              <w:rFonts w:hint="eastAsia" w:ascii="仿宋" w:hAnsi="仿宋" w:eastAsia="仿宋" w:cs="仿宋"/>
              <w:bCs/>
              <w:sz w:val="28"/>
              <w:szCs w:val="28"/>
            </w:rPr>
            <w:t>二、收入决算表</w:t>
          </w:r>
          <w:r>
            <w:rPr>
              <w:rFonts w:hint="eastAsia" w:ascii="仿宋" w:hAnsi="仿宋" w:eastAsia="仿宋" w:cs="仿宋"/>
              <w:bCs/>
              <w:sz w:val="28"/>
              <w:szCs w:val="28"/>
            </w:rPr>
            <w:tab/>
          </w: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 PAGEREF _Toc510 \h </w:instrText>
          </w:r>
          <w:r>
            <w:rPr>
              <w:rFonts w:hint="eastAsia" w:ascii="仿宋" w:hAnsi="仿宋" w:eastAsia="仿宋" w:cs="仿宋"/>
              <w:bCs/>
              <w:sz w:val="28"/>
              <w:szCs w:val="28"/>
            </w:rPr>
            <w:fldChar w:fldCharType="separate"/>
          </w:r>
          <w:r>
            <w:rPr>
              <w:rFonts w:hint="eastAsia" w:ascii="仿宋" w:hAnsi="仿宋" w:eastAsia="仿宋" w:cs="仿宋"/>
              <w:bCs/>
              <w:sz w:val="28"/>
              <w:szCs w:val="28"/>
            </w:rPr>
            <w:t>51</w:t>
          </w:r>
          <w:r>
            <w:rPr>
              <w:rFonts w:hint="eastAsia" w:ascii="仿宋" w:hAnsi="仿宋" w:eastAsia="仿宋" w:cs="仿宋"/>
              <w:bCs/>
              <w:sz w:val="28"/>
              <w:szCs w:val="28"/>
            </w:rPr>
            <w:fldChar w:fldCharType="end"/>
          </w:r>
          <w:r>
            <w:rPr>
              <w:rFonts w:hint="eastAsia" w:ascii="仿宋" w:hAnsi="仿宋" w:eastAsia="仿宋" w:cs="仿宋"/>
              <w:bCs/>
              <w:sz w:val="28"/>
              <w:szCs w:val="28"/>
            </w:rPr>
            <w:fldChar w:fldCharType="end"/>
          </w:r>
        </w:p>
        <w:p w14:paraId="5118939F">
          <w:pPr>
            <w:pStyle w:val="18"/>
            <w:tabs>
              <w:tab w:val="right" w:leader="dot" w:pos="8306"/>
              <w:tab w:val="clear" w:pos="8296"/>
            </w:tabs>
            <w:rPr>
              <w:rFonts w:ascii="仿宋" w:hAnsi="仿宋" w:eastAsia="仿宋" w:cs="仿宋"/>
              <w:bCs/>
              <w:sz w:val="28"/>
              <w:szCs w:val="28"/>
            </w:rPr>
          </w:pPr>
          <w:r>
            <w:fldChar w:fldCharType="begin"/>
          </w:r>
          <w:r>
            <w:instrText xml:space="preserve"> HYPERLINK \l "_Toc32618" </w:instrText>
          </w:r>
          <w:r>
            <w:fldChar w:fldCharType="separate"/>
          </w:r>
          <w:r>
            <w:rPr>
              <w:rFonts w:hint="eastAsia" w:ascii="仿宋" w:hAnsi="仿宋" w:eastAsia="仿宋" w:cs="仿宋"/>
              <w:bCs/>
              <w:sz w:val="28"/>
              <w:szCs w:val="28"/>
            </w:rPr>
            <w:t>三、支出决算表</w:t>
          </w:r>
          <w:r>
            <w:rPr>
              <w:rFonts w:hint="eastAsia" w:ascii="仿宋" w:hAnsi="仿宋" w:eastAsia="仿宋" w:cs="仿宋"/>
              <w:bCs/>
              <w:sz w:val="28"/>
              <w:szCs w:val="28"/>
            </w:rPr>
            <w:tab/>
          </w: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 PAGEREF _Toc32618 \h </w:instrText>
          </w:r>
          <w:r>
            <w:rPr>
              <w:rFonts w:hint="eastAsia" w:ascii="仿宋" w:hAnsi="仿宋" w:eastAsia="仿宋" w:cs="仿宋"/>
              <w:bCs/>
              <w:sz w:val="28"/>
              <w:szCs w:val="28"/>
            </w:rPr>
            <w:fldChar w:fldCharType="separate"/>
          </w:r>
          <w:r>
            <w:rPr>
              <w:rFonts w:hint="eastAsia" w:ascii="仿宋" w:hAnsi="仿宋" w:eastAsia="仿宋" w:cs="仿宋"/>
              <w:bCs/>
              <w:sz w:val="28"/>
              <w:szCs w:val="28"/>
            </w:rPr>
            <w:t>51</w:t>
          </w:r>
          <w:r>
            <w:rPr>
              <w:rFonts w:hint="eastAsia" w:ascii="仿宋" w:hAnsi="仿宋" w:eastAsia="仿宋" w:cs="仿宋"/>
              <w:bCs/>
              <w:sz w:val="28"/>
              <w:szCs w:val="28"/>
            </w:rPr>
            <w:fldChar w:fldCharType="end"/>
          </w:r>
          <w:r>
            <w:rPr>
              <w:rFonts w:hint="eastAsia" w:ascii="仿宋" w:hAnsi="仿宋" w:eastAsia="仿宋" w:cs="仿宋"/>
              <w:bCs/>
              <w:sz w:val="28"/>
              <w:szCs w:val="28"/>
            </w:rPr>
            <w:fldChar w:fldCharType="end"/>
          </w:r>
        </w:p>
        <w:p w14:paraId="2290B16C">
          <w:pPr>
            <w:pStyle w:val="18"/>
            <w:tabs>
              <w:tab w:val="right" w:leader="dot" w:pos="8306"/>
              <w:tab w:val="clear" w:pos="8296"/>
            </w:tabs>
            <w:rPr>
              <w:rFonts w:ascii="仿宋" w:hAnsi="仿宋" w:eastAsia="仿宋" w:cs="仿宋"/>
              <w:bCs/>
              <w:sz w:val="28"/>
              <w:szCs w:val="28"/>
            </w:rPr>
          </w:pPr>
          <w:r>
            <w:fldChar w:fldCharType="begin"/>
          </w:r>
          <w:r>
            <w:instrText xml:space="preserve"> HYPERLINK \l "_Toc13624" </w:instrText>
          </w:r>
          <w:r>
            <w:fldChar w:fldCharType="separate"/>
          </w:r>
          <w:r>
            <w:rPr>
              <w:rFonts w:hint="eastAsia" w:ascii="仿宋" w:hAnsi="仿宋" w:eastAsia="仿宋" w:cs="仿宋"/>
              <w:bCs/>
              <w:sz w:val="28"/>
              <w:szCs w:val="28"/>
            </w:rPr>
            <w:t>四、财政拨款收入支出决算总表</w:t>
          </w:r>
          <w:r>
            <w:rPr>
              <w:rFonts w:hint="eastAsia" w:ascii="仿宋" w:hAnsi="仿宋" w:eastAsia="仿宋" w:cs="仿宋"/>
              <w:bCs/>
              <w:sz w:val="28"/>
              <w:szCs w:val="28"/>
            </w:rPr>
            <w:tab/>
          </w: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 PAGEREF _Toc13624 \h </w:instrText>
          </w:r>
          <w:r>
            <w:rPr>
              <w:rFonts w:hint="eastAsia" w:ascii="仿宋" w:hAnsi="仿宋" w:eastAsia="仿宋" w:cs="仿宋"/>
              <w:bCs/>
              <w:sz w:val="28"/>
              <w:szCs w:val="28"/>
            </w:rPr>
            <w:fldChar w:fldCharType="separate"/>
          </w:r>
          <w:r>
            <w:rPr>
              <w:rFonts w:hint="eastAsia" w:ascii="仿宋" w:hAnsi="仿宋" w:eastAsia="仿宋" w:cs="仿宋"/>
              <w:bCs/>
              <w:sz w:val="28"/>
              <w:szCs w:val="28"/>
            </w:rPr>
            <w:t>51</w:t>
          </w:r>
          <w:r>
            <w:rPr>
              <w:rFonts w:hint="eastAsia" w:ascii="仿宋" w:hAnsi="仿宋" w:eastAsia="仿宋" w:cs="仿宋"/>
              <w:bCs/>
              <w:sz w:val="28"/>
              <w:szCs w:val="28"/>
            </w:rPr>
            <w:fldChar w:fldCharType="end"/>
          </w:r>
          <w:r>
            <w:rPr>
              <w:rFonts w:hint="eastAsia" w:ascii="仿宋" w:hAnsi="仿宋" w:eastAsia="仿宋" w:cs="仿宋"/>
              <w:bCs/>
              <w:sz w:val="28"/>
              <w:szCs w:val="28"/>
            </w:rPr>
            <w:fldChar w:fldCharType="end"/>
          </w:r>
        </w:p>
        <w:p w14:paraId="0D1B65EF">
          <w:pPr>
            <w:pStyle w:val="18"/>
            <w:tabs>
              <w:tab w:val="right" w:leader="dot" w:pos="8306"/>
              <w:tab w:val="clear" w:pos="8296"/>
            </w:tabs>
            <w:rPr>
              <w:rFonts w:ascii="仿宋" w:hAnsi="仿宋" w:eastAsia="仿宋" w:cs="仿宋"/>
              <w:bCs/>
              <w:sz w:val="28"/>
              <w:szCs w:val="28"/>
            </w:rPr>
          </w:pPr>
          <w:r>
            <w:fldChar w:fldCharType="begin"/>
          </w:r>
          <w:r>
            <w:instrText xml:space="preserve"> HYPERLINK \l "_Toc24904" </w:instrText>
          </w:r>
          <w:r>
            <w:fldChar w:fldCharType="separate"/>
          </w:r>
          <w:r>
            <w:rPr>
              <w:rFonts w:hint="eastAsia" w:ascii="仿宋" w:hAnsi="仿宋" w:eastAsia="仿宋" w:cs="仿宋"/>
              <w:bCs/>
              <w:sz w:val="28"/>
              <w:szCs w:val="28"/>
            </w:rPr>
            <w:t>五、财政拨款支出决算明细表</w:t>
          </w:r>
          <w:r>
            <w:rPr>
              <w:rFonts w:hint="eastAsia" w:ascii="仿宋" w:hAnsi="仿宋" w:eastAsia="仿宋" w:cs="仿宋"/>
              <w:bCs/>
              <w:sz w:val="28"/>
              <w:szCs w:val="28"/>
            </w:rPr>
            <w:tab/>
          </w: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 PAGEREF _Toc24904 \h </w:instrText>
          </w:r>
          <w:r>
            <w:rPr>
              <w:rFonts w:hint="eastAsia" w:ascii="仿宋" w:hAnsi="仿宋" w:eastAsia="仿宋" w:cs="仿宋"/>
              <w:bCs/>
              <w:sz w:val="28"/>
              <w:szCs w:val="28"/>
            </w:rPr>
            <w:fldChar w:fldCharType="separate"/>
          </w:r>
          <w:r>
            <w:rPr>
              <w:rFonts w:hint="eastAsia" w:ascii="仿宋" w:hAnsi="仿宋" w:eastAsia="仿宋" w:cs="仿宋"/>
              <w:bCs/>
              <w:sz w:val="28"/>
              <w:szCs w:val="28"/>
            </w:rPr>
            <w:t>51</w:t>
          </w:r>
          <w:r>
            <w:rPr>
              <w:rFonts w:hint="eastAsia" w:ascii="仿宋" w:hAnsi="仿宋" w:eastAsia="仿宋" w:cs="仿宋"/>
              <w:bCs/>
              <w:sz w:val="28"/>
              <w:szCs w:val="28"/>
            </w:rPr>
            <w:fldChar w:fldCharType="end"/>
          </w:r>
          <w:r>
            <w:rPr>
              <w:rFonts w:hint="eastAsia" w:ascii="仿宋" w:hAnsi="仿宋" w:eastAsia="仿宋" w:cs="仿宋"/>
              <w:bCs/>
              <w:sz w:val="28"/>
              <w:szCs w:val="28"/>
            </w:rPr>
            <w:fldChar w:fldCharType="end"/>
          </w:r>
        </w:p>
        <w:p w14:paraId="6E061F3C">
          <w:pPr>
            <w:pStyle w:val="18"/>
            <w:tabs>
              <w:tab w:val="right" w:leader="dot" w:pos="8306"/>
              <w:tab w:val="clear" w:pos="8296"/>
            </w:tabs>
          </w:pPr>
          <w:r>
            <w:fldChar w:fldCharType="begin"/>
          </w:r>
          <w:r>
            <w:instrText xml:space="preserve"> HYPERLINK \l "_Toc11675" </w:instrText>
          </w:r>
          <w:r>
            <w:fldChar w:fldCharType="separate"/>
          </w:r>
          <w:r>
            <w:rPr>
              <w:rFonts w:hint="eastAsia" w:ascii="仿宋" w:hAnsi="仿宋" w:eastAsia="仿宋" w:cs="仿宋"/>
              <w:bCs/>
              <w:sz w:val="28"/>
              <w:szCs w:val="28"/>
            </w:rPr>
            <w:t>六、一般公共预算财政拨款支出决算表</w:t>
          </w:r>
          <w:r>
            <w:rPr>
              <w:rFonts w:hint="eastAsia" w:ascii="仿宋" w:hAnsi="仿宋" w:eastAsia="仿宋" w:cs="仿宋"/>
              <w:bCs/>
              <w:sz w:val="28"/>
              <w:szCs w:val="28"/>
            </w:rPr>
            <w:tab/>
          </w: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 PAGEREF _Toc11675 \h </w:instrText>
          </w:r>
          <w:r>
            <w:rPr>
              <w:rFonts w:hint="eastAsia" w:ascii="仿宋" w:hAnsi="仿宋" w:eastAsia="仿宋" w:cs="仿宋"/>
              <w:bCs/>
              <w:sz w:val="28"/>
              <w:szCs w:val="28"/>
            </w:rPr>
            <w:fldChar w:fldCharType="separate"/>
          </w:r>
          <w:r>
            <w:rPr>
              <w:rFonts w:hint="eastAsia" w:ascii="仿宋" w:hAnsi="仿宋" w:eastAsia="仿宋" w:cs="仿宋"/>
              <w:bCs/>
              <w:sz w:val="28"/>
              <w:szCs w:val="28"/>
            </w:rPr>
            <w:t>51</w:t>
          </w:r>
          <w:r>
            <w:rPr>
              <w:rFonts w:hint="eastAsia" w:ascii="仿宋" w:hAnsi="仿宋" w:eastAsia="仿宋" w:cs="仿宋"/>
              <w:bCs/>
              <w:sz w:val="28"/>
              <w:szCs w:val="28"/>
            </w:rPr>
            <w:fldChar w:fldCharType="end"/>
          </w:r>
          <w:r>
            <w:rPr>
              <w:rFonts w:hint="eastAsia" w:ascii="仿宋" w:hAnsi="仿宋" w:eastAsia="仿宋" w:cs="仿宋"/>
              <w:bCs/>
              <w:sz w:val="28"/>
              <w:szCs w:val="28"/>
            </w:rPr>
            <w:fldChar w:fldCharType="end"/>
          </w:r>
        </w:p>
        <w:p w14:paraId="77582105">
          <w:pPr>
            <w:pStyle w:val="18"/>
            <w:tabs>
              <w:tab w:val="right" w:leader="dot" w:pos="8306"/>
              <w:tab w:val="clear" w:pos="8296"/>
            </w:tabs>
            <w:rPr>
              <w:rFonts w:ascii="仿宋" w:hAnsi="仿宋" w:eastAsia="仿宋" w:cs="仿宋"/>
              <w:bCs/>
              <w:sz w:val="28"/>
              <w:szCs w:val="28"/>
            </w:rPr>
          </w:pPr>
          <w:r>
            <w:fldChar w:fldCharType="begin"/>
          </w:r>
          <w:r>
            <w:instrText xml:space="preserve"> HYPERLINK \l "_Toc27721" </w:instrText>
          </w:r>
          <w:r>
            <w:fldChar w:fldCharType="separate"/>
          </w:r>
          <w:r>
            <w:rPr>
              <w:rFonts w:hint="eastAsia" w:ascii="仿宋" w:hAnsi="仿宋" w:eastAsia="仿宋" w:cs="仿宋"/>
              <w:bCs/>
              <w:sz w:val="28"/>
              <w:szCs w:val="28"/>
            </w:rPr>
            <w:t>七、一般公共预算财政拨款支出决算明细表</w:t>
          </w:r>
          <w:r>
            <w:rPr>
              <w:rFonts w:hint="eastAsia" w:ascii="仿宋" w:hAnsi="仿宋" w:eastAsia="仿宋" w:cs="仿宋"/>
              <w:bCs/>
              <w:sz w:val="28"/>
              <w:szCs w:val="28"/>
            </w:rPr>
            <w:tab/>
          </w: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 PAGEREF _Toc27721 \h </w:instrText>
          </w:r>
          <w:r>
            <w:rPr>
              <w:rFonts w:hint="eastAsia" w:ascii="仿宋" w:hAnsi="仿宋" w:eastAsia="仿宋" w:cs="仿宋"/>
              <w:bCs/>
              <w:sz w:val="28"/>
              <w:szCs w:val="28"/>
            </w:rPr>
            <w:fldChar w:fldCharType="separate"/>
          </w:r>
          <w:r>
            <w:rPr>
              <w:rFonts w:hint="eastAsia" w:ascii="仿宋" w:hAnsi="仿宋" w:eastAsia="仿宋" w:cs="仿宋"/>
              <w:bCs/>
              <w:sz w:val="28"/>
              <w:szCs w:val="28"/>
            </w:rPr>
            <w:t>51</w:t>
          </w:r>
          <w:r>
            <w:rPr>
              <w:rFonts w:hint="eastAsia" w:ascii="仿宋" w:hAnsi="仿宋" w:eastAsia="仿宋" w:cs="仿宋"/>
              <w:bCs/>
              <w:sz w:val="28"/>
              <w:szCs w:val="28"/>
            </w:rPr>
            <w:fldChar w:fldCharType="end"/>
          </w:r>
          <w:r>
            <w:rPr>
              <w:rFonts w:hint="eastAsia" w:ascii="仿宋" w:hAnsi="仿宋" w:eastAsia="仿宋" w:cs="仿宋"/>
              <w:bCs/>
              <w:sz w:val="28"/>
              <w:szCs w:val="28"/>
            </w:rPr>
            <w:fldChar w:fldCharType="end"/>
          </w:r>
        </w:p>
        <w:p w14:paraId="4252D9A1">
          <w:pPr>
            <w:pStyle w:val="18"/>
            <w:tabs>
              <w:tab w:val="right" w:leader="dot" w:pos="8306"/>
              <w:tab w:val="clear" w:pos="8296"/>
            </w:tabs>
            <w:rPr>
              <w:rFonts w:ascii="仿宋" w:hAnsi="仿宋" w:eastAsia="仿宋" w:cs="仿宋"/>
              <w:bCs/>
              <w:sz w:val="28"/>
              <w:szCs w:val="28"/>
            </w:rPr>
          </w:pPr>
          <w:r>
            <w:fldChar w:fldCharType="begin"/>
          </w:r>
          <w:r>
            <w:instrText xml:space="preserve"> HYPERLINK \l "_Toc17856" </w:instrText>
          </w:r>
          <w:r>
            <w:fldChar w:fldCharType="separate"/>
          </w:r>
          <w:r>
            <w:rPr>
              <w:rFonts w:hint="eastAsia" w:ascii="仿宋" w:hAnsi="仿宋" w:eastAsia="仿宋" w:cs="仿宋"/>
              <w:bCs/>
              <w:sz w:val="28"/>
              <w:szCs w:val="28"/>
            </w:rPr>
            <w:t>八、一般公共预算财政拨款基本支出决算表</w:t>
          </w:r>
          <w:r>
            <w:rPr>
              <w:rFonts w:hint="eastAsia" w:ascii="仿宋" w:hAnsi="仿宋" w:eastAsia="仿宋" w:cs="仿宋"/>
              <w:bCs/>
              <w:sz w:val="28"/>
              <w:szCs w:val="28"/>
            </w:rPr>
            <w:tab/>
          </w: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 PAGEREF _Toc17856 \h </w:instrText>
          </w:r>
          <w:r>
            <w:rPr>
              <w:rFonts w:hint="eastAsia" w:ascii="仿宋" w:hAnsi="仿宋" w:eastAsia="仿宋" w:cs="仿宋"/>
              <w:bCs/>
              <w:sz w:val="28"/>
              <w:szCs w:val="28"/>
            </w:rPr>
            <w:fldChar w:fldCharType="separate"/>
          </w:r>
          <w:r>
            <w:rPr>
              <w:rFonts w:hint="eastAsia" w:ascii="仿宋" w:hAnsi="仿宋" w:eastAsia="仿宋" w:cs="仿宋"/>
              <w:bCs/>
              <w:sz w:val="28"/>
              <w:szCs w:val="28"/>
            </w:rPr>
            <w:t>51</w:t>
          </w:r>
          <w:r>
            <w:rPr>
              <w:rFonts w:hint="eastAsia" w:ascii="仿宋" w:hAnsi="仿宋" w:eastAsia="仿宋" w:cs="仿宋"/>
              <w:bCs/>
              <w:sz w:val="28"/>
              <w:szCs w:val="28"/>
            </w:rPr>
            <w:fldChar w:fldCharType="end"/>
          </w:r>
          <w:r>
            <w:rPr>
              <w:rFonts w:hint="eastAsia" w:ascii="仿宋" w:hAnsi="仿宋" w:eastAsia="仿宋" w:cs="仿宋"/>
              <w:bCs/>
              <w:sz w:val="28"/>
              <w:szCs w:val="28"/>
            </w:rPr>
            <w:fldChar w:fldCharType="end"/>
          </w:r>
        </w:p>
        <w:p w14:paraId="63363724">
          <w:pPr>
            <w:pStyle w:val="18"/>
            <w:tabs>
              <w:tab w:val="right" w:leader="dot" w:pos="8306"/>
              <w:tab w:val="clear" w:pos="8296"/>
            </w:tabs>
            <w:rPr>
              <w:rFonts w:ascii="仿宋" w:hAnsi="仿宋" w:eastAsia="仿宋" w:cs="仿宋"/>
              <w:bCs/>
              <w:sz w:val="28"/>
              <w:szCs w:val="28"/>
            </w:rPr>
          </w:pPr>
          <w:r>
            <w:fldChar w:fldCharType="begin"/>
          </w:r>
          <w:r>
            <w:instrText xml:space="preserve"> HYPERLINK \l "_Toc14219" </w:instrText>
          </w:r>
          <w:r>
            <w:fldChar w:fldCharType="separate"/>
          </w:r>
          <w:r>
            <w:rPr>
              <w:rFonts w:hint="eastAsia" w:ascii="仿宋" w:hAnsi="仿宋" w:eastAsia="仿宋" w:cs="仿宋"/>
              <w:bCs/>
              <w:sz w:val="28"/>
              <w:szCs w:val="28"/>
            </w:rPr>
            <w:t>九、一般公共预算财政拨款项目支出决算表</w:t>
          </w:r>
          <w:r>
            <w:rPr>
              <w:rFonts w:hint="eastAsia" w:ascii="仿宋" w:hAnsi="仿宋" w:eastAsia="仿宋" w:cs="仿宋"/>
              <w:bCs/>
              <w:sz w:val="28"/>
              <w:szCs w:val="28"/>
            </w:rPr>
            <w:tab/>
          </w: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 PAGEREF _Toc14219 \h </w:instrText>
          </w:r>
          <w:r>
            <w:rPr>
              <w:rFonts w:hint="eastAsia" w:ascii="仿宋" w:hAnsi="仿宋" w:eastAsia="仿宋" w:cs="仿宋"/>
              <w:bCs/>
              <w:sz w:val="28"/>
              <w:szCs w:val="28"/>
            </w:rPr>
            <w:fldChar w:fldCharType="separate"/>
          </w:r>
          <w:r>
            <w:rPr>
              <w:rFonts w:hint="eastAsia" w:ascii="仿宋" w:hAnsi="仿宋" w:eastAsia="仿宋" w:cs="仿宋"/>
              <w:bCs/>
              <w:sz w:val="28"/>
              <w:szCs w:val="28"/>
            </w:rPr>
            <w:t>51</w:t>
          </w:r>
          <w:r>
            <w:rPr>
              <w:rFonts w:hint="eastAsia" w:ascii="仿宋" w:hAnsi="仿宋" w:eastAsia="仿宋" w:cs="仿宋"/>
              <w:bCs/>
              <w:sz w:val="28"/>
              <w:szCs w:val="28"/>
            </w:rPr>
            <w:fldChar w:fldCharType="end"/>
          </w:r>
          <w:r>
            <w:rPr>
              <w:rFonts w:hint="eastAsia" w:ascii="仿宋" w:hAnsi="仿宋" w:eastAsia="仿宋" w:cs="仿宋"/>
              <w:bCs/>
              <w:sz w:val="28"/>
              <w:szCs w:val="28"/>
            </w:rPr>
            <w:fldChar w:fldCharType="end"/>
          </w:r>
        </w:p>
        <w:p w14:paraId="5072A740">
          <w:pPr>
            <w:pStyle w:val="18"/>
            <w:tabs>
              <w:tab w:val="right" w:leader="dot" w:pos="8306"/>
              <w:tab w:val="clear" w:pos="8296"/>
            </w:tabs>
            <w:rPr>
              <w:rFonts w:ascii="仿宋" w:hAnsi="仿宋" w:eastAsia="仿宋" w:cs="仿宋"/>
              <w:bCs/>
              <w:sz w:val="28"/>
              <w:szCs w:val="28"/>
            </w:rPr>
          </w:pPr>
          <w:r>
            <w:fldChar w:fldCharType="begin"/>
          </w:r>
          <w:r>
            <w:instrText xml:space="preserve"> HYPERLINK \l "_Toc27528" </w:instrText>
          </w:r>
          <w:r>
            <w:fldChar w:fldCharType="separate"/>
          </w:r>
          <w:r>
            <w:rPr>
              <w:rFonts w:hint="eastAsia" w:ascii="仿宋" w:hAnsi="仿宋" w:eastAsia="仿宋" w:cs="仿宋"/>
              <w:bCs/>
              <w:sz w:val="28"/>
              <w:szCs w:val="28"/>
            </w:rPr>
            <w:t>十、一般公共预算财政拨款“三公”经费支出决算表</w:t>
          </w:r>
          <w:r>
            <w:rPr>
              <w:rFonts w:hint="eastAsia" w:ascii="仿宋" w:hAnsi="仿宋" w:eastAsia="仿宋" w:cs="仿宋"/>
              <w:bCs/>
              <w:sz w:val="28"/>
              <w:szCs w:val="28"/>
            </w:rPr>
            <w:tab/>
          </w: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 PAGEREF _Toc27528 \h </w:instrText>
          </w:r>
          <w:r>
            <w:rPr>
              <w:rFonts w:hint="eastAsia" w:ascii="仿宋" w:hAnsi="仿宋" w:eastAsia="仿宋" w:cs="仿宋"/>
              <w:bCs/>
              <w:sz w:val="28"/>
              <w:szCs w:val="28"/>
            </w:rPr>
            <w:fldChar w:fldCharType="separate"/>
          </w:r>
          <w:r>
            <w:rPr>
              <w:rFonts w:hint="eastAsia" w:ascii="仿宋" w:hAnsi="仿宋" w:eastAsia="仿宋" w:cs="仿宋"/>
              <w:bCs/>
              <w:sz w:val="28"/>
              <w:szCs w:val="28"/>
            </w:rPr>
            <w:t>51</w:t>
          </w:r>
          <w:r>
            <w:rPr>
              <w:rFonts w:hint="eastAsia" w:ascii="仿宋" w:hAnsi="仿宋" w:eastAsia="仿宋" w:cs="仿宋"/>
              <w:bCs/>
              <w:sz w:val="28"/>
              <w:szCs w:val="28"/>
            </w:rPr>
            <w:fldChar w:fldCharType="end"/>
          </w:r>
          <w:r>
            <w:rPr>
              <w:rFonts w:hint="eastAsia" w:ascii="仿宋" w:hAnsi="仿宋" w:eastAsia="仿宋" w:cs="仿宋"/>
              <w:bCs/>
              <w:sz w:val="28"/>
              <w:szCs w:val="28"/>
            </w:rPr>
            <w:fldChar w:fldCharType="end"/>
          </w:r>
        </w:p>
        <w:p w14:paraId="6AC3CDB9">
          <w:pPr>
            <w:pStyle w:val="18"/>
            <w:tabs>
              <w:tab w:val="right" w:leader="dot" w:pos="8306"/>
              <w:tab w:val="clear" w:pos="8296"/>
            </w:tabs>
            <w:rPr>
              <w:rFonts w:ascii="仿宋" w:hAnsi="仿宋" w:eastAsia="仿宋" w:cs="仿宋"/>
              <w:bCs/>
              <w:sz w:val="28"/>
              <w:szCs w:val="28"/>
            </w:rPr>
          </w:pPr>
          <w:r>
            <w:fldChar w:fldCharType="begin"/>
          </w:r>
          <w:r>
            <w:instrText xml:space="preserve"> HYPERLINK \l "_Toc26531" </w:instrText>
          </w:r>
          <w:r>
            <w:fldChar w:fldCharType="separate"/>
          </w:r>
          <w:r>
            <w:rPr>
              <w:rFonts w:hint="eastAsia" w:ascii="仿宋" w:hAnsi="仿宋" w:eastAsia="仿宋" w:cs="仿宋"/>
              <w:bCs/>
              <w:sz w:val="28"/>
              <w:szCs w:val="28"/>
            </w:rPr>
            <w:t>十一、政府性基金预算财政拨款收入支出决算表</w:t>
          </w:r>
          <w:r>
            <w:rPr>
              <w:rFonts w:hint="eastAsia" w:ascii="仿宋" w:hAnsi="仿宋" w:eastAsia="仿宋" w:cs="仿宋"/>
              <w:bCs/>
              <w:sz w:val="28"/>
              <w:szCs w:val="28"/>
            </w:rPr>
            <w:tab/>
          </w: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 PAGEREF _Toc26531 \h </w:instrText>
          </w:r>
          <w:r>
            <w:rPr>
              <w:rFonts w:hint="eastAsia" w:ascii="仿宋" w:hAnsi="仿宋" w:eastAsia="仿宋" w:cs="仿宋"/>
              <w:bCs/>
              <w:sz w:val="28"/>
              <w:szCs w:val="28"/>
            </w:rPr>
            <w:fldChar w:fldCharType="separate"/>
          </w:r>
          <w:r>
            <w:rPr>
              <w:rFonts w:hint="eastAsia" w:ascii="仿宋" w:hAnsi="仿宋" w:eastAsia="仿宋" w:cs="仿宋"/>
              <w:bCs/>
              <w:sz w:val="28"/>
              <w:szCs w:val="28"/>
            </w:rPr>
            <w:t>51</w:t>
          </w:r>
          <w:r>
            <w:rPr>
              <w:rFonts w:hint="eastAsia" w:ascii="仿宋" w:hAnsi="仿宋" w:eastAsia="仿宋" w:cs="仿宋"/>
              <w:bCs/>
              <w:sz w:val="28"/>
              <w:szCs w:val="28"/>
            </w:rPr>
            <w:fldChar w:fldCharType="end"/>
          </w:r>
          <w:r>
            <w:rPr>
              <w:rFonts w:hint="eastAsia" w:ascii="仿宋" w:hAnsi="仿宋" w:eastAsia="仿宋" w:cs="仿宋"/>
              <w:bCs/>
              <w:sz w:val="28"/>
              <w:szCs w:val="28"/>
            </w:rPr>
            <w:fldChar w:fldCharType="end"/>
          </w:r>
        </w:p>
        <w:p w14:paraId="14F42BBB">
          <w:pPr>
            <w:pStyle w:val="18"/>
            <w:tabs>
              <w:tab w:val="right" w:leader="dot" w:pos="8306"/>
              <w:tab w:val="clear" w:pos="8296"/>
            </w:tabs>
            <w:rPr>
              <w:rFonts w:ascii="仿宋" w:hAnsi="仿宋" w:eastAsia="仿宋" w:cs="仿宋"/>
              <w:bCs/>
              <w:sz w:val="28"/>
              <w:szCs w:val="28"/>
            </w:rPr>
          </w:pPr>
          <w:r>
            <w:fldChar w:fldCharType="begin"/>
          </w:r>
          <w:r>
            <w:instrText xml:space="preserve"> HYPERLINK \l "_Toc20109" </w:instrText>
          </w:r>
          <w:r>
            <w:fldChar w:fldCharType="separate"/>
          </w:r>
          <w:r>
            <w:rPr>
              <w:rFonts w:hint="eastAsia" w:ascii="仿宋" w:hAnsi="仿宋" w:eastAsia="仿宋" w:cs="仿宋"/>
              <w:bCs/>
              <w:sz w:val="28"/>
              <w:szCs w:val="28"/>
            </w:rPr>
            <w:t>十二、政府性基金预算财政拨款“三公”经费支出决算表</w:t>
          </w:r>
          <w:r>
            <w:rPr>
              <w:rFonts w:hint="eastAsia" w:ascii="仿宋" w:hAnsi="仿宋" w:eastAsia="仿宋" w:cs="仿宋"/>
              <w:bCs/>
              <w:sz w:val="28"/>
              <w:szCs w:val="28"/>
            </w:rPr>
            <w:tab/>
          </w: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 PAGEREF _Toc20109 \h </w:instrText>
          </w:r>
          <w:r>
            <w:rPr>
              <w:rFonts w:hint="eastAsia" w:ascii="仿宋" w:hAnsi="仿宋" w:eastAsia="仿宋" w:cs="仿宋"/>
              <w:bCs/>
              <w:sz w:val="28"/>
              <w:szCs w:val="28"/>
            </w:rPr>
            <w:fldChar w:fldCharType="separate"/>
          </w:r>
          <w:r>
            <w:rPr>
              <w:rFonts w:hint="eastAsia" w:ascii="仿宋" w:hAnsi="仿宋" w:eastAsia="仿宋" w:cs="仿宋"/>
              <w:bCs/>
              <w:sz w:val="28"/>
              <w:szCs w:val="28"/>
            </w:rPr>
            <w:t>51</w:t>
          </w:r>
          <w:r>
            <w:rPr>
              <w:rFonts w:hint="eastAsia" w:ascii="仿宋" w:hAnsi="仿宋" w:eastAsia="仿宋" w:cs="仿宋"/>
              <w:bCs/>
              <w:sz w:val="28"/>
              <w:szCs w:val="28"/>
            </w:rPr>
            <w:fldChar w:fldCharType="end"/>
          </w:r>
          <w:r>
            <w:rPr>
              <w:rFonts w:hint="eastAsia" w:ascii="仿宋" w:hAnsi="仿宋" w:eastAsia="仿宋" w:cs="仿宋"/>
              <w:bCs/>
              <w:sz w:val="28"/>
              <w:szCs w:val="28"/>
            </w:rPr>
            <w:fldChar w:fldCharType="end"/>
          </w:r>
        </w:p>
        <w:p w14:paraId="79630D7B">
          <w:pPr>
            <w:pStyle w:val="18"/>
            <w:tabs>
              <w:tab w:val="right" w:leader="dot" w:pos="8306"/>
              <w:tab w:val="clear" w:pos="8296"/>
            </w:tabs>
            <w:rPr>
              <w:rFonts w:ascii="仿宋" w:hAnsi="仿宋" w:eastAsia="仿宋" w:cs="仿宋"/>
              <w:bCs/>
              <w:sz w:val="28"/>
              <w:szCs w:val="28"/>
            </w:rPr>
          </w:pPr>
          <w:r>
            <w:fldChar w:fldCharType="begin"/>
          </w:r>
          <w:r>
            <w:instrText xml:space="preserve"> HYPERLINK \l "_Toc24016" </w:instrText>
          </w:r>
          <w:r>
            <w:fldChar w:fldCharType="separate"/>
          </w:r>
          <w:r>
            <w:rPr>
              <w:rFonts w:hint="eastAsia" w:ascii="仿宋" w:hAnsi="仿宋" w:eastAsia="仿宋" w:cs="仿宋"/>
              <w:bCs/>
              <w:sz w:val="28"/>
              <w:szCs w:val="28"/>
            </w:rPr>
            <w:t>十三、国有资本经营预算财政拨款收入支出决算表</w:t>
          </w:r>
          <w:r>
            <w:rPr>
              <w:rFonts w:hint="eastAsia" w:ascii="仿宋" w:hAnsi="仿宋" w:eastAsia="仿宋" w:cs="仿宋"/>
              <w:bCs/>
              <w:sz w:val="28"/>
              <w:szCs w:val="28"/>
            </w:rPr>
            <w:tab/>
          </w: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 PAGEREF _Toc24016 \h </w:instrText>
          </w:r>
          <w:r>
            <w:rPr>
              <w:rFonts w:hint="eastAsia" w:ascii="仿宋" w:hAnsi="仿宋" w:eastAsia="仿宋" w:cs="仿宋"/>
              <w:bCs/>
              <w:sz w:val="28"/>
              <w:szCs w:val="28"/>
            </w:rPr>
            <w:fldChar w:fldCharType="separate"/>
          </w:r>
          <w:r>
            <w:rPr>
              <w:rFonts w:hint="eastAsia" w:ascii="仿宋" w:hAnsi="仿宋" w:eastAsia="仿宋" w:cs="仿宋"/>
              <w:bCs/>
              <w:sz w:val="28"/>
              <w:szCs w:val="28"/>
            </w:rPr>
            <w:t>51</w:t>
          </w:r>
          <w:r>
            <w:rPr>
              <w:rFonts w:hint="eastAsia" w:ascii="仿宋" w:hAnsi="仿宋" w:eastAsia="仿宋" w:cs="仿宋"/>
              <w:bCs/>
              <w:sz w:val="28"/>
              <w:szCs w:val="28"/>
            </w:rPr>
            <w:fldChar w:fldCharType="end"/>
          </w:r>
          <w:r>
            <w:rPr>
              <w:rFonts w:hint="eastAsia" w:ascii="仿宋" w:hAnsi="仿宋" w:eastAsia="仿宋" w:cs="仿宋"/>
              <w:bCs/>
              <w:sz w:val="28"/>
              <w:szCs w:val="28"/>
            </w:rPr>
            <w:fldChar w:fldCharType="end"/>
          </w:r>
        </w:p>
        <w:p w14:paraId="3D6C8FBE">
          <w:pPr>
            <w:pStyle w:val="18"/>
            <w:tabs>
              <w:tab w:val="right" w:leader="dot" w:pos="8306"/>
              <w:tab w:val="clear" w:pos="8296"/>
            </w:tabs>
          </w:pPr>
          <w:r>
            <w:fldChar w:fldCharType="begin"/>
          </w:r>
          <w:r>
            <w:instrText xml:space="preserve"> HYPERLINK \l "_Toc8943" </w:instrText>
          </w:r>
          <w:r>
            <w:fldChar w:fldCharType="separate"/>
          </w:r>
          <w:r>
            <w:rPr>
              <w:rFonts w:hint="eastAsia" w:ascii="仿宋" w:hAnsi="仿宋" w:eastAsia="仿宋" w:cs="仿宋"/>
              <w:bCs/>
              <w:sz w:val="28"/>
              <w:szCs w:val="28"/>
            </w:rPr>
            <w:t>十四、国有资本经营预算财政拨款支出决算表</w:t>
          </w:r>
          <w:r>
            <w:rPr>
              <w:rFonts w:hint="eastAsia" w:ascii="仿宋" w:hAnsi="仿宋" w:eastAsia="仿宋" w:cs="仿宋"/>
              <w:bCs/>
              <w:sz w:val="28"/>
              <w:szCs w:val="28"/>
            </w:rPr>
            <w:tab/>
          </w:r>
          <w:r>
            <w:rPr>
              <w:rFonts w:hint="eastAsia" w:ascii="仿宋" w:hAnsi="仿宋" w:eastAsia="仿宋" w:cs="仿宋"/>
              <w:bCs/>
              <w:sz w:val="28"/>
              <w:szCs w:val="28"/>
            </w:rPr>
            <w:fldChar w:fldCharType="begin"/>
          </w:r>
          <w:r>
            <w:rPr>
              <w:rFonts w:hint="eastAsia" w:ascii="仿宋" w:hAnsi="仿宋" w:eastAsia="仿宋" w:cs="仿宋"/>
              <w:bCs/>
              <w:sz w:val="28"/>
              <w:szCs w:val="28"/>
            </w:rPr>
            <w:instrText xml:space="preserve"> PAGEREF _Toc8943 \h </w:instrText>
          </w:r>
          <w:r>
            <w:rPr>
              <w:rFonts w:hint="eastAsia" w:ascii="仿宋" w:hAnsi="仿宋" w:eastAsia="仿宋" w:cs="仿宋"/>
              <w:bCs/>
              <w:sz w:val="28"/>
              <w:szCs w:val="28"/>
            </w:rPr>
            <w:fldChar w:fldCharType="separate"/>
          </w:r>
          <w:r>
            <w:rPr>
              <w:rFonts w:hint="eastAsia" w:ascii="仿宋" w:hAnsi="仿宋" w:eastAsia="仿宋" w:cs="仿宋"/>
              <w:bCs/>
              <w:sz w:val="28"/>
              <w:szCs w:val="28"/>
            </w:rPr>
            <w:t>51</w:t>
          </w:r>
          <w:r>
            <w:rPr>
              <w:rFonts w:hint="eastAsia" w:ascii="仿宋" w:hAnsi="仿宋" w:eastAsia="仿宋" w:cs="仿宋"/>
              <w:bCs/>
              <w:sz w:val="28"/>
              <w:szCs w:val="28"/>
            </w:rPr>
            <w:fldChar w:fldCharType="end"/>
          </w:r>
          <w:r>
            <w:rPr>
              <w:rFonts w:hint="eastAsia" w:ascii="仿宋" w:hAnsi="仿宋" w:eastAsia="仿宋" w:cs="仿宋"/>
              <w:bCs/>
              <w:sz w:val="28"/>
              <w:szCs w:val="28"/>
            </w:rPr>
            <w:fldChar w:fldCharType="end"/>
          </w:r>
        </w:p>
        <w:p w14:paraId="5CF816BD">
          <w:pPr>
            <w:rPr>
              <w:b/>
            </w:rPr>
          </w:pPr>
          <w:r>
            <w:fldChar w:fldCharType="end"/>
          </w:r>
        </w:p>
      </w:sdtContent>
    </w:sdt>
    <w:p w14:paraId="1CD1E402">
      <w:pPr>
        <w:rPr>
          <w:b/>
        </w:rPr>
      </w:pPr>
    </w:p>
    <w:p w14:paraId="4243159A">
      <w:pPr>
        <w:rPr>
          <w:b/>
        </w:rPr>
      </w:pPr>
    </w:p>
    <w:p w14:paraId="4590C138">
      <w:pPr>
        <w:rPr>
          <w:b/>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14:paraId="7C0BE594">
      <w:pPr>
        <w:rPr>
          <w:b/>
        </w:rPr>
      </w:pPr>
    </w:p>
    <w:p w14:paraId="44BBD2D0">
      <w:pPr>
        <w:spacing w:line="700" w:lineRule="exact"/>
        <w:jc w:val="center"/>
        <w:outlineLvl w:val="0"/>
        <w:rPr>
          <w:rFonts w:ascii="楷体_GB2312" w:hAnsi="楷体_GB2312" w:eastAsia="楷体_GB2312" w:cs="楷体_GB2312"/>
          <w:b/>
          <w:bCs/>
          <w:sz w:val="32"/>
          <w:szCs w:val="32"/>
        </w:rPr>
      </w:pPr>
      <w:bookmarkStart w:id="15" w:name="_Toc9546"/>
      <w:r>
        <w:rPr>
          <w:rFonts w:hint="eastAsia" w:ascii="黑体" w:hAnsi="黑体" w:eastAsia="黑体" w:cs="黑体"/>
          <w:sz w:val="32"/>
          <w:szCs w:val="32"/>
        </w:rPr>
        <w:t>第一部分 部门概况</w:t>
      </w:r>
      <w:bookmarkEnd w:id="14"/>
      <w:bookmarkEnd w:id="15"/>
      <w:bookmarkStart w:id="16" w:name="_Toc22300"/>
      <w:bookmarkStart w:id="17" w:name="_Toc15377197"/>
      <w:bookmarkStart w:id="18" w:name="_Toc15396600"/>
    </w:p>
    <w:p w14:paraId="3832814A">
      <w:pPr>
        <w:spacing w:line="560" w:lineRule="exact"/>
        <w:ind w:firstLine="643" w:firstLineChars="200"/>
        <w:outlineLvl w:val="1"/>
        <w:rPr>
          <w:rFonts w:ascii="楷体_GB2312" w:hAnsi="楷体_GB2312" w:eastAsia="楷体_GB2312" w:cs="楷体_GB2312"/>
          <w:b/>
          <w:bCs/>
          <w:sz w:val="32"/>
          <w:szCs w:val="32"/>
        </w:rPr>
      </w:pPr>
      <w:bookmarkStart w:id="19" w:name="_Toc24494"/>
      <w:r>
        <w:rPr>
          <w:rFonts w:hint="eastAsia" w:ascii="楷体_GB2312" w:hAnsi="楷体_GB2312" w:eastAsia="楷体_GB2312" w:cs="楷体_GB2312"/>
          <w:b/>
          <w:bCs/>
          <w:sz w:val="32"/>
          <w:szCs w:val="32"/>
        </w:rPr>
        <w:t>一、</w:t>
      </w:r>
      <w:bookmarkEnd w:id="16"/>
      <w:bookmarkEnd w:id="17"/>
      <w:bookmarkEnd w:id="18"/>
      <w:r>
        <w:rPr>
          <w:rFonts w:hint="eastAsia" w:ascii="楷体_GB2312" w:hAnsi="楷体_GB2312" w:eastAsia="楷体_GB2312" w:cs="楷体_GB2312"/>
          <w:b/>
          <w:bCs/>
          <w:sz w:val="32"/>
          <w:szCs w:val="32"/>
        </w:rPr>
        <w:t>部门职责</w:t>
      </w:r>
      <w:bookmarkEnd w:id="19"/>
    </w:p>
    <w:p w14:paraId="23CC45D9">
      <w:pPr>
        <w:spacing w:line="560" w:lineRule="exact"/>
        <w:ind w:firstLine="640" w:firstLineChars="200"/>
        <w:rPr>
          <w:rFonts w:eastAsia="仿宋_GB2312"/>
          <w:sz w:val="32"/>
          <w:szCs w:val="32"/>
        </w:rPr>
      </w:pPr>
      <w:bookmarkStart w:id="20" w:name="_Toc32346"/>
      <w:bookmarkStart w:id="21" w:name="_Toc15377200"/>
      <w:bookmarkStart w:id="22" w:name="_Toc15396601"/>
      <w:r>
        <w:rPr>
          <w:rFonts w:eastAsia="仿宋_GB2312"/>
          <w:sz w:val="32"/>
          <w:szCs w:val="32"/>
        </w:rPr>
        <w:t>负责全县各级党组织建设；负责全县的干部管理工作；负责全县公务员工作；负责全县人才工作的宏观指导、组织协调和督促检查；负责全县干部教育培训工作的宏观指导、政策规划、组织协调和督促检查；负责全县干部监督工作的宏观指导和综合协调、制定和落实干部监督工作制度；负责全县老干部工作。</w:t>
      </w:r>
    </w:p>
    <w:p w14:paraId="27C26A89">
      <w:pPr>
        <w:spacing w:line="560" w:lineRule="exact"/>
        <w:ind w:firstLine="643" w:firstLineChars="200"/>
        <w:outlineLvl w:val="1"/>
        <w:rPr>
          <w:rFonts w:ascii="楷体_GB2312" w:hAnsi="楷体_GB2312" w:eastAsia="楷体_GB2312" w:cs="楷体_GB2312"/>
          <w:b/>
          <w:bCs/>
          <w:sz w:val="32"/>
          <w:szCs w:val="32"/>
        </w:rPr>
      </w:pPr>
      <w:bookmarkStart w:id="23" w:name="_Toc17290"/>
      <w:r>
        <w:rPr>
          <w:rFonts w:ascii="楷体_GB2312" w:hAnsi="楷体_GB2312" w:eastAsia="楷体_GB2312" w:cs="楷体_GB2312"/>
          <w:b/>
          <w:bCs/>
          <w:sz w:val="32"/>
          <w:szCs w:val="32"/>
        </w:rPr>
        <w:t>二、机构设置</w:t>
      </w:r>
      <w:bookmarkEnd w:id="20"/>
      <w:bookmarkEnd w:id="21"/>
      <w:bookmarkEnd w:id="22"/>
      <w:bookmarkEnd w:id="23"/>
    </w:p>
    <w:p w14:paraId="0051A19A">
      <w:pPr>
        <w:spacing w:line="560" w:lineRule="exact"/>
        <w:ind w:firstLine="640" w:firstLineChars="200"/>
        <w:rPr>
          <w:rFonts w:eastAsia="仿宋_GB2312"/>
          <w:sz w:val="32"/>
          <w:szCs w:val="32"/>
        </w:rPr>
      </w:pPr>
      <w:r>
        <w:rPr>
          <w:rFonts w:eastAsia="仿宋_GB2312"/>
          <w:sz w:val="32"/>
          <w:szCs w:val="32"/>
        </w:rPr>
        <w:t>中共阿坝州壤塘县委组织部</w:t>
      </w:r>
      <w:r>
        <w:rPr>
          <w:rFonts w:hint="eastAsia" w:eastAsia="仿宋_GB2312"/>
          <w:sz w:val="32"/>
          <w:szCs w:val="32"/>
        </w:rPr>
        <w:t>有两个下属二级预算单位，分别为</w:t>
      </w:r>
      <w:r>
        <w:rPr>
          <w:rFonts w:eastAsia="仿宋_GB2312"/>
          <w:sz w:val="32"/>
          <w:szCs w:val="32"/>
        </w:rPr>
        <w:t>中共阿坝州壤塘县委组织部</w:t>
      </w:r>
      <w:r>
        <w:rPr>
          <w:rFonts w:hint="eastAsia" w:eastAsia="仿宋_GB2312"/>
          <w:sz w:val="32"/>
          <w:szCs w:val="32"/>
        </w:rPr>
        <w:t>和</w:t>
      </w:r>
      <w:r>
        <w:rPr>
          <w:rFonts w:hint="eastAsia" w:eastAsia="仿宋_GB2312"/>
          <w:sz w:val="32"/>
          <w:szCs w:val="32"/>
          <w:lang w:eastAsia="zh-CN"/>
        </w:rPr>
        <w:t>中共</w:t>
      </w:r>
      <w:r>
        <w:rPr>
          <w:rFonts w:hint="eastAsia" w:eastAsia="仿宋_GB2312"/>
          <w:sz w:val="32"/>
          <w:szCs w:val="32"/>
        </w:rPr>
        <w:t>阿坝州壤塘县委组织部干部档案管理中心</w:t>
      </w:r>
      <w:r>
        <w:rPr>
          <w:rFonts w:eastAsia="仿宋_GB2312"/>
          <w:sz w:val="32"/>
          <w:szCs w:val="32"/>
        </w:rPr>
        <w:t>。</w:t>
      </w:r>
    </w:p>
    <w:p w14:paraId="73C7B964">
      <w:pPr>
        <w:spacing w:line="560" w:lineRule="exact"/>
        <w:jc w:val="center"/>
        <w:outlineLvl w:val="0"/>
        <w:rPr>
          <w:rFonts w:ascii="仿宋" w:hAnsi="仿宋" w:eastAsia="仿宋" w:cs="仿宋"/>
          <w:b/>
          <w:bCs/>
          <w:sz w:val="32"/>
          <w:szCs w:val="32"/>
        </w:rPr>
      </w:pPr>
      <w:r>
        <w:rPr>
          <w:rFonts w:hint="eastAsia" w:ascii="仿宋_GB2312" w:hAnsi="仿宋_GB2312" w:eastAsia="仿宋_GB2312" w:cs="仿宋_GB2312"/>
          <w:sz w:val="32"/>
          <w:szCs w:val="32"/>
        </w:rPr>
        <w:br w:type="page"/>
      </w:r>
      <w:bookmarkStart w:id="24" w:name="_Toc9893"/>
      <w:bookmarkStart w:id="25" w:name="_Toc16458"/>
      <w:bookmarkStart w:id="26" w:name="_Toc15396602"/>
      <w:bookmarkStart w:id="27" w:name="_Toc15377204"/>
      <w:r>
        <w:rPr>
          <w:rFonts w:hint="eastAsia" w:ascii="黑体" w:hAnsi="黑体" w:eastAsia="黑体" w:cs="黑体"/>
          <w:sz w:val="32"/>
          <w:szCs w:val="32"/>
        </w:rPr>
        <w:t>第二部分 2023年度部门决算情况说明</w:t>
      </w:r>
      <w:bookmarkEnd w:id="24"/>
      <w:bookmarkEnd w:id="25"/>
      <w:bookmarkEnd w:id="26"/>
      <w:bookmarkEnd w:id="27"/>
    </w:p>
    <w:p w14:paraId="710BF6F5">
      <w:pPr>
        <w:pStyle w:val="34"/>
        <w:spacing w:line="560" w:lineRule="exact"/>
        <w:ind w:left="1360" w:hanging="720" w:firstLineChars="0"/>
        <w:rPr>
          <w:rFonts w:ascii="楷体_GB2312" w:hAnsi="楷体_GB2312" w:eastAsia="楷体_GB2312" w:cs="楷体_GB2312"/>
          <w:b/>
          <w:bCs/>
          <w:sz w:val="32"/>
          <w:szCs w:val="32"/>
        </w:rPr>
      </w:pPr>
      <w:bookmarkStart w:id="28" w:name="_Toc15377205"/>
      <w:bookmarkStart w:id="29" w:name="_Toc15396603"/>
      <w:bookmarkStart w:id="30" w:name="_Toc18208"/>
    </w:p>
    <w:p w14:paraId="2ED8EC44">
      <w:pPr>
        <w:pStyle w:val="34"/>
        <w:spacing w:line="560" w:lineRule="exact"/>
        <w:ind w:left="1360" w:hanging="720" w:firstLineChars="0"/>
        <w:outlineLvl w:val="1"/>
        <w:rPr>
          <w:rFonts w:ascii="楷体_GB2312" w:hAnsi="楷体_GB2312" w:eastAsia="楷体_GB2312" w:cs="楷体_GB2312"/>
          <w:b/>
          <w:bCs/>
          <w:sz w:val="32"/>
          <w:szCs w:val="32"/>
        </w:rPr>
      </w:pPr>
      <w:bookmarkStart w:id="31" w:name="_Toc27841"/>
      <w:r>
        <w:rPr>
          <w:rFonts w:ascii="楷体_GB2312" w:hAnsi="楷体_GB2312" w:eastAsia="楷体_GB2312" w:cs="楷体_GB2312"/>
          <w:b/>
          <w:bCs/>
          <w:sz w:val="32"/>
          <w:szCs w:val="32"/>
        </w:rPr>
        <w:t>一、收入支出决算总体情况说明</w:t>
      </w:r>
      <w:bookmarkEnd w:id="28"/>
      <w:bookmarkEnd w:id="29"/>
      <w:bookmarkEnd w:id="30"/>
      <w:bookmarkEnd w:id="31"/>
    </w:p>
    <w:p w14:paraId="2FE67432">
      <w:pPr>
        <w:spacing w:line="560" w:lineRule="exact"/>
        <w:ind w:firstLine="640" w:firstLineChars="200"/>
        <w:rPr>
          <w:rFonts w:ascii="仿宋" w:hAnsi="仿宋" w:eastAsia="仿宋"/>
          <w:color w:val="000000"/>
          <w:sz w:val="32"/>
          <w:szCs w:val="32"/>
        </w:rPr>
      </w:pPr>
      <w:r>
        <w:rPr>
          <w:rFonts w:hint="default" w:ascii="Times New Roman" w:hAnsi="Times New Roman" w:eastAsia="仿宋" w:cs="Times New Roman"/>
          <w:color w:val="000000"/>
          <w:sz w:val="32"/>
          <w:szCs w:val="32"/>
        </w:rPr>
        <w:t>2023</w:t>
      </w:r>
      <w:r>
        <w:rPr>
          <w:rFonts w:hint="eastAsia" w:ascii="仿宋" w:hAnsi="仿宋" w:eastAsia="仿宋" w:cs="仿宋"/>
          <w:color w:val="000000"/>
          <w:sz w:val="32"/>
          <w:szCs w:val="32"/>
        </w:rPr>
        <w:t>年度收入总计</w:t>
      </w:r>
      <w:r>
        <w:rPr>
          <w:rFonts w:hint="default" w:ascii="Times New Roman" w:hAnsi="Times New Roman" w:eastAsia="仿宋" w:cs="Times New Roman"/>
          <w:color w:val="000000"/>
          <w:sz w:val="32"/>
          <w:szCs w:val="32"/>
        </w:rPr>
        <w:t>1,410.00</w:t>
      </w:r>
      <w:r>
        <w:rPr>
          <w:rFonts w:hint="eastAsia" w:ascii="仿宋" w:hAnsi="仿宋" w:eastAsia="仿宋" w:cs="仿宋"/>
          <w:color w:val="000000"/>
          <w:sz w:val="32"/>
          <w:szCs w:val="32"/>
        </w:rPr>
        <w:t>万元，与</w:t>
      </w:r>
      <w:r>
        <w:rPr>
          <w:rFonts w:hint="eastAsia" w:ascii="Times New Roman" w:hAnsi="Times New Roman" w:eastAsia="仿宋" w:cs="Times New Roman"/>
          <w:color w:val="000000"/>
          <w:sz w:val="32"/>
          <w:szCs w:val="32"/>
        </w:rPr>
        <w:t>2022</w:t>
      </w:r>
      <w:r>
        <w:rPr>
          <w:rFonts w:hint="eastAsia" w:ascii="仿宋" w:hAnsi="仿宋" w:eastAsia="仿宋" w:cs="仿宋"/>
          <w:color w:val="000000"/>
          <w:sz w:val="32"/>
          <w:szCs w:val="32"/>
        </w:rPr>
        <w:t>年相比，减少</w:t>
      </w:r>
      <w:r>
        <w:rPr>
          <w:rFonts w:hint="eastAsia" w:ascii="Times New Roman" w:hAnsi="Times New Roman" w:eastAsia="仿宋" w:cs="Times New Roman"/>
          <w:color w:val="000000"/>
          <w:sz w:val="32"/>
          <w:szCs w:val="32"/>
        </w:rPr>
        <w:t>389.82</w:t>
      </w:r>
      <w:r>
        <w:rPr>
          <w:rFonts w:hint="eastAsia" w:ascii="仿宋" w:hAnsi="仿宋" w:eastAsia="仿宋" w:cs="仿宋"/>
          <w:color w:val="000000"/>
          <w:sz w:val="32"/>
          <w:szCs w:val="32"/>
        </w:rPr>
        <w:t>万元，下降</w:t>
      </w:r>
      <w:r>
        <w:rPr>
          <w:rFonts w:hint="eastAsia" w:ascii="Times New Roman" w:hAnsi="Times New Roman" w:eastAsia="仿宋" w:cs="Times New Roman"/>
          <w:color w:val="000000"/>
          <w:sz w:val="32"/>
          <w:szCs w:val="32"/>
        </w:rPr>
        <w:t>21.66%</w:t>
      </w:r>
      <w:r>
        <w:rPr>
          <w:rFonts w:hint="eastAsia" w:ascii="仿宋" w:hAnsi="仿宋" w:eastAsia="仿宋" w:cs="仿宋"/>
          <w:color w:val="000000"/>
          <w:sz w:val="32"/>
          <w:szCs w:val="32"/>
        </w:rPr>
        <w:t>。主要变动原因：当年项目减少，收入减少</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支出总计</w:t>
      </w:r>
      <w:r>
        <w:rPr>
          <w:rFonts w:hint="eastAsia" w:ascii="Times New Roman" w:hAnsi="Times New Roman" w:eastAsia="仿宋" w:cs="Times New Roman"/>
          <w:color w:val="000000"/>
          <w:sz w:val="32"/>
          <w:szCs w:val="32"/>
        </w:rPr>
        <w:t>1,410.00</w:t>
      </w:r>
      <w:r>
        <w:rPr>
          <w:rFonts w:hint="eastAsia" w:ascii="仿宋" w:hAnsi="仿宋" w:eastAsia="仿宋" w:cs="仿宋"/>
          <w:color w:val="000000"/>
          <w:sz w:val="32"/>
          <w:szCs w:val="32"/>
        </w:rPr>
        <w:t>万元。与</w:t>
      </w:r>
      <w:r>
        <w:rPr>
          <w:rFonts w:hint="eastAsia" w:ascii="Times New Roman" w:hAnsi="Times New Roman" w:eastAsia="仿宋" w:cs="Times New Roman"/>
          <w:color w:val="000000"/>
          <w:sz w:val="32"/>
          <w:szCs w:val="32"/>
        </w:rPr>
        <w:t>2022</w:t>
      </w:r>
      <w:r>
        <w:rPr>
          <w:rFonts w:hint="eastAsia" w:ascii="仿宋" w:hAnsi="仿宋" w:eastAsia="仿宋" w:cs="仿宋"/>
          <w:color w:val="000000"/>
          <w:sz w:val="32"/>
          <w:szCs w:val="32"/>
        </w:rPr>
        <w:t>年相比，减少</w:t>
      </w:r>
      <w:r>
        <w:rPr>
          <w:rFonts w:hint="eastAsia" w:ascii="Times New Roman" w:hAnsi="Times New Roman" w:eastAsia="仿宋" w:cs="Times New Roman"/>
          <w:color w:val="000000"/>
          <w:sz w:val="32"/>
          <w:szCs w:val="32"/>
        </w:rPr>
        <w:t>389.82</w:t>
      </w:r>
      <w:r>
        <w:rPr>
          <w:rFonts w:hint="eastAsia" w:ascii="仿宋" w:hAnsi="仿宋" w:eastAsia="仿宋" w:cs="仿宋"/>
          <w:color w:val="000000"/>
          <w:sz w:val="32"/>
          <w:szCs w:val="32"/>
        </w:rPr>
        <w:t>万元，下降</w:t>
      </w:r>
      <w:r>
        <w:rPr>
          <w:rFonts w:hint="eastAsia" w:ascii="Times New Roman" w:hAnsi="Times New Roman" w:eastAsia="仿宋" w:cs="Times New Roman"/>
          <w:color w:val="000000"/>
          <w:sz w:val="32"/>
          <w:szCs w:val="32"/>
        </w:rPr>
        <w:t>21.66%</w:t>
      </w:r>
      <w:r>
        <w:rPr>
          <w:rFonts w:hint="eastAsia" w:ascii="仿宋" w:hAnsi="仿宋" w:eastAsia="仿宋" w:cs="仿宋"/>
          <w:color w:val="000000"/>
          <w:sz w:val="32"/>
          <w:szCs w:val="32"/>
        </w:rPr>
        <w:t>。主要变动原因</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当年项目减少，相关经费减少。</w:t>
      </w:r>
    </w:p>
    <w:p w14:paraId="2CDBB204">
      <w:pPr>
        <w:pStyle w:val="27"/>
        <w:jc w:val="center"/>
        <w:rPr>
          <w:rFonts w:ascii="Times New Roman" w:hAnsi="Times New Roman" w:eastAsia="仿宋_GB2312" w:cs="Times New Roman"/>
          <w:sz w:val="32"/>
          <w:szCs w:val="32"/>
        </w:rPr>
      </w:pPr>
      <w:r>
        <w:drawing>
          <wp:inline distT="0" distB="0" distL="114300" distR="114300">
            <wp:extent cx="4705350" cy="2576195"/>
            <wp:effectExtent l="4445" t="4445" r="14605" b="10160"/>
            <wp:docPr id="134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drawing>
          <wp:inline distT="0" distB="0" distL="114300" distR="114300">
            <wp:extent cx="4617085" cy="2406015"/>
            <wp:effectExtent l="4445" t="4445" r="13970" b="15240"/>
            <wp:docPr id="133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39C0E97">
      <w:pPr>
        <w:spacing w:line="560" w:lineRule="exact"/>
        <w:ind w:firstLine="640" w:firstLineChars="200"/>
        <w:rPr>
          <w:rStyle w:val="47"/>
          <w:rFonts w:ascii="Times New Roman" w:hAnsi="Times New Roman" w:eastAsia="仿宋_GB2312"/>
          <w:sz w:val="32"/>
          <w:szCs w:val="32"/>
        </w:rPr>
      </w:pPr>
      <w:r>
        <w:rPr>
          <w:rStyle w:val="47"/>
          <w:rFonts w:ascii="Times New Roman" w:hAnsi="Times New Roman" w:eastAsia="仿宋_GB2312"/>
          <w:sz w:val="32"/>
          <w:szCs w:val="32"/>
        </w:rPr>
        <w:t>（图1：收、支决算总计变动情况图）（柱状图）</w:t>
      </w:r>
    </w:p>
    <w:p w14:paraId="4883BC3A">
      <w:pPr>
        <w:pStyle w:val="34"/>
        <w:spacing w:line="560" w:lineRule="exact"/>
        <w:ind w:left="1360" w:hanging="720" w:firstLineChars="0"/>
        <w:outlineLvl w:val="1"/>
        <w:rPr>
          <w:rFonts w:ascii="楷体_GB2312" w:hAnsi="楷体_GB2312" w:eastAsia="楷体_GB2312" w:cs="楷体_GB2312"/>
          <w:b/>
          <w:bCs/>
          <w:sz w:val="32"/>
          <w:szCs w:val="32"/>
        </w:rPr>
      </w:pPr>
      <w:bookmarkStart w:id="32" w:name="_Toc15396604"/>
      <w:bookmarkStart w:id="33" w:name="_Toc32582"/>
      <w:bookmarkStart w:id="34" w:name="_Toc27689"/>
      <w:bookmarkStart w:id="35" w:name="_Toc15377206"/>
      <w:r>
        <w:rPr>
          <w:rFonts w:ascii="楷体_GB2312" w:hAnsi="楷体_GB2312" w:eastAsia="楷体_GB2312" w:cs="楷体_GB2312"/>
          <w:b/>
          <w:bCs/>
          <w:sz w:val="32"/>
          <w:szCs w:val="32"/>
        </w:rPr>
        <w:t>二、收入决算情况说明</w:t>
      </w:r>
      <w:bookmarkEnd w:id="32"/>
      <w:bookmarkEnd w:id="33"/>
      <w:bookmarkEnd w:id="34"/>
      <w:bookmarkEnd w:id="35"/>
    </w:p>
    <w:p w14:paraId="52E6555D">
      <w:pPr>
        <w:spacing w:line="560" w:lineRule="exact"/>
        <w:ind w:firstLine="640" w:firstLineChars="200"/>
        <w:rPr>
          <w:rStyle w:val="47"/>
          <w:rFonts w:ascii="Times New Roman" w:hAnsi="Times New Roman" w:eastAsia="仿宋_GB2312"/>
          <w:sz w:val="32"/>
          <w:szCs w:val="32"/>
        </w:rPr>
      </w:pPr>
      <w:bookmarkStart w:id="36" w:name="_Toc13887"/>
      <w:bookmarkStart w:id="37" w:name="_Toc5986"/>
      <w:r>
        <w:rPr>
          <w:rFonts w:hint="eastAsia" w:ascii="Times New Roman" w:hAnsi="Times New Roman" w:eastAsia="仿宋" w:cs="Times New Roman"/>
          <w:color w:val="000000"/>
          <w:sz w:val="32"/>
          <w:szCs w:val="32"/>
        </w:rPr>
        <w:t>2023</w:t>
      </w:r>
      <w:r>
        <w:rPr>
          <w:rStyle w:val="47"/>
          <w:rFonts w:ascii="Times New Roman" w:hAnsi="Times New Roman" w:eastAsia="仿宋_GB2312"/>
          <w:sz w:val="32"/>
          <w:szCs w:val="32"/>
        </w:rPr>
        <w:t>年本年收入合计</w:t>
      </w:r>
      <w:r>
        <w:rPr>
          <w:rFonts w:hint="default" w:ascii="Times New Roman" w:hAnsi="Times New Roman" w:eastAsia="仿宋" w:cs="Times New Roman"/>
          <w:color w:val="000000"/>
          <w:sz w:val="32"/>
          <w:szCs w:val="32"/>
        </w:rPr>
        <w:t>1410</w:t>
      </w:r>
      <w:r>
        <w:rPr>
          <w:rStyle w:val="47"/>
          <w:rFonts w:ascii="Times New Roman" w:hAnsi="Times New Roman" w:eastAsia="仿宋_GB2312"/>
          <w:sz w:val="32"/>
          <w:szCs w:val="32"/>
        </w:rPr>
        <w:t>万元，其中：一般公共预算财政拨款收入</w:t>
      </w:r>
      <w:r>
        <w:rPr>
          <w:rFonts w:hint="default" w:ascii="Times New Roman" w:hAnsi="Times New Roman" w:eastAsia="仿宋" w:cs="Times New Roman"/>
          <w:color w:val="000000"/>
          <w:sz w:val="32"/>
          <w:szCs w:val="32"/>
        </w:rPr>
        <w:t>1410</w:t>
      </w:r>
      <w:r>
        <w:rPr>
          <w:rStyle w:val="47"/>
          <w:rFonts w:ascii="Times New Roman" w:hAnsi="Times New Roman" w:eastAsia="仿宋_GB2312"/>
          <w:sz w:val="32"/>
          <w:szCs w:val="32"/>
        </w:rPr>
        <w:t>万元，占</w:t>
      </w:r>
      <w:r>
        <w:rPr>
          <w:rFonts w:hint="default" w:ascii="Times New Roman" w:hAnsi="Times New Roman" w:eastAsia="仿宋" w:cs="Times New Roman"/>
          <w:color w:val="000000"/>
          <w:sz w:val="32"/>
          <w:szCs w:val="32"/>
        </w:rPr>
        <w:t>100%</w:t>
      </w:r>
      <w:r>
        <w:rPr>
          <w:rStyle w:val="47"/>
          <w:rFonts w:ascii="Times New Roman" w:hAnsi="Times New Roman" w:eastAsia="仿宋_GB2312"/>
          <w:sz w:val="32"/>
          <w:szCs w:val="32"/>
        </w:rPr>
        <w:t>；政府性基金预算财政拨款收入0万元，占0%；国有资本经营预算财政拨款收入0万元，占0%；上级补助收入0万元，占0%；事业收入0万元，占0%；经营收入0万元，占0%；附属单位上缴收入0万元，占0%；其他收入0万元，占0%。</w:t>
      </w:r>
      <w:bookmarkEnd w:id="36"/>
      <w:bookmarkEnd w:id="37"/>
    </w:p>
    <w:p w14:paraId="2B439AA4">
      <w:pPr>
        <w:pStyle w:val="27"/>
        <w:rPr>
          <w:rFonts w:ascii="Times New Roman" w:hAnsi="Times New Roman" w:eastAsia="仿宋_GB2312" w:cs="Times New Roman"/>
          <w:b/>
          <w:sz w:val="32"/>
          <w:szCs w:val="32"/>
        </w:rPr>
      </w:pPr>
    </w:p>
    <w:p w14:paraId="43082616">
      <w:pPr>
        <w:pStyle w:val="27"/>
        <w:jc w:val="center"/>
        <w:rPr>
          <w:rFonts w:ascii="Times New Roman" w:hAnsi="Times New Roman" w:cs="Times New Roman"/>
          <w:sz w:val="32"/>
          <w:szCs w:val="32"/>
        </w:rPr>
      </w:pPr>
      <w:r>
        <w:drawing>
          <wp:inline distT="0" distB="0" distL="114300" distR="114300">
            <wp:extent cx="3926840" cy="2501265"/>
            <wp:effectExtent l="0" t="0" r="16510" b="13335"/>
            <wp:docPr id="134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图片 4" descr="IMG_256"/>
                    <pic:cNvPicPr>
                      <a:picLocks noChangeAspect="1"/>
                    </pic:cNvPicPr>
                  </pic:nvPicPr>
                  <pic:blipFill>
                    <a:blip r:embed="rId10"/>
                    <a:stretch>
                      <a:fillRect/>
                    </a:stretch>
                  </pic:blipFill>
                  <pic:spPr>
                    <a:xfrm>
                      <a:off x="0" y="0"/>
                      <a:ext cx="3926840" cy="2501265"/>
                    </a:xfrm>
                    <a:prstGeom prst="rect">
                      <a:avLst/>
                    </a:prstGeom>
                    <a:noFill/>
                    <a:ln w="9525">
                      <a:noFill/>
                    </a:ln>
                  </pic:spPr>
                </pic:pic>
              </a:graphicData>
            </a:graphic>
          </wp:inline>
        </w:drawing>
      </w:r>
    </w:p>
    <w:p w14:paraId="1739441C">
      <w:pPr>
        <w:spacing w:line="560" w:lineRule="exact"/>
        <w:ind w:firstLine="643" w:firstLineChars="200"/>
        <w:rPr>
          <w:rFonts w:eastAsia="仿宋_GB2312"/>
          <w:b/>
          <w:bCs/>
          <w:sz w:val="32"/>
          <w:szCs w:val="32"/>
        </w:rPr>
      </w:pPr>
      <w:r>
        <w:rPr>
          <w:rFonts w:eastAsia="仿宋_GB2312"/>
          <w:b/>
          <w:bCs/>
          <w:sz w:val="32"/>
          <w:szCs w:val="32"/>
        </w:rPr>
        <w:t>（图2：收入决算结构图）（饼状图）</w:t>
      </w:r>
    </w:p>
    <w:p w14:paraId="1397A9F1">
      <w:pPr>
        <w:pStyle w:val="34"/>
        <w:spacing w:line="560" w:lineRule="exact"/>
        <w:ind w:left="1360" w:hanging="720" w:firstLineChars="0"/>
        <w:outlineLvl w:val="1"/>
        <w:rPr>
          <w:rFonts w:ascii="楷体_GB2312" w:hAnsi="楷体_GB2312" w:eastAsia="楷体_GB2312" w:cs="楷体_GB2312"/>
          <w:b/>
          <w:bCs/>
          <w:sz w:val="32"/>
          <w:szCs w:val="32"/>
        </w:rPr>
      </w:pPr>
      <w:bookmarkStart w:id="38" w:name="_Toc15377207"/>
      <w:bookmarkStart w:id="39" w:name="_Toc22715"/>
      <w:bookmarkStart w:id="40" w:name="_Toc6400"/>
      <w:bookmarkStart w:id="41" w:name="_Toc15396605"/>
      <w:r>
        <w:rPr>
          <w:rFonts w:ascii="楷体_GB2312" w:hAnsi="楷体_GB2312" w:eastAsia="楷体_GB2312" w:cs="楷体_GB2312"/>
          <w:b/>
          <w:bCs/>
          <w:sz w:val="32"/>
          <w:szCs w:val="32"/>
        </w:rPr>
        <w:t>三、支出决算情况说明</w:t>
      </w:r>
      <w:bookmarkEnd w:id="38"/>
      <w:bookmarkEnd w:id="39"/>
      <w:bookmarkEnd w:id="40"/>
      <w:bookmarkEnd w:id="41"/>
    </w:p>
    <w:p w14:paraId="26F580B5">
      <w:pPr>
        <w:spacing w:line="560" w:lineRule="exact"/>
        <w:ind w:firstLine="640" w:firstLineChars="200"/>
        <w:rPr>
          <w:rFonts w:eastAsia="仿宋_GB2312"/>
          <w:sz w:val="32"/>
          <w:szCs w:val="32"/>
        </w:rPr>
      </w:pPr>
      <w:bookmarkStart w:id="42" w:name="_Toc25808"/>
      <w:bookmarkStart w:id="43" w:name="_Toc20789"/>
      <w:r>
        <w:rPr>
          <w:rFonts w:hint="eastAsia" w:eastAsia="仿宋_GB2312"/>
          <w:sz w:val="32"/>
          <w:szCs w:val="32"/>
        </w:rPr>
        <w:t>2023</w:t>
      </w:r>
      <w:r>
        <w:rPr>
          <w:rFonts w:eastAsia="仿宋_GB2312"/>
          <w:sz w:val="32"/>
          <w:szCs w:val="32"/>
        </w:rPr>
        <w:t>年本年支出合计</w:t>
      </w:r>
      <w:r>
        <w:rPr>
          <w:rStyle w:val="47"/>
          <w:rFonts w:ascii="Times New Roman" w:hAnsi="Times New Roman" w:eastAsia="仿宋_GB2312"/>
          <w:sz w:val="32"/>
          <w:szCs w:val="32"/>
        </w:rPr>
        <w:t>1410</w:t>
      </w:r>
      <w:r>
        <w:rPr>
          <w:rFonts w:eastAsia="仿宋_GB2312"/>
          <w:sz w:val="32"/>
          <w:szCs w:val="32"/>
        </w:rPr>
        <w:t>万元，其中：基本支出838.99万元，占</w:t>
      </w:r>
      <w:r>
        <w:rPr>
          <w:rFonts w:hint="eastAsia" w:eastAsia="仿宋_GB2312"/>
          <w:sz w:val="32"/>
          <w:szCs w:val="32"/>
        </w:rPr>
        <w:t>59.5</w:t>
      </w:r>
      <w:r>
        <w:rPr>
          <w:rFonts w:eastAsia="仿宋_GB2312"/>
          <w:sz w:val="32"/>
          <w:szCs w:val="32"/>
        </w:rPr>
        <w:t>%；项目支出571.01万元，占</w:t>
      </w:r>
      <w:r>
        <w:rPr>
          <w:rFonts w:hint="eastAsia" w:eastAsia="仿宋_GB2312"/>
          <w:sz w:val="32"/>
          <w:szCs w:val="32"/>
        </w:rPr>
        <w:t>40.5</w:t>
      </w:r>
      <w:r>
        <w:rPr>
          <w:rFonts w:eastAsia="仿宋_GB2312"/>
          <w:sz w:val="32"/>
          <w:szCs w:val="32"/>
        </w:rPr>
        <w:t>%；上缴上级支出0万元，占0%；经营支出0万元，占0%；对附属单位补助支出0万元，占0%。</w:t>
      </w:r>
      <w:bookmarkEnd w:id="42"/>
      <w:bookmarkEnd w:id="43"/>
    </w:p>
    <w:p w14:paraId="42E82BB4">
      <w:pPr>
        <w:pStyle w:val="27"/>
        <w:jc w:val="center"/>
        <w:rPr>
          <w:rFonts w:ascii="Times New Roman" w:hAnsi="Times New Roman" w:eastAsia="仿宋_GB2312" w:cs="Times New Roman"/>
          <w:sz w:val="32"/>
          <w:szCs w:val="32"/>
          <w:shd w:val="pct10" w:color="auto" w:fill="FFFFFF"/>
        </w:rPr>
      </w:pPr>
      <w:r>
        <w:drawing>
          <wp:inline distT="0" distB="0" distL="114300" distR="114300">
            <wp:extent cx="4107180" cy="2176145"/>
            <wp:effectExtent l="4445" t="4445" r="15875" b="16510"/>
            <wp:docPr id="133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DBBD778">
      <w:pPr>
        <w:spacing w:line="560" w:lineRule="exact"/>
        <w:ind w:firstLine="643" w:firstLineChars="200"/>
        <w:rPr>
          <w:rFonts w:eastAsia="仿宋_GB2312"/>
          <w:sz w:val="32"/>
          <w:szCs w:val="32"/>
        </w:rPr>
      </w:pPr>
      <w:r>
        <w:rPr>
          <w:rFonts w:eastAsia="仿宋_GB2312"/>
          <w:b/>
          <w:bCs/>
          <w:sz w:val="32"/>
          <w:szCs w:val="32"/>
        </w:rPr>
        <w:t>（图3：支出决算结构图）（饼状图）</w:t>
      </w:r>
    </w:p>
    <w:p w14:paraId="4E76F5A5">
      <w:pPr>
        <w:spacing w:line="560" w:lineRule="exact"/>
        <w:ind w:firstLine="643" w:firstLineChars="200"/>
        <w:outlineLvl w:val="1"/>
        <w:rPr>
          <w:rFonts w:ascii="楷体_GB2312" w:hAnsi="楷体_GB2312" w:eastAsia="楷体_GB2312" w:cs="楷体_GB2312"/>
          <w:b/>
          <w:bCs/>
          <w:sz w:val="32"/>
          <w:szCs w:val="32"/>
        </w:rPr>
      </w:pPr>
      <w:bookmarkStart w:id="44" w:name="_Toc15377208"/>
      <w:bookmarkStart w:id="45" w:name="_Toc15396606"/>
      <w:bookmarkStart w:id="46" w:name="_Toc10006"/>
      <w:bookmarkStart w:id="47" w:name="_Toc6272"/>
      <w:r>
        <w:rPr>
          <w:rFonts w:ascii="楷体_GB2312" w:hAnsi="楷体_GB2312" w:eastAsia="楷体_GB2312" w:cs="楷体_GB2312"/>
          <w:b/>
          <w:bCs/>
          <w:sz w:val="32"/>
          <w:szCs w:val="32"/>
        </w:rPr>
        <w:t>四、财政拨款收入支出决算总体情况说明</w:t>
      </w:r>
      <w:bookmarkEnd w:id="44"/>
      <w:bookmarkEnd w:id="45"/>
      <w:bookmarkEnd w:id="46"/>
      <w:bookmarkEnd w:id="47"/>
    </w:p>
    <w:p w14:paraId="1080B9DD">
      <w:pPr>
        <w:spacing w:line="560" w:lineRule="exact"/>
        <w:ind w:firstLine="640" w:firstLineChars="200"/>
        <w:rPr>
          <w:rFonts w:eastAsia="仿宋_GB2312"/>
          <w:sz w:val="32"/>
          <w:szCs w:val="32"/>
        </w:rPr>
      </w:pPr>
      <w:r>
        <w:rPr>
          <w:rFonts w:hint="eastAsia" w:ascii="Times New Roman" w:hAnsi="Times New Roman" w:eastAsia="仿宋" w:cs="Times New Roman"/>
          <w:color w:val="000000"/>
          <w:sz w:val="32"/>
          <w:szCs w:val="32"/>
        </w:rPr>
        <w:t>2023</w:t>
      </w:r>
      <w:r>
        <w:rPr>
          <w:rFonts w:hint="eastAsia" w:ascii="仿宋" w:hAnsi="仿宋" w:eastAsia="仿宋" w:cs="仿宋"/>
          <w:color w:val="000000"/>
          <w:sz w:val="32"/>
          <w:szCs w:val="32"/>
        </w:rPr>
        <w:t>年度财政拨款收入总计</w:t>
      </w:r>
      <w:r>
        <w:rPr>
          <w:rFonts w:hint="eastAsia" w:ascii="Times New Roman" w:hAnsi="Times New Roman" w:eastAsia="仿宋" w:cs="Times New Roman"/>
          <w:color w:val="000000"/>
          <w:sz w:val="32"/>
          <w:szCs w:val="32"/>
        </w:rPr>
        <w:t>1,410.00</w:t>
      </w:r>
      <w:r>
        <w:rPr>
          <w:rFonts w:hint="eastAsia" w:ascii="仿宋" w:hAnsi="仿宋" w:eastAsia="仿宋" w:cs="仿宋"/>
          <w:color w:val="000000"/>
          <w:sz w:val="32"/>
          <w:szCs w:val="32"/>
        </w:rPr>
        <w:t>万元，与</w:t>
      </w:r>
      <w:r>
        <w:rPr>
          <w:rFonts w:hint="eastAsia" w:ascii="Times New Roman" w:hAnsi="Times New Roman" w:eastAsia="仿宋" w:cs="Times New Roman"/>
          <w:color w:val="000000"/>
          <w:sz w:val="32"/>
          <w:szCs w:val="32"/>
        </w:rPr>
        <w:t>2022</w:t>
      </w:r>
      <w:r>
        <w:rPr>
          <w:rFonts w:hint="eastAsia" w:ascii="仿宋" w:hAnsi="仿宋" w:eastAsia="仿宋" w:cs="仿宋"/>
          <w:color w:val="000000"/>
          <w:sz w:val="32"/>
          <w:szCs w:val="32"/>
        </w:rPr>
        <w:t>年相比，减少</w:t>
      </w:r>
      <w:r>
        <w:rPr>
          <w:rFonts w:hint="eastAsia" w:ascii="Times New Roman" w:hAnsi="Times New Roman" w:eastAsia="仿宋" w:cs="Times New Roman"/>
          <w:color w:val="000000"/>
          <w:sz w:val="32"/>
          <w:szCs w:val="32"/>
        </w:rPr>
        <w:t>389.82</w:t>
      </w:r>
      <w:r>
        <w:rPr>
          <w:rFonts w:hint="eastAsia" w:ascii="仿宋" w:hAnsi="仿宋" w:eastAsia="仿宋" w:cs="仿宋"/>
          <w:color w:val="000000"/>
          <w:sz w:val="32"/>
          <w:szCs w:val="32"/>
        </w:rPr>
        <w:t>万元，下降</w:t>
      </w:r>
      <w:r>
        <w:rPr>
          <w:rFonts w:hint="eastAsia" w:ascii="Times New Roman" w:hAnsi="Times New Roman" w:eastAsia="仿宋" w:cs="Times New Roman"/>
          <w:color w:val="000000"/>
          <w:sz w:val="32"/>
          <w:szCs w:val="32"/>
        </w:rPr>
        <w:t>21.66%</w:t>
      </w:r>
      <w:r>
        <w:rPr>
          <w:rFonts w:hint="eastAsia" w:ascii="仿宋" w:hAnsi="仿宋" w:eastAsia="仿宋" w:cs="仿宋"/>
          <w:color w:val="000000"/>
          <w:sz w:val="32"/>
          <w:szCs w:val="32"/>
        </w:rPr>
        <w:t>。主要变动原因：当年当年项目减少，收入减少; 财政拨款支出总计</w:t>
      </w:r>
      <w:r>
        <w:rPr>
          <w:rFonts w:hint="eastAsia" w:ascii="Times New Roman" w:hAnsi="Times New Roman" w:eastAsia="仿宋" w:cs="Times New Roman"/>
          <w:color w:val="000000"/>
          <w:sz w:val="32"/>
          <w:szCs w:val="32"/>
        </w:rPr>
        <w:t>1,410.00</w:t>
      </w:r>
      <w:r>
        <w:rPr>
          <w:rFonts w:hint="eastAsia" w:ascii="仿宋" w:hAnsi="仿宋" w:eastAsia="仿宋" w:cs="仿宋"/>
          <w:color w:val="000000"/>
          <w:sz w:val="32"/>
          <w:szCs w:val="32"/>
        </w:rPr>
        <w:t>万元。与</w:t>
      </w:r>
      <w:r>
        <w:rPr>
          <w:rFonts w:hint="eastAsia" w:ascii="Times New Roman" w:hAnsi="Times New Roman" w:eastAsia="仿宋" w:cs="Times New Roman"/>
          <w:color w:val="000000"/>
          <w:sz w:val="32"/>
          <w:szCs w:val="32"/>
        </w:rPr>
        <w:t>2022</w:t>
      </w:r>
      <w:r>
        <w:rPr>
          <w:rFonts w:hint="eastAsia" w:ascii="仿宋" w:hAnsi="仿宋" w:eastAsia="仿宋" w:cs="仿宋"/>
          <w:color w:val="000000"/>
          <w:sz w:val="32"/>
          <w:szCs w:val="32"/>
        </w:rPr>
        <w:t>年相比，减少</w:t>
      </w:r>
      <w:r>
        <w:rPr>
          <w:rFonts w:hint="eastAsia" w:ascii="Times New Roman" w:hAnsi="Times New Roman" w:eastAsia="仿宋" w:cs="Times New Roman"/>
          <w:color w:val="000000"/>
          <w:sz w:val="32"/>
          <w:szCs w:val="32"/>
        </w:rPr>
        <w:t>389.82</w:t>
      </w:r>
      <w:r>
        <w:rPr>
          <w:rFonts w:hint="eastAsia" w:ascii="仿宋" w:hAnsi="仿宋" w:eastAsia="仿宋" w:cs="仿宋"/>
          <w:color w:val="000000"/>
          <w:sz w:val="32"/>
          <w:szCs w:val="32"/>
        </w:rPr>
        <w:t>万元，下降</w:t>
      </w:r>
      <w:r>
        <w:rPr>
          <w:rFonts w:hint="eastAsia" w:ascii="Times New Roman" w:hAnsi="Times New Roman" w:eastAsia="仿宋" w:cs="Times New Roman"/>
          <w:color w:val="000000"/>
          <w:sz w:val="32"/>
          <w:szCs w:val="32"/>
        </w:rPr>
        <w:t>21.66%</w:t>
      </w:r>
      <w:r>
        <w:rPr>
          <w:rFonts w:hint="eastAsia" w:ascii="仿宋" w:hAnsi="仿宋" w:eastAsia="仿宋" w:cs="仿宋"/>
          <w:color w:val="000000"/>
          <w:sz w:val="32"/>
          <w:szCs w:val="32"/>
        </w:rPr>
        <w:t>。主要变动原因:当年项目减少，相关经费减少。</w:t>
      </w:r>
    </w:p>
    <w:p w14:paraId="5525695F">
      <w:pPr>
        <w:pStyle w:val="27"/>
        <w:jc w:val="center"/>
        <w:rPr>
          <w:rFonts w:ascii="Times New Roman" w:hAnsi="Times New Roman" w:eastAsia="仿宋_GB2312" w:cs="Times New Roman"/>
          <w:sz w:val="32"/>
          <w:szCs w:val="32"/>
        </w:rPr>
      </w:pPr>
      <w:r>
        <w:drawing>
          <wp:inline distT="0" distB="0" distL="114300" distR="114300">
            <wp:extent cx="4208780" cy="2270760"/>
            <wp:effectExtent l="4445" t="4445" r="15875" b="10795"/>
            <wp:docPr id="133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drawing>
          <wp:inline distT="0" distB="0" distL="114300" distR="114300">
            <wp:extent cx="4339590" cy="2130425"/>
            <wp:effectExtent l="4445" t="4445" r="12065" b="11430"/>
            <wp:docPr id="133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834696D">
      <w:pPr>
        <w:spacing w:line="560" w:lineRule="exact"/>
        <w:ind w:firstLine="643" w:firstLineChars="200"/>
        <w:rPr>
          <w:rFonts w:eastAsia="仿宋_GB2312"/>
          <w:b/>
          <w:sz w:val="32"/>
          <w:szCs w:val="32"/>
        </w:rPr>
      </w:pPr>
      <w:r>
        <w:rPr>
          <w:rFonts w:eastAsia="仿宋_GB2312"/>
          <w:b/>
          <w:bCs/>
          <w:sz w:val="32"/>
          <w:szCs w:val="32"/>
        </w:rPr>
        <w:t>（图4：财政拨款收、支决算总计变动情况）（柱状图）</w:t>
      </w:r>
    </w:p>
    <w:p w14:paraId="525CD3C2">
      <w:pPr>
        <w:spacing w:line="560" w:lineRule="exact"/>
        <w:ind w:firstLine="643" w:firstLineChars="200"/>
        <w:outlineLvl w:val="1"/>
        <w:rPr>
          <w:rFonts w:ascii="楷体_GB2312" w:hAnsi="楷体_GB2312" w:eastAsia="楷体_GB2312" w:cs="楷体_GB2312"/>
          <w:b/>
          <w:bCs/>
          <w:sz w:val="32"/>
          <w:szCs w:val="32"/>
        </w:rPr>
      </w:pPr>
      <w:bookmarkStart w:id="48" w:name="_Toc17027"/>
      <w:bookmarkStart w:id="49" w:name="_Toc15396607"/>
      <w:bookmarkStart w:id="50" w:name="_Toc15377209"/>
      <w:bookmarkStart w:id="51" w:name="_Toc14948"/>
      <w:r>
        <w:rPr>
          <w:rFonts w:ascii="楷体_GB2312" w:hAnsi="楷体_GB2312" w:eastAsia="楷体_GB2312" w:cs="楷体_GB2312"/>
          <w:b/>
          <w:bCs/>
          <w:sz w:val="32"/>
          <w:szCs w:val="32"/>
        </w:rPr>
        <w:t>五、一般公共预算财政拨款支出决算情况说明</w:t>
      </w:r>
      <w:bookmarkEnd w:id="48"/>
      <w:bookmarkEnd w:id="49"/>
      <w:bookmarkEnd w:id="50"/>
      <w:bookmarkEnd w:id="51"/>
    </w:p>
    <w:p w14:paraId="26B42A51">
      <w:pPr>
        <w:spacing w:line="560" w:lineRule="exact"/>
        <w:ind w:firstLine="643" w:firstLineChars="200"/>
        <w:outlineLvl w:val="2"/>
        <w:rPr>
          <w:rFonts w:eastAsia="仿宋_GB2312"/>
          <w:b/>
          <w:bCs/>
          <w:sz w:val="32"/>
          <w:szCs w:val="32"/>
        </w:rPr>
      </w:pPr>
      <w:bookmarkStart w:id="52" w:name="_Toc15377210"/>
      <w:r>
        <w:rPr>
          <w:rFonts w:eastAsia="仿宋_GB2312"/>
          <w:b/>
          <w:bCs/>
          <w:sz w:val="32"/>
          <w:szCs w:val="32"/>
        </w:rPr>
        <w:t>（一）一般公共预算财政拨款支出决算总体情况</w:t>
      </w:r>
      <w:bookmarkEnd w:id="52"/>
    </w:p>
    <w:p w14:paraId="14665C09">
      <w:pPr>
        <w:spacing w:line="560" w:lineRule="exact"/>
        <w:ind w:firstLine="640" w:firstLineChars="200"/>
        <w:rPr>
          <w:rFonts w:eastAsia="仿宋_GB2312"/>
          <w:sz w:val="32"/>
          <w:szCs w:val="32"/>
        </w:rPr>
      </w:pPr>
      <w:r>
        <w:rPr>
          <w:rFonts w:hint="eastAsia" w:ascii="Times New Roman" w:hAnsi="Times New Roman" w:eastAsia="仿宋" w:cs="Times New Roman"/>
          <w:color w:val="000000"/>
          <w:sz w:val="32"/>
          <w:szCs w:val="32"/>
        </w:rPr>
        <w:t>2023</w:t>
      </w:r>
      <w:r>
        <w:rPr>
          <w:rFonts w:eastAsia="仿宋_GB2312"/>
          <w:sz w:val="32"/>
          <w:szCs w:val="32"/>
        </w:rPr>
        <w:t>年一般公共预算</w:t>
      </w:r>
      <w:r>
        <w:rPr>
          <w:rFonts w:hint="eastAsia" w:ascii="仿宋" w:hAnsi="仿宋" w:eastAsia="仿宋" w:cs="仿宋"/>
          <w:color w:val="000000"/>
          <w:sz w:val="32"/>
          <w:szCs w:val="32"/>
        </w:rPr>
        <w:t>财政拨款支出总计</w:t>
      </w:r>
      <w:r>
        <w:rPr>
          <w:rFonts w:hint="eastAsia" w:ascii="Times New Roman" w:hAnsi="Times New Roman" w:eastAsia="仿宋" w:cs="Times New Roman"/>
          <w:color w:val="000000"/>
          <w:sz w:val="32"/>
          <w:szCs w:val="32"/>
        </w:rPr>
        <w:t>1,410.00</w:t>
      </w:r>
      <w:r>
        <w:rPr>
          <w:rFonts w:hint="eastAsia" w:ascii="仿宋" w:hAnsi="仿宋" w:eastAsia="仿宋" w:cs="仿宋"/>
          <w:color w:val="000000"/>
          <w:sz w:val="32"/>
          <w:szCs w:val="32"/>
        </w:rPr>
        <w:t>万元。与</w:t>
      </w:r>
      <w:r>
        <w:rPr>
          <w:rFonts w:hint="eastAsia" w:ascii="Times New Roman" w:hAnsi="Times New Roman" w:eastAsia="仿宋" w:cs="Times New Roman"/>
          <w:color w:val="000000"/>
          <w:sz w:val="32"/>
          <w:szCs w:val="32"/>
        </w:rPr>
        <w:t>2022</w:t>
      </w:r>
      <w:r>
        <w:rPr>
          <w:rFonts w:hint="eastAsia" w:ascii="仿宋" w:hAnsi="仿宋" w:eastAsia="仿宋" w:cs="仿宋"/>
          <w:color w:val="000000"/>
          <w:sz w:val="32"/>
          <w:szCs w:val="32"/>
        </w:rPr>
        <w:t>年相比，减少</w:t>
      </w:r>
      <w:r>
        <w:rPr>
          <w:rFonts w:hint="eastAsia" w:ascii="Times New Roman" w:hAnsi="Times New Roman" w:eastAsia="仿宋" w:cs="Times New Roman"/>
          <w:color w:val="000000"/>
          <w:sz w:val="32"/>
          <w:szCs w:val="32"/>
        </w:rPr>
        <w:t>389.82</w:t>
      </w:r>
      <w:r>
        <w:rPr>
          <w:rFonts w:hint="eastAsia" w:ascii="仿宋" w:hAnsi="仿宋" w:eastAsia="仿宋" w:cs="仿宋"/>
          <w:color w:val="000000"/>
          <w:sz w:val="32"/>
          <w:szCs w:val="32"/>
        </w:rPr>
        <w:t>万元，下降</w:t>
      </w:r>
      <w:r>
        <w:rPr>
          <w:rFonts w:hint="eastAsia" w:ascii="Times New Roman" w:hAnsi="Times New Roman" w:eastAsia="仿宋" w:cs="Times New Roman"/>
          <w:color w:val="000000"/>
          <w:sz w:val="32"/>
          <w:szCs w:val="32"/>
        </w:rPr>
        <w:t>21.66%</w:t>
      </w:r>
      <w:r>
        <w:rPr>
          <w:rFonts w:hint="eastAsia" w:ascii="仿宋" w:hAnsi="仿宋" w:eastAsia="仿宋" w:cs="仿宋"/>
          <w:color w:val="000000"/>
          <w:sz w:val="32"/>
          <w:szCs w:val="32"/>
        </w:rPr>
        <w:t>。主要变动原因:当年项目减少，相关经费减少。</w:t>
      </w:r>
    </w:p>
    <w:p w14:paraId="2993406E">
      <w:pPr>
        <w:jc w:val="center"/>
        <w:rPr>
          <w:rFonts w:ascii="仿宋" w:hAnsi="仿宋" w:eastAsia="仿宋" w:cs="仿宋"/>
          <w:bCs/>
          <w:sz w:val="28"/>
          <w:szCs w:val="28"/>
        </w:rPr>
      </w:pPr>
      <w:r>
        <w:rPr>
          <w:rFonts w:hint="eastAsia" w:ascii="仿宋" w:hAnsi="仿宋" w:eastAsia="仿宋" w:cs="仿宋"/>
          <w:bCs/>
          <w:sz w:val="28"/>
          <w:szCs w:val="28"/>
        </w:rPr>
        <w:drawing>
          <wp:inline distT="0" distB="0" distL="114300" distR="114300">
            <wp:extent cx="4451350" cy="2411095"/>
            <wp:effectExtent l="4445" t="4445" r="14605" b="10160"/>
            <wp:docPr id="134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8D55A01">
      <w:pPr>
        <w:spacing w:line="560" w:lineRule="exact"/>
        <w:rPr>
          <w:rFonts w:eastAsia="仿宋_GB2312"/>
          <w:sz w:val="32"/>
          <w:szCs w:val="32"/>
        </w:rPr>
      </w:pPr>
      <w:r>
        <w:rPr>
          <w:rFonts w:eastAsia="仿宋_GB2312"/>
          <w:b/>
          <w:bCs/>
          <w:sz w:val="32"/>
          <w:szCs w:val="32"/>
        </w:rPr>
        <w:t>（图5：一般公共预算财政拨款支出决算变动情况）（柱状图）</w:t>
      </w:r>
    </w:p>
    <w:p w14:paraId="1ECD2AF9">
      <w:pPr>
        <w:spacing w:line="560" w:lineRule="exact"/>
        <w:ind w:firstLine="643" w:firstLineChars="200"/>
        <w:outlineLvl w:val="2"/>
        <w:rPr>
          <w:rFonts w:eastAsia="仿宋_GB2312"/>
          <w:b/>
          <w:bCs/>
          <w:sz w:val="32"/>
          <w:szCs w:val="32"/>
        </w:rPr>
      </w:pPr>
      <w:bookmarkStart w:id="53" w:name="_Toc15377211"/>
      <w:r>
        <w:rPr>
          <w:rFonts w:eastAsia="仿宋_GB2312"/>
          <w:b/>
          <w:bCs/>
          <w:sz w:val="32"/>
          <w:szCs w:val="32"/>
        </w:rPr>
        <w:t>（二）一般公共预算财政拨款支出决算结构情况</w:t>
      </w:r>
      <w:bookmarkEnd w:id="53"/>
    </w:p>
    <w:p w14:paraId="3048BD7B">
      <w:pPr>
        <w:spacing w:line="560" w:lineRule="exact"/>
        <w:ind w:firstLine="640"/>
        <w:rPr>
          <w:rFonts w:eastAsia="仿宋_GB2312"/>
          <w:sz w:val="32"/>
          <w:szCs w:val="32"/>
        </w:rPr>
      </w:pPr>
      <w:r>
        <w:rPr>
          <w:rFonts w:hint="eastAsia" w:eastAsia="仿宋_GB2312"/>
          <w:sz w:val="32"/>
          <w:szCs w:val="32"/>
        </w:rPr>
        <w:t>2023</w:t>
      </w:r>
      <w:r>
        <w:rPr>
          <w:rFonts w:eastAsia="仿宋_GB2312"/>
          <w:sz w:val="32"/>
          <w:szCs w:val="32"/>
        </w:rPr>
        <w:t>年一般公共预算财政拨款支出</w:t>
      </w:r>
      <w:r>
        <w:rPr>
          <w:rFonts w:hint="default" w:ascii="Times New Roman" w:hAnsi="Times New Roman" w:eastAsia="仿宋" w:cs="Times New Roman"/>
          <w:color w:val="000000"/>
          <w:sz w:val="32"/>
          <w:szCs w:val="32"/>
        </w:rPr>
        <w:t>1410</w:t>
      </w:r>
      <w:r>
        <w:rPr>
          <w:rFonts w:hint="eastAsia" w:ascii="Times New Roman" w:hAnsi="Times New Roman" w:eastAsia="仿宋" w:cs="Times New Roman"/>
          <w:color w:val="000000"/>
          <w:sz w:val="32"/>
          <w:szCs w:val="32"/>
        </w:rPr>
        <w:t>.00</w:t>
      </w:r>
      <w:r>
        <w:rPr>
          <w:rFonts w:eastAsia="仿宋_GB2312"/>
          <w:sz w:val="32"/>
          <w:szCs w:val="32"/>
        </w:rPr>
        <w:t>万元，主要用于以下方面：</w:t>
      </w:r>
    </w:p>
    <w:p w14:paraId="66FACD67">
      <w:pPr>
        <w:spacing w:line="360" w:lineRule="auto"/>
        <w:ind w:firstLine="641"/>
        <w:rPr>
          <w:rFonts w:eastAsia="仿宋_GB2312"/>
          <w:b/>
          <w:sz w:val="32"/>
          <w:szCs w:val="32"/>
        </w:rPr>
      </w:pPr>
      <w:r>
        <w:rPr>
          <w:rFonts w:eastAsia="仿宋_GB2312"/>
          <w:b/>
          <w:bCs/>
          <w:sz w:val="32"/>
          <w:szCs w:val="32"/>
        </w:rPr>
        <w:t>一般公共服务支出</w:t>
      </w:r>
      <w:r>
        <w:rPr>
          <w:rFonts w:eastAsia="仿宋_GB2312"/>
          <w:sz w:val="32"/>
          <w:szCs w:val="32"/>
        </w:rPr>
        <w:t>1,025.69万元，占</w:t>
      </w:r>
      <w:r>
        <w:rPr>
          <w:rFonts w:hint="eastAsia" w:eastAsia="仿宋_GB2312"/>
          <w:sz w:val="32"/>
          <w:szCs w:val="32"/>
        </w:rPr>
        <w:t>72.74</w:t>
      </w:r>
      <w:r>
        <w:rPr>
          <w:rFonts w:eastAsia="仿宋_GB2312"/>
          <w:sz w:val="32"/>
          <w:szCs w:val="32"/>
        </w:rPr>
        <w:t>%</w:t>
      </w:r>
      <w:r>
        <w:rPr>
          <w:rFonts w:hint="eastAsia" w:eastAsia="仿宋_GB2312"/>
          <w:sz w:val="32"/>
          <w:szCs w:val="32"/>
        </w:rPr>
        <w:t>;</w:t>
      </w:r>
      <w:r>
        <w:rPr>
          <w:rFonts w:eastAsia="仿宋_GB2312"/>
          <w:b/>
          <w:bCs/>
          <w:sz w:val="32"/>
          <w:szCs w:val="32"/>
        </w:rPr>
        <w:t>教育支出</w:t>
      </w:r>
      <w:r>
        <w:rPr>
          <w:rFonts w:eastAsia="仿宋_GB2312"/>
          <w:sz w:val="32"/>
          <w:szCs w:val="32"/>
        </w:rPr>
        <w:t>153.84万元，占</w:t>
      </w:r>
      <w:r>
        <w:rPr>
          <w:rFonts w:hint="eastAsia" w:ascii="Times New Roman" w:hAnsi="Times New Roman" w:eastAsia="仿宋" w:cs="Times New Roman"/>
          <w:color w:val="000000"/>
          <w:sz w:val="32"/>
          <w:szCs w:val="32"/>
        </w:rPr>
        <w:t>10.91</w:t>
      </w:r>
      <w:r>
        <w:rPr>
          <w:rFonts w:hint="default" w:ascii="Times New Roman" w:hAnsi="Times New Roman" w:eastAsia="仿宋" w:cs="Times New Roman"/>
          <w:color w:val="000000"/>
          <w:sz w:val="32"/>
          <w:szCs w:val="32"/>
        </w:rPr>
        <w:t>%</w:t>
      </w:r>
      <w:r>
        <w:rPr>
          <w:rFonts w:hint="eastAsia" w:eastAsia="仿宋_GB2312"/>
          <w:sz w:val="32"/>
          <w:szCs w:val="32"/>
        </w:rPr>
        <w:t>;</w:t>
      </w:r>
      <w:r>
        <w:rPr>
          <w:rFonts w:eastAsia="仿宋_GB2312"/>
          <w:b/>
          <w:bCs/>
          <w:sz w:val="32"/>
          <w:szCs w:val="32"/>
        </w:rPr>
        <w:t>社会保障和就业支出</w:t>
      </w:r>
      <w:r>
        <w:rPr>
          <w:rFonts w:eastAsia="仿宋_GB2312"/>
          <w:sz w:val="32"/>
          <w:szCs w:val="32"/>
        </w:rPr>
        <w:t>132.28万元，占</w:t>
      </w:r>
      <w:r>
        <w:rPr>
          <w:rFonts w:hint="eastAsia" w:eastAsia="仿宋_GB2312"/>
          <w:sz w:val="32"/>
          <w:szCs w:val="32"/>
        </w:rPr>
        <w:t>9.38</w:t>
      </w:r>
      <w:r>
        <w:rPr>
          <w:rFonts w:eastAsia="仿宋_GB2312"/>
          <w:sz w:val="32"/>
          <w:szCs w:val="32"/>
        </w:rPr>
        <w:t>%。</w:t>
      </w:r>
      <w:r>
        <w:rPr>
          <w:rFonts w:eastAsia="仿宋_GB2312"/>
          <w:b/>
          <w:bCs/>
          <w:sz w:val="32"/>
          <w:szCs w:val="32"/>
        </w:rPr>
        <w:t>卫生健康支出</w:t>
      </w:r>
      <w:r>
        <w:rPr>
          <w:rFonts w:eastAsia="仿宋_GB2312"/>
          <w:sz w:val="32"/>
          <w:szCs w:val="32"/>
        </w:rPr>
        <w:t>41.10万元，占</w:t>
      </w:r>
      <w:r>
        <w:rPr>
          <w:rFonts w:hint="eastAsia" w:eastAsia="仿宋_GB2312"/>
          <w:sz w:val="32"/>
          <w:szCs w:val="32"/>
        </w:rPr>
        <w:t>2.91</w:t>
      </w:r>
      <w:r>
        <w:rPr>
          <w:rFonts w:eastAsia="仿宋_GB2312"/>
          <w:sz w:val="32"/>
          <w:szCs w:val="32"/>
        </w:rPr>
        <w:t>%</w:t>
      </w:r>
      <w:r>
        <w:rPr>
          <w:rFonts w:hint="eastAsia" w:eastAsia="仿宋_GB2312"/>
          <w:sz w:val="32"/>
          <w:szCs w:val="32"/>
        </w:rPr>
        <w:t>;</w:t>
      </w:r>
      <w:r>
        <w:rPr>
          <w:rFonts w:eastAsia="仿宋_GB2312"/>
          <w:b/>
          <w:bCs/>
          <w:sz w:val="32"/>
          <w:szCs w:val="32"/>
        </w:rPr>
        <w:t>农林水支出</w:t>
      </w:r>
      <w:r>
        <w:rPr>
          <w:rFonts w:eastAsia="仿宋_GB2312"/>
          <w:sz w:val="32"/>
          <w:szCs w:val="32"/>
        </w:rPr>
        <w:t>5.69万元，占</w:t>
      </w:r>
      <w:r>
        <w:rPr>
          <w:rFonts w:hint="eastAsia" w:eastAsia="仿宋_GB2312"/>
          <w:sz w:val="32"/>
          <w:szCs w:val="32"/>
        </w:rPr>
        <w:t>0.40</w:t>
      </w:r>
      <w:r>
        <w:rPr>
          <w:rFonts w:eastAsia="仿宋_GB2312"/>
          <w:sz w:val="32"/>
          <w:szCs w:val="32"/>
        </w:rPr>
        <w:t>%</w:t>
      </w:r>
      <w:r>
        <w:rPr>
          <w:rFonts w:hint="eastAsia" w:eastAsia="仿宋_GB2312"/>
          <w:sz w:val="32"/>
          <w:szCs w:val="32"/>
        </w:rPr>
        <w:t>;</w:t>
      </w:r>
      <w:r>
        <w:rPr>
          <w:rStyle w:val="22"/>
          <w:rFonts w:eastAsia="仿宋_GB2312"/>
          <w:bCs/>
          <w:sz w:val="32"/>
          <w:szCs w:val="32"/>
        </w:rPr>
        <w:t>住房保障</w:t>
      </w:r>
      <w:r>
        <w:rPr>
          <w:rFonts w:eastAsia="仿宋_GB2312"/>
          <w:sz w:val="32"/>
          <w:szCs w:val="32"/>
        </w:rPr>
        <w:t>51.40万元，占</w:t>
      </w:r>
      <w:r>
        <w:rPr>
          <w:rFonts w:hint="eastAsia" w:eastAsia="仿宋_GB2312"/>
          <w:sz w:val="32"/>
          <w:szCs w:val="32"/>
        </w:rPr>
        <w:t>3.65</w:t>
      </w:r>
      <w:r>
        <w:rPr>
          <w:rFonts w:eastAsia="仿宋_GB2312"/>
          <w:sz w:val="32"/>
          <w:szCs w:val="32"/>
        </w:rPr>
        <w:t>%。</w:t>
      </w:r>
    </w:p>
    <w:p w14:paraId="064AAE1A">
      <w:pPr>
        <w:pStyle w:val="27"/>
        <w:jc w:val="center"/>
        <w:rPr>
          <w:rFonts w:ascii="Times New Roman" w:hAnsi="Times New Roman" w:eastAsia="仿宋_GB2312" w:cs="Times New Roman"/>
          <w:sz w:val="32"/>
          <w:szCs w:val="32"/>
        </w:rPr>
      </w:pPr>
      <w:r>
        <w:drawing>
          <wp:inline distT="0" distB="0" distL="114300" distR="114300">
            <wp:extent cx="4466590" cy="2393950"/>
            <wp:effectExtent l="4445" t="4445" r="12065" b="14605"/>
            <wp:docPr id="134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1217053">
      <w:pPr>
        <w:spacing w:line="560" w:lineRule="exact"/>
        <w:ind w:firstLine="643" w:firstLineChars="200"/>
        <w:rPr>
          <w:rFonts w:eastAsia="仿宋_GB2312"/>
          <w:sz w:val="32"/>
          <w:szCs w:val="32"/>
        </w:rPr>
      </w:pPr>
      <w:r>
        <w:rPr>
          <w:rFonts w:eastAsia="仿宋_GB2312"/>
          <w:b/>
          <w:bCs/>
          <w:sz w:val="32"/>
          <w:szCs w:val="32"/>
        </w:rPr>
        <w:t>（图6：一般公共预算财政拨款支出决算结构）（饼状图）</w:t>
      </w:r>
    </w:p>
    <w:p w14:paraId="34351487">
      <w:pPr>
        <w:spacing w:line="560" w:lineRule="exact"/>
        <w:ind w:firstLine="643" w:firstLineChars="200"/>
        <w:outlineLvl w:val="2"/>
        <w:rPr>
          <w:rFonts w:eastAsia="仿宋_GB2312"/>
          <w:b/>
          <w:bCs/>
          <w:sz w:val="32"/>
          <w:szCs w:val="32"/>
        </w:rPr>
      </w:pPr>
      <w:bookmarkStart w:id="54" w:name="_Toc15377212"/>
      <w:r>
        <w:rPr>
          <w:rFonts w:eastAsia="仿宋_GB2312"/>
          <w:b/>
          <w:bCs/>
          <w:sz w:val="32"/>
          <w:szCs w:val="32"/>
        </w:rPr>
        <w:t>（三）一般公共预算财政拨款支出决算具体情况</w:t>
      </w:r>
      <w:bookmarkEnd w:id="54"/>
    </w:p>
    <w:p w14:paraId="0240F060">
      <w:pPr>
        <w:spacing w:line="560" w:lineRule="exact"/>
        <w:ind w:firstLine="640" w:firstLineChars="200"/>
        <w:rPr>
          <w:rStyle w:val="22"/>
          <w:rFonts w:eastAsia="仿宋_GB2312"/>
          <w:b w:val="0"/>
          <w:bCs/>
          <w:sz w:val="32"/>
          <w:szCs w:val="32"/>
        </w:rPr>
      </w:pPr>
      <w:bookmarkStart w:id="55" w:name="_Toc15377444"/>
      <w:bookmarkStart w:id="56" w:name="_Toc15377213"/>
      <w:bookmarkStart w:id="57" w:name="_Toc15378460"/>
      <w:bookmarkStart w:id="58" w:name="_Toc25701"/>
      <w:bookmarkStart w:id="59" w:name="_Toc20654"/>
      <w:r>
        <w:rPr>
          <w:rFonts w:hint="eastAsia" w:eastAsia="仿宋_GB2312"/>
          <w:bCs/>
          <w:sz w:val="32"/>
          <w:szCs w:val="32"/>
        </w:rPr>
        <w:t>2023</w:t>
      </w:r>
      <w:r>
        <w:rPr>
          <w:rFonts w:eastAsia="仿宋_GB2312"/>
          <w:bCs/>
          <w:sz w:val="32"/>
          <w:szCs w:val="32"/>
        </w:rPr>
        <w:t>年一般公共预算支出决算数为1,410.00万元，</w:t>
      </w:r>
      <w:r>
        <w:rPr>
          <w:rStyle w:val="22"/>
          <w:rFonts w:eastAsia="仿宋_GB2312"/>
          <w:b w:val="0"/>
          <w:bCs/>
          <w:sz w:val="32"/>
          <w:szCs w:val="32"/>
        </w:rPr>
        <w:t>完成预算100%。其中：</w:t>
      </w:r>
      <w:bookmarkEnd w:id="55"/>
      <w:bookmarkEnd w:id="56"/>
      <w:bookmarkEnd w:id="57"/>
      <w:bookmarkEnd w:id="58"/>
      <w:bookmarkEnd w:id="59"/>
    </w:p>
    <w:p w14:paraId="4241416C">
      <w:pPr>
        <w:pStyle w:val="27"/>
        <w:numPr>
          <w:ilvl w:val="0"/>
          <w:numId w:val="2"/>
        </w:numPr>
        <w:spacing w:line="560" w:lineRule="exact"/>
        <w:ind w:firstLine="643" w:firstLineChars="200"/>
        <w:rPr>
          <w:rStyle w:val="22"/>
          <w:rFonts w:ascii="Times New Roman" w:hAnsi="Times New Roman" w:eastAsia="仿宋_GB2312" w:cs="Times New Roman"/>
          <w:b w:val="0"/>
          <w:sz w:val="32"/>
          <w:szCs w:val="32"/>
        </w:rPr>
      </w:pPr>
      <w:r>
        <w:rPr>
          <w:rStyle w:val="22"/>
          <w:rFonts w:ascii="Times New Roman" w:hAnsi="Times New Roman" w:eastAsia="仿宋_GB2312" w:cs="Times New Roman"/>
          <w:bCs/>
          <w:sz w:val="32"/>
          <w:szCs w:val="32"/>
        </w:rPr>
        <w:t>一般公共服务支出（类）民族事务（款）其他民族事务支出（项）：</w:t>
      </w:r>
      <w:r>
        <w:rPr>
          <w:rStyle w:val="22"/>
          <w:rFonts w:ascii="Times New Roman" w:hAnsi="Times New Roman" w:eastAsia="仿宋_GB2312" w:cs="Times New Roman"/>
          <w:b w:val="0"/>
          <w:sz w:val="32"/>
          <w:szCs w:val="32"/>
        </w:rPr>
        <w:t>支出决算为20.00万元，完成预算100%，与预算数持平。</w:t>
      </w:r>
    </w:p>
    <w:p w14:paraId="4712CDC0">
      <w:pPr>
        <w:pStyle w:val="27"/>
        <w:spacing w:line="560" w:lineRule="exact"/>
        <w:ind w:firstLine="643" w:firstLineChars="200"/>
      </w:pPr>
      <w:r>
        <w:rPr>
          <w:rStyle w:val="22"/>
          <w:rFonts w:hint="eastAsia" w:ascii="Times New Roman" w:hAnsi="Times New Roman" w:eastAsia="仿宋_GB2312" w:cs="Times New Roman"/>
          <w:bCs/>
          <w:sz w:val="32"/>
          <w:szCs w:val="32"/>
        </w:rPr>
        <w:t>2</w:t>
      </w:r>
      <w:r>
        <w:rPr>
          <w:rStyle w:val="22"/>
          <w:rFonts w:ascii="Times New Roman" w:hAnsi="Times New Roman" w:eastAsia="仿宋_GB2312" w:cs="Times New Roman"/>
          <w:bCs/>
          <w:sz w:val="32"/>
          <w:szCs w:val="32"/>
        </w:rPr>
        <w:t>、一般公共服务支出（类）党委办公厅（室）及相关机构事务（款）一般行政管理事务（项）：</w:t>
      </w:r>
      <w:r>
        <w:rPr>
          <w:rStyle w:val="22"/>
          <w:rFonts w:ascii="Times New Roman" w:hAnsi="Times New Roman" w:eastAsia="仿宋_GB2312" w:cs="Times New Roman"/>
          <w:b w:val="0"/>
          <w:sz w:val="32"/>
          <w:szCs w:val="32"/>
        </w:rPr>
        <w:t>支出决算为12.00万元，完成预算100%，与预算数持平。</w:t>
      </w:r>
    </w:p>
    <w:p w14:paraId="7B951EE7">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rPr>
        <w:t>3</w:t>
      </w:r>
      <w:r>
        <w:rPr>
          <w:rStyle w:val="22"/>
          <w:rFonts w:ascii="Times New Roman" w:hAnsi="Times New Roman" w:eastAsia="仿宋_GB2312" w:cs="Times New Roman"/>
          <w:bCs/>
          <w:sz w:val="32"/>
          <w:szCs w:val="32"/>
        </w:rPr>
        <w:t>、一般公共服务支出（类）组织事务（款）行政运行（项）：</w:t>
      </w:r>
      <w:r>
        <w:rPr>
          <w:rStyle w:val="22"/>
          <w:rFonts w:ascii="Times New Roman" w:hAnsi="Times New Roman" w:eastAsia="仿宋_GB2312" w:cs="Times New Roman"/>
          <w:b w:val="0"/>
          <w:sz w:val="32"/>
          <w:szCs w:val="32"/>
        </w:rPr>
        <w:t>支出决算为539.46万元，完成预算100%，与预算数持平。</w:t>
      </w:r>
    </w:p>
    <w:p w14:paraId="37779A20">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rPr>
        <w:t>4</w:t>
      </w:r>
      <w:r>
        <w:rPr>
          <w:rStyle w:val="22"/>
          <w:rFonts w:ascii="Times New Roman" w:hAnsi="Times New Roman" w:eastAsia="仿宋_GB2312" w:cs="Times New Roman"/>
          <w:bCs/>
          <w:sz w:val="32"/>
          <w:szCs w:val="32"/>
        </w:rPr>
        <w:t>、一般公共服务支出（类）组织事务（款）一般行政管理事务（项）：</w:t>
      </w:r>
      <w:r>
        <w:rPr>
          <w:rStyle w:val="22"/>
          <w:rFonts w:ascii="Times New Roman" w:hAnsi="Times New Roman" w:eastAsia="仿宋_GB2312" w:cs="Times New Roman"/>
          <w:b w:val="0"/>
          <w:sz w:val="32"/>
          <w:szCs w:val="32"/>
        </w:rPr>
        <w:t>支出决算为326.78万元，完成预算100%，与预算数持平。</w:t>
      </w:r>
    </w:p>
    <w:p w14:paraId="6175A752">
      <w:pPr>
        <w:pStyle w:val="27"/>
        <w:spacing w:line="560" w:lineRule="exact"/>
        <w:ind w:firstLine="643" w:firstLineChars="200"/>
        <w:rPr>
          <w:rStyle w:val="22"/>
          <w:rFonts w:ascii="Times New Roman" w:hAnsi="Times New Roman" w:eastAsia="仿宋_GB2312" w:cs="Times New Roman"/>
          <w:bCs/>
          <w:sz w:val="32"/>
          <w:szCs w:val="32"/>
        </w:rPr>
      </w:pPr>
      <w:r>
        <w:rPr>
          <w:rStyle w:val="22"/>
          <w:rFonts w:hint="eastAsia" w:ascii="Times New Roman" w:hAnsi="Times New Roman" w:eastAsia="仿宋_GB2312" w:cs="Times New Roman"/>
          <w:bCs/>
          <w:sz w:val="32"/>
          <w:szCs w:val="32"/>
        </w:rPr>
        <w:t>5</w:t>
      </w:r>
      <w:r>
        <w:rPr>
          <w:rStyle w:val="22"/>
          <w:rFonts w:ascii="Times New Roman" w:hAnsi="Times New Roman" w:eastAsia="仿宋_GB2312" w:cs="Times New Roman"/>
          <w:bCs/>
          <w:sz w:val="32"/>
          <w:szCs w:val="32"/>
        </w:rPr>
        <w:t>、一般公共服务支出（类）组织事务（款）事业运行（项）：</w:t>
      </w:r>
      <w:r>
        <w:rPr>
          <w:rStyle w:val="22"/>
          <w:rFonts w:ascii="Times New Roman" w:hAnsi="Times New Roman" w:eastAsia="仿宋_GB2312" w:cs="Times New Roman"/>
          <w:b w:val="0"/>
          <w:sz w:val="32"/>
          <w:szCs w:val="32"/>
        </w:rPr>
        <w:t>支出决算为74.75万元，完成预算100%，与预算数持平。</w:t>
      </w:r>
    </w:p>
    <w:p w14:paraId="6C97208B">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rPr>
        <w:t>6</w:t>
      </w:r>
      <w:r>
        <w:rPr>
          <w:rStyle w:val="22"/>
          <w:rFonts w:ascii="Times New Roman" w:hAnsi="Times New Roman" w:eastAsia="仿宋_GB2312" w:cs="Times New Roman"/>
          <w:bCs/>
          <w:sz w:val="32"/>
          <w:szCs w:val="32"/>
        </w:rPr>
        <w:t>、一般公共服务支出（类）组织事务（款）其他组织事务支出（项）：</w:t>
      </w:r>
      <w:r>
        <w:rPr>
          <w:rStyle w:val="22"/>
          <w:rFonts w:ascii="Times New Roman" w:hAnsi="Times New Roman" w:eastAsia="仿宋_GB2312" w:cs="Times New Roman"/>
          <w:b w:val="0"/>
          <w:sz w:val="32"/>
          <w:szCs w:val="32"/>
        </w:rPr>
        <w:t>支出决算为52.70万元，完成预算100%，与预算数持平。</w:t>
      </w:r>
    </w:p>
    <w:p w14:paraId="0A7ACDB2">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rPr>
        <w:t>7</w:t>
      </w:r>
      <w:r>
        <w:rPr>
          <w:rStyle w:val="22"/>
          <w:rFonts w:ascii="Times New Roman" w:hAnsi="Times New Roman" w:eastAsia="仿宋_GB2312" w:cs="Times New Roman"/>
          <w:bCs/>
          <w:sz w:val="32"/>
          <w:szCs w:val="32"/>
        </w:rPr>
        <w:t>、教育支出（类）进修及培训（款）其他进修及培训（项）：</w:t>
      </w:r>
      <w:r>
        <w:rPr>
          <w:rStyle w:val="22"/>
          <w:rFonts w:ascii="Times New Roman" w:hAnsi="Times New Roman" w:eastAsia="仿宋_GB2312" w:cs="Times New Roman"/>
          <w:b w:val="0"/>
          <w:sz w:val="32"/>
          <w:szCs w:val="32"/>
        </w:rPr>
        <w:t>支出决算为121.96万元，完成预算100%，与预算数持平。</w:t>
      </w:r>
    </w:p>
    <w:p w14:paraId="447D4336">
      <w:pPr>
        <w:pStyle w:val="27"/>
        <w:spacing w:line="560" w:lineRule="exact"/>
        <w:ind w:firstLine="643" w:firstLineChars="200"/>
        <w:rPr>
          <w:rStyle w:val="22"/>
          <w:rFonts w:ascii="Times New Roman" w:hAnsi="Times New Roman" w:eastAsia="仿宋_GB2312" w:cs="Times New Roman"/>
          <w:bCs/>
          <w:sz w:val="32"/>
          <w:szCs w:val="32"/>
        </w:rPr>
      </w:pPr>
      <w:r>
        <w:rPr>
          <w:rStyle w:val="22"/>
          <w:rFonts w:hint="eastAsia" w:ascii="Times New Roman" w:hAnsi="Times New Roman" w:eastAsia="仿宋_GB2312" w:cs="Times New Roman"/>
          <w:bCs/>
          <w:sz w:val="32"/>
          <w:szCs w:val="32"/>
        </w:rPr>
        <w:t>8</w:t>
      </w:r>
      <w:r>
        <w:rPr>
          <w:rStyle w:val="22"/>
          <w:rFonts w:ascii="Times New Roman" w:hAnsi="Times New Roman" w:eastAsia="仿宋_GB2312" w:cs="Times New Roman"/>
          <w:bCs/>
          <w:sz w:val="32"/>
          <w:szCs w:val="32"/>
        </w:rPr>
        <w:t>、教育支出（类）其他教育支出（款）其他教育支出（项）：</w:t>
      </w:r>
      <w:r>
        <w:rPr>
          <w:rStyle w:val="22"/>
          <w:rFonts w:ascii="Times New Roman" w:hAnsi="Times New Roman" w:eastAsia="仿宋_GB2312" w:cs="Times New Roman"/>
          <w:b w:val="0"/>
          <w:sz w:val="32"/>
          <w:szCs w:val="32"/>
        </w:rPr>
        <w:t>支出决算为31.87万元，完成预算100%，与预算数持平。</w:t>
      </w:r>
    </w:p>
    <w:p w14:paraId="1B915CCD">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rPr>
        <w:t>9</w:t>
      </w:r>
      <w:r>
        <w:rPr>
          <w:rStyle w:val="22"/>
          <w:rFonts w:ascii="Times New Roman" w:hAnsi="Times New Roman" w:eastAsia="仿宋_GB2312" w:cs="Times New Roman"/>
          <w:bCs/>
          <w:sz w:val="32"/>
          <w:szCs w:val="32"/>
        </w:rPr>
        <w:t>、社会保障和就业支出（类）行政事业单位养老支出（款）机关事业单位基本养老保险缴费支出（项）：</w:t>
      </w:r>
      <w:r>
        <w:rPr>
          <w:rStyle w:val="22"/>
          <w:rFonts w:ascii="Times New Roman" w:hAnsi="Times New Roman" w:eastAsia="仿宋_GB2312" w:cs="Times New Roman"/>
          <w:b w:val="0"/>
          <w:sz w:val="32"/>
          <w:szCs w:val="32"/>
        </w:rPr>
        <w:t>支出决算为66.10万元，完成预算100%，与预算数持平。</w:t>
      </w:r>
    </w:p>
    <w:p w14:paraId="7DA43185">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rPr>
        <w:t>10</w:t>
      </w:r>
      <w:r>
        <w:rPr>
          <w:rStyle w:val="22"/>
          <w:rFonts w:ascii="Times New Roman" w:hAnsi="Times New Roman" w:eastAsia="仿宋_GB2312" w:cs="Times New Roman"/>
          <w:bCs/>
          <w:sz w:val="32"/>
          <w:szCs w:val="32"/>
        </w:rPr>
        <w:t>、社会保障和就业支出（类）行政事业单位养老支出（款）机关事业单位职业年金缴费支出（项）：</w:t>
      </w:r>
      <w:r>
        <w:rPr>
          <w:rStyle w:val="22"/>
          <w:rFonts w:ascii="Times New Roman" w:hAnsi="Times New Roman" w:eastAsia="仿宋_GB2312" w:cs="Times New Roman"/>
          <w:b w:val="0"/>
          <w:sz w:val="32"/>
          <w:szCs w:val="32"/>
        </w:rPr>
        <w:t>支出决算为33.05万元，完成预算100%，与预算数持平。</w:t>
      </w:r>
    </w:p>
    <w:p w14:paraId="7C4CBDD8">
      <w:pPr>
        <w:pStyle w:val="27"/>
        <w:spacing w:line="560" w:lineRule="exact"/>
        <w:ind w:firstLine="643" w:firstLineChars="200"/>
        <w:rPr>
          <w:rStyle w:val="22"/>
          <w:rFonts w:ascii="Times New Roman" w:hAnsi="Times New Roman" w:eastAsia="仿宋_GB2312" w:cs="Times New Roman"/>
          <w:bCs/>
          <w:sz w:val="32"/>
          <w:szCs w:val="32"/>
        </w:rPr>
      </w:pPr>
      <w:r>
        <w:rPr>
          <w:rStyle w:val="22"/>
          <w:rFonts w:hint="eastAsia" w:ascii="Times New Roman" w:hAnsi="Times New Roman" w:eastAsia="仿宋_GB2312" w:cs="Times New Roman"/>
          <w:bCs/>
          <w:sz w:val="32"/>
          <w:szCs w:val="32"/>
        </w:rPr>
        <w:t>11</w:t>
      </w:r>
      <w:r>
        <w:rPr>
          <w:rStyle w:val="22"/>
          <w:rFonts w:ascii="Times New Roman" w:hAnsi="Times New Roman" w:eastAsia="仿宋_GB2312" w:cs="Times New Roman"/>
          <w:bCs/>
          <w:sz w:val="32"/>
          <w:szCs w:val="32"/>
        </w:rPr>
        <w:t>、社会保障和就业支出（类）抚恤（款）机关事业单死亡抚恤（项）：</w:t>
      </w:r>
      <w:r>
        <w:rPr>
          <w:rStyle w:val="22"/>
          <w:rFonts w:ascii="Times New Roman" w:hAnsi="Times New Roman" w:eastAsia="仿宋_GB2312" w:cs="Times New Roman"/>
          <w:b w:val="0"/>
          <w:sz w:val="32"/>
          <w:szCs w:val="32"/>
        </w:rPr>
        <w:t>支出决算为33.14万元，完成预算100%，与预算数持平。</w:t>
      </w:r>
    </w:p>
    <w:p w14:paraId="628E3FEE">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rPr>
        <w:t>12</w:t>
      </w:r>
      <w:r>
        <w:rPr>
          <w:rStyle w:val="22"/>
          <w:rFonts w:ascii="Times New Roman" w:hAnsi="Times New Roman" w:eastAsia="仿宋_GB2312" w:cs="Times New Roman"/>
          <w:bCs/>
          <w:sz w:val="32"/>
          <w:szCs w:val="32"/>
        </w:rPr>
        <w:t>、卫生健康支出（类）行政事业单位医疗（款）行政单位医疗（项）：</w:t>
      </w:r>
      <w:r>
        <w:rPr>
          <w:rStyle w:val="22"/>
          <w:rFonts w:ascii="Times New Roman" w:hAnsi="Times New Roman" w:eastAsia="仿宋_GB2312" w:cs="Times New Roman"/>
          <w:b w:val="0"/>
          <w:sz w:val="32"/>
          <w:szCs w:val="32"/>
        </w:rPr>
        <w:t>支出决算为28.12万元，完成预算100%，与预算数持平。</w:t>
      </w:r>
    </w:p>
    <w:p w14:paraId="49353693">
      <w:pPr>
        <w:pStyle w:val="27"/>
        <w:spacing w:line="560" w:lineRule="exact"/>
        <w:ind w:firstLine="643" w:firstLineChars="200"/>
        <w:rPr>
          <w:rFonts w:ascii="Times New Roman" w:hAnsi="Times New Roman" w:eastAsia="仿宋_GB2312" w:cs="Times New Roman"/>
          <w:b/>
          <w:sz w:val="32"/>
          <w:szCs w:val="32"/>
        </w:rPr>
      </w:pPr>
      <w:r>
        <w:rPr>
          <w:rStyle w:val="22"/>
          <w:rFonts w:hint="eastAsia" w:ascii="Times New Roman" w:hAnsi="Times New Roman" w:eastAsia="仿宋_GB2312" w:cs="Times New Roman"/>
          <w:bCs/>
          <w:sz w:val="32"/>
          <w:szCs w:val="32"/>
        </w:rPr>
        <w:t>13</w:t>
      </w:r>
      <w:r>
        <w:rPr>
          <w:rStyle w:val="22"/>
          <w:rFonts w:ascii="Times New Roman" w:hAnsi="Times New Roman" w:eastAsia="仿宋_GB2312" w:cs="Times New Roman"/>
          <w:bCs/>
          <w:sz w:val="32"/>
          <w:szCs w:val="32"/>
        </w:rPr>
        <w:t>、卫生健康支出（类）行政事业单位医疗（款）事业单位医疗（项）：</w:t>
      </w:r>
      <w:r>
        <w:rPr>
          <w:rStyle w:val="22"/>
          <w:rFonts w:ascii="Times New Roman" w:hAnsi="Times New Roman" w:eastAsia="仿宋_GB2312" w:cs="Times New Roman"/>
          <w:b w:val="0"/>
          <w:sz w:val="32"/>
          <w:szCs w:val="32"/>
        </w:rPr>
        <w:t>支出决算为4.55万元，完成预算100%，与预算数持平。</w:t>
      </w:r>
    </w:p>
    <w:p w14:paraId="77797CFE">
      <w:pPr>
        <w:pStyle w:val="27"/>
        <w:spacing w:line="560" w:lineRule="exact"/>
        <w:ind w:firstLine="643" w:firstLineChars="200"/>
        <w:rPr>
          <w:rFonts w:ascii="Times New Roman" w:hAnsi="Times New Roman" w:eastAsia="仿宋_GB2312" w:cs="Times New Roman"/>
          <w:b/>
          <w:sz w:val="32"/>
          <w:szCs w:val="32"/>
        </w:rPr>
      </w:pPr>
      <w:r>
        <w:rPr>
          <w:rStyle w:val="22"/>
          <w:rFonts w:ascii="Times New Roman" w:hAnsi="Times New Roman" w:eastAsia="仿宋_GB2312" w:cs="Times New Roman"/>
          <w:bCs/>
          <w:sz w:val="32"/>
          <w:szCs w:val="32"/>
        </w:rPr>
        <w:t>1</w:t>
      </w:r>
      <w:r>
        <w:rPr>
          <w:rStyle w:val="22"/>
          <w:rFonts w:hint="eastAsia" w:ascii="Times New Roman" w:hAnsi="Times New Roman" w:eastAsia="仿宋_GB2312" w:cs="Times New Roman"/>
          <w:bCs/>
          <w:sz w:val="32"/>
          <w:szCs w:val="32"/>
        </w:rPr>
        <w:t>4</w:t>
      </w:r>
      <w:r>
        <w:rPr>
          <w:rStyle w:val="22"/>
          <w:rFonts w:ascii="Times New Roman" w:hAnsi="Times New Roman" w:eastAsia="仿宋_GB2312" w:cs="Times New Roman"/>
          <w:bCs/>
          <w:sz w:val="32"/>
          <w:szCs w:val="32"/>
        </w:rPr>
        <w:t>、卫生健康支出（类）行政事业单位医疗（款）公务员医疗补助（项）：</w:t>
      </w:r>
      <w:r>
        <w:rPr>
          <w:rStyle w:val="22"/>
          <w:rFonts w:ascii="Times New Roman" w:hAnsi="Times New Roman" w:eastAsia="仿宋_GB2312" w:cs="Times New Roman"/>
          <w:b w:val="0"/>
          <w:sz w:val="32"/>
          <w:szCs w:val="32"/>
        </w:rPr>
        <w:t>支出决算为7.45万元，完成预算100%，与预算数持平。</w:t>
      </w:r>
    </w:p>
    <w:p w14:paraId="2CFE84AF">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ascii="Times New Roman" w:hAnsi="Times New Roman" w:eastAsia="仿宋_GB2312" w:cs="Times New Roman"/>
          <w:bCs/>
          <w:sz w:val="32"/>
          <w:szCs w:val="32"/>
        </w:rPr>
        <w:t>1</w:t>
      </w:r>
      <w:r>
        <w:rPr>
          <w:rStyle w:val="22"/>
          <w:rFonts w:hint="eastAsia" w:ascii="Times New Roman" w:hAnsi="Times New Roman" w:eastAsia="仿宋_GB2312" w:cs="Times New Roman"/>
          <w:bCs/>
          <w:sz w:val="32"/>
          <w:szCs w:val="32"/>
        </w:rPr>
        <w:t>5</w:t>
      </w:r>
      <w:r>
        <w:rPr>
          <w:rStyle w:val="22"/>
          <w:rFonts w:ascii="Times New Roman" w:hAnsi="Times New Roman" w:eastAsia="仿宋_GB2312" w:cs="Times New Roman"/>
          <w:bCs/>
          <w:sz w:val="32"/>
          <w:szCs w:val="32"/>
        </w:rPr>
        <w:t>、卫生健康支出（类）行政事业单位医疗（款）其他行政事业单位医疗支出（项）：</w:t>
      </w:r>
      <w:r>
        <w:rPr>
          <w:rStyle w:val="22"/>
          <w:rFonts w:ascii="Times New Roman" w:hAnsi="Times New Roman" w:eastAsia="仿宋_GB2312" w:cs="Times New Roman"/>
          <w:b w:val="0"/>
          <w:sz w:val="32"/>
          <w:szCs w:val="32"/>
        </w:rPr>
        <w:t>支出决算为0.99万元，完成预算100%，与预算数持平。</w:t>
      </w:r>
    </w:p>
    <w:p w14:paraId="6C4032E5">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ascii="Times New Roman" w:hAnsi="Times New Roman" w:eastAsia="仿宋_GB2312" w:cs="Times New Roman"/>
          <w:bCs/>
          <w:sz w:val="32"/>
          <w:szCs w:val="32"/>
        </w:rPr>
        <w:t>1</w:t>
      </w:r>
      <w:r>
        <w:rPr>
          <w:rStyle w:val="22"/>
          <w:rFonts w:hint="eastAsia" w:ascii="Times New Roman" w:hAnsi="Times New Roman" w:eastAsia="仿宋_GB2312" w:cs="Times New Roman"/>
          <w:bCs/>
          <w:sz w:val="32"/>
          <w:szCs w:val="32"/>
        </w:rPr>
        <w:t>6</w:t>
      </w:r>
      <w:r>
        <w:rPr>
          <w:rStyle w:val="22"/>
          <w:rFonts w:ascii="Times New Roman" w:hAnsi="Times New Roman" w:eastAsia="仿宋_GB2312" w:cs="Times New Roman"/>
          <w:bCs/>
          <w:sz w:val="32"/>
          <w:szCs w:val="32"/>
        </w:rPr>
        <w:t>、农林水支出（类）</w:t>
      </w:r>
      <w:r>
        <w:rPr>
          <w:rStyle w:val="22"/>
          <w:rFonts w:hint="eastAsia" w:ascii="Times New Roman" w:hAnsi="Times New Roman" w:eastAsia="仿宋_GB2312" w:cs="Times New Roman"/>
          <w:bCs/>
          <w:sz w:val="32"/>
          <w:szCs w:val="32"/>
          <w:lang w:eastAsia="zh-CN"/>
        </w:rPr>
        <w:t>巩固拓展脱贫攻坚成果衔接乡村振兴</w:t>
      </w:r>
      <w:r>
        <w:rPr>
          <w:rStyle w:val="22"/>
          <w:rFonts w:ascii="Times New Roman" w:hAnsi="Times New Roman" w:eastAsia="仿宋_GB2312" w:cs="Times New Roman"/>
          <w:bCs/>
          <w:sz w:val="32"/>
          <w:szCs w:val="32"/>
        </w:rPr>
        <w:t>（款）其他</w:t>
      </w:r>
      <w:r>
        <w:rPr>
          <w:rStyle w:val="22"/>
          <w:rFonts w:hint="eastAsia" w:ascii="Times New Roman" w:hAnsi="Times New Roman" w:eastAsia="仿宋_GB2312" w:cs="Times New Roman"/>
          <w:bCs/>
          <w:sz w:val="32"/>
          <w:szCs w:val="32"/>
          <w:lang w:eastAsia="zh-CN"/>
        </w:rPr>
        <w:t>巩固拓展脱贫攻坚成果衔接乡村振兴</w:t>
      </w:r>
      <w:r>
        <w:rPr>
          <w:rStyle w:val="22"/>
          <w:rFonts w:ascii="Times New Roman" w:hAnsi="Times New Roman" w:eastAsia="仿宋_GB2312" w:cs="Times New Roman"/>
          <w:bCs/>
          <w:sz w:val="32"/>
          <w:szCs w:val="32"/>
        </w:rPr>
        <w:t>支出（项）：</w:t>
      </w:r>
      <w:r>
        <w:rPr>
          <w:rStyle w:val="22"/>
          <w:rFonts w:ascii="Times New Roman" w:hAnsi="Times New Roman" w:eastAsia="仿宋_GB2312" w:cs="Times New Roman"/>
          <w:b w:val="0"/>
          <w:sz w:val="32"/>
          <w:szCs w:val="32"/>
        </w:rPr>
        <w:t>支出决算为1.32万元，完成预算100%，与预算数持平。</w:t>
      </w:r>
    </w:p>
    <w:p w14:paraId="2C9A4089">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ascii="Times New Roman" w:hAnsi="Times New Roman" w:eastAsia="仿宋_GB2312" w:cs="Times New Roman"/>
          <w:bCs/>
          <w:sz w:val="32"/>
          <w:szCs w:val="32"/>
        </w:rPr>
        <w:t>1</w:t>
      </w:r>
      <w:r>
        <w:rPr>
          <w:rStyle w:val="22"/>
          <w:rFonts w:hint="eastAsia" w:ascii="Times New Roman" w:hAnsi="Times New Roman" w:eastAsia="仿宋_GB2312" w:cs="Times New Roman"/>
          <w:bCs/>
          <w:sz w:val="32"/>
          <w:szCs w:val="32"/>
        </w:rPr>
        <w:t>7</w:t>
      </w:r>
      <w:r>
        <w:rPr>
          <w:rStyle w:val="22"/>
          <w:rFonts w:ascii="Times New Roman" w:hAnsi="Times New Roman" w:eastAsia="仿宋_GB2312" w:cs="Times New Roman"/>
          <w:bCs/>
          <w:sz w:val="32"/>
          <w:szCs w:val="32"/>
        </w:rPr>
        <w:t>、农林水支出（类）农村综合改革（款）对村民委员会和村党支部的补助（项）：</w:t>
      </w:r>
      <w:r>
        <w:rPr>
          <w:rStyle w:val="22"/>
          <w:rFonts w:ascii="Times New Roman" w:hAnsi="Times New Roman" w:eastAsia="仿宋_GB2312" w:cs="Times New Roman"/>
          <w:b w:val="0"/>
          <w:sz w:val="32"/>
          <w:szCs w:val="32"/>
        </w:rPr>
        <w:t>支出决算为4.37万元，完成预算100%，与预算数持平。</w:t>
      </w:r>
    </w:p>
    <w:p w14:paraId="688EDCC2">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ascii="Times New Roman" w:hAnsi="Times New Roman" w:eastAsia="仿宋_GB2312" w:cs="Times New Roman"/>
          <w:bCs/>
          <w:sz w:val="32"/>
          <w:szCs w:val="32"/>
        </w:rPr>
        <w:t>1</w:t>
      </w:r>
      <w:r>
        <w:rPr>
          <w:rStyle w:val="22"/>
          <w:rFonts w:hint="eastAsia" w:ascii="Times New Roman" w:hAnsi="Times New Roman" w:eastAsia="仿宋_GB2312" w:cs="Times New Roman"/>
          <w:bCs/>
          <w:sz w:val="32"/>
          <w:szCs w:val="32"/>
        </w:rPr>
        <w:t>8</w:t>
      </w:r>
      <w:r>
        <w:rPr>
          <w:rStyle w:val="22"/>
          <w:rFonts w:ascii="Times New Roman" w:hAnsi="Times New Roman" w:eastAsia="仿宋_GB2312" w:cs="Times New Roman"/>
          <w:bCs/>
          <w:sz w:val="32"/>
          <w:szCs w:val="32"/>
        </w:rPr>
        <w:t>、住房保障支出（类）住房改革支出（款）住房公积金（项）：</w:t>
      </w:r>
      <w:r>
        <w:rPr>
          <w:rStyle w:val="22"/>
          <w:rFonts w:ascii="Times New Roman" w:hAnsi="Times New Roman" w:eastAsia="仿宋_GB2312" w:cs="Times New Roman"/>
          <w:b w:val="0"/>
          <w:sz w:val="32"/>
          <w:szCs w:val="32"/>
        </w:rPr>
        <w:t>支出决算为49.96万元，完成预算100%，与预算数持平。</w:t>
      </w:r>
    </w:p>
    <w:p w14:paraId="5C752679">
      <w:pPr>
        <w:pStyle w:val="27"/>
        <w:spacing w:line="560" w:lineRule="exact"/>
        <w:ind w:firstLine="643" w:firstLineChars="200"/>
        <w:rPr>
          <w:rStyle w:val="22"/>
          <w:rFonts w:ascii="Times New Roman" w:hAnsi="Times New Roman" w:eastAsia="仿宋_GB2312" w:cs="Times New Roman"/>
          <w:b w:val="0"/>
          <w:sz w:val="32"/>
          <w:szCs w:val="32"/>
        </w:rPr>
      </w:pPr>
      <w:bookmarkStart w:id="60" w:name="_Toc15377214"/>
      <w:bookmarkStart w:id="61" w:name="_Toc8255"/>
      <w:bookmarkStart w:id="62" w:name="_Toc15396608"/>
      <w:r>
        <w:rPr>
          <w:rStyle w:val="22"/>
          <w:rFonts w:ascii="Times New Roman" w:hAnsi="Times New Roman" w:eastAsia="仿宋_GB2312" w:cs="Times New Roman"/>
          <w:bCs/>
          <w:sz w:val="32"/>
          <w:szCs w:val="32"/>
        </w:rPr>
        <w:t>1</w:t>
      </w:r>
      <w:r>
        <w:rPr>
          <w:rStyle w:val="22"/>
          <w:rFonts w:hint="eastAsia" w:ascii="Times New Roman" w:hAnsi="Times New Roman" w:eastAsia="仿宋_GB2312" w:cs="Times New Roman"/>
          <w:bCs/>
          <w:sz w:val="32"/>
          <w:szCs w:val="32"/>
        </w:rPr>
        <w:t>9</w:t>
      </w:r>
      <w:r>
        <w:rPr>
          <w:rStyle w:val="22"/>
          <w:rFonts w:ascii="Times New Roman" w:hAnsi="Times New Roman" w:eastAsia="仿宋_GB2312" w:cs="Times New Roman"/>
          <w:bCs/>
          <w:sz w:val="32"/>
          <w:szCs w:val="32"/>
        </w:rPr>
        <w:t>、住房保障支出（类）住房改革支出（款）购房补贴（项）：</w:t>
      </w:r>
      <w:r>
        <w:rPr>
          <w:rStyle w:val="22"/>
          <w:rFonts w:ascii="Times New Roman" w:hAnsi="Times New Roman" w:eastAsia="仿宋_GB2312" w:cs="Times New Roman"/>
          <w:b w:val="0"/>
          <w:sz w:val="32"/>
          <w:szCs w:val="32"/>
        </w:rPr>
        <w:t>支出决算为1.44万元，完成预算100%，与预算数持平。</w:t>
      </w:r>
    </w:p>
    <w:p w14:paraId="735C5F1D">
      <w:pPr>
        <w:spacing w:line="560" w:lineRule="exact"/>
        <w:ind w:firstLine="643" w:firstLineChars="200"/>
        <w:outlineLvl w:val="1"/>
        <w:rPr>
          <w:rFonts w:ascii="楷体_GB2312" w:hAnsi="楷体_GB2312" w:eastAsia="楷体_GB2312" w:cs="楷体_GB2312"/>
          <w:b/>
          <w:bCs/>
          <w:sz w:val="32"/>
          <w:szCs w:val="32"/>
        </w:rPr>
      </w:pPr>
      <w:bookmarkStart w:id="63" w:name="_Toc21683"/>
      <w:r>
        <w:rPr>
          <w:rFonts w:ascii="楷体_GB2312" w:hAnsi="楷体_GB2312" w:eastAsia="楷体_GB2312" w:cs="楷体_GB2312"/>
          <w:b/>
          <w:bCs/>
          <w:sz w:val="32"/>
          <w:szCs w:val="32"/>
        </w:rPr>
        <w:t>六、一般公共预算财政拨款基本支出决算情况说明</w:t>
      </w:r>
      <w:bookmarkEnd w:id="60"/>
      <w:bookmarkEnd w:id="61"/>
      <w:bookmarkEnd w:id="62"/>
      <w:bookmarkEnd w:id="63"/>
      <w:r>
        <w:rPr>
          <w:rFonts w:ascii="楷体_GB2312" w:hAnsi="楷体_GB2312" w:eastAsia="楷体_GB2312" w:cs="楷体_GB2312"/>
          <w:b/>
          <w:bCs/>
          <w:sz w:val="32"/>
          <w:szCs w:val="32"/>
        </w:rPr>
        <w:tab/>
      </w:r>
    </w:p>
    <w:p w14:paraId="5D442BBF">
      <w:pPr>
        <w:spacing w:line="560" w:lineRule="exact"/>
        <w:ind w:firstLine="645"/>
        <w:rPr>
          <w:rFonts w:eastAsia="仿宋_GB2312"/>
          <w:sz w:val="32"/>
          <w:szCs w:val="32"/>
        </w:rPr>
      </w:pPr>
      <w:r>
        <w:rPr>
          <w:rFonts w:hint="eastAsia" w:eastAsia="仿宋_GB2312"/>
          <w:sz w:val="32"/>
          <w:szCs w:val="32"/>
        </w:rPr>
        <w:t>2023</w:t>
      </w:r>
      <w:r>
        <w:rPr>
          <w:rFonts w:eastAsia="仿宋_GB2312"/>
          <w:sz w:val="32"/>
          <w:szCs w:val="32"/>
        </w:rPr>
        <w:t>年一般公共预算财政拨款基本支出838.99万元，其中：</w:t>
      </w:r>
    </w:p>
    <w:p w14:paraId="53182C8F">
      <w:pPr>
        <w:spacing w:line="560" w:lineRule="exact"/>
        <w:ind w:firstLine="645"/>
        <w:rPr>
          <w:rFonts w:eastAsia="仿宋_GB2312"/>
          <w:sz w:val="32"/>
          <w:szCs w:val="32"/>
        </w:rPr>
      </w:pPr>
      <w:r>
        <w:rPr>
          <w:rFonts w:eastAsia="仿宋_GB2312"/>
          <w:sz w:val="32"/>
          <w:szCs w:val="32"/>
        </w:rPr>
        <w:t>人员经费800.97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02742624">
      <w:pPr>
        <w:spacing w:line="560" w:lineRule="exact"/>
        <w:ind w:firstLine="645"/>
        <w:rPr>
          <w:rFonts w:eastAsia="仿宋_GB2312"/>
          <w:b/>
          <w:sz w:val="32"/>
          <w:szCs w:val="32"/>
        </w:rPr>
      </w:pPr>
      <w:r>
        <w:rPr>
          <w:rFonts w:eastAsia="仿宋_GB2312"/>
          <w:sz w:val="32"/>
          <w:szCs w:val="32"/>
        </w:rPr>
        <w:t>公用经费38.02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2CA1B4AA">
      <w:pPr>
        <w:spacing w:line="560" w:lineRule="exact"/>
        <w:ind w:firstLine="643" w:firstLineChars="200"/>
        <w:outlineLvl w:val="1"/>
        <w:rPr>
          <w:rFonts w:ascii="楷体_GB2312" w:hAnsi="楷体_GB2312" w:eastAsia="楷体_GB2312" w:cs="楷体_GB2312"/>
          <w:b/>
          <w:bCs/>
          <w:sz w:val="32"/>
          <w:szCs w:val="32"/>
        </w:rPr>
      </w:pPr>
      <w:bookmarkStart w:id="64" w:name="_Toc17931"/>
      <w:bookmarkStart w:id="65" w:name="_Toc18665"/>
      <w:bookmarkStart w:id="66" w:name="_Toc15396609"/>
      <w:bookmarkStart w:id="67" w:name="_Toc15377215"/>
      <w:r>
        <w:rPr>
          <w:rFonts w:ascii="楷体_GB2312" w:hAnsi="楷体_GB2312" w:eastAsia="楷体_GB2312" w:cs="楷体_GB2312"/>
          <w:b/>
          <w:bCs/>
          <w:sz w:val="32"/>
          <w:szCs w:val="32"/>
        </w:rPr>
        <w:t>七、“三公”经费财政拨款支出决算情况说明</w:t>
      </w:r>
      <w:bookmarkEnd w:id="64"/>
      <w:bookmarkEnd w:id="65"/>
      <w:bookmarkEnd w:id="66"/>
      <w:bookmarkEnd w:id="67"/>
    </w:p>
    <w:p w14:paraId="608557C0">
      <w:pPr>
        <w:spacing w:line="560" w:lineRule="exact"/>
        <w:ind w:firstLine="640"/>
        <w:outlineLvl w:val="2"/>
        <w:rPr>
          <w:rFonts w:eastAsia="仿宋_GB2312"/>
          <w:b/>
          <w:sz w:val="32"/>
          <w:szCs w:val="32"/>
        </w:rPr>
      </w:pPr>
      <w:bookmarkStart w:id="68" w:name="_Toc15377216"/>
      <w:r>
        <w:rPr>
          <w:rFonts w:eastAsia="仿宋_GB2312"/>
          <w:b/>
          <w:sz w:val="32"/>
          <w:szCs w:val="32"/>
        </w:rPr>
        <w:t>（一）“三公”经费财政拨款支出决算总体情况说明</w:t>
      </w:r>
      <w:bookmarkEnd w:id="68"/>
    </w:p>
    <w:p w14:paraId="28C42BE1">
      <w:pPr>
        <w:spacing w:line="560" w:lineRule="exact"/>
        <w:ind w:firstLine="640"/>
        <w:rPr>
          <w:rFonts w:eastAsia="仿宋_GB2312"/>
          <w:sz w:val="32"/>
          <w:szCs w:val="32"/>
        </w:rPr>
      </w:pPr>
      <w:r>
        <w:rPr>
          <w:rFonts w:hint="eastAsia" w:eastAsia="仿宋_GB2312"/>
          <w:sz w:val="32"/>
          <w:szCs w:val="32"/>
        </w:rPr>
        <w:t>2023</w:t>
      </w:r>
      <w:r>
        <w:rPr>
          <w:rFonts w:eastAsia="仿宋_GB2312"/>
          <w:sz w:val="32"/>
          <w:szCs w:val="32"/>
        </w:rPr>
        <w:t>年“三公”经费财政拨款支出决算为15.91万元，完成预算100%，与预算数持平。</w:t>
      </w:r>
    </w:p>
    <w:p w14:paraId="7B4A9F69">
      <w:pPr>
        <w:spacing w:line="560" w:lineRule="exact"/>
        <w:ind w:firstLine="640"/>
        <w:outlineLvl w:val="2"/>
        <w:rPr>
          <w:rFonts w:eastAsia="仿宋_GB2312"/>
          <w:b/>
          <w:sz w:val="32"/>
          <w:szCs w:val="32"/>
        </w:rPr>
      </w:pPr>
      <w:bookmarkStart w:id="69" w:name="_Toc15377217"/>
      <w:r>
        <w:rPr>
          <w:rFonts w:eastAsia="仿宋_GB2312"/>
          <w:b/>
          <w:sz w:val="32"/>
          <w:szCs w:val="32"/>
        </w:rPr>
        <w:t>（二）“三公”经费财政拨款支出决算具体情况说明</w:t>
      </w:r>
      <w:bookmarkEnd w:id="69"/>
    </w:p>
    <w:p w14:paraId="4AE42343">
      <w:pPr>
        <w:spacing w:line="560" w:lineRule="exact"/>
        <w:ind w:firstLine="640"/>
        <w:rPr>
          <w:rFonts w:eastAsia="仿宋_GB2312"/>
          <w:sz w:val="32"/>
          <w:szCs w:val="32"/>
        </w:rPr>
      </w:pPr>
      <w:r>
        <w:rPr>
          <w:rFonts w:hint="eastAsia" w:eastAsia="仿宋_GB2312"/>
          <w:sz w:val="32"/>
          <w:szCs w:val="32"/>
        </w:rPr>
        <w:t>2023</w:t>
      </w:r>
      <w:r>
        <w:rPr>
          <w:rFonts w:eastAsia="仿宋_GB2312"/>
          <w:sz w:val="32"/>
          <w:szCs w:val="32"/>
        </w:rPr>
        <w:t>年“三公”经费财政拨款支出决算中，因公出国（境）费支出决算0万元，占0%；公务用车购置及运行维护费支出决算15.91万元，占</w:t>
      </w:r>
      <w:r>
        <w:rPr>
          <w:rFonts w:hint="eastAsia" w:eastAsia="仿宋_GB2312"/>
          <w:sz w:val="32"/>
          <w:szCs w:val="32"/>
        </w:rPr>
        <w:t>100</w:t>
      </w:r>
      <w:r>
        <w:rPr>
          <w:rFonts w:eastAsia="仿宋_GB2312"/>
          <w:sz w:val="32"/>
          <w:szCs w:val="32"/>
        </w:rPr>
        <w:t>%；公务接待费支出决算</w:t>
      </w:r>
      <w:r>
        <w:rPr>
          <w:rFonts w:hint="eastAsia" w:eastAsia="仿宋_GB2312"/>
          <w:sz w:val="32"/>
          <w:szCs w:val="32"/>
        </w:rPr>
        <w:t>0</w:t>
      </w:r>
      <w:r>
        <w:rPr>
          <w:rFonts w:eastAsia="仿宋_GB2312"/>
          <w:sz w:val="32"/>
          <w:szCs w:val="32"/>
        </w:rPr>
        <w:t>万元，占</w:t>
      </w:r>
      <w:r>
        <w:rPr>
          <w:rFonts w:hint="eastAsia" w:eastAsia="仿宋_GB2312"/>
          <w:sz w:val="32"/>
          <w:szCs w:val="32"/>
        </w:rPr>
        <w:t>0</w:t>
      </w:r>
      <w:r>
        <w:rPr>
          <w:rFonts w:eastAsia="仿宋_GB2312"/>
          <w:sz w:val="32"/>
          <w:szCs w:val="32"/>
        </w:rPr>
        <w:t>%。具体情况如下：</w:t>
      </w:r>
    </w:p>
    <w:p w14:paraId="35BCEEB4">
      <w:pPr>
        <w:pStyle w:val="27"/>
        <w:jc w:val="center"/>
        <w:rPr>
          <w:rFonts w:ascii="Times New Roman" w:hAnsi="Times New Roman" w:eastAsia="仿宋_GB2312" w:cs="Times New Roman"/>
          <w:sz w:val="32"/>
          <w:szCs w:val="32"/>
        </w:rPr>
      </w:pPr>
      <w:r>
        <w:drawing>
          <wp:inline distT="0" distB="0" distL="114300" distR="114300">
            <wp:extent cx="4623435" cy="2080895"/>
            <wp:effectExtent l="4445" t="4445" r="7620" b="10160"/>
            <wp:docPr id="134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D7B2970">
      <w:pPr>
        <w:spacing w:line="560" w:lineRule="exact"/>
        <w:ind w:firstLine="640"/>
        <w:rPr>
          <w:rFonts w:eastAsia="仿宋_GB2312"/>
          <w:sz w:val="32"/>
          <w:szCs w:val="32"/>
        </w:rPr>
      </w:pPr>
      <w:r>
        <w:rPr>
          <w:rFonts w:eastAsia="仿宋_GB2312"/>
          <w:sz w:val="32"/>
          <w:szCs w:val="32"/>
        </w:rPr>
        <w:t>（图7：“三公”经费财政拨款支出结构）（饼状图）</w:t>
      </w:r>
    </w:p>
    <w:p w14:paraId="1D405BAC">
      <w:pPr>
        <w:spacing w:line="560" w:lineRule="exact"/>
        <w:ind w:firstLine="640"/>
        <w:rPr>
          <w:rFonts w:eastAsia="仿宋_GB2312"/>
          <w:b/>
          <w:sz w:val="32"/>
          <w:szCs w:val="32"/>
        </w:rPr>
      </w:pPr>
      <w:r>
        <w:rPr>
          <w:rFonts w:eastAsia="仿宋_GB2312"/>
          <w:b/>
          <w:sz w:val="32"/>
          <w:szCs w:val="32"/>
        </w:rPr>
        <w:t>1、因公出国（境）经费支出</w:t>
      </w:r>
      <w:r>
        <w:rPr>
          <w:rFonts w:eastAsia="仿宋_GB2312"/>
          <w:sz w:val="32"/>
          <w:szCs w:val="32"/>
        </w:rPr>
        <w:t>0万元，</w:t>
      </w:r>
      <w:r>
        <w:rPr>
          <w:rStyle w:val="22"/>
          <w:rFonts w:eastAsia="仿宋_GB2312"/>
          <w:b w:val="0"/>
          <w:bCs/>
          <w:sz w:val="32"/>
          <w:szCs w:val="32"/>
        </w:rPr>
        <w:t>完成预算0%。</w:t>
      </w:r>
      <w:r>
        <w:rPr>
          <w:rFonts w:eastAsia="仿宋_GB2312"/>
          <w:sz w:val="32"/>
          <w:szCs w:val="32"/>
        </w:rPr>
        <w:t>全年安排因公出国（境）团组0次，出国（境）0人。因公出国（境）支出决算比</w:t>
      </w:r>
      <w:r>
        <w:rPr>
          <w:rFonts w:hint="eastAsia" w:eastAsia="仿宋_GB2312"/>
          <w:sz w:val="32"/>
          <w:szCs w:val="32"/>
        </w:rPr>
        <w:t>2022</w:t>
      </w:r>
      <w:r>
        <w:rPr>
          <w:rFonts w:eastAsia="仿宋_GB2312"/>
          <w:sz w:val="32"/>
          <w:szCs w:val="32"/>
        </w:rPr>
        <w:t>年增加/减少0万元，增长/下降0%。主要原因是未安排因公出国（境）。</w:t>
      </w:r>
    </w:p>
    <w:p w14:paraId="1EAB878C">
      <w:pPr>
        <w:spacing w:line="560" w:lineRule="exact"/>
        <w:ind w:firstLine="640"/>
        <w:rPr>
          <w:rFonts w:eastAsia="仿宋_GB2312"/>
          <w:b/>
          <w:sz w:val="32"/>
          <w:szCs w:val="32"/>
        </w:rPr>
      </w:pPr>
      <w:r>
        <w:rPr>
          <w:rFonts w:eastAsia="仿宋_GB2312"/>
          <w:b/>
          <w:sz w:val="32"/>
          <w:szCs w:val="32"/>
        </w:rPr>
        <w:t>2、公务用车购置及运行维护费支出；</w:t>
      </w:r>
      <w:r>
        <w:rPr>
          <w:rFonts w:eastAsia="仿宋_GB2312"/>
          <w:color w:val="000000"/>
          <w:sz w:val="32"/>
          <w:szCs w:val="32"/>
        </w:rPr>
        <w:t>15.91</w:t>
      </w:r>
      <w:r>
        <w:rPr>
          <w:rFonts w:eastAsia="仿宋_GB2312"/>
          <w:sz w:val="32"/>
          <w:szCs w:val="32"/>
        </w:rPr>
        <w:t>万元，</w:t>
      </w:r>
      <w:r>
        <w:rPr>
          <w:rStyle w:val="22"/>
          <w:rFonts w:eastAsia="仿宋_GB2312"/>
          <w:b w:val="0"/>
          <w:bCs/>
          <w:sz w:val="32"/>
          <w:szCs w:val="32"/>
        </w:rPr>
        <w:t>完成预算</w:t>
      </w:r>
      <w:r>
        <w:rPr>
          <w:rFonts w:eastAsia="仿宋_GB2312"/>
          <w:color w:val="000000"/>
          <w:sz w:val="32"/>
          <w:szCs w:val="32"/>
          <w:lang w:val="zh-CN"/>
        </w:rPr>
        <w:t>100%</w:t>
      </w:r>
      <w:r>
        <w:rPr>
          <w:rStyle w:val="22"/>
          <w:rFonts w:eastAsia="仿宋_GB2312"/>
          <w:b w:val="0"/>
          <w:bCs/>
          <w:sz w:val="32"/>
          <w:szCs w:val="32"/>
        </w:rPr>
        <w:t>。</w:t>
      </w:r>
      <w:r>
        <w:rPr>
          <w:rFonts w:eastAsia="仿宋_GB2312"/>
          <w:sz w:val="32"/>
          <w:szCs w:val="32"/>
        </w:rPr>
        <w:t>公务用车购置及运行维护费支出决算比</w:t>
      </w:r>
      <w:r>
        <w:rPr>
          <w:rFonts w:hint="eastAsia" w:eastAsia="仿宋_GB2312"/>
          <w:sz w:val="32"/>
          <w:szCs w:val="32"/>
        </w:rPr>
        <w:t>2022</w:t>
      </w:r>
      <w:r>
        <w:rPr>
          <w:rFonts w:eastAsia="仿宋_GB2312"/>
          <w:sz w:val="32"/>
          <w:szCs w:val="32"/>
        </w:rPr>
        <w:t>年减少6.33万元，降低28.45%。</w:t>
      </w:r>
      <w:r>
        <w:rPr>
          <w:rFonts w:hint="eastAsia" w:eastAsia="仿宋_GB2312"/>
          <w:sz w:val="32"/>
          <w:szCs w:val="32"/>
        </w:rPr>
        <w:t>主要原因是厉行节约</w:t>
      </w:r>
      <w:r>
        <w:rPr>
          <w:rFonts w:eastAsia="仿宋_GB2312"/>
          <w:sz w:val="32"/>
          <w:szCs w:val="32"/>
        </w:rPr>
        <w:t>，基本支出减少</w:t>
      </w:r>
      <w:r>
        <w:rPr>
          <w:rFonts w:hint="eastAsia" w:eastAsia="仿宋_GB2312"/>
          <w:sz w:val="32"/>
          <w:szCs w:val="32"/>
        </w:rPr>
        <w:t>，</w:t>
      </w:r>
      <w:r>
        <w:rPr>
          <w:rFonts w:hint="eastAsia" w:eastAsia="仿宋_GB2312"/>
          <w:sz w:val="32"/>
          <w:szCs w:val="32"/>
          <w:lang w:eastAsia="zh-CN"/>
        </w:rPr>
        <w:t>“三公”经费</w:t>
      </w:r>
      <w:r>
        <w:rPr>
          <w:rFonts w:eastAsia="仿宋_GB2312"/>
          <w:sz w:val="32"/>
          <w:szCs w:val="32"/>
        </w:rPr>
        <w:t>减少</w:t>
      </w:r>
      <w:r>
        <w:rPr>
          <w:rFonts w:hint="eastAsia" w:eastAsia="仿宋_GB2312"/>
          <w:sz w:val="32"/>
          <w:szCs w:val="32"/>
        </w:rPr>
        <w:t>。</w:t>
      </w:r>
    </w:p>
    <w:p w14:paraId="2801ADD7">
      <w:pPr>
        <w:spacing w:line="560" w:lineRule="exact"/>
        <w:ind w:firstLine="640" w:firstLineChars="200"/>
        <w:rPr>
          <w:rFonts w:eastAsia="仿宋_GB2312"/>
          <w:b/>
          <w:sz w:val="32"/>
          <w:szCs w:val="32"/>
        </w:rPr>
      </w:pPr>
      <w:r>
        <w:rPr>
          <w:rFonts w:eastAsia="仿宋_GB2312"/>
          <w:sz w:val="32"/>
          <w:szCs w:val="32"/>
        </w:rPr>
        <w:t>其中：</w:t>
      </w:r>
      <w:r>
        <w:rPr>
          <w:rFonts w:eastAsia="仿宋_GB2312"/>
          <w:b/>
          <w:sz w:val="32"/>
          <w:szCs w:val="32"/>
        </w:rPr>
        <w:t>公务用车购置支出</w:t>
      </w:r>
      <w:r>
        <w:rPr>
          <w:rFonts w:eastAsia="仿宋_GB2312"/>
          <w:sz w:val="32"/>
          <w:szCs w:val="32"/>
        </w:rPr>
        <w:t>0万元。全年按规定更新购置公务用车0辆，其中：轿车0辆、金额0万元，越野车0辆、金额0万元，载客汽车0辆、金额0万元。</w:t>
      </w:r>
      <w:r>
        <w:rPr>
          <w:rFonts w:hint="eastAsia" w:eastAsia="仿宋_GB2312"/>
          <w:sz w:val="32"/>
          <w:szCs w:val="32"/>
          <w:lang w:eastAsia="zh-CN"/>
        </w:rPr>
        <w:t>截止</w:t>
      </w:r>
      <w:r>
        <w:rPr>
          <w:rFonts w:hint="eastAsia" w:eastAsia="仿宋_GB2312"/>
          <w:sz w:val="32"/>
          <w:szCs w:val="32"/>
        </w:rPr>
        <w:t>2023</w:t>
      </w:r>
      <w:r>
        <w:rPr>
          <w:rFonts w:eastAsia="仿宋_GB2312"/>
          <w:sz w:val="32"/>
          <w:szCs w:val="32"/>
        </w:rPr>
        <w:t>年12月底，单位共有公务用车2辆，其中：轿车</w:t>
      </w:r>
      <w:r>
        <w:rPr>
          <w:rFonts w:hint="eastAsia" w:eastAsia="仿宋_GB2312"/>
          <w:sz w:val="32"/>
          <w:szCs w:val="32"/>
        </w:rPr>
        <w:t>0</w:t>
      </w:r>
      <w:r>
        <w:rPr>
          <w:rFonts w:eastAsia="仿宋_GB2312"/>
          <w:sz w:val="32"/>
          <w:szCs w:val="32"/>
        </w:rPr>
        <w:t>辆、越野车</w:t>
      </w:r>
      <w:r>
        <w:rPr>
          <w:rFonts w:hint="eastAsia" w:eastAsia="仿宋_GB2312"/>
          <w:sz w:val="32"/>
          <w:szCs w:val="32"/>
        </w:rPr>
        <w:t>2</w:t>
      </w:r>
      <w:r>
        <w:rPr>
          <w:rFonts w:eastAsia="仿宋_GB2312"/>
          <w:sz w:val="32"/>
          <w:szCs w:val="32"/>
        </w:rPr>
        <w:t>辆、载客汽车</w:t>
      </w:r>
      <w:r>
        <w:rPr>
          <w:rFonts w:hint="eastAsia" w:eastAsia="仿宋_GB2312"/>
          <w:sz w:val="32"/>
          <w:szCs w:val="32"/>
        </w:rPr>
        <w:t>0</w:t>
      </w:r>
      <w:r>
        <w:rPr>
          <w:rFonts w:eastAsia="仿宋_GB2312"/>
          <w:sz w:val="32"/>
          <w:szCs w:val="32"/>
        </w:rPr>
        <w:t>辆。</w:t>
      </w:r>
    </w:p>
    <w:p w14:paraId="7F096D43">
      <w:pPr>
        <w:spacing w:line="560" w:lineRule="exact"/>
        <w:ind w:firstLine="640"/>
        <w:rPr>
          <w:rFonts w:eastAsia="仿宋_GB2312"/>
          <w:sz w:val="32"/>
          <w:szCs w:val="32"/>
        </w:rPr>
      </w:pPr>
      <w:r>
        <w:rPr>
          <w:rFonts w:eastAsia="仿宋_GB2312"/>
          <w:b/>
          <w:sz w:val="32"/>
          <w:szCs w:val="32"/>
        </w:rPr>
        <w:t>公务用车运行维护费支出</w:t>
      </w:r>
      <w:r>
        <w:rPr>
          <w:rFonts w:eastAsia="仿宋_GB2312"/>
          <w:sz w:val="32"/>
          <w:szCs w:val="32"/>
        </w:rPr>
        <w:t>；</w:t>
      </w:r>
      <w:r>
        <w:rPr>
          <w:rFonts w:eastAsia="仿宋_GB2312"/>
          <w:color w:val="000000"/>
          <w:sz w:val="32"/>
          <w:szCs w:val="32"/>
        </w:rPr>
        <w:t>15.91</w:t>
      </w:r>
      <w:r>
        <w:rPr>
          <w:rFonts w:eastAsia="仿宋_GB2312"/>
          <w:sz w:val="32"/>
          <w:szCs w:val="32"/>
        </w:rPr>
        <w:t>万元。</w:t>
      </w:r>
      <w:r>
        <w:rPr>
          <w:rStyle w:val="22"/>
          <w:rFonts w:eastAsia="仿宋_GB2312"/>
          <w:b w:val="0"/>
          <w:bCs/>
          <w:sz w:val="32"/>
          <w:szCs w:val="32"/>
        </w:rPr>
        <w:t>完成预算100%。</w:t>
      </w:r>
      <w:r>
        <w:rPr>
          <w:rFonts w:eastAsia="仿宋_GB2312"/>
          <w:sz w:val="32"/>
          <w:szCs w:val="32"/>
        </w:rPr>
        <w:t>主要用于所需的公务用车燃料费、维修费、过路过桥费、保险费等支出。</w:t>
      </w:r>
    </w:p>
    <w:p w14:paraId="5C379310">
      <w:pPr>
        <w:spacing w:line="560" w:lineRule="exact"/>
        <w:ind w:firstLine="643" w:firstLineChars="200"/>
        <w:rPr>
          <w:rFonts w:eastAsia="仿宋_GB2312"/>
          <w:sz w:val="32"/>
          <w:szCs w:val="32"/>
        </w:rPr>
      </w:pPr>
      <w:r>
        <w:rPr>
          <w:rFonts w:eastAsia="仿宋_GB2312"/>
          <w:b/>
          <w:bCs/>
          <w:sz w:val="32"/>
          <w:szCs w:val="32"/>
        </w:rPr>
        <w:t>3、公务接待费支出：</w:t>
      </w:r>
      <w:r>
        <w:rPr>
          <w:rFonts w:hint="eastAsia" w:eastAsia="仿宋_GB2312"/>
          <w:sz w:val="32"/>
          <w:szCs w:val="32"/>
        </w:rPr>
        <w:t>0</w:t>
      </w:r>
      <w:r>
        <w:rPr>
          <w:rFonts w:eastAsia="仿宋_GB2312"/>
          <w:sz w:val="32"/>
          <w:szCs w:val="32"/>
        </w:rPr>
        <w:t>万元，完成预算</w:t>
      </w:r>
      <w:r>
        <w:rPr>
          <w:rFonts w:hint="eastAsia" w:eastAsia="仿宋_GB2312"/>
          <w:sz w:val="32"/>
          <w:szCs w:val="32"/>
        </w:rPr>
        <w:t>0</w:t>
      </w:r>
      <w:r>
        <w:rPr>
          <w:rFonts w:eastAsia="仿宋_GB2312"/>
          <w:sz w:val="32"/>
          <w:szCs w:val="32"/>
        </w:rPr>
        <w:t>%。公务接待费支出决算比</w:t>
      </w:r>
      <w:r>
        <w:rPr>
          <w:rFonts w:hint="eastAsia" w:eastAsia="仿宋_GB2312"/>
          <w:sz w:val="32"/>
          <w:szCs w:val="32"/>
        </w:rPr>
        <w:t>2022</w:t>
      </w:r>
      <w:r>
        <w:rPr>
          <w:rFonts w:eastAsia="仿宋_GB2312"/>
          <w:sz w:val="32"/>
          <w:szCs w:val="32"/>
        </w:rPr>
        <w:t>年减少0</w:t>
      </w:r>
      <w:r>
        <w:rPr>
          <w:rFonts w:hint="eastAsia" w:eastAsia="仿宋_GB2312"/>
          <w:sz w:val="32"/>
          <w:szCs w:val="32"/>
        </w:rPr>
        <w:t>.24</w:t>
      </w:r>
      <w:r>
        <w:rPr>
          <w:rFonts w:eastAsia="仿宋_GB2312"/>
          <w:sz w:val="32"/>
          <w:szCs w:val="32"/>
        </w:rPr>
        <w:t>万元，下降</w:t>
      </w:r>
      <w:r>
        <w:rPr>
          <w:rFonts w:hint="eastAsia" w:eastAsia="仿宋_GB2312"/>
          <w:sz w:val="32"/>
          <w:szCs w:val="32"/>
        </w:rPr>
        <w:t>100</w:t>
      </w:r>
      <w:r>
        <w:rPr>
          <w:rFonts w:eastAsia="仿宋_GB2312"/>
          <w:sz w:val="32"/>
          <w:szCs w:val="32"/>
        </w:rPr>
        <w:t>%。</w:t>
      </w:r>
      <w:r>
        <w:rPr>
          <w:rFonts w:hint="eastAsia" w:eastAsia="仿宋_GB2312"/>
          <w:sz w:val="32"/>
          <w:szCs w:val="32"/>
        </w:rPr>
        <w:t>主要原因是本年无公务接待费支出。</w:t>
      </w:r>
    </w:p>
    <w:p w14:paraId="45B32C29">
      <w:pPr>
        <w:spacing w:line="560" w:lineRule="exact"/>
        <w:ind w:firstLine="643" w:firstLineChars="200"/>
        <w:rPr>
          <w:rFonts w:eastAsia="仿宋_GB2312"/>
          <w:sz w:val="32"/>
          <w:szCs w:val="32"/>
        </w:rPr>
      </w:pPr>
      <w:r>
        <w:rPr>
          <w:rFonts w:eastAsia="仿宋_GB2312"/>
          <w:b/>
          <w:bCs/>
          <w:sz w:val="32"/>
          <w:szCs w:val="32"/>
        </w:rPr>
        <w:t>4、国内公务接待支出</w:t>
      </w:r>
      <w:r>
        <w:rPr>
          <w:rFonts w:hint="eastAsia" w:eastAsia="仿宋_GB2312"/>
          <w:sz w:val="32"/>
          <w:szCs w:val="32"/>
        </w:rPr>
        <w:t>0</w:t>
      </w:r>
      <w:r>
        <w:rPr>
          <w:rFonts w:eastAsia="仿宋_GB2312"/>
          <w:sz w:val="32"/>
          <w:szCs w:val="32"/>
        </w:rPr>
        <w:t>万元，主要用于执行公务、开展业务活动开支的交通费、住宿费、用餐费等，共计支出</w:t>
      </w:r>
      <w:r>
        <w:rPr>
          <w:rFonts w:hint="eastAsia" w:eastAsia="仿宋_GB2312"/>
          <w:sz w:val="32"/>
          <w:szCs w:val="32"/>
        </w:rPr>
        <w:t>0</w:t>
      </w:r>
      <w:r>
        <w:rPr>
          <w:rFonts w:eastAsia="仿宋_GB2312"/>
          <w:sz w:val="32"/>
          <w:szCs w:val="32"/>
        </w:rPr>
        <w:t>万元。</w:t>
      </w:r>
    </w:p>
    <w:p w14:paraId="02EE8295">
      <w:pPr>
        <w:spacing w:line="560" w:lineRule="exact"/>
        <w:ind w:firstLine="643" w:firstLineChars="200"/>
        <w:rPr>
          <w:rFonts w:eastAsia="仿宋_GB2312"/>
          <w:sz w:val="32"/>
          <w:szCs w:val="32"/>
        </w:rPr>
      </w:pPr>
      <w:r>
        <w:rPr>
          <w:rFonts w:eastAsia="仿宋_GB2312"/>
          <w:b/>
          <w:sz w:val="32"/>
          <w:szCs w:val="32"/>
        </w:rPr>
        <w:t>5、外事接待支出：</w:t>
      </w:r>
      <w:r>
        <w:rPr>
          <w:rFonts w:eastAsia="仿宋_GB2312"/>
          <w:sz w:val="32"/>
          <w:szCs w:val="32"/>
        </w:rPr>
        <w:t>0万元，外事接待0批次，0人，共计支出0万元。</w:t>
      </w:r>
      <w:bookmarkStart w:id="70" w:name="_Toc15396610"/>
      <w:bookmarkStart w:id="71" w:name="_Toc15377218"/>
    </w:p>
    <w:p w14:paraId="28C6CB62">
      <w:pPr>
        <w:spacing w:line="560" w:lineRule="exact"/>
        <w:ind w:firstLine="643" w:firstLineChars="200"/>
        <w:outlineLvl w:val="1"/>
        <w:rPr>
          <w:rFonts w:ascii="楷体_GB2312" w:hAnsi="楷体_GB2312" w:eastAsia="楷体_GB2312" w:cs="楷体_GB2312"/>
          <w:b/>
          <w:bCs/>
          <w:sz w:val="32"/>
          <w:szCs w:val="32"/>
        </w:rPr>
      </w:pPr>
      <w:bookmarkStart w:id="72" w:name="_Toc9058"/>
      <w:bookmarkStart w:id="73" w:name="_Toc24764"/>
      <w:r>
        <w:rPr>
          <w:rFonts w:ascii="楷体_GB2312" w:hAnsi="楷体_GB2312" w:eastAsia="楷体_GB2312" w:cs="楷体_GB2312"/>
          <w:b/>
          <w:bCs/>
          <w:sz w:val="32"/>
          <w:szCs w:val="32"/>
        </w:rPr>
        <w:t>八、政府性基金预算支出决算情况说明</w:t>
      </w:r>
      <w:bookmarkEnd w:id="70"/>
      <w:bookmarkEnd w:id="71"/>
      <w:bookmarkEnd w:id="72"/>
      <w:bookmarkEnd w:id="73"/>
    </w:p>
    <w:p w14:paraId="526CD255">
      <w:pPr>
        <w:spacing w:line="560" w:lineRule="exact"/>
        <w:ind w:firstLine="640"/>
        <w:rPr>
          <w:rFonts w:eastAsia="仿宋_GB2312"/>
          <w:bCs/>
          <w:sz w:val="32"/>
          <w:szCs w:val="32"/>
        </w:rPr>
      </w:pPr>
      <w:r>
        <w:rPr>
          <w:rFonts w:hint="eastAsia" w:eastAsia="仿宋_GB2312"/>
          <w:bCs/>
          <w:sz w:val="32"/>
          <w:szCs w:val="32"/>
        </w:rPr>
        <w:t>2023</w:t>
      </w:r>
      <w:r>
        <w:rPr>
          <w:rFonts w:eastAsia="仿宋_GB2312"/>
          <w:bCs/>
          <w:sz w:val="32"/>
          <w:szCs w:val="32"/>
        </w:rPr>
        <w:t>年政府性基金预算财政拨款支出0万元。</w:t>
      </w:r>
    </w:p>
    <w:p w14:paraId="4384A125">
      <w:pPr>
        <w:numPr>
          <w:ilvl w:val="0"/>
          <w:numId w:val="3"/>
        </w:numPr>
        <w:spacing w:line="560" w:lineRule="exact"/>
        <w:ind w:firstLine="643" w:firstLineChars="200"/>
        <w:outlineLvl w:val="1"/>
        <w:rPr>
          <w:rFonts w:ascii="楷体_GB2312" w:hAnsi="楷体_GB2312" w:eastAsia="楷体_GB2312" w:cs="楷体_GB2312"/>
          <w:b/>
          <w:bCs/>
          <w:sz w:val="32"/>
          <w:szCs w:val="32"/>
        </w:rPr>
      </w:pPr>
      <w:bookmarkStart w:id="74" w:name="_Toc2135"/>
      <w:bookmarkStart w:id="75" w:name="_Toc15377219"/>
      <w:bookmarkStart w:id="76" w:name="_Toc30173"/>
      <w:bookmarkStart w:id="77" w:name="_Toc15396611"/>
      <w:r>
        <w:rPr>
          <w:rFonts w:ascii="楷体_GB2312" w:hAnsi="楷体_GB2312" w:eastAsia="楷体_GB2312" w:cs="楷体_GB2312"/>
          <w:b/>
          <w:bCs/>
          <w:sz w:val="32"/>
          <w:szCs w:val="32"/>
        </w:rPr>
        <w:t>国有资本经营预算支出决算情况说明</w:t>
      </w:r>
      <w:bookmarkEnd w:id="74"/>
      <w:bookmarkEnd w:id="75"/>
      <w:bookmarkEnd w:id="76"/>
      <w:bookmarkEnd w:id="77"/>
    </w:p>
    <w:p w14:paraId="23FB0F22">
      <w:pPr>
        <w:spacing w:line="560" w:lineRule="exact"/>
        <w:ind w:firstLine="640"/>
        <w:rPr>
          <w:rFonts w:eastAsia="仿宋_GB2312"/>
          <w:sz w:val="32"/>
          <w:szCs w:val="32"/>
        </w:rPr>
      </w:pPr>
      <w:bookmarkStart w:id="78" w:name="_Toc15377221"/>
      <w:bookmarkStart w:id="79" w:name="_Toc15396612"/>
      <w:bookmarkStart w:id="80" w:name="_Toc10892"/>
      <w:r>
        <w:rPr>
          <w:rFonts w:hint="eastAsia" w:eastAsia="仿宋_GB2312"/>
          <w:bCs/>
          <w:sz w:val="32"/>
          <w:szCs w:val="32"/>
        </w:rPr>
        <w:t>2023</w:t>
      </w:r>
      <w:r>
        <w:rPr>
          <w:rFonts w:eastAsia="仿宋_GB2312"/>
          <w:bCs/>
          <w:sz w:val="32"/>
          <w:szCs w:val="32"/>
        </w:rPr>
        <w:t>年国有资本经营预算财政拨款支出0万元。</w:t>
      </w:r>
    </w:p>
    <w:p w14:paraId="42B530E6">
      <w:pPr>
        <w:spacing w:line="560" w:lineRule="exact"/>
        <w:ind w:firstLine="643" w:firstLineChars="200"/>
        <w:outlineLvl w:val="1"/>
        <w:rPr>
          <w:rFonts w:ascii="楷体_GB2312" w:hAnsi="楷体_GB2312" w:eastAsia="楷体_GB2312" w:cs="楷体_GB2312"/>
          <w:b/>
          <w:bCs/>
          <w:sz w:val="32"/>
          <w:szCs w:val="32"/>
        </w:rPr>
      </w:pPr>
      <w:bookmarkStart w:id="81" w:name="_Toc28490"/>
      <w:r>
        <w:rPr>
          <w:rFonts w:hint="eastAsia" w:ascii="楷体_GB2312" w:hAnsi="楷体_GB2312" w:eastAsia="楷体_GB2312" w:cs="楷体_GB2312"/>
          <w:b/>
          <w:bCs/>
          <w:sz w:val="32"/>
          <w:szCs w:val="32"/>
        </w:rPr>
        <w:t>十、</w:t>
      </w:r>
      <w:r>
        <w:rPr>
          <w:rFonts w:ascii="楷体_GB2312" w:hAnsi="楷体_GB2312" w:eastAsia="楷体_GB2312" w:cs="楷体_GB2312"/>
          <w:b/>
          <w:bCs/>
          <w:sz w:val="32"/>
          <w:szCs w:val="32"/>
        </w:rPr>
        <w:t>其他重要事项的情况说明</w:t>
      </w:r>
      <w:bookmarkEnd w:id="78"/>
      <w:bookmarkEnd w:id="79"/>
      <w:bookmarkEnd w:id="80"/>
      <w:bookmarkEnd w:id="81"/>
    </w:p>
    <w:p w14:paraId="321BB4E1">
      <w:pPr>
        <w:spacing w:line="560" w:lineRule="exact"/>
        <w:ind w:firstLine="643" w:firstLineChars="200"/>
        <w:outlineLvl w:val="2"/>
        <w:rPr>
          <w:rFonts w:eastAsia="仿宋_GB2312"/>
          <w:b/>
          <w:sz w:val="32"/>
          <w:szCs w:val="32"/>
        </w:rPr>
      </w:pPr>
      <w:bookmarkStart w:id="82" w:name="_Toc15377222"/>
      <w:r>
        <w:rPr>
          <w:rFonts w:eastAsia="仿宋_GB2312"/>
          <w:b/>
          <w:sz w:val="32"/>
          <w:szCs w:val="32"/>
        </w:rPr>
        <w:t>（一）机关运行经费支出情况</w:t>
      </w:r>
      <w:bookmarkEnd w:id="82"/>
    </w:p>
    <w:p w14:paraId="00056AC9">
      <w:pPr>
        <w:spacing w:line="560" w:lineRule="exact"/>
        <w:ind w:firstLine="640" w:firstLineChars="200"/>
        <w:rPr>
          <w:rFonts w:eastAsia="仿宋_GB2312"/>
          <w:sz w:val="32"/>
          <w:szCs w:val="32"/>
        </w:rPr>
      </w:pPr>
      <w:r>
        <w:rPr>
          <w:rFonts w:hint="eastAsia" w:eastAsia="仿宋_GB2312"/>
          <w:sz w:val="32"/>
          <w:szCs w:val="32"/>
        </w:rPr>
        <w:t>2023</w:t>
      </w:r>
      <w:r>
        <w:rPr>
          <w:rFonts w:eastAsia="仿宋_GB2312"/>
          <w:sz w:val="32"/>
          <w:szCs w:val="32"/>
        </w:rPr>
        <w:t>年，机关运行经费支出</w:t>
      </w:r>
      <w:r>
        <w:rPr>
          <w:rFonts w:eastAsia="仿宋_GB2312"/>
          <w:color w:val="000000"/>
          <w:sz w:val="32"/>
          <w:szCs w:val="32"/>
          <w:lang w:val="zh-CN"/>
        </w:rPr>
        <w:t>34.07</w:t>
      </w:r>
      <w:r>
        <w:rPr>
          <w:rFonts w:eastAsia="仿宋_GB2312"/>
          <w:sz w:val="32"/>
          <w:szCs w:val="32"/>
        </w:rPr>
        <w:t>万元，比</w:t>
      </w:r>
      <w:r>
        <w:rPr>
          <w:rFonts w:hint="eastAsia" w:eastAsia="仿宋_GB2312"/>
          <w:sz w:val="32"/>
          <w:szCs w:val="32"/>
        </w:rPr>
        <w:t>2022</w:t>
      </w:r>
      <w:r>
        <w:rPr>
          <w:rFonts w:eastAsia="仿宋_GB2312"/>
          <w:sz w:val="32"/>
          <w:szCs w:val="32"/>
        </w:rPr>
        <w:t>年减少15.84万元，降低31.73%，主要原因是</w:t>
      </w:r>
      <w:r>
        <w:rPr>
          <w:rFonts w:hint="eastAsia" w:eastAsia="仿宋_GB2312"/>
          <w:sz w:val="32"/>
          <w:szCs w:val="32"/>
        </w:rPr>
        <w:t>厉行节约</w:t>
      </w:r>
      <w:r>
        <w:rPr>
          <w:rFonts w:eastAsia="仿宋_GB2312"/>
          <w:sz w:val="32"/>
          <w:szCs w:val="32"/>
        </w:rPr>
        <w:t>，基本支出减少。。</w:t>
      </w:r>
    </w:p>
    <w:p w14:paraId="56099DC2">
      <w:pPr>
        <w:autoSpaceDE w:val="0"/>
        <w:autoSpaceDN w:val="0"/>
        <w:adjustRightInd w:val="0"/>
        <w:spacing w:line="560" w:lineRule="exact"/>
        <w:ind w:firstLine="643" w:firstLineChars="200"/>
        <w:jc w:val="left"/>
        <w:outlineLvl w:val="2"/>
        <w:rPr>
          <w:rFonts w:eastAsia="仿宋_GB2312"/>
          <w:b/>
          <w:sz w:val="32"/>
          <w:szCs w:val="32"/>
        </w:rPr>
      </w:pPr>
      <w:bookmarkStart w:id="83" w:name="_Toc15377223"/>
      <w:r>
        <w:rPr>
          <w:rFonts w:eastAsia="仿宋_GB2312"/>
          <w:b/>
          <w:sz w:val="32"/>
          <w:szCs w:val="32"/>
        </w:rPr>
        <w:t>（二）政府采购支出情况</w:t>
      </w:r>
      <w:bookmarkEnd w:id="83"/>
    </w:p>
    <w:p w14:paraId="7BAE1802">
      <w:pPr>
        <w:spacing w:line="560" w:lineRule="exact"/>
        <w:ind w:firstLine="640" w:firstLineChars="200"/>
        <w:rPr>
          <w:rFonts w:eastAsia="仿宋_GB2312"/>
          <w:sz w:val="32"/>
          <w:szCs w:val="32"/>
        </w:rPr>
      </w:pPr>
      <w:r>
        <w:rPr>
          <w:rFonts w:hint="eastAsia" w:eastAsia="仿宋_GB2312"/>
          <w:sz w:val="32"/>
          <w:szCs w:val="32"/>
        </w:rPr>
        <w:t>2023</w:t>
      </w:r>
      <w:r>
        <w:rPr>
          <w:rFonts w:eastAsia="仿宋_GB2312"/>
          <w:sz w:val="32"/>
          <w:szCs w:val="32"/>
        </w:rPr>
        <w:t>年，政府采购支出总额</w:t>
      </w:r>
      <w:r>
        <w:rPr>
          <w:rFonts w:eastAsia="仿宋_GB2312"/>
          <w:sz w:val="32"/>
          <w:szCs w:val="32"/>
          <w:lang w:val="zh-CN"/>
        </w:rPr>
        <w:t>9.41</w:t>
      </w:r>
      <w:r>
        <w:rPr>
          <w:rFonts w:eastAsia="仿宋_GB2312"/>
          <w:sz w:val="32"/>
          <w:szCs w:val="32"/>
        </w:rPr>
        <w:t>万元，其中：政府采购货物支出9.41万元、政府采购工程支出</w:t>
      </w:r>
      <w:r>
        <w:rPr>
          <w:rFonts w:hint="eastAsia" w:eastAsia="仿宋_GB2312"/>
          <w:sz w:val="32"/>
          <w:szCs w:val="32"/>
          <w:lang w:val="en-US" w:eastAsia="zh-CN"/>
        </w:rPr>
        <w:t>0</w:t>
      </w:r>
      <w:r>
        <w:rPr>
          <w:rFonts w:eastAsia="仿宋_GB2312"/>
          <w:sz w:val="32"/>
          <w:szCs w:val="32"/>
        </w:rPr>
        <w:t>万元、政府采购服务支出</w:t>
      </w:r>
      <w:r>
        <w:rPr>
          <w:rFonts w:eastAsia="仿宋_GB2312"/>
          <w:color w:val="000000"/>
          <w:sz w:val="32"/>
          <w:szCs w:val="32"/>
        </w:rPr>
        <w:t>0</w:t>
      </w:r>
      <w:r>
        <w:rPr>
          <w:rFonts w:eastAsia="仿宋_GB2312"/>
          <w:sz w:val="32"/>
          <w:szCs w:val="32"/>
        </w:rPr>
        <w:t>万元。</w:t>
      </w:r>
      <w:r>
        <w:rPr>
          <w:rFonts w:hint="eastAsia" w:ascii="仿宋_GB2312" w:eastAsia="仿宋_GB2312"/>
          <w:color w:val="000000"/>
          <w:sz w:val="32"/>
          <w:szCs w:val="32"/>
        </w:rPr>
        <w:t>授予中小企业合同金额</w:t>
      </w:r>
      <w:r>
        <w:rPr>
          <w:rFonts w:eastAsia="仿宋_GB2312"/>
          <w:sz w:val="32"/>
          <w:szCs w:val="32"/>
        </w:rPr>
        <w:t>9.41</w:t>
      </w:r>
      <w:r>
        <w:rPr>
          <w:rFonts w:hint="eastAsia" w:ascii="仿宋_GB2312" w:eastAsia="仿宋_GB2312"/>
          <w:color w:val="000000"/>
          <w:sz w:val="32"/>
          <w:szCs w:val="32"/>
        </w:rPr>
        <w:t>万元，占政府采购支出总额的</w:t>
      </w:r>
      <w:r>
        <w:rPr>
          <w:rFonts w:hint="eastAsia" w:eastAsia="仿宋_GB2312"/>
          <w:color w:val="000000"/>
          <w:sz w:val="32"/>
          <w:szCs w:val="32"/>
        </w:rPr>
        <w:t>100%</w:t>
      </w:r>
      <w:r>
        <w:rPr>
          <w:rFonts w:hint="eastAsia" w:ascii="仿宋_GB2312" w:eastAsia="仿宋_GB2312"/>
          <w:color w:val="000000"/>
          <w:sz w:val="32"/>
          <w:szCs w:val="32"/>
        </w:rPr>
        <w:t>，其中：授予小微企业合同金额</w:t>
      </w:r>
      <w:r>
        <w:rPr>
          <w:rFonts w:eastAsia="仿宋_GB2312"/>
          <w:color w:val="000000"/>
          <w:sz w:val="32"/>
          <w:szCs w:val="32"/>
        </w:rPr>
        <w:t>0</w:t>
      </w:r>
      <w:r>
        <w:rPr>
          <w:rFonts w:hint="eastAsia" w:ascii="仿宋_GB2312" w:eastAsia="仿宋_GB2312"/>
          <w:color w:val="000000"/>
          <w:sz w:val="32"/>
          <w:szCs w:val="32"/>
        </w:rPr>
        <w:t>万元，占政府采购支出总额的</w:t>
      </w:r>
      <w:r>
        <w:rPr>
          <w:rFonts w:hint="eastAsia" w:eastAsia="仿宋_GB2312"/>
          <w:color w:val="000000"/>
          <w:sz w:val="32"/>
          <w:szCs w:val="32"/>
        </w:rPr>
        <w:t>0%</w:t>
      </w:r>
      <w:r>
        <w:rPr>
          <w:rFonts w:hint="eastAsia" w:ascii="仿宋_GB2312" w:eastAsia="仿宋_GB2312"/>
          <w:color w:val="000000"/>
          <w:sz w:val="32"/>
          <w:szCs w:val="32"/>
        </w:rPr>
        <w:t>。</w:t>
      </w:r>
    </w:p>
    <w:p w14:paraId="5E5ACE05">
      <w:pPr>
        <w:autoSpaceDE w:val="0"/>
        <w:autoSpaceDN w:val="0"/>
        <w:adjustRightInd w:val="0"/>
        <w:spacing w:line="560" w:lineRule="exact"/>
        <w:ind w:firstLine="643" w:firstLineChars="200"/>
        <w:jc w:val="left"/>
        <w:outlineLvl w:val="2"/>
        <w:rPr>
          <w:rFonts w:eastAsia="仿宋_GB2312"/>
          <w:b/>
          <w:sz w:val="32"/>
          <w:szCs w:val="32"/>
        </w:rPr>
      </w:pPr>
      <w:bookmarkStart w:id="84" w:name="_Toc15377224"/>
      <w:r>
        <w:rPr>
          <w:rFonts w:eastAsia="仿宋_GB2312"/>
          <w:b/>
          <w:sz w:val="32"/>
          <w:szCs w:val="32"/>
        </w:rPr>
        <w:t>（三）国有资产占有使用情况</w:t>
      </w:r>
      <w:bookmarkEnd w:id="84"/>
    </w:p>
    <w:p w14:paraId="64993958">
      <w:pPr>
        <w:autoSpaceDE w:val="0"/>
        <w:autoSpaceDN w:val="0"/>
        <w:adjustRightInd w:val="0"/>
        <w:spacing w:line="560" w:lineRule="exact"/>
        <w:ind w:firstLine="640" w:firstLineChars="200"/>
        <w:jc w:val="left"/>
        <w:rPr>
          <w:rFonts w:eastAsia="仿宋_GB2312"/>
          <w:sz w:val="32"/>
          <w:szCs w:val="32"/>
        </w:rPr>
      </w:pPr>
      <w:r>
        <w:rPr>
          <w:rFonts w:eastAsia="仿宋_GB2312"/>
          <w:sz w:val="32"/>
          <w:szCs w:val="32"/>
        </w:rPr>
        <w:t>截</w:t>
      </w:r>
      <w:r>
        <w:rPr>
          <w:rFonts w:hint="eastAsia" w:eastAsia="仿宋_GB2312"/>
          <w:sz w:val="32"/>
          <w:szCs w:val="32"/>
          <w:lang w:eastAsia="zh-CN"/>
        </w:rPr>
        <w:t>止</w:t>
      </w:r>
      <w:r>
        <w:rPr>
          <w:rFonts w:hint="eastAsia" w:eastAsia="仿宋_GB2312"/>
          <w:sz w:val="32"/>
          <w:szCs w:val="32"/>
        </w:rPr>
        <w:t>2023</w:t>
      </w:r>
      <w:r>
        <w:rPr>
          <w:rFonts w:eastAsia="仿宋_GB2312"/>
          <w:sz w:val="32"/>
          <w:szCs w:val="32"/>
        </w:rPr>
        <w:t>年12月31日共有车辆2辆，其中：主要领导干部用车0辆、机要通信用车0辆、应急保障用车0辆、其他用车2辆。单价50万元以上通用设备0台（套），单价100万元以上专用设备0台（套）。</w:t>
      </w:r>
    </w:p>
    <w:p w14:paraId="3D6E015A">
      <w:pPr>
        <w:autoSpaceDE w:val="0"/>
        <w:autoSpaceDN w:val="0"/>
        <w:adjustRightInd w:val="0"/>
        <w:spacing w:line="560" w:lineRule="exact"/>
        <w:ind w:firstLine="643" w:firstLineChars="200"/>
        <w:jc w:val="left"/>
        <w:outlineLvl w:val="2"/>
        <w:rPr>
          <w:rFonts w:eastAsia="仿宋_GB2312"/>
          <w:b/>
          <w:sz w:val="32"/>
          <w:szCs w:val="32"/>
        </w:rPr>
      </w:pPr>
      <w:r>
        <w:rPr>
          <w:rFonts w:eastAsia="仿宋_GB2312"/>
          <w:b/>
          <w:sz w:val="32"/>
          <w:szCs w:val="32"/>
        </w:rPr>
        <w:t>（四）预算绩效管理情况</w:t>
      </w:r>
    </w:p>
    <w:p w14:paraId="3BBDFCE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根据预算绩效管理要求，本单位在年初预算编制阶段，组织对37个项目开展了预算事前绩效评估，对37个项目编制了绩效目标，预算执行过程中，选取37个项目开展绩效监控，年终执行完毕后，对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个项目开展了绩效目标完成情况自评。</w:t>
      </w:r>
    </w:p>
    <w:p w14:paraId="109F244A">
      <w:pPr>
        <w:pStyle w:val="9"/>
        <w:widowControl/>
        <w:tabs>
          <w:tab w:val="left" w:pos="2281"/>
        </w:tabs>
        <w:kinsoku w:val="0"/>
        <w:autoSpaceDE w:val="0"/>
        <w:autoSpaceDN w:val="0"/>
        <w:adjustRightInd w:val="0"/>
        <w:snapToGrid w:val="0"/>
        <w:spacing w:before="93" w:line="560" w:lineRule="exact"/>
        <w:ind w:firstLine="640" w:firstLineChars="200"/>
        <w:jc w:val="left"/>
        <w:textAlignment w:val="baseline"/>
        <w:rPr>
          <w:rFonts w:ascii="Times New Roman" w:eastAsia="仿宋_GB2312"/>
          <w:sz w:val="32"/>
          <w:szCs w:val="32"/>
        </w:rPr>
      </w:pPr>
      <w:r>
        <w:rPr>
          <w:rFonts w:hint="eastAsia" w:ascii="仿宋_GB2312" w:hAnsi="仿宋_GB2312" w:eastAsia="仿宋_GB2312" w:cs="仿宋_GB2312"/>
          <w:kern w:val="2"/>
          <w:sz w:val="32"/>
          <w:szCs w:val="32"/>
        </w:rPr>
        <w:t>组织对2023年度一般公共预算、政府性基金预算、国有资本经营预算、社会保险基金预算以及资本资产、债券资金等全面开展绩效自评，形成中共壤塘县委组织部（含部门预算项目）绩效自评报告，其中，中共壤塘县委组织部（含部门预算项目）绩效自评得分为98.75分，绩效自评综述：本次部门整体支出绩效自评得分为98.75分总体表现良好主要问题为项目绩效目标设置不合理。2023年中共壤塘县人才智力支援项目、2023年中共壤塘县人才发展专项资金项目专项预算项目绩效自评得分为100分，绩效自评综述：总体表现优秀。绩效自评报告详见附件。</w:t>
      </w:r>
    </w:p>
    <w:p w14:paraId="444210D3">
      <w:pPr>
        <w:spacing w:line="560" w:lineRule="exact"/>
        <w:jc w:val="left"/>
        <w:rPr>
          <w:rFonts w:ascii="黑体" w:hAnsi="黑体" w:eastAsia="黑体" w:cs="黑体"/>
          <w:sz w:val="32"/>
          <w:szCs w:val="32"/>
        </w:rPr>
      </w:pPr>
      <w:bookmarkStart w:id="85" w:name="_Toc15377225"/>
      <w:bookmarkStart w:id="86" w:name="_Toc1341"/>
      <w:bookmarkStart w:id="87" w:name="_Toc15396613"/>
    </w:p>
    <w:p w14:paraId="58DBB5B8">
      <w:pPr>
        <w:jc w:val="left"/>
        <w:rPr>
          <w:rFonts w:ascii="黑体" w:hAnsi="黑体" w:eastAsia="黑体" w:cs="黑体"/>
          <w:sz w:val="32"/>
          <w:szCs w:val="32"/>
        </w:rPr>
      </w:pPr>
    </w:p>
    <w:p w14:paraId="2ADB7C4E">
      <w:pPr>
        <w:rPr>
          <w:rFonts w:ascii="黑体" w:hAnsi="黑体" w:eastAsia="黑体" w:cs="黑体"/>
          <w:sz w:val="32"/>
          <w:szCs w:val="32"/>
        </w:rPr>
      </w:pPr>
    </w:p>
    <w:p w14:paraId="4E343940">
      <w:pPr>
        <w:jc w:val="center"/>
        <w:rPr>
          <w:rFonts w:ascii="黑体" w:hAnsi="黑体" w:eastAsia="黑体" w:cs="黑体"/>
          <w:sz w:val="32"/>
          <w:szCs w:val="32"/>
        </w:rPr>
      </w:pPr>
    </w:p>
    <w:p w14:paraId="1DC93644">
      <w:pPr>
        <w:jc w:val="center"/>
        <w:rPr>
          <w:rFonts w:eastAsia="仿宋_GB2312"/>
          <w:sz w:val="32"/>
          <w:szCs w:val="32"/>
        </w:rPr>
      </w:pPr>
      <w:r>
        <w:rPr>
          <w:rFonts w:hint="eastAsia" w:ascii="黑体" w:hAnsi="黑体" w:eastAsia="黑体" w:cs="黑体"/>
          <w:sz w:val="32"/>
          <w:szCs w:val="32"/>
        </w:rPr>
        <w:t>第三部分名词解释</w:t>
      </w:r>
      <w:bookmarkEnd w:id="85"/>
      <w:bookmarkEnd w:id="86"/>
      <w:bookmarkEnd w:id="87"/>
    </w:p>
    <w:p w14:paraId="34C09344">
      <w:pPr>
        <w:spacing w:line="560" w:lineRule="exact"/>
        <w:ind w:firstLine="640" w:firstLineChars="200"/>
        <w:rPr>
          <w:rFonts w:eastAsia="仿宋_GB2312"/>
          <w:sz w:val="32"/>
          <w:szCs w:val="32"/>
        </w:rPr>
      </w:pPr>
    </w:p>
    <w:p w14:paraId="6E13F175">
      <w:pPr>
        <w:spacing w:line="560" w:lineRule="exact"/>
        <w:ind w:firstLine="640" w:firstLineChars="200"/>
        <w:rPr>
          <w:rFonts w:eastAsia="仿宋_GB2312"/>
          <w:sz w:val="32"/>
          <w:szCs w:val="32"/>
        </w:rPr>
      </w:pPr>
      <w:r>
        <w:rPr>
          <w:rFonts w:eastAsia="仿宋_GB2312"/>
          <w:sz w:val="32"/>
          <w:szCs w:val="32"/>
        </w:rPr>
        <w:t>1、财政拨款收入：指单位从同级财政部门取得的财政预算资金。</w:t>
      </w:r>
    </w:p>
    <w:p w14:paraId="7FD693B8">
      <w:pPr>
        <w:spacing w:line="560" w:lineRule="exact"/>
        <w:ind w:firstLine="640" w:firstLineChars="200"/>
        <w:rPr>
          <w:rFonts w:eastAsia="仿宋_GB2312"/>
          <w:sz w:val="32"/>
          <w:szCs w:val="32"/>
        </w:rPr>
      </w:pPr>
      <w:r>
        <w:rPr>
          <w:rFonts w:eastAsia="仿宋_GB2312"/>
          <w:sz w:val="32"/>
          <w:szCs w:val="32"/>
        </w:rPr>
        <w:t>2、事业收入：指事业单位开展专业业务活动及辅助活动取得的收入。</w:t>
      </w:r>
    </w:p>
    <w:p w14:paraId="2B902E11">
      <w:pPr>
        <w:spacing w:line="560" w:lineRule="exact"/>
        <w:ind w:firstLine="640" w:firstLineChars="200"/>
        <w:rPr>
          <w:rFonts w:eastAsia="仿宋_GB2312"/>
          <w:sz w:val="32"/>
          <w:szCs w:val="32"/>
        </w:rPr>
      </w:pPr>
      <w:r>
        <w:rPr>
          <w:rFonts w:eastAsia="仿宋_GB2312"/>
          <w:sz w:val="32"/>
          <w:szCs w:val="32"/>
        </w:rPr>
        <w:t>3、经营收入：指事业单位在专业业务活动及其辅助活动之外开展非独立核算经营活动取得的收入。</w:t>
      </w:r>
    </w:p>
    <w:p w14:paraId="1CAD42CF">
      <w:pPr>
        <w:spacing w:line="560" w:lineRule="exact"/>
        <w:ind w:firstLine="640" w:firstLineChars="200"/>
        <w:rPr>
          <w:rFonts w:eastAsia="仿宋_GB2312"/>
          <w:sz w:val="32"/>
          <w:szCs w:val="32"/>
        </w:rPr>
      </w:pPr>
      <w:r>
        <w:rPr>
          <w:rFonts w:eastAsia="仿宋_GB2312"/>
          <w:sz w:val="32"/>
          <w:szCs w:val="32"/>
        </w:rPr>
        <w:t>4、其他收入：指单位取得的除上述收入以外的各项收入。主要是援建资金。</w:t>
      </w:r>
    </w:p>
    <w:p w14:paraId="6FDB77E0">
      <w:pPr>
        <w:spacing w:line="560" w:lineRule="exact"/>
        <w:ind w:firstLine="640" w:firstLineChars="200"/>
        <w:rPr>
          <w:rFonts w:eastAsia="仿宋_GB2312"/>
          <w:sz w:val="32"/>
          <w:szCs w:val="32"/>
        </w:rPr>
      </w:pPr>
      <w:r>
        <w:rPr>
          <w:rFonts w:eastAsia="仿宋_GB2312"/>
          <w:sz w:val="32"/>
          <w:szCs w:val="32"/>
        </w:rPr>
        <w:t>5、年初结转和结余：指以前年度尚未完成、结转到本年按有关规定继续使用的资金。</w:t>
      </w:r>
    </w:p>
    <w:p w14:paraId="248CEC24">
      <w:pPr>
        <w:spacing w:line="560" w:lineRule="exact"/>
        <w:ind w:firstLine="640" w:firstLineChars="200"/>
        <w:rPr>
          <w:rFonts w:eastAsia="仿宋_GB2312"/>
          <w:sz w:val="32"/>
          <w:szCs w:val="32"/>
        </w:rPr>
      </w:pPr>
      <w:r>
        <w:rPr>
          <w:rFonts w:eastAsia="仿宋_GB2312"/>
          <w:sz w:val="32"/>
          <w:szCs w:val="32"/>
        </w:rPr>
        <w:t>6、年末结转和结余：指单位按有关规定结转到下年或以后年度继续使用的资金。</w:t>
      </w:r>
    </w:p>
    <w:p w14:paraId="59024404">
      <w:pPr>
        <w:ind w:firstLine="640" w:firstLineChars="200"/>
        <w:rPr>
          <w:rFonts w:ascii="仿宋_GB2312" w:eastAsia="仿宋_GB2312"/>
          <w:color w:val="000000"/>
          <w:sz w:val="32"/>
          <w:szCs w:val="32"/>
        </w:rPr>
      </w:pPr>
      <w:r>
        <w:rPr>
          <w:rFonts w:hint="eastAsia" w:eastAsia="仿宋_GB2312"/>
          <w:sz w:val="32"/>
          <w:szCs w:val="32"/>
        </w:rPr>
        <w:t>7</w:t>
      </w:r>
      <w:r>
        <w:rPr>
          <w:rFonts w:hint="eastAsia" w:eastAsia="仿宋_GB2312"/>
          <w:sz w:val="32"/>
          <w:szCs w:val="32"/>
          <w:lang w:eastAsia="zh-CN"/>
        </w:rPr>
        <w:t>、</w:t>
      </w:r>
      <w:r>
        <w:rPr>
          <w:rFonts w:hint="eastAsia" w:ascii="仿宋_GB2312" w:eastAsia="仿宋_GB2312"/>
          <w:color w:val="000000"/>
          <w:sz w:val="32"/>
          <w:szCs w:val="32"/>
        </w:rPr>
        <w:t>社会保障和就业（类）</w:t>
      </w:r>
      <w:r>
        <w:rPr>
          <w:rFonts w:hint="eastAsia" w:ascii="仿宋" w:eastAsia="仿宋" w:cs="仿宋"/>
          <w:color w:val="000000"/>
          <w:sz w:val="32"/>
          <w:szCs w:val="32"/>
        </w:rPr>
        <w:t>行政事业单位养老支出</w:t>
      </w:r>
      <w:r>
        <w:rPr>
          <w:rFonts w:hint="eastAsia" w:ascii="仿宋_GB2312" w:eastAsia="仿宋_GB2312"/>
          <w:color w:val="000000"/>
          <w:sz w:val="32"/>
          <w:szCs w:val="32"/>
        </w:rPr>
        <w:t>（款）机关事业单位基本养老保险缴费支出（项）：指由单位缴纳的基本养老保险费支出。</w:t>
      </w:r>
    </w:p>
    <w:p w14:paraId="5CE90AE0">
      <w:pPr>
        <w:ind w:firstLine="640" w:firstLineChars="200"/>
        <w:rPr>
          <w:rFonts w:ascii="仿宋_GB2312" w:eastAsia="仿宋_GB2312"/>
          <w:color w:val="000000"/>
          <w:sz w:val="32"/>
          <w:szCs w:val="32"/>
        </w:rPr>
      </w:pPr>
      <w:r>
        <w:rPr>
          <w:rFonts w:hint="eastAsia" w:eastAsia="仿宋_GB2312"/>
          <w:sz w:val="32"/>
          <w:szCs w:val="32"/>
        </w:rPr>
        <w:t>8</w:t>
      </w:r>
      <w:r>
        <w:rPr>
          <w:rFonts w:hint="eastAsia" w:eastAsia="仿宋_GB2312"/>
          <w:sz w:val="32"/>
          <w:szCs w:val="32"/>
          <w:lang w:eastAsia="zh-CN"/>
        </w:rPr>
        <w:t>、</w:t>
      </w:r>
      <w:r>
        <w:rPr>
          <w:rFonts w:hint="eastAsia" w:ascii="仿宋_GB2312" w:eastAsia="仿宋_GB2312"/>
          <w:color w:val="000000"/>
          <w:sz w:val="32"/>
          <w:szCs w:val="32"/>
        </w:rPr>
        <w:t>社会保障和就业（类）</w:t>
      </w:r>
      <w:r>
        <w:rPr>
          <w:rFonts w:hint="eastAsia" w:ascii="仿宋" w:eastAsia="仿宋" w:cs="仿宋"/>
          <w:color w:val="000000"/>
          <w:sz w:val="32"/>
          <w:szCs w:val="32"/>
        </w:rPr>
        <w:t>行政事业单位养老支出</w:t>
      </w:r>
      <w:r>
        <w:rPr>
          <w:rFonts w:hint="eastAsia" w:ascii="仿宋_GB2312" w:eastAsia="仿宋_GB2312"/>
          <w:color w:val="000000"/>
          <w:sz w:val="32"/>
          <w:szCs w:val="32"/>
        </w:rPr>
        <w:t>（款）机关事业单位职业年金缴费支出（项）：指机关事业单位实施养老保险制度由单位实际缴纳的职业年金。</w:t>
      </w:r>
    </w:p>
    <w:p w14:paraId="555BD231">
      <w:pPr>
        <w:ind w:firstLine="640" w:firstLineChars="200"/>
        <w:rPr>
          <w:rFonts w:ascii="仿宋_GB2312" w:eastAsia="仿宋_GB2312"/>
          <w:sz w:val="32"/>
          <w:szCs w:val="32"/>
        </w:rPr>
      </w:pPr>
      <w:r>
        <w:rPr>
          <w:rFonts w:hint="eastAsia" w:eastAsia="仿宋_GB2312"/>
          <w:sz w:val="32"/>
          <w:szCs w:val="32"/>
        </w:rPr>
        <w:t>9</w:t>
      </w:r>
      <w:r>
        <w:rPr>
          <w:rFonts w:hint="eastAsia" w:eastAsia="仿宋_GB2312"/>
          <w:sz w:val="32"/>
          <w:szCs w:val="32"/>
          <w:lang w:eastAsia="zh-CN"/>
        </w:rPr>
        <w:t>、</w:t>
      </w:r>
      <w:r>
        <w:rPr>
          <w:rFonts w:hint="eastAsia" w:ascii="仿宋_GB2312" w:eastAsia="仿宋_GB2312"/>
          <w:sz w:val="32"/>
          <w:szCs w:val="32"/>
        </w:rPr>
        <w:t>卫生健康（类）行政事业单位医疗（款）行政单位医疗（项）：指反映财政部门安排的行政单位（包括实行公务员管理的事业单位，下同）基本医疗保险缴费经费，未参加医疗保险的行政单位的公费医疗经费，按国家规定享受离休人员，红军老战士待遇的医疗经费。</w:t>
      </w:r>
    </w:p>
    <w:p w14:paraId="7491F3EC">
      <w:pPr>
        <w:ind w:firstLine="640" w:firstLineChars="200"/>
        <w:rPr>
          <w:rFonts w:ascii="仿宋_GB2312" w:eastAsia="仿宋_GB2312"/>
          <w:sz w:val="32"/>
          <w:szCs w:val="32"/>
        </w:rPr>
      </w:pPr>
      <w:r>
        <w:rPr>
          <w:rFonts w:hint="eastAsia" w:eastAsia="仿宋_GB2312"/>
          <w:sz w:val="32"/>
          <w:szCs w:val="32"/>
        </w:rPr>
        <w:t>10</w:t>
      </w:r>
      <w:r>
        <w:rPr>
          <w:rFonts w:hint="eastAsia" w:eastAsia="仿宋_GB2312"/>
          <w:sz w:val="32"/>
          <w:szCs w:val="32"/>
          <w:lang w:eastAsia="zh-CN"/>
        </w:rPr>
        <w:t>、</w:t>
      </w:r>
      <w:r>
        <w:rPr>
          <w:rFonts w:hint="eastAsia" w:ascii="仿宋_GB2312" w:eastAsia="仿宋_GB2312"/>
          <w:sz w:val="32"/>
          <w:szCs w:val="32"/>
        </w:rPr>
        <w:t>卫生健康（类）行政事业单位医疗（款）事业单位医疗（项）：指反映财政部门安排的事业单位基本医疗保险缴费经费，未参加医疗保险的事业单位的公费 医疗经费，按国家规定享受离休人员待遇的医疗经费。</w:t>
      </w:r>
    </w:p>
    <w:p w14:paraId="2AB1F4EE">
      <w:pPr>
        <w:ind w:firstLine="640" w:firstLineChars="200"/>
        <w:rPr>
          <w:rFonts w:ascii="仿宋_GB2312" w:eastAsia="仿宋_GB2312"/>
          <w:sz w:val="32"/>
          <w:szCs w:val="32"/>
        </w:rPr>
      </w:pPr>
      <w:r>
        <w:rPr>
          <w:rFonts w:hint="eastAsia" w:eastAsia="仿宋_GB2312"/>
          <w:sz w:val="32"/>
          <w:szCs w:val="32"/>
        </w:rPr>
        <w:t>11</w:t>
      </w:r>
      <w:r>
        <w:rPr>
          <w:rFonts w:hint="eastAsia" w:eastAsia="仿宋_GB2312"/>
          <w:sz w:val="32"/>
          <w:szCs w:val="32"/>
          <w:lang w:eastAsia="zh-CN"/>
        </w:rPr>
        <w:t>、</w:t>
      </w:r>
      <w:r>
        <w:rPr>
          <w:rFonts w:hint="eastAsia" w:ascii="仿宋_GB2312" w:eastAsia="仿宋_GB2312"/>
          <w:sz w:val="32"/>
          <w:szCs w:val="32"/>
        </w:rPr>
        <w:t>卫生健康（类）行政事业单位医疗（款）公务员医疗补助（项）：指反映财政部门安排的公务员医疗补助经费。</w:t>
      </w:r>
    </w:p>
    <w:p w14:paraId="6DCF7675">
      <w:pPr>
        <w:ind w:firstLine="640" w:firstLineChars="200"/>
        <w:rPr>
          <w:rFonts w:ascii="仿宋_GB2312" w:eastAsia="仿宋_GB2312"/>
          <w:sz w:val="32"/>
          <w:szCs w:val="32"/>
        </w:rPr>
      </w:pPr>
      <w:r>
        <w:rPr>
          <w:rFonts w:hint="eastAsia" w:eastAsia="仿宋_GB2312"/>
          <w:sz w:val="32"/>
          <w:szCs w:val="32"/>
        </w:rPr>
        <w:t>12</w:t>
      </w:r>
      <w:r>
        <w:rPr>
          <w:rFonts w:hint="eastAsia" w:eastAsia="仿宋_GB2312"/>
          <w:sz w:val="32"/>
          <w:szCs w:val="32"/>
          <w:lang w:eastAsia="zh-CN"/>
        </w:rPr>
        <w:t>、</w:t>
      </w:r>
      <w:r>
        <w:rPr>
          <w:rFonts w:hint="eastAsia" w:ascii="仿宋_GB2312" w:eastAsia="仿宋_GB2312"/>
          <w:sz w:val="32"/>
          <w:szCs w:val="32"/>
        </w:rPr>
        <w:t>卫生健康（类）行政事业单位医疗（款）其他行政事业单位医疗（项）：指反映除上述项目以外的其他用于行政事业单位医疗方面的支出。</w:t>
      </w:r>
    </w:p>
    <w:p w14:paraId="06CEFB68">
      <w:pPr>
        <w:pStyle w:val="17"/>
        <w:ind w:left="0" w:leftChars="0" w:firstLine="640" w:firstLineChars="200"/>
      </w:pPr>
      <w:r>
        <w:rPr>
          <w:rFonts w:hint="eastAsia" w:ascii="Times New Roman" w:hAnsi="Times New Roman" w:eastAsia="仿宋_GB2312" w:cs="Times New Roman"/>
          <w:kern w:val="2"/>
          <w:sz w:val="32"/>
          <w:szCs w:val="32"/>
          <w:lang w:val="en-US" w:eastAsia="zh-CN" w:bidi="ar-SA"/>
        </w:rPr>
        <w:t>13、</w:t>
      </w:r>
      <w:r>
        <w:rPr>
          <w:rFonts w:hint="eastAsia" w:ascii="仿宋_GB2312" w:eastAsia="仿宋_GB2312"/>
          <w:color w:val="000000"/>
          <w:sz w:val="32"/>
          <w:szCs w:val="32"/>
        </w:rPr>
        <w:t>农林水支出（类）</w:t>
      </w:r>
      <w:r>
        <w:rPr>
          <w:rFonts w:hint="eastAsia" w:ascii="仿宋_GB2312" w:eastAsia="仿宋_GB2312"/>
          <w:color w:val="000000"/>
          <w:sz w:val="32"/>
          <w:szCs w:val="32"/>
          <w:lang w:eastAsia="zh-CN"/>
        </w:rPr>
        <w:t>巩固拓展脱贫攻坚成果衔接乡村振兴</w:t>
      </w:r>
      <w:r>
        <w:rPr>
          <w:rFonts w:hint="eastAsia" w:ascii="仿宋_GB2312" w:eastAsia="仿宋_GB2312"/>
          <w:color w:val="000000"/>
          <w:sz w:val="32"/>
          <w:szCs w:val="32"/>
        </w:rPr>
        <w:t>（款）其他</w:t>
      </w:r>
      <w:r>
        <w:rPr>
          <w:rFonts w:hint="eastAsia" w:ascii="仿宋_GB2312" w:eastAsia="仿宋_GB2312"/>
          <w:color w:val="000000"/>
          <w:sz w:val="32"/>
          <w:szCs w:val="32"/>
          <w:lang w:eastAsia="zh-CN"/>
        </w:rPr>
        <w:t>巩固拓展脱贫攻坚成果衔接乡村振兴</w:t>
      </w:r>
      <w:r>
        <w:rPr>
          <w:rFonts w:hint="eastAsia" w:ascii="仿宋_GB2312" w:eastAsia="仿宋_GB2312"/>
          <w:color w:val="000000"/>
          <w:sz w:val="32"/>
          <w:szCs w:val="32"/>
        </w:rPr>
        <w:t>（项）：指反映除上述项目以外其他用于巩固拓展脱贫攻坚成果同乡村振兴有效衔接方面的支出。</w:t>
      </w:r>
    </w:p>
    <w:p w14:paraId="0A31B9FD">
      <w:pPr>
        <w:ind w:firstLine="640" w:firstLineChars="200"/>
        <w:rPr>
          <w:rFonts w:ascii="仿宋_GB2312" w:eastAsia="仿宋_GB2312"/>
          <w:color w:val="000000"/>
          <w:sz w:val="32"/>
          <w:szCs w:val="32"/>
        </w:rPr>
      </w:pPr>
      <w:r>
        <w:rPr>
          <w:rFonts w:hint="eastAsia" w:eastAsia="仿宋_GB2312"/>
          <w:sz w:val="32"/>
          <w:szCs w:val="32"/>
        </w:rPr>
        <w:t>14</w:t>
      </w:r>
      <w:r>
        <w:rPr>
          <w:rFonts w:hint="eastAsia" w:eastAsia="仿宋_GB2312"/>
          <w:sz w:val="32"/>
          <w:szCs w:val="32"/>
          <w:lang w:eastAsia="zh-CN"/>
        </w:rPr>
        <w:t>、</w:t>
      </w:r>
      <w:r>
        <w:rPr>
          <w:rFonts w:hint="eastAsia" w:ascii="仿宋_GB2312" w:eastAsia="仿宋_GB2312"/>
          <w:color w:val="000000"/>
          <w:sz w:val="32"/>
          <w:szCs w:val="32"/>
        </w:rPr>
        <w:t>住房保障支出（类）住房改革支出（款）住房公积金（项）：指行政事业单位安装工资比例为职工缴纳的住房公积金。</w:t>
      </w:r>
    </w:p>
    <w:p w14:paraId="711E346E">
      <w:pPr>
        <w:spacing w:line="560" w:lineRule="exact"/>
        <w:ind w:firstLine="640" w:firstLineChars="200"/>
        <w:rPr>
          <w:rFonts w:eastAsia="仿宋_GB2312"/>
          <w:sz w:val="32"/>
          <w:szCs w:val="32"/>
        </w:rPr>
      </w:pPr>
      <w:r>
        <w:rPr>
          <w:rFonts w:hint="eastAsia" w:eastAsia="仿宋_GB2312"/>
          <w:sz w:val="32"/>
          <w:szCs w:val="32"/>
        </w:rPr>
        <w:t>15</w:t>
      </w:r>
      <w:r>
        <w:rPr>
          <w:rFonts w:eastAsia="仿宋_GB2312"/>
          <w:sz w:val="32"/>
          <w:szCs w:val="32"/>
        </w:rPr>
        <w:t>、基本支出：指为保障机构正常运转、完成日常工作任务而发生的人员支出和公用支出。</w:t>
      </w:r>
    </w:p>
    <w:p w14:paraId="2E9331D3">
      <w:pPr>
        <w:spacing w:line="560" w:lineRule="exact"/>
        <w:ind w:firstLine="640" w:firstLineChars="200"/>
        <w:rPr>
          <w:rFonts w:eastAsia="仿宋_GB2312"/>
          <w:sz w:val="32"/>
          <w:szCs w:val="32"/>
        </w:rPr>
      </w:pPr>
      <w:r>
        <w:rPr>
          <w:rFonts w:hint="eastAsia" w:eastAsia="仿宋_GB2312"/>
          <w:sz w:val="32"/>
          <w:szCs w:val="32"/>
        </w:rPr>
        <w:t>16</w:t>
      </w:r>
      <w:r>
        <w:rPr>
          <w:rFonts w:eastAsia="仿宋_GB2312"/>
          <w:sz w:val="32"/>
          <w:szCs w:val="32"/>
        </w:rPr>
        <w:t>、项目支出：指在基本支出之外为完成特定行政任务和事业发展目标所发生的支出。</w:t>
      </w:r>
    </w:p>
    <w:p w14:paraId="7089F8E5">
      <w:pPr>
        <w:spacing w:line="560" w:lineRule="exact"/>
        <w:ind w:firstLine="640" w:firstLineChars="200"/>
        <w:rPr>
          <w:rFonts w:eastAsia="仿宋_GB2312"/>
          <w:sz w:val="32"/>
          <w:szCs w:val="32"/>
        </w:rPr>
      </w:pPr>
      <w:r>
        <w:rPr>
          <w:rFonts w:hint="eastAsia" w:eastAsia="仿宋_GB2312"/>
          <w:sz w:val="32"/>
          <w:szCs w:val="32"/>
        </w:rPr>
        <w:t>17</w:t>
      </w:r>
      <w:r>
        <w:rPr>
          <w:rFonts w:eastAsia="仿宋_GB2312"/>
          <w:sz w:val="32"/>
          <w:szCs w:val="32"/>
        </w:rPr>
        <w:t>、经营支出：指事业单位在专业业务活动及其辅助活动之外开展非独立核算经营活动发生的支出。</w:t>
      </w:r>
    </w:p>
    <w:p w14:paraId="57E47B6B">
      <w:pPr>
        <w:spacing w:line="560" w:lineRule="exact"/>
        <w:ind w:firstLine="640" w:firstLineChars="200"/>
        <w:rPr>
          <w:rFonts w:eastAsia="仿宋_GB2312"/>
          <w:sz w:val="32"/>
          <w:szCs w:val="32"/>
        </w:rPr>
      </w:pPr>
      <w:r>
        <w:rPr>
          <w:rFonts w:hint="eastAsia" w:eastAsia="仿宋_GB2312"/>
          <w:sz w:val="32"/>
          <w:szCs w:val="32"/>
        </w:rPr>
        <w:t>18</w:t>
      </w:r>
      <w:r>
        <w:rPr>
          <w:rFonts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804CBD2">
      <w:pPr>
        <w:spacing w:line="560" w:lineRule="exact"/>
        <w:ind w:firstLine="640" w:firstLineChars="200"/>
        <w:rPr>
          <w:rFonts w:eastAsia="仿宋_GB2312"/>
          <w:sz w:val="32"/>
          <w:szCs w:val="32"/>
        </w:rPr>
      </w:pPr>
      <w:r>
        <w:rPr>
          <w:rFonts w:hint="eastAsia" w:eastAsia="仿宋_GB2312"/>
          <w:sz w:val="32"/>
          <w:szCs w:val="32"/>
        </w:rPr>
        <w:t>19</w:t>
      </w:r>
      <w:r>
        <w:rPr>
          <w:rFonts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eastAsia="仿宋_GB2312"/>
          <w:sz w:val="32"/>
          <w:szCs w:val="32"/>
        </w:rPr>
        <w:t>。</w:t>
      </w:r>
    </w:p>
    <w:p w14:paraId="540F1169">
      <w:pPr>
        <w:pStyle w:val="27"/>
        <w:spacing w:line="560" w:lineRule="exact"/>
        <w:ind w:firstLine="560" w:firstLineChars="200"/>
        <w:rPr>
          <w:rFonts w:hAnsi="仿宋"/>
          <w:color w:val="auto"/>
          <w:sz w:val="28"/>
          <w:szCs w:val="28"/>
        </w:rPr>
      </w:pPr>
    </w:p>
    <w:p w14:paraId="71D4DB1B">
      <w:pPr>
        <w:spacing w:line="600" w:lineRule="exact"/>
        <w:jc w:val="center"/>
        <w:outlineLvl w:val="0"/>
        <w:rPr>
          <w:rStyle w:val="35"/>
          <w:rFonts w:ascii="黑体" w:hAnsi="黑体" w:eastAsia="黑体"/>
          <w:b w:val="0"/>
        </w:rPr>
      </w:pPr>
      <w:bookmarkStart w:id="88" w:name="_Toc15377226"/>
      <w:r>
        <w:rPr>
          <w:rFonts w:hint="eastAsia" w:ascii="仿宋" w:hAnsi="仿宋" w:eastAsia="仿宋" w:cs="仿宋"/>
          <w:b/>
          <w:sz w:val="28"/>
          <w:szCs w:val="28"/>
        </w:rPr>
        <w:br w:type="page"/>
      </w:r>
      <w:bookmarkStart w:id="89" w:name="_Toc19486"/>
      <w:bookmarkStart w:id="90" w:name="_Toc24624"/>
      <w:bookmarkStart w:id="91" w:name="_Toc15396614"/>
      <w:r>
        <w:rPr>
          <w:rFonts w:hint="eastAsia" w:ascii="黑体" w:hAnsi="黑体" w:eastAsia="黑体" w:cs="黑体"/>
          <w:sz w:val="32"/>
          <w:szCs w:val="32"/>
        </w:rPr>
        <w:t>第四部分 附件</w:t>
      </w:r>
      <w:bookmarkEnd w:id="89"/>
      <w:bookmarkEnd w:id="90"/>
      <w:bookmarkEnd w:id="91"/>
    </w:p>
    <w:p w14:paraId="66E26A79">
      <w:pPr>
        <w:spacing w:line="600" w:lineRule="exact"/>
        <w:jc w:val="left"/>
        <w:rPr>
          <w:rFonts w:ascii="黑体" w:hAnsi="黑体" w:eastAsia="黑体" w:cs="黑体"/>
          <w:sz w:val="32"/>
          <w:szCs w:val="32"/>
        </w:rPr>
      </w:pPr>
      <w:bookmarkStart w:id="92" w:name="_Toc28430"/>
      <w:bookmarkStart w:id="93" w:name="_Toc30849"/>
      <w:bookmarkStart w:id="94" w:name="_Toc14416"/>
      <w:r>
        <w:rPr>
          <w:rFonts w:hint="eastAsia" w:ascii="黑体" w:hAnsi="黑体" w:eastAsia="黑体" w:cs="黑体"/>
          <w:sz w:val="32"/>
          <w:szCs w:val="32"/>
        </w:rPr>
        <w:t>附件</w:t>
      </w:r>
      <w:bookmarkEnd w:id="92"/>
      <w:bookmarkEnd w:id="93"/>
      <w:bookmarkEnd w:id="94"/>
      <w:r>
        <w:rPr>
          <w:rFonts w:hint="eastAsia" w:ascii="黑体" w:hAnsi="黑体" w:eastAsia="黑体" w:cs="黑体"/>
          <w:sz w:val="32"/>
          <w:szCs w:val="32"/>
        </w:rPr>
        <w:t>1</w:t>
      </w:r>
    </w:p>
    <w:p w14:paraId="1179BCF8">
      <w:pPr>
        <w:jc w:val="center"/>
        <w:rPr>
          <w:rFonts w:hint="eastAsia" w:ascii="黑体" w:hAnsi="黑体" w:eastAsia="黑体" w:cs="黑体"/>
          <w:sz w:val="44"/>
          <w:szCs w:val="44"/>
        </w:rPr>
      </w:pPr>
      <w:bookmarkStart w:id="95" w:name="_Toc15396618"/>
      <w:bookmarkStart w:id="96" w:name="_Toc27025"/>
      <w:r>
        <w:rPr>
          <w:rFonts w:hint="eastAsia" w:ascii="黑体" w:hAnsi="黑体" w:eastAsia="黑体" w:cs="黑体"/>
          <w:sz w:val="44"/>
          <w:szCs w:val="44"/>
        </w:rPr>
        <w:t>中共壤塘县委组织部</w:t>
      </w:r>
    </w:p>
    <w:p w14:paraId="69878DE5">
      <w:pPr>
        <w:jc w:val="center"/>
        <w:rPr>
          <w:rFonts w:ascii="宋体" w:hAnsi="宋体"/>
          <w:sz w:val="44"/>
          <w:szCs w:val="44"/>
        </w:rPr>
      </w:pPr>
      <w:r>
        <w:rPr>
          <w:rFonts w:hint="eastAsia" w:ascii="黑体" w:hAnsi="黑体" w:eastAsia="黑体" w:cs="黑体"/>
          <w:sz w:val="44"/>
          <w:szCs w:val="44"/>
        </w:rPr>
        <w:t>2023年度部门整体支出绩效评价自评报告</w:t>
      </w:r>
    </w:p>
    <w:p w14:paraId="79E5BDC5">
      <w:pPr>
        <w:spacing w:line="360" w:lineRule="auto"/>
        <w:jc w:val="center"/>
        <w:rPr>
          <w:kern w:val="0"/>
          <w:sz w:val="44"/>
          <w:szCs w:val="44"/>
        </w:rPr>
      </w:pPr>
    </w:p>
    <w:p w14:paraId="757C4F7E">
      <w:pPr>
        <w:spacing w:line="560" w:lineRule="exact"/>
        <w:rPr>
          <w:rFonts w:eastAsia="黑体"/>
          <w:sz w:val="32"/>
          <w:szCs w:val="32"/>
        </w:rPr>
      </w:pPr>
      <w:r>
        <w:rPr>
          <w:rFonts w:eastAsia="黑体"/>
          <w:kern w:val="0"/>
          <w:sz w:val="32"/>
          <w:szCs w:val="32"/>
        </w:rPr>
        <w:t>一、部门（单位）概况</w:t>
      </w:r>
    </w:p>
    <w:p w14:paraId="2E49E674">
      <w:pPr>
        <w:spacing w:line="560" w:lineRule="exact"/>
        <w:ind w:firstLine="640" w:firstLineChars="200"/>
        <w:rPr>
          <w:rFonts w:eastAsia="仿宋_GB2312"/>
          <w:sz w:val="32"/>
          <w:szCs w:val="32"/>
        </w:rPr>
      </w:pPr>
      <w:r>
        <w:rPr>
          <w:rFonts w:eastAsia="仿宋_GB2312"/>
          <w:sz w:val="32"/>
          <w:szCs w:val="32"/>
        </w:rPr>
        <w:t>中共壤塘县组织部：行政，机构地址：四川省阿坝藏族羌族自治州壤塘县岗木达镇罗吾塘中街90号，单位负责人：</w:t>
      </w:r>
      <w:r>
        <w:rPr>
          <w:rFonts w:eastAsia="仿宋_GB2312"/>
          <w:color w:val="000000"/>
          <w:sz w:val="32"/>
          <w:szCs w:val="32"/>
        </w:rPr>
        <w:t>刘兴林</w:t>
      </w:r>
      <w:r>
        <w:rPr>
          <w:rFonts w:eastAsia="仿宋_GB2312"/>
          <w:sz w:val="32"/>
          <w:szCs w:val="32"/>
        </w:rPr>
        <w:t>。</w:t>
      </w:r>
    </w:p>
    <w:p w14:paraId="3D7E87F3">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rPr>
      </w:pPr>
      <w:r>
        <w:rPr>
          <w:rFonts w:eastAsia="楷体_GB2312"/>
          <w:b/>
          <w:bCs/>
          <w:color w:val="000000"/>
          <w:kern w:val="0"/>
          <w:sz w:val="32"/>
          <w:szCs w:val="32"/>
          <w:shd w:val="clear" w:color="auto" w:fill="FFFFFF"/>
        </w:rPr>
        <w:t>（一）机构组成</w:t>
      </w:r>
    </w:p>
    <w:p w14:paraId="78ADDD6F">
      <w:pPr>
        <w:spacing w:line="560" w:lineRule="exact"/>
        <w:ind w:firstLine="640" w:firstLineChars="200"/>
        <w:rPr>
          <w:rFonts w:eastAsia="仿宋_GB2312"/>
          <w:sz w:val="32"/>
          <w:szCs w:val="32"/>
        </w:rPr>
      </w:pPr>
      <w:r>
        <w:rPr>
          <w:rFonts w:hint="eastAsia" w:ascii="仿宋_GB2312" w:hAnsi="仿宋_GB2312" w:eastAsia="仿宋_GB2312" w:cs="仿宋_GB2312"/>
          <w:kern w:val="2"/>
          <w:sz w:val="32"/>
          <w:szCs w:val="32"/>
        </w:rPr>
        <w:t>中共壤塘县委组织部</w:t>
      </w:r>
      <w:r>
        <w:rPr>
          <w:rFonts w:eastAsia="仿宋_GB2312"/>
          <w:sz w:val="32"/>
          <w:szCs w:val="32"/>
        </w:rPr>
        <w:t>为中共壤塘县委工作部门，下设3个股室（办公室、组织科、干部科），所属事业单位4个（县委党员干部远程教育中心、壤塘县都江堰干休所、信息中心、干部档案管理中心）。</w:t>
      </w:r>
    </w:p>
    <w:p w14:paraId="33A13699">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rPr>
      </w:pPr>
      <w:r>
        <w:rPr>
          <w:rFonts w:eastAsia="楷体_GB2312"/>
          <w:b/>
          <w:bCs/>
          <w:color w:val="000000"/>
          <w:kern w:val="0"/>
          <w:sz w:val="32"/>
          <w:szCs w:val="32"/>
          <w:shd w:val="clear" w:color="auto" w:fill="FFFFFF"/>
        </w:rPr>
        <w:t>（二）机构职能</w:t>
      </w:r>
    </w:p>
    <w:p w14:paraId="1B102195">
      <w:pPr>
        <w:widowControl/>
        <w:adjustRightInd w:val="0"/>
        <w:snapToGrid w:val="0"/>
        <w:spacing w:line="560" w:lineRule="exact"/>
        <w:ind w:firstLine="640" w:firstLineChars="200"/>
        <w:contextualSpacing/>
        <w:jc w:val="left"/>
        <w:rPr>
          <w:rFonts w:eastAsia="仿宋"/>
          <w:bCs/>
          <w:sz w:val="32"/>
          <w:szCs w:val="32"/>
        </w:rPr>
      </w:pPr>
      <w:r>
        <w:rPr>
          <w:rFonts w:eastAsia="仿宋"/>
          <w:bCs/>
          <w:sz w:val="32"/>
          <w:szCs w:val="32"/>
        </w:rPr>
        <w:t>1.认真贯彻执行党的路线、方针、政策和县委的指示、决议，按照新形势下党的建设</w:t>
      </w:r>
      <w:r>
        <w:rPr>
          <w:rFonts w:hint="eastAsia" w:eastAsia="仿宋"/>
          <w:bCs/>
          <w:sz w:val="32"/>
          <w:szCs w:val="32"/>
          <w:lang w:eastAsia="zh-CN"/>
        </w:rPr>
        <w:t>总要求和党的组织路线，</w:t>
      </w:r>
      <w:r>
        <w:rPr>
          <w:rFonts w:eastAsia="仿宋"/>
          <w:bCs/>
          <w:sz w:val="32"/>
          <w:szCs w:val="32"/>
        </w:rPr>
        <w:t>组织工作的总体部署和目标任务，调查研究有关党建和干部人事工作方面的新情况、新问题，提出实施党的政治路线、组织路线的具体措施，并认真贯彻落实。</w:t>
      </w:r>
    </w:p>
    <w:p w14:paraId="5BB7F9C4">
      <w:pPr>
        <w:widowControl/>
        <w:adjustRightInd w:val="0"/>
        <w:snapToGrid w:val="0"/>
        <w:spacing w:line="560" w:lineRule="exact"/>
        <w:ind w:firstLine="640" w:firstLineChars="200"/>
        <w:contextualSpacing/>
        <w:jc w:val="left"/>
        <w:rPr>
          <w:rFonts w:eastAsia="仿宋"/>
          <w:bCs/>
          <w:sz w:val="32"/>
          <w:szCs w:val="32"/>
        </w:rPr>
      </w:pPr>
      <w:r>
        <w:rPr>
          <w:rFonts w:eastAsia="仿宋"/>
          <w:bCs/>
          <w:sz w:val="32"/>
          <w:szCs w:val="32"/>
        </w:rPr>
        <w:t xml:space="preserve"> 2.督促指导全县基层党组织建设工作，特别是农村、机关、企业和新兴领域党的工作，认真贯彻执行党的基层组织工作条例，研究指导基层党组织的设置，党代会的召开，以及县属企事业单位的党建工作；检查督促乡（镇）党委、县级机关各部门党组织、县属企事业党支部贯彻民主集中制，坚持集体领导，健全党内政治生活和党员领导干部坚持过双重组织生活的情况，总结介绍经验，提出改进措施，并向县委作出报告；搞好党员管理和发展党员工作的指导，配合有关部门抓好党员教育和党风廉政建设。</w:t>
      </w:r>
    </w:p>
    <w:p w14:paraId="096A9FA3">
      <w:pPr>
        <w:widowControl/>
        <w:adjustRightInd w:val="0"/>
        <w:snapToGrid w:val="0"/>
        <w:spacing w:line="560" w:lineRule="exact"/>
        <w:ind w:firstLine="640" w:firstLineChars="200"/>
        <w:contextualSpacing/>
        <w:jc w:val="left"/>
        <w:rPr>
          <w:rFonts w:eastAsia="仿宋"/>
          <w:bCs/>
          <w:sz w:val="32"/>
          <w:szCs w:val="32"/>
        </w:rPr>
      </w:pPr>
      <w:r>
        <w:rPr>
          <w:rFonts w:eastAsia="仿宋"/>
          <w:bCs/>
          <w:sz w:val="32"/>
          <w:szCs w:val="32"/>
        </w:rPr>
        <w:t>3.认真贯彻执行《党政领导干部选拔任用工作条例》以及党的干部政策，坚持党管干部的原则，做好干部的年度、任期和日常考察，做好各级领导班子的人事安排、调整，配备好基层领导班子，按照德才兼备的标准积极培养选拔优秀年轻干部，搞好后备干部队伍建设。</w:t>
      </w:r>
    </w:p>
    <w:p w14:paraId="2AFAD21D">
      <w:pPr>
        <w:widowControl/>
        <w:adjustRightInd w:val="0"/>
        <w:snapToGrid w:val="0"/>
        <w:spacing w:line="560" w:lineRule="exact"/>
        <w:ind w:firstLine="640" w:firstLineChars="200"/>
        <w:contextualSpacing/>
        <w:jc w:val="left"/>
        <w:rPr>
          <w:rFonts w:eastAsia="仿宋"/>
          <w:bCs/>
          <w:sz w:val="32"/>
          <w:szCs w:val="32"/>
        </w:rPr>
      </w:pPr>
      <w:r>
        <w:rPr>
          <w:rFonts w:eastAsia="仿宋"/>
          <w:bCs/>
          <w:sz w:val="32"/>
          <w:szCs w:val="32"/>
        </w:rPr>
        <w:t>4.有计划、有步骤地开展全县干部培训，做好全县干部培训的指导和综合协调工作，积极完成上级分配的干部培训、调训任务，积极推荐州拔尖人才，管理县管拔尖人才，督促、指导和做好知识分子工作。</w:t>
      </w:r>
    </w:p>
    <w:p w14:paraId="55BF02A6">
      <w:pPr>
        <w:widowControl/>
        <w:adjustRightInd w:val="0"/>
        <w:snapToGrid w:val="0"/>
        <w:spacing w:line="560" w:lineRule="exact"/>
        <w:ind w:firstLine="640" w:firstLineChars="200"/>
        <w:contextualSpacing/>
        <w:jc w:val="left"/>
        <w:rPr>
          <w:rFonts w:eastAsia="仿宋"/>
          <w:bCs/>
          <w:sz w:val="32"/>
          <w:szCs w:val="32"/>
        </w:rPr>
      </w:pPr>
      <w:r>
        <w:rPr>
          <w:rFonts w:eastAsia="仿宋"/>
          <w:bCs/>
          <w:sz w:val="32"/>
          <w:szCs w:val="32"/>
        </w:rPr>
        <w:t>5.积极探索和推进党的建设，干部人事制度改革，加强组织人事工作的宏观管理。</w:t>
      </w:r>
    </w:p>
    <w:p w14:paraId="32732377">
      <w:pPr>
        <w:widowControl/>
        <w:adjustRightInd w:val="0"/>
        <w:snapToGrid w:val="0"/>
        <w:spacing w:line="560" w:lineRule="exact"/>
        <w:ind w:firstLine="640" w:firstLineChars="200"/>
        <w:contextualSpacing/>
        <w:jc w:val="left"/>
        <w:rPr>
          <w:rFonts w:eastAsia="仿宋"/>
          <w:bCs/>
          <w:sz w:val="32"/>
          <w:szCs w:val="32"/>
        </w:rPr>
      </w:pPr>
      <w:r>
        <w:rPr>
          <w:rFonts w:eastAsia="仿宋"/>
          <w:bCs/>
          <w:sz w:val="32"/>
          <w:szCs w:val="32"/>
        </w:rPr>
        <w:t>6.加强对老干部工作的领导、督促和指导协调，认真做好老干部工作，发挥“五老”在关心下一代的优势作用。</w:t>
      </w:r>
    </w:p>
    <w:p w14:paraId="2A4C4099">
      <w:pPr>
        <w:widowControl/>
        <w:adjustRightInd w:val="0"/>
        <w:snapToGrid w:val="0"/>
        <w:spacing w:line="560" w:lineRule="exact"/>
        <w:ind w:firstLine="640" w:firstLineChars="200"/>
        <w:contextualSpacing/>
        <w:jc w:val="left"/>
        <w:rPr>
          <w:rFonts w:eastAsia="仿宋"/>
          <w:bCs/>
          <w:sz w:val="32"/>
          <w:szCs w:val="32"/>
        </w:rPr>
      </w:pPr>
      <w:r>
        <w:rPr>
          <w:rFonts w:eastAsia="仿宋"/>
          <w:bCs/>
          <w:sz w:val="32"/>
          <w:szCs w:val="32"/>
        </w:rPr>
        <w:t>7.负责全县党员和党组织的统计，党费的收缴、管理、使用；负责全县干部统计，管好干部档案和本部的文书档案。</w:t>
      </w:r>
    </w:p>
    <w:p w14:paraId="294553D9">
      <w:pPr>
        <w:widowControl/>
        <w:adjustRightInd w:val="0"/>
        <w:snapToGrid w:val="0"/>
        <w:spacing w:line="560" w:lineRule="exact"/>
        <w:ind w:firstLine="640" w:firstLineChars="200"/>
        <w:contextualSpacing/>
        <w:jc w:val="left"/>
        <w:rPr>
          <w:rFonts w:eastAsia="仿宋"/>
          <w:bCs/>
          <w:sz w:val="32"/>
          <w:szCs w:val="32"/>
        </w:rPr>
      </w:pPr>
      <w:r>
        <w:rPr>
          <w:rFonts w:eastAsia="仿宋"/>
          <w:bCs/>
          <w:sz w:val="32"/>
          <w:szCs w:val="32"/>
        </w:rPr>
        <w:t>8.做好党员、干部、群众来信来访的接待工作，做好接转党组织关系、外调介绍信的有关工作。</w:t>
      </w:r>
    </w:p>
    <w:p w14:paraId="665B36DF">
      <w:pPr>
        <w:widowControl/>
        <w:adjustRightInd w:val="0"/>
        <w:snapToGrid w:val="0"/>
        <w:spacing w:line="560" w:lineRule="exact"/>
        <w:ind w:firstLine="640" w:firstLineChars="200"/>
        <w:contextualSpacing/>
        <w:jc w:val="left"/>
        <w:rPr>
          <w:rFonts w:eastAsia="仿宋"/>
          <w:bCs/>
          <w:sz w:val="32"/>
          <w:szCs w:val="32"/>
        </w:rPr>
      </w:pPr>
      <w:r>
        <w:rPr>
          <w:rFonts w:eastAsia="仿宋"/>
          <w:bCs/>
          <w:sz w:val="32"/>
          <w:szCs w:val="32"/>
        </w:rPr>
        <w:t>9.搞好本部的思想、作风、组织和业务建设；认真贯彻执行党的组织路线和干部政策。</w:t>
      </w:r>
    </w:p>
    <w:p w14:paraId="41C6D969">
      <w:pPr>
        <w:widowControl/>
        <w:adjustRightInd w:val="0"/>
        <w:snapToGrid w:val="0"/>
        <w:spacing w:line="560" w:lineRule="exact"/>
        <w:ind w:firstLine="640" w:firstLineChars="200"/>
        <w:contextualSpacing/>
        <w:jc w:val="left"/>
        <w:rPr>
          <w:rFonts w:eastAsia="仿宋"/>
          <w:bCs/>
          <w:sz w:val="32"/>
          <w:szCs w:val="32"/>
        </w:rPr>
      </w:pPr>
      <w:r>
        <w:rPr>
          <w:rFonts w:eastAsia="仿宋"/>
          <w:bCs/>
          <w:sz w:val="32"/>
          <w:szCs w:val="32"/>
        </w:rPr>
        <w:t>10.负责全县干部工作监督职责。</w:t>
      </w:r>
    </w:p>
    <w:p w14:paraId="7997EDBE">
      <w:pPr>
        <w:widowControl/>
        <w:adjustRightInd w:val="0"/>
        <w:snapToGrid w:val="0"/>
        <w:spacing w:line="560" w:lineRule="exact"/>
        <w:ind w:firstLine="640" w:firstLineChars="200"/>
        <w:contextualSpacing/>
        <w:jc w:val="left"/>
        <w:rPr>
          <w:rFonts w:eastAsia="仿宋"/>
          <w:bCs/>
          <w:sz w:val="32"/>
          <w:szCs w:val="32"/>
        </w:rPr>
      </w:pPr>
      <w:r>
        <w:rPr>
          <w:rFonts w:eastAsia="仿宋"/>
          <w:bCs/>
          <w:sz w:val="32"/>
          <w:szCs w:val="32"/>
        </w:rPr>
        <w:t>11.完成县委及州委组织部交办的其他任务。</w:t>
      </w:r>
    </w:p>
    <w:p w14:paraId="34A084BA">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rPr>
      </w:pPr>
      <w:r>
        <w:rPr>
          <w:rFonts w:eastAsia="楷体_GB2312"/>
          <w:b/>
          <w:bCs/>
          <w:color w:val="000000"/>
          <w:kern w:val="0"/>
          <w:sz w:val="32"/>
          <w:szCs w:val="32"/>
          <w:shd w:val="clear" w:color="auto" w:fill="FFFFFF"/>
        </w:rPr>
        <w:t>（三）人员概况</w:t>
      </w:r>
    </w:p>
    <w:p w14:paraId="0AF5D87E">
      <w:pPr>
        <w:spacing w:line="560" w:lineRule="exact"/>
        <w:ind w:firstLine="640" w:firstLineChars="200"/>
        <w:rPr>
          <w:rFonts w:eastAsia="仿宋_GB2312"/>
          <w:sz w:val="32"/>
          <w:szCs w:val="32"/>
        </w:rPr>
      </w:pPr>
      <w:r>
        <w:rPr>
          <w:rFonts w:eastAsia="仿宋_GB2312"/>
          <w:kern w:val="0"/>
          <w:sz w:val="32"/>
          <w:szCs w:val="32"/>
        </w:rPr>
        <w:t>中共阿坝州壤塘县委组织部，总编制32名，其中：行政编制1</w:t>
      </w:r>
      <w:r>
        <w:rPr>
          <w:rFonts w:hint="eastAsia" w:eastAsia="仿宋_GB2312"/>
          <w:kern w:val="0"/>
          <w:sz w:val="32"/>
          <w:szCs w:val="32"/>
        </w:rPr>
        <w:t>2</w:t>
      </w:r>
      <w:r>
        <w:rPr>
          <w:rFonts w:eastAsia="仿宋_GB2312"/>
          <w:kern w:val="0"/>
          <w:sz w:val="32"/>
          <w:szCs w:val="32"/>
        </w:rPr>
        <w:t>人、行政工勤2人、参照公务员法管理事业人员14人、事业管理人员4人。</w:t>
      </w:r>
    </w:p>
    <w:p w14:paraId="396923D5">
      <w:pPr>
        <w:widowControl/>
        <w:adjustRightInd w:val="0"/>
        <w:snapToGrid w:val="0"/>
        <w:spacing w:line="560" w:lineRule="exact"/>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二、部门财政资金收支情况</w:t>
      </w:r>
    </w:p>
    <w:p w14:paraId="018FC45E">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rPr>
      </w:pPr>
      <w:r>
        <w:rPr>
          <w:rFonts w:eastAsia="楷体_GB2312"/>
          <w:b/>
          <w:bCs/>
          <w:color w:val="000000"/>
          <w:kern w:val="0"/>
          <w:sz w:val="32"/>
          <w:szCs w:val="32"/>
          <w:shd w:val="clear" w:color="auto" w:fill="FFFFFF"/>
        </w:rPr>
        <w:t>（一）部门财政资金收入情况</w:t>
      </w:r>
    </w:p>
    <w:p w14:paraId="0C308102">
      <w:pPr>
        <w:pStyle w:val="50"/>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2023年财政下达</w:t>
      </w:r>
      <w:r>
        <w:rPr>
          <w:rFonts w:hint="eastAsia" w:ascii="仿宋_GB2312" w:hAnsi="仿宋_GB2312" w:eastAsia="仿宋_GB2312" w:cs="仿宋_GB2312"/>
          <w:kern w:val="2"/>
          <w:sz w:val="32"/>
          <w:szCs w:val="32"/>
        </w:rPr>
        <w:t>中共壤塘县委组织部</w:t>
      </w:r>
      <w:r>
        <w:rPr>
          <w:rFonts w:ascii="Times New Roman" w:hAnsi="Times New Roman" w:eastAsia="仿宋_GB2312"/>
          <w:sz w:val="32"/>
          <w:szCs w:val="32"/>
        </w:rPr>
        <w:t>年初预算收入</w:t>
      </w:r>
      <w:r>
        <w:rPr>
          <w:rFonts w:hint="eastAsia" w:ascii="Times New Roman" w:hAnsi="Times New Roman" w:eastAsia="仿宋_GB2312"/>
          <w:sz w:val="32"/>
          <w:szCs w:val="32"/>
        </w:rPr>
        <w:t>693.56</w:t>
      </w:r>
      <w:r>
        <w:rPr>
          <w:rFonts w:ascii="Times New Roman" w:hAnsi="Times New Roman" w:eastAsia="仿宋_GB2312"/>
          <w:sz w:val="32"/>
          <w:szCs w:val="32"/>
        </w:rPr>
        <w:t>万元，执行期中追加收入</w:t>
      </w:r>
      <w:r>
        <w:rPr>
          <w:rFonts w:hint="eastAsia" w:ascii="Times New Roman" w:hAnsi="Times New Roman" w:eastAsia="仿宋_GB2312"/>
          <w:sz w:val="32"/>
          <w:szCs w:val="32"/>
        </w:rPr>
        <w:t>716.44</w:t>
      </w:r>
      <w:r>
        <w:rPr>
          <w:rFonts w:ascii="Times New Roman" w:hAnsi="Times New Roman" w:eastAsia="仿宋_GB2312"/>
          <w:sz w:val="32"/>
          <w:szCs w:val="32"/>
        </w:rPr>
        <w:t>万元，本年度收入合计</w:t>
      </w:r>
      <w:r>
        <w:rPr>
          <w:rFonts w:hint="eastAsia" w:ascii="Times New Roman" w:hAnsi="Times New Roman" w:eastAsia="仿宋_GB2312"/>
          <w:sz w:val="32"/>
          <w:szCs w:val="32"/>
        </w:rPr>
        <w:t>1410</w:t>
      </w:r>
      <w:r>
        <w:rPr>
          <w:rFonts w:ascii="Times New Roman" w:hAnsi="Times New Roman" w:eastAsia="仿宋_GB2312"/>
          <w:sz w:val="32"/>
          <w:szCs w:val="32"/>
        </w:rPr>
        <w:t xml:space="preserve">万。   </w:t>
      </w:r>
    </w:p>
    <w:p w14:paraId="08B59218">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rPr>
      </w:pPr>
      <w:r>
        <w:rPr>
          <w:rFonts w:eastAsia="楷体_GB2312"/>
          <w:b/>
          <w:bCs/>
          <w:color w:val="000000"/>
          <w:kern w:val="0"/>
          <w:sz w:val="32"/>
          <w:szCs w:val="32"/>
          <w:shd w:val="clear" w:color="auto" w:fill="FFFFFF"/>
        </w:rPr>
        <w:t>（二）部门财政资金支出情况</w:t>
      </w:r>
    </w:p>
    <w:p w14:paraId="19E7B615">
      <w:pPr>
        <w:pStyle w:val="50"/>
        <w:spacing w:line="560" w:lineRule="exact"/>
        <w:ind w:firstLine="640"/>
        <w:rPr>
          <w:rFonts w:ascii="Times New Roman" w:hAnsi="Times New Roman" w:eastAsia="仿宋_GB2312"/>
          <w:sz w:val="32"/>
          <w:szCs w:val="32"/>
        </w:rPr>
      </w:pPr>
      <w:r>
        <w:rPr>
          <w:rFonts w:ascii="Times New Roman" w:hAnsi="Times New Roman" w:eastAsia="仿宋_GB2312"/>
          <w:sz w:val="32"/>
          <w:szCs w:val="32"/>
        </w:rPr>
        <w:t>2023年</w:t>
      </w:r>
      <w:r>
        <w:rPr>
          <w:rFonts w:hint="eastAsia" w:ascii="仿宋_GB2312" w:hAnsi="仿宋_GB2312" w:eastAsia="仿宋_GB2312" w:cs="仿宋_GB2312"/>
          <w:kern w:val="2"/>
          <w:sz w:val="32"/>
          <w:szCs w:val="32"/>
        </w:rPr>
        <w:t>中共壤塘县委组织部</w:t>
      </w:r>
      <w:r>
        <w:rPr>
          <w:rFonts w:ascii="Times New Roman" w:hAnsi="Times New Roman" w:eastAsia="仿宋_GB2312"/>
          <w:sz w:val="32"/>
          <w:szCs w:val="32"/>
        </w:rPr>
        <w:t>共计预算支出</w:t>
      </w:r>
      <w:r>
        <w:rPr>
          <w:rFonts w:hint="eastAsia" w:ascii="Times New Roman" w:hAnsi="Times New Roman" w:eastAsia="仿宋_GB2312"/>
          <w:sz w:val="32"/>
          <w:szCs w:val="32"/>
        </w:rPr>
        <w:t>1410</w:t>
      </w:r>
      <w:r>
        <w:rPr>
          <w:rFonts w:ascii="Times New Roman" w:hAnsi="Times New Roman" w:eastAsia="仿宋_GB2312"/>
          <w:sz w:val="32"/>
          <w:szCs w:val="32"/>
        </w:rPr>
        <w:t>万元，基本支出</w:t>
      </w:r>
      <w:r>
        <w:rPr>
          <w:rFonts w:hint="eastAsia" w:ascii="Times New Roman" w:hAnsi="Times New Roman" w:eastAsia="仿宋_GB2312"/>
          <w:sz w:val="32"/>
          <w:szCs w:val="32"/>
        </w:rPr>
        <w:t>838.99</w:t>
      </w:r>
      <w:r>
        <w:rPr>
          <w:rFonts w:ascii="Times New Roman" w:hAnsi="Times New Roman" w:eastAsia="仿宋_GB2312"/>
          <w:sz w:val="32"/>
          <w:szCs w:val="32"/>
        </w:rPr>
        <w:t>万元，项目支出</w:t>
      </w:r>
      <w:r>
        <w:rPr>
          <w:rFonts w:hint="eastAsia" w:ascii="Times New Roman" w:hAnsi="Times New Roman" w:eastAsia="仿宋_GB2312"/>
          <w:sz w:val="32"/>
          <w:szCs w:val="32"/>
        </w:rPr>
        <w:t>571.01</w:t>
      </w:r>
      <w:r>
        <w:rPr>
          <w:rFonts w:ascii="Times New Roman" w:hAnsi="Times New Roman" w:eastAsia="仿宋_GB2312"/>
          <w:sz w:val="32"/>
          <w:szCs w:val="32"/>
        </w:rPr>
        <w:t>万元。</w:t>
      </w:r>
    </w:p>
    <w:p w14:paraId="7859245A">
      <w:pPr>
        <w:widowControl/>
        <w:adjustRightInd w:val="0"/>
        <w:snapToGrid w:val="0"/>
        <w:spacing w:line="560" w:lineRule="exact"/>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三、部门整体预算绩效管理情况</w:t>
      </w:r>
    </w:p>
    <w:p w14:paraId="07FBC39A">
      <w:pPr>
        <w:pStyle w:val="11"/>
        <w:spacing w:line="560" w:lineRule="exact"/>
        <w:ind w:firstLine="643"/>
        <w:rPr>
          <w:rFonts w:eastAsia="楷体_GB2312"/>
          <w:b/>
          <w:color w:val="000000"/>
          <w:sz w:val="32"/>
          <w:shd w:val="clear" w:color="auto" w:fill="FFFFFF"/>
        </w:rPr>
      </w:pPr>
      <w:r>
        <w:rPr>
          <w:rFonts w:eastAsia="楷体_GB2312"/>
          <w:b/>
          <w:color w:val="000000"/>
          <w:sz w:val="32"/>
          <w:shd w:val="clear" w:color="auto" w:fill="FFFFFF"/>
        </w:rPr>
        <w:t>（一）部门预算管理</w:t>
      </w:r>
    </w:p>
    <w:p w14:paraId="223A988A">
      <w:pPr>
        <w:pStyle w:val="11"/>
        <w:spacing w:line="560" w:lineRule="exact"/>
        <w:ind w:firstLine="643"/>
        <w:rPr>
          <w:rFonts w:eastAsia="仿宋_GB2312"/>
          <w:sz w:val="32"/>
          <w:szCs w:val="32"/>
        </w:rPr>
      </w:pPr>
      <w:r>
        <w:rPr>
          <w:rFonts w:eastAsia="仿宋_GB2312"/>
          <w:b/>
          <w:kern w:val="2"/>
          <w:sz w:val="32"/>
        </w:rPr>
        <w:t>1、部门绩效目标制定情况</w:t>
      </w:r>
    </w:p>
    <w:p w14:paraId="6CDBE9D6">
      <w:pPr>
        <w:suppressAutoHyphens/>
        <w:spacing w:line="560" w:lineRule="exact"/>
        <w:ind w:firstLine="643" w:firstLineChars="200"/>
        <w:rPr>
          <w:rFonts w:eastAsia="仿宋_GB2312"/>
          <w:sz w:val="32"/>
          <w:szCs w:val="32"/>
        </w:rPr>
      </w:pPr>
      <w:r>
        <w:rPr>
          <w:rFonts w:eastAsia="仿宋_GB2312"/>
          <w:b/>
          <w:bCs/>
          <w:sz w:val="32"/>
          <w:szCs w:val="32"/>
        </w:rPr>
        <w:t>（</w:t>
      </w:r>
      <w:r>
        <w:rPr>
          <w:rFonts w:hint="eastAsia" w:eastAsia="仿宋_GB2312"/>
          <w:b/>
          <w:bCs/>
          <w:sz w:val="32"/>
          <w:szCs w:val="32"/>
          <w:lang w:val="en-US" w:eastAsia="zh-CN"/>
        </w:rPr>
        <w:t>1</w:t>
      </w:r>
      <w:r>
        <w:rPr>
          <w:rFonts w:eastAsia="仿宋_GB2312"/>
          <w:b/>
          <w:bCs/>
          <w:sz w:val="32"/>
          <w:szCs w:val="32"/>
        </w:rPr>
        <w:t>）加强基层组织建设，执政根基全面夯实。一是</w:t>
      </w:r>
      <w:r>
        <w:rPr>
          <w:rFonts w:eastAsia="仿宋_GB2312"/>
          <w:sz w:val="32"/>
          <w:szCs w:val="32"/>
        </w:rPr>
        <w:t>持续深化治理效能。构建“党建+自治、德治、法治”三治融合的乡村治理体系。探索形成了“1+3+N”干部联系服务群众新机制，实化“两联一进”群众工作。</w:t>
      </w:r>
      <w:r>
        <w:rPr>
          <w:rFonts w:eastAsia="仿宋_GB2312"/>
          <w:b/>
          <w:bCs/>
          <w:sz w:val="32"/>
          <w:szCs w:val="32"/>
        </w:rPr>
        <w:t>二是</w:t>
      </w:r>
      <w:r>
        <w:rPr>
          <w:rFonts w:eastAsia="仿宋_GB2312"/>
          <w:sz w:val="32"/>
          <w:szCs w:val="32"/>
        </w:rPr>
        <w:t>持续深化党建引领社区治理。构建“社区大党委—网格党小组—楼栋长—党员户”四级组织架构，完善网格运行机制。</w:t>
      </w:r>
      <w:r>
        <w:rPr>
          <w:rFonts w:eastAsia="仿宋_GB2312"/>
          <w:b/>
          <w:bCs/>
          <w:sz w:val="32"/>
          <w:szCs w:val="32"/>
        </w:rPr>
        <w:t>三是</w:t>
      </w:r>
      <w:r>
        <w:rPr>
          <w:rFonts w:eastAsia="仿宋_GB2312"/>
          <w:sz w:val="32"/>
          <w:szCs w:val="32"/>
        </w:rPr>
        <w:t>持续深化党建引领乡村振兴。实现县乡村“三级书记抓振兴”。</w:t>
      </w:r>
    </w:p>
    <w:p w14:paraId="643068C8">
      <w:pPr>
        <w:suppressAutoHyphens/>
        <w:spacing w:line="560" w:lineRule="exact"/>
        <w:ind w:firstLine="643" w:firstLineChars="200"/>
        <w:rPr>
          <w:rFonts w:eastAsia="仿宋_GB2312"/>
          <w:sz w:val="32"/>
          <w:szCs w:val="32"/>
        </w:rPr>
      </w:pPr>
      <w:r>
        <w:rPr>
          <w:rFonts w:eastAsia="仿宋_GB2312"/>
          <w:b/>
          <w:bCs/>
          <w:sz w:val="32"/>
          <w:szCs w:val="32"/>
        </w:rPr>
        <w:t>（</w:t>
      </w:r>
      <w:r>
        <w:rPr>
          <w:rFonts w:hint="eastAsia" w:eastAsia="仿宋_GB2312"/>
          <w:b/>
          <w:bCs/>
          <w:sz w:val="32"/>
          <w:szCs w:val="32"/>
          <w:lang w:val="en-US" w:eastAsia="zh-CN"/>
        </w:rPr>
        <w:t>2</w:t>
      </w:r>
      <w:r>
        <w:rPr>
          <w:rFonts w:eastAsia="仿宋_GB2312"/>
          <w:b/>
          <w:bCs/>
          <w:sz w:val="32"/>
          <w:szCs w:val="32"/>
        </w:rPr>
        <w:t>）加强干部队伍建设，能力素质不断增强。一是</w:t>
      </w:r>
      <w:r>
        <w:rPr>
          <w:rFonts w:eastAsia="仿宋_GB2312"/>
          <w:sz w:val="32"/>
          <w:szCs w:val="32"/>
        </w:rPr>
        <w:t>强化政治把关。注重在乡村振兴、脱贫攻坚、项目建设等急难险重一线考察识别干部，对政治不合格的实行“一票否决”。</w:t>
      </w:r>
      <w:r>
        <w:rPr>
          <w:rFonts w:eastAsia="仿宋_GB2312"/>
          <w:b/>
          <w:bCs/>
          <w:sz w:val="32"/>
          <w:szCs w:val="32"/>
        </w:rPr>
        <w:t>二是</w:t>
      </w:r>
      <w:r>
        <w:rPr>
          <w:rFonts w:eastAsia="仿宋_GB2312"/>
          <w:sz w:val="32"/>
          <w:szCs w:val="32"/>
        </w:rPr>
        <w:t>鲜明用人导向。落实好干部标准和“四个特别”要求，鲜明“干事不出事、干事出成效”导向，健全育用选全链条机制，完善能者上、庸者下、平者让机制。</w:t>
      </w:r>
    </w:p>
    <w:p w14:paraId="3308BBF3">
      <w:pPr>
        <w:pStyle w:val="11"/>
        <w:spacing w:line="560" w:lineRule="exact"/>
        <w:ind w:firstLine="643"/>
        <w:rPr>
          <w:rFonts w:eastAsia="仿宋_GB2312"/>
          <w:b/>
          <w:color w:val="000000"/>
          <w:sz w:val="32"/>
          <w:shd w:val="clear" w:color="auto" w:fill="FFFFFF"/>
        </w:rPr>
      </w:pPr>
      <w:r>
        <w:rPr>
          <w:rFonts w:eastAsia="仿宋_GB2312"/>
          <w:b/>
          <w:color w:val="000000"/>
          <w:sz w:val="32"/>
          <w:shd w:val="clear" w:color="auto" w:fill="FFFFFF"/>
        </w:rPr>
        <w:t>2、目标完成情况</w:t>
      </w:r>
    </w:p>
    <w:p w14:paraId="66D7670B">
      <w:pPr>
        <w:pStyle w:val="11"/>
        <w:spacing w:line="560" w:lineRule="exact"/>
        <w:ind w:firstLine="643"/>
        <w:rPr>
          <w:rFonts w:eastAsia="方正仿宋_GBK"/>
          <w:snapToGrid w:val="0"/>
          <w:sz w:val="32"/>
        </w:rPr>
      </w:pPr>
      <w:r>
        <w:rPr>
          <w:rFonts w:eastAsia="仿宋_GB2312"/>
          <w:b/>
          <w:color w:val="000000"/>
          <w:sz w:val="32"/>
          <w:shd w:val="clear" w:color="auto" w:fill="FFFFFF"/>
        </w:rPr>
        <w:t>（1）干部培训：</w:t>
      </w:r>
      <w:r>
        <w:rPr>
          <w:rFonts w:eastAsia="方正仿宋_GBK"/>
          <w:b/>
          <w:snapToGrid w:val="0"/>
          <w:sz w:val="32"/>
        </w:rPr>
        <w:t>一是</w:t>
      </w:r>
      <w:r>
        <w:rPr>
          <w:rFonts w:eastAsia="方正仿宋_GBK"/>
          <w:bCs w:val="0"/>
          <w:snapToGrid w:val="0"/>
          <w:sz w:val="32"/>
        </w:rPr>
        <w:t>积极招才引智。</w:t>
      </w:r>
      <w:r>
        <w:rPr>
          <w:rFonts w:eastAsia="方正仿宋_GBK"/>
          <w:snapToGrid w:val="0"/>
          <w:sz w:val="32"/>
        </w:rPr>
        <w:t>2023年共招录急需紧缺专业公务员、基层选调生、事业人员等95名，推进乡村人才振兴定向培养工作，完成11个专业17人的大学本科定向生协议签订</w:t>
      </w:r>
      <w:r>
        <w:rPr>
          <w:rFonts w:hint="eastAsia" w:eastAsia="方正仿宋_GBK"/>
          <w:snapToGrid w:val="0"/>
          <w:sz w:val="32"/>
        </w:rPr>
        <w:t>。</w:t>
      </w:r>
      <w:r>
        <w:rPr>
          <w:rFonts w:hint="eastAsia" w:eastAsia="方正仿宋_GBK"/>
          <w:b/>
          <w:snapToGrid w:val="0"/>
          <w:sz w:val="32"/>
        </w:rPr>
        <w:t>二</w:t>
      </w:r>
      <w:r>
        <w:rPr>
          <w:rFonts w:eastAsia="方正仿宋_GBK"/>
          <w:b/>
          <w:snapToGrid w:val="0"/>
          <w:sz w:val="32"/>
        </w:rPr>
        <w:t>是</w:t>
      </w:r>
      <w:r>
        <w:rPr>
          <w:rFonts w:eastAsia="方正仿宋_GBK"/>
          <w:bCs w:val="0"/>
          <w:snapToGrid w:val="0"/>
          <w:sz w:val="32"/>
        </w:rPr>
        <w:t>强化人才培育。</w:t>
      </w:r>
      <w:r>
        <w:rPr>
          <w:rFonts w:eastAsia="方正仿宋_GBK"/>
          <w:snapToGrid w:val="0"/>
          <w:sz w:val="32"/>
        </w:rPr>
        <w:t>统筹运用集中轮训、专题培训、网络培训、自主学习等方式，举办领导干部读书班、经济建设、乡村振兴等各类主体班、重点班共39期、覆盖6000人次。</w:t>
      </w:r>
      <w:r>
        <w:rPr>
          <w:rFonts w:hint="eastAsia" w:eastAsia="方正仿宋_GBK"/>
          <w:b/>
          <w:snapToGrid w:val="0"/>
          <w:sz w:val="32"/>
        </w:rPr>
        <w:t>三</w:t>
      </w:r>
      <w:r>
        <w:rPr>
          <w:rFonts w:eastAsia="方正仿宋_GBK"/>
          <w:b/>
          <w:snapToGrid w:val="0"/>
          <w:sz w:val="32"/>
        </w:rPr>
        <w:t>是</w:t>
      </w:r>
      <w:r>
        <w:rPr>
          <w:rFonts w:eastAsia="方正仿宋_GBK"/>
          <w:bCs w:val="0"/>
          <w:snapToGrid w:val="0"/>
          <w:sz w:val="32"/>
        </w:rPr>
        <w:t>优化科技帮扶</w:t>
      </w:r>
      <w:r>
        <w:rPr>
          <w:rFonts w:eastAsia="方正仿宋_GBK"/>
          <w:b/>
          <w:snapToGrid w:val="0"/>
          <w:sz w:val="32"/>
        </w:rPr>
        <w:t>。</w:t>
      </w:r>
      <w:r>
        <w:rPr>
          <w:rFonts w:eastAsia="方正仿宋_GBK"/>
          <w:snapToGrid w:val="0"/>
          <w:sz w:val="32"/>
        </w:rPr>
        <w:t>2023年，国家科技特派团专家帮扶工作天数总和达180天以上，对接服务产业8个，累计驻点服务覆盖6个乡镇13个行政村，解决20余项技术问题，引进新品种40个，引进企业1家。</w:t>
      </w:r>
    </w:p>
    <w:p w14:paraId="14FDCE57">
      <w:pPr>
        <w:pStyle w:val="11"/>
        <w:spacing w:line="560" w:lineRule="exact"/>
        <w:ind w:firstLine="643"/>
        <w:rPr>
          <w:rFonts w:eastAsia="方正仿宋_GBK"/>
          <w:color w:val="000000"/>
          <w:sz w:val="32"/>
          <w:shd w:val="clear" w:color="auto" w:fill="FFFFFF"/>
        </w:rPr>
      </w:pPr>
      <w:r>
        <w:rPr>
          <w:rFonts w:eastAsia="仿宋_GB2312"/>
          <w:b/>
          <w:color w:val="000000"/>
          <w:sz w:val="32"/>
          <w:shd w:val="clear" w:color="auto" w:fill="FFFFFF"/>
        </w:rPr>
        <w:t>（2）基层组织建设：</w:t>
      </w:r>
      <w:r>
        <w:rPr>
          <w:rFonts w:eastAsia="方正仿宋_GBK"/>
          <w:b/>
          <w:snapToGrid w:val="0"/>
          <w:sz w:val="32"/>
        </w:rPr>
        <w:t>一是</w:t>
      </w:r>
      <w:r>
        <w:rPr>
          <w:rFonts w:eastAsia="仿宋_GB2312"/>
          <w:bCs w:val="0"/>
          <w:kern w:val="2"/>
          <w:sz w:val="32"/>
        </w:rPr>
        <w:t>聚焦组织规范设置。新成立都江堰干休所党委和县委巡察办、县残疾人联合会支部等10个基层党组织，新建寺庙管理机构党支部1个</w:t>
      </w:r>
      <w:r>
        <w:rPr>
          <w:rFonts w:hint="eastAsia" w:eastAsia="仿宋_GB2312"/>
          <w:bCs w:val="0"/>
          <w:kern w:val="2"/>
          <w:sz w:val="32"/>
        </w:rPr>
        <w:t>；</w:t>
      </w:r>
      <w:r>
        <w:rPr>
          <w:rFonts w:eastAsia="方正仿宋_GBK"/>
          <w:b/>
          <w:snapToGrid w:val="0"/>
          <w:sz w:val="32"/>
        </w:rPr>
        <w:t>二是</w:t>
      </w:r>
      <w:r>
        <w:rPr>
          <w:rFonts w:eastAsia="仿宋_GB2312"/>
          <w:bCs w:val="0"/>
          <w:kern w:val="2"/>
          <w:sz w:val="32"/>
        </w:rPr>
        <w:t>聚焦队伍建设。制定《壤塘县政治素质体检清单》，对全县4000余名党员干部开展“政治素质体检”，党员干部自检问题328条</w:t>
      </w:r>
      <w:r>
        <w:rPr>
          <w:rFonts w:hint="eastAsia" w:eastAsia="仿宋_GB2312"/>
          <w:bCs w:val="0"/>
          <w:kern w:val="2"/>
          <w:sz w:val="32"/>
        </w:rPr>
        <w:t>；</w:t>
      </w:r>
      <w:r>
        <w:rPr>
          <w:rFonts w:eastAsia="方正仿宋_GBK"/>
          <w:b/>
          <w:snapToGrid w:val="0"/>
          <w:sz w:val="32"/>
        </w:rPr>
        <w:t>三是</w:t>
      </w:r>
      <w:r>
        <w:rPr>
          <w:rFonts w:eastAsia="仿宋_GB2312"/>
          <w:bCs w:val="0"/>
          <w:kern w:val="2"/>
          <w:sz w:val="32"/>
        </w:rPr>
        <w:t>聚焦作用发挥</w:t>
      </w:r>
      <w:r>
        <w:rPr>
          <w:rFonts w:hint="eastAsia" w:eastAsia="仿宋_GB2312"/>
          <w:bCs w:val="0"/>
          <w:kern w:val="2"/>
          <w:sz w:val="32"/>
        </w:rPr>
        <w:t>。</w:t>
      </w:r>
      <w:r>
        <w:rPr>
          <w:rFonts w:eastAsia="仿宋_GB2312"/>
          <w:bCs w:val="0"/>
          <w:kern w:val="2"/>
          <w:sz w:val="32"/>
        </w:rPr>
        <w:t>着力打通基层党员干部教育培训“最后一公里”，多措并举推进11个乡镇党校建设，构建“乡镇党校为主体+村教学点为支撑+实践基地为补充”的全覆盖培训阵地，做好党员的教育管理。</w:t>
      </w:r>
    </w:p>
    <w:p w14:paraId="17F82315">
      <w:pPr>
        <w:suppressAutoHyphens/>
        <w:spacing w:line="560" w:lineRule="exact"/>
        <w:ind w:firstLine="643" w:firstLineChars="200"/>
        <w:rPr>
          <w:rFonts w:eastAsia="仿宋_GB2312"/>
          <w:color w:val="000000"/>
          <w:kern w:val="0"/>
          <w:sz w:val="32"/>
          <w:szCs w:val="32"/>
          <w:shd w:val="clear" w:color="auto" w:fill="FFFFFF"/>
        </w:rPr>
      </w:pPr>
      <w:r>
        <w:rPr>
          <w:rFonts w:eastAsia="仿宋_GB2312"/>
          <w:b/>
          <w:bCs/>
          <w:color w:val="000000"/>
          <w:kern w:val="0"/>
          <w:sz w:val="32"/>
          <w:szCs w:val="32"/>
          <w:shd w:val="clear" w:color="auto" w:fill="FFFFFF"/>
        </w:rPr>
        <w:t>（3）干部队伍建设：</w:t>
      </w:r>
      <w:r>
        <w:rPr>
          <w:rFonts w:eastAsia="方正仿宋_GBK"/>
          <w:b/>
          <w:bCs/>
          <w:snapToGrid w:val="0"/>
          <w:sz w:val="32"/>
          <w:szCs w:val="32"/>
        </w:rPr>
        <w:t>一是</w:t>
      </w:r>
      <w:r>
        <w:rPr>
          <w:rFonts w:eastAsia="方正仿宋_GBK"/>
          <w:snapToGrid w:val="0"/>
          <w:sz w:val="32"/>
          <w:szCs w:val="32"/>
        </w:rPr>
        <w:t>拓宽选用渠道</w:t>
      </w:r>
      <w:r>
        <w:rPr>
          <w:rFonts w:eastAsia="方正仿宋_GBK"/>
          <w:b/>
          <w:bCs/>
          <w:snapToGrid w:val="0"/>
          <w:sz w:val="32"/>
          <w:szCs w:val="32"/>
        </w:rPr>
        <w:t>。</w:t>
      </w:r>
      <w:r>
        <w:rPr>
          <w:rFonts w:eastAsia="方正仿宋_GBK"/>
          <w:bCs/>
          <w:sz w:val="32"/>
          <w:szCs w:val="32"/>
        </w:rPr>
        <w:t>出台《壤塘县实施年轻干部红色薪火工程的工作方案》，分类建立四类干部“蓄水池”，储备优秀年轻干部119名、女干部34名、少数民族干部76名、党外干部15名</w:t>
      </w:r>
      <w:r>
        <w:rPr>
          <w:rFonts w:eastAsia="仿宋_GB2312"/>
          <w:color w:val="000000"/>
          <w:kern w:val="0"/>
          <w:sz w:val="32"/>
          <w:szCs w:val="32"/>
          <w:shd w:val="clear" w:color="auto" w:fill="FFFFFF"/>
        </w:rPr>
        <w:t>。</w:t>
      </w:r>
      <w:r>
        <w:rPr>
          <w:rFonts w:eastAsia="方正仿宋_GBK"/>
          <w:b/>
          <w:bCs/>
          <w:snapToGrid w:val="0"/>
          <w:sz w:val="32"/>
          <w:szCs w:val="32"/>
        </w:rPr>
        <w:t>二是</w:t>
      </w:r>
      <w:r>
        <w:rPr>
          <w:rFonts w:eastAsia="方正仿宋_GBK"/>
          <w:snapToGrid w:val="0"/>
          <w:sz w:val="32"/>
          <w:szCs w:val="32"/>
        </w:rPr>
        <w:t>强化日常监管。</w:t>
      </w:r>
      <w:r>
        <w:rPr>
          <w:rFonts w:eastAsia="方正仿宋_GBK"/>
          <w:bCs/>
          <w:snapToGrid w:val="0"/>
          <w:sz w:val="32"/>
          <w:szCs w:val="32"/>
        </w:rPr>
        <w:t>出台《壤塘县政治生态分析研判暂行办法》《壤塘县干部监督联席会议制度（试行）》，动态收集科级干部正面清单47条、负面清单8条，推动干部自我加压，激励干部担当作为。严格落实干部激励关怀措施，有序开展职级（职员等级）晋升，解决干部职级待遇5批262人，对294名干部记嘉奖、33名干部记三等功</w:t>
      </w:r>
      <w:r>
        <w:rPr>
          <w:rFonts w:hint="eastAsia" w:eastAsia="方正仿宋_GBK"/>
          <w:bCs/>
          <w:snapToGrid w:val="0"/>
          <w:sz w:val="32"/>
          <w:szCs w:val="32"/>
        </w:rPr>
        <w:t>。</w:t>
      </w:r>
      <w:r>
        <w:rPr>
          <w:rFonts w:eastAsia="方正仿宋_GBK"/>
          <w:b/>
          <w:bCs/>
          <w:snapToGrid w:val="0"/>
          <w:sz w:val="32"/>
          <w:szCs w:val="32"/>
        </w:rPr>
        <w:t>三是</w:t>
      </w:r>
      <w:r>
        <w:rPr>
          <w:rFonts w:eastAsia="方正仿宋_GBK"/>
          <w:snapToGrid w:val="0"/>
          <w:sz w:val="32"/>
          <w:szCs w:val="32"/>
        </w:rPr>
        <w:t>精准分析研判</w:t>
      </w:r>
      <w:r>
        <w:rPr>
          <w:rFonts w:eastAsia="方正仿宋_GBK"/>
          <w:b/>
          <w:bCs/>
          <w:snapToGrid w:val="0"/>
          <w:sz w:val="32"/>
          <w:szCs w:val="32"/>
        </w:rPr>
        <w:t>。</w:t>
      </w:r>
      <w:r>
        <w:rPr>
          <w:rFonts w:eastAsia="方正仿宋_GBK"/>
          <w:bCs/>
          <w:snapToGrid w:val="0"/>
          <w:sz w:val="32"/>
          <w:szCs w:val="32"/>
        </w:rPr>
        <w:t>围绕能力素质、干事创业、精神状态、廉洁自律、群众反映等情况，全覆盖对111名乡镇领导班子成员精准“画像”。</w:t>
      </w:r>
    </w:p>
    <w:p w14:paraId="0291E109">
      <w:pPr>
        <w:pStyle w:val="11"/>
        <w:spacing w:line="560" w:lineRule="exact"/>
        <w:ind w:firstLine="643"/>
        <w:rPr>
          <w:rFonts w:eastAsia="仿宋_GB2312"/>
          <w:b/>
          <w:color w:val="000000"/>
          <w:sz w:val="32"/>
          <w:shd w:val="clear" w:color="auto" w:fill="FFFFFF"/>
        </w:rPr>
      </w:pPr>
      <w:r>
        <w:rPr>
          <w:rFonts w:eastAsia="仿宋_GB2312"/>
          <w:b/>
          <w:color w:val="000000"/>
          <w:sz w:val="32"/>
          <w:shd w:val="clear" w:color="auto" w:fill="FFFFFF"/>
        </w:rPr>
        <w:t>3、预算编制情况</w:t>
      </w:r>
    </w:p>
    <w:p w14:paraId="484ACE3B">
      <w:pPr>
        <w:pStyle w:val="11"/>
        <w:spacing w:line="560" w:lineRule="exact"/>
        <w:ind w:firstLine="640"/>
        <w:rPr>
          <w:rFonts w:eastAsia="仿宋_GB2312"/>
          <w:color w:val="000000"/>
          <w:sz w:val="32"/>
          <w:shd w:val="clear" w:color="auto" w:fill="FFFFFF"/>
        </w:rPr>
      </w:pPr>
      <w:r>
        <w:rPr>
          <w:rFonts w:eastAsia="仿宋_GB2312"/>
          <w:sz w:val="32"/>
        </w:rPr>
        <w:t>2023年财政下达</w:t>
      </w:r>
      <w:r>
        <w:rPr>
          <w:rFonts w:hint="eastAsia" w:ascii="仿宋_GB2312" w:hAnsi="仿宋_GB2312" w:eastAsia="仿宋_GB2312" w:cs="仿宋_GB2312"/>
          <w:kern w:val="2"/>
          <w:sz w:val="32"/>
          <w:szCs w:val="32"/>
        </w:rPr>
        <w:t>中共壤塘县委组织部</w:t>
      </w:r>
      <w:r>
        <w:rPr>
          <w:rFonts w:eastAsia="仿宋_GB2312"/>
          <w:sz w:val="32"/>
        </w:rPr>
        <w:t>年初预算收入</w:t>
      </w:r>
      <w:r>
        <w:rPr>
          <w:rFonts w:hint="eastAsia" w:eastAsia="仿宋_GB2312"/>
          <w:sz w:val="32"/>
        </w:rPr>
        <w:t>693.56</w:t>
      </w:r>
      <w:r>
        <w:rPr>
          <w:rFonts w:eastAsia="仿宋_GB2312"/>
          <w:sz w:val="32"/>
        </w:rPr>
        <w:t>万元，</w:t>
      </w:r>
      <w:r>
        <w:rPr>
          <w:rFonts w:eastAsia="仿宋_GB2312"/>
          <w:color w:val="000000"/>
          <w:sz w:val="32"/>
          <w:shd w:val="clear" w:color="auto" w:fill="FFFFFF"/>
        </w:rPr>
        <w:t>执行期间根据工作安排和开展情况</w:t>
      </w:r>
      <w:r>
        <w:rPr>
          <w:rFonts w:eastAsia="仿宋_GB2312"/>
          <w:sz w:val="32"/>
        </w:rPr>
        <w:t>追加收入</w:t>
      </w:r>
      <w:r>
        <w:rPr>
          <w:rFonts w:hint="eastAsia" w:eastAsia="仿宋_GB2312"/>
          <w:sz w:val="32"/>
        </w:rPr>
        <w:t>716.44</w:t>
      </w:r>
      <w:r>
        <w:rPr>
          <w:rFonts w:eastAsia="仿宋_GB2312"/>
          <w:sz w:val="32"/>
        </w:rPr>
        <w:t>万元，</w:t>
      </w:r>
      <w:r>
        <w:rPr>
          <w:rFonts w:eastAsia="仿宋_GB2312"/>
          <w:color w:val="000000"/>
          <w:sz w:val="32"/>
          <w:shd w:val="clear" w:color="auto" w:fill="FFFFFF"/>
        </w:rPr>
        <w:t>2023全年实际</w:t>
      </w:r>
      <w:r>
        <w:rPr>
          <w:rFonts w:eastAsia="仿宋_GB2312"/>
          <w:sz w:val="32"/>
        </w:rPr>
        <w:t>收入合计</w:t>
      </w:r>
      <w:r>
        <w:rPr>
          <w:rFonts w:hint="eastAsia" w:eastAsia="仿宋_GB2312"/>
          <w:sz w:val="32"/>
        </w:rPr>
        <w:t>1410</w:t>
      </w:r>
      <w:r>
        <w:rPr>
          <w:rFonts w:eastAsia="仿宋_GB2312"/>
          <w:sz w:val="32"/>
        </w:rPr>
        <w:t>万</w:t>
      </w:r>
      <w:r>
        <w:rPr>
          <w:rFonts w:hint="eastAsia" w:eastAsia="仿宋_GB2312"/>
          <w:sz w:val="32"/>
        </w:rPr>
        <w:t>，</w:t>
      </w:r>
      <w:r>
        <w:rPr>
          <w:rFonts w:eastAsia="仿宋_GB2312"/>
          <w:color w:val="000000"/>
          <w:sz w:val="32"/>
          <w:shd w:val="clear" w:color="auto" w:fill="FFFFFF"/>
        </w:rPr>
        <w:t>年末无结转结余，预算编制准确率较高。严格按照预算编制方案科学合理编制本单位预算，提前做好情况摸底、数据收集、填报绩效目标、细化专项预算，按照人员经费逐人核定编制，公用经费按定额编制；根据“总量控制、计划管理”的`要求从严控制机关经费，严格编制“</w:t>
      </w:r>
      <w:r>
        <w:rPr>
          <w:rFonts w:hint="eastAsia" w:eastAsia="仿宋_GB2312"/>
          <w:color w:val="000000"/>
          <w:sz w:val="32"/>
          <w:shd w:val="clear" w:color="auto" w:fill="FFFFFF"/>
          <w:lang w:eastAsia="zh-CN"/>
        </w:rPr>
        <w:t>三公”经费</w:t>
      </w:r>
      <w:r>
        <w:rPr>
          <w:rFonts w:eastAsia="仿宋_GB2312"/>
          <w:color w:val="000000"/>
          <w:sz w:val="32"/>
          <w:shd w:val="clear" w:color="auto" w:fill="FFFFFF"/>
        </w:rPr>
        <w:t>预算，压缩公业务费，科学编制项目支出，编制部门预算项目绩效目标，按时完成预算编制报送工作。</w:t>
      </w:r>
    </w:p>
    <w:p w14:paraId="3230E77C">
      <w:pPr>
        <w:pStyle w:val="11"/>
        <w:spacing w:line="560" w:lineRule="exact"/>
        <w:ind w:firstLine="643"/>
        <w:rPr>
          <w:rFonts w:eastAsia="仿宋_GB2312"/>
          <w:b/>
          <w:color w:val="000000"/>
          <w:sz w:val="32"/>
          <w:shd w:val="clear" w:color="auto" w:fill="FFFFFF"/>
        </w:rPr>
      </w:pPr>
      <w:r>
        <w:rPr>
          <w:rFonts w:eastAsia="仿宋_GB2312"/>
          <w:b/>
          <w:color w:val="000000"/>
          <w:sz w:val="32"/>
          <w:shd w:val="clear" w:color="auto" w:fill="FFFFFF"/>
        </w:rPr>
        <w:t>4、执行进度情况</w:t>
      </w:r>
    </w:p>
    <w:p w14:paraId="16DA3640">
      <w:pPr>
        <w:pStyle w:val="11"/>
        <w:spacing w:line="560" w:lineRule="exact"/>
        <w:ind w:firstLine="640"/>
        <w:rPr>
          <w:rFonts w:eastAsia="仿宋_GB2312"/>
          <w:color w:val="000000"/>
          <w:sz w:val="32"/>
          <w:shd w:val="clear" w:color="auto" w:fill="FFFFFF"/>
        </w:rPr>
      </w:pPr>
      <w:r>
        <w:rPr>
          <w:rFonts w:eastAsia="仿宋_GB2312"/>
          <w:color w:val="000000"/>
          <w:sz w:val="32"/>
          <w:shd w:val="clear" w:color="auto" w:fill="FFFFFF"/>
        </w:rPr>
        <w:t>2023年财政下达</w:t>
      </w:r>
      <w:r>
        <w:rPr>
          <w:rFonts w:hint="eastAsia" w:ascii="仿宋_GB2312" w:hAnsi="仿宋_GB2312" w:eastAsia="仿宋_GB2312" w:cs="仿宋_GB2312"/>
          <w:kern w:val="2"/>
          <w:sz w:val="32"/>
          <w:szCs w:val="32"/>
        </w:rPr>
        <w:t>中共壤塘县委组织部</w:t>
      </w:r>
      <w:r>
        <w:rPr>
          <w:rFonts w:eastAsia="仿宋_GB2312"/>
          <w:color w:val="000000"/>
          <w:sz w:val="32"/>
          <w:shd w:val="clear" w:color="auto" w:fill="FFFFFF"/>
        </w:rPr>
        <w:t>年初预算收入</w:t>
      </w:r>
      <w:r>
        <w:rPr>
          <w:rFonts w:hint="eastAsia" w:eastAsia="仿宋_GB2312"/>
          <w:color w:val="000000"/>
          <w:sz w:val="32"/>
          <w:shd w:val="clear" w:color="auto" w:fill="FFFFFF"/>
        </w:rPr>
        <w:t>693.56</w:t>
      </w:r>
      <w:r>
        <w:rPr>
          <w:rFonts w:eastAsia="仿宋_GB2312"/>
          <w:color w:val="000000"/>
          <w:sz w:val="32"/>
          <w:shd w:val="clear" w:color="auto" w:fill="FFFFFF"/>
        </w:rPr>
        <w:t>万元，执行期中追加收入</w:t>
      </w:r>
      <w:r>
        <w:rPr>
          <w:rFonts w:hint="eastAsia" w:eastAsia="仿宋_GB2312"/>
          <w:color w:val="000000"/>
          <w:sz w:val="32"/>
          <w:shd w:val="clear" w:color="auto" w:fill="FFFFFF"/>
        </w:rPr>
        <w:t>716.44</w:t>
      </w:r>
      <w:r>
        <w:rPr>
          <w:rFonts w:eastAsia="仿宋_GB2312"/>
          <w:color w:val="000000"/>
          <w:sz w:val="32"/>
          <w:shd w:val="clear" w:color="auto" w:fill="FFFFFF"/>
        </w:rPr>
        <w:t>万元本年度收入合计</w:t>
      </w:r>
      <w:r>
        <w:rPr>
          <w:rFonts w:hint="eastAsia" w:eastAsia="仿宋_GB2312"/>
          <w:color w:val="000000"/>
          <w:sz w:val="32"/>
          <w:shd w:val="clear" w:color="auto" w:fill="FFFFFF"/>
        </w:rPr>
        <w:t>1410</w:t>
      </w:r>
      <w:r>
        <w:rPr>
          <w:rFonts w:eastAsia="仿宋_GB2312"/>
          <w:color w:val="000000"/>
          <w:sz w:val="32"/>
          <w:shd w:val="clear" w:color="auto" w:fill="FFFFFF"/>
        </w:rPr>
        <w:t>万。年末无结转结余，进度符合标准达到预期目标。</w:t>
      </w:r>
    </w:p>
    <w:p w14:paraId="5DF6892D">
      <w:pPr>
        <w:pStyle w:val="11"/>
        <w:spacing w:line="560" w:lineRule="exact"/>
        <w:ind w:firstLine="643"/>
        <w:rPr>
          <w:rFonts w:eastAsia="仿宋_GB2312"/>
          <w:b/>
          <w:color w:val="000000"/>
          <w:sz w:val="32"/>
          <w:shd w:val="clear" w:color="auto" w:fill="FFFFFF"/>
        </w:rPr>
      </w:pPr>
      <w:r>
        <w:rPr>
          <w:rFonts w:eastAsia="仿宋_GB2312"/>
          <w:b/>
          <w:color w:val="000000"/>
          <w:sz w:val="32"/>
          <w:shd w:val="clear" w:color="auto" w:fill="FFFFFF"/>
        </w:rPr>
        <w:t>5、预算完成情况</w:t>
      </w:r>
    </w:p>
    <w:p w14:paraId="4729E6DC">
      <w:pPr>
        <w:pStyle w:val="11"/>
        <w:spacing w:line="560" w:lineRule="exact"/>
        <w:ind w:firstLine="640"/>
        <w:rPr>
          <w:rFonts w:eastAsia="仿宋_GB2312"/>
          <w:color w:val="000000"/>
          <w:sz w:val="32"/>
          <w:shd w:val="clear" w:color="auto" w:fill="FFFFFF"/>
        </w:rPr>
      </w:pPr>
      <w:r>
        <w:rPr>
          <w:rFonts w:eastAsia="仿宋_GB2312"/>
          <w:color w:val="000000"/>
          <w:sz w:val="32"/>
          <w:shd w:val="clear" w:color="auto" w:fill="FFFFFF"/>
        </w:rPr>
        <w:t>2023年财政下达</w:t>
      </w:r>
      <w:r>
        <w:rPr>
          <w:rFonts w:hint="eastAsia" w:ascii="仿宋_GB2312" w:hAnsi="仿宋_GB2312" w:eastAsia="仿宋_GB2312" w:cs="仿宋_GB2312"/>
          <w:kern w:val="2"/>
          <w:sz w:val="32"/>
          <w:szCs w:val="32"/>
        </w:rPr>
        <w:t>中共壤塘县委组织部</w:t>
      </w:r>
      <w:r>
        <w:rPr>
          <w:rFonts w:eastAsia="仿宋_GB2312"/>
          <w:color w:val="000000"/>
          <w:sz w:val="32"/>
          <w:shd w:val="clear" w:color="auto" w:fill="FFFFFF"/>
        </w:rPr>
        <w:t>年初预算收入</w:t>
      </w:r>
      <w:r>
        <w:rPr>
          <w:rFonts w:hint="eastAsia" w:eastAsia="仿宋_GB2312"/>
          <w:color w:val="000000"/>
          <w:sz w:val="32"/>
          <w:shd w:val="clear" w:color="auto" w:fill="FFFFFF"/>
        </w:rPr>
        <w:t>693.56</w:t>
      </w:r>
      <w:r>
        <w:rPr>
          <w:rFonts w:eastAsia="仿宋_GB2312"/>
          <w:color w:val="000000"/>
          <w:sz w:val="32"/>
          <w:shd w:val="clear" w:color="auto" w:fill="FFFFFF"/>
        </w:rPr>
        <w:t>万元，执行期中追加收入</w:t>
      </w:r>
      <w:r>
        <w:rPr>
          <w:rFonts w:hint="eastAsia" w:eastAsia="仿宋_GB2312"/>
          <w:color w:val="000000"/>
          <w:sz w:val="32"/>
          <w:shd w:val="clear" w:color="auto" w:fill="FFFFFF"/>
        </w:rPr>
        <w:t>716.44</w:t>
      </w:r>
      <w:r>
        <w:rPr>
          <w:rFonts w:eastAsia="仿宋_GB2312"/>
          <w:color w:val="000000"/>
          <w:sz w:val="32"/>
          <w:shd w:val="clear" w:color="auto" w:fill="FFFFFF"/>
        </w:rPr>
        <w:t>万元，本年度收入合计</w:t>
      </w:r>
      <w:r>
        <w:rPr>
          <w:rFonts w:hint="eastAsia" w:eastAsia="仿宋_GB2312"/>
          <w:color w:val="000000"/>
          <w:sz w:val="32"/>
          <w:shd w:val="clear" w:color="auto" w:fill="FFFFFF"/>
        </w:rPr>
        <w:t>1410</w:t>
      </w:r>
      <w:r>
        <w:rPr>
          <w:rFonts w:eastAsia="仿宋_GB2312"/>
          <w:color w:val="000000"/>
          <w:sz w:val="32"/>
          <w:shd w:val="clear" w:color="auto" w:fill="FFFFFF"/>
        </w:rPr>
        <w:t xml:space="preserve">万。年末无结转结余，单位执行进度为100%，达到预期目标。   </w:t>
      </w:r>
    </w:p>
    <w:p w14:paraId="21DE8A48">
      <w:pPr>
        <w:pStyle w:val="11"/>
        <w:spacing w:line="560" w:lineRule="exact"/>
        <w:ind w:firstLine="643"/>
        <w:rPr>
          <w:rFonts w:eastAsia="仿宋_GB2312"/>
          <w:b/>
          <w:color w:val="000000"/>
          <w:sz w:val="32"/>
          <w:shd w:val="clear" w:color="auto" w:fill="FFFFFF"/>
        </w:rPr>
      </w:pPr>
      <w:r>
        <w:rPr>
          <w:rFonts w:eastAsia="仿宋_GB2312"/>
          <w:b/>
          <w:color w:val="000000"/>
          <w:sz w:val="32"/>
          <w:shd w:val="clear" w:color="auto" w:fill="FFFFFF"/>
        </w:rPr>
        <w:t>6、行政成本</w:t>
      </w:r>
    </w:p>
    <w:p w14:paraId="22CAEF85">
      <w:pPr>
        <w:pStyle w:val="11"/>
        <w:spacing w:line="560" w:lineRule="exact"/>
        <w:ind w:firstLine="640"/>
        <w:rPr>
          <w:rFonts w:eastAsia="仿宋_GB2312"/>
          <w:color w:val="000000"/>
          <w:sz w:val="32"/>
          <w:shd w:val="clear" w:color="auto" w:fill="FFFFFF"/>
        </w:rPr>
      </w:pPr>
      <w:r>
        <w:rPr>
          <w:rFonts w:eastAsia="仿宋_GB2312"/>
          <w:color w:val="000000"/>
          <w:sz w:val="32"/>
          <w:shd w:val="clear" w:color="auto" w:fill="FFFFFF"/>
        </w:rPr>
        <w:t>“三公”经费控制。</w:t>
      </w:r>
      <w:r>
        <w:rPr>
          <w:rFonts w:hint="eastAsia" w:ascii="仿宋_GB2312" w:hAnsi="仿宋_GB2312" w:eastAsia="仿宋_GB2312" w:cs="仿宋_GB2312"/>
          <w:kern w:val="2"/>
          <w:sz w:val="32"/>
          <w:szCs w:val="32"/>
        </w:rPr>
        <w:t>中共壤塘县委组织部</w:t>
      </w:r>
      <w:r>
        <w:rPr>
          <w:rFonts w:eastAsia="仿宋_GB2312"/>
          <w:color w:val="000000"/>
          <w:sz w:val="32"/>
          <w:shd w:val="clear" w:color="auto" w:fill="FFFFFF"/>
        </w:rPr>
        <w:t>2023年“三公”经费预算</w:t>
      </w:r>
      <w:r>
        <w:rPr>
          <w:rFonts w:hint="eastAsia" w:eastAsia="仿宋_GB2312"/>
          <w:color w:val="000000"/>
          <w:sz w:val="32"/>
          <w:shd w:val="clear" w:color="auto" w:fill="FFFFFF"/>
        </w:rPr>
        <w:t>15.91</w:t>
      </w:r>
      <w:r>
        <w:rPr>
          <w:rFonts w:eastAsia="仿宋_GB2312"/>
          <w:color w:val="000000"/>
          <w:sz w:val="32"/>
          <w:shd w:val="clear" w:color="auto" w:fill="FFFFFF"/>
        </w:rPr>
        <w:t>万元，决算支出</w:t>
      </w:r>
      <w:r>
        <w:rPr>
          <w:rFonts w:hint="eastAsia" w:eastAsia="仿宋_GB2312"/>
          <w:color w:val="000000"/>
          <w:sz w:val="32"/>
          <w:shd w:val="clear" w:color="auto" w:fill="FFFFFF"/>
        </w:rPr>
        <w:t>15.91</w:t>
      </w:r>
      <w:r>
        <w:rPr>
          <w:rFonts w:eastAsia="仿宋_GB2312"/>
          <w:color w:val="000000"/>
          <w:sz w:val="32"/>
          <w:shd w:val="clear" w:color="auto" w:fill="FFFFFF"/>
        </w:rPr>
        <w:t>万元。其中公务用车购置及运行维护费预算</w:t>
      </w:r>
      <w:r>
        <w:rPr>
          <w:rFonts w:hint="eastAsia" w:eastAsia="仿宋_GB2312"/>
          <w:color w:val="000000"/>
          <w:sz w:val="32"/>
          <w:shd w:val="clear" w:color="auto" w:fill="FFFFFF"/>
        </w:rPr>
        <w:t>15.91</w:t>
      </w:r>
      <w:r>
        <w:rPr>
          <w:rFonts w:eastAsia="仿宋_GB2312"/>
          <w:color w:val="000000"/>
          <w:sz w:val="32"/>
          <w:shd w:val="clear" w:color="auto" w:fill="FFFFFF"/>
        </w:rPr>
        <w:t>万元，决算支出</w:t>
      </w:r>
      <w:r>
        <w:rPr>
          <w:rFonts w:hint="eastAsia" w:eastAsia="仿宋_GB2312"/>
          <w:color w:val="000000"/>
          <w:sz w:val="32"/>
          <w:shd w:val="clear" w:color="auto" w:fill="FFFFFF"/>
        </w:rPr>
        <w:t>15.91</w:t>
      </w:r>
      <w:r>
        <w:rPr>
          <w:rFonts w:eastAsia="仿宋_GB2312"/>
          <w:color w:val="000000"/>
          <w:sz w:val="32"/>
          <w:shd w:val="clear" w:color="auto" w:fill="FFFFFF"/>
        </w:rPr>
        <w:t>万元（其中公务用车运行维护费</w:t>
      </w:r>
      <w:r>
        <w:rPr>
          <w:rFonts w:hint="eastAsia" w:eastAsia="仿宋_GB2312"/>
          <w:color w:val="000000"/>
          <w:sz w:val="32"/>
          <w:shd w:val="clear" w:color="auto" w:fill="FFFFFF"/>
        </w:rPr>
        <w:t>15.91</w:t>
      </w:r>
      <w:r>
        <w:rPr>
          <w:rFonts w:eastAsia="仿宋_GB2312"/>
          <w:color w:val="000000"/>
          <w:sz w:val="32"/>
          <w:shd w:val="clear" w:color="auto" w:fill="FFFFFF"/>
        </w:rPr>
        <w:t>万元），公务接待费年初预算数</w:t>
      </w:r>
      <w:r>
        <w:rPr>
          <w:rFonts w:hint="eastAsia" w:eastAsia="仿宋_GB2312"/>
          <w:color w:val="000000"/>
          <w:sz w:val="32"/>
          <w:shd w:val="clear" w:color="auto" w:fill="FFFFFF"/>
        </w:rPr>
        <w:t>0</w:t>
      </w:r>
      <w:r>
        <w:rPr>
          <w:rFonts w:eastAsia="仿宋_GB2312"/>
          <w:color w:val="000000"/>
          <w:sz w:val="32"/>
          <w:shd w:val="clear" w:color="auto" w:fill="FFFFFF"/>
        </w:rPr>
        <w:t>万元，决算数</w:t>
      </w:r>
      <w:r>
        <w:rPr>
          <w:rFonts w:hint="eastAsia" w:eastAsia="仿宋_GB2312"/>
          <w:color w:val="000000"/>
          <w:sz w:val="32"/>
          <w:shd w:val="clear" w:color="auto" w:fill="FFFFFF"/>
        </w:rPr>
        <w:t>0</w:t>
      </w:r>
      <w:r>
        <w:rPr>
          <w:rFonts w:eastAsia="仿宋_GB2312"/>
          <w:color w:val="000000"/>
          <w:sz w:val="32"/>
          <w:shd w:val="clear" w:color="auto" w:fill="FFFFFF"/>
        </w:rPr>
        <w:t>万元,未发生因公出国（境）费，2023年“三公”经费决算均未超过预算。</w:t>
      </w:r>
    </w:p>
    <w:p w14:paraId="7AB9465A">
      <w:pPr>
        <w:pStyle w:val="11"/>
        <w:spacing w:line="560" w:lineRule="exact"/>
        <w:ind w:firstLine="643"/>
        <w:rPr>
          <w:rFonts w:eastAsia="仿宋_GB2312"/>
          <w:b/>
          <w:color w:val="000000"/>
          <w:sz w:val="32"/>
          <w:shd w:val="clear" w:color="auto" w:fill="FFFFFF"/>
        </w:rPr>
      </w:pPr>
      <w:r>
        <w:rPr>
          <w:rFonts w:eastAsia="仿宋_GB2312"/>
          <w:b/>
          <w:color w:val="000000"/>
          <w:sz w:val="32"/>
          <w:shd w:val="clear" w:color="auto" w:fill="FFFFFF"/>
        </w:rPr>
        <w:t>7、政府采购</w:t>
      </w:r>
    </w:p>
    <w:p w14:paraId="06C59567">
      <w:pPr>
        <w:pStyle w:val="11"/>
        <w:spacing w:line="560" w:lineRule="exact"/>
        <w:ind w:firstLine="640"/>
        <w:rPr>
          <w:rFonts w:eastAsia="仿宋_GB2312"/>
          <w:sz w:val="32"/>
          <w:shd w:val="clear" w:color="auto" w:fill="FFFFFF"/>
        </w:rPr>
      </w:pPr>
      <w:r>
        <w:rPr>
          <w:rFonts w:eastAsia="仿宋_GB2312"/>
          <w:sz w:val="32"/>
          <w:shd w:val="clear" w:color="auto" w:fill="FFFFFF"/>
        </w:rPr>
        <w:t>采购规范性。</w:t>
      </w:r>
      <w:r>
        <w:rPr>
          <w:rFonts w:hint="eastAsia" w:ascii="仿宋_GB2312" w:hAnsi="仿宋_GB2312" w:eastAsia="仿宋_GB2312" w:cs="仿宋_GB2312"/>
          <w:kern w:val="2"/>
          <w:sz w:val="32"/>
          <w:szCs w:val="32"/>
        </w:rPr>
        <w:t>中共壤塘县委组织部</w:t>
      </w:r>
      <w:r>
        <w:rPr>
          <w:rFonts w:eastAsia="仿宋_GB2312"/>
          <w:sz w:val="32"/>
          <w:shd w:val="clear" w:color="auto" w:fill="FFFFFF"/>
        </w:rPr>
        <w:t>2023年度政府采购支出</w:t>
      </w:r>
      <w:r>
        <w:rPr>
          <w:rFonts w:hint="eastAsia" w:eastAsia="仿宋_GB2312"/>
          <w:sz w:val="32"/>
          <w:shd w:val="clear" w:color="auto" w:fill="FFFFFF"/>
        </w:rPr>
        <w:t xml:space="preserve">9.41 </w:t>
      </w:r>
      <w:r>
        <w:rPr>
          <w:rFonts w:eastAsia="仿宋_GB2312"/>
          <w:sz w:val="32"/>
          <w:shd w:val="clear" w:color="auto" w:fill="FFFFFF"/>
        </w:rPr>
        <w:t>万元，其中货物支出</w:t>
      </w:r>
      <w:r>
        <w:rPr>
          <w:rFonts w:eastAsia="仿宋_GB2312"/>
          <w:sz w:val="32"/>
          <w:szCs w:val="32"/>
        </w:rPr>
        <w:t>9.41</w:t>
      </w:r>
      <w:r>
        <w:rPr>
          <w:rFonts w:eastAsia="仿宋_GB2312"/>
          <w:sz w:val="32"/>
          <w:shd w:val="clear" w:color="auto" w:fill="FFFFFF"/>
        </w:rPr>
        <w:t>万元，政府采购工程支出</w:t>
      </w:r>
      <w:r>
        <w:rPr>
          <w:rFonts w:hint="eastAsia" w:eastAsia="仿宋_GB2312"/>
          <w:sz w:val="32"/>
          <w:shd w:val="clear" w:color="auto" w:fill="FFFFFF"/>
          <w:lang w:val="en-US" w:eastAsia="zh-CN"/>
        </w:rPr>
        <w:t>0</w:t>
      </w:r>
      <w:r>
        <w:rPr>
          <w:rFonts w:eastAsia="仿宋_GB2312"/>
          <w:sz w:val="32"/>
          <w:shd w:val="clear" w:color="auto" w:fill="FFFFFF"/>
        </w:rPr>
        <w:t>万元，政府采购服务支出0万元。</w:t>
      </w:r>
    </w:p>
    <w:p w14:paraId="6608A526">
      <w:pPr>
        <w:pStyle w:val="11"/>
        <w:spacing w:line="560" w:lineRule="exact"/>
        <w:ind w:firstLine="321" w:firstLineChars="100"/>
        <w:rPr>
          <w:rFonts w:eastAsia="仿宋_GB2312"/>
          <w:color w:val="000000"/>
          <w:sz w:val="32"/>
          <w:shd w:val="clear" w:color="auto" w:fill="FFFFFF"/>
        </w:rPr>
      </w:pPr>
      <w:r>
        <w:rPr>
          <w:rFonts w:eastAsia="仿宋_GB2312"/>
          <w:b/>
          <w:color w:val="000000"/>
          <w:sz w:val="32"/>
          <w:shd w:val="clear" w:color="auto" w:fill="FFFFFF"/>
        </w:rPr>
        <w:t xml:space="preserve">8、资产管理 </w:t>
      </w:r>
    </w:p>
    <w:p w14:paraId="51C6E748">
      <w:pPr>
        <w:pStyle w:val="11"/>
        <w:spacing w:line="560" w:lineRule="exact"/>
        <w:ind w:firstLine="640"/>
        <w:rPr>
          <w:rFonts w:eastAsia="仿宋_GB2312"/>
          <w:color w:val="000000"/>
          <w:sz w:val="32"/>
          <w:shd w:val="clear" w:color="auto" w:fill="FFFFFF"/>
        </w:rPr>
      </w:pPr>
      <w:r>
        <w:rPr>
          <w:rFonts w:eastAsia="仿宋_GB2312"/>
          <w:color w:val="000000"/>
          <w:sz w:val="32"/>
          <w:shd w:val="clear" w:color="auto" w:fill="FFFFFF"/>
        </w:rPr>
        <w:t>固定资产在用率。截止2023年12月31日，</w:t>
      </w:r>
      <w:r>
        <w:rPr>
          <w:rFonts w:hint="eastAsia" w:ascii="仿宋_GB2312" w:hAnsi="仿宋_GB2312" w:eastAsia="仿宋_GB2312" w:cs="仿宋_GB2312"/>
          <w:kern w:val="2"/>
          <w:sz w:val="32"/>
          <w:szCs w:val="32"/>
        </w:rPr>
        <w:t>中共壤塘县委组织部</w:t>
      </w:r>
      <w:r>
        <w:rPr>
          <w:rFonts w:eastAsia="仿宋_GB2312"/>
          <w:color w:val="000000"/>
          <w:sz w:val="32"/>
          <w:shd w:val="clear" w:color="auto" w:fill="FFFFFF"/>
        </w:rPr>
        <w:t>《行政单位资产管理系统》资产总计</w:t>
      </w:r>
      <w:r>
        <w:rPr>
          <w:rFonts w:hint="eastAsia" w:eastAsia="仿宋_GB2312"/>
          <w:color w:val="000000"/>
          <w:sz w:val="32"/>
          <w:shd w:val="clear" w:color="auto" w:fill="FFFFFF"/>
        </w:rPr>
        <w:t>528.07</w:t>
      </w:r>
      <w:r>
        <w:rPr>
          <w:rFonts w:eastAsia="仿宋_GB2312"/>
          <w:color w:val="000000"/>
          <w:sz w:val="32"/>
          <w:shd w:val="clear" w:color="auto" w:fill="FFFFFF"/>
        </w:rPr>
        <w:t>万元，在用的固定资产总计</w:t>
      </w:r>
      <w:r>
        <w:rPr>
          <w:rFonts w:hint="eastAsia" w:eastAsia="仿宋_GB2312"/>
          <w:color w:val="000000"/>
          <w:sz w:val="32"/>
          <w:shd w:val="clear" w:color="auto" w:fill="FFFFFF"/>
        </w:rPr>
        <w:t>528.07</w:t>
      </w:r>
      <w:r>
        <w:rPr>
          <w:rFonts w:eastAsia="仿宋_GB2312"/>
          <w:color w:val="000000"/>
          <w:sz w:val="32"/>
          <w:shd w:val="clear" w:color="auto" w:fill="FFFFFF"/>
        </w:rPr>
        <w:t>万元，固定资产在用率达100%</w:t>
      </w:r>
    </w:p>
    <w:p w14:paraId="329E6839">
      <w:pPr>
        <w:pStyle w:val="11"/>
        <w:spacing w:line="560" w:lineRule="exact"/>
        <w:ind w:firstLine="321" w:firstLineChars="100"/>
        <w:rPr>
          <w:rFonts w:eastAsia="仿宋_GB2312"/>
          <w:b/>
          <w:color w:val="000000"/>
          <w:sz w:val="32"/>
          <w:shd w:val="clear" w:color="auto" w:fill="FFFFFF"/>
        </w:rPr>
      </w:pPr>
      <w:r>
        <w:rPr>
          <w:rFonts w:eastAsia="仿宋_GB2312"/>
          <w:b/>
          <w:color w:val="000000"/>
          <w:sz w:val="32"/>
          <w:shd w:val="clear" w:color="auto" w:fill="FFFFFF"/>
        </w:rPr>
        <w:t>9、信息公开</w:t>
      </w:r>
    </w:p>
    <w:p w14:paraId="01F30AF6">
      <w:pPr>
        <w:pStyle w:val="11"/>
        <w:spacing w:line="560" w:lineRule="exact"/>
        <w:ind w:firstLine="640"/>
        <w:rPr>
          <w:rFonts w:eastAsia="仿宋_GB2312"/>
          <w:color w:val="000000"/>
          <w:sz w:val="32"/>
          <w:shd w:val="clear" w:color="auto" w:fill="FFFFFF"/>
        </w:rPr>
      </w:pPr>
      <w:r>
        <w:rPr>
          <w:rFonts w:eastAsia="仿宋_GB2312"/>
          <w:color w:val="000000"/>
          <w:sz w:val="32"/>
          <w:shd w:val="clear" w:color="auto" w:fill="FFFFFF"/>
        </w:rPr>
        <w:t>信息公开。</w:t>
      </w:r>
      <w:r>
        <w:rPr>
          <w:rFonts w:hint="eastAsia" w:ascii="仿宋_GB2312" w:hAnsi="仿宋_GB2312" w:eastAsia="仿宋_GB2312" w:cs="仿宋_GB2312"/>
          <w:kern w:val="2"/>
          <w:sz w:val="32"/>
          <w:szCs w:val="32"/>
        </w:rPr>
        <w:t>中共壤塘县委组织部</w:t>
      </w:r>
      <w:r>
        <w:rPr>
          <w:rFonts w:eastAsia="仿宋_GB2312"/>
          <w:color w:val="000000"/>
          <w:sz w:val="32"/>
          <w:shd w:val="clear" w:color="auto" w:fill="FFFFFF"/>
        </w:rPr>
        <w:t>已经按财政要求及时完成预算、决算、绩效等信息公开工作，信息公开在壤塘县门户网站中。</w:t>
      </w:r>
    </w:p>
    <w:p w14:paraId="1A169F72">
      <w:pPr>
        <w:pStyle w:val="11"/>
        <w:spacing w:line="560" w:lineRule="exact"/>
        <w:ind w:firstLine="643"/>
        <w:rPr>
          <w:rFonts w:eastAsia="楷体_GB2312"/>
          <w:b/>
          <w:color w:val="000000"/>
          <w:sz w:val="32"/>
          <w:shd w:val="clear" w:color="auto" w:fill="FFFFFF"/>
        </w:rPr>
      </w:pPr>
      <w:r>
        <w:rPr>
          <w:rFonts w:eastAsia="楷体_GB2312"/>
          <w:b/>
          <w:color w:val="000000"/>
          <w:sz w:val="32"/>
          <w:shd w:val="clear" w:color="auto" w:fill="FFFFFF"/>
        </w:rPr>
        <w:t>（二）结果应用情况</w:t>
      </w:r>
    </w:p>
    <w:p w14:paraId="2CB9E10D">
      <w:pPr>
        <w:pStyle w:val="11"/>
        <w:spacing w:line="560" w:lineRule="exact"/>
        <w:ind w:firstLine="640"/>
        <w:rPr>
          <w:rFonts w:eastAsia="仿宋_GB2312"/>
          <w:color w:val="000000"/>
          <w:sz w:val="32"/>
          <w:shd w:val="clear" w:color="auto" w:fill="FFFFFF"/>
        </w:rPr>
      </w:pPr>
      <w:r>
        <w:rPr>
          <w:rFonts w:eastAsia="仿宋_GB2312"/>
          <w:color w:val="000000"/>
          <w:sz w:val="32"/>
          <w:shd w:val="clear" w:color="auto" w:fill="FFFFFF"/>
        </w:rPr>
        <w:t>绩效目标填报执行了《四川省省级财政专项资金绩效分配管理暂行办法》，实施绩效分配。在项目资金管理方面，单位建立和健全项目资金管理制度和管理办法。严格资金的使用和划拨流程，确保资金使用安全、公平、合理。项目资金做到了专款专用，及时支付。资金的支付均通过对公账户，直接支付到供应商,切实保障了资金使用的准确性和安全性。在绩效目标评价方面，根据县财政局要求，我部成立自评工作小组，组织实施本单位2023年绩效管理自评工作。信息公开情况。</w:t>
      </w:r>
    </w:p>
    <w:p w14:paraId="1FA11940">
      <w:pPr>
        <w:widowControl/>
        <w:numPr>
          <w:ilvl w:val="0"/>
          <w:numId w:val="4"/>
        </w:numPr>
        <w:adjustRightInd w:val="0"/>
        <w:snapToGrid w:val="0"/>
        <w:spacing w:line="560"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评价结论及建议</w:t>
      </w:r>
    </w:p>
    <w:p w14:paraId="71AD3B13">
      <w:pPr>
        <w:widowControl/>
        <w:numPr>
          <w:ilvl w:val="0"/>
          <w:numId w:val="5"/>
        </w:numPr>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rPr>
      </w:pPr>
      <w:r>
        <w:rPr>
          <w:rFonts w:eastAsia="楷体_GB2312"/>
          <w:b/>
          <w:bCs/>
          <w:color w:val="000000"/>
          <w:kern w:val="0"/>
          <w:sz w:val="32"/>
          <w:szCs w:val="32"/>
          <w:shd w:val="clear" w:color="auto" w:fill="FFFFFF"/>
        </w:rPr>
        <w:t>评价结论</w:t>
      </w:r>
    </w:p>
    <w:p w14:paraId="57E9BAB9">
      <w:pPr>
        <w:pStyle w:val="11"/>
        <w:spacing w:line="560" w:lineRule="exact"/>
        <w:ind w:firstLine="640"/>
        <w:rPr>
          <w:rFonts w:eastAsia="仿宋_GB2312"/>
          <w:color w:val="000000"/>
          <w:sz w:val="32"/>
          <w:shd w:val="clear" w:color="auto" w:fill="FFFFFF"/>
        </w:rPr>
      </w:pPr>
      <w:r>
        <w:rPr>
          <w:rFonts w:eastAsia="仿宋_GB2312"/>
          <w:color w:val="000000"/>
          <w:sz w:val="32"/>
          <w:shd w:val="clear" w:color="auto" w:fill="FFFFFF"/>
          <w:lang w:val="zh-CN"/>
        </w:rPr>
        <w:t>我部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算中，我部将继续努力，科学合理编制预决算，进行绩效评价，加强精细管理，完善不足。</w:t>
      </w:r>
      <w:r>
        <w:rPr>
          <w:rFonts w:eastAsia="仿宋_GB2312"/>
          <w:color w:val="000000"/>
          <w:sz w:val="32"/>
          <w:shd w:val="clear" w:color="auto" w:fill="FFFFFF"/>
        </w:rPr>
        <w:t>根据《壤塘县2023年部门整体支出绩效评价指标体系》评分，得分98.75分，绩效评价结果优秀。</w:t>
      </w:r>
    </w:p>
    <w:p w14:paraId="484A79E5">
      <w:pPr>
        <w:widowControl/>
        <w:numPr>
          <w:ilvl w:val="0"/>
          <w:numId w:val="5"/>
        </w:numPr>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rPr>
      </w:pPr>
      <w:r>
        <w:rPr>
          <w:rFonts w:eastAsia="楷体_GB2312"/>
          <w:b/>
          <w:bCs/>
          <w:color w:val="000000"/>
          <w:kern w:val="0"/>
          <w:sz w:val="32"/>
          <w:szCs w:val="32"/>
          <w:shd w:val="clear" w:color="auto" w:fill="FFFFFF"/>
        </w:rPr>
        <w:t>存在问题</w:t>
      </w:r>
    </w:p>
    <w:p w14:paraId="720CD406">
      <w:pPr>
        <w:widowControl/>
        <w:adjustRightInd w:val="0"/>
        <w:snapToGrid w:val="0"/>
        <w:spacing w:line="560" w:lineRule="exact"/>
        <w:ind w:firstLine="640" w:firstLineChars="200"/>
        <w:contextualSpacing/>
        <w:jc w:val="left"/>
        <w:rPr>
          <w:rFonts w:eastAsia="仿宋_GB2312"/>
          <w:color w:val="000000"/>
          <w:kern w:val="0"/>
          <w:sz w:val="32"/>
          <w:szCs w:val="32"/>
          <w:lang w:val="zh-CN"/>
        </w:rPr>
      </w:pPr>
      <w:r>
        <w:rPr>
          <w:rFonts w:eastAsia="仿宋_GB2312"/>
          <w:color w:val="000000"/>
          <w:kern w:val="0"/>
          <w:sz w:val="32"/>
          <w:szCs w:val="32"/>
        </w:rPr>
        <w:t>1、预算编制前根据年度内单位可预见的工作任务，确定了单位年度预算目标，细化了预算指标，但预算编制的精准性有待进一步提高，此外还需加强建设财务监控监督措施和制度学习。</w:t>
      </w:r>
    </w:p>
    <w:p w14:paraId="779E6338">
      <w:pPr>
        <w:widowControl/>
        <w:adjustRightInd w:val="0"/>
        <w:snapToGrid w:val="0"/>
        <w:spacing w:line="560" w:lineRule="exact"/>
        <w:ind w:firstLine="640" w:firstLineChars="200"/>
        <w:contextualSpacing/>
        <w:jc w:val="left"/>
        <w:rPr>
          <w:rFonts w:eastAsia="仿宋_GB2312"/>
          <w:color w:val="000000"/>
          <w:kern w:val="0"/>
          <w:sz w:val="32"/>
          <w:szCs w:val="32"/>
        </w:rPr>
      </w:pPr>
      <w:r>
        <w:rPr>
          <w:rFonts w:eastAsia="仿宋_GB2312"/>
          <w:color w:val="000000"/>
          <w:kern w:val="0"/>
          <w:sz w:val="32"/>
          <w:szCs w:val="32"/>
        </w:rPr>
        <w:t>2、</w:t>
      </w:r>
      <w:r>
        <w:rPr>
          <w:rFonts w:eastAsia="仿宋_GB2312"/>
          <w:color w:val="000000"/>
          <w:kern w:val="0"/>
          <w:sz w:val="32"/>
          <w:szCs w:val="32"/>
          <w:lang w:val="zh-CN"/>
        </w:rPr>
        <w:t>对部门整体支出预算评价工作不够重视，没有把预算财务分析作为常态化工作。</w:t>
      </w:r>
    </w:p>
    <w:p w14:paraId="4DFE0D87">
      <w:pPr>
        <w:widowControl/>
        <w:numPr>
          <w:ilvl w:val="0"/>
          <w:numId w:val="5"/>
        </w:numPr>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rPr>
      </w:pPr>
      <w:r>
        <w:rPr>
          <w:rFonts w:eastAsia="楷体_GB2312"/>
          <w:b/>
          <w:bCs/>
          <w:color w:val="000000"/>
          <w:kern w:val="0"/>
          <w:sz w:val="32"/>
          <w:szCs w:val="32"/>
          <w:shd w:val="clear" w:color="auto" w:fill="FFFFFF"/>
        </w:rPr>
        <w:t>改进建议</w:t>
      </w:r>
    </w:p>
    <w:p w14:paraId="14FE643E">
      <w:pPr>
        <w:widowControl/>
        <w:adjustRightInd w:val="0"/>
        <w:snapToGrid w:val="0"/>
        <w:spacing w:line="560" w:lineRule="exact"/>
        <w:ind w:firstLine="640" w:firstLineChars="200"/>
        <w:contextualSpacing/>
        <w:jc w:val="left"/>
        <w:rPr>
          <w:rFonts w:eastAsia="仿宋_GB2312"/>
          <w:color w:val="000000"/>
          <w:kern w:val="0"/>
          <w:sz w:val="32"/>
          <w:szCs w:val="32"/>
        </w:rPr>
      </w:pPr>
      <w:r>
        <w:rPr>
          <w:rFonts w:eastAsia="仿宋_GB2312"/>
          <w:color w:val="000000"/>
          <w:kern w:val="0"/>
          <w:sz w:val="32"/>
          <w:szCs w:val="32"/>
        </w:rPr>
        <w:t>1.加强学习，提高思想认识。组织单位财务人员认真学习《</w:t>
      </w:r>
      <w:r>
        <w:rPr>
          <w:rFonts w:hint="eastAsia" w:eastAsia="仿宋_GB2312"/>
          <w:color w:val="000000"/>
          <w:kern w:val="0"/>
          <w:sz w:val="32"/>
          <w:szCs w:val="32"/>
          <w:lang w:eastAsia="zh-CN"/>
        </w:rPr>
        <w:t>中华人民共和国</w:t>
      </w:r>
      <w:r>
        <w:rPr>
          <w:rFonts w:eastAsia="仿宋_GB2312"/>
          <w:color w:val="000000"/>
          <w:kern w:val="0"/>
          <w:sz w:val="32"/>
          <w:szCs w:val="32"/>
        </w:rPr>
        <w:t>预算法》《项目支出绩效评价》等文件精神及相关法规、制度，提高单位领导对全面预算管理及绩效评价工作的重视程度，增强意识。</w:t>
      </w:r>
    </w:p>
    <w:p w14:paraId="714028EB">
      <w:pPr>
        <w:widowControl/>
        <w:adjustRightInd w:val="0"/>
        <w:snapToGrid w:val="0"/>
        <w:spacing w:line="560" w:lineRule="exact"/>
        <w:ind w:firstLine="640" w:firstLineChars="200"/>
        <w:contextualSpacing/>
        <w:jc w:val="left"/>
        <w:rPr>
          <w:rFonts w:eastAsia="仿宋_GB2312"/>
          <w:color w:val="000000"/>
          <w:kern w:val="0"/>
          <w:sz w:val="32"/>
          <w:szCs w:val="32"/>
        </w:rPr>
      </w:pPr>
      <w:r>
        <w:rPr>
          <w:rFonts w:eastAsia="仿宋_GB2312"/>
          <w:color w:val="000000"/>
          <w:kern w:val="0"/>
          <w:sz w:val="32"/>
          <w:szCs w:val="32"/>
        </w:rPr>
        <w:t>2.提高预算编制的可操作性，强化预算执行约束力，尽量减少预算调整。</w:t>
      </w:r>
    </w:p>
    <w:p w14:paraId="052366B5">
      <w:pPr>
        <w:spacing w:line="560" w:lineRule="exact"/>
        <w:ind w:firstLine="640" w:firstLineChars="200"/>
        <w:rPr>
          <w:sz w:val="32"/>
          <w:szCs w:val="32"/>
          <w:lang w:val="zh-CN"/>
        </w:rPr>
      </w:pPr>
    </w:p>
    <w:p w14:paraId="10DEA744">
      <w:pPr>
        <w:spacing w:line="560" w:lineRule="exact"/>
        <w:ind w:firstLine="640" w:firstLineChars="200"/>
        <w:rPr>
          <w:sz w:val="32"/>
          <w:szCs w:val="32"/>
          <w:lang w:val="zh-CN"/>
        </w:rPr>
      </w:pPr>
    </w:p>
    <w:p w14:paraId="0B47FB9B">
      <w:pPr>
        <w:pStyle w:val="2"/>
        <w:rPr>
          <w:sz w:val="32"/>
          <w:szCs w:val="32"/>
          <w:lang w:val="zh-CN"/>
        </w:rPr>
      </w:pPr>
    </w:p>
    <w:p w14:paraId="19D95E56">
      <w:pPr>
        <w:pStyle w:val="2"/>
        <w:rPr>
          <w:sz w:val="32"/>
          <w:szCs w:val="32"/>
          <w:lang w:val="zh-CN"/>
        </w:rPr>
      </w:pPr>
    </w:p>
    <w:p w14:paraId="21A81352">
      <w:pPr>
        <w:pStyle w:val="2"/>
        <w:rPr>
          <w:sz w:val="32"/>
          <w:szCs w:val="32"/>
          <w:lang w:val="zh-CN"/>
        </w:rPr>
      </w:pPr>
    </w:p>
    <w:p w14:paraId="0F5039E3">
      <w:pPr>
        <w:pStyle w:val="2"/>
        <w:rPr>
          <w:sz w:val="32"/>
          <w:szCs w:val="32"/>
          <w:lang w:val="zh-CN"/>
        </w:rPr>
      </w:pPr>
    </w:p>
    <w:p w14:paraId="0E9608B2">
      <w:pPr>
        <w:pStyle w:val="2"/>
        <w:rPr>
          <w:sz w:val="32"/>
          <w:szCs w:val="32"/>
          <w:lang w:val="zh-CN"/>
        </w:rPr>
      </w:pPr>
    </w:p>
    <w:p w14:paraId="4D238DF7">
      <w:pPr>
        <w:pStyle w:val="2"/>
        <w:rPr>
          <w:sz w:val="32"/>
          <w:szCs w:val="32"/>
          <w:lang w:val="zh-CN"/>
        </w:rPr>
      </w:pPr>
    </w:p>
    <w:p w14:paraId="0A1649EF">
      <w:pPr>
        <w:pStyle w:val="2"/>
        <w:rPr>
          <w:sz w:val="32"/>
          <w:szCs w:val="32"/>
          <w:lang w:val="zh-CN"/>
        </w:rPr>
      </w:pPr>
    </w:p>
    <w:p w14:paraId="4BC4BA2A">
      <w:pPr>
        <w:pStyle w:val="2"/>
        <w:rPr>
          <w:sz w:val="32"/>
          <w:szCs w:val="32"/>
          <w:lang w:val="zh-CN"/>
        </w:rPr>
      </w:pPr>
    </w:p>
    <w:p w14:paraId="42BF5025">
      <w:pPr>
        <w:pStyle w:val="2"/>
        <w:rPr>
          <w:rFonts w:hAnsi="Times New Roman"/>
          <w:sz w:val="32"/>
          <w:szCs w:val="32"/>
          <w:lang w:val="zh-CN"/>
        </w:rPr>
      </w:pPr>
    </w:p>
    <w:p w14:paraId="76127BF3">
      <w:pPr>
        <w:spacing w:line="560" w:lineRule="exact"/>
        <w:ind w:firstLine="640" w:firstLineChars="200"/>
        <w:rPr>
          <w:rFonts w:ascii="仿宋_GB2312" w:hAnsi="仿宋_GB2312" w:eastAsia="仿宋_GB2312" w:cs="仿宋_GB2312"/>
          <w:sz w:val="32"/>
          <w:szCs w:val="32"/>
        </w:rPr>
      </w:pPr>
      <w:r>
        <w:rPr>
          <w:rFonts w:hint="eastAsia"/>
          <w:sz w:val="32"/>
          <w:szCs w:val="32"/>
          <w:lang w:val="zh-CN"/>
        </w:rPr>
        <w:t>附表：</w:t>
      </w:r>
      <w:r>
        <w:rPr>
          <w:rFonts w:hint="eastAsia"/>
          <w:sz w:val="32"/>
          <w:szCs w:val="32"/>
        </w:rPr>
        <w:t>部门预算项目支出绩效自评表（2023年度）</w:t>
      </w:r>
    </w:p>
    <w:p w14:paraId="64DE5154">
      <w:r>
        <w:rPr>
          <w:rFonts w:hint="eastAsia"/>
        </w:rPr>
        <w:drawing>
          <wp:inline distT="0" distB="0" distL="114300" distR="114300">
            <wp:extent cx="5271135" cy="7184390"/>
            <wp:effectExtent l="0" t="0" r="1206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7"/>
                    <a:stretch>
                      <a:fillRect/>
                    </a:stretch>
                  </pic:blipFill>
                  <pic:spPr>
                    <a:xfrm>
                      <a:off x="0" y="0"/>
                      <a:ext cx="5271135" cy="7184390"/>
                    </a:xfrm>
                    <a:prstGeom prst="rect">
                      <a:avLst/>
                    </a:prstGeom>
                    <a:noFill/>
                    <a:ln>
                      <a:noFill/>
                    </a:ln>
                  </pic:spPr>
                </pic:pic>
              </a:graphicData>
            </a:graphic>
          </wp:inline>
        </w:drawing>
      </w:r>
      <w:r>
        <w:rPr>
          <w:rFonts w:hint="eastAsia"/>
        </w:rPr>
        <w:drawing>
          <wp:inline distT="0" distB="0" distL="114300" distR="114300">
            <wp:extent cx="5271135" cy="7813040"/>
            <wp:effectExtent l="0" t="0" r="5715" b="16510"/>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18"/>
                    <a:stretch>
                      <a:fillRect/>
                    </a:stretch>
                  </pic:blipFill>
                  <pic:spPr>
                    <a:xfrm>
                      <a:off x="0" y="0"/>
                      <a:ext cx="5271135" cy="7813040"/>
                    </a:xfrm>
                    <a:prstGeom prst="rect">
                      <a:avLst/>
                    </a:prstGeom>
                  </pic:spPr>
                </pic:pic>
              </a:graphicData>
            </a:graphic>
          </wp:inline>
        </w:drawing>
      </w:r>
      <w:bookmarkStart w:id="139" w:name="_GoBack"/>
      <w:bookmarkEnd w:id="139"/>
      <w:r>
        <w:rPr>
          <w:rFonts w:hint="eastAsia"/>
        </w:rPr>
        <w:drawing>
          <wp:inline distT="0" distB="0" distL="114300" distR="114300">
            <wp:extent cx="5271135" cy="7184390"/>
            <wp:effectExtent l="0" t="0" r="12065" b="381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19"/>
                    <a:stretch>
                      <a:fillRect/>
                    </a:stretch>
                  </pic:blipFill>
                  <pic:spPr>
                    <a:xfrm>
                      <a:off x="0" y="0"/>
                      <a:ext cx="5271135" cy="7184390"/>
                    </a:xfrm>
                    <a:prstGeom prst="rect">
                      <a:avLst/>
                    </a:prstGeom>
                    <a:noFill/>
                    <a:ln>
                      <a:noFill/>
                    </a:ln>
                  </pic:spPr>
                </pic:pic>
              </a:graphicData>
            </a:graphic>
          </wp:inline>
        </w:drawing>
      </w:r>
      <w:r>
        <w:rPr>
          <w:rFonts w:hint="eastAsia"/>
        </w:rPr>
        <w:drawing>
          <wp:inline distT="0" distB="0" distL="114300" distR="114300">
            <wp:extent cx="5271135" cy="7184390"/>
            <wp:effectExtent l="0" t="0" r="12065" b="381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20"/>
                    <a:stretch>
                      <a:fillRect/>
                    </a:stretch>
                  </pic:blipFill>
                  <pic:spPr>
                    <a:xfrm>
                      <a:off x="0" y="0"/>
                      <a:ext cx="5271135" cy="7184390"/>
                    </a:xfrm>
                    <a:prstGeom prst="rect">
                      <a:avLst/>
                    </a:prstGeom>
                    <a:noFill/>
                    <a:ln>
                      <a:noFill/>
                    </a:ln>
                  </pic:spPr>
                </pic:pic>
              </a:graphicData>
            </a:graphic>
          </wp:inline>
        </w:drawing>
      </w:r>
      <w:r>
        <w:rPr>
          <w:rFonts w:hint="eastAsia"/>
        </w:rPr>
        <w:drawing>
          <wp:inline distT="0" distB="0" distL="114300" distR="114300">
            <wp:extent cx="5271135" cy="7184390"/>
            <wp:effectExtent l="0" t="0" r="12065" b="381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21"/>
                    <a:stretch>
                      <a:fillRect/>
                    </a:stretch>
                  </pic:blipFill>
                  <pic:spPr>
                    <a:xfrm>
                      <a:off x="0" y="0"/>
                      <a:ext cx="5271135" cy="7184390"/>
                    </a:xfrm>
                    <a:prstGeom prst="rect">
                      <a:avLst/>
                    </a:prstGeom>
                    <a:noFill/>
                    <a:ln>
                      <a:noFill/>
                    </a:ln>
                  </pic:spPr>
                </pic:pic>
              </a:graphicData>
            </a:graphic>
          </wp:inline>
        </w:drawing>
      </w:r>
      <w:r>
        <w:rPr>
          <w:rFonts w:hint="eastAsia"/>
        </w:rPr>
        <w:drawing>
          <wp:inline distT="0" distB="0" distL="114300" distR="114300">
            <wp:extent cx="5271135" cy="7184390"/>
            <wp:effectExtent l="0" t="0" r="12065" b="381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22"/>
                    <a:stretch>
                      <a:fillRect/>
                    </a:stretch>
                  </pic:blipFill>
                  <pic:spPr>
                    <a:xfrm>
                      <a:off x="0" y="0"/>
                      <a:ext cx="5271135" cy="7184390"/>
                    </a:xfrm>
                    <a:prstGeom prst="rect">
                      <a:avLst/>
                    </a:prstGeom>
                    <a:noFill/>
                    <a:ln>
                      <a:noFill/>
                    </a:ln>
                  </pic:spPr>
                </pic:pic>
              </a:graphicData>
            </a:graphic>
          </wp:inline>
        </w:drawing>
      </w:r>
      <w:r>
        <w:rPr>
          <w:rFonts w:hint="eastAsia"/>
        </w:rPr>
        <w:drawing>
          <wp:inline distT="0" distB="0" distL="114300" distR="114300">
            <wp:extent cx="5271135" cy="7184390"/>
            <wp:effectExtent l="0" t="0" r="12065" b="3810"/>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23"/>
                    <a:stretch>
                      <a:fillRect/>
                    </a:stretch>
                  </pic:blipFill>
                  <pic:spPr>
                    <a:xfrm>
                      <a:off x="0" y="0"/>
                      <a:ext cx="5271135" cy="7184390"/>
                    </a:xfrm>
                    <a:prstGeom prst="rect">
                      <a:avLst/>
                    </a:prstGeom>
                    <a:noFill/>
                    <a:ln>
                      <a:noFill/>
                    </a:ln>
                  </pic:spPr>
                </pic:pic>
              </a:graphicData>
            </a:graphic>
          </wp:inline>
        </w:drawing>
      </w:r>
      <w:r>
        <w:rPr>
          <w:rFonts w:hint="eastAsia"/>
        </w:rPr>
        <w:drawing>
          <wp:inline distT="0" distB="0" distL="114300" distR="114300">
            <wp:extent cx="5271135" cy="7184390"/>
            <wp:effectExtent l="0" t="0" r="12065" b="3810"/>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24"/>
                    <a:stretch>
                      <a:fillRect/>
                    </a:stretch>
                  </pic:blipFill>
                  <pic:spPr>
                    <a:xfrm>
                      <a:off x="0" y="0"/>
                      <a:ext cx="5271135" cy="7184390"/>
                    </a:xfrm>
                    <a:prstGeom prst="rect">
                      <a:avLst/>
                    </a:prstGeom>
                    <a:noFill/>
                    <a:ln>
                      <a:noFill/>
                    </a:ln>
                  </pic:spPr>
                </pic:pic>
              </a:graphicData>
            </a:graphic>
          </wp:inline>
        </w:drawing>
      </w:r>
      <w:r>
        <w:rPr>
          <w:rFonts w:hint="eastAsia"/>
        </w:rPr>
        <w:drawing>
          <wp:inline distT="0" distB="0" distL="114300" distR="114300">
            <wp:extent cx="5271135" cy="7184390"/>
            <wp:effectExtent l="0" t="0" r="12065" b="3810"/>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25"/>
                    <a:stretch>
                      <a:fillRect/>
                    </a:stretch>
                  </pic:blipFill>
                  <pic:spPr>
                    <a:xfrm>
                      <a:off x="0" y="0"/>
                      <a:ext cx="5271135" cy="7184390"/>
                    </a:xfrm>
                    <a:prstGeom prst="rect">
                      <a:avLst/>
                    </a:prstGeom>
                    <a:noFill/>
                    <a:ln>
                      <a:noFill/>
                    </a:ln>
                  </pic:spPr>
                </pic:pic>
              </a:graphicData>
            </a:graphic>
          </wp:inline>
        </w:drawing>
      </w:r>
      <w:r>
        <w:rPr>
          <w:rFonts w:hint="eastAsia"/>
        </w:rPr>
        <w:drawing>
          <wp:inline distT="0" distB="0" distL="114300" distR="114300">
            <wp:extent cx="5271135" cy="7184390"/>
            <wp:effectExtent l="0" t="0" r="12065" b="3810"/>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a:blip r:embed="rId26"/>
                    <a:stretch>
                      <a:fillRect/>
                    </a:stretch>
                  </pic:blipFill>
                  <pic:spPr>
                    <a:xfrm>
                      <a:off x="0" y="0"/>
                      <a:ext cx="5271135" cy="7184390"/>
                    </a:xfrm>
                    <a:prstGeom prst="rect">
                      <a:avLst/>
                    </a:prstGeom>
                    <a:noFill/>
                    <a:ln>
                      <a:noFill/>
                    </a:ln>
                  </pic:spPr>
                </pic:pic>
              </a:graphicData>
            </a:graphic>
          </wp:inline>
        </w:drawing>
      </w:r>
      <w:r>
        <w:rPr>
          <w:rFonts w:hint="eastAsia"/>
        </w:rPr>
        <w:drawing>
          <wp:inline distT="0" distB="0" distL="114300" distR="114300">
            <wp:extent cx="5271135" cy="7184390"/>
            <wp:effectExtent l="0" t="0" r="12065" b="3810"/>
            <wp:docPr id="2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1"/>
                    <pic:cNvPicPr>
                      <a:picLocks noChangeAspect="1"/>
                    </pic:cNvPicPr>
                  </pic:nvPicPr>
                  <pic:blipFill>
                    <a:blip r:embed="rId27"/>
                    <a:stretch>
                      <a:fillRect/>
                    </a:stretch>
                  </pic:blipFill>
                  <pic:spPr>
                    <a:xfrm>
                      <a:off x="0" y="0"/>
                      <a:ext cx="5271135" cy="7184390"/>
                    </a:xfrm>
                    <a:prstGeom prst="rect">
                      <a:avLst/>
                    </a:prstGeom>
                    <a:noFill/>
                    <a:ln>
                      <a:noFill/>
                    </a:ln>
                  </pic:spPr>
                </pic:pic>
              </a:graphicData>
            </a:graphic>
          </wp:inline>
        </w:drawing>
      </w:r>
      <w:r>
        <w:rPr>
          <w:rFonts w:hint="eastAsia"/>
        </w:rPr>
        <w:drawing>
          <wp:inline distT="0" distB="0" distL="114300" distR="114300">
            <wp:extent cx="5271135" cy="7184390"/>
            <wp:effectExtent l="0" t="0" r="12065" b="3810"/>
            <wp:docPr id="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pic:cNvPicPr>
                      <a:picLocks noChangeAspect="1"/>
                    </pic:cNvPicPr>
                  </pic:nvPicPr>
                  <pic:blipFill>
                    <a:blip r:embed="rId28"/>
                    <a:stretch>
                      <a:fillRect/>
                    </a:stretch>
                  </pic:blipFill>
                  <pic:spPr>
                    <a:xfrm>
                      <a:off x="0" y="0"/>
                      <a:ext cx="5271135" cy="7184390"/>
                    </a:xfrm>
                    <a:prstGeom prst="rect">
                      <a:avLst/>
                    </a:prstGeom>
                    <a:noFill/>
                    <a:ln>
                      <a:noFill/>
                    </a:ln>
                  </pic:spPr>
                </pic:pic>
              </a:graphicData>
            </a:graphic>
          </wp:inline>
        </w:drawing>
      </w:r>
      <w:r>
        <w:rPr>
          <w:rFonts w:hint="eastAsia"/>
        </w:rPr>
        <w:drawing>
          <wp:inline distT="0" distB="0" distL="114300" distR="114300">
            <wp:extent cx="5271135" cy="7184390"/>
            <wp:effectExtent l="0" t="0" r="12065" b="3810"/>
            <wp:docPr id="2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3"/>
                    <pic:cNvPicPr>
                      <a:picLocks noChangeAspect="1"/>
                    </pic:cNvPicPr>
                  </pic:nvPicPr>
                  <pic:blipFill>
                    <a:blip r:embed="rId29"/>
                    <a:stretch>
                      <a:fillRect/>
                    </a:stretch>
                  </pic:blipFill>
                  <pic:spPr>
                    <a:xfrm>
                      <a:off x="0" y="0"/>
                      <a:ext cx="5271135" cy="7184390"/>
                    </a:xfrm>
                    <a:prstGeom prst="rect">
                      <a:avLst/>
                    </a:prstGeom>
                    <a:noFill/>
                    <a:ln>
                      <a:noFill/>
                    </a:ln>
                  </pic:spPr>
                </pic:pic>
              </a:graphicData>
            </a:graphic>
          </wp:inline>
        </w:drawing>
      </w:r>
      <w:r>
        <w:rPr>
          <w:rFonts w:hint="eastAsia"/>
        </w:rPr>
        <w:drawing>
          <wp:inline distT="0" distB="0" distL="114300" distR="114300">
            <wp:extent cx="5271135" cy="9178925"/>
            <wp:effectExtent l="0" t="0" r="12065" b="3175"/>
            <wp:docPr id="2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4"/>
                    <pic:cNvPicPr>
                      <a:picLocks noChangeAspect="1"/>
                    </pic:cNvPicPr>
                  </pic:nvPicPr>
                  <pic:blipFill>
                    <a:blip r:embed="rId30"/>
                    <a:stretch>
                      <a:fillRect/>
                    </a:stretch>
                  </pic:blipFill>
                  <pic:spPr>
                    <a:xfrm>
                      <a:off x="0" y="0"/>
                      <a:ext cx="5271135" cy="9178925"/>
                    </a:xfrm>
                    <a:prstGeom prst="rect">
                      <a:avLst/>
                    </a:prstGeom>
                    <a:noFill/>
                    <a:ln>
                      <a:noFill/>
                    </a:ln>
                  </pic:spPr>
                </pic:pic>
              </a:graphicData>
            </a:graphic>
          </wp:inline>
        </w:drawing>
      </w:r>
    </w:p>
    <w:p w14:paraId="5AFFCCAF">
      <w:pPr>
        <w:rPr>
          <w:rFonts w:ascii="仿宋_GB2312" w:hAnsi="仿宋_GB2312" w:eastAsia="仿宋_GB2312" w:cs="仿宋_GB2312"/>
          <w:sz w:val="32"/>
          <w:szCs w:val="32"/>
        </w:rPr>
      </w:pPr>
      <w:r>
        <w:drawing>
          <wp:inline distT="0" distB="0" distL="114300" distR="114300">
            <wp:extent cx="5266690" cy="8134350"/>
            <wp:effectExtent l="0" t="0" r="10160" b="0"/>
            <wp:docPr id="1" name="图片 1" descr="图片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22222"/>
                    <pic:cNvPicPr>
                      <a:picLocks noChangeAspect="1"/>
                    </pic:cNvPicPr>
                  </pic:nvPicPr>
                  <pic:blipFill>
                    <a:blip r:embed="rId31"/>
                    <a:stretch>
                      <a:fillRect/>
                    </a:stretch>
                  </pic:blipFill>
                  <pic:spPr>
                    <a:xfrm>
                      <a:off x="0" y="0"/>
                      <a:ext cx="5266690" cy="8134350"/>
                    </a:xfrm>
                    <a:prstGeom prst="rect">
                      <a:avLst/>
                    </a:prstGeom>
                  </pic:spPr>
                </pic:pic>
              </a:graphicData>
            </a:graphic>
          </wp:inline>
        </w:drawing>
      </w:r>
      <w:r>
        <w:drawing>
          <wp:inline distT="0" distB="0" distL="114300" distR="114300">
            <wp:extent cx="5271135" cy="7184390"/>
            <wp:effectExtent l="0" t="0" r="12065" b="3810"/>
            <wp:docPr id="2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6"/>
                    <pic:cNvPicPr>
                      <a:picLocks noChangeAspect="1"/>
                    </pic:cNvPicPr>
                  </pic:nvPicPr>
                  <pic:blipFill>
                    <a:blip r:embed="rId32"/>
                    <a:stretch>
                      <a:fillRect/>
                    </a:stretch>
                  </pic:blipFill>
                  <pic:spPr>
                    <a:xfrm>
                      <a:off x="0" y="0"/>
                      <a:ext cx="5271135" cy="7184390"/>
                    </a:xfrm>
                    <a:prstGeom prst="rect">
                      <a:avLst/>
                    </a:prstGeom>
                    <a:noFill/>
                    <a:ln>
                      <a:noFill/>
                    </a:ln>
                  </pic:spPr>
                </pic:pic>
              </a:graphicData>
            </a:graphic>
          </wp:inline>
        </w:drawing>
      </w:r>
      <w:r>
        <w:drawing>
          <wp:inline distT="0" distB="0" distL="114300" distR="114300">
            <wp:extent cx="5271135" cy="7184390"/>
            <wp:effectExtent l="0" t="0" r="12065" b="3810"/>
            <wp:docPr id="2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7"/>
                    <pic:cNvPicPr>
                      <a:picLocks noChangeAspect="1"/>
                    </pic:cNvPicPr>
                  </pic:nvPicPr>
                  <pic:blipFill>
                    <a:blip r:embed="rId33"/>
                    <a:stretch>
                      <a:fillRect/>
                    </a:stretch>
                  </pic:blipFill>
                  <pic:spPr>
                    <a:xfrm>
                      <a:off x="0" y="0"/>
                      <a:ext cx="5271135" cy="7184390"/>
                    </a:xfrm>
                    <a:prstGeom prst="rect">
                      <a:avLst/>
                    </a:prstGeom>
                    <a:noFill/>
                    <a:ln>
                      <a:noFill/>
                    </a:ln>
                  </pic:spPr>
                </pic:pic>
              </a:graphicData>
            </a:graphic>
          </wp:inline>
        </w:drawing>
      </w:r>
      <w:r>
        <w:drawing>
          <wp:inline distT="0" distB="0" distL="114300" distR="114300">
            <wp:extent cx="5271135" cy="7868285"/>
            <wp:effectExtent l="0" t="0" r="12065" b="5715"/>
            <wp:docPr id="2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8"/>
                    <pic:cNvPicPr>
                      <a:picLocks noChangeAspect="1"/>
                    </pic:cNvPicPr>
                  </pic:nvPicPr>
                  <pic:blipFill>
                    <a:blip r:embed="rId34"/>
                    <a:stretch>
                      <a:fillRect/>
                    </a:stretch>
                  </pic:blipFill>
                  <pic:spPr>
                    <a:xfrm>
                      <a:off x="0" y="0"/>
                      <a:ext cx="5271135" cy="7868285"/>
                    </a:xfrm>
                    <a:prstGeom prst="rect">
                      <a:avLst/>
                    </a:prstGeom>
                    <a:noFill/>
                    <a:ln>
                      <a:noFill/>
                    </a:ln>
                  </pic:spPr>
                </pic:pic>
              </a:graphicData>
            </a:graphic>
          </wp:inline>
        </w:drawing>
      </w:r>
      <w:r>
        <w:drawing>
          <wp:inline distT="0" distB="0" distL="114300" distR="114300">
            <wp:extent cx="5271135" cy="4107180"/>
            <wp:effectExtent l="0" t="0" r="12065" b="7620"/>
            <wp:docPr id="2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9"/>
                    <pic:cNvPicPr>
                      <a:picLocks noChangeAspect="1"/>
                    </pic:cNvPicPr>
                  </pic:nvPicPr>
                  <pic:blipFill>
                    <a:blip r:embed="rId35"/>
                    <a:stretch>
                      <a:fillRect/>
                    </a:stretch>
                  </pic:blipFill>
                  <pic:spPr>
                    <a:xfrm>
                      <a:off x="0" y="0"/>
                      <a:ext cx="5271135" cy="4107180"/>
                    </a:xfrm>
                    <a:prstGeom prst="rect">
                      <a:avLst/>
                    </a:prstGeom>
                    <a:noFill/>
                    <a:ln>
                      <a:noFill/>
                    </a:ln>
                  </pic:spPr>
                </pic:pic>
              </a:graphicData>
            </a:graphic>
          </wp:inline>
        </w:drawing>
      </w:r>
    </w:p>
    <w:p w14:paraId="389997EE">
      <w:pPr>
        <w:pStyle w:val="7"/>
        <w:rPr>
          <w:rFonts w:ascii="仿宋_GB2312" w:hAnsi="仿宋_GB2312" w:eastAsia="仿宋_GB2312" w:cs="仿宋_GB2312"/>
          <w:sz w:val="32"/>
          <w:szCs w:val="32"/>
        </w:rPr>
      </w:pPr>
    </w:p>
    <w:p w14:paraId="5277FC36">
      <w:pPr>
        <w:rPr>
          <w:rFonts w:ascii="仿宋_GB2312" w:hAnsi="仿宋_GB2312" w:eastAsia="仿宋_GB2312" w:cs="仿宋_GB2312"/>
          <w:sz w:val="32"/>
          <w:szCs w:val="32"/>
        </w:rPr>
      </w:pPr>
    </w:p>
    <w:p w14:paraId="37672589">
      <w:pPr>
        <w:pStyle w:val="7"/>
        <w:rPr>
          <w:rFonts w:ascii="仿宋_GB2312" w:hAnsi="仿宋_GB2312" w:eastAsia="仿宋_GB2312" w:cs="仿宋_GB2312"/>
          <w:sz w:val="32"/>
          <w:szCs w:val="32"/>
        </w:rPr>
      </w:pPr>
    </w:p>
    <w:p w14:paraId="74BEBD63">
      <w:pPr>
        <w:rPr>
          <w:rFonts w:ascii="仿宋_GB2312" w:hAnsi="仿宋_GB2312" w:eastAsia="仿宋_GB2312" w:cs="仿宋_GB2312"/>
          <w:sz w:val="32"/>
          <w:szCs w:val="32"/>
        </w:rPr>
      </w:pPr>
    </w:p>
    <w:p w14:paraId="6A1BEB37">
      <w:pPr>
        <w:pStyle w:val="7"/>
        <w:rPr>
          <w:rFonts w:ascii="仿宋_GB2312" w:hAnsi="仿宋_GB2312" w:eastAsia="仿宋_GB2312" w:cs="仿宋_GB2312"/>
          <w:sz w:val="32"/>
          <w:szCs w:val="32"/>
        </w:rPr>
      </w:pPr>
    </w:p>
    <w:p w14:paraId="7A6376A5">
      <w:pPr>
        <w:rPr>
          <w:rFonts w:ascii="仿宋_GB2312" w:hAnsi="仿宋_GB2312" w:eastAsia="仿宋_GB2312" w:cs="仿宋_GB2312"/>
          <w:sz w:val="32"/>
          <w:szCs w:val="32"/>
        </w:rPr>
      </w:pPr>
    </w:p>
    <w:p w14:paraId="33900147">
      <w:pPr>
        <w:pStyle w:val="7"/>
        <w:rPr>
          <w:rFonts w:ascii="仿宋_GB2312" w:hAnsi="仿宋_GB2312" w:eastAsia="仿宋_GB2312" w:cs="仿宋_GB2312"/>
          <w:sz w:val="32"/>
          <w:szCs w:val="32"/>
        </w:rPr>
      </w:pPr>
    </w:p>
    <w:p w14:paraId="7DF1AC6E">
      <w:pPr>
        <w:rPr>
          <w:rFonts w:ascii="仿宋_GB2312" w:hAnsi="仿宋_GB2312" w:eastAsia="仿宋_GB2312" w:cs="仿宋_GB2312"/>
          <w:sz w:val="32"/>
          <w:szCs w:val="32"/>
        </w:rPr>
      </w:pPr>
    </w:p>
    <w:p w14:paraId="5F50338B">
      <w:pPr>
        <w:pStyle w:val="7"/>
        <w:rPr>
          <w:rFonts w:ascii="仿宋_GB2312" w:hAnsi="仿宋_GB2312" w:eastAsia="仿宋_GB2312" w:cs="仿宋_GB2312"/>
          <w:sz w:val="32"/>
          <w:szCs w:val="32"/>
        </w:rPr>
      </w:pPr>
    </w:p>
    <w:p w14:paraId="18506E67">
      <w:pPr>
        <w:rPr>
          <w:rFonts w:ascii="仿宋_GB2312" w:hAnsi="仿宋_GB2312" w:eastAsia="仿宋_GB2312" w:cs="仿宋_GB2312"/>
          <w:sz w:val="32"/>
          <w:szCs w:val="32"/>
        </w:rPr>
      </w:pPr>
    </w:p>
    <w:p w14:paraId="3F553315">
      <w:pPr>
        <w:pStyle w:val="7"/>
      </w:pPr>
    </w:p>
    <w:p w14:paraId="17E1D387">
      <w:pPr>
        <w:spacing w:line="560" w:lineRule="exact"/>
        <w:ind w:firstLine="640" w:firstLineChars="200"/>
        <w:rPr>
          <w:rFonts w:ascii="仿宋_GB2312" w:hAnsi="仿宋_GB2312" w:eastAsia="仿宋_GB2312" w:cs="仿宋_GB2312"/>
          <w:sz w:val="32"/>
          <w:szCs w:val="32"/>
        </w:rPr>
      </w:pPr>
    </w:p>
    <w:p w14:paraId="395754F7">
      <w:pPr>
        <w:pStyle w:val="7"/>
      </w:pPr>
    </w:p>
    <w:p w14:paraId="276A6EFF">
      <w:pPr>
        <w:spacing w:line="600" w:lineRule="exact"/>
        <w:rPr>
          <w:rFonts w:ascii="仿宋" w:hAnsi="仿宋" w:eastAsia="仿宋" w:cs="仿宋"/>
          <w:sz w:val="36"/>
          <w:szCs w:val="36"/>
        </w:rPr>
      </w:pPr>
      <w:r>
        <w:rPr>
          <w:rFonts w:hint="eastAsia" w:ascii="仿宋" w:hAnsi="仿宋" w:eastAsia="仿宋" w:cs="仿宋"/>
          <w:sz w:val="36"/>
          <w:szCs w:val="36"/>
        </w:rPr>
        <w:t>附件2：</w:t>
      </w:r>
    </w:p>
    <w:p w14:paraId="02E60370">
      <w:pPr>
        <w:pStyle w:val="2"/>
      </w:pPr>
    </w:p>
    <w:p w14:paraId="2A5EE7C8">
      <w:pPr>
        <w:pStyle w:val="9"/>
        <w:widowControl/>
        <w:tabs>
          <w:tab w:val="left" w:pos="2281"/>
        </w:tabs>
        <w:kinsoku w:val="0"/>
        <w:autoSpaceDE w:val="0"/>
        <w:autoSpaceDN w:val="0"/>
        <w:adjustRightInd w:val="0"/>
        <w:snapToGrid w:val="0"/>
        <w:spacing w:before="93" w:line="700" w:lineRule="exact"/>
        <w:jc w:val="center"/>
        <w:textAlignment w:val="baseline"/>
        <w:rPr>
          <w:rFonts w:hint="eastAsia" w:ascii="方正小标宋_GBK" w:hAnsi="方正小标宋_GBK" w:eastAsia="方正小标宋_GBK" w:cs="方正小标宋_GBK"/>
          <w:b/>
          <w:bCs/>
          <w:sz w:val="44"/>
          <w:szCs w:val="44"/>
          <w:lang w:eastAsia="zh-CN"/>
        </w:rPr>
      </w:pPr>
      <w:r>
        <w:rPr>
          <w:rFonts w:hint="eastAsia" w:ascii="方正小标宋_GBK" w:hAnsi="方正小标宋_GBK" w:eastAsia="方正小标宋_GBK" w:cs="方正小标宋_GBK"/>
          <w:b/>
          <w:bCs/>
          <w:sz w:val="44"/>
          <w:szCs w:val="44"/>
        </w:rPr>
        <w:t>中共壤塘县</w:t>
      </w:r>
      <w:r>
        <w:rPr>
          <w:rFonts w:hint="eastAsia" w:ascii="方正小标宋_GBK" w:hAnsi="方正小标宋_GBK" w:eastAsia="方正小标宋_GBK" w:cs="方正小标宋_GBK"/>
          <w:b/>
          <w:bCs/>
          <w:sz w:val="44"/>
          <w:szCs w:val="44"/>
          <w:lang w:eastAsia="zh-CN"/>
        </w:rPr>
        <w:t>委组织部</w:t>
      </w:r>
    </w:p>
    <w:p w14:paraId="3D35DC26">
      <w:pPr>
        <w:pStyle w:val="9"/>
        <w:widowControl/>
        <w:tabs>
          <w:tab w:val="left" w:pos="1957"/>
        </w:tabs>
        <w:kinsoku w:val="0"/>
        <w:autoSpaceDE w:val="0"/>
        <w:autoSpaceDN w:val="0"/>
        <w:adjustRightInd w:val="0"/>
        <w:snapToGrid w:val="0"/>
        <w:spacing w:before="93" w:line="700" w:lineRule="exact"/>
        <w:jc w:val="center"/>
        <w:textAlignment w:val="baseline"/>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b/>
          <w:bCs/>
          <w:sz w:val="44"/>
          <w:szCs w:val="44"/>
        </w:rPr>
        <w:t>2023年人才智力支援项目绩效评价报告</w:t>
      </w:r>
    </w:p>
    <w:p w14:paraId="3836CABB">
      <w:pPr>
        <w:spacing w:line="319" w:lineRule="auto"/>
        <w:rPr>
          <w:rFonts w:ascii="Arial"/>
        </w:rPr>
      </w:pPr>
    </w:p>
    <w:p w14:paraId="2644D4DC">
      <w:pPr>
        <w:spacing w:line="320" w:lineRule="auto"/>
        <w:rPr>
          <w:rFonts w:ascii="Arial"/>
        </w:rPr>
      </w:pPr>
    </w:p>
    <w:p w14:paraId="5F3C533D">
      <w:pPr>
        <w:widowControl/>
        <w:kinsoku w:val="0"/>
        <w:autoSpaceDE w:val="0"/>
        <w:autoSpaceDN w:val="0"/>
        <w:adjustRightInd w:val="0"/>
        <w:snapToGrid w:val="0"/>
        <w:spacing w:before="108" w:line="576" w:lineRule="exact"/>
        <w:ind w:firstLine="643" w:firstLineChars="200"/>
        <w:jc w:val="left"/>
        <w:textAlignment w:val="baseline"/>
        <w:rPr>
          <w:rFonts w:ascii="黑体" w:hAnsi="黑体" w:eastAsia="黑体" w:cs="黑体"/>
          <w:sz w:val="32"/>
          <w:szCs w:val="32"/>
        </w:rPr>
      </w:pPr>
      <w:r>
        <w:rPr>
          <w:rFonts w:ascii="黑体" w:hAnsi="黑体" w:eastAsia="黑体" w:cs="黑体"/>
          <w:b/>
          <w:bCs/>
          <w:sz w:val="32"/>
          <w:szCs w:val="32"/>
        </w:rPr>
        <w:t>一、项目概况</w:t>
      </w:r>
    </w:p>
    <w:p w14:paraId="53D8308A">
      <w:pPr>
        <w:widowControl/>
        <w:kinsoku w:val="0"/>
        <w:autoSpaceDE w:val="0"/>
        <w:autoSpaceDN w:val="0"/>
        <w:adjustRightInd w:val="0"/>
        <w:snapToGrid w:val="0"/>
        <w:spacing w:line="576" w:lineRule="exact"/>
        <w:ind w:firstLine="643" w:firstLineChars="200"/>
        <w:jc w:val="left"/>
        <w:textAlignment w:val="baseline"/>
        <w:rPr>
          <w:rFonts w:ascii="楷体" w:hAnsi="楷体" w:eastAsia="楷体" w:cs="楷体"/>
          <w:sz w:val="32"/>
          <w:szCs w:val="32"/>
        </w:rPr>
      </w:pPr>
      <w:r>
        <w:rPr>
          <w:rFonts w:ascii="楷体" w:hAnsi="楷体" w:eastAsia="楷体" w:cs="楷体"/>
          <w:b/>
          <w:bCs/>
          <w:sz w:val="32"/>
          <w:szCs w:val="32"/>
        </w:rPr>
        <w:t>(一)设立背景及基本情况</w:t>
      </w:r>
    </w:p>
    <w:p w14:paraId="4C8B104D">
      <w:pPr>
        <w:widowControl/>
        <w:kinsoku w:val="0"/>
        <w:autoSpaceDE w:val="0"/>
        <w:autoSpaceDN w:val="0"/>
        <w:adjustRightInd w:val="0"/>
        <w:snapToGrid w:val="0"/>
        <w:spacing w:line="576" w:lineRule="exact"/>
        <w:ind w:firstLine="640" w:firstLineChars="200"/>
        <w:jc w:val="left"/>
        <w:textAlignment w:val="baseline"/>
        <w:rPr>
          <w:rFonts w:ascii="仿宋" w:hAnsi="仿宋" w:eastAsia="仿宋" w:cs="仿宋"/>
          <w:sz w:val="32"/>
          <w:szCs w:val="32"/>
        </w:rPr>
      </w:pPr>
      <w:r>
        <w:rPr>
          <w:rFonts w:hint="eastAsia" w:ascii="仿宋" w:hAnsi="仿宋" w:eastAsia="仿宋" w:cs="仿宋"/>
          <w:sz w:val="32"/>
          <w:szCs w:val="32"/>
        </w:rPr>
        <w:t>项目设立背景：加强壤塘县本土干部人才队伍建设，提升全县干部人才业务知识储备和专业技能，主要用于单位牵头开展的各类教育培训费用以及由此产生的住宿费、餐饮费、交通费、师资费等。</w:t>
      </w:r>
    </w:p>
    <w:p w14:paraId="0CBE0661">
      <w:pPr>
        <w:widowControl/>
        <w:kinsoku w:val="0"/>
        <w:autoSpaceDE w:val="0"/>
        <w:autoSpaceDN w:val="0"/>
        <w:adjustRightInd w:val="0"/>
        <w:snapToGrid w:val="0"/>
        <w:spacing w:line="576" w:lineRule="exact"/>
        <w:ind w:firstLine="643" w:firstLineChars="200"/>
        <w:jc w:val="left"/>
        <w:textAlignment w:val="baseline"/>
        <w:rPr>
          <w:rFonts w:ascii="楷体" w:hAnsi="楷体" w:eastAsia="楷体" w:cs="楷体"/>
          <w:b/>
          <w:bCs/>
          <w:sz w:val="32"/>
          <w:szCs w:val="32"/>
        </w:rPr>
      </w:pPr>
      <w:r>
        <w:rPr>
          <w:rFonts w:ascii="楷体" w:hAnsi="楷体" w:eastAsia="楷体" w:cs="楷体"/>
          <w:b/>
          <w:bCs/>
          <w:sz w:val="32"/>
          <w:szCs w:val="32"/>
        </w:rPr>
        <w:t>(二)实施目的及支持方向</w:t>
      </w:r>
    </w:p>
    <w:p w14:paraId="7C8244CB">
      <w:pPr>
        <w:widowControl/>
        <w:kinsoku w:val="0"/>
        <w:autoSpaceDE w:val="0"/>
        <w:autoSpaceDN w:val="0"/>
        <w:adjustRightInd w:val="0"/>
        <w:snapToGrid w:val="0"/>
        <w:spacing w:line="576" w:lineRule="exact"/>
        <w:ind w:firstLine="640" w:firstLineChars="200"/>
        <w:jc w:val="left"/>
        <w:textAlignment w:val="baseline"/>
        <w:rPr>
          <w:rFonts w:ascii="仿宋" w:hAnsi="仿宋" w:eastAsia="仿宋" w:cs="仿宋"/>
          <w:sz w:val="32"/>
          <w:szCs w:val="32"/>
        </w:rPr>
      </w:pPr>
      <w:r>
        <w:rPr>
          <w:rFonts w:hint="eastAsia" w:ascii="仿宋" w:hAnsi="仿宋" w:eastAsia="仿宋" w:cs="仿宋"/>
          <w:sz w:val="32"/>
          <w:szCs w:val="32"/>
        </w:rPr>
        <w:t>项目实施的主要目的：通过提供经费支持，保障全县各相关单位教育培训工作顺利完成。提高壤塘县干部人才履职能力，提升干部人才适应新环境、处理复杂问题的综合素质。</w:t>
      </w:r>
      <w:r>
        <w:rPr>
          <w:rFonts w:eastAsia="仿宋"/>
          <w:sz w:val="32"/>
          <w:szCs w:val="32"/>
        </w:rPr>
        <w:t>使广大干部人才理想信念更加坚定、理论素养不断提高、党性修养切实增强、工作作风明显改进、德才素质和履职能力显著提升</w:t>
      </w:r>
      <w:r>
        <w:rPr>
          <w:rFonts w:hint="eastAsia" w:eastAsia="仿宋"/>
          <w:sz w:val="32"/>
          <w:szCs w:val="32"/>
        </w:rPr>
        <w:t>。</w:t>
      </w:r>
    </w:p>
    <w:p w14:paraId="453263DF">
      <w:pPr>
        <w:widowControl/>
        <w:kinsoku w:val="0"/>
        <w:autoSpaceDE w:val="0"/>
        <w:autoSpaceDN w:val="0"/>
        <w:adjustRightInd w:val="0"/>
        <w:snapToGrid w:val="0"/>
        <w:spacing w:line="576" w:lineRule="exact"/>
        <w:ind w:firstLine="643" w:firstLineChars="200"/>
        <w:jc w:val="left"/>
        <w:textAlignment w:val="baseline"/>
        <w:rPr>
          <w:rFonts w:ascii="楷体" w:hAnsi="楷体" w:eastAsia="楷体" w:cs="楷体"/>
          <w:b/>
          <w:bCs/>
          <w:sz w:val="32"/>
          <w:szCs w:val="32"/>
        </w:rPr>
      </w:pPr>
      <w:r>
        <w:rPr>
          <w:rFonts w:ascii="楷体" w:hAnsi="楷体" w:eastAsia="楷体" w:cs="楷体"/>
          <w:b/>
          <w:bCs/>
          <w:sz w:val="32"/>
          <w:szCs w:val="32"/>
        </w:rPr>
        <w:t>(三)预算安排及分配管理</w:t>
      </w:r>
    </w:p>
    <w:p w14:paraId="21264A2C">
      <w:pPr>
        <w:widowControl/>
        <w:kinsoku w:val="0"/>
        <w:autoSpaceDE w:val="0"/>
        <w:autoSpaceDN w:val="0"/>
        <w:adjustRightInd w:val="0"/>
        <w:snapToGrid w:val="0"/>
        <w:spacing w:line="576" w:lineRule="exact"/>
        <w:ind w:firstLine="640" w:firstLineChars="200"/>
        <w:jc w:val="left"/>
        <w:textAlignment w:val="baseline"/>
        <w:rPr>
          <w:rFonts w:eastAsia="仿宋"/>
          <w:sz w:val="32"/>
          <w:szCs w:val="32"/>
        </w:rPr>
      </w:pPr>
      <w:r>
        <w:rPr>
          <w:rFonts w:hint="eastAsia" w:eastAsia="仿宋"/>
          <w:sz w:val="32"/>
          <w:szCs w:val="32"/>
        </w:rPr>
        <w:t>项目总额为102.66万元。预算安排依据全县培训实际需求进行，分配管理以确保全县各单位培训经费的合理使用和高效分配为原则。</w:t>
      </w:r>
    </w:p>
    <w:p w14:paraId="63CB4DAA">
      <w:pPr>
        <w:widowControl/>
        <w:kinsoku w:val="0"/>
        <w:autoSpaceDE w:val="0"/>
        <w:autoSpaceDN w:val="0"/>
        <w:adjustRightInd w:val="0"/>
        <w:snapToGrid w:val="0"/>
        <w:spacing w:line="576" w:lineRule="exact"/>
        <w:ind w:firstLine="643" w:firstLineChars="200"/>
        <w:jc w:val="left"/>
        <w:textAlignment w:val="baseline"/>
        <w:rPr>
          <w:rFonts w:ascii="楷体" w:hAnsi="楷体" w:eastAsia="楷体" w:cs="楷体"/>
          <w:b/>
          <w:bCs/>
          <w:sz w:val="32"/>
          <w:szCs w:val="32"/>
        </w:rPr>
      </w:pPr>
      <w:r>
        <w:rPr>
          <w:rFonts w:ascii="楷体" w:hAnsi="楷体" w:eastAsia="楷体" w:cs="楷体"/>
          <w:b/>
          <w:bCs/>
          <w:sz w:val="32"/>
          <w:szCs w:val="32"/>
        </w:rPr>
        <w:t>(四)项目绩效目标设置</w:t>
      </w:r>
    </w:p>
    <w:p w14:paraId="582A2095">
      <w:pPr>
        <w:widowControl/>
        <w:kinsoku w:val="0"/>
        <w:autoSpaceDE w:val="0"/>
        <w:autoSpaceDN w:val="0"/>
        <w:adjustRightInd w:val="0"/>
        <w:snapToGrid w:val="0"/>
        <w:spacing w:line="576" w:lineRule="exact"/>
        <w:ind w:firstLine="640" w:firstLineChars="200"/>
        <w:jc w:val="left"/>
        <w:textAlignment w:val="baseline"/>
        <w:rPr>
          <w:rFonts w:eastAsia="仿宋"/>
          <w:sz w:val="32"/>
          <w:szCs w:val="32"/>
        </w:rPr>
      </w:pPr>
      <w:r>
        <w:rPr>
          <w:rFonts w:hint="eastAsia" w:eastAsia="仿宋"/>
          <w:sz w:val="32"/>
          <w:szCs w:val="32"/>
        </w:rPr>
        <w:t>项目绩效目标共设置4个，包括数量指标、质量指标、时效指标、拨付指标。</w:t>
      </w:r>
    </w:p>
    <w:p w14:paraId="022234E0">
      <w:pPr>
        <w:widowControl/>
        <w:kinsoku w:val="0"/>
        <w:autoSpaceDE w:val="0"/>
        <w:autoSpaceDN w:val="0"/>
        <w:adjustRightInd w:val="0"/>
        <w:snapToGrid w:val="0"/>
        <w:spacing w:before="108" w:line="576" w:lineRule="exact"/>
        <w:ind w:firstLine="643" w:firstLineChars="200"/>
        <w:jc w:val="left"/>
        <w:textAlignment w:val="baseline"/>
        <w:rPr>
          <w:rFonts w:ascii="黑体" w:hAnsi="黑体" w:eastAsia="黑体" w:cs="黑体"/>
          <w:b/>
          <w:bCs/>
          <w:sz w:val="32"/>
          <w:szCs w:val="32"/>
        </w:rPr>
      </w:pPr>
      <w:r>
        <w:rPr>
          <w:rFonts w:ascii="黑体" w:hAnsi="黑体" w:eastAsia="黑体" w:cs="黑体"/>
          <w:b/>
          <w:bCs/>
          <w:sz w:val="32"/>
          <w:szCs w:val="32"/>
        </w:rPr>
        <w:t>二、评价实施</w:t>
      </w:r>
    </w:p>
    <w:p w14:paraId="2821F7BD">
      <w:pPr>
        <w:widowControl/>
        <w:kinsoku w:val="0"/>
        <w:autoSpaceDE w:val="0"/>
        <w:autoSpaceDN w:val="0"/>
        <w:adjustRightInd w:val="0"/>
        <w:snapToGrid w:val="0"/>
        <w:spacing w:line="576" w:lineRule="exact"/>
        <w:ind w:firstLine="643" w:firstLineChars="200"/>
        <w:jc w:val="left"/>
        <w:textAlignment w:val="baseline"/>
        <w:rPr>
          <w:rFonts w:ascii="楷体" w:hAnsi="楷体" w:eastAsia="楷体" w:cs="楷体"/>
          <w:b/>
          <w:bCs/>
          <w:sz w:val="32"/>
          <w:szCs w:val="32"/>
        </w:rPr>
      </w:pPr>
      <w:r>
        <w:rPr>
          <w:rFonts w:ascii="楷体" w:hAnsi="楷体" w:eastAsia="楷体" w:cs="楷体"/>
          <w:b/>
          <w:bCs/>
          <w:sz w:val="32"/>
          <w:szCs w:val="32"/>
        </w:rPr>
        <w:t>(一)评价目的</w:t>
      </w:r>
    </w:p>
    <w:p w14:paraId="2EBDAC17">
      <w:pPr>
        <w:widowControl/>
        <w:kinsoku w:val="0"/>
        <w:autoSpaceDE w:val="0"/>
        <w:autoSpaceDN w:val="0"/>
        <w:adjustRightInd w:val="0"/>
        <w:snapToGrid w:val="0"/>
        <w:spacing w:line="576" w:lineRule="exact"/>
        <w:ind w:firstLine="640" w:firstLineChars="200"/>
        <w:jc w:val="left"/>
        <w:textAlignment w:val="baseline"/>
        <w:rPr>
          <w:rFonts w:eastAsia="仿宋"/>
          <w:sz w:val="32"/>
          <w:szCs w:val="32"/>
        </w:rPr>
      </w:pPr>
      <w:r>
        <w:rPr>
          <w:rFonts w:eastAsia="仿宋"/>
          <w:sz w:val="32"/>
          <w:szCs w:val="32"/>
        </w:rPr>
        <w:t>项目实施的主要目的是通过提供经费支持，</w:t>
      </w:r>
      <w:r>
        <w:rPr>
          <w:rFonts w:hint="eastAsia" w:eastAsia="仿宋"/>
          <w:sz w:val="32"/>
          <w:szCs w:val="32"/>
        </w:rPr>
        <w:t>加强壤塘县本土干部人才队伍建设，提升全县干部人才业务知识储备和专业技能，进一步提升人才队伍建设质效。</w:t>
      </w:r>
    </w:p>
    <w:p w14:paraId="58A2C6DD">
      <w:pPr>
        <w:widowControl/>
        <w:kinsoku w:val="0"/>
        <w:autoSpaceDE w:val="0"/>
        <w:autoSpaceDN w:val="0"/>
        <w:adjustRightInd w:val="0"/>
        <w:snapToGrid w:val="0"/>
        <w:spacing w:line="576" w:lineRule="exact"/>
        <w:ind w:firstLine="643" w:firstLineChars="200"/>
        <w:jc w:val="left"/>
        <w:textAlignment w:val="baseline"/>
        <w:rPr>
          <w:rFonts w:ascii="楷体" w:hAnsi="楷体" w:eastAsia="楷体" w:cs="楷体"/>
          <w:b/>
          <w:bCs/>
          <w:sz w:val="32"/>
          <w:szCs w:val="32"/>
        </w:rPr>
      </w:pPr>
      <w:r>
        <w:rPr>
          <w:rFonts w:ascii="楷体" w:hAnsi="楷体" w:eastAsia="楷体" w:cs="楷体"/>
          <w:b/>
          <w:bCs/>
          <w:sz w:val="32"/>
          <w:szCs w:val="32"/>
        </w:rPr>
        <w:t>(二)预设问题及评价重点</w:t>
      </w:r>
    </w:p>
    <w:p w14:paraId="7EFDD983">
      <w:pPr>
        <w:widowControl/>
        <w:kinsoku w:val="0"/>
        <w:autoSpaceDE w:val="0"/>
        <w:autoSpaceDN w:val="0"/>
        <w:adjustRightInd w:val="0"/>
        <w:snapToGrid w:val="0"/>
        <w:spacing w:line="576" w:lineRule="exact"/>
        <w:ind w:firstLine="640" w:firstLineChars="200"/>
        <w:jc w:val="left"/>
        <w:textAlignment w:val="baseline"/>
        <w:rPr>
          <w:rFonts w:eastAsia="仿宋"/>
          <w:sz w:val="32"/>
          <w:szCs w:val="32"/>
        </w:rPr>
      </w:pPr>
      <w:r>
        <w:rPr>
          <w:rFonts w:hint="eastAsia" w:eastAsia="仿宋"/>
          <w:sz w:val="32"/>
          <w:szCs w:val="32"/>
        </w:rPr>
        <w:t>本次评价采用单位自行评价的方式，评价重点在于各单位培训项目产生效益是否达标。</w:t>
      </w:r>
    </w:p>
    <w:p w14:paraId="72E448E2">
      <w:pPr>
        <w:widowControl/>
        <w:kinsoku w:val="0"/>
        <w:autoSpaceDE w:val="0"/>
        <w:autoSpaceDN w:val="0"/>
        <w:adjustRightInd w:val="0"/>
        <w:snapToGrid w:val="0"/>
        <w:spacing w:line="576" w:lineRule="exact"/>
        <w:ind w:firstLine="643" w:firstLineChars="200"/>
        <w:jc w:val="left"/>
        <w:textAlignment w:val="baseline"/>
        <w:rPr>
          <w:rFonts w:ascii="楷体" w:hAnsi="楷体" w:eastAsia="楷体" w:cs="楷体"/>
          <w:sz w:val="33"/>
          <w:szCs w:val="33"/>
        </w:rPr>
      </w:pPr>
      <w:r>
        <w:rPr>
          <w:rFonts w:ascii="楷体" w:hAnsi="楷体" w:eastAsia="楷体" w:cs="楷体"/>
          <w:b/>
          <w:bCs/>
          <w:sz w:val="32"/>
          <w:szCs w:val="32"/>
        </w:rPr>
        <w:t>(三)评价选点</w:t>
      </w:r>
    </w:p>
    <w:p w14:paraId="4D0A613E">
      <w:pPr>
        <w:widowControl/>
        <w:kinsoku w:val="0"/>
        <w:autoSpaceDE w:val="0"/>
        <w:autoSpaceDN w:val="0"/>
        <w:adjustRightInd w:val="0"/>
        <w:snapToGrid w:val="0"/>
        <w:spacing w:line="576" w:lineRule="exact"/>
        <w:ind w:firstLine="640" w:firstLineChars="200"/>
        <w:jc w:val="left"/>
        <w:textAlignment w:val="baseline"/>
        <w:rPr>
          <w:rFonts w:eastAsia="仿宋"/>
          <w:sz w:val="32"/>
          <w:szCs w:val="32"/>
        </w:rPr>
      </w:pPr>
      <w:r>
        <w:rPr>
          <w:rFonts w:hint="eastAsia" w:eastAsia="仿宋"/>
          <w:sz w:val="32"/>
          <w:szCs w:val="32"/>
        </w:rPr>
        <w:t>评价选点为壤塘县各单位培训工作开展情况。</w:t>
      </w:r>
    </w:p>
    <w:p w14:paraId="762C9A7B">
      <w:pPr>
        <w:widowControl/>
        <w:kinsoku w:val="0"/>
        <w:autoSpaceDE w:val="0"/>
        <w:autoSpaceDN w:val="0"/>
        <w:adjustRightInd w:val="0"/>
        <w:snapToGrid w:val="0"/>
        <w:spacing w:line="576" w:lineRule="exact"/>
        <w:ind w:firstLine="643" w:firstLineChars="200"/>
        <w:jc w:val="left"/>
        <w:textAlignment w:val="baseline"/>
        <w:rPr>
          <w:rFonts w:ascii="楷体" w:hAnsi="楷体" w:eastAsia="楷体" w:cs="楷体"/>
          <w:b/>
          <w:bCs/>
          <w:sz w:val="32"/>
          <w:szCs w:val="32"/>
        </w:rPr>
      </w:pPr>
      <w:r>
        <w:rPr>
          <w:rFonts w:ascii="楷体" w:hAnsi="楷体" w:eastAsia="楷体" w:cs="楷体"/>
          <w:b/>
          <w:bCs/>
          <w:sz w:val="32"/>
          <w:szCs w:val="32"/>
        </w:rPr>
        <w:t>(四)评价方法</w:t>
      </w:r>
    </w:p>
    <w:p w14:paraId="731BC767">
      <w:pPr>
        <w:widowControl/>
        <w:kinsoku w:val="0"/>
        <w:autoSpaceDE w:val="0"/>
        <w:autoSpaceDN w:val="0"/>
        <w:adjustRightInd w:val="0"/>
        <w:snapToGrid w:val="0"/>
        <w:spacing w:line="576" w:lineRule="exact"/>
        <w:ind w:firstLine="640" w:firstLineChars="200"/>
        <w:jc w:val="left"/>
        <w:textAlignment w:val="baseline"/>
        <w:rPr>
          <w:rFonts w:eastAsia="仿宋"/>
          <w:sz w:val="32"/>
          <w:szCs w:val="32"/>
        </w:rPr>
      </w:pPr>
      <w:r>
        <w:rPr>
          <w:rFonts w:hint="eastAsia" w:eastAsia="仿宋"/>
          <w:sz w:val="32"/>
          <w:szCs w:val="32"/>
        </w:rPr>
        <w:t>该项目主要用于各单位开展业务技能培训产生的相关费用，因此采用的评价方法为单位自评法；通过对各单位开展培训效果进行自查评定项目绩效。</w:t>
      </w:r>
    </w:p>
    <w:p w14:paraId="1E3807B6">
      <w:pPr>
        <w:widowControl/>
        <w:kinsoku w:val="0"/>
        <w:autoSpaceDE w:val="0"/>
        <w:autoSpaceDN w:val="0"/>
        <w:adjustRightInd w:val="0"/>
        <w:snapToGrid w:val="0"/>
        <w:spacing w:line="576" w:lineRule="exact"/>
        <w:ind w:firstLine="643" w:firstLineChars="200"/>
        <w:jc w:val="left"/>
        <w:textAlignment w:val="baseline"/>
        <w:rPr>
          <w:rFonts w:ascii="楷体" w:hAnsi="楷体" w:eastAsia="楷体" w:cs="楷体"/>
          <w:b/>
          <w:bCs/>
          <w:sz w:val="32"/>
          <w:szCs w:val="32"/>
        </w:rPr>
      </w:pPr>
      <w:r>
        <w:rPr>
          <w:rFonts w:ascii="楷体" w:hAnsi="楷体" w:eastAsia="楷体" w:cs="楷体"/>
          <w:b/>
          <w:bCs/>
          <w:sz w:val="32"/>
          <w:szCs w:val="32"/>
        </w:rPr>
        <w:t>(五)评价组织。</w:t>
      </w:r>
    </w:p>
    <w:p w14:paraId="335FBBD0">
      <w:pPr>
        <w:widowControl/>
        <w:kinsoku w:val="0"/>
        <w:autoSpaceDE w:val="0"/>
        <w:autoSpaceDN w:val="0"/>
        <w:adjustRightInd w:val="0"/>
        <w:snapToGrid w:val="0"/>
        <w:spacing w:line="576" w:lineRule="exact"/>
        <w:ind w:firstLine="640" w:firstLineChars="200"/>
        <w:jc w:val="left"/>
        <w:textAlignment w:val="baseline"/>
        <w:rPr>
          <w:rFonts w:eastAsia="仿宋"/>
          <w:sz w:val="32"/>
          <w:szCs w:val="32"/>
        </w:rPr>
      </w:pPr>
      <w:r>
        <w:rPr>
          <w:rFonts w:eastAsia="仿宋"/>
          <w:sz w:val="32"/>
          <w:szCs w:val="32"/>
        </w:rPr>
        <w:t>评价组由</w:t>
      </w:r>
      <w:r>
        <w:rPr>
          <w:rFonts w:hint="eastAsia" w:eastAsia="仿宋"/>
          <w:sz w:val="32"/>
          <w:szCs w:val="32"/>
        </w:rPr>
        <w:t>各培训牵头</w:t>
      </w:r>
      <w:r>
        <w:rPr>
          <w:rFonts w:eastAsia="仿宋"/>
          <w:sz w:val="32"/>
          <w:szCs w:val="32"/>
        </w:rPr>
        <w:t>部门的</w:t>
      </w:r>
      <w:r>
        <w:rPr>
          <w:rFonts w:hint="eastAsia" w:eastAsia="仿宋"/>
          <w:sz w:val="32"/>
          <w:szCs w:val="32"/>
        </w:rPr>
        <w:t>分管领导、</w:t>
      </w:r>
      <w:r>
        <w:rPr>
          <w:rFonts w:eastAsia="仿宋"/>
          <w:sz w:val="32"/>
          <w:szCs w:val="32"/>
        </w:rPr>
        <w:t>财务人员以及</w:t>
      </w:r>
      <w:r>
        <w:rPr>
          <w:rFonts w:hint="eastAsia" w:eastAsia="仿宋"/>
          <w:sz w:val="32"/>
          <w:szCs w:val="32"/>
        </w:rPr>
        <w:t>培训</w:t>
      </w:r>
      <w:r>
        <w:rPr>
          <w:rFonts w:eastAsia="仿宋"/>
          <w:sz w:val="32"/>
          <w:szCs w:val="32"/>
        </w:rPr>
        <w:t>项目</w:t>
      </w:r>
      <w:r>
        <w:rPr>
          <w:rFonts w:hint="eastAsia" w:eastAsia="仿宋"/>
          <w:sz w:val="32"/>
          <w:szCs w:val="32"/>
        </w:rPr>
        <w:t>经办</w:t>
      </w:r>
      <w:r>
        <w:rPr>
          <w:rFonts w:eastAsia="仿宋"/>
          <w:sz w:val="32"/>
          <w:szCs w:val="32"/>
        </w:rPr>
        <w:t>人员组成，负责收集相关数据和材料，进行综合分析和评价。</w:t>
      </w:r>
    </w:p>
    <w:p w14:paraId="3DDB9A7A">
      <w:pPr>
        <w:widowControl/>
        <w:kinsoku w:val="0"/>
        <w:autoSpaceDE w:val="0"/>
        <w:autoSpaceDN w:val="0"/>
        <w:adjustRightInd w:val="0"/>
        <w:snapToGrid w:val="0"/>
        <w:spacing w:before="108" w:line="576" w:lineRule="exact"/>
        <w:ind w:firstLine="643" w:firstLineChars="200"/>
        <w:jc w:val="left"/>
        <w:textAlignment w:val="baseline"/>
        <w:rPr>
          <w:rFonts w:ascii="黑体" w:hAnsi="黑体" w:eastAsia="黑体" w:cs="黑体"/>
          <w:b/>
          <w:bCs/>
          <w:sz w:val="32"/>
          <w:szCs w:val="32"/>
        </w:rPr>
      </w:pPr>
      <w:r>
        <w:rPr>
          <w:rFonts w:ascii="黑体" w:hAnsi="黑体" w:eastAsia="黑体" w:cs="黑体"/>
          <w:b/>
          <w:bCs/>
          <w:sz w:val="32"/>
          <w:szCs w:val="32"/>
        </w:rPr>
        <w:t>三、绩效分析</w:t>
      </w:r>
    </w:p>
    <w:p w14:paraId="7BA3C862">
      <w:pPr>
        <w:widowControl/>
        <w:kinsoku w:val="0"/>
        <w:autoSpaceDE w:val="0"/>
        <w:autoSpaceDN w:val="0"/>
        <w:adjustRightInd w:val="0"/>
        <w:snapToGrid w:val="0"/>
        <w:spacing w:line="576" w:lineRule="exact"/>
        <w:ind w:firstLine="640" w:firstLineChars="200"/>
        <w:jc w:val="left"/>
        <w:textAlignment w:val="baseline"/>
        <w:rPr>
          <w:rFonts w:eastAsia="仿宋"/>
          <w:sz w:val="32"/>
          <w:szCs w:val="32"/>
        </w:rPr>
      </w:pPr>
      <w:r>
        <w:rPr>
          <w:rFonts w:eastAsia="仿宋"/>
          <w:sz w:val="32"/>
          <w:szCs w:val="32"/>
        </w:rPr>
        <w:t>根据项目预算绩效评价指标体系“通用指标”“专用指标”“个性指标”涉及二、三级指标进行逐项绩效分析并评分。</w:t>
      </w:r>
    </w:p>
    <w:p w14:paraId="1754C673">
      <w:pPr>
        <w:widowControl/>
        <w:kinsoku w:val="0"/>
        <w:autoSpaceDE w:val="0"/>
        <w:autoSpaceDN w:val="0"/>
        <w:adjustRightInd w:val="0"/>
        <w:snapToGrid w:val="0"/>
        <w:spacing w:line="576" w:lineRule="exact"/>
        <w:ind w:firstLine="643" w:firstLineChars="200"/>
        <w:jc w:val="left"/>
        <w:textAlignment w:val="baseline"/>
        <w:rPr>
          <w:rFonts w:ascii="楷体" w:hAnsi="楷体" w:eastAsia="楷体" w:cs="楷体"/>
          <w:b/>
          <w:bCs/>
          <w:sz w:val="32"/>
          <w:szCs w:val="32"/>
        </w:rPr>
      </w:pPr>
      <w:r>
        <w:rPr>
          <w:rFonts w:ascii="楷体" w:hAnsi="楷体" w:eastAsia="楷体" w:cs="楷体"/>
          <w:b/>
          <w:bCs/>
          <w:sz w:val="32"/>
          <w:szCs w:val="32"/>
        </w:rPr>
        <w:t>(一)通用指标绩效分析</w:t>
      </w:r>
    </w:p>
    <w:p w14:paraId="10EA44DB">
      <w:pPr>
        <w:pStyle w:val="9"/>
        <w:widowControl/>
        <w:tabs>
          <w:tab w:val="left" w:pos="953"/>
        </w:tabs>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1.项目决策</w:t>
      </w:r>
    </w:p>
    <w:p w14:paraId="0411F3C1">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决策程序：项目设立的决策程序符合相关规定。</w:t>
      </w:r>
    </w:p>
    <w:p w14:paraId="264AEE97">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规划论证：项目的规划和论证</w:t>
      </w:r>
      <w:r>
        <w:rPr>
          <w:rFonts w:hint="eastAsia" w:ascii="Times New Roman" w:eastAsia="仿宋"/>
          <w:snapToGrid w:val="0"/>
          <w:color w:val="000000"/>
          <w:sz w:val="32"/>
          <w:szCs w:val="32"/>
        </w:rPr>
        <w:t>较为</w:t>
      </w:r>
      <w:r>
        <w:rPr>
          <w:rFonts w:ascii="Times New Roman" w:eastAsia="仿宋"/>
          <w:snapToGrid w:val="0"/>
          <w:color w:val="000000"/>
          <w:sz w:val="32"/>
          <w:szCs w:val="32"/>
        </w:rPr>
        <w:t>充分。</w:t>
      </w:r>
    </w:p>
    <w:p w14:paraId="0FCD79A9">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资金投向：资金的使用方向是否明确、合理</w:t>
      </w:r>
      <w:r>
        <w:rPr>
          <w:rFonts w:hint="eastAsia" w:ascii="Times New Roman" w:eastAsia="仿宋"/>
          <w:snapToGrid w:val="0"/>
          <w:color w:val="000000"/>
          <w:sz w:val="32"/>
          <w:szCs w:val="32"/>
        </w:rPr>
        <w:t>。</w:t>
      </w:r>
    </w:p>
    <w:p w14:paraId="2AAE6DBC">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2.项目管理</w:t>
      </w:r>
    </w:p>
    <w:p w14:paraId="784837D1">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制度办法：项目资金的管理办法是否健全</w:t>
      </w:r>
      <w:r>
        <w:rPr>
          <w:rFonts w:hint="eastAsia" w:ascii="Times New Roman" w:eastAsia="仿宋"/>
          <w:snapToGrid w:val="0"/>
          <w:color w:val="000000"/>
          <w:sz w:val="32"/>
          <w:szCs w:val="32"/>
        </w:rPr>
        <w:t>。</w:t>
      </w:r>
    </w:p>
    <w:p w14:paraId="417E880E">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分配管理：资金分配是否合理、透明。</w:t>
      </w:r>
    </w:p>
    <w:p w14:paraId="2F91B5AC">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绩效监管：项目实施过程中是否有有效的监管措施</w:t>
      </w:r>
      <w:r>
        <w:rPr>
          <w:rFonts w:hint="eastAsia" w:ascii="Times New Roman" w:eastAsia="仿宋"/>
          <w:snapToGrid w:val="0"/>
          <w:color w:val="000000"/>
          <w:sz w:val="32"/>
          <w:szCs w:val="32"/>
        </w:rPr>
        <w:t>。</w:t>
      </w:r>
    </w:p>
    <w:p w14:paraId="3ED0AD4B">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3.项目实施</w:t>
      </w:r>
    </w:p>
    <w:p w14:paraId="1025ADAA">
      <w:pPr>
        <w:pStyle w:val="9"/>
        <w:widowControl/>
        <w:kinsoku w:val="0"/>
        <w:autoSpaceDE w:val="0"/>
        <w:autoSpaceDN w:val="0"/>
        <w:adjustRightInd w:val="0"/>
        <w:snapToGrid w:val="0"/>
        <w:spacing w:before="93" w:line="576" w:lineRule="exact"/>
        <w:ind w:right="1675"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预算执行：项目预算执行是否按计划进行</w:t>
      </w:r>
      <w:r>
        <w:rPr>
          <w:rFonts w:hint="eastAsia" w:ascii="Times New Roman" w:eastAsia="仿宋"/>
          <w:snapToGrid w:val="0"/>
          <w:color w:val="000000"/>
          <w:sz w:val="32"/>
          <w:szCs w:val="32"/>
        </w:rPr>
        <w:t>。</w:t>
      </w:r>
      <w:r>
        <w:rPr>
          <w:rFonts w:ascii="Times New Roman" w:eastAsia="仿宋"/>
          <w:snapToGrid w:val="0"/>
          <w:color w:val="000000"/>
          <w:sz w:val="32"/>
          <w:szCs w:val="32"/>
        </w:rPr>
        <w:t>资金使用：资金使用是否合理高效。</w:t>
      </w:r>
    </w:p>
    <w:p w14:paraId="69E37B0B">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4.项目结果</w:t>
      </w:r>
    </w:p>
    <w:p w14:paraId="4D540716">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目标完成：项目目标是否按时、按质完成。</w:t>
      </w:r>
    </w:p>
    <w:p w14:paraId="32ED2A4D">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完成时效：项目的实施时效是否符合预期。</w:t>
      </w:r>
    </w:p>
    <w:p w14:paraId="7F62278B">
      <w:pPr>
        <w:widowControl/>
        <w:kinsoku w:val="0"/>
        <w:autoSpaceDE w:val="0"/>
        <w:autoSpaceDN w:val="0"/>
        <w:adjustRightInd w:val="0"/>
        <w:snapToGrid w:val="0"/>
        <w:spacing w:line="576" w:lineRule="exact"/>
        <w:ind w:firstLine="643" w:firstLineChars="200"/>
        <w:jc w:val="left"/>
        <w:textAlignment w:val="baseline"/>
        <w:rPr>
          <w:rFonts w:ascii="楷体" w:hAnsi="楷体" w:eastAsia="楷体" w:cs="楷体"/>
          <w:b/>
          <w:bCs/>
          <w:sz w:val="32"/>
          <w:szCs w:val="32"/>
        </w:rPr>
      </w:pPr>
      <w:r>
        <w:rPr>
          <w:rFonts w:ascii="楷体" w:hAnsi="楷体" w:eastAsia="楷体" w:cs="楷体"/>
          <w:b/>
          <w:bCs/>
          <w:sz w:val="32"/>
          <w:szCs w:val="32"/>
        </w:rPr>
        <w:t>(二)专用指标绩效分析</w:t>
      </w:r>
    </w:p>
    <w:p w14:paraId="1D86615D">
      <w:pPr>
        <w:pStyle w:val="9"/>
        <w:widowControl/>
        <w:kinsoku w:val="0"/>
        <w:autoSpaceDE w:val="0"/>
        <w:autoSpaceDN w:val="0"/>
        <w:adjustRightInd w:val="0"/>
        <w:snapToGrid w:val="0"/>
        <w:spacing w:before="93" w:line="576" w:lineRule="exact"/>
        <w:ind w:right="148"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合规性：</w:t>
      </w:r>
      <w:r>
        <w:rPr>
          <w:rFonts w:hint="eastAsia" w:ascii="Times New Roman" w:eastAsia="仿宋"/>
          <w:snapToGrid w:val="0"/>
          <w:color w:val="000000"/>
          <w:sz w:val="32"/>
          <w:szCs w:val="32"/>
        </w:rPr>
        <w:t>各单位培训</w:t>
      </w:r>
      <w:r>
        <w:rPr>
          <w:rFonts w:ascii="Times New Roman" w:eastAsia="仿宋"/>
          <w:snapToGrid w:val="0"/>
          <w:color w:val="000000"/>
          <w:sz w:val="32"/>
          <w:szCs w:val="32"/>
        </w:rPr>
        <w:t>工作的开展是否符合相关法律法规要求。</w:t>
      </w:r>
    </w:p>
    <w:p w14:paraId="572B2C10">
      <w:pPr>
        <w:widowControl/>
        <w:kinsoku w:val="0"/>
        <w:autoSpaceDE w:val="0"/>
        <w:autoSpaceDN w:val="0"/>
        <w:adjustRightInd w:val="0"/>
        <w:snapToGrid w:val="0"/>
        <w:spacing w:line="576" w:lineRule="exact"/>
        <w:ind w:firstLine="643" w:firstLineChars="200"/>
        <w:jc w:val="left"/>
        <w:textAlignment w:val="baseline"/>
        <w:rPr>
          <w:rFonts w:ascii="楷体" w:hAnsi="楷体" w:eastAsia="楷体" w:cs="楷体"/>
          <w:b/>
          <w:bCs/>
          <w:sz w:val="32"/>
          <w:szCs w:val="32"/>
        </w:rPr>
      </w:pPr>
      <w:r>
        <w:rPr>
          <w:rFonts w:ascii="楷体" w:hAnsi="楷体" w:eastAsia="楷体" w:cs="楷体"/>
          <w:b/>
          <w:bCs/>
          <w:sz w:val="32"/>
          <w:szCs w:val="32"/>
        </w:rPr>
        <w:t>(三)个性指标绩效分析</w:t>
      </w:r>
    </w:p>
    <w:p w14:paraId="1D24A89A">
      <w:pPr>
        <w:widowControl/>
        <w:kinsoku w:val="0"/>
        <w:autoSpaceDE w:val="0"/>
        <w:autoSpaceDN w:val="0"/>
        <w:adjustRightInd w:val="0"/>
        <w:snapToGrid w:val="0"/>
        <w:spacing w:line="576" w:lineRule="exact"/>
        <w:ind w:firstLine="640" w:firstLineChars="200"/>
        <w:jc w:val="left"/>
        <w:textAlignment w:val="baseline"/>
        <w:rPr>
          <w:rFonts w:eastAsia="仿宋"/>
          <w:sz w:val="32"/>
          <w:szCs w:val="32"/>
        </w:rPr>
      </w:pPr>
      <w:r>
        <w:rPr>
          <w:rFonts w:eastAsia="仿宋"/>
          <w:sz w:val="32"/>
          <w:szCs w:val="32"/>
        </w:rPr>
        <w:t>项目设定的个性化指标包括：</w:t>
      </w:r>
    </w:p>
    <w:p w14:paraId="3F149BD6">
      <w:pPr>
        <w:widowControl/>
        <w:kinsoku w:val="0"/>
        <w:autoSpaceDE w:val="0"/>
        <w:autoSpaceDN w:val="0"/>
        <w:adjustRightInd w:val="0"/>
        <w:snapToGrid w:val="0"/>
        <w:spacing w:line="576" w:lineRule="exact"/>
        <w:ind w:firstLine="640" w:firstLineChars="200"/>
        <w:jc w:val="left"/>
        <w:textAlignment w:val="baseline"/>
        <w:rPr>
          <w:rFonts w:eastAsia="仿宋"/>
          <w:sz w:val="32"/>
          <w:szCs w:val="32"/>
        </w:rPr>
      </w:pPr>
      <w:r>
        <w:rPr>
          <w:rFonts w:eastAsia="仿宋"/>
          <w:sz w:val="32"/>
          <w:szCs w:val="32"/>
        </w:rPr>
        <w:t>数量指标：</w:t>
      </w:r>
      <w:r>
        <w:rPr>
          <w:rFonts w:hint="eastAsia" w:eastAsia="仿宋"/>
          <w:sz w:val="32"/>
          <w:szCs w:val="32"/>
        </w:rPr>
        <w:t>完成培训23个培训项目，完成率达到100%。</w:t>
      </w:r>
    </w:p>
    <w:p w14:paraId="036D4B06">
      <w:pPr>
        <w:widowControl/>
        <w:kinsoku w:val="0"/>
        <w:autoSpaceDE w:val="0"/>
        <w:autoSpaceDN w:val="0"/>
        <w:adjustRightInd w:val="0"/>
        <w:snapToGrid w:val="0"/>
        <w:spacing w:line="576" w:lineRule="exact"/>
        <w:ind w:firstLine="640" w:firstLineChars="200"/>
        <w:jc w:val="left"/>
        <w:textAlignment w:val="baseline"/>
        <w:rPr>
          <w:rFonts w:eastAsia="仿宋"/>
          <w:sz w:val="32"/>
          <w:szCs w:val="32"/>
        </w:rPr>
      </w:pPr>
      <w:r>
        <w:rPr>
          <w:rFonts w:hint="eastAsia" w:eastAsia="仿宋"/>
          <w:sz w:val="32"/>
          <w:szCs w:val="32"/>
        </w:rPr>
        <w:t>质量</w:t>
      </w:r>
      <w:r>
        <w:rPr>
          <w:rFonts w:eastAsia="仿宋"/>
          <w:sz w:val="32"/>
          <w:szCs w:val="32"/>
        </w:rPr>
        <w:t>指标：</w:t>
      </w:r>
      <w:r>
        <w:rPr>
          <w:rFonts w:hint="eastAsia" w:eastAsia="仿宋"/>
          <w:sz w:val="32"/>
          <w:szCs w:val="32"/>
        </w:rPr>
        <w:t>培训项目规范率达到100%，23个培训项目合格率达到100%，23项目的达标率达到100%；</w:t>
      </w:r>
    </w:p>
    <w:p w14:paraId="7CD131AF">
      <w:pPr>
        <w:widowControl/>
        <w:kinsoku w:val="0"/>
        <w:autoSpaceDE w:val="0"/>
        <w:autoSpaceDN w:val="0"/>
        <w:adjustRightInd w:val="0"/>
        <w:snapToGrid w:val="0"/>
        <w:spacing w:line="576" w:lineRule="exact"/>
        <w:ind w:firstLine="640" w:firstLineChars="200"/>
        <w:jc w:val="left"/>
        <w:textAlignment w:val="baseline"/>
        <w:rPr>
          <w:rFonts w:eastAsia="仿宋"/>
          <w:sz w:val="32"/>
          <w:szCs w:val="32"/>
        </w:rPr>
      </w:pPr>
      <w:r>
        <w:rPr>
          <w:rFonts w:hint="eastAsia" w:eastAsia="仿宋"/>
          <w:sz w:val="32"/>
          <w:szCs w:val="32"/>
        </w:rPr>
        <w:t>拨付指标</w:t>
      </w:r>
      <w:r>
        <w:rPr>
          <w:rFonts w:eastAsia="仿宋"/>
          <w:sz w:val="32"/>
          <w:szCs w:val="32"/>
        </w:rPr>
        <w:t>：</w:t>
      </w:r>
      <w:r>
        <w:rPr>
          <w:rFonts w:hint="eastAsia" w:eastAsia="仿宋"/>
          <w:sz w:val="32"/>
          <w:szCs w:val="32"/>
        </w:rPr>
        <w:t>按照培训项目完成时限，实际拨付102.65万元，资金拨付率</w:t>
      </w:r>
      <w:r>
        <w:rPr>
          <w:rFonts w:eastAsia="仿宋"/>
          <w:sz w:val="32"/>
          <w:szCs w:val="32"/>
        </w:rPr>
        <w:t>≥95%。</w:t>
      </w:r>
    </w:p>
    <w:p w14:paraId="69D949E8">
      <w:pPr>
        <w:widowControl/>
        <w:kinsoku w:val="0"/>
        <w:autoSpaceDE w:val="0"/>
        <w:autoSpaceDN w:val="0"/>
        <w:adjustRightInd w:val="0"/>
        <w:snapToGrid w:val="0"/>
        <w:spacing w:line="576" w:lineRule="exact"/>
        <w:ind w:firstLine="640" w:firstLineChars="200"/>
        <w:jc w:val="left"/>
        <w:textAlignment w:val="baseline"/>
        <w:rPr>
          <w:rFonts w:eastAsia="仿宋"/>
          <w:sz w:val="32"/>
          <w:szCs w:val="32"/>
        </w:rPr>
      </w:pPr>
      <w:r>
        <w:rPr>
          <w:rFonts w:eastAsia="仿宋"/>
          <w:sz w:val="32"/>
          <w:szCs w:val="32"/>
        </w:rPr>
        <w:t>满意度指标：</w:t>
      </w:r>
      <w:r>
        <w:rPr>
          <w:rFonts w:hint="eastAsia" w:eastAsia="仿宋"/>
          <w:sz w:val="32"/>
          <w:szCs w:val="32"/>
        </w:rPr>
        <w:t>各单位培训满意度</w:t>
      </w:r>
      <w:r>
        <w:rPr>
          <w:rFonts w:eastAsia="仿宋"/>
          <w:sz w:val="32"/>
          <w:szCs w:val="32"/>
        </w:rPr>
        <w:t>，目标为≥95%。</w:t>
      </w:r>
    </w:p>
    <w:p w14:paraId="29100816">
      <w:pPr>
        <w:widowControl/>
        <w:kinsoku w:val="0"/>
        <w:autoSpaceDE w:val="0"/>
        <w:autoSpaceDN w:val="0"/>
        <w:adjustRightInd w:val="0"/>
        <w:snapToGrid w:val="0"/>
        <w:spacing w:before="108" w:line="576" w:lineRule="exact"/>
        <w:ind w:firstLine="643" w:firstLineChars="200"/>
        <w:jc w:val="left"/>
        <w:textAlignment w:val="baseline"/>
        <w:rPr>
          <w:rFonts w:ascii="黑体" w:hAnsi="黑体" w:eastAsia="黑体" w:cs="黑体"/>
          <w:b/>
          <w:bCs/>
          <w:sz w:val="32"/>
          <w:szCs w:val="32"/>
        </w:rPr>
      </w:pPr>
      <w:r>
        <w:rPr>
          <w:rFonts w:ascii="黑体" w:hAnsi="黑体" w:eastAsia="黑体" w:cs="黑体"/>
          <w:b/>
          <w:bCs/>
          <w:sz w:val="32"/>
          <w:szCs w:val="32"/>
        </w:rPr>
        <w:t>四、评价结论</w:t>
      </w:r>
    </w:p>
    <w:p w14:paraId="69742214">
      <w:pPr>
        <w:widowControl/>
        <w:kinsoku w:val="0"/>
        <w:autoSpaceDE w:val="0"/>
        <w:autoSpaceDN w:val="0"/>
        <w:adjustRightInd w:val="0"/>
        <w:snapToGrid w:val="0"/>
        <w:spacing w:line="576" w:lineRule="exact"/>
        <w:ind w:firstLine="640" w:firstLineChars="200"/>
        <w:jc w:val="left"/>
        <w:textAlignment w:val="baseline"/>
        <w:rPr>
          <w:rFonts w:eastAsia="仿宋"/>
          <w:sz w:val="32"/>
          <w:szCs w:val="32"/>
        </w:rPr>
      </w:pPr>
      <w:r>
        <w:rPr>
          <w:rFonts w:eastAsia="仿宋"/>
          <w:sz w:val="32"/>
          <w:szCs w:val="32"/>
        </w:rPr>
        <w:t>教育培训</w:t>
      </w:r>
      <w:r>
        <w:rPr>
          <w:rFonts w:eastAsia="仿宋"/>
          <w:sz w:val="32"/>
          <w:szCs w:val="32"/>
          <w:lang w:val="zh-CN"/>
        </w:rPr>
        <w:t>是</w:t>
      </w:r>
      <w:r>
        <w:rPr>
          <w:rFonts w:eastAsia="仿宋"/>
          <w:sz w:val="32"/>
          <w:szCs w:val="32"/>
        </w:rPr>
        <w:t>提升干部人才推动落实“十四五”</w:t>
      </w:r>
      <w:r>
        <w:rPr>
          <w:rFonts w:hint="eastAsia" w:eastAsia="仿宋"/>
          <w:sz w:val="32"/>
          <w:szCs w:val="32"/>
        </w:rPr>
        <w:t>时期</w:t>
      </w:r>
      <w:r>
        <w:rPr>
          <w:rFonts w:eastAsia="仿宋"/>
          <w:sz w:val="32"/>
          <w:szCs w:val="32"/>
        </w:rPr>
        <w:t>发展目标任务素质的</w:t>
      </w:r>
      <w:r>
        <w:rPr>
          <w:rFonts w:eastAsia="仿宋"/>
          <w:sz w:val="32"/>
          <w:szCs w:val="32"/>
          <w:lang w:val="zh-CN"/>
        </w:rPr>
        <w:t>重要提能措施，是</w:t>
      </w:r>
      <w:r>
        <w:rPr>
          <w:rFonts w:eastAsia="仿宋"/>
          <w:sz w:val="32"/>
          <w:szCs w:val="32"/>
        </w:rPr>
        <w:t>全面推进理论武装、党史教育、能力培训和知识更新的重要保障，通过建立长期的培训机制形成了更加开放、更具活力、更有实效的培训体系，使广大干部人才理想信念更加坚定、理论素养不断提高、党性修养切实增强、工作作风明显改进、德才素质和履职能力显著提升，为</w:t>
      </w:r>
      <w:r>
        <w:rPr>
          <w:rFonts w:hint="eastAsia" w:eastAsia="仿宋"/>
          <w:sz w:val="32"/>
          <w:szCs w:val="32"/>
        </w:rPr>
        <w:t>全面实施“农牧立县、文旅兴县、能源富县”发展战略</w:t>
      </w:r>
      <w:r>
        <w:rPr>
          <w:rFonts w:eastAsia="仿宋"/>
          <w:sz w:val="32"/>
          <w:szCs w:val="32"/>
        </w:rPr>
        <w:t>提供有力的智力支持和人才保障。</w:t>
      </w:r>
    </w:p>
    <w:p w14:paraId="2E0EF7B5">
      <w:pPr>
        <w:widowControl/>
        <w:kinsoku w:val="0"/>
        <w:autoSpaceDE w:val="0"/>
        <w:autoSpaceDN w:val="0"/>
        <w:adjustRightInd w:val="0"/>
        <w:snapToGrid w:val="0"/>
        <w:spacing w:before="108" w:line="576" w:lineRule="exact"/>
        <w:ind w:firstLine="643" w:firstLineChars="200"/>
        <w:jc w:val="left"/>
        <w:textAlignment w:val="baseline"/>
        <w:rPr>
          <w:rFonts w:ascii="黑体" w:hAnsi="黑体" w:eastAsia="黑体" w:cs="黑体"/>
          <w:b/>
          <w:bCs/>
          <w:sz w:val="32"/>
          <w:szCs w:val="32"/>
        </w:rPr>
      </w:pPr>
      <w:r>
        <w:rPr>
          <w:rFonts w:hint="eastAsia" w:ascii="黑体" w:hAnsi="黑体" w:eastAsia="黑体" w:cs="黑体"/>
          <w:b/>
          <w:bCs/>
          <w:sz w:val="32"/>
          <w:szCs w:val="32"/>
        </w:rPr>
        <w:t>五、</w:t>
      </w:r>
      <w:r>
        <w:rPr>
          <w:rFonts w:ascii="黑体" w:hAnsi="黑体" w:eastAsia="黑体" w:cs="黑体"/>
          <w:b/>
          <w:bCs/>
          <w:sz w:val="32"/>
          <w:szCs w:val="32"/>
        </w:rPr>
        <w:t>存在主要问</w:t>
      </w:r>
      <w:r>
        <w:rPr>
          <w:rFonts w:hint="eastAsia" w:ascii="黑体" w:hAnsi="黑体" w:eastAsia="黑体" w:cs="黑体"/>
          <w:b/>
          <w:bCs/>
          <w:sz w:val="32"/>
          <w:szCs w:val="32"/>
        </w:rPr>
        <w:t>及建议</w:t>
      </w:r>
    </w:p>
    <w:p w14:paraId="707331DA">
      <w:pPr>
        <w:pStyle w:val="2"/>
        <w:widowControl/>
        <w:kinsoku w:val="0"/>
        <w:autoSpaceDE w:val="0"/>
        <w:autoSpaceDN w:val="0"/>
        <w:adjustRightInd w:val="0"/>
        <w:spacing w:line="576" w:lineRule="exact"/>
        <w:ind w:firstLine="640" w:firstLineChars="200"/>
        <w:textAlignment w:val="baseline"/>
        <w:rPr>
          <w:rFonts w:ascii="Times New Roman" w:hAnsi="Times New Roman" w:eastAsia="仿宋"/>
          <w:snapToGrid w:val="0"/>
          <w:color w:val="000000"/>
          <w:sz w:val="32"/>
          <w:szCs w:val="32"/>
        </w:rPr>
      </w:pPr>
      <w:r>
        <w:rPr>
          <w:rFonts w:hint="eastAsia" w:ascii="Times New Roman" w:hAnsi="Times New Roman" w:eastAsia="仿宋"/>
          <w:snapToGrid w:val="0"/>
          <w:color w:val="000000"/>
          <w:sz w:val="32"/>
          <w:szCs w:val="32"/>
        </w:rPr>
        <w:t>无</w:t>
      </w:r>
    </w:p>
    <w:p w14:paraId="39A4DC73">
      <w:pPr>
        <w:pStyle w:val="7"/>
      </w:pPr>
    </w:p>
    <w:p w14:paraId="2E30CEBD"/>
    <w:p w14:paraId="37ED8F88">
      <w:pPr>
        <w:pStyle w:val="2"/>
      </w:pPr>
    </w:p>
    <w:p w14:paraId="7FBC4B87">
      <w:pPr>
        <w:pStyle w:val="2"/>
      </w:pPr>
    </w:p>
    <w:p w14:paraId="4DBFBC50">
      <w:pPr>
        <w:pStyle w:val="2"/>
      </w:pPr>
    </w:p>
    <w:p w14:paraId="2AFAB758">
      <w:pPr>
        <w:pStyle w:val="2"/>
      </w:pPr>
    </w:p>
    <w:p w14:paraId="060F8354">
      <w:pPr>
        <w:pStyle w:val="2"/>
      </w:pPr>
    </w:p>
    <w:p w14:paraId="123A9373">
      <w:pPr>
        <w:pStyle w:val="2"/>
      </w:pPr>
    </w:p>
    <w:p w14:paraId="23E227B9">
      <w:pPr>
        <w:pStyle w:val="2"/>
      </w:pPr>
    </w:p>
    <w:p w14:paraId="144E6A05">
      <w:pPr>
        <w:pStyle w:val="2"/>
      </w:pPr>
    </w:p>
    <w:p w14:paraId="7A8BC7F5">
      <w:pPr>
        <w:pStyle w:val="2"/>
      </w:pPr>
    </w:p>
    <w:p w14:paraId="0AC06F33">
      <w:pPr>
        <w:pStyle w:val="2"/>
      </w:pPr>
    </w:p>
    <w:p w14:paraId="52EAF2BB">
      <w:pPr>
        <w:pStyle w:val="2"/>
      </w:pPr>
    </w:p>
    <w:p w14:paraId="545EAB7B">
      <w:pPr>
        <w:pStyle w:val="2"/>
      </w:pPr>
    </w:p>
    <w:p w14:paraId="5186D2F0">
      <w:pPr>
        <w:pStyle w:val="2"/>
      </w:pPr>
    </w:p>
    <w:p w14:paraId="4E58E198">
      <w:pPr>
        <w:pStyle w:val="2"/>
      </w:pPr>
    </w:p>
    <w:p w14:paraId="4FC7C97B">
      <w:pPr>
        <w:pStyle w:val="2"/>
      </w:pPr>
    </w:p>
    <w:p w14:paraId="76C3194D">
      <w:pPr>
        <w:pStyle w:val="2"/>
      </w:pPr>
    </w:p>
    <w:p w14:paraId="28ADFF8F">
      <w:pPr>
        <w:rPr>
          <w:rFonts w:ascii="黑体" w:hAnsi="黑体" w:eastAsia="黑体" w:cs="黑体"/>
          <w:sz w:val="44"/>
          <w:szCs w:val="44"/>
        </w:rPr>
      </w:pPr>
      <w:r>
        <w:rPr>
          <w:rFonts w:hint="eastAsia" w:ascii="黑体" w:hAnsi="黑体" w:eastAsia="黑体" w:cs="黑体"/>
          <w:sz w:val="44"/>
          <w:szCs w:val="44"/>
        </w:rPr>
        <w:br w:type="page"/>
      </w:r>
    </w:p>
    <w:p w14:paraId="0DB26066">
      <w:pPr>
        <w:pStyle w:val="9"/>
        <w:widowControl/>
        <w:tabs>
          <w:tab w:val="left" w:pos="2281"/>
        </w:tabs>
        <w:kinsoku w:val="0"/>
        <w:autoSpaceDE w:val="0"/>
        <w:autoSpaceDN w:val="0"/>
        <w:adjustRightInd w:val="0"/>
        <w:snapToGrid w:val="0"/>
        <w:spacing w:before="93" w:line="700" w:lineRule="exact"/>
        <w:jc w:val="center"/>
        <w:textAlignment w:val="baseline"/>
        <w:rPr>
          <w:rFonts w:hint="eastAsia" w:ascii="方正小标宋_GBK" w:hAnsi="方正小标宋_GBK" w:eastAsia="方正小标宋_GBK" w:cs="方正小标宋_GBK"/>
          <w:b/>
          <w:bCs/>
          <w:sz w:val="44"/>
          <w:szCs w:val="44"/>
          <w:lang w:eastAsia="zh-CN"/>
        </w:rPr>
      </w:pPr>
      <w:r>
        <w:rPr>
          <w:rFonts w:hint="eastAsia" w:ascii="方正小标宋_GBK" w:hAnsi="方正小标宋_GBK" w:eastAsia="方正小标宋_GBK" w:cs="方正小标宋_GBK"/>
          <w:b/>
          <w:bCs/>
          <w:sz w:val="44"/>
          <w:szCs w:val="44"/>
        </w:rPr>
        <w:t>中共壤塘县</w:t>
      </w:r>
      <w:r>
        <w:rPr>
          <w:rFonts w:hint="eastAsia" w:ascii="方正小标宋_GBK" w:hAnsi="方正小标宋_GBK" w:eastAsia="方正小标宋_GBK" w:cs="方正小标宋_GBK"/>
          <w:b/>
          <w:bCs/>
          <w:sz w:val="44"/>
          <w:szCs w:val="44"/>
          <w:lang w:eastAsia="zh-CN"/>
        </w:rPr>
        <w:t>委组织部</w:t>
      </w:r>
    </w:p>
    <w:p w14:paraId="2EDCB4AF">
      <w:pPr>
        <w:pStyle w:val="9"/>
        <w:widowControl/>
        <w:tabs>
          <w:tab w:val="left" w:pos="1957"/>
        </w:tabs>
        <w:kinsoku w:val="0"/>
        <w:autoSpaceDE w:val="0"/>
        <w:autoSpaceDN w:val="0"/>
        <w:adjustRightInd w:val="0"/>
        <w:snapToGrid w:val="0"/>
        <w:spacing w:before="93" w:line="700" w:lineRule="exact"/>
        <w:jc w:val="center"/>
        <w:textAlignment w:val="baseline"/>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2023年人才发展专项资金项目绩效</w:t>
      </w:r>
    </w:p>
    <w:p w14:paraId="1C619E28">
      <w:pPr>
        <w:pStyle w:val="9"/>
        <w:widowControl/>
        <w:tabs>
          <w:tab w:val="left" w:pos="1957"/>
        </w:tabs>
        <w:kinsoku w:val="0"/>
        <w:autoSpaceDE w:val="0"/>
        <w:autoSpaceDN w:val="0"/>
        <w:adjustRightInd w:val="0"/>
        <w:snapToGrid w:val="0"/>
        <w:spacing w:before="93" w:line="700" w:lineRule="exact"/>
        <w:jc w:val="center"/>
        <w:textAlignment w:val="baseline"/>
        <w:rPr>
          <w:rFonts w:ascii="Arial"/>
          <w:sz w:val="21"/>
        </w:rPr>
      </w:pPr>
      <w:r>
        <w:rPr>
          <w:rFonts w:hint="eastAsia" w:ascii="方正小标宋_GBK" w:hAnsi="方正小标宋_GBK" w:eastAsia="方正小标宋_GBK" w:cs="方正小标宋_GBK"/>
          <w:b/>
          <w:bCs/>
          <w:sz w:val="44"/>
          <w:szCs w:val="44"/>
        </w:rPr>
        <w:t>评价报告</w:t>
      </w:r>
    </w:p>
    <w:p w14:paraId="6EF9B8BE">
      <w:pPr>
        <w:widowControl/>
        <w:kinsoku w:val="0"/>
        <w:autoSpaceDE w:val="0"/>
        <w:autoSpaceDN w:val="0"/>
        <w:adjustRightInd w:val="0"/>
        <w:snapToGrid w:val="0"/>
        <w:spacing w:before="108" w:line="576" w:lineRule="exact"/>
        <w:ind w:firstLine="643" w:firstLineChars="200"/>
        <w:jc w:val="left"/>
        <w:textAlignment w:val="baseline"/>
        <w:rPr>
          <w:rFonts w:ascii="黑体" w:hAnsi="黑体" w:eastAsia="黑体" w:cs="黑体"/>
          <w:sz w:val="32"/>
          <w:szCs w:val="32"/>
        </w:rPr>
      </w:pPr>
      <w:r>
        <w:rPr>
          <w:rFonts w:ascii="黑体" w:hAnsi="黑体" w:eastAsia="黑体" w:cs="黑体"/>
          <w:b/>
          <w:bCs/>
          <w:sz w:val="32"/>
          <w:szCs w:val="32"/>
        </w:rPr>
        <w:t>一、项目概况</w:t>
      </w:r>
    </w:p>
    <w:p w14:paraId="020D2DDA">
      <w:pPr>
        <w:widowControl/>
        <w:kinsoku w:val="0"/>
        <w:autoSpaceDE w:val="0"/>
        <w:autoSpaceDN w:val="0"/>
        <w:adjustRightInd w:val="0"/>
        <w:snapToGrid w:val="0"/>
        <w:spacing w:line="576" w:lineRule="exact"/>
        <w:ind w:firstLine="643" w:firstLineChars="200"/>
        <w:jc w:val="left"/>
        <w:textAlignment w:val="baseline"/>
        <w:rPr>
          <w:rFonts w:ascii="楷体" w:hAnsi="楷体" w:eastAsia="楷体" w:cs="楷体"/>
          <w:sz w:val="32"/>
          <w:szCs w:val="32"/>
        </w:rPr>
      </w:pPr>
      <w:r>
        <w:rPr>
          <w:rFonts w:ascii="楷体" w:hAnsi="楷体" w:eastAsia="楷体" w:cs="楷体"/>
          <w:b/>
          <w:bCs/>
          <w:sz w:val="32"/>
          <w:szCs w:val="32"/>
        </w:rPr>
        <w:t>(一)设立背景及基本情况</w:t>
      </w:r>
    </w:p>
    <w:p w14:paraId="7BE3A006">
      <w:pPr>
        <w:widowControl/>
        <w:kinsoku w:val="0"/>
        <w:autoSpaceDE w:val="0"/>
        <w:autoSpaceDN w:val="0"/>
        <w:adjustRightInd w:val="0"/>
        <w:snapToGrid w:val="0"/>
        <w:spacing w:line="576" w:lineRule="exact"/>
        <w:ind w:firstLine="640" w:firstLineChars="200"/>
        <w:jc w:val="left"/>
        <w:textAlignment w:val="baseline"/>
        <w:rPr>
          <w:rFonts w:ascii="仿宋" w:hAnsi="仿宋" w:eastAsia="仿宋" w:cs="仿宋"/>
          <w:sz w:val="32"/>
          <w:szCs w:val="32"/>
        </w:rPr>
      </w:pPr>
      <w:r>
        <w:rPr>
          <w:rFonts w:hint="eastAsia" w:ascii="仿宋" w:hAnsi="仿宋" w:eastAsia="仿宋" w:cs="仿宋"/>
          <w:sz w:val="32"/>
          <w:szCs w:val="32"/>
        </w:rPr>
        <w:t>项目设立背景：</w:t>
      </w:r>
      <w:r>
        <w:rPr>
          <w:rFonts w:hint="eastAsia" w:ascii="仿宋_GB2312" w:hAnsi="仿宋_GB2312" w:eastAsia="仿宋_GB2312" w:cs="仿宋_GB2312"/>
          <w:sz w:val="32"/>
          <w:szCs w:val="32"/>
        </w:rPr>
        <w:t>在坚持统筹兼顾全县各支人才队伍建设的基础上，重点用于实施重大人才项目、优秀人才表彰、重大课题研究以及紧缺专业和高层次人才引进与培养等。</w:t>
      </w:r>
    </w:p>
    <w:p w14:paraId="73CC90FF">
      <w:pPr>
        <w:widowControl/>
        <w:kinsoku w:val="0"/>
        <w:autoSpaceDE w:val="0"/>
        <w:autoSpaceDN w:val="0"/>
        <w:adjustRightInd w:val="0"/>
        <w:snapToGrid w:val="0"/>
        <w:spacing w:line="576" w:lineRule="exact"/>
        <w:ind w:firstLine="643" w:firstLineChars="200"/>
        <w:jc w:val="left"/>
        <w:textAlignment w:val="baseline"/>
        <w:rPr>
          <w:rFonts w:ascii="楷体" w:hAnsi="楷体" w:eastAsia="楷体" w:cs="楷体"/>
          <w:b/>
          <w:bCs/>
          <w:sz w:val="32"/>
          <w:szCs w:val="32"/>
        </w:rPr>
      </w:pPr>
      <w:r>
        <w:rPr>
          <w:rFonts w:ascii="楷体" w:hAnsi="楷体" w:eastAsia="楷体" w:cs="楷体"/>
          <w:b/>
          <w:bCs/>
          <w:sz w:val="32"/>
          <w:szCs w:val="32"/>
        </w:rPr>
        <w:t>(二)实施目的及支持方向</w:t>
      </w:r>
    </w:p>
    <w:p w14:paraId="688AEA59">
      <w:pPr>
        <w:widowControl/>
        <w:kinsoku w:val="0"/>
        <w:autoSpaceDE w:val="0"/>
        <w:autoSpaceDN w:val="0"/>
        <w:adjustRightInd w:val="0"/>
        <w:snapToGrid w:val="0"/>
        <w:spacing w:line="576" w:lineRule="exact"/>
        <w:ind w:firstLine="640" w:firstLineChars="200"/>
        <w:jc w:val="left"/>
        <w:textAlignment w:val="baseline"/>
        <w:rPr>
          <w:rFonts w:ascii="仿宋" w:hAnsi="仿宋" w:eastAsia="仿宋" w:cs="仿宋"/>
          <w:sz w:val="32"/>
          <w:szCs w:val="32"/>
        </w:rPr>
      </w:pPr>
      <w:r>
        <w:rPr>
          <w:rFonts w:hint="eastAsia" w:ascii="仿宋" w:hAnsi="仿宋" w:eastAsia="仿宋" w:cs="仿宋"/>
          <w:sz w:val="32"/>
          <w:szCs w:val="32"/>
        </w:rPr>
        <w:t>项目实施的主要目的：通过提供经费支持，</w:t>
      </w:r>
      <w:r>
        <w:rPr>
          <w:rFonts w:hint="eastAsia" w:ascii="仿宋_GB2312" w:hAnsi="仿宋_GB2312" w:eastAsia="仿宋_GB2312" w:cs="仿宋_GB2312"/>
          <w:sz w:val="32"/>
          <w:szCs w:val="32"/>
        </w:rPr>
        <w:t>促进人才发展培养、发挥人才激励导向作用、加快人才载体平台建设、推进技术创新和特色产业提档升级</w:t>
      </w:r>
      <w:r>
        <w:rPr>
          <w:rFonts w:hint="eastAsia" w:eastAsia="仿宋"/>
          <w:sz w:val="32"/>
          <w:szCs w:val="32"/>
        </w:rPr>
        <w:t>。</w:t>
      </w:r>
    </w:p>
    <w:p w14:paraId="7F8FD817">
      <w:pPr>
        <w:widowControl/>
        <w:kinsoku w:val="0"/>
        <w:autoSpaceDE w:val="0"/>
        <w:autoSpaceDN w:val="0"/>
        <w:adjustRightInd w:val="0"/>
        <w:snapToGrid w:val="0"/>
        <w:spacing w:line="576" w:lineRule="exact"/>
        <w:ind w:firstLine="643" w:firstLineChars="200"/>
        <w:jc w:val="left"/>
        <w:textAlignment w:val="baseline"/>
        <w:rPr>
          <w:rFonts w:ascii="楷体" w:hAnsi="楷体" w:eastAsia="楷体" w:cs="楷体"/>
          <w:b/>
          <w:bCs/>
          <w:sz w:val="32"/>
          <w:szCs w:val="32"/>
        </w:rPr>
      </w:pPr>
      <w:r>
        <w:rPr>
          <w:rFonts w:ascii="楷体" w:hAnsi="楷体" w:eastAsia="楷体" w:cs="楷体"/>
          <w:b/>
          <w:bCs/>
          <w:sz w:val="32"/>
          <w:szCs w:val="32"/>
        </w:rPr>
        <w:t>(三)预算安排及分配管理</w:t>
      </w:r>
    </w:p>
    <w:p w14:paraId="1C45B07F">
      <w:pPr>
        <w:widowControl/>
        <w:kinsoku w:val="0"/>
        <w:autoSpaceDE w:val="0"/>
        <w:autoSpaceDN w:val="0"/>
        <w:adjustRightInd w:val="0"/>
        <w:snapToGrid w:val="0"/>
        <w:spacing w:line="576" w:lineRule="exact"/>
        <w:ind w:firstLine="640" w:firstLineChars="200"/>
        <w:jc w:val="left"/>
        <w:textAlignment w:val="baseline"/>
        <w:rPr>
          <w:rFonts w:ascii="仿宋" w:hAnsi="仿宋" w:eastAsia="仿宋" w:cs="仿宋"/>
          <w:sz w:val="32"/>
          <w:szCs w:val="32"/>
        </w:rPr>
      </w:pPr>
      <w:r>
        <w:rPr>
          <w:rFonts w:hint="eastAsia" w:ascii="仿宋" w:hAnsi="仿宋" w:eastAsia="仿宋" w:cs="仿宋"/>
          <w:sz w:val="32"/>
          <w:szCs w:val="32"/>
        </w:rPr>
        <w:t>项目总额为297.53万元。预算安排依据</w:t>
      </w:r>
      <w:r>
        <w:rPr>
          <w:rFonts w:hint="eastAsia" w:ascii="仿宋_GB2312" w:hAnsi="仿宋_GB2312" w:eastAsia="仿宋_GB2312" w:cs="仿宋_GB2312"/>
          <w:sz w:val="32"/>
          <w:szCs w:val="32"/>
        </w:rPr>
        <w:t>根据《中共阿坝州委人才工作领导小组办公室关于印发&lt;加强和改进新时代阿坝人才工作的二十条措施&gt;的通知》</w:t>
      </w:r>
      <w:r>
        <w:rPr>
          <w:rFonts w:hint="eastAsia" w:ascii="仿宋" w:hAnsi="仿宋" w:eastAsia="仿宋" w:cs="仿宋"/>
          <w:sz w:val="32"/>
          <w:szCs w:val="32"/>
        </w:rPr>
        <w:t>进行，</w:t>
      </w:r>
      <w:r>
        <w:rPr>
          <w:rFonts w:hint="eastAsia" w:ascii="仿宋_GB2312" w:hAnsi="仿宋_GB2312" w:eastAsia="仿宋_GB2312" w:cs="仿宋_GB2312"/>
          <w:sz w:val="32"/>
          <w:szCs w:val="32"/>
        </w:rPr>
        <w:t>人才发展专项资金实行专帐管理，专款专用，</w:t>
      </w:r>
      <w:r>
        <w:rPr>
          <w:rFonts w:hint="eastAsia" w:ascii="仿宋" w:hAnsi="仿宋" w:eastAsia="仿宋" w:cs="仿宋"/>
          <w:sz w:val="32"/>
          <w:szCs w:val="32"/>
        </w:rPr>
        <w:t>实行按需拨付原则。</w:t>
      </w:r>
    </w:p>
    <w:p w14:paraId="35EE5A5E">
      <w:pPr>
        <w:widowControl/>
        <w:kinsoku w:val="0"/>
        <w:autoSpaceDE w:val="0"/>
        <w:autoSpaceDN w:val="0"/>
        <w:adjustRightInd w:val="0"/>
        <w:snapToGrid w:val="0"/>
        <w:spacing w:line="576" w:lineRule="exact"/>
        <w:ind w:firstLine="643" w:firstLineChars="200"/>
        <w:jc w:val="left"/>
        <w:textAlignment w:val="baseline"/>
        <w:rPr>
          <w:rFonts w:ascii="楷体" w:hAnsi="楷体" w:eastAsia="楷体" w:cs="楷体"/>
          <w:b/>
          <w:bCs/>
          <w:sz w:val="32"/>
          <w:szCs w:val="32"/>
        </w:rPr>
      </w:pPr>
      <w:r>
        <w:rPr>
          <w:rFonts w:ascii="楷体" w:hAnsi="楷体" w:eastAsia="楷体" w:cs="楷体"/>
          <w:b/>
          <w:bCs/>
          <w:sz w:val="32"/>
          <w:szCs w:val="32"/>
        </w:rPr>
        <w:t>(四)项目绩效目标设置</w:t>
      </w:r>
    </w:p>
    <w:p w14:paraId="65AF72D0">
      <w:pPr>
        <w:widowControl/>
        <w:kinsoku w:val="0"/>
        <w:autoSpaceDE w:val="0"/>
        <w:autoSpaceDN w:val="0"/>
        <w:adjustRightInd w:val="0"/>
        <w:snapToGrid w:val="0"/>
        <w:spacing w:line="576" w:lineRule="exact"/>
        <w:ind w:firstLine="640" w:firstLineChars="200"/>
        <w:jc w:val="left"/>
        <w:textAlignment w:val="baseline"/>
        <w:rPr>
          <w:rFonts w:eastAsia="仿宋"/>
          <w:sz w:val="32"/>
          <w:szCs w:val="32"/>
        </w:rPr>
      </w:pPr>
      <w:r>
        <w:rPr>
          <w:rFonts w:hint="eastAsia" w:ascii="仿宋" w:hAnsi="仿宋" w:eastAsia="仿宋" w:cs="仿宋"/>
          <w:sz w:val="32"/>
          <w:szCs w:val="32"/>
        </w:rPr>
        <w:t>项目绩效目标共设置3个，包括数量指标、质量指标、时效指标。</w:t>
      </w:r>
    </w:p>
    <w:p w14:paraId="7B76A7B6">
      <w:pPr>
        <w:widowControl/>
        <w:kinsoku w:val="0"/>
        <w:autoSpaceDE w:val="0"/>
        <w:autoSpaceDN w:val="0"/>
        <w:adjustRightInd w:val="0"/>
        <w:snapToGrid w:val="0"/>
        <w:spacing w:before="108" w:line="576" w:lineRule="exact"/>
        <w:ind w:firstLine="643" w:firstLineChars="200"/>
        <w:jc w:val="left"/>
        <w:textAlignment w:val="baseline"/>
        <w:rPr>
          <w:rFonts w:ascii="黑体" w:hAnsi="黑体" w:eastAsia="黑体" w:cs="黑体"/>
          <w:b/>
          <w:bCs/>
          <w:sz w:val="32"/>
          <w:szCs w:val="32"/>
        </w:rPr>
      </w:pPr>
      <w:r>
        <w:rPr>
          <w:rFonts w:ascii="黑体" w:hAnsi="黑体" w:eastAsia="黑体" w:cs="黑体"/>
          <w:b/>
          <w:bCs/>
          <w:sz w:val="32"/>
          <w:szCs w:val="32"/>
        </w:rPr>
        <w:t>二、评价实施</w:t>
      </w:r>
    </w:p>
    <w:p w14:paraId="67609939">
      <w:pPr>
        <w:widowControl/>
        <w:kinsoku w:val="0"/>
        <w:autoSpaceDE w:val="0"/>
        <w:autoSpaceDN w:val="0"/>
        <w:adjustRightInd w:val="0"/>
        <w:snapToGrid w:val="0"/>
        <w:spacing w:line="576" w:lineRule="exact"/>
        <w:ind w:firstLine="643" w:firstLineChars="200"/>
        <w:jc w:val="left"/>
        <w:textAlignment w:val="baseline"/>
        <w:rPr>
          <w:rFonts w:ascii="楷体" w:hAnsi="楷体" w:eastAsia="楷体" w:cs="楷体"/>
          <w:b/>
          <w:bCs/>
          <w:sz w:val="32"/>
          <w:szCs w:val="32"/>
        </w:rPr>
      </w:pPr>
      <w:r>
        <w:rPr>
          <w:rFonts w:ascii="楷体" w:hAnsi="楷体" w:eastAsia="楷体" w:cs="楷体"/>
          <w:b/>
          <w:bCs/>
          <w:sz w:val="32"/>
          <w:szCs w:val="32"/>
        </w:rPr>
        <w:t>(一)评价目的</w:t>
      </w:r>
    </w:p>
    <w:p w14:paraId="14001B85">
      <w:pPr>
        <w:widowControl/>
        <w:kinsoku w:val="0"/>
        <w:autoSpaceDE w:val="0"/>
        <w:autoSpaceDN w:val="0"/>
        <w:adjustRightInd w:val="0"/>
        <w:snapToGrid w:val="0"/>
        <w:spacing w:line="576" w:lineRule="exact"/>
        <w:ind w:firstLine="640" w:firstLineChars="200"/>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项目实施的主要目的是通过提供经费支持，用于人才培养、引进、奖励、管理等方面，主要包括全县重大人才项目的组织实施、优秀人才的引进、培养、使用、表彰激励以及关怀保障等工作。</w:t>
      </w:r>
    </w:p>
    <w:p w14:paraId="40A89615">
      <w:pPr>
        <w:widowControl/>
        <w:kinsoku w:val="0"/>
        <w:autoSpaceDE w:val="0"/>
        <w:autoSpaceDN w:val="0"/>
        <w:adjustRightInd w:val="0"/>
        <w:snapToGrid w:val="0"/>
        <w:spacing w:line="576" w:lineRule="exact"/>
        <w:ind w:firstLine="643" w:firstLineChars="200"/>
        <w:jc w:val="left"/>
        <w:textAlignment w:val="baseline"/>
        <w:rPr>
          <w:rFonts w:ascii="楷体" w:hAnsi="楷体" w:eastAsia="楷体" w:cs="楷体"/>
          <w:b/>
          <w:bCs/>
          <w:sz w:val="32"/>
          <w:szCs w:val="32"/>
        </w:rPr>
      </w:pPr>
      <w:r>
        <w:rPr>
          <w:rFonts w:ascii="楷体" w:hAnsi="楷体" w:eastAsia="楷体" w:cs="楷体"/>
          <w:b/>
          <w:bCs/>
          <w:sz w:val="32"/>
          <w:szCs w:val="32"/>
        </w:rPr>
        <w:t>(二)预设问题及评价重点</w:t>
      </w:r>
    </w:p>
    <w:p w14:paraId="2B57F695">
      <w:pPr>
        <w:widowControl/>
        <w:kinsoku w:val="0"/>
        <w:autoSpaceDE w:val="0"/>
        <w:autoSpaceDN w:val="0"/>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本次评价采用单位自行评价的方式，评价重点在于人才发展专项资金是否做到专款专用，有无违规挤占、挪用。</w:t>
      </w:r>
    </w:p>
    <w:p w14:paraId="2353C2C7">
      <w:pPr>
        <w:widowControl/>
        <w:kinsoku w:val="0"/>
        <w:autoSpaceDE w:val="0"/>
        <w:autoSpaceDN w:val="0"/>
        <w:adjustRightInd w:val="0"/>
        <w:snapToGrid w:val="0"/>
        <w:spacing w:line="576" w:lineRule="exact"/>
        <w:ind w:firstLine="643" w:firstLineChars="200"/>
        <w:jc w:val="left"/>
        <w:textAlignment w:val="baseline"/>
        <w:rPr>
          <w:rFonts w:ascii="楷体" w:hAnsi="楷体" w:eastAsia="楷体" w:cs="楷体"/>
          <w:sz w:val="33"/>
          <w:szCs w:val="33"/>
        </w:rPr>
      </w:pPr>
      <w:r>
        <w:rPr>
          <w:rFonts w:ascii="楷体" w:hAnsi="楷体" w:eastAsia="楷体" w:cs="楷体"/>
          <w:b/>
          <w:bCs/>
          <w:sz w:val="32"/>
          <w:szCs w:val="32"/>
        </w:rPr>
        <w:t>(三)评价选点</w:t>
      </w:r>
    </w:p>
    <w:p w14:paraId="581FC550">
      <w:pPr>
        <w:widowControl/>
        <w:kinsoku w:val="0"/>
        <w:autoSpaceDE w:val="0"/>
        <w:autoSpaceDN w:val="0"/>
        <w:adjustRightInd w:val="0"/>
        <w:snapToGrid w:val="0"/>
        <w:spacing w:line="576" w:lineRule="exact"/>
        <w:ind w:firstLine="640" w:firstLineChars="200"/>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评价选点为</w:t>
      </w:r>
      <w:r>
        <w:rPr>
          <w:rFonts w:hint="eastAsia" w:ascii="仿宋_GB2312" w:hAnsi="仿宋_GB2312" w:eastAsia="仿宋_GB2312" w:cs="仿宋_GB2312"/>
          <w:kern w:val="2"/>
          <w:sz w:val="32"/>
          <w:szCs w:val="32"/>
        </w:rPr>
        <w:t>中共壤塘县委组织部</w:t>
      </w:r>
      <w:r>
        <w:rPr>
          <w:rFonts w:hint="eastAsia" w:ascii="仿宋_GB2312" w:hAnsi="仿宋_GB2312" w:eastAsia="仿宋_GB2312" w:cs="仿宋_GB2312"/>
          <w:sz w:val="32"/>
          <w:szCs w:val="32"/>
        </w:rPr>
        <w:t>人才工作开展情况。</w:t>
      </w:r>
    </w:p>
    <w:p w14:paraId="7443C396">
      <w:pPr>
        <w:widowControl/>
        <w:kinsoku w:val="0"/>
        <w:autoSpaceDE w:val="0"/>
        <w:autoSpaceDN w:val="0"/>
        <w:adjustRightInd w:val="0"/>
        <w:snapToGrid w:val="0"/>
        <w:spacing w:line="576" w:lineRule="exact"/>
        <w:ind w:firstLine="643" w:firstLineChars="200"/>
        <w:jc w:val="left"/>
        <w:textAlignment w:val="baseline"/>
        <w:rPr>
          <w:rFonts w:ascii="楷体" w:hAnsi="楷体" w:eastAsia="楷体" w:cs="楷体"/>
          <w:b/>
          <w:bCs/>
          <w:sz w:val="32"/>
          <w:szCs w:val="32"/>
        </w:rPr>
      </w:pPr>
      <w:r>
        <w:rPr>
          <w:rFonts w:ascii="楷体" w:hAnsi="楷体" w:eastAsia="楷体" w:cs="楷体"/>
          <w:b/>
          <w:bCs/>
          <w:sz w:val="32"/>
          <w:szCs w:val="32"/>
        </w:rPr>
        <w:t>(四)评价方法</w:t>
      </w:r>
    </w:p>
    <w:p w14:paraId="40FCF0EE">
      <w:pPr>
        <w:widowControl/>
        <w:kinsoku w:val="0"/>
        <w:autoSpaceDE w:val="0"/>
        <w:autoSpaceDN w:val="0"/>
        <w:adjustRightInd w:val="0"/>
        <w:snapToGrid w:val="0"/>
        <w:spacing w:line="576" w:lineRule="exact"/>
        <w:ind w:firstLine="640" w:firstLineChars="200"/>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该项目主要用于人才培养、引进、奖励、管理等方面的相关费用，因此采用的评价方法为单位自评法；通过对本单位开展人才工作效果进行自查评定项目绩效。</w:t>
      </w:r>
    </w:p>
    <w:p w14:paraId="64C8B82E">
      <w:pPr>
        <w:widowControl/>
        <w:kinsoku w:val="0"/>
        <w:autoSpaceDE w:val="0"/>
        <w:autoSpaceDN w:val="0"/>
        <w:adjustRightInd w:val="0"/>
        <w:snapToGrid w:val="0"/>
        <w:spacing w:line="576" w:lineRule="exact"/>
        <w:ind w:firstLine="643" w:firstLineChars="200"/>
        <w:jc w:val="left"/>
        <w:textAlignment w:val="baseline"/>
        <w:rPr>
          <w:rFonts w:ascii="楷体" w:hAnsi="楷体" w:eastAsia="楷体" w:cs="楷体"/>
          <w:b/>
          <w:bCs/>
          <w:sz w:val="32"/>
          <w:szCs w:val="32"/>
        </w:rPr>
      </w:pPr>
      <w:r>
        <w:rPr>
          <w:rFonts w:ascii="楷体" w:hAnsi="楷体" w:eastAsia="楷体" w:cs="楷体"/>
          <w:b/>
          <w:bCs/>
          <w:sz w:val="32"/>
          <w:szCs w:val="32"/>
        </w:rPr>
        <w:t>(五)评价组织。</w:t>
      </w:r>
    </w:p>
    <w:p w14:paraId="54511491">
      <w:pPr>
        <w:widowControl/>
        <w:kinsoku w:val="0"/>
        <w:autoSpaceDE w:val="0"/>
        <w:autoSpaceDN w:val="0"/>
        <w:adjustRightInd w:val="0"/>
        <w:snapToGrid w:val="0"/>
        <w:spacing w:line="576" w:lineRule="exact"/>
        <w:ind w:firstLine="640" w:firstLineChars="200"/>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评价组由组织部</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 xml:space="preserve">的分管领导、财务人员以及项目经办人员组成，负责收集相关数据和材料，进行综合分析和评价。 </w:t>
      </w:r>
    </w:p>
    <w:p w14:paraId="4D680FB8">
      <w:pPr>
        <w:widowControl/>
        <w:kinsoku w:val="0"/>
        <w:autoSpaceDE w:val="0"/>
        <w:autoSpaceDN w:val="0"/>
        <w:adjustRightInd w:val="0"/>
        <w:snapToGrid w:val="0"/>
        <w:spacing w:before="108" w:line="576" w:lineRule="exact"/>
        <w:ind w:firstLine="643" w:firstLineChars="200"/>
        <w:jc w:val="left"/>
        <w:textAlignment w:val="baseline"/>
        <w:rPr>
          <w:rFonts w:ascii="黑体" w:hAnsi="黑体" w:eastAsia="黑体" w:cs="黑体"/>
          <w:b/>
          <w:bCs/>
          <w:sz w:val="32"/>
          <w:szCs w:val="32"/>
        </w:rPr>
      </w:pPr>
      <w:r>
        <w:rPr>
          <w:rFonts w:ascii="黑体" w:hAnsi="黑体" w:eastAsia="黑体" w:cs="黑体"/>
          <w:b/>
          <w:bCs/>
          <w:sz w:val="32"/>
          <w:szCs w:val="32"/>
        </w:rPr>
        <w:t>三、绩效分析</w:t>
      </w:r>
    </w:p>
    <w:p w14:paraId="0909A843">
      <w:pPr>
        <w:widowControl/>
        <w:kinsoku w:val="0"/>
        <w:autoSpaceDE w:val="0"/>
        <w:autoSpaceDN w:val="0"/>
        <w:adjustRightInd w:val="0"/>
        <w:snapToGrid w:val="0"/>
        <w:spacing w:line="576" w:lineRule="exact"/>
        <w:ind w:firstLine="640" w:firstLineChars="200"/>
        <w:jc w:val="left"/>
        <w:textAlignment w:val="baseline"/>
        <w:rPr>
          <w:rFonts w:ascii="仿宋_GB2312" w:hAnsi="仿宋_GB2312" w:eastAsia="仿宋_GB2312" w:cs="仿宋_GB2312"/>
          <w:sz w:val="32"/>
          <w:szCs w:val="32"/>
        </w:rPr>
      </w:pPr>
      <w:r>
        <w:rPr>
          <w:rFonts w:ascii="仿宋_GB2312" w:hAnsi="仿宋_GB2312" w:eastAsia="仿宋_GB2312" w:cs="仿宋_GB2312"/>
          <w:sz w:val="32"/>
          <w:szCs w:val="32"/>
        </w:rPr>
        <w:t>根据项目预算绩效评价指标体系“通用指标”“专用指标”“个性指标”涉及二、三级指标进行逐项绩效分析并评分。</w:t>
      </w:r>
    </w:p>
    <w:p w14:paraId="75346574">
      <w:pPr>
        <w:widowControl/>
        <w:kinsoku w:val="0"/>
        <w:autoSpaceDE w:val="0"/>
        <w:autoSpaceDN w:val="0"/>
        <w:adjustRightInd w:val="0"/>
        <w:snapToGrid w:val="0"/>
        <w:spacing w:line="576" w:lineRule="exact"/>
        <w:ind w:firstLine="643" w:firstLineChars="200"/>
        <w:jc w:val="left"/>
        <w:textAlignment w:val="baseline"/>
        <w:rPr>
          <w:rFonts w:ascii="楷体" w:hAnsi="楷体" w:eastAsia="楷体" w:cs="楷体"/>
          <w:b/>
          <w:bCs/>
          <w:sz w:val="32"/>
          <w:szCs w:val="32"/>
        </w:rPr>
      </w:pPr>
      <w:r>
        <w:rPr>
          <w:rFonts w:ascii="楷体" w:hAnsi="楷体" w:eastAsia="楷体" w:cs="楷体"/>
          <w:b/>
          <w:bCs/>
          <w:sz w:val="32"/>
          <w:szCs w:val="32"/>
        </w:rPr>
        <w:t>(一)通用指标绩效分析</w:t>
      </w:r>
    </w:p>
    <w:p w14:paraId="48DFD2EA">
      <w:pPr>
        <w:pStyle w:val="9"/>
        <w:widowControl/>
        <w:tabs>
          <w:tab w:val="left" w:pos="953"/>
        </w:tabs>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1.项目决策</w:t>
      </w:r>
    </w:p>
    <w:p w14:paraId="68976A73">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决策程序：项目设立的决策程序符合相关规定。</w:t>
      </w:r>
    </w:p>
    <w:p w14:paraId="080C453A">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规划论证：项目的规划和论证</w:t>
      </w:r>
      <w:r>
        <w:rPr>
          <w:rFonts w:hint="eastAsia" w:ascii="Times New Roman" w:eastAsia="仿宋"/>
          <w:snapToGrid w:val="0"/>
          <w:color w:val="000000"/>
          <w:sz w:val="32"/>
          <w:szCs w:val="32"/>
        </w:rPr>
        <w:t>较为</w:t>
      </w:r>
      <w:r>
        <w:rPr>
          <w:rFonts w:ascii="Times New Roman" w:eastAsia="仿宋"/>
          <w:snapToGrid w:val="0"/>
          <w:color w:val="000000"/>
          <w:sz w:val="32"/>
          <w:szCs w:val="32"/>
        </w:rPr>
        <w:t>充分。</w:t>
      </w:r>
    </w:p>
    <w:p w14:paraId="1D068212">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资金投向：资金的使用方向是否明确、合理</w:t>
      </w:r>
      <w:r>
        <w:rPr>
          <w:rFonts w:hint="eastAsia" w:ascii="Times New Roman" w:eastAsia="仿宋"/>
          <w:snapToGrid w:val="0"/>
          <w:color w:val="000000"/>
          <w:sz w:val="32"/>
          <w:szCs w:val="32"/>
        </w:rPr>
        <w:t>。</w:t>
      </w:r>
    </w:p>
    <w:p w14:paraId="2872D842">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2.项目管理</w:t>
      </w:r>
    </w:p>
    <w:p w14:paraId="29E89521">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制度办法：项目资金的管理办法是否健全</w:t>
      </w:r>
      <w:r>
        <w:rPr>
          <w:rFonts w:hint="eastAsia" w:ascii="Times New Roman" w:eastAsia="仿宋"/>
          <w:snapToGrid w:val="0"/>
          <w:color w:val="000000"/>
          <w:sz w:val="32"/>
          <w:szCs w:val="32"/>
        </w:rPr>
        <w:t>。</w:t>
      </w:r>
    </w:p>
    <w:p w14:paraId="6E8226FB">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分配管理：资金分配是否合理、透明。</w:t>
      </w:r>
    </w:p>
    <w:p w14:paraId="72BA1C6D">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绩效监管：项目实施过程中是否有有效的监管措施</w:t>
      </w:r>
      <w:r>
        <w:rPr>
          <w:rFonts w:hint="eastAsia" w:ascii="Times New Roman" w:eastAsia="仿宋"/>
          <w:snapToGrid w:val="0"/>
          <w:color w:val="000000"/>
          <w:sz w:val="32"/>
          <w:szCs w:val="32"/>
        </w:rPr>
        <w:t>。</w:t>
      </w:r>
    </w:p>
    <w:p w14:paraId="0B35B651">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3.项目实施</w:t>
      </w:r>
    </w:p>
    <w:p w14:paraId="2697E266">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预算执行：项目预算执行是否按计划进行</w:t>
      </w:r>
      <w:r>
        <w:rPr>
          <w:rFonts w:hint="eastAsia" w:ascii="Times New Roman" w:eastAsia="仿宋"/>
          <w:snapToGrid w:val="0"/>
          <w:color w:val="000000"/>
          <w:sz w:val="32"/>
          <w:szCs w:val="32"/>
        </w:rPr>
        <w:t>。</w:t>
      </w:r>
    </w:p>
    <w:p w14:paraId="24E83C5E">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资金使用：资金使用是否合理高效。</w:t>
      </w:r>
    </w:p>
    <w:p w14:paraId="76555AAE">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4.项目结果</w:t>
      </w:r>
    </w:p>
    <w:p w14:paraId="20005DEA">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目标完成：项目目标是否按时、按质完成。</w:t>
      </w:r>
    </w:p>
    <w:p w14:paraId="6BE2835D">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完成时效：项目的实施时效是否符合预期。</w:t>
      </w:r>
    </w:p>
    <w:p w14:paraId="25D0A822">
      <w:pPr>
        <w:widowControl/>
        <w:kinsoku w:val="0"/>
        <w:autoSpaceDE w:val="0"/>
        <w:autoSpaceDN w:val="0"/>
        <w:adjustRightInd w:val="0"/>
        <w:snapToGrid w:val="0"/>
        <w:spacing w:line="576" w:lineRule="exact"/>
        <w:ind w:firstLine="643" w:firstLineChars="200"/>
        <w:jc w:val="left"/>
        <w:textAlignment w:val="baseline"/>
        <w:rPr>
          <w:rFonts w:ascii="楷体" w:hAnsi="楷体" w:eastAsia="楷体" w:cs="楷体"/>
          <w:b/>
          <w:bCs/>
          <w:sz w:val="32"/>
          <w:szCs w:val="32"/>
        </w:rPr>
      </w:pPr>
      <w:r>
        <w:rPr>
          <w:rFonts w:ascii="楷体" w:hAnsi="楷体" w:eastAsia="楷体" w:cs="楷体"/>
          <w:b/>
          <w:bCs/>
          <w:sz w:val="32"/>
          <w:szCs w:val="32"/>
        </w:rPr>
        <w:t>(二)专用指标绩效分析</w:t>
      </w:r>
    </w:p>
    <w:p w14:paraId="3A9B2FD5">
      <w:pPr>
        <w:pStyle w:val="9"/>
        <w:widowControl/>
        <w:kinsoku w:val="0"/>
        <w:autoSpaceDE w:val="0"/>
        <w:autoSpaceDN w:val="0"/>
        <w:adjustRightInd w:val="0"/>
        <w:snapToGrid w:val="0"/>
        <w:spacing w:before="93" w:line="576" w:lineRule="exact"/>
        <w:ind w:firstLine="640" w:firstLineChars="200"/>
        <w:jc w:val="left"/>
        <w:textAlignment w:val="baseline"/>
        <w:rPr>
          <w:rFonts w:ascii="Times New Roman" w:eastAsia="仿宋"/>
          <w:snapToGrid w:val="0"/>
          <w:color w:val="000000"/>
          <w:sz w:val="32"/>
          <w:szCs w:val="32"/>
        </w:rPr>
      </w:pPr>
      <w:r>
        <w:rPr>
          <w:rFonts w:ascii="Times New Roman" w:eastAsia="仿宋"/>
          <w:snapToGrid w:val="0"/>
          <w:color w:val="000000"/>
          <w:sz w:val="32"/>
          <w:szCs w:val="32"/>
        </w:rPr>
        <w:t>合规性：</w:t>
      </w:r>
      <w:r>
        <w:rPr>
          <w:rFonts w:hint="eastAsia" w:ascii="Times New Roman" w:eastAsia="仿宋"/>
          <w:snapToGrid w:val="0"/>
          <w:color w:val="000000"/>
          <w:sz w:val="32"/>
          <w:szCs w:val="32"/>
        </w:rPr>
        <w:t>人才发展专项资金</w:t>
      </w:r>
      <w:r>
        <w:rPr>
          <w:rFonts w:ascii="Times New Roman" w:eastAsia="仿宋"/>
          <w:snapToGrid w:val="0"/>
          <w:color w:val="000000"/>
          <w:sz w:val="32"/>
          <w:szCs w:val="32"/>
        </w:rPr>
        <w:t>的</w:t>
      </w:r>
      <w:r>
        <w:rPr>
          <w:rFonts w:hint="eastAsia" w:ascii="Times New Roman" w:eastAsia="仿宋"/>
          <w:snapToGrid w:val="0"/>
          <w:color w:val="000000"/>
          <w:sz w:val="32"/>
          <w:szCs w:val="32"/>
        </w:rPr>
        <w:t>使用</w:t>
      </w:r>
      <w:r>
        <w:rPr>
          <w:rFonts w:ascii="Times New Roman" w:eastAsia="仿宋"/>
          <w:snapToGrid w:val="0"/>
          <w:color w:val="000000"/>
          <w:sz w:val="32"/>
          <w:szCs w:val="32"/>
        </w:rPr>
        <w:t>是否符合相关法律法规要求。</w:t>
      </w:r>
    </w:p>
    <w:p w14:paraId="37BB2BB1">
      <w:pPr>
        <w:widowControl/>
        <w:kinsoku w:val="0"/>
        <w:autoSpaceDE w:val="0"/>
        <w:autoSpaceDN w:val="0"/>
        <w:adjustRightInd w:val="0"/>
        <w:snapToGrid w:val="0"/>
        <w:spacing w:line="576" w:lineRule="exact"/>
        <w:ind w:firstLine="643" w:firstLineChars="200"/>
        <w:jc w:val="left"/>
        <w:textAlignment w:val="baseline"/>
        <w:rPr>
          <w:rFonts w:ascii="楷体" w:hAnsi="楷体" w:eastAsia="楷体" w:cs="楷体"/>
          <w:b/>
          <w:bCs/>
          <w:sz w:val="32"/>
          <w:szCs w:val="32"/>
        </w:rPr>
      </w:pPr>
      <w:r>
        <w:rPr>
          <w:rFonts w:ascii="楷体" w:hAnsi="楷体" w:eastAsia="楷体" w:cs="楷体"/>
          <w:b/>
          <w:bCs/>
          <w:sz w:val="32"/>
          <w:szCs w:val="32"/>
        </w:rPr>
        <w:t>(三)个性指标绩效分析</w:t>
      </w:r>
    </w:p>
    <w:p w14:paraId="1D74AC7C">
      <w:pPr>
        <w:widowControl/>
        <w:kinsoku w:val="0"/>
        <w:autoSpaceDE w:val="0"/>
        <w:autoSpaceDN w:val="0"/>
        <w:adjustRightInd w:val="0"/>
        <w:snapToGrid w:val="0"/>
        <w:spacing w:line="560" w:lineRule="exact"/>
        <w:ind w:firstLine="636" w:firstLineChars="200"/>
        <w:textAlignment w:val="baseline"/>
        <w:rPr>
          <w:rFonts w:ascii="仿宋" w:hAnsi="仿宋" w:eastAsia="仿宋" w:cs="仿宋"/>
          <w:spacing w:val="-6"/>
          <w:sz w:val="33"/>
          <w:szCs w:val="33"/>
        </w:rPr>
      </w:pPr>
      <w:r>
        <w:rPr>
          <w:rFonts w:ascii="仿宋" w:hAnsi="仿宋" w:eastAsia="仿宋" w:cs="仿宋"/>
          <w:spacing w:val="-6"/>
          <w:sz w:val="33"/>
          <w:szCs w:val="33"/>
        </w:rPr>
        <w:t>项目设定的个性化指标包括：</w:t>
      </w:r>
    </w:p>
    <w:p w14:paraId="08563FCC">
      <w:pPr>
        <w:widowControl/>
        <w:kinsoku w:val="0"/>
        <w:autoSpaceDE w:val="0"/>
        <w:autoSpaceDN w:val="0"/>
        <w:adjustRightInd w:val="0"/>
        <w:snapToGrid w:val="0"/>
        <w:spacing w:line="560" w:lineRule="exact"/>
        <w:ind w:firstLine="636" w:firstLineChars="200"/>
        <w:textAlignment w:val="baseline"/>
        <w:rPr>
          <w:rFonts w:ascii="仿宋" w:hAnsi="仿宋" w:eastAsia="仿宋" w:cs="仿宋"/>
          <w:spacing w:val="-6"/>
          <w:sz w:val="33"/>
          <w:szCs w:val="33"/>
        </w:rPr>
      </w:pPr>
      <w:r>
        <w:rPr>
          <w:rFonts w:hint="eastAsia" w:ascii="仿宋" w:hAnsi="仿宋" w:eastAsia="仿宋" w:cs="仿宋"/>
          <w:spacing w:val="-6"/>
          <w:sz w:val="33"/>
          <w:szCs w:val="33"/>
        </w:rPr>
        <w:t>质量</w:t>
      </w:r>
      <w:r>
        <w:rPr>
          <w:rFonts w:ascii="仿宋" w:hAnsi="仿宋" w:eastAsia="仿宋" w:cs="仿宋"/>
          <w:spacing w:val="-6"/>
          <w:sz w:val="33"/>
          <w:szCs w:val="33"/>
        </w:rPr>
        <w:t>指标：</w:t>
      </w:r>
      <w:r>
        <w:rPr>
          <w:rFonts w:hint="eastAsia" w:ascii="仿宋" w:hAnsi="仿宋" w:eastAsia="仿宋" w:cs="仿宋"/>
          <w:spacing w:val="-6"/>
          <w:sz w:val="33"/>
          <w:szCs w:val="33"/>
        </w:rPr>
        <w:t>人才发展专项资金拨付54.17万元，规范率达到100%；</w:t>
      </w:r>
    </w:p>
    <w:p w14:paraId="2FFC93DB">
      <w:pPr>
        <w:widowControl/>
        <w:kinsoku w:val="0"/>
        <w:autoSpaceDE w:val="0"/>
        <w:autoSpaceDN w:val="0"/>
        <w:adjustRightInd w:val="0"/>
        <w:snapToGrid w:val="0"/>
        <w:spacing w:line="560" w:lineRule="exact"/>
        <w:ind w:firstLine="636" w:firstLineChars="200"/>
        <w:textAlignment w:val="baseline"/>
        <w:rPr>
          <w:rFonts w:ascii="仿宋" w:hAnsi="仿宋" w:eastAsia="仿宋" w:cs="仿宋"/>
          <w:spacing w:val="-6"/>
          <w:sz w:val="33"/>
          <w:szCs w:val="33"/>
        </w:rPr>
      </w:pPr>
      <w:r>
        <w:rPr>
          <w:rFonts w:ascii="仿宋" w:hAnsi="仿宋" w:eastAsia="仿宋" w:cs="仿宋"/>
          <w:spacing w:val="-6"/>
          <w:sz w:val="33"/>
          <w:szCs w:val="33"/>
        </w:rPr>
        <w:t>满意度指标：</w:t>
      </w:r>
      <w:r>
        <w:rPr>
          <w:rFonts w:hint="eastAsia" w:ascii="仿宋" w:hAnsi="仿宋" w:eastAsia="仿宋" w:cs="仿宋"/>
          <w:spacing w:val="-6"/>
          <w:sz w:val="33"/>
          <w:szCs w:val="33"/>
        </w:rPr>
        <w:t>人才工作满意度</w:t>
      </w:r>
      <w:r>
        <w:rPr>
          <w:rFonts w:ascii="仿宋" w:hAnsi="仿宋" w:eastAsia="仿宋" w:cs="仿宋"/>
          <w:spacing w:val="-6"/>
          <w:sz w:val="33"/>
          <w:szCs w:val="33"/>
        </w:rPr>
        <w:t>，目标为≥95%。</w:t>
      </w:r>
    </w:p>
    <w:p w14:paraId="5E2A41C2">
      <w:pPr>
        <w:widowControl/>
        <w:kinsoku w:val="0"/>
        <w:autoSpaceDE w:val="0"/>
        <w:autoSpaceDN w:val="0"/>
        <w:adjustRightInd w:val="0"/>
        <w:snapToGrid w:val="0"/>
        <w:spacing w:before="108" w:line="576" w:lineRule="exact"/>
        <w:ind w:firstLine="643" w:firstLineChars="200"/>
        <w:jc w:val="left"/>
        <w:textAlignment w:val="baseline"/>
        <w:rPr>
          <w:rFonts w:ascii="黑体" w:hAnsi="黑体" w:eastAsia="黑体" w:cs="黑体"/>
          <w:b/>
          <w:bCs/>
          <w:sz w:val="32"/>
          <w:szCs w:val="32"/>
        </w:rPr>
      </w:pPr>
      <w:r>
        <w:rPr>
          <w:rFonts w:ascii="黑体" w:hAnsi="黑体" w:eastAsia="黑体" w:cs="黑体"/>
          <w:b/>
          <w:bCs/>
          <w:sz w:val="32"/>
          <w:szCs w:val="32"/>
        </w:rPr>
        <w:t>四、评价结论</w:t>
      </w:r>
    </w:p>
    <w:p w14:paraId="346AF7DB">
      <w:pPr>
        <w:adjustRightInd w:val="0"/>
        <w:snapToGrid w:val="0"/>
        <w:spacing w:line="560" w:lineRule="exact"/>
        <w:ind w:firstLine="640" w:firstLineChars="200"/>
        <w:rPr>
          <w:rFonts w:eastAsia="仿宋_GB2312"/>
          <w:sz w:val="32"/>
          <w:szCs w:val="32"/>
          <w:lang w:val="zh-CN"/>
        </w:rPr>
      </w:pPr>
      <w:r>
        <w:rPr>
          <w:rFonts w:hint="eastAsia" w:eastAsia="仿宋_GB2312"/>
          <w:sz w:val="32"/>
          <w:szCs w:val="32"/>
        </w:rPr>
        <w:t>人才队伍建设</w:t>
      </w:r>
      <w:r>
        <w:rPr>
          <w:rFonts w:eastAsia="仿宋_GB2312"/>
          <w:sz w:val="32"/>
          <w:szCs w:val="32"/>
          <w:lang w:val="zh-CN"/>
        </w:rPr>
        <w:t>是</w:t>
      </w:r>
      <w:r>
        <w:rPr>
          <w:rFonts w:eastAsia="仿宋_GB2312"/>
          <w:sz w:val="32"/>
          <w:szCs w:val="32"/>
        </w:rPr>
        <w:t>提升干部人才推动落实“十四五”</w:t>
      </w:r>
      <w:r>
        <w:rPr>
          <w:rFonts w:hint="eastAsia" w:eastAsia="仿宋_GB2312"/>
          <w:sz w:val="32"/>
          <w:szCs w:val="32"/>
        </w:rPr>
        <w:t>时期</w:t>
      </w:r>
      <w:r>
        <w:rPr>
          <w:rFonts w:eastAsia="仿宋_GB2312"/>
          <w:sz w:val="32"/>
          <w:szCs w:val="32"/>
        </w:rPr>
        <w:t>发展目标任务素质的</w:t>
      </w:r>
      <w:r>
        <w:rPr>
          <w:rFonts w:eastAsia="仿宋_GB2312"/>
          <w:sz w:val="32"/>
          <w:szCs w:val="32"/>
          <w:lang w:val="zh-CN"/>
        </w:rPr>
        <w:t>重要提能措施，</w:t>
      </w:r>
      <w:r>
        <w:rPr>
          <w:rFonts w:hint="eastAsia" w:ascii="仿宋_GB2312" w:hAnsi="仿宋_GB2312" w:eastAsia="仿宋_GB2312" w:cs="仿宋_GB2312"/>
          <w:sz w:val="32"/>
          <w:szCs w:val="32"/>
        </w:rPr>
        <w:t>深入实施人才强县战略，培养和造就高素质人才队伍，切实加大人才发展投入，助推乡村人才振兴，为壤塘县经济社会高质量发展提供人才支持和智力保障。</w:t>
      </w:r>
    </w:p>
    <w:p w14:paraId="06E2ADB5">
      <w:pPr>
        <w:widowControl/>
        <w:kinsoku w:val="0"/>
        <w:autoSpaceDE w:val="0"/>
        <w:autoSpaceDN w:val="0"/>
        <w:adjustRightInd w:val="0"/>
        <w:snapToGrid w:val="0"/>
        <w:spacing w:before="108" w:line="576" w:lineRule="exact"/>
        <w:ind w:firstLine="643" w:firstLineChars="200"/>
        <w:jc w:val="left"/>
        <w:textAlignment w:val="baseline"/>
        <w:rPr>
          <w:rFonts w:ascii="黑体" w:hAnsi="黑体" w:eastAsia="黑体" w:cs="黑体"/>
          <w:b/>
          <w:bCs/>
          <w:sz w:val="32"/>
          <w:szCs w:val="32"/>
        </w:rPr>
      </w:pPr>
      <w:r>
        <w:rPr>
          <w:rFonts w:hint="eastAsia" w:ascii="黑体" w:hAnsi="黑体" w:eastAsia="黑体" w:cs="黑体"/>
          <w:b/>
          <w:bCs/>
          <w:sz w:val="32"/>
          <w:szCs w:val="32"/>
        </w:rPr>
        <w:t>五、</w:t>
      </w:r>
      <w:r>
        <w:rPr>
          <w:rFonts w:ascii="黑体" w:hAnsi="黑体" w:eastAsia="黑体" w:cs="黑体"/>
          <w:b/>
          <w:bCs/>
          <w:sz w:val="32"/>
          <w:szCs w:val="32"/>
        </w:rPr>
        <w:t>存在主要问</w:t>
      </w:r>
      <w:r>
        <w:rPr>
          <w:rFonts w:hint="eastAsia" w:ascii="黑体" w:hAnsi="黑体" w:eastAsia="黑体" w:cs="黑体"/>
          <w:b/>
          <w:bCs/>
          <w:sz w:val="32"/>
          <w:szCs w:val="32"/>
        </w:rPr>
        <w:t>及建议</w:t>
      </w:r>
    </w:p>
    <w:p w14:paraId="0B861699">
      <w:pPr>
        <w:pStyle w:val="2"/>
        <w:widowControl/>
        <w:kinsoku w:val="0"/>
        <w:autoSpaceDE w:val="0"/>
        <w:autoSpaceDN w:val="0"/>
        <w:adjustRightInd w:val="0"/>
        <w:spacing w:line="576" w:lineRule="exact"/>
        <w:ind w:firstLine="640" w:firstLineChars="200"/>
        <w:textAlignment w:val="baseline"/>
        <w:rPr>
          <w:rFonts w:ascii="Times New Roman" w:hAnsi="Times New Roman" w:eastAsia="仿宋"/>
          <w:snapToGrid w:val="0"/>
          <w:color w:val="000000"/>
          <w:sz w:val="32"/>
          <w:szCs w:val="32"/>
        </w:rPr>
      </w:pPr>
      <w:r>
        <w:rPr>
          <w:rFonts w:hint="eastAsia" w:ascii="Times New Roman" w:hAnsi="Times New Roman" w:eastAsia="仿宋"/>
          <w:snapToGrid w:val="0"/>
          <w:color w:val="000000"/>
          <w:sz w:val="32"/>
          <w:szCs w:val="32"/>
        </w:rPr>
        <w:t>无</w:t>
      </w:r>
    </w:p>
    <w:p w14:paraId="083E131D">
      <w:r>
        <w:rPr>
          <w:rFonts w:hint="eastAsia"/>
        </w:rPr>
        <w:br w:type="page"/>
      </w:r>
    </w:p>
    <w:p w14:paraId="0822B88D">
      <w:pPr>
        <w:pStyle w:val="2"/>
      </w:pPr>
    </w:p>
    <w:p w14:paraId="6B1049C2">
      <w:pPr>
        <w:spacing w:line="600" w:lineRule="exact"/>
        <w:jc w:val="center"/>
        <w:outlineLvl w:val="0"/>
        <w:rPr>
          <w:rFonts w:ascii="黑体" w:hAnsi="黑体" w:eastAsia="黑体" w:cs="黑体"/>
          <w:sz w:val="44"/>
          <w:szCs w:val="44"/>
        </w:rPr>
      </w:pPr>
      <w:bookmarkStart w:id="97" w:name="_Toc9903"/>
      <w:r>
        <w:rPr>
          <w:rFonts w:hint="eastAsia" w:ascii="黑体" w:hAnsi="黑体" w:eastAsia="黑体" w:cs="黑体"/>
          <w:sz w:val="44"/>
          <w:szCs w:val="44"/>
        </w:rPr>
        <w:t>第</w:t>
      </w:r>
      <w:r>
        <w:rPr>
          <w:rStyle w:val="35"/>
          <w:rFonts w:hint="eastAsia" w:ascii="黑体" w:hAnsi="黑体" w:eastAsia="黑体" w:cs="黑体"/>
          <w:b w:val="0"/>
          <w:bCs w:val="0"/>
        </w:rPr>
        <w:t>五部分 附表</w:t>
      </w:r>
      <w:bookmarkEnd w:id="88"/>
      <w:bookmarkEnd w:id="95"/>
      <w:bookmarkEnd w:id="96"/>
      <w:bookmarkEnd w:id="97"/>
      <w:bookmarkStart w:id="98" w:name="_Toc15396619"/>
    </w:p>
    <w:p w14:paraId="393F884D">
      <w:pPr>
        <w:spacing w:line="560" w:lineRule="exact"/>
        <w:ind w:firstLine="560" w:firstLineChars="200"/>
        <w:rPr>
          <w:rFonts w:ascii="仿宋" w:hAnsi="仿宋" w:eastAsia="仿宋" w:cs="仿宋"/>
          <w:sz w:val="28"/>
          <w:szCs w:val="28"/>
        </w:rPr>
      </w:pPr>
      <w:bookmarkStart w:id="99" w:name="_Toc31464"/>
    </w:p>
    <w:p w14:paraId="583ED787">
      <w:pPr>
        <w:spacing w:line="560" w:lineRule="exact"/>
        <w:ind w:firstLine="560" w:firstLineChars="200"/>
        <w:outlineLvl w:val="1"/>
        <w:rPr>
          <w:rFonts w:ascii="仿宋_GB2312" w:hAnsi="仿宋_GB2312" w:eastAsia="仿宋_GB2312" w:cs="仿宋_GB2312"/>
          <w:sz w:val="28"/>
          <w:szCs w:val="28"/>
        </w:rPr>
      </w:pPr>
      <w:bookmarkStart w:id="100" w:name="_Toc10321"/>
      <w:r>
        <w:rPr>
          <w:rFonts w:hint="eastAsia" w:ascii="仿宋_GB2312" w:hAnsi="仿宋_GB2312" w:eastAsia="仿宋_GB2312" w:cs="仿宋_GB2312"/>
          <w:sz w:val="28"/>
          <w:szCs w:val="28"/>
        </w:rPr>
        <w:t>一、收</w:t>
      </w:r>
      <w:r>
        <w:rPr>
          <w:rStyle w:val="36"/>
          <w:rFonts w:hint="eastAsia" w:ascii="仿宋_GB2312" w:hAnsi="仿宋_GB2312" w:eastAsia="仿宋_GB2312" w:cs="仿宋_GB2312"/>
          <w:b w:val="0"/>
          <w:bCs w:val="0"/>
          <w:sz w:val="28"/>
          <w:szCs w:val="28"/>
        </w:rPr>
        <w:t>入支出决算总表</w:t>
      </w:r>
      <w:bookmarkEnd w:id="98"/>
      <w:bookmarkEnd w:id="99"/>
      <w:bookmarkEnd w:id="100"/>
    </w:p>
    <w:p w14:paraId="4BF344B9">
      <w:pPr>
        <w:spacing w:line="560" w:lineRule="exact"/>
        <w:ind w:firstLine="560" w:firstLineChars="200"/>
        <w:outlineLvl w:val="1"/>
        <w:rPr>
          <w:rFonts w:ascii="仿宋_GB2312" w:hAnsi="仿宋_GB2312" w:eastAsia="仿宋_GB2312" w:cs="仿宋_GB2312"/>
          <w:sz w:val="28"/>
          <w:szCs w:val="28"/>
        </w:rPr>
      </w:pPr>
      <w:bookmarkStart w:id="101" w:name="_Toc30477"/>
      <w:bookmarkStart w:id="102" w:name="_Toc15396620"/>
      <w:bookmarkStart w:id="103" w:name="_Toc510"/>
      <w:r>
        <w:rPr>
          <w:rFonts w:hint="eastAsia" w:ascii="仿宋_GB2312" w:hAnsi="仿宋_GB2312" w:eastAsia="仿宋_GB2312" w:cs="仿宋_GB2312"/>
          <w:sz w:val="28"/>
          <w:szCs w:val="28"/>
        </w:rPr>
        <w:t>二、收</w:t>
      </w:r>
      <w:r>
        <w:rPr>
          <w:rStyle w:val="36"/>
          <w:rFonts w:hint="eastAsia" w:ascii="仿宋_GB2312" w:hAnsi="仿宋_GB2312" w:eastAsia="仿宋_GB2312" w:cs="仿宋_GB2312"/>
          <w:b w:val="0"/>
          <w:bCs w:val="0"/>
          <w:sz w:val="28"/>
          <w:szCs w:val="28"/>
        </w:rPr>
        <w:t>入决算表</w:t>
      </w:r>
      <w:bookmarkEnd w:id="101"/>
      <w:bookmarkEnd w:id="102"/>
      <w:bookmarkEnd w:id="103"/>
    </w:p>
    <w:p w14:paraId="43EDE1F4">
      <w:pPr>
        <w:spacing w:line="560" w:lineRule="exact"/>
        <w:ind w:firstLine="560" w:firstLineChars="200"/>
        <w:outlineLvl w:val="1"/>
        <w:rPr>
          <w:rFonts w:ascii="仿宋_GB2312" w:hAnsi="仿宋_GB2312" w:eastAsia="仿宋_GB2312" w:cs="仿宋_GB2312"/>
          <w:sz w:val="28"/>
          <w:szCs w:val="28"/>
        </w:rPr>
      </w:pPr>
      <w:bookmarkStart w:id="104" w:name="_Toc32618"/>
      <w:bookmarkStart w:id="105" w:name="_Toc24080"/>
      <w:bookmarkStart w:id="106" w:name="_Toc15396621"/>
      <w:r>
        <w:rPr>
          <w:rStyle w:val="36"/>
          <w:rFonts w:hint="eastAsia" w:ascii="仿宋_GB2312" w:hAnsi="仿宋_GB2312" w:eastAsia="仿宋_GB2312" w:cs="仿宋_GB2312"/>
          <w:b w:val="0"/>
          <w:bCs w:val="0"/>
          <w:sz w:val="28"/>
          <w:szCs w:val="28"/>
        </w:rPr>
        <w:t>三、</w:t>
      </w:r>
      <w:r>
        <w:rPr>
          <w:rFonts w:hint="eastAsia" w:ascii="仿宋_GB2312" w:hAnsi="仿宋_GB2312" w:eastAsia="仿宋_GB2312" w:cs="仿宋_GB2312"/>
          <w:sz w:val="28"/>
          <w:szCs w:val="28"/>
        </w:rPr>
        <w:t>支</w:t>
      </w:r>
      <w:r>
        <w:rPr>
          <w:rStyle w:val="36"/>
          <w:rFonts w:hint="eastAsia" w:ascii="仿宋_GB2312" w:hAnsi="仿宋_GB2312" w:eastAsia="仿宋_GB2312" w:cs="仿宋_GB2312"/>
          <w:b w:val="0"/>
          <w:bCs w:val="0"/>
          <w:sz w:val="28"/>
          <w:szCs w:val="28"/>
        </w:rPr>
        <w:t>出决算表</w:t>
      </w:r>
      <w:bookmarkEnd w:id="104"/>
      <w:bookmarkEnd w:id="105"/>
      <w:bookmarkEnd w:id="106"/>
    </w:p>
    <w:p w14:paraId="564E986E">
      <w:pPr>
        <w:spacing w:line="560" w:lineRule="exact"/>
        <w:ind w:firstLine="560" w:firstLineChars="200"/>
        <w:outlineLvl w:val="1"/>
        <w:rPr>
          <w:rFonts w:ascii="仿宋_GB2312" w:hAnsi="仿宋_GB2312" w:eastAsia="仿宋_GB2312" w:cs="仿宋_GB2312"/>
          <w:sz w:val="28"/>
          <w:szCs w:val="28"/>
        </w:rPr>
      </w:pPr>
      <w:bookmarkStart w:id="107" w:name="_Toc13624"/>
      <w:bookmarkStart w:id="108" w:name="_Toc15396622"/>
      <w:bookmarkStart w:id="109" w:name="_Toc4835"/>
      <w:r>
        <w:rPr>
          <w:rStyle w:val="36"/>
          <w:rFonts w:hint="eastAsia" w:ascii="仿宋_GB2312" w:hAnsi="仿宋_GB2312" w:eastAsia="仿宋_GB2312" w:cs="仿宋_GB2312"/>
          <w:b w:val="0"/>
          <w:bCs w:val="0"/>
          <w:sz w:val="28"/>
          <w:szCs w:val="28"/>
        </w:rPr>
        <w:t>四、</w:t>
      </w:r>
      <w:r>
        <w:rPr>
          <w:rFonts w:hint="eastAsia" w:ascii="仿宋_GB2312" w:hAnsi="仿宋_GB2312" w:eastAsia="仿宋_GB2312" w:cs="仿宋_GB2312"/>
          <w:sz w:val="28"/>
          <w:szCs w:val="28"/>
        </w:rPr>
        <w:t>财</w:t>
      </w:r>
      <w:r>
        <w:rPr>
          <w:rStyle w:val="36"/>
          <w:rFonts w:hint="eastAsia" w:ascii="仿宋_GB2312" w:hAnsi="仿宋_GB2312" w:eastAsia="仿宋_GB2312" w:cs="仿宋_GB2312"/>
          <w:b w:val="0"/>
          <w:bCs w:val="0"/>
          <w:sz w:val="28"/>
          <w:szCs w:val="28"/>
        </w:rPr>
        <w:t>政拨款收入支出决算总表</w:t>
      </w:r>
      <w:bookmarkEnd w:id="107"/>
      <w:bookmarkEnd w:id="108"/>
      <w:bookmarkEnd w:id="109"/>
    </w:p>
    <w:p w14:paraId="6F4B4C09">
      <w:pPr>
        <w:spacing w:line="560" w:lineRule="exact"/>
        <w:ind w:firstLine="560" w:firstLineChars="200"/>
        <w:outlineLvl w:val="1"/>
        <w:rPr>
          <w:rStyle w:val="36"/>
          <w:rFonts w:ascii="仿宋_GB2312" w:hAnsi="仿宋_GB2312" w:eastAsia="仿宋_GB2312" w:cs="仿宋_GB2312"/>
          <w:b w:val="0"/>
          <w:bCs w:val="0"/>
          <w:sz w:val="28"/>
          <w:szCs w:val="28"/>
        </w:rPr>
      </w:pPr>
      <w:bookmarkStart w:id="110" w:name="_Toc24904"/>
      <w:bookmarkStart w:id="111" w:name="_Toc15396623"/>
      <w:bookmarkStart w:id="112" w:name="_Toc583"/>
      <w:r>
        <w:rPr>
          <w:rStyle w:val="36"/>
          <w:rFonts w:hint="eastAsia" w:ascii="仿宋_GB2312" w:hAnsi="仿宋_GB2312" w:eastAsia="仿宋_GB2312" w:cs="仿宋_GB2312"/>
          <w:b w:val="0"/>
          <w:bCs w:val="0"/>
          <w:sz w:val="28"/>
          <w:szCs w:val="28"/>
        </w:rPr>
        <w:t>五、</w:t>
      </w:r>
      <w:r>
        <w:rPr>
          <w:rFonts w:hint="eastAsia" w:ascii="仿宋_GB2312" w:hAnsi="仿宋_GB2312" w:eastAsia="仿宋_GB2312" w:cs="仿宋_GB2312"/>
          <w:sz w:val="28"/>
          <w:szCs w:val="28"/>
        </w:rPr>
        <w:t>财</w:t>
      </w:r>
      <w:r>
        <w:rPr>
          <w:rStyle w:val="36"/>
          <w:rFonts w:hint="eastAsia" w:ascii="仿宋_GB2312" w:hAnsi="仿宋_GB2312" w:eastAsia="仿宋_GB2312" w:cs="仿宋_GB2312"/>
          <w:b w:val="0"/>
          <w:bCs w:val="0"/>
          <w:sz w:val="28"/>
          <w:szCs w:val="28"/>
        </w:rPr>
        <w:t>政拨款支出决算明细表</w:t>
      </w:r>
      <w:bookmarkEnd w:id="110"/>
      <w:bookmarkEnd w:id="111"/>
      <w:bookmarkEnd w:id="112"/>
      <w:bookmarkStart w:id="113" w:name="_Toc15396624"/>
    </w:p>
    <w:p w14:paraId="0DA68FF4">
      <w:pPr>
        <w:spacing w:line="560" w:lineRule="exact"/>
        <w:ind w:firstLine="560" w:firstLineChars="200"/>
        <w:outlineLvl w:val="1"/>
        <w:rPr>
          <w:rFonts w:ascii="仿宋_GB2312" w:hAnsi="仿宋_GB2312" w:eastAsia="仿宋_GB2312" w:cs="仿宋_GB2312"/>
          <w:sz w:val="28"/>
          <w:szCs w:val="28"/>
        </w:rPr>
      </w:pPr>
      <w:bookmarkStart w:id="114" w:name="_Toc26680"/>
      <w:bookmarkStart w:id="115" w:name="_Toc11675"/>
      <w:r>
        <w:rPr>
          <w:rStyle w:val="36"/>
          <w:rFonts w:hint="eastAsia" w:ascii="仿宋_GB2312" w:hAnsi="仿宋_GB2312" w:eastAsia="仿宋_GB2312" w:cs="仿宋_GB2312"/>
          <w:b w:val="0"/>
          <w:bCs w:val="0"/>
          <w:sz w:val="28"/>
          <w:szCs w:val="28"/>
        </w:rPr>
        <w:t>六、</w:t>
      </w:r>
      <w:r>
        <w:rPr>
          <w:rFonts w:hint="eastAsia" w:ascii="仿宋_GB2312" w:hAnsi="仿宋_GB2312" w:eastAsia="仿宋_GB2312" w:cs="仿宋_GB2312"/>
          <w:sz w:val="28"/>
          <w:szCs w:val="28"/>
        </w:rPr>
        <w:t>一</w:t>
      </w:r>
      <w:r>
        <w:rPr>
          <w:rStyle w:val="36"/>
          <w:rFonts w:hint="eastAsia" w:ascii="仿宋_GB2312" w:hAnsi="仿宋_GB2312" w:eastAsia="仿宋_GB2312" w:cs="仿宋_GB2312"/>
          <w:b w:val="0"/>
          <w:bCs w:val="0"/>
          <w:sz w:val="28"/>
          <w:szCs w:val="28"/>
        </w:rPr>
        <w:t>般公共预算财政拨款支出决算表</w:t>
      </w:r>
      <w:bookmarkEnd w:id="113"/>
      <w:bookmarkEnd w:id="114"/>
      <w:bookmarkEnd w:id="115"/>
    </w:p>
    <w:p w14:paraId="682384CF">
      <w:pPr>
        <w:spacing w:line="560" w:lineRule="exact"/>
        <w:ind w:firstLine="560" w:firstLineChars="200"/>
        <w:outlineLvl w:val="1"/>
        <w:rPr>
          <w:rFonts w:ascii="仿宋_GB2312" w:hAnsi="仿宋_GB2312" w:eastAsia="仿宋_GB2312" w:cs="仿宋_GB2312"/>
          <w:sz w:val="28"/>
          <w:szCs w:val="28"/>
        </w:rPr>
      </w:pPr>
      <w:bookmarkStart w:id="116" w:name="_Toc27721"/>
      <w:bookmarkStart w:id="117" w:name="_Toc15396625"/>
      <w:bookmarkStart w:id="118" w:name="_Toc16638"/>
      <w:r>
        <w:rPr>
          <w:rStyle w:val="36"/>
          <w:rFonts w:hint="eastAsia" w:ascii="仿宋_GB2312" w:hAnsi="仿宋_GB2312" w:eastAsia="仿宋_GB2312" w:cs="仿宋_GB2312"/>
          <w:b w:val="0"/>
          <w:bCs w:val="0"/>
          <w:sz w:val="28"/>
          <w:szCs w:val="28"/>
        </w:rPr>
        <w:t>七、</w:t>
      </w:r>
      <w:r>
        <w:rPr>
          <w:rFonts w:hint="eastAsia" w:ascii="仿宋_GB2312" w:hAnsi="仿宋_GB2312" w:eastAsia="仿宋_GB2312" w:cs="仿宋_GB2312"/>
          <w:sz w:val="28"/>
          <w:szCs w:val="28"/>
        </w:rPr>
        <w:t>一</w:t>
      </w:r>
      <w:r>
        <w:rPr>
          <w:rStyle w:val="36"/>
          <w:rFonts w:hint="eastAsia" w:ascii="仿宋_GB2312" w:hAnsi="仿宋_GB2312" w:eastAsia="仿宋_GB2312" w:cs="仿宋_GB2312"/>
          <w:b w:val="0"/>
          <w:bCs w:val="0"/>
          <w:sz w:val="28"/>
          <w:szCs w:val="28"/>
        </w:rPr>
        <w:t>般公共预算财政拨款支出决算明细表</w:t>
      </w:r>
      <w:bookmarkEnd w:id="116"/>
      <w:bookmarkEnd w:id="117"/>
      <w:bookmarkEnd w:id="118"/>
    </w:p>
    <w:p w14:paraId="52C209BE">
      <w:pPr>
        <w:spacing w:line="560" w:lineRule="exact"/>
        <w:ind w:firstLine="560" w:firstLineChars="200"/>
        <w:outlineLvl w:val="1"/>
        <w:rPr>
          <w:rFonts w:ascii="仿宋_GB2312" w:hAnsi="仿宋_GB2312" w:eastAsia="仿宋_GB2312" w:cs="仿宋_GB2312"/>
          <w:sz w:val="28"/>
          <w:szCs w:val="28"/>
        </w:rPr>
      </w:pPr>
      <w:bookmarkStart w:id="119" w:name="_Toc25103"/>
      <w:bookmarkStart w:id="120" w:name="_Toc15396626"/>
      <w:bookmarkStart w:id="121" w:name="_Toc17856"/>
      <w:r>
        <w:rPr>
          <w:rStyle w:val="36"/>
          <w:rFonts w:hint="eastAsia" w:ascii="仿宋_GB2312" w:hAnsi="仿宋_GB2312" w:eastAsia="仿宋_GB2312" w:cs="仿宋_GB2312"/>
          <w:b w:val="0"/>
          <w:bCs w:val="0"/>
          <w:sz w:val="28"/>
          <w:szCs w:val="28"/>
        </w:rPr>
        <w:t>八、</w:t>
      </w:r>
      <w:r>
        <w:rPr>
          <w:rFonts w:hint="eastAsia" w:ascii="仿宋_GB2312" w:hAnsi="仿宋_GB2312" w:eastAsia="仿宋_GB2312" w:cs="仿宋_GB2312"/>
          <w:sz w:val="28"/>
          <w:szCs w:val="28"/>
        </w:rPr>
        <w:t>一</w:t>
      </w:r>
      <w:r>
        <w:rPr>
          <w:rStyle w:val="36"/>
          <w:rFonts w:hint="eastAsia" w:ascii="仿宋_GB2312" w:hAnsi="仿宋_GB2312" w:eastAsia="仿宋_GB2312" w:cs="仿宋_GB2312"/>
          <w:b w:val="0"/>
          <w:bCs w:val="0"/>
          <w:sz w:val="28"/>
          <w:szCs w:val="28"/>
        </w:rPr>
        <w:t>般公共预算财政拨款基本支出决算表</w:t>
      </w:r>
      <w:bookmarkEnd w:id="119"/>
      <w:bookmarkEnd w:id="120"/>
      <w:bookmarkEnd w:id="121"/>
    </w:p>
    <w:p w14:paraId="4B4130DC">
      <w:pPr>
        <w:spacing w:line="560" w:lineRule="exact"/>
        <w:ind w:firstLine="560" w:firstLineChars="200"/>
        <w:outlineLvl w:val="1"/>
        <w:rPr>
          <w:rFonts w:ascii="仿宋_GB2312" w:hAnsi="仿宋_GB2312" w:eastAsia="仿宋_GB2312" w:cs="仿宋_GB2312"/>
          <w:sz w:val="28"/>
          <w:szCs w:val="28"/>
        </w:rPr>
      </w:pPr>
      <w:bookmarkStart w:id="122" w:name="_Toc14219"/>
      <w:bookmarkStart w:id="123" w:name="_Toc15396627"/>
      <w:bookmarkStart w:id="124" w:name="_Toc23325"/>
      <w:r>
        <w:rPr>
          <w:rStyle w:val="36"/>
          <w:rFonts w:hint="eastAsia" w:ascii="仿宋_GB2312" w:hAnsi="仿宋_GB2312" w:eastAsia="仿宋_GB2312" w:cs="仿宋_GB2312"/>
          <w:b w:val="0"/>
          <w:bCs w:val="0"/>
          <w:sz w:val="28"/>
          <w:szCs w:val="28"/>
        </w:rPr>
        <w:t>九、</w:t>
      </w:r>
      <w:r>
        <w:rPr>
          <w:rFonts w:hint="eastAsia" w:ascii="仿宋_GB2312" w:hAnsi="仿宋_GB2312" w:eastAsia="仿宋_GB2312" w:cs="仿宋_GB2312"/>
          <w:sz w:val="28"/>
          <w:szCs w:val="28"/>
        </w:rPr>
        <w:t>一</w:t>
      </w:r>
      <w:r>
        <w:rPr>
          <w:rStyle w:val="36"/>
          <w:rFonts w:hint="eastAsia" w:ascii="仿宋_GB2312" w:hAnsi="仿宋_GB2312" w:eastAsia="仿宋_GB2312" w:cs="仿宋_GB2312"/>
          <w:b w:val="0"/>
          <w:bCs w:val="0"/>
          <w:sz w:val="28"/>
          <w:szCs w:val="28"/>
        </w:rPr>
        <w:t>般公共预算财政拨款项目支出决算表</w:t>
      </w:r>
      <w:bookmarkEnd w:id="122"/>
      <w:bookmarkEnd w:id="123"/>
      <w:bookmarkEnd w:id="124"/>
    </w:p>
    <w:p w14:paraId="430EF973">
      <w:pPr>
        <w:spacing w:line="560" w:lineRule="exact"/>
        <w:ind w:firstLine="560" w:firstLineChars="200"/>
        <w:outlineLvl w:val="1"/>
        <w:rPr>
          <w:rFonts w:ascii="仿宋_GB2312" w:hAnsi="仿宋_GB2312" w:eastAsia="仿宋_GB2312" w:cs="仿宋_GB2312"/>
          <w:sz w:val="28"/>
          <w:szCs w:val="28"/>
        </w:rPr>
      </w:pPr>
      <w:bookmarkStart w:id="125" w:name="_Toc15396628"/>
      <w:bookmarkStart w:id="126" w:name="_Toc27528"/>
      <w:bookmarkStart w:id="127" w:name="_Toc32737"/>
      <w:r>
        <w:rPr>
          <w:rStyle w:val="36"/>
          <w:rFonts w:hint="eastAsia" w:ascii="仿宋_GB2312" w:hAnsi="仿宋_GB2312" w:eastAsia="仿宋_GB2312" w:cs="仿宋_GB2312"/>
          <w:b w:val="0"/>
          <w:bCs w:val="0"/>
          <w:sz w:val="28"/>
          <w:szCs w:val="28"/>
        </w:rPr>
        <w:t>十、</w:t>
      </w:r>
      <w:r>
        <w:rPr>
          <w:rFonts w:hint="eastAsia" w:ascii="仿宋_GB2312" w:hAnsi="仿宋_GB2312" w:eastAsia="仿宋_GB2312" w:cs="仿宋_GB2312"/>
          <w:sz w:val="28"/>
          <w:szCs w:val="28"/>
        </w:rPr>
        <w:t>一</w:t>
      </w:r>
      <w:r>
        <w:rPr>
          <w:rStyle w:val="36"/>
          <w:rFonts w:hint="eastAsia" w:ascii="仿宋_GB2312" w:hAnsi="仿宋_GB2312" w:eastAsia="仿宋_GB2312" w:cs="仿宋_GB2312"/>
          <w:b w:val="0"/>
          <w:bCs w:val="0"/>
          <w:sz w:val="28"/>
          <w:szCs w:val="28"/>
        </w:rPr>
        <w:t>般公共预算财政拨款“三公”经费支出决算表</w:t>
      </w:r>
      <w:bookmarkEnd w:id="125"/>
      <w:bookmarkEnd w:id="126"/>
      <w:bookmarkEnd w:id="127"/>
    </w:p>
    <w:p w14:paraId="544D9248">
      <w:pPr>
        <w:spacing w:line="560" w:lineRule="exact"/>
        <w:ind w:firstLine="560" w:firstLineChars="200"/>
        <w:outlineLvl w:val="1"/>
        <w:rPr>
          <w:rFonts w:ascii="仿宋_GB2312" w:hAnsi="仿宋_GB2312" w:eastAsia="仿宋_GB2312" w:cs="仿宋_GB2312"/>
          <w:sz w:val="28"/>
          <w:szCs w:val="28"/>
        </w:rPr>
      </w:pPr>
      <w:bookmarkStart w:id="128" w:name="_Toc15396629"/>
      <w:bookmarkStart w:id="129" w:name="_Toc26531"/>
      <w:bookmarkStart w:id="130" w:name="_Toc13249"/>
      <w:r>
        <w:rPr>
          <w:rStyle w:val="36"/>
          <w:rFonts w:hint="eastAsia" w:ascii="仿宋_GB2312" w:hAnsi="仿宋_GB2312" w:eastAsia="仿宋_GB2312" w:cs="仿宋_GB2312"/>
          <w:b w:val="0"/>
          <w:bCs w:val="0"/>
          <w:sz w:val="28"/>
          <w:szCs w:val="28"/>
        </w:rPr>
        <w:t>十一、</w:t>
      </w:r>
      <w:r>
        <w:rPr>
          <w:rFonts w:hint="eastAsia" w:ascii="仿宋_GB2312" w:hAnsi="仿宋_GB2312" w:eastAsia="仿宋_GB2312" w:cs="仿宋_GB2312"/>
          <w:sz w:val="28"/>
          <w:szCs w:val="28"/>
        </w:rPr>
        <w:t>政</w:t>
      </w:r>
      <w:r>
        <w:rPr>
          <w:rStyle w:val="36"/>
          <w:rFonts w:hint="eastAsia" w:ascii="仿宋_GB2312" w:hAnsi="仿宋_GB2312" w:eastAsia="仿宋_GB2312" w:cs="仿宋_GB2312"/>
          <w:b w:val="0"/>
          <w:bCs w:val="0"/>
          <w:sz w:val="28"/>
          <w:szCs w:val="28"/>
        </w:rPr>
        <w:t>府性基金预算财政拨款收入支出决算表</w:t>
      </w:r>
      <w:bookmarkEnd w:id="128"/>
      <w:bookmarkEnd w:id="129"/>
      <w:bookmarkEnd w:id="130"/>
    </w:p>
    <w:p w14:paraId="1725C906">
      <w:pPr>
        <w:spacing w:line="560" w:lineRule="exact"/>
        <w:ind w:firstLine="560" w:firstLineChars="200"/>
        <w:outlineLvl w:val="1"/>
        <w:rPr>
          <w:rFonts w:ascii="仿宋_GB2312" w:hAnsi="仿宋_GB2312" w:eastAsia="仿宋_GB2312" w:cs="仿宋_GB2312"/>
          <w:sz w:val="28"/>
          <w:szCs w:val="28"/>
        </w:rPr>
      </w:pPr>
      <w:bookmarkStart w:id="131" w:name="_Toc20109"/>
      <w:bookmarkStart w:id="132" w:name="_Toc31690"/>
      <w:bookmarkStart w:id="133" w:name="_Toc15396630"/>
      <w:r>
        <w:rPr>
          <w:rStyle w:val="36"/>
          <w:rFonts w:hint="eastAsia" w:ascii="仿宋_GB2312" w:hAnsi="仿宋_GB2312" w:eastAsia="仿宋_GB2312" w:cs="仿宋_GB2312"/>
          <w:b w:val="0"/>
          <w:bCs w:val="0"/>
          <w:sz w:val="28"/>
          <w:szCs w:val="28"/>
        </w:rPr>
        <w:t>十二、</w:t>
      </w:r>
      <w:r>
        <w:rPr>
          <w:rFonts w:hint="eastAsia" w:ascii="仿宋_GB2312" w:hAnsi="仿宋_GB2312" w:eastAsia="仿宋_GB2312" w:cs="仿宋_GB2312"/>
          <w:sz w:val="28"/>
          <w:szCs w:val="28"/>
        </w:rPr>
        <w:t>政</w:t>
      </w:r>
      <w:r>
        <w:rPr>
          <w:rStyle w:val="36"/>
          <w:rFonts w:hint="eastAsia" w:ascii="仿宋_GB2312" w:hAnsi="仿宋_GB2312" w:eastAsia="仿宋_GB2312" w:cs="仿宋_GB2312"/>
          <w:b w:val="0"/>
          <w:bCs w:val="0"/>
          <w:sz w:val="28"/>
          <w:szCs w:val="28"/>
        </w:rPr>
        <w:t>府性基金预算财政拨款“三公”经费支出决算表</w:t>
      </w:r>
      <w:bookmarkEnd w:id="131"/>
      <w:bookmarkEnd w:id="132"/>
      <w:bookmarkEnd w:id="133"/>
    </w:p>
    <w:p w14:paraId="586A99C1">
      <w:pPr>
        <w:spacing w:line="560" w:lineRule="exact"/>
        <w:ind w:firstLine="560" w:firstLineChars="200"/>
        <w:outlineLvl w:val="1"/>
        <w:rPr>
          <w:rStyle w:val="36"/>
          <w:rFonts w:ascii="仿宋_GB2312" w:hAnsi="仿宋_GB2312" w:eastAsia="仿宋_GB2312" w:cs="仿宋_GB2312"/>
          <w:b w:val="0"/>
          <w:bCs w:val="0"/>
          <w:sz w:val="28"/>
          <w:szCs w:val="28"/>
        </w:rPr>
      </w:pPr>
      <w:bookmarkStart w:id="134" w:name="_Toc15396631"/>
      <w:bookmarkStart w:id="135" w:name="_Toc23075"/>
      <w:bookmarkStart w:id="136" w:name="_Toc24016"/>
      <w:r>
        <w:rPr>
          <w:rStyle w:val="36"/>
          <w:rFonts w:hint="eastAsia" w:ascii="仿宋_GB2312" w:hAnsi="仿宋_GB2312" w:eastAsia="仿宋_GB2312" w:cs="仿宋_GB2312"/>
          <w:b w:val="0"/>
          <w:bCs w:val="0"/>
          <w:sz w:val="28"/>
          <w:szCs w:val="28"/>
        </w:rPr>
        <w:t>十三、</w:t>
      </w:r>
      <w:r>
        <w:rPr>
          <w:rFonts w:hint="eastAsia" w:ascii="仿宋_GB2312" w:hAnsi="仿宋_GB2312" w:eastAsia="仿宋_GB2312" w:cs="仿宋_GB2312"/>
          <w:sz w:val="28"/>
          <w:szCs w:val="28"/>
        </w:rPr>
        <w:t>国</w:t>
      </w:r>
      <w:r>
        <w:rPr>
          <w:rStyle w:val="36"/>
          <w:rFonts w:hint="eastAsia" w:ascii="仿宋_GB2312" w:hAnsi="仿宋_GB2312" w:eastAsia="仿宋_GB2312" w:cs="仿宋_GB2312"/>
          <w:b w:val="0"/>
          <w:bCs w:val="0"/>
          <w:sz w:val="28"/>
          <w:szCs w:val="28"/>
        </w:rPr>
        <w:t>有资本经营预算财政拨款收入支出决算表</w:t>
      </w:r>
      <w:bookmarkEnd w:id="134"/>
      <w:bookmarkEnd w:id="135"/>
      <w:bookmarkEnd w:id="136"/>
    </w:p>
    <w:p w14:paraId="43830E3F">
      <w:pPr>
        <w:spacing w:line="560" w:lineRule="exact"/>
        <w:ind w:firstLine="560" w:firstLineChars="200"/>
        <w:outlineLvl w:val="1"/>
        <w:rPr>
          <w:rFonts w:ascii="仿宋_GB2312" w:hAnsi="仿宋_GB2312" w:eastAsia="仿宋_GB2312" w:cs="仿宋_GB2312"/>
          <w:sz w:val="28"/>
          <w:szCs w:val="28"/>
        </w:rPr>
      </w:pPr>
      <w:bookmarkStart w:id="137" w:name="_Toc8943"/>
      <w:bookmarkStart w:id="138" w:name="_Toc14191"/>
      <w:r>
        <w:rPr>
          <w:rStyle w:val="36"/>
          <w:rFonts w:hint="eastAsia" w:ascii="仿宋_GB2312" w:hAnsi="仿宋_GB2312" w:eastAsia="仿宋_GB2312" w:cs="仿宋_GB2312"/>
          <w:b w:val="0"/>
          <w:bCs w:val="0"/>
          <w:sz w:val="28"/>
          <w:szCs w:val="28"/>
        </w:rPr>
        <w:t>十四、国有资本经营预算财政拨款支出决算表</w:t>
      </w:r>
      <w:bookmarkEnd w:id="137"/>
      <w:bookmarkEnd w:id="138"/>
    </w:p>
    <w:sectPr>
      <w:footerReference r:id="rId6" w:type="first"/>
      <w:footerReference r:id="rId5"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FangSong_GB2312">
    <w:altName w:val="仿宋_GB2312"/>
    <w:panose1 w:val="02010609030101010101"/>
    <w:charset w:val="86"/>
    <w:family w:val="roma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31631">
    <w:pPr>
      <w:pStyle w:val="2"/>
      <w:jc w:val="center"/>
    </w:pPr>
  </w:p>
  <w:p w14:paraId="24D3B328">
    <w:pPr>
      <w:pStyle w:val="2"/>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40050">
    <w:pPr>
      <w:pStyle w:val="2"/>
      <w:jc w:val="center"/>
    </w:pPr>
    <w:r>
      <w:pict>
        <v:shape id="_x0000_s1027" o:spid="_x0000_s1027"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path/>
          <v:fill on="f" focussize="0,0"/>
          <v:stroke on="f" weight="0.5pt" joinstyle="miter"/>
          <v:imagedata o:title=""/>
          <o:lock v:ext="edit"/>
          <v:textbox inset="0mm,0mm,0mm,0mm" style="mso-fit-shape-to-text:t;">
            <w:txbxContent>
              <w:p w14:paraId="38F86385">
                <w:pPr>
                  <w:pStyle w:val="2"/>
                </w:pPr>
                <w:r>
                  <w:fldChar w:fldCharType="begin"/>
                </w:r>
                <w:r>
                  <w:instrText xml:space="preserve"> PAGE  \* MERGEFORMAT </w:instrText>
                </w:r>
                <w:r>
                  <w:fldChar w:fldCharType="separate"/>
                </w:r>
                <w:r>
                  <w:t>52</w:t>
                </w:r>
                <w:r>
                  <w:fldChar w:fldCharType="end"/>
                </w:r>
              </w:p>
            </w:txbxContent>
          </v:textbox>
        </v:shape>
      </w:pict>
    </w:r>
  </w:p>
  <w:p w14:paraId="7AAA040A">
    <w:pPr>
      <w:pStyle w:val="2"/>
      <w:tabs>
        <w:tab w:val="clear" w:pos="4153"/>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06D9B">
    <w:pPr>
      <w:pStyle w:val="2"/>
    </w:pPr>
    <w:r>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path/>
          <v:fill on="f" focussize="0,0"/>
          <v:stroke on="f" weight="0.5pt" joinstyle="miter"/>
          <v:imagedata o:title=""/>
          <o:lock v:ext="edit"/>
          <v:textbox inset="0mm,0mm,0mm,0mm" style="mso-fit-shape-to-text:t;">
            <w:txbxContent>
              <w:p w14:paraId="24CBFC48">
                <w:pPr>
                  <w:pStyle w:val="2"/>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12598">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793590"/>
    <w:multiLevelType w:val="singleLevel"/>
    <w:tmpl w:val="BC793590"/>
    <w:lvl w:ilvl="0" w:tentative="0">
      <w:start w:val="9"/>
      <w:numFmt w:val="chineseCounting"/>
      <w:suff w:val="nothing"/>
      <w:lvlText w:val="%1、"/>
      <w:lvlJc w:val="left"/>
      <w:rPr>
        <w:rFonts w:hint="eastAsia"/>
      </w:rPr>
    </w:lvl>
  </w:abstractNum>
  <w:abstractNum w:abstractNumId="1">
    <w:nsid w:val="00000001"/>
    <w:multiLevelType w:val="multilevel"/>
    <w:tmpl w:val="0000000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6"/>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
    <w:nsid w:val="06CCE1D5"/>
    <w:multiLevelType w:val="singleLevel"/>
    <w:tmpl w:val="06CCE1D5"/>
    <w:lvl w:ilvl="0" w:tentative="0">
      <w:start w:val="4"/>
      <w:numFmt w:val="chineseCounting"/>
      <w:suff w:val="nothing"/>
      <w:lvlText w:val="%1、"/>
      <w:lvlJc w:val="left"/>
      <w:rPr>
        <w:rFonts w:hint="eastAsia"/>
      </w:rPr>
    </w:lvl>
  </w:abstractNum>
  <w:abstractNum w:abstractNumId="3">
    <w:nsid w:val="43BF398C"/>
    <w:multiLevelType w:val="singleLevel"/>
    <w:tmpl w:val="43BF398C"/>
    <w:lvl w:ilvl="0" w:tentative="0">
      <w:start w:val="1"/>
      <w:numFmt w:val="chineseCounting"/>
      <w:suff w:val="nothing"/>
      <w:lvlText w:val="（%1）"/>
      <w:lvlJc w:val="left"/>
      <w:rPr>
        <w:rFonts w:hint="eastAsia"/>
      </w:rPr>
    </w:lvl>
  </w:abstractNum>
  <w:abstractNum w:abstractNumId="4">
    <w:nsid w:val="60423BC3"/>
    <w:multiLevelType w:val="singleLevel"/>
    <w:tmpl w:val="60423BC3"/>
    <w:lvl w:ilvl="0" w:tentative="0">
      <w:start w:val="1"/>
      <w:numFmt w:val="decimal"/>
      <w:suff w:val="nothing"/>
      <w:lvlText w:val="%1、"/>
      <w:lvlJc w:val="left"/>
      <w:rPr>
        <w:rFonts w:hint="default"/>
        <w:b/>
        <w:bCs/>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zZjk4ZmI4YzUyY2NiZTM5YjJkNjVmMjg0M2I1ODc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65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556C1"/>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96830"/>
    <w:rsid w:val="006A3141"/>
    <w:rsid w:val="006A5E34"/>
    <w:rsid w:val="006B2422"/>
    <w:rsid w:val="006B2B9A"/>
    <w:rsid w:val="006B4A29"/>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E657D"/>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2D9C"/>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6406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4374"/>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515DC"/>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A6830"/>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0385F"/>
    <w:rsid w:val="01B06153"/>
    <w:rsid w:val="01F053F2"/>
    <w:rsid w:val="02FC787B"/>
    <w:rsid w:val="034874ED"/>
    <w:rsid w:val="03634CCC"/>
    <w:rsid w:val="03824AAC"/>
    <w:rsid w:val="039C7B37"/>
    <w:rsid w:val="03B10C72"/>
    <w:rsid w:val="04055CC3"/>
    <w:rsid w:val="04D058DF"/>
    <w:rsid w:val="04E232D6"/>
    <w:rsid w:val="05BE5915"/>
    <w:rsid w:val="05EF743A"/>
    <w:rsid w:val="063C6EBF"/>
    <w:rsid w:val="06641818"/>
    <w:rsid w:val="066E0107"/>
    <w:rsid w:val="06741A3B"/>
    <w:rsid w:val="06F06C3D"/>
    <w:rsid w:val="07996F6E"/>
    <w:rsid w:val="07B054DE"/>
    <w:rsid w:val="07D66E6C"/>
    <w:rsid w:val="089A2392"/>
    <w:rsid w:val="08C73957"/>
    <w:rsid w:val="09332F3E"/>
    <w:rsid w:val="09730737"/>
    <w:rsid w:val="09D863A9"/>
    <w:rsid w:val="09F50332"/>
    <w:rsid w:val="0A2032A3"/>
    <w:rsid w:val="0A5B169C"/>
    <w:rsid w:val="0A795B1C"/>
    <w:rsid w:val="0AF76F83"/>
    <w:rsid w:val="0B967806"/>
    <w:rsid w:val="0C103F7E"/>
    <w:rsid w:val="0C773AF4"/>
    <w:rsid w:val="0D693D5F"/>
    <w:rsid w:val="0DEC5472"/>
    <w:rsid w:val="0EDF6BD2"/>
    <w:rsid w:val="0F043B1B"/>
    <w:rsid w:val="0F9E443C"/>
    <w:rsid w:val="0FFA64A5"/>
    <w:rsid w:val="101860EC"/>
    <w:rsid w:val="1097457C"/>
    <w:rsid w:val="10A027B1"/>
    <w:rsid w:val="10B47AA1"/>
    <w:rsid w:val="10C055FF"/>
    <w:rsid w:val="11310D46"/>
    <w:rsid w:val="118107EC"/>
    <w:rsid w:val="12C11B6B"/>
    <w:rsid w:val="13D50BC4"/>
    <w:rsid w:val="14241EA5"/>
    <w:rsid w:val="14914BD1"/>
    <w:rsid w:val="15613335"/>
    <w:rsid w:val="156F223A"/>
    <w:rsid w:val="15B63C88"/>
    <w:rsid w:val="169D6E5A"/>
    <w:rsid w:val="16BB723D"/>
    <w:rsid w:val="176A1687"/>
    <w:rsid w:val="185E0C40"/>
    <w:rsid w:val="187C6339"/>
    <w:rsid w:val="18BB26C5"/>
    <w:rsid w:val="18DA628E"/>
    <w:rsid w:val="19545C17"/>
    <w:rsid w:val="196F6360"/>
    <w:rsid w:val="19D74AF7"/>
    <w:rsid w:val="1A327F2F"/>
    <w:rsid w:val="1AAD72B8"/>
    <w:rsid w:val="1B0B43E7"/>
    <w:rsid w:val="1BB22C8F"/>
    <w:rsid w:val="1BB975B4"/>
    <w:rsid w:val="1BDC4D60"/>
    <w:rsid w:val="1BE8440E"/>
    <w:rsid w:val="1C340365"/>
    <w:rsid w:val="1C8274C1"/>
    <w:rsid w:val="1D115416"/>
    <w:rsid w:val="1D1303D5"/>
    <w:rsid w:val="1D155CEE"/>
    <w:rsid w:val="1DB15DC6"/>
    <w:rsid w:val="1DE1684E"/>
    <w:rsid w:val="1EBB6803"/>
    <w:rsid w:val="1F040917"/>
    <w:rsid w:val="201B50E5"/>
    <w:rsid w:val="20474504"/>
    <w:rsid w:val="21624E14"/>
    <w:rsid w:val="21641F16"/>
    <w:rsid w:val="219B4DC6"/>
    <w:rsid w:val="22214AA1"/>
    <w:rsid w:val="223B4CCB"/>
    <w:rsid w:val="225304CB"/>
    <w:rsid w:val="226E1CCF"/>
    <w:rsid w:val="22891F67"/>
    <w:rsid w:val="23860B96"/>
    <w:rsid w:val="23B8030D"/>
    <w:rsid w:val="23F20E07"/>
    <w:rsid w:val="240371BF"/>
    <w:rsid w:val="240F186A"/>
    <w:rsid w:val="24140326"/>
    <w:rsid w:val="242668C4"/>
    <w:rsid w:val="24B44B8B"/>
    <w:rsid w:val="25AD37B3"/>
    <w:rsid w:val="25D00ACA"/>
    <w:rsid w:val="26260ED6"/>
    <w:rsid w:val="26811DAB"/>
    <w:rsid w:val="268458FA"/>
    <w:rsid w:val="26D84233"/>
    <w:rsid w:val="288B1760"/>
    <w:rsid w:val="293D6764"/>
    <w:rsid w:val="29F86FC6"/>
    <w:rsid w:val="29FA4AAF"/>
    <w:rsid w:val="29FD04D3"/>
    <w:rsid w:val="2AD86C17"/>
    <w:rsid w:val="2C3C655B"/>
    <w:rsid w:val="2C6809EB"/>
    <w:rsid w:val="2C710A2E"/>
    <w:rsid w:val="2C8A61B5"/>
    <w:rsid w:val="2D6D5613"/>
    <w:rsid w:val="2DE2169B"/>
    <w:rsid w:val="2DF04E50"/>
    <w:rsid w:val="2E3A762C"/>
    <w:rsid w:val="2ED5043C"/>
    <w:rsid w:val="2F680F48"/>
    <w:rsid w:val="304D1074"/>
    <w:rsid w:val="305E5F3E"/>
    <w:rsid w:val="30A82DEE"/>
    <w:rsid w:val="30BF3A5B"/>
    <w:rsid w:val="319975AA"/>
    <w:rsid w:val="319F7F4E"/>
    <w:rsid w:val="31E16CCD"/>
    <w:rsid w:val="33035811"/>
    <w:rsid w:val="33910185"/>
    <w:rsid w:val="339A09C0"/>
    <w:rsid w:val="33C81479"/>
    <w:rsid w:val="33DE4053"/>
    <w:rsid w:val="343B1CF3"/>
    <w:rsid w:val="343E79CD"/>
    <w:rsid w:val="35A41B73"/>
    <w:rsid w:val="36AA5135"/>
    <w:rsid w:val="37CD55BF"/>
    <w:rsid w:val="37E16F03"/>
    <w:rsid w:val="382948AD"/>
    <w:rsid w:val="38C829C8"/>
    <w:rsid w:val="392E4D43"/>
    <w:rsid w:val="39722A58"/>
    <w:rsid w:val="39934A04"/>
    <w:rsid w:val="39C27EC2"/>
    <w:rsid w:val="3AAA77CF"/>
    <w:rsid w:val="3ADB5F75"/>
    <w:rsid w:val="3B84320A"/>
    <w:rsid w:val="3C125873"/>
    <w:rsid w:val="3C5C6E8F"/>
    <w:rsid w:val="3CB054DF"/>
    <w:rsid w:val="3D98207C"/>
    <w:rsid w:val="3EE743D3"/>
    <w:rsid w:val="3F3F046E"/>
    <w:rsid w:val="3F513BC4"/>
    <w:rsid w:val="3F653868"/>
    <w:rsid w:val="3FE03E8E"/>
    <w:rsid w:val="3FFF1AFD"/>
    <w:rsid w:val="40166739"/>
    <w:rsid w:val="408F0158"/>
    <w:rsid w:val="412F79DD"/>
    <w:rsid w:val="41FD181B"/>
    <w:rsid w:val="429B2AB4"/>
    <w:rsid w:val="42BF1480"/>
    <w:rsid w:val="43F9150C"/>
    <w:rsid w:val="44E268DA"/>
    <w:rsid w:val="458F43B4"/>
    <w:rsid w:val="4610791B"/>
    <w:rsid w:val="469D2D49"/>
    <w:rsid w:val="46DA599D"/>
    <w:rsid w:val="475573AE"/>
    <w:rsid w:val="4770576A"/>
    <w:rsid w:val="47E04A0B"/>
    <w:rsid w:val="47FF3CEC"/>
    <w:rsid w:val="493F2D1B"/>
    <w:rsid w:val="497A40B6"/>
    <w:rsid w:val="49853D65"/>
    <w:rsid w:val="4A627F82"/>
    <w:rsid w:val="4B253FAC"/>
    <w:rsid w:val="4B4F25DA"/>
    <w:rsid w:val="4BE068DB"/>
    <w:rsid w:val="4C0864A5"/>
    <w:rsid w:val="4C9F714A"/>
    <w:rsid w:val="4D3872A1"/>
    <w:rsid w:val="4D577224"/>
    <w:rsid w:val="4D6D1203"/>
    <w:rsid w:val="4E222C70"/>
    <w:rsid w:val="4E71630A"/>
    <w:rsid w:val="4EA13B62"/>
    <w:rsid w:val="4EAB630A"/>
    <w:rsid w:val="4ECE2238"/>
    <w:rsid w:val="4F773B2C"/>
    <w:rsid w:val="4F833828"/>
    <w:rsid w:val="512916D5"/>
    <w:rsid w:val="51351ABF"/>
    <w:rsid w:val="52082CC6"/>
    <w:rsid w:val="528A3D2B"/>
    <w:rsid w:val="54262DD4"/>
    <w:rsid w:val="54653D58"/>
    <w:rsid w:val="548966EF"/>
    <w:rsid w:val="55087906"/>
    <w:rsid w:val="55A84859"/>
    <w:rsid w:val="566C0BDB"/>
    <w:rsid w:val="56896D8A"/>
    <w:rsid w:val="56C13962"/>
    <w:rsid w:val="571250FB"/>
    <w:rsid w:val="573F72B3"/>
    <w:rsid w:val="57BA6514"/>
    <w:rsid w:val="57CA5E9C"/>
    <w:rsid w:val="586B719A"/>
    <w:rsid w:val="58EE1AA5"/>
    <w:rsid w:val="58F31B0A"/>
    <w:rsid w:val="5AB44DEF"/>
    <w:rsid w:val="5AF92295"/>
    <w:rsid w:val="5BBC0BB6"/>
    <w:rsid w:val="5C323AC3"/>
    <w:rsid w:val="5C5D193E"/>
    <w:rsid w:val="5CC44BE0"/>
    <w:rsid w:val="5CD71FC4"/>
    <w:rsid w:val="5CDF7C98"/>
    <w:rsid w:val="5DFE2D48"/>
    <w:rsid w:val="5E9A3CC2"/>
    <w:rsid w:val="609B58F4"/>
    <w:rsid w:val="60A234AA"/>
    <w:rsid w:val="60E51614"/>
    <w:rsid w:val="60EA1721"/>
    <w:rsid w:val="619026CC"/>
    <w:rsid w:val="630C2BBF"/>
    <w:rsid w:val="644B7717"/>
    <w:rsid w:val="655C4D44"/>
    <w:rsid w:val="656B3962"/>
    <w:rsid w:val="65E40B8A"/>
    <w:rsid w:val="665074F0"/>
    <w:rsid w:val="66586EB3"/>
    <w:rsid w:val="66596817"/>
    <w:rsid w:val="66B8432E"/>
    <w:rsid w:val="66BD4BE1"/>
    <w:rsid w:val="685711FB"/>
    <w:rsid w:val="685C4343"/>
    <w:rsid w:val="687661D0"/>
    <w:rsid w:val="689D0ABA"/>
    <w:rsid w:val="68AD44BB"/>
    <w:rsid w:val="69370D14"/>
    <w:rsid w:val="69410028"/>
    <w:rsid w:val="6A010C46"/>
    <w:rsid w:val="6B14410F"/>
    <w:rsid w:val="6BA9517E"/>
    <w:rsid w:val="6BDF7C36"/>
    <w:rsid w:val="6C177508"/>
    <w:rsid w:val="6C382682"/>
    <w:rsid w:val="6C41402B"/>
    <w:rsid w:val="6C4A05C8"/>
    <w:rsid w:val="6C5B47D0"/>
    <w:rsid w:val="6C63766C"/>
    <w:rsid w:val="6C8D4D71"/>
    <w:rsid w:val="6D8C23E9"/>
    <w:rsid w:val="6E044540"/>
    <w:rsid w:val="6E2D74A0"/>
    <w:rsid w:val="6E3C1CD6"/>
    <w:rsid w:val="6E7E3605"/>
    <w:rsid w:val="6FD75D88"/>
    <w:rsid w:val="6FF5CC65"/>
    <w:rsid w:val="70AF2306"/>
    <w:rsid w:val="70D420AB"/>
    <w:rsid w:val="715A6588"/>
    <w:rsid w:val="715C0E4B"/>
    <w:rsid w:val="717572E9"/>
    <w:rsid w:val="72153C4D"/>
    <w:rsid w:val="72375CBD"/>
    <w:rsid w:val="72635FBB"/>
    <w:rsid w:val="726447C6"/>
    <w:rsid w:val="72734D90"/>
    <w:rsid w:val="72B06F65"/>
    <w:rsid w:val="72EA3321"/>
    <w:rsid w:val="73AD73D5"/>
    <w:rsid w:val="73B46663"/>
    <w:rsid w:val="73B6EB34"/>
    <w:rsid w:val="740B5187"/>
    <w:rsid w:val="755E51CC"/>
    <w:rsid w:val="766C4E4A"/>
    <w:rsid w:val="769C1ADE"/>
    <w:rsid w:val="769E6CC2"/>
    <w:rsid w:val="77F6BEFF"/>
    <w:rsid w:val="780879A1"/>
    <w:rsid w:val="795C61F7"/>
    <w:rsid w:val="79C54E72"/>
    <w:rsid w:val="79E644B4"/>
    <w:rsid w:val="79EE5BA4"/>
    <w:rsid w:val="7A894339"/>
    <w:rsid w:val="7A964260"/>
    <w:rsid w:val="7B183C00"/>
    <w:rsid w:val="7B790349"/>
    <w:rsid w:val="7BC64388"/>
    <w:rsid w:val="7C28097F"/>
    <w:rsid w:val="7CEF4837"/>
    <w:rsid w:val="7D824146"/>
    <w:rsid w:val="7DE83EC2"/>
    <w:rsid w:val="7E272D5D"/>
    <w:rsid w:val="7EEF11D3"/>
    <w:rsid w:val="7F150482"/>
    <w:rsid w:val="7FA30C79"/>
    <w:rsid w:val="7FC96657"/>
    <w:rsid w:val="7FDE3C0B"/>
    <w:rsid w:val="ADF3E2B3"/>
    <w:rsid w:val="CCEEB78C"/>
    <w:rsid w:val="D8D6DB89"/>
    <w:rsid w:val="DB6F4CAB"/>
    <w:rsid w:val="DF6F9789"/>
    <w:rsid w:val="E9DF2889"/>
    <w:rsid w:val="F373C5B0"/>
    <w:rsid w:val="FB75BD2F"/>
    <w:rsid w:val="FFD33BA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9"/>
    <w:unhideWhenUsed/>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31"/>
    <w:qFormat/>
    <w:uiPriority w:val="99"/>
    <w:pPr>
      <w:tabs>
        <w:tab w:val="center" w:pos="4153"/>
        <w:tab w:val="right" w:pos="8306"/>
      </w:tabs>
      <w:snapToGrid w:val="0"/>
      <w:jc w:val="left"/>
    </w:pPr>
    <w:rPr>
      <w:rFonts w:ascii="Calibri" w:hAnsi="Calibri"/>
      <w:kern w:val="0"/>
      <w:sz w:val="18"/>
      <w:szCs w:val="18"/>
    </w:rPr>
  </w:style>
  <w:style w:type="paragraph" w:styleId="6">
    <w:name w:val="Normal Indent"/>
    <w:basedOn w:val="1"/>
    <w:next w:val="1"/>
    <w:qFormat/>
    <w:uiPriority w:val="99"/>
    <w:pPr>
      <w:ind w:firstLine="680"/>
    </w:pPr>
  </w:style>
  <w:style w:type="paragraph" w:styleId="7">
    <w:name w:val="index 5"/>
    <w:basedOn w:val="1"/>
    <w:next w:val="1"/>
    <w:qFormat/>
    <w:uiPriority w:val="0"/>
    <w:pPr>
      <w:ind w:left="1680"/>
    </w:pPr>
  </w:style>
  <w:style w:type="paragraph" w:styleId="8">
    <w:name w:val="Salutation"/>
    <w:basedOn w:val="1"/>
    <w:next w:val="1"/>
    <w:unhideWhenUsed/>
    <w:qFormat/>
    <w:uiPriority w:val="99"/>
  </w:style>
  <w:style w:type="paragraph" w:styleId="9">
    <w:name w:val="Body Text"/>
    <w:basedOn w:val="1"/>
    <w:link w:val="33"/>
    <w:qFormat/>
    <w:uiPriority w:val="99"/>
    <w:pPr>
      <w:spacing w:beforeLines="30"/>
    </w:pPr>
    <w:rPr>
      <w:rFonts w:ascii="FangSong_GB2312" w:eastAsia="FangSong_GB2312"/>
      <w:kern w:val="0"/>
      <w:sz w:val="30"/>
    </w:rPr>
  </w:style>
  <w:style w:type="paragraph" w:styleId="10">
    <w:name w:val="Body Text Indent"/>
    <w:basedOn w:val="1"/>
    <w:next w:val="11"/>
    <w:unhideWhenUsed/>
    <w:qFormat/>
    <w:uiPriority w:val="99"/>
    <w:pPr>
      <w:spacing w:after="120"/>
      <w:ind w:left="420" w:leftChars="200"/>
    </w:pPr>
  </w:style>
  <w:style w:type="paragraph" w:styleId="11">
    <w:name w:val="Body Text First Indent 2"/>
    <w:basedOn w:val="10"/>
    <w:unhideWhenUsed/>
    <w:qFormat/>
    <w:uiPriority w:val="0"/>
    <w:pPr>
      <w:spacing w:after="0"/>
      <w:ind w:left="0" w:leftChars="0" w:firstLine="200" w:firstLineChars="200"/>
    </w:pPr>
    <w:rPr>
      <w:bCs/>
      <w:kern w:val="0"/>
      <w:szCs w:val="32"/>
    </w:rPr>
  </w:style>
  <w:style w:type="paragraph" w:styleId="12">
    <w:name w:val="toc 3"/>
    <w:basedOn w:val="1"/>
    <w:next w:val="1"/>
    <w:unhideWhenUsed/>
    <w:qFormat/>
    <w:uiPriority w:val="39"/>
    <w:pPr>
      <w:tabs>
        <w:tab w:val="right" w:leader="dot" w:pos="8296"/>
      </w:tabs>
      <w:ind w:left="840" w:leftChars="400"/>
    </w:pPr>
  </w:style>
  <w:style w:type="paragraph" w:styleId="13">
    <w:name w:val="Balloon Text"/>
    <w:basedOn w:val="1"/>
    <w:link w:val="38"/>
    <w:semiHidden/>
    <w:unhideWhenUsed/>
    <w:qFormat/>
    <w:uiPriority w:val="99"/>
    <w:rPr>
      <w:sz w:val="18"/>
      <w:szCs w:val="18"/>
    </w:rPr>
  </w:style>
  <w:style w:type="paragraph" w:styleId="14">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footnote text"/>
    <w:basedOn w:val="1"/>
    <w:next w:val="11"/>
    <w:semiHidden/>
    <w:qFormat/>
    <w:uiPriority w:val="0"/>
    <w:pPr>
      <w:snapToGrid w:val="0"/>
      <w:jc w:val="left"/>
    </w:pPr>
    <w:rPr>
      <w:sz w:val="18"/>
      <w:szCs w:val="18"/>
    </w:rPr>
  </w:style>
  <w:style w:type="paragraph" w:styleId="17">
    <w:name w:val="table of figures"/>
    <w:basedOn w:val="1"/>
    <w:next w:val="1"/>
    <w:qFormat/>
    <w:uiPriority w:val="0"/>
    <w:pPr>
      <w:ind w:left="400" w:leftChars="200" w:hanging="200" w:hangingChars="200"/>
    </w:pPr>
    <w:rPr>
      <w:rFonts w:ascii="Calibri" w:hAnsi="Calibri"/>
    </w:rPr>
  </w:style>
  <w:style w:type="paragraph" w:styleId="18">
    <w:name w:val="toc 2"/>
    <w:basedOn w:val="1"/>
    <w:next w:val="1"/>
    <w:unhideWhenUsed/>
    <w:qFormat/>
    <w:uiPriority w:val="39"/>
    <w:pPr>
      <w:tabs>
        <w:tab w:val="right" w:leader="dot" w:pos="8296"/>
      </w:tabs>
      <w:ind w:left="420" w:leftChars="200"/>
    </w:pPr>
  </w:style>
  <w:style w:type="paragraph" w:styleId="19">
    <w:name w:val="Normal (Web)"/>
    <w:basedOn w:val="1"/>
    <w:qFormat/>
    <w:uiPriority w:val="0"/>
    <w:pPr>
      <w:spacing w:before="100" w:beforeAutospacing="1" w:after="100" w:afterAutospacing="1"/>
      <w:jc w:val="left"/>
    </w:pPr>
    <w:rPr>
      <w:kern w:val="0"/>
      <w:sz w:val="24"/>
    </w:rPr>
  </w:style>
  <w:style w:type="character" w:styleId="22">
    <w:name w:val="Strong"/>
    <w:basedOn w:val="21"/>
    <w:qFormat/>
    <w:uiPriority w:val="99"/>
    <w:rPr>
      <w:b/>
    </w:rPr>
  </w:style>
  <w:style w:type="character" w:styleId="23">
    <w:name w:val="page number"/>
    <w:basedOn w:val="21"/>
    <w:qFormat/>
    <w:uiPriority w:val="0"/>
  </w:style>
  <w:style w:type="character" w:styleId="24">
    <w:name w:val="Hyperlink"/>
    <w:basedOn w:val="21"/>
    <w:unhideWhenUsed/>
    <w:qFormat/>
    <w:uiPriority w:val="99"/>
    <w:rPr>
      <w:color w:val="0000FF" w:themeColor="hyperlink"/>
      <w:u w:val="single"/>
    </w:rPr>
  </w:style>
  <w:style w:type="paragraph" w:customStyle="1" w:styleId="25">
    <w:name w:val="正文2"/>
    <w:basedOn w:val="1"/>
    <w:next w:val="1"/>
    <w:qFormat/>
    <w:uiPriority w:val="0"/>
    <w:pPr>
      <w:spacing w:line="576" w:lineRule="exact"/>
      <w:ind w:firstLine="200" w:firstLineChars="200"/>
    </w:pPr>
    <w:rPr>
      <w:rFonts w:cs="宋体"/>
      <w:szCs w:val="32"/>
    </w:rPr>
  </w:style>
  <w:style w:type="paragraph" w:customStyle="1" w:styleId="26">
    <w:name w:val="标题 5（有编号）（绿盟科技）"/>
    <w:basedOn w:val="1"/>
    <w:next w:val="1"/>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8">
    <w:name w:val="Header Char"/>
    <w:basedOn w:val="21"/>
    <w:semiHidden/>
    <w:qFormat/>
    <w:uiPriority w:val="99"/>
    <w:rPr>
      <w:rFonts w:ascii="Times New Roman" w:hAnsi="Times New Roman"/>
      <w:sz w:val="18"/>
      <w:szCs w:val="18"/>
    </w:rPr>
  </w:style>
  <w:style w:type="character" w:customStyle="1" w:styleId="29">
    <w:name w:val="页眉 Char"/>
    <w:link w:val="14"/>
    <w:semiHidden/>
    <w:qFormat/>
    <w:locked/>
    <w:uiPriority w:val="99"/>
    <w:rPr>
      <w:sz w:val="18"/>
    </w:rPr>
  </w:style>
  <w:style w:type="character" w:customStyle="1" w:styleId="30">
    <w:name w:val="Footer Char"/>
    <w:basedOn w:val="21"/>
    <w:semiHidden/>
    <w:qFormat/>
    <w:uiPriority w:val="99"/>
    <w:rPr>
      <w:rFonts w:ascii="Times New Roman" w:hAnsi="Times New Roman"/>
      <w:sz w:val="18"/>
      <w:szCs w:val="18"/>
    </w:rPr>
  </w:style>
  <w:style w:type="character" w:customStyle="1" w:styleId="31">
    <w:name w:val="页脚 Char"/>
    <w:link w:val="2"/>
    <w:qFormat/>
    <w:locked/>
    <w:uiPriority w:val="99"/>
    <w:rPr>
      <w:sz w:val="18"/>
    </w:rPr>
  </w:style>
  <w:style w:type="character" w:customStyle="1" w:styleId="32">
    <w:name w:val="Body Text Char"/>
    <w:basedOn w:val="21"/>
    <w:semiHidden/>
    <w:qFormat/>
    <w:uiPriority w:val="99"/>
    <w:rPr>
      <w:rFonts w:ascii="Times New Roman" w:hAnsi="Times New Roman"/>
      <w:szCs w:val="24"/>
    </w:rPr>
  </w:style>
  <w:style w:type="character" w:customStyle="1" w:styleId="33">
    <w:name w:val="正文文本 Char"/>
    <w:link w:val="9"/>
    <w:qFormat/>
    <w:locked/>
    <w:uiPriority w:val="99"/>
    <w:rPr>
      <w:rFonts w:ascii="FangSong_GB2312" w:hAnsi="Times New Roman" w:eastAsia="FangSong_GB2312"/>
      <w:sz w:val="24"/>
    </w:rPr>
  </w:style>
  <w:style w:type="paragraph" w:styleId="34">
    <w:name w:val="List Paragraph"/>
    <w:basedOn w:val="1"/>
    <w:qFormat/>
    <w:uiPriority w:val="34"/>
    <w:pPr>
      <w:ind w:firstLine="420" w:firstLineChars="200"/>
    </w:pPr>
  </w:style>
  <w:style w:type="character" w:customStyle="1" w:styleId="35">
    <w:name w:val="标题 1 Char"/>
    <w:basedOn w:val="21"/>
    <w:link w:val="3"/>
    <w:qFormat/>
    <w:uiPriority w:val="9"/>
    <w:rPr>
      <w:rFonts w:ascii="Times New Roman" w:hAnsi="Times New Roman"/>
      <w:b/>
      <w:bCs/>
      <w:kern w:val="44"/>
      <w:sz w:val="44"/>
      <w:szCs w:val="44"/>
    </w:rPr>
  </w:style>
  <w:style w:type="character" w:customStyle="1" w:styleId="36">
    <w:name w:val="标题 2 Char"/>
    <w:basedOn w:val="21"/>
    <w:link w:val="4"/>
    <w:qFormat/>
    <w:uiPriority w:val="9"/>
    <w:rPr>
      <w:rFonts w:asciiTheme="majorHAnsi" w:hAnsiTheme="majorHAnsi" w:eastAsiaTheme="majorEastAsia" w:cstheme="majorBidi"/>
      <w:b/>
      <w:bCs/>
      <w:kern w:val="2"/>
      <w:sz w:val="32"/>
      <w:szCs w:val="32"/>
    </w:rPr>
  </w:style>
  <w:style w:type="paragraph" w:customStyle="1" w:styleId="37">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8">
    <w:name w:val="批注框文本 Char"/>
    <w:basedOn w:val="21"/>
    <w:link w:val="13"/>
    <w:semiHidden/>
    <w:qFormat/>
    <w:uiPriority w:val="99"/>
    <w:rPr>
      <w:rFonts w:ascii="Times New Roman" w:hAnsi="Times New Roman"/>
      <w:kern w:val="2"/>
      <w:sz w:val="18"/>
      <w:szCs w:val="18"/>
    </w:rPr>
  </w:style>
  <w:style w:type="character" w:customStyle="1" w:styleId="39">
    <w:name w:val="标题 3 Char"/>
    <w:basedOn w:val="21"/>
    <w:link w:val="5"/>
    <w:qFormat/>
    <w:uiPriority w:val="9"/>
    <w:rPr>
      <w:rFonts w:ascii="Times New Roman" w:hAnsi="Times New Roman"/>
      <w:b/>
      <w:bCs/>
      <w:kern w:val="2"/>
      <w:sz w:val="32"/>
      <w:szCs w:val="32"/>
    </w:rPr>
  </w:style>
  <w:style w:type="paragraph" w:customStyle="1" w:styleId="40">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41">
    <w:name w:val="TOC1"/>
    <w:basedOn w:val="1"/>
    <w:next w:val="1"/>
    <w:qFormat/>
    <w:uiPriority w:val="0"/>
    <w:pPr>
      <w:tabs>
        <w:tab w:val="right" w:leader="dot" w:pos="8721"/>
      </w:tabs>
      <w:spacing w:line="360" w:lineRule="auto"/>
      <w:jc w:val="center"/>
      <w:textAlignment w:val="baseline"/>
    </w:pPr>
    <w:rPr>
      <w:rFonts w:ascii="Calibri" w:hAnsi="仿宋"/>
      <w:b/>
      <w:bCs/>
      <w:caps/>
      <w:sz w:val="28"/>
      <w:szCs w:val="28"/>
    </w:rPr>
  </w:style>
  <w:style w:type="character" w:customStyle="1" w:styleId="42">
    <w:name w:val="font21"/>
    <w:basedOn w:val="21"/>
    <w:qFormat/>
    <w:uiPriority w:val="0"/>
    <w:rPr>
      <w:rFonts w:hint="eastAsia" w:ascii="宋体" w:hAnsi="宋体" w:eastAsia="宋体" w:cs="宋体"/>
      <w:color w:val="000000"/>
      <w:sz w:val="24"/>
      <w:szCs w:val="24"/>
      <w:u w:val="none"/>
    </w:rPr>
  </w:style>
  <w:style w:type="paragraph" w:customStyle="1" w:styleId="43">
    <w:name w:val="表格抬头"/>
    <w:basedOn w:val="1"/>
    <w:qFormat/>
    <w:uiPriority w:val="0"/>
    <w:pPr>
      <w:jc w:val="center"/>
    </w:pPr>
    <w:rPr>
      <w:rFonts w:eastAsia="楷体"/>
      <w:b/>
      <w:sz w:val="24"/>
    </w:rPr>
  </w:style>
  <w:style w:type="paragraph" w:customStyle="1" w:styleId="44">
    <w:name w:val="表格文字"/>
    <w:basedOn w:val="1"/>
    <w:qFormat/>
    <w:uiPriority w:val="0"/>
    <w:pPr>
      <w:jc w:val="center"/>
    </w:pPr>
    <w:rPr>
      <w:bCs/>
      <w:kern w:val="28"/>
      <w:sz w:val="24"/>
    </w:rPr>
  </w:style>
  <w:style w:type="paragraph" w:customStyle="1" w:styleId="45">
    <w:name w:val="WPSOffice手动目录 1"/>
    <w:qFormat/>
    <w:uiPriority w:val="0"/>
    <w:rPr>
      <w:rFonts w:ascii="Times New Roman" w:hAnsi="Times New Roman" w:eastAsia="宋体" w:cs="Times New Roman"/>
      <w:lang w:val="en-US" w:eastAsia="zh-CN" w:bidi="ar-SA"/>
    </w:rPr>
  </w:style>
  <w:style w:type="paragraph" w:customStyle="1" w:styleId="46">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47">
    <w:name w:val="NormalCharacter"/>
    <w:semiHidden/>
    <w:qFormat/>
    <w:uiPriority w:val="0"/>
    <w:rPr>
      <w:rFonts w:ascii="Calibri" w:hAnsi="Calibri" w:eastAsia="宋体" w:cs="Times New Roman"/>
      <w:kern w:val="2"/>
      <w:sz w:val="21"/>
      <w:szCs w:val="24"/>
      <w:lang w:val="en-US" w:eastAsia="zh-CN" w:bidi="ar-SA"/>
    </w:rPr>
  </w:style>
  <w:style w:type="paragraph" w:customStyle="1" w:styleId="48">
    <w:name w:val="正文文本1"/>
    <w:basedOn w:val="1"/>
    <w:qFormat/>
    <w:uiPriority w:val="99"/>
    <w:pPr>
      <w:spacing w:before="93"/>
    </w:pPr>
    <w:rPr>
      <w:rFonts w:ascii="仿宋_GB2312" w:hAnsi="仿宋_GB2312" w:eastAsia="仿宋_GB2312" w:cs="仿宋_GB2312"/>
      <w:kern w:val="0"/>
      <w:sz w:val="30"/>
      <w:szCs w:val="30"/>
    </w:rPr>
  </w:style>
  <w:style w:type="paragraph" w:customStyle="1" w:styleId="49">
    <w:name w:val="四号正文"/>
    <w:basedOn w:val="1"/>
    <w:qFormat/>
    <w:uiPriority w:val="0"/>
    <w:pPr>
      <w:spacing w:line="360" w:lineRule="auto"/>
    </w:pPr>
    <w:rPr>
      <w:rFonts w:ascii="??" w:hAnsi="??"/>
      <w:color w:val="000000"/>
      <w:kern w:val="0"/>
      <w:sz w:val="28"/>
      <w:szCs w:val="21"/>
      <w:lang w:val="zh-CN"/>
    </w:rPr>
  </w:style>
  <w:style w:type="paragraph" w:customStyle="1" w:styleId="50">
    <w:name w:val="列出段落1"/>
    <w:basedOn w:val="1"/>
    <w:qFormat/>
    <w:uiPriority w:val="34"/>
    <w:pPr>
      <w:ind w:firstLine="420" w:firstLineChars="200"/>
    </w:pPr>
    <w:rPr>
      <w:rFonts w:ascii="Calibri" w:hAnsi="Calibri"/>
    </w:rPr>
  </w:style>
  <w:style w:type="character" w:customStyle="1" w:styleId="51">
    <w:name w:val="font131"/>
    <w:basedOn w:val="21"/>
    <w:qFormat/>
    <w:uiPriority w:val="0"/>
    <w:rPr>
      <w:rFonts w:hint="eastAsia" w:ascii="宋体" w:hAnsi="宋体" w:eastAsia="宋体" w:cs="宋体"/>
      <w:b/>
      <w:bCs/>
      <w:color w:val="000000"/>
      <w:sz w:val="32"/>
      <w:szCs w:val="32"/>
      <w:u w:val="none"/>
    </w:rPr>
  </w:style>
  <w:style w:type="character" w:customStyle="1" w:styleId="52">
    <w:name w:val="font41"/>
    <w:basedOn w:val="21"/>
    <w:qFormat/>
    <w:uiPriority w:val="0"/>
    <w:rPr>
      <w:rFonts w:hint="eastAsia" w:ascii="宋体" w:hAnsi="宋体" w:eastAsia="宋体" w:cs="宋体"/>
      <w:color w:val="000000"/>
      <w:sz w:val="32"/>
      <w:szCs w:val="32"/>
      <w:u w:val="none"/>
    </w:rPr>
  </w:style>
  <w:style w:type="character" w:customStyle="1" w:styleId="53">
    <w:name w:val="font141"/>
    <w:basedOn w:val="21"/>
    <w:qFormat/>
    <w:uiPriority w:val="0"/>
    <w:rPr>
      <w:rFonts w:hint="eastAsia" w:ascii="宋体" w:hAnsi="宋体" w:eastAsia="宋体" w:cs="宋体"/>
      <w:color w:val="000000"/>
      <w:sz w:val="20"/>
      <w:szCs w:val="20"/>
      <w:u w:val="none"/>
    </w:rPr>
  </w:style>
  <w:style w:type="character" w:customStyle="1" w:styleId="54">
    <w:name w:val="font91"/>
    <w:basedOn w:val="21"/>
    <w:qFormat/>
    <w:uiPriority w:val="0"/>
    <w:rPr>
      <w:rFonts w:hint="eastAsia" w:ascii="宋体" w:hAnsi="宋体" w:eastAsia="宋体" w:cs="宋体"/>
      <w:color w:val="000000"/>
      <w:sz w:val="18"/>
      <w:szCs w:val="18"/>
      <w:u w:val="none"/>
    </w:rPr>
  </w:style>
  <w:style w:type="character" w:customStyle="1" w:styleId="55">
    <w:name w:val="font151"/>
    <w:basedOn w:val="21"/>
    <w:qFormat/>
    <w:uiPriority w:val="0"/>
    <w:rPr>
      <w:rFonts w:hint="eastAsia" w:ascii="宋体" w:hAnsi="宋体" w:eastAsia="宋体" w:cs="宋体"/>
      <w:color w:val="000000"/>
      <w:sz w:val="18"/>
      <w:szCs w:val="18"/>
      <w:u w:val="none"/>
    </w:rPr>
  </w:style>
  <w:style w:type="character" w:customStyle="1" w:styleId="56">
    <w:name w:val="font161"/>
    <w:basedOn w:val="21"/>
    <w:qFormat/>
    <w:uiPriority w:val="0"/>
    <w:rPr>
      <w:rFonts w:hint="eastAsia" w:ascii="宋体" w:hAnsi="宋体" w:eastAsia="宋体" w:cs="宋体"/>
      <w:color w:val="000000"/>
      <w:sz w:val="18"/>
      <w:szCs w:val="18"/>
      <w:u w:val="none"/>
    </w:rPr>
  </w:style>
  <w:style w:type="character" w:customStyle="1" w:styleId="57">
    <w:name w:val="font171"/>
    <w:basedOn w:val="21"/>
    <w:qFormat/>
    <w:uiPriority w:val="0"/>
    <w:rPr>
      <w:rFonts w:hint="eastAsia" w:ascii="宋体" w:hAnsi="宋体" w:eastAsia="宋体" w:cs="宋体"/>
      <w:color w:val="000000"/>
      <w:sz w:val="12"/>
      <w:szCs w:val="12"/>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20.png"/><Relationship Id="rId34" Type="http://schemas.openxmlformats.org/officeDocument/2006/relationships/image" Target="media/image19.png"/><Relationship Id="rId33" Type="http://schemas.openxmlformats.org/officeDocument/2006/relationships/image" Target="media/image18.png"/><Relationship Id="rId32" Type="http://schemas.openxmlformats.org/officeDocument/2006/relationships/image" Target="media/image17.png"/><Relationship Id="rId31" Type="http://schemas.openxmlformats.org/officeDocument/2006/relationships/image" Target="media/image16.png"/><Relationship Id="rId30" Type="http://schemas.openxmlformats.org/officeDocument/2006/relationships/image" Target="media/image15.png"/><Relationship Id="rId3" Type="http://schemas.openxmlformats.org/officeDocument/2006/relationships/header" Target="header1.xml"/><Relationship Id="rId29" Type="http://schemas.openxmlformats.org/officeDocument/2006/relationships/image" Target="media/image14.png"/><Relationship Id="rId28" Type="http://schemas.openxmlformats.org/officeDocument/2006/relationships/image" Target="media/image13.png"/><Relationship Id="rId27" Type="http://schemas.openxmlformats.org/officeDocument/2006/relationships/image" Target="media/image12.png"/><Relationship Id="rId26" Type="http://schemas.openxmlformats.org/officeDocument/2006/relationships/image" Target="media/image11.png"/><Relationship Id="rId25"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image" Target="media/image7.png"/><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chart" Target="charts/chart8.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image" Target="media/image1.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4"/>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[决算公开分析图表.xls]Sheet1!$A$3:$B$3</c:f>
              <c:strCache>
                <c:ptCount val="2"/>
                <c:pt idx="0">
                  <c:v>2022年</c:v>
                </c:pt>
                <c:pt idx="1">
                  <c:v>2023年</c:v>
                </c:pt>
              </c:strCache>
            </c:strRef>
          </c:cat>
          <c:val>
            <c:numRef>
              <c:f>[决算公开分析图表.xls]Sheet1!$A$4:$B$4</c:f>
              <c:numCache>
                <c:formatCode>#,##0.00</c:formatCode>
                <c:ptCount val="2"/>
                <c:pt idx="0">
                  <c:v>1799.82</c:v>
                </c:pt>
                <c:pt idx="1">
                  <c:v>1410</c:v>
                </c:pt>
              </c:numCache>
            </c:numRef>
          </c:val>
        </c:ser>
        <c:dLbls>
          <c:showLegendKey val="0"/>
          <c:showVal val="0"/>
          <c:showCatName val="0"/>
          <c:showSerName val="0"/>
          <c:showPercent val="0"/>
          <c:showBubbleSize val="0"/>
        </c:dLbls>
        <c:gapWidth val="219"/>
        <c:overlap val="-27"/>
        <c:axId val="98129024"/>
        <c:axId val="98130560"/>
      </c:barChart>
      <c:catAx>
        <c:axId val="9812902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130560"/>
        <c:crosses val="autoZero"/>
        <c:auto val="1"/>
        <c:lblAlgn val="ctr"/>
        <c:lblOffset val="100"/>
        <c:noMultiLvlLbl val="0"/>
      </c:catAx>
      <c:valAx>
        <c:axId val="9813056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129024"/>
        <c:crosses val="autoZero"/>
        <c:crossBetween val="between"/>
      </c:valAx>
      <c:spPr>
        <a:noFill/>
        <a:ln>
          <a:noFill/>
        </a:ln>
        <a:effectLst/>
      </c:spPr>
    </c:plotArea>
    <c:plotVisOnly val="1"/>
    <c:dispBlanksAs val="gap"/>
    <c:showDLblsOverMax val="0"/>
    <c:extLst>
      <c:ext uri="{0b15fc19-7d7d-44ad-8c2d-2c3a37ce22c3}">
        <chartProps xmlns="https://web.wps.cn/et/2018/main" chartId="{1d3949ea-a498-4aaa-9dc7-2e36eba88b08}"/>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[决算公开分析图表.xls]Sheet1!$A$24:$B$24</c:f>
              <c:strCache>
                <c:ptCount val="2"/>
                <c:pt idx="0">
                  <c:v>2022年</c:v>
                </c:pt>
                <c:pt idx="1">
                  <c:v>2023年</c:v>
                </c:pt>
              </c:strCache>
            </c:strRef>
          </c:cat>
          <c:val>
            <c:numRef>
              <c:f>[决算公开分析图表.xls]Sheet1!$A$25:$B$25</c:f>
              <c:numCache>
                <c:formatCode>#,##0.00</c:formatCode>
                <c:ptCount val="2"/>
                <c:pt idx="0">
                  <c:v>1799.82</c:v>
                </c:pt>
                <c:pt idx="1">
                  <c:v>1410</c:v>
                </c:pt>
              </c:numCache>
            </c:numRef>
          </c:val>
        </c:ser>
        <c:dLbls>
          <c:showLegendKey val="0"/>
          <c:showVal val="0"/>
          <c:showCatName val="0"/>
          <c:showSerName val="0"/>
          <c:showPercent val="0"/>
          <c:showBubbleSize val="0"/>
        </c:dLbls>
        <c:gapWidth val="219"/>
        <c:overlap val="-27"/>
        <c:axId val="98159232"/>
        <c:axId val="98165120"/>
      </c:barChart>
      <c:catAx>
        <c:axId val="9815923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165120"/>
        <c:crosses val="autoZero"/>
        <c:auto val="1"/>
        <c:lblAlgn val="ctr"/>
        <c:lblOffset val="100"/>
        <c:noMultiLvlLbl val="0"/>
      </c:catAx>
      <c:valAx>
        <c:axId val="9816512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159232"/>
        <c:crosses val="autoZero"/>
        <c:crossBetween val="between"/>
      </c:valAx>
      <c:spPr>
        <a:noFill/>
        <a:ln>
          <a:noFill/>
        </a:ln>
        <a:effectLst/>
      </c:spPr>
    </c:plotArea>
    <c:plotVisOnly val="1"/>
    <c:dispBlanksAs val="gap"/>
    <c:showDLblsOverMax val="0"/>
    <c:extLst>
      <c:ext uri="{0b15fc19-7d7d-44ad-8c2d-2c3a37ce22c3}">
        <chartProps xmlns="https://web.wps.cn/et/2018/main" chartId="{4453848f-ba88-4fd9-8a2c-12a85791edbd}"/>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[决算公开分析图表.xls]Sheet1!$C$58:$C$62</c:f>
              <c:strCache>
                <c:ptCount val="5"/>
                <c:pt idx="0">
                  <c:v>基本支出</c:v>
                </c:pt>
                <c:pt idx="1">
                  <c:v>项目支出</c:v>
                </c:pt>
                <c:pt idx="2">
                  <c:v>上缴上级支出</c:v>
                </c:pt>
                <c:pt idx="3">
                  <c:v>经营支出</c:v>
                </c:pt>
                <c:pt idx="4">
                  <c:v>对附属单位补助支出</c:v>
                </c:pt>
              </c:strCache>
            </c:strRef>
          </c:cat>
          <c:val>
            <c:numRef>
              <c:f>[决算公开分析图表.xls]Sheet1!$D$58:$D$62</c:f>
              <c:numCache>
                <c:formatCode>#,##0.00</c:formatCode>
                <c:ptCount val="5"/>
                <c:pt idx="0">
                  <c:v>838.99</c:v>
                </c:pt>
                <c:pt idx="1">
                  <c:v>571.01</c:v>
                </c:pt>
                <c:pt idx="2" c:formatCode="General">
                  <c:v>0</c:v>
                </c:pt>
                <c:pt idx="3" c:formatCode="General">
                  <c:v>0</c:v>
                </c:pt>
                <c:pt idx="4" c:formatCode="General">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220883534136546"/>
          <c:y val="0.894951852932594"/>
          <c:w val="0.928328699413037"/>
          <c:h val="0.096002334403268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a0010e12-5106-442b-b950-be46f3df9e3e}"/>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[决算公开分析图表.xls]Sheet1!$A$83:$B$83</c:f>
              <c:strCache>
                <c:ptCount val="2"/>
                <c:pt idx="0">
                  <c:v>2022年</c:v>
                </c:pt>
                <c:pt idx="1">
                  <c:v>2023年</c:v>
                </c:pt>
              </c:strCache>
            </c:strRef>
          </c:cat>
          <c:val>
            <c:numRef>
              <c:f>[决算公开分析图表.xls]Sheet1!$A$84:$B$84</c:f>
              <c:numCache>
                <c:formatCode>#,##0.00</c:formatCode>
                <c:ptCount val="2"/>
                <c:pt idx="0">
                  <c:v>1799.82</c:v>
                </c:pt>
                <c:pt idx="1">
                  <c:v>1410</c:v>
                </c:pt>
              </c:numCache>
            </c:numRef>
          </c:val>
        </c:ser>
        <c:dLbls>
          <c:showLegendKey val="0"/>
          <c:showVal val="0"/>
          <c:showCatName val="0"/>
          <c:showSerName val="0"/>
          <c:showPercent val="0"/>
          <c:showBubbleSize val="0"/>
        </c:dLbls>
        <c:gapWidth val="219"/>
        <c:overlap val="-27"/>
        <c:axId val="85757952"/>
        <c:axId val="85759488"/>
      </c:barChart>
      <c:catAx>
        <c:axId val="8575795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5759488"/>
        <c:crosses val="autoZero"/>
        <c:auto val="1"/>
        <c:lblAlgn val="ctr"/>
        <c:lblOffset val="100"/>
        <c:noMultiLvlLbl val="0"/>
      </c:catAx>
      <c:valAx>
        <c:axId val="8575948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5757952"/>
        <c:crosses val="autoZero"/>
        <c:crossBetween val="between"/>
      </c:valAx>
      <c:spPr>
        <a:noFill/>
        <a:ln>
          <a:noFill/>
        </a:ln>
        <a:effectLst/>
      </c:spPr>
    </c:plotArea>
    <c:plotVisOnly val="1"/>
    <c:dispBlanksAs val="gap"/>
    <c:showDLblsOverMax val="0"/>
    <c:extLst>
      <c:ext uri="{0b15fc19-7d7d-44ad-8c2d-2c3a37ce22c3}">
        <chartProps xmlns="https://web.wps.cn/et/2018/main" chartId="{2edaef76-ead8-480e-94bf-0425a131cb73}"/>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[决算公开分析图表.xls]Sheet1!$A$100:$B$100</c:f>
              <c:strCache>
                <c:ptCount val="2"/>
                <c:pt idx="0">
                  <c:v>2022年</c:v>
                </c:pt>
                <c:pt idx="1">
                  <c:v>2023年</c:v>
                </c:pt>
              </c:strCache>
            </c:strRef>
          </c:cat>
          <c:val>
            <c:numRef>
              <c:f>[决算公开分析图表.xls]Sheet1!$A$101:$B$101</c:f>
              <c:numCache>
                <c:formatCode>#,##0.00</c:formatCode>
                <c:ptCount val="2"/>
                <c:pt idx="0">
                  <c:v>1799.82</c:v>
                </c:pt>
                <c:pt idx="1">
                  <c:v>1410</c:v>
                </c:pt>
              </c:numCache>
            </c:numRef>
          </c:val>
        </c:ser>
        <c:dLbls>
          <c:showLegendKey val="0"/>
          <c:showVal val="0"/>
          <c:showCatName val="0"/>
          <c:showSerName val="0"/>
          <c:showPercent val="0"/>
          <c:showBubbleSize val="0"/>
        </c:dLbls>
        <c:gapWidth val="219"/>
        <c:overlap val="-27"/>
        <c:axId val="99554432"/>
        <c:axId val="99555968"/>
      </c:barChart>
      <c:catAx>
        <c:axId val="9955443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555968"/>
        <c:crosses val="autoZero"/>
        <c:auto val="1"/>
        <c:lblAlgn val="ctr"/>
        <c:lblOffset val="100"/>
        <c:noMultiLvlLbl val="0"/>
      </c:catAx>
      <c:valAx>
        <c:axId val="9955596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554432"/>
        <c:crosses val="autoZero"/>
        <c:crossBetween val="between"/>
      </c:valAx>
      <c:spPr>
        <a:noFill/>
        <a:ln>
          <a:noFill/>
        </a:ln>
        <a:effectLst/>
      </c:spPr>
    </c:plotArea>
    <c:plotVisOnly val="1"/>
    <c:dispBlanksAs val="gap"/>
    <c:showDLblsOverMax val="0"/>
    <c:extLst>
      <c:ext uri="{0b15fc19-7d7d-44ad-8c2d-2c3a37ce22c3}">
        <chartProps xmlns="https://web.wps.cn/et/2018/main" chartId="{83ad8ffa-df40-434c-bf9e-cfbfe90db59e}"/>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[决算公开分析图表.xls]Sheet1!$A$116:$B$116</c:f>
              <c:strCache>
                <c:ptCount val="2"/>
                <c:pt idx="0">
                  <c:v>2022年</c:v>
                </c:pt>
                <c:pt idx="1">
                  <c:v>2023年</c:v>
                </c:pt>
              </c:strCache>
            </c:strRef>
          </c:cat>
          <c:val>
            <c:numRef>
              <c:f>[决算公开分析图表.xls]Sheet1!$A$117:$B$117</c:f>
              <c:numCache>
                <c:formatCode>#,##0.00</c:formatCode>
                <c:ptCount val="2"/>
                <c:pt idx="0">
                  <c:v>1799.82</c:v>
                </c:pt>
                <c:pt idx="1">
                  <c:v>1410</c:v>
                </c:pt>
              </c:numCache>
            </c:numRef>
          </c:val>
        </c:ser>
        <c:dLbls>
          <c:showLegendKey val="0"/>
          <c:showVal val="0"/>
          <c:showCatName val="0"/>
          <c:showSerName val="0"/>
          <c:showPercent val="0"/>
          <c:showBubbleSize val="0"/>
        </c:dLbls>
        <c:gapWidth val="219"/>
        <c:overlap val="-27"/>
        <c:axId val="99588352"/>
        <c:axId val="99606528"/>
      </c:barChart>
      <c:catAx>
        <c:axId val="9958835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606528"/>
        <c:crosses val="autoZero"/>
        <c:auto val="1"/>
        <c:lblAlgn val="ctr"/>
        <c:lblOffset val="100"/>
        <c:noMultiLvlLbl val="0"/>
      </c:catAx>
      <c:valAx>
        <c:axId val="9960652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588352"/>
        <c:crosses val="autoZero"/>
        <c:crossBetween val="between"/>
      </c:valAx>
      <c:spPr>
        <a:noFill/>
        <a:ln>
          <a:noFill/>
        </a:ln>
        <a:effectLst/>
      </c:spPr>
    </c:plotArea>
    <c:plotVisOnly val="1"/>
    <c:dispBlanksAs val="gap"/>
    <c:showDLblsOverMax val="0"/>
    <c:extLst>
      <c:ext uri="{0b15fc19-7d7d-44ad-8c2d-2c3a37ce22c3}">
        <chartProps xmlns="https://web.wps.cn/et/2018/main" chartId="{1984742c-ccb8-4889-a010-0c50afb1c407}"/>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dPt>
          <c:dPt>
            <c:idx val="5"/>
            <c:bubble3D val="0"/>
          </c:dPt>
          <c:dLbls>
            <c:delete val="1"/>
          </c:dLbls>
          <c:cat>
            <c:strRef>
              <c:f>[决算公开分析图表.xls]Sheet1!$C$140:$C$145</c:f>
              <c:strCache>
                <c:ptCount val="6"/>
                <c:pt idx="0">
                  <c:v>教育支出</c:v>
                </c:pt>
                <c:pt idx="1">
                  <c:v>一般公共服务支出</c:v>
                </c:pt>
                <c:pt idx="2">
                  <c:v>社会保障和就业支出</c:v>
                </c:pt>
                <c:pt idx="3">
                  <c:v>卫生健康支出</c:v>
                </c:pt>
                <c:pt idx="4">
                  <c:v>住房保障支出</c:v>
                </c:pt>
                <c:pt idx="5">
                  <c:v>农林水支出</c:v>
                </c:pt>
              </c:strCache>
            </c:strRef>
          </c:cat>
          <c:val>
            <c:numRef>
              <c:f>[决算公开分析图表.xls]Sheet1!$D$140:$D$145</c:f>
              <c:numCache>
                <c:formatCode>General</c:formatCode>
                <c:ptCount val="6"/>
                <c:pt idx="0">
                  <c:v>153.84</c:v>
                </c:pt>
                <c:pt idx="1" c:formatCode="#,##0.00">
                  <c:v>1025.69</c:v>
                </c:pt>
                <c:pt idx="2" c:formatCode="#,##0.00">
                  <c:v>132.28</c:v>
                </c:pt>
                <c:pt idx="3" c:formatCode="#,##0.00">
                  <c:v>41.1</c:v>
                </c:pt>
                <c:pt idx="4" c:formatCode="#,##0.00">
                  <c:v>51.4</c:v>
                </c:pt>
                <c:pt idx="5" c:formatCode="#,##0.00">
                  <c:v>5.69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96b3d14e-55a1-49f7-9b74-62a2598a0b64}"/>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[决算公开分析图表.xls]Sheet1!$A$166:$A$168</c:f>
              <c:strCache>
                <c:ptCount val="3"/>
                <c:pt idx="0">
                  <c:v>因公出国（境）费</c:v>
                </c:pt>
                <c:pt idx="1">
                  <c:v>公务接待费</c:v>
                </c:pt>
                <c:pt idx="2">
                  <c:v>公务用车购置及运行维护费</c:v>
                </c:pt>
              </c:strCache>
            </c:strRef>
          </c:cat>
          <c:val>
            <c:numRef>
              <c:f>[决算公开分析图表.xls]Sheet1!$B$166:$B$168</c:f>
              <c:numCache>
                <c:formatCode>General</c:formatCode>
                <c:ptCount val="3"/>
                <c:pt idx="0">
                  <c:v>0</c:v>
                </c:pt>
                <c:pt idx="1">
                  <c:v>0</c:v>
                </c:pt>
                <c:pt idx="2">
                  <c:v>15.91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329715620277511"/>
          <c:y val="0.894993894993895"/>
          <c:w val="0.928698997114988"/>
          <c:h val="0.077533577533577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192cbace-c824-4c5f-afa9-67579c2cee97}"/>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54</Pages>
  <Words>12249</Words>
  <Characters>13100</Characters>
  <Lines>24</Lines>
  <Paragraphs>30</Paragraphs>
  <TotalTime>6</TotalTime>
  <ScaleCrop>false</ScaleCrop>
  <LinksUpToDate>false</LinksUpToDate>
  <CharactersWithSpaces>13213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2022-08-19T11:00:00Z</dcterms:created>
  <dc:creator>曹颖</dc:creator>
  <cp:lastModifiedBy>芳*枫桉楠㭎</cp:lastModifiedBy>
  <cp:lastPrinted>2025-04-17T11:08:00Z</cp:lastPrinted>
  <dcterms:modified xsi:type="dcterms:W3CDTF">2025-04-25T07:42:21Z</dcterms:modified>
  <dc:title>四川省***</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28F83EDF7B3248C2BD59397D4F59BCAB_13</vt:lpwstr>
  </property>
  <property fmtid="{D5CDD505-2E9C-101B-9397-08002B2CF9AE}" pid="4" name="KSOTemplateDocerSaveRecord">
    <vt:lpwstr>eyJoZGlkIjoiN2QzZjk4ZmI4YzUyY2NiZTM5YjJkNjVmMjg0M2I1ODciLCJ1c2VySWQiOiIxMTY4OTk3MTIzIn0=</vt:lpwstr>
  </property>
</Properties>
</file>