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A0F654">
      <w:pPr>
        <w:spacing w:line="600" w:lineRule="exact"/>
        <w:jc w:val="center"/>
        <w:rPr>
          <w:rFonts w:hint="eastAsia" w:ascii="方正小标宋简体" w:hAnsi="宋体" w:eastAsia="方正小标宋简体"/>
          <w:sz w:val="72"/>
          <w:szCs w:val="72"/>
        </w:rPr>
      </w:pPr>
      <w:bookmarkStart w:id="0" w:name="_Toc15377193"/>
      <w:bookmarkStart w:id="1" w:name="_Toc15378441"/>
      <w:bookmarkStart w:id="2" w:name="_Toc15396597"/>
      <w:bookmarkStart w:id="3" w:name="_Toc15396475"/>
      <w:bookmarkStart w:id="4" w:name="_Toc15377425"/>
      <w:bookmarkStart w:id="5" w:name="_Toc15306267"/>
    </w:p>
    <w:p w14:paraId="491B1D91">
      <w:pPr>
        <w:spacing w:line="600" w:lineRule="exact"/>
        <w:jc w:val="center"/>
        <w:rPr>
          <w:rFonts w:eastAsia="方正小标宋简体"/>
          <w:sz w:val="72"/>
          <w:szCs w:val="72"/>
        </w:rPr>
      </w:pPr>
    </w:p>
    <w:p w14:paraId="4D187E7E">
      <w:pPr>
        <w:spacing w:line="600" w:lineRule="exact"/>
        <w:jc w:val="center"/>
        <w:rPr>
          <w:rFonts w:eastAsia="方正小标宋简体"/>
          <w:sz w:val="72"/>
          <w:szCs w:val="72"/>
        </w:rPr>
      </w:pPr>
    </w:p>
    <w:p w14:paraId="06FC7B94">
      <w:pPr>
        <w:spacing w:line="600" w:lineRule="exact"/>
        <w:jc w:val="center"/>
        <w:rPr>
          <w:rFonts w:eastAsia="方正小标宋简体"/>
          <w:sz w:val="72"/>
          <w:szCs w:val="72"/>
        </w:rPr>
      </w:pPr>
    </w:p>
    <w:bookmarkEnd w:id="0"/>
    <w:bookmarkEnd w:id="1"/>
    <w:bookmarkEnd w:id="2"/>
    <w:bookmarkEnd w:id="3"/>
    <w:bookmarkEnd w:id="4"/>
    <w:p w14:paraId="2D1243AF">
      <w:pPr>
        <w:adjustRightInd w:val="0"/>
        <w:snapToGrid w:val="0"/>
        <w:spacing w:line="360" w:lineRule="auto"/>
        <w:jc w:val="center"/>
        <w:rPr>
          <w:rFonts w:eastAsia="方正小标宋_GBK"/>
          <w:b/>
          <w:bCs/>
          <w:sz w:val="52"/>
          <w:szCs w:val="52"/>
        </w:rPr>
      </w:pPr>
      <w:r>
        <w:rPr>
          <w:rFonts w:hint="eastAsia" w:eastAsia="方正小标宋_GBK"/>
          <w:b/>
          <w:bCs/>
          <w:sz w:val="52"/>
          <w:szCs w:val="52"/>
        </w:rPr>
        <w:t>202</w:t>
      </w:r>
      <w:r>
        <w:rPr>
          <w:rFonts w:hint="eastAsia" w:eastAsia="方正小标宋_GBK"/>
          <w:b/>
          <w:bCs/>
          <w:sz w:val="52"/>
          <w:szCs w:val="52"/>
          <w:lang w:val="en-US" w:eastAsia="zh-CN"/>
        </w:rPr>
        <w:t>4</w:t>
      </w:r>
      <w:r>
        <w:rPr>
          <w:rFonts w:eastAsia="方正小标宋_GBK"/>
          <w:b/>
          <w:bCs/>
          <w:sz w:val="52"/>
          <w:szCs w:val="52"/>
        </w:rPr>
        <w:t>年度</w:t>
      </w:r>
    </w:p>
    <w:bookmarkEnd w:id="5"/>
    <w:p w14:paraId="3329291F">
      <w:pPr>
        <w:adjustRightInd w:val="0"/>
        <w:snapToGrid w:val="0"/>
        <w:spacing w:line="360" w:lineRule="auto"/>
        <w:jc w:val="center"/>
        <w:outlineLvl w:val="0"/>
        <w:rPr>
          <w:rFonts w:eastAsia="方正小标宋_GBK"/>
          <w:b/>
          <w:bCs/>
          <w:sz w:val="52"/>
          <w:szCs w:val="52"/>
        </w:rPr>
      </w:pPr>
      <w:bookmarkStart w:id="6" w:name="_Toc10976"/>
      <w:bookmarkStart w:id="7" w:name="_Toc31164"/>
      <w:bookmarkStart w:id="8" w:name="_Toc15377426"/>
      <w:bookmarkStart w:id="9" w:name="_Toc15396476"/>
      <w:bookmarkStart w:id="10" w:name="_Toc15378442"/>
      <w:bookmarkStart w:id="11" w:name="_Toc15306268"/>
      <w:bookmarkStart w:id="12" w:name="_Toc15396598"/>
      <w:bookmarkStart w:id="13" w:name="_Toc15377194"/>
      <w:r>
        <w:rPr>
          <w:rFonts w:eastAsia="方正小标宋_GBK"/>
          <w:b/>
          <w:bCs/>
          <w:sz w:val="52"/>
          <w:szCs w:val="52"/>
        </w:rPr>
        <w:t>中共阿坝州壤塘县委员会组织部</w:t>
      </w:r>
      <w:bookmarkEnd w:id="6"/>
      <w:bookmarkEnd w:id="7"/>
    </w:p>
    <w:p w14:paraId="78682368">
      <w:pPr>
        <w:adjustRightInd w:val="0"/>
        <w:snapToGrid w:val="0"/>
        <w:spacing w:line="360" w:lineRule="auto"/>
        <w:jc w:val="center"/>
        <w:rPr>
          <w:rFonts w:eastAsia="方正小标宋_GBK"/>
          <w:b/>
          <w:bCs/>
          <w:sz w:val="52"/>
          <w:szCs w:val="52"/>
        </w:rPr>
      </w:pPr>
      <w:r>
        <w:rPr>
          <w:rFonts w:eastAsia="方正小标宋_GBK"/>
          <w:b/>
          <w:bCs/>
          <w:sz w:val="52"/>
          <w:szCs w:val="52"/>
        </w:rPr>
        <w:t>部门决算</w:t>
      </w:r>
      <w:bookmarkEnd w:id="8"/>
      <w:bookmarkEnd w:id="9"/>
      <w:bookmarkEnd w:id="10"/>
      <w:bookmarkEnd w:id="11"/>
      <w:bookmarkEnd w:id="12"/>
      <w:bookmarkEnd w:id="13"/>
    </w:p>
    <w:p w14:paraId="2206B636">
      <w:pPr>
        <w:pStyle w:val="15"/>
        <w:rPr>
          <w:rFonts w:ascii="Times New Roman" w:hAnsi="Times New Roman" w:eastAsia="方正小标宋简体"/>
          <w:sz w:val="36"/>
          <w:szCs w:val="36"/>
        </w:rPr>
      </w:pPr>
      <w:r>
        <w:rPr>
          <w:rFonts w:ascii="Times New Roman" w:hAnsi="Times New Roman" w:eastAsia="方正小标宋简体"/>
          <w:sz w:val="36"/>
          <w:szCs w:val="36"/>
        </w:rPr>
        <w:br w:type="page"/>
      </w:r>
    </w:p>
    <w:p w14:paraId="65AA58A5">
      <w:pPr>
        <w:jc w:val="left"/>
      </w:pPr>
    </w:p>
    <w:sdt>
      <w:sdtPr>
        <w:rPr>
          <w:rFonts w:ascii="宋体" w:hAnsi="宋体"/>
          <w:sz w:val="44"/>
          <w:szCs w:val="52"/>
        </w:rPr>
        <w:id w:val="147460818"/>
        <w:docPartObj>
          <w:docPartGallery w:val="Table of Contents"/>
          <w:docPartUnique/>
        </w:docPartObj>
      </w:sdtPr>
      <w:sdtEndPr>
        <w:rPr>
          <w:rFonts w:ascii="宋体" w:hAnsi="宋体"/>
          <w:b/>
          <w:sz w:val="44"/>
          <w:szCs w:val="52"/>
        </w:rPr>
      </w:sdtEndPr>
      <w:sdtContent>
        <w:p w14:paraId="0FBED05D">
          <w:pPr>
            <w:jc w:val="center"/>
            <w:rPr>
              <w:sz w:val="44"/>
              <w:szCs w:val="52"/>
            </w:rPr>
          </w:pPr>
          <w:bookmarkStart w:id="14" w:name="_Toc31844"/>
          <w:r>
            <w:rPr>
              <w:rFonts w:ascii="宋体" w:hAnsi="宋体"/>
              <w:sz w:val="44"/>
              <w:szCs w:val="52"/>
            </w:rPr>
            <w:t>目录</w:t>
          </w:r>
        </w:p>
        <w:p w14:paraId="78E144FC">
          <w:pPr>
            <w:pStyle w:val="45"/>
            <w:tabs>
              <w:tab w:val="right" w:leader="dot" w:pos="8306"/>
            </w:tabs>
            <w:jc w:val="center"/>
            <w:rPr>
              <w:color w:val="000000" w:themeColor="text1"/>
              <w14:textFill>
                <w14:solidFill>
                  <w14:schemeClr w14:val="tx1"/>
                </w14:solidFill>
              </w14:textFill>
            </w:rPr>
          </w:pPr>
          <w:r>
            <w:rPr>
              <w:rFonts w:hint="eastAsia"/>
              <w:color w:val="000000" w:themeColor="text1"/>
              <w:sz w:val="24"/>
              <w:szCs w:val="24"/>
              <w14:textFill>
                <w14:solidFill>
                  <w14:schemeClr w14:val="tx1"/>
                </w14:solidFill>
              </w14:textFill>
            </w:rPr>
            <w:t>公开时间： 202</w:t>
          </w:r>
          <w:r>
            <w:rPr>
              <w:rFonts w:hint="eastAsia"/>
              <w:color w:val="000000" w:themeColor="text1"/>
              <w:sz w:val="24"/>
              <w:szCs w:val="24"/>
              <w:lang w:val="en-US" w:eastAsia="zh-CN"/>
              <w14:textFill>
                <w14:solidFill>
                  <w14:schemeClr w14:val="tx1"/>
                </w14:solidFill>
              </w14:textFill>
            </w:rPr>
            <w:t>5</w:t>
          </w:r>
          <w:r>
            <w:rPr>
              <w:rFonts w:hint="eastAsia"/>
              <w:color w:val="000000" w:themeColor="text1"/>
              <w:sz w:val="24"/>
              <w:szCs w:val="24"/>
              <w14:textFill>
                <w14:solidFill>
                  <w14:schemeClr w14:val="tx1"/>
                </w14:solidFill>
              </w14:textFill>
            </w:rPr>
            <w:t>年10月</w:t>
          </w:r>
          <w:r>
            <w:rPr>
              <w:rFonts w:hint="eastAsia"/>
              <w:color w:val="000000" w:themeColor="text1"/>
              <w:sz w:val="24"/>
              <w:szCs w:val="24"/>
              <w:lang w:val="en-US" w:eastAsia="zh-CN"/>
              <w14:textFill>
                <w14:solidFill>
                  <w14:schemeClr w14:val="tx1"/>
                </w14:solidFill>
              </w14:textFill>
            </w:rPr>
            <w:t>24</w:t>
          </w:r>
          <w:r>
            <w:rPr>
              <w:rFonts w:hint="eastAsia"/>
              <w:color w:val="000000" w:themeColor="text1"/>
              <w:sz w:val="24"/>
              <w:szCs w:val="24"/>
              <w14:textFill>
                <w14:solidFill>
                  <w14:schemeClr w14:val="tx1"/>
                </w14:solidFill>
              </w14:textFill>
            </w:rPr>
            <w:t>日</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TOC \o "1-2" \h \u </w:instrText>
          </w:r>
          <w:r>
            <w:rPr>
              <w:color w:val="000000" w:themeColor="text1"/>
              <w14:textFill>
                <w14:solidFill>
                  <w14:schemeClr w14:val="tx1"/>
                </w14:solidFill>
              </w14:textFill>
            </w:rPr>
            <w:fldChar w:fldCharType="separate"/>
          </w:r>
        </w:p>
        <w:p w14:paraId="76DCBD81">
          <w:pPr>
            <w:pStyle w:val="15"/>
            <w:tabs>
              <w:tab w:val="right" w:leader="dot" w:pos="8306"/>
              <w:tab w:val="clear"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"_Toc9546" </w:instrText>
          </w:r>
          <w:r>
            <w:rPr>
              <w:color w:val="000000" w:themeColor="text1"/>
              <w14:textFill>
                <w14:solidFill>
                  <w14:schemeClr w14:val="tx1"/>
                </w14:solidFill>
              </w14:textFill>
            </w:rPr>
            <w:fldChar w:fldCharType="separate"/>
          </w:r>
          <w:r>
            <w:rPr>
              <w:rFonts w:hint="eastAsia" w:ascii="黑体" w:hAnsi="黑体" w:eastAsia="黑体" w:cs="黑体"/>
              <w:color w:val="000000" w:themeColor="text1"/>
              <w:szCs w:val="32"/>
              <w14:textFill>
                <w14:solidFill>
                  <w14:schemeClr w14:val="tx1"/>
                </w14:solidFill>
              </w14:textFill>
            </w:rPr>
            <w:t>第一部分 部门概况</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_Toc9546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03F38D42">
          <w:pPr>
            <w:pStyle w:val="18"/>
            <w:tabs>
              <w:tab w:val="right" w:leader="dot" w:pos="8306"/>
              <w:tab w:val="clear" w:pos="8296"/>
            </w:tabs>
            <w:rPr>
              <w:rFonts w:ascii="仿宋" w:hAnsi="仿宋" w:eastAsia="仿宋" w:cs="仿宋"/>
              <w:color w:val="000000" w:themeColor="text1"/>
              <w:sz w:val="28"/>
              <w:szCs w:val="28"/>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"_Toc24494" </w:instrText>
          </w:r>
          <w:r>
            <w:rPr>
              <w:color w:val="000000" w:themeColor="text1"/>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一、</w:t>
          </w:r>
          <w:r>
            <w:rPr>
              <w:rFonts w:hint="eastAsia" w:ascii="仿宋" w:hAnsi="仿宋" w:eastAsia="仿宋" w:cs="仿宋"/>
              <w:color w:val="000000" w:themeColor="text1"/>
              <w:sz w:val="28"/>
              <w:szCs w:val="28"/>
              <w14:textFill>
                <w14:solidFill>
                  <w14:schemeClr w14:val="tx1"/>
                </w14:solidFill>
              </w14:textFill>
            </w:rPr>
            <w:t>部门职责</w:t>
          </w:r>
          <w:r>
            <w:rPr>
              <w:rFonts w:hint="eastAsia" w:ascii="仿宋" w:hAnsi="仿宋" w:eastAsia="仿宋" w:cs="仿宋"/>
              <w:color w:val="000000" w:themeColor="text1"/>
              <w:sz w:val="28"/>
              <w:szCs w:val="28"/>
              <w14:textFill>
                <w14:solidFill>
                  <w14:schemeClr w14:val="tx1"/>
                </w14:solidFill>
              </w14:textFill>
            </w:rPr>
            <w:tab/>
          </w:r>
          <w:r>
            <w:rPr>
              <w:rFonts w:hint="eastAsia" w:ascii="仿宋" w:hAnsi="仿宋" w:eastAsia="仿宋" w:cs="仿宋"/>
              <w:color w:val="000000" w:themeColor="text1"/>
              <w:sz w:val="28"/>
              <w:szCs w:val="28"/>
              <w14:textFill>
                <w14:solidFill>
                  <w14:schemeClr w14:val="tx1"/>
                </w14:solidFill>
              </w14:textFill>
            </w:rPr>
            <w:fldChar w:fldCharType="begin"/>
          </w:r>
          <w:r>
            <w:rPr>
              <w:rFonts w:hint="eastAsia" w:ascii="仿宋" w:hAnsi="仿宋" w:eastAsia="仿宋" w:cs="仿宋"/>
              <w:color w:val="000000" w:themeColor="text1"/>
              <w:sz w:val="28"/>
              <w:szCs w:val="28"/>
              <w14:textFill>
                <w14:solidFill>
                  <w14:schemeClr w14:val="tx1"/>
                </w14:solidFill>
              </w14:textFill>
            </w:rPr>
            <w:instrText xml:space="preserve"> PAGEREF _Toc24494 \h </w:instrText>
          </w:r>
          <w:r>
            <w:rPr>
              <w:rFonts w:hint="eastAsia" w:ascii="仿宋" w:hAnsi="仿宋" w:eastAsia="仿宋" w:cs="仿宋"/>
              <w:color w:val="000000" w:themeColor="text1"/>
              <w:sz w:val="28"/>
              <w:szCs w:val="28"/>
              <w14:textFill>
                <w14:solidFill>
                  <w14:schemeClr w14:val="tx1"/>
                </w14:solidFill>
              </w14:textFill>
            </w:rPr>
            <w:fldChar w:fldCharType="separate"/>
          </w:r>
          <w:r>
            <w:rPr>
              <w:rFonts w:hint="eastAsia" w:ascii="仿宋" w:hAnsi="仿宋" w:eastAsia="仿宋" w:cs="仿宋"/>
              <w:color w:val="000000" w:themeColor="text1"/>
              <w:sz w:val="28"/>
              <w:szCs w:val="28"/>
              <w14:textFill>
                <w14:solidFill>
                  <w14:schemeClr w14:val="tx1"/>
                </w14:solidFill>
              </w14:textFill>
            </w:rPr>
            <w:t>1</w:t>
          </w:r>
          <w:r>
            <w:rPr>
              <w:rFonts w:hint="eastAsia" w:ascii="仿宋" w:hAnsi="仿宋" w:eastAsia="仿宋" w:cs="仿宋"/>
              <w:color w:val="000000" w:themeColor="text1"/>
              <w:sz w:val="28"/>
              <w:szCs w:val="28"/>
              <w14:textFill>
                <w14:solidFill>
                  <w14:schemeClr w14:val="tx1"/>
                </w14:solidFill>
              </w14:textFill>
            </w:rPr>
            <w:fldChar w:fldCharType="end"/>
          </w:r>
          <w:r>
            <w:rPr>
              <w:rFonts w:hint="eastAsia" w:ascii="仿宋" w:hAnsi="仿宋" w:eastAsia="仿宋" w:cs="仿宋"/>
              <w:color w:val="000000" w:themeColor="text1"/>
              <w:sz w:val="28"/>
              <w:szCs w:val="28"/>
              <w14:textFill>
                <w14:solidFill>
                  <w14:schemeClr w14:val="tx1"/>
                </w14:solidFill>
              </w14:textFill>
            </w:rPr>
            <w:fldChar w:fldCharType="end"/>
          </w:r>
        </w:p>
        <w:p w14:paraId="6A2B1731">
          <w:pPr>
            <w:pStyle w:val="18"/>
            <w:tabs>
              <w:tab w:val="right" w:leader="dot" w:pos="8306"/>
              <w:tab w:val="clear"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"_Toc17290" </w:instrText>
          </w:r>
          <w:r>
            <w:rPr>
              <w:color w:val="000000" w:themeColor="text1"/>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二、机构设置</w:t>
          </w:r>
          <w:r>
            <w:rPr>
              <w:rFonts w:hint="eastAsia" w:ascii="仿宋" w:hAnsi="仿宋" w:eastAsia="仿宋" w:cs="仿宋"/>
              <w:color w:val="000000" w:themeColor="text1"/>
              <w:sz w:val="28"/>
              <w:szCs w:val="28"/>
              <w14:textFill>
                <w14:solidFill>
                  <w14:schemeClr w14:val="tx1"/>
                </w14:solidFill>
              </w14:textFill>
            </w:rPr>
            <w:tab/>
          </w:r>
          <w:r>
            <w:rPr>
              <w:rFonts w:hint="eastAsia" w:ascii="仿宋" w:hAnsi="仿宋" w:eastAsia="仿宋" w:cs="仿宋"/>
              <w:color w:val="000000" w:themeColor="text1"/>
              <w:sz w:val="28"/>
              <w:szCs w:val="28"/>
              <w14:textFill>
                <w14:solidFill>
                  <w14:schemeClr w14:val="tx1"/>
                </w14:solidFill>
              </w14:textFill>
            </w:rPr>
            <w:fldChar w:fldCharType="begin"/>
          </w:r>
          <w:r>
            <w:rPr>
              <w:rFonts w:hint="eastAsia" w:ascii="仿宋" w:hAnsi="仿宋" w:eastAsia="仿宋" w:cs="仿宋"/>
              <w:color w:val="000000" w:themeColor="text1"/>
              <w:sz w:val="28"/>
              <w:szCs w:val="28"/>
              <w14:textFill>
                <w14:solidFill>
                  <w14:schemeClr w14:val="tx1"/>
                </w14:solidFill>
              </w14:textFill>
            </w:rPr>
            <w:instrText xml:space="preserve"> PAGEREF _Toc17290 \h </w:instrText>
          </w:r>
          <w:r>
            <w:rPr>
              <w:rFonts w:hint="eastAsia" w:ascii="仿宋" w:hAnsi="仿宋" w:eastAsia="仿宋" w:cs="仿宋"/>
              <w:color w:val="000000" w:themeColor="text1"/>
              <w:sz w:val="28"/>
              <w:szCs w:val="28"/>
              <w14:textFill>
                <w14:solidFill>
                  <w14:schemeClr w14:val="tx1"/>
                </w14:solidFill>
              </w14:textFill>
            </w:rPr>
            <w:fldChar w:fldCharType="separate"/>
          </w:r>
          <w:r>
            <w:rPr>
              <w:rFonts w:hint="eastAsia" w:ascii="仿宋" w:hAnsi="仿宋" w:eastAsia="仿宋" w:cs="仿宋"/>
              <w:color w:val="000000" w:themeColor="text1"/>
              <w:sz w:val="28"/>
              <w:szCs w:val="28"/>
              <w14:textFill>
                <w14:solidFill>
                  <w14:schemeClr w14:val="tx1"/>
                </w14:solidFill>
              </w14:textFill>
            </w:rPr>
            <w:t>1</w:t>
          </w:r>
          <w:r>
            <w:rPr>
              <w:rFonts w:hint="eastAsia" w:ascii="仿宋" w:hAnsi="仿宋" w:eastAsia="仿宋" w:cs="仿宋"/>
              <w:color w:val="000000" w:themeColor="text1"/>
              <w:sz w:val="28"/>
              <w:szCs w:val="28"/>
              <w14:textFill>
                <w14:solidFill>
                  <w14:schemeClr w14:val="tx1"/>
                </w14:solidFill>
              </w14:textFill>
            </w:rPr>
            <w:fldChar w:fldCharType="end"/>
          </w:r>
          <w:r>
            <w:rPr>
              <w:rFonts w:hint="eastAsia" w:ascii="仿宋" w:hAnsi="仿宋" w:eastAsia="仿宋" w:cs="仿宋"/>
              <w:color w:val="000000" w:themeColor="text1"/>
              <w:sz w:val="28"/>
              <w:szCs w:val="28"/>
              <w14:textFill>
                <w14:solidFill>
                  <w14:schemeClr w14:val="tx1"/>
                </w14:solidFill>
              </w14:textFill>
            </w:rPr>
            <w:fldChar w:fldCharType="end"/>
          </w:r>
        </w:p>
        <w:p w14:paraId="24F988B5">
          <w:pPr>
            <w:pStyle w:val="15"/>
            <w:tabs>
              <w:tab w:val="right" w:leader="dot" w:pos="8306"/>
              <w:tab w:val="clear"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"_Toc16458" </w:instrText>
          </w:r>
          <w:r>
            <w:rPr>
              <w:color w:val="000000" w:themeColor="text1"/>
              <w14:textFill>
                <w14:solidFill>
                  <w14:schemeClr w14:val="tx1"/>
                </w14:solidFill>
              </w14:textFill>
            </w:rPr>
            <w:fldChar w:fldCharType="separate"/>
          </w:r>
          <w:r>
            <w:rPr>
              <w:rFonts w:hint="eastAsia" w:ascii="黑体" w:hAnsi="黑体" w:eastAsia="黑体" w:cs="黑体"/>
              <w:color w:val="000000" w:themeColor="text1"/>
              <w:szCs w:val="32"/>
              <w14:textFill>
                <w14:solidFill>
                  <w14:schemeClr w14:val="tx1"/>
                </w14:solidFill>
              </w14:textFill>
            </w:rPr>
            <w:t>第二部分 20</w:t>
          </w:r>
          <w:r>
            <w:rPr>
              <w:rFonts w:hint="eastAsia" w:ascii="黑体" w:hAnsi="黑体" w:eastAsia="黑体" w:cs="黑体"/>
              <w:color w:val="000000" w:themeColor="text1"/>
              <w:szCs w:val="32"/>
              <w:lang w:val="en-US" w:eastAsia="zh-CN"/>
              <w14:textFill>
                <w14:solidFill>
                  <w14:schemeClr w14:val="tx1"/>
                </w14:solidFill>
              </w14:textFill>
            </w:rPr>
            <w:t>24</w:t>
          </w:r>
          <w:r>
            <w:rPr>
              <w:rFonts w:hint="eastAsia" w:ascii="黑体" w:hAnsi="黑体" w:eastAsia="黑体" w:cs="黑体"/>
              <w:color w:val="000000" w:themeColor="text1"/>
              <w:szCs w:val="32"/>
              <w14:textFill>
                <w14:solidFill>
                  <w14:schemeClr w14:val="tx1"/>
                </w14:solidFill>
              </w14:textFill>
            </w:rPr>
            <w:t>年度部门决算情况说明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_Toc16458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1B5F814D">
          <w:pPr>
            <w:pStyle w:val="18"/>
            <w:tabs>
              <w:tab w:val="right" w:leader="dot" w:pos="8306"/>
              <w:tab w:val="clear" w:pos="8296"/>
            </w:tabs>
            <w:rPr>
              <w:rFonts w:ascii="仿宋" w:hAnsi="仿宋" w:eastAsia="仿宋" w:cs="仿宋"/>
              <w:bCs/>
              <w:color w:val="000000" w:themeColor="text1"/>
              <w:sz w:val="28"/>
              <w:szCs w:val="28"/>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"_Toc27841" </w:instrText>
          </w:r>
          <w:r>
            <w:rPr>
              <w:color w:val="000000" w:themeColor="text1"/>
              <w14:textFill>
                <w14:solidFill>
                  <w14:schemeClr w14:val="tx1"/>
                </w14:solidFill>
              </w14:textFill>
            </w:rPr>
            <w:fldChar w:fldCharType="separate"/>
          </w:r>
          <w:r>
            <w:rPr>
              <w:rFonts w:ascii="仿宋" w:hAnsi="仿宋" w:eastAsia="仿宋" w:cs="仿宋"/>
              <w:bCs/>
              <w:color w:val="000000" w:themeColor="text1"/>
              <w:sz w:val="28"/>
              <w:szCs w:val="28"/>
              <w14:textFill>
                <w14:solidFill>
                  <w14:schemeClr w14:val="tx1"/>
                </w14:solidFill>
              </w14:textFill>
            </w:rPr>
            <w:t>一、收入支出决算总体情况说明</w:t>
          </w:r>
          <w:r>
            <w:rPr>
              <w:rFonts w:hint="eastAsia" w:ascii="仿宋" w:hAnsi="仿宋" w:eastAsia="仿宋" w:cs="仿宋"/>
              <w:bCs/>
              <w:color w:val="000000" w:themeColor="text1"/>
              <w:sz w:val="28"/>
              <w:szCs w:val="28"/>
              <w14:textFill>
                <w14:solidFill>
                  <w14:schemeClr w14:val="tx1"/>
                </w14:solidFill>
              </w14:textFill>
            </w:rPr>
            <w:tab/>
          </w:r>
          <w:r>
            <w:rPr>
              <w:rFonts w:hint="eastAsia" w:ascii="仿宋" w:hAnsi="仿宋" w:eastAsia="仿宋" w:cs="仿宋"/>
              <w:bCs/>
              <w:color w:val="000000" w:themeColor="text1"/>
              <w:sz w:val="28"/>
              <w:szCs w:val="28"/>
              <w14:textFill>
                <w14:solidFill>
                  <w14:schemeClr w14:val="tx1"/>
                </w14:solidFill>
              </w14:textFill>
            </w:rPr>
            <w:fldChar w:fldCharType="begin"/>
          </w:r>
          <w:r>
            <w:rPr>
              <w:rFonts w:hint="eastAsia" w:ascii="仿宋" w:hAnsi="仿宋" w:eastAsia="仿宋" w:cs="仿宋"/>
              <w:bCs/>
              <w:color w:val="000000" w:themeColor="text1"/>
              <w:sz w:val="28"/>
              <w:szCs w:val="28"/>
              <w14:textFill>
                <w14:solidFill>
                  <w14:schemeClr w14:val="tx1"/>
                </w14:solidFill>
              </w14:textFill>
            </w:rPr>
            <w:instrText xml:space="preserve"> PAGEREF _Toc27841 \h </w:instrText>
          </w:r>
          <w:r>
            <w:rPr>
              <w:rFonts w:hint="eastAsia" w:ascii="仿宋" w:hAnsi="仿宋" w:eastAsia="仿宋" w:cs="仿宋"/>
              <w:bCs/>
              <w:color w:val="000000" w:themeColor="text1"/>
              <w:sz w:val="28"/>
              <w:szCs w:val="28"/>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2</w:t>
          </w:r>
          <w:r>
            <w:rPr>
              <w:rFonts w:hint="eastAsia" w:ascii="仿宋" w:hAnsi="仿宋" w:eastAsia="仿宋" w:cs="仿宋"/>
              <w:bCs/>
              <w:color w:val="000000" w:themeColor="text1"/>
              <w:sz w:val="28"/>
              <w:szCs w:val="28"/>
              <w14:textFill>
                <w14:solidFill>
                  <w14:schemeClr w14:val="tx1"/>
                </w14:solidFill>
              </w14:textFill>
            </w:rPr>
            <w:fldChar w:fldCharType="end"/>
          </w:r>
          <w:r>
            <w:rPr>
              <w:rFonts w:hint="eastAsia" w:ascii="仿宋" w:hAnsi="仿宋" w:eastAsia="仿宋" w:cs="仿宋"/>
              <w:bCs/>
              <w:color w:val="000000" w:themeColor="text1"/>
              <w:sz w:val="28"/>
              <w:szCs w:val="28"/>
              <w14:textFill>
                <w14:solidFill>
                  <w14:schemeClr w14:val="tx1"/>
                </w14:solidFill>
              </w14:textFill>
            </w:rPr>
            <w:fldChar w:fldCharType="end"/>
          </w:r>
        </w:p>
        <w:p w14:paraId="330D96A0">
          <w:pPr>
            <w:pStyle w:val="18"/>
            <w:tabs>
              <w:tab w:val="right" w:leader="dot" w:pos="8306"/>
              <w:tab w:val="clear" w:pos="8296"/>
            </w:tabs>
            <w:rPr>
              <w:rFonts w:ascii="仿宋" w:hAnsi="仿宋" w:eastAsia="仿宋" w:cs="仿宋"/>
              <w:bCs/>
              <w:color w:val="000000" w:themeColor="text1"/>
              <w:sz w:val="28"/>
              <w:szCs w:val="28"/>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"_Toc27689" </w:instrText>
          </w:r>
          <w:r>
            <w:rPr>
              <w:color w:val="000000" w:themeColor="text1"/>
              <w14:textFill>
                <w14:solidFill>
                  <w14:schemeClr w14:val="tx1"/>
                </w14:solidFill>
              </w14:textFill>
            </w:rPr>
            <w:fldChar w:fldCharType="separate"/>
          </w:r>
          <w:r>
            <w:rPr>
              <w:rFonts w:ascii="仿宋" w:hAnsi="仿宋" w:eastAsia="仿宋" w:cs="仿宋"/>
              <w:bCs/>
              <w:color w:val="000000" w:themeColor="text1"/>
              <w:sz w:val="28"/>
              <w:szCs w:val="28"/>
              <w14:textFill>
                <w14:solidFill>
                  <w14:schemeClr w14:val="tx1"/>
                </w14:solidFill>
              </w14:textFill>
            </w:rPr>
            <w:t>二、收入决算情况说明</w:t>
          </w:r>
          <w:r>
            <w:rPr>
              <w:rFonts w:hint="eastAsia" w:ascii="仿宋" w:hAnsi="仿宋" w:eastAsia="仿宋" w:cs="仿宋"/>
              <w:bCs/>
              <w:color w:val="000000" w:themeColor="text1"/>
              <w:sz w:val="28"/>
              <w:szCs w:val="28"/>
              <w14:textFill>
                <w14:solidFill>
                  <w14:schemeClr w14:val="tx1"/>
                </w14:solidFill>
              </w14:textFill>
            </w:rPr>
            <w:tab/>
          </w:r>
          <w:r>
            <w:rPr>
              <w:rFonts w:hint="eastAsia" w:ascii="仿宋" w:hAnsi="仿宋" w:eastAsia="仿宋" w:cs="仿宋"/>
              <w:bCs/>
              <w:color w:val="000000" w:themeColor="text1"/>
              <w:sz w:val="28"/>
              <w:szCs w:val="28"/>
              <w14:textFill>
                <w14:solidFill>
                  <w14:schemeClr w14:val="tx1"/>
                </w14:solidFill>
              </w14:textFill>
            </w:rPr>
            <w:fldChar w:fldCharType="begin"/>
          </w:r>
          <w:r>
            <w:rPr>
              <w:rFonts w:hint="eastAsia" w:ascii="仿宋" w:hAnsi="仿宋" w:eastAsia="仿宋" w:cs="仿宋"/>
              <w:bCs/>
              <w:color w:val="000000" w:themeColor="text1"/>
              <w:sz w:val="28"/>
              <w:szCs w:val="28"/>
              <w14:textFill>
                <w14:solidFill>
                  <w14:schemeClr w14:val="tx1"/>
                </w14:solidFill>
              </w14:textFill>
            </w:rPr>
            <w:instrText xml:space="preserve"> PAGEREF _Toc27689 \h </w:instrText>
          </w:r>
          <w:r>
            <w:rPr>
              <w:rFonts w:hint="eastAsia" w:ascii="仿宋" w:hAnsi="仿宋" w:eastAsia="仿宋" w:cs="仿宋"/>
              <w:bCs/>
              <w:color w:val="000000" w:themeColor="text1"/>
              <w:sz w:val="28"/>
              <w:szCs w:val="28"/>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3</w:t>
          </w:r>
          <w:r>
            <w:rPr>
              <w:rFonts w:hint="eastAsia" w:ascii="仿宋" w:hAnsi="仿宋" w:eastAsia="仿宋" w:cs="仿宋"/>
              <w:bCs/>
              <w:color w:val="000000" w:themeColor="text1"/>
              <w:sz w:val="28"/>
              <w:szCs w:val="28"/>
              <w14:textFill>
                <w14:solidFill>
                  <w14:schemeClr w14:val="tx1"/>
                </w14:solidFill>
              </w14:textFill>
            </w:rPr>
            <w:fldChar w:fldCharType="end"/>
          </w:r>
          <w:r>
            <w:rPr>
              <w:rFonts w:hint="eastAsia" w:ascii="仿宋" w:hAnsi="仿宋" w:eastAsia="仿宋" w:cs="仿宋"/>
              <w:bCs/>
              <w:color w:val="000000" w:themeColor="text1"/>
              <w:sz w:val="28"/>
              <w:szCs w:val="28"/>
              <w14:textFill>
                <w14:solidFill>
                  <w14:schemeClr w14:val="tx1"/>
                </w14:solidFill>
              </w14:textFill>
            </w:rPr>
            <w:fldChar w:fldCharType="end"/>
          </w:r>
        </w:p>
        <w:p w14:paraId="1DBF537F">
          <w:pPr>
            <w:pStyle w:val="18"/>
            <w:tabs>
              <w:tab w:val="right" w:leader="dot" w:pos="8306"/>
              <w:tab w:val="clear" w:pos="8296"/>
            </w:tabs>
            <w:rPr>
              <w:rFonts w:ascii="仿宋" w:hAnsi="仿宋" w:eastAsia="仿宋" w:cs="仿宋"/>
              <w:bCs/>
              <w:color w:val="000000" w:themeColor="text1"/>
              <w:sz w:val="28"/>
              <w:szCs w:val="28"/>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"_Toc22715" </w:instrText>
          </w:r>
          <w:r>
            <w:rPr>
              <w:color w:val="000000" w:themeColor="text1"/>
              <w14:textFill>
                <w14:solidFill>
                  <w14:schemeClr w14:val="tx1"/>
                </w14:solidFill>
              </w14:textFill>
            </w:rPr>
            <w:fldChar w:fldCharType="separate"/>
          </w:r>
          <w:r>
            <w:rPr>
              <w:rFonts w:ascii="仿宋" w:hAnsi="仿宋" w:eastAsia="仿宋" w:cs="仿宋"/>
              <w:bCs/>
              <w:color w:val="000000" w:themeColor="text1"/>
              <w:sz w:val="28"/>
              <w:szCs w:val="28"/>
              <w14:textFill>
                <w14:solidFill>
                  <w14:schemeClr w14:val="tx1"/>
                </w14:solidFill>
              </w14:textFill>
            </w:rPr>
            <w:t>三、支出决算情况说明</w:t>
          </w:r>
          <w:r>
            <w:rPr>
              <w:rFonts w:hint="eastAsia" w:ascii="仿宋" w:hAnsi="仿宋" w:eastAsia="仿宋" w:cs="仿宋"/>
              <w:bCs/>
              <w:color w:val="000000" w:themeColor="text1"/>
              <w:sz w:val="28"/>
              <w:szCs w:val="28"/>
              <w14:textFill>
                <w14:solidFill>
                  <w14:schemeClr w14:val="tx1"/>
                </w14:solidFill>
              </w14:textFill>
            </w:rPr>
            <w:tab/>
          </w:r>
          <w:r>
            <w:rPr>
              <w:rFonts w:hint="eastAsia" w:ascii="仿宋" w:hAnsi="仿宋" w:eastAsia="仿宋" w:cs="仿宋"/>
              <w:bCs/>
              <w:color w:val="000000" w:themeColor="text1"/>
              <w:sz w:val="28"/>
              <w:szCs w:val="28"/>
              <w14:textFill>
                <w14:solidFill>
                  <w14:schemeClr w14:val="tx1"/>
                </w14:solidFill>
              </w14:textFill>
            </w:rPr>
            <w:fldChar w:fldCharType="begin"/>
          </w:r>
          <w:r>
            <w:rPr>
              <w:rFonts w:hint="eastAsia" w:ascii="仿宋" w:hAnsi="仿宋" w:eastAsia="仿宋" w:cs="仿宋"/>
              <w:bCs/>
              <w:color w:val="000000" w:themeColor="text1"/>
              <w:sz w:val="28"/>
              <w:szCs w:val="28"/>
              <w14:textFill>
                <w14:solidFill>
                  <w14:schemeClr w14:val="tx1"/>
                </w14:solidFill>
              </w14:textFill>
            </w:rPr>
            <w:instrText xml:space="preserve"> PAGEREF _Toc22715 \h </w:instrText>
          </w:r>
          <w:r>
            <w:rPr>
              <w:rFonts w:hint="eastAsia" w:ascii="仿宋" w:hAnsi="仿宋" w:eastAsia="仿宋" w:cs="仿宋"/>
              <w:bCs/>
              <w:color w:val="000000" w:themeColor="text1"/>
              <w:sz w:val="28"/>
              <w:szCs w:val="28"/>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3</w:t>
          </w:r>
          <w:r>
            <w:rPr>
              <w:rFonts w:hint="eastAsia" w:ascii="仿宋" w:hAnsi="仿宋" w:eastAsia="仿宋" w:cs="仿宋"/>
              <w:bCs/>
              <w:color w:val="000000" w:themeColor="text1"/>
              <w:sz w:val="28"/>
              <w:szCs w:val="28"/>
              <w14:textFill>
                <w14:solidFill>
                  <w14:schemeClr w14:val="tx1"/>
                </w14:solidFill>
              </w14:textFill>
            </w:rPr>
            <w:fldChar w:fldCharType="end"/>
          </w:r>
          <w:r>
            <w:rPr>
              <w:rFonts w:hint="eastAsia" w:ascii="仿宋" w:hAnsi="仿宋" w:eastAsia="仿宋" w:cs="仿宋"/>
              <w:bCs/>
              <w:color w:val="000000" w:themeColor="text1"/>
              <w:sz w:val="28"/>
              <w:szCs w:val="28"/>
              <w14:textFill>
                <w14:solidFill>
                  <w14:schemeClr w14:val="tx1"/>
                </w14:solidFill>
              </w14:textFill>
            </w:rPr>
            <w:fldChar w:fldCharType="end"/>
          </w:r>
        </w:p>
        <w:p w14:paraId="06033FB6">
          <w:pPr>
            <w:pStyle w:val="18"/>
            <w:tabs>
              <w:tab w:val="right" w:leader="dot" w:pos="8306"/>
              <w:tab w:val="clear" w:pos="8296"/>
            </w:tabs>
            <w:rPr>
              <w:rFonts w:ascii="仿宋" w:hAnsi="仿宋" w:eastAsia="仿宋" w:cs="仿宋"/>
              <w:bCs/>
              <w:color w:val="000000" w:themeColor="text1"/>
              <w:sz w:val="28"/>
              <w:szCs w:val="28"/>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"_Toc10006" </w:instrText>
          </w:r>
          <w:r>
            <w:rPr>
              <w:color w:val="000000" w:themeColor="text1"/>
              <w14:textFill>
                <w14:solidFill>
                  <w14:schemeClr w14:val="tx1"/>
                </w14:solidFill>
              </w14:textFill>
            </w:rPr>
            <w:fldChar w:fldCharType="separate"/>
          </w:r>
          <w:r>
            <w:rPr>
              <w:rFonts w:ascii="仿宋" w:hAnsi="仿宋" w:eastAsia="仿宋" w:cs="仿宋"/>
              <w:bCs/>
              <w:color w:val="000000" w:themeColor="text1"/>
              <w:sz w:val="28"/>
              <w:szCs w:val="28"/>
              <w14:textFill>
                <w14:solidFill>
                  <w14:schemeClr w14:val="tx1"/>
                </w14:solidFill>
              </w14:textFill>
            </w:rPr>
            <w:t>四、财政拨款收入支出决算总体情况说明</w:t>
          </w:r>
          <w:r>
            <w:rPr>
              <w:rFonts w:hint="eastAsia" w:ascii="仿宋" w:hAnsi="仿宋" w:eastAsia="仿宋" w:cs="仿宋"/>
              <w:bCs/>
              <w:color w:val="000000" w:themeColor="text1"/>
              <w:sz w:val="28"/>
              <w:szCs w:val="28"/>
              <w14:textFill>
                <w14:solidFill>
                  <w14:schemeClr w14:val="tx1"/>
                </w14:solidFill>
              </w14:textFill>
            </w:rPr>
            <w:tab/>
          </w:r>
          <w:r>
            <w:rPr>
              <w:rFonts w:hint="eastAsia" w:ascii="仿宋" w:hAnsi="仿宋" w:eastAsia="仿宋" w:cs="仿宋"/>
              <w:bCs/>
              <w:color w:val="000000" w:themeColor="text1"/>
              <w:sz w:val="28"/>
              <w:szCs w:val="28"/>
              <w14:textFill>
                <w14:solidFill>
                  <w14:schemeClr w14:val="tx1"/>
                </w14:solidFill>
              </w14:textFill>
            </w:rPr>
            <w:fldChar w:fldCharType="begin"/>
          </w:r>
          <w:r>
            <w:rPr>
              <w:rFonts w:hint="eastAsia" w:ascii="仿宋" w:hAnsi="仿宋" w:eastAsia="仿宋" w:cs="仿宋"/>
              <w:bCs/>
              <w:color w:val="000000" w:themeColor="text1"/>
              <w:sz w:val="28"/>
              <w:szCs w:val="28"/>
              <w14:textFill>
                <w14:solidFill>
                  <w14:schemeClr w14:val="tx1"/>
                </w14:solidFill>
              </w14:textFill>
            </w:rPr>
            <w:instrText xml:space="preserve"> PAGEREF _Toc10006 \h </w:instrText>
          </w:r>
          <w:r>
            <w:rPr>
              <w:rFonts w:hint="eastAsia" w:ascii="仿宋" w:hAnsi="仿宋" w:eastAsia="仿宋" w:cs="仿宋"/>
              <w:bCs/>
              <w:color w:val="000000" w:themeColor="text1"/>
              <w:sz w:val="28"/>
              <w:szCs w:val="28"/>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4</w:t>
          </w:r>
          <w:r>
            <w:rPr>
              <w:rFonts w:hint="eastAsia" w:ascii="仿宋" w:hAnsi="仿宋" w:eastAsia="仿宋" w:cs="仿宋"/>
              <w:bCs/>
              <w:color w:val="000000" w:themeColor="text1"/>
              <w:sz w:val="28"/>
              <w:szCs w:val="28"/>
              <w14:textFill>
                <w14:solidFill>
                  <w14:schemeClr w14:val="tx1"/>
                </w14:solidFill>
              </w14:textFill>
            </w:rPr>
            <w:fldChar w:fldCharType="end"/>
          </w:r>
          <w:r>
            <w:rPr>
              <w:rFonts w:hint="eastAsia" w:ascii="仿宋" w:hAnsi="仿宋" w:eastAsia="仿宋" w:cs="仿宋"/>
              <w:bCs/>
              <w:color w:val="000000" w:themeColor="text1"/>
              <w:sz w:val="28"/>
              <w:szCs w:val="28"/>
              <w14:textFill>
                <w14:solidFill>
                  <w14:schemeClr w14:val="tx1"/>
                </w14:solidFill>
              </w14:textFill>
            </w:rPr>
            <w:fldChar w:fldCharType="end"/>
          </w:r>
        </w:p>
        <w:p w14:paraId="6C283C71">
          <w:pPr>
            <w:pStyle w:val="18"/>
            <w:tabs>
              <w:tab w:val="right" w:leader="dot" w:pos="8306"/>
              <w:tab w:val="clear" w:pos="8296"/>
            </w:tabs>
            <w:rPr>
              <w:rFonts w:ascii="仿宋" w:hAnsi="仿宋" w:eastAsia="仿宋" w:cs="仿宋"/>
              <w:bCs/>
              <w:color w:val="000000" w:themeColor="text1"/>
              <w:sz w:val="28"/>
              <w:szCs w:val="28"/>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"_Toc17027" </w:instrText>
          </w:r>
          <w:r>
            <w:rPr>
              <w:color w:val="000000" w:themeColor="text1"/>
              <w14:textFill>
                <w14:solidFill>
                  <w14:schemeClr w14:val="tx1"/>
                </w14:solidFill>
              </w14:textFill>
            </w:rPr>
            <w:fldChar w:fldCharType="separate"/>
          </w:r>
          <w:r>
            <w:rPr>
              <w:rFonts w:ascii="仿宋" w:hAnsi="仿宋" w:eastAsia="仿宋" w:cs="仿宋"/>
              <w:bCs/>
              <w:color w:val="000000" w:themeColor="text1"/>
              <w:sz w:val="28"/>
              <w:szCs w:val="28"/>
              <w14:textFill>
                <w14:solidFill>
                  <w14:schemeClr w14:val="tx1"/>
                </w14:solidFill>
              </w14:textFill>
            </w:rPr>
            <w:t>五、一般公共预算财政拨款支出决算情况说明</w:t>
          </w:r>
          <w:r>
            <w:rPr>
              <w:rFonts w:hint="eastAsia" w:ascii="仿宋" w:hAnsi="仿宋" w:eastAsia="仿宋" w:cs="仿宋"/>
              <w:bCs/>
              <w:color w:val="000000" w:themeColor="text1"/>
              <w:sz w:val="28"/>
              <w:szCs w:val="28"/>
              <w14:textFill>
                <w14:solidFill>
                  <w14:schemeClr w14:val="tx1"/>
                </w14:solidFill>
              </w14:textFill>
            </w:rPr>
            <w:tab/>
          </w:r>
          <w:r>
            <w:rPr>
              <w:rFonts w:hint="eastAsia" w:ascii="仿宋" w:hAnsi="仿宋" w:eastAsia="仿宋" w:cs="仿宋"/>
              <w:bCs/>
              <w:color w:val="000000" w:themeColor="text1"/>
              <w:sz w:val="28"/>
              <w:szCs w:val="28"/>
              <w14:textFill>
                <w14:solidFill>
                  <w14:schemeClr w14:val="tx1"/>
                </w14:solidFill>
              </w14:textFill>
            </w:rPr>
            <w:fldChar w:fldCharType="begin"/>
          </w:r>
          <w:r>
            <w:rPr>
              <w:rFonts w:hint="eastAsia" w:ascii="仿宋" w:hAnsi="仿宋" w:eastAsia="仿宋" w:cs="仿宋"/>
              <w:bCs/>
              <w:color w:val="000000" w:themeColor="text1"/>
              <w:sz w:val="28"/>
              <w:szCs w:val="28"/>
              <w14:textFill>
                <w14:solidFill>
                  <w14:schemeClr w14:val="tx1"/>
                </w14:solidFill>
              </w14:textFill>
            </w:rPr>
            <w:instrText xml:space="preserve"> PAGEREF _Toc17027 \h </w:instrText>
          </w:r>
          <w:r>
            <w:rPr>
              <w:rFonts w:hint="eastAsia" w:ascii="仿宋" w:hAnsi="仿宋" w:eastAsia="仿宋" w:cs="仿宋"/>
              <w:bCs/>
              <w:color w:val="000000" w:themeColor="text1"/>
              <w:sz w:val="28"/>
              <w:szCs w:val="28"/>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4</w:t>
          </w:r>
          <w:r>
            <w:rPr>
              <w:rFonts w:hint="eastAsia" w:ascii="仿宋" w:hAnsi="仿宋" w:eastAsia="仿宋" w:cs="仿宋"/>
              <w:bCs/>
              <w:color w:val="000000" w:themeColor="text1"/>
              <w:sz w:val="28"/>
              <w:szCs w:val="28"/>
              <w14:textFill>
                <w14:solidFill>
                  <w14:schemeClr w14:val="tx1"/>
                </w14:solidFill>
              </w14:textFill>
            </w:rPr>
            <w:fldChar w:fldCharType="end"/>
          </w:r>
          <w:r>
            <w:rPr>
              <w:rFonts w:hint="eastAsia" w:ascii="仿宋" w:hAnsi="仿宋" w:eastAsia="仿宋" w:cs="仿宋"/>
              <w:bCs/>
              <w:color w:val="000000" w:themeColor="text1"/>
              <w:sz w:val="28"/>
              <w:szCs w:val="28"/>
              <w14:textFill>
                <w14:solidFill>
                  <w14:schemeClr w14:val="tx1"/>
                </w14:solidFill>
              </w14:textFill>
            </w:rPr>
            <w:fldChar w:fldCharType="end"/>
          </w:r>
        </w:p>
        <w:p w14:paraId="1C9B2192">
          <w:pPr>
            <w:pStyle w:val="18"/>
            <w:tabs>
              <w:tab w:val="right" w:leader="dot" w:pos="8306"/>
              <w:tab w:val="clear" w:pos="8296"/>
            </w:tabs>
            <w:rPr>
              <w:rFonts w:ascii="仿宋" w:hAnsi="仿宋" w:eastAsia="仿宋" w:cs="仿宋"/>
              <w:bCs/>
              <w:color w:val="000000" w:themeColor="text1"/>
              <w:sz w:val="28"/>
              <w:szCs w:val="28"/>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"_Toc21683" </w:instrText>
          </w:r>
          <w:r>
            <w:rPr>
              <w:color w:val="000000" w:themeColor="text1"/>
              <w14:textFill>
                <w14:solidFill>
                  <w14:schemeClr w14:val="tx1"/>
                </w14:solidFill>
              </w14:textFill>
            </w:rPr>
            <w:fldChar w:fldCharType="separate"/>
          </w:r>
          <w:r>
            <w:rPr>
              <w:rFonts w:ascii="仿宋" w:hAnsi="仿宋" w:eastAsia="仿宋" w:cs="仿宋"/>
              <w:bCs/>
              <w:color w:val="000000" w:themeColor="text1"/>
              <w:sz w:val="28"/>
              <w:szCs w:val="28"/>
              <w14:textFill>
                <w14:solidFill>
                  <w14:schemeClr w14:val="tx1"/>
                </w14:solidFill>
              </w14:textFill>
            </w:rPr>
            <w:t>六、一般公共预算财政拨款基本支出决算情况说明</w:t>
          </w:r>
          <w:r>
            <w:rPr>
              <w:rFonts w:hint="eastAsia" w:ascii="仿宋" w:hAnsi="仿宋" w:eastAsia="仿宋" w:cs="仿宋"/>
              <w:bCs/>
              <w:color w:val="000000" w:themeColor="text1"/>
              <w:sz w:val="28"/>
              <w:szCs w:val="28"/>
              <w14:textFill>
                <w14:solidFill>
                  <w14:schemeClr w14:val="tx1"/>
                </w14:solidFill>
              </w14:textFill>
            </w:rPr>
            <w:tab/>
          </w:r>
          <w:r>
            <w:rPr>
              <w:rFonts w:hint="eastAsia" w:ascii="仿宋" w:hAnsi="仿宋" w:eastAsia="仿宋" w:cs="仿宋"/>
              <w:bCs/>
              <w:color w:val="000000" w:themeColor="text1"/>
              <w:sz w:val="28"/>
              <w:szCs w:val="28"/>
              <w14:textFill>
                <w14:solidFill>
                  <w14:schemeClr w14:val="tx1"/>
                </w14:solidFill>
              </w14:textFill>
            </w:rPr>
            <w:fldChar w:fldCharType="begin"/>
          </w:r>
          <w:r>
            <w:rPr>
              <w:rFonts w:hint="eastAsia" w:ascii="仿宋" w:hAnsi="仿宋" w:eastAsia="仿宋" w:cs="仿宋"/>
              <w:bCs/>
              <w:color w:val="000000" w:themeColor="text1"/>
              <w:sz w:val="28"/>
              <w:szCs w:val="28"/>
              <w14:textFill>
                <w14:solidFill>
                  <w14:schemeClr w14:val="tx1"/>
                </w14:solidFill>
              </w14:textFill>
            </w:rPr>
            <w:instrText xml:space="preserve"> PAGEREF _Toc21683 \h </w:instrText>
          </w:r>
          <w:r>
            <w:rPr>
              <w:rFonts w:hint="eastAsia" w:ascii="仿宋" w:hAnsi="仿宋" w:eastAsia="仿宋" w:cs="仿宋"/>
              <w:bCs/>
              <w:color w:val="000000" w:themeColor="text1"/>
              <w:sz w:val="28"/>
              <w:szCs w:val="28"/>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8</w:t>
          </w:r>
          <w:r>
            <w:rPr>
              <w:rFonts w:hint="eastAsia" w:ascii="仿宋" w:hAnsi="仿宋" w:eastAsia="仿宋" w:cs="仿宋"/>
              <w:bCs/>
              <w:color w:val="000000" w:themeColor="text1"/>
              <w:sz w:val="28"/>
              <w:szCs w:val="28"/>
              <w14:textFill>
                <w14:solidFill>
                  <w14:schemeClr w14:val="tx1"/>
                </w14:solidFill>
              </w14:textFill>
            </w:rPr>
            <w:fldChar w:fldCharType="end"/>
          </w:r>
          <w:r>
            <w:rPr>
              <w:rFonts w:hint="eastAsia" w:ascii="仿宋" w:hAnsi="仿宋" w:eastAsia="仿宋" w:cs="仿宋"/>
              <w:bCs/>
              <w:color w:val="000000" w:themeColor="text1"/>
              <w:sz w:val="28"/>
              <w:szCs w:val="28"/>
              <w14:textFill>
                <w14:solidFill>
                  <w14:schemeClr w14:val="tx1"/>
                </w14:solidFill>
              </w14:textFill>
            </w:rPr>
            <w:fldChar w:fldCharType="end"/>
          </w:r>
        </w:p>
        <w:p w14:paraId="31093EB4">
          <w:pPr>
            <w:pStyle w:val="18"/>
            <w:tabs>
              <w:tab w:val="right" w:leader="dot" w:pos="8306"/>
              <w:tab w:val="clear" w:pos="8296"/>
            </w:tabs>
            <w:rPr>
              <w:rFonts w:ascii="仿宋" w:hAnsi="仿宋" w:eastAsia="仿宋" w:cs="仿宋"/>
              <w:bCs/>
              <w:color w:val="000000" w:themeColor="text1"/>
              <w:sz w:val="28"/>
              <w:szCs w:val="28"/>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"_Toc18665" </w:instrText>
          </w:r>
          <w:r>
            <w:rPr>
              <w:color w:val="000000" w:themeColor="text1"/>
              <w14:textFill>
                <w14:solidFill>
                  <w14:schemeClr w14:val="tx1"/>
                </w14:solidFill>
              </w14:textFill>
            </w:rPr>
            <w:fldChar w:fldCharType="separate"/>
          </w:r>
          <w:r>
            <w:rPr>
              <w:rFonts w:ascii="仿宋" w:hAnsi="仿宋" w:eastAsia="仿宋" w:cs="仿宋"/>
              <w:bCs/>
              <w:color w:val="000000" w:themeColor="text1"/>
              <w:sz w:val="28"/>
              <w:szCs w:val="28"/>
              <w14:textFill>
                <w14:solidFill>
                  <w14:schemeClr w14:val="tx1"/>
                </w14:solidFill>
              </w14:textFill>
            </w:rPr>
            <w:t>七、“三公”经费财政拨款支出决算情况说明</w:t>
          </w:r>
          <w:r>
            <w:rPr>
              <w:rFonts w:hint="eastAsia" w:ascii="仿宋" w:hAnsi="仿宋" w:eastAsia="仿宋" w:cs="仿宋"/>
              <w:bCs/>
              <w:color w:val="000000" w:themeColor="text1"/>
              <w:sz w:val="28"/>
              <w:szCs w:val="28"/>
              <w14:textFill>
                <w14:solidFill>
                  <w14:schemeClr w14:val="tx1"/>
                </w14:solidFill>
              </w14:textFill>
            </w:rPr>
            <w:tab/>
          </w:r>
          <w:r>
            <w:rPr>
              <w:rFonts w:hint="eastAsia" w:ascii="仿宋" w:hAnsi="仿宋" w:eastAsia="仿宋" w:cs="仿宋"/>
              <w:bCs/>
              <w:color w:val="000000" w:themeColor="text1"/>
              <w:sz w:val="28"/>
              <w:szCs w:val="28"/>
              <w14:textFill>
                <w14:solidFill>
                  <w14:schemeClr w14:val="tx1"/>
                </w14:solidFill>
              </w14:textFill>
            </w:rPr>
            <w:fldChar w:fldCharType="begin"/>
          </w:r>
          <w:r>
            <w:rPr>
              <w:rFonts w:hint="eastAsia" w:ascii="仿宋" w:hAnsi="仿宋" w:eastAsia="仿宋" w:cs="仿宋"/>
              <w:bCs/>
              <w:color w:val="000000" w:themeColor="text1"/>
              <w:sz w:val="28"/>
              <w:szCs w:val="28"/>
              <w14:textFill>
                <w14:solidFill>
                  <w14:schemeClr w14:val="tx1"/>
                </w14:solidFill>
              </w14:textFill>
            </w:rPr>
            <w:instrText xml:space="preserve"> PAGEREF _Toc18665 \h </w:instrText>
          </w:r>
          <w:r>
            <w:rPr>
              <w:rFonts w:hint="eastAsia" w:ascii="仿宋" w:hAnsi="仿宋" w:eastAsia="仿宋" w:cs="仿宋"/>
              <w:bCs/>
              <w:color w:val="000000" w:themeColor="text1"/>
              <w:sz w:val="28"/>
              <w:szCs w:val="28"/>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8</w:t>
          </w:r>
          <w:r>
            <w:rPr>
              <w:rFonts w:hint="eastAsia" w:ascii="仿宋" w:hAnsi="仿宋" w:eastAsia="仿宋" w:cs="仿宋"/>
              <w:bCs/>
              <w:color w:val="000000" w:themeColor="text1"/>
              <w:sz w:val="28"/>
              <w:szCs w:val="28"/>
              <w14:textFill>
                <w14:solidFill>
                  <w14:schemeClr w14:val="tx1"/>
                </w14:solidFill>
              </w14:textFill>
            </w:rPr>
            <w:fldChar w:fldCharType="end"/>
          </w:r>
          <w:r>
            <w:rPr>
              <w:rFonts w:hint="eastAsia" w:ascii="仿宋" w:hAnsi="仿宋" w:eastAsia="仿宋" w:cs="仿宋"/>
              <w:bCs/>
              <w:color w:val="000000" w:themeColor="text1"/>
              <w:sz w:val="28"/>
              <w:szCs w:val="28"/>
              <w14:textFill>
                <w14:solidFill>
                  <w14:schemeClr w14:val="tx1"/>
                </w14:solidFill>
              </w14:textFill>
            </w:rPr>
            <w:fldChar w:fldCharType="end"/>
          </w:r>
        </w:p>
        <w:p w14:paraId="647A3670">
          <w:pPr>
            <w:pStyle w:val="18"/>
            <w:tabs>
              <w:tab w:val="right" w:leader="dot" w:pos="8306"/>
              <w:tab w:val="clear" w:pos="8296"/>
            </w:tabs>
            <w:rPr>
              <w:rFonts w:ascii="仿宋" w:hAnsi="仿宋" w:eastAsia="仿宋" w:cs="仿宋"/>
              <w:bCs/>
              <w:color w:val="000000" w:themeColor="text1"/>
              <w:sz w:val="28"/>
              <w:szCs w:val="28"/>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"_Toc9058" </w:instrText>
          </w:r>
          <w:r>
            <w:rPr>
              <w:color w:val="000000" w:themeColor="text1"/>
              <w14:textFill>
                <w14:solidFill>
                  <w14:schemeClr w14:val="tx1"/>
                </w14:solidFill>
              </w14:textFill>
            </w:rPr>
            <w:fldChar w:fldCharType="separate"/>
          </w:r>
          <w:r>
            <w:rPr>
              <w:rFonts w:ascii="仿宋" w:hAnsi="仿宋" w:eastAsia="仿宋" w:cs="仿宋"/>
              <w:bCs/>
              <w:color w:val="000000" w:themeColor="text1"/>
              <w:sz w:val="28"/>
              <w:szCs w:val="28"/>
              <w14:textFill>
                <w14:solidFill>
                  <w14:schemeClr w14:val="tx1"/>
                </w14:solidFill>
              </w14:textFill>
            </w:rPr>
            <w:t>八、政府性基金预算支出决算情况说明</w:t>
          </w:r>
          <w:r>
            <w:rPr>
              <w:rFonts w:hint="eastAsia" w:ascii="仿宋" w:hAnsi="仿宋" w:eastAsia="仿宋" w:cs="仿宋"/>
              <w:bCs/>
              <w:color w:val="000000" w:themeColor="text1"/>
              <w:sz w:val="28"/>
              <w:szCs w:val="28"/>
              <w14:textFill>
                <w14:solidFill>
                  <w14:schemeClr w14:val="tx1"/>
                </w14:solidFill>
              </w14:textFill>
            </w:rPr>
            <w:tab/>
          </w:r>
          <w:r>
            <w:rPr>
              <w:rFonts w:hint="eastAsia" w:ascii="仿宋" w:hAnsi="仿宋" w:eastAsia="仿宋" w:cs="仿宋"/>
              <w:bCs/>
              <w:color w:val="000000" w:themeColor="text1"/>
              <w:sz w:val="28"/>
              <w:szCs w:val="28"/>
              <w14:textFill>
                <w14:solidFill>
                  <w14:schemeClr w14:val="tx1"/>
                </w14:solidFill>
              </w14:textFill>
            </w:rPr>
            <w:fldChar w:fldCharType="begin"/>
          </w:r>
          <w:r>
            <w:rPr>
              <w:rFonts w:hint="eastAsia" w:ascii="仿宋" w:hAnsi="仿宋" w:eastAsia="仿宋" w:cs="仿宋"/>
              <w:bCs/>
              <w:color w:val="000000" w:themeColor="text1"/>
              <w:sz w:val="28"/>
              <w:szCs w:val="28"/>
              <w14:textFill>
                <w14:solidFill>
                  <w14:schemeClr w14:val="tx1"/>
                </w14:solidFill>
              </w14:textFill>
            </w:rPr>
            <w:instrText xml:space="preserve"> PAGEREF _Toc9058 \h </w:instrText>
          </w:r>
          <w:r>
            <w:rPr>
              <w:rFonts w:hint="eastAsia" w:ascii="仿宋" w:hAnsi="仿宋" w:eastAsia="仿宋" w:cs="仿宋"/>
              <w:bCs/>
              <w:color w:val="000000" w:themeColor="text1"/>
              <w:sz w:val="28"/>
              <w:szCs w:val="28"/>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10</w:t>
          </w:r>
          <w:r>
            <w:rPr>
              <w:rFonts w:hint="eastAsia" w:ascii="仿宋" w:hAnsi="仿宋" w:eastAsia="仿宋" w:cs="仿宋"/>
              <w:bCs/>
              <w:color w:val="000000" w:themeColor="text1"/>
              <w:sz w:val="28"/>
              <w:szCs w:val="28"/>
              <w14:textFill>
                <w14:solidFill>
                  <w14:schemeClr w14:val="tx1"/>
                </w14:solidFill>
              </w14:textFill>
            </w:rPr>
            <w:fldChar w:fldCharType="end"/>
          </w:r>
          <w:r>
            <w:rPr>
              <w:rFonts w:hint="eastAsia" w:ascii="仿宋" w:hAnsi="仿宋" w:eastAsia="仿宋" w:cs="仿宋"/>
              <w:bCs/>
              <w:color w:val="000000" w:themeColor="text1"/>
              <w:sz w:val="28"/>
              <w:szCs w:val="28"/>
              <w14:textFill>
                <w14:solidFill>
                  <w14:schemeClr w14:val="tx1"/>
                </w14:solidFill>
              </w14:textFill>
            </w:rPr>
            <w:fldChar w:fldCharType="end"/>
          </w:r>
        </w:p>
        <w:p w14:paraId="7C88AC73">
          <w:pPr>
            <w:pStyle w:val="18"/>
            <w:tabs>
              <w:tab w:val="right" w:leader="dot" w:pos="8306"/>
              <w:tab w:val="clear" w:pos="8296"/>
            </w:tabs>
            <w:rPr>
              <w:rFonts w:ascii="仿宋" w:hAnsi="仿宋" w:eastAsia="仿宋" w:cs="仿宋"/>
              <w:bCs/>
              <w:color w:val="000000" w:themeColor="text1"/>
              <w:sz w:val="28"/>
              <w:szCs w:val="28"/>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"_Toc2135" </w:instrText>
          </w:r>
          <w:r>
            <w:rPr>
              <w:color w:val="000000" w:themeColor="text1"/>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 xml:space="preserve">九、 </w:t>
          </w:r>
          <w:r>
            <w:rPr>
              <w:rFonts w:ascii="仿宋" w:hAnsi="仿宋" w:eastAsia="仿宋" w:cs="仿宋"/>
              <w:bCs/>
              <w:color w:val="000000" w:themeColor="text1"/>
              <w:sz w:val="28"/>
              <w:szCs w:val="28"/>
              <w14:textFill>
                <w14:solidFill>
                  <w14:schemeClr w14:val="tx1"/>
                </w14:solidFill>
              </w14:textFill>
            </w:rPr>
            <w:t>国有资本经营预算支出决算情况说明</w:t>
          </w:r>
          <w:r>
            <w:rPr>
              <w:rFonts w:hint="eastAsia" w:ascii="仿宋" w:hAnsi="仿宋" w:eastAsia="仿宋" w:cs="仿宋"/>
              <w:bCs/>
              <w:color w:val="000000" w:themeColor="text1"/>
              <w:sz w:val="28"/>
              <w:szCs w:val="28"/>
              <w14:textFill>
                <w14:solidFill>
                  <w14:schemeClr w14:val="tx1"/>
                </w14:solidFill>
              </w14:textFill>
            </w:rPr>
            <w:tab/>
          </w:r>
          <w:r>
            <w:rPr>
              <w:rFonts w:hint="eastAsia" w:ascii="仿宋" w:hAnsi="仿宋" w:eastAsia="仿宋" w:cs="仿宋"/>
              <w:bCs/>
              <w:color w:val="000000" w:themeColor="text1"/>
              <w:sz w:val="28"/>
              <w:szCs w:val="28"/>
              <w14:textFill>
                <w14:solidFill>
                  <w14:schemeClr w14:val="tx1"/>
                </w14:solidFill>
              </w14:textFill>
            </w:rPr>
            <w:fldChar w:fldCharType="begin"/>
          </w:r>
          <w:r>
            <w:rPr>
              <w:rFonts w:hint="eastAsia" w:ascii="仿宋" w:hAnsi="仿宋" w:eastAsia="仿宋" w:cs="仿宋"/>
              <w:bCs/>
              <w:color w:val="000000" w:themeColor="text1"/>
              <w:sz w:val="28"/>
              <w:szCs w:val="28"/>
              <w14:textFill>
                <w14:solidFill>
                  <w14:schemeClr w14:val="tx1"/>
                </w14:solidFill>
              </w14:textFill>
            </w:rPr>
            <w:instrText xml:space="preserve"> PAGEREF _Toc2135 \h </w:instrText>
          </w:r>
          <w:r>
            <w:rPr>
              <w:rFonts w:hint="eastAsia" w:ascii="仿宋" w:hAnsi="仿宋" w:eastAsia="仿宋" w:cs="仿宋"/>
              <w:bCs/>
              <w:color w:val="000000" w:themeColor="text1"/>
              <w:sz w:val="28"/>
              <w:szCs w:val="28"/>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10</w:t>
          </w:r>
          <w:r>
            <w:rPr>
              <w:rFonts w:hint="eastAsia" w:ascii="仿宋" w:hAnsi="仿宋" w:eastAsia="仿宋" w:cs="仿宋"/>
              <w:bCs/>
              <w:color w:val="000000" w:themeColor="text1"/>
              <w:sz w:val="28"/>
              <w:szCs w:val="28"/>
              <w14:textFill>
                <w14:solidFill>
                  <w14:schemeClr w14:val="tx1"/>
                </w14:solidFill>
              </w14:textFill>
            </w:rPr>
            <w:fldChar w:fldCharType="end"/>
          </w:r>
          <w:r>
            <w:rPr>
              <w:rFonts w:hint="eastAsia" w:ascii="仿宋" w:hAnsi="仿宋" w:eastAsia="仿宋" w:cs="仿宋"/>
              <w:bCs/>
              <w:color w:val="000000" w:themeColor="text1"/>
              <w:sz w:val="28"/>
              <w:szCs w:val="28"/>
              <w14:textFill>
                <w14:solidFill>
                  <w14:schemeClr w14:val="tx1"/>
                </w14:solidFill>
              </w14:textFill>
            </w:rPr>
            <w:fldChar w:fldCharType="end"/>
          </w:r>
        </w:p>
        <w:p w14:paraId="6230D83A">
          <w:pPr>
            <w:pStyle w:val="18"/>
            <w:tabs>
              <w:tab w:val="right" w:leader="dot" w:pos="8306"/>
              <w:tab w:val="clear"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"_Toc28490" </w:instrText>
          </w:r>
          <w:r>
            <w:rPr>
              <w:color w:val="000000" w:themeColor="text1"/>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十、</w:t>
          </w:r>
          <w:r>
            <w:rPr>
              <w:rFonts w:ascii="仿宋" w:hAnsi="仿宋" w:eastAsia="仿宋" w:cs="仿宋"/>
              <w:bCs/>
              <w:color w:val="000000" w:themeColor="text1"/>
              <w:sz w:val="28"/>
              <w:szCs w:val="28"/>
              <w14:textFill>
                <w14:solidFill>
                  <w14:schemeClr w14:val="tx1"/>
                </w14:solidFill>
              </w14:textFill>
            </w:rPr>
            <w:t>其他重要事项的情况说明</w:t>
          </w:r>
          <w:r>
            <w:rPr>
              <w:rFonts w:hint="eastAsia" w:ascii="仿宋" w:hAnsi="仿宋" w:eastAsia="仿宋" w:cs="仿宋"/>
              <w:bCs/>
              <w:color w:val="000000" w:themeColor="text1"/>
              <w:sz w:val="28"/>
              <w:szCs w:val="28"/>
              <w14:textFill>
                <w14:solidFill>
                  <w14:schemeClr w14:val="tx1"/>
                </w14:solidFill>
              </w14:textFill>
            </w:rPr>
            <w:tab/>
          </w:r>
          <w:r>
            <w:rPr>
              <w:rFonts w:hint="eastAsia" w:ascii="仿宋" w:hAnsi="仿宋" w:eastAsia="仿宋" w:cs="仿宋"/>
              <w:bCs/>
              <w:color w:val="000000" w:themeColor="text1"/>
              <w:sz w:val="28"/>
              <w:szCs w:val="28"/>
              <w14:textFill>
                <w14:solidFill>
                  <w14:schemeClr w14:val="tx1"/>
                </w14:solidFill>
              </w14:textFill>
            </w:rPr>
            <w:fldChar w:fldCharType="begin"/>
          </w:r>
          <w:r>
            <w:rPr>
              <w:rFonts w:hint="eastAsia" w:ascii="仿宋" w:hAnsi="仿宋" w:eastAsia="仿宋" w:cs="仿宋"/>
              <w:bCs/>
              <w:color w:val="000000" w:themeColor="text1"/>
              <w:sz w:val="28"/>
              <w:szCs w:val="28"/>
              <w14:textFill>
                <w14:solidFill>
                  <w14:schemeClr w14:val="tx1"/>
                </w14:solidFill>
              </w14:textFill>
            </w:rPr>
            <w:instrText xml:space="preserve"> PAGEREF _Toc28490 \h </w:instrText>
          </w:r>
          <w:r>
            <w:rPr>
              <w:rFonts w:hint="eastAsia" w:ascii="仿宋" w:hAnsi="仿宋" w:eastAsia="仿宋" w:cs="仿宋"/>
              <w:bCs/>
              <w:color w:val="000000" w:themeColor="text1"/>
              <w:sz w:val="28"/>
              <w:szCs w:val="28"/>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10</w:t>
          </w:r>
          <w:r>
            <w:rPr>
              <w:rFonts w:hint="eastAsia" w:ascii="仿宋" w:hAnsi="仿宋" w:eastAsia="仿宋" w:cs="仿宋"/>
              <w:bCs/>
              <w:color w:val="000000" w:themeColor="text1"/>
              <w:sz w:val="28"/>
              <w:szCs w:val="28"/>
              <w14:textFill>
                <w14:solidFill>
                  <w14:schemeClr w14:val="tx1"/>
                </w14:solidFill>
              </w14:textFill>
            </w:rPr>
            <w:fldChar w:fldCharType="end"/>
          </w:r>
          <w:r>
            <w:rPr>
              <w:rFonts w:hint="eastAsia" w:ascii="仿宋" w:hAnsi="仿宋" w:eastAsia="仿宋" w:cs="仿宋"/>
              <w:bCs/>
              <w:color w:val="000000" w:themeColor="text1"/>
              <w:sz w:val="28"/>
              <w:szCs w:val="28"/>
              <w14:textFill>
                <w14:solidFill>
                  <w14:schemeClr w14:val="tx1"/>
                </w14:solidFill>
              </w14:textFill>
            </w:rPr>
            <w:fldChar w:fldCharType="end"/>
          </w:r>
        </w:p>
        <w:p w14:paraId="4CD024FE">
          <w:pPr>
            <w:pStyle w:val="15"/>
            <w:tabs>
              <w:tab w:val="right" w:leader="dot" w:pos="8306"/>
              <w:tab w:val="clear"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"_Toc24624" </w:instrText>
          </w:r>
          <w:r>
            <w:rPr>
              <w:color w:val="000000" w:themeColor="text1"/>
              <w14:textFill>
                <w14:solidFill>
                  <w14:schemeClr w14:val="tx1"/>
                </w14:solidFill>
              </w14:textFill>
            </w:rPr>
            <w:fldChar w:fldCharType="separate"/>
          </w:r>
          <w:r>
            <w:rPr>
              <w:rFonts w:hint="eastAsia" w:ascii="黑体" w:hAnsi="黑体" w:eastAsia="黑体" w:cs="黑体"/>
              <w:color w:val="000000" w:themeColor="text1"/>
              <w:szCs w:val="32"/>
              <w14:textFill>
                <w14:solidFill>
                  <w14:schemeClr w14:val="tx1"/>
                </w14:solidFill>
              </w14:textFill>
            </w:rPr>
            <w:t>第四部分 附件</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_Toc24624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5D817252">
          <w:pPr>
            <w:pStyle w:val="15"/>
            <w:tabs>
              <w:tab w:val="right" w:leader="dot" w:pos="8306"/>
              <w:tab w:val="clear"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"_Toc9903" </w:instrText>
          </w:r>
          <w:r>
            <w:rPr>
              <w:color w:val="000000" w:themeColor="text1"/>
              <w14:textFill>
                <w14:solidFill>
                  <w14:schemeClr w14:val="tx1"/>
                </w14:solidFill>
              </w14:textFill>
            </w:rPr>
            <w:fldChar w:fldCharType="separate"/>
          </w:r>
          <w:r>
            <w:rPr>
              <w:rFonts w:hint="eastAsia" w:ascii="黑体" w:hAnsi="黑体" w:eastAsia="黑体" w:cs="黑体"/>
              <w:color w:val="000000" w:themeColor="text1"/>
              <w:szCs w:val="44"/>
              <w14:textFill>
                <w14:solidFill>
                  <w14:schemeClr w14:val="tx1"/>
                </w14:solidFill>
              </w14:textFill>
            </w:rPr>
            <w:t>第五部分 附表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_Toc9903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413FDD47">
          <w:pPr>
            <w:pStyle w:val="18"/>
            <w:tabs>
              <w:tab w:val="right" w:leader="dot" w:pos="8306"/>
              <w:tab w:val="clear" w:pos="8296"/>
            </w:tabs>
            <w:rPr>
              <w:rFonts w:ascii="仿宋" w:hAnsi="仿宋" w:eastAsia="仿宋" w:cs="仿宋"/>
              <w:bCs/>
              <w:color w:val="000000" w:themeColor="text1"/>
              <w:sz w:val="28"/>
              <w:szCs w:val="28"/>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"_Toc10321" </w:instrText>
          </w:r>
          <w:r>
            <w:rPr>
              <w:color w:val="000000" w:themeColor="text1"/>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一、收入支出决算总表</w:t>
          </w:r>
          <w:r>
            <w:rPr>
              <w:rFonts w:hint="eastAsia" w:ascii="仿宋" w:hAnsi="仿宋" w:eastAsia="仿宋" w:cs="仿宋"/>
              <w:bCs/>
              <w:color w:val="000000" w:themeColor="text1"/>
              <w:sz w:val="28"/>
              <w:szCs w:val="28"/>
              <w14:textFill>
                <w14:solidFill>
                  <w14:schemeClr w14:val="tx1"/>
                </w14:solidFill>
              </w14:textFill>
            </w:rPr>
            <w:tab/>
          </w:r>
          <w:r>
            <w:rPr>
              <w:rFonts w:hint="eastAsia" w:ascii="仿宋" w:hAnsi="仿宋" w:eastAsia="仿宋" w:cs="仿宋"/>
              <w:bCs/>
              <w:color w:val="000000" w:themeColor="text1"/>
              <w:sz w:val="28"/>
              <w:szCs w:val="28"/>
              <w14:textFill>
                <w14:solidFill>
                  <w14:schemeClr w14:val="tx1"/>
                </w14:solidFill>
              </w14:textFill>
            </w:rPr>
            <w:fldChar w:fldCharType="begin"/>
          </w:r>
          <w:r>
            <w:rPr>
              <w:rFonts w:hint="eastAsia" w:ascii="仿宋" w:hAnsi="仿宋" w:eastAsia="仿宋" w:cs="仿宋"/>
              <w:bCs/>
              <w:color w:val="000000" w:themeColor="text1"/>
              <w:sz w:val="28"/>
              <w:szCs w:val="28"/>
              <w14:textFill>
                <w14:solidFill>
                  <w14:schemeClr w14:val="tx1"/>
                </w14:solidFill>
              </w14:textFill>
            </w:rPr>
            <w:instrText xml:space="preserve"> PAGEREF _Toc10321 \h </w:instrText>
          </w:r>
          <w:r>
            <w:rPr>
              <w:rFonts w:hint="eastAsia" w:ascii="仿宋" w:hAnsi="仿宋" w:eastAsia="仿宋" w:cs="仿宋"/>
              <w:bCs/>
              <w:color w:val="000000" w:themeColor="text1"/>
              <w:sz w:val="28"/>
              <w:szCs w:val="28"/>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42</w:t>
          </w:r>
          <w:r>
            <w:rPr>
              <w:rFonts w:hint="eastAsia" w:ascii="仿宋" w:hAnsi="仿宋" w:eastAsia="仿宋" w:cs="仿宋"/>
              <w:bCs/>
              <w:color w:val="000000" w:themeColor="text1"/>
              <w:sz w:val="28"/>
              <w:szCs w:val="28"/>
              <w14:textFill>
                <w14:solidFill>
                  <w14:schemeClr w14:val="tx1"/>
                </w14:solidFill>
              </w14:textFill>
            </w:rPr>
            <w:fldChar w:fldCharType="end"/>
          </w:r>
          <w:r>
            <w:rPr>
              <w:rFonts w:hint="eastAsia" w:ascii="仿宋" w:hAnsi="仿宋" w:eastAsia="仿宋" w:cs="仿宋"/>
              <w:bCs/>
              <w:color w:val="000000" w:themeColor="text1"/>
              <w:sz w:val="28"/>
              <w:szCs w:val="28"/>
              <w14:textFill>
                <w14:solidFill>
                  <w14:schemeClr w14:val="tx1"/>
                </w14:solidFill>
              </w14:textFill>
            </w:rPr>
            <w:fldChar w:fldCharType="end"/>
          </w:r>
        </w:p>
        <w:p w14:paraId="1E4EBC38">
          <w:pPr>
            <w:pStyle w:val="18"/>
            <w:tabs>
              <w:tab w:val="right" w:leader="dot" w:pos="8306"/>
              <w:tab w:val="clear" w:pos="8296"/>
            </w:tabs>
            <w:rPr>
              <w:rFonts w:ascii="仿宋" w:hAnsi="仿宋" w:eastAsia="仿宋" w:cs="仿宋"/>
              <w:bCs/>
              <w:color w:val="000000" w:themeColor="text1"/>
              <w:sz w:val="28"/>
              <w:szCs w:val="28"/>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"_Toc510" </w:instrText>
          </w:r>
          <w:r>
            <w:rPr>
              <w:color w:val="000000" w:themeColor="text1"/>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二、收入决算表</w:t>
          </w:r>
          <w:r>
            <w:rPr>
              <w:rFonts w:hint="eastAsia" w:ascii="仿宋" w:hAnsi="仿宋" w:eastAsia="仿宋" w:cs="仿宋"/>
              <w:bCs/>
              <w:color w:val="000000" w:themeColor="text1"/>
              <w:sz w:val="28"/>
              <w:szCs w:val="28"/>
              <w14:textFill>
                <w14:solidFill>
                  <w14:schemeClr w14:val="tx1"/>
                </w14:solidFill>
              </w14:textFill>
            </w:rPr>
            <w:tab/>
          </w:r>
          <w:r>
            <w:rPr>
              <w:rFonts w:hint="eastAsia" w:ascii="仿宋" w:hAnsi="仿宋" w:eastAsia="仿宋" w:cs="仿宋"/>
              <w:bCs/>
              <w:color w:val="000000" w:themeColor="text1"/>
              <w:sz w:val="28"/>
              <w:szCs w:val="28"/>
              <w14:textFill>
                <w14:solidFill>
                  <w14:schemeClr w14:val="tx1"/>
                </w14:solidFill>
              </w14:textFill>
            </w:rPr>
            <w:fldChar w:fldCharType="begin"/>
          </w:r>
          <w:r>
            <w:rPr>
              <w:rFonts w:hint="eastAsia" w:ascii="仿宋" w:hAnsi="仿宋" w:eastAsia="仿宋" w:cs="仿宋"/>
              <w:bCs/>
              <w:color w:val="000000" w:themeColor="text1"/>
              <w:sz w:val="28"/>
              <w:szCs w:val="28"/>
              <w14:textFill>
                <w14:solidFill>
                  <w14:schemeClr w14:val="tx1"/>
                </w14:solidFill>
              </w14:textFill>
            </w:rPr>
            <w:instrText xml:space="preserve"> PAGEREF _Toc510 \h </w:instrText>
          </w:r>
          <w:r>
            <w:rPr>
              <w:rFonts w:hint="eastAsia" w:ascii="仿宋" w:hAnsi="仿宋" w:eastAsia="仿宋" w:cs="仿宋"/>
              <w:bCs/>
              <w:color w:val="000000" w:themeColor="text1"/>
              <w:sz w:val="28"/>
              <w:szCs w:val="28"/>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42</w:t>
          </w:r>
          <w:r>
            <w:rPr>
              <w:rFonts w:hint="eastAsia" w:ascii="仿宋" w:hAnsi="仿宋" w:eastAsia="仿宋" w:cs="仿宋"/>
              <w:bCs/>
              <w:color w:val="000000" w:themeColor="text1"/>
              <w:sz w:val="28"/>
              <w:szCs w:val="28"/>
              <w14:textFill>
                <w14:solidFill>
                  <w14:schemeClr w14:val="tx1"/>
                </w14:solidFill>
              </w14:textFill>
            </w:rPr>
            <w:fldChar w:fldCharType="end"/>
          </w:r>
          <w:r>
            <w:rPr>
              <w:rFonts w:hint="eastAsia" w:ascii="仿宋" w:hAnsi="仿宋" w:eastAsia="仿宋" w:cs="仿宋"/>
              <w:bCs/>
              <w:color w:val="000000" w:themeColor="text1"/>
              <w:sz w:val="28"/>
              <w:szCs w:val="28"/>
              <w14:textFill>
                <w14:solidFill>
                  <w14:schemeClr w14:val="tx1"/>
                </w14:solidFill>
              </w14:textFill>
            </w:rPr>
            <w:fldChar w:fldCharType="end"/>
          </w:r>
        </w:p>
        <w:p w14:paraId="5118939F">
          <w:pPr>
            <w:pStyle w:val="18"/>
            <w:tabs>
              <w:tab w:val="right" w:leader="dot" w:pos="8306"/>
              <w:tab w:val="clear" w:pos="8296"/>
            </w:tabs>
            <w:rPr>
              <w:rFonts w:ascii="仿宋" w:hAnsi="仿宋" w:eastAsia="仿宋" w:cs="仿宋"/>
              <w:bCs/>
              <w:color w:val="000000" w:themeColor="text1"/>
              <w:sz w:val="28"/>
              <w:szCs w:val="28"/>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"_Toc32618" </w:instrText>
          </w:r>
          <w:r>
            <w:rPr>
              <w:color w:val="000000" w:themeColor="text1"/>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三、支出决算表</w:t>
          </w:r>
          <w:r>
            <w:rPr>
              <w:rFonts w:hint="eastAsia" w:ascii="仿宋" w:hAnsi="仿宋" w:eastAsia="仿宋" w:cs="仿宋"/>
              <w:bCs/>
              <w:color w:val="000000" w:themeColor="text1"/>
              <w:sz w:val="28"/>
              <w:szCs w:val="28"/>
              <w14:textFill>
                <w14:solidFill>
                  <w14:schemeClr w14:val="tx1"/>
                </w14:solidFill>
              </w14:textFill>
            </w:rPr>
            <w:tab/>
          </w:r>
          <w:r>
            <w:rPr>
              <w:rFonts w:hint="eastAsia" w:ascii="仿宋" w:hAnsi="仿宋" w:eastAsia="仿宋" w:cs="仿宋"/>
              <w:bCs/>
              <w:color w:val="000000" w:themeColor="text1"/>
              <w:sz w:val="28"/>
              <w:szCs w:val="28"/>
              <w14:textFill>
                <w14:solidFill>
                  <w14:schemeClr w14:val="tx1"/>
                </w14:solidFill>
              </w14:textFill>
            </w:rPr>
            <w:fldChar w:fldCharType="begin"/>
          </w:r>
          <w:r>
            <w:rPr>
              <w:rFonts w:hint="eastAsia" w:ascii="仿宋" w:hAnsi="仿宋" w:eastAsia="仿宋" w:cs="仿宋"/>
              <w:bCs/>
              <w:color w:val="000000" w:themeColor="text1"/>
              <w:sz w:val="28"/>
              <w:szCs w:val="28"/>
              <w14:textFill>
                <w14:solidFill>
                  <w14:schemeClr w14:val="tx1"/>
                </w14:solidFill>
              </w14:textFill>
            </w:rPr>
            <w:instrText xml:space="preserve"> PAGEREF _Toc32618 \h </w:instrText>
          </w:r>
          <w:r>
            <w:rPr>
              <w:rFonts w:hint="eastAsia" w:ascii="仿宋" w:hAnsi="仿宋" w:eastAsia="仿宋" w:cs="仿宋"/>
              <w:bCs/>
              <w:color w:val="000000" w:themeColor="text1"/>
              <w:sz w:val="28"/>
              <w:szCs w:val="28"/>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42</w:t>
          </w:r>
          <w:r>
            <w:rPr>
              <w:rFonts w:hint="eastAsia" w:ascii="仿宋" w:hAnsi="仿宋" w:eastAsia="仿宋" w:cs="仿宋"/>
              <w:bCs/>
              <w:color w:val="000000" w:themeColor="text1"/>
              <w:sz w:val="28"/>
              <w:szCs w:val="28"/>
              <w14:textFill>
                <w14:solidFill>
                  <w14:schemeClr w14:val="tx1"/>
                </w14:solidFill>
              </w14:textFill>
            </w:rPr>
            <w:fldChar w:fldCharType="end"/>
          </w:r>
          <w:r>
            <w:rPr>
              <w:rFonts w:hint="eastAsia" w:ascii="仿宋" w:hAnsi="仿宋" w:eastAsia="仿宋" w:cs="仿宋"/>
              <w:bCs/>
              <w:color w:val="000000" w:themeColor="text1"/>
              <w:sz w:val="28"/>
              <w:szCs w:val="28"/>
              <w14:textFill>
                <w14:solidFill>
                  <w14:schemeClr w14:val="tx1"/>
                </w14:solidFill>
              </w14:textFill>
            </w:rPr>
            <w:fldChar w:fldCharType="end"/>
          </w:r>
        </w:p>
        <w:p w14:paraId="2290B16C">
          <w:pPr>
            <w:pStyle w:val="18"/>
            <w:tabs>
              <w:tab w:val="right" w:leader="dot" w:pos="8306"/>
              <w:tab w:val="clear" w:pos="8296"/>
            </w:tabs>
            <w:rPr>
              <w:rFonts w:ascii="仿宋" w:hAnsi="仿宋" w:eastAsia="仿宋" w:cs="仿宋"/>
              <w:bCs/>
              <w:color w:val="000000" w:themeColor="text1"/>
              <w:sz w:val="28"/>
              <w:szCs w:val="28"/>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"_Toc13624" </w:instrText>
          </w:r>
          <w:r>
            <w:rPr>
              <w:color w:val="000000" w:themeColor="text1"/>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四、财政拨款收入支出决算总表</w:t>
          </w:r>
          <w:r>
            <w:rPr>
              <w:rFonts w:hint="eastAsia" w:ascii="仿宋" w:hAnsi="仿宋" w:eastAsia="仿宋" w:cs="仿宋"/>
              <w:bCs/>
              <w:color w:val="000000" w:themeColor="text1"/>
              <w:sz w:val="28"/>
              <w:szCs w:val="28"/>
              <w14:textFill>
                <w14:solidFill>
                  <w14:schemeClr w14:val="tx1"/>
                </w14:solidFill>
              </w14:textFill>
            </w:rPr>
            <w:tab/>
          </w:r>
          <w:r>
            <w:rPr>
              <w:rFonts w:hint="eastAsia" w:ascii="仿宋" w:hAnsi="仿宋" w:eastAsia="仿宋" w:cs="仿宋"/>
              <w:bCs/>
              <w:color w:val="000000" w:themeColor="text1"/>
              <w:sz w:val="28"/>
              <w:szCs w:val="28"/>
              <w14:textFill>
                <w14:solidFill>
                  <w14:schemeClr w14:val="tx1"/>
                </w14:solidFill>
              </w14:textFill>
            </w:rPr>
            <w:fldChar w:fldCharType="begin"/>
          </w:r>
          <w:r>
            <w:rPr>
              <w:rFonts w:hint="eastAsia" w:ascii="仿宋" w:hAnsi="仿宋" w:eastAsia="仿宋" w:cs="仿宋"/>
              <w:bCs/>
              <w:color w:val="000000" w:themeColor="text1"/>
              <w:sz w:val="28"/>
              <w:szCs w:val="28"/>
              <w14:textFill>
                <w14:solidFill>
                  <w14:schemeClr w14:val="tx1"/>
                </w14:solidFill>
              </w14:textFill>
            </w:rPr>
            <w:instrText xml:space="preserve"> PAGEREF _Toc13624 \h </w:instrText>
          </w:r>
          <w:r>
            <w:rPr>
              <w:rFonts w:hint="eastAsia" w:ascii="仿宋" w:hAnsi="仿宋" w:eastAsia="仿宋" w:cs="仿宋"/>
              <w:bCs/>
              <w:color w:val="000000" w:themeColor="text1"/>
              <w:sz w:val="28"/>
              <w:szCs w:val="28"/>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42</w:t>
          </w:r>
          <w:r>
            <w:rPr>
              <w:rFonts w:hint="eastAsia" w:ascii="仿宋" w:hAnsi="仿宋" w:eastAsia="仿宋" w:cs="仿宋"/>
              <w:bCs/>
              <w:color w:val="000000" w:themeColor="text1"/>
              <w:sz w:val="28"/>
              <w:szCs w:val="28"/>
              <w14:textFill>
                <w14:solidFill>
                  <w14:schemeClr w14:val="tx1"/>
                </w14:solidFill>
              </w14:textFill>
            </w:rPr>
            <w:fldChar w:fldCharType="end"/>
          </w:r>
          <w:r>
            <w:rPr>
              <w:rFonts w:hint="eastAsia" w:ascii="仿宋" w:hAnsi="仿宋" w:eastAsia="仿宋" w:cs="仿宋"/>
              <w:bCs/>
              <w:color w:val="000000" w:themeColor="text1"/>
              <w:sz w:val="28"/>
              <w:szCs w:val="28"/>
              <w14:textFill>
                <w14:solidFill>
                  <w14:schemeClr w14:val="tx1"/>
                </w14:solidFill>
              </w14:textFill>
            </w:rPr>
            <w:fldChar w:fldCharType="end"/>
          </w:r>
        </w:p>
        <w:p w14:paraId="0D1B65EF">
          <w:pPr>
            <w:pStyle w:val="18"/>
            <w:tabs>
              <w:tab w:val="right" w:leader="dot" w:pos="8306"/>
              <w:tab w:val="clear" w:pos="8296"/>
            </w:tabs>
            <w:rPr>
              <w:rFonts w:ascii="仿宋" w:hAnsi="仿宋" w:eastAsia="仿宋" w:cs="仿宋"/>
              <w:bCs/>
              <w:color w:val="000000" w:themeColor="text1"/>
              <w:sz w:val="28"/>
              <w:szCs w:val="28"/>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"_Toc24904" </w:instrText>
          </w:r>
          <w:r>
            <w:rPr>
              <w:color w:val="000000" w:themeColor="text1"/>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五、财政拨款支出决算明细表</w:t>
          </w:r>
          <w:r>
            <w:rPr>
              <w:rFonts w:hint="eastAsia" w:ascii="仿宋" w:hAnsi="仿宋" w:eastAsia="仿宋" w:cs="仿宋"/>
              <w:bCs/>
              <w:color w:val="000000" w:themeColor="text1"/>
              <w:sz w:val="28"/>
              <w:szCs w:val="28"/>
              <w14:textFill>
                <w14:solidFill>
                  <w14:schemeClr w14:val="tx1"/>
                </w14:solidFill>
              </w14:textFill>
            </w:rPr>
            <w:tab/>
          </w:r>
          <w:r>
            <w:rPr>
              <w:rFonts w:hint="eastAsia" w:ascii="仿宋" w:hAnsi="仿宋" w:eastAsia="仿宋" w:cs="仿宋"/>
              <w:bCs/>
              <w:color w:val="000000" w:themeColor="text1"/>
              <w:sz w:val="28"/>
              <w:szCs w:val="28"/>
              <w14:textFill>
                <w14:solidFill>
                  <w14:schemeClr w14:val="tx1"/>
                </w14:solidFill>
              </w14:textFill>
            </w:rPr>
            <w:fldChar w:fldCharType="begin"/>
          </w:r>
          <w:r>
            <w:rPr>
              <w:rFonts w:hint="eastAsia" w:ascii="仿宋" w:hAnsi="仿宋" w:eastAsia="仿宋" w:cs="仿宋"/>
              <w:bCs/>
              <w:color w:val="000000" w:themeColor="text1"/>
              <w:sz w:val="28"/>
              <w:szCs w:val="28"/>
              <w14:textFill>
                <w14:solidFill>
                  <w14:schemeClr w14:val="tx1"/>
                </w14:solidFill>
              </w14:textFill>
            </w:rPr>
            <w:instrText xml:space="preserve"> PAGEREF _Toc24904 \h </w:instrText>
          </w:r>
          <w:r>
            <w:rPr>
              <w:rFonts w:hint="eastAsia" w:ascii="仿宋" w:hAnsi="仿宋" w:eastAsia="仿宋" w:cs="仿宋"/>
              <w:bCs/>
              <w:color w:val="000000" w:themeColor="text1"/>
              <w:sz w:val="28"/>
              <w:szCs w:val="28"/>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42</w:t>
          </w:r>
          <w:r>
            <w:rPr>
              <w:rFonts w:hint="eastAsia" w:ascii="仿宋" w:hAnsi="仿宋" w:eastAsia="仿宋" w:cs="仿宋"/>
              <w:bCs/>
              <w:color w:val="000000" w:themeColor="text1"/>
              <w:sz w:val="28"/>
              <w:szCs w:val="28"/>
              <w14:textFill>
                <w14:solidFill>
                  <w14:schemeClr w14:val="tx1"/>
                </w14:solidFill>
              </w14:textFill>
            </w:rPr>
            <w:fldChar w:fldCharType="end"/>
          </w:r>
          <w:r>
            <w:rPr>
              <w:rFonts w:hint="eastAsia" w:ascii="仿宋" w:hAnsi="仿宋" w:eastAsia="仿宋" w:cs="仿宋"/>
              <w:bCs/>
              <w:color w:val="000000" w:themeColor="text1"/>
              <w:sz w:val="28"/>
              <w:szCs w:val="28"/>
              <w14:textFill>
                <w14:solidFill>
                  <w14:schemeClr w14:val="tx1"/>
                </w14:solidFill>
              </w14:textFill>
            </w:rPr>
            <w:fldChar w:fldCharType="end"/>
          </w:r>
        </w:p>
        <w:p w14:paraId="6E061F3C">
          <w:pPr>
            <w:pStyle w:val="18"/>
            <w:tabs>
              <w:tab w:val="right" w:leader="dot" w:pos="8306"/>
              <w:tab w:val="clear"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"_Toc11675" </w:instrText>
          </w:r>
          <w:r>
            <w:rPr>
              <w:color w:val="000000" w:themeColor="text1"/>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六、一般公共预算财政拨款支出决算表</w:t>
          </w:r>
          <w:r>
            <w:rPr>
              <w:rFonts w:hint="eastAsia" w:ascii="仿宋" w:hAnsi="仿宋" w:eastAsia="仿宋" w:cs="仿宋"/>
              <w:bCs/>
              <w:color w:val="000000" w:themeColor="text1"/>
              <w:sz w:val="28"/>
              <w:szCs w:val="28"/>
              <w14:textFill>
                <w14:solidFill>
                  <w14:schemeClr w14:val="tx1"/>
                </w14:solidFill>
              </w14:textFill>
            </w:rPr>
            <w:tab/>
          </w:r>
          <w:r>
            <w:rPr>
              <w:rFonts w:hint="eastAsia" w:ascii="仿宋" w:hAnsi="仿宋" w:eastAsia="仿宋" w:cs="仿宋"/>
              <w:bCs/>
              <w:color w:val="000000" w:themeColor="text1"/>
              <w:sz w:val="28"/>
              <w:szCs w:val="28"/>
              <w14:textFill>
                <w14:solidFill>
                  <w14:schemeClr w14:val="tx1"/>
                </w14:solidFill>
              </w14:textFill>
            </w:rPr>
            <w:fldChar w:fldCharType="begin"/>
          </w:r>
          <w:r>
            <w:rPr>
              <w:rFonts w:hint="eastAsia" w:ascii="仿宋" w:hAnsi="仿宋" w:eastAsia="仿宋" w:cs="仿宋"/>
              <w:bCs/>
              <w:color w:val="000000" w:themeColor="text1"/>
              <w:sz w:val="28"/>
              <w:szCs w:val="28"/>
              <w14:textFill>
                <w14:solidFill>
                  <w14:schemeClr w14:val="tx1"/>
                </w14:solidFill>
              </w14:textFill>
            </w:rPr>
            <w:instrText xml:space="preserve"> PAGEREF _Toc11675 \h </w:instrText>
          </w:r>
          <w:r>
            <w:rPr>
              <w:rFonts w:hint="eastAsia" w:ascii="仿宋" w:hAnsi="仿宋" w:eastAsia="仿宋" w:cs="仿宋"/>
              <w:bCs/>
              <w:color w:val="000000" w:themeColor="text1"/>
              <w:sz w:val="28"/>
              <w:szCs w:val="28"/>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42</w:t>
          </w:r>
          <w:r>
            <w:rPr>
              <w:rFonts w:hint="eastAsia" w:ascii="仿宋" w:hAnsi="仿宋" w:eastAsia="仿宋" w:cs="仿宋"/>
              <w:bCs/>
              <w:color w:val="000000" w:themeColor="text1"/>
              <w:sz w:val="28"/>
              <w:szCs w:val="28"/>
              <w14:textFill>
                <w14:solidFill>
                  <w14:schemeClr w14:val="tx1"/>
                </w14:solidFill>
              </w14:textFill>
            </w:rPr>
            <w:fldChar w:fldCharType="end"/>
          </w:r>
          <w:r>
            <w:rPr>
              <w:rFonts w:hint="eastAsia" w:ascii="仿宋" w:hAnsi="仿宋" w:eastAsia="仿宋" w:cs="仿宋"/>
              <w:bCs/>
              <w:color w:val="000000" w:themeColor="text1"/>
              <w:sz w:val="28"/>
              <w:szCs w:val="28"/>
              <w14:textFill>
                <w14:solidFill>
                  <w14:schemeClr w14:val="tx1"/>
                </w14:solidFill>
              </w14:textFill>
            </w:rPr>
            <w:fldChar w:fldCharType="end"/>
          </w:r>
        </w:p>
        <w:p w14:paraId="77582105">
          <w:pPr>
            <w:pStyle w:val="18"/>
            <w:tabs>
              <w:tab w:val="right" w:leader="dot" w:pos="8306"/>
              <w:tab w:val="clear" w:pos="8296"/>
            </w:tabs>
            <w:rPr>
              <w:rFonts w:ascii="仿宋" w:hAnsi="仿宋" w:eastAsia="仿宋" w:cs="仿宋"/>
              <w:bCs/>
              <w:color w:val="000000" w:themeColor="text1"/>
              <w:sz w:val="28"/>
              <w:szCs w:val="28"/>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"_Toc27721" </w:instrText>
          </w:r>
          <w:r>
            <w:rPr>
              <w:color w:val="000000" w:themeColor="text1"/>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七、一般公共预算财政拨款支出决算明细表</w:t>
          </w:r>
          <w:r>
            <w:rPr>
              <w:rFonts w:hint="eastAsia" w:ascii="仿宋" w:hAnsi="仿宋" w:eastAsia="仿宋" w:cs="仿宋"/>
              <w:bCs/>
              <w:color w:val="000000" w:themeColor="text1"/>
              <w:sz w:val="28"/>
              <w:szCs w:val="28"/>
              <w14:textFill>
                <w14:solidFill>
                  <w14:schemeClr w14:val="tx1"/>
                </w14:solidFill>
              </w14:textFill>
            </w:rPr>
            <w:tab/>
          </w:r>
          <w:r>
            <w:rPr>
              <w:rFonts w:hint="eastAsia" w:ascii="仿宋" w:hAnsi="仿宋" w:eastAsia="仿宋" w:cs="仿宋"/>
              <w:bCs/>
              <w:color w:val="000000" w:themeColor="text1"/>
              <w:sz w:val="28"/>
              <w:szCs w:val="28"/>
              <w14:textFill>
                <w14:solidFill>
                  <w14:schemeClr w14:val="tx1"/>
                </w14:solidFill>
              </w14:textFill>
            </w:rPr>
            <w:fldChar w:fldCharType="begin"/>
          </w:r>
          <w:r>
            <w:rPr>
              <w:rFonts w:hint="eastAsia" w:ascii="仿宋" w:hAnsi="仿宋" w:eastAsia="仿宋" w:cs="仿宋"/>
              <w:bCs/>
              <w:color w:val="000000" w:themeColor="text1"/>
              <w:sz w:val="28"/>
              <w:szCs w:val="28"/>
              <w14:textFill>
                <w14:solidFill>
                  <w14:schemeClr w14:val="tx1"/>
                </w14:solidFill>
              </w14:textFill>
            </w:rPr>
            <w:instrText xml:space="preserve"> PAGEREF _Toc27721 \h </w:instrText>
          </w:r>
          <w:r>
            <w:rPr>
              <w:rFonts w:hint="eastAsia" w:ascii="仿宋" w:hAnsi="仿宋" w:eastAsia="仿宋" w:cs="仿宋"/>
              <w:bCs/>
              <w:color w:val="000000" w:themeColor="text1"/>
              <w:sz w:val="28"/>
              <w:szCs w:val="28"/>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42</w:t>
          </w:r>
          <w:r>
            <w:rPr>
              <w:rFonts w:hint="eastAsia" w:ascii="仿宋" w:hAnsi="仿宋" w:eastAsia="仿宋" w:cs="仿宋"/>
              <w:bCs/>
              <w:color w:val="000000" w:themeColor="text1"/>
              <w:sz w:val="28"/>
              <w:szCs w:val="28"/>
              <w14:textFill>
                <w14:solidFill>
                  <w14:schemeClr w14:val="tx1"/>
                </w14:solidFill>
              </w14:textFill>
            </w:rPr>
            <w:fldChar w:fldCharType="end"/>
          </w:r>
          <w:r>
            <w:rPr>
              <w:rFonts w:hint="eastAsia" w:ascii="仿宋" w:hAnsi="仿宋" w:eastAsia="仿宋" w:cs="仿宋"/>
              <w:bCs/>
              <w:color w:val="000000" w:themeColor="text1"/>
              <w:sz w:val="28"/>
              <w:szCs w:val="28"/>
              <w14:textFill>
                <w14:solidFill>
                  <w14:schemeClr w14:val="tx1"/>
                </w14:solidFill>
              </w14:textFill>
            </w:rPr>
            <w:fldChar w:fldCharType="end"/>
          </w:r>
        </w:p>
        <w:p w14:paraId="4252D9A1">
          <w:pPr>
            <w:pStyle w:val="18"/>
            <w:tabs>
              <w:tab w:val="right" w:leader="dot" w:pos="8306"/>
              <w:tab w:val="clear" w:pos="8296"/>
            </w:tabs>
            <w:rPr>
              <w:rFonts w:ascii="仿宋" w:hAnsi="仿宋" w:eastAsia="仿宋" w:cs="仿宋"/>
              <w:bCs/>
              <w:color w:val="000000" w:themeColor="text1"/>
              <w:sz w:val="28"/>
              <w:szCs w:val="28"/>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"_Toc17856" </w:instrText>
          </w:r>
          <w:r>
            <w:rPr>
              <w:color w:val="000000" w:themeColor="text1"/>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八、一般公共预算财政拨款基本支出决算表</w:t>
          </w:r>
          <w:r>
            <w:rPr>
              <w:rFonts w:hint="eastAsia" w:ascii="仿宋" w:hAnsi="仿宋" w:eastAsia="仿宋" w:cs="仿宋"/>
              <w:bCs/>
              <w:color w:val="000000" w:themeColor="text1"/>
              <w:sz w:val="28"/>
              <w:szCs w:val="28"/>
              <w14:textFill>
                <w14:solidFill>
                  <w14:schemeClr w14:val="tx1"/>
                </w14:solidFill>
              </w14:textFill>
            </w:rPr>
            <w:tab/>
          </w:r>
          <w:r>
            <w:rPr>
              <w:rFonts w:hint="eastAsia" w:ascii="仿宋" w:hAnsi="仿宋" w:eastAsia="仿宋" w:cs="仿宋"/>
              <w:bCs/>
              <w:color w:val="000000" w:themeColor="text1"/>
              <w:sz w:val="28"/>
              <w:szCs w:val="28"/>
              <w14:textFill>
                <w14:solidFill>
                  <w14:schemeClr w14:val="tx1"/>
                </w14:solidFill>
              </w14:textFill>
            </w:rPr>
            <w:fldChar w:fldCharType="begin"/>
          </w:r>
          <w:r>
            <w:rPr>
              <w:rFonts w:hint="eastAsia" w:ascii="仿宋" w:hAnsi="仿宋" w:eastAsia="仿宋" w:cs="仿宋"/>
              <w:bCs/>
              <w:color w:val="000000" w:themeColor="text1"/>
              <w:sz w:val="28"/>
              <w:szCs w:val="28"/>
              <w14:textFill>
                <w14:solidFill>
                  <w14:schemeClr w14:val="tx1"/>
                </w14:solidFill>
              </w14:textFill>
            </w:rPr>
            <w:instrText xml:space="preserve"> PAGEREF _Toc17856 \h </w:instrText>
          </w:r>
          <w:r>
            <w:rPr>
              <w:rFonts w:hint="eastAsia" w:ascii="仿宋" w:hAnsi="仿宋" w:eastAsia="仿宋" w:cs="仿宋"/>
              <w:bCs/>
              <w:color w:val="000000" w:themeColor="text1"/>
              <w:sz w:val="28"/>
              <w:szCs w:val="28"/>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42</w:t>
          </w:r>
          <w:r>
            <w:rPr>
              <w:rFonts w:hint="eastAsia" w:ascii="仿宋" w:hAnsi="仿宋" w:eastAsia="仿宋" w:cs="仿宋"/>
              <w:bCs/>
              <w:color w:val="000000" w:themeColor="text1"/>
              <w:sz w:val="28"/>
              <w:szCs w:val="28"/>
              <w14:textFill>
                <w14:solidFill>
                  <w14:schemeClr w14:val="tx1"/>
                </w14:solidFill>
              </w14:textFill>
            </w:rPr>
            <w:fldChar w:fldCharType="end"/>
          </w:r>
          <w:r>
            <w:rPr>
              <w:rFonts w:hint="eastAsia" w:ascii="仿宋" w:hAnsi="仿宋" w:eastAsia="仿宋" w:cs="仿宋"/>
              <w:bCs/>
              <w:color w:val="000000" w:themeColor="text1"/>
              <w:sz w:val="28"/>
              <w:szCs w:val="28"/>
              <w14:textFill>
                <w14:solidFill>
                  <w14:schemeClr w14:val="tx1"/>
                </w14:solidFill>
              </w14:textFill>
            </w:rPr>
            <w:fldChar w:fldCharType="end"/>
          </w:r>
        </w:p>
        <w:p w14:paraId="63363724">
          <w:pPr>
            <w:pStyle w:val="18"/>
            <w:tabs>
              <w:tab w:val="right" w:leader="dot" w:pos="8306"/>
              <w:tab w:val="clear" w:pos="8296"/>
            </w:tabs>
            <w:rPr>
              <w:rFonts w:ascii="仿宋" w:hAnsi="仿宋" w:eastAsia="仿宋" w:cs="仿宋"/>
              <w:bCs/>
              <w:color w:val="000000" w:themeColor="text1"/>
              <w:sz w:val="28"/>
              <w:szCs w:val="28"/>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"_Toc14219" </w:instrText>
          </w:r>
          <w:r>
            <w:rPr>
              <w:color w:val="000000" w:themeColor="text1"/>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九、一般公共预算财政拨款项目支出决算表</w:t>
          </w:r>
          <w:r>
            <w:rPr>
              <w:rFonts w:hint="eastAsia" w:ascii="仿宋" w:hAnsi="仿宋" w:eastAsia="仿宋" w:cs="仿宋"/>
              <w:bCs/>
              <w:color w:val="000000" w:themeColor="text1"/>
              <w:sz w:val="28"/>
              <w:szCs w:val="28"/>
              <w14:textFill>
                <w14:solidFill>
                  <w14:schemeClr w14:val="tx1"/>
                </w14:solidFill>
              </w14:textFill>
            </w:rPr>
            <w:tab/>
          </w:r>
          <w:r>
            <w:rPr>
              <w:rFonts w:hint="eastAsia" w:ascii="仿宋" w:hAnsi="仿宋" w:eastAsia="仿宋" w:cs="仿宋"/>
              <w:bCs/>
              <w:color w:val="000000" w:themeColor="text1"/>
              <w:sz w:val="28"/>
              <w:szCs w:val="28"/>
              <w14:textFill>
                <w14:solidFill>
                  <w14:schemeClr w14:val="tx1"/>
                </w14:solidFill>
              </w14:textFill>
            </w:rPr>
            <w:fldChar w:fldCharType="begin"/>
          </w:r>
          <w:r>
            <w:rPr>
              <w:rFonts w:hint="eastAsia" w:ascii="仿宋" w:hAnsi="仿宋" w:eastAsia="仿宋" w:cs="仿宋"/>
              <w:bCs/>
              <w:color w:val="000000" w:themeColor="text1"/>
              <w:sz w:val="28"/>
              <w:szCs w:val="28"/>
              <w14:textFill>
                <w14:solidFill>
                  <w14:schemeClr w14:val="tx1"/>
                </w14:solidFill>
              </w14:textFill>
            </w:rPr>
            <w:instrText xml:space="preserve"> PAGEREF _Toc14219 \h </w:instrText>
          </w:r>
          <w:r>
            <w:rPr>
              <w:rFonts w:hint="eastAsia" w:ascii="仿宋" w:hAnsi="仿宋" w:eastAsia="仿宋" w:cs="仿宋"/>
              <w:bCs/>
              <w:color w:val="000000" w:themeColor="text1"/>
              <w:sz w:val="28"/>
              <w:szCs w:val="28"/>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42</w:t>
          </w:r>
          <w:r>
            <w:rPr>
              <w:rFonts w:hint="eastAsia" w:ascii="仿宋" w:hAnsi="仿宋" w:eastAsia="仿宋" w:cs="仿宋"/>
              <w:bCs/>
              <w:color w:val="000000" w:themeColor="text1"/>
              <w:sz w:val="28"/>
              <w:szCs w:val="28"/>
              <w14:textFill>
                <w14:solidFill>
                  <w14:schemeClr w14:val="tx1"/>
                </w14:solidFill>
              </w14:textFill>
            </w:rPr>
            <w:fldChar w:fldCharType="end"/>
          </w:r>
          <w:r>
            <w:rPr>
              <w:rFonts w:hint="eastAsia" w:ascii="仿宋" w:hAnsi="仿宋" w:eastAsia="仿宋" w:cs="仿宋"/>
              <w:bCs/>
              <w:color w:val="000000" w:themeColor="text1"/>
              <w:sz w:val="28"/>
              <w:szCs w:val="28"/>
              <w14:textFill>
                <w14:solidFill>
                  <w14:schemeClr w14:val="tx1"/>
                </w14:solidFill>
              </w14:textFill>
            </w:rPr>
            <w:fldChar w:fldCharType="end"/>
          </w:r>
        </w:p>
        <w:p w14:paraId="5072A740">
          <w:pPr>
            <w:pStyle w:val="18"/>
            <w:tabs>
              <w:tab w:val="right" w:leader="dot" w:pos="8306"/>
              <w:tab w:val="clear" w:pos="8296"/>
            </w:tabs>
            <w:rPr>
              <w:rFonts w:ascii="仿宋" w:hAnsi="仿宋" w:eastAsia="仿宋" w:cs="仿宋"/>
              <w:bCs/>
              <w:color w:val="000000" w:themeColor="text1"/>
              <w:sz w:val="28"/>
              <w:szCs w:val="28"/>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"_Toc27528" </w:instrText>
          </w:r>
          <w:r>
            <w:rPr>
              <w:color w:val="000000" w:themeColor="text1"/>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十、一般公共预算财政拨款“三公”经费支出决算表</w:t>
          </w:r>
          <w:r>
            <w:rPr>
              <w:rFonts w:hint="eastAsia" w:ascii="仿宋" w:hAnsi="仿宋" w:eastAsia="仿宋" w:cs="仿宋"/>
              <w:bCs/>
              <w:color w:val="000000" w:themeColor="text1"/>
              <w:sz w:val="28"/>
              <w:szCs w:val="28"/>
              <w14:textFill>
                <w14:solidFill>
                  <w14:schemeClr w14:val="tx1"/>
                </w14:solidFill>
              </w14:textFill>
            </w:rPr>
            <w:tab/>
          </w:r>
          <w:r>
            <w:rPr>
              <w:rFonts w:hint="eastAsia" w:ascii="仿宋" w:hAnsi="仿宋" w:eastAsia="仿宋" w:cs="仿宋"/>
              <w:bCs/>
              <w:color w:val="000000" w:themeColor="text1"/>
              <w:sz w:val="28"/>
              <w:szCs w:val="28"/>
              <w14:textFill>
                <w14:solidFill>
                  <w14:schemeClr w14:val="tx1"/>
                </w14:solidFill>
              </w14:textFill>
            </w:rPr>
            <w:fldChar w:fldCharType="begin"/>
          </w:r>
          <w:r>
            <w:rPr>
              <w:rFonts w:hint="eastAsia" w:ascii="仿宋" w:hAnsi="仿宋" w:eastAsia="仿宋" w:cs="仿宋"/>
              <w:bCs/>
              <w:color w:val="000000" w:themeColor="text1"/>
              <w:sz w:val="28"/>
              <w:szCs w:val="28"/>
              <w14:textFill>
                <w14:solidFill>
                  <w14:schemeClr w14:val="tx1"/>
                </w14:solidFill>
              </w14:textFill>
            </w:rPr>
            <w:instrText xml:space="preserve"> PAGEREF _Toc27528 \h </w:instrText>
          </w:r>
          <w:r>
            <w:rPr>
              <w:rFonts w:hint="eastAsia" w:ascii="仿宋" w:hAnsi="仿宋" w:eastAsia="仿宋" w:cs="仿宋"/>
              <w:bCs/>
              <w:color w:val="000000" w:themeColor="text1"/>
              <w:sz w:val="28"/>
              <w:szCs w:val="28"/>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42</w:t>
          </w:r>
          <w:r>
            <w:rPr>
              <w:rFonts w:hint="eastAsia" w:ascii="仿宋" w:hAnsi="仿宋" w:eastAsia="仿宋" w:cs="仿宋"/>
              <w:bCs/>
              <w:color w:val="000000" w:themeColor="text1"/>
              <w:sz w:val="28"/>
              <w:szCs w:val="28"/>
              <w14:textFill>
                <w14:solidFill>
                  <w14:schemeClr w14:val="tx1"/>
                </w14:solidFill>
              </w14:textFill>
            </w:rPr>
            <w:fldChar w:fldCharType="end"/>
          </w:r>
          <w:r>
            <w:rPr>
              <w:rFonts w:hint="eastAsia" w:ascii="仿宋" w:hAnsi="仿宋" w:eastAsia="仿宋" w:cs="仿宋"/>
              <w:bCs/>
              <w:color w:val="000000" w:themeColor="text1"/>
              <w:sz w:val="28"/>
              <w:szCs w:val="28"/>
              <w14:textFill>
                <w14:solidFill>
                  <w14:schemeClr w14:val="tx1"/>
                </w14:solidFill>
              </w14:textFill>
            </w:rPr>
            <w:fldChar w:fldCharType="end"/>
          </w:r>
        </w:p>
        <w:p w14:paraId="6AC3CDB9">
          <w:pPr>
            <w:pStyle w:val="18"/>
            <w:tabs>
              <w:tab w:val="right" w:leader="dot" w:pos="8306"/>
              <w:tab w:val="clear" w:pos="8296"/>
            </w:tabs>
            <w:rPr>
              <w:rFonts w:ascii="仿宋" w:hAnsi="仿宋" w:eastAsia="仿宋" w:cs="仿宋"/>
              <w:bCs/>
              <w:color w:val="000000" w:themeColor="text1"/>
              <w:sz w:val="28"/>
              <w:szCs w:val="28"/>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"_Toc26531" </w:instrText>
          </w:r>
          <w:r>
            <w:rPr>
              <w:color w:val="000000" w:themeColor="text1"/>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十一、政府性基金预算财政拨款收入支出决算表</w:t>
          </w:r>
          <w:r>
            <w:rPr>
              <w:rFonts w:hint="eastAsia" w:ascii="仿宋" w:hAnsi="仿宋" w:eastAsia="仿宋" w:cs="仿宋"/>
              <w:bCs/>
              <w:color w:val="000000" w:themeColor="text1"/>
              <w:sz w:val="28"/>
              <w:szCs w:val="28"/>
              <w14:textFill>
                <w14:solidFill>
                  <w14:schemeClr w14:val="tx1"/>
                </w14:solidFill>
              </w14:textFill>
            </w:rPr>
            <w:tab/>
          </w:r>
          <w:r>
            <w:rPr>
              <w:rFonts w:hint="eastAsia" w:ascii="仿宋" w:hAnsi="仿宋" w:eastAsia="仿宋" w:cs="仿宋"/>
              <w:bCs/>
              <w:color w:val="000000" w:themeColor="text1"/>
              <w:sz w:val="28"/>
              <w:szCs w:val="28"/>
              <w14:textFill>
                <w14:solidFill>
                  <w14:schemeClr w14:val="tx1"/>
                </w14:solidFill>
              </w14:textFill>
            </w:rPr>
            <w:fldChar w:fldCharType="begin"/>
          </w:r>
          <w:r>
            <w:rPr>
              <w:rFonts w:hint="eastAsia" w:ascii="仿宋" w:hAnsi="仿宋" w:eastAsia="仿宋" w:cs="仿宋"/>
              <w:bCs/>
              <w:color w:val="000000" w:themeColor="text1"/>
              <w:sz w:val="28"/>
              <w:szCs w:val="28"/>
              <w14:textFill>
                <w14:solidFill>
                  <w14:schemeClr w14:val="tx1"/>
                </w14:solidFill>
              </w14:textFill>
            </w:rPr>
            <w:instrText xml:space="preserve"> PAGEREF _Toc26531 \h </w:instrText>
          </w:r>
          <w:r>
            <w:rPr>
              <w:rFonts w:hint="eastAsia" w:ascii="仿宋" w:hAnsi="仿宋" w:eastAsia="仿宋" w:cs="仿宋"/>
              <w:bCs/>
              <w:color w:val="000000" w:themeColor="text1"/>
              <w:sz w:val="28"/>
              <w:szCs w:val="28"/>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42</w:t>
          </w:r>
          <w:r>
            <w:rPr>
              <w:rFonts w:hint="eastAsia" w:ascii="仿宋" w:hAnsi="仿宋" w:eastAsia="仿宋" w:cs="仿宋"/>
              <w:bCs/>
              <w:color w:val="000000" w:themeColor="text1"/>
              <w:sz w:val="28"/>
              <w:szCs w:val="28"/>
              <w14:textFill>
                <w14:solidFill>
                  <w14:schemeClr w14:val="tx1"/>
                </w14:solidFill>
              </w14:textFill>
            </w:rPr>
            <w:fldChar w:fldCharType="end"/>
          </w:r>
          <w:r>
            <w:rPr>
              <w:rFonts w:hint="eastAsia" w:ascii="仿宋" w:hAnsi="仿宋" w:eastAsia="仿宋" w:cs="仿宋"/>
              <w:bCs/>
              <w:color w:val="000000" w:themeColor="text1"/>
              <w:sz w:val="28"/>
              <w:szCs w:val="28"/>
              <w14:textFill>
                <w14:solidFill>
                  <w14:schemeClr w14:val="tx1"/>
                </w14:solidFill>
              </w14:textFill>
            </w:rPr>
            <w:fldChar w:fldCharType="end"/>
          </w:r>
        </w:p>
        <w:p w14:paraId="14F42BBB">
          <w:pPr>
            <w:pStyle w:val="18"/>
            <w:tabs>
              <w:tab w:val="right" w:leader="dot" w:pos="8306"/>
              <w:tab w:val="clear" w:pos="8296"/>
            </w:tabs>
            <w:rPr>
              <w:rFonts w:ascii="仿宋" w:hAnsi="仿宋" w:eastAsia="仿宋" w:cs="仿宋"/>
              <w:bCs/>
              <w:color w:val="000000" w:themeColor="text1"/>
              <w:sz w:val="28"/>
              <w:szCs w:val="28"/>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"_Toc20109" </w:instrText>
          </w:r>
          <w:r>
            <w:rPr>
              <w:color w:val="000000" w:themeColor="text1"/>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十二、政府性基金预算财政拨款“三公”经费支出决算表</w:t>
          </w:r>
          <w:r>
            <w:rPr>
              <w:rFonts w:hint="eastAsia" w:ascii="仿宋" w:hAnsi="仿宋" w:eastAsia="仿宋" w:cs="仿宋"/>
              <w:bCs/>
              <w:color w:val="000000" w:themeColor="text1"/>
              <w:sz w:val="28"/>
              <w:szCs w:val="28"/>
              <w14:textFill>
                <w14:solidFill>
                  <w14:schemeClr w14:val="tx1"/>
                </w14:solidFill>
              </w14:textFill>
            </w:rPr>
            <w:tab/>
          </w:r>
          <w:r>
            <w:rPr>
              <w:rFonts w:hint="eastAsia" w:ascii="仿宋" w:hAnsi="仿宋" w:eastAsia="仿宋" w:cs="仿宋"/>
              <w:bCs/>
              <w:color w:val="000000" w:themeColor="text1"/>
              <w:sz w:val="28"/>
              <w:szCs w:val="28"/>
              <w14:textFill>
                <w14:solidFill>
                  <w14:schemeClr w14:val="tx1"/>
                </w14:solidFill>
              </w14:textFill>
            </w:rPr>
            <w:fldChar w:fldCharType="begin"/>
          </w:r>
          <w:r>
            <w:rPr>
              <w:rFonts w:hint="eastAsia" w:ascii="仿宋" w:hAnsi="仿宋" w:eastAsia="仿宋" w:cs="仿宋"/>
              <w:bCs/>
              <w:color w:val="000000" w:themeColor="text1"/>
              <w:sz w:val="28"/>
              <w:szCs w:val="28"/>
              <w14:textFill>
                <w14:solidFill>
                  <w14:schemeClr w14:val="tx1"/>
                </w14:solidFill>
              </w14:textFill>
            </w:rPr>
            <w:instrText xml:space="preserve"> PAGEREF _Toc20109 \h </w:instrText>
          </w:r>
          <w:r>
            <w:rPr>
              <w:rFonts w:hint="eastAsia" w:ascii="仿宋" w:hAnsi="仿宋" w:eastAsia="仿宋" w:cs="仿宋"/>
              <w:bCs/>
              <w:color w:val="000000" w:themeColor="text1"/>
              <w:sz w:val="28"/>
              <w:szCs w:val="28"/>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42</w:t>
          </w:r>
          <w:r>
            <w:rPr>
              <w:rFonts w:hint="eastAsia" w:ascii="仿宋" w:hAnsi="仿宋" w:eastAsia="仿宋" w:cs="仿宋"/>
              <w:bCs/>
              <w:color w:val="000000" w:themeColor="text1"/>
              <w:sz w:val="28"/>
              <w:szCs w:val="28"/>
              <w14:textFill>
                <w14:solidFill>
                  <w14:schemeClr w14:val="tx1"/>
                </w14:solidFill>
              </w14:textFill>
            </w:rPr>
            <w:fldChar w:fldCharType="end"/>
          </w:r>
          <w:r>
            <w:rPr>
              <w:rFonts w:hint="eastAsia" w:ascii="仿宋" w:hAnsi="仿宋" w:eastAsia="仿宋" w:cs="仿宋"/>
              <w:bCs/>
              <w:color w:val="000000" w:themeColor="text1"/>
              <w:sz w:val="28"/>
              <w:szCs w:val="28"/>
              <w14:textFill>
                <w14:solidFill>
                  <w14:schemeClr w14:val="tx1"/>
                </w14:solidFill>
              </w14:textFill>
            </w:rPr>
            <w:fldChar w:fldCharType="end"/>
          </w:r>
        </w:p>
        <w:p w14:paraId="79630D7B">
          <w:pPr>
            <w:pStyle w:val="18"/>
            <w:tabs>
              <w:tab w:val="right" w:leader="dot" w:pos="8306"/>
              <w:tab w:val="clear" w:pos="8296"/>
            </w:tabs>
            <w:rPr>
              <w:rFonts w:ascii="仿宋" w:hAnsi="仿宋" w:eastAsia="仿宋" w:cs="仿宋"/>
              <w:bCs/>
              <w:color w:val="000000" w:themeColor="text1"/>
              <w:sz w:val="28"/>
              <w:szCs w:val="28"/>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"_Toc24016" </w:instrText>
          </w:r>
          <w:r>
            <w:rPr>
              <w:color w:val="000000" w:themeColor="text1"/>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十三、国有资本经营预算财政拨款收入支出决算表</w:t>
          </w:r>
          <w:r>
            <w:rPr>
              <w:rFonts w:hint="eastAsia" w:ascii="仿宋" w:hAnsi="仿宋" w:eastAsia="仿宋" w:cs="仿宋"/>
              <w:bCs/>
              <w:color w:val="000000" w:themeColor="text1"/>
              <w:sz w:val="28"/>
              <w:szCs w:val="28"/>
              <w14:textFill>
                <w14:solidFill>
                  <w14:schemeClr w14:val="tx1"/>
                </w14:solidFill>
              </w14:textFill>
            </w:rPr>
            <w:tab/>
          </w:r>
          <w:r>
            <w:rPr>
              <w:rFonts w:hint="eastAsia" w:ascii="仿宋" w:hAnsi="仿宋" w:eastAsia="仿宋" w:cs="仿宋"/>
              <w:bCs/>
              <w:color w:val="000000" w:themeColor="text1"/>
              <w:sz w:val="28"/>
              <w:szCs w:val="28"/>
              <w14:textFill>
                <w14:solidFill>
                  <w14:schemeClr w14:val="tx1"/>
                </w14:solidFill>
              </w14:textFill>
            </w:rPr>
            <w:fldChar w:fldCharType="begin"/>
          </w:r>
          <w:r>
            <w:rPr>
              <w:rFonts w:hint="eastAsia" w:ascii="仿宋" w:hAnsi="仿宋" w:eastAsia="仿宋" w:cs="仿宋"/>
              <w:bCs/>
              <w:color w:val="000000" w:themeColor="text1"/>
              <w:sz w:val="28"/>
              <w:szCs w:val="28"/>
              <w14:textFill>
                <w14:solidFill>
                  <w14:schemeClr w14:val="tx1"/>
                </w14:solidFill>
              </w14:textFill>
            </w:rPr>
            <w:instrText xml:space="preserve"> PAGEREF _Toc24016 \h </w:instrText>
          </w:r>
          <w:r>
            <w:rPr>
              <w:rFonts w:hint="eastAsia" w:ascii="仿宋" w:hAnsi="仿宋" w:eastAsia="仿宋" w:cs="仿宋"/>
              <w:bCs/>
              <w:color w:val="000000" w:themeColor="text1"/>
              <w:sz w:val="28"/>
              <w:szCs w:val="28"/>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42</w:t>
          </w:r>
          <w:r>
            <w:rPr>
              <w:rFonts w:hint="eastAsia" w:ascii="仿宋" w:hAnsi="仿宋" w:eastAsia="仿宋" w:cs="仿宋"/>
              <w:bCs/>
              <w:color w:val="000000" w:themeColor="text1"/>
              <w:sz w:val="28"/>
              <w:szCs w:val="28"/>
              <w14:textFill>
                <w14:solidFill>
                  <w14:schemeClr w14:val="tx1"/>
                </w14:solidFill>
              </w14:textFill>
            </w:rPr>
            <w:fldChar w:fldCharType="end"/>
          </w:r>
          <w:r>
            <w:rPr>
              <w:rFonts w:hint="eastAsia" w:ascii="仿宋" w:hAnsi="仿宋" w:eastAsia="仿宋" w:cs="仿宋"/>
              <w:bCs/>
              <w:color w:val="000000" w:themeColor="text1"/>
              <w:sz w:val="28"/>
              <w:szCs w:val="28"/>
              <w14:textFill>
                <w14:solidFill>
                  <w14:schemeClr w14:val="tx1"/>
                </w14:solidFill>
              </w14:textFill>
            </w:rPr>
            <w:fldChar w:fldCharType="end"/>
          </w:r>
        </w:p>
        <w:p w14:paraId="3D6C8FBE">
          <w:pPr>
            <w:pStyle w:val="18"/>
            <w:tabs>
              <w:tab w:val="right" w:leader="dot" w:pos="8306"/>
              <w:tab w:val="clear"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"_Toc8943" </w:instrText>
          </w:r>
          <w:r>
            <w:rPr>
              <w:color w:val="000000" w:themeColor="text1"/>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十四、国有资本经营预算财政拨款支出决算表</w:t>
          </w:r>
          <w:r>
            <w:rPr>
              <w:rFonts w:hint="eastAsia" w:ascii="仿宋" w:hAnsi="仿宋" w:eastAsia="仿宋" w:cs="仿宋"/>
              <w:bCs/>
              <w:color w:val="000000" w:themeColor="text1"/>
              <w:sz w:val="28"/>
              <w:szCs w:val="28"/>
              <w14:textFill>
                <w14:solidFill>
                  <w14:schemeClr w14:val="tx1"/>
                </w14:solidFill>
              </w14:textFill>
            </w:rPr>
            <w:tab/>
          </w:r>
          <w:r>
            <w:rPr>
              <w:rFonts w:hint="eastAsia" w:ascii="仿宋" w:hAnsi="仿宋" w:eastAsia="仿宋" w:cs="仿宋"/>
              <w:bCs/>
              <w:color w:val="000000" w:themeColor="text1"/>
              <w:sz w:val="28"/>
              <w:szCs w:val="28"/>
              <w14:textFill>
                <w14:solidFill>
                  <w14:schemeClr w14:val="tx1"/>
                </w14:solidFill>
              </w14:textFill>
            </w:rPr>
            <w:fldChar w:fldCharType="begin"/>
          </w:r>
          <w:r>
            <w:rPr>
              <w:rFonts w:hint="eastAsia" w:ascii="仿宋" w:hAnsi="仿宋" w:eastAsia="仿宋" w:cs="仿宋"/>
              <w:bCs/>
              <w:color w:val="000000" w:themeColor="text1"/>
              <w:sz w:val="28"/>
              <w:szCs w:val="28"/>
              <w14:textFill>
                <w14:solidFill>
                  <w14:schemeClr w14:val="tx1"/>
                </w14:solidFill>
              </w14:textFill>
            </w:rPr>
            <w:instrText xml:space="preserve"> PAGEREF _Toc8943 \h </w:instrText>
          </w:r>
          <w:r>
            <w:rPr>
              <w:rFonts w:hint="eastAsia" w:ascii="仿宋" w:hAnsi="仿宋" w:eastAsia="仿宋" w:cs="仿宋"/>
              <w:bCs/>
              <w:color w:val="000000" w:themeColor="text1"/>
              <w:sz w:val="28"/>
              <w:szCs w:val="28"/>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42</w:t>
          </w:r>
          <w:r>
            <w:rPr>
              <w:rFonts w:hint="eastAsia" w:ascii="仿宋" w:hAnsi="仿宋" w:eastAsia="仿宋" w:cs="仿宋"/>
              <w:bCs/>
              <w:color w:val="000000" w:themeColor="text1"/>
              <w:sz w:val="28"/>
              <w:szCs w:val="28"/>
              <w14:textFill>
                <w14:solidFill>
                  <w14:schemeClr w14:val="tx1"/>
                </w14:solidFill>
              </w14:textFill>
            </w:rPr>
            <w:fldChar w:fldCharType="end"/>
          </w:r>
          <w:r>
            <w:rPr>
              <w:rFonts w:hint="eastAsia" w:ascii="仿宋" w:hAnsi="仿宋" w:eastAsia="仿宋" w:cs="仿宋"/>
              <w:bCs/>
              <w:color w:val="000000" w:themeColor="text1"/>
              <w:sz w:val="28"/>
              <w:szCs w:val="28"/>
              <w14:textFill>
                <w14:solidFill>
                  <w14:schemeClr w14:val="tx1"/>
                </w14:solidFill>
              </w14:textFill>
            </w:rPr>
            <w:fldChar w:fldCharType="end"/>
          </w:r>
        </w:p>
        <w:p w14:paraId="5CF816BD">
          <w:pPr>
            <w:rPr>
              <w:b/>
            </w:rPr>
          </w:pPr>
          <w:r>
            <w:rPr>
              <w:color w:val="000000" w:themeColor="text1"/>
              <w14:textFill>
                <w14:solidFill>
                  <w14:schemeClr w14:val="tx1"/>
                </w14:solidFill>
              </w14:textFill>
            </w:rPr>
            <w:fldChar w:fldCharType="end"/>
          </w:r>
        </w:p>
      </w:sdtContent>
    </w:sdt>
    <w:p w14:paraId="1CD1E402">
      <w:pPr>
        <w:rPr>
          <w:b/>
        </w:rPr>
      </w:pPr>
    </w:p>
    <w:p w14:paraId="4243159A">
      <w:pPr>
        <w:rPr>
          <w:b/>
        </w:rPr>
      </w:pPr>
    </w:p>
    <w:p w14:paraId="4590C138">
      <w:pPr>
        <w:rPr>
          <w:b/>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p>
    <w:p w14:paraId="7C0BE594">
      <w:pPr>
        <w:rPr>
          <w:b/>
        </w:rPr>
      </w:pPr>
    </w:p>
    <w:p w14:paraId="44BBD2D0">
      <w:pPr>
        <w:spacing w:line="700" w:lineRule="exact"/>
        <w:jc w:val="center"/>
        <w:outlineLvl w:val="0"/>
        <w:rPr>
          <w:rFonts w:ascii="楷体_GB2312" w:hAnsi="楷体_GB2312" w:eastAsia="楷体_GB2312" w:cs="楷体_GB2312"/>
          <w:b/>
          <w:bCs/>
          <w:sz w:val="32"/>
          <w:szCs w:val="32"/>
        </w:rPr>
      </w:pPr>
      <w:bookmarkStart w:id="15" w:name="_Toc9546"/>
      <w:r>
        <w:rPr>
          <w:rFonts w:hint="eastAsia" w:ascii="黑体" w:hAnsi="黑体" w:eastAsia="黑体" w:cs="黑体"/>
          <w:sz w:val="32"/>
          <w:szCs w:val="32"/>
        </w:rPr>
        <w:t>第一部分 部门概况</w:t>
      </w:r>
      <w:bookmarkEnd w:id="14"/>
      <w:bookmarkEnd w:id="15"/>
      <w:bookmarkStart w:id="16" w:name="_Toc22300"/>
      <w:bookmarkStart w:id="17" w:name="_Toc15396600"/>
      <w:bookmarkStart w:id="18" w:name="_Toc15377197"/>
    </w:p>
    <w:p w14:paraId="3832814A">
      <w:pPr>
        <w:spacing w:line="560" w:lineRule="exact"/>
        <w:ind w:firstLine="643" w:firstLineChars="200"/>
        <w:outlineLvl w:val="1"/>
        <w:rPr>
          <w:rFonts w:ascii="楷体_GB2312" w:hAnsi="楷体_GB2312" w:eastAsia="楷体_GB2312" w:cs="楷体_GB2312"/>
          <w:b/>
          <w:bCs/>
          <w:sz w:val="32"/>
          <w:szCs w:val="32"/>
        </w:rPr>
      </w:pPr>
      <w:bookmarkStart w:id="19" w:name="_Toc24494"/>
      <w:r>
        <w:rPr>
          <w:rFonts w:hint="eastAsia" w:ascii="楷体_GB2312" w:hAnsi="楷体_GB2312" w:eastAsia="楷体_GB2312" w:cs="楷体_GB2312"/>
          <w:b/>
          <w:bCs/>
          <w:sz w:val="32"/>
          <w:szCs w:val="32"/>
        </w:rPr>
        <w:t>一、</w:t>
      </w:r>
      <w:bookmarkEnd w:id="16"/>
      <w:bookmarkEnd w:id="17"/>
      <w:bookmarkEnd w:id="18"/>
      <w:r>
        <w:rPr>
          <w:rFonts w:hint="eastAsia" w:ascii="楷体_GB2312" w:hAnsi="楷体_GB2312" w:eastAsia="楷体_GB2312" w:cs="楷体_GB2312"/>
          <w:b/>
          <w:bCs/>
          <w:sz w:val="32"/>
          <w:szCs w:val="32"/>
        </w:rPr>
        <w:t>部门职责</w:t>
      </w:r>
      <w:bookmarkEnd w:id="19"/>
    </w:p>
    <w:p w14:paraId="23CC45D9">
      <w:pPr>
        <w:spacing w:line="560" w:lineRule="exact"/>
        <w:ind w:firstLine="640" w:firstLineChars="200"/>
        <w:rPr>
          <w:rFonts w:eastAsia="仿宋_GB2312"/>
          <w:sz w:val="32"/>
          <w:szCs w:val="32"/>
        </w:rPr>
      </w:pPr>
      <w:bookmarkStart w:id="20" w:name="_Toc15377200"/>
      <w:bookmarkStart w:id="21" w:name="_Toc15396601"/>
      <w:bookmarkStart w:id="22" w:name="_Toc32346"/>
      <w:r>
        <w:rPr>
          <w:rFonts w:eastAsia="仿宋_GB2312"/>
          <w:sz w:val="32"/>
          <w:szCs w:val="32"/>
        </w:rPr>
        <w:t>负责全县各级党组织建设；负责全县的干部管理工作；负责全县公务员工作；负责全县人才工作的宏观指导、组织协调和督促检查；负责全县干部教育培训工作的宏观指导、政策规划、组织协调和督促检查；负责全县干部监督工作的宏观指导和综合协调、制定和落实干部监督工作制度；负责全县老干部工作</w:t>
      </w:r>
      <w:r>
        <w:rPr>
          <w:rFonts w:hint="eastAsia" w:eastAsia="仿宋_GB2312"/>
          <w:sz w:val="32"/>
          <w:szCs w:val="32"/>
          <w:lang w:eastAsia="zh-CN"/>
        </w:rPr>
        <w:t>；</w:t>
      </w:r>
      <w:r>
        <w:rPr>
          <w:rFonts w:eastAsia="仿宋_GB2312"/>
          <w:sz w:val="32"/>
          <w:szCs w:val="32"/>
        </w:rPr>
        <w:t>承担县委党建领导小组、县人才工作领导小组日常工作；承办州委</w:t>
      </w:r>
      <w:r>
        <w:rPr>
          <w:rFonts w:hint="eastAsia" w:eastAsia="仿宋_GB2312"/>
          <w:sz w:val="32"/>
          <w:szCs w:val="32"/>
          <w:lang w:eastAsia="zh-CN"/>
        </w:rPr>
        <w:t>、</w:t>
      </w:r>
      <w:r>
        <w:rPr>
          <w:rFonts w:eastAsia="仿宋_GB2312"/>
          <w:sz w:val="32"/>
          <w:szCs w:val="32"/>
        </w:rPr>
        <w:t>县委组织部交办的其他工作事项。</w:t>
      </w:r>
    </w:p>
    <w:p w14:paraId="27C26A89">
      <w:pPr>
        <w:spacing w:line="560" w:lineRule="exact"/>
        <w:ind w:firstLine="643" w:firstLineChars="200"/>
        <w:outlineLvl w:val="1"/>
        <w:rPr>
          <w:rFonts w:ascii="楷体_GB2312" w:hAnsi="楷体_GB2312" w:eastAsia="楷体_GB2312" w:cs="楷体_GB2312"/>
          <w:b/>
          <w:bCs/>
          <w:sz w:val="32"/>
          <w:szCs w:val="32"/>
        </w:rPr>
      </w:pPr>
      <w:bookmarkStart w:id="23" w:name="_Toc17290"/>
      <w:r>
        <w:rPr>
          <w:rFonts w:ascii="楷体_GB2312" w:hAnsi="楷体_GB2312" w:eastAsia="楷体_GB2312" w:cs="楷体_GB2312"/>
          <w:b/>
          <w:bCs/>
          <w:sz w:val="32"/>
          <w:szCs w:val="32"/>
        </w:rPr>
        <w:t>二、机构设置</w:t>
      </w:r>
      <w:bookmarkEnd w:id="20"/>
      <w:bookmarkEnd w:id="21"/>
      <w:bookmarkEnd w:id="22"/>
      <w:bookmarkEnd w:id="23"/>
    </w:p>
    <w:p w14:paraId="0051A19A">
      <w:pPr>
        <w:spacing w:line="560" w:lineRule="exact"/>
        <w:ind w:firstLine="640" w:firstLineChars="200"/>
        <w:rPr>
          <w:rFonts w:eastAsia="仿宋_GB2312"/>
          <w:sz w:val="32"/>
          <w:szCs w:val="32"/>
        </w:rPr>
      </w:pPr>
      <w:r>
        <w:rPr>
          <w:rFonts w:eastAsia="仿宋_GB2312"/>
          <w:sz w:val="32"/>
          <w:szCs w:val="32"/>
        </w:rPr>
        <w:t>中共阿坝州壤塘县委组织部</w:t>
      </w:r>
      <w:r>
        <w:rPr>
          <w:rFonts w:hint="eastAsia" w:eastAsia="仿宋_GB2312"/>
          <w:sz w:val="32"/>
          <w:szCs w:val="32"/>
        </w:rPr>
        <w:t>有两个下属二级预算单位，分别为</w:t>
      </w:r>
      <w:r>
        <w:rPr>
          <w:rFonts w:eastAsia="仿宋_GB2312"/>
          <w:sz w:val="32"/>
          <w:szCs w:val="32"/>
        </w:rPr>
        <w:t>中共阿坝州壤塘县委组织部</w:t>
      </w:r>
      <w:r>
        <w:rPr>
          <w:rFonts w:hint="eastAsia" w:eastAsia="仿宋_GB2312"/>
          <w:sz w:val="32"/>
          <w:szCs w:val="32"/>
        </w:rPr>
        <w:t>和</w:t>
      </w:r>
      <w:r>
        <w:rPr>
          <w:rFonts w:hint="eastAsia" w:eastAsia="仿宋_GB2312"/>
          <w:sz w:val="32"/>
          <w:szCs w:val="32"/>
          <w:lang w:eastAsia="zh-CN"/>
        </w:rPr>
        <w:t>中共</w:t>
      </w:r>
      <w:r>
        <w:rPr>
          <w:rFonts w:hint="eastAsia" w:eastAsia="仿宋_GB2312"/>
          <w:sz w:val="32"/>
          <w:szCs w:val="32"/>
        </w:rPr>
        <w:t>阿坝州壤塘县委组织部干部档案管理中心</w:t>
      </w:r>
      <w:r>
        <w:rPr>
          <w:rFonts w:eastAsia="仿宋_GB2312"/>
          <w:sz w:val="32"/>
          <w:szCs w:val="32"/>
        </w:rPr>
        <w:t>。</w:t>
      </w:r>
    </w:p>
    <w:p w14:paraId="73C7B964">
      <w:pPr>
        <w:spacing w:line="560" w:lineRule="exact"/>
        <w:jc w:val="center"/>
        <w:outlineLvl w:val="0"/>
        <w:rPr>
          <w:rFonts w:ascii="仿宋" w:hAnsi="仿宋" w:eastAsia="仿宋" w:cs="仿宋"/>
          <w:b/>
          <w:bCs/>
          <w:sz w:val="32"/>
          <w:szCs w:val="32"/>
        </w:rPr>
      </w:pPr>
      <w:r>
        <w:rPr>
          <w:rFonts w:hint="eastAsia" w:ascii="仿宋_GB2312" w:hAnsi="仿宋_GB2312" w:eastAsia="仿宋_GB2312" w:cs="仿宋_GB2312"/>
          <w:sz w:val="32"/>
          <w:szCs w:val="32"/>
        </w:rPr>
        <w:br w:type="page"/>
      </w:r>
      <w:bookmarkStart w:id="24" w:name="_Toc15396602"/>
      <w:bookmarkStart w:id="25" w:name="_Toc16458"/>
      <w:bookmarkStart w:id="26" w:name="_Toc15377204"/>
      <w:bookmarkStart w:id="27" w:name="_Toc9893"/>
      <w:r>
        <w:rPr>
          <w:rFonts w:hint="eastAsia" w:ascii="黑体" w:hAnsi="黑体" w:eastAsia="黑体" w:cs="黑体"/>
          <w:sz w:val="32"/>
          <w:szCs w:val="32"/>
        </w:rPr>
        <w:t>第二部分 202</w:t>
      </w:r>
      <w:r>
        <w:rPr>
          <w:rFonts w:hint="eastAsia" w:ascii="黑体" w:hAnsi="黑体" w:eastAsia="黑体" w:cs="黑体"/>
          <w:sz w:val="32"/>
          <w:szCs w:val="32"/>
          <w:lang w:val="en-US" w:eastAsia="zh-CN"/>
        </w:rPr>
        <w:t>4</w:t>
      </w:r>
      <w:r>
        <w:rPr>
          <w:rFonts w:hint="eastAsia" w:ascii="黑体" w:hAnsi="黑体" w:eastAsia="黑体" w:cs="黑体"/>
          <w:sz w:val="32"/>
          <w:szCs w:val="32"/>
        </w:rPr>
        <w:t>年度部门决算情况说明</w:t>
      </w:r>
      <w:bookmarkEnd w:id="24"/>
      <w:bookmarkEnd w:id="25"/>
      <w:bookmarkEnd w:id="26"/>
      <w:bookmarkEnd w:id="27"/>
    </w:p>
    <w:p w14:paraId="710BF6F5">
      <w:pPr>
        <w:pStyle w:val="34"/>
        <w:spacing w:line="560" w:lineRule="exact"/>
        <w:ind w:left="1360" w:hanging="720" w:firstLineChars="0"/>
        <w:rPr>
          <w:rFonts w:ascii="楷体_GB2312" w:hAnsi="楷体_GB2312" w:eastAsia="楷体_GB2312" w:cs="楷体_GB2312"/>
          <w:b/>
          <w:bCs/>
          <w:sz w:val="32"/>
          <w:szCs w:val="32"/>
        </w:rPr>
      </w:pPr>
      <w:bookmarkStart w:id="28" w:name="_Toc15377205"/>
      <w:bookmarkStart w:id="29" w:name="_Toc18208"/>
      <w:bookmarkStart w:id="30" w:name="_Toc15396603"/>
    </w:p>
    <w:p w14:paraId="2ED8EC44">
      <w:pPr>
        <w:pStyle w:val="34"/>
        <w:spacing w:line="560" w:lineRule="exact"/>
        <w:ind w:left="1360" w:hanging="720" w:firstLineChars="0"/>
        <w:outlineLvl w:val="1"/>
        <w:rPr>
          <w:rFonts w:ascii="楷体_GB2312" w:hAnsi="楷体_GB2312" w:eastAsia="楷体_GB2312" w:cs="楷体_GB2312"/>
          <w:b/>
          <w:bCs/>
          <w:sz w:val="32"/>
          <w:szCs w:val="32"/>
        </w:rPr>
      </w:pPr>
      <w:bookmarkStart w:id="31" w:name="_Toc27841"/>
      <w:r>
        <w:rPr>
          <w:rFonts w:ascii="楷体_GB2312" w:hAnsi="楷体_GB2312" w:eastAsia="楷体_GB2312" w:cs="楷体_GB2312"/>
          <w:b/>
          <w:bCs/>
          <w:sz w:val="32"/>
          <w:szCs w:val="32"/>
        </w:rPr>
        <w:t>一、收入支出决算总体情况说明</w:t>
      </w:r>
      <w:bookmarkEnd w:id="28"/>
      <w:bookmarkEnd w:id="29"/>
      <w:bookmarkEnd w:id="30"/>
      <w:bookmarkEnd w:id="31"/>
    </w:p>
    <w:p w14:paraId="2FE67432">
      <w:pPr>
        <w:spacing w:line="560" w:lineRule="exact"/>
        <w:ind w:firstLine="640" w:firstLineChars="200"/>
        <w:rPr>
          <w:rFonts w:ascii="仿宋" w:hAnsi="仿宋" w:eastAsia="仿宋"/>
          <w:color w:val="000000"/>
          <w:sz w:val="32"/>
          <w:szCs w:val="32"/>
        </w:rPr>
      </w:pPr>
      <w:r>
        <w:rPr>
          <w:rFonts w:hint="eastAsia" w:eastAsia="仿宋" w:cs="Times New Roman"/>
          <w:color w:val="000000"/>
          <w:sz w:val="32"/>
          <w:szCs w:val="32"/>
          <w:lang w:eastAsia="zh-CN"/>
        </w:rPr>
        <w:t>2024</w:t>
      </w:r>
      <w:r>
        <w:rPr>
          <w:rFonts w:hint="eastAsia" w:ascii="仿宋" w:hAnsi="仿宋" w:eastAsia="仿宋" w:cs="仿宋"/>
          <w:color w:val="000000"/>
          <w:sz w:val="32"/>
          <w:szCs w:val="32"/>
        </w:rPr>
        <w:t>年度收入总计</w:t>
      </w:r>
      <w:r>
        <w:rPr>
          <w:rFonts w:hint="eastAsia" w:eastAsia="仿宋" w:cs="Times New Roman"/>
          <w:color w:val="000000"/>
          <w:sz w:val="32"/>
          <w:szCs w:val="32"/>
          <w:lang w:eastAsia="zh-CN"/>
        </w:rPr>
        <w:t>1890.47</w:t>
      </w:r>
      <w:r>
        <w:rPr>
          <w:rFonts w:hint="eastAsia" w:ascii="仿宋" w:hAnsi="仿宋" w:eastAsia="仿宋" w:cs="仿宋"/>
          <w:color w:val="000000"/>
          <w:sz w:val="32"/>
          <w:szCs w:val="32"/>
        </w:rPr>
        <w:t>万元，与</w:t>
      </w:r>
      <w:r>
        <w:rPr>
          <w:rFonts w:hint="eastAsia" w:eastAsia="仿宋" w:cs="Times New Roman"/>
          <w:color w:val="000000"/>
          <w:sz w:val="32"/>
          <w:szCs w:val="32"/>
          <w:lang w:eastAsia="zh-CN"/>
        </w:rPr>
        <w:t>2023</w:t>
      </w:r>
      <w:r>
        <w:rPr>
          <w:rFonts w:hint="eastAsia" w:ascii="仿宋" w:hAnsi="仿宋" w:eastAsia="仿宋" w:cs="仿宋"/>
          <w:color w:val="000000"/>
          <w:sz w:val="32"/>
          <w:szCs w:val="32"/>
        </w:rPr>
        <w:t>年相比，</w:t>
      </w:r>
      <w:r>
        <w:rPr>
          <w:rFonts w:hint="eastAsia" w:ascii="仿宋" w:hAnsi="仿宋" w:eastAsia="仿宋" w:cs="仿宋"/>
          <w:color w:val="000000"/>
          <w:sz w:val="32"/>
          <w:szCs w:val="32"/>
          <w:lang w:val="en-US" w:eastAsia="zh-CN"/>
        </w:rPr>
        <w:t>增加</w:t>
      </w:r>
      <w:r>
        <w:rPr>
          <w:rFonts w:hint="eastAsia" w:eastAsia="仿宋" w:cs="Times New Roman"/>
          <w:color w:val="000000"/>
          <w:sz w:val="32"/>
          <w:szCs w:val="32"/>
          <w:lang w:eastAsia="zh-CN"/>
        </w:rPr>
        <w:t>480.47</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val="en-US" w:eastAsia="zh-CN"/>
        </w:rPr>
        <w:t>增长</w:t>
      </w:r>
      <w:r>
        <w:rPr>
          <w:rFonts w:hint="eastAsia" w:eastAsia="仿宋" w:cs="Times New Roman"/>
          <w:color w:val="000000"/>
          <w:sz w:val="32"/>
          <w:szCs w:val="32"/>
          <w:lang w:val="en-US" w:eastAsia="zh-CN"/>
        </w:rPr>
        <w:t>34.08</w:t>
      </w:r>
      <w:r>
        <w:rPr>
          <w:rFonts w:hint="eastAsia" w:ascii="Times New Roman" w:hAnsi="Times New Roman" w:eastAsia="仿宋" w:cs="Times New Roman"/>
          <w:color w:val="000000"/>
          <w:sz w:val="32"/>
          <w:szCs w:val="32"/>
        </w:rPr>
        <w:t>%</w:t>
      </w:r>
      <w:r>
        <w:rPr>
          <w:rFonts w:hint="eastAsia" w:ascii="仿宋" w:hAnsi="仿宋" w:eastAsia="仿宋" w:cs="仿宋"/>
          <w:color w:val="000000"/>
          <w:sz w:val="32"/>
          <w:szCs w:val="32"/>
        </w:rPr>
        <w:t>。主要变动原因：当年</w:t>
      </w:r>
      <w:r>
        <w:rPr>
          <w:rFonts w:hint="eastAsia" w:ascii="仿宋" w:hAnsi="仿宋" w:eastAsia="仿宋" w:cs="仿宋"/>
          <w:color w:val="000000"/>
          <w:sz w:val="32"/>
          <w:szCs w:val="32"/>
          <w:lang w:val="en-US" w:eastAsia="zh-CN"/>
        </w:rPr>
        <w:t>项目增加，收入增加</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支出总计</w:t>
      </w:r>
      <w:r>
        <w:rPr>
          <w:rFonts w:hint="eastAsia" w:eastAsia="仿宋" w:cs="Times New Roman"/>
          <w:color w:val="000000"/>
          <w:sz w:val="32"/>
          <w:szCs w:val="32"/>
          <w:lang w:val="en-US" w:eastAsia="zh-CN"/>
        </w:rPr>
        <w:t>1875.46</w:t>
      </w:r>
      <w:r>
        <w:rPr>
          <w:rFonts w:hint="eastAsia" w:ascii="仿宋" w:hAnsi="仿宋" w:eastAsia="仿宋" w:cs="仿宋"/>
          <w:color w:val="000000"/>
          <w:sz w:val="32"/>
          <w:szCs w:val="32"/>
        </w:rPr>
        <w:t>万元。与</w:t>
      </w:r>
      <w:r>
        <w:rPr>
          <w:rFonts w:hint="eastAsia" w:eastAsia="仿宋" w:cs="Times New Roman"/>
          <w:color w:val="000000"/>
          <w:sz w:val="32"/>
          <w:szCs w:val="32"/>
          <w:lang w:eastAsia="zh-CN"/>
        </w:rPr>
        <w:t>2023</w:t>
      </w:r>
      <w:r>
        <w:rPr>
          <w:rFonts w:hint="eastAsia" w:ascii="仿宋" w:hAnsi="仿宋" w:eastAsia="仿宋" w:cs="仿宋"/>
          <w:color w:val="000000"/>
          <w:sz w:val="32"/>
          <w:szCs w:val="32"/>
        </w:rPr>
        <w:t>年相比，</w:t>
      </w:r>
      <w:r>
        <w:rPr>
          <w:rFonts w:hint="eastAsia" w:ascii="仿宋" w:hAnsi="仿宋" w:eastAsia="仿宋" w:cs="仿宋"/>
          <w:color w:val="000000"/>
          <w:sz w:val="32"/>
          <w:szCs w:val="32"/>
          <w:lang w:val="en-US" w:eastAsia="zh-CN"/>
        </w:rPr>
        <w:t>增加</w:t>
      </w:r>
      <w:r>
        <w:rPr>
          <w:rFonts w:hint="eastAsia" w:eastAsia="仿宋" w:cs="Times New Roman"/>
          <w:color w:val="000000"/>
          <w:sz w:val="32"/>
          <w:szCs w:val="32"/>
          <w:lang w:val="en-US" w:eastAsia="zh-CN"/>
        </w:rPr>
        <w:t>465.46</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val="en-US" w:eastAsia="zh-CN"/>
        </w:rPr>
        <w:t>增长</w:t>
      </w:r>
      <w:r>
        <w:rPr>
          <w:rFonts w:hint="eastAsia" w:eastAsia="仿宋" w:cs="Times New Roman"/>
          <w:color w:val="000000"/>
          <w:sz w:val="32"/>
          <w:szCs w:val="32"/>
          <w:lang w:val="en-US" w:eastAsia="zh-CN"/>
        </w:rPr>
        <w:t>33.01</w:t>
      </w:r>
      <w:r>
        <w:rPr>
          <w:rFonts w:hint="eastAsia" w:ascii="Times New Roman" w:hAnsi="Times New Roman" w:eastAsia="仿宋" w:cs="Times New Roman"/>
          <w:color w:val="000000"/>
          <w:sz w:val="32"/>
          <w:szCs w:val="32"/>
        </w:rPr>
        <w:t>%</w:t>
      </w:r>
      <w:r>
        <w:rPr>
          <w:rFonts w:hint="eastAsia" w:ascii="仿宋" w:hAnsi="仿宋" w:eastAsia="仿宋" w:cs="仿宋"/>
          <w:color w:val="000000"/>
          <w:sz w:val="32"/>
          <w:szCs w:val="32"/>
        </w:rPr>
        <w:t>。主要变动原因</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当年项目</w:t>
      </w:r>
      <w:r>
        <w:rPr>
          <w:rFonts w:hint="eastAsia" w:ascii="仿宋" w:hAnsi="仿宋" w:eastAsia="仿宋" w:cs="仿宋"/>
          <w:color w:val="000000"/>
          <w:sz w:val="32"/>
          <w:szCs w:val="32"/>
          <w:lang w:val="en-US" w:eastAsia="zh-CN"/>
        </w:rPr>
        <w:t>增加</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支出增加</w:t>
      </w:r>
      <w:r>
        <w:rPr>
          <w:rFonts w:hint="eastAsia" w:ascii="仿宋" w:hAnsi="仿宋" w:eastAsia="仿宋" w:cs="仿宋"/>
          <w:color w:val="000000"/>
          <w:sz w:val="32"/>
          <w:szCs w:val="32"/>
        </w:rPr>
        <w:t>。</w:t>
      </w:r>
    </w:p>
    <w:p w14:paraId="2CDBB204">
      <w:pPr>
        <w:pStyle w:val="27"/>
        <w:jc w:val="center"/>
        <w:rPr>
          <w:rFonts w:ascii="Times New Roman" w:hAnsi="Times New Roman" w:eastAsia="仿宋_GB2312" w:cs="Times New Roman"/>
          <w:sz w:val="32"/>
          <w:szCs w:val="32"/>
        </w:rPr>
      </w:pPr>
      <w:r>
        <w:drawing>
          <wp:inline distT="0" distB="0" distL="114300" distR="114300">
            <wp:extent cx="4705350" cy="2675255"/>
            <wp:effectExtent l="4445" t="4445" r="14605" b="17780"/>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drawing>
          <wp:inline distT="0" distB="0" distL="114300" distR="114300">
            <wp:extent cx="4617085" cy="2497455"/>
            <wp:effectExtent l="4445" t="4445" r="11430" b="12700"/>
            <wp:docPr id="5"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39C0E97">
      <w:pPr>
        <w:spacing w:line="560" w:lineRule="exact"/>
        <w:ind w:firstLine="640" w:firstLineChars="200"/>
        <w:rPr>
          <w:rStyle w:val="47"/>
          <w:rFonts w:ascii="Times New Roman" w:hAnsi="Times New Roman" w:eastAsia="仿宋_GB2312"/>
          <w:sz w:val="32"/>
          <w:szCs w:val="32"/>
        </w:rPr>
      </w:pPr>
      <w:r>
        <w:rPr>
          <w:rStyle w:val="47"/>
          <w:rFonts w:ascii="Times New Roman" w:hAnsi="Times New Roman" w:eastAsia="仿宋_GB2312"/>
          <w:sz w:val="32"/>
          <w:szCs w:val="32"/>
        </w:rPr>
        <w:t>（图1：收、支决算总计变动情况图）（柱状图）</w:t>
      </w:r>
    </w:p>
    <w:p w14:paraId="4883BC3A">
      <w:pPr>
        <w:pStyle w:val="34"/>
        <w:spacing w:line="560" w:lineRule="exact"/>
        <w:ind w:left="1360" w:hanging="720" w:firstLineChars="0"/>
        <w:outlineLvl w:val="1"/>
        <w:rPr>
          <w:rFonts w:ascii="楷体_GB2312" w:hAnsi="楷体_GB2312" w:eastAsia="楷体_GB2312" w:cs="楷体_GB2312"/>
          <w:b/>
          <w:bCs/>
          <w:sz w:val="32"/>
          <w:szCs w:val="32"/>
        </w:rPr>
      </w:pPr>
      <w:bookmarkStart w:id="32" w:name="_Toc27689"/>
      <w:bookmarkStart w:id="33" w:name="_Toc32582"/>
      <w:bookmarkStart w:id="34" w:name="_Toc15396604"/>
      <w:bookmarkStart w:id="35" w:name="_Toc15377206"/>
      <w:r>
        <w:rPr>
          <w:rFonts w:ascii="楷体_GB2312" w:hAnsi="楷体_GB2312" w:eastAsia="楷体_GB2312" w:cs="楷体_GB2312"/>
          <w:b/>
          <w:bCs/>
          <w:sz w:val="32"/>
          <w:szCs w:val="32"/>
        </w:rPr>
        <w:t>二、收入决算情况说明</w:t>
      </w:r>
      <w:bookmarkEnd w:id="32"/>
      <w:bookmarkEnd w:id="33"/>
      <w:bookmarkEnd w:id="34"/>
      <w:bookmarkEnd w:id="35"/>
    </w:p>
    <w:p w14:paraId="2B439AA4">
      <w:pPr>
        <w:spacing w:line="560" w:lineRule="exact"/>
        <w:ind w:firstLine="640" w:firstLineChars="200"/>
        <w:rPr>
          <w:rFonts w:ascii="Times New Roman" w:hAnsi="Times New Roman" w:eastAsia="仿宋_GB2312" w:cs="Times New Roman"/>
          <w:b/>
          <w:sz w:val="32"/>
          <w:szCs w:val="32"/>
        </w:rPr>
      </w:pPr>
      <w:bookmarkStart w:id="36" w:name="_Toc13887"/>
      <w:bookmarkStart w:id="37" w:name="_Toc5986"/>
      <w:r>
        <w:rPr>
          <w:rFonts w:hint="eastAsia" w:eastAsia="仿宋" w:cs="Times New Roman"/>
          <w:color w:val="000000"/>
          <w:sz w:val="32"/>
          <w:szCs w:val="32"/>
          <w:lang w:eastAsia="zh-CN"/>
        </w:rPr>
        <w:t>2024</w:t>
      </w:r>
      <w:r>
        <w:rPr>
          <w:rStyle w:val="47"/>
          <w:rFonts w:ascii="Times New Roman" w:hAnsi="Times New Roman" w:eastAsia="仿宋_GB2312"/>
          <w:sz w:val="32"/>
          <w:szCs w:val="32"/>
        </w:rPr>
        <w:t>年本年收入合计</w:t>
      </w:r>
      <w:r>
        <w:rPr>
          <w:rFonts w:hint="eastAsia" w:eastAsia="仿宋" w:cs="Times New Roman"/>
          <w:color w:val="000000"/>
          <w:sz w:val="32"/>
          <w:szCs w:val="32"/>
          <w:lang w:val="en-US" w:eastAsia="zh-CN"/>
        </w:rPr>
        <w:t>1890.47</w:t>
      </w:r>
      <w:r>
        <w:rPr>
          <w:rStyle w:val="47"/>
          <w:rFonts w:ascii="Times New Roman" w:hAnsi="Times New Roman" w:eastAsia="仿宋_GB2312"/>
          <w:sz w:val="32"/>
          <w:szCs w:val="32"/>
        </w:rPr>
        <w:t>万元，其中：一般公共预算财政拨款收入</w:t>
      </w:r>
      <w:r>
        <w:rPr>
          <w:rFonts w:hint="eastAsia" w:eastAsia="仿宋" w:cs="Times New Roman"/>
          <w:color w:val="000000"/>
          <w:sz w:val="32"/>
          <w:szCs w:val="32"/>
          <w:lang w:val="en-US" w:eastAsia="zh-CN"/>
        </w:rPr>
        <w:t>1875.46</w:t>
      </w:r>
      <w:r>
        <w:rPr>
          <w:rStyle w:val="47"/>
          <w:rFonts w:ascii="Times New Roman" w:hAnsi="Times New Roman" w:eastAsia="仿宋_GB2312"/>
          <w:sz w:val="32"/>
          <w:szCs w:val="32"/>
        </w:rPr>
        <w:t>万元，占</w:t>
      </w:r>
      <w:r>
        <w:rPr>
          <w:rFonts w:hint="eastAsia" w:eastAsia="仿宋" w:cs="Times New Roman"/>
          <w:color w:val="000000"/>
          <w:sz w:val="32"/>
          <w:szCs w:val="32"/>
          <w:lang w:val="en-US" w:eastAsia="zh-CN"/>
        </w:rPr>
        <w:t>99.21</w:t>
      </w:r>
      <w:r>
        <w:rPr>
          <w:rFonts w:hint="default" w:ascii="Times New Roman" w:hAnsi="Times New Roman" w:eastAsia="仿宋" w:cs="Times New Roman"/>
          <w:color w:val="000000"/>
          <w:sz w:val="32"/>
          <w:szCs w:val="32"/>
        </w:rPr>
        <w:t>%</w:t>
      </w:r>
      <w:r>
        <w:rPr>
          <w:rStyle w:val="47"/>
          <w:rFonts w:ascii="Times New Roman" w:hAnsi="Times New Roman" w:eastAsia="仿宋_GB2312"/>
          <w:sz w:val="32"/>
          <w:szCs w:val="32"/>
        </w:rPr>
        <w:t>；其他收入</w:t>
      </w:r>
      <w:r>
        <w:rPr>
          <w:rStyle w:val="47"/>
          <w:rFonts w:hint="eastAsia" w:eastAsia="仿宋_GB2312"/>
          <w:sz w:val="32"/>
          <w:szCs w:val="32"/>
          <w:lang w:val="en-US"/>
        </w:rPr>
        <w:t>15.01</w:t>
      </w:r>
      <w:r>
        <w:rPr>
          <w:rStyle w:val="47"/>
          <w:rFonts w:ascii="Times New Roman" w:hAnsi="Times New Roman" w:eastAsia="仿宋_GB2312"/>
          <w:sz w:val="32"/>
          <w:szCs w:val="32"/>
        </w:rPr>
        <w:t>万元，占0</w:t>
      </w:r>
      <w:r>
        <w:rPr>
          <w:rStyle w:val="47"/>
          <w:rFonts w:hint="eastAsia" w:eastAsia="仿宋_GB2312"/>
          <w:sz w:val="32"/>
          <w:szCs w:val="32"/>
          <w:lang w:val="en-US"/>
        </w:rPr>
        <w:t>.79</w:t>
      </w:r>
      <w:r>
        <w:rPr>
          <w:rStyle w:val="47"/>
          <w:rFonts w:ascii="Times New Roman" w:hAnsi="Times New Roman" w:eastAsia="仿宋_GB2312"/>
          <w:sz w:val="32"/>
          <w:szCs w:val="32"/>
        </w:rPr>
        <w:t>%。</w:t>
      </w:r>
      <w:bookmarkEnd w:id="36"/>
      <w:bookmarkEnd w:id="37"/>
    </w:p>
    <w:p w14:paraId="43082616">
      <w:pPr>
        <w:pStyle w:val="27"/>
        <w:jc w:val="both"/>
        <w:rPr>
          <w:rFonts w:hint="eastAsia" w:ascii="Times New Roman" w:hAnsi="Times New Roman" w:eastAsia="仿宋" w:cs="Times New Roman"/>
          <w:sz w:val="32"/>
          <w:szCs w:val="32"/>
          <w:lang w:eastAsia="zh-CN"/>
        </w:rPr>
      </w:pPr>
      <w:r>
        <w:rPr>
          <w:rFonts w:hint="eastAsia" w:ascii="Times New Roman" w:hAnsi="Times New Roman" w:eastAsia="仿宋" w:cs="Times New Roman"/>
          <w:sz w:val="32"/>
          <w:szCs w:val="32"/>
          <w:lang w:eastAsia="zh-CN"/>
        </w:rPr>
        <w:drawing>
          <wp:inline distT="0" distB="0" distL="114300" distR="114300">
            <wp:extent cx="5256530" cy="2988310"/>
            <wp:effectExtent l="5080" t="4445" r="11430" b="952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739441C">
      <w:pPr>
        <w:spacing w:line="560" w:lineRule="exact"/>
        <w:ind w:firstLine="643" w:firstLineChars="200"/>
        <w:rPr>
          <w:rFonts w:eastAsia="仿宋_GB2312"/>
          <w:b/>
          <w:bCs/>
          <w:sz w:val="32"/>
          <w:szCs w:val="32"/>
        </w:rPr>
      </w:pPr>
      <w:r>
        <w:rPr>
          <w:rFonts w:eastAsia="仿宋_GB2312"/>
          <w:b/>
          <w:bCs/>
          <w:sz w:val="32"/>
          <w:szCs w:val="32"/>
        </w:rPr>
        <w:t>（图2：收入决算结构图）（饼状图）</w:t>
      </w:r>
    </w:p>
    <w:p w14:paraId="1397A9F1">
      <w:pPr>
        <w:pStyle w:val="34"/>
        <w:spacing w:line="560" w:lineRule="exact"/>
        <w:ind w:left="1360" w:hanging="720" w:firstLineChars="0"/>
        <w:outlineLvl w:val="1"/>
        <w:rPr>
          <w:rFonts w:ascii="楷体_GB2312" w:hAnsi="楷体_GB2312" w:eastAsia="楷体_GB2312" w:cs="楷体_GB2312"/>
          <w:b/>
          <w:bCs/>
          <w:sz w:val="32"/>
          <w:szCs w:val="32"/>
        </w:rPr>
      </w:pPr>
      <w:bookmarkStart w:id="38" w:name="_Toc15377207"/>
      <w:bookmarkStart w:id="39" w:name="_Toc6400"/>
      <w:bookmarkStart w:id="40" w:name="_Toc22715"/>
      <w:bookmarkStart w:id="41" w:name="_Toc15396605"/>
      <w:r>
        <w:rPr>
          <w:rFonts w:ascii="楷体_GB2312" w:hAnsi="楷体_GB2312" w:eastAsia="楷体_GB2312" w:cs="楷体_GB2312"/>
          <w:b/>
          <w:bCs/>
          <w:sz w:val="32"/>
          <w:szCs w:val="32"/>
        </w:rPr>
        <w:t>三、支出决算情况说明</w:t>
      </w:r>
      <w:bookmarkEnd w:id="38"/>
      <w:bookmarkEnd w:id="39"/>
      <w:bookmarkEnd w:id="40"/>
      <w:bookmarkEnd w:id="41"/>
    </w:p>
    <w:p w14:paraId="26F580B5">
      <w:pPr>
        <w:spacing w:line="560" w:lineRule="exact"/>
        <w:ind w:firstLine="640" w:firstLineChars="200"/>
        <w:rPr>
          <w:rFonts w:eastAsia="仿宋_GB2312"/>
          <w:sz w:val="32"/>
          <w:szCs w:val="32"/>
        </w:rPr>
      </w:pPr>
      <w:bookmarkStart w:id="42" w:name="_Toc20789"/>
      <w:bookmarkStart w:id="43" w:name="_Toc25808"/>
      <w:r>
        <w:rPr>
          <w:rFonts w:hint="eastAsia" w:eastAsia="仿宋_GB2312"/>
          <w:sz w:val="32"/>
          <w:szCs w:val="32"/>
          <w:lang w:eastAsia="zh-CN"/>
        </w:rPr>
        <w:t>2024</w:t>
      </w:r>
      <w:r>
        <w:rPr>
          <w:rFonts w:eastAsia="仿宋_GB2312"/>
          <w:sz w:val="32"/>
          <w:szCs w:val="32"/>
        </w:rPr>
        <w:t>年本年支出合计</w:t>
      </w:r>
      <w:r>
        <w:rPr>
          <w:rStyle w:val="47"/>
          <w:rFonts w:hint="eastAsia" w:eastAsia="仿宋_GB2312"/>
          <w:sz w:val="32"/>
          <w:szCs w:val="32"/>
          <w:lang w:val="en-US"/>
        </w:rPr>
        <w:t>1875.46</w:t>
      </w:r>
      <w:r>
        <w:rPr>
          <w:rFonts w:eastAsia="仿宋_GB2312"/>
          <w:sz w:val="32"/>
          <w:szCs w:val="32"/>
        </w:rPr>
        <w:t>万元，其中：基本支出</w:t>
      </w:r>
      <w:r>
        <w:rPr>
          <w:rFonts w:hint="eastAsia" w:eastAsia="仿宋_GB2312"/>
          <w:sz w:val="32"/>
          <w:szCs w:val="32"/>
          <w:lang w:val="en-US" w:eastAsia="zh-CN"/>
        </w:rPr>
        <w:t>798.45</w:t>
      </w:r>
      <w:r>
        <w:rPr>
          <w:rFonts w:eastAsia="仿宋_GB2312"/>
          <w:sz w:val="32"/>
          <w:szCs w:val="32"/>
        </w:rPr>
        <w:t>万元，占</w:t>
      </w:r>
      <w:r>
        <w:rPr>
          <w:rFonts w:hint="eastAsia" w:eastAsia="仿宋_GB2312"/>
          <w:sz w:val="32"/>
          <w:szCs w:val="32"/>
          <w:lang w:val="en-US" w:eastAsia="zh-CN"/>
        </w:rPr>
        <w:t>42.57</w:t>
      </w:r>
      <w:r>
        <w:rPr>
          <w:rFonts w:eastAsia="仿宋_GB2312"/>
          <w:sz w:val="32"/>
          <w:szCs w:val="32"/>
        </w:rPr>
        <w:t>%；项目支出</w:t>
      </w:r>
      <w:r>
        <w:rPr>
          <w:rFonts w:hint="eastAsia" w:eastAsia="仿宋_GB2312"/>
          <w:sz w:val="32"/>
          <w:szCs w:val="32"/>
          <w:lang w:val="en-US" w:eastAsia="zh-CN"/>
        </w:rPr>
        <w:t>1077.02</w:t>
      </w:r>
      <w:r>
        <w:rPr>
          <w:rFonts w:eastAsia="仿宋_GB2312"/>
          <w:sz w:val="32"/>
          <w:szCs w:val="32"/>
        </w:rPr>
        <w:t>万元，占</w:t>
      </w:r>
      <w:r>
        <w:rPr>
          <w:rFonts w:hint="eastAsia" w:eastAsia="仿宋_GB2312"/>
          <w:sz w:val="32"/>
          <w:szCs w:val="32"/>
          <w:lang w:val="en-US" w:eastAsia="zh-CN"/>
        </w:rPr>
        <w:t>57.43</w:t>
      </w:r>
      <w:r>
        <w:rPr>
          <w:rFonts w:eastAsia="仿宋_GB2312"/>
          <w:sz w:val="32"/>
          <w:szCs w:val="32"/>
        </w:rPr>
        <w:t>%；</w:t>
      </w:r>
      <w:bookmarkEnd w:id="42"/>
      <w:bookmarkEnd w:id="43"/>
    </w:p>
    <w:p w14:paraId="42E82BB4">
      <w:pPr>
        <w:pStyle w:val="27"/>
        <w:jc w:val="center"/>
        <w:rPr>
          <w:rFonts w:ascii="Times New Roman" w:hAnsi="Times New Roman" w:eastAsia="仿宋_GB2312" w:cs="Times New Roman"/>
          <w:sz w:val="32"/>
          <w:szCs w:val="32"/>
          <w:shd w:val="pct10" w:color="auto" w:fill="FFFFFF"/>
        </w:rPr>
      </w:pPr>
      <w:r>
        <w:drawing>
          <wp:inline distT="0" distB="0" distL="114300" distR="114300">
            <wp:extent cx="4107180" cy="2259965"/>
            <wp:effectExtent l="5080" t="4445" r="17780" b="6350"/>
            <wp:docPr id="1337"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DBBD778">
      <w:pPr>
        <w:spacing w:line="560" w:lineRule="exact"/>
        <w:ind w:firstLine="643" w:firstLineChars="200"/>
        <w:rPr>
          <w:rFonts w:eastAsia="仿宋_GB2312"/>
          <w:sz w:val="32"/>
          <w:szCs w:val="32"/>
        </w:rPr>
      </w:pPr>
      <w:r>
        <w:rPr>
          <w:rFonts w:eastAsia="仿宋_GB2312"/>
          <w:b/>
          <w:bCs/>
          <w:sz w:val="32"/>
          <w:szCs w:val="32"/>
        </w:rPr>
        <w:t>（图3：支出决算结构图）（饼状图）</w:t>
      </w:r>
    </w:p>
    <w:p w14:paraId="4E76F5A5">
      <w:pPr>
        <w:spacing w:line="560" w:lineRule="exact"/>
        <w:ind w:firstLine="643" w:firstLineChars="200"/>
        <w:outlineLvl w:val="1"/>
        <w:rPr>
          <w:rFonts w:ascii="楷体_GB2312" w:hAnsi="楷体_GB2312" w:eastAsia="楷体_GB2312" w:cs="楷体_GB2312"/>
          <w:b/>
          <w:bCs/>
          <w:sz w:val="32"/>
          <w:szCs w:val="32"/>
        </w:rPr>
      </w:pPr>
      <w:bookmarkStart w:id="44" w:name="_Toc15377208"/>
      <w:bookmarkStart w:id="45" w:name="_Toc15396606"/>
      <w:bookmarkStart w:id="46" w:name="_Toc10006"/>
      <w:bookmarkStart w:id="47" w:name="_Toc6272"/>
      <w:r>
        <w:rPr>
          <w:rFonts w:ascii="楷体_GB2312" w:hAnsi="楷体_GB2312" w:eastAsia="楷体_GB2312" w:cs="楷体_GB2312"/>
          <w:b/>
          <w:bCs/>
          <w:sz w:val="32"/>
          <w:szCs w:val="32"/>
        </w:rPr>
        <w:t>四、财政拨款收入支出决算总体情况说明</w:t>
      </w:r>
      <w:bookmarkEnd w:id="44"/>
      <w:bookmarkEnd w:id="45"/>
      <w:bookmarkEnd w:id="46"/>
      <w:bookmarkEnd w:id="47"/>
    </w:p>
    <w:p w14:paraId="1080B9DD">
      <w:pPr>
        <w:spacing w:line="560" w:lineRule="exact"/>
        <w:ind w:firstLine="640" w:firstLineChars="200"/>
        <w:rPr>
          <w:rFonts w:eastAsia="仿宋_GB2312"/>
          <w:sz w:val="32"/>
          <w:szCs w:val="32"/>
        </w:rPr>
      </w:pPr>
      <w:r>
        <w:rPr>
          <w:rFonts w:hint="eastAsia" w:eastAsia="仿宋" w:cs="Times New Roman"/>
          <w:color w:val="000000"/>
          <w:sz w:val="32"/>
          <w:szCs w:val="32"/>
          <w:lang w:eastAsia="zh-CN"/>
        </w:rPr>
        <w:t>2024</w:t>
      </w:r>
      <w:r>
        <w:rPr>
          <w:rFonts w:hint="eastAsia" w:ascii="仿宋" w:hAnsi="仿宋" w:eastAsia="仿宋" w:cs="仿宋"/>
          <w:color w:val="000000"/>
          <w:sz w:val="32"/>
          <w:szCs w:val="32"/>
        </w:rPr>
        <w:t>年度财政拨款收入总计</w:t>
      </w:r>
      <w:r>
        <w:rPr>
          <w:rFonts w:hint="eastAsia" w:eastAsia="仿宋" w:cs="Times New Roman"/>
          <w:color w:val="000000"/>
          <w:sz w:val="32"/>
          <w:szCs w:val="32"/>
          <w:lang w:val="en-US" w:eastAsia="zh-CN"/>
        </w:rPr>
        <w:t>1875.46</w:t>
      </w:r>
      <w:r>
        <w:rPr>
          <w:rFonts w:hint="eastAsia" w:ascii="仿宋" w:hAnsi="仿宋" w:eastAsia="仿宋" w:cs="仿宋"/>
          <w:color w:val="000000"/>
          <w:sz w:val="32"/>
          <w:szCs w:val="32"/>
        </w:rPr>
        <w:t>万元，与</w:t>
      </w:r>
      <w:r>
        <w:rPr>
          <w:rFonts w:hint="eastAsia" w:eastAsia="仿宋" w:cs="Times New Roman"/>
          <w:color w:val="000000"/>
          <w:sz w:val="32"/>
          <w:szCs w:val="32"/>
          <w:lang w:eastAsia="zh-CN"/>
        </w:rPr>
        <w:t>2023</w:t>
      </w:r>
      <w:r>
        <w:rPr>
          <w:rFonts w:hint="eastAsia" w:ascii="仿宋" w:hAnsi="仿宋" w:eastAsia="仿宋" w:cs="仿宋"/>
          <w:color w:val="000000"/>
          <w:sz w:val="32"/>
          <w:szCs w:val="32"/>
        </w:rPr>
        <w:t>年相比，</w:t>
      </w:r>
      <w:r>
        <w:rPr>
          <w:rFonts w:hint="eastAsia" w:ascii="仿宋" w:hAnsi="仿宋" w:eastAsia="仿宋" w:cs="仿宋"/>
          <w:color w:val="000000"/>
          <w:sz w:val="32"/>
          <w:szCs w:val="32"/>
          <w:lang w:val="en-US" w:eastAsia="zh-CN"/>
        </w:rPr>
        <w:t>增加</w:t>
      </w:r>
      <w:r>
        <w:rPr>
          <w:rFonts w:hint="eastAsia" w:eastAsia="仿宋" w:cs="Times New Roman"/>
          <w:color w:val="000000"/>
          <w:sz w:val="32"/>
          <w:szCs w:val="32"/>
          <w:lang w:val="en-US" w:eastAsia="zh-CN"/>
        </w:rPr>
        <w:t>465.46</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val="en-US" w:eastAsia="zh-CN"/>
        </w:rPr>
        <w:t>增长</w:t>
      </w:r>
      <w:r>
        <w:rPr>
          <w:rFonts w:hint="eastAsia" w:eastAsia="仿宋" w:cs="Times New Roman"/>
          <w:color w:val="000000"/>
          <w:sz w:val="32"/>
          <w:szCs w:val="32"/>
          <w:lang w:val="en-US" w:eastAsia="zh-CN"/>
        </w:rPr>
        <w:t>33.01</w:t>
      </w:r>
      <w:r>
        <w:rPr>
          <w:rFonts w:hint="eastAsia" w:ascii="Times New Roman" w:hAnsi="Times New Roman" w:eastAsia="仿宋" w:cs="Times New Roman"/>
          <w:color w:val="000000"/>
          <w:sz w:val="32"/>
          <w:szCs w:val="32"/>
        </w:rPr>
        <w:t>%</w:t>
      </w:r>
      <w:r>
        <w:rPr>
          <w:rFonts w:hint="eastAsia" w:ascii="仿宋" w:hAnsi="仿宋" w:eastAsia="仿宋" w:cs="仿宋"/>
          <w:color w:val="000000"/>
          <w:sz w:val="32"/>
          <w:szCs w:val="32"/>
        </w:rPr>
        <w:t>。主要变动原因：当年当年项目</w:t>
      </w:r>
      <w:r>
        <w:rPr>
          <w:rFonts w:hint="eastAsia" w:ascii="仿宋" w:hAnsi="仿宋" w:eastAsia="仿宋" w:cs="仿宋"/>
          <w:color w:val="000000"/>
          <w:sz w:val="32"/>
          <w:szCs w:val="32"/>
          <w:lang w:val="en-US" w:eastAsia="zh-CN"/>
        </w:rPr>
        <w:t>增加</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财政拨款收入</w:t>
      </w:r>
      <w:r>
        <w:rPr>
          <w:rFonts w:hint="eastAsia" w:ascii="仿宋" w:hAnsi="仿宋" w:eastAsia="仿宋" w:cs="仿宋"/>
          <w:color w:val="000000"/>
          <w:sz w:val="32"/>
          <w:szCs w:val="32"/>
        </w:rPr>
        <w:t>收入</w:t>
      </w:r>
      <w:r>
        <w:rPr>
          <w:rFonts w:hint="eastAsia" w:ascii="仿宋" w:hAnsi="仿宋" w:eastAsia="仿宋" w:cs="仿宋"/>
          <w:color w:val="000000"/>
          <w:sz w:val="32"/>
          <w:szCs w:val="32"/>
          <w:lang w:val="en-US" w:eastAsia="zh-CN"/>
        </w:rPr>
        <w:t>增加</w:t>
      </w:r>
      <w:r>
        <w:rPr>
          <w:rFonts w:hint="eastAsia" w:ascii="仿宋" w:hAnsi="仿宋" w:eastAsia="仿宋" w:cs="仿宋"/>
          <w:color w:val="000000"/>
          <w:sz w:val="32"/>
          <w:szCs w:val="32"/>
        </w:rPr>
        <w:t>; 财政拨款支出总计</w:t>
      </w:r>
      <w:r>
        <w:rPr>
          <w:rFonts w:hint="eastAsia" w:eastAsia="仿宋" w:cs="Times New Roman"/>
          <w:color w:val="000000"/>
          <w:sz w:val="32"/>
          <w:szCs w:val="32"/>
          <w:lang w:val="en-US" w:eastAsia="zh-CN"/>
        </w:rPr>
        <w:t>1875.46</w:t>
      </w:r>
      <w:r>
        <w:rPr>
          <w:rFonts w:hint="eastAsia" w:ascii="仿宋" w:hAnsi="仿宋" w:eastAsia="仿宋" w:cs="仿宋"/>
          <w:color w:val="000000"/>
          <w:sz w:val="32"/>
          <w:szCs w:val="32"/>
        </w:rPr>
        <w:t>万元。与</w:t>
      </w:r>
      <w:r>
        <w:rPr>
          <w:rFonts w:hint="eastAsia" w:eastAsia="仿宋" w:cs="Times New Roman"/>
          <w:color w:val="000000"/>
          <w:sz w:val="32"/>
          <w:szCs w:val="32"/>
          <w:lang w:eastAsia="zh-CN"/>
        </w:rPr>
        <w:t>2023</w:t>
      </w:r>
      <w:r>
        <w:rPr>
          <w:rFonts w:hint="eastAsia" w:ascii="仿宋" w:hAnsi="仿宋" w:eastAsia="仿宋" w:cs="仿宋"/>
          <w:color w:val="000000"/>
          <w:sz w:val="32"/>
          <w:szCs w:val="32"/>
        </w:rPr>
        <w:t>年相比，</w:t>
      </w:r>
      <w:r>
        <w:rPr>
          <w:rFonts w:hint="eastAsia" w:ascii="仿宋" w:hAnsi="仿宋" w:eastAsia="仿宋" w:cs="仿宋"/>
          <w:color w:val="000000"/>
          <w:sz w:val="32"/>
          <w:szCs w:val="32"/>
          <w:lang w:val="en-US" w:eastAsia="zh-CN"/>
        </w:rPr>
        <w:t>增加</w:t>
      </w:r>
      <w:r>
        <w:rPr>
          <w:rFonts w:hint="eastAsia" w:eastAsia="仿宋" w:cs="Times New Roman"/>
          <w:color w:val="000000"/>
          <w:sz w:val="32"/>
          <w:szCs w:val="32"/>
          <w:lang w:val="en-US" w:eastAsia="zh-CN"/>
        </w:rPr>
        <w:t>465.46</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val="en-US" w:eastAsia="zh-CN"/>
        </w:rPr>
        <w:t>增长</w:t>
      </w:r>
      <w:r>
        <w:rPr>
          <w:rFonts w:hint="eastAsia" w:eastAsia="仿宋" w:cs="Times New Roman"/>
          <w:color w:val="000000"/>
          <w:sz w:val="32"/>
          <w:szCs w:val="32"/>
          <w:lang w:val="en-US" w:eastAsia="zh-CN"/>
        </w:rPr>
        <w:t>33.01</w:t>
      </w:r>
      <w:r>
        <w:rPr>
          <w:rFonts w:hint="eastAsia" w:ascii="Times New Roman" w:hAnsi="Times New Roman" w:eastAsia="仿宋" w:cs="Times New Roman"/>
          <w:color w:val="000000"/>
          <w:sz w:val="32"/>
          <w:szCs w:val="32"/>
        </w:rPr>
        <w:t>%</w:t>
      </w:r>
      <w:r>
        <w:rPr>
          <w:rFonts w:hint="eastAsia" w:ascii="仿宋" w:hAnsi="仿宋" w:eastAsia="仿宋" w:cs="仿宋"/>
          <w:color w:val="000000"/>
          <w:sz w:val="32"/>
          <w:szCs w:val="32"/>
        </w:rPr>
        <w:t>。主要变动原因:当年项目</w:t>
      </w:r>
      <w:r>
        <w:rPr>
          <w:rFonts w:hint="eastAsia" w:ascii="仿宋" w:hAnsi="仿宋" w:eastAsia="仿宋" w:cs="仿宋"/>
          <w:color w:val="000000"/>
          <w:sz w:val="32"/>
          <w:szCs w:val="32"/>
          <w:lang w:val="en-US" w:eastAsia="zh-CN"/>
        </w:rPr>
        <w:t>增加</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财政拨款支出增加</w:t>
      </w:r>
      <w:r>
        <w:rPr>
          <w:rFonts w:hint="eastAsia" w:ascii="仿宋" w:hAnsi="仿宋" w:eastAsia="仿宋" w:cs="仿宋"/>
          <w:color w:val="000000"/>
          <w:sz w:val="32"/>
          <w:szCs w:val="32"/>
        </w:rPr>
        <w:t>。</w:t>
      </w:r>
    </w:p>
    <w:p w14:paraId="5525695F">
      <w:pPr>
        <w:pStyle w:val="27"/>
        <w:jc w:val="center"/>
      </w:pPr>
      <w:r>
        <w:drawing>
          <wp:inline distT="0" distB="0" distL="114300" distR="114300">
            <wp:extent cx="4208780" cy="2362200"/>
            <wp:effectExtent l="4445" t="4445" r="8255" b="10795"/>
            <wp:docPr id="1338"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610A15D">
      <w:pPr>
        <w:pStyle w:val="27"/>
        <w:jc w:val="center"/>
      </w:pPr>
      <w:r>
        <w:drawing>
          <wp:inline distT="0" distB="0" distL="114300" distR="114300">
            <wp:extent cx="4339590" cy="2214245"/>
            <wp:effectExtent l="4445" t="4445" r="14605" b="6350"/>
            <wp:docPr id="1339"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834696D">
      <w:pPr>
        <w:spacing w:line="560" w:lineRule="exact"/>
        <w:ind w:firstLine="643" w:firstLineChars="200"/>
        <w:rPr>
          <w:rFonts w:eastAsia="仿宋_GB2312"/>
          <w:b/>
          <w:sz w:val="32"/>
          <w:szCs w:val="32"/>
        </w:rPr>
      </w:pPr>
      <w:r>
        <w:rPr>
          <w:rFonts w:eastAsia="仿宋_GB2312"/>
          <w:b/>
          <w:bCs/>
          <w:sz w:val="32"/>
          <w:szCs w:val="32"/>
        </w:rPr>
        <w:t>（图4：财政拨款收、支决算总计变动情况）（柱状图）</w:t>
      </w:r>
    </w:p>
    <w:p w14:paraId="525CD3C2">
      <w:pPr>
        <w:spacing w:line="560" w:lineRule="exact"/>
        <w:ind w:firstLine="643" w:firstLineChars="200"/>
        <w:outlineLvl w:val="1"/>
        <w:rPr>
          <w:rFonts w:ascii="楷体_GB2312" w:hAnsi="楷体_GB2312" w:eastAsia="楷体_GB2312" w:cs="楷体_GB2312"/>
          <w:b/>
          <w:bCs/>
          <w:sz w:val="32"/>
          <w:szCs w:val="32"/>
        </w:rPr>
      </w:pPr>
      <w:bookmarkStart w:id="48" w:name="_Toc17027"/>
      <w:bookmarkStart w:id="49" w:name="_Toc15377209"/>
      <w:bookmarkStart w:id="50" w:name="_Toc15396607"/>
      <w:bookmarkStart w:id="51" w:name="_Toc14948"/>
      <w:r>
        <w:rPr>
          <w:rFonts w:ascii="楷体_GB2312" w:hAnsi="楷体_GB2312" w:eastAsia="楷体_GB2312" w:cs="楷体_GB2312"/>
          <w:b/>
          <w:bCs/>
          <w:sz w:val="32"/>
          <w:szCs w:val="32"/>
        </w:rPr>
        <w:t>五、一般公共预算财政拨款支出决算情况说明</w:t>
      </w:r>
      <w:bookmarkEnd w:id="48"/>
      <w:bookmarkEnd w:id="49"/>
      <w:bookmarkEnd w:id="50"/>
      <w:bookmarkEnd w:id="51"/>
    </w:p>
    <w:p w14:paraId="26B42A51">
      <w:pPr>
        <w:spacing w:line="560" w:lineRule="exact"/>
        <w:ind w:firstLine="643" w:firstLineChars="200"/>
        <w:outlineLvl w:val="2"/>
        <w:rPr>
          <w:rFonts w:eastAsia="仿宋_GB2312"/>
          <w:b/>
          <w:bCs/>
          <w:sz w:val="32"/>
          <w:szCs w:val="32"/>
        </w:rPr>
      </w:pPr>
      <w:bookmarkStart w:id="52" w:name="_Toc15377210"/>
      <w:r>
        <w:rPr>
          <w:rFonts w:eastAsia="仿宋_GB2312"/>
          <w:b/>
          <w:bCs/>
          <w:sz w:val="32"/>
          <w:szCs w:val="32"/>
        </w:rPr>
        <w:t>（一）一般公共预算财政拨款支出决算总体情况</w:t>
      </w:r>
      <w:bookmarkEnd w:id="52"/>
    </w:p>
    <w:p w14:paraId="14665C09">
      <w:pPr>
        <w:spacing w:line="560" w:lineRule="exact"/>
        <w:ind w:firstLine="640" w:firstLineChars="200"/>
        <w:rPr>
          <w:rFonts w:eastAsia="仿宋_GB2312"/>
          <w:sz w:val="32"/>
          <w:szCs w:val="32"/>
        </w:rPr>
      </w:pPr>
      <w:r>
        <w:rPr>
          <w:rFonts w:hint="eastAsia" w:eastAsia="仿宋" w:cs="Times New Roman"/>
          <w:color w:val="000000"/>
          <w:sz w:val="32"/>
          <w:szCs w:val="32"/>
          <w:lang w:eastAsia="zh-CN"/>
        </w:rPr>
        <w:t>2024</w:t>
      </w:r>
      <w:r>
        <w:rPr>
          <w:rFonts w:eastAsia="仿宋_GB2312"/>
          <w:sz w:val="32"/>
          <w:szCs w:val="32"/>
        </w:rPr>
        <w:t>年一般公共预算</w:t>
      </w:r>
      <w:r>
        <w:rPr>
          <w:rFonts w:hint="eastAsia" w:ascii="仿宋" w:hAnsi="仿宋" w:eastAsia="仿宋" w:cs="仿宋"/>
          <w:color w:val="000000"/>
          <w:sz w:val="32"/>
          <w:szCs w:val="32"/>
        </w:rPr>
        <w:t>财政拨款支出总计</w:t>
      </w:r>
      <w:r>
        <w:rPr>
          <w:rFonts w:hint="eastAsia" w:eastAsia="仿宋" w:cs="Times New Roman"/>
          <w:color w:val="000000"/>
          <w:sz w:val="32"/>
          <w:szCs w:val="32"/>
          <w:lang w:val="en-US" w:eastAsia="zh-CN"/>
        </w:rPr>
        <w:t>1875.46</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val="en-US" w:eastAsia="zh-CN"/>
        </w:rPr>
        <w:t>占本年支出的100%。</w:t>
      </w:r>
      <w:r>
        <w:rPr>
          <w:rFonts w:hint="eastAsia" w:ascii="仿宋" w:hAnsi="仿宋" w:eastAsia="仿宋" w:cs="仿宋"/>
          <w:color w:val="000000"/>
          <w:sz w:val="32"/>
          <w:szCs w:val="32"/>
        </w:rPr>
        <w:t>与</w:t>
      </w:r>
      <w:r>
        <w:rPr>
          <w:rFonts w:hint="eastAsia" w:eastAsia="仿宋" w:cs="Times New Roman"/>
          <w:color w:val="000000"/>
          <w:sz w:val="32"/>
          <w:szCs w:val="32"/>
          <w:lang w:eastAsia="zh-CN"/>
        </w:rPr>
        <w:t>2023</w:t>
      </w:r>
      <w:r>
        <w:rPr>
          <w:rFonts w:hint="eastAsia" w:ascii="仿宋" w:hAnsi="仿宋" w:eastAsia="仿宋" w:cs="仿宋"/>
          <w:color w:val="000000"/>
          <w:sz w:val="32"/>
          <w:szCs w:val="32"/>
        </w:rPr>
        <w:t>年相比</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增加4</w:t>
      </w:r>
      <w:r>
        <w:rPr>
          <w:rFonts w:hint="eastAsia" w:eastAsia="仿宋" w:cs="Times New Roman"/>
          <w:color w:val="000000"/>
          <w:sz w:val="32"/>
          <w:szCs w:val="32"/>
          <w:lang w:val="en-US" w:eastAsia="zh-CN"/>
        </w:rPr>
        <w:t>65.46</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val="en-US" w:eastAsia="zh-CN"/>
        </w:rPr>
        <w:t>增长</w:t>
      </w:r>
      <w:r>
        <w:rPr>
          <w:rFonts w:hint="eastAsia" w:eastAsia="仿宋" w:cs="Times New Roman"/>
          <w:color w:val="000000"/>
          <w:sz w:val="32"/>
          <w:szCs w:val="32"/>
          <w:lang w:val="en-US" w:eastAsia="zh-CN"/>
        </w:rPr>
        <w:t>33.01</w:t>
      </w:r>
      <w:r>
        <w:rPr>
          <w:rFonts w:hint="eastAsia" w:ascii="Times New Roman" w:hAnsi="Times New Roman" w:eastAsia="仿宋" w:cs="Times New Roman"/>
          <w:color w:val="000000"/>
          <w:sz w:val="32"/>
          <w:szCs w:val="32"/>
        </w:rPr>
        <w:t>%</w:t>
      </w:r>
      <w:r>
        <w:rPr>
          <w:rFonts w:hint="eastAsia" w:ascii="仿宋" w:hAnsi="仿宋" w:eastAsia="仿宋" w:cs="仿宋"/>
          <w:color w:val="000000"/>
          <w:sz w:val="32"/>
          <w:szCs w:val="32"/>
        </w:rPr>
        <w:t>。主要变动原因:当年项目</w:t>
      </w:r>
      <w:r>
        <w:rPr>
          <w:rFonts w:hint="eastAsia" w:ascii="仿宋" w:hAnsi="仿宋" w:eastAsia="仿宋" w:cs="仿宋"/>
          <w:color w:val="000000"/>
          <w:sz w:val="32"/>
          <w:szCs w:val="32"/>
          <w:lang w:val="en-US" w:eastAsia="zh-CN"/>
        </w:rPr>
        <w:t>增加</w:t>
      </w:r>
      <w:r>
        <w:rPr>
          <w:rFonts w:hint="eastAsia" w:ascii="仿宋" w:hAnsi="仿宋" w:eastAsia="仿宋" w:cs="仿宋"/>
          <w:color w:val="000000"/>
          <w:sz w:val="32"/>
          <w:szCs w:val="32"/>
        </w:rPr>
        <w:t>，相</w:t>
      </w:r>
      <w:r>
        <w:rPr>
          <w:rFonts w:hint="eastAsia" w:ascii="仿宋" w:hAnsi="仿宋" w:eastAsia="仿宋" w:cs="仿宋"/>
          <w:color w:val="000000"/>
          <w:sz w:val="32"/>
          <w:szCs w:val="32"/>
          <w:lang w:val="en-US" w:eastAsia="zh-CN"/>
        </w:rPr>
        <w:t>一般公共预算财政拨款支出增加</w:t>
      </w:r>
      <w:r>
        <w:rPr>
          <w:rFonts w:hint="eastAsia" w:ascii="仿宋" w:hAnsi="仿宋" w:eastAsia="仿宋" w:cs="仿宋"/>
          <w:color w:val="000000"/>
          <w:sz w:val="32"/>
          <w:szCs w:val="32"/>
        </w:rPr>
        <w:t>。</w:t>
      </w:r>
    </w:p>
    <w:p w14:paraId="2993406E">
      <w:pPr>
        <w:jc w:val="center"/>
        <w:rPr>
          <w:rFonts w:ascii="仿宋" w:hAnsi="仿宋" w:eastAsia="仿宋" w:cs="仿宋"/>
          <w:bCs/>
          <w:sz w:val="28"/>
          <w:szCs w:val="28"/>
        </w:rPr>
      </w:pPr>
      <w:r>
        <w:drawing>
          <wp:inline distT="0" distB="0" distL="114300" distR="114300">
            <wp:extent cx="4451350" cy="2510155"/>
            <wp:effectExtent l="4445" t="4445" r="9525" b="15240"/>
            <wp:docPr id="1340"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8D55A01">
      <w:pPr>
        <w:spacing w:line="560" w:lineRule="exact"/>
        <w:rPr>
          <w:rFonts w:eastAsia="仿宋_GB2312"/>
          <w:sz w:val="32"/>
          <w:szCs w:val="32"/>
        </w:rPr>
      </w:pPr>
      <w:r>
        <w:rPr>
          <w:rFonts w:eastAsia="仿宋_GB2312"/>
          <w:b/>
          <w:bCs/>
          <w:sz w:val="32"/>
          <w:szCs w:val="32"/>
        </w:rPr>
        <w:t>（图5：一般公共预算财政拨款支出决算变动情况）（柱状图）</w:t>
      </w:r>
    </w:p>
    <w:p w14:paraId="1ECD2AF9">
      <w:pPr>
        <w:spacing w:line="560" w:lineRule="exact"/>
        <w:ind w:firstLine="643" w:firstLineChars="200"/>
        <w:outlineLvl w:val="2"/>
        <w:rPr>
          <w:rFonts w:eastAsia="仿宋_GB2312"/>
          <w:b/>
          <w:bCs/>
          <w:sz w:val="32"/>
          <w:szCs w:val="32"/>
        </w:rPr>
      </w:pPr>
      <w:bookmarkStart w:id="53" w:name="_Toc15377211"/>
      <w:r>
        <w:rPr>
          <w:rFonts w:eastAsia="仿宋_GB2312"/>
          <w:b/>
          <w:bCs/>
          <w:sz w:val="32"/>
          <w:szCs w:val="32"/>
        </w:rPr>
        <w:t>（二）一般公共预算财政拨款支出决算结构情况</w:t>
      </w:r>
      <w:bookmarkEnd w:id="53"/>
    </w:p>
    <w:p w14:paraId="3048BD7B">
      <w:pPr>
        <w:spacing w:line="560" w:lineRule="exact"/>
        <w:ind w:firstLine="640"/>
        <w:rPr>
          <w:rFonts w:eastAsia="仿宋_GB2312"/>
          <w:sz w:val="32"/>
          <w:szCs w:val="32"/>
        </w:rPr>
      </w:pPr>
      <w:r>
        <w:rPr>
          <w:rFonts w:hint="eastAsia" w:eastAsia="仿宋_GB2312"/>
          <w:sz w:val="32"/>
          <w:szCs w:val="32"/>
          <w:lang w:eastAsia="zh-CN"/>
        </w:rPr>
        <w:t>2024</w:t>
      </w:r>
      <w:r>
        <w:rPr>
          <w:rFonts w:eastAsia="仿宋_GB2312"/>
          <w:sz w:val="32"/>
          <w:szCs w:val="32"/>
        </w:rPr>
        <w:t>年一般公共预算财政拨款支出</w:t>
      </w:r>
      <w:r>
        <w:rPr>
          <w:rFonts w:hint="eastAsia" w:eastAsia="仿宋" w:cs="Times New Roman"/>
          <w:color w:val="000000"/>
          <w:sz w:val="32"/>
          <w:szCs w:val="32"/>
          <w:lang w:val="en-US" w:eastAsia="zh-CN"/>
        </w:rPr>
        <w:t>1875.46</w:t>
      </w:r>
      <w:r>
        <w:rPr>
          <w:rFonts w:eastAsia="仿宋_GB2312"/>
          <w:sz w:val="32"/>
          <w:szCs w:val="32"/>
        </w:rPr>
        <w:t>万元，主要用于以下方面：</w:t>
      </w:r>
    </w:p>
    <w:p w14:paraId="66FACD67">
      <w:pPr>
        <w:spacing w:line="360" w:lineRule="auto"/>
        <w:ind w:firstLine="641"/>
        <w:rPr>
          <w:rFonts w:eastAsia="仿宋_GB2312"/>
          <w:b/>
          <w:sz w:val="32"/>
          <w:szCs w:val="32"/>
        </w:rPr>
      </w:pPr>
      <w:r>
        <w:rPr>
          <w:rFonts w:eastAsia="仿宋_GB2312"/>
          <w:b/>
          <w:bCs/>
          <w:sz w:val="32"/>
          <w:szCs w:val="32"/>
        </w:rPr>
        <w:t>一般公共服务支出</w:t>
      </w:r>
      <w:r>
        <w:rPr>
          <w:rFonts w:hint="eastAsia" w:eastAsia="仿宋_GB2312"/>
          <w:sz w:val="32"/>
          <w:szCs w:val="32"/>
          <w:lang w:val="en-US" w:eastAsia="zh-CN"/>
        </w:rPr>
        <w:t>1355.65</w:t>
      </w:r>
      <w:r>
        <w:rPr>
          <w:rFonts w:eastAsia="仿宋_GB2312"/>
          <w:sz w:val="32"/>
          <w:szCs w:val="32"/>
        </w:rPr>
        <w:t>万元，占</w:t>
      </w:r>
      <w:r>
        <w:rPr>
          <w:rFonts w:hint="eastAsia" w:eastAsia="仿宋_GB2312"/>
          <w:sz w:val="32"/>
          <w:szCs w:val="32"/>
          <w:lang w:val="en-US" w:eastAsia="zh-CN"/>
        </w:rPr>
        <w:t>72.28</w:t>
      </w:r>
      <w:r>
        <w:rPr>
          <w:rFonts w:eastAsia="仿宋_GB2312"/>
          <w:sz w:val="32"/>
          <w:szCs w:val="32"/>
        </w:rPr>
        <w:t>%</w:t>
      </w:r>
      <w:r>
        <w:rPr>
          <w:rFonts w:hint="eastAsia" w:eastAsia="仿宋_GB2312"/>
          <w:sz w:val="32"/>
          <w:szCs w:val="32"/>
        </w:rPr>
        <w:t>;</w:t>
      </w:r>
      <w:r>
        <w:rPr>
          <w:rFonts w:hint="eastAsia" w:eastAsia="仿宋_GB2312"/>
          <w:b/>
          <w:bCs/>
          <w:sz w:val="32"/>
          <w:szCs w:val="32"/>
          <w:lang w:val="en-US" w:eastAsia="zh-CN"/>
        </w:rPr>
        <w:t>文化旅游体育与传媒</w:t>
      </w:r>
      <w:r>
        <w:rPr>
          <w:rFonts w:eastAsia="仿宋_GB2312"/>
          <w:b/>
          <w:bCs/>
          <w:sz w:val="32"/>
          <w:szCs w:val="32"/>
        </w:rPr>
        <w:t>支出</w:t>
      </w:r>
      <w:r>
        <w:rPr>
          <w:rFonts w:hint="eastAsia" w:eastAsia="仿宋_GB2312"/>
          <w:sz w:val="32"/>
          <w:szCs w:val="32"/>
          <w:lang w:val="en-US" w:eastAsia="zh-CN"/>
        </w:rPr>
        <w:t>3.93</w:t>
      </w:r>
      <w:r>
        <w:rPr>
          <w:rFonts w:eastAsia="仿宋_GB2312"/>
          <w:sz w:val="32"/>
          <w:szCs w:val="32"/>
        </w:rPr>
        <w:t>万元，占</w:t>
      </w:r>
      <w:r>
        <w:rPr>
          <w:rFonts w:hint="eastAsia" w:eastAsia="仿宋" w:cs="Times New Roman"/>
          <w:color w:val="000000"/>
          <w:sz w:val="32"/>
          <w:szCs w:val="32"/>
          <w:lang w:val="en-US" w:eastAsia="zh-CN"/>
        </w:rPr>
        <w:t>0.21</w:t>
      </w:r>
      <w:r>
        <w:rPr>
          <w:rFonts w:hint="default" w:ascii="Times New Roman" w:hAnsi="Times New Roman" w:eastAsia="仿宋" w:cs="Times New Roman"/>
          <w:color w:val="000000"/>
          <w:sz w:val="32"/>
          <w:szCs w:val="32"/>
        </w:rPr>
        <w:t>%</w:t>
      </w:r>
      <w:r>
        <w:rPr>
          <w:rFonts w:hint="eastAsia" w:eastAsia="仿宋_GB2312"/>
          <w:sz w:val="32"/>
          <w:szCs w:val="32"/>
        </w:rPr>
        <w:t>;</w:t>
      </w:r>
      <w:r>
        <w:rPr>
          <w:rFonts w:eastAsia="仿宋_GB2312"/>
          <w:b/>
          <w:bCs/>
          <w:sz w:val="32"/>
          <w:szCs w:val="32"/>
        </w:rPr>
        <w:t>社会保障和就业支出</w:t>
      </w:r>
      <w:r>
        <w:rPr>
          <w:rFonts w:hint="eastAsia" w:eastAsia="仿宋_GB2312"/>
          <w:sz w:val="32"/>
          <w:szCs w:val="32"/>
          <w:lang w:val="en-US" w:eastAsia="zh-CN"/>
        </w:rPr>
        <w:t>107.54</w:t>
      </w:r>
      <w:r>
        <w:rPr>
          <w:rFonts w:eastAsia="仿宋_GB2312"/>
          <w:sz w:val="32"/>
          <w:szCs w:val="32"/>
        </w:rPr>
        <w:t>万元，占</w:t>
      </w:r>
      <w:r>
        <w:rPr>
          <w:rFonts w:hint="eastAsia" w:eastAsia="仿宋_GB2312"/>
          <w:sz w:val="32"/>
          <w:szCs w:val="32"/>
          <w:lang w:val="en-US" w:eastAsia="zh-CN"/>
        </w:rPr>
        <w:t>5.73</w:t>
      </w:r>
      <w:r>
        <w:rPr>
          <w:rFonts w:eastAsia="仿宋_GB2312"/>
          <w:sz w:val="32"/>
          <w:szCs w:val="32"/>
        </w:rPr>
        <w:t>%。</w:t>
      </w:r>
      <w:r>
        <w:rPr>
          <w:rFonts w:eastAsia="仿宋_GB2312"/>
          <w:b/>
          <w:bCs/>
          <w:sz w:val="32"/>
          <w:szCs w:val="32"/>
        </w:rPr>
        <w:t>卫生健康支出</w:t>
      </w:r>
      <w:r>
        <w:rPr>
          <w:rFonts w:hint="eastAsia" w:eastAsia="仿宋_GB2312"/>
          <w:sz w:val="32"/>
          <w:szCs w:val="32"/>
          <w:lang w:val="en-US" w:eastAsia="zh-CN"/>
        </w:rPr>
        <w:t>39.62</w:t>
      </w:r>
      <w:r>
        <w:rPr>
          <w:rFonts w:eastAsia="仿宋_GB2312"/>
          <w:sz w:val="32"/>
          <w:szCs w:val="32"/>
        </w:rPr>
        <w:t>万元，占</w:t>
      </w:r>
      <w:r>
        <w:rPr>
          <w:rFonts w:hint="eastAsia" w:eastAsia="仿宋_GB2312"/>
          <w:sz w:val="32"/>
          <w:szCs w:val="32"/>
          <w:lang w:val="en-US" w:eastAsia="zh-CN"/>
        </w:rPr>
        <w:t>2.11</w:t>
      </w:r>
      <w:r>
        <w:rPr>
          <w:rFonts w:eastAsia="仿宋_GB2312"/>
          <w:sz w:val="32"/>
          <w:szCs w:val="32"/>
        </w:rPr>
        <w:t>%</w:t>
      </w:r>
      <w:r>
        <w:rPr>
          <w:rFonts w:hint="eastAsia" w:eastAsia="仿宋_GB2312"/>
          <w:sz w:val="32"/>
          <w:szCs w:val="32"/>
        </w:rPr>
        <w:t>;</w:t>
      </w:r>
      <w:r>
        <w:rPr>
          <w:rFonts w:eastAsia="仿宋_GB2312"/>
          <w:b/>
          <w:bCs/>
          <w:sz w:val="32"/>
          <w:szCs w:val="32"/>
        </w:rPr>
        <w:t>农林水支出</w:t>
      </w:r>
      <w:r>
        <w:rPr>
          <w:rFonts w:hint="eastAsia" w:eastAsia="仿宋_GB2312"/>
          <w:sz w:val="32"/>
          <w:szCs w:val="32"/>
          <w:lang w:val="en-US" w:eastAsia="zh-CN"/>
        </w:rPr>
        <w:t>314.98</w:t>
      </w:r>
      <w:r>
        <w:rPr>
          <w:rFonts w:eastAsia="仿宋_GB2312"/>
          <w:sz w:val="32"/>
          <w:szCs w:val="32"/>
        </w:rPr>
        <w:t>万元，占</w:t>
      </w:r>
      <w:r>
        <w:rPr>
          <w:rFonts w:hint="eastAsia" w:eastAsia="仿宋_GB2312"/>
          <w:sz w:val="32"/>
          <w:szCs w:val="32"/>
          <w:lang w:val="en-US" w:eastAsia="zh-CN"/>
        </w:rPr>
        <w:t>16.79</w:t>
      </w:r>
      <w:r>
        <w:rPr>
          <w:rFonts w:eastAsia="仿宋_GB2312"/>
          <w:sz w:val="32"/>
          <w:szCs w:val="32"/>
        </w:rPr>
        <w:t>%</w:t>
      </w:r>
      <w:r>
        <w:rPr>
          <w:rFonts w:hint="eastAsia" w:eastAsia="仿宋_GB2312"/>
          <w:sz w:val="32"/>
          <w:szCs w:val="32"/>
        </w:rPr>
        <w:t>;</w:t>
      </w:r>
      <w:r>
        <w:rPr>
          <w:rStyle w:val="22"/>
          <w:rFonts w:eastAsia="仿宋_GB2312"/>
          <w:bCs/>
          <w:sz w:val="32"/>
          <w:szCs w:val="32"/>
        </w:rPr>
        <w:t>住房保障</w:t>
      </w:r>
      <w:r>
        <w:rPr>
          <w:rFonts w:hint="eastAsia" w:eastAsia="仿宋_GB2312"/>
          <w:sz w:val="32"/>
          <w:szCs w:val="32"/>
          <w:lang w:val="en-US" w:eastAsia="zh-CN"/>
        </w:rPr>
        <w:t>53.74</w:t>
      </w:r>
      <w:r>
        <w:rPr>
          <w:rFonts w:eastAsia="仿宋_GB2312"/>
          <w:sz w:val="32"/>
          <w:szCs w:val="32"/>
        </w:rPr>
        <w:t>万元，占</w:t>
      </w:r>
      <w:r>
        <w:rPr>
          <w:rFonts w:hint="eastAsia" w:eastAsia="仿宋_GB2312"/>
          <w:sz w:val="32"/>
          <w:szCs w:val="32"/>
          <w:lang w:val="en-US" w:eastAsia="zh-CN"/>
        </w:rPr>
        <w:t>2.86</w:t>
      </w:r>
      <w:r>
        <w:rPr>
          <w:rFonts w:eastAsia="仿宋_GB2312"/>
          <w:sz w:val="32"/>
          <w:szCs w:val="32"/>
        </w:rPr>
        <w:t>%。</w:t>
      </w:r>
    </w:p>
    <w:p w14:paraId="064AAE1A">
      <w:pPr>
        <w:pStyle w:val="27"/>
        <w:jc w:val="center"/>
        <w:rPr>
          <w:rFonts w:ascii="Times New Roman" w:hAnsi="Times New Roman" w:eastAsia="仿宋_GB2312" w:cs="Times New Roman"/>
          <w:sz w:val="32"/>
          <w:szCs w:val="32"/>
        </w:rPr>
      </w:pPr>
      <w:r>
        <w:drawing>
          <wp:inline distT="0" distB="0" distL="114300" distR="114300">
            <wp:extent cx="4466590" cy="2485390"/>
            <wp:effectExtent l="4445" t="4445" r="9525" b="9525"/>
            <wp:docPr id="1342"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1217053">
      <w:pPr>
        <w:spacing w:line="560" w:lineRule="exact"/>
        <w:ind w:firstLine="643" w:firstLineChars="200"/>
        <w:rPr>
          <w:rFonts w:eastAsia="仿宋_GB2312"/>
          <w:sz w:val="32"/>
          <w:szCs w:val="32"/>
        </w:rPr>
      </w:pPr>
      <w:r>
        <w:rPr>
          <w:rFonts w:eastAsia="仿宋_GB2312"/>
          <w:b/>
          <w:bCs/>
          <w:sz w:val="32"/>
          <w:szCs w:val="32"/>
        </w:rPr>
        <w:t>（图6：一般公共预算财政拨款支出决算结构）（饼状图）</w:t>
      </w:r>
    </w:p>
    <w:p w14:paraId="34351487">
      <w:pPr>
        <w:spacing w:line="560" w:lineRule="exact"/>
        <w:ind w:firstLine="643" w:firstLineChars="200"/>
        <w:outlineLvl w:val="2"/>
        <w:rPr>
          <w:rFonts w:eastAsia="仿宋_GB2312"/>
          <w:b/>
          <w:bCs/>
          <w:sz w:val="32"/>
          <w:szCs w:val="32"/>
        </w:rPr>
      </w:pPr>
      <w:bookmarkStart w:id="54" w:name="_Toc15377212"/>
      <w:r>
        <w:rPr>
          <w:rFonts w:eastAsia="仿宋_GB2312"/>
          <w:b/>
          <w:bCs/>
          <w:sz w:val="32"/>
          <w:szCs w:val="32"/>
        </w:rPr>
        <w:t>（三）一般公共预算财政拨款支出决算具体情况</w:t>
      </w:r>
      <w:bookmarkEnd w:id="54"/>
    </w:p>
    <w:p w14:paraId="4712CDC0">
      <w:pPr>
        <w:spacing w:line="560" w:lineRule="exact"/>
        <w:ind w:firstLine="640" w:firstLineChars="200"/>
      </w:pPr>
      <w:bookmarkStart w:id="55" w:name="_Toc15377213"/>
      <w:bookmarkStart w:id="56" w:name="_Toc15378460"/>
      <w:bookmarkStart w:id="57" w:name="_Toc25701"/>
      <w:bookmarkStart w:id="58" w:name="_Toc20654"/>
      <w:bookmarkStart w:id="59" w:name="_Toc15377444"/>
      <w:r>
        <w:rPr>
          <w:rFonts w:hint="eastAsia" w:eastAsia="仿宋_GB2312"/>
          <w:bCs/>
          <w:sz w:val="32"/>
          <w:szCs w:val="32"/>
          <w:lang w:eastAsia="zh-CN"/>
        </w:rPr>
        <w:t>2024</w:t>
      </w:r>
      <w:r>
        <w:rPr>
          <w:rFonts w:eastAsia="仿宋_GB2312"/>
          <w:bCs/>
          <w:sz w:val="32"/>
          <w:szCs w:val="32"/>
        </w:rPr>
        <w:t>年一般公共预算支出决算数为</w:t>
      </w:r>
      <w:r>
        <w:rPr>
          <w:rFonts w:hint="eastAsia" w:eastAsia="仿宋_GB2312"/>
          <w:bCs/>
          <w:sz w:val="32"/>
          <w:szCs w:val="32"/>
          <w:lang w:val="en-US" w:eastAsia="zh-CN"/>
        </w:rPr>
        <w:t>1875.46</w:t>
      </w:r>
      <w:r>
        <w:rPr>
          <w:rFonts w:eastAsia="仿宋_GB2312"/>
          <w:bCs/>
          <w:sz w:val="32"/>
          <w:szCs w:val="32"/>
        </w:rPr>
        <w:t>万元，</w:t>
      </w:r>
      <w:r>
        <w:rPr>
          <w:rStyle w:val="22"/>
          <w:rFonts w:eastAsia="仿宋_GB2312"/>
          <w:b w:val="0"/>
          <w:bCs/>
          <w:sz w:val="32"/>
          <w:szCs w:val="32"/>
        </w:rPr>
        <w:t>完成预算100%。其中：</w:t>
      </w:r>
      <w:bookmarkEnd w:id="55"/>
      <w:bookmarkEnd w:id="56"/>
      <w:bookmarkEnd w:id="57"/>
      <w:bookmarkEnd w:id="58"/>
      <w:bookmarkEnd w:id="59"/>
    </w:p>
    <w:p w14:paraId="7B951EE7">
      <w:pPr>
        <w:pStyle w:val="27"/>
        <w:spacing w:line="560" w:lineRule="exact"/>
        <w:ind w:firstLine="643" w:firstLineChars="200"/>
        <w:rPr>
          <w:rStyle w:val="22"/>
          <w:rFonts w:ascii="Times New Roman" w:hAnsi="Times New Roman" w:eastAsia="仿宋_GB2312" w:cs="Times New Roman"/>
          <w:b w:val="0"/>
          <w:sz w:val="32"/>
          <w:szCs w:val="32"/>
        </w:rPr>
      </w:pPr>
      <w:r>
        <w:rPr>
          <w:rStyle w:val="22"/>
          <w:rFonts w:hint="eastAsia" w:ascii="Times New Roman" w:hAnsi="Times New Roman" w:eastAsia="仿宋_GB2312" w:cs="Times New Roman"/>
          <w:bCs/>
          <w:sz w:val="32"/>
          <w:szCs w:val="32"/>
          <w:lang w:val="en-US" w:eastAsia="zh-CN"/>
        </w:rPr>
        <w:t>1</w:t>
      </w:r>
      <w:r>
        <w:rPr>
          <w:rStyle w:val="22"/>
          <w:rFonts w:ascii="Times New Roman" w:hAnsi="Times New Roman" w:eastAsia="仿宋_GB2312" w:cs="Times New Roman"/>
          <w:bCs/>
          <w:sz w:val="32"/>
          <w:szCs w:val="32"/>
        </w:rPr>
        <w:t>、一般公共服务支出（类）组织事务（款）行政运行（项）：</w:t>
      </w:r>
      <w:r>
        <w:rPr>
          <w:rStyle w:val="22"/>
          <w:rFonts w:ascii="Times New Roman" w:hAnsi="Times New Roman" w:eastAsia="仿宋_GB2312" w:cs="Times New Roman"/>
          <w:b w:val="0"/>
          <w:sz w:val="32"/>
          <w:szCs w:val="32"/>
        </w:rPr>
        <w:t>支出决算为</w:t>
      </w:r>
      <w:r>
        <w:rPr>
          <w:rStyle w:val="22"/>
          <w:rFonts w:hint="eastAsia" w:ascii="Times New Roman" w:hAnsi="Times New Roman" w:eastAsia="仿宋_GB2312" w:cs="Times New Roman"/>
          <w:b w:val="0"/>
          <w:sz w:val="32"/>
          <w:szCs w:val="32"/>
          <w:lang w:val="en-US" w:eastAsia="zh-CN"/>
        </w:rPr>
        <w:t>528.84</w:t>
      </w:r>
      <w:r>
        <w:rPr>
          <w:rStyle w:val="22"/>
          <w:rFonts w:ascii="Times New Roman" w:hAnsi="Times New Roman" w:eastAsia="仿宋_GB2312" w:cs="Times New Roman"/>
          <w:b w:val="0"/>
          <w:sz w:val="32"/>
          <w:szCs w:val="32"/>
        </w:rPr>
        <w:t>万元，完成预算100%，</w:t>
      </w:r>
      <w:r>
        <w:rPr>
          <w:rStyle w:val="22"/>
          <w:rFonts w:hint="eastAsia" w:ascii="Times New Roman" w:hAnsi="Times New Roman" w:eastAsia="仿宋_GB2312" w:cs="Times New Roman"/>
          <w:b w:val="0"/>
          <w:sz w:val="32"/>
          <w:szCs w:val="32"/>
          <w:lang w:val="en-US" w:eastAsia="zh-CN"/>
        </w:rPr>
        <w:t>决算数等于预算数</w:t>
      </w:r>
      <w:r>
        <w:rPr>
          <w:rStyle w:val="22"/>
          <w:rFonts w:ascii="Times New Roman" w:hAnsi="Times New Roman" w:eastAsia="仿宋_GB2312" w:cs="Times New Roman"/>
          <w:b w:val="0"/>
          <w:sz w:val="32"/>
          <w:szCs w:val="32"/>
        </w:rPr>
        <w:t>。</w:t>
      </w:r>
    </w:p>
    <w:p w14:paraId="37779A20">
      <w:pPr>
        <w:pStyle w:val="27"/>
        <w:spacing w:line="560" w:lineRule="exact"/>
        <w:ind w:firstLine="643" w:firstLineChars="200"/>
        <w:rPr>
          <w:rStyle w:val="22"/>
          <w:rFonts w:ascii="Times New Roman" w:hAnsi="Times New Roman" w:eastAsia="仿宋_GB2312" w:cs="Times New Roman"/>
          <w:b w:val="0"/>
          <w:sz w:val="32"/>
          <w:szCs w:val="32"/>
        </w:rPr>
      </w:pPr>
      <w:r>
        <w:rPr>
          <w:rStyle w:val="22"/>
          <w:rFonts w:hint="eastAsia" w:ascii="Times New Roman" w:hAnsi="Times New Roman" w:eastAsia="仿宋_GB2312" w:cs="Times New Roman"/>
          <w:bCs/>
          <w:sz w:val="32"/>
          <w:szCs w:val="32"/>
          <w:lang w:val="en-US" w:eastAsia="zh-CN"/>
        </w:rPr>
        <w:t>2</w:t>
      </w:r>
      <w:r>
        <w:rPr>
          <w:rStyle w:val="22"/>
          <w:rFonts w:ascii="Times New Roman" w:hAnsi="Times New Roman" w:eastAsia="仿宋_GB2312" w:cs="Times New Roman"/>
          <w:bCs/>
          <w:sz w:val="32"/>
          <w:szCs w:val="32"/>
        </w:rPr>
        <w:t>、一般公共服务支出（类）组织事务（款）一般行政管理事务（项）：</w:t>
      </w:r>
      <w:r>
        <w:rPr>
          <w:rStyle w:val="22"/>
          <w:rFonts w:ascii="Times New Roman" w:hAnsi="Times New Roman" w:eastAsia="仿宋_GB2312" w:cs="Times New Roman"/>
          <w:b w:val="0"/>
          <w:sz w:val="32"/>
          <w:szCs w:val="32"/>
        </w:rPr>
        <w:t>支出决算为</w:t>
      </w:r>
      <w:r>
        <w:rPr>
          <w:rStyle w:val="22"/>
          <w:rFonts w:hint="eastAsia" w:ascii="Times New Roman" w:hAnsi="Times New Roman" w:eastAsia="仿宋_GB2312" w:cs="Times New Roman"/>
          <w:b w:val="0"/>
          <w:sz w:val="32"/>
          <w:szCs w:val="32"/>
          <w:lang w:val="en-US" w:eastAsia="zh-CN"/>
        </w:rPr>
        <w:t>712.36</w:t>
      </w:r>
      <w:r>
        <w:rPr>
          <w:rStyle w:val="22"/>
          <w:rFonts w:ascii="Times New Roman" w:hAnsi="Times New Roman" w:eastAsia="仿宋_GB2312" w:cs="Times New Roman"/>
          <w:b w:val="0"/>
          <w:sz w:val="32"/>
          <w:szCs w:val="32"/>
        </w:rPr>
        <w:t>万元，完成预算100%，</w:t>
      </w:r>
      <w:r>
        <w:rPr>
          <w:rStyle w:val="22"/>
          <w:rFonts w:hint="eastAsia" w:ascii="Times New Roman" w:hAnsi="Times New Roman" w:eastAsia="仿宋_GB2312" w:cs="Times New Roman"/>
          <w:b w:val="0"/>
          <w:sz w:val="32"/>
          <w:szCs w:val="32"/>
          <w:lang w:val="en-US" w:eastAsia="zh-CN"/>
        </w:rPr>
        <w:t>决算数等于预算数</w:t>
      </w:r>
      <w:r>
        <w:rPr>
          <w:rStyle w:val="22"/>
          <w:rFonts w:ascii="Times New Roman" w:hAnsi="Times New Roman" w:eastAsia="仿宋_GB2312" w:cs="Times New Roman"/>
          <w:b w:val="0"/>
          <w:sz w:val="32"/>
          <w:szCs w:val="32"/>
        </w:rPr>
        <w:t>。</w:t>
      </w:r>
    </w:p>
    <w:p w14:paraId="6175A752">
      <w:pPr>
        <w:pStyle w:val="27"/>
        <w:spacing w:line="560" w:lineRule="exact"/>
        <w:ind w:firstLine="643" w:firstLineChars="200"/>
        <w:rPr>
          <w:rStyle w:val="22"/>
          <w:rFonts w:ascii="Times New Roman" w:hAnsi="Times New Roman" w:eastAsia="仿宋_GB2312" w:cs="Times New Roman"/>
          <w:bCs/>
          <w:sz w:val="32"/>
          <w:szCs w:val="32"/>
        </w:rPr>
      </w:pPr>
      <w:r>
        <w:rPr>
          <w:rStyle w:val="22"/>
          <w:rFonts w:hint="eastAsia" w:ascii="Times New Roman" w:hAnsi="Times New Roman" w:eastAsia="仿宋_GB2312" w:cs="Times New Roman"/>
          <w:bCs/>
          <w:sz w:val="32"/>
          <w:szCs w:val="32"/>
          <w:lang w:val="en-US" w:eastAsia="zh-CN"/>
        </w:rPr>
        <w:t>3</w:t>
      </w:r>
      <w:r>
        <w:rPr>
          <w:rStyle w:val="22"/>
          <w:rFonts w:ascii="Times New Roman" w:hAnsi="Times New Roman" w:eastAsia="仿宋_GB2312" w:cs="Times New Roman"/>
          <w:bCs/>
          <w:sz w:val="32"/>
          <w:szCs w:val="32"/>
        </w:rPr>
        <w:t>、一般公共服务支出（类）组织事务（款）事业运行（项）：</w:t>
      </w:r>
      <w:r>
        <w:rPr>
          <w:rStyle w:val="22"/>
          <w:rFonts w:ascii="Times New Roman" w:hAnsi="Times New Roman" w:eastAsia="仿宋_GB2312" w:cs="Times New Roman"/>
          <w:b w:val="0"/>
          <w:sz w:val="32"/>
          <w:szCs w:val="32"/>
        </w:rPr>
        <w:t>支出决算为</w:t>
      </w:r>
      <w:r>
        <w:rPr>
          <w:rStyle w:val="22"/>
          <w:rFonts w:hint="eastAsia" w:ascii="Times New Roman" w:hAnsi="Times New Roman" w:eastAsia="仿宋_GB2312" w:cs="Times New Roman"/>
          <w:b w:val="0"/>
          <w:sz w:val="32"/>
          <w:szCs w:val="32"/>
          <w:lang w:val="en-US" w:eastAsia="zh-CN"/>
        </w:rPr>
        <w:t>68.71</w:t>
      </w:r>
      <w:r>
        <w:rPr>
          <w:rStyle w:val="22"/>
          <w:rFonts w:ascii="Times New Roman" w:hAnsi="Times New Roman" w:eastAsia="仿宋_GB2312" w:cs="Times New Roman"/>
          <w:b w:val="0"/>
          <w:sz w:val="32"/>
          <w:szCs w:val="32"/>
        </w:rPr>
        <w:t>万元，完成预算100%，</w:t>
      </w:r>
      <w:r>
        <w:rPr>
          <w:rStyle w:val="22"/>
          <w:rFonts w:hint="eastAsia" w:ascii="Times New Roman" w:hAnsi="Times New Roman" w:eastAsia="仿宋_GB2312" w:cs="Times New Roman"/>
          <w:b w:val="0"/>
          <w:sz w:val="32"/>
          <w:szCs w:val="32"/>
          <w:lang w:val="en-US" w:eastAsia="zh-CN"/>
        </w:rPr>
        <w:t>决算数等于预算数</w:t>
      </w:r>
      <w:r>
        <w:rPr>
          <w:rStyle w:val="22"/>
          <w:rFonts w:ascii="Times New Roman" w:hAnsi="Times New Roman" w:eastAsia="仿宋_GB2312" w:cs="Times New Roman"/>
          <w:b w:val="0"/>
          <w:sz w:val="32"/>
          <w:szCs w:val="32"/>
        </w:rPr>
        <w:t>。</w:t>
      </w:r>
    </w:p>
    <w:p w14:paraId="6C97208B">
      <w:pPr>
        <w:pStyle w:val="27"/>
        <w:spacing w:line="560" w:lineRule="exact"/>
        <w:ind w:firstLine="643" w:firstLineChars="200"/>
        <w:rPr>
          <w:rStyle w:val="22"/>
          <w:rFonts w:ascii="Times New Roman" w:hAnsi="Times New Roman" w:eastAsia="仿宋_GB2312" w:cs="Times New Roman"/>
          <w:b w:val="0"/>
          <w:sz w:val="32"/>
          <w:szCs w:val="32"/>
        </w:rPr>
      </w:pPr>
      <w:r>
        <w:rPr>
          <w:rStyle w:val="22"/>
          <w:rFonts w:hint="eastAsia" w:ascii="Times New Roman" w:hAnsi="Times New Roman" w:eastAsia="仿宋_GB2312" w:cs="Times New Roman"/>
          <w:bCs/>
          <w:sz w:val="32"/>
          <w:szCs w:val="32"/>
          <w:lang w:val="en-US" w:eastAsia="zh-CN"/>
        </w:rPr>
        <w:t>4</w:t>
      </w:r>
      <w:r>
        <w:rPr>
          <w:rStyle w:val="22"/>
          <w:rFonts w:ascii="Times New Roman" w:hAnsi="Times New Roman" w:eastAsia="仿宋_GB2312" w:cs="Times New Roman"/>
          <w:bCs/>
          <w:sz w:val="32"/>
          <w:szCs w:val="32"/>
        </w:rPr>
        <w:t>、一般公共服务支出（类）组织事务（款）其他组织事务支出（项）：</w:t>
      </w:r>
      <w:r>
        <w:rPr>
          <w:rStyle w:val="22"/>
          <w:rFonts w:ascii="Times New Roman" w:hAnsi="Times New Roman" w:eastAsia="仿宋_GB2312" w:cs="Times New Roman"/>
          <w:b w:val="0"/>
          <w:sz w:val="32"/>
          <w:szCs w:val="32"/>
        </w:rPr>
        <w:t>支出决算为</w:t>
      </w:r>
      <w:r>
        <w:rPr>
          <w:rStyle w:val="22"/>
          <w:rFonts w:hint="eastAsia" w:ascii="Times New Roman" w:hAnsi="Times New Roman" w:eastAsia="仿宋_GB2312" w:cs="Times New Roman"/>
          <w:b w:val="0"/>
          <w:sz w:val="32"/>
          <w:szCs w:val="32"/>
          <w:lang w:val="en-US" w:eastAsia="zh-CN"/>
        </w:rPr>
        <w:t>45.75</w:t>
      </w:r>
      <w:r>
        <w:rPr>
          <w:rStyle w:val="22"/>
          <w:rFonts w:ascii="Times New Roman" w:hAnsi="Times New Roman" w:eastAsia="仿宋_GB2312" w:cs="Times New Roman"/>
          <w:b w:val="0"/>
          <w:sz w:val="32"/>
          <w:szCs w:val="32"/>
        </w:rPr>
        <w:t>万元，完成预算100%，</w:t>
      </w:r>
      <w:r>
        <w:rPr>
          <w:rStyle w:val="22"/>
          <w:rFonts w:hint="eastAsia" w:ascii="Times New Roman" w:hAnsi="Times New Roman" w:eastAsia="仿宋_GB2312" w:cs="Times New Roman"/>
          <w:b w:val="0"/>
          <w:sz w:val="32"/>
          <w:szCs w:val="32"/>
          <w:lang w:val="en-US" w:eastAsia="zh-CN"/>
        </w:rPr>
        <w:t>决算数等于预算数</w:t>
      </w:r>
      <w:r>
        <w:rPr>
          <w:rStyle w:val="22"/>
          <w:rFonts w:ascii="Times New Roman" w:hAnsi="Times New Roman" w:eastAsia="仿宋_GB2312" w:cs="Times New Roman"/>
          <w:b w:val="0"/>
          <w:sz w:val="32"/>
          <w:szCs w:val="32"/>
        </w:rPr>
        <w:t>。</w:t>
      </w:r>
    </w:p>
    <w:p w14:paraId="447D4336">
      <w:pPr>
        <w:pStyle w:val="27"/>
        <w:spacing w:line="560" w:lineRule="exact"/>
        <w:ind w:firstLine="643" w:firstLineChars="200"/>
        <w:rPr>
          <w:rStyle w:val="22"/>
          <w:rFonts w:ascii="Times New Roman" w:hAnsi="Times New Roman" w:eastAsia="仿宋_GB2312" w:cs="Times New Roman"/>
          <w:bCs/>
          <w:sz w:val="32"/>
          <w:szCs w:val="32"/>
        </w:rPr>
      </w:pPr>
      <w:r>
        <w:rPr>
          <w:rStyle w:val="22"/>
          <w:rFonts w:hint="eastAsia" w:ascii="Times New Roman" w:hAnsi="Times New Roman" w:eastAsia="仿宋_GB2312" w:cs="Times New Roman"/>
          <w:bCs/>
          <w:sz w:val="32"/>
          <w:szCs w:val="32"/>
          <w:lang w:val="en-US" w:eastAsia="zh-CN"/>
        </w:rPr>
        <w:t>5</w:t>
      </w:r>
      <w:r>
        <w:rPr>
          <w:rStyle w:val="22"/>
          <w:rFonts w:ascii="Times New Roman" w:hAnsi="Times New Roman" w:eastAsia="仿宋_GB2312" w:cs="Times New Roman"/>
          <w:bCs/>
          <w:sz w:val="32"/>
          <w:szCs w:val="32"/>
        </w:rPr>
        <w:t>、</w:t>
      </w:r>
      <w:r>
        <w:rPr>
          <w:rStyle w:val="22"/>
          <w:rFonts w:hint="eastAsia" w:ascii="Times New Roman" w:hAnsi="Times New Roman" w:eastAsia="仿宋_GB2312" w:cs="Times New Roman"/>
          <w:bCs/>
          <w:sz w:val="32"/>
          <w:szCs w:val="32"/>
          <w:lang w:val="en-US" w:eastAsia="zh-CN"/>
        </w:rPr>
        <w:t>文化旅游体育与传媒</w:t>
      </w:r>
      <w:r>
        <w:rPr>
          <w:rStyle w:val="22"/>
          <w:rFonts w:ascii="Times New Roman" w:hAnsi="Times New Roman" w:eastAsia="仿宋_GB2312" w:cs="Times New Roman"/>
          <w:bCs/>
          <w:sz w:val="32"/>
          <w:szCs w:val="32"/>
        </w:rPr>
        <w:t>支出（类）</w:t>
      </w:r>
      <w:r>
        <w:rPr>
          <w:rStyle w:val="22"/>
          <w:rFonts w:hint="eastAsia" w:ascii="Times New Roman" w:hAnsi="Times New Roman" w:eastAsia="仿宋_GB2312" w:cs="Times New Roman"/>
          <w:bCs/>
          <w:sz w:val="32"/>
          <w:szCs w:val="32"/>
          <w:lang w:val="en-US" w:eastAsia="zh-CN"/>
        </w:rPr>
        <w:t>文化和旅游</w:t>
      </w:r>
      <w:r>
        <w:rPr>
          <w:rStyle w:val="22"/>
          <w:rFonts w:ascii="Times New Roman" w:hAnsi="Times New Roman" w:eastAsia="仿宋_GB2312" w:cs="Times New Roman"/>
          <w:bCs/>
          <w:sz w:val="32"/>
          <w:szCs w:val="32"/>
        </w:rPr>
        <w:t>（款）</w:t>
      </w:r>
      <w:r>
        <w:rPr>
          <w:rStyle w:val="22"/>
          <w:rFonts w:hint="eastAsia" w:ascii="Times New Roman" w:hAnsi="Times New Roman" w:eastAsia="仿宋_GB2312" w:cs="Times New Roman"/>
          <w:bCs/>
          <w:sz w:val="32"/>
          <w:szCs w:val="32"/>
          <w:lang w:val="en-US" w:eastAsia="zh-CN"/>
        </w:rPr>
        <w:t>文化活动</w:t>
      </w:r>
      <w:r>
        <w:rPr>
          <w:rStyle w:val="22"/>
          <w:rFonts w:ascii="Times New Roman" w:hAnsi="Times New Roman" w:eastAsia="仿宋_GB2312" w:cs="Times New Roman"/>
          <w:bCs/>
          <w:sz w:val="32"/>
          <w:szCs w:val="32"/>
        </w:rPr>
        <w:t>（项）：</w:t>
      </w:r>
      <w:r>
        <w:rPr>
          <w:rStyle w:val="22"/>
          <w:rFonts w:ascii="Times New Roman" w:hAnsi="Times New Roman" w:eastAsia="仿宋_GB2312" w:cs="Times New Roman"/>
          <w:b w:val="0"/>
          <w:sz w:val="32"/>
          <w:szCs w:val="32"/>
        </w:rPr>
        <w:t>支出决算为</w:t>
      </w:r>
      <w:r>
        <w:rPr>
          <w:rStyle w:val="22"/>
          <w:rFonts w:hint="eastAsia" w:ascii="Times New Roman" w:hAnsi="Times New Roman" w:eastAsia="仿宋_GB2312" w:cs="Times New Roman"/>
          <w:b w:val="0"/>
          <w:sz w:val="32"/>
          <w:szCs w:val="32"/>
          <w:lang w:val="en-US" w:eastAsia="zh-CN"/>
        </w:rPr>
        <w:t>3.93</w:t>
      </w:r>
      <w:r>
        <w:rPr>
          <w:rStyle w:val="22"/>
          <w:rFonts w:ascii="Times New Roman" w:hAnsi="Times New Roman" w:eastAsia="仿宋_GB2312" w:cs="Times New Roman"/>
          <w:b w:val="0"/>
          <w:sz w:val="32"/>
          <w:szCs w:val="32"/>
        </w:rPr>
        <w:t>万元，完成预算100%，</w:t>
      </w:r>
      <w:r>
        <w:rPr>
          <w:rStyle w:val="22"/>
          <w:rFonts w:hint="eastAsia" w:ascii="Times New Roman" w:hAnsi="Times New Roman" w:eastAsia="仿宋_GB2312" w:cs="Times New Roman"/>
          <w:b w:val="0"/>
          <w:sz w:val="32"/>
          <w:szCs w:val="32"/>
          <w:lang w:val="en-US" w:eastAsia="zh-CN"/>
        </w:rPr>
        <w:t>决算数等于预算数</w:t>
      </w:r>
      <w:r>
        <w:rPr>
          <w:rStyle w:val="22"/>
          <w:rFonts w:ascii="Times New Roman" w:hAnsi="Times New Roman" w:eastAsia="仿宋_GB2312" w:cs="Times New Roman"/>
          <w:b w:val="0"/>
          <w:sz w:val="32"/>
          <w:szCs w:val="32"/>
        </w:rPr>
        <w:t>。</w:t>
      </w:r>
    </w:p>
    <w:p w14:paraId="621D6673">
      <w:pPr>
        <w:pStyle w:val="27"/>
        <w:spacing w:line="560" w:lineRule="exact"/>
        <w:ind w:firstLine="643" w:firstLineChars="200"/>
        <w:rPr>
          <w:rStyle w:val="22"/>
          <w:rFonts w:ascii="Times New Roman" w:hAnsi="Times New Roman" w:eastAsia="仿宋_GB2312" w:cs="Times New Roman"/>
          <w:b w:val="0"/>
          <w:sz w:val="32"/>
          <w:szCs w:val="32"/>
        </w:rPr>
      </w:pPr>
      <w:r>
        <w:rPr>
          <w:rStyle w:val="22"/>
          <w:rFonts w:hint="eastAsia" w:ascii="Times New Roman" w:hAnsi="Times New Roman" w:eastAsia="仿宋_GB2312" w:cs="Times New Roman"/>
          <w:bCs/>
          <w:sz w:val="32"/>
          <w:szCs w:val="32"/>
          <w:lang w:val="en-US" w:eastAsia="zh-CN"/>
        </w:rPr>
        <w:t>6</w:t>
      </w:r>
      <w:r>
        <w:rPr>
          <w:rStyle w:val="22"/>
          <w:rFonts w:ascii="Times New Roman" w:hAnsi="Times New Roman" w:eastAsia="仿宋_GB2312" w:cs="Times New Roman"/>
          <w:bCs/>
          <w:sz w:val="32"/>
          <w:szCs w:val="32"/>
        </w:rPr>
        <w:t>、社会保障和就业支出（类）行政事业单位养老支出（款）机关事业单位基本养老保险缴费支出（项）：</w:t>
      </w:r>
      <w:r>
        <w:rPr>
          <w:rStyle w:val="22"/>
          <w:rFonts w:ascii="Times New Roman" w:hAnsi="Times New Roman" w:eastAsia="仿宋_GB2312" w:cs="Times New Roman"/>
          <w:b w:val="0"/>
          <w:sz w:val="32"/>
          <w:szCs w:val="32"/>
        </w:rPr>
        <w:t>支出决算为</w:t>
      </w:r>
      <w:r>
        <w:rPr>
          <w:rStyle w:val="22"/>
          <w:rFonts w:hint="eastAsia" w:ascii="Times New Roman" w:hAnsi="Times New Roman" w:eastAsia="仿宋_GB2312" w:cs="Times New Roman"/>
          <w:b w:val="0"/>
          <w:sz w:val="32"/>
          <w:szCs w:val="32"/>
          <w:lang w:val="en-US" w:eastAsia="zh-CN"/>
        </w:rPr>
        <w:t>71.77</w:t>
      </w:r>
      <w:r>
        <w:rPr>
          <w:rStyle w:val="22"/>
          <w:rFonts w:ascii="Times New Roman" w:hAnsi="Times New Roman" w:eastAsia="仿宋_GB2312" w:cs="Times New Roman"/>
          <w:b w:val="0"/>
          <w:sz w:val="32"/>
          <w:szCs w:val="32"/>
        </w:rPr>
        <w:t>万元，完成预算100%，</w:t>
      </w:r>
      <w:r>
        <w:rPr>
          <w:rStyle w:val="22"/>
          <w:rFonts w:hint="eastAsia" w:ascii="Times New Roman" w:hAnsi="Times New Roman" w:eastAsia="仿宋_GB2312" w:cs="Times New Roman"/>
          <w:b w:val="0"/>
          <w:sz w:val="32"/>
          <w:szCs w:val="32"/>
          <w:lang w:val="en-US" w:eastAsia="zh-CN"/>
        </w:rPr>
        <w:t>决算数等于预算数</w:t>
      </w:r>
      <w:r>
        <w:rPr>
          <w:rStyle w:val="22"/>
          <w:rFonts w:ascii="Times New Roman" w:hAnsi="Times New Roman" w:eastAsia="仿宋_GB2312" w:cs="Times New Roman"/>
          <w:b w:val="0"/>
          <w:sz w:val="32"/>
          <w:szCs w:val="32"/>
        </w:rPr>
        <w:t>。</w:t>
      </w:r>
    </w:p>
    <w:p w14:paraId="7C4CBDD8">
      <w:pPr>
        <w:pStyle w:val="27"/>
        <w:spacing w:line="560" w:lineRule="exact"/>
        <w:ind w:firstLine="643" w:firstLineChars="200"/>
        <w:rPr>
          <w:rStyle w:val="22"/>
          <w:rFonts w:ascii="Times New Roman" w:hAnsi="Times New Roman" w:eastAsia="仿宋_GB2312" w:cs="Times New Roman"/>
          <w:bCs/>
          <w:sz w:val="32"/>
          <w:szCs w:val="32"/>
        </w:rPr>
      </w:pPr>
      <w:r>
        <w:rPr>
          <w:rStyle w:val="22"/>
          <w:rFonts w:hint="eastAsia" w:ascii="Times New Roman" w:hAnsi="Times New Roman" w:eastAsia="仿宋_GB2312" w:cs="Times New Roman"/>
          <w:bCs/>
          <w:sz w:val="32"/>
          <w:szCs w:val="32"/>
          <w:lang w:val="en-US" w:eastAsia="zh-CN"/>
        </w:rPr>
        <w:t>7</w:t>
      </w:r>
      <w:r>
        <w:rPr>
          <w:rStyle w:val="22"/>
          <w:rFonts w:ascii="Times New Roman" w:hAnsi="Times New Roman" w:eastAsia="仿宋_GB2312" w:cs="Times New Roman"/>
          <w:bCs/>
          <w:sz w:val="32"/>
          <w:szCs w:val="32"/>
        </w:rPr>
        <w:t>、社会保障和就业支出（类）行政事业单位养老支出（款）机关事业单位职业年金缴费支出（项）：</w:t>
      </w:r>
      <w:r>
        <w:rPr>
          <w:rStyle w:val="22"/>
          <w:rFonts w:ascii="Times New Roman" w:hAnsi="Times New Roman" w:eastAsia="仿宋_GB2312" w:cs="Times New Roman"/>
          <w:b w:val="0"/>
          <w:sz w:val="32"/>
          <w:szCs w:val="32"/>
        </w:rPr>
        <w:t>支出决算为</w:t>
      </w:r>
      <w:r>
        <w:rPr>
          <w:rStyle w:val="22"/>
          <w:rFonts w:hint="eastAsia" w:ascii="Times New Roman" w:hAnsi="Times New Roman" w:eastAsia="仿宋_GB2312" w:cs="Times New Roman"/>
          <w:b w:val="0"/>
          <w:sz w:val="32"/>
          <w:szCs w:val="32"/>
          <w:lang w:val="en-US" w:eastAsia="zh-CN"/>
        </w:rPr>
        <w:t>35.76</w:t>
      </w:r>
      <w:r>
        <w:rPr>
          <w:rStyle w:val="22"/>
          <w:rFonts w:ascii="Times New Roman" w:hAnsi="Times New Roman" w:eastAsia="仿宋_GB2312" w:cs="Times New Roman"/>
          <w:b w:val="0"/>
          <w:sz w:val="32"/>
          <w:szCs w:val="32"/>
        </w:rPr>
        <w:t>万元，完成预算100%，</w:t>
      </w:r>
      <w:r>
        <w:rPr>
          <w:rStyle w:val="22"/>
          <w:rFonts w:hint="eastAsia" w:ascii="Times New Roman" w:hAnsi="Times New Roman" w:eastAsia="仿宋_GB2312" w:cs="Times New Roman"/>
          <w:b w:val="0"/>
          <w:sz w:val="32"/>
          <w:szCs w:val="32"/>
          <w:lang w:val="en-US" w:eastAsia="zh-CN"/>
        </w:rPr>
        <w:t>决算数等于预算数</w:t>
      </w:r>
      <w:r>
        <w:rPr>
          <w:rStyle w:val="22"/>
          <w:rFonts w:ascii="Times New Roman" w:hAnsi="Times New Roman" w:eastAsia="仿宋_GB2312" w:cs="Times New Roman"/>
          <w:b w:val="0"/>
          <w:sz w:val="32"/>
          <w:szCs w:val="32"/>
        </w:rPr>
        <w:t>。</w:t>
      </w:r>
    </w:p>
    <w:p w14:paraId="628E3FEE">
      <w:pPr>
        <w:pStyle w:val="27"/>
        <w:spacing w:line="560" w:lineRule="exact"/>
        <w:ind w:firstLine="643" w:firstLineChars="200"/>
        <w:rPr>
          <w:rStyle w:val="22"/>
          <w:rFonts w:ascii="Times New Roman" w:hAnsi="Times New Roman" w:eastAsia="仿宋_GB2312" w:cs="Times New Roman"/>
          <w:b w:val="0"/>
          <w:sz w:val="32"/>
          <w:szCs w:val="32"/>
        </w:rPr>
      </w:pPr>
      <w:r>
        <w:rPr>
          <w:rStyle w:val="22"/>
          <w:rFonts w:hint="eastAsia" w:ascii="Times New Roman" w:hAnsi="Times New Roman" w:eastAsia="仿宋_GB2312" w:cs="Times New Roman"/>
          <w:bCs/>
          <w:sz w:val="32"/>
          <w:szCs w:val="32"/>
          <w:lang w:val="en-US" w:eastAsia="zh-CN"/>
        </w:rPr>
        <w:t>8</w:t>
      </w:r>
      <w:r>
        <w:rPr>
          <w:rStyle w:val="22"/>
          <w:rFonts w:ascii="Times New Roman" w:hAnsi="Times New Roman" w:eastAsia="仿宋_GB2312" w:cs="Times New Roman"/>
          <w:bCs/>
          <w:sz w:val="32"/>
          <w:szCs w:val="32"/>
        </w:rPr>
        <w:t>、卫生健康支出（类）行政事业单位医疗（款）行政单位医疗（项）：</w:t>
      </w:r>
      <w:r>
        <w:rPr>
          <w:rStyle w:val="22"/>
          <w:rFonts w:ascii="Times New Roman" w:hAnsi="Times New Roman" w:eastAsia="仿宋_GB2312" w:cs="Times New Roman"/>
          <w:b w:val="0"/>
          <w:sz w:val="32"/>
          <w:szCs w:val="32"/>
        </w:rPr>
        <w:t>支出决算为</w:t>
      </w:r>
      <w:r>
        <w:rPr>
          <w:rStyle w:val="22"/>
          <w:rFonts w:hint="eastAsia" w:ascii="Times New Roman" w:hAnsi="Times New Roman" w:eastAsia="仿宋_GB2312" w:cs="Times New Roman"/>
          <w:b w:val="0"/>
          <w:sz w:val="32"/>
          <w:szCs w:val="32"/>
          <w:lang w:val="en-US" w:eastAsia="zh-CN"/>
        </w:rPr>
        <w:t>26.89</w:t>
      </w:r>
      <w:r>
        <w:rPr>
          <w:rStyle w:val="22"/>
          <w:rFonts w:ascii="Times New Roman" w:hAnsi="Times New Roman" w:eastAsia="仿宋_GB2312" w:cs="Times New Roman"/>
          <w:b w:val="0"/>
          <w:sz w:val="32"/>
          <w:szCs w:val="32"/>
        </w:rPr>
        <w:t>万元，完成预算100%，</w:t>
      </w:r>
      <w:r>
        <w:rPr>
          <w:rStyle w:val="22"/>
          <w:rFonts w:hint="eastAsia" w:ascii="Times New Roman" w:hAnsi="Times New Roman" w:eastAsia="仿宋_GB2312" w:cs="Times New Roman"/>
          <w:b w:val="0"/>
          <w:sz w:val="32"/>
          <w:szCs w:val="32"/>
          <w:lang w:val="en-US" w:eastAsia="zh-CN"/>
        </w:rPr>
        <w:t>决算数等于预算数</w:t>
      </w:r>
      <w:r>
        <w:rPr>
          <w:rStyle w:val="22"/>
          <w:rFonts w:ascii="Times New Roman" w:hAnsi="Times New Roman" w:eastAsia="仿宋_GB2312" w:cs="Times New Roman"/>
          <w:b w:val="0"/>
          <w:sz w:val="32"/>
          <w:szCs w:val="32"/>
        </w:rPr>
        <w:t>。</w:t>
      </w:r>
    </w:p>
    <w:p w14:paraId="49353693">
      <w:pPr>
        <w:pStyle w:val="27"/>
        <w:spacing w:line="560" w:lineRule="exact"/>
        <w:ind w:firstLine="643" w:firstLineChars="200"/>
        <w:rPr>
          <w:rFonts w:ascii="Times New Roman" w:hAnsi="Times New Roman" w:eastAsia="仿宋_GB2312" w:cs="Times New Roman"/>
          <w:b/>
          <w:sz w:val="32"/>
          <w:szCs w:val="32"/>
        </w:rPr>
      </w:pPr>
      <w:r>
        <w:rPr>
          <w:rStyle w:val="22"/>
          <w:rFonts w:hint="eastAsia" w:ascii="Times New Roman" w:hAnsi="Times New Roman" w:eastAsia="仿宋_GB2312" w:cs="Times New Roman"/>
          <w:bCs/>
          <w:sz w:val="32"/>
          <w:szCs w:val="32"/>
          <w:lang w:val="en-US" w:eastAsia="zh-CN"/>
        </w:rPr>
        <w:t>9</w:t>
      </w:r>
      <w:r>
        <w:rPr>
          <w:rStyle w:val="22"/>
          <w:rFonts w:ascii="Times New Roman" w:hAnsi="Times New Roman" w:eastAsia="仿宋_GB2312" w:cs="Times New Roman"/>
          <w:bCs/>
          <w:sz w:val="32"/>
          <w:szCs w:val="32"/>
        </w:rPr>
        <w:t>、卫生健康支出（类）行政事业单位医疗（款）事业单位医疗（项）：</w:t>
      </w:r>
      <w:r>
        <w:rPr>
          <w:rStyle w:val="22"/>
          <w:rFonts w:ascii="Times New Roman" w:hAnsi="Times New Roman" w:eastAsia="仿宋_GB2312" w:cs="Times New Roman"/>
          <w:b w:val="0"/>
          <w:sz w:val="32"/>
          <w:szCs w:val="32"/>
        </w:rPr>
        <w:t>支出决算为</w:t>
      </w:r>
      <w:r>
        <w:rPr>
          <w:rStyle w:val="22"/>
          <w:rFonts w:hint="eastAsia" w:ascii="Times New Roman" w:hAnsi="Times New Roman" w:eastAsia="仿宋_GB2312" w:cs="Times New Roman"/>
          <w:b w:val="0"/>
          <w:sz w:val="32"/>
          <w:szCs w:val="32"/>
          <w:lang w:val="en-US" w:eastAsia="zh-CN"/>
        </w:rPr>
        <w:t>4.19</w:t>
      </w:r>
      <w:r>
        <w:rPr>
          <w:rStyle w:val="22"/>
          <w:rFonts w:ascii="Times New Roman" w:hAnsi="Times New Roman" w:eastAsia="仿宋_GB2312" w:cs="Times New Roman"/>
          <w:b w:val="0"/>
          <w:sz w:val="32"/>
          <w:szCs w:val="32"/>
        </w:rPr>
        <w:t>万元，完成预算100%，</w:t>
      </w:r>
      <w:r>
        <w:rPr>
          <w:rStyle w:val="22"/>
          <w:rFonts w:hint="eastAsia" w:ascii="Times New Roman" w:hAnsi="Times New Roman" w:eastAsia="仿宋_GB2312" w:cs="Times New Roman"/>
          <w:b w:val="0"/>
          <w:sz w:val="32"/>
          <w:szCs w:val="32"/>
          <w:lang w:val="en-US" w:eastAsia="zh-CN"/>
        </w:rPr>
        <w:t>决算数等于预算数</w:t>
      </w:r>
      <w:r>
        <w:rPr>
          <w:rStyle w:val="22"/>
          <w:rFonts w:ascii="Times New Roman" w:hAnsi="Times New Roman" w:eastAsia="仿宋_GB2312" w:cs="Times New Roman"/>
          <w:b w:val="0"/>
          <w:sz w:val="32"/>
          <w:szCs w:val="32"/>
        </w:rPr>
        <w:t>。</w:t>
      </w:r>
    </w:p>
    <w:p w14:paraId="77797CFE">
      <w:pPr>
        <w:pStyle w:val="27"/>
        <w:spacing w:line="560" w:lineRule="exact"/>
        <w:ind w:firstLine="643" w:firstLineChars="200"/>
        <w:rPr>
          <w:rFonts w:ascii="Times New Roman" w:hAnsi="Times New Roman" w:eastAsia="仿宋_GB2312" w:cs="Times New Roman"/>
          <w:b/>
          <w:sz w:val="32"/>
          <w:szCs w:val="32"/>
        </w:rPr>
      </w:pPr>
      <w:r>
        <w:rPr>
          <w:rStyle w:val="22"/>
          <w:rFonts w:ascii="Times New Roman" w:hAnsi="Times New Roman" w:eastAsia="仿宋_GB2312" w:cs="Times New Roman"/>
          <w:bCs/>
          <w:sz w:val="32"/>
          <w:szCs w:val="32"/>
        </w:rPr>
        <w:t>1</w:t>
      </w:r>
      <w:r>
        <w:rPr>
          <w:rStyle w:val="22"/>
          <w:rFonts w:hint="eastAsia" w:ascii="Times New Roman" w:hAnsi="Times New Roman" w:eastAsia="仿宋_GB2312" w:cs="Times New Roman"/>
          <w:bCs/>
          <w:sz w:val="32"/>
          <w:szCs w:val="32"/>
          <w:lang w:val="en-US" w:eastAsia="zh-CN"/>
        </w:rPr>
        <w:t>0</w:t>
      </w:r>
      <w:r>
        <w:rPr>
          <w:rStyle w:val="22"/>
          <w:rFonts w:ascii="Times New Roman" w:hAnsi="Times New Roman" w:eastAsia="仿宋_GB2312" w:cs="Times New Roman"/>
          <w:bCs/>
          <w:sz w:val="32"/>
          <w:szCs w:val="32"/>
        </w:rPr>
        <w:t>、卫生健康支出（类）行政事业单位医疗（款）公务员医疗补助（项）：</w:t>
      </w:r>
      <w:r>
        <w:rPr>
          <w:rStyle w:val="22"/>
          <w:rFonts w:ascii="Times New Roman" w:hAnsi="Times New Roman" w:eastAsia="仿宋_GB2312" w:cs="Times New Roman"/>
          <w:b w:val="0"/>
          <w:sz w:val="32"/>
          <w:szCs w:val="32"/>
        </w:rPr>
        <w:t>支出决算为</w:t>
      </w:r>
      <w:r>
        <w:rPr>
          <w:rStyle w:val="22"/>
          <w:rFonts w:hint="eastAsia" w:ascii="Times New Roman" w:hAnsi="Times New Roman" w:eastAsia="仿宋_GB2312" w:cs="Times New Roman"/>
          <w:b w:val="0"/>
          <w:sz w:val="32"/>
          <w:szCs w:val="32"/>
          <w:lang w:val="en-US" w:eastAsia="zh-CN"/>
        </w:rPr>
        <w:t>7.65</w:t>
      </w:r>
      <w:r>
        <w:rPr>
          <w:rStyle w:val="22"/>
          <w:rFonts w:ascii="Times New Roman" w:hAnsi="Times New Roman" w:eastAsia="仿宋_GB2312" w:cs="Times New Roman"/>
          <w:b w:val="0"/>
          <w:sz w:val="32"/>
          <w:szCs w:val="32"/>
        </w:rPr>
        <w:t>万元，完成预算100%，</w:t>
      </w:r>
      <w:r>
        <w:rPr>
          <w:rStyle w:val="22"/>
          <w:rFonts w:hint="eastAsia" w:ascii="Times New Roman" w:hAnsi="Times New Roman" w:eastAsia="仿宋_GB2312" w:cs="Times New Roman"/>
          <w:b w:val="0"/>
          <w:sz w:val="32"/>
          <w:szCs w:val="32"/>
          <w:lang w:val="en-US" w:eastAsia="zh-CN"/>
        </w:rPr>
        <w:t>决算数等于预算数</w:t>
      </w:r>
      <w:r>
        <w:rPr>
          <w:rStyle w:val="22"/>
          <w:rFonts w:ascii="Times New Roman" w:hAnsi="Times New Roman" w:eastAsia="仿宋_GB2312" w:cs="Times New Roman"/>
          <w:b w:val="0"/>
          <w:sz w:val="32"/>
          <w:szCs w:val="32"/>
        </w:rPr>
        <w:t>。</w:t>
      </w:r>
    </w:p>
    <w:p w14:paraId="2CFE84AF">
      <w:pPr>
        <w:pStyle w:val="27"/>
        <w:spacing w:line="560" w:lineRule="exact"/>
        <w:ind w:firstLine="643" w:firstLineChars="200"/>
        <w:rPr>
          <w:rStyle w:val="22"/>
          <w:rFonts w:ascii="Times New Roman" w:hAnsi="Times New Roman" w:eastAsia="仿宋_GB2312" w:cs="Times New Roman"/>
          <w:b w:val="0"/>
          <w:sz w:val="32"/>
          <w:szCs w:val="32"/>
        </w:rPr>
      </w:pPr>
      <w:r>
        <w:rPr>
          <w:rStyle w:val="22"/>
          <w:rFonts w:ascii="Times New Roman" w:hAnsi="Times New Roman" w:eastAsia="仿宋_GB2312" w:cs="Times New Roman"/>
          <w:bCs/>
          <w:sz w:val="32"/>
          <w:szCs w:val="32"/>
        </w:rPr>
        <w:t>1</w:t>
      </w:r>
      <w:r>
        <w:rPr>
          <w:rStyle w:val="22"/>
          <w:rFonts w:hint="eastAsia" w:ascii="Times New Roman" w:hAnsi="Times New Roman" w:eastAsia="仿宋_GB2312" w:cs="Times New Roman"/>
          <w:bCs/>
          <w:sz w:val="32"/>
          <w:szCs w:val="32"/>
          <w:lang w:val="en-US" w:eastAsia="zh-CN"/>
        </w:rPr>
        <w:t>1</w:t>
      </w:r>
      <w:r>
        <w:rPr>
          <w:rStyle w:val="22"/>
          <w:rFonts w:ascii="Times New Roman" w:hAnsi="Times New Roman" w:eastAsia="仿宋_GB2312" w:cs="Times New Roman"/>
          <w:bCs/>
          <w:sz w:val="32"/>
          <w:szCs w:val="32"/>
        </w:rPr>
        <w:t>、卫生健康支出（类）行政事业单位医疗（款）其他行政事业单位医疗支出（项）：</w:t>
      </w:r>
      <w:r>
        <w:rPr>
          <w:rStyle w:val="22"/>
          <w:rFonts w:ascii="Times New Roman" w:hAnsi="Times New Roman" w:eastAsia="仿宋_GB2312" w:cs="Times New Roman"/>
          <w:b w:val="0"/>
          <w:sz w:val="32"/>
          <w:szCs w:val="32"/>
        </w:rPr>
        <w:t>支出决算为</w:t>
      </w:r>
      <w:r>
        <w:rPr>
          <w:rStyle w:val="22"/>
          <w:rFonts w:hint="eastAsia" w:ascii="Times New Roman" w:hAnsi="Times New Roman" w:eastAsia="仿宋_GB2312" w:cs="Times New Roman"/>
          <w:b w:val="0"/>
          <w:sz w:val="32"/>
          <w:szCs w:val="32"/>
          <w:lang w:val="en-US" w:eastAsia="zh-CN"/>
        </w:rPr>
        <w:t>0.88</w:t>
      </w:r>
      <w:r>
        <w:rPr>
          <w:rStyle w:val="22"/>
          <w:rFonts w:ascii="Times New Roman" w:hAnsi="Times New Roman" w:eastAsia="仿宋_GB2312" w:cs="Times New Roman"/>
          <w:b w:val="0"/>
          <w:sz w:val="32"/>
          <w:szCs w:val="32"/>
        </w:rPr>
        <w:t>万元，完成预算100%，</w:t>
      </w:r>
      <w:r>
        <w:rPr>
          <w:rStyle w:val="22"/>
          <w:rFonts w:hint="eastAsia" w:ascii="Times New Roman" w:hAnsi="Times New Roman" w:eastAsia="仿宋_GB2312" w:cs="Times New Roman"/>
          <w:b w:val="0"/>
          <w:sz w:val="32"/>
          <w:szCs w:val="32"/>
          <w:lang w:val="en-US" w:eastAsia="zh-CN"/>
        </w:rPr>
        <w:t>决算数等于预算数</w:t>
      </w:r>
      <w:r>
        <w:rPr>
          <w:rStyle w:val="22"/>
          <w:rFonts w:ascii="Times New Roman" w:hAnsi="Times New Roman" w:eastAsia="仿宋_GB2312" w:cs="Times New Roman"/>
          <w:b w:val="0"/>
          <w:sz w:val="32"/>
          <w:szCs w:val="32"/>
        </w:rPr>
        <w:t>。</w:t>
      </w:r>
    </w:p>
    <w:p w14:paraId="203303B4">
      <w:pPr>
        <w:pStyle w:val="27"/>
        <w:spacing w:line="560" w:lineRule="exact"/>
        <w:ind w:firstLine="643" w:firstLineChars="200"/>
        <w:rPr>
          <w:rStyle w:val="22"/>
          <w:rFonts w:ascii="Times New Roman" w:hAnsi="Times New Roman" w:eastAsia="仿宋_GB2312" w:cs="Times New Roman"/>
          <w:b w:val="0"/>
          <w:sz w:val="32"/>
          <w:szCs w:val="32"/>
        </w:rPr>
      </w:pPr>
      <w:r>
        <w:rPr>
          <w:rStyle w:val="22"/>
          <w:rFonts w:ascii="Times New Roman" w:hAnsi="Times New Roman" w:eastAsia="仿宋_GB2312" w:cs="Times New Roman"/>
          <w:bCs/>
          <w:sz w:val="32"/>
          <w:szCs w:val="32"/>
        </w:rPr>
        <w:t>1</w:t>
      </w:r>
      <w:r>
        <w:rPr>
          <w:rStyle w:val="22"/>
          <w:rFonts w:hint="eastAsia" w:ascii="Times New Roman" w:hAnsi="Times New Roman" w:eastAsia="仿宋_GB2312" w:cs="Times New Roman"/>
          <w:bCs/>
          <w:sz w:val="32"/>
          <w:szCs w:val="32"/>
          <w:lang w:val="en-US" w:eastAsia="zh-CN"/>
        </w:rPr>
        <w:t>2</w:t>
      </w:r>
      <w:r>
        <w:rPr>
          <w:rStyle w:val="22"/>
          <w:rFonts w:ascii="Times New Roman" w:hAnsi="Times New Roman" w:eastAsia="仿宋_GB2312" w:cs="Times New Roman"/>
          <w:bCs/>
          <w:sz w:val="32"/>
          <w:szCs w:val="32"/>
        </w:rPr>
        <w:t>、农林水支出（类）</w:t>
      </w:r>
      <w:r>
        <w:rPr>
          <w:rStyle w:val="22"/>
          <w:rFonts w:hint="eastAsia" w:ascii="Times New Roman" w:hAnsi="Times New Roman" w:eastAsia="仿宋_GB2312" w:cs="Times New Roman"/>
          <w:bCs/>
          <w:sz w:val="32"/>
          <w:szCs w:val="32"/>
          <w:lang w:eastAsia="zh-CN"/>
        </w:rPr>
        <w:t>巩固拓展脱贫攻坚成果衔接乡村振兴</w:t>
      </w:r>
      <w:r>
        <w:rPr>
          <w:rStyle w:val="22"/>
          <w:rFonts w:ascii="Times New Roman" w:hAnsi="Times New Roman" w:eastAsia="仿宋_GB2312" w:cs="Times New Roman"/>
          <w:bCs/>
          <w:sz w:val="32"/>
          <w:szCs w:val="32"/>
        </w:rPr>
        <w:t>（款）</w:t>
      </w:r>
      <w:r>
        <w:rPr>
          <w:rStyle w:val="22"/>
          <w:rFonts w:hint="eastAsia" w:ascii="Times New Roman" w:hAnsi="Times New Roman" w:eastAsia="仿宋_GB2312" w:cs="Times New Roman"/>
          <w:bCs/>
          <w:sz w:val="32"/>
          <w:szCs w:val="32"/>
          <w:lang w:val="en-US" w:eastAsia="zh-CN"/>
        </w:rPr>
        <w:t>农村基础设施建设</w:t>
      </w:r>
      <w:r>
        <w:rPr>
          <w:rStyle w:val="22"/>
          <w:rFonts w:ascii="Times New Roman" w:hAnsi="Times New Roman" w:eastAsia="仿宋_GB2312" w:cs="Times New Roman"/>
          <w:bCs/>
          <w:sz w:val="32"/>
          <w:szCs w:val="32"/>
        </w:rPr>
        <w:t>（项）：</w:t>
      </w:r>
      <w:r>
        <w:rPr>
          <w:rStyle w:val="22"/>
          <w:rFonts w:ascii="Times New Roman" w:hAnsi="Times New Roman" w:eastAsia="仿宋_GB2312" w:cs="Times New Roman"/>
          <w:b w:val="0"/>
          <w:sz w:val="32"/>
          <w:szCs w:val="32"/>
        </w:rPr>
        <w:t>支出决算为</w:t>
      </w:r>
      <w:r>
        <w:rPr>
          <w:rStyle w:val="22"/>
          <w:rFonts w:hint="eastAsia" w:ascii="Times New Roman" w:hAnsi="Times New Roman" w:eastAsia="仿宋_GB2312" w:cs="Times New Roman"/>
          <w:b w:val="0"/>
          <w:sz w:val="32"/>
          <w:szCs w:val="32"/>
          <w:lang w:val="en-US" w:eastAsia="zh-CN"/>
        </w:rPr>
        <w:t>309.39</w:t>
      </w:r>
      <w:r>
        <w:rPr>
          <w:rStyle w:val="22"/>
          <w:rFonts w:ascii="Times New Roman" w:hAnsi="Times New Roman" w:eastAsia="仿宋_GB2312" w:cs="Times New Roman"/>
          <w:b w:val="0"/>
          <w:sz w:val="32"/>
          <w:szCs w:val="32"/>
        </w:rPr>
        <w:t>万元，完成预算100%，</w:t>
      </w:r>
      <w:r>
        <w:rPr>
          <w:rStyle w:val="22"/>
          <w:rFonts w:hint="eastAsia" w:ascii="Times New Roman" w:hAnsi="Times New Roman" w:eastAsia="仿宋_GB2312" w:cs="Times New Roman"/>
          <w:b w:val="0"/>
          <w:sz w:val="32"/>
          <w:szCs w:val="32"/>
          <w:lang w:val="en-US" w:eastAsia="zh-CN"/>
        </w:rPr>
        <w:t>决算数等于预算数</w:t>
      </w:r>
      <w:r>
        <w:rPr>
          <w:rStyle w:val="22"/>
          <w:rFonts w:ascii="Times New Roman" w:hAnsi="Times New Roman" w:eastAsia="仿宋_GB2312" w:cs="Times New Roman"/>
          <w:b w:val="0"/>
          <w:sz w:val="32"/>
          <w:szCs w:val="32"/>
        </w:rPr>
        <w:t>。</w:t>
      </w:r>
    </w:p>
    <w:p w14:paraId="6C4032E5">
      <w:pPr>
        <w:pStyle w:val="27"/>
        <w:spacing w:line="560" w:lineRule="exact"/>
        <w:ind w:firstLine="643" w:firstLineChars="200"/>
        <w:rPr>
          <w:rStyle w:val="22"/>
          <w:rFonts w:ascii="Times New Roman" w:hAnsi="Times New Roman" w:eastAsia="仿宋_GB2312" w:cs="Times New Roman"/>
          <w:b w:val="0"/>
          <w:sz w:val="32"/>
          <w:szCs w:val="32"/>
        </w:rPr>
      </w:pPr>
      <w:r>
        <w:rPr>
          <w:rStyle w:val="22"/>
          <w:rFonts w:ascii="Times New Roman" w:hAnsi="Times New Roman" w:eastAsia="仿宋_GB2312" w:cs="Times New Roman"/>
          <w:bCs/>
          <w:sz w:val="32"/>
          <w:szCs w:val="32"/>
        </w:rPr>
        <w:t>1</w:t>
      </w:r>
      <w:r>
        <w:rPr>
          <w:rStyle w:val="22"/>
          <w:rFonts w:hint="eastAsia" w:ascii="Times New Roman" w:hAnsi="Times New Roman" w:eastAsia="仿宋_GB2312" w:cs="Times New Roman"/>
          <w:bCs/>
          <w:sz w:val="32"/>
          <w:szCs w:val="32"/>
          <w:lang w:val="en-US" w:eastAsia="zh-CN"/>
        </w:rPr>
        <w:t>3</w:t>
      </w:r>
      <w:r>
        <w:rPr>
          <w:rStyle w:val="22"/>
          <w:rFonts w:ascii="Times New Roman" w:hAnsi="Times New Roman" w:eastAsia="仿宋_GB2312" w:cs="Times New Roman"/>
          <w:bCs/>
          <w:sz w:val="32"/>
          <w:szCs w:val="32"/>
        </w:rPr>
        <w:t>、农林水支出（类）</w:t>
      </w:r>
      <w:r>
        <w:rPr>
          <w:rStyle w:val="22"/>
          <w:rFonts w:hint="eastAsia" w:ascii="Times New Roman" w:hAnsi="Times New Roman" w:eastAsia="仿宋_GB2312" w:cs="Times New Roman"/>
          <w:bCs/>
          <w:sz w:val="32"/>
          <w:szCs w:val="32"/>
          <w:lang w:eastAsia="zh-CN"/>
        </w:rPr>
        <w:t>巩固拓展脱贫攻坚成果衔接乡村振兴</w:t>
      </w:r>
      <w:r>
        <w:rPr>
          <w:rStyle w:val="22"/>
          <w:rFonts w:ascii="Times New Roman" w:hAnsi="Times New Roman" w:eastAsia="仿宋_GB2312" w:cs="Times New Roman"/>
          <w:bCs/>
          <w:sz w:val="32"/>
          <w:szCs w:val="32"/>
        </w:rPr>
        <w:t>（款）其他</w:t>
      </w:r>
      <w:r>
        <w:rPr>
          <w:rStyle w:val="22"/>
          <w:rFonts w:hint="eastAsia" w:ascii="Times New Roman" w:hAnsi="Times New Roman" w:eastAsia="仿宋_GB2312" w:cs="Times New Roman"/>
          <w:bCs/>
          <w:sz w:val="32"/>
          <w:szCs w:val="32"/>
          <w:lang w:eastAsia="zh-CN"/>
        </w:rPr>
        <w:t>巩固拓展脱贫攻坚成果衔接乡村振兴</w:t>
      </w:r>
      <w:r>
        <w:rPr>
          <w:rStyle w:val="22"/>
          <w:rFonts w:ascii="Times New Roman" w:hAnsi="Times New Roman" w:eastAsia="仿宋_GB2312" w:cs="Times New Roman"/>
          <w:bCs/>
          <w:sz w:val="32"/>
          <w:szCs w:val="32"/>
        </w:rPr>
        <w:t>支出（项）：</w:t>
      </w:r>
      <w:r>
        <w:rPr>
          <w:rStyle w:val="22"/>
          <w:rFonts w:ascii="Times New Roman" w:hAnsi="Times New Roman" w:eastAsia="仿宋_GB2312" w:cs="Times New Roman"/>
          <w:b w:val="0"/>
          <w:sz w:val="32"/>
          <w:szCs w:val="32"/>
        </w:rPr>
        <w:t>支出决算为</w:t>
      </w:r>
      <w:r>
        <w:rPr>
          <w:rStyle w:val="22"/>
          <w:rFonts w:hint="eastAsia" w:ascii="Times New Roman" w:hAnsi="Times New Roman" w:eastAsia="仿宋_GB2312" w:cs="Times New Roman"/>
          <w:b w:val="0"/>
          <w:sz w:val="32"/>
          <w:szCs w:val="32"/>
          <w:lang w:val="en-US" w:eastAsia="zh-CN"/>
        </w:rPr>
        <w:t>1.22</w:t>
      </w:r>
      <w:r>
        <w:rPr>
          <w:rStyle w:val="22"/>
          <w:rFonts w:ascii="Times New Roman" w:hAnsi="Times New Roman" w:eastAsia="仿宋_GB2312" w:cs="Times New Roman"/>
          <w:b w:val="0"/>
          <w:sz w:val="32"/>
          <w:szCs w:val="32"/>
        </w:rPr>
        <w:t>万元，完成预算100%，</w:t>
      </w:r>
      <w:r>
        <w:rPr>
          <w:rStyle w:val="22"/>
          <w:rFonts w:hint="eastAsia" w:ascii="Times New Roman" w:hAnsi="Times New Roman" w:eastAsia="仿宋_GB2312" w:cs="Times New Roman"/>
          <w:b w:val="0"/>
          <w:sz w:val="32"/>
          <w:szCs w:val="32"/>
          <w:lang w:val="en-US" w:eastAsia="zh-CN"/>
        </w:rPr>
        <w:t>决算数等于预算数</w:t>
      </w:r>
      <w:r>
        <w:rPr>
          <w:rStyle w:val="22"/>
          <w:rFonts w:ascii="Times New Roman" w:hAnsi="Times New Roman" w:eastAsia="仿宋_GB2312" w:cs="Times New Roman"/>
          <w:b w:val="0"/>
          <w:sz w:val="32"/>
          <w:szCs w:val="32"/>
        </w:rPr>
        <w:t>。</w:t>
      </w:r>
    </w:p>
    <w:p w14:paraId="2C9A4089">
      <w:pPr>
        <w:pStyle w:val="27"/>
        <w:spacing w:line="560" w:lineRule="exact"/>
        <w:ind w:firstLine="643" w:firstLineChars="200"/>
        <w:rPr>
          <w:rStyle w:val="22"/>
          <w:rFonts w:ascii="Times New Roman" w:hAnsi="Times New Roman" w:eastAsia="仿宋_GB2312" w:cs="Times New Roman"/>
          <w:b w:val="0"/>
          <w:sz w:val="32"/>
          <w:szCs w:val="32"/>
        </w:rPr>
      </w:pPr>
      <w:r>
        <w:rPr>
          <w:rStyle w:val="22"/>
          <w:rFonts w:ascii="Times New Roman" w:hAnsi="Times New Roman" w:eastAsia="仿宋_GB2312" w:cs="Times New Roman"/>
          <w:bCs/>
          <w:sz w:val="32"/>
          <w:szCs w:val="32"/>
        </w:rPr>
        <w:t>1</w:t>
      </w:r>
      <w:r>
        <w:rPr>
          <w:rStyle w:val="22"/>
          <w:rFonts w:hint="eastAsia" w:ascii="Times New Roman" w:hAnsi="Times New Roman" w:eastAsia="仿宋_GB2312" w:cs="Times New Roman"/>
          <w:bCs/>
          <w:sz w:val="32"/>
          <w:szCs w:val="32"/>
          <w:lang w:val="en-US" w:eastAsia="zh-CN"/>
        </w:rPr>
        <w:t>4</w:t>
      </w:r>
      <w:r>
        <w:rPr>
          <w:rStyle w:val="22"/>
          <w:rFonts w:ascii="Times New Roman" w:hAnsi="Times New Roman" w:eastAsia="仿宋_GB2312" w:cs="Times New Roman"/>
          <w:bCs/>
          <w:sz w:val="32"/>
          <w:szCs w:val="32"/>
        </w:rPr>
        <w:t>、农林水支出（类）农村综合改革（款）对村民委员会和村党支部的补助（项）：</w:t>
      </w:r>
      <w:r>
        <w:rPr>
          <w:rStyle w:val="22"/>
          <w:rFonts w:ascii="Times New Roman" w:hAnsi="Times New Roman" w:eastAsia="仿宋_GB2312" w:cs="Times New Roman"/>
          <w:b w:val="0"/>
          <w:sz w:val="32"/>
          <w:szCs w:val="32"/>
        </w:rPr>
        <w:t>支出决算为4.37万元，完成预算100%，</w:t>
      </w:r>
      <w:r>
        <w:rPr>
          <w:rStyle w:val="22"/>
          <w:rFonts w:hint="eastAsia" w:ascii="Times New Roman" w:hAnsi="Times New Roman" w:eastAsia="仿宋_GB2312" w:cs="Times New Roman"/>
          <w:b w:val="0"/>
          <w:sz w:val="32"/>
          <w:szCs w:val="32"/>
          <w:lang w:val="en-US" w:eastAsia="zh-CN"/>
        </w:rPr>
        <w:t>决算数等于预算数</w:t>
      </w:r>
      <w:r>
        <w:rPr>
          <w:rStyle w:val="22"/>
          <w:rFonts w:ascii="Times New Roman" w:hAnsi="Times New Roman" w:eastAsia="仿宋_GB2312" w:cs="Times New Roman"/>
          <w:b w:val="0"/>
          <w:sz w:val="32"/>
          <w:szCs w:val="32"/>
        </w:rPr>
        <w:t>。</w:t>
      </w:r>
    </w:p>
    <w:p w14:paraId="688EDCC2">
      <w:pPr>
        <w:pStyle w:val="27"/>
        <w:spacing w:line="560" w:lineRule="exact"/>
        <w:ind w:firstLine="643" w:firstLineChars="200"/>
        <w:rPr>
          <w:rStyle w:val="22"/>
          <w:rFonts w:ascii="Times New Roman" w:hAnsi="Times New Roman" w:eastAsia="仿宋_GB2312" w:cs="Times New Roman"/>
          <w:b w:val="0"/>
          <w:sz w:val="32"/>
          <w:szCs w:val="32"/>
        </w:rPr>
      </w:pPr>
      <w:r>
        <w:rPr>
          <w:rStyle w:val="22"/>
          <w:rFonts w:ascii="Times New Roman" w:hAnsi="Times New Roman" w:eastAsia="仿宋_GB2312" w:cs="Times New Roman"/>
          <w:bCs/>
          <w:sz w:val="32"/>
          <w:szCs w:val="32"/>
        </w:rPr>
        <w:t>1</w:t>
      </w:r>
      <w:r>
        <w:rPr>
          <w:rStyle w:val="22"/>
          <w:rFonts w:hint="eastAsia" w:ascii="Times New Roman" w:hAnsi="Times New Roman" w:eastAsia="仿宋_GB2312" w:cs="Times New Roman"/>
          <w:bCs/>
          <w:sz w:val="32"/>
          <w:szCs w:val="32"/>
          <w:lang w:val="en-US" w:eastAsia="zh-CN"/>
        </w:rPr>
        <w:t>5</w:t>
      </w:r>
      <w:r>
        <w:rPr>
          <w:rStyle w:val="22"/>
          <w:rFonts w:ascii="Times New Roman" w:hAnsi="Times New Roman" w:eastAsia="仿宋_GB2312" w:cs="Times New Roman"/>
          <w:bCs/>
          <w:sz w:val="32"/>
          <w:szCs w:val="32"/>
        </w:rPr>
        <w:t>、住房保障支出（类）住房改革支出（款）住房公积金（项）：</w:t>
      </w:r>
      <w:r>
        <w:rPr>
          <w:rStyle w:val="22"/>
          <w:rFonts w:ascii="Times New Roman" w:hAnsi="Times New Roman" w:eastAsia="仿宋_GB2312" w:cs="Times New Roman"/>
          <w:b w:val="0"/>
          <w:sz w:val="32"/>
          <w:szCs w:val="32"/>
        </w:rPr>
        <w:t>支出决算为</w:t>
      </w:r>
      <w:r>
        <w:rPr>
          <w:rStyle w:val="22"/>
          <w:rFonts w:hint="eastAsia" w:ascii="Times New Roman" w:hAnsi="Times New Roman" w:eastAsia="仿宋_GB2312" w:cs="Times New Roman"/>
          <w:b w:val="0"/>
          <w:sz w:val="32"/>
          <w:szCs w:val="32"/>
          <w:lang w:val="en-US" w:eastAsia="zh-CN"/>
        </w:rPr>
        <w:t>50.18</w:t>
      </w:r>
      <w:r>
        <w:rPr>
          <w:rStyle w:val="22"/>
          <w:rFonts w:ascii="Times New Roman" w:hAnsi="Times New Roman" w:eastAsia="仿宋_GB2312" w:cs="Times New Roman"/>
          <w:b w:val="0"/>
          <w:sz w:val="32"/>
          <w:szCs w:val="32"/>
        </w:rPr>
        <w:t>万元，完成预算100%，</w:t>
      </w:r>
      <w:r>
        <w:rPr>
          <w:rStyle w:val="22"/>
          <w:rFonts w:hint="eastAsia" w:ascii="Times New Roman" w:hAnsi="Times New Roman" w:eastAsia="仿宋_GB2312" w:cs="Times New Roman"/>
          <w:b w:val="0"/>
          <w:sz w:val="32"/>
          <w:szCs w:val="32"/>
          <w:lang w:val="en-US" w:eastAsia="zh-CN"/>
        </w:rPr>
        <w:t>决算数等于预算数</w:t>
      </w:r>
      <w:r>
        <w:rPr>
          <w:rStyle w:val="22"/>
          <w:rFonts w:ascii="Times New Roman" w:hAnsi="Times New Roman" w:eastAsia="仿宋_GB2312" w:cs="Times New Roman"/>
          <w:b w:val="0"/>
          <w:sz w:val="32"/>
          <w:szCs w:val="32"/>
        </w:rPr>
        <w:t>。</w:t>
      </w:r>
    </w:p>
    <w:p w14:paraId="5C752679">
      <w:pPr>
        <w:pStyle w:val="27"/>
        <w:spacing w:line="560" w:lineRule="exact"/>
        <w:ind w:firstLine="643" w:firstLineChars="200"/>
        <w:rPr>
          <w:rStyle w:val="22"/>
          <w:rFonts w:hint="default" w:ascii="Times New Roman" w:hAnsi="Times New Roman" w:eastAsia="仿宋_GB2312" w:cs="Times New Roman"/>
          <w:b w:val="0"/>
          <w:sz w:val="32"/>
          <w:szCs w:val="32"/>
          <w:lang w:val="en-US" w:eastAsia="zh-CN"/>
        </w:rPr>
      </w:pPr>
      <w:bookmarkStart w:id="60" w:name="_Toc8255"/>
      <w:bookmarkStart w:id="61" w:name="_Toc15377214"/>
      <w:bookmarkStart w:id="62" w:name="_Toc15396608"/>
      <w:r>
        <w:rPr>
          <w:rStyle w:val="22"/>
          <w:rFonts w:ascii="Times New Roman" w:hAnsi="Times New Roman" w:eastAsia="仿宋_GB2312" w:cs="Times New Roman"/>
          <w:bCs/>
          <w:sz w:val="32"/>
          <w:szCs w:val="32"/>
        </w:rPr>
        <w:t>1</w:t>
      </w:r>
      <w:r>
        <w:rPr>
          <w:rStyle w:val="22"/>
          <w:rFonts w:hint="eastAsia" w:ascii="Times New Roman" w:hAnsi="Times New Roman" w:eastAsia="仿宋_GB2312" w:cs="Times New Roman"/>
          <w:bCs/>
          <w:sz w:val="32"/>
          <w:szCs w:val="32"/>
          <w:lang w:val="en-US" w:eastAsia="zh-CN"/>
        </w:rPr>
        <w:t>6</w:t>
      </w:r>
      <w:r>
        <w:rPr>
          <w:rStyle w:val="22"/>
          <w:rFonts w:ascii="Times New Roman" w:hAnsi="Times New Roman" w:eastAsia="仿宋_GB2312" w:cs="Times New Roman"/>
          <w:bCs/>
          <w:sz w:val="32"/>
          <w:szCs w:val="32"/>
        </w:rPr>
        <w:t>、住房保障支出（类）住房改革支出（款）购房补贴（项）：</w:t>
      </w:r>
      <w:r>
        <w:rPr>
          <w:rStyle w:val="22"/>
          <w:rFonts w:ascii="Times New Roman" w:hAnsi="Times New Roman" w:eastAsia="仿宋_GB2312" w:cs="Times New Roman"/>
          <w:b w:val="0"/>
          <w:sz w:val="32"/>
          <w:szCs w:val="32"/>
        </w:rPr>
        <w:t>支出决算为</w:t>
      </w:r>
      <w:r>
        <w:rPr>
          <w:rStyle w:val="22"/>
          <w:rFonts w:hint="eastAsia" w:ascii="Times New Roman" w:hAnsi="Times New Roman" w:eastAsia="仿宋_GB2312" w:cs="Times New Roman"/>
          <w:b w:val="0"/>
          <w:sz w:val="32"/>
          <w:szCs w:val="32"/>
          <w:lang w:val="en-US" w:eastAsia="zh-CN"/>
        </w:rPr>
        <w:t>3.56</w:t>
      </w:r>
      <w:r>
        <w:rPr>
          <w:rStyle w:val="22"/>
          <w:rFonts w:ascii="Times New Roman" w:hAnsi="Times New Roman" w:eastAsia="仿宋_GB2312" w:cs="Times New Roman"/>
          <w:b w:val="0"/>
          <w:sz w:val="32"/>
          <w:szCs w:val="32"/>
        </w:rPr>
        <w:t>万元，完成预算100%，</w:t>
      </w:r>
      <w:r>
        <w:rPr>
          <w:rStyle w:val="22"/>
          <w:rFonts w:hint="eastAsia" w:ascii="Times New Roman" w:hAnsi="Times New Roman" w:eastAsia="仿宋_GB2312" w:cs="Times New Roman"/>
          <w:b w:val="0"/>
          <w:sz w:val="32"/>
          <w:szCs w:val="32"/>
          <w:lang w:val="en-US" w:eastAsia="zh-CN"/>
        </w:rPr>
        <w:t>决算数等于预算数。</w:t>
      </w:r>
    </w:p>
    <w:p w14:paraId="735C5F1D">
      <w:pPr>
        <w:spacing w:line="560" w:lineRule="exact"/>
        <w:ind w:firstLine="643" w:firstLineChars="200"/>
        <w:outlineLvl w:val="1"/>
        <w:rPr>
          <w:rFonts w:ascii="楷体_GB2312" w:hAnsi="楷体_GB2312" w:eastAsia="楷体_GB2312" w:cs="楷体_GB2312"/>
          <w:b/>
          <w:bCs/>
          <w:sz w:val="32"/>
          <w:szCs w:val="32"/>
        </w:rPr>
      </w:pPr>
      <w:bookmarkStart w:id="63" w:name="_Toc21683"/>
      <w:r>
        <w:rPr>
          <w:rFonts w:ascii="楷体_GB2312" w:hAnsi="楷体_GB2312" w:eastAsia="楷体_GB2312" w:cs="楷体_GB2312"/>
          <w:b/>
          <w:bCs/>
          <w:sz w:val="32"/>
          <w:szCs w:val="32"/>
        </w:rPr>
        <w:t>六、一般公共预算财政拨款基本支出决算情况说明</w:t>
      </w:r>
      <w:bookmarkEnd w:id="60"/>
      <w:bookmarkEnd w:id="61"/>
      <w:bookmarkEnd w:id="62"/>
      <w:bookmarkEnd w:id="63"/>
      <w:r>
        <w:rPr>
          <w:rFonts w:ascii="楷体_GB2312" w:hAnsi="楷体_GB2312" w:eastAsia="楷体_GB2312" w:cs="楷体_GB2312"/>
          <w:b/>
          <w:bCs/>
          <w:sz w:val="32"/>
          <w:szCs w:val="32"/>
        </w:rPr>
        <w:tab/>
      </w:r>
    </w:p>
    <w:p w14:paraId="5D442BBF">
      <w:pPr>
        <w:spacing w:line="560" w:lineRule="exact"/>
        <w:ind w:firstLine="645"/>
        <w:rPr>
          <w:rFonts w:eastAsia="仿宋_GB2312"/>
          <w:sz w:val="32"/>
          <w:szCs w:val="32"/>
        </w:rPr>
      </w:pPr>
      <w:r>
        <w:rPr>
          <w:rFonts w:hint="eastAsia" w:eastAsia="仿宋_GB2312"/>
          <w:sz w:val="32"/>
          <w:szCs w:val="32"/>
          <w:lang w:eastAsia="zh-CN"/>
        </w:rPr>
        <w:t>2024</w:t>
      </w:r>
      <w:r>
        <w:rPr>
          <w:rFonts w:eastAsia="仿宋_GB2312"/>
          <w:sz w:val="32"/>
          <w:szCs w:val="32"/>
        </w:rPr>
        <w:t>年一般公共预算财政拨款基本支出</w:t>
      </w:r>
      <w:r>
        <w:rPr>
          <w:rFonts w:hint="eastAsia" w:eastAsia="仿宋_GB2312"/>
          <w:sz w:val="32"/>
          <w:szCs w:val="32"/>
          <w:lang w:val="en-US" w:eastAsia="zh-CN"/>
        </w:rPr>
        <w:t>798.45</w:t>
      </w:r>
      <w:r>
        <w:rPr>
          <w:rFonts w:eastAsia="仿宋_GB2312"/>
          <w:sz w:val="32"/>
          <w:szCs w:val="32"/>
        </w:rPr>
        <w:t>万元，其中：</w:t>
      </w:r>
    </w:p>
    <w:p w14:paraId="53182C8F">
      <w:pPr>
        <w:spacing w:line="560" w:lineRule="exact"/>
        <w:ind w:firstLine="645"/>
        <w:rPr>
          <w:rFonts w:eastAsia="仿宋_GB2312"/>
          <w:sz w:val="32"/>
          <w:szCs w:val="32"/>
        </w:rPr>
      </w:pPr>
      <w:r>
        <w:rPr>
          <w:rFonts w:eastAsia="仿宋_GB2312"/>
          <w:sz w:val="32"/>
          <w:szCs w:val="32"/>
        </w:rPr>
        <w:t>人员经费</w:t>
      </w:r>
      <w:r>
        <w:rPr>
          <w:rFonts w:hint="eastAsia" w:eastAsia="仿宋_GB2312"/>
          <w:sz w:val="32"/>
          <w:szCs w:val="32"/>
          <w:lang w:val="en-US" w:eastAsia="zh-CN"/>
        </w:rPr>
        <w:t>745.94</w:t>
      </w:r>
      <w:r>
        <w:rPr>
          <w:rFonts w:eastAsia="仿宋_GB2312"/>
          <w:sz w:val="32"/>
          <w:szCs w:val="32"/>
        </w:rPr>
        <w:t>万元，主要包括：基本工资、津贴补贴、奖金、绩效工资、机关事业单位基本养老保险缴费、职业年金缴费、</w:t>
      </w:r>
      <w:r>
        <w:rPr>
          <w:rFonts w:hint="eastAsia" w:eastAsia="仿宋_GB2312"/>
          <w:sz w:val="32"/>
          <w:szCs w:val="32"/>
          <w:lang w:val="en-US" w:eastAsia="zh-CN"/>
        </w:rPr>
        <w:t>职工基本医疗保险缴费、公务员医疗补助、</w:t>
      </w:r>
      <w:r>
        <w:rPr>
          <w:rFonts w:eastAsia="仿宋_GB2312"/>
          <w:sz w:val="32"/>
          <w:szCs w:val="32"/>
        </w:rPr>
        <w:t>其他社会保障缴费、</w:t>
      </w:r>
      <w:r>
        <w:rPr>
          <w:rFonts w:hint="eastAsia" w:eastAsia="仿宋_GB2312"/>
          <w:sz w:val="32"/>
          <w:szCs w:val="32"/>
          <w:lang w:val="en-US" w:eastAsia="zh-CN"/>
        </w:rPr>
        <w:t>住房公积金、</w:t>
      </w:r>
      <w:r>
        <w:rPr>
          <w:rFonts w:eastAsia="仿宋_GB2312"/>
          <w:sz w:val="32"/>
          <w:szCs w:val="32"/>
        </w:rPr>
        <w:t>生活补助、医疗费补助。</w:t>
      </w:r>
    </w:p>
    <w:p w14:paraId="02742624">
      <w:pPr>
        <w:spacing w:line="560" w:lineRule="exact"/>
        <w:ind w:firstLine="645"/>
        <w:rPr>
          <w:rFonts w:hint="eastAsia" w:eastAsia="仿宋_GB2312"/>
          <w:b/>
          <w:sz w:val="32"/>
          <w:szCs w:val="32"/>
          <w:lang w:eastAsia="zh-CN"/>
        </w:rPr>
      </w:pPr>
      <w:r>
        <w:rPr>
          <w:rFonts w:eastAsia="仿宋_GB2312"/>
          <w:sz w:val="32"/>
          <w:szCs w:val="32"/>
        </w:rPr>
        <w:t>公用经费</w:t>
      </w:r>
      <w:r>
        <w:rPr>
          <w:rFonts w:hint="eastAsia" w:eastAsia="仿宋_GB2312"/>
          <w:sz w:val="32"/>
          <w:szCs w:val="32"/>
          <w:lang w:val="en-US" w:eastAsia="zh-CN"/>
        </w:rPr>
        <w:t>52.51</w:t>
      </w:r>
      <w:r>
        <w:rPr>
          <w:rFonts w:eastAsia="仿宋_GB2312"/>
          <w:sz w:val="32"/>
          <w:szCs w:val="32"/>
        </w:rPr>
        <w:t>万元，主要包括：办公费、电费、邮电费、差旅费、</w:t>
      </w:r>
      <w:r>
        <w:rPr>
          <w:rFonts w:hint="eastAsia" w:eastAsia="仿宋_GB2312"/>
          <w:sz w:val="32"/>
          <w:szCs w:val="32"/>
          <w:lang w:val="en-US" w:eastAsia="zh-CN"/>
        </w:rPr>
        <w:t>公务接待费</w:t>
      </w:r>
      <w:r>
        <w:rPr>
          <w:rFonts w:hint="eastAsia" w:eastAsia="仿宋_GB2312"/>
          <w:sz w:val="32"/>
          <w:szCs w:val="32"/>
          <w:lang w:eastAsia="zh-CN"/>
        </w:rPr>
        <w:t>、</w:t>
      </w:r>
      <w:r>
        <w:rPr>
          <w:rFonts w:eastAsia="仿宋_GB2312"/>
          <w:sz w:val="32"/>
          <w:szCs w:val="32"/>
        </w:rPr>
        <w:t>公务用车运行维护费</w:t>
      </w:r>
      <w:r>
        <w:rPr>
          <w:rFonts w:hint="eastAsia" w:eastAsia="仿宋_GB2312"/>
          <w:sz w:val="32"/>
          <w:szCs w:val="32"/>
          <w:lang w:eastAsia="zh-CN"/>
        </w:rPr>
        <w:t>。</w:t>
      </w:r>
    </w:p>
    <w:p w14:paraId="2CA1B4AA">
      <w:pPr>
        <w:spacing w:line="560" w:lineRule="exact"/>
        <w:ind w:firstLine="643" w:firstLineChars="200"/>
        <w:outlineLvl w:val="1"/>
        <w:rPr>
          <w:rFonts w:ascii="楷体_GB2312" w:hAnsi="楷体_GB2312" w:eastAsia="楷体_GB2312" w:cs="楷体_GB2312"/>
          <w:b/>
          <w:bCs/>
          <w:sz w:val="32"/>
          <w:szCs w:val="32"/>
        </w:rPr>
      </w:pPr>
      <w:bookmarkStart w:id="64" w:name="_Toc15396609"/>
      <w:bookmarkStart w:id="65" w:name="_Toc17931"/>
      <w:bookmarkStart w:id="66" w:name="_Toc15377215"/>
      <w:bookmarkStart w:id="67" w:name="_Toc18665"/>
      <w:r>
        <w:rPr>
          <w:rFonts w:ascii="楷体_GB2312" w:hAnsi="楷体_GB2312" w:eastAsia="楷体_GB2312" w:cs="楷体_GB2312"/>
          <w:b/>
          <w:bCs/>
          <w:sz w:val="32"/>
          <w:szCs w:val="32"/>
        </w:rPr>
        <w:t>七、“三公”经费财政拨款支出决算情况说明</w:t>
      </w:r>
      <w:bookmarkEnd w:id="64"/>
      <w:bookmarkEnd w:id="65"/>
      <w:bookmarkEnd w:id="66"/>
      <w:bookmarkEnd w:id="67"/>
    </w:p>
    <w:p w14:paraId="608557C0">
      <w:pPr>
        <w:spacing w:line="560" w:lineRule="exact"/>
        <w:ind w:firstLine="640"/>
        <w:outlineLvl w:val="2"/>
        <w:rPr>
          <w:rFonts w:eastAsia="仿宋_GB2312"/>
          <w:b/>
          <w:sz w:val="32"/>
          <w:szCs w:val="32"/>
        </w:rPr>
      </w:pPr>
      <w:bookmarkStart w:id="68" w:name="_Toc15377216"/>
      <w:r>
        <w:rPr>
          <w:rFonts w:eastAsia="仿宋_GB2312"/>
          <w:b/>
          <w:sz w:val="32"/>
          <w:szCs w:val="32"/>
        </w:rPr>
        <w:t>（一）“三公”经费财政拨款支出决算总体情况说明</w:t>
      </w:r>
      <w:bookmarkEnd w:id="68"/>
    </w:p>
    <w:p w14:paraId="28C42BE1">
      <w:pPr>
        <w:spacing w:line="560" w:lineRule="exact"/>
        <w:ind w:firstLine="640"/>
        <w:rPr>
          <w:rFonts w:hint="default" w:eastAsia="仿宋_GB2312"/>
          <w:sz w:val="32"/>
          <w:szCs w:val="32"/>
          <w:lang w:val="en-US" w:eastAsia="zh-CN"/>
        </w:rPr>
      </w:pPr>
      <w:r>
        <w:rPr>
          <w:rFonts w:hint="eastAsia" w:eastAsia="仿宋_GB2312"/>
          <w:sz w:val="32"/>
          <w:szCs w:val="32"/>
          <w:lang w:eastAsia="zh-CN"/>
        </w:rPr>
        <w:t>2024</w:t>
      </w:r>
      <w:r>
        <w:rPr>
          <w:rFonts w:eastAsia="仿宋_GB2312"/>
          <w:sz w:val="32"/>
          <w:szCs w:val="32"/>
        </w:rPr>
        <w:t>年“三公”经费财政拨款支出决算为</w:t>
      </w:r>
      <w:r>
        <w:rPr>
          <w:rFonts w:hint="eastAsia" w:eastAsia="仿宋_GB2312"/>
          <w:sz w:val="32"/>
          <w:szCs w:val="32"/>
          <w:lang w:val="en-US" w:eastAsia="zh-CN"/>
        </w:rPr>
        <w:t>20.05</w:t>
      </w:r>
      <w:r>
        <w:rPr>
          <w:rFonts w:eastAsia="仿宋_GB2312"/>
          <w:sz w:val="32"/>
          <w:szCs w:val="32"/>
        </w:rPr>
        <w:t>万元，完成预算100%，</w:t>
      </w:r>
      <w:r>
        <w:rPr>
          <w:rFonts w:hint="eastAsia" w:eastAsia="仿宋_GB2312"/>
          <w:sz w:val="32"/>
          <w:szCs w:val="32"/>
          <w:lang w:val="en-US" w:eastAsia="zh-CN"/>
        </w:rPr>
        <w:t>较上年度增加4.14万元，增长26.03%</w:t>
      </w:r>
      <w:r>
        <w:rPr>
          <w:rFonts w:eastAsia="仿宋_GB2312"/>
          <w:sz w:val="32"/>
          <w:szCs w:val="32"/>
        </w:rPr>
        <w:t>。</w:t>
      </w:r>
      <w:r>
        <w:rPr>
          <w:rFonts w:hint="eastAsia" w:eastAsia="仿宋_GB2312"/>
          <w:sz w:val="32"/>
          <w:szCs w:val="32"/>
          <w:lang w:val="en-US" w:eastAsia="zh-CN"/>
        </w:rPr>
        <w:t>主要原因是当年下乡次数增加，“三公”经费增加。</w:t>
      </w:r>
    </w:p>
    <w:p w14:paraId="7B4A9F69">
      <w:pPr>
        <w:spacing w:line="560" w:lineRule="exact"/>
        <w:ind w:firstLine="640"/>
        <w:outlineLvl w:val="2"/>
        <w:rPr>
          <w:rFonts w:eastAsia="仿宋_GB2312"/>
          <w:b/>
          <w:sz w:val="32"/>
          <w:szCs w:val="32"/>
        </w:rPr>
      </w:pPr>
      <w:bookmarkStart w:id="69" w:name="_Toc15377217"/>
      <w:r>
        <w:rPr>
          <w:rFonts w:eastAsia="仿宋_GB2312"/>
          <w:b/>
          <w:sz w:val="32"/>
          <w:szCs w:val="32"/>
        </w:rPr>
        <w:t>（二）“三公”经费财政拨款支出决算具体情况说明</w:t>
      </w:r>
      <w:bookmarkEnd w:id="69"/>
    </w:p>
    <w:p w14:paraId="4AE42343">
      <w:pPr>
        <w:spacing w:line="560" w:lineRule="exact"/>
        <w:ind w:firstLine="640"/>
        <w:rPr>
          <w:rFonts w:eastAsia="仿宋_GB2312"/>
          <w:sz w:val="32"/>
          <w:szCs w:val="32"/>
        </w:rPr>
      </w:pPr>
      <w:r>
        <w:rPr>
          <w:rFonts w:hint="eastAsia" w:eastAsia="仿宋_GB2312"/>
          <w:sz w:val="32"/>
          <w:szCs w:val="32"/>
          <w:lang w:eastAsia="zh-CN"/>
        </w:rPr>
        <w:t>2024</w:t>
      </w:r>
      <w:r>
        <w:rPr>
          <w:rFonts w:eastAsia="仿宋_GB2312"/>
          <w:sz w:val="32"/>
          <w:szCs w:val="32"/>
        </w:rPr>
        <w:t>年“三公”经费财政拨款支出决算中，因公出国（境）费支出决算0万元，占0%；公务用车购置及运行维护费支出决算</w:t>
      </w:r>
      <w:r>
        <w:rPr>
          <w:rFonts w:hint="eastAsia" w:eastAsia="仿宋_GB2312"/>
          <w:sz w:val="32"/>
          <w:szCs w:val="32"/>
          <w:lang w:val="en-US" w:eastAsia="zh-CN"/>
        </w:rPr>
        <w:t>19.4</w:t>
      </w:r>
      <w:r>
        <w:rPr>
          <w:rFonts w:eastAsia="仿宋_GB2312"/>
          <w:sz w:val="32"/>
          <w:szCs w:val="32"/>
        </w:rPr>
        <w:t>万元，占</w:t>
      </w:r>
      <w:r>
        <w:rPr>
          <w:rFonts w:hint="eastAsia" w:eastAsia="仿宋_GB2312"/>
          <w:sz w:val="32"/>
          <w:szCs w:val="32"/>
          <w:lang w:val="en-US" w:eastAsia="zh-CN"/>
        </w:rPr>
        <w:t>96.76</w:t>
      </w:r>
      <w:r>
        <w:rPr>
          <w:rFonts w:eastAsia="仿宋_GB2312"/>
          <w:sz w:val="32"/>
          <w:szCs w:val="32"/>
        </w:rPr>
        <w:t>%；公务接待费支出决算</w:t>
      </w:r>
      <w:r>
        <w:rPr>
          <w:rFonts w:hint="eastAsia" w:eastAsia="仿宋_GB2312"/>
          <w:sz w:val="32"/>
          <w:szCs w:val="32"/>
        </w:rPr>
        <w:t>0</w:t>
      </w:r>
      <w:r>
        <w:rPr>
          <w:rFonts w:hint="eastAsia" w:eastAsia="仿宋_GB2312"/>
          <w:sz w:val="32"/>
          <w:szCs w:val="32"/>
          <w:lang w:val="en-US" w:eastAsia="zh-CN"/>
        </w:rPr>
        <w:t>.65</w:t>
      </w:r>
      <w:r>
        <w:rPr>
          <w:rFonts w:eastAsia="仿宋_GB2312"/>
          <w:sz w:val="32"/>
          <w:szCs w:val="32"/>
        </w:rPr>
        <w:t>万元，占</w:t>
      </w:r>
      <w:r>
        <w:rPr>
          <w:rFonts w:hint="eastAsia" w:eastAsia="仿宋_GB2312"/>
          <w:sz w:val="32"/>
          <w:szCs w:val="32"/>
          <w:lang w:val="en-US" w:eastAsia="zh-CN"/>
        </w:rPr>
        <w:t>3.24</w:t>
      </w:r>
      <w:r>
        <w:rPr>
          <w:rFonts w:eastAsia="仿宋_GB2312"/>
          <w:sz w:val="32"/>
          <w:szCs w:val="32"/>
        </w:rPr>
        <w:t>%。具体情况如下：</w:t>
      </w:r>
    </w:p>
    <w:p w14:paraId="35BCEEB4">
      <w:pPr>
        <w:pStyle w:val="27"/>
        <w:jc w:val="center"/>
        <w:rPr>
          <w:rFonts w:ascii="Times New Roman" w:hAnsi="Times New Roman" w:eastAsia="仿宋_GB2312" w:cs="Times New Roman"/>
          <w:sz w:val="32"/>
          <w:szCs w:val="32"/>
        </w:rPr>
      </w:pPr>
      <w:r>
        <w:drawing>
          <wp:inline distT="0" distB="0" distL="114300" distR="114300">
            <wp:extent cx="4623435" cy="2164715"/>
            <wp:effectExtent l="4445" t="4445" r="5080" b="10160"/>
            <wp:docPr id="10"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D7B2970">
      <w:pPr>
        <w:spacing w:line="560" w:lineRule="exact"/>
        <w:ind w:firstLine="640"/>
        <w:rPr>
          <w:rFonts w:eastAsia="仿宋_GB2312"/>
          <w:sz w:val="32"/>
          <w:szCs w:val="32"/>
        </w:rPr>
      </w:pPr>
      <w:r>
        <w:rPr>
          <w:rFonts w:eastAsia="仿宋_GB2312"/>
          <w:sz w:val="32"/>
          <w:szCs w:val="32"/>
        </w:rPr>
        <w:t>（图7：“三公”经费财政拨款支出结构）（饼状图）</w:t>
      </w:r>
    </w:p>
    <w:p w14:paraId="1D405BAC">
      <w:pPr>
        <w:spacing w:line="560" w:lineRule="exact"/>
        <w:ind w:firstLine="640"/>
        <w:rPr>
          <w:rFonts w:eastAsia="仿宋_GB2312"/>
          <w:b/>
          <w:sz w:val="32"/>
          <w:szCs w:val="32"/>
        </w:rPr>
      </w:pPr>
      <w:r>
        <w:rPr>
          <w:rFonts w:eastAsia="仿宋_GB2312"/>
          <w:b/>
          <w:sz w:val="32"/>
          <w:szCs w:val="32"/>
        </w:rPr>
        <w:t>1、因公出国（境）经费支出</w:t>
      </w:r>
      <w:r>
        <w:rPr>
          <w:rFonts w:eastAsia="仿宋_GB2312"/>
          <w:sz w:val="32"/>
          <w:szCs w:val="32"/>
        </w:rPr>
        <w:t>0万元，</w:t>
      </w:r>
      <w:r>
        <w:rPr>
          <w:rStyle w:val="22"/>
          <w:rFonts w:eastAsia="仿宋_GB2312"/>
          <w:b w:val="0"/>
          <w:bCs/>
          <w:sz w:val="32"/>
          <w:szCs w:val="32"/>
        </w:rPr>
        <w:t>完成预算0%。</w:t>
      </w:r>
      <w:r>
        <w:rPr>
          <w:rFonts w:eastAsia="仿宋_GB2312"/>
          <w:sz w:val="32"/>
          <w:szCs w:val="32"/>
        </w:rPr>
        <w:t>全年安排因公出国（境）团组0次，出国（境）0人。主要原因是</w:t>
      </w:r>
      <w:r>
        <w:rPr>
          <w:rFonts w:hint="eastAsia" w:eastAsia="仿宋_GB2312"/>
          <w:sz w:val="32"/>
          <w:szCs w:val="32"/>
          <w:lang w:val="en-US" w:eastAsia="zh-CN"/>
        </w:rPr>
        <w:t>本单位</w:t>
      </w:r>
      <w:r>
        <w:rPr>
          <w:rFonts w:eastAsia="仿宋_GB2312"/>
          <w:sz w:val="32"/>
          <w:szCs w:val="32"/>
        </w:rPr>
        <w:t>未安排因公出国（境）。</w:t>
      </w:r>
    </w:p>
    <w:p w14:paraId="1EAB878C">
      <w:pPr>
        <w:spacing w:line="560" w:lineRule="exact"/>
        <w:ind w:firstLine="640"/>
        <w:rPr>
          <w:rFonts w:eastAsia="仿宋_GB2312"/>
          <w:b/>
          <w:sz w:val="32"/>
          <w:szCs w:val="32"/>
        </w:rPr>
      </w:pPr>
      <w:r>
        <w:rPr>
          <w:rFonts w:eastAsia="仿宋_GB2312"/>
          <w:b/>
          <w:sz w:val="32"/>
          <w:szCs w:val="32"/>
        </w:rPr>
        <w:t>2、公务用车购置及运行维护费支出；</w:t>
      </w:r>
      <w:r>
        <w:rPr>
          <w:rFonts w:hint="eastAsia" w:eastAsia="仿宋_GB2312"/>
          <w:color w:val="000000"/>
          <w:sz w:val="32"/>
          <w:szCs w:val="32"/>
          <w:lang w:val="en-US" w:eastAsia="zh-CN"/>
        </w:rPr>
        <w:t>19.4</w:t>
      </w:r>
      <w:r>
        <w:rPr>
          <w:rFonts w:eastAsia="仿宋_GB2312"/>
          <w:sz w:val="32"/>
          <w:szCs w:val="32"/>
        </w:rPr>
        <w:t>万元，</w:t>
      </w:r>
      <w:r>
        <w:rPr>
          <w:rStyle w:val="22"/>
          <w:rFonts w:eastAsia="仿宋_GB2312"/>
          <w:b w:val="0"/>
          <w:bCs/>
          <w:sz w:val="32"/>
          <w:szCs w:val="32"/>
        </w:rPr>
        <w:t>完成预算</w:t>
      </w:r>
      <w:r>
        <w:rPr>
          <w:rFonts w:eastAsia="仿宋_GB2312"/>
          <w:color w:val="000000"/>
          <w:sz w:val="32"/>
          <w:szCs w:val="32"/>
          <w:lang w:val="zh-CN"/>
        </w:rPr>
        <w:t>100%</w:t>
      </w:r>
      <w:r>
        <w:rPr>
          <w:rStyle w:val="22"/>
          <w:rFonts w:eastAsia="仿宋_GB2312"/>
          <w:b w:val="0"/>
          <w:bCs/>
          <w:sz w:val="32"/>
          <w:szCs w:val="32"/>
        </w:rPr>
        <w:t>。</w:t>
      </w:r>
      <w:r>
        <w:rPr>
          <w:rFonts w:eastAsia="仿宋_GB2312"/>
          <w:sz w:val="32"/>
          <w:szCs w:val="32"/>
        </w:rPr>
        <w:t>公务用车购置及运行维护费支出决算比</w:t>
      </w:r>
      <w:r>
        <w:rPr>
          <w:rFonts w:hint="eastAsia" w:eastAsia="仿宋_GB2312"/>
          <w:sz w:val="32"/>
          <w:szCs w:val="32"/>
          <w:lang w:eastAsia="zh-CN"/>
        </w:rPr>
        <w:t>2023</w:t>
      </w:r>
      <w:r>
        <w:rPr>
          <w:rFonts w:eastAsia="仿宋_GB2312"/>
          <w:sz w:val="32"/>
          <w:szCs w:val="32"/>
        </w:rPr>
        <w:t>年</w:t>
      </w:r>
      <w:r>
        <w:rPr>
          <w:rFonts w:hint="eastAsia" w:eastAsia="仿宋_GB2312"/>
          <w:sz w:val="32"/>
          <w:szCs w:val="32"/>
          <w:lang w:val="en-US" w:eastAsia="zh-CN"/>
        </w:rPr>
        <w:t>增加3.49</w:t>
      </w:r>
      <w:r>
        <w:rPr>
          <w:rFonts w:eastAsia="仿宋_GB2312"/>
          <w:sz w:val="32"/>
          <w:szCs w:val="32"/>
        </w:rPr>
        <w:t>万元，</w:t>
      </w:r>
      <w:r>
        <w:rPr>
          <w:rFonts w:hint="eastAsia" w:eastAsia="仿宋_GB2312"/>
          <w:sz w:val="32"/>
          <w:szCs w:val="32"/>
          <w:lang w:val="en-US" w:eastAsia="zh-CN"/>
        </w:rPr>
        <w:t>增长21.94</w:t>
      </w:r>
      <w:r>
        <w:rPr>
          <w:rFonts w:eastAsia="仿宋_GB2312"/>
          <w:sz w:val="32"/>
          <w:szCs w:val="32"/>
        </w:rPr>
        <w:t>%。</w:t>
      </w:r>
      <w:r>
        <w:rPr>
          <w:rFonts w:hint="eastAsia" w:eastAsia="仿宋_GB2312"/>
          <w:sz w:val="32"/>
          <w:szCs w:val="32"/>
        </w:rPr>
        <w:t>主要原因是</w:t>
      </w:r>
      <w:r>
        <w:rPr>
          <w:rFonts w:hint="eastAsia" w:eastAsia="仿宋_GB2312"/>
          <w:sz w:val="32"/>
          <w:szCs w:val="32"/>
          <w:lang w:val="en-US" w:eastAsia="zh-CN"/>
        </w:rPr>
        <w:t>当年下乡次数增加，公务用车购置及运行维护费增加</w:t>
      </w:r>
      <w:r>
        <w:rPr>
          <w:rFonts w:hint="eastAsia" w:eastAsia="仿宋_GB2312"/>
          <w:sz w:val="32"/>
          <w:szCs w:val="32"/>
        </w:rPr>
        <w:t>。</w:t>
      </w:r>
    </w:p>
    <w:p w14:paraId="2801ADD7">
      <w:pPr>
        <w:spacing w:line="560" w:lineRule="exact"/>
        <w:ind w:firstLine="640" w:firstLineChars="200"/>
        <w:rPr>
          <w:rFonts w:eastAsia="仿宋_GB2312"/>
          <w:b/>
          <w:sz w:val="32"/>
          <w:szCs w:val="32"/>
        </w:rPr>
      </w:pPr>
      <w:r>
        <w:rPr>
          <w:rFonts w:eastAsia="仿宋_GB2312"/>
          <w:sz w:val="32"/>
          <w:szCs w:val="32"/>
        </w:rPr>
        <w:t>其中：</w:t>
      </w:r>
      <w:r>
        <w:rPr>
          <w:rFonts w:eastAsia="仿宋_GB2312"/>
          <w:b/>
          <w:sz w:val="32"/>
          <w:szCs w:val="32"/>
        </w:rPr>
        <w:t>公务用车购置支出</w:t>
      </w:r>
      <w:r>
        <w:rPr>
          <w:rFonts w:eastAsia="仿宋_GB2312"/>
          <w:sz w:val="32"/>
          <w:szCs w:val="32"/>
        </w:rPr>
        <w:t>0万元。全年按规定更新购置公务用车0辆，其中：轿车0辆、金额0万元，越野车0辆、金额0万元，载客汽车0辆、金额0万元。</w:t>
      </w:r>
      <w:r>
        <w:rPr>
          <w:rFonts w:hint="eastAsia" w:eastAsia="仿宋_GB2312"/>
          <w:sz w:val="32"/>
          <w:szCs w:val="32"/>
          <w:lang w:eastAsia="zh-CN"/>
        </w:rPr>
        <w:t>截止2024</w:t>
      </w:r>
      <w:r>
        <w:rPr>
          <w:rFonts w:eastAsia="仿宋_GB2312"/>
          <w:sz w:val="32"/>
          <w:szCs w:val="32"/>
        </w:rPr>
        <w:t>年12月底，单位共有公务用车2辆，其中：轿车</w:t>
      </w:r>
      <w:r>
        <w:rPr>
          <w:rFonts w:hint="eastAsia" w:eastAsia="仿宋_GB2312"/>
          <w:sz w:val="32"/>
          <w:szCs w:val="32"/>
        </w:rPr>
        <w:t>0</w:t>
      </w:r>
      <w:r>
        <w:rPr>
          <w:rFonts w:eastAsia="仿宋_GB2312"/>
          <w:sz w:val="32"/>
          <w:szCs w:val="32"/>
        </w:rPr>
        <w:t>辆、越野车</w:t>
      </w:r>
      <w:r>
        <w:rPr>
          <w:rFonts w:hint="eastAsia" w:eastAsia="仿宋_GB2312"/>
          <w:sz w:val="32"/>
          <w:szCs w:val="32"/>
        </w:rPr>
        <w:t>2</w:t>
      </w:r>
      <w:r>
        <w:rPr>
          <w:rFonts w:eastAsia="仿宋_GB2312"/>
          <w:sz w:val="32"/>
          <w:szCs w:val="32"/>
        </w:rPr>
        <w:t>辆、载客汽车</w:t>
      </w:r>
      <w:r>
        <w:rPr>
          <w:rFonts w:hint="eastAsia" w:eastAsia="仿宋_GB2312"/>
          <w:sz w:val="32"/>
          <w:szCs w:val="32"/>
        </w:rPr>
        <w:t>0</w:t>
      </w:r>
      <w:r>
        <w:rPr>
          <w:rFonts w:eastAsia="仿宋_GB2312"/>
          <w:sz w:val="32"/>
          <w:szCs w:val="32"/>
        </w:rPr>
        <w:t>辆。</w:t>
      </w:r>
    </w:p>
    <w:p w14:paraId="7F096D43">
      <w:pPr>
        <w:spacing w:line="560" w:lineRule="exact"/>
        <w:ind w:firstLine="640"/>
        <w:rPr>
          <w:rFonts w:eastAsia="仿宋_GB2312"/>
          <w:sz w:val="32"/>
          <w:szCs w:val="32"/>
        </w:rPr>
      </w:pPr>
      <w:r>
        <w:rPr>
          <w:rFonts w:eastAsia="仿宋_GB2312"/>
          <w:b/>
          <w:sz w:val="32"/>
          <w:szCs w:val="32"/>
        </w:rPr>
        <w:t>公务用车运行维护费支出</w:t>
      </w:r>
      <w:r>
        <w:rPr>
          <w:rFonts w:eastAsia="仿宋_GB2312"/>
          <w:sz w:val="32"/>
          <w:szCs w:val="32"/>
        </w:rPr>
        <w:t>；</w:t>
      </w:r>
      <w:r>
        <w:rPr>
          <w:rFonts w:hint="eastAsia" w:eastAsia="仿宋_GB2312"/>
          <w:color w:val="000000"/>
          <w:sz w:val="32"/>
          <w:szCs w:val="32"/>
          <w:lang w:val="en-US" w:eastAsia="zh-CN"/>
        </w:rPr>
        <w:t>19.4</w:t>
      </w:r>
      <w:r>
        <w:rPr>
          <w:rFonts w:eastAsia="仿宋_GB2312"/>
          <w:sz w:val="32"/>
          <w:szCs w:val="32"/>
        </w:rPr>
        <w:t>万元。</w:t>
      </w:r>
      <w:r>
        <w:rPr>
          <w:rStyle w:val="22"/>
          <w:rFonts w:eastAsia="仿宋_GB2312"/>
          <w:b w:val="0"/>
          <w:bCs/>
          <w:sz w:val="32"/>
          <w:szCs w:val="32"/>
        </w:rPr>
        <w:t>完成预算100%。</w:t>
      </w:r>
      <w:r>
        <w:rPr>
          <w:rFonts w:eastAsia="仿宋_GB2312"/>
          <w:sz w:val="32"/>
          <w:szCs w:val="32"/>
        </w:rPr>
        <w:t>主要用于所需的公务用车燃料费、维修费、过路过桥费、保险费等支出。</w:t>
      </w:r>
    </w:p>
    <w:p w14:paraId="5C379310">
      <w:pPr>
        <w:spacing w:line="560" w:lineRule="exact"/>
        <w:ind w:firstLine="643" w:firstLineChars="200"/>
        <w:rPr>
          <w:rFonts w:hint="eastAsia" w:eastAsia="仿宋_GB2312"/>
          <w:sz w:val="32"/>
          <w:szCs w:val="32"/>
          <w:lang w:val="en-US" w:eastAsia="zh-CN"/>
        </w:rPr>
      </w:pPr>
      <w:r>
        <w:rPr>
          <w:rFonts w:eastAsia="仿宋_GB2312"/>
          <w:b/>
          <w:bCs/>
          <w:sz w:val="32"/>
          <w:szCs w:val="32"/>
        </w:rPr>
        <w:t>3、公务接待费支出：</w:t>
      </w:r>
      <w:r>
        <w:rPr>
          <w:rFonts w:hint="eastAsia" w:eastAsia="仿宋_GB2312"/>
          <w:sz w:val="32"/>
          <w:szCs w:val="32"/>
          <w:lang w:val="en-US" w:eastAsia="zh-CN"/>
        </w:rPr>
        <w:t>0.65</w:t>
      </w:r>
      <w:r>
        <w:rPr>
          <w:rFonts w:eastAsia="仿宋_GB2312"/>
          <w:sz w:val="32"/>
          <w:szCs w:val="32"/>
        </w:rPr>
        <w:t>万元，完成预算</w:t>
      </w:r>
      <w:r>
        <w:rPr>
          <w:rFonts w:hint="eastAsia" w:eastAsia="仿宋_GB2312"/>
          <w:sz w:val="32"/>
          <w:szCs w:val="32"/>
          <w:lang w:val="en-US" w:eastAsia="zh-CN"/>
        </w:rPr>
        <w:t>10</w:t>
      </w:r>
      <w:r>
        <w:rPr>
          <w:rFonts w:hint="eastAsia" w:eastAsia="仿宋_GB2312"/>
          <w:sz w:val="32"/>
          <w:szCs w:val="32"/>
        </w:rPr>
        <w:t>0</w:t>
      </w:r>
      <w:r>
        <w:rPr>
          <w:rFonts w:eastAsia="仿宋_GB2312"/>
          <w:sz w:val="32"/>
          <w:szCs w:val="32"/>
        </w:rPr>
        <w:t>%。公务接待费支出决算比</w:t>
      </w:r>
      <w:r>
        <w:rPr>
          <w:rFonts w:hint="eastAsia" w:eastAsia="仿宋_GB2312"/>
          <w:sz w:val="32"/>
          <w:szCs w:val="32"/>
          <w:lang w:eastAsia="zh-CN"/>
        </w:rPr>
        <w:t>2023</w:t>
      </w:r>
      <w:r>
        <w:rPr>
          <w:rFonts w:eastAsia="仿宋_GB2312"/>
          <w:sz w:val="32"/>
          <w:szCs w:val="32"/>
        </w:rPr>
        <w:t>年</w:t>
      </w:r>
      <w:r>
        <w:rPr>
          <w:rFonts w:hint="eastAsia" w:eastAsia="仿宋_GB2312"/>
          <w:sz w:val="32"/>
          <w:szCs w:val="32"/>
          <w:lang w:val="en-US" w:eastAsia="zh-CN"/>
        </w:rPr>
        <w:t>增加</w:t>
      </w:r>
      <w:r>
        <w:rPr>
          <w:rFonts w:eastAsia="仿宋_GB2312"/>
          <w:sz w:val="32"/>
          <w:szCs w:val="32"/>
        </w:rPr>
        <w:t>0</w:t>
      </w:r>
      <w:r>
        <w:rPr>
          <w:rFonts w:hint="eastAsia" w:eastAsia="仿宋_GB2312"/>
          <w:sz w:val="32"/>
          <w:szCs w:val="32"/>
        </w:rPr>
        <w:t>.</w:t>
      </w:r>
      <w:r>
        <w:rPr>
          <w:rFonts w:hint="eastAsia" w:eastAsia="仿宋_GB2312"/>
          <w:sz w:val="32"/>
          <w:szCs w:val="32"/>
          <w:lang w:val="en-US" w:eastAsia="zh-CN"/>
        </w:rPr>
        <w:t>65</w:t>
      </w:r>
      <w:r>
        <w:rPr>
          <w:rFonts w:eastAsia="仿宋_GB2312"/>
          <w:sz w:val="32"/>
          <w:szCs w:val="32"/>
        </w:rPr>
        <w:t>万元，</w:t>
      </w:r>
      <w:r>
        <w:rPr>
          <w:rFonts w:hint="eastAsia" w:eastAsia="仿宋_GB2312"/>
          <w:sz w:val="32"/>
          <w:szCs w:val="32"/>
          <w:lang w:val="en-US" w:eastAsia="zh-CN"/>
        </w:rPr>
        <w:t>增长</w:t>
      </w:r>
      <w:r>
        <w:rPr>
          <w:rFonts w:hint="eastAsia" w:eastAsia="仿宋_GB2312"/>
          <w:sz w:val="32"/>
          <w:szCs w:val="32"/>
        </w:rPr>
        <w:t>100</w:t>
      </w:r>
      <w:r>
        <w:rPr>
          <w:rFonts w:eastAsia="仿宋_GB2312"/>
          <w:sz w:val="32"/>
          <w:szCs w:val="32"/>
        </w:rPr>
        <w:t>%。</w:t>
      </w:r>
      <w:r>
        <w:rPr>
          <w:rFonts w:hint="eastAsia" w:eastAsia="仿宋_GB2312"/>
          <w:sz w:val="32"/>
          <w:szCs w:val="32"/>
        </w:rPr>
        <w:t>主要原因是</w:t>
      </w:r>
      <w:r>
        <w:rPr>
          <w:rFonts w:hint="eastAsia" w:eastAsia="仿宋_GB2312"/>
          <w:sz w:val="32"/>
          <w:szCs w:val="32"/>
          <w:lang w:val="en-US" w:eastAsia="zh-CN"/>
        </w:rPr>
        <w:t>当年接待援建单位及考察组，公务接待费用增加</w:t>
      </w:r>
      <w:r>
        <w:rPr>
          <w:rFonts w:hint="eastAsia" w:eastAsia="仿宋_GB2312"/>
          <w:sz w:val="32"/>
          <w:szCs w:val="32"/>
        </w:rPr>
        <w:t>。</w:t>
      </w:r>
      <w:r>
        <w:rPr>
          <w:rFonts w:hint="eastAsia" w:eastAsia="仿宋_GB2312"/>
          <w:sz w:val="32"/>
          <w:szCs w:val="32"/>
          <w:lang w:val="en-US" w:eastAsia="zh-CN"/>
        </w:rPr>
        <w:t>其中：</w:t>
      </w:r>
    </w:p>
    <w:p w14:paraId="225288EE">
      <w:pPr>
        <w:spacing w:line="560" w:lineRule="exact"/>
        <w:ind w:firstLine="643" w:firstLineChars="200"/>
        <w:rPr>
          <w:rFonts w:hint="eastAsia" w:ascii="仿宋_GB2312" w:eastAsia="仿宋_GB2312"/>
          <w:color w:val="auto"/>
          <w:sz w:val="32"/>
          <w:szCs w:val="32"/>
          <w:highlight w:val="none"/>
        </w:rPr>
      </w:pPr>
      <w:r>
        <w:rPr>
          <w:rFonts w:eastAsia="仿宋_GB2312"/>
          <w:b/>
          <w:bCs/>
          <w:sz w:val="32"/>
          <w:szCs w:val="32"/>
        </w:rPr>
        <w:t>国内公务接待支出</w:t>
      </w:r>
      <w:r>
        <w:rPr>
          <w:rFonts w:hint="eastAsia" w:eastAsia="仿宋_GB2312"/>
          <w:sz w:val="32"/>
          <w:szCs w:val="32"/>
        </w:rPr>
        <w:t>0</w:t>
      </w:r>
      <w:r>
        <w:rPr>
          <w:rFonts w:hint="eastAsia" w:eastAsia="仿宋_GB2312"/>
          <w:sz w:val="32"/>
          <w:szCs w:val="32"/>
          <w:lang w:val="en-US" w:eastAsia="zh-CN"/>
        </w:rPr>
        <w:t>.65</w:t>
      </w:r>
      <w:r>
        <w:rPr>
          <w:rFonts w:eastAsia="仿宋_GB2312"/>
          <w:sz w:val="32"/>
          <w:szCs w:val="32"/>
        </w:rPr>
        <w:t>万元，主要用于执行公务、开展业务活动开支的交通费、住宿费、用餐费等</w:t>
      </w:r>
      <w:r>
        <w:rPr>
          <w:rFonts w:hint="eastAsia" w:eastAsia="仿宋_GB2312"/>
          <w:sz w:val="32"/>
          <w:szCs w:val="32"/>
          <w:lang w:eastAsia="zh-CN"/>
        </w:rPr>
        <w:t>。</w:t>
      </w:r>
      <w:r>
        <w:rPr>
          <w:rFonts w:hint="eastAsia" w:ascii="仿宋_GB2312" w:eastAsia="仿宋_GB2312"/>
          <w:color w:val="auto"/>
          <w:sz w:val="32"/>
          <w:szCs w:val="32"/>
          <w:highlight w:val="none"/>
        </w:rPr>
        <w:t>国内公务接待</w:t>
      </w:r>
      <w:r>
        <w:rPr>
          <w:rFonts w:hint="eastAsia" w:ascii="仿宋_GB2312" w:eastAsia="仿宋_GB2312"/>
          <w:color w:val="auto"/>
          <w:sz w:val="32"/>
          <w:szCs w:val="32"/>
          <w:highlight w:val="none"/>
          <w:lang w:val="en-US" w:eastAsia="zh-CN"/>
        </w:rPr>
        <w:t>共计9</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23</w:t>
      </w:r>
      <w:r>
        <w:rPr>
          <w:rFonts w:hint="eastAsia" w:ascii="仿宋_GB2312" w:eastAsia="仿宋_GB2312"/>
          <w:color w:val="auto"/>
          <w:sz w:val="32"/>
          <w:szCs w:val="32"/>
          <w:highlight w:val="none"/>
        </w:rPr>
        <w:t>人次</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共计支出</w:t>
      </w:r>
      <w:r>
        <w:rPr>
          <w:rFonts w:hint="eastAsia" w:ascii="仿宋_GB2312" w:eastAsia="仿宋_GB2312"/>
          <w:color w:val="auto"/>
          <w:sz w:val="32"/>
          <w:szCs w:val="32"/>
          <w:highlight w:val="none"/>
          <w:lang w:val="en-US" w:eastAsia="zh-CN"/>
        </w:rPr>
        <w:t>0.65</w:t>
      </w:r>
      <w:r>
        <w:rPr>
          <w:rFonts w:hint="eastAsia" w:ascii="仿宋_GB2312" w:eastAsia="仿宋_GB2312"/>
          <w:color w:val="auto"/>
          <w:sz w:val="32"/>
          <w:szCs w:val="32"/>
          <w:highlight w:val="none"/>
        </w:rPr>
        <w:t>万元，</w:t>
      </w:r>
    </w:p>
    <w:p w14:paraId="02EE8295">
      <w:pPr>
        <w:spacing w:line="560" w:lineRule="exact"/>
        <w:ind w:firstLine="643" w:firstLineChars="200"/>
        <w:rPr>
          <w:rFonts w:eastAsia="仿宋_GB2312"/>
          <w:sz w:val="32"/>
          <w:szCs w:val="32"/>
        </w:rPr>
      </w:pPr>
      <w:r>
        <w:rPr>
          <w:rFonts w:eastAsia="仿宋_GB2312"/>
          <w:b/>
          <w:sz w:val="32"/>
          <w:szCs w:val="32"/>
        </w:rPr>
        <w:t>外事接待支出：</w:t>
      </w:r>
      <w:r>
        <w:rPr>
          <w:rFonts w:eastAsia="仿宋_GB2312"/>
          <w:sz w:val="32"/>
          <w:szCs w:val="32"/>
        </w:rPr>
        <w:t>0万元，外事接待0批次，0人，共计支出0万元。</w:t>
      </w:r>
      <w:bookmarkStart w:id="70" w:name="_Toc15377218"/>
      <w:bookmarkStart w:id="71" w:name="_Toc15396610"/>
    </w:p>
    <w:p w14:paraId="28C6CB62">
      <w:pPr>
        <w:spacing w:line="560" w:lineRule="exact"/>
        <w:ind w:firstLine="643" w:firstLineChars="200"/>
        <w:outlineLvl w:val="1"/>
        <w:rPr>
          <w:rFonts w:ascii="楷体_GB2312" w:hAnsi="楷体_GB2312" w:eastAsia="楷体_GB2312" w:cs="楷体_GB2312"/>
          <w:b/>
          <w:bCs/>
          <w:sz w:val="32"/>
          <w:szCs w:val="32"/>
        </w:rPr>
      </w:pPr>
      <w:bookmarkStart w:id="72" w:name="_Toc9058"/>
      <w:bookmarkStart w:id="73" w:name="_Toc24764"/>
      <w:r>
        <w:rPr>
          <w:rFonts w:ascii="楷体_GB2312" w:hAnsi="楷体_GB2312" w:eastAsia="楷体_GB2312" w:cs="楷体_GB2312"/>
          <w:b/>
          <w:bCs/>
          <w:sz w:val="32"/>
          <w:szCs w:val="32"/>
        </w:rPr>
        <w:t>八、政府性基金预算支出决算情况说明</w:t>
      </w:r>
      <w:bookmarkEnd w:id="70"/>
      <w:bookmarkEnd w:id="71"/>
      <w:bookmarkEnd w:id="72"/>
      <w:bookmarkEnd w:id="73"/>
    </w:p>
    <w:p w14:paraId="526CD255">
      <w:pPr>
        <w:spacing w:line="560" w:lineRule="exact"/>
        <w:ind w:firstLine="640"/>
        <w:rPr>
          <w:rFonts w:eastAsia="仿宋_GB2312"/>
          <w:bCs/>
          <w:sz w:val="32"/>
          <w:szCs w:val="32"/>
        </w:rPr>
      </w:pPr>
      <w:r>
        <w:rPr>
          <w:rFonts w:hint="eastAsia" w:eastAsia="仿宋_GB2312"/>
          <w:bCs/>
          <w:sz w:val="32"/>
          <w:szCs w:val="32"/>
          <w:lang w:eastAsia="zh-CN"/>
        </w:rPr>
        <w:t>2024</w:t>
      </w:r>
      <w:r>
        <w:rPr>
          <w:rFonts w:eastAsia="仿宋_GB2312"/>
          <w:bCs/>
          <w:sz w:val="32"/>
          <w:szCs w:val="32"/>
        </w:rPr>
        <w:t>年政府性基金预算财政拨款支出0万元。</w:t>
      </w:r>
    </w:p>
    <w:p w14:paraId="4384A125">
      <w:pPr>
        <w:numPr>
          <w:ilvl w:val="0"/>
          <w:numId w:val="2"/>
        </w:numPr>
        <w:spacing w:line="560" w:lineRule="exact"/>
        <w:ind w:firstLine="643" w:firstLineChars="200"/>
        <w:outlineLvl w:val="1"/>
        <w:rPr>
          <w:rFonts w:ascii="楷体_GB2312" w:hAnsi="楷体_GB2312" w:eastAsia="楷体_GB2312" w:cs="楷体_GB2312"/>
          <w:b/>
          <w:bCs/>
          <w:sz w:val="32"/>
          <w:szCs w:val="32"/>
        </w:rPr>
      </w:pPr>
      <w:bookmarkStart w:id="74" w:name="_Toc15377219"/>
      <w:bookmarkStart w:id="75" w:name="_Toc30173"/>
      <w:bookmarkStart w:id="76" w:name="_Toc15396611"/>
      <w:bookmarkStart w:id="77" w:name="_Toc2135"/>
      <w:r>
        <w:rPr>
          <w:rFonts w:ascii="楷体_GB2312" w:hAnsi="楷体_GB2312" w:eastAsia="楷体_GB2312" w:cs="楷体_GB2312"/>
          <w:b/>
          <w:bCs/>
          <w:sz w:val="32"/>
          <w:szCs w:val="32"/>
        </w:rPr>
        <w:t>国有资本经营预算支出决算情况说明</w:t>
      </w:r>
      <w:bookmarkEnd w:id="74"/>
      <w:bookmarkEnd w:id="75"/>
      <w:bookmarkEnd w:id="76"/>
      <w:bookmarkEnd w:id="77"/>
    </w:p>
    <w:p w14:paraId="23FB0F22">
      <w:pPr>
        <w:spacing w:line="560" w:lineRule="exact"/>
        <w:ind w:firstLine="640"/>
        <w:rPr>
          <w:rFonts w:eastAsia="仿宋_GB2312"/>
          <w:sz w:val="32"/>
          <w:szCs w:val="32"/>
        </w:rPr>
      </w:pPr>
      <w:bookmarkStart w:id="78" w:name="_Toc15396612"/>
      <w:bookmarkStart w:id="79" w:name="_Toc15377221"/>
      <w:bookmarkStart w:id="80" w:name="_Toc10892"/>
      <w:r>
        <w:rPr>
          <w:rFonts w:hint="eastAsia" w:eastAsia="仿宋_GB2312"/>
          <w:bCs/>
          <w:sz w:val="32"/>
          <w:szCs w:val="32"/>
          <w:lang w:eastAsia="zh-CN"/>
        </w:rPr>
        <w:t>2024</w:t>
      </w:r>
      <w:r>
        <w:rPr>
          <w:rFonts w:eastAsia="仿宋_GB2312"/>
          <w:bCs/>
          <w:sz w:val="32"/>
          <w:szCs w:val="32"/>
        </w:rPr>
        <w:t>年国有资本经营预算财政拨款支出0万元。</w:t>
      </w:r>
    </w:p>
    <w:p w14:paraId="42B530E6">
      <w:pPr>
        <w:spacing w:line="560" w:lineRule="exact"/>
        <w:ind w:firstLine="643" w:firstLineChars="200"/>
        <w:outlineLvl w:val="1"/>
        <w:rPr>
          <w:rFonts w:ascii="楷体_GB2312" w:hAnsi="楷体_GB2312" w:eastAsia="楷体_GB2312" w:cs="楷体_GB2312"/>
          <w:b/>
          <w:bCs/>
          <w:sz w:val="32"/>
          <w:szCs w:val="32"/>
        </w:rPr>
      </w:pPr>
      <w:bookmarkStart w:id="81" w:name="_Toc28490"/>
      <w:r>
        <w:rPr>
          <w:rFonts w:hint="eastAsia" w:ascii="楷体_GB2312" w:hAnsi="楷体_GB2312" w:eastAsia="楷体_GB2312" w:cs="楷体_GB2312"/>
          <w:b/>
          <w:bCs/>
          <w:sz w:val="32"/>
          <w:szCs w:val="32"/>
        </w:rPr>
        <w:t>十、</w:t>
      </w:r>
      <w:r>
        <w:rPr>
          <w:rFonts w:ascii="楷体_GB2312" w:hAnsi="楷体_GB2312" w:eastAsia="楷体_GB2312" w:cs="楷体_GB2312"/>
          <w:b/>
          <w:bCs/>
          <w:sz w:val="32"/>
          <w:szCs w:val="32"/>
        </w:rPr>
        <w:t>其他重要事项的情况说明</w:t>
      </w:r>
      <w:bookmarkEnd w:id="78"/>
      <w:bookmarkEnd w:id="79"/>
      <w:bookmarkEnd w:id="80"/>
      <w:bookmarkEnd w:id="81"/>
    </w:p>
    <w:p w14:paraId="321BB4E1">
      <w:pPr>
        <w:spacing w:line="560" w:lineRule="exact"/>
        <w:ind w:firstLine="643" w:firstLineChars="200"/>
        <w:outlineLvl w:val="2"/>
        <w:rPr>
          <w:rFonts w:eastAsia="仿宋_GB2312"/>
          <w:b/>
          <w:sz w:val="32"/>
          <w:szCs w:val="32"/>
        </w:rPr>
      </w:pPr>
      <w:bookmarkStart w:id="82" w:name="_Toc15377222"/>
      <w:r>
        <w:rPr>
          <w:rFonts w:eastAsia="仿宋_GB2312"/>
          <w:b/>
          <w:sz w:val="32"/>
          <w:szCs w:val="32"/>
        </w:rPr>
        <w:t>（一）机关运行经费支出情况</w:t>
      </w:r>
      <w:bookmarkEnd w:id="82"/>
    </w:p>
    <w:p w14:paraId="00056AC9">
      <w:pPr>
        <w:spacing w:line="560" w:lineRule="exact"/>
        <w:ind w:firstLine="640" w:firstLineChars="200"/>
        <w:rPr>
          <w:rFonts w:eastAsia="仿宋_GB2312"/>
          <w:sz w:val="32"/>
          <w:szCs w:val="32"/>
        </w:rPr>
      </w:pPr>
      <w:r>
        <w:rPr>
          <w:rFonts w:hint="eastAsia" w:eastAsia="仿宋_GB2312"/>
          <w:sz w:val="32"/>
          <w:szCs w:val="32"/>
          <w:lang w:eastAsia="zh-CN"/>
        </w:rPr>
        <w:t>2024</w:t>
      </w:r>
      <w:r>
        <w:rPr>
          <w:rFonts w:eastAsia="仿宋_GB2312"/>
          <w:sz w:val="32"/>
          <w:szCs w:val="32"/>
        </w:rPr>
        <w:t>年，机关运行经费支出</w:t>
      </w:r>
      <w:r>
        <w:rPr>
          <w:rFonts w:hint="eastAsia" w:eastAsia="仿宋_GB2312"/>
          <w:color w:val="000000"/>
          <w:sz w:val="32"/>
          <w:szCs w:val="32"/>
          <w:lang w:val="en-US" w:eastAsia="zh-CN"/>
        </w:rPr>
        <w:t>49.94</w:t>
      </w:r>
      <w:r>
        <w:rPr>
          <w:rFonts w:eastAsia="仿宋_GB2312"/>
          <w:sz w:val="32"/>
          <w:szCs w:val="32"/>
        </w:rPr>
        <w:t>万元，比</w:t>
      </w:r>
      <w:r>
        <w:rPr>
          <w:rFonts w:hint="eastAsia" w:eastAsia="仿宋_GB2312"/>
          <w:sz w:val="32"/>
          <w:szCs w:val="32"/>
          <w:lang w:eastAsia="zh-CN"/>
        </w:rPr>
        <w:t>2023</w:t>
      </w:r>
      <w:r>
        <w:rPr>
          <w:rFonts w:eastAsia="仿宋_GB2312"/>
          <w:sz w:val="32"/>
          <w:szCs w:val="32"/>
        </w:rPr>
        <w:t>年</w:t>
      </w:r>
      <w:r>
        <w:rPr>
          <w:rFonts w:hint="eastAsia" w:eastAsia="仿宋_GB2312"/>
          <w:sz w:val="32"/>
          <w:szCs w:val="32"/>
          <w:lang w:val="en-US" w:eastAsia="zh-CN"/>
        </w:rPr>
        <w:t>增加15.87</w:t>
      </w:r>
      <w:r>
        <w:rPr>
          <w:rFonts w:eastAsia="仿宋_GB2312"/>
          <w:sz w:val="32"/>
          <w:szCs w:val="32"/>
        </w:rPr>
        <w:t>万元，</w:t>
      </w:r>
      <w:r>
        <w:rPr>
          <w:rFonts w:hint="eastAsia" w:eastAsia="仿宋_GB2312"/>
          <w:sz w:val="32"/>
          <w:szCs w:val="32"/>
          <w:lang w:val="en-US" w:eastAsia="zh-CN"/>
        </w:rPr>
        <w:t>增长46.56</w:t>
      </w:r>
      <w:r>
        <w:rPr>
          <w:rFonts w:eastAsia="仿宋_GB2312"/>
          <w:sz w:val="32"/>
          <w:szCs w:val="32"/>
        </w:rPr>
        <w:t>%，主要原因是</w:t>
      </w:r>
      <w:r>
        <w:rPr>
          <w:rFonts w:hint="eastAsia" w:eastAsia="仿宋_GB2312"/>
          <w:sz w:val="32"/>
          <w:szCs w:val="32"/>
          <w:lang w:val="en-US" w:eastAsia="zh-CN"/>
        </w:rPr>
        <w:t>当年业务活动增加，机关运行经费增加</w:t>
      </w:r>
      <w:r>
        <w:rPr>
          <w:rFonts w:eastAsia="仿宋_GB2312"/>
          <w:sz w:val="32"/>
          <w:szCs w:val="32"/>
        </w:rPr>
        <w:t>。</w:t>
      </w:r>
    </w:p>
    <w:p w14:paraId="56099DC2">
      <w:pPr>
        <w:autoSpaceDE w:val="0"/>
        <w:autoSpaceDN w:val="0"/>
        <w:adjustRightInd w:val="0"/>
        <w:spacing w:line="560" w:lineRule="exact"/>
        <w:ind w:firstLine="643" w:firstLineChars="200"/>
        <w:jc w:val="left"/>
        <w:outlineLvl w:val="2"/>
        <w:rPr>
          <w:rFonts w:eastAsia="仿宋_GB2312"/>
          <w:b/>
          <w:sz w:val="32"/>
          <w:szCs w:val="32"/>
        </w:rPr>
      </w:pPr>
      <w:bookmarkStart w:id="83" w:name="_Toc15377223"/>
      <w:r>
        <w:rPr>
          <w:rFonts w:eastAsia="仿宋_GB2312"/>
          <w:b/>
          <w:sz w:val="32"/>
          <w:szCs w:val="32"/>
        </w:rPr>
        <w:t>（二）政府采购支出情况</w:t>
      </w:r>
      <w:bookmarkEnd w:id="83"/>
    </w:p>
    <w:p w14:paraId="7BAE1802">
      <w:pPr>
        <w:spacing w:line="560" w:lineRule="exact"/>
        <w:ind w:firstLine="640" w:firstLineChars="200"/>
        <w:rPr>
          <w:rFonts w:eastAsia="仿宋_GB2312"/>
          <w:sz w:val="32"/>
          <w:szCs w:val="32"/>
        </w:rPr>
      </w:pPr>
      <w:r>
        <w:rPr>
          <w:rFonts w:hint="eastAsia" w:eastAsia="仿宋_GB2312"/>
          <w:sz w:val="32"/>
          <w:szCs w:val="32"/>
          <w:lang w:eastAsia="zh-CN"/>
        </w:rPr>
        <w:t>2024</w:t>
      </w:r>
      <w:r>
        <w:rPr>
          <w:rFonts w:eastAsia="仿宋_GB2312"/>
          <w:sz w:val="32"/>
          <w:szCs w:val="32"/>
        </w:rPr>
        <w:t>年，政府采购支出总额</w:t>
      </w:r>
      <w:r>
        <w:rPr>
          <w:rFonts w:hint="eastAsia" w:eastAsia="仿宋_GB2312"/>
          <w:sz w:val="32"/>
          <w:szCs w:val="32"/>
          <w:lang w:val="en-US" w:eastAsia="zh-CN"/>
        </w:rPr>
        <w:t>371</w:t>
      </w:r>
      <w:r>
        <w:rPr>
          <w:rFonts w:eastAsia="仿宋_GB2312"/>
          <w:sz w:val="32"/>
          <w:szCs w:val="32"/>
        </w:rPr>
        <w:t>万元，其中：政府采购货物支出</w:t>
      </w:r>
      <w:r>
        <w:rPr>
          <w:rFonts w:hint="eastAsia" w:eastAsia="仿宋_GB2312"/>
          <w:sz w:val="32"/>
          <w:szCs w:val="32"/>
          <w:lang w:val="en-US" w:eastAsia="zh-CN"/>
        </w:rPr>
        <w:t>0</w:t>
      </w:r>
      <w:r>
        <w:rPr>
          <w:rFonts w:eastAsia="仿宋_GB2312"/>
          <w:sz w:val="32"/>
          <w:szCs w:val="32"/>
        </w:rPr>
        <w:t>万元、政府采购工程支出</w:t>
      </w:r>
      <w:r>
        <w:rPr>
          <w:rFonts w:hint="eastAsia" w:eastAsia="仿宋_GB2312"/>
          <w:sz w:val="32"/>
          <w:szCs w:val="32"/>
          <w:lang w:val="en-US" w:eastAsia="zh-CN"/>
        </w:rPr>
        <w:t>371</w:t>
      </w:r>
      <w:r>
        <w:rPr>
          <w:rFonts w:eastAsia="仿宋_GB2312"/>
          <w:sz w:val="32"/>
          <w:szCs w:val="32"/>
        </w:rPr>
        <w:t>万元、政府采购服务支出</w:t>
      </w:r>
      <w:r>
        <w:rPr>
          <w:rFonts w:eastAsia="仿宋_GB2312"/>
          <w:color w:val="000000"/>
          <w:sz w:val="32"/>
          <w:szCs w:val="32"/>
        </w:rPr>
        <w:t>0</w:t>
      </w:r>
      <w:r>
        <w:rPr>
          <w:rFonts w:eastAsia="仿宋_GB2312"/>
          <w:sz w:val="32"/>
          <w:szCs w:val="32"/>
        </w:rPr>
        <w:t>万元。</w:t>
      </w:r>
      <w:r>
        <w:rPr>
          <w:rFonts w:hint="eastAsia" w:ascii="仿宋_GB2312" w:eastAsia="仿宋_GB2312"/>
          <w:color w:val="000000"/>
          <w:sz w:val="32"/>
          <w:szCs w:val="32"/>
        </w:rPr>
        <w:t>授予中小企业合同金额</w:t>
      </w:r>
      <w:r>
        <w:rPr>
          <w:rFonts w:hint="eastAsia" w:eastAsia="仿宋_GB2312"/>
          <w:sz w:val="32"/>
          <w:szCs w:val="32"/>
          <w:lang w:val="en-US" w:eastAsia="zh-CN"/>
        </w:rPr>
        <w:t>371</w:t>
      </w:r>
      <w:r>
        <w:rPr>
          <w:rFonts w:hint="eastAsia" w:ascii="仿宋_GB2312" w:eastAsia="仿宋_GB2312"/>
          <w:color w:val="000000"/>
          <w:sz w:val="32"/>
          <w:szCs w:val="32"/>
        </w:rPr>
        <w:t>万元，占政府采购支出总额的</w:t>
      </w:r>
      <w:r>
        <w:rPr>
          <w:rFonts w:hint="eastAsia" w:eastAsia="仿宋_GB2312"/>
          <w:color w:val="000000"/>
          <w:sz w:val="32"/>
          <w:szCs w:val="32"/>
        </w:rPr>
        <w:t>100%</w:t>
      </w:r>
      <w:r>
        <w:rPr>
          <w:rFonts w:hint="eastAsia" w:ascii="仿宋_GB2312" w:eastAsia="仿宋_GB2312"/>
          <w:color w:val="000000"/>
          <w:sz w:val="32"/>
          <w:szCs w:val="32"/>
        </w:rPr>
        <w:t>，其中：授予小微企业合同金额</w:t>
      </w:r>
      <w:r>
        <w:rPr>
          <w:rFonts w:eastAsia="仿宋_GB2312"/>
          <w:color w:val="000000"/>
          <w:sz w:val="32"/>
          <w:szCs w:val="32"/>
        </w:rPr>
        <w:t>0</w:t>
      </w:r>
      <w:r>
        <w:rPr>
          <w:rFonts w:hint="eastAsia" w:ascii="仿宋_GB2312" w:eastAsia="仿宋_GB2312"/>
          <w:color w:val="000000"/>
          <w:sz w:val="32"/>
          <w:szCs w:val="32"/>
        </w:rPr>
        <w:t>万元，占政府采购支出总额的</w:t>
      </w:r>
      <w:r>
        <w:rPr>
          <w:rFonts w:hint="eastAsia" w:eastAsia="仿宋_GB2312"/>
          <w:color w:val="000000"/>
          <w:sz w:val="32"/>
          <w:szCs w:val="32"/>
        </w:rPr>
        <w:t>0%</w:t>
      </w:r>
      <w:r>
        <w:rPr>
          <w:rFonts w:hint="eastAsia" w:ascii="仿宋_GB2312" w:eastAsia="仿宋_GB2312"/>
          <w:color w:val="000000"/>
          <w:sz w:val="32"/>
          <w:szCs w:val="32"/>
        </w:rPr>
        <w:t>。</w:t>
      </w:r>
    </w:p>
    <w:p w14:paraId="5E5ACE05">
      <w:pPr>
        <w:autoSpaceDE w:val="0"/>
        <w:autoSpaceDN w:val="0"/>
        <w:adjustRightInd w:val="0"/>
        <w:spacing w:line="560" w:lineRule="exact"/>
        <w:ind w:firstLine="643" w:firstLineChars="200"/>
        <w:jc w:val="left"/>
        <w:outlineLvl w:val="2"/>
        <w:rPr>
          <w:rFonts w:eastAsia="仿宋_GB2312"/>
          <w:b/>
          <w:sz w:val="32"/>
          <w:szCs w:val="32"/>
        </w:rPr>
      </w:pPr>
      <w:bookmarkStart w:id="84" w:name="_Toc15377224"/>
      <w:r>
        <w:rPr>
          <w:rFonts w:eastAsia="仿宋_GB2312"/>
          <w:b/>
          <w:sz w:val="32"/>
          <w:szCs w:val="32"/>
        </w:rPr>
        <w:t>（三）国有资产占有使用情况</w:t>
      </w:r>
      <w:bookmarkEnd w:id="84"/>
    </w:p>
    <w:p w14:paraId="64993958">
      <w:pPr>
        <w:autoSpaceDE w:val="0"/>
        <w:autoSpaceDN w:val="0"/>
        <w:adjustRightInd w:val="0"/>
        <w:spacing w:line="560" w:lineRule="exact"/>
        <w:ind w:firstLine="640" w:firstLineChars="200"/>
        <w:jc w:val="left"/>
        <w:rPr>
          <w:rFonts w:eastAsia="仿宋_GB2312"/>
          <w:sz w:val="32"/>
          <w:szCs w:val="32"/>
        </w:rPr>
      </w:pPr>
      <w:r>
        <w:rPr>
          <w:rFonts w:eastAsia="仿宋_GB2312"/>
          <w:sz w:val="32"/>
          <w:szCs w:val="32"/>
        </w:rPr>
        <w:t>截</w:t>
      </w:r>
      <w:r>
        <w:rPr>
          <w:rFonts w:hint="eastAsia" w:eastAsia="仿宋_GB2312"/>
          <w:sz w:val="32"/>
          <w:szCs w:val="32"/>
          <w:lang w:eastAsia="zh-CN"/>
        </w:rPr>
        <w:t>止2024</w:t>
      </w:r>
      <w:r>
        <w:rPr>
          <w:rFonts w:eastAsia="仿宋_GB2312"/>
          <w:sz w:val="32"/>
          <w:szCs w:val="32"/>
        </w:rPr>
        <w:t>年12月31日共有车辆2辆，其中：主要领导干部用车0辆、机要通信用车0辆、应急保障用车0辆、其他用车2辆。单价50万元以上通用设备0台（套），单价100万元以上专用设备0台（套）。</w:t>
      </w:r>
    </w:p>
    <w:p w14:paraId="3D6E015A">
      <w:pPr>
        <w:autoSpaceDE w:val="0"/>
        <w:autoSpaceDN w:val="0"/>
        <w:adjustRightInd w:val="0"/>
        <w:spacing w:line="560" w:lineRule="exact"/>
        <w:ind w:firstLine="643" w:firstLineChars="200"/>
        <w:jc w:val="left"/>
        <w:outlineLvl w:val="2"/>
        <w:rPr>
          <w:rFonts w:eastAsia="仿宋_GB2312"/>
          <w:b/>
          <w:sz w:val="32"/>
          <w:szCs w:val="32"/>
        </w:rPr>
      </w:pPr>
      <w:r>
        <w:rPr>
          <w:rFonts w:eastAsia="仿宋_GB2312"/>
          <w:b/>
          <w:sz w:val="32"/>
          <w:szCs w:val="32"/>
        </w:rPr>
        <w:t>（四）预算绩效管理情况</w:t>
      </w:r>
    </w:p>
    <w:p w14:paraId="3BBDFCEF">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auto"/>
          <w:sz w:val="32"/>
          <w:szCs w:val="32"/>
          <w:highlight w:val="none"/>
        </w:rPr>
        <w:t>根据预算绩效管理要求，本部门在</w:t>
      </w:r>
      <w:r>
        <w:rPr>
          <w:rFonts w:hint="eastAsia" w:ascii="仿宋_GB2312" w:hAnsi="仿宋_GB2312" w:eastAsia="仿宋_GB2312" w:cs="仿宋_GB2312"/>
          <w:color w:val="auto"/>
          <w:sz w:val="32"/>
          <w:szCs w:val="32"/>
          <w:highlight w:val="none"/>
          <w:lang w:val="en-US" w:eastAsia="zh-CN"/>
        </w:rPr>
        <w:t>2024年度</w:t>
      </w:r>
      <w:r>
        <w:rPr>
          <w:rFonts w:hint="eastAsia" w:ascii="仿宋_GB2312" w:hAnsi="仿宋_GB2312" w:eastAsia="仿宋_GB2312" w:cs="仿宋_GB2312"/>
          <w:color w:val="auto"/>
          <w:sz w:val="32"/>
          <w:szCs w:val="32"/>
          <w:highlight w:val="none"/>
        </w:rPr>
        <w:t>预算编制阶段，组织对</w:t>
      </w:r>
      <w:r>
        <w:rPr>
          <w:rFonts w:hint="eastAsia" w:ascii="仿宋_GB2312" w:hAnsi="仿宋_GB2312" w:eastAsia="仿宋_GB2312" w:cs="仿宋_GB2312"/>
          <w:color w:val="auto"/>
          <w:sz w:val="32"/>
          <w:szCs w:val="32"/>
          <w:highlight w:val="none"/>
          <w:lang w:val="en-US" w:eastAsia="zh-CN"/>
        </w:rPr>
        <w:t>45个项目</w:t>
      </w:r>
      <w:r>
        <w:rPr>
          <w:rFonts w:hint="eastAsia" w:ascii="仿宋_GB2312" w:hAnsi="仿宋_GB2312" w:eastAsia="仿宋_GB2312" w:cs="仿宋_GB2312"/>
          <w:color w:val="auto"/>
          <w:sz w:val="32"/>
          <w:szCs w:val="32"/>
          <w:highlight w:val="none"/>
        </w:rPr>
        <w:t>开展了预算事前绩效评估，对</w:t>
      </w:r>
      <w:r>
        <w:rPr>
          <w:rFonts w:hint="eastAsia" w:ascii="仿宋_GB2312" w:hAnsi="仿宋_GB2312" w:eastAsia="仿宋_GB2312" w:cs="仿宋_GB2312"/>
          <w:color w:val="auto"/>
          <w:sz w:val="32"/>
          <w:szCs w:val="32"/>
          <w:highlight w:val="none"/>
          <w:lang w:val="en-US" w:eastAsia="zh-CN"/>
        </w:rPr>
        <w:t>45</w:t>
      </w:r>
      <w:r>
        <w:rPr>
          <w:rFonts w:hint="eastAsia" w:ascii="仿宋_GB2312" w:hAnsi="仿宋_GB2312" w:eastAsia="仿宋_GB2312" w:cs="仿宋_GB2312"/>
          <w:color w:val="auto"/>
          <w:sz w:val="32"/>
          <w:szCs w:val="32"/>
          <w:highlight w:val="none"/>
        </w:rPr>
        <w:t>个项目编制了绩效目标，预算执行过程中，选取</w:t>
      </w:r>
      <w:r>
        <w:rPr>
          <w:rFonts w:hint="eastAsia" w:ascii="仿宋_GB2312" w:hAnsi="仿宋_GB2312" w:eastAsia="仿宋_GB2312" w:cs="仿宋_GB2312"/>
          <w:color w:val="auto"/>
          <w:sz w:val="32"/>
          <w:szCs w:val="32"/>
          <w:highlight w:val="none"/>
          <w:lang w:val="en-US" w:eastAsia="zh-CN"/>
        </w:rPr>
        <w:t>37</w:t>
      </w:r>
      <w:r>
        <w:rPr>
          <w:rFonts w:hint="eastAsia" w:ascii="仿宋_GB2312" w:hAnsi="仿宋_GB2312" w:eastAsia="仿宋_GB2312" w:cs="仿宋_GB2312"/>
          <w:color w:val="auto"/>
          <w:sz w:val="32"/>
          <w:szCs w:val="32"/>
          <w:highlight w:val="none"/>
        </w:rPr>
        <w:t>个项目开展绩效监控</w:t>
      </w:r>
      <w:r>
        <w:rPr>
          <w:rFonts w:hint="eastAsia" w:ascii="仿宋_GB2312" w:hAnsi="仿宋_GB2312" w:eastAsia="仿宋_GB2312" w:cs="仿宋_GB2312"/>
          <w:color w:val="auto"/>
          <w:sz w:val="32"/>
          <w:szCs w:val="32"/>
          <w:highlight w:val="none"/>
          <w:lang w:val="en-US" w:eastAsia="zh-CN"/>
        </w:rPr>
        <w:t>，</w:t>
      </w:r>
      <w:r>
        <w:rPr>
          <w:rFonts w:ascii="仿宋_GB2312" w:hAnsi="宋体" w:eastAsia="仿宋_GB2312" w:cs="仿宋_GB2312"/>
          <w:color w:val="000000"/>
          <w:sz w:val="32"/>
          <w:szCs w:val="32"/>
        </w:rPr>
        <w:t>组织对</w:t>
      </w:r>
      <w:r>
        <w:rPr>
          <w:rFonts w:hint="eastAsia" w:ascii="仿宋_GB2312" w:hAnsi="宋体" w:eastAsia="仿宋_GB2312" w:cs="仿宋_GB2312"/>
          <w:color w:val="000000"/>
          <w:sz w:val="32"/>
          <w:szCs w:val="32"/>
          <w:lang w:val="en-US" w:eastAsia="zh-CN"/>
        </w:rPr>
        <w:t>37</w:t>
      </w:r>
      <w:r>
        <w:rPr>
          <w:rFonts w:hint="eastAsia" w:ascii="仿宋_GB2312" w:hAnsi="宋体" w:eastAsia="仿宋_GB2312" w:cs="仿宋_GB2312"/>
          <w:color w:val="000000"/>
          <w:sz w:val="32"/>
          <w:szCs w:val="32"/>
        </w:rPr>
        <w:t>个项目开展绩效自评</w:t>
      </w:r>
      <w:r>
        <w:rPr>
          <w:rFonts w:hint="eastAsia" w:ascii="仿宋_GB2312" w:hAnsi="宋体" w:eastAsia="仿宋_GB2312" w:cs="仿宋_GB2312"/>
          <w:color w:val="000000"/>
          <w:sz w:val="32"/>
          <w:szCs w:val="32"/>
          <w:lang w:eastAsia="zh-CN"/>
        </w:rPr>
        <w:t>，</w:t>
      </w:r>
      <w:r>
        <w:rPr>
          <w:rFonts w:hint="eastAsia" w:ascii="仿宋_GB2312" w:hAnsi="仿宋_GB2312" w:eastAsia="仿宋_GB2312" w:cs="仿宋_GB2312"/>
          <w:color w:val="auto"/>
          <w:sz w:val="32"/>
          <w:szCs w:val="32"/>
          <w:highlight w:val="none"/>
          <w:lang w:val="en-US" w:eastAsia="zh-CN"/>
        </w:rPr>
        <w:t>绩效自评表详见第四部分附件</w:t>
      </w:r>
      <w:r>
        <w:rPr>
          <w:rFonts w:hint="eastAsia" w:ascii="仿宋_GB2312" w:hAnsi="仿宋_GB2312" w:eastAsia="仿宋_GB2312" w:cs="仿宋_GB2312"/>
          <w:color w:val="auto"/>
          <w:sz w:val="32"/>
          <w:szCs w:val="32"/>
          <w:highlight w:val="none"/>
          <w:lang w:eastAsia="zh-CN"/>
        </w:rPr>
        <w:t>。</w:t>
      </w:r>
    </w:p>
    <w:p w14:paraId="109F244A">
      <w:pPr>
        <w:pStyle w:val="8"/>
        <w:widowControl/>
        <w:tabs>
          <w:tab w:val="left" w:pos="2281"/>
        </w:tabs>
        <w:kinsoku w:val="0"/>
        <w:autoSpaceDE w:val="0"/>
        <w:autoSpaceDN w:val="0"/>
        <w:adjustRightInd w:val="0"/>
        <w:snapToGrid w:val="0"/>
        <w:spacing w:before="93" w:line="560" w:lineRule="exact"/>
        <w:ind w:firstLine="640" w:firstLineChars="200"/>
        <w:jc w:val="left"/>
        <w:textAlignment w:val="baseline"/>
        <w:rPr>
          <w:rFonts w:ascii="Times New Roman" w:eastAsia="仿宋_GB2312"/>
          <w:sz w:val="32"/>
          <w:szCs w:val="32"/>
        </w:rPr>
      </w:pPr>
      <w:r>
        <w:rPr>
          <w:rFonts w:hint="eastAsia" w:ascii="仿宋_GB2312" w:hAnsi="仿宋_GB2312" w:eastAsia="仿宋_GB2312" w:cs="仿宋_GB2312"/>
          <w:kern w:val="2"/>
          <w:sz w:val="32"/>
          <w:szCs w:val="32"/>
        </w:rPr>
        <w:t>组织对</w:t>
      </w:r>
      <w:r>
        <w:rPr>
          <w:rFonts w:hint="eastAsia" w:ascii="仿宋_GB2312" w:hAnsi="仿宋_GB2312" w:eastAsia="仿宋_GB2312" w:cs="仿宋_GB2312"/>
          <w:kern w:val="2"/>
          <w:sz w:val="32"/>
          <w:szCs w:val="32"/>
          <w:lang w:eastAsia="zh-CN"/>
        </w:rPr>
        <w:t>2024</w:t>
      </w:r>
      <w:r>
        <w:rPr>
          <w:rFonts w:hint="eastAsia" w:ascii="仿宋_GB2312" w:hAnsi="仿宋_GB2312" w:eastAsia="仿宋_GB2312" w:cs="仿宋_GB2312"/>
          <w:kern w:val="2"/>
          <w:sz w:val="32"/>
          <w:szCs w:val="32"/>
        </w:rPr>
        <w:t>年度一般公共预算、政府性基金预算、国有资本经营预算、社会保险基金预算以及资本资产、债券资金等全面开展绩效自评，形成中共壤塘县委组织部（含部门预算项目）绩效自评报告，其中，中共壤塘县委组织部（含部门预算项目）绩效自评得分为</w:t>
      </w:r>
      <w:r>
        <w:rPr>
          <w:rFonts w:hint="eastAsia" w:ascii="仿宋_GB2312" w:hAnsi="仿宋_GB2312" w:eastAsia="仿宋_GB2312" w:cs="仿宋_GB2312"/>
          <w:kern w:val="2"/>
          <w:sz w:val="32"/>
          <w:szCs w:val="32"/>
          <w:lang w:val="en-US" w:eastAsia="zh-CN"/>
        </w:rPr>
        <w:t>97</w:t>
      </w:r>
      <w:r>
        <w:rPr>
          <w:rFonts w:hint="eastAsia" w:ascii="仿宋_GB2312" w:hAnsi="仿宋_GB2312" w:eastAsia="仿宋_GB2312" w:cs="仿宋_GB2312"/>
          <w:kern w:val="2"/>
          <w:sz w:val="32"/>
          <w:szCs w:val="32"/>
        </w:rPr>
        <w:t>分，绩效自评综述：本次部门整体支出绩效自评得分为</w:t>
      </w:r>
      <w:r>
        <w:rPr>
          <w:rFonts w:hint="eastAsia" w:ascii="仿宋_GB2312" w:hAnsi="仿宋_GB2312" w:eastAsia="仿宋_GB2312" w:cs="仿宋_GB2312"/>
          <w:kern w:val="2"/>
          <w:sz w:val="32"/>
          <w:szCs w:val="32"/>
          <w:lang w:val="en-US" w:eastAsia="zh-CN"/>
        </w:rPr>
        <w:t>97</w:t>
      </w:r>
      <w:r>
        <w:rPr>
          <w:rFonts w:hint="eastAsia" w:ascii="仿宋_GB2312" w:hAnsi="仿宋_GB2312" w:eastAsia="仿宋_GB2312" w:cs="仿宋_GB2312"/>
          <w:kern w:val="2"/>
          <w:sz w:val="32"/>
          <w:szCs w:val="32"/>
        </w:rPr>
        <w:t>分总体表现良好主要问题为项目绩效目标设置不合理。</w:t>
      </w:r>
    </w:p>
    <w:p w14:paraId="444210D3">
      <w:pPr>
        <w:spacing w:line="560" w:lineRule="exact"/>
        <w:jc w:val="left"/>
        <w:rPr>
          <w:rFonts w:ascii="黑体" w:hAnsi="黑体" w:eastAsia="黑体" w:cs="黑体"/>
          <w:sz w:val="32"/>
          <w:szCs w:val="32"/>
        </w:rPr>
      </w:pPr>
      <w:bookmarkStart w:id="85" w:name="_Toc1341"/>
      <w:bookmarkStart w:id="86" w:name="_Toc15396613"/>
      <w:bookmarkStart w:id="87" w:name="_Toc15377225"/>
    </w:p>
    <w:p w14:paraId="4E343940">
      <w:pPr>
        <w:jc w:val="both"/>
        <w:rPr>
          <w:rFonts w:ascii="黑体" w:hAnsi="黑体" w:eastAsia="黑体" w:cs="黑体"/>
          <w:sz w:val="32"/>
          <w:szCs w:val="32"/>
        </w:rPr>
      </w:pPr>
    </w:p>
    <w:p w14:paraId="1DC93644">
      <w:pPr>
        <w:jc w:val="center"/>
        <w:rPr>
          <w:rFonts w:eastAsia="仿宋_GB2312"/>
          <w:sz w:val="32"/>
          <w:szCs w:val="32"/>
        </w:rPr>
      </w:pPr>
      <w:r>
        <w:rPr>
          <w:rFonts w:hint="eastAsia" w:ascii="黑体" w:hAnsi="黑体" w:eastAsia="黑体" w:cs="黑体"/>
          <w:sz w:val="32"/>
          <w:szCs w:val="32"/>
        </w:rPr>
        <w:t>第三部分名词解释</w:t>
      </w:r>
      <w:bookmarkEnd w:id="85"/>
      <w:bookmarkEnd w:id="86"/>
      <w:bookmarkEnd w:id="87"/>
    </w:p>
    <w:p w14:paraId="34C09344">
      <w:pPr>
        <w:spacing w:line="560" w:lineRule="exact"/>
        <w:ind w:firstLine="640" w:firstLineChars="200"/>
        <w:rPr>
          <w:rFonts w:eastAsia="仿宋_GB2312"/>
          <w:sz w:val="32"/>
          <w:szCs w:val="32"/>
        </w:rPr>
      </w:pPr>
    </w:p>
    <w:p w14:paraId="6E13F175">
      <w:pPr>
        <w:spacing w:line="560" w:lineRule="exact"/>
        <w:ind w:firstLine="640" w:firstLineChars="200"/>
        <w:rPr>
          <w:rFonts w:eastAsia="仿宋_GB2312"/>
          <w:sz w:val="32"/>
          <w:szCs w:val="32"/>
        </w:rPr>
      </w:pPr>
      <w:r>
        <w:rPr>
          <w:rFonts w:eastAsia="仿宋_GB2312"/>
          <w:sz w:val="32"/>
          <w:szCs w:val="32"/>
        </w:rPr>
        <w:t>1、财政拨款收入：指单位从同级财政部门取得的财政预算资金。</w:t>
      </w:r>
    </w:p>
    <w:p w14:paraId="7FD693B8">
      <w:pPr>
        <w:spacing w:line="560" w:lineRule="exact"/>
        <w:ind w:firstLine="640" w:firstLineChars="200"/>
        <w:rPr>
          <w:rFonts w:eastAsia="仿宋_GB2312"/>
          <w:sz w:val="32"/>
          <w:szCs w:val="32"/>
        </w:rPr>
      </w:pPr>
      <w:r>
        <w:rPr>
          <w:rFonts w:eastAsia="仿宋_GB2312"/>
          <w:sz w:val="32"/>
          <w:szCs w:val="32"/>
        </w:rPr>
        <w:t>2、事业收入：指事业单位开展专业业务活动及辅助活动取得的收入。</w:t>
      </w:r>
    </w:p>
    <w:p w14:paraId="2B902E11">
      <w:pPr>
        <w:spacing w:line="560" w:lineRule="exact"/>
        <w:ind w:firstLine="640" w:firstLineChars="200"/>
        <w:rPr>
          <w:rFonts w:eastAsia="仿宋_GB2312"/>
          <w:sz w:val="32"/>
          <w:szCs w:val="32"/>
        </w:rPr>
      </w:pPr>
      <w:r>
        <w:rPr>
          <w:rFonts w:eastAsia="仿宋_GB2312"/>
          <w:sz w:val="32"/>
          <w:szCs w:val="32"/>
        </w:rPr>
        <w:t>3、经营收入：指事业单位在专业业务活动及其辅助活动之外开展非独立核算经营活动取得的收入。</w:t>
      </w:r>
    </w:p>
    <w:p w14:paraId="1CAD42CF">
      <w:pPr>
        <w:spacing w:line="560" w:lineRule="exact"/>
        <w:ind w:firstLine="640" w:firstLineChars="200"/>
        <w:rPr>
          <w:rFonts w:eastAsia="仿宋_GB2312"/>
          <w:sz w:val="32"/>
          <w:szCs w:val="32"/>
        </w:rPr>
      </w:pPr>
      <w:r>
        <w:rPr>
          <w:rFonts w:eastAsia="仿宋_GB2312"/>
          <w:sz w:val="32"/>
          <w:szCs w:val="32"/>
        </w:rPr>
        <w:t>4、其他收入：指单位取得的除上述收入以外的各项收入。主要是援建资金。</w:t>
      </w:r>
    </w:p>
    <w:p w14:paraId="6FDB77E0">
      <w:pPr>
        <w:spacing w:line="560" w:lineRule="exact"/>
        <w:ind w:firstLine="640" w:firstLineChars="200"/>
        <w:rPr>
          <w:rFonts w:eastAsia="仿宋_GB2312"/>
          <w:sz w:val="32"/>
          <w:szCs w:val="32"/>
        </w:rPr>
      </w:pPr>
      <w:r>
        <w:rPr>
          <w:rFonts w:eastAsia="仿宋_GB2312"/>
          <w:sz w:val="32"/>
          <w:szCs w:val="32"/>
        </w:rPr>
        <w:t>5、年初结转和结余：指以前年度尚未完成、结转到本年按有关规定继续使用的资金。</w:t>
      </w:r>
    </w:p>
    <w:p w14:paraId="248CEC24">
      <w:pPr>
        <w:spacing w:line="560" w:lineRule="exact"/>
        <w:ind w:firstLine="640" w:firstLineChars="200"/>
        <w:rPr>
          <w:rFonts w:eastAsia="仿宋_GB2312"/>
          <w:sz w:val="32"/>
          <w:szCs w:val="32"/>
        </w:rPr>
      </w:pPr>
      <w:r>
        <w:rPr>
          <w:rFonts w:eastAsia="仿宋_GB2312"/>
          <w:sz w:val="32"/>
          <w:szCs w:val="32"/>
        </w:rPr>
        <w:t>6、年末结转和结余：指单位按有关规定结转到下年或以后年度继续使用的资金。</w:t>
      </w:r>
    </w:p>
    <w:p w14:paraId="59024404">
      <w:pPr>
        <w:ind w:firstLine="640" w:firstLineChars="200"/>
        <w:rPr>
          <w:rFonts w:ascii="仿宋_GB2312" w:eastAsia="仿宋_GB2312"/>
          <w:color w:val="000000"/>
          <w:sz w:val="32"/>
          <w:szCs w:val="32"/>
        </w:rPr>
      </w:pPr>
      <w:r>
        <w:rPr>
          <w:rFonts w:hint="eastAsia" w:eastAsia="仿宋_GB2312"/>
          <w:sz w:val="32"/>
          <w:szCs w:val="32"/>
        </w:rPr>
        <w:t>7</w:t>
      </w:r>
      <w:r>
        <w:rPr>
          <w:rFonts w:hint="eastAsia" w:eastAsia="仿宋_GB2312"/>
          <w:sz w:val="32"/>
          <w:szCs w:val="32"/>
          <w:lang w:eastAsia="zh-CN"/>
        </w:rPr>
        <w:t>、</w:t>
      </w:r>
      <w:r>
        <w:rPr>
          <w:rFonts w:hint="eastAsia" w:ascii="仿宋_GB2312" w:eastAsia="仿宋_GB2312"/>
          <w:color w:val="000000"/>
          <w:sz w:val="32"/>
          <w:szCs w:val="32"/>
        </w:rPr>
        <w:t>社会保障和就业（类）</w:t>
      </w:r>
      <w:r>
        <w:rPr>
          <w:rFonts w:hint="eastAsia" w:ascii="仿宋" w:eastAsia="仿宋" w:cs="仿宋"/>
          <w:color w:val="000000"/>
          <w:sz w:val="32"/>
          <w:szCs w:val="32"/>
        </w:rPr>
        <w:t>行政事业单位养老支出</w:t>
      </w:r>
      <w:r>
        <w:rPr>
          <w:rFonts w:hint="eastAsia" w:ascii="仿宋_GB2312" w:eastAsia="仿宋_GB2312"/>
          <w:color w:val="000000"/>
          <w:sz w:val="32"/>
          <w:szCs w:val="32"/>
        </w:rPr>
        <w:t>（款）机关事业单位基本养老保险缴费支出（项）：指由单位缴纳的基本养老保险费支出。</w:t>
      </w:r>
    </w:p>
    <w:p w14:paraId="5CE90AE0">
      <w:pPr>
        <w:ind w:firstLine="640" w:firstLineChars="200"/>
        <w:rPr>
          <w:rFonts w:ascii="仿宋_GB2312" w:eastAsia="仿宋_GB2312"/>
          <w:color w:val="000000"/>
          <w:sz w:val="32"/>
          <w:szCs w:val="32"/>
        </w:rPr>
      </w:pPr>
      <w:r>
        <w:rPr>
          <w:rFonts w:hint="eastAsia" w:eastAsia="仿宋_GB2312"/>
          <w:sz w:val="32"/>
          <w:szCs w:val="32"/>
        </w:rPr>
        <w:t>8</w:t>
      </w:r>
      <w:r>
        <w:rPr>
          <w:rFonts w:hint="eastAsia" w:eastAsia="仿宋_GB2312"/>
          <w:sz w:val="32"/>
          <w:szCs w:val="32"/>
          <w:lang w:eastAsia="zh-CN"/>
        </w:rPr>
        <w:t>、</w:t>
      </w:r>
      <w:r>
        <w:rPr>
          <w:rFonts w:hint="eastAsia" w:ascii="仿宋_GB2312" w:eastAsia="仿宋_GB2312"/>
          <w:color w:val="000000"/>
          <w:sz w:val="32"/>
          <w:szCs w:val="32"/>
        </w:rPr>
        <w:t>社会保障和就业（类）</w:t>
      </w:r>
      <w:r>
        <w:rPr>
          <w:rFonts w:hint="eastAsia" w:ascii="仿宋" w:eastAsia="仿宋" w:cs="仿宋"/>
          <w:color w:val="000000"/>
          <w:sz w:val="32"/>
          <w:szCs w:val="32"/>
        </w:rPr>
        <w:t>行政事业单位养老支出</w:t>
      </w:r>
      <w:r>
        <w:rPr>
          <w:rFonts w:hint="eastAsia" w:ascii="仿宋_GB2312" w:eastAsia="仿宋_GB2312"/>
          <w:color w:val="000000"/>
          <w:sz w:val="32"/>
          <w:szCs w:val="32"/>
        </w:rPr>
        <w:t>（款）机关事业单位职业年金缴费支出（项）：指机关事业单位实施养老保险制度由单位实际缴纳的职业年金。</w:t>
      </w:r>
    </w:p>
    <w:p w14:paraId="555BD231">
      <w:pPr>
        <w:ind w:firstLine="640" w:firstLineChars="200"/>
        <w:rPr>
          <w:rFonts w:ascii="仿宋_GB2312" w:eastAsia="仿宋_GB2312"/>
          <w:sz w:val="32"/>
          <w:szCs w:val="32"/>
        </w:rPr>
      </w:pPr>
      <w:r>
        <w:rPr>
          <w:rFonts w:hint="eastAsia" w:eastAsia="仿宋_GB2312"/>
          <w:sz w:val="32"/>
          <w:szCs w:val="32"/>
        </w:rPr>
        <w:t>9</w:t>
      </w:r>
      <w:r>
        <w:rPr>
          <w:rFonts w:hint="eastAsia" w:eastAsia="仿宋_GB2312"/>
          <w:sz w:val="32"/>
          <w:szCs w:val="32"/>
          <w:lang w:eastAsia="zh-CN"/>
        </w:rPr>
        <w:t>、</w:t>
      </w:r>
      <w:r>
        <w:rPr>
          <w:rFonts w:hint="eastAsia" w:ascii="仿宋_GB2312" w:eastAsia="仿宋_GB2312"/>
          <w:sz w:val="32"/>
          <w:szCs w:val="32"/>
        </w:rPr>
        <w:t>卫生健康（类）行政事业单位医疗（款）行政单位医疗（项）：指反映财政部门安排的行政单位（包括实行公务员管理的事业单位，下同）基本医疗保险缴费经费，未参加医疗保险的行政单位的公费医疗经费，按国家规定享受离休人员，红军老战士待遇的医疗经费。</w:t>
      </w:r>
    </w:p>
    <w:p w14:paraId="7491F3EC">
      <w:pPr>
        <w:ind w:firstLine="640" w:firstLineChars="200"/>
        <w:rPr>
          <w:rFonts w:ascii="仿宋_GB2312" w:eastAsia="仿宋_GB2312"/>
          <w:sz w:val="32"/>
          <w:szCs w:val="32"/>
        </w:rPr>
      </w:pPr>
      <w:r>
        <w:rPr>
          <w:rFonts w:hint="eastAsia" w:eastAsia="仿宋_GB2312"/>
          <w:sz w:val="32"/>
          <w:szCs w:val="32"/>
        </w:rPr>
        <w:t>10</w:t>
      </w:r>
      <w:r>
        <w:rPr>
          <w:rFonts w:hint="eastAsia" w:eastAsia="仿宋_GB2312"/>
          <w:sz w:val="32"/>
          <w:szCs w:val="32"/>
          <w:lang w:eastAsia="zh-CN"/>
        </w:rPr>
        <w:t>、</w:t>
      </w:r>
      <w:r>
        <w:rPr>
          <w:rFonts w:hint="eastAsia" w:ascii="仿宋_GB2312" w:eastAsia="仿宋_GB2312"/>
          <w:sz w:val="32"/>
          <w:szCs w:val="32"/>
        </w:rPr>
        <w:t>卫生健康（类）行政事业单位医疗（款）事业单位医疗（项）：指反映财政部门安排的事业单位基本医疗保险缴费经费，未参加医疗保险的事业单位的公费 医疗经费，按国家规定享受离休人员待遇的医疗经费。</w:t>
      </w:r>
    </w:p>
    <w:p w14:paraId="2AB1F4EE">
      <w:pPr>
        <w:ind w:firstLine="640" w:firstLineChars="200"/>
        <w:rPr>
          <w:rFonts w:ascii="仿宋_GB2312" w:eastAsia="仿宋_GB2312"/>
          <w:sz w:val="32"/>
          <w:szCs w:val="32"/>
        </w:rPr>
      </w:pPr>
      <w:r>
        <w:rPr>
          <w:rFonts w:hint="eastAsia" w:eastAsia="仿宋_GB2312"/>
          <w:sz w:val="32"/>
          <w:szCs w:val="32"/>
        </w:rPr>
        <w:t>11</w:t>
      </w:r>
      <w:r>
        <w:rPr>
          <w:rFonts w:hint="eastAsia" w:eastAsia="仿宋_GB2312"/>
          <w:sz w:val="32"/>
          <w:szCs w:val="32"/>
          <w:lang w:eastAsia="zh-CN"/>
        </w:rPr>
        <w:t>、</w:t>
      </w:r>
      <w:r>
        <w:rPr>
          <w:rFonts w:hint="eastAsia" w:ascii="仿宋_GB2312" w:eastAsia="仿宋_GB2312"/>
          <w:sz w:val="32"/>
          <w:szCs w:val="32"/>
        </w:rPr>
        <w:t>卫生健康（类）行政事业单位医疗（款）公务员医疗补助（项）：指反映财政部门安排的公务员医疗补助经费。</w:t>
      </w:r>
    </w:p>
    <w:p w14:paraId="6DCF7675">
      <w:pPr>
        <w:ind w:firstLine="640" w:firstLineChars="200"/>
        <w:rPr>
          <w:rFonts w:ascii="仿宋_GB2312" w:eastAsia="仿宋_GB2312"/>
          <w:sz w:val="32"/>
          <w:szCs w:val="32"/>
        </w:rPr>
      </w:pPr>
      <w:r>
        <w:rPr>
          <w:rFonts w:hint="eastAsia" w:eastAsia="仿宋_GB2312"/>
          <w:sz w:val="32"/>
          <w:szCs w:val="32"/>
        </w:rPr>
        <w:t>12</w:t>
      </w:r>
      <w:r>
        <w:rPr>
          <w:rFonts w:hint="eastAsia" w:eastAsia="仿宋_GB2312"/>
          <w:sz w:val="32"/>
          <w:szCs w:val="32"/>
          <w:lang w:eastAsia="zh-CN"/>
        </w:rPr>
        <w:t>、</w:t>
      </w:r>
      <w:r>
        <w:rPr>
          <w:rFonts w:hint="eastAsia" w:ascii="仿宋_GB2312" w:eastAsia="仿宋_GB2312"/>
          <w:sz w:val="32"/>
          <w:szCs w:val="32"/>
        </w:rPr>
        <w:t>卫生健康（类）行政事业单位医疗（款）其他行政事业单位医疗（项）：指反映除上述项目以外的其他用于行政事业单位医疗方面的支出。</w:t>
      </w:r>
    </w:p>
    <w:p w14:paraId="06CEFB68">
      <w:pPr>
        <w:pStyle w:val="17"/>
        <w:ind w:left="0" w:leftChars="0" w:firstLine="640" w:firstLineChars="200"/>
      </w:pPr>
      <w:r>
        <w:rPr>
          <w:rFonts w:hint="eastAsia" w:ascii="Times New Roman" w:hAnsi="Times New Roman" w:eastAsia="仿宋_GB2312" w:cs="Times New Roman"/>
          <w:kern w:val="2"/>
          <w:sz w:val="32"/>
          <w:szCs w:val="32"/>
          <w:lang w:val="en-US" w:eastAsia="zh-CN" w:bidi="ar-SA"/>
        </w:rPr>
        <w:t>13、</w:t>
      </w:r>
      <w:r>
        <w:rPr>
          <w:rFonts w:hint="eastAsia" w:ascii="仿宋_GB2312" w:eastAsia="仿宋_GB2312"/>
          <w:color w:val="000000"/>
          <w:sz w:val="32"/>
          <w:szCs w:val="32"/>
        </w:rPr>
        <w:t>农林水支出（类）</w:t>
      </w:r>
      <w:r>
        <w:rPr>
          <w:rFonts w:hint="eastAsia" w:ascii="仿宋_GB2312" w:eastAsia="仿宋_GB2312"/>
          <w:color w:val="000000"/>
          <w:sz w:val="32"/>
          <w:szCs w:val="32"/>
          <w:lang w:eastAsia="zh-CN"/>
        </w:rPr>
        <w:t>巩固拓展脱贫攻坚成果衔接乡村振兴</w:t>
      </w:r>
      <w:r>
        <w:rPr>
          <w:rFonts w:hint="eastAsia" w:ascii="仿宋_GB2312" w:eastAsia="仿宋_GB2312"/>
          <w:color w:val="000000"/>
          <w:sz w:val="32"/>
          <w:szCs w:val="32"/>
        </w:rPr>
        <w:t>（款）其他</w:t>
      </w:r>
      <w:r>
        <w:rPr>
          <w:rFonts w:hint="eastAsia" w:ascii="仿宋_GB2312" w:eastAsia="仿宋_GB2312"/>
          <w:color w:val="000000"/>
          <w:sz w:val="32"/>
          <w:szCs w:val="32"/>
          <w:lang w:eastAsia="zh-CN"/>
        </w:rPr>
        <w:t>巩固拓展脱贫攻坚成果衔接乡村振兴</w:t>
      </w:r>
      <w:r>
        <w:rPr>
          <w:rFonts w:hint="eastAsia" w:ascii="仿宋_GB2312" w:eastAsia="仿宋_GB2312"/>
          <w:color w:val="000000"/>
          <w:sz w:val="32"/>
          <w:szCs w:val="32"/>
        </w:rPr>
        <w:t>（项）：指反映除上述项目以外其他用于巩固拓展脱贫攻坚成果同乡村振兴有效衔接方面的支出。</w:t>
      </w:r>
    </w:p>
    <w:p w14:paraId="0A31B9FD">
      <w:pPr>
        <w:ind w:firstLine="640" w:firstLineChars="200"/>
        <w:rPr>
          <w:rFonts w:ascii="仿宋_GB2312" w:eastAsia="仿宋_GB2312"/>
          <w:color w:val="000000"/>
          <w:sz w:val="32"/>
          <w:szCs w:val="32"/>
        </w:rPr>
      </w:pPr>
      <w:r>
        <w:rPr>
          <w:rFonts w:hint="eastAsia" w:eastAsia="仿宋_GB2312"/>
          <w:sz w:val="32"/>
          <w:szCs w:val="32"/>
        </w:rPr>
        <w:t>14</w:t>
      </w:r>
      <w:r>
        <w:rPr>
          <w:rFonts w:hint="eastAsia" w:eastAsia="仿宋_GB2312"/>
          <w:sz w:val="32"/>
          <w:szCs w:val="32"/>
          <w:lang w:eastAsia="zh-CN"/>
        </w:rPr>
        <w:t>、</w:t>
      </w:r>
      <w:r>
        <w:rPr>
          <w:rFonts w:hint="eastAsia" w:ascii="仿宋_GB2312" w:eastAsia="仿宋_GB2312"/>
          <w:color w:val="000000"/>
          <w:sz w:val="32"/>
          <w:szCs w:val="32"/>
        </w:rPr>
        <w:t>住房保障支出（类）住房改革支出（款）住房公积金（项）：指行政事业单位安装工资比例为职工缴纳的住房公积金。</w:t>
      </w:r>
    </w:p>
    <w:p w14:paraId="711E346E">
      <w:pPr>
        <w:spacing w:line="560" w:lineRule="exact"/>
        <w:ind w:firstLine="640" w:firstLineChars="200"/>
        <w:rPr>
          <w:rFonts w:eastAsia="仿宋_GB2312"/>
          <w:sz w:val="32"/>
          <w:szCs w:val="32"/>
        </w:rPr>
      </w:pPr>
      <w:r>
        <w:rPr>
          <w:rFonts w:hint="eastAsia" w:eastAsia="仿宋_GB2312"/>
          <w:sz w:val="32"/>
          <w:szCs w:val="32"/>
        </w:rPr>
        <w:t>15</w:t>
      </w:r>
      <w:r>
        <w:rPr>
          <w:rFonts w:eastAsia="仿宋_GB2312"/>
          <w:sz w:val="32"/>
          <w:szCs w:val="32"/>
        </w:rPr>
        <w:t>、基本支出：指为保障机构正常运转、完成日常工作任务而发生的人员支出和公用支出。</w:t>
      </w:r>
    </w:p>
    <w:p w14:paraId="2E9331D3">
      <w:pPr>
        <w:spacing w:line="560" w:lineRule="exact"/>
        <w:ind w:firstLine="640" w:firstLineChars="200"/>
        <w:rPr>
          <w:rFonts w:eastAsia="仿宋_GB2312"/>
          <w:sz w:val="32"/>
          <w:szCs w:val="32"/>
        </w:rPr>
      </w:pPr>
      <w:r>
        <w:rPr>
          <w:rFonts w:hint="eastAsia" w:eastAsia="仿宋_GB2312"/>
          <w:sz w:val="32"/>
          <w:szCs w:val="32"/>
        </w:rPr>
        <w:t>16</w:t>
      </w:r>
      <w:r>
        <w:rPr>
          <w:rFonts w:eastAsia="仿宋_GB2312"/>
          <w:sz w:val="32"/>
          <w:szCs w:val="32"/>
        </w:rPr>
        <w:t>、项目支出：指在基本支出之外为完成特定行政任务和事业发展目标所发生的支出。</w:t>
      </w:r>
    </w:p>
    <w:p w14:paraId="7089F8E5">
      <w:pPr>
        <w:spacing w:line="560" w:lineRule="exact"/>
        <w:ind w:firstLine="640" w:firstLineChars="200"/>
        <w:rPr>
          <w:rFonts w:eastAsia="仿宋_GB2312"/>
          <w:sz w:val="32"/>
          <w:szCs w:val="32"/>
        </w:rPr>
      </w:pPr>
      <w:r>
        <w:rPr>
          <w:rFonts w:hint="eastAsia" w:eastAsia="仿宋_GB2312"/>
          <w:sz w:val="32"/>
          <w:szCs w:val="32"/>
        </w:rPr>
        <w:t>17</w:t>
      </w:r>
      <w:r>
        <w:rPr>
          <w:rFonts w:eastAsia="仿宋_GB2312"/>
          <w:sz w:val="32"/>
          <w:szCs w:val="32"/>
        </w:rPr>
        <w:t>、经营支出：指事业单位在专业业务活动及其辅助活动之外开展非独立核算经营活动发生的支出。</w:t>
      </w:r>
    </w:p>
    <w:p w14:paraId="57E47B6B">
      <w:pPr>
        <w:spacing w:line="560" w:lineRule="exact"/>
        <w:ind w:firstLine="640" w:firstLineChars="200"/>
        <w:rPr>
          <w:rFonts w:eastAsia="仿宋_GB2312"/>
          <w:sz w:val="32"/>
          <w:szCs w:val="32"/>
        </w:rPr>
      </w:pPr>
      <w:r>
        <w:rPr>
          <w:rFonts w:hint="eastAsia" w:eastAsia="仿宋_GB2312"/>
          <w:sz w:val="32"/>
          <w:szCs w:val="32"/>
        </w:rPr>
        <w:t>18</w:t>
      </w:r>
      <w:r>
        <w:rPr>
          <w:rFonts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804CBD2">
      <w:pPr>
        <w:spacing w:line="560" w:lineRule="exact"/>
        <w:ind w:firstLine="640" w:firstLineChars="200"/>
        <w:rPr>
          <w:rFonts w:eastAsia="仿宋_GB2312"/>
          <w:sz w:val="32"/>
          <w:szCs w:val="32"/>
        </w:rPr>
      </w:pPr>
      <w:r>
        <w:rPr>
          <w:rFonts w:hint="eastAsia" w:eastAsia="仿宋_GB2312"/>
          <w:sz w:val="32"/>
          <w:szCs w:val="32"/>
        </w:rPr>
        <w:t>19</w:t>
      </w:r>
      <w:r>
        <w:rPr>
          <w:rFonts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eastAsia="仿宋_GB2312"/>
          <w:sz w:val="32"/>
          <w:szCs w:val="32"/>
        </w:rPr>
        <w:t>。</w:t>
      </w:r>
    </w:p>
    <w:p w14:paraId="540F1169">
      <w:pPr>
        <w:pStyle w:val="27"/>
        <w:spacing w:line="560" w:lineRule="exact"/>
        <w:ind w:firstLine="560" w:firstLineChars="200"/>
        <w:rPr>
          <w:rFonts w:hAnsi="仿宋"/>
          <w:color w:val="auto"/>
          <w:sz w:val="28"/>
          <w:szCs w:val="28"/>
        </w:rPr>
      </w:pPr>
    </w:p>
    <w:p w14:paraId="71D4DB1B">
      <w:pPr>
        <w:spacing w:line="600" w:lineRule="exact"/>
        <w:jc w:val="center"/>
        <w:outlineLvl w:val="0"/>
        <w:rPr>
          <w:rStyle w:val="35"/>
          <w:rFonts w:ascii="黑体" w:hAnsi="黑体" w:eastAsia="黑体"/>
          <w:b w:val="0"/>
        </w:rPr>
      </w:pPr>
      <w:bookmarkStart w:id="88" w:name="_Toc15377226"/>
      <w:r>
        <w:rPr>
          <w:rFonts w:hint="eastAsia" w:ascii="仿宋" w:hAnsi="仿宋" w:eastAsia="仿宋" w:cs="仿宋"/>
          <w:b/>
          <w:sz w:val="28"/>
          <w:szCs w:val="28"/>
        </w:rPr>
        <w:br w:type="page"/>
      </w:r>
      <w:bookmarkStart w:id="89" w:name="_Toc19486"/>
      <w:bookmarkStart w:id="90" w:name="_Toc24624"/>
      <w:bookmarkStart w:id="91" w:name="_Toc15396614"/>
      <w:r>
        <w:rPr>
          <w:rFonts w:hint="eastAsia" w:ascii="黑体" w:hAnsi="黑体" w:eastAsia="黑体" w:cs="黑体"/>
          <w:sz w:val="32"/>
          <w:szCs w:val="32"/>
        </w:rPr>
        <w:t>第四部分 附件</w:t>
      </w:r>
      <w:bookmarkEnd w:id="89"/>
      <w:bookmarkEnd w:id="90"/>
      <w:bookmarkEnd w:id="91"/>
    </w:p>
    <w:p w14:paraId="66E26A79">
      <w:pPr>
        <w:spacing w:line="600" w:lineRule="exact"/>
        <w:jc w:val="left"/>
        <w:rPr>
          <w:rFonts w:ascii="黑体" w:hAnsi="黑体" w:eastAsia="黑体" w:cs="黑体"/>
          <w:sz w:val="32"/>
          <w:szCs w:val="32"/>
        </w:rPr>
      </w:pPr>
      <w:bookmarkStart w:id="92" w:name="_Toc30849"/>
      <w:bookmarkStart w:id="93" w:name="_Toc14416"/>
      <w:bookmarkStart w:id="94" w:name="_Toc28430"/>
      <w:r>
        <w:rPr>
          <w:rFonts w:hint="eastAsia" w:ascii="黑体" w:hAnsi="黑体" w:eastAsia="黑体" w:cs="黑体"/>
          <w:sz w:val="32"/>
          <w:szCs w:val="32"/>
        </w:rPr>
        <w:t>附件</w:t>
      </w:r>
      <w:bookmarkEnd w:id="92"/>
      <w:bookmarkEnd w:id="93"/>
      <w:bookmarkEnd w:id="94"/>
      <w:r>
        <w:rPr>
          <w:rFonts w:hint="eastAsia" w:ascii="黑体" w:hAnsi="黑体" w:eastAsia="黑体" w:cs="黑体"/>
          <w:sz w:val="32"/>
          <w:szCs w:val="32"/>
        </w:rPr>
        <w:t>1</w:t>
      </w:r>
    </w:p>
    <w:p w14:paraId="3AEB48EB">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0"/>
        <w:rPr>
          <w:rFonts w:hint="eastAsia" w:ascii="方正小标宋_GBK" w:hAnsi="方正小标宋_GBK" w:eastAsia="方正小标宋_GBK" w:cs="方正小标宋_GBK"/>
          <w:b w:val="0"/>
          <w:bCs w:val="0"/>
          <w:kern w:val="0"/>
          <w:sz w:val="44"/>
          <w:szCs w:val="44"/>
        </w:rPr>
      </w:pPr>
      <w:bookmarkStart w:id="95" w:name="_Toc15396618"/>
      <w:bookmarkStart w:id="96" w:name="_Toc27025"/>
      <w:r>
        <w:rPr>
          <w:rFonts w:hint="eastAsia" w:ascii="方正小标宋_GBK" w:hAnsi="方正小标宋_GBK" w:eastAsia="方正小标宋_GBK" w:cs="方正小标宋_GBK"/>
          <w:b w:val="0"/>
          <w:bCs w:val="0"/>
          <w:kern w:val="0"/>
          <w:sz w:val="44"/>
          <w:szCs w:val="44"/>
        </w:rPr>
        <w:t>中共壤塘县委组织部</w:t>
      </w:r>
    </w:p>
    <w:p w14:paraId="7CBD1188">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0"/>
        <w:rPr>
          <w:rFonts w:hint="eastAsia" w:ascii="方正小标宋_GBK" w:hAnsi="方正小标宋_GBK" w:eastAsia="方正小标宋_GBK" w:cs="方正小标宋_GBK"/>
          <w:b w:val="0"/>
          <w:bCs w:val="0"/>
          <w:kern w:val="0"/>
          <w:sz w:val="44"/>
          <w:szCs w:val="44"/>
        </w:rPr>
      </w:pPr>
      <w:r>
        <w:rPr>
          <w:rFonts w:hint="eastAsia" w:ascii="方正小标宋_GBK" w:hAnsi="方正小标宋_GBK" w:eastAsia="方正小标宋_GBK" w:cs="方正小标宋_GBK"/>
          <w:b w:val="0"/>
          <w:bCs w:val="0"/>
          <w:kern w:val="0"/>
          <w:sz w:val="44"/>
          <w:szCs w:val="44"/>
          <w:lang w:eastAsia="zh-CN"/>
        </w:rPr>
        <w:t>202</w:t>
      </w:r>
      <w:r>
        <w:rPr>
          <w:rFonts w:hint="eastAsia" w:ascii="方正小标宋_GBK" w:hAnsi="方正小标宋_GBK" w:eastAsia="方正小标宋_GBK" w:cs="方正小标宋_GBK"/>
          <w:b w:val="0"/>
          <w:bCs w:val="0"/>
          <w:kern w:val="0"/>
          <w:sz w:val="44"/>
          <w:szCs w:val="44"/>
          <w:lang w:val="en-US" w:eastAsia="zh-CN"/>
        </w:rPr>
        <w:t>4</w:t>
      </w:r>
      <w:r>
        <w:rPr>
          <w:rFonts w:hint="eastAsia" w:ascii="方正小标宋_GBK" w:hAnsi="方正小标宋_GBK" w:eastAsia="方正小标宋_GBK" w:cs="方正小标宋_GBK"/>
          <w:b w:val="0"/>
          <w:bCs w:val="0"/>
          <w:kern w:val="0"/>
          <w:sz w:val="44"/>
          <w:szCs w:val="44"/>
          <w:lang w:eastAsia="zh-CN"/>
        </w:rPr>
        <w:t>年</w:t>
      </w:r>
      <w:r>
        <w:rPr>
          <w:rFonts w:hint="eastAsia" w:ascii="方正小标宋_GBK" w:hAnsi="方正小标宋_GBK" w:eastAsia="方正小标宋_GBK" w:cs="方正小标宋_GBK"/>
          <w:b w:val="0"/>
          <w:bCs w:val="0"/>
          <w:kern w:val="0"/>
          <w:sz w:val="44"/>
          <w:szCs w:val="44"/>
        </w:rPr>
        <w:t>度部门整体支出绩效评价自评报告</w:t>
      </w:r>
    </w:p>
    <w:p w14:paraId="22E38509">
      <w:pPr>
        <w:spacing w:line="360" w:lineRule="auto"/>
        <w:jc w:val="center"/>
        <w:rPr>
          <w:rFonts w:hint="default" w:ascii="Times New Roman" w:hAnsi="Times New Roman" w:cs="Times New Roman"/>
          <w:kern w:val="0"/>
          <w:szCs w:val="21"/>
        </w:rPr>
      </w:pPr>
    </w:p>
    <w:p w14:paraId="5A3A0BDF">
      <w:pPr>
        <w:keepNext w:val="0"/>
        <w:keepLines w:val="0"/>
        <w:pageBreakBefore w:val="0"/>
        <w:kinsoku/>
        <w:wordWrap/>
        <w:overflowPunct/>
        <w:topLinePunct w:val="0"/>
        <w:autoSpaceDE/>
        <w:autoSpaceDN/>
        <w:bidi w:val="0"/>
        <w:spacing w:line="560" w:lineRule="exact"/>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kern w:val="0"/>
          <w:sz w:val="32"/>
          <w:szCs w:val="32"/>
        </w:rPr>
        <w:t>一、部门（单位）概况</w:t>
      </w:r>
    </w:p>
    <w:p w14:paraId="10B5547D">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中共壤塘县</w:t>
      </w:r>
      <w:r>
        <w:rPr>
          <w:rFonts w:hint="eastAsia" w:ascii="Times New Roman" w:hAnsi="Times New Roman" w:eastAsia="仿宋_GB2312" w:cs="Times New Roman"/>
          <w:sz w:val="32"/>
          <w:szCs w:val="32"/>
          <w:lang w:eastAsia="zh-CN"/>
        </w:rPr>
        <w:t>委</w:t>
      </w:r>
      <w:r>
        <w:rPr>
          <w:rFonts w:hint="default" w:ascii="Times New Roman" w:hAnsi="Times New Roman" w:eastAsia="仿宋_GB2312" w:cs="Times New Roman"/>
          <w:sz w:val="32"/>
          <w:szCs w:val="32"/>
        </w:rPr>
        <w:t>组织部：行政，机构地址：四川省阿坝藏族羌族自治州壤塘县</w:t>
      </w:r>
      <w:r>
        <w:rPr>
          <w:rFonts w:hint="default" w:ascii="Times New Roman" w:hAnsi="Times New Roman" w:eastAsia="仿宋_GB2312" w:cs="Times New Roman"/>
          <w:sz w:val="32"/>
          <w:szCs w:val="32"/>
          <w:lang w:val="en-US" w:eastAsia="zh-CN"/>
        </w:rPr>
        <w:t>岗木达镇</w:t>
      </w:r>
      <w:r>
        <w:rPr>
          <w:rFonts w:hint="default" w:ascii="Times New Roman" w:hAnsi="Times New Roman" w:eastAsia="仿宋_GB2312" w:cs="Times New Roman"/>
          <w:sz w:val="32"/>
          <w:szCs w:val="32"/>
        </w:rPr>
        <w:t>罗吾塘</w:t>
      </w:r>
      <w:r>
        <w:rPr>
          <w:rFonts w:hint="eastAsia" w:ascii="Times New Roman" w:hAnsi="Times New Roman" w:eastAsia="仿宋_GB2312" w:cs="Times New Roman"/>
          <w:sz w:val="32"/>
          <w:szCs w:val="32"/>
          <w:lang w:eastAsia="zh-CN"/>
        </w:rPr>
        <w:t>中</w:t>
      </w:r>
      <w:r>
        <w:rPr>
          <w:rFonts w:hint="default" w:ascii="Times New Roman" w:hAnsi="Times New Roman" w:eastAsia="仿宋_GB2312" w:cs="Times New Roman"/>
          <w:sz w:val="32"/>
          <w:szCs w:val="32"/>
        </w:rPr>
        <w:t>街</w:t>
      </w:r>
      <w:r>
        <w:rPr>
          <w:rFonts w:hint="eastAsia" w:ascii="Times New Roman" w:hAnsi="Times New Roman" w:eastAsia="仿宋_GB2312" w:cs="Times New Roman"/>
          <w:sz w:val="32"/>
          <w:szCs w:val="32"/>
          <w:lang w:val="en-US" w:eastAsia="zh-CN"/>
        </w:rPr>
        <w:t>51</w:t>
      </w:r>
      <w:r>
        <w:rPr>
          <w:rFonts w:hint="default" w:ascii="Times New Roman" w:hAnsi="Times New Roman" w:eastAsia="仿宋_GB2312" w:cs="Times New Roman"/>
          <w:sz w:val="32"/>
          <w:szCs w:val="32"/>
        </w:rPr>
        <w:t>号，单位负责人：</w:t>
      </w:r>
      <w:r>
        <w:rPr>
          <w:rFonts w:hint="eastAsia" w:eastAsia="仿宋_GB2312" w:cs="Times New Roman"/>
          <w:color w:val="000000"/>
          <w:sz w:val="32"/>
          <w:szCs w:val="32"/>
          <w:lang w:eastAsia="zh-CN"/>
        </w:rPr>
        <w:t>吕勇</w:t>
      </w:r>
      <w:r>
        <w:rPr>
          <w:rFonts w:hint="default" w:ascii="Times New Roman" w:hAnsi="Times New Roman" w:eastAsia="仿宋_GB2312" w:cs="Times New Roman"/>
          <w:sz w:val="32"/>
          <w:szCs w:val="32"/>
        </w:rPr>
        <w:t>。</w:t>
      </w:r>
    </w:p>
    <w:p w14:paraId="55A108E5">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outlineLvl w:val="1"/>
        <w:rPr>
          <w:rFonts w:hint="default" w:ascii="Times New Roman" w:hAnsi="Times New Roman" w:eastAsia="楷体_GB2312" w:cs="Times New Roman"/>
          <w:b/>
          <w:bCs/>
          <w:color w:val="000000"/>
          <w:kern w:val="0"/>
          <w:sz w:val="32"/>
          <w:szCs w:val="32"/>
          <w:shd w:val="clear" w:color="auto" w:fill="FFFFFF"/>
        </w:rPr>
      </w:pPr>
      <w:r>
        <w:rPr>
          <w:rFonts w:hint="default" w:ascii="Times New Roman" w:hAnsi="Times New Roman" w:eastAsia="楷体_GB2312" w:cs="Times New Roman"/>
          <w:b/>
          <w:bCs/>
          <w:color w:val="000000"/>
          <w:kern w:val="0"/>
          <w:sz w:val="32"/>
          <w:szCs w:val="32"/>
          <w:shd w:val="clear" w:color="auto" w:fill="FFFFFF"/>
          <w:lang w:bidi="ar"/>
        </w:rPr>
        <w:t>（一）机构组成</w:t>
      </w:r>
    </w:p>
    <w:p w14:paraId="69DFA2DA">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中共壤塘县委员会组织部为中共壤塘县委工作部门，下设3个股室（办公室、组织科、</w:t>
      </w:r>
      <w:bookmarkStart w:id="139" w:name="_GoBack"/>
      <w:bookmarkEnd w:id="139"/>
      <w:r>
        <w:rPr>
          <w:rFonts w:hint="default" w:ascii="Times New Roman" w:hAnsi="Times New Roman" w:eastAsia="仿宋_GB2312" w:cs="Times New Roman"/>
          <w:sz w:val="32"/>
          <w:szCs w:val="32"/>
        </w:rPr>
        <w:t>干部科），所属事业单位4个（县委党员干部远程教育中心、壤塘县都江堰干休所、信息中心、干部档案管理中心）。</w:t>
      </w:r>
    </w:p>
    <w:p w14:paraId="2DA5F574">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outlineLvl w:val="1"/>
        <w:rPr>
          <w:rFonts w:hint="default" w:ascii="Times New Roman" w:hAnsi="Times New Roman" w:eastAsia="楷体_GB2312" w:cs="Times New Roman"/>
          <w:b/>
          <w:bCs/>
          <w:color w:val="000000"/>
          <w:kern w:val="0"/>
          <w:sz w:val="32"/>
          <w:szCs w:val="32"/>
          <w:shd w:val="clear" w:color="auto" w:fill="FFFFFF"/>
          <w:lang w:bidi="ar"/>
        </w:rPr>
      </w:pPr>
      <w:r>
        <w:rPr>
          <w:rFonts w:hint="default" w:ascii="Times New Roman" w:hAnsi="Times New Roman" w:eastAsia="楷体_GB2312" w:cs="Times New Roman"/>
          <w:b/>
          <w:bCs/>
          <w:color w:val="000000"/>
          <w:kern w:val="0"/>
          <w:sz w:val="32"/>
          <w:szCs w:val="32"/>
          <w:shd w:val="clear" w:color="auto" w:fill="FFFFFF"/>
          <w:lang w:bidi="ar"/>
        </w:rPr>
        <w:t>（二）机构职能</w:t>
      </w:r>
    </w:p>
    <w:p w14:paraId="2B7833DE">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Times New Roman" w:hAnsi="Times New Roman" w:eastAsia="仿宋" w:cs="Times New Roman"/>
          <w:bCs/>
          <w:sz w:val="32"/>
          <w:szCs w:val="32"/>
        </w:rPr>
      </w:pPr>
      <w:r>
        <w:rPr>
          <w:rFonts w:hint="default" w:ascii="Times New Roman" w:hAnsi="Times New Roman" w:eastAsia="仿宋" w:cs="Times New Roman"/>
          <w:bCs/>
          <w:sz w:val="32"/>
          <w:szCs w:val="32"/>
        </w:rPr>
        <w:t>1.认真贯彻执行党的路线、方针、政策和县委的指示、决议，按照新形势下党的建设组织工作的总体部署和目标任务，调查研究有关党建和干部人事工作方面的新情况、新问题，提出实施党的政治路线、组织路线和干部路线的具体措施，并认真贯彻落实。</w:t>
      </w:r>
    </w:p>
    <w:p w14:paraId="0EB54662">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Times New Roman" w:hAnsi="Times New Roman" w:eastAsia="仿宋" w:cs="Times New Roman"/>
          <w:bCs/>
          <w:sz w:val="32"/>
          <w:szCs w:val="32"/>
        </w:rPr>
      </w:pPr>
      <w:r>
        <w:rPr>
          <w:rFonts w:hint="default" w:ascii="Times New Roman" w:hAnsi="Times New Roman" w:eastAsia="仿宋" w:cs="Times New Roman"/>
          <w:bCs/>
          <w:sz w:val="32"/>
          <w:szCs w:val="32"/>
        </w:rPr>
        <w:t>2.督促指导全县基层党组织建设工作，特别是农村、机关、企业和新兴领域党的工作，认真贯彻执行党的基层组织工作条例，研究指导基层党组织的设置，党代会的召开，以及县属企事业单位的党建工作；检查督促乡（镇）党委、县级机关各部门党组织、县属企事业党支部贯彻民主集中制，坚持集体领导，健全党内政治生活和党员领导干部坚持过双重组织生活的情况，总结介绍经验，提出改进措施，并向县委作出报告；搞好党员管理和发展党员工作的指导，配合有关部门抓好党员教育和党风廉政建设。</w:t>
      </w:r>
    </w:p>
    <w:p w14:paraId="4EBCD0D0">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Times New Roman" w:hAnsi="Times New Roman" w:eastAsia="仿宋" w:cs="Times New Roman"/>
          <w:bCs/>
          <w:sz w:val="32"/>
          <w:szCs w:val="32"/>
        </w:rPr>
      </w:pPr>
      <w:r>
        <w:rPr>
          <w:rFonts w:hint="default" w:ascii="Times New Roman" w:hAnsi="Times New Roman" w:eastAsia="仿宋" w:cs="Times New Roman"/>
          <w:bCs/>
          <w:sz w:val="32"/>
          <w:szCs w:val="32"/>
        </w:rPr>
        <w:t>3.认真贯彻执行《党政领导干部选拔任用工作条例》以及党的干部路线和干部政策，坚持党管干部的原则，做好干部的年度、任期和日常考察，做好各级领导班子的人事安排、调整，配备好基层领导班子，按照德才兼备的标准积极培养选拔优秀年轻干部，搞好后备干部队伍建设。</w:t>
      </w:r>
    </w:p>
    <w:p w14:paraId="6A2344B6">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Times New Roman" w:hAnsi="Times New Roman" w:eastAsia="仿宋" w:cs="Times New Roman"/>
          <w:bCs/>
          <w:sz w:val="32"/>
          <w:szCs w:val="32"/>
        </w:rPr>
      </w:pPr>
      <w:r>
        <w:rPr>
          <w:rFonts w:hint="default" w:ascii="Times New Roman" w:hAnsi="Times New Roman" w:eastAsia="仿宋" w:cs="Times New Roman"/>
          <w:bCs/>
          <w:sz w:val="32"/>
          <w:szCs w:val="32"/>
        </w:rPr>
        <w:t>4.有计划、有步骤地开展全县干部培训，做好全县干部培训的指导和综合协调工作，积极完成上级分配的干部培训、调训任务，积极推荐州拔尖人才，管理县管拔尖人才，督促、指导和做好知识分子工作。</w:t>
      </w:r>
    </w:p>
    <w:p w14:paraId="3985052B">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Times New Roman" w:hAnsi="Times New Roman" w:eastAsia="仿宋" w:cs="Times New Roman"/>
          <w:bCs/>
          <w:sz w:val="32"/>
          <w:szCs w:val="32"/>
        </w:rPr>
      </w:pPr>
      <w:r>
        <w:rPr>
          <w:rFonts w:hint="default" w:ascii="Times New Roman" w:hAnsi="Times New Roman" w:eastAsia="仿宋" w:cs="Times New Roman"/>
          <w:bCs/>
          <w:sz w:val="32"/>
          <w:szCs w:val="32"/>
        </w:rPr>
        <w:t>5.积极探索和推进党的建设，干部人事制度改革，加强组织人事工作的宏观管理。</w:t>
      </w:r>
    </w:p>
    <w:p w14:paraId="4FA38E49">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Times New Roman" w:hAnsi="Times New Roman" w:eastAsia="仿宋" w:cs="Times New Roman"/>
          <w:bCs/>
          <w:sz w:val="32"/>
          <w:szCs w:val="32"/>
        </w:rPr>
      </w:pPr>
      <w:r>
        <w:rPr>
          <w:rFonts w:hint="default" w:ascii="Times New Roman" w:hAnsi="Times New Roman" w:eastAsia="仿宋" w:cs="Times New Roman"/>
          <w:bCs/>
          <w:sz w:val="32"/>
          <w:szCs w:val="32"/>
        </w:rPr>
        <w:t>6.加强对老干部工作的领导、督促和指导协调，认真做好老干部工作，发挥“五老”在关心下一代的优势作用。</w:t>
      </w:r>
    </w:p>
    <w:p w14:paraId="40335A45">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Times New Roman" w:hAnsi="Times New Roman" w:eastAsia="仿宋" w:cs="Times New Roman"/>
          <w:bCs/>
          <w:sz w:val="32"/>
          <w:szCs w:val="32"/>
        </w:rPr>
      </w:pPr>
      <w:r>
        <w:rPr>
          <w:rFonts w:hint="default" w:ascii="Times New Roman" w:hAnsi="Times New Roman" w:eastAsia="仿宋" w:cs="Times New Roman"/>
          <w:bCs/>
          <w:sz w:val="32"/>
          <w:szCs w:val="32"/>
        </w:rPr>
        <w:t>7.负责全县党员和党组织的统计，党费的收缴、管理、使用；负责全县干部统计，管好干部档案和本部的文书档案。</w:t>
      </w:r>
    </w:p>
    <w:p w14:paraId="2B848250">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Times New Roman" w:hAnsi="Times New Roman" w:eastAsia="仿宋" w:cs="Times New Roman"/>
          <w:bCs/>
          <w:sz w:val="32"/>
          <w:szCs w:val="32"/>
        </w:rPr>
      </w:pPr>
      <w:r>
        <w:rPr>
          <w:rFonts w:hint="default" w:ascii="Times New Roman" w:hAnsi="Times New Roman" w:eastAsia="仿宋" w:cs="Times New Roman"/>
          <w:bCs/>
          <w:sz w:val="32"/>
          <w:szCs w:val="32"/>
        </w:rPr>
        <w:t>8.做好党员、干部、群众来信来访的接待工作，做好接转党组织关系、外调介绍信的有关工作。</w:t>
      </w:r>
    </w:p>
    <w:p w14:paraId="3DBBF1F5">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Times New Roman" w:hAnsi="Times New Roman" w:eastAsia="仿宋" w:cs="Times New Roman"/>
          <w:bCs/>
          <w:sz w:val="32"/>
          <w:szCs w:val="32"/>
        </w:rPr>
      </w:pPr>
      <w:r>
        <w:rPr>
          <w:rFonts w:hint="default" w:ascii="Times New Roman" w:hAnsi="Times New Roman" w:eastAsia="仿宋" w:cs="Times New Roman"/>
          <w:bCs/>
          <w:sz w:val="32"/>
          <w:szCs w:val="32"/>
        </w:rPr>
        <w:t>9.搞好本部的思想、作风、组织和业务建设；认真贯彻执行党的组织路线和干部政策。</w:t>
      </w:r>
    </w:p>
    <w:p w14:paraId="39DE51EC">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Times New Roman" w:hAnsi="Times New Roman" w:eastAsia="仿宋" w:cs="Times New Roman"/>
          <w:bCs/>
          <w:sz w:val="32"/>
          <w:szCs w:val="32"/>
        </w:rPr>
      </w:pPr>
      <w:r>
        <w:rPr>
          <w:rFonts w:hint="default" w:ascii="Times New Roman" w:hAnsi="Times New Roman" w:eastAsia="仿宋" w:cs="Times New Roman"/>
          <w:bCs/>
          <w:sz w:val="32"/>
          <w:szCs w:val="32"/>
        </w:rPr>
        <w:t>10.负责全县干部工作监督职责。</w:t>
      </w:r>
    </w:p>
    <w:p w14:paraId="4077AD9F">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Times New Roman" w:hAnsi="Times New Roman" w:eastAsia="仿宋" w:cs="Times New Roman"/>
          <w:bCs/>
          <w:sz w:val="32"/>
          <w:szCs w:val="32"/>
        </w:rPr>
      </w:pPr>
      <w:r>
        <w:rPr>
          <w:rFonts w:hint="default" w:ascii="Times New Roman" w:hAnsi="Times New Roman" w:eastAsia="仿宋" w:cs="Times New Roman"/>
          <w:bCs/>
          <w:sz w:val="32"/>
          <w:szCs w:val="32"/>
        </w:rPr>
        <w:t>11.完成州委组织部及县委交办的其他任务。</w:t>
      </w:r>
    </w:p>
    <w:p w14:paraId="59A55999">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outlineLvl w:val="1"/>
        <w:rPr>
          <w:rFonts w:hint="default" w:ascii="Times New Roman" w:hAnsi="Times New Roman" w:eastAsia="楷体_GB2312" w:cs="Times New Roman"/>
          <w:b/>
          <w:bCs/>
          <w:color w:val="000000"/>
          <w:kern w:val="0"/>
          <w:sz w:val="32"/>
          <w:szCs w:val="32"/>
          <w:shd w:val="clear" w:color="auto" w:fill="FFFFFF"/>
          <w:lang w:bidi="ar"/>
        </w:rPr>
      </w:pPr>
      <w:r>
        <w:rPr>
          <w:rFonts w:hint="default" w:ascii="Times New Roman" w:hAnsi="Times New Roman" w:eastAsia="楷体_GB2312" w:cs="Times New Roman"/>
          <w:b/>
          <w:bCs/>
          <w:color w:val="000000"/>
          <w:kern w:val="0"/>
          <w:sz w:val="32"/>
          <w:szCs w:val="32"/>
          <w:shd w:val="clear" w:color="auto" w:fill="FFFFFF"/>
          <w:lang w:bidi="ar"/>
        </w:rPr>
        <w:t>（三）人员概况</w:t>
      </w:r>
    </w:p>
    <w:p w14:paraId="33B9A6AB">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kern w:val="0"/>
          <w:sz w:val="32"/>
          <w:szCs w:val="32"/>
        </w:rPr>
        <w:t>中共壤塘县委员会组织部，</w:t>
      </w:r>
      <w:r>
        <w:rPr>
          <w:rFonts w:hint="eastAsia" w:ascii="Times New Roman" w:hAnsi="Times New Roman" w:eastAsia="仿宋_GB2312" w:cs="Times New Roman"/>
          <w:color w:val="auto"/>
          <w:kern w:val="0"/>
          <w:sz w:val="32"/>
          <w:szCs w:val="32"/>
          <w:lang w:val="en-US" w:eastAsia="zh-CN"/>
        </w:rPr>
        <w:t>2024年12月31日在职人数29人</w:t>
      </w:r>
      <w:r>
        <w:rPr>
          <w:rFonts w:hint="default" w:ascii="Times New Roman" w:hAnsi="Times New Roman" w:eastAsia="仿宋_GB2312" w:cs="Times New Roman"/>
          <w:color w:val="auto"/>
          <w:kern w:val="0"/>
          <w:sz w:val="32"/>
          <w:szCs w:val="32"/>
        </w:rPr>
        <w:t>，其中：行政编制1</w:t>
      </w:r>
      <w:r>
        <w:rPr>
          <w:rFonts w:hint="eastAsia" w:ascii="Times New Roman" w:hAnsi="Times New Roman" w:eastAsia="仿宋_GB2312" w:cs="Times New Roman"/>
          <w:color w:val="auto"/>
          <w:kern w:val="0"/>
          <w:sz w:val="32"/>
          <w:szCs w:val="32"/>
          <w:lang w:val="en-US" w:eastAsia="zh-CN"/>
        </w:rPr>
        <w:t>2</w:t>
      </w:r>
      <w:r>
        <w:rPr>
          <w:rFonts w:hint="default" w:ascii="Times New Roman" w:hAnsi="Times New Roman" w:eastAsia="仿宋_GB2312" w:cs="Times New Roman"/>
          <w:color w:val="auto"/>
          <w:kern w:val="0"/>
          <w:sz w:val="32"/>
          <w:szCs w:val="32"/>
        </w:rPr>
        <w:t>人、行政工勤2人、参</w:t>
      </w:r>
      <w:r>
        <w:rPr>
          <w:rFonts w:hint="default" w:ascii="Times New Roman" w:hAnsi="Times New Roman" w:eastAsia="仿宋_GB2312" w:cs="Times New Roman"/>
          <w:color w:val="auto"/>
          <w:kern w:val="0"/>
          <w:sz w:val="32"/>
          <w:szCs w:val="32"/>
          <w:lang w:eastAsia="zh-CN"/>
        </w:rPr>
        <w:t>照</w:t>
      </w:r>
      <w:r>
        <w:rPr>
          <w:rFonts w:hint="default" w:ascii="Times New Roman" w:hAnsi="Times New Roman" w:eastAsia="仿宋_GB2312" w:cs="Times New Roman"/>
          <w:color w:val="auto"/>
          <w:kern w:val="0"/>
          <w:sz w:val="32"/>
          <w:szCs w:val="32"/>
        </w:rPr>
        <w:t>公务员法管理事业人员</w:t>
      </w:r>
      <w:r>
        <w:rPr>
          <w:rFonts w:hint="eastAsia" w:ascii="Times New Roman" w:hAnsi="Times New Roman" w:eastAsia="仿宋_GB2312" w:cs="Times New Roman"/>
          <w:color w:val="auto"/>
          <w:kern w:val="0"/>
          <w:sz w:val="32"/>
          <w:szCs w:val="32"/>
          <w:lang w:val="en-US" w:eastAsia="zh-CN"/>
        </w:rPr>
        <w:t>11</w:t>
      </w:r>
      <w:r>
        <w:rPr>
          <w:rFonts w:hint="default" w:ascii="Times New Roman" w:hAnsi="Times New Roman" w:eastAsia="仿宋_GB2312" w:cs="Times New Roman"/>
          <w:color w:val="auto"/>
          <w:kern w:val="0"/>
          <w:sz w:val="32"/>
          <w:szCs w:val="32"/>
        </w:rPr>
        <w:t>人、事业管理人员4人。</w:t>
      </w:r>
    </w:p>
    <w:p w14:paraId="28E0E447">
      <w:pPr>
        <w:keepNext w:val="0"/>
        <w:keepLines w:val="0"/>
        <w:pageBreakBefore w:val="0"/>
        <w:widowControl/>
        <w:kinsoku/>
        <w:wordWrap/>
        <w:overflowPunct/>
        <w:topLinePunct w:val="0"/>
        <w:autoSpaceDE/>
        <w:autoSpaceDN/>
        <w:bidi w:val="0"/>
        <w:adjustRightInd w:val="0"/>
        <w:snapToGrid w:val="0"/>
        <w:spacing w:line="560" w:lineRule="exact"/>
        <w:contextualSpacing/>
        <w:jc w:val="left"/>
        <w:textAlignment w:val="auto"/>
        <w:rPr>
          <w:rFonts w:hint="default" w:ascii="Times New Roman" w:hAnsi="Times New Roman" w:eastAsia="黑体" w:cs="Times New Roman"/>
          <w:color w:val="000000"/>
          <w:kern w:val="0"/>
          <w:sz w:val="32"/>
          <w:szCs w:val="32"/>
          <w:shd w:val="clear" w:color="auto" w:fill="FFFFFF"/>
          <w:lang w:bidi="ar"/>
        </w:rPr>
      </w:pPr>
      <w:r>
        <w:rPr>
          <w:rFonts w:hint="default" w:ascii="Times New Roman" w:hAnsi="Times New Roman" w:eastAsia="黑体" w:cs="Times New Roman"/>
          <w:color w:val="000000"/>
          <w:kern w:val="0"/>
          <w:sz w:val="32"/>
          <w:szCs w:val="32"/>
          <w:shd w:val="clear" w:color="auto" w:fill="FFFFFF"/>
          <w:lang w:bidi="ar"/>
        </w:rPr>
        <w:t>二、部门财政资金收支情况</w:t>
      </w:r>
    </w:p>
    <w:p w14:paraId="29F782ED">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outlineLvl w:val="1"/>
        <w:rPr>
          <w:rFonts w:hint="default" w:ascii="Times New Roman" w:hAnsi="Times New Roman" w:eastAsia="楷体_GB2312" w:cs="Times New Roman"/>
          <w:b/>
          <w:bCs/>
          <w:color w:val="000000"/>
          <w:kern w:val="0"/>
          <w:sz w:val="32"/>
          <w:szCs w:val="32"/>
          <w:shd w:val="clear" w:color="auto" w:fill="FFFFFF"/>
          <w:lang w:bidi="ar"/>
        </w:rPr>
      </w:pPr>
      <w:r>
        <w:rPr>
          <w:rFonts w:hint="default" w:ascii="Times New Roman" w:hAnsi="Times New Roman" w:eastAsia="楷体_GB2312" w:cs="Times New Roman"/>
          <w:b/>
          <w:bCs/>
          <w:color w:val="000000"/>
          <w:kern w:val="0"/>
          <w:sz w:val="32"/>
          <w:szCs w:val="32"/>
          <w:shd w:val="clear" w:color="auto" w:fill="FFFFFF"/>
          <w:lang w:bidi="ar"/>
        </w:rPr>
        <w:t>（一）部门财政资金收入情况</w:t>
      </w:r>
    </w:p>
    <w:p w14:paraId="3D9BB65C">
      <w:pPr>
        <w:pStyle w:val="50"/>
        <w:keepNext w:val="0"/>
        <w:keepLines w:val="0"/>
        <w:pageBreakBefore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2024</w:t>
      </w:r>
      <w:r>
        <w:rPr>
          <w:rFonts w:hint="default" w:ascii="Times New Roman" w:hAnsi="Times New Roman" w:eastAsia="仿宋_GB2312" w:cs="Times New Roman"/>
          <w:sz w:val="32"/>
          <w:szCs w:val="32"/>
          <w:lang w:eastAsia="zh-CN"/>
        </w:rPr>
        <w:t>年</w:t>
      </w:r>
      <w:r>
        <w:rPr>
          <w:rFonts w:hint="default" w:ascii="Times New Roman" w:hAnsi="Times New Roman" w:eastAsia="仿宋_GB2312" w:cs="Times New Roman"/>
          <w:sz w:val="32"/>
          <w:szCs w:val="32"/>
        </w:rPr>
        <w:t>财政下达壤塘县委员会组织部年初预算收入</w:t>
      </w:r>
      <w:r>
        <w:rPr>
          <w:rFonts w:hint="eastAsia" w:ascii="Times New Roman" w:hAnsi="Times New Roman" w:eastAsia="仿宋_GB2312" w:cs="Times New Roman"/>
          <w:sz w:val="32"/>
          <w:szCs w:val="32"/>
          <w:lang w:val="en-US" w:eastAsia="zh-CN"/>
        </w:rPr>
        <w:t>927.49</w:t>
      </w:r>
      <w:r>
        <w:rPr>
          <w:rFonts w:hint="default" w:ascii="Times New Roman" w:hAnsi="Times New Roman" w:eastAsia="仿宋_GB2312" w:cs="Times New Roman"/>
          <w:sz w:val="32"/>
          <w:szCs w:val="32"/>
        </w:rPr>
        <w:t>万元，执行期中追加收入</w:t>
      </w:r>
      <w:r>
        <w:rPr>
          <w:rFonts w:hint="eastAsia" w:ascii="Times New Roman" w:hAnsi="Times New Roman" w:eastAsia="仿宋_GB2312" w:cs="Times New Roman"/>
          <w:sz w:val="32"/>
          <w:szCs w:val="32"/>
          <w:lang w:val="en-US" w:eastAsia="zh-CN"/>
        </w:rPr>
        <w:t>962.98</w:t>
      </w:r>
      <w:r>
        <w:rPr>
          <w:rFonts w:hint="default" w:ascii="Times New Roman" w:hAnsi="Times New Roman" w:eastAsia="仿宋_GB2312" w:cs="Times New Roman"/>
          <w:sz w:val="32"/>
          <w:szCs w:val="32"/>
        </w:rPr>
        <w:t>万元，本年度收入合计</w:t>
      </w:r>
      <w:r>
        <w:rPr>
          <w:rFonts w:hint="eastAsia" w:ascii="Times New Roman" w:hAnsi="Times New Roman" w:eastAsia="仿宋_GB2312" w:cs="Times New Roman"/>
          <w:sz w:val="32"/>
          <w:szCs w:val="32"/>
          <w:lang w:val="en-US" w:eastAsia="zh-CN"/>
        </w:rPr>
        <w:t>1890.47</w:t>
      </w:r>
      <w:r>
        <w:rPr>
          <w:rFonts w:hint="default" w:ascii="Times New Roman" w:hAnsi="Times New Roman" w:eastAsia="仿宋_GB2312" w:cs="Times New Roman"/>
          <w:sz w:val="32"/>
          <w:szCs w:val="32"/>
        </w:rPr>
        <w:t xml:space="preserve">万。   </w:t>
      </w:r>
    </w:p>
    <w:p w14:paraId="1DD89C0E">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outlineLvl w:val="1"/>
        <w:rPr>
          <w:rFonts w:hint="default" w:ascii="Times New Roman" w:hAnsi="Times New Roman" w:eastAsia="楷体_GB2312" w:cs="Times New Roman"/>
          <w:b/>
          <w:bCs/>
          <w:color w:val="000000"/>
          <w:kern w:val="0"/>
          <w:sz w:val="32"/>
          <w:szCs w:val="32"/>
          <w:shd w:val="clear" w:color="auto" w:fill="FFFFFF"/>
          <w:lang w:bidi="ar"/>
        </w:rPr>
      </w:pPr>
      <w:r>
        <w:rPr>
          <w:rFonts w:hint="default" w:ascii="Times New Roman" w:hAnsi="Times New Roman" w:eastAsia="楷体_GB2312" w:cs="Times New Roman"/>
          <w:b/>
          <w:bCs/>
          <w:color w:val="000000"/>
          <w:kern w:val="0"/>
          <w:sz w:val="32"/>
          <w:szCs w:val="32"/>
          <w:shd w:val="clear" w:color="auto" w:fill="FFFFFF"/>
          <w:lang w:bidi="ar"/>
        </w:rPr>
        <w:t>（二）部门财政资金支出情况</w:t>
      </w:r>
    </w:p>
    <w:p w14:paraId="50585217">
      <w:pPr>
        <w:pStyle w:val="50"/>
        <w:keepNext w:val="0"/>
        <w:keepLines w:val="0"/>
        <w:pageBreakBefore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2024</w:t>
      </w:r>
      <w:r>
        <w:rPr>
          <w:rFonts w:hint="default" w:ascii="Times New Roman" w:hAnsi="Times New Roman" w:eastAsia="仿宋_GB2312" w:cs="Times New Roman"/>
          <w:sz w:val="32"/>
          <w:szCs w:val="32"/>
          <w:lang w:eastAsia="zh-CN"/>
        </w:rPr>
        <w:t>年</w:t>
      </w:r>
      <w:r>
        <w:rPr>
          <w:rFonts w:hint="default" w:ascii="Times New Roman" w:hAnsi="Times New Roman" w:eastAsia="仿宋_GB2312" w:cs="Times New Roman"/>
          <w:sz w:val="32"/>
          <w:szCs w:val="32"/>
        </w:rPr>
        <w:t>壤塘县委员会组织部共计预算支出</w:t>
      </w:r>
      <w:r>
        <w:rPr>
          <w:rFonts w:hint="eastAsia" w:ascii="Times New Roman" w:hAnsi="Times New Roman" w:eastAsia="仿宋_GB2312" w:cs="Times New Roman"/>
          <w:sz w:val="32"/>
          <w:szCs w:val="32"/>
          <w:lang w:val="en-US" w:eastAsia="zh-CN"/>
        </w:rPr>
        <w:t>1875.46</w:t>
      </w:r>
      <w:r>
        <w:rPr>
          <w:rFonts w:hint="default" w:ascii="Times New Roman" w:hAnsi="Times New Roman" w:eastAsia="仿宋_GB2312" w:cs="Times New Roman"/>
          <w:sz w:val="32"/>
          <w:szCs w:val="32"/>
        </w:rPr>
        <w:t>万元，基本支出</w:t>
      </w:r>
      <w:r>
        <w:rPr>
          <w:rFonts w:hint="eastAsia" w:ascii="Times New Roman" w:hAnsi="Times New Roman" w:eastAsia="仿宋_GB2312" w:cs="Times New Roman"/>
          <w:sz w:val="32"/>
          <w:szCs w:val="32"/>
          <w:lang w:val="en-US" w:eastAsia="zh-CN"/>
        </w:rPr>
        <w:t>798.45</w:t>
      </w:r>
      <w:r>
        <w:rPr>
          <w:rFonts w:hint="default"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1077.02</w:t>
      </w:r>
      <w:r>
        <w:rPr>
          <w:rFonts w:hint="default" w:ascii="Times New Roman" w:hAnsi="Times New Roman" w:eastAsia="仿宋_GB2312" w:cs="Times New Roman"/>
          <w:sz w:val="32"/>
          <w:szCs w:val="32"/>
        </w:rPr>
        <w:t>万元。</w:t>
      </w:r>
    </w:p>
    <w:p w14:paraId="3036C11A">
      <w:pPr>
        <w:keepNext w:val="0"/>
        <w:keepLines w:val="0"/>
        <w:pageBreakBefore w:val="0"/>
        <w:widowControl/>
        <w:kinsoku/>
        <w:wordWrap/>
        <w:overflowPunct/>
        <w:topLinePunct w:val="0"/>
        <w:autoSpaceDE/>
        <w:autoSpaceDN/>
        <w:bidi w:val="0"/>
        <w:adjustRightInd w:val="0"/>
        <w:snapToGrid w:val="0"/>
        <w:spacing w:line="560" w:lineRule="exact"/>
        <w:contextualSpacing/>
        <w:jc w:val="left"/>
        <w:textAlignment w:val="auto"/>
        <w:rPr>
          <w:rFonts w:hint="default" w:ascii="Times New Roman" w:hAnsi="Times New Roman" w:eastAsia="黑体" w:cs="Times New Roman"/>
          <w:color w:val="000000"/>
          <w:kern w:val="0"/>
          <w:sz w:val="32"/>
          <w:szCs w:val="32"/>
          <w:shd w:val="clear" w:color="auto" w:fill="FFFFFF"/>
        </w:rPr>
      </w:pPr>
      <w:r>
        <w:rPr>
          <w:rFonts w:hint="default" w:ascii="Times New Roman" w:hAnsi="Times New Roman" w:eastAsia="黑体" w:cs="Times New Roman"/>
          <w:color w:val="000000"/>
          <w:kern w:val="0"/>
          <w:sz w:val="32"/>
          <w:szCs w:val="32"/>
          <w:shd w:val="clear" w:color="auto" w:fill="FFFFFF"/>
          <w:lang w:bidi="ar"/>
        </w:rPr>
        <w:t>三、部门整体预算绩效管理情况</w:t>
      </w:r>
    </w:p>
    <w:p w14:paraId="68682F8C">
      <w:pPr>
        <w:pStyle w:val="10"/>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textAlignment w:val="auto"/>
        <w:rPr>
          <w:rFonts w:hint="default" w:ascii="Times New Roman" w:hAnsi="Times New Roman" w:eastAsia="楷体_GB2312" w:cs="Times New Roman"/>
          <w:b/>
          <w:bCs/>
          <w:color w:val="000000"/>
          <w:kern w:val="0"/>
          <w:sz w:val="32"/>
          <w:szCs w:val="32"/>
          <w:shd w:val="clear" w:color="auto" w:fill="FFFFFF"/>
          <w:lang w:val="en-US" w:eastAsia="zh-CN" w:bidi="ar"/>
        </w:rPr>
      </w:pPr>
      <w:r>
        <w:rPr>
          <w:rFonts w:hint="default" w:ascii="Times New Roman" w:hAnsi="Times New Roman" w:eastAsia="楷体_GB2312" w:cs="Times New Roman"/>
          <w:b/>
          <w:bCs/>
          <w:color w:val="000000"/>
          <w:kern w:val="0"/>
          <w:sz w:val="32"/>
          <w:szCs w:val="32"/>
          <w:shd w:val="clear" w:color="auto" w:fill="FFFFFF"/>
          <w:lang w:val="en-US" w:eastAsia="zh-CN" w:bidi="ar"/>
        </w:rPr>
        <w:t>（一）部门预算管理</w:t>
      </w:r>
    </w:p>
    <w:p w14:paraId="7DA5F305">
      <w:pPr>
        <w:pStyle w:val="10"/>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textAlignment w:val="auto"/>
        <w:rPr>
          <w:rFonts w:hint="default" w:ascii="Times New Roman" w:hAnsi="Times New Roman" w:eastAsia="仿宋_GB2312" w:cs="Times New Roman"/>
          <w:b/>
          <w:bCs/>
          <w:kern w:val="2"/>
          <w:sz w:val="32"/>
          <w:szCs w:val="32"/>
          <w:lang w:val="en-US" w:eastAsia="zh-CN" w:bidi="ar-SA"/>
        </w:rPr>
      </w:pPr>
      <w:r>
        <w:rPr>
          <w:rFonts w:hint="default" w:ascii="Times New Roman" w:hAnsi="Times New Roman" w:eastAsia="仿宋_GB2312" w:cs="Times New Roman"/>
          <w:b/>
          <w:bCs/>
          <w:kern w:val="2"/>
          <w:sz w:val="32"/>
          <w:szCs w:val="32"/>
          <w:lang w:val="en-US" w:eastAsia="zh-CN" w:bidi="ar-SA"/>
        </w:rPr>
        <w:t>1、部门绩效目标制定情况</w:t>
      </w:r>
    </w:p>
    <w:p w14:paraId="66A0B4E4">
      <w:pPr>
        <w:keepNext w:val="0"/>
        <w:keepLines w:val="0"/>
        <w:pageBreakBefore w:val="0"/>
        <w:widowControl w:val="0"/>
        <w:suppressAutoHyphens/>
        <w:kinsoku/>
        <w:wordWrap/>
        <w:overflowPunct/>
        <w:topLinePunct w:val="0"/>
        <w:autoSpaceDE/>
        <w:autoSpaceDN/>
        <w:bidi w:val="0"/>
        <w:adjustRightInd/>
        <w:snapToGrid/>
        <w:spacing w:line="560" w:lineRule="exact"/>
        <w:ind w:left="0" w:firstLine="643"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b/>
          <w:bCs/>
          <w:kern w:val="2"/>
          <w:sz w:val="32"/>
          <w:szCs w:val="32"/>
          <w:lang w:val="en-US" w:eastAsia="zh-CN" w:bidi="ar-SA"/>
        </w:rPr>
        <w:t>一是</w:t>
      </w:r>
      <w:r>
        <w:rPr>
          <w:rFonts w:hint="default" w:ascii="Times New Roman" w:hAnsi="Times New Roman" w:eastAsia="仿宋_GB2312" w:cs="Times New Roman"/>
          <w:kern w:val="2"/>
          <w:sz w:val="32"/>
          <w:szCs w:val="32"/>
          <w:lang w:val="en-US" w:eastAsia="zh-CN" w:bidi="ar-SA"/>
        </w:rPr>
        <w:t>持续深化治理效能。构建“党建+自治、德治、法治”三治融合的乡村治理体系。探索形成了“1+3+N”干部联系服务群众新机制，实化“两联一进”群众工作。</w:t>
      </w:r>
      <w:r>
        <w:rPr>
          <w:rFonts w:hint="default" w:ascii="Times New Roman" w:hAnsi="Times New Roman" w:eastAsia="仿宋_GB2312" w:cs="Times New Roman"/>
          <w:b/>
          <w:bCs/>
          <w:kern w:val="2"/>
          <w:sz w:val="32"/>
          <w:szCs w:val="32"/>
          <w:lang w:val="en-US" w:eastAsia="zh-CN" w:bidi="ar-SA"/>
        </w:rPr>
        <w:t>二是</w:t>
      </w:r>
      <w:r>
        <w:rPr>
          <w:rFonts w:hint="default" w:ascii="Times New Roman" w:hAnsi="Times New Roman" w:eastAsia="仿宋_GB2312" w:cs="Times New Roman"/>
          <w:kern w:val="2"/>
          <w:sz w:val="32"/>
          <w:szCs w:val="32"/>
          <w:lang w:val="en-US" w:eastAsia="zh-CN" w:bidi="ar-SA"/>
        </w:rPr>
        <w:t>持续深化党建引领社区治理。构建“社区大党委—网格党小组—楼栋长—党员户”四级组织架构，完善网格运行机制。</w:t>
      </w:r>
      <w:r>
        <w:rPr>
          <w:rFonts w:hint="default" w:ascii="Times New Roman" w:hAnsi="Times New Roman" w:eastAsia="仿宋_GB2312" w:cs="Times New Roman"/>
          <w:b/>
          <w:bCs/>
          <w:kern w:val="2"/>
          <w:sz w:val="32"/>
          <w:szCs w:val="32"/>
          <w:lang w:val="en-US" w:eastAsia="zh-CN" w:bidi="ar-SA"/>
        </w:rPr>
        <w:t>三是</w:t>
      </w:r>
      <w:r>
        <w:rPr>
          <w:rFonts w:hint="default" w:ascii="Times New Roman" w:hAnsi="Times New Roman" w:eastAsia="仿宋_GB2312" w:cs="Times New Roman"/>
          <w:kern w:val="2"/>
          <w:sz w:val="32"/>
          <w:szCs w:val="32"/>
          <w:lang w:val="en-US" w:eastAsia="zh-CN" w:bidi="ar-SA"/>
        </w:rPr>
        <w:t>持续深化党建引领乡村振兴。实现县乡村“三级书记抓振兴”。</w:t>
      </w:r>
    </w:p>
    <w:p w14:paraId="0AA89BB3">
      <w:pPr>
        <w:pStyle w:val="10"/>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textAlignment w:val="auto"/>
        <w:rPr>
          <w:rFonts w:hint="default" w:ascii="Times New Roman" w:hAnsi="Times New Roman" w:eastAsia="仿宋_GB2312" w:cs="Times New Roman"/>
          <w:b/>
          <w:bCs/>
          <w:color w:val="000000"/>
          <w:kern w:val="0"/>
          <w:sz w:val="32"/>
          <w:szCs w:val="32"/>
          <w:shd w:val="clear" w:color="auto" w:fill="FFFFFF"/>
          <w:lang w:val="en-US" w:eastAsia="zh-CN" w:bidi="ar"/>
        </w:rPr>
      </w:pPr>
      <w:r>
        <w:rPr>
          <w:rFonts w:hint="default" w:ascii="Times New Roman" w:hAnsi="Times New Roman" w:eastAsia="仿宋_GB2312" w:cs="Times New Roman"/>
          <w:b/>
          <w:bCs/>
          <w:color w:val="000000"/>
          <w:kern w:val="0"/>
          <w:sz w:val="32"/>
          <w:szCs w:val="32"/>
          <w:shd w:val="clear" w:color="auto" w:fill="FFFFFF"/>
          <w:lang w:val="en-US" w:eastAsia="zh-CN" w:bidi="ar"/>
        </w:rPr>
        <w:t>2、目标完成情况</w:t>
      </w:r>
    </w:p>
    <w:p w14:paraId="6A947C74">
      <w:pPr>
        <w:pStyle w:val="10"/>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textAlignment w:val="auto"/>
        <w:rPr>
          <w:rFonts w:hint="default" w:ascii="Times New Roman" w:hAnsi="Times New Roman" w:eastAsia="仿宋_GB2312" w:cs="Times New Roman"/>
          <w:color w:val="000000"/>
          <w:kern w:val="0"/>
          <w:sz w:val="32"/>
          <w:szCs w:val="32"/>
          <w:shd w:val="clear" w:color="auto" w:fill="FFFFFF"/>
          <w:lang w:val="en-US" w:eastAsia="zh-CN" w:bidi="ar"/>
        </w:rPr>
      </w:pPr>
      <w:r>
        <w:rPr>
          <w:rFonts w:hint="eastAsia" w:ascii="Times New Roman" w:hAnsi="Times New Roman" w:eastAsia="仿宋_GB2312" w:cs="Times New Roman"/>
          <w:b/>
          <w:bCs/>
          <w:snapToGrid w:val="0"/>
          <w:color w:val="000000"/>
          <w:sz w:val="32"/>
          <w:szCs w:val="32"/>
          <w:lang w:eastAsia="zh-CN"/>
        </w:rPr>
        <w:t>（</w:t>
      </w:r>
      <w:r>
        <w:rPr>
          <w:rFonts w:hint="eastAsia" w:ascii="Times New Roman" w:hAnsi="Times New Roman" w:eastAsia="仿宋_GB2312" w:cs="Times New Roman"/>
          <w:b/>
          <w:bCs/>
          <w:snapToGrid w:val="0"/>
          <w:color w:val="000000"/>
          <w:sz w:val="32"/>
          <w:szCs w:val="32"/>
          <w:lang w:val="en-US" w:eastAsia="zh-CN"/>
        </w:rPr>
        <w:t>1</w:t>
      </w:r>
      <w:r>
        <w:rPr>
          <w:rFonts w:hint="eastAsia" w:ascii="Times New Roman" w:hAnsi="Times New Roman" w:eastAsia="仿宋_GB2312" w:cs="Times New Roman"/>
          <w:b/>
          <w:bCs/>
          <w:snapToGrid w:val="0"/>
          <w:color w:val="000000"/>
          <w:sz w:val="32"/>
          <w:szCs w:val="32"/>
          <w:lang w:eastAsia="zh-CN"/>
        </w:rPr>
        <w:t>）</w:t>
      </w:r>
      <w:r>
        <w:rPr>
          <w:rFonts w:ascii="Times New Roman" w:hAnsi="Times New Roman" w:eastAsia="仿宋_GB2312" w:cs="Times New Roman"/>
          <w:b/>
          <w:bCs/>
          <w:snapToGrid w:val="0"/>
          <w:color w:val="000000"/>
          <w:sz w:val="32"/>
          <w:szCs w:val="32"/>
          <w:lang w:val="en-US" w:eastAsia="zh-CN" w:bidi="ar-SA"/>
        </w:rPr>
        <w:t>狠抓组织后备力量培育。</w:t>
      </w:r>
      <w:r>
        <w:rPr>
          <w:rFonts w:ascii="Times New Roman" w:hAnsi="Times New Roman" w:eastAsia="仿宋_GB2312" w:cs="Times New Roman"/>
          <w:snapToGrid w:val="0"/>
          <w:color w:val="000000"/>
          <w:sz w:val="32"/>
          <w:szCs w:val="32"/>
          <w:lang w:val="en-US" w:eastAsia="zh-CN" w:bidi="ar-SA"/>
        </w:rPr>
        <w:t>拓宽渠道“选”，组织部长会同11个乡镇党委，对53个村（社区）后备力量进行逐一摸排评估和分析研判，按照每村至少2人标准，储备村党组织书记后备人才112名（其中：致富带头人18人、返乡大学毕业生14人、退役军人5人、“新农人”15人、其他人员60人），储备其他后备力量288名。精准施策“育”，坚持把村党组织书记后备力量培训纳入全县干部教育培训计划，县乡两级同步开展培训，选派53个村（社区）干部参加专题培训，组织34名村党组织书记赴北京、上海、浙江等地考察学习，通过理论学习、现场观摩、交流研讨等方式，实现村党组织书记及后备力量培训全覆盖。一线磨砺“用”，</w:t>
      </w:r>
      <w:r>
        <w:rPr>
          <w:rFonts w:ascii="Times New Roman" w:hAnsi="Times New Roman" w:eastAsia="仿宋_GB2312" w:cs="Times New Roman"/>
          <w:bCs/>
          <w:snapToGrid w:val="0"/>
          <w:color w:val="000000"/>
          <w:sz w:val="32"/>
          <w:szCs w:val="32"/>
          <w:lang w:val="en-US" w:eastAsia="zh-CN" w:bidi="ar-SA"/>
        </w:rPr>
        <w:t>累计选派后备力量到村（社区）跟班学习500余人次，81名村组干部已获得大中专学历证书，102名村组干部、后备干部正在参加学历提升。选拔53名高校毕业生作为村级后备力量协理村务，坚持优胜劣汰动态储备管理和递进培养使用原则，切实解决</w:t>
      </w:r>
      <w:r>
        <w:rPr>
          <w:rFonts w:ascii="Times New Roman" w:hAnsi="Times New Roman" w:eastAsia="仿宋_GB2312" w:cs="Times New Roman"/>
          <w:bCs/>
          <w:snapToGrid w:val="0"/>
          <w:color w:val="000000"/>
          <w:sz w:val="32"/>
          <w:szCs w:val="32"/>
        </w:rPr>
        <w:t>基层村干部队伍后继乏人的问题。</w:t>
      </w:r>
    </w:p>
    <w:p w14:paraId="70602DCE">
      <w:pPr>
        <w:pStyle w:val="10"/>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textAlignment w:val="auto"/>
        <w:rPr>
          <w:rFonts w:hint="default" w:ascii="Times New Roman" w:hAnsi="Times New Roman" w:eastAsia="仿宋_GB2312" w:cs="Times New Roman"/>
          <w:color w:val="000000"/>
          <w:kern w:val="0"/>
          <w:sz w:val="32"/>
          <w:szCs w:val="32"/>
          <w:shd w:val="clear" w:color="auto" w:fill="FFFFFF"/>
          <w:lang w:val="en-US" w:eastAsia="zh-CN" w:bidi="ar"/>
        </w:rPr>
      </w:pPr>
      <w:r>
        <w:rPr>
          <w:rFonts w:hint="default" w:ascii="Times New Roman" w:hAnsi="Times New Roman" w:eastAsia="仿宋_GB2312" w:cs="Times New Roman"/>
          <w:b/>
          <w:bCs/>
          <w:color w:val="000000"/>
          <w:kern w:val="0"/>
          <w:sz w:val="32"/>
          <w:szCs w:val="32"/>
          <w:shd w:val="clear" w:color="auto" w:fill="FFFFFF"/>
          <w:lang w:val="en-US" w:eastAsia="zh-CN" w:bidi="ar"/>
        </w:rPr>
        <w:t>（2）基层组织建设：一是</w:t>
      </w:r>
      <w:r>
        <w:rPr>
          <w:rFonts w:hint="default" w:ascii="Times New Roman" w:hAnsi="Times New Roman" w:eastAsia="仿宋_GB2312" w:cs="Times New Roman"/>
          <w:color w:val="000000"/>
          <w:kern w:val="0"/>
          <w:sz w:val="32"/>
          <w:szCs w:val="32"/>
          <w:shd w:val="clear" w:color="auto" w:fill="FFFFFF"/>
          <w:lang w:val="en-US" w:eastAsia="zh-CN" w:bidi="ar"/>
        </w:rPr>
        <w:t>构建“社区大党委—网格党小组—楼栋长—党员户”四级组织架构，完善网格运行机制。</w:t>
      </w:r>
      <w:r>
        <w:rPr>
          <w:rFonts w:hint="default" w:ascii="Times New Roman" w:hAnsi="Times New Roman" w:eastAsia="仿宋_GB2312" w:cs="Times New Roman"/>
          <w:b/>
          <w:bCs/>
          <w:color w:val="000000"/>
          <w:kern w:val="0"/>
          <w:sz w:val="32"/>
          <w:szCs w:val="32"/>
          <w:shd w:val="clear" w:color="auto" w:fill="FFFFFF"/>
          <w:lang w:val="en-US" w:eastAsia="zh-CN" w:bidi="ar"/>
        </w:rPr>
        <w:t>二是</w:t>
      </w:r>
      <w:r>
        <w:rPr>
          <w:rFonts w:hint="default" w:ascii="Times New Roman" w:hAnsi="Times New Roman" w:eastAsia="仿宋_GB2312" w:cs="Times New Roman"/>
          <w:color w:val="000000"/>
          <w:kern w:val="0"/>
          <w:sz w:val="32"/>
          <w:szCs w:val="32"/>
          <w:shd w:val="clear" w:color="auto" w:fill="FFFFFF"/>
          <w:lang w:val="en-US" w:eastAsia="zh-CN" w:bidi="ar"/>
        </w:rPr>
        <w:t>持续深化党建引领乡村振兴。实现县乡村“三级书记抓振兴”。选派53名优秀干部担任村“第一书记”，配强84名驻村工作队员，储备优秀农民工447人，农民工后备力量214人，充分保障一线干部力量。</w:t>
      </w:r>
    </w:p>
    <w:p w14:paraId="2CFDB818">
      <w:pPr>
        <w:keepNext w:val="0"/>
        <w:keepLines w:val="0"/>
        <w:pageBreakBefore w:val="0"/>
        <w:widowControl w:val="0"/>
        <w:suppressAutoHyphens/>
        <w:kinsoku/>
        <w:wordWrap/>
        <w:overflowPunct/>
        <w:topLinePunct w:val="0"/>
        <w:autoSpaceDE/>
        <w:autoSpaceDN/>
        <w:bidi w:val="0"/>
        <w:adjustRightInd/>
        <w:snapToGrid/>
        <w:spacing w:line="560" w:lineRule="exact"/>
        <w:ind w:left="0" w:firstLine="643" w:firstLineChars="200"/>
        <w:textAlignment w:val="auto"/>
        <w:rPr>
          <w:rFonts w:hint="default" w:ascii="Times New Roman" w:hAnsi="Times New Roman" w:eastAsia="仿宋_GB2312" w:cs="Times New Roman"/>
          <w:color w:val="000000"/>
          <w:kern w:val="0"/>
          <w:sz w:val="32"/>
          <w:szCs w:val="32"/>
          <w:shd w:val="clear" w:color="auto" w:fill="FFFFFF"/>
          <w:lang w:val="en-US" w:eastAsia="zh-CN" w:bidi="ar"/>
        </w:rPr>
      </w:pPr>
      <w:r>
        <w:rPr>
          <w:rFonts w:hint="default" w:ascii="Times New Roman" w:hAnsi="Times New Roman" w:eastAsia="仿宋_GB2312" w:cs="Times New Roman"/>
          <w:b/>
          <w:bCs/>
          <w:color w:val="000000"/>
          <w:kern w:val="0"/>
          <w:sz w:val="32"/>
          <w:szCs w:val="32"/>
          <w:shd w:val="clear" w:color="auto" w:fill="FFFFFF"/>
          <w:lang w:val="en-US" w:eastAsia="zh-CN" w:bidi="ar"/>
        </w:rPr>
        <w:t>（3）干部队伍建设：一是</w:t>
      </w:r>
      <w:r>
        <w:rPr>
          <w:rFonts w:hint="default" w:ascii="Times New Roman" w:hAnsi="Times New Roman" w:eastAsia="仿宋_GB2312" w:cs="Times New Roman"/>
          <w:color w:val="000000"/>
          <w:kern w:val="0"/>
          <w:sz w:val="32"/>
          <w:szCs w:val="32"/>
          <w:shd w:val="clear" w:color="auto" w:fill="FFFFFF"/>
          <w:lang w:val="en-US" w:eastAsia="zh-CN" w:bidi="ar"/>
        </w:rPr>
        <w:t>强化政治把关，提拔使用“狮子型”“三牛型”干部38人。</w:t>
      </w:r>
      <w:r>
        <w:rPr>
          <w:rFonts w:hint="default" w:ascii="Times New Roman" w:hAnsi="Times New Roman" w:eastAsia="仿宋_GB2312" w:cs="Times New Roman"/>
          <w:b/>
          <w:bCs/>
          <w:color w:val="000000"/>
          <w:kern w:val="0"/>
          <w:sz w:val="32"/>
          <w:szCs w:val="32"/>
          <w:shd w:val="clear" w:color="auto" w:fill="FFFFFF"/>
          <w:lang w:val="en-US" w:eastAsia="zh-CN" w:bidi="ar"/>
        </w:rPr>
        <w:t>二是</w:t>
      </w:r>
      <w:r>
        <w:rPr>
          <w:rFonts w:hint="default" w:ascii="Times New Roman" w:hAnsi="Times New Roman" w:eastAsia="仿宋_GB2312" w:cs="Times New Roman"/>
          <w:color w:val="000000"/>
          <w:kern w:val="0"/>
          <w:sz w:val="32"/>
          <w:szCs w:val="32"/>
          <w:shd w:val="clear" w:color="auto" w:fill="FFFFFF"/>
          <w:lang w:val="en-US" w:eastAsia="zh-CN" w:bidi="ar"/>
        </w:rPr>
        <w:t>突出严管厚爱。表扬各领域优秀干部人才150余名，提拔重用优秀年轻干部15人，开展两批次共97名公务员职级晋升，43名事业管理岗人员晋升9级以上职员。</w:t>
      </w:r>
    </w:p>
    <w:p w14:paraId="514BA671">
      <w:pPr>
        <w:pStyle w:val="10"/>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textAlignment w:val="auto"/>
        <w:rPr>
          <w:rFonts w:hint="default" w:ascii="Times New Roman" w:hAnsi="Times New Roman" w:eastAsia="仿宋_GB2312" w:cs="Times New Roman"/>
          <w:b/>
          <w:bCs/>
          <w:color w:val="000000"/>
          <w:kern w:val="0"/>
          <w:sz w:val="32"/>
          <w:szCs w:val="32"/>
          <w:shd w:val="clear" w:color="auto" w:fill="FFFFFF"/>
          <w:lang w:bidi="ar"/>
        </w:rPr>
      </w:pPr>
      <w:r>
        <w:rPr>
          <w:rFonts w:hint="default" w:ascii="Times New Roman" w:hAnsi="Times New Roman" w:eastAsia="仿宋_GB2312" w:cs="Times New Roman"/>
          <w:b/>
          <w:bCs/>
          <w:color w:val="000000"/>
          <w:kern w:val="0"/>
          <w:sz w:val="32"/>
          <w:szCs w:val="32"/>
          <w:shd w:val="clear" w:color="auto" w:fill="FFFFFF"/>
          <w:lang w:bidi="ar"/>
        </w:rPr>
        <w:t>3、预算编制情况</w:t>
      </w:r>
    </w:p>
    <w:p w14:paraId="389A0B37">
      <w:pPr>
        <w:pStyle w:val="10"/>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default" w:ascii="Times New Roman" w:hAnsi="Times New Roman" w:eastAsia="仿宋_GB2312" w:cs="Times New Roman"/>
          <w:color w:val="000000"/>
          <w:kern w:val="0"/>
          <w:sz w:val="32"/>
          <w:szCs w:val="32"/>
          <w:shd w:val="clear" w:color="auto" w:fill="FFFFFF"/>
          <w:lang w:val="en-US" w:eastAsia="zh-CN" w:bidi="ar"/>
        </w:rPr>
      </w:pPr>
      <w:r>
        <w:rPr>
          <w:rFonts w:hint="eastAsia" w:ascii="Times New Roman" w:hAnsi="Times New Roman" w:eastAsia="仿宋_GB2312" w:cs="Times New Roman"/>
          <w:color w:val="000000"/>
          <w:kern w:val="0"/>
          <w:sz w:val="32"/>
          <w:szCs w:val="32"/>
          <w:shd w:val="clear" w:color="auto" w:fill="FFFFFF"/>
          <w:lang w:val="en-US" w:eastAsia="zh-CN" w:bidi="ar"/>
        </w:rPr>
        <w:t>2024</w:t>
      </w:r>
      <w:r>
        <w:rPr>
          <w:rFonts w:hint="default" w:ascii="Times New Roman" w:hAnsi="Times New Roman" w:eastAsia="仿宋_GB2312" w:cs="Times New Roman"/>
          <w:color w:val="000000"/>
          <w:kern w:val="0"/>
          <w:sz w:val="32"/>
          <w:szCs w:val="32"/>
          <w:shd w:val="clear" w:color="auto" w:fill="FFFFFF"/>
          <w:lang w:val="en-US" w:eastAsia="zh-CN" w:bidi="ar"/>
        </w:rPr>
        <w:t>年财政下达</w:t>
      </w:r>
      <w:r>
        <w:rPr>
          <w:rFonts w:hint="default" w:ascii="Times New Roman" w:hAnsi="Times New Roman" w:eastAsia="仿宋_GB2312" w:cs="Times New Roman"/>
          <w:sz w:val="32"/>
          <w:szCs w:val="32"/>
        </w:rPr>
        <w:t>中共壤塘县</w:t>
      </w:r>
      <w:r>
        <w:rPr>
          <w:rFonts w:hint="eastAsia" w:ascii="Times New Roman" w:hAnsi="Times New Roman" w:eastAsia="仿宋_GB2312" w:cs="Times New Roman"/>
          <w:sz w:val="32"/>
          <w:szCs w:val="32"/>
          <w:lang w:eastAsia="zh-CN"/>
        </w:rPr>
        <w:t>委</w:t>
      </w:r>
      <w:r>
        <w:rPr>
          <w:rFonts w:hint="default" w:ascii="Times New Roman" w:hAnsi="Times New Roman" w:eastAsia="仿宋_GB2312" w:cs="Times New Roman"/>
          <w:sz w:val="32"/>
          <w:szCs w:val="32"/>
        </w:rPr>
        <w:t>组织部</w:t>
      </w:r>
      <w:r>
        <w:rPr>
          <w:rFonts w:hint="default" w:ascii="Times New Roman" w:hAnsi="Times New Roman" w:eastAsia="仿宋_GB2312" w:cs="Times New Roman"/>
          <w:color w:val="000000"/>
          <w:kern w:val="0"/>
          <w:sz w:val="32"/>
          <w:szCs w:val="32"/>
          <w:shd w:val="clear" w:color="auto" w:fill="FFFFFF"/>
          <w:lang w:val="en-US" w:eastAsia="zh-CN" w:bidi="ar"/>
        </w:rPr>
        <w:t>年初预算入</w:t>
      </w:r>
      <w:r>
        <w:rPr>
          <w:rFonts w:hint="eastAsia" w:ascii="Times New Roman" w:hAnsi="Times New Roman" w:eastAsia="仿宋_GB2312" w:cs="Times New Roman"/>
          <w:color w:val="000000"/>
          <w:kern w:val="0"/>
          <w:sz w:val="32"/>
          <w:szCs w:val="32"/>
          <w:shd w:val="clear" w:color="auto" w:fill="FFFFFF"/>
          <w:lang w:val="en-US" w:eastAsia="zh-CN" w:bidi="ar"/>
        </w:rPr>
        <w:t>927.49</w:t>
      </w:r>
      <w:r>
        <w:rPr>
          <w:rFonts w:hint="default" w:ascii="Times New Roman" w:hAnsi="Times New Roman" w:eastAsia="仿宋_GB2312" w:cs="Times New Roman"/>
          <w:color w:val="000000"/>
          <w:kern w:val="0"/>
          <w:sz w:val="32"/>
          <w:szCs w:val="32"/>
          <w:shd w:val="clear" w:color="auto" w:fill="FFFFFF"/>
          <w:lang w:val="en-US" w:eastAsia="zh-CN" w:bidi="ar"/>
        </w:rPr>
        <w:t>万元，执行期间根据工作安排和开展情况追加收入</w:t>
      </w:r>
      <w:r>
        <w:rPr>
          <w:rFonts w:hint="eastAsia" w:ascii="Times New Roman" w:hAnsi="Times New Roman" w:eastAsia="仿宋_GB2312" w:cs="Times New Roman"/>
          <w:color w:val="000000"/>
          <w:kern w:val="0"/>
          <w:sz w:val="32"/>
          <w:szCs w:val="32"/>
          <w:shd w:val="clear" w:color="auto" w:fill="FFFFFF"/>
          <w:lang w:val="en-US" w:eastAsia="zh-CN" w:bidi="ar"/>
        </w:rPr>
        <w:t>962.98</w:t>
      </w:r>
      <w:r>
        <w:rPr>
          <w:rFonts w:hint="default" w:ascii="Times New Roman" w:hAnsi="Times New Roman" w:eastAsia="仿宋_GB2312" w:cs="Times New Roman"/>
          <w:color w:val="000000"/>
          <w:kern w:val="0"/>
          <w:sz w:val="32"/>
          <w:szCs w:val="32"/>
          <w:shd w:val="clear" w:color="auto" w:fill="FFFFFF"/>
          <w:lang w:val="en-US" w:eastAsia="zh-CN" w:bidi="ar"/>
        </w:rPr>
        <w:t>万元；</w:t>
      </w:r>
      <w:r>
        <w:rPr>
          <w:rFonts w:hint="eastAsia" w:ascii="Times New Roman" w:hAnsi="Times New Roman" w:eastAsia="仿宋_GB2312" w:cs="Times New Roman"/>
          <w:color w:val="000000"/>
          <w:kern w:val="0"/>
          <w:sz w:val="32"/>
          <w:szCs w:val="32"/>
          <w:shd w:val="clear" w:color="auto" w:fill="FFFFFF"/>
          <w:lang w:val="en-US" w:eastAsia="zh-CN" w:bidi="ar"/>
        </w:rPr>
        <w:t>2024</w:t>
      </w:r>
      <w:r>
        <w:rPr>
          <w:rFonts w:hint="default" w:ascii="Times New Roman" w:hAnsi="Times New Roman" w:eastAsia="仿宋_GB2312" w:cs="Times New Roman"/>
          <w:color w:val="000000"/>
          <w:kern w:val="0"/>
          <w:sz w:val="32"/>
          <w:szCs w:val="32"/>
          <w:shd w:val="clear" w:color="auto" w:fill="FFFFFF"/>
          <w:lang w:val="en-US" w:eastAsia="zh-CN" w:bidi="ar"/>
        </w:rPr>
        <w:t>全年实际收入共计</w:t>
      </w:r>
      <w:r>
        <w:rPr>
          <w:rFonts w:hint="eastAsia" w:ascii="Times New Roman" w:hAnsi="Times New Roman" w:eastAsia="仿宋_GB2312" w:cs="Times New Roman"/>
          <w:color w:val="000000"/>
          <w:kern w:val="0"/>
          <w:sz w:val="32"/>
          <w:szCs w:val="32"/>
          <w:shd w:val="clear" w:color="auto" w:fill="FFFFFF"/>
          <w:lang w:val="en-US" w:eastAsia="zh-CN" w:bidi="ar"/>
        </w:rPr>
        <w:t>1890.47</w:t>
      </w:r>
      <w:r>
        <w:rPr>
          <w:rFonts w:hint="default" w:ascii="Times New Roman" w:hAnsi="Times New Roman" w:eastAsia="仿宋_GB2312" w:cs="Times New Roman"/>
          <w:color w:val="000000"/>
          <w:kern w:val="0"/>
          <w:sz w:val="32"/>
          <w:szCs w:val="32"/>
          <w:shd w:val="clear" w:color="auto" w:fill="FFFFFF"/>
          <w:lang w:val="en-US" w:eastAsia="zh-CN" w:bidi="ar"/>
        </w:rPr>
        <w:t>万元，年末结转结余</w:t>
      </w:r>
      <w:r>
        <w:rPr>
          <w:rFonts w:hint="eastAsia" w:ascii="Times New Roman" w:hAnsi="Times New Roman" w:eastAsia="仿宋_GB2312" w:cs="Times New Roman"/>
          <w:color w:val="000000"/>
          <w:kern w:val="0"/>
          <w:sz w:val="32"/>
          <w:szCs w:val="32"/>
          <w:shd w:val="clear" w:color="auto" w:fill="FFFFFF"/>
          <w:lang w:val="en-US" w:eastAsia="zh-CN" w:bidi="ar"/>
        </w:rPr>
        <w:t>15.01万元</w:t>
      </w:r>
      <w:r>
        <w:rPr>
          <w:rFonts w:hint="default" w:ascii="Times New Roman" w:hAnsi="Times New Roman" w:eastAsia="仿宋_GB2312" w:cs="Times New Roman"/>
          <w:color w:val="000000"/>
          <w:kern w:val="0"/>
          <w:sz w:val="32"/>
          <w:szCs w:val="32"/>
          <w:shd w:val="clear" w:color="auto" w:fill="FFFFFF"/>
          <w:lang w:val="en-US" w:eastAsia="zh-CN" w:bidi="ar"/>
        </w:rPr>
        <w:t>，预算编制准确率较高。严格按照预算编制方案科学合理编制本单位预算，提前做好情况摸底、数据收集、填报绩效目标、细化专项预算，按照人员经费逐人核定编制，公用经费按定额编制；根据“总量控制、计划管理”的`要求从严控制机关经费，严格编制“三公”经费预算，压缩公业务费，科学编制项目支出，编制部门预算项目绩效目标，按时完成预算编制报送工作。</w:t>
      </w:r>
    </w:p>
    <w:p w14:paraId="73F89649">
      <w:pPr>
        <w:pStyle w:val="10"/>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textAlignment w:val="auto"/>
        <w:rPr>
          <w:rFonts w:hint="default" w:ascii="Times New Roman" w:hAnsi="Times New Roman" w:eastAsia="仿宋_GB2312" w:cs="Times New Roman"/>
          <w:b/>
          <w:bCs/>
          <w:color w:val="000000"/>
          <w:kern w:val="0"/>
          <w:sz w:val="32"/>
          <w:szCs w:val="32"/>
          <w:shd w:val="clear" w:color="auto" w:fill="FFFFFF"/>
          <w:lang w:bidi="ar"/>
        </w:rPr>
      </w:pPr>
      <w:r>
        <w:rPr>
          <w:rFonts w:hint="default" w:ascii="Times New Roman" w:hAnsi="Times New Roman" w:eastAsia="仿宋_GB2312" w:cs="Times New Roman"/>
          <w:b/>
          <w:bCs/>
          <w:color w:val="000000"/>
          <w:kern w:val="0"/>
          <w:sz w:val="32"/>
          <w:szCs w:val="32"/>
          <w:shd w:val="clear" w:color="auto" w:fill="FFFFFF"/>
          <w:lang w:bidi="ar"/>
        </w:rPr>
        <w:t>4、执行进度情况</w:t>
      </w:r>
    </w:p>
    <w:p w14:paraId="11562184">
      <w:pPr>
        <w:pStyle w:val="10"/>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default" w:ascii="Times New Roman" w:hAnsi="Times New Roman" w:eastAsia="仿宋_GB2312" w:cs="Times New Roman"/>
          <w:color w:val="000000"/>
          <w:kern w:val="0"/>
          <w:sz w:val="32"/>
          <w:szCs w:val="32"/>
          <w:shd w:val="clear" w:color="auto" w:fill="FFFFFF"/>
          <w:lang w:val="en-US" w:eastAsia="zh-CN" w:bidi="ar"/>
        </w:rPr>
      </w:pPr>
      <w:r>
        <w:rPr>
          <w:rFonts w:hint="eastAsia" w:ascii="Times New Roman" w:hAnsi="Times New Roman" w:eastAsia="仿宋_GB2312" w:cs="Times New Roman"/>
          <w:color w:val="000000"/>
          <w:kern w:val="0"/>
          <w:sz w:val="32"/>
          <w:szCs w:val="32"/>
          <w:shd w:val="clear" w:color="auto" w:fill="FFFFFF"/>
          <w:lang w:val="en-US" w:eastAsia="zh-CN" w:bidi="ar"/>
        </w:rPr>
        <w:t>2024</w:t>
      </w:r>
      <w:r>
        <w:rPr>
          <w:rFonts w:hint="default" w:ascii="Times New Roman" w:hAnsi="Times New Roman" w:eastAsia="仿宋_GB2312" w:cs="Times New Roman"/>
          <w:color w:val="000000"/>
          <w:kern w:val="0"/>
          <w:sz w:val="32"/>
          <w:szCs w:val="32"/>
          <w:shd w:val="clear" w:color="auto" w:fill="FFFFFF"/>
          <w:lang w:val="en-US" w:eastAsia="zh-CN" w:bidi="ar"/>
        </w:rPr>
        <w:t>年财政下达</w:t>
      </w:r>
      <w:r>
        <w:rPr>
          <w:rFonts w:hint="default" w:ascii="Times New Roman" w:hAnsi="Times New Roman" w:eastAsia="仿宋_GB2312" w:cs="Times New Roman"/>
          <w:sz w:val="32"/>
          <w:szCs w:val="32"/>
        </w:rPr>
        <w:t>中共壤塘县</w:t>
      </w:r>
      <w:r>
        <w:rPr>
          <w:rFonts w:hint="eastAsia" w:ascii="Times New Roman" w:hAnsi="Times New Roman" w:eastAsia="仿宋_GB2312" w:cs="Times New Roman"/>
          <w:sz w:val="32"/>
          <w:szCs w:val="32"/>
          <w:lang w:eastAsia="zh-CN"/>
        </w:rPr>
        <w:t>委</w:t>
      </w:r>
      <w:r>
        <w:rPr>
          <w:rFonts w:hint="default" w:ascii="Times New Roman" w:hAnsi="Times New Roman" w:eastAsia="仿宋_GB2312" w:cs="Times New Roman"/>
          <w:sz w:val="32"/>
          <w:szCs w:val="32"/>
        </w:rPr>
        <w:t>组织部</w:t>
      </w:r>
      <w:r>
        <w:rPr>
          <w:rFonts w:hint="default" w:ascii="Times New Roman" w:hAnsi="Times New Roman" w:eastAsia="仿宋_GB2312" w:cs="Times New Roman"/>
          <w:color w:val="000000"/>
          <w:kern w:val="0"/>
          <w:sz w:val="32"/>
          <w:szCs w:val="32"/>
          <w:shd w:val="clear" w:color="auto" w:fill="FFFFFF"/>
          <w:lang w:val="en-US" w:eastAsia="zh-CN" w:bidi="ar"/>
        </w:rPr>
        <w:t>年初预算收入</w:t>
      </w:r>
      <w:r>
        <w:rPr>
          <w:rFonts w:hint="eastAsia" w:ascii="Times New Roman" w:hAnsi="Times New Roman" w:eastAsia="仿宋_GB2312" w:cs="Times New Roman"/>
          <w:color w:val="000000"/>
          <w:kern w:val="0"/>
          <w:sz w:val="32"/>
          <w:szCs w:val="32"/>
          <w:shd w:val="clear" w:color="auto" w:fill="FFFFFF"/>
          <w:lang w:val="en-US" w:eastAsia="zh-CN" w:bidi="ar"/>
        </w:rPr>
        <w:t>927.49</w:t>
      </w:r>
      <w:r>
        <w:rPr>
          <w:rFonts w:hint="default" w:ascii="Times New Roman" w:hAnsi="Times New Roman" w:eastAsia="仿宋_GB2312" w:cs="Times New Roman"/>
          <w:color w:val="000000"/>
          <w:kern w:val="0"/>
          <w:sz w:val="32"/>
          <w:szCs w:val="32"/>
          <w:shd w:val="clear" w:color="auto" w:fill="FFFFFF"/>
          <w:lang w:val="en-US" w:eastAsia="zh-CN" w:bidi="ar"/>
        </w:rPr>
        <w:t>万元，执行期中追加收入</w:t>
      </w:r>
      <w:r>
        <w:rPr>
          <w:rFonts w:hint="eastAsia" w:ascii="Times New Roman" w:hAnsi="Times New Roman" w:eastAsia="仿宋_GB2312" w:cs="Times New Roman"/>
          <w:color w:val="000000"/>
          <w:kern w:val="0"/>
          <w:sz w:val="32"/>
          <w:szCs w:val="32"/>
          <w:shd w:val="clear" w:color="auto" w:fill="FFFFFF"/>
          <w:lang w:val="en-US" w:eastAsia="zh-CN" w:bidi="ar"/>
        </w:rPr>
        <w:t>962.98</w:t>
      </w:r>
      <w:r>
        <w:rPr>
          <w:rFonts w:hint="default" w:ascii="Times New Roman" w:hAnsi="Times New Roman" w:eastAsia="仿宋_GB2312" w:cs="Times New Roman"/>
          <w:color w:val="000000"/>
          <w:kern w:val="0"/>
          <w:sz w:val="32"/>
          <w:szCs w:val="32"/>
          <w:shd w:val="clear" w:color="auto" w:fill="FFFFFF"/>
          <w:lang w:val="en-US" w:eastAsia="zh-CN" w:bidi="ar"/>
        </w:rPr>
        <w:t>万元本年度收入合计</w:t>
      </w:r>
      <w:r>
        <w:rPr>
          <w:rFonts w:hint="eastAsia" w:ascii="Times New Roman" w:hAnsi="Times New Roman" w:eastAsia="仿宋_GB2312" w:cs="Times New Roman"/>
          <w:color w:val="000000"/>
          <w:kern w:val="0"/>
          <w:sz w:val="32"/>
          <w:szCs w:val="32"/>
          <w:shd w:val="clear" w:color="auto" w:fill="FFFFFF"/>
          <w:lang w:val="en-US" w:eastAsia="zh-CN" w:bidi="ar"/>
        </w:rPr>
        <w:t>1890.47</w:t>
      </w:r>
      <w:r>
        <w:rPr>
          <w:rFonts w:hint="default" w:ascii="Times New Roman" w:hAnsi="Times New Roman" w:eastAsia="仿宋_GB2312" w:cs="Times New Roman"/>
          <w:color w:val="000000"/>
          <w:kern w:val="0"/>
          <w:sz w:val="32"/>
          <w:szCs w:val="32"/>
          <w:shd w:val="clear" w:color="auto" w:fill="FFFFFF"/>
          <w:lang w:val="en-US" w:eastAsia="zh-CN" w:bidi="ar"/>
        </w:rPr>
        <w:t>万。年末结转结余</w:t>
      </w:r>
      <w:r>
        <w:rPr>
          <w:rFonts w:hint="eastAsia" w:ascii="Times New Roman" w:hAnsi="Times New Roman" w:eastAsia="仿宋_GB2312" w:cs="Times New Roman"/>
          <w:color w:val="000000"/>
          <w:kern w:val="0"/>
          <w:sz w:val="32"/>
          <w:szCs w:val="32"/>
          <w:shd w:val="clear" w:color="auto" w:fill="FFFFFF"/>
          <w:lang w:val="en-US" w:eastAsia="zh-CN" w:bidi="ar"/>
        </w:rPr>
        <w:t>15.01万元</w:t>
      </w:r>
      <w:r>
        <w:rPr>
          <w:rFonts w:hint="default" w:ascii="Times New Roman" w:hAnsi="Times New Roman" w:eastAsia="仿宋_GB2312" w:cs="Times New Roman"/>
          <w:color w:val="000000"/>
          <w:kern w:val="0"/>
          <w:sz w:val="32"/>
          <w:szCs w:val="32"/>
          <w:shd w:val="clear" w:color="auto" w:fill="FFFFFF"/>
          <w:lang w:val="en-US" w:eastAsia="zh-CN" w:bidi="ar"/>
        </w:rPr>
        <w:t>，进度符合标准达到预期目标。</w:t>
      </w:r>
    </w:p>
    <w:p w14:paraId="57F3E57A">
      <w:pPr>
        <w:pStyle w:val="10"/>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textAlignment w:val="auto"/>
        <w:rPr>
          <w:rFonts w:hint="default" w:ascii="Times New Roman" w:hAnsi="Times New Roman" w:eastAsia="仿宋_GB2312" w:cs="Times New Roman"/>
          <w:b/>
          <w:bCs/>
          <w:color w:val="000000"/>
          <w:kern w:val="0"/>
          <w:sz w:val="32"/>
          <w:szCs w:val="32"/>
          <w:shd w:val="clear" w:color="auto" w:fill="FFFFFF"/>
          <w:lang w:bidi="ar"/>
        </w:rPr>
      </w:pPr>
      <w:r>
        <w:rPr>
          <w:rFonts w:hint="default" w:ascii="Times New Roman" w:hAnsi="Times New Roman" w:eastAsia="仿宋_GB2312" w:cs="Times New Roman"/>
          <w:b/>
          <w:bCs/>
          <w:color w:val="000000"/>
          <w:kern w:val="0"/>
          <w:sz w:val="32"/>
          <w:szCs w:val="32"/>
          <w:shd w:val="clear" w:color="auto" w:fill="FFFFFF"/>
          <w:lang w:bidi="ar"/>
        </w:rPr>
        <w:t>5、预算完成情况</w:t>
      </w:r>
    </w:p>
    <w:p w14:paraId="727F9031">
      <w:pPr>
        <w:pStyle w:val="10"/>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default" w:ascii="Times New Roman" w:hAnsi="Times New Roman" w:eastAsia="仿宋_GB2312" w:cs="Times New Roman"/>
          <w:color w:val="000000"/>
          <w:kern w:val="0"/>
          <w:sz w:val="32"/>
          <w:szCs w:val="32"/>
          <w:shd w:val="clear" w:color="auto" w:fill="FFFFFF"/>
          <w:lang w:val="en-US" w:eastAsia="zh-CN" w:bidi="ar"/>
        </w:rPr>
      </w:pPr>
      <w:r>
        <w:rPr>
          <w:rFonts w:hint="eastAsia" w:ascii="Times New Roman" w:hAnsi="Times New Roman" w:eastAsia="仿宋_GB2312" w:cs="Times New Roman"/>
          <w:color w:val="000000"/>
          <w:kern w:val="0"/>
          <w:sz w:val="32"/>
          <w:szCs w:val="32"/>
          <w:shd w:val="clear" w:color="auto" w:fill="FFFFFF"/>
          <w:lang w:val="en-US" w:eastAsia="zh-CN" w:bidi="ar"/>
        </w:rPr>
        <w:t>2024</w:t>
      </w:r>
      <w:r>
        <w:rPr>
          <w:rFonts w:hint="default" w:ascii="Times New Roman" w:hAnsi="Times New Roman" w:eastAsia="仿宋_GB2312" w:cs="Times New Roman"/>
          <w:color w:val="000000"/>
          <w:kern w:val="0"/>
          <w:sz w:val="32"/>
          <w:szCs w:val="32"/>
          <w:shd w:val="clear" w:color="auto" w:fill="FFFFFF"/>
          <w:lang w:val="en-US" w:eastAsia="zh-CN" w:bidi="ar"/>
        </w:rPr>
        <w:t>年财政下达</w:t>
      </w:r>
      <w:r>
        <w:rPr>
          <w:rFonts w:hint="default" w:ascii="Times New Roman" w:hAnsi="Times New Roman" w:eastAsia="仿宋_GB2312" w:cs="Times New Roman"/>
          <w:sz w:val="32"/>
          <w:szCs w:val="32"/>
        </w:rPr>
        <w:t>中共壤塘县</w:t>
      </w:r>
      <w:r>
        <w:rPr>
          <w:rFonts w:hint="eastAsia" w:ascii="Times New Roman" w:hAnsi="Times New Roman" w:eastAsia="仿宋_GB2312" w:cs="Times New Roman"/>
          <w:sz w:val="32"/>
          <w:szCs w:val="32"/>
          <w:lang w:eastAsia="zh-CN"/>
        </w:rPr>
        <w:t>委</w:t>
      </w:r>
      <w:r>
        <w:rPr>
          <w:rFonts w:hint="default" w:ascii="Times New Roman" w:hAnsi="Times New Roman" w:eastAsia="仿宋_GB2312" w:cs="Times New Roman"/>
          <w:sz w:val="32"/>
          <w:szCs w:val="32"/>
        </w:rPr>
        <w:t>组织部</w:t>
      </w:r>
      <w:r>
        <w:rPr>
          <w:rFonts w:hint="default" w:ascii="Times New Roman" w:hAnsi="Times New Roman" w:eastAsia="仿宋_GB2312" w:cs="Times New Roman"/>
          <w:color w:val="000000"/>
          <w:kern w:val="0"/>
          <w:sz w:val="32"/>
          <w:szCs w:val="32"/>
          <w:shd w:val="clear" w:color="auto" w:fill="FFFFFF"/>
          <w:lang w:val="en-US" w:eastAsia="zh-CN" w:bidi="ar"/>
        </w:rPr>
        <w:t>年初预算收入</w:t>
      </w:r>
      <w:r>
        <w:rPr>
          <w:rFonts w:hint="eastAsia" w:ascii="Times New Roman" w:hAnsi="Times New Roman" w:eastAsia="仿宋_GB2312" w:cs="Times New Roman"/>
          <w:color w:val="000000"/>
          <w:kern w:val="0"/>
          <w:sz w:val="32"/>
          <w:szCs w:val="32"/>
          <w:shd w:val="clear" w:color="auto" w:fill="FFFFFF"/>
          <w:lang w:val="en-US" w:eastAsia="zh-CN" w:bidi="ar"/>
        </w:rPr>
        <w:t>927.49</w:t>
      </w:r>
      <w:r>
        <w:rPr>
          <w:rFonts w:hint="default" w:ascii="Times New Roman" w:hAnsi="Times New Roman" w:eastAsia="仿宋_GB2312" w:cs="Times New Roman"/>
          <w:color w:val="000000"/>
          <w:kern w:val="0"/>
          <w:sz w:val="32"/>
          <w:szCs w:val="32"/>
          <w:shd w:val="clear" w:color="auto" w:fill="FFFFFF"/>
          <w:lang w:val="en-US" w:eastAsia="zh-CN" w:bidi="ar"/>
        </w:rPr>
        <w:t>万元，执行期中追加收入</w:t>
      </w:r>
      <w:r>
        <w:rPr>
          <w:rFonts w:hint="eastAsia" w:ascii="Times New Roman" w:hAnsi="Times New Roman" w:eastAsia="仿宋_GB2312" w:cs="Times New Roman"/>
          <w:color w:val="000000"/>
          <w:kern w:val="0"/>
          <w:sz w:val="32"/>
          <w:szCs w:val="32"/>
          <w:shd w:val="clear" w:color="auto" w:fill="FFFFFF"/>
          <w:lang w:val="en-US" w:eastAsia="zh-CN" w:bidi="ar"/>
        </w:rPr>
        <w:t>962.98</w:t>
      </w:r>
      <w:r>
        <w:rPr>
          <w:rFonts w:hint="default" w:ascii="Times New Roman" w:hAnsi="Times New Roman" w:eastAsia="仿宋_GB2312" w:cs="Times New Roman"/>
          <w:color w:val="000000"/>
          <w:kern w:val="0"/>
          <w:sz w:val="32"/>
          <w:szCs w:val="32"/>
          <w:shd w:val="clear" w:color="auto" w:fill="FFFFFF"/>
          <w:lang w:val="en-US" w:eastAsia="zh-CN" w:bidi="ar"/>
        </w:rPr>
        <w:t>万元，本年度收入合计</w:t>
      </w:r>
      <w:r>
        <w:rPr>
          <w:rFonts w:hint="eastAsia" w:ascii="Times New Roman" w:hAnsi="Times New Roman" w:eastAsia="仿宋_GB2312" w:cs="Times New Roman"/>
          <w:color w:val="000000"/>
          <w:kern w:val="0"/>
          <w:sz w:val="32"/>
          <w:szCs w:val="32"/>
          <w:shd w:val="clear" w:color="auto" w:fill="FFFFFF"/>
          <w:lang w:val="en-US" w:eastAsia="zh-CN" w:bidi="ar"/>
        </w:rPr>
        <w:t>1890.47</w:t>
      </w:r>
      <w:r>
        <w:rPr>
          <w:rFonts w:hint="default" w:ascii="Times New Roman" w:hAnsi="Times New Roman" w:eastAsia="仿宋_GB2312" w:cs="Times New Roman"/>
          <w:color w:val="000000"/>
          <w:kern w:val="0"/>
          <w:sz w:val="32"/>
          <w:szCs w:val="32"/>
          <w:shd w:val="clear" w:color="auto" w:fill="FFFFFF"/>
          <w:lang w:val="en-US" w:eastAsia="zh-CN" w:bidi="ar"/>
        </w:rPr>
        <w:t>万。年末结转结余</w:t>
      </w:r>
      <w:r>
        <w:rPr>
          <w:rFonts w:hint="eastAsia" w:ascii="Times New Roman" w:hAnsi="Times New Roman" w:eastAsia="仿宋_GB2312" w:cs="Times New Roman"/>
          <w:color w:val="000000"/>
          <w:kern w:val="0"/>
          <w:sz w:val="32"/>
          <w:szCs w:val="32"/>
          <w:shd w:val="clear" w:color="auto" w:fill="FFFFFF"/>
          <w:lang w:val="en-US" w:eastAsia="zh-CN" w:bidi="ar"/>
        </w:rPr>
        <w:t>15.01</w:t>
      </w:r>
      <w:r>
        <w:rPr>
          <w:rFonts w:hint="default" w:ascii="Times New Roman" w:hAnsi="Times New Roman" w:eastAsia="仿宋_GB2312" w:cs="Times New Roman"/>
          <w:color w:val="000000"/>
          <w:kern w:val="0"/>
          <w:sz w:val="32"/>
          <w:szCs w:val="32"/>
          <w:shd w:val="clear" w:color="auto" w:fill="FFFFFF"/>
          <w:lang w:val="en-US" w:eastAsia="zh-CN" w:bidi="ar"/>
        </w:rPr>
        <w:t>，单位执行进度为</w:t>
      </w:r>
      <w:r>
        <w:rPr>
          <w:rFonts w:hint="eastAsia" w:ascii="Times New Roman" w:hAnsi="Times New Roman" w:eastAsia="仿宋_GB2312" w:cs="Times New Roman"/>
          <w:color w:val="000000"/>
          <w:kern w:val="0"/>
          <w:sz w:val="32"/>
          <w:szCs w:val="32"/>
          <w:shd w:val="clear" w:color="auto" w:fill="FFFFFF"/>
          <w:lang w:val="en-US" w:eastAsia="zh-CN" w:bidi="ar"/>
        </w:rPr>
        <w:t>99.2</w:t>
      </w:r>
      <w:r>
        <w:rPr>
          <w:rFonts w:hint="default" w:ascii="Times New Roman" w:hAnsi="Times New Roman" w:eastAsia="仿宋_GB2312" w:cs="Times New Roman"/>
          <w:color w:val="000000"/>
          <w:kern w:val="0"/>
          <w:sz w:val="32"/>
          <w:szCs w:val="32"/>
          <w:shd w:val="clear" w:color="auto" w:fill="FFFFFF"/>
          <w:lang w:val="en-US" w:eastAsia="zh-CN" w:bidi="ar"/>
        </w:rPr>
        <w:t xml:space="preserve">%，达到预期目标。   </w:t>
      </w:r>
    </w:p>
    <w:p w14:paraId="3F00E11D">
      <w:pPr>
        <w:pStyle w:val="10"/>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textAlignment w:val="auto"/>
        <w:rPr>
          <w:rFonts w:hint="default" w:ascii="Times New Roman" w:hAnsi="Times New Roman" w:eastAsia="仿宋_GB2312" w:cs="Times New Roman"/>
          <w:b/>
          <w:bCs/>
          <w:color w:val="000000"/>
          <w:kern w:val="0"/>
          <w:sz w:val="32"/>
          <w:szCs w:val="32"/>
          <w:shd w:val="clear" w:color="auto" w:fill="FFFFFF"/>
          <w:lang w:bidi="ar"/>
        </w:rPr>
      </w:pPr>
      <w:r>
        <w:rPr>
          <w:rFonts w:hint="default" w:ascii="Times New Roman" w:hAnsi="Times New Roman" w:eastAsia="仿宋_GB2312" w:cs="Times New Roman"/>
          <w:b/>
          <w:bCs/>
          <w:color w:val="000000"/>
          <w:kern w:val="0"/>
          <w:sz w:val="32"/>
          <w:szCs w:val="32"/>
          <w:shd w:val="clear" w:color="auto" w:fill="FFFFFF"/>
          <w:lang w:bidi="ar"/>
        </w:rPr>
        <w:t>6、行政成本</w:t>
      </w:r>
    </w:p>
    <w:p w14:paraId="54515EBC">
      <w:pPr>
        <w:pStyle w:val="10"/>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default" w:ascii="Times New Roman" w:hAnsi="Times New Roman" w:eastAsia="仿宋_GB2312" w:cs="Times New Roman"/>
          <w:color w:val="000000"/>
          <w:kern w:val="0"/>
          <w:sz w:val="32"/>
          <w:szCs w:val="32"/>
          <w:shd w:val="clear" w:color="auto" w:fill="FFFFFF"/>
          <w:lang w:val="en-US" w:eastAsia="zh-CN" w:bidi="ar"/>
        </w:rPr>
      </w:pPr>
      <w:r>
        <w:rPr>
          <w:rFonts w:hint="default" w:ascii="Times New Roman" w:hAnsi="Times New Roman" w:eastAsia="仿宋_GB2312" w:cs="Times New Roman"/>
          <w:color w:val="000000"/>
          <w:kern w:val="0"/>
          <w:sz w:val="32"/>
          <w:szCs w:val="32"/>
          <w:shd w:val="clear" w:color="auto" w:fill="FFFFFF"/>
          <w:lang w:val="en-US" w:eastAsia="zh-CN" w:bidi="ar"/>
        </w:rPr>
        <w:t>“三公”经费控制。</w:t>
      </w:r>
      <w:r>
        <w:rPr>
          <w:rFonts w:hint="default" w:ascii="Times New Roman" w:hAnsi="Times New Roman" w:eastAsia="仿宋_GB2312" w:cs="Times New Roman"/>
          <w:sz w:val="32"/>
          <w:szCs w:val="32"/>
        </w:rPr>
        <w:t>中共壤塘县</w:t>
      </w:r>
      <w:r>
        <w:rPr>
          <w:rFonts w:hint="eastAsia" w:ascii="Times New Roman" w:hAnsi="Times New Roman" w:eastAsia="仿宋_GB2312" w:cs="Times New Roman"/>
          <w:sz w:val="32"/>
          <w:szCs w:val="32"/>
          <w:lang w:eastAsia="zh-CN"/>
        </w:rPr>
        <w:t>委</w:t>
      </w:r>
      <w:r>
        <w:rPr>
          <w:rFonts w:hint="default" w:ascii="Times New Roman" w:hAnsi="Times New Roman" w:eastAsia="仿宋_GB2312" w:cs="Times New Roman"/>
          <w:sz w:val="32"/>
          <w:szCs w:val="32"/>
        </w:rPr>
        <w:t>组织部</w:t>
      </w:r>
      <w:r>
        <w:rPr>
          <w:rFonts w:hint="eastAsia" w:ascii="Times New Roman" w:hAnsi="Times New Roman" w:eastAsia="仿宋_GB2312" w:cs="Times New Roman"/>
          <w:color w:val="000000"/>
          <w:kern w:val="0"/>
          <w:sz w:val="32"/>
          <w:szCs w:val="32"/>
          <w:shd w:val="clear" w:color="auto" w:fill="FFFFFF"/>
          <w:lang w:val="en-US" w:eastAsia="zh-CN" w:bidi="ar"/>
        </w:rPr>
        <w:t>2024</w:t>
      </w:r>
      <w:r>
        <w:rPr>
          <w:rFonts w:hint="default" w:ascii="Times New Roman" w:hAnsi="Times New Roman" w:eastAsia="仿宋_GB2312" w:cs="Times New Roman"/>
          <w:color w:val="000000"/>
          <w:kern w:val="0"/>
          <w:sz w:val="32"/>
          <w:szCs w:val="32"/>
          <w:shd w:val="clear" w:color="auto" w:fill="FFFFFF"/>
          <w:lang w:val="en-US" w:eastAsia="zh-CN" w:bidi="ar"/>
        </w:rPr>
        <w:t>年“三公”经费预算</w:t>
      </w:r>
      <w:r>
        <w:rPr>
          <w:rFonts w:hint="eastAsia" w:ascii="Times New Roman" w:hAnsi="Times New Roman" w:eastAsia="仿宋_GB2312" w:cs="Times New Roman"/>
          <w:color w:val="000000"/>
          <w:kern w:val="0"/>
          <w:sz w:val="32"/>
          <w:szCs w:val="32"/>
          <w:shd w:val="clear" w:color="auto" w:fill="FFFFFF"/>
          <w:lang w:val="en-US" w:eastAsia="zh-CN" w:bidi="ar"/>
        </w:rPr>
        <w:t>22.63</w:t>
      </w:r>
      <w:r>
        <w:rPr>
          <w:rFonts w:hint="default" w:ascii="Times New Roman" w:hAnsi="Times New Roman" w:eastAsia="仿宋_GB2312" w:cs="Times New Roman"/>
          <w:color w:val="000000"/>
          <w:kern w:val="0"/>
          <w:sz w:val="32"/>
          <w:szCs w:val="32"/>
          <w:shd w:val="clear" w:color="auto" w:fill="FFFFFF"/>
          <w:lang w:val="en-US" w:eastAsia="zh-CN" w:bidi="ar"/>
        </w:rPr>
        <w:t>万元，决算支出</w:t>
      </w:r>
      <w:r>
        <w:rPr>
          <w:rFonts w:hint="eastAsia" w:ascii="Times New Roman" w:hAnsi="Times New Roman" w:eastAsia="仿宋_GB2312" w:cs="Times New Roman"/>
          <w:color w:val="000000"/>
          <w:kern w:val="0"/>
          <w:sz w:val="32"/>
          <w:szCs w:val="32"/>
          <w:shd w:val="clear" w:color="auto" w:fill="FFFFFF"/>
          <w:lang w:val="en-US" w:eastAsia="zh-CN" w:bidi="ar"/>
        </w:rPr>
        <w:t>22.63</w:t>
      </w:r>
      <w:r>
        <w:rPr>
          <w:rFonts w:hint="default" w:ascii="Times New Roman" w:hAnsi="Times New Roman" w:eastAsia="仿宋_GB2312" w:cs="Times New Roman"/>
          <w:color w:val="000000"/>
          <w:kern w:val="0"/>
          <w:sz w:val="32"/>
          <w:szCs w:val="32"/>
          <w:shd w:val="clear" w:color="auto" w:fill="FFFFFF"/>
          <w:lang w:val="en-US" w:eastAsia="zh-CN" w:bidi="ar"/>
        </w:rPr>
        <w:t>万元。其中公务用车购置及运行维护费预算</w:t>
      </w:r>
      <w:r>
        <w:rPr>
          <w:rFonts w:hint="eastAsia" w:ascii="Times New Roman" w:hAnsi="Times New Roman" w:eastAsia="仿宋_GB2312" w:cs="Times New Roman"/>
          <w:color w:val="000000"/>
          <w:kern w:val="0"/>
          <w:sz w:val="32"/>
          <w:szCs w:val="32"/>
          <w:shd w:val="clear" w:color="auto" w:fill="FFFFFF"/>
          <w:lang w:val="en-US" w:eastAsia="zh-CN" w:bidi="ar"/>
        </w:rPr>
        <w:t>21.98</w:t>
      </w:r>
      <w:r>
        <w:rPr>
          <w:rFonts w:hint="default" w:ascii="Times New Roman" w:hAnsi="Times New Roman" w:eastAsia="仿宋_GB2312" w:cs="Times New Roman"/>
          <w:color w:val="000000"/>
          <w:kern w:val="0"/>
          <w:sz w:val="32"/>
          <w:szCs w:val="32"/>
          <w:shd w:val="clear" w:color="auto" w:fill="FFFFFF"/>
          <w:lang w:val="en-US" w:eastAsia="zh-CN" w:bidi="ar"/>
        </w:rPr>
        <w:t>万元，决算支出</w:t>
      </w:r>
      <w:r>
        <w:rPr>
          <w:rFonts w:hint="eastAsia" w:ascii="Times New Roman" w:hAnsi="Times New Roman" w:eastAsia="仿宋_GB2312" w:cs="Times New Roman"/>
          <w:color w:val="000000"/>
          <w:kern w:val="0"/>
          <w:sz w:val="32"/>
          <w:szCs w:val="32"/>
          <w:shd w:val="clear" w:color="auto" w:fill="FFFFFF"/>
          <w:lang w:val="en-US" w:eastAsia="zh-CN" w:bidi="ar"/>
        </w:rPr>
        <w:t>21.98</w:t>
      </w:r>
      <w:r>
        <w:rPr>
          <w:rFonts w:hint="default" w:ascii="Times New Roman" w:hAnsi="Times New Roman" w:eastAsia="仿宋_GB2312" w:cs="Times New Roman"/>
          <w:color w:val="000000"/>
          <w:kern w:val="0"/>
          <w:sz w:val="32"/>
          <w:szCs w:val="32"/>
          <w:shd w:val="clear" w:color="auto" w:fill="FFFFFF"/>
          <w:lang w:val="en-US" w:eastAsia="zh-CN" w:bidi="ar"/>
        </w:rPr>
        <w:t>万元（其中公务用车运行维护费</w:t>
      </w:r>
      <w:r>
        <w:rPr>
          <w:rFonts w:hint="eastAsia" w:ascii="Times New Roman" w:hAnsi="Times New Roman" w:eastAsia="仿宋_GB2312" w:cs="Times New Roman"/>
          <w:color w:val="000000"/>
          <w:kern w:val="0"/>
          <w:sz w:val="32"/>
          <w:szCs w:val="32"/>
          <w:shd w:val="clear" w:color="auto" w:fill="FFFFFF"/>
          <w:lang w:val="en-US" w:eastAsia="zh-CN" w:bidi="ar"/>
        </w:rPr>
        <w:t>21.98</w:t>
      </w:r>
      <w:r>
        <w:rPr>
          <w:rFonts w:hint="default" w:ascii="Times New Roman" w:hAnsi="Times New Roman" w:eastAsia="仿宋_GB2312" w:cs="Times New Roman"/>
          <w:color w:val="000000"/>
          <w:kern w:val="0"/>
          <w:sz w:val="32"/>
          <w:szCs w:val="32"/>
          <w:shd w:val="clear" w:color="auto" w:fill="FFFFFF"/>
          <w:lang w:val="en-US" w:eastAsia="zh-CN" w:bidi="ar"/>
        </w:rPr>
        <w:t>万元），公务接待费年初预算数</w:t>
      </w:r>
      <w:r>
        <w:rPr>
          <w:rFonts w:hint="eastAsia" w:ascii="Times New Roman" w:hAnsi="Times New Roman" w:eastAsia="仿宋_GB2312" w:cs="Times New Roman"/>
          <w:color w:val="000000"/>
          <w:kern w:val="0"/>
          <w:sz w:val="32"/>
          <w:szCs w:val="32"/>
          <w:shd w:val="clear" w:color="auto" w:fill="FFFFFF"/>
          <w:lang w:val="en-US" w:eastAsia="zh-CN" w:bidi="ar"/>
        </w:rPr>
        <w:t>0.65</w:t>
      </w:r>
      <w:r>
        <w:rPr>
          <w:rFonts w:hint="default" w:ascii="Times New Roman" w:hAnsi="Times New Roman" w:eastAsia="仿宋_GB2312" w:cs="Times New Roman"/>
          <w:color w:val="000000"/>
          <w:kern w:val="0"/>
          <w:sz w:val="32"/>
          <w:szCs w:val="32"/>
          <w:shd w:val="clear" w:color="auto" w:fill="FFFFFF"/>
          <w:lang w:val="en-US" w:eastAsia="zh-CN" w:bidi="ar"/>
        </w:rPr>
        <w:t>万元，决算数</w:t>
      </w:r>
      <w:r>
        <w:rPr>
          <w:rFonts w:hint="eastAsia" w:ascii="Times New Roman" w:hAnsi="Times New Roman" w:eastAsia="仿宋_GB2312" w:cs="Times New Roman"/>
          <w:color w:val="000000"/>
          <w:kern w:val="0"/>
          <w:sz w:val="32"/>
          <w:szCs w:val="32"/>
          <w:shd w:val="clear" w:color="auto" w:fill="FFFFFF"/>
          <w:lang w:val="en-US" w:eastAsia="zh-CN" w:bidi="ar"/>
        </w:rPr>
        <w:t>0.65</w:t>
      </w:r>
      <w:r>
        <w:rPr>
          <w:rFonts w:hint="default" w:ascii="Times New Roman" w:hAnsi="Times New Roman" w:eastAsia="仿宋_GB2312" w:cs="Times New Roman"/>
          <w:color w:val="000000"/>
          <w:kern w:val="0"/>
          <w:sz w:val="32"/>
          <w:szCs w:val="32"/>
          <w:shd w:val="clear" w:color="auto" w:fill="FFFFFF"/>
          <w:lang w:val="en-US" w:eastAsia="zh-CN" w:bidi="ar"/>
        </w:rPr>
        <w:t>万元,未发生因公出国（境）费，</w:t>
      </w:r>
      <w:r>
        <w:rPr>
          <w:rFonts w:hint="eastAsia" w:ascii="Times New Roman" w:hAnsi="Times New Roman" w:eastAsia="仿宋_GB2312" w:cs="Times New Roman"/>
          <w:color w:val="000000"/>
          <w:kern w:val="0"/>
          <w:sz w:val="32"/>
          <w:szCs w:val="32"/>
          <w:shd w:val="clear" w:color="auto" w:fill="FFFFFF"/>
          <w:lang w:val="en-US" w:eastAsia="zh-CN" w:bidi="ar"/>
        </w:rPr>
        <w:t>2024</w:t>
      </w:r>
      <w:r>
        <w:rPr>
          <w:rFonts w:hint="default" w:ascii="Times New Roman" w:hAnsi="Times New Roman" w:eastAsia="仿宋_GB2312" w:cs="Times New Roman"/>
          <w:color w:val="000000"/>
          <w:kern w:val="0"/>
          <w:sz w:val="32"/>
          <w:szCs w:val="32"/>
          <w:shd w:val="clear" w:color="auto" w:fill="FFFFFF"/>
          <w:lang w:val="en-US" w:eastAsia="zh-CN" w:bidi="ar"/>
        </w:rPr>
        <w:t>年“三公”经费决算均未超过预算。</w:t>
      </w:r>
    </w:p>
    <w:p w14:paraId="498A5543">
      <w:pPr>
        <w:pStyle w:val="10"/>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textAlignment w:val="auto"/>
        <w:rPr>
          <w:rFonts w:hint="default" w:ascii="Times New Roman" w:hAnsi="Times New Roman" w:eastAsia="仿宋_GB2312" w:cs="Times New Roman"/>
          <w:b/>
          <w:bCs/>
          <w:color w:val="000000"/>
          <w:kern w:val="0"/>
          <w:sz w:val="32"/>
          <w:szCs w:val="32"/>
          <w:shd w:val="clear" w:color="auto" w:fill="FFFFFF"/>
          <w:lang w:bidi="ar"/>
        </w:rPr>
      </w:pPr>
      <w:r>
        <w:rPr>
          <w:rFonts w:hint="default" w:ascii="Times New Roman" w:hAnsi="Times New Roman" w:eastAsia="仿宋_GB2312" w:cs="Times New Roman"/>
          <w:b/>
          <w:bCs/>
          <w:color w:val="000000"/>
          <w:kern w:val="0"/>
          <w:sz w:val="32"/>
          <w:szCs w:val="32"/>
          <w:shd w:val="clear" w:color="auto" w:fill="FFFFFF"/>
          <w:lang w:bidi="ar"/>
        </w:rPr>
        <w:t>7、政府采购</w:t>
      </w:r>
    </w:p>
    <w:p w14:paraId="6BF3959F">
      <w:pPr>
        <w:pStyle w:val="10"/>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default" w:ascii="Times New Roman" w:hAnsi="Times New Roman" w:eastAsia="仿宋_GB2312" w:cs="Times New Roman"/>
          <w:color w:val="000000"/>
          <w:kern w:val="0"/>
          <w:sz w:val="32"/>
          <w:szCs w:val="32"/>
          <w:shd w:val="clear" w:color="auto" w:fill="FFFFFF"/>
          <w:lang w:val="en-US" w:eastAsia="zh-CN" w:bidi="ar"/>
        </w:rPr>
      </w:pPr>
      <w:r>
        <w:rPr>
          <w:rFonts w:hint="default" w:ascii="Times New Roman" w:hAnsi="Times New Roman" w:eastAsia="仿宋_GB2312" w:cs="Times New Roman"/>
          <w:color w:val="000000"/>
          <w:kern w:val="0"/>
          <w:sz w:val="32"/>
          <w:szCs w:val="32"/>
          <w:shd w:val="clear" w:color="auto" w:fill="FFFFFF"/>
          <w:lang w:val="en-US" w:eastAsia="zh-CN" w:bidi="ar"/>
        </w:rPr>
        <w:t>采购规范性。</w:t>
      </w:r>
      <w:r>
        <w:rPr>
          <w:rFonts w:hint="default" w:ascii="Times New Roman" w:hAnsi="Times New Roman" w:eastAsia="仿宋_GB2312" w:cs="Times New Roman"/>
          <w:sz w:val="32"/>
          <w:szCs w:val="32"/>
        </w:rPr>
        <w:t>中共壤塘县</w:t>
      </w:r>
      <w:r>
        <w:rPr>
          <w:rFonts w:hint="eastAsia" w:ascii="Times New Roman" w:hAnsi="Times New Roman" w:eastAsia="仿宋_GB2312" w:cs="Times New Roman"/>
          <w:sz w:val="32"/>
          <w:szCs w:val="32"/>
          <w:lang w:eastAsia="zh-CN"/>
        </w:rPr>
        <w:t>委</w:t>
      </w:r>
      <w:r>
        <w:rPr>
          <w:rFonts w:hint="default" w:ascii="Times New Roman" w:hAnsi="Times New Roman" w:eastAsia="仿宋_GB2312" w:cs="Times New Roman"/>
          <w:sz w:val="32"/>
          <w:szCs w:val="32"/>
        </w:rPr>
        <w:t>组织部</w:t>
      </w:r>
      <w:r>
        <w:rPr>
          <w:rFonts w:hint="eastAsia" w:ascii="Times New Roman" w:hAnsi="Times New Roman" w:eastAsia="仿宋_GB2312" w:cs="Times New Roman"/>
          <w:color w:val="000000"/>
          <w:kern w:val="0"/>
          <w:sz w:val="32"/>
          <w:szCs w:val="32"/>
          <w:shd w:val="clear" w:color="auto" w:fill="FFFFFF"/>
          <w:lang w:val="en-US" w:eastAsia="zh-CN" w:bidi="ar"/>
        </w:rPr>
        <w:t>2024</w:t>
      </w:r>
      <w:r>
        <w:rPr>
          <w:rFonts w:hint="default" w:ascii="Times New Roman" w:hAnsi="Times New Roman" w:eastAsia="仿宋_GB2312" w:cs="Times New Roman"/>
          <w:color w:val="000000"/>
          <w:kern w:val="0"/>
          <w:sz w:val="32"/>
          <w:szCs w:val="32"/>
          <w:shd w:val="clear" w:color="auto" w:fill="FFFFFF"/>
          <w:lang w:val="en-US" w:eastAsia="zh-CN" w:bidi="ar"/>
        </w:rPr>
        <w:t>年度政府采购支出</w:t>
      </w:r>
      <w:r>
        <w:rPr>
          <w:rFonts w:hint="eastAsia" w:ascii="Times New Roman" w:hAnsi="Times New Roman" w:eastAsia="仿宋_GB2312" w:cs="Times New Roman"/>
          <w:color w:val="000000"/>
          <w:kern w:val="0"/>
          <w:sz w:val="32"/>
          <w:szCs w:val="32"/>
          <w:shd w:val="clear" w:color="auto" w:fill="FFFFFF"/>
          <w:lang w:val="en-US" w:eastAsia="zh-CN" w:bidi="ar"/>
        </w:rPr>
        <w:t>371</w:t>
      </w:r>
      <w:r>
        <w:rPr>
          <w:rFonts w:hint="default" w:ascii="Times New Roman" w:hAnsi="Times New Roman" w:eastAsia="仿宋_GB2312" w:cs="Times New Roman"/>
          <w:color w:val="000000"/>
          <w:kern w:val="0"/>
          <w:sz w:val="32"/>
          <w:szCs w:val="32"/>
          <w:shd w:val="clear" w:color="auto" w:fill="FFFFFF"/>
          <w:lang w:val="en-US" w:eastAsia="zh-CN" w:bidi="ar"/>
        </w:rPr>
        <w:t>万元，其中货物支出0万元，政府采购工程支出</w:t>
      </w:r>
      <w:r>
        <w:rPr>
          <w:rFonts w:hint="eastAsia" w:ascii="Times New Roman" w:hAnsi="Times New Roman" w:eastAsia="仿宋_GB2312" w:cs="Times New Roman"/>
          <w:color w:val="000000"/>
          <w:kern w:val="0"/>
          <w:sz w:val="32"/>
          <w:szCs w:val="32"/>
          <w:shd w:val="clear" w:color="auto" w:fill="FFFFFF"/>
          <w:lang w:val="en-US" w:eastAsia="zh-CN" w:bidi="ar"/>
        </w:rPr>
        <w:t>371</w:t>
      </w:r>
      <w:r>
        <w:rPr>
          <w:rFonts w:hint="default" w:ascii="Times New Roman" w:hAnsi="Times New Roman" w:eastAsia="仿宋_GB2312" w:cs="Times New Roman"/>
          <w:color w:val="000000"/>
          <w:kern w:val="0"/>
          <w:sz w:val="32"/>
          <w:szCs w:val="32"/>
          <w:shd w:val="clear" w:color="auto" w:fill="FFFFFF"/>
          <w:lang w:val="en-US" w:eastAsia="zh-CN" w:bidi="ar"/>
        </w:rPr>
        <w:t>万元，政府采购服务支出0万元。</w:t>
      </w:r>
    </w:p>
    <w:p w14:paraId="0E0256D4">
      <w:pPr>
        <w:pStyle w:val="10"/>
        <w:keepNext w:val="0"/>
        <w:keepLines w:val="0"/>
        <w:pageBreakBefore w:val="0"/>
        <w:widowControl w:val="0"/>
        <w:kinsoku/>
        <w:wordWrap/>
        <w:overflowPunct/>
        <w:topLinePunct w:val="0"/>
        <w:autoSpaceDE/>
        <w:autoSpaceDN/>
        <w:bidi w:val="0"/>
        <w:adjustRightInd/>
        <w:snapToGrid/>
        <w:spacing w:after="0" w:line="560" w:lineRule="exact"/>
        <w:ind w:firstLine="321" w:firstLineChars="100"/>
        <w:textAlignment w:val="auto"/>
        <w:rPr>
          <w:rFonts w:hint="default" w:ascii="Times New Roman" w:hAnsi="Times New Roman" w:eastAsia="仿宋_GB2312" w:cs="Times New Roman"/>
          <w:color w:val="000000"/>
          <w:kern w:val="0"/>
          <w:sz w:val="32"/>
          <w:szCs w:val="32"/>
          <w:shd w:val="clear" w:color="auto" w:fill="FFFFFF"/>
          <w:lang w:bidi="ar"/>
        </w:rPr>
      </w:pPr>
      <w:r>
        <w:rPr>
          <w:rFonts w:hint="default" w:ascii="Times New Roman" w:hAnsi="Times New Roman" w:eastAsia="仿宋_GB2312" w:cs="Times New Roman"/>
          <w:b/>
          <w:bCs/>
          <w:color w:val="000000"/>
          <w:kern w:val="0"/>
          <w:sz w:val="32"/>
          <w:szCs w:val="32"/>
          <w:shd w:val="clear" w:color="auto" w:fill="FFFFFF"/>
          <w:lang w:bidi="ar"/>
        </w:rPr>
        <w:t xml:space="preserve">8、资产管理 </w:t>
      </w:r>
      <w:r>
        <w:rPr>
          <w:rFonts w:hint="default" w:ascii="Times New Roman" w:hAnsi="Times New Roman" w:eastAsia="仿宋_GB2312" w:cs="Times New Roman"/>
          <w:color w:val="000000"/>
          <w:kern w:val="0"/>
          <w:sz w:val="32"/>
          <w:szCs w:val="32"/>
          <w:shd w:val="clear" w:color="auto" w:fill="FFFFFF"/>
          <w:lang w:bidi="ar"/>
        </w:rPr>
        <w:t xml:space="preserve"> </w:t>
      </w:r>
    </w:p>
    <w:p w14:paraId="4D9E8F81">
      <w:pPr>
        <w:pStyle w:val="10"/>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default" w:ascii="Times New Roman" w:hAnsi="Times New Roman" w:eastAsia="仿宋_GB2312" w:cs="Times New Roman"/>
          <w:color w:val="000000"/>
          <w:kern w:val="0"/>
          <w:sz w:val="32"/>
          <w:szCs w:val="32"/>
          <w:shd w:val="clear" w:color="auto" w:fill="FFFFFF"/>
          <w:lang w:val="en-US" w:eastAsia="zh-CN" w:bidi="ar"/>
        </w:rPr>
      </w:pPr>
      <w:r>
        <w:rPr>
          <w:rFonts w:hint="default" w:ascii="Times New Roman" w:hAnsi="Times New Roman" w:eastAsia="仿宋_GB2312" w:cs="Times New Roman"/>
          <w:color w:val="000000"/>
          <w:kern w:val="0"/>
          <w:sz w:val="32"/>
          <w:szCs w:val="32"/>
          <w:shd w:val="clear" w:color="auto" w:fill="FFFFFF"/>
          <w:lang w:val="en-US" w:eastAsia="zh-CN" w:bidi="ar"/>
        </w:rPr>
        <w:t>固定资产在用率。截止</w:t>
      </w:r>
      <w:r>
        <w:rPr>
          <w:rFonts w:hint="eastAsia" w:ascii="Times New Roman" w:hAnsi="Times New Roman" w:eastAsia="仿宋_GB2312" w:cs="Times New Roman"/>
          <w:color w:val="000000"/>
          <w:kern w:val="0"/>
          <w:sz w:val="32"/>
          <w:szCs w:val="32"/>
          <w:shd w:val="clear" w:color="auto" w:fill="FFFFFF"/>
          <w:lang w:val="en-US" w:eastAsia="zh-CN" w:bidi="ar"/>
        </w:rPr>
        <w:t>2024</w:t>
      </w:r>
      <w:r>
        <w:rPr>
          <w:rFonts w:hint="default" w:ascii="Times New Roman" w:hAnsi="Times New Roman" w:eastAsia="仿宋_GB2312" w:cs="Times New Roman"/>
          <w:color w:val="000000"/>
          <w:kern w:val="0"/>
          <w:sz w:val="32"/>
          <w:szCs w:val="32"/>
          <w:shd w:val="clear" w:color="auto" w:fill="FFFFFF"/>
          <w:lang w:val="en-US" w:eastAsia="zh-CN" w:bidi="ar"/>
        </w:rPr>
        <w:t>年12月31日，</w:t>
      </w:r>
      <w:r>
        <w:rPr>
          <w:rFonts w:hint="default" w:ascii="Times New Roman" w:hAnsi="Times New Roman" w:eastAsia="仿宋_GB2312" w:cs="Times New Roman"/>
          <w:sz w:val="32"/>
          <w:szCs w:val="32"/>
        </w:rPr>
        <w:t>中共壤塘县</w:t>
      </w:r>
      <w:r>
        <w:rPr>
          <w:rFonts w:hint="eastAsia" w:ascii="Times New Roman" w:hAnsi="Times New Roman" w:eastAsia="仿宋_GB2312" w:cs="Times New Roman"/>
          <w:sz w:val="32"/>
          <w:szCs w:val="32"/>
          <w:lang w:eastAsia="zh-CN"/>
        </w:rPr>
        <w:t>委</w:t>
      </w:r>
      <w:r>
        <w:rPr>
          <w:rFonts w:hint="default" w:ascii="Times New Roman" w:hAnsi="Times New Roman" w:eastAsia="仿宋_GB2312" w:cs="Times New Roman"/>
          <w:sz w:val="32"/>
          <w:szCs w:val="32"/>
        </w:rPr>
        <w:t>组织部</w:t>
      </w:r>
      <w:r>
        <w:rPr>
          <w:rFonts w:hint="default" w:ascii="Times New Roman" w:hAnsi="Times New Roman" w:eastAsia="仿宋_GB2312" w:cs="Times New Roman"/>
          <w:color w:val="000000"/>
          <w:kern w:val="0"/>
          <w:sz w:val="32"/>
          <w:szCs w:val="32"/>
          <w:shd w:val="clear" w:color="auto" w:fill="FFFFFF"/>
          <w:lang w:val="en-US" w:eastAsia="zh-CN" w:bidi="ar"/>
        </w:rPr>
        <w:t>《行政单位资产管理系统》资产总计</w:t>
      </w:r>
      <w:r>
        <w:rPr>
          <w:rFonts w:hint="eastAsia" w:ascii="Times New Roman" w:hAnsi="Times New Roman" w:eastAsia="仿宋_GB2312" w:cs="Times New Roman"/>
          <w:color w:val="000000"/>
          <w:kern w:val="0"/>
          <w:sz w:val="32"/>
          <w:szCs w:val="32"/>
          <w:shd w:val="clear" w:color="auto" w:fill="FFFFFF"/>
          <w:lang w:val="en-US" w:eastAsia="zh-CN" w:bidi="ar"/>
        </w:rPr>
        <w:t>540.83</w:t>
      </w:r>
      <w:r>
        <w:rPr>
          <w:rFonts w:hint="default" w:ascii="Times New Roman" w:hAnsi="Times New Roman" w:eastAsia="仿宋_GB2312" w:cs="Times New Roman"/>
          <w:color w:val="000000"/>
          <w:kern w:val="0"/>
          <w:sz w:val="32"/>
          <w:szCs w:val="32"/>
          <w:shd w:val="clear" w:color="auto" w:fill="FFFFFF"/>
          <w:lang w:val="en-US" w:eastAsia="zh-CN" w:bidi="ar"/>
        </w:rPr>
        <w:t>万元，在用的固定资产总计</w:t>
      </w:r>
      <w:r>
        <w:rPr>
          <w:rFonts w:hint="eastAsia" w:ascii="Times New Roman" w:hAnsi="Times New Roman" w:eastAsia="仿宋_GB2312" w:cs="Times New Roman"/>
          <w:color w:val="000000"/>
          <w:kern w:val="0"/>
          <w:sz w:val="32"/>
          <w:szCs w:val="32"/>
          <w:shd w:val="clear" w:color="auto" w:fill="FFFFFF"/>
          <w:lang w:val="en-US" w:eastAsia="zh-CN" w:bidi="ar"/>
        </w:rPr>
        <w:t>540.83</w:t>
      </w:r>
      <w:r>
        <w:rPr>
          <w:rFonts w:hint="default" w:ascii="Times New Roman" w:hAnsi="Times New Roman" w:eastAsia="仿宋_GB2312" w:cs="Times New Roman"/>
          <w:color w:val="000000"/>
          <w:kern w:val="0"/>
          <w:sz w:val="32"/>
          <w:szCs w:val="32"/>
          <w:shd w:val="clear" w:color="auto" w:fill="FFFFFF"/>
          <w:lang w:val="en-US" w:eastAsia="zh-CN" w:bidi="ar"/>
        </w:rPr>
        <w:t>万元，固定资产在用率达100%</w:t>
      </w:r>
    </w:p>
    <w:p w14:paraId="35F27BE9">
      <w:pPr>
        <w:pStyle w:val="10"/>
        <w:keepNext w:val="0"/>
        <w:keepLines w:val="0"/>
        <w:pageBreakBefore w:val="0"/>
        <w:widowControl w:val="0"/>
        <w:kinsoku/>
        <w:wordWrap/>
        <w:overflowPunct/>
        <w:topLinePunct w:val="0"/>
        <w:autoSpaceDE/>
        <w:autoSpaceDN/>
        <w:bidi w:val="0"/>
        <w:adjustRightInd/>
        <w:snapToGrid/>
        <w:spacing w:after="0" w:line="560" w:lineRule="exact"/>
        <w:ind w:firstLine="321" w:firstLineChars="100"/>
        <w:textAlignment w:val="auto"/>
        <w:rPr>
          <w:rFonts w:hint="default" w:ascii="Times New Roman" w:hAnsi="Times New Roman" w:eastAsia="仿宋_GB2312" w:cs="Times New Roman"/>
          <w:b/>
          <w:bCs/>
          <w:color w:val="000000"/>
          <w:kern w:val="0"/>
          <w:sz w:val="32"/>
          <w:szCs w:val="32"/>
          <w:shd w:val="clear" w:color="auto" w:fill="FFFFFF"/>
          <w:lang w:bidi="ar"/>
        </w:rPr>
      </w:pPr>
      <w:r>
        <w:rPr>
          <w:rFonts w:hint="default" w:ascii="Times New Roman" w:hAnsi="Times New Roman" w:eastAsia="仿宋_GB2312" w:cs="Times New Roman"/>
          <w:b/>
          <w:bCs/>
          <w:color w:val="000000"/>
          <w:kern w:val="0"/>
          <w:sz w:val="32"/>
          <w:szCs w:val="32"/>
          <w:shd w:val="clear" w:color="auto" w:fill="FFFFFF"/>
          <w:lang w:bidi="ar"/>
        </w:rPr>
        <w:t>9、信息公开</w:t>
      </w:r>
    </w:p>
    <w:p w14:paraId="740F5536">
      <w:pPr>
        <w:pStyle w:val="10"/>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default" w:ascii="Times New Roman" w:hAnsi="Times New Roman" w:eastAsia="仿宋_GB2312" w:cs="Times New Roman"/>
          <w:color w:val="000000"/>
          <w:kern w:val="0"/>
          <w:sz w:val="32"/>
          <w:szCs w:val="32"/>
          <w:shd w:val="clear" w:color="auto" w:fill="FFFFFF"/>
          <w:lang w:val="en-US" w:eastAsia="zh-CN" w:bidi="ar"/>
        </w:rPr>
      </w:pPr>
      <w:r>
        <w:rPr>
          <w:rFonts w:hint="default" w:ascii="Times New Roman" w:hAnsi="Times New Roman" w:eastAsia="仿宋_GB2312" w:cs="Times New Roman"/>
          <w:color w:val="000000"/>
          <w:kern w:val="0"/>
          <w:sz w:val="32"/>
          <w:szCs w:val="32"/>
          <w:shd w:val="clear" w:color="auto" w:fill="FFFFFF"/>
          <w:lang w:val="en-US" w:eastAsia="zh-CN" w:bidi="ar"/>
        </w:rPr>
        <w:t>信息公开。</w:t>
      </w:r>
      <w:r>
        <w:rPr>
          <w:rFonts w:hint="default" w:ascii="Times New Roman" w:hAnsi="Times New Roman" w:eastAsia="仿宋_GB2312" w:cs="Times New Roman"/>
          <w:sz w:val="32"/>
          <w:szCs w:val="32"/>
        </w:rPr>
        <w:t>中共壤塘县</w:t>
      </w:r>
      <w:r>
        <w:rPr>
          <w:rFonts w:hint="eastAsia" w:ascii="Times New Roman" w:hAnsi="Times New Roman" w:eastAsia="仿宋_GB2312" w:cs="Times New Roman"/>
          <w:sz w:val="32"/>
          <w:szCs w:val="32"/>
          <w:lang w:eastAsia="zh-CN"/>
        </w:rPr>
        <w:t>委</w:t>
      </w:r>
      <w:r>
        <w:rPr>
          <w:rFonts w:hint="default" w:ascii="Times New Roman" w:hAnsi="Times New Roman" w:eastAsia="仿宋_GB2312" w:cs="Times New Roman"/>
          <w:sz w:val="32"/>
          <w:szCs w:val="32"/>
        </w:rPr>
        <w:t>组织部</w:t>
      </w:r>
      <w:r>
        <w:rPr>
          <w:rFonts w:hint="default" w:ascii="Times New Roman" w:hAnsi="Times New Roman" w:eastAsia="仿宋_GB2312" w:cs="Times New Roman"/>
          <w:color w:val="000000"/>
          <w:kern w:val="0"/>
          <w:sz w:val="32"/>
          <w:szCs w:val="32"/>
          <w:shd w:val="clear" w:color="auto" w:fill="FFFFFF"/>
          <w:lang w:val="en-US" w:eastAsia="zh-CN" w:bidi="ar"/>
        </w:rPr>
        <w:t>已经按财政要求及时完成预算、决算、绩效等信息公开工作，信息公开在壤塘县门户网站中。</w:t>
      </w:r>
    </w:p>
    <w:p w14:paraId="7AADCC67">
      <w:pPr>
        <w:pStyle w:val="10"/>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textAlignment w:val="auto"/>
        <w:rPr>
          <w:rFonts w:hint="default" w:ascii="Times New Roman" w:hAnsi="Times New Roman" w:eastAsia="楷体_GB2312" w:cs="Times New Roman"/>
          <w:b/>
          <w:bCs/>
          <w:color w:val="000000"/>
          <w:kern w:val="0"/>
          <w:sz w:val="32"/>
          <w:szCs w:val="32"/>
          <w:shd w:val="clear" w:color="auto" w:fill="FFFFFF"/>
          <w:lang w:bidi="ar"/>
        </w:rPr>
      </w:pPr>
      <w:r>
        <w:rPr>
          <w:rFonts w:hint="default" w:ascii="Times New Roman" w:hAnsi="Times New Roman" w:eastAsia="楷体_GB2312" w:cs="Times New Roman"/>
          <w:b/>
          <w:bCs/>
          <w:color w:val="000000"/>
          <w:kern w:val="0"/>
          <w:sz w:val="32"/>
          <w:szCs w:val="32"/>
          <w:shd w:val="clear" w:color="auto" w:fill="FFFFFF"/>
          <w:lang w:bidi="ar"/>
        </w:rPr>
        <w:t>（二）结果应用情况</w:t>
      </w:r>
    </w:p>
    <w:p w14:paraId="73D8AB3C">
      <w:pPr>
        <w:pStyle w:val="10"/>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default" w:ascii="Times New Roman" w:hAnsi="Times New Roman" w:eastAsia="仿宋_GB2312" w:cs="Times New Roman"/>
          <w:color w:val="000000"/>
          <w:kern w:val="0"/>
          <w:sz w:val="32"/>
          <w:szCs w:val="32"/>
          <w:shd w:val="clear" w:color="auto" w:fill="FFFFFF"/>
          <w:lang w:val="en-US" w:eastAsia="zh-CN" w:bidi="ar"/>
        </w:rPr>
      </w:pPr>
      <w:r>
        <w:rPr>
          <w:rFonts w:hint="default" w:ascii="Times New Roman" w:hAnsi="Times New Roman" w:eastAsia="仿宋_GB2312" w:cs="Times New Roman"/>
          <w:color w:val="000000"/>
          <w:kern w:val="0"/>
          <w:sz w:val="32"/>
          <w:szCs w:val="32"/>
          <w:shd w:val="clear" w:color="auto" w:fill="FFFFFF"/>
          <w:lang w:val="en-US" w:eastAsia="zh-CN" w:bidi="ar"/>
        </w:rPr>
        <w:t>绩效目标填报执行了《四川省省级财政专项资金绩效分配管理暂行办法》，实施绩效分配。在项目资金管理方面，单位建立和健全项目资金管理制度和管理办法。严格资金的使用和划拨流程，确保资金使用安全、公平、合理。项目资金做到了专款专用，及时支付。资金的支付均通过对公账户，直接支付到供应商,切实保障了资金使用的准确性和安全性。在绩效目标评价方面，根据县财政局要求，我部成立自评工作小组，组织实施本单位</w:t>
      </w:r>
      <w:r>
        <w:rPr>
          <w:rFonts w:hint="eastAsia" w:ascii="Times New Roman" w:hAnsi="Times New Roman" w:eastAsia="仿宋_GB2312" w:cs="Times New Roman"/>
          <w:color w:val="000000"/>
          <w:kern w:val="0"/>
          <w:sz w:val="32"/>
          <w:szCs w:val="32"/>
          <w:shd w:val="clear" w:color="auto" w:fill="FFFFFF"/>
          <w:lang w:val="en-US" w:eastAsia="zh-CN" w:bidi="ar"/>
        </w:rPr>
        <w:t>2024</w:t>
      </w:r>
      <w:r>
        <w:rPr>
          <w:rFonts w:hint="default" w:ascii="Times New Roman" w:hAnsi="Times New Roman" w:eastAsia="仿宋_GB2312" w:cs="Times New Roman"/>
          <w:color w:val="000000"/>
          <w:kern w:val="0"/>
          <w:sz w:val="32"/>
          <w:szCs w:val="32"/>
          <w:shd w:val="clear" w:color="auto" w:fill="FFFFFF"/>
          <w:lang w:val="en-US" w:eastAsia="zh-CN" w:bidi="ar"/>
        </w:rPr>
        <w:t>年绩效管理自评工作。</w:t>
      </w:r>
    </w:p>
    <w:p w14:paraId="4A1B5D5D">
      <w:pPr>
        <w:keepNext w:val="0"/>
        <w:keepLines w:val="0"/>
        <w:pageBreakBefore w:val="0"/>
        <w:widowControl/>
        <w:numPr>
          <w:ilvl w:val="0"/>
          <w:numId w:val="3"/>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Times New Roman" w:hAnsi="Times New Roman" w:eastAsia="黑体" w:cs="Times New Roman"/>
          <w:color w:val="000000"/>
          <w:kern w:val="0"/>
          <w:sz w:val="32"/>
          <w:szCs w:val="32"/>
          <w:shd w:val="clear" w:color="auto" w:fill="FFFFFF"/>
          <w:lang w:bidi="ar"/>
        </w:rPr>
      </w:pPr>
      <w:r>
        <w:rPr>
          <w:rFonts w:hint="default" w:ascii="Times New Roman" w:hAnsi="Times New Roman" w:eastAsia="黑体" w:cs="Times New Roman"/>
          <w:color w:val="000000"/>
          <w:kern w:val="0"/>
          <w:sz w:val="32"/>
          <w:szCs w:val="32"/>
          <w:shd w:val="clear" w:color="auto" w:fill="FFFFFF"/>
          <w:lang w:bidi="ar"/>
        </w:rPr>
        <w:t>评价结论及建议</w:t>
      </w:r>
    </w:p>
    <w:p w14:paraId="498EEB83">
      <w:pPr>
        <w:keepNext w:val="0"/>
        <w:keepLines w:val="0"/>
        <w:pageBreakBefore w:val="0"/>
        <w:widowControl/>
        <w:numPr>
          <w:ilvl w:val="0"/>
          <w:numId w:val="4"/>
        </w:numPr>
        <w:kinsoku/>
        <w:wordWrap/>
        <w:overflowPunct/>
        <w:topLinePunct w:val="0"/>
        <w:autoSpaceDE/>
        <w:autoSpaceDN/>
        <w:bidi w:val="0"/>
        <w:adjustRightInd w:val="0"/>
        <w:snapToGrid w:val="0"/>
        <w:spacing w:line="560" w:lineRule="exact"/>
        <w:ind w:firstLine="643" w:firstLineChars="200"/>
        <w:contextualSpacing/>
        <w:jc w:val="left"/>
        <w:textAlignment w:val="auto"/>
        <w:rPr>
          <w:rFonts w:hint="default" w:ascii="Times New Roman" w:hAnsi="Times New Roman" w:eastAsia="楷体_GB2312" w:cs="Times New Roman"/>
          <w:b/>
          <w:bCs/>
          <w:color w:val="000000"/>
          <w:kern w:val="0"/>
          <w:sz w:val="32"/>
          <w:szCs w:val="32"/>
          <w:shd w:val="clear" w:color="auto" w:fill="FFFFFF"/>
          <w:lang w:val="en-US" w:eastAsia="zh-CN" w:bidi="ar"/>
        </w:rPr>
      </w:pPr>
      <w:r>
        <w:rPr>
          <w:rFonts w:hint="default" w:ascii="Times New Roman" w:hAnsi="Times New Roman" w:eastAsia="楷体_GB2312" w:cs="Times New Roman"/>
          <w:b/>
          <w:bCs/>
          <w:color w:val="000000"/>
          <w:kern w:val="0"/>
          <w:sz w:val="32"/>
          <w:szCs w:val="32"/>
          <w:shd w:val="clear" w:color="auto" w:fill="FFFFFF"/>
          <w:lang w:val="en-US" w:eastAsia="zh-CN" w:bidi="ar"/>
        </w:rPr>
        <w:t>评价结论</w:t>
      </w:r>
    </w:p>
    <w:p w14:paraId="293D1DC5">
      <w:pPr>
        <w:pStyle w:val="10"/>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default" w:ascii="Times New Roman" w:hAnsi="Times New Roman" w:eastAsia="仿宋_GB2312" w:cs="Times New Roman"/>
          <w:color w:val="000000"/>
          <w:kern w:val="0"/>
          <w:sz w:val="32"/>
          <w:szCs w:val="32"/>
          <w:shd w:val="clear" w:color="auto" w:fill="FFFFFF"/>
          <w:lang w:val="en-US" w:eastAsia="zh-CN" w:bidi="ar"/>
        </w:rPr>
      </w:pPr>
      <w:r>
        <w:rPr>
          <w:rFonts w:hint="default" w:ascii="Times New Roman" w:hAnsi="Times New Roman" w:eastAsia="仿宋_GB2312" w:cs="Times New Roman"/>
          <w:color w:val="000000"/>
          <w:kern w:val="0"/>
          <w:sz w:val="32"/>
          <w:szCs w:val="32"/>
          <w:shd w:val="clear" w:color="auto" w:fill="FFFFFF"/>
          <w:lang w:val="zh-CN" w:eastAsia="zh-CN" w:bidi="ar"/>
        </w:rPr>
        <w:t>我部通过加强预算收支管理，不断建立健全内部管理制度，强化内部管理流程，部门整体支出管理情况得到提升，也能较好完成部门决算的编制、送审、批复和公开工作。同时也认识到在编制决算过程中存在项目分类不够精细、功能科目分类不够准确等不足。在下一年度的部门预算编制、执行决算中，我部将继续努力，科学合理编制预决算，进行绩效评价，加强精细管理，完善不足。</w:t>
      </w:r>
      <w:r>
        <w:rPr>
          <w:rFonts w:hint="default" w:ascii="Times New Roman" w:hAnsi="Times New Roman" w:eastAsia="仿宋_GB2312" w:cs="Times New Roman"/>
          <w:color w:val="000000"/>
          <w:kern w:val="0"/>
          <w:sz w:val="32"/>
          <w:szCs w:val="32"/>
          <w:shd w:val="clear" w:color="auto" w:fill="FFFFFF"/>
          <w:lang w:val="en-US" w:eastAsia="zh-CN" w:bidi="ar"/>
        </w:rPr>
        <w:t>根据《壤塘县</w:t>
      </w:r>
      <w:r>
        <w:rPr>
          <w:rFonts w:hint="eastAsia" w:ascii="Times New Roman" w:hAnsi="Times New Roman" w:eastAsia="仿宋_GB2312" w:cs="Times New Roman"/>
          <w:color w:val="000000"/>
          <w:kern w:val="0"/>
          <w:sz w:val="32"/>
          <w:szCs w:val="32"/>
          <w:shd w:val="clear" w:color="auto" w:fill="FFFFFF"/>
          <w:lang w:val="en-US" w:eastAsia="zh-CN" w:bidi="ar"/>
        </w:rPr>
        <w:t>2024</w:t>
      </w:r>
      <w:r>
        <w:rPr>
          <w:rFonts w:hint="default" w:ascii="Times New Roman" w:hAnsi="Times New Roman" w:eastAsia="仿宋_GB2312" w:cs="Times New Roman"/>
          <w:color w:val="000000"/>
          <w:kern w:val="0"/>
          <w:sz w:val="32"/>
          <w:szCs w:val="32"/>
          <w:shd w:val="clear" w:color="auto" w:fill="FFFFFF"/>
          <w:lang w:val="en-US" w:eastAsia="zh-CN" w:bidi="ar"/>
        </w:rPr>
        <w:t>年部门整体支出绩效评价指标体系》评分，得分</w:t>
      </w:r>
      <w:r>
        <w:rPr>
          <w:rFonts w:hint="eastAsia" w:ascii="Times New Roman" w:hAnsi="Times New Roman" w:eastAsia="仿宋_GB2312" w:cs="Times New Roman"/>
          <w:color w:val="auto"/>
          <w:kern w:val="0"/>
          <w:sz w:val="32"/>
          <w:szCs w:val="32"/>
          <w:shd w:val="clear" w:color="auto" w:fill="FFFFFF"/>
          <w:lang w:val="en-US" w:eastAsia="zh-CN" w:bidi="ar"/>
        </w:rPr>
        <w:t>97</w:t>
      </w:r>
      <w:r>
        <w:rPr>
          <w:rFonts w:hint="default" w:ascii="Times New Roman" w:hAnsi="Times New Roman" w:eastAsia="仿宋_GB2312" w:cs="Times New Roman"/>
          <w:color w:val="auto"/>
          <w:kern w:val="0"/>
          <w:sz w:val="32"/>
          <w:szCs w:val="32"/>
          <w:shd w:val="clear" w:color="auto" w:fill="FFFFFF"/>
          <w:lang w:val="en-US" w:eastAsia="zh-CN" w:bidi="ar"/>
        </w:rPr>
        <w:t>分</w:t>
      </w:r>
      <w:r>
        <w:rPr>
          <w:rFonts w:hint="default" w:ascii="Times New Roman" w:hAnsi="Times New Roman" w:eastAsia="仿宋_GB2312" w:cs="Times New Roman"/>
          <w:color w:val="000000"/>
          <w:kern w:val="0"/>
          <w:sz w:val="32"/>
          <w:szCs w:val="32"/>
          <w:shd w:val="clear" w:color="auto" w:fill="FFFFFF"/>
          <w:lang w:val="en-US" w:eastAsia="zh-CN" w:bidi="ar"/>
        </w:rPr>
        <w:t>，绩效评价结果优秀。</w:t>
      </w:r>
    </w:p>
    <w:p w14:paraId="0014EB47">
      <w:pPr>
        <w:keepNext w:val="0"/>
        <w:keepLines w:val="0"/>
        <w:pageBreakBefore w:val="0"/>
        <w:widowControl/>
        <w:numPr>
          <w:ilvl w:val="0"/>
          <w:numId w:val="4"/>
        </w:numPr>
        <w:kinsoku/>
        <w:wordWrap/>
        <w:overflowPunct/>
        <w:topLinePunct w:val="0"/>
        <w:autoSpaceDE/>
        <w:autoSpaceDN/>
        <w:bidi w:val="0"/>
        <w:adjustRightInd w:val="0"/>
        <w:snapToGrid w:val="0"/>
        <w:spacing w:line="560" w:lineRule="exact"/>
        <w:ind w:firstLine="643" w:firstLineChars="200"/>
        <w:contextualSpacing/>
        <w:jc w:val="left"/>
        <w:textAlignment w:val="auto"/>
        <w:rPr>
          <w:rFonts w:hint="default" w:ascii="Times New Roman" w:hAnsi="Times New Roman" w:eastAsia="楷体_GB2312" w:cs="Times New Roman"/>
          <w:b/>
          <w:bCs/>
          <w:color w:val="000000"/>
          <w:kern w:val="0"/>
          <w:sz w:val="32"/>
          <w:szCs w:val="32"/>
          <w:shd w:val="clear" w:color="auto" w:fill="FFFFFF"/>
          <w:lang w:val="en-US" w:eastAsia="zh-CN" w:bidi="ar"/>
        </w:rPr>
      </w:pPr>
      <w:r>
        <w:rPr>
          <w:rFonts w:hint="default" w:ascii="Times New Roman" w:hAnsi="Times New Roman" w:eastAsia="楷体_GB2312" w:cs="Times New Roman"/>
          <w:b/>
          <w:bCs/>
          <w:color w:val="000000"/>
          <w:kern w:val="0"/>
          <w:sz w:val="32"/>
          <w:szCs w:val="32"/>
          <w:shd w:val="clear" w:color="auto" w:fill="FFFFFF"/>
          <w:lang w:val="en-US" w:eastAsia="zh-CN" w:bidi="ar"/>
        </w:rPr>
        <w:t>存在问题</w:t>
      </w:r>
    </w:p>
    <w:p w14:paraId="58A9E86A">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Times New Roman" w:hAnsi="Times New Roman" w:eastAsia="仿宋_GB2312" w:cs="Times New Roman"/>
          <w:color w:val="000000"/>
          <w:kern w:val="0"/>
          <w:sz w:val="32"/>
          <w:szCs w:val="32"/>
          <w:lang w:val="zh-CN" w:bidi="ar"/>
        </w:rPr>
      </w:pPr>
      <w:r>
        <w:rPr>
          <w:rFonts w:hint="default" w:ascii="Times New Roman" w:hAnsi="Times New Roman" w:eastAsia="仿宋_GB2312" w:cs="Times New Roman"/>
          <w:color w:val="000000"/>
          <w:kern w:val="0"/>
          <w:sz w:val="32"/>
          <w:szCs w:val="32"/>
          <w:lang w:bidi="ar"/>
        </w:rPr>
        <w:t>1</w:t>
      </w:r>
      <w:r>
        <w:rPr>
          <w:rFonts w:hint="eastAsia" w:eastAsia="仿宋_GB2312" w:cs="Times New Roman"/>
          <w:color w:val="000000"/>
          <w:kern w:val="0"/>
          <w:sz w:val="32"/>
          <w:szCs w:val="32"/>
          <w:lang w:eastAsia="zh-CN" w:bidi="ar"/>
        </w:rPr>
        <w:t>.</w:t>
      </w:r>
      <w:r>
        <w:rPr>
          <w:rFonts w:hint="default" w:ascii="Times New Roman" w:hAnsi="Times New Roman" w:eastAsia="仿宋_GB2312" w:cs="Times New Roman"/>
          <w:color w:val="000000"/>
          <w:kern w:val="0"/>
          <w:sz w:val="32"/>
          <w:szCs w:val="32"/>
          <w:lang w:bidi="ar"/>
        </w:rPr>
        <w:t>预算编制前根据年度内单位可预见的工作任务，确定了单位年度预算目标，细化了预算指标，但预算编制的精准性有待进一步提高，此外还需加强建设财务监控监督措施和制度学习。</w:t>
      </w:r>
    </w:p>
    <w:p w14:paraId="739E3982">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kern w:val="0"/>
          <w:sz w:val="32"/>
          <w:szCs w:val="32"/>
          <w:lang w:bidi="ar"/>
        </w:rPr>
        <w:t>2</w:t>
      </w:r>
      <w:r>
        <w:rPr>
          <w:rFonts w:hint="eastAsia" w:eastAsia="仿宋_GB2312" w:cs="Times New Roman"/>
          <w:color w:val="000000"/>
          <w:kern w:val="0"/>
          <w:sz w:val="32"/>
          <w:szCs w:val="32"/>
          <w:lang w:eastAsia="zh-CN" w:bidi="ar"/>
        </w:rPr>
        <w:t>.</w:t>
      </w:r>
      <w:r>
        <w:rPr>
          <w:rFonts w:hint="default" w:ascii="Times New Roman" w:hAnsi="Times New Roman" w:eastAsia="仿宋_GB2312" w:cs="Times New Roman"/>
          <w:color w:val="000000"/>
          <w:kern w:val="0"/>
          <w:sz w:val="32"/>
          <w:szCs w:val="32"/>
          <w:lang w:val="zh-CN" w:bidi="ar"/>
        </w:rPr>
        <w:t>对部门整体支出预算评价工作不够重视，没有把预算财务分析作为常态化工作。</w:t>
      </w:r>
    </w:p>
    <w:p w14:paraId="1499D8A0">
      <w:pPr>
        <w:keepNext w:val="0"/>
        <w:keepLines w:val="0"/>
        <w:pageBreakBefore w:val="0"/>
        <w:widowControl/>
        <w:numPr>
          <w:ilvl w:val="0"/>
          <w:numId w:val="4"/>
        </w:numPr>
        <w:kinsoku/>
        <w:wordWrap/>
        <w:overflowPunct/>
        <w:topLinePunct w:val="0"/>
        <w:autoSpaceDE/>
        <w:autoSpaceDN/>
        <w:bidi w:val="0"/>
        <w:adjustRightInd w:val="0"/>
        <w:snapToGrid w:val="0"/>
        <w:spacing w:line="560" w:lineRule="exact"/>
        <w:ind w:firstLine="643" w:firstLineChars="200"/>
        <w:contextualSpacing/>
        <w:jc w:val="left"/>
        <w:textAlignment w:val="auto"/>
        <w:rPr>
          <w:rFonts w:hint="default" w:ascii="Times New Roman" w:hAnsi="Times New Roman" w:eastAsia="楷体_GB2312" w:cs="Times New Roman"/>
          <w:b/>
          <w:bCs/>
          <w:color w:val="000000"/>
          <w:kern w:val="0"/>
          <w:sz w:val="32"/>
          <w:szCs w:val="32"/>
          <w:shd w:val="clear" w:color="auto" w:fill="FFFFFF"/>
          <w:lang w:val="en-US" w:eastAsia="zh-CN" w:bidi="ar"/>
        </w:rPr>
      </w:pPr>
      <w:r>
        <w:rPr>
          <w:rFonts w:hint="default" w:ascii="Times New Roman" w:hAnsi="Times New Roman" w:eastAsia="楷体_GB2312" w:cs="Times New Roman"/>
          <w:b/>
          <w:bCs/>
          <w:color w:val="000000"/>
          <w:kern w:val="0"/>
          <w:sz w:val="32"/>
          <w:szCs w:val="32"/>
          <w:shd w:val="clear" w:color="auto" w:fill="FFFFFF"/>
          <w:lang w:val="en-US" w:eastAsia="zh-CN" w:bidi="ar"/>
        </w:rPr>
        <w:t>改进建议</w:t>
      </w:r>
    </w:p>
    <w:p w14:paraId="7702F78C">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kern w:val="0"/>
          <w:sz w:val="32"/>
          <w:szCs w:val="32"/>
          <w:lang w:bidi="ar"/>
        </w:rPr>
        <w:t>1.加强学习，提高思想认识。组织单位财务人员认真学习《</w:t>
      </w:r>
      <w:r>
        <w:rPr>
          <w:rFonts w:hint="eastAsia" w:eastAsia="仿宋_GB2312"/>
          <w:color w:val="000000"/>
          <w:kern w:val="0"/>
          <w:sz w:val="32"/>
          <w:szCs w:val="32"/>
          <w:lang w:eastAsia="zh-CN"/>
        </w:rPr>
        <w:t>中华人民共和国</w:t>
      </w:r>
      <w:r>
        <w:rPr>
          <w:rFonts w:eastAsia="仿宋_GB2312"/>
          <w:color w:val="000000"/>
          <w:kern w:val="0"/>
          <w:sz w:val="32"/>
          <w:szCs w:val="32"/>
        </w:rPr>
        <w:t>预算法</w:t>
      </w:r>
      <w:r>
        <w:rPr>
          <w:rFonts w:hint="default" w:ascii="Times New Roman" w:hAnsi="Times New Roman" w:eastAsia="仿宋_GB2312" w:cs="Times New Roman"/>
          <w:color w:val="000000"/>
          <w:kern w:val="0"/>
          <w:sz w:val="32"/>
          <w:szCs w:val="32"/>
          <w:lang w:bidi="ar"/>
        </w:rPr>
        <w:t>》《项目支出绩效评价》等文件精神及相关法规、制度，提高单位领导对全面预算管理及绩效评价工作的重视程度，增强意识。</w:t>
      </w:r>
    </w:p>
    <w:p w14:paraId="36D7EF58">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kern w:val="0"/>
          <w:sz w:val="32"/>
          <w:szCs w:val="32"/>
          <w:lang w:bidi="ar"/>
        </w:rPr>
        <w:t>2.提高预算编制的可操作性，强化预算执行约束力，尽量减少预算调整。</w:t>
      </w:r>
    </w:p>
    <w:p w14:paraId="3A320493">
      <w:pPr>
        <w:spacing w:line="560" w:lineRule="exact"/>
        <w:ind w:firstLine="640" w:firstLineChars="200"/>
        <w:rPr>
          <w:sz w:val="32"/>
          <w:szCs w:val="32"/>
          <w:lang w:val="zh-CN"/>
        </w:rPr>
      </w:pPr>
    </w:p>
    <w:p w14:paraId="0B47FB9B">
      <w:pPr>
        <w:pStyle w:val="13"/>
        <w:rPr>
          <w:sz w:val="32"/>
          <w:szCs w:val="32"/>
          <w:lang w:val="zh-CN"/>
        </w:rPr>
      </w:pPr>
    </w:p>
    <w:p w14:paraId="19D95E56">
      <w:pPr>
        <w:pStyle w:val="13"/>
        <w:rPr>
          <w:sz w:val="32"/>
          <w:szCs w:val="32"/>
          <w:lang w:val="zh-CN"/>
        </w:rPr>
      </w:pPr>
    </w:p>
    <w:p w14:paraId="21A81352">
      <w:pPr>
        <w:pStyle w:val="13"/>
        <w:rPr>
          <w:sz w:val="32"/>
          <w:szCs w:val="32"/>
          <w:lang w:val="zh-CN"/>
        </w:rPr>
      </w:pPr>
    </w:p>
    <w:p w14:paraId="0F5039E3">
      <w:pPr>
        <w:pStyle w:val="13"/>
        <w:rPr>
          <w:sz w:val="32"/>
          <w:szCs w:val="32"/>
          <w:lang w:val="zh-CN"/>
        </w:rPr>
      </w:pPr>
    </w:p>
    <w:p w14:paraId="0E9608B2">
      <w:pPr>
        <w:pStyle w:val="13"/>
        <w:rPr>
          <w:sz w:val="32"/>
          <w:szCs w:val="32"/>
          <w:lang w:val="zh-CN"/>
        </w:rPr>
      </w:pPr>
    </w:p>
    <w:p w14:paraId="4D238DF7">
      <w:pPr>
        <w:pStyle w:val="13"/>
        <w:rPr>
          <w:sz w:val="32"/>
          <w:szCs w:val="32"/>
          <w:lang w:val="zh-CN"/>
        </w:rPr>
      </w:pPr>
    </w:p>
    <w:p w14:paraId="0A1649EF">
      <w:pPr>
        <w:pStyle w:val="13"/>
        <w:rPr>
          <w:sz w:val="32"/>
          <w:szCs w:val="32"/>
          <w:lang w:val="zh-CN"/>
        </w:rPr>
      </w:pPr>
    </w:p>
    <w:p w14:paraId="4BC4BA2A">
      <w:pPr>
        <w:pStyle w:val="13"/>
        <w:rPr>
          <w:sz w:val="32"/>
          <w:szCs w:val="32"/>
          <w:lang w:val="zh-CN"/>
        </w:rPr>
      </w:pPr>
    </w:p>
    <w:p w14:paraId="7FC4CABD">
      <w:pPr>
        <w:rPr>
          <w:rFonts w:hint="eastAsia"/>
          <w:sz w:val="32"/>
          <w:szCs w:val="32"/>
          <w:lang w:val="zh-CN"/>
        </w:rPr>
      </w:pPr>
    </w:p>
    <w:p w14:paraId="0EE758F0">
      <w:pPr>
        <w:rPr>
          <w:rFonts w:hint="eastAsia"/>
          <w:sz w:val="32"/>
          <w:szCs w:val="32"/>
          <w:lang w:val="zh-CN"/>
        </w:rPr>
      </w:pPr>
    </w:p>
    <w:p w14:paraId="21B829A5">
      <w:pPr>
        <w:rPr>
          <w:rFonts w:hint="eastAsia"/>
          <w:sz w:val="32"/>
          <w:szCs w:val="32"/>
          <w:lang w:val="zh-CN"/>
        </w:rPr>
      </w:pPr>
    </w:p>
    <w:p w14:paraId="1343DA3C">
      <w:pPr>
        <w:rPr>
          <w:rFonts w:hint="eastAsia"/>
          <w:sz w:val="32"/>
          <w:szCs w:val="32"/>
          <w:lang w:val="zh-CN"/>
        </w:rPr>
      </w:pPr>
    </w:p>
    <w:p w14:paraId="48CA132A">
      <w:pPr>
        <w:rPr>
          <w:rFonts w:hint="eastAsia"/>
          <w:sz w:val="32"/>
          <w:szCs w:val="32"/>
          <w:lang w:val="zh-CN"/>
        </w:rPr>
      </w:pPr>
    </w:p>
    <w:p w14:paraId="6CD637FC">
      <w:pPr>
        <w:rPr>
          <w:rFonts w:hint="eastAsia"/>
          <w:sz w:val="32"/>
          <w:szCs w:val="32"/>
          <w:lang w:val="zh-CN"/>
        </w:rPr>
      </w:pPr>
    </w:p>
    <w:p w14:paraId="19A9DC84">
      <w:pPr>
        <w:rPr>
          <w:rFonts w:hint="eastAsia"/>
          <w:sz w:val="32"/>
          <w:szCs w:val="32"/>
          <w:lang w:val="zh-CN"/>
        </w:rPr>
      </w:pPr>
    </w:p>
    <w:p w14:paraId="789C2F4A">
      <w:pPr>
        <w:rPr>
          <w:rFonts w:hint="eastAsia"/>
          <w:sz w:val="32"/>
          <w:szCs w:val="32"/>
          <w:lang w:val="zh-CN"/>
        </w:rPr>
      </w:pPr>
    </w:p>
    <w:p w14:paraId="1EF2E657">
      <w:pPr>
        <w:rPr>
          <w:rFonts w:hint="eastAsia"/>
          <w:sz w:val="32"/>
          <w:szCs w:val="32"/>
          <w:lang w:val="zh-CN"/>
        </w:rPr>
      </w:pPr>
    </w:p>
    <w:p w14:paraId="1E91A4AB">
      <w:pPr>
        <w:rPr>
          <w:rFonts w:hint="eastAsia"/>
          <w:sz w:val="32"/>
          <w:szCs w:val="32"/>
          <w:lang w:val="zh-CN"/>
        </w:rPr>
      </w:pPr>
    </w:p>
    <w:p w14:paraId="40369315">
      <w:pPr>
        <w:rPr>
          <w:rFonts w:hint="eastAsia"/>
          <w:sz w:val="32"/>
          <w:szCs w:val="32"/>
          <w:lang w:val="zh-CN"/>
        </w:rPr>
      </w:pPr>
    </w:p>
    <w:p w14:paraId="5AFFCCAF">
      <w:pPr>
        <w:rPr>
          <w:rFonts w:ascii="仿宋_GB2312" w:hAnsi="仿宋_GB2312" w:eastAsia="仿宋_GB2312" w:cs="仿宋_GB2312"/>
          <w:sz w:val="32"/>
          <w:szCs w:val="32"/>
        </w:rPr>
      </w:pPr>
      <w:r>
        <w:rPr>
          <w:rFonts w:hint="eastAsia"/>
          <w:sz w:val="32"/>
          <w:szCs w:val="32"/>
          <w:lang w:val="zh-CN"/>
        </w:rPr>
        <w:t>附表：</w:t>
      </w:r>
      <w:r>
        <w:rPr>
          <w:rFonts w:hint="eastAsia"/>
          <w:sz w:val="32"/>
          <w:szCs w:val="32"/>
        </w:rPr>
        <w:t>部门预算项目支出绩效自评表（</w:t>
      </w:r>
      <w:r>
        <w:rPr>
          <w:rFonts w:hint="eastAsia"/>
          <w:sz w:val="32"/>
          <w:szCs w:val="32"/>
          <w:lang w:eastAsia="zh-CN"/>
        </w:rPr>
        <w:t>2024</w:t>
      </w:r>
      <w:r>
        <w:rPr>
          <w:rFonts w:hint="eastAsia"/>
          <w:sz w:val="32"/>
          <w:szCs w:val="32"/>
        </w:rPr>
        <w:t>年度）</w:t>
      </w:r>
    </w:p>
    <w:p w14:paraId="389997EE">
      <w:pPr>
        <w:pStyle w:val="2"/>
        <w:ind w:left="0" w:leftChars="0" w:firstLine="0" w:firstLineChars="0"/>
        <w:rPr>
          <w:rFonts w:ascii="仿宋_GB2312" w:hAnsi="仿宋_GB2312" w:eastAsia="仿宋_GB2312" w:cs="仿宋_GB2312"/>
          <w:sz w:val="32"/>
          <w:szCs w:val="32"/>
        </w:rPr>
      </w:pPr>
      <w:r>
        <w:drawing>
          <wp:inline distT="0" distB="0" distL="114300" distR="114300">
            <wp:extent cx="5269230" cy="7284720"/>
            <wp:effectExtent l="0" t="0" r="3810" b="0"/>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17"/>
                    <a:stretch>
                      <a:fillRect/>
                    </a:stretch>
                  </pic:blipFill>
                  <pic:spPr>
                    <a:xfrm>
                      <a:off x="0" y="0"/>
                      <a:ext cx="5269230" cy="7284720"/>
                    </a:xfrm>
                    <a:prstGeom prst="rect">
                      <a:avLst/>
                    </a:prstGeom>
                    <a:noFill/>
                    <a:ln>
                      <a:noFill/>
                    </a:ln>
                  </pic:spPr>
                </pic:pic>
              </a:graphicData>
            </a:graphic>
          </wp:inline>
        </w:drawing>
      </w:r>
    </w:p>
    <w:p w14:paraId="5277FC36">
      <w:pPr>
        <w:rPr>
          <w:rFonts w:ascii="仿宋_GB2312" w:hAnsi="仿宋_GB2312" w:eastAsia="仿宋_GB2312" w:cs="仿宋_GB2312"/>
          <w:sz w:val="32"/>
          <w:szCs w:val="32"/>
        </w:rPr>
      </w:pPr>
    </w:p>
    <w:p w14:paraId="37672589">
      <w:pPr>
        <w:pStyle w:val="2"/>
        <w:rPr>
          <w:rFonts w:ascii="仿宋_GB2312" w:hAnsi="仿宋_GB2312" w:eastAsia="仿宋_GB2312" w:cs="仿宋_GB2312"/>
          <w:sz w:val="32"/>
          <w:szCs w:val="32"/>
        </w:rPr>
      </w:pPr>
    </w:p>
    <w:p w14:paraId="6A1BEB37">
      <w:pPr>
        <w:pStyle w:val="2"/>
        <w:ind w:left="0" w:leftChars="0" w:firstLine="0" w:firstLineChars="0"/>
        <w:rPr>
          <w:rFonts w:ascii="仿宋_GB2312" w:hAnsi="仿宋_GB2312" w:eastAsia="仿宋_GB2312" w:cs="仿宋_GB2312"/>
          <w:sz w:val="32"/>
          <w:szCs w:val="32"/>
        </w:rPr>
      </w:pPr>
    </w:p>
    <w:p w14:paraId="7A6376A5">
      <w:pPr>
        <w:rPr>
          <w:rFonts w:ascii="仿宋_GB2312" w:hAnsi="仿宋_GB2312" w:eastAsia="仿宋_GB2312" w:cs="仿宋_GB2312"/>
          <w:sz w:val="32"/>
          <w:szCs w:val="32"/>
        </w:rPr>
      </w:pPr>
      <w:r>
        <w:drawing>
          <wp:inline distT="0" distB="0" distL="114300" distR="114300">
            <wp:extent cx="5269230" cy="8872855"/>
            <wp:effectExtent l="0" t="0" r="7620" b="4445"/>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18"/>
                    <a:stretch>
                      <a:fillRect/>
                    </a:stretch>
                  </pic:blipFill>
                  <pic:spPr>
                    <a:xfrm>
                      <a:off x="0" y="0"/>
                      <a:ext cx="5269230" cy="8872855"/>
                    </a:xfrm>
                    <a:prstGeom prst="rect">
                      <a:avLst/>
                    </a:prstGeom>
                    <a:noFill/>
                    <a:ln>
                      <a:noFill/>
                    </a:ln>
                  </pic:spPr>
                </pic:pic>
              </a:graphicData>
            </a:graphic>
          </wp:inline>
        </w:drawing>
      </w:r>
      <w:r>
        <w:drawing>
          <wp:inline distT="0" distB="0" distL="114300" distR="114300">
            <wp:extent cx="5269230" cy="7931785"/>
            <wp:effectExtent l="0" t="0" r="3810" b="8255"/>
            <wp:docPr id="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pic:cNvPicPr>
                      <a:picLocks noChangeAspect="1"/>
                    </pic:cNvPicPr>
                  </pic:nvPicPr>
                  <pic:blipFill>
                    <a:blip r:embed="rId19"/>
                    <a:stretch>
                      <a:fillRect/>
                    </a:stretch>
                  </pic:blipFill>
                  <pic:spPr>
                    <a:xfrm>
                      <a:off x="0" y="0"/>
                      <a:ext cx="5269230" cy="7931785"/>
                    </a:xfrm>
                    <a:prstGeom prst="rect">
                      <a:avLst/>
                    </a:prstGeom>
                    <a:noFill/>
                    <a:ln>
                      <a:noFill/>
                    </a:ln>
                  </pic:spPr>
                </pic:pic>
              </a:graphicData>
            </a:graphic>
          </wp:inline>
        </w:drawing>
      </w:r>
    </w:p>
    <w:p w14:paraId="33900147">
      <w:pPr>
        <w:pStyle w:val="2"/>
        <w:rPr>
          <w:rFonts w:ascii="仿宋_GB2312" w:hAnsi="仿宋_GB2312" w:eastAsia="仿宋_GB2312" w:cs="仿宋_GB2312"/>
          <w:sz w:val="32"/>
          <w:szCs w:val="32"/>
        </w:rPr>
      </w:pPr>
    </w:p>
    <w:p w14:paraId="545EAB7B">
      <w:pPr>
        <w:pStyle w:val="13"/>
      </w:pPr>
    </w:p>
    <w:p w14:paraId="0F8C5C2B">
      <w:pPr>
        <w:pStyle w:val="13"/>
      </w:pPr>
      <w:r>
        <w:drawing>
          <wp:inline distT="0" distB="0" distL="114300" distR="114300">
            <wp:extent cx="5269230" cy="7284720"/>
            <wp:effectExtent l="0" t="0" r="3810" b="0"/>
            <wp:docPr id="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
                    <pic:cNvPicPr>
                      <a:picLocks noChangeAspect="1"/>
                    </pic:cNvPicPr>
                  </pic:nvPicPr>
                  <pic:blipFill>
                    <a:blip r:embed="rId20"/>
                    <a:stretch>
                      <a:fillRect/>
                    </a:stretch>
                  </pic:blipFill>
                  <pic:spPr>
                    <a:xfrm>
                      <a:off x="0" y="0"/>
                      <a:ext cx="5269230" cy="7284720"/>
                    </a:xfrm>
                    <a:prstGeom prst="rect">
                      <a:avLst/>
                    </a:prstGeom>
                    <a:noFill/>
                    <a:ln>
                      <a:noFill/>
                    </a:ln>
                  </pic:spPr>
                </pic:pic>
              </a:graphicData>
            </a:graphic>
          </wp:inline>
        </w:drawing>
      </w:r>
    </w:p>
    <w:p w14:paraId="0DA52541">
      <w:r>
        <w:br w:type="page"/>
      </w:r>
      <w:r>
        <w:drawing>
          <wp:inline distT="0" distB="0" distL="114300" distR="114300">
            <wp:extent cx="5269230" cy="7284720"/>
            <wp:effectExtent l="0" t="0" r="3810" b="0"/>
            <wp:docPr id="1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6"/>
                    <pic:cNvPicPr>
                      <a:picLocks noChangeAspect="1"/>
                    </pic:cNvPicPr>
                  </pic:nvPicPr>
                  <pic:blipFill>
                    <a:blip r:embed="rId21"/>
                    <a:stretch>
                      <a:fillRect/>
                    </a:stretch>
                  </pic:blipFill>
                  <pic:spPr>
                    <a:xfrm>
                      <a:off x="0" y="0"/>
                      <a:ext cx="5269230" cy="7284720"/>
                    </a:xfrm>
                    <a:prstGeom prst="rect">
                      <a:avLst/>
                    </a:prstGeom>
                    <a:noFill/>
                    <a:ln>
                      <a:noFill/>
                    </a:ln>
                  </pic:spPr>
                </pic:pic>
              </a:graphicData>
            </a:graphic>
          </wp:inline>
        </w:drawing>
      </w:r>
    </w:p>
    <w:p w14:paraId="62A9AA6D">
      <w:r>
        <w:br w:type="page"/>
      </w:r>
    </w:p>
    <w:p w14:paraId="516A97BA">
      <w:pPr>
        <w:pStyle w:val="13"/>
      </w:pPr>
      <w:r>
        <w:drawing>
          <wp:inline distT="0" distB="0" distL="114300" distR="114300">
            <wp:extent cx="5269230" cy="7284720"/>
            <wp:effectExtent l="0" t="0" r="3810" b="0"/>
            <wp:docPr id="1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7"/>
                    <pic:cNvPicPr>
                      <a:picLocks noChangeAspect="1"/>
                    </pic:cNvPicPr>
                  </pic:nvPicPr>
                  <pic:blipFill>
                    <a:blip r:embed="rId22"/>
                    <a:stretch>
                      <a:fillRect/>
                    </a:stretch>
                  </pic:blipFill>
                  <pic:spPr>
                    <a:xfrm>
                      <a:off x="0" y="0"/>
                      <a:ext cx="5269230" cy="7284720"/>
                    </a:xfrm>
                    <a:prstGeom prst="rect">
                      <a:avLst/>
                    </a:prstGeom>
                    <a:noFill/>
                    <a:ln>
                      <a:noFill/>
                    </a:ln>
                  </pic:spPr>
                </pic:pic>
              </a:graphicData>
            </a:graphic>
          </wp:inline>
        </w:drawing>
      </w:r>
    </w:p>
    <w:p w14:paraId="1FD15C66">
      <w:r>
        <w:br w:type="page"/>
      </w:r>
    </w:p>
    <w:p w14:paraId="6D55AE55">
      <w:pPr>
        <w:pStyle w:val="13"/>
      </w:pPr>
      <w:r>
        <w:drawing>
          <wp:inline distT="0" distB="0" distL="114300" distR="114300">
            <wp:extent cx="5269230" cy="7284720"/>
            <wp:effectExtent l="0" t="0" r="3810" b="0"/>
            <wp:docPr id="1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8"/>
                    <pic:cNvPicPr>
                      <a:picLocks noChangeAspect="1"/>
                    </pic:cNvPicPr>
                  </pic:nvPicPr>
                  <pic:blipFill>
                    <a:blip r:embed="rId23"/>
                    <a:stretch>
                      <a:fillRect/>
                    </a:stretch>
                  </pic:blipFill>
                  <pic:spPr>
                    <a:xfrm>
                      <a:off x="0" y="0"/>
                      <a:ext cx="5269230" cy="7284720"/>
                    </a:xfrm>
                    <a:prstGeom prst="rect">
                      <a:avLst/>
                    </a:prstGeom>
                    <a:noFill/>
                    <a:ln>
                      <a:noFill/>
                    </a:ln>
                  </pic:spPr>
                </pic:pic>
              </a:graphicData>
            </a:graphic>
          </wp:inline>
        </w:drawing>
      </w:r>
    </w:p>
    <w:p w14:paraId="02B82759">
      <w:r>
        <w:br w:type="page"/>
      </w:r>
      <w:r>
        <w:drawing>
          <wp:inline distT="0" distB="0" distL="114300" distR="114300">
            <wp:extent cx="5269230" cy="7284720"/>
            <wp:effectExtent l="0" t="0" r="3810" b="0"/>
            <wp:docPr id="2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0"/>
                    <pic:cNvPicPr>
                      <a:picLocks noChangeAspect="1"/>
                    </pic:cNvPicPr>
                  </pic:nvPicPr>
                  <pic:blipFill>
                    <a:blip r:embed="rId24"/>
                    <a:stretch>
                      <a:fillRect/>
                    </a:stretch>
                  </pic:blipFill>
                  <pic:spPr>
                    <a:xfrm>
                      <a:off x="0" y="0"/>
                      <a:ext cx="5269230" cy="7284720"/>
                    </a:xfrm>
                    <a:prstGeom prst="rect">
                      <a:avLst/>
                    </a:prstGeom>
                    <a:noFill/>
                    <a:ln>
                      <a:noFill/>
                    </a:ln>
                  </pic:spPr>
                </pic:pic>
              </a:graphicData>
            </a:graphic>
          </wp:inline>
        </w:drawing>
      </w:r>
    </w:p>
    <w:p w14:paraId="59EA7490">
      <w:r>
        <w:br w:type="page"/>
      </w:r>
    </w:p>
    <w:p w14:paraId="36F7753D">
      <w:pPr>
        <w:pStyle w:val="13"/>
      </w:pPr>
      <w:r>
        <w:drawing>
          <wp:inline distT="0" distB="0" distL="114300" distR="114300">
            <wp:extent cx="5269230" cy="7284720"/>
            <wp:effectExtent l="0" t="0" r="3810" b="0"/>
            <wp:docPr id="2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1"/>
                    <pic:cNvPicPr>
                      <a:picLocks noChangeAspect="1"/>
                    </pic:cNvPicPr>
                  </pic:nvPicPr>
                  <pic:blipFill>
                    <a:blip r:embed="rId25"/>
                    <a:stretch>
                      <a:fillRect/>
                    </a:stretch>
                  </pic:blipFill>
                  <pic:spPr>
                    <a:xfrm>
                      <a:off x="0" y="0"/>
                      <a:ext cx="5269230" cy="7284720"/>
                    </a:xfrm>
                    <a:prstGeom prst="rect">
                      <a:avLst/>
                    </a:prstGeom>
                    <a:noFill/>
                    <a:ln>
                      <a:noFill/>
                    </a:ln>
                  </pic:spPr>
                </pic:pic>
              </a:graphicData>
            </a:graphic>
          </wp:inline>
        </w:drawing>
      </w:r>
    </w:p>
    <w:p w14:paraId="18A31E7D">
      <w:r>
        <w:br w:type="page"/>
      </w:r>
    </w:p>
    <w:p w14:paraId="386BB923">
      <w:pPr>
        <w:pStyle w:val="13"/>
      </w:pPr>
      <w:r>
        <w:drawing>
          <wp:inline distT="0" distB="0" distL="114300" distR="114300">
            <wp:extent cx="5269230" cy="7284720"/>
            <wp:effectExtent l="0" t="0" r="3810" b="0"/>
            <wp:docPr id="2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2"/>
                    <pic:cNvPicPr>
                      <a:picLocks noChangeAspect="1"/>
                    </pic:cNvPicPr>
                  </pic:nvPicPr>
                  <pic:blipFill>
                    <a:blip r:embed="rId26"/>
                    <a:stretch>
                      <a:fillRect/>
                    </a:stretch>
                  </pic:blipFill>
                  <pic:spPr>
                    <a:xfrm>
                      <a:off x="0" y="0"/>
                      <a:ext cx="5269230" cy="7284720"/>
                    </a:xfrm>
                    <a:prstGeom prst="rect">
                      <a:avLst/>
                    </a:prstGeom>
                    <a:noFill/>
                    <a:ln>
                      <a:noFill/>
                    </a:ln>
                  </pic:spPr>
                </pic:pic>
              </a:graphicData>
            </a:graphic>
          </wp:inline>
        </w:drawing>
      </w:r>
    </w:p>
    <w:p w14:paraId="75CAC0C7">
      <w:r>
        <w:br w:type="page"/>
      </w:r>
    </w:p>
    <w:p w14:paraId="4EDBA8D4">
      <w:pPr>
        <w:pStyle w:val="13"/>
      </w:pPr>
    </w:p>
    <w:p w14:paraId="33B1BAE6">
      <w:r>
        <w:drawing>
          <wp:inline distT="0" distB="0" distL="114300" distR="114300">
            <wp:extent cx="5269230" cy="7284720"/>
            <wp:effectExtent l="0" t="0" r="3810" b="0"/>
            <wp:docPr id="2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4"/>
                    <pic:cNvPicPr>
                      <a:picLocks noChangeAspect="1"/>
                    </pic:cNvPicPr>
                  </pic:nvPicPr>
                  <pic:blipFill>
                    <a:blip r:embed="rId27"/>
                    <a:stretch>
                      <a:fillRect/>
                    </a:stretch>
                  </pic:blipFill>
                  <pic:spPr>
                    <a:xfrm>
                      <a:off x="0" y="0"/>
                      <a:ext cx="5269230" cy="7284720"/>
                    </a:xfrm>
                    <a:prstGeom prst="rect">
                      <a:avLst/>
                    </a:prstGeom>
                    <a:noFill/>
                    <a:ln>
                      <a:noFill/>
                    </a:ln>
                  </pic:spPr>
                </pic:pic>
              </a:graphicData>
            </a:graphic>
          </wp:inline>
        </w:drawing>
      </w:r>
    </w:p>
    <w:p w14:paraId="7EB6854C">
      <w:r>
        <w:br w:type="page"/>
      </w:r>
    </w:p>
    <w:p w14:paraId="21A06589">
      <w:pPr>
        <w:pStyle w:val="13"/>
      </w:pPr>
      <w:r>
        <w:drawing>
          <wp:inline distT="0" distB="0" distL="114300" distR="114300">
            <wp:extent cx="5269230" cy="7284720"/>
            <wp:effectExtent l="0" t="0" r="3810" b="0"/>
            <wp:docPr id="2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5"/>
                    <pic:cNvPicPr>
                      <a:picLocks noChangeAspect="1"/>
                    </pic:cNvPicPr>
                  </pic:nvPicPr>
                  <pic:blipFill>
                    <a:blip r:embed="rId28"/>
                    <a:stretch>
                      <a:fillRect/>
                    </a:stretch>
                  </pic:blipFill>
                  <pic:spPr>
                    <a:xfrm>
                      <a:off x="0" y="0"/>
                      <a:ext cx="5269230" cy="7284720"/>
                    </a:xfrm>
                    <a:prstGeom prst="rect">
                      <a:avLst/>
                    </a:prstGeom>
                    <a:noFill/>
                    <a:ln>
                      <a:noFill/>
                    </a:ln>
                  </pic:spPr>
                </pic:pic>
              </a:graphicData>
            </a:graphic>
          </wp:inline>
        </w:drawing>
      </w:r>
    </w:p>
    <w:p w14:paraId="18B68663">
      <w:r>
        <w:br w:type="page"/>
      </w:r>
    </w:p>
    <w:p w14:paraId="7B276CA1">
      <w:pPr>
        <w:pStyle w:val="13"/>
      </w:pPr>
    </w:p>
    <w:p w14:paraId="15260DC4">
      <w:pPr>
        <w:pStyle w:val="13"/>
      </w:pPr>
      <w:r>
        <w:drawing>
          <wp:inline distT="0" distB="0" distL="114300" distR="114300">
            <wp:extent cx="5269230" cy="7284720"/>
            <wp:effectExtent l="0" t="0" r="3810" b="0"/>
            <wp:docPr id="2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6"/>
                    <pic:cNvPicPr>
                      <a:picLocks noChangeAspect="1"/>
                    </pic:cNvPicPr>
                  </pic:nvPicPr>
                  <pic:blipFill>
                    <a:blip r:embed="rId29"/>
                    <a:stretch>
                      <a:fillRect/>
                    </a:stretch>
                  </pic:blipFill>
                  <pic:spPr>
                    <a:xfrm>
                      <a:off x="0" y="0"/>
                      <a:ext cx="5269230" cy="7284720"/>
                    </a:xfrm>
                    <a:prstGeom prst="rect">
                      <a:avLst/>
                    </a:prstGeom>
                    <a:noFill/>
                    <a:ln>
                      <a:noFill/>
                    </a:ln>
                  </pic:spPr>
                </pic:pic>
              </a:graphicData>
            </a:graphic>
          </wp:inline>
        </w:drawing>
      </w:r>
    </w:p>
    <w:p w14:paraId="4E58E198">
      <w:r>
        <w:br w:type="page"/>
      </w:r>
    </w:p>
    <w:p w14:paraId="2D7696E5">
      <w:pPr>
        <w:pStyle w:val="13"/>
      </w:pPr>
      <w:r>
        <w:drawing>
          <wp:inline distT="0" distB="0" distL="114300" distR="114300">
            <wp:extent cx="5269230" cy="7284720"/>
            <wp:effectExtent l="0" t="0" r="3810" b="0"/>
            <wp:docPr id="2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7"/>
                    <pic:cNvPicPr>
                      <a:picLocks noChangeAspect="1"/>
                    </pic:cNvPicPr>
                  </pic:nvPicPr>
                  <pic:blipFill>
                    <a:blip r:embed="rId30"/>
                    <a:stretch>
                      <a:fillRect/>
                    </a:stretch>
                  </pic:blipFill>
                  <pic:spPr>
                    <a:xfrm>
                      <a:off x="0" y="0"/>
                      <a:ext cx="5269230" cy="7284720"/>
                    </a:xfrm>
                    <a:prstGeom prst="rect">
                      <a:avLst/>
                    </a:prstGeom>
                    <a:noFill/>
                    <a:ln>
                      <a:noFill/>
                    </a:ln>
                  </pic:spPr>
                </pic:pic>
              </a:graphicData>
            </a:graphic>
          </wp:inline>
        </w:drawing>
      </w:r>
    </w:p>
    <w:p w14:paraId="3FC36ADD">
      <w:r>
        <w:br w:type="page"/>
      </w:r>
    </w:p>
    <w:p w14:paraId="099B41E5">
      <w:pPr>
        <w:pStyle w:val="13"/>
      </w:pPr>
      <w:r>
        <w:drawing>
          <wp:inline distT="0" distB="0" distL="114300" distR="114300">
            <wp:extent cx="5269230" cy="8479155"/>
            <wp:effectExtent l="0" t="0" r="3810" b="9525"/>
            <wp:docPr id="3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9"/>
                    <pic:cNvPicPr>
                      <a:picLocks noChangeAspect="1"/>
                    </pic:cNvPicPr>
                  </pic:nvPicPr>
                  <pic:blipFill>
                    <a:blip r:embed="rId31"/>
                    <a:stretch>
                      <a:fillRect/>
                    </a:stretch>
                  </pic:blipFill>
                  <pic:spPr>
                    <a:xfrm>
                      <a:off x="0" y="0"/>
                      <a:ext cx="5269230" cy="8479155"/>
                    </a:xfrm>
                    <a:prstGeom prst="rect">
                      <a:avLst/>
                    </a:prstGeom>
                    <a:noFill/>
                    <a:ln>
                      <a:noFill/>
                    </a:ln>
                  </pic:spPr>
                </pic:pic>
              </a:graphicData>
            </a:graphic>
          </wp:inline>
        </w:drawing>
      </w:r>
    </w:p>
    <w:p w14:paraId="226C76DC">
      <w:r>
        <w:br w:type="page"/>
      </w:r>
    </w:p>
    <w:p w14:paraId="65585E7B">
      <w:pPr>
        <w:pStyle w:val="13"/>
      </w:pPr>
      <w:r>
        <w:drawing>
          <wp:inline distT="0" distB="0" distL="114300" distR="114300">
            <wp:extent cx="5269230" cy="7284720"/>
            <wp:effectExtent l="0" t="0" r="3810" b="0"/>
            <wp:docPr id="3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0"/>
                    <pic:cNvPicPr>
                      <a:picLocks noChangeAspect="1"/>
                    </pic:cNvPicPr>
                  </pic:nvPicPr>
                  <pic:blipFill>
                    <a:blip r:embed="rId32"/>
                    <a:stretch>
                      <a:fillRect/>
                    </a:stretch>
                  </pic:blipFill>
                  <pic:spPr>
                    <a:xfrm>
                      <a:off x="0" y="0"/>
                      <a:ext cx="5269230" cy="7284720"/>
                    </a:xfrm>
                    <a:prstGeom prst="rect">
                      <a:avLst/>
                    </a:prstGeom>
                    <a:noFill/>
                    <a:ln>
                      <a:noFill/>
                    </a:ln>
                  </pic:spPr>
                </pic:pic>
              </a:graphicData>
            </a:graphic>
          </wp:inline>
        </w:drawing>
      </w:r>
    </w:p>
    <w:p w14:paraId="67791F61">
      <w:r>
        <w:br w:type="page"/>
      </w:r>
    </w:p>
    <w:p w14:paraId="680253D3">
      <w:pPr>
        <w:pStyle w:val="13"/>
      </w:pPr>
      <w:r>
        <w:drawing>
          <wp:inline distT="0" distB="0" distL="114300" distR="114300">
            <wp:extent cx="5269230" cy="7354570"/>
            <wp:effectExtent l="0" t="0" r="3810" b="6350"/>
            <wp:docPr id="3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1"/>
                    <pic:cNvPicPr>
                      <a:picLocks noChangeAspect="1"/>
                    </pic:cNvPicPr>
                  </pic:nvPicPr>
                  <pic:blipFill>
                    <a:blip r:embed="rId33"/>
                    <a:stretch>
                      <a:fillRect/>
                    </a:stretch>
                  </pic:blipFill>
                  <pic:spPr>
                    <a:xfrm>
                      <a:off x="0" y="0"/>
                      <a:ext cx="5269230" cy="7354570"/>
                    </a:xfrm>
                    <a:prstGeom prst="rect">
                      <a:avLst/>
                    </a:prstGeom>
                    <a:noFill/>
                    <a:ln>
                      <a:noFill/>
                    </a:ln>
                  </pic:spPr>
                </pic:pic>
              </a:graphicData>
            </a:graphic>
          </wp:inline>
        </w:drawing>
      </w:r>
    </w:p>
    <w:p w14:paraId="5DB903F1">
      <w:r>
        <w:br w:type="page"/>
      </w:r>
    </w:p>
    <w:p w14:paraId="29D0823C">
      <w:pPr>
        <w:pStyle w:val="13"/>
      </w:pPr>
      <w:r>
        <w:drawing>
          <wp:inline distT="0" distB="0" distL="114300" distR="114300">
            <wp:extent cx="5269230" cy="7284720"/>
            <wp:effectExtent l="0" t="0" r="3810" b="0"/>
            <wp:docPr id="3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2"/>
                    <pic:cNvPicPr>
                      <a:picLocks noChangeAspect="1"/>
                    </pic:cNvPicPr>
                  </pic:nvPicPr>
                  <pic:blipFill>
                    <a:blip r:embed="rId34"/>
                    <a:stretch>
                      <a:fillRect/>
                    </a:stretch>
                  </pic:blipFill>
                  <pic:spPr>
                    <a:xfrm>
                      <a:off x="0" y="0"/>
                      <a:ext cx="5269230" cy="7284720"/>
                    </a:xfrm>
                    <a:prstGeom prst="rect">
                      <a:avLst/>
                    </a:prstGeom>
                    <a:noFill/>
                    <a:ln>
                      <a:noFill/>
                    </a:ln>
                  </pic:spPr>
                </pic:pic>
              </a:graphicData>
            </a:graphic>
          </wp:inline>
        </w:drawing>
      </w:r>
    </w:p>
    <w:p w14:paraId="5CB9C27D">
      <w:r>
        <w:br w:type="page"/>
      </w:r>
    </w:p>
    <w:p w14:paraId="201C60D2">
      <w:pPr>
        <w:pStyle w:val="13"/>
      </w:pPr>
      <w:r>
        <w:drawing>
          <wp:inline distT="0" distB="0" distL="114300" distR="114300">
            <wp:extent cx="5269230" cy="3587750"/>
            <wp:effectExtent l="0" t="0" r="3810" b="8890"/>
            <wp:docPr id="3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3"/>
                    <pic:cNvPicPr>
                      <a:picLocks noChangeAspect="1"/>
                    </pic:cNvPicPr>
                  </pic:nvPicPr>
                  <pic:blipFill>
                    <a:blip r:embed="rId35"/>
                    <a:stretch>
                      <a:fillRect/>
                    </a:stretch>
                  </pic:blipFill>
                  <pic:spPr>
                    <a:xfrm>
                      <a:off x="0" y="0"/>
                      <a:ext cx="5269230" cy="3587750"/>
                    </a:xfrm>
                    <a:prstGeom prst="rect">
                      <a:avLst/>
                    </a:prstGeom>
                    <a:noFill/>
                    <a:ln>
                      <a:noFill/>
                    </a:ln>
                  </pic:spPr>
                </pic:pic>
              </a:graphicData>
            </a:graphic>
          </wp:inline>
        </w:drawing>
      </w:r>
    </w:p>
    <w:p w14:paraId="76C3194D">
      <w:pPr>
        <w:pStyle w:val="13"/>
      </w:pPr>
    </w:p>
    <w:p w14:paraId="28ADFF8F">
      <w:pPr>
        <w:rPr>
          <w:rFonts w:ascii="黑体" w:hAnsi="黑体" w:eastAsia="黑体" w:cs="黑体"/>
          <w:sz w:val="44"/>
          <w:szCs w:val="44"/>
        </w:rPr>
      </w:pPr>
      <w:r>
        <w:rPr>
          <w:rFonts w:hint="eastAsia" w:ascii="黑体" w:hAnsi="黑体" w:eastAsia="黑体" w:cs="黑体"/>
          <w:sz w:val="44"/>
          <w:szCs w:val="44"/>
        </w:rPr>
        <w:br w:type="page"/>
      </w:r>
    </w:p>
    <w:p w14:paraId="0822B88D">
      <w:pPr>
        <w:pStyle w:val="13"/>
      </w:pPr>
    </w:p>
    <w:p w14:paraId="6B1049C2">
      <w:pPr>
        <w:spacing w:line="600" w:lineRule="exact"/>
        <w:jc w:val="center"/>
        <w:outlineLvl w:val="0"/>
        <w:rPr>
          <w:rFonts w:ascii="黑体" w:hAnsi="黑体" w:eastAsia="黑体" w:cs="黑体"/>
          <w:sz w:val="44"/>
          <w:szCs w:val="44"/>
        </w:rPr>
      </w:pPr>
      <w:bookmarkStart w:id="97" w:name="_Toc9903"/>
      <w:r>
        <w:rPr>
          <w:rFonts w:hint="eastAsia" w:ascii="黑体" w:hAnsi="黑体" w:eastAsia="黑体" w:cs="黑体"/>
          <w:sz w:val="44"/>
          <w:szCs w:val="44"/>
        </w:rPr>
        <w:t>第</w:t>
      </w:r>
      <w:r>
        <w:rPr>
          <w:rStyle w:val="35"/>
          <w:rFonts w:hint="eastAsia" w:ascii="黑体" w:hAnsi="黑体" w:eastAsia="黑体" w:cs="黑体"/>
          <w:b w:val="0"/>
          <w:bCs w:val="0"/>
        </w:rPr>
        <w:t>五部分 附表</w:t>
      </w:r>
      <w:bookmarkEnd w:id="88"/>
      <w:bookmarkEnd w:id="95"/>
      <w:bookmarkEnd w:id="96"/>
      <w:bookmarkEnd w:id="97"/>
      <w:bookmarkStart w:id="98" w:name="_Toc15396619"/>
    </w:p>
    <w:p w14:paraId="393F884D">
      <w:pPr>
        <w:spacing w:line="560" w:lineRule="exact"/>
        <w:ind w:firstLine="560" w:firstLineChars="200"/>
        <w:rPr>
          <w:rFonts w:ascii="仿宋" w:hAnsi="仿宋" w:eastAsia="仿宋" w:cs="仿宋"/>
          <w:sz w:val="28"/>
          <w:szCs w:val="28"/>
        </w:rPr>
      </w:pPr>
      <w:bookmarkStart w:id="99" w:name="_Toc31464"/>
    </w:p>
    <w:p w14:paraId="583ED787">
      <w:pPr>
        <w:spacing w:line="560" w:lineRule="exact"/>
        <w:ind w:firstLine="560" w:firstLineChars="200"/>
        <w:outlineLvl w:val="1"/>
        <w:rPr>
          <w:rFonts w:ascii="仿宋_GB2312" w:hAnsi="仿宋_GB2312" w:eastAsia="仿宋_GB2312" w:cs="仿宋_GB2312"/>
          <w:sz w:val="28"/>
          <w:szCs w:val="28"/>
        </w:rPr>
      </w:pPr>
      <w:bookmarkStart w:id="100" w:name="_Toc10321"/>
      <w:r>
        <w:rPr>
          <w:rFonts w:hint="eastAsia" w:ascii="仿宋_GB2312" w:hAnsi="仿宋_GB2312" w:eastAsia="仿宋_GB2312" w:cs="仿宋_GB2312"/>
          <w:sz w:val="28"/>
          <w:szCs w:val="28"/>
        </w:rPr>
        <w:t>一、收</w:t>
      </w:r>
      <w:r>
        <w:rPr>
          <w:rStyle w:val="36"/>
          <w:rFonts w:hint="eastAsia" w:ascii="仿宋_GB2312" w:hAnsi="仿宋_GB2312" w:eastAsia="仿宋_GB2312" w:cs="仿宋_GB2312"/>
          <w:b w:val="0"/>
          <w:bCs w:val="0"/>
          <w:sz w:val="28"/>
          <w:szCs w:val="28"/>
        </w:rPr>
        <w:t>入支出决算总表</w:t>
      </w:r>
      <w:bookmarkEnd w:id="98"/>
      <w:bookmarkEnd w:id="99"/>
      <w:bookmarkEnd w:id="100"/>
    </w:p>
    <w:p w14:paraId="4BF344B9">
      <w:pPr>
        <w:spacing w:line="560" w:lineRule="exact"/>
        <w:ind w:firstLine="560" w:firstLineChars="200"/>
        <w:outlineLvl w:val="1"/>
        <w:rPr>
          <w:rFonts w:ascii="仿宋_GB2312" w:hAnsi="仿宋_GB2312" w:eastAsia="仿宋_GB2312" w:cs="仿宋_GB2312"/>
          <w:sz w:val="28"/>
          <w:szCs w:val="28"/>
        </w:rPr>
      </w:pPr>
      <w:bookmarkStart w:id="101" w:name="_Toc15396620"/>
      <w:bookmarkStart w:id="102" w:name="_Toc30477"/>
      <w:bookmarkStart w:id="103" w:name="_Toc510"/>
      <w:r>
        <w:rPr>
          <w:rFonts w:hint="eastAsia" w:ascii="仿宋_GB2312" w:hAnsi="仿宋_GB2312" w:eastAsia="仿宋_GB2312" w:cs="仿宋_GB2312"/>
          <w:sz w:val="28"/>
          <w:szCs w:val="28"/>
        </w:rPr>
        <w:t>二、收</w:t>
      </w:r>
      <w:r>
        <w:rPr>
          <w:rStyle w:val="36"/>
          <w:rFonts w:hint="eastAsia" w:ascii="仿宋_GB2312" w:hAnsi="仿宋_GB2312" w:eastAsia="仿宋_GB2312" w:cs="仿宋_GB2312"/>
          <w:b w:val="0"/>
          <w:bCs w:val="0"/>
          <w:sz w:val="28"/>
          <w:szCs w:val="28"/>
        </w:rPr>
        <w:t>入决算表</w:t>
      </w:r>
      <w:bookmarkEnd w:id="101"/>
      <w:bookmarkEnd w:id="102"/>
      <w:bookmarkEnd w:id="103"/>
    </w:p>
    <w:p w14:paraId="43EDE1F4">
      <w:pPr>
        <w:spacing w:line="560" w:lineRule="exact"/>
        <w:ind w:firstLine="560" w:firstLineChars="200"/>
        <w:outlineLvl w:val="1"/>
        <w:rPr>
          <w:rFonts w:ascii="仿宋_GB2312" w:hAnsi="仿宋_GB2312" w:eastAsia="仿宋_GB2312" w:cs="仿宋_GB2312"/>
          <w:sz w:val="28"/>
          <w:szCs w:val="28"/>
        </w:rPr>
      </w:pPr>
      <w:bookmarkStart w:id="104" w:name="_Toc32618"/>
      <w:bookmarkStart w:id="105" w:name="_Toc24080"/>
      <w:bookmarkStart w:id="106" w:name="_Toc15396621"/>
      <w:r>
        <w:rPr>
          <w:rStyle w:val="36"/>
          <w:rFonts w:hint="eastAsia" w:ascii="仿宋_GB2312" w:hAnsi="仿宋_GB2312" w:eastAsia="仿宋_GB2312" w:cs="仿宋_GB2312"/>
          <w:b w:val="0"/>
          <w:bCs w:val="0"/>
          <w:sz w:val="28"/>
          <w:szCs w:val="28"/>
        </w:rPr>
        <w:t>三、</w:t>
      </w:r>
      <w:r>
        <w:rPr>
          <w:rFonts w:hint="eastAsia" w:ascii="仿宋_GB2312" w:hAnsi="仿宋_GB2312" w:eastAsia="仿宋_GB2312" w:cs="仿宋_GB2312"/>
          <w:sz w:val="28"/>
          <w:szCs w:val="28"/>
        </w:rPr>
        <w:t>支</w:t>
      </w:r>
      <w:r>
        <w:rPr>
          <w:rStyle w:val="36"/>
          <w:rFonts w:hint="eastAsia" w:ascii="仿宋_GB2312" w:hAnsi="仿宋_GB2312" w:eastAsia="仿宋_GB2312" w:cs="仿宋_GB2312"/>
          <w:b w:val="0"/>
          <w:bCs w:val="0"/>
          <w:sz w:val="28"/>
          <w:szCs w:val="28"/>
        </w:rPr>
        <w:t>出决算表</w:t>
      </w:r>
      <w:bookmarkEnd w:id="104"/>
      <w:bookmarkEnd w:id="105"/>
      <w:bookmarkEnd w:id="106"/>
    </w:p>
    <w:p w14:paraId="564E986E">
      <w:pPr>
        <w:spacing w:line="560" w:lineRule="exact"/>
        <w:ind w:firstLine="560" w:firstLineChars="200"/>
        <w:outlineLvl w:val="1"/>
        <w:rPr>
          <w:rFonts w:ascii="仿宋_GB2312" w:hAnsi="仿宋_GB2312" w:eastAsia="仿宋_GB2312" w:cs="仿宋_GB2312"/>
          <w:sz w:val="28"/>
          <w:szCs w:val="28"/>
        </w:rPr>
      </w:pPr>
      <w:bookmarkStart w:id="107" w:name="_Toc13624"/>
      <w:bookmarkStart w:id="108" w:name="_Toc4835"/>
      <w:bookmarkStart w:id="109" w:name="_Toc15396622"/>
      <w:r>
        <w:rPr>
          <w:rStyle w:val="36"/>
          <w:rFonts w:hint="eastAsia" w:ascii="仿宋_GB2312" w:hAnsi="仿宋_GB2312" w:eastAsia="仿宋_GB2312" w:cs="仿宋_GB2312"/>
          <w:b w:val="0"/>
          <w:bCs w:val="0"/>
          <w:sz w:val="28"/>
          <w:szCs w:val="28"/>
        </w:rPr>
        <w:t>四、</w:t>
      </w:r>
      <w:r>
        <w:rPr>
          <w:rFonts w:hint="eastAsia" w:ascii="仿宋_GB2312" w:hAnsi="仿宋_GB2312" w:eastAsia="仿宋_GB2312" w:cs="仿宋_GB2312"/>
          <w:sz w:val="28"/>
          <w:szCs w:val="28"/>
        </w:rPr>
        <w:t>财</w:t>
      </w:r>
      <w:r>
        <w:rPr>
          <w:rStyle w:val="36"/>
          <w:rFonts w:hint="eastAsia" w:ascii="仿宋_GB2312" w:hAnsi="仿宋_GB2312" w:eastAsia="仿宋_GB2312" w:cs="仿宋_GB2312"/>
          <w:b w:val="0"/>
          <w:bCs w:val="0"/>
          <w:sz w:val="28"/>
          <w:szCs w:val="28"/>
        </w:rPr>
        <w:t>政拨款收入支出决算总表</w:t>
      </w:r>
      <w:bookmarkEnd w:id="107"/>
      <w:bookmarkEnd w:id="108"/>
      <w:bookmarkEnd w:id="109"/>
    </w:p>
    <w:p w14:paraId="6F4B4C09">
      <w:pPr>
        <w:spacing w:line="560" w:lineRule="exact"/>
        <w:ind w:firstLine="560" w:firstLineChars="200"/>
        <w:outlineLvl w:val="1"/>
        <w:rPr>
          <w:rStyle w:val="36"/>
          <w:rFonts w:ascii="仿宋_GB2312" w:hAnsi="仿宋_GB2312" w:eastAsia="仿宋_GB2312" w:cs="仿宋_GB2312"/>
          <w:b w:val="0"/>
          <w:bCs w:val="0"/>
          <w:sz w:val="28"/>
          <w:szCs w:val="28"/>
        </w:rPr>
      </w:pPr>
      <w:bookmarkStart w:id="110" w:name="_Toc24904"/>
      <w:bookmarkStart w:id="111" w:name="_Toc15396623"/>
      <w:bookmarkStart w:id="112" w:name="_Toc583"/>
      <w:r>
        <w:rPr>
          <w:rStyle w:val="36"/>
          <w:rFonts w:hint="eastAsia" w:ascii="仿宋_GB2312" w:hAnsi="仿宋_GB2312" w:eastAsia="仿宋_GB2312" w:cs="仿宋_GB2312"/>
          <w:b w:val="0"/>
          <w:bCs w:val="0"/>
          <w:sz w:val="28"/>
          <w:szCs w:val="28"/>
        </w:rPr>
        <w:t>五、</w:t>
      </w:r>
      <w:r>
        <w:rPr>
          <w:rFonts w:hint="eastAsia" w:ascii="仿宋_GB2312" w:hAnsi="仿宋_GB2312" w:eastAsia="仿宋_GB2312" w:cs="仿宋_GB2312"/>
          <w:sz w:val="28"/>
          <w:szCs w:val="28"/>
        </w:rPr>
        <w:t>财</w:t>
      </w:r>
      <w:r>
        <w:rPr>
          <w:rStyle w:val="36"/>
          <w:rFonts w:hint="eastAsia" w:ascii="仿宋_GB2312" w:hAnsi="仿宋_GB2312" w:eastAsia="仿宋_GB2312" w:cs="仿宋_GB2312"/>
          <w:b w:val="0"/>
          <w:bCs w:val="0"/>
          <w:sz w:val="28"/>
          <w:szCs w:val="28"/>
        </w:rPr>
        <w:t>政拨款支出决算明细表</w:t>
      </w:r>
      <w:bookmarkEnd w:id="110"/>
      <w:bookmarkEnd w:id="111"/>
      <w:bookmarkEnd w:id="112"/>
      <w:bookmarkStart w:id="113" w:name="_Toc15396624"/>
    </w:p>
    <w:p w14:paraId="0DA68FF4">
      <w:pPr>
        <w:spacing w:line="560" w:lineRule="exact"/>
        <w:ind w:firstLine="560" w:firstLineChars="200"/>
        <w:outlineLvl w:val="1"/>
        <w:rPr>
          <w:rFonts w:ascii="仿宋_GB2312" w:hAnsi="仿宋_GB2312" w:eastAsia="仿宋_GB2312" w:cs="仿宋_GB2312"/>
          <w:sz w:val="28"/>
          <w:szCs w:val="28"/>
        </w:rPr>
      </w:pPr>
      <w:bookmarkStart w:id="114" w:name="_Toc26680"/>
      <w:bookmarkStart w:id="115" w:name="_Toc11675"/>
      <w:r>
        <w:rPr>
          <w:rStyle w:val="36"/>
          <w:rFonts w:hint="eastAsia" w:ascii="仿宋_GB2312" w:hAnsi="仿宋_GB2312" w:eastAsia="仿宋_GB2312" w:cs="仿宋_GB2312"/>
          <w:b w:val="0"/>
          <w:bCs w:val="0"/>
          <w:sz w:val="28"/>
          <w:szCs w:val="28"/>
        </w:rPr>
        <w:t>六、</w:t>
      </w:r>
      <w:r>
        <w:rPr>
          <w:rFonts w:hint="eastAsia" w:ascii="仿宋_GB2312" w:hAnsi="仿宋_GB2312" w:eastAsia="仿宋_GB2312" w:cs="仿宋_GB2312"/>
          <w:sz w:val="28"/>
          <w:szCs w:val="28"/>
        </w:rPr>
        <w:t>一</w:t>
      </w:r>
      <w:r>
        <w:rPr>
          <w:rStyle w:val="36"/>
          <w:rFonts w:hint="eastAsia" w:ascii="仿宋_GB2312" w:hAnsi="仿宋_GB2312" w:eastAsia="仿宋_GB2312" w:cs="仿宋_GB2312"/>
          <w:b w:val="0"/>
          <w:bCs w:val="0"/>
          <w:sz w:val="28"/>
          <w:szCs w:val="28"/>
        </w:rPr>
        <w:t>般公共预算财政拨款支出决算表</w:t>
      </w:r>
      <w:bookmarkEnd w:id="113"/>
      <w:bookmarkEnd w:id="114"/>
      <w:bookmarkEnd w:id="115"/>
    </w:p>
    <w:p w14:paraId="682384CF">
      <w:pPr>
        <w:spacing w:line="560" w:lineRule="exact"/>
        <w:ind w:firstLine="560" w:firstLineChars="200"/>
        <w:outlineLvl w:val="1"/>
        <w:rPr>
          <w:rFonts w:ascii="仿宋_GB2312" w:hAnsi="仿宋_GB2312" w:eastAsia="仿宋_GB2312" w:cs="仿宋_GB2312"/>
          <w:sz w:val="28"/>
          <w:szCs w:val="28"/>
        </w:rPr>
      </w:pPr>
      <w:bookmarkStart w:id="116" w:name="_Toc27721"/>
      <w:bookmarkStart w:id="117" w:name="_Toc15396625"/>
      <w:bookmarkStart w:id="118" w:name="_Toc16638"/>
      <w:r>
        <w:rPr>
          <w:rStyle w:val="36"/>
          <w:rFonts w:hint="eastAsia" w:ascii="仿宋_GB2312" w:hAnsi="仿宋_GB2312" w:eastAsia="仿宋_GB2312" w:cs="仿宋_GB2312"/>
          <w:b w:val="0"/>
          <w:bCs w:val="0"/>
          <w:sz w:val="28"/>
          <w:szCs w:val="28"/>
        </w:rPr>
        <w:t>七、</w:t>
      </w:r>
      <w:r>
        <w:rPr>
          <w:rFonts w:hint="eastAsia" w:ascii="仿宋_GB2312" w:hAnsi="仿宋_GB2312" w:eastAsia="仿宋_GB2312" w:cs="仿宋_GB2312"/>
          <w:sz w:val="28"/>
          <w:szCs w:val="28"/>
        </w:rPr>
        <w:t>一</w:t>
      </w:r>
      <w:r>
        <w:rPr>
          <w:rStyle w:val="36"/>
          <w:rFonts w:hint="eastAsia" w:ascii="仿宋_GB2312" w:hAnsi="仿宋_GB2312" w:eastAsia="仿宋_GB2312" w:cs="仿宋_GB2312"/>
          <w:b w:val="0"/>
          <w:bCs w:val="0"/>
          <w:sz w:val="28"/>
          <w:szCs w:val="28"/>
        </w:rPr>
        <w:t>般公共预算财政拨款支出决算明细表</w:t>
      </w:r>
      <w:bookmarkEnd w:id="116"/>
      <w:bookmarkEnd w:id="117"/>
      <w:bookmarkEnd w:id="118"/>
    </w:p>
    <w:p w14:paraId="52C209BE">
      <w:pPr>
        <w:spacing w:line="560" w:lineRule="exact"/>
        <w:ind w:firstLine="560" w:firstLineChars="200"/>
        <w:outlineLvl w:val="1"/>
        <w:rPr>
          <w:rFonts w:ascii="仿宋_GB2312" w:hAnsi="仿宋_GB2312" w:eastAsia="仿宋_GB2312" w:cs="仿宋_GB2312"/>
          <w:sz w:val="28"/>
          <w:szCs w:val="28"/>
        </w:rPr>
      </w:pPr>
      <w:bookmarkStart w:id="119" w:name="_Toc15396626"/>
      <w:bookmarkStart w:id="120" w:name="_Toc25103"/>
      <w:bookmarkStart w:id="121" w:name="_Toc17856"/>
      <w:r>
        <w:rPr>
          <w:rStyle w:val="36"/>
          <w:rFonts w:hint="eastAsia" w:ascii="仿宋_GB2312" w:hAnsi="仿宋_GB2312" w:eastAsia="仿宋_GB2312" w:cs="仿宋_GB2312"/>
          <w:b w:val="0"/>
          <w:bCs w:val="0"/>
          <w:sz w:val="28"/>
          <w:szCs w:val="28"/>
        </w:rPr>
        <w:t>八、</w:t>
      </w:r>
      <w:r>
        <w:rPr>
          <w:rFonts w:hint="eastAsia" w:ascii="仿宋_GB2312" w:hAnsi="仿宋_GB2312" w:eastAsia="仿宋_GB2312" w:cs="仿宋_GB2312"/>
          <w:sz w:val="28"/>
          <w:szCs w:val="28"/>
        </w:rPr>
        <w:t>一</w:t>
      </w:r>
      <w:r>
        <w:rPr>
          <w:rStyle w:val="36"/>
          <w:rFonts w:hint="eastAsia" w:ascii="仿宋_GB2312" w:hAnsi="仿宋_GB2312" w:eastAsia="仿宋_GB2312" w:cs="仿宋_GB2312"/>
          <w:b w:val="0"/>
          <w:bCs w:val="0"/>
          <w:sz w:val="28"/>
          <w:szCs w:val="28"/>
        </w:rPr>
        <w:t>般公共预算财政拨款基本支出决算表</w:t>
      </w:r>
      <w:bookmarkEnd w:id="119"/>
      <w:bookmarkEnd w:id="120"/>
      <w:bookmarkEnd w:id="121"/>
    </w:p>
    <w:p w14:paraId="4B4130DC">
      <w:pPr>
        <w:spacing w:line="560" w:lineRule="exact"/>
        <w:ind w:firstLine="560" w:firstLineChars="200"/>
        <w:outlineLvl w:val="1"/>
        <w:rPr>
          <w:rFonts w:ascii="仿宋_GB2312" w:hAnsi="仿宋_GB2312" w:eastAsia="仿宋_GB2312" w:cs="仿宋_GB2312"/>
          <w:sz w:val="28"/>
          <w:szCs w:val="28"/>
        </w:rPr>
      </w:pPr>
      <w:bookmarkStart w:id="122" w:name="_Toc14219"/>
      <w:bookmarkStart w:id="123" w:name="_Toc23325"/>
      <w:bookmarkStart w:id="124" w:name="_Toc15396627"/>
      <w:r>
        <w:rPr>
          <w:rStyle w:val="36"/>
          <w:rFonts w:hint="eastAsia" w:ascii="仿宋_GB2312" w:hAnsi="仿宋_GB2312" w:eastAsia="仿宋_GB2312" w:cs="仿宋_GB2312"/>
          <w:b w:val="0"/>
          <w:bCs w:val="0"/>
          <w:sz w:val="28"/>
          <w:szCs w:val="28"/>
        </w:rPr>
        <w:t>九、</w:t>
      </w:r>
      <w:r>
        <w:rPr>
          <w:rFonts w:hint="eastAsia" w:ascii="仿宋_GB2312" w:hAnsi="仿宋_GB2312" w:eastAsia="仿宋_GB2312" w:cs="仿宋_GB2312"/>
          <w:sz w:val="28"/>
          <w:szCs w:val="28"/>
        </w:rPr>
        <w:t>一</w:t>
      </w:r>
      <w:r>
        <w:rPr>
          <w:rStyle w:val="36"/>
          <w:rFonts w:hint="eastAsia" w:ascii="仿宋_GB2312" w:hAnsi="仿宋_GB2312" w:eastAsia="仿宋_GB2312" w:cs="仿宋_GB2312"/>
          <w:b w:val="0"/>
          <w:bCs w:val="0"/>
          <w:sz w:val="28"/>
          <w:szCs w:val="28"/>
        </w:rPr>
        <w:t>般公共预算财政拨款项目支出决算表</w:t>
      </w:r>
      <w:bookmarkEnd w:id="122"/>
      <w:bookmarkEnd w:id="123"/>
      <w:bookmarkEnd w:id="124"/>
    </w:p>
    <w:p w14:paraId="430EF973">
      <w:pPr>
        <w:spacing w:line="560" w:lineRule="exact"/>
        <w:ind w:firstLine="560" w:firstLineChars="200"/>
        <w:outlineLvl w:val="1"/>
        <w:rPr>
          <w:rFonts w:ascii="仿宋_GB2312" w:hAnsi="仿宋_GB2312" w:eastAsia="仿宋_GB2312" w:cs="仿宋_GB2312"/>
          <w:sz w:val="28"/>
          <w:szCs w:val="28"/>
        </w:rPr>
      </w:pPr>
      <w:bookmarkStart w:id="125" w:name="_Toc15396628"/>
      <w:bookmarkStart w:id="126" w:name="_Toc27528"/>
      <w:bookmarkStart w:id="127" w:name="_Toc32737"/>
      <w:r>
        <w:rPr>
          <w:rStyle w:val="36"/>
          <w:rFonts w:hint="eastAsia" w:ascii="仿宋_GB2312" w:hAnsi="仿宋_GB2312" w:eastAsia="仿宋_GB2312" w:cs="仿宋_GB2312"/>
          <w:b w:val="0"/>
          <w:bCs w:val="0"/>
          <w:sz w:val="28"/>
          <w:szCs w:val="28"/>
        </w:rPr>
        <w:t>十、</w:t>
      </w:r>
      <w:r>
        <w:rPr>
          <w:rFonts w:hint="eastAsia" w:ascii="仿宋_GB2312" w:hAnsi="仿宋_GB2312" w:eastAsia="仿宋_GB2312" w:cs="仿宋_GB2312"/>
          <w:sz w:val="28"/>
          <w:szCs w:val="28"/>
        </w:rPr>
        <w:t>一</w:t>
      </w:r>
      <w:r>
        <w:rPr>
          <w:rStyle w:val="36"/>
          <w:rFonts w:hint="eastAsia" w:ascii="仿宋_GB2312" w:hAnsi="仿宋_GB2312" w:eastAsia="仿宋_GB2312" w:cs="仿宋_GB2312"/>
          <w:b w:val="0"/>
          <w:bCs w:val="0"/>
          <w:sz w:val="28"/>
          <w:szCs w:val="28"/>
        </w:rPr>
        <w:t>般公共预算财政拨款“三公”经费支出决算表</w:t>
      </w:r>
      <w:bookmarkEnd w:id="125"/>
      <w:bookmarkEnd w:id="126"/>
      <w:bookmarkEnd w:id="127"/>
    </w:p>
    <w:p w14:paraId="544D9248">
      <w:pPr>
        <w:spacing w:line="560" w:lineRule="exact"/>
        <w:ind w:firstLine="560" w:firstLineChars="200"/>
        <w:outlineLvl w:val="1"/>
        <w:rPr>
          <w:rFonts w:ascii="仿宋_GB2312" w:hAnsi="仿宋_GB2312" w:eastAsia="仿宋_GB2312" w:cs="仿宋_GB2312"/>
          <w:sz w:val="28"/>
          <w:szCs w:val="28"/>
        </w:rPr>
      </w:pPr>
      <w:bookmarkStart w:id="128" w:name="_Toc26531"/>
      <w:bookmarkStart w:id="129" w:name="_Toc15396629"/>
      <w:bookmarkStart w:id="130" w:name="_Toc13249"/>
      <w:r>
        <w:rPr>
          <w:rStyle w:val="36"/>
          <w:rFonts w:hint="eastAsia" w:ascii="仿宋_GB2312" w:hAnsi="仿宋_GB2312" w:eastAsia="仿宋_GB2312" w:cs="仿宋_GB2312"/>
          <w:b w:val="0"/>
          <w:bCs w:val="0"/>
          <w:sz w:val="28"/>
          <w:szCs w:val="28"/>
        </w:rPr>
        <w:t>十一、</w:t>
      </w:r>
      <w:r>
        <w:rPr>
          <w:rFonts w:hint="eastAsia" w:ascii="仿宋_GB2312" w:hAnsi="仿宋_GB2312" w:eastAsia="仿宋_GB2312" w:cs="仿宋_GB2312"/>
          <w:sz w:val="28"/>
          <w:szCs w:val="28"/>
        </w:rPr>
        <w:t>政</w:t>
      </w:r>
      <w:r>
        <w:rPr>
          <w:rStyle w:val="36"/>
          <w:rFonts w:hint="eastAsia" w:ascii="仿宋_GB2312" w:hAnsi="仿宋_GB2312" w:eastAsia="仿宋_GB2312" w:cs="仿宋_GB2312"/>
          <w:b w:val="0"/>
          <w:bCs w:val="0"/>
          <w:sz w:val="28"/>
          <w:szCs w:val="28"/>
        </w:rPr>
        <w:t>府性基金预算财政拨款收入支出决算表</w:t>
      </w:r>
      <w:bookmarkEnd w:id="128"/>
      <w:bookmarkEnd w:id="129"/>
      <w:bookmarkEnd w:id="130"/>
    </w:p>
    <w:p w14:paraId="1725C906">
      <w:pPr>
        <w:spacing w:line="560" w:lineRule="exact"/>
        <w:ind w:firstLine="560" w:firstLineChars="200"/>
        <w:outlineLvl w:val="1"/>
        <w:rPr>
          <w:rFonts w:ascii="仿宋_GB2312" w:hAnsi="仿宋_GB2312" w:eastAsia="仿宋_GB2312" w:cs="仿宋_GB2312"/>
          <w:sz w:val="28"/>
          <w:szCs w:val="28"/>
        </w:rPr>
      </w:pPr>
      <w:bookmarkStart w:id="131" w:name="_Toc31690"/>
      <w:bookmarkStart w:id="132" w:name="_Toc15396630"/>
      <w:bookmarkStart w:id="133" w:name="_Toc20109"/>
      <w:r>
        <w:rPr>
          <w:rStyle w:val="36"/>
          <w:rFonts w:hint="eastAsia" w:ascii="仿宋_GB2312" w:hAnsi="仿宋_GB2312" w:eastAsia="仿宋_GB2312" w:cs="仿宋_GB2312"/>
          <w:b w:val="0"/>
          <w:bCs w:val="0"/>
          <w:sz w:val="28"/>
          <w:szCs w:val="28"/>
        </w:rPr>
        <w:t>十二、</w:t>
      </w:r>
      <w:r>
        <w:rPr>
          <w:rFonts w:hint="eastAsia" w:ascii="仿宋_GB2312" w:hAnsi="仿宋_GB2312" w:eastAsia="仿宋_GB2312" w:cs="仿宋_GB2312"/>
          <w:sz w:val="28"/>
          <w:szCs w:val="28"/>
        </w:rPr>
        <w:t>政</w:t>
      </w:r>
      <w:r>
        <w:rPr>
          <w:rStyle w:val="36"/>
          <w:rFonts w:hint="eastAsia" w:ascii="仿宋_GB2312" w:hAnsi="仿宋_GB2312" w:eastAsia="仿宋_GB2312" w:cs="仿宋_GB2312"/>
          <w:b w:val="0"/>
          <w:bCs w:val="0"/>
          <w:sz w:val="28"/>
          <w:szCs w:val="28"/>
        </w:rPr>
        <w:t>府性基金预算财政拨款“三公”经费支出决算表</w:t>
      </w:r>
      <w:bookmarkEnd w:id="131"/>
      <w:bookmarkEnd w:id="132"/>
      <w:bookmarkEnd w:id="133"/>
    </w:p>
    <w:p w14:paraId="586A99C1">
      <w:pPr>
        <w:spacing w:line="560" w:lineRule="exact"/>
        <w:ind w:firstLine="560" w:firstLineChars="200"/>
        <w:outlineLvl w:val="1"/>
        <w:rPr>
          <w:rStyle w:val="36"/>
          <w:rFonts w:ascii="仿宋_GB2312" w:hAnsi="仿宋_GB2312" w:eastAsia="仿宋_GB2312" w:cs="仿宋_GB2312"/>
          <w:b w:val="0"/>
          <w:bCs w:val="0"/>
          <w:sz w:val="28"/>
          <w:szCs w:val="28"/>
        </w:rPr>
      </w:pPr>
      <w:bookmarkStart w:id="134" w:name="_Toc15396631"/>
      <w:bookmarkStart w:id="135" w:name="_Toc24016"/>
      <w:bookmarkStart w:id="136" w:name="_Toc23075"/>
      <w:r>
        <w:rPr>
          <w:rStyle w:val="36"/>
          <w:rFonts w:hint="eastAsia" w:ascii="仿宋_GB2312" w:hAnsi="仿宋_GB2312" w:eastAsia="仿宋_GB2312" w:cs="仿宋_GB2312"/>
          <w:b w:val="0"/>
          <w:bCs w:val="0"/>
          <w:sz w:val="28"/>
          <w:szCs w:val="28"/>
        </w:rPr>
        <w:t>十三、</w:t>
      </w:r>
      <w:r>
        <w:rPr>
          <w:rFonts w:hint="eastAsia" w:ascii="仿宋_GB2312" w:hAnsi="仿宋_GB2312" w:eastAsia="仿宋_GB2312" w:cs="仿宋_GB2312"/>
          <w:sz w:val="28"/>
          <w:szCs w:val="28"/>
        </w:rPr>
        <w:t>国</w:t>
      </w:r>
      <w:r>
        <w:rPr>
          <w:rStyle w:val="36"/>
          <w:rFonts w:hint="eastAsia" w:ascii="仿宋_GB2312" w:hAnsi="仿宋_GB2312" w:eastAsia="仿宋_GB2312" w:cs="仿宋_GB2312"/>
          <w:b w:val="0"/>
          <w:bCs w:val="0"/>
          <w:sz w:val="28"/>
          <w:szCs w:val="28"/>
        </w:rPr>
        <w:t>有资本经营预算财政拨款收入支出决算表</w:t>
      </w:r>
      <w:bookmarkEnd w:id="134"/>
      <w:bookmarkEnd w:id="135"/>
      <w:bookmarkEnd w:id="136"/>
    </w:p>
    <w:p w14:paraId="43830E3F">
      <w:pPr>
        <w:spacing w:line="560" w:lineRule="exact"/>
        <w:ind w:firstLine="560" w:firstLineChars="200"/>
        <w:outlineLvl w:val="1"/>
        <w:rPr>
          <w:rFonts w:ascii="仿宋_GB2312" w:hAnsi="仿宋_GB2312" w:eastAsia="仿宋_GB2312" w:cs="仿宋_GB2312"/>
          <w:sz w:val="28"/>
          <w:szCs w:val="28"/>
        </w:rPr>
      </w:pPr>
      <w:bookmarkStart w:id="137" w:name="_Toc14191"/>
      <w:bookmarkStart w:id="138" w:name="_Toc8943"/>
      <w:r>
        <w:rPr>
          <w:rStyle w:val="36"/>
          <w:rFonts w:hint="eastAsia" w:ascii="仿宋_GB2312" w:hAnsi="仿宋_GB2312" w:eastAsia="仿宋_GB2312" w:cs="仿宋_GB2312"/>
          <w:b w:val="0"/>
          <w:bCs w:val="0"/>
          <w:sz w:val="28"/>
          <w:szCs w:val="28"/>
        </w:rPr>
        <w:t>十四、国有资本经营预算财政拨款支出决算表</w:t>
      </w:r>
      <w:bookmarkEnd w:id="137"/>
      <w:bookmarkEnd w:id="138"/>
    </w:p>
    <w:sectPr>
      <w:footerReference r:id="rId6" w:type="first"/>
      <w:footerReference r:id="rId5" w:type="default"/>
      <w:pgSz w:w="11906" w:h="16838"/>
      <w:pgMar w:top="1440" w:right="1800" w:bottom="1440" w:left="1800" w:header="851" w:footer="992" w:gutter="0"/>
      <w:pgNumType w:fmt="decimal"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FangSong_GB2312">
    <w:altName w:val="仿宋_GB2312"/>
    <w:panose1 w:val="02010609030101010101"/>
    <w:charset w:val="86"/>
    <w:family w:val="roman"/>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31631">
    <w:pPr>
      <w:pStyle w:val="13"/>
      <w:jc w:val="center"/>
    </w:pPr>
  </w:p>
  <w:p w14:paraId="24D3B328">
    <w:pPr>
      <w:pStyle w:val="13"/>
      <w:tabs>
        <w:tab w:val="clear" w:pos="4153"/>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40050">
    <w:pPr>
      <w:pStyle w:val="13"/>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8F86385">
                          <w:pPr>
                            <w:pStyle w:val="13"/>
                          </w:pPr>
                          <w:r>
                            <w:fldChar w:fldCharType="begin"/>
                          </w:r>
                          <w:r>
                            <w:instrText xml:space="preserve"> PAGE  \* MERGEFORMAT </w:instrText>
                          </w:r>
                          <w:r>
                            <w:fldChar w:fldCharType="separate"/>
                          </w:r>
                          <w:r>
                            <w:t>52</w:t>
                          </w:r>
                          <w:r>
                            <w:fldChar w:fldCharType="end"/>
                          </w:r>
                        </w:p>
                      </w:txbxContent>
                    </wps:txbx>
                    <wps:bodyPr vert="horz" wrap="none" lIns="0" tIns="0" rIns="0" bIns="0" anchor="t" anchorCtr="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zSVju0AAAAAUBAAAP&#10;AAAAAAAAAAEAIAAAACIAAABkcnMvZG93bnJldi54bWxQSwECFAAUAAAACACHTuJA/1CxlucBAADI&#10;AwAADgAAAAAAAAABACAAAAAfAQAAZHJzL2Uyb0RvYy54bWxQSwUGAAAAAAYABgBZAQAAeAUAAAAA&#10;">
              <v:fill on="f" focussize="0,0"/>
              <v:stroke on="f" weight="0.5pt"/>
              <v:imagedata o:title=""/>
              <o:lock v:ext="edit" aspectratio="f"/>
              <v:textbox inset="0mm,0mm,0mm,0mm" style="mso-fit-shape-to-text:t;">
                <w:txbxContent>
                  <w:p w14:paraId="38F86385">
                    <w:pPr>
                      <w:pStyle w:val="13"/>
                    </w:pPr>
                    <w:r>
                      <w:fldChar w:fldCharType="begin"/>
                    </w:r>
                    <w:r>
                      <w:instrText xml:space="preserve"> PAGE  \* MERGEFORMAT </w:instrText>
                    </w:r>
                    <w:r>
                      <w:fldChar w:fldCharType="separate"/>
                    </w:r>
                    <w:r>
                      <w:t>52</w:t>
                    </w:r>
                    <w:r>
                      <w:fldChar w:fldCharType="end"/>
                    </w:r>
                  </w:p>
                </w:txbxContent>
              </v:textbox>
            </v:shape>
          </w:pict>
        </mc:Fallback>
      </mc:AlternateContent>
    </w:r>
  </w:p>
  <w:p w14:paraId="7AAA040A">
    <w:pPr>
      <w:pStyle w:val="13"/>
      <w:tabs>
        <w:tab w:val="clear" w:pos="4153"/>
      </w:tabs>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F06D9B">
    <w:pPr>
      <w:pStyle w:val="1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24CBFC48">
                          <w:pPr>
                            <w:pStyle w:val="13"/>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s0lY7tAAAAAFAQAA&#10;DwAAAAAAAAABACAAAAAiAAAAZHJzL2Rvd25yZXYueG1sUEsBAhQAFAAAAAgAh07iQPUSzNXoAQAA&#10;yAMAAA4AAAAAAAAAAQAgAAAAHwEAAGRycy9lMm9Eb2MueG1sUEsFBgAAAAAGAAYAWQEAAHkFAAAA&#10;AA==&#10;">
              <v:fill on="f" focussize="0,0"/>
              <v:stroke on="f" weight="0.5pt"/>
              <v:imagedata o:title=""/>
              <o:lock v:ext="edit" aspectratio="f"/>
              <v:textbox inset="0mm,0mm,0mm,0mm" style="mso-fit-shape-to-text:t;">
                <w:txbxContent>
                  <w:p w14:paraId="24CBFC48">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12598">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793590"/>
    <w:multiLevelType w:val="singleLevel"/>
    <w:tmpl w:val="BC793590"/>
    <w:lvl w:ilvl="0" w:tentative="0">
      <w:start w:val="9"/>
      <w:numFmt w:val="chineseCounting"/>
      <w:suff w:val="nothing"/>
      <w:lvlText w:val="%1、"/>
      <w:lvlJc w:val="left"/>
      <w:rPr>
        <w:rFonts w:hint="eastAsia"/>
      </w:rPr>
    </w:lvl>
  </w:abstractNum>
  <w:abstractNum w:abstractNumId="1">
    <w:nsid w:val="00000001"/>
    <w:multiLevelType w:val="multilevel"/>
    <w:tmpl w:val="0000000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26"/>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2">
    <w:nsid w:val="06CCE1D5"/>
    <w:multiLevelType w:val="singleLevel"/>
    <w:tmpl w:val="06CCE1D5"/>
    <w:lvl w:ilvl="0" w:tentative="0">
      <w:start w:val="4"/>
      <w:numFmt w:val="chineseCounting"/>
      <w:suff w:val="nothing"/>
      <w:lvlText w:val="%1、"/>
      <w:lvlJc w:val="left"/>
      <w:rPr>
        <w:rFonts w:hint="eastAsia"/>
      </w:rPr>
    </w:lvl>
  </w:abstractNum>
  <w:abstractNum w:abstractNumId="3">
    <w:nsid w:val="43BF398C"/>
    <w:multiLevelType w:val="singleLevel"/>
    <w:tmpl w:val="43BF398C"/>
    <w:lvl w:ilvl="0" w:tentative="0">
      <w:start w:val="1"/>
      <w:numFmt w:val="chineseCounting"/>
      <w:suff w:val="nothing"/>
      <w:lvlText w:val="（%1）"/>
      <w:lvlJc w:val="left"/>
      <w:rPr>
        <w:rFonts w:hint="eastAsia"/>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zZjk4ZmI4YzUyY2NiZTM5YjJkNjVmMjg0M2I1ODc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65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556C1"/>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96830"/>
    <w:rsid w:val="006A3141"/>
    <w:rsid w:val="006A5E34"/>
    <w:rsid w:val="006B2422"/>
    <w:rsid w:val="006B2B9A"/>
    <w:rsid w:val="006B4A29"/>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E657D"/>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2D9C"/>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6406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4374"/>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515DC"/>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A6830"/>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0385F"/>
    <w:rsid w:val="01B06153"/>
    <w:rsid w:val="01F053F2"/>
    <w:rsid w:val="02FC787B"/>
    <w:rsid w:val="034874ED"/>
    <w:rsid w:val="03634CCC"/>
    <w:rsid w:val="03824AAC"/>
    <w:rsid w:val="039C7B37"/>
    <w:rsid w:val="03B10C72"/>
    <w:rsid w:val="04055CC3"/>
    <w:rsid w:val="04D058DF"/>
    <w:rsid w:val="04E232D6"/>
    <w:rsid w:val="05BE5915"/>
    <w:rsid w:val="05EF743A"/>
    <w:rsid w:val="063C6EBF"/>
    <w:rsid w:val="06641818"/>
    <w:rsid w:val="066E0107"/>
    <w:rsid w:val="06741A3B"/>
    <w:rsid w:val="06F06C3D"/>
    <w:rsid w:val="07996F6E"/>
    <w:rsid w:val="07B054DE"/>
    <w:rsid w:val="07D66E6C"/>
    <w:rsid w:val="089A2392"/>
    <w:rsid w:val="08C73957"/>
    <w:rsid w:val="09332F3E"/>
    <w:rsid w:val="09730737"/>
    <w:rsid w:val="09D863A9"/>
    <w:rsid w:val="09F50332"/>
    <w:rsid w:val="0A2032A3"/>
    <w:rsid w:val="0A5B169C"/>
    <w:rsid w:val="0A795B1C"/>
    <w:rsid w:val="0AF76F83"/>
    <w:rsid w:val="0B967806"/>
    <w:rsid w:val="0C103F7E"/>
    <w:rsid w:val="0C773AF4"/>
    <w:rsid w:val="0D693D5F"/>
    <w:rsid w:val="0DEC5472"/>
    <w:rsid w:val="0EDF6BD2"/>
    <w:rsid w:val="0F043B1B"/>
    <w:rsid w:val="0F9E443C"/>
    <w:rsid w:val="0FFA64A5"/>
    <w:rsid w:val="101860EC"/>
    <w:rsid w:val="1097457C"/>
    <w:rsid w:val="10A027B1"/>
    <w:rsid w:val="10B47AA1"/>
    <w:rsid w:val="10C055FF"/>
    <w:rsid w:val="11310D46"/>
    <w:rsid w:val="118107EC"/>
    <w:rsid w:val="12C11B6B"/>
    <w:rsid w:val="13D50BC4"/>
    <w:rsid w:val="14241EA5"/>
    <w:rsid w:val="14914BD1"/>
    <w:rsid w:val="15613335"/>
    <w:rsid w:val="156F223A"/>
    <w:rsid w:val="15B63C88"/>
    <w:rsid w:val="169D6E5A"/>
    <w:rsid w:val="16BB723D"/>
    <w:rsid w:val="176A1687"/>
    <w:rsid w:val="185E0C40"/>
    <w:rsid w:val="187C6339"/>
    <w:rsid w:val="18BB26C5"/>
    <w:rsid w:val="18DA628E"/>
    <w:rsid w:val="19545C17"/>
    <w:rsid w:val="196F6360"/>
    <w:rsid w:val="19D74AF7"/>
    <w:rsid w:val="1A327F2F"/>
    <w:rsid w:val="1AAD72B8"/>
    <w:rsid w:val="1B0B43E7"/>
    <w:rsid w:val="1BB22C8F"/>
    <w:rsid w:val="1BB975B4"/>
    <w:rsid w:val="1BDC4D60"/>
    <w:rsid w:val="1BE8440E"/>
    <w:rsid w:val="1C340365"/>
    <w:rsid w:val="1C8274C1"/>
    <w:rsid w:val="1D115416"/>
    <w:rsid w:val="1D1303D5"/>
    <w:rsid w:val="1D155CEE"/>
    <w:rsid w:val="1DB15DC6"/>
    <w:rsid w:val="1DE1684E"/>
    <w:rsid w:val="1EAC11E9"/>
    <w:rsid w:val="1EBB6803"/>
    <w:rsid w:val="1F040917"/>
    <w:rsid w:val="201B50E5"/>
    <w:rsid w:val="20474504"/>
    <w:rsid w:val="21624E14"/>
    <w:rsid w:val="21641F16"/>
    <w:rsid w:val="219B4DC6"/>
    <w:rsid w:val="22214AA1"/>
    <w:rsid w:val="223B4CCB"/>
    <w:rsid w:val="225304CB"/>
    <w:rsid w:val="226E1CCF"/>
    <w:rsid w:val="22891F67"/>
    <w:rsid w:val="23860B96"/>
    <w:rsid w:val="23B8030D"/>
    <w:rsid w:val="23F20E07"/>
    <w:rsid w:val="240371BF"/>
    <w:rsid w:val="240F186A"/>
    <w:rsid w:val="24140326"/>
    <w:rsid w:val="242668C4"/>
    <w:rsid w:val="24B44B8B"/>
    <w:rsid w:val="25AD37B3"/>
    <w:rsid w:val="25D00ACA"/>
    <w:rsid w:val="26260ED6"/>
    <w:rsid w:val="26811DAB"/>
    <w:rsid w:val="268458FA"/>
    <w:rsid w:val="269B7052"/>
    <w:rsid w:val="26CE6430"/>
    <w:rsid w:val="26D84233"/>
    <w:rsid w:val="288B1760"/>
    <w:rsid w:val="293D6764"/>
    <w:rsid w:val="29991C0E"/>
    <w:rsid w:val="29F86FC6"/>
    <w:rsid w:val="29FA4AAF"/>
    <w:rsid w:val="29FD04D3"/>
    <w:rsid w:val="2AD86C17"/>
    <w:rsid w:val="2C3C655B"/>
    <w:rsid w:val="2C6809EB"/>
    <w:rsid w:val="2C710A2E"/>
    <w:rsid w:val="2C8A61B5"/>
    <w:rsid w:val="2D6D5613"/>
    <w:rsid w:val="2DE2169B"/>
    <w:rsid w:val="2DF04E50"/>
    <w:rsid w:val="2E3A762C"/>
    <w:rsid w:val="2ED5043C"/>
    <w:rsid w:val="2F680F48"/>
    <w:rsid w:val="304D1074"/>
    <w:rsid w:val="305E5F3E"/>
    <w:rsid w:val="30A82DEE"/>
    <w:rsid w:val="30BF3A5B"/>
    <w:rsid w:val="319975AA"/>
    <w:rsid w:val="319F7F4E"/>
    <w:rsid w:val="31E16CCD"/>
    <w:rsid w:val="33035811"/>
    <w:rsid w:val="33910185"/>
    <w:rsid w:val="339A09C0"/>
    <w:rsid w:val="33C81479"/>
    <w:rsid w:val="33DE4053"/>
    <w:rsid w:val="343B1CF3"/>
    <w:rsid w:val="343E79CD"/>
    <w:rsid w:val="35A41B73"/>
    <w:rsid w:val="36AA5135"/>
    <w:rsid w:val="37CD55BF"/>
    <w:rsid w:val="37E16F03"/>
    <w:rsid w:val="382948AD"/>
    <w:rsid w:val="38C829C8"/>
    <w:rsid w:val="392E4D43"/>
    <w:rsid w:val="39722A58"/>
    <w:rsid w:val="39934A04"/>
    <w:rsid w:val="39C27EC2"/>
    <w:rsid w:val="3AAA77CF"/>
    <w:rsid w:val="3ADB5F75"/>
    <w:rsid w:val="3B84320A"/>
    <w:rsid w:val="3C125873"/>
    <w:rsid w:val="3C5C6E8F"/>
    <w:rsid w:val="3CB054DF"/>
    <w:rsid w:val="3D98207C"/>
    <w:rsid w:val="3EE743D3"/>
    <w:rsid w:val="3F3F046E"/>
    <w:rsid w:val="3F513BC4"/>
    <w:rsid w:val="3F653868"/>
    <w:rsid w:val="3FE03E8E"/>
    <w:rsid w:val="3FFF1AFD"/>
    <w:rsid w:val="40166739"/>
    <w:rsid w:val="408F0158"/>
    <w:rsid w:val="412F79DD"/>
    <w:rsid w:val="41FD181B"/>
    <w:rsid w:val="429B2AB4"/>
    <w:rsid w:val="42BF1480"/>
    <w:rsid w:val="43F9150C"/>
    <w:rsid w:val="44E268DA"/>
    <w:rsid w:val="458F43B4"/>
    <w:rsid w:val="4610791B"/>
    <w:rsid w:val="469D2D49"/>
    <w:rsid w:val="46DA599D"/>
    <w:rsid w:val="475573AE"/>
    <w:rsid w:val="4770576A"/>
    <w:rsid w:val="47E04A0B"/>
    <w:rsid w:val="47FF3CEC"/>
    <w:rsid w:val="493F2D1B"/>
    <w:rsid w:val="497A40B6"/>
    <w:rsid w:val="49853D65"/>
    <w:rsid w:val="4A1B1C83"/>
    <w:rsid w:val="4A627F82"/>
    <w:rsid w:val="4B253FAC"/>
    <w:rsid w:val="4B4F25DA"/>
    <w:rsid w:val="4BE068DB"/>
    <w:rsid w:val="4C0864A5"/>
    <w:rsid w:val="4C9F714A"/>
    <w:rsid w:val="4D3872A1"/>
    <w:rsid w:val="4D577224"/>
    <w:rsid w:val="4D6D1203"/>
    <w:rsid w:val="4E222C70"/>
    <w:rsid w:val="4E71630A"/>
    <w:rsid w:val="4EA13B62"/>
    <w:rsid w:val="4EAB630A"/>
    <w:rsid w:val="4ECE2238"/>
    <w:rsid w:val="4F773B2C"/>
    <w:rsid w:val="4F833828"/>
    <w:rsid w:val="512916D5"/>
    <w:rsid w:val="51351ABF"/>
    <w:rsid w:val="52082CC6"/>
    <w:rsid w:val="528A3D2B"/>
    <w:rsid w:val="54262DD4"/>
    <w:rsid w:val="54653D58"/>
    <w:rsid w:val="546E5617"/>
    <w:rsid w:val="548966EF"/>
    <w:rsid w:val="55087906"/>
    <w:rsid w:val="55A84859"/>
    <w:rsid w:val="566C0BDB"/>
    <w:rsid w:val="56896D8A"/>
    <w:rsid w:val="56C13962"/>
    <w:rsid w:val="571250FB"/>
    <w:rsid w:val="573F72B3"/>
    <w:rsid w:val="57BA6514"/>
    <w:rsid w:val="57CA5E9C"/>
    <w:rsid w:val="586B719A"/>
    <w:rsid w:val="58EE1AA5"/>
    <w:rsid w:val="58F31B0A"/>
    <w:rsid w:val="5AB44DEF"/>
    <w:rsid w:val="5AF92295"/>
    <w:rsid w:val="5BBC0BB6"/>
    <w:rsid w:val="5C323AC3"/>
    <w:rsid w:val="5C5D193E"/>
    <w:rsid w:val="5CC44BE0"/>
    <w:rsid w:val="5CD71FC4"/>
    <w:rsid w:val="5CDF7C98"/>
    <w:rsid w:val="5DFE2D48"/>
    <w:rsid w:val="5E9A3CC2"/>
    <w:rsid w:val="609B58F4"/>
    <w:rsid w:val="60A234AA"/>
    <w:rsid w:val="60E51614"/>
    <w:rsid w:val="60EA1721"/>
    <w:rsid w:val="619026CC"/>
    <w:rsid w:val="62D60DAA"/>
    <w:rsid w:val="630C2BBF"/>
    <w:rsid w:val="644B7717"/>
    <w:rsid w:val="655C4D44"/>
    <w:rsid w:val="656B3962"/>
    <w:rsid w:val="65E40B8A"/>
    <w:rsid w:val="665074F0"/>
    <w:rsid w:val="66586EB3"/>
    <w:rsid w:val="66596817"/>
    <w:rsid w:val="66B8432E"/>
    <w:rsid w:val="66BD4BE1"/>
    <w:rsid w:val="685711FB"/>
    <w:rsid w:val="685C4343"/>
    <w:rsid w:val="687661D0"/>
    <w:rsid w:val="689D0ABA"/>
    <w:rsid w:val="68AD44BB"/>
    <w:rsid w:val="69370D14"/>
    <w:rsid w:val="69410028"/>
    <w:rsid w:val="6A010C46"/>
    <w:rsid w:val="6B14410F"/>
    <w:rsid w:val="6BA9517E"/>
    <w:rsid w:val="6BDF7C36"/>
    <w:rsid w:val="6C177508"/>
    <w:rsid w:val="6C382682"/>
    <w:rsid w:val="6C41402B"/>
    <w:rsid w:val="6C4A05C8"/>
    <w:rsid w:val="6C5B47D0"/>
    <w:rsid w:val="6C63766C"/>
    <w:rsid w:val="6C8D4D71"/>
    <w:rsid w:val="6D8C23E9"/>
    <w:rsid w:val="6E044540"/>
    <w:rsid w:val="6E2D74A0"/>
    <w:rsid w:val="6E3C1CD6"/>
    <w:rsid w:val="6E7E3605"/>
    <w:rsid w:val="6FD75D88"/>
    <w:rsid w:val="6FF5CC65"/>
    <w:rsid w:val="70AF2306"/>
    <w:rsid w:val="70D420AB"/>
    <w:rsid w:val="715A6588"/>
    <w:rsid w:val="715C0E4B"/>
    <w:rsid w:val="717572E9"/>
    <w:rsid w:val="72153C4D"/>
    <w:rsid w:val="72375CBD"/>
    <w:rsid w:val="72635FBB"/>
    <w:rsid w:val="726447C6"/>
    <w:rsid w:val="72734D90"/>
    <w:rsid w:val="72B06F65"/>
    <w:rsid w:val="72EA3321"/>
    <w:rsid w:val="73AD73D5"/>
    <w:rsid w:val="73B46663"/>
    <w:rsid w:val="73B61F92"/>
    <w:rsid w:val="73B6EB34"/>
    <w:rsid w:val="740B5187"/>
    <w:rsid w:val="755E51CC"/>
    <w:rsid w:val="766C4E4A"/>
    <w:rsid w:val="769C1ADE"/>
    <w:rsid w:val="769E6CC2"/>
    <w:rsid w:val="77F6BEFF"/>
    <w:rsid w:val="780879A1"/>
    <w:rsid w:val="795C61F7"/>
    <w:rsid w:val="79C54E72"/>
    <w:rsid w:val="79E644B4"/>
    <w:rsid w:val="79EE5BA4"/>
    <w:rsid w:val="7A894339"/>
    <w:rsid w:val="7A964260"/>
    <w:rsid w:val="7B183C00"/>
    <w:rsid w:val="7B790349"/>
    <w:rsid w:val="7BC64388"/>
    <w:rsid w:val="7C28097F"/>
    <w:rsid w:val="7CEF4837"/>
    <w:rsid w:val="7D824146"/>
    <w:rsid w:val="7DE83EC2"/>
    <w:rsid w:val="7E272D5D"/>
    <w:rsid w:val="7EEF11D3"/>
    <w:rsid w:val="7F150482"/>
    <w:rsid w:val="7FA30C79"/>
    <w:rsid w:val="7FC96657"/>
    <w:rsid w:val="7FDE3C0B"/>
    <w:rsid w:val="ADF3E2B3"/>
    <w:rsid w:val="CCEEB78C"/>
    <w:rsid w:val="D8D6DB89"/>
    <w:rsid w:val="DB6F4CAB"/>
    <w:rsid w:val="DF6F9789"/>
    <w:rsid w:val="E9DF2889"/>
    <w:rsid w:val="F373C5B0"/>
    <w:rsid w:val="FB75BD2F"/>
    <w:rsid w:val="FFD33BAF"/>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iPriority="99" w:semiHidden="0"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5"/>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9"/>
    <w:unhideWhenUsed/>
    <w:qFormat/>
    <w:uiPriority w:val="9"/>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index 5"/>
    <w:basedOn w:val="1"/>
    <w:next w:val="1"/>
    <w:qFormat/>
    <w:uiPriority w:val="0"/>
    <w:pPr>
      <w:ind w:left="1680"/>
    </w:pPr>
  </w:style>
  <w:style w:type="paragraph" w:styleId="6">
    <w:name w:val="Normal Indent"/>
    <w:basedOn w:val="1"/>
    <w:next w:val="1"/>
    <w:qFormat/>
    <w:uiPriority w:val="99"/>
    <w:pPr>
      <w:ind w:firstLine="680"/>
    </w:pPr>
  </w:style>
  <w:style w:type="paragraph" w:styleId="7">
    <w:name w:val="Salutation"/>
    <w:basedOn w:val="1"/>
    <w:next w:val="1"/>
    <w:unhideWhenUsed/>
    <w:qFormat/>
    <w:uiPriority w:val="99"/>
  </w:style>
  <w:style w:type="paragraph" w:styleId="8">
    <w:name w:val="Body Text"/>
    <w:basedOn w:val="1"/>
    <w:link w:val="33"/>
    <w:qFormat/>
    <w:uiPriority w:val="99"/>
    <w:pPr>
      <w:spacing w:beforeLines="30"/>
    </w:pPr>
    <w:rPr>
      <w:rFonts w:ascii="FangSong_GB2312" w:eastAsia="FangSong_GB2312"/>
      <w:kern w:val="0"/>
      <w:sz w:val="30"/>
    </w:rPr>
  </w:style>
  <w:style w:type="paragraph" w:styleId="9">
    <w:name w:val="Body Text Indent"/>
    <w:basedOn w:val="1"/>
    <w:next w:val="10"/>
    <w:unhideWhenUsed/>
    <w:qFormat/>
    <w:uiPriority w:val="99"/>
    <w:pPr>
      <w:spacing w:after="120"/>
      <w:ind w:left="420" w:leftChars="200"/>
    </w:pPr>
  </w:style>
  <w:style w:type="paragraph" w:styleId="10">
    <w:name w:val="Body Text First Indent 2"/>
    <w:basedOn w:val="9"/>
    <w:next w:val="1"/>
    <w:unhideWhenUsed/>
    <w:qFormat/>
    <w:uiPriority w:val="0"/>
    <w:pPr>
      <w:spacing w:after="0"/>
      <w:ind w:left="0" w:leftChars="0" w:firstLine="200" w:firstLineChars="200"/>
    </w:pPr>
    <w:rPr>
      <w:bCs/>
      <w:kern w:val="0"/>
      <w:szCs w:val="32"/>
    </w:rPr>
  </w:style>
  <w:style w:type="paragraph" w:styleId="11">
    <w:name w:val="toc 3"/>
    <w:basedOn w:val="1"/>
    <w:next w:val="1"/>
    <w:unhideWhenUsed/>
    <w:qFormat/>
    <w:uiPriority w:val="39"/>
    <w:pPr>
      <w:tabs>
        <w:tab w:val="right" w:leader="dot" w:pos="8296"/>
      </w:tabs>
      <w:ind w:left="840" w:leftChars="400"/>
    </w:pPr>
  </w:style>
  <w:style w:type="paragraph" w:styleId="12">
    <w:name w:val="Balloon Text"/>
    <w:basedOn w:val="1"/>
    <w:link w:val="38"/>
    <w:semiHidden/>
    <w:unhideWhenUsed/>
    <w:qFormat/>
    <w:uiPriority w:val="99"/>
    <w:rPr>
      <w:sz w:val="18"/>
      <w:szCs w:val="18"/>
    </w:rPr>
  </w:style>
  <w:style w:type="paragraph" w:styleId="13">
    <w:name w:val="footer"/>
    <w:basedOn w:val="1"/>
    <w:link w:val="31"/>
    <w:qFormat/>
    <w:uiPriority w:val="99"/>
    <w:pPr>
      <w:tabs>
        <w:tab w:val="center" w:pos="4153"/>
        <w:tab w:val="right" w:pos="8306"/>
      </w:tabs>
      <w:snapToGrid w:val="0"/>
      <w:jc w:val="left"/>
    </w:pPr>
    <w:rPr>
      <w:rFonts w:ascii="Calibri" w:hAnsi="Calibri"/>
      <w:kern w:val="0"/>
      <w:sz w:val="18"/>
      <w:szCs w:val="18"/>
    </w:rPr>
  </w:style>
  <w:style w:type="paragraph" w:styleId="14">
    <w:name w:val="header"/>
    <w:basedOn w:val="1"/>
    <w:link w:val="2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6">
    <w:name w:val="footnote text"/>
    <w:basedOn w:val="1"/>
    <w:next w:val="10"/>
    <w:semiHidden/>
    <w:qFormat/>
    <w:uiPriority w:val="0"/>
    <w:pPr>
      <w:snapToGrid w:val="0"/>
      <w:jc w:val="left"/>
    </w:pPr>
    <w:rPr>
      <w:sz w:val="18"/>
      <w:szCs w:val="18"/>
    </w:rPr>
  </w:style>
  <w:style w:type="paragraph" w:styleId="17">
    <w:name w:val="table of figures"/>
    <w:basedOn w:val="1"/>
    <w:next w:val="1"/>
    <w:qFormat/>
    <w:uiPriority w:val="0"/>
    <w:pPr>
      <w:ind w:left="400" w:leftChars="200" w:hanging="200" w:hangingChars="200"/>
    </w:pPr>
    <w:rPr>
      <w:rFonts w:ascii="Calibri" w:hAnsi="Calibri"/>
    </w:rPr>
  </w:style>
  <w:style w:type="paragraph" w:styleId="18">
    <w:name w:val="toc 2"/>
    <w:basedOn w:val="1"/>
    <w:next w:val="1"/>
    <w:unhideWhenUsed/>
    <w:qFormat/>
    <w:uiPriority w:val="39"/>
    <w:pPr>
      <w:tabs>
        <w:tab w:val="right" w:leader="dot" w:pos="8296"/>
      </w:tabs>
      <w:ind w:left="420" w:leftChars="200"/>
    </w:pPr>
  </w:style>
  <w:style w:type="paragraph" w:styleId="19">
    <w:name w:val="Normal (Web)"/>
    <w:basedOn w:val="1"/>
    <w:qFormat/>
    <w:uiPriority w:val="0"/>
    <w:pPr>
      <w:spacing w:before="100" w:beforeAutospacing="1" w:after="100" w:afterAutospacing="1"/>
      <w:jc w:val="left"/>
    </w:pPr>
    <w:rPr>
      <w:kern w:val="0"/>
      <w:sz w:val="24"/>
    </w:rPr>
  </w:style>
  <w:style w:type="character" w:styleId="22">
    <w:name w:val="Strong"/>
    <w:basedOn w:val="21"/>
    <w:qFormat/>
    <w:uiPriority w:val="99"/>
    <w:rPr>
      <w:b/>
    </w:rPr>
  </w:style>
  <w:style w:type="character" w:styleId="23">
    <w:name w:val="page number"/>
    <w:basedOn w:val="21"/>
    <w:qFormat/>
    <w:uiPriority w:val="0"/>
  </w:style>
  <w:style w:type="character" w:styleId="24">
    <w:name w:val="Hyperlink"/>
    <w:basedOn w:val="21"/>
    <w:unhideWhenUsed/>
    <w:qFormat/>
    <w:uiPriority w:val="99"/>
    <w:rPr>
      <w:color w:val="0000FF" w:themeColor="hyperlink"/>
      <w:u w:val="single"/>
      <w14:textFill>
        <w14:solidFill>
          <w14:schemeClr w14:val="hlink"/>
        </w14:solidFill>
      </w14:textFill>
    </w:rPr>
  </w:style>
  <w:style w:type="paragraph" w:customStyle="1" w:styleId="25">
    <w:name w:val="正文2"/>
    <w:basedOn w:val="1"/>
    <w:next w:val="1"/>
    <w:qFormat/>
    <w:uiPriority w:val="0"/>
    <w:pPr>
      <w:spacing w:line="576" w:lineRule="exact"/>
      <w:ind w:firstLine="200" w:firstLineChars="200"/>
    </w:pPr>
    <w:rPr>
      <w:rFonts w:cs="宋体"/>
      <w:szCs w:val="32"/>
    </w:rPr>
  </w:style>
  <w:style w:type="paragraph" w:customStyle="1" w:styleId="26">
    <w:name w:val="标题 5（有编号）（绿盟科技）"/>
    <w:basedOn w:val="1"/>
    <w:next w:val="1"/>
    <w:qFormat/>
    <w:uiPriority w:val="0"/>
    <w:pPr>
      <w:keepNext/>
      <w:keepLines/>
      <w:numPr>
        <w:ilvl w:val="4"/>
        <w:numId w:val="1"/>
      </w:numPr>
      <w:spacing w:before="280" w:after="156" w:line="377" w:lineRule="auto"/>
      <w:jc w:val="left"/>
      <w:outlineLvl w:val="4"/>
    </w:pPr>
    <w:rPr>
      <w:rFonts w:ascii="Arial" w:hAnsi="Arial" w:eastAsia="黑体"/>
      <w:b/>
      <w:kern w:val="0"/>
      <w:sz w:val="24"/>
      <w:szCs w:val="28"/>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8">
    <w:name w:val="Header Char"/>
    <w:basedOn w:val="21"/>
    <w:semiHidden/>
    <w:qFormat/>
    <w:uiPriority w:val="99"/>
    <w:rPr>
      <w:rFonts w:ascii="Times New Roman" w:hAnsi="Times New Roman"/>
      <w:sz w:val="18"/>
      <w:szCs w:val="18"/>
    </w:rPr>
  </w:style>
  <w:style w:type="character" w:customStyle="1" w:styleId="29">
    <w:name w:val="页眉 Char"/>
    <w:link w:val="14"/>
    <w:semiHidden/>
    <w:qFormat/>
    <w:locked/>
    <w:uiPriority w:val="99"/>
    <w:rPr>
      <w:sz w:val="18"/>
    </w:rPr>
  </w:style>
  <w:style w:type="character" w:customStyle="1" w:styleId="30">
    <w:name w:val="Footer Char"/>
    <w:basedOn w:val="21"/>
    <w:semiHidden/>
    <w:qFormat/>
    <w:uiPriority w:val="99"/>
    <w:rPr>
      <w:rFonts w:ascii="Times New Roman" w:hAnsi="Times New Roman"/>
      <w:sz w:val="18"/>
      <w:szCs w:val="18"/>
    </w:rPr>
  </w:style>
  <w:style w:type="character" w:customStyle="1" w:styleId="31">
    <w:name w:val="页脚 Char"/>
    <w:link w:val="13"/>
    <w:qFormat/>
    <w:locked/>
    <w:uiPriority w:val="99"/>
    <w:rPr>
      <w:sz w:val="18"/>
    </w:rPr>
  </w:style>
  <w:style w:type="character" w:customStyle="1" w:styleId="32">
    <w:name w:val="Body Text Char"/>
    <w:basedOn w:val="21"/>
    <w:semiHidden/>
    <w:qFormat/>
    <w:uiPriority w:val="99"/>
    <w:rPr>
      <w:rFonts w:ascii="Times New Roman" w:hAnsi="Times New Roman"/>
      <w:szCs w:val="24"/>
    </w:rPr>
  </w:style>
  <w:style w:type="character" w:customStyle="1" w:styleId="33">
    <w:name w:val="正文文本 Char"/>
    <w:link w:val="8"/>
    <w:qFormat/>
    <w:locked/>
    <w:uiPriority w:val="99"/>
    <w:rPr>
      <w:rFonts w:ascii="FangSong_GB2312" w:hAnsi="Times New Roman" w:eastAsia="FangSong_GB2312"/>
      <w:sz w:val="24"/>
    </w:rPr>
  </w:style>
  <w:style w:type="paragraph" w:styleId="34">
    <w:name w:val="List Paragraph"/>
    <w:basedOn w:val="1"/>
    <w:qFormat/>
    <w:uiPriority w:val="34"/>
    <w:pPr>
      <w:ind w:firstLine="420" w:firstLineChars="200"/>
    </w:pPr>
  </w:style>
  <w:style w:type="character" w:customStyle="1" w:styleId="35">
    <w:name w:val="标题 1 Char"/>
    <w:basedOn w:val="21"/>
    <w:link w:val="3"/>
    <w:qFormat/>
    <w:uiPriority w:val="9"/>
    <w:rPr>
      <w:rFonts w:ascii="Times New Roman" w:hAnsi="Times New Roman"/>
      <w:b/>
      <w:bCs/>
      <w:kern w:val="44"/>
      <w:sz w:val="44"/>
      <w:szCs w:val="44"/>
    </w:rPr>
  </w:style>
  <w:style w:type="character" w:customStyle="1" w:styleId="36">
    <w:name w:val="标题 2 Char"/>
    <w:basedOn w:val="21"/>
    <w:link w:val="4"/>
    <w:qFormat/>
    <w:uiPriority w:val="9"/>
    <w:rPr>
      <w:rFonts w:asciiTheme="majorHAnsi" w:hAnsiTheme="majorHAnsi" w:eastAsiaTheme="majorEastAsia" w:cstheme="majorBidi"/>
      <w:b/>
      <w:bCs/>
      <w:kern w:val="2"/>
      <w:sz w:val="32"/>
      <w:szCs w:val="32"/>
    </w:rPr>
  </w:style>
  <w:style w:type="paragraph" w:customStyle="1" w:styleId="37">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8">
    <w:name w:val="批注框文本 Char"/>
    <w:basedOn w:val="21"/>
    <w:link w:val="12"/>
    <w:semiHidden/>
    <w:qFormat/>
    <w:uiPriority w:val="99"/>
    <w:rPr>
      <w:rFonts w:ascii="Times New Roman" w:hAnsi="Times New Roman"/>
      <w:kern w:val="2"/>
      <w:sz w:val="18"/>
      <w:szCs w:val="18"/>
    </w:rPr>
  </w:style>
  <w:style w:type="character" w:customStyle="1" w:styleId="39">
    <w:name w:val="标题 3 Char"/>
    <w:basedOn w:val="21"/>
    <w:link w:val="5"/>
    <w:qFormat/>
    <w:uiPriority w:val="9"/>
    <w:rPr>
      <w:rFonts w:ascii="Times New Roman" w:hAnsi="Times New Roman"/>
      <w:b/>
      <w:bCs/>
      <w:kern w:val="2"/>
      <w:sz w:val="32"/>
      <w:szCs w:val="32"/>
    </w:rPr>
  </w:style>
  <w:style w:type="paragraph" w:customStyle="1" w:styleId="40">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41">
    <w:name w:val="TOC1"/>
    <w:basedOn w:val="1"/>
    <w:next w:val="1"/>
    <w:qFormat/>
    <w:uiPriority w:val="0"/>
    <w:pPr>
      <w:tabs>
        <w:tab w:val="right" w:leader="dot" w:pos="8721"/>
      </w:tabs>
      <w:spacing w:line="360" w:lineRule="auto"/>
      <w:jc w:val="center"/>
      <w:textAlignment w:val="baseline"/>
    </w:pPr>
    <w:rPr>
      <w:rFonts w:ascii="Calibri" w:hAnsi="仿宋"/>
      <w:b/>
      <w:bCs/>
      <w:caps/>
      <w:sz w:val="28"/>
      <w:szCs w:val="28"/>
    </w:rPr>
  </w:style>
  <w:style w:type="character" w:customStyle="1" w:styleId="42">
    <w:name w:val="font21"/>
    <w:basedOn w:val="21"/>
    <w:qFormat/>
    <w:uiPriority w:val="0"/>
    <w:rPr>
      <w:rFonts w:hint="eastAsia" w:ascii="宋体" w:hAnsi="宋体" w:eastAsia="宋体" w:cs="宋体"/>
      <w:color w:val="000000"/>
      <w:sz w:val="24"/>
      <w:szCs w:val="24"/>
      <w:u w:val="none"/>
    </w:rPr>
  </w:style>
  <w:style w:type="paragraph" w:customStyle="1" w:styleId="43">
    <w:name w:val="表格抬头"/>
    <w:basedOn w:val="1"/>
    <w:qFormat/>
    <w:uiPriority w:val="0"/>
    <w:pPr>
      <w:jc w:val="center"/>
    </w:pPr>
    <w:rPr>
      <w:rFonts w:eastAsia="楷体"/>
      <w:b/>
      <w:sz w:val="24"/>
    </w:rPr>
  </w:style>
  <w:style w:type="paragraph" w:customStyle="1" w:styleId="44">
    <w:name w:val="表格文字"/>
    <w:basedOn w:val="1"/>
    <w:qFormat/>
    <w:uiPriority w:val="0"/>
    <w:pPr>
      <w:jc w:val="center"/>
    </w:pPr>
    <w:rPr>
      <w:bCs/>
      <w:kern w:val="28"/>
      <w:sz w:val="24"/>
    </w:rPr>
  </w:style>
  <w:style w:type="paragraph" w:customStyle="1" w:styleId="45">
    <w:name w:val="WPSOffice手动目录 1"/>
    <w:qFormat/>
    <w:uiPriority w:val="0"/>
    <w:rPr>
      <w:rFonts w:ascii="Times New Roman" w:hAnsi="Times New Roman" w:eastAsia="宋体" w:cs="Times New Roman"/>
      <w:lang w:val="en-US" w:eastAsia="zh-CN" w:bidi="ar-SA"/>
    </w:rPr>
  </w:style>
  <w:style w:type="paragraph" w:customStyle="1" w:styleId="46">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47">
    <w:name w:val="NormalCharacter"/>
    <w:semiHidden/>
    <w:qFormat/>
    <w:uiPriority w:val="0"/>
    <w:rPr>
      <w:rFonts w:ascii="Calibri" w:hAnsi="Calibri" w:eastAsia="宋体" w:cs="Times New Roman"/>
      <w:kern w:val="2"/>
      <w:sz w:val="21"/>
      <w:szCs w:val="24"/>
      <w:lang w:val="en-US" w:eastAsia="zh-CN" w:bidi="ar-SA"/>
    </w:rPr>
  </w:style>
  <w:style w:type="paragraph" w:customStyle="1" w:styleId="48">
    <w:name w:val="正文文本1"/>
    <w:basedOn w:val="1"/>
    <w:qFormat/>
    <w:uiPriority w:val="99"/>
    <w:pPr>
      <w:spacing w:before="93"/>
    </w:pPr>
    <w:rPr>
      <w:rFonts w:ascii="仿宋_GB2312" w:hAnsi="仿宋_GB2312" w:eastAsia="仿宋_GB2312" w:cs="仿宋_GB2312"/>
      <w:kern w:val="0"/>
      <w:sz w:val="30"/>
      <w:szCs w:val="30"/>
    </w:rPr>
  </w:style>
  <w:style w:type="paragraph" w:customStyle="1" w:styleId="49">
    <w:name w:val="四号正文"/>
    <w:basedOn w:val="1"/>
    <w:qFormat/>
    <w:uiPriority w:val="0"/>
    <w:pPr>
      <w:spacing w:line="360" w:lineRule="auto"/>
    </w:pPr>
    <w:rPr>
      <w:rFonts w:ascii="??" w:hAnsi="??"/>
      <w:color w:val="000000"/>
      <w:kern w:val="0"/>
      <w:sz w:val="28"/>
      <w:szCs w:val="21"/>
      <w:lang w:val="zh-CN"/>
    </w:rPr>
  </w:style>
  <w:style w:type="paragraph" w:customStyle="1" w:styleId="50">
    <w:name w:val="列出段落1"/>
    <w:basedOn w:val="1"/>
    <w:qFormat/>
    <w:uiPriority w:val="34"/>
    <w:pPr>
      <w:ind w:firstLine="420" w:firstLineChars="200"/>
    </w:pPr>
    <w:rPr>
      <w:rFonts w:ascii="Calibri" w:hAnsi="Calibri"/>
    </w:rPr>
  </w:style>
  <w:style w:type="character" w:customStyle="1" w:styleId="51">
    <w:name w:val="font131"/>
    <w:basedOn w:val="21"/>
    <w:qFormat/>
    <w:uiPriority w:val="0"/>
    <w:rPr>
      <w:rFonts w:hint="eastAsia" w:ascii="宋体" w:hAnsi="宋体" w:eastAsia="宋体" w:cs="宋体"/>
      <w:b/>
      <w:bCs/>
      <w:color w:val="000000"/>
      <w:sz w:val="32"/>
      <w:szCs w:val="32"/>
      <w:u w:val="none"/>
    </w:rPr>
  </w:style>
  <w:style w:type="character" w:customStyle="1" w:styleId="52">
    <w:name w:val="font41"/>
    <w:basedOn w:val="21"/>
    <w:qFormat/>
    <w:uiPriority w:val="0"/>
    <w:rPr>
      <w:rFonts w:hint="eastAsia" w:ascii="宋体" w:hAnsi="宋体" w:eastAsia="宋体" w:cs="宋体"/>
      <w:color w:val="000000"/>
      <w:sz w:val="32"/>
      <w:szCs w:val="32"/>
      <w:u w:val="none"/>
    </w:rPr>
  </w:style>
  <w:style w:type="character" w:customStyle="1" w:styleId="53">
    <w:name w:val="font141"/>
    <w:basedOn w:val="21"/>
    <w:qFormat/>
    <w:uiPriority w:val="0"/>
    <w:rPr>
      <w:rFonts w:hint="eastAsia" w:ascii="宋体" w:hAnsi="宋体" w:eastAsia="宋体" w:cs="宋体"/>
      <w:color w:val="000000"/>
      <w:sz w:val="20"/>
      <w:szCs w:val="20"/>
      <w:u w:val="none"/>
    </w:rPr>
  </w:style>
  <w:style w:type="character" w:customStyle="1" w:styleId="54">
    <w:name w:val="font91"/>
    <w:basedOn w:val="21"/>
    <w:qFormat/>
    <w:uiPriority w:val="0"/>
    <w:rPr>
      <w:rFonts w:hint="eastAsia" w:ascii="宋体" w:hAnsi="宋体" w:eastAsia="宋体" w:cs="宋体"/>
      <w:color w:val="000000"/>
      <w:sz w:val="18"/>
      <w:szCs w:val="18"/>
      <w:u w:val="none"/>
    </w:rPr>
  </w:style>
  <w:style w:type="character" w:customStyle="1" w:styleId="55">
    <w:name w:val="font151"/>
    <w:basedOn w:val="21"/>
    <w:qFormat/>
    <w:uiPriority w:val="0"/>
    <w:rPr>
      <w:rFonts w:hint="eastAsia" w:ascii="宋体" w:hAnsi="宋体" w:eastAsia="宋体" w:cs="宋体"/>
      <w:color w:val="000000"/>
      <w:sz w:val="18"/>
      <w:szCs w:val="18"/>
      <w:u w:val="none"/>
    </w:rPr>
  </w:style>
  <w:style w:type="character" w:customStyle="1" w:styleId="56">
    <w:name w:val="font161"/>
    <w:basedOn w:val="21"/>
    <w:qFormat/>
    <w:uiPriority w:val="0"/>
    <w:rPr>
      <w:rFonts w:hint="eastAsia" w:ascii="宋体" w:hAnsi="宋体" w:eastAsia="宋体" w:cs="宋体"/>
      <w:color w:val="000000"/>
      <w:sz w:val="18"/>
      <w:szCs w:val="18"/>
      <w:u w:val="none"/>
    </w:rPr>
  </w:style>
  <w:style w:type="character" w:customStyle="1" w:styleId="57">
    <w:name w:val="font171"/>
    <w:basedOn w:val="21"/>
    <w:qFormat/>
    <w:uiPriority w:val="0"/>
    <w:rPr>
      <w:rFonts w:hint="eastAsia" w:ascii="宋体" w:hAnsi="宋体" w:eastAsia="宋体" w:cs="宋体"/>
      <w:color w:val="000000"/>
      <w:sz w:val="12"/>
      <w:szCs w:val="12"/>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8" Type="http://schemas.openxmlformats.org/officeDocument/2006/relationships/fontTable" Target="fontTable.xml"/><Relationship Id="rId37" Type="http://schemas.openxmlformats.org/officeDocument/2006/relationships/numbering" Target="numbering.xml"/><Relationship Id="rId36" Type="http://schemas.openxmlformats.org/officeDocument/2006/relationships/customXml" Target="../customXml/item1.xml"/><Relationship Id="rId35" Type="http://schemas.openxmlformats.org/officeDocument/2006/relationships/image" Target="media/image19.png"/><Relationship Id="rId34" Type="http://schemas.openxmlformats.org/officeDocument/2006/relationships/image" Target="media/image18.png"/><Relationship Id="rId33" Type="http://schemas.openxmlformats.org/officeDocument/2006/relationships/image" Target="media/image17.png"/><Relationship Id="rId32" Type="http://schemas.openxmlformats.org/officeDocument/2006/relationships/image" Target="media/image16.png"/><Relationship Id="rId31" Type="http://schemas.openxmlformats.org/officeDocument/2006/relationships/image" Target="media/image15.png"/><Relationship Id="rId30" Type="http://schemas.openxmlformats.org/officeDocument/2006/relationships/image" Target="media/image14.png"/><Relationship Id="rId3" Type="http://schemas.openxmlformats.org/officeDocument/2006/relationships/header" Target="header1.xml"/><Relationship Id="rId29" Type="http://schemas.openxmlformats.org/officeDocument/2006/relationships/image" Target="media/image13.png"/><Relationship Id="rId28" Type="http://schemas.openxmlformats.org/officeDocument/2006/relationships/image" Target="media/image12.png"/><Relationship Id="rId27" Type="http://schemas.openxmlformats.org/officeDocument/2006/relationships/image" Target="media/image11.png"/><Relationship Id="rId26" Type="http://schemas.openxmlformats.org/officeDocument/2006/relationships/image" Target="media/image10.png"/><Relationship Id="rId25" Type="http://schemas.openxmlformats.org/officeDocument/2006/relationships/image" Target="media/image9.png"/><Relationship Id="rId24" Type="http://schemas.openxmlformats.org/officeDocument/2006/relationships/image" Target="media/image8.png"/><Relationship Id="rId23" Type="http://schemas.openxmlformats.org/officeDocument/2006/relationships/image" Target="media/image7.png"/><Relationship Id="rId22" Type="http://schemas.openxmlformats.org/officeDocument/2006/relationships/image" Target="media/image6.png"/><Relationship Id="rId21" Type="http://schemas.openxmlformats.org/officeDocument/2006/relationships/image" Target="media/image5.png"/><Relationship Id="rId20" Type="http://schemas.openxmlformats.org/officeDocument/2006/relationships/image" Target="media/image4.png"/><Relationship Id="rId2" Type="http://schemas.openxmlformats.org/officeDocument/2006/relationships/settings" Target="settings.xml"/><Relationship Id="rId19" Type="http://schemas.openxmlformats.org/officeDocument/2006/relationships/image" Target="media/image3.png"/><Relationship Id="rId18" Type="http://schemas.openxmlformats.org/officeDocument/2006/relationships/image" Target="media/image2.png"/><Relationship Id="rId17" Type="http://schemas.openxmlformats.org/officeDocument/2006/relationships/image" Target="media/image1.png"/><Relationship Id="rId16" Type="http://schemas.openxmlformats.org/officeDocument/2006/relationships/chart" Target="charts/chart9.xml"/><Relationship Id="rId15" Type="http://schemas.openxmlformats.org/officeDocument/2006/relationships/chart" Target="charts/chart8.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2" Type="http://schemas.openxmlformats.org/officeDocument/2006/relationships/themeOverride" Target="../theme/themeOverrid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oleObject" Target="file:///D:\&#20873;\xwechat_files\wxid_4x5vm51f5fdo22_0fa4\msg\file\2025-10\&#20915;&#31639;&#20844;&#24320;&#20998;&#26512;&#22270;&#3492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20873;\xwechat_files\wxid_4x5vm51f5fdo22_0fa4\msg\file\2025-10\&#20915;&#31639;&#20844;&#24320;&#20998;&#26512;&#22270;&#3492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20873;\xwechat_files\wxid_4x5vm51f5fdo22_0fa4\msg\file\2025-10\&#20915;&#31639;&#20844;&#24320;&#20998;&#26512;&#22270;&#3492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20873;\xwechat_files\wxid_4x5vm51f5fdo22_0fa4\msg\file\2025-10\&#20915;&#31639;&#20844;&#24320;&#20998;&#26512;&#22270;&#34920;.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20873;\xwechat_files\wxid_4x5vm51f5fdo22_0fa4\msg\file\2025-10\&#20915;&#31639;&#20844;&#24320;&#20998;&#26512;&#22270;&#34920;.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20873;\xwechat_files\wxid_4x5vm51f5fdo22_0fa4\msg\file\2025-10\&#20915;&#31639;&#20844;&#24320;&#20998;&#26512;&#22270;&#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400" b="0" i="0" u="none" strike="noStrike" kern="1200" spc="0" baseline="0">
                <a:solidFill>
                  <a:sysClr val="windowText" lastClr="000000">
                    <a:lumMod val="65000"/>
                    <a:lumOff val="35000"/>
                  </a:sysClr>
                </a:solidFill>
                <a:latin typeface="+mn-lt"/>
                <a:ea typeface="+mn-ea"/>
                <a:cs typeface="+mn-cs"/>
              </a:defRPr>
            </a:pPr>
            <a:r>
              <a:t>收入决算总计变动情况图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84557235421166"/>
          <c:y val="0.0256349394730596"/>
        </c:manualLayout>
      </c:layout>
      <c:overlay val="0"/>
      <c:spPr>
        <a:noFill/>
        <a:ln>
          <a:noFill/>
        </a:ln>
        <a:effectLst/>
      </c:spPr>
    </c:title>
    <c:autoTitleDeleted val="0"/>
    <c:plotArea>
      <c:layout>
        <c:manualLayout>
          <c:layoutTarget val="inner"/>
          <c:xMode val="edge"/>
          <c:yMode val="edge"/>
          <c:x val="0.112257019438445"/>
          <c:y val="0.187312682965424"/>
          <c:w val="0.844222222222222"/>
          <c:h val="0.711666666666667"/>
        </c:manualLayout>
      </c:layout>
      <c:barChart>
        <c:barDir val="col"/>
        <c:grouping val="clustered"/>
        <c:varyColors val="0"/>
        <c:ser>
          <c:idx val="0"/>
          <c:order val="0"/>
          <c:spPr>
            <a:solidFill>
              <a:srgbClr val="5B9BD5"/>
            </a:solidFill>
            <a:ln>
              <a:noFill/>
            </a:ln>
            <a:effectLst/>
          </c:spPr>
          <c:invertIfNegative val="0"/>
          <c:dLbls>
            <c:delete val="1"/>
          </c:dLbls>
          <c:cat>
            <c:strRef>
              <c:f>Sheet1!$A$3:$B$3</c:f>
              <c:strCache>
                <c:ptCount val="2"/>
                <c:pt idx="0">
                  <c:v>2024年</c:v>
                </c:pt>
                <c:pt idx="1">
                  <c:v>2023年</c:v>
                </c:pt>
              </c:strCache>
            </c:strRef>
          </c:cat>
          <c:val>
            <c:numRef>
              <c:f>Sheet1!$A$4:$B$4</c:f>
              <c:numCache>
                <c:formatCode>#,##0.00</c:formatCode>
                <c:ptCount val="2"/>
                <c:pt idx="0">
                  <c:v>1890.47</c:v>
                </c:pt>
                <c:pt idx="1">
                  <c:v>1410</c:v>
                </c:pt>
              </c:numCache>
            </c:numRef>
          </c:val>
        </c:ser>
        <c:dLbls>
          <c:showLegendKey val="0"/>
          <c:showVal val="0"/>
          <c:showCatName val="0"/>
          <c:showSerName val="0"/>
          <c:showPercent val="0"/>
          <c:showBubbleSize val="0"/>
        </c:dLbls>
        <c:gapWidth val="219"/>
        <c:overlap val="-27"/>
        <c:axId val="503683605"/>
        <c:axId val="935644864"/>
      </c:barChart>
      <c:catAx>
        <c:axId val="503683605"/>
        <c:scaling>
          <c:orientation val="minMax"/>
        </c:scaling>
        <c:delete val="0"/>
        <c:axPos val="b"/>
        <c:majorTickMark val="none"/>
        <c:minorTickMark val="none"/>
        <c:tickLblPos val="nextTo"/>
        <c:spPr>
          <a:noFill/>
          <a:ln w="9525" cap="flat" cmpd="sng" algn="ctr">
            <a:solidFill>
              <a:sysClr val="windowText" lastClr="000000">
                <a:lumMod val="15000"/>
                <a:lumOff val="85000"/>
              </a:sysClr>
            </a:solidFill>
            <a:prstDash val="solid"/>
            <a:round/>
          </a:ln>
          <a:effectLst/>
        </c:spPr>
        <c:txPr>
          <a:bodyPr rot="-60000000" spcFirstLastPara="0" vertOverflow="ellipsis" vert="horz" wrap="square" anchor="ctr" anchorCtr="1"/>
          <a:lstStyle/>
          <a:p>
            <a:pPr>
              <a:defRPr lang="zh-CN" sz="900" b="0" i="0" u="none" strike="noStrike" kern="1200" baseline="0">
                <a:solidFill>
                  <a:sysClr val="windowText" lastClr="000000">
                    <a:lumMod val="65000"/>
                    <a:lumOff val="35000"/>
                  </a:sysClr>
                </a:solidFill>
                <a:latin typeface="+mn-lt"/>
                <a:ea typeface="+mn-ea"/>
                <a:cs typeface="+mn-cs"/>
              </a:defRPr>
            </a:pPr>
          </a:p>
        </c:txPr>
        <c:crossAx val="935644864"/>
        <c:crosses val="autoZero"/>
        <c:auto val="1"/>
        <c:lblAlgn val="ctr"/>
        <c:lblOffset val="100"/>
        <c:noMultiLvlLbl val="0"/>
      </c:catAx>
      <c:valAx>
        <c:axId val="935644864"/>
        <c:scaling>
          <c:orientation val="minMax"/>
        </c:scaling>
        <c:delete val="0"/>
        <c:axPos val="l"/>
        <c:majorGridlines>
          <c:spPr>
            <a:ln w="9525" cap="flat" cmpd="sng" algn="ctr">
              <a:solidFill>
                <a:sysClr val="windowText" lastClr="000000">
                  <a:lumMod val="15000"/>
                  <a:lumOff val="85000"/>
                </a:sys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ysClr val="windowText" lastClr="000000">
                    <a:lumMod val="65000"/>
                    <a:lumOff val="35000"/>
                  </a:sysClr>
                </a:solidFill>
                <a:latin typeface="+mn-lt"/>
                <a:ea typeface="+mn-ea"/>
                <a:cs typeface="+mn-cs"/>
              </a:defRPr>
            </a:pPr>
          </a:p>
        </c:txPr>
        <c:crossAx val="503683605"/>
        <c:crosses val="autoZero"/>
        <c:crossBetween val="between"/>
      </c:valAx>
      <c:spPr>
        <a:noFill/>
        <a:ln>
          <a:noFill/>
        </a:ln>
        <a:effectLst/>
      </c:spPr>
    </c:plotArea>
    <c:plotVisOnly val="1"/>
    <c:dispBlanksAs val="gap"/>
    <c:showDLblsOverMax val="0"/>
    <c:extLst>
      <c:ext uri="{0b15fc19-7d7d-44ad-8c2d-2c3a37ce22c3}">
        <chartProps xmlns="https://web.wps.cn/et/2018/main" chartId="{aaf8e02f-5f55-4d20-9ab1-39efde815688}"/>
      </c:ext>
    </c:extLst>
  </c:chart>
  <c:spPr>
    <a:solidFill>
      <a:sysClr val="window" lastClr="FFFFFF"/>
    </a:solidFill>
    <a:ln w="9525" cap="flat" cmpd="sng" algn="ctr">
      <a:solidFill>
        <a:sysClr val="windowText" lastClr="000000">
          <a:lumMod val="15000"/>
          <a:lumOff val="85000"/>
        </a:sys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400" b="0" i="0" u="none" strike="noStrike" kern="1200" spc="0" baseline="0">
                <a:solidFill>
                  <a:sysClr val="windowText" lastClr="000000">
                    <a:lumMod val="65000"/>
                    <a:lumOff val="35000"/>
                  </a:sysClr>
                </a:solidFill>
                <a:latin typeface="+mn-lt"/>
                <a:ea typeface="+mn-ea"/>
                <a:cs typeface="+mn-cs"/>
              </a:defRPr>
            </a:pPr>
            <a:r>
              <a:t>支出决算总计变动情况图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117689133425034"/>
          <c:y val="0.202898550724638"/>
          <c:w val="0.864429160935351"/>
          <c:h val="0.683295194508009"/>
        </c:manualLayout>
      </c:layout>
      <c:barChart>
        <c:barDir val="col"/>
        <c:grouping val="clustered"/>
        <c:varyColors val="0"/>
        <c:ser>
          <c:idx val="0"/>
          <c:order val="0"/>
          <c:spPr>
            <a:solidFill>
              <a:srgbClr val="5B9BD5"/>
            </a:solidFill>
            <a:ln>
              <a:noFill/>
            </a:ln>
            <a:effectLst/>
          </c:spPr>
          <c:invertIfNegative val="0"/>
          <c:dLbls>
            <c:delete val="1"/>
          </c:dLbls>
          <c:cat>
            <c:strRef>
              <c:f>Sheet1!$A$24:$B$24</c:f>
              <c:strCache>
                <c:ptCount val="2"/>
                <c:pt idx="0">
                  <c:v>2024年</c:v>
                </c:pt>
                <c:pt idx="1">
                  <c:v>2023年</c:v>
                </c:pt>
              </c:strCache>
            </c:strRef>
          </c:cat>
          <c:val>
            <c:numRef>
              <c:f>Sheet1!$A$25:$B$25</c:f>
              <c:numCache>
                <c:formatCode>#,##0.00</c:formatCode>
                <c:ptCount val="2"/>
                <c:pt idx="0">
                  <c:v>1875.46</c:v>
                </c:pt>
                <c:pt idx="1">
                  <c:v>1410</c:v>
                </c:pt>
              </c:numCache>
            </c:numRef>
          </c:val>
        </c:ser>
        <c:dLbls>
          <c:showLegendKey val="0"/>
          <c:showVal val="0"/>
          <c:showCatName val="0"/>
          <c:showSerName val="0"/>
          <c:showPercent val="0"/>
          <c:showBubbleSize val="0"/>
        </c:dLbls>
        <c:gapWidth val="219"/>
        <c:overlap val="-27"/>
        <c:axId val="123889126"/>
        <c:axId val="563178299"/>
      </c:barChart>
      <c:catAx>
        <c:axId val="123889126"/>
        <c:scaling>
          <c:orientation val="minMax"/>
        </c:scaling>
        <c:delete val="0"/>
        <c:axPos val="b"/>
        <c:majorTickMark val="none"/>
        <c:minorTickMark val="none"/>
        <c:tickLblPos val="nextTo"/>
        <c:spPr>
          <a:noFill/>
          <a:ln w="9525" cap="flat" cmpd="sng" algn="ctr">
            <a:solidFill>
              <a:sysClr val="windowText" lastClr="000000">
                <a:lumMod val="15000"/>
                <a:lumOff val="85000"/>
              </a:sysClr>
            </a:solidFill>
            <a:prstDash val="solid"/>
            <a:round/>
          </a:ln>
          <a:effectLst/>
        </c:spPr>
        <c:txPr>
          <a:bodyPr rot="-60000000" spcFirstLastPara="0" vertOverflow="ellipsis" vert="horz" wrap="square" anchor="ctr" anchorCtr="1"/>
          <a:lstStyle/>
          <a:p>
            <a:pPr>
              <a:defRPr lang="zh-CN" sz="900" b="0" i="0" u="none" strike="noStrike" kern="1200" baseline="0">
                <a:solidFill>
                  <a:sysClr val="windowText" lastClr="000000">
                    <a:lumMod val="65000"/>
                    <a:lumOff val="35000"/>
                  </a:sysClr>
                </a:solidFill>
                <a:latin typeface="+mn-lt"/>
                <a:ea typeface="+mn-ea"/>
                <a:cs typeface="+mn-cs"/>
              </a:defRPr>
            </a:pPr>
          </a:p>
        </c:txPr>
        <c:crossAx val="563178299"/>
        <c:crosses val="autoZero"/>
        <c:auto val="1"/>
        <c:lblAlgn val="ctr"/>
        <c:lblOffset val="100"/>
        <c:noMultiLvlLbl val="0"/>
      </c:catAx>
      <c:valAx>
        <c:axId val="563178299"/>
        <c:scaling>
          <c:orientation val="minMax"/>
        </c:scaling>
        <c:delete val="0"/>
        <c:axPos val="l"/>
        <c:majorGridlines>
          <c:spPr>
            <a:ln w="9525" cap="flat" cmpd="sng" algn="ctr">
              <a:solidFill>
                <a:sysClr val="windowText" lastClr="000000">
                  <a:lumMod val="15000"/>
                  <a:lumOff val="85000"/>
                </a:sys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ysClr val="windowText" lastClr="000000">
                    <a:lumMod val="65000"/>
                    <a:lumOff val="35000"/>
                  </a:sysClr>
                </a:solidFill>
                <a:latin typeface="+mn-lt"/>
                <a:ea typeface="+mn-ea"/>
                <a:cs typeface="+mn-cs"/>
              </a:defRPr>
            </a:pPr>
          </a:p>
        </c:txPr>
        <c:crossAx val="123889126"/>
        <c:crosses val="autoZero"/>
        <c:crossBetween val="between"/>
      </c:valAx>
      <c:spPr>
        <a:noFill/>
        <a:ln>
          <a:noFill/>
        </a:ln>
        <a:effectLst/>
      </c:spPr>
    </c:plotArea>
    <c:plotVisOnly val="1"/>
    <c:dispBlanksAs val="gap"/>
    <c:showDLblsOverMax val="0"/>
    <c:extLst>
      <c:ext uri="{0b15fc19-7d7d-44ad-8c2d-2c3a37ce22c3}">
        <chartProps xmlns="https://web.wps.cn/et/2018/main" chartId="{2b2603e4-6a2f-41b5-8975-9872ed34a93f}"/>
      </c:ext>
    </c:extLst>
  </c:chart>
  <c:spPr>
    <a:solidFill>
      <a:sysClr val="window" lastClr="FFFFFF"/>
    </a:solidFill>
    <a:ln w="9525" cap="flat" cmpd="sng" algn="ctr">
      <a:solidFill>
        <a:sysClr val="windowText" lastClr="000000">
          <a:lumMod val="15000"/>
          <a:lumOff val="85000"/>
        </a:sys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elete val="1"/>
          </c:dLbls>
          <c:cat>
            <c:strRef>
              <c:f>Sheet1!$A$2:$A$3</c:f>
              <c:strCache>
                <c:ptCount val="2"/>
                <c:pt idx="0">
                  <c:v>一般公共预算财政拨款收入</c:v>
                </c:pt>
                <c:pt idx="1">
                  <c:v>其他收入</c:v>
                </c:pt>
              </c:strCache>
            </c:strRef>
          </c:cat>
          <c:val>
            <c:numRef>
              <c:f>Sheet1!$B$2:$B$3</c:f>
              <c:numCache>
                <c:formatCode>General</c:formatCode>
                <c:ptCount val="2"/>
                <c:pt idx="0">
                  <c:v>1875.46</c:v>
                </c:pt>
                <c:pt idx="1">
                  <c:v>15.01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c6abab7-83de-4c73-a518-36b44421d4e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Lbls>
            <c:delete val="1"/>
          </c:dLbls>
          <c:cat>
            <c:strRef>
              <c:f>[决算公开分析图表.xls]Sheet1!$C$58:$C$59</c:f>
              <c:strCache>
                <c:ptCount val="2"/>
                <c:pt idx="0">
                  <c:v>基本支出</c:v>
                </c:pt>
                <c:pt idx="1">
                  <c:v>项目支出</c:v>
                </c:pt>
              </c:strCache>
            </c:strRef>
          </c:cat>
          <c:val>
            <c:numRef>
              <c:f>[决算公开分析图表.xls]Sheet1!$D$58:$D$59</c:f>
              <c:numCache>
                <c:formatCode>#,##0.00</c:formatCode>
                <c:ptCount val="2"/>
                <c:pt idx="0">
                  <c:v>798.45</c:v>
                </c:pt>
                <c:pt idx="1">
                  <c:v>1077.02</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r"/>
      <c:layout>
        <c:manualLayout>
          <c:xMode val="edge"/>
          <c:yMode val="edge"/>
          <c:x val="0.022"/>
          <c:y val="0.89475"/>
          <c:w val="0.927643802294027"/>
          <c:h val="0.0933761357156934"/>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01a731f-f9b2-4890-982d-5931b2a6bfa7}"/>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136070027165711"/>
          <c:y val="0.208064516129032"/>
          <c:w val="0.830727437367944"/>
          <c:h val="0.665161290322581"/>
        </c:manualLayout>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[决算公开分析图表.xls]Sheet1!$A$83:$B$83</c:f>
              <c:strCache>
                <c:ptCount val="2"/>
                <c:pt idx="0">
                  <c:v>2024年</c:v>
                </c:pt>
                <c:pt idx="1">
                  <c:v>2023年</c:v>
                </c:pt>
              </c:strCache>
            </c:strRef>
          </c:cat>
          <c:val>
            <c:numRef>
              <c:f>[决算公开分析图表.xls]Sheet1!$A$84:$B$84</c:f>
              <c:numCache>
                <c:formatCode>#,##0.00</c:formatCode>
                <c:ptCount val="2"/>
                <c:pt idx="0">
                  <c:v>1875.46</c:v>
                </c:pt>
                <c:pt idx="1">
                  <c:v>1410</c:v>
                </c:pt>
              </c:numCache>
            </c:numRef>
          </c:val>
        </c:ser>
        <c:dLbls>
          <c:showLegendKey val="0"/>
          <c:showVal val="0"/>
          <c:showCatName val="0"/>
          <c:showSerName val="0"/>
          <c:showPercent val="0"/>
          <c:showBubbleSize val="0"/>
        </c:dLbls>
        <c:gapWidth val="219"/>
        <c:overlap val="-27"/>
        <c:axId val="289753597"/>
        <c:axId val="515103713"/>
      </c:barChart>
      <c:catAx>
        <c:axId val="289753597"/>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15103713"/>
        <c:crosses val="autoZero"/>
        <c:auto val="1"/>
        <c:lblAlgn val="ctr"/>
        <c:lblOffset val="100"/>
        <c:noMultiLvlLbl val="0"/>
      </c:catAx>
      <c:valAx>
        <c:axId val="515103713"/>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89753597"/>
        <c:crosses val="autoZero"/>
        <c:crossBetween val="between"/>
      </c:valAx>
      <c:spPr>
        <a:noFill/>
        <a:ln>
          <a:noFill/>
        </a:ln>
        <a:effectLst/>
      </c:spPr>
    </c:plotArea>
    <c:plotVisOnly val="1"/>
    <c:dispBlanksAs val="gap"/>
    <c:showDLblsOverMax val="0"/>
    <c:extLst>
      <c:ext uri="{0b15fc19-7d7d-44ad-8c2d-2c3a37ce22c3}">
        <chartProps xmlns="https://web.wps.cn/et/2018/main" chartId="{9be441b9-d802-4881-af88-9ffa72d19d21}"/>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财政拨款支出总计变动表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131947899897556"/>
          <c:y val="0.225408660739891"/>
          <c:w val="0.835855407580858"/>
          <c:h val="0.642787496415257"/>
        </c:manualLayout>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[决算公开分析图表.xls]Sheet1!$A$100:$B$100</c:f>
              <c:strCache>
                <c:ptCount val="2"/>
                <c:pt idx="0">
                  <c:v>2024年</c:v>
                </c:pt>
                <c:pt idx="1">
                  <c:v>2023年</c:v>
                </c:pt>
              </c:strCache>
            </c:strRef>
          </c:cat>
          <c:val>
            <c:numRef>
              <c:f>[决算公开分析图表.xls]Sheet1!$A$101:$B$101</c:f>
              <c:numCache>
                <c:formatCode>#,##0.00</c:formatCode>
                <c:ptCount val="2"/>
                <c:pt idx="0">
                  <c:v>1875.46</c:v>
                </c:pt>
                <c:pt idx="1">
                  <c:v>1410</c:v>
                </c:pt>
              </c:numCache>
            </c:numRef>
          </c:val>
        </c:ser>
        <c:dLbls>
          <c:showLegendKey val="0"/>
          <c:showVal val="0"/>
          <c:showCatName val="0"/>
          <c:showSerName val="0"/>
          <c:showPercent val="0"/>
          <c:showBubbleSize val="0"/>
        </c:dLbls>
        <c:gapWidth val="219"/>
        <c:overlap val="-27"/>
        <c:axId val="494749399"/>
        <c:axId val="893562467"/>
      </c:barChart>
      <c:catAx>
        <c:axId val="494749399"/>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93562467"/>
        <c:crosses val="autoZero"/>
        <c:auto val="1"/>
        <c:lblAlgn val="ctr"/>
        <c:lblOffset val="100"/>
        <c:noMultiLvlLbl val="0"/>
      </c:catAx>
      <c:valAx>
        <c:axId val="893562467"/>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4749399"/>
        <c:crosses val="autoZero"/>
        <c:crossBetween val="between"/>
      </c:valAx>
      <c:spPr>
        <a:noFill/>
        <a:ln>
          <a:noFill/>
        </a:ln>
        <a:effectLst/>
      </c:spPr>
    </c:plotArea>
    <c:plotVisOnly val="1"/>
    <c:dispBlanksAs val="gap"/>
    <c:showDLblsOverMax val="0"/>
    <c:extLst>
      <c:ext uri="{0b15fc19-7d7d-44ad-8c2d-2c3a37ce22c3}">
        <chartProps xmlns="https://web.wps.cn/et/2018/main" chartId="{b6ef6c66-6570-4231-9c27-fc6b53a60bbb}"/>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38259236067627"/>
          <c:y val="0.0616061606160616"/>
        </c:manualLayout>
      </c:layout>
      <c:overlay val="0"/>
      <c:spPr>
        <a:noFill/>
        <a:ln>
          <a:noFill/>
        </a:ln>
        <a:effectLst/>
      </c:spPr>
    </c:title>
    <c:autoTitleDeleted val="0"/>
    <c:plotArea>
      <c:layout>
        <c:manualLayout>
          <c:layoutTarget val="inner"/>
          <c:xMode val="edge"/>
          <c:yMode val="edge"/>
          <c:x val="0.058544689334367"/>
          <c:y val="0.255962378233121"/>
          <c:w val="0.915981836305239"/>
          <c:h val="0.581592206919718"/>
        </c:manualLayout>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[决算公开分析图表.xls]Sheet1!$A$116:$B$116</c:f>
              <c:strCache>
                <c:ptCount val="2"/>
                <c:pt idx="0">
                  <c:v>2024年</c:v>
                </c:pt>
                <c:pt idx="1">
                  <c:v>2023年</c:v>
                </c:pt>
              </c:strCache>
            </c:strRef>
          </c:cat>
          <c:val>
            <c:numRef>
              <c:f>[决算公开分析图表.xls]Sheet1!$A$117:$B$117</c:f>
              <c:numCache>
                <c:formatCode>#,##0.00</c:formatCode>
                <c:ptCount val="2"/>
                <c:pt idx="0">
                  <c:v>1875.46</c:v>
                </c:pt>
                <c:pt idx="1">
                  <c:v>1410</c:v>
                </c:pt>
              </c:numCache>
            </c:numRef>
          </c:val>
        </c:ser>
        <c:dLbls>
          <c:showLegendKey val="0"/>
          <c:showVal val="0"/>
          <c:showCatName val="0"/>
          <c:showSerName val="0"/>
          <c:showPercent val="0"/>
          <c:showBubbleSize val="0"/>
        </c:dLbls>
        <c:gapWidth val="219"/>
        <c:overlap val="-27"/>
        <c:axId val="595148834"/>
        <c:axId val="471534484"/>
      </c:barChart>
      <c:catAx>
        <c:axId val="59514883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71534484"/>
        <c:crosses val="autoZero"/>
        <c:auto val="1"/>
        <c:lblAlgn val="ctr"/>
        <c:lblOffset val="100"/>
        <c:noMultiLvlLbl val="0"/>
      </c:catAx>
      <c:valAx>
        <c:axId val="47153448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95148834"/>
        <c:crosses val="autoZero"/>
        <c:crossBetween val="between"/>
      </c:valAx>
      <c:spPr>
        <a:noFill/>
        <a:ln>
          <a:noFill/>
        </a:ln>
        <a:effectLst/>
      </c:spPr>
    </c:plotArea>
    <c:plotVisOnly val="1"/>
    <c:dispBlanksAs val="gap"/>
    <c:showDLblsOverMax val="0"/>
    <c:extLst>
      <c:ext uri="{0b15fc19-7d7d-44ad-8c2d-2c3a37ce22c3}">
        <chartProps xmlns="https://web.wps.cn/et/2018/main" chartId="{dd1cc241-95dd-4fdb-a154-89a607d935b4}"/>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Pt>
            <c:idx val="4"/>
            <c:bubble3D val="0"/>
          </c:dPt>
          <c:dPt>
            <c:idx val="5"/>
            <c:bubble3D val="0"/>
          </c:dPt>
          <c:dLbls>
            <c:delete val="1"/>
          </c:dLbls>
          <c:cat>
            <c:strRef>
              <c:f>[决算公开分析图表.xls]Sheet1!$C$140:$C$145</c:f>
              <c:strCache>
                <c:ptCount val="6"/>
                <c:pt idx="0">
                  <c:v>一般公共服务支出</c:v>
                </c:pt>
                <c:pt idx="1">
                  <c:v>社会保障和就业支出</c:v>
                </c:pt>
                <c:pt idx="2">
                  <c:v>卫生健康支出</c:v>
                </c:pt>
                <c:pt idx="3">
                  <c:v>住房保障支出</c:v>
                </c:pt>
                <c:pt idx="4">
                  <c:v>文化旅游体育与传媒支出</c:v>
                </c:pt>
                <c:pt idx="5">
                  <c:v>农林水支出</c:v>
                </c:pt>
              </c:strCache>
            </c:strRef>
          </c:cat>
          <c:val>
            <c:numRef>
              <c:f>[决算公开分析图表.xls]Sheet1!$D$140:$D$145</c:f>
              <c:numCache>
                <c:formatCode>General</c:formatCode>
                <c:ptCount val="6"/>
                <c:pt idx="0">
                  <c:v>1355.65</c:v>
                </c:pt>
                <c:pt idx="1" c:formatCode="#,##0.00">
                  <c:v>107.54</c:v>
                </c:pt>
                <c:pt idx="2" c:formatCode="#,##0.00">
                  <c:v>39.62</c:v>
                </c:pt>
                <c:pt idx="3" c:formatCode="#,##0.00">
                  <c:v>53.74</c:v>
                </c:pt>
                <c:pt idx="4" c:formatCode="#,##0.00">
                  <c:v>3.93</c:v>
                </c:pt>
                <c:pt idx="5" c:formatCode="#,##0.00">
                  <c:v>314.98</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109199488127399"/>
          <c:y val="0.807869187531937"/>
          <c:w val="0.791127541589649"/>
          <c:h val="0.160194174757282"/>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f079a07-713d-430c-ac7c-d1dbf6d6f8d0}"/>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173238082154142"/>
          <c:y val="0.195365209738926"/>
          <c:w val="0.333424921005633"/>
          <c:h val="0.711938985039601"/>
        </c:manualLayout>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Lbls>
            <c:delete val="1"/>
          </c:dLbls>
          <c:cat>
            <c:strRef>
              <c:f>[决算公开分析图表.xls]Sheet1!$A$164:$A$166</c:f>
              <c:strCache>
                <c:ptCount val="3"/>
                <c:pt idx="0">
                  <c:v>因公出国（境）费</c:v>
                </c:pt>
                <c:pt idx="1">
                  <c:v>公务接待费</c:v>
                </c:pt>
                <c:pt idx="2">
                  <c:v>公务用车购置及运行维护费</c:v>
                </c:pt>
              </c:strCache>
            </c:strRef>
          </c:cat>
          <c:val>
            <c:numRef>
              <c:f>[决算公开分析图表.xls]Sheet1!$B$164:$B$166</c:f>
              <c:numCache>
                <c:formatCode>General</c:formatCode>
                <c:ptCount val="3"/>
                <c:pt idx="0">
                  <c:v>0</c:v>
                </c:pt>
                <c:pt idx="1">
                  <c:v>0.65</c:v>
                </c:pt>
                <c:pt idx="2">
                  <c:v>19.4</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r"/>
      <c:layout>
        <c:manualLayout>
          <c:xMode val="edge"/>
          <c:yMode val="edge"/>
          <c:x val="0.03275"/>
          <c:y val="0.89475"/>
          <c:w val="0.928443926201192"/>
          <c:h val="0.0732377215167004"/>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ec501fd-9ee6-46a5-b7b5-7012ecc392b2}"/>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45</Pages>
  <Words>9043</Words>
  <Characters>9854</Characters>
  <Lines>24</Lines>
  <Paragraphs>30</Paragraphs>
  <TotalTime>16</TotalTime>
  <ScaleCrop>false</ScaleCrop>
  <LinksUpToDate>false</LinksUpToDate>
  <CharactersWithSpaces>9965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2022-08-19T11:00:00Z</dcterms:created>
  <dc:creator>曹颖</dc:creator>
  <cp:lastModifiedBy>芳*枫桉楠㭎</cp:lastModifiedBy>
  <cp:lastPrinted>2025-10-27T08:06:00Z</cp:lastPrinted>
  <dcterms:modified xsi:type="dcterms:W3CDTF">2025-10-27T08:40:01Z</dcterms:modified>
  <dc:title>四川省***</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53412F5E83ED42D1851ECB393051257A_13</vt:lpwstr>
  </property>
  <property fmtid="{D5CDD505-2E9C-101B-9397-08002B2CF9AE}" pid="4" name="KSOTemplateDocerSaveRecord">
    <vt:lpwstr>eyJoZGlkIjoiN2QzZjk4ZmI4YzUyY2NiZTM5YjJkNjVmMjg0M2I1ODciLCJ1c2VySWQiOiIxMTY4OTk3MTIzIn0=</vt:lpwstr>
  </property>
</Properties>
</file>