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bookmarkEnd w:id="0"/>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7193"/>
      <w:bookmarkStart w:id="2" w:name="_Toc15377425"/>
      <w:bookmarkStart w:id="3" w:name="_Toc15378441"/>
      <w:bookmarkStart w:id="4" w:name="_Toc15396597"/>
      <w:bookmarkStart w:id="5" w:name="_Toc15396475"/>
      <w:bookmarkStart w:id="73" w:name="_GoBack"/>
      <w:r>
        <w:rPr>
          <w:rFonts w:ascii="黑体" w:hAnsi="黑体" w:eastAsia="黑体"/>
          <w:color w:val="000000"/>
          <w:sz w:val="72"/>
          <w:szCs w:val="72"/>
        </w:rPr>
        <w:t>2018</w:t>
      </w:r>
      <w:r>
        <w:rPr>
          <w:rFonts w:hint="eastAsia" w:ascii="方正小标宋简体" w:hAnsi="宋体" w:eastAsia="方正小标宋简体"/>
          <w:color w:val="000000"/>
          <w:sz w:val="72"/>
          <w:szCs w:val="72"/>
        </w:rPr>
        <w:t>年度</w:t>
      </w:r>
      <w:bookmarkEnd w:id="1"/>
      <w:bookmarkEnd w:id="2"/>
      <w:bookmarkEnd w:id="3"/>
      <w:bookmarkEnd w:id="4"/>
      <w:bookmarkEnd w:id="5"/>
    </w:p>
    <w:p>
      <w:pPr>
        <w:widowControl/>
        <w:jc w:val="center"/>
        <w:rPr>
          <w:rFonts w:ascii="黑体" w:hAnsi="黑体" w:eastAsia="黑体"/>
          <w:color w:val="000000"/>
          <w:sz w:val="48"/>
          <w:szCs w:val="48"/>
        </w:rPr>
      </w:pPr>
      <w:bookmarkStart w:id="6" w:name="_Toc15396598"/>
      <w:bookmarkStart w:id="7" w:name="_Toc15396476"/>
      <w:bookmarkStart w:id="8" w:name="_Toc15377426"/>
      <w:bookmarkStart w:id="9" w:name="_Toc15378442"/>
      <w:bookmarkStart w:id="10" w:name="_Toc15306268"/>
      <w:bookmarkStart w:id="11" w:name="_Toc15377194"/>
      <w:r>
        <w:rPr>
          <w:rFonts w:hint="eastAsia" w:ascii="方正小标宋简体" w:hAnsi="宋体" w:eastAsia="方正小标宋简体"/>
          <w:color w:val="000000"/>
          <w:sz w:val="72"/>
          <w:szCs w:val="72"/>
        </w:rPr>
        <w:t>壤塘县委宣传部部门决算</w:t>
      </w:r>
      <w:bookmarkEnd w:id="6"/>
      <w:bookmarkEnd w:id="7"/>
      <w:bookmarkEnd w:id="8"/>
      <w:bookmarkEnd w:id="9"/>
      <w:bookmarkEnd w:id="10"/>
      <w:bookmarkEnd w:id="11"/>
      <w:r>
        <w:rPr>
          <w:rFonts w:ascii="方正小标宋简体" w:hAnsi="宋体" w:eastAsia="方正小标宋简体"/>
          <w:color w:val="000000"/>
          <w:sz w:val="36"/>
          <w:szCs w:val="36"/>
        </w:rPr>
        <w:br w:type="page"/>
      </w:r>
      <w:bookmarkEnd w:id="73"/>
      <w:r>
        <w:rPr>
          <w:rFonts w:hint="eastAsia" w:ascii="黑体" w:hAnsi="黑体" w:eastAsia="黑体"/>
          <w:color w:val="000000"/>
          <w:sz w:val="48"/>
          <w:szCs w:val="48"/>
        </w:rPr>
        <w:t>目录</w:t>
      </w:r>
    </w:p>
    <w:p>
      <w:pPr>
        <w:widowControl/>
        <w:jc w:val="center"/>
        <w:rPr>
          <w:rFonts w:ascii="黑体" w:hAnsi="黑体" w:eastAsia="黑体"/>
          <w:sz w:val="28"/>
          <w:szCs w:val="28"/>
        </w:rP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
      <w:pPr>
        <w:pStyle w:val="10"/>
      </w:pPr>
      <w:r>
        <w:fldChar w:fldCharType="begin"/>
      </w:r>
      <w:r>
        <w:instrText xml:space="preserve"> HYPERLINK \l "_Toc15396599" </w:instrText>
      </w:r>
      <w:r>
        <w:fldChar w:fldCharType="separate"/>
      </w:r>
      <w:r>
        <w:rPr>
          <w:rStyle w:val="15"/>
          <w:rFonts w:hint="eastAsia"/>
        </w:rPr>
        <w:t>第一部分部门概况</w:t>
      </w:r>
      <w:r>
        <w:tab/>
      </w:r>
      <w:r>
        <w:t>4</w:t>
      </w:r>
      <w:r>
        <w:fldChar w:fldCharType="end"/>
      </w:r>
    </w:p>
    <w:p>
      <w:pPr>
        <w:pStyle w:val="11"/>
        <w:ind w:left="31680"/>
        <w:rPr>
          <w:rFonts w:ascii="仿宋" w:hAnsi="仿宋" w:eastAsia="仿宋"/>
          <w:sz w:val="28"/>
          <w:szCs w:val="28"/>
        </w:rPr>
      </w:pPr>
      <w:r>
        <w:fldChar w:fldCharType="begin"/>
      </w:r>
      <w:r>
        <w:instrText xml:space="preserve"> HYPERLINK \l "_Toc15396600" </w:instrText>
      </w:r>
      <w:r>
        <w:fldChar w:fldCharType="separate"/>
      </w:r>
      <w:r>
        <w:rPr>
          <w:rStyle w:val="15"/>
          <w:rFonts w:hint="eastAsia" w:ascii="仿宋" w:hAnsi="仿宋" w:eastAsia="仿宋"/>
          <w:sz w:val="28"/>
          <w:szCs w:val="28"/>
        </w:rPr>
        <w:t>一、基本职能及主要工作</w:t>
      </w:r>
      <w:r>
        <w:rPr>
          <w:rFonts w:ascii="仿宋" w:hAnsi="仿宋" w:eastAsia="仿宋"/>
          <w:sz w:val="28"/>
          <w:szCs w:val="28"/>
        </w:rPr>
        <w:tab/>
      </w:r>
      <w:r>
        <w:rPr>
          <w:rFonts w:ascii="仿宋" w:hAnsi="仿宋" w:eastAsia="仿宋"/>
          <w:sz w:val="28"/>
          <w:szCs w:val="28"/>
        </w:rPr>
        <w:t>4</w:t>
      </w:r>
      <w:r>
        <w:rPr>
          <w:rFonts w:ascii="仿宋" w:hAnsi="仿宋" w:eastAsia="仿宋"/>
          <w:sz w:val="28"/>
          <w:szCs w:val="28"/>
        </w:rPr>
        <w:fldChar w:fldCharType="end"/>
      </w:r>
    </w:p>
    <w:p>
      <w:pPr>
        <w:pStyle w:val="11"/>
        <w:ind w:left="31680"/>
        <w:rPr>
          <w:rFonts w:ascii="仿宋" w:hAnsi="仿宋" w:eastAsia="仿宋"/>
          <w:sz w:val="28"/>
          <w:szCs w:val="28"/>
        </w:rPr>
      </w:pPr>
      <w:r>
        <w:fldChar w:fldCharType="begin"/>
      </w:r>
      <w:r>
        <w:instrText xml:space="preserve"> HYPERLINK \l "_Toc15396601" </w:instrText>
      </w:r>
      <w:r>
        <w:fldChar w:fldCharType="separate"/>
      </w:r>
      <w:r>
        <w:rPr>
          <w:rStyle w:val="15"/>
          <w:rFonts w:hint="eastAsia" w:ascii="仿宋" w:hAnsi="仿宋" w:eastAsia="仿宋"/>
          <w:sz w:val="28"/>
          <w:szCs w:val="28"/>
        </w:rPr>
        <w:t>二、机构设置</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_Toc15396601 \h </w:instrText>
      </w:r>
      <w:r>
        <w:rPr>
          <w:rFonts w:ascii="仿宋" w:hAnsi="仿宋" w:eastAsia="仿宋"/>
          <w:sz w:val="28"/>
          <w:szCs w:val="28"/>
        </w:rPr>
        <w:fldChar w:fldCharType="separate"/>
      </w:r>
      <w:r>
        <w:rPr>
          <w:rFonts w:ascii="仿宋" w:hAnsi="仿宋" w:eastAsia="仿宋"/>
          <w:sz w:val="28"/>
          <w:szCs w:val="28"/>
        </w:rPr>
        <w:t>6</w:t>
      </w:r>
      <w:r>
        <w:rPr>
          <w:rFonts w:ascii="仿宋" w:hAnsi="仿宋" w:eastAsia="仿宋"/>
          <w:sz w:val="28"/>
          <w:szCs w:val="28"/>
        </w:rPr>
        <w:fldChar w:fldCharType="end"/>
      </w:r>
      <w:r>
        <w:rPr>
          <w:rFonts w:ascii="仿宋" w:hAnsi="仿宋" w:eastAsia="仿宋"/>
          <w:sz w:val="28"/>
          <w:szCs w:val="28"/>
        </w:rPr>
        <w:fldChar w:fldCharType="end"/>
      </w:r>
    </w:p>
    <w:p>
      <w:pPr>
        <w:pStyle w:val="10"/>
      </w:pPr>
      <w:r>
        <w:fldChar w:fldCharType="begin"/>
      </w:r>
      <w:r>
        <w:instrText xml:space="preserve"> HYPERLINK \l "_Toc15396602" </w:instrText>
      </w:r>
      <w:r>
        <w:fldChar w:fldCharType="separate"/>
      </w:r>
      <w:r>
        <w:rPr>
          <w:rStyle w:val="15"/>
          <w:rFonts w:hint="eastAsia"/>
        </w:rPr>
        <w:t>第二部分</w:t>
      </w:r>
      <w:r>
        <w:rPr>
          <w:rStyle w:val="15"/>
        </w:rPr>
        <w:t xml:space="preserve"> 2018</w:t>
      </w:r>
      <w:r>
        <w:rPr>
          <w:rStyle w:val="15"/>
          <w:rFonts w:hint="eastAsia"/>
        </w:rPr>
        <w:t>年度部门决算情况说明</w:t>
      </w:r>
      <w:r>
        <w:tab/>
      </w:r>
      <w:r>
        <w:fldChar w:fldCharType="begin"/>
      </w:r>
      <w:r>
        <w:instrText xml:space="preserve"> PAGEREF _Toc15396602 \h </w:instrText>
      </w:r>
      <w:r>
        <w:fldChar w:fldCharType="separate"/>
      </w:r>
      <w:r>
        <w:t>7</w:t>
      </w:r>
      <w:r>
        <w:fldChar w:fldCharType="end"/>
      </w:r>
      <w:r>
        <w:fldChar w:fldCharType="end"/>
      </w:r>
    </w:p>
    <w:p>
      <w:pPr>
        <w:pStyle w:val="11"/>
        <w:ind w:left="31680"/>
        <w:rPr>
          <w:rFonts w:ascii="仿宋" w:hAnsi="仿宋" w:eastAsia="仿宋"/>
          <w:sz w:val="28"/>
          <w:szCs w:val="28"/>
        </w:rPr>
      </w:pPr>
      <w:r>
        <w:fldChar w:fldCharType="begin"/>
      </w:r>
      <w:r>
        <w:instrText xml:space="preserve"> HYPERLINK \l "_Toc15396603" </w:instrText>
      </w:r>
      <w:r>
        <w:fldChar w:fldCharType="separate"/>
      </w:r>
      <w:r>
        <w:rPr>
          <w:rStyle w:val="15"/>
          <w:rFonts w:hint="eastAsia" w:ascii="仿宋" w:hAnsi="仿宋" w:eastAsia="仿宋"/>
          <w:bCs/>
          <w:sz w:val="28"/>
          <w:szCs w:val="28"/>
        </w:rPr>
        <w:t>一、</w:t>
      </w:r>
      <w:r>
        <w:rPr>
          <w:rStyle w:val="15"/>
          <w:rFonts w:hint="eastAsia" w:ascii="仿宋" w:hAnsi="仿宋" w:eastAsia="仿宋"/>
          <w:sz w:val="28"/>
          <w:szCs w:val="28"/>
        </w:rPr>
        <w:t>收</w:t>
      </w:r>
      <w:r>
        <w:rPr>
          <w:rStyle w:val="15"/>
          <w:rFonts w:hint="eastAsia" w:ascii="仿宋" w:hAnsi="仿宋" w:eastAsia="仿宋"/>
          <w:bCs/>
          <w:sz w:val="28"/>
          <w:szCs w:val="28"/>
        </w:rPr>
        <w:t>入支出决算总体情况说明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_Toc15396603 \h </w:instrText>
      </w:r>
      <w:r>
        <w:rPr>
          <w:rFonts w:ascii="仿宋" w:hAnsi="仿宋" w:eastAsia="仿宋"/>
          <w:sz w:val="28"/>
          <w:szCs w:val="28"/>
        </w:rPr>
        <w:fldChar w:fldCharType="separate"/>
      </w:r>
      <w:r>
        <w:rPr>
          <w:rFonts w:ascii="仿宋" w:hAnsi="仿宋" w:eastAsia="仿宋"/>
          <w:sz w:val="28"/>
          <w:szCs w:val="28"/>
        </w:rPr>
        <w:t>7</w:t>
      </w:r>
      <w:r>
        <w:rPr>
          <w:rFonts w:ascii="仿宋" w:hAnsi="仿宋" w:eastAsia="仿宋"/>
          <w:sz w:val="28"/>
          <w:szCs w:val="28"/>
        </w:rPr>
        <w:fldChar w:fldCharType="end"/>
      </w:r>
      <w:r>
        <w:rPr>
          <w:rFonts w:ascii="仿宋" w:hAnsi="仿宋" w:eastAsia="仿宋"/>
          <w:sz w:val="28"/>
          <w:szCs w:val="28"/>
        </w:rPr>
        <w:fldChar w:fldCharType="end"/>
      </w:r>
    </w:p>
    <w:p>
      <w:pPr>
        <w:pStyle w:val="11"/>
        <w:ind w:left="31680"/>
        <w:rPr>
          <w:rFonts w:ascii="仿宋" w:hAnsi="仿宋" w:eastAsia="仿宋"/>
          <w:sz w:val="28"/>
          <w:szCs w:val="28"/>
        </w:rPr>
      </w:pPr>
      <w:r>
        <w:fldChar w:fldCharType="begin"/>
      </w:r>
      <w:r>
        <w:instrText xml:space="preserve"> HYPERLINK \l "_Toc15396604" </w:instrText>
      </w:r>
      <w:r>
        <w:fldChar w:fldCharType="separate"/>
      </w:r>
      <w:r>
        <w:rPr>
          <w:rStyle w:val="15"/>
          <w:rFonts w:hint="eastAsia" w:ascii="仿宋" w:hAnsi="仿宋" w:eastAsia="仿宋"/>
          <w:bCs/>
          <w:sz w:val="28"/>
          <w:szCs w:val="28"/>
        </w:rPr>
        <w:t>二、</w:t>
      </w:r>
      <w:r>
        <w:rPr>
          <w:rStyle w:val="15"/>
          <w:rFonts w:hint="eastAsia" w:ascii="仿宋" w:hAnsi="仿宋" w:eastAsia="仿宋"/>
          <w:sz w:val="28"/>
          <w:szCs w:val="28"/>
        </w:rPr>
        <w:t>收</w:t>
      </w:r>
      <w:r>
        <w:rPr>
          <w:rStyle w:val="15"/>
          <w:rFonts w:hint="eastAsia" w:ascii="仿宋" w:hAnsi="仿宋" w:eastAsia="仿宋"/>
          <w:bCs/>
          <w:sz w:val="28"/>
          <w:szCs w:val="28"/>
        </w:rPr>
        <w:t>入决算情况说明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_Toc15396604 \h </w:instrText>
      </w:r>
      <w:r>
        <w:rPr>
          <w:rFonts w:ascii="仿宋" w:hAnsi="仿宋" w:eastAsia="仿宋"/>
          <w:sz w:val="28"/>
          <w:szCs w:val="28"/>
        </w:rPr>
        <w:fldChar w:fldCharType="separate"/>
      </w:r>
      <w:r>
        <w:rPr>
          <w:rFonts w:ascii="仿宋" w:hAnsi="仿宋" w:eastAsia="仿宋"/>
          <w:sz w:val="28"/>
          <w:szCs w:val="28"/>
        </w:rPr>
        <w:t>7</w:t>
      </w:r>
      <w:r>
        <w:rPr>
          <w:rFonts w:ascii="仿宋" w:hAnsi="仿宋" w:eastAsia="仿宋"/>
          <w:sz w:val="28"/>
          <w:szCs w:val="28"/>
        </w:rPr>
        <w:fldChar w:fldCharType="end"/>
      </w:r>
      <w:r>
        <w:rPr>
          <w:rFonts w:ascii="仿宋" w:hAnsi="仿宋" w:eastAsia="仿宋"/>
          <w:sz w:val="28"/>
          <w:szCs w:val="28"/>
        </w:rPr>
        <w:fldChar w:fldCharType="end"/>
      </w:r>
    </w:p>
    <w:p>
      <w:pPr>
        <w:pStyle w:val="11"/>
        <w:ind w:left="31680"/>
        <w:rPr>
          <w:rFonts w:ascii="仿宋" w:hAnsi="仿宋" w:eastAsia="仿宋"/>
          <w:sz w:val="28"/>
          <w:szCs w:val="28"/>
        </w:rPr>
      </w:pPr>
      <w:r>
        <w:fldChar w:fldCharType="begin"/>
      </w:r>
      <w:r>
        <w:instrText xml:space="preserve"> HYPERLINK \l "_Toc15396605" </w:instrText>
      </w:r>
      <w:r>
        <w:fldChar w:fldCharType="separate"/>
      </w:r>
      <w:r>
        <w:rPr>
          <w:rStyle w:val="15"/>
          <w:rFonts w:hint="eastAsia" w:ascii="仿宋" w:hAnsi="仿宋" w:eastAsia="仿宋"/>
          <w:bCs/>
          <w:sz w:val="28"/>
          <w:szCs w:val="28"/>
        </w:rPr>
        <w:t>三、</w:t>
      </w:r>
      <w:r>
        <w:rPr>
          <w:rStyle w:val="15"/>
          <w:rFonts w:hint="eastAsia" w:ascii="仿宋" w:hAnsi="仿宋" w:eastAsia="仿宋"/>
          <w:sz w:val="28"/>
          <w:szCs w:val="28"/>
        </w:rPr>
        <w:t>支</w:t>
      </w:r>
      <w:r>
        <w:rPr>
          <w:rStyle w:val="15"/>
          <w:rFonts w:hint="eastAsia" w:ascii="仿宋" w:hAnsi="仿宋" w:eastAsia="仿宋"/>
          <w:bCs/>
          <w:sz w:val="28"/>
          <w:szCs w:val="28"/>
        </w:rPr>
        <w:t>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_Toc15396605 \h </w:instrText>
      </w:r>
      <w:r>
        <w:rPr>
          <w:rFonts w:ascii="仿宋" w:hAnsi="仿宋" w:eastAsia="仿宋"/>
          <w:sz w:val="28"/>
          <w:szCs w:val="28"/>
        </w:rPr>
        <w:fldChar w:fldCharType="separate"/>
      </w:r>
      <w:r>
        <w:rPr>
          <w:rFonts w:ascii="仿宋" w:hAnsi="仿宋" w:eastAsia="仿宋"/>
          <w:sz w:val="28"/>
          <w:szCs w:val="28"/>
        </w:rPr>
        <w:t>8</w:t>
      </w:r>
      <w:r>
        <w:rPr>
          <w:rFonts w:ascii="仿宋" w:hAnsi="仿宋" w:eastAsia="仿宋"/>
          <w:sz w:val="28"/>
          <w:szCs w:val="28"/>
        </w:rPr>
        <w:fldChar w:fldCharType="end"/>
      </w:r>
      <w:r>
        <w:rPr>
          <w:rFonts w:ascii="仿宋" w:hAnsi="仿宋" w:eastAsia="仿宋"/>
          <w:sz w:val="28"/>
          <w:szCs w:val="28"/>
        </w:rPr>
        <w:fldChar w:fldCharType="end"/>
      </w:r>
    </w:p>
    <w:p>
      <w:pPr>
        <w:pStyle w:val="11"/>
        <w:ind w:left="31680"/>
        <w:rPr>
          <w:rFonts w:ascii="仿宋" w:hAnsi="仿宋" w:eastAsia="仿宋"/>
          <w:sz w:val="28"/>
          <w:szCs w:val="28"/>
        </w:rPr>
      </w:pPr>
      <w:r>
        <w:fldChar w:fldCharType="begin"/>
      </w:r>
      <w:r>
        <w:instrText xml:space="preserve"> HYPERLINK \l "_Toc15396606" </w:instrText>
      </w:r>
      <w:r>
        <w:fldChar w:fldCharType="separate"/>
      </w:r>
      <w:r>
        <w:rPr>
          <w:rStyle w:val="15"/>
          <w:rFonts w:hint="eastAsia" w:ascii="仿宋" w:hAnsi="仿宋" w:eastAsia="仿宋"/>
          <w:sz w:val="28"/>
          <w:szCs w:val="28"/>
        </w:rPr>
        <w:t>四、财</w:t>
      </w:r>
      <w:r>
        <w:rPr>
          <w:rStyle w:val="15"/>
          <w:rFonts w:hint="eastAsia" w:ascii="仿宋" w:hAnsi="仿宋" w:eastAsia="仿宋"/>
          <w:bCs/>
          <w:sz w:val="28"/>
          <w:szCs w:val="28"/>
        </w:rPr>
        <w:t>政拨款收入支出决算总体情况说明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_Toc15396606 \h </w:instrText>
      </w:r>
      <w:r>
        <w:rPr>
          <w:rFonts w:ascii="仿宋" w:hAnsi="仿宋" w:eastAsia="仿宋"/>
          <w:sz w:val="28"/>
          <w:szCs w:val="28"/>
        </w:rPr>
        <w:fldChar w:fldCharType="separate"/>
      </w:r>
      <w:r>
        <w:rPr>
          <w:rFonts w:ascii="仿宋" w:hAnsi="仿宋" w:eastAsia="仿宋"/>
          <w:sz w:val="28"/>
          <w:szCs w:val="28"/>
        </w:rPr>
        <w:t>9</w:t>
      </w:r>
      <w:r>
        <w:rPr>
          <w:rFonts w:ascii="仿宋" w:hAnsi="仿宋" w:eastAsia="仿宋"/>
          <w:sz w:val="28"/>
          <w:szCs w:val="28"/>
        </w:rPr>
        <w:fldChar w:fldCharType="end"/>
      </w:r>
      <w:r>
        <w:rPr>
          <w:rFonts w:ascii="仿宋" w:hAnsi="仿宋" w:eastAsia="仿宋"/>
          <w:sz w:val="28"/>
          <w:szCs w:val="28"/>
        </w:rPr>
        <w:fldChar w:fldCharType="end"/>
      </w:r>
    </w:p>
    <w:p>
      <w:pPr>
        <w:pStyle w:val="11"/>
        <w:ind w:left="31680"/>
        <w:rPr>
          <w:rFonts w:ascii="仿宋" w:hAnsi="仿宋" w:eastAsia="仿宋"/>
          <w:sz w:val="28"/>
          <w:szCs w:val="28"/>
        </w:rPr>
      </w:pPr>
      <w:r>
        <w:fldChar w:fldCharType="begin"/>
      </w:r>
      <w:r>
        <w:instrText xml:space="preserve"> HYPERLINK \l "_Toc15396607" </w:instrText>
      </w:r>
      <w:r>
        <w:fldChar w:fldCharType="separate"/>
      </w:r>
      <w:r>
        <w:rPr>
          <w:rStyle w:val="15"/>
          <w:rFonts w:hint="eastAsia" w:ascii="仿宋" w:hAnsi="仿宋" w:eastAsia="仿宋"/>
          <w:sz w:val="28"/>
          <w:szCs w:val="28"/>
        </w:rPr>
        <w:t>五、一</w:t>
      </w:r>
      <w:r>
        <w:rPr>
          <w:rStyle w:val="15"/>
          <w:rFonts w:hint="eastAsia" w:ascii="仿宋" w:hAnsi="仿宋" w:eastAsia="仿宋"/>
          <w:bCs/>
          <w:sz w:val="28"/>
          <w:szCs w:val="28"/>
        </w:rPr>
        <w:t>般公共预算财政拨款支出决算情况说明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_Toc15396607 \h </w:instrText>
      </w:r>
      <w:r>
        <w:rPr>
          <w:rFonts w:ascii="仿宋" w:hAnsi="仿宋" w:eastAsia="仿宋"/>
          <w:sz w:val="28"/>
          <w:szCs w:val="28"/>
        </w:rPr>
        <w:fldChar w:fldCharType="separate"/>
      </w:r>
      <w:r>
        <w:rPr>
          <w:rFonts w:ascii="仿宋" w:hAnsi="仿宋" w:eastAsia="仿宋"/>
          <w:sz w:val="28"/>
          <w:szCs w:val="28"/>
        </w:rPr>
        <w:t>10</w:t>
      </w:r>
      <w:r>
        <w:rPr>
          <w:rFonts w:ascii="仿宋" w:hAnsi="仿宋" w:eastAsia="仿宋"/>
          <w:sz w:val="28"/>
          <w:szCs w:val="28"/>
        </w:rPr>
        <w:fldChar w:fldCharType="end"/>
      </w:r>
      <w:r>
        <w:rPr>
          <w:rFonts w:ascii="仿宋" w:hAnsi="仿宋" w:eastAsia="仿宋"/>
          <w:sz w:val="28"/>
          <w:szCs w:val="28"/>
        </w:rPr>
        <w:fldChar w:fldCharType="end"/>
      </w:r>
    </w:p>
    <w:p>
      <w:pPr>
        <w:pStyle w:val="11"/>
        <w:ind w:left="31680"/>
        <w:rPr>
          <w:rFonts w:ascii="仿宋" w:hAnsi="仿宋" w:eastAsia="仿宋"/>
          <w:sz w:val="28"/>
          <w:szCs w:val="28"/>
        </w:rPr>
      </w:pPr>
      <w:r>
        <w:fldChar w:fldCharType="begin"/>
      </w:r>
      <w:r>
        <w:instrText xml:space="preserve"> HYPERLINK \l "_Toc15396608" </w:instrText>
      </w:r>
      <w:r>
        <w:fldChar w:fldCharType="separate"/>
      </w:r>
      <w:r>
        <w:rPr>
          <w:rStyle w:val="15"/>
          <w:rFonts w:hint="eastAsia" w:ascii="仿宋" w:hAnsi="仿宋" w:eastAsia="仿宋"/>
          <w:sz w:val="28"/>
          <w:szCs w:val="28"/>
        </w:rPr>
        <w:t>六、一</w:t>
      </w:r>
      <w:r>
        <w:rPr>
          <w:rStyle w:val="15"/>
          <w:rFonts w:hint="eastAsia" w:ascii="仿宋" w:hAnsi="仿宋" w:eastAsia="仿宋"/>
          <w:bCs/>
          <w:sz w:val="28"/>
          <w:szCs w:val="28"/>
        </w:rPr>
        <w:t>般公共预算财政拨款基本支出决算情况说明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_Toc15396608 \h </w:instrText>
      </w:r>
      <w:r>
        <w:rPr>
          <w:rFonts w:ascii="仿宋" w:hAnsi="仿宋" w:eastAsia="仿宋"/>
          <w:sz w:val="28"/>
          <w:szCs w:val="28"/>
        </w:rPr>
        <w:fldChar w:fldCharType="separate"/>
      </w:r>
      <w:r>
        <w:rPr>
          <w:rFonts w:ascii="仿宋" w:hAnsi="仿宋" w:eastAsia="仿宋"/>
          <w:sz w:val="28"/>
          <w:szCs w:val="28"/>
        </w:rPr>
        <w:t>12</w:t>
      </w:r>
      <w:r>
        <w:rPr>
          <w:rFonts w:ascii="仿宋" w:hAnsi="仿宋" w:eastAsia="仿宋"/>
          <w:sz w:val="28"/>
          <w:szCs w:val="28"/>
        </w:rPr>
        <w:fldChar w:fldCharType="end"/>
      </w:r>
      <w:r>
        <w:rPr>
          <w:rFonts w:ascii="仿宋" w:hAnsi="仿宋" w:eastAsia="仿宋"/>
          <w:sz w:val="28"/>
          <w:szCs w:val="28"/>
        </w:rPr>
        <w:fldChar w:fldCharType="end"/>
      </w:r>
    </w:p>
    <w:p>
      <w:pPr>
        <w:pStyle w:val="11"/>
        <w:ind w:left="31680"/>
        <w:rPr>
          <w:rFonts w:ascii="仿宋" w:hAnsi="仿宋" w:eastAsia="仿宋"/>
          <w:sz w:val="28"/>
          <w:szCs w:val="28"/>
        </w:rPr>
      </w:pPr>
      <w:r>
        <w:fldChar w:fldCharType="begin"/>
      </w:r>
      <w:r>
        <w:instrText xml:space="preserve"> HYPERLINK \l "_Toc15396609" </w:instrText>
      </w:r>
      <w:r>
        <w:fldChar w:fldCharType="separate"/>
      </w:r>
      <w:r>
        <w:rPr>
          <w:rStyle w:val="15"/>
          <w:rFonts w:hint="eastAsia" w:ascii="仿宋" w:hAnsi="仿宋" w:eastAsia="仿宋"/>
          <w:sz w:val="28"/>
          <w:szCs w:val="28"/>
        </w:rPr>
        <w:t>七、“</w:t>
      </w:r>
      <w:r>
        <w:rPr>
          <w:rStyle w:val="15"/>
          <w:rFonts w:hint="eastAsia" w:ascii="仿宋" w:hAnsi="仿宋" w:eastAsia="仿宋"/>
          <w:bCs/>
          <w:sz w:val="28"/>
          <w:szCs w:val="28"/>
        </w:rPr>
        <w:t>三公”经费财政拨款支出决算情况说明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_Toc15396609 \h </w:instrText>
      </w:r>
      <w:r>
        <w:rPr>
          <w:rFonts w:ascii="仿宋" w:hAnsi="仿宋" w:eastAsia="仿宋"/>
          <w:sz w:val="28"/>
          <w:szCs w:val="28"/>
        </w:rPr>
        <w:fldChar w:fldCharType="separate"/>
      </w:r>
      <w:r>
        <w:rPr>
          <w:rFonts w:ascii="仿宋" w:hAnsi="仿宋" w:eastAsia="仿宋"/>
          <w:sz w:val="28"/>
          <w:szCs w:val="28"/>
        </w:rPr>
        <w:t>12</w:t>
      </w:r>
      <w:r>
        <w:rPr>
          <w:rFonts w:ascii="仿宋" w:hAnsi="仿宋" w:eastAsia="仿宋"/>
          <w:sz w:val="28"/>
          <w:szCs w:val="28"/>
        </w:rPr>
        <w:fldChar w:fldCharType="end"/>
      </w:r>
      <w:r>
        <w:rPr>
          <w:rFonts w:ascii="仿宋" w:hAnsi="仿宋" w:eastAsia="仿宋"/>
          <w:sz w:val="28"/>
          <w:szCs w:val="28"/>
        </w:rPr>
        <w:fldChar w:fldCharType="end"/>
      </w:r>
    </w:p>
    <w:p>
      <w:pPr>
        <w:pStyle w:val="11"/>
        <w:ind w:left="31680"/>
        <w:rPr>
          <w:rFonts w:ascii="仿宋" w:hAnsi="仿宋" w:eastAsia="仿宋"/>
          <w:sz w:val="28"/>
          <w:szCs w:val="28"/>
        </w:rPr>
      </w:pPr>
      <w:r>
        <w:fldChar w:fldCharType="begin"/>
      </w:r>
      <w:r>
        <w:instrText xml:space="preserve"> HYPERLINK \l "_Toc15396610" </w:instrText>
      </w:r>
      <w:r>
        <w:fldChar w:fldCharType="separate"/>
      </w:r>
      <w:r>
        <w:rPr>
          <w:rStyle w:val="15"/>
          <w:rFonts w:hint="eastAsia" w:ascii="仿宋" w:hAnsi="仿宋" w:eastAsia="仿宋"/>
          <w:sz w:val="28"/>
          <w:szCs w:val="28"/>
        </w:rPr>
        <w:t>八、</w:t>
      </w:r>
      <w:r>
        <w:rPr>
          <w:rStyle w:val="15"/>
          <w:rFonts w:hint="eastAsia" w:ascii="仿宋" w:hAnsi="仿宋" w:eastAsia="仿宋"/>
          <w:bCs/>
          <w:sz w:val="28"/>
          <w:szCs w:val="28"/>
        </w:rPr>
        <w:t>政府性基金预算支出决算情况说明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_Toc15396610 \h </w:instrText>
      </w:r>
      <w:r>
        <w:rPr>
          <w:rFonts w:ascii="仿宋" w:hAnsi="仿宋" w:eastAsia="仿宋"/>
          <w:sz w:val="28"/>
          <w:szCs w:val="28"/>
        </w:rPr>
        <w:fldChar w:fldCharType="separate"/>
      </w:r>
      <w:r>
        <w:rPr>
          <w:rFonts w:ascii="仿宋" w:hAnsi="仿宋" w:eastAsia="仿宋"/>
          <w:sz w:val="28"/>
          <w:szCs w:val="28"/>
        </w:rPr>
        <w:t>14</w:t>
      </w:r>
      <w:r>
        <w:rPr>
          <w:rFonts w:ascii="仿宋" w:hAnsi="仿宋" w:eastAsia="仿宋"/>
          <w:sz w:val="28"/>
          <w:szCs w:val="28"/>
        </w:rPr>
        <w:fldChar w:fldCharType="end"/>
      </w:r>
      <w:r>
        <w:rPr>
          <w:rFonts w:ascii="仿宋" w:hAnsi="仿宋" w:eastAsia="仿宋"/>
          <w:sz w:val="28"/>
          <w:szCs w:val="28"/>
        </w:rPr>
        <w:fldChar w:fldCharType="end"/>
      </w:r>
    </w:p>
    <w:p>
      <w:pPr>
        <w:pStyle w:val="11"/>
        <w:ind w:left="31680"/>
      </w:pPr>
      <w:r>
        <w:fldChar w:fldCharType="begin"/>
      </w:r>
      <w:r>
        <w:instrText xml:space="preserve"> HYPERLINK \l "_Toc15396611" </w:instrText>
      </w:r>
      <w:r>
        <w:fldChar w:fldCharType="separate"/>
      </w:r>
      <w:r>
        <w:rPr>
          <w:rStyle w:val="15"/>
          <w:rFonts w:hint="eastAsia" w:ascii="仿宋" w:hAnsi="仿宋" w:eastAsia="仿宋"/>
          <w:bCs/>
          <w:sz w:val="28"/>
          <w:szCs w:val="28"/>
        </w:rPr>
        <w:t>九、</w:t>
      </w:r>
      <w:r>
        <w:rPr>
          <w:rStyle w:val="15"/>
          <w:rFonts w:ascii="仿宋" w:hAnsi="仿宋" w:eastAsia="仿宋"/>
          <w:sz w:val="28"/>
          <w:szCs w:val="28"/>
        </w:rPr>
        <w:t xml:space="preserve"> </w:t>
      </w:r>
      <w:r>
        <w:rPr>
          <w:rStyle w:val="15"/>
          <w:rFonts w:hint="eastAsia" w:ascii="仿宋" w:hAnsi="仿宋" w:eastAsia="仿宋"/>
          <w:sz w:val="28"/>
          <w:szCs w:val="28"/>
        </w:rPr>
        <w:t>国</w:t>
      </w:r>
      <w:r>
        <w:rPr>
          <w:rStyle w:val="15"/>
          <w:rFonts w:hint="eastAsia" w:ascii="仿宋" w:hAnsi="仿宋" w:eastAsia="仿宋"/>
          <w:bCs/>
          <w:sz w:val="28"/>
          <w:szCs w:val="28"/>
        </w:rPr>
        <w:t>有资本经营预算支出决算情况说明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_Toc15396611 \h </w:instrText>
      </w:r>
      <w:r>
        <w:rPr>
          <w:rFonts w:ascii="仿宋" w:hAnsi="仿宋" w:eastAsia="仿宋"/>
          <w:sz w:val="28"/>
          <w:szCs w:val="28"/>
        </w:rPr>
        <w:fldChar w:fldCharType="separate"/>
      </w:r>
      <w:r>
        <w:rPr>
          <w:rFonts w:ascii="仿宋" w:hAnsi="仿宋" w:eastAsia="仿宋"/>
          <w:sz w:val="28"/>
          <w:szCs w:val="28"/>
        </w:rPr>
        <w:t>14</w:t>
      </w:r>
      <w:r>
        <w:rPr>
          <w:rFonts w:ascii="仿宋" w:hAnsi="仿宋" w:eastAsia="仿宋"/>
          <w:sz w:val="28"/>
          <w:szCs w:val="28"/>
        </w:rPr>
        <w:fldChar w:fldCharType="end"/>
      </w:r>
      <w:r>
        <w:rPr>
          <w:rFonts w:ascii="仿宋" w:hAnsi="仿宋" w:eastAsia="仿宋"/>
          <w:sz w:val="28"/>
          <w:szCs w:val="28"/>
        </w:rPr>
        <w:fldChar w:fldCharType="end"/>
      </w:r>
    </w:p>
    <w:p>
      <w:pPr>
        <w:rPr>
          <w:color w:val="000000"/>
        </w:rPr>
      </w:pPr>
      <w:r>
        <w:t xml:space="preserve">    </w:t>
      </w:r>
      <w:r>
        <w:rPr>
          <w:rStyle w:val="15"/>
          <w:rFonts w:hint="eastAsia" w:ascii="仿宋" w:hAnsi="仿宋" w:eastAsia="仿宋"/>
          <w:bCs/>
          <w:color w:val="000000"/>
          <w:sz w:val="28"/>
          <w:szCs w:val="28"/>
          <w:u w:val="none"/>
        </w:rPr>
        <w:t>十、预算绩效情况说明…………………………………………</w:t>
      </w:r>
      <w:r>
        <w:rPr>
          <w:rStyle w:val="15"/>
          <w:rFonts w:ascii="仿宋" w:hAnsi="仿宋" w:eastAsia="仿宋"/>
          <w:bCs/>
          <w:color w:val="000000"/>
          <w:sz w:val="28"/>
          <w:szCs w:val="28"/>
          <w:u w:val="none"/>
        </w:rPr>
        <w:t xml:space="preserve">  13</w:t>
      </w:r>
    </w:p>
    <w:p>
      <w:pPr>
        <w:pStyle w:val="11"/>
        <w:ind w:left="31680"/>
        <w:rPr>
          <w:rFonts w:ascii="仿宋" w:hAnsi="仿宋" w:eastAsia="仿宋"/>
          <w:sz w:val="28"/>
          <w:szCs w:val="28"/>
        </w:rPr>
      </w:pPr>
      <w:r>
        <w:fldChar w:fldCharType="begin"/>
      </w:r>
      <w:r>
        <w:instrText xml:space="preserve"> HYPERLINK \l "_Toc15396612" </w:instrText>
      </w:r>
      <w:r>
        <w:fldChar w:fldCharType="separate"/>
      </w:r>
      <w:r>
        <w:rPr>
          <w:rStyle w:val="15"/>
          <w:rFonts w:hint="eastAsia" w:ascii="仿宋" w:hAnsi="仿宋" w:eastAsia="仿宋"/>
          <w:sz w:val="28"/>
          <w:szCs w:val="28"/>
        </w:rPr>
        <w:t>十</w:t>
      </w:r>
      <w:r>
        <w:rPr>
          <w:rStyle w:val="15"/>
          <w:rFonts w:hint="eastAsia" w:ascii="仿宋" w:hAnsi="仿宋" w:eastAsia="仿宋"/>
          <w:bCs/>
          <w:sz w:val="28"/>
          <w:szCs w:val="28"/>
        </w:rPr>
        <w:t>一、其他重要事项的情况说明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_Toc15396612 \h </w:instrText>
      </w:r>
      <w:r>
        <w:rPr>
          <w:rFonts w:ascii="仿宋" w:hAnsi="仿宋" w:eastAsia="仿宋"/>
          <w:sz w:val="28"/>
          <w:szCs w:val="28"/>
        </w:rPr>
        <w:fldChar w:fldCharType="separate"/>
      </w:r>
      <w:r>
        <w:rPr>
          <w:rFonts w:ascii="仿宋" w:hAnsi="仿宋" w:eastAsia="仿宋"/>
          <w:sz w:val="28"/>
          <w:szCs w:val="28"/>
        </w:rPr>
        <w:t>19</w:t>
      </w:r>
      <w:r>
        <w:rPr>
          <w:rFonts w:ascii="仿宋" w:hAnsi="仿宋" w:eastAsia="仿宋"/>
          <w:sz w:val="28"/>
          <w:szCs w:val="28"/>
        </w:rPr>
        <w:fldChar w:fldCharType="end"/>
      </w:r>
      <w:r>
        <w:rPr>
          <w:rFonts w:ascii="仿宋" w:hAnsi="仿宋" w:eastAsia="仿宋"/>
          <w:sz w:val="28"/>
          <w:szCs w:val="28"/>
        </w:rPr>
        <w:fldChar w:fldCharType="end"/>
      </w:r>
    </w:p>
    <w:p>
      <w:pPr>
        <w:pStyle w:val="10"/>
      </w:pPr>
      <w:r>
        <w:fldChar w:fldCharType="begin"/>
      </w:r>
      <w:r>
        <w:instrText xml:space="preserve"> HYPERLINK \l "_Toc15396613" </w:instrText>
      </w:r>
      <w:r>
        <w:fldChar w:fldCharType="separate"/>
      </w:r>
      <w:r>
        <w:rPr>
          <w:rStyle w:val="15"/>
          <w:rFonts w:hint="eastAsia"/>
          <w:bCs/>
          <w:kern w:val="44"/>
        </w:rPr>
        <w:t>第三部分</w:t>
      </w:r>
      <w:r>
        <w:rPr>
          <w:rStyle w:val="15"/>
        </w:rPr>
        <w:t xml:space="preserve"> </w:t>
      </w:r>
      <w:r>
        <w:rPr>
          <w:rStyle w:val="15"/>
          <w:rFonts w:hint="eastAsia"/>
        </w:rPr>
        <w:t>名</w:t>
      </w:r>
      <w:r>
        <w:rPr>
          <w:rStyle w:val="15"/>
          <w:rFonts w:hint="eastAsia"/>
          <w:bCs/>
          <w:kern w:val="44"/>
        </w:rPr>
        <w:t>词解释</w:t>
      </w:r>
      <w:r>
        <w:tab/>
      </w:r>
      <w:r>
        <w:fldChar w:fldCharType="begin"/>
      </w:r>
      <w:r>
        <w:instrText xml:space="preserve"> PAGEREF _Toc15396613 \h </w:instrText>
      </w:r>
      <w:r>
        <w:fldChar w:fldCharType="separate"/>
      </w:r>
      <w:r>
        <w:t>20</w:t>
      </w:r>
      <w:r>
        <w:fldChar w:fldCharType="end"/>
      </w:r>
      <w:r>
        <w:fldChar w:fldCharType="end"/>
      </w:r>
    </w:p>
    <w:p>
      <w:pPr>
        <w:pStyle w:val="10"/>
      </w:pPr>
      <w:r>
        <w:fldChar w:fldCharType="begin"/>
      </w:r>
      <w:r>
        <w:instrText xml:space="preserve"> HYPERLINK \l "_Toc15396614" </w:instrText>
      </w:r>
      <w:r>
        <w:fldChar w:fldCharType="separate"/>
      </w:r>
      <w:r>
        <w:rPr>
          <w:rStyle w:val="15"/>
          <w:rFonts w:hint="eastAsia"/>
        </w:rPr>
        <w:t>第</w:t>
      </w:r>
      <w:r>
        <w:rPr>
          <w:rStyle w:val="15"/>
          <w:rFonts w:hint="eastAsia"/>
          <w:bCs/>
          <w:kern w:val="44"/>
        </w:rPr>
        <w:t>四部分附件</w:t>
      </w:r>
      <w:r>
        <w:tab/>
      </w:r>
      <w:r>
        <w:fldChar w:fldCharType="begin"/>
      </w:r>
      <w:r>
        <w:instrText xml:space="preserve"> PAGEREF _Toc15396614 \h </w:instrText>
      </w:r>
      <w:r>
        <w:fldChar w:fldCharType="separate"/>
      </w:r>
      <w:r>
        <w:t>22</w:t>
      </w:r>
      <w:r>
        <w:fldChar w:fldCharType="end"/>
      </w:r>
      <w:r>
        <w:fldChar w:fldCharType="end"/>
      </w:r>
    </w:p>
    <w:p>
      <w:pPr>
        <w:pStyle w:val="11"/>
        <w:ind w:left="31680"/>
        <w:rPr>
          <w:rFonts w:ascii="仿宋" w:hAnsi="仿宋" w:eastAsia="仿宋"/>
          <w:sz w:val="28"/>
          <w:szCs w:val="28"/>
        </w:rPr>
      </w:pPr>
      <w:r>
        <w:fldChar w:fldCharType="begin"/>
      </w:r>
      <w:r>
        <w:instrText xml:space="preserve"> HYPERLINK \l "_Toc15396615" </w:instrText>
      </w:r>
      <w:r>
        <w:fldChar w:fldCharType="separate"/>
      </w:r>
      <w:r>
        <w:rPr>
          <w:rStyle w:val="15"/>
          <w:rFonts w:hint="eastAsia" w:ascii="仿宋" w:hAnsi="仿宋" w:eastAsia="仿宋"/>
          <w:kern w:val="44"/>
          <w:sz w:val="28"/>
          <w:szCs w:val="28"/>
        </w:rPr>
        <w:t>附件</w:t>
      </w:r>
      <w:r>
        <w:rPr>
          <w:rStyle w:val="15"/>
          <w:rFonts w:ascii="仿宋" w:hAnsi="仿宋" w:eastAsia="仿宋"/>
          <w:kern w:val="44"/>
          <w:sz w:val="28"/>
          <w:szCs w:val="28"/>
        </w:rPr>
        <w:t>1</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_Toc15396615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1"/>
        <w:ind w:left="31680"/>
        <w:rPr>
          <w:rFonts w:ascii="仿宋" w:hAnsi="仿宋" w:eastAsia="仿宋"/>
          <w:sz w:val="28"/>
          <w:szCs w:val="28"/>
        </w:rPr>
      </w:pPr>
      <w:r>
        <w:fldChar w:fldCharType="begin"/>
      </w:r>
      <w:r>
        <w:instrText xml:space="preserve"> HYPERLINK \l "_Toc15396617" </w:instrText>
      </w:r>
      <w:r>
        <w:fldChar w:fldCharType="separate"/>
      </w:r>
      <w:r>
        <w:rPr>
          <w:rStyle w:val="15"/>
          <w:rFonts w:hint="eastAsia" w:ascii="仿宋" w:hAnsi="仿宋" w:eastAsia="仿宋"/>
          <w:kern w:val="44"/>
          <w:sz w:val="28"/>
          <w:szCs w:val="28"/>
        </w:rPr>
        <w:t>附件</w:t>
      </w:r>
      <w:r>
        <w:rPr>
          <w:rStyle w:val="15"/>
          <w:rFonts w:ascii="仿宋" w:hAnsi="仿宋" w:eastAsia="仿宋"/>
          <w:kern w:val="44"/>
          <w:sz w:val="28"/>
          <w:szCs w:val="28"/>
        </w:rPr>
        <w:t>2</w:t>
      </w:r>
      <w:r>
        <w:rPr>
          <w:rFonts w:ascii="仿宋" w:hAnsi="仿宋" w:eastAsia="仿宋"/>
          <w:sz w:val="28"/>
          <w:szCs w:val="28"/>
        </w:rPr>
        <w:tab/>
      </w:r>
      <w:r>
        <w:rPr>
          <w:rFonts w:ascii="仿宋" w:hAnsi="仿宋" w:eastAsia="仿宋"/>
          <w:sz w:val="28"/>
          <w:szCs w:val="28"/>
        </w:rPr>
        <w:fldChar w:fldCharType="end"/>
      </w:r>
    </w:p>
    <w:p>
      <w:pPr>
        <w:pStyle w:val="10"/>
      </w:pPr>
      <w:r>
        <w:fldChar w:fldCharType="begin"/>
      </w:r>
      <w:r>
        <w:instrText xml:space="preserve"> HYPERLINK \l "_Toc15396618" </w:instrText>
      </w:r>
      <w:r>
        <w:fldChar w:fldCharType="separate"/>
      </w:r>
      <w:r>
        <w:rPr>
          <w:rStyle w:val="15"/>
          <w:rFonts w:hint="eastAsia"/>
        </w:rPr>
        <w:t>第</w:t>
      </w:r>
      <w:r>
        <w:rPr>
          <w:rStyle w:val="15"/>
          <w:rFonts w:hint="eastAsia"/>
          <w:bCs/>
          <w:kern w:val="44"/>
        </w:rPr>
        <w:t>五部分附表</w:t>
      </w:r>
      <w:r>
        <w:tab/>
      </w:r>
      <w:r>
        <w:fldChar w:fldCharType="begin"/>
      </w:r>
      <w:r>
        <w:instrText xml:space="preserve"> PAGEREF _Toc15396618 \h </w:instrText>
      </w:r>
      <w:r>
        <w:fldChar w:fldCharType="separate"/>
      </w:r>
      <w:r>
        <w:t>27</w:t>
      </w:r>
      <w:r>
        <w:fldChar w:fldCharType="end"/>
      </w:r>
      <w:r>
        <w:fldChar w:fldCharType="end"/>
      </w:r>
    </w:p>
    <w:p>
      <w:pPr>
        <w:pStyle w:val="11"/>
        <w:ind w:left="31680"/>
        <w:rPr>
          <w:rFonts w:ascii="仿宋" w:hAnsi="仿宋" w:eastAsia="仿宋"/>
          <w:sz w:val="28"/>
          <w:szCs w:val="28"/>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15"/>
          <w:rFonts w:hint="eastAsia" w:ascii="仿宋" w:hAnsi="仿宋" w:eastAsia="仿宋"/>
          <w:sz w:val="28"/>
          <w:szCs w:val="28"/>
        </w:rPr>
        <w:t>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_Toc15396619 \h </w:instrText>
      </w:r>
      <w:r>
        <w:rPr>
          <w:rFonts w:ascii="仿宋" w:hAnsi="仿宋" w:eastAsia="仿宋"/>
          <w:sz w:val="28"/>
          <w:szCs w:val="28"/>
        </w:rPr>
        <w:fldChar w:fldCharType="separate"/>
      </w:r>
      <w:r>
        <w:rPr>
          <w:rFonts w:ascii="仿宋" w:hAnsi="仿宋" w:eastAsia="仿宋"/>
          <w:sz w:val="28"/>
          <w:szCs w:val="28"/>
        </w:rPr>
        <w:t>27</w:t>
      </w:r>
      <w:r>
        <w:rPr>
          <w:rFonts w:ascii="仿宋" w:hAnsi="仿宋" w:eastAsia="仿宋"/>
          <w:sz w:val="28"/>
          <w:szCs w:val="28"/>
        </w:rPr>
        <w:fldChar w:fldCharType="end"/>
      </w:r>
      <w:r>
        <w:rPr>
          <w:rFonts w:ascii="仿宋" w:hAnsi="仿宋" w:eastAsia="仿宋"/>
          <w:sz w:val="28"/>
          <w:szCs w:val="28"/>
        </w:rPr>
        <w:fldChar w:fldCharType="end"/>
      </w:r>
    </w:p>
    <w:p>
      <w:pPr>
        <w:pStyle w:val="11"/>
        <w:ind w:left="31680"/>
        <w:rPr>
          <w:rFonts w:ascii="仿宋" w:hAnsi="仿宋" w:eastAsia="仿宋"/>
          <w:sz w:val="28"/>
          <w:szCs w:val="28"/>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15"/>
          <w:rFonts w:hint="eastAsia" w:ascii="仿宋" w:hAnsi="仿宋" w:eastAsia="仿宋"/>
          <w:sz w:val="28"/>
          <w:szCs w:val="28"/>
        </w:rPr>
        <w:t>收入总表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_Toc15396620 \h </w:instrText>
      </w:r>
      <w:r>
        <w:rPr>
          <w:rFonts w:ascii="仿宋" w:hAnsi="仿宋" w:eastAsia="仿宋"/>
          <w:sz w:val="28"/>
          <w:szCs w:val="28"/>
        </w:rPr>
        <w:fldChar w:fldCharType="separate"/>
      </w:r>
      <w:r>
        <w:rPr>
          <w:rFonts w:ascii="仿宋" w:hAnsi="仿宋" w:eastAsia="仿宋"/>
          <w:sz w:val="28"/>
          <w:szCs w:val="28"/>
        </w:rPr>
        <w:t>27</w:t>
      </w:r>
      <w:r>
        <w:rPr>
          <w:rFonts w:ascii="仿宋" w:hAnsi="仿宋" w:eastAsia="仿宋"/>
          <w:sz w:val="28"/>
          <w:szCs w:val="28"/>
        </w:rPr>
        <w:fldChar w:fldCharType="end"/>
      </w:r>
      <w:r>
        <w:rPr>
          <w:rFonts w:ascii="仿宋" w:hAnsi="仿宋" w:eastAsia="仿宋"/>
          <w:sz w:val="28"/>
          <w:szCs w:val="28"/>
        </w:rPr>
        <w:fldChar w:fldCharType="end"/>
      </w:r>
    </w:p>
    <w:p>
      <w:pPr>
        <w:pStyle w:val="11"/>
        <w:ind w:left="31680"/>
        <w:rPr>
          <w:rFonts w:ascii="仿宋" w:hAnsi="仿宋" w:eastAsia="仿宋"/>
          <w:sz w:val="28"/>
          <w:szCs w:val="28"/>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15"/>
          <w:rFonts w:hint="eastAsia" w:ascii="仿宋" w:hAnsi="仿宋" w:eastAsia="仿宋"/>
          <w:sz w:val="28"/>
          <w:szCs w:val="28"/>
        </w:rPr>
        <w:t>支出总表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_Toc15396621 \h </w:instrText>
      </w:r>
      <w:r>
        <w:rPr>
          <w:rFonts w:ascii="仿宋" w:hAnsi="仿宋" w:eastAsia="仿宋"/>
          <w:sz w:val="28"/>
          <w:szCs w:val="28"/>
        </w:rPr>
        <w:fldChar w:fldCharType="separate"/>
      </w:r>
      <w:r>
        <w:rPr>
          <w:rFonts w:ascii="仿宋" w:hAnsi="仿宋" w:eastAsia="仿宋"/>
          <w:sz w:val="28"/>
          <w:szCs w:val="28"/>
        </w:rPr>
        <w:t>27</w:t>
      </w:r>
      <w:r>
        <w:rPr>
          <w:rFonts w:ascii="仿宋" w:hAnsi="仿宋" w:eastAsia="仿宋"/>
          <w:sz w:val="28"/>
          <w:szCs w:val="28"/>
        </w:rPr>
        <w:fldChar w:fldCharType="end"/>
      </w:r>
      <w:r>
        <w:rPr>
          <w:rFonts w:ascii="仿宋" w:hAnsi="仿宋" w:eastAsia="仿宋"/>
          <w:sz w:val="28"/>
          <w:szCs w:val="28"/>
        </w:rPr>
        <w:fldChar w:fldCharType="end"/>
      </w:r>
    </w:p>
    <w:p>
      <w:pPr>
        <w:pStyle w:val="11"/>
        <w:ind w:left="31680"/>
        <w:rPr>
          <w:rFonts w:ascii="仿宋" w:hAnsi="仿宋" w:eastAsia="仿宋"/>
          <w:sz w:val="28"/>
          <w:szCs w:val="28"/>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15"/>
          <w:rFonts w:hint="eastAsia" w:ascii="仿宋" w:hAnsi="仿宋" w:eastAsia="仿宋"/>
          <w:sz w:val="28"/>
          <w:szCs w:val="28"/>
        </w:rPr>
        <w:t>财政拨款收入支出决算总表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_Toc15396622 \h </w:instrText>
      </w:r>
      <w:r>
        <w:rPr>
          <w:rFonts w:ascii="仿宋" w:hAnsi="仿宋" w:eastAsia="仿宋"/>
          <w:sz w:val="28"/>
          <w:szCs w:val="28"/>
        </w:rPr>
        <w:fldChar w:fldCharType="separate"/>
      </w:r>
      <w:r>
        <w:rPr>
          <w:rFonts w:ascii="仿宋" w:hAnsi="仿宋" w:eastAsia="仿宋"/>
          <w:sz w:val="28"/>
          <w:szCs w:val="28"/>
        </w:rPr>
        <w:t>27</w:t>
      </w:r>
      <w:r>
        <w:rPr>
          <w:rFonts w:ascii="仿宋" w:hAnsi="仿宋" w:eastAsia="仿宋"/>
          <w:sz w:val="28"/>
          <w:szCs w:val="28"/>
        </w:rPr>
        <w:fldChar w:fldCharType="end"/>
      </w:r>
      <w:r>
        <w:rPr>
          <w:rFonts w:ascii="仿宋" w:hAnsi="仿宋" w:eastAsia="仿宋"/>
          <w:sz w:val="28"/>
          <w:szCs w:val="28"/>
        </w:rPr>
        <w:fldChar w:fldCharType="end"/>
      </w:r>
    </w:p>
    <w:p>
      <w:pPr>
        <w:pStyle w:val="11"/>
        <w:ind w:left="31680"/>
        <w:rPr>
          <w:rFonts w:ascii="仿宋" w:hAnsi="仿宋" w:eastAsia="仿宋"/>
          <w:sz w:val="28"/>
          <w:szCs w:val="28"/>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财政拨款支出决算明细表（政府经济分类科目）</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_Toc15396623 \h </w:instrText>
      </w:r>
      <w:r>
        <w:rPr>
          <w:rFonts w:ascii="仿宋" w:hAnsi="仿宋" w:eastAsia="仿宋"/>
          <w:sz w:val="28"/>
          <w:szCs w:val="28"/>
        </w:rPr>
        <w:fldChar w:fldCharType="separate"/>
      </w:r>
      <w:r>
        <w:rPr>
          <w:rFonts w:ascii="仿宋" w:hAnsi="仿宋" w:eastAsia="仿宋"/>
          <w:sz w:val="28"/>
          <w:szCs w:val="28"/>
        </w:rPr>
        <w:t>27</w:t>
      </w:r>
      <w:r>
        <w:rPr>
          <w:rFonts w:ascii="仿宋" w:hAnsi="仿宋" w:eastAsia="仿宋"/>
          <w:sz w:val="28"/>
          <w:szCs w:val="28"/>
        </w:rPr>
        <w:fldChar w:fldCharType="end"/>
      </w:r>
      <w:r>
        <w:rPr>
          <w:rFonts w:ascii="仿宋" w:hAnsi="仿宋" w:eastAsia="仿宋"/>
          <w:sz w:val="28"/>
          <w:szCs w:val="28"/>
        </w:rPr>
        <w:fldChar w:fldCharType="end"/>
      </w:r>
    </w:p>
    <w:p>
      <w:pPr>
        <w:pStyle w:val="11"/>
        <w:ind w:left="31680"/>
        <w:rPr>
          <w:rFonts w:ascii="仿宋" w:hAnsi="仿宋" w:eastAsia="仿宋"/>
          <w:sz w:val="28"/>
          <w:szCs w:val="28"/>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15"/>
          <w:rFonts w:hint="eastAsia" w:ascii="仿宋" w:hAnsi="仿宋" w:eastAsia="仿宋"/>
          <w:sz w:val="28"/>
          <w:szCs w:val="28"/>
        </w:rPr>
        <w:t>一般公共预算财政拨款支出决算表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_Toc15396624 \h </w:instrText>
      </w:r>
      <w:r>
        <w:rPr>
          <w:rFonts w:ascii="仿宋" w:hAnsi="仿宋" w:eastAsia="仿宋"/>
          <w:sz w:val="28"/>
          <w:szCs w:val="28"/>
        </w:rPr>
        <w:fldChar w:fldCharType="separate"/>
      </w:r>
      <w:r>
        <w:rPr>
          <w:rFonts w:ascii="仿宋" w:hAnsi="仿宋" w:eastAsia="仿宋"/>
          <w:sz w:val="28"/>
          <w:szCs w:val="28"/>
        </w:rPr>
        <w:t>27</w:t>
      </w:r>
      <w:r>
        <w:rPr>
          <w:rFonts w:ascii="仿宋" w:hAnsi="仿宋" w:eastAsia="仿宋"/>
          <w:sz w:val="28"/>
          <w:szCs w:val="28"/>
        </w:rPr>
        <w:fldChar w:fldCharType="end"/>
      </w:r>
      <w:r>
        <w:rPr>
          <w:rFonts w:ascii="仿宋" w:hAnsi="仿宋" w:eastAsia="仿宋"/>
          <w:sz w:val="28"/>
          <w:szCs w:val="28"/>
        </w:rPr>
        <w:fldChar w:fldCharType="end"/>
      </w:r>
    </w:p>
    <w:p>
      <w:pPr>
        <w:pStyle w:val="11"/>
        <w:ind w:left="31680"/>
        <w:rPr>
          <w:rFonts w:ascii="仿宋" w:hAnsi="仿宋" w:eastAsia="仿宋"/>
          <w:sz w:val="28"/>
          <w:szCs w:val="28"/>
        </w:rPr>
      </w:pPr>
      <w:r>
        <w:rPr>
          <w:rFonts w:hint="eastAsia" w:ascii="仿宋" w:hAnsi="仿宋" w:eastAsia="仿宋"/>
          <w:sz w:val="28"/>
          <w:szCs w:val="28"/>
        </w:rPr>
        <w:t>七、</w:t>
      </w:r>
      <w:r>
        <w:fldChar w:fldCharType="begin"/>
      </w:r>
      <w:r>
        <w:instrText xml:space="preserve"> HYPERLINK \l "_Toc15396625" </w:instrText>
      </w:r>
      <w:r>
        <w:fldChar w:fldCharType="separate"/>
      </w:r>
      <w:r>
        <w:rPr>
          <w:rStyle w:val="15"/>
          <w:rFonts w:hint="eastAsia" w:ascii="仿宋" w:hAnsi="仿宋" w:eastAsia="仿宋"/>
          <w:sz w:val="28"/>
          <w:szCs w:val="28"/>
        </w:rPr>
        <w:t>一般公共预算财政拨款支出决算明细表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_Toc15396625 \h </w:instrText>
      </w:r>
      <w:r>
        <w:rPr>
          <w:rFonts w:ascii="仿宋" w:hAnsi="仿宋" w:eastAsia="仿宋"/>
          <w:sz w:val="28"/>
          <w:szCs w:val="28"/>
        </w:rPr>
        <w:fldChar w:fldCharType="separate"/>
      </w:r>
      <w:r>
        <w:rPr>
          <w:rFonts w:ascii="仿宋" w:hAnsi="仿宋" w:eastAsia="仿宋"/>
          <w:sz w:val="28"/>
          <w:szCs w:val="28"/>
        </w:rPr>
        <w:t>27</w:t>
      </w:r>
      <w:r>
        <w:rPr>
          <w:rFonts w:ascii="仿宋" w:hAnsi="仿宋" w:eastAsia="仿宋"/>
          <w:sz w:val="28"/>
          <w:szCs w:val="28"/>
        </w:rPr>
        <w:fldChar w:fldCharType="end"/>
      </w:r>
      <w:r>
        <w:rPr>
          <w:rFonts w:ascii="仿宋" w:hAnsi="仿宋" w:eastAsia="仿宋"/>
          <w:sz w:val="28"/>
          <w:szCs w:val="28"/>
        </w:rPr>
        <w:fldChar w:fldCharType="end"/>
      </w:r>
    </w:p>
    <w:p>
      <w:pPr>
        <w:pStyle w:val="11"/>
        <w:ind w:left="31680"/>
        <w:rPr>
          <w:rFonts w:ascii="仿宋" w:hAnsi="仿宋" w:eastAsia="仿宋"/>
          <w:sz w:val="28"/>
          <w:szCs w:val="28"/>
        </w:rPr>
      </w:pPr>
      <w:r>
        <w:rPr>
          <w:rFonts w:hint="eastAsia" w:ascii="仿宋" w:hAnsi="仿宋" w:eastAsia="仿宋"/>
          <w:sz w:val="28"/>
          <w:szCs w:val="28"/>
        </w:rPr>
        <w:t>八、</w:t>
      </w:r>
      <w:r>
        <w:fldChar w:fldCharType="begin"/>
      </w:r>
      <w:r>
        <w:instrText xml:space="preserve"> HYPERLINK \l "_Toc15396626" </w:instrText>
      </w:r>
      <w:r>
        <w:fldChar w:fldCharType="separate"/>
      </w:r>
      <w:r>
        <w:rPr>
          <w:rStyle w:val="15"/>
          <w:rFonts w:hint="eastAsia" w:ascii="仿宋" w:hAnsi="仿宋" w:eastAsia="仿宋"/>
          <w:sz w:val="28"/>
          <w:szCs w:val="28"/>
        </w:rPr>
        <w:t>一般公共预算财政拨款基本支出决算表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_Toc15396626 \h </w:instrText>
      </w:r>
      <w:r>
        <w:rPr>
          <w:rFonts w:ascii="仿宋" w:hAnsi="仿宋" w:eastAsia="仿宋"/>
          <w:sz w:val="28"/>
          <w:szCs w:val="28"/>
        </w:rPr>
        <w:fldChar w:fldCharType="separate"/>
      </w:r>
      <w:r>
        <w:rPr>
          <w:rFonts w:ascii="仿宋" w:hAnsi="仿宋" w:eastAsia="仿宋"/>
          <w:sz w:val="28"/>
          <w:szCs w:val="28"/>
        </w:rPr>
        <w:t>27</w:t>
      </w:r>
      <w:r>
        <w:rPr>
          <w:rFonts w:ascii="仿宋" w:hAnsi="仿宋" w:eastAsia="仿宋"/>
          <w:sz w:val="28"/>
          <w:szCs w:val="28"/>
        </w:rPr>
        <w:fldChar w:fldCharType="end"/>
      </w:r>
      <w:r>
        <w:rPr>
          <w:rFonts w:ascii="仿宋" w:hAnsi="仿宋" w:eastAsia="仿宋"/>
          <w:sz w:val="28"/>
          <w:szCs w:val="28"/>
        </w:rPr>
        <w:fldChar w:fldCharType="end"/>
      </w:r>
    </w:p>
    <w:p>
      <w:pPr>
        <w:pStyle w:val="11"/>
        <w:ind w:left="31680"/>
        <w:rPr>
          <w:rFonts w:ascii="仿宋" w:hAnsi="仿宋" w:eastAsia="仿宋"/>
          <w:sz w:val="28"/>
          <w:szCs w:val="28"/>
        </w:rPr>
      </w:pPr>
      <w:r>
        <w:rPr>
          <w:rFonts w:hint="eastAsia" w:ascii="仿宋" w:hAnsi="仿宋" w:eastAsia="仿宋"/>
          <w:sz w:val="28"/>
          <w:szCs w:val="28"/>
        </w:rPr>
        <w:t>九、</w:t>
      </w:r>
      <w:r>
        <w:fldChar w:fldCharType="begin"/>
      </w:r>
      <w:r>
        <w:instrText xml:space="preserve"> HYPERLINK \l "_Toc15396627" </w:instrText>
      </w:r>
      <w:r>
        <w:fldChar w:fldCharType="separate"/>
      </w:r>
      <w:r>
        <w:rPr>
          <w:rStyle w:val="15"/>
          <w:rFonts w:hint="eastAsia" w:ascii="仿宋" w:hAnsi="仿宋" w:eastAsia="仿宋"/>
          <w:sz w:val="28"/>
          <w:szCs w:val="28"/>
        </w:rPr>
        <w:t>一般公共预算财政拨款项目支出决算表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_Toc15396627 \h </w:instrText>
      </w:r>
      <w:r>
        <w:rPr>
          <w:rFonts w:ascii="仿宋" w:hAnsi="仿宋" w:eastAsia="仿宋"/>
          <w:sz w:val="28"/>
          <w:szCs w:val="28"/>
        </w:rPr>
        <w:fldChar w:fldCharType="separate"/>
      </w:r>
      <w:r>
        <w:rPr>
          <w:rFonts w:ascii="仿宋" w:hAnsi="仿宋" w:eastAsia="仿宋"/>
          <w:sz w:val="28"/>
          <w:szCs w:val="28"/>
        </w:rPr>
        <w:t>27</w:t>
      </w:r>
      <w:r>
        <w:rPr>
          <w:rFonts w:ascii="仿宋" w:hAnsi="仿宋" w:eastAsia="仿宋"/>
          <w:sz w:val="28"/>
          <w:szCs w:val="28"/>
        </w:rPr>
        <w:fldChar w:fldCharType="end"/>
      </w:r>
      <w:r>
        <w:rPr>
          <w:rFonts w:ascii="仿宋" w:hAnsi="仿宋" w:eastAsia="仿宋"/>
          <w:sz w:val="28"/>
          <w:szCs w:val="28"/>
        </w:rPr>
        <w:fldChar w:fldCharType="end"/>
      </w:r>
    </w:p>
    <w:p>
      <w:pPr>
        <w:pStyle w:val="11"/>
        <w:ind w:left="31680"/>
        <w:rPr>
          <w:rFonts w:ascii="仿宋" w:hAnsi="仿宋" w:eastAsia="仿宋"/>
          <w:sz w:val="28"/>
          <w:szCs w:val="28"/>
        </w:rPr>
      </w:pPr>
      <w:r>
        <w:rPr>
          <w:rFonts w:hint="eastAsia" w:ascii="仿宋" w:hAnsi="仿宋" w:eastAsia="仿宋"/>
          <w:sz w:val="28"/>
          <w:szCs w:val="28"/>
        </w:rPr>
        <w:t>十、</w:t>
      </w:r>
      <w:r>
        <w:fldChar w:fldCharType="begin"/>
      </w:r>
      <w:r>
        <w:instrText xml:space="preserve"> HYPERLINK \l "_Toc15396628" </w:instrText>
      </w:r>
      <w:r>
        <w:fldChar w:fldCharType="separate"/>
      </w:r>
      <w:r>
        <w:rPr>
          <w:rStyle w:val="15"/>
          <w:rFonts w:hint="eastAsia" w:ascii="仿宋" w:hAnsi="仿宋" w:eastAsia="仿宋"/>
          <w:sz w:val="28"/>
          <w:szCs w:val="28"/>
        </w:rPr>
        <w:t>一般公共预算财政拨款“三公”经费支出决算表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_Toc15396628 \h </w:instrText>
      </w:r>
      <w:r>
        <w:rPr>
          <w:rFonts w:ascii="仿宋" w:hAnsi="仿宋" w:eastAsia="仿宋"/>
          <w:sz w:val="28"/>
          <w:szCs w:val="28"/>
        </w:rPr>
        <w:fldChar w:fldCharType="separate"/>
      </w:r>
      <w:r>
        <w:rPr>
          <w:rFonts w:ascii="仿宋" w:hAnsi="仿宋" w:eastAsia="仿宋"/>
          <w:sz w:val="28"/>
          <w:szCs w:val="28"/>
        </w:rPr>
        <w:t>27</w:t>
      </w:r>
      <w:r>
        <w:rPr>
          <w:rFonts w:ascii="仿宋" w:hAnsi="仿宋" w:eastAsia="仿宋"/>
          <w:sz w:val="28"/>
          <w:szCs w:val="28"/>
        </w:rPr>
        <w:fldChar w:fldCharType="end"/>
      </w:r>
      <w:r>
        <w:rPr>
          <w:rFonts w:ascii="仿宋" w:hAnsi="仿宋" w:eastAsia="仿宋"/>
          <w:sz w:val="28"/>
          <w:szCs w:val="28"/>
        </w:rPr>
        <w:fldChar w:fldCharType="end"/>
      </w:r>
    </w:p>
    <w:p>
      <w:pPr>
        <w:pStyle w:val="11"/>
        <w:ind w:left="31680"/>
        <w:rPr>
          <w:rFonts w:ascii="仿宋" w:hAnsi="仿宋" w:eastAsia="仿宋"/>
          <w:sz w:val="28"/>
          <w:szCs w:val="28"/>
        </w:rPr>
      </w:pPr>
      <w:r>
        <w:rPr>
          <w:rFonts w:hint="eastAsia" w:ascii="仿宋" w:hAnsi="仿宋" w:eastAsia="仿宋"/>
          <w:sz w:val="28"/>
          <w:szCs w:val="28"/>
        </w:rPr>
        <w:t>十一、</w:t>
      </w:r>
      <w:r>
        <w:fldChar w:fldCharType="begin"/>
      </w:r>
      <w:r>
        <w:instrText xml:space="preserve"> HYPERLINK \l "_Toc15396629" </w:instrText>
      </w:r>
      <w:r>
        <w:fldChar w:fldCharType="separate"/>
      </w:r>
      <w:r>
        <w:rPr>
          <w:rStyle w:val="15"/>
          <w:rFonts w:hint="eastAsia" w:ascii="仿宋" w:hAnsi="仿宋" w:eastAsia="仿宋"/>
          <w:sz w:val="28"/>
          <w:szCs w:val="28"/>
        </w:rPr>
        <w:t>政府性基金预算财政拨款收入支出决算表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_Toc15396629 \h </w:instrText>
      </w:r>
      <w:r>
        <w:rPr>
          <w:rFonts w:ascii="仿宋" w:hAnsi="仿宋" w:eastAsia="仿宋"/>
          <w:sz w:val="28"/>
          <w:szCs w:val="28"/>
        </w:rPr>
        <w:fldChar w:fldCharType="separate"/>
      </w:r>
      <w:r>
        <w:rPr>
          <w:rFonts w:ascii="仿宋" w:hAnsi="仿宋" w:eastAsia="仿宋"/>
          <w:sz w:val="28"/>
          <w:szCs w:val="28"/>
        </w:rPr>
        <w:t>27</w:t>
      </w:r>
      <w:r>
        <w:rPr>
          <w:rFonts w:ascii="仿宋" w:hAnsi="仿宋" w:eastAsia="仿宋"/>
          <w:sz w:val="28"/>
          <w:szCs w:val="28"/>
        </w:rPr>
        <w:fldChar w:fldCharType="end"/>
      </w:r>
      <w:r>
        <w:rPr>
          <w:rFonts w:ascii="仿宋" w:hAnsi="仿宋" w:eastAsia="仿宋"/>
          <w:sz w:val="28"/>
          <w:szCs w:val="28"/>
        </w:rPr>
        <w:fldChar w:fldCharType="end"/>
      </w:r>
    </w:p>
    <w:p>
      <w:pPr>
        <w:pStyle w:val="11"/>
        <w:ind w:left="31680"/>
        <w:rPr>
          <w:rFonts w:ascii="仿宋" w:hAnsi="仿宋" w:eastAsia="仿宋"/>
          <w:sz w:val="28"/>
          <w:szCs w:val="28"/>
        </w:rPr>
      </w:pPr>
      <w:r>
        <w:rPr>
          <w:rFonts w:hint="eastAsia" w:ascii="仿宋" w:hAnsi="仿宋" w:eastAsia="仿宋"/>
          <w:sz w:val="28"/>
          <w:szCs w:val="28"/>
        </w:rPr>
        <w:t>十二、</w:t>
      </w:r>
      <w:r>
        <w:fldChar w:fldCharType="begin"/>
      </w:r>
      <w:r>
        <w:instrText xml:space="preserve"> HYPERLINK \l "_Toc15396630" </w:instrText>
      </w:r>
      <w:r>
        <w:fldChar w:fldCharType="separate"/>
      </w:r>
      <w:r>
        <w:rPr>
          <w:rStyle w:val="15"/>
          <w:rFonts w:hint="eastAsia" w:ascii="仿宋" w:hAnsi="仿宋" w:eastAsia="仿宋"/>
          <w:sz w:val="28"/>
          <w:szCs w:val="28"/>
        </w:rPr>
        <w:t>政府性基金预算财政拨款“三公”经费支出决算表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_Toc15396630 \h </w:instrText>
      </w:r>
      <w:r>
        <w:rPr>
          <w:rFonts w:ascii="仿宋" w:hAnsi="仿宋" w:eastAsia="仿宋"/>
          <w:sz w:val="28"/>
          <w:szCs w:val="28"/>
        </w:rPr>
        <w:fldChar w:fldCharType="separate"/>
      </w:r>
      <w:r>
        <w:rPr>
          <w:rFonts w:ascii="仿宋" w:hAnsi="仿宋" w:eastAsia="仿宋"/>
          <w:sz w:val="28"/>
          <w:szCs w:val="28"/>
        </w:rPr>
        <w:t>27</w:t>
      </w:r>
      <w:r>
        <w:rPr>
          <w:rFonts w:ascii="仿宋" w:hAnsi="仿宋" w:eastAsia="仿宋"/>
          <w:sz w:val="28"/>
          <w:szCs w:val="28"/>
        </w:rPr>
        <w:fldChar w:fldCharType="end"/>
      </w:r>
      <w:r>
        <w:rPr>
          <w:rFonts w:ascii="仿宋" w:hAnsi="仿宋" w:eastAsia="仿宋"/>
          <w:sz w:val="28"/>
          <w:szCs w:val="28"/>
        </w:rPr>
        <w:fldChar w:fldCharType="end"/>
      </w:r>
    </w:p>
    <w:p>
      <w:pPr>
        <w:pStyle w:val="11"/>
        <w:ind w:left="31680"/>
        <w:rPr>
          <w:rFonts w:ascii="仿宋" w:hAnsi="仿宋" w:eastAsia="仿宋"/>
          <w:sz w:val="24"/>
        </w:rPr>
      </w:pPr>
      <w:r>
        <w:rPr>
          <w:rFonts w:hint="eastAsia" w:ascii="仿宋" w:hAnsi="仿宋" w:eastAsia="仿宋"/>
          <w:sz w:val="28"/>
          <w:szCs w:val="28"/>
        </w:rPr>
        <w:t>十三、</w:t>
      </w:r>
      <w:r>
        <w:fldChar w:fldCharType="begin"/>
      </w:r>
      <w:r>
        <w:instrText xml:space="preserve"> HYPERLINK \l "_Toc15396631" </w:instrText>
      </w:r>
      <w:r>
        <w:fldChar w:fldCharType="separate"/>
      </w:r>
      <w:r>
        <w:rPr>
          <w:rStyle w:val="15"/>
          <w:rFonts w:hint="eastAsia" w:ascii="仿宋" w:hAnsi="仿宋" w:eastAsia="仿宋"/>
          <w:sz w:val="28"/>
          <w:szCs w:val="28"/>
        </w:rPr>
        <w:t>国有资本经营预算支出决算表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_Toc15396631 \h </w:instrText>
      </w:r>
      <w:r>
        <w:rPr>
          <w:rFonts w:ascii="仿宋" w:hAnsi="仿宋" w:eastAsia="仿宋"/>
          <w:sz w:val="28"/>
          <w:szCs w:val="28"/>
        </w:rPr>
        <w:fldChar w:fldCharType="separate"/>
      </w:r>
      <w:r>
        <w:rPr>
          <w:rFonts w:ascii="仿宋" w:hAnsi="仿宋" w:eastAsia="仿宋"/>
          <w:sz w:val="28"/>
          <w:szCs w:val="28"/>
        </w:rPr>
        <w:t>27</w:t>
      </w:r>
      <w:r>
        <w:rPr>
          <w:rFonts w:ascii="仿宋" w:hAnsi="仿宋" w:eastAsia="仿宋"/>
          <w:sz w:val="28"/>
          <w:szCs w:val="28"/>
        </w:rPr>
        <w:fldChar w:fldCharType="end"/>
      </w:r>
      <w:r>
        <w:rPr>
          <w:rFonts w:ascii="仿宋" w:hAnsi="仿宋" w:eastAsia="仿宋"/>
          <w:sz w:val="28"/>
          <w:szCs w:val="28"/>
        </w:rPr>
        <w:fldChar w:fldCharType="end"/>
      </w:r>
    </w:p>
    <w:p>
      <w:pPr>
        <w:widowControl/>
        <w:jc w:val="left"/>
        <w:rPr>
          <w:rFonts w:ascii="仿宋" w:hAnsi="仿宋" w:eastAsia="仿宋"/>
          <w:color w:val="000000"/>
          <w:sz w:val="24"/>
        </w:rPr>
      </w:pPr>
      <w:r>
        <w:rPr>
          <w:rFonts w:ascii="黑体" w:hAnsi="黑体" w:eastAsia="黑体"/>
          <w:color w:val="000000"/>
          <w:sz w:val="48"/>
          <w:szCs w:val="48"/>
        </w:rPr>
        <w:fldChar w:fldCharType="end"/>
      </w:r>
    </w:p>
    <w:p>
      <w:pPr>
        <w:widowControl/>
        <w:jc w:val="left"/>
        <w:rPr>
          <w:rFonts w:ascii="黑体" w:hAnsi="黑体" w:eastAsia="黑体"/>
          <w:bCs/>
          <w:kern w:val="44"/>
          <w:sz w:val="44"/>
          <w:szCs w:val="44"/>
        </w:rPr>
      </w:pPr>
      <w:bookmarkStart w:id="12" w:name="_Toc15396599"/>
      <w:bookmarkStart w:id="13" w:name="_Toc15377196"/>
      <w:r>
        <w:rPr>
          <w:rFonts w:ascii="黑体" w:hAnsi="黑体" w:eastAsia="黑体"/>
          <w:b/>
        </w:rPr>
        <w:br w:type="page"/>
      </w:r>
    </w:p>
    <w:p>
      <w:pPr>
        <w:pStyle w:val="2"/>
        <w:jc w:val="center"/>
        <w:rPr>
          <w:rStyle w:val="17"/>
          <w:rFonts w:ascii="黑体" w:hAnsi="黑体" w:eastAsia="黑体"/>
          <w:b/>
          <w:bCs w:val="0"/>
        </w:rPr>
      </w:pPr>
      <w:r>
        <w:rPr>
          <w:rFonts w:hint="eastAsia" w:ascii="黑体" w:hAnsi="黑体" w:eastAsia="黑体"/>
          <w:b w:val="0"/>
        </w:rPr>
        <w:t>第一部分</w:t>
      </w:r>
      <w:r>
        <w:rPr>
          <w:rFonts w:ascii="黑体" w:hAnsi="黑体" w:eastAsia="黑体"/>
          <w:b w:val="0"/>
        </w:rPr>
        <w:t xml:space="preserve"> </w:t>
      </w:r>
      <w:r>
        <w:rPr>
          <w:rStyle w:val="17"/>
          <w:rFonts w:hint="eastAsia" w:ascii="黑体" w:hAnsi="黑体" w:eastAsia="黑体"/>
          <w:b w:val="0"/>
          <w:bCs w:val="0"/>
        </w:rPr>
        <w:t>部门概况</w:t>
      </w:r>
      <w:bookmarkEnd w:id="12"/>
      <w:bookmarkEnd w:id="13"/>
    </w:p>
    <w:p>
      <w:pPr>
        <w:widowControl/>
        <w:jc w:val="left"/>
        <w:rPr>
          <w:rFonts w:ascii="黑体" w:eastAsia="黑体"/>
          <w:color w:val="000000"/>
          <w:sz w:val="32"/>
          <w:szCs w:val="32"/>
        </w:rPr>
      </w:pPr>
    </w:p>
    <w:p>
      <w:pPr>
        <w:pStyle w:val="3"/>
        <w:rPr>
          <w:rStyle w:val="18"/>
          <w:rFonts w:ascii="仿宋" w:hAnsi="仿宋" w:eastAsia="仿宋"/>
          <w:b w:val="0"/>
          <w:bCs w:val="0"/>
        </w:rPr>
      </w:pPr>
      <w:bookmarkStart w:id="14" w:name="_Toc15377197"/>
      <w:bookmarkStart w:id="15" w:name="_Toc15396600"/>
      <w:r>
        <w:rPr>
          <w:rFonts w:hint="eastAsia" w:ascii="黑体" w:hAnsi="黑体" w:eastAsia="黑体"/>
          <w:b w:val="0"/>
          <w:color w:val="000000"/>
        </w:rPr>
        <w:t>一、基</w:t>
      </w:r>
      <w:r>
        <w:rPr>
          <w:rStyle w:val="18"/>
          <w:rFonts w:hint="eastAsia" w:ascii="黑体" w:hAnsi="黑体" w:eastAsia="黑体"/>
          <w:b w:val="0"/>
          <w:bCs w:val="0"/>
        </w:rPr>
        <w:t>本职能及主要工作</w:t>
      </w:r>
      <w:bookmarkEnd w:id="14"/>
      <w:bookmarkEnd w:id="15"/>
    </w:p>
    <w:p>
      <w:pPr>
        <w:pStyle w:val="5"/>
        <w:adjustRightInd w:val="0"/>
        <w:snapToGrid w:val="0"/>
        <w:spacing w:before="93" w:line="600" w:lineRule="exact"/>
        <w:ind w:firstLine="672" w:firstLineChars="210"/>
        <w:outlineLvl w:val="2"/>
        <w:rPr>
          <w:rFonts w:ascii="仿宋" w:hAnsi="仿宋" w:eastAsia="仿宋"/>
          <w:bCs/>
          <w:color w:val="000000"/>
          <w:sz w:val="32"/>
          <w:szCs w:val="32"/>
        </w:rPr>
      </w:pPr>
    </w:p>
    <w:p>
      <w:pPr>
        <w:pStyle w:val="5"/>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（一）贯彻执行中央和省、州、县有关意识形态方面的方针政策，制定全县宣传文化、精神文明建设工作的总体规划并组织实施。</w:t>
      </w:r>
    </w:p>
    <w:p>
      <w:pPr>
        <w:pStyle w:val="5"/>
        <w:adjustRightInd w:val="0"/>
        <w:snapToGrid w:val="0"/>
        <w:spacing w:before="93" w:line="600" w:lineRule="exact"/>
        <w:ind w:firstLine="672" w:firstLineChars="210"/>
        <w:outlineLvl w:val="2"/>
        <w:rPr>
          <w:rFonts w:ascii="仿宋" w:hAnsi="仿宋" w:eastAsia="仿宋"/>
          <w:bCs/>
          <w:color w:val="000000"/>
          <w:sz w:val="32"/>
          <w:szCs w:val="32"/>
        </w:rPr>
      </w:pPr>
    </w:p>
    <w:p>
      <w:pPr>
        <w:pStyle w:val="12"/>
        <w:shd w:val="clear" w:color="auto" w:fill="FFFFFF"/>
        <w:spacing w:before="0" w:beforeAutospacing="0" w:after="360" w:afterAutospacing="0" w:line="560" w:lineRule="exact"/>
        <w:ind w:firstLine="480"/>
        <w:rPr>
          <w:rFonts w:ascii="仿宋_GB2312" w:eastAsia="仿宋_GB2312"/>
          <w:sz w:val="32"/>
          <w:szCs w:val="32"/>
        </w:rPr>
      </w:pPr>
      <w:r>
        <w:rPr>
          <w:rFonts w:hint="eastAsia" w:ascii="仿宋" w:hAnsi="仿宋" w:eastAsia="仿宋"/>
          <w:bCs/>
          <w:color w:val="000000"/>
          <w:sz w:val="32"/>
          <w:szCs w:val="32"/>
        </w:rPr>
        <w:t>（二）负责组织党的中心任务和路线、方针、政策的宣传，国际国内形势的宣传；负责指导、组织和协调对全县</w:t>
      </w:r>
      <w:r>
        <w:rPr>
          <w:rFonts w:hint="eastAsia" w:ascii="仿宋_GB2312" w:eastAsia="仿宋_GB2312"/>
          <w:sz w:val="32"/>
          <w:szCs w:val="32"/>
        </w:rPr>
        <w:t>经济社会发展战略、重大经济政策、重大经济活动的宣传；代管县文学艺术界联合会，并在政治方向和方针政策方面实施领导；会同有关部门负责对群众进行思想教育工作。</w:t>
      </w:r>
    </w:p>
    <w:p>
      <w:pPr>
        <w:pStyle w:val="12"/>
        <w:shd w:val="clear" w:color="auto" w:fill="FFFFFF"/>
        <w:spacing w:before="0" w:beforeAutospacing="0" w:after="0" w:afterAutospacing="0" w:line="560" w:lineRule="exact"/>
        <w:ind w:firstLine="480"/>
        <w:rPr>
          <w:rFonts w:ascii="仿宋_GB2312" w:eastAsia="仿宋_GB2312"/>
          <w:sz w:val="32"/>
          <w:szCs w:val="32"/>
        </w:rPr>
      </w:pPr>
      <w:r>
        <w:rPr>
          <w:rFonts w:hint="eastAsia" w:ascii="仿宋" w:hAnsi="仿宋" w:eastAsia="仿宋"/>
          <w:bCs/>
          <w:color w:val="000000"/>
          <w:sz w:val="32"/>
          <w:szCs w:val="32"/>
        </w:rPr>
        <w:t>（三）</w:t>
      </w:r>
      <w:r>
        <w:rPr>
          <w:rFonts w:hint="eastAsia" w:ascii="仿宋_GB2312" w:eastAsia="仿宋_GB2312"/>
          <w:sz w:val="32"/>
          <w:szCs w:val="32"/>
        </w:rPr>
        <w:t>负责组织、指导全县各级党组织理论教育、</w:t>
      </w:r>
      <w:r>
        <w:fldChar w:fldCharType="begin"/>
      </w:r>
      <w:r>
        <w:instrText xml:space="preserve"> HYPERLINK "http://www.oh100.com/zuowen/xuexi/" \t "_blank" </w:instrText>
      </w:r>
      <w:r>
        <w:fldChar w:fldCharType="separate"/>
      </w:r>
      <w:r>
        <w:rPr>
          <w:rFonts w:hint="eastAsia" w:ascii="仿宋_GB2312" w:eastAsia="仿宋_GB2312"/>
          <w:sz w:val="32"/>
          <w:szCs w:val="32"/>
        </w:rPr>
        <w:t>学习</w:t>
      </w:r>
      <w:r>
        <w:rPr>
          <w:rFonts w:hint="eastAsia" w:ascii="仿宋_GB2312" w:eastAsia="仿宋_GB2312"/>
          <w:sz w:val="32"/>
          <w:szCs w:val="32"/>
        </w:rPr>
        <w:fldChar w:fldCharType="end"/>
      </w:r>
      <w:r>
        <w:rPr>
          <w:rFonts w:hint="eastAsia" w:ascii="仿宋_GB2312" w:eastAsia="仿宋_GB2312"/>
          <w:sz w:val="32"/>
          <w:szCs w:val="32"/>
        </w:rPr>
        <w:t>、宣传、研究工作；会同有关部门做好党员、干部的教育工作。</w:t>
      </w:r>
    </w:p>
    <w:p>
      <w:pPr>
        <w:pStyle w:val="12"/>
        <w:shd w:val="clear" w:color="auto" w:fill="FFFFFF"/>
        <w:spacing w:before="0" w:beforeAutospacing="0" w:after="0" w:afterAutospacing="0" w:line="560" w:lineRule="exact"/>
        <w:ind w:firstLine="480"/>
        <w:rPr>
          <w:rFonts w:ascii="仿宋_GB2312" w:eastAsia="仿宋_GB2312"/>
          <w:sz w:val="32"/>
          <w:szCs w:val="32"/>
        </w:rPr>
      </w:pPr>
    </w:p>
    <w:p>
      <w:pPr>
        <w:pStyle w:val="12"/>
        <w:shd w:val="clear" w:color="auto" w:fill="FFFFFF"/>
        <w:spacing w:before="0" w:beforeAutospacing="0" w:after="360" w:afterAutospacing="0" w:line="560" w:lineRule="exact"/>
        <w:ind w:firstLine="480"/>
        <w:rPr>
          <w:rFonts w:ascii="仿宋_GB2312" w:eastAsia="仿宋_GB2312"/>
          <w:sz w:val="32"/>
          <w:szCs w:val="32"/>
        </w:rPr>
      </w:pPr>
      <w:r>
        <w:rPr>
          <w:rFonts w:hint="eastAsia" w:ascii="仿宋" w:hAnsi="仿宋" w:eastAsia="仿宋"/>
          <w:bCs/>
          <w:color w:val="000000"/>
          <w:sz w:val="32"/>
          <w:szCs w:val="32"/>
        </w:rPr>
        <w:t>（四）</w:t>
      </w:r>
      <w:r>
        <w:rPr>
          <w:rFonts w:hint="eastAsia" w:ascii="仿宋_GB2312" w:eastAsia="仿宋_GB2312"/>
          <w:sz w:val="32"/>
          <w:szCs w:val="32"/>
        </w:rPr>
        <w:t>负责舆论导向，规划和宏观指导精神产品的生产和文化艺术工作，保证党的文艺方针政策的贯彻执行；代管县文学艺术界联合会；把握正确舆</w:t>
      </w:r>
      <w:r>
        <w:rPr>
          <w:rFonts w:ascii="仿宋_GB2312" w:eastAsia="仿宋_GB2312"/>
          <w:sz w:val="32"/>
          <w:szCs w:val="32"/>
        </w:rPr>
        <w:t>-</w:t>
      </w:r>
      <w:r>
        <w:rPr>
          <w:rFonts w:hint="eastAsia" w:ascii="仿宋_GB2312" w:eastAsia="仿宋_GB2312"/>
          <w:sz w:val="32"/>
          <w:szCs w:val="32"/>
        </w:rPr>
        <w:t>论导向，做好县内新闻媒体、县外媒体的联系、协调，掌握研判舆情信息，为县域经济发展提供积极舆</w:t>
      </w:r>
      <w:r>
        <w:rPr>
          <w:rFonts w:ascii="仿宋_GB2312" w:eastAsia="仿宋_GB2312"/>
          <w:sz w:val="32"/>
          <w:szCs w:val="32"/>
        </w:rPr>
        <w:t>-</w:t>
      </w:r>
      <w:r>
        <w:rPr>
          <w:rFonts w:hint="eastAsia" w:ascii="仿宋_GB2312" w:eastAsia="仿宋_GB2312"/>
          <w:sz w:val="32"/>
          <w:szCs w:val="32"/>
        </w:rPr>
        <w:t>论支持。</w:t>
      </w:r>
    </w:p>
    <w:p>
      <w:pPr>
        <w:pStyle w:val="12"/>
        <w:shd w:val="clear" w:color="auto" w:fill="FFFFFF"/>
        <w:spacing w:before="0" w:beforeAutospacing="0" w:after="360" w:afterAutospacing="0" w:line="560" w:lineRule="exact"/>
        <w:ind w:firstLine="480"/>
        <w:rPr>
          <w:rFonts w:ascii="仿宋_GB2312" w:eastAsia="仿宋_GB2312"/>
          <w:sz w:val="32"/>
          <w:szCs w:val="32"/>
        </w:rPr>
      </w:pPr>
      <w:r>
        <w:rPr>
          <w:rFonts w:hint="eastAsia" w:ascii="仿宋" w:hAnsi="仿宋" w:eastAsia="仿宋"/>
          <w:bCs/>
          <w:color w:val="000000"/>
          <w:sz w:val="32"/>
          <w:szCs w:val="32"/>
        </w:rPr>
        <w:t>（五）</w:t>
      </w:r>
      <w:r>
        <w:rPr>
          <w:rFonts w:hint="eastAsia" w:ascii="仿宋_GB2312" w:eastAsia="仿宋_GB2312"/>
          <w:sz w:val="32"/>
          <w:szCs w:val="32"/>
        </w:rPr>
        <w:t>宏观指导、部署企业的思想政治工作，负责企业单位思想政治工作人员</w:t>
      </w:r>
      <w:r>
        <w:fldChar w:fldCharType="begin"/>
      </w:r>
      <w:r>
        <w:instrText xml:space="preserve"> HYPERLINK "http://www.oh100.com/jiaoyu/daxuezhuanye/" \t "_blank" </w:instrText>
      </w:r>
      <w:r>
        <w:fldChar w:fldCharType="separate"/>
      </w:r>
      <w:r>
        <w:rPr>
          <w:rFonts w:hint="eastAsia" w:ascii="仿宋_GB2312" w:eastAsia="仿宋_GB2312"/>
          <w:sz w:val="32"/>
          <w:szCs w:val="32"/>
        </w:rPr>
        <w:t>专业</w:t>
      </w:r>
      <w:r>
        <w:rPr>
          <w:rFonts w:hint="eastAsia" w:ascii="仿宋_GB2312" w:eastAsia="仿宋_GB2312"/>
          <w:sz w:val="32"/>
          <w:szCs w:val="32"/>
        </w:rPr>
        <w:fldChar w:fldCharType="end"/>
      </w:r>
      <w:r>
        <w:rPr>
          <w:rFonts w:hint="eastAsia" w:ascii="仿宋_GB2312" w:eastAsia="仿宋_GB2312"/>
          <w:sz w:val="32"/>
          <w:szCs w:val="32"/>
        </w:rPr>
        <w:t>职务评定、考核和培训工作，指导全县职工思想政治工作的开展。</w:t>
      </w:r>
    </w:p>
    <w:p>
      <w:pPr>
        <w:pStyle w:val="12"/>
        <w:shd w:val="clear" w:color="auto" w:fill="FFFFFF"/>
        <w:spacing w:before="0" w:beforeAutospacing="0" w:after="360" w:afterAutospacing="0" w:line="560" w:lineRule="exact"/>
        <w:ind w:firstLine="480"/>
        <w:rPr>
          <w:rFonts w:ascii="仿宋_GB2312" w:eastAsia="仿宋_GB2312"/>
          <w:sz w:val="32"/>
          <w:szCs w:val="32"/>
        </w:rPr>
      </w:pPr>
      <w:r>
        <w:rPr>
          <w:rFonts w:hint="eastAsia" w:ascii="仿宋" w:hAnsi="仿宋" w:eastAsia="仿宋"/>
          <w:bCs/>
          <w:color w:val="000000"/>
          <w:sz w:val="32"/>
          <w:szCs w:val="32"/>
        </w:rPr>
        <w:t>（六）</w:t>
      </w:r>
      <w:r>
        <w:rPr>
          <w:rFonts w:hint="eastAsia" w:ascii="仿宋_GB2312" w:eastAsia="仿宋_GB2312"/>
          <w:sz w:val="32"/>
          <w:szCs w:val="32"/>
        </w:rPr>
        <w:t>负责全县精神文明建设工作的规划和组织实施；负责组织、协调、指导和监督全县各类群众性精神文明创建活动；承担全县精神文明建设指导委员会办公室的日常工作。</w:t>
      </w:r>
    </w:p>
    <w:p>
      <w:pPr>
        <w:pStyle w:val="12"/>
        <w:shd w:val="clear" w:color="auto" w:fill="FFFFFF"/>
        <w:spacing w:before="0" w:beforeAutospacing="0" w:after="360" w:afterAutospacing="0" w:line="560" w:lineRule="exact"/>
        <w:ind w:firstLine="480"/>
        <w:rPr>
          <w:rFonts w:ascii="仿宋_GB2312" w:eastAsia="仿宋_GB2312"/>
          <w:sz w:val="32"/>
          <w:szCs w:val="32"/>
        </w:rPr>
      </w:pPr>
      <w:r>
        <w:rPr>
          <w:rFonts w:hint="eastAsia" w:ascii="仿宋" w:hAnsi="仿宋" w:eastAsia="仿宋"/>
          <w:bCs/>
          <w:color w:val="000000"/>
          <w:sz w:val="32"/>
          <w:szCs w:val="32"/>
        </w:rPr>
        <w:t>（七）</w:t>
      </w:r>
      <w:r>
        <w:rPr>
          <w:rFonts w:hint="eastAsia" w:ascii="仿宋_GB2312" w:eastAsia="仿宋_GB2312"/>
          <w:sz w:val="32"/>
          <w:szCs w:val="32"/>
        </w:rPr>
        <w:t>指导和协调、组织对外宣传工作；并协调有关部门做好外来记者到我县采访报道的管理工作；做好全县宣传制品的审批工作；检查督促全县对外宣传纪律的执行；策划组织大型外宣活动。</w:t>
      </w:r>
    </w:p>
    <w:p>
      <w:pPr>
        <w:pStyle w:val="12"/>
        <w:shd w:val="clear" w:color="auto" w:fill="FFFFFF"/>
        <w:spacing w:before="0" w:beforeAutospacing="0" w:after="360" w:afterAutospacing="0" w:line="560" w:lineRule="exact"/>
        <w:ind w:firstLine="480"/>
        <w:rPr>
          <w:rFonts w:ascii="仿宋_GB2312" w:eastAsia="仿宋_GB2312"/>
          <w:sz w:val="32"/>
          <w:szCs w:val="32"/>
        </w:rPr>
      </w:pPr>
      <w:r>
        <w:rPr>
          <w:rFonts w:hint="eastAsia" w:ascii="仿宋" w:hAnsi="仿宋" w:eastAsia="仿宋"/>
          <w:bCs/>
          <w:color w:val="000000"/>
          <w:sz w:val="32"/>
          <w:szCs w:val="32"/>
        </w:rPr>
        <w:t>（八）</w:t>
      </w:r>
      <w:r>
        <w:rPr>
          <w:rFonts w:hint="eastAsia" w:ascii="仿宋_GB2312" w:eastAsia="仿宋_GB2312"/>
          <w:sz w:val="32"/>
          <w:szCs w:val="32"/>
        </w:rPr>
        <w:t>总结经验、反映情况，为县委决策提供依据。完成县委和上级宣传部门交办的其它工作任务。</w:t>
      </w:r>
    </w:p>
    <w:p>
      <w:pPr>
        <w:pStyle w:val="5"/>
        <w:adjustRightInd w:val="0"/>
        <w:snapToGrid w:val="0"/>
        <w:spacing w:before="93" w:line="600" w:lineRule="exact"/>
        <w:outlineLvl w:val="2"/>
        <w:rPr>
          <w:rFonts w:ascii="仿宋" w:hAnsi="仿宋" w:eastAsia="仿宋"/>
          <w:bCs/>
          <w:color w:val="000000"/>
          <w:sz w:val="32"/>
          <w:szCs w:val="32"/>
        </w:rPr>
      </w:pPr>
    </w:p>
    <w:p>
      <w:pPr>
        <w:pStyle w:val="3"/>
        <w:rPr>
          <w:rFonts w:ascii="黑体" w:hAnsi="黑体" w:eastAsia="黑体"/>
          <w:b w:val="0"/>
          <w:color w:val="000000"/>
        </w:rPr>
      </w:pPr>
      <w:bookmarkStart w:id="16" w:name="_Toc15377199"/>
      <w:bookmarkStart w:id="17" w:name="_Toc15378446"/>
      <w:r>
        <w:rPr>
          <w:rFonts w:hint="eastAsia" w:ascii="黑体" w:hAnsi="黑体" w:eastAsia="黑体"/>
          <w:b w:val="0"/>
          <w:color w:val="000000"/>
        </w:rPr>
        <w:t>二、</w:t>
      </w:r>
      <w:r>
        <w:rPr>
          <w:rFonts w:ascii="黑体" w:hAnsi="黑体" w:eastAsia="黑体"/>
          <w:b w:val="0"/>
          <w:color w:val="000000"/>
        </w:rPr>
        <w:t>2018</w:t>
      </w:r>
      <w:r>
        <w:rPr>
          <w:rFonts w:hint="eastAsia" w:ascii="黑体" w:hAnsi="黑体" w:eastAsia="黑体"/>
          <w:b w:val="0"/>
          <w:color w:val="000000"/>
        </w:rPr>
        <w:t>年重点工作完成情况。</w:t>
      </w:r>
      <w:bookmarkEnd w:id="16"/>
      <w:bookmarkEnd w:id="17"/>
    </w:p>
    <w:p>
      <w:pPr>
        <w:snapToGrid w:val="0"/>
        <w:ind w:firstLine="320" w:firstLineChars="100"/>
        <w:rPr>
          <w:rFonts w:ascii="仿宋_GB2312" w:hAnsi="仿宋_GB2312" w:eastAsia="仿宋_GB2312" w:cs="仿宋_GB2312"/>
          <w:b/>
          <w:bCs/>
          <w:sz w:val="32"/>
          <w:szCs w:val="32"/>
        </w:rPr>
      </w:pPr>
      <w:r>
        <w:rPr>
          <w:rFonts w:hint="eastAsia" w:ascii="仿宋" w:hAnsi="仿宋" w:eastAsia="仿宋"/>
          <w:bCs/>
          <w:color w:val="000000"/>
          <w:sz w:val="32"/>
          <w:szCs w:val="32"/>
        </w:rPr>
        <w:t>（一）</w:t>
      </w:r>
      <w:r>
        <w:rPr>
          <w:rFonts w:hint="eastAsia" w:ascii="仿宋_GB2312" w:hAnsi="仿宋_GB2312" w:eastAsia="仿宋_GB2312" w:cs="仿宋_GB2312"/>
          <w:sz w:val="32"/>
          <w:szCs w:val="32"/>
        </w:rPr>
        <w:t>巩固政治思想根基，大力推动习近平新时代中国特色社会主义思想和党的十九大精神深入人心。</w:t>
      </w:r>
    </w:p>
    <w:p>
      <w:pPr>
        <w:snapToGrid w:val="0"/>
        <w:spacing w:line="520" w:lineRule="exact"/>
        <w:ind w:firstLine="640" w:firstLineChars="200"/>
        <w:rPr>
          <w:rFonts w:ascii="仿宋_GB2312" w:hAnsi="仿宋_GB2312" w:eastAsia="仿宋_GB2312" w:cs="仿宋_GB2312"/>
          <w:b/>
          <w:bCs/>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．是持续深化理论学习，坚定信仰追求</w:t>
      </w:r>
      <w:r>
        <w:rPr>
          <w:rFonts w:hint="eastAsia" w:ascii="仿宋_GB2312" w:hAnsi="仿宋_GB2312" w:eastAsia="仿宋_GB2312" w:cs="仿宋_GB2312"/>
          <w:b/>
          <w:bCs/>
          <w:sz w:val="32"/>
          <w:szCs w:val="32"/>
        </w:rPr>
        <w:t>。</w:t>
      </w:r>
    </w:p>
    <w:p>
      <w:pPr>
        <w:snapToGrid w:val="0"/>
        <w:spacing w:line="52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．是扎实推进双语宣讲，理论深入人心。</w:t>
      </w:r>
    </w:p>
    <w:p>
      <w:pPr>
        <w:snapToGrid w:val="0"/>
        <w:spacing w:line="52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．是深入开展理论研究，指导工作实践。</w:t>
      </w:r>
    </w:p>
    <w:p>
      <w:pPr>
        <w:snapToGrid w:val="0"/>
        <w:spacing w:line="520" w:lineRule="exact"/>
        <w:ind w:firstLine="640" w:firstLineChars="200"/>
        <w:rPr>
          <w:rFonts w:ascii="仿宋_GB2312" w:hAnsi="仿宋_GB2312" w:eastAsia="仿宋_GB2312" w:cs="仿宋_GB2312"/>
          <w:sz w:val="32"/>
          <w:szCs w:val="32"/>
        </w:rPr>
      </w:pPr>
      <w:r>
        <w:rPr>
          <w:rFonts w:hint="eastAsia" w:ascii="仿宋" w:hAnsi="仿宋" w:eastAsia="仿宋"/>
          <w:bCs/>
          <w:color w:val="000000"/>
          <w:sz w:val="32"/>
          <w:szCs w:val="32"/>
        </w:rPr>
        <w:t>（二）</w:t>
      </w:r>
      <w:r>
        <w:rPr>
          <w:rFonts w:hint="eastAsia" w:ascii="仿宋_GB2312" w:hAnsi="仿宋_GB2312" w:eastAsia="仿宋_GB2312" w:cs="仿宋_GB2312"/>
          <w:sz w:val="32"/>
          <w:szCs w:val="32"/>
        </w:rPr>
        <w:t>切实担负工作责任，牢牢掌握意识形态工作领导权和主动权。</w:t>
      </w:r>
    </w:p>
    <w:p>
      <w:pPr>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（三）把握主流舆论导向，着力营造决胜脱贫奔康的主流舆论强势。</w:t>
      </w:r>
    </w:p>
    <w:p>
      <w:pPr>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（四）深化精神文明建设，积极培育和践行社会主义核心价值观。</w:t>
      </w:r>
    </w:p>
    <w:p>
      <w:pPr>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（五）坚定民族文化自信，努力推动社会主义文艺文化繁荣昌盛。</w:t>
      </w:r>
    </w:p>
    <w:p>
      <w:pPr>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（六）加强队伍建设，不断提升宣传思想文化工作水平。</w:t>
      </w:r>
    </w:p>
    <w:p>
      <w:pPr>
        <w:pStyle w:val="3"/>
        <w:rPr>
          <w:rStyle w:val="18"/>
          <w:b w:val="0"/>
          <w:bCs w:val="0"/>
        </w:rPr>
      </w:pPr>
      <w:bookmarkStart w:id="18" w:name="_Toc15377200"/>
      <w:bookmarkStart w:id="19" w:name="_Toc15396601"/>
      <w:r>
        <w:rPr>
          <w:rFonts w:hint="eastAsia" w:ascii="黑体" w:eastAsia="黑体"/>
          <w:b w:val="0"/>
          <w:color w:val="000000"/>
        </w:rPr>
        <w:t>三、</w:t>
      </w:r>
      <w:r>
        <w:rPr>
          <w:rFonts w:hint="eastAsia" w:ascii="黑体" w:hAnsi="黑体" w:eastAsia="黑体"/>
          <w:b w:val="0"/>
          <w:color w:val="000000"/>
        </w:rPr>
        <w:t>机</w:t>
      </w:r>
      <w:r>
        <w:rPr>
          <w:rStyle w:val="18"/>
          <w:rFonts w:hint="eastAsia" w:ascii="黑体" w:hAnsi="黑体" w:eastAsia="黑体"/>
          <w:b w:val="0"/>
          <w:bCs w:val="0"/>
        </w:rPr>
        <w:t>构设置</w:t>
      </w:r>
      <w:bookmarkEnd w:id="18"/>
      <w:bookmarkEnd w:id="19"/>
    </w:p>
    <w:p>
      <w:pPr>
        <w:snapToGrid w:val="0"/>
        <w:spacing w:line="520" w:lineRule="exact"/>
        <w:ind w:firstLine="640" w:firstLineChars="200"/>
        <w:rPr>
          <w:rFonts w:ascii="仿宋_GB2312" w:hAnsi="仿宋_GB2312" w:eastAsia="仿宋_GB2312" w:cs="仿宋_GB2312"/>
          <w:sz w:val="32"/>
          <w:szCs w:val="32"/>
        </w:rPr>
      </w:pPr>
      <w:r>
        <w:rPr>
          <w:rStyle w:val="14"/>
          <w:rFonts w:ascii="仿宋_GB2312" w:hAnsi="仿宋_GB2312" w:eastAsia="仿宋_GB2312" w:cs="仿宋_GB2312"/>
          <w:b w:val="0"/>
          <w:bCs/>
          <w:color w:val="4E4342"/>
          <w:sz w:val="32"/>
          <w:szCs w:val="32"/>
        </w:rPr>
        <w:t>(</w:t>
      </w:r>
      <w:r>
        <w:rPr>
          <w:rStyle w:val="14"/>
          <w:rFonts w:hint="eastAsia" w:ascii="仿宋_GB2312" w:hAnsi="仿宋_GB2312" w:eastAsia="仿宋_GB2312" w:cs="仿宋_GB2312"/>
          <w:b w:val="0"/>
          <w:bCs/>
          <w:color w:val="4E4342"/>
          <w:sz w:val="32"/>
          <w:szCs w:val="32"/>
        </w:rPr>
        <w:t>一</w:t>
      </w:r>
      <w:r>
        <w:rPr>
          <w:rStyle w:val="14"/>
          <w:rFonts w:ascii="仿宋_GB2312" w:hAnsi="仿宋_GB2312" w:eastAsia="仿宋_GB2312" w:cs="仿宋_GB2312"/>
          <w:b w:val="0"/>
          <w:bCs/>
          <w:color w:val="4E4342"/>
          <w:sz w:val="32"/>
          <w:szCs w:val="32"/>
        </w:rPr>
        <w:t>)</w:t>
      </w:r>
      <w:r>
        <w:rPr>
          <w:rFonts w:hint="eastAsia" w:ascii="仿宋_GB2312" w:hAnsi="仿宋_GB2312" w:eastAsia="仿宋_GB2312" w:cs="仿宋_GB2312"/>
          <w:color w:val="4E4342"/>
          <w:sz w:val="32"/>
          <w:szCs w:val="32"/>
        </w:rPr>
        <w:t>本部门机构</w:t>
      </w:r>
      <w:r>
        <w:rPr>
          <w:rFonts w:ascii="仿宋_GB2312" w:hAnsi="仿宋_GB2312" w:eastAsia="仿宋_GB2312" w:cs="仿宋_GB2312"/>
          <w:color w:val="4E4342"/>
          <w:sz w:val="32"/>
          <w:szCs w:val="32"/>
        </w:rPr>
        <w:t>:</w:t>
      </w:r>
      <w:r>
        <w:rPr>
          <w:rFonts w:ascii="仿宋_GB2312" w:hAnsi="仿宋_GB2312" w:eastAsia="仿宋_GB2312" w:cs="仿宋_GB2312"/>
          <w:color w:val="4E4342"/>
          <w:sz w:val="32"/>
          <w:szCs w:val="32"/>
        </w:rPr>
        <w:br w:type="textWrapping"/>
      </w:r>
      <w:r>
        <w:rPr>
          <w:rFonts w:ascii="仿宋_GB2312" w:hAnsi="仿宋_GB2312" w:eastAsia="仿宋_GB2312" w:cs="仿宋_GB2312"/>
          <w:color w:val="4E4342"/>
          <w:sz w:val="32"/>
          <w:szCs w:val="32"/>
        </w:rPr>
        <w:t xml:space="preserve">  </w:t>
      </w:r>
      <w:r>
        <w:rPr>
          <w:rFonts w:hint="eastAsia" w:ascii="仿宋_GB2312" w:hAnsi="仿宋_GB2312" w:eastAsia="仿宋_GB2312" w:cs="仿宋_GB2312"/>
          <w:color w:val="4E4342"/>
          <w:sz w:val="32"/>
          <w:szCs w:val="32"/>
        </w:rPr>
        <w:t>　本单位未一级所属级预算单位，单位性质为行政单位，决算编报类型为单户表，按照行政单位会计制度填报决算数据纳入本套决算编制范围的独立核算单位共</w:t>
      </w:r>
      <w:r>
        <w:rPr>
          <w:rFonts w:ascii="仿宋_GB2312" w:hAnsi="仿宋_GB2312" w:eastAsia="仿宋_GB2312" w:cs="仿宋_GB2312"/>
          <w:color w:val="4E4342"/>
          <w:sz w:val="32"/>
          <w:szCs w:val="32"/>
        </w:rPr>
        <w:t>1</w:t>
      </w:r>
      <w:r>
        <w:rPr>
          <w:rFonts w:hint="eastAsia" w:ascii="仿宋_GB2312" w:hAnsi="仿宋_GB2312" w:eastAsia="仿宋_GB2312" w:cs="仿宋_GB2312"/>
          <w:color w:val="4E4342"/>
          <w:sz w:val="32"/>
          <w:szCs w:val="32"/>
        </w:rPr>
        <w:t>个。</w:t>
      </w:r>
      <w:r>
        <w:rPr>
          <w:rFonts w:ascii="仿宋_GB2312" w:hAnsi="仿宋_GB2312" w:eastAsia="仿宋_GB2312" w:cs="仿宋_GB2312"/>
          <w:color w:val="4E4342"/>
          <w:sz w:val="32"/>
          <w:szCs w:val="32"/>
        </w:rPr>
        <w:t xml:space="preserve"> </w:t>
      </w:r>
      <w:r>
        <w:rPr>
          <w:rFonts w:ascii="仿宋_GB2312" w:hAnsi="仿宋_GB2312" w:eastAsia="仿宋_GB2312" w:cs="仿宋_GB2312"/>
          <w:color w:val="4E4342"/>
          <w:sz w:val="32"/>
          <w:szCs w:val="32"/>
        </w:rPr>
        <w:br w:type="textWrapping"/>
      </w:r>
      <w:r>
        <w:rPr>
          <w:rFonts w:ascii="仿宋_GB2312" w:hAnsi="仿宋_GB2312" w:eastAsia="仿宋_GB2312" w:cs="仿宋_GB2312"/>
          <w:color w:val="4E4342"/>
          <w:sz w:val="32"/>
          <w:szCs w:val="32"/>
        </w:rPr>
        <w:t xml:space="preserve">    (</w:t>
      </w:r>
      <w:r>
        <w:rPr>
          <w:rFonts w:hint="eastAsia" w:ascii="仿宋_GB2312" w:hAnsi="仿宋_GB2312" w:eastAsia="仿宋_GB2312" w:cs="仿宋_GB2312"/>
          <w:color w:val="4E4342"/>
          <w:sz w:val="32"/>
          <w:szCs w:val="32"/>
        </w:rPr>
        <w:t>二</w:t>
      </w:r>
      <w:r>
        <w:rPr>
          <w:rFonts w:ascii="仿宋_GB2312" w:hAnsi="仿宋_GB2312" w:eastAsia="仿宋_GB2312" w:cs="仿宋_GB2312"/>
          <w:color w:val="4E4342"/>
          <w:sz w:val="32"/>
          <w:szCs w:val="32"/>
        </w:rPr>
        <w:t>)</w:t>
      </w:r>
      <w:r>
        <w:rPr>
          <w:rFonts w:hint="eastAsia" w:ascii="仿宋_GB2312" w:hAnsi="仿宋_GB2312" w:eastAsia="仿宋_GB2312" w:cs="仿宋_GB2312"/>
          <w:color w:val="4E4342"/>
          <w:sz w:val="32"/>
          <w:szCs w:val="32"/>
        </w:rPr>
        <w:t>人员情况</w:t>
      </w:r>
      <w:r>
        <w:rPr>
          <w:rFonts w:ascii="仿宋_GB2312" w:hAnsi="仿宋_GB2312" w:eastAsia="仿宋_GB2312" w:cs="仿宋_GB2312"/>
          <w:color w:val="4E4342"/>
          <w:sz w:val="32"/>
          <w:szCs w:val="32"/>
        </w:rPr>
        <w:t xml:space="preserve"> :</w:t>
      </w:r>
      <w:r>
        <w:rPr>
          <w:rFonts w:ascii="仿宋_GB2312" w:hAnsi="仿宋_GB2312" w:eastAsia="仿宋_GB2312" w:cs="仿宋_GB2312"/>
          <w:color w:val="4E4342"/>
          <w:sz w:val="32"/>
          <w:szCs w:val="32"/>
        </w:rPr>
        <w:br w:type="textWrapping"/>
      </w:r>
      <w:r>
        <w:rPr>
          <w:rFonts w:hint="eastAsia" w:ascii="仿宋_GB2312" w:hAnsi="仿宋_GB2312" w:eastAsia="仿宋_GB2312" w:cs="仿宋_GB2312"/>
          <w:color w:val="4E4342"/>
          <w:sz w:val="32"/>
          <w:szCs w:val="32"/>
        </w:rPr>
        <w:t>　　总编制</w:t>
      </w:r>
      <w:r>
        <w:rPr>
          <w:rFonts w:ascii="仿宋_GB2312" w:hAnsi="仿宋_GB2312" w:eastAsia="仿宋_GB2312" w:cs="仿宋_GB2312"/>
          <w:color w:val="4E4342"/>
          <w:sz w:val="32"/>
          <w:szCs w:val="32"/>
        </w:rPr>
        <w:t xml:space="preserve"> 18 </w:t>
      </w:r>
      <w:r>
        <w:rPr>
          <w:rFonts w:hint="eastAsia" w:ascii="仿宋_GB2312" w:hAnsi="仿宋_GB2312" w:eastAsia="仿宋_GB2312" w:cs="仿宋_GB2312"/>
          <w:color w:val="4E4342"/>
          <w:sz w:val="32"/>
          <w:szCs w:val="32"/>
        </w:rPr>
        <w:t>名，其中：行政编制</w:t>
      </w:r>
      <w:r>
        <w:rPr>
          <w:rFonts w:ascii="仿宋_GB2312" w:hAnsi="仿宋_GB2312" w:eastAsia="仿宋_GB2312" w:cs="仿宋_GB2312"/>
          <w:color w:val="4E4342"/>
          <w:sz w:val="32"/>
          <w:szCs w:val="32"/>
        </w:rPr>
        <w:t xml:space="preserve"> 8</w:t>
      </w:r>
      <w:r>
        <w:rPr>
          <w:rFonts w:hint="eastAsia" w:ascii="仿宋_GB2312" w:hAnsi="仿宋_GB2312" w:eastAsia="仿宋_GB2312" w:cs="仿宋_GB2312"/>
          <w:color w:val="4E4342"/>
          <w:sz w:val="32"/>
          <w:szCs w:val="32"/>
        </w:rPr>
        <w:t>名（行政机关人员</w:t>
      </w:r>
      <w:r>
        <w:rPr>
          <w:rFonts w:ascii="仿宋_GB2312" w:hAnsi="仿宋_GB2312" w:eastAsia="仿宋_GB2312" w:cs="仿宋_GB2312"/>
          <w:color w:val="4E4342"/>
          <w:sz w:val="32"/>
          <w:szCs w:val="32"/>
        </w:rPr>
        <w:t>7</w:t>
      </w:r>
      <w:r>
        <w:rPr>
          <w:rFonts w:hint="eastAsia" w:ascii="仿宋_GB2312" w:hAnsi="仿宋_GB2312" w:eastAsia="仿宋_GB2312" w:cs="仿宋_GB2312"/>
          <w:color w:val="4E4342"/>
          <w:sz w:val="32"/>
          <w:szCs w:val="32"/>
        </w:rPr>
        <w:t>名，行政工勤人员</w:t>
      </w:r>
      <w:r>
        <w:rPr>
          <w:rFonts w:ascii="仿宋_GB2312" w:hAnsi="仿宋_GB2312" w:eastAsia="仿宋_GB2312" w:cs="仿宋_GB2312"/>
          <w:color w:val="4E4342"/>
          <w:sz w:val="32"/>
          <w:szCs w:val="32"/>
        </w:rPr>
        <w:t>1</w:t>
      </w:r>
      <w:r>
        <w:rPr>
          <w:rFonts w:hint="eastAsia" w:ascii="仿宋_GB2312" w:hAnsi="仿宋_GB2312" w:eastAsia="仿宋_GB2312" w:cs="仿宋_GB2312"/>
          <w:color w:val="4E4342"/>
          <w:sz w:val="32"/>
          <w:szCs w:val="32"/>
        </w:rPr>
        <w:t>名），其他事业编制</w:t>
      </w:r>
      <w:r>
        <w:rPr>
          <w:rFonts w:ascii="仿宋_GB2312" w:hAnsi="仿宋_GB2312" w:eastAsia="仿宋_GB2312" w:cs="仿宋_GB2312"/>
          <w:color w:val="4E4342"/>
          <w:sz w:val="32"/>
          <w:szCs w:val="32"/>
        </w:rPr>
        <w:t>10</w:t>
      </w:r>
      <w:r>
        <w:rPr>
          <w:rFonts w:hint="eastAsia" w:ascii="仿宋_GB2312" w:hAnsi="仿宋_GB2312" w:eastAsia="仿宋_GB2312" w:cs="仿宋_GB2312"/>
          <w:color w:val="4E4342"/>
          <w:sz w:val="32"/>
          <w:szCs w:val="32"/>
        </w:rPr>
        <w:t>名。在职人员总数</w:t>
      </w:r>
      <w:r>
        <w:rPr>
          <w:rFonts w:ascii="仿宋_GB2312" w:hAnsi="仿宋_GB2312" w:eastAsia="仿宋_GB2312" w:cs="仿宋_GB2312"/>
          <w:color w:val="4E4342"/>
          <w:sz w:val="32"/>
          <w:szCs w:val="32"/>
        </w:rPr>
        <w:t xml:space="preserve"> 16</w:t>
      </w:r>
      <w:r>
        <w:rPr>
          <w:rFonts w:hint="eastAsia" w:ascii="仿宋_GB2312" w:hAnsi="仿宋_GB2312" w:eastAsia="仿宋_GB2312" w:cs="仿宋_GB2312"/>
          <w:color w:val="4E4342"/>
          <w:sz w:val="32"/>
          <w:szCs w:val="32"/>
        </w:rPr>
        <w:t>名，其中：行政人员</w:t>
      </w:r>
      <w:r>
        <w:rPr>
          <w:rFonts w:ascii="仿宋_GB2312" w:hAnsi="仿宋_GB2312" w:eastAsia="仿宋_GB2312" w:cs="仿宋_GB2312"/>
          <w:color w:val="4E4342"/>
          <w:sz w:val="32"/>
          <w:szCs w:val="32"/>
        </w:rPr>
        <w:t>7</w:t>
      </w:r>
      <w:r>
        <w:rPr>
          <w:rFonts w:hint="eastAsia" w:ascii="仿宋_GB2312" w:hAnsi="仿宋_GB2312" w:eastAsia="仿宋_GB2312" w:cs="仿宋_GB2312"/>
          <w:color w:val="4E4342"/>
          <w:sz w:val="32"/>
          <w:szCs w:val="32"/>
        </w:rPr>
        <w:t>名，行政工勤人员</w:t>
      </w:r>
      <w:r>
        <w:rPr>
          <w:rFonts w:ascii="仿宋_GB2312" w:hAnsi="仿宋_GB2312" w:eastAsia="仿宋_GB2312" w:cs="仿宋_GB2312"/>
          <w:color w:val="4E4342"/>
          <w:sz w:val="32"/>
          <w:szCs w:val="32"/>
        </w:rPr>
        <w:t>1</w:t>
      </w:r>
      <w:r>
        <w:rPr>
          <w:rFonts w:hint="eastAsia" w:ascii="仿宋_GB2312" w:hAnsi="仿宋_GB2312" w:eastAsia="仿宋_GB2312" w:cs="仿宋_GB2312"/>
          <w:color w:val="4E4342"/>
          <w:sz w:val="32"/>
          <w:szCs w:val="32"/>
        </w:rPr>
        <w:t>名，其他事业人员</w:t>
      </w:r>
      <w:r>
        <w:rPr>
          <w:rFonts w:ascii="仿宋_GB2312" w:hAnsi="仿宋_GB2312" w:eastAsia="仿宋_GB2312" w:cs="仿宋_GB2312"/>
          <w:color w:val="4E4342"/>
          <w:sz w:val="32"/>
          <w:szCs w:val="32"/>
        </w:rPr>
        <w:t>8</w:t>
      </w:r>
      <w:r>
        <w:rPr>
          <w:rFonts w:hint="eastAsia" w:ascii="仿宋_GB2312" w:hAnsi="仿宋_GB2312" w:eastAsia="仿宋_GB2312" w:cs="仿宋_GB2312"/>
          <w:color w:val="4E4342"/>
          <w:sz w:val="32"/>
          <w:szCs w:val="32"/>
        </w:rPr>
        <w:t>名。</w:t>
      </w:r>
      <w:r>
        <w:rPr>
          <w:rFonts w:ascii="仿宋_GB2312" w:hAnsi="仿宋_GB2312" w:eastAsia="仿宋_GB2312" w:cs="仿宋_GB2312"/>
          <w:color w:val="4E4342"/>
          <w:sz w:val="32"/>
          <w:szCs w:val="32"/>
        </w:rPr>
        <w:t xml:space="preserve"> </w:t>
      </w:r>
    </w:p>
    <w:p>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pPr>
        <w:pStyle w:val="2"/>
        <w:ind w:right="440"/>
        <w:jc w:val="right"/>
        <w:rPr>
          <w:rStyle w:val="17"/>
          <w:rFonts w:ascii="黑体" w:hAnsi="黑体" w:eastAsia="黑体"/>
          <w:b w:val="0"/>
          <w:bCs w:val="0"/>
        </w:rPr>
      </w:pPr>
      <w:bookmarkStart w:id="20" w:name="_Toc15377204"/>
      <w:bookmarkStart w:id="21" w:name="_Toc15396602"/>
      <w:r>
        <w:rPr>
          <w:rFonts w:hint="eastAsia" w:ascii="黑体" w:hAnsi="黑体" w:eastAsia="黑体"/>
          <w:b w:val="0"/>
          <w:color w:val="000000"/>
        </w:rPr>
        <w:t>第二部分</w:t>
      </w:r>
      <w:r>
        <w:rPr>
          <w:rStyle w:val="17"/>
          <w:rFonts w:ascii="黑体" w:hAnsi="黑体" w:eastAsia="黑体"/>
          <w:b w:val="0"/>
          <w:bCs w:val="0"/>
        </w:rPr>
        <w:t>2018</w:t>
      </w:r>
      <w:r>
        <w:rPr>
          <w:rStyle w:val="17"/>
          <w:rFonts w:hint="eastAsia" w:ascii="黑体" w:hAnsi="黑体" w:eastAsia="黑体"/>
          <w:b w:val="0"/>
          <w:bCs w:val="0"/>
        </w:rPr>
        <w:t>年度部门决算情况说明</w:t>
      </w:r>
      <w:bookmarkEnd w:id="20"/>
      <w:bookmarkEnd w:id="21"/>
    </w:p>
    <w:p/>
    <w:p>
      <w:pPr>
        <w:pStyle w:val="28"/>
        <w:numPr>
          <w:ilvl w:val="0"/>
          <w:numId w:val="1"/>
        </w:numPr>
        <w:spacing w:line="600" w:lineRule="exact"/>
        <w:ind w:firstLineChars="0"/>
        <w:outlineLvl w:val="1"/>
        <w:rPr>
          <w:rStyle w:val="18"/>
          <w:rFonts w:ascii="黑体" w:hAnsi="黑体" w:eastAsia="黑体"/>
          <w:b w:val="0"/>
        </w:rPr>
      </w:pPr>
      <w:bookmarkStart w:id="22" w:name="_Toc15396603"/>
      <w:bookmarkStart w:id="23" w:name="_Toc15377205"/>
      <w:r>
        <w:rPr>
          <w:rFonts w:hint="eastAsia" w:ascii="黑体" w:hAnsi="黑体" w:eastAsia="黑体"/>
          <w:color w:val="000000"/>
          <w:sz w:val="32"/>
          <w:szCs w:val="32"/>
        </w:rPr>
        <w:t>收</w:t>
      </w:r>
      <w:r>
        <w:rPr>
          <w:rStyle w:val="18"/>
          <w:rFonts w:hint="eastAsia" w:ascii="黑体" w:hAnsi="黑体" w:eastAsia="黑体"/>
          <w:b w:val="0"/>
        </w:rPr>
        <w:t>入支出决算总体情况说明</w:t>
      </w:r>
      <w:bookmarkEnd w:id="22"/>
      <w:bookmarkEnd w:id="23"/>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2018</w:t>
      </w:r>
      <w:r>
        <w:rPr>
          <w:rFonts w:hint="eastAsia" w:ascii="仿宋" w:hAnsi="仿宋" w:eastAsia="仿宋"/>
          <w:color w:val="000000"/>
          <w:sz w:val="32"/>
          <w:szCs w:val="32"/>
        </w:rPr>
        <w:t>年度收入总计</w:t>
      </w:r>
      <w:r>
        <w:rPr>
          <w:rFonts w:ascii="仿宋" w:hAnsi="仿宋" w:eastAsia="仿宋"/>
          <w:color w:val="000000"/>
          <w:sz w:val="32"/>
          <w:szCs w:val="32"/>
        </w:rPr>
        <w:t>905</w:t>
      </w:r>
      <w:r>
        <w:rPr>
          <w:rFonts w:hint="eastAsia" w:ascii="仿宋" w:hAnsi="仿宋" w:eastAsia="仿宋"/>
          <w:color w:val="000000"/>
          <w:sz w:val="32"/>
          <w:szCs w:val="32"/>
        </w:rPr>
        <w:t>万元，支出</w:t>
      </w:r>
      <w:r>
        <w:rPr>
          <w:rFonts w:ascii="仿宋" w:hAnsi="仿宋" w:eastAsia="仿宋"/>
          <w:color w:val="000000"/>
          <w:sz w:val="32"/>
          <w:szCs w:val="32"/>
        </w:rPr>
        <w:t>1064.68</w:t>
      </w:r>
      <w:r>
        <w:rPr>
          <w:rFonts w:hint="eastAsia" w:ascii="仿宋" w:hAnsi="仿宋" w:eastAsia="仿宋"/>
          <w:color w:val="000000"/>
          <w:sz w:val="32"/>
          <w:szCs w:val="32"/>
        </w:rPr>
        <w:t>万元。与</w:t>
      </w:r>
      <w:r>
        <w:rPr>
          <w:rFonts w:ascii="仿宋" w:hAnsi="仿宋" w:eastAsia="仿宋"/>
          <w:color w:val="000000"/>
          <w:sz w:val="32"/>
          <w:szCs w:val="32"/>
        </w:rPr>
        <w:t>2017</w:t>
      </w:r>
      <w:r>
        <w:rPr>
          <w:rFonts w:hint="eastAsia" w:ascii="仿宋" w:hAnsi="仿宋" w:eastAsia="仿宋"/>
          <w:color w:val="000000"/>
          <w:sz w:val="32"/>
          <w:szCs w:val="32"/>
        </w:rPr>
        <w:t>年相比，收入减少</w:t>
      </w:r>
      <w:r>
        <w:rPr>
          <w:rFonts w:ascii="仿宋" w:hAnsi="仿宋" w:eastAsia="仿宋"/>
          <w:color w:val="000000"/>
          <w:sz w:val="32"/>
          <w:szCs w:val="32"/>
        </w:rPr>
        <w:t>15.7</w:t>
      </w:r>
      <w:r>
        <w:rPr>
          <w:rFonts w:hint="eastAsia" w:ascii="仿宋" w:hAnsi="仿宋" w:eastAsia="仿宋"/>
          <w:color w:val="000000"/>
          <w:sz w:val="32"/>
          <w:szCs w:val="32"/>
        </w:rPr>
        <w:t>万元，减少</w:t>
      </w:r>
      <w:r>
        <w:rPr>
          <w:rFonts w:ascii="仿宋" w:hAnsi="仿宋" w:eastAsia="仿宋"/>
          <w:color w:val="000000"/>
          <w:sz w:val="32"/>
          <w:szCs w:val="32"/>
        </w:rPr>
        <w:t>2%</w:t>
      </w:r>
      <w:r>
        <w:rPr>
          <w:rFonts w:hint="eastAsia" w:ascii="仿宋" w:hAnsi="仿宋" w:eastAsia="仿宋"/>
          <w:color w:val="000000"/>
          <w:sz w:val="32"/>
          <w:szCs w:val="32"/>
        </w:rPr>
        <w:t>；支出增加</w:t>
      </w:r>
      <w:r>
        <w:rPr>
          <w:rFonts w:ascii="仿宋" w:hAnsi="仿宋" w:eastAsia="仿宋"/>
          <w:color w:val="000000"/>
          <w:sz w:val="32"/>
          <w:szCs w:val="32"/>
        </w:rPr>
        <w:t>211.02</w:t>
      </w:r>
      <w:r>
        <w:rPr>
          <w:rFonts w:hint="eastAsia" w:ascii="仿宋" w:hAnsi="仿宋" w:eastAsia="仿宋"/>
          <w:color w:val="000000"/>
          <w:sz w:val="32"/>
          <w:szCs w:val="32"/>
        </w:rPr>
        <w:t>万元，增长</w:t>
      </w:r>
      <w:r>
        <w:rPr>
          <w:rFonts w:ascii="仿宋" w:hAnsi="仿宋" w:eastAsia="仿宋"/>
          <w:color w:val="000000"/>
          <w:sz w:val="32"/>
          <w:szCs w:val="32"/>
        </w:rPr>
        <w:t>24%</w:t>
      </w:r>
      <w:r>
        <w:rPr>
          <w:rFonts w:hint="eastAsia" w:ascii="仿宋" w:hAnsi="仿宋" w:eastAsia="仿宋"/>
          <w:color w:val="000000"/>
          <w:sz w:val="32"/>
          <w:szCs w:val="32"/>
        </w:rPr>
        <w:t>。主要变动原因上年未完工的项目于</w:t>
      </w:r>
      <w:r>
        <w:rPr>
          <w:rFonts w:ascii="仿宋" w:hAnsi="仿宋" w:eastAsia="仿宋"/>
          <w:color w:val="000000"/>
          <w:sz w:val="32"/>
          <w:szCs w:val="32"/>
        </w:rPr>
        <w:t>2018</w:t>
      </w:r>
      <w:r>
        <w:rPr>
          <w:rFonts w:hint="eastAsia" w:ascii="仿宋" w:hAnsi="仿宋" w:eastAsia="仿宋"/>
          <w:color w:val="000000"/>
          <w:sz w:val="32"/>
          <w:szCs w:val="32"/>
        </w:rPr>
        <w:t>年完工并支付。</w:t>
      </w:r>
      <w:r>
        <w:rPr>
          <w:rFonts w:ascii="仿宋" w:hAnsi="仿宋" w:eastAsia="仿宋"/>
          <w:color w:val="000000"/>
          <w:sz w:val="32"/>
          <w:szCs w:val="32"/>
        </w:rPr>
        <w:t xml:space="preserve"> </w:t>
      </w:r>
    </w:p>
    <w:p>
      <w:pPr>
        <w:spacing w:line="600" w:lineRule="exact"/>
        <w:jc w:val="left"/>
        <w:rPr>
          <w:rFonts w:ascii="仿宋_GB2312" w:eastAsia="仿宋_GB2312"/>
          <w:color w:val="000000"/>
          <w:sz w:val="32"/>
          <w:szCs w:val="32"/>
        </w:rPr>
      </w:pPr>
    </w:p>
    <w:p>
      <w:pPr>
        <w:spacing w:line="600" w:lineRule="exact"/>
        <w:jc w:val="left"/>
        <w:rPr>
          <w:rFonts w:ascii="仿宋_GB2312" w:eastAsia="仿宋_GB2312"/>
          <w:color w:val="000000"/>
          <w:sz w:val="32"/>
          <w:szCs w:val="32"/>
        </w:rPr>
      </w:pPr>
    </w:p>
    <w:p>
      <w:pPr>
        <w:spacing w:line="600" w:lineRule="exact"/>
        <w:jc w:val="left"/>
        <w:rPr>
          <w:rFonts w:ascii="仿宋_GB2312" w:eastAsia="仿宋_GB2312"/>
          <w:color w:val="000000"/>
          <w:sz w:val="32"/>
          <w:szCs w:val="32"/>
        </w:rPr>
      </w:pPr>
    </w:p>
    <w:p>
      <w:pPr>
        <w:spacing w:line="600" w:lineRule="exact"/>
        <w:jc w:val="left"/>
        <w:rPr>
          <w:rFonts w:ascii="仿宋_GB2312" w:eastAsia="仿宋_GB2312"/>
          <w:color w:val="000000"/>
          <w:sz w:val="32"/>
          <w:szCs w:val="32"/>
        </w:rPr>
      </w:pPr>
    </w:p>
    <w:p>
      <w:pPr>
        <w:spacing w:line="600" w:lineRule="exact"/>
        <w:jc w:val="left"/>
        <w:rPr>
          <w:rFonts w:ascii="仿宋_GB2312" w:eastAsia="仿宋_GB2312"/>
          <w:color w:val="000000"/>
          <w:sz w:val="32"/>
          <w:szCs w:val="32"/>
        </w:rPr>
      </w:pPr>
    </w:p>
    <w:p>
      <w:pPr>
        <w:spacing w:line="600" w:lineRule="exact"/>
        <w:jc w:val="left"/>
        <w:rPr>
          <w:rFonts w:ascii="仿宋_GB2312" w:eastAsia="仿宋_GB2312"/>
          <w:color w:val="000000"/>
          <w:sz w:val="32"/>
          <w:szCs w:val="32"/>
        </w:rPr>
      </w:pPr>
    </w:p>
    <w:p>
      <w:pPr>
        <w:spacing w:line="600" w:lineRule="exact"/>
        <w:jc w:val="left"/>
        <w:rPr>
          <w:rFonts w:ascii="仿宋_GB2312" w:eastAsia="仿宋_GB2312"/>
          <w:color w:val="000000"/>
          <w:sz w:val="32"/>
          <w:szCs w:val="32"/>
        </w:rPr>
      </w:pPr>
    </w:p>
    <w:p>
      <w:pPr>
        <w:spacing w:line="600" w:lineRule="exact"/>
        <w:jc w:val="left"/>
        <w:rPr>
          <w:rFonts w:ascii="仿宋_GB2312" w:eastAsia="仿宋_GB2312"/>
          <w:color w:val="000000"/>
          <w:sz w:val="32"/>
          <w:szCs w:val="32"/>
        </w:rPr>
      </w:pPr>
      <w:r>
        <w:rPr>
          <w:rFonts w:ascii="仿宋_GB2312" w:eastAsia="仿宋_GB2312"/>
          <w:color w:val="000000"/>
          <w:sz w:val="32"/>
          <w:szCs w:val="32"/>
        </w:rPr>
        <w:pict>
          <v:shape id="_x0000_i1025" o:spt="75" type="#_x0000_t75" style="height:216.75pt;width:360.75pt;" filled="f" o:preferrelative="t" stroked="f" coordsize="21600,21600">
            <v:path/>
            <v:fill on="f" focussize="0,0"/>
            <v:stroke on="f" joinstyle="miter"/>
            <v:imagedata r:id="rId6" o:title=""/>
            <o:lock v:ext="edit" aspectratio="t"/>
            <w10:wrap type="none"/>
            <w10:anchorlock/>
          </v:shape>
        </w:pict>
      </w:r>
    </w:p>
    <w:p>
      <w:pPr>
        <w:pStyle w:val="28"/>
        <w:numPr>
          <w:ilvl w:val="0"/>
          <w:numId w:val="1"/>
        </w:numPr>
        <w:spacing w:line="600" w:lineRule="exact"/>
        <w:ind w:firstLineChars="0"/>
        <w:outlineLvl w:val="1"/>
        <w:rPr>
          <w:rStyle w:val="18"/>
          <w:rFonts w:ascii="黑体" w:hAnsi="黑体" w:eastAsia="黑体"/>
          <w:b w:val="0"/>
        </w:rPr>
      </w:pPr>
      <w:bookmarkStart w:id="24" w:name="_Toc15396604"/>
      <w:bookmarkStart w:id="25" w:name="_Toc15377206"/>
      <w:r>
        <w:rPr>
          <w:rFonts w:hint="eastAsia" w:ascii="黑体" w:hAnsi="黑体" w:eastAsia="黑体"/>
          <w:color w:val="000000"/>
          <w:sz w:val="32"/>
          <w:szCs w:val="32"/>
        </w:rPr>
        <w:t>收</w:t>
      </w:r>
      <w:r>
        <w:rPr>
          <w:rStyle w:val="18"/>
          <w:rFonts w:hint="eastAsia" w:ascii="黑体" w:hAnsi="黑体" w:eastAsia="黑体"/>
          <w:b w:val="0"/>
        </w:rPr>
        <w:t>入决算情况说明</w:t>
      </w:r>
      <w:bookmarkEnd w:id="24"/>
      <w:bookmarkEnd w:id="25"/>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2018</w:t>
      </w:r>
      <w:r>
        <w:rPr>
          <w:rFonts w:hint="eastAsia" w:ascii="仿宋" w:hAnsi="仿宋" w:eastAsia="仿宋"/>
          <w:color w:val="000000"/>
          <w:sz w:val="32"/>
          <w:szCs w:val="32"/>
        </w:rPr>
        <w:t>年本年收入合计</w:t>
      </w:r>
      <w:r>
        <w:rPr>
          <w:rFonts w:ascii="仿宋" w:hAnsi="仿宋" w:eastAsia="仿宋"/>
          <w:color w:val="000000"/>
          <w:sz w:val="32"/>
          <w:szCs w:val="32"/>
        </w:rPr>
        <w:t>905</w:t>
      </w:r>
      <w:r>
        <w:rPr>
          <w:rFonts w:hint="eastAsia" w:ascii="仿宋" w:hAnsi="仿宋" w:eastAsia="仿宋"/>
          <w:color w:val="000000"/>
          <w:sz w:val="32"/>
          <w:szCs w:val="32"/>
        </w:rPr>
        <w:t>万元，其中：一般公共预算财政拨款收入</w:t>
      </w:r>
      <w:r>
        <w:rPr>
          <w:rFonts w:ascii="仿宋" w:hAnsi="仿宋" w:eastAsia="仿宋"/>
          <w:color w:val="000000"/>
          <w:sz w:val="32"/>
          <w:szCs w:val="32"/>
        </w:rPr>
        <w:t>904.89</w:t>
      </w:r>
      <w:r>
        <w:rPr>
          <w:rFonts w:hint="eastAsia" w:ascii="仿宋" w:hAnsi="仿宋" w:eastAsia="仿宋"/>
          <w:color w:val="000000"/>
          <w:sz w:val="32"/>
          <w:szCs w:val="32"/>
        </w:rPr>
        <w:t>万元，占</w:t>
      </w:r>
      <w:r>
        <w:rPr>
          <w:rFonts w:ascii="仿宋" w:hAnsi="仿宋" w:eastAsia="仿宋"/>
          <w:color w:val="000000"/>
          <w:sz w:val="32"/>
          <w:szCs w:val="32"/>
        </w:rPr>
        <w:t>99.99%</w:t>
      </w:r>
      <w:r>
        <w:rPr>
          <w:rFonts w:hint="eastAsia" w:ascii="仿宋" w:hAnsi="仿宋" w:eastAsia="仿宋"/>
          <w:color w:val="000000"/>
          <w:sz w:val="32"/>
          <w:szCs w:val="32"/>
        </w:rPr>
        <w:t>；政府性基金预算财政拨款收入</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；国有资本经营预算财政拨款收入</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；事业收入</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；经营收入</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；附属单位上缴收入</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；其他收入</w:t>
      </w:r>
      <w:r>
        <w:rPr>
          <w:rFonts w:ascii="仿宋" w:hAnsi="仿宋" w:eastAsia="仿宋"/>
          <w:color w:val="000000"/>
          <w:sz w:val="32"/>
          <w:szCs w:val="32"/>
        </w:rPr>
        <w:t>0.11</w:t>
      </w:r>
      <w:r>
        <w:rPr>
          <w:rFonts w:hint="eastAsia" w:ascii="仿宋" w:hAnsi="仿宋" w:eastAsia="仿宋"/>
          <w:color w:val="000000"/>
          <w:sz w:val="32"/>
          <w:szCs w:val="32"/>
        </w:rPr>
        <w:t>万元，占</w:t>
      </w:r>
      <w:r>
        <w:rPr>
          <w:rFonts w:ascii="仿宋" w:hAnsi="仿宋" w:eastAsia="仿宋"/>
          <w:color w:val="000000"/>
          <w:sz w:val="32"/>
          <w:szCs w:val="32"/>
        </w:rPr>
        <w:t>0.01%</w:t>
      </w:r>
      <w:r>
        <w:rPr>
          <w:rFonts w:hint="eastAsia" w:ascii="仿宋" w:hAnsi="仿宋" w:eastAsia="仿宋"/>
          <w:color w:val="000000"/>
          <w:sz w:val="32"/>
          <w:szCs w:val="32"/>
        </w:rPr>
        <w:t>。</w:t>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pict>
          <v:shape id="_x0000_i1026" o:spt="75" type="#_x0000_t75" style="height:212.25pt;width:354pt;" filled="f" o:preferrelative="t" stroked="f" coordsize="21600,21600">
            <v:path/>
            <v:fill on="f" focussize="0,0"/>
            <v:stroke on="f" joinstyle="miter"/>
            <v:imagedata r:id="rId7" o:title=""/>
            <o:lock v:ext="edit" aspectratio="t"/>
            <w10:wrap type="none"/>
            <w10:anchorlock/>
          </v:shape>
        </w:pict>
      </w:r>
    </w:p>
    <w:p>
      <w:pPr>
        <w:spacing w:line="600" w:lineRule="exact"/>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：收入决算结构图）（饼状图）</w:t>
      </w:r>
    </w:p>
    <w:p>
      <w:pPr>
        <w:pStyle w:val="28"/>
        <w:numPr>
          <w:ilvl w:val="0"/>
          <w:numId w:val="1"/>
        </w:numPr>
        <w:spacing w:line="600" w:lineRule="exact"/>
        <w:ind w:firstLineChars="0"/>
        <w:outlineLvl w:val="1"/>
        <w:rPr>
          <w:rStyle w:val="18"/>
          <w:rFonts w:ascii="黑体" w:hAnsi="黑体" w:eastAsia="黑体"/>
          <w:b w:val="0"/>
        </w:rPr>
      </w:pPr>
      <w:bookmarkStart w:id="26" w:name="_Toc15377207"/>
      <w:bookmarkStart w:id="27" w:name="_Toc15396605"/>
      <w:r>
        <w:rPr>
          <w:rFonts w:hint="eastAsia" w:ascii="黑体" w:hAnsi="黑体" w:eastAsia="黑体"/>
          <w:color w:val="000000"/>
          <w:sz w:val="32"/>
          <w:szCs w:val="32"/>
        </w:rPr>
        <w:t>支</w:t>
      </w:r>
      <w:r>
        <w:rPr>
          <w:rStyle w:val="18"/>
          <w:rFonts w:hint="eastAsia" w:ascii="黑体" w:hAnsi="黑体" w:eastAsia="黑体"/>
          <w:b w:val="0"/>
        </w:rPr>
        <w:t>出决算情况说明</w:t>
      </w:r>
      <w:bookmarkEnd w:id="26"/>
      <w:bookmarkEnd w:id="27"/>
    </w:p>
    <w:p>
      <w:pPr>
        <w:spacing w:line="600" w:lineRule="exact"/>
        <w:ind w:firstLine="640"/>
        <w:rPr>
          <w:rFonts w:ascii="仿宋" w:hAnsi="仿宋" w:eastAsia="仿宋"/>
          <w:color w:val="000000"/>
          <w:sz w:val="32"/>
          <w:szCs w:val="32"/>
          <w:shd w:val="pct10" w:color="auto" w:fill="FFFFFF"/>
        </w:rPr>
      </w:pPr>
      <w:r>
        <w:rPr>
          <w:rFonts w:ascii="仿宋" w:hAnsi="仿宋" w:eastAsia="仿宋"/>
          <w:color w:val="000000"/>
          <w:sz w:val="32"/>
          <w:szCs w:val="32"/>
        </w:rPr>
        <w:t>2018</w:t>
      </w:r>
      <w:r>
        <w:rPr>
          <w:rFonts w:hint="eastAsia" w:ascii="仿宋" w:hAnsi="仿宋" w:eastAsia="仿宋"/>
          <w:color w:val="000000"/>
          <w:sz w:val="32"/>
          <w:szCs w:val="32"/>
        </w:rPr>
        <w:t>年本年支出合计</w:t>
      </w:r>
      <w:r>
        <w:rPr>
          <w:rFonts w:ascii="仿宋" w:hAnsi="仿宋" w:eastAsia="仿宋"/>
          <w:color w:val="000000"/>
          <w:sz w:val="32"/>
          <w:szCs w:val="32"/>
        </w:rPr>
        <w:t>1064.68</w:t>
      </w:r>
      <w:r>
        <w:rPr>
          <w:rFonts w:hint="eastAsia" w:ascii="仿宋" w:hAnsi="仿宋" w:eastAsia="仿宋"/>
          <w:color w:val="000000"/>
          <w:sz w:val="32"/>
          <w:szCs w:val="32"/>
        </w:rPr>
        <w:t>万元，其中：基本支出</w:t>
      </w:r>
      <w:r>
        <w:rPr>
          <w:rFonts w:ascii="仿宋" w:hAnsi="仿宋" w:eastAsia="仿宋"/>
          <w:color w:val="000000"/>
          <w:sz w:val="32"/>
          <w:szCs w:val="32"/>
        </w:rPr>
        <w:t>603.67</w:t>
      </w:r>
      <w:r>
        <w:rPr>
          <w:rFonts w:hint="eastAsia" w:ascii="仿宋" w:hAnsi="仿宋" w:eastAsia="仿宋"/>
          <w:color w:val="000000"/>
          <w:sz w:val="32"/>
          <w:szCs w:val="32"/>
        </w:rPr>
        <w:t>万元，占</w:t>
      </w:r>
      <w:r>
        <w:rPr>
          <w:rFonts w:ascii="仿宋" w:hAnsi="仿宋" w:eastAsia="仿宋"/>
          <w:color w:val="000000"/>
          <w:sz w:val="32"/>
          <w:szCs w:val="32"/>
        </w:rPr>
        <w:t>57%</w:t>
      </w:r>
      <w:r>
        <w:rPr>
          <w:rFonts w:hint="eastAsia" w:ascii="仿宋" w:hAnsi="仿宋" w:eastAsia="仿宋"/>
          <w:color w:val="000000"/>
          <w:sz w:val="32"/>
          <w:szCs w:val="32"/>
        </w:rPr>
        <w:t>；项目支出</w:t>
      </w:r>
      <w:r>
        <w:rPr>
          <w:rFonts w:ascii="仿宋" w:hAnsi="仿宋" w:eastAsia="仿宋"/>
          <w:color w:val="000000"/>
          <w:sz w:val="32"/>
          <w:szCs w:val="32"/>
        </w:rPr>
        <w:t>461.01</w:t>
      </w:r>
      <w:r>
        <w:rPr>
          <w:rFonts w:hint="eastAsia" w:ascii="仿宋" w:hAnsi="仿宋" w:eastAsia="仿宋"/>
          <w:color w:val="000000"/>
          <w:sz w:val="32"/>
          <w:szCs w:val="32"/>
        </w:rPr>
        <w:t>万元，占</w:t>
      </w:r>
      <w:r>
        <w:rPr>
          <w:rFonts w:ascii="仿宋" w:hAnsi="仿宋" w:eastAsia="仿宋"/>
          <w:color w:val="000000"/>
          <w:sz w:val="32"/>
          <w:szCs w:val="32"/>
        </w:rPr>
        <w:t>43%</w:t>
      </w:r>
      <w:r>
        <w:rPr>
          <w:rFonts w:hint="eastAsia" w:ascii="仿宋" w:hAnsi="仿宋" w:eastAsia="仿宋"/>
          <w:color w:val="000000"/>
          <w:sz w:val="32"/>
          <w:szCs w:val="32"/>
        </w:rPr>
        <w:t>；上缴上级支出</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；经营支出</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；对附属单位补助支出</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w:t>
      </w:r>
    </w:p>
    <w:p>
      <w:pPr>
        <w:spacing w:line="600" w:lineRule="exact"/>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pict>
          <v:shape id="_x0000_i1027" o:spt="75" type="#_x0000_t75" style="height:212.25pt;width:354pt;" filled="f" o:preferrelative="t" stroked="f" coordsize="21600,21600">
            <v:path/>
            <v:fill on="f" focussize="0,0"/>
            <v:stroke on="f" joinstyle="miter"/>
            <v:imagedata r:id="rId8" o:title=""/>
            <o:lock v:ext="edit" aspectratio="t"/>
            <w10:wrap type="none"/>
            <w10:anchorlock/>
          </v:shape>
        </w:pic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：支出决算结构图）（饼状图）</w:t>
      </w:r>
    </w:p>
    <w:p>
      <w:pPr>
        <w:spacing w:line="600" w:lineRule="exact"/>
        <w:ind w:firstLine="640" w:firstLineChars="200"/>
        <w:outlineLvl w:val="1"/>
        <w:rPr>
          <w:rStyle w:val="18"/>
          <w:rFonts w:ascii="黑体" w:hAnsi="黑体" w:eastAsia="黑体"/>
          <w:b w:val="0"/>
        </w:rPr>
      </w:pPr>
      <w:bookmarkStart w:id="28" w:name="_Toc15377208"/>
      <w:bookmarkStart w:id="29" w:name="_Toc15396606"/>
      <w:r>
        <w:rPr>
          <w:rFonts w:hint="eastAsia" w:ascii="黑体" w:hAnsi="黑体" w:eastAsia="黑体"/>
          <w:color w:val="000000"/>
          <w:sz w:val="32"/>
          <w:szCs w:val="32"/>
        </w:rPr>
        <w:t>四、财</w:t>
      </w:r>
      <w:r>
        <w:rPr>
          <w:rStyle w:val="18"/>
          <w:rFonts w:hint="eastAsia" w:ascii="黑体" w:hAnsi="黑体" w:eastAsia="黑体"/>
          <w:b w:val="0"/>
        </w:rPr>
        <w:t>政拨款收入支出决算总体情况说明</w:t>
      </w:r>
      <w:bookmarkEnd w:id="28"/>
      <w:bookmarkEnd w:id="29"/>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2018</w:t>
      </w:r>
      <w:r>
        <w:rPr>
          <w:rFonts w:hint="eastAsia" w:ascii="仿宋" w:hAnsi="仿宋" w:eastAsia="仿宋"/>
          <w:color w:val="000000"/>
          <w:sz w:val="32"/>
          <w:szCs w:val="32"/>
        </w:rPr>
        <w:t>年财政拨款收入总计</w:t>
      </w:r>
      <w:r>
        <w:rPr>
          <w:rFonts w:ascii="仿宋" w:hAnsi="仿宋" w:eastAsia="仿宋"/>
          <w:color w:val="000000"/>
          <w:sz w:val="32"/>
          <w:szCs w:val="32"/>
        </w:rPr>
        <w:t>904.89</w:t>
      </w:r>
      <w:r>
        <w:rPr>
          <w:rFonts w:hint="eastAsia" w:ascii="仿宋" w:hAnsi="仿宋" w:eastAsia="仿宋"/>
          <w:color w:val="000000"/>
          <w:sz w:val="32"/>
          <w:szCs w:val="32"/>
        </w:rPr>
        <w:t>万元，支出总计</w:t>
      </w:r>
      <w:r>
        <w:rPr>
          <w:rFonts w:ascii="仿宋" w:hAnsi="仿宋" w:eastAsia="仿宋"/>
          <w:color w:val="000000"/>
          <w:sz w:val="32"/>
          <w:szCs w:val="32"/>
        </w:rPr>
        <w:t>1064.68</w:t>
      </w:r>
      <w:r>
        <w:rPr>
          <w:rFonts w:hint="eastAsia" w:ascii="仿宋" w:hAnsi="仿宋" w:eastAsia="仿宋"/>
          <w:color w:val="000000"/>
          <w:sz w:val="32"/>
          <w:szCs w:val="32"/>
        </w:rPr>
        <w:t>万元。与</w:t>
      </w:r>
      <w:r>
        <w:rPr>
          <w:rFonts w:ascii="仿宋" w:hAnsi="仿宋" w:eastAsia="仿宋"/>
          <w:color w:val="000000"/>
          <w:sz w:val="32"/>
          <w:szCs w:val="32"/>
        </w:rPr>
        <w:t>2017</w:t>
      </w:r>
      <w:r>
        <w:rPr>
          <w:rFonts w:hint="eastAsia" w:ascii="仿宋" w:hAnsi="仿宋" w:eastAsia="仿宋"/>
          <w:color w:val="000000"/>
          <w:sz w:val="32"/>
          <w:szCs w:val="32"/>
        </w:rPr>
        <w:t>年相比，财政拨款收入减少</w:t>
      </w:r>
      <w:r>
        <w:rPr>
          <w:rFonts w:ascii="仿宋" w:hAnsi="仿宋" w:eastAsia="仿宋"/>
          <w:color w:val="000000"/>
          <w:sz w:val="32"/>
          <w:szCs w:val="32"/>
        </w:rPr>
        <w:t>15</w:t>
      </w:r>
      <w:r>
        <w:rPr>
          <w:rFonts w:hint="eastAsia" w:ascii="仿宋" w:hAnsi="仿宋" w:eastAsia="仿宋"/>
          <w:color w:val="000000"/>
          <w:sz w:val="32"/>
          <w:szCs w:val="32"/>
        </w:rPr>
        <w:t>万元，减少</w:t>
      </w:r>
      <w:r>
        <w:rPr>
          <w:rFonts w:ascii="仿宋" w:hAnsi="仿宋" w:eastAsia="仿宋"/>
          <w:color w:val="000000"/>
          <w:sz w:val="32"/>
          <w:szCs w:val="32"/>
        </w:rPr>
        <w:t>2%</w:t>
      </w:r>
      <w:r>
        <w:rPr>
          <w:rFonts w:hint="eastAsia" w:ascii="仿宋" w:hAnsi="仿宋" w:eastAsia="仿宋"/>
          <w:color w:val="000000"/>
          <w:sz w:val="32"/>
          <w:szCs w:val="32"/>
        </w:rPr>
        <w:t>；支出增加</w:t>
      </w:r>
      <w:r>
        <w:rPr>
          <w:rFonts w:ascii="仿宋" w:hAnsi="仿宋" w:eastAsia="仿宋"/>
          <w:color w:val="000000"/>
          <w:sz w:val="32"/>
          <w:szCs w:val="32"/>
        </w:rPr>
        <w:t>278.46</w:t>
      </w:r>
      <w:r>
        <w:rPr>
          <w:rFonts w:hint="eastAsia" w:ascii="仿宋" w:hAnsi="仿宋" w:eastAsia="仿宋"/>
          <w:color w:val="000000"/>
          <w:sz w:val="32"/>
          <w:szCs w:val="32"/>
        </w:rPr>
        <w:t>万元，增长</w:t>
      </w:r>
      <w:r>
        <w:rPr>
          <w:rFonts w:ascii="仿宋" w:hAnsi="仿宋" w:eastAsia="仿宋"/>
          <w:color w:val="000000"/>
          <w:sz w:val="32"/>
          <w:szCs w:val="32"/>
        </w:rPr>
        <w:t>35%</w:t>
      </w:r>
      <w:r>
        <w:rPr>
          <w:rFonts w:hint="eastAsia" w:ascii="仿宋" w:hAnsi="仿宋" w:eastAsia="仿宋"/>
          <w:color w:val="000000"/>
          <w:sz w:val="32"/>
          <w:szCs w:val="32"/>
        </w:rPr>
        <w:t>。主要变动原因是使用了上年结转资金。</w:t>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pict>
          <v:shape id="_x0000_i1028" o:spt="75" type="#_x0000_t75" style="height:216.75pt;width:360.75pt;" filled="f" o:preferrelative="t" stroked="f" coordsize="21600,21600">
            <v:path/>
            <v:fill on="f" focussize="0,0"/>
            <v:stroke on="f" joinstyle="miter"/>
            <v:imagedata r:id="rId9" o:title=""/>
            <o:lock v:ext="edit" aspectratio="t"/>
            <w10:wrap type="none"/>
            <w10:anchorlock/>
          </v:shape>
        </w:pict>
      </w:r>
    </w:p>
    <w:p>
      <w:pPr>
        <w:spacing w:line="600" w:lineRule="exact"/>
        <w:ind w:firstLine="640" w:firstLineChars="200"/>
        <w:outlineLvl w:val="1"/>
        <w:rPr>
          <w:rStyle w:val="18"/>
          <w:rFonts w:ascii="黑体" w:hAnsi="黑体" w:eastAsia="黑体"/>
          <w:b w:val="0"/>
        </w:rPr>
      </w:pPr>
      <w:bookmarkStart w:id="30" w:name="_Toc15396607"/>
      <w:bookmarkStart w:id="31"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18"/>
          <w:rFonts w:hint="eastAsia" w:ascii="黑体" w:hAnsi="黑体" w:eastAsia="黑体"/>
          <w:b w:val="0"/>
        </w:rPr>
        <w:t>般公共预算财政拨款支出决算情况说明</w:t>
      </w:r>
      <w:bookmarkEnd w:id="30"/>
      <w:bookmarkEnd w:id="31"/>
    </w:p>
    <w:p>
      <w:pPr>
        <w:spacing w:line="600" w:lineRule="exact"/>
        <w:ind w:firstLine="643" w:firstLineChars="200"/>
        <w:outlineLvl w:val="2"/>
        <w:rPr>
          <w:rFonts w:ascii="仿宋" w:hAnsi="仿宋" w:eastAsia="仿宋"/>
          <w:b/>
          <w:color w:val="000000"/>
          <w:sz w:val="32"/>
          <w:szCs w:val="32"/>
        </w:rPr>
      </w:pPr>
      <w:bookmarkStart w:id="32" w:name="_Toc15377210"/>
      <w:r>
        <w:rPr>
          <w:rFonts w:hint="eastAsia" w:ascii="仿宋" w:hAnsi="仿宋" w:eastAsia="仿宋"/>
          <w:b/>
          <w:color w:val="000000"/>
          <w:sz w:val="32"/>
          <w:szCs w:val="32"/>
        </w:rPr>
        <w:t>（一）一般公共预算财政拨款支出决算总体情况</w:t>
      </w:r>
      <w:bookmarkEnd w:id="32"/>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2018</w:t>
      </w:r>
      <w:r>
        <w:rPr>
          <w:rFonts w:hint="eastAsia" w:ascii="仿宋" w:hAnsi="仿宋" w:eastAsia="仿宋"/>
          <w:color w:val="000000"/>
          <w:sz w:val="32"/>
          <w:szCs w:val="32"/>
        </w:rPr>
        <w:t>年一般公共预算财政拨款支出</w:t>
      </w:r>
      <w:r>
        <w:rPr>
          <w:rFonts w:ascii="仿宋" w:hAnsi="仿宋" w:eastAsia="仿宋"/>
          <w:color w:val="000000"/>
          <w:sz w:val="32"/>
          <w:szCs w:val="32"/>
        </w:rPr>
        <w:t>1064.68</w:t>
      </w:r>
      <w:r>
        <w:rPr>
          <w:rFonts w:hint="eastAsia" w:ascii="仿宋" w:hAnsi="仿宋" w:eastAsia="仿宋"/>
          <w:color w:val="000000"/>
          <w:sz w:val="32"/>
          <w:szCs w:val="32"/>
        </w:rPr>
        <w:t>万元，占本年支出合计的</w:t>
      </w:r>
      <w:r>
        <w:rPr>
          <w:rFonts w:ascii="仿宋" w:hAnsi="仿宋" w:eastAsia="仿宋"/>
          <w:color w:val="000000"/>
          <w:sz w:val="32"/>
          <w:szCs w:val="32"/>
        </w:rPr>
        <w:t>100%</w:t>
      </w:r>
      <w:r>
        <w:rPr>
          <w:rFonts w:hint="eastAsia" w:ascii="仿宋" w:hAnsi="仿宋" w:eastAsia="仿宋"/>
          <w:color w:val="000000"/>
          <w:sz w:val="32"/>
          <w:szCs w:val="32"/>
        </w:rPr>
        <w:t>。</w:t>
      </w:r>
      <w:r>
        <w:rPr>
          <w:rFonts w:hint="eastAsia" w:ascii="仿宋" w:hAnsi="仿宋" w:eastAsia="仿宋"/>
          <w:sz w:val="32"/>
          <w:szCs w:val="32"/>
        </w:rPr>
        <w:t>与</w:t>
      </w:r>
      <w:r>
        <w:rPr>
          <w:rFonts w:ascii="仿宋" w:hAnsi="仿宋" w:eastAsia="仿宋"/>
          <w:sz w:val="32"/>
          <w:szCs w:val="32"/>
        </w:rPr>
        <w:t>2017</w:t>
      </w:r>
      <w:r>
        <w:rPr>
          <w:rFonts w:hint="eastAsia" w:ascii="仿宋" w:hAnsi="仿宋" w:eastAsia="仿宋"/>
          <w:sz w:val="32"/>
          <w:szCs w:val="32"/>
        </w:rPr>
        <w:t>年相比，一般公共预算财政拨款增加</w:t>
      </w:r>
      <w:r>
        <w:rPr>
          <w:rFonts w:ascii="仿宋" w:hAnsi="仿宋" w:eastAsia="仿宋"/>
          <w:sz w:val="32"/>
          <w:szCs w:val="32"/>
        </w:rPr>
        <w:t>278.46</w:t>
      </w:r>
      <w:r>
        <w:rPr>
          <w:rFonts w:hint="eastAsia" w:ascii="仿宋" w:hAnsi="仿宋" w:eastAsia="仿宋"/>
          <w:sz w:val="32"/>
          <w:szCs w:val="32"/>
        </w:rPr>
        <w:t>万元，增长</w:t>
      </w:r>
      <w:r>
        <w:rPr>
          <w:rFonts w:ascii="仿宋" w:hAnsi="仿宋" w:eastAsia="仿宋"/>
          <w:sz w:val="32"/>
          <w:szCs w:val="32"/>
        </w:rPr>
        <w:t>35%</w:t>
      </w:r>
      <w:r>
        <w:rPr>
          <w:rFonts w:hint="eastAsia" w:ascii="仿宋" w:hAnsi="仿宋" w:eastAsia="仿宋"/>
          <w:sz w:val="32"/>
          <w:szCs w:val="32"/>
        </w:rPr>
        <w:t>。</w:t>
      </w:r>
      <w:r>
        <w:rPr>
          <w:rFonts w:hint="eastAsia" w:ascii="仿宋" w:hAnsi="仿宋" w:eastAsia="仿宋"/>
          <w:color w:val="000000"/>
          <w:sz w:val="32"/>
          <w:szCs w:val="32"/>
        </w:rPr>
        <w:t>主要变动原因是宣传力度加强。</w:t>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outlineLvl w:val="2"/>
        <w:rPr>
          <w:rFonts w:ascii="仿宋" w:hAnsi="仿宋" w:eastAsia="仿宋"/>
          <w:color w:val="000000"/>
          <w:sz w:val="32"/>
          <w:szCs w:val="32"/>
        </w:rPr>
      </w:pPr>
      <w:bookmarkStart w:id="33" w:name="_Toc15377211"/>
    </w:p>
    <w:p>
      <w:pPr>
        <w:spacing w:line="600" w:lineRule="exact"/>
        <w:ind w:firstLine="640" w:firstLineChars="200"/>
        <w:outlineLvl w:val="2"/>
        <w:rPr>
          <w:rFonts w:ascii="仿宋" w:hAnsi="仿宋" w:eastAsia="仿宋"/>
          <w:color w:val="000000"/>
          <w:sz w:val="32"/>
          <w:szCs w:val="32"/>
        </w:rPr>
      </w:pPr>
      <w:r>
        <w:rPr>
          <w:rFonts w:ascii="仿宋" w:hAnsi="仿宋" w:eastAsia="仿宋"/>
          <w:color w:val="000000"/>
          <w:sz w:val="32"/>
          <w:szCs w:val="32"/>
        </w:rPr>
        <w:pict>
          <v:shape id="_x0000_i1029" o:spt="75" type="#_x0000_t75" style="height:212.25pt;width:354pt;" filled="f" o:preferrelative="t" stroked="f" coordsize="21600,21600">
            <v:path/>
            <v:fill on="f" focussize="0,0"/>
            <v:stroke on="f" joinstyle="miter"/>
            <v:imagedata r:id="rId10" o:title=""/>
            <o:lock v:ext="edit" aspectratio="t"/>
            <w10:wrap type="none"/>
            <w10:anchorlock/>
          </v:shape>
        </w:pict>
      </w:r>
    </w:p>
    <w:p>
      <w:pPr>
        <w:spacing w:line="600" w:lineRule="exact"/>
        <w:ind w:firstLine="640" w:firstLineChars="200"/>
        <w:outlineLvl w:val="2"/>
        <w:rPr>
          <w:rFonts w:ascii="仿宋" w:hAnsi="仿宋" w:eastAsia="仿宋"/>
          <w:color w:val="000000"/>
          <w:sz w:val="32"/>
          <w:szCs w:val="32"/>
        </w:rPr>
      </w:pPr>
    </w:p>
    <w:p>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（二）一般公共预算财政拨款支出决算结构情况</w:t>
      </w:r>
      <w:bookmarkEnd w:id="33"/>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2018</w:t>
      </w:r>
      <w:r>
        <w:rPr>
          <w:rFonts w:hint="eastAsia" w:ascii="仿宋" w:hAnsi="仿宋" w:eastAsia="仿宋"/>
          <w:color w:val="000000"/>
          <w:sz w:val="32"/>
          <w:szCs w:val="32"/>
        </w:rPr>
        <w:t>年一般公共预算财政拨款支出</w:t>
      </w:r>
      <w:r>
        <w:rPr>
          <w:rFonts w:ascii="仿宋" w:hAnsi="仿宋" w:eastAsia="仿宋"/>
          <w:color w:val="000000"/>
          <w:sz w:val="32"/>
          <w:szCs w:val="32"/>
        </w:rPr>
        <w:t>1064.68</w:t>
      </w:r>
      <w:r>
        <w:rPr>
          <w:rFonts w:hint="eastAsia" w:ascii="仿宋" w:hAnsi="仿宋" w:eastAsia="仿宋"/>
          <w:color w:val="000000"/>
          <w:sz w:val="32"/>
          <w:szCs w:val="32"/>
        </w:rPr>
        <w:t>万元，主要用于以下方面</w:t>
      </w:r>
      <w:r>
        <w:rPr>
          <w:rFonts w:ascii="仿宋" w:hAnsi="仿宋" w:eastAsia="仿宋"/>
          <w:color w:val="000000"/>
          <w:sz w:val="32"/>
          <w:szCs w:val="32"/>
        </w:rPr>
        <w:t>:</w:t>
      </w:r>
      <w:r>
        <w:rPr>
          <w:rFonts w:hint="eastAsia" w:ascii="仿宋" w:hAnsi="仿宋" w:eastAsia="仿宋"/>
          <w:b/>
          <w:color w:val="000000"/>
          <w:sz w:val="32"/>
          <w:szCs w:val="32"/>
        </w:rPr>
        <w:t>一般公共服务（类）</w:t>
      </w:r>
      <w:r>
        <w:rPr>
          <w:rFonts w:hint="eastAsia" w:ascii="仿宋" w:hAnsi="仿宋" w:eastAsia="仿宋"/>
          <w:color w:val="000000"/>
          <w:sz w:val="32"/>
          <w:szCs w:val="32"/>
        </w:rPr>
        <w:t>支出</w:t>
      </w:r>
      <w:r>
        <w:rPr>
          <w:rFonts w:ascii="仿宋" w:hAnsi="仿宋" w:eastAsia="仿宋"/>
          <w:color w:val="000000"/>
          <w:sz w:val="32"/>
          <w:szCs w:val="32"/>
        </w:rPr>
        <w:t>817.50</w:t>
      </w:r>
      <w:r>
        <w:rPr>
          <w:rFonts w:hint="eastAsia" w:ascii="仿宋" w:hAnsi="仿宋" w:eastAsia="仿宋"/>
          <w:color w:val="000000"/>
          <w:sz w:val="32"/>
          <w:szCs w:val="32"/>
        </w:rPr>
        <w:t>万元，占</w:t>
      </w:r>
      <w:r>
        <w:rPr>
          <w:rFonts w:ascii="仿宋" w:hAnsi="仿宋" w:eastAsia="仿宋"/>
          <w:color w:val="000000"/>
          <w:sz w:val="32"/>
          <w:szCs w:val="32"/>
        </w:rPr>
        <w:t>76.78%</w:t>
      </w:r>
      <w:r>
        <w:rPr>
          <w:rFonts w:hint="eastAsia" w:ascii="仿宋" w:hAnsi="仿宋" w:eastAsia="仿宋"/>
          <w:color w:val="000000"/>
          <w:sz w:val="32"/>
          <w:szCs w:val="32"/>
        </w:rPr>
        <w:t>；</w:t>
      </w:r>
      <w:r>
        <w:rPr>
          <w:rFonts w:hint="eastAsia" w:ascii="仿宋" w:hAnsi="仿宋" w:eastAsia="仿宋"/>
          <w:b/>
          <w:color w:val="000000"/>
          <w:sz w:val="32"/>
          <w:szCs w:val="32"/>
        </w:rPr>
        <w:t>教育支出（类）</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w:t>
      </w:r>
      <w:r>
        <w:rPr>
          <w:rFonts w:hint="eastAsia" w:ascii="仿宋" w:hAnsi="仿宋" w:eastAsia="仿宋"/>
          <w:b/>
          <w:color w:val="000000"/>
          <w:sz w:val="32"/>
          <w:szCs w:val="32"/>
        </w:rPr>
        <w:t>科学技术（类）</w:t>
      </w:r>
      <w:r>
        <w:rPr>
          <w:rFonts w:hint="eastAsia" w:ascii="仿宋" w:hAnsi="仿宋" w:eastAsia="仿宋"/>
          <w:color w:val="000000"/>
          <w:sz w:val="32"/>
          <w:szCs w:val="32"/>
        </w:rPr>
        <w:t>支出</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w:t>
      </w:r>
      <w:r>
        <w:rPr>
          <w:rFonts w:hint="eastAsia" w:ascii="仿宋" w:hAnsi="仿宋" w:eastAsia="仿宋"/>
          <w:b/>
          <w:color w:val="000000"/>
          <w:sz w:val="32"/>
          <w:szCs w:val="32"/>
        </w:rPr>
        <w:t>社会保障和就业（类）</w:t>
      </w:r>
      <w:r>
        <w:rPr>
          <w:rFonts w:hint="eastAsia" w:ascii="仿宋" w:hAnsi="仿宋" w:eastAsia="仿宋"/>
          <w:color w:val="000000"/>
          <w:sz w:val="32"/>
          <w:szCs w:val="32"/>
        </w:rPr>
        <w:t>支出</w:t>
      </w:r>
      <w:r>
        <w:rPr>
          <w:rFonts w:ascii="仿宋" w:hAnsi="仿宋" w:eastAsia="仿宋"/>
          <w:color w:val="000000"/>
          <w:sz w:val="32"/>
          <w:szCs w:val="32"/>
        </w:rPr>
        <w:t>39.21</w:t>
      </w:r>
      <w:r>
        <w:rPr>
          <w:rFonts w:hint="eastAsia" w:ascii="仿宋" w:hAnsi="仿宋" w:eastAsia="仿宋"/>
          <w:color w:val="000000"/>
          <w:sz w:val="32"/>
          <w:szCs w:val="32"/>
        </w:rPr>
        <w:t>万元，占</w:t>
      </w:r>
      <w:r>
        <w:rPr>
          <w:rFonts w:ascii="仿宋" w:hAnsi="仿宋" w:eastAsia="仿宋"/>
          <w:color w:val="000000"/>
          <w:sz w:val="32"/>
          <w:szCs w:val="32"/>
        </w:rPr>
        <w:t>3.68%</w:t>
      </w:r>
      <w:r>
        <w:rPr>
          <w:rFonts w:hint="eastAsia" w:ascii="仿宋" w:hAnsi="仿宋" w:eastAsia="仿宋"/>
          <w:color w:val="000000"/>
          <w:sz w:val="32"/>
          <w:szCs w:val="32"/>
        </w:rPr>
        <w:t>；医疗卫生支出</w:t>
      </w:r>
      <w:r>
        <w:rPr>
          <w:rFonts w:ascii="仿宋" w:hAnsi="仿宋" w:eastAsia="仿宋"/>
          <w:color w:val="000000"/>
          <w:sz w:val="32"/>
          <w:szCs w:val="32"/>
        </w:rPr>
        <w:t>9.21</w:t>
      </w:r>
      <w:r>
        <w:rPr>
          <w:rFonts w:hint="eastAsia" w:ascii="仿宋" w:hAnsi="仿宋" w:eastAsia="仿宋"/>
          <w:color w:val="000000"/>
          <w:sz w:val="32"/>
          <w:szCs w:val="32"/>
        </w:rPr>
        <w:t>万元，占</w:t>
      </w:r>
      <w:r>
        <w:rPr>
          <w:rFonts w:ascii="仿宋" w:hAnsi="仿宋" w:eastAsia="仿宋"/>
          <w:color w:val="000000"/>
          <w:sz w:val="32"/>
          <w:szCs w:val="32"/>
        </w:rPr>
        <w:t>0.87%</w:t>
      </w:r>
      <w:r>
        <w:rPr>
          <w:rFonts w:hint="eastAsia" w:ascii="仿宋" w:hAnsi="仿宋" w:eastAsia="仿宋"/>
          <w:color w:val="000000"/>
          <w:sz w:val="32"/>
          <w:szCs w:val="32"/>
        </w:rPr>
        <w:t>；住房保障支出</w:t>
      </w:r>
      <w:r>
        <w:rPr>
          <w:rFonts w:ascii="仿宋" w:hAnsi="仿宋" w:eastAsia="仿宋"/>
          <w:color w:val="000000"/>
          <w:sz w:val="32"/>
          <w:szCs w:val="32"/>
        </w:rPr>
        <w:t>19.60</w:t>
      </w:r>
      <w:r>
        <w:rPr>
          <w:rFonts w:hint="eastAsia" w:ascii="仿宋" w:hAnsi="仿宋" w:eastAsia="仿宋"/>
          <w:color w:val="000000"/>
          <w:sz w:val="32"/>
          <w:szCs w:val="32"/>
        </w:rPr>
        <w:t>万元，占</w:t>
      </w:r>
      <w:r>
        <w:rPr>
          <w:rFonts w:ascii="仿宋" w:hAnsi="仿宋" w:eastAsia="仿宋"/>
          <w:color w:val="000000"/>
          <w:sz w:val="32"/>
          <w:szCs w:val="32"/>
        </w:rPr>
        <w:t>1.84%</w:t>
      </w:r>
      <w:r>
        <w:rPr>
          <w:rFonts w:hint="eastAsia" w:ascii="仿宋" w:hAnsi="仿宋" w:eastAsia="仿宋"/>
          <w:color w:val="000000"/>
          <w:sz w:val="32"/>
          <w:szCs w:val="32"/>
        </w:rPr>
        <w:t>；文化体育与传媒支出</w:t>
      </w:r>
      <w:r>
        <w:rPr>
          <w:rFonts w:ascii="仿宋" w:hAnsi="仿宋" w:eastAsia="仿宋"/>
          <w:color w:val="000000"/>
          <w:sz w:val="32"/>
          <w:szCs w:val="32"/>
        </w:rPr>
        <w:t>178.97</w:t>
      </w:r>
      <w:r>
        <w:rPr>
          <w:rFonts w:hint="eastAsia" w:ascii="仿宋" w:hAnsi="仿宋" w:eastAsia="仿宋"/>
          <w:color w:val="000000"/>
          <w:sz w:val="32"/>
          <w:szCs w:val="32"/>
        </w:rPr>
        <w:t>万元，占</w:t>
      </w:r>
      <w:r>
        <w:rPr>
          <w:rFonts w:ascii="仿宋" w:hAnsi="仿宋" w:eastAsia="仿宋"/>
          <w:color w:val="000000"/>
          <w:sz w:val="32"/>
          <w:szCs w:val="32"/>
        </w:rPr>
        <w:t>16.8%</w:t>
      </w:r>
      <w:r>
        <w:rPr>
          <w:rFonts w:hint="eastAsia" w:ascii="仿宋" w:hAnsi="仿宋" w:eastAsia="仿宋"/>
          <w:color w:val="000000"/>
          <w:sz w:val="32"/>
          <w:szCs w:val="32"/>
        </w:rPr>
        <w:t>；农林水支出</w:t>
      </w:r>
      <w:r>
        <w:rPr>
          <w:rFonts w:ascii="仿宋" w:hAnsi="仿宋" w:eastAsia="仿宋"/>
          <w:color w:val="000000"/>
          <w:sz w:val="32"/>
          <w:szCs w:val="32"/>
        </w:rPr>
        <w:t>0.18</w:t>
      </w:r>
      <w:r>
        <w:rPr>
          <w:rFonts w:hint="eastAsia" w:ascii="仿宋" w:hAnsi="仿宋" w:eastAsia="仿宋"/>
          <w:color w:val="000000"/>
          <w:sz w:val="32"/>
          <w:szCs w:val="32"/>
        </w:rPr>
        <w:t>万元，占</w:t>
      </w:r>
      <w:r>
        <w:rPr>
          <w:rFonts w:ascii="仿宋" w:hAnsi="仿宋" w:eastAsia="仿宋"/>
          <w:color w:val="000000"/>
          <w:sz w:val="32"/>
          <w:szCs w:val="32"/>
        </w:rPr>
        <w:t>0.02%</w:t>
      </w:r>
      <w:r>
        <w:rPr>
          <w:rFonts w:hint="eastAsia" w:ascii="仿宋" w:hAnsi="仿宋" w:eastAsia="仿宋"/>
          <w:color w:val="000000"/>
          <w:sz w:val="32"/>
          <w:szCs w:val="32"/>
        </w:rPr>
        <w:t>；…。</w:t>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pict>
          <v:shape id="_x0000_i1030" o:spt="75" type="#_x0000_t75" style="height:212.25pt;width:354pt;" filled="f" o:preferrelative="t" stroked="f" coordsize="21600,21600">
            <v:path/>
            <v:fill on="f" focussize="0,0"/>
            <v:stroke on="f" joinstyle="miter"/>
            <v:imagedata r:id="rId11" o:title=""/>
            <o:lock v:ext="edit" aspectratio="t"/>
            <w10:wrap type="none"/>
            <w10:anchorlock/>
          </v:shape>
        </w:pict>
      </w:r>
    </w:p>
    <w:p>
      <w:pPr>
        <w:spacing w:line="600" w:lineRule="exact"/>
        <w:rPr>
          <w:rFonts w:ascii="仿宋" w:hAnsi="仿宋" w:eastAsia="仿宋"/>
          <w:color w:val="000000"/>
          <w:sz w:val="32"/>
          <w:szCs w:val="32"/>
        </w:rPr>
      </w:pPr>
    </w:p>
    <w:p>
      <w:pPr>
        <w:spacing w:line="600" w:lineRule="exact"/>
        <w:ind w:firstLine="643" w:firstLineChars="200"/>
        <w:outlineLvl w:val="2"/>
        <w:rPr>
          <w:rFonts w:ascii="仿宋" w:hAnsi="仿宋" w:eastAsia="仿宋"/>
          <w:b/>
          <w:color w:val="000000"/>
          <w:sz w:val="32"/>
          <w:szCs w:val="32"/>
        </w:rPr>
      </w:pPr>
      <w:bookmarkStart w:id="34" w:name="_Toc15377212"/>
      <w:r>
        <w:rPr>
          <w:rFonts w:hint="eastAsia" w:ascii="仿宋" w:hAnsi="仿宋" w:eastAsia="仿宋"/>
          <w:b/>
          <w:color w:val="000000"/>
          <w:sz w:val="32"/>
          <w:szCs w:val="32"/>
        </w:rPr>
        <w:t>（三）一般公共预算财政拨款支出决算具体情况</w:t>
      </w:r>
      <w:bookmarkEnd w:id="34"/>
    </w:p>
    <w:p>
      <w:pPr>
        <w:spacing w:line="600" w:lineRule="exact"/>
        <w:ind w:firstLine="643" w:firstLineChars="200"/>
        <w:outlineLvl w:val="2"/>
        <w:rPr>
          <w:rFonts w:ascii="仿宋" w:hAnsi="仿宋" w:eastAsia="仿宋"/>
          <w:color w:val="FF0000"/>
          <w:sz w:val="32"/>
          <w:szCs w:val="32"/>
        </w:rPr>
      </w:pPr>
      <w:bookmarkStart w:id="35" w:name="_Toc15377213"/>
      <w:bookmarkStart w:id="36" w:name="_Toc15377444"/>
      <w:bookmarkStart w:id="37" w:name="_Toc15378460"/>
      <w:r>
        <w:rPr>
          <w:rFonts w:ascii="仿宋" w:hAnsi="仿宋" w:eastAsia="仿宋"/>
          <w:b/>
          <w:color w:val="000000"/>
          <w:sz w:val="32"/>
          <w:szCs w:val="32"/>
        </w:rPr>
        <w:t>2018</w:t>
      </w:r>
      <w:r>
        <w:rPr>
          <w:rFonts w:hint="eastAsia" w:ascii="仿宋" w:hAnsi="仿宋" w:eastAsia="仿宋"/>
          <w:b/>
          <w:color w:val="000000"/>
          <w:sz w:val="32"/>
          <w:szCs w:val="32"/>
        </w:rPr>
        <w:t>年一般公共预算支出决算数为</w:t>
      </w:r>
      <w:r>
        <w:rPr>
          <w:rFonts w:ascii="仿宋" w:hAnsi="仿宋" w:eastAsia="仿宋"/>
          <w:b/>
          <w:color w:val="000000"/>
          <w:sz w:val="32"/>
          <w:szCs w:val="32"/>
        </w:rPr>
        <w:t>1064.68</w:t>
      </w:r>
      <w:r>
        <w:rPr>
          <w:rFonts w:hint="eastAsia" w:ascii="仿宋" w:hAnsi="仿宋" w:eastAsia="仿宋"/>
          <w:b/>
          <w:color w:val="000000"/>
          <w:sz w:val="32"/>
          <w:szCs w:val="32"/>
        </w:rPr>
        <w:t>元</w:t>
      </w:r>
      <w:r>
        <w:rPr>
          <w:rFonts w:hint="eastAsia" w:ascii="仿宋" w:hAnsi="仿宋" w:eastAsia="仿宋"/>
          <w:color w:val="000000"/>
          <w:sz w:val="32"/>
          <w:szCs w:val="32"/>
        </w:rPr>
        <w:t>，</w:t>
      </w:r>
      <w:r>
        <w:rPr>
          <w:rStyle w:val="14"/>
          <w:rFonts w:hint="eastAsia" w:ascii="仿宋" w:hAnsi="仿宋" w:eastAsia="仿宋"/>
          <w:bCs/>
          <w:color w:val="000000"/>
          <w:sz w:val="32"/>
          <w:szCs w:val="32"/>
        </w:rPr>
        <w:t>完成预算</w:t>
      </w:r>
      <w:r>
        <w:rPr>
          <w:rStyle w:val="14"/>
          <w:rFonts w:ascii="仿宋" w:hAnsi="仿宋" w:eastAsia="仿宋"/>
          <w:bCs/>
          <w:color w:val="000000"/>
          <w:sz w:val="32"/>
          <w:szCs w:val="32"/>
        </w:rPr>
        <w:t>100%</w:t>
      </w:r>
      <w:r>
        <w:rPr>
          <w:rStyle w:val="14"/>
          <w:rFonts w:hint="eastAsia" w:ascii="仿宋" w:hAnsi="仿宋" w:eastAsia="仿宋"/>
          <w:bCs/>
          <w:color w:val="000000"/>
          <w:sz w:val="32"/>
          <w:szCs w:val="32"/>
        </w:rPr>
        <w:t>。其中：</w:t>
      </w:r>
      <w:bookmarkEnd w:id="35"/>
      <w:bookmarkEnd w:id="36"/>
      <w:bookmarkEnd w:id="37"/>
    </w:p>
    <w:p>
      <w:pPr>
        <w:spacing w:line="600" w:lineRule="exact"/>
        <w:ind w:firstLine="643" w:firstLineChars="200"/>
        <w:rPr>
          <w:rFonts w:ascii="仿宋" w:hAnsi="仿宋" w:eastAsia="仿宋"/>
          <w:b/>
          <w:color w:val="000000"/>
          <w:sz w:val="32"/>
          <w:szCs w:val="32"/>
        </w:rPr>
      </w:pPr>
      <w:r>
        <w:rPr>
          <w:rStyle w:val="14"/>
          <w:rFonts w:ascii="仿宋" w:hAnsi="仿宋" w:eastAsia="仿宋"/>
          <w:bCs/>
          <w:color w:val="000000"/>
          <w:sz w:val="32"/>
          <w:szCs w:val="32"/>
        </w:rPr>
        <w:t>1.</w:t>
      </w:r>
      <w:r>
        <w:rPr>
          <w:rStyle w:val="14"/>
          <w:rFonts w:hint="eastAsia" w:ascii="仿宋" w:hAnsi="仿宋" w:eastAsia="仿宋"/>
          <w:bCs/>
          <w:color w:val="000000"/>
          <w:sz w:val="32"/>
          <w:szCs w:val="32"/>
        </w:rPr>
        <w:t>一般公共服务（类）</w:t>
      </w:r>
      <w:r>
        <w:rPr>
          <w:rStyle w:val="14"/>
          <w:rFonts w:ascii="仿宋" w:hAnsi="仿宋" w:eastAsia="仿宋"/>
          <w:bCs/>
          <w:color w:val="000000"/>
          <w:sz w:val="32"/>
          <w:szCs w:val="32"/>
        </w:rPr>
        <w:t>201</w:t>
      </w:r>
      <w:r>
        <w:rPr>
          <w:rStyle w:val="14"/>
          <w:rFonts w:hint="eastAsia" w:ascii="仿宋" w:hAnsi="仿宋" w:eastAsia="仿宋"/>
          <w:bCs/>
          <w:color w:val="000000"/>
          <w:sz w:val="32"/>
          <w:szCs w:val="32"/>
        </w:rPr>
        <w:t>（款）</w:t>
      </w:r>
      <w:r>
        <w:rPr>
          <w:rStyle w:val="14"/>
          <w:rFonts w:ascii="仿宋" w:hAnsi="仿宋" w:eastAsia="仿宋"/>
          <w:bCs/>
          <w:color w:val="000000"/>
          <w:sz w:val="32"/>
          <w:szCs w:val="32"/>
        </w:rPr>
        <w:t>23</w:t>
      </w:r>
      <w:r>
        <w:rPr>
          <w:rStyle w:val="14"/>
          <w:rFonts w:hint="eastAsia" w:ascii="仿宋" w:hAnsi="仿宋" w:eastAsia="仿宋"/>
          <w:bCs/>
          <w:color w:val="000000"/>
          <w:sz w:val="32"/>
          <w:szCs w:val="32"/>
        </w:rPr>
        <w:t>（项）</w:t>
      </w:r>
      <w:r>
        <w:rPr>
          <w:rStyle w:val="14"/>
          <w:rFonts w:ascii="仿宋" w:hAnsi="仿宋" w:eastAsia="仿宋"/>
          <w:bCs/>
          <w:color w:val="000000"/>
          <w:sz w:val="32"/>
          <w:szCs w:val="32"/>
        </w:rPr>
        <w:t>99:</w:t>
      </w:r>
      <w:r>
        <w:rPr>
          <w:rStyle w:val="14"/>
          <w:rFonts w:hint="eastAsia" w:ascii="仿宋" w:hAnsi="仿宋" w:eastAsia="仿宋"/>
          <w:b w:val="0"/>
          <w:bCs/>
          <w:color w:val="000000"/>
          <w:sz w:val="32"/>
          <w:szCs w:val="32"/>
        </w:rPr>
        <w:t>支出决算为</w:t>
      </w:r>
      <w:r>
        <w:rPr>
          <w:rStyle w:val="14"/>
          <w:rFonts w:ascii="仿宋" w:hAnsi="仿宋" w:eastAsia="仿宋"/>
          <w:b w:val="0"/>
          <w:bCs/>
          <w:color w:val="000000"/>
          <w:sz w:val="32"/>
          <w:szCs w:val="32"/>
        </w:rPr>
        <w:t>2.83</w:t>
      </w:r>
      <w:r>
        <w:rPr>
          <w:rStyle w:val="14"/>
          <w:rFonts w:hint="eastAsia" w:ascii="仿宋" w:hAnsi="仿宋" w:eastAsia="仿宋"/>
          <w:b w:val="0"/>
          <w:bCs/>
          <w:color w:val="000000"/>
          <w:sz w:val="32"/>
          <w:szCs w:val="32"/>
        </w:rPr>
        <w:t>万元，完成预算</w:t>
      </w:r>
      <w:r>
        <w:rPr>
          <w:rStyle w:val="14"/>
          <w:rFonts w:ascii="仿宋" w:hAnsi="仿宋" w:eastAsia="仿宋"/>
          <w:b w:val="0"/>
          <w:bCs/>
          <w:color w:val="000000"/>
          <w:sz w:val="32"/>
          <w:szCs w:val="32"/>
        </w:rPr>
        <w:t>100%</w:t>
      </w:r>
      <w:r>
        <w:rPr>
          <w:rStyle w:val="14"/>
          <w:rFonts w:hint="eastAsia" w:ascii="仿宋" w:hAnsi="仿宋" w:eastAsia="仿宋"/>
          <w:b w:val="0"/>
          <w:bCs/>
          <w:color w:val="000000"/>
          <w:sz w:val="32"/>
          <w:szCs w:val="32"/>
        </w:rPr>
        <w:t>。</w:t>
      </w:r>
      <w:r>
        <w:rPr>
          <w:rStyle w:val="14"/>
          <w:rFonts w:hint="eastAsia" w:ascii="仿宋" w:hAnsi="仿宋" w:eastAsia="仿宋"/>
          <w:bCs/>
          <w:color w:val="000000"/>
          <w:sz w:val="32"/>
          <w:szCs w:val="32"/>
        </w:rPr>
        <w:t>一般公共服务（类）</w:t>
      </w:r>
      <w:r>
        <w:rPr>
          <w:rStyle w:val="14"/>
          <w:rFonts w:ascii="仿宋" w:hAnsi="仿宋" w:eastAsia="仿宋"/>
          <w:bCs/>
          <w:color w:val="000000"/>
          <w:sz w:val="32"/>
          <w:szCs w:val="32"/>
        </w:rPr>
        <w:t>201</w:t>
      </w:r>
      <w:r>
        <w:rPr>
          <w:rStyle w:val="14"/>
          <w:rFonts w:hint="eastAsia" w:ascii="仿宋" w:hAnsi="仿宋" w:eastAsia="仿宋"/>
          <w:bCs/>
          <w:color w:val="000000"/>
          <w:sz w:val="32"/>
          <w:szCs w:val="32"/>
        </w:rPr>
        <w:t>（款）</w:t>
      </w:r>
      <w:r>
        <w:rPr>
          <w:rStyle w:val="14"/>
          <w:rFonts w:ascii="仿宋" w:hAnsi="仿宋" w:eastAsia="仿宋"/>
          <w:bCs/>
          <w:color w:val="000000"/>
          <w:sz w:val="32"/>
          <w:szCs w:val="32"/>
        </w:rPr>
        <w:t>33</w:t>
      </w:r>
      <w:r>
        <w:rPr>
          <w:rStyle w:val="14"/>
          <w:rFonts w:hint="eastAsia" w:ascii="仿宋" w:hAnsi="仿宋" w:eastAsia="仿宋"/>
          <w:bCs/>
          <w:color w:val="000000"/>
          <w:sz w:val="32"/>
          <w:szCs w:val="32"/>
        </w:rPr>
        <w:t>（项）</w:t>
      </w:r>
      <w:r>
        <w:rPr>
          <w:rStyle w:val="14"/>
          <w:rFonts w:ascii="仿宋" w:hAnsi="仿宋" w:eastAsia="仿宋"/>
          <w:bCs/>
          <w:color w:val="000000"/>
          <w:sz w:val="32"/>
          <w:szCs w:val="32"/>
        </w:rPr>
        <w:t>01:</w:t>
      </w:r>
      <w:r>
        <w:rPr>
          <w:rStyle w:val="14"/>
          <w:rFonts w:hint="eastAsia" w:ascii="仿宋" w:hAnsi="仿宋" w:eastAsia="仿宋"/>
          <w:b w:val="0"/>
          <w:bCs/>
          <w:color w:val="000000"/>
          <w:sz w:val="32"/>
          <w:szCs w:val="32"/>
        </w:rPr>
        <w:t>支出决算为</w:t>
      </w:r>
      <w:r>
        <w:rPr>
          <w:rStyle w:val="14"/>
          <w:rFonts w:ascii="仿宋" w:hAnsi="仿宋" w:eastAsia="仿宋"/>
          <w:b w:val="0"/>
          <w:bCs/>
          <w:color w:val="000000"/>
          <w:sz w:val="32"/>
          <w:szCs w:val="32"/>
        </w:rPr>
        <w:t>535.64</w:t>
      </w:r>
      <w:r>
        <w:rPr>
          <w:rStyle w:val="14"/>
          <w:rFonts w:hint="eastAsia" w:ascii="仿宋" w:hAnsi="仿宋" w:eastAsia="仿宋"/>
          <w:b w:val="0"/>
          <w:bCs/>
          <w:color w:val="000000"/>
          <w:sz w:val="32"/>
          <w:szCs w:val="32"/>
        </w:rPr>
        <w:t>万元，完成预算</w:t>
      </w:r>
      <w:r>
        <w:rPr>
          <w:rStyle w:val="14"/>
          <w:rFonts w:ascii="仿宋" w:hAnsi="仿宋" w:eastAsia="仿宋"/>
          <w:b w:val="0"/>
          <w:bCs/>
          <w:color w:val="000000"/>
          <w:sz w:val="32"/>
          <w:szCs w:val="32"/>
        </w:rPr>
        <w:t>100%</w:t>
      </w:r>
      <w:r>
        <w:rPr>
          <w:rStyle w:val="14"/>
          <w:rFonts w:hint="eastAsia" w:ascii="仿宋" w:hAnsi="仿宋" w:eastAsia="仿宋"/>
          <w:b w:val="0"/>
          <w:bCs/>
          <w:color w:val="000000"/>
          <w:sz w:val="32"/>
          <w:szCs w:val="32"/>
        </w:rPr>
        <w:t>。</w:t>
      </w:r>
      <w:r>
        <w:rPr>
          <w:rStyle w:val="14"/>
          <w:rFonts w:hint="eastAsia" w:ascii="仿宋" w:hAnsi="仿宋" w:eastAsia="仿宋"/>
          <w:bCs/>
          <w:color w:val="000000"/>
          <w:sz w:val="32"/>
          <w:szCs w:val="32"/>
        </w:rPr>
        <w:t>一般公共服务（类）</w:t>
      </w:r>
      <w:r>
        <w:rPr>
          <w:rStyle w:val="14"/>
          <w:rFonts w:ascii="仿宋" w:hAnsi="仿宋" w:eastAsia="仿宋"/>
          <w:bCs/>
          <w:color w:val="000000"/>
          <w:sz w:val="32"/>
          <w:szCs w:val="32"/>
        </w:rPr>
        <w:t>201</w:t>
      </w:r>
      <w:r>
        <w:rPr>
          <w:rStyle w:val="14"/>
          <w:rFonts w:hint="eastAsia" w:ascii="仿宋" w:hAnsi="仿宋" w:eastAsia="仿宋"/>
          <w:bCs/>
          <w:color w:val="000000"/>
          <w:sz w:val="32"/>
          <w:szCs w:val="32"/>
        </w:rPr>
        <w:t>（款）</w:t>
      </w:r>
      <w:r>
        <w:rPr>
          <w:rStyle w:val="14"/>
          <w:rFonts w:ascii="仿宋" w:hAnsi="仿宋" w:eastAsia="仿宋"/>
          <w:bCs/>
          <w:color w:val="000000"/>
          <w:sz w:val="32"/>
          <w:szCs w:val="32"/>
        </w:rPr>
        <w:t>33</w:t>
      </w:r>
      <w:r>
        <w:rPr>
          <w:rStyle w:val="14"/>
          <w:rFonts w:hint="eastAsia" w:ascii="仿宋" w:hAnsi="仿宋" w:eastAsia="仿宋"/>
          <w:bCs/>
          <w:color w:val="000000"/>
          <w:sz w:val="32"/>
          <w:szCs w:val="32"/>
        </w:rPr>
        <w:t>（项）</w:t>
      </w:r>
      <w:r>
        <w:rPr>
          <w:rStyle w:val="14"/>
          <w:rFonts w:ascii="仿宋" w:hAnsi="仿宋" w:eastAsia="仿宋"/>
          <w:bCs/>
          <w:color w:val="000000"/>
          <w:sz w:val="32"/>
          <w:szCs w:val="32"/>
        </w:rPr>
        <w:t>99:</w:t>
      </w:r>
      <w:r>
        <w:rPr>
          <w:rStyle w:val="14"/>
          <w:rFonts w:hint="eastAsia" w:ascii="仿宋" w:hAnsi="仿宋" w:eastAsia="仿宋"/>
          <w:b w:val="0"/>
          <w:bCs/>
          <w:color w:val="000000"/>
          <w:sz w:val="32"/>
          <w:szCs w:val="32"/>
        </w:rPr>
        <w:t>支出决算为</w:t>
      </w:r>
      <w:r>
        <w:rPr>
          <w:rStyle w:val="14"/>
          <w:rFonts w:ascii="仿宋" w:hAnsi="仿宋" w:eastAsia="仿宋"/>
          <w:b w:val="0"/>
          <w:bCs/>
          <w:color w:val="000000"/>
          <w:sz w:val="32"/>
          <w:szCs w:val="32"/>
        </w:rPr>
        <w:t>279.03</w:t>
      </w:r>
      <w:r>
        <w:rPr>
          <w:rStyle w:val="14"/>
          <w:rFonts w:hint="eastAsia" w:ascii="仿宋" w:hAnsi="仿宋" w:eastAsia="仿宋"/>
          <w:b w:val="0"/>
          <w:bCs/>
          <w:color w:val="000000"/>
          <w:sz w:val="32"/>
          <w:szCs w:val="32"/>
        </w:rPr>
        <w:t>万元，完成预算</w:t>
      </w:r>
      <w:r>
        <w:rPr>
          <w:rStyle w:val="14"/>
          <w:rFonts w:ascii="仿宋" w:hAnsi="仿宋" w:eastAsia="仿宋"/>
          <w:b w:val="0"/>
          <w:bCs/>
          <w:color w:val="000000"/>
          <w:sz w:val="32"/>
          <w:szCs w:val="32"/>
        </w:rPr>
        <w:t>100%</w:t>
      </w:r>
      <w:r>
        <w:rPr>
          <w:rStyle w:val="14"/>
          <w:rFonts w:hint="eastAsia" w:ascii="仿宋" w:hAnsi="仿宋" w:eastAsia="仿宋"/>
          <w:b w:val="0"/>
          <w:bCs/>
          <w:color w:val="000000"/>
          <w:sz w:val="32"/>
          <w:szCs w:val="32"/>
        </w:rPr>
        <w:t>。</w:t>
      </w:r>
    </w:p>
    <w:p>
      <w:pPr>
        <w:spacing w:line="600" w:lineRule="exact"/>
        <w:ind w:firstLine="643" w:firstLineChars="200"/>
        <w:rPr>
          <w:rFonts w:ascii="仿宋" w:hAnsi="仿宋" w:eastAsia="仿宋"/>
          <w:b/>
          <w:color w:val="000000"/>
          <w:sz w:val="32"/>
          <w:szCs w:val="32"/>
        </w:rPr>
      </w:pPr>
      <w:r>
        <w:rPr>
          <w:rStyle w:val="14"/>
          <w:rFonts w:ascii="仿宋" w:hAnsi="仿宋" w:eastAsia="仿宋"/>
          <w:bCs/>
          <w:color w:val="000000"/>
          <w:sz w:val="32"/>
          <w:szCs w:val="32"/>
        </w:rPr>
        <w:t>2.</w:t>
      </w:r>
      <w:r>
        <w:rPr>
          <w:rStyle w:val="14"/>
          <w:rFonts w:hint="eastAsia" w:ascii="仿宋" w:hAnsi="仿宋" w:eastAsia="仿宋"/>
          <w:bCs/>
          <w:color w:val="000000"/>
          <w:sz w:val="32"/>
          <w:szCs w:val="32"/>
        </w:rPr>
        <w:t>教育（类）</w:t>
      </w:r>
      <w:r>
        <w:rPr>
          <w:rStyle w:val="14"/>
          <w:rFonts w:ascii="仿宋" w:hAnsi="仿宋" w:eastAsia="仿宋"/>
          <w:bCs/>
          <w:color w:val="000000"/>
          <w:sz w:val="32"/>
          <w:szCs w:val="32"/>
        </w:rPr>
        <w:t>***</w:t>
      </w:r>
      <w:r>
        <w:rPr>
          <w:rStyle w:val="14"/>
          <w:rFonts w:hint="eastAsia" w:ascii="仿宋" w:hAnsi="仿宋" w:eastAsia="仿宋"/>
          <w:bCs/>
          <w:color w:val="000000"/>
          <w:sz w:val="32"/>
          <w:szCs w:val="32"/>
        </w:rPr>
        <w:t>（款）</w:t>
      </w:r>
      <w:r>
        <w:rPr>
          <w:rStyle w:val="14"/>
          <w:rFonts w:ascii="仿宋" w:hAnsi="仿宋" w:eastAsia="仿宋"/>
          <w:bCs/>
          <w:color w:val="000000"/>
          <w:sz w:val="32"/>
          <w:szCs w:val="32"/>
        </w:rPr>
        <w:t>***</w:t>
      </w:r>
      <w:r>
        <w:rPr>
          <w:rStyle w:val="14"/>
          <w:rFonts w:hint="eastAsia" w:ascii="仿宋" w:hAnsi="仿宋" w:eastAsia="仿宋"/>
          <w:bCs/>
          <w:color w:val="000000"/>
          <w:sz w:val="32"/>
          <w:szCs w:val="32"/>
        </w:rPr>
        <w:t>（项）</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rPr>
        <w:t>支出决算为</w:t>
      </w:r>
      <w:r>
        <w:rPr>
          <w:rStyle w:val="14"/>
          <w:rFonts w:ascii="仿宋" w:hAnsi="仿宋" w:eastAsia="仿宋"/>
          <w:b w:val="0"/>
          <w:bCs/>
          <w:color w:val="000000"/>
          <w:sz w:val="32"/>
          <w:szCs w:val="32"/>
        </w:rPr>
        <w:t>0</w:t>
      </w:r>
      <w:r>
        <w:rPr>
          <w:rStyle w:val="14"/>
          <w:rFonts w:hint="eastAsia" w:ascii="仿宋" w:hAnsi="仿宋" w:eastAsia="仿宋"/>
          <w:b w:val="0"/>
          <w:bCs/>
          <w:color w:val="000000"/>
          <w:sz w:val="32"/>
          <w:szCs w:val="32"/>
        </w:rPr>
        <w:t>万元，完成预算</w:t>
      </w:r>
      <w:r>
        <w:rPr>
          <w:rStyle w:val="14"/>
          <w:rFonts w:ascii="仿宋" w:hAnsi="仿宋" w:eastAsia="仿宋"/>
          <w:b w:val="0"/>
          <w:bCs/>
          <w:color w:val="000000"/>
          <w:sz w:val="32"/>
          <w:szCs w:val="32"/>
        </w:rPr>
        <w:t>0%</w:t>
      </w:r>
      <w:r>
        <w:rPr>
          <w:rStyle w:val="14"/>
          <w:rFonts w:hint="eastAsia" w:ascii="仿宋" w:hAnsi="仿宋" w:eastAsia="仿宋"/>
          <w:b w:val="0"/>
          <w:bCs/>
          <w:color w:val="000000"/>
          <w:sz w:val="32"/>
          <w:szCs w:val="32"/>
        </w:rPr>
        <w:t>，决算数小于</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等于预算数的主要原因是</w:t>
      </w:r>
      <w:r>
        <w:rPr>
          <w:rStyle w:val="14"/>
          <w:rFonts w:ascii="仿宋" w:hAnsi="仿宋" w:eastAsia="仿宋"/>
          <w:b w:val="0"/>
          <w:bCs/>
          <w:color w:val="000000"/>
          <w:sz w:val="32"/>
          <w:szCs w:val="32"/>
        </w:rPr>
        <w:t>0</w:t>
      </w:r>
      <w:r>
        <w:rPr>
          <w:rStyle w:val="14"/>
          <w:rFonts w:hint="eastAsia" w:ascii="仿宋" w:hAnsi="仿宋" w:eastAsia="仿宋"/>
          <w:b w:val="0"/>
          <w:bCs/>
          <w:color w:val="000000"/>
          <w:sz w:val="32"/>
          <w:szCs w:val="32"/>
        </w:rPr>
        <w:t>。</w:t>
      </w:r>
    </w:p>
    <w:p>
      <w:pPr>
        <w:spacing w:line="600" w:lineRule="exact"/>
        <w:ind w:firstLine="643" w:firstLineChars="200"/>
        <w:rPr>
          <w:rFonts w:ascii="仿宋" w:hAnsi="仿宋" w:eastAsia="仿宋"/>
          <w:b/>
          <w:color w:val="000000"/>
          <w:sz w:val="32"/>
          <w:szCs w:val="32"/>
        </w:rPr>
      </w:pPr>
      <w:r>
        <w:rPr>
          <w:rStyle w:val="14"/>
          <w:rFonts w:ascii="仿宋" w:hAnsi="仿宋" w:eastAsia="仿宋"/>
          <w:bCs/>
          <w:color w:val="000000"/>
          <w:sz w:val="32"/>
          <w:szCs w:val="32"/>
        </w:rPr>
        <w:t>3.</w:t>
      </w:r>
      <w:r>
        <w:rPr>
          <w:rStyle w:val="14"/>
          <w:rFonts w:hint="eastAsia" w:ascii="仿宋" w:hAnsi="仿宋" w:eastAsia="仿宋"/>
          <w:bCs/>
          <w:color w:val="000000"/>
          <w:sz w:val="32"/>
          <w:szCs w:val="32"/>
        </w:rPr>
        <w:t>科学技术（类）</w:t>
      </w:r>
      <w:r>
        <w:rPr>
          <w:rStyle w:val="14"/>
          <w:rFonts w:ascii="仿宋" w:hAnsi="仿宋" w:eastAsia="仿宋"/>
          <w:bCs/>
          <w:color w:val="000000"/>
          <w:sz w:val="32"/>
          <w:szCs w:val="32"/>
        </w:rPr>
        <w:t>***</w:t>
      </w:r>
      <w:r>
        <w:rPr>
          <w:rStyle w:val="14"/>
          <w:rFonts w:hint="eastAsia" w:ascii="仿宋" w:hAnsi="仿宋" w:eastAsia="仿宋"/>
          <w:bCs/>
          <w:color w:val="000000"/>
          <w:sz w:val="32"/>
          <w:szCs w:val="32"/>
        </w:rPr>
        <w:t>（款）</w:t>
      </w:r>
      <w:r>
        <w:rPr>
          <w:rStyle w:val="14"/>
          <w:rFonts w:ascii="仿宋" w:hAnsi="仿宋" w:eastAsia="仿宋"/>
          <w:bCs/>
          <w:color w:val="000000"/>
          <w:sz w:val="32"/>
          <w:szCs w:val="32"/>
        </w:rPr>
        <w:t>***</w:t>
      </w:r>
      <w:r>
        <w:rPr>
          <w:rStyle w:val="14"/>
          <w:rFonts w:hint="eastAsia" w:ascii="仿宋" w:hAnsi="仿宋" w:eastAsia="仿宋"/>
          <w:bCs/>
          <w:color w:val="000000"/>
          <w:sz w:val="32"/>
          <w:szCs w:val="32"/>
        </w:rPr>
        <w:t>（项）</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rPr>
        <w:t>支出决算为</w:t>
      </w:r>
      <w:r>
        <w:rPr>
          <w:rStyle w:val="14"/>
          <w:rFonts w:ascii="仿宋" w:hAnsi="仿宋" w:eastAsia="仿宋"/>
          <w:b w:val="0"/>
          <w:bCs/>
          <w:color w:val="000000"/>
          <w:sz w:val="32"/>
          <w:szCs w:val="32"/>
        </w:rPr>
        <w:t>0</w:t>
      </w:r>
      <w:r>
        <w:rPr>
          <w:rStyle w:val="14"/>
          <w:rFonts w:hint="eastAsia" w:ascii="仿宋" w:hAnsi="仿宋" w:eastAsia="仿宋"/>
          <w:b w:val="0"/>
          <w:bCs/>
          <w:color w:val="000000"/>
          <w:sz w:val="32"/>
          <w:szCs w:val="32"/>
        </w:rPr>
        <w:t>万元，完成预算</w:t>
      </w:r>
      <w:r>
        <w:rPr>
          <w:rStyle w:val="14"/>
          <w:rFonts w:ascii="仿宋" w:hAnsi="仿宋" w:eastAsia="仿宋"/>
          <w:b w:val="0"/>
          <w:bCs/>
          <w:color w:val="000000"/>
          <w:sz w:val="32"/>
          <w:szCs w:val="32"/>
        </w:rPr>
        <w:t>0%</w:t>
      </w:r>
      <w:r>
        <w:rPr>
          <w:rStyle w:val="14"/>
          <w:rFonts w:hint="eastAsia" w:ascii="仿宋" w:hAnsi="仿宋" w:eastAsia="仿宋"/>
          <w:b w:val="0"/>
          <w:bCs/>
          <w:color w:val="000000"/>
          <w:sz w:val="32"/>
          <w:szCs w:val="32"/>
        </w:rPr>
        <w:t>，决算数等于预算数的主要原因是</w:t>
      </w:r>
      <w:r>
        <w:rPr>
          <w:rStyle w:val="14"/>
          <w:rFonts w:ascii="仿宋" w:hAnsi="仿宋" w:eastAsia="仿宋"/>
          <w:b w:val="0"/>
          <w:bCs/>
          <w:color w:val="000000"/>
          <w:sz w:val="32"/>
          <w:szCs w:val="32"/>
        </w:rPr>
        <w:t>0</w:t>
      </w:r>
      <w:r>
        <w:rPr>
          <w:rStyle w:val="14"/>
          <w:rFonts w:hint="eastAsia" w:ascii="仿宋" w:hAnsi="仿宋" w:eastAsia="仿宋"/>
          <w:b w:val="0"/>
          <w:bCs/>
          <w:color w:val="000000"/>
          <w:sz w:val="32"/>
          <w:szCs w:val="32"/>
        </w:rPr>
        <w:t>。</w:t>
      </w:r>
    </w:p>
    <w:p>
      <w:pPr>
        <w:spacing w:line="600" w:lineRule="exact"/>
        <w:ind w:firstLine="643" w:firstLineChars="200"/>
        <w:rPr>
          <w:rFonts w:ascii="仿宋" w:hAnsi="仿宋" w:eastAsia="仿宋"/>
          <w:b/>
          <w:color w:val="000000"/>
          <w:sz w:val="32"/>
          <w:szCs w:val="32"/>
        </w:rPr>
      </w:pPr>
      <w:r>
        <w:rPr>
          <w:rStyle w:val="14"/>
          <w:rFonts w:ascii="仿宋" w:hAnsi="仿宋" w:eastAsia="仿宋"/>
          <w:bCs/>
          <w:color w:val="000000"/>
          <w:sz w:val="32"/>
          <w:szCs w:val="32"/>
        </w:rPr>
        <w:t>4.</w:t>
      </w:r>
      <w:r>
        <w:rPr>
          <w:rStyle w:val="14"/>
          <w:rFonts w:hint="eastAsia" w:ascii="仿宋" w:hAnsi="仿宋" w:eastAsia="仿宋"/>
          <w:bCs/>
          <w:color w:val="000000"/>
          <w:sz w:val="32"/>
          <w:szCs w:val="32"/>
        </w:rPr>
        <w:t>文化体育与传媒（类）</w:t>
      </w:r>
      <w:r>
        <w:rPr>
          <w:rStyle w:val="14"/>
          <w:rFonts w:ascii="仿宋" w:hAnsi="仿宋" w:eastAsia="仿宋"/>
          <w:bCs/>
          <w:color w:val="000000"/>
          <w:sz w:val="32"/>
          <w:szCs w:val="32"/>
        </w:rPr>
        <w:t>207</w:t>
      </w:r>
      <w:r>
        <w:rPr>
          <w:rStyle w:val="14"/>
          <w:rFonts w:hint="eastAsia" w:ascii="仿宋" w:hAnsi="仿宋" w:eastAsia="仿宋"/>
          <w:bCs/>
          <w:color w:val="000000"/>
          <w:sz w:val="32"/>
          <w:szCs w:val="32"/>
        </w:rPr>
        <w:t>（款）</w:t>
      </w:r>
      <w:r>
        <w:rPr>
          <w:rStyle w:val="14"/>
          <w:rFonts w:ascii="仿宋" w:hAnsi="仿宋" w:eastAsia="仿宋"/>
          <w:bCs/>
          <w:color w:val="000000"/>
          <w:sz w:val="32"/>
          <w:szCs w:val="32"/>
        </w:rPr>
        <w:t>01</w:t>
      </w:r>
      <w:r>
        <w:rPr>
          <w:rStyle w:val="14"/>
          <w:rFonts w:hint="eastAsia" w:ascii="仿宋" w:hAnsi="仿宋" w:eastAsia="仿宋"/>
          <w:bCs/>
          <w:color w:val="000000"/>
          <w:sz w:val="32"/>
          <w:szCs w:val="32"/>
        </w:rPr>
        <w:t>（项）</w:t>
      </w:r>
      <w:r>
        <w:rPr>
          <w:rStyle w:val="14"/>
          <w:rFonts w:ascii="仿宋" w:hAnsi="仿宋" w:eastAsia="仿宋"/>
          <w:bCs/>
          <w:color w:val="000000"/>
          <w:sz w:val="32"/>
          <w:szCs w:val="32"/>
        </w:rPr>
        <w:t>08:</w:t>
      </w:r>
      <w:r>
        <w:rPr>
          <w:rStyle w:val="14"/>
          <w:rFonts w:hint="eastAsia" w:ascii="仿宋" w:hAnsi="仿宋" w:eastAsia="仿宋"/>
          <w:b w:val="0"/>
          <w:bCs/>
          <w:color w:val="000000"/>
          <w:sz w:val="32"/>
          <w:szCs w:val="32"/>
        </w:rPr>
        <w:t>支出决算为</w:t>
      </w:r>
      <w:r>
        <w:rPr>
          <w:rStyle w:val="14"/>
          <w:rFonts w:ascii="仿宋" w:hAnsi="仿宋" w:eastAsia="仿宋"/>
          <w:b w:val="0"/>
          <w:bCs/>
          <w:color w:val="000000"/>
          <w:sz w:val="32"/>
          <w:szCs w:val="32"/>
        </w:rPr>
        <w:t>33.83</w:t>
      </w:r>
      <w:r>
        <w:rPr>
          <w:rStyle w:val="14"/>
          <w:rFonts w:hint="eastAsia" w:ascii="仿宋" w:hAnsi="仿宋" w:eastAsia="仿宋"/>
          <w:b w:val="0"/>
          <w:bCs/>
          <w:color w:val="000000"/>
          <w:sz w:val="32"/>
          <w:szCs w:val="32"/>
        </w:rPr>
        <w:t>万元，完成预算</w:t>
      </w:r>
      <w:r>
        <w:rPr>
          <w:rStyle w:val="14"/>
          <w:rFonts w:ascii="仿宋" w:hAnsi="仿宋" w:eastAsia="仿宋"/>
          <w:b w:val="0"/>
          <w:bCs/>
          <w:color w:val="000000"/>
          <w:sz w:val="32"/>
          <w:szCs w:val="32"/>
        </w:rPr>
        <w:t>100%</w:t>
      </w:r>
      <w:r>
        <w:rPr>
          <w:rStyle w:val="14"/>
          <w:rFonts w:hint="eastAsia" w:ascii="仿宋" w:hAnsi="仿宋" w:eastAsia="仿宋"/>
          <w:b w:val="0"/>
          <w:bCs/>
          <w:color w:val="000000"/>
          <w:sz w:val="32"/>
          <w:szCs w:val="32"/>
        </w:rPr>
        <w:t>。</w:t>
      </w:r>
      <w:r>
        <w:rPr>
          <w:rStyle w:val="14"/>
          <w:rFonts w:hint="eastAsia" w:ascii="仿宋" w:hAnsi="仿宋" w:eastAsia="仿宋"/>
          <w:bCs/>
          <w:color w:val="000000"/>
          <w:sz w:val="32"/>
          <w:szCs w:val="32"/>
        </w:rPr>
        <w:t>文化体育与传媒（类）</w:t>
      </w:r>
      <w:r>
        <w:rPr>
          <w:rStyle w:val="14"/>
          <w:rFonts w:ascii="仿宋" w:hAnsi="仿宋" w:eastAsia="仿宋"/>
          <w:bCs/>
          <w:color w:val="000000"/>
          <w:sz w:val="32"/>
          <w:szCs w:val="32"/>
        </w:rPr>
        <w:t>207</w:t>
      </w:r>
      <w:r>
        <w:rPr>
          <w:rStyle w:val="14"/>
          <w:rFonts w:hint="eastAsia" w:ascii="仿宋" w:hAnsi="仿宋" w:eastAsia="仿宋"/>
          <w:bCs/>
          <w:color w:val="000000"/>
          <w:sz w:val="32"/>
          <w:szCs w:val="32"/>
        </w:rPr>
        <w:t>（款）</w:t>
      </w:r>
      <w:r>
        <w:rPr>
          <w:rStyle w:val="14"/>
          <w:rFonts w:ascii="仿宋" w:hAnsi="仿宋" w:eastAsia="仿宋"/>
          <w:bCs/>
          <w:color w:val="000000"/>
          <w:sz w:val="32"/>
          <w:szCs w:val="32"/>
        </w:rPr>
        <w:t>01</w:t>
      </w:r>
      <w:r>
        <w:rPr>
          <w:rStyle w:val="14"/>
          <w:rFonts w:hint="eastAsia" w:ascii="仿宋" w:hAnsi="仿宋" w:eastAsia="仿宋"/>
          <w:bCs/>
          <w:color w:val="000000"/>
          <w:sz w:val="32"/>
          <w:szCs w:val="32"/>
        </w:rPr>
        <w:t>（项）</w:t>
      </w:r>
      <w:r>
        <w:rPr>
          <w:rStyle w:val="14"/>
          <w:rFonts w:ascii="仿宋" w:hAnsi="仿宋" w:eastAsia="仿宋"/>
          <w:bCs/>
          <w:color w:val="000000"/>
          <w:sz w:val="32"/>
          <w:szCs w:val="32"/>
        </w:rPr>
        <w:t>08:</w:t>
      </w:r>
      <w:r>
        <w:rPr>
          <w:rStyle w:val="14"/>
          <w:rFonts w:hint="eastAsia" w:ascii="仿宋" w:hAnsi="仿宋" w:eastAsia="仿宋"/>
          <w:b w:val="0"/>
          <w:bCs/>
          <w:color w:val="000000"/>
          <w:sz w:val="32"/>
          <w:szCs w:val="32"/>
        </w:rPr>
        <w:t>支出决算为</w:t>
      </w:r>
      <w:r>
        <w:rPr>
          <w:rStyle w:val="14"/>
          <w:rFonts w:ascii="仿宋" w:hAnsi="仿宋" w:eastAsia="仿宋"/>
          <w:b w:val="0"/>
          <w:bCs/>
          <w:color w:val="000000"/>
          <w:sz w:val="32"/>
          <w:szCs w:val="32"/>
        </w:rPr>
        <w:t>33.83</w:t>
      </w:r>
      <w:r>
        <w:rPr>
          <w:rStyle w:val="14"/>
          <w:rFonts w:hint="eastAsia" w:ascii="仿宋" w:hAnsi="仿宋" w:eastAsia="仿宋"/>
          <w:b w:val="0"/>
          <w:bCs/>
          <w:color w:val="000000"/>
          <w:sz w:val="32"/>
          <w:szCs w:val="32"/>
        </w:rPr>
        <w:t>万元，完成预算</w:t>
      </w:r>
      <w:r>
        <w:rPr>
          <w:rStyle w:val="14"/>
          <w:rFonts w:ascii="仿宋" w:hAnsi="仿宋" w:eastAsia="仿宋"/>
          <w:b w:val="0"/>
          <w:bCs/>
          <w:color w:val="000000"/>
          <w:sz w:val="32"/>
          <w:szCs w:val="32"/>
        </w:rPr>
        <w:t>100%</w:t>
      </w:r>
      <w:r>
        <w:rPr>
          <w:rStyle w:val="14"/>
          <w:rFonts w:hint="eastAsia" w:ascii="仿宋" w:hAnsi="仿宋" w:eastAsia="仿宋"/>
          <w:b w:val="0"/>
          <w:bCs/>
          <w:color w:val="000000"/>
          <w:sz w:val="32"/>
          <w:szCs w:val="32"/>
        </w:rPr>
        <w:t>，</w:t>
      </w:r>
    </w:p>
    <w:p>
      <w:pPr>
        <w:spacing w:line="600" w:lineRule="exact"/>
        <w:ind w:firstLine="643" w:firstLineChars="200"/>
        <w:rPr>
          <w:rStyle w:val="14"/>
          <w:rFonts w:ascii="仿宋" w:hAnsi="仿宋" w:eastAsia="仿宋"/>
          <w:b w:val="0"/>
          <w:bCs/>
          <w:color w:val="000000"/>
          <w:sz w:val="32"/>
          <w:szCs w:val="32"/>
        </w:rPr>
      </w:pPr>
      <w:r>
        <w:rPr>
          <w:rStyle w:val="14"/>
          <w:rFonts w:ascii="仿宋" w:hAnsi="仿宋" w:eastAsia="仿宋"/>
          <w:bCs/>
          <w:color w:val="000000"/>
          <w:sz w:val="32"/>
          <w:szCs w:val="32"/>
        </w:rPr>
        <w:t>5.</w:t>
      </w:r>
      <w:r>
        <w:rPr>
          <w:rStyle w:val="14"/>
          <w:rFonts w:hint="eastAsia" w:ascii="仿宋" w:hAnsi="仿宋" w:eastAsia="仿宋"/>
          <w:bCs/>
          <w:color w:val="000000"/>
          <w:sz w:val="32"/>
          <w:szCs w:val="32"/>
        </w:rPr>
        <w:t>社会保障和就业（类）</w:t>
      </w:r>
      <w:r>
        <w:rPr>
          <w:rStyle w:val="14"/>
          <w:rFonts w:ascii="仿宋" w:hAnsi="仿宋" w:eastAsia="仿宋"/>
          <w:bCs/>
          <w:color w:val="000000"/>
          <w:sz w:val="32"/>
          <w:szCs w:val="32"/>
        </w:rPr>
        <w:t>208</w:t>
      </w:r>
      <w:r>
        <w:rPr>
          <w:rStyle w:val="14"/>
          <w:rFonts w:hint="eastAsia" w:ascii="仿宋" w:hAnsi="仿宋" w:eastAsia="仿宋"/>
          <w:bCs/>
          <w:color w:val="000000"/>
          <w:sz w:val="32"/>
          <w:szCs w:val="32"/>
        </w:rPr>
        <w:t>（款）</w:t>
      </w:r>
      <w:r>
        <w:rPr>
          <w:rStyle w:val="14"/>
          <w:rFonts w:ascii="仿宋" w:hAnsi="仿宋" w:eastAsia="仿宋"/>
          <w:bCs/>
          <w:color w:val="000000"/>
          <w:sz w:val="32"/>
          <w:szCs w:val="32"/>
        </w:rPr>
        <w:t>05</w:t>
      </w:r>
      <w:r>
        <w:rPr>
          <w:rStyle w:val="14"/>
          <w:rFonts w:hint="eastAsia" w:ascii="仿宋" w:hAnsi="仿宋" w:eastAsia="仿宋"/>
          <w:bCs/>
          <w:color w:val="000000"/>
          <w:sz w:val="32"/>
          <w:szCs w:val="32"/>
        </w:rPr>
        <w:t>（项）</w:t>
      </w:r>
      <w:r>
        <w:rPr>
          <w:rStyle w:val="14"/>
          <w:rFonts w:ascii="仿宋" w:hAnsi="仿宋" w:eastAsia="仿宋"/>
          <w:bCs/>
          <w:color w:val="000000"/>
          <w:sz w:val="32"/>
          <w:szCs w:val="32"/>
        </w:rPr>
        <w:t>05:</w:t>
      </w:r>
      <w:r>
        <w:rPr>
          <w:rStyle w:val="14"/>
          <w:rFonts w:hint="eastAsia" w:ascii="仿宋" w:hAnsi="仿宋" w:eastAsia="仿宋"/>
          <w:b w:val="0"/>
          <w:bCs/>
          <w:color w:val="000000"/>
          <w:sz w:val="32"/>
          <w:szCs w:val="32"/>
        </w:rPr>
        <w:t>支出决算为</w:t>
      </w:r>
      <w:r>
        <w:rPr>
          <w:rStyle w:val="14"/>
          <w:rFonts w:ascii="仿宋" w:hAnsi="仿宋" w:eastAsia="仿宋"/>
          <w:b w:val="0"/>
          <w:bCs/>
          <w:color w:val="000000"/>
          <w:sz w:val="32"/>
          <w:szCs w:val="32"/>
        </w:rPr>
        <w:t>28.01</w:t>
      </w:r>
      <w:r>
        <w:rPr>
          <w:rStyle w:val="14"/>
          <w:rFonts w:hint="eastAsia" w:ascii="仿宋" w:hAnsi="仿宋" w:eastAsia="仿宋"/>
          <w:b w:val="0"/>
          <w:bCs/>
          <w:color w:val="000000"/>
          <w:sz w:val="32"/>
          <w:szCs w:val="32"/>
        </w:rPr>
        <w:t>万元，完成预算</w:t>
      </w:r>
      <w:r>
        <w:rPr>
          <w:rStyle w:val="14"/>
          <w:rFonts w:ascii="仿宋" w:hAnsi="仿宋" w:eastAsia="仿宋"/>
          <w:b w:val="0"/>
          <w:bCs/>
          <w:color w:val="000000"/>
          <w:sz w:val="32"/>
          <w:szCs w:val="32"/>
        </w:rPr>
        <w:t>100%</w:t>
      </w:r>
      <w:r>
        <w:rPr>
          <w:rStyle w:val="14"/>
          <w:rFonts w:hint="eastAsia" w:ascii="仿宋" w:hAnsi="仿宋" w:eastAsia="仿宋"/>
          <w:b w:val="0"/>
          <w:bCs/>
          <w:color w:val="000000"/>
          <w:sz w:val="32"/>
          <w:szCs w:val="32"/>
        </w:rPr>
        <w:t>，决算数等于预算数的主要原因是年初预算等于实际支出。</w:t>
      </w:r>
      <w:r>
        <w:rPr>
          <w:rStyle w:val="14"/>
          <w:rFonts w:hint="eastAsia" w:ascii="仿宋" w:hAnsi="仿宋" w:eastAsia="仿宋"/>
          <w:bCs/>
          <w:color w:val="000000"/>
          <w:sz w:val="32"/>
          <w:szCs w:val="32"/>
        </w:rPr>
        <w:t>社会保障和就业（类）</w:t>
      </w:r>
      <w:r>
        <w:rPr>
          <w:rStyle w:val="14"/>
          <w:rFonts w:ascii="仿宋" w:hAnsi="仿宋" w:eastAsia="仿宋"/>
          <w:bCs/>
          <w:color w:val="000000"/>
          <w:sz w:val="32"/>
          <w:szCs w:val="32"/>
        </w:rPr>
        <w:t>208</w:t>
      </w:r>
      <w:r>
        <w:rPr>
          <w:rStyle w:val="14"/>
          <w:rFonts w:hint="eastAsia" w:ascii="仿宋" w:hAnsi="仿宋" w:eastAsia="仿宋"/>
          <w:bCs/>
          <w:color w:val="000000"/>
          <w:sz w:val="32"/>
          <w:szCs w:val="32"/>
        </w:rPr>
        <w:t>（款）</w:t>
      </w:r>
      <w:r>
        <w:rPr>
          <w:rStyle w:val="14"/>
          <w:rFonts w:ascii="仿宋" w:hAnsi="仿宋" w:eastAsia="仿宋"/>
          <w:bCs/>
          <w:color w:val="000000"/>
          <w:sz w:val="32"/>
          <w:szCs w:val="32"/>
        </w:rPr>
        <w:t>05</w:t>
      </w:r>
      <w:r>
        <w:rPr>
          <w:rStyle w:val="14"/>
          <w:rFonts w:hint="eastAsia" w:ascii="仿宋" w:hAnsi="仿宋" w:eastAsia="仿宋"/>
          <w:bCs/>
          <w:color w:val="000000"/>
          <w:sz w:val="32"/>
          <w:szCs w:val="32"/>
        </w:rPr>
        <w:t>（项）</w:t>
      </w:r>
      <w:r>
        <w:rPr>
          <w:rStyle w:val="14"/>
          <w:rFonts w:ascii="仿宋" w:hAnsi="仿宋" w:eastAsia="仿宋"/>
          <w:bCs/>
          <w:color w:val="000000"/>
          <w:sz w:val="32"/>
          <w:szCs w:val="32"/>
        </w:rPr>
        <w:t>06:</w:t>
      </w:r>
      <w:r>
        <w:rPr>
          <w:rStyle w:val="14"/>
          <w:rFonts w:hint="eastAsia" w:ascii="仿宋" w:hAnsi="仿宋" w:eastAsia="仿宋"/>
          <w:b w:val="0"/>
          <w:bCs/>
          <w:color w:val="000000"/>
          <w:sz w:val="32"/>
          <w:szCs w:val="32"/>
        </w:rPr>
        <w:t>支出决算为</w:t>
      </w:r>
      <w:r>
        <w:rPr>
          <w:rStyle w:val="14"/>
          <w:rFonts w:ascii="仿宋" w:hAnsi="仿宋" w:eastAsia="仿宋"/>
          <w:b w:val="0"/>
          <w:bCs/>
          <w:color w:val="000000"/>
          <w:sz w:val="32"/>
          <w:szCs w:val="32"/>
        </w:rPr>
        <w:t>11.20</w:t>
      </w:r>
      <w:r>
        <w:rPr>
          <w:rStyle w:val="14"/>
          <w:rFonts w:hint="eastAsia" w:ascii="仿宋" w:hAnsi="仿宋" w:eastAsia="仿宋"/>
          <w:b w:val="0"/>
          <w:bCs/>
          <w:color w:val="000000"/>
          <w:sz w:val="32"/>
          <w:szCs w:val="32"/>
        </w:rPr>
        <w:t>万元，完成预算</w:t>
      </w:r>
      <w:r>
        <w:rPr>
          <w:rStyle w:val="14"/>
          <w:rFonts w:ascii="仿宋" w:hAnsi="仿宋" w:eastAsia="仿宋"/>
          <w:b w:val="0"/>
          <w:bCs/>
          <w:color w:val="000000"/>
          <w:sz w:val="32"/>
          <w:szCs w:val="32"/>
        </w:rPr>
        <w:t>102%</w:t>
      </w:r>
      <w:r>
        <w:rPr>
          <w:rStyle w:val="14"/>
          <w:rFonts w:hint="eastAsia" w:ascii="仿宋" w:hAnsi="仿宋" w:eastAsia="仿宋"/>
          <w:b w:val="0"/>
          <w:bCs/>
          <w:color w:val="000000"/>
          <w:sz w:val="32"/>
          <w:szCs w:val="32"/>
        </w:rPr>
        <w:t>，决算数大于预算数的主要原因是有人员变动。</w:t>
      </w:r>
    </w:p>
    <w:p>
      <w:pPr>
        <w:spacing w:line="600" w:lineRule="exact"/>
        <w:ind w:firstLine="643" w:firstLineChars="200"/>
        <w:rPr>
          <w:rFonts w:ascii="仿宋" w:hAnsi="仿宋" w:eastAsia="仿宋"/>
          <w:b/>
          <w:color w:val="000000"/>
          <w:sz w:val="32"/>
          <w:szCs w:val="32"/>
        </w:rPr>
      </w:pPr>
      <w:r>
        <w:rPr>
          <w:rStyle w:val="14"/>
          <w:rFonts w:ascii="仿宋" w:hAnsi="仿宋" w:eastAsia="仿宋"/>
          <w:bCs/>
          <w:color w:val="000000"/>
          <w:sz w:val="32"/>
          <w:szCs w:val="32"/>
        </w:rPr>
        <w:t>6.</w:t>
      </w:r>
      <w:r>
        <w:rPr>
          <w:rStyle w:val="14"/>
          <w:rFonts w:hint="eastAsia" w:ascii="仿宋" w:hAnsi="仿宋" w:eastAsia="仿宋"/>
          <w:bCs/>
          <w:color w:val="000000"/>
          <w:sz w:val="32"/>
          <w:szCs w:val="32"/>
        </w:rPr>
        <w:t>医疗卫生与计划生育（类）</w:t>
      </w:r>
      <w:r>
        <w:rPr>
          <w:rStyle w:val="14"/>
          <w:rFonts w:ascii="仿宋" w:hAnsi="仿宋" w:eastAsia="仿宋"/>
          <w:bCs/>
          <w:color w:val="000000"/>
          <w:sz w:val="32"/>
          <w:szCs w:val="32"/>
        </w:rPr>
        <w:t>210</w:t>
      </w:r>
      <w:r>
        <w:rPr>
          <w:rStyle w:val="14"/>
          <w:rFonts w:hint="eastAsia" w:ascii="仿宋" w:hAnsi="仿宋" w:eastAsia="仿宋"/>
          <w:bCs/>
          <w:color w:val="000000"/>
          <w:sz w:val="32"/>
          <w:szCs w:val="32"/>
        </w:rPr>
        <w:t>（款）</w:t>
      </w:r>
      <w:r>
        <w:rPr>
          <w:rStyle w:val="14"/>
          <w:rFonts w:ascii="仿宋" w:hAnsi="仿宋" w:eastAsia="仿宋"/>
          <w:bCs/>
          <w:color w:val="000000"/>
          <w:sz w:val="32"/>
          <w:szCs w:val="32"/>
        </w:rPr>
        <w:t>11</w:t>
      </w:r>
      <w:r>
        <w:rPr>
          <w:rStyle w:val="14"/>
          <w:rFonts w:hint="eastAsia" w:ascii="仿宋" w:hAnsi="仿宋" w:eastAsia="仿宋"/>
          <w:bCs/>
          <w:color w:val="000000"/>
          <w:sz w:val="32"/>
          <w:szCs w:val="32"/>
        </w:rPr>
        <w:t>（项）</w:t>
      </w:r>
      <w:r>
        <w:rPr>
          <w:rStyle w:val="14"/>
          <w:rFonts w:ascii="仿宋" w:hAnsi="仿宋" w:eastAsia="仿宋"/>
          <w:bCs/>
          <w:color w:val="000000"/>
          <w:sz w:val="32"/>
          <w:szCs w:val="32"/>
        </w:rPr>
        <w:t>01:</w:t>
      </w:r>
      <w:r>
        <w:rPr>
          <w:rStyle w:val="14"/>
          <w:rFonts w:hint="eastAsia" w:ascii="仿宋" w:hAnsi="仿宋" w:eastAsia="仿宋"/>
          <w:b w:val="0"/>
          <w:bCs/>
          <w:color w:val="000000"/>
          <w:sz w:val="32"/>
          <w:szCs w:val="32"/>
        </w:rPr>
        <w:t>支出决算为</w:t>
      </w:r>
      <w:r>
        <w:rPr>
          <w:rStyle w:val="14"/>
          <w:rFonts w:ascii="仿宋" w:hAnsi="仿宋" w:eastAsia="仿宋"/>
          <w:b w:val="0"/>
          <w:bCs/>
          <w:color w:val="000000"/>
          <w:sz w:val="32"/>
          <w:szCs w:val="32"/>
        </w:rPr>
        <w:t>9.21</w:t>
      </w:r>
      <w:r>
        <w:rPr>
          <w:rStyle w:val="14"/>
          <w:rFonts w:hint="eastAsia" w:ascii="仿宋" w:hAnsi="仿宋" w:eastAsia="仿宋"/>
          <w:b w:val="0"/>
          <w:bCs/>
          <w:color w:val="000000"/>
          <w:sz w:val="32"/>
          <w:szCs w:val="32"/>
        </w:rPr>
        <w:t>万元，完成预算</w:t>
      </w:r>
      <w:r>
        <w:rPr>
          <w:rStyle w:val="14"/>
          <w:rFonts w:ascii="仿宋" w:hAnsi="仿宋" w:eastAsia="仿宋"/>
          <w:b w:val="0"/>
          <w:bCs/>
          <w:color w:val="000000"/>
          <w:sz w:val="32"/>
          <w:szCs w:val="32"/>
        </w:rPr>
        <w:t>92.1%</w:t>
      </w:r>
      <w:r>
        <w:rPr>
          <w:rStyle w:val="14"/>
          <w:rFonts w:hint="eastAsia" w:ascii="仿宋" w:hAnsi="仿宋" w:eastAsia="仿宋"/>
          <w:b w:val="0"/>
          <w:bCs/>
          <w:color w:val="000000"/>
          <w:sz w:val="32"/>
          <w:szCs w:val="32"/>
        </w:rPr>
        <w:t>，决算数小于预算数的主要原因是有人员变动。</w:t>
      </w:r>
    </w:p>
    <w:p>
      <w:pPr>
        <w:tabs>
          <w:tab w:val="right" w:pos="8306"/>
        </w:tabs>
        <w:spacing w:line="600" w:lineRule="exact"/>
        <w:ind w:firstLine="640"/>
        <w:outlineLvl w:val="1"/>
        <w:rPr>
          <w:rStyle w:val="18"/>
        </w:rPr>
      </w:pPr>
      <w:bookmarkStart w:id="38" w:name="_Toc15377214"/>
      <w:bookmarkStart w:id="39"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18"/>
          <w:rFonts w:hint="eastAsia" w:ascii="黑体" w:hAnsi="黑体" w:eastAsia="黑体"/>
          <w:b w:val="0"/>
        </w:rPr>
        <w:t>般公共预算财政拨款基本支出决算情况说明</w:t>
      </w:r>
      <w:bookmarkEnd w:id="38"/>
      <w:bookmarkEnd w:id="39"/>
      <w:r>
        <w:rPr>
          <w:rStyle w:val="18"/>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2018</w:t>
      </w:r>
      <w:r>
        <w:rPr>
          <w:rFonts w:hint="eastAsia" w:ascii="仿宋" w:hAnsi="仿宋" w:eastAsia="仿宋"/>
          <w:color w:val="000000"/>
          <w:sz w:val="32"/>
          <w:szCs w:val="32"/>
        </w:rPr>
        <w:t>年一般公共预算财政拨款基本支出</w:t>
      </w:r>
      <w:r>
        <w:rPr>
          <w:rFonts w:ascii="仿宋" w:hAnsi="仿宋" w:eastAsia="仿宋"/>
          <w:color w:val="000000"/>
          <w:sz w:val="32"/>
          <w:szCs w:val="32"/>
        </w:rPr>
        <w:t>603.67</w:t>
      </w:r>
      <w:r>
        <w:rPr>
          <w:rFonts w:hint="eastAsia" w:ascii="仿宋" w:hAnsi="仿宋" w:eastAsia="仿宋"/>
          <w:color w:val="000000"/>
          <w:sz w:val="32"/>
          <w:szCs w:val="32"/>
        </w:rPr>
        <w:t>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w:t>
      </w:r>
      <w:r>
        <w:rPr>
          <w:rFonts w:ascii="仿宋" w:hAnsi="仿宋" w:eastAsia="仿宋"/>
          <w:color w:val="000000"/>
          <w:sz w:val="32"/>
          <w:szCs w:val="32"/>
        </w:rPr>
        <w:t>249.69</w:t>
      </w:r>
      <w:r>
        <w:rPr>
          <w:rFonts w:hint="eastAsia" w:ascii="仿宋" w:hAnsi="仿宋" w:eastAsia="仿宋"/>
          <w:color w:val="000000"/>
          <w:sz w:val="32"/>
          <w:szCs w:val="32"/>
        </w:rPr>
        <w:t>万元，主要包括：基本工资、津贴补贴、奖金、伙食补助费、机关事业单位基本养老保险缴费、职业年金缴费、其他社会保障缴费、生活补助、医疗费、奖励金、住房公积金。</w:t>
      </w:r>
      <w:r>
        <w:rPr>
          <w:rFonts w:ascii="仿宋" w:hAnsi="仿宋" w:eastAsia="仿宋"/>
          <w:color w:val="000000"/>
          <w:sz w:val="32"/>
          <w:szCs w:val="32"/>
        </w:rPr>
        <w:br w:type="textWrapping"/>
      </w:r>
      <w:r>
        <w:rPr>
          <w:rFonts w:hint="eastAsia" w:ascii="仿宋" w:hAnsi="仿宋" w:eastAsia="仿宋"/>
          <w:color w:val="000000"/>
          <w:sz w:val="32"/>
          <w:szCs w:val="32"/>
        </w:rPr>
        <w:t>　　公用经费</w:t>
      </w:r>
      <w:r>
        <w:rPr>
          <w:rFonts w:ascii="仿宋" w:hAnsi="仿宋" w:eastAsia="仿宋"/>
          <w:color w:val="000000"/>
          <w:sz w:val="32"/>
          <w:szCs w:val="32"/>
        </w:rPr>
        <w:t>353.98</w:t>
      </w:r>
      <w:r>
        <w:rPr>
          <w:rFonts w:hint="eastAsia" w:ascii="仿宋" w:hAnsi="仿宋" w:eastAsia="仿宋"/>
          <w:color w:val="000000"/>
          <w:sz w:val="32"/>
          <w:szCs w:val="32"/>
        </w:rPr>
        <w:t>万元，主要包括：办公费、印刷费、电费、邮电费、取暖费、物业管理费、差旅费、维修（护）费、租赁费、会议费、培训费、劳务费、委托业务费、公务用车运行维护费、资本性支出。</w:t>
      </w:r>
    </w:p>
    <w:p>
      <w:pPr>
        <w:spacing w:line="600" w:lineRule="exact"/>
        <w:ind w:firstLine="640"/>
        <w:outlineLvl w:val="1"/>
        <w:rPr>
          <w:rStyle w:val="18"/>
          <w:rFonts w:ascii="黑体" w:hAnsi="黑体" w:eastAsia="黑体"/>
          <w:b w:val="0"/>
        </w:rPr>
      </w:pPr>
      <w:bookmarkStart w:id="40" w:name="_Toc15396609"/>
      <w:bookmarkStart w:id="41" w:name="_Toc15377215"/>
      <w:r>
        <w:rPr>
          <w:rFonts w:hint="eastAsia" w:ascii="黑体" w:eastAsia="黑体"/>
          <w:color w:val="000000"/>
          <w:sz w:val="32"/>
          <w:szCs w:val="32"/>
        </w:rPr>
        <w:t>七、</w:t>
      </w:r>
      <w:r>
        <w:rPr>
          <w:rStyle w:val="18"/>
          <w:rFonts w:hint="eastAsia" w:ascii="黑体" w:hAnsi="黑体" w:eastAsia="黑体"/>
        </w:rPr>
        <w:t>“</w:t>
      </w:r>
      <w:r>
        <w:rPr>
          <w:rStyle w:val="18"/>
          <w:rFonts w:hint="eastAsia" w:ascii="黑体" w:hAnsi="黑体" w:eastAsia="黑体"/>
          <w:b w:val="0"/>
        </w:rPr>
        <w:t>三公”经费财政拨款支出决算情况说明</w:t>
      </w:r>
      <w:bookmarkEnd w:id="40"/>
      <w:bookmarkEnd w:id="41"/>
    </w:p>
    <w:p>
      <w:pPr>
        <w:spacing w:line="600" w:lineRule="exact"/>
        <w:ind w:firstLine="640"/>
        <w:outlineLvl w:val="2"/>
        <w:rPr>
          <w:rFonts w:ascii="仿宋" w:hAnsi="仿宋" w:eastAsia="仿宋"/>
          <w:b/>
          <w:color w:val="000000"/>
          <w:sz w:val="32"/>
          <w:szCs w:val="32"/>
        </w:rPr>
      </w:pPr>
      <w:bookmarkStart w:id="42" w:name="_Toc15377216"/>
      <w:r>
        <w:rPr>
          <w:rFonts w:hint="eastAsia" w:ascii="仿宋" w:hAnsi="仿宋" w:eastAsia="仿宋"/>
          <w:b/>
          <w:color w:val="000000"/>
          <w:sz w:val="32"/>
          <w:szCs w:val="32"/>
        </w:rPr>
        <w:t>（一）“三公”经费财政拨款支出决算总体情况说明</w:t>
      </w:r>
      <w:bookmarkEnd w:id="42"/>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2018</w:t>
      </w:r>
      <w:r>
        <w:rPr>
          <w:rFonts w:hint="eastAsia" w:ascii="仿宋" w:hAnsi="仿宋" w:eastAsia="仿宋"/>
          <w:color w:val="000000"/>
          <w:sz w:val="32"/>
          <w:szCs w:val="32"/>
        </w:rPr>
        <w:t>年“三公”经费财政拨款支出决算为</w:t>
      </w:r>
      <w:r>
        <w:rPr>
          <w:rFonts w:ascii="仿宋" w:hAnsi="仿宋" w:eastAsia="仿宋"/>
          <w:color w:val="000000"/>
          <w:sz w:val="32"/>
          <w:szCs w:val="32"/>
        </w:rPr>
        <w:t>54.19</w:t>
      </w:r>
      <w:r>
        <w:rPr>
          <w:rFonts w:hint="eastAsia" w:ascii="仿宋" w:hAnsi="仿宋" w:eastAsia="仿宋"/>
          <w:color w:val="000000"/>
          <w:sz w:val="32"/>
          <w:szCs w:val="32"/>
        </w:rPr>
        <w:t>万元，完成预算</w:t>
      </w:r>
      <w:r>
        <w:rPr>
          <w:rFonts w:ascii="仿宋" w:hAnsi="仿宋" w:eastAsia="仿宋"/>
          <w:color w:val="000000"/>
          <w:sz w:val="32"/>
          <w:szCs w:val="32"/>
        </w:rPr>
        <w:t>100%</w:t>
      </w:r>
      <w:r>
        <w:rPr>
          <w:rFonts w:hint="eastAsia" w:ascii="仿宋" w:hAnsi="仿宋" w:eastAsia="仿宋"/>
          <w:color w:val="000000"/>
          <w:sz w:val="32"/>
          <w:szCs w:val="32"/>
        </w:rPr>
        <w:t>，</w:t>
      </w:r>
    </w:p>
    <w:p>
      <w:pPr>
        <w:spacing w:line="600" w:lineRule="exact"/>
        <w:ind w:firstLine="640"/>
        <w:outlineLvl w:val="2"/>
        <w:rPr>
          <w:rFonts w:ascii="仿宋" w:hAnsi="仿宋" w:eastAsia="仿宋"/>
          <w:b/>
          <w:color w:val="000000"/>
          <w:sz w:val="32"/>
          <w:szCs w:val="32"/>
        </w:rPr>
      </w:pPr>
      <w:bookmarkStart w:id="43" w:name="_Toc15377217"/>
      <w:r>
        <w:rPr>
          <w:rFonts w:hint="eastAsia" w:ascii="仿宋" w:hAnsi="仿宋" w:eastAsia="仿宋"/>
          <w:b/>
          <w:color w:val="000000"/>
          <w:sz w:val="32"/>
          <w:szCs w:val="32"/>
        </w:rPr>
        <w:t>（二）“三公”经费财政拨款支出决算具体情况说明</w:t>
      </w:r>
      <w:bookmarkEnd w:id="43"/>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2018</w:t>
      </w:r>
      <w:r>
        <w:rPr>
          <w:rFonts w:hint="eastAsia" w:ascii="仿宋" w:hAnsi="仿宋" w:eastAsia="仿宋"/>
          <w:color w:val="000000"/>
          <w:sz w:val="32"/>
          <w:szCs w:val="32"/>
        </w:rPr>
        <w:t>年“三公”经费财政拨款支出决算中，因公出国（境）费支出决算</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；公务用车购置及运行维护费支出决算</w:t>
      </w:r>
      <w:r>
        <w:rPr>
          <w:rFonts w:ascii="仿宋" w:hAnsi="仿宋" w:eastAsia="仿宋"/>
          <w:color w:val="000000"/>
          <w:sz w:val="32"/>
          <w:szCs w:val="32"/>
        </w:rPr>
        <w:t>54.19</w:t>
      </w:r>
      <w:r>
        <w:rPr>
          <w:rFonts w:hint="eastAsia" w:ascii="仿宋" w:hAnsi="仿宋" w:eastAsia="仿宋"/>
          <w:color w:val="000000"/>
          <w:sz w:val="32"/>
          <w:szCs w:val="32"/>
        </w:rPr>
        <w:t>万元，占</w:t>
      </w:r>
      <w:r>
        <w:rPr>
          <w:rFonts w:ascii="仿宋" w:hAnsi="仿宋" w:eastAsia="仿宋"/>
          <w:color w:val="000000"/>
          <w:sz w:val="32"/>
          <w:szCs w:val="32"/>
        </w:rPr>
        <w:t>100%</w:t>
      </w:r>
      <w:r>
        <w:rPr>
          <w:rFonts w:hint="eastAsia" w:ascii="仿宋" w:hAnsi="仿宋" w:eastAsia="仿宋"/>
          <w:color w:val="000000"/>
          <w:sz w:val="32"/>
          <w:szCs w:val="32"/>
        </w:rPr>
        <w:t>；公务接待费支出决算</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。具体情况如下：</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8</w:t>
      </w:r>
      <w:r>
        <w:rPr>
          <w:rFonts w:hint="eastAsia" w:ascii="仿宋" w:hAnsi="仿宋" w:eastAsia="仿宋"/>
          <w:color w:val="000000"/>
          <w:sz w:val="32"/>
          <w:szCs w:val="32"/>
        </w:rPr>
        <w:t>：“三公”经费财政拨款支出结构）（饼状图）</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ascii="仿宋_GB2312" w:eastAsia="仿宋_GB2312"/>
          <w:color w:val="000000"/>
          <w:sz w:val="32"/>
          <w:szCs w:val="32"/>
        </w:rPr>
        <w:t>0</w:t>
      </w:r>
      <w:r>
        <w:rPr>
          <w:rFonts w:hint="eastAsia" w:ascii="仿宋_GB2312" w:eastAsia="仿宋_GB2312"/>
          <w:color w:val="000000"/>
          <w:sz w:val="32"/>
          <w:szCs w:val="32"/>
        </w:rPr>
        <w:t>万元，</w:t>
      </w:r>
      <w:r>
        <w:rPr>
          <w:rStyle w:val="14"/>
          <w:rFonts w:hint="eastAsia" w:ascii="仿宋" w:hAnsi="仿宋" w:eastAsia="仿宋"/>
          <w:b w:val="0"/>
          <w:bCs/>
          <w:color w:val="000000"/>
          <w:sz w:val="32"/>
          <w:szCs w:val="32"/>
        </w:rPr>
        <w:t>完成预算</w:t>
      </w:r>
      <w:r>
        <w:rPr>
          <w:rStyle w:val="14"/>
          <w:rFonts w:ascii="仿宋" w:hAnsi="仿宋" w:eastAsia="仿宋"/>
          <w:b w:val="0"/>
          <w:bCs/>
          <w:color w:val="000000"/>
          <w:sz w:val="32"/>
          <w:szCs w:val="32"/>
        </w:rPr>
        <w:t>0%</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ascii="仿宋_GB2312" w:eastAsia="仿宋_GB2312"/>
          <w:color w:val="000000"/>
          <w:sz w:val="32"/>
          <w:szCs w:val="32"/>
        </w:rPr>
        <w:t>0</w:t>
      </w:r>
      <w:r>
        <w:rPr>
          <w:rFonts w:hint="eastAsia" w:ascii="仿宋_GB2312" w:eastAsia="仿宋_GB2312"/>
          <w:color w:val="000000"/>
          <w:sz w:val="32"/>
          <w:szCs w:val="32"/>
        </w:rPr>
        <w:t>次，出国（境）</w:t>
      </w:r>
      <w:r>
        <w:rPr>
          <w:rFonts w:ascii="仿宋_GB2312" w:eastAsia="仿宋_GB2312"/>
          <w:color w:val="000000"/>
          <w:sz w:val="32"/>
          <w:szCs w:val="32"/>
        </w:rPr>
        <w:t>0</w:t>
      </w:r>
      <w:r>
        <w:rPr>
          <w:rFonts w:hint="eastAsia" w:ascii="仿宋_GB2312" w:eastAsia="仿宋_GB2312"/>
          <w:color w:val="000000"/>
          <w:sz w:val="32"/>
          <w:szCs w:val="32"/>
        </w:rPr>
        <w:t>人。因公出国（境）支出决算比</w:t>
      </w:r>
      <w:r>
        <w:rPr>
          <w:rFonts w:ascii="仿宋_GB2312" w:eastAsia="仿宋_GB2312"/>
          <w:color w:val="000000"/>
          <w:sz w:val="32"/>
          <w:szCs w:val="32"/>
        </w:rPr>
        <w:t>2017</w:t>
      </w:r>
      <w:r>
        <w:rPr>
          <w:rFonts w:hint="eastAsia" w:ascii="仿宋_GB2312" w:eastAsia="仿宋_GB2312"/>
          <w:color w:val="000000"/>
          <w:sz w:val="32"/>
          <w:szCs w:val="32"/>
        </w:rPr>
        <w:t>年增加</w:t>
      </w:r>
      <w:r>
        <w:rPr>
          <w:rFonts w:ascii="仿宋_GB2312" w:eastAsia="仿宋_GB2312"/>
          <w:color w:val="000000"/>
          <w:sz w:val="32"/>
          <w:szCs w:val="32"/>
        </w:rPr>
        <w:t>0</w:t>
      </w:r>
      <w:r>
        <w:rPr>
          <w:rFonts w:hint="eastAsia" w:ascii="仿宋_GB2312" w:eastAsia="仿宋_GB2312"/>
          <w:color w:val="000000"/>
          <w:sz w:val="32"/>
          <w:szCs w:val="32"/>
        </w:rPr>
        <w:t>万元，主要原因是未发生此项业务。</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ascii="仿宋_GB2312" w:eastAsia="仿宋_GB2312"/>
          <w:color w:val="000000"/>
          <w:sz w:val="32"/>
          <w:szCs w:val="32"/>
        </w:rPr>
        <w:t>54.19</w:t>
      </w:r>
      <w:r>
        <w:rPr>
          <w:rFonts w:hint="eastAsia" w:ascii="仿宋_GB2312" w:eastAsia="仿宋_GB2312"/>
          <w:color w:val="000000"/>
          <w:sz w:val="32"/>
          <w:szCs w:val="32"/>
        </w:rPr>
        <w:t>万元</w:t>
      </w:r>
      <w:r>
        <w:rPr>
          <w:rFonts w:ascii="仿宋_GB2312" w:eastAsia="仿宋_GB2312"/>
          <w:color w:val="000000"/>
          <w:sz w:val="32"/>
          <w:szCs w:val="32"/>
        </w:rPr>
        <w:t>,</w:t>
      </w:r>
      <w:r>
        <w:rPr>
          <w:rStyle w:val="14"/>
          <w:rFonts w:hint="eastAsia" w:ascii="仿宋" w:hAnsi="仿宋" w:eastAsia="仿宋"/>
          <w:b w:val="0"/>
          <w:bCs/>
          <w:color w:val="000000"/>
          <w:sz w:val="32"/>
          <w:szCs w:val="32"/>
        </w:rPr>
        <w:t>完成预算</w:t>
      </w:r>
      <w:r>
        <w:rPr>
          <w:rStyle w:val="14"/>
          <w:rFonts w:ascii="仿宋" w:hAnsi="仿宋" w:eastAsia="仿宋"/>
          <w:b w:val="0"/>
          <w:bCs/>
          <w:color w:val="000000"/>
          <w:sz w:val="32"/>
          <w:szCs w:val="32"/>
        </w:rPr>
        <w:t>100%</w:t>
      </w:r>
      <w:r>
        <w:rPr>
          <w:rStyle w:val="14"/>
          <w:rFonts w:hint="eastAsia" w:ascii="仿宋" w:hAnsi="仿宋" w:eastAsia="仿宋"/>
          <w:b w:val="0"/>
          <w:bCs/>
          <w:color w:val="000000"/>
          <w:sz w:val="32"/>
          <w:szCs w:val="32"/>
        </w:rPr>
        <w:t>。</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ascii="仿宋_GB2312" w:eastAsia="仿宋_GB2312"/>
          <w:color w:val="000000"/>
          <w:sz w:val="32"/>
          <w:szCs w:val="32"/>
        </w:rPr>
        <w:t>40</w:t>
      </w:r>
      <w:r>
        <w:rPr>
          <w:rFonts w:hint="eastAsia" w:ascii="仿宋_GB2312" w:eastAsia="仿宋_GB2312"/>
          <w:color w:val="000000"/>
          <w:sz w:val="32"/>
          <w:szCs w:val="32"/>
        </w:rPr>
        <w:t>万元。全年按规定更新购置公务用车</w:t>
      </w:r>
      <w:r>
        <w:rPr>
          <w:rFonts w:ascii="仿宋_GB2312" w:eastAsia="仿宋_GB2312"/>
          <w:color w:val="000000"/>
          <w:sz w:val="32"/>
          <w:szCs w:val="32"/>
        </w:rPr>
        <w:t>1</w:t>
      </w:r>
      <w:r>
        <w:rPr>
          <w:rFonts w:hint="eastAsia" w:ascii="仿宋_GB2312" w:eastAsia="仿宋_GB2312"/>
          <w:color w:val="000000"/>
          <w:sz w:val="32"/>
          <w:szCs w:val="32"/>
        </w:rPr>
        <w:t>辆，其中：越野车</w:t>
      </w:r>
      <w:r>
        <w:rPr>
          <w:rFonts w:ascii="仿宋_GB2312" w:eastAsia="仿宋_GB2312"/>
          <w:color w:val="000000"/>
          <w:sz w:val="32"/>
          <w:szCs w:val="32"/>
        </w:rPr>
        <w:t>1</w:t>
      </w:r>
      <w:r>
        <w:rPr>
          <w:rFonts w:hint="eastAsia" w:ascii="仿宋_GB2312" w:eastAsia="仿宋_GB2312"/>
          <w:color w:val="000000"/>
          <w:sz w:val="32"/>
          <w:szCs w:val="32"/>
        </w:rPr>
        <w:t>辆、金额</w:t>
      </w:r>
      <w:r>
        <w:rPr>
          <w:rFonts w:ascii="仿宋_GB2312" w:eastAsia="仿宋_GB2312"/>
          <w:color w:val="000000"/>
          <w:sz w:val="32"/>
          <w:szCs w:val="32"/>
        </w:rPr>
        <w:t>40</w:t>
      </w:r>
      <w:r>
        <w:rPr>
          <w:rFonts w:hint="eastAsia" w:ascii="仿宋_GB2312" w:eastAsia="仿宋_GB2312"/>
          <w:color w:val="000000"/>
          <w:sz w:val="32"/>
          <w:szCs w:val="32"/>
        </w:rPr>
        <w:t>万元，主要用于因于车辆购置、保险、税收等支出。</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ascii="仿宋_GB2312" w:eastAsia="仿宋_GB2312"/>
          <w:color w:val="000000"/>
          <w:sz w:val="32"/>
          <w:szCs w:val="32"/>
        </w:rPr>
        <w:t>14.19</w:t>
      </w:r>
      <w:r>
        <w:rPr>
          <w:rFonts w:hint="eastAsia" w:ascii="仿宋_GB2312" w:eastAsia="仿宋_GB2312"/>
          <w:color w:val="000000"/>
          <w:sz w:val="32"/>
          <w:szCs w:val="32"/>
        </w:rPr>
        <w:t>万元。主要用于因公出差、下乡、宣讲活动等所需的公务用车燃料费、维修费、过路过桥费、保险费等支出。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ascii="仿宋_GB2312" w:eastAsia="仿宋_GB2312"/>
          <w:color w:val="000000"/>
          <w:sz w:val="32"/>
          <w:szCs w:val="32"/>
        </w:rPr>
        <w:t>0</w:t>
      </w:r>
      <w:r>
        <w:rPr>
          <w:rFonts w:hint="eastAsia" w:ascii="仿宋_GB2312" w:eastAsia="仿宋_GB2312"/>
          <w:color w:val="000000"/>
          <w:sz w:val="32"/>
          <w:szCs w:val="32"/>
        </w:rPr>
        <w:t>万元，</w:t>
      </w:r>
      <w:r>
        <w:rPr>
          <w:rStyle w:val="14"/>
          <w:rFonts w:hint="eastAsia" w:ascii="仿宋" w:hAnsi="仿宋" w:eastAsia="仿宋"/>
          <w:b w:val="0"/>
          <w:bCs/>
          <w:color w:val="000000"/>
          <w:sz w:val="32"/>
          <w:szCs w:val="32"/>
        </w:rPr>
        <w:t>完成预算</w:t>
      </w:r>
      <w:r>
        <w:rPr>
          <w:rStyle w:val="14"/>
          <w:rFonts w:ascii="仿宋" w:hAnsi="仿宋" w:eastAsia="仿宋"/>
          <w:b w:val="0"/>
          <w:bCs/>
          <w:color w:val="000000"/>
          <w:sz w:val="32"/>
          <w:szCs w:val="32"/>
        </w:rPr>
        <w:t>0%</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2017</w:t>
      </w:r>
      <w:r>
        <w:rPr>
          <w:rFonts w:hint="eastAsia" w:ascii="仿宋_GB2312" w:eastAsia="仿宋_GB2312"/>
          <w:color w:val="000000"/>
          <w:sz w:val="32"/>
          <w:szCs w:val="32"/>
        </w:rPr>
        <w:t>年增加</w:t>
      </w:r>
      <w:r>
        <w:rPr>
          <w:rFonts w:ascii="仿宋_GB2312" w:eastAsia="仿宋_GB2312"/>
          <w:color w:val="000000"/>
          <w:sz w:val="32"/>
          <w:szCs w:val="32"/>
        </w:rPr>
        <w:t>0</w:t>
      </w:r>
      <w:r>
        <w:rPr>
          <w:rFonts w:hint="eastAsia" w:ascii="仿宋_GB2312" w:eastAsia="仿宋_GB2312"/>
          <w:color w:val="000000"/>
          <w:sz w:val="32"/>
          <w:szCs w:val="32"/>
        </w:rPr>
        <w:t>万元，增长</w:t>
      </w:r>
      <w:r>
        <w:rPr>
          <w:rFonts w:ascii="仿宋_GB2312" w:eastAsia="仿宋_GB2312"/>
          <w:color w:val="000000"/>
          <w:sz w:val="32"/>
          <w:szCs w:val="32"/>
        </w:rPr>
        <w:t>0%</w:t>
      </w:r>
      <w:r>
        <w:rPr>
          <w:rFonts w:hint="eastAsia" w:ascii="仿宋_GB2312" w:eastAsia="仿宋_GB2312"/>
          <w:color w:val="000000"/>
          <w:sz w:val="32"/>
          <w:szCs w:val="32"/>
        </w:rPr>
        <w:t>。主要原因是厉行节约。</w:t>
      </w:r>
      <w:bookmarkStart w:id="44" w:name="_Toc15396610"/>
      <w:bookmarkStart w:id="45" w:name="_Toc15377218"/>
    </w:p>
    <w:p>
      <w:pPr>
        <w:spacing w:line="600" w:lineRule="exact"/>
        <w:ind w:firstLine="640"/>
        <w:outlineLvl w:val="1"/>
        <w:rPr>
          <w:rStyle w:val="18"/>
          <w:rFonts w:ascii="黑体" w:hAnsi="黑体" w:eastAsia="黑体"/>
        </w:rPr>
      </w:pPr>
      <w:r>
        <w:rPr>
          <w:rFonts w:hint="eastAsia" w:ascii="黑体" w:eastAsia="黑体"/>
          <w:color w:val="000000"/>
          <w:sz w:val="32"/>
          <w:szCs w:val="32"/>
        </w:rPr>
        <w:t>八、</w:t>
      </w:r>
      <w:r>
        <w:rPr>
          <w:rStyle w:val="18"/>
          <w:rFonts w:hint="eastAsia" w:ascii="黑体" w:hAnsi="黑体" w:eastAsia="黑体"/>
          <w:b w:val="0"/>
        </w:rPr>
        <w:t>政府性基金预算支出决算情况说明</w:t>
      </w:r>
      <w:bookmarkEnd w:id="44"/>
      <w:bookmarkEnd w:id="45"/>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2018</w:t>
      </w:r>
      <w:r>
        <w:rPr>
          <w:rFonts w:hint="eastAsia" w:ascii="仿宋_GB2312" w:eastAsia="仿宋_GB2312"/>
          <w:color w:val="000000"/>
          <w:sz w:val="32"/>
          <w:szCs w:val="32"/>
        </w:rPr>
        <w:t>年政府性基金预算拨款支出</w:t>
      </w:r>
      <w:r>
        <w:rPr>
          <w:rFonts w:ascii="仿宋_GB2312" w:eastAsia="仿宋_GB2312"/>
          <w:color w:val="000000"/>
          <w:sz w:val="32"/>
          <w:szCs w:val="32"/>
        </w:rPr>
        <w:t>0</w:t>
      </w:r>
      <w:r>
        <w:rPr>
          <w:rFonts w:hint="eastAsia" w:ascii="仿宋_GB2312" w:eastAsia="仿宋_GB2312"/>
          <w:color w:val="000000"/>
          <w:sz w:val="32"/>
          <w:szCs w:val="32"/>
        </w:rPr>
        <w:t>万元。</w:t>
      </w:r>
    </w:p>
    <w:p>
      <w:pPr>
        <w:numPr>
          <w:ilvl w:val="0"/>
          <w:numId w:val="2"/>
        </w:numPr>
        <w:spacing w:line="600" w:lineRule="exact"/>
        <w:ind w:firstLine="640"/>
        <w:outlineLvl w:val="1"/>
        <w:rPr>
          <w:rStyle w:val="18"/>
          <w:rFonts w:ascii="黑体" w:hAnsi="黑体" w:eastAsia="黑体"/>
          <w:b w:val="0"/>
        </w:rPr>
      </w:pPr>
      <w:bookmarkStart w:id="46" w:name="_Toc15396611"/>
      <w:bookmarkStart w:id="47" w:name="_Toc15377219"/>
      <w:r>
        <w:rPr>
          <w:rStyle w:val="18"/>
          <w:rFonts w:hint="eastAsia" w:ascii="黑体" w:hAnsi="黑体" w:eastAsia="黑体"/>
          <w:b w:val="0"/>
        </w:rPr>
        <w:t>国有资本经营预算支出决算情况说明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2018</w:t>
      </w:r>
      <w:r>
        <w:rPr>
          <w:rFonts w:hint="eastAsia" w:ascii="仿宋_GB2312" w:eastAsia="仿宋_GB2312"/>
          <w:color w:val="000000"/>
          <w:sz w:val="32"/>
          <w:szCs w:val="32"/>
        </w:rPr>
        <w:t>年国有资本经营预算拨款支出</w:t>
      </w:r>
      <w:r>
        <w:rPr>
          <w:rFonts w:ascii="仿宋_GB2312" w:eastAsia="仿宋_GB2312"/>
          <w:color w:val="000000"/>
          <w:sz w:val="32"/>
          <w:szCs w:val="32"/>
        </w:rPr>
        <w:t>0</w:t>
      </w:r>
      <w:r>
        <w:rPr>
          <w:rFonts w:hint="eastAsia" w:ascii="仿宋_GB2312" w:eastAsia="仿宋_GB2312"/>
          <w:color w:val="000000"/>
          <w:sz w:val="32"/>
          <w:szCs w:val="32"/>
        </w:rPr>
        <w:t>万元。</w:t>
      </w:r>
    </w:p>
    <w:p>
      <w:pPr>
        <w:pStyle w:val="28"/>
        <w:numPr>
          <w:ilvl w:val="0"/>
          <w:numId w:val="3"/>
        </w:numPr>
        <w:spacing w:line="580" w:lineRule="exact"/>
        <w:ind w:firstLineChars="0"/>
        <w:rPr>
          <w:rStyle w:val="18"/>
          <w:rFonts w:ascii="黑体" w:hAnsi="黑体" w:eastAsia="黑体"/>
          <w:b w:val="0"/>
        </w:rPr>
      </w:pPr>
      <w:r>
        <w:rPr>
          <w:rStyle w:val="18"/>
          <w:rFonts w:hint="eastAsia" w:ascii="黑体" w:hAnsi="黑体" w:eastAsia="黑体"/>
          <w:b w:val="0"/>
        </w:rPr>
        <w:t>预算绩效情况说明</w:t>
      </w:r>
    </w:p>
    <w:p>
      <w:pPr>
        <w:numPr>
          <w:ilvl w:val="0"/>
          <w:numId w:val="4"/>
        </w:numPr>
        <w:spacing w:line="580" w:lineRule="exact"/>
        <w:ind w:firstLine="643" w:firstLineChars="200"/>
        <w:rPr>
          <w:rFonts w:ascii="仿宋" w:hAnsi="仿宋" w:eastAsia="仿宋" w:cs="楷体_GB2312"/>
          <w:b/>
          <w:bCs/>
          <w:sz w:val="32"/>
          <w:szCs w:val="32"/>
        </w:rPr>
      </w:pPr>
      <w:r>
        <w:rPr>
          <w:rFonts w:hint="eastAsia" w:ascii="仿宋" w:hAnsi="仿宋" w:eastAsia="仿宋" w:cs="楷体_GB2312"/>
          <w:b/>
          <w:bCs/>
          <w:sz w:val="32"/>
          <w:szCs w:val="32"/>
        </w:rPr>
        <w:t>预算绩效管理工作开展情况。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五美村寨建设、文联经费、宣传挂历、《壤巴拉》半年刊、摄影采风活动、县委中心组工作、宣讲经费、户外广告制作及维护、舆情监测设备经费等项目开展了预算事前绩效评估，对</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个项目编制了绩效目标，预算执行过程中，选取</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个项目开展绩效监控，年终执行完毕后，对</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个项目开展了绩效目标完成情况梳理填报。</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年部门整体支出开展绩效自评，从评价情况来看，按县级财政绩效考核目标的要求</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我部门高度重视，立即行动，迅速抓好涉及我部门绩效考核目标任务的落实工作。一是严格把控资金使用用途，狠抓落实。将我部门的项目支出指标及重点工作支出工作目标，按任务分工分解到各科室，明确牵头领导、牵头科室和责任人，各牵头科室的主要负责人对目标项目实施负总责，加强对目标任务的日常动态管理，建立完善工作台帐，认真做好目标的组织管理工作和自评自查工作</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确保了工作任务落实到位。收集好对绩效考核工作目标相关的各类资金使用文件信息、等材料，做好工作台帐。三是积极汇报，狠抓考核。达到了既定的目标任务要求；对重大项目活动开展经费支出项目：加强资金监管，我部突出重点，全力抓好落实、抓出实效，圆满完成目标任务。</w:t>
      </w:r>
    </w:p>
    <w:p>
      <w:pPr>
        <w:spacing w:line="580" w:lineRule="exact"/>
        <w:ind w:firstLine="643" w:firstLineChars="200"/>
        <w:rPr>
          <w:rFonts w:ascii="仿宋_GB2312" w:hAnsi="仿宋_GB2312" w:eastAsia="仿宋_GB2312" w:cs="仿宋_GB2312"/>
          <w:sz w:val="32"/>
          <w:szCs w:val="32"/>
        </w:rPr>
      </w:pPr>
      <w:r>
        <w:rPr>
          <w:rFonts w:hint="eastAsia" w:ascii="仿宋" w:hAnsi="仿宋" w:eastAsia="仿宋" w:cs="楷体_GB2312"/>
          <w:b/>
          <w:bCs/>
          <w:sz w:val="32"/>
          <w:szCs w:val="32"/>
        </w:rPr>
        <w:t>（二）项目绩效目标完成情况。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本部门在</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年度部门决算中反映“五美村寨建设”、“户外广告制作及维护”、“宣传挂历”、“《壤巴拉》半年刊”“舆情监测设备经费”等</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个项目绩效目标实际完成情况。</w:t>
      </w:r>
    </w:p>
    <w:p>
      <w:pPr>
        <w:numPr>
          <w:ilvl w:val="0"/>
          <w:numId w:val="5"/>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五美村寨项目绩效目标完成情况综述。项目全年预算数</w:t>
      </w:r>
      <w:r>
        <w:rPr>
          <w:rFonts w:ascii="仿宋_GB2312" w:hAnsi="仿宋_GB2312" w:eastAsia="仿宋_GB2312" w:cs="仿宋_GB2312"/>
          <w:sz w:val="32"/>
          <w:szCs w:val="32"/>
        </w:rPr>
        <w:t>47</w:t>
      </w:r>
      <w:r>
        <w:rPr>
          <w:rFonts w:hint="eastAsia" w:ascii="仿宋_GB2312" w:hAnsi="仿宋_GB2312" w:eastAsia="仿宋_GB2312" w:cs="仿宋_GB2312"/>
          <w:sz w:val="32"/>
          <w:szCs w:val="32"/>
        </w:rPr>
        <w:t>万元，执行数为</w:t>
      </w:r>
      <w:r>
        <w:rPr>
          <w:rFonts w:ascii="仿宋_GB2312" w:hAnsi="仿宋_GB2312" w:eastAsia="仿宋_GB2312" w:cs="仿宋_GB2312"/>
          <w:sz w:val="32"/>
          <w:szCs w:val="32"/>
        </w:rPr>
        <w:t>47</w:t>
      </w:r>
      <w:r>
        <w:rPr>
          <w:rFonts w:hint="eastAsia" w:ascii="仿宋_GB2312" w:hAnsi="仿宋_GB2312" w:eastAsia="仿宋_GB2312" w:cs="仿宋_GB2312"/>
          <w:sz w:val="32"/>
          <w:szCs w:val="32"/>
        </w:rPr>
        <w:t>万元，完成预算的</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。通过项目实施，</w:t>
      </w:r>
      <w:r>
        <w:rPr>
          <w:rFonts w:hint="eastAsia" w:ascii="仿宋_GB2312" w:eastAsia="仿宋_GB2312"/>
          <w:sz w:val="32"/>
          <w:szCs w:val="32"/>
        </w:rPr>
        <w:t>提升全县干部和农牧民生态意识和文明意识，切实改善农村人居环境，加快精品村寨、美丽乡村建设，提高农村群众生活品质和幸福指数，弘扬社会主义核心价值观。</w:t>
      </w:r>
    </w:p>
    <w:p>
      <w:pPr>
        <w:numPr>
          <w:ilvl w:val="0"/>
          <w:numId w:val="5"/>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户外广告制作及维护项目绩效目标完成情况综述。项目全年预算数</w:t>
      </w:r>
      <w:r>
        <w:rPr>
          <w:rFonts w:ascii="仿宋_GB2312" w:hAnsi="仿宋_GB2312" w:eastAsia="仿宋_GB2312" w:cs="仿宋_GB2312"/>
          <w:sz w:val="32"/>
          <w:szCs w:val="32"/>
        </w:rPr>
        <w:t>38</w:t>
      </w:r>
      <w:r>
        <w:rPr>
          <w:rFonts w:hint="eastAsia" w:ascii="仿宋_GB2312" w:hAnsi="仿宋_GB2312" w:eastAsia="仿宋_GB2312" w:cs="仿宋_GB2312"/>
          <w:sz w:val="32"/>
          <w:szCs w:val="32"/>
        </w:rPr>
        <w:t>万元，执行数为</w:t>
      </w:r>
      <w:r>
        <w:rPr>
          <w:rFonts w:ascii="仿宋_GB2312" w:hAnsi="仿宋_GB2312" w:eastAsia="仿宋_GB2312" w:cs="仿宋_GB2312"/>
          <w:sz w:val="32"/>
          <w:szCs w:val="32"/>
        </w:rPr>
        <w:t>38</w:t>
      </w:r>
      <w:r>
        <w:rPr>
          <w:rFonts w:hint="eastAsia" w:ascii="仿宋_GB2312" w:hAnsi="仿宋_GB2312" w:eastAsia="仿宋_GB2312" w:cs="仿宋_GB2312"/>
          <w:sz w:val="32"/>
          <w:szCs w:val="32"/>
        </w:rPr>
        <w:t>万元，完成预算的</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。通过项目实施，</w:t>
      </w:r>
      <w:r>
        <w:rPr>
          <w:rFonts w:hint="eastAsia" w:ascii="仿宋_GB2312" w:eastAsia="仿宋_GB2312"/>
          <w:sz w:val="32"/>
          <w:szCs w:val="32"/>
        </w:rPr>
        <w:t>弘扬社会主义核心价值观，凝聚建设壤塘美好家园的正能量，激发全县各族干部群众建设壤塘发展的热情，助推对外宣传工作，提升我县</w:t>
      </w:r>
      <w:r>
        <w:rPr>
          <w:rFonts w:hint="eastAsia" w:ascii="仿宋_GB2312" w:hAnsi="仿宋_GB2312" w:eastAsia="仿宋_GB2312" w:cs="仿宋_GB2312"/>
          <w:sz w:val="32"/>
          <w:szCs w:val="32"/>
        </w:rPr>
        <w:t>对外影响力。</w:t>
      </w:r>
    </w:p>
    <w:p>
      <w:pPr>
        <w:numPr>
          <w:ilvl w:val="0"/>
          <w:numId w:val="5"/>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宣传部挂历项目绩效目标完成情况综述。项目全年预算数</w:t>
      </w:r>
      <w:r>
        <w:rPr>
          <w:rFonts w:ascii="仿宋_GB2312" w:hAnsi="仿宋_GB2312" w:eastAsia="仿宋_GB2312" w:cs="仿宋_GB2312"/>
          <w:sz w:val="32"/>
          <w:szCs w:val="32"/>
        </w:rPr>
        <w:t>3.21</w:t>
      </w:r>
      <w:r>
        <w:rPr>
          <w:rFonts w:hint="eastAsia" w:ascii="仿宋_GB2312" w:hAnsi="仿宋_GB2312" w:eastAsia="仿宋_GB2312" w:cs="仿宋_GB2312"/>
          <w:sz w:val="32"/>
          <w:szCs w:val="32"/>
        </w:rPr>
        <w:t>万元，执行数为</w:t>
      </w:r>
      <w:r>
        <w:rPr>
          <w:rFonts w:ascii="仿宋_GB2312" w:hAnsi="仿宋_GB2312" w:eastAsia="仿宋_GB2312" w:cs="仿宋_GB2312"/>
          <w:sz w:val="32"/>
          <w:szCs w:val="32"/>
        </w:rPr>
        <w:t>3.21</w:t>
      </w:r>
      <w:r>
        <w:rPr>
          <w:rFonts w:hint="eastAsia" w:ascii="仿宋_GB2312" w:hAnsi="仿宋_GB2312" w:eastAsia="仿宋_GB2312" w:cs="仿宋_GB2312"/>
          <w:sz w:val="32"/>
          <w:szCs w:val="32"/>
        </w:rPr>
        <w:t>万元，完成预算的</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。通过项目实施，维护了民族团结、呈现壤塘县情、壤巴拉文化、壤巴拉生态文明等内容。</w:t>
      </w:r>
    </w:p>
    <w:p>
      <w:pPr>
        <w:numPr>
          <w:ilvl w:val="0"/>
          <w:numId w:val="5"/>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《壤巴拉》半年刊项目绩效目标完成情况综述。项目全年预算数</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万元，执行数为</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万元，完成预算的</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。通过项目实施，丰富了干部群众的业余生活，提高了精神文化水平。</w:t>
      </w:r>
    </w:p>
    <w:p>
      <w:pPr>
        <w:numPr>
          <w:ilvl w:val="0"/>
          <w:numId w:val="5"/>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舆情监测经费项目绩效目标完成情况综述。项目全年预算数</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万元，执行数为</w:t>
      </w:r>
      <w:r>
        <w:rPr>
          <w:rFonts w:ascii="仿宋_GB2312" w:hAnsi="仿宋_GB2312" w:eastAsia="仿宋_GB2312" w:cs="仿宋_GB2312"/>
          <w:sz w:val="32"/>
          <w:szCs w:val="32"/>
        </w:rPr>
        <w:t>1.8</w:t>
      </w:r>
      <w:r>
        <w:rPr>
          <w:rFonts w:hint="eastAsia" w:ascii="仿宋_GB2312" w:hAnsi="仿宋_GB2312" w:eastAsia="仿宋_GB2312" w:cs="仿宋_GB2312"/>
          <w:sz w:val="32"/>
          <w:szCs w:val="32"/>
        </w:rPr>
        <w:t>万元，完成预算的</w:t>
      </w:r>
      <w:r>
        <w:rPr>
          <w:rFonts w:ascii="仿宋_GB2312" w:hAnsi="仿宋_GB2312" w:eastAsia="仿宋_GB2312" w:cs="仿宋_GB2312"/>
          <w:sz w:val="32"/>
          <w:szCs w:val="32"/>
        </w:rPr>
        <w:t>90%</w:t>
      </w:r>
      <w:r>
        <w:rPr>
          <w:rFonts w:hint="eastAsia" w:ascii="仿宋_GB2312" w:hAnsi="仿宋_GB2312" w:eastAsia="仿宋_GB2312" w:cs="仿宋_GB2312"/>
          <w:sz w:val="32"/>
          <w:szCs w:val="32"/>
        </w:rPr>
        <w:t>。通过项目实施，全面掌握了群众思想动态，做出正确舆论引导。</w:t>
      </w:r>
    </w:p>
    <w:p>
      <w:pPr>
        <w:numPr>
          <w:ilvl w:val="0"/>
          <w:numId w:val="4"/>
        </w:numPr>
        <w:spacing w:line="580" w:lineRule="exact"/>
        <w:ind w:firstLine="643" w:firstLineChars="200"/>
        <w:rPr>
          <w:rFonts w:ascii="仿宋" w:hAnsi="仿宋" w:eastAsia="仿宋" w:cs="仿宋_GB2312"/>
          <w:sz w:val="32"/>
          <w:szCs w:val="32"/>
        </w:rPr>
      </w:pPr>
      <w:r>
        <w:rPr>
          <w:rFonts w:hint="eastAsia" w:ascii="仿宋" w:hAnsi="仿宋" w:eastAsia="仿宋" w:cs="楷体_GB2312"/>
          <w:b/>
          <w:bCs/>
          <w:sz w:val="32"/>
          <w:szCs w:val="32"/>
        </w:rPr>
        <w:t>部门开展绩效评价结果。</w:t>
      </w:r>
    </w:p>
    <w:p>
      <w:pPr>
        <w:spacing w:line="580" w:lineRule="exact"/>
        <w:ind w:firstLine="640" w:firstLineChars="200"/>
        <w:rPr>
          <w:rFonts w:ascii="仿宋" w:hAnsi="仿宋" w:eastAsia="仿宋" w:cs="仿宋"/>
          <w:sz w:val="32"/>
          <w:szCs w:val="32"/>
        </w:rPr>
      </w:pPr>
      <w:r>
        <w:rPr>
          <w:rFonts w:ascii="仿宋_GB2312" w:eastAsia="仿宋_GB2312"/>
          <w:color w:val="000000"/>
          <w:sz w:val="32"/>
          <w:szCs w:val="32"/>
        </w:rPr>
        <w:t>1.</w:t>
      </w: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年部门整体支出绩效评价情况开展自评，</w:t>
      </w:r>
      <w:r>
        <w:rPr>
          <w:rFonts w:hint="eastAsia" w:ascii="仿宋" w:hAnsi="仿宋" w:eastAsia="仿宋" w:cs="仿宋"/>
          <w:sz w:val="32"/>
          <w:szCs w:val="32"/>
        </w:rPr>
        <w:t>《宣传部</w:t>
      </w:r>
      <w:r>
        <w:rPr>
          <w:rFonts w:ascii="仿宋" w:hAnsi="仿宋" w:eastAsia="仿宋" w:cs="仿宋"/>
          <w:sz w:val="32"/>
          <w:szCs w:val="32"/>
        </w:rPr>
        <w:t>2018</w:t>
      </w:r>
      <w:r>
        <w:rPr>
          <w:rFonts w:hint="eastAsia" w:ascii="仿宋" w:hAnsi="仿宋" w:eastAsia="仿宋" w:cs="仿宋"/>
          <w:sz w:val="32"/>
          <w:szCs w:val="32"/>
        </w:rPr>
        <w:t>年部门整体支出绩效评价报告》见附件。</w:t>
      </w:r>
    </w:p>
    <w:p>
      <w:pPr>
        <w:spacing w:line="580" w:lineRule="exact"/>
        <w:ind w:firstLine="600" w:firstLineChars="200"/>
        <w:rPr>
          <w:rFonts w:ascii="仿宋_GB2312" w:hAnsi="仿宋_GB2312" w:eastAsia="仿宋_GB2312" w:cs="仿宋_GB2312"/>
          <w:sz w:val="32"/>
          <w:szCs w:val="32"/>
        </w:rPr>
      </w:pPr>
      <w:r>
        <w:rPr>
          <w:rFonts w:hint="eastAsia" w:ascii="仿宋" w:hAnsi="仿宋" w:eastAsia="仿宋" w:cs="仿宋"/>
          <w:color w:val="000000"/>
          <w:sz w:val="30"/>
          <w:shd w:val="clear" w:color="auto" w:fill="FFFFFF"/>
        </w:rPr>
        <w:t>单位财务人员严格按照县级部门决算编制通知和有关文件要求，以经县财政国库集中支付中心、支出管理股室、国库审核无误后的经费财务报表为基础，根据每项经费指标的功能科目及经济分类科目以及该指标本年实际支付数在部门决算软件中逐笔据实填列。决算编制工作完成后及时将所有数据、相关编制说明和分析报告交由县财政相关股室进行检查审核，单位部门决算数据全面真实地反映了单位本年经费开支及使用情况，不存在应编未编、错误列编、重现调整决算资金总额度的现象。</w:t>
      </w:r>
    </w:p>
    <w:p>
      <w:pPr>
        <w:jc w:val="center"/>
        <w:rPr>
          <w:rFonts w:ascii="黑体" w:hAnsi="黑体" w:eastAsia="黑体"/>
          <w:color w:val="000000"/>
          <w:sz w:val="32"/>
          <w:szCs w:val="32"/>
        </w:rPr>
      </w:pPr>
    </w:p>
    <w:p>
      <w:pPr>
        <w:jc w:val="center"/>
        <w:rPr>
          <w:rFonts w:ascii="黑体" w:hAnsi="黑体" w:eastAsia="黑体"/>
          <w:color w:val="000000"/>
          <w:sz w:val="32"/>
          <w:szCs w:val="32"/>
        </w:rPr>
      </w:pPr>
      <w:r>
        <w:rPr>
          <w:rFonts w:ascii="黑体" w:hAnsi="黑体" w:eastAsia="黑体"/>
          <w:color w:val="000000"/>
          <w:sz w:val="32"/>
          <w:szCs w:val="32"/>
        </w:rPr>
        <w:t>2018</w:t>
      </w:r>
      <w:r>
        <w:rPr>
          <w:rFonts w:hint="eastAsia" w:ascii="黑体" w:hAnsi="黑体" w:eastAsia="黑体"/>
          <w:color w:val="000000"/>
          <w:sz w:val="32"/>
          <w:szCs w:val="32"/>
        </w:rPr>
        <w:t>年部门整体支出绩效评价得分表</w:t>
      </w:r>
    </w:p>
    <w:tbl>
      <w:tblPr>
        <w:tblStyle w:val="16"/>
        <w:tblW w:w="9498" w:type="dxa"/>
        <w:tblInd w:w="-176" w:type="dxa"/>
        <w:tblLayout w:type="fixed"/>
        <w:tblCellMar>
          <w:top w:w="0" w:type="dxa"/>
          <w:left w:w="108" w:type="dxa"/>
          <w:bottom w:w="0" w:type="dxa"/>
          <w:right w:w="108" w:type="dxa"/>
        </w:tblCellMar>
      </w:tblPr>
      <w:tblGrid>
        <w:gridCol w:w="1702"/>
        <w:gridCol w:w="2268"/>
        <w:gridCol w:w="3402"/>
        <w:gridCol w:w="2126"/>
      </w:tblGrid>
      <w:tr>
        <w:tblPrEx>
          <w:tblLayout w:type="fixed"/>
          <w:tblCellMar>
            <w:top w:w="0" w:type="dxa"/>
            <w:left w:w="108" w:type="dxa"/>
            <w:bottom w:w="0" w:type="dxa"/>
            <w:right w:w="108" w:type="dxa"/>
          </w:tblCellMar>
        </w:tblPrEx>
        <w:trPr>
          <w:trHeight w:val="240" w:hRule="atLeast"/>
        </w:trPr>
        <w:tc>
          <w:tcPr>
            <w:tcW w:w="170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20"/>
                <w:szCs w:val="20"/>
              </w:rPr>
            </w:pPr>
            <w:r>
              <w:rPr>
                <w:rFonts w:hint="eastAsia" w:ascii="宋体" w:hAnsi="宋体" w:cs="宋体"/>
                <w:b/>
                <w:bCs/>
                <w:color w:val="000000"/>
                <w:kern w:val="0"/>
                <w:sz w:val="20"/>
                <w:szCs w:val="20"/>
              </w:rPr>
              <w:t>一级指标</w:t>
            </w:r>
          </w:p>
        </w:tc>
        <w:tc>
          <w:tcPr>
            <w:tcW w:w="2268" w:type="dxa"/>
            <w:tcBorders>
              <w:top w:val="single" w:color="auto" w:sz="4" w:space="0"/>
              <w:left w:val="nil"/>
              <w:bottom w:val="single" w:color="auto" w:sz="4" w:space="0"/>
              <w:right w:val="single" w:color="auto" w:sz="4" w:space="0"/>
            </w:tcBorders>
            <w:vAlign w:val="center"/>
          </w:tcPr>
          <w:p>
            <w:pPr>
              <w:widowControl/>
              <w:jc w:val="center"/>
              <w:rPr>
                <w:rFonts w:ascii="宋体" w:cs="宋体"/>
                <w:b/>
                <w:bCs/>
                <w:color w:val="000000"/>
                <w:kern w:val="0"/>
                <w:sz w:val="20"/>
                <w:szCs w:val="20"/>
              </w:rPr>
            </w:pPr>
            <w:r>
              <w:rPr>
                <w:rFonts w:hint="eastAsia" w:ascii="宋体" w:hAnsi="宋体" w:cs="宋体"/>
                <w:b/>
                <w:bCs/>
                <w:color w:val="000000"/>
                <w:kern w:val="0"/>
                <w:sz w:val="20"/>
                <w:szCs w:val="20"/>
              </w:rPr>
              <w:t>二级指标</w:t>
            </w:r>
          </w:p>
        </w:tc>
        <w:tc>
          <w:tcPr>
            <w:tcW w:w="3402" w:type="dxa"/>
            <w:tcBorders>
              <w:top w:val="single" w:color="auto" w:sz="4" w:space="0"/>
              <w:left w:val="nil"/>
              <w:bottom w:val="single" w:color="auto" w:sz="4" w:space="0"/>
              <w:right w:val="single" w:color="auto" w:sz="4" w:space="0"/>
            </w:tcBorders>
            <w:vAlign w:val="center"/>
          </w:tcPr>
          <w:p>
            <w:pPr>
              <w:widowControl/>
              <w:jc w:val="center"/>
              <w:rPr>
                <w:rFonts w:ascii="宋体" w:cs="宋体"/>
                <w:b/>
                <w:bCs/>
                <w:color w:val="000000"/>
                <w:kern w:val="0"/>
                <w:sz w:val="20"/>
                <w:szCs w:val="20"/>
              </w:rPr>
            </w:pPr>
            <w:r>
              <w:rPr>
                <w:rFonts w:hint="eastAsia" w:ascii="宋体" w:hAnsi="宋体" w:cs="宋体"/>
                <w:b/>
                <w:bCs/>
                <w:color w:val="000000"/>
                <w:kern w:val="0"/>
                <w:sz w:val="20"/>
                <w:szCs w:val="20"/>
              </w:rPr>
              <w:t>三级指标</w:t>
            </w:r>
          </w:p>
        </w:tc>
        <w:tc>
          <w:tcPr>
            <w:tcW w:w="2126" w:type="dxa"/>
            <w:tcBorders>
              <w:top w:val="single" w:color="auto" w:sz="4" w:space="0"/>
              <w:left w:val="nil"/>
              <w:bottom w:val="single" w:color="auto" w:sz="4" w:space="0"/>
              <w:right w:val="single" w:color="auto" w:sz="4" w:space="0"/>
            </w:tcBorders>
          </w:tcPr>
          <w:p>
            <w:pPr>
              <w:widowControl/>
              <w:jc w:val="center"/>
              <w:rPr>
                <w:rFonts w:ascii="宋体" w:cs="宋体"/>
                <w:b/>
                <w:bCs/>
                <w:color w:val="000000"/>
                <w:kern w:val="0"/>
                <w:sz w:val="20"/>
                <w:szCs w:val="20"/>
              </w:rPr>
            </w:pPr>
            <w:r>
              <w:rPr>
                <w:rFonts w:hint="eastAsia" w:ascii="宋体" w:hAnsi="宋体" w:cs="宋体"/>
                <w:b/>
                <w:bCs/>
                <w:color w:val="000000"/>
                <w:kern w:val="0"/>
                <w:sz w:val="20"/>
                <w:szCs w:val="20"/>
              </w:rPr>
              <w:t>得分</w:t>
            </w:r>
          </w:p>
        </w:tc>
      </w:tr>
      <w:tr>
        <w:tblPrEx>
          <w:tblLayout w:type="fixed"/>
          <w:tblCellMar>
            <w:top w:w="0" w:type="dxa"/>
            <w:left w:w="108" w:type="dxa"/>
            <w:bottom w:w="0" w:type="dxa"/>
            <w:right w:w="108" w:type="dxa"/>
          </w:tblCellMar>
        </w:tblPrEx>
        <w:trPr>
          <w:trHeight w:val="520" w:hRule="atLeast"/>
        </w:trPr>
        <w:tc>
          <w:tcPr>
            <w:tcW w:w="1702" w:type="dxa"/>
            <w:vMerge w:val="restart"/>
            <w:tcBorders>
              <w:top w:val="nil"/>
              <w:left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部门决策（</w:t>
            </w:r>
            <w:r>
              <w:rPr>
                <w:rFonts w:ascii="宋体" w:hAnsi="宋体" w:cs="宋体"/>
                <w:color w:val="000000"/>
                <w:kern w:val="0"/>
                <w:sz w:val="20"/>
                <w:szCs w:val="20"/>
              </w:rPr>
              <w:t>25</w:t>
            </w:r>
            <w:r>
              <w:rPr>
                <w:rFonts w:hint="eastAsia" w:ascii="宋体" w:hAnsi="宋体" w:cs="宋体"/>
                <w:color w:val="000000"/>
                <w:kern w:val="0"/>
                <w:sz w:val="20"/>
                <w:szCs w:val="20"/>
              </w:rPr>
              <w:t>分）</w:t>
            </w:r>
          </w:p>
        </w:tc>
        <w:tc>
          <w:tcPr>
            <w:tcW w:w="2268"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目标任务（</w:t>
            </w:r>
            <w:r>
              <w:rPr>
                <w:rFonts w:ascii="宋体" w:hAnsi="宋体" w:cs="宋体"/>
                <w:color w:val="000000"/>
                <w:kern w:val="0"/>
                <w:sz w:val="20"/>
                <w:szCs w:val="20"/>
              </w:rPr>
              <w:t>15</w:t>
            </w:r>
            <w:r>
              <w:rPr>
                <w:rFonts w:hint="eastAsia" w:ascii="宋体" w:hAnsi="宋体" w:cs="宋体"/>
                <w:color w:val="000000"/>
                <w:kern w:val="0"/>
                <w:sz w:val="20"/>
                <w:szCs w:val="20"/>
              </w:rPr>
              <w:t>分）</w:t>
            </w:r>
          </w:p>
        </w:tc>
        <w:tc>
          <w:tcPr>
            <w:tcW w:w="34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相关性（</w:t>
            </w:r>
            <w:r>
              <w:rPr>
                <w:rFonts w:ascii="宋体" w:hAnsi="宋体" w:cs="宋体"/>
                <w:color w:val="000000"/>
                <w:kern w:val="0"/>
                <w:sz w:val="20"/>
                <w:szCs w:val="20"/>
              </w:rPr>
              <w:t>5</w:t>
            </w:r>
            <w:r>
              <w:rPr>
                <w:rFonts w:hint="eastAsia" w:ascii="宋体" w:hAnsi="宋体" w:cs="宋体"/>
                <w:color w:val="000000"/>
                <w:kern w:val="0"/>
                <w:sz w:val="20"/>
                <w:szCs w:val="20"/>
              </w:rPr>
              <w:t>分）</w:t>
            </w:r>
          </w:p>
        </w:tc>
        <w:tc>
          <w:tcPr>
            <w:tcW w:w="2126" w:type="dxa"/>
            <w:tcBorders>
              <w:top w:val="nil"/>
              <w:left w:val="nil"/>
              <w:bottom w:val="single" w:color="auto" w:sz="4" w:space="0"/>
              <w:right w:val="single" w:color="auto" w:sz="4" w:space="0"/>
            </w:tcBorders>
          </w:tcPr>
          <w:p>
            <w:pPr>
              <w:widowControl/>
              <w:jc w:val="center"/>
              <w:rPr>
                <w:rFonts w:ascii="宋体" w:cs="宋体"/>
                <w:color w:val="000000"/>
                <w:kern w:val="0"/>
                <w:sz w:val="20"/>
                <w:szCs w:val="20"/>
              </w:rPr>
            </w:pPr>
            <w:r>
              <w:rPr>
                <w:rFonts w:ascii="宋体" w:hAnsi="宋体" w:cs="宋体"/>
                <w:color w:val="000000"/>
                <w:kern w:val="0"/>
                <w:sz w:val="20"/>
                <w:szCs w:val="20"/>
              </w:rPr>
              <w:t>5</w:t>
            </w:r>
          </w:p>
        </w:tc>
      </w:tr>
      <w:tr>
        <w:tblPrEx>
          <w:tblLayout w:type="fixed"/>
          <w:tblCellMar>
            <w:top w:w="0" w:type="dxa"/>
            <w:left w:w="108" w:type="dxa"/>
            <w:bottom w:w="0" w:type="dxa"/>
            <w:right w:w="108" w:type="dxa"/>
          </w:tblCellMar>
        </w:tblPrEx>
        <w:trPr>
          <w:trHeight w:val="413" w:hRule="atLeast"/>
        </w:trPr>
        <w:tc>
          <w:tcPr>
            <w:tcW w:w="1702" w:type="dxa"/>
            <w:vMerge w:val="continue"/>
            <w:tcBorders>
              <w:left w:val="single" w:color="auto" w:sz="4" w:space="0"/>
              <w:right w:val="single" w:color="auto" w:sz="4" w:space="0"/>
            </w:tcBorders>
            <w:vAlign w:val="center"/>
          </w:tcPr>
          <w:p>
            <w:pPr>
              <w:widowControl/>
              <w:jc w:val="left"/>
              <w:rPr>
                <w:rFonts w:asci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明确性（</w:t>
            </w:r>
            <w:r>
              <w:rPr>
                <w:rFonts w:ascii="宋体" w:hAnsi="宋体" w:cs="宋体"/>
                <w:color w:val="000000"/>
                <w:kern w:val="0"/>
                <w:sz w:val="20"/>
                <w:szCs w:val="20"/>
              </w:rPr>
              <w:t>5</w:t>
            </w:r>
            <w:r>
              <w:rPr>
                <w:rFonts w:hint="eastAsia" w:ascii="宋体" w:hAnsi="宋体" w:cs="宋体"/>
                <w:color w:val="000000"/>
                <w:kern w:val="0"/>
                <w:sz w:val="20"/>
                <w:szCs w:val="20"/>
              </w:rPr>
              <w:t>分）</w:t>
            </w:r>
          </w:p>
        </w:tc>
        <w:tc>
          <w:tcPr>
            <w:tcW w:w="2126" w:type="dxa"/>
            <w:tcBorders>
              <w:top w:val="nil"/>
              <w:left w:val="nil"/>
              <w:bottom w:val="single" w:color="auto" w:sz="4" w:space="0"/>
              <w:right w:val="single" w:color="auto" w:sz="4" w:space="0"/>
            </w:tcBorders>
          </w:tcPr>
          <w:p>
            <w:pPr>
              <w:widowControl/>
              <w:jc w:val="center"/>
              <w:rPr>
                <w:rFonts w:ascii="宋体" w:cs="宋体"/>
                <w:color w:val="000000"/>
                <w:kern w:val="0"/>
                <w:sz w:val="20"/>
                <w:szCs w:val="20"/>
              </w:rPr>
            </w:pPr>
            <w:r>
              <w:rPr>
                <w:rFonts w:ascii="宋体" w:hAnsi="宋体" w:cs="宋体"/>
                <w:color w:val="000000"/>
                <w:kern w:val="0"/>
                <w:sz w:val="20"/>
                <w:szCs w:val="20"/>
              </w:rPr>
              <w:t>5</w:t>
            </w:r>
          </w:p>
        </w:tc>
      </w:tr>
      <w:tr>
        <w:tblPrEx>
          <w:tblLayout w:type="fixed"/>
          <w:tblCellMar>
            <w:top w:w="0" w:type="dxa"/>
            <w:left w:w="108" w:type="dxa"/>
            <w:bottom w:w="0" w:type="dxa"/>
            <w:right w:w="108" w:type="dxa"/>
          </w:tblCellMar>
        </w:tblPrEx>
        <w:trPr>
          <w:trHeight w:val="440" w:hRule="atLeast"/>
        </w:trPr>
        <w:tc>
          <w:tcPr>
            <w:tcW w:w="1702" w:type="dxa"/>
            <w:vMerge w:val="continue"/>
            <w:tcBorders>
              <w:left w:val="single" w:color="auto" w:sz="4" w:space="0"/>
              <w:right w:val="single" w:color="auto" w:sz="4" w:space="0"/>
            </w:tcBorders>
            <w:vAlign w:val="center"/>
          </w:tcPr>
          <w:p>
            <w:pPr>
              <w:widowControl/>
              <w:jc w:val="left"/>
              <w:rPr>
                <w:rFonts w:asci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合理性（</w:t>
            </w:r>
            <w:r>
              <w:rPr>
                <w:rFonts w:ascii="宋体" w:hAnsi="宋体" w:cs="宋体"/>
                <w:color w:val="000000"/>
                <w:kern w:val="0"/>
                <w:sz w:val="20"/>
                <w:szCs w:val="20"/>
              </w:rPr>
              <w:t>5</w:t>
            </w:r>
            <w:r>
              <w:rPr>
                <w:rFonts w:hint="eastAsia" w:ascii="宋体" w:hAnsi="宋体" w:cs="宋体"/>
                <w:color w:val="000000"/>
                <w:kern w:val="0"/>
                <w:sz w:val="20"/>
                <w:szCs w:val="20"/>
              </w:rPr>
              <w:t>分）</w:t>
            </w:r>
          </w:p>
        </w:tc>
        <w:tc>
          <w:tcPr>
            <w:tcW w:w="2126" w:type="dxa"/>
            <w:tcBorders>
              <w:top w:val="nil"/>
              <w:left w:val="nil"/>
              <w:bottom w:val="single" w:color="auto" w:sz="4" w:space="0"/>
              <w:right w:val="single" w:color="auto" w:sz="4" w:space="0"/>
            </w:tcBorders>
          </w:tcPr>
          <w:p>
            <w:pPr>
              <w:widowControl/>
              <w:jc w:val="center"/>
              <w:rPr>
                <w:rFonts w:ascii="宋体" w:cs="宋体"/>
                <w:color w:val="000000"/>
                <w:kern w:val="0"/>
                <w:sz w:val="20"/>
                <w:szCs w:val="20"/>
              </w:rPr>
            </w:pPr>
            <w:r>
              <w:rPr>
                <w:rFonts w:ascii="宋体" w:hAnsi="宋体" w:cs="宋体"/>
                <w:color w:val="000000"/>
                <w:kern w:val="0"/>
                <w:sz w:val="20"/>
                <w:szCs w:val="20"/>
              </w:rPr>
              <w:t>4.5</w:t>
            </w:r>
          </w:p>
        </w:tc>
      </w:tr>
      <w:tr>
        <w:tblPrEx>
          <w:tblLayout w:type="fixed"/>
          <w:tblCellMar>
            <w:top w:w="0" w:type="dxa"/>
            <w:left w:w="108" w:type="dxa"/>
            <w:bottom w:w="0" w:type="dxa"/>
            <w:right w:w="108" w:type="dxa"/>
          </w:tblCellMar>
        </w:tblPrEx>
        <w:trPr>
          <w:trHeight w:val="269" w:hRule="atLeast"/>
        </w:trPr>
        <w:tc>
          <w:tcPr>
            <w:tcW w:w="1702" w:type="dxa"/>
            <w:vMerge w:val="continue"/>
            <w:tcBorders>
              <w:left w:val="single" w:color="auto" w:sz="4" w:space="0"/>
              <w:right w:val="single" w:color="auto" w:sz="4" w:space="0"/>
            </w:tcBorders>
            <w:vAlign w:val="center"/>
          </w:tcPr>
          <w:p>
            <w:pPr>
              <w:widowControl/>
              <w:jc w:val="center"/>
              <w:rPr>
                <w:rFonts w:asci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预算编制（</w:t>
            </w:r>
            <w:r>
              <w:rPr>
                <w:rFonts w:ascii="宋体" w:hAnsi="宋体" w:cs="宋体"/>
                <w:color w:val="000000"/>
                <w:kern w:val="0"/>
                <w:sz w:val="20"/>
                <w:szCs w:val="20"/>
              </w:rPr>
              <w:t>10</w:t>
            </w:r>
            <w:r>
              <w:rPr>
                <w:rFonts w:hint="eastAsia" w:ascii="宋体" w:hAnsi="宋体" w:cs="宋体"/>
                <w:color w:val="000000"/>
                <w:kern w:val="0"/>
                <w:sz w:val="20"/>
                <w:szCs w:val="20"/>
              </w:rPr>
              <w:t>分）</w:t>
            </w:r>
          </w:p>
        </w:tc>
        <w:tc>
          <w:tcPr>
            <w:tcW w:w="34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测算依据（</w:t>
            </w:r>
            <w:r>
              <w:rPr>
                <w:rFonts w:ascii="宋体" w:hAnsi="宋体" w:cs="宋体"/>
                <w:color w:val="000000"/>
                <w:kern w:val="0"/>
                <w:sz w:val="20"/>
                <w:szCs w:val="20"/>
              </w:rPr>
              <w:t>5</w:t>
            </w:r>
            <w:r>
              <w:rPr>
                <w:rFonts w:hint="eastAsia" w:ascii="宋体" w:hAnsi="宋体" w:cs="宋体"/>
                <w:color w:val="000000"/>
                <w:kern w:val="0"/>
                <w:sz w:val="20"/>
                <w:szCs w:val="20"/>
              </w:rPr>
              <w:t>分）</w:t>
            </w:r>
          </w:p>
        </w:tc>
        <w:tc>
          <w:tcPr>
            <w:tcW w:w="2126" w:type="dxa"/>
            <w:tcBorders>
              <w:top w:val="nil"/>
              <w:left w:val="nil"/>
              <w:bottom w:val="single" w:color="auto" w:sz="4" w:space="0"/>
              <w:right w:val="single" w:color="auto" w:sz="4" w:space="0"/>
            </w:tcBorders>
          </w:tcPr>
          <w:p>
            <w:pPr>
              <w:widowControl/>
              <w:jc w:val="center"/>
              <w:rPr>
                <w:rFonts w:ascii="宋体" w:cs="宋体"/>
                <w:color w:val="000000"/>
                <w:kern w:val="0"/>
                <w:sz w:val="20"/>
                <w:szCs w:val="20"/>
              </w:rPr>
            </w:pPr>
            <w:r>
              <w:rPr>
                <w:rFonts w:ascii="宋体" w:hAnsi="宋体" w:cs="宋体"/>
                <w:color w:val="000000"/>
                <w:kern w:val="0"/>
                <w:sz w:val="20"/>
                <w:szCs w:val="20"/>
              </w:rPr>
              <w:t>4</w:t>
            </w:r>
          </w:p>
        </w:tc>
      </w:tr>
      <w:tr>
        <w:tblPrEx>
          <w:tblLayout w:type="fixed"/>
          <w:tblCellMar>
            <w:top w:w="0" w:type="dxa"/>
            <w:left w:w="108" w:type="dxa"/>
            <w:bottom w:w="0" w:type="dxa"/>
            <w:right w:w="108" w:type="dxa"/>
          </w:tblCellMar>
        </w:tblPrEx>
        <w:trPr>
          <w:trHeight w:val="231" w:hRule="atLeast"/>
        </w:trPr>
        <w:tc>
          <w:tcPr>
            <w:tcW w:w="1702" w:type="dxa"/>
            <w:vMerge w:val="continue"/>
            <w:tcBorders>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目标管理（</w:t>
            </w:r>
            <w:r>
              <w:rPr>
                <w:rFonts w:ascii="宋体" w:hAnsi="宋体" w:cs="宋体"/>
                <w:color w:val="000000"/>
                <w:kern w:val="0"/>
                <w:sz w:val="20"/>
                <w:szCs w:val="20"/>
              </w:rPr>
              <w:t>5</w:t>
            </w:r>
            <w:r>
              <w:rPr>
                <w:rFonts w:hint="eastAsia" w:ascii="宋体" w:hAnsi="宋体" w:cs="宋体"/>
                <w:color w:val="000000"/>
                <w:kern w:val="0"/>
                <w:sz w:val="20"/>
                <w:szCs w:val="20"/>
              </w:rPr>
              <w:t>分）</w:t>
            </w:r>
          </w:p>
        </w:tc>
        <w:tc>
          <w:tcPr>
            <w:tcW w:w="2126" w:type="dxa"/>
            <w:tcBorders>
              <w:top w:val="nil"/>
              <w:left w:val="nil"/>
              <w:bottom w:val="single" w:color="auto" w:sz="4" w:space="0"/>
              <w:right w:val="single" w:color="auto" w:sz="4" w:space="0"/>
            </w:tcBorders>
          </w:tcPr>
          <w:p>
            <w:pPr>
              <w:widowControl/>
              <w:jc w:val="center"/>
              <w:rPr>
                <w:rFonts w:ascii="宋体" w:cs="宋体"/>
                <w:color w:val="000000"/>
                <w:kern w:val="0"/>
                <w:sz w:val="20"/>
                <w:szCs w:val="20"/>
              </w:rPr>
            </w:pPr>
            <w:r>
              <w:rPr>
                <w:rFonts w:ascii="宋体" w:hAnsi="宋体" w:cs="宋体"/>
                <w:color w:val="000000"/>
                <w:kern w:val="0"/>
                <w:sz w:val="20"/>
                <w:szCs w:val="20"/>
              </w:rPr>
              <w:t>4</w:t>
            </w:r>
          </w:p>
        </w:tc>
      </w:tr>
      <w:tr>
        <w:tblPrEx>
          <w:tblLayout w:type="fixed"/>
          <w:tblCellMar>
            <w:top w:w="0" w:type="dxa"/>
            <w:left w:w="108" w:type="dxa"/>
            <w:bottom w:w="0" w:type="dxa"/>
            <w:right w:w="108" w:type="dxa"/>
          </w:tblCellMar>
        </w:tblPrEx>
        <w:trPr>
          <w:trHeight w:val="477" w:hRule="atLeast"/>
        </w:trPr>
        <w:tc>
          <w:tcPr>
            <w:tcW w:w="1702" w:type="dxa"/>
            <w:vMerge w:val="restart"/>
            <w:tcBorders>
              <w:top w:val="nil"/>
              <w:left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综合管理（</w:t>
            </w:r>
            <w:r>
              <w:rPr>
                <w:rFonts w:ascii="宋体" w:hAnsi="宋体" w:cs="宋体"/>
                <w:color w:val="000000"/>
                <w:kern w:val="0"/>
                <w:sz w:val="20"/>
                <w:szCs w:val="20"/>
              </w:rPr>
              <w:t>30</w:t>
            </w:r>
            <w:r>
              <w:rPr>
                <w:rFonts w:hint="eastAsia" w:ascii="宋体" w:hAnsi="宋体" w:cs="宋体"/>
                <w:color w:val="000000"/>
                <w:kern w:val="0"/>
                <w:sz w:val="20"/>
                <w:szCs w:val="20"/>
              </w:rPr>
              <w:t>分）</w:t>
            </w: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专项资金分配时限（</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34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省级财力专项预算分配时限（</w:t>
            </w:r>
            <w:r>
              <w:rPr>
                <w:rFonts w:ascii="宋体" w:hAnsi="宋体" w:cs="宋体"/>
                <w:color w:val="000000"/>
                <w:kern w:val="0"/>
                <w:sz w:val="20"/>
                <w:szCs w:val="20"/>
              </w:rPr>
              <w:t>1</w:t>
            </w:r>
            <w:r>
              <w:rPr>
                <w:rFonts w:hint="eastAsia" w:ascii="宋体" w:hAnsi="宋体" w:cs="宋体"/>
                <w:color w:val="000000"/>
                <w:kern w:val="0"/>
                <w:sz w:val="20"/>
                <w:szCs w:val="20"/>
              </w:rPr>
              <w:t>分）</w:t>
            </w:r>
          </w:p>
        </w:tc>
        <w:tc>
          <w:tcPr>
            <w:tcW w:w="2126" w:type="dxa"/>
            <w:tcBorders>
              <w:top w:val="nil"/>
              <w:left w:val="nil"/>
              <w:bottom w:val="single" w:color="auto" w:sz="4" w:space="0"/>
              <w:right w:val="single" w:color="auto" w:sz="4" w:space="0"/>
            </w:tcBorders>
          </w:tcPr>
          <w:p>
            <w:pPr>
              <w:widowControl/>
              <w:jc w:val="center"/>
              <w:rPr>
                <w:rFonts w:ascii="宋体" w:cs="宋体"/>
                <w:color w:val="000000"/>
                <w:kern w:val="0"/>
                <w:sz w:val="20"/>
                <w:szCs w:val="20"/>
              </w:rPr>
            </w:pPr>
            <w:r>
              <w:rPr>
                <w:rFonts w:ascii="宋体" w:hAnsi="宋体" w:cs="宋体"/>
                <w:color w:val="000000"/>
                <w:kern w:val="0"/>
                <w:sz w:val="20"/>
                <w:szCs w:val="20"/>
              </w:rPr>
              <w:t>1</w:t>
            </w:r>
          </w:p>
        </w:tc>
      </w:tr>
      <w:tr>
        <w:tblPrEx>
          <w:tblLayout w:type="fixed"/>
          <w:tblCellMar>
            <w:top w:w="0" w:type="dxa"/>
            <w:left w:w="108" w:type="dxa"/>
            <w:bottom w:w="0" w:type="dxa"/>
            <w:right w:w="108" w:type="dxa"/>
          </w:tblCellMar>
        </w:tblPrEx>
        <w:trPr>
          <w:trHeight w:val="413" w:hRule="atLeast"/>
        </w:trPr>
        <w:tc>
          <w:tcPr>
            <w:tcW w:w="1702" w:type="dxa"/>
            <w:vMerge w:val="continue"/>
            <w:tcBorders>
              <w:left w:val="single" w:color="auto" w:sz="4" w:space="0"/>
              <w:right w:val="single" w:color="auto" w:sz="4" w:space="0"/>
            </w:tcBorders>
            <w:vAlign w:val="center"/>
          </w:tcPr>
          <w:p>
            <w:pPr>
              <w:jc w:val="center"/>
              <w:rPr>
                <w:rFonts w:asci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中央专款分配合规率（</w:t>
            </w:r>
            <w:r>
              <w:rPr>
                <w:rFonts w:ascii="宋体" w:hAnsi="宋体" w:cs="宋体"/>
                <w:color w:val="000000"/>
                <w:kern w:val="0"/>
                <w:sz w:val="20"/>
                <w:szCs w:val="20"/>
              </w:rPr>
              <w:t>1</w:t>
            </w:r>
            <w:r>
              <w:rPr>
                <w:rFonts w:hint="eastAsia" w:ascii="宋体" w:hAnsi="宋体" w:cs="宋体"/>
                <w:color w:val="000000"/>
                <w:kern w:val="0"/>
                <w:sz w:val="20"/>
                <w:szCs w:val="20"/>
              </w:rPr>
              <w:t>分）</w:t>
            </w:r>
          </w:p>
        </w:tc>
        <w:tc>
          <w:tcPr>
            <w:tcW w:w="2126" w:type="dxa"/>
            <w:tcBorders>
              <w:top w:val="nil"/>
              <w:left w:val="nil"/>
              <w:bottom w:val="single" w:color="auto" w:sz="4" w:space="0"/>
              <w:right w:val="single" w:color="auto" w:sz="4" w:space="0"/>
            </w:tcBorders>
          </w:tcPr>
          <w:p>
            <w:pPr>
              <w:widowControl/>
              <w:jc w:val="center"/>
              <w:rPr>
                <w:rFonts w:ascii="宋体" w:cs="宋体"/>
                <w:color w:val="000000"/>
                <w:kern w:val="0"/>
                <w:sz w:val="20"/>
                <w:szCs w:val="20"/>
              </w:rPr>
            </w:pPr>
            <w:r>
              <w:rPr>
                <w:rFonts w:ascii="宋体" w:hAnsi="宋体" w:cs="宋体"/>
                <w:color w:val="000000"/>
                <w:kern w:val="0"/>
                <w:sz w:val="20"/>
                <w:szCs w:val="20"/>
              </w:rPr>
              <w:t>1</w:t>
            </w:r>
          </w:p>
        </w:tc>
      </w:tr>
      <w:tr>
        <w:tblPrEx>
          <w:tblLayout w:type="fixed"/>
          <w:tblCellMar>
            <w:top w:w="0" w:type="dxa"/>
            <w:left w:w="108" w:type="dxa"/>
            <w:bottom w:w="0" w:type="dxa"/>
            <w:right w:w="108" w:type="dxa"/>
          </w:tblCellMar>
        </w:tblPrEx>
        <w:trPr>
          <w:trHeight w:val="277" w:hRule="atLeast"/>
        </w:trPr>
        <w:tc>
          <w:tcPr>
            <w:tcW w:w="1702" w:type="dxa"/>
            <w:vMerge w:val="continue"/>
            <w:tcBorders>
              <w:left w:val="single" w:color="auto" w:sz="4" w:space="0"/>
              <w:right w:val="single" w:color="auto" w:sz="4" w:space="0"/>
            </w:tcBorders>
            <w:vAlign w:val="center"/>
          </w:tcPr>
          <w:p>
            <w:pPr>
              <w:jc w:val="center"/>
              <w:rPr>
                <w:rFonts w:ascii="宋体" w:cs="宋体"/>
                <w:color w:val="000000"/>
                <w:kern w:val="0"/>
                <w:sz w:val="20"/>
                <w:szCs w:val="20"/>
              </w:rPr>
            </w:pPr>
          </w:p>
        </w:tc>
        <w:tc>
          <w:tcPr>
            <w:tcW w:w="226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中期评估（</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34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执行中期评估（</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2126" w:type="dxa"/>
            <w:tcBorders>
              <w:top w:val="nil"/>
              <w:left w:val="nil"/>
              <w:bottom w:val="single" w:color="auto" w:sz="4" w:space="0"/>
              <w:right w:val="single" w:color="auto" w:sz="4" w:space="0"/>
            </w:tcBorders>
          </w:tcPr>
          <w:p>
            <w:pPr>
              <w:widowControl/>
              <w:jc w:val="center"/>
              <w:rPr>
                <w:rFonts w:ascii="宋体" w:cs="宋体"/>
                <w:color w:val="000000"/>
                <w:kern w:val="0"/>
                <w:sz w:val="20"/>
                <w:szCs w:val="20"/>
              </w:rPr>
            </w:pPr>
            <w:r>
              <w:rPr>
                <w:rFonts w:ascii="宋体" w:hAnsi="宋体" w:cs="宋体"/>
                <w:color w:val="000000"/>
                <w:kern w:val="0"/>
                <w:sz w:val="20"/>
                <w:szCs w:val="20"/>
              </w:rPr>
              <w:t>1</w:t>
            </w:r>
          </w:p>
        </w:tc>
      </w:tr>
      <w:tr>
        <w:tblPrEx>
          <w:tblLayout w:type="fixed"/>
          <w:tblCellMar>
            <w:top w:w="0" w:type="dxa"/>
            <w:left w:w="108" w:type="dxa"/>
            <w:bottom w:w="0" w:type="dxa"/>
            <w:right w:w="108" w:type="dxa"/>
          </w:tblCellMar>
        </w:tblPrEx>
        <w:trPr>
          <w:trHeight w:val="381" w:hRule="atLeast"/>
        </w:trPr>
        <w:tc>
          <w:tcPr>
            <w:tcW w:w="1702" w:type="dxa"/>
            <w:vMerge w:val="continue"/>
            <w:tcBorders>
              <w:left w:val="single" w:color="auto" w:sz="4" w:space="0"/>
              <w:right w:val="single" w:color="auto" w:sz="4" w:space="0"/>
            </w:tcBorders>
            <w:vAlign w:val="center"/>
          </w:tcPr>
          <w:p>
            <w:pPr>
              <w:jc w:val="center"/>
              <w:rPr>
                <w:rFonts w:asci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绩效监控（</w:t>
            </w:r>
            <w:r>
              <w:rPr>
                <w:rFonts w:ascii="宋体" w:hAnsi="宋体" w:cs="宋体"/>
                <w:color w:val="000000"/>
                <w:kern w:val="0"/>
                <w:sz w:val="20"/>
                <w:szCs w:val="20"/>
              </w:rPr>
              <w:t>5</w:t>
            </w:r>
            <w:r>
              <w:rPr>
                <w:rFonts w:hint="eastAsia" w:ascii="宋体" w:hAnsi="宋体" w:cs="宋体"/>
                <w:color w:val="000000"/>
                <w:kern w:val="0"/>
                <w:sz w:val="20"/>
                <w:szCs w:val="20"/>
              </w:rPr>
              <w:t>分）</w:t>
            </w:r>
          </w:p>
        </w:tc>
        <w:tc>
          <w:tcPr>
            <w:tcW w:w="34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预算执行进度监控（</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2126" w:type="dxa"/>
            <w:tcBorders>
              <w:top w:val="nil"/>
              <w:left w:val="nil"/>
              <w:bottom w:val="single" w:color="auto" w:sz="4" w:space="0"/>
              <w:right w:val="single" w:color="auto" w:sz="4" w:space="0"/>
            </w:tcBorders>
          </w:tcPr>
          <w:p>
            <w:pPr>
              <w:widowControl/>
              <w:jc w:val="center"/>
              <w:rPr>
                <w:rFonts w:ascii="宋体" w:cs="宋体"/>
                <w:color w:val="000000"/>
                <w:kern w:val="0"/>
                <w:sz w:val="20"/>
                <w:szCs w:val="20"/>
              </w:rPr>
            </w:pPr>
            <w:r>
              <w:rPr>
                <w:rFonts w:ascii="宋体" w:hAnsi="宋体" w:cs="宋体"/>
                <w:color w:val="000000"/>
                <w:kern w:val="0"/>
                <w:sz w:val="20"/>
                <w:szCs w:val="20"/>
              </w:rPr>
              <w:t>1.5</w:t>
            </w:r>
          </w:p>
        </w:tc>
      </w:tr>
      <w:tr>
        <w:tblPrEx>
          <w:tblLayout w:type="fixed"/>
          <w:tblCellMar>
            <w:top w:w="0" w:type="dxa"/>
            <w:left w:w="108" w:type="dxa"/>
            <w:bottom w:w="0" w:type="dxa"/>
            <w:right w:w="108" w:type="dxa"/>
          </w:tblCellMar>
        </w:tblPrEx>
        <w:trPr>
          <w:trHeight w:val="273" w:hRule="atLeast"/>
        </w:trPr>
        <w:tc>
          <w:tcPr>
            <w:tcW w:w="1702" w:type="dxa"/>
            <w:vMerge w:val="continue"/>
            <w:tcBorders>
              <w:left w:val="single" w:color="auto" w:sz="4" w:space="0"/>
              <w:right w:val="single" w:color="auto" w:sz="4" w:space="0"/>
            </w:tcBorders>
            <w:vAlign w:val="center"/>
          </w:tcPr>
          <w:p>
            <w:pPr>
              <w:jc w:val="center"/>
              <w:rPr>
                <w:rFonts w:asci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绩效目标动态监控（</w:t>
            </w:r>
            <w:r>
              <w:rPr>
                <w:rFonts w:ascii="宋体" w:hAnsi="宋体" w:cs="宋体"/>
                <w:color w:val="000000"/>
                <w:kern w:val="0"/>
                <w:sz w:val="20"/>
                <w:szCs w:val="20"/>
              </w:rPr>
              <w:t>3</w:t>
            </w:r>
            <w:r>
              <w:rPr>
                <w:rFonts w:hint="eastAsia" w:ascii="宋体" w:hAnsi="宋体" w:cs="宋体"/>
                <w:color w:val="000000"/>
                <w:kern w:val="0"/>
                <w:sz w:val="20"/>
                <w:szCs w:val="20"/>
              </w:rPr>
              <w:t>分）</w:t>
            </w:r>
          </w:p>
        </w:tc>
        <w:tc>
          <w:tcPr>
            <w:tcW w:w="2126" w:type="dxa"/>
            <w:tcBorders>
              <w:top w:val="nil"/>
              <w:left w:val="nil"/>
              <w:bottom w:val="single" w:color="auto" w:sz="4" w:space="0"/>
              <w:right w:val="single" w:color="auto" w:sz="4" w:space="0"/>
            </w:tcBorders>
          </w:tcPr>
          <w:p>
            <w:pPr>
              <w:widowControl/>
              <w:jc w:val="center"/>
              <w:rPr>
                <w:rFonts w:ascii="宋体" w:cs="宋体"/>
                <w:color w:val="000000"/>
                <w:kern w:val="0"/>
                <w:sz w:val="20"/>
                <w:szCs w:val="20"/>
              </w:rPr>
            </w:pPr>
            <w:r>
              <w:rPr>
                <w:rFonts w:ascii="宋体" w:hAnsi="宋体" w:cs="宋体"/>
                <w:color w:val="000000"/>
                <w:kern w:val="0"/>
                <w:sz w:val="20"/>
                <w:szCs w:val="20"/>
              </w:rPr>
              <w:t>3</w:t>
            </w:r>
          </w:p>
        </w:tc>
      </w:tr>
      <w:tr>
        <w:tblPrEx>
          <w:tblLayout w:type="fixed"/>
          <w:tblCellMar>
            <w:top w:w="0" w:type="dxa"/>
            <w:left w:w="108" w:type="dxa"/>
            <w:bottom w:w="0" w:type="dxa"/>
            <w:right w:w="108" w:type="dxa"/>
          </w:tblCellMar>
        </w:tblPrEx>
        <w:trPr>
          <w:trHeight w:val="235" w:hRule="atLeast"/>
        </w:trPr>
        <w:tc>
          <w:tcPr>
            <w:tcW w:w="1702" w:type="dxa"/>
            <w:vMerge w:val="continue"/>
            <w:tcBorders>
              <w:left w:val="single" w:color="auto" w:sz="4" w:space="0"/>
              <w:right w:val="single" w:color="auto" w:sz="4" w:space="0"/>
            </w:tcBorders>
            <w:vAlign w:val="center"/>
          </w:tcPr>
          <w:p>
            <w:pPr>
              <w:jc w:val="center"/>
              <w:rPr>
                <w:rFonts w:asci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非税收入执收情况（</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34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非税收入征收情况（</w:t>
            </w:r>
            <w:r>
              <w:rPr>
                <w:rFonts w:ascii="宋体" w:hAnsi="宋体" w:cs="宋体"/>
                <w:color w:val="000000"/>
                <w:kern w:val="0"/>
                <w:sz w:val="20"/>
                <w:szCs w:val="20"/>
              </w:rPr>
              <w:t>1</w:t>
            </w:r>
            <w:r>
              <w:rPr>
                <w:rFonts w:hint="eastAsia" w:ascii="宋体" w:hAnsi="宋体" w:cs="宋体"/>
                <w:color w:val="000000"/>
                <w:kern w:val="0"/>
                <w:sz w:val="20"/>
                <w:szCs w:val="20"/>
              </w:rPr>
              <w:t>分）</w:t>
            </w:r>
          </w:p>
        </w:tc>
        <w:tc>
          <w:tcPr>
            <w:tcW w:w="2126" w:type="dxa"/>
            <w:tcBorders>
              <w:top w:val="nil"/>
              <w:left w:val="nil"/>
              <w:bottom w:val="single" w:color="auto" w:sz="4" w:space="0"/>
              <w:right w:val="single" w:color="auto" w:sz="4" w:space="0"/>
            </w:tcBorders>
          </w:tcPr>
          <w:p>
            <w:pPr>
              <w:widowControl/>
              <w:jc w:val="center"/>
              <w:rPr>
                <w:rFonts w:ascii="宋体" w:cs="宋体"/>
                <w:color w:val="000000"/>
                <w:kern w:val="0"/>
                <w:sz w:val="20"/>
                <w:szCs w:val="20"/>
              </w:rPr>
            </w:pPr>
            <w:r>
              <w:rPr>
                <w:rFonts w:ascii="宋体" w:cs="宋体"/>
                <w:color w:val="000000"/>
                <w:kern w:val="0"/>
                <w:sz w:val="20"/>
                <w:szCs w:val="20"/>
              </w:rPr>
              <w:t>0</w:t>
            </w:r>
          </w:p>
        </w:tc>
      </w:tr>
      <w:tr>
        <w:tblPrEx>
          <w:tblLayout w:type="fixed"/>
          <w:tblCellMar>
            <w:top w:w="0" w:type="dxa"/>
            <w:left w:w="108" w:type="dxa"/>
            <w:bottom w:w="0" w:type="dxa"/>
            <w:right w:w="108" w:type="dxa"/>
          </w:tblCellMar>
        </w:tblPrEx>
        <w:trPr>
          <w:trHeight w:val="325" w:hRule="atLeast"/>
        </w:trPr>
        <w:tc>
          <w:tcPr>
            <w:tcW w:w="1702" w:type="dxa"/>
            <w:vMerge w:val="continue"/>
            <w:tcBorders>
              <w:left w:val="single" w:color="auto" w:sz="4" w:space="0"/>
              <w:right w:val="single" w:color="auto" w:sz="4" w:space="0"/>
            </w:tcBorders>
            <w:vAlign w:val="center"/>
          </w:tcPr>
          <w:p>
            <w:pPr>
              <w:jc w:val="center"/>
              <w:rPr>
                <w:rFonts w:asci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非税收入上缴情况（</w:t>
            </w:r>
            <w:r>
              <w:rPr>
                <w:rFonts w:ascii="宋体" w:hAnsi="宋体" w:cs="宋体"/>
                <w:color w:val="000000"/>
                <w:kern w:val="0"/>
                <w:sz w:val="20"/>
                <w:szCs w:val="20"/>
              </w:rPr>
              <w:t>1</w:t>
            </w:r>
            <w:r>
              <w:rPr>
                <w:rFonts w:hint="eastAsia" w:ascii="宋体" w:hAnsi="宋体" w:cs="宋体"/>
                <w:color w:val="000000"/>
                <w:kern w:val="0"/>
                <w:sz w:val="20"/>
                <w:szCs w:val="20"/>
              </w:rPr>
              <w:t>分）</w:t>
            </w:r>
          </w:p>
        </w:tc>
        <w:tc>
          <w:tcPr>
            <w:tcW w:w="2126" w:type="dxa"/>
            <w:tcBorders>
              <w:top w:val="nil"/>
              <w:left w:val="nil"/>
              <w:bottom w:val="single" w:color="auto" w:sz="4" w:space="0"/>
              <w:right w:val="single" w:color="auto" w:sz="4" w:space="0"/>
            </w:tcBorders>
          </w:tcPr>
          <w:p>
            <w:pPr>
              <w:widowControl/>
              <w:jc w:val="center"/>
              <w:rPr>
                <w:rFonts w:ascii="宋体" w:cs="宋体"/>
                <w:color w:val="000000"/>
                <w:kern w:val="0"/>
                <w:sz w:val="20"/>
                <w:szCs w:val="20"/>
              </w:rPr>
            </w:pPr>
            <w:r>
              <w:rPr>
                <w:rFonts w:ascii="宋体" w:cs="宋体"/>
                <w:color w:val="000000"/>
                <w:kern w:val="0"/>
                <w:sz w:val="20"/>
                <w:szCs w:val="20"/>
              </w:rPr>
              <w:t>0</w:t>
            </w:r>
          </w:p>
        </w:tc>
      </w:tr>
      <w:tr>
        <w:tblPrEx>
          <w:tblLayout w:type="fixed"/>
          <w:tblCellMar>
            <w:top w:w="0" w:type="dxa"/>
            <w:left w:w="108" w:type="dxa"/>
            <w:bottom w:w="0" w:type="dxa"/>
            <w:right w:w="108" w:type="dxa"/>
          </w:tblCellMar>
        </w:tblPrEx>
        <w:trPr>
          <w:trHeight w:val="287" w:hRule="atLeast"/>
        </w:trPr>
        <w:tc>
          <w:tcPr>
            <w:tcW w:w="1702" w:type="dxa"/>
            <w:vMerge w:val="continue"/>
            <w:tcBorders>
              <w:left w:val="single" w:color="auto" w:sz="4" w:space="0"/>
              <w:right w:val="single" w:color="auto" w:sz="4" w:space="0"/>
            </w:tcBorders>
            <w:vAlign w:val="center"/>
          </w:tcPr>
          <w:p>
            <w:pPr>
              <w:jc w:val="center"/>
              <w:rPr>
                <w:rFonts w:asci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资产管理（</w:t>
            </w:r>
            <w:r>
              <w:rPr>
                <w:rFonts w:ascii="宋体" w:hAnsi="宋体" w:cs="宋体"/>
                <w:color w:val="000000"/>
                <w:kern w:val="0"/>
                <w:sz w:val="20"/>
                <w:szCs w:val="20"/>
              </w:rPr>
              <w:t>6</w:t>
            </w:r>
            <w:r>
              <w:rPr>
                <w:rFonts w:hint="eastAsia" w:ascii="宋体" w:hAnsi="宋体" w:cs="宋体"/>
                <w:color w:val="000000"/>
                <w:kern w:val="0"/>
                <w:sz w:val="20"/>
                <w:szCs w:val="20"/>
              </w:rPr>
              <w:t>分）</w:t>
            </w:r>
          </w:p>
        </w:tc>
        <w:tc>
          <w:tcPr>
            <w:tcW w:w="34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资产管理信息化情况（</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2126" w:type="dxa"/>
            <w:tcBorders>
              <w:top w:val="nil"/>
              <w:left w:val="nil"/>
              <w:bottom w:val="single" w:color="auto" w:sz="4" w:space="0"/>
              <w:right w:val="single" w:color="auto" w:sz="4" w:space="0"/>
            </w:tcBorders>
          </w:tcPr>
          <w:p>
            <w:pPr>
              <w:widowControl/>
              <w:jc w:val="center"/>
              <w:rPr>
                <w:rFonts w:ascii="宋体" w:cs="宋体"/>
                <w:color w:val="000000"/>
                <w:kern w:val="0"/>
                <w:sz w:val="20"/>
                <w:szCs w:val="20"/>
              </w:rPr>
            </w:pPr>
            <w:r>
              <w:rPr>
                <w:rFonts w:ascii="宋体" w:hAnsi="宋体" w:cs="宋体"/>
                <w:color w:val="000000"/>
                <w:kern w:val="0"/>
                <w:sz w:val="20"/>
                <w:szCs w:val="20"/>
              </w:rPr>
              <w:t>2</w:t>
            </w:r>
          </w:p>
        </w:tc>
      </w:tr>
      <w:tr>
        <w:tblPrEx>
          <w:tblLayout w:type="fixed"/>
          <w:tblCellMar>
            <w:top w:w="0" w:type="dxa"/>
            <w:left w:w="108" w:type="dxa"/>
            <w:bottom w:w="0" w:type="dxa"/>
            <w:right w:w="108" w:type="dxa"/>
          </w:tblCellMar>
        </w:tblPrEx>
        <w:trPr>
          <w:trHeight w:val="235" w:hRule="atLeast"/>
        </w:trPr>
        <w:tc>
          <w:tcPr>
            <w:tcW w:w="1702" w:type="dxa"/>
            <w:vMerge w:val="continue"/>
            <w:tcBorders>
              <w:left w:val="single" w:color="auto" w:sz="4" w:space="0"/>
              <w:right w:val="single" w:color="auto" w:sz="4" w:space="0"/>
            </w:tcBorders>
            <w:vAlign w:val="center"/>
          </w:tcPr>
          <w:p>
            <w:pPr>
              <w:jc w:val="center"/>
              <w:rPr>
                <w:rFonts w:asci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行政事业单位资产报告情况（</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2126" w:type="dxa"/>
            <w:tcBorders>
              <w:top w:val="nil"/>
              <w:left w:val="nil"/>
              <w:bottom w:val="single" w:color="auto" w:sz="4" w:space="0"/>
              <w:right w:val="single" w:color="auto" w:sz="4" w:space="0"/>
            </w:tcBorders>
          </w:tcPr>
          <w:p>
            <w:pPr>
              <w:widowControl/>
              <w:jc w:val="center"/>
              <w:rPr>
                <w:rFonts w:ascii="宋体" w:cs="宋体"/>
                <w:color w:val="000000"/>
                <w:kern w:val="0"/>
                <w:sz w:val="20"/>
                <w:szCs w:val="20"/>
              </w:rPr>
            </w:pPr>
            <w:r>
              <w:rPr>
                <w:rFonts w:ascii="宋体" w:hAnsi="宋体" w:cs="宋体"/>
                <w:color w:val="000000"/>
                <w:kern w:val="0"/>
                <w:sz w:val="20"/>
                <w:szCs w:val="20"/>
              </w:rPr>
              <w:t>1.8</w:t>
            </w:r>
          </w:p>
        </w:tc>
      </w:tr>
      <w:tr>
        <w:tblPrEx>
          <w:tblLayout w:type="fixed"/>
          <w:tblCellMar>
            <w:top w:w="0" w:type="dxa"/>
            <w:left w:w="108" w:type="dxa"/>
            <w:bottom w:w="0" w:type="dxa"/>
            <w:right w:w="108" w:type="dxa"/>
          </w:tblCellMar>
        </w:tblPrEx>
        <w:trPr>
          <w:trHeight w:val="353" w:hRule="atLeast"/>
        </w:trPr>
        <w:tc>
          <w:tcPr>
            <w:tcW w:w="1702" w:type="dxa"/>
            <w:vMerge w:val="continue"/>
            <w:tcBorders>
              <w:left w:val="single" w:color="auto" w:sz="4" w:space="0"/>
              <w:right w:val="single" w:color="auto" w:sz="4" w:space="0"/>
            </w:tcBorders>
            <w:vAlign w:val="center"/>
          </w:tcPr>
          <w:p>
            <w:pPr>
              <w:jc w:val="center"/>
              <w:rPr>
                <w:rFonts w:asci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资产管理与预算管理相结合（</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2126" w:type="dxa"/>
            <w:tcBorders>
              <w:top w:val="nil"/>
              <w:left w:val="nil"/>
              <w:bottom w:val="single" w:color="auto" w:sz="4" w:space="0"/>
              <w:right w:val="single" w:color="auto" w:sz="4" w:space="0"/>
            </w:tcBorders>
          </w:tcPr>
          <w:p>
            <w:pPr>
              <w:widowControl/>
              <w:jc w:val="center"/>
              <w:rPr>
                <w:rFonts w:ascii="宋体" w:cs="宋体"/>
                <w:color w:val="000000"/>
                <w:kern w:val="0"/>
                <w:sz w:val="20"/>
                <w:szCs w:val="20"/>
              </w:rPr>
            </w:pPr>
            <w:r>
              <w:rPr>
                <w:rFonts w:ascii="宋体" w:hAnsi="宋体" w:cs="宋体"/>
                <w:color w:val="000000"/>
                <w:kern w:val="0"/>
                <w:sz w:val="20"/>
                <w:szCs w:val="20"/>
              </w:rPr>
              <w:t>1.5</w:t>
            </w:r>
          </w:p>
        </w:tc>
      </w:tr>
      <w:tr>
        <w:tblPrEx>
          <w:tblLayout w:type="fixed"/>
          <w:tblCellMar>
            <w:top w:w="0" w:type="dxa"/>
            <w:left w:w="108" w:type="dxa"/>
            <w:bottom w:w="0" w:type="dxa"/>
            <w:right w:w="108" w:type="dxa"/>
          </w:tblCellMar>
        </w:tblPrEx>
        <w:trPr>
          <w:trHeight w:val="272" w:hRule="atLeast"/>
        </w:trPr>
        <w:tc>
          <w:tcPr>
            <w:tcW w:w="1702" w:type="dxa"/>
            <w:vMerge w:val="continue"/>
            <w:tcBorders>
              <w:left w:val="single" w:color="auto" w:sz="4" w:space="0"/>
              <w:right w:val="single" w:color="auto" w:sz="4" w:space="0"/>
            </w:tcBorders>
            <w:vAlign w:val="center"/>
          </w:tcPr>
          <w:p>
            <w:pPr>
              <w:widowControl/>
              <w:jc w:val="center"/>
              <w:rPr>
                <w:rFonts w:ascii="宋体" w:cs="宋体"/>
                <w:color w:val="000000"/>
                <w:kern w:val="0"/>
                <w:sz w:val="20"/>
                <w:szCs w:val="20"/>
              </w:rPr>
            </w:pPr>
          </w:p>
        </w:tc>
        <w:tc>
          <w:tcPr>
            <w:tcW w:w="226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内控制度管理（</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34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内部控制度健全完整（</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2126" w:type="dxa"/>
            <w:tcBorders>
              <w:top w:val="nil"/>
              <w:left w:val="nil"/>
              <w:bottom w:val="single" w:color="auto" w:sz="4" w:space="0"/>
              <w:right w:val="single" w:color="auto" w:sz="4" w:space="0"/>
            </w:tcBorders>
          </w:tcPr>
          <w:p>
            <w:pPr>
              <w:widowControl/>
              <w:jc w:val="center"/>
              <w:rPr>
                <w:rFonts w:ascii="宋体" w:cs="宋体"/>
                <w:color w:val="000000"/>
                <w:kern w:val="0"/>
                <w:sz w:val="20"/>
                <w:szCs w:val="20"/>
              </w:rPr>
            </w:pPr>
            <w:r>
              <w:rPr>
                <w:rFonts w:ascii="宋体" w:hAnsi="宋体" w:cs="宋体"/>
                <w:color w:val="000000"/>
                <w:kern w:val="0"/>
                <w:sz w:val="20"/>
                <w:szCs w:val="20"/>
              </w:rPr>
              <w:t>2</w:t>
            </w:r>
          </w:p>
        </w:tc>
      </w:tr>
      <w:tr>
        <w:tblPrEx>
          <w:tblLayout w:type="fixed"/>
          <w:tblCellMar>
            <w:top w:w="0" w:type="dxa"/>
            <w:left w:w="108" w:type="dxa"/>
            <w:bottom w:w="0" w:type="dxa"/>
            <w:right w:w="108" w:type="dxa"/>
          </w:tblCellMar>
        </w:tblPrEx>
        <w:trPr>
          <w:trHeight w:val="221" w:hRule="atLeast"/>
        </w:trPr>
        <w:tc>
          <w:tcPr>
            <w:tcW w:w="1702" w:type="dxa"/>
            <w:vMerge w:val="continue"/>
            <w:tcBorders>
              <w:left w:val="single" w:color="auto" w:sz="4" w:space="0"/>
              <w:right w:val="single" w:color="auto" w:sz="4" w:space="0"/>
            </w:tcBorders>
            <w:vAlign w:val="center"/>
          </w:tcPr>
          <w:p>
            <w:pPr>
              <w:widowControl/>
              <w:jc w:val="left"/>
              <w:rPr>
                <w:rFonts w:asci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信息公开（</w:t>
            </w:r>
            <w:r>
              <w:rPr>
                <w:rFonts w:ascii="宋体" w:hAnsi="宋体" w:cs="宋体"/>
                <w:color w:val="000000"/>
                <w:kern w:val="0"/>
                <w:sz w:val="20"/>
                <w:szCs w:val="20"/>
              </w:rPr>
              <w:t>6</w:t>
            </w:r>
            <w:r>
              <w:rPr>
                <w:rFonts w:hint="eastAsia" w:ascii="宋体" w:hAnsi="宋体" w:cs="宋体"/>
                <w:color w:val="000000"/>
                <w:kern w:val="0"/>
                <w:sz w:val="20"/>
                <w:szCs w:val="20"/>
              </w:rPr>
              <w:t>分）</w:t>
            </w:r>
          </w:p>
        </w:tc>
        <w:tc>
          <w:tcPr>
            <w:tcW w:w="34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预算公开（</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2126" w:type="dxa"/>
            <w:tcBorders>
              <w:top w:val="nil"/>
              <w:left w:val="nil"/>
              <w:bottom w:val="single" w:color="auto" w:sz="4" w:space="0"/>
              <w:right w:val="single" w:color="auto" w:sz="4" w:space="0"/>
            </w:tcBorders>
          </w:tcPr>
          <w:p>
            <w:pPr>
              <w:widowControl/>
              <w:jc w:val="center"/>
              <w:rPr>
                <w:rFonts w:ascii="宋体" w:cs="宋体"/>
                <w:color w:val="000000"/>
                <w:kern w:val="0"/>
                <w:sz w:val="20"/>
                <w:szCs w:val="20"/>
              </w:rPr>
            </w:pPr>
            <w:r>
              <w:rPr>
                <w:rFonts w:ascii="宋体" w:hAnsi="宋体" w:cs="宋体"/>
                <w:color w:val="000000"/>
                <w:kern w:val="0"/>
                <w:sz w:val="20"/>
                <w:szCs w:val="20"/>
              </w:rPr>
              <w:t>2</w:t>
            </w:r>
          </w:p>
        </w:tc>
      </w:tr>
      <w:tr>
        <w:tblPrEx>
          <w:tblLayout w:type="fixed"/>
          <w:tblCellMar>
            <w:top w:w="0" w:type="dxa"/>
            <w:left w:w="108" w:type="dxa"/>
            <w:bottom w:w="0" w:type="dxa"/>
            <w:right w:w="108" w:type="dxa"/>
          </w:tblCellMar>
        </w:tblPrEx>
        <w:trPr>
          <w:trHeight w:val="197" w:hRule="atLeast"/>
        </w:trPr>
        <w:tc>
          <w:tcPr>
            <w:tcW w:w="1702" w:type="dxa"/>
            <w:vMerge w:val="continue"/>
            <w:tcBorders>
              <w:left w:val="single" w:color="auto" w:sz="4" w:space="0"/>
              <w:right w:val="single" w:color="auto" w:sz="4" w:space="0"/>
            </w:tcBorders>
            <w:vAlign w:val="center"/>
          </w:tcPr>
          <w:p>
            <w:pPr>
              <w:widowControl/>
              <w:jc w:val="left"/>
              <w:rPr>
                <w:rFonts w:asci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决算公开（</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2126" w:type="dxa"/>
            <w:tcBorders>
              <w:top w:val="nil"/>
              <w:left w:val="nil"/>
              <w:bottom w:val="single" w:color="auto" w:sz="4" w:space="0"/>
              <w:right w:val="single" w:color="auto" w:sz="4" w:space="0"/>
            </w:tcBorders>
          </w:tcPr>
          <w:p>
            <w:pPr>
              <w:widowControl/>
              <w:jc w:val="center"/>
              <w:rPr>
                <w:rFonts w:ascii="宋体" w:cs="宋体"/>
                <w:color w:val="000000"/>
                <w:kern w:val="0"/>
                <w:sz w:val="20"/>
                <w:szCs w:val="20"/>
              </w:rPr>
            </w:pPr>
            <w:r>
              <w:rPr>
                <w:rFonts w:ascii="宋体" w:hAnsi="宋体" w:cs="宋体"/>
                <w:color w:val="000000"/>
                <w:kern w:val="0"/>
                <w:sz w:val="20"/>
                <w:szCs w:val="20"/>
              </w:rPr>
              <w:t>2</w:t>
            </w:r>
          </w:p>
        </w:tc>
      </w:tr>
      <w:tr>
        <w:tblPrEx>
          <w:tblLayout w:type="fixed"/>
          <w:tblCellMar>
            <w:top w:w="0" w:type="dxa"/>
            <w:left w:w="108" w:type="dxa"/>
            <w:bottom w:w="0" w:type="dxa"/>
            <w:right w:w="108" w:type="dxa"/>
          </w:tblCellMar>
        </w:tblPrEx>
        <w:trPr>
          <w:trHeight w:val="287" w:hRule="atLeast"/>
        </w:trPr>
        <w:tc>
          <w:tcPr>
            <w:tcW w:w="1702" w:type="dxa"/>
            <w:vMerge w:val="continue"/>
            <w:tcBorders>
              <w:left w:val="single" w:color="auto" w:sz="4" w:space="0"/>
              <w:right w:val="single" w:color="auto" w:sz="4" w:space="0"/>
            </w:tcBorders>
            <w:vAlign w:val="center"/>
          </w:tcPr>
          <w:p>
            <w:pPr>
              <w:widowControl/>
              <w:jc w:val="left"/>
              <w:rPr>
                <w:rFonts w:asci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绩效信息公开（</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2126" w:type="dxa"/>
            <w:tcBorders>
              <w:top w:val="nil"/>
              <w:left w:val="nil"/>
              <w:bottom w:val="single" w:color="auto" w:sz="4" w:space="0"/>
              <w:right w:val="single" w:color="auto" w:sz="4" w:space="0"/>
            </w:tcBorders>
          </w:tcPr>
          <w:p>
            <w:pPr>
              <w:widowControl/>
              <w:jc w:val="center"/>
              <w:rPr>
                <w:rFonts w:ascii="宋体" w:cs="宋体"/>
                <w:color w:val="000000"/>
                <w:kern w:val="0"/>
                <w:sz w:val="20"/>
                <w:szCs w:val="20"/>
              </w:rPr>
            </w:pPr>
            <w:r>
              <w:rPr>
                <w:rFonts w:ascii="宋体" w:hAnsi="宋体" w:cs="宋体"/>
                <w:color w:val="000000"/>
                <w:kern w:val="0"/>
                <w:sz w:val="20"/>
                <w:szCs w:val="20"/>
              </w:rPr>
              <w:t>2</w:t>
            </w:r>
          </w:p>
        </w:tc>
      </w:tr>
      <w:tr>
        <w:tblPrEx>
          <w:tblLayout w:type="fixed"/>
          <w:tblCellMar>
            <w:top w:w="0" w:type="dxa"/>
            <w:left w:w="108" w:type="dxa"/>
            <w:bottom w:w="0" w:type="dxa"/>
            <w:right w:w="108" w:type="dxa"/>
          </w:tblCellMar>
        </w:tblPrEx>
        <w:trPr>
          <w:trHeight w:val="405" w:hRule="atLeast"/>
        </w:trPr>
        <w:tc>
          <w:tcPr>
            <w:tcW w:w="1702" w:type="dxa"/>
            <w:vMerge w:val="continue"/>
            <w:tcBorders>
              <w:left w:val="single" w:color="auto" w:sz="4" w:space="0"/>
              <w:right w:val="single" w:color="auto" w:sz="4" w:space="0"/>
            </w:tcBorders>
            <w:vAlign w:val="center"/>
          </w:tcPr>
          <w:p>
            <w:pPr>
              <w:widowControl/>
              <w:jc w:val="left"/>
              <w:rPr>
                <w:rFonts w:asci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绩效评价（</w:t>
            </w:r>
            <w:r>
              <w:rPr>
                <w:rFonts w:ascii="宋体" w:hAnsi="宋体" w:cs="宋体"/>
                <w:color w:val="000000"/>
                <w:kern w:val="0"/>
                <w:sz w:val="20"/>
                <w:szCs w:val="20"/>
              </w:rPr>
              <w:t>5</w:t>
            </w:r>
            <w:r>
              <w:rPr>
                <w:rFonts w:hint="eastAsia" w:ascii="宋体" w:hAnsi="宋体" w:cs="宋体"/>
                <w:color w:val="000000"/>
                <w:kern w:val="0"/>
                <w:sz w:val="20"/>
                <w:szCs w:val="20"/>
              </w:rPr>
              <w:t>分）</w:t>
            </w:r>
          </w:p>
        </w:tc>
        <w:tc>
          <w:tcPr>
            <w:tcW w:w="34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绩效评价开展（</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2126" w:type="dxa"/>
            <w:tcBorders>
              <w:top w:val="nil"/>
              <w:left w:val="nil"/>
              <w:bottom w:val="single" w:color="auto" w:sz="4" w:space="0"/>
              <w:right w:val="single" w:color="auto" w:sz="4" w:space="0"/>
            </w:tcBorders>
          </w:tcPr>
          <w:p>
            <w:pPr>
              <w:widowControl/>
              <w:jc w:val="center"/>
              <w:rPr>
                <w:rFonts w:ascii="宋体" w:cs="宋体"/>
                <w:color w:val="000000"/>
                <w:kern w:val="0"/>
                <w:sz w:val="20"/>
                <w:szCs w:val="20"/>
              </w:rPr>
            </w:pPr>
            <w:r>
              <w:rPr>
                <w:rFonts w:ascii="宋体" w:hAnsi="宋体" w:cs="宋体"/>
                <w:color w:val="000000"/>
                <w:kern w:val="0"/>
                <w:sz w:val="20"/>
                <w:szCs w:val="20"/>
              </w:rPr>
              <w:t>2</w:t>
            </w:r>
          </w:p>
        </w:tc>
      </w:tr>
      <w:tr>
        <w:tblPrEx>
          <w:tblLayout w:type="fixed"/>
          <w:tblCellMar>
            <w:top w:w="0" w:type="dxa"/>
            <w:left w:w="108" w:type="dxa"/>
            <w:bottom w:w="0" w:type="dxa"/>
            <w:right w:w="108" w:type="dxa"/>
          </w:tblCellMar>
        </w:tblPrEx>
        <w:trPr>
          <w:trHeight w:val="127" w:hRule="atLeast"/>
        </w:trPr>
        <w:tc>
          <w:tcPr>
            <w:tcW w:w="1702" w:type="dxa"/>
            <w:vMerge w:val="continue"/>
            <w:tcBorders>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评价结果应用（</w:t>
            </w:r>
            <w:r>
              <w:rPr>
                <w:rFonts w:ascii="宋体" w:hAnsi="宋体" w:cs="宋体"/>
                <w:color w:val="000000"/>
                <w:kern w:val="0"/>
                <w:sz w:val="20"/>
                <w:szCs w:val="20"/>
              </w:rPr>
              <w:t>3</w:t>
            </w:r>
            <w:r>
              <w:rPr>
                <w:rFonts w:hint="eastAsia" w:ascii="宋体" w:hAnsi="宋体" w:cs="宋体"/>
                <w:color w:val="000000"/>
                <w:kern w:val="0"/>
                <w:sz w:val="20"/>
                <w:szCs w:val="20"/>
              </w:rPr>
              <w:t>分）</w:t>
            </w:r>
          </w:p>
        </w:tc>
        <w:tc>
          <w:tcPr>
            <w:tcW w:w="2126" w:type="dxa"/>
            <w:tcBorders>
              <w:top w:val="nil"/>
              <w:left w:val="nil"/>
              <w:bottom w:val="single" w:color="auto" w:sz="4" w:space="0"/>
              <w:right w:val="single" w:color="auto" w:sz="4" w:space="0"/>
            </w:tcBorders>
          </w:tcPr>
          <w:p>
            <w:pPr>
              <w:widowControl/>
              <w:jc w:val="center"/>
              <w:rPr>
                <w:rFonts w:ascii="宋体" w:cs="宋体"/>
                <w:color w:val="000000"/>
                <w:kern w:val="0"/>
                <w:sz w:val="20"/>
                <w:szCs w:val="20"/>
              </w:rPr>
            </w:pPr>
            <w:r>
              <w:rPr>
                <w:rFonts w:ascii="宋体" w:hAnsi="宋体" w:cs="宋体"/>
                <w:color w:val="000000"/>
                <w:kern w:val="0"/>
                <w:sz w:val="20"/>
                <w:szCs w:val="20"/>
              </w:rPr>
              <w:t>2</w:t>
            </w:r>
          </w:p>
        </w:tc>
      </w:tr>
      <w:tr>
        <w:tblPrEx>
          <w:tblLayout w:type="fixed"/>
          <w:tblCellMar>
            <w:top w:w="0" w:type="dxa"/>
            <w:left w:w="108" w:type="dxa"/>
            <w:bottom w:w="0" w:type="dxa"/>
            <w:right w:w="108" w:type="dxa"/>
          </w:tblCellMar>
        </w:tblPrEx>
        <w:trPr>
          <w:trHeight w:val="231" w:hRule="atLeast"/>
        </w:trPr>
        <w:tc>
          <w:tcPr>
            <w:tcW w:w="1702" w:type="dxa"/>
            <w:vMerge w:val="restart"/>
            <w:tcBorders>
              <w:top w:val="nil"/>
              <w:left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部门绩效情况（</w:t>
            </w:r>
            <w:r>
              <w:rPr>
                <w:rFonts w:ascii="宋体" w:hAnsi="宋体" w:cs="宋体"/>
                <w:color w:val="000000"/>
                <w:kern w:val="0"/>
                <w:sz w:val="20"/>
                <w:szCs w:val="20"/>
              </w:rPr>
              <w:t>45</w:t>
            </w:r>
            <w:r>
              <w:rPr>
                <w:rFonts w:hint="eastAsia" w:ascii="宋体" w:hAnsi="宋体" w:cs="宋体"/>
                <w:color w:val="000000"/>
                <w:kern w:val="0"/>
                <w:sz w:val="20"/>
                <w:szCs w:val="20"/>
              </w:rPr>
              <w:t>分）</w:t>
            </w: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履职成效（</w:t>
            </w:r>
            <w:r>
              <w:rPr>
                <w:rFonts w:ascii="宋体" w:hAnsi="宋体" w:cs="宋体"/>
                <w:color w:val="000000"/>
                <w:kern w:val="0"/>
                <w:sz w:val="20"/>
                <w:szCs w:val="20"/>
              </w:rPr>
              <w:t>20</w:t>
            </w:r>
            <w:r>
              <w:rPr>
                <w:rFonts w:hint="eastAsia" w:ascii="宋体" w:hAnsi="宋体" w:cs="宋体"/>
                <w:color w:val="000000"/>
                <w:kern w:val="0"/>
                <w:sz w:val="20"/>
                <w:szCs w:val="20"/>
              </w:rPr>
              <w:t>分）</w:t>
            </w:r>
          </w:p>
        </w:tc>
        <w:tc>
          <w:tcPr>
            <w:tcW w:w="3402"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部门特性指标</w:t>
            </w:r>
          </w:p>
        </w:tc>
        <w:tc>
          <w:tcPr>
            <w:tcW w:w="2126" w:type="dxa"/>
            <w:tcBorders>
              <w:top w:val="nil"/>
              <w:left w:val="nil"/>
              <w:bottom w:val="single" w:color="auto" w:sz="4" w:space="0"/>
              <w:right w:val="single" w:color="auto" w:sz="4" w:space="0"/>
            </w:tcBorders>
          </w:tcPr>
          <w:p>
            <w:pPr>
              <w:widowControl/>
              <w:jc w:val="center"/>
              <w:rPr>
                <w:rFonts w:ascii="宋体" w:cs="宋体"/>
                <w:color w:val="000000"/>
                <w:kern w:val="0"/>
                <w:sz w:val="20"/>
                <w:szCs w:val="20"/>
              </w:rPr>
            </w:pPr>
            <w:r>
              <w:rPr>
                <w:rFonts w:ascii="宋体" w:hAnsi="宋体" w:cs="宋体"/>
                <w:color w:val="000000"/>
                <w:kern w:val="0"/>
                <w:sz w:val="20"/>
                <w:szCs w:val="20"/>
              </w:rPr>
              <w:t>20</w:t>
            </w:r>
          </w:p>
        </w:tc>
      </w:tr>
      <w:tr>
        <w:tblPrEx>
          <w:tblLayout w:type="fixed"/>
          <w:tblCellMar>
            <w:top w:w="0" w:type="dxa"/>
            <w:left w:w="108" w:type="dxa"/>
            <w:bottom w:w="0" w:type="dxa"/>
            <w:right w:w="108" w:type="dxa"/>
          </w:tblCellMar>
        </w:tblPrEx>
        <w:trPr>
          <w:trHeight w:val="180" w:hRule="atLeast"/>
        </w:trPr>
        <w:tc>
          <w:tcPr>
            <w:tcW w:w="1702" w:type="dxa"/>
            <w:vMerge w:val="continue"/>
            <w:tcBorders>
              <w:left w:val="single" w:color="auto" w:sz="4" w:space="0"/>
              <w:right w:val="single" w:color="auto" w:sz="4" w:space="0"/>
            </w:tcBorders>
            <w:vAlign w:val="center"/>
          </w:tcPr>
          <w:p>
            <w:pPr>
              <w:jc w:val="left"/>
              <w:rPr>
                <w:rFonts w:asci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2126" w:type="dxa"/>
            <w:tcBorders>
              <w:top w:val="nil"/>
              <w:left w:val="nil"/>
              <w:bottom w:val="single" w:color="auto" w:sz="4" w:space="0"/>
              <w:right w:val="single" w:color="auto" w:sz="4" w:space="0"/>
            </w:tcBorders>
          </w:tcPr>
          <w:p>
            <w:pPr>
              <w:widowControl/>
              <w:jc w:val="center"/>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240" w:hRule="atLeast"/>
        </w:trPr>
        <w:tc>
          <w:tcPr>
            <w:tcW w:w="1702" w:type="dxa"/>
            <w:vMerge w:val="continue"/>
            <w:tcBorders>
              <w:left w:val="single" w:color="auto" w:sz="4" w:space="0"/>
              <w:right w:val="single" w:color="auto" w:sz="4" w:space="0"/>
            </w:tcBorders>
            <w:vAlign w:val="center"/>
          </w:tcPr>
          <w:p>
            <w:pPr>
              <w:jc w:val="left"/>
              <w:rPr>
                <w:rFonts w:asci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2126" w:type="dxa"/>
            <w:tcBorders>
              <w:top w:val="nil"/>
              <w:left w:val="nil"/>
              <w:bottom w:val="single" w:color="auto" w:sz="4" w:space="0"/>
              <w:right w:val="single" w:color="auto" w:sz="4" w:space="0"/>
            </w:tcBorders>
          </w:tcPr>
          <w:p>
            <w:pPr>
              <w:widowControl/>
              <w:jc w:val="center"/>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240" w:hRule="atLeast"/>
        </w:trPr>
        <w:tc>
          <w:tcPr>
            <w:tcW w:w="1702" w:type="dxa"/>
            <w:vMerge w:val="continue"/>
            <w:tcBorders>
              <w:left w:val="single" w:color="auto" w:sz="4" w:space="0"/>
              <w:right w:val="single" w:color="auto" w:sz="4" w:space="0"/>
            </w:tcBorders>
            <w:vAlign w:val="center"/>
          </w:tcPr>
          <w:p>
            <w:pPr>
              <w:jc w:val="left"/>
              <w:rPr>
                <w:rFonts w:asci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2126" w:type="dxa"/>
            <w:tcBorders>
              <w:top w:val="nil"/>
              <w:left w:val="nil"/>
              <w:bottom w:val="single" w:color="auto" w:sz="4" w:space="0"/>
              <w:right w:val="single" w:color="auto" w:sz="4" w:space="0"/>
            </w:tcBorders>
          </w:tcPr>
          <w:p>
            <w:pPr>
              <w:widowControl/>
              <w:jc w:val="center"/>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157" w:hRule="atLeast"/>
        </w:trPr>
        <w:tc>
          <w:tcPr>
            <w:tcW w:w="1702" w:type="dxa"/>
            <w:vMerge w:val="continue"/>
            <w:tcBorders>
              <w:left w:val="single" w:color="auto" w:sz="4" w:space="0"/>
              <w:right w:val="single" w:color="auto" w:sz="4" w:space="0"/>
            </w:tcBorders>
            <w:vAlign w:val="center"/>
          </w:tcPr>
          <w:p>
            <w:pPr>
              <w:jc w:val="left"/>
              <w:rPr>
                <w:rFonts w:asci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可持续发展能力（</w:t>
            </w:r>
            <w:r>
              <w:rPr>
                <w:rFonts w:ascii="宋体" w:hAnsi="宋体" w:cs="宋体"/>
                <w:color w:val="000000"/>
                <w:kern w:val="0"/>
                <w:sz w:val="20"/>
                <w:szCs w:val="20"/>
              </w:rPr>
              <w:t>15</w:t>
            </w:r>
            <w:r>
              <w:rPr>
                <w:rFonts w:hint="eastAsia" w:ascii="宋体" w:hAnsi="宋体" w:cs="宋体"/>
                <w:color w:val="000000"/>
                <w:kern w:val="0"/>
                <w:sz w:val="20"/>
                <w:szCs w:val="20"/>
              </w:rPr>
              <w:t>分）</w:t>
            </w:r>
          </w:p>
        </w:tc>
        <w:tc>
          <w:tcPr>
            <w:tcW w:w="3402"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重点改革（重点工作）完成情况（</w:t>
            </w:r>
            <w:r>
              <w:rPr>
                <w:rFonts w:ascii="宋体" w:hAnsi="宋体" w:cs="宋体"/>
                <w:color w:val="000000"/>
                <w:kern w:val="0"/>
                <w:sz w:val="20"/>
                <w:szCs w:val="20"/>
              </w:rPr>
              <w:t>5</w:t>
            </w:r>
            <w:r>
              <w:rPr>
                <w:rFonts w:hint="eastAsia" w:ascii="宋体" w:hAnsi="宋体" w:cs="宋体"/>
                <w:color w:val="000000"/>
                <w:kern w:val="0"/>
                <w:sz w:val="20"/>
                <w:szCs w:val="20"/>
              </w:rPr>
              <w:t>分）</w:t>
            </w:r>
          </w:p>
        </w:tc>
        <w:tc>
          <w:tcPr>
            <w:tcW w:w="2126" w:type="dxa"/>
            <w:tcBorders>
              <w:top w:val="nil"/>
              <w:left w:val="nil"/>
              <w:bottom w:val="single" w:color="auto" w:sz="4" w:space="0"/>
              <w:right w:val="single" w:color="auto" w:sz="4" w:space="0"/>
            </w:tcBorders>
          </w:tcPr>
          <w:p>
            <w:pPr>
              <w:widowControl/>
              <w:jc w:val="center"/>
              <w:rPr>
                <w:rFonts w:ascii="宋体" w:cs="宋体"/>
                <w:color w:val="000000"/>
                <w:kern w:val="0"/>
                <w:sz w:val="20"/>
                <w:szCs w:val="20"/>
              </w:rPr>
            </w:pPr>
            <w:r>
              <w:rPr>
                <w:rFonts w:ascii="宋体" w:hAnsi="宋体" w:cs="宋体"/>
                <w:color w:val="000000"/>
                <w:kern w:val="0"/>
                <w:sz w:val="20"/>
                <w:szCs w:val="20"/>
              </w:rPr>
              <w:t>4</w:t>
            </w:r>
          </w:p>
        </w:tc>
      </w:tr>
      <w:tr>
        <w:tblPrEx>
          <w:tblLayout w:type="fixed"/>
          <w:tblCellMar>
            <w:top w:w="0" w:type="dxa"/>
            <w:left w:w="108" w:type="dxa"/>
            <w:bottom w:w="0" w:type="dxa"/>
            <w:right w:w="108" w:type="dxa"/>
          </w:tblCellMar>
        </w:tblPrEx>
        <w:trPr>
          <w:trHeight w:val="320" w:hRule="atLeast"/>
        </w:trPr>
        <w:tc>
          <w:tcPr>
            <w:tcW w:w="1702" w:type="dxa"/>
            <w:vMerge w:val="continue"/>
            <w:tcBorders>
              <w:left w:val="single" w:color="auto" w:sz="4" w:space="0"/>
              <w:right w:val="single" w:color="auto" w:sz="4" w:space="0"/>
            </w:tcBorders>
            <w:vAlign w:val="center"/>
          </w:tcPr>
          <w:p>
            <w:pPr>
              <w:jc w:val="left"/>
              <w:rPr>
                <w:rFonts w:asci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科技（制度、方法、机制等）创新（</w:t>
            </w:r>
            <w:r>
              <w:rPr>
                <w:rFonts w:ascii="宋体" w:hAnsi="宋体" w:cs="宋体"/>
                <w:color w:val="000000"/>
                <w:kern w:val="0"/>
                <w:sz w:val="20"/>
                <w:szCs w:val="20"/>
              </w:rPr>
              <w:t>5</w:t>
            </w:r>
            <w:r>
              <w:rPr>
                <w:rFonts w:hint="eastAsia" w:ascii="宋体" w:hAnsi="宋体" w:cs="宋体"/>
                <w:color w:val="000000"/>
                <w:kern w:val="0"/>
                <w:sz w:val="20"/>
                <w:szCs w:val="20"/>
              </w:rPr>
              <w:t>分）</w:t>
            </w:r>
          </w:p>
        </w:tc>
        <w:tc>
          <w:tcPr>
            <w:tcW w:w="2126" w:type="dxa"/>
            <w:tcBorders>
              <w:top w:val="nil"/>
              <w:left w:val="nil"/>
              <w:bottom w:val="single" w:color="auto" w:sz="4" w:space="0"/>
              <w:right w:val="single" w:color="auto" w:sz="4" w:space="0"/>
            </w:tcBorders>
          </w:tcPr>
          <w:p>
            <w:pPr>
              <w:widowControl/>
              <w:jc w:val="center"/>
              <w:rPr>
                <w:rFonts w:ascii="宋体" w:cs="宋体"/>
                <w:color w:val="000000"/>
                <w:kern w:val="0"/>
                <w:sz w:val="20"/>
                <w:szCs w:val="20"/>
              </w:rPr>
            </w:pPr>
            <w:r>
              <w:rPr>
                <w:rFonts w:ascii="宋体" w:hAnsi="宋体" w:cs="宋体"/>
                <w:color w:val="000000"/>
                <w:kern w:val="0"/>
                <w:sz w:val="20"/>
                <w:szCs w:val="20"/>
              </w:rPr>
              <w:t>4</w:t>
            </w:r>
          </w:p>
        </w:tc>
      </w:tr>
      <w:tr>
        <w:tblPrEx>
          <w:tblLayout w:type="fixed"/>
          <w:tblCellMar>
            <w:top w:w="0" w:type="dxa"/>
            <w:left w:w="108" w:type="dxa"/>
            <w:bottom w:w="0" w:type="dxa"/>
            <w:right w:w="108" w:type="dxa"/>
          </w:tblCellMar>
        </w:tblPrEx>
        <w:trPr>
          <w:trHeight w:val="385" w:hRule="atLeast"/>
        </w:trPr>
        <w:tc>
          <w:tcPr>
            <w:tcW w:w="1702" w:type="dxa"/>
            <w:vMerge w:val="continue"/>
            <w:tcBorders>
              <w:left w:val="single" w:color="auto" w:sz="4" w:space="0"/>
              <w:right w:val="single" w:color="auto" w:sz="4" w:space="0"/>
            </w:tcBorders>
            <w:vAlign w:val="center"/>
          </w:tcPr>
          <w:p>
            <w:pPr>
              <w:jc w:val="left"/>
              <w:rPr>
                <w:rFonts w:asci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人才培养（</w:t>
            </w:r>
            <w:r>
              <w:rPr>
                <w:rFonts w:ascii="宋体" w:hAnsi="宋体" w:cs="宋体"/>
                <w:color w:val="000000"/>
                <w:kern w:val="0"/>
                <w:sz w:val="20"/>
                <w:szCs w:val="20"/>
              </w:rPr>
              <w:t>5</w:t>
            </w:r>
            <w:r>
              <w:rPr>
                <w:rFonts w:hint="eastAsia" w:ascii="宋体" w:hAnsi="宋体" w:cs="宋体"/>
                <w:color w:val="000000"/>
                <w:kern w:val="0"/>
                <w:sz w:val="20"/>
                <w:szCs w:val="20"/>
              </w:rPr>
              <w:t>分）</w:t>
            </w:r>
          </w:p>
        </w:tc>
        <w:tc>
          <w:tcPr>
            <w:tcW w:w="2126" w:type="dxa"/>
            <w:tcBorders>
              <w:top w:val="nil"/>
              <w:left w:val="nil"/>
              <w:bottom w:val="single" w:color="auto" w:sz="4" w:space="0"/>
              <w:right w:val="single" w:color="auto" w:sz="4" w:space="0"/>
            </w:tcBorders>
          </w:tcPr>
          <w:p>
            <w:pPr>
              <w:widowControl/>
              <w:jc w:val="center"/>
              <w:rPr>
                <w:rFonts w:ascii="宋体" w:cs="宋体"/>
                <w:color w:val="000000"/>
                <w:kern w:val="0"/>
                <w:sz w:val="20"/>
                <w:szCs w:val="20"/>
              </w:rPr>
            </w:pPr>
            <w:r>
              <w:rPr>
                <w:rFonts w:ascii="宋体" w:hAnsi="宋体" w:cs="宋体"/>
                <w:color w:val="000000"/>
                <w:kern w:val="0"/>
                <w:sz w:val="20"/>
                <w:szCs w:val="20"/>
              </w:rPr>
              <w:t>5</w:t>
            </w:r>
          </w:p>
        </w:tc>
      </w:tr>
      <w:tr>
        <w:tblPrEx>
          <w:tblLayout w:type="fixed"/>
          <w:tblCellMar>
            <w:top w:w="0" w:type="dxa"/>
            <w:left w:w="108" w:type="dxa"/>
            <w:bottom w:w="0" w:type="dxa"/>
            <w:right w:w="108" w:type="dxa"/>
          </w:tblCellMar>
        </w:tblPrEx>
        <w:trPr>
          <w:trHeight w:val="432" w:hRule="atLeast"/>
        </w:trPr>
        <w:tc>
          <w:tcPr>
            <w:tcW w:w="1702" w:type="dxa"/>
            <w:vMerge w:val="continue"/>
            <w:tcBorders>
              <w:left w:val="single" w:color="auto" w:sz="4" w:space="0"/>
              <w:right w:val="single" w:color="auto" w:sz="4" w:space="0"/>
            </w:tcBorders>
            <w:vAlign w:val="center"/>
          </w:tcPr>
          <w:p>
            <w:pPr>
              <w:jc w:val="left"/>
              <w:rPr>
                <w:rFonts w:ascii="宋体" w:cs="宋体"/>
                <w:color w:val="000000"/>
                <w:kern w:val="0"/>
                <w:sz w:val="20"/>
                <w:szCs w:val="20"/>
              </w:rPr>
            </w:pPr>
          </w:p>
        </w:tc>
        <w:tc>
          <w:tcPr>
            <w:tcW w:w="2268" w:type="dxa"/>
            <w:vMerge w:val="restart"/>
            <w:tcBorders>
              <w:top w:val="nil"/>
              <w:left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满意度（</w:t>
            </w:r>
            <w:r>
              <w:rPr>
                <w:rFonts w:ascii="宋体" w:hAnsi="宋体" w:cs="宋体"/>
                <w:color w:val="000000"/>
                <w:kern w:val="0"/>
                <w:sz w:val="20"/>
                <w:szCs w:val="20"/>
              </w:rPr>
              <w:t>10</w:t>
            </w:r>
            <w:r>
              <w:rPr>
                <w:rFonts w:hint="eastAsia" w:ascii="宋体" w:hAnsi="宋体" w:cs="宋体"/>
                <w:color w:val="000000"/>
                <w:kern w:val="0"/>
                <w:sz w:val="20"/>
                <w:szCs w:val="20"/>
              </w:rPr>
              <w:t>分）</w:t>
            </w:r>
          </w:p>
        </w:tc>
        <w:tc>
          <w:tcPr>
            <w:tcW w:w="3402"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协作部门满意度（</w:t>
            </w:r>
            <w:r>
              <w:rPr>
                <w:rFonts w:ascii="宋体" w:hAnsi="宋体" w:cs="宋体"/>
                <w:color w:val="000000"/>
                <w:kern w:val="0"/>
                <w:sz w:val="20"/>
                <w:szCs w:val="20"/>
              </w:rPr>
              <w:t>3</w:t>
            </w:r>
            <w:r>
              <w:rPr>
                <w:rFonts w:hint="eastAsia" w:ascii="宋体" w:hAnsi="宋体" w:cs="宋体"/>
                <w:color w:val="000000"/>
                <w:kern w:val="0"/>
                <w:sz w:val="20"/>
                <w:szCs w:val="20"/>
              </w:rPr>
              <w:t>分）</w:t>
            </w:r>
          </w:p>
        </w:tc>
        <w:tc>
          <w:tcPr>
            <w:tcW w:w="2126" w:type="dxa"/>
            <w:tcBorders>
              <w:top w:val="nil"/>
              <w:left w:val="nil"/>
              <w:bottom w:val="single" w:color="auto" w:sz="4" w:space="0"/>
              <w:right w:val="single" w:color="auto" w:sz="4" w:space="0"/>
            </w:tcBorders>
          </w:tcPr>
          <w:p>
            <w:pPr>
              <w:widowControl/>
              <w:jc w:val="center"/>
              <w:rPr>
                <w:rFonts w:ascii="宋体" w:cs="宋体"/>
                <w:color w:val="000000"/>
                <w:kern w:val="0"/>
                <w:sz w:val="20"/>
                <w:szCs w:val="20"/>
              </w:rPr>
            </w:pPr>
            <w:r>
              <w:rPr>
                <w:rFonts w:ascii="宋体" w:hAnsi="宋体" w:cs="宋体"/>
                <w:color w:val="000000"/>
                <w:kern w:val="0"/>
                <w:sz w:val="20"/>
                <w:szCs w:val="20"/>
              </w:rPr>
              <w:t>3</w:t>
            </w:r>
          </w:p>
        </w:tc>
      </w:tr>
      <w:tr>
        <w:tblPrEx>
          <w:tblLayout w:type="fixed"/>
          <w:tblCellMar>
            <w:top w:w="0" w:type="dxa"/>
            <w:left w:w="108" w:type="dxa"/>
            <w:bottom w:w="0" w:type="dxa"/>
            <w:right w:w="108" w:type="dxa"/>
          </w:tblCellMar>
        </w:tblPrEx>
        <w:trPr>
          <w:trHeight w:val="396" w:hRule="atLeast"/>
        </w:trPr>
        <w:tc>
          <w:tcPr>
            <w:tcW w:w="1702" w:type="dxa"/>
            <w:vMerge w:val="continue"/>
            <w:tcBorders>
              <w:left w:val="single" w:color="auto" w:sz="4" w:space="0"/>
              <w:right w:val="single" w:color="auto" w:sz="4" w:space="0"/>
            </w:tcBorders>
            <w:vAlign w:val="center"/>
          </w:tcPr>
          <w:p>
            <w:pPr>
              <w:jc w:val="left"/>
              <w:rPr>
                <w:rFonts w:ascii="宋体" w:cs="宋体"/>
                <w:color w:val="000000"/>
                <w:kern w:val="0"/>
                <w:sz w:val="20"/>
                <w:szCs w:val="20"/>
              </w:rPr>
            </w:pPr>
          </w:p>
        </w:tc>
        <w:tc>
          <w:tcPr>
            <w:tcW w:w="2268" w:type="dxa"/>
            <w:vMerge w:val="continue"/>
            <w:tcBorders>
              <w:left w:val="single" w:color="auto" w:sz="4" w:space="0"/>
              <w:right w:val="single" w:color="auto" w:sz="4" w:space="0"/>
            </w:tcBorders>
            <w:vAlign w:val="center"/>
          </w:tcPr>
          <w:p>
            <w:pPr>
              <w:jc w:val="left"/>
              <w:rPr>
                <w:rFonts w:asci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管理对象满意度（</w:t>
            </w:r>
            <w:r>
              <w:rPr>
                <w:rFonts w:ascii="宋体" w:hAnsi="宋体" w:cs="宋体"/>
                <w:color w:val="000000"/>
                <w:kern w:val="0"/>
                <w:sz w:val="20"/>
                <w:szCs w:val="20"/>
              </w:rPr>
              <w:t>3</w:t>
            </w:r>
            <w:r>
              <w:rPr>
                <w:rFonts w:hint="eastAsia" w:ascii="宋体" w:hAnsi="宋体" w:cs="宋体"/>
                <w:color w:val="000000"/>
                <w:kern w:val="0"/>
                <w:sz w:val="20"/>
                <w:szCs w:val="20"/>
              </w:rPr>
              <w:t>分）</w:t>
            </w:r>
          </w:p>
        </w:tc>
        <w:tc>
          <w:tcPr>
            <w:tcW w:w="2126" w:type="dxa"/>
            <w:tcBorders>
              <w:top w:val="nil"/>
              <w:left w:val="nil"/>
              <w:bottom w:val="single" w:color="auto" w:sz="4" w:space="0"/>
              <w:right w:val="single" w:color="auto" w:sz="4" w:space="0"/>
            </w:tcBorders>
          </w:tcPr>
          <w:p>
            <w:pPr>
              <w:widowControl/>
              <w:jc w:val="center"/>
              <w:rPr>
                <w:rFonts w:ascii="宋体" w:cs="宋体"/>
                <w:color w:val="000000"/>
                <w:kern w:val="0"/>
                <w:sz w:val="20"/>
                <w:szCs w:val="20"/>
              </w:rPr>
            </w:pPr>
            <w:r>
              <w:rPr>
                <w:rFonts w:ascii="宋体" w:hAnsi="宋体" w:cs="宋体"/>
                <w:color w:val="000000"/>
                <w:kern w:val="0"/>
                <w:sz w:val="20"/>
                <w:szCs w:val="20"/>
              </w:rPr>
              <w:t>3</w:t>
            </w:r>
          </w:p>
        </w:tc>
      </w:tr>
      <w:tr>
        <w:tblPrEx>
          <w:tblLayout w:type="fixed"/>
          <w:tblCellMar>
            <w:top w:w="0" w:type="dxa"/>
            <w:left w:w="108" w:type="dxa"/>
            <w:bottom w:w="0" w:type="dxa"/>
            <w:right w:w="108" w:type="dxa"/>
          </w:tblCellMar>
        </w:tblPrEx>
        <w:trPr>
          <w:trHeight w:val="411" w:hRule="atLeast"/>
        </w:trPr>
        <w:tc>
          <w:tcPr>
            <w:tcW w:w="1702" w:type="dxa"/>
            <w:vMerge w:val="continue"/>
            <w:tcBorders>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2268" w:type="dxa"/>
            <w:vMerge w:val="continue"/>
            <w:tcBorders>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社会公众满意度（</w:t>
            </w:r>
            <w:r>
              <w:rPr>
                <w:rFonts w:ascii="宋体" w:hAnsi="宋体" w:cs="宋体"/>
                <w:color w:val="000000"/>
                <w:kern w:val="0"/>
                <w:sz w:val="20"/>
                <w:szCs w:val="20"/>
              </w:rPr>
              <w:t>4</w:t>
            </w:r>
            <w:r>
              <w:rPr>
                <w:rFonts w:hint="eastAsia" w:ascii="宋体" w:hAnsi="宋体" w:cs="宋体"/>
                <w:color w:val="000000"/>
                <w:kern w:val="0"/>
                <w:sz w:val="20"/>
                <w:szCs w:val="20"/>
              </w:rPr>
              <w:t>分）</w:t>
            </w:r>
          </w:p>
        </w:tc>
        <w:tc>
          <w:tcPr>
            <w:tcW w:w="2126" w:type="dxa"/>
            <w:tcBorders>
              <w:top w:val="nil"/>
              <w:left w:val="nil"/>
              <w:bottom w:val="single" w:color="auto" w:sz="4" w:space="0"/>
              <w:right w:val="single" w:color="auto" w:sz="4" w:space="0"/>
            </w:tcBorders>
          </w:tcPr>
          <w:p>
            <w:pPr>
              <w:widowControl/>
              <w:jc w:val="center"/>
              <w:rPr>
                <w:rFonts w:ascii="宋体" w:cs="宋体"/>
                <w:color w:val="000000"/>
                <w:kern w:val="0"/>
                <w:sz w:val="20"/>
                <w:szCs w:val="20"/>
              </w:rPr>
            </w:pPr>
            <w:r>
              <w:rPr>
                <w:rFonts w:ascii="宋体" w:hAnsi="宋体" w:cs="宋体"/>
                <w:color w:val="000000"/>
                <w:kern w:val="0"/>
                <w:sz w:val="20"/>
                <w:szCs w:val="20"/>
              </w:rPr>
              <w:t>4</w:t>
            </w:r>
          </w:p>
        </w:tc>
      </w:tr>
    </w:tbl>
    <w:p>
      <w:pPr>
        <w:spacing w:line="600" w:lineRule="atLeast"/>
        <w:rPr>
          <w:rFonts w:ascii="仿宋_GB2312" w:eastAsia="仿宋_GB2312"/>
          <w:color w:val="000000"/>
          <w:sz w:val="32"/>
          <w:szCs w:val="32"/>
        </w:rPr>
      </w:pPr>
      <w:r>
        <w:rPr>
          <w:rFonts w:ascii="仿宋_GB2312" w:eastAsia="仿宋_GB2312"/>
          <w:color w:val="000000"/>
          <w:sz w:val="32"/>
          <w:szCs w:val="32"/>
        </w:rPr>
        <w:t>2.</w:t>
      </w:r>
      <w:r>
        <w:rPr>
          <w:rFonts w:hint="eastAsia" w:ascii="仿宋_GB2312" w:eastAsia="仿宋_GB2312"/>
          <w:color w:val="000000"/>
          <w:sz w:val="32"/>
          <w:szCs w:val="32"/>
        </w:rPr>
        <w:t>部门自行组织绩效评价开展情况。</w:t>
      </w:r>
    </w:p>
    <w:p>
      <w:pPr>
        <w:spacing w:line="600" w:lineRule="atLeast"/>
        <w:ind w:firstLine="640" w:firstLineChars="200"/>
        <w:rPr>
          <w:rFonts w:ascii="仿宋_GB2312" w:eastAsia="仿宋_GB2312"/>
          <w:color w:val="000000"/>
          <w:sz w:val="32"/>
          <w:szCs w:val="32"/>
        </w:rPr>
      </w:pPr>
      <w:r>
        <w:rPr>
          <w:rFonts w:hint="eastAsia" w:ascii="仿宋_GB2312" w:eastAsia="仿宋_GB2312"/>
          <w:color w:val="000000"/>
          <w:sz w:val="32"/>
          <w:szCs w:val="32"/>
        </w:rPr>
        <w:t>本部门开展了整体支出绩效评价，存在的问题：一是管理使用不够科学，二是资产管理不够细化，下一步改进措施：一是科学化管理，二加合理管理固定资产。</w:t>
      </w:r>
      <w:r>
        <w:rPr>
          <w:rFonts w:ascii="仿宋_GB2312" w:eastAsia="仿宋_GB2312"/>
          <w:color w:val="000000"/>
          <w:sz w:val="32"/>
          <w:szCs w:val="32"/>
        </w:rPr>
        <w:t xml:space="preserve">        </w:t>
      </w:r>
    </w:p>
    <w:p>
      <w:pPr>
        <w:spacing w:line="600" w:lineRule="atLeast"/>
        <w:ind w:firstLine="640" w:firstLineChars="200"/>
        <w:rPr>
          <w:rFonts w:ascii="仿宋_GB2312" w:eastAsia="仿宋_GB2312"/>
          <w:color w:val="000000"/>
          <w:sz w:val="32"/>
          <w:szCs w:val="32"/>
        </w:rPr>
      </w:pPr>
      <w:r>
        <w:rPr>
          <w:rFonts w:hint="eastAsia" w:ascii="仿宋_GB2312" w:eastAsia="仿宋_GB2312"/>
          <w:color w:val="000000"/>
          <w:sz w:val="32"/>
          <w:szCs w:val="32"/>
        </w:rPr>
        <w:t>本部门对项目开展了绩效评价，存在的问题：一是项目实施进度较慢，二是目标绩效不够完善。下一步改进措施：一是完善目标绩效管理，二是加快项目推进速度。</w:t>
      </w:r>
    </w:p>
    <w:p>
      <w:pPr>
        <w:spacing w:line="600" w:lineRule="atLeast"/>
        <w:ind w:firstLine="643" w:firstLineChars="200"/>
        <w:rPr>
          <w:rFonts w:ascii="仿宋_GB2312" w:eastAsia="仿宋_GB2312"/>
          <w:b/>
          <w:color w:val="000000"/>
          <w:sz w:val="32"/>
          <w:szCs w:val="32"/>
        </w:rPr>
      </w:pPr>
    </w:p>
    <w:p>
      <w:pPr>
        <w:jc w:val="center"/>
        <w:rPr>
          <w:rFonts w:ascii="黑体" w:hAnsi="黑体" w:eastAsia="黑体"/>
          <w:color w:val="000000"/>
          <w:sz w:val="32"/>
          <w:szCs w:val="32"/>
        </w:rPr>
      </w:pPr>
      <w:r>
        <w:rPr>
          <w:rFonts w:ascii="黑体" w:hAnsi="黑体" w:eastAsia="黑体"/>
          <w:color w:val="000000"/>
          <w:sz w:val="32"/>
          <w:szCs w:val="32"/>
        </w:rPr>
        <w:t>2018</w:t>
      </w:r>
      <w:r>
        <w:rPr>
          <w:rFonts w:hint="eastAsia" w:ascii="黑体" w:hAnsi="黑体" w:eastAsia="黑体"/>
          <w:color w:val="000000"/>
          <w:sz w:val="32"/>
          <w:szCs w:val="32"/>
        </w:rPr>
        <w:t>年项目支出绩效评价得分表</w:t>
      </w:r>
    </w:p>
    <w:tbl>
      <w:tblPr>
        <w:tblStyle w:val="16"/>
        <w:tblW w:w="9888" w:type="dxa"/>
        <w:jc w:val="center"/>
        <w:tblInd w:w="4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8"/>
        <w:gridCol w:w="2113"/>
        <w:gridCol w:w="3535"/>
        <w:gridCol w:w="1311"/>
        <w:gridCol w:w="13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9" w:hRule="atLeast"/>
          <w:jc w:val="center"/>
        </w:trPr>
        <w:tc>
          <w:tcPr>
            <w:tcW w:w="1618" w:type="dxa"/>
            <w:vAlign w:val="center"/>
          </w:tcPr>
          <w:p>
            <w:pPr>
              <w:widowControl/>
              <w:spacing w:line="260" w:lineRule="exact"/>
              <w:jc w:val="center"/>
              <w:rPr>
                <w:rFonts w:ascii="宋体" w:cs="宋体"/>
                <w:b/>
                <w:bCs/>
                <w:color w:val="000000"/>
                <w:kern w:val="0"/>
                <w:sz w:val="20"/>
                <w:szCs w:val="20"/>
              </w:rPr>
            </w:pPr>
            <w:r>
              <w:rPr>
                <w:rFonts w:hint="eastAsia" w:ascii="宋体" w:hAnsi="宋体" w:cs="宋体"/>
                <w:b/>
                <w:bCs/>
                <w:color w:val="000000"/>
                <w:kern w:val="0"/>
                <w:sz w:val="20"/>
                <w:szCs w:val="20"/>
              </w:rPr>
              <w:t>单位名称</w:t>
            </w:r>
            <w:r>
              <w:rPr>
                <w:rFonts w:ascii="宋体" w:hAnsi="宋体" w:cs="宋体"/>
                <w:b/>
                <w:bCs/>
                <w:color w:val="000000"/>
                <w:kern w:val="0"/>
                <w:sz w:val="20"/>
                <w:szCs w:val="20"/>
              </w:rPr>
              <w:t>/</w:t>
            </w:r>
          </w:p>
          <w:p>
            <w:pPr>
              <w:widowControl/>
              <w:spacing w:line="260" w:lineRule="exact"/>
              <w:jc w:val="center"/>
              <w:rPr>
                <w:rFonts w:ascii="宋体" w:cs="宋体"/>
                <w:b/>
                <w:bCs/>
                <w:color w:val="000000"/>
                <w:kern w:val="0"/>
                <w:sz w:val="20"/>
                <w:szCs w:val="20"/>
              </w:rPr>
            </w:pPr>
            <w:r>
              <w:rPr>
                <w:rFonts w:hint="eastAsia" w:ascii="宋体" w:hAnsi="宋体" w:cs="宋体"/>
                <w:b/>
                <w:bCs/>
                <w:color w:val="000000"/>
                <w:kern w:val="0"/>
                <w:sz w:val="20"/>
                <w:szCs w:val="20"/>
              </w:rPr>
              <w:t>项目名称</w:t>
            </w:r>
          </w:p>
        </w:tc>
        <w:tc>
          <w:tcPr>
            <w:tcW w:w="8270" w:type="dxa"/>
            <w:gridSpan w:val="4"/>
            <w:vAlign w:val="center"/>
          </w:tcPr>
          <w:p>
            <w:pPr>
              <w:widowControl/>
              <w:spacing w:line="260" w:lineRule="exact"/>
              <w:jc w:val="center"/>
              <w:rPr>
                <w:rFonts w:ascii="宋体" w:cs="宋体"/>
                <w:b/>
                <w:bCs/>
                <w:color w:val="000000"/>
                <w:kern w:val="0"/>
                <w:sz w:val="18"/>
                <w:szCs w:val="18"/>
              </w:rPr>
            </w:pPr>
            <w:r>
              <w:rPr>
                <w:rFonts w:hint="eastAsia" w:ascii="宋体" w:hAnsi="宋体" w:cs="宋体"/>
                <w:b/>
                <w:bCs/>
                <w:color w:val="000000"/>
                <w:kern w:val="0"/>
                <w:sz w:val="18"/>
                <w:szCs w:val="18"/>
              </w:rPr>
              <w:t>中共壤塘县委宣传部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0" w:hRule="atLeast"/>
          <w:jc w:val="center"/>
        </w:trPr>
        <w:tc>
          <w:tcPr>
            <w:tcW w:w="1618" w:type="dxa"/>
            <w:vAlign w:val="center"/>
          </w:tcPr>
          <w:p>
            <w:pPr>
              <w:widowControl/>
              <w:spacing w:line="260" w:lineRule="exact"/>
              <w:jc w:val="center"/>
              <w:rPr>
                <w:rFonts w:ascii="宋体" w:cs="宋体"/>
                <w:b/>
                <w:bCs/>
                <w:color w:val="000000"/>
                <w:kern w:val="0"/>
                <w:sz w:val="20"/>
                <w:szCs w:val="20"/>
              </w:rPr>
            </w:pPr>
            <w:r>
              <w:rPr>
                <w:rFonts w:hint="eastAsia" w:ascii="宋体" w:hAnsi="宋体" w:cs="宋体"/>
                <w:b/>
                <w:bCs/>
                <w:color w:val="000000"/>
                <w:kern w:val="0"/>
                <w:sz w:val="20"/>
                <w:szCs w:val="20"/>
              </w:rPr>
              <w:t>一级</w:t>
            </w:r>
          </w:p>
          <w:p>
            <w:pPr>
              <w:widowControl/>
              <w:spacing w:line="260" w:lineRule="exact"/>
              <w:jc w:val="center"/>
              <w:rPr>
                <w:rFonts w:ascii="宋体" w:cs="宋体"/>
                <w:b/>
                <w:bCs/>
                <w:color w:val="000000"/>
                <w:kern w:val="0"/>
                <w:sz w:val="20"/>
                <w:szCs w:val="20"/>
              </w:rPr>
            </w:pPr>
            <w:r>
              <w:rPr>
                <w:rFonts w:hint="eastAsia" w:ascii="宋体" w:hAnsi="宋体" w:cs="宋体"/>
                <w:b/>
                <w:bCs/>
                <w:color w:val="000000"/>
                <w:kern w:val="0"/>
                <w:sz w:val="20"/>
                <w:szCs w:val="20"/>
              </w:rPr>
              <w:t>指标</w:t>
            </w:r>
          </w:p>
        </w:tc>
        <w:tc>
          <w:tcPr>
            <w:tcW w:w="2113" w:type="dxa"/>
            <w:vAlign w:val="center"/>
          </w:tcPr>
          <w:p>
            <w:pPr>
              <w:widowControl/>
              <w:spacing w:line="260" w:lineRule="exact"/>
              <w:jc w:val="center"/>
              <w:rPr>
                <w:rFonts w:ascii="宋体" w:cs="宋体"/>
                <w:b/>
                <w:bCs/>
                <w:color w:val="000000"/>
                <w:kern w:val="0"/>
                <w:sz w:val="20"/>
                <w:szCs w:val="20"/>
              </w:rPr>
            </w:pPr>
            <w:r>
              <w:rPr>
                <w:rFonts w:hint="eastAsia" w:ascii="宋体" w:hAnsi="宋体" w:cs="宋体"/>
                <w:b/>
                <w:bCs/>
                <w:color w:val="000000"/>
                <w:kern w:val="0"/>
                <w:sz w:val="20"/>
                <w:szCs w:val="20"/>
              </w:rPr>
              <w:t>二级</w:t>
            </w:r>
          </w:p>
          <w:p>
            <w:pPr>
              <w:widowControl/>
              <w:spacing w:line="260" w:lineRule="exact"/>
              <w:jc w:val="center"/>
              <w:rPr>
                <w:rFonts w:ascii="宋体" w:cs="宋体"/>
                <w:b/>
                <w:bCs/>
                <w:color w:val="000000"/>
                <w:kern w:val="0"/>
                <w:sz w:val="20"/>
                <w:szCs w:val="20"/>
              </w:rPr>
            </w:pPr>
            <w:r>
              <w:rPr>
                <w:rFonts w:hint="eastAsia" w:ascii="宋体" w:hAnsi="宋体" w:cs="宋体"/>
                <w:b/>
                <w:bCs/>
                <w:color w:val="000000"/>
                <w:kern w:val="0"/>
                <w:sz w:val="20"/>
                <w:szCs w:val="20"/>
              </w:rPr>
              <w:t>指标</w:t>
            </w:r>
          </w:p>
        </w:tc>
        <w:tc>
          <w:tcPr>
            <w:tcW w:w="3535" w:type="dxa"/>
            <w:vAlign w:val="center"/>
          </w:tcPr>
          <w:p>
            <w:pPr>
              <w:widowControl/>
              <w:spacing w:line="260" w:lineRule="exact"/>
              <w:jc w:val="center"/>
              <w:rPr>
                <w:rFonts w:ascii="宋体" w:cs="宋体"/>
                <w:b/>
                <w:bCs/>
                <w:color w:val="000000"/>
                <w:kern w:val="0"/>
                <w:sz w:val="20"/>
                <w:szCs w:val="20"/>
              </w:rPr>
            </w:pPr>
            <w:r>
              <w:rPr>
                <w:rFonts w:hint="eastAsia" w:ascii="宋体" w:hAnsi="宋体" w:cs="宋体"/>
                <w:b/>
                <w:bCs/>
                <w:color w:val="000000"/>
                <w:kern w:val="0"/>
                <w:sz w:val="20"/>
                <w:szCs w:val="20"/>
              </w:rPr>
              <w:t>三级指标</w:t>
            </w:r>
          </w:p>
        </w:tc>
        <w:tc>
          <w:tcPr>
            <w:tcW w:w="1311" w:type="dxa"/>
            <w:vAlign w:val="center"/>
          </w:tcPr>
          <w:p>
            <w:pPr>
              <w:widowControl/>
              <w:spacing w:line="260" w:lineRule="exact"/>
              <w:jc w:val="center"/>
              <w:rPr>
                <w:rFonts w:ascii="宋体" w:cs="宋体"/>
                <w:b/>
                <w:bCs/>
                <w:color w:val="000000"/>
                <w:kern w:val="0"/>
                <w:sz w:val="20"/>
                <w:szCs w:val="20"/>
              </w:rPr>
            </w:pPr>
            <w:r>
              <w:rPr>
                <w:rFonts w:hint="eastAsia" w:ascii="宋体" w:hAnsi="宋体" w:cs="宋体"/>
                <w:b/>
                <w:bCs/>
                <w:color w:val="000000"/>
                <w:kern w:val="0"/>
                <w:sz w:val="20"/>
                <w:szCs w:val="20"/>
              </w:rPr>
              <w:t>分值</w:t>
            </w:r>
          </w:p>
        </w:tc>
        <w:tc>
          <w:tcPr>
            <w:tcW w:w="1311" w:type="dxa"/>
            <w:vAlign w:val="center"/>
          </w:tcPr>
          <w:p>
            <w:pPr>
              <w:widowControl/>
              <w:spacing w:line="260" w:lineRule="exact"/>
              <w:jc w:val="center"/>
              <w:rPr>
                <w:rFonts w:ascii="宋体" w:cs="宋体"/>
                <w:b/>
                <w:bCs/>
                <w:color w:val="000000"/>
                <w:kern w:val="0"/>
                <w:sz w:val="18"/>
                <w:szCs w:val="18"/>
              </w:rPr>
            </w:pPr>
            <w:r>
              <w:rPr>
                <w:rFonts w:hint="eastAsia" w:ascii="宋体" w:hAnsi="宋体" w:cs="宋体"/>
                <w:b/>
                <w:bCs/>
                <w:color w:val="000000"/>
                <w:kern w:val="0"/>
                <w:sz w:val="18"/>
                <w:szCs w:val="18"/>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1618" w:type="dxa"/>
            <w:vMerge w:val="restart"/>
            <w:textDirection w:val="tbRlV"/>
            <w:vAlign w:val="center"/>
          </w:tcPr>
          <w:p>
            <w:pPr>
              <w:widowControl/>
              <w:spacing w:line="260" w:lineRule="exact"/>
              <w:jc w:val="center"/>
              <w:rPr>
                <w:rFonts w:ascii="宋体" w:cs="宋体"/>
                <w:color w:val="000000"/>
                <w:kern w:val="0"/>
                <w:sz w:val="20"/>
                <w:szCs w:val="20"/>
              </w:rPr>
            </w:pPr>
            <w:r>
              <w:rPr>
                <w:rFonts w:hint="eastAsia" w:ascii="宋体" w:hAnsi="宋体" w:cs="宋体"/>
                <w:color w:val="000000"/>
                <w:kern w:val="0"/>
                <w:sz w:val="20"/>
                <w:szCs w:val="20"/>
              </w:rPr>
              <w:t>（</w:t>
            </w:r>
            <w:r>
              <w:rPr>
                <w:rFonts w:ascii="宋体" w:hAnsi="宋体" w:cs="宋体"/>
                <w:color w:val="000000"/>
                <w:kern w:val="0"/>
                <w:sz w:val="20"/>
                <w:szCs w:val="20"/>
              </w:rPr>
              <w:t>20</w:t>
            </w:r>
            <w:r>
              <w:rPr>
                <w:rFonts w:hint="eastAsia" w:ascii="宋体" w:hAnsi="宋体" w:cs="宋体"/>
                <w:color w:val="000000"/>
                <w:kern w:val="0"/>
                <w:sz w:val="20"/>
                <w:szCs w:val="20"/>
              </w:rPr>
              <w:t>分）</w:t>
            </w:r>
            <w:r>
              <w:rPr>
                <w:rFonts w:ascii="宋体" w:cs="宋体"/>
                <w:color w:val="000000"/>
                <w:kern w:val="0"/>
                <w:sz w:val="20"/>
                <w:szCs w:val="20"/>
              </w:rPr>
              <w:br w:type="textWrapping"/>
            </w:r>
            <w:r>
              <w:rPr>
                <w:rFonts w:hint="eastAsia" w:ascii="宋体" w:hAnsi="宋体" w:cs="宋体"/>
                <w:color w:val="000000"/>
                <w:kern w:val="0"/>
                <w:sz w:val="20"/>
                <w:szCs w:val="20"/>
              </w:rPr>
              <w:t>项目决策</w:t>
            </w:r>
          </w:p>
        </w:tc>
        <w:tc>
          <w:tcPr>
            <w:tcW w:w="2113" w:type="dxa"/>
            <w:vMerge w:val="restart"/>
            <w:textDirection w:val="tbRlV"/>
            <w:vAlign w:val="center"/>
          </w:tcPr>
          <w:p>
            <w:pPr>
              <w:widowControl/>
              <w:spacing w:line="260" w:lineRule="exact"/>
              <w:jc w:val="center"/>
              <w:rPr>
                <w:rFonts w:ascii="宋体" w:cs="宋体"/>
                <w:color w:val="000000"/>
                <w:kern w:val="0"/>
                <w:sz w:val="20"/>
                <w:szCs w:val="20"/>
              </w:rPr>
            </w:pPr>
            <w:r>
              <w:rPr>
                <w:rFonts w:hint="eastAsia" w:ascii="宋体" w:hAnsi="宋体" w:cs="宋体"/>
                <w:color w:val="000000"/>
                <w:kern w:val="0"/>
                <w:sz w:val="20"/>
                <w:szCs w:val="20"/>
              </w:rPr>
              <w:t>（</w:t>
            </w:r>
            <w:r>
              <w:rPr>
                <w:rFonts w:ascii="宋体" w:hAnsi="宋体" w:cs="宋体"/>
                <w:color w:val="000000"/>
                <w:kern w:val="0"/>
                <w:sz w:val="20"/>
                <w:szCs w:val="20"/>
              </w:rPr>
              <w:t>10</w:t>
            </w:r>
            <w:r>
              <w:rPr>
                <w:rFonts w:hint="eastAsia" w:ascii="宋体" w:hAnsi="宋体" w:cs="宋体"/>
                <w:color w:val="000000"/>
                <w:kern w:val="0"/>
                <w:sz w:val="20"/>
                <w:szCs w:val="20"/>
              </w:rPr>
              <w:t>分）</w:t>
            </w:r>
            <w:r>
              <w:rPr>
                <w:rFonts w:ascii="宋体" w:cs="宋体"/>
                <w:color w:val="000000"/>
                <w:kern w:val="0"/>
                <w:sz w:val="20"/>
                <w:szCs w:val="20"/>
              </w:rPr>
              <w:br w:type="textWrapping"/>
            </w:r>
            <w:r>
              <w:rPr>
                <w:rFonts w:hint="eastAsia" w:ascii="宋体" w:hAnsi="宋体" w:cs="宋体"/>
                <w:color w:val="000000"/>
                <w:kern w:val="0"/>
                <w:sz w:val="20"/>
                <w:szCs w:val="20"/>
              </w:rPr>
              <w:t>科学决策</w:t>
            </w:r>
          </w:p>
        </w:tc>
        <w:tc>
          <w:tcPr>
            <w:tcW w:w="3535" w:type="dxa"/>
            <w:vAlign w:val="center"/>
          </w:tcPr>
          <w:p>
            <w:pPr>
              <w:widowControl/>
              <w:spacing w:line="260" w:lineRule="exact"/>
              <w:jc w:val="center"/>
              <w:rPr>
                <w:rFonts w:ascii="宋体" w:cs="宋体"/>
                <w:color w:val="000000"/>
                <w:kern w:val="0"/>
                <w:sz w:val="20"/>
                <w:szCs w:val="20"/>
              </w:rPr>
            </w:pPr>
            <w:r>
              <w:rPr>
                <w:rFonts w:hint="eastAsia" w:ascii="宋体" w:hAnsi="宋体" w:cs="宋体"/>
                <w:color w:val="000000"/>
                <w:kern w:val="0"/>
                <w:sz w:val="20"/>
                <w:szCs w:val="20"/>
              </w:rPr>
              <w:t>必要性</w:t>
            </w:r>
            <w:r>
              <w:rPr>
                <w:rFonts w:ascii="宋体" w:cs="宋体"/>
                <w:color w:val="000000"/>
                <w:kern w:val="0"/>
                <w:sz w:val="20"/>
                <w:szCs w:val="20"/>
              </w:rPr>
              <w:br w:type="textWrapping"/>
            </w:r>
            <w:r>
              <w:rPr>
                <w:rFonts w:hint="eastAsia" w:ascii="宋体" w:hAnsi="宋体" w:cs="宋体"/>
                <w:color w:val="000000"/>
                <w:kern w:val="0"/>
                <w:sz w:val="20"/>
                <w:szCs w:val="20"/>
              </w:rPr>
              <w:t>（政策依据</w:t>
            </w:r>
            <w:r>
              <w:rPr>
                <w:rFonts w:ascii="宋体" w:hAnsi="宋体" w:cs="宋体"/>
                <w:color w:val="000000"/>
                <w:kern w:val="0"/>
                <w:sz w:val="20"/>
                <w:szCs w:val="20"/>
              </w:rPr>
              <w:t>)</w:t>
            </w:r>
          </w:p>
        </w:tc>
        <w:tc>
          <w:tcPr>
            <w:tcW w:w="1311" w:type="dxa"/>
            <w:vAlign w:val="center"/>
          </w:tcPr>
          <w:p>
            <w:pPr>
              <w:widowControl/>
              <w:spacing w:line="260" w:lineRule="exact"/>
              <w:jc w:val="center"/>
              <w:rPr>
                <w:rFonts w:ascii="宋体" w:cs="宋体"/>
                <w:color w:val="000000"/>
                <w:kern w:val="0"/>
                <w:sz w:val="20"/>
                <w:szCs w:val="20"/>
              </w:rPr>
            </w:pPr>
            <w:r>
              <w:rPr>
                <w:rFonts w:ascii="宋体" w:hAnsi="宋体" w:cs="宋体"/>
                <w:color w:val="000000"/>
                <w:kern w:val="0"/>
                <w:sz w:val="20"/>
                <w:szCs w:val="20"/>
              </w:rPr>
              <w:t>5</w:t>
            </w:r>
          </w:p>
        </w:tc>
        <w:tc>
          <w:tcPr>
            <w:tcW w:w="1311" w:type="dxa"/>
          </w:tcPr>
          <w:p>
            <w:pPr>
              <w:widowControl/>
              <w:spacing w:line="260" w:lineRule="exact"/>
              <w:jc w:val="center"/>
              <w:rPr>
                <w:rFonts w:ascii="宋体" w:cs="宋体"/>
                <w:color w:val="000000"/>
                <w:kern w:val="0"/>
                <w:sz w:val="15"/>
                <w:szCs w:val="15"/>
              </w:rPr>
            </w:pPr>
            <w:r>
              <w:rPr>
                <w:rFonts w:ascii="宋体" w:hAnsi="宋体" w:cs="宋体"/>
                <w:color w:val="000000"/>
                <w:kern w:val="0"/>
                <w:sz w:val="15"/>
                <w:szCs w:val="15"/>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1618" w:type="dxa"/>
            <w:vMerge w:val="continue"/>
            <w:vAlign w:val="center"/>
          </w:tcPr>
          <w:p>
            <w:pPr>
              <w:widowControl/>
              <w:spacing w:line="260" w:lineRule="exact"/>
              <w:jc w:val="left"/>
              <w:rPr>
                <w:rFonts w:ascii="宋体" w:cs="宋体"/>
                <w:color w:val="000000"/>
                <w:kern w:val="0"/>
                <w:sz w:val="20"/>
                <w:szCs w:val="20"/>
              </w:rPr>
            </w:pPr>
          </w:p>
        </w:tc>
        <w:tc>
          <w:tcPr>
            <w:tcW w:w="2113" w:type="dxa"/>
            <w:vMerge w:val="continue"/>
            <w:vAlign w:val="center"/>
          </w:tcPr>
          <w:p>
            <w:pPr>
              <w:widowControl/>
              <w:spacing w:line="260" w:lineRule="exact"/>
              <w:jc w:val="left"/>
              <w:rPr>
                <w:rFonts w:ascii="宋体" w:cs="宋体"/>
                <w:color w:val="000000"/>
                <w:kern w:val="0"/>
                <w:sz w:val="20"/>
                <w:szCs w:val="20"/>
              </w:rPr>
            </w:pPr>
          </w:p>
        </w:tc>
        <w:tc>
          <w:tcPr>
            <w:tcW w:w="3535" w:type="dxa"/>
            <w:vAlign w:val="center"/>
          </w:tcPr>
          <w:p>
            <w:pPr>
              <w:widowControl/>
              <w:spacing w:line="260" w:lineRule="exact"/>
              <w:jc w:val="center"/>
              <w:rPr>
                <w:rFonts w:ascii="宋体" w:cs="宋体"/>
                <w:color w:val="000000"/>
                <w:kern w:val="0"/>
                <w:sz w:val="20"/>
                <w:szCs w:val="20"/>
              </w:rPr>
            </w:pPr>
            <w:r>
              <w:rPr>
                <w:rFonts w:hint="eastAsia" w:ascii="宋体" w:hAnsi="宋体" w:cs="宋体"/>
                <w:color w:val="000000"/>
                <w:kern w:val="0"/>
                <w:sz w:val="20"/>
                <w:szCs w:val="20"/>
              </w:rPr>
              <w:t>可行性</w:t>
            </w:r>
            <w:r>
              <w:rPr>
                <w:rFonts w:ascii="宋体" w:cs="宋体"/>
                <w:color w:val="000000"/>
                <w:kern w:val="0"/>
                <w:sz w:val="20"/>
                <w:szCs w:val="20"/>
              </w:rPr>
              <w:br w:type="textWrapping"/>
            </w:r>
            <w:r>
              <w:rPr>
                <w:rFonts w:hint="eastAsia" w:ascii="宋体" w:hAnsi="宋体" w:cs="宋体"/>
                <w:color w:val="000000"/>
                <w:kern w:val="0"/>
                <w:sz w:val="20"/>
                <w:szCs w:val="20"/>
              </w:rPr>
              <w:t>（政策完善）</w:t>
            </w:r>
          </w:p>
        </w:tc>
        <w:tc>
          <w:tcPr>
            <w:tcW w:w="1311" w:type="dxa"/>
            <w:vAlign w:val="center"/>
          </w:tcPr>
          <w:p>
            <w:pPr>
              <w:widowControl/>
              <w:spacing w:line="260" w:lineRule="exact"/>
              <w:jc w:val="center"/>
              <w:rPr>
                <w:rFonts w:ascii="宋体" w:cs="宋体"/>
                <w:color w:val="000000"/>
                <w:kern w:val="0"/>
                <w:sz w:val="20"/>
                <w:szCs w:val="20"/>
              </w:rPr>
            </w:pPr>
            <w:r>
              <w:rPr>
                <w:rFonts w:ascii="宋体" w:hAnsi="宋体" w:cs="宋体"/>
                <w:color w:val="000000"/>
                <w:kern w:val="0"/>
                <w:sz w:val="20"/>
                <w:szCs w:val="20"/>
              </w:rPr>
              <w:t>5</w:t>
            </w:r>
          </w:p>
        </w:tc>
        <w:tc>
          <w:tcPr>
            <w:tcW w:w="1311" w:type="dxa"/>
          </w:tcPr>
          <w:p>
            <w:pPr>
              <w:widowControl/>
              <w:spacing w:line="260" w:lineRule="exact"/>
              <w:jc w:val="center"/>
              <w:rPr>
                <w:rFonts w:ascii="宋体" w:cs="宋体"/>
                <w:color w:val="000000"/>
                <w:kern w:val="0"/>
                <w:sz w:val="15"/>
                <w:szCs w:val="15"/>
              </w:rPr>
            </w:pPr>
            <w:r>
              <w:rPr>
                <w:rFonts w:ascii="宋体" w:hAnsi="宋体" w:cs="宋体"/>
                <w:color w:val="000000"/>
                <w:kern w:val="0"/>
                <w:sz w:val="15"/>
                <w:szCs w:val="15"/>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jc w:val="center"/>
        </w:trPr>
        <w:tc>
          <w:tcPr>
            <w:tcW w:w="1618" w:type="dxa"/>
            <w:vMerge w:val="continue"/>
            <w:vAlign w:val="center"/>
          </w:tcPr>
          <w:p>
            <w:pPr>
              <w:widowControl/>
              <w:spacing w:line="260" w:lineRule="exact"/>
              <w:jc w:val="left"/>
              <w:rPr>
                <w:rFonts w:ascii="宋体" w:cs="宋体"/>
                <w:color w:val="000000"/>
                <w:kern w:val="0"/>
                <w:sz w:val="20"/>
                <w:szCs w:val="20"/>
              </w:rPr>
            </w:pPr>
          </w:p>
        </w:tc>
        <w:tc>
          <w:tcPr>
            <w:tcW w:w="2113" w:type="dxa"/>
            <w:vMerge w:val="restart"/>
            <w:textDirection w:val="tbRlV"/>
            <w:vAlign w:val="center"/>
          </w:tcPr>
          <w:p>
            <w:pPr>
              <w:widowControl/>
              <w:spacing w:line="260" w:lineRule="exact"/>
              <w:jc w:val="center"/>
              <w:rPr>
                <w:rFonts w:ascii="宋体" w:cs="宋体"/>
                <w:color w:val="000000"/>
                <w:kern w:val="0"/>
                <w:sz w:val="20"/>
                <w:szCs w:val="20"/>
              </w:rPr>
            </w:pPr>
            <w:r>
              <w:rPr>
                <w:rFonts w:hint="eastAsia" w:ascii="宋体" w:hAnsi="宋体" w:cs="宋体"/>
                <w:color w:val="000000"/>
                <w:kern w:val="0"/>
                <w:sz w:val="20"/>
                <w:szCs w:val="20"/>
              </w:rPr>
              <w:t>（</w:t>
            </w:r>
            <w:r>
              <w:rPr>
                <w:rFonts w:ascii="宋体" w:hAnsi="宋体" w:cs="宋体"/>
                <w:color w:val="000000"/>
                <w:kern w:val="0"/>
                <w:sz w:val="20"/>
                <w:szCs w:val="20"/>
              </w:rPr>
              <w:t>10</w:t>
            </w:r>
            <w:r>
              <w:rPr>
                <w:rFonts w:hint="eastAsia" w:ascii="宋体" w:hAnsi="宋体" w:cs="宋体"/>
                <w:color w:val="000000"/>
                <w:kern w:val="0"/>
                <w:sz w:val="20"/>
                <w:szCs w:val="20"/>
              </w:rPr>
              <w:t>）</w:t>
            </w:r>
            <w:r>
              <w:rPr>
                <w:rFonts w:ascii="宋体" w:cs="宋体"/>
                <w:color w:val="000000"/>
                <w:kern w:val="0"/>
                <w:sz w:val="20"/>
                <w:szCs w:val="20"/>
              </w:rPr>
              <w:br w:type="textWrapping"/>
            </w:r>
            <w:r>
              <w:rPr>
                <w:rFonts w:hint="eastAsia" w:ascii="宋体" w:hAnsi="宋体" w:cs="宋体"/>
                <w:color w:val="000000"/>
                <w:kern w:val="0"/>
                <w:sz w:val="20"/>
                <w:szCs w:val="20"/>
              </w:rPr>
              <w:t>绩效目标</w:t>
            </w:r>
            <w:r>
              <w:rPr>
                <w:rFonts w:ascii="宋体" w:hAnsi="宋体" w:cs="宋体"/>
                <w:color w:val="000000"/>
                <w:kern w:val="0"/>
                <w:sz w:val="20"/>
                <w:szCs w:val="20"/>
              </w:rPr>
              <w:t xml:space="preserve">    </w:t>
            </w:r>
          </w:p>
        </w:tc>
        <w:tc>
          <w:tcPr>
            <w:tcW w:w="3535" w:type="dxa"/>
            <w:vAlign w:val="center"/>
          </w:tcPr>
          <w:p>
            <w:pPr>
              <w:widowControl/>
              <w:spacing w:line="260" w:lineRule="exact"/>
              <w:jc w:val="center"/>
              <w:rPr>
                <w:rFonts w:ascii="宋体" w:cs="宋体"/>
                <w:color w:val="000000"/>
                <w:kern w:val="0"/>
                <w:sz w:val="20"/>
                <w:szCs w:val="20"/>
              </w:rPr>
            </w:pPr>
            <w:r>
              <w:rPr>
                <w:rFonts w:hint="eastAsia" w:ascii="宋体" w:hAnsi="宋体" w:cs="宋体"/>
                <w:color w:val="000000"/>
                <w:kern w:val="0"/>
                <w:sz w:val="20"/>
                <w:szCs w:val="20"/>
              </w:rPr>
              <w:t>明确性</w:t>
            </w:r>
          </w:p>
        </w:tc>
        <w:tc>
          <w:tcPr>
            <w:tcW w:w="1311" w:type="dxa"/>
            <w:vAlign w:val="center"/>
          </w:tcPr>
          <w:p>
            <w:pPr>
              <w:widowControl/>
              <w:spacing w:line="260" w:lineRule="exact"/>
              <w:jc w:val="center"/>
              <w:rPr>
                <w:rFonts w:ascii="宋体" w:cs="宋体"/>
                <w:color w:val="000000"/>
                <w:kern w:val="0"/>
                <w:sz w:val="20"/>
                <w:szCs w:val="20"/>
              </w:rPr>
            </w:pPr>
            <w:r>
              <w:rPr>
                <w:rFonts w:ascii="宋体" w:hAnsi="宋体" w:cs="宋体"/>
                <w:color w:val="000000"/>
                <w:kern w:val="0"/>
                <w:sz w:val="20"/>
                <w:szCs w:val="20"/>
              </w:rPr>
              <w:t>5</w:t>
            </w:r>
          </w:p>
        </w:tc>
        <w:tc>
          <w:tcPr>
            <w:tcW w:w="1311" w:type="dxa"/>
          </w:tcPr>
          <w:p>
            <w:pPr>
              <w:widowControl/>
              <w:spacing w:line="260" w:lineRule="exact"/>
              <w:jc w:val="center"/>
              <w:rPr>
                <w:rFonts w:ascii="宋体" w:cs="宋体"/>
                <w:color w:val="000000"/>
                <w:kern w:val="0"/>
                <w:sz w:val="15"/>
                <w:szCs w:val="15"/>
              </w:rPr>
            </w:pPr>
            <w:r>
              <w:rPr>
                <w:rFonts w:ascii="宋体" w:hAnsi="宋体" w:cs="宋体"/>
                <w:color w:val="000000"/>
                <w:kern w:val="0"/>
                <w:sz w:val="15"/>
                <w:szCs w:val="15"/>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5" w:hRule="atLeast"/>
          <w:jc w:val="center"/>
        </w:trPr>
        <w:tc>
          <w:tcPr>
            <w:tcW w:w="1618" w:type="dxa"/>
            <w:vMerge w:val="continue"/>
            <w:vAlign w:val="center"/>
          </w:tcPr>
          <w:p>
            <w:pPr>
              <w:widowControl/>
              <w:spacing w:line="260" w:lineRule="exact"/>
              <w:jc w:val="left"/>
              <w:rPr>
                <w:rFonts w:ascii="宋体" w:cs="宋体"/>
                <w:color w:val="000000"/>
                <w:kern w:val="0"/>
                <w:sz w:val="20"/>
                <w:szCs w:val="20"/>
              </w:rPr>
            </w:pPr>
          </w:p>
        </w:tc>
        <w:tc>
          <w:tcPr>
            <w:tcW w:w="2113" w:type="dxa"/>
            <w:vMerge w:val="continue"/>
            <w:vAlign w:val="center"/>
          </w:tcPr>
          <w:p>
            <w:pPr>
              <w:widowControl/>
              <w:spacing w:line="260" w:lineRule="exact"/>
              <w:jc w:val="left"/>
              <w:rPr>
                <w:rFonts w:ascii="宋体" w:cs="宋体"/>
                <w:color w:val="000000"/>
                <w:kern w:val="0"/>
                <w:sz w:val="20"/>
                <w:szCs w:val="20"/>
              </w:rPr>
            </w:pPr>
          </w:p>
        </w:tc>
        <w:tc>
          <w:tcPr>
            <w:tcW w:w="3535" w:type="dxa"/>
            <w:vAlign w:val="center"/>
          </w:tcPr>
          <w:p>
            <w:pPr>
              <w:widowControl/>
              <w:spacing w:line="260" w:lineRule="exact"/>
              <w:jc w:val="center"/>
              <w:rPr>
                <w:rFonts w:ascii="宋体" w:cs="宋体"/>
                <w:color w:val="000000"/>
                <w:kern w:val="0"/>
                <w:sz w:val="20"/>
                <w:szCs w:val="20"/>
              </w:rPr>
            </w:pPr>
            <w:r>
              <w:rPr>
                <w:rFonts w:hint="eastAsia" w:ascii="宋体" w:hAnsi="宋体" w:cs="宋体"/>
                <w:color w:val="000000"/>
                <w:kern w:val="0"/>
                <w:sz w:val="20"/>
                <w:szCs w:val="20"/>
              </w:rPr>
              <w:t>合理性</w:t>
            </w:r>
          </w:p>
        </w:tc>
        <w:tc>
          <w:tcPr>
            <w:tcW w:w="1311" w:type="dxa"/>
            <w:vAlign w:val="center"/>
          </w:tcPr>
          <w:p>
            <w:pPr>
              <w:widowControl/>
              <w:spacing w:line="260" w:lineRule="exact"/>
              <w:jc w:val="center"/>
              <w:rPr>
                <w:rFonts w:ascii="宋体" w:cs="宋体"/>
                <w:color w:val="000000"/>
                <w:kern w:val="0"/>
                <w:sz w:val="20"/>
                <w:szCs w:val="20"/>
              </w:rPr>
            </w:pPr>
            <w:r>
              <w:rPr>
                <w:rFonts w:ascii="宋体" w:hAnsi="宋体" w:cs="宋体"/>
                <w:color w:val="000000"/>
                <w:kern w:val="0"/>
                <w:sz w:val="20"/>
                <w:szCs w:val="20"/>
              </w:rPr>
              <w:t>5</w:t>
            </w:r>
          </w:p>
        </w:tc>
        <w:tc>
          <w:tcPr>
            <w:tcW w:w="1311" w:type="dxa"/>
          </w:tcPr>
          <w:p>
            <w:pPr>
              <w:widowControl/>
              <w:spacing w:line="260" w:lineRule="exact"/>
              <w:jc w:val="center"/>
              <w:rPr>
                <w:rFonts w:ascii="宋体" w:cs="宋体"/>
                <w:color w:val="000000"/>
                <w:kern w:val="0"/>
                <w:sz w:val="15"/>
                <w:szCs w:val="15"/>
              </w:rPr>
            </w:pPr>
            <w:r>
              <w:rPr>
                <w:rFonts w:ascii="宋体" w:hAnsi="宋体" w:cs="宋体"/>
                <w:color w:val="000000"/>
                <w:kern w:val="0"/>
                <w:sz w:val="15"/>
                <w:szCs w:val="15"/>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7" w:hRule="atLeast"/>
          <w:jc w:val="center"/>
        </w:trPr>
        <w:tc>
          <w:tcPr>
            <w:tcW w:w="1618" w:type="dxa"/>
            <w:vMerge w:val="restart"/>
            <w:textDirection w:val="tbRlV"/>
            <w:vAlign w:val="center"/>
          </w:tcPr>
          <w:p>
            <w:pPr>
              <w:widowControl/>
              <w:spacing w:line="260" w:lineRule="exact"/>
              <w:jc w:val="center"/>
              <w:rPr>
                <w:rFonts w:ascii="宋体" w:cs="宋体"/>
                <w:color w:val="000000"/>
                <w:kern w:val="0"/>
                <w:sz w:val="20"/>
                <w:szCs w:val="20"/>
              </w:rPr>
            </w:pPr>
            <w:r>
              <w:rPr>
                <w:rFonts w:hint="eastAsia" w:ascii="宋体" w:hAnsi="宋体" w:cs="宋体"/>
                <w:color w:val="000000"/>
                <w:kern w:val="0"/>
                <w:sz w:val="20"/>
                <w:szCs w:val="20"/>
              </w:rPr>
              <w:t>（</w:t>
            </w:r>
            <w:r>
              <w:rPr>
                <w:rFonts w:ascii="宋体" w:hAnsi="宋体" w:cs="宋体"/>
                <w:color w:val="000000"/>
                <w:kern w:val="0"/>
                <w:sz w:val="20"/>
                <w:szCs w:val="20"/>
              </w:rPr>
              <w:t>10</w:t>
            </w:r>
            <w:r>
              <w:rPr>
                <w:rFonts w:hint="eastAsia" w:ascii="宋体" w:hAnsi="宋体" w:cs="宋体"/>
                <w:color w:val="000000"/>
                <w:kern w:val="0"/>
                <w:sz w:val="20"/>
                <w:szCs w:val="20"/>
              </w:rPr>
              <w:t>分）</w:t>
            </w:r>
            <w:r>
              <w:rPr>
                <w:rFonts w:ascii="宋体" w:cs="宋体"/>
                <w:color w:val="000000"/>
                <w:kern w:val="0"/>
                <w:sz w:val="20"/>
                <w:szCs w:val="20"/>
              </w:rPr>
              <w:br w:type="textWrapping"/>
            </w:r>
            <w:r>
              <w:rPr>
                <w:rFonts w:hint="eastAsia" w:ascii="宋体" w:hAnsi="宋体" w:cs="宋体"/>
                <w:color w:val="000000"/>
                <w:kern w:val="0"/>
                <w:sz w:val="20"/>
                <w:szCs w:val="20"/>
              </w:rPr>
              <w:t>项目管理</w:t>
            </w:r>
          </w:p>
        </w:tc>
        <w:tc>
          <w:tcPr>
            <w:tcW w:w="2113" w:type="dxa"/>
            <w:vMerge w:val="restart"/>
            <w:textDirection w:val="tbRlV"/>
            <w:vAlign w:val="center"/>
          </w:tcPr>
          <w:p>
            <w:pPr>
              <w:widowControl/>
              <w:spacing w:line="260" w:lineRule="exact"/>
              <w:jc w:val="center"/>
              <w:rPr>
                <w:rFonts w:ascii="宋体" w:cs="宋体"/>
                <w:color w:val="000000"/>
                <w:kern w:val="0"/>
                <w:sz w:val="20"/>
                <w:szCs w:val="20"/>
              </w:rPr>
            </w:pPr>
            <w:r>
              <w:rPr>
                <w:rFonts w:hint="eastAsia" w:ascii="宋体" w:hAnsi="宋体" w:cs="宋体"/>
                <w:color w:val="000000"/>
                <w:kern w:val="0"/>
                <w:sz w:val="20"/>
                <w:szCs w:val="20"/>
              </w:rPr>
              <w:t>（</w:t>
            </w:r>
            <w:r>
              <w:rPr>
                <w:rFonts w:ascii="宋体" w:hAnsi="宋体" w:cs="宋体"/>
                <w:color w:val="000000"/>
                <w:kern w:val="0"/>
                <w:sz w:val="20"/>
                <w:szCs w:val="20"/>
              </w:rPr>
              <w:t>7</w:t>
            </w:r>
            <w:r>
              <w:rPr>
                <w:rFonts w:hint="eastAsia" w:ascii="宋体" w:hAnsi="宋体" w:cs="宋体"/>
                <w:color w:val="000000"/>
                <w:kern w:val="0"/>
                <w:sz w:val="20"/>
                <w:szCs w:val="20"/>
              </w:rPr>
              <w:t>分）</w:t>
            </w:r>
            <w:r>
              <w:rPr>
                <w:rFonts w:ascii="宋体" w:cs="宋体"/>
                <w:color w:val="000000"/>
                <w:kern w:val="0"/>
                <w:sz w:val="20"/>
                <w:szCs w:val="20"/>
              </w:rPr>
              <w:br w:type="textWrapping"/>
            </w:r>
            <w:r>
              <w:rPr>
                <w:rFonts w:hint="eastAsia" w:ascii="宋体" w:hAnsi="宋体" w:cs="宋体"/>
                <w:color w:val="000000"/>
                <w:kern w:val="0"/>
                <w:sz w:val="20"/>
                <w:szCs w:val="20"/>
              </w:rPr>
              <w:t>资金管理</w:t>
            </w:r>
          </w:p>
        </w:tc>
        <w:tc>
          <w:tcPr>
            <w:tcW w:w="3535" w:type="dxa"/>
            <w:vAlign w:val="center"/>
          </w:tcPr>
          <w:p>
            <w:pPr>
              <w:widowControl/>
              <w:spacing w:line="260" w:lineRule="exact"/>
              <w:jc w:val="center"/>
              <w:rPr>
                <w:rFonts w:ascii="宋体" w:cs="宋体"/>
                <w:color w:val="000000"/>
                <w:kern w:val="0"/>
                <w:sz w:val="20"/>
                <w:szCs w:val="20"/>
              </w:rPr>
            </w:pPr>
            <w:r>
              <w:rPr>
                <w:rFonts w:hint="eastAsia" w:ascii="宋体" w:hAnsi="宋体" w:cs="宋体"/>
                <w:color w:val="000000"/>
                <w:kern w:val="0"/>
                <w:sz w:val="20"/>
                <w:szCs w:val="20"/>
              </w:rPr>
              <w:t>资金分配</w:t>
            </w:r>
          </w:p>
        </w:tc>
        <w:tc>
          <w:tcPr>
            <w:tcW w:w="1311" w:type="dxa"/>
            <w:vAlign w:val="center"/>
          </w:tcPr>
          <w:p>
            <w:pPr>
              <w:widowControl/>
              <w:spacing w:line="260" w:lineRule="exact"/>
              <w:jc w:val="center"/>
              <w:rPr>
                <w:rFonts w:ascii="宋体" w:cs="宋体"/>
                <w:color w:val="000000"/>
                <w:kern w:val="0"/>
                <w:sz w:val="20"/>
                <w:szCs w:val="20"/>
              </w:rPr>
            </w:pPr>
            <w:r>
              <w:rPr>
                <w:rFonts w:ascii="宋体" w:hAnsi="宋体" w:cs="宋体"/>
                <w:color w:val="000000"/>
                <w:kern w:val="0"/>
                <w:sz w:val="20"/>
                <w:szCs w:val="20"/>
              </w:rPr>
              <w:t>3</w:t>
            </w:r>
          </w:p>
        </w:tc>
        <w:tc>
          <w:tcPr>
            <w:tcW w:w="1311" w:type="dxa"/>
          </w:tcPr>
          <w:p>
            <w:pPr>
              <w:widowControl/>
              <w:spacing w:line="260" w:lineRule="exact"/>
              <w:jc w:val="center"/>
              <w:rPr>
                <w:rFonts w:ascii="宋体" w:cs="宋体"/>
                <w:color w:val="000000"/>
                <w:kern w:val="0"/>
                <w:sz w:val="15"/>
                <w:szCs w:val="15"/>
              </w:rPr>
            </w:pPr>
            <w:r>
              <w:rPr>
                <w:rFonts w:ascii="宋体" w:hAnsi="宋体" w:cs="宋体"/>
                <w:color w:val="000000"/>
                <w:kern w:val="0"/>
                <w:sz w:val="15"/>
                <w:szCs w:val="15"/>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7" w:hRule="atLeast"/>
          <w:jc w:val="center"/>
        </w:trPr>
        <w:tc>
          <w:tcPr>
            <w:tcW w:w="1618" w:type="dxa"/>
            <w:vMerge w:val="continue"/>
            <w:vAlign w:val="center"/>
          </w:tcPr>
          <w:p>
            <w:pPr>
              <w:widowControl/>
              <w:spacing w:line="260" w:lineRule="exact"/>
              <w:jc w:val="left"/>
              <w:rPr>
                <w:rFonts w:ascii="宋体" w:cs="宋体"/>
                <w:color w:val="000000"/>
                <w:kern w:val="0"/>
                <w:sz w:val="20"/>
                <w:szCs w:val="20"/>
              </w:rPr>
            </w:pPr>
          </w:p>
        </w:tc>
        <w:tc>
          <w:tcPr>
            <w:tcW w:w="2113" w:type="dxa"/>
            <w:vMerge w:val="continue"/>
            <w:textDirection w:val="tbRlV"/>
            <w:vAlign w:val="center"/>
          </w:tcPr>
          <w:p>
            <w:pPr>
              <w:widowControl/>
              <w:spacing w:line="260" w:lineRule="exact"/>
              <w:jc w:val="center"/>
              <w:rPr>
                <w:rFonts w:ascii="宋体" w:cs="宋体"/>
                <w:color w:val="000000"/>
                <w:kern w:val="0"/>
                <w:sz w:val="20"/>
                <w:szCs w:val="20"/>
              </w:rPr>
            </w:pPr>
          </w:p>
        </w:tc>
        <w:tc>
          <w:tcPr>
            <w:tcW w:w="3535" w:type="dxa"/>
            <w:vAlign w:val="center"/>
          </w:tcPr>
          <w:p>
            <w:pPr>
              <w:widowControl/>
              <w:spacing w:line="260" w:lineRule="exact"/>
              <w:jc w:val="center"/>
              <w:rPr>
                <w:rFonts w:ascii="宋体" w:cs="宋体"/>
                <w:color w:val="000000"/>
                <w:kern w:val="0"/>
                <w:sz w:val="20"/>
                <w:szCs w:val="20"/>
              </w:rPr>
            </w:pPr>
            <w:r>
              <w:rPr>
                <w:rFonts w:hint="eastAsia" w:ascii="宋体" w:hAnsi="宋体" w:cs="宋体"/>
                <w:color w:val="000000"/>
                <w:kern w:val="0"/>
                <w:sz w:val="20"/>
                <w:szCs w:val="20"/>
              </w:rPr>
              <w:t>资金使用</w:t>
            </w:r>
          </w:p>
        </w:tc>
        <w:tc>
          <w:tcPr>
            <w:tcW w:w="1311" w:type="dxa"/>
            <w:vAlign w:val="center"/>
          </w:tcPr>
          <w:p>
            <w:pPr>
              <w:widowControl/>
              <w:spacing w:line="260" w:lineRule="exact"/>
              <w:jc w:val="center"/>
              <w:rPr>
                <w:rFonts w:ascii="宋体" w:cs="宋体"/>
                <w:color w:val="000000"/>
                <w:kern w:val="0"/>
                <w:sz w:val="20"/>
                <w:szCs w:val="20"/>
              </w:rPr>
            </w:pPr>
            <w:r>
              <w:rPr>
                <w:rFonts w:ascii="宋体" w:hAnsi="宋体" w:cs="宋体"/>
                <w:color w:val="000000"/>
                <w:kern w:val="0"/>
                <w:sz w:val="20"/>
                <w:szCs w:val="20"/>
              </w:rPr>
              <w:t>4</w:t>
            </w:r>
          </w:p>
        </w:tc>
        <w:tc>
          <w:tcPr>
            <w:tcW w:w="1311" w:type="dxa"/>
          </w:tcPr>
          <w:p>
            <w:pPr>
              <w:widowControl/>
              <w:spacing w:line="260" w:lineRule="exact"/>
              <w:jc w:val="center"/>
              <w:rPr>
                <w:rFonts w:ascii="宋体" w:cs="宋体"/>
                <w:color w:val="000000"/>
                <w:kern w:val="0"/>
                <w:sz w:val="15"/>
                <w:szCs w:val="15"/>
              </w:rPr>
            </w:pPr>
            <w:r>
              <w:rPr>
                <w:rFonts w:ascii="宋体" w:hAnsi="宋体" w:cs="宋体"/>
                <w:color w:val="000000"/>
                <w:kern w:val="0"/>
                <w:sz w:val="15"/>
                <w:szCs w:val="15"/>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7" w:hRule="atLeast"/>
          <w:jc w:val="center"/>
        </w:trPr>
        <w:tc>
          <w:tcPr>
            <w:tcW w:w="1618" w:type="dxa"/>
            <w:vMerge w:val="continue"/>
            <w:vAlign w:val="center"/>
          </w:tcPr>
          <w:p>
            <w:pPr>
              <w:widowControl/>
              <w:spacing w:line="260" w:lineRule="exact"/>
              <w:jc w:val="left"/>
              <w:rPr>
                <w:rFonts w:ascii="宋体" w:cs="宋体"/>
                <w:color w:val="000000"/>
                <w:kern w:val="0"/>
                <w:sz w:val="20"/>
                <w:szCs w:val="20"/>
              </w:rPr>
            </w:pPr>
          </w:p>
        </w:tc>
        <w:tc>
          <w:tcPr>
            <w:tcW w:w="2113" w:type="dxa"/>
            <w:textDirection w:val="tbRlV"/>
            <w:vAlign w:val="center"/>
          </w:tcPr>
          <w:p>
            <w:pPr>
              <w:widowControl/>
              <w:spacing w:line="260" w:lineRule="exact"/>
              <w:jc w:val="center"/>
              <w:rPr>
                <w:rFonts w:ascii="宋体" w:cs="宋体"/>
                <w:color w:val="000000"/>
                <w:kern w:val="0"/>
                <w:sz w:val="20"/>
                <w:szCs w:val="20"/>
              </w:rPr>
            </w:pP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分）</w:t>
            </w:r>
            <w:r>
              <w:rPr>
                <w:rFonts w:ascii="宋体" w:cs="宋体"/>
                <w:color w:val="000000"/>
                <w:kern w:val="0"/>
                <w:sz w:val="20"/>
                <w:szCs w:val="20"/>
              </w:rPr>
              <w:br w:type="textWrapping"/>
            </w:r>
            <w:r>
              <w:rPr>
                <w:rFonts w:hint="eastAsia" w:ascii="宋体" w:hAnsi="宋体" w:cs="宋体"/>
                <w:color w:val="000000"/>
                <w:kern w:val="0"/>
                <w:sz w:val="20"/>
                <w:szCs w:val="20"/>
              </w:rPr>
              <w:t>项目执行</w:t>
            </w:r>
          </w:p>
        </w:tc>
        <w:tc>
          <w:tcPr>
            <w:tcW w:w="3535" w:type="dxa"/>
            <w:vAlign w:val="center"/>
          </w:tcPr>
          <w:p>
            <w:pPr>
              <w:widowControl/>
              <w:spacing w:line="260" w:lineRule="exact"/>
              <w:jc w:val="center"/>
              <w:rPr>
                <w:rFonts w:ascii="宋体" w:cs="宋体"/>
                <w:color w:val="000000"/>
                <w:kern w:val="0"/>
                <w:sz w:val="20"/>
                <w:szCs w:val="20"/>
              </w:rPr>
            </w:pPr>
            <w:r>
              <w:rPr>
                <w:rFonts w:hint="eastAsia" w:ascii="宋体" w:hAnsi="宋体" w:cs="宋体"/>
                <w:color w:val="000000"/>
                <w:kern w:val="0"/>
                <w:sz w:val="20"/>
                <w:szCs w:val="20"/>
              </w:rPr>
              <w:t>执行规范</w:t>
            </w:r>
          </w:p>
        </w:tc>
        <w:tc>
          <w:tcPr>
            <w:tcW w:w="1311" w:type="dxa"/>
            <w:vAlign w:val="center"/>
          </w:tcPr>
          <w:p>
            <w:pPr>
              <w:widowControl/>
              <w:spacing w:line="260" w:lineRule="exact"/>
              <w:jc w:val="center"/>
              <w:rPr>
                <w:rFonts w:ascii="宋体" w:cs="宋体"/>
                <w:color w:val="000000"/>
                <w:kern w:val="0"/>
                <w:sz w:val="20"/>
                <w:szCs w:val="20"/>
              </w:rPr>
            </w:pPr>
            <w:r>
              <w:rPr>
                <w:rFonts w:ascii="宋体" w:hAnsi="宋体" w:cs="宋体"/>
                <w:color w:val="000000"/>
                <w:kern w:val="0"/>
                <w:sz w:val="20"/>
                <w:szCs w:val="20"/>
              </w:rPr>
              <w:t>3</w:t>
            </w:r>
          </w:p>
        </w:tc>
        <w:tc>
          <w:tcPr>
            <w:tcW w:w="1311" w:type="dxa"/>
          </w:tcPr>
          <w:p>
            <w:pPr>
              <w:widowControl/>
              <w:spacing w:line="260" w:lineRule="exact"/>
              <w:jc w:val="center"/>
              <w:rPr>
                <w:rFonts w:ascii="宋体" w:cs="宋体"/>
                <w:color w:val="000000"/>
                <w:kern w:val="0"/>
                <w:sz w:val="15"/>
                <w:szCs w:val="15"/>
              </w:rPr>
            </w:pPr>
          </w:p>
          <w:p>
            <w:pPr>
              <w:widowControl/>
              <w:spacing w:line="260" w:lineRule="exact"/>
              <w:ind w:firstLine="450" w:firstLineChars="300"/>
              <w:rPr>
                <w:rFonts w:ascii="宋体" w:cs="宋体"/>
                <w:color w:val="000000"/>
                <w:kern w:val="0"/>
                <w:sz w:val="15"/>
                <w:szCs w:val="15"/>
              </w:rPr>
            </w:pPr>
            <w:r>
              <w:rPr>
                <w:rFonts w:ascii="宋体" w:hAnsi="宋体" w:cs="宋体"/>
                <w:color w:val="000000"/>
                <w:kern w:val="0"/>
                <w:sz w:val="15"/>
                <w:szCs w:val="15"/>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6" w:hRule="atLeast"/>
          <w:jc w:val="center"/>
        </w:trPr>
        <w:tc>
          <w:tcPr>
            <w:tcW w:w="1618" w:type="dxa"/>
            <w:vMerge w:val="restart"/>
            <w:textDirection w:val="tbRlV"/>
            <w:vAlign w:val="center"/>
          </w:tcPr>
          <w:p>
            <w:pPr>
              <w:widowControl/>
              <w:spacing w:line="260" w:lineRule="exact"/>
              <w:jc w:val="center"/>
              <w:rPr>
                <w:rFonts w:ascii="宋体" w:cs="宋体"/>
                <w:color w:val="000000"/>
                <w:kern w:val="0"/>
                <w:sz w:val="20"/>
                <w:szCs w:val="20"/>
              </w:rPr>
            </w:pPr>
            <w:r>
              <w:rPr>
                <w:rFonts w:hint="eastAsia" w:ascii="宋体" w:hAnsi="宋体" w:cs="宋体"/>
                <w:color w:val="000000"/>
                <w:kern w:val="0"/>
                <w:sz w:val="20"/>
                <w:szCs w:val="20"/>
              </w:rPr>
              <w:t>（特性指标</w:t>
            </w:r>
            <w:r>
              <w:rPr>
                <w:rFonts w:ascii="宋体" w:hAnsi="宋体" w:cs="宋体"/>
                <w:color w:val="000000"/>
                <w:kern w:val="0"/>
                <w:sz w:val="20"/>
                <w:szCs w:val="20"/>
              </w:rPr>
              <w:t>70</w:t>
            </w:r>
            <w:r>
              <w:rPr>
                <w:rFonts w:hint="eastAsia" w:ascii="宋体" w:hAnsi="宋体" w:cs="宋体"/>
                <w:color w:val="000000"/>
                <w:kern w:val="0"/>
                <w:sz w:val="20"/>
                <w:szCs w:val="20"/>
              </w:rPr>
              <w:t>分）</w:t>
            </w:r>
            <w:r>
              <w:rPr>
                <w:rFonts w:ascii="宋体" w:cs="宋体"/>
                <w:color w:val="000000"/>
                <w:kern w:val="0"/>
                <w:sz w:val="20"/>
                <w:szCs w:val="20"/>
              </w:rPr>
              <w:br w:type="textWrapping"/>
            </w:r>
            <w:r>
              <w:rPr>
                <w:rFonts w:hint="eastAsia" w:ascii="宋体" w:hAnsi="宋体" w:cs="宋体"/>
                <w:color w:val="000000"/>
                <w:kern w:val="0"/>
                <w:sz w:val="20"/>
                <w:szCs w:val="20"/>
              </w:rPr>
              <w:t>项目绩效</w:t>
            </w:r>
            <w:r>
              <w:rPr>
                <w:rFonts w:ascii="宋体" w:hAnsi="宋体" w:cs="宋体"/>
                <w:color w:val="000000"/>
                <w:kern w:val="0"/>
                <w:sz w:val="20"/>
                <w:szCs w:val="20"/>
              </w:rPr>
              <w:t xml:space="preserve">  </w:t>
            </w:r>
          </w:p>
        </w:tc>
        <w:tc>
          <w:tcPr>
            <w:tcW w:w="2113" w:type="dxa"/>
            <w:vMerge w:val="restart"/>
            <w:textDirection w:val="tbRlV"/>
            <w:vAlign w:val="center"/>
          </w:tcPr>
          <w:p>
            <w:pPr>
              <w:widowControl/>
              <w:spacing w:line="260" w:lineRule="exact"/>
              <w:jc w:val="center"/>
              <w:rPr>
                <w:rFonts w:ascii="宋体" w:cs="宋体"/>
                <w:color w:val="000000"/>
                <w:kern w:val="0"/>
                <w:sz w:val="20"/>
                <w:szCs w:val="20"/>
              </w:rPr>
            </w:pPr>
            <w:r>
              <w:rPr>
                <w:rFonts w:hint="eastAsia" w:ascii="宋体" w:hAnsi="宋体" w:cs="宋体"/>
                <w:color w:val="000000"/>
                <w:kern w:val="0"/>
                <w:sz w:val="20"/>
                <w:szCs w:val="20"/>
              </w:rPr>
              <w:t>（</w:t>
            </w:r>
            <w:r>
              <w:rPr>
                <w:rFonts w:ascii="宋体" w:hAnsi="宋体" w:cs="宋体"/>
                <w:color w:val="000000"/>
                <w:kern w:val="0"/>
                <w:sz w:val="20"/>
                <w:szCs w:val="20"/>
              </w:rPr>
              <w:t>20</w:t>
            </w:r>
            <w:r>
              <w:rPr>
                <w:rFonts w:hint="eastAsia" w:ascii="宋体" w:hAnsi="宋体" w:cs="宋体"/>
                <w:color w:val="000000"/>
                <w:kern w:val="0"/>
                <w:sz w:val="20"/>
                <w:szCs w:val="20"/>
              </w:rPr>
              <w:t>）</w:t>
            </w:r>
            <w:r>
              <w:rPr>
                <w:rFonts w:ascii="宋体" w:cs="宋体"/>
                <w:color w:val="000000"/>
                <w:kern w:val="0"/>
                <w:sz w:val="20"/>
                <w:szCs w:val="20"/>
              </w:rPr>
              <w:br w:type="textWrapping"/>
            </w:r>
            <w:r>
              <w:rPr>
                <w:rFonts w:hint="eastAsia" w:ascii="宋体" w:hAnsi="宋体" w:cs="宋体"/>
                <w:color w:val="000000"/>
                <w:kern w:val="0"/>
                <w:sz w:val="20"/>
                <w:szCs w:val="20"/>
              </w:rPr>
              <w:t>项目完成</w:t>
            </w:r>
          </w:p>
        </w:tc>
        <w:tc>
          <w:tcPr>
            <w:tcW w:w="3535" w:type="dxa"/>
            <w:vAlign w:val="center"/>
          </w:tcPr>
          <w:p>
            <w:pPr>
              <w:widowControl/>
              <w:spacing w:line="260" w:lineRule="exact"/>
              <w:jc w:val="center"/>
              <w:rPr>
                <w:rFonts w:ascii="宋体" w:cs="宋体"/>
                <w:color w:val="000000"/>
                <w:kern w:val="0"/>
                <w:sz w:val="20"/>
                <w:szCs w:val="20"/>
              </w:rPr>
            </w:pPr>
            <w:r>
              <w:rPr>
                <w:rFonts w:hint="eastAsia" w:ascii="宋体" w:hAnsi="宋体" w:cs="宋体"/>
                <w:color w:val="000000"/>
                <w:kern w:val="0"/>
                <w:sz w:val="20"/>
                <w:szCs w:val="20"/>
              </w:rPr>
              <w:t>完成数量</w:t>
            </w:r>
          </w:p>
        </w:tc>
        <w:tc>
          <w:tcPr>
            <w:tcW w:w="1311" w:type="dxa"/>
            <w:vAlign w:val="center"/>
          </w:tcPr>
          <w:p>
            <w:pPr>
              <w:widowControl/>
              <w:spacing w:line="260" w:lineRule="exact"/>
              <w:jc w:val="center"/>
              <w:rPr>
                <w:rFonts w:ascii="宋体" w:cs="宋体"/>
                <w:color w:val="000000"/>
                <w:kern w:val="0"/>
                <w:sz w:val="20"/>
                <w:szCs w:val="20"/>
              </w:rPr>
            </w:pPr>
            <w:r>
              <w:rPr>
                <w:rFonts w:ascii="宋体" w:hAnsi="宋体" w:cs="宋体"/>
                <w:color w:val="000000"/>
                <w:kern w:val="0"/>
                <w:sz w:val="20"/>
                <w:szCs w:val="20"/>
              </w:rPr>
              <w:t xml:space="preserve">5 </w:t>
            </w:r>
          </w:p>
        </w:tc>
        <w:tc>
          <w:tcPr>
            <w:tcW w:w="1311" w:type="dxa"/>
          </w:tcPr>
          <w:p>
            <w:pPr>
              <w:widowControl/>
              <w:spacing w:line="260" w:lineRule="exact"/>
              <w:jc w:val="center"/>
              <w:rPr>
                <w:rFonts w:ascii="宋体" w:cs="宋体"/>
                <w:color w:val="000000"/>
                <w:kern w:val="0"/>
                <w:sz w:val="15"/>
                <w:szCs w:val="15"/>
              </w:rPr>
            </w:pPr>
            <w:r>
              <w:rPr>
                <w:rFonts w:ascii="宋体" w:hAnsi="宋体" w:cs="宋体"/>
                <w:color w:val="000000"/>
                <w:kern w:val="0"/>
                <w:sz w:val="15"/>
                <w:szCs w:val="15"/>
              </w:rPr>
              <w:t>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4" w:hRule="atLeast"/>
          <w:jc w:val="center"/>
        </w:trPr>
        <w:tc>
          <w:tcPr>
            <w:tcW w:w="1618" w:type="dxa"/>
            <w:vMerge w:val="continue"/>
            <w:vAlign w:val="center"/>
          </w:tcPr>
          <w:p>
            <w:pPr>
              <w:widowControl/>
              <w:spacing w:line="260" w:lineRule="exact"/>
              <w:jc w:val="left"/>
              <w:rPr>
                <w:rFonts w:ascii="宋体" w:cs="宋体"/>
                <w:color w:val="000000"/>
                <w:kern w:val="0"/>
                <w:sz w:val="20"/>
                <w:szCs w:val="20"/>
              </w:rPr>
            </w:pPr>
          </w:p>
        </w:tc>
        <w:tc>
          <w:tcPr>
            <w:tcW w:w="2113" w:type="dxa"/>
            <w:vMerge w:val="continue"/>
            <w:vAlign w:val="center"/>
          </w:tcPr>
          <w:p>
            <w:pPr>
              <w:widowControl/>
              <w:spacing w:line="260" w:lineRule="exact"/>
              <w:jc w:val="left"/>
              <w:rPr>
                <w:rFonts w:ascii="宋体" w:cs="宋体"/>
                <w:color w:val="000000"/>
                <w:kern w:val="0"/>
                <w:sz w:val="20"/>
                <w:szCs w:val="20"/>
              </w:rPr>
            </w:pPr>
          </w:p>
        </w:tc>
        <w:tc>
          <w:tcPr>
            <w:tcW w:w="3535" w:type="dxa"/>
            <w:vAlign w:val="center"/>
          </w:tcPr>
          <w:p>
            <w:pPr>
              <w:widowControl/>
              <w:spacing w:line="260" w:lineRule="exact"/>
              <w:jc w:val="center"/>
              <w:rPr>
                <w:rFonts w:ascii="宋体" w:cs="宋体"/>
                <w:color w:val="000000"/>
                <w:kern w:val="0"/>
                <w:sz w:val="20"/>
                <w:szCs w:val="20"/>
              </w:rPr>
            </w:pPr>
            <w:r>
              <w:rPr>
                <w:rFonts w:hint="eastAsia" w:ascii="宋体" w:hAnsi="宋体" w:cs="宋体"/>
                <w:color w:val="000000"/>
                <w:kern w:val="0"/>
                <w:sz w:val="20"/>
                <w:szCs w:val="20"/>
              </w:rPr>
              <w:t>完成质量</w:t>
            </w:r>
          </w:p>
        </w:tc>
        <w:tc>
          <w:tcPr>
            <w:tcW w:w="1311" w:type="dxa"/>
            <w:vAlign w:val="center"/>
          </w:tcPr>
          <w:p>
            <w:pPr>
              <w:widowControl/>
              <w:spacing w:line="260" w:lineRule="exact"/>
              <w:jc w:val="center"/>
              <w:rPr>
                <w:rFonts w:ascii="宋体" w:cs="宋体"/>
                <w:color w:val="000000"/>
                <w:kern w:val="0"/>
                <w:sz w:val="20"/>
                <w:szCs w:val="20"/>
              </w:rPr>
            </w:pPr>
            <w:r>
              <w:rPr>
                <w:rFonts w:ascii="宋体" w:hAnsi="宋体" w:cs="宋体"/>
                <w:color w:val="000000"/>
                <w:kern w:val="0"/>
                <w:sz w:val="20"/>
                <w:szCs w:val="20"/>
              </w:rPr>
              <w:t xml:space="preserve">5 </w:t>
            </w:r>
          </w:p>
        </w:tc>
        <w:tc>
          <w:tcPr>
            <w:tcW w:w="1311" w:type="dxa"/>
          </w:tcPr>
          <w:p>
            <w:pPr>
              <w:widowControl/>
              <w:spacing w:line="260" w:lineRule="exact"/>
              <w:jc w:val="center"/>
              <w:rPr>
                <w:rFonts w:ascii="宋体" w:cs="宋体"/>
                <w:color w:val="000000"/>
                <w:kern w:val="0"/>
                <w:sz w:val="15"/>
                <w:szCs w:val="15"/>
              </w:rPr>
            </w:pPr>
            <w:r>
              <w:rPr>
                <w:rFonts w:ascii="宋体" w:hAnsi="宋体" w:cs="宋体"/>
                <w:color w:val="000000"/>
                <w:kern w:val="0"/>
                <w:sz w:val="15"/>
                <w:szCs w:val="15"/>
              </w:rPr>
              <w:t>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0" w:hRule="atLeast"/>
          <w:jc w:val="center"/>
        </w:trPr>
        <w:tc>
          <w:tcPr>
            <w:tcW w:w="1618" w:type="dxa"/>
            <w:vMerge w:val="continue"/>
            <w:vAlign w:val="center"/>
          </w:tcPr>
          <w:p>
            <w:pPr>
              <w:widowControl/>
              <w:spacing w:line="260" w:lineRule="exact"/>
              <w:jc w:val="left"/>
              <w:rPr>
                <w:rFonts w:ascii="宋体" w:cs="宋体"/>
                <w:color w:val="000000"/>
                <w:kern w:val="0"/>
                <w:sz w:val="20"/>
                <w:szCs w:val="20"/>
              </w:rPr>
            </w:pPr>
          </w:p>
        </w:tc>
        <w:tc>
          <w:tcPr>
            <w:tcW w:w="2113" w:type="dxa"/>
            <w:vMerge w:val="continue"/>
            <w:vAlign w:val="center"/>
          </w:tcPr>
          <w:p>
            <w:pPr>
              <w:widowControl/>
              <w:spacing w:line="260" w:lineRule="exact"/>
              <w:jc w:val="left"/>
              <w:rPr>
                <w:rFonts w:ascii="宋体" w:cs="宋体"/>
                <w:color w:val="000000"/>
                <w:kern w:val="0"/>
                <w:sz w:val="20"/>
                <w:szCs w:val="20"/>
              </w:rPr>
            </w:pPr>
          </w:p>
        </w:tc>
        <w:tc>
          <w:tcPr>
            <w:tcW w:w="3535" w:type="dxa"/>
            <w:vAlign w:val="center"/>
          </w:tcPr>
          <w:p>
            <w:pPr>
              <w:widowControl/>
              <w:spacing w:line="260" w:lineRule="exact"/>
              <w:jc w:val="center"/>
              <w:rPr>
                <w:rFonts w:ascii="宋体" w:cs="宋体"/>
                <w:color w:val="000000"/>
                <w:kern w:val="0"/>
                <w:sz w:val="20"/>
                <w:szCs w:val="20"/>
              </w:rPr>
            </w:pPr>
            <w:r>
              <w:rPr>
                <w:rFonts w:hint="eastAsia" w:ascii="宋体" w:hAnsi="宋体" w:cs="宋体"/>
                <w:color w:val="000000"/>
                <w:kern w:val="0"/>
                <w:sz w:val="20"/>
                <w:szCs w:val="20"/>
              </w:rPr>
              <w:t>完成时效</w:t>
            </w:r>
          </w:p>
        </w:tc>
        <w:tc>
          <w:tcPr>
            <w:tcW w:w="1311" w:type="dxa"/>
            <w:vAlign w:val="center"/>
          </w:tcPr>
          <w:p>
            <w:pPr>
              <w:widowControl/>
              <w:spacing w:line="260" w:lineRule="exact"/>
              <w:jc w:val="center"/>
              <w:rPr>
                <w:rFonts w:ascii="宋体" w:cs="宋体"/>
                <w:color w:val="000000"/>
                <w:kern w:val="0"/>
                <w:sz w:val="20"/>
                <w:szCs w:val="20"/>
              </w:rPr>
            </w:pPr>
            <w:r>
              <w:rPr>
                <w:rFonts w:ascii="宋体" w:hAnsi="宋体" w:cs="宋体"/>
                <w:color w:val="000000"/>
                <w:kern w:val="0"/>
                <w:sz w:val="20"/>
                <w:szCs w:val="20"/>
              </w:rPr>
              <w:t>5</w:t>
            </w:r>
          </w:p>
        </w:tc>
        <w:tc>
          <w:tcPr>
            <w:tcW w:w="1311" w:type="dxa"/>
          </w:tcPr>
          <w:p>
            <w:pPr>
              <w:widowControl/>
              <w:spacing w:line="260" w:lineRule="exact"/>
              <w:jc w:val="center"/>
              <w:rPr>
                <w:rFonts w:ascii="宋体" w:cs="宋体"/>
                <w:color w:val="000000"/>
                <w:kern w:val="0"/>
                <w:sz w:val="15"/>
                <w:szCs w:val="15"/>
              </w:rPr>
            </w:pPr>
            <w:r>
              <w:rPr>
                <w:rFonts w:ascii="宋体" w:hAnsi="宋体" w:cs="宋体"/>
                <w:color w:val="000000"/>
                <w:kern w:val="0"/>
                <w:sz w:val="15"/>
                <w:szCs w:val="15"/>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8" w:hRule="atLeast"/>
          <w:jc w:val="center"/>
        </w:trPr>
        <w:tc>
          <w:tcPr>
            <w:tcW w:w="1618" w:type="dxa"/>
            <w:vMerge w:val="continue"/>
            <w:vAlign w:val="center"/>
          </w:tcPr>
          <w:p>
            <w:pPr>
              <w:widowControl/>
              <w:spacing w:line="260" w:lineRule="exact"/>
              <w:jc w:val="left"/>
              <w:rPr>
                <w:rFonts w:ascii="宋体" w:cs="宋体"/>
                <w:color w:val="000000"/>
                <w:kern w:val="0"/>
                <w:sz w:val="20"/>
                <w:szCs w:val="20"/>
              </w:rPr>
            </w:pPr>
          </w:p>
        </w:tc>
        <w:tc>
          <w:tcPr>
            <w:tcW w:w="2113" w:type="dxa"/>
            <w:vMerge w:val="continue"/>
            <w:vAlign w:val="center"/>
          </w:tcPr>
          <w:p>
            <w:pPr>
              <w:widowControl/>
              <w:spacing w:line="260" w:lineRule="exact"/>
              <w:jc w:val="left"/>
              <w:rPr>
                <w:rFonts w:ascii="宋体" w:cs="宋体"/>
                <w:color w:val="000000"/>
                <w:kern w:val="0"/>
                <w:sz w:val="20"/>
                <w:szCs w:val="20"/>
              </w:rPr>
            </w:pPr>
          </w:p>
        </w:tc>
        <w:tc>
          <w:tcPr>
            <w:tcW w:w="3535" w:type="dxa"/>
            <w:vAlign w:val="center"/>
          </w:tcPr>
          <w:p>
            <w:pPr>
              <w:widowControl/>
              <w:spacing w:line="260" w:lineRule="exact"/>
              <w:jc w:val="center"/>
              <w:rPr>
                <w:rFonts w:ascii="宋体" w:cs="宋体"/>
                <w:color w:val="000000"/>
                <w:kern w:val="0"/>
                <w:sz w:val="20"/>
                <w:szCs w:val="20"/>
              </w:rPr>
            </w:pPr>
            <w:r>
              <w:rPr>
                <w:rFonts w:hint="eastAsia" w:ascii="宋体" w:hAnsi="宋体" w:cs="宋体"/>
                <w:color w:val="000000"/>
                <w:kern w:val="0"/>
                <w:sz w:val="20"/>
                <w:szCs w:val="20"/>
              </w:rPr>
              <w:t>完成成本</w:t>
            </w:r>
          </w:p>
        </w:tc>
        <w:tc>
          <w:tcPr>
            <w:tcW w:w="1311" w:type="dxa"/>
            <w:vAlign w:val="center"/>
          </w:tcPr>
          <w:p>
            <w:pPr>
              <w:widowControl/>
              <w:spacing w:line="260" w:lineRule="exact"/>
              <w:jc w:val="center"/>
              <w:rPr>
                <w:rFonts w:ascii="宋体" w:cs="宋体"/>
                <w:color w:val="000000"/>
                <w:kern w:val="0"/>
                <w:sz w:val="20"/>
                <w:szCs w:val="20"/>
              </w:rPr>
            </w:pPr>
            <w:r>
              <w:rPr>
                <w:rFonts w:ascii="宋体" w:hAnsi="宋体" w:cs="宋体"/>
                <w:color w:val="000000"/>
                <w:kern w:val="0"/>
                <w:sz w:val="20"/>
                <w:szCs w:val="20"/>
              </w:rPr>
              <w:t>5</w:t>
            </w:r>
          </w:p>
        </w:tc>
        <w:tc>
          <w:tcPr>
            <w:tcW w:w="1311" w:type="dxa"/>
          </w:tcPr>
          <w:p>
            <w:pPr>
              <w:widowControl/>
              <w:spacing w:line="260" w:lineRule="exact"/>
              <w:jc w:val="center"/>
              <w:rPr>
                <w:rFonts w:ascii="宋体" w:cs="宋体"/>
                <w:color w:val="000000"/>
                <w:kern w:val="0"/>
                <w:sz w:val="15"/>
                <w:szCs w:val="15"/>
              </w:rPr>
            </w:pPr>
            <w:r>
              <w:rPr>
                <w:rFonts w:ascii="宋体" w:hAnsi="宋体" w:cs="宋体"/>
                <w:color w:val="000000"/>
                <w:kern w:val="0"/>
                <w:sz w:val="15"/>
                <w:szCs w:val="15"/>
              </w:rPr>
              <w:t>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6" w:hRule="atLeast"/>
          <w:jc w:val="center"/>
        </w:trPr>
        <w:tc>
          <w:tcPr>
            <w:tcW w:w="1618" w:type="dxa"/>
            <w:vMerge w:val="continue"/>
            <w:vAlign w:val="center"/>
          </w:tcPr>
          <w:p>
            <w:pPr>
              <w:widowControl/>
              <w:spacing w:line="260" w:lineRule="exact"/>
              <w:jc w:val="left"/>
              <w:rPr>
                <w:rFonts w:ascii="宋体" w:cs="宋体"/>
                <w:color w:val="000000"/>
                <w:kern w:val="0"/>
                <w:sz w:val="20"/>
                <w:szCs w:val="20"/>
              </w:rPr>
            </w:pPr>
          </w:p>
        </w:tc>
        <w:tc>
          <w:tcPr>
            <w:tcW w:w="2113" w:type="dxa"/>
            <w:vMerge w:val="restart"/>
            <w:textDirection w:val="tbRlV"/>
            <w:vAlign w:val="center"/>
          </w:tcPr>
          <w:p>
            <w:pPr>
              <w:widowControl/>
              <w:spacing w:line="260" w:lineRule="exact"/>
              <w:jc w:val="center"/>
              <w:rPr>
                <w:rFonts w:ascii="宋体" w:cs="宋体"/>
                <w:color w:val="000000"/>
                <w:kern w:val="0"/>
                <w:sz w:val="20"/>
                <w:szCs w:val="20"/>
              </w:rPr>
            </w:pPr>
            <w:r>
              <w:rPr>
                <w:rFonts w:hint="eastAsia" w:ascii="宋体" w:hAnsi="宋体" w:cs="宋体"/>
                <w:color w:val="000000"/>
                <w:kern w:val="0"/>
                <w:sz w:val="20"/>
                <w:szCs w:val="20"/>
              </w:rPr>
              <w:t>（</w:t>
            </w:r>
            <w:r>
              <w:rPr>
                <w:rFonts w:ascii="宋体" w:hAnsi="宋体" w:cs="宋体"/>
                <w:color w:val="000000"/>
                <w:kern w:val="0"/>
                <w:sz w:val="20"/>
                <w:szCs w:val="20"/>
              </w:rPr>
              <w:t>50</w:t>
            </w:r>
            <w:r>
              <w:rPr>
                <w:rFonts w:hint="eastAsia" w:ascii="宋体" w:hAnsi="宋体" w:cs="宋体"/>
                <w:color w:val="000000"/>
                <w:kern w:val="0"/>
                <w:sz w:val="20"/>
                <w:szCs w:val="20"/>
              </w:rPr>
              <w:t>分）</w:t>
            </w:r>
            <w:r>
              <w:rPr>
                <w:rFonts w:ascii="宋体" w:cs="宋体"/>
                <w:color w:val="000000"/>
                <w:kern w:val="0"/>
                <w:sz w:val="20"/>
                <w:szCs w:val="20"/>
              </w:rPr>
              <w:br w:type="textWrapping"/>
            </w:r>
            <w:r>
              <w:rPr>
                <w:rFonts w:hint="eastAsia" w:ascii="宋体" w:hAnsi="宋体" w:cs="宋体"/>
                <w:color w:val="000000"/>
                <w:kern w:val="0"/>
                <w:sz w:val="20"/>
                <w:szCs w:val="20"/>
              </w:rPr>
              <w:t>项目效益</w:t>
            </w:r>
          </w:p>
        </w:tc>
        <w:tc>
          <w:tcPr>
            <w:tcW w:w="3535" w:type="dxa"/>
            <w:vAlign w:val="center"/>
          </w:tcPr>
          <w:p>
            <w:pPr>
              <w:widowControl/>
              <w:spacing w:line="260" w:lineRule="exact"/>
              <w:jc w:val="center"/>
              <w:rPr>
                <w:rFonts w:ascii="宋体" w:cs="宋体"/>
                <w:color w:val="000000"/>
                <w:kern w:val="0"/>
                <w:sz w:val="20"/>
                <w:szCs w:val="20"/>
              </w:rPr>
            </w:pPr>
            <w:r>
              <w:rPr>
                <w:rFonts w:hint="eastAsia" w:ascii="宋体" w:hAnsi="宋体" w:cs="宋体"/>
                <w:color w:val="000000"/>
                <w:kern w:val="0"/>
                <w:sz w:val="20"/>
                <w:szCs w:val="20"/>
              </w:rPr>
              <w:t>经济效益（可选项）</w:t>
            </w:r>
          </w:p>
        </w:tc>
        <w:tc>
          <w:tcPr>
            <w:tcW w:w="1311" w:type="dxa"/>
            <w:vMerge w:val="restart"/>
            <w:vAlign w:val="center"/>
          </w:tcPr>
          <w:p>
            <w:pPr>
              <w:widowControl/>
              <w:spacing w:line="260" w:lineRule="exact"/>
              <w:jc w:val="center"/>
              <w:rPr>
                <w:rFonts w:ascii="宋体" w:cs="宋体"/>
                <w:color w:val="000000"/>
                <w:kern w:val="0"/>
                <w:sz w:val="20"/>
                <w:szCs w:val="20"/>
              </w:rPr>
            </w:pPr>
            <w:r>
              <w:rPr>
                <w:rFonts w:ascii="宋体" w:hAnsi="宋体" w:cs="宋体"/>
                <w:color w:val="000000"/>
                <w:kern w:val="0"/>
                <w:sz w:val="20"/>
                <w:szCs w:val="20"/>
              </w:rPr>
              <w:t>40</w:t>
            </w:r>
          </w:p>
        </w:tc>
        <w:tc>
          <w:tcPr>
            <w:tcW w:w="1311" w:type="dxa"/>
          </w:tcPr>
          <w:p>
            <w:pPr>
              <w:widowControl/>
              <w:spacing w:line="260" w:lineRule="exact"/>
              <w:jc w:val="center"/>
              <w:rPr>
                <w:rFonts w:ascii="宋体" w:cs="宋体"/>
                <w:color w:val="000000"/>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8" w:hRule="atLeast"/>
          <w:jc w:val="center"/>
        </w:trPr>
        <w:tc>
          <w:tcPr>
            <w:tcW w:w="1618" w:type="dxa"/>
            <w:vMerge w:val="continue"/>
            <w:vAlign w:val="center"/>
          </w:tcPr>
          <w:p>
            <w:pPr>
              <w:widowControl/>
              <w:spacing w:line="260" w:lineRule="exact"/>
              <w:jc w:val="left"/>
              <w:rPr>
                <w:rFonts w:ascii="宋体" w:cs="宋体"/>
                <w:color w:val="000000"/>
                <w:kern w:val="0"/>
                <w:sz w:val="20"/>
                <w:szCs w:val="20"/>
              </w:rPr>
            </w:pPr>
          </w:p>
        </w:tc>
        <w:tc>
          <w:tcPr>
            <w:tcW w:w="2113" w:type="dxa"/>
            <w:vMerge w:val="continue"/>
            <w:vAlign w:val="center"/>
          </w:tcPr>
          <w:p>
            <w:pPr>
              <w:widowControl/>
              <w:spacing w:line="260" w:lineRule="exact"/>
              <w:jc w:val="left"/>
              <w:rPr>
                <w:rFonts w:ascii="宋体" w:cs="宋体"/>
                <w:color w:val="000000"/>
                <w:kern w:val="0"/>
                <w:sz w:val="20"/>
                <w:szCs w:val="20"/>
              </w:rPr>
            </w:pPr>
          </w:p>
        </w:tc>
        <w:tc>
          <w:tcPr>
            <w:tcW w:w="3535" w:type="dxa"/>
            <w:vAlign w:val="center"/>
          </w:tcPr>
          <w:p>
            <w:pPr>
              <w:widowControl/>
              <w:spacing w:line="260" w:lineRule="exact"/>
              <w:jc w:val="center"/>
              <w:rPr>
                <w:rFonts w:ascii="宋体" w:cs="宋体"/>
                <w:color w:val="000000"/>
                <w:kern w:val="0"/>
                <w:sz w:val="20"/>
                <w:szCs w:val="20"/>
              </w:rPr>
            </w:pPr>
            <w:r>
              <w:rPr>
                <w:rFonts w:hint="eastAsia" w:ascii="宋体" w:hAnsi="宋体" w:cs="宋体"/>
                <w:color w:val="000000"/>
                <w:kern w:val="0"/>
                <w:sz w:val="20"/>
                <w:szCs w:val="20"/>
              </w:rPr>
              <w:t>社会效益（可选项）</w:t>
            </w:r>
          </w:p>
        </w:tc>
        <w:tc>
          <w:tcPr>
            <w:tcW w:w="1311" w:type="dxa"/>
            <w:vMerge w:val="continue"/>
            <w:vAlign w:val="center"/>
          </w:tcPr>
          <w:p>
            <w:pPr>
              <w:widowControl/>
              <w:spacing w:line="260" w:lineRule="exact"/>
              <w:jc w:val="left"/>
              <w:rPr>
                <w:rFonts w:ascii="宋体" w:cs="宋体"/>
                <w:color w:val="000000"/>
                <w:kern w:val="0"/>
                <w:sz w:val="20"/>
                <w:szCs w:val="20"/>
              </w:rPr>
            </w:pPr>
          </w:p>
        </w:tc>
        <w:tc>
          <w:tcPr>
            <w:tcW w:w="1311" w:type="dxa"/>
          </w:tcPr>
          <w:p>
            <w:pPr>
              <w:widowControl/>
              <w:spacing w:line="260" w:lineRule="exact"/>
              <w:jc w:val="center"/>
              <w:rPr>
                <w:rFonts w:ascii="宋体" w:cs="宋体"/>
                <w:color w:val="000000"/>
                <w:kern w:val="0"/>
                <w:sz w:val="15"/>
                <w:szCs w:val="15"/>
              </w:rPr>
            </w:pPr>
            <w:r>
              <w:rPr>
                <w:rFonts w:ascii="宋体" w:hAnsi="宋体" w:cs="宋体"/>
                <w:color w:val="000000"/>
                <w:kern w:val="0"/>
                <w:sz w:val="15"/>
                <w:szCs w:val="15"/>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7" w:hRule="atLeast"/>
          <w:jc w:val="center"/>
        </w:trPr>
        <w:tc>
          <w:tcPr>
            <w:tcW w:w="1618" w:type="dxa"/>
            <w:vMerge w:val="continue"/>
            <w:vAlign w:val="center"/>
          </w:tcPr>
          <w:p>
            <w:pPr>
              <w:widowControl/>
              <w:spacing w:line="260" w:lineRule="exact"/>
              <w:jc w:val="left"/>
              <w:rPr>
                <w:rFonts w:ascii="宋体" w:cs="宋体"/>
                <w:color w:val="000000"/>
                <w:kern w:val="0"/>
                <w:sz w:val="20"/>
                <w:szCs w:val="20"/>
              </w:rPr>
            </w:pPr>
          </w:p>
        </w:tc>
        <w:tc>
          <w:tcPr>
            <w:tcW w:w="2113" w:type="dxa"/>
            <w:vMerge w:val="continue"/>
            <w:vAlign w:val="center"/>
          </w:tcPr>
          <w:p>
            <w:pPr>
              <w:widowControl/>
              <w:spacing w:line="260" w:lineRule="exact"/>
              <w:jc w:val="left"/>
              <w:rPr>
                <w:rFonts w:ascii="宋体" w:cs="宋体"/>
                <w:color w:val="000000"/>
                <w:kern w:val="0"/>
                <w:sz w:val="20"/>
                <w:szCs w:val="20"/>
              </w:rPr>
            </w:pPr>
          </w:p>
        </w:tc>
        <w:tc>
          <w:tcPr>
            <w:tcW w:w="3535" w:type="dxa"/>
            <w:vAlign w:val="center"/>
          </w:tcPr>
          <w:p>
            <w:pPr>
              <w:widowControl/>
              <w:spacing w:line="260" w:lineRule="exact"/>
              <w:jc w:val="center"/>
              <w:rPr>
                <w:rFonts w:ascii="宋体" w:cs="宋体"/>
                <w:color w:val="000000"/>
                <w:kern w:val="0"/>
                <w:sz w:val="20"/>
                <w:szCs w:val="20"/>
              </w:rPr>
            </w:pPr>
            <w:r>
              <w:rPr>
                <w:rFonts w:hint="eastAsia" w:ascii="宋体" w:hAnsi="宋体" w:cs="宋体"/>
                <w:color w:val="000000"/>
                <w:kern w:val="0"/>
                <w:sz w:val="20"/>
                <w:szCs w:val="20"/>
              </w:rPr>
              <w:t>生态效益（可选项）</w:t>
            </w:r>
          </w:p>
        </w:tc>
        <w:tc>
          <w:tcPr>
            <w:tcW w:w="1311" w:type="dxa"/>
            <w:vMerge w:val="continue"/>
            <w:vAlign w:val="center"/>
          </w:tcPr>
          <w:p>
            <w:pPr>
              <w:widowControl/>
              <w:spacing w:line="260" w:lineRule="exact"/>
              <w:jc w:val="left"/>
              <w:rPr>
                <w:rFonts w:ascii="宋体" w:cs="宋体"/>
                <w:color w:val="000000"/>
                <w:kern w:val="0"/>
                <w:sz w:val="20"/>
                <w:szCs w:val="20"/>
              </w:rPr>
            </w:pPr>
          </w:p>
        </w:tc>
        <w:tc>
          <w:tcPr>
            <w:tcW w:w="1311" w:type="dxa"/>
          </w:tcPr>
          <w:p>
            <w:pPr>
              <w:widowControl/>
              <w:spacing w:line="260" w:lineRule="exact"/>
              <w:jc w:val="center"/>
              <w:rPr>
                <w:rFonts w:ascii="宋体" w:cs="宋体"/>
                <w:color w:val="000000"/>
                <w:kern w:val="0"/>
                <w:sz w:val="15"/>
                <w:szCs w:val="15"/>
              </w:rPr>
            </w:pPr>
            <w:r>
              <w:rPr>
                <w:rFonts w:ascii="宋体" w:hAnsi="宋体" w:cs="宋体"/>
                <w:color w:val="000000"/>
                <w:kern w:val="0"/>
                <w:sz w:val="15"/>
                <w:szCs w:val="15"/>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7" w:hRule="atLeast"/>
          <w:jc w:val="center"/>
        </w:trPr>
        <w:tc>
          <w:tcPr>
            <w:tcW w:w="1618" w:type="dxa"/>
            <w:vMerge w:val="continue"/>
            <w:vAlign w:val="center"/>
          </w:tcPr>
          <w:p>
            <w:pPr>
              <w:widowControl/>
              <w:spacing w:line="260" w:lineRule="exact"/>
              <w:jc w:val="left"/>
              <w:rPr>
                <w:rFonts w:ascii="宋体" w:cs="宋体"/>
                <w:color w:val="000000"/>
                <w:kern w:val="0"/>
                <w:sz w:val="20"/>
                <w:szCs w:val="20"/>
              </w:rPr>
            </w:pPr>
          </w:p>
        </w:tc>
        <w:tc>
          <w:tcPr>
            <w:tcW w:w="2113" w:type="dxa"/>
            <w:vMerge w:val="continue"/>
            <w:vAlign w:val="center"/>
          </w:tcPr>
          <w:p>
            <w:pPr>
              <w:widowControl/>
              <w:spacing w:line="260" w:lineRule="exact"/>
              <w:jc w:val="left"/>
              <w:rPr>
                <w:rFonts w:ascii="宋体" w:cs="宋体"/>
                <w:color w:val="000000"/>
                <w:kern w:val="0"/>
                <w:sz w:val="20"/>
                <w:szCs w:val="20"/>
              </w:rPr>
            </w:pPr>
          </w:p>
        </w:tc>
        <w:tc>
          <w:tcPr>
            <w:tcW w:w="3535" w:type="dxa"/>
            <w:vAlign w:val="center"/>
          </w:tcPr>
          <w:p>
            <w:pPr>
              <w:widowControl/>
              <w:spacing w:line="260" w:lineRule="exact"/>
              <w:jc w:val="center"/>
              <w:rPr>
                <w:rFonts w:ascii="宋体" w:cs="宋体"/>
                <w:color w:val="000000"/>
                <w:kern w:val="0"/>
                <w:sz w:val="20"/>
                <w:szCs w:val="20"/>
              </w:rPr>
            </w:pPr>
            <w:r>
              <w:rPr>
                <w:rFonts w:hint="eastAsia" w:ascii="宋体" w:hAnsi="宋体" w:cs="宋体"/>
                <w:color w:val="000000"/>
                <w:kern w:val="0"/>
                <w:sz w:val="20"/>
                <w:szCs w:val="20"/>
              </w:rPr>
              <w:t>可持续效益（可选项）</w:t>
            </w:r>
          </w:p>
        </w:tc>
        <w:tc>
          <w:tcPr>
            <w:tcW w:w="1311" w:type="dxa"/>
            <w:vMerge w:val="continue"/>
            <w:vAlign w:val="center"/>
          </w:tcPr>
          <w:p>
            <w:pPr>
              <w:widowControl/>
              <w:spacing w:line="260" w:lineRule="exact"/>
              <w:jc w:val="left"/>
              <w:rPr>
                <w:rFonts w:ascii="宋体" w:cs="宋体"/>
                <w:color w:val="000000"/>
                <w:kern w:val="0"/>
                <w:sz w:val="20"/>
                <w:szCs w:val="20"/>
              </w:rPr>
            </w:pPr>
          </w:p>
        </w:tc>
        <w:tc>
          <w:tcPr>
            <w:tcW w:w="1311" w:type="dxa"/>
          </w:tcPr>
          <w:p>
            <w:pPr>
              <w:widowControl/>
              <w:spacing w:line="260" w:lineRule="exact"/>
              <w:jc w:val="center"/>
              <w:rPr>
                <w:rFonts w:ascii="宋体" w:cs="宋体"/>
                <w:color w:val="000000"/>
                <w:kern w:val="0"/>
                <w:sz w:val="15"/>
                <w:szCs w:val="15"/>
              </w:rPr>
            </w:pPr>
            <w:r>
              <w:rPr>
                <w:rFonts w:ascii="宋体" w:hAnsi="宋体" w:cs="宋体"/>
                <w:color w:val="000000"/>
                <w:kern w:val="0"/>
                <w:sz w:val="15"/>
                <w:szCs w:val="15"/>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8" w:hRule="atLeast"/>
          <w:jc w:val="center"/>
        </w:trPr>
        <w:tc>
          <w:tcPr>
            <w:tcW w:w="1618" w:type="dxa"/>
            <w:vMerge w:val="continue"/>
            <w:vAlign w:val="center"/>
          </w:tcPr>
          <w:p>
            <w:pPr>
              <w:widowControl/>
              <w:spacing w:line="260" w:lineRule="exact"/>
              <w:jc w:val="left"/>
              <w:rPr>
                <w:rFonts w:ascii="宋体" w:cs="宋体"/>
                <w:color w:val="000000"/>
                <w:kern w:val="0"/>
                <w:sz w:val="20"/>
                <w:szCs w:val="20"/>
              </w:rPr>
            </w:pPr>
          </w:p>
        </w:tc>
        <w:tc>
          <w:tcPr>
            <w:tcW w:w="2113" w:type="dxa"/>
            <w:vMerge w:val="continue"/>
            <w:vAlign w:val="center"/>
          </w:tcPr>
          <w:p>
            <w:pPr>
              <w:widowControl/>
              <w:spacing w:line="260" w:lineRule="exact"/>
              <w:jc w:val="left"/>
              <w:rPr>
                <w:rFonts w:ascii="宋体" w:cs="宋体"/>
                <w:color w:val="000000"/>
                <w:kern w:val="0"/>
                <w:sz w:val="20"/>
                <w:szCs w:val="20"/>
              </w:rPr>
            </w:pPr>
          </w:p>
        </w:tc>
        <w:tc>
          <w:tcPr>
            <w:tcW w:w="3535" w:type="dxa"/>
            <w:vAlign w:val="center"/>
          </w:tcPr>
          <w:p>
            <w:pPr>
              <w:widowControl/>
              <w:spacing w:line="260" w:lineRule="exact"/>
              <w:jc w:val="center"/>
              <w:rPr>
                <w:rFonts w:ascii="宋体" w:cs="宋体"/>
                <w:color w:val="000000"/>
                <w:kern w:val="0"/>
                <w:sz w:val="20"/>
                <w:szCs w:val="20"/>
              </w:rPr>
            </w:pPr>
            <w:r>
              <w:rPr>
                <w:rFonts w:hint="eastAsia" w:ascii="宋体" w:hAnsi="宋体" w:cs="宋体"/>
                <w:color w:val="000000"/>
                <w:kern w:val="0"/>
                <w:sz w:val="20"/>
                <w:szCs w:val="20"/>
              </w:rPr>
              <w:t>公平效率（可选项）</w:t>
            </w:r>
          </w:p>
        </w:tc>
        <w:tc>
          <w:tcPr>
            <w:tcW w:w="1311" w:type="dxa"/>
            <w:vMerge w:val="continue"/>
            <w:vAlign w:val="center"/>
          </w:tcPr>
          <w:p>
            <w:pPr>
              <w:widowControl/>
              <w:spacing w:line="260" w:lineRule="exact"/>
              <w:jc w:val="left"/>
              <w:rPr>
                <w:rFonts w:ascii="宋体" w:cs="宋体"/>
                <w:color w:val="000000"/>
                <w:kern w:val="0"/>
                <w:sz w:val="20"/>
                <w:szCs w:val="20"/>
              </w:rPr>
            </w:pPr>
          </w:p>
        </w:tc>
        <w:tc>
          <w:tcPr>
            <w:tcW w:w="1311" w:type="dxa"/>
          </w:tcPr>
          <w:p>
            <w:pPr>
              <w:widowControl/>
              <w:spacing w:line="260" w:lineRule="exact"/>
              <w:jc w:val="center"/>
              <w:rPr>
                <w:rFonts w:ascii="宋体" w:cs="宋体"/>
                <w:color w:val="000000"/>
                <w:kern w:val="0"/>
                <w:sz w:val="15"/>
                <w:szCs w:val="15"/>
              </w:rPr>
            </w:pPr>
            <w:r>
              <w:rPr>
                <w:rFonts w:ascii="宋体" w:hAnsi="宋体" w:cs="宋体"/>
                <w:color w:val="000000"/>
                <w:kern w:val="0"/>
                <w:sz w:val="15"/>
                <w:szCs w:val="15"/>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0" w:hRule="atLeast"/>
          <w:jc w:val="center"/>
        </w:trPr>
        <w:tc>
          <w:tcPr>
            <w:tcW w:w="1618" w:type="dxa"/>
            <w:vMerge w:val="continue"/>
            <w:vAlign w:val="center"/>
          </w:tcPr>
          <w:p>
            <w:pPr>
              <w:widowControl/>
              <w:spacing w:line="260" w:lineRule="exact"/>
              <w:jc w:val="left"/>
              <w:rPr>
                <w:rFonts w:ascii="宋体" w:cs="宋体"/>
                <w:color w:val="000000"/>
                <w:kern w:val="0"/>
                <w:sz w:val="20"/>
                <w:szCs w:val="20"/>
              </w:rPr>
            </w:pPr>
          </w:p>
        </w:tc>
        <w:tc>
          <w:tcPr>
            <w:tcW w:w="2113" w:type="dxa"/>
            <w:vMerge w:val="continue"/>
            <w:vAlign w:val="center"/>
          </w:tcPr>
          <w:p>
            <w:pPr>
              <w:widowControl/>
              <w:spacing w:line="260" w:lineRule="exact"/>
              <w:jc w:val="left"/>
              <w:rPr>
                <w:rFonts w:ascii="宋体" w:cs="宋体"/>
                <w:color w:val="000000"/>
                <w:kern w:val="0"/>
                <w:sz w:val="20"/>
                <w:szCs w:val="20"/>
              </w:rPr>
            </w:pPr>
          </w:p>
        </w:tc>
        <w:tc>
          <w:tcPr>
            <w:tcW w:w="3535" w:type="dxa"/>
            <w:vAlign w:val="center"/>
          </w:tcPr>
          <w:p>
            <w:pPr>
              <w:widowControl/>
              <w:spacing w:line="260" w:lineRule="exact"/>
              <w:jc w:val="center"/>
              <w:rPr>
                <w:rFonts w:ascii="宋体" w:cs="宋体"/>
                <w:color w:val="000000"/>
                <w:kern w:val="0"/>
                <w:sz w:val="20"/>
                <w:szCs w:val="20"/>
              </w:rPr>
            </w:pPr>
            <w:r>
              <w:rPr>
                <w:rFonts w:hint="eastAsia" w:ascii="宋体" w:hAnsi="宋体" w:cs="宋体"/>
                <w:color w:val="000000"/>
                <w:kern w:val="0"/>
                <w:sz w:val="20"/>
                <w:szCs w:val="20"/>
              </w:rPr>
              <w:t>使用效率（可选项）</w:t>
            </w:r>
          </w:p>
        </w:tc>
        <w:tc>
          <w:tcPr>
            <w:tcW w:w="1311" w:type="dxa"/>
            <w:vMerge w:val="continue"/>
            <w:vAlign w:val="center"/>
          </w:tcPr>
          <w:p>
            <w:pPr>
              <w:widowControl/>
              <w:spacing w:line="260" w:lineRule="exact"/>
              <w:jc w:val="left"/>
              <w:rPr>
                <w:rFonts w:ascii="宋体" w:cs="宋体"/>
                <w:color w:val="000000"/>
                <w:kern w:val="0"/>
                <w:sz w:val="20"/>
                <w:szCs w:val="20"/>
              </w:rPr>
            </w:pPr>
          </w:p>
        </w:tc>
        <w:tc>
          <w:tcPr>
            <w:tcW w:w="1311" w:type="dxa"/>
          </w:tcPr>
          <w:p>
            <w:pPr>
              <w:widowControl/>
              <w:spacing w:line="260" w:lineRule="exact"/>
              <w:jc w:val="center"/>
              <w:rPr>
                <w:rFonts w:ascii="宋体" w:cs="宋体"/>
                <w:color w:val="000000"/>
                <w:kern w:val="0"/>
                <w:sz w:val="15"/>
                <w:szCs w:val="15"/>
              </w:rPr>
            </w:pPr>
            <w:r>
              <w:rPr>
                <w:rFonts w:ascii="宋体" w:hAnsi="宋体" w:cs="宋体"/>
                <w:color w:val="000000"/>
                <w:kern w:val="0"/>
                <w:sz w:val="15"/>
                <w:szCs w:val="15"/>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2" w:hRule="atLeast"/>
          <w:jc w:val="center"/>
        </w:trPr>
        <w:tc>
          <w:tcPr>
            <w:tcW w:w="1618" w:type="dxa"/>
            <w:vMerge w:val="continue"/>
            <w:vAlign w:val="center"/>
          </w:tcPr>
          <w:p>
            <w:pPr>
              <w:widowControl/>
              <w:spacing w:line="260" w:lineRule="exact"/>
              <w:jc w:val="left"/>
              <w:rPr>
                <w:rFonts w:ascii="宋体" w:cs="宋体"/>
                <w:color w:val="000000"/>
                <w:kern w:val="0"/>
                <w:sz w:val="20"/>
                <w:szCs w:val="20"/>
              </w:rPr>
            </w:pPr>
          </w:p>
        </w:tc>
        <w:tc>
          <w:tcPr>
            <w:tcW w:w="2113" w:type="dxa"/>
            <w:vMerge w:val="continue"/>
            <w:vAlign w:val="center"/>
          </w:tcPr>
          <w:p>
            <w:pPr>
              <w:widowControl/>
              <w:spacing w:line="260" w:lineRule="exact"/>
              <w:jc w:val="left"/>
              <w:rPr>
                <w:rFonts w:ascii="宋体" w:cs="宋体"/>
                <w:color w:val="000000"/>
                <w:kern w:val="0"/>
                <w:sz w:val="20"/>
                <w:szCs w:val="20"/>
              </w:rPr>
            </w:pPr>
          </w:p>
        </w:tc>
        <w:tc>
          <w:tcPr>
            <w:tcW w:w="3535" w:type="dxa"/>
            <w:vAlign w:val="center"/>
          </w:tcPr>
          <w:p>
            <w:pPr>
              <w:widowControl/>
              <w:spacing w:line="260" w:lineRule="exact"/>
              <w:jc w:val="center"/>
              <w:rPr>
                <w:rFonts w:ascii="宋体" w:cs="宋体"/>
                <w:color w:val="000000"/>
                <w:kern w:val="0"/>
                <w:sz w:val="20"/>
                <w:szCs w:val="20"/>
              </w:rPr>
            </w:pPr>
            <w:r>
              <w:rPr>
                <w:rFonts w:hint="eastAsia" w:ascii="宋体" w:hAnsi="宋体" w:cs="宋体"/>
                <w:color w:val="000000"/>
                <w:kern w:val="0"/>
                <w:sz w:val="20"/>
                <w:szCs w:val="20"/>
              </w:rPr>
              <w:t>服务对象满意度</w:t>
            </w:r>
            <w:r>
              <w:rPr>
                <w:rFonts w:ascii="宋体" w:hAnsi="宋体" w:cs="宋体"/>
                <w:color w:val="000000"/>
                <w:kern w:val="0"/>
                <w:sz w:val="20"/>
                <w:szCs w:val="20"/>
              </w:rPr>
              <w:t xml:space="preserve">    </w:t>
            </w:r>
          </w:p>
        </w:tc>
        <w:tc>
          <w:tcPr>
            <w:tcW w:w="1311" w:type="dxa"/>
            <w:vAlign w:val="center"/>
          </w:tcPr>
          <w:p>
            <w:pPr>
              <w:widowControl/>
              <w:spacing w:line="260" w:lineRule="exact"/>
              <w:jc w:val="center"/>
              <w:rPr>
                <w:rFonts w:ascii="宋体" w:cs="宋体"/>
                <w:color w:val="000000"/>
                <w:kern w:val="0"/>
                <w:sz w:val="20"/>
                <w:szCs w:val="20"/>
              </w:rPr>
            </w:pPr>
            <w:r>
              <w:rPr>
                <w:rFonts w:ascii="宋体" w:hAnsi="宋体" w:cs="宋体"/>
                <w:color w:val="000000"/>
                <w:kern w:val="0"/>
                <w:sz w:val="20"/>
                <w:szCs w:val="20"/>
              </w:rPr>
              <w:t>10</w:t>
            </w:r>
          </w:p>
        </w:tc>
        <w:tc>
          <w:tcPr>
            <w:tcW w:w="1311" w:type="dxa"/>
          </w:tcPr>
          <w:p>
            <w:pPr>
              <w:widowControl/>
              <w:spacing w:line="260" w:lineRule="exact"/>
              <w:jc w:val="center"/>
              <w:rPr>
                <w:rFonts w:ascii="宋体" w:cs="宋体"/>
                <w:color w:val="000000"/>
                <w:kern w:val="0"/>
                <w:sz w:val="15"/>
                <w:szCs w:val="15"/>
              </w:rPr>
            </w:pPr>
            <w:r>
              <w:rPr>
                <w:rFonts w:ascii="宋体" w:hAnsi="宋体" w:cs="宋体"/>
                <w:color w:val="000000"/>
                <w:kern w:val="0"/>
                <w:sz w:val="15"/>
                <w:szCs w:val="15"/>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6" w:hRule="atLeast"/>
          <w:jc w:val="center"/>
        </w:trPr>
        <w:tc>
          <w:tcPr>
            <w:tcW w:w="1618" w:type="dxa"/>
            <w:vAlign w:val="center"/>
          </w:tcPr>
          <w:p>
            <w:pPr>
              <w:widowControl/>
              <w:spacing w:line="260" w:lineRule="exact"/>
              <w:jc w:val="left"/>
              <w:rPr>
                <w:rFonts w:ascii="宋体" w:cs="宋体"/>
                <w:color w:val="000000"/>
                <w:kern w:val="0"/>
                <w:sz w:val="20"/>
                <w:szCs w:val="20"/>
              </w:rPr>
            </w:pPr>
            <w:r>
              <w:rPr>
                <w:rFonts w:hint="eastAsia" w:ascii="宋体" w:hAnsi="宋体" w:cs="宋体"/>
                <w:color w:val="000000"/>
                <w:kern w:val="0"/>
                <w:sz w:val="20"/>
                <w:szCs w:val="20"/>
              </w:rPr>
              <w:t>总分</w:t>
            </w:r>
          </w:p>
        </w:tc>
        <w:tc>
          <w:tcPr>
            <w:tcW w:w="8270" w:type="dxa"/>
            <w:gridSpan w:val="4"/>
            <w:vAlign w:val="center"/>
          </w:tcPr>
          <w:p>
            <w:pPr>
              <w:widowControl/>
              <w:spacing w:line="260" w:lineRule="exact"/>
              <w:jc w:val="center"/>
              <w:rPr>
                <w:rFonts w:ascii="宋体" w:cs="宋体"/>
                <w:color w:val="000000"/>
                <w:kern w:val="0"/>
                <w:sz w:val="15"/>
                <w:szCs w:val="15"/>
              </w:rPr>
            </w:pPr>
            <w:r>
              <w:rPr>
                <w:rFonts w:ascii="宋体" w:hAnsi="宋体" w:cs="宋体"/>
                <w:b/>
                <w:bCs/>
                <w:color w:val="000000"/>
                <w:kern w:val="0"/>
                <w:sz w:val="15"/>
                <w:szCs w:val="15"/>
              </w:rPr>
              <w:t>98.6</w:t>
            </w:r>
          </w:p>
        </w:tc>
      </w:tr>
    </w:tbl>
    <w:p>
      <w:pPr>
        <w:spacing w:line="580" w:lineRule="exact"/>
        <w:jc w:val="center"/>
        <w:rPr>
          <w:rFonts w:ascii="方正小标宋简体" w:hAnsi="方正小标宋简体" w:eastAsia="方正小标宋简体" w:cs="方正小标宋简体"/>
          <w:sz w:val="44"/>
          <w:szCs w:val="44"/>
        </w:rPr>
      </w:pPr>
    </w:p>
    <w:p>
      <w:pPr>
        <w:spacing w:line="600" w:lineRule="exact"/>
        <w:ind w:firstLine="800" w:firstLineChars="250"/>
        <w:outlineLvl w:val="1"/>
        <w:rPr>
          <w:rStyle w:val="18"/>
          <w:rFonts w:ascii="黑体" w:hAnsi="黑体" w:eastAsia="黑体"/>
        </w:rPr>
      </w:pPr>
      <w:bookmarkStart w:id="48" w:name="_Toc15377221"/>
      <w:bookmarkStart w:id="49" w:name="_Toc15396612"/>
      <w:r>
        <w:rPr>
          <w:rFonts w:hint="eastAsia" w:ascii="黑体" w:hAnsi="黑体" w:eastAsia="黑体"/>
          <w:color w:val="000000"/>
          <w:sz w:val="32"/>
          <w:szCs w:val="32"/>
        </w:rPr>
        <w:t>十</w:t>
      </w:r>
      <w:r>
        <w:rPr>
          <w:rStyle w:val="18"/>
          <w:rFonts w:hint="eastAsia" w:ascii="黑体" w:hAnsi="黑体" w:eastAsia="黑体"/>
        </w:rPr>
        <w:t>一、</w:t>
      </w:r>
      <w:r>
        <w:rPr>
          <w:rStyle w:val="18"/>
          <w:rFonts w:hint="eastAsia" w:ascii="黑体" w:hAnsi="黑体" w:eastAsia="黑体"/>
          <w:b w:val="0"/>
        </w:rPr>
        <w:t>其他重要事项的情况说明</w:t>
      </w:r>
      <w:bookmarkEnd w:id="48"/>
      <w:bookmarkEnd w:id="49"/>
    </w:p>
    <w:p>
      <w:pPr>
        <w:spacing w:line="600" w:lineRule="exact"/>
        <w:ind w:firstLine="643" w:firstLineChars="200"/>
        <w:outlineLvl w:val="2"/>
        <w:rPr>
          <w:rFonts w:ascii="仿宋" w:hAnsi="仿宋" w:eastAsia="仿宋"/>
          <w:color w:val="000000"/>
          <w:sz w:val="32"/>
          <w:szCs w:val="32"/>
        </w:rPr>
      </w:pPr>
      <w:bookmarkStart w:id="50" w:name="_Toc15377222"/>
      <w:r>
        <w:rPr>
          <w:rFonts w:hint="eastAsia" w:ascii="仿宋" w:hAnsi="仿宋" w:eastAsia="仿宋"/>
          <w:b/>
          <w:color w:val="000000"/>
          <w:sz w:val="32"/>
          <w:szCs w:val="32"/>
        </w:rPr>
        <w:t>（一）机关运行经费支出情况</w:t>
      </w:r>
      <w:bookmarkEnd w:id="50"/>
    </w:p>
    <w:p>
      <w:pPr>
        <w:spacing w:line="600" w:lineRule="exact"/>
        <w:ind w:firstLine="640" w:firstLineChars="200"/>
        <w:rPr>
          <w:rFonts w:ascii="仿宋" w:hAnsi="仿宋" w:eastAsia="仿宋"/>
          <w:b/>
          <w:color w:val="000000"/>
          <w:sz w:val="32"/>
          <w:szCs w:val="32"/>
        </w:rPr>
      </w:pPr>
      <w:r>
        <w:rPr>
          <w:rFonts w:ascii="仿宋_GB2312" w:eastAsia="仿宋_GB2312"/>
          <w:color w:val="000000"/>
          <w:sz w:val="32"/>
          <w:szCs w:val="32"/>
        </w:rPr>
        <w:t>2018</w:t>
      </w:r>
      <w:r>
        <w:rPr>
          <w:rFonts w:hint="eastAsia" w:ascii="仿宋_GB2312" w:eastAsia="仿宋_GB2312"/>
          <w:color w:val="000000"/>
          <w:sz w:val="32"/>
          <w:szCs w:val="32"/>
        </w:rPr>
        <w:t>年宣传部机关运行经费支出</w:t>
      </w:r>
      <w:r>
        <w:rPr>
          <w:rFonts w:ascii="仿宋_GB2312" w:eastAsia="仿宋_GB2312"/>
          <w:color w:val="000000"/>
          <w:sz w:val="32"/>
          <w:szCs w:val="32"/>
        </w:rPr>
        <w:t>603.67</w:t>
      </w:r>
      <w:r>
        <w:rPr>
          <w:rFonts w:hint="eastAsia" w:ascii="仿宋_GB2312" w:eastAsia="仿宋_GB2312"/>
          <w:color w:val="000000"/>
          <w:sz w:val="32"/>
          <w:szCs w:val="32"/>
        </w:rPr>
        <w:t>万元，比</w:t>
      </w:r>
      <w:r>
        <w:rPr>
          <w:rFonts w:ascii="仿宋_GB2312" w:eastAsia="仿宋_GB2312"/>
          <w:color w:val="000000"/>
          <w:sz w:val="32"/>
          <w:szCs w:val="32"/>
        </w:rPr>
        <w:t>2017</w:t>
      </w:r>
      <w:r>
        <w:rPr>
          <w:rFonts w:hint="eastAsia" w:ascii="仿宋_GB2312" w:eastAsia="仿宋_GB2312"/>
          <w:color w:val="000000"/>
          <w:sz w:val="32"/>
          <w:szCs w:val="32"/>
        </w:rPr>
        <w:t>年增加</w:t>
      </w:r>
      <w:r>
        <w:rPr>
          <w:rFonts w:ascii="仿宋_GB2312" w:eastAsia="仿宋_GB2312"/>
          <w:color w:val="000000"/>
          <w:sz w:val="32"/>
          <w:szCs w:val="32"/>
        </w:rPr>
        <w:t>163.96</w:t>
      </w:r>
      <w:r>
        <w:rPr>
          <w:rFonts w:hint="eastAsia" w:ascii="仿宋_GB2312" w:eastAsia="仿宋_GB2312"/>
          <w:color w:val="000000"/>
          <w:sz w:val="32"/>
          <w:szCs w:val="32"/>
        </w:rPr>
        <w:t>万元，增长</w:t>
      </w:r>
      <w:r>
        <w:rPr>
          <w:rFonts w:ascii="仿宋_GB2312" w:eastAsia="仿宋_GB2312"/>
          <w:color w:val="000000"/>
          <w:sz w:val="32"/>
          <w:szCs w:val="32"/>
        </w:rPr>
        <w:t>37%</w:t>
      </w:r>
      <w:r>
        <w:rPr>
          <w:rFonts w:hint="eastAsia" w:ascii="仿宋_GB2312" w:eastAsia="仿宋_GB2312"/>
          <w:color w:val="000000"/>
          <w:sz w:val="32"/>
          <w:szCs w:val="32"/>
        </w:rPr>
        <w:t>。主要原因是主要原因是</w:t>
      </w:r>
      <w:r>
        <w:rPr>
          <w:rFonts w:ascii="仿宋_GB2312" w:eastAsia="仿宋_GB2312"/>
          <w:color w:val="000000"/>
          <w:sz w:val="32"/>
          <w:szCs w:val="32"/>
        </w:rPr>
        <w:t>2018</w:t>
      </w:r>
      <w:r>
        <w:rPr>
          <w:rFonts w:hint="eastAsia" w:ascii="仿宋_GB2312" w:eastAsia="仿宋_GB2312"/>
          <w:color w:val="000000"/>
          <w:sz w:val="32"/>
          <w:szCs w:val="32"/>
        </w:rPr>
        <w:t>年发生了车辆购置、全媒体中心装饰装修，所以机关运行经费支出增长幅度较大。</w:t>
      </w:r>
    </w:p>
    <w:p>
      <w:pPr>
        <w:spacing w:line="600" w:lineRule="exact"/>
        <w:ind w:firstLine="640" w:firstLineChars="200"/>
        <w:rPr>
          <w:rFonts w:ascii="仿宋_GB2312" w:eastAsia="仿宋_GB2312"/>
          <w:color w:val="000000"/>
          <w:sz w:val="32"/>
          <w:szCs w:val="32"/>
        </w:rPr>
      </w:pP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1" w:name="_Toc15377223"/>
      <w:r>
        <w:rPr>
          <w:rFonts w:hint="eastAsia" w:ascii="仿宋" w:hAnsi="仿宋" w:eastAsia="仿宋"/>
          <w:b/>
          <w:color w:val="000000"/>
          <w:sz w:val="32"/>
          <w:szCs w:val="32"/>
        </w:rPr>
        <w:t>（二）政府采购支出情况</w:t>
      </w:r>
      <w:bookmarkEnd w:id="51"/>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2018</w:t>
      </w:r>
      <w:r>
        <w:rPr>
          <w:rFonts w:hint="eastAsia" w:ascii="仿宋_GB2312" w:eastAsia="仿宋_GB2312"/>
          <w:color w:val="000000"/>
          <w:sz w:val="32"/>
          <w:szCs w:val="32"/>
        </w:rPr>
        <w:t>年，宣传部政府采购支出总额</w:t>
      </w:r>
      <w:r>
        <w:rPr>
          <w:rFonts w:ascii="仿宋_GB2312" w:eastAsia="仿宋_GB2312"/>
          <w:color w:val="000000"/>
          <w:sz w:val="32"/>
          <w:szCs w:val="32"/>
        </w:rPr>
        <w:t>262.08</w:t>
      </w:r>
      <w:r>
        <w:rPr>
          <w:rFonts w:hint="eastAsia" w:ascii="仿宋_GB2312" w:eastAsia="仿宋_GB2312"/>
          <w:color w:val="000000"/>
          <w:sz w:val="32"/>
          <w:szCs w:val="32"/>
        </w:rPr>
        <w:t>万元，其中：政府采购货物支出</w:t>
      </w:r>
      <w:r>
        <w:rPr>
          <w:rFonts w:ascii="仿宋_GB2312" w:eastAsia="仿宋_GB2312"/>
          <w:color w:val="000000"/>
          <w:sz w:val="32"/>
          <w:szCs w:val="32"/>
        </w:rPr>
        <w:t>84</w:t>
      </w:r>
      <w:r>
        <w:rPr>
          <w:rFonts w:hint="eastAsia" w:ascii="仿宋_GB2312" w:eastAsia="仿宋_GB2312"/>
          <w:color w:val="000000"/>
          <w:sz w:val="32"/>
          <w:szCs w:val="32"/>
        </w:rPr>
        <w:t>万元、政府采购工程支出</w:t>
      </w:r>
      <w:r>
        <w:rPr>
          <w:rFonts w:ascii="仿宋_GB2312" w:eastAsia="仿宋_GB2312"/>
          <w:color w:val="000000"/>
          <w:sz w:val="32"/>
          <w:szCs w:val="32"/>
        </w:rPr>
        <w:t>63.06</w:t>
      </w:r>
      <w:r>
        <w:rPr>
          <w:rFonts w:hint="eastAsia" w:ascii="仿宋_GB2312" w:eastAsia="仿宋_GB2312"/>
          <w:color w:val="000000"/>
          <w:sz w:val="32"/>
          <w:szCs w:val="32"/>
        </w:rPr>
        <w:t>万元、政府采购服务支出</w:t>
      </w:r>
      <w:r>
        <w:rPr>
          <w:rFonts w:ascii="仿宋_GB2312" w:eastAsia="仿宋_GB2312"/>
          <w:color w:val="000000"/>
          <w:sz w:val="32"/>
          <w:szCs w:val="32"/>
        </w:rPr>
        <w:t>115.02</w:t>
      </w:r>
      <w:r>
        <w:rPr>
          <w:rFonts w:hint="eastAsia" w:ascii="仿宋_GB2312" w:eastAsia="仿宋_GB2312"/>
          <w:color w:val="000000"/>
          <w:sz w:val="32"/>
          <w:szCs w:val="32"/>
        </w:rPr>
        <w:t>万元。主要用于《行走壤巴拉》等六本书、壤巴拉节氛围营造、宣传文化活动。授予中小企业合同金额</w:t>
      </w:r>
      <w:r>
        <w:rPr>
          <w:rFonts w:ascii="仿宋_GB2312" w:eastAsia="仿宋_GB2312"/>
          <w:color w:val="000000"/>
          <w:sz w:val="32"/>
          <w:szCs w:val="32"/>
        </w:rPr>
        <w:t>262.08</w:t>
      </w:r>
      <w:r>
        <w:rPr>
          <w:rFonts w:hint="eastAsia" w:ascii="仿宋_GB2312" w:eastAsia="仿宋_GB2312"/>
          <w:color w:val="000000"/>
          <w:sz w:val="32"/>
          <w:szCs w:val="32"/>
        </w:rPr>
        <w:t>万元，占政府采购支出总额的</w:t>
      </w:r>
      <w:r>
        <w:rPr>
          <w:rFonts w:ascii="仿宋_GB2312" w:eastAsia="仿宋_GB2312"/>
          <w:color w:val="000000"/>
          <w:sz w:val="32"/>
          <w:szCs w:val="32"/>
        </w:rPr>
        <w:t>100%</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2" w:name="_Toc15377224"/>
      <w:r>
        <w:rPr>
          <w:rFonts w:hint="eastAsia" w:ascii="仿宋" w:hAnsi="仿宋" w:eastAsia="仿宋"/>
          <w:b/>
          <w:color w:val="000000"/>
          <w:sz w:val="32"/>
          <w:szCs w:val="32"/>
        </w:rPr>
        <w:t>（三）国有资产占有使用情况</w:t>
      </w:r>
      <w:bookmarkEnd w:id="52"/>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2018</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日，宣传部共有车辆</w:t>
      </w:r>
      <w:r>
        <w:rPr>
          <w:rFonts w:ascii="仿宋_GB2312" w:eastAsia="仿宋_GB2312"/>
          <w:color w:val="000000"/>
          <w:sz w:val="32"/>
          <w:szCs w:val="32"/>
        </w:rPr>
        <w:t>2</w:t>
      </w:r>
      <w:r>
        <w:rPr>
          <w:rFonts w:hint="eastAsia" w:ascii="仿宋_GB2312" w:eastAsia="仿宋_GB2312"/>
          <w:color w:val="000000"/>
          <w:sz w:val="32"/>
          <w:szCs w:val="32"/>
        </w:rPr>
        <w:t>辆，其中：部级领导干部用车</w:t>
      </w:r>
      <w:r>
        <w:rPr>
          <w:rFonts w:ascii="仿宋_GB2312" w:eastAsia="仿宋_GB2312"/>
          <w:color w:val="000000"/>
          <w:sz w:val="32"/>
          <w:szCs w:val="32"/>
        </w:rPr>
        <w:t>0</w:t>
      </w:r>
      <w:r>
        <w:rPr>
          <w:rFonts w:hint="eastAsia" w:ascii="仿宋_GB2312" w:eastAsia="仿宋_GB2312"/>
          <w:color w:val="000000"/>
          <w:sz w:val="32"/>
          <w:szCs w:val="32"/>
        </w:rPr>
        <w:t>辆、一般公务用车</w:t>
      </w:r>
      <w:r>
        <w:rPr>
          <w:rFonts w:ascii="仿宋_GB2312" w:eastAsia="仿宋_GB2312"/>
          <w:color w:val="000000"/>
          <w:sz w:val="32"/>
          <w:szCs w:val="32"/>
        </w:rPr>
        <w:t>2</w:t>
      </w:r>
      <w:r>
        <w:rPr>
          <w:rFonts w:hint="eastAsia" w:ascii="仿宋_GB2312" w:eastAsia="仿宋_GB2312"/>
          <w:color w:val="000000"/>
          <w:sz w:val="32"/>
          <w:szCs w:val="32"/>
        </w:rPr>
        <w:t>辆，单价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ascii="仿宋_GB2312" w:eastAsia="仿宋_GB2312"/>
          <w:color w:val="000000"/>
          <w:sz w:val="32"/>
          <w:szCs w:val="32"/>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ascii="仿宋_GB2312" w:eastAsia="仿宋_GB2312"/>
          <w:color w:val="000000"/>
          <w:sz w:val="32"/>
          <w:szCs w:val="32"/>
        </w:rPr>
        <w:t>0</w:t>
      </w:r>
      <w:r>
        <w:rPr>
          <w:rFonts w:hint="eastAsia" w:ascii="仿宋_GB2312" w:eastAsia="仿宋_GB2312"/>
          <w:color w:val="000000"/>
          <w:sz w:val="32"/>
          <w:szCs w:val="32"/>
        </w:rPr>
        <w:t>台（套）。</w:t>
      </w:r>
    </w:p>
    <w:tbl>
      <w:tblPr>
        <w:tblStyle w:val="16"/>
        <w:tblW w:w="8267" w:type="dxa"/>
        <w:tblInd w:w="159" w:type="dxa"/>
        <w:tblLayout w:type="fixed"/>
        <w:tblCellMar>
          <w:top w:w="0" w:type="dxa"/>
          <w:left w:w="0" w:type="dxa"/>
          <w:bottom w:w="0" w:type="dxa"/>
          <w:right w:w="0" w:type="dxa"/>
        </w:tblCellMar>
      </w:tblPr>
      <w:tblGrid>
        <w:gridCol w:w="354"/>
        <w:gridCol w:w="1026"/>
        <w:gridCol w:w="1145"/>
        <w:gridCol w:w="542"/>
        <w:gridCol w:w="684"/>
        <w:gridCol w:w="1170"/>
        <w:gridCol w:w="706"/>
        <w:gridCol w:w="1320"/>
        <w:gridCol w:w="1320"/>
      </w:tblGrid>
      <w:tr>
        <w:tblPrEx>
          <w:tblLayout w:type="fixed"/>
          <w:tblCellMar>
            <w:top w:w="0" w:type="dxa"/>
            <w:left w:w="0" w:type="dxa"/>
            <w:bottom w:w="0" w:type="dxa"/>
            <w:right w:w="0" w:type="dxa"/>
          </w:tblCellMar>
        </w:tblPrEx>
        <w:trPr>
          <w:trHeight w:val="968" w:hRule="atLeast"/>
        </w:trPr>
        <w:tc>
          <w:tcPr>
            <w:tcW w:w="354" w:type="dxa"/>
            <w:tcBorders>
              <w:top w:val="single" w:color="808080" w:sz="4" w:space="0"/>
              <w:left w:val="single" w:color="808080" w:sz="4" w:space="0"/>
              <w:bottom w:val="single" w:color="808080" w:sz="4" w:space="0"/>
              <w:right w:val="single" w:color="808080" w:sz="4" w:space="0"/>
            </w:tcBorders>
            <w:shd w:val="clear" w:color="auto" w:fill="FFFFFF"/>
            <w:tcMar>
              <w:top w:w="15" w:type="dxa"/>
              <w:left w:w="15" w:type="dxa"/>
              <w:right w:w="15" w:type="dxa"/>
            </w:tcMar>
            <w:vAlign w:val="center"/>
          </w:tcPr>
          <w:p>
            <w:pPr>
              <w:widowControl/>
              <w:jc w:val="center"/>
              <w:textAlignment w:val="center"/>
              <w:rPr>
                <w:rFonts w:ascii="仿宋" w:hAnsi="仿宋" w:eastAsia="仿宋" w:cs="仿宋"/>
                <w:color w:val="000000"/>
                <w:sz w:val="22"/>
                <w:szCs w:val="22"/>
              </w:rPr>
            </w:pPr>
            <w:r>
              <w:rPr>
                <w:rFonts w:hint="eastAsia" w:ascii="仿宋" w:hAnsi="仿宋" w:eastAsia="仿宋" w:cs="仿宋"/>
                <w:color w:val="000000"/>
                <w:kern w:val="0"/>
                <w:sz w:val="22"/>
                <w:szCs w:val="22"/>
              </w:rPr>
              <w:t>资产分类</w:t>
            </w:r>
          </w:p>
        </w:tc>
        <w:tc>
          <w:tcPr>
            <w:tcW w:w="1026" w:type="dxa"/>
            <w:tcBorders>
              <w:top w:val="single" w:color="808080" w:sz="4" w:space="0"/>
              <w:left w:val="single" w:color="808080" w:sz="4" w:space="0"/>
              <w:bottom w:val="single" w:color="808080" w:sz="4" w:space="0"/>
              <w:right w:val="single" w:color="808080" w:sz="4" w:space="0"/>
            </w:tcBorders>
            <w:shd w:val="clear" w:color="auto" w:fill="FFFFFF"/>
            <w:tcMar>
              <w:top w:w="15" w:type="dxa"/>
              <w:left w:w="15" w:type="dxa"/>
              <w:right w:w="15" w:type="dxa"/>
            </w:tcMar>
            <w:vAlign w:val="center"/>
          </w:tcPr>
          <w:p>
            <w:pPr>
              <w:widowControl/>
              <w:jc w:val="center"/>
              <w:textAlignment w:val="center"/>
              <w:rPr>
                <w:rFonts w:ascii="仿宋" w:hAnsi="仿宋" w:eastAsia="仿宋" w:cs="仿宋"/>
                <w:color w:val="000000"/>
                <w:sz w:val="22"/>
                <w:szCs w:val="22"/>
              </w:rPr>
            </w:pPr>
            <w:r>
              <w:rPr>
                <w:rFonts w:hint="eastAsia" w:ascii="仿宋" w:hAnsi="仿宋" w:eastAsia="仿宋" w:cs="仿宋"/>
                <w:color w:val="000000"/>
                <w:kern w:val="0"/>
                <w:sz w:val="22"/>
                <w:szCs w:val="22"/>
              </w:rPr>
              <w:t>资产名称</w:t>
            </w:r>
          </w:p>
        </w:tc>
        <w:tc>
          <w:tcPr>
            <w:tcW w:w="1145" w:type="dxa"/>
            <w:tcBorders>
              <w:top w:val="single" w:color="808080" w:sz="4" w:space="0"/>
              <w:left w:val="single" w:color="808080" w:sz="4" w:space="0"/>
              <w:bottom w:val="single" w:color="808080" w:sz="4" w:space="0"/>
              <w:right w:val="single" w:color="808080" w:sz="4" w:space="0"/>
            </w:tcBorders>
            <w:shd w:val="clear" w:color="auto" w:fill="FFFFFF"/>
            <w:tcMar>
              <w:top w:w="15" w:type="dxa"/>
              <w:left w:w="15" w:type="dxa"/>
              <w:right w:w="15" w:type="dxa"/>
            </w:tcMar>
            <w:vAlign w:val="center"/>
          </w:tcPr>
          <w:p>
            <w:pPr>
              <w:widowControl/>
              <w:jc w:val="center"/>
              <w:textAlignment w:val="center"/>
              <w:rPr>
                <w:rFonts w:ascii="仿宋" w:hAnsi="仿宋" w:eastAsia="仿宋" w:cs="仿宋"/>
                <w:color w:val="000000"/>
                <w:sz w:val="22"/>
                <w:szCs w:val="22"/>
              </w:rPr>
            </w:pPr>
            <w:r>
              <w:rPr>
                <w:rFonts w:hint="eastAsia" w:ascii="仿宋" w:hAnsi="仿宋" w:eastAsia="仿宋" w:cs="仿宋"/>
                <w:color w:val="000000"/>
                <w:kern w:val="0"/>
                <w:sz w:val="22"/>
                <w:szCs w:val="22"/>
              </w:rPr>
              <w:t>价值</w:t>
            </w:r>
          </w:p>
        </w:tc>
        <w:tc>
          <w:tcPr>
            <w:tcW w:w="542" w:type="dxa"/>
            <w:tcBorders>
              <w:top w:val="single" w:color="808080" w:sz="4" w:space="0"/>
              <w:left w:val="single" w:color="808080" w:sz="4" w:space="0"/>
              <w:bottom w:val="single" w:color="808080" w:sz="4" w:space="0"/>
              <w:right w:val="single" w:color="808080" w:sz="4" w:space="0"/>
            </w:tcBorders>
            <w:shd w:val="clear" w:color="auto" w:fill="FFFFFF"/>
            <w:tcMar>
              <w:top w:w="15" w:type="dxa"/>
              <w:left w:w="15" w:type="dxa"/>
              <w:right w:w="15" w:type="dxa"/>
            </w:tcMar>
            <w:vAlign w:val="center"/>
          </w:tcPr>
          <w:p>
            <w:pPr>
              <w:widowControl/>
              <w:jc w:val="center"/>
              <w:textAlignment w:val="center"/>
              <w:rPr>
                <w:rFonts w:ascii="仿宋" w:hAnsi="仿宋" w:eastAsia="仿宋" w:cs="仿宋"/>
                <w:color w:val="000000"/>
                <w:sz w:val="22"/>
                <w:szCs w:val="22"/>
              </w:rPr>
            </w:pPr>
            <w:r>
              <w:rPr>
                <w:rFonts w:hint="eastAsia" w:ascii="仿宋" w:hAnsi="仿宋" w:eastAsia="仿宋" w:cs="仿宋"/>
                <w:color w:val="000000"/>
                <w:kern w:val="0"/>
                <w:sz w:val="22"/>
                <w:szCs w:val="22"/>
              </w:rPr>
              <w:t>价值类型</w:t>
            </w:r>
          </w:p>
        </w:tc>
        <w:tc>
          <w:tcPr>
            <w:tcW w:w="684" w:type="dxa"/>
            <w:tcBorders>
              <w:top w:val="single" w:color="808080" w:sz="4" w:space="0"/>
              <w:left w:val="single" w:color="808080" w:sz="4" w:space="0"/>
              <w:bottom w:val="single" w:color="808080" w:sz="4" w:space="0"/>
              <w:right w:val="single" w:color="808080" w:sz="4" w:space="0"/>
            </w:tcBorders>
            <w:shd w:val="clear" w:color="auto" w:fill="FFFFFF"/>
            <w:tcMar>
              <w:top w:w="15" w:type="dxa"/>
              <w:left w:w="15" w:type="dxa"/>
              <w:right w:w="15" w:type="dxa"/>
            </w:tcMar>
            <w:vAlign w:val="center"/>
          </w:tcPr>
          <w:p>
            <w:pPr>
              <w:widowControl/>
              <w:jc w:val="center"/>
              <w:textAlignment w:val="center"/>
              <w:rPr>
                <w:rFonts w:ascii="仿宋" w:hAnsi="仿宋" w:eastAsia="仿宋" w:cs="仿宋"/>
                <w:color w:val="000000"/>
                <w:sz w:val="22"/>
                <w:szCs w:val="22"/>
              </w:rPr>
            </w:pPr>
            <w:r>
              <w:rPr>
                <w:rFonts w:hint="eastAsia" w:ascii="仿宋" w:hAnsi="仿宋" w:eastAsia="仿宋" w:cs="仿宋"/>
                <w:color w:val="000000"/>
                <w:kern w:val="0"/>
                <w:sz w:val="22"/>
                <w:szCs w:val="22"/>
              </w:rPr>
              <w:t>取得方式</w:t>
            </w:r>
          </w:p>
        </w:tc>
        <w:tc>
          <w:tcPr>
            <w:tcW w:w="1170" w:type="dxa"/>
            <w:tcBorders>
              <w:top w:val="single" w:color="808080" w:sz="4" w:space="0"/>
              <w:left w:val="single" w:color="808080" w:sz="4" w:space="0"/>
              <w:bottom w:val="single" w:color="808080" w:sz="4" w:space="0"/>
              <w:right w:val="single" w:color="808080" w:sz="4" w:space="0"/>
            </w:tcBorders>
            <w:shd w:val="clear" w:color="auto" w:fill="FFFFFF"/>
            <w:tcMar>
              <w:top w:w="15" w:type="dxa"/>
              <w:left w:w="15" w:type="dxa"/>
              <w:right w:w="15" w:type="dxa"/>
            </w:tcMar>
            <w:vAlign w:val="center"/>
          </w:tcPr>
          <w:p>
            <w:pPr>
              <w:widowControl/>
              <w:jc w:val="center"/>
              <w:textAlignment w:val="center"/>
              <w:rPr>
                <w:rFonts w:ascii="仿宋" w:hAnsi="仿宋" w:eastAsia="仿宋" w:cs="仿宋"/>
                <w:color w:val="000000"/>
                <w:sz w:val="22"/>
                <w:szCs w:val="22"/>
              </w:rPr>
            </w:pPr>
            <w:r>
              <w:rPr>
                <w:rFonts w:hint="eastAsia" w:ascii="仿宋" w:hAnsi="仿宋" w:eastAsia="仿宋" w:cs="仿宋"/>
                <w:color w:val="000000"/>
                <w:kern w:val="0"/>
                <w:sz w:val="22"/>
                <w:szCs w:val="22"/>
              </w:rPr>
              <w:t>取得日期</w:t>
            </w:r>
          </w:p>
        </w:tc>
        <w:tc>
          <w:tcPr>
            <w:tcW w:w="706" w:type="dxa"/>
            <w:tcBorders>
              <w:top w:val="single" w:color="808080" w:sz="4" w:space="0"/>
              <w:left w:val="single" w:color="808080" w:sz="4" w:space="0"/>
              <w:bottom w:val="single" w:color="808080" w:sz="4" w:space="0"/>
              <w:right w:val="single" w:color="808080" w:sz="4" w:space="0"/>
            </w:tcBorders>
            <w:shd w:val="clear" w:color="auto" w:fill="FFFFFF"/>
            <w:tcMar>
              <w:top w:w="15" w:type="dxa"/>
              <w:left w:w="15" w:type="dxa"/>
              <w:right w:w="15" w:type="dxa"/>
            </w:tcMar>
            <w:vAlign w:val="center"/>
          </w:tcPr>
          <w:p>
            <w:pPr>
              <w:widowControl/>
              <w:jc w:val="center"/>
              <w:textAlignment w:val="center"/>
              <w:rPr>
                <w:rFonts w:ascii="仿宋" w:hAnsi="仿宋" w:eastAsia="仿宋" w:cs="仿宋"/>
                <w:color w:val="000000"/>
                <w:sz w:val="22"/>
                <w:szCs w:val="22"/>
              </w:rPr>
            </w:pPr>
            <w:r>
              <w:rPr>
                <w:rFonts w:hint="eastAsia" w:ascii="仿宋" w:hAnsi="仿宋" w:eastAsia="仿宋" w:cs="仿宋"/>
                <w:color w:val="000000"/>
                <w:kern w:val="0"/>
                <w:sz w:val="22"/>
                <w:szCs w:val="22"/>
              </w:rPr>
              <w:t>车牌号</w:t>
            </w:r>
          </w:p>
        </w:tc>
        <w:tc>
          <w:tcPr>
            <w:tcW w:w="1320" w:type="dxa"/>
            <w:tcBorders>
              <w:top w:val="single" w:color="808080" w:sz="4" w:space="0"/>
              <w:left w:val="single" w:color="808080" w:sz="4" w:space="0"/>
              <w:bottom w:val="single" w:color="808080" w:sz="4" w:space="0"/>
              <w:right w:val="single" w:color="808080" w:sz="4" w:space="0"/>
            </w:tcBorders>
            <w:shd w:val="clear" w:color="auto" w:fill="FFFFFF"/>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rPr>
            </w:pPr>
            <w:r>
              <w:rPr>
                <w:rFonts w:hint="eastAsia" w:ascii="宋体" w:hAnsi="宋体" w:cs="宋体"/>
                <w:color w:val="000000"/>
                <w:kern w:val="0"/>
                <w:sz w:val="18"/>
                <w:szCs w:val="18"/>
              </w:rPr>
              <w:t>车辆品牌</w:t>
            </w:r>
          </w:p>
        </w:tc>
        <w:tc>
          <w:tcPr>
            <w:tcW w:w="1320" w:type="dxa"/>
            <w:tcBorders>
              <w:top w:val="single" w:color="808080" w:sz="4" w:space="0"/>
              <w:left w:val="single" w:color="808080" w:sz="4" w:space="0"/>
              <w:bottom w:val="single" w:color="808080" w:sz="4" w:space="0"/>
              <w:right w:val="single" w:color="808080" w:sz="4" w:space="0"/>
            </w:tcBorders>
            <w:shd w:val="clear" w:color="auto" w:fill="FFFFFF"/>
            <w:tcMar>
              <w:top w:w="15" w:type="dxa"/>
              <w:left w:w="15" w:type="dxa"/>
              <w:right w:w="15" w:type="dxa"/>
            </w:tcMar>
            <w:vAlign w:val="center"/>
          </w:tcPr>
          <w:p>
            <w:pPr>
              <w:widowControl/>
              <w:jc w:val="center"/>
              <w:textAlignment w:val="center"/>
              <w:rPr>
                <w:rFonts w:ascii="仿宋" w:hAnsi="仿宋" w:eastAsia="仿宋" w:cs="仿宋"/>
                <w:color w:val="000000"/>
                <w:sz w:val="22"/>
                <w:szCs w:val="22"/>
              </w:rPr>
            </w:pPr>
            <w:r>
              <w:rPr>
                <w:rFonts w:hint="eastAsia" w:ascii="仿宋" w:hAnsi="仿宋" w:eastAsia="仿宋" w:cs="仿宋"/>
                <w:color w:val="000000"/>
                <w:kern w:val="0"/>
                <w:sz w:val="22"/>
                <w:szCs w:val="22"/>
              </w:rPr>
              <w:t>规格型号</w:t>
            </w:r>
          </w:p>
        </w:tc>
      </w:tr>
      <w:tr>
        <w:tblPrEx>
          <w:tblLayout w:type="fixed"/>
          <w:tblCellMar>
            <w:top w:w="0" w:type="dxa"/>
            <w:left w:w="0" w:type="dxa"/>
            <w:bottom w:w="0" w:type="dxa"/>
            <w:right w:w="0" w:type="dxa"/>
          </w:tblCellMar>
        </w:tblPrEx>
        <w:trPr>
          <w:trHeight w:val="426" w:hRule="atLeast"/>
        </w:trPr>
        <w:tc>
          <w:tcPr>
            <w:tcW w:w="354" w:type="dxa"/>
            <w:vMerge w:val="restart"/>
            <w:tcBorders>
              <w:top w:val="single" w:color="808080" w:sz="4" w:space="0"/>
              <w:left w:val="single" w:color="808080" w:sz="4" w:space="0"/>
              <w:bottom w:val="single" w:color="808080" w:sz="4" w:space="0"/>
              <w:right w:val="single" w:color="808080" w:sz="4" w:space="0"/>
            </w:tcBorders>
            <w:shd w:val="clear" w:color="auto" w:fill="FFFFFF"/>
            <w:tcMar>
              <w:top w:w="15" w:type="dxa"/>
              <w:left w:w="15" w:type="dxa"/>
              <w:right w:w="15" w:type="dxa"/>
            </w:tcMar>
            <w:vAlign w:val="center"/>
          </w:tcPr>
          <w:p>
            <w:pPr>
              <w:widowControl/>
              <w:jc w:val="center"/>
              <w:textAlignment w:val="center"/>
              <w:rPr>
                <w:rFonts w:ascii="仿宋" w:hAnsi="仿宋" w:eastAsia="仿宋" w:cs="仿宋"/>
                <w:color w:val="000000"/>
                <w:sz w:val="22"/>
                <w:szCs w:val="22"/>
              </w:rPr>
            </w:pPr>
            <w:r>
              <w:rPr>
                <w:rFonts w:hint="eastAsia" w:ascii="仿宋" w:hAnsi="仿宋" w:eastAsia="仿宋" w:cs="仿宋"/>
                <w:color w:val="000000"/>
                <w:kern w:val="0"/>
                <w:sz w:val="22"/>
                <w:szCs w:val="22"/>
              </w:rPr>
              <w:t>越野车</w:t>
            </w:r>
          </w:p>
        </w:tc>
        <w:tc>
          <w:tcPr>
            <w:tcW w:w="1026" w:type="dxa"/>
            <w:tcBorders>
              <w:top w:val="single" w:color="808080" w:sz="4" w:space="0"/>
              <w:left w:val="single" w:color="808080" w:sz="4" w:space="0"/>
              <w:bottom w:val="single" w:color="808080" w:sz="4" w:space="0"/>
              <w:right w:val="single" w:color="808080" w:sz="4" w:space="0"/>
            </w:tcBorders>
            <w:shd w:val="clear" w:color="auto" w:fill="FFFFFF"/>
            <w:noWrap/>
            <w:tcMar>
              <w:top w:w="15" w:type="dxa"/>
              <w:left w:w="15" w:type="dxa"/>
              <w:right w:w="15" w:type="dxa"/>
            </w:tcMar>
          </w:tcPr>
          <w:p>
            <w:pPr>
              <w:widowControl/>
              <w:jc w:val="left"/>
              <w:textAlignment w:val="top"/>
              <w:rPr>
                <w:rFonts w:ascii="仿宋" w:hAnsi="仿宋" w:eastAsia="仿宋" w:cs="仿宋"/>
                <w:color w:val="000000"/>
                <w:sz w:val="22"/>
                <w:szCs w:val="22"/>
              </w:rPr>
            </w:pPr>
            <w:r>
              <w:rPr>
                <w:rFonts w:hint="eastAsia" w:ascii="宋体" w:hAnsi="宋体" w:cs="宋体"/>
                <w:color w:val="000000"/>
                <w:kern w:val="0"/>
                <w:sz w:val="18"/>
                <w:szCs w:val="18"/>
              </w:rPr>
              <w:t>越野车</w:t>
            </w:r>
          </w:p>
        </w:tc>
        <w:tc>
          <w:tcPr>
            <w:tcW w:w="1145" w:type="dxa"/>
            <w:tcBorders>
              <w:top w:val="single" w:color="808080" w:sz="4" w:space="0"/>
              <w:left w:val="single" w:color="808080" w:sz="4" w:space="0"/>
              <w:bottom w:val="single" w:color="808080" w:sz="4" w:space="0"/>
              <w:right w:val="single" w:color="808080" w:sz="4" w:space="0"/>
            </w:tcBorders>
            <w:shd w:val="clear" w:color="auto" w:fill="FFFFFF"/>
            <w:noWrap/>
            <w:tcMar>
              <w:top w:w="15" w:type="dxa"/>
              <w:left w:w="15" w:type="dxa"/>
              <w:right w:w="15" w:type="dxa"/>
            </w:tcMar>
          </w:tcPr>
          <w:p>
            <w:pPr>
              <w:widowControl/>
              <w:jc w:val="right"/>
              <w:textAlignment w:val="top"/>
              <w:rPr>
                <w:rFonts w:ascii="仿宋" w:hAnsi="仿宋" w:eastAsia="仿宋" w:cs="仿宋"/>
                <w:color w:val="000000"/>
                <w:sz w:val="22"/>
                <w:szCs w:val="22"/>
              </w:rPr>
            </w:pPr>
            <w:r>
              <w:rPr>
                <w:rFonts w:ascii="宋体" w:hAnsi="宋体" w:cs="宋体"/>
                <w:color w:val="000000"/>
                <w:kern w:val="0"/>
                <w:sz w:val="18"/>
                <w:szCs w:val="18"/>
              </w:rPr>
              <w:t xml:space="preserve">370,000.00 </w:t>
            </w:r>
          </w:p>
        </w:tc>
        <w:tc>
          <w:tcPr>
            <w:tcW w:w="542" w:type="dxa"/>
            <w:tcBorders>
              <w:top w:val="single" w:color="808080" w:sz="4" w:space="0"/>
              <w:left w:val="single" w:color="808080" w:sz="4" w:space="0"/>
              <w:bottom w:val="single" w:color="808080" w:sz="4" w:space="0"/>
              <w:right w:val="single" w:color="808080" w:sz="4" w:space="0"/>
            </w:tcBorders>
            <w:shd w:val="clear" w:color="auto" w:fill="FFFFFF"/>
            <w:noWrap/>
            <w:tcMar>
              <w:top w:w="15" w:type="dxa"/>
              <w:left w:w="15" w:type="dxa"/>
              <w:right w:w="15" w:type="dxa"/>
            </w:tcMar>
          </w:tcPr>
          <w:p>
            <w:pPr>
              <w:widowControl/>
              <w:jc w:val="left"/>
              <w:textAlignment w:val="top"/>
              <w:rPr>
                <w:rFonts w:ascii="仿宋" w:hAnsi="仿宋" w:eastAsia="仿宋" w:cs="仿宋"/>
                <w:color w:val="000000"/>
                <w:sz w:val="22"/>
                <w:szCs w:val="22"/>
              </w:rPr>
            </w:pPr>
            <w:r>
              <w:rPr>
                <w:rFonts w:hint="eastAsia" w:ascii="仿宋" w:hAnsi="仿宋" w:eastAsia="仿宋" w:cs="仿宋"/>
                <w:color w:val="000000"/>
                <w:kern w:val="0"/>
                <w:sz w:val="22"/>
                <w:szCs w:val="22"/>
              </w:rPr>
              <w:t>原值</w:t>
            </w:r>
          </w:p>
        </w:tc>
        <w:tc>
          <w:tcPr>
            <w:tcW w:w="684" w:type="dxa"/>
            <w:tcBorders>
              <w:top w:val="single" w:color="808080" w:sz="4" w:space="0"/>
              <w:left w:val="single" w:color="808080" w:sz="4" w:space="0"/>
              <w:bottom w:val="single" w:color="808080" w:sz="4" w:space="0"/>
              <w:right w:val="single" w:color="808080" w:sz="4" w:space="0"/>
            </w:tcBorders>
            <w:shd w:val="clear" w:color="auto" w:fill="FFFFFF"/>
            <w:noWrap/>
            <w:tcMar>
              <w:top w:w="15" w:type="dxa"/>
              <w:left w:w="15" w:type="dxa"/>
              <w:right w:w="15" w:type="dxa"/>
            </w:tcMar>
          </w:tcPr>
          <w:p>
            <w:pPr>
              <w:widowControl/>
              <w:jc w:val="left"/>
              <w:textAlignment w:val="top"/>
              <w:rPr>
                <w:rFonts w:ascii="仿宋" w:hAnsi="仿宋" w:eastAsia="仿宋" w:cs="仿宋"/>
                <w:color w:val="000000"/>
                <w:sz w:val="22"/>
                <w:szCs w:val="22"/>
              </w:rPr>
            </w:pPr>
            <w:r>
              <w:rPr>
                <w:rFonts w:hint="eastAsia" w:ascii="仿宋" w:hAnsi="仿宋" w:eastAsia="仿宋" w:cs="仿宋"/>
                <w:color w:val="000000"/>
                <w:kern w:val="0"/>
                <w:sz w:val="22"/>
                <w:szCs w:val="22"/>
              </w:rPr>
              <w:t>新购</w:t>
            </w:r>
          </w:p>
        </w:tc>
        <w:tc>
          <w:tcPr>
            <w:tcW w:w="1170" w:type="dxa"/>
            <w:tcBorders>
              <w:top w:val="single" w:color="808080" w:sz="4" w:space="0"/>
              <w:left w:val="single" w:color="808080" w:sz="4" w:space="0"/>
              <w:bottom w:val="single" w:color="808080" w:sz="4" w:space="0"/>
              <w:right w:val="single" w:color="808080" w:sz="4" w:space="0"/>
            </w:tcBorders>
            <w:shd w:val="clear" w:color="auto" w:fill="FFFFFF"/>
            <w:noWrap/>
            <w:tcMar>
              <w:top w:w="15" w:type="dxa"/>
              <w:left w:w="15" w:type="dxa"/>
              <w:right w:w="15" w:type="dxa"/>
            </w:tcMar>
          </w:tcPr>
          <w:p>
            <w:pPr>
              <w:widowControl/>
              <w:jc w:val="left"/>
              <w:textAlignment w:val="top"/>
              <w:rPr>
                <w:rFonts w:ascii="仿宋" w:hAnsi="仿宋" w:eastAsia="仿宋" w:cs="仿宋"/>
                <w:color w:val="000000"/>
                <w:sz w:val="22"/>
                <w:szCs w:val="22"/>
              </w:rPr>
            </w:pPr>
            <w:r>
              <w:rPr>
                <w:rFonts w:ascii="宋体" w:hAnsi="宋体" w:cs="宋体"/>
                <w:color w:val="000000"/>
                <w:kern w:val="0"/>
                <w:sz w:val="18"/>
                <w:szCs w:val="18"/>
              </w:rPr>
              <w:t>2017-10-15</w:t>
            </w:r>
          </w:p>
        </w:tc>
        <w:tc>
          <w:tcPr>
            <w:tcW w:w="706" w:type="dxa"/>
            <w:tcBorders>
              <w:top w:val="single" w:color="808080" w:sz="4" w:space="0"/>
              <w:left w:val="single" w:color="808080" w:sz="4" w:space="0"/>
              <w:bottom w:val="single" w:color="808080" w:sz="4" w:space="0"/>
              <w:right w:val="single" w:color="808080" w:sz="4" w:space="0"/>
            </w:tcBorders>
            <w:shd w:val="clear" w:color="auto" w:fill="FFFFFF"/>
            <w:noWrap/>
            <w:tcMar>
              <w:top w:w="15" w:type="dxa"/>
              <w:left w:w="15" w:type="dxa"/>
              <w:right w:w="15" w:type="dxa"/>
            </w:tcMar>
          </w:tcPr>
          <w:p>
            <w:pPr>
              <w:widowControl/>
              <w:jc w:val="left"/>
              <w:textAlignment w:val="top"/>
              <w:rPr>
                <w:rFonts w:ascii="仿宋" w:hAnsi="仿宋" w:eastAsia="仿宋" w:cs="仿宋"/>
                <w:color w:val="000000"/>
                <w:sz w:val="22"/>
                <w:szCs w:val="22"/>
              </w:rPr>
            </w:pPr>
            <w:r>
              <w:rPr>
                <w:rFonts w:hint="eastAsia" w:ascii="宋体" w:hAnsi="宋体" w:cs="宋体"/>
                <w:color w:val="000000"/>
                <w:kern w:val="0"/>
                <w:sz w:val="18"/>
                <w:szCs w:val="18"/>
              </w:rPr>
              <w:t>川</w:t>
            </w:r>
            <w:r>
              <w:rPr>
                <w:rFonts w:ascii="宋体" w:hAnsi="宋体" w:cs="宋体"/>
                <w:color w:val="000000"/>
                <w:kern w:val="0"/>
                <w:sz w:val="18"/>
                <w:szCs w:val="18"/>
              </w:rPr>
              <w:t>UCU789</w:t>
            </w:r>
          </w:p>
        </w:tc>
        <w:tc>
          <w:tcPr>
            <w:tcW w:w="1320" w:type="dxa"/>
            <w:tcBorders>
              <w:top w:val="single" w:color="808080" w:sz="4" w:space="0"/>
              <w:left w:val="single" w:color="808080" w:sz="4" w:space="0"/>
              <w:bottom w:val="single" w:color="808080" w:sz="4" w:space="0"/>
              <w:right w:val="single" w:color="808080" w:sz="4" w:space="0"/>
            </w:tcBorders>
            <w:shd w:val="clear" w:color="auto" w:fill="FFFFFF"/>
            <w:noWrap/>
            <w:tcMar>
              <w:top w:w="15" w:type="dxa"/>
              <w:left w:w="15" w:type="dxa"/>
              <w:right w:w="15" w:type="dxa"/>
            </w:tcMar>
          </w:tcPr>
          <w:p>
            <w:pPr>
              <w:widowControl/>
              <w:jc w:val="left"/>
              <w:textAlignment w:val="top"/>
              <w:rPr>
                <w:rFonts w:ascii="宋体" w:cs="宋体"/>
                <w:color w:val="000000"/>
                <w:kern w:val="0"/>
                <w:sz w:val="18"/>
                <w:szCs w:val="18"/>
              </w:rPr>
            </w:pPr>
            <w:r>
              <w:rPr>
                <w:rFonts w:hint="eastAsia" w:ascii="宋体" w:hAnsi="宋体" w:cs="宋体"/>
                <w:color w:val="000000"/>
                <w:kern w:val="0"/>
                <w:sz w:val="18"/>
                <w:szCs w:val="18"/>
              </w:rPr>
              <w:t>普拉多</w:t>
            </w:r>
          </w:p>
        </w:tc>
        <w:tc>
          <w:tcPr>
            <w:tcW w:w="1320" w:type="dxa"/>
            <w:tcBorders>
              <w:top w:val="single" w:color="808080" w:sz="4" w:space="0"/>
              <w:left w:val="single" w:color="808080" w:sz="4" w:space="0"/>
              <w:bottom w:val="single" w:color="808080" w:sz="4" w:space="0"/>
              <w:right w:val="single" w:color="808080" w:sz="4" w:space="0"/>
            </w:tcBorders>
            <w:shd w:val="clear" w:color="auto" w:fill="FFFFFF"/>
            <w:noWrap/>
            <w:tcMar>
              <w:top w:w="15" w:type="dxa"/>
              <w:left w:w="15" w:type="dxa"/>
              <w:right w:w="15" w:type="dxa"/>
            </w:tcMar>
          </w:tcPr>
          <w:p>
            <w:pPr>
              <w:widowControl/>
              <w:jc w:val="left"/>
              <w:textAlignment w:val="top"/>
              <w:rPr>
                <w:rFonts w:ascii="仿宋" w:hAnsi="仿宋" w:eastAsia="仿宋" w:cs="仿宋"/>
                <w:color w:val="000000"/>
                <w:sz w:val="22"/>
                <w:szCs w:val="22"/>
              </w:rPr>
            </w:pPr>
            <w:r>
              <w:rPr>
                <w:rFonts w:hint="eastAsia" w:ascii="宋体" w:hAnsi="宋体" w:cs="宋体"/>
                <w:color w:val="000000"/>
                <w:kern w:val="0"/>
                <w:sz w:val="18"/>
                <w:szCs w:val="18"/>
              </w:rPr>
              <w:t>丰田牌</w:t>
            </w:r>
            <w:r>
              <w:rPr>
                <w:rFonts w:ascii="宋体" w:hAnsi="宋体" w:cs="宋体"/>
                <w:color w:val="000000"/>
                <w:kern w:val="0"/>
                <w:sz w:val="18"/>
                <w:szCs w:val="18"/>
              </w:rPr>
              <w:t>SCT6484TR5</w:t>
            </w:r>
          </w:p>
        </w:tc>
      </w:tr>
      <w:tr>
        <w:tblPrEx>
          <w:tblLayout w:type="fixed"/>
          <w:tblCellMar>
            <w:top w:w="0" w:type="dxa"/>
            <w:left w:w="0" w:type="dxa"/>
            <w:bottom w:w="0" w:type="dxa"/>
            <w:right w:w="0" w:type="dxa"/>
          </w:tblCellMar>
        </w:tblPrEx>
        <w:trPr>
          <w:trHeight w:val="426" w:hRule="atLeast"/>
        </w:trPr>
        <w:tc>
          <w:tcPr>
            <w:tcW w:w="354" w:type="dxa"/>
            <w:vMerge w:val="continue"/>
            <w:tcBorders>
              <w:top w:val="single" w:color="808080" w:sz="4" w:space="0"/>
              <w:left w:val="single" w:color="808080" w:sz="4" w:space="0"/>
              <w:bottom w:val="single" w:color="808080" w:sz="4" w:space="0"/>
              <w:right w:val="single" w:color="808080" w:sz="4" w:space="0"/>
            </w:tcBorders>
            <w:shd w:val="clear" w:color="auto" w:fill="FFFFFF"/>
            <w:tcMar>
              <w:top w:w="15" w:type="dxa"/>
              <w:left w:w="15" w:type="dxa"/>
              <w:right w:w="15" w:type="dxa"/>
            </w:tcMar>
            <w:vAlign w:val="center"/>
          </w:tcPr>
          <w:p>
            <w:pPr>
              <w:jc w:val="center"/>
              <w:rPr>
                <w:rFonts w:ascii="仿宋" w:hAnsi="仿宋" w:eastAsia="仿宋" w:cs="仿宋"/>
                <w:color w:val="000000"/>
                <w:sz w:val="22"/>
                <w:szCs w:val="22"/>
              </w:rPr>
            </w:pPr>
          </w:p>
        </w:tc>
        <w:tc>
          <w:tcPr>
            <w:tcW w:w="1026" w:type="dxa"/>
            <w:tcBorders>
              <w:top w:val="single" w:color="808080" w:sz="4" w:space="0"/>
              <w:left w:val="single" w:color="808080" w:sz="4" w:space="0"/>
              <w:bottom w:val="single" w:color="808080" w:sz="4" w:space="0"/>
              <w:right w:val="single" w:color="808080" w:sz="4" w:space="0"/>
            </w:tcBorders>
            <w:shd w:val="clear" w:color="auto" w:fill="FFFFFF"/>
            <w:noWrap/>
            <w:tcMar>
              <w:top w:w="15" w:type="dxa"/>
              <w:left w:w="15" w:type="dxa"/>
              <w:right w:w="15" w:type="dxa"/>
            </w:tcMar>
          </w:tcPr>
          <w:p>
            <w:pPr>
              <w:widowControl/>
              <w:jc w:val="left"/>
              <w:textAlignment w:val="top"/>
              <w:rPr>
                <w:rFonts w:ascii="仿宋" w:hAnsi="仿宋" w:eastAsia="仿宋" w:cs="仿宋"/>
                <w:color w:val="000000"/>
                <w:sz w:val="22"/>
                <w:szCs w:val="22"/>
              </w:rPr>
            </w:pPr>
            <w:r>
              <w:rPr>
                <w:rFonts w:hint="eastAsia" w:ascii="宋体" w:hAnsi="宋体" w:cs="宋体"/>
                <w:color w:val="000000"/>
                <w:kern w:val="0"/>
                <w:sz w:val="18"/>
                <w:szCs w:val="18"/>
              </w:rPr>
              <w:t>尼桑牌乘用车</w:t>
            </w:r>
          </w:p>
        </w:tc>
        <w:tc>
          <w:tcPr>
            <w:tcW w:w="1145" w:type="dxa"/>
            <w:tcBorders>
              <w:top w:val="single" w:color="808080" w:sz="4" w:space="0"/>
              <w:left w:val="single" w:color="808080" w:sz="4" w:space="0"/>
              <w:bottom w:val="single" w:color="808080" w:sz="4" w:space="0"/>
              <w:right w:val="single" w:color="808080" w:sz="4" w:space="0"/>
            </w:tcBorders>
            <w:shd w:val="clear" w:color="auto" w:fill="FFFFFF"/>
            <w:noWrap/>
            <w:tcMar>
              <w:top w:w="15" w:type="dxa"/>
              <w:left w:w="15" w:type="dxa"/>
              <w:right w:w="15" w:type="dxa"/>
            </w:tcMar>
          </w:tcPr>
          <w:p>
            <w:pPr>
              <w:widowControl/>
              <w:jc w:val="right"/>
              <w:textAlignment w:val="top"/>
              <w:rPr>
                <w:rFonts w:ascii="仿宋" w:hAnsi="仿宋" w:eastAsia="仿宋" w:cs="仿宋"/>
                <w:color w:val="000000"/>
                <w:sz w:val="22"/>
                <w:szCs w:val="22"/>
              </w:rPr>
            </w:pPr>
            <w:r>
              <w:rPr>
                <w:rFonts w:ascii="宋体" w:hAnsi="宋体" w:cs="宋体"/>
                <w:color w:val="000000"/>
                <w:kern w:val="0"/>
                <w:sz w:val="18"/>
                <w:szCs w:val="18"/>
              </w:rPr>
              <w:t xml:space="preserve">179,625.00 </w:t>
            </w:r>
          </w:p>
        </w:tc>
        <w:tc>
          <w:tcPr>
            <w:tcW w:w="542" w:type="dxa"/>
            <w:tcBorders>
              <w:top w:val="single" w:color="808080" w:sz="4" w:space="0"/>
              <w:left w:val="single" w:color="808080" w:sz="4" w:space="0"/>
              <w:bottom w:val="single" w:color="808080" w:sz="4" w:space="0"/>
              <w:right w:val="single" w:color="808080" w:sz="4" w:space="0"/>
            </w:tcBorders>
            <w:shd w:val="clear" w:color="auto" w:fill="FFFFFF"/>
            <w:noWrap/>
            <w:tcMar>
              <w:top w:w="15" w:type="dxa"/>
              <w:left w:w="15" w:type="dxa"/>
              <w:right w:w="15" w:type="dxa"/>
            </w:tcMar>
          </w:tcPr>
          <w:p>
            <w:pPr>
              <w:widowControl/>
              <w:jc w:val="left"/>
              <w:textAlignment w:val="top"/>
              <w:rPr>
                <w:rFonts w:ascii="仿宋" w:hAnsi="仿宋" w:eastAsia="仿宋" w:cs="仿宋"/>
                <w:color w:val="000000"/>
                <w:sz w:val="22"/>
                <w:szCs w:val="22"/>
              </w:rPr>
            </w:pPr>
            <w:r>
              <w:rPr>
                <w:rFonts w:hint="eastAsia" w:ascii="仿宋" w:hAnsi="仿宋" w:eastAsia="仿宋" w:cs="仿宋"/>
                <w:color w:val="000000"/>
                <w:kern w:val="0"/>
                <w:sz w:val="22"/>
                <w:szCs w:val="22"/>
              </w:rPr>
              <w:t>原值</w:t>
            </w:r>
          </w:p>
        </w:tc>
        <w:tc>
          <w:tcPr>
            <w:tcW w:w="684" w:type="dxa"/>
            <w:tcBorders>
              <w:top w:val="single" w:color="808080" w:sz="4" w:space="0"/>
              <w:left w:val="single" w:color="808080" w:sz="4" w:space="0"/>
              <w:bottom w:val="single" w:color="808080" w:sz="4" w:space="0"/>
              <w:right w:val="single" w:color="808080" w:sz="4" w:space="0"/>
            </w:tcBorders>
            <w:shd w:val="clear" w:color="auto" w:fill="FFFFFF"/>
            <w:noWrap/>
            <w:tcMar>
              <w:top w:w="15" w:type="dxa"/>
              <w:left w:w="15" w:type="dxa"/>
              <w:right w:w="15" w:type="dxa"/>
            </w:tcMar>
          </w:tcPr>
          <w:p>
            <w:pPr>
              <w:widowControl/>
              <w:jc w:val="left"/>
              <w:textAlignment w:val="top"/>
              <w:rPr>
                <w:rFonts w:ascii="仿宋" w:hAnsi="仿宋" w:eastAsia="仿宋" w:cs="仿宋"/>
                <w:color w:val="000000"/>
                <w:sz w:val="22"/>
                <w:szCs w:val="22"/>
              </w:rPr>
            </w:pPr>
            <w:r>
              <w:rPr>
                <w:rFonts w:hint="eastAsia" w:ascii="仿宋" w:hAnsi="仿宋" w:eastAsia="仿宋" w:cs="仿宋"/>
                <w:color w:val="000000"/>
                <w:kern w:val="0"/>
                <w:sz w:val="22"/>
                <w:szCs w:val="22"/>
              </w:rPr>
              <w:t>新购</w:t>
            </w:r>
          </w:p>
        </w:tc>
        <w:tc>
          <w:tcPr>
            <w:tcW w:w="1170" w:type="dxa"/>
            <w:tcBorders>
              <w:top w:val="single" w:color="808080" w:sz="4" w:space="0"/>
              <w:left w:val="single" w:color="808080" w:sz="4" w:space="0"/>
              <w:bottom w:val="single" w:color="808080" w:sz="4" w:space="0"/>
              <w:right w:val="single" w:color="808080" w:sz="4" w:space="0"/>
            </w:tcBorders>
            <w:shd w:val="clear" w:color="auto" w:fill="FFFFFF"/>
            <w:noWrap/>
            <w:tcMar>
              <w:top w:w="15" w:type="dxa"/>
              <w:left w:w="15" w:type="dxa"/>
              <w:right w:w="15" w:type="dxa"/>
            </w:tcMar>
          </w:tcPr>
          <w:p>
            <w:pPr>
              <w:widowControl/>
              <w:jc w:val="left"/>
              <w:textAlignment w:val="top"/>
              <w:rPr>
                <w:rFonts w:ascii="仿宋" w:hAnsi="仿宋" w:eastAsia="仿宋" w:cs="仿宋"/>
                <w:color w:val="000000"/>
                <w:sz w:val="22"/>
                <w:szCs w:val="22"/>
              </w:rPr>
            </w:pPr>
            <w:r>
              <w:rPr>
                <w:rFonts w:ascii="宋体" w:hAnsi="宋体" w:cs="宋体"/>
                <w:color w:val="000000"/>
                <w:kern w:val="0"/>
                <w:sz w:val="18"/>
                <w:szCs w:val="18"/>
              </w:rPr>
              <w:t>2011-08-10</w:t>
            </w:r>
          </w:p>
        </w:tc>
        <w:tc>
          <w:tcPr>
            <w:tcW w:w="706" w:type="dxa"/>
            <w:tcBorders>
              <w:top w:val="single" w:color="808080" w:sz="4" w:space="0"/>
              <w:left w:val="single" w:color="808080" w:sz="4" w:space="0"/>
              <w:bottom w:val="single" w:color="808080" w:sz="4" w:space="0"/>
              <w:right w:val="single" w:color="808080" w:sz="4" w:space="0"/>
            </w:tcBorders>
            <w:shd w:val="clear" w:color="auto" w:fill="FFFFFF"/>
            <w:noWrap/>
            <w:tcMar>
              <w:top w:w="15" w:type="dxa"/>
              <w:left w:w="15" w:type="dxa"/>
              <w:right w:w="15" w:type="dxa"/>
            </w:tcMar>
          </w:tcPr>
          <w:p>
            <w:pPr>
              <w:widowControl/>
              <w:jc w:val="left"/>
              <w:textAlignment w:val="top"/>
              <w:rPr>
                <w:rFonts w:ascii="仿宋" w:hAnsi="仿宋" w:eastAsia="仿宋" w:cs="仿宋"/>
                <w:color w:val="000000"/>
                <w:sz w:val="22"/>
                <w:szCs w:val="22"/>
              </w:rPr>
            </w:pPr>
            <w:r>
              <w:rPr>
                <w:rFonts w:hint="eastAsia" w:ascii="宋体" w:hAnsi="宋体" w:cs="宋体"/>
                <w:color w:val="000000"/>
                <w:kern w:val="0"/>
                <w:sz w:val="18"/>
                <w:szCs w:val="18"/>
              </w:rPr>
              <w:t>川</w:t>
            </w:r>
            <w:r>
              <w:rPr>
                <w:rFonts w:ascii="宋体" w:hAnsi="宋体" w:cs="宋体"/>
                <w:color w:val="000000"/>
                <w:kern w:val="0"/>
                <w:sz w:val="18"/>
                <w:szCs w:val="18"/>
              </w:rPr>
              <w:t>U81059</w:t>
            </w:r>
          </w:p>
        </w:tc>
        <w:tc>
          <w:tcPr>
            <w:tcW w:w="1320" w:type="dxa"/>
            <w:tcBorders>
              <w:top w:val="single" w:color="808080" w:sz="4" w:space="0"/>
              <w:left w:val="single" w:color="808080" w:sz="4" w:space="0"/>
              <w:bottom w:val="single" w:color="808080" w:sz="4" w:space="0"/>
              <w:right w:val="single" w:color="808080" w:sz="4" w:space="0"/>
            </w:tcBorders>
            <w:shd w:val="clear" w:color="auto" w:fill="FFFFFF"/>
            <w:noWrap/>
            <w:tcMar>
              <w:top w:w="15" w:type="dxa"/>
              <w:left w:w="15" w:type="dxa"/>
              <w:right w:w="15" w:type="dxa"/>
            </w:tcMar>
          </w:tcPr>
          <w:p>
            <w:pPr>
              <w:widowControl/>
              <w:jc w:val="left"/>
              <w:textAlignment w:val="top"/>
              <w:rPr>
                <w:rFonts w:ascii="宋体" w:cs="宋体"/>
                <w:color w:val="000000"/>
                <w:kern w:val="0"/>
                <w:sz w:val="18"/>
                <w:szCs w:val="18"/>
              </w:rPr>
            </w:pPr>
            <w:r>
              <w:rPr>
                <w:rFonts w:hint="eastAsia" w:ascii="宋体" w:hAnsi="宋体" w:cs="宋体"/>
                <w:color w:val="000000"/>
                <w:kern w:val="0"/>
                <w:sz w:val="18"/>
                <w:szCs w:val="18"/>
              </w:rPr>
              <w:t>帕拉丁</w:t>
            </w:r>
          </w:p>
        </w:tc>
        <w:tc>
          <w:tcPr>
            <w:tcW w:w="1320" w:type="dxa"/>
            <w:tcBorders>
              <w:top w:val="single" w:color="808080" w:sz="4" w:space="0"/>
              <w:left w:val="single" w:color="808080" w:sz="4" w:space="0"/>
              <w:bottom w:val="single" w:color="808080" w:sz="4" w:space="0"/>
              <w:right w:val="single" w:color="808080" w:sz="4" w:space="0"/>
            </w:tcBorders>
            <w:shd w:val="clear" w:color="auto" w:fill="FFFFFF"/>
            <w:noWrap/>
            <w:tcMar>
              <w:top w:w="15" w:type="dxa"/>
              <w:left w:w="15" w:type="dxa"/>
              <w:right w:w="15" w:type="dxa"/>
            </w:tcMar>
          </w:tcPr>
          <w:p>
            <w:pPr>
              <w:widowControl/>
              <w:jc w:val="left"/>
              <w:textAlignment w:val="top"/>
              <w:rPr>
                <w:rFonts w:ascii="仿宋" w:hAnsi="仿宋" w:eastAsia="仿宋" w:cs="仿宋"/>
                <w:color w:val="000000"/>
                <w:sz w:val="22"/>
                <w:szCs w:val="22"/>
              </w:rPr>
            </w:pPr>
            <w:r>
              <w:rPr>
                <w:rFonts w:ascii="宋体" w:hAnsi="宋体" w:cs="宋体"/>
                <w:color w:val="000000"/>
                <w:kern w:val="0"/>
                <w:sz w:val="18"/>
                <w:szCs w:val="18"/>
              </w:rPr>
              <w:t>ZN6453WAG3</w:t>
            </w:r>
          </w:p>
        </w:tc>
      </w:tr>
    </w:tbl>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6"/>
        </w:numPr>
        <w:spacing w:line="600" w:lineRule="exact"/>
        <w:ind w:firstLine="663" w:firstLineChars="150"/>
        <w:jc w:val="center"/>
        <w:outlineLvl w:val="0"/>
        <w:rPr>
          <w:rStyle w:val="17"/>
          <w:rFonts w:ascii="黑体" w:hAnsi="黑体" w:eastAsia="黑体"/>
          <w:b w:val="0"/>
        </w:rPr>
      </w:pPr>
      <w:bookmarkStart w:id="53" w:name="_Toc15377225"/>
      <w:bookmarkStart w:id="54" w:name="_Toc15396613"/>
      <w:r>
        <w:rPr>
          <w:rFonts w:hint="eastAsia" w:ascii="黑体" w:hAnsi="黑体" w:eastAsia="黑体"/>
          <w:b/>
          <w:color w:val="000000"/>
          <w:sz w:val="44"/>
          <w:szCs w:val="44"/>
        </w:rPr>
        <w:t>名</w:t>
      </w:r>
      <w:r>
        <w:rPr>
          <w:rStyle w:val="17"/>
          <w:rFonts w:hint="eastAsia" w:ascii="黑体" w:hAnsi="黑体" w:eastAsia="黑体"/>
          <w:b w:val="0"/>
        </w:rPr>
        <w:t>词解释</w:t>
      </w:r>
      <w:bookmarkEnd w:id="53"/>
      <w:bookmarkEnd w:id="54"/>
    </w:p>
    <w:p>
      <w:pPr>
        <w:spacing w:line="600" w:lineRule="exact"/>
        <w:jc w:val="left"/>
        <w:rPr>
          <w:rFonts w:ascii="宋体"/>
          <w:b/>
          <w:color w:val="000000"/>
          <w:sz w:val="44"/>
          <w:szCs w:val="44"/>
        </w:rPr>
      </w:pPr>
    </w:p>
    <w:p>
      <w:pPr>
        <w:pStyle w:val="27"/>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7"/>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其他收入：指单位取得的除上述收入以外的各项收入。主要是稿费、网评费等。</w:t>
      </w:r>
    </w:p>
    <w:p>
      <w:pPr>
        <w:pStyle w:val="27"/>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年初结转和结余：指以前年度尚未完成、结转到本年按有关规定继续使用的资金。</w:t>
      </w:r>
    </w:p>
    <w:p>
      <w:pPr>
        <w:pStyle w:val="27"/>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结余分配：指事业单位按照事业单位会计制度的规定从非财政补助结余中分配的事业基金和职工福利基金等。</w:t>
      </w:r>
    </w:p>
    <w:p>
      <w:pPr>
        <w:pStyle w:val="27"/>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color w:val="000000"/>
          <w:sz w:val="32"/>
          <w:szCs w:val="32"/>
        </w:rPr>
      </w:pPr>
      <w:r>
        <w:rPr>
          <w:rFonts w:ascii="仿宋_GB2312" w:eastAsia="仿宋_GB2312"/>
          <w:color w:val="000000"/>
          <w:sz w:val="32"/>
          <w:szCs w:val="32"/>
        </w:rPr>
        <w:t>6.</w:t>
      </w:r>
      <w:r>
        <w:rPr>
          <w:rFonts w:hint="eastAsia" w:ascii="仿宋_GB2312" w:eastAsia="仿宋_GB2312"/>
          <w:color w:val="000000"/>
          <w:sz w:val="32"/>
          <w:szCs w:val="32"/>
        </w:rPr>
        <w:t>一般公共服务（类）</w:t>
      </w:r>
      <w:r>
        <w:rPr>
          <w:rFonts w:ascii="仿宋_GB2312" w:eastAsia="仿宋_GB2312"/>
          <w:color w:val="000000"/>
          <w:sz w:val="32"/>
          <w:szCs w:val="32"/>
        </w:rPr>
        <w:t>201</w:t>
      </w:r>
      <w:r>
        <w:rPr>
          <w:rFonts w:hint="eastAsia" w:ascii="仿宋_GB2312" w:eastAsia="仿宋_GB2312"/>
          <w:color w:val="000000"/>
          <w:sz w:val="32"/>
          <w:szCs w:val="32"/>
        </w:rPr>
        <w:t>（款）</w:t>
      </w:r>
      <w:r>
        <w:rPr>
          <w:rFonts w:ascii="仿宋_GB2312" w:eastAsia="仿宋_GB2312"/>
          <w:color w:val="000000"/>
          <w:sz w:val="32"/>
          <w:szCs w:val="32"/>
        </w:rPr>
        <w:t>33</w:t>
      </w:r>
      <w:r>
        <w:rPr>
          <w:rFonts w:hint="eastAsia" w:ascii="仿宋_GB2312" w:eastAsia="仿宋_GB2312"/>
          <w:color w:val="000000"/>
          <w:sz w:val="32"/>
          <w:szCs w:val="32"/>
        </w:rPr>
        <w:t>（项）</w:t>
      </w:r>
      <w:r>
        <w:rPr>
          <w:rFonts w:ascii="仿宋_GB2312" w:eastAsia="仿宋_GB2312"/>
          <w:color w:val="000000"/>
          <w:sz w:val="32"/>
          <w:szCs w:val="32"/>
        </w:rPr>
        <w:t>01</w:t>
      </w:r>
      <w:r>
        <w:rPr>
          <w:rFonts w:hint="eastAsia" w:ascii="仿宋_GB2312" w:eastAsia="仿宋_GB2312"/>
          <w:color w:val="000000"/>
          <w:sz w:val="32"/>
          <w:szCs w:val="32"/>
        </w:rPr>
        <w:t>：反映政府提供一般公共服务的支出。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7.</w:t>
      </w:r>
      <w:r>
        <w:rPr>
          <w:rFonts w:hint="eastAsia" w:ascii="仿宋_GB2312" w:eastAsia="仿宋_GB2312"/>
          <w:color w:val="000000"/>
          <w:sz w:val="32"/>
          <w:szCs w:val="32"/>
        </w:rPr>
        <w:t>文化体育与传媒（类）</w:t>
      </w:r>
      <w:r>
        <w:rPr>
          <w:rFonts w:ascii="仿宋_GB2312" w:eastAsia="仿宋_GB2312"/>
          <w:color w:val="000000"/>
          <w:sz w:val="32"/>
          <w:szCs w:val="32"/>
        </w:rPr>
        <w:t>207</w:t>
      </w:r>
      <w:r>
        <w:rPr>
          <w:rFonts w:hint="eastAsia" w:ascii="仿宋_GB2312" w:eastAsia="仿宋_GB2312"/>
          <w:color w:val="000000"/>
          <w:sz w:val="32"/>
          <w:szCs w:val="32"/>
        </w:rPr>
        <w:t>（款）</w:t>
      </w:r>
      <w:r>
        <w:rPr>
          <w:rFonts w:ascii="仿宋_GB2312" w:eastAsia="仿宋_GB2312"/>
          <w:color w:val="000000"/>
          <w:sz w:val="32"/>
          <w:szCs w:val="32"/>
        </w:rPr>
        <w:t>99</w:t>
      </w:r>
      <w:r>
        <w:rPr>
          <w:rFonts w:hint="eastAsia" w:ascii="仿宋_GB2312" w:eastAsia="仿宋_GB2312"/>
          <w:color w:val="000000"/>
          <w:sz w:val="32"/>
          <w:szCs w:val="32"/>
        </w:rPr>
        <w:t>（项）</w:t>
      </w:r>
      <w:r>
        <w:rPr>
          <w:rFonts w:ascii="仿宋_GB2312" w:eastAsia="仿宋_GB2312"/>
          <w:color w:val="000000"/>
          <w:sz w:val="32"/>
          <w:szCs w:val="32"/>
        </w:rPr>
        <w:t>02</w:t>
      </w:r>
      <w:r>
        <w:rPr>
          <w:rFonts w:hint="eastAsia" w:ascii="仿宋_GB2312" w:eastAsia="仿宋_GB2312"/>
          <w:color w:val="000000"/>
          <w:sz w:val="32"/>
          <w:szCs w:val="32"/>
        </w:rPr>
        <w:t>：指政府在文化、文物、体育、广播影视、新闻出版等方面的支出。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8.</w:t>
      </w:r>
      <w:r>
        <w:rPr>
          <w:rFonts w:hint="eastAsia" w:ascii="仿宋_GB2312" w:eastAsia="仿宋_GB2312"/>
          <w:color w:val="000000"/>
          <w:sz w:val="32"/>
          <w:szCs w:val="32"/>
        </w:rPr>
        <w:t>社会保障和就业（类）</w:t>
      </w:r>
      <w:r>
        <w:rPr>
          <w:rFonts w:ascii="仿宋_GB2312" w:eastAsia="仿宋_GB2312"/>
          <w:color w:val="000000"/>
          <w:sz w:val="32"/>
          <w:szCs w:val="32"/>
        </w:rPr>
        <w:t>208</w:t>
      </w:r>
      <w:r>
        <w:rPr>
          <w:rFonts w:hint="eastAsia" w:ascii="仿宋_GB2312" w:eastAsia="仿宋_GB2312"/>
          <w:color w:val="000000"/>
          <w:sz w:val="32"/>
          <w:szCs w:val="32"/>
        </w:rPr>
        <w:t>（款）</w:t>
      </w:r>
      <w:r>
        <w:rPr>
          <w:rFonts w:ascii="仿宋_GB2312" w:eastAsia="仿宋_GB2312"/>
          <w:color w:val="000000"/>
          <w:sz w:val="32"/>
          <w:szCs w:val="32"/>
        </w:rPr>
        <w:t>05</w:t>
      </w:r>
      <w:r>
        <w:rPr>
          <w:rFonts w:hint="eastAsia" w:ascii="仿宋_GB2312" w:eastAsia="仿宋_GB2312"/>
          <w:color w:val="000000"/>
          <w:sz w:val="32"/>
          <w:szCs w:val="32"/>
        </w:rPr>
        <w:t>（项）</w:t>
      </w:r>
      <w:r>
        <w:rPr>
          <w:rFonts w:ascii="仿宋_GB2312" w:eastAsia="仿宋_GB2312"/>
          <w:color w:val="000000"/>
          <w:sz w:val="32"/>
          <w:szCs w:val="32"/>
        </w:rPr>
        <w:t>06</w:t>
      </w:r>
      <w:r>
        <w:rPr>
          <w:rFonts w:hint="eastAsia" w:ascii="仿宋_GB2312" w:eastAsia="仿宋_GB2312"/>
          <w:color w:val="000000"/>
          <w:sz w:val="32"/>
          <w:szCs w:val="32"/>
        </w:rPr>
        <w:t>：指机关事业单位实施养老保险制度由单位缴纳的职业年金支出。</w:t>
      </w:r>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9.</w:t>
      </w:r>
      <w:r>
        <w:rPr>
          <w:rFonts w:hint="eastAsia" w:ascii="仿宋_GB2312" w:eastAsia="仿宋_GB2312"/>
          <w:color w:val="000000"/>
          <w:sz w:val="32"/>
          <w:szCs w:val="32"/>
        </w:rPr>
        <w:t>医疗卫生与计划生育（类）</w:t>
      </w:r>
      <w:r>
        <w:rPr>
          <w:rFonts w:ascii="仿宋_GB2312" w:eastAsia="仿宋_GB2312"/>
          <w:color w:val="000000"/>
          <w:sz w:val="32"/>
          <w:szCs w:val="32"/>
        </w:rPr>
        <w:t>210</w:t>
      </w:r>
      <w:r>
        <w:rPr>
          <w:rFonts w:hint="eastAsia" w:ascii="仿宋_GB2312" w:eastAsia="仿宋_GB2312"/>
          <w:color w:val="000000"/>
          <w:sz w:val="32"/>
          <w:szCs w:val="32"/>
        </w:rPr>
        <w:t>（款）</w:t>
      </w:r>
      <w:r>
        <w:rPr>
          <w:rFonts w:ascii="仿宋_GB2312" w:eastAsia="仿宋_GB2312"/>
          <w:color w:val="000000"/>
          <w:sz w:val="32"/>
          <w:szCs w:val="32"/>
        </w:rPr>
        <w:t>11</w:t>
      </w:r>
      <w:r>
        <w:rPr>
          <w:rFonts w:hint="eastAsia" w:ascii="仿宋_GB2312" w:eastAsia="仿宋_GB2312"/>
          <w:color w:val="000000"/>
          <w:sz w:val="32"/>
          <w:szCs w:val="32"/>
        </w:rPr>
        <w:t>（项）</w:t>
      </w:r>
      <w:r>
        <w:rPr>
          <w:rFonts w:ascii="仿宋_GB2312" w:eastAsia="仿宋_GB2312"/>
          <w:color w:val="000000"/>
          <w:sz w:val="32"/>
          <w:szCs w:val="32"/>
        </w:rPr>
        <w:t>01</w:t>
      </w:r>
      <w:r>
        <w:rPr>
          <w:rFonts w:hint="eastAsia" w:ascii="仿宋_GB2312" w:eastAsia="仿宋_GB2312"/>
          <w:color w:val="000000"/>
          <w:sz w:val="32"/>
          <w:szCs w:val="32"/>
        </w:rPr>
        <w:t>：指财政部门集中安排的行政单位基本医疗保险缴费经费，未参加医疗保险的行政单位的公费医疗经费，按国家规定享受离休人员、红军老战士待遇人员的医疗经费。</w:t>
      </w:r>
    </w:p>
    <w:p>
      <w:pPr>
        <w:ind w:firstLine="640" w:firstLineChars="200"/>
        <w:rPr>
          <w:rFonts w:ascii="仿宋_GB2312" w:eastAsia="仿宋_GB2312"/>
          <w:color w:val="000000"/>
          <w:sz w:val="32"/>
          <w:szCs w:val="32"/>
        </w:rPr>
      </w:pPr>
      <w:r>
        <w:rPr>
          <w:rFonts w:ascii="仿宋_GB2312" w:eastAsia="仿宋_GB2312"/>
          <w:color w:val="000000"/>
          <w:sz w:val="32"/>
          <w:szCs w:val="32"/>
        </w:rPr>
        <w:t>10.</w:t>
      </w:r>
      <w:r>
        <w:rPr>
          <w:rFonts w:hint="eastAsia" w:ascii="仿宋_GB2312" w:eastAsia="仿宋_GB2312"/>
          <w:color w:val="000000"/>
          <w:sz w:val="32"/>
          <w:szCs w:val="32"/>
        </w:rPr>
        <w:t>住房保障（类）</w:t>
      </w:r>
      <w:r>
        <w:rPr>
          <w:rFonts w:ascii="仿宋_GB2312" w:eastAsia="仿宋_GB2312"/>
          <w:color w:val="000000"/>
          <w:sz w:val="32"/>
          <w:szCs w:val="32"/>
        </w:rPr>
        <w:t>221</w:t>
      </w:r>
      <w:r>
        <w:rPr>
          <w:rFonts w:hint="eastAsia" w:ascii="仿宋_GB2312" w:eastAsia="仿宋_GB2312"/>
          <w:color w:val="000000"/>
          <w:sz w:val="32"/>
          <w:szCs w:val="32"/>
        </w:rPr>
        <w:t>（款）</w:t>
      </w:r>
      <w:r>
        <w:rPr>
          <w:rFonts w:ascii="仿宋_GB2312" w:eastAsia="仿宋_GB2312"/>
          <w:color w:val="000000"/>
          <w:sz w:val="32"/>
          <w:szCs w:val="32"/>
        </w:rPr>
        <w:t>02</w:t>
      </w:r>
      <w:r>
        <w:rPr>
          <w:rFonts w:hint="eastAsia" w:ascii="仿宋_GB2312" w:eastAsia="仿宋_GB2312"/>
          <w:color w:val="000000"/>
          <w:sz w:val="32"/>
          <w:szCs w:val="32"/>
        </w:rPr>
        <w:t>（项）</w:t>
      </w:r>
      <w:r>
        <w:rPr>
          <w:rFonts w:ascii="仿宋_GB2312" w:eastAsia="仿宋_GB2312"/>
          <w:color w:val="000000"/>
          <w:sz w:val="32"/>
          <w:szCs w:val="32"/>
        </w:rPr>
        <w:t>01</w:t>
      </w:r>
      <w:r>
        <w:rPr>
          <w:rFonts w:hint="eastAsia" w:ascii="仿宋_GB2312" w:eastAsia="仿宋_GB2312"/>
          <w:color w:val="000000"/>
          <w:sz w:val="32"/>
          <w:szCs w:val="32"/>
        </w:rPr>
        <w:t>：指行政事业单位按人力资源和社会保障部、财政部规定的基本工资和津贴补贴以及规定比例为职工缴纳的住房公积金。</w:t>
      </w:r>
    </w:p>
    <w:p>
      <w:pPr>
        <w:ind w:firstLine="640" w:firstLineChars="200"/>
        <w:rPr>
          <w:rFonts w:ascii="仿宋_GB2312" w:eastAsia="仿宋_GB2312"/>
          <w:color w:val="000000"/>
          <w:sz w:val="32"/>
          <w:szCs w:val="32"/>
        </w:rPr>
      </w:pPr>
      <w:r>
        <w:rPr>
          <w:rFonts w:ascii="仿宋_GB2312" w:eastAsia="仿宋_GB2312"/>
          <w:color w:val="000000"/>
          <w:sz w:val="32"/>
          <w:szCs w:val="32"/>
        </w:rPr>
        <w:t>11.</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ascii="仿宋_GB2312" w:eastAsia="仿宋_GB2312"/>
          <w:color w:val="000000"/>
          <w:sz w:val="32"/>
          <w:szCs w:val="32"/>
        </w:rPr>
        <w:t>12.</w:t>
      </w:r>
      <w:r>
        <w:rPr>
          <w:rFonts w:hint="eastAsia" w:ascii="仿宋_GB2312" w:eastAsia="仿宋_GB2312"/>
          <w:color w:val="000000"/>
          <w:sz w:val="32"/>
          <w:szCs w:val="32"/>
        </w:rPr>
        <w:t>项目支出：指在基本支出之外为完成特定行政任务和事业发展目标所发生的支出。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13.</w:t>
      </w:r>
      <w:r>
        <w:rPr>
          <w:rFonts w:hint="eastAsia" w:ascii="仿宋_GB2312" w:eastAsia="仿宋_GB2312"/>
          <w:color w:val="000000"/>
          <w:sz w:val="32"/>
          <w:szCs w:val="32"/>
        </w:rPr>
        <w:t>经营支出：指事业单位在专业业务活动及其辅助活动之外开展非独立核算经营活动发生的支出。</w:t>
      </w:r>
    </w:p>
    <w:p>
      <w:pPr>
        <w:pStyle w:val="27"/>
        <w:spacing w:line="560" w:lineRule="exact"/>
        <w:ind w:firstLine="640" w:firstLineChars="200"/>
        <w:rPr>
          <w:rFonts w:ascii="仿宋_GB2312" w:eastAsia="仿宋_GB2312"/>
          <w:sz w:val="32"/>
          <w:szCs w:val="32"/>
        </w:rPr>
      </w:pPr>
      <w:r>
        <w:rPr>
          <w:rFonts w:ascii="仿宋_GB2312" w:eastAsia="仿宋_GB2312"/>
          <w:sz w:val="32"/>
          <w:szCs w:val="32"/>
        </w:rPr>
        <w:t>14.</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7"/>
        <w:spacing w:line="560" w:lineRule="exact"/>
        <w:ind w:firstLine="640" w:firstLineChars="200"/>
        <w:rPr>
          <w:rStyle w:val="17"/>
          <w:rFonts w:ascii="黑体" w:hAnsi="黑体" w:eastAsia="黑体"/>
          <w:b w:val="0"/>
        </w:rPr>
      </w:pPr>
      <w:r>
        <w:rPr>
          <w:rFonts w:ascii="仿宋_GB2312" w:eastAsia="仿宋_GB2312"/>
          <w:sz w:val="32"/>
          <w:szCs w:val="32"/>
        </w:rPr>
        <w:t>15.</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bookmarkStart w:id="55" w:name="_Toc15377226"/>
      <w:r>
        <w:rPr>
          <w:rFonts w:ascii="宋体"/>
          <w:b/>
          <w:sz w:val="44"/>
          <w:szCs w:val="44"/>
        </w:rPr>
        <w:br w:type="page"/>
      </w:r>
      <w:bookmarkStart w:id="56" w:name="_Toc15396614"/>
      <w:r>
        <w:rPr>
          <w:rFonts w:ascii="宋体"/>
          <w:b/>
          <w:sz w:val="44"/>
          <w:szCs w:val="44"/>
        </w:rPr>
        <w:t xml:space="preserve">            </w:t>
      </w:r>
      <w:r>
        <w:rPr>
          <w:rFonts w:hint="eastAsia" w:ascii="黑体" w:hAnsi="黑体" w:eastAsia="黑体"/>
          <w:sz w:val="44"/>
          <w:szCs w:val="44"/>
        </w:rPr>
        <w:t>第</w:t>
      </w:r>
      <w:r>
        <w:rPr>
          <w:rStyle w:val="17"/>
          <w:rFonts w:hint="eastAsia" w:ascii="黑体" w:hAnsi="黑体" w:eastAsia="黑体"/>
          <w:b w:val="0"/>
        </w:rPr>
        <w:t>四部分</w:t>
      </w:r>
      <w:r>
        <w:rPr>
          <w:rStyle w:val="17"/>
          <w:rFonts w:ascii="黑体" w:hAnsi="黑体" w:eastAsia="黑体"/>
          <w:b w:val="0"/>
        </w:rPr>
        <w:t xml:space="preserve"> </w:t>
      </w:r>
      <w:r>
        <w:rPr>
          <w:rStyle w:val="17"/>
          <w:rFonts w:hint="eastAsia" w:ascii="黑体" w:hAnsi="黑体" w:eastAsia="黑体"/>
          <w:b w:val="0"/>
        </w:rPr>
        <w:t>附件</w:t>
      </w:r>
      <w:bookmarkEnd w:id="56"/>
    </w:p>
    <w:p>
      <w:pPr>
        <w:spacing w:line="600" w:lineRule="exact"/>
        <w:jc w:val="center"/>
        <w:outlineLvl w:val="0"/>
        <w:rPr>
          <w:rStyle w:val="17"/>
        </w:rPr>
      </w:pPr>
    </w:p>
    <w:p>
      <w:pPr>
        <w:pStyle w:val="3"/>
        <w:rPr>
          <w:rStyle w:val="17"/>
          <w:rFonts w:ascii="仿宋" w:hAnsi="仿宋" w:eastAsia="仿宋"/>
          <w:b w:val="0"/>
          <w:bCs w:val="0"/>
          <w:sz w:val="32"/>
          <w:szCs w:val="32"/>
        </w:rPr>
      </w:pPr>
      <w:bookmarkStart w:id="57" w:name="_Toc15396615"/>
      <w:r>
        <w:rPr>
          <w:rStyle w:val="17"/>
          <w:rFonts w:hint="eastAsia" w:ascii="仿宋" w:hAnsi="仿宋" w:eastAsia="仿宋"/>
          <w:b w:val="0"/>
          <w:bCs w:val="0"/>
          <w:sz w:val="32"/>
          <w:szCs w:val="32"/>
        </w:rPr>
        <w:t>附件</w:t>
      </w:r>
      <w:r>
        <w:rPr>
          <w:rStyle w:val="17"/>
          <w:rFonts w:ascii="仿宋" w:hAnsi="仿宋" w:eastAsia="仿宋"/>
          <w:b w:val="0"/>
          <w:bCs w:val="0"/>
          <w:sz w:val="32"/>
          <w:szCs w:val="32"/>
        </w:rPr>
        <w:t>1</w:t>
      </w:r>
      <w:bookmarkEnd w:id="57"/>
    </w:p>
    <w:p>
      <w:pPr>
        <w:spacing w:line="600" w:lineRule="exact"/>
        <w:jc w:val="center"/>
        <w:outlineLvl w:val="0"/>
        <w:rPr>
          <w:rFonts w:ascii="黑体" w:hAnsi="黑体" w:eastAsia="黑体" w:cs="方正小标宋简体"/>
          <w:sz w:val="36"/>
          <w:szCs w:val="36"/>
        </w:rPr>
      </w:pPr>
      <w:bookmarkStart w:id="58" w:name="_Toc15396616"/>
      <w:r>
        <w:rPr>
          <w:rFonts w:hint="eastAsia" w:ascii="黑体" w:hAnsi="黑体" w:eastAsia="黑体" w:cs="方正小标宋简体"/>
          <w:sz w:val="36"/>
          <w:szCs w:val="36"/>
        </w:rPr>
        <w:t>宣传部</w:t>
      </w:r>
      <w:r>
        <w:rPr>
          <w:rFonts w:ascii="黑体" w:hAnsi="黑体" w:eastAsia="黑体" w:cs="方正小标宋简体"/>
          <w:sz w:val="36"/>
          <w:szCs w:val="36"/>
        </w:rPr>
        <w:t>2018</w:t>
      </w:r>
      <w:r>
        <w:rPr>
          <w:rFonts w:hint="eastAsia" w:ascii="黑体" w:hAnsi="黑体" w:eastAsia="黑体" w:cs="方正小标宋简体"/>
          <w:sz w:val="36"/>
          <w:szCs w:val="36"/>
        </w:rPr>
        <w:t>年部门整体支出绩效评价报告</w:t>
      </w:r>
      <w:bookmarkEnd w:id="58"/>
    </w:p>
    <w:p>
      <w:pPr>
        <w:spacing w:line="580" w:lineRule="exact"/>
        <w:ind w:firstLine="640" w:firstLineChars="200"/>
        <w:rPr>
          <w:rFonts w:ascii="黑体" w:hAnsi="黑体" w:eastAsia="黑体" w:cs="黑体"/>
          <w:sz w:val="32"/>
          <w:szCs w:val="32"/>
        </w:rPr>
      </w:pPr>
    </w:p>
    <w:p>
      <w:pPr>
        <w:spacing w:line="580" w:lineRule="exact"/>
        <w:ind w:firstLine="640" w:firstLineChars="200"/>
        <w:rPr>
          <w:rFonts w:ascii="黑体" w:hAnsi="黑体" w:eastAsia="黑体" w:cs="黑体"/>
          <w:sz w:val="32"/>
          <w:szCs w:val="32"/>
        </w:rPr>
      </w:pPr>
      <w:r>
        <w:rPr>
          <w:rFonts w:hint="eastAsia" w:ascii="黑体" w:hAnsi="黑体" w:eastAsia="黑体" w:cs="黑体"/>
          <w:sz w:val="32"/>
          <w:szCs w:val="32"/>
        </w:rPr>
        <w:t>一、部门（单位）概况</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（一）机构组成。</w:t>
      </w:r>
    </w:p>
    <w:p>
      <w:pPr>
        <w:spacing w:line="580" w:lineRule="exact"/>
        <w:ind w:firstLine="643" w:firstLineChars="200"/>
        <w:rPr>
          <w:rFonts w:ascii="仿宋" w:hAnsi="仿宋" w:eastAsia="仿宋" w:cs="仿宋_GB2312"/>
          <w:sz w:val="32"/>
          <w:szCs w:val="32"/>
        </w:rPr>
      </w:pPr>
      <w:r>
        <w:rPr>
          <w:rFonts w:ascii="仿宋_GB2312" w:hAnsi="仿宋_GB2312" w:eastAsia="仿宋_GB2312" w:cs="仿宋_GB2312"/>
          <w:b/>
          <w:bCs/>
          <w:color w:val="4E4342"/>
          <w:kern w:val="0"/>
          <w:sz w:val="32"/>
          <w:szCs w:val="32"/>
        </w:rPr>
        <w:t>1.</w:t>
      </w:r>
      <w:r>
        <w:rPr>
          <w:rFonts w:hint="eastAsia" w:ascii="仿宋_GB2312" w:hAnsi="仿宋_GB2312" w:eastAsia="仿宋_GB2312" w:cs="仿宋_GB2312"/>
          <w:b/>
          <w:bCs/>
          <w:color w:val="4E4342"/>
          <w:kern w:val="0"/>
          <w:sz w:val="32"/>
          <w:szCs w:val="32"/>
        </w:rPr>
        <w:t>本部门机构</w:t>
      </w:r>
      <w:r>
        <w:rPr>
          <w:rFonts w:ascii="仿宋_GB2312" w:hAnsi="仿宋_GB2312" w:eastAsia="仿宋_GB2312" w:cs="仿宋_GB2312"/>
          <w:b/>
          <w:bCs/>
          <w:color w:val="4E4342"/>
          <w:kern w:val="0"/>
          <w:sz w:val="32"/>
          <w:szCs w:val="32"/>
        </w:rPr>
        <w:t xml:space="preserve"> </w:t>
      </w:r>
      <w:r>
        <w:rPr>
          <w:rFonts w:hint="eastAsia" w:ascii="仿宋_GB2312" w:hAnsi="仿宋_GB2312" w:eastAsia="仿宋_GB2312" w:cs="仿宋_GB2312"/>
          <w:b/>
          <w:bCs/>
          <w:color w:val="4E4342"/>
          <w:kern w:val="0"/>
          <w:sz w:val="32"/>
          <w:szCs w:val="32"/>
        </w:rPr>
        <w:t>：</w:t>
      </w:r>
      <w:r>
        <w:rPr>
          <w:rFonts w:ascii="仿宋_GB2312" w:hAnsi="仿宋_GB2312" w:eastAsia="仿宋_GB2312" w:cs="仿宋_GB2312"/>
          <w:b/>
          <w:bCs/>
          <w:color w:val="4E4342"/>
          <w:kern w:val="0"/>
          <w:sz w:val="32"/>
          <w:szCs w:val="32"/>
        </w:rPr>
        <w:br w:type="textWrapping"/>
      </w:r>
      <w:r>
        <w:rPr>
          <w:rFonts w:hint="eastAsia" w:ascii="仿宋_GB2312" w:hAnsi="仿宋_GB2312" w:eastAsia="仿宋_GB2312" w:cs="仿宋_GB2312"/>
          <w:color w:val="4E4342"/>
          <w:kern w:val="0"/>
          <w:sz w:val="32"/>
          <w:szCs w:val="32"/>
        </w:rPr>
        <w:t>　　其中内设机构</w:t>
      </w:r>
      <w:r>
        <w:rPr>
          <w:rFonts w:ascii="仿宋_GB2312" w:hAnsi="仿宋_GB2312" w:eastAsia="仿宋_GB2312" w:cs="仿宋_GB2312"/>
          <w:color w:val="4E4342"/>
          <w:kern w:val="0"/>
          <w:sz w:val="32"/>
          <w:szCs w:val="32"/>
        </w:rPr>
        <w:t xml:space="preserve"> 4 </w:t>
      </w:r>
      <w:r>
        <w:rPr>
          <w:rFonts w:hint="eastAsia" w:ascii="仿宋_GB2312" w:hAnsi="仿宋_GB2312" w:eastAsia="仿宋_GB2312" w:cs="仿宋_GB2312"/>
          <w:color w:val="4E4342"/>
          <w:kern w:val="0"/>
          <w:sz w:val="32"/>
          <w:szCs w:val="32"/>
        </w:rPr>
        <w:t>个。</w:t>
      </w:r>
      <w:r>
        <w:rPr>
          <w:rFonts w:ascii="仿宋_GB2312" w:hAnsi="仿宋_GB2312" w:eastAsia="仿宋_GB2312" w:cs="仿宋_GB2312"/>
          <w:color w:val="4E4342"/>
          <w:kern w:val="0"/>
          <w:sz w:val="32"/>
          <w:szCs w:val="32"/>
        </w:rPr>
        <w:t xml:space="preserve"> </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（二）机构职能。</w:t>
      </w:r>
    </w:p>
    <w:p>
      <w:pPr>
        <w:spacing w:line="580" w:lineRule="exact"/>
        <w:ind w:firstLine="640" w:firstLineChars="200"/>
        <w:rPr>
          <w:rFonts w:ascii="仿宋" w:hAnsi="仿宋" w:eastAsia="仿宋" w:cs="仿宋_GB2312"/>
          <w:sz w:val="32"/>
          <w:szCs w:val="32"/>
        </w:rPr>
      </w:pPr>
      <w:r>
        <w:rPr>
          <w:rFonts w:ascii="仿宋_GB2312" w:hAnsi="仿宋_GB2312" w:eastAsia="仿宋_GB2312" w:cs="仿宋_GB2312"/>
          <w:color w:val="4E4342"/>
          <w:kern w:val="0"/>
          <w:sz w:val="32"/>
          <w:szCs w:val="32"/>
        </w:rPr>
        <w:t>1</w:t>
      </w:r>
      <w:r>
        <w:rPr>
          <w:rFonts w:ascii="仿宋" w:hAnsi="仿宋" w:eastAsia="仿宋" w:cs="仿宋"/>
          <w:sz w:val="32"/>
          <w:szCs w:val="32"/>
        </w:rPr>
        <w:t>.</w:t>
      </w:r>
      <w:r>
        <w:rPr>
          <w:rFonts w:hint="eastAsia" w:ascii="仿宋_GB2312" w:hAnsi="仿宋_GB2312" w:eastAsia="仿宋_GB2312" w:cs="仿宋_GB2312"/>
          <w:color w:val="4E4342"/>
          <w:kern w:val="0"/>
          <w:sz w:val="32"/>
          <w:szCs w:val="32"/>
        </w:rPr>
        <w:t>贯彻执行中央、县委有关意识形态方面的方针政策，制订全县宣传文化、精神文明建设工作的总体规划并组织实施。</w:t>
      </w:r>
      <w:r>
        <w:rPr>
          <w:rFonts w:ascii="仿宋_GB2312" w:hAnsi="仿宋_GB2312" w:eastAsia="仿宋_GB2312" w:cs="仿宋_GB2312"/>
          <w:color w:val="4E4342"/>
          <w:kern w:val="0"/>
          <w:sz w:val="32"/>
          <w:szCs w:val="32"/>
        </w:rPr>
        <w:t xml:space="preserve"> </w:t>
      </w:r>
      <w:r>
        <w:rPr>
          <w:rFonts w:ascii="仿宋_GB2312" w:hAnsi="仿宋_GB2312" w:eastAsia="仿宋_GB2312" w:cs="仿宋_GB2312"/>
          <w:color w:val="4E4342"/>
          <w:kern w:val="0"/>
          <w:sz w:val="32"/>
          <w:szCs w:val="32"/>
        </w:rPr>
        <w:br w:type="textWrapping"/>
      </w:r>
      <w:r>
        <w:rPr>
          <w:rFonts w:hint="eastAsia" w:ascii="仿宋_GB2312" w:hAnsi="仿宋_GB2312" w:eastAsia="仿宋_GB2312" w:cs="仿宋_GB2312"/>
          <w:color w:val="4E4342"/>
          <w:kern w:val="0"/>
          <w:sz w:val="32"/>
          <w:szCs w:val="32"/>
        </w:rPr>
        <w:t>　　</w:t>
      </w:r>
      <w:r>
        <w:rPr>
          <w:rFonts w:ascii="仿宋_GB2312" w:hAnsi="仿宋_GB2312" w:eastAsia="仿宋_GB2312" w:cs="仿宋_GB2312"/>
          <w:color w:val="4E4342"/>
          <w:kern w:val="0"/>
          <w:sz w:val="32"/>
          <w:szCs w:val="32"/>
        </w:rPr>
        <w:t>2</w:t>
      </w:r>
      <w:r>
        <w:rPr>
          <w:rFonts w:ascii="仿宋" w:hAnsi="仿宋" w:eastAsia="仿宋" w:cs="仿宋"/>
          <w:sz w:val="32"/>
          <w:szCs w:val="32"/>
        </w:rPr>
        <w:t>.</w:t>
      </w:r>
      <w:r>
        <w:rPr>
          <w:rFonts w:hint="eastAsia" w:ascii="仿宋_GB2312" w:hAnsi="仿宋_GB2312" w:eastAsia="仿宋_GB2312" w:cs="仿宋_GB2312"/>
          <w:color w:val="4E4342"/>
          <w:kern w:val="0"/>
          <w:sz w:val="32"/>
          <w:szCs w:val="32"/>
        </w:rPr>
        <w:t>负责组织党的中心任务和路线、方针、政策的宣传，国际国内形势的宣传；负责指导，组织和协调对全县经济社会发展战略、重大经济政策、重大经济活动的宣传；代管县文学艺术界联合会，在政治方向和方针政策方面实施领导；会同有关部门负责对群众进行思想教育工作。</w:t>
      </w:r>
      <w:r>
        <w:rPr>
          <w:rFonts w:ascii="仿宋_GB2312" w:hAnsi="仿宋_GB2312" w:eastAsia="仿宋_GB2312" w:cs="仿宋_GB2312"/>
          <w:color w:val="4E4342"/>
          <w:kern w:val="0"/>
          <w:sz w:val="32"/>
          <w:szCs w:val="32"/>
        </w:rPr>
        <w:t xml:space="preserve"> </w:t>
      </w:r>
      <w:r>
        <w:rPr>
          <w:rFonts w:ascii="仿宋_GB2312" w:hAnsi="仿宋_GB2312" w:eastAsia="仿宋_GB2312" w:cs="仿宋_GB2312"/>
          <w:color w:val="4E4342"/>
          <w:kern w:val="0"/>
          <w:sz w:val="32"/>
          <w:szCs w:val="32"/>
        </w:rPr>
        <w:br w:type="textWrapping"/>
      </w:r>
      <w:r>
        <w:rPr>
          <w:rFonts w:hint="eastAsia" w:ascii="仿宋_GB2312" w:hAnsi="仿宋_GB2312" w:eastAsia="仿宋_GB2312" w:cs="仿宋_GB2312"/>
          <w:color w:val="4E4342"/>
          <w:kern w:val="0"/>
          <w:sz w:val="32"/>
          <w:szCs w:val="32"/>
        </w:rPr>
        <w:t>　　</w:t>
      </w:r>
      <w:r>
        <w:rPr>
          <w:rFonts w:ascii="仿宋_GB2312" w:hAnsi="仿宋_GB2312" w:eastAsia="仿宋_GB2312" w:cs="仿宋_GB2312"/>
          <w:color w:val="4E4342"/>
          <w:kern w:val="0"/>
          <w:sz w:val="32"/>
          <w:szCs w:val="32"/>
        </w:rPr>
        <w:t>3</w:t>
      </w:r>
      <w:r>
        <w:rPr>
          <w:rFonts w:ascii="仿宋" w:hAnsi="仿宋" w:eastAsia="仿宋" w:cs="仿宋"/>
          <w:sz w:val="32"/>
          <w:szCs w:val="32"/>
        </w:rPr>
        <w:t>.</w:t>
      </w:r>
      <w:r>
        <w:rPr>
          <w:rFonts w:hint="eastAsia" w:ascii="仿宋_GB2312" w:hAnsi="仿宋_GB2312" w:eastAsia="仿宋_GB2312" w:cs="仿宋_GB2312"/>
          <w:color w:val="4E4342"/>
          <w:kern w:val="0"/>
          <w:sz w:val="32"/>
          <w:szCs w:val="32"/>
        </w:rPr>
        <w:t>负责组织、指导全县各级党组织理论教育、学习、宣传、研究工作；会同有关部门做好党员、干部的教育工作。</w:t>
      </w:r>
      <w:r>
        <w:rPr>
          <w:rFonts w:ascii="仿宋_GB2312" w:hAnsi="仿宋_GB2312" w:eastAsia="仿宋_GB2312" w:cs="仿宋_GB2312"/>
          <w:color w:val="4E4342"/>
          <w:kern w:val="0"/>
          <w:sz w:val="32"/>
          <w:szCs w:val="32"/>
        </w:rPr>
        <w:t xml:space="preserve"> </w:t>
      </w:r>
      <w:r>
        <w:rPr>
          <w:rFonts w:ascii="仿宋_GB2312" w:hAnsi="仿宋_GB2312" w:eastAsia="仿宋_GB2312" w:cs="仿宋_GB2312"/>
          <w:color w:val="4E4342"/>
          <w:kern w:val="0"/>
          <w:sz w:val="32"/>
          <w:szCs w:val="32"/>
        </w:rPr>
        <w:br w:type="textWrapping"/>
      </w:r>
      <w:r>
        <w:rPr>
          <w:rFonts w:hint="eastAsia" w:ascii="仿宋_GB2312" w:hAnsi="仿宋_GB2312" w:eastAsia="仿宋_GB2312" w:cs="仿宋_GB2312"/>
          <w:color w:val="4E4342"/>
          <w:kern w:val="0"/>
          <w:sz w:val="32"/>
          <w:szCs w:val="32"/>
        </w:rPr>
        <w:t>　　</w:t>
      </w:r>
      <w:r>
        <w:rPr>
          <w:rFonts w:ascii="仿宋_GB2312" w:hAnsi="仿宋_GB2312" w:eastAsia="仿宋_GB2312" w:cs="仿宋_GB2312"/>
          <w:color w:val="4E4342"/>
          <w:kern w:val="0"/>
          <w:sz w:val="32"/>
          <w:szCs w:val="32"/>
        </w:rPr>
        <w:t>4</w:t>
      </w:r>
      <w:r>
        <w:rPr>
          <w:rFonts w:ascii="仿宋" w:hAnsi="仿宋" w:eastAsia="仿宋" w:cs="仿宋"/>
          <w:sz w:val="32"/>
          <w:szCs w:val="32"/>
        </w:rPr>
        <w:t>.</w:t>
      </w:r>
      <w:r>
        <w:rPr>
          <w:rFonts w:hint="eastAsia" w:ascii="仿宋_GB2312" w:hAnsi="仿宋_GB2312" w:eastAsia="仿宋_GB2312" w:cs="仿宋_GB2312"/>
          <w:color w:val="4E4342"/>
          <w:kern w:val="0"/>
          <w:sz w:val="32"/>
          <w:szCs w:val="32"/>
        </w:rPr>
        <w:t>负责舆论导向，规划和宏观指导精神产品的生产和文化艺术工作，保证党的文艺方针政策的贯彻执行；把握正确舆论导向，做好县内新闻媒体、县外媒体的联系、协调，掌握研判舆情信息，为县域经济发展提供积极舆论支持。</w:t>
      </w:r>
      <w:r>
        <w:rPr>
          <w:rFonts w:ascii="仿宋_GB2312" w:hAnsi="仿宋_GB2312" w:eastAsia="仿宋_GB2312" w:cs="仿宋_GB2312"/>
          <w:color w:val="4E4342"/>
          <w:kern w:val="0"/>
          <w:sz w:val="32"/>
          <w:szCs w:val="32"/>
        </w:rPr>
        <w:t xml:space="preserve"> </w:t>
      </w:r>
      <w:r>
        <w:rPr>
          <w:rFonts w:ascii="仿宋_GB2312" w:hAnsi="仿宋_GB2312" w:eastAsia="仿宋_GB2312" w:cs="仿宋_GB2312"/>
          <w:color w:val="4E4342"/>
          <w:kern w:val="0"/>
          <w:sz w:val="32"/>
          <w:szCs w:val="32"/>
        </w:rPr>
        <w:br w:type="textWrapping"/>
      </w:r>
      <w:r>
        <w:rPr>
          <w:rFonts w:hint="eastAsia" w:ascii="仿宋_GB2312" w:hAnsi="仿宋_GB2312" w:eastAsia="仿宋_GB2312" w:cs="仿宋_GB2312"/>
          <w:color w:val="4E4342"/>
          <w:kern w:val="0"/>
          <w:sz w:val="32"/>
          <w:szCs w:val="32"/>
        </w:rPr>
        <w:t>　　</w:t>
      </w:r>
      <w:r>
        <w:rPr>
          <w:rFonts w:ascii="仿宋_GB2312" w:hAnsi="仿宋_GB2312" w:eastAsia="仿宋_GB2312" w:cs="仿宋_GB2312"/>
          <w:color w:val="4E4342"/>
          <w:kern w:val="0"/>
          <w:sz w:val="32"/>
          <w:szCs w:val="32"/>
        </w:rPr>
        <w:t>5</w:t>
      </w:r>
      <w:r>
        <w:rPr>
          <w:rFonts w:ascii="仿宋" w:hAnsi="仿宋" w:eastAsia="仿宋" w:cs="仿宋"/>
          <w:sz w:val="32"/>
          <w:szCs w:val="32"/>
        </w:rPr>
        <w:t>.</w:t>
      </w:r>
      <w:r>
        <w:rPr>
          <w:rFonts w:hint="eastAsia" w:ascii="仿宋_GB2312" w:hAnsi="仿宋_GB2312" w:eastAsia="仿宋_GB2312" w:cs="仿宋_GB2312"/>
          <w:color w:val="4E4342"/>
          <w:kern w:val="0"/>
          <w:sz w:val="32"/>
          <w:szCs w:val="32"/>
        </w:rPr>
        <w:t>宏观指导、部署</w:t>
      </w:r>
      <w:r>
        <w:rPr>
          <w:rFonts w:hint="eastAsia" w:hAnsi="仿宋_GB2312" w:cs="仿宋_GB2312"/>
          <w:color w:val="4E4342"/>
          <w:kern w:val="0"/>
          <w:sz w:val="32"/>
          <w:szCs w:val="32"/>
        </w:rPr>
        <w:t>全县</w:t>
      </w:r>
      <w:r>
        <w:rPr>
          <w:rFonts w:hint="eastAsia" w:ascii="仿宋_GB2312" w:hAnsi="仿宋_GB2312" w:eastAsia="仿宋_GB2312" w:cs="仿宋_GB2312"/>
          <w:color w:val="4E4342"/>
          <w:kern w:val="0"/>
          <w:sz w:val="32"/>
          <w:szCs w:val="32"/>
        </w:rPr>
        <w:t>思想政治工作，负责思想政治工作人员专业职务评定、考核和培训工作，指导全县思想政治工作的开展。</w:t>
      </w:r>
      <w:r>
        <w:rPr>
          <w:rFonts w:ascii="仿宋_GB2312" w:hAnsi="仿宋_GB2312" w:eastAsia="仿宋_GB2312" w:cs="仿宋_GB2312"/>
          <w:color w:val="4E4342"/>
          <w:kern w:val="0"/>
          <w:sz w:val="32"/>
          <w:szCs w:val="32"/>
        </w:rPr>
        <w:t xml:space="preserve"> </w:t>
      </w:r>
      <w:r>
        <w:rPr>
          <w:rFonts w:ascii="仿宋_GB2312" w:hAnsi="仿宋_GB2312" w:eastAsia="仿宋_GB2312" w:cs="仿宋_GB2312"/>
          <w:color w:val="4E4342"/>
          <w:kern w:val="0"/>
          <w:sz w:val="32"/>
          <w:szCs w:val="32"/>
        </w:rPr>
        <w:br w:type="textWrapping"/>
      </w:r>
      <w:r>
        <w:rPr>
          <w:rFonts w:hint="eastAsia" w:ascii="仿宋_GB2312" w:hAnsi="仿宋_GB2312" w:eastAsia="仿宋_GB2312" w:cs="仿宋_GB2312"/>
          <w:color w:val="4E4342"/>
          <w:kern w:val="0"/>
          <w:sz w:val="32"/>
          <w:szCs w:val="32"/>
        </w:rPr>
        <w:t>　　</w:t>
      </w:r>
      <w:r>
        <w:rPr>
          <w:rFonts w:ascii="仿宋_GB2312" w:hAnsi="仿宋_GB2312" w:eastAsia="仿宋_GB2312" w:cs="仿宋_GB2312"/>
          <w:color w:val="4E4342"/>
          <w:kern w:val="0"/>
          <w:sz w:val="32"/>
          <w:szCs w:val="32"/>
        </w:rPr>
        <w:t>6</w:t>
      </w:r>
      <w:r>
        <w:rPr>
          <w:rFonts w:ascii="仿宋" w:hAnsi="仿宋" w:eastAsia="仿宋" w:cs="仿宋"/>
          <w:sz w:val="32"/>
          <w:szCs w:val="32"/>
        </w:rPr>
        <w:t>.</w:t>
      </w:r>
      <w:r>
        <w:rPr>
          <w:rFonts w:hint="eastAsia" w:ascii="仿宋_GB2312" w:hAnsi="仿宋_GB2312" w:eastAsia="仿宋_GB2312" w:cs="仿宋_GB2312"/>
          <w:color w:val="4E4342"/>
          <w:kern w:val="0"/>
          <w:sz w:val="32"/>
          <w:szCs w:val="32"/>
        </w:rPr>
        <w:t>负责全县精神文明建设工作的规划和组织实施；负责组织、协调、指导和监督全县各类群众性精神文明创建活动；承担全县精神文明建设指导委员会办公室的日常工作。</w:t>
      </w:r>
      <w:r>
        <w:rPr>
          <w:rFonts w:ascii="仿宋_GB2312" w:hAnsi="仿宋_GB2312" w:eastAsia="仿宋_GB2312" w:cs="仿宋_GB2312"/>
          <w:color w:val="4E4342"/>
          <w:kern w:val="0"/>
          <w:sz w:val="32"/>
          <w:szCs w:val="32"/>
        </w:rPr>
        <w:t xml:space="preserve"> </w:t>
      </w:r>
      <w:r>
        <w:rPr>
          <w:rFonts w:ascii="仿宋_GB2312" w:hAnsi="仿宋_GB2312" w:eastAsia="仿宋_GB2312" w:cs="仿宋_GB2312"/>
          <w:color w:val="4E4342"/>
          <w:kern w:val="0"/>
          <w:sz w:val="32"/>
          <w:szCs w:val="32"/>
        </w:rPr>
        <w:br w:type="textWrapping"/>
      </w:r>
      <w:r>
        <w:rPr>
          <w:rFonts w:hint="eastAsia" w:ascii="仿宋_GB2312" w:hAnsi="仿宋_GB2312" w:eastAsia="仿宋_GB2312" w:cs="仿宋_GB2312"/>
          <w:color w:val="4E4342"/>
          <w:kern w:val="0"/>
          <w:sz w:val="32"/>
          <w:szCs w:val="32"/>
        </w:rPr>
        <w:t>　　</w:t>
      </w:r>
      <w:r>
        <w:rPr>
          <w:rFonts w:ascii="仿宋_GB2312" w:hAnsi="仿宋_GB2312" w:eastAsia="仿宋_GB2312" w:cs="仿宋_GB2312"/>
          <w:color w:val="4E4342"/>
          <w:kern w:val="0"/>
          <w:sz w:val="32"/>
          <w:szCs w:val="32"/>
        </w:rPr>
        <w:t>7</w:t>
      </w:r>
      <w:r>
        <w:rPr>
          <w:rFonts w:ascii="仿宋" w:hAnsi="仿宋" w:eastAsia="仿宋" w:cs="仿宋"/>
          <w:sz w:val="32"/>
          <w:szCs w:val="32"/>
        </w:rPr>
        <w:t>.</w:t>
      </w:r>
      <w:r>
        <w:rPr>
          <w:rFonts w:hint="eastAsia" w:ascii="仿宋_GB2312" w:hAnsi="仿宋_GB2312" w:eastAsia="仿宋_GB2312" w:cs="仿宋_GB2312"/>
          <w:color w:val="4E4342"/>
          <w:kern w:val="0"/>
          <w:sz w:val="32"/>
          <w:szCs w:val="32"/>
        </w:rPr>
        <w:t>指导和协调、组织对外宣传工作；并协调有关部门做好外来记者到我县采访报道的管理工作；做好全县宣传制品的审批工作；检查督促全县对外宣传纪律的执行；策划组织大型外宣活动。</w:t>
      </w:r>
      <w:r>
        <w:rPr>
          <w:rFonts w:ascii="仿宋_GB2312" w:hAnsi="仿宋_GB2312" w:eastAsia="仿宋_GB2312" w:cs="仿宋_GB2312"/>
          <w:color w:val="4E4342"/>
          <w:kern w:val="0"/>
          <w:sz w:val="32"/>
          <w:szCs w:val="32"/>
        </w:rPr>
        <w:t xml:space="preserve"> </w:t>
      </w:r>
      <w:r>
        <w:rPr>
          <w:rFonts w:ascii="仿宋_GB2312" w:hAnsi="仿宋_GB2312" w:eastAsia="仿宋_GB2312" w:cs="仿宋_GB2312"/>
          <w:color w:val="4E4342"/>
          <w:kern w:val="0"/>
          <w:sz w:val="32"/>
          <w:szCs w:val="32"/>
        </w:rPr>
        <w:br w:type="textWrapping"/>
      </w:r>
      <w:r>
        <w:rPr>
          <w:rFonts w:hint="eastAsia" w:ascii="仿宋" w:hAnsi="仿宋" w:eastAsia="仿宋" w:cs="仿宋"/>
          <w:color w:val="4E4342"/>
          <w:kern w:val="0"/>
          <w:szCs w:val="21"/>
        </w:rPr>
        <w:t>　</w:t>
      </w:r>
      <w:r>
        <w:rPr>
          <w:rFonts w:hint="eastAsia" w:ascii="仿宋_GB2312" w:hAnsi="仿宋_GB2312" w:eastAsia="仿宋_GB2312" w:cs="仿宋_GB2312"/>
          <w:color w:val="4E4342"/>
          <w:kern w:val="0"/>
          <w:sz w:val="32"/>
          <w:szCs w:val="32"/>
        </w:rPr>
        <w:t>　</w:t>
      </w:r>
      <w:r>
        <w:rPr>
          <w:rFonts w:ascii="仿宋_GB2312" w:hAnsi="仿宋_GB2312" w:eastAsia="仿宋_GB2312" w:cs="仿宋_GB2312"/>
          <w:color w:val="4E4342"/>
          <w:kern w:val="0"/>
          <w:sz w:val="32"/>
          <w:szCs w:val="32"/>
        </w:rPr>
        <w:t>8</w:t>
      </w:r>
      <w:r>
        <w:rPr>
          <w:rFonts w:ascii="仿宋" w:hAnsi="仿宋" w:eastAsia="仿宋" w:cs="仿宋"/>
          <w:sz w:val="32"/>
          <w:szCs w:val="32"/>
        </w:rPr>
        <w:t>.</w:t>
      </w:r>
      <w:r>
        <w:rPr>
          <w:rFonts w:hint="eastAsia" w:ascii="仿宋_GB2312" w:hAnsi="仿宋_GB2312" w:eastAsia="仿宋_GB2312" w:cs="仿宋_GB2312"/>
          <w:color w:val="4E4342"/>
          <w:kern w:val="0"/>
          <w:sz w:val="32"/>
          <w:szCs w:val="32"/>
        </w:rPr>
        <w:t>总结经验、反映情况，为县委决策提供依据。完成县委和上级宣传部门交办的其它工作任务。</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（三）人员概况。</w:t>
      </w:r>
      <w:r>
        <w:rPr>
          <w:rFonts w:ascii="仿宋_GB2312" w:hAnsi="仿宋_GB2312" w:eastAsia="仿宋_GB2312" w:cs="仿宋_GB2312"/>
          <w:color w:val="4E4342"/>
          <w:kern w:val="0"/>
          <w:sz w:val="32"/>
          <w:szCs w:val="32"/>
        </w:rPr>
        <w:br w:type="textWrapping"/>
      </w:r>
      <w:r>
        <w:rPr>
          <w:rFonts w:hint="eastAsia" w:ascii="仿宋_GB2312" w:hAnsi="仿宋_GB2312" w:eastAsia="仿宋_GB2312" w:cs="仿宋_GB2312"/>
          <w:color w:val="4E4342"/>
          <w:kern w:val="0"/>
          <w:sz w:val="32"/>
          <w:szCs w:val="32"/>
        </w:rPr>
        <w:t>　　总编制</w:t>
      </w:r>
      <w:r>
        <w:rPr>
          <w:rFonts w:ascii="仿宋_GB2312" w:hAnsi="仿宋_GB2312" w:eastAsia="仿宋_GB2312" w:cs="仿宋_GB2312"/>
          <w:color w:val="4E4342"/>
          <w:kern w:val="0"/>
          <w:sz w:val="32"/>
          <w:szCs w:val="32"/>
        </w:rPr>
        <w:t xml:space="preserve"> 18 </w:t>
      </w:r>
      <w:r>
        <w:rPr>
          <w:rFonts w:hint="eastAsia" w:ascii="仿宋_GB2312" w:hAnsi="仿宋_GB2312" w:eastAsia="仿宋_GB2312" w:cs="仿宋_GB2312"/>
          <w:color w:val="4E4342"/>
          <w:kern w:val="0"/>
          <w:sz w:val="32"/>
          <w:szCs w:val="32"/>
        </w:rPr>
        <w:t>名</w:t>
      </w:r>
      <w:r>
        <w:rPr>
          <w:rFonts w:ascii="仿宋_GB2312" w:hAnsi="仿宋_GB2312" w:eastAsia="仿宋_GB2312" w:cs="仿宋_GB2312"/>
          <w:color w:val="4E4342"/>
          <w:kern w:val="0"/>
          <w:sz w:val="32"/>
          <w:szCs w:val="32"/>
        </w:rPr>
        <w:t>,</w:t>
      </w:r>
      <w:r>
        <w:rPr>
          <w:rFonts w:hint="eastAsia" w:ascii="仿宋_GB2312" w:hAnsi="仿宋_GB2312" w:eastAsia="仿宋_GB2312" w:cs="仿宋_GB2312"/>
          <w:color w:val="4E4342"/>
          <w:kern w:val="0"/>
          <w:sz w:val="32"/>
          <w:szCs w:val="32"/>
        </w:rPr>
        <w:t>其中</w:t>
      </w:r>
      <w:r>
        <w:rPr>
          <w:rFonts w:ascii="仿宋_GB2312" w:hAnsi="仿宋_GB2312" w:eastAsia="仿宋_GB2312" w:cs="仿宋_GB2312"/>
          <w:color w:val="4E4342"/>
          <w:kern w:val="0"/>
          <w:sz w:val="32"/>
          <w:szCs w:val="32"/>
        </w:rPr>
        <w:t>:</w:t>
      </w:r>
      <w:r>
        <w:rPr>
          <w:rFonts w:hint="eastAsia" w:ascii="仿宋_GB2312" w:hAnsi="仿宋_GB2312" w:eastAsia="仿宋_GB2312" w:cs="仿宋_GB2312"/>
          <w:color w:val="4E4342"/>
          <w:kern w:val="0"/>
          <w:sz w:val="32"/>
          <w:szCs w:val="32"/>
        </w:rPr>
        <w:t>行政编制</w:t>
      </w:r>
      <w:r>
        <w:rPr>
          <w:rFonts w:ascii="仿宋_GB2312" w:hAnsi="仿宋_GB2312" w:eastAsia="仿宋_GB2312" w:cs="仿宋_GB2312"/>
          <w:color w:val="4E4342"/>
          <w:kern w:val="0"/>
          <w:sz w:val="32"/>
          <w:szCs w:val="32"/>
        </w:rPr>
        <w:t xml:space="preserve"> 8</w:t>
      </w:r>
      <w:r>
        <w:rPr>
          <w:rFonts w:hint="eastAsia" w:ascii="仿宋_GB2312" w:hAnsi="仿宋_GB2312" w:eastAsia="仿宋_GB2312" w:cs="仿宋_GB2312"/>
          <w:color w:val="4E4342"/>
          <w:kern w:val="0"/>
          <w:sz w:val="32"/>
          <w:szCs w:val="32"/>
        </w:rPr>
        <w:t>名</w:t>
      </w:r>
      <w:r>
        <w:rPr>
          <w:rFonts w:ascii="仿宋_GB2312" w:hAnsi="仿宋_GB2312" w:eastAsia="仿宋_GB2312" w:cs="仿宋_GB2312"/>
          <w:color w:val="4E4342"/>
          <w:kern w:val="0"/>
          <w:sz w:val="32"/>
          <w:szCs w:val="32"/>
        </w:rPr>
        <w:t>,</w:t>
      </w:r>
      <w:r>
        <w:rPr>
          <w:rFonts w:hint="eastAsia" w:ascii="仿宋_GB2312" w:hAnsi="仿宋_GB2312" w:eastAsia="仿宋_GB2312" w:cs="仿宋_GB2312"/>
          <w:color w:val="4E4342"/>
          <w:kern w:val="0"/>
          <w:sz w:val="32"/>
          <w:szCs w:val="32"/>
        </w:rPr>
        <w:t>其他事业编制</w:t>
      </w:r>
      <w:r>
        <w:rPr>
          <w:rFonts w:ascii="仿宋_GB2312" w:hAnsi="仿宋_GB2312" w:eastAsia="仿宋_GB2312" w:cs="仿宋_GB2312"/>
          <w:color w:val="4E4342"/>
          <w:kern w:val="0"/>
          <w:sz w:val="32"/>
          <w:szCs w:val="32"/>
        </w:rPr>
        <w:t>10</w:t>
      </w:r>
      <w:r>
        <w:rPr>
          <w:rFonts w:hint="eastAsia" w:ascii="仿宋_GB2312" w:hAnsi="仿宋_GB2312" w:eastAsia="仿宋_GB2312" w:cs="仿宋_GB2312"/>
          <w:color w:val="4E4342"/>
          <w:kern w:val="0"/>
          <w:sz w:val="32"/>
          <w:szCs w:val="32"/>
        </w:rPr>
        <w:t>名。在职人员总数</w:t>
      </w:r>
      <w:r>
        <w:rPr>
          <w:rFonts w:ascii="仿宋_GB2312" w:hAnsi="仿宋_GB2312" w:eastAsia="仿宋_GB2312" w:cs="仿宋_GB2312"/>
          <w:color w:val="4E4342"/>
          <w:kern w:val="0"/>
          <w:sz w:val="32"/>
          <w:szCs w:val="32"/>
        </w:rPr>
        <w:t xml:space="preserve"> 16 </w:t>
      </w:r>
      <w:r>
        <w:rPr>
          <w:rFonts w:hint="eastAsia" w:ascii="仿宋_GB2312" w:hAnsi="仿宋_GB2312" w:eastAsia="仿宋_GB2312" w:cs="仿宋_GB2312"/>
          <w:color w:val="4E4342"/>
          <w:kern w:val="0"/>
          <w:sz w:val="32"/>
          <w:szCs w:val="32"/>
        </w:rPr>
        <w:t>名，其中：行政人员</w:t>
      </w:r>
      <w:r>
        <w:rPr>
          <w:rFonts w:ascii="仿宋_GB2312" w:hAnsi="仿宋_GB2312" w:eastAsia="仿宋_GB2312" w:cs="仿宋_GB2312"/>
          <w:color w:val="4E4342"/>
          <w:kern w:val="0"/>
          <w:sz w:val="32"/>
          <w:szCs w:val="32"/>
        </w:rPr>
        <w:t xml:space="preserve"> 6 </w:t>
      </w:r>
      <w:r>
        <w:rPr>
          <w:rFonts w:hint="eastAsia" w:ascii="仿宋_GB2312" w:hAnsi="仿宋_GB2312" w:eastAsia="仿宋_GB2312" w:cs="仿宋_GB2312"/>
          <w:color w:val="4E4342"/>
          <w:kern w:val="0"/>
          <w:sz w:val="32"/>
          <w:szCs w:val="32"/>
        </w:rPr>
        <w:t>名，行政工勤人员</w:t>
      </w:r>
      <w:r>
        <w:rPr>
          <w:rFonts w:ascii="仿宋_GB2312" w:hAnsi="仿宋_GB2312" w:eastAsia="仿宋_GB2312" w:cs="仿宋_GB2312"/>
          <w:color w:val="4E4342"/>
          <w:kern w:val="0"/>
          <w:sz w:val="32"/>
          <w:szCs w:val="32"/>
        </w:rPr>
        <w:t>1</w:t>
      </w:r>
      <w:r>
        <w:rPr>
          <w:rFonts w:hint="eastAsia" w:ascii="仿宋_GB2312" w:hAnsi="仿宋_GB2312" w:eastAsia="仿宋_GB2312" w:cs="仿宋_GB2312"/>
          <w:color w:val="4E4342"/>
          <w:kern w:val="0"/>
          <w:sz w:val="32"/>
          <w:szCs w:val="32"/>
        </w:rPr>
        <w:t>名，其他事业人员</w:t>
      </w:r>
      <w:r>
        <w:rPr>
          <w:rFonts w:ascii="仿宋_GB2312" w:hAnsi="仿宋_GB2312" w:eastAsia="仿宋_GB2312" w:cs="仿宋_GB2312"/>
          <w:color w:val="4E4342"/>
          <w:kern w:val="0"/>
          <w:sz w:val="32"/>
          <w:szCs w:val="32"/>
        </w:rPr>
        <w:t xml:space="preserve"> 10 </w:t>
      </w:r>
      <w:r>
        <w:rPr>
          <w:rFonts w:hint="eastAsia" w:ascii="仿宋_GB2312" w:hAnsi="仿宋_GB2312" w:eastAsia="仿宋_GB2312" w:cs="仿宋_GB2312"/>
          <w:color w:val="4E4342"/>
          <w:kern w:val="0"/>
          <w:sz w:val="32"/>
          <w:szCs w:val="32"/>
        </w:rPr>
        <w:t>名。</w:t>
      </w:r>
    </w:p>
    <w:p>
      <w:pPr>
        <w:spacing w:line="580" w:lineRule="exact"/>
        <w:ind w:firstLine="640" w:firstLineChars="200"/>
        <w:rPr>
          <w:rFonts w:ascii="黑体" w:hAnsi="黑体" w:eastAsia="黑体" w:cs="黑体"/>
          <w:sz w:val="32"/>
          <w:szCs w:val="32"/>
        </w:rPr>
      </w:pPr>
      <w:r>
        <w:rPr>
          <w:rFonts w:hint="eastAsia" w:ascii="黑体" w:hAnsi="黑体" w:eastAsia="黑体" w:cs="黑体"/>
          <w:sz w:val="32"/>
          <w:szCs w:val="32"/>
        </w:rPr>
        <w:t>二、部门财政资金收支情况</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w:t>
      </w:r>
      <w:r>
        <w:rPr>
          <w:rFonts w:hint="eastAsia" w:ascii="仿宋_GB2312" w:hAnsi="仿宋_GB2312" w:eastAsia="仿宋_GB2312" w:cs="仿宋_GB2312"/>
          <w:color w:val="4E4342"/>
          <w:kern w:val="0"/>
          <w:sz w:val="32"/>
          <w:szCs w:val="32"/>
        </w:rPr>
        <w:t>部门财政资金收入情况</w:t>
      </w:r>
      <w:r>
        <w:rPr>
          <w:rFonts w:hint="eastAsia" w:ascii="仿宋" w:hAnsi="仿宋" w:eastAsia="仿宋" w:cs="仿宋_GB2312"/>
          <w:sz w:val="32"/>
          <w:szCs w:val="32"/>
        </w:rPr>
        <w:t>。</w:t>
      </w:r>
    </w:p>
    <w:p>
      <w:pPr>
        <w:spacing w:line="600" w:lineRule="exact"/>
        <w:ind w:firstLine="640" w:firstLineChars="200"/>
        <w:outlineLvl w:val="1"/>
        <w:rPr>
          <w:rFonts w:ascii="仿宋_GB2312" w:hAnsi="仿宋_GB2312" w:eastAsia="仿宋_GB2312" w:cs="仿宋_GB2312"/>
          <w:color w:val="4E4342"/>
          <w:kern w:val="0"/>
          <w:sz w:val="32"/>
          <w:szCs w:val="32"/>
        </w:rPr>
      </w:pPr>
      <w:r>
        <w:rPr>
          <w:rFonts w:ascii="仿宋_GB2312" w:hAnsi="仿宋_GB2312" w:eastAsia="仿宋_GB2312" w:cs="仿宋_GB2312"/>
          <w:color w:val="4E4342"/>
          <w:kern w:val="0"/>
          <w:sz w:val="32"/>
          <w:szCs w:val="32"/>
        </w:rPr>
        <w:t>2018</w:t>
      </w:r>
      <w:r>
        <w:rPr>
          <w:rFonts w:hint="eastAsia" w:ascii="仿宋_GB2312" w:hAnsi="仿宋_GB2312" w:eastAsia="仿宋_GB2312" w:cs="仿宋_GB2312"/>
          <w:color w:val="4E4342"/>
          <w:kern w:val="0"/>
          <w:sz w:val="32"/>
          <w:szCs w:val="32"/>
        </w:rPr>
        <w:t>年本年收入合计</w:t>
      </w:r>
      <w:r>
        <w:rPr>
          <w:rFonts w:ascii="仿宋_GB2312" w:hAnsi="仿宋_GB2312" w:eastAsia="仿宋_GB2312" w:cs="仿宋_GB2312"/>
          <w:color w:val="4E4342"/>
          <w:kern w:val="0"/>
          <w:sz w:val="32"/>
          <w:szCs w:val="32"/>
        </w:rPr>
        <w:t>905</w:t>
      </w:r>
      <w:r>
        <w:rPr>
          <w:rFonts w:hint="eastAsia" w:ascii="仿宋_GB2312" w:hAnsi="仿宋_GB2312" w:eastAsia="仿宋_GB2312" w:cs="仿宋_GB2312"/>
          <w:color w:val="4E4342"/>
          <w:kern w:val="0"/>
          <w:sz w:val="32"/>
          <w:szCs w:val="32"/>
        </w:rPr>
        <w:t>万元，其中：一般公共预算财政拨款收入</w:t>
      </w:r>
      <w:r>
        <w:rPr>
          <w:rFonts w:ascii="仿宋_GB2312" w:hAnsi="仿宋_GB2312" w:eastAsia="仿宋_GB2312" w:cs="仿宋_GB2312"/>
          <w:color w:val="4E4342"/>
          <w:kern w:val="0"/>
          <w:sz w:val="32"/>
          <w:szCs w:val="32"/>
        </w:rPr>
        <w:t>904.89</w:t>
      </w:r>
      <w:r>
        <w:rPr>
          <w:rFonts w:hint="eastAsia" w:ascii="仿宋_GB2312" w:hAnsi="仿宋_GB2312" w:eastAsia="仿宋_GB2312" w:cs="仿宋_GB2312"/>
          <w:color w:val="4E4342"/>
          <w:kern w:val="0"/>
          <w:sz w:val="32"/>
          <w:szCs w:val="32"/>
        </w:rPr>
        <w:t>万元，占</w:t>
      </w:r>
      <w:r>
        <w:rPr>
          <w:rFonts w:ascii="仿宋_GB2312" w:hAnsi="仿宋_GB2312" w:eastAsia="仿宋_GB2312" w:cs="仿宋_GB2312"/>
          <w:color w:val="4E4342"/>
          <w:kern w:val="0"/>
          <w:sz w:val="32"/>
          <w:szCs w:val="32"/>
        </w:rPr>
        <w:t>99.99%</w:t>
      </w:r>
      <w:r>
        <w:rPr>
          <w:rFonts w:hint="eastAsia" w:ascii="仿宋_GB2312" w:hAnsi="仿宋_GB2312" w:eastAsia="仿宋_GB2312" w:cs="仿宋_GB2312"/>
          <w:color w:val="4E4342"/>
          <w:kern w:val="0"/>
          <w:sz w:val="32"/>
          <w:szCs w:val="32"/>
        </w:rPr>
        <w:t>；政府性基金预算财政拨款收入</w:t>
      </w:r>
      <w:r>
        <w:rPr>
          <w:rFonts w:ascii="仿宋_GB2312" w:hAnsi="仿宋_GB2312" w:eastAsia="仿宋_GB2312" w:cs="仿宋_GB2312"/>
          <w:color w:val="4E4342"/>
          <w:kern w:val="0"/>
          <w:sz w:val="32"/>
          <w:szCs w:val="32"/>
        </w:rPr>
        <w:t>0</w:t>
      </w:r>
      <w:r>
        <w:rPr>
          <w:rFonts w:hint="eastAsia" w:ascii="仿宋_GB2312" w:hAnsi="仿宋_GB2312" w:eastAsia="仿宋_GB2312" w:cs="仿宋_GB2312"/>
          <w:color w:val="4E4342"/>
          <w:kern w:val="0"/>
          <w:sz w:val="32"/>
          <w:szCs w:val="32"/>
        </w:rPr>
        <w:t>万元，占</w:t>
      </w:r>
      <w:r>
        <w:rPr>
          <w:rFonts w:ascii="仿宋_GB2312" w:hAnsi="仿宋_GB2312" w:eastAsia="仿宋_GB2312" w:cs="仿宋_GB2312"/>
          <w:color w:val="4E4342"/>
          <w:kern w:val="0"/>
          <w:sz w:val="32"/>
          <w:szCs w:val="32"/>
        </w:rPr>
        <w:t>0%</w:t>
      </w:r>
      <w:r>
        <w:rPr>
          <w:rFonts w:hint="eastAsia" w:ascii="仿宋_GB2312" w:hAnsi="仿宋_GB2312" w:eastAsia="仿宋_GB2312" w:cs="仿宋_GB2312"/>
          <w:color w:val="4E4342"/>
          <w:kern w:val="0"/>
          <w:sz w:val="32"/>
          <w:szCs w:val="32"/>
        </w:rPr>
        <w:t>；国有资本经营预算财政拨款收入</w:t>
      </w:r>
      <w:r>
        <w:rPr>
          <w:rFonts w:ascii="仿宋_GB2312" w:hAnsi="仿宋_GB2312" w:eastAsia="仿宋_GB2312" w:cs="仿宋_GB2312"/>
          <w:color w:val="4E4342"/>
          <w:kern w:val="0"/>
          <w:sz w:val="32"/>
          <w:szCs w:val="32"/>
        </w:rPr>
        <w:t>0</w:t>
      </w:r>
      <w:r>
        <w:rPr>
          <w:rFonts w:hint="eastAsia" w:ascii="仿宋_GB2312" w:hAnsi="仿宋_GB2312" w:eastAsia="仿宋_GB2312" w:cs="仿宋_GB2312"/>
          <w:color w:val="4E4342"/>
          <w:kern w:val="0"/>
          <w:sz w:val="32"/>
          <w:szCs w:val="32"/>
        </w:rPr>
        <w:t>万元，占</w:t>
      </w:r>
      <w:r>
        <w:rPr>
          <w:rFonts w:ascii="仿宋_GB2312" w:hAnsi="仿宋_GB2312" w:eastAsia="仿宋_GB2312" w:cs="仿宋_GB2312"/>
          <w:color w:val="4E4342"/>
          <w:kern w:val="0"/>
          <w:sz w:val="32"/>
          <w:szCs w:val="32"/>
        </w:rPr>
        <w:t>0%</w:t>
      </w:r>
      <w:r>
        <w:rPr>
          <w:rFonts w:hint="eastAsia" w:ascii="仿宋_GB2312" w:hAnsi="仿宋_GB2312" w:eastAsia="仿宋_GB2312" w:cs="仿宋_GB2312"/>
          <w:color w:val="4E4342"/>
          <w:kern w:val="0"/>
          <w:sz w:val="32"/>
          <w:szCs w:val="32"/>
        </w:rPr>
        <w:t>；事业收入</w:t>
      </w:r>
      <w:r>
        <w:rPr>
          <w:rFonts w:ascii="仿宋_GB2312" w:hAnsi="仿宋_GB2312" w:eastAsia="仿宋_GB2312" w:cs="仿宋_GB2312"/>
          <w:color w:val="4E4342"/>
          <w:kern w:val="0"/>
          <w:sz w:val="32"/>
          <w:szCs w:val="32"/>
        </w:rPr>
        <w:t>0</w:t>
      </w:r>
      <w:r>
        <w:rPr>
          <w:rFonts w:hint="eastAsia" w:ascii="仿宋_GB2312" w:hAnsi="仿宋_GB2312" w:eastAsia="仿宋_GB2312" w:cs="仿宋_GB2312"/>
          <w:color w:val="4E4342"/>
          <w:kern w:val="0"/>
          <w:sz w:val="32"/>
          <w:szCs w:val="32"/>
        </w:rPr>
        <w:t>万元，占</w:t>
      </w:r>
      <w:r>
        <w:rPr>
          <w:rFonts w:ascii="仿宋_GB2312" w:hAnsi="仿宋_GB2312" w:eastAsia="仿宋_GB2312" w:cs="仿宋_GB2312"/>
          <w:color w:val="4E4342"/>
          <w:kern w:val="0"/>
          <w:sz w:val="32"/>
          <w:szCs w:val="32"/>
        </w:rPr>
        <w:t>0%</w:t>
      </w:r>
      <w:r>
        <w:rPr>
          <w:rFonts w:hint="eastAsia" w:ascii="仿宋_GB2312" w:hAnsi="仿宋_GB2312" w:eastAsia="仿宋_GB2312" w:cs="仿宋_GB2312"/>
          <w:color w:val="4E4342"/>
          <w:kern w:val="0"/>
          <w:sz w:val="32"/>
          <w:szCs w:val="32"/>
        </w:rPr>
        <w:t>；经营收入</w:t>
      </w:r>
      <w:r>
        <w:rPr>
          <w:rFonts w:ascii="仿宋_GB2312" w:hAnsi="仿宋_GB2312" w:eastAsia="仿宋_GB2312" w:cs="仿宋_GB2312"/>
          <w:color w:val="4E4342"/>
          <w:kern w:val="0"/>
          <w:sz w:val="32"/>
          <w:szCs w:val="32"/>
        </w:rPr>
        <w:t>0</w:t>
      </w:r>
      <w:r>
        <w:rPr>
          <w:rFonts w:hint="eastAsia" w:ascii="仿宋_GB2312" w:hAnsi="仿宋_GB2312" w:eastAsia="仿宋_GB2312" w:cs="仿宋_GB2312"/>
          <w:color w:val="4E4342"/>
          <w:kern w:val="0"/>
          <w:sz w:val="32"/>
          <w:szCs w:val="32"/>
        </w:rPr>
        <w:t>万元</w:t>
      </w:r>
      <w:r>
        <w:rPr>
          <w:rFonts w:hint="eastAsia" w:ascii="仿宋" w:hAnsi="仿宋" w:eastAsia="仿宋"/>
          <w:color w:val="000000"/>
          <w:sz w:val="32"/>
          <w:szCs w:val="32"/>
        </w:rPr>
        <w:t>，</w:t>
      </w:r>
      <w:r>
        <w:rPr>
          <w:rFonts w:hint="eastAsia" w:ascii="仿宋_GB2312" w:hAnsi="仿宋_GB2312" w:eastAsia="仿宋_GB2312" w:cs="仿宋_GB2312"/>
          <w:color w:val="4E4342"/>
          <w:kern w:val="0"/>
          <w:sz w:val="32"/>
          <w:szCs w:val="32"/>
        </w:rPr>
        <w:t>占</w:t>
      </w:r>
      <w:r>
        <w:rPr>
          <w:rFonts w:ascii="仿宋_GB2312" w:hAnsi="仿宋_GB2312" w:eastAsia="仿宋_GB2312" w:cs="仿宋_GB2312"/>
          <w:color w:val="4E4342"/>
          <w:kern w:val="0"/>
          <w:sz w:val="32"/>
          <w:szCs w:val="32"/>
        </w:rPr>
        <w:t>0%</w:t>
      </w:r>
      <w:r>
        <w:rPr>
          <w:rFonts w:hint="eastAsia" w:ascii="仿宋_GB2312" w:hAnsi="仿宋_GB2312" w:eastAsia="仿宋_GB2312" w:cs="仿宋_GB2312"/>
          <w:color w:val="4E4342"/>
          <w:kern w:val="0"/>
          <w:sz w:val="32"/>
          <w:szCs w:val="32"/>
        </w:rPr>
        <w:t>；附属单位上缴收入</w:t>
      </w:r>
      <w:r>
        <w:rPr>
          <w:rFonts w:ascii="仿宋_GB2312" w:hAnsi="仿宋_GB2312" w:eastAsia="仿宋_GB2312" w:cs="仿宋_GB2312"/>
          <w:color w:val="4E4342"/>
          <w:kern w:val="0"/>
          <w:sz w:val="32"/>
          <w:szCs w:val="32"/>
        </w:rPr>
        <w:t>0</w:t>
      </w:r>
      <w:r>
        <w:rPr>
          <w:rFonts w:hint="eastAsia" w:ascii="仿宋_GB2312" w:hAnsi="仿宋_GB2312" w:eastAsia="仿宋_GB2312" w:cs="仿宋_GB2312"/>
          <w:color w:val="4E4342"/>
          <w:kern w:val="0"/>
          <w:sz w:val="32"/>
          <w:szCs w:val="32"/>
        </w:rPr>
        <w:t>万元，占</w:t>
      </w:r>
      <w:r>
        <w:rPr>
          <w:rFonts w:ascii="仿宋_GB2312" w:hAnsi="仿宋_GB2312" w:eastAsia="仿宋_GB2312" w:cs="仿宋_GB2312"/>
          <w:color w:val="4E4342"/>
          <w:kern w:val="0"/>
          <w:sz w:val="32"/>
          <w:szCs w:val="32"/>
        </w:rPr>
        <w:t>0%</w:t>
      </w:r>
      <w:r>
        <w:rPr>
          <w:rFonts w:hint="eastAsia" w:ascii="仿宋_GB2312" w:hAnsi="仿宋_GB2312" w:eastAsia="仿宋_GB2312" w:cs="仿宋_GB2312"/>
          <w:color w:val="4E4342"/>
          <w:kern w:val="0"/>
          <w:sz w:val="32"/>
          <w:szCs w:val="32"/>
        </w:rPr>
        <w:t>；其他收入</w:t>
      </w:r>
      <w:r>
        <w:rPr>
          <w:rFonts w:ascii="仿宋_GB2312" w:hAnsi="仿宋_GB2312" w:eastAsia="仿宋_GB2312" w:cs="仿宋_GB2312"/>
          <w:color w:val="4E4342"/>
          <w:kern w:val="0"/>
          <w:sz w:val="32"/>
          <w:szCs w:val="32"/>
        </w:rPr>
        <w:t>0.11</w:t>
      </w:r>
      <w:r>
        <w:rPr>
          <w:rFonts w:hint="eastAsia" w:ascii="仿宋_GB2312" w:hAnsi="仿宋_GB2312" w:eastAsia="仿宋_GB2312" w:cs="仿宋_GB2312"/>
          <w:color w:val="4E4342"/>
          <w:kern w:val="0"/>
          <w:sz w:val="32"/>
          <w:szCs w:val="32"/>
        </w:rPr>
        <w:t>万元，占</w:t>
      </w:r>
      <w:r>
        <w:rPr>
          <w:rFonts w:ascii="仿宋_GB2312" w:hAnsi="仿宋_GB2312" w:eastAsia="仿宋_GB2312" w:cs="仿宋_GB2312"/>
          <w:color w:val="4E4342"/>
          <w:kern w:val="0"/>
          <w:sz w:val="32"/>
          <w:szCs w:val="32"/>
        </w:rPr>
        <w:t>0.01%</w:t>
      </w:r>
      <w:r>
        <w:rPr>
          <w:rFonts w:hint="eastAsia" w:ascii="仿宋_GB2312" w:hAnsi="仿宋_GB2312" w:eastAsia="仿宋_GB2312" w:cs="仿宋_GB2312"/>
          <w:color w:val="4E4342"/>
          <w:kern w:val="0"/>
          <w:sz w:val="32"/>
          <w:szCs w:val="32"/>
        </w:rPr>
        <w:t>。</w:t>
      </w:r>
    </w:p>
    <w:p>
      <w:pPr>
        <w:numPr>
          <w:ilvl w:val="0"/>
          <w:numId w:val="7"/>
        </w:numPr>
        <w:spacing w:line="580" w:lineRule="exact"/>
        <w:ind w:firstLine="640" w:firstLineChars="200"/>
        <w:rPr>
          <w:rFonts w:ascii="仿宋_GB2312" w:hAnsi="仿宋_GB2312" w:eastAsia="仿宋_GB2312" w:cs="仿宋_GB2312"/>
          <w:color w:val="4E4342"/>
          <w:kern w:val="0"/>
          <w:sz w:val="32"/>
          <w:szCs w:val="32"/>
        </w:rPr>
      </w:pPr>
      <w:r>
        <w:rPr>
          <w:rFonts w:hint="eastAsia" w:ascii="仿宋_GB2312" w:hAnsi="仿宋_GB2312" w:eastAsia="仿宋_GB2312" w:cs="仿宋_GB2312"/>
          <w:color w:val="4E4342"/>
          <w:kern w:val="0"/>
          <w:sz w:val="32"/>
          <w:szCs w:val="32"/>
        </w:rPr>
        <w:t>部门财政资金支出情况。</w:t>
      </w:r>
    </w:p>
    <w:p>
      <w:pPr>
        <w:spacing w:line="600" w:lineRule="exact"/>
        <w:ind w:firstLine="640"/>
        <w:rPr>
          <w:rFonts w:ascii="仿宋_GB2312" w:hAnsi="仿宋_GB2312" w:eastAsia="仿宋_GB2312" w:cs="仿宋_GB2312"/>
          <w:color w:val="4E4342"/>
          <w:kern w:val="0"/>
          <w:sz w:val="32"/>
          <w:szCs w:val="32"/>
        </w:rPr>
      </w:pPr>
      <w:r>
        <w:rPr>
          <w:rFonts w:ascii="仿宋_GB2312" w:hAnsi="仿宋_GB2312" w:eastAsia="仿宋_GB2312" w:cs="仿宋_GB2312"/>
          <w:color w:val="4E4342"/>
          <w:kern w:val="0"/>
          <w:sz w:val="32"/>
          <w:szCs w:val="32"/>
        </w:rPr>
        <w:t>2018</w:t>
      </w:r>
      <w:r>
        <w:rPr>
          <w:rFonts w:hint="eastAsia" w:ascii="仿宋_GB2312" w:hAnsi="仿宋_GB2312" w:eastAsia="仿宋_GB2312" w:cs="仿宋_GB2312"/>
          <w:color w:val="4E4342"/>
          <w:kern w:val="0"/>
          <w:sz w:val="32"/>
          <w:szCs w:val="32"/>
        </w:rPr>
        <w:t>年本年支出合计</w:t>
      </w:r>
      <w:r>
        <w:rPr>
          <w:rFonts w:ascii="仿宋_GB2312" w:hAnsi="仿宋_GB2312" w:eastAsia="仿宋_GB2312" w:cs="仿宋_GB2312"/>
          <w:color w:val="4E4342"/>
          <w:kern w:val="0"/>
          <w:sz w:val="32"/>
          <w:szCs w:val="32"/>
        </w:rPr>
        <w:t>1064.68</w:t>
      </w:r>
      <w:r>
        <w:rPr>
          <w:rFonts w:hint="eastAsia" w:ascii="仿宋_GB2312" w:hAnsi="仿宋_GB2312" w:eastAsia="仿宋_GB2312" w:cs="仿宋_GB2312"/>
          <w:color w:val="4E4342"/>
          <w:kern w:val="0"/>
          <w:sz w:val="32"/>
          <w:szCs w:val="32"/>
        </w:rPr>
        <w:t>万元，其中：基本支出</w:t>
      </w:r>
      <w:r>
        <w:rPr>
          <w:rFonts w:ascii="仿宋_GB2312" w:hAnsi="仿宋_GB2312" w:eastAsia="仿宋_GB2312" w:cs="仿宋_GB2312"/>
          <w:color w:val="4E4342"/>
          <w:kern w:val="0"/>
          <w:sz w:val="32"/>
          <w:szCs w:val="32"/>
        </w:rPr>
        <w:t>603.67</w:t>
      </w:r>
      <w:r>
        <w:rPr>
          <w:rFonts w:hint="eastAsia" w:ascii="仿宋_GB2312" w:hAnsi="仿宋_GB2312" w:eastAsia="仿宋_GB2312" w:cs="仿宋_GB2312"/>
          <w:color w:val="4E4342"/>
          <w:kern w:val="0"/>
          <w:sz w:val="32"/>
          <w:szCs w:val="32"/>
        </w:rPr>
        <w:t>万元，占</w:t>
      </w:r>
      <w:r>
        <w:rPr>
          <w:rFonts w:ascii="仿宋_GB2312" w:hAnsi="仿宋_GB2312" w:eastAsia="仿宋_GB2312" w:cs="仿宋_GB2312"/>
          <w:color w:val="4E4342"/>
          <w:kern w:val="0"/>
          <w:sz w:val="32"/>
          <w:szCs w:val="32"/>
        </w:rPr>
        <w:t>57%</w:t>
      </w:r>
      <w:r>
        <w:rPr>
          <w:rFonts w:hint="eastAsia" w:ascii="仿宋_GB2312" w:hAnsi="仿宋_GB2312" w:eastAsia="仿宋_GB2312" w:cs="仿宋_GB2312"/>
          <w:color w:val="4E4342"/>
          <w:kern w:val="0"/>
          <w:sz w:val="32"/>
          <w:szCs w:val="32"/>
        </w:rPr>
        <w:t>；项目支出</w:t>
      </w:r>
      <w:r>
        <w:rPr>
          <w:rFonts w:ascii="仿宋_GB2312" w:hAnsi="仿宋_GB2312" w:eastAsia="仿宋_GB2312" w:cs="仿宋_GB2312"/>
          <w:color w:val="4E4342"/>
          <w:kern w:val="0"/>
          <w:sz w:val="32"/>
          <w:szCs w:val="32"/>
        </w:rPr>
        <w:t>461.01</w:t>
      </w:r>
      <w:r>
        <w:rPr>
          <w:rFonts w:hint="eastAsia" w:ascii="仿宋_GB2312" w:hAnsi="仿宋_GB2312" w:eastAsia="仿宋_GB2312" w:cs="仿宋_GB2312"/>
          <w:color w:val="4E4342"/>
          <w:kern w:val="0"/>
          <w:sz w:val="32"/>
          <w:szCs w:val="32"/>
        </w:rPr>
        <w:t>万元，占</w:t>
      </w:r>
      <w:r>
        <w:rPr>
          <w:rFonts w:ascii="仿宋_GB2312" w:hAnsi="仿宋_GB2312" w:eastAsia="仿宋_GB2312" w:cs="仿宋_GB2312"/>
          <w:color w:val="4E4342"/>
          <w:kern w:val="0"/>
          <w:sz w:val="32"/>
          <w:szCs w:val="32"/>
        </w:rPr>
        <w:t>43%</w:t>
      </w:r>
      <w:r>
        <w:rPr>
          <w:rFonts w:hint="eastAsia" w:ascii="仿宋_GB2312" w:hAnsi="仿宋_GB2312" w:eastAsia="仿宋_GB2312" w:cs="仿宋_GB2312"/>
          <w:color w:val="4E4342"/>
          <w:kern w:val="0"/>
          <w:sz w:val="32"/>
          <w:szCs w:val="32"/>
        </w:rPr>
        <w:t>；上缴上级支出</w:t>
      </w:r>
      <w:r>
        <w:rPr>
          <w:rFonts w:ascii="仿宋_GB2312" w:hAnsi="仿宋_GB2312" w:eastAsia="仿宋_GB2312" w:cs="仿宋_GB2312"/>
          <w:color w:val="4E4342"/>
          <w:kern w:val="0"/>
          <w:sz w:val="32"/>
          <w:szCs w:val="32"/>
        </w:rPr>
        <w:t>0</w:t>
      </w:r>
      <w:r>
        <w:rPr>
          <w:rFonts w:hint="eastAsia" w:ascii="仿宋_GB2312" w:hAnsi="仿宋_GB2312" w:eastAsia="仿宋_GB2312" w:cs="仿宋_GB2312"/>
          <w:color w:val="4E4342"/>
          <w:kern w:val="0"/>
          <w:sz w:val="32"/>
          <w:szCs w:val="32"/>
        </w:rPr>
        <w:t>万元，占</w:t>
      </w:r>
      <w:r>
        <w:rPr>
          <w:rFonts w:ascii="仿宋_GB2312" w:hAnsi="仿宋_GB2312" w:eastAsia="仿宋_GB2312" w:cs="仿宋_GB2312"/>
          <w:color w:val="4E4342"/>
          <w:kern w:val="0"/>
          <w:sz w:val="32"/>
          <w:szCs w:val="32"/>
        </w:rPr>
        <w:t>0%</w:t>
      </w:r>
      <w:r>
        <w:rPr>
          <w:rFonts w:hint="eastAsia" w:ascii="仿宋_GB2312" w:hAnsi="仿宋_GB2312" w:eastAsia="仿宋_GB2312" w:cs="仿宋_GB2312"/>
          <w:color w:val="4E4342"/>
          <w:kern w:val="0"/>
          <w:sz w:val="32"/>
          <w:szCs w:val="32"/>
        </w:rPr>
        <w:t>；经营支出</w:t>
      </w:r>
      <w:r>
        <w:rPr>
          <w:rFonts w:ascii="仿宋_GB2312" w:hAnsi="仿宋_GB2312" w:eastAsia="仿宋_GB2312" w:cs="仿宋_GB2312"/>
          <w:color w:val="4E4342"/>
          <w:kern w:val="0"/>
          <w:sz w:val="32"/>
          <w:szCs w:val="32"/>
        </w:rPr>
        <w:t>0</w:t>
      </w:r>
      <w:r>
        <w:rPr>
          <w:rFonts w:hint="eastAsia" w:ascii="仿宋_GB2312" w:hAnsi="仿宋_GB2312" w:eastAsia="仿宋_GB2312" w:cs="仿宋_GB2312"/>
          <w:color w:val="4E4342"/>
          <w:kern w:val="0"/>
          <w:sz w:val="32"/>
          <w:szCs w:val="32"/>
        </w:rPr>
        <w:t>万元，占</w:t>
      </w:r>
      <w:r>
        <w:rPr>
          <w:rFonts w:ascii="仿宋_GB2312" w:hAnsi="仿宋_GB2312" w:eastAsia="仿宋_GB2312" w:cs="仿宋_GB2312"/>
          <w:color w:val="4E4342"/>
          <w:kern w:val="0"/>
          <w:sz w:val="32"/>
          <w:szCs w:val="32"/>
        </w:rPr>
        <w:t>0%</w:t>
      </w:r>
      <w:r>
        <w:rPr>
          <w:rFonts w:hint="eastAsia" w:ascii="仿宋_GB2312" w:hAnsi="仿宋_GB2312" w:eastAsia="仿宋_GB2312" w:cs="仿宋_GB2312"/>
          <w:color w:val="4E4342"/>
          <w:kern w:val="0"/>
          <w:sz w:val="32"/>
          <w:szCs w:val="32"/>
        </w:rPr>
        <w:t>；对附属单位补助支出</w:t>
      </w:r>
      <w:r>
        <w:rPr>
          <w:rFonts w:ascii="仿宋_GB2312" w:hAnsi="仿宋_GB2312" w:eastAsia="仿宋_GB2312" w:cs="仿宋_GB2312"/>
          <w:color w:val="4E4342"/>
          <w:kern w:val="0"/>
          <w:sz w:val="32"/>
          <w:szCs w:val="32"/>
        </w:rPr>
        <w:t>0</w:t>
      </w:r>
      <w:r>
        <w:rPr>
          <w:rFonts w:hint="eastAsia" w:ascii="仿宋_GB2312" w:hAnsi="仿宋_GB2312" w:eastAsia="仿宋_GB2312" w:cs="仿宋_GB2312"/>
          <w:color w:val="4E4342"/>
          <w:kern w:val="0"/>
          <w:sz w:val="32"/>
          <w:szCs w:val="32"/>
        </w:rPr>
        <w:t>万元，占</w:t>
      </w:r>
      <w:r>
        <w:rPr>
          <w:rFonts w:ascii="仿宋_GB2312" w:hAnsi="仿宋_GB2312" w:eastAsia="仿宋_GB2312" w:cs="仿宋_GB2312"/>
          <w:color w:val="4E4342"/>
          <w:kern w:val="0"/>
          <w:sz w:val="32"/>
          <w:szCs w:val="32"/>
        </w:rPr>
        <w:t>0%</w:t>
      </w:r>
      <w:r>
        <w:rPr>
          <w:rFonts w:hint="eastAsia" w:ascii="仿宋_GB2312" w:hAnsi="仿宋_GB2312" w:eastAsia="仿宋_GB2312" w:cs="仿宋_GB2312"/>
          <w:color w:val="4E4342"/>
          <w:kern w:val="0"/>
          <w:sz w:val="32"/>
          <w:szCs w:val="32"/>
        </w:rPr>
        <w:t>。</w:t>
      </w:r>
    </w:p>
    <w:p>
      <w:pPr>
        <w:spacing w:line="580" w:lineRule="exact"/>
        <w:ind w:left="640"/>
        <w:rPr>
          <w:rFonts w:ascii="仿宋_GB2312" w:hAnsi="仿宋_GB2312" w:eastAsia="仿宋_GB2312" w:cs="仿宋_GB2312"/>
          <w:color w:val="4E4342"/>
          <w:kern w:val="0"/>
          <w:sz w:val="32"/>
          <w:szCs w:val="32"/>
        </w:rPr>
      </w:pPr>
      <w:r>
        <w:rPr>
          <w:rFonts w:hint="eastAsia" w:ascii="仿宋_GB2312" w:hAnsi="仿宋_GB2312" w:eastAsia="仿宋_GB2312" w:cs="仿宋_GB2312"/>
          <w:color w:val="4E4342"/>
          <w:kern w:val="0"/>
          <w:sz w:val="32"/>
          <w:szCs w:val="32"/>
        </w:rPr>
        <w:t>三、部门整体预算绩效管理情况</w:t>
      </w:r>
    </w:p>
    <w:p>
      <w:pPr>
        <w:spacing w:line="580" w:lineRule="exact"/>
        <w:ind w:left="640"/>
        <w:rPr>
          <w:rFonts w:ascii="仿宋_GB2312" w:hAnsi="仿宋_GB2312" w:eastAsia="仿宋_GB2312" w:cs="仿宋_GB2312"/>
          <w:color w:val="4E4342"/>
          <w:kern w:val="0"/>
          <w:sz w:val="32"/>
          <w:szCs w:val="32"/>
        </w:rPr>
      </w:pPr>
      <w:r>
        <w:rPr>
          <w:rFonts w:hint="eastAsia" w:ascii="仿宋_GB2312" w:hAnsi="仿宋_GB2312" w:eastAsia="仿宋_GB2312" w:cs="仿宋_GB2312"/>
          <w:color w:val="4E4342"/>
          <w:kern w:val="0"/>
          <w:sz w:val="32"/>
          <w:szCs w:val="32"/>
        </w:rPr>
        <w:t>（一）部门预算管理。</w:t>
      </w:r>
    </w:p>
    <w:p>
      <w:pPr>
        <w:ind w:firstLine="640" w:firstLineChars="200"/>
        <w:rPr>
          <w:rFonts w:ascii="仿宋_GB2312" w:hAnsi="仿宋_GB2312" w:eastAsia="仿宋_GB2312" w:cs="仿宋_GB2312"/>
          <w:color w:val="4E4342"/>
          <w:kern w:val="0"/>
          <w:sz w:val="32"/>
          <w:szCs w:val="32"/>
        </w:rPr>
      </w:pPr>
      <w:r>
        <w:rPr>
          <w:rFonts w:ascii="仿宋_GB2312" w:hAnsi="仿宋_GB2312" w:eastAsia="仿宋_GB2312" w:cs="仿宋_GB2312"/>
          <w:color w:val="4E4342"/>
          <w:kern w:val="0"/>
          <w:sz w:val="32"/>
          <w:szCs w:val="32"/>
        </w:rPr>
        <w:t>1.</w:t>
      </w:r>
      <w:r>
        <w:rPr>
          <w:rFonts w:hint="eastAsia" w:ascii="仿宋_GB2312" w:hAnsi="仿宋_GB2312" w:eastAsia="仿宋_GB2312" w:cs="仿宋_GB2312"/>
          <w:color w:val="4E4342"/>
          <w:kern w:val="0"/>
          <w:sz w:val="32"/>
          <w:szCs w:val="32"/>
        </w:rPr>
        <w:t>严格预算支出管理。在支出预算编制上，人员经费按照配置定额，逐人核定编制，公用经费分类分档，按定额编制；根据“总量控制、计划管理”的要求从严控制行政经费，压缩公务费开支，严格控制“三公”经费，资产的配置严格政府采购，按照预算科目和项目资金的规定使用财政资金，保障部门整体支出的规范化、制度化。</w:t>
      </w:r>
    </w:p>
    <w:p>
      <w:pPr>
        <w:rPr>
          <w:rFonts w:ascii="仿宋_GB2312" w:hAnsi="仿宋_GB2312" w:eastAsia="仿宋_GB2312" w:cs="仿宋_GB2312"/>
          <w:color w:val="4E4342"/>
          <w:kern w:val="0"/>
          <w:sz w:val="32"/>
          <w:szCs w:val="32"/>
        </w:rPr>
      </w:pPr>
      <w:r>
        <w:rPr>
          <w:rFonts w:ascii="仿宋_GB2312" w:hAnsi="仿宋_GB2312" w:eastAsia="仿宋_GB2312" w:cs="仿宋_GB2312"/>
          <w:color w:val="4E4342"/>
          <w:kern w:val="0"/>
          <w:sz w:val="32"/>
          <w:szCs w:val="32"/>
        </w:rPr>
        <w:t xml:space="preserve">  2.</w:t>
      </w:r>
      <w:r>
        <w:rPr>
          <w:rFonts w:hint="eastAsia" w:ascii="仿宋_GB2312" w:hAnsi="仿宋_GB2312" w:eastAsia="仿宋_GB2312" w:cs="仿宋_GB2312"/>
          <w:color w:val="4E4342"/>
          <w:kern w:val="0"/>
          <w:sz w:val="32"/>
          <w:szCs w:val="32"/>
        </w:rPr>
        <w:t>财务管理上，按照国家相关法律法规，制定了机关财务、公物购置使用、接待、会务、差旅等管理制度，并严格按照制度管理和执行，防范风险，保证财政资金的安全和高效运行。</w:t>
      </w:r>
    </w:p>
    <w:p>
      <w:pPr>
        <w:spacing w:line="580" w:lineRule="exact"/>
        <w:ind w:firstLine="640" w:firstLineChars="200"/>
        <w:rPr>
          <w:rFonts w:ascii="仿宋_GB2312" w:hAnsi="仿宋_GB2312" w:eastAsia="仿宋_GB2312" w:cs="仿宋_GB2312"/>
          <w:color w:val="4E4342"/>
          <w:kern w:val="0"/>
          <w:sz w:val="32"/>
          <w:szCs w:val="32"/>
        </w:rPr>
      </w:pPr>
      <w:r>
        <w:rPr>
          <w:rFonts w:hint="eastAsia" w:ascii="仿宋_GB2312" w:hAnsi="仿宋_GB2312" w:eastAsia="仿宋_GB2312" w:cs="仿宋_GB2312"/>
          <w:color w:val="4E4342"/>
          <w:kern w:val="0"/>
          <w:sz w:val="32"/>
          <w:szCs w:val="32"/>
        </w:rPr>
        <w:t>（二）专项预算管理。</w:t>
      </w:r>
    </w:p>
    <w:p>
      <w:pPr>
        <w:ind w:firstLine="640" w:firstLineChars="200"/>
        <w:rPr>
          <w:rFonts w:ascii="仿宋_GB2312" w:hAnsi="仿宋_GB2312" w:eastAsia="仿宋_GB2312" w:cs="仿宋_GB2312"/>
          <w:color w:val="4E4342"/>
          <w:kern w:val="0"/>
          <w:sz w:val="32"/>
          <w:szCs w:val="32"/>
        </w:rPr>
      </w:pPr>
      <w:r>
        <w:rPr>
          <w:rFonts w:ascii="仿宋_GB2312" w:hAnsi="仿宋_GB2312" w:eastAsia="仿宋_GB2312" w:cs="仿宋_GB2312"/>
          <w:color w:val="4E4342"/>
          <w:kern w:val="0"/>
          <w:sz w:val="32"/>
          <w:szCs w:val="32"/>
        </w:rPr>
        <w:t>1.</w:t>
      </w:r>
      <w:r>
        <w:rPr>
          <w:rFonts w:hint="eastAsia" w:ascii="仿宋_GB2312" w:hAnsi="仿宋_GB2312" w:eastAsia="仿宋_GB2312" w:cs="仿宋_GB2312"/>
          <w:color w:val="4E4342"/>
          <w:kern w:val="0"/>
          <w:sz w:val="32"/>
          <w:szCs w:val="32"/>
        </w:rPr>
        <w:t>严格专项预算支出管理，专款专用，按照预算科目和项目资金的规定使用财政资金，保障专项支出的规范化、制度化。</w:t>
      </w:r>
    </w:p>
    <w:p>
      <w:pPr>
        <w:spacing w:line="580" w:lineRule="exact"/>
        <w:ind w:firstLine="640" w:firstLineChars="200"/>
        <w:rPr>
          <w:rFonts w:ascii="仿宋_GB2312" w:hAnsi="仿宋_GB2312" w:eastAsia="仿宋_GB2312" w:cs="仿宋_GB2312"/>
          <w:color w:val="4E4342"/>
          <w:kern w:val="0"/>
          <w:sz w:val="32"/>
          <w:szCs w:val="32"/>
        </w:rPr>
      </w:pPr>
      <w:r>
        <w:rPr>
          <w:rFonts w:ascii="仿宋_GB2312" w:hAnsi="仿宋_GB2312" w:eastAsia="仿宋_GB2312" w:cs="仿宋_GB2312"/>
          <w:color w:val="4E4342"/>
          <w:kern w:val="0"/>
          <w:sz w:val="32"/>
          <w:szCs w:val="32"/>
        </w:rPr>
        <w:t> 2.</w:t>
      </w:r>
      <w:r>
        <w:rPr>
          <w:rFonts w:hint="eastAsia" w:ascii="仿宋_GB2312" w:hAnsi="仿宋_GB2312" w:eastAsia="仿宋_GB2312" w:cs="仿宋_GB2312"/>
          <w:color w:val="4E4342"/>
          <w:kern w:val="0"/>
          <w:sz w:val="32"/>
          <w:szCs w:val="32"/>
        </w:rPr>
        <w:t>财务管理上，按照国家相关法律法规，制定了机关财务专项会议费、差旅费等管理制度，并严格按照制度管理和执行，防范风险，保证财政资金的安全和高效运行。</w:t>
      </w:r>
    </w:p>
    <w:p>
      <w:pPr>
        <w:spacing w:line="580" w:lineRule="exact"/>
        <w:ind w:firstLine="640" w:firstLineChars="200"/>
        <w:rPr>
          <w:rFonts w:ascii="仿宋_GB2312" w:hAnsi="仿宋_GB2312" w:eastAsia="仿宋_GB2312" w:cs="仿宋_GB2312"/>
          <w:color w:val="4E4342"/>
          <w:kern w:val="0"/>
          <w:sz w:val="32"/>
          <w:szCs w:val="32"/>
        </w:rPr>
      </w:pPr>
      <w:r>
        <w:rPr>
          <w:rFonts w:hint="eastAsia" w:ascii="仿宋_GB2312" w:hAnsi="仿宋_GB2312" w:eastAsia="仿宋_GB2312" w:cs="仿宋_GB2312"/>
          <w:color w:val="4E4342"/>
          <w:kern w:val="0"/>
          <w:sz w:val="32"/>
          <w:szCs w:val="32"/>
        </w:rPr>
        <w:t>（三）结果应用情况。</w:t>
      </w:r>
    </w:p>
    <w:p>
      <w:pPr>
        <w:ind w:firstLine="640" w:firstLineChars="200"/>
        <w:rPr>
          <w:rFonts w:ascii="仿宋_GB2312" w:hAnsi="仿宋_GB2312" w:eastAsia="仿宋_GB2312" w:cs="仿宋_GB2312"/>
          <w:color w:val="4E4342"/>
          <w:kern w:val="0"/>
          <w:sz w:val="32"/>
          <w:szCs w:val="32"/>
        </w:rPr>
      </w:pPr>
      <w:r>
        <w:rPr>
          <w:rFonts w:ascii="仿宋_GB2312" w:hAnsi="仿宋_GB2312" w:eastAsia="仿宋_GB2312" w:cs="仿宋_GB2312"/>
          <w:color w:val="4E4342"/>
          <w:kern w:val="0"/>
          <w:sz w:val="32"/>
          <w:szCs w:val="32"/>
        </w:rPr>
        <w:t>1.</w:t>
      </w:r>
      <w:r>
        <w:rPr>
          <w:rFonts w:hint="eastAsia" w:ascii="仿宋_GB2312" w:hAnsi="仿宋_GB2312" w:eastAsia="仿宋_GB2312" w:cs="仿宋_GB2312"/>
          <w:color w:val="4E4342"/>
          <w:kern w:val="0"/>
          <w:sz w:val="32"/>
          <w:szCs w:val="32"/>
        </w:rPr>
        <w:t>本年预算配置控制较好，财政供养人员控制在预算编制以内，实际在职人员数与编制数相同；“三公”经费支出总额较上年减少。</w:t>
      </w:r>
    </w:p>
    <w:p>
      <w:pPr>
        <w:rPr>
          <w:rFonts w:ascii="仿宋_GB2312" w:hAnsi="仿宋_GB2312" w:eastAsia="仿宋_GB2312" w:cs="仿宋_GB2312"/>
          <w:color w:val="4E4342"/>
          <w:kern w:val="0"/>
          <w:sz w:val="32"/>
          <w:szCs w:val="32"/>
        </w:rPr>
      </w:pPr>
      <w:r>
        <w:rPr>
          <w:rFonts w:ascii="仿宋_GB2312" w:hAnsi="仿宋_GB2312" w:eastAsia="仿宋_GB2312" w:cs="仿宋_GB2312"/>
          <w:color w:val="4E4342"/>
          <w:kern w:val="0"/>
          <w:sz w:val="32"/>
          <w:szCs w:val="32"/>
        </w:rPr>
        <w:t>    2.</w:t>
      </w:r>
      <w:r>
        <w:rPr>
          <w:rFonts w:hint="eastAsia" w:ascii="仿宋_GB2312" w:hAnsi="仿宋_GB2312" w:eastAsia="仿宋_GB2312" w:cs="仿宋_GB2312"/>
          <w:color w:val="4E4342"/>
          <w:kern w:val="0"/>
          <w:sz w:val="32"/>
          <w:szCs w:val="32"/>
        </w:rPr>
        <w:t>预算执行方面，支出总额控制在预算总额以内，基本支出中财政政策性工资有所追加，本年部门预算未进行预算相关事项的调整；预算资金按规定管理使用，财政拨款支出总体控制较好。</w:t>
      </w:r>
    </w:p>
    <w:p>
      <w:pPr>
        <w:rPr>
          <w:rFonts w:ascii="仿宋_GB2312" w:hAnsi="仿宋_GB2312" w:eastAsia="仿宋_GB2312" w:cs="仿宋_GB2312"/>
          <w:color w:val="4E4342"/>
          <w:kern w:val="0"/>
          <w:sz w:val="32"/>
          <w:szCs w:val="32"/>
        </w:rPr>
      </w:pPr>
      <w:r>
        <w:rPr>
          <w:rFonts w:ascii="仿宋_GB2312" w:hAnsi="仿宋_GB2312" w:eastAsia="仿宋_GB2312" w:cs="仿宋_GB2312"/>
          <w:color w:val="4E4342"/>
          <w:kern w:val="0"/>
          <w:sz w:val="32"/>
          <w:szCs w:val="32"/>
        </w:rPr>
        <w:t>     3.</w:t>
      </w:r>
      <w:r>
        <w:rPr>
          <w:rFonts w:hint="eastAsia" w:ascii="仿宋_GB2312" w:hAnsi="仿宋_GB2312" w:eastAsia="仿宋_GB2312" w:cs="仿宋_GB2312"/>
          <w:color w:val="4E4342"/>
          <w:kern w:val="0"/>
          <w:sz w:val="32"/>
          <w:szCs w:val="32"/>
        </w:rPr>
        <w:t>预算管理方面，制定了切实有效的内部财务、资产内部管理制度，执行总体较为有效。</w:t>
      </w:r>
    </w:p>
    <w:p>
      <w:pPr>
        <w:spacing w:line="580" w:lineRule="exact"/>
        <w:ind w:firstLine="640" w:firstLineChars="200"/>
        <w:rPr>
          <w:rFonts w:ascii="仿宋_GB2312" w:hAnsi="仿宋_GB2312" w:eastAsia="仿宋_GB2312" w:cs="仿宋_GB2312"/>
          <w:color w:val="4E4342"/>
          <w:kern w:val="0"/>
          <w:sz w:val="32"/>
          <w:szCs w:val="32"/>
        </w:rPr>
      </w:pPr>
      <w:r>
        <w:rPr>
          <w:rFonts w:hint="eastAsia" w:ascii="仿宋_GB2312" w:hAnsi="仿宋_GB2312" w:eastAsia="仿宋_GB2312" w:cs="仿宋_GB2312"/>
          <w:color w:val="4E4342"/>
          <w:kern w:val="0"/>
          <w:sz w:val="32"/>
          <w:szCs w:val="32"/>
        </w:rPr>
        <w:t>四、评价结论及建议</w:t>
      </w:r>
    </w:p>
    <w:p>
      <w:pPr>
        <w:spacing w:line="580" w:lineRule="exact"/>
        <w:ind w:firstLine="640" w:firstLineChars="200"/>
        <w:rPr>
          <w:rFonts w:ascii="仿宋_GB2312" w:hAnsi="仿宋_GB2312" w:eastAsia="仿宋_GB2312" w:cs="仿宋_GB2312"/>
          <w:color w:val="4E4342"/>
          <w:kern w:val="0"/>
          <w:sz w:val="32"/>
          <w:szCs w:val="32"/>
        </w:rPr>
      </w:pPr>
      <w:r>
        <w:rPr>
          <w:rFonts w:hint="eastAsia" w:ascii="仿宋_GB2312" w:hAnsi="仿宋_GB2312" w:eastAsia="仿宋_GB2312" w:cs="仿宋_GB2312"/>
          <w:color w:val="4E4342"/>
          <w:kern w:val="0"/>
          <w:sz w:val="32"/>
          <w:szCs w:val="32"/>
        </w:rPr>
        <w:t>（一）评价结论</w:t>
      </w:r>
    </w:p>
    <w:p>
      <w:pPr>
        <w:ind w:firstLine="640" w:firstLineChars="200"/>
        <w:rPr>
          <w:rFonts w:ascii="仿宋_GB2312" w:hAnsi="仿宋_GB2312" w:eastAsia="仿宋_GB2312" w:cs="仿宋_GB2312"/>
          <w:color w:val="4E4342"/>
          <w:kern w:val="0"/>
          <w:sz w:val="32"/>
          <w:szCs w:val="32"/>
        </w:rPr>
      </w:pPr>
      <w:r>
        <w:rPr>
          <w:rFonts w:hint="eastAsia" w:ascii="仿宋_GB2312" w:hAnsi="仿宋_GB2312" w:eastAsia="仿宋_GB2312" w:cs="仿宋_GB2312"/>
          <w:color w:val="4E4342"/>
          <w:kern w:val="0"/>
          <w:sz w:val="32"/>
          <w:szCs w:val="32"/>
        </w:rPr>
        <w:t>根据考核评分细则，我部严格按照国家的相关财务管理制度规定，财务制度健全、会计核算规范，依照计划管理使用。按照部门整体支出绩效评价指标体系对照打分得出结果等级为优。</w:t>
      </w:r>
    </w:p>
    <w:p>
      <w:pPr>
        <w:spacing w:line="580" w:lineRule="exact"/>
        <w:ind w:firstLine="640" w:firstLineChars="200"/>
        <w:rPr>
          <w:rFonts w:ascii="仿宋_GB2312" w:hAnsi="仿宋_GB2312" w:eastAsia="仿宋_GB2312" w:cs="仿宋_GB2312"/>
          <w:color w:val="4E4342"/>
          <w:kern w:val="0"/>
          <w:sz w:val="32"/>
          <w:szCs w:val="32"/>
        </w:rPr>
      </w:pPr>
      <w:r>
        <w:rPr>
          <w:rFonts w:hint="eastAsia" w:ascii="仿宋_GB2312" w:hAnsi="仿宋_GB2312" w:eastAsia="仿宋_GB2312" w:cs="仿宋_GB2312"/>
          <w:color w:val="4E4342"/>
          <w:kern w:val="0"/>
          <w:sz w:val="32"/>
          <w:szCs w:val="32"/>
        </w:rPr>
        <w:t>（二）存在问题</w:t>
      </w:r>
    </w:p>
    <w:p>
      <w:pPr>
        <w:ind w:firstLine="640" w:firstLineChars="200"/>
        <w:rPr>
          <w:rFonts w:ascii="仿宋_GB2312" w:hAnsi="仿宋_GB2312" w:eastAsia="仿宋_GB2312" w:cs="仿宋_GB2312"/>
          <w:color w:val="4E4342"/>
          <w:kern w:val="0"/>
          <w:sz w:val="32"/>
          <w:szCs w:val="32"/>
        </w:rPr>
      </w:pPr>
      <w:r>
        <w:rPr>
          <w:rFonts w:ascii="仿宋_GB2312" w:hAnsi="仿宋_GB2312" w:eastAsia="仿宋_GB2312" w:cs="仿宋_GB2312"/>
          <w:color w:val="4E4342"/>
          <w:kern w:val="0"/>
          <w:sz w:val="32"/>
          <w:szCs w:val="32"/>
        </w:rPr>
        <w:t>1.</w:t>
      </w:r>
      <w:r>
        <w:rPr>
          <w:rFonts w:hint="eastAsia" w:ascii="仿宋_GB2312" w:hAnsi="仿宋_GB2312" w:eastAsia="仿宋_GB2312" w:cs="仿宋_GB2312"/>
          <w:color w:val="4E4342"/>
          <w:kern w:val="0"/>
          <w:sz w:val="32"/>
          <w:szCs w:val="32"/>
        </w:rPr>
        <w:t>预算编制有待更严格执行，预算编制与实际支出项目有的存在差异。</w:t>
      </w:r>
    </w:p>
    <w:p>
      <w:pPr>
        <w:ind w:firstLine="640" w:firstLineChars="200"/>
        <w:rPr>
          <w:rFonts w:ascii="仿宋_GB2312" w:hAnsi="仿宋_GB2312" w:eastAsia="仿宋_GB2312" w:cs="仿宋_GB2312"/>
          <w:color w:val="4E4342"/>
          <w:kern w:val="0"/>
          <w:sz w:val="32"/>
          <w:szCs w:val="32"/>
        </w:rPr>
      </w:pPr>
      <w:r>
        <w:rPr>
          <w:rFonts w:ascii="仿宋_GB2312" w:hAnsi="仿宋_GB2312" w:eastAsia="仿宋_GB2312" w:cs="仿宋_GB2312"/>
          <w:color w:val="4E4342"/>
          <w:kern w:val="0"/>
          <w:sz w:val="32"/>
          <w:szCs w:val="32"/>
        </w:rPr>
        <w:t>2.</w:t>
      </w:r>
      <w:r>
        <w:rPr>
          <w:rFonts w:hint="eastAsia" w:ascii="仿宋_GB2312" w:hAnsi="仿宋_GB2312" w:eastAsia="仿宋_GB2312" w:cs="仿宋_GB2312"/>
          <w:color w:val="4E4342"/>
          <w:kern w:val="0"/>
          <w:sz w:val="32"/>
          <w:szCs w:val="32"/>
        </w:rPr>
        <w:t>制度执行力度有待加强。</w:t>
      </w:r>
    </w:p>
    <w:p>
      <w:pPr>
        <w:spacing w:line="580" w:lineRule="exact"/>
        <w:ind w:firstLine="640" w:firstLineChars="200"/>
        <w:rPr>
          <w:rFonts w:ascii="仿宋_GB2312" w:hAnsi="仿宋_GB2312" w:eastAsia="仿宋_GB2312" w:cs="仿宋_GB2312"/>
          <w:color w:val="4E4342"/>
          <w:kern w:val="0"/>
          <w:sz w:val="32"/>
          <w:szCs w:val="32"/>
        </w:rPr>
      </w:pPr>
      <w:r>
        <w:rPr>
          <w:rFonts w:hint="eastAsia" w:ascii="仿宋_GB2312" w:hAnsi="仿宋_GB2312" w:eastAsia="仿宋_GB2312" w:cs="仿宋_GB2312"/>
          <w:color w:val="4E4342"/>
          <w:kern w:val="0"/>
          <w:sz w:val="32"/>
          <w:szCs w:val="32"/>
        </w:rPr>
        <w:t>（三）改进建议</w:t>
      </w:r>
    </w:p>
    <w:p>
      <w:pPr>
        <w:ind w:firstLine="800" w:firstLineChars="250"/>
        <w:rPr>
          <w:rFonts w:ascii="仿宋" w:hAnsi="仿宋" w:eastAsia="仿宋" w:cs="仿宋"/>
          <w:sz w:val="32"/>
          <w:szCs w:val="32"/>
        </w:rPr>
      </w:pPr>
      <w:r>
        <w:rPr>
          <w:rFonts w:ascii="仿宋" w:hAnsi="仿宋" w:eastAsia="仿宋" w:cs="仿宋"/>
          <w:sz w:val="32"/>
          <w:szCs w:val="32"/>
        </w:rPr>
        <w:t>1.</w:t>
      </w:r>
      <w:r>
        <w:rPr>
          <w:rFonts w:hint="eastAsia" w:ascii="仿宋" w:hAnsi="仿宋" w:eastAsia="仿宋" w:cs="仿宋"/>
          <w:sz w:val="32"/>
          <w:szCs w:val="32"/>
        </w:rPr>
        <w:t>按照预算规定的项目和用途严格财务审核，经费支出严格按预算规定项目的财务支出内容进行财务核算，在预算金额内严格控制费用的支出。</w:t>
      </w:r>
    </w:p>
    <w:p>
      <w:pPr>
        <w:rPr>
          <w:rFonts w:ascii="仿宋" w:hAnsi="仿宋" w:eastAsia="仿宋" w:cs="仿宋"/>
          <w:sz w:val="32"/>
          <w:szCs w:val="32"/>
        </w:rPr>
      </w:pPr>
      <w:r>
        <w:rPr>
          <w:rFonts w:ascii="仿宋" w:hAnsi="仿宋" w:eastAsia="仿宋" w:cs="仿宋"/>
          <w:sz w:val="32"/>
          <w:szCs w:val="32"/>
        </w:rPr>
        <w:t>     2.</w:t>
      </w:r>
      <w:r>
        <w:rPr>
          <w:rFonts w:hint="eastAsia" w:ascii="仿宋" w:hAnsi="仿宋" w:eastAsia="仿宋" w:cs="仿宋"/>
          <w:sz w:val="32"/>
          <w:szCs w:val="32"/>
        </w:rPr>
        <w:t>预算财务分析常态化，定期做好预算支出财务分析，做好部门整体支出预算评价工作，完善各项适度，提升执行力。</w:t>
      </w:r>
    </w:p>
    <w:p>
      <w:pPr>
        <w:rPr>
          <w:rFonts w:ascii="仿宋" w:hAnsi="仿宋" w:eastAsia="仿宋" w:cs="仿宋"/>
          <w:sz w:val="32"/>
          <w:szCs w:val="32"/>
        </w:rPr>
      </w:pPr>
    </w:p>
    <w:p>
      <w:pPr>
        <w:spacing w:line="580" w:lineRule="exact"/>
        <w:ind w:firstLine="640" w:firstLineChars="200"/>
        <w:rPr>
          <w:rFonts w:ascii="仿宋" w:hAnsi="仿宋" w:eastAsia="仿宋" w:cs="仿宋_GB2312"/>
          <w:sz w:val="32"/>
          <w:szCs w:val="32"/>
        </w:rPr>
      </w:pPr>
    </w:p>
    <w:p>
      <w:pPr>
        <w:spacing w:line="580" w:lineRule="exact"/>
        <w:ind w:firstLine="640" w:firstLineChars="200"/>
        <w:rPr>
          <w:rFonts w:ascii="仿宋_GB2312" w:hAnsi="仿宋_GB2312" w:eastAsia="仿宋_GB2312" w:cs="仿宋_GB2312"/>
          <w:sz w:val="32"/>
          <w:szCs w:val="32"/>
        </w:rPr>
      </w:pPr>
    </w:p>
    <w:p>
      <w:pPr>
        <w:widowControl/>
        <w:jc w:val="left"/>
        <w:rPr>
          <w:rFonts w:ascii="仿宋_GB2312" w:hAnsi="仿宋_GB2312" w:eastAsia="仿宋_GB2312" w:cs="仿宋_GB2312"/>
          <w:sz w:val="32"/>
          <w:szCs w:val="32"/>
        </w:rPr>
      </w:pPr>
      <w:r>
        <w:rPr>
          <w:rFonts w:ascii="仿宋_GB2312" w:hAnsi="仿宋_GB2312" w:eastAsia="仿宋_GB2312" w:cs="仿宋_GB2312"/>
          <w:sz w:val="32"/>
          <w:szCs w:val="32"/>
        </w:rPr>
        <w:br w:type="page"/>
      </w:r>
    </w:p>
    <w:p>
      <w:pPr>
        <w:spacing w:line="600" w:lineRule="exact"/>
        <w:jc w:val="center"/>
        <w:outlineLvl w:val="0"/>
        <w:rPr>
          <w:rStyle w:val="17"/>
          <w:rFonts w:ascii="黑体" w:hAnsi="黑体" w:eastAsia="黑体"/>
          <w:b w:val="0"/>
        </w:rPr>
      </w:pPr>
      <w:bookmarkStart w:id="59" w:name="_Toc15396618"/>
      <w:r>
        <w:rPr>
          <w:rFonts w:hint="eastAsia" w:ascii="黑体" w:hAnsi="黑体" w:eastAsia="黑体"/>
          <w:color w:val="000000"/>
          <w:sz w:val="44"/>
          <w:szCs w:val="44"/>
        </w:rPr>
        <w:t>第</w:t>
      </w:r>
      <w:r>
        <w:rPr>
          <w:rStyle w:val="17"/>
          <w:rFonts w:hint="eastAsia" w:ascii="黑体" w:hAnsi="黑体" w:eastAsia="黑体"/>
          <w:b w:val="0"/>
        </w:rPr>
        <w:t>五部分</w:t>
      </w:r>
      <w:r>
        <w:rPr>
          <w:rStyle w:val="17"/>
          <w:rFonts w:ascii="黑体" w:hAnsi="黑体" w:eastAsia="黑体"/>
          <w:b w:val="0"/>
        </w:rPr>
        <w:t xml:space="preserve"> </w:t>
      </w:r>
      <w:r>
        <w:rPr>
          <w:rStyle w:val="17"/>
          <w:rFonts w:hint="eastAsia" w:ascii="黑体" w:hAnsi="黑体" w:eastAsia="黑体"/>
          <w:b w:val="0"/>
        </w:rPr>
        <w:t>附表</w:t>
      </w:r>
      <w:bookmarkEnd w:id="55"/>
      <w:bookmarkEnd w:id="59"/>
    </w:p>
    <w:p>
      <w:pPr>
        <w:spacing w:line="600" w:lineRule="exact"/>
        <w:jc w:val="center"/>
        <w:outlineLvl w:val="0"/>
        <w:rPr>
          <w:rFonts w:ascii="仿宋" w:hAnsi="仿宋" w:eastAsia="仿宋"/>
          <w:b/>
          <w:color w:val="000000"/>
          <w:sz w:val="44"/>
          <w:szCs w:val="44"/>
        </w:rPr>
      </w:pPr>
    </w:p>
    <w:p>
      <w:pPr>
        <w:pStyle w:val="3"/>
        <w:rPr>
          <w:rFonts w:ascii="仿宋" w:hAnsi="仿宋" w:eastAsia="仿宋"/>
          <w:color w:val="000000"/>
        </w:rPr>
      </w:pPr>
      <w:bookmarkStart w:id="60" w:name="_Toc15396619"/>
      <w:r>
        <w:rPr>
          <w:rFonts w:hint="eastAsia" w:ascii="仿宋" w:hAnsi="仿宋" w:eastAsia="仿宋"/>
          <w:b w:val="0"/>
          <w:color w:val="000000"/>
        </w:rPr>
        <w:t>一、收</w:t>
      </w:r>
      <w:r>
        <w:rPr>
          <w:rStyle w:val="18"/>
          <w:rFonts w:hint="eastAsia" w:ascii="仿宋" w:hAnsi="仿宋" w:eastAsia="仿宋"/>
          <w:b w:val="0"/>
          <w:bCs w:val="0"/>
        </w:rPr>
        <w:t>入支出决算总表</w:t>
      </w:r>
      <w:bookmarkEnd w:id="60"/>
    </w:p>
    <w:p>
      <w:pPr>
        <w:pStyle w:val="3"/>
        <w:rPr>
          <w:rFonts w:ascii="仿宋" w:hAnsi="仿宋" w:eastAsia="仿宋"/>
          <w:color w:val="000000"/>
        </w:rPr>
      </w:pPr>
      <w:bookmarkStart w:id="61" w:name="_Toc15396620"/>
      <w:r>
        <w:rPr>
          <w:rFonts w:hint="eastAsia" w:ascii="仿宋" w:hAnsi="仿宋" w:eastAsia="仿宋"/>
          <w:b w:val="0"/>
          <w:color w:val="000000"/>
        </w:rPr>
        <w:t>二、收</w:t>
      </w:r>
      <w:r>
        <w:rPr>
          <w:rStyle w:val="18"/>
          <w:rFonts w:hint="eastAsia" w:ascii="仿宋" w:hAnsi="仿宋" w:eastAsia="仿宋"/>
          <w:b w:val="0"/>
          <w:bCs w:val="0"/>
        </w:rPr>
        <w:t>入总表</w:t>
      </w:r>
      <w:bookmarkEnd w:id="61"/>
    </w:p>
    <w:p>
      <w:pPr>
        <w:pStyle w:val="3"/>
        <w:rPr>
          <w:rFonts w:ascii="仿宋" w:hAnsi="仿宋" w:eastAsia="仿宋"/>
          <w:color w:val="000000"/>
        </w:rPr>
      </w:pPr>
      <w:bookmarkStart w:id="62" w:name="_Toc15396621"/>
      <w:r>
        <w:rPr>
          <w:rStyle w:val="18"/>
          <w:rFonts w:hint="eastAsia" w:ascii="仿宋" w:hAnsi="仿宋" w:eastAsia="仿宋"/>
          <w:b w:val="0"/>
          <w:bCs w:val="0"/>
        </w:rPr>
        <w:t>三、</w:t>
      </w:r>
      <w:r>
        <w:rPr>
          <w:rFonts w:hint="eastAsia" w:ascii="仿宋" w:hAnsi="仿宋" w:eastAsia="仿宋"/>
          <w:b w:val="0"/>
          <w:color w:val="000000"/>
        </w:rPr>
        <w:t>支</w:t>
      </w:r>
      <w:r>
        <w:rPr>
          <w:rStyle w:val="18"/>
          <w:rFonts w:hint="eastAsia" w:ascii="仿宋" w:hAnsi="仿宋" w:eastAsia="仿宋"/>
          <w:b w:val="0"/>
          <w:bCs w:val="0"/>
        </w:rPr>
        <w:t>出总表</w:t>
      </w:r>
      <w:bookmarkEnd w:id="62"/>
    </w:p>
    <w:p>
      <w:pPr>
        <w:pStyle w:val="3"/>
        <w:rPr>
          <w:rFonts w:ascii="仿宋" w:hAnsi="仿宋" w:eastAsia="仿宋"/>
          <w:b w:val="0"/>
          <w:color w:val="000000"/>
        </w:rPr>
      </w:pPr>
      <w:bookmarkStart w:id="63" w:name="_Toc15396622"/>
      <w:r>
        <w:rPr>
          <w:rStyle w:val="18"/>
          <w:rFonts w:hint="eastAsia" w:ascii="仿宋" w:hAnsi="仿宋" w:eastAsia="仿宋"/>
          <w:b w:val="0"/>
          <w:bCs w:val="0"/>
        </w:rPr>
        <w:t>四、</w:t>
      </w:r>
      <w:r>
        <w:rPr>
          <w:rFonts w:hint="eastAsia" w:ascii="仿宋" w:hAnsi="仿宋" w:eastAsia="仿宋"/>
          <w:b w:val="0"/>
          <w:color w:val="000000"/>
        </w:rPr>
        <w:t>财</w:t>
      </w:r>
      <w:r>
        <w:rPr>
          <w:rStyle w:val="18"/>
          <w:rFonts w:hint="eastAsia" w:ascii="仿宋" w:hAnsi="仿宋" w:eastAsia="仿宋"/>
          <w:b w:val="0"/>
          <w:bCs w:val="0"/>
        </w:rPr>
        <w:t>政拨款收入支出决算总表</w:t>
      </w:r>
      <w:bookmarkEnd w:id="63"/>
    </w:p>
    <w:p>
      <w:pPr>
        <w:pStyle w:val="3"/>
        <w:rPr>
          <w:rFonts w:ascii="仿宋" w:hAnsi="仿宋" w:eastAsia="仿宋"/>
          <w:color w:val="000000"/>
        </w:rPr>
      </w:pPr>
      <w:bookmarkStart w:id="64" w:name="_Toc15396623"/>
      <w:r>
        <w:rPr>
          <w:rStyle w:val="18"/>
          <w:rFonts w:hint="eastAsia" w:ascii="仿宋" w:hAnsi="仿宋" w:eastAsia="仿宋"/>
          <w:b w:val="0"/>
          <w:bCs w:val="0"/>
        </w:rPr>
        <w:t>五、</w:t>
      </w:r>
      <w:r>
        <w:rPr>
          <w:rFonts w:hint="eastAsia" w:ascii="仿宋" w:hAnsi="仿宋" w:eastAsia="仿宋"/>
          <w:b w:val="0"/>
          <w:color w:val="000000"/>
        </w:rPr>
        <w:t>财</w:t>
      </w:r>
      <w:r>
        <w:rPr>
          <w:rStyle w:val="18"/>
          <w:rFonts w:hint="eastAsia" w:ascii="仿宋" w:hAnsi="仿宋" w:eastAsia="仿宋"/>
          <w:b w:val="0"/>
          <w:bCs w:val="0"/>
        </w:rPr>
        <w:t>政拨款支出决算明细表（政府经济分类科目）</w:t>
      </w:r>
      <w:bookmarkEnd w:id="64"/>
    </w:p>
    <w:p>
      <w:pPr>
        <w:pStyle w:val="3"/>
        <w:rPr>
          <w:rFonts w:ascii="仿宋" w:hAnsi="仿宋" w:eastAsia="仿宋"/>
          <w:color w:val="000000"/>
        </w:rPr>
      </w:pPr>
      <w:bookmarkStart w:id="65" w:name="_Toc15396624"/>
      <w:r>
        <w:rPr>
          <w:rStyle w:val="18"/>
          <w:rFonts w:hint="eastAsia" w:ascii="仿宋" w:hAnsi="仿宋" w:eastAsia="仿宋"/>
          <w:b w:val="0"/>
          <w:bCs w:val="0"/>
        </w:rPr>
        <w:t>六、</w:t>
      </w:r>
      <w:r>
        <w:rPr>
          <w:rFonts w:hint="eastAsia" w:ascii="仿宋" w:hAnsi="仿宋" w:eastAsia="仿宋"/>
          <w:b w:val="0"/>
          <w:color w:val="000000"/>
        </w:rPr>
        <w:t>一</w:t>
      </w:r>
      <w:r>
        <w:rPr>
          <w:rStyle w:val="18"/>
          <w:rFonts w:hint="eastAsia" w:ascii="仿宋" w:hAnsi="仿宋" w:eastAsia="仿宋"/>
          <w:b w:val="0"/>
          <w:bCs w:val="0"/>
        </w:rPr>
        <w:t>般公共预算财政拨款支出决算表</w:t>
      </w:r>
      <w:bookmarkEnd w:id="65"/>
    </w:p>
    <w:p>
      <w:pPr>
        <w:pStyle w:val="3"/>
        <w:rPr>
          <w:rFonts w:ascii="仿宋" w:hAnsi="仿宋" w:eastAsia="仿宋"/>
          <w:color w:val="000000"/>
        </w:rPr>
      </w:pPr>
      <w:bookmarkStart w:id="66" w:name="_Toc15396625"/>
      <w:r>
        <w:rPr>
          <w:rStyle w:val="18"/>
          <w:rFonts w:hint="eastAsia" w:ascii="仿宋" w:hAnsi="仿宋" w:eastAsia="仿宋"/>
          <w:b w:val="0"/>
          <w:bCs w:val="0"/>
        </w:rPr>
        <w:t>七、</w:t>
      </w:r>
      <w:r>
        <w:rPr>
          <w:rFonts w:hint="eastAsia" w:ascii="仿宋" w:hAnsi="仿宋" w:eastAsia="仿宋"/>
          <w:b w:val="0"/>
          <w:color w:val="000000"/>
        </w:rPr>
        <w:t>一</w:t>
      </w:r>
      <w:r>
        <w:rPr>
          <w:rStyle w:val="18"/>
          <w:rFonts w:hint="eastAsia" w:ascii="仿宋" w:hAnsi="仿宋" w:eastAsia="仿宋"/>
          <w:b w:val="0"/>
          <w:bCs w:val="0"/>
        </w:rPr>
        <w:t>般公共预算财政拨款支出决算明细表</w:t>
      </w:r>
      <w:bookmarkEnd w:id="66"/>
    </w:p>
    <w:p>
      <w:pPr>
        <w:pStyle w:val="3"/>
        <w:rPr>
          <w:rFonts w:ascii="仿宋" w:hAnsi="仿宋" w:eastAsia="仿宋"/>
          <w:color w:val="000000"/>
        </w:rPr>
      </w:pPr>
      <w:bookmarkStart w:id="67" w:name="_Toc15396626"/>
      <w:r>
        <w:rPr>
          <w:rStyle w:val="18"/>
          <w:rFonts w:hint="eastAsia" w:ascii="仿宋" w:hAnsi="仿宋" w:eastAsia="仿宋"/>
          <w:b w:val="0"/>
          <w:bCs w:val="0"/>
        </w:rPr>
        <w:t>八、</w:t>
      </w:r>
      <w:r>
        <w:rPr>
          <w:rFonts w:hint="eastAsia" w:ascii="仿宋" w:hAnsi="仿宋" w:eastAsia="仿宋"/>
          <w:b w:val="0"/>
          <w:color w:val="000000"/>
        </w:rPr>
        <w:t>一</w:t>
      </w:r>
      <w:r>
        <w:rPr>
          <w:rStyle w:val="18"/>
          <w:rFonts w:hint="eastAsia" w:ascii="仿宋" w:hAnsi="仿宋" w:eastAsia="仿宋"/>
          <w:b w:val="0"/>
          <w:bCs w:val="0"/>
        </w:rPr>
        <w:t>般公共预算财政拨款基本支出决算表</w:t>
      </w:r>
      <w:bookmarkEnd w:id="67"/>
    </w:p>
    <w:p>
      <w:pPr>
        <w:pStyle w:val="3"/>
        <w:rPr>
          <w:rFonts w:ascii="仿宋" w:hAnsi="仿宋" w:eastAsia="仿宋"/>
          <w:color w:val="000000"/>
        </w:rPr>
      </w:pPr>
      <w:bookmarkStart w:id="68" w:name="_Toc15396627"/>
      <w:r>
        <w:rPr>
          <w:rStyle w:val="18"/>
          <w:rFonts w:hint="eastAsia" w:ascii="仿宋" w:hAnsi="仿宋" w:eastAsia="仿宋"/>
          <w:b w:val="0"/>
          <w:bCs w:val="0"/>
        </w:rPr>
        <w:t>九、</w:t>
      </w:r>
      <w:r>
        <w:rPr>
          <w:rFonts w:hint="eastAsia" w:ascii="仿宋" w:hAnsi="仿宋" w:eastAsia="仿宋"/>
          <w:b w:val="0"/>
          <w:color w:val="000000"/>
        </w:rPr>
        <w:t>一</w:t>
      </w:r>
      <w:r>
        <w:rPr>
          <w:rStyle w:val="18"/>
          <w:rFonts w:hint="eastAsia" w:ascii="仿宋" w:hAnsi="仿宋" w:eastAsia="仿宋"/>
          <w:b w:val="0"/>
          <w:bCs w:val="0"/>
        </w:rPr>
        <w:t>般公共预算财政拨款项目支出决算表</w:t>
      </w:r>
      <w:bookmarkEnd w:id="68"/>
    </w:p>
    <w:p>
      <w:pPr>
        <w:pStyle w:val="3"/>
        <w:rPr>
          <w:rFonts w:ascii="仿宋" w:hAnsi="仿宋" w:eastAsia="仿宋"/>
          <w:color w:val="000000"/>
        </w:rPr>
      </w:pPr>
      <w:bookmarkStart w:id="69" w:name="_Toc15396628"/>
      <w:r>
        <w:rPr>
          <w:rStyle w:val="18"/>
          <w:rFonts w:hint="eastAsia" w:ascii="仿宋" w:hAnsi="仿宋" w:eastAsia="仿宋"/>
          <w:b w:val="0"/>
          <w:bCs w:val="0"/>
        </w:rPr>
        <w:t>十、</w:t>
      </w:r>
      <w:r>
        <w:rPr>
          <w:rFonts w:hint="eastAsia" w:ascii="仿宋" w:hAnsi="仿宋" w:eastAsia="仿宋"/>
          <w:b w:val="0"/>
          <w:color w:val="000000"/>
        </w:rPr>
        <w:t>一</w:t>
      </w:r>
      <w:r>
        <w:rPr>
          <w:rStyle w:val="18"/>
          <w:rFonts w:hint="eastAsia" w:ascii="仿宋" w:hAnsi="仿宋" w:eastAsia="仿宋"/>
          <w:b w:val="0"/>
          <w:bCs w:val="0"/>
        </w:rPr>
        <w:t>般公共预算财政拨款“三公”经费支出决算表</w:t>
      </w:r>
      <w:bookmarkEnd w:id="69"/>
    </w:p>
    <w:p>
      <w:pPr>
        <w:pStyle w:val="3"/>
        <w:rPr>
          <w:rFonts w:ascii="仿宋" w:hAnsi="仿宋" w:eastAsia="仿宋"/>
          <w:color w:val="000000"/>
        </w:rPr>
      </w:pPr>
      <w:bookmarkStart w:id="70" w:name="_Toc15396629"/>
      <w:r>
        <w:rPr>
          <w:rStyle w:val="18"/>
          <w:rFonts w:hint="eastAsia" w:ascii="仿宋" w:hAnsi="仿宋" w:eastAsia="仿宋"/>
          <w:b w:val="0"/>
          <w:bCs w:val="0"/>
        </w:rPr>
        <w:t>十一、</w:t>
      </w:r>
      <w:r>
        <w:rPr>
          <w:rFonts w:hint="eastAsia" w:ascii="仿宋" w:hAnsi="仿宋" w:eastAsia="仿宋"/>
          <w:b w:val="0"/>
          <w:color w:val="000000"/>
        </w:rPr>
        <w:t>政</w:t>
      </w:r>
      <w:r>
        <w:rPr>
          <w:rStyle w:val="18"/>
          <w:rFonts w:hint="eastAsia" w:ascii="仿宋" w:hAnsi="仿宋" w:eastAsia="仿宋"/>
          <w:b w:val="0"/>
          <w:bCs w:val="0"/>
        </w:rPr>
        <w:t>府性基金预算财政拨款收入支出决算表</w:t>
      </w:r>
      <w:bookmarkEnd w:id="70"/>
    </w:p>
    <w:p>
      <w:pPr>
        <w:pStyle w:val="3"/>
        <w:rPr>
          <w:rFonts w:ascii="仿宋" w:hAnsi="仿宋" w:eastAsia="仿宋"/>
          <w:color w:val="000000"/>
        </w:rPr>
      </w:pPr>
      <w:bookmarkStart w:id="71" w:name="_Toc15396630"/>
      <w:r>
        <w:rPr>
          <w:rStyle w:val="18"/>
          <w:rFonts w:hint="eastAsia" w:ascii="仿宋" w:hAnsi="仿宋" w:eastAsia="仿宋"/>
          <w:b w:val="0"/>
          <w:bCs w:val="0"/>
        </w:rPr>
        <w:t>十二、</w:t>
      </w:r>
      <w:r>
        <w:rPr>
          <w:rFonts w:hint="eastAsia" w:ascii="仿宋" w:hAnsi="仿宋" w:eastAsia="仿宋"/>
          <w:b w:val="0"/>
          <w:color w:val="000000"/>
        </w:rPr>
        <w:t>政</w:t>
      </w:r>
      <w:r>
        <w:rPr>
          <w:rStyle w:val="18"/>
          <w:rFonts w:hint="eastAsia" w:ascii="仿宋" w:hAnsi="仿宋" w:eastAsia="仿宋"/>
          <w:b w:val="0"/>
          <w:bCs w:val="0"/>
        </w:rPr>
        <w:t>府性基金预算财政拨款“三公”经费支出决算表</w:t>
      </w:r>
      <w:bookmarkEnd w:id="71"/>
    </w:p>
    <w:p>
      <w:pPr>
        <w:pStyle w:val="3"/>
        <w:rPr>
          <w:rFonts w:ascii="仿宋" w:hAnsi="仿宋" w:eastAsia="仿宋"/>
          <w:color w:val="000000"/>
        </w:rPr>
      </w:pPr>
      <w:bookmarkStart w:id="72" w:name="_Toc15396631"/>
      <w:r>
        <w:rPr>
          <w:rStyle w:val="18"/>
          <w:rFonts w:hint="eastAsia" w:ascii="仿宋" w:hAnsi="仿宋" w:eastAsia="仿宋"/>
          <w:b w:val="0"/>
          <w:bCs w:val="0"/>
        </w:rPr>
        <w:t>十三、</w:t>
      </w:r>
      <w:r>
        <w:rPr>
          <w:rFonts w:hint="eastAsia" w:ascii="仿宋" w:hAnsi="仿宋" w:eastAsia="仿宋"/>
          <w:b w:val="0"/>
          <w:color w:val="000000"/>
        </w:rPr>
        <w:t>国</w:t>
      </w:r>
      <w:r>
        <w:rPr>
          <w:rStyle w:val="18"/>
          <w:rFonts w:hint="eastAsia" w:ascii="仿宋" w:hAnsi="仿宋" w:eastAsia="仿宋"/>
          <w:b w:val="0"/>
          <w:bCs w:val="0"/>
        </w:rPr>
        <w:t>有资本经营预算支出决算表</w:t>
      </w:r>
      <w:bookmarkEnd w:id="72"/>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微软雅黑"/>
    <w:panose1 w:val="00000000000000000000"/>
    <w:charset w:val="86"/>
    <w:family w:val="auto"/>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rPr>
        <w:lang w:val="zh-CN"/>
      </w:rPr>
      <w:t>18</w:t>
    </w:r>
    <w:r>
      <w:rPr>
        <w:lang w:val="zh-CN"/>
      </w:rPr>
      <w:fldChar w:fldCharType="end"/>
    </w:r>
  </w:p>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026C66B"/>
    <w:multiLevelType w:val="singleLevel"/>
    <w:tmpl w:val="B026C66B"/>
    <w:lvl w:ilvl="0" w:tentative="0">
      <w:start w:val="1"/>
      <w:numFmt w:val="decimal"/>
      <w:lvlText w:val="%1."/>
      <w:lvlJc w:val="left"/>
      <w:pPr>
        <w:tabs>
          <w:tab w:val="left" w:pos="312"/>
        </w:tabs>
      </w:pPr>
      <w:rPr>
        <w:rFonts w:cs="Times New Roman"/>
      </w:rPr>
    </w:lvl>
  </w:abstractNum>
  <w:abstractNum w:abstractNumId="1">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2">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3">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4">
    <w:nsid w:val="FDD250B8"/>
    <w:multiLevelType w:val="singleLevel"/>
    <w:tmpl w:val="FDD250B8"/>
    <w:lvl w:ilvl="0" w:tentative="0">
      <w:start w:val="2"/>
      <w:numFmt w:val="chineseCounting"/>
      <w:suff w:val="nothing"/>
      <w:lvlText w:val="（%1）"/>
      <w:lvlJc w:val="left"/>
      <w:rPr>
        <w:rFonts w:hint="eastAsia" w:cs="Times New Roman"/>
      </w:rPr>
    </w:lvl>
  </w:abstractNum>
  <w:abstractNum w:abstractNumId="5">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6">
    <w:nsid w:val="17F426B7"/>
    <w:multiLevelType w:val="multilevel"/>
    <w:tmpl w:val="17F426B7"/>
    <w:lvl w:ilvl="0" w:tentative="0">
      <w:start w:val="10"/>
      <w:numFmt w:val="japaneseCounting"/>
      <w:lvlText w:val="%1、"/>
      <w:lvlJc w:val="left"/>
      <w:pPr>
        <w:ind w:left="1429" w:hanging="720"/>
      </w:pPr>
      <w:rPr>
        <w:rFonts w:hint="default" w:cs="Times New Roman"/>
      </w:rPr>
    </w:lvl>
    <w:lvl w:ilvl="1" w:tentative="0">
      <w:start w:val="1"/>
      <w:numFmt w:val="lowerLetter"/>
      <w:lvlText w:val="%2)"/>
      <w:lvlJc w:val="left"/>
      <w:pPr>
        <w:ind w:left="1549" w:hanging="420"/>
      </w:pPr>
      <w:rPr>
        <w:rFonts w:cs="Times New Roman"/>
      </w:rPr>
    </w:lvl>
    <w:lvl w:ilvl="2" w:tentative="0">
      <w:start w:val="1"/>
      <w:numFmt w:val="lowerRoman"/>
      <w:lvlText w:val="%3."/>
      <w:lvlJc w:val="right"/>
      <w:pPr>
        <w:ind w:left="1969" w:hanging="420"/>
      </w:pPr>
      <w:rPr>
        <w:rFonts w:cs="Times New Roman"/>
      </w:rPr>
    </w:lvl>
    <w:lvl w:ilvl="3" w:tentative="0">
      <w:start w:val="1"/>
      <w:numFmt w:val="decimal"/>
      <w:lvlText w:val="%4."/>
      <w:lvlJc w:val="left"/>
      <w:pPr>
        <w:ind w:left="2389" w:hanging="420"/>
      </w:pPr>
      <w:rPr>
        <w:rFonts w:cs="Times New Roman"/>
      </w:rPr>
    </w:lvl>
    <w:lvl w:ilvl="4" w:tentative="0">
      <w:start w:val="1"/>
      <w:numFmt w:val="lowerLetter"/>
      <w:lvlText w:val="%5)"/>
      <w:lvlJc w:val="left"/>
      <w:pPr>
        <w:ind w:left="2809" w:hanging="420"/>
      </w:pPr>
      <w:rPr>
        <w:rFonts w:cs="Times New Roman"/>
      </w:rPr>
    </w:lvl>
    <w:lvl w:ilvl="5" w:tentative="0">
      <w:start w:val="1"/>
      <w:numFmt w:val="lowerRoman"/>
      <w:lvlText w:val="%6."/>
      <w:lvlJc w:val="right"/>
      <w:pPr>
        <w:ind w:left="3229" w:hanging="420"/>
      </w:pPr>
      <w:rPr>
        <w:rFonts w:cs="Times New Roman"/>
      </w:rPr>
    </w:lvl>
    <w:lvl w:ilvl="6" w:tentative="0">
      <w:start w:val="1"/>
      <w:numFmt w:val="decimal"/>
      <w:lvlText w:val="%7."/>
      <w:lvlJc w:val="left"/>
      <w:pPr>
        <w:ind w:left="3649" w:hanging="420"/>
      </w:pPr>
      <w:rPr>
        <w:rFonts w:cs="Times New Roman"/>
      </w:rPr>
    </w:lvl>
    <w:lvl w:ilvl="7" w:tentative="0">
      <w:start w:val="1"/>
      <w:numFmt w:val="lowerLetter"/>
      <w:lvlText w:val="%8)"/>
      <w:lvlJc w:val="left"/>
      <w:pPr>
        <w:ind w:left="4069" w:hanging="420"/>
      </w:pPr>
      <w:rPr>
        <w:rFonts w:cs="Times New Roman"/>
      </w:rPr>
    </w:lvl>
    <w:lvl w:ilvl="8" w:tentative="0">
      <w:start w:val="1"/>
      <w:numFmt w:val="lowerRoman"/>
      <w:lvlText w:val="%9."/>
      <w:lvlJc w:val="right"/>
      <w:pPr>
        <w:ind w:left="4489" w:hanging="420"/>
      </w:pPr>
      <w:rPr>
        <w:rFonts w:cs="Times New Roman"/>
      </w:rPr>
    </w:lvl>
  </w:abstractNum>
  <w:num w:numId="1">
    <w:abstractNumId w:val="5"/>
  </w:num>
  <w:num w:numId="2">
    <w:abstractNumId w:val="1"/>
  </w:num>
  <w:num w:numId="3">
    <w:abstractNumId w:val="6"/>
  </w:num>
  <w:num w:numId="4">
    <w:abstractNumId w:val="3"/>
  </w:num>
  <w:num w:numId="5">
    <w:abstractNumId w:val="0"/>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val="1"/>
  <w:documentProtection w:enforcement="0"/>
  <w:defaultTabStop w:val="420"/>
  <w:drawingGridHorizontalSpacing w:val="105"/>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1361C"/>
    <w:rsid w:val="0000736B"/>
    <w:rsid w:val="0001340E"/>
    <w:rsid w:val="000222C6"/>
    <w:rsid w:val="0002549F"/>
    <w:rsid w:val="000262A1"/>
    <w:rsid w:val="0002707E"/>
    <w:rsid w:val="00030223"/>
    <w:rsid w:val="000428A8"/>
    <w:rsid w:val="0006487A"/>
    <w:rsid w:val="00065F8F"/>
    <w:rsid w:val="00072E16"/>
    <w:rsid w:val="000768F2"/>
    <w:rsid w:val="000806D6"/>
    <w:rsid w:val="00081DD1"/>
    <w:rsid w:val="00084217"/>
    <w:rsid w:val="0009184B"/>
    <w:rsid w:val="0009593C"/>
    <w:rsid w:val="000A799C"/>
    <w:rsid w:val="000B0196"/>
    <w:rsid w:val="000B047F"/>
    <w:rsid w:val="000B5923"/>
    <w:rsid w:val="000B5A48"/>
    <w:rsid w:val="000B6FF3"/>
    <w:rsid w:val="000C3467"/>
    <w:rsid w:val="000C3CA6"/>
    <w:rsid w:val="000D1267"/>
    <w:rsid w:val="000D1D50"/>
    <w:rsid w:val="000D5782"/>
    <w:rsid w:val="000E6613"/>
    <w:rsid w:val="000E7119"/>
    <w:rsid w:val="00114E9B"/>
    <w:rsid w:val="0014729F"/>
    <w:rsid w:val="00157BAB"/>
    <w:rsid w:val="001654D1"/>
    <w:rsid w:val="0018106D"/>
    <w:rsid w:val="00186213"/>
    <w:rsid w:val="001877A7"/>
    <w:rsid w:val="00191536"/>
    <w:rsid w:val="00196687"/>
    <w:rsid w:val="001A333C"/>
    <w:rsid w:val="001B1FD9"/>
    <w:rsid w:val="001B223D"/>
    <w:rsid w:val="001B38DD"/>
    <w:rsid w:val="001C0962"/>
    <w:rsid w:val="001C5FEC"/>
    <w:rsid w:val="001D7531"/>
    <w:rsid w:val="001E737D"/>
    <w:rsid w:val="001F0592"/>
    <w:rsid w:val="001F7506"/>
    <w:rsid w:val="001F7EF7"/>
    <w:rsid w:val="002006CD"/>
    <w:rsid w:val="00202B36"/>
    <w:rsid w:val="00204B7A"/>
    <w:rsid w:val="00207E6C"/>
    <w:rsid w:val="0021101A"/>
    <w:rsid w:val="00220536"/>
    <w:rsid w:val="00220D7A"/>
    <w:rsid w:val="0023301E"/>
    <w:rsid w:val="00234DA5"/>
    <w:rsid w:val="00235629"/>
    <w:rsid w:val="00260C38"/>
    <w:rsid w:val="002616C0"/>
    <w:rsid w:val="002662AA"/>
    <w:rsid w:val="00266D43"/>
    <w:rsid w:val="00280496"/>
    <w:rsid w:val="00283F6B"/>
    <w:rsid w:val="00295495"/>
    <w:rsid w:val="002B2613"/>
    <w:rsid w:val="002C2623"/>
    <w:rsid w:val="002F1818"/>
    <w:rsid w:val="002F567B"/>
    <w:rsid w:val="00302A16"/>
    <w:rsid w:val="00312370"/>
    <w:rsid w:val="00317210"/>
    <w:rsid w:val="00317F4B"/>
    <w:rsid w:val="00320C14"/>
    <w:rsid w:val="003216A9"/>
    <w:rsid w:val="0034611E"/>
    <w:rsid w:val="00364BE1"/>
    <w:rsid w:val="0037013F"/>
    <w:rsid w:val="00377CDD"/>
    <w:rsid w:val="00380C92"/>
    <w:rsid w:val="00391E7E"/>
    <w:rsid w:val="003A484F"/>
    <w:rsid w:val="003B0BE0"/>
    <w:rsid w:val="003B0C1B"/>
    <w:rsid w:val="003B688C"/>
    <w:rsid w:val="003C0291"/>
    <w:rsid w:val="003C39AE"/>
    <w:rsid w:val="003C7592"/>
    <w:rsid w:val="003C7B60"/>
    <w:rsid w:val="003D1FB2"/>
    <w:rsid w:val="003D66DA"/>
    <w:rsid w:val="003E0A2C"/>
    <w:rsid w:val="003E1310"/>
    <w:rsid w:val="003E6F55"/>
    <w:rsid w:val="00406254"/>
    <w:rsid w:val="004149BD"/>
    <w:rsid w:val="004223DE"/>
    <w:rsid w:val="00430984"/>
    <w:rsid w:val="00434489"/>
    <w:rsid w:val="00437085"/>
    <w:rsid w:val="00443880"/>
    <w:rsid w:val="004464F4"/>
    <w:rsid w:val="00451877"/>
    <w:rsid w:val="00467C3B"/>
    <w:rsid w:val="00471401"/>
    <w:rsid w:val="00473F31"/>
    <w:rsid w:val="0048263A"/>
    <w:rsid w:val="00487E5D"/>
    <w:rsid w:val="004A711F"/>
    <w:rsid w:val="004B0BFD"/>
    <w:rsid w:val="004B11EB"/>
    <w:rsid w:val="004B199D"/>
    <w:rsid w:val="004B4690"/>
    <w:rsid w:val="004C6123"/>
    <w:rsid w:val="004D2EA0"/>
    <w:rsid w:val="004E0A2D"/>
    <w:rsid w:val="004E206B"/>
    <w:rsid w:val="004E6DF7"/>
    <w:rsid w:val="004F0FBD"/>
    <w:rsid w:val="00505A47"/>
    <w:rsid w:val="00512FDA"/>
    <w:rsid w:val="00520DA0"/>
    <w:rsid w:val="00523B6E"/>
    <w:rsid w:val="00551787"/>
    <w:rsid w:val="00556909"/>
    <w:rsid w:val="005621A5"/>
    <w:rsid w:val="005664BB"/>
    <w:rsid w:val="0057481D"/>
    <w:rsid w:val="00580220"/>
    <w:rsid w:val="0058486E"/>
    <w:rsid w:val="00593C9B"/>
    <w:rsid w:val="005B59D2"/>
    <w:rsid w:val="005D1C8B"/>
    <w:rsid w:val="005D5A58"/>
    <w:rsid w:val="005D5CED"/>
    <w:rsid w:val="005E6DC2"/>
    <w:rsid w:val="005F1A4C"/>
    <w:rsid w:val="005F442E"/>
    <w:rsid w:val="005F65FB"/>
    <w:rsid w:val="00603B43"/>
    <w:rsid w:val="00605688"/>
    <w:rsid w:val="006070AF"/>
    <w:rsid w:val="00607E6C"/>
    <w:rsid w:val="006101B1"/>
    <w:rsid w:val="00614E44"/>
    <w:rsid w:val="00622830"/>
    <w:rsid w:val="00630AEF"/>
    <w:rsid w:val="006325F8"/>
    <w:rsid w:val="00634C9A"/>
    <w:rsid w:val="00637F55"/>
    <w:rsid w:val="0064211E"/>
    <w:rsid w:val="006440E4"/>
    <w:rsid w:val="00652C4D"/>
    <w:rsid w:val="0066343B"/>
    <w:rsid w:val="00664777"/>
    <w:rsid w:val="0067139D"/>
    <w:rsid w:val="00672385"/>
    <w:rsid w:val="006748A4"/>
    <w:rsid w:val="00674C15"/>
    <w:rsid w:val="00683E73"/>
    <w:rsid w:val="00684BF5"/>
    <w:rsid w:val="00686B7E"/>
    <w:rsid w:val="006A3141"/>
    <w:rsid w:val="006A5E34"/>
    <w:rsid w:val="006B2422"/>
    <w:rsid w:val="006B2B9A"/>
    <w:rsid w:val="006B4BCE"/>
    <w:rsid w:val="006C1586"/>
    <w:rsid w:val="006C1937"/>
    <w:rsid w:val="006C390A"/>
    <w:rsid w:val="006D22B5"/>
    <w:rsid w:val="006D46F4"/>
    <w:rsid w:val="006D5890"/>
    <w:rsid w:val="006F020C"/>
    <w:rsid w:val="006F3E3B"/>
    <w:rsid w:val="007015EF"/>
    <w:rsid w:val="00711941"/>
    <w:rsid w:val="007127B7"/>
    <w:rsid w:val="00725D8C"/>
    <w:rsid w:val="00741516"/>
    <w:rsid w:val="007416B6"/>
    <w:rsid w:val="00746F48"/>
    <w:rsid w:val="0075404D"/>
    <w:rsid w:val="0076182A"/>
    <w:rsid w:val="00761A57"/>
    <w:rsid w:val="00763020"/>
    <w:rsid w:val="00765E70"/>
    <w:rsid w:val="00767B7E"/>
    <w:rsid w:val="007770C3"/>
    <w:rsid w:val="007824C0"/>
    <w:rsid w:val="00784D24"/>
    <w:rsid w:val="00785FBA"/>
    <w:rsid w:val="00786E4A"/>
    <w:rsid w:val="007875EB"/>
    <w:rsid w:val="0079426B"/>
    <w:rsid w:val="007A18DF"/>
    <w:rsid w:val="007A3170"/>
    <w:rsid w:val="007D312A"/>
    <w:rsid w:val="007D3F19"/>
    <w:rsid w:val="007D635B"/>
    <w:rsid w:val="007E23B0"/>
    <w:rsid w:val="007F1991"/>
    <w:rsid w:val="007F2C2F"/>
    <w:rsid w:val="007F55FC"/>
    <w:rsid w:val="007F5665"/>
    <w:rsid w:val="007F72B6"/>
    <w:rsid w:val="00800112"/>
    <w:rsid w:val="008253BB"/>
    <w:rsid w:val="00827879"/>
    <w:rsid w:val="0083706E"/>
    <w:rsid w:val="0084198D"/>
    <w:rsid w:val="008423A5"/>
    <w:rsid w:val="00850625"/>
    <w:rsid w:val="0085363F"/>
    <w:rsid w:val="00853718"/>
    <w:rsid w:val="00853724"/>
    <w:rsid w:val="00855221"/>
    <w:rsid w:val="00860645"/>
    <w:rsid w:val="008679AB"/>
    <w:rsid w:val="00871F71"/>
    <w:rsid w:val="00875811"/>
    <w:rsid w:val="00884D73"/>
    <w:rsid w:val="00885AF4"/>
    <w:rsid w:val="008939CD"/>
    <w:rsid w:val="008A1C56"/>
    <w:rsid w:val="008B1D2C"/>
    <w:rsid w:val="008B768C"/>
    <w:rsid w:val="008C4DB1"/>
    <w:rsid w:val="008C4EAF"/>
    <w:rsid w:val="008C5176"/>
    <w:rsid w:val="008C7FD0"/>
    <w:rsid w:val="008D599D"/>
    <w:rsid w:val="008E1DE7"/>
    <w:rsid w:val="008E306C"/>
    <w:rsid w:val="008E707C"/>
    <w:rsid w:val="008F74E2"/>
    <w:rsid w:val="00900B08"/>
    <w:rsid w:val="00902155"/>
    <w:rsid w:val="00902FA3"/>
    <w:rsid w:val="00923564"/>
    <w:rsid w:val="0092392E"/>
    <w:rsid w:val="009315F9"/>
    <w:rsid w:val="00946945"/>
    <w:rsid w:val="00951248"/>
    <w:rsid w:val="0095152F"/>
    <w:rsid w:val="00954C49"/>
    <w:rsid w:val="0097099F"/>
    <w:rsid w:val="00971997"/>
    <w:rsid w:val="00971FFC"/>
    <w:rsid w:val="00976D9B"/>
    <w:rsid w:val="0098459B"/>
    <w:rsid w:val="00984CD7"/>
    <w:rsid w:val="0098660A"/>
    <w:rsid w:val="009931C3"/>
    <w:rsid w:val="00997AE1"/>
    <w:rsid w:val="009A2FC2"/>
    <w:rsid w:val="009B2C43"/>
    <w:rsid w:val="009B4EAE"/>
    <w:rsid w:val="009B7573"/>
    <w:rsid w:val="009C22F4"/>
    <w:rsid w:val="009C2E98"/>
    <w:rsid w:val="009C41C4"/>
    <w:rsid w:val="009D3447"/>
    <w:rsid w:val="009D4711"/>
    <w:rsid w:val="009D66E1"/>
    <w:rsid w:val="009E5043"/>
    <w:rsid w:val="009E7601"/>
    <w:rsid w:val="009F1185"/>
    <w:rsid w:val="009F18CD"/>
    <w:rsid w:val="009F2A13"/>
    <w:rsid w:val="009F6F04"/>
    <w:rsid w:val="00A04EB0"/>
    <w:rsid w:val="00A13CC1"/>
    <w:rsid w:val="00A16847"/>
    <w:rsid w:val="00A237D8"/>
    <w:rsid w:val="00A268C4"/>
    <w:rsid w:val="00A307CD"/>
    <w:rsid w:val="00A40A00"/>
    <w:rsid w:val="00A4142F"/>
    <w:rsid w:val="00A54744"/>
    <w:rsid w:val="00A56DF2"/>
    <w:rsid w:val="00A67AB5"/>
    <w:rsid w:val="00A87414"/>
    <w:rsid w:val="00A91760"/>
    <w:rsid w:val="00A93B00"/>
    <w:rsid w:val="00A93C21"/>
    <w:rsid w:val="00AA1D7E"/>
    <w:rsid w:val="00AC3C6A"/>
    <w:rsid w:val="00AD5620"/>
    <w:rsid w:val="00AD6FED"/>
    <w:rsid w:val="00AD7C1B"/>
    <w:rsid w:val="00AE16BA"/>
    <w:rsid w:val="00AE1EBE"/>
    <w:rsid w:val="00B03C9D"/>
    <w:rsid w:val="00B060AE"/>
    <w:rsid w:val="00B10517"/>
    <w:rsid w:val="00B14E76"/>
    <w:rsid w:val="00B161B8"/>
    <w:rsid w:val="00B2048C"/>
    <w:rsid w:val="00B310B9"/>
    <w:rsid w:val="00B35F3F"/>
    <w:rsid w:val="00B36CBB"/>
    <w:rsid w:val="00B425E0"/>
    <w:rsid w:val="00B434A3"/>
    <w:rsid w:val="00B440AA"/>
    <w:rsid w:val="00B44B70"/>
    <w:rsid w:val="00B53C56"/>
    <w:rsid w:val="00B77EA6"/>
    <w:rsid w:val="00B81598"/>
    <w:rsid w:val="00B82D13"/>
    <w:rsid w:val="00B841F1"/>
    <w:rsid w:val="00B937B6"/>
    <w:rsid w:val="00B944D6"/>
    <w:rsid w:val="00BA152C"/>
    <w:rsid w:val="00BA6733"/>
    <w:rsid w:val="00BB4DF0"/>
    <w:rsid w:val="00BC289F"/>
    <w:rsid w:val="00BC5361"/>
    <w:rsid w:val="00BC5460"/>
    <w:rsid w:val="00BC6B50"/>
    <w:rsid w:val="00BD0E25"/>
    <w:rsid w:val="00BF5BD6"/>
    <w:rsid w:val="00C03E31"/>
    <w:rsid w:val="00C21FE3"/>
    <w:rsid w:val="00C24067"/>
    <w:rsid w:val="00C2458B"/>
    <w:rsid w:val="00C33E72"/>
    <w:rsid w:val="00C354B2"/>
    <w:rsid w:val="00C35554"/>
    <w:rsid w:val="00C42709"/>
    <w:rsid w:val="00C43009"/>
    <w:rsid w:val="00C45DF2"/>
    <w:rsid w:val="00C45E25"/>
    <w:rsid w:val="00C533CC"/>
    <w:rsid w:val="00C5751C"/>
    <w:rsid w:val="00C61BFC"/>
    <w:rsid w:val="00C62B85"/>
    <w:rsid w:val="00C65438"/>
    <w:rsid w:val="00C87699"/>
    <w:rsid w:val="00C90997"/>
    <w:rsid w:val="00C91CBB"/>
    <w:rsid w:val="00CA3CAD"/>
    <w:rsid w:val="00CB2911"/>
    <w:rsid w:val="00CC09B6"/>
    <w:rsid w:val="00CC2CCC"/>
    <w:rsid w:val="00CC666F"/>
    <w:rsid w:val="00CD1E3F"/>
    <w:rsid w:val="00CD2436"/>
    <w:rsid w:val="00CE44F6"/>
    <w:rsid w:val="00CE49DA"/>
    <w:rsid w:val="00CE7B61"/>
    <w:rsid w:val="00D00095"/>
    <w:rsid w:val="00D053AB"/>
    <w:rsid w:val="00D06471"/>
    <w:rsid w:val="00D13B3B"/>
    <w:rsid w:val="00D20620"/>
    <w:rsid w:val="00D26091"/>
    <w:rsid w:val="00D27427"/>
    <w:rsid w:val="00D32452"/>
    <w:rsid w:val="00D34E7C"/>
    <w:rsid w:val="00D35489"/>
    <w:rsid w:val="00D51276"/>
    <w:rsid w:val="00D54B65"/>
    <w:rsid w:val="00D7035F"/>
    <w:rsid w:val="00D725AE"/>
    <w:rsid w:val="00D83637"/>
    <w:rsid w:val="00DA425A"/>
    <w:rsid w:val="00DA65AC"/>
    <w:rsid w:val="00DA7689"/>
    <w:rsid w:val="00DB1913"/>
    <w:rsid w:val="00DC22B3"/>
    <w:rsid w:val="00DC410D"/>
    <w:rsid w:val="00DC68CA"/>
    <w:rsid w:val="00DC7CBA"/>
    <w:rsid w:val="00DD73B7"/>
    <w:rsid w:val="00DF063F"/>
    <w:rsid w:val="00DF28BC"/>
    <w:rsid w:val="00DF34B9"/>
    <w:rsid w:val="00E01053"/>
    <w:rsid w:val="00E07ACF"/>
    <w:rsid w:val="00E15489"/>
    <w:rsid w:val="00E331A1"/>
    <w:rsid w:val="00E33202"/>
    <w:rsid w:val="00E336A9"/>
    <w:rsid w:val="00E37853"/>
    <w:rsid w:val="00E41137"/>
    <w:rsid w:val="00E43EBA"/>
    <w:rsid w:val="00E50624"/>
    <w:rsid w:val="00E568DF"/>
    <w:rsid w:val="00E64269"/>
    <w:rsid w:val="00E77462"/>
    <w:rsid w:val="00E82267"/>
    <w:rsid w:val="00EA010F"/>
    <w:rsid w:val="00EA2AEE"/>
    <w:rsid w:val="00EB15C6"/>
    <w:rsid w:val="00EB7F1F"/>
    <w:rsid w:val="00EC149E"/>
    <w:rsid w:val="00EC651D"/>
    <w:rsid w:val="00ED1B63"/>
    <w:rsid w:val="00ED3C1F"/>
    <w:rsid w:val="00ED4085"/>
    <w:rsid w:val="00ED420E"/>
    <w:rsid w:val="00EE2F57"/>
    <w:rsid w:val="00EF4C34"/>
    <w:rsid w:val="00EF77C6"/>
    <w:rsid w:val="00EF7D41"/>
    <w:rsid w:val="00F03DD9"/>
    <w:rsid w:val="00F04E7B"/>
    <w:rsid w:val="00F0523A"/>
    <w:rsid w:val="00F05438"/>
    <w:rsid w:val="00F1361C"/>
    <w:rsid w:val="00F1604A"/>
    <w:rsid w:val="00F160C7"/>
    <w:rsid w:val="00F164C6"/>
    <w:rsid w:val="00F33295"/>
    <w:rsid w:val="00F36D8F"/>
    <w:rsid w:val="00F417B1"/>
    <w:rsid w:val="00F602DF"/>
    <w:rsid w:val="00F61B31"/>
    <w:rsid w:val="00F75374"/>
    <w:rsid w:val="00F81FD9"/>
    <w:rsid w:val="00F841AA"/>
    <w:rsid w:val="00FA23E8"/>
    <w:rsid w:val="00FB4961"/>
    <w:rsid w:val="00FB4DB3"/>
    <w:rsid w:val="00FC37CC"/>
    <w:rsid w:val="00FD3CC1"/>
    <w:rsid w:val="00FE6D75"/>
    <w:rsid w:val="00FF1E02"/>
    <w:rsid w:val="00FF30B4"/>
    <w:rsid w:val="01683F3C"/>
    <w:rsid w:val="01CD5EAC"/>
    <w:rsid w:val="01D05E5F"/>
    <w:rsid w:val="022A22A8"/>
    <w:rsid w:val="023C6AF6"/>
    <w:rsid w:val="027D7FAC"/>
    <w:rsid w:val="02BE1256"/>
    <w:rsid w:val="02DD2C65"/>
    <w:rsid w:val="03BC4C22"/>
    <w:rsid w:val="04FC0FAA"/>
    <w:rsid w:val="053E51C9"/>
    <w:rsid w:val="05BB2698"/>
    <w:rsid w:val="06776788"/>
    <w:rsid w:val="06AA03B1"/>
    <w:rsid w:val="075164A1"/>
    <w:rsid w:val="076D6FAE"/>
    <w:rsid w:val="097963E3"/>
    <w:rsid w:val="097C182F"/>
    <w:rsid w:val="0A386621"/>
    <w:rsid w:val="0A600B3D"/>
    <w:rsid w:val="0AC010F8"/>
    <w:rsid w:val="0B1838EE"/>
    <w:rsid w:val="0B7E040B"/>
    <w:rsid w:val="0BA5391D"/>
    <w:rsid w:val="0C244A38"/>
    <w:rsid w:val="0CCE76DD"/>
    <w:rsid w:val="0CD8698E"/>
    <w:rsid w:val="0D7C6453"/>
    <w:rsid w:val="0D827F87"/>
    <w:rsid w:val="0E2652BD"/>
    <w:rsid w:val="0EA723A5"/>
    <w:rsid w:val="0ED47152"/>
    <w:rsid w:val="0EF41849"/>
    <w:rsid w:val="0F083DB9"/>
    <w:rsid w:val="0F0D3FFC"/>
    <w:rsid w:val="0F11254F"/>
    <w:rsid w:val="0FB13BA6"/>
    <w:rsid w:val="10220DA1"/>
    <w:rsid w:val="10B1613C"/>
    <w:rsid w:val="10C055FF"/>
    <w:rsid w:val="11016BBC"/>
    <w:rsid w:val="119B591E"/>
    <w:rsid w:val="12A62B5B"/>
    <w:rsid w:val="12FC1931"/>
    <w:rsid w:val="131355EF"/>
    <w:rsid w:val="14572BAB"/>
    <w:rsid w:val="1469599D"/>
    <w:rsid w:val="148A57B0"/>
    <w:rsid w:val="14A46114"/>
    <w:rsid w:val="14BC7B63"/>
    <w:rsid w:val="14E61E12"/>
    <w:rsid w:val="151915C2"/>
    <w:rsid w:val="16BB723D"/>
    <w:rsid w:val="16E97B95"/>
    <w:rsid w:val="16EC2997"/>
    <w:rsid w:val="17117C55"/>
    <w:rsid w:val="17875536"/>
    <w:rsid w:val="17945290"/>
    <w:rsid w:val="185E3267"/>
    <w:rsid w:val="18B43CAC"/>
    <w:rsid w:val="193E37DB"/>
    <w:rsid w:val="19DC528E"/>
    <w:rsid w:val="1A8D42F5"/>
    <w:rsid w:val="1A942782"/>
    <w:rsid w:val="1AA205B2"/>
    <w:rsid w:val="1B0403D5"/>
    <w:rsid w:val="1B337835"/>
    <w:rsid w:val="1B703F0D"/>
    <w:rsid w:val="1BA0632E"/>
    <w:rsid w:val="1CBD0FDA"/>
    <w:rsid w:val="1CDF36D9"/>
    <w:rsid w:val="1CF603DA"/>
    <w:rsid w:val="1D112BB9"/>
    <w:rsid w:val="1D2F2A72"/>
    <w:rsid w:val="1D7D22A1"/>
    <w:rsid w:val="1DD17298"/>
    <w:rsid w:val="1E361F51"/>
    <w:rsid w:val="1E8A6ACF"/>
    <w:rsid w:val="1E9C3626"/>
    <w:rsid w:val="1ED24BA7"/>
    <w:rsid w:val="1F5777F4"/>
    <w:rsid w:val="1F597AA4"/>
    <w:rsid w:val="20F75EBF"/>
    <w:rsid w:val="21106C70"/>
    <w:rsid w:val="21200A60"/>
    <w:rsid w:val="214F00C0"/>
    <w:rsid w:val="21640A60"/>
    <w:rsid w:val="21F97DBA"/>
    <w:rsid w:val="22731211"/>
    <w:rsid w:val="22CE1F81"/>
    <w:rsid w:val="22F56D3E"/>
    <w:rsid w:val="23650C78"/>
    <w:rsid w:val="23E110FC"/>
    <w:rsid w:val="240371BF"/>
    <w:rsid w:val="243508F2"/>
    <w:rsid w:val="24CC24D7"/>
    <w:rsid w:val="25A2705C"/>
    <w:rsid w:val="25D54838"/>
    <w:rsid w:val="26973728"/>
    <w:rsid w:val="26977E4D"/>
    <w:rsid w:val="26F93524"/>
    <w:rsid w:val="272D7467"/>
    <w:rsid w:val="279D2ABD"/>
    <w:rsid w:val="27FA59FA"/>
    <w:rsid w:val="28033BEC"/>
    <w:rsid w:val="28AF5037"/>
    <w:rsid w:val="28B6703E"/>
    <w:rsid w:val="28BB1FFA"/>
    <w:rsid w:val="28E142C4"/>
    <w:rsid w:val="28E60D95"/>
    <w:rsid w:val="29FD04D3"/>
    <w:rsid w:val="2A6E1833"/>
    <w:rsid w:val="2AA74E06"/>
    <w:rsid w:val="2ABA5801"/>
    <w:rsid w:val="2ADF13FA"/>
    <w:rsid w:val="2B1A3B4F"/>
    <w:rsid w:val="2B2C075B"/>
    <w:rsid w:val="2C6B5D19"/>
    <w:rsid w:val="2CCA19EF"/>
    <w:rsid w:val="2CE13AA8"/>
    <w:rsid w:val="2D3E7BCF"/>
    <w:rsid w:val="2EFA16E8"/>
    <w:rsid w:val="2FCF4C4F"/>
    <w:rsid w:val="2FFC2AAD"/>
    <w:rsid w:val="3043564D"/>
    <w:rsid w:val="3088341F"/>
    <w:rsid w:val="30DE10FC"/>
    <w:rsid w:val="319F7F4E"/>
    <w:rsid w:val="31FE60A1"/>
    <w:rsid w:val="32620F98"/>
    <w:rsid w:val="335202B8"/>
    <w:rsid w:val="33C971DD"/>
    <w:rsid w:val="34345E7F"/>
    <w:rsid w:val="34AD74E2"/>
    <w:rsid w:val="35064D50"/>
    <w:rsid w:val="35223708"/>
    <w:rsid w:val="354D5846"/>
    <w:rsid w:val="35F95415"/>
    <w:rsid w:val="36470BBD"/>
    <w:rsid w:val="37251854"/>
    <w:rsid w:val="37355EB7"/>
    <w:rsid w:val="386B23ED"/>
    <w:rsid w:val="387D289E"/>
    <w:rsid w:val="391C7BDF"/>
    <w:rsid w:val="39FC7733"/>
    <w:rsid w:val="3A5216A1"/>
    <w:rsid w:val="3A762BAB"/>
    <w:rsid w:val="3A92495B"/>
    <w:rsid w:val="3AA128C4"/>
    <w:rsid w:val="3ACD6166"/>
    <w:rsid w:val="3B197708"/>
    <w:rsid w:val="3B3E7FFD"/>
    <w:rsid w:val="3B4C4E3D"/>
    <w:rsid w:val="3B7A2B25"/>
    <w:rsid w:val="3BA01C42"/>
    <w:rsid w:val="3BCD6EEB"/>
    <w:rsid w:val="3C4F4397"/>
    <w:rsid w:val="3C6059BA"/>
    <w:rsid w:val="3E091C23"/>
    <w:rsid w:val="3EA306FB"/>
    <w:rsid w:val="3FB641FE"/>
    <w:rsid w:val="4036612F"/>
    <w:rsid w:val="40366AD9"/>
    <w:rsid w:val="40B95A6A"/>
    <w:rsid w:val="416310CD"/>
    <w:rsid w:val="41AA3815"/>
    <w:rsid w:val="41CE1390"/>
    <w:rsid w:val="42B9761E"/>
    <w:rsid w:val="42E60243"/>
    <w:rsid w:val="43196F31"/>
    <w:rsid w:val="434F4CA0"/>
    <w:rsid w:val="437D25CF"/>
    <w:rsid w:val="43C50E7D"/>
    <w:rsid w:val="44764660"/>
    <w:rsid w:val="44DA75BC"/>
    <w:rsid w:val="45131FCB"/>
    <w:rsid w:val="45737556"/>
    <w:rsid w:val="459E70D0"/>
    <w:rsid w:val="45B26D45"/>
    <w:rsid w:val="46E427F1"/>
    <w:rsid w:val="46EB008E"/>
    <w:rsid w:val="47E40C81"/>
    <w:rsid w:val="48540063"/>
    <w:rsid w:val="48E233E9"/>
    <w:rsid w:val="4A1A2797"/>
    <w:rsid w:val="4A470D31"/>
    <w:rsid w:val="4AAF14E8"/>
    <w:rsid w:val="4AE07867"/>
    <w:rsid w:val="4B396B6E"/>
    <w:rsid w:val="4B3B52F2"/>
    <w:rsid w:val="4B597B72"/>
    <w:rsid w:val="4BEC6B56"/>
    <w:rsid w:val="4C2E1AEC"/>
    <w:rsid w:val="4C2E4A91"/>
    <w:rsid w:val="4CD30C86"/>
    <w:rsid w:val="4D0668C8"/>
    <w:rsid w:val="4E043AB9"/>
    <w:rsid w:val="4EA36149"/>
    <w:rsid w:val="4F405755"/>
    <w:rsid w:val="4F6D00FF"/>
    <w:rsid w:val="504015EF"/>
    <w:rsid w:val="50794EB3"/>
    <w:rsid w:val="515D772E"/>
    <w:rsid w:val="51A416B9"/>
    <w:rsid w:val="52DD09E0"/>
    <w:rsid w:val="53630922"/>
    <w:rsid w:val="538255CF"/>
    <w:rsid w:val="53AF4117"/>
    <w:rsid w:val="544640D4"/>
    <w:rsid w:val="545139F7"/>
    <w:rsid w:val="54D3648F"/>
    <w:rsid w:val="54EB553F"/>
    <w:rsid w:val="55521CF5"/>
    <w:rsid w:val="55B45FF0"/>
    <w:rsid w:val="560C735A"/>
    <w:rsid w:val="57205905"/>
    <w:rsid w:val="579C24C6"/>
    <w:rsid w:val="57FB0A8E"/>
    <w:rsid w:val="588C4963"/>
    <w:rsid w:val="594E3AB2"/>
    <w:rsid w:val="59977879"/>
    <w:rsid w:val="59FE1AEE"/>
    <w:rsid w:val="5AE95316"/>
    <w:rsid w:val="5B4142C1"/>
    <w:rsid w:val="5BBD103C"/>
    <w:rsid w:val="5D580AA1"/>
    <w:rsid w:val="5D783DC9"/>
    <w:rsid w:val="5E061938"/>
    <w:rsid w:val="5E33220F"/>
    <w:rsid w:val="5E395495"/>
    <w:rsid w:val="5E3B63E5"/>
    <w:rsid w:val="5E583AE2"/>
    <w:rsid w:val="5E667C77"/>
    <w:rsid w:val="5E72384E"/>
    <w:rsid w:val="5F003FBD"/>
    <w:rsid w:val="5F5E6F51"/>
    <w:rsid w:val="5F816125"/>
    <w:rsid w:val="5FBF7246"/>
    <w:rsid w:val="5FC04CFC"/>
    <w:rsid w:val="603412F9"/>
    <w:rsid w:val="603E0F03"/>
    <w:rsid w:val="607561CA"/>
    <w:rsid w:val="60FA44DE"/>
    <w:rsid w:val="611F3BE4"/>
    <w:rsid w:val="61CF59DF"/>
    <w:rsid w:val="61E32405"/>
    <w:rsid w:val="61ED13C7"/>
    <w:rsid w:val="620A437B"/>
    <w:rsid w:val="625D5923"/>
    <w:rsid w:val="62733D7A"/>
    <w:rsid w:val="632D7F3C"/>
    <w:rsid w:val="63324872"/>
    <w:rsid w:val="638E7E72"/>
    <w:rsid w:val="63ED2376"/>
    <w:rsid w:val="645C7E78"/>
    <w:rsid w:val="649C3E37"/>
    <w:rsid w:val="64E00585"/>
    <w:rsid w:val="651071B5"/>
    <w:rsid w:val="654159F8"/>
    <w:rsid w:val="658D2411"/>
    <w:rsid w:val="65F51BB8"/>
    <w:rsid w:val="66E64276"/>
    <w:rsid w:val="67D938DC"/>
    <w:rsid w:val="685322C6"/>
    <w:rsid w:val="68680955"/>
    <w:rsid w:val="68762AD8"/>
    <w:rsid w:val="68B356EB"/>
    <w:rsid w:val="693A3E65"/>
    <w:rsid w:val="69B97F05"/>
    <w:rsid w:val="6B761E5D"/>
    <w:rsid w:val="6BC52CAF"/>
    <w:rsid w:val="6C287EF0"/>
    <w:rsid w:val="6C7C28CC"/>
    <w:rsid w:val="6CD8443E"/>
    <w:rsid w:val="6D1D3216"/>
    <w:rsid w:val="6D2D5335"/>
    <w:rsid w:val="6D7D5248"/>
    <w:rsid w:val="6E3C5461"/>
    <w:rsid w:val="6E7B38A9"/>
    <w:rsid w:val="6ED0475F"/>
    <w:rsid w:val="6FDE2E63"/>
    <w:rsid w:val="70955083"/>
    <w:rsid w:val="71736A83"/>
    <w:rsid w:val="71803A06"/>
    <w:rsid w:val="72347037"/>
    <w:rsid w:val="724003EC"/>
    <w:rsid w:val="72651655"/>
    <w:rsid w:val="728F2482"/>
    <w:rsid w:val="72912D30"/>
    <w:rsid w:val="7291761D"/>
    <w:rsid w:val="72D7713D"/>
    <w:rsid w:val="732936E7"/>
    <w:rsid w:val="73601ACA"/>
    <w:rsid w:val="73C859B3"/>
    <w:rsid w:val="73E5629F"/>
    <w:rsid w:val="74261C21"/>
    <w:rsid w:val="74410F18"/>
    <w:rsid w:val="74487BE0"/>
    <w:rsid w:val="748369FA"/>
    <w:rsid w:val="760D6DF5"/>
    <w:rsid w:val="763B78F5"/>
    <w:rsid w:val="765E7BB4"/>
    <w:rsid w:val="76A92CC8"/>
    <w:rsid w:val="76C15224"/>
    <w:rsid w:val="79312236"/>
    <w:rsid w:val="79401EAC"/>
    <w:rsid w:val="794E6AE7"/>
    <w:rsid w:val="799D613E"/>
    <w:rsid w:val="79D7254C"/>
    <w:rsid w:val="7A522398"/>
    <w:rsid w:val="7A86442E"/>
    <w:rsid w:val="7AA910ED"/>
    <w:rsid w:val="7AC5530F"/>
    <w:rsid w:val="7B4A5B53"/>
    <w:rsid w:val="7B6A3129"/>
    <w:rsid w:val="7B823927"/>
    <w:rsid w:val="7BEC1218"/>
    <w:rsid w:val="7CA4733D"/>
    <w:rsid w:val="7D2E7DF6"/>
    <w:rsid w:val="7D49289A"/>
    <w:rsid w:val="7D9F7ADE"/>
    <w:rsid w:val="7E0C78B7"/>
    <w:rsid w:val="7FBD300B"/>
    <w:rsid w:val="7FE4174A"/>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99" w:semiHidden="0" w:name="toc 1"/>
    <w:lsdException w:unhideWhenUsed="0" w:uiPriority="99" w:semiHidden="0" w:name="toc 2"/>
    <w:lsdException w:unhideWhenUsed="0" w:uiPriority="99" w:semiHidden="0" w:name="toc 3"/>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unhideWhenUsed="0" w:uiPriority="99" w:name="header"/>
    <w:lsdException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unhideWhenUsed="0" w:uiPriority="99" w:name="Default Paragraph Font"/>
    <w:lsdException w:qFormat="1" w:unhideWhenUsed="0" w:uiPriority="99" w:semiHidden="0" w:name="Body Text"/>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nhideWhenUsed="0" w:uiPriority="99" w:semiHidden="0" w:name="Hyperlink"/>
    <w:lsdException w:uiPriority="99" w:name="FollowedHyperlink" w:locked="1"/>
    <w:lsdException w:qFormat="1" w:unhideWhenUsed="0" w:uiPriority="99" w:semiHidden="0" w:name="Strong"/>
    <w:lsdException w:qFormat="1" w:unhideWhenUsed="0" w:uiPriority="20" w:semiHidden="0" w:name="Emphasis" w:locked="1"/>
    <w:lsdException w:uiPriority="99" w:name="Document Map" w:locked="1"/>
    <w:lsdException w:uiPriority="99"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nhideWhenUsed="0" w:uiPriority="99"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7"/>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18"/>
    <w:qFormat/>
    <w:uiPriority w:val="99"/>
    <w:pPr>
      <w:keepNext/>
      <w:keepLines/>
      <w:spacing w:before="260" w:after="260" w:line="416" w:lineRule="auto"/>
      <w:outlineLvl w:val="1"/>
    </w:pPr>
    <w:rPr>
      <w:rFonts w:ascii="Cambria" w:hAnsi="Cambria"/>
      <w:b/>
      <w:bCs/>
      <w:sz w:val="32"/>
      <w:szCs w:val="32"/>
    </w:rPr>
  </w:style>
  <w:style w:type="paragraph" w:styleId="4">
    <w:name w:val="heading 3"/>
    <w:basedOn w:val="1"/>
    <w:next w:val="1"/>
    <w:link w:val="19"/>
    <w:qFormat/>
    <w:uiPriority w:val="99"/>
    <w:pPr>
      <w:keepNext/>
      <w:keepLines/>
      <w:spacing w:before="260" w:after="260" w:line="416" w:lineRule="auto"/>
      <w:outlineLvl w:val="2"/>
    </w:pPr>
    <w:rPr>
      <w:b/>
      <w:bCs/>
      <w:sz w:val="32"/>
      <w:szCs w:val="32"/>
    </w:rPr>
  </w:style>
  <w:style w:type="character" w:default="1" w:styleId="13">
    <w:name w:val="Default Paragraph Font"/>
    <w:semiHidden/>
    <w:uiPriority w:val="99"/>
  </w:style>
  <w:style w:type="table" w:default="1" w:styleId="16">
    <w:name w:val="Normal Table"/>
    <w:semiHidden/>
    <w:unhideWhenUsed/>
    <w:qFormat/>
    <w:uiPriority w:val="99"/>
    <w:tblPr>
      <w:tblLayout w:type="fixed"/>
      <w:tblCellMar>
        <w:top w:w="0" w:type="dxa"/>
        <w:left w:w="108" w:type="dxa"/>
        <w:bottom w:w="0" w:type="dxa"/>
        <w:right w:w="108" w:type="dxa"/>
      </w:tblCellMar>
    </w:tblPr>
  </w:style>
  <w:style w:type="paragraph" w:styleId="5">
    <w:name w:val="Body Text"/>
    <w:basedOn w:val="1"/>
    <w:link w:val="26"/>
    <w:qFormat/>
    <w:uiPriority w:val="99"/>
    <w:pPr>
      <w:spacing w:beforeLines="30"/>
    </w:pPr>
    <w:rPr>
      <w:rFonts w:ascii="仿宋_GB2312" w:eastAsia="仿宋_GB2312"/>
      <w:kern w:val="0"/>
      <w:sz w:val="24"/>
      <w:szCs w:val="20"/>
    </w:rPr>
  </w:style>
  <w:style w:type="paragraph" w:styleId="6">
    <w:name w:val="toc 3"/>
    <w:basedOn w:val="1"/>
    <w:next w:val="1"/>
    <w:uiPriority w:val="99"/>
    <w:pPr>
      <w:tabs>
        <w:tab w:val="right" w:leader="dot" w:pos="8296"/>
      </w:tabs>
      <w:ind w:left="840" w:leftChars="400"/>
    </w:pPr>
  </w:style>
  <w:style w:type="paragraph" w:styleId="7">
    <w:name w:val="Balloon Text"/>
    <w:basedOn w:val="1"/>
    <w:link w:val="21"/>
    <w:semiHidden/>
    <w:uiPriority w:val="99"/>
    <w:rPr>
      <w:sz w:val="18"/>
      <w:szCs w:val="18"/>
    </w:rPr>
  </w:style>
  <w:style w:type="paragraph" w:styleId="8">
    <w:name w:val="footer"/>
    <w:basedOn w:val="1"/>
    <w:link w:val="25"/>
    <w:uiPriority w:val="99"/>
    <w:pPr>
      <w:tabs>
        <w:tab w:val="center" w:pos="4153"/>
        <w:tab w:val="right" w:pos="8306"/>
      </w:tabs>
      <w:snapToGrid w:val="0"/>
      <w:jc w:val="left"/>
    </w:pPr>
    <w:rPr>
      <w:rFonts w:ascii="Calibri" w:hAnsi="Calibri"/>
      <w:kern w:val="0"/>
      <w:sz w:val="18"/>
      <w:szCs w:val="20"/>
    </w:rPr>
  </w:style>
  <w:style w:type="paragraph" w:styleId="9">
    <w:name w:val="header"/>
    <w:basedOn w:val="1"/>
    <w:link w:val="24"/>
    <w:semiHidden/>
    <w:uiPriority w:val="99"/>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0">
    <w:name w:val="toc 1"/>
    <w:basedOn w:val="1"/>
    <w:next w:val="1"/>
    <w:uiPriority w:val="99"/>
    <w:pPr>
      <w:tabs>
        <w:tab w:val="right" w:leader="dot" w:pos="8296"/>
      </w:tabs>
      <w:spacing w:before="93"/>
      <w:jc w:val="center"/>
    </w:pPr>
    <w:rPr>
      <w:rFonts w:ascii="仿宋" w:hAnsi="仿宋" w:eastAsia="仿宋"/>
      <w:sz w:val="28"/>
      <w:szCs w:val="28"/>
    </w:rPr>
  </w:style>
  <w:style w:type="paragraph" w:styleId="11">
    <w:name w:val="toc 2"/>
    <w:basedOn w:val="1"/>
    <w:next w:val="1"/>
    <w:uiPriority w:val="99"/>
    <w:pPr>
      <w:tabs>
        <w:tab w:val="right" w:leader="dot" w:pos="8296"/>
      </w:tabs>
      <w:ind w:left="420" w:leftChars="200"/>
    </w:pPr>
  </w:style>
  <w:style w:type="paragraph" w:styleId="12">
    <w:name w:val="Normal (Web)"/>
    <w:basedOn w:val="1"/>
    <w:qFormat/>
    <w:uiPriority w:val="99"/>
    <w:pPr>
      <w:widowControl/>
      <w:spacing w:before="100" w:beforeAutospacing="1" w:after="100" w:afterAutospacing="1"/>
      <w:jc w:val="left"/>
    </w:pPr>
    <w:rPr>
      <w:rFonts w:ascii="宋体" w:hAnsi="宋体" w:cs="宋体"/>
      <w:kern w:val="0"/>
      <w:sz w:val="24"/>
    </w:rPr>
  </w:style>
  <w:style w:type="character" w:styleId="14">
    <w:name w:val="Strong"/>
    <w:basedOn w:val="13"/>
    <w:qFormat/>
    <w:uiPriority w:val="99"/>
    <w:rPr>
      <w:rFonts w:cs="Times New Roman"/>
      <w:b/>
    </w:rPr>
  </w:style>
  <w:style w:type="character" w:styleId="15">
    <w:name w:val="Hyperlink"/>
    <w:basedOn w:val="13"/>
    <w:uiPriority w:val="99"/>
    <w:rPr>
      <w:rFonts w:cs="Times New Roman"/>
      <w:color w:val="0000FF"/>
      <w:u w:val="single"/>
    </w:rPr>
  </w:style>
  <w:style w:type="character" w:customStyle="1" w:styleId="17">
    <w:name w:val="Heading 1 Char"/>
    <w:basedOn w:val="13"/>
    <w:link w:val="2"/>
    <w:locked/>
    <w:uiPriority w:val="99"/>
    <w:rPr>
      <w:rFonts w:ascii="Times New Roman" w:hAnsi="Times New Roman" w:cs="Times New Roman"/>
      <w:b/>
      <w:bCs/>
      <w:kern w:val="44"/>
      <w:sz w:val="44"/>
      <w:szCs w:val="44"/>
    </w:rPr>
  </w:style>
  <w:style w:type="character" w:customStyle="1" w:styleId="18">
    <w:name w:val="Heading 2 Char"/>
    <w:basedOn w:val="13"/>
    <w:link w:val="3"/>
    <w:locked/>
    <w:uiPriority w:val="99"/>
    <w:rPr>
      <w:rFonts w:ascii="Cambria" w:hAnsi="Cambria" w:eastAsia="宋体" w:cs="Times New Roman"/>
      <w:b/>
      <w:bCs/>
      <w:kern w:val="2"/>
      <w:sz w:val="32"/>
      <w:szCs w:val="32"/>
    </w:rPr>
  </w:style>
  <w:style w:type="character" w:customStyle="1" w:styleId="19">
    <w:name w:val="Heading 3 Char"/>
    <w:basedOn w:val="13"/>
    <w:link w:val="4"/>
    <w:qFormat/>
    <w:locked/>
    <w:uiPriority w:val="99"/>
    <w:rPr>
      <w:rFonts w:ascii="Times New Roman" w:hAnsi="Times New Roman" w:cs="Times New Roman"/>
      <w:b/>
      <w:bCs/>
      <w:kern w:val="2"/>
      <w:sz w:val="32"/>
      <w:szCs w:val="32"/>
    </w:rPr>
  </w:style>
  <w:style w:type="character" w:customStyle="1" w:styleId="20">
    <w:name w:val="Body Text Char"/>
    <w:basedOn w:val="13"/>
    <w:link w:val="5"/>
    <w:semiHidden/>
    <w:locked/>
    <w:uiPriority w:val="99"/>
    <w:rPr>
      <w:rFonts w:ascii="Times New Roman" w:hAnsi="Times New Roman" w:cs="Times New Roman"/>
      <w:sz w:val="24"/>
      <w:szCs w:val="24"/>
    </w:rPr>
  </w:style>
  <w:style w:type="character" w:customStyle="1" w:styleId="21">
    <w:name w:val="Balloon Text Char"/>
    <w:basedOn w:val="13"/>
    <w:link w:val="7"/>
    <w:semiHidden/>
    <w:locked/>
    <w:uiPriority w:val="99"/>
    <w:rPr>
      <w:rFonts w:ascii="Times New Roman" w:hAnsi="Times New Roman" w:cs="Times New Roman"/>
      <w:kern w:val="2"/>
      <w:sz w:val="18"/>
      <w:szCs w:val="18"/>
    </w:rPr>
  </w:style>
  <w:style w:type="character" w:customStyle="1" w:styleId="22">
    <w:name w:val="Footer Char"/>
    <w:basedOn w:val="13"/>
    <w:link w:val="8"/>
    <w:semiHidden/>
    <w:locked/>
    <w:uiPriority w:val="99"/>
    <w:rPr>
      <w:rFonts w:ascii="Times New Roman" w:hAnsi="Times New Roman" w:cs="Times New Roman"/>
      <w:sz w:val="18"/>
      <w:szCs w:val="18"/>
    </w:rPr>
  </w:style>
  <w:style w:type="character" w:customStyle="1" w:styleId="23">
    <w:name w:val="Header Char"/>
    <w:basedOn w:val="13"/>
    <w:link w:val="9"/>
    <w:semiHidden/>
    <w:locked/>
    <w:uiPriority w:val="99"/>
    <w:rPr>
      <w:rFonts w:ascii="Times New Roman" w:hAnsi="Times New Roman" w:cs="Times New Roman"/>
      <w:sz w:val="18"/>
      <w:szCs w:val="18"/>
    </w:rPr>
  </w:style>
  <w:style w:type="character" w:customStyle="1" w:styleId="24">
    <w:name w:val="Header Char1"/>
    <w:link w:val="9"/>
    <w:semiHidden/>
    <w:locked/>
    <w:uiPriority w:val="99"/>
    <w:rPr>
      <w:sz w:val="18"/>
    </w:rPr>
  </w:style>
  <w:style w:type="character" w:customStyle="1" w:styleId="25">
    <w:name w:val="Footer Char1"/>
    <w:link w:val="8"/>
    <w:locked/>
    <w:uiPriority w:val="99"/>
    <w:rPr>
      <w:sz w:val="18"/>
    </w:rPr>
  </w:style>
  <w:style w:type="character" w:customStyle="1" w:styleId="26">
    <w:name w:val="Body Text Char1"/>
    <w:link w:val="5"/>
    <w:locked/>
    <w:uiPriority w:val="99"/>
    <w:rPr>
      <w:rFonts w:ascii="仿宋_GB2312" w:hAnsi="Times New Roman" w:eastAsia="仿宋_GB2312"/>
      <w:sz w:val="24"/>
    </w:rPr>
  </w:style>
  <w:style w:type="paragraph" w:customStyle="1" w:styleId="27">
    <w:name w:val="Default"/>
    <w:uiPriority w:val="99"/>
    <w:pPr>
      <w:widowControl w:val="0"/>
      <w:autoSpaceDE w:val="0"/>
      <w:autoSpaceDN w:val="0"/>
      <w:adjustRightInd w:val="0"/>
    </w:pPr>
    <w:rPr>
      <w:rFonts w:ascii="仿宋" w:hAnsi="Calibri" w:eastAsia="仿宋" w:cs="仿宋"/>
      <w:color w:val="000000"/>
      <w:kern w:val="0"/>
      <w:sz w:val="24"/>
      <w:szCs w:val="24"/>
      <w:lang w:val="en-US" w:eastAsia="zh-CN" w:bidi="ar-SA"/>
    </w:rPr>
  </w:style>
  <w:style w:type="paragraph" w:styleId="28">
    <w:name w:val="List Paragraph"/>
    <w:basedOn w:val="1"/>
    <w:qFormat/>
    <w:uiPriority w:val="99"/>
    <w:pPr>
      <w:ind w:firstLine="420" w:firstLineChars="200"/>
    </w:pPr>
  </w:style>
  <w:style w:type="paragraph" w:customStyle="1" w:styleId="29">
    <w:name w:val="TOC Heading1"/>
    <w:basedOn w:val="2"/>
    <w:next w:val="1"/>
    <w:qFormat/>
    <w:uiPriority w:val="99"/>
    <w:pPr>
      <w:widowControl/>
      <w:spacing w:before="480" w:after="0" w:line="276" w:lineRule="auto"/>
      <w:jc w:val="left"/>
      <w:outlineLvl w:val="9"/>
    </w:pPr>
    <w:rPr>
      <w:rFonts w:ascii="Cambria" w:hAnsi="Cambria"/>
      <w:color w:val="365F91"/>
      <w:kern w:val="0"/>
      <w:sz w:val="28"/>
      <w:szCs w:val="28"/>
    </w:rPr>
  </w:style>
  <w:style w:type="character" w:customStyle="1" w:styleId="30">
    <w:name w:val="页眉 Char"/>
    <w:uiPriority w:val="99"/>
    <w:rPr>
      <w:kern w:val="2"/>
      <w:sz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四川省财政厅</Company>
  <Pages>27</Pages>
  <Words>1916</Words>
  <Characters>10923</Characters>
  <Lines>0</Lines>
  <Paragraphs>0</Paragraphs>
  <TotalTime>0</TotalTime>
  <ScaleCrop>false</ScaleCrop>
  <LinksUpToDate>false</LinksUpToDate>
  <CharactersWithSpaces>0</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2019-10-23T06:37:00Z</dcterms:created>
  <dc:creator>张彬茜</dc:creator>
  <cp:lastModifiedBy>陶淑群</cp:lastModifiedBy>
  <cp:lastPrinted>2019-10-23T06:34:00Z</cp:lastPrinted>
  <dcterms:modified xsi:type="dcterms:W3CDTF">2019-10-24T03:07:58Z</dcterms:modified>
  <dc:title>四川省***</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