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Times New Roman"/>
          <w:sz w:val="72"/>
          <w:szCs w:val="72"/>
        </w:rPr>
      </w:pPr>
      <w:r>
        <w:rPr>
          <w:rFonts w:hint="eastAsia" w:ascii="黑体" w:hAnsi="黑体" w:eastAsia="黑体" w:cs="黑体"/>
          <w:sz w:val="72"/>
          <w:szCs w:val="72"/>
        </w:rPr>
        <w:t>中共壤塘县委统战部</w:t>
      </w:r>
      <w:r>
        <w:rPr>
          <w:rFonts w:ascii="黑体" w:hAnsi="黑体" w:eastAsia="黑体" w:cs="黑体"/>
          <w:sz w:val="72"/>
          <w:szCs w:val="72"/>
        </w:rPr>
        <w:t>202</w:t>
      </w:r>
      <w:r>
        <w:rPr>
          <w:rFonts w:hint="eastAsia" w:ascii="黑体" w:hAnsi="黑体" w:eastAsia="黑体" w:cs="黑体"/>
          <w:sz w:val="72"/>
          <w:szCs w:val="72"/>
          <w:lang w:val="en-US" w:eastAsia="zh-CN"/>
        </w:rPr>
        <w:t>2</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52"/>
          <w:szCs w:val="52"/>
        </w:rPr>
      </w:pPr>
      <w:r>
        <w:rPr>
          <w:rFonts w:hint="eastAsia" w:ascii="黑体" w:hAnsi="黑体" w:eastAsia="黑体" w:cs="黑体"/>
          <w:sz w:val="52"/>
          <w:szCs w:val="52"/>
        </w:rPr>
        <w:t>202</w:t>
      </w:r>
      <w:r>
        <w:rPr>
          <w:rFonts w:hint="eastAsia" w:ascii="黑体" w:hAnsi="黑体" w:eastAsia="黑体" w:cs="黑体"/>
          <w:sz w:val="52"/>
          <w:szCs w:val="52"/>
          <w:lang w:val="en-US" w:eastAsia="zh-CN"/>
        </w:rPr>
        <w:t>2</w:t>
      </w:r>
      <w:r>
        <w:rPr>
          <w:rFonts w:hint="eastAsia" w:ascii="黑体" w:hAnsi="黑体" w:eastAsia="黑体" w:cs="黑体"/>
          <w:sz w:val="52"/>
          <w:szCs w:val="52"/>
        </w:rPr>
        <w:t>年</w:t>
      </w:r>
      <w:r>
        <w:rPr>
          <w:rFonts w:ascii="黑体" w:hAnsi="黑体" w:eastAsia="黑体" w:cs="黑体"/>
          <w:sz w:val="52"/>
          <w:szCs w:val="52"/>
        </w:rPr>
        <w:t xml:space="preserve"> </w:t>
      </w:r>
      <w:r>
        <w:rPr>
          <w:rFonts w:hint="eastAsia" w:ascii="黑体" w:hAnsi="黑体" w:eastAsia="黑体" w:cs="黑体"/>
          <w:sz w:val="52"/>
          <w:szCs w:val="52"/>
          <w:lang w:val="en-US" w:eastAsia="zh-CN"/>
        </w:rPr>
        <w:t>1</w:t>
      </w:r>
      <w:r>
        <w:rPr>
          <w:rFonts w:hint="eastAsia" w:ascii="黑体" w:hAnsi="黑体" w:eastAsia="黑体" w:cs="黑体"/>
          <w:sz w:val="52"/>
          <w:szCs w:val="52"/>
        </w:rPr>
        <w:t>月25</w:t>
      </w:r>
      <w:r>
        <w:rPr>
          <w:rFonts w:ascii="黑体" w:hAnsi="黑体" w:eastAsia="黑体" w:cs="黑体"/>
          <w:sz w:val="52"/>
          <w:szCs w:val="52"/>
        </w:rPr>
        <w:t xml:space="preserve"> </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pPr>
    </w:p>
    <w:p>
      <w:pPr>
        <w:ind w:firstLine="3120" w:firstLineChars="600"/>
        <w:rPr>
          <w:rFonts w:hint="eastAsia" w:ascii="黑体" w:hAnsi="黑体" w:eastAsia="黑体" w:cs="黑体"/>
          <w:sz w:val="52"/>
          <w:szCs w:val="52"/>
        </w:rPr>
      </w:pPr>
      <w:r>
        <w:rPr>
          <w:rFonts w:hint="eastAsia" w:ascii="黑体" w:hAnsi="黑体" w:eastAsia="黑体" w:cs="黑体"/>
          <w:sz w:val="52"/>
          <w:szCs w:val="52"/>
        </w:rPr>
        <w:t>目</w:t>
      </w:r>
      <w:r>
        <w:rPr>
          <w:rFonts w:ascii="黑体" w:hAnsi="黑体" w:eastAsia="黑体" w:cs="黑体"/>
          <w:sz w:val="52"/>
          <w:szCs w:val="52"/>
        </w:rPr>
        <w:t xml:space="preserve"> </w:t>
      </w:r>
      <w:r>
        <w:rPr>
          <w:rFonts w:hint="eastAsia" w:ascii="黑体" w:hAnsi="黑体" w:eastAsia="黑体" w:cs="黑体"/>
          <w:sz w:val="52"/>
          <w:szCs w:val="52"/>
        </w:rPr>
        <w:t>录</w:t>
      </w:r>
    </w:p>
    <w:sdt>
      <w:sdtPr>
        <w:rPr>
          <w:rFonts w:ascii="宋体" w:hAnsi="宋体" w:eastAsia="宋体" w:cs="Calibri"/>
          <w:kern w:val="2"/>
          <w:sz w:val="21"/>
          <w:szCs w:val="21"/>
          <w:lang w:val="en-US" w:eastAsia="zh-CN" w:bidi="ar-SA"/>
        </w:rPr>
        <w:id w:val="147464494"/>
        <w15:color w:val="DBDBDB"/>
        <w:docPartObj>
          <w:docPartGallery w:val="Table of Contents"/>
          <w:docPartUnique/>
        </w:docPartObj>
      </w:sdtPr>
      <w:sdtEndPr>
        <w:rPr>
          <w:rFonts w:ascii="Arial" w:hAnsi="Arial" w:eastAsia="宋体" w:cs="Arial"/>
          <w:kern w:val="2"/>
          <w:sz w:val="21"/>
          <w:szCs w:val="21"/>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7"/>
            <w:tabs>
              <w:tab w:val="right" w:leader="dot" w:pos="8306"/>
            </w:tabs>
          </w:pPr>
          <w:r>
            <w:fldChar w:fldCharType="begin"/>
          </w:r>
          <w:r>
            <w:instrText xml:space="preserve">TOC \o "1-3" \h \u </w:instrText>
          </w:r>
          <w:r>
            <w:fldChar w:fldCharType="separate"/>
          </w:r>
          <w:r>
            <w:fldChar w:fldCharType="begin"/>
          </w:r>
          <w:r>
            <w:instrText xml:space="preserve"> HYPERLINK \l _Toc4916 </w:instrText>
          </w:r>
          <w:r>
            <w:fldChar w:fldCharType="separate"/>
          </w:r>
          <w:r>
            <w:rPr>
              <w:rFonts w:hint="eastAsia" w:ascii="黑体" w:hAnsi="黑体" w:eastAsia="黑体" w:cs="黑体"/>
              <w:kern w:val="2"/>
              <w:szCs w:val="32"/>
            </w:rPr>
            <w:t>一、 基本职能及主要工作</w:t>
          </w:r>
          <w:r>
            <w:tab/>
          </w:r>
          <w:r>
            <w:fldChar w:fldCharType="begin"/>
          </w:r>
          <w:r>
            <w:instrText xml:space="preserve"> PAGEREF _Toc4916 \h </w:instrText>
          </w:r>
          <w:r>
            <w:fldChar w:fldCharType="separate"/>
          </w:r>
          <w:r>
            <w:t>3</w:t>
          </w:r>
          <w:r>
            <w:fldChar w:fldCharType="end"/>
          </w:r>
          <w:r>
            <w:fldChar w:fldCharType="end"/>
          </w:r>
        </w:p>
        <w:p>
          <w:pPr>
            <w:pStyle w:val="8"/>
            <w:tabs>
              <w:tab w:val="right" w:leader="dot" w:pos="8306"/>
            </w:tabs>
          </w:pPr>
          <w:r>
            <w:fldChar w:fldCharType="begin"/>
          </w:r>
          <w:r>
            <w:instrText xml:space="preserve"> HYPERLINK \l _Toc29582 </w:instrText>
          </w:r>
          <w:r>
            <w:fldChar w:fldCharType="separate"/>
          </w:r>
          <w:r>
            <w:rPr>
              <w:rFonts w:hint="eastAsia" w:ascii="楷体_GB2312" w:hAnsi="黑体" w:eastAsia="楷体_GB2312" w:cs="楷体_GB2312"/>
              <w:bCs/>
              <w:kern w:val="2"/>
              <w:szCs w:val="32"/>
              <w:lang w:eastAsia="zh-CN"/>
            </w:rPr>
            <w:t>（</w:t>
          </w:r>
          <w:r>
            <w:rPr>
              <w:rFonts w:hint="eastAsia" w:ascii="楷体_GB2312" w:hAnsi="黑体" w:eastAsia="楷体_GB2312" w:cs="楷体_GB2312"/>
              <w:bCs/>
              <w:kern w:val="2"/>
              <w:szCs w:val="32"/>
              <w:lang w:val="en-US" w:eastAsia="zh-CN"/>
            </w:rPr>
            <w:t>一</w:t>
          </w:r>
          <w:r>
            <w:rPr>
              <w:rFonts w:hint="eastAsia" w:ascii="楷体_GB2312" w:hAnsi="黑体" w:eastAsia="楷体_GB2312" w:cs="楷体_GB2312"/>
              <w:bCs/>
              <w:kern w:val="2"/>
              <w:szCs w:val="32"/>
              <w:lang w:eastAsia="zh-CN"/>
            </w:rPr>
            <w:t>）</w:t>
          </w:r>
          <w:r>
            <w:rPr>
              <w:rFonts w:hint="eastAsia" w:ascii="楷体_GB2312" w:hAnsi="黑体" w:eastAsia="楷体_GB2312" w:cs="楷体_GB2312"/>
              <w:bCs/>
              <w:kern w:val="2"/>
              <w:szCs w:val="32"/>
            </w:rPr>
            <w:t>中共壤塘县委统战部职能简介</w:t>
          </w:r>
          <w:r>
            <w:tab/>
          </w:r>
          <w:r>
            <w:fldChar w:fldCharType="begin"/>
          </w:r>
          <w:r>
            <w:instrText xml:space="preserve"> PAGEREF _Toc29582 \h </w:instrText>
          </w:r>
          <w:r>
            <w:fldChar w:fldCharType="separate"/>
          </w:r>
          <w:r>
            <w:t>3</w:t>
          </w:r>
          <w:r>
            <w:fldChar w:fldCharType="end"/>
          </w:r>
          <w:r>
            <w:fldChar w:fldCharType="end"/>
          </w:r>
        </w:p>
        <w:p>
          <w:pPr>
            <w:pStyle w:val="8"/>
            <w:tabs>
              <w:tab w:val="right" w:leader="dot" w:pos="8306"/>
            </w:tabs>
          </w:pPr>
          <w:r>
            <w:fldChar w:fldCharType="begin"/>
          </w:r>
          <w:r>
            <w:instrText xml:space="preserve"> HYPERLINK \l _Toc31756 </w:instrText>
          </w:r>
          <w:r>
            <w:fldChar w:fldCharType="separate"/>
          </w:r>
          <w:r>
            <w:rPr>
              <w:rFonts w:hint="eastAsia" w:ascii="楷体_GB2312" w:hAnsi="黑体" w:eastAsia="楷体_GB2312" w:cs="楷体_GB2312"/>
              <w:bCs/>
              <w:kern w:val="2"/>
              <w:szCs w:val="32"/>
            </w:rPr>
            <w:t>(二)中共壤塘县委统战部202</w:t>
          </w:r>
          <w:r>
            <w:rPr>
              <w:rFonts w:hint="eastAsia" w:ascii="楷体_GB2312" w:hAnsi="黑体" w:eastAsia="楷体_GB2312" w:cs="楷体_GB2312"/>
              <w:bCs/>
              <w:kern w:val="2"/>
              <w:szCs w:val="32"/>
              <w:lang w:val="en-US" w:eastAsia="zh-CN"/>
            </w:rPr>
            <w:t>2</w:t>
          </w:r>
          <w:r>
            <w:rPr>
              <w:rFonts w:hint="eastAsia" w:ascii="楷体_GB2312" w:hAnsi="黑体" w:eastAsia="楷体_GB2312" w:cs="楷体_GB2312"/>
              <w:bCs/>
              <w:kern w:val="2"/>
              <w:szCs w:val="32"/>
            </w:rPr>
            <w:t>年重点工作</w:t>
          </w:r>
          <w:r>
            <w:tab/>
          </w:r>
          <w:r>
            <w:fldChar w:fldCharType="begin"/>
          </w:r>
          <w:r>
            <w:instrText xml:space="preserve"> PAGEREF _Toc31756 \h </w:instrText>
          </w:r>
          <w:r>
            <w:fldChar w:fldCharType="separate"/>
          </w:r>
          <w:r>
            <w:t>4</w:t>
          </w:r>
          <w:r>
            <w:fldChar w:fldCharType="end"/>
          </w:r>
          <w:r>
            <w:fldChar w:fldCharType="end"/>
          </w:r>
        </w:p>
        <w:p>
          <w:pPr>
            <w:pStyle w:val="7"/>
            <w:tabs>
              <w:tab w:val="right" w:leader="dot" w:pos="8306"/>
            </w:tabs>
          </w:pPr>
          <w:r>
            <w:fldChar w:fldCharType="begin"/>
          </w:r>
          <w:r>
            <w:instrText xml:space="preserve"> HYPERLINK \l _Toc4958 </w:instrText>
          </w:r>
          <w:r>
            <w:fldChar w:fldCharType="separate"/>
          </w:r>
          <w:r>
            <w:rPr>
              <w:rFonts w:hint="eastAsia" w:ascii="黑体" w:hAnsi="黑体" w:eastAsia="黑体" w:cs="黑体"/>
              <w:kern w:val="2"/>
              <w:szCs w:val="32"/>
            </w:rPr>
            <w:t>二、 部门预算单位构成</w:t>
          </w:r>
          <w:r>
            <w:tab/>
          </w:r>
          <w:r>
            <w:fldChar w:fldCharType="begin"/>
          </w:r>
          <w:r>
            <w:instrText xml:space="preserve"> PAGEREF _Toc4958 \h </w:instrText>
          </w:r>
          <w:r>
            <w:fldChar w:fldCharType="separate"/>
          </w:r>
          <w:r>
            <w:t>4</w:t>
          </w:r>
          <w:r>
            <w:fldChar w:fldCharType="end"/>
          </w:r>
          <w:r>
            <w:fldChar w:fldCharType="end"/>
          </w:r>
        </w:p>
        <w:p>
          <w:pPr>
            <w:pStyle w:val="7"/>
            <w:tabs>
              <w:tab w:val="right" w:leader="dot" w:pos="8306"/>
            </w:tabs>
          </w:pPr>
          <w:r>
            <w:fldChar w:fldCharType="begin"/>
          </w:r>
          <w:r>
            <w:instrText xml:space="preserve"> HYPERLINK \l _Toc29370 </w:instrText>
          </w:r>
          <w:r>
            <w:fldChar w:fldCharType="separate"/>
          </w:r>
          <w:r>
            <w:rPr>
              <w:rFonts w:hint="eastAsia" w:ascii="黑体" w:hAnsi="黑体" w:eastAsia="黑体" w:cs="黑体"/>
              <w:kern w:val="2"/>
              <w:szCs w:val="32"/>
            </w:rPr>
            <w:t>三、 收支预算情况说明</w:t>
          </w:r>
          <w:r>
            <w:tab/>
          </w:r>
          <w:r>
            <w:fldChar w:fldCharType="begin"/>
          </w:r>
          <w:r>
            <w:instrText xml:space="preserve"> PAGEREF _Toc29370 \h </w:instrText>
          </w:r>
          <w:r>
            <w:fldChar w:fldCharType="separate"/>
          </w:r>
          <w:r>
            <w:t>5</w:t>
          </w:r>
          <w:r>
            <w:fldChar w:fldCharType="end"/>
          </w:r>
          <w:r>
            <w:fldChar w:fldCharType="end"/>
          </w:r>
        </w:p>
        <w:p>
          <w:pPr>
            <w:pStyle w:val="8"/>
            <w:tabs>
              <w:tab w:val="right" w:leader="dot" w:pos="8306"/>
            </w:tabs>
          </w:pPr>
          <w:r>
            <w:fldChar w:fldCharType="begin"/>
          </w:r>
          <w:r>
            <w:instrText xml:space="preserve"> HYPERLINK \l _Toc32161 </w:instrText>
          </w:r>
          <w:r>
            <w:fldChar w:fldCharType="separate"/>
          </w:r>
          <w:r>
            <w:rPr>
              <w:rFonts w:hint="eastAsia" w:hAnsi="黑体"/>
              <w:bCs/>
              <w:kern w:val="2"/>
              <w:szCs w:val="32"/>
            </w:rPr>
            <w:t>（一） 收入预算情况</w:t>
          </w:r>
          <w:r>
            <w:tab/>
          </w:r>
          <w:r>
            <w:fldChar w:fldCharType="begin"/>
          </w:r>
          <w:r>
            <w:instrText xml:space="preserve"> PAGEREF _Toc32161 \h </w:instrText>
          </w:r>
          <w:r>
            <w:fldChar w:fldCharType="separate"/>
          </w:r>
          <w:r>
            <w:t>5</w:t>
          </w:r>
          <w:r>
            <w:fldChar w:fldCharType="end"/>
          </w:r>
          <w:r>
            <w:fldChar w:fldCharType="end"/>
          </w:r>
        </w:p>
        <w:p>
          <w:pPr>
            <w:pStyle w:val="8"/>
            <w:tabs>
              <w:tab w:val="right" w:leader="dot" w:pos="8306"/>
            </w:tabs>
          </w:pPr>
          <w:r>
            <w:fldChar w:fldCharType="begin"/>
          </w:r>
          <w:r>
            <w:instrText xml:space="preserve"> HYPERLINK \l _Toc22312 </w:instrText>
          </w:r>
          <w:r>
            <w:fldChar w:fldCharType="separate"/>
          </w:r>
          <w:r>
            <w:rPr>
              <w:rFonts w:hint="eastAsia" w:hAnsi="黑体"/>
              <w:bCs/>
              <w:kern w:val="2"/>
              <w:szCs w:val="32"/>
            </w:rPr>
            <w:t>（二） 支出预算情况</w:t>
          </w:r>
          <w:r>
            <w:tab/>
          </w:r>
          <w:r>
            <w:fldChar w:fldCharType="begin"/>
          </w:r>
          <w:r>
            <w:instrText xml:space="preserve"> PAGEREF _Toc22312 \h </w:instrText>
          </w:r>
          <w:r>
            <w:fldChar w:fldCharType="separate"/>
          </w:r>
          <w:r>
            <w:t>5</w:t>
          </w:r>
          <w:r>
            <w:fldChar w:fldCharType="end"/>
          </w:r>
          <w:r>
            <w:fldChar w:fldCharType="end"/>
          </w:r>
        </w:p>
        <w:p>
          <w:pPr>
            <w:pStyle w:val="7"/>
            <w:tabs>
              <w:tab w:val="right" w:leader="dot" w:pos="8306"/>
            </w:tabs>
          </w:pPr>
          <w:r>
            <w:fldChar w:fldCharType="begin"/>
          </w:r>
          <w:r>
            <w:instrText xml:space="preserve"> HYPERLINK \l _Toc15434 </w:instrText>
          </w:r>
          <w:r>
            <w:fldChar w:fldCharType="separate"/>
          </w:r>
          <w:r>
            <w:rPr>
              <w:rFonts w:hint="eastAsia" w:ascii="黑体" w:hAnsi="黑体" w:eastAsia="黑体" w:cs="黑体"/>
              <w:kern w:val="2"/>
              <w:szCs w:val="32"/>
              <w:lang w:val="en-US" w:eastAsia="zh-CN"/>
            </w:rPr>
            <w:t xml:space="preserve">四、 </w:t>
          </w:r>
          <w:r>
            <w:rPr>
              <w:rFonts w:hint="eastAsia" w:ascii="黑体" w:hAnsi="黑体" w:eastAsia="黑体" w:cs="黑体"/>
              <w:kern w:val="2"/>
              <w:szCs w:val="32"/>
            </w:rPr>
            <w:t>财政拨款收支预算情况说</w:t>
          </w:r>
          <w:r>
            <w:rPr>
              <w:rFonts w:hint="eastAsia" w:ascii="黑体" w:hAnsi="黑体" w:eastAsia="黑体" w:cs="黑体"/>
              <w:kern w:val="2"/>
              <w:szCs w:val="32"/>
              <w:lang w:val="en-US" w:eastAsia="zh-CN"/>
            </w:rPr>
            <w:t>明</w:t>
          </w:r>
          <w:r>
            <w:tab/>
          </w:r>
          <w:r>
            <w:fldChar w:fldCharType="begin"/>
          </w:r>
          <w:r>
            <w:instrText xml:space="preserve"> PAGEREF _Toc15434 \h </w:instrText>
          </w:r>
          <w:r>
            <w:fldChar w:fldCharType="separate"/>
          </w:r>
          <w:r>
            <w:t>5</w:t>
          </w:r>
          <w:r>
            <w:fldChar w:fldCharType="end"/>
          </w:r>
          <w:r>
            <w:fldChar w:fldCharType="end"/>
          </w:r>
        </w:p>
        <w:p>
          <w:pPr>
            <w:pStyle w:val="7"/>
            <w:tabs>
              <w:tab w:val="right" w:leader="dot" w:pos="8306"/>
            </w:tabs>
          </w:pPr>
          <w:r>
            <w:fldChar w:fldCharType="begin"/>
          </w:r>
          <w:r>
            <w:instrText xml:space="preserve"> HYPERLINK \l _Toc22125 </w:instrText>
          </w:r>
          <w:r>
            <w:fldChar w:fldCharType="separate"/>
          </w:r>
          <w:r>
            <w:rPr>
              <w:rFonts w:hint="eastAsia" w:ascii="黑体" w:hAnsi="黑体" w:eastAsia="黑体" w:cs="黑体"/>
              <w:kern w:val="2"/>
              <w:szCs w:val="32"/>
            </w:rPr>
            <w:t>五、一般公共预算当年拨款情况说明</w:t>
          </w:r>
          <w:r>
            <w:tab/>
          </w:r>
          <w:r>
            <w:fldChar w:fldCharType="begin"/>
          </w:r>
          <w:r>
            <w:instrText xml:space="preserve"> PAGEREF _Toc22125 \h </w:instrText>
          </w:r>
          <w:r>
            <w:fldChar w:fldCharType="separate"/>
          </w:r>
          <w:r>
            <w:t>6</w:t>
          </w:r>
          <w:r>
            <w:fldChar w:fldCharType="end"/>
          </w:r>
          <w:r>
            <w:fldChar w:fldCharType="end"/>
          </w:r>
        </w:p>
        <w:p>
          <w:pPr>
            <w:pStyle w:val="7"/>
            <w:tabs>
              <w:tab w:val="right" w:leader="dot" w:pos="8306"/>
            </w:tabs>
          </w:pPr>
          <w:r>
            <w:fldChar w:fldCharType="begin"/>
          </w:r>
          <w:r>
            <w:instrText xml:space="preserve"> HYPERLINK \l _Toc3933 </w:instrText>
          </w:r>
          <w:r>
            <w:fldChar w:fldCharType="separate"/>
          </w:r>
          <w:r>
            <w:rPr>
              <w:rFonts w:hint="eastAsia" w:ascii="黑体" w:hAnsi="黑体" w:eastAsia="黑体" w:cs="黑体"/>
              <w:kern w:val="2"/>
              <w:szCs w:val="32"/>
              <w:lang w:val="en-US" w:eastAsia="zh-CN"/>
            </w:rPr>
            <w:t>六、</w:t>
          </w:r>
          <w:r>
            <w:rPr>
              <w:rFonts w:hint="eastAsia" w:ascii="黑体" w:hAnsi="黑体" w:eastAsia="黑体" w:cs="黑体"/>
              <w:kern w:val="2"/>
              <w:szCs w:val="32"/>
            </w:rPr>
            <w:t>一般公共预算基本支出情况说明</w:t>
          </w:r>
          <w:r>
            <w:tab/>
          </w:r>
          <w:r>
            <w:fldChar w:fldCharType="begin"/>
          </w:r>
          <w:r>
            <w:instrText xml:space="preserve"> PAGEREF _Toc3933 \h </w:instrText>
          </w:r>
          <w:r>
            <w:fldChar w:fldCharType="separate"/>
          </w:r>
          <w:r>
            <w:t>7</w:t>
          </w:r>
          <w:r>
            <w:fldChar w:fldCharType="end"/>
          </w:r>
          <w:r>
            <w:fldChar w:fldCharType="end"/>
          </w:r>
        </w:p>
        <w:p>
          <w:pPr>
            <w:pStyle w:val="7"/>
            <w:tabs>
              <w:tab w:val="right" w:leader="dot" w:pos="8306"/>
            </w:tabs>
          </w:pPr>
          <w:r>
            <w:fldChar w:fldCharType="begin"/>
          </w:r>
          <w:r>
            <w:instrText xml:space="preserve"> HYPERLINK \l _Toc25271 </w:instrText>
          </w:r>
          <w:r>
            <w:fldChar w:fldCharType="separate"/>
          </w:r>
          <w:r>
            <w:rPr>
              <w:rFonts w:hint="eastAsia" w:ascii="黑体" w:hAnsi="黑体" w:eastAsia="黑体" w:cs="Times New Roman"/>
              <w:kern w:val="2"/>
              <w:szCs w:val="32"/>
              <w:lang w:val="en-US" w:eastAsia="zh-CN"/>
            </w:rPr>
            <w:t>七、</w:t>
          </w:r>
          <w:r>
            <w:rPr>
              <w:rFonts w:ascii="黑体" w:hAnsi="黑体" w:eastAsia="黑体" w:cs="Times New Roman"/>
              <w:kern w:val="2"/>
              <w:szCs w:val="32"/>
            </w:rPr>
            <w:t>“</w:t>
          </w:r>
          <w:r>
            <w:rPr>
              <w:rFonts w:hint="eastAsia" w:ascii="黑体" w:hAnsi="黑体" w:eastAsia="黑体" w:cs="黑体"/>
              <w:kern w:val="2"/>
              <w:szCs w:val="32"/>
            </w:rPr>
            <w:t>三公</w:t>
          </w:r>
          <w:r>
            <w:rPr>
              <w:rFonts w:ascii="黑体" w:hAnsi="黑体" w:eastAsia="黑体" w:cs="Times New Roman"/>
              <w:kern w:val="2"/>
              <w:szCs w:val="32"/>
            </w:rPr>
            <w:t>”</w:t>
          </w:r>
          <w:r>
            <w:rPr>
              <w:rFonts w:hint="eastAsia" w:ascii="黑体" w:hAnsi="黑体" w:eastAsia="黑体" w:cs="黑体"/>
              <w:kern w:val="2"/>
              <w:szCs w:val="32"/>
            </w:rPr>
            <w:t>经费财政拨款预算安排情况说明</w:t>
          </w:r>
          <w:r>
            <w:tab/>
          </w:r>
          <w:r>
            <w:fldChar w:fldCharType="begin"/>
          </w:r>
          <w:r>
            <w:instrText xml:space="preserve"> PAGEREF _Toc25271 \h </w:instrText>
          </w:r>
          <w:r>
            <w:fldChar w:fldCharType="separate"/>
          </w:r>
          <w:r>
            <w:t>7</w:t>
          </w:r>
          <w:r>
            <w:fldChar w:fldCharType="end"/>
          </w:r>
          <w:r>
            <w:fldChar w:fldCharType="end"/>
          </w:r>
        </w:p>
        <w:p>
          <w:pPr>
            <w:pStyle w:val="7"/>
            <w:tabs>
              <w:tab w:val="right" w:leader="dot" w:pos="8306"/>
            </w:tabs>
          </w:pPr>
          <w:r>
            <w:fldChar w:fldCharType="begin"/>
          </w:r>
          <w:r>
            <w:instrText xml:space="preserve"> HYPERLINK \l _Toc29082 </w:instrText>
          </w:r>
          <w:r>
            <w:fldChar w:fldCharType="separate"/>
          </w:r>
          <w:r>
            <w:rPr>
              <w:rFonts w:hint="eastAsia" w:ascii="黑体" w:hAnsi="黑体" w:eastAsia="黑体" w:cs="黑体"/>
              <w:kern w:val="2"/>
              <w:szCs w:val="32"/>
            </w:rPr>
            <w:t>八、 政府性基金预算支出情况说明</w:t>
          </w:r>
          <w:r>
            <w:tab/>
          </w:r>
          <w:r>
            <w:fldChar w:fldCharType="begin"/>
          </w:r>
          <w:r>
            <w:instrText xml:space="preserve"> PAGEREF _Toc29082 \h </w:instrText>
          </w:r>
          <w:r>
            <w:fldChar w:fldCharType="separate"/>
          </w:r>
          <w:r>
            <w:t>7</w:t>
          </w:r>
          <w:r>
            <w:fldChar w:fldCharType="end"/>
          </w:r>
          <w:r>
            <w:fldChar w:fldCharType="end"/>
          </w:r>
        </w:p>
        <w:p>
          <w:pPr>
            <w:pStyle w:val="7"/>
            <w:tabs>
              <w:tab w:val="right" w:leader="dot" w:pos="8306"/>
            </w:tabs>
          </w:pPr>
          <w:r>
            <w:fldChar w:fldCharType="begin"/>
          </w:r>
          <w:r>
            <w:instrText xml:space="preserve"> HYPERLINK \l _Toc24525 </w:instrText>
          </w:r>
          <w:r>
            <w:fldChar w:fldCharType="separate"/>
          </w:r>
          <w:r>
            <w:rPr>
              <w:rFonts w:hint="eastAsia" w:ascii="黑体" w:hAnsi="黑体" w:eastAsia="黑体" w:cs="黑体"/>
              <w:kern w:val="2"/>
              <w:szCs w:val="32"/>
            </w:rPr>
            <w:t>九、 其他重要事项的情况说明</w:t>
          </w:r>
          <w:r>
            <w:tab/>
          </w:r>
          <w:r>
            <w:fldChar w:fldCharType="begin"/>
          </w:r>
          <w:r>
            <w:instrText xml:space="preserve"> PAGEREF _Toc24525 \h </w:instrText>
          </w:r>
          <w:r>
            <w:fldChar w:fldCharType="separate"/>
          </w:r>
          <w:r>
            <w:t>7</w:t>
          </w:r>
          <w:r>
            <w:fldChar w:fldCharType="end"/>
          </w:r>
          <w:r>
            <w:fldChar w:fldCharType="end"/>
          </w:r>
        </w:p>
        <w:p>
          <w:pPr>
            <w:pStyle w:val="8"/>
            <w:tabs>
              <w:tab w:val="right" w:leader="dot" w:pos="8306"/>
            </w:tabs>
          </w:pPr>
          <w:r>
            <w:fldChar w:fldCharType="begin"/>
          </w:r>
          <w:r>
            <w:instrText xml:space="preserve"> HYPERLINK \l _Toc25491 </w:instrText>
          </w:r>
          <w:r>
            <w:fldChar w:fldCharType="separate"/>
          </w:r>
          <w:r>
            <w:rPr>
              <w:rFonts w:hint="eastAsia" w:ascii="楷体_GB2312" w:hAnsi="黑体" w:eastAsia="楷体_GB2312" w:cs="楷体_GB2312"/>
              <w:bCs/>
              <w:kern w:val="2"/>
              <w:szCs w:val="32"/>
            </w:rPr>
            <w:t>（一） 机关运行经费</w:t>
          </w:r>
          <w:r>
            <w:tab/>
          </w:r>
          <w:r>
            <w:fldChar w:fldCharType="begin"/>
          </w:r>
          <w:r>
            <w:instrText xml:space="preserve"> PAGEREF _Toc25491 \h </w:instrText>
          </w:r>
          <w:r>
            <w:fldChar w:fldCharType="separate"/>
          </w:r>
          <w:r>
            <w:t>7</w:t>
          </w:r>
          <w:r>
            <w:fldChar w:fldCharType="end"/>
          </w:r>
          <w:r>
            <w:fldChar w:fldCharType="end"/>
          </w:r>
        </w:p>
        <w:p>
          <w:pPr>
            <w:pStyle w:val="8"/>
            <w:tabs>
              <w:tab w:val="right" w:leader="dot" w:pos="8306"/>
            </w:tabs>
          </w:pPr>
          <w:r>
            <w:fldChar w:fldCharType="begin"/>
          </w:r>
          <w:r>
            <w:instrText xml:space="preserve"> HYPERLINK \l _Toc20564 </w:instrText>
          </w:r>
          <w:r>
            <w:fldChar w:fldCharType="separate"/>
          </w:r>
          <w:r>
            <w:rPr>
              <w:rFonts w:hint="eastAsia" w:ascii="楷体_GB2312" w:hAnsi="黑体" w:eastAsia="楷体_GB2312" w:cs="楷体_GB2312"/>
              <w:bCs/>
              <w:kern w:val="2"/>
              <w:szCs w:val="32"/>
            </w:rPr>
            <w:t>（二）政府采购情况</w:t>
          </w:r>
          <w:r>
            <w:tab/>
          </w:r>
          <w:r>
            <w:fldChar w:fldCharType="begin"/>
          </w:r>
          <w:r>
            <w:instrText xml:space="preserve"> PAGEREF _Toc20564 \h </w:instrText>
          </w:r>
          <w:r>
            <w:fldChar w:fldCharType="separate"/>
          </w:r>
          <w:r>
            <w:t>7</w:t>
          </w:r>
          <w:r>
            <w:fldChar w:fldCharType="end"/>
          </w:r>
          <w:r>
            <w:fldChar w:fldCharType="end"/>
          </w:r>
        </w:p>
        <w:p>
          <w:pPr>
            <w:pStyle w:val="8"/>
            <w:tabs>
              <w:tab w:val="right" w:leader="dot" w:pos="8306"/>
            </w:tabs>
          </w:pPr>
          <w:r>
            <w:fldChar w:fldCharType="begin"/>
          </w:r>
          <w:r>
            <w:instrText xml:space="preserve"> HYPERLINK \l _Toc14407 </w:instrText>
          </w:r>
          <w:r>
            <w:fldChar w:fldCharType="separate"/>
          </w:r>
          <w:r>
            <w:rPr>
              <w:rFonts w:hint="eastAsia" w:ascii="楷体_GB2312" w:hAnsi="黑体" w:eastAsia="楷体_GB2312" w:cs="楷体_GB2312"/>
              <w:bCs/>
              <w:kern w:val="2"/>
              <w:szCs w:val="32"/>
            </w:rPr>
            <w:t>（三）国有资产占有使用情况</w:t>
          </w:r>
          <w:r>
            <w:tab/>
          </w:r>
          <w:r>
            <w:fldChar w:fldCharType="begin"/>
          </w:r>
          <w:r>
            <w:instrText xml:space="preserve"> PAGEREF _Toc14407 \h </w:instrText>
          </w:r>
          <w:r>
            <w:fldChar w:fldCharType="separate"/>
          </w:r>
          <w:r>
            <w:t>8</w:t>
          </w:r>
          <w:r>
            <w:fldChar w:fldCharType="end"/>
          </w:r>
          <w:r>
            <w:fldChar w:fldCharType="end"/>
          </w:r>
        </w:p>
        <w:p>
          <w:pPr>
            <w:pStyle w:val="8"/>
            <w:tabs>
              <w:tab w:val="right" w:leader="dot" w:pos="8306"/>
            </w:tabs>
          </w:pPr>
          <w:r>
            <w:fldChar w:fldCharType="begin"/>
          </w:r>
          <w:r>
            <w:instrText xml:space="preserve"> HYPERLINK \l _Toc29304 </w:instrText>
          </w:r>
          <w:r>
            <w:fldChar w:fldCharType="separate"/>
          </w:r>
          <w:r>
            <w:rPr>
              <w:rFonts w:hint="eastAsia" w:ascii="楷体_GB2312" w:hAnsi="黑体" w:eastAsia="楷体_GB2312" w:cs="楷体_GB2312"/>
              <w:bCs/>
              <w:kern w:val="2"/>
              <w:szCs w:val="32"/>
              <w:lang w:eastAsia="zh-CN"/>
            </w:rPr>
            <w:t>（</w:t>
          </w:r>
          <w:r>
            <w:rPr>
              <w:rFonts w:hint="eastAsia" w:ascii="楷体_GB2312" w:hAnsi="黑体" w:eastAsia="楷体_GB2312" w:cs="楷体_GB2312"/>
              <w:bCs/>
              <w:kern w:val="2"/>
              <w:szCs w:val="32"/>
              <w:lang w:val="en-US" w:eastAsia="zh-CN"/>
            </w:rPr>
            <w:t>四）</w:t>
          </w:r>
          <w:r>
            <w:rPr>
              <w:rFonts w:hint="eastAsia" w:ascii="楷体_GB2312" w:hAnsi="黑体" w:eastAsia="楷体_GB2312" w:cs="楷体_GB2312"/>
              <w:bCs/>
              <w:kern w:val="2"/>
              <w:szCs w:val="32"/>
            </w:rPr>
            <w:t>绩效目标设置情况</w:t>
          </w:r>
          <w:r>
            <w:tab/>
          </w:r>
          <w:r>
            <w:fldChar w:fldCharType="begin"/>
          </w:r>
          <w:r>
            <w:instrText xml:space="preserve"> PAGEREF _Toc29304 \h </w:instrText>
          </w:r>
          <w:r>
            <w:fldChar w:fldCharType="separate"/>
          </w:r>
          <w:r>
            <w:t>8</w:t>
          </w:r>
          <w:r>
            <w:fldChar w:fldCharType="end"/>
          </w:r>
          <w:r>
            <w:fldChar w:fldCharType="end"/>
          </w:r>
        </w:p>
        <w:p>
          <w:pPr>
            <w:pStyle w:val="7"/>
            <w:tabs>
              <w:tab w:val="right" w:leader="dot" w:pos="8306"/>
            </w:tabs>
          </w:pPr>
          <w:r>
            <w:fldChar w:fldCharType="begin"/>
          </w:r>
          <w:r>
            <w:instrText xml:space="preserve"> HYPERLINK \l _Toc14265 </w:instrText>
          </w:r>
          <w:r>
            <w:fldChar w:fldCharType="separate"/>
          </w:r>
          <w:r>
            <w:rPr>
              <w:rFonts w:hint="eastAsia" w:ascii="黑体" w:hAnsi="黑体" w:eastAsia="黑体" w:cs="黑体"/>
              <w:kern w:val="2"/>
              <w:szCs w:val="32"/>
            </w:rPr>
            <w:t>十、名词解释</w:t>
          </w:r>
          <w:r>
            <w:tab/>
          </w:r>
          <w:r>
            <w:fldChar w:fldCharType="begin"/>
          </w:r>
          <w:r>
            <w:instrText xml:space="preserve"> PAGEREF _Toc14265 \h </w:instrText>
          </w:r>
          <w:r>
            <w:fldChar w:fldCharType="separate"/>
          </w:r>
          <w:r>
            <w:t>8</w:t>
          </w:r>
          <w:r>
            <w:fldChar w:fldCharType="end"/>
          </w:r>
          <w:r>
            <w:fldChar w:fldCharType="end"/>
          </w:r>
        </w:p>
        <w:p>
          <w:pPr>
            <w:pStyle w:val="2"/>
          </w:pPr>
          <w:r>
            <w:fldChar w:fldCharType="end"/>
          </w:r>
        </w:p>
      </w:sdtContent>
    </w:sdt>
    <w:p>
      <w:pPr>
        <w:pStyle w:val="22"/>
        <w:spacing w:before="0" w:line="360" w:lineRule="auto"/>
        <w:rPr>
          <w:rFonts w:hint="eastAsia" w:ascii="黑体" w:hAnsi="黑体" w:eastAsia="黑体" w:cs="黑体"/>
          <w:kern w:val="2"/>
          <w:sz w:val="32"/>
          <w:szCs w:val="32"/>
        </w:rPr>
        <w:sectPr>
          <w:pgSz w:w="11906" w:h="16838"/>
          <w:pgMar w:top="1440" w:right="1800" w:bottom="1440" w:left="1800" w:header="851" w:footer="992" w:gutter="0"/>
          <w:cols w:space="720" w:num="1"/>
          <w:docGrid w:type="lines" w:linePitch="312" w:charSpace="0"/>
        </w:sectPr>
      </w:pPr>
    </w:p>
    <w:p>
      <w:pPr>
        <w:pStyle w:val="22"/>
        <w:spacing w:before="0" w:line="360" w:lineRule="auto"/>
        <w:rPr>
          <w:rFonts w:hint="eastAsia" w:ascii="黑体" w:hAnsi="黑体" w:eastAsia="黑体" w:cs="黑体"/>
          <w:kern w:val="2"/>
          <w:sz w:val="32"/>
          <w:szCs w:val="32"/>
        </w:rPr>
      </w:pPr>
    </w:p>
    <w:p>
      <w:pPr>
        <w:pStyle w:val="22"/>
        <w:numPr>
          <w:ilvl w:val="0"/>
          <w:numId w:val="2"/>
        </w:numPr>
        <w:spacing w:before="0" w:line="360" w:lineRule="auto"/>
        <w:outlineLvl w:val="0"/>
        <w:rPr>
          <w:rFonts w:hint="eastAsia" w:ascii="黑体" w:hAnsi="黑体" w:eastAsia="黑体" w:cs="黑体"/>
          <w:kern w:val="2"/>
          <w:sz w:val="32"/>
          <w:szCs w:val="32"/>
        </w:rPr>
      </w:pPr>
      <w:bookmarkStart w:id="0" w:name="_Toc4916"/>
      <w:r>
        <w:rPr>
          <w:rFonts w:hint="eastAsia" w:ascii="黑体" w:hAnsi="黑体" w:eastAsia="黑体" w:cs="黑体"/>
          <w:kern w:val="2"/>
          <w:sz w:val="32"/>
          <w:szCs w:val="32"/>
        </w:rPr>
        <w:t>基本职能及主要工作</w:t>
      </w:r>
      <w:bookmarkEnd w:id="0"/>
    </w:p>
    <w:p>
      <w:pPr>
        <w:pStyle w:val="22"/>
        <w:numPr>
          <w:numId w:val="0"/>
        </w:numPr>
        <w:spacing w:before="0" w:line="360" w:lineRule="auto"/>
        <w:outlineLvl w:val="1"/>
        <w:rPr>
          <w:rFonts w:hint="eastAsia" w:ascii="仿宋_GB2312" w:hAnsi="仿宋_GB2312" w:eastAsia="仿宋_GB2312" w:cs="仿宋_GB2312"/>
          <w:kern w:val="0"/>
          <w:sz w:val="32"/>
          <w:szCs w:val="32"/>
          <w:lang w:bidi="ar"/>
        </w:rPr>
      </w:pPr>
      <w:bookmarkStart w:id="1" w:name="_Toc29582"/>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一</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中共壤塘县委统战部职能简介</w:t>
      </w:r>
      <w:bookmarkEnd w:id="1"/>
    </w:p>
    <w:p>
      <w:pPr>
        <w:pStyle w:val="22"/>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9"/>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1.贯彻落实加强党对统一战线工作集中统一领导的要求。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2.研究拟定统一战线工作的政策和法规草案推动落实，深入调查研究，及时向县委报告统一战线工作情况并提出建议，统筹协调和指导各乡镇、各部门（单位）统一战线工作。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3.负责发现、培养党外代表人士，制定党外干部培养规划，负责联系培养无党派人士、党外知识分子代表人士和新的社会阶层代表人士。</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4.贯彻落实党的宣传工作方针，统筹推进全县统一战线宣传和意识形态工作。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5.贯彻落实党的民族工作方针，研究拟定民族工作的政策和重大措施，协调处理民族工作中的重大问题。</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6.贯彻落实党的宗教工作基本方针和政策，研究拟定宗教工作的重大政策措施并督促落实，领导县民族宗教事务委员会依法管理宗教行政事务。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7.承担全县非公有制经济协调工作。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8.贯彻落实中央、省委、州委和县委关于对境外藏胞工作的方针、政策。</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9.统一领导港澳台统战工作，牵头开展港澳台统战工作，开展对台统战工作。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10.统一管理侨务工作。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11.协助管理寺庙管理委员会（所）主要负责人；领导县工商联党组、指导工商联工作；领导县民族宗教事务委员会工作。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12.完成县委、州委统战部交办的其他事务。</w:t>
      </w:r>
    </w:p>
    <w:p>
      <w:pPr>
        <w:widowControl/>
        <w:spacing w:line="560" w:lineRule="exact"/>
        <w:ind w:firstLine="321" w:firstLineChars="100"/>
        <w:jc w:val="both"/>
        <w:outlineLvl w:val="1"/>
        <w:rPr>
          <w:rFonts w:hint="eastAsia" w:ascii="楷体_GB2312" w:hAnsi="黑体" w:eastAsia="楷体_GB2312" w:cs="楷体_GB2312"/>
          <w:b/>
          <w:bCs/>
          <w:color w:val="auto"/>
          <w:kern w:val="2"/>
          <w:sz w:val="32"/>
          <w:szCs w:val="32"/>
        </w:rPr>
      </w:pPr>
      <w:bookmarkStart w:id="18" w:name="_GoBack"/>
      <w:bookmarkEnd w:id="18"/>
      <w:bookmarkStart w:id="2" w:name="_Toc31756"/>
      <w:r>
        <w:rPr>
          <w:rFonts w:hint="eastAsia" w:ascii="楷体_GB2312" w:hAnsi="黑体" w:eastAsia="楷体_GB2312" w:cs="楷体_GB2312"/>
          <w:b/>
          <w:bCs/>
          <w:color w:val="auto"/>
          <w:kern w:val="2"/>
          <w:sz w:val="32"/>
          <w:szCs w:val="32"/>
        </w:rPr>
        <w:t>(二)中共壤塘县委统战部202</w:t>
      </w:r>
      <w:r>
        <w:rPr>
          <w:rFonts w:hint="eastAsia" w:ascii="楷体_GB2312" w:hAnsi="黑体" w:eastAsia="楷体_GB2312" w:cs="楷体_GB2312"/>
          <w:b/>
          <w:bCs/>
          <w:color w:val="auto"/>
          <w:kern w:val="2"/>
          <w:sz w:val="32"/>
          <w:szCs w:val="32"/>
          <w:lang w:val="en-US" w:eastAsia="zh-CN"/>
        </w:rPr>
        <w:t>2</w:t>
      </w:r>
      <w:r>
        <w:rPr>
          <w:rFonts w:hint="eastAsia" w:ascii="楷体_GB2312" w:hAnsi="黑体" w:eastAsia="楷体_GB2312" w:cs="楷体_GB2312"/>
          <w:b/>
          <w:bCs/>
          <w:color w:val="auto"/>
          <w:kern w:val="2"/>
          <w:sz w:val="32"/>
          <w:szCs w:val="32"/>
        </w:rPr>
        <w:t>年重点工作</w:t>
      </w:r>
      <w:bookmarkEnd w:id="2"/>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202</w:t>
      </w:r>
      <w:r>
        <w:rPr>
          <w:rFonts w:hint="eastAsia" w:ascii="仿宋_GB2312" w:hAnsi="仿宋_GB2312" w:eastAsia="仿宋_GB2312" w:cs="仿宋_GB2312"/>
          <w:kern w:val="0"/>
          <w:sz w:val="32"/>
          <w:szCs w:val="32"/>
          <w:lang w:val="en-US" w:eastAsia="zh-CN" w:bidi="ar"/>
        </w:rPr>
        <w:t>2</w:t>
      </w:r>
      <w:r>
        <w:rPr>
          <w:rFonts w:hint="eastAsia" w:ascii="仿宋_GB2312" w:hAnsi="仿宋_GB2312" w:eastAsia="仿宋_GB2312" w:cs="仿宋_GB2312"/>
          <w:kern w:val="0"/>
          <w:sz w:val="32"/>
          <w:szCs w:val="32"/>
          <w:lang w:bidi="ar"/>
        </w:rPr>
        <w:t>年，我们将认真贯彻落实中央、省委、州委、县委的决策部署，围绕全县稳定、发展大局，紧扣“155”发展战略，树牢一盘棋思想，强化统战职能职责，落实“基层统战工作创新年”工作要求，充分发挥统一战线“法宝”作用。凝心聚力、团结合作，找准工作的着力点，做深做细各项工作，为建设美丽幸福壤巴拉家园凝聚力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一是扎实开展铸牢中华民族共同体意识，深入开展民族团结寺庙创建工作。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二是扎实做好宗教领域维护稳定相关工作，严格落实“五项管理”责任,将“五美一安”和“壤巴拉平安寺庙”创建深度融合</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三是做好僧尼和干部的培训全覆盖宣讲工作, 扎实开展爱国僧尼的关心关爱和慰问工作及 “两联一进”工作。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四是持续推进“以社会大民生带寺庙小民生”工作，不断夯实寺庙基础设施建设。</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五是持续推进藏胞及其亲属的关心关爱工作。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cs="Times New Roman"/>
          <w:sz w:val="32"/>
          <w:lang w:eastAsia="zh-CN"/>
        </w:rPr>
      </w:pPr>
      <w:r>
        <w:rPr>
          <w:rFonts w:hint="eastAsia" w:ascii="仿宋_GB2312" w:hAnsi="仿宋_GB2312" w:eastAsia="仿宋_GB2312" w:cs="仿宋_GB2312"/>
          <w:kern w:val="0"/>
          <w:sz w:val="32"/>
          <w:szCs w:val="32"/>
          <w:lang w:bidi="ar"/>
        </w:rPr>
        <w:t>六是加大党外干部的培养、使用、推荐工作力度，切实发挥县“知新会”作用，引导非公有制经济发挥作用</w:t>
      </w:r>
      <w:r>
        <w:rPr>
          <w:rFonts w:hint="eastAsia" w:ascii="Times New Roman" w:hAnsi="Times New Roman" w:cs="Times New Roman"/>
          <w:sz w:val="32"/>
          <w:lang w:eastAsia="zh-CN"/>
        </w:rPr>
        <w:t>。</w:t>
      </w:r>
    </w:p>
    <w:p>
      <w:pPr>
        <w:pStyle w:val="22"/>
        <w:numPr>
          <w:ilvl w:val="0"/>
          <w:numId w:val="2"/>
        </w:numPr>
        <w:spacing w:before="0" w:line="360" w:lineRule="auto"/>
        <w:ind w:left="0" w:leftChars="0" w:firstLine="0" w:firstLineChars="0"/>
        <w:outlineLvl w:val="0"/>
        <w:rPr>
          <w:rFonts w:hint="eastAsia" w:ascii="黑体" w:hAnsi="黑体" w:eastAsia="黑体" w:cs="黑体"/>
          <w:kern w:val="2"/>
          <w:sz w:val="32"/>
          <w:szCs w:val="32"/>
        </w:rPr>
      </w:pPr>
      <w:bookmarkStart w:id="3" w:name="_Toc4958"/>
      <w:r>
        <w:rPr>
          <w:rFonts w:hint="eastAsia" w:ascii="黑体" w:hAnsi="黑体" w:eastAsia="黑体" w:cs="黑体"/>
          <w:kern w:val="2"/>
          <w:sz w:val="32"/>
          <w:szCs w:val="32"/>
        </w:rPr>
        <w:t>部门预算单位构成</w:t>
      </w:r>
      <w:bookmarkEnd w:id="3"/>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rPr>
      </w:pPr>
      <w:r>
        <w:rPr>
          <w:rFonts w:hint="eastAsia" w:hAnsi="黑体"/>
          <w:kern w:val="2"/>
          <w:sz w:val="32"/>
          <w:szCs w:val="32"/>
        </w:rPr>
        <w:t>中共壤塘县委统战部属一级预算单位，下属二级预算单位0个，其中：行政单位1个。</w:t>
      </w:r>
    </w:p>
    <w:p>
      <w:pPr>
        <w:pStyle w:val="22"/>
        <w:numPr>
          <w:ilvl w:val="0"/>
          <w:numId w:val="2"/>
        </w:numPr>
        <w:spacing w:before="0" w:line="360" w:lineRule="auto"/>
        <w:ind w:left="0" w:leftChars="0" w:firstLine="0" w:firstLineChars="0"/>
        <w:outlineLvl w:val="0"/>
        <w:rPr>
          <w:rFonts w:hint="eastAsia" w:ascii="黑体" w:hAnsi="黑体" w:eastAsia="黑体" w:cs="黑体"/>
          <w:kern w:val="2"/>
          <w:sz w:val="32"/>
          <w:szCs w:val="32"/>
        </w:rPr>
      </w:pPr>
      <w:bookmarkStart w:id="4" w:name="_Toc29370"/>
      <w:r>
        <w:rPr>
          <w:rFonts w:hint="eastAsia" w:ascii="黑体" w:hAnsi="黑体" w:eastAsia="黑体" w:cs="黑体"/>
          <w:kern w:val="2"/>
          <w:sz w:val="32"/>
          <w:szCs w:val="32"/>
        </w:rPr>
        <w:t>收支预算情况说明</w:t>
      </w:r>
      <w:bookmarkEnd w:id="4"/>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rPr>
      </w:pPr>
      <w:r>
        <w:rPr>
          <w:rFonts w:hint="eastAsia" w:hAnsi="黑体"/>
          <w:kern w:val="2"/>
          <w:sz w:val="32"/>
          <w:szCs w:val="32"/>
        </w:rPr>
        <w:t>按照综合预算的原则，中共壤塘县委统战部所有收入和支出均纳入部门预算管理。收入包括：一般公共预算拨款收入</w:t>
      </w:r>
      <w:r>
        <w:rPr>
          <w:rFonts w:hint="eastAsia" w:hAnsi="黑体" w:cs="Times New Roman"/>
          <w:kern w:val="2"/>
          <w:sz w:val="32"/>
          <w:szCs w:val="32"/>
        </w:rPr>
        <w:t>220.22</w:t>
      </w:r>
      <w:r>
        <w:rPr>
          <w:rFonts w:hint="eastAsia" w:hAnsi="黑体"/>
          <w:kern w:val="2"/>
          <w:sz w:val="32"/>
          <w:szCs w:val="32"/>
        </w:rPr>
        <w:t>万元；支出包括：一般公共服务支出159.87万元，社会保障和就业支出</w:t>
      </w:r>
      <w:r>
        <w:rPr>
          <w:rFonts w:hint="eastAsia" w:hAnsi="黑体" w:cs="Times New Roman"/>
          <w:kern w:val="2"/>
          <w:sz w:val="32"/>
          <w:szCs w:val="32"/>
        </w:rPr>
        <w:t>29.53</w:t>
      </w:r>
      <w:r>
        <w:rPr>
          <w:rFonts w:hint="eastAsia" w:hAnsi="黑体"/>
          <w:kern w:val="2"/>
          <w:sz w:val="32"/>
          <w:szCs w:val="32"/>
        </w:rPr>
        <w:t>万元，卫生健康支出</w:t>
      </w:r>
      <w:r>
        <w:rPr>
          <w:rFonts w:hint="eastAsia" w:hAnsi="黑体" w:cs="Times New Roman"/>
          <w:kern w:val="2"/>
          <w:sz w:val="32"/>
          <w:szCs w:val="32"/>
        </w:rPr>
        <w:t>10.80</w:t>
      </w:r>
      <w:r>
        <w:rPr>
          <w:rFonts w:hint="eastAsia" w:hAnsi="黑体"/>
          <w:kern w:val="2"/>
          <w:sz w:val="32"/>
          <w:szCs w:val="32"/>
        </w:rPr>
        <w:t>万元，住房保障支出</w:t>
      </w:r>
      <w:r>
        <w:rPr>
          <w:rFonts w:hint="eastAsia" w:hAnsi="黑体" w:cs="Times New Roman"/>
          <w:kern w:val="2"/>
          <w:sz w:val="32"/>
          <w:szCs w:val="32"/>
        </w:rPr>
        <w:t>20.02</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中共壤塘县委统战部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收支总预算</w:t>
      </w:r>
      <w:r>
        <w:rPr>
          <w:rFonts w:hint="eastAsia" w:hAnsi="黑体" w:cs="Times New Roman"/>
          <w:kern w:val="2"/>
          <w:sz w:val="32"/>
          <w:szCs w:val="32"/>
        </w:rPr>
        <w:t>220.22</w:t>
      </w:r>
      <w:r>
        <w:rPr>
          <w:rFonts w:hint="eastAsia" w:hAnsi="黑体"/>
          <w:kern w:val="2"/>
          <w:sz w:val="32"/>
          <w:szCs w:val="32"/>
        </w:rPr>
        <w:t>万元</w:t>
      </w:r>
      <w:r>
        <w:rPr>
          <w:rFonts w:hAnsi="黑体"/>
          <w:kern w:val="2"/>
          <w:sz w:val="32"/>
          <w:szCs w:val="32"/>
        </w:rPr>
        <w:t>,</w:t>
      </w:r>
      <w:r>
        <w:rPr>
          <w:rFonts w:hint="eastAsia" w:hAnsi="黑体"/>
          <w:kern w:val="2"/>
          <w:sz w:val="32"/>
          <w:szCs w:val="32"/>
        </w:rPr>
        <w:t>　比</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收支预算总数</w:t>
      </w:r>
      <w:r>
        <w:rPr>
          <w:rFonts w:hint="eastAsia" w:hAnsi="黑体"/>
          <w:kern w:val="2"/>
          <w:sz w:val="32"/>
          <w:szCs w:val="32"/>
          <w:lang w:val="en-US" w:eastAsia="zh-CN"/>
        </w:rPr>
        <w:t>减少</w:t>
      </w:r>
      <w:r>
        <w:rPr>
          <w:rFonts w:hint="eastAsia" w:hAnsi="黑体"/>
          <w:kern w:val="2"/>
          <w:sz w:val="32"/>
          <w:szCs w:val="32"/>
        </w:rPr>
        <w:t>12.78万元，主要原因</w:t>
      </w:r>
      <w:r>
        <w:rPr>
          <w:rFonts w:hAnsi="黑体"/>
          <w:kern w:val="2"/>
          <w:sz w:val="32"/>
          <w:szCs w:val="32"/>
        </w:rPr>
        <w:t>:202</w:t>
      </w:r>
      <w:r>
        <w:rPr>
          <w:rFonts w:hint="eastAsia" w:hAnsi="黑体"/>
          <w:kern w:val="2"/>
          <w:sz w:val="32"/>
          <w:szCs w:val="32"/>
          <w:lang w:val="en-US" w:eastAsia="zh-CN"/>
        </w:rPr>
        <w:t>2</w:t>
      </w:r>
      <w:r>
        <w:rPr>
          <w:rFonts w:hint="eastAsia" w:hAnsi="黑体"/>
          <w:kern w:val="2"/>
          <w:sz w:val="32"/>
          <w:szCs w:val="32"/>
        </w:rPr>
        <w:t>公用经费预算</w:t>
      </w:r>
      <w:r>
        <w:rPr>
          <w:rFonts w:hint="eastAsia" w:hAnsi="黑体"/>
          <w:kern w:val="2"/>
          <w:sz w:val="32"/>
          <w:szCs w:val="32"/>
          <w:lang w:val="en-US" w:eastAsia="zh-CN"/>
        </w:rPr>
        <w:t>减少</w:t>
      </w:r>
      <w:r>
        <w:rPr>
          <w:rFonts w:hint="eastAsia" w:hAnsi="黑体"/>
          <w:kern w:val="2"/>
          <w:sz w:val="32"/>
          <w:szCs w:val="32"/>
        </w:rPr>
        <w:t>。</w:t>
      </w:r>
    </w:p>
    <w:p>
      <w:pPr>
        <w:pStyle w:val="22"/>
        <w:numPr>
          <w:ilvl w:val="0"/>
          <w:numId w:val="3"/>
        </w:numPr>
        <w:spacing w:before="0" w:line="360" w:lineRule="auto"/>
        <w:ind w:leftChars="0"/>
        <w:outlineLvl w:val="1"/>
        <w:rPr>
          <w:rFonts w:hint="eastAsia" w:hAnsi="黑体"/>
          <w:b/>
          <w:bCs/>
          <w:kern w:val="2"/>
          <w:sz w:val="32"/>
          <w:szCs w:val="32"/>
        </w:rPr>
      </w:pPr>
      <w:bookmarkStart w:id="5" w:name="_Toc32161"/>
      <w:r>
        <w:rPr>
          <w:rFonts w:hint="eastAsia" w:hAnsi="黑体"/>
          <w:b/>
          <w:bCs/>
          <w:kern w:val="2"/>
          <w:sz w:val="32"/>
          <w:szCs w:val="32"/>
        </w:rPr>
        <w:t>收入预算情况</w:t>
      </w:r>
      <w:bookmarkEnd w:id="5"/>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eastAsia="zh-CN"/>
        </w:rPr>
      </w:pPr>
      <w:r>
        <w:rPr>
          <w:rFonts w:hint="eastAsia" w:hAnsi="黑体"/>
          <w:kern w:val="2"/>
          <w:sz w:val="32"/>
          <w:szCs w:val="32"/>
        </w:rPr>
        <w:t>中共壤塘县委统战部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rPr>
        <w:t>220.22</w:t>
      </w:r>
      <w:r>
        <w:rPr>
          <w:rFonts w:hint="eastAsia" w:hAnsi="黑体"/>
          <w:kern w:val="2"/>
          <w:sz w:val="32"/>
          <w:szCs w:val="32"/>
        </w:rPr>
        <w:t>万元；一般公共预算拨款收入</w:t>
      </w:r>
      <w:r>
        <w:rPr>
          <w:rFonts w:hAnsi="黑体" w:cs="Times New Roman"/>
          <w:kern w:val="2"/>
          <w:sz w:val="32"/>
          <w:szCs w:val="32"/>
        </w:rPr>
        <w:t>2</w:t>
      </w:r>
      <w:r>
        <w:rPr>
          <w:rFonts w:hint="eastAsia" w:hAnsi="黑体" w:cs="Times New Roman"/>
          <w:kern w:val="2"/>
          <w:sz w:val="32"/>
          <w:szCs w:val="32"/>
          <w:lang w:val="en-US" w:eastAsia="zh-CN"/>
        </w:rPr>
        <w:t>20.22</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lang w:eastAsia="zh-CN"/>
        </w:rPr>
        <w:t>。</w:t>
      </w:r>
    </w:p>
    <w:p>
      <w:pPr>
        <w:pStyle w:val="22"/>
        <w:numPr>
          <w:ilvl w:val="0"/>
          <w:numId w:val="3"/>
        </w:numPr>
        <w:spacing w:before="0" w:line="360" w:lineRule="auto"/>
        <w:ind w:left="0" w:leftChars="0" w:firstLine="0" w:firstLineChars="0"/>
        <w:outlineLvl w:val="1"/>
        <w:rPr>
          <w:rFonts w:hint="eastAsia" w:hAnsi="黑体"/>
          <w:b/>
          <w:bCs/>
          <w:kern w:val="2"/>
          <w:sz w:val="32"/>
          <w:szCs w:val="32"/>
        </w:rPr>
      </w:pPr>
      <w:bookmarkStart w:id="6" w:name="_Toc22312"/>
      <w:r>
        <w:rPr>
          <w:rFonts w:hint="eastAsia" w:hAnsi="黑体"/>
          <w:b/>
          <w:bCs/>
          <w:kern w:val="2"/>
          <w:sz w:val="32"/>
          <w:szCs w:val="32"/>
        </w:rPr>
        <w:t>支出预算情况</w:t>
      </w:r>
      <w:bookmarkEnd w:id="6"/>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rPr>
      </w:pPr>
      <w:r>
        <w:rPr>
          <w:rFonts w:hint="eastAsia" w:hAnsi="黑体"/>
          <w:kern w:val="2"/>
          <w:sz w:val="32"/>
          <w:szCs w:val="32"/>
        </w:rPr>
        <w:t>中共壤塘县委统战部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rPr>
        <w:t>220.22</w:t>
      </w:r>
      <w:r>
        <w:rPr>
          <w:rFonts w:hint="eastAsia" w:hAnsi="黑体"/>
          <w:kern w:val="2"/>
          <w:sz w:val="32"/>
          <w:szCs w:val="32"/>
        </w:rPr>
        <w:t>万元，其中：基本支出</w:t>
      </w:r>
      <w:r>
        <w:rPr>
          <w:rFonts w:hint="eastAsia" w:hAnsi="黑体" w:cs="Times New Roman"/>
          <w:kern w:val="2"/>
          <w:sz w:val="32"/>
          <w:szCs w:val="32"/>
        </w:rPr>
        <w:t>220.22</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p>
    <w:p>
      <w:pPr>
        <w:pStyle w:val="22"/>
        <w:numPr>
          <w:ilvl w:val="0"/>
          <w:numId w:val="2"/>
        </w:numPr>
        <w:spacing w:before="0" w:line="360" w:lineRule="auto"/>
        <w:ind w:left="0" w:leftChars="0" w:firstLine="0" w:firstLineChars="0"/>
        <w:outlineLvl w:val="0"/>
        <w:rPr>
          <w:rFonts w:hint="eastAsia" w:ascii="黑体" w:hAnsi="黑体" w:eastAsia="黑体" w:cs="黑体"/>
          <w:kern w:val="2"/>
          <w:sz w:val="32"/>
          <w:szCs w:val="32"/>
          <w:lang w:val="en-US" w:eastAsia="zh-CN"/>
        </w:rPr>
      </w:pPr>
      <w:bookmarkStart w:id="7" w:name="_Toc15434"/>
      <w:r>
        <w:rPr>
          <w:rFonts w:hint="eastAsia" w:ascii="黑体" w:hAnsi="黑体" w:eastAsia="黑体" w:cs="黑体"/>
          <w:kern w:val="2"/>
          <w:sz w:val="32"/>
          <w:szCs w:val="32"/>
        </w:rPr>
        <w:t>财政拨款收支预算情况说</w:t>
      </w:r>
      <w:r>
        <w:rPr>
          <w:rFonts w:hint="eastAsia" w:ascii="黑体" w:hAnsi="黑体" w:eastAsia="黑体" w:cs="黑体"/>
          <w:kern w:val="2"/>
          <w:sz w:val="32"/>
          <w:szCs w:val="32"/>
          <w:lang w:val="en-US" w:eastAsia="zh-CN"/>
        </w:rPr>
        <w:t>明</w:t>
      </w:r>
      <w:bookmarkEnd w:id="7"/>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Ansi="黑体"/>
          <w:kern w:val="2"/>
          <w:sz w:val="32"/>
          <w:szCs w:val="32"/>
        </w:rPr>
      </w:pPr>
      <w:r>
        <w:rPr>
          <w:rFonts w:hint="eastAsia" w:hAnsi="黑体"/>
          <w:kern w:val="2"/>
          <w:sz w:val="32"/>
          <w:szCs w:val="32"/>
        </w:rPr>
        <w:t>中共壤塘县委统战部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财政拨款收支总预算</w:t>
      </w:r>
      <w:r>
        <w:rPr>
          <w:rFonts w:hint="eastAsia" w:hAnsi="黑体" w:cs="Times New Roman"/>
          <w:kern w:val="2"/>
          <w:sz w:val="32"/>
          <w:szCs w:val="32"/>
        </w:rPr>
        <w:t>220.22</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财政拨款收支总预算</w:t>
      </w:r>
      <w:r>
        <w:rPr>
          <w:rFonts w:hint="eastAsia" w:hAnsi="黑体"/>
          <w:kern w:val="2"/>
          <w:sz w:val="32"/>
          <w:szCs w:val="32"/>
          <w:lang w:val="en-US" w:eastAsia="zh-CN"/>
        </w:rPr>
        <w:t>减少</w:t>
      </w:r>
      <w:r>
        <w:rPr>
          <w:rFonts w:hint="eastAsia" w:hAnsi="黑体"/>
          <w:kern w:val="2"/>
          <w:sz w:val="32"/>
          <w:szCs w:val="32"/>
        </w:rPr>
        <w:t>12.78万元，主要原因</w:t>
      </w:r>
      <w:r>
        <w:rPr>
          <w:rFonts w:hAnsi="黑体"/>
          <w:kern w:val="2"/>
          <w:sz w:val="32"/>
          <w:szCs w:val="32"/>
        </w:rPr>
        <w:t>: 202</w:t>
      </w:r>
      <w:r>
        <w:rPr>
          <w:rFonts w:hint="eastAsia" w:hAnsi="黑体"/>
          <w:kern w:val="2"/>
          <w:sz w:val="32"/>
          <w:szCs w:val="32"/>
          <w:lang w:val="en-US" w:eastAsia="zh-CN"/>
        </w:rPr>
        <w:t>2</w:t>
      </w:r>
      <w:r>
        <w:rPr>
          <w:rFonts w:hint="eastAsia" w:hAnsi="黑体"/>
          <w:kern w:val="2"/>
          <w:sz w:val="32"/>
          <w:szCs w:val="32"/>
        </w:rPr>
        <w:t>公用经费预算</w:t>
      </w:r>
      <w:r>
        <w:rPr>
          <w:rFonts w:hint="eastAsia" w:hAnsi="黑体"/>
          <w:kern w:val="2"/>
          <w:sz w:val="32"/>
          <w:szCs w:val="32"/>
          <w:lang w:val="en-US" w:eastAsia="zh-CN"/>
        </w:rPr>
        <w:t>减少</w:t>
      </w:r>
      <w:r>
        <w:rPr>
          <w:rFonts w:hint="eastAsia" w:hAnsi="黑体"/>
          <w:kern w:val="2"/>
          <w:sz w:val="32"/>
          <w:szCs w:val="32"/>
        </w:rPr>
        <w:t>。</w:t>
      </w:r>
    </w:p>
    <w:p>
      <w:pPr>
        <w:pStyle w:val="2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收入包括：本年一般公共预算拨款收入</w:t>
      </w:r>
      <w:r>
        <w:rPr>
          <w:rFonts w:hint="eastAsia" w:hAnsi="黑体" w:cs="Times New Roman"/>
          <w:kern w:val="2"/>
          <w:sz w:val="32"/>
          <w:szCs w:val="32"/>
        </w:rPr>
        <w:t>220.22</w:t>
      </w:r>
      <w:r>
        <w:rPr>
          <w:rFonts w:hint="eastAsia" w:hAnsi="黑体"/>
          <w:kern w:val="2"/>
          <w:sz w:val="32"/>
          <w:szCs w:val="32"/>
        </w:rPr>
        <w:t>万元。</w:t>
      </w:r>
      <w:r>
        <w:rPr>
          <w:rFonts w:hAnsi="黑体" w:cs="Times New Roman"/>
          <w:kern w:val="2"/>
          <w:sz w:val="32"/>
          <w:szCs w:val="32"/>
        </w:rPr>
        <w:t xml:space="preserve"> </w:t>
      </w:r>
      <w:r>
        <w:rPr>
          <w:rFonts w:hAnsi="黑体" w:cs="Times New Roman"/>
          <w:kern w:val="2"/>
          <w:sz w:val="32"/>
          <w:szCs w:val="32"/>
        </w:rPr>
        <w:br w:type="textWrapping"/>
      </w:r>
      <w:r>
        <w:rPr>
          <w:rFonts w:hint="eastAsia" w:hAnsi="黑体"/>
          <w:kern w:val="2"/>
          <w:sz w:val="32"/>
          <w:szCs w:val="32"/>
        </w:rPr>
        <w:t>　　支出包括：一般公共服务支出159.87万元，社会保障和就业支出29.53万元，卫生健康支出10.80万元，住房保障支出20.02万元。</w:t>
      </w:r>
    </w:p>
    <w:p>
      <w:pPr>
        <w:pStyle w:val="22"/>
        <w:spacing w:before="0" w:line="360" w:lineRule="auto"/>
        <w:ind w:firstLine="627" w:firstLineChars="196"/>
        <w:outlineLvl w:val="0"/>
        <w:rPr>
          <w:rFonts w:hint="eastAsia" w:ascii="黑体" w:hAnsi="黑体" w:eastAsia="黑体" w:cs="黑体"/>
          <w:kern w:val="2"/>
          <w:sz w:val="32"/>
          <w:szCs w:val="32"/>
        </w:rPr>
      </w:pPr>
      <w:bookmarkStart w:id="8" w:name="_Toc22125"/>
      <w:r>
        <w:rPr>
          <w:rFonts w:hint="eastAsia" w:ascii="黑体" w:hAnsi="黑体" w:eastAsia="黑体" w:cs="黑体"/>
          <w:kern w:val="2"/>
          <w:sz w:val="32"/>
          <w:szCs w:val="32"/>
        </w:rPr>
        <w:t>五、一般公共预算当年拨款情况说明</w:t>
      </w:r>
      <w:bookmarkEnd w:id="8"/>
    </w:p>
    <w:p>
      <w:pPr>
        <w:pStyle w:val="22"/>
        <w:spacing w:before="0" w:line="360" w:lineRule="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（一）一般公共预算当年拨款规模变化情况</w:t>
      </w:r>
    </w:p>
    <w:p>
      <w:pPr>
        <w:pStyle w:val="2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中共壤塘县委统战部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一般公共预算当年拨款220.22万元，比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预算数</w:t>
      </w:r>
      <w:r>
        <w:rPr>
          <w:rFonts w:hint="eastAsia" w:hAnsi="黑体"/>
          <w:kern w:val="2"/>
          <w:sz w:val="32"/>
          <w:szCs w:val="32"/>
          <w:lang w:val="en-US" w:eastAsia="zh-CN"/>
        </w:rPr>
        <w:t>减少</w:t>
      </w:r>
      <w:r>
        <w:rPr>
          <w:rFonts w:hint="eastAsia" w:hAnsi="黑体"/>
          <w:kern w:val="2"/>
          <w:sz w:val="32"/>
          <w:szCs w:val="32"/>
        </w:rPr>
        <w:t>12.78万元，主要是基本支出</w:t>
      </w:r>
      <w:r>
        <w:rPr>
          <w:rFonts w:hint="eastAsia" w:hAnsi="黑体"/>
          <w:kern w:val="2"/>
          <w:sz w:val="32"/>
          <w:szCs w:val="32"/>
          <w:lang w:val="en-US" w:eastAsia="zh-CN"/>
        </w:rPr>
        <w:t>减少</w:t>
      </w:r>
      <w:r>
        <w:rPr>
          <w:rFonts w:hint="eastAsia" w:hAnsi="黑体"/>
          <w:kern w:val="2"/>
          <w:sz w:val="32"/>
          <w:szCs w:val="32"/>
        </w:rPr>
        <w:t>12.78万元，主要原因</w:t>
      </w:r>
      <w:r>
        <w:rPr>
          <w:rFonts w:hAnsi="黑体"/>
          <w:kern w:val="2"/>
          <w:sz w:val="32"/>
          <w:szCs w:val="32"/>
        </w:rPr>
        <w:t>: 202</w:t>
      </w:r>
      <w:r>
        <w:rPr>
          <w:rFonts w:hint="eastAsia" w:hAnsi="黑体"/>
          <w:kern w:val="2"/>
          <w:sz w:val="32"/>
          <w:szCs w:val="32"/>
          <w:lang w:val="en-US" w:eastAsia="zh-CN"/>
        </w:rPr>
        <w:t>2</w:t>
      </w:r>
      <w:r>
        <w:rPr>
          <w:rFonts w:hint="eastAsia" w:hAnsi="黑体"/>
          <w:kern w:val="2"/>
          <w:sz w:val="32"/>
          <w:szCs w:val="32"/>
        </w:rPr>
        <w:t>公用经费预算</w:t>
      </w:r>
      <w:r>
        <w:rPr>
          <w:rFonts w:hint="eastAsia" w:hAnsi="黑体"/>
          <w:kern w:val="2"/>
          <w:sz w:val="32"/>
          <w:szCs w:val="32"/>
          <w:lang w:val="en-US" w:eastAsia="zh-CN"/>
        </w:rPr>
        <w:t>减少</w:t>
      </w:r>
      <w:r>
        <w:rPr>
          <w:rFonts w:hint="eastAsia" w:hAnsi="黑体"/>
          <w:kern w:val="2"/>
          <w:sz w:val="32"/>
          <w:szCs w:val="32"/>
        </w:rPr>
        <w:t>。</w:t>
      </w:r>
    </w:p>
    <w:p>
      <w:pPr>
        <w:pStyle w:val="22"/>
        <w:numPr>
          <w:ilvl w:val="0"/>
          <w:numId w:val="3"/>
        </w:numPr>
        <w:spacing w:before="0" w:line="360" w:lineRule="auto"/>
        <w:ind w:left="0" w:leftChars="0" w:firstLine="0" w:firstLineChars="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一般公共预算当年拨款结构情况</w:t>
      </w:r>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cs="Times New Roman"/>
          <w:kern w:val="2"/>
          <w:sz w:val="32"/>
          <w:szCs w:val="32"/>
          <w:lang w:eastAsia="zh-CN"/>
        </w:rPr>
      </w:pPr>
      <w:r>
        <w:rPr>
          <w:rFonts w:hint="eastAsia" w:hAnsi="黑体"/>
          <w:kern w:val="2"/>
          <w:sz w:val="32"/>
          <w:szCs w:val="32"/>
        </w:rPr>
        <w:t>一般公共服务支出159.87万元，</w:t>
      </w:r>
      <w:r>
        <w:rPr>
          <w:rFonts w:hint="eastAsia" w:hAnsi="黑体"/>
          <w:kern w:val="2"/>
          <w:sz w:val="32"/>
          <w:szCs w:val="32"/>
          <w:lang w:val="en-US" w:eastAsia="zh-CN"/>
        </w:rPr>
        <w:t>占72.60%；</w:t>
      </w:r>
      <w:r>
        <w:rPr>
          <w:rFonts w:hint="eastAsia" w:hAnsi="黑体"/>
          <w:kern w:val="2"/>
          <w:sz w:val="32"/>
          <w:szCs w:val="32"/>
        </w:rPr>
        <w:t>社会保障和就业支出29.53万元，</w:t>
      </w:r>
      <w:r>
        <w:rPr>
          <w:rFonts w:hint="eastAsia" w:hAnsi="黑体"/>
          <w:kern w:val="2"/>
          <w:sz w:val="32"/>
          <w:szCs w:val="32"/>
          <w:lang w:val="en-US" w:eastAsia="zh-CN"/>
        </w:rPr>
        <w:t>占13.41%；</w:t>
      </w:r>
      <w:r>
        <w:rPr>
          <w:rFonts w:hint="eastAsia" w:hAnsi="黑体"/>
          <w:kern w:val="2"/>
          <w:sz w:val="32"/>
          <w:szCs w:val="32"/>
        </w:rPr>
        <w:t>卫生健康支出10.80万元，</w:t>
      </w:r>
      <w:r>
        <w:rPr>
          <w:rFonts w:hint="eastAsia" w:hAnsi="黑体"/>
          <w:kern w:val="2"/>
          <w:sz w:val="32"/>
          <w:szCs w:val="32"/>
          <w:lang w:val="en-US" w:eastAsia="zh-CN"/>
        </w:rPr>
        <w:t>占4.90%；</w:t>
      </w:r>
      <w:r>
        <w:rPr>
          <w:rFonts w:hint="eastAsia" w:hAnsi="黑体"/>
          <w:kern w:val="2"/>
          <w:sz w:val="32"/>
          <w:szCs w:val="32"/>
        </w:rPr>
        <w:t>住房保障支出20.02万元，</w:t>
      </w:r>
      <w:r>
        <w:rPr>
          <w:rFonts w:hint="eastAsia" w:hAnsi="黑体"/>
          <w:kern w:val="2"/>
          <w:sz w:val="32"/>
          <w:szCs w:val="32"/>
          <w:lang w:val="en-US" w:eastAsia="zh-CN"/>
        </w:rPr>
        <w:t>占</w:t>
      </w:r>
      <w:r>
        <w:rPr>
          <w:rFonts w:hint="eastAsia" w:hAnsi="黑体"/>
          <w:kern w:val="2"/>
          <w:sz w:val="32"/>
          <w:szCs w:val="32"/>
        </w:rPr>
        <w:t>9.09%</w:t>
      </w:r>
      <w:r>
        <w:rPr>
          <w:rFonts w:hint="eastAsia" w:hAnsi="黑体" w:cs="Times New Roman"/>
          <w:kern w:val="2"/>
          <w:sz w:val="32"/>
          <w:szCs w:val="32"/>
          <w:lang w:eastAsia="zh-CN"/>
        </w:rPr>
        <w:t>。</w:t>
      </w:r>
    </w:p>
    <w:p>
      <w:pPr>
        <w:pStyle w:val="22"/>
        <w:numPr>
          <w:ilvl w:val="0"/>
          <w:numId w:val="3"/>
        </w:numPr>
        <w:spacing w:before="0" w:line="360" w:lineRule="auto"/>
        <w:ind w:left="0" w:leftChars="0" w:firstLine="0" w:firstLineChars="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一般公共预算当年拨款具体使用情况</w:t>
      </w:r>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Ansi="黑体"/>
          <w:kern w:val="2"/>
          <w:sz w:val="32"/>
          <w:szCs w:val="32"/>
        </w:rPr>
      </w:pPr>
      <w:r>
        <w:rPr>
          <w:rFonts w:hint="eastAsia" w:hAnsi="黑体"/>
          <w:kern w:val="2"/>
          <w:sz w:val="32"/>
          <w:szCs w:val="32"/>
        </w:rPr>
        <w:t>1</w:t>
      </w:r>
      <w:r>
        <w:rPr>
          <w:rFonts w:hAnsi="黑体"/>
          <w:kern w:val="2"/>
          <w:sz w:val="32"/>
          <w:szCs w:val="32"/>
        </w:rPr>
        <w:t>.201</w:t>
      </w:r>
      <w:r>
        <w:rPr>
          <w:rFonts w:hint="eastAsia" w:hAnsi="黑体"/>
          <w:kern w:val="2"/>
          <w:sz w:val="32"/>
          <w:szCs w:val="32"/>
        </w:rPr>
        <w:t>（类）</w:t>
      </w:r>
      <w:r>
        <w:rPr>
          <w:rFonts w:hAnsi="黑体"/>
          <w:kern w:val="2"/>
          <w:sz w:val="32"/>
          <w:szCs w:val="32"/>
        </w:rPr>
        <w:t>34</w:t>
      </w:r>
      <w:r>
        <w:rPr>
          <w:rFonts w:hint="eastAsia" w:hAnsi="黑体"/>
          <w:kern w:val="2"/>
          <w:sz w:val="32"/>
          <w:szCs w:val="32"/>
        </w:rPr>
        <w:t>（款）</w:t>
      </w:r>
      <w:r>
        <w:rPr>
          <w:rFonts w:hAnsi="黑体"/>
          <w:kern w:val="2"/>
          <w:sz w:val="32"/>
          <w:szCs w:val="32"/>
        </w:rPr>
        <w:t>01</w:t>
      </w:r>
      <w:r>
        <w:rPr>
          <w:rFonts w:hint="eastAsia" w:hAnsi="黑体"/>
          <w:kern w:val="2"/>
          <w:sz w:val="32"/>
          <w:szCs w:val="32"/>
        </w:rPr>
        <w:t>（项）：行政运行</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预算数为133.75万元，主要用于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年单位职工工资福利支出（基本工资、津补贴、绩效工资等）、日常公用经费支出（办公费、邮电费、劳务费等）、工会经费和公务用车运行维护费。</w:t>
      </w:r>
    </w:p>
    <w:p>
      <w:pPr>
        <w:pStyle w:val="2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kern w:val="2"/>
          <w:sz w:val="32"/>
          <w:szCs w:val="32"/>
        </w:rPr>
      </w:pPr>
      <w:r>
        <w:rPr>
          <w:rFonts w:hAnsi="黑体"/>
          <w:kern w:val="2"/>
          <w:sz w:val="32"/>
          <w:szCs w:val="32"/>
        </w:rPr>
        <w:t>2.</w:t>
      </w:r>
      <w:r>
        <w:rPr>
          <w:rFonts w:hint="eastAsia" w:hAnsi="黑体"/>
          <w:kern w:val="2"/>
          <w:sz w:val="32"/>
          <w:szCs w:val="32"/>
        </w:rPr>
        <w:t>208（类）05（款）05（项）机关事业单位基本养老保险缴费支出</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预算数为19.68万元，主要用于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年单位养老保险支出。</w:t>
      </w:r>
    </w:p>
    <w:p>
      <w:pPr>
        <w:pStyle w:val="2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kern w:val="2"/>
          <w:sz w:val="32"/>
          <w:szCs w:val="32"/>
        </w:rPr>
      </w:pPr>
      <w:r>
        <w:rPr>
          <w:rFonts w:hAnsi="黑体"/>
          <w:kern w:val="2"/>
          <w:sz w:val="32"/>
          <w:szCs w:val="32"/>
        </w:rPr>
        <w:t>3.</w:t>
      </w:r>
      <w:r>
        <w:rPr>
          <w:rFonts w:hint="eastAsia" w:hAnsi="黑体"/>
          <w:kern w:val="2"/>
          <w:sz w:val="32"/>
          <w:szCs w:val="32"/>
        </w:rPr>
        <w:t>208（类）05（款）06（项）机关事业单位职业年金缴费支出</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预算数为9.84万元，主要用于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年单位职业年金支出。</w:t>
      </w:r>
    </w:p>
    <w:p>
      <w:pPr>
        <w:pStyle w:val="2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　</w:t>
      </w:r>
      <w:r>
        <w:rPr>
          <w:rFonts w:hAnsi="黑体"/>
          <w:kern w:val="2"/>
          <w:sz w:val="32"/>
          <w:szCs w:val="32"/>
        </w:rPr>
        <w:t>5.</w:t>
      </w:r>
      <w:r>
        <w:rPr>
          <w:rFonts w:hint="eastAsia" w:hAnsi="黑体"/>
          <w:kern w:val="2"/>
          <w:sz w:val="32"/>
          <w:szCs w:val="32"/>
        </w:rPr>
        <w:t>210（类）11（款）01（项）行政单位医疗</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预算数为8.61万元，主要用于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年单位行政医疗支出。</w:t>
      </w:r>
    </w:p>
    <w:p>
      <w:pPr>
        <w:pStyle w:val="2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 xml:space="preserve"> </w:t>
      </w:r>
      <w:r>
        <w:rPr>
          <w:rFonts w:hAnsi="黑体"/>
          <w:kern w:val="2"/>
          <w:sz w:val="32"/>
          <w:szCs w:val="32"/>
        </w:rPr>
        <w:t xml:space="preserve"> 6.</w:t>
      </w:r>
      <w:r>
        <w:rPr>
          <w:rFonts w:hint="eastAsia" w:hAnsi="黑体"/>
          <w:kern w:val="2"/>
          <w:sz w:val="32"/>
          <w:szCs w:val="32"/>
        </w:rPr>
        <w:t>210（类）11（款）03（项）公务员医疗补助</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预算数为2.19万元，主要用于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年单位公务员医疗补助支出。</w:t>
      </w:r>
    </w:p>
    <w:p>
      <w:pPr>
        <w:pStyle w:val="2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 xml:space="preserve"> </w:t>
      </w:r>
      <w:r>
        <w:rPr>
          <w:rFonts w:hint="eastAsia" w:hAnsi="黑体"/>
          <w:kern w:val="2"/>
          <w:sz w:val="32"/>
          <w:szCs w:val="32"/>
          <w:lang w:val="en-US" w:eastAsia="zh-CN"/>
        </w:rPr>
        <w:t>7</w:t>
      </w:r>
      <w:r>
        <w:rPr>
          <w:rFonts w:hint="eastAsia" w:hAnsi="黑体"/>
          <w:kern w:val="2"/>
          <w:sz w:val="32"/>
          <w:szCs w:val="32"/>
        </w:rPr>
        <w:t>.2</w:t>
      </w:r>
      <w:r>
        <w:rPr>
          <w:rFonts w:hint="eastAsia" w:hAnsi="黑体"/>
          <w:kern w:val="2"/>
          <w:sz w:val="32"/>
          <w:szCs w:val="32"/>
          <w:lang w:val="en-US" w:eastAsia="zh-CN"/>
        </w:rPr>
        <w:t>21</w:t>
      </w:r>
      <w:r>
        <w:rPr>
          <w:rFonts w:hint="eastAsia" w:hAnsi="黑体"/>
          <w:kern w:val="2"/>
          <w:sz w:val="32"/>
          <w:szCs w:val="32"/>
        </w:rPr>
        <w:t>（类）</w:t>
      </w:r>
      <w:r>
        <w:rPr>
          <w:rFonts w:hint="eastAsia" w:hAnsi="黑体"/>
          <w:kern w:val="2"/>
          <w:sz w:val="32"/>
          <w:szCs w:val="32"/>
          <w:lang w:val="en-US" w:eastAsia="zh-CN"/>
        </w:rPr>
        <w:t>02</w:t>
      </w:r>
      <w:r>
        <w:rPr>
          <w:rFonts w:hint="eastAsia" w:hAnsi="黑体"/>
          <w:kern w:val="2"/>
          <w:sz w:val="32"/>
          <w:szCs w:val="32"/>
        </w:rPr>
        <w:t>（款）0</w:t>
      </w:r>
      <w:r>
        <w:rPr>
          <w:rFonts w:hint="eastAsia" w:hAnsi="黑体"/>
          <w:kern w:val="2"/>
          <w:sz w:val="32"/>
          <w:szCs w:val="32"/>
          <w:lang w:val="en-US" w:eastAsia="zh-CN"/>
        </w:rPr>
        <w:t>1</w:t>
      </w:r>
      <w:r>
        <w:rPr>
          <w:rFonts w:hint="eastAsia" w:hAnsi="黑体"/>
          <w:kern w:val="2"/>
          <w:sz w:val="32"/>
          <w:szCs w:val="32"/>
        </w:rPr>
        <w:t>（项）住房公积金202</w:t>
      </w:r>
      <w:r>
        <w:rPr>
          <w:rFonts w:hint="eastAsia" w:hAnsi="黑体"/>
          <w:kern w:val="2"/>
          <w:sz w:val="32"/>
          <w:szCs w:val="32"/>
          <w:lang w:val="en-US" w:eastAsia="zh-CN"/>
        </w:rPr>
        <w:t>2</w:t>
      </w:r>
      <w:r>
        <w:rPr>
          <w:rFonts w:hint="eastAsia" w:hAnsi="黑体"/>
          <w:kern w:val="2"/>
          <w:sz w:val="32"/>
          <w:szCs w:val="32"/>
        </w:rPr>
        <w:t>年预算数为20.02万元，主要用于 :202</w:t>
      </w:r>
      <w:r>
        <w:rPr>
          <w:rFonts w:hint="eastAsia" w:hAnsi="黑体"/>
          <w:kern w:val="2"/>
          <w:sz w:val="32"/>
          <w:szCs w:val="32"/>
          <w:lang w:val="en-US" w:eastAsia="zh-CN"/>
        </w:rPr>
        <w:t>2</w:t>
      </w:r>
      <w:r>
        <w:rPr>
          <w:rFonts w:hint="eastAsia" w:hAnsi="黑体"/>
          <w:kern w:val="2"/>
          <w:sz w:val="32"/>
          <w:szCs w:val="32"/>
        </w:rPr>
        <w:t>年单位住房公积金支出。</w:t>
      </w:r>
    </w:p>
    <w:p>
      <w:pPr>
        <w:pStyle w:val="22"/>
        <w:numPr>
          <w:ilvl w:val="0"/>
          <w:numId w:val="0"/>
        </w:numPr>
        <w:spacing w:before="0" w:line="360" w:lineRule="auto"/>
        <w:ind w:leftChars="0"/>
        <w:outlineLvl w:val="0"/>
        <w:rPr>
          <w:rFonts w:hint="eastAsia" w:ascii="黑体" w:hAnsi="黑体" w:eastAsia="黑体" w:cs="黑体"/>
          <w:kern w:val="2"/>
          <w:sz w:val="32"/>
          <w:szCs w:val="32"/>
        </w:rPr>
      </w:pPr>
      <w:bookmarkStart w:id="9" w:name="_Toc3933"/>
      <w:r>
        <w:rPr>
          <w:rFonts w:hint="eastAsia" w:ascii="黑体" w:hAnsi="黑体" w:eastAsia="黑体" w:cs="黑体"/>
          <w:kern w:val="2"/>
          <w:sz w:val="32"/>
          <w:szCs w:val="32"/>
          <w:lang w:val="en-US" w:eastAsia="zh-CN"/>
        </w:rPr>
        <w:t>六、</w:t>
      </w:r>
      <w:r>
        <w:rPr>
          <w:rFonts w:hint="eastAsia" w:ascii="黑体" w:hAnsi="黑体" w:eastAsia="黑体" w:cs="黑体"/>
          <w:kern w:val="2"/>
          <w:sz w:val="32"/>
          <w:szCs w:val="32"/>
        </w:rPr>
        <w:t>一般公共预算基本支出情况说明</w:t>
      </w:r>
      <w:bookmarkEnd w:id="9"/>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rPr>
      </w:pPr>
      <w:r>
        <w:rPr>
          <w:rFonts w:hint="eastAsia" w:hAnsi="黑体"/>
          <w:kern w:val="2"/>
          <w:sz w:val="32"/>
          <w:szCs w:val="32"/>
        </w:rPr>
        <w:t>中共壤塘县委统战部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基本支出220.22万元，其中：人员经费185.64万元，主要包括：基本工资、津贴补贴、奖金、其他社会保障缴费、绩效工资、机关事业单位基本养老保险缴费、职业年金缴费、其他工资福利支出、离休费、奖励金、住房公积金、其他对个人和家庭的补助支出。公用经费34.59万元，主要包括：办公费、印刷费、手续费、水费、电费、邮电费、差旅费、维修（护）费、租赁费、会议费、培训费、劳务费、工会经费、福利费、其他交通工具运行维护费、其他商品和服务支出。</w:t>
      </w:r>
    </w:p>
    <w:p>
      <w:pPr>
        <w:pStyle w:val="22"/>
        <w:numPr>
          <w:ilvl w:val="0"/>
          <w:numId w:val="0"/>
        </w:numPr>
        <w:spacing w:before="0" w:line="360" w:lineRule="auto"/>
        <w:ind w:leftChars="0"/>
        <w:outlineLvl w:val="0"/>
        <w:rPr>
          <w:rFonts w:hint="eastAsia" w:ascii="黑体" w:hAnsi="黑体" w:eastAsia="黑体" w:cs="黑体"/>
          <w:kern w:val="2"/>
          <w:sz w:val="32"/>
          <w:szCs w:val="32"/>
        </w:rPr>
      </w:pPr>
      <w:bookmarkStart w:id="10" w:name="_Toc25271"/>
      <w:r>
        <w:rPr>
          <w:rFonts w:hint="eastAsia" w:ascii="黑体" w:hAnsi="黑体" w:eastAsia="黑体" w:cs="Times New Roman"/>
          <w:kern w:val="2"/>
          <w:sz w:val="32"/>
          <w:szCs w:val="32"/>
          <w:lang w:val="en-US" w:eastAsia="zh-CN"/>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bookmarkEnd w:id="10"/>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cs="Times New Roman"/>
          <w:kern w:val="2"/>
          <w:sz w:val="32"/>
          <w:szCs w:val="32"/>
        </w:rPr>
      </w:pPr>
      <w:r>
        <w:rPr>
          <w:rFonts w:hint="eastAsia" w:hAnsi="黑体"/>
          <w:kern w:val="2"/>
          <w:sz w:val="32"/>
          <w:szCs w:val="32"/>
        </w:rPr>
        <w:t>中共壤塘县委统战部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Ansi="黑体"/>
          <w:kern w:val="2"/>
          <w:sz w:val="32"/>
          <w:szCs w:val="32"/>
        </w:rPr>
        <w:t>6</w:t>
      </w:r>
      <w:r>
        <w:rPr>
          <w:rFonts w:hint="eastAsia" w:hAnsi="黑体"/>
          <w:kern w:val="2"/>
          <w:sz w:val="32"/>
          <w:szCs w:val="32"/>
        </w:rPr>
        <w:t>万元，其中：公务用车购置及运行维护费</w:t>
      </w:r>
      <w:r>
        <w:rPr>
          <w:rFonts w:hAnsi="黑体"/>
          <w:kern w:val="2"/>
          <w:sz w:val="32"/>
          <w:szCs w:val="32"/>
        </w:rPr>
        <w:t>6</w:t>
      </w:r>
      <w:r>
        <w:rPr>
          <w:rFonts w:hint="eastAsia" w:hAnsi="黑体"/>
          <w:kern w:val="2"/>
          <w:sz w:val="32"/>
          <w:szCs w:val="32"/>
        </w:rPr>
        <w:t>万元。</w:t>
      </w:r>
    </w:p>
    <w:p>
      <w:pPr>
        <w:pStyle w:val="22"/>
        <w:numPr>
          <w:ilvl w:val="0"/>
          <w:numId w:val="4"/>
        </w:numPr>
        <w:spacing w:before="0" w:line="360" w:lineRule="auto"/>
        <w:outlineLvl w:val="0"/>
        <w:rPr>
          <w:rFonts w:hint="eastAsia" w:ascii="黑体" w:hAnsi="黑体" w:eastAsia="黑体" w:cs="黑体"/>
          <w:kern w:val="2"/>
          <w:sz w:val="32"/>
          <w:szCs w:val="32"/>
        </w:rPr>
      </w:pPr>
      <w:bookmarkStart w:id="11" w:name="_Toc29082"/>
      <w:r>
        <w:rPr>
          <w:rFonts w:hint="eastAsia" w:ascii="黑体" w:hAnsi="黑体" w:eastAsia="黑体" w:cs="黑体"/>
          <w:kern w:val="2"/>
          <w:sz w:val="32"/>
          <w:szCs w:val="32"/>
        </w:rPr>
        <w:t>政府性基金预算支出情况说明</w:t>
      </w:r>
      <w:bookmarkEnd w:id="11"/>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9"/>
        <w:rPr>
          <w:rFonts w:hint="eastAsia" w:hAnsi="黑体"/>
          <w:kern w:val="2"/>
          <w:sz w:val="32"/>
          <w:szCs w:val="32"/>
          <w:lang w:eastAsia="zh-CN"/>
        </w:rPr>
      </w:pPr>
      <w:r>
        <w:rPr>
          <w:rFonts w:hint="eastAsia" w:hAnsi="黑体"/>
          <w:kern w:val="2"/>
          <w:sz w:val="32"/>
          <w:szCs w:val="32"/>
        </w:rPr>
        <w:t>中共壤塘县委统战部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无政府性基金预算拨款</w:t>
      </w:r>
      <w:r>
        <w:rPr>
          <w:rFonts w:hint="eastAsia" w:hAnsi="黑体"/>
          <w:kern w:val="2"/>
          <w:sz w:val="32"/>
          <w:szCs w:val="32"/>
          <w:lang w:eastAsia="zh-CN"/>
        </w:rPr>
        <w:t>。</w:t>
      </w:r>
    </w:p>
    <w:p>
      <w:pPr>
        <w:pStyle w:val="22"/>
        <w:numPr>
          <w:ilvl w:val="0"/>
          <w:numId w:val="4"/>
        </w:numPr>
        <w:spacing w:before="0" w:line="360" w:lineRule="auto"/>
        <w:ind w:left="0" w:leftChars="0" w:firstLine="0" w:firstLineChars="0"/>
        <w:outlineLvl w:val="0"/>
        <w:rPr>
          <w:rFonts w:hint="eastAsia" w:ascii="黑体" w:hAnsi="黑体" w:eastAsia="黑体" w:cs="黑体"/>
          <w:kern w:val="2"/>
          <w:sz w:val="32"/>
          <w:szCs w:val="32"/>
        </w:rPr>
      </w:pPr>
      <w:bookmarkStart w:id="12" w:name="_Toc24525"/>
      <w:r>
        <w:rPr>
          <w:rFonts w:hint="eastAsia" w:ascii="黑体" w:hAnsi="黑体" w:eastAsia="黑体" w:cs="黑体"/>
          <w:kern w:val="2"/>
          <w:sz w:val="32"/>
          <w:szCs w:val="32"/>
        </w:rPr>
        <w:t>其他重要事项的情况说明</w:t>
      </w:r>
      <w:bookmarkEnd w:id="12"/>
    </w:p>
    <w:p>
      <w:pPr>
        <w:pStyle w:val="22"/>
        <w:numPr>
          <w:ilvl w:val="0"/>
          <w:numId w:val="5"/>
        </w:numPr>
        <w:spacing w:before="0" w:line="360" w:lineRule="auto"/>
        <w:ind w:leftChars="0"/>
        <w:outlineLvl w:val="1"/>
        <w:rPr>
          <w:rFonts w:hint="eastAsia" w:ascii="楷体_GB2312" w:hAnsi="黑体" w:eastAsia="楷体_GB2312" w:cs="楷体_GB2312"/>
          <w:b/>
          <w:bCs/>
          <w:kern w:val="2"/>
          <w:sz w:val="32"/>
          <w:szCs w:val="32"/>
        </w:rPr>
      </w:pPr>
      <w:bookmarkStart w:id="13" w:name="_Toc25491"/>
      <w:r>
        <w:rPr>
          <w:rFonts w:hint="eastAsia" w:ascii="楷体_GB2312" w:hAnsi="黑体" w:eastAsia="楷体_GB2312" w:cs="楷体_GB2312"/>
          <w:b/>
          <w:bCs/>
          <w:kern w:val="2"/>
          <w:sz w:val="32"/>
          <w:szCs w:val="32"/>
        </w:rPr>
        <w:t>机关运行经费</w:t>
      </w:r>
      <w:bookmarkEnd w:id="13"/>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9"/>
        <w:rPr>
          <w:rFonts w:hint="eastAsia" w:hAnsi="黑体"/>
          <w:kern w:val="2"/>
          <w:sz w:val="32"/>
          <w:szCs w:val="32"/>
        </w:rPr>
      </w:pPr>
      <w:r>
        <w:rPr>
          <w:rFonts w:hint="eastAsia" w:hAnsi="黑体"/>
          <w:kern w:val="2"/>
          <w:sz w:val="32"/>
          <w:szCs w:val="32"/>
        </w:rPr>
        <w:t>中共壤塘县委统战部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机关运行经费财政拨款预算为34.59万元，比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w:t>
      </w:r>
      <w:r>
        <w:rPr>
          <w:rFonts w:hint="eastAsia" w:hAnsi="黑体"/>
          <w:kern w:val="2"/>
          <w:sz w:val="32"/>
          <w:szCs w:val="32"/>
          <w:lang w:val="en-US" w:eastAsia="zh-CN"/>
        </w:rPr>
        <w:t>减少</w:t>
      </w:r>
      <w:r>
        <w:rPr>
          <w:rFonts w:hint="eastAsia" w:hAnsi="黑体"/>
          <w:kern w:val="2"/>
          <w:sz w:val="32"/>
          <w:szCs w:val="32"/>
        </w:rPr>
        <w:t>0.41万元，</w:t>
      </w:r>
      <w:r>
        <w:rPr>
          <w:rFonts w:hint="eastAsia" w:hAnsi="黑体"/>
          <w:kern w:val="2"/>
          <w:sz w:val="32"/>
          <w:szCs w:val="32"/>
          <w:lang w:val="en-US" w:eastAsia="zh-CN"/>
        </w:rPr>
        <w:t>降低</w:t>
      </w:r>
      <w:r>
        <w:rPr>
          <w:rFonts w:hint="eastAsia" w:hAnsi="黑体"/>
          <w:kern w:val="2"/>
          <w:sz w:val="32"/>
          <w:szCs w:val="32"/>
        </w:rPr>
        <w:t>1.17%。</w:t>
      </w:r>
    </w:p>
    <w:p>
      <w:pPr>
        <w:pStyle w:val="22"/>
        <w:numPr>
          <w:ilvl w:val="0"/>
          <w:numId w:val="0"/>
        </w:numPr>
        <w:spacing w:before="0" w:line="360" w:lineRule="auto"/>
        <w:outlineLvl w:val="1"/>
        <w:rPr>
          <w:rFonts w:ascii="??" w:hAnsi="??" w:eastAsia="宋体" w:cs="宋体"/>
          <w:b/>
          <w:bCs/>
          <w:sz w:val="16"/>
          <w:szCs w:val="16"/>
        </w:rPr>
      </w:pPr>
      <w:bookmarkStart w:id="14" w:name="_Toc20564"/>
      <w:r>
        <w:rPr>
          <w:rFonts w:hint="eastAsia" w:ascii="楷体_GB2312" w:hAnsi="黑体" w:eastAsia="楷体_GB2312" w:cs="楷体_GB2312"/>
          <w:b/>
          <w:bCs/>
          <w:kern w:val="2"/>
          <w:sz w:val="32"/>
          <w:szCs w:val="32"/>
        </w:rPr>
        <w:t>（二）政府采购情况</w:t>
      </w:r>
      <w:bookmarkEnd w:id="14"/>
    </w:p>
    <w:p>
      <w:pPr>
        <w:pStyle w:val="2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中共壤塘县委统战部未安排政府采购预算。</w:t>
      </w:r>
    </w:p>
    <w:p>
      <w:pPr>
        <w:pStyle w:val="22"/>
        <w:spacing w:before="0" w:line="360" w:lineRule="auto"/>
        <w:outlineLvl w:val="1"/>
        <w:rPr>
          <w:rFonts w:ascii="楷体_GB2312" w:hAnsi="黑体" w:eastAsia="楷体_GB2312" w:cs="楷体_GB2312"/>
          <w:b/>
          <w:bCs/>
          <w:kern w:val="2"/>
          <w:sz w:val="32"/>
          <w:szCs w:val="32"/>
        </w:rPr>
      </w:pPr>
      <w:bookmarkStart w:id="15" w:name="_Toc14407"/>
      <w:r>
        <w:rPr>
          <w:rFonts w:hint="eastAsia" w:ascii="楷体_GB2312" w:hAnsi="黑体" w:eastAsia="楷体_GB2312" w:cs="楷体_GB2312"/>
          <w:b/>
          <w:bCs/>
          <w:kern w:val="2"/>
          <w:sz w:val="32"/>
          <w:szCs w:val="32"/>
        </w:rPr>
        <w:t>（三）国有资产占有使用情况</w:t>
      </w:r>
      <w:bookmarkEnd w:id="15"/>
    </w:p>
    <w:p>
      <w:pPr>
        <w:pStyle w:val="22"/>
        <w:spacing w:before="0" w:line="360" w:lineRule="auto"/>
        <w:ind w:firstLine="321" w:firstLineChars="10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 xml:space="preserve">  </w:t>
      </w:r>
      <w:r>
        <w:rPr>
          <w:rFonts w:hint="eastAsia" w:ascii="楷体_GB2312" w:hAnsi="黑体" w:eastAsia="楷体_GB2312" w:cs="楷体_GB2312"/>
          <w:b w:val="0"/>
          <w:bCs w:val="0"/>
          <w:kern w:val="2"/>
          <w:sz w:val="32"/>
          <w:szCs w:val="32"/>
        </w:rPr>
        <w:t>无</w:t>
      </w:r>
    </w:p>
    <w:p>
      <w:pPr>
        <w:pStyle w:val="22"/>
        <w:numPr>
          <w:ilvl w:val="0"/>
          <w:numId w:val="0"/>
        </w:numPr>
        <w:spacing w:before="0" w:line="360" w:lineRule="auto"/>
        <w:ind w:leftChars="0"/>
        <w:outlineLvl w:val="1"/>
        <w:rPr>
          <w:rFonts w:hint="eastAsia" w:ascii="楷体_GB2312" w:hAnsi="黑体" w:eastAsia="楷体_GB2312" w:cs="楷体_GB2312"/>
          <w:b/>
          <w:bCs/>
          <w:kern w:val="2"/>
          <w:sz w:val="32"/>
          <w:szCs w:val="32"/>
        </w:rPr>
      </w:pPr>
      <w:bookmarkStart w:id="16" w:name="_Toc29304"/>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四）</w:t>
      </w:r>
      <w:r>
        <w:rPr>
          <w:rFonts w:hint="eastAsia" w:ascii="楷体_GB2312" w:hAnsi="黑体" w:eastAsia="楷体_GB2312" w:cs="楷体_GB2312"/>
          <w:b/>
          <w:bCs/>
          <w:kern w:val="2"/>
          <w:sz w:val="32"/>
          <w:szCs w:val="32"/>
        </w:rPr>
        <w:t>绩效目标设置情况</w:t>
      </w:r>
      <w:bookmarkEnd w:id="16"/>
    </w:p>
    <w:p>
      <w:pPr>
        <w:pStyle w:val="2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outlineLvl w:val="9"/>
        <w:rPr>
          <w:rFonts w:hint="eastAsia" w:hAnsi="黑体"/>
          <w:kern w:val="2"/>
          <w:sz w:val="32"/>
          <w:szCs w:val="32"/>
        </w:rPr>
      </w:pP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中共壤塘县委统战部通用项目和专用项目均按要求实行绩效目标管理。</w:t>
      </w:r>
    </w:p>
    <w:p>
      <w:pPr>
        <w:pStyle w:val="22"/>
        <w:numPr>
          <w:ilvl w:val="0"/>
          <w:numId w:val="0"/>
        </w:numPr>
        <w:spacing w:before="0" w:line="360" w:lineRule="auto"/>
        <w:ind w:leftChars="0"/>
        <w:outlineLvl w:val="0"/>
        <w:rPr>
          <w:rFonts w:hint="eastAsia" w:ascii="楷体_GB2312" w:hAnsi="黑体" w:eastAsia="楷体_GB2312" w:cs="楷体_GB2312"/>
          <w:b/>
          <w:bCs/>
          <w:kern w:val="2"/>
          <w:sz w:val="32"/>
          <w:szCs w:val="32"/>
        </w:rPr>
      </w:pPr>
      <w:bookmarkStart w:id="17" w:name="_Toc14265"/>
      <w:r>
        <w:rPr>
          <w:rFonts w:hint="eastAsia" w:ascii="黑体" w:hAnsi="黑体" w:eastAsia="黑体" w:cs="黑体"/>
          <w:kern w:val="2"/>
          <w:sz w:val="32"/>
          <w:szCs w:val="32"/>
        </w:rPr>
        <w:t>十、名词解释</w:t>
      </w:r>
      <w:bookmarkEnd w:id="17"/>
    </w:p>
    <w:p>
      <w:pPr>
        <w:pStyle w:val="2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eastAsia="仿宋_GB2312"/>
          <w:lang w:eastAsia="zh-CN"/>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r>
        <w:rPr>
          <w:rFonts w:hAnsi="黑体" w:cs="Times New Roman"/>
          <w:kern w:val="2"/>
          <w:sz w:val="32"/>
          <w:szCs w:val="32"/>
        </w:rPr>
        <w:br w:type="textWrapping"/>
      </w:r>
      <w:r>
        <w:rPr>
          <w:rFonts w:hint="eastAsia" w:hAnsi="黑体"/>
          <w:kern w:val="2"/>
          <w:sz w:val="32"/>
          <w:szCs w:val="32"/>
        </w:rPr>
        <w:t>　（二）事业收入：指所属事业单位开展专业业务活动及辅助活动所取得的收入。</w:t>
      </w:r>
      <w:r>
        <w:rPr>
          <w:rFonts w:hAnsi="黑体" w:cs="Times New Roman"/>
          <w:kern w:val="2"/>
          <w:sz w:val="32"/>
          <w:szCs w:val="32"/>
        </w:rPr>
        <w:br w:type="textWrapping"/>
      </w:r>
      <w:r>
        <w:rPr>
          <w:rFonts w:hint="eastAsia" w:hAnsi="黑体"/>
          <w:kern w:val="2"/>
          <w:sz w:val="32"/>
          <w:szCs w:val="32"/>
        </w:rPr>
        <w:t>　（三）事业单位经营收入：指所属事业单位在专业业务活动及其辅助活动之外开展非独立核算经营活动取得的收入。</w:t>
      </w:r>
      <w:r>
        <w:rPr>
          <w:rFonts w:hAnsi="黑体" w:cs="Times New Roman"/>
          <w:kern w:val="2"/>
          <w:sz w:val="32"/>
          <w:szCs w:val="32"/>
        </w:rPr>
        <w:br w:type="textWrapping"/>
      </w:r>
      <w:r>
        <w:rPr>
          <w:rFonts w:hint="eastAsia" w:hAnsi="黑体"/>
          <w:kern w:val="2"/>
          <w:sz w:val="32"/>
          <w:szCs w:val="32"/>
        </w:rPr>
        <w:t>　（四）其他收入：指除上述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r>
        <w:rPr>
          <w:rFonts w:hAnsi="黑体" w:cs="Times New Roman"/>
          <w:kern w:val="2"/>
          <w:sz w:val="32"/>
          <w:szCs w:val="32"/>
        </w:rPr>
        <w:br w:type="textWrapping"/>
      </w:r>
      <w:r>
        <w:rPr>
          <w:rFonts w:hint="eastAsia" w:hAnsi="黑体"/>
          <w:kern w:val="2"/>
          <w:sz w:val="32"/>
          <w:szCs w:val="32"/>
        </w:rPr>
        <w:t>　（五）用事业基金弥补收支差额：指所属事业单位在预计用当年的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r>
        <w:rPr>
          <w:rFonts w:hAnsi="黑体" w:cs="Times New Roman"/>
          <w:kern w:val="2"/>
          <w:sz w:val="32"/>
          <w:szCs w:val="32"/>
        </w:rPr>
        <w:br w:type="textWrapping"/>
      </w:r>
      <w:r>
        <w:rPr>
          <w:rFonts w:hint="eastAsia" w:hAnsi="黑体"/>
          <w:kern w:val="2"/>
          <w:sz w:val="32"/>
          <w:szCs w:val="32"/>
        </w:rPr>
        <w:t>　（六）上年结转：指所属行政事业单位以前年度尚未完成、结转至本年按原规定用途继续使用的资金和以前年度已完成项目剩余资金经批准用于新用途使用的资金</w:t>
      </w:r>
      <w:r>
        <w:rPr>
          <w:rFonts w:hint="eastAsia" w:hAnsi="黑体"/>
          <w:kern w:val="2"/>
          <w:sz w:val="32"/>
          <w:szCs w:val="32"/>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1E94DF"/>
    <w:multiLevelType w:val="singleLevel"/>
    <w:tmpl w:val="C91E94DF"/>
    <w:lvl w:ilvl="0" w:tentative="0">
      <w:start w:val="1"/>
      <w:numFmt w:val="chineseCounting"/>
      <w:suff w:val="nothing"/>
      <w:lvlText w:val="（%1）"/>
      <w:lvlJc w:val="left"/>
      <w:rPr>
        <w:rFonts w:hint="eastAsia"/>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lvl>
    <w:lvl w:ilvl="1" w:tentative="0">
      <w:start w:val="1"/>
      <w:numFmt w:val="decimal"/>
      <w:suff w:val="space"/>
      <w:lvlText w:val="%1.%2 "/>
      <w:lvlJc w:val="left"/>
      <w:pPr>
        <w:ind w:left="794" w:hanging="794"/>
      </w:pPr>
    </w:lvl>
    <w:lvl w:ilvl="2" w:tentative="0">
      <w:start w:val="0"/>
      <w:numFmt w:val="decimal"/>
      <w:lvlText w:val=""/>
      <w:lvlJc w:val="left"/>
      <w:pPr>
        <w:tabs>
          <w:tab w:val="left" w:pos="360"/>
        </w:tabs>
      </w:pPr>
    </w:lvl>
    <w:lvl w:ilvl="3" w:tentative="0">
      <w:start w:val="0"/>
      <w:numFmt w:val="decimal"/>
      <w:lvlText w:val=""/>
      <w:lvlJc w:val="left"/>
      <w:pPr>
        <w:tabs>
          <w:tab w:val="left" w:pos="360"/>
        </w:tabs>
      </w:pPr>
    </w:lvl>
    <w:lvl w:ilvl="4" w:tentative="0">
      <w:start w:val="0"/>
      <w:numFmt w:val="decimal"/>
      <w:pStyle w:val="20"/>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62841280"/>
    <w:multiLevelType w:val="singleLevel"/>
    <w:tmpl w:val="62841280"/>
    <w:lvl w:ilvl="0" w:tentative="0">
      <w:start w:val="1"/>
      <w:numFmt w:val="chineseCounting"/>
      <w:suff w:val="nothing"/>
      <w:lvlText w:val="%1、"/>
      <w:lvlJc w:val="left"/>
      <w:rPr>
        <w:rFonts w:hint="eastAsia"/>
      </w:rPr>
    </w:lvl>
  </w:abstractNum>
  <w:abstractNum w:abstractNumId="3">
    <w:nsid w:val="64A65BA2"/>
    <w:multiLevelType w:val="singleLevel"/>
    <w:tmpl w:val="64A65BA2"/>
    <w:lvl w:ilvl="0" w:tentative="0">
      <w:start w:val="8"/>
      <w:numFmt w:val="chineseCounting"/>
      <w:suff w:val="nothing"/>
      <w:lvlText w:val="%1、"/>
      <w:lvlJc w:val="left"/>
      <w:rPr>
        <w:rFonts w:hint="eastAsia"/>
      </w:rPr>
    </w:lvl>
  </w:abstractNum>
  <w:abstractNum w:abstractNumId="4">
    <w:nsid w:val="7F6FFC6C"/>
    <w:multiLevelType w:val="singleLevel"/>
    <w:tmpl w:val="7F6FFC6C"/>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oNotHyphenateCaps/>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02FEA"/>
    <w:rsid w:val="00082EF4"/>
    <w:rsid w:val="00085137"/>
    <w:rsid w:val="00097A74"/>
    <w:rsid w:val="00105B15"/>
    <w:rsid w:val="00135794"/>
    <w:rsid w:val="001A196D"/>
    <w:rsid w:val="002026C1"/>
    <w:rsid w:val="00212DBB"/>
    <w:rsid w:val="00214C9C"/>
    <w:rsid w:val="00260082"/>
    <w:rsid w:val="00264016"/>
    <w:rsid w:val="002946BD"/>
    <w:rsid w:val="002F6713"/>
    <w:rsid w:val="00316466"/>
    <w:rsid w:val="00352854"/>
    <w:rsid w:val="003762A5"/>
    <w:rsid w:val="00382123"/>
    <w:rsid w:val="00387A26"/>
    <w:rsid w:val="003C3748"/>
    <w:rsid w:val="004103CC"/>
    <w:rsid w:val="0043059D"/>
    <w:rsid w:val="00471829"/>
    <w:rsid w:val="0047755A"/>
    <w:rsid w:val="00484AEB"/>
    <w:rsid w:val="004A7CFC"/>
    <w:rsid w:val="00527A2C"/>
    <w:rsid w:val="0059475F"/>
    <w:rsid w:val="00681CB7"/>
    <w:rsid w:val="006F18F1"/>
    <w:rsid w:val="007B3677"/>
    <w:rsid w:val="007C7CD1"/>
    <w:rsid w:val="00844940"/>
    <w:rsid w:val="00882412"/>
    <w:rsid w:val="008950EC"/>
    <w:rsid w:val="008C1FFD"/>
    <w:rsid w:val="008D3923"/>
    <w:rsid w:val="008F63EB"/>
    <w:rsid w:val="009272A9"/>
    <w:rsid w:val="009544A0"/>
    <w:rsid w:val="00986E64"/>
    <w:rsid w:val="00987B5A"/>
    <w:rsid w:val="009C5F76"/>
    <w:rsid w:val="00A55379"/>
    <w:rsid w:val="00B35F0F"/>
    <w:rsid w:val="00B713B0"/>
    <w:rsid w:val="00BB34A8"/>
    <w:rsid w:val="00BC58B3"/>
    <w:rsid w:val="00C0348B"/>
    <w:rsid w:val="00C07A8B"/>
    <w:rsid w:val="00C451EA"/>
    <w:rsid w:val="00C81368"/>
    <w:rsid w:val="00C8183B"/>
    <w:rsid w:val="00D20EAB"/>
    <w:rsid w:val="00EF71D0"/>
    <w:rsid w:val="00F30EB3"/>
    <w:rsid w:val="00F743F0"/>
    <w:rsid w:val="00F806C0"/>
    <w:rsid w:val="00F80C32"/>
    <w:rsid w:val="00FF11B9"/>
    <w:rsid w:val="09226FB6"/>
    <w:rsid w:val="21264CF0"/>
    <w:rsid w:val="23542C72"/>
    <w:rsid w:val="44833A3C"/>
    <w:rsid w:val="4D7D6439"/>
    <w:rsid w:val="52CA760B"/>
    <w:rsid w:val="577C31CD"/>
    <w:rsid w:val="61063B7E"/>
    <w:rsid w:val="658B79BE"/>
    <w:rsid w:val="6E23644B"/>
    <w:rsid w:val="71EB0F6B"/>
    <w:rsid w:val="7FE760A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13">
    <w:name w:val="Default Paragraph Font"/>
    <w:semiHidden/>
    <w:qFormat/>
    <w:uiPriority w:val="99"/>
  </w:style>
  <w:style w:type="table" w:default="1" w:styleId="11">
    <w:name w:val="Normal Table"/>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99"/>
    <w:pPr>
      <w:spacing w:line="480" w:lineRule="atLeast"/>
      <w:textAlignment w:val="baseline"/>
    </w:pPr>
    <w:rPr>
      <w:rFonts w:ascii="Arial" w:hAnsi="Arial" w:cs="Arial"/>
    </w:rPr>
  </w:style>
  <w:style w:type="paragraph" w:styleId="3">
    <w:name w:val="Body Text"/>
    <w:basedOn w:val="1"/>
    <w:semiHidden/>
    <w:unhideWhenUsed/>
    <w:qFormat/>
    <w:uiPriority w:val="99"/>
    <w:pPr>
      <w:spacing w:after="120"/>
    </w:pPr>
  </w:style>
  <w:style w:type="paragraph" w:styleId="4">
    <w:name w:val="Body Text Indent"/>
    <w:basedOn w:val="1"/>
    <w:semiHidden/>
    <w:unhideWhenUsed/>
    <w:qFormat/>
    <w:uiPriority w:val="99"/>
    <w:pPr>
      <w:spacing w:after="120"/>
      <w:ind w:left="420" w:leftChars="200"/>
    </w:pPr>
  </w:style>
  <w:style w:type="paragraph" w:styleId="5">
    <w:name w:val="footer"/>
    <w:basedOn w:val="1"/>
    <w:link w:val="18"/>
    <w:semiHidden/>
    <w:qFormat/>
    <w:uiPriority w:val="99"/>
    <w:pPr>
      <w:tabs>
        <w:tab w:val="center" w:pos="4153"/>
        <w:tab w:val="right" w:pos="8306"/>
      </w:tabs>
      <w:snapToGrid w:val="0"/>
      <w:jc w:val="left"/>
    </w:pPr>
    <w:rPr>
      <w:rFonts w:cs="Times New Roman"/>
      <w:kern w:val="0"/>
      <w:sz w:val="18"/>
      <w:szCs w:val="18"/>
    </w:rPr>
  </w:style>
  <w:style w:type="paragraph" w:styleId="6">
    <w:name w:val="header"/>
    <w:basedOn w:val="1"/>
    <w:link w:val="16"/>
    <w:semiHidden/>
    <w:qFormat/>
    <w:uiPriority w:val="99"/>
    <w:pPr>
      <w:pBdr>
        <w:bottom w:val="single" w:color="auto" w:sz="6" w:space="1"/>
      </w:pBdr>
      <w:tabs>
        <w:tab w:val="center" w:pos="4153"/>
        <w:tab w:val="right" w:pos="8306"/>
      </w:tabs>
      <w:snapToGrid w:val="0"/>
      <w:jc w:val="center"/>
    </w:pPr>
    <w:rPr>
      <w:rFonts w:cs="Times New Roman"/>
      <w:kern w:val="0"/>
      <w:sz w:val="18"/>
      <w:szCs w:val="18"/>
    </w:rPr>
  </w:style>
  <w:style w:type="paragraph" w:styleId="7">
    <w:name w:val="toc 1"/>
    <w:basedOn w:val="1"/>
    <w:next w:val="1"/>
    <w:qFormat/>
    <w:locked/>
    <w:uiPriority w:val="0"/>
  </w:style>
  <w:style w:type="paragraph" w:styleId="8">
    <w:name w:val="toc 2"/>
    <w:basedOn w:val="1"/>
    <w:next w:val="1"/>
    <w:locked/>
    <w:uiPriority w:val="0"/>
    <w:pPr>
      <w:ind w:left="420" w:leftChars="200"/>
    </w:p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0">
    <w:name w:val="Body Text First Indent 2"/>
    <w:basedOn w:val="4"/>
    <w:next w:val="3"/>
    <w:qFormat/>
    <w:uiPriority w:val="0"/>
    <w:pPr>
      <w:spacing w:after="0" w:line="600" w:lineRule="atLeast"/>
      <w:ind w:left="0" w:leftChars="0" w:firstLine="630"/>
    </w:pPr>
    <w:rPr>
      <w:rFonts w:cs="Times New Roman"/>
      <w:sz w:val="32"/>
      <w:szCs w:val="24"/>
    </w:rPr>
  </w:style>
  <w:style w:type="table" w:styleId="12">
    <w:name w:val="Table Grid"/>
    <w:basedOn w:val="11"/>
    <w:unhideWhenUsed/>
    <w:qFormat/>
    <w:locked/>
    <w:uiPriority w:val="9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99"/>
  </w:style>
  <w:style w:type="character" w:customStyle="1" w:styleId="15">
    <w:name w:val="默认段落字体1"/>
    <w:qFormat/>
    <w:uiPriority w:val="99"/>
    <w:rPr>
      <w:sz w:val="22"/>
      <w:szCs w:val="22"/>
    </w:rPr>
  </w:style>
  <w:style w:type="character" w:customStyle="1" w:styleId="16">
    <w:name w:val="页眉 Char"/>
    <w:link w:val="6"/>
    <w:semiHidden/>
    <w:qFormat/>
    <w:locked/>
    <w:uiPriority w:val="99"/>
    <w:rPr>
      <w:sz w:val="18"/>
      <w:szCs w:val="18"/>
    </w:rPr>
  </w:style>
  <w:style w:type="character" w:customStyle="1" w:styleId="17">
    <w:name w:val="NormalCharacter"/>
    <w:semiHidden/>
    <w:qFormat/>
    <w:uiPriority w:val="0"/>
  </w:style>
  <w:style w:type="character" w:customStyle="1" w:styleId="18">
    <w:name w:val="页脚 Char"/>
    <w:link w:val="5"/>
    <w:semiHidden/>
    <w:qFormat/>
    <w:locked/>
    <w:uiPriority w:val="99"/>
    <w:rPr>
      <w:sz w:val="18"/>
      <w:szCs w:val="18"/>
    </w:rPr>
  </w:style>
  <w:style w:type="paragraph" w:customStyle="1" w:styleId="19">
    <w:name w:val="UserStyle_0"/>
    <w:qFormat/>
    <w:uiPriority w:val="0"/>
    <w:pPr>
      <w:spacing w:line="300" w:lineRule="auto"/>
      <w:textAlignment w:val="baseline"/>
    </w:pPr>
    <w:rPr>
      <w:rFonts w:ascii="Arial" w:hAnsi="Arial" w:eastAsia="宋体" w:cs="Times New Roman"/>
      <w:sz w:val="21"/>
      <w:szCs w:val="21"/>
      <w:lang w:val="en-US" w:eastAsia="zh-CN" w:bidi="ar-SA"/>
    </w:rPr>
  </w:style>
  <w:style w:type="paragraph" w:customStyle="1" w:styleId="20">
    <w:name w:val="UserStyle_1"/>
    <w:basedOn w:val="1"/>
    <w:next w:val="19"/>
    <w:qFormat/>
    <w:uiPriority w:val="0"/>
    <w:pPr>
      <w:keepNext/>
      <w:keepLines/>
      <w:widowControl w:val="0"/>
      <w:numPr>
        <w:ilvl w:val="4"/>
        <w:numId w:val="1"/>
      </w:numPr>
      <w:tabs>
        <w:tab w:val="left" w:pos="3600"/>
      </w:tabs>
      <w:spacing w:before="280" w:after="156" w:line="377" w:lineRule="auto"/>
      <w:ind w:left="3600" w:hanging="360"/>
      <w:textAlignment w:val="auto"/>
    </w:pPr>
    <w:rPr>
      <w:rFonts w:ascii="Arial" w:hAnsi="Arial" w:eastAsia="黑体" w:cs="Times New Roman"/>
      <w:b/>
      <w:sz w:val="24"/>
      <w:szCs w:val="28"/>
    </w:rPr>
  </w:style>
  <w:style w:type="paragraph" w:customStyle="1" w:styleId="21">
    <w:name w:val="List Paragraph"/>
    <w:basedOn w:val="1"/>
    <w:qFormat/>
    <w:uiPriority w:val="99"/>
    <w:pPr>
      <w:ind w:firstLine="420" w:firstLineChars="200"/>
    </w:pPr>
  </w:style>
  <w:style w:type="paragraph" w:customStyle="1" w:styleId="22">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9</Pages>
  <Words>533</Words>
  <Characters>3039</Characters>
  <Lines>25</Lines>
  <Paragraphs>7</Paragraphs>
  <TotalTime>0</TotalTime>
  <ScaleCrop>false</ScaleCrop>
  <LinksUpToDate>false</LinksUpToDate>
  <CharactersWithSpaces>3565</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九八年生于南方</cp:lastModifiedBy>
  <dcterms:modified xsi:type="dcterms:W3CDTF">2022-01-19T08:56:10Z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EEB6B4EFA086440D954625B8E1B59472</vt:lpwstr>
  </property>
</Properties>
</file>