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96475"/>
      <w:bookmarkStart w:id="3" w:name="_Toc15378441"/>
      <w:bookmarkStart w:id="4" w:name="_Toc15377193"/>
      <w:bookmarkStart w:id="5" w:name="_Toc15377425"/>
      <w:r>
        <w:rPr>
          <w:rFonts w:hint="eastAsia" w:ascii="黑体" w:hAnsi="黑体" w:eastAsia="黑体"/>
          <w:sz w:val="72"/>
          <w:szCs w:val="72"/>
          <w:lang w:eastAsia="zh-CN"/>
        </w:rPr>
        <w:t>2022</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96598"/>
      <w:bookmarkStart w:id="9" w:name="_Toc15377194"/>
      <w:bookmarkStart w:id="10" w:name="_Toc15378442"/>
      <w:r>
        <w:rPr>
          <w:rFonts w:hint="eastAsia" w:ascii="方正小标宋简体" w:eastAsia="方正小标宋简体"/>
          <w:sz w:val="72"/>
          <w:szCs w:val="72"/>
        </w:rPr>
        <w:t>中共阿坝州壤塘</w:t>
      </w:r>
      <w:bookmarkEnd w:id="0"/>
      <w:bookmarkStart w:id="11" w:name="_Toc15306268"/>
      <w:r>
        <w:rPr>
          <w:rFonts w:hint="eastAsia" w:ascii="方正小标宋简体" w:eastAsia="方正小标宋简体"/>
          <w:sz w:val="72"/>
          <w:szCs w:val="72"/>
        </w:rPr>
        <w:t>县委统战部部门决算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sectPr>
          <w:headerReference r:id="rId3" w:type="default"/>
          <w:pgSz w:w="11906" w:h="16838"/>
          <w:pgMar w:top="1440" w:right="1800" w:bottom="1440" w:left="1800" w:header="851" w:footer="992" w:gutter="0"/>
          <w:pgNumType w:start="1"/>
          <w:cols w:space="425" w:num="1"/>
          <w:titlePg/>
          <w:docGrid w:type="lines" w:linePitch="312" w:charSpace="0"/>
        </w:sectPr>
      </w:pPr>
    </w:p>
    <w:p>
      <w:pPr>
        <w:pStyle w:val="15"/>
        <w:jc w:val="center"/>
        <w:rPr>
          <w:rFonts w:hint="eastAsia"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ascii="黑体" w:hAnsi="黑体" w:eastAsia="黑体"/>
          <w:color w:val="000000"/>
          <w:sz w:val="48"/>
          <w:szCs w:val="48"/>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年10月</w:t>
      </w:r>
      <w:r>
        <w:rPr>
          <w:rFonts w:hint="eastAsia" w:hAnsiTheme="minorHAnsi"/>
          <w:b w:val="0"/>
          <w:bCs w:val="0"/>
          <w:sz w:val="24"/>
          <w:szCs w:val="24"/>
          <w:lang w:val="en-US" w:eastAsia="zh-CN"/>
        </w:rPr>
        <w:t>24</w:t>
      </w:r>
      <w:r>
        <w:rPr>
          <w:rFonts w:hint="eastAsia" w:hAnsiTheme="minorHAnsi"/>
          <w:b w:val="0"/>
          <w:bCs w:val="0"/>
          <w:sz w:val="24"/>
          <w:szCs w:val="24"/>
        </w:rPr>
        <w:t>日</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bCs w:val="0"/>
        </w:rPr>
        <w:t>第一部分 部门概况</w:t>
      </w:r>
      <w:r>
        <w:tab/>
      </w:r>
      <w:r>
        <w:fldChar w:fldCharType="begin"/>
      </w:r>
      <w:r>
        <w:instrText xml:space="preserve"> PAGEREF _Toc30563 </w:instrText>
      </w:r>
      <w:r>
        <w:fldChar w:fldCharType="separate"/>
      </w:r>
      <w:r>
        <w:t>1</w:t>
      </w:r>
      <w:r>
        <w:fldChar w:fldCharType="end"/>
      </w:r>
    </w:p>
    <w:p>
      <w:pPr>
        <w:pStyle w:val="18"/>
        <w:tabs>
          <w:tab w:val="right" w:leader="dot" w:pos="8306"/>
        </w:tabs>
      </w:pPr>
      <w:r>
        <w:rPr>
          <w:rFonts w:hint="eastAsia"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_Toc6484 </w:instrText>
      </w:r>
      <w:r>
        <w:fldChar w:fldCharType="separate"/>
      </w:r>
      <w:r>
        <w:t>1</w:t>
      </w:r>
      <w:r>
        <w:fldChar w:fldCharType="end"/>
      </w:r>
    </w:p>
    <w:p>
      <w:pPr>
        <w:pStyle w:val="18"/>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_Toc28853 </w:instrText>
      </w:r>
      <w:r>
        <w:fldChar w:fldCharType="separate"/>
      </w:r>
      <w:r>
        <w:t>3</w:t>
      </w:r>
      <w:r>
        <w:fldChar w:fldCharType="end"/>
      </w:r>
    </w:p>
    <w:p>
      <w:pPr>
        <w:pStyle w:val="15"/>
        <w:tabs>
          <w:tab w:val="right" w:leader="dot" w:pos="8306"/>
        </w:tabs>
      </w:pPr>
      <w:r>
        <w:rPr>
          <w:rFonts w:hint="eastAsia" w:ascii="黑体" w:hAnsi="黑体" w:eastAsia="黑体"/>
          <w:bCs w:val="0"/>
        </w:rPr>
        <w:t>第二部分</w:t>
      </w:r>
      <w:r>
        <w:rPr>
          <w:rFonts w:ascii="黑体" w:hAnsi="黑体" w:eastAsia="黑体"/>
          <w:bCs w:val="0"/>
        </w:rPr>
        <w:t xml:space="preserve"> </w:t>
      </w:r>
      <w:r>
        <w:rPr>
          <w:rFonts w:hint="eastAsia" w:ascii="黑体" w:hAnsi="黑体" w:eastAsia="黑体"/>
          <w:bCs w:val="0"/>
          <w:lang w:eastAsia="zh-CN"/>
        </w:rPr>
        <w:t>2022</w:t>
      </w:r>
      <w:r>
        <w:rPr>
          <w:rFonts w:hint="eastAsia" w:ascii="黑体" w:hAnsi="黑体" w:eastAsia="黑体"/>
          <w:bCs w:val="0"/>
        </w:rPr>
        <w:t>年度部门决算情况说明</w:t>
      </w:r>
      <w:r>
        <w:tab/>
      </w:r>
      <w:r>
        <w:fldChar w:fldCharType="begin"/>
      </w:r>
      <w:r>
        <w:instrText xml:space="preserve"> PAGEREF _Toc11433 </w:instrText>
      </w:r>
      <w:r>
        <w:fldChar w:fldCharType="separate"/>
      </w:r>
      <w:r>
        <w:t>4</w:t>
      </w:r>
      <w:r>
        <w:fldChar w:fldCharType="end"/>
      </w:r>
    </w:p>
    <w:p>
      <w:pPr>
        <w:pStyle w:val="18"/>
        <w:tabs>
          <w:tab w:val="right" w:leader="dot" w:pos="8306"/>
        </w:tabs>
      </w:pPr>
      <w:r>
        <w:rPr>
          <w:rFonts w:hint="eastAsia" w:ascii="黑体" w:hAnsi="黑体" w:eastAsia="黑体"/>
          <w:color w:val="000000"/>
          <w:szCs w:val="32"/>
        </w:rPr>
        <w:t>一、收</w:t>
      </w:r>
      <w:r>
        <w:rPr>
          <w:rFonts w:hint="eastAsia" w:ascii="黑体" w:hAnsi="黑体" w:eastAsia="黑体"/>
        </w:rPr>
        <w:t>入支出决算总体情况说明</w:t>
      </w:r>
      <w:r>
        <w:tab/>
      </w:r>
      <w:r>
        <w:fldChar w:fldCharType="begin"/>
      </w:r>
      <w:r>
        <w:instrText xml:space="preserve"> PAGEREF _Toc1397 </w:instrText>
      </w:r>
      <w:r>
        <w:fldChar w:fldCharType="separate"/>
      </w:r>
      <w:r>
        <w:t>4</w:t>
      </w:r>
      <w:r>
        <w:fldChar w:fldCharType="end"/>
      </w:r>
    </w:p>
    <w:p>
      <w:pPr>
        <w:pStyle w:val="18"/>
        <w:tabs>
          <w:tab w:val="right" w:leader="dot" w:pos="8306"/>
        </w:tabs>
      </w:pPr>
      <w:r>
        <w:rPr>
          <w:rFonts w:hint="eastAsia" w:ascii="黑体" w:hAnsi="黑体" w:eastAsia="黑体"/>
          <w:color w:val="000000"/>
          <w:szCs w:val="32"/>
        </w:rPr>
        <w:t>二、收</w:t>
      </w:r>
      <w:r>
        <w:rPr>
          <w:rFonts w:hint="eastAsia" w:ascii="黑体" w:hAnsi="黑体" w:eastAsia="黑体"/>
        </w:rPr>
        <w:t>入决算情况说明</w:t>
      </w:r>
      <w:r>
        <w:tab/>
      </w:r>
      <w:r>
        <w:fldChar w:fldCharType="begin"/>
      </w:r>
      <w:r>
        <w:instrText xml:space="preserve"> PAGEREF _Toc7241 </w:instrText>
      </w:r>
      <w:r>
        <w:fldChar w:fldCharType="separate"/>
      </w:r>
      <w:r>
        <w:t>5</w:t>
      </w:r>
      <w:r>
        <w:fldChar w:fldCharType="end"/>
      </w:r>
    </w:p>
    <w:p>
      <w:pPr>
        <w:pStyle w:val="18"/>
        <w:tabs>
          <w:tab w:val="right" w:leader="dot" w:pos="8306"/>
        </w:tabs>
      </w:pPr>
      <w:r>
        <w:rPr>
          <w:rFonts w:hint="eastAsia" w:ascii="黑体" w:hAnsi="黑体" w:eastAsia="黑体"/>
          <w:color w:val="000000"/>
          <w:szCs w:val="32"/>
        </w:rPr>
        <w:t>三、支</w:t>
      </w:r>
      <w:r>
        <w:rPr>
          <w:rFonts w:hint="eastAsia" w:ascii="黑体" w:hAnsi="黑体" w:eastAsia="黑体"/>
        </w:rPr>
        <w:t>出决算情况说明</w:t>
      </w:r>
      <w:r>
        <w:tab/>
      </w:r>
      <w:r>
        <w:fldChar w:fldCharType="begin"/>
      </w:r>
      <w:r>
        <w:instrText xml:space="preserve"> PAGEREF _Toc24213 </w:instrText>
      </w:r>
      <w:r>
        <w:fldChar w:fldCharType="separate"/>
      </w:r>
      <w:r>
        <w:t>5</w:t>
      </w:r>
      <w:r>
        <w:fldChar w:fldCharType="end"/>
      </w:r>
    </w:p>
    <w:p>
      <w:pPr>
        <w:pStyle w:val="18"/>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_Toc1033 </w:instrText>
      </w:r>
      <w:r>
        <w:fldChar w:fldCharType="separate"/>
      </w:r>
      <w:r>
        <w:t>5</w:t>
      </w:r>
      <w:r>
        <w:fldChar w:fldCharType="end"/>
      </w:r>
    </w:p>
    <w:p>
      <w:pPr>
        <w:pStyle w:val="18"/>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_Toc3223 </w:instrText>
      </w:r>
      <w:r>
        <w:fldChar w:fldCharType="separate"/>
      </w:r>
      <w:r>
        <w:t>6</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_Toc3675 </w:instrText>
      </w:r>
      <w:r>
        <w:fldChar w:fldCharType="separate"/>
      </w:r>
      <w:r>
        <w:t>6</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_Toc25656 </w:instrText>
      </w:r>
      <w:r>
        <w:fldChar w:fldCharType="separate"/>
      </w:r>
      <w:r>
        <w:t>7</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_Toc2260 </w:instrText>
      </w:r>
      <w:r>
        <w:fldChar w:fldCharType="separate"/>
      </w:r>
      <w:r>
        <w:t>7</w:t>
      </w:r>
      <w:r>
        <w:fldChar w:fldCharType="end"/>
      </w:r>
    </w:p>
    <w:p>
      <w:pPr>
        <w:pStyle w:val="18"/>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_Toc16731 </w:instrText>
      </w:r>
      <w:r>
        <w:fldChar w:fldCharType="separate"/>
      </w:r>
      <w:r>
        <w:t>9</w:t>
      </w:r>
      <w:r>
        <w:fldChar w:fldCharType="end"/>
      </w:r>
    </w:p>
    <w:p>
      <w:pPr>
        <w:pStyle w:val="18"/>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_Toc6625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_Toc27240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_Toc2365 </w:instrText>
      </w:r>
      <w:r>
        <w:fldChar w:fldCharType="separate"/>
      </w:r>
      <w:r>
        <w:t>10</w:t>
      </w:r>
      <w:r>
        <w:fldChar w:fldCharType="end"/>
      </w:r>
    </w:p>
    <w:p>
      <w:pPr>
        <w:pStyle w:val="18"/>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_Toc24435 </w:instrText>
      </w:r>
      <w:r>
        <w:fldChar w:fldCharType="separate"/>
      </w:r>
      <w:r>
        <w:t>11</w:t>
      </w:r>
      <w:r>
        <w:fldChar w:fldCharType="end"/>
      </w:r>
    </w:p>
    <w:p>
      <w:pPr>
        <w:pStyle w:val="18"/>
        <w:tabs>
          <w:tab w:val="right" w:leader="dot" w:pos="8306"/>
        </w:tabs>
      </w:pPr>
      <w:r>
        <w:rPr>
          <w:rFonts w:hint="eastAsia" w:ascii="黑体" w:eastAsia="黑体"/>
          <w:color w:val="000000"/>
          <w:szCs w:val="32"/>
        </w:rPr>
        <w:t>九、</w:t>
      </w:r>
      <w:r>
        <w:rPr>
          <w:rFonts w:hint="eastAsia" w:ascii="黑体" w:hAnsi="黑体" w:eastAsia="黑体"/>
        </w:rPr>
        <w:t>国有资本经营预算支出决算情况说明</w:t>
      </w:r>
      <w:r>
        <w:tab/>
      </w:r>
      <w:r>
        <w:fldChar w:fldCharType="begin"/>
      </w:r>
      <w:r>
        <w:instrText xml:space="preserve"> PAGEREF _Toc22748 </w:instrText>
      </w:r>
      <w:r>
        <w:fldChar w:fldCharType="separate"/>
      </w:r>
      <w:r>
        <w:t>11</w:t>
      </w:r>
      <w:r>
        <w:fldChar w:fldCharType="end"/>
      </w:r>
    </w:p>
    <w:p>
      <w:pPr>
        <w:pStyle w:val="18"/>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_Toc31732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_Toc6758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_Toc18127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_Toc3462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_Toc27641 </w:instrText>
      </w:r>
      <w:r>
        <w:fldChar w:fldCharType="separate"/>
      </w:r>
      <w:r>
        <w:t>12</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_Toc13707 </w:instrText>
      </w:r>
      <w:r>
        <w:fldChar w:fldCharType="separate"/>
      </w:r>
      <w:r>
        <w:t>13</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_Toc29702 </w:instrText>
      </w:r>
      <w:r>
        <w:fldChar w:fldCharType="separate"/>
      </w:r>
      <w:r>
        <w:t>16</w:t>
      </w:r>
      <w:r>
        <w:fldChar w:fldCharType="end"/>
      </w:r>
    </w:p>
    <w:p>
      <w:pPr>
        <w:pStyle w:val="15"/>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_Toc18734 </w:instrText>
      </w:r>
      <w:r>
        <w:fldChar w:fldCharType="separate"/>
      </w:r>
      <w:r>
        <w:t>16</w:t>
      </w:r>
      <w:r>
        <w:fldChar w:fldCharType="end"/>
      </w:r>
    </w:p>
    <w:p>
      <w:pPr>
        <w:pStyle w:val="18"/>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_Toc12640 </w:instrText>
      </w:r>
      <w:r>
        <w:fldChar w:fldCharType="separate"/>
      </w:r>
      <w:r>
        <w:t>24</w:t>
      </w:r>
      <w:r>
        <w:fldChar w:fldCharType="end"/>
      </w:r>
    </w:p>
    <w:p>
      <w:pPr>
        <w:pStyle w:val="18"/>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_Toc13694 </w:instrText>
      </w:r>
      <w:r>
        <w:fldChar w:fldCharType="separate"/>
      </w:r>
      <w:r>
        <w:t>24</w:t>
      </w:r>
      <w:r>
        <w:fldChar w:fldCharType="end"/>
      </w:r>
    </w:p>
    <w:p>
      <w:pPr>
        <w:pStyle w:val="18"/>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_Toc22519 </w:instrText>
      </w:r>
      <w:r>
        <w:fldChar w:fldCharType="separate"/>
      </w:r>
      <w:r>
        <w:t>24</w:t>
      </w:r>
      <w:r>
        <w:fldChar w:fldCharType="end"/>
      </w:r>
    </w:p>
    <w:p>
      <w:pPr>
        <w:pStyle w:val="18"/>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_Toc30018 </w:instrText>
      </w:r>
      <w:r>
        <w:fldChar w:fldCharType="separate"/>
      </w:r>
      <w:r>
        <w:t>24</w:t>
      </w:r>
      <w:r>
        <w:fldChar w:fldCharType="end"/>
      </w:r>
    </w:p>
    <w:p>
      <w:pPr>
        <w:pStyle w:val="18"/>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_Toc7080 </w:instrText>
      </w:r>
      <w:r>
        <w:fldChar w:fldCharType="separate"/>
      </w:r>
      <w:r>
        <w:t>24</w:t>
      </w:r>
      <w:r>
        <w:fldChar w:fldCharType="end"/>
      </w:r>
    </w:p>
    <w:p>
      <w:pPr>
        <w:pStyle w:val="18"/>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_Toc18515 </w:instrText>
      </w:r>
      <w:r>
        <w:fldChar w:fldCharType="separate"/>
      </w:r>
      <w:r>
        <w:t>24</w:t>
      </w:r>
      <w:r>
        <w:fldChar w:fldCharType="end"/>
      </w:r>
    </w:p>
    <w:p>
      <w:pPr>
        <w:pStyle w:val="18"/>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_Toc21168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_Toc79163898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hint="eastAsia" w:ascii="仿宋" w:hAnsi="仿宋" w:eastAsia="仿宋"/>
          <w:lang w:val="en-US"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24</w:t>
      </w:r>
      <w:r>
        <w:fldChar w:fldCharType="end"/>
      </w:r>
    </w:p>
    <w:p>
      <w:pPr>
        <w:pStyle w:val="18"/>
        <w:tabs>
          <w:tab w:val="right" w:leader="dot" w:pos="8296"/>
        </w:tabs>
      </w:pPr>
      <w:r>
        <w:rPr>
          <w:rFonts w:ascii="仿宋" w:hAnsi="仿宋" w:eastAsia="仿宋"/>
        </w:rPr>
        <w:t>十</w:t>
      </w:r>
      <w:r>
        <w:rPr>
          <w:rFonts w:hint="eastAsia" w:ascii="仿宋" w:hAnsi="仿宋" w:eastAsia="仿宋"/>
          <w:lang w:val="en-US" w:eastAsia="zh-CN"/>
        </w:rPr>
        <w:t>二</w:t>
      </w:r>
      <w:r>
        <w:rPr>
          <w:rFonts w:ascii="仿宋" w:hAnsi="仿宋" w:eastAsia="仿宋"/>
        </w:rPr>
        <w:t>、国有资本经营预算财政拨款支出决算表</w:t>
      </w:r>
      <w:r>
        <w:tab/>
      </w:r>
      <w:r>
        <w:fldChar w:fldCharType="begin"/>
      </w:r>
      <w:r>
        <w:instrText xml:space="preserve"> PAGEREF _Toc79163899 \h </w:instrText>
      </w:r>
      <w:r>
        <w:fldChar w:fldCharType="separate"/>
      </w:r>
      <w:r>
        <w:t>24</w:t>
      </w:r>
      <w:r>
        <w:fldChar w:fldCharType="end"/>
      </w:r>
    </w:p>
    <w:p>
      <w:pPr>
        <w:pStyle w:val="18"/>
        <w:tabs>
          <w:tab w:val="right" w:leader="dot" w:pos="8296"/>
        </w:tabs>
        <w:rPr>
          <w:rFonts w:ascii="仿宋" w:hAnsi="仿宋" w:eastAsia="仿宋" w:cs="Times New Roman"/>
        </w:rPr>
      </w:pPr>
      <w:r>
        <w:rPr>
          <w:rFonts w:ascii="仿宋" w:hAnsi="仿宋" w:eastAsia="仿宋" w:cs="Times New Roman"/>
        </w:rPr>
        <w:t>十</w:t>
      </w:r>
      <w:r>
        <w:rPr>
          <w:rFonts w:hint="eastAsia" w:ascii="仿宋" w:hAnsi="仿宋" w:eastAsia="仿宋" w:cs="Times New Roman"/>
          <w:lang w:val="en-US" w:eastAsia="zh-CN"/>
        </w:rPr>
        <w:t>三</w:t>
      </w:r>
      <w:r>
        <w:rPr>
          <w:rFonts w:ascii="仿宋" w:hAnsi="仿宋" w:eastAsia="仿宋" w:cs="Times New Roman"/>
        </w:rPr>
        <w:t>、</w:t>
      </w:r>
      <w:r>
        <w:rPr>
          <w:rFonts w:hint="eastAsia" w:ascii="仿宋" w:hAnsi="仿宋" w:eastAsia="仿宋" w:cs="Times New Roman"/>
          <w:lang w:val="en-US" w:eastAsia="zh-CN"/>
        </w:rPr>
        <w:t>财政拨款“三公”经费支</w:t>
      </w:r>
      <w:r>
        <w:rPr>
          <w:rFonts w:ascii="仿宋" w:hAnsi="仿宋" w:eastAsia="仿宋" w:cs="Times New Roman"/>
        </w:rPr>
        <w:t>出决算表</w:t>
      </w:r>
      <w:r>
        <w:rPr>
          <w:rFonts w:ascii="仿宋" w:hAnsi="仿宋" w:eastAsia="仿宋" w:cs="Times New Roman"/>
        </w:rPr>
        <w:tab/>
      </w:r>
      <w:r>
        <w:rPr>
          <w:rFonts w:ascii="仿宋" w:hAnsi="仿宋" w:eastAsia="仿宋" w:cs="Times New Roman"/>
        </w:rPr>
        <w:fldChar w:fldCharType="begin"/>
      </w:r>
      <w:r>
        <w:rPr>
          <w:rFonts w:ascii="仿宋" w:hAnsi="仿宋" w:eastAsia="仿宋" w:cs="Times New Roman"/>
        </w:rPr>
        <w:instrText xml:space="preserve"> PAGEREF _Toc79163899 \h </w:instrText>
      </w:r>
      <w:r>
        <w:rPr>
          <w:rFonts w:ascii="仿宋" w:hAnsi="仿宋" w:eastAsia="仿宋" w:cs="Times New Roman"/>
        </w:rPr>
        <w:fldChar w:fldCharType="separate"/>
      </w:r>
      <w:r>
        <w:rPr>
          <w:rFonts w:ascii="仿宋" w:hAnsi="仿宋" w:eastAsia="仿宋" w:cs="Times New Roman"/>
        </w:rPr>
        <w:t>24</w:t>
      </w:r>
      <w:r>
        <w:rPr>
          <w:rFonts w:ascii="仿宋" w:hAnsi="仿宋" w:eastAsia="仿宋" w:cs="Times New Roman"/>
        </w:rPr>
        <w:fldChar w:fldCharType="end"/>
      </w:r>
    </w:p>
    <w:p>
      <w:pPr>
        <w:widowControl/>
        <w:spacing w:line="440" w:lineRule="exact"/>
        <w:jc w:val="left"/>
        <w:rPr>
          <w:rFonts w:asciiTheme="minorHAnsi" w:eastAsiaTheme="minorHAnsi"/>
          <w:bCs/>
          <w:caps/>
          <w:szCs w:val="20"/>
        </w:rPr>
      </w:pPr>
      <w:r>
        <w:rPr>
          <w:rFonts w:asciiTheme="minorHAnsi" w:eastAsiaTheme="minorHAnsi"/>
          <w:bCs/>
          <w:caps/>
          <w:szCs w:val="20"/>
        </w:rPr>
        <w:fldChar w:fldCharType="end"/>
      </w:r>
      <w:bookmarkStart w:id="12" w:name="_Toc15396599"/>
      <w:bookmarkStart w:id="13" w:name="_Toc15377196"/>
    </w:p>
    <w:p>
      <w:pPr>
        <w:pStyle w:val="26"/>
        <w:rPr>
          <w:rFonts w:asciiTheme="minorHAnsi" w:eastAsiaTheme="minorHAnsi"/>
          <w:bCs/>
          <w:caps/>
          <w:szCs w:val="20"/>
        </w:rPr>
      </w:pPr>
    </w:p>
    <w:p>
      <w:pPr>
        <w:pStyle w:val="26"/>
        <w:rPr>
          <w:rFonts w:asciiTheme="minorHAnsi" w:eastAsiaTheme="minorHAnsi"/>
          <w:bCs/>
          <w:caps/>
          <w:szCs w:val="20"/>
        </w:rPr>
      </w:pPr>
    </w:p>
    <w:p>
      <w:pPr>
        <w:pStyle w:val="3"/>
        <w:numPr>
          <w:numId w:val="0"/>
        </w:numPr>
        <w:spacing w:before="0" w:after="0" w:line="560" w:lineRule="exact"/>
        <w:ind w:firstLine="2200" w:firstLineChars="500"/>
        <w:jc w:val="both"/>
        <w:rPr>
          <w:rStyle w:val="27"/>
          <w:rFonts w:ascii="黑体" w:hAnsi="黑体" w:eastAsia="黑体"/>
          <w:b w:val="0"/>
          <w:bCs w:val="0"/>
        </w:rPr>
      </w:pPr>
      <w:bookmarkStart w:id="14" w:name="_Toc79163601"/>
      <w:bookmarkStart w:id="15" w:name="_Toc30563"/>
      <w:r>
        <w:rPr>
          <w:rStyle w:val="27"/>
          <w:rFonts w:hint="eastAsia" w:ascii="黑体" w:hAnsi="黑体" w:eastAsia="黑体"/>
          <w:b w:val="0"/>
          <w:bCs w:val="0"/>
          <w:lang w:eastAsia="zh-CN"/>
        </w:rPr>
        <w:t>第一部分</w:t>
      </w:r>
      <w:r>
        <w:rPr>
          <w:rStyle w:val="27"/>
          <w:rFonts w:hint="eastAsia" w:ascii="黑体" w:hAnsi="黑体" w:eastAsia="黑体"/>
          <w:b w:val="0"/>
          <w:bCs w:val="0"/>
          <w:lang w:val="en-US" w:eastAsia="zh-CN"/>
        </w:rPr>
        <w:t xml:space="preserve"> </w:t>
      </w:r>
      <w:r>
        <w:rPr>
          <w:rStyle w:val="27"/>
          <w:rFonts w:hint="eastAsia" w:ascii="黑体" w:hAnsi="黑体" w:eastAsia="黑体"/>
          <w:b w:val="0"/>
          <w:bCs w:val="0"/>
        </w:rPr>
        <w:t>部门概况</w:t>
      </w:r>
      <w:bookmarkEnd w:id="12"/>
      <w:bookmarkEnd w:id="13"/>
      <w:bookmarkEnd w:id="14"/>
      <w:bookmarkEnd w:id="15"/>
    </w:p>
    <w:p>
      <w:pPr>
        <w:rPr>
          <w:sz w:val="32"/>
          <w:szCs w:val="32"/>
        </w:rPr>
      </w:pPr>
    </w:p>
    <w:p>
      <w:pPr>
        <w:pStyle w:val="4"/>
        <w:spacing w:before="0" w:after="0" w:line="560" w:lineRule="exact"/>
        <w:rPr>
          <w:rStyle w:val="28"/>
          <w:rFonts w:ascii="仿宋" w:hAnsi="仿宋" w:eastAsia="仿宋"/>
          <w:b w:val="0"/>
          <w:bCs w:val="0"/>
        </w:rPr>
      </w:pPr>
      <w:bookmarkStart w:id="16" w:name="_Toc15377197"/>
      <w:bookmarkStart w:id="17" w:name="_Toc15396600"/>
      <w:bookmarkStart w:id="18" w:name="_Toc79163602"/>
      <w:r>
        <w:rPr>
          <w:rFonts w:hint="eastAsia" w:ascii="黑体" w:hAnsi="黑体" w:eastAsia="黑体"/>
          <w:b w:val="0"/>
          <w:color w:val="000000"/>
        </w:rPr>
        <w:t xml:space="preserve">     </w:t>
      </w:r>
      <w:bookmarkStart w:id="19" w:name="_Toc6484"/>
      <w:r>
        <w:rPr>
          <w:rFonts w:hint="eastAsia" w:ascii="黑体" w:hAnsi="黑体" w:eastAsia="黑体"/>
          <w:b w:val="0"/>
          <w:color w:val="000000"/>
        </w:rPr>
        <w:t>一、</w:t>
      </w:r>
      <w:r>
        <w:rPr>
          <w:rFonts w:hint="eastAsia" w:ascii="黑体" w:hAnsi="黑体" w:eastAsia="黑体"/>
          <w:b w:val="0"/>
          <w:color w:val="000000"/>
          <w:lang w:val="en-US" w:eastAsia="zh-CN"/>
        </w:rPr>
        <w:t>部门职责</w:t>
      </w:r>
      <w:bookmarkEnd w:id="16"/>
      <w:bookmarkEnd w:id="17"/>
      <w:bookmarkEnd w:id="18"/>
      <w:bookmarkEnd w:id="19"/>
    </w:p>
    <w:p>
      <w:pPr>
        <w:widowControl/>
        <w:spacing w:line="480" w:lineRule="auto"/>
        <w:ind w:firstLine="480"/>
        <w:jc w:val="left"/>
        <w:rPr>
          <w:rFonts w:ascii="仿宋_GB2312" w:hAnsi="仿宋" w:eastAsia="仿宋_GB2312"/>
          <w:kern w:val="0"/>
          <w:sz w:val="32"/>
          <w:szCs w:val="32"/>
          <w:lang w:val="zh-CN"/>
        </w:rPr>
      </w:pPr>
      <w:bookmarkStart w:id="20" w:name="_Toc15378446"/>
      <w:bookmarkStart w:id="21" w:name="_Toc15377199"/>
      <w:bookmarkStart w:id="22" w:name="_Toc79163604"/>
      <w:r>
        <w:rPr>
          <w:rFonts w:hint="eastAsia" w:ascii="仿宋_GB2312" w:hAnsi="仿宋" w:eastAsia="仿宋_GB2312"/>
          <w:kern w:val="0"/>
          <w:sz w:val="32"/>
          <w:szCs w:val="32"/>
          <w:lang w:val="zh-CN"/>
        </w:rPr>
        <w:t>县委统战部是县委主管统一战线工作的职能部门，是县委在统战工作方面的参谋和助手，主要职责是：</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1）组织贯彻执行中央、省委、州委、县委关于统一战线的方针政策，调查研究统一战线的理论和政策，向县委反映统一战线全面情况，提出开展统战工作的意见和建议；负责协调、监督、检查全县统一战线工作；检查统战政策执行情况，牵头协调处理统战工作中的重大问题和组织统一战线的重大活动。</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（2）负责调查研究、协调检查全县有关民族和宗教工作重大方针、政策的贯彻执行；联系少数民族和宗教界的代表人物；协助有关部门做好少数民族干部的培养和举荐工作；提出民族、宗教工作的政策建议。</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3）负责联系全县党外代表人士，及时通报情况，了解和反映他们的意见和建议；研究、贯彻、督促、检查中国共产党领导的多党合作和政治协商制度及发挥人民代表、政协委员参政议政的民主监督作用的工作；负责党外人士的政治安排，会同有关部门做好培养、考察、选拔、推荐、安排党外人士担任政府和司法机关领导职务的工作，做好党外后备干部和新的代表人物队伍的建设工作；指导有关统战团体和人民团体的统战工作。</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（4）调查研究全县党外知识分子的情况，反映意见，协调关系，提出政策建议；联系并培养党外知识分子代表人物。</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5）调查研究并反映我县民营经济、非公有制经济、新阶层代表人士的情况，协调关系，提出政策性建议；团结、帮助、引导、教育民营经济、非公有制经济、新阶层代表人士，积极开展思想政治工作；组织和推动社会各界、工商联及统一战线各个方面积极为经济建设服务；领导县工商联党组，指导县工商联工作。</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6）贯彻执行中央、省和州关于对国外藏胞工作的方针、政策，结合我县实际提出实施意见并组织实施；负责接待和管理来我县探访的国外藏胞；负责安置回国定居藏胞并配合有关部门加强对他们的教育和管理工作；负责对国外藏胞及其亲属的宣传教育工作；组织动员国外藏胞为我县经济、教育、文化和卫生事业发展服务。</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7）调查研究寺庙管理的理论和政策，向县委、县政府反映寺庙管理的全面情况，提出开展寺庙管理工作的意见和建议；负责协调、监督、指导全县寺庙管理工作；检查寺庙管理政策执行情况，牵头、协调、指导寺庙管理工作中的相关问题和活动。</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负责牵头、协调、指导寺庙管理机构履行宗教事务工作相关职责；统筹协调4个寺庙管理委员会、县民宗局、县佛协、县工商联。</w:t>
      </w:r>
    </w:p>
    <w:p>
      <w:pPr>
        <w:widowControl/>
        <w:spacing w:line="480" w:lineRule="auto"/>
        <w:ind w:firstLine="480"/>
        <w:jc w:val="left"/>
        <w:rPr>
          <w:rFonts w:ascii="仿宋_GB2312" w:hAnsi="仿宋" w:eastAsia="仿宋_GB2312"/>
          <w:kern w:val="0"/>
          <w:sz w:val="32"/>
          <w:szCs w:val="32"/>
          <w:lang w:val="zh-CN"/>
        </w:rPr>
      </w:pPr>
      <w:r>
        <w:rPr>
          <w:rFonts w:hint="eastAsia" w:ascii="仿宋_GB2312" w:hAnsi="仿宋" w:eastAsia="仿宋_GB2312"/>
          <w:kern w:val="0"/>
          <w:sz w:val="32"/>
          <w:szCs w:val="32"/>
          <w:lang w:val="zh-CN"/>
        </w:rPr>
        <w:t>（8）完成州委统战部、县委交办的其他任务。</w:t>
      </w:r>
    </w:p>
    <w:bookmarkEnd w:id="20"/>
    <w:bookmarkEnd w:id="21"/>
    <w:bookmarkEnd w:id="22"/>
    <w:p>
      <w:pPr>
        <w:pStyle w:val="4"/>
        <w:spacing w:before="0" w:after="0" w:line="560" w:lineRule="exact"/>
        <w:rPr>
          <w:rStyle w:val="28"/>
          <w:b w:val="0"/>
          <w:bCs w:val="0"/>
        </w:rPr>
      </w:pPr>
      <w:bookmarkStart w:id="23" w:name="_Toc15396601"/>
      <w:bookmarkStart w:id="24" w:name="_Toc15377200"/>
      <w:bookmarkStart w:id="25" w:name="_Toc79163605"/>
      <w:r>
        <w:rPr>
          <w:rFonts w:hint="eastAsia" w:ascii="黑体" w:eastAsia="黑体"/>
          <w:b w:val="0"/>
          <w:color w:val="000000"/>
        </w:rPr>
        <w:t xml:space="preserve">    </w:t>
      </w:r>
      <w:bookmarkStart w:id="26" w:name="_Toc28853"/>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3"/>
      <w:bookmarkEnd w:id="24"/>
      <w:bookmarkEnd w:id="25"/>
      <w:bookmarkEnd w:id="26"/>
    </w:p>
    <w:p>
      <w:pPr>
        <w:pStyle w:val="2"/>
        <w:adjustRightInd w:val="0"/>
        <w:snapToGrid w:val="0"/>
        <w:spacing w:beforeLines="0" w:line="560" w:lineRule="atLeast"/>
        <w:ind w:firstLine="640" w:firstLineChars="200"/>
        <w:rPr>
          <w:rFonts w:hint="eastAsia" w:hAnsi="仿宋"/>
          <w:sz w:val="32"/>
          <w:szCs w:val="32"/>
        </w:rPr>
        <w:sectPr>
          <w:footerReference r:id="rId4" w:type="default"/>
          <w:pgSz w:w="11906" w:h="16838"/>
          <w:pgMar w:top="1440" w:right="1800" w:bottom="1440" w:left="1800" w:header="851" w:footer="992" w:gutter="0"/>
          <w:pgNumType w:start="1"/>
          <w:cols w:space="425" w:num="1"/>
          <w:docGrid w:type="lines" w:linePitch="312" w:charSpace="0"/>
        </w:sectPr>
      </w:pPr>
      <w:r>
        <w:rPr>
          <w:rFonts w:hint="eastAsia" w:hAnsi="仿宋"/>
          <w:sz w:val="32"/>
          <w:szCs w:val="32"/>
        </w:rPr>
        <w:t>中共四川省阿坝州壤塘县委统战部</w:t>
      </w:r>
      <w:r>
        <w:rPr>
          <w:rFonts w:hAnsi="仿宋"/>
          <w:sz w:val="32"/>
          <w:szCs w:val="32"/>
        </w:rPr>
        <w:t>为一级预算单位，基本性质为</w:t>
      </w:r>
      <w:r>
        <w:rPr>
          <w:rFonts w:hint="eastAsia" w:hAnsi="仿宋"/>
          <w:sz w:val="32"/>
          <w:szCs w:val="32"/>
          <w:lang w:val="en-US"/>
        </w:rPr>
        <w:t>行政</w:t>
      </w:r>
      <w:r>
        <w:rPr>
          <w:rFonts w:hAnsi="仿宋"/>
          <w:sz w:val="32"/>
          <w:szCs w:val="32"/>
        </w:rPr>
        <w:t>单位</w:t>
      </w:r>
      <w:r>
        <w:rPr>
          <w:rFonts w:hint="eastAsia" w:hAnsi="仿宋"/>
          <w:sz w:val="32"/>
          <w:szCs w:val="32"/>
        </w:rPr>
        <w:t>。</w:t>
      </w:r>
    </w:p>
    <w:p>
      <w:pPr>
        <w:pStyle w:val="2"/>
        <w:adjustRightInd w:val="0"/>
        <w:snapToGrid w:val="0"/>
        <w:spacing w:beforeLines="0" w:line="560" w:lineRule="atLeast"/>
        <w:ind w:firstLine="640" w:firstLineChars="200"/>
        <w:rPr>
          <w:rFonts w:hint="eastAsia" w:hAnsi="仿宋"/>
          <w:sz w:val="32"/>
          <w:szCs w:val="32"/>
        </w:rPr>
      </w:pPr>
    </w:p>
    <w:p>
      <w:pPr>
        <w:widowControl/>
        <w:jc w:val="center"/>
        <w:rPr>
          <w:sz w:val="32"/>
          <w:szCs w:val="40"/>
        </w:rPr>
      </w:pPr>
      <w:bookmarkStart w:id="27" w:name="_Toc15396602"/>
      <w:bookmarkStart w:id="28" w:name="_Toc79163609"/>
      <w:bookmarkStart w:id="29" w:name="_Toc15377204"/>
      <w:bookmarkStart w:id="30" w:name="_Toc11433"/>
      <w:r>
        <w:rPr>
          <w:rStyle w:val="27"/>
          <w:rFonts w:hint="eastAsia" w:ascii="黑体" w:hAnsi="黑体" w:eastAsia="黑体"/>
          <w:b w:val="0"/>
          <w:bCs w:val="0"/>
        </w:rPr>
        <w:t>第二部分</w:t>
      </w:r>
      <w:r>
        <w:rPr>
          <w:rStyle w:val="27"/>
          <w:rFonts w:ascii="黑体" w:hAnsi="黑体" w:eastAsia="黑体"/>
          <w:b w:val="0"/>
          <w:bCs w:val="0"/>
        </w:rPr>
        <w:t xml:space="preserve"> </w:t>
      </w:r>
      <w:r>
        <w:rPr>
          <w:rStyle w:val="27"/>
          <w:rFonts w:hint="eastAsia" w:ascii="黑体" w:hAnsi="黑体" w:eastAsia="黑体"/>
          <w:b w:val="0"/>
          <w:bCs w:val="0"/>
          <w:lang w:eastAsia="zh-CN"/>
        </w:rPr>
        <w:t>2022</w:t>
      </w:r>
      <w:r>
        <w:rPr>
          <w:rStyle w:val="27"/>
          <w:rFonts w:hint="eastAsia" w:ascii="黑体" w:hAnsi="黑体" w:eastAsia="黑体"/>
          <w:b w:val="0"/>
          <w:bCs w:val="0"/>
        </w:rPr>
        <w:t>年度部门决算情况说明</w:t>
      </w:r>
      <w:bookmarkEnd w:id="27"/>
      <w:bookmarkEnd w:id="28"/>
      <w:bookmarkEnd w:id="29"/>
      <w:bookmarkEnd w:id="30"/>
    </w:p>
    <w:p>
      <w:pPr>
        <w:pStyle w:val="38"/>
        <w:spacing w:line="600" w:lineRule="exact"/>
        <w:ind w:firstLine="640"/>
        <w:outlineLvl w:val="1"/>
        <w:rPr>
          <w:rStyle w:val="28"/>
          <w:rFonts w:ascii="黑体" w:hAnsi="黑体" w:eastAsia="黑体"/>
          <w:b w:val="0"/>
        </w:rPr>
      </w:pPr>
      <w:bookmarkStart w:id="31" w:name="_Toc15396603"/>
      <w:bookmarkStart w:id="32" w:name="_Toc15377205"/>
      <w:bookmarkStart w:id="33" w:name="_Toc1397"/>
      <w:bookmarkStart w:id="34" w:name="_Toc79163610"/>
      <w:r>
        <w:rPr>
          <w:rFonts w:hint="eastAsia" w:ascii="黑体" w:hAnsi="黑体" w:eastAsia="黑体"/>
          <w:color w:val="000000"/>
          <w:sz w:val="32"/>
          <w:szCs w:val="32"/>
        </w:rPr>
        <w:t>一、收</w:t>
      </w:r>
      <w:r>
        <w:rPr>
          <w:rStyle w:val="28"/>
          <w:rFonts w:hint="eastAsia" w:ascii="黑体" w:hAnsi="黑体" w:eastAsia="黑体"/>
          <w:b w:val="0"/>
        </w:rPr>
        <w:t>入支出决算总体情况说明</w:t>
      </w:r>
      <w:bookmarkEnd w:id="31"/>
      <w:bookmarkEnd w:id="32"/>
      <w:bookmarkEnd w:id="33"/>
      <w:bookmarkEnd w:id="34"/>
    </w:p>
    <w:p>
      <w:pPr>
        <w:spacing w:line="600" w:lineRule="exact"/>
        <w:ind w:firstLine="640" w:firstLineChars="200"/>
        <w:rPr>
          <w:rFonts w:ascii="仿宋" w:hAnsi="仿宋" w:eastAsia="仿宋"/>
          <w:color w:val="000000"/>
          <w:szCs w:val="32"/>
        </w:rPr>
      </w:pPr>
      <w:r>
        <w:rPr>
          <w:rFonts w:hint="eastAsia" w:ascii="仿宋" w:hAnsi="仿宋" w:eastAsia="仿宋" w:cs="仿宋"/>
          <w:color w:val="000000"/>
          <w:kern w:val="2"/>
          <w:sz w:val="32"/>
          <w:szCs w:val="32"/>
          <w:lang w:val="en-US" w:eastAsia="zh-CN" w:bidi="ar"/>
        </w:rPr>
        <w:t>2022年度收入总计615.94元，支出总计615.94万元；与2021年相比，收入增加179.58万元，增长41.15%，支出增加98.18万元，增18.96%。主要变动原因：本年度项目增多，项目收支增加</w:t>
      </w:r>
      <w:r>
        <w:rPr>
          <w:rFonts w:hint="eastAsia" w:ascii="仿宋" w:hAnsi="仿宋" w:eastAsia="仿宋"/>
          <w:color w:val="000000"/>
          <w:sz w:val="32"/>
          <w:szCs w:val="32"/>
        </w:rPr>
        <w:t>。</w:t>
      </w:r>
    </w:p>
    <w:p>
      <w:pPr>
        <w:pStyle w:val="8"/>
        <w:ind w:left="0" w:leftChars="0" w:firstLine="0" w:firstLineChars="0"/>
        <w:jc w:val="both"/>
        <w:rPr>
          <w:rFonts w:hint="eastAsia"/>
          <w:lang w:val="en-US" w:eastAsia="zh-CN"/>
        </w:rPr>
      </w:pPr>
      <w:r>
        <w:drawing>
          <wp:inline distT="0" distB="0" distL="114300" distR="114300">
            <wp:extent cx="5058410" cy="2717165"/>
            <wp:effectExtent l="4445" t="4445" r="23495" b="21590"/>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lang w:val="en-US" w:eastAsia="zh-CN"/>
        </w:rPr>
        <w:t xml:space="preserve"> </w:t>
      </w:r>
    </w:p>
    <w:p>
      <w:pPr>
        <w:pStyle w:val="8"/>
        <w:jc w:val="center"/>
        <w:rPr>
          <w:rFonts w:ascii="仿宋" w:hAnsi="仿宋" w:eastAsia="仿宋"/>
          <w:color w:val="000000"/>
          <w:szCs w:val="32"/>
        </w:rPr>
      </w:pPr>
      <w:r>
        <w:rPr>
          <w:rFonts w:hint="eastAsia"/>
          <w:lang w:val="en-US" w:eastAsia="zh-CN"/>
        </w:rPr>
        <w:t xml:space="preserve">    </w:t>
      </w:r>
      <w:r>
        <w:drawing>
          <wp:inline distT="0" distB="0" distL="114300" distR="114300">
            <wp:extent cx="4914265" cy="2366010"/>
            <wp:effectExtent l="4445" t="4445" r="15240" b="10795"/>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1280" w:firstLineChars="4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38"/>
        <w:spacing w:line="600" w:lineRule="exact"/>
        <w:ind w:left="640" w:firstLine="0" w:firstLineChars="0"/>
        <w:outlineLvl w:val="1"/>
        <w:rPr>
          <w:rStyle w:val="28"/>
          <w:rFonts w:ascii="黑体" w:hAnsi="黑体" w:eastAsia="黑体"/>
          <w:b w:val="0"/>
        </w:rPr>
      </w:pPr>
      <w:bookmarkStart w:id="35" w:name="_Toc7241"/>
      <w:bookmarkStart w:id="36" w:name="_Toc15377206"/>
      <w:bookmarkStart w:id="37" w:name="_Toc79163611"/>
      <w:bookmarkStart w:id="38" w:name="_Toc15396604"/>
      <w:r>
        <w:rPr>
          <w:rFonts w:hint="eastAsia" w:ascii="黑体" w:hAnsi="黑体" w:eastAsia="黑体"/>
          <w:color w:val="000000"/>
          <w:sz w:val="32"/>
          <w:szCs w:val="32"/>
        </w:rPr>
        <w:t>二、收</w:t>
      </w:r>
      <w:r>
        <w:rPr>
          <w:rStyle w:val="28"/>
          <w:rFonts w:hint="eastAsia" w:ascii="黑体" w:hAnsi="黑体" w:eastAsia="黑体"/>
          <w:b w:val="0"/>
        </w:rPr>
        <w:t>入决算情况说明</w:t>
      </w:r>
      <w:bookmarkEnd w:id="35"/>
      <w:bookmarkEnd w:id="36"/>
      <w:bookmarkEnd w:id="37"/>
      <w:bookmarkEnd w:id="3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年本年收入合计</w:t>
      </w:r>
      <w:r>
        <w:rPr>
          <w:rFonts w:hint="eastAsia" w:ascii="仿宋" w:hAnsi="仿宋" w:eastAsia="仿宋"/>
          <w:color w:val="000000"/>
          <w:sz w:val="32"/>
          <w:szCs w:val="32"/>
          <w:lang w:eastAsia="zh-CN"/>
        </w:rPr>
        <w:t>615.94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615.94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1" locked="0" layoutInCell="1" allowOverlap="1">
            <wp:simplePos x="0" y="0"/>
            <wp:positionH relativeFrom="column">
              <wp:posOffset>727710</wp:posOffset>
            </wp:positionH>
            <wp:positionV relativeFrom="paragraph">
              <wp:posOffset>83820</wp:posOffset>
            </wp:positionV>
            <wp:extent cx="3933825" cy="1959610"/>
            <wp:effectExtent l="4445" t="4445" r="5080" b="1714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8"/>
        <w:spacing w:line="600" w:lineRule="exact"/>
        <w:ind w:left="640" w:firstLine="0" w:firstLineChars="0"/>
        <w:outlineLvl w:val="1"/>
        <w:rPr>
          <w:rStyle w:val="28"/>
          <w:rFonts w:ascii="黑体" w:hAnsi="黑体" w:eastAsia="黑体"/>
          <w:b w:val="0"/>
        </w:rPr>
      </w:pPr>
      <w:bookmarkStart w:id="39" w:name="_Toc15377207"/>
      <w:bookmarkStart w:id="40" w:name="_Toc15396605"/>
      <w:bookmarkStart w:id="41" w:name="_Toc79163612"/>
      <w:bookmarkStart w:id="42" w:name="_Toc24213"/>
      <w:r>
        <w:rPr>
          <w:rFonts w:hint="eastAsia" w:ascii="黑体" w:hAnsi="黑体" w:eastAsia="黑体"/>
          <w:color w:val="000000"/>
          <w:sz w:val="32"/>
          <w:szCs w:val="32"/>
        </w:rPr>
        <w:t>三、支</w:t>
      </w:r>
      <w:r>
        <w:rPr>
          <w:rStyle w:val="28"/>
          <w:rFonts w:hint="eastAsia" w:ascii="黑体" w:hAnsi="黑体" w:eastAsia="黑体"/>
          <w:b w:val="0"/>
        </w:rPr>
        <w:t>出决算情况说明</w:t>
      </w:r>
      <w:bookmarkEnd w:id="39"/>
      <w:bookmarkEnd w:id="40"/>
      <w:bookmarkEnd w:id="41"/>
      <w:bookmarkEnd w:id="42"/>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年本年支出合计</w:t>
      </w:r>
      <w:r>
        <w:rPr>
          <w:rFonts w:hint="eastAsia" w:ascii="仿宋_GB2312" w:eastAsia="仿宋_GB2312"/>
          <w:sz w:val="32"/>
          <w:szCs w:val="32"/>
          <w:lang w:eastAsia="zh-CN"/>
        </w:rPr>
        <w:t>615.94</w:t>
      </w:r>
      <w:r>
        <w:rPr>
          <w:rFonts w:hint="eastAsia" w:ascii="仿宋_GB2312" w:eastAsia="仿宋_GB2312"/>
          <w:sz w:val="32"/>
          <w:szCs w:val="32"/>
        </w:rPr>
        <w:t>万元，其中：基本支出298.80万元，占48.51%；项目支出317.14万元，占51.49%；</w:t>
      </w:r>
    </w:p>
    <w:p>
      <w:pPr>
        <w:pStyle w:val="8"/>
        <w:rPr>
          <w:rFonts w:ascii="仿宋" w:hAnsi="仿宋" w:eastAsia="仿宋"/>
          <w:color w:val="000000"/>
          <w:szCs w:val="32"/>
          <w:shd w:val="pct10" w:color="auto" w:fill="FFFFFF"/>
        </w:rPr>
      </w:pPr>
      <w:r>
        <w:drawing>
          <wp:inline distT="0" distB="0" distL="114300" distR="114300">
            <wp:extent cx="4107180" cy="2070735"/>
            <wp:effectExtent l="4445" t="4445" r="22225" b="20320"/>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2240" w:firstLineChars="7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8"/>
          <w:rFonts w:ascii="黑体" w:hAnsi="黑体" w:eastAsia="黑体"/>
          <w:b w:val="0"/>
        </w:rPr>
      </w:pPr>
      <w:bookmarkStart w:id="43" w:name="_Toc1033"/>
      <w:bookmarkStart w:id="44" w:name="_Toc15396606"/>
      <w:bookmarkStart w:id="45" w:name="_Toc79163613"/>
      <w:bookmarkStart w:id="46"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3"/>
      <w:bookmarkEnd w:id="44"/>
      <w:bookmarkEnd w:id="45"/>
      <w:bookmarkEnd w:id="46"/>
    </w:p>
    <w:p>
      <w:pPr>
        <w:spacing w:line="600" w:lineRule="exact"/>
        <w:ind w:firstLine="640"/>
        <w:rPr>
          <w:rFonts w:ascii="仿宋" w:hAnsi="仿宋" w:eastAsia="仿宋"/>
          <w:color w:val="000000"/>
          <w:sz w:val="32"/>
          <w:szCs w:val="32"/>
        </w:rPr>
      </w:pPr>
      <w:r>
        <w:rPr>
          <w:rFonts w:hint="eastAsia" w:ascii="仿宋" w:hAnsi="仿宋" w:eastAsia="仿宋" w:cs="仿宋"/>
          <w:color w:val="000000"/>
          <w:kern w:val="2"/>
          <w:sz w:val="32"/>
          <w:szCs w:val="32"/>
          <w:lang w:val="en-US" w:eastAsia="zh-CN" w:bidi="ar"/>
        </w:rPr>
        <w:t>2022年度财政拨款收入总计615.94元，财政拨款支出总计615.94万元；与2021年相比，财政拨款收入增加179.58万元，增长41.15%，财政拨款支出增加98.18万元，增18.96%。主要变动原因：本年度项目增多，项目收支增加</w:t>
      </w:r>
      <w:r>
        <w:rPr>
          <w:rFonts w:hint="eastAsia" w:ascii="仿宋" w:hAnsi="仿宋" w:eastAsia="仿宋"/>
          <w:color w:val="000000"/>
          <w:sz w:val="32"/>
          <w:szCs w:val="32"/>
        </w:rPr>
        <w:t>。</w:t>
      </w:r>
    </w:p>
    <w:p>
      <w:pPr>
        <w:pStyle w:val="8"/>
        <w:jc w:val="both"/>
      </w:pPr>
      <w:r>
        <w:drawing>
          <wp:inline distT="0" distB="0" distL="114300" distR="114300">
            <wp:extent cx="4208780" cy="2156460"/>
            <wp:effectExtent l="4445" t="4445" r="15875" b="1079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8"/>
        <w:jc w:val="both"/>
        <w:rPr>
          <w:rFonts w:ascii="仿宋" w:hAnsi="仿宋" w:eastAsia="仿宋"/>
          <w:color w:val="000000"/>
          <w:szCs w:val="32"/>
        </w:rPr>
      </w:pPr>
      <w:r>
        <w:drawing>
          <wp:inline distT="0" distB="0" distL="114300" distR="114300">
            <wp:extent cx="4339590" cy="2025650"/>
            <wp:effectExtent l="4445" t="4445" r="18415" b="8255"/>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7" w:name="_Toc15377209"/>
      <w:bookmarkStart w:id="48" w:name="_Toc79163614"/>
      <w:bookmarkStart w:id="49" w:name="_Toc15396607"/>
      <w:bookmarkStart w:id="50" w:name="_Toc322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7"/>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79163615"/>
      <w:bookmarkStart w:id="52" w:name="_Toc15377210"/>
      <w:bookmarkStart w:id="53" w:name="_Toc3675"/>
      <w:r>
        <w:rPr>
          <w:rFonts w:hint="eastAsia" w:ascii="仿宋" w:hAnsi="仿宋" w:eastAsia="仿宋"/>
          <w:b/>
          <w:color w:val="000000"/>
          <w:sz w:val="32"/>
          <w:szCs w:val="32"/>
        </w:rPr>
        <w:t>（一）一般公共预算财政拨款支出决算总体情况</w:t>
      </w:r>
      <w:bookmarkEnd w:id="51"/>
      <w:bookmarkEnd w:id="52"/>
      <w:bookmarkEnd w:id="5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615.94</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w:t>
      </w:r>
      <w:r>
        <w:rPr>
          <w:rFonts w:hint="eastAsia" w:ascii="仿宋" w:hAnsi="仿宋" w:eastAsia="仿宋"/>
          <w:color w:val="000000"/>
          <w:sz w:val="32"/>
          <w:szCs w:val="32"/>
        </w:rPr>
        <w:t>年相比，一般公共预算财政拨款增加98.18万元，增长18.96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s="仿宋"/>
          <w:color w:val="000000"/>
          <w:kern w:val="2"/>
          <w:sz w:val="32"/>
          <w:szCs w:val="32"/>
          <w:lang w:val="en-US" w:eastAsia="zh-CN" w:bidi="ar"/>
        </w:rPr>
        <w:t>本年度项目增多，项目收支增加</w:t>
      </w:r>
      <w:r>
        <w:rPr>
          <w:rFonts w:hint="eastAsia" w:ascii="仿宋" w:hAnsi="仿宋" w:eastAsia="仿宋"/>
          <w:color w:val="000000"/>
          <w:sz w:val="32"/>
          <w:szCs w:val="32"/>
        </w:rPr>
        <w:t>。</w:t>
      </w:r>
    </w:p>
    <w:p>
      <w:pPr>
        <w:pStyle w:val="26"/>
        <w:rPr>
          <w:rFonts w:ascii="仿宋" w:hAnsi="仿宋" w:eastAsia="仿宋"/>
          <w:color w:val="000000"/>
          <w:sz w:val="32"/>
          <w:szCs w:val="32"/>
        </w:rPr>
      </w:pPr>
    </w:p>
    <w:p>
      <w:pPr>
        <w:pStyle w:val="8"/>
        <w:rPr>
          <w:rFonts w:ascii="仿宋" w:hAnsi="仿宋" w:eastAsia="仿宋"/>
          <w:color w:val="000000"/>
          <w:szCs w:val="32"/>
        </w:rPr>
      </w:pPr>
      <w:r>
        <w:drawing>
          <wp:inline distT="0" distB="0" distL="114300" distR="114300">
            <wp:extent cx="4451350" cy="2287270"/>
            <wp:effectExtent l="4445" t="4445" r="20955" b="13335"/>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8"/>
        <w:ind w:firstLine="320" w:firstLineChars="100"/>
        <w:rPr>
          <w:rFonts w:ascii="仿宋" w:hAnsi="仿宋" w:eastAsia="仿宋"/>
          <w:color w:val="000000"/>
          <w:szCs w:val="32"/>
        </w:rPr>
      </w:pPr>
      <w:r>
        <w:rPr>
          <w:rFonts w:hint="eastAsia" w:ascii="仿宋" w:hAnsi="仿宋" w:eastAsia="仿宋"/>
          <w:color w:val="000000"/>
          <w:szCs w:val="32"/>
        </w:rPr>
        <w:t>（图</w:t>
      </w:r>
      <w:r>
        <w:rPr>
          <w:rFonts w:ascii="仿宋" w:hAnsi="仿宋" w:eastAsia="仿宋"/>
          <w:color w:val="000000"/>
          <w:szCs w:val="32"/>
        </w:rPr>
        <w:t>5</w:t>
      </w:r>
      <w:r>
        <w:rPr>
          <w:rFonts w:hint="eastAsia" w:ascii="仿宋" w:hAnsi="仿宋" w:eastAsia="仿宋"/>
          <w:color w:val="000000"/>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4" w:name="_Toc25656"/>
      <w:bookmarkStart w:id="55" w:name="_Toc15377211"/>
      <w:bookmarkStart w:id="56" w:name="_Toc79163616"/>
      <w:r>
        <w:rPr>
          <w:rFonts w:hint="eastAsia" w:ascii="仿宋" w:hAnsi="仿宋" w:eastAsia="仿宋"/>
          <w:b/>
          <w:color w:val="000000"/>
          <w:sz w:val="32"/>
          <w:szCs w:val="32"/>
        </w:rPr>
        <w:t>（二）一般公共预算财政拨款支出决算结构情况</w:t>
      </w:r>
      <w:bookmarkEnd w:id="54"/>
      <w:bookmarkEnd w:id="55"/>
      <w:bookmarkEnd w:id="56"/>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615.94</w:t>
      </w:r>
      <w:r>
        <w:rPr>
          <w:rFonts w:hint="eastAsia" w:ascii="仿宋" w:hAnsi="仿宋" w:eastAsia="仿宋"/>
          <w:color w:val="000000"/>
          <w:sz w:val="32"/>
          <w:szCs w:val="32"/>
        </w:rPr>
        <w:t>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一般公共服务</w:t>
      </w:r>
      <w:r>
        <w:rPr>
          <w:rFonts w:hint="eastAsia" w:ascii="仿宋" w:hAnsi="仿宋" w:eastAsia="仿宋"/>
          <w:b/>
          <w:bCs/>
          <w:color w:val="000000"/>
          <w:sz w:val="32"/>
          <w:szCs w:val="32"/>
        </w:rPr>
        <w:t>支出</w:t>
      </w:r>
      <w:r>
        <w:rPr>
          <w:rFonts w:hint="eastAsia" w:ascii="仿宋" w:hAnsi="仿宋" w:eastAsia="仿宋"/>
          <w:color w:val="000000"/>
          <w:sz w:val="32"/>
          <w:szCs w:val="32"/>
        </w:rPr>
        <w:t>497.84万元，占80.83%；</w:t>
      </w:r>
      <w:r>
        <w:rPr>
          <w:rFonts w:hint="eastAsia" w:ascii="仿宋" w:hAnsi="仿宋" w:eastAsia="仿宋"/>
          <w:b/>
          <w:bCs/>
          <w:color w:val="000000"/>
          <w:sz w:val="32"/>
          <w:szCs w:val="32"/>
        </w:rPr>
        <w:t>公共安全支出</w:t>
      </w:r>
      <w:r>
        <w:rPr>
          <w:rFonts w:hint="eastAsia" w:ascii="仿宋" w:hAnsi="仿宋" w:eastAsia="仿宋"/>
          <w:color w:val="000000"/>
          <w:sz w:val="32"/>
          <w:szCs w:val="32"/>
        </w:rPr>
        <w:t>10万元，占1.62%；</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35.46万元，占5.76%；</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13.71万元，占2.23%；</w:t>
      </w:r>
      <w:r>
        <w:rPr>
          <w:rFonts w:hint="eastAsia" w:ascii="仿宋" w:hAnsi="仿宋" w:eastAsia="仿宋"/>
          <w:b/>
          <w:bCs/>
          <w:color w:val="000000"/>
          <w:sz w:val="32"/>
          <w:szCs w:val="32"/>
        </w:rPr>
        <w:t>农林水支出</w:t>
      </w:r>
      <w:r>
        <w:rPr>
          <w:rFonts w:hint="eastAsia" w:ascii="仿宋" w:hAnsi="仿宋" w:eastAsia="仿宋"/>
          <w:b w:val="0"/>
          <w:bCs w:val="0"/>
          <w:color w:val="000000"/>
          <w:sz w:val="32"/>
          <w:szCs w:val="32"/>
        </w:rPr>
        <w:t>38.28</w:t>
      </w:r>
      <w:r>
        <w:rPr>
          <w:rFonts w:hint="eastAsia" w:ascii="仿宋" w:hAnsi="仿宋" w:eastAsia="仿宋"/>
          <w:b w:val="0"/>
          <w:bCs w:val="0"/>
          <w:color w:val="000000"/>
          <w:sz w:val="32"/>
          <w:szCs w:val="32"/>
          <w:lang w:val="en-US" w:eastAsia="zh-CN"/>
        </w:rPr>
        <w:t>万元，占6.21%；</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20.64万元，占3.35%。</w:t>
      </w:r>
    </w:p>
    <w:p>
      <w:pPr>
        <w:pStyle w:val="2"/>
        <w:rPr>
          <w:rFonts w:hint="eastAsia" w:ascii="仿宋" w:hAnsi="仿宋" w:eastAsia="仿宋"/>
          <w:color w:val="000000"/>
          <w:sz w:val="32"/>
          <w:szCs w:val="32"/>
        </w:rPr>
      </w:pPr>
      <w:r>
        <w:drawing>
          <wp:inline distT="0" distB="0" distL="114300" distR="114300">
            <wp:extent cx="4466590" cy="2280285"/>
            <wp:effectExtent l="4445" t="4445" r="5715" b="20320"/>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57" w:name="_Toc15377212"/>
      <w:bookmarkStart w:id="58" w:name="_Toc79163617"/>
      <w:bookmarkStart w:id="59" w:name="_Toc2260"/>
      <w:r>
        <w:rPr>
          <w:rFonts w:hint="eastAsia" w:ascii="仿宋" w:hAnsi="仿宋" w:eastAsia="仿宋"/>
          <w:b/>
          <w:color w:val="000000"/>
          <w:sz w:val="32"/>
          <w:szCs w:val="32"/>
        </w:rPr>
        <w:t>（三）一般公共预算财政拨款支出决算具体情况</w:t>
      </w:r>
      <w:bookmarkEnd w:id="57"/>
      <w:bookmarkEnd w:id="58"/>
      <w:bookmarkEnd w:id="59"/>
    </w:p>
    <w:p>
      <w:pPr>
        <w:spacing w:line="600" w:lineRule="exact"/>
        <w:ind w:firstLine="643" w:firstLineChars="200"/>
        <w:rPr>
          <w:rFonts w:ascii="仿宋_GB2312" w:eastAsia="仿宋_GB2312"/>
          <w:b/>
          <w:bCs/>
          <w:sz w:val="32"/>
          <w:szCs w:val="32"/>
        </w:rPr>
      </w:pPr>
      <w:bookmarkStart w:id="60" w:name="_Toc15377444"/>
      <w:bookmarkStart w:id="61" w:name="_Toc15377213"/>
      <w:bookmarkStart w:id="62" w:name="_Toc15378460"/>
      <w:r>
        <w:rPr>
          <w:rFonts w:hint="eastAsia" w:ascii="仿宋_GB2312" w:eastAsia="仿宋_GB2312"/>
          <w:b/>
          <w:bCs/>
          <w:sz w:val="32"/>
          <w:szCs w:val="32"/>
          <w:lang w:eastAsia="zh-CN"/>
        </w:rPr>
        <w:t>2022</w:t>
      </w:r>
      <w:r>
        <w:rPr>
          <w:rFonts w:hint="eastAsia" w:ascii="仿宋_GB2312" w:eastAsia="仿宋_GB2312"/>
          <w:b/>
          <w:bCs/>
          <w:sz w:val="32"/>
          <w:szCs w:val="32"/>
        </w:rPr>
        <w:t>年一般公共预算支出决算数为</w:t>
      </w:r>
      <w:r>
        <w:rPr>
          <w:rFonts w:hint="eastAsia" w:ascii="仿宋_GB2312" w:eastAsia="仿宋_GB2312"/>
          <w:b/>
          <w:bCs/>
          <w:sz w:val="32"/>
          <w:szCs w:val="32"/>
          <w:lang w:eastAsia="zh-CN"/>
        </w:rPr>
        <w:t>615.94</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60"/>
      <w:bookmarkEnd w:id="61"/>
      <w:bookmarkEnd w:id="62"/>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一般公共服务（类）民族事务（款）民族工作专项（项）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支出决算为2.99万元，完成预算100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一般公共服务（类）统战事务（款）行政运行（项）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支出决算为228.98万元，完成预算100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3</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一般公共服务（类）民族事务（款）一般行政管理事务（项）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支出决算为123.77万元，完成预算100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4</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一般公共服务（类）民族事务（款）宗教事务（项）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支出决算为49.54万元，完成预算100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5</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一般公共服务（类）民族事务（款）其他统战事务支出（项）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支出决算为92.56万元，完成预算100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公共安全支出（类）其他公共安全支出（款）其他公共安全支出（项）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支出决算为10万元，完成预算100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7</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社会保障和就业（类）行政事业单位养老支出（款）机关事业单位基本养老保险缴费支出（项）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支出决算为23.64万元，完成预算100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ascii="仿宋" w:hAnsi="仿宋" w:eastAsia="仿宋"/>
          <w:bCs/>
          <w:color w:val="000000"/>
          <w:sz w:val="32"/>
          <w:szCs w:val="32"/>
        </w:rPr>
      </w:pPr>
      <w:r>
        <w:rPr>
          <w:rStyle w:val="23"/>
          <w:rFonts w:hint="eastAsia" w:ascii="仿宋" w:hAnsi="仿宋" w:eastAsia="仿宋"/>
          <w:bCs/>
          <w:color w:val="000000"/>
          <w:sz w:val="32"/>
          <w:szCs w:val="32"/>
        </w:rPr>
        <w:t>8</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社会保障和就业（类）行政事业单位养老支出（款）机关事业单位职业年金缴费支出（项）</w:t>
      </w:r>
      <w:r>
        <w:rPr>
          <w:rStyle w:val="23"/>
          <w:rFonts w:hint="eastAsia" w:ascii="仿宋" w:hAnsi="仿宋" w:eastAsia="仿宋"/>
          <w:bCs/>
          <w:color w:val="000000"/>
          <w:sz w:val="32"/>
          <w:szCs w:val="32"/>
          <w:lang w:eastAsia="zh-CN"/>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支出决算为11.82万元，完成预算100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9</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（类）行政事业单位医疗（款）行政单位医疗（项）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支出决算为11.06万元，完成预算100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ascii="仿宋" w:hAnsi="仿宋" w:eastAsia="仿宋"/>
          <w:b w:val="0"/>
          <w:bCs/>
          <w:color w:val="000000"/>
          <w:sz w:val="32"/>
          <w:szCs w:val="32"/>
        </w:rPr>
      </w:pPr>
      <w:r>
        <w:rPr>
          <w:rStyle w:val="23"/>
          <w:rFonts w:hint="eastAsia" w:ascii="仿宋" w:hAnsi="仿宋" w:eastAsia="仿宋"/>
          <w:bCs/>
          <w:color w:val="000000"/>
          <w:sz w:val="32"/>
          <w:szCs w:val="32"/>
        </w:rPr>
        <w:t>10</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（类）行政事业单位医疗（款）公务员医疗补助（项）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支出决算为2.65万元，完成预算100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11</w:t>
      </w:r>
      <w:r>
        <w:rPr>
          <w:rStyle w:val="23"/>
          <w:rFonts w:ascii="仿宋" w:hAnsi="仿宋" w:eastAsia="仿宋"/>
          <w:bCs/>
          <w:color w:val="000000"/>
          <w:sz w:val="32"/>
          <w:szCs w:val="32"/>
        </w:rPr>
        <w:t>.</w:t>
      </w:r>
      <w:r>
        <w:rPr>
          <w:rFonts w:hint="eastAsia" w:ascii="仿宋" w:hAnsi="仿宋" w:eastAsia="仿宋"/>
          <w:b/>
          <w:bCs/>
          <w:color w:val="000000"/>
          <w:sz w:val="32"/>
          <w:szCs w:val="32"/>
        </w:rPr>
        <w:t>农林水支出</w:t>
      </w:r>
      <w:r>
        <w:rPr>
          <w:rStyle w:val="23"/>
          <w:rFonts w:hint="eastAsia" w:ascii="仿宋" w:hAnsi="仿宋" w:eastAsia="仿宋"/>
          <w:bCs/>
          <w:color w:val="000000"/>
          <w:sz w:val="32"/>
          <w:szCs w:val="32"/>
        </w:rPr>
        <w:t>（类）巩固脱贫衔接乡村振兴（款）其他巩固脱贫衔接乡村振兴支出（项）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支出决算为38.28万元，完成预算100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rPr>
        <w:t>12</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（类）住房改革支出（款）住房公积金（项）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支出决算为20.64万元，完成预算100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8"/>
        </w:rPr>
      </w:pPr>
      <w:bookmarkStart w:id="63" w:name="_Toc15396608"/>
      <w:bookmarkStart w:id="64" w:name="_Toc79163618"/>
      <w:bookmarkStart w:id="65" w:name="_Toc16731"/>
      <w:bookmarkStart w:id="6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3"/>
      <w:bookmarkEnd w:id="64"/>
      <w:bookmarkEnd w:id="65"/>
      <w:bookmarkEnd w:id="66"/>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年一般公共预算财政拨款基本支出298.80万元，其中：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261.70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37.10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67" w:name="_Toc15377215"/>
      <w:bookmarkStart w:id="68" w:name="_Toc79163619"/>
      <w:bookmarkStart w:id="69" w:name="_Toc6625"/>
      <w:bookmarkStart w:id="70"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7"/>
      <w:bookmarkEnd w:id="68"/>
      <w:bookmarkEnd w:id="69"/>
      <w:bookmarkEnd w:id="70"/>
    </w:p>
    <w:p>
      <w:pPr>
        <w:spacing w:line="600" w:lineRule="exact"/>
        <w:ind w:firstLine="640"/>
        <w:outlineLvl w:val="2"/>
        <w:rPr>
          <w:rFonts w:ascii="仿宋" w:hAnsi="仿宋" w:eastAsia="仿宋"/>
          <w:b/>
          <w:color w:val="000000"/>
          <w:sz w:val="32"/>
          <w:szCs w:val="32"/>
        </w:rPr>
      </w:pPr>
      <w:bookmarkStart w:id="71" w:name="_Toc15377216"/>
      <w:bookmarkStart w:id="72" w:name="_Toc79163620"/>
      <w:bookmarkStart w:id="73" w:name="_Toc27240"/>
      <w:r>
        <w:rPr>
          <w:rFonts w:hint="eastAsia" w:ascii="仿宋" w:hAnsi="仿宋" w:eastAsia="仿宋"/>
          <w:b/>
          <w:color w:val="000000"/>
          <w:sz w:val="32"/>
          <w:szCs w:val="32"/>
        </w:rPr>
        <w:t>（一）“三公”经费财政拨款支出决算总体情况说明</w:t>
      </w:r>
      <w:bookmarkEnd w:id="71"/>
      <w:bookmarkEnd w:id="72"/>
      <w:bookmarkEnd w:id="7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年“三公”经费财政拨款支出决算为10.98万元，完成预算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4" w:name="_Toc15377217"/>
      <w:bookmarkStart w:id="75" w:name="_Toc79163621"/>
      <w:bookmarkStart w:id="76" w:name="_Toc2365"/>
      <w:r>
        <w:rPr>
          <w:rFonts w:hint="eastAsia" w:ascii="仿宋" w:hAnsi="仿宋" w:eastAsia="仿宋"/>
          <w:b/>
          <w:color w:val="000000"/>
          <w:sz w:val="32"/>
          <w:szCs w:val="32"/>
        </w:rPr>
        <w:t>（二）“三公”经费财政拨款支出决算具体情况说明</w:t>
      </w:r>
      <w:bookmarkEnd w:id="74"/>
      <w:bookmarkEnd w:id="75"/>
      <w:bookmarkEnd w:id="7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年“三公”经费财政拨款支出决算中，因公出国（境）费支出决算0万元，占0%；公务用车购置及运行维护费支出决算10.98万元，占100%；公务接待费支出决算0万元，占0%。具体情况如下：</w:t>
      </w:r>
    </w:p>
    <w:p>
      <w:pPr>
        <w:pStyle w:val="26"/>
        <w:rPr>
          <w:rFonts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rPr>
        <w:drawing>
          <wp:inline distT="0" distB="0" distL="114300" distR="114300">
            <wp:extent cx="2865755" cy="1816735"/>
            <wp:effectExtent l="4445" t="4445" r="6350" b="762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（图7：“三公”经费财政拨款支出结构）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3"/>
          <w:rFonts w:hint="eastAsia" w:ascii="仿宋" w:hAnsi="仿宋" w:eastAsia="仿宋"/>
          <w:b w:val="0"/>
          <w:bCs/>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10.98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23"/>
          <w:rFonts w:hint="eastAsia" w:ascii="仿宋" w:hAnsi="仿宋" w:eastAsia="仿宋"/>
          <w:b w:val="0"/>
          <w:bCs/>
          <w:color w:val="000000"/>
          <w:sz w:val="32"/>
          <w:szCs w:val="32"/>
        </w:rPr>
        <w:t>完成预</w:t>
      </w:r>
      <w:r>
        <w:rPr>
          <w:rFonts w:hint="eastAsia" w:ascii="仿宋_GB2312" w:eastAsia="仿宋_GB2312"/>
          <w:color w:val="000000"/>
          <w:sz w:val="32"/>
          <w:szCs w:val="32"/>
        </w:rPr>
        <w:t>算100%。公务用车购置及运行维护费支出决算比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0.97万元，</w:t>
      </w:r>
      <w:r>
        <w:rPr>
          <w:rFonts w:hint="eastAsia" w:ascii="仿宋_GB2312" w:eastAsia="仿宋_GB2312"/>
          <w:color w:val="000000"/>
          <w:sz w:val="32"/>
          <w:szCs w:val="32"/>
          <w:lang w:val="en-US" w:eastAsia="zh-CN"/>
        </w:rPr>
        <w:t>下降</w:t>
      </w:r>
      <w:r>
        <w:rPr>
          <w:rFonts w:hint="eastAsia" w:ascii="仿宋_GB2312" w:eastAsia="仿宋_GB2312"/>
          <w:color w:val="000000"/>
          <w:sz w:val="32"/>
          <w:szCs w:val="32"/>
        </w:rPr>
        <w:t>8.08%。主要原因是</w:t>
      </w:r>
      <w:r>
        <w:rPr>
          <w:rFonts w:hint="eastAsia" w:ascii="仿宋_GB2312" w:eastAsia="仿宋_GB2312"/>
          <w:color w:val="000000"/>
          <w:sz w:val="32"/>
          <w:szCs w:val="32"/>
          <w:lang w:val="en-US" w:eastAsia="zh-CN"/>
        </w:rPr>
        <w:t>当年疫情原因导致出差相比减少</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10.98万元。主要用于日常下乡以及出差等所需的公务用车燃料费、维修费、过路过桥费、保险费等支出。</w:t>
      </w:r>
    </w:p>
    <w:p>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0" w:firstLineChars="200"/>
        <w:outlineLvl w:val="1"/>
        <w:rPr>
          <w:rStyle w:val="28"/>
          <w:rFonts w:ascii="黑体" w:hAnsi="黑体" w:eastAsia="黑体"/>
        </w:rPr>
      </w:pPr>
      <w:bookmarkStart w:id="77" w:name="_Toc24435"/>
      <w:bookmarkStart w:id="78" w:name="_Toc15377218"/>
      <w:bookmarkStart w:id="79" w:name="_Toc79163622"/>
      <w:bookmarkStart w:id="80"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7"/>
      <w:bookmarkEnd w:id="78"/>
      <w:bookmarkEnd w:id="79"/>
      <w:bookmarkEnd w:id="8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年政府性基金预算拨款支出0万元。</w:t>
      </w:r>
    </w:p>
    <w:p>
      <w:pPr>
        <w:spacing w:line="600" w:lineRule="exact"/>
        <w:ind w:firstLine="640" w:firstLineChars="200"/>
        <w:outlineLvl w:val="1"/>
        <w:rPr>
          <w:rStyle w:val="28"/>
          <w:rFonts w:ascii="黑体" w:hAnsi="黑体" w:eastAsia="黑体"/>
          <w:b w:val="0"/>
        </w:rPr>
      </w:pPr>
      <w:bookmarkStart w:id="81" w:name="_Toc79163623"/>
      <w:bookmarkStart w:id="82" w:name="_Toc15377219"/>
      <w:bookmarkStart w:id="83" w:name="_Toc22748"/>
      <w:bookmarkStart w:id="84" w:name="_Toc15396611"/>
      <w:r>
        <w:rPr>
          <w:rFonts w:hint="eastAsia" w:ascii="黑体" w:eastAsia="黑体"/>
          <w:color w:val="000000"/>
          <w:sz w:val="32"/>
          <w:szCs w:val="32"/>
        </w:rPr>
        <w:t>九、</w:t>
      </w:r>
      <w:r>
        <w:rPr>
          <w:rStyle w:val="28"/>
          <w:rFonts w:hint="eastAsia" w:ascii="黑体" w:hAnsi="黑体" w:eastAsia="黑体"/>
          <w:b w:val="0"/>
        </w:rPr>
        <w:t>国有资本经营预算支出决算情况说明</w:t>
      </w:r>
      <w:bookmarkEnd w:id="81"/>
      <w:bookmarkEnd w:id="82"/>
      <w:bookmarkEnd w:id="83"/>
      <w:bookmarkEnd w:id="84"/>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年国有资本经营预算拨款支出0万元。</w:t>
      </w:r>
    </w:p>
    <w:p>
      <w:pPr>
        <w:spacing w:line="600" w:lineRule="exact"/>
        <w:ind w:firstLine="640" w:firstLineChars="200"/>
        <w:outlineLvl w:val="1"/>
        <w:rPr>
          <w:rStyle w:val="28"/>
          <w:rFonts w:ascii="黑体" w:hAnsi="黑体" w:eastAsia="黑体"/>
        </w:rPr>
      </w:pPr>
      <w:bookmarkStart w:id="85" w:name="_Toc79163624"/>
      <w:bookmarkStart w:id="86" w:name="_Toc15396612"/>
      <w:bookmarkStart w:id="87" w:name="_Toc31732"/>
      <w:bookmarkStart w:id="88"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5"/>
      <w:bookmarkEnd w:id="86"/>
      <w:bookmarkEnd w:id="87"/>
      <w:bookmarkEnd w:id="88"/>
    </w:p>
    <w:p>
      <w:pPr>
        <w:spacing w:line="600" w:lineRule="exact"/>
        <w:ind w:firstLine="643" w:firstLineChars="200"/>
        <w:outlineLvl w:val="2"/>
        <w:rPr>
          <w:rFonts w:ascii="仿宋" w:hAnsi="仿宋" w:eastAsia="仿宋"/>
          <w:color w:val="000000"/>
          <w:sz w:val="32"/>
          <w:szCs w:val="32"/>
        </w:rPr>
      </w:pPr>
      <w:bookmarkStart w:id="89" w:name="_Toc6758"/>
      <w:bookmarkStart w:id="90" w:name="_Toc79163625"/>
      <w:bookmarkStart w:id="91" w:name="_Toc15377222"/>
      <w:r>
        <w:rPr>
          <w:rFonts w:hint="eastAsia" w:ascii="仿宋" w:hAnsi="仿宋" w:eastAsia="仿宋"/>
          <w:b/>
          <w:color w:val="000000"/>
          <w:sz w:val="32"/>
          <w:szCs w:val="32"/>
        </w:rPr>
        <w:t>（一）机关运行经费支出情况</w:t>
      </w:r>
      <w:bookmarkEnd w:id="89"/>
      <w:bookmarkEnd w:id="90"/>
      <w:bookmarkEnd w:id="91"/>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年，中共壤塘县委统战部机关运行经费支出37.10万元，比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年减少7.23万元，下降16.31</w:t>
      </w:r>
      <w:r>
        <w:rPr>
          <w:rFonts w:ascii="仿宋_GB2312" w:eastAsia="仿宋_GB2312"/>
          <w:color w:val="000000"/>
          <w:sz w:val="32"/>
          <w:szCs w:val="32"/>
        </w:rPr>
        <w:t>%</w:t>
      </w:r>
      <w:r>
        <w:rPr>
          <w:rFonts w:hint="eastAsia" w:ascii="仿宋_GB2312" w:eastAsia="仿宋_GB2312"/>
          <w:color w:val="000000"/>
          <w:sz w:val="32"/>
          <w:szCs w:val="32"/>
        </w:rPr>
        <w:t>。主要原因是当年疫情原因导致出差相比减少。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15377223"/>
      <w:bookmarkStart w:id="93" w:name="_Toc18127"/>
      <w:bookmarkStart w:id="94" w:name="_Toc79163626"/>
      <w:r>
        <w:rPr>
          <w:rFonts w:hint="eastAsia" w:ascii="仿宋" w:hAnsi="仿宋" w:eastAsia="仿宋"/>
          <w:b/>
          <w:color w:val="000000"/>
          <w:sz w:val="32"/>
          <w:szCs w:val="32"/>
        </w:rPr>
        <w:t>（二）政府采购支出情况</w:t>
      </w:r>
      <w:bookmarkEnd w:id="92"/>
      <w:bookmarkEnd w:id="93"/>
      <w:bookmarkEnd w:id="9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年，中共壤塘县委统战部政府采购支出总额7.87万元，其中：政府采购货物支出7.87万元。主要用于</w:t>
      </w:r>
      <w:r>
        <w:rPr>
          <w:rFonts w:hint="eastAsia" w:ascii="仿宋_GB2312" w:eastAsia="仿宋_GB2312"/>
          <w:color w:val="000000"/>
          <w:sz w:val="32"/>
          <w:szCs w:val="32"/>
          <w:lang w:val="en-US" w:eastAsia="zh-CN"/>
        </w:rPr>
        <w:t>单位日常办公用品的采购</w:t>
      </w:r>
      <w:r>
        <w:rPr>
          <w:rFonts w:hint="eastAsia" w:ascii="仿宋_GB2312" w:eastAsia="仿宋_GB2312"/>
          <w:color w:val="000000"/>
          <w:sz w:val="32"/>
          <w:szCs w:val="32"/>
        </w:rPr>
        <w:t>。授予中小企业合同金额7.87万元，占政府采购支出总额的100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5" w:name="_Toc3462"/>
      <w:bookmarkStart w:id="96" w:name="_Toc15377224"/>
      <w:bookmarkStart w:id="97" w:name="_Toc79163627"/>
      <w:r>
        <w:rPr>
          <w:rFonts w:hint="eastAsia" w:ascii="仿宋" w:hAnsi="仿宋" w:eastAsia="仿宋"/>
          <w:b/>
          <w:color w:val="000000"/>
          <w:sz w:val="32"/>
          <w:szCs w:val="32"/>
        </w:rPr>
        <w:t>（三）国有资产占有使用情况</w:t>
      </w:r>
      <w:bookmarkEnd w:id="95"/>
      <w:bookmarkEnd w:id="96"/>
      <w:bookmarkEnd w:id="97"/>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日，中共壤塘县委统战部共有车辆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辆，其中：主要领导干部用车0辆、机要通信用车0辆、应急保障用车0辆、其他用车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其他用车主要是用于单位出差以及其他业务使用。单价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79163628"/>
      <w:bookmarkStart w:id="99" w:name="_Toc27641"/>
      <w:r>
        <w:rPr>
          <w:rFonts w:hint="eastAsia" w:ascii="仿宋" w:hAnsi="仿宋" w:eastAsia="仿宋"/>
          <w:b/>
          <w:color w:val="000000"/>
          <w:sz w:val="32"/>
          <w:szCs w:val="32"/>
        </w:rPr>
        <w:t>（四）预算绩效管理情况。</w:t>
      </w:r>
      <w:bookmarkEnd w:id="98"/>
      <w:bookmarkEnd w:id="99"/>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根据预算绩效管理要求，本部门（单位）在年初预算编制阶段，未开展事前绩效评估，年终执行完毕后，</w:t>
      </w:r>
      <w:r>
        <w:rPr>
          <w:rFonts w:hint="eastAsia" w:ascii="仿宋_GB2312" w:hAnsi="仿宋_GB2312" w:eastAsia="仿宋_GB2312" w:cs="仿宋_GB2312"/>
          <w:sz w:val="32"/>
          <w:szCs w:val="32"/>
          <w:lang w:val="en-US" w:eastAsia="zh-CN"/>
        </w:rPr>
        <w:t>当年未开展项目绩效自评工作</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sectPr>
          <w:footerReference r:id="rId5" w:type="default"/>
          <w:pgSz w:w="11906" w:h="16838"/>
          <w:pgMar w:top="1440" w:right="1800" w:bottom="1440" w:left="1800" w:header="851" w:footer="992" w:gutter="0"/>
          <w:pgNumType w:start="4"/>
          <w:cols w:space="425" w:num="1"/>
          <w:docGrid w:type="lines" w:linePitch="312" w:charSpace="0"/>
        </w:sect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年部门整体支出开展绩效自评，从评价情况来看部门工作以及支付进度整体完成较好。</w:t>
      </w:r>
    </w:p>
    <w:p>
      <w:pPr>
        <w:pStyle w:val="2"/>
      </w:pPr>
    </w:p>
    <w:p>
      <w:pPr>
        <w:numPr>
          <w:ilvl w:val="0"/>
          <w:numId w:val="1"/>
        </w:numPr>
        <w:spacing w:line="600" w:lineRule="exact"/>
        <w:ind w:firstLine="660" w:firstLineChars="150"/>
        <w:jc w:val="center"/>
        <w:outlineLvl w:val="0"/>
        <w:rPr>
          <w:rStyle w:val="27"/>
          <w:rFonts w:ascii="黑体" w:hAnsi="黑体" w:eastAsia="黑体"/>
          <w:b w:val="0"/>
        </w:rPr>
      </w:pPr>
      <w:bookmarkStart w:id="100" w:name="_Toc13707"/>
      <w:bookmarkStart w:id="101" w:name="_Toc15396613"/>
      <w:bookmarkStart w:id="102" w:name="_Toc15377225"/>
      <w:bookmarkStart w:id="103" w:name="_Toc79163629"/>
      <w:r>
        <w:rPr>
          <w:rFonts w:hint="eastAsia" w:ascii="黑体" w:hAnsi="黑体" w:eastAsia="黑体"/>
          <w:color w:val="000000"/>
          <w:sz w:val="44"/>
          <w:szCs w:val="44"/>
        </w:rPr>
        <w:t>名</w:t>
      </w:r>
      <w:r>
        <w:rPr>
          <w:rStyle w:val="27"/>
          <w:rFonts w:hint="eastAsia" w:ascii="黑体" w:hAnsi="黑体" w:eastAsia="黑体"/>
          <w:b w:val="0"/>
        </w:rPr>
        <w:t>词解释</w:t>
      </w:r>
      <w:bookmarkEnd w:id="100"/>
      <w:bookmarkEnd w:id="101"/>
      <w:bookmarkEnd w:id="102"/>
      <w:bookmarkEnd w:id="103"/>
    </w:p>
    <w:p>
      <w:pPr>
        <w:spacing w:line="600" w:lineRule="exact"/>
        <w:jc w:val="left"/>
        <w:rPr>
          <w:rFonts w:ascii="宋体"/>
          <w:b/>
          <w:color w:val="000000"/>
          <w:sz w:val="44"/>
          <w:szCs w:val="44"/>
        </w:rPr>
      </w:pPr>
    </w:p>
    <w:p>
      <w:pPr>
        <w:pStyle w:val="37"/>
        <w:spacing w:line="560" w:lineRule="atLeas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atLeas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7"/>
        <w:spacing w:line="560" w:lineRule="atLeas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7"/>
        <w:spacing w:line="560" w:lineRule="atLeas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其他收入：指单位取得的除上述收入以外的各项收入。主要是援建资金。</w:t>
      </w:r>
    </w:p>
    <w:p>
      <w:pPr>
        <w:pStyle w:val="37"/>
        <w:spacing w:line="560" w:lineRule="atLeas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7"/>
        <w:spacing w:line="560" w:lineRule="atLeast"/>
        <w:ind w:firstLine="640" w:firstLineChars="200"/>
        <w:rPr>
          <w:rFonts w:ascii="仿宋_GB2312" w:eastAsia="仿宋_GB2312"/>
          <w:sz w:val="32"/>
          <w:szCs w:val="32"/>
        </w:rPr>
      </w:pPr>
      <w:r>
        <w:rPr>
          <w:rFonts w:hint="eastAsia" w:ascii="仿宋_GB2312" w:eastAsia="仿宋_GB2312"/>
          <w:sz w:val="32"/>
          <w:szCs w:val="32"/>
        </w:rPr>
        <w:t>6.年末结转和结余：指单位按有关规定结转到下年或以后年度继续使用的资金。</w:t>
      </w:r>
    </w:p>
    <w:p>
      <w:pPr>
        <w:pStyle w:val="8"/>
        <w:tabs>
          <w:tab w:val="left" w:pos="960"/>
        </w:tabs>
        <w:spacing w:line="560" w:lineRule="atLeast"/>
        <w:ind w:firstLine="640"/>
        <w:rPr>
          <w:rFonts w:ascii="仿宋_GB2312" w:eastAsia="仿宋_GB2312"/>
          <w:color w:val="000000"/>
        </w:rPr>
      </w:pPr>
      <w:r>
        <w:rPr>
          <w:rFonts w:hint="eastAsia" w:ascii="仿宋_GB2312"/>
          <w:color w:val="000000"/>
        </w:rPr>
        <w:t>7</w:t>
      </w:r>
      <w:r>
        <w:rPr>
          <w:rFonts w:ascii="仿宋_GB2312" w:eastAsia="仿宋_GB2312"/>
          <w:color w:val="000000"/>
        </w:rPr>
        <w:t>.</w:t>
      </w:r>
      <w:r>
        <w:rPr>
          <w:rFonts w:hint="eastAsia" w:ascii="仿宋_GB2312" w:eastAsia="仿宋_GB2312"/>
          <w:color w:val="000000"/>
        </w:rPr>
        <w:t>一般公共服务支出（类）民族事务（款）民族工作专项（项）：指用于民族事务管理方面的专项支出。</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8</w:t>
      </w:r>
      <w:r>
        <w:rPr>
          <w:rFonts w:ascii="仿宋_GB2312" w:eastAsia="仿宋_GB2312"/>
          <w:color w:val="000000"/>
        </w:rPr>
        <w:t>.</w:t>
      </w:r>
      <w:r>
        <w:rPr>
          <w:rFonts w:hint="eastAsia" w:ascii="仿宋_GB2312" w:eastAsia="仿宋_GB2312"/>
          <w:color w:val="000000"/>
        </w:rPr>
        <w:t>一般公共服务支出（类）组织事务（款）其他组织事务支出（项）：指其他用于中国共产党组织部门的事务支出。</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9</w:t>
      </w:r>
      <w:r>
        <w:rPr>
          <w:rFonts w:ascii="仿宋_GB2312" w:eastAsia="仿宋_GB2312"/>
          <w:color w:val="000000"/>
        </w:rPr>
        <w:t>.</w:t>
      </w:r>
      <w:r>
        <w:rPr>
          <w:rFonts w:hint="eastAsia" w:ascii="仿宋_GB2312" w:eastAsia="仿宋_GB2312"/>
          <w:color w:val="000000"/>
        </w:rPr>
        <w:t>一般公共服务支出（类）统战事务（款）行政运行（项）：指行政单位（包括实行公务员管理的事业单位）的基本支出。</w:t>
      </w:r>
    </w:p>
    <w:p>
      <w:pPr>
        <w:pStyle w:val="8"/>
        <w:tabs>
          <w:tab w:val="left" w:pos="960"/>
        </w:tabs>
        <w:spacing w:line="560" w:lineRule="atLeast"/>
        <w:ind w:firstLine="640"/>
        <w:rPr>
          <w:rFonts w:hint="eastAsia" w:ascii="仿宋_GB2312" w:eastAsia="仿宋_GB2312"/>
          <w:color w:val="000000"/>
        </w:rPr>
        <w:sectPr>
          <w:footerReference r:id="rId6" w:type="default"/>
          <w:pgSz w:w="11906" w:h="16838"/>
          <w:pgMar w:top="1440" w:right="1800" w:bottom="1440" w:left="1800" w:header="851" w:footer="992" w:gutter="0"/>
          <w:pgNumType w:start="13"/>
          <w:cols w:space="425" w:num="1"/>
          <w:docGrid w:type="lines" w:linePitch="312" w:charSpace="0"/>
        </w:sectPr>
      </w:pPr>
      <w:r>
        <w:rPr>
          <w:rFonts w:hint="eastAsia" w:ascii="仿宋_GB2312" w:eastAsia="仿宋_GB2312"/>
          <w:color w:val="000000"/>
        </w:rPr>
        <w:t>10</w:t>
      </w:r>
      <w:r>
        <w:rPr>
          <w:rFonts w:ascii="仿宋_GB2312" w:eastAsia="仿宋_GB2312"/>
          <w:color w:val="000000"/>
        </w:rPr>
        <w:t>.</w:t>
      </w:r>
      <w:r>
        <w:rPr>
          <w:rFonts w:hint="eastAsia" w:ascii="仿宋_GB2312" w:eastAsia="仿宋_GB2312"/>
          <w:color w:val="000000"/>
        </w:rPr>
        <w:t>一般公共服务支出（类）统战事务（款）一般行政</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管理事务（项）：指行政单位（包括实行公务员管理的事业单位）未单独设置项级科目的其他支出。</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11</w:t>
      </w:r>
      <w:r>
        <w:rPr>
          <w:rFonts w:ascii="仿宋_GB2312" w:eastAsia="仿宋_GB2312"/>
          <w:color w:val="000000"/>
        </w:rPr>
        <w:t>.</w:t>
      </w:r>
      <w:r>
        <w:rPr>
          <w:rFonts w:hint="eastAsia" w:ascii="仿宋_GB2312" w:eastAsia="仿宋_GB2312"/>
          <w:color w:val="000000"/>
        </w:rPr>
        <w:t>一般公共服务支出（类）统战事务（款）宗教事务（项）：指用于宗教事务管理方面的支出。</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12</w:t>
      </w:r>
      <w:r>
        <w:rPr>
          <w:rFonts w:ascii="仿宋_GB2312" w:eastAsia="仿宋_GB2312"/>
          <w:color w:val="000000"/>
        </w:rPr>
        <w:t>.</w:t>
      </w:r>
      <w:r>
        <w:rPr>
          <w:rFonts w:hint="eastAsia" w:ascii="仿宋_GB2312" w:eastAsia="仿宋_GB2312"/>
          <w:color w:val="000000"/>
        </w:rPr>
        <w:t>一般公共服务支出（类）统战事务（款）其他统战事务支出（项）：指其他用于统战事务方面的支出。</w:t>
      </w:r>
    </w:p>
    <w:p>
      <w:pPr>
        <w:pStyle w:val="8"/>
        <w:tabs>
          <w:tab w:val="left" w:pos="960"/>
        </w:tabs>
        <w:spacing w:line="560" w:lineRule="atLeast"/>
        <w:ind w:firstLine="640"/>
        <w:rPr>
          <w:rFonts w:ascii="仿宋_GB2312" w:eastAsia="仿宋_GB2312"/>
          <w:color w:val="000000"/>
        </w:rPr>
      </w:pPr>
      <w:r>
        <w:rPr>
          <w:rFonts w:hint="eastAsia" w:ascii="仿宋_GB2312" w:eastAsia="仿宋_GB2312"/>
          <w:color w:val="000000"/>
        </w:rPr>
        <w:t>13</w:t>
      </w:r>
      <w:r>
        <w:rPr>
          <w:rFonts w:ascii="仿宋_GB2312" w:eastAsia="仿宋_GB2312"/>
          <w:color w:val="000000"/>
        </w:rPr>
        <w:t>.</w:t>
      </w:r>
      <w:r>
        <w:rPr>
          <w:rFonts w:hint="eastAsia" w:ascii="仿宋_GB2312" w:eastAsia="仿宋_GB2312"/>
          <w:color w:val="000000"/>
        </w:rPr>
        <w:t>公共安全支出（类）其他公共安全支出（款）其他公共安全支出（项）：指其他用于公共安全方面的支出。</w:t>
      </w:r>
    </w:p>
    <w:p>
      <w:pPr>
        <w:pStyle w:val="8"/>
        <w:tabs>
          <w:tab w:val="left" w:pos="960"/>
        </w:tabs>
        <w:spacing w:line="560" w:lineRule="atLeast"/>
        <w:ind w:firstLine="640"/>
        <w:rPr>
          <w:rFonts w:eastAsia="仿宋_GB2312"/>
        </w:rPr>
      </w:pPr>
      <w:r>
        <w:rPr>
          <w:rFonts w:hint="eastAsia" w:ascii="仿宋_GB2312" w:eastAsia="仿宋_GB2312"/>
          <w:color w:val="000000"/>
        </w:rPr>
        <w:t>14.社会保障和就业（类）行政事业单位养老支出（款）机关事业单位基本养老保险缴费支出（项）：指由单位缴纳的基本养老保险费支出。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社会保障和就业（类）行政事业单位养老支出（款）机关事业单位职业年金缴费支出（项）：指机关事业单位实施养老保险制度由单位实际缴纳的职业年金。</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16.卫生健康支出（类）行政事业单位医疗（款）行政单位医疗（项）：指财政部门集中安排的行政单位基本医疗保险缴费经费。</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17.住房保障支出（类）住房改革支出（款）住房公积金（项）：指行政事业单位</w:t>
      </w:r>
      <w:r>
        <w:rPr>
          <w:rFonts w:hint="eastAsia" w:ascii="仿宋_GB2312" w:eastAsia="仿宋_GB2312"/>
          <w:color w:val="000000"/>
          <w:sz w:val="32"/>
          <w:szCs w:val="32"/>
          <w:lang w:eastAsia="zh-CN"/>
        </w:rPr>
        <w:t>按</w:t>
      </w:r>
      <w:r>
        <w:rPr>
          <w:rFonts w:hint="eastAsia" w:ascii="仿宋_GB2312" w:eastAsia="仿宋_GB2312"/>
          <w:color w:val="000000"/>
          <w:sz w:val="32"/>
          <w:szCs w:val="32"/>
        </w:rPr>
        <w:t>工资比例为职工缴纳的住房公积金。</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19.项目支出：指在基本支出之外为完成特定行政任务和事业发展目标所发生的支出。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atLeast"/>
        <w:ind w:firstLine="640" w:firstLineChars="200"/>
        <w:rPr>
          <w:rFonts w:ascii="仿宋_GB2312" w:eastAsia="仿宋_GB2312"/>
          <w:sz w:val="32"/>
          <w:szCs w:val="32"/>
        </w:rPr>
      </w:pPr>
      <w:r>
        <w:rPr>
          <w:rFonts w:hint="eastAsia" w:ascii="仿宋_GB2312" w:eastAsia="仿宋_GB2312"/>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outlineLvl w:val="0"/>
        <w:rPr>
          <w:rStyle w:val="27"/>
          <w:rFonts w:ascii="黑体" w:hAnsi="黑体" w:eastAsia="黑体"/>
          <w:b w:val="0"/>
        </w:rPr>
      </w:pPr>
      <w:bookmarkStart w:id="104" w:name="_Toc15377226"/>
      <w:r>
        <w:rPr>
          <w:rFonts w:ascii="宋体"/>
          <w:b/>
          <w:color w:val="000000"/>
          <w:sz w:val="44"/>
          <w:szCs w:val="44"/>
        </w:rPr>
        <w:br w:type="page"/>
      </w:r>
      <w:bookmarkStart w:id="105" w:name="_Toc29702"/>
      <w:bookmarkStart w:id="106" w:name="_Toc79163630"/>
      <w:bookmarkStart w:id="107" w:name="_Toc15396614"/>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05"/>
      <w:bookmarkEnd w:id="106"/>
      <w:bookmarkEnd w:id="107"/>
    </w:p>
    <w:p>
      <w:pPr>
        <w:spacing w:line="600" w:lineRule="exact"/>
        <w:jc w:val="left"/>
        <w:outlineLvl w:val="0"/>
        <w:rPr>
          <w:rFonts w:ascii="方正小标宋简体" w:hAnsi="方正小标宋简体" w:eastAsia="方正小标宋简体" w:cs="方正小标宋简体"/>
          <w:sz w:val="32"/>
          <w:szCs w:val="32"/>
        </w:rPr>
      </w:pPr>
      <w:bookmarkStart w:id="108" w:name="_Toc79163631"/>
      <w:bookmarkStart w:id="109" w:name="_Toc18734"/>
      <w:r>
        <w:rPr>
          <w:rFonts w:hint="eastAsia" w:ascii="黑体" w:hAnsi="黑体" w:eastAsia="黑体" w:cs="黑体"/>
          <w:sz w:val="32"/>
          <w:szCs w:val="32"/>
        </w:rPr>
        <w:t>附件</w:t>
      </w:r>
      <w:r>
        <w:rPr>
          <w:rFonts w:ascii="黑体" w:hAnsi="黑体" w:eastAsia="黑体" w:cs="黑体"/>
          <w:sz w:val="32"/>
          <w:szCs w:val="32"/>
        </w:rPr>
        <w:t>1</w:t>
      </w:r>
      <w:bookmarkEnd w:id="108"/>
      <w:bookmarkEnd w:id="109"/>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中国共产党壤塘县委员会统一战线工作部</w:t>
      </w:r>
    </w:p>
    <w:p>
      <w:pPr>
        <w:spacing w:line="560" w:lineRule="exact"/>
        <w:jc w:val="center"/>
        <w:rPr>
          <w:rFonts w:ascii="仿宋_GB2312" w:hAnsi="仿宋_GB2312" w:eastAsia="仿宋_GB2312" w:cs="仿宋_GB2312"/>
          <w:sz w:val="44"/>
          <w:szCs w:val="44"/>
        </w:rPr>
      </w:pPr>
      <w:r>
        <w:rPr>
          <w:rFonts w:hint="eastAsia" w:ascii="方正小标宋_GBK" w:hAnsi="方正小标宋_GBK" w:eastAsia="方正小标宋_GBK" w:cs="方正小标宋_GBK"/>
          <w:sz w:val="44"/>
          <w:szCs w:val="44"/>
          <w:lang w:eastAsia="zh-CN"/>
        </w:rPr>
        <w:t>2022</w:t>
      </w:r>
      <w:r>
        <w:rPr>
          <w:rFonts w:hint="eastAsia" w:ascii="方正小标宋_GBK" w:hAnsi="方正小标宋_GBK" w:eastAsia="方正小标宋_GBK" w:cs="方正小标宋_GBK"/>
          <w:sz w:val="44"/>
          <w:szCs w:val="44"/>
        </w:rPr>
        <w:t>年度部门整体支出绩效评价自评报告</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部门（单位）概况</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（一）机构组成</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中国共产党壤塘县委员会统一战线工作部（简称壤塘县委统部）是壤塘县</w:t>
      </w:r>
      <w:r>
        <w:rPr>
          <w:rFonts w:hint="eastAsia" w:ascii="仿宋_GB2312" w:hAnsi="仿宋_GB2312" w:cs="仿宋_GB2312"/>
          <w:sz w:val="32"/>
          <w:szCs w:val="32"/>
        </w:rPr>
        <w:t>党委</w:t>
      </w:r>
      <w:r>
        <w:rPr>
          <w:rFonts w:hint="eastAsia" w:ascii="仿宋_GB2312" w:hAnsi="仿宋_GB2312" w:eastAsia="仿宋_GB2312" w:cs="仿宋_GB2312"/>
          <w:sz w:val="32"/>
          <w:szCs w:val="32"/>
        </w:rPr>
        <w:t>工作部门，为副县级，机构地址：四川省壤塘县壤柯镇罗吾塘中街90号。统战部无下属二级单位，基本性质为行政单位。</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机构职能</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和县委关于统一战线工作重大决策部署，巩固壮大最广泛的统一战线。</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2.研究拟定统一战线工作的政策和法规草案推动落实，深入调查研究，及时向县委报告统一战线工作情况并提出建议，统筹协调和指导各乡镇、各部门（单位）统一战线工作。</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3.负责发现、培养 党外代表人士，制定党外干部培养规划，负责联系培养无党派人士、党外知识分子代表人士和新的社会阶层代表人士。调查研究无党派代表人士工作并提出政策建议，支持其发挥作用、加强自身建设。调查了解党外知识分子的情况，反映动态。贯彻落实党外知识分子政策。指导和推动党外知识分子统战工作。开展调查研究新的社会阶层人士工作并提出政策建议。对新的社会阶层代表人士了解思想状况，反映意见建议。指导新的社会阶层人士联谊会建设。协调、指导有关单位和人民团体、统战团体、社会组织等开展新的社会阶层人士统战工作。</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党的宣传工作方针，统筹推进全县统一战线宣传和意识形态工作，组织贯彻落实党中央、省委、州委和县委战线宣传工作政策和规划，统筹推进网络统战工作，打造网络统战工作平台，研判涉及统一战线的舆情并协调有关部门应对处置。</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贯彻落实党的宗教工作基本方针和政策，引导宗教坚持中国化方向，巩固和发展同宗教界的爱国统一战线。贯彻落实党中央治藏方略和省委藏区工作决策部署，开展藏传佛教寺庙依法管理，做好藏传佛教界代表人士培养教育和政治安排。</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承担全县非公有制经济协调工作，负责全县非公有制经济代表人士工作，参与制定、推动落实鼓励支持引导非公有制经济发展上的政策，调查研究全县非公有制经济人士情况并提出政策建议，了解和反映非公有制经济人士的意见，团结、服务、引导、教育非公有制经济人士，促进非公有制经济健康发展和非公有制经济人士健康成长。</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8.贯彻落实中央、省委、州委和县委关于对境外藏胞工作的方针、政策。结合我州实际提出实施意见并组织实施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负责接待和管理来我县探访的国外藏胞，负责安置回国定居藏胞并配合有关部门加强对他们的教育和管理工作，负责对国外藏胞</w:t>
      </w:r>
      <w:r>
        <w:rPr>
          <w:rFonts w:hint="eastAsia" w:ascii="仿宋_GB2312" w:hAnsi="仿宋_GB2312" w:eastAsia="仿宋_GB2312" w:cs="仿宋_GB2312"/>
          <w:sz w:val="32"/>
          <w:szCs w:val="32"/>
          <w:lang w:eastAsia="zh-CN"/>
        </w:rPr>
        <w:t>及其</w:t>
      </w:r>
      <w:r>
        <w:rPr>
          <w:rFonts w:hint="eastAsia" w:ascii="仿宋_GB2312" w:hAnsi="仿宋_GB2312" w:eastAsia="仿宋_GB2312" w:cs="仿宋_GB2312"/>
          <w:sz w:val="32"/>
          <w:szCs w:val="32"/>
        </w:rPr>
        <w:t>家属的宣传教育工作，组织动员国外藏胞为我县经济、教育、文化和卫生事业发展服务。</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9.统一领导港澳台统战工作，牵头开展港澳台统战工作，贯彻落实中央海外统战工作政策和规划并组织协调、做好统一战线外事管理工作。</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统一管理侨务工作，贯彻落实党的侨务工作方针政策，负责起草涉桥地方性法规草案、拟定全县侨务工作规划并组织协调、督促检查落实，调查研究侨情和侨务工作情况，管理侨务行政事务，统筹协调有关部门和社会团体涉桥工作，联系海外有关侨团和代表人士，负责海外侨胞代表人士在相关统战团体的安排，指导推动涉桥宣传、文化交流、华文教育等，保护华侨和归侨在县内的合法权利和利益。</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11.完成州委统战部、县委交办的其他事务。</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（三）人员概况</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截至2022年</w:t>
      </w:r>
      <w:r>
        <w:rPr>
          <w:rFonts w:hint="eastAsia" w:ascii="仿宋_GB2312" w:hAnsi="仿宋_GB2312" w:eastAsia="仿宋_GB2312" w:cs="仿宋_GB2312"/>
          <w:sz w:val="32"/>
          <w:szCs w:val="32"/>
        </w:rPr>
        <w:t>12月31日，在职总人数为11人。</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二、部门财政资金收支情况</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（一）部门财政资金收入情况</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2022年财政下达壤塘县统一战线工作部年初预算收入</w:t>
      </w:r>
      <w:r>
        <w:rPr>
          <w:rFonts w:hint="eastAsia" w:ascii="仿宋_GB2312" w:hAnsi="仿宋_GB2312" w:eastAsia="仿宋_GB2312" w:cs="仿宋_GB2312"/>
          <w:sz w:val="32"/>
          <w:szCs w:val="32"/>
        </w:rPr>
        <w:t>232.58</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执行期中追加收入</w:t>
      </w:r>
      <w:r>
        <w:rPr>
          <w:rFonts w:hint="eastAsia" w:ascii="仿宋_GB2312" w:hAnsi="仿宋_GB2312" w:eastAsia="仿宋_GB2312" w:cs="仿宋_GB2312"/>
          <w:sz w:val="32"/>
          <w:szCs w:val="32"/>
        </w:rPr>
        <w:t>285.18</w:t>
      </w:r>
      <w:r>
        <w:rPr>
          <w:rFonts w:hint="eastAsia" w:ascii="仿宋_GB2312" w:hAnsi="仿宋_GB2312" w:eastAsia="仿宋_GB2312" w:cs="仿宋_GB2312"/>
          <w:sz w:val="32"/>
          <w:szCs w:val="32"/>
          <w:lang w:val="zh-CN"/>
        </w:rPr>
        <w:t>万元。</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（二）部门财政资金支出情况</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2022年</w:t>
      </w:r>
      <w:r>
        <w:rPr>
          <w:rFonts w:hint="eastAsia" w:ascii="仿宋_GB2312" w:hAnsi="仿宋_GB2312" w:eastAsia="仿宋_GB2312" w:cs="仿宋_GB2312"/>
          <w:sz w:val="32"/>
          <w:szCs w:val="32"/>
        </w:rPr>
        <w:t>财政拨款</w:t>
      </w:r>
      <w:r>
        <w:rPr>
          <w:rFonts w:hint="eastAsia" w:ascii="仿宋_GB2312" w:hAnsi="仿宋_GB2312" w:eastAsia="仿宋_GB2312" w:cs="仿宋_GB2312"/>
          <w:sz w:val="32"/>
          <w:szCs w:val="32"/>
          <w:lang w:val="zh-CN"/>
        </w:rPr>
        <w:t>支出</w:t>
      </w:r>
      <w:r>
        <w:rPr>
          <w:rFonts w:hint="eastAsia" w:ascii="仿宋_GB2312" w:hAnsi="仿宋_GB2312" w:eastAsia="仿宋_GB2312" w:cs="仿宋_GB2312"/>
          <w:sz w:val="32"/>
          <w:szCs w:val="32"/>
          <w:lang w:eastAsia="zh-CN"/>
        </w:rPr>
        <w:t>615.94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zh-CN"/>
        </w:rPr>
        <w:t>基本支出</w:t>
      </w:r>
      <w:r>
        <w:rPr>
          <w:rFonts w:hint="eastAsia" w:ascii="仿宋_GB2312" w:hAnsi="仿宋_GB2312" w:eastAsia="仿宋_GB2312" w:cs="仿宋_GB2312"/>
          <w:sz w:val="32"/>
          <w:szCs w:val="32"/>
        </w:rPr>
        <w:t>292.14</w:t>
      </w:r>
      <w:r>
        <w:rPr>
          <w:rFonts w:hint="eastAsia" w:ascii="仿宋_GB2312" w:hAnsi="仿宋_GB2312" w:eastAsia="仿宋_GB2312" w:cs="仿宋_GB2312"/>
          <w:sz w:val="32"/>
          <w:szCs w:val="32"/>
          <w:lang w:val="zh-CN"/>
        </w:rPr>
        <w:t>万元，项目支出</w:t>
      </w:r>
      <w:r>
        <w:rPr>
          <w:rFonts w:hint="eastAsia" w:ascii="仿宋_GB2312" w:hAnsi="仿宋_GB2312" w:eastAsia="仿宋_GB2312" w:cs="仿宋_GB2312"/>
          <w:sz w:val="32"/>
          <w:szCs w:val="32"/>
        </w:rPr>
        <w:t>225.62</w:t>
      </w:r>
      <w:r>
        <w:rPr>
          <w:rFonts w:hint="eastAsia" w:ascii="仿宋_GB2312" w:hAnsi="仿宋_GB2312" w:eastAsia="仿宋_GB2312" w:cs="仿宋_GB2312"/>
          <w:sz w:val="32"/>
          <w:szCs w:val="32"/>
          <w:lang w:val="zh-CN"/>
        </w:rPr>
        <w:t>万元。</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三、部门整体预算绩效管理情况</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（一）行政成本</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“三公”经费控制。壤塘县委统战部</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年“三公”经费预算1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万元，决算支出1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万元。其中公务用车购置及运行维护费预算1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万元，决算支出1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万元（均为公务用车运行维护费）、公务接待费预算万元、决算支出0万元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均为国内接待费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、未发生因公出国（境）费，</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年“三公”经费决算公务用车购置及运行维护费年初预算为1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万元，决算支出为1</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万元，未超过年初预算数。</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（二）政府采购</w:t>
      </w:r>
    </w:p>
    <w:p>
      <w:pPr>
        <w:widowControl/>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采购规范性。壤塘县委统战部</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年度政府采购货物支出</w:t>
      </w:r>
      <w:r>
        <w:rPr>
          <w:rFonts w:hint="eastAsia" w:ascii="仿宋_GB2312" w:eastAsia="仿宋_GB2312"/>
          <w:color w:val="000000"/>
          <w:sz w:val="32"/>
          <w:szCs w:val="32"/>
        </w:rPr>
        <w:t>7.87</w:t>
      </w:r>
      <w:r>
        <w:rPr>
          <w:rFonts w:hint="eastAsia" w:ascii="仿宋_GB2312" w:eastAsia="仿宋_GB2312"/>
          <w:color w:val="000000"/>
          <w:sz w:val="32"/>
          <w:szCs w:val="32"/>
          <w:lang w:val="en-US" w:eastAsia="zh-CN"/>
        </w:rPr>
        <w:t>万元。</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（三）资产管理  </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固定资产在用率。</w:t>
      </w:r>
      <w:r>
        <w:rPr>
          <w:rFonts w:hint="eastAsia" w:ascii="仿宋_GB2312" w:hAnsi="仿宋_GB2312" w:eastAsia="仿宋_GB2312" w:cs="仿宋_GB2312"/>
          <w:sz w:val="32"/>
          <w:szCs w:val="32"/>
          <w:lang w:eastAsia="zh-CN"/>
        </w:rPr>
        <w:t>截至2022年</w:t>
      </w:r>
      <w:r>
        <w:rPr>
          <w:rFonts w:hint="eastAsia" w:ascii="仿宋_GB2312" w:hAnsi="仿宋_GB2312" w:eastAsia="仿宋_GB2312" w:cs="仿宋_GB2312"/>
          <w:sz w:val="32"/>
          <w:szCs w:val="32"/>
        </w:rPr>
        <w:t>12月31日，壤塘县委统战部《行政单位资产管理系统》固定资产总计107.32万元，在用的固定资产总计107.32万元，固定资产在用率达100%。</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（四）信息公开</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信息公开。壤塘县委统战部已经按财政要求及时完成预算、决算、绩效等信息公开工作，信息公开在壤塘县门户网站中。</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zh-CN"/>
        </w:rPr>
        <w:t>）部门预算管理</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1.绩效目标制定</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按照预算绩效管理要求，本部门对</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年一般公共预算项目支出开展了绩效</w:t>
      </w:r>
      <w:bookmarkStart w:id="163" w:name="_GoBack"/>
      <w:bookmarkEnd w:id="163"/>
      <w:r>
        <w:rPr>
          <w:rFonts w:hint="eastAsia" w:ascii="仿宋_GB2312" w:hAnsi="仿宋_GB2312" w:eastAsia="仿宋_GB2312" w:cs="仿宋_GB2312"/>
          <w:sz w:val="32"/>
          <w:szCs w:val="32"/>
        </w:rPr>
        <w:t>目标管理，共编制绩效目标覆盖率达到100%。</w:t>
      </w:r>
    </w:p>
    <w:p>
      <w:pPr>
        <w:widowControl/>
        <w:spacing w:line="560" w:lineRule="exact"/>
        <w:ind w:firstLine="640" w:firstLineChars="200"/>
        <w:rPr>
          <w:rFonts w:ascii="仿宋_GB2312" w:hAnsi="仿宋_GB2312" w:eastAsia="仿宋_GB2312" w:cs="仿宋_GB2312"/>
          <w:sz w:val="32"/>
          <w:szCs w:val="32"/>
        </w:rPr>
      </w:pPr>
      <w:bookmarkStart w:id="110" w:name="_Toc21155"/>
      <w:r>
        <w:rPr>
          <w:rFonts w:hint="eastAsia" w:ascii="仿宋_GB2312" w:hAnsi="仿宋_GB2312" w:eastAsia="仿宋_GB2312" w:cs="仿宋_GB2312"/>
          <w:sz w:val="32"/>
          <w:szCs w:val="32"/>
        </w:rPr>
        <w:t>2.</w:t>
      </w:r>
      <w:bookmarkEnd w:id="110"/>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年重点工作完成情况</w:t>
      </w:r>
    </w:p>
    <w:p>
      <w:pPr>
        <w:pStyle w:val="2"/>
        <w:adjustRightInd w:val="0"/>
        <w:snapToGrid w:val="0"/>
        <w:spacing w:beforeLines="0" w:line="560" w:lineRule="atLeast"/>
        <w:ind w:firstLine="640" w:firstLineChars="200"/>
        <w:rPr>
          <w:rFonts w:hAnsi="仿宋"/>
          <w:sz w:val="32"/>
          <w:szCs w:val="32"/>
        </w:rPr>
      </w:pPr>
      <w:r>
        <w:rPr>
          <w:rFonts w:hint="eastAsia" w:hAnsi="仿宋"/>
          <w:sz w:val="32"/>
          <w:szCs w:val="32"/>
          <w:lang w:eastAsia="zh-CN"/>
        </w:rPr>
        <w:t>2022</w:t>
      </w:r>
      <w:r>
        <w:rPr>
          <w:rFonts w:hint="eastAsia" w:hAnsi="仿宋"/>
          <w:sz w:val="32"/>
          <w:szCs w:val="32"/>
        </w:rPr>
        <w:t>年，县委统战部紧紧围绕县委、县政府中心工作， 认真贯彻中央、省委、州委统战工作决策部署，按照年初制定的工作要点，以铸牢中华民族共同体意识为主线，突出抓好寺庙依法管理、引导藏传佛教“中国化方向”、僧才培育培养、藏胞工作、非有公制经济、党外代表人士队伍建设等工作重点，坚持统战“四心”定位，切实发挥凝心聚力作用，破解重点难点问题，引导佛协、工商联充分发挥桥梁、纽带和助手作用，确保了壤塘县社会稳定、民族团结、宗教和顺、寺庙和谐、僧众和睦，切实提高了统战工作在县域工作中的贡献率，绘就了壤塘最大同心圆。</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3.预算编制准确</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在预算编制中进一步夯实预算编制基础，及时更新相关基础数据，严格控制“三公”经费预算及支出，预算编制及决算编制做到了及时、完整、准确、合理、高效。</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4.支出控制</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壤塘县统一战线工作部本年度资金使用过程中严格按照单位财务管理制度要求执行，资金使用的合规性体现在：</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（1）所有经费开支坚持财务审批制度，重大资金支出（日常公用经费在5万元及以上）由部务会会议研究决定。</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（2）在报销经费时，经办人使用统一规范的审批单，在审批单上写明用途、经办人员、股室负责人、财务负责人、单位领导、金额、报销日期等内容。</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经办人填写报销单→由业务股室办公室相关负责人确认签字→财务科人员核签字→领导（常务副部长）批准后，到财务科出纳处办理支付手续。</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业务股室负责人及其分管领导对其发生的支出用途及金额的真实性、准确性负责，并对其股室填写的支出审批单内容、大小写金额、票据张数进行审核。经济业务发生后，原则上在30天之内报账完毕。不得将几个经济事项的票据合并填报。</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审批领导审查财务收支的真实性、合法性、必要性，并在报销凭证上明确签署报销意见。所有费用报销实行单位负责人“一支笔”签批制度。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5.预算动态调整</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实行了预算动态调整，根据支出实际情况对预算有增减变动预算控制。</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6.预算执行进度</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年各阶段预算执行进度均达标。</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7.预算完成情况</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年预算完成100%。</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8.违规记录</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年单位无违规记录。</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（二）结果应用情况</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1.绩效自评质量情况：加强了绩效评价学习，基本保证了</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年绩效自评质量。</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2.绩效目标公开情况：</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年绩效目标与预算同步进行了公开。</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3.绩效自评公开情况：</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年绩效自评在政府公开网站进行了公开。</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4.评价结果整改情况：针对</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年绩效评价存在的问题进行了整改。</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5.应用结果反馈情况：绩效评价结果及时反馈给了财政部门。</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（一）评价结论</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绩效自评得分93.75分，自评结果：优。具体评分见附件4。</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（二）存在问题</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1.预算刚性约束不足，</w:t>
      </w:r>
      <w:r>
        <w:rPr>
          <w:rFonts w:hint="eastAsia" w:ascii="仿宋_GB2312" w:hAnsi="仿宋_GB2312" w:eastAsia="仿宋_GB2312" w:cs="仿宋_GB2312"/>
          <w:sz w:val="32"/>
          <w:szCs w:val="32"/>
          <w:lang w:eastAsia="zh-CN"/>
        </w:rPr>
        <w:t>2022</w:t>
      </w:r>
      <w:r>
        <w:rPr>
          <w:rFonts w:hint="eastAsia" w:ascii="仿宋_GB2312" w:hAnsi="仿宋_GB2312" w:eastAsia="仿宋_GB2312" w:cs="仿宋_GB2312"/>
          <w:sz w:val="32"/>
          <w:szCs w:val="32"/>
        </w:rPr>
        <w:t>年追加预算超40%。</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2.内控制度约束不足，项目预算执行以经验管理为主。</w:t>
      </w:r>
    </w:p>
    <w:p>
      <w:pPr>
        <w:widowControl/>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（三）改进建议</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1.加强内部控制体系建设，提高财政资金使用绩效。</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2.进一步落实厉行节约反对浪费，降低行政运行成本。</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3.加强资产管理，提高资产使用效率。</w:t>
      </w:r>
    </w:p>
    <w:p>
      <w:pPr>
        <w:spacing w:line="600" w:lineRule="exact"/>
        <w:jc w:val="left"/>
        <w:outlineLvl w:val="0"/>
        <w:rPr>
          <w:rFonts w:ascii="黑体" w:hAnsi="黑体" w:eastAsia="黑体" w:cs="黑体"/>
          <w:sz w:val="32"/>
          <w:szCs w:val="32"/>
        </w:rPr>
      </w:pPr>
      <w:bookmarkStart w:id="111" w:name="_Toc79163633"/>
    </w:p>
    <w:bookmarkEnd w:id="111"/>
    <w:p>
      <w:pPr>
        <w:spacing w:line="580" w:lineRule="exact"/>
        <w:rPr>
          <w:rFonts w:ascii="仿宋_GB2312" w:hAnsi="仿宋_GB2312" w:eastAsia="仿宋_GB2312" w:cs="仿宋_GB2312"/>
          <w:sz w:val="32"/>
          <w:szCs w:val="32"/>
        </w:rPr>
        <w:sectPr>
          <w:footerReference r:id="rId7" w:type="default"/>
          <w:pgSz w:w="11906" w:h="16838"/>
          <w:pgMar w:top="1440" w:right="1800" w:bottom="1440" w:left="1800" w:header="851" w:footer="992" w:gutter="0"/>
          <w:pgNumType w:start="14"/>
          <w:cols w:space="425" w:num="1"/>
          <w:docGrid w:type="lines" w:linePitch="312" w:charSpace="0"/>
        </w:sectPr>
      </w:pPr>
    </w:p>
    <w:p>
      <w:pPr>
        <w:pStyle w:val="2"/>
      </w:pPr>
    </w:p>
    <w:p>
      <w:pPr>
        <w:widowControl/>
        <w:jc w:val="left"/>
        <w:rPr>
          <w:rStyle w:val="27"/>
          <w:rFonts w:ascii="黑体" w:hAnsi="黑体" w:eastAsia="黑体"/>
          <w:b w:val="0"/>
        </w:rPr>
      </w:pPr>
      <w:bookmarkStart w:id="112" w:name="_Toc15396618"/>
      <w:bookmarkStart w:id="113" w:name="_Toc79163635"/>
      <w:r>
        <w:rPr>
          <w:rStyle w:val="27"/>
          <w:rFonts w:hint="eastAsia" w:ascii="黑体" w:hAnsi="黑体" w:eastAsia="黑体"/>
          <w:b w:val="0"/>
        </w:rPr>
        <w:t xml:space="preserve">             </w:t>
      </w:r>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04"/>
      <w:bookmarkEnd w:id="112"/>
      <w:bookmarkEnd w:id="113"/>
    </w:p>
    <w:p>
      <w:pPr>
        <w:pStyle w:val="4"/>
        <w:rPr>
          <w:rFonts w:ascii="仿宋" w:hAnsi="仿宋" w:eastAsia="仿宋"/>
          <w:color w:val="000000"/>
        </w:rPr>
      </w:pPr>
      <w:bookmarkStart w:id="114" w:name="_Toc15396619"/>
      <w:bookmarkStart w:id="115" w:name="_Toc17017"/>
      <w:bookmarkStart w:id="116" w:name="_Toc79163636"/>
      <w:bookmarkStart w:id="117" w:name="_Toc12640"/>
      <w:r>
        <w:rPr>
          <w:rFonts w:hint="eastAsia" w:ascii="仿宋" w:hAnsi="仿宋" w:eastAsia="仿宋"/>
          <w:b w:val="0"/>
          <w:color w:val="000000"/>
        </w:rPr>
        <w:t>一、收</w:t>
      </w:r>
      <w:r>
        <w:rPr>
          <w:rStyle w:val="28"/>
          <w:rFonts w:hint="eastAsia" w:ascii="仿宋" w:hAnsi="仿宋" w:eastAsia="仿宋"/>
          <w:b w:val="0"/>
          <w:bCs w:val="0"/>
        </w:rPr>
        <w:t>入支出决算总表</w:t>
      </w:r>
      <w:bookmarkEnd w:id="114"/>
      <w:bookmarkEnd w:id="115"/>
      <w:bookmarkEnd w:id="116"/>
      <w:bookmarkEnd w:id="117"/>
    </w:p>
    <w:p>
      <w:pPr>
        <w:pStyle w:val="4"/>
        <w:rPr>
          <w:rFonts w:ascii="仿宋" w:hAnsi="仿宋" w:eastAsia="仿宋"/>
          <w:color w:val="000000"/>
        </w:rPr>
      </w:pPr>
      <w:bookmarkStart w:id="118" w:name="_Toc13694"/>
      <w:bookmarkStart w:id="119" w:name="_Toc79163637"/>
      <w:bookmarkStart w:id="120" w:name="_Toc15396620"/>
      <w:bookmarkStart w:id="121" w:name="_Toc22435"/>
      <w:r>
        <w:rPr>
          <w:rFonts w:hint="eastAsia" w:ascii="仿宋" w:hAnsi="仿宋" w:eastAsia="仿宋"/>
          <w:b w:val="0"/>
          <w:color w:val="000000"/>
        </w:rPr>
        <w:t>二、收</w:t>
      </w:r>
      <w:r>
        <w:rPr>
          <w:rStyle w:val="28"/>
          <w:rFonts w:hint="eastAsia" w:ascii="仿宋" w:hAnsi="仿宋" w:eastAsia="仿宋"/>
          <w:b w:val="0"/>
          <w:bCs w:val="0"/>
        </w:rPr>
        <w:t>入决算表</w:t>
      </w:r>
      <w:bookmarkEnd w:id="118"/>
      <w:bookmarkEnd w:id="119"/>
      <w:bookmarkEnd w:id="120"/>
      <w:bookmarkEnd w:id="121"/>
    </w:p>
    <w:p>
      <w:pPr>
        <w:pStyle w:val="4"/>
        <w:rPr>
          <w:rFonts w:ascii="仿宋" w:hAnsi="仿宋" w:eastAsia="仿宋"/>
          <w:color w:val="000000"/>
        </w:rPr>
      </w:pPr>
      <w:bookmarkStart w:id="122" w:name="_Toc15396621"/>
      <w:bookmarkStart w:id="123" w:name="_Toc21288"/>
      <w:bookmarkStart w:id="124" w:name="_Toc79163638"/>
      <w:bookmarkStart w:id="125" w:name="_Toc22519"/>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2"/>
      <w:bookmarkEnd w:id="123"/>
      <w:bookmarkEnd w:id="124"/>
      <w:bookmarkEnd w:id="125"/>
    </w:p>
    <w:p>
      <w:pPr>
        <w:pStyle w:val="4"/>
        <w:rPr>
          <w:rFonts w:ascii="仿宋" w:hAnsi="仿宋" w:eastAsia="仿宋"/>
          <w:b w:val="0"/>
          <w:color w:val="000000"/>
        </w:rPr>
      </w:pPr>
      <w:bookmarkStart w:id="126" w:name="_Toc15396622"/>
      <w:bookmarkStart w:id="127" w:name="_Toc79163639"/>
      <w:bookmarkStart w:id="128" w:name="_Toc30975"/>
      <w:bookmarkStart w:id="129" w:name="_Toc30018"/>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6"/>
      <w:bookmarkEnd w:id="127"/>
      <w:bookmarkEnd w:id="128"/>
      <w:bookmarkEnd w:id="129"/>
    </w:p>
    <w:p>
      <w:pPr>
        <w:pStyle w:val="4"/>
        <w:rPr>
          <w:rStyle w:val="28"/>
          <w:rFonts w:ascii="仿宋" w:hAnsi="仿宋" w:eastAsia="仿宋"/>
          <w:b w:val="0"/>
          <w:bCs w:val="0"/>
        </w:rPr>
      </w:pPr>
      <w:bookmarkStart w:id="130" w:name="_Toc8697"/>
      <w:bookmarkStart w:id="131" w:name="_Toc15396623"/>
      <w:bookmarkStart w:id="132" w:name="_Toc7080"/>
      <w:bookmarkStart w:id="133" w:name="_Toc7916364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0"/>
      <w:bookmarkEnd w:id="131"/>
      <w:bookmarkEnd w:id="132"/>
      <w:bookmarkEnd w:id="133"/>
      <w:bookmarkStart w:id="134" w:name="_Toc15396624"/>
    </w:p>
    <w:p>
      <w:pPr>
        <w:pStyle w:val="4"/>
        <w:rPr>
          <w:rFonts w:ascii="仿宋" w:hAnsi="仿宋" w:eastAsia="仿宋"/>
          <w:color w:val="000000"/>
        </w:rPr>
      </w:pPr>
      <w:bookmarkStart w:id="135" w:name="_Toc79163641"/>
      <w:bookmarkStart w:id="136" w:name="_Toc18515"/>
      <w:bookmarkStart w:id="137" w:name="_Toc27768"/>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4"/>
      <w:bookmarkEnd w:id="135"/>
      <w:bookmarkEnd w:id="136"/>
      <w:bookmarkEnd w:id="137"/>
    </w:p>
    <w:p>
      <w:pPr>
        <w:pStyle w:val="4"/>
        <w:rPr>
          <w:rFonts w:ascii="仿宋" w:hAnsi="仿宋" w:eastAsia="仿宋"/>
          <w:color w:val="000000"/>
        </w:rPr>
      </w:pPr>
      <w:bookmarkStart w:id="138" w:name="_Toc15840"/>
      <w:bookmarkStart w:id="139" w:name="_Toc79163642"/>
      <w:bookmarkStart w:id="140" w:name="_Toc21168"/>
      <w:bookmarkStart w:id="141"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bookmarkEnd w:id="141"/>
    </w:p>
    <w:p>
      <w:pPr>
        <w:pStyle w:val="4"/>
        <w:rPr>
          <w:rFonts w:ascii="仿宋" w:hAnsi="仿宋" w:eastAsia="仿宋"/>
          <w:color w:val="000000"/>
        </w:rPr>
      </w:pPr>
      <w:bookmarkStart w:id="142" w:name="_Toc29548"/>
      <w:bookmarkStart w:id="143" w:name="_Toc29358"/>
      <w:bookmarkStart w:id="144" w:name="_Toc79163643"/>
      <w:bookmarkStart w:id="145"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2"/>
      <w:bookmarkEnd w:id="143"/>
      <w:bookmarkEnd w:id="144"/>
      <w:bookmarkEnd w:id="145"/>
    </w:p>
    <w:p>
      <w:pPr>
        <w:pStyle w:val="4"/>
        <w:rPr>
          <w:rFonts w:ascii="仿宋" w:hAnsi="仿宋" w:eastAsia="仿宋"/>
          <w:color w:val="000000"/>
        </w:rPr>
      </w:pPr>
      <w:bookmarkStart w:id="146" w:name="_Toc79163894"/>
      <w:bookmarkStart w:id="147" w:name="_Toc15396627"/>
      <w:bookmarkStart w:id="148"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6"/>
      <w:bookmarkEnd w:id="147"/>
      <w:bookmarkEnd w:id="148"/>
    </w:p>
    <w:p>
      <w:pPr>
        <w:pStyle w:val="4"/>
        <w:rPr>
          <w:rFonts w:ascii="仿宋" w:hAnsi="仿宋" w:eastAsia="仿宋"/>
          <w:color w:val="000000"/>
        </w:rPr>
      </w:pPr>
      <w:bookmarkStart w:id="149" w:name="_Toc79163895"/>
      <w:bookmarkStart w:id="150" w:name="_Toc79163645"/>
      <w:bookmarkStart w:id="151" w:name="_Toc15396628"/>
      <w:r>
        <w:rPr>
          <w:rStyle w:val="28"/>
          <w:rFonts w:hint="eastAsia" w:ascii="仿宋" w:hAnsi="仿宋" w:eastAsia="仿宋"/>
          <w:b w:val="0"/>
          <w:bCs w:val="0"/>
        </w:rPr>
        <w:t>十、</w:t>
      </w:r>
      <w:bookmarkEnd w:id="149"/>
      <w:bookmarkEnd w:id="150"/>
      <w:bookmarkEnd w:id="151"/>
      <w:bookmarkStart w:id="152" w:name="_Toc15396629"/>
      <w:bookmarkStart w:id="153" w:name="_Toc79163896"/>
      <w:bookmarkStart w:id="154" w:name="_Toc79163646"/>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2"/>
      <w:bookmarkEnd w:id="153"/>
      <w:bookmarkEnd w:id="154"/>
    </w:p>
    <w:p>
      <w:pPr>
        <w:pStyle w:val="4"/>
        <w:rPr>
          <w:rStyle w:val="28"/>
          <w:rFonts w:ascii="仿宋" w:hAnsi="仿宋" w:eastAsia="仿宋"/>
          <w:b w:val="0"/>
          <w:bCs w:val="0"/>
        </w:rPr>
      </w:pPr>
      <w:bookmarkStart w:id="155" w:name="_Toc79163897"/>
      <w:bookmarkStart w:id="156" w:name="_Toc79163647"/>
      <w:bookmarkStart w:id="157" w:name="_Toc15396630"/>
      <w:r>
        <w:rPr>
          <w:rStyle w:val="28"/>
          <w:rFonts w:hint="eastAsia" w:ascii="仿宋" w:hAnsi="仿宋" w:eastAsia="仿宋"/>
          <w:b w:val="0"/>
          <w:bCs w:val="0"/>
        </w:rPr>
        <w:t>十</w:t>
      </w:r>
      <w:bookmarkEnd w:id="155"/>
      <w:bookmarkEnd w:id="156"/>
      <w:bookmarkEnd w:id="157"/>
      <w:bookmarkStart w:id="158" w:name="_Toc79163898"/>
      <w:bookmarkStart w:id="159" w:name="_Toc15396631"/>
      <w:bookmarkStart w:id="160" w:name="_Toc79163648"/>
      <w:r>
        <w:rPr>
          <w:rStyle w:val="28"/>
          <w:rFonts w:hint="eastAsia" w:ascii="仿宋" w:hAnsi="仿宋" w:eastAsia="仿宋"/>
          <w:b w:val="0"/>
          <w:bCs w:val="0"/>
          <w:lang w:val="en-US" w:eastAsia="zh-CN"/>
        </w:rPr>
        <w:t>一</w:t>
      </w:r>
      <w:r>
        <w:rPr>
          <w:rStyle w:val="28"/>
          <w:rFonts w:hint="eastAsia" w:ascii="仿宋" w:hAnsi="仿宋" w:eastAsia="仿宋"/>
          <w:b w:val="0"/>
          <w:bCs w:val="0"/>
        </w:rPr>
        <w:t>、</w:t>
      </w:r>
      <w:r>
        <w:rPr>
          <w:rFonts w:hint="eastAsia" w:ascii="仿宋" w:hAnsi="仿宋" w:eastAsia="仿宋"/>
          <w:b w:val="0"/>
          <w:color w:val="000000"/>
        </w:rPr>
        <w:t>国</w:t>
      </w:r>
      <w:r>
        <w:rPr>
          <w:rStyle w:val="28"/>
          <w:rFonts w:hint="eastAsia" w:ascii="仿宋" w:hAnsi="仿宋" w:eastAsia="仿宋"/>
          <w:b w:val="0"/>
          <w:bCs w:val="0"/>
        </w:rPr>
        <w:t>有资本经营预算财政拨款</w:t>
      </w:r>
      <w:r>
        <w:rPr>
          <w:rStyle w:val="28"/>
          <w:rFonts w:hint="eastAsia" w:ascii="仿宋" w:hAnsi="仿宋" w:eastAsia="仿宋"/>
          <w:b w:val="0"/>
          <w:bCs w:val="0"/>
          <w:lang w:val="en-US" w:eastAsia="zh-CN"/>
        </w:rPr>
        <w:t>收入</w:t>
      </w:r>
      <w:r>
        <w:rPr>
          <w:rStyle w:val="28"/>
          <w:rFonts w:hint="eastAsia" w:ascii="仿宋" w:hAnsi="仿宋" w:eastAsia="仿宋"/>
          <w:b w:val="0"/>
          <w:bCs w:val="0"/>
        </w:rPr>
        <w:t>支出决算表</w:t>
      </w:r>
      <w:bookmarkEnd w:id="158"/>
      <w:bookmarkEnd w:id="159"/>
      <w:bookmarkEnd w:id="160"/>
    </w:p>
    <w:p>
      <w:pPr>
        <w:pStyle w:val="4"/>
        <w:rPr>
          <w:rStyle w:val="28"/>
          <w:rFonts w:hint="eastAsia" w:ascii="仿宋" w:hAnsi="仿宋" w:eastAsia="仿宋"/>
          <w:b w:val="0"/>
          <w:bCs w:val="0"/>
        </w:rPr>
      </w:pPr>
      <w:bookmarkStart w:id="161" w:name="_Toc79163649"/>
      <w:bookmarkStart w:id="162" w:name="_Toc79163899"/>
      <w:r>
        <w:rPr>
          <w:rStyle w:val="28"/>
          <w:rFonts w:hint="eastAsia" w:ascii="仿宋" w:hAnsi="仿宋" w:eastAsia="仿宋"/>
          <w:b w:val="0"/>
          <w:bCs w:val="0"/>
        </w:rPr>
        <w:t>十</w:t>
      </w:r>
      <w:r>
        <w:rPr>
          <w:rStyle w:val="28"/>
          <w:rFonts w:hint="eastAsia" w:ascii="仿宋" w:hAnsi="仿宋" w:eastAsia="仿宋"/>
          <w:b w:val="0"/>
          <w:bCs w:val="0"/>
          <w:lang w:val="en-US" w:eastAsia="zh-CN"/>
        </w:rPr>
        <w:t>二</w:t>
      </w:r>
      <w:r>
        <w:rPr>
          <w:rStyle w:val="28"/>
          <w:rFonts w:hint="eastAsia" w:ascii="仿宋" w:hAnsi="仿宋" w:eastAsia="仿宋"/>
          <w:b w:val="0"/>
          <w:bCs w:val="0"/>
        </w:rPr>
        <w:t>、国有资本经营预算财政拨款支出决算表</w:t>
      </w:r>
      <w:bookmarkEnd w:id="161"/>
      <w:bookmarkEnd w:id="162"/>
    </w:p>
    <w:p>
      <w:r>
        <w:rPr>
          <w:rStyle w:val="28"/>
          <w:rFonts w:hint="eastAsia" w:ascii="仿宋" w:hAnsi="仿宋" w:eastAsia="仿宋"/>
          <w:b w:val="0"/>
          <w:bCs w:val="0"/>
          <w:lang w:val="en-US" w:eastAsia="zh-CN"/>
        </w:rPr>
        <w:t>十三、</w:t>
      </w:r>
      <w:r>
        <w:rPr>
          <w:rStyle w:val="28"/>
          <w:rFonts w:hint="eastAsia" w:ascii="仿宋" w:hAnsi="仿宋" w:eastAsia="仿宋"/>
          <w:b w:val="0"/>
          <w:bCs w:val="0"/>
        </w:rPr>
        <w:t>财政拨款“三公”经费支出决算表</w:t>
      </w:r>
    </w:p>
    <w:p>
      <w:pPr>
        <w:pStyle w:val="4"/>
        <w:rPr>
          <w:rStyle w:val="28"/>
          <w:rFonts w:ascii="仿宋" w:hAnsi="仿宋" w:eastAsia="仿宋"/>
          <w:b w:val="0"/>
          <w:bCs w:val="0"/>
        </w:rPr>
      </w:pP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4</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ZTE1ODY4NjI5ZTgzNzg4MTE3Yjg5NzIyYmY3YzYifQ=="/>
  </w:docVars>
  <w:rsids>
    <w:rsidRoot w:val="00F1361C"/>
    <w:rsid w:val="000222C6"/>
    <w:rsid w:val="0002549F"/>
    <w:rsid w:val="000468DB"/>
    <w:rsid w:val="0006487A"/>
    <w:rsid w:val="00064A97"/>
    <w:rsid w:val="00065F8F"/>
    <w:rsid w:val="00070A43"/>
    <w:rsid w:val="000768F2"/>
    <w:rsid w:val="00083BA5"/>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667A3"/>
    <w:rsid w:val="0027224D"/>
    <w:rsid w:val="00280496"/>
    <w:rsid w:val="00282EBD"/>
    <w:rsid w:val="00294DC9"/>
    <w:rsid w:val="00295495"/>
    <w:rsid w:val="00296306"/>
    <w:rsid w:val="002A31DE"/>
    <w:rsid w:val="002B2613"/>
    <w:rsid w:val="002D6D05"/>
    <w:rsid w:val="002F1818"/>
    <w:rsid w:val="002F567B"/>
    <w:rsid w:val="003216A9"/>
    <w:rsid w:val="00335A74"/>
    <w:rsid w:val="00361CE5"/>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2CAD"/>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280D"/>
    <w:rsid w:val="0071798E"/>
    <w:rsid w:val="007416B6"/>
    <w:rsid w:val="00746F48"/>
    <w:rsid w:val="0075404D"/>
    <w:rsid w:val="00756B72"/>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3D3C"/>
    <w:rsid w:val="008253BB"/>
    <w:rsid w:val="0083706E"/>
    <w:rsid w:val="008408F6"/>
    <w:rsid w:val="008423A5"/>
    <w:rsid w:val="00850625"/>
    <w:rsid w:val="00853718"/>
    <w:rsid w:val="00855221"/>
    <w:rsid w:val="00860645"/>
    <w:rsid w:val="008632E0"/>
    <w:rsid w:val="00871F71"/>
    <w:rsid w:val="00872FD8"/>
    <w:rsid w:val="008827C9"/>
    <w:rsid w:val="00885AF4"/>
    <w:rsid w:val="00892977"/>
    <w:rsid w:val="008939CD"/>
    <w:rsid w:val="008B768C"/>
    <w:rsid w:val="008C4DB1"/>
    <w:rsid w:val="008C4EAF"/>
    <w:rsid w:val="008C5176"/>
    <w:rsid w:val="008C7BD1"/>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A714C"/>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0BAD"/>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A02C0"/>
    <w:rsid w:val="00BB4DF0"/>
    <w:rsid w:val="00BC289F"/>
    <w:rsid w:val="00BC2D50"/>
    <w:rsid w:val="00BC5361"/>
    <w:rsid w:val="00BC5460"/>
    <w:rsid w:val="00BC6B50"/>
    <w:rsid w:val="00BD0E25"/>
    <w:rsid w:val="00BE5E6B"/>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3C75"/>
    <w:rsid w:val="00CB4E70"/>
    <w:rsid w:val="00CC09B6"/>
    <w:rsid w:val="00CC0A1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50B6D23"/>
    <w:rsid w:val="0A2032A3"/>
    <w:rsid w:val="0DD752A7"/>
    <w:rsid w:val="0E7D2C2A"/>
    <w:rsid w:val="0FF461BD"/>
    <w:rsid w:val="10C055FF"/>
    <w:rsid w:val="118107EC"/>
    <w:rsid w:val="16BB723D"/>
    <w:rsid w:val="1A3B5DFE"/>
    <w:rsid w:val="1D155CEE"/>
    <w:rsid w:val="240371BF"/>
    <w:rsid w:val="249E73D4"/>
    <w:rsid w:val="27203F50"/>
    <w:rsid w:val="278154B6"/>
    <w:rsid w:val="29FD04D3"/>
    <w:rsid w:val="30BF48C2"/>
    <w:rsid w:val="314430A9"/>
    <w:rsid w:val="319F7F4E"/>
    <w:rsid w:val="326B7F22"/>
    <w:rsid w:val="3CA56B3A"/>
    <w:rsid w:val="40737482"/>
    <w:rsid w:val="44384737"/>
    <w:rsid w:val="47486AC1"/>
    <w:rsid w:val="4E5E075D"/>
    <w:rsid w:val="4ECE2238"/>
    <w:rsid w:val="4FBD2223"/>
    <w:rsid w:val="51B33D72"/>
    <w:rsid w:val="53B94A5D"/>
    <w:rsid w:val="55BB3A6D"/>
    <w:rsid w:val="55EB7FF2"/>
    <w:rsid w:val="66F66060"/>
    <w:rsid w:val="68D75A1D"/>
    <w:rsid w:val="69227516"/>
    <w:rsid w:val="6ACA6605"/>
    <w:rsid w:val="6C4A05C8"/>
    <w:rsid w:val="6FEE1FCA"/>
    <w:rsid w:val="72734D90"/>
    <w:rsid w:val="F41AF6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6"/>
    <w:qFormat/>
    <w:uiPriority w:val="99"/>
    <w:pPr>
      <w:spacing w:beforeLines="30"/>
    </w:pPr>
    <w:rPr>
      <w:rFonts w:ascii="仿宋_GB2312" w:eastAsia="仿宋_GB2312"/>
      <w:kern w:val="0"/>
      <w:sz w:val="24"/>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Indent"/>
    <w:basedOn w:val="1"/>
    <w:next w:val="8"/>
    <w:qFormat/>
    <w:uiPriority w:val="99"/>
    <w:pPr>
      <w:spacing w:line="600" w:lineRule="atLeast"/>
      <w:ind w:firstLine="630"/>
    </w:pPr>
    <w:rPr>
      <w:rFonts w:eastAsia="仿宋_GB2312"/>
      <w:sz w:val="32"/>
    </w:rPr>
  </w:style>
  <w:style w:type="paragraph" w:styleId="8">
    <w:name w:val="Body Text First Indent 2"/>
    <w:basedOn w:val="7"/>
    <w:qFormat/>
    <w:uiPriority w:val="99"/>
    <w:rPr>
      <w:rFonts w:eastAsia="宋体"/>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3">
    <w:name w:val="Strong"/>
    <w:basedOn w:val="22"/>
    <w:qFormat/>
    <w:uiPriority w:val="99"/>
    <w:rPr>
      <w:rFonts w:cs="Times New Roman"/>
      <w:b/>
    </w:rPr>
  </w:style>
  <w:style w:type="character" w:styleId="24">
    <w:name w:val="page number"/>
    <w:basedOn w:val="22"/>
    <w:qFormat/>
    <w:uiPriority w:val="0"/>
  </w:style>
  <w:style w:type="character" w:styleId="25">
    <w:name w:val="Hyperlink"/>
    <w:basedOn w:val="22"/>
    <w:unhideWhenUsed/>
    <w:qFormat/>
    <w:uiPriority w:val="99"/>
    <w:rPr>
      <w:rFonts w:cs="Times New Roman"/>
      <w:color w:val="0000FF"/>
      <w:u w:val="single"/>
    </w:rPr>
  </w:style>
  <w:style w:type="paragraph" w:customStyle="1" w:styleId="26">
    <w:name w:val="文档正文"/>
    <w:basedOn w:val="1"/>
    <w:qFormat/>
    <w:uiPriority w:val="99"/>
    <w:pPr>
      <w:spacing w:line="480" w:lineRule="atLeast"/>
      <w:textAlignment w:val="baseline"/>
    </w:pPr>
    <w:rPr>
      <w:rFonts w:ascii="Arial" w:hAnsi="Arial" w:cs="Arial"/>
    </w:rPr>
  </w:style>
  <w:style w:type="character" w:customStyle="1" w:styleId="27">
    <w:name w:val="标题 1 Char"/>
    <w:basedOn w:val="22"/>
    <w:link w:val="3"/>
    <w:qFormat/>
    <w:locked/>
    <w:uiPriority w:val="9"/>
    <w:rPr>
      <w:rFonts w:ascii="Times New Roman" w:hAnsi="Times New Roman" w:cs="Times New Roman"/>
      <w:b/>
      <w:bCs/>
      <w:kern w:val="44"/>
      <w:sz w:val="44"/>
      <w:szCs w:val="44"/>
    </w:rPr>
  </w:style>
  <w:style w:type="character" w:customStyle="1" w:styleId="28">
    <w:name w:val="标题 2 Char"/>
    <w:basedOn w:val="22"/>
    <w:link w:val="4"/>
    <w:qFormat/>
    <w:locked/>
    <w:uiPriority w:val="9"/>
    <w:rPr>
      <w:rFonts w:ascii="Cambria" w:hAnsi="Cambria" w:eastAsia="宋体" w:cs="Times New Roman"/>
      <w:b/>
      <w:bCs/>
      <w:kern w:val="2"/>
      <w:sz w:val="32"/>
      <w:szCs w:val="32"/>
    </w:rPr>
  </w:style>
  <w:style w:type="character" w:customStyle="1" w:styleId="29">
    <w:name w:val="标题 3 Char"/>
    <w:basedOn w:val="22"/>
    <w:link w:val="5"/>
    <w:qFormat/>
    <w:locked/>
    <w:uiPriority w:val="9"/>
    <w:rPr>
      <w:rFonts w:ascii="Times New Roman" w:hAnsi="Times New Roman" w:cs="Times New Roman"/>
      <w:b/>
      <w:bCs/>
      <w:kern w:val="2"/>
      <w:sz w:val="32"/>
      <w:szCs w:val="32"/>
    </w:rPr>
  </w:style>
  <w:style w:type="character" w:customStyle="1" w:styleId="30">
    <w:name w:val="Body Text Char"/>
    <w:basedOn w:val="22"/>
    <w:semiHidden/>
    <w:qFormat/>
    <w:uiPriority w:val="99"/>
    <w:rPr>
      <w:rFonts w:ascii="Times New Roman" w:hAnsi="Times New Roman" w:cs="Times New Roman"/>
      <w:sz w:val="24"/>
      <w:szCs w:val="24"/>
    </w:rPr>
  </w:style>
  <w:style w:type="character" w:customStyle="1" w:styleId="31">
    <w:name w:val="批注框文本 Char"/>
    <w:basedOn w:val="22"/>
    <w:link w:val="12"/>
    <w:semiHidden/>
    <w:qFormat/>
    <w:locked/>
    <w:uiPriority w:val="99"/>
    <w:rPr>
      <w:rFonts w:ascii="Times New Roman" w:hAnsi="Times New Roman" w:cs="Times New Roman"/>
      <w:kern w:val="2"/>
      <w:sz w:val="18"/>
      <w:szCs w:val="18"/>
    </w:rPr>
  </w:style>
  <w:style w:type="character" w:customStyle="1" w:styleId="32">
    <w:name w:val="Footer Char"/>
    <w:basedOn w:val="22"/>
    <w:semiHidden/>
    <w:qFormat/>
    <w:uiPriority w:val="99"/>
    <w:rPr>
      <w:rFonts w:ascii="Times New Roman" w:hAnsi="Times New Roman" w:cs="Times New Roman"/>
      <w:sz w:val="18"/>
      <w:szCs w:val="18"/>
    </w:rPr>
  </w:style>
  <w:style w:type="character" w:customStyle="1" w:styleId="33">
    <w:name w:val="Header Char"/>
    <w:basedOn w:val="22"/>
    <w:semiHidden/>
    <w:qFormat/>
    <w:uiPriority w:val="99"/>
    <w:rPr>
      <w:rFonts w:ascii="Times New Roman" w:hAnsi="Times New Roman" w:cs="Times New Roman"/>
      <w:sz w:val="18"/>
      <w:szCs w:val="18"/>
    </w:rPr>
  </w:style>
  <w:style w:type="character" w:customStyle="1" w:styleId="34">
    <w:name w:val="页眉 Char"/>
    <w:link w:val="14"/>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2"/>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2">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3">
    <w:name w:val="四号正文"/>
    <w:basedOn w:val="1"/>
    <w:qFormat/>
    <w:uiPriority w:val="0"/>
    <w:pPr>
      <w:spacing w:line="360" w:lineRule="auto"/>
    </w:pPr>
    <w:rPr>
      <w:rFonts w:ascii="??" w:hAnsi="??" w:cs="宋体"/>
      <w:color w:val="000000"/>
      <w:kern w:val="0"/>
      <w:sz w:val="28"/>
      <w:szCs w:val="21"/>
    </w:rPr>
  </w:style>
  <w:style w:type="paragraph" w:customStyle="1" w:styleId="44">
    <w:name w:val="列出段落1"/>
    <w:basedOn w:val="1"/>
    <w:qFormat/>
    <w:uiPriority w:val="34"/>
    <w:pPr>
      <w:ind w:firstLine="420" w:firstLineChars="200"/>
    </w:pPr>
    <w:rPr>
      <w:rFonts w:ascii="Calibri" w:hAnsi="Calibri"/>
    </w:rPr>
  </w:style>
  <w:style w:type="paragraph" w:styleId="45">
    <w:name w:val="No Spacing"/>
    <w:link w:val="46"/>
    <w:qFormat/>
    <w:uiPriority w:val="1"/>
    <w:rPr>
      <w:rFonts w:asciiTheme="minorHAnsi" w:hAnsiTheme="minorHAnsi" w:eastAsiaTheme="minorEastAsia" w:cstheme="minorBidi"/>
      <w:sz w:val="22"/>
      <w:szCs w:val="22"/>
      <w:lang w:val="en-US" w:eastAsia="zh-CN" w:bidi="ar-SA"/>
    </w:rPr>
  </w:style>
  <w:style w:type="character" w:customStyle="1" w:styleId="46">
    <w:name w:val="无间隔 Char"/>
    <w:basedOn w:val="22"/>
    <w:link w:val="45"/>
    <w:qFormat/>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hart" Target="charts/chart9.xml"/><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436.36</c:v>
                </c:pt>
                <c:pt idx="1">
                  <c:v>615.94</c:v>
                </c:pt>
              </c:numCache>
            </c:numRef>
          </c:val>
        </c:ser>
        <c:dLbls>
          <c:showLegendKey val="0"/>
          <c:showVal val="0"/>
          <c:showCatName val="0"/>
          <c:showSerName val="0"/>
          <c:showPercent val="0"/>
          <c:showBubbleSize val="0"/>
        </c:dLbls>
        <c:gapWidth val="219"/>
        <c:overlap val="-27"/>
        <c:axId val="159280970"/>
        <c:axId val="955129171"/>
      </c:barChart>
      <c:catAx>
        <c:axId val="15928097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129171"/>
        <c:crosses val="autoZero"/>
        <c:auto val="1"/>
        <c:lblAlgn val="ctr"/>
        <c:lblOffset val="100"/>
        <c:noMultiLvlLbl val="0"/>
      </c:catAx>
      <c:valAx>
        <c:axId val="95512917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28097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General</c:formatCode>
                <c:ptCount val="2"/>
                <c:pt idx="0">
                  <c:v>517.76</c:v>
                </c:pt>
                <c:pt idx="1" c:formatCode="#,##0.00">
                  <c:v>615.94</c:v>
                </c:pt>
              </c:numCache>
            </c:numRef>
          </c:val>
        </c:ser>
        <c:dLbls>
          <c:showLegendKey val="0"/>
          <c:showVal val="0"/>
          <c:showCatName val="0"/>
          <c:showSerName val="0"/>
          <c:showPercent val="0"/>
          <c:showBubbleSize val="0"/>
        </c:dLbls>
        <c:gapWidth val="219"/>
        <c:overlap val="-27"/>
        <c:axId val="179916734"/>
        <c:axId val="154665747"/>
      </c:barChart>
      <c:catAx>
        <c:axId val="1799167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665747"/>
        <c:crosses val="autoZero"/>
        <c:auto val="1"/>
        <c:lblAlgn val="ctr"/>
        <c:lblOffset val="100"/>
        <c:noMultiLvlLbl val="0"/>
      </c:catAx>
      <c:valAx>
        <c:axId val="15466574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99167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收入合计</a:t>
            </a:r>
          </a:p>
        </c:rich>
      </c:tx>
      <c:layout/>
      <c:overlay val="0"/>
      <c:spPr>
        <a:noFill/>
        <a:ln>
          <a:noFill/>
        </a:ln>
        <a:effectLst/>
      </c:spPr>
    </c:title>
    <c:autoTitleDeleted val="0"/>
    <c:plotArea>
      <c:layout/>
      <c:pieChart>
        <c:varyColors val="1"/>
        <c:ser>
          <c:idx val="0"/>
          <c:order val="0"/>
          <c:tx>
            <c:strRef>
              <c:f>Sheet1!$B$1</c:f>
              <c:strCache>
                <c:ptCount val="1"/>
                <c:pt idx="0">
                  <c:v>收入合计</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财政拨款收入</c:v>
                </c:pt>
              </c:strCache>
            </c:strRef>
          </c:cat>
          <c:val>
            <c:numRef>
              <c:f>Sheet1!$B$2:$B$5</c:f>
              <c:numCache>
                <c:formatCode>General</c:formatCode>
                <c:ptCount val="4"/>
                <c:pt idx="0">
                  <c:v>436.36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77901636243991"/>
          <c:y val="0.808682623834358"/>
          <c:w val="0.244087213599409"/>
          <c:h val="0.09959349593495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298.8</c:v>
                </c:pt>
                <c:pt idx="1">
                  <c:v>317.14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4551656286381"/>
          <c:h val="0.08993817059549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436.36</c:v>
                </c:pt>
                <c:pt idx="1">
                  <c:v>615.94</c:v>
                </c:pt>
              </c:numCache>
            </c:numRef>
          </c:val>
        </c:ser>
        <c:dLbls>
          <c:showLegendKey val="0"/>
          <c:showVal val="0"/>
          <c:showCatName val="0"/>
          <c:showSerName val="0"/>
          <c:showPercent val="0"/>
          <c:showBubbleSize val="0"/>
        </c:dLbls>
        <c:gapWidth val="219"/>
        <c:overlap val="-27"/>
        <c:axId val="205474475"/>
        <c:axId val="440277087"/>
      </c:barChart>
      <c:catAx>
        <c:axId val="2054744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0277087"/>
        <c:crosses val="autoZero"/>
        <c:auto val="1"/>
        <c:lblAlgn val="ctr"/>
        <c:lblOffset val="100"/>
        <c:noMultiLvlLbl val="0"/>
      </c:catAx>
      <c:valAx>
        <c:axId val="44027708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4744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[决算公开分析图表.xls]Sheet1!$A$104:$B$104</c:f>
              <c:strCache>
                <c:ptCount val="2"/>
                <c:pt idx="0">
                  <c:v>2021年</c:v>
                </c:pt>
                <c:pt idx="1">
                  <c:v>2022年</c:v>
                </c:pt>
              </c:strCache>
            </c:strRef>
          </c:cat>
          <c:val>
            <c:numRef>
              <c:f>[决算公开分析图表.xls]Sheet1!$A$105:$B$105</c:f>
              <c:numCache>
                <c:formatCode>General</c:formatCode>
                <c:ptCount val="2"/>
                <c:pt idx="0">
                  <c:v>517.76</c:v>
                </c:pt>
                <c:pt idx="1" c:formatCode="#,##0.00">
                  <c:v>615.94</c:v>
                </c:pt>
              </c:numCache>
            </c:numRef>
          </c:val>
        </c:ser>
        <c:dLbls>
          <c:showLegendKey val="0"/>
          <c:showVal val="0"/>
          <c:showCatName val="0"/>
          <c:showSerName val="0"/>
          <c:showPercent val="0"/>
          <c:showBubbleSize val="0"/>
        </c:dLbls>
        <c:gapWidth val="219"/>
        <c:overlap val="-27"/>
        <c:axId val="362609874"/>
        <c:axId val="19778529"/>
      </c:barChart>
      <c:catAx>
        <c:axId val="36260987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778529"/>
        <c:crosses val="autoZero"/>
        <c:auto val="1"/>
        <c:lblAlgn val="ctr"/>
        <c:lblOffset val="100"/>
        <c:noMultiLvlLbl val="0"/>
      </c:catAx>
      <c:valAx>
        <c:axId val="1977852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26098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General</c:formatCode>
                <c:ptCount val="2"/>
                <c:pt idx="0">
                  <c:v>517.76</c:v>
                </c:pt>
                <c:pt idx="1" c:formatCode="#,##0.00">
                  <c:v>615.94</c:v>
                </c:pt>
              </c:numCache>
            </c:numRef>
          </c:val>
        </c:ser>
        <c:dLbls>
          <c:showLegendKey val="0"/>
          <c:showVal val="0"/>
          <c:showCatName val="0"/>
          <c:showSerName val="0"/>
          <c:showPercent val="0"/>
          <c:showBubbleSize val="0"/>
        </c:dLbls>
        <c:gapWidth val="219"/>
        <c:overlap val="-27"/>
        <c:axId val="851462412"/>
        <c:axId val="373732305"/>
      </c:barChart>
      <c:catAx>
        <c:axId val="8514624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3732305"/>
        <c:crosses val="autoZero"/>
        <c:auto val="1"/>
        <c:lblAlgn val="ctr"/>
        <c:lblOffset val="100"/>
        <c:noMultiLvlLbl val="0"/>
      </c:catAx>
      <c:valAx>
        <c:axId val="37373230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14624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Pt>
            <c:idx val="5"/>
            <c:bubble3D val="0"/>
          </c:dPt>
          <c:dLbls>
            <c:delete val="1"/>
          </c:dLbls>
          <c:cat>
            <c:strRef>
              <c:f>[决算公开分析图表.xls]Sheet1!$C$144:$C$149</c:f>
              <c:strCache>
                <c:ptCount val="6"/>
                <c:pt idx="0">
                  <c:v>一般公共服务支出</c:v>
                </c:pt>
                <c:pt idx="1">
                  <c:v>公共安全支出</c:v>
                </c:pt>
                <c:pt idx="2">
                  <c:v>农林水支出</c:v>
                </c:pt>
                <c:pt idx="3">
                  <c:v>社会保障和就业支出</c:v>
                </c:pt>
                <c:pt idx="4">
                  <c:v>卫生健康支出</c:v>
                </c:pt>
                <c:pt idx="5">
                  <c:v>住房保障支出</c:v>
                </c:pt>
              </c:strCache>
            </c:strRef>
          </c:cat>
          <c:val>
            <c:numRef>
              <c:f>[决算公开分析图表.xls]Sheet1!$D$144:$D$149</c:f>
              <c:numCache>
                <c:formatCode>General</c:formatCode>
                <c:ptCount val="6"/>
                <c:pt idx="0">
                  <c:v>497.84</c:v>
                </c:pt>
                <c:pt idx="1">
                  <c:v>10</c:v>
                </c:pt>
                <c:pt idx="2">
                  <c:v>38.28</c:v>
                </c:pt>
                <c:pt idx="3">
                  <c:v>35.46</c:v>
                </c:pt>
                <c:pt idx="4">
                  <c:v>13.71</c:v>
                </c:pt>
                <c:pt idx="5">
                  <c:v>20.64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36963321012226"/>
          <c:y val="0.61598440545809"/>
          <c:w val="0.348450383849872"/>
          <c:h val="0.34558618769145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公务用车</c:v>
                </c:pt>
                <c:pt idx="1">
                  <c:v>公务接待</c:v>
                </c:pt>
                <c:pt idx="2">
                  <c:v>因公出国</c:v>
                </c:pt>
              </c:strCache>
            </c:strRef>
          </c:cat>
          <c:val>
            <c:numRef>
              <c:f>Sheet1!$B$2:$B$4</c:f>
              <c:numCache>
                <c:formatCode>General</c:formatCode>
                <c:ptCount val="3"/>
                <c:pt idx="0">
                  <c:v>8.2</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2138</Words>
  <Characters>12187</Characters>
  <Lines>101</Lines>
  <Paragraphs>28</Paragraphs>
  <TotalTime>7</TotalTime>
  <ScaleCrop>false</ScaleCrop>
  <LinksUpToDate>false</LinksUpToDate>
  <CharactersWithSpaces>14297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2946</cp:lastModifiedBy>
  <cp:lastPrinted>2022-10-20T10:32:00Z</cp:lastPrinted>
  <dcterms:modified xsi:type="dcterms:W3CDTF">2023-12-22T02:29:04Z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B87C038FA5434BC89E3DF1DE66BE845E_13</vt:lpwstr>
  </property>
</Properties>
</file>