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hint="eastAsia" w:ascii="黑体" w:hAnsi="黑体" w:eastAsia="黑体" w:cs="黑体"/>
          <w:sz w:val="72"/>
          <w:szCs w:val="72"/>
        </w:rPr>
      </w:pPr>
      <w:r>
        <w:rPr>
          <w:rFonts w:hint="eastAsia" w:ascii="黑体" w:hAnsi="黑体" w:eastAsia="黑体" w:cs="黑体"/>
          <w:sz w:val="72"/>
          <w:szCs w:val="72"/>
        </w:rPr>
        <w:t>中共壤塘县委统战部</w:t>
      </w:r>
    </w:p>
    <w:p>
      <w:pPr>
        <w:jc w:val="center"/>
        <w:rPr>
          <w:rFonts w:ascii="黑体" w:hAnsi="黑体" w:eastAsia="黑体" w:cs="Times New Roman"/>
          <w:sz w:val="72"/>
          <w:szCs w:val="72"/>
        </w:rPr>
      </w:pPr>
      <w:r>
        <w:rPr>
          <w:rFonts w:hint="eastAsia" w:ascii="黑体" w:hAnsi="黑体" w:eastAsia="黑体" w:cs="黑体"/>
          <w:sz w:val="72"/>
          <w:szCs w:val="72"/>
          <w:lang w:eastAsia="zh-CN"/>
        </w:rPr>
        <w:t>2023年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52"/>
          <w:szCs w:val="52"/>
        </w:rPr>
      </w:pPr>
      <w:r>
        <w:rPr>
          <w:rFonts w:hint="eastAsia" w:ascii="黑体" w:hAnsi="黑体" w:eastAsia="黑体" w:cs="黑体"/>
          <w:sz w:val="52"/>
          <w:szCs w:val="52"/>
          <w:lang w:eastAsia="zh-CN"/>
        </w:rPr>
        <w:t>2023年</w:t>
      </w:r>
      <w:r>
        <w:rPr>
          <w:rFonts w:hint="eastAsia" w:ascii="黑体" w:hAnsi="黑体" w:eastAsia="黑体" w:cs="黑体"/>
          <w:sz w:val="52"/>
          <w:szCs w:val="52"/>
          <w:lang w:val="en-US" w:eastAsia="zh-CN"/>
        </w:rPr>
        <w:t>1</w:t>
      </w:r>
      <w:r>
        <w:rPr>
          <w:rFonts w:hint="eastAsia" w:ascii="黑体" w:hAnsi="黑体" w:eastAsia="黑体" w:cs="黑体"/>
          <w:sz w:val="52"/>
          <w:szCs w:val="52"/>
        </w:rPr>
        <w:t>月</w:t>
      </w:r>
      <w:r>
        <w:rPr>
          <w:rFonts w:hint="eastAsia" w:ascii="黑体" w:hAnsi="黑体" w:eastAsia="黑体" w:cs="黑体"/>
          <w:sz w:val="52"/>
          <w:szCs w:val="52"/>
          <w:lang w:val="en-US" w:eastAsia="zh-CN"/>
        </w:rPr>
        <w:t>14</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pPr>
    </w:p>
    <w:p>
      <w:pPr>
        <w:ind w:firstLine="3120" w:firstLineChars="600"/>
        <w:rPr>
          <w:rFonts w:ascii="黑体" w:hAnsi="黑体" w:eastAsia="黑体" w:cs="Times New Roman"/>
          <w:sz w:val="52"/>
          <w:szCs w:val="52"/>
        </w:rPr>
      </w:pPr>
      <w:r>
        <w:rPr>
          <w:rFonts w:hint="eastAsia" w:ascii="黑体" w:hAnsi="黑体" w:eastAsia="黑体" w:cs="黑体"/>
          <w:sz w:val="52"/>
          <w:szCs w:val="52"/>
        </w:rPr>
        <w:t>目录</w:t>
      </w:r>
    </w:p>
    <w:p>
      <w:pPr>
        <w:ind w:firstLine="3080" w:firstLineChars="700"/>
        <w:rPr>
          <w:rFonts w:ascii="黑体" w:hAnsi="黑体" w:eastAsia="黑体" w:cs="Times New Roman"/>
          <w:sz w:val="44"/>
          <w:szCs w:val="44"/>
        </w:rPr>
      </w:pPr>
    </w:p>
    <w:p>
      <w:pPr>
        <w:pStyle w:val="22"/>
        <w:numPr>
          <w:ilvl w:val="0"/>
          <w:numId w:val="2"/>
        </w:numPr>
        <w:ind w:firstLineChars="0"/>
        <w:rPr>
          <w:rFonts w:ascii="黑体" w:hAnsi="黑体" w:eastAsia="黑体" w:cs="Times New Roman"/>
          <w:sz w:val="32"/>
          <w:szCs w:val="32"/>
        </w:rPr>
      </w:pPr>
      <w:r>
        <w:rPr>
          <w:rFonts w:hint="eastAsia" w:ascii="黑体" w:hAnsi="黑体" w:eastAsia="黑体" w:cs="黑体"/>
          <w:sz w:val="32"/>
          <w:szCs w:val="32"/>
        </w:rPr>
        <w:t>基本职能及主要工作</w:t>
      </w:r>
    </w:p>
    <w:p>
      <w:pPr>
        <w:rPr>
          <w:rFonts w:ascii="仿宋_GB2312" w:hAnsi="黑体" w:eastAsia="仿宋_GB2312" w:cs="Times New Roman"/>
          <w:sz w:val="32"/>
          <w:szCs w:val="32"/>
        </w:rPr>
      </w:pPr>
      <w:r>
        <w:rPr>
          <w:rFonts w:hint="eastAsia" w:ascii="仿宋_GB2312" w:hAnsi="黑体" w:eastAsia="仿宋_GB2312" w:cs="仿宋_GB2312"/>
          <w:sz w:val="32"/>
          <w:szCs w:val="32"/>
        </w:rPr>
        <w:t>（一）部门职能简介</w:t>
      </w:r>
    </w:p>
    <w:p>
      <w:pPr>
        <w:rPr>
          <w:rFonts w:ascii="仿宋_GB2312" w:hAnsi="黑体" w:eastAsia="仿宋_GB2312" w:cs="Times New Roman"/>
          <w:sz w:val="32"/>
          <w:szCs w:val="32"/>
        </w:rPr>
      </w:pPr>
      <w:r>
        <w:rPr>
          <w:rFonts w:hint="eastAsia" w:ascii="仿宋_GB2312" w:hAnsi="黑体" w:eastAsia="仿宋_GB2312" w:cs="仿宋_GB2312"/>
          <w:sz w:val="32"/>
          <w:szCs w:val="32"/>
        </w:rPr>
        <w:t>（二）</w:t>
      </w:r>
      <w:r>
        <w:rPr>
          <w:rFonts w:hint="eastAsia" w:ascii="仿宋_GB2312" w:hAnsi="黑体" w:eastAsia="仿宋_GB2312" w:cs="仿宋_GB2312"/>
          <w:sz w:val="32"/>
          <w:szCs w:val="32"/>
          <w:lang w:eastAsia="zh-CN"/>
        </w:rPr>
        <w:t>2023年</w:t>
      </w:r>
      <w:r>
        <w:rPr>
          <w:rFonts w:hint="eastAsia" w:ascii="仿宋_GB2312" w:hAnsi="黑体" w:eastAsia="仿宋_GB2312" w:cs="仿宋_GB2312"/>
          <w:sz w:val="32"/>
          <w:szCs w:val="32"/>
        </w:rPr>
        <w:t>重点工作</w:t>
      </w:r>
    </w:p>
    <w:p>
      <w:pPr>
        <w:rPr>
          <w:rFonts w:ascii="黑体" w:hAnsi="黑体" w:eastAsia="黑体" w:cs="Times New Roman"/>
          <w:sz w:val="32"/>
          <w:szCs w:val="32"/>
        </w:rPr>
      </w:pPr>
      <w:r>
        <w:rPr>
          <w:rFonts w:hint="eastAsia" w:ascii="黑体" w:hAnsi="黑体" w:eastAsia="黑体" w:cs="黑体"/>
          <w:sz w:val="32"/>
          <w:szCs w:val="32"/>
        </w:rPr>
        <w:t>二、部门预算单位构成</w:t>
      </w:r>
    </w:p>
    <w:p>
      <w:pPr>
        <w:rPr>
          <w:rFonts w:ascii="黑体" w:hAnsi="黑体" w:eastAsia="黑体" w:cs="Times New Roman"/>
          <w:sz w:val="32"/>
          <w:szCs w:val="32"/>
        </w:rPr>
      </w:pPr>
      <w:r>
        <w:rPr>
          <w:rFonts w:hint="eastAsia" w:ascii="黑体" w:hAnsi="黑体" w:eastAsia="黑体" w:cs="黑体"/>
          <w:sz w:val="32"/>
          <w:szCs w:val="32"/>
        </w:rPr>
        <w:t>三、收支预算情况说明</w:t>
      </w:r>
    </w:p>
    <w:p>
      <w:pPr>
        <w:rPr>
          <w:rFonts w:ascii="仿宋_GB2312" w:hAnsi="黑体" w:eastAsia="仿宋_GB2312" w:cs="Times New Roman"/>
          <w:sz w:val="32"/>
          <w:szCs w:val="32"/>
        </w:rPr>
      </w:pPr>
      <w:r>
        <w:rPr>
          <w:rFonts w:hint="eastAsia" w:ascii="黑体" w:hAnsi="黑体" w:eastAsia="黑体" w:cs="黑体"/>
          <w:sz w:val="32"/>
          <w:szCs w:val="32"/>
        </w:rPr>
        <w:t>（</w:t>
      </w:r>
      <w:r>
        <w:rPr>
          <w:rFonts w:hint="eastAsia" w:ascii="仿宋_GB2312" w:hAnsi="黑体" w:eastAsia="仿宋_GB2312" w:cs="仿宋_GB2312"/>
          <w:sz w:val="32"/>
          <w:szCs w:val="32"/>
        </w:rPr>
        <w:t>一）收入预算情况</w:t>
      </w:r>
    </w:p>
    <w:p>
      <w:pPr>
        <w:rPr>
          <w:rFonts w:ascii="仿宋_GB2312" w:hAnsi="黑体" w:eastAsia="仿宋_GB2312" w:cs="Times New Roman"/>
          <w:sz w:val="32"/>
          <w:szCs w:val="32"/>
        </w:rPr>
      </w:pPr>
      <w:r>
        <w:rPr>
          <w:rFonts w:hint="eastAsia" w:ascii="仿宋_GB2312" w:hAnsi="黑体" w:eastAsia="仿宋_GB2312" w:cs="仿宋_GB2312"/>
          <w:sz w:val="32"/>
          <w:szCs w:val="32"/>
        </w:rPr>
        <w:t>（二）支出预算情况</w:t>
      </w:r>
    </w:p>
    <w:p>
      <w:pPr>
        <w:rPr>
          <w:rFonts w:ascii="黑体" w:hAnsi="黑体" w:eastAsia="黑体" w:cs="Times New Roman"/>
          <w:sz w:val="32"/>
          <w:szCs w:val="32"/>
        </w:rPr>
      </w:pPr>
      <w:r>
        <w:rPr>
          <w:rFonts w:hint="eastAsia" w:ascii="黑体" w:hAnsi="黑体" w:eastAsia="黑体" w:cs="黑体"/>
          <w:sz w:val="32"/>
          <w:szCs w:val="32"/>
        </w:rPr>
        <w:t>四、财政拨款收支预算情况说明</w:t>
      </w:r>
    </w:p>
    <w:p>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pPr>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（一）一般公共预算当年拨款规模变化情况</w:t>
      </w:r>
    </w:p>
    <w:p>
      <w:pPr>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（二）一般公共预算当年拨款结构情况</w:t>
      </w:r>
    </w:p>
    <w:p>
      <w:pPr>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（三）一般公共预算当年拨款具体使用情况</w:t>
      </w:r>
    </w:p>
    <w:p>
      <w:pPr>
        <w:rPr>
          <w:rFonts w:hint="eastAsia" w:ascii="黑体" w:hAnsi="黑体" w:eastAsia="黑体" w:cs="黑体"/>
          <w:sz w:val="32"/>
          <w:szCs w:val="32"/>
          <w:lang w:eastAsia="zh-CN"/>
        </w:rPr>
      </w:pPr>
      <w:r>
        <w:rPr>
          <w:rFonts w:hint="eastAsia" w:ascii="黑体" w:hAnsi="黑体" w:eastAsia="黑体" w:cs="黑体"/>
          <w:sz w:val="32"/>
          <w:szCs w:val="32"/>
        </w:rPr>
        <w:t>六、一般公共预算基本支出情况说明</w:t>
      </w:r>
    </w:p>
    <w:p>
      <w:pPr>
        <w:rPr>
          <w:rFonts w:hint="eastAsia" w:ascii="黑体" w:hAnsi="黑体" w:eastAsia="黑体" w:cs="黑体"/>
          <w:sz w:val="32"/>
          <w:szCs w:val="32"/>
          <w:lang w:eastAsia="zh-CN"/>
        </w:rPr>
      </w:pPr>
      <w:r>
        <w:rPr>
          <w:rFonts w:hint="eastAsia" w:ascii="黑体" w:hAnsi="黑体" w:eastAsia="黑体" w:cs="黑体"/>
          <w:sz w:val="32"/>
          <w:szCs w:val="32"/>
        </w:rPr>
        <w:t>七、“三公”经费财政拨款预算安排情况说明</w:t>
      </w:r>
    </w:p>
    <w:p>
      <w:pPr>
        <w:rPr>
          <w:rFonts w:hint="eastAsia" w:ascii="黑体" w:hAnsi="黑体" w:eastAsia="黑体" w:cs="黑体"/>
          <w:sz w:val="32"/>
          <w:szCs w:val="32"/>
          <w:lang w:eastAsia="zh-CN"/>
        </w:rPr>
      </w:pPr>
      <w:r>
        <w:rPr>
          <w:rFonts w:hint="eastAsia" w:ascii="黑体" w:hAnsi="黑体" w:eastAsia="黑体" w:cs="黑体"/>
          <w:sz w:val="32"/>
          <w:szCs w:val="32"/>
        </w:rPr>
        <w:t>八、政府性基金预算支出情况说明</w:t>
      </w:r>
    </w:p>
    <w:p>
      <w:pPr>
        <w:rPr>
          <w:rFonts w:hint="eastAsia" w:ascii="黑体" w:hAnsi="黑体" w:eastAsia="黑体" w:cs="黑体"/>
          <w:sz w:val="32"/>
          <w:szCs w:val="32"/>
          <w:lang w:eastAsia="zh-CN"/>
        </w:rPr>
      </w:pPr>
      <w:r>
        <w:rPr>
          <w:rFonts w:hint="eastAsia" w:ascii="黑体" w:hAnsi="黑体" w:eastAsia="黑体" w:cs="黑体"/>
          <w:sz w:val="32"/>
          <w:szCs w:val="32"/>
        </w:rPr>
        <w:t>九、其他重要事项的情况说明</w:t>
      </w:r>
    </w:p>
    <w:p>
      <w:pPr>
        <w:pStyle w:val="15"/>
      </w:pPr>
      <w:r>
        <w:rPr>
          <w:rFonts w:hint="eastAsia" w:ascii="黑体" w:hAnsi="黑体" w:eastAsia="黑体" w:cs="黑体"/>
          <w:sz w:val="32"/>
          <w:szCs w:val="32"/>
        </w:rPr>
        <w:t>十、名称解释</w:t>
      </w:r>
      <w:sdt>
        <w:sdtPr>
          <w:rPr>
            <w:rFonts w:ascii="宋体" w:hAnsi="宋体" w:eastAsia="宋体" w:cs="Calibri"/>
            <w:kern w:val="2"/>
            <w:sz w:val="21"/>
            <w:szCs w:val="21"/>
            <w:lang w:val="en-US" w:eastAsia="zh-CN" w:bidi="ar-SA"/>
          </w:rPr>
          <w:id w:val="147464494"/>
          <w:showingPlcHdr/>
          <w15:color w:val="DBDBDB"/>
          <w:docPartObj>
            <w:docPartGallery w:val="Table of Contents"/>
            <w:docPartUnique/>
          </w:docPartObj>
        </w:sdtPr>
        <w:sdtEndPr>
          <w:rPr>
            <w:rFonts w:ascii="Arial" w:hAnsi="Arial" w:eastAsia="宋体" w:cs="Arial"/>
            <w:kern w:val="2"/>
            <w:sz w:val="21"/>
            <w:szCs w:val="21"/>
            <w:lang w:val="en-US" w:eastAsia="zh-CN" w:bidi="ar-SA"/>
          </w:rPr>
        </w:sdtEndPr>
        <w:sdtContent/>
      </w:sdt>
    </w:p>
    <w:p>
      <w:pPr>
        <w:pStyle w:val="23"/>
        <w:spacing w:before="0" w:line="360" w:lineRule="auto"/>
        <w:rPr>
          <w:rFonts w:hint="eastAsia" w:ascii="黑体" w:hAnsi="黑体" w:eastAsia="黑体" w:cs="黑体"/>
          <w:kern w:val="2"/>
          <w:sz w:val="32"/>
          <w:szCs w:val="32"/>
        </w:rPr>
        <w:sectPr>
          <w:pgSz w:w="11906" w:h="16838"/>
          <w:pgMar w:top="1440" w:right="1800" w:bottom="1440" w:left="1800" w:header="851" w:footer="992" w:gutter="0"/>
          <w:cols w:space="720" w:num="1"/>
          <w:docGrid w:type="lines" w:linePitch="312" w:charSpace="0"/>
        </w:sectPr>
      </w:pPr>
    </w:p>
    <w:p>
      <w:pPr>
        <w:pStyle w:val="23"/>
        <w:spacing w:before="0" w:line="360" w:lineRule="auto"/>
        <w:rPr>
          <w:rFonts w:hint="eastAsia" w:ascii="黑体" w:hAnsi="黑体" w:eastAsia="黑体" w:cs="黑体"/>
          <w:kern w:val="2"/>
          <w:sz w:val="32"/>
          <w:szCs w:val="32"/>
        </w:rPr>
      </w:pPr>
    </w:p>
    <w:p>
      <w:pPr>
        <w:pStyle w:val="23"/>
        <w:numPr>
          <w:ilvl w:val="0"/>
          <w:numId w:val="3"/>
        </w:numPr>
        <w:spacing w:before="0" w:line="360" w:lineRule="auto"/>
        <w:outlineLvl w:val="0"/>
        <w:rPr>
          <w:rFonts w:hint="eastAsia" w:ascii="黑体" w:hAnsi="黑体" w:eastAsia="黑体" w:cs="黑体"/>
          <w:kern w:val="2"/>
          <w:sz w:val="32"/>
          <w:szCs w:val="32"/>
        </w:rPr>
      </w:pPr>
      <w:bookmarkStart w:id="0" w:name="_Toc4916"/>
      <w:r>
        <w:rPr>
          <w:rFonts w:hint="eastAsia" w:ascii="黑体" w:hAnsi="黑体" w:eastAsia="黑体" w:cs="黑体"/>
          <w:kern w:val="2"/>
          <w:sz w:val="32"/>
          <w:szCs w:val="32"/>
        </w:rPr>
        <w:t>基本职能及主要工作</w:t>
      </w:r>
      <w:bookmarkEnd w:id="0"/>
    </w:p>
    <w:p>
      <w:pPr>
        <w:pStyle w:val="23"/>
        <w:numPr>
          <w:ilvl w:val="0"/>
          <w:numId w:val="0"/>
        </w:numPr>
        <w:spacing w:before="0" w:line="360" w:lineRule="auto"/>
        <w:outlineLvl w:val="1"/>
        <w:rPr>
          <w:rFonts w:hint="eastAsia" w:ascii="仿宋_GB2312" w:hAnsi="仿宋_GB2312" w:eastAsia="仿宋_GB2312" w:cs="仿宋_GB2312"/>
          <w:kern w:val="0"/>
          <w:sz w:val="32"/>
          <w:szCs w:val="32"/>
          <w:lang w:bidi="ar"/>
        </w:rPr>
      </w:pPr>
      <w:bookmarkStart w:id="1" w:name="_Toc29582"/>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一</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中共壤塘县委统战部职能简介</w:t>
      </w:r>
      <w:bookmarkEnd w:id="1"/>
    </w:p>
    <w:p>
      <w:pPr>
        <w:pStyle w:val="23"/>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9"/>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1.贯彻落实加强党对统一战线工作集中统一领导的要求。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2.研究拟定统一战线工作的政策和法规草案推动落实，深入调查研究，及时向县委报告统一战线工作情况并提出建议，统筹协调和指导各乡镇、各部门（单位）统一战线工作。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3.负责发现、培养党外代表人士，制定党外干部培养规划，负责联系培养无党派人士、党外知识分子代表人士和新的社会阶层代表人士。</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4.贯彻落实党的宣传工作方针，统筹推进全县统一战线宣传和意识形态工作。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5.贯彻落实党的民族工作方针，研究拟定民族工作的政策和重大措施，协调处理民族工作中的重大问题。</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6.贯彻落实党的宗教工作基本方针和政策，研究拟定宗教工作的重大政策措施并督促落实，领导县民族宗教事务委员会依法管理宗教行政事务。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7.承担全县非公有制经济协调工作。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8.贯彻落实中央、省委、州委和县委关于对境外藏胞工作的方针、政策。</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9.统一领导港澳台统战工作，牵头开展港澳台统战工作，开展对台统战工作。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10.统一管理侨务工作。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11.协助管理寺庙管理委员会（所）主要负责人；领导县工商联党组、指导工商联工作；领导县民族宗教事务委员会工作。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bidi="ar"/>
        </w:rPr>
        <w:t>12.完成县委、州委统战部交办的其他事务</w:t>
      </w:r>
      <w:r>
        <w:rPr>
          <w:rFonts w:hint="eastAsia" w:ascii="仿宋_GB2312" w:hAnsi="仿宋_GB2312" w:eastAsia="仿宋_GB2312" w:cs="仿宋_GB2312"/>
          <w:kern w:val="0"/>
          <w:sz w:val="32"/>
          <w:szCs w:val="32"/>
          <w:lang w:eastAsia="zh-CN" w:bidi="ar"/>
        </w:rPr>
        <w:t>。</w:t>
      </w:r>
    </w:p>
    <w:p>
      <w:pPr>
        <w:widowControl/>
        <w:spacing w:line="560" w:lineRule="exact"/>
        <w:ind w:firstLine="321" w:firstLineChars="100"/>
        <w:jc w:val="both"/>
        <w:outlineLvl w:val="1"/>
        <w:rPr>
          <w:rFonts w:hint="eastAsia" w:ascii="楷体_GB2312" w:hAnsi="黑体" w:eastAsia="楷体_GB2312" w:cs="楷体_GB2312"/>
          <w:b/>
          <w:bCs/>
          <w:color w:val="auto"/>
          <w:kern w:val="2"/>
          <w:sz w:val="32"/>
          <w:szCs w:val="32"/>
        </w:rPr>
      </w:pPr>
      <w:bookmarkStart w:id="2" w:name="_Toc31756"/>
      <w:r>
        <w:rPr>
          <w:rFonts w:hint="eastAsia" w:ascii="楷体_GB2312" w:hAnsi="黑体" w:eastAsia="楷体_GB2312" w:cs="楷体_GB2312"/>
          <w:b/>
          <w:bCs/>
          <w:color w:val="auto"/>
          <w:kern w:val="2"/>
          <w:sz w:val="32"/>
          <w:szCs w:val="32"/>
        </w:rPr>
        <w:t>(二)中共壤塘县委统战部</w:t>
      </w:r>
      <w:r>
        <w:rPr>
          <w:rFonts w:hint="eastAsia" w:ascii="楷体_GB2312" w:hAnsi="黑体" w:eastAsia="楷体_GB2312" w:cs="楷体_GB2312"/>
          <w:b/>
          <w:bCs/>
          <w:color w:val="auto"/>
          <w:kern w:val="2"/>
          <w:sz w:val="32"/>
          <w:szCs w:val="32"/>
          <w:lang w:eastAsia="zh-CN"/>
        </w:rPr>
        <w:t>2023年</w:t>
      </w:r>
      <w:r>
        <w:rPr>
          <w:rFonts w:hint="eastAsia" w:ascii="楷体_GB2312" w:hAnsi="黑体" w:eastAsia="楷体_GB2312" w:cs="楷体_GB2312"/>
          <w:b/>
          <w:bCs/>
          <w:color w:val="auto"/>
          <w:kern w:val="2"/>
          <w:sz w:val="32"/>
          <w:szCs w:val="32"/>
        </w:rPr>
        <w:t>重点工作</w:t>
      </w:r>
      <w:bookmarkEnd w:id="2"/>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cs="Times New Roman"/>
          <w:sz w:val="32"/>
          <w:lang w:eastAsia="zh-CN"/>
        </w:rPr>
      </w:pPr>
      <w:r>
        <w:rPr>
          <w:rFonts w:hint="eastAsia" w:ascii="仿宋_GB2312" w:hAnsi="仿宋_GB2312" w:eastAsia="仿宋_GB2312" w:cs="仿宋_GB2312"/>
          <w:kern w:val="0"/>
          <w:sz w:val="32"/>
          <w:szCs w:val="32"/>
          <w:lang w:eastAsia="zh-CN" w:bidi="ar"/>
        </w:rPr>
        <w:t>2023年</w:t>
      </w:r>
      <w:r>
        <w:rPr>
          <w:rFonts w:hint="eastAsia" w:ascii="仿宋_GB2312" w:hAnsi="仿宋_GB2312" w:eastAsia="仿宋_GB2312" w:cs="仿宋_GB2312"/>
          <w:kern w:val="0"/>
          <w:sz w:val="32"/>
          <w:szCs w:val="32"/>
          <w:lang w:bidi="ar"/>
        </w:rPr>
        <w:t>，我们将认真贯彻落实中央、省委、州委、县委的决策部署，围绕全县稳定、发展大局，紧扣“155”发展战略，树牢一盘棋思想，强化统战职能职责，落实“基层统战工作创新年”工作要求，充分发挥统一战线“法宝”作用。凝心聚力、团结合作，找准工作的着力点，做深做细各项工作，为建设美丽幸福壤巴拉家园凝聚力量。</w:t>
      </w:r>
    </w:p>
    <w:p>
      <w:pPr>
        <w:rPr>
          <w:rFonts w:hint="eastAsia"/>
          <w:lang w:eastAsia="zh-CN"/>
        </w:rPr>
      </w:pPr>
    </w:p>
    <w:p>
      <w:pPr>
        <w:pStyle w:val="23"/>
        <w:numPr>
          <w:ilvl w:val="0"/>
          <w:numId w:val="3"/>
        </w:numPr>
        <w:spacing w:before="0" w:line="360" w:lineRule="auto"/>
        <w:ind w:left="0" w:leftChars="0" w:firstLine="0" w:firstLineChars="0"/>
        <w:outlineLvl w:val="0"/>
        <w:rPr>
          <w:rFonts w:hint="eastAsia" w:ascii="黑体" w:hAnsi="黑体" w:eastAsia="黑体" w:cs="黑体"/>
          <w:kern w:val="2"/>
          <w:sz w:val="32"/>
          <w:szCs w:val="32"/>
        </w:rPr>
      </w:pPr>
      <w:bookmarkStart w:id="3" w:name="_Toc4958"/>
      <w:r>
        <w:rPr>
          <w:rFonts w:hint="eastAsia" w:ascii="黑体" w:hAnsi="黑体" w:eastAsia="黑体" w:cs="黑体"/>
          <w:kern w:val="2"/>
          <w:sz w:val="32"/>
          <w:szCs w:val="32"/>
        </w:rPr>
        <w:t>部门预算单位构成</w:t>
      </w:r>
      <w:bookmarkEnd w:id="3"/>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rPr>
      </w:pPr>
      <w:r>
        <w:rPr>
          <w:rFonts w:hint="eastAsia" w:hAnsi="黑体"/>
          <w:kern w:val="2"/>
          <w:sz w:val="32"/>
          <w:szCs w:val="32"/>
        </w:rPr>
        <w:t>中共壤塘县委统战部属一级预算单位，下属二级预算单位0个。</w:t>
      </w:r>
    </w:p>
    <w:p>
      <w:pPr>
        <w:pStyle w:val="23"/>
        <w:numPr>
          <w:ilvl w:val="0"/>
          <w:numId w:val="3"/>
        </w:numPr>
        <w:spacing w:before="0" w:line="360" w:lineRule="auto"/>
        <w:ind w:left="0" w:leftChars="0" w:firstLine="0" w:firstLineChars="0"/>
        <w:outlineLvl w:val="0"/>
        <w:rPr>
          <w:rFonts w:hint="eastAsia" w:ascii="黑体" w:hAnsi="黑体" w:eastAsia="黑体" w:cs="黑体"/>
          <w:kern w:val="2"/>
          <w:sz w:val="32"/>
          <w:szCs w:val="32"/>
        </w:rPr>
      </w:pPr>
      <w:bookmarkStart w:id="4" w:name="_Toc29370"/>
      <w:r>
        <w:rPr>
          <w:rFonts w:hint="eastAsia" w:ascii="黑体" w:hAnsi="黑体" w:eastAsia="黑体" w:cs="黑体"/>
          <w:kern w:val="2"/>
          <w:sz w:val="32"/>
          <w:szCs w:val="32"/>
        </w:rPr>
        <w:t>收支预算情况说明</w:t>
      </w:r>
      <w:bookmarkEnd w:id="4"/>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rPr>
      </w:pPr>
      <w:r>
        <w:rPr>
          <w:rFonts w:hint="eastAsia" w:hAnsi="黑体"/>
          <w:kern w:val="2"/>
          <w:sz w:val="32"/>
          <w:szCs w:val="32"/>
        </w:rPr>
        <w:t>按照综合预算的原则，中共壤塘县委统战部所有收入和支出均纳入部门预算管理。收入包括：一般公共预算拨款收入</w:t>
      </w:r>
      <w:r>
        <w:rPr>
          <w:rFonts w:hint="eastAsia" w:hAnsi="黑体" w:cs="Times New Roman"/>
          <w:kern w:val="2"/>
          <w:sz w:val="32"/>
          <w:szCs w:val="32"/>
          <w:lang w:eastAsia="zh-CN"/>
        </w:rPr>
        <w:t>275.37万</w:t>
      </w:r>
      <w:r>
        <w:rPr>
          <w:rFonts w:hint="eastAsia" w:hAnsi="黑体"/>
          <w:kern w:val="2"/>
          <w:sz w:val="32"/>
          <w:szCs w:val="32"/>
        </w:rPr>
        <w:t>元；支出包括：一般公共服务支出183.35万元，社会保障和就业支出</w:t>
      </w:r>
      <w:r>
        <w:rPr>
          <w:rFonts w:hint="eastAsia" w:hAnsi="黑体" w:cs="Times New Roman"/>
          <w:kern w:val="2"/>
          <w:sz w:val="32"/>
          <w:szCs w:val="32"/>
        </w:rPr>
        <w:t>49.79</w:t>
      </w:r>
      <w:r>
        <w:rPr>
          <w:rFonts w:hint="eastAsia" w:hAnsi="黑体"/>
          <w:kern w:val="2"/>
          <w:sz w:val="32"/>
          <w:szCs w:val="32"/>
        </w:rPr>
        <w:t>万元，卫生健康支出</w:t>
      </w:r>
      <w:r>
        <w:rPr>
          <w:rFonts w:hint="eastAsia" w:hAnsi="黑体" w:cs="Times New Roman"/>
          <w:kern w:val="2"/>
          <w:sz w:val="32"/>
          <w:szCs w:val="32"/>
        </w:rPr>
        <w:t>17.33</w:t>
      </w:r>
      <w:r>
        <w:rPr>
          <w:rFonts w:hint="eastAsia" w:hAnsi="黑体"/>
          <w:kern w:val="2"/>
          <w:sz w:val="32"/>
          <w:szCs w:val="32"/>
        </w:rPr>
        <w:t>万元，住房保障支出</w:t>
      </w:r>
      <w:r>
        <w:rPr>
          <w:rFonts w:hint="eastAsia" w:hAnsi="黑体" w:cs="Times New Roman"/>
          <w:kern w:val="2"/>
          <w:sz w:val="32"/>
          <w:szCs w:val="32"/>
        </w:rPr>
        <w:t>24.89</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中共壤塘县委统战部</w:t>
      </w:r>
      <w:r>
        <w:rPr>
          <w:rFonts w:hint="eastAsia" w:hAnsi="黑体"/>
          <w:kern w:val="2"/>
          <w:sz w:val="32"/>
          <w:szCs w:val="32"/>
          <w:lang w:eastAsia="zh-CN"/>
        </w:rPr>
        <w:t>2023年</w:t>
      </w:r>
      <w:r>
        <w:rPr>
          <w:rFonts w:hint="eastAsia" w:hAnsi="黑体"/>
          <w:kern w:val="2"/>
          <w:sz w:val="32"/>
          <w:szCs w:val="32"/>
        </w:rPr>
        <w:t>收支总预算</w:t>
      </w:r>
      <w:r>
        <w:rPr>
          <w:rFonts w:hint="eastAsia" w:hAnsi="黑体" w:cs="Times New Roman"/>
          <w:kern w:val="2"/>
          <w:sz w:val="32"/>
          <w:szCs w:val="32"/>
          <w:lang w:eastAsia="zh-CN"/>
        </w:rPr>
        <w:t>275.37，</w:t>
      </w:r>
      <w:r>
        <w:rPr>
          <w:rFonts w:hint="eastAsia" w:hAnsi="黑体"/>
          <w:kern w:val="2"/>
          <w:sz w:val="32"/>
          <w:szCs w:val="32"/>
        </w:rPr>
        <w:t>元</w:t>
      </w:r>
      <w:r>
        <w:rPr>
          <w:rFonts w:hAnsi="黑体"/>
          <w:kern w:val="2"/>
          <w:sz w:val="32"/>
          <w:szCs w:val="32"/>
        </w:rPr>
        <w:t>,</w:t>
      </w:r>
      <w:r>
        <w:rPr>
          <w:rFonts w:hint="eastAsia" w:hAnsi="黑体"/>
          <w:kern w:val="2"/>
          <w:sz w:val="32"/>
          <w:szCs w:val="32"/>
        </w:rPr>
        <w:t>　比</w:t>
      </w:r>
      <w:r>
        <w:rPr>
          <w:rFonts w:hint="eastAsia" w:hAnsi="黑体"/>
          <w:kern w:val="2"/>
          <w:sz w:val="32"/>
          <w:szCs w:val="32"/>
          <w:lang w:eastAsia="zh-CN"/>
        </w:rPr>
        <w:t>2022</w:t>
      </w:r>
      <w:r>
        <w:rPr>
          <w:rFonts w:hAnsi="黑体"/>
          <w:kern w:val="2"/>
          <w:sz w:val="32"/>
          <w:szCs w:val="32"/>
        </w:rPr>
        <w:t>年</w:t>
      </w:r>
      <w:r>
        <w:rPr>
          <w:rFonts w:hint="eastAsia" w:hAnsi="黑体"/>
          <w:kern w:val="2"/>
          <w:sz w:val="32"/>
          <w:szCs w:val="32"/>
        </w:rPr>
        <w:t>收支预算总数</w:t>
      </w:r>
      <w:r>
        <w:rPr>
          <w:rFonts w:hint="eastAsia" w:hAnsi="黑体"/>
          <w:kern w:val="2"/>
          <w:sz w:val="32"/>
          <w:szCs w:val="32"/>
          <w:lang w:val="en-US" w:eastAsia="zh-CN"/>
        </w:rPr>
        <w:t>增加55.15</w:t>
      </w:r>
      <w:r>
        <w:rPr>
          <w:rFonts w:hint="eastAsia" w:hAnsi="黑体"/>
          <w:kern w:val="2"/>
          <w:sz w:val="32"/>
          <w:szCs w:val="32"/>
        </w:rPr>
        <w:t>万元，主要</w:t>
      </w:r>
      <w:r>
        <w:rPr>
          <w:rFonts w:hint="eastAsia" w:hAnsi="黑体"/>
          <w:kern w:val="2"/>
          <w:sz w:val="32"/>
          <w:szCs w:val="32"/>
          <w:lang w:eastAsia="zh-CN"/>
        </w:rPr>
        <w:t>：</w:t>
      </w:r>
      <w:r>
        <w:rPr>
          <w:rFonts w:hint="eastAsia" w:hAnsi="黑体"/>
          <w:kern w:val="2"/>
          <w:sz w:val="32"/>
          <w:szCs w:val="32"/>
        </w:rPr>
        <w:t>因</w:t>
      </w:r>
      <w:r>
        <w:rPr>
          <w:rFonts w:hAnsi="黑体"/>
          <w:kern w:val="2"/>
          <w:sz w:val="32"/>
          <w:szCs w:val="32"/>
        </w:rPr>
        <w:t>:</w:t>
      </w:r>
      <w:r>
        <w:rPr>
          <w:rFonts w:hint="eastAsia" w:hAnsi="黑体"/>
          <w:kern w:val="2"/>
          <w:sz w:val="32"/>
          <w:szCs w:val="32"/>
          <w:lang w:eastAsia="zh-CN"/>
        </w:rPr>
        <w:t>2023年人员经费预算增加</w:t>
      </w:r>
      <w:r>
        <w:rPr>
          <w:rFonts w:hint="eastAsia" w:hAnsi="黑体"/>
          <w:kern w:val="2"/>
          <w:sz w:val="32"/>
          <w:szCs w:val="32"/>
        </w:rPr>
        <w:t>。</w:t>
      </w:r>
    </w:p>
    <w:p>
      <w:pPr>
        <w:pStyle w:val="23"/>
        <w:numPr>
          <w:ilvl w:val="0"/>
          <w:numId w:val="4"/>
        </w:numPr>
        <w:spacing w:before="0" w:line="360" w:lineRule="auto"/>
        <w:ind w:leftChars="0"/>
        <w:outlineLvl w:val="1"/>
        <w:rPr>
          <w:rFonts w:hint="eastAsia" w:hAnsi="黑体"/>
          <w:b/>
          <w:bCs/>
          <w:kern w:val="2"/>
          <w:sz w:val="32"/>
          <w:szCs w:val="32"/>
        </w:rPr>
      </w:pPr>
      <w:bookmarkStart w:id="5" w:name="_Toc32161"/>
      <w:r>
        <w:rPr>
          <w:rFonts w:hint="eastAsia" w:hAnsi="黑体"/>
          <w:b/>
          <w:bCs/>
          <w:kern w:val="2"/>
          <w:sz w:val="32"/>
          <w:szCs w:val="32"/>
        </w:rPr>
        <w:t>收入预算情况</w:t>
      </w:r>
      <w:bookmarkEnd w:id="5"/>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eastAsia="zh-CN"/>
        </w:rPr>
      </w:pPr>
      <w:r>
        <w:rPr>
          <w:rFonts w:hint="eastAsia" w:hAnsi="黑体"/>
          <w:kern w:val="2"/>
          <w:sz w:val="32"/>
          <w:szCs w:val="32"/>
        </w:rPr>
        <w:t>中共壤塘县委统战部</w:t>
      </w:r>
      <w:r>
        <w:rPr>
          <w:rFonts w:hint="eastAsia" w:hAnsi="黑体"/>
          <w:kern w:val="2"/>
          <w:sz w:val="32"/>
          <w:szCs w:val="32"/>
          <w:lang w:eastAsia="zh-CN"/>
        </w:rPr>
        <w:t>2023年</w:t>
      </w:r>
      <w:r>
        <w:rPr>
          <w:rFonts w:hint="eastAsia" w:hAnsi="黑体"/>
          <w:kern w:val="2"/>
          <w:sz w:val="32"/>
          <w:szCs w:val="32"/>
        </w:rPr>
        <w:t>收入预算</w:t>
      </w:r>
      <w:r>
        <w:rPr>
          <w:rFonts w:hint="eastAsia" w:hAnsi="黑体" w:cs="Times New Roman"/>
          <w:kern w:val="2"/>
          <w:sz w:val="32"/>
          <w:szCs w:val="32"/>
          <w:lang w:eastAsia="zh-CN"/>
        </w:rPr>
        <w:t>275.37万</w:t>
      </w:r>
      <w:r>
        <w:rPr>
          <w:rFonts w:hint="eastAsia" w:hAnsi="黑体"/>
          <w:kern w:val="2"/>
          <w:sz w:val="32"/>
          <w:szCs w:val="32"/>
        </w:rPr>
        <w:t>元；一般公共预算拨款收入</w:t>
      </w:r>
      <w:r>
        <w:rPr>
          <w:rFonts w:hint="eastAsia" w:hAnsi="黑体" w:cs="Times New Roman"/>
          <w:kern w:val="2"/>
          <w:sz w:val="32"/>
          <w:szCs w:val="32"/>
          <w:lang w:eastAsia="zh-CN"/>
        </w:rPr>
        <w:t>275.37万</w:t>
      </w:r>
      <w:r>
        <w:rPr>
          <w:rFonts w:hint="eastAsia" w:hAnsi="黑体"/>
          <w:kern w:val="2"/>
          <w:sz w:val="32"/>
          <w:szCs w:val="32"/>
        </w:rPr>
        <w:t>元，占</w:t>
      </w:r>
      <w:r>
        <w:rPr>
          <w:rFonts w:hAnsi="黑体" w:cs="Times New Roman"/>
          <w:kern w:val="2"/>
          <w:sz w:val="32"/>
          <w:szCs w:val="32"/>
        </w:rPr>
        <w:t>100</w:t>
      </w:r>
      <w:r>
        <w:rPr>
          <w:rFonts w:hAnsi="黑体"/>
          <w:kern w:val="2"/>
          <w:sz w:val="32"/>
          <w:szCs w:val="32"/>
        </w:rPr>
        <w:t>%</w:t>
      </w:r>
      <w:r>
        <w:rPr>
          <w:rFonts w:hint="eastAsia" w:hAnsi="黑体"/>
          <w:kern w:val="2"/>
          <w:sz w:val="32"/>
          <w:szCs w:val="32"/>
          <w:lang w:eastAsia="zh-CN"/>
        </w:rPr>
        <w:t>。</w:t>
      </w:r>
    </w:p>
    <w:p>
      <w:pPr>
        <w:pStyle w:val="23"/>
        <w:numPr>
          <w:ilvl w:val="0"/>
          <w:numId w:val="4"/>
        </w:numPr>
        <w:spacing w:before="0" w:line="360" w:lineRule="auto"/>
        <w:ind w:left="0" w:leftChars="0" w:firstLine="0" w:firstLineChars="0"/>
        <w:outlineLvl w:val="1"/>
        <w:rPr>
          <w:rFonts w:hint="eastAsia" w:hAnsi="黑体"/>
          <w:b/>
          <w:bCs/>
          <w:kern w:val="2"/>
          <w:sz w:val="32"/>
          <w:szCs w:val="32"/>
        </w:rPr>
      </w:pPr>
      <w:bookmarkStart w:id="6" w:name="_Toc22312"/>
      <w:r>
        <w:rPr>
          <w:rFonts w:hint="eastAsia" w:hAnsi="黑体"/>
          <w:b/>
          <w:bCs/>
          <w:kern w:val="2"/>
          <w:sz w:val="32"/>
          <w:szCs w:val="32"/>
        </w:rPr>
        <w:t>支出预算情况</w:t>
      </w:r>
      <w:bookmarkEnd w:id="6"/>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rPr>
      </w:pPr>
      <w:r>
        <w:rPr>
          <w:rFonts w:hint="eastAsia" w:hAnsi="黑体"/>
          <w:kern w:val="2"/>
          <w:sz w:val="32"/>
          <w:szCs w:val="32"/>
        </w:rPr>
        <w:t>中共壤塘县委统战部</w:t>
      </w:r>
      <w:r>
        <w:rPr>
          <w:rFonts w:hint="eastAsia" w:hAnsi="黑体"/>
          <w:kern w:val="2"/>
          <w:sz w:val="32"/>
          <w:szCs w:val="32"/>
          <w:lang w:eastAsia="zh-CN"/>
        </w:rPr>
        <w:t>2023年</w:t>
      </w:r>
      <w:r>
        <w:rPr>
          <w:rFonts w:hint="eastAsia" w:hAnsi="黑体"/>
          <w:kern w:val="2"/>
          <w:sz w:val="32"/>
          <w:szCs w:val="32"/>
        </w:rPr>
        <w:t>支出预算</w:t>
      </w:r>
      <w:r>
        <w:rPr>
          <w:rFonts w:hint="eastAsia" w:hAnsi="黑体" w:cs="Times New Roman"/>
          <w:kern w:val="2"/>
          <w:sz w:val="32"/>
          <w:szCs w:val="32"/>
          <w:lang w:eastAsia="zh-CN"/>
        </w:rPr>
        <w:t>275.37万</w:t>
      </w:r>
      <w:r>
        <w:rPr>
          <w:rFonts w:hint="eastAsia" w:hAnsi="黑体"/>
          <w:kern w:val="2"/>
          <w:sz w:val="32"/>
          <w:szCs w:val="32"/>
        </w:rPr>
        <w:t>元，其中：基本支出</w:t>
      </w:r>
      <w:r>
        <w:rPr>
          <w:rFonts w:hint="eastAsia" w:hAnsi="黑体" w:cs="Times New Roman"/>
          <w:kern w:val="2"/>
          <w:sz w:val="32"/>
          <w:szCs w:val="32"/>
          <w:lang w:eastAsia="zh-CN"/>
        </w:rPr>
        <w:t>275.37万</w:t>
      </w:r>
      <w:r>
        <w:rPr>
          <w:rFonts w:hint="eastAsia" w:hAnsi="黑体"/>
          <w:kern w:val="2"/>
          <w:sz w:val="32"/>
          <w:szCs w:val="32"/>
        </w:rPr>
        <w:t>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p>
    <w:p>
      <w:pPr>
        <w:pStyle w:val="23"/>
        <w:numPr>
          <w:ilvl w:val="0"/>
          <w:numId w:val="3"/>
        </w:numPr>
        <w:spacing w:before="0" w:line="360" w:lineRule="auto"/>
        <w:ind w:left="0" w:leftChars="0" w:firstLine="0" w:firstLineChars="0"/>
        <w:outlineLvl w:val="0"/>
        <w:rPr>
          <w:rFonts w:hint="eastAsia" w:ascii="黑体" w:hAnsi="黑体" w:eastAsia="黑体" w:cs="黑体"/>
          <w:kern w:val="2"/>
          <w:sz w:val="32"/>
          <w:szCs w:val="32"/>
          <w:lang w:val="en-US" w:eastAsia="zh-CN"/>
        </w:rPr>
      </w:pPr>
      <w:bookmarkStart w:id="7" w:name="_Toc15434"/>
      <w:r>
        <w:rPr>
          <w:rFonts w:hint="eastAsia" w:ascii="黑体" w:hAnsi="黑体" w:eastAsia="黑体" w:cs="黑体"/>
          <w:kern w:val="2"/>
          <w:sz w:val="32"/>
          <w:szCs w:val="32"/>
        </w:rPr>
        <w:t>财政拨款收支预算情况说</w:t>
      </w:r>
      <w:r>
        <w:rPr>
          <w:rFonts w:hint="eastAsia" w:ascii="黑体" w:hAnsi="黑体" w:eastAsia="黑体" w:cs="黑体"/>
          <w:kern w:val="2"/>
          <w:sz w:val="32"/>
          <w:szCs w:val="32"/>
          <w:lang w:val="en-US" w:eastAsia="zh-CN"/>
        </w:rPr>
        <w:t>明</w:t>
      </w:r>
      <w:bookmarkEnd w:id="7"/>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Ansi="黑体"/>
          <w:kern w:val="2"/>
          <w:sz w:val="32"/>
          <w:szCs w:val="32"/>
        </w:rPr>
      </w:pPr>
      <w:r>
        <w:rPr>
          <w:rFonts w:hint="eastAsia" w:hAnsi="黑体"/>
          <w:kern w:val="2"/>
          <w:sz w:val="32"/>
          <w:szCs w:val="32"/>
        </w:rPr>
        <w:t>中共壤塘县委统战部</w:t>
      </w:r>
      <w:r>
        <w:rPr>
          <w:rFonts w:hint="eastAsia" w:hAnsi="黑体"/>
          <w:kern w:val="2"/>
          <w:sz w:val="32"/>
          <w:szCs w:val="32"/>
          <w:lang w:eastAsia="zh-CN"/>
        </w:rPr>
        <w:t>2023年</w:t>
      </w:r>
      <w:r>
        <w:rPr>
          <w:rFonts w:hint="eastAsia" w:hAnsi="黑体"/>
          <w:kern w:val="2"/>
          <w:sz w:val="32"/>
          <w:szCs w:val="32"/>
        </w:rPr>
        <w:t>财政拨款收支总预算</w:t>
      </w:r>
      <w:r>
        <w:rPr>
          <w:rFonts w:hint="eastAsia" w:hAnsi="黑体" w:cs="Times New Roman"/>
          <w:kern w:val="2"/>
          <w:sz w:val="32"/>
          <w:szCs w:val="32"/>
          <w:lang w:eastAsia="zh-CN"/>
        </w:rPr>
        <w:t>275.37，</w:t>
      </w:r>
      <w:r>
        <w:rPr>
          <w:rFonts w:hint="eastAsia" w:hAnsi="黑体"/>
          <w:kern w:val="2"/>
          <w:sz w:val="32"/>
          <w:szCs w:val="32"/>
        </w:rPr>
        <w:t>元</w:t>
      </w:r>
      <w:r>
        <w:rPr>
          <w:rFonts w:hAnsi="黑体"/>
          <w:kern w:val="2"/>
          <w:sz w:val="32"/>
          <w:szCs w:val="32"/>
        </w:rPr>
        <w:t>,</w:t>
      </w:r>
      <w:r>
        <w:rPr>
          <w:rFonts w:hint="eastAsia" w:hAnsi="黑体"/>
          <w:kern w:val="2"/>
          <w:sz w:val="32"/>
          <w:szCs w:val="32"/>
        </w:rPr>
        <w:t>比</w:t>
      </w:r>
      <w:r>
        <w:rPr>
          <w:rFonts w:hint="eastAsia" w:hAnsi="黑体"/>
          <w:kern w:val="2"/>
          <w:sz w:val="32"/>
          <w:szCs w:val="32"/>
          <w:lang w:eastAsia="zh-CN"/>
        </w:rPr>
        <w:t>2022</w:t>
      </w:r>
      <w:r>
        <w:rPr>
          <w:rFonts w:hAnsi="黑体"/>
          <w:kern w:val="2"/>
          <w:sz w:val="32"/>
          <w:szCs w:val="32"/>
        </w:rPr>
        <w:t>年</w:t>
      </w:r>
      <w:r>
        <w:rPr>
          <w:rFonts w:hint="eastAsia" w:hAnsi="黑体"/>
          <w:kern w:val="2"/>
          <w:sz w:val="32"/>
          <w:szCs w:val="32"/>
        </w:rPr>
        <w:t>财政拨款收支总预算</w:t>
      </w:r>
      <w:r>
        <w:rPr>
          <w:rFonts w:hint="eastAsia" w:hAnsi="黑体"/>
          <w:kern w:val="2"/>
          <w:sz w:val="32"/>
          <w:szCs w:val="32"/>
          <w:lang w:val="en-US" w:eastAsia="zh-CN"/>
        </w:rPr>
        <w:t>增加55.15</w:t>
      </w:r>
      <w:r>
        <w:rPr>
          <w:rFonts w:hint="eastAsia" w:hAnsi="黑体"/>
          <w:kern w:val="2"/>
          <w:sz w:val="32"/>
          <w:szCs w:val="32"/>
        </w:rPr>
        <w:t>万元，主要</w:t>
      </w:r>
      <w:r>
        <w:rPr>
          <w:rFonts w:hint="eastAsia" w:hAnsi="黑体"/>
          <w:kern w:val="2"/>
          <w:sz w:val="32"/>
          <w:szCs w:val="32"/>
          <w:lang w:eastAsia="zh-CN"/>
        </w:rPr>
        <w:t>：</w:t>
      </w:r>
      <w:r>
        <w:rPr>
          <w:rFonts w:hint="eastAsia" w:hAnsi="黑体"/>
          <w:kern w:val="2"/>
          <w:sz w:val="32"/>
          <w:szCs w:val="32"/>
        </w:rPr>
        <w:t>因</w:t>
      </w:r>
      <w:r>
        <w:rPr>
          <w:rFonts w:hAnsi="黑体"/>
          <w:kern w:val="2"/>
          <w:sz w:val="32"/>
          <w:szCs w:val="32"/>
        </w:rPr>
        <w:t>:</w:t>
      </w:r>
      <w:r>
        <w:rPr>
          <w:rFonts w:hint="eastAsia" w:hAnsi="黑体"/>
          <w:kern w:val="2"/>
          <w:sz w:val="32"/>
          <w:szCs w:val="32"/>
          <w:lang w:eastAsia="zh-CN"/>
        </w:rPr>
        <w:t>2023年人员经费预算增加</w:t>
      </w:r>
      <w:r>
        <w:rPr>
          <w:rFonts w:hint="eastAsia" w:hAnsi="黑体"/>
          <w:kern w:val="2"/>
          <w:sz w:val="32"/>
          <w:szCs w:val="32"/>
        </w:rPr>
        <w:t>。</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收入包括：本年一般公共预算拨款收入</w:t>
      </w:r>
      <w:r>
        <w:rPr>
          <w:rFonts w:hint="eastAsia" w:hAnsi="黑体" w:cs="Times New Roman"/>
          <w:kern w:val="2"/>
          <w:sz w:val="32"/>
          <w:szCs w:val="32"/>
          <w:lang w:eastAsia="zh-CN"/>
        </w:rPr>
        <w:t>275.37万</w:t>
      </w:r>
      <w:r>
        <w:rPr>
          <w:rFonts w:hint="eastAsia" w:hAnsi="黑体"/>
          <w:kern w:val="2"/>
          <w:sz w:val="32"/>
          <w:szCs w:val="32"/>
        </w:rPr>
        <w:t>元。</w:t>
      </w:r>
      <w:r>
        <w:rPr>
          <w:rFonts w:hAnsi="黑体" w:cs="Times New Roman"/>
          <w:kern w:val="2"/>
          <w:sz w:val="32"/>
          <w:szCs w:val="32"/>
        </w:rPr>
        <w:br w:type="textWrapping"/>
      </w:r>
      <w:r>
        <w:rPr>
          <w:rFonts w:hint="eastAsia" w:hAnsi="黑体"/>
          <w:kern w:val="2"/>
          <w:sz w:val="32"/>
          <w:szCs w:val="32"/>
        </w:rPr>
        <w:t>　　支出包括：一般公共服务支出183.35万元，社会保障和就业支出</w:t>
      </w:r>
      <w:r>
        <w:rPr>
          <w:rFonts w:hint="eastAsia" w:hAnsi="黑体" w:cs="Times New Roman"/>
          <w:kern w:val="2"/>
          <w:sz w:val="32"/>
          <w:szCs w:val="32"/>
        </w:rPr>
        <w:t>49.79</w:t>
      </w:r>
      <w:r>
        <w:rPr>
          <w:rFonts w:hint="eastAsia" w:hAnsi="黑体"/>
          <w:kern w:val="2"/>
          <w:sz w:val="32"/>
          <w:szCs w:val="32"/>
        </w:rPr>
        <w:t>万元，卫生健康支出</w:t>
      </w:r>
      <w:r>
        <w:rPr>
          <w:rFonts w:hint="eastAsia" w:hAnsi="黑体" w:cs="Times New Roman"/>
          <w:kern w:val="2"/>
          <w:sz w:val="32"/>
          <w:szCs w:val="32"/>
        </w:rPr>
        <w:t>17.33</w:t>
      </w:r>
      <w:r>
        <w:rPr>
          <w:rFonts w:hint="eastAsia" w:hAnsi="黑体"/>
          <w:kern w:val="2"/>
          <w:sz w:val="32"/>
          <w:szCs w:val="32"/>
        </w:rPr>
        <w:t>万元，住房保障支出</w:t>
      </w:r>
      <w:r>
        <w:rPr>
          <w:rFonts w:hint="eastAsia" w:hAnsi="黑体" w:cs="Times New Roman"/>
          <w:kern w:val="2"/>
          <w:sz w:val="32"/>
          <w:szCs w:val="32"/>
        </w:rPr>
        <w:t>24.89</w:t>
      </w:r>
      <w:r>
        <w:rPr>
          <w:rFonts w:hint="eastAsia" w:hAnsi="黑体"/>
          <w:kern w:val="2"/>
          <w:sz w:val="32"/>
          <w:szCs w:val="32"/>
        </w:rPr>
        <w:t>万元。</w:t>
      </w:r>
    </w:p>
    <w:p>
      <w:pPr>
        <w:pStyle w:val="23"/>
        <w:spacing w:before="0" w:line="360" w:lineRule="auto"/>
        <w:ind w:firstLine="627" w:firstLineChars="196"/>
        <w:outlineLvl w:val="0"/>
        <w:rPr>
          <w:rFonts w:hint="eastAsia" w:ascii="黑体" w:hAnsi="黑体" w:eastAsia="黑体" w:cs="黑体"/>
          <w:kern w:val="2"/>
          <w:sz w:val="32"/>
          <w:szCs w:val="32"/>
        </w:rPr>
      </w:pPr>
      <w:bookmarkStart w:id="8" w:name="_Toc22125"/>
      <w:r>
        <w:rPr>
          <w:rFonts w:hint="eastAsia" w:ascii="黑体" w:hAnsi="黑体" w:eastAsia="黑体" w:cs="黑体"/>
          <w:kern w:val="2"/>
          <w:sz w:val="32"/>
          <w:szCs w:val="32"/>
        </w:rPr>
        <w:t>五、一般公共预算当年拨款情况说明</w:t>
      </w:r>
      <w:bookmarkEnd w:id="8"/>
    </w:p>
    <w:p>
      <w:pPr>
        <w:pStyle w:val="23"/>
        <w:spacing w:before="0" w:line="360" w:lineRule="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（一）一般公共预算当年拨款规模变化情况</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中共壤塘县委统战部</w:t>
      </w:r>
      <w:r>
        <w:rPr>
          <w:rFonts w:hint="eastAsia" w:hAnsi="黑体"/>
          <w:kern w:val="2"/>
          <w:sz w:val="32"/>
          <w:szCs w:val="32"/>
          <w:lang w:eastAsia="zh-CN"/>
        </w:rPr>
        <w:t>2023年</w:t>
      </w:r>
      <w:r>
        <w:rPr>
          <w:rFonts w:hint="eastAsia" w:hAnsi="黑体"/>
          <w:kern w:val="2"/>
          <w:sz w:val="32"/>
          <w:szCs w:val="32"/>
        </w:rPr>
        <w:t>一般公共预算当年拨款</w:t>
      </w:r>
      <w:r>
        <w:rPr>
          <w:rFonts w:hint="eastAsia" w:hAnsi="黑体"/>
          <w:kern w:val="2"/>
          <w:sz w:val="32"/>
          <w:szCs w:val="32"/>
          <w:lang w:eastAsia="zh-CN"/>
        </w:rPr>
        <w:t>275.37万</w:t>
      </w:r>
      <w:r>
        <w:rPr>
          <w:rFonts w:hint="eastAsia" w:hAnsi="黑体"/>
          <w:kern w:val="2"/>
          <w:sz w:val="32"/>
          <w:szCs w:val="32"/>
        </w:rPr>
        <w:t>元，比</w:t>
      </w:r>
      <w:r>
        <w:rPr>
          <w:rFonts w:hint="eastAsia" w:hAnsi="黑体"/>
          <w:kern w:val="2"/>
          <w:sz w:val="32"/>
          <w:szCs w:val="32"/>
          <w:lang w:eastAsia="zh-CN"/>
        </w:rPr>
        <w:t>2022</w:t>
      </w:r>
      <w:r>
        <w:rPr>
          <w:rFonts w:hAnsi="黑体"/>
          <w:kern w:val="2"/>
          <w:sz w:val="32"/>
          <w:szCs w:val="32"/>
        </w:rPr>
        <w:t>年</w:t>
      </w:r>
      <w:r>
        <w:rPr>
          <w:rFonts w:hint="eastAsia" w:hAnsi="黑体"/>
          <w:kern w:val="2"/>
          <w:sz w:val="32"/>
          <w:szCs w:val="32"/>
        </w:rPr>
        <w:t>预算数</w:t>
      </w:r>
      <w:r>
        <w:rPr>
          <w:rFonts w:hint="eastAsia" w:hAnsi="黑体"/>
          <w:kern w:val="2"/>
          <w:sz w:val="32"/>
          <w:szCs w:val="32"/>
          <w:lang w:val="en-US" w:eastAsia="zh-CN"/>
        </w:rPr>
        <w:t>增加55.15</w:t>
      </w:r>
      <w:r>
        <w:rPr>
          <w:rFonts w:hint="eastAsia" w:hAnsi="黑体"/>
          <w:kern w:val="2"/>
          <w:sz w:val="32"/>
          <w:szCs w:val="32"/>
        </w:rPr>
        <w:t>万元，主要是基本支出</w:t>
      </w:r>
      <w:r>
        <w:rPr>
          <w:rFonts w:hint="eastAsia" w:hAnsi="黑体"/>
          <w:kern w:val="2"/>
          <w:sz w:val="32"/>
          <w:szCs w:val="32"/>
          <w:lang w:val="en-US" w:eastAsia="zh-CN"/>
        </w:rPr>
        <w:t>增加55.15</w:t>
      </w:r>
      <w:r>
        <w:rPr>
          <w:rFonts w:hint="eastAsia" w:hAnsi="黑体"/>
          <w:kern w:val="2"/>
          <w:sz w:val="32"/>
          <w:szCs w:val="32"/>
        </w:rPr>
        <w:t>万元，主要</w:t>
      </w:r>
      <w:r>
        <w:rPr>
          <w:rFonts w:hint="eastAsia" w:hAnsi="黑体"/>
          <w:kern w:val="2"/>
          <w:sz w:val="32"/>
          <w:szCs w:val="32"/>
          <w:lang w:eastAsia="zh-CN"/>
        </w:rPr>
        <w:t>：</w:t>
      </w:r>
      <w:r>
        <w:rPr>
          <w:rFonts w:hint="eastAsia" w:hAnsi="黑体"/>
          <w:kern w:val="2"/>
          <w:sz w:val="32"/>
          <w:szCs w:val="32"/>
        </w:rPr>
        <w:t>因</w:t>
      </w:r>
      <w:r>
        <w:rPr>
          <w:rFonts w:hAnsi="黑体"/>
          <w:kern w:val="2"/>
          <w:sz w:val="32"/>
          <w:szCs w:val="32"/>
        </w:rPr>
        <w:t>:</w:t>
      </w:r>
      <w:r>
        <w:rPr>
          <w:rFonts w:hint="eastAsia" w:hAnsi="黑体"/>
          <w:kern w:val="2"/>
          <w:sz w:val="32"/>
          <w:szCs w:val="32"/>
          <w:lang w:eastAsia="zh-CN"/>
        </w:rPr>
        <w:t>2023年人员经费预算增加</w:t>
      </w:r>
      <w:r>
        <w:rPr>
          <w:rFonts w:hint="eastAsia" w:hAnsi="黑体"/>
          <w:kern w:val="2"/>
          <w:sz w:val="32"/>
          <w:szCs w:val="32"/>
        </w:rPr>
        <w:t>。</w:t>
      </w:r>
    </w:p>
    <w:p>
      <w:pPr>
        <w:pStyle w:val="23"/>
        <w:numPr>
          <w:ilvl w:val="0"/>
          <w:numId w:val="4"/>
        </w:numPr>
        <w:spacing w:before="0" w:line="360" w:lineRule="auto"/>
        <w:ind w:left="0" w:leftChars="0" w:firstLine="0" w:firstLineChars="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一般公共预算当年拨款结构情况</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cs="Times New Roman"/>
          <w:kern w:val="2"/>
          <w:sz w:val="32"/>
          <w:szCs w:val="32"/>
          <w:lang w:eastAsia="zh-CN"/>
        </w:rPr>
      </w:pPr>
      <w:r>
        <w:rPr>
          <w:rFonts w:hint="eastAsia" w:hAnsi="黑体"/>
          <w:kern w:val="2"/>
          <w:sz w:val="32"/>
          <w:szCs w:val="32"/>
        </w:rPr>
        <w:t>一般公共服务支出183.35万元，</w:t>
      </w:r>
      <w:r>
        <w:rPr>
          <w:rFonts w:hint="eastAsia" w:hAnsi="黑体"/>
          <w:kern w:val="2"/>
          <w:sz w:val="32"/>
          <w:szCs w:val="32"/>
          <w:lang w:val="en-US" w:eastAsia="zh-CN"/>
        </w:rPr>
        <w:t>占66.58%，</w:t>
      </w:r>
      <w:r>
        <w:rPr>
          <w:rFonts w:hint="eastAsia" w:hAnsi="黑体"/>
          <w:kern w:val="2"/>
          <w:sz w:val="32"/>
          <w:szCs w:val="32"/>
        </w:rPr>
        <w:t>社会保障和就业支出</w:t>
      </w:r>
      <w:r>
        <w:rPr>
          <w:rFonts w:hint="eastAsia" w:hAnsi="黑体" w:cs="Times New Roman"/>
          <w:kern w:val="2"/>
          <w:sz w:val="32"/>
          <w:szCs w:val="32"/>
        </w:rPr>
        <w:t>49.79</w:t>
      </w:r>
      <w:r>
        <w:rPr>
          <w:rFonts w:hint="eastAsia" w:hAnsi="黑体"/>
          <w:kern w:val="2"/>
          <w:sz w:val="32"/>
          <w:szCs w:val="32"/>
        </w:rPr>
        <w:t>万元，</w:t>
      </w:r>
      <w:r>
        <w:rPr>
          <w:rFonts w:hint="eastAsia" w:hAnsi="黑体"/>
          <w:kern w:val="2"/>
          <w:sz w:val="32"/>
          <w:szCs w:val="32"/>
          <w:lang w:val="en-US" w:eastAsia="zh-CN"/>
        </w:rPr>
        <w:t>占18.08%，</w:t>
      </w:r>
      <w:r>
        <w:rPr>
          <w:rFonts w:hint="eastAsia" w:hAnsi="黑体"/>
          <w:kern w:val="2"/>
          <w:sz w:val="32"/>
          <w:szCs w:val="32"/>
        </w:rPr>
        <w:t>卫生健康支出</w:t>
      </w:r>
      <w:r>
        <w:rPr>
          <w:rFonts w:hint="eastAsia" w:hAnsi="黑体" w:cs="Times New Roman"/>
          <w:kern w:val="2"/>
          <w:sz w:val="32"/>
          <w:szCs w:val="32"/>
        </w:rPr>
        <w:t>17.33</w:t>
      </w:r>
      <w:r>
        <w:rPr>
          <w:rFonts w:hint="eastAsia" w:hAnsi="黑体"/>
          <w:kern w:val="2"/>
          <w:sz w:val="32"/>
          <w:szCs w:val="32"/>
        </w:rPr>
        <w:t>万元，</w:t>
      </w:r>
      <w:r>
        <w:rPr>
          <w:rFonts w:hint="eastAsia" w:hAnsi="黑体"/>
          <w:kern w:val="2"/>
          <w:sz w:val="32"/>
          <w:szCs w:val="32"/>
          <w:lang w:val="en-US" w:eastAsia="zh-CN"/>
        </w:rPr>
        <w:t>占6.29%，</w:t>
      </w:r>
      <w:r>
        <w:rPr>
          <w:rFonts w:hint="eastAsia" w:hAnsi="黑体"/>
          <w:kern w:val="2"/>
          <w:sz w:val="32"/>
          <w:szCs w:val="32"/>
        </w:rPr>
        <w:t>住房保障支出</w:t>
      </w:r>
      <w:r>
        <w:rPr>
          <w:rFonts w:hint="eastAsia" w:hAnsi="黑体" w:cs="Times New Roman"/>
          <w:kern w:val="2"/>
          <w:sz w:val="32"/>
          <w:szCs w:val="32"/>
        </w:rPr>
        <w:t>24.89</w:t>
      </w:r>
      <w:r>
        <w:rPr>
          <w:rFonts w:hint="eastAsia" w:hAnsi="黑体"/>
          <w:kern w:val="2"/>
          <w:sz w:val="32"/>
          <w:szCs w:val="32"/>
        </w:rPr>
        <w:t>万元，</w:t>
      </w:r>
      <w:r>
        <w:rPr>
          <w:rFonts w:hint="eastAsia" w:hAnsi="黑体"/>
          <w:kern w:val="2"/>
          <w:sz w:val="32"/>
          <w:szCs w:val="32"/>
          <w:lang w:val="en-US" w:eastAsia="zh-CN"/>
        </w:rPr>
        <w:t>占</w:t>
      </w:r>
      <w:r>
        <w:rPr>
          <w:rFonts w:hint="eastAsia" w:hAnsi="黑体"/>
          <w:kern w:val="2"/>
          <w:sz w:val="32"/>
          <w:szCs w:val="32"/>
        </w:rPr>
        <w:t>9.0</w:t>
      </w:r>
      <w:r>
        <w:rPr>
          <w:rFonts w:hint="eastAsia" w:hAnsi="黑体"/>
          <w:kern w:val="2"/>
          <w:sz w:val="32"/>
          <w:szCs w:val="32"/>
          <w:lang w:val="en-US" w:eastAsia="zh-CN"/>
        </w:rPr>
        <w:t>4</w:t>
      </w:r>
      <w:r>
        <w:rPr>
          <w:rFonts w:hint="eastAsia" w:hAnsi="黑体"/>
          <w:kern w:val="2"/>
          <w:sz w:val="32"/>
          <w:szCs w:val="32"/>
        </w:rPr>
        <w:t>%</w:t>
      </w:r>
      <w:r>
        <w:rPr>
          <w:rFonts w:hint="eastAsia" w:hAnsi="黑体" w:cs="Times New Roman"/>
          <w:kern w:val="2"/>
          <w:sz w:val="32"/>
          <w:szCs w:val="32"/>
          <w:lang w:eastAsia="zh-CN"/>
        </w:rPr>
        <w:t>。</w:t>
      </w:r>
    </w:p>
    <w:p>
      <w:pPr>
        <w:pStyle w:val="23"/>
        <w:numPr>
          <w:ilvl w:val="0"/>
          <w:numId w:val="4"/>
        </w:numPr>
        <w:spacing w:before="0" w:line="360" w:lineRule="auto"/>
        <w:ind w:left="0" w:leftChars="0" w:firstLine="0" w:firstLineChars="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一般公共预算当年拨款具体使用情况</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Ansi="黑体"/>
          <w:kern w:val="2"/>
          <w:sz w:val="32"/>
          <w:szCs w:val="32"/>
        </w:rPr>
      </w:pPr>
      <w:r>
        <w:rPr>
          <w:rFonts w:hint="eastAsia" w:hAnsi="黑体"/>
          <w:kern w:val="2"/>
          <w:sz w:val="32"/>
          <w:szCs w:val="32"/>
        </w:rPr>
        <w:t>1</w:t>
      </w:r>
      <w:r>
        <w:rPr>
          <w:rFonts w:hAnsi="黑体"/>
          <w:kern w:val="2"/>
          <w:sz w:val="32"/>
          <w:szCs w:val="32"/>
        </w:rPr>
        <w:t>.201</w:t>
      </w:r>
      <w:r>
        <w:rPr>
          <w:rFonts w:hint="eastAsia" w:hAnsi="黑体"/>
          <w:kern w:val="2"/>
          <w:sz w:val="32"/>
          <w:szCs w:val="32"/>
        </w:rPr>
        <w:t>（类）</w:t>
      </w:r>
      <w:r>
        <w:rPr>
          <w:rFonts w:hAnsi="黑体"/>
          <w:kern w:val="2"/>
          <w:sz w:val="32"/>
          <w:szCs w:val="32"/>
        </w:rPr>
        <w:t>34</w:t>
      </w:r>
      <w:r>
        <w:rPr>
          <w:rFonts w:hint="eastAsia" w:hAnsi="黑体"/>
          <w:kern w:val="2"/>
          <w:sz w:val="32"/>
          <w:szCs w:val="32"/>
        </w:rPr>
        <w:t>（款）</w:t>
      </w:r>
      <w:r>
        <w:rPr>
          <w:rFonts w:hAnsi="黑体"/>
          <w:kern w:val="2"/>
          <w:sz w:val="32"/>
          <w:szCs w:val="32"/>
        </w:rPr>
        <w:t>01</w:t>
      </w:r>
      <w:r>
        <w:rPr>
          <w:rFonts w:hint="eastAsia" w:hAnsi="黑体"/>
          <w:kern w:val="2"/>
          <w:sz w:val="32"/>
          <w:szCs w:val="32"/>
        </w:rPr>
        <w:t>（项）：行政运行</w:t>
      </w:r>
      <w:r>
        <w:rPr>
          <w:rFonts w:hint="eastAsia" w:hAnsi="黑体"/>
          <w:kern w:val="2"/>
          <w:sz w:val="32"/>
          <w:szCs w:val="32"/>
          <w:lang w:eastAsia="zh-CN"/>
        </w:rPr>
        <w:t>2023年</w:t>
      </w:r>
      <w:r>
        <w:rPr>
          <w:rFonts w:hint="eastAsia" w:hAnsi="黑体"/>
          <w:kern w:val="2"/>
          <w:sz w:val="32"/>
          <w:szCs w:val="32"/>
        </w:rPr>
        <w:t>预算数为183.35万元，主要用于</w:t>
      </w:r>
      <w:r>
        <w:rPr>
          <w:rFonts w:hAnsi="黑体"/>
          <w:kern w:val="2"/>
          <w:sz w:val="32"/>
          <w:szCs w:val="32"/>
        </w:rPr>
        <w:t>:</w:t>
      </w:r>
      <w:r>
        <w:rPr>
          <w:rFonts w:hint="eastAsia" w:hAnsi="黑体"/>
          <w:kern w:val="2"/>
          <w:sz w:val="32"/>
          <w:szCs w:val="32"/>
          <w:lang w:eastAsia="zh-CN"/>
        </w:rPr>
        <w:t>2023年</w:t>
      </w:r>
      <w:r>
        <w:rPr>
          <w:rFonts w:hint="eastAsia" w:hAnsi="黑体"/>
          <w:kern w:val="2"/>
          <w:sz w:val="32"/>
          <w:szCs w:val="32"/>
        </w:rPr>
        <w:t>单位职工工资福利支出（基本工资、津补贴、绩效工资等）、日常公用经费支出（办公费、邮电费、劳务费等）、工会经费和公务用车运行维护费。</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kern w:val="2"/>
          <w:sz w:val="32"/>
          <w:szCs w:val="32"/>
        </w:rPr>
      </w:pPr>
      <w:r>
        <w:rPr>
          <w:rFonts w:hAnsi="黑体"/>
          <w:kern w:val="2"/>
          <w:sz w:val="32"/>
          <w:szCs w:val="32"/>
        </w:rPr>
        <w:t>2.</w:t>
      </w:r>
      <w:r>
        <w:rPr>
          <w:rFonts w:hint="eastAsia" w:hAnsi="黑体"/>
          <w:kern w:val="2"/>
          <w:sz w:val="32"/>
          <w:szCs w:val="32"/>
        </w:rPr>
        <w:t>208（类）05（款）05（项）机关事业单位基本养老保险缴费支出</w:t>
      </w:r>
      <w:r>
        <w:rPr>
          <w:rFonts w:hint="eastAsia" w:hAnsi="黑体"/>
          <w:kern w:val="2"/>
          <w:sz w:val="32"/>
          <w:szCs w:val="32"/>
          <w:lang w:eastAsia="zh-CN"/>
        </w:rPr>
        <w:t>2023年</w:t>
      </w:r>
      <w:r>
        <w:rPr>
          <w:rFonts w:hint="eastAsia" w:hAnsi="黑体"/>
          <w:kern w:val="2"/>
          <w:sz w:val="32"/>
          <w:szCs w:val="32"/>
        </w:rPr>
        <w:t>预算数为33.19万元，主要用于</w:t>
      </w:r>
      <w:r>
        <w:rPr>
          <w:rFonts w:hAnsi="黑体"/>
          <w:kern w:val="2"/>
          <w:sz w:val="32"/>
          <w:szCs w:val="32"/>
        </w:rPr>
        <w:t>:</w:t>
      </w:r>
      <w:r>
        <w:rPr>
          <w:rFonts w:hint="eastAsia" w:hAnsi="黑体"/>
          <w:kern w:val="2"/>
          <w:sz w:val="32"/>
          <w:szCs w:val="32"/>
          <w:lang w:eastAsia="zh-CN"/>
        </w:rPr>
        <w:t>2023年</w:t>
      </w:r>
      <w:r>
        <w:rPr>
          <w:rFonts w:hint="eastAsia" w:hAnsi="黑体"/>
          <w:kern w:val="2"/>
          <w:sz w:val="32"/>
          <w:szCs w:val="32"/>
        </w:rPr>
        <w:t>单位养老保险支出。</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kern w:val="2"/>
          <w:sz w:val="32"/>
          <w:szCs w:val="32"/>
        </w:rPr>
      </w:pPr>
      <w:r>
        <w:rPr>
          <w:rFonts w:hAnsi="黑体"/>
          <w:kern w:val="2"/>
          <w:sz w:val="32"/>
          <w:szCs w:val="32"/>
        </w:rPr>
        <w:t>3.</w:t>
      </w:r>
      <w:r>
        <w:rPr>
          <w:rFonts w:hint="eastAsia" w:hAnsi="黑体"/>
          <w:kern w:val="2"/>
          <w:sz w:val="32"/>
          <w:szCs w:val="32"/>
        </w:rPr>
        <w:t>208（类）05（款）06（项）机关事业单位职业年金缴费支出</w:t>
      </w:r>
      <w:r>
        <w:rPr>
          <w:rFonts w:hint="eastAsia" w:hAnsi="黑体"/>
          <w:kern w:val="2"/>
          <w:sz w:val="32"/>
          <w:szCs w:val="32"/>
          <w:lang w:eastAsia="zh-CN"/>
        </w:rPr>
        <w:t>2023年</w:t>
      </w:r>
      <w:r>
        <w:rPr>
          <w:rFonts w:hint="eastAsia" w:hAnsi="黑体"/>
          <w:kern w:val="2"/>
          <w:sz w:val="32"/>
          <w:szCs w:val="32"/>
        </w:rPr>
        <w:t>预算数为16.6万元，主要用于</w:t>
      </w:r>
      <w:r>
        <w:rPr>
          <w:rFonts w:hAnsi="黑体"/>
          <w:kern w:val="2"/>
          <w:sz w:val="32"/>
          <w:szCs w:val="32"/>
        </w:rPr>
        <w:t>:</w:t>
      </w:r>
      <w:r>
        <w:rPr>
          <w:rFonts w:hint="eastAsia" w:hAnsi="黑体"/>
          <w:kern w:val="2"/>
          <w:sz w:val="32"/>
          <w:szCs w:val="32"/>
          <w:lang w:eastAsia="zh-CN"/>
        </w:rPr>
        <w:t>2023年</w:t>
      </w:r>
      <w:r>
        <w:rPr>
          <w:rFonts w:hint="eastAsia" w:hAnsi="黑体"/>
          <w:kern w:val="2"/>
          <w:sz w:val="32"/>
          <w:szCs w:val="32"/>
        </w:rPr>
        <w:t>单位职业年金支出。</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val="en-US" w:eastAsia="zh-CN"/>
        </w:rPr>
        <w:t>4</w:t>
      </w:r>
      <w:r>
        <w:rPr>
          <w:rFonts w:hAnsi="黑体"/>
          <w:kern w:val="2"/>
          <w:sz w:val="32"/>
          <w:szCs w:val="32"/>
        </w:rPr>
        <w:t>.</w:t>
      </w:r>
      <w:r>
        <w:rPr>
          <w:rFonts w:hint="eastAsia" w:hAnsi="黑体"/>
          <w:kern w:val="2"/>
          <w:sz w:val="32"/>
          <w:szCs w:val="32"/>
        </w:rPr>
        <w:t>210（类）11（款）01（项）行政单位医疗</w:t>
      </w:r>
      <w:r>
        <w:rPr>
          <w:rFonts w:hint="eastAsia" w:hAnsi="黑体"/>
          <w:kern w:val="2"/>
          <w:sz w:val="32"/>
          <w:szCs w:val="32"/>
          <w:lang w:eastAsia="zh-CN"/>
        </w:rPr>
        <w:t>2023年</w:t>
      </w:r>
      <w:r>
        <w:rPr>
          <w:rFonts w:hint="eastAsia" w:hAnsi="黑体"/>
          <w:kern w:val="2"/>
          <w:sz w:val="32"/>
          <w:szCs w:val="32"/>
        </w:rPr>
        <w:t>预算数为14.52万元，主要用于</w:t>
      </w:r>
      <w:r>
        <w:rPr>
          <w:rFonts w:hAnsi="黑体"/>
          <w:kern w:val="2"/>
          <w:sz w:val="32"/>
          <w:szCs w:val="32"/>
        </w:rPr>
        <w:t>:</w:t>
      </w:r>
      <w:r>
        <w:rPr>
          <w:rFonts w:hint="eastAsia" w:hAnsi="黑体"/>
          <w:kern w:val="2"/>
          <w:sz w:val="32"/>
          <w:szCs w:val="32"/>
          <w:lang w:eastAsia="zh-CN"/>
        </w:rPr>
        <w:t>2023年</w:t>
      </w:r>
      <w:r>
        <w:rPr>
          <w:rFonts w:hint="eastAsia" w:hAnsi="黑体"/>
          <w:kern w:val="2"/>
          <w:sz w:val="32"/>
          <w:szCs w:val="32"/>
        </w:rPr>
        <w:t>单位行政医疗支出。</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val="en-US" w:eastAsia="zh-CN"/>
        </w:rPr>
        <w:t>5</w:t>
      </w:r>
      <w:r>
        <w:rPr>
          <w:rFonts w:hAnsi="黑体"/>
          <w:kern w:val="2"/>
          <w:sz w:val="32"/>
          <w:szCs w:val="32"/>
        </w:rPr>
        <w:t>.</w:t>
      </w:r>
      <w:r>
        <w:rPr>
          <w:rFonts w:hint="eastAsia" w:hAnsi="黑体"/>
          <w:kern w:val="2"/>
          <w:sz w:val="32"/>
          <w:szCs w:val="32"/>
        </w:rPr>
        <w:t>210（类）11（款）03（项）公务员医疗补助</w:t>
      </w:r>
      <w:r>
        <w:rPr>
          <w:rFonts w:hint="eastAsia" w:hAnsi="黑体"/>
          <w:kern w:val="2"/>
          <w:sz w:val="32"/>
          <w:szCs w:val="32"/>
          <w:lang w:eastAsia="zh-CN"/>
        </w:rPr>
        <w:t>2023年</w:t>
      </w:r>
      <w:r>
        <w:rPr>
          <w:rFonts w:hint="eastAsia" w:hAnsi="黑体"/>
          <w:kern w:val="2"/>
          <w:sz w:val="32"/>
          <w:szCs w:val="32"/>
        </w:rPr>
        <w:t>预算数为2.81万元，主要用于</w:t>
      </w:r>
      <w:r>
        <w:rPr>
          <w:rFonts w:hAnsi="黑体"/>
          <w:kern w:val="2"/>
          <w:sz w:val="32"/>
          <w:szCs w:val="32"/>
        </w:rPr>
        <w:t>:</w:t>
      </w:r>
      <w:r>
        <w:rPr>
          <w:rFonts w:hint="eastAsia" w:hAnsi="黑体"/>
          <w:kern w:val="2"/>
          <w:sz w:val="32"/>
          <w:szCs w:val="32"/>
          <w:lang w:eastAsia="zh-CN"/>
        </w:rPr>
        <w:t>2023年</w:t>
      </w:r>
      <w:r>
        <w:rPr>
          <w:rFonts w:hint="eastAsia" w:hAnsi="黑体"/>
          <w:kern w:val="2"/>
          <w:sz w:val="32"/>
          <w:szCs w:val="32"/>
        </w:rPr>
        <w:t>单位公务员医疗补助支出。</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val="en-US" w:eastAsia="zh-CN"/>
        </w:rPr>
        <w:t>6</w:t>
      </w:r>
      <w:r>
        <w:rPr>
          <w:rFonts w:hint="eastAsia" w:hAnsi="黑体"/>
          <w:kern w:val="2"/>
          <w:sz w:val="32"/>
          <w:szCs w:val="32"/>
        </w:rPr>
        <w:t>.2</w:t>
      </w:r>
      <w:r>
        <w:rPr>
          <w:rFonts w:hint="eastAsia" w:hAnsi="黑体"/>
          <w:kern w:val="2"/>
          <w:sz w:val="32"/>
          <w:szCs w:val="32"/>
          <w:lang w:val="en-US" w:eastAsia="zh-CN"/>
        </w:rPr>
        <w:t>21</w:t>
      </w:r>
      <w:r>
        <w:rPr>
          <w:rFonts w:hint="eastAsia" w:hAnsi="黑体"/>
          <w:kern w:val="2"/>
          <w:sz w:val="32"/>
          <w:szCs w:val="32"/>
        </w:rPr>
        <w:t>（类）</w:t>
      </w:r>
      <w:r>
        <w:rPr>
          <w:rFonts w:hint="eastAsia" w:hAnsi="黑体"/>
          <w:kern w:val="2"/>
          <w:sz w:val="32"/>
          <w:szCs w:val="32"/>
          <w:lang w:val="en-US" w:eastAsia="zh-CN"/>
        </w:rPr>
        <w:t>02</w:t>
      </w:r>
      <w:r>
        <w:rPr>
          <w:rFonts w:hint="eastAsia" w:hAnsi="黑体"/>
          <w:kern w:val="2"/>
          <w:sz w:val="32"/>
          <w:szCs w:val="32"/>
        </w:rPr>
        <w:t>（款）0</w:t>
      </w:r>
      <w:r>
        <w:rPr>
          <w:rFonts w:hint="eastAsia" w:hAnsi="黑体"/>
          <w:kern w:val="2"/>
          <w:sz w:val="32"/>
          <w:szCs w:val="32"/>
          <w:lang w:val="en-US" w:eastAsia="zh-CN"/>
        </w:rPr>
        <w:t>1</w:t>
      </w:r>
      <w:r>
        <w:rPr>
          <w:rFonts w:hint="eastAsia" w:hAnsi="黑体"/>
          <w:kern w:val="2"/>
          <w:sz w:val="32"/>
          <w:szCs w:val="32"/>
        </w:rPr>
        <w:t>（项）住房公积金</w:t>
      </w:r>
      <w:r>
        <w:rPr>
          <w:rFonts w:hint="eastAsia" w:hAnsi="黑体"/>
          <w:kern w:val="2"/>
          <w:sz w:val="32"/>
          <w:szCs w:val="32"/>
          <w:lang w:eastAsia="zh-CN"/>
        </w:rPr>
        <w:t>2023年</w:t>
      </w:r>
      <w:r>
        <w:rPr>
          <w:rFonts w:hint="eastAsia" w:hAnsi="黑体"/>
          <w:kern w:val="2"/>
          <w:sz w:val="32"/>
          <w:szCs w:val="32"/>
        </w:rPr>
        <w:t>预算数为24.89万元，主要用于:</w:t>
      </w:r>
      <w:r>
        <w:rPr>
          <w:rFonts w:hint="eastAsia" w:hAnsi="黑体"/>
          <w:kern w:val="2"/>
          <w:sz w:val="32"/>
          <w:szCs w:val="32"/>
          <w:lang w:eastAsia="zh-CN"/>
        </w:rPr>
        <w:t>2023年</w:t>
      </w:r>
      <w:r>
        <w:rPr>
          <w:rFonts w:hint="eastAsia" w:hAnsi="黑体"/>
          <w:kern w:val="2"/>
          <w:sz w:val="32"/>
          <w:szCs w:val="32"/>
        </w:rPr>
        <w:t>单位住房公积金支出。</w:t>
      </w:r>
    </w:p>
    <w:p>
      <w:pPr>
        <w:pStyle w:val="23"/>
        <w:numPr>
          <w:ilvl w:val="0"/>
          <w:numId w:val="0"/>
        </w:numPr>
        <w:spacing w:before="0" w:line="360" w:lineRule="auto"/>
        <w:ind w:leftChars="0"/>
        <w:outlineLvl w:val="0"/>
        <w:rPr>
          <w:rFonts w:hint="eastAsia" w:ascii="黑体" w:hAnsi="黑体" w:eastAsia="黑体" w:cs="黑体"/>
          <w:kern w:val="2"/>
          <w:sz w:val="32"/>
          <w:szCs w:val="32"/>
        </w:rPr>
      </w:pPr>
      <w:bookmarkStart w:id="9" w:name="_Toc3933"/>
      <w:r>
        <w:rPr>
          <w:rFonts w:hint="eastAsia" w:ascii="黑体" w:hAnsi="黑体" w:eastAsia="黑体" w:cs="黑体"/>
          <w:kern w:val="2"/>
          <w:sz w:val="32"/>
          <w:szCs w:val="32"/>
          <w:lang w:val="en-US" w:eastAsia="zh-CN"/>
        </w:rPr>
        <w:t>六、</w:t>
      </w:r>
      <w:r>
        <w:rPr>
          <w:rFonts w:hint="eastAsia" w:ascii="黑体" w:hAnsi="黑体" w:eastAsia="黑体" w:cs="黑体"/>
          <w:kern w:val="2"/>
          <w:sz w:val="32"/>
          <w:szCs w:val="32"/>
        </w:rPr>
        <w:t>一般公共预算基本支出情况说明</w:t>
      </w:r>
      <w:bookmarkEnd w:id="9"/>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rPr>
      </w:pPr>
      <w:r>
        <w:rPr>
          <w:rFonts w:hint="eastAsia" w:hAnsi="黑体"/>
          <w:kern w:val="2"/>
          <w:sz w:val="32"/>
          <w:szCs w:val="32"/>
        </w:rPr>
        <w:t>中共壤塘县委统战部</w:t>
      </w:r>
      <w:r>
        <w:rPr>
          <w:rFonts w:hint="eastAsia" w:hAnsi="黑体"/>
          <w:kern w:val="2"/>
          <w:sz w:val="32"/>
          <w:szCs w:val="32"/>
          <w:lang w:eastAsia="zh-CN"/>
        </w:rPr>
        <w:t>2023年</w:t>
      </w:r>
      <w:r>
        <w:rPr>
          <w:rFonts w:hint="eastAsia" w:hAnsi="黑体"/>
          <w:kern w:val="2"/>
          <w:sz w:val="32"/>
          <w:szCs w:val="32"/>
        </w:rPr>
        <w:t>一般公共预算基本支出</w:t>
      </w:r>
      <w:r>
        <w:rPr>
          <w:rFonts w:hint="eastAsia" w:hAnsi="黑体"/>
          <w:kern w:val="2"/>
          <w:sz w:val="32"/>
          <w:szCs w:val="32"/>
          <w:lang w:eastAsia="zh-CN"/>
        </w:rPr>
        <w:t>275.37万</w:t>
      </w:r>
      <w:r>
        <w:rPr>
          <w:rFonts w:hint="eastAsia" w:hAnsi="黑体"/>
          <w:kern w:val="2"/>
          <w:sz w:val="32"/>
          <w:szCs w:val="32"/>
        </w:rPr>
        <w:t>元，其中：人员经费235.7万元，主要包括：基本工资、津贴补贴、奖金、其他社会保障缴费、绩效工资、机关事业单位基本养老保险缴费、职业年金缴费、其他工资福利支出、离休费、奖励金、住房公积金、其他对个人和家庭的补助支出。公用经费39.67万元，主要包括：办公费、印刷费、手续费、水费、电费、邮电费、差旅费、维修（护）费、租赁费、会议费、培训费、劳务费、工会经费、福利费、其他交通工具运行维护费、其他商品和服务支出。</w:t>
      </w:r>
    </w:p>
    <w:p>
      <w:pPr>
        <w:pStyle w:val="23"/>
        <w:numPr>
          <w:ilvl w:val="0"/>
          <w:numId w:val="0"/>
        </w:numPr>
        <w:spacing w:before="0" w:line="360" w:lineRule="auto"/>
        <w:ind w:leftChars="0"/>
        <w:outlineLvl w:val="0"/>
        <w:rPr>
          <w:rFonts w:hint="eastAsia" w:ascii="黑体" w:hAnsi="黑体" w:eastAsia="黑体" w:cs="黑体"/>
          <w:kern w:val="2"/>
          <w:sz w:val="32"/>
          <w:szCs w:val="32"/>
        </w:rPr>
      </w:pPr>
      <w:bookmarkStart w:id="10" w:name="_Toc25271"/>
      <w:r>
        <w:rPr>
          <w:rFonts w:hint="eastAsia" w:ascii="黑体" w:hAnsi="黑体" w:eastAsia="黑体" w:cs="Times New Roman"/>
          <w:kern w:val="2"/>
          <w:sz w:val="32"/>
          <w:szCs w:val="32"/>
          <w:lang w:val="en-US" w:eastAsia="zh-CN"/>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bookmarkEnd w:id="10"/>
    </w:p>
    <w:p>
      <w:pPr>
        <w:pStyle w:val="23"/>
        <w:spacing w:before="0" w:line="360" w:lineRule="auto"/>
        <w:ind w:firstLine="640" w:firstLineChars="200"/>
        <w:rPr>
          <w:rFonts w:hint="eastAsia" w:hAnsi="黑体"/>
          <w:kern w:val="2"/>
          <w:sz w:val="32"/>
          <w:szCs w:val="32"/>
        </w:rPr>
      </w:pPr>
      <w:r>
        <w:rPr>
          <w:rFonts w:hint="eastAsia" w:hAnsi="黑体"/>
          <w:kern w:val="2"/>
          <w:sz w:val="32"/>
          <w:szCs w:val="32"/>
        </w:rPr>
        <w:t>中共壤塘县委统战部</w:t>
      </w:r>
      <w:r>
        <w:rPr>
          <w:rFonts w:hint="eastAsia" w:hAnsi="黑体"/>
          <w:kern w:val="2"/>
          <w:sz w:val="32"/>
          <w:szCs w:val="32"/>
          <w:lang w:eastAsia="zh-CN"/>
        </w:rPr>
        <w:t>2023年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Ansi="黑体"/>
          <w:kern w:val="2"/>
          <w:sz w:val="32"/>
          <w:szCs w:val="32"/>
        </w:rPr>
        <w:t>6</w:t>
      </w:r>
      <w:r>
        <w:rPr>
          <w:rFonts w:hint="eastAsia" w:hAnsi="黑体"/>
          <w:kern w:val="2"/>
          <w:sz w:val="32"/>
          <w:szCs w:val="32"/>
        </w:rPr>
        <w:t>万元，其中：公务用车购置及运行维护费</w:t>
      </w:r>
      <w:r>
        <w:rPr>
          <w:rFonts w:hAnsi="黑体"/>
          <w:kern w:val="2"/>
          <w:sz w:val="32"/>
          <w:szCs w:val="32"/>
        </w:rPr>
        <w:t>6</w:t>
      </w:r>
      <w:r>
        <w:rPr>
          <w:rFonts w:hint="eastAsia" w:hAnsi="黑体"/>
          <w:kern w:val="2"/>
          <w:sz w:val="32"/>
          <w:szCs w:val="32"/>
        </w:rPr>
        <w:t>万元。</w:t>
      </w:r>
    </w:p>
    <w:p>
      <w:pPr>
        <w:pStyle w:val="23"/>
        <w:spacing w:before="0" w:line="360" w:lineRule="auto"/>
        <w:ind w:firstLine="640" w:firstLineChars="200"/>
        <w:rPr>
          <w:rFonts w:hint="eastAsia" w:hAnsi="黑体"/>
          <w:kern w:val="2"/>
          <w:sz w:val="32"/>
          <w:szCs w:val="32"/>
        </w:rPr>
      </w:pPr>
      <w:r>
        <w:rPr>
          <w:rFonts w:hint="eastAsia" w:hAnsi="黑体"/>
          <w:kern w:val="2"/>
          <w:sz w:val="32"/>
          <w:szCs w:val="32"/>
        </w:rPr>
        <w:t>（一）</w:t>
      </w:r>
      <w:r>
        <w:rPr>
          <w:rFonts w:hint="eastAsia" w:hAnsi="黑体"/>
          <w:kern w:val="2"/>
          <w:sz w:val="32"/>
          <w:szCs w:val="32"/>
          <w:lang w:eastAsia="zh-CN"/>
        </w:rPr>
        <w:t>202</w:t>
      </w:r>
      <w:r>
        <w:rPr>
          <w:rFonts w:hint="eastAsia" w:hAnsi="黑体"/>
          <w:kern w:val="2"/>
          <w:sz w:val="32"/>
          <w:szCs w:val="32"/>
          <w:lang w:val="en-US" w:eastAsia="zh-CN"/>
        </w:rPr>
        <w:t>3</w:t>
      </w:r>
      <w:r>
        <w:rPr>
          <w:rFonts w:hint="eastAsia" w:hAnsi="黑体"/>
          <w:kern w:val="2"/>
          <w:sz w:val="32"/>
          <w:szCs w:val="32"/>
          <w:lang w:eastAsia="zh-CN"/>
        </w:rPr>
        <w:t>年</w:t>
      </w:r>
      <w:r>
        <w:rPr>
          <w:rFonts w:hint="eastAsia" w:hAnsi="黑体"/>
          <w:kern w:val="2"/>
          <w:sz w:val="32"/>
          <w:szCs w:val="32"/>
        </w:rPr>
        <w:t>因公出国（境）经费</w:t>
      </w:r>
      <w:r>
        <w:rPr>
          <w:rFonts w:hint="eastAsia" w:hAnsi="黑体"/>
          <w:kern w:val="2"/>
          <w:sz w:val="32"/>
          <w:szCs w:val="32"/>
          <w:lang w:val="en-US" w:eastAsia="zh-CN"/>
        </w:rPr>
        <w:t>0</w:t>
      </w:r>
      <w:r>
        <w:rPr>
          <w:rFonts w:hint="eastAsia" w:hAnsi="黑体"/>
          <w:kern w:val="2"/>
          <w:sz w:val="32"/>
          <w:szCs w:val="32"/>
        </w:rPr>
        <w:t>万元。</w:t>
      </w:r>
    </w:p>
    <w:p>
      <w:pPr>
        <w:pStyle w:val="23"/>
        <w:spacing w:before="0" w:line="360" w:lineRule="auto"/>
        <w:ind w:firstLine="640" w:firstLineChars="200"/>
        <w:rPr>
          <w:rFonts w:hint="eastAsia" w:hAnsi="黑体"/>
          <w:kern w:val="2"/>
          <w:sz w:val="32"/>
          <w:szCs w:val="32"/>
        </w:rPr>
      </w:pPr>
      <w:r>
        <w:rPr>
          <w:rFonts w:hint="eastAsia" w:hAnsi="黑体"/>
          <w:kern w:val="2"/>
          <w:sz w:val="32"/>
          <w:szCs w:val="32"/>
        </w:rPr>
        <w:t>（二）</w:t>
      </w:r>
      <w:r>
        <w:rPr>
          <w:rFonts w:hint="eastAsia" w:hAnsi="黑体"/>
          <w:kern w:val="2"/>
          <w:sz w:val="32"/>
          <w:szCs w:val="32"/>
          <w:lang w:eastAsia="zh-CN"/>
        </w:rPr>
        <w:t>202</w:t>
      </w:r>
      <w:r>
        <w:rPr>
          <w:rFonts w:hint="eastAsia" w:hAnsi="黑体"/>
          <w:kern w:val="2"/>
          <w:sz w:val="32"/>
          <w:szCs w:val="32"/>
          <w:lang w:val="en-US" w:eastAsia="zh-CN"/>
        </w:rPr>
        <w:t>3</w:t>
      </w:r>
      <w:r>
        <w:rPr>
          <w:rFonts w:hint="eastAsia" w:hAnsi="黑体"/>
          <w:kern w:val="2"/>
          <w:sz w:val="32"/>
          <w:szCs w:val="32"/>
          <w:lang w:eastAsia="zh-CN"/>
        </w:rPr>
        <w:t>年</w:t>
      </w:r>
      <w:r>
        <w:rPr>
          <w:rFonts w:hint="eastAsia" w:hAnsi="黑体"/>
          <w:kern w:val="2"/>
          <w:sz w:val="32"/>
          <w:szCs w:val="32"/>
        </w:rPr>
        <w:t>公务接待费</w:t>
      </w:r>
      <w:r>
        <w:rPr>
          <w:rFonts w:hint="eastAsia" w:hAnsi="黑体"/>
          <w:kern w:val="2"/>
          <w:sz w:val="32"/>
          <w:szCs w:val="32"/>
          <w:lang w:val="en-US" w:eastAsia="zh-CN"/>
        </w:rPr>
        <w:t>0</w:t>
      </w:r>
      <w:r>
        <w:rPr>
          <w:rFonts w:hint="eastAsia" w:hAnsi="黑体"/>
          <w:kern w:val="2"/>
          <w:sz w:val="32"/>
          <w:szCs w:val="32"/>
        </w:rPr>
        <w:t>万元。</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lang w:val="en-US" w:eastAsia="zh-CN"/>
        </w:rPr>
      </w:pPr>
      <w:r>
        <w:rPr>
          <w:rFonts w:hint="eastAsia" w:hAnsi="黑体"/>
          <w:kern w:val="2"/>
          <w:sz w:val="32"/>
          <w:szCs w:val="32"/>
        </w:rPr>
        <w:t>（三）</w:t>
      </w:r>
      <w:r>
        <w:rPr>
          <w:rFonts w:hint="eastAsia" w:hAnsi="黑体"/>
          <w:kern w:val="2"/>
          <w:sz w:val="32"/>
          <w:szCs w:val="32"/>
          <w:lang w:eastAsia="zh-CN"/>
        </w:rPr>
        <w:t>202</w:t>
      </w:r>
      <w:r>
        <w:rPr>
          <w:rFonts w:hint="eastAsia" w:hAnsi="黑体"/>
          <w:kern w:val="2"/>
          <w:sz w:val="32"/>
          <w:szCs w:val="32"/>
          <w:lang w:val="en-US" w:eastAsia="zh-CN"/>
        </w:rPr>
        <w:t>3</w:t>
      </w:r>
      <w:r>
        <w:rPr>
          <w:rFonts w:hint="eastAsia" w:hAnsi="黑体"/>
          <w:kern w:val="2"/>
          <w:sz w:val="32"/>
          <w:szCs w:val="32"/>
          <w:lang w:eastAsia="zh-CN"/>
        </w:rPr>
        <w:t>年</w:t>
      </w:r>
      <w:r>
        <w:rPr>
          <w:rFonts w:hint="eastAsia" w:hAnsi="黑体"/>
          <w:kern w:val="2"/>
          <w:sz w:val="32"/>
          <w:szCs w:val="32"/>
        </w:rPr>
        <w:t>公务用车购置及运行维护费</w:t>
      </w:r>
      <w:r>
        <w:rPr>
          <w:rFonts w:hint="eastAsia" w:hAnsi="黑体"/>
          <w:kern w:val="2"/>
          <w:sz w:val="32"/>
          <w:szCs w:val="32"/>
          <w:lang w:val="en-US" w:eastAsia="zh-CN"/>
        </w:rPr>
        <w:t>6</w:t>
      </w:r>
      <w:r>
        <w:rPr>
          <w:rFonts w:hint="eastAsia" w:hAnsi="黑体"/>
          <w:kern w:val="2"/>
          <w:sz w:val="32"/>
          <w:szCs w:val="32"/>
        </w:rPr>
        <w:t>万元。</w:t>
      </w:r>
      <w:r>
        <w:rPr>
          <w:rFonts w:hint="eastAsia" w:hAnsi="黑体"/>
          <w:kern w:val="2"/>
          <w:sz w:val="32"/>
          <w:szCs w:val="32"/>
          <w:lang w:val="en-US" w:eastAsia="zh-CN"/>
        </w:rPr>
        <w:t>与</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一致。</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lang w:val="en-US" w:eastAsia="zh-CN"/>
        </w:rPr>
      </w:pPr>
    </w:p>
    <w:p>
      <w:pPr>
        <w:pStyle w:val="23"/>
        <w:numPr>
          <w:ilvl w:val="0"/>
          <w:numId w:val="5"/>
        </w:numPr>
        <w:spacing w:before="0" w:line="360" w:lineRule="auto"/>
        <w:outlineLvl w:val="0"/>
        <w:rPr>
          <w:rFonts w:hint="eastAsia" w:ascii="黑体" w:hAnsi="黑体" w:eastAsia="黑体" w:cs="黑体"/>
          <w:kern w:val="2"/>
          <w:sz w:val="32"/>
          <w:szCs w:val="32"/>
        </w:rPr>
      </w:pPr>
      <w:bookmarkStart w:id="11" w:name="_Toc29082"/>
      <w:r>
        <w:rPr>
          <w:rFonts w:hint="eastAsia" w:ascii="黑体" w:hAnsi="黑体" w:eastAsia="黑体" w:cs="黑体"/>
          <w:kern w:val="2"/>
          <w:sz w:val="32"/>
          <w:szCs w:val="32"/>
        </w:rPr>
        <w:t>政府性基金预算支出情况说明</w:t>
      </w:r>
      <w:bookmarkEnd w:id="11"/>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9"/>
        <w:rPr>
          <w:rFonts w:hint="eastAsia" w:hAnsi="黑体"/>
          <w:kern w:val="2"/>
          <w:sz w:val="32"/>
          <w:szCs w:val="32"/>
          <w:lang w:eastAsia="zh-CN"/>
        </w:rPr>
      </w:pPr>
      <w:r>
        <w:rPr>
          <w:rFonts w:hint="eastAsia" w:hAnsi="黑体"/>
          <w:kern w:val="2"/>
          <w:sz w:val="32"/>
          <w:szCs w:val="32"/>
        </w:rPr>
        <w:t>中共壤塘县委统战部</w:t>
      </w:r>
      <w:r>
        <w:rPr>
          <w:rFonts w:hint="eastAsia" w:hAnsi="黑体"/>
          <w:kern w:val="2"/>
          <w:sz w:val="32"/>
          <w:szCs w:val="32"/>
          <w:lang w:eastAsia="zh-CN"/>
        </w:rPr>
        <w:t>2023年</w:t>
      </w:r>
      <w:r>
        <w:rPr>
          <w:rFonts w:hint="eastAsia" w:hAnsi="黑体"/>
          <w:kern w:val="2"/>
          <w:sz w:val="32"/>
          <w:szCs w:val="32"/>
        </w:rPr>
        <w:t>无政府性基金预算拨款</w:t>
      </w:r>
      <w:r>
        <w:rPr>
          <w:rFonts w:hint="eastAsia" w:hAnsi="黑体"/>
          <w:kern w:val="2"/>
          <w:sz w:val="32"/>
          <w:szCs w:val="32"/>
          <w:lang w:eastAsia="zh-CN"/>
        </w:rPr>
        <w:t>。</w:t>
      </w:r>
    </w:p>
    <w:p>
      <w:pPr>
        <w:pStyle w:val="23"/>
        <w:numPr>
          <w:ilvl w:val="0"/>
          <w:numId w:val="5"/>
        </w:numPr>
        <w:spacing w:before="0" w:line="360" w:lineRule="auto"/>
        <w:ind w:left="0" w:leftChars="0" w:firstLine="0" w:firstLineChars="0"/>
        <w:outlineLvl w:val="0"/>
        <w:rPr>
          <w:rFonts w:hint="eastAsia" w:ascii="黑体" w:hAnsi="黑体" w:eastAsia="黑体" w:cs="黑体"/>
          <w:kern w:val="2"/>
          <w:sz w:val="32"/>
          <w:szCs w:val="32"/>
        </w:rPr>
      </w:pPr>
      <w:bookmarkStart w:id="12" w:name="_Toc24525"/>
      <w:r>
        <w:rPr>
          <w:rFonts w:hint="eastAsia" w:ascii="黑体" w:hAnsi="黑体" w:eastAsia="黑体" w:cs="黑体"/>
          <w:kern w:val="2"/>
          <w:sz w:val="32"/>
          <w:szCs w:val="32"/>
        </w:rPr>
        <w:t>其他重要事项的情况说明</w:t>
      </w:r>
      <w:bookmarkEnd w:id="12"/>
    </w:p>
    <w:p>
      <w:pPr>
        <w:pStyle w:val="23"/>
        <w:numPr>
          <w:ilvl w:val="0"/>
          <w:numId w:val="6"/>
        </w:numPr>
        <w:spacing w:before="0" w:line="360" w:lineRule="auto"/>
        <w:ind w:leftChars="0"/>
        <w:outlineLvl w:val="1"/>
        <w:rPr>
          <w:rFonts w:hint="eastAsia" w:ascii="楷体_GB2312" w:hAnsi="黑体" w:eastAsia="楷体_GB2312" w:cs="楷体_GB2312"/>
          <w:b/>
          <w:bCs/>
          <w:kern w:val="2"/>
          <w:sz w:val="32"/>
          <w:szCs w:val="32"/>
        </w:rPr>
      </w:pPr>
      <w:bookmarkStart w:id="13" w:name="_Toc25491"/>
      <w:r>
        <w:rPr>
          <w:rFonts w:hint="eastAsia" w:ascii="楷体_GB2312" w:hAnsi="黑体" w:eastAsia="楷体_GB2312" w:cs="楷体_GB2312"/>
          <w:b/>
          <w:bCs/>
          <w:kern w:val="2"/>
          <w:sz w:val="32"/>
          <w:szCs w:val="32"/>
        </w:rPr>
        <w:t>机关运行经费</w:t>
      </w:r>
      <w:bookmarkEnd w:id="13"/>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9"/>
        <w:rPr>
          <w:rFonts w:hint="eastAsia" w:hAnsi="黑体"/>
          <w:kern w:val="2"/>
          <w:sz w:val="32"/>
          <w:szCs w:val="32"/>
        </w:rPr>
      </w:pPr>
      <w:r>
        <w:rPr>
          <w:rFonts w:hint="eastAsia" w:hAnsi="黑体"/>
          <w:kern w:val="2"/>
          <w:sz w:val="32"/>
          <w:szCs w:val="32"/>
        </w:rPr>
        <w:t>中共壤塘县委统战部</w:t>
      </w:r>
      <w:r>
        <w:rPr>
          <w:rFonts w:hint="eastAsia" w:hAnsi="黑体"/>
          <w:kern w:val="2"/>
          <w:sz w:val="32"/>
          <w:szCs w:val="32"/>
          <w:lang w:eastAsia="zh-CN"/>
        </w:rPr>
        <w:t>2023年</w:t>
      </w:r>
      <w:r>
        <w:rPr>
          <w:rFonts w:hint="eastAsia" w:hAnsi="黑体"/>
          <w:kern w:val="2"/>
          <w:sz w:val="32"/>
          <w:szCs w:val="32"/>
        </w:rPr>
        <w:t>机关运行经费财政拨款预算为3</w:t>
      </w:r>
      <w:r>
        <w:rPr>
          <w:rFonts w:hint="eastAsia" w:hAnsi="黑体"/>
          <w:kern w:val="2"/>
          <w:sz w:val="32"/>
          <w:szCs w:val="32"/>
          <w:lang w:val="en-US" w:eastAsia="zh-CN"/>
        </w:rPr>
        <w:t>9.67</w:t>
      </w:r>
      <w:r>
        <w:rPr>
          <w:rFonts w:hint="eastAsia" w:hAnsi="黑体"/>
          <w:kern w:val="2"/>
          <w:sz w:val="32"/>
          <w:szCs w:val="32"/>
        </w:rPr>
        <w:t>万元，比</w:t>
      </w:r>
      <w:r>
        <w:rPr>
          <w:rFonts w:hint="eastAsia" w:hAnsi="黑体"/>
          <w:kern w:val="2"/>
          <w:sz w:val="32"/>
          <w:szCs w:val="32"/>
          <w:lang w:eastAsia="zh-CN"/>
        </w:rPr>
        <w:t>2022</w:t>
      </w:r>
      <w:r>
        <w:rPr>
          <w:rFonts w:hAnsi="黑体"/>
          <w:kern w:val="2"/>
          <w:sz w:val="32"/>
          <w:szCs w:val="32"/>
        </w:rPr>
        <w:t>年</w:t>
      </w:r>
      <w:r>
        <w:rPr>
          <w:rFonts w:hint="eastAsia" w:hAnsi="黑体"/>
          <w:kern w:val="2"/>
          <w:sz w:val="32"/>
          <w:szCs w:val="32"/>
        </w:rPr>
        <w:t>预算</w:t>
      </w:r>
      <w:r>
        <w:rPr>
          <w:rFonts w:hint="eastAsia" w:hAnsi="黑体"/>
          <w:kern w:val="2"/>
          <w:sz w:val="32"/>
          <w:szCs w:val="32"/>
          <w:lang w:val="en-US" w:eastAsia="zh-CN"/>
        </w:rPr>
        <w:t>增加5.08</w:t>
      </w:r>
      <w:r>
        <w:rPr>
          <w:rFonts w:hint="eastAsia" w:hAnsi="黑体"/>
          <w:kern w:val="2"/>
          <w:sz w:val="32"/>
          <w:szCs w:val="32"/>
        </w:rPr>
        <w:t>万元，</w:t>
      </w:r>
      <w:r>
        <w:rPr>
          <w:rFonts w:hint="eastAsia" w:hAnsi="黑体"/>
          <w:kern w:val="2"/>
          <w:sz w:val="32"/>
          <w:szCs w:val="32"/>
          <w:lang w:val="en-US" w:eastAsia="zh-CN"/>
        </w:rPr>
        <w:t>降低14.68</w:t>
      </w:r>
      <w:r>
        <w:rPr>
          <w:rFonts w:hint="eastAsia" w:hAnsi="黑体"/>
          <w:kern w:val="2"/>
          <w:sz w:val="32"/>
          <w:szCs w:val="32"/>
        </w:rPr>
        <w:t>%。</w:t>
      </w:r>
    </w:p>
    <w:p>
      <w:pPr>
        <w:pStyle w:val="23"/>
        <w:numPr>
          <w:ilvl w:val="0"/>
          <w:numId w:val="0"/>
        </w:numPr>
        <w:spacing w:before="0" w:line="360" w:lineRule="auto"/>
        <w:outlineLvl w:val="1"/>
        <w:rPr>
          <w:rFonts w:ascii="??" w:hAnsi="??" w:eastAsia="宋体" w:cs="宋体"/>
          <w:b/>
          <w:bCs/>
          <w:sz w:val="16"/>
          <w:szCs w:val="16"/>
        </w:rPr>
      </w:pPr>
      <w:bookmarkStart w:id="14" w:name="_Toc20564"/>
      <w:r>
        <w:rPr>
          <w:rFonts w:hint="eastAsia" w:ascii="楷体_GB2312" w:hAnsi="黑体" w:eastAsia="楷体_GB2312" w:cs="楷体_GB2312"/>
          <w:b/>
          <w:bCs/>
          <w:kern w:val="2"/>
          <w:sz w:val="32"/>
          <w:szCs w:val="32"/>
        </w:rPr>
        <w:t>（二）政府采购情况</w:t>
      </w:r>
      <w:bookmarkEnd w:id="14"/>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eastAsia="zh-CN"/>
        </w:rPr>
        <w:t>2023年</w:t>
      </w:r>
      <w:r>
        <w:rPr>
          <w:rFonts w:hint="eastAsia" w:hAnsi="黑体"/>
          <w:kern w:val="2"/>
          <w:sz w:val="32"/>
          <w:szCs w:val="32"/>
        </w:rPr>
        <w:t>中共壤塘县委统战部未安排政府采购预算。</w:t>
      </w:r>
    </w:p>
    <w:p>
      <w:pPr>
        <w:pStyle w:val="23"/>
        <w:spacing w:before="0" w:line="360" w:lineRule="auto"/>
        <w:outlineLvl w:val="1"/>
        <w:rPr>
          <w:rFonts w:ascii="楷体_GB2312" w:hAnsi="黑体" w:eastAsia="楷体_GB2312" w:cs="楷体_GB2312"/>
          <w:b/>
          <w:bCs/>
          <w:kern w:val="2"/>
          <w:sz w:val="32"/>
          <w:szCs w:val="32"/>
        </w:rPr>
      </w:pPr>
      <w:bookmarkStart w:id="15" w:name="_Toc14407"/>
      <w:r>
        <w:rPr>
          <w:rFonts w:hint="eastAsia" w:ascii="楷体_GB2312" w:hAnsi="黑体" w:eastAsia="楷体_GB2312" w:cs="楷体_GB2312"/>
          <w:b/>
          <w:bCs/>
          <w:kern w:val="2"/>
          <w:sz w:val="32"/>
          <w:szCs w:val="32"/>
        </w:rPr>
        <w:t>（三）国有资产占有使用情况</w:t>
      </w:r>
      <w:bookmarkEnd w:id="15"/>
    </w:p>
    <w:p>
      <w:pPr>
        <w:pStyle w:val="23"/>
        <w:spacing w:before="0" w:line="360" w:lineRule="auto"/>
        <w:ind w:firstLine="640" w:firstLineChars="200"/>
        <w:rPr>
          <w:rFonts w:hint="eastAsia" w:ascii="楷体_GB2312" w:hAnsi="黑体" w:eastAsia="楷体_GB2312" w:cs="楷体_GB2312"/>
          <w:b/>
          <w:bCs/>
          <w:kern w:val="2"/>
          <w:sz w:val="32"/>
          <w:szCs w:val="32"/>
        </w:rPr>
      </w:pPr>
      <w:bookmarkStart w:id="18" w:name="_GoBack"/>
      <w:bookmarkEnd w:id="18"/>
      <w:r>
        <w:rPr>
          <w:rFonts w:hint="eastAsia" w:ascii="楷体_GB2312" w:hAnsi="黑体" w:eastAsia="楷体_GB2312" w:cs="楷体_GB2312"/>
          <w:b w:val="0"/>
          <w:bCs w:val="0"/>
          <w:kern w:val="2"/>
          <w:sz w:val="32"/>
          <w:szCs w:val="32"/>
        </w:rPr>
        <w:t>无</w:t>
      </w:r>
    </w:p>
    <w:p>
      <w:pPr>
        <w:pStyle w:val="23"/>
        <w:numPr>
          <w:ilvl w:val="0"/>
          <w:numId w:val="0"/>
        </w:numPr>
        <w:spacing w:before="0" w:line="360" w:lineRule="auto"/>
        <w:ind w:leftChars="0"/>
        <w:outlineLvl w:val="1"/>
        <w:rPr>
          <w:rFonts w:hint="eastAsia" w:ascii="楷体_GB2312" w:hAnsi="黑体" w:eastAsia="楷体_GB2312" w:cs="楷体_GB2312"/>
          <w:b/>
          <w:bCs/>
          <w:kern w:val="2"/>
          <w:sz w:val="32"/>
          <w:szCs w:val="32"/>
        </w:rPr>
      </w:pPr>
      <w:bookmarkStart w:id="16" w:name="_Toc29304"/>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四）</w:t>
      </w:r>
      <w:r>
        <w:rPr>
          <w:rFonts w:hint="eastAsia" w:ascii="楷体_GB2312" w:hAnsi="黑体" w:eastAsia="楷体_GB2312" w:cs="楷体_GB2312"/>
          <w:b/>
          <w:bCs/>
          <w:kern w:val="2"/>
          <w:sz w:val="32"/>
          <w:szCs w:val="32"/>
        </w:rPr>
        <w:t>绩效目标设置情况</w:t>
      </w:r>
      <w:bookmarkEnd w:id="16"/>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outlineLvl w:val="9"/>
        <w:rPr>
          <w:rFonts w:hint="eastAsia" w:hAnsi="黑体"/>
          <w:kern w:val="2"/>
          <w:sz w:val="32"/>
          <w:szCs w:val="32"/>
        </w:rPr>
      </w:pPr>
      <w:r>
        <w:rPr>
          <w:rFonts w:hint="eastAsia" w:hAnsi="黑体"/>
          <w:kern w:val="2"/>
          <w:sz w:val="32"/>
          <w:szCs w:val="32"/>
          <w:lang w:eastAsia="zh-CN"/>
        </w:rPr>
        <w:t>2023年</w:t>
      </w:r>
      <w:r>
        <w:rPr>
          <w:rFonts w:hint="eastAsia" w:hAnsi="黑体"/>
          <w:kern w:val="2"/>
          <w:sz w:val="32"/>
          <w:szCs w:val="32"/>
        </w:rPr>
        <w:t>中共壤塘县委统战部通用项目和专用项目均按要求实行绩效目标管理。</w:t>
      </w:r>
    </w:p>
    <w:p>
      <w:pPr>
        <w:pStyle w:val="23"/>
        <w:numPr>
          <w:ilvl w:val="0"/>
          <w:numId w:val="0"/>
        </w:numPr>
        <w:spacing w:before="0" w:line="360" w:lineRule="auto"/>
        <w:ind w:leftChars="0"/>
        <w:outlineLvl w:val="0"/>
        <w:rPr>
          <w:rFonts w:hint="eastAsia" w:ascii="楷体_GB2312" w:hAnsi="黑体" w:eastAsia="楷体_GB2312" w:cs="楷体_GB2312"/>
          <w:b/>
          <w:bCs/>
          <w:kern w:val="2"/>
          <w:sz w:val="32"/>
          <w:szCs w:val="32"/>
        </w:rPr>
      </w:pPr>
      <w:bookmarkStart w:id="17" w:name="_Toc14265"/>
      <w:r>
        <w:rPr>
          <w:rFonts w:hint="eastAsia" w:ascii="黑体" w:hAnsi="黑体" w:eastAsia="黑体" w:cs="黑体"/>
          <w:kern w:val="2"/>
          <w:sz w:val="32"/>
          <w:szCs w:val="32"/>
        </w:rPr>
        <w:t>十、名词解释</w:t>
      </w:r>
      <w:bookmarkEnd w:id="17"/>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eastAsia="仿宋_GB2312"/>
          <w:lang w:eastAsia="zh-CN"/>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r>
        <w:rPr>
          <w:rFonts w:hAnsi="黑体" w:cs="Times New Roman"/>
          <w:kern w:val="2"/>
          <w:sz w:val="32"/>
          <w:szCs w:val="32"/>
        </w:rPr>
        <w:br w:type="textWrapping"/>
      </w:r>
      <w:r>
        <w:rPr>
          <w:rFonts w:hint="eastAsia" w:hAnsi="黑体"/>
          <w:kern w:val="2"/>
          <w:sz w:val="32"/>
          <w:szCs w:val="32"/>
        </w:rPr>
        <w:t>　（二）事业收入：指所属事业单位开展专业业务活动及辅助活动所取得的收入。</w:t>
      </w:r>
      <w:r>
        <w:rPr>
          <w:rFonts w:hAnsi="黑体" w:cs="Times New Roman"/>
          <w:kern w:val="2"/>
          <w:sz w:val="32"/>
          <w:szCs w:val="32"/>
        </w:rPr>
        <w:br w:type="textWrapping"/>
      </w:r>
      <w:r>
        <w:rPr>
          <w:rFonts w:hint="eastAsia" w:hAnsi="黑体"/>
          <w:kern w:val="2"/>
          <w:sz w:val="32"/>
          <w:szCs w:val="32"/>
        </w:rPr>
        <w:t>　（三）事业单位经营收入：指所属事业单位在专业业务活动及其辅助活动之外开展非独立核算经营活动取得的收入。</w:t>
      </w:r>
      <w:r>
        <w:rPr>
          <w:rFonts w:hAnsi="黑体" w:cs="Times New Roman"/>
          <w:kern w:val="2"/>
          <w:sz w:val="32"/>
          <w:szCs w:val="32"/>
        </w:rPr>
        <w:br w:type="textWrapping"/>
      </w:r>
      <w:r>
        <w:rPr>
          <w:rFonts w:hint="eastAsia" w:hAnsi="黑体"/>
          <w:kern w:val="2"/>
          <w:sz w:val="32"/>
          <w:szCs w:val="32"/>
        </w:rPr>
        <w:t>　（四）其他收入：指除上述</w:t>
      </w:r>
      <w:r>
        <w:rPr>
          <w:rFonts w:hAnsi="黑体" w:cs="Times New Roman"/>
          <w:kern w:val="2"/>
          <w:sz w:val="32"/>
          <w:szCs w:val="32"/>
        </w:rPr>
        <w:t>“</w:t>
      </w:r>
      <w:r>
        <w:rPr>
          <w:rFonts w:hint="eastAsia" w:hAnsi="黑体"/>
          <w:kern w:val="2"/>
          <w:sz w:val="32"/>
          <w:szCs w:val="32"/>
        </w:rPr>
        <w:t>财政拨款收入</w:t>
      </w:r>
      <w:r>
        <w:rPr>
          <w:rFonts w:hint="eastAsia" w:hAnsi="黑体"/>
          <w:kern w:val="2"/>
          <w:sz w:val="32"/>
          <w:szCs w:val="32"/>
          <w:lang w:eastAsia="zh-CN"/>
        </w:rPr>
        <w:t>”“</w:t>
      </w:r>
      <w:r>
        <w:rPr>
          <w:rFonts w:hint="eastAsia" w:hAnsi="黑体"/>
          <w:kern w:val="2"/>
          <w:sz w:val="32"/>
          <w:szCs w:val="32"/>
        </w:rPr>
        <w:t>事业收入</w:t>
      </w:r>
      <w:r>
        <w:rPr>
          <w:rFonts w:hint="eastAsia" w:hAnsi="黑体"/>
          <w:kern w:val="2"/>
          <w:sz w:val="32"/>
          <w:szCs w:val="32"/>
          <w:lang w:eastAsia="zh-CN"/>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r>
        <w:rPr>
          <w:rFonts w:hAnsi="黑体" w:cs="Times New Roman"/>
          <w:kern w:val="2"/>
          <w:sz w:val="32"/>
          <w:szCs w:val="32"/>
        </w:rPr>
        <w:br w:type="textWrapping"/>
      </w:r>
      <w:r>
        <w:rPr>
          <w:rFonts w:hint="eastAsia" w:hAnsi="黑体"/>
          <w:kern w:val="2"/>
          <w:sz w:val="32"/>
          <w:szCs w:val="32"/>
        </w:rPr>
        <w:t>　（五）用事业基金弥补收支差额：指所属事业单位在预计用当年的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int="eastAsia" w:hAnsi="黑体"/>
          <w:kern w:val="2"/>
          <w:sz w:val="32"/>
          <w:szCs w:val="32"/>
          <w:lang w:eastAsia="zh-CN"/>
        </w:rPr>
        <w:t>”“</w:t>
      </w:r>
      <w:r>
        <w:rPr>
          <w:rFonts w:hint="eastAsia" w:hAnsi="黑体"/>
          <w:kern w:val="2"/>
          <w:sz w:val="32"/>
          <w:szCs w:val="32"/>
        </w:rPr>
        <w:t>事业收入</w:t>
      </w:r>
      <w:r>
        <w:rPr>
          <w:rFonts w:hint="eastAsia" w:hAnsi="黑体"/>
          <w:kern w:val="2"/>
          <w:sz w:val="32"/>
          <w:szCs w:val="32"/>
          <w:lang w:eastAsia="zh-CN"/>
        </w:rPr>
        <w:t>”“</w:t>
      </w:r>
      <w:r>
        <w:rPr>
          <w:rFonts w:hint="eastAsia" w:hAnsi="黑体"/>
          <w:kern w:val="2"/>
          <w:sz w:val="32"/>
          <w:szCs w:val="32"/>
        </w:rPr>
        <w:t>事业单位经营收入</w:t>
      </w:r>
      <w:r>
        <w:rPr>
          <w:rFonts w:hint="eastAsia" w:hAnsi="黑体"/>
          <w:kern w:val="2"/>
          <w:sz w:val="32"/>
          <w:szCs w:val="32"/>
          <w:lang w:eastAsia="zh-CN"/>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r>
        <w:rPr>
          <w:rFonts w:hAnsi="黑体" w:cs="Times New Roman"/>
          <w:kern w:val="2"/>
          <w:sz w:val="32"/>
          <w:szCs w:val="32"/>
        </w:rPr>
        <w:br w:type="textWrapping"/>
      </w:r>
      <w:r>
        <w:rPr>
          <w:rFonts w:hint="eastAsia" w:hAnsi="黑体"/>
          <w:kern w:val="2"/>
          <w:sz w:val="32"/>
          <w:szCs w:val="32"/>
        </w:rPr>
        <w:t>　（六）上年结转：指所属行政事业单位以前年度尚未完成、结转至本年按原规定用途继续使用的资金和以前年度已完成项目剩余资金经批准用于新用途使用的资金</w:t>
      </w:r>
      <w:r>
        <w:rPr>
          <w:rFonts w:hint="eastAsia" w:hAnsi="黑体"/>
          <w:kern w:val="2"/>
          <w:sz w:val="32"/>
          <w:szCs w:val="32"/>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1E94DF"/>
    <w:multiLevelType w:val="singleLevel"/>
    <w:tmpl w:val="C91E94DF"/>
    <w:lvl w:ilvl="0" w:tentative="0">
      <w:start w:val="1"/>
      <w:numFmt w:val="chineseCounting"/>
      <w:suff w:val="nothing"/>
      <w:lvlText w:val="（%1）"/>
      <w:lvlJc w:val="left"/>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EBB3C91"/>
    <w:multiLevelType w:val="multilevel"/>
    <w:tmpl w:val="3EBB3C91"/>
    <w:lvl w:ilvl="0" w:tentative="0">
      <w:start w:val="1"/>
      <w:numFmt w:val="chineseCountingThousand"/>
      <w:suff w:val="space"/>
      <w:lvlText w:val="%1. "/>
      <w:lvlJc w:val="left"/>
      <w:pPr>
        <w:ind w:left="907" w:hanging="907"/>
      </w:pPr>
    </w:lvl>
    <w:lvl w:ilvl="1" w:tentative="0">
      <w:start w:val="1"/>
      <w:numFmt w:val="decimal"/>
      <w:suff w:val="space"/>
      <w:lvlText w:val="%1.%2 "/>
      <w:lvlJc w:val="left"/>
      <w:pPr>
        <w:ind w:left="794" w:hanging="794"/>
      </w:pPr>
    </w:lvl>
    <w:lvl w:ilvl="2" w:tentative="0">
      <w:start w:val="0"/>
      <w:numFmt w:val="decimal"/>
      <w:lvlText w:val=""/>
      <w:lvlJc w:val="left"/>
      <w:pPr>
        <w:tabs>
          <w:tab w:val="left" w:pos="360"/>
        </w:tabs>
      </w:pPr>
    </w:lvl>
    <w:lvl w:ilvl="3" w:tentative="0">
      <w:start w:val="0"/>
      <w:numFmt w:val="decimal"/>
      <w:lvlText w:val=""/>
      <w:lvlJc w:val="left"/>
      <w:pPr>
        <w:tabs>
          <w:tab w:val="left" w:pos="360"/>
        </w:tabs>
      </w:pPr>
    </w:lvl>
    <w:lvl w:ilvl="4" w:tentative="0">
      <w:start w:val="0"/>
      <w:numFmt w:val="decimal"/>
      <w:pStyle w:val="21"/>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62841280"/>
    <w:multiLevelType w:val="singleLevel"/>
    <w:tmpl w:val="62841280"/>
    <w:lvl w:ilvl="0" w:tentative="0">
      <w:start w:val="1"/>
      <w:numFmt w:val="chineseCounting"/>
      <w:suff w:val="nothing"/>
      <w:lvlText w:val="%1、"/>
      <w:lvlJc w:val="left"/>
      <w:rPr>
        <w:rFonts w:hint="eastAsia"/>
      </w:rPr>
    </w:lvl>
  </w:abstractNum>
  <w:abstractNum w:abstractNumId="4">
    <w:nsid w:val="64A65BA2"/>
    <w:multiLevelType w:val="singleLevel"/>
    <w:tmpl w:val="64A65BA2"/>
    <w:lvl w:ilvl="0" w:tentative="0">
      <w:start w:val="8"/>
      <w:numFmt w:val="chineseCounting"/>
      <w:suff w:val="nothing"/>
      <w:lvlText w:val="%1、"/>
      <w:lvlJc w:val="left"/>
      <w:rPr>
        <w:rFonts w:hint="eastAsia"/>
      </w:rPr>
    </w:lvl>
  </w:abstractNum>
  <w:abstractNum w:abstractNumId="5">
    <w:nsid w:val="7F6FFC6C"/>
    <w:multiLevelType w:val="singleLevel"/>
    <w:tmpl w:val="7F6FFC6C"/>
    <w:lvl w:ilvl="0" w:tentative="0">
      <w:start w:val="1"/>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oNotHyphenateCaps/>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5MTNmN2EwNjk3YzdhOTY1NjkyOWU2ZmU2ZDViMGYifQ=="/>
  </w:docVars>
  <w:rsids>
    <w:rsidRoot w:val="00352854"/>
    <w:rsid w:val="00002FEA"/>
    <w:rsid w:val="00082EF4"/>
    <w:rsid w:val="00085137"/>
    <w:rsid w:val="00097A74"/>
    <w:rsid w:val="00105B15"/>
    <w:rsid w:val="00135794"/>
    <w:rsid w:val="001A196D"/>
    <w:rsid w:val="002026C1"/>
    <w:rsid w:val="00212DBB"/>
    <w:rsid w:val="00214C9C"/>
    <w:rsid w:val="00260082"/>
    <w:rsid w:val="00264016"/>
    <w:rsid w:val="002946BD"/>
    <w:rsid w:val="002F6713"/>
    <w:rsid w:val="00316466"/>
    <w:rsid w:val="00352854"/>
    <w:rsid w:val="003762A5"/>
    <w:rsid w:val="00382123"/>
    <w:rsid w:val="00387A26"/>
    <w:rsid w:val="003C3748"/>
    <w:rsid w:val="004103CC"/>
    <w:rsid w:val="0043059D"/>
    <w:rsid w:val="00471829"/>
    <w:rsid w:val="0047755A"/>
    <w:rsid w:val="00484AEB"/>
    <w:rsid w:val="004A7CFC"/>
    <w:rsid w:val="00527A2C"/>
    <w:rsid w:val="0059475F"/>
    <w:rsid w:val="00681CB7"/>
    <w:rsid w:val="006F18F1"/>
    <w:rsid w:val="007B3677"/>
    <w:rsid w:val="007C7CD1"/>
    <w:rsid w:val="00844940"/>
    <w:rsid w:val="00882412"/>
    <w:rsid w:val="008950EC"/>
    <w:rsid w:val="008C1FFD"/>
    <w:rsid w:val="008D3923"/>
    <w:rsid w:val="008F63EB"/>
    <w:rsid w:val="009272A9"/>
    <w:rsid w:val="009544A0"/>
    <w:rsid w:val="00986E64"/>
    <w:rsid w:val="00987B5A"/>
    <w:rsid w:val="009C5F76"/>
    <w:rsid w:val="00A55379"/>
    <w:rsid w:val="00B35F0F"/>
    <w:rsid w:val="00B713B0"/>
    <w:rsid w:val="00BB34A8"/>
    <w:rsid w:val="00BC58B3"/>
    <w:rsid w:val="00C0348B"/>
    <w:rsid w:val="00C07A8B"/>
    <w:rsid w:val="00C451EA"/>
    <w:rsid w:val="00C81368"/>
    <w:rsid w:val="00C8183B"/>
    <w:rsid w:val="00D20EAB"/>
    <w:rsid w:val="00EF71D0"/>
    <w:rsid w:val="00F30EB3"/>
    <w:rsid w:val="00F743F0"/>
    <w:rsid w:val="00F806C0"/>
    <w:rsid w:val="00F80C32"/>
    <w:rsid w:val="00FF11B9"/>
    <w:rsid w:val="09226FB6"/>
    <w:rsid w:val="21264CF0"/>
    <w:rsid w:val="23542C72"/>
    <w:rsid w:val="44833A3C"/>
    <w:rsid w:val="47DC2E45"/>
    <w:rsid w:val="4D7D6439"/>
    <w:rsid w:val="52CA760B"/>
    <w:rsid w:val="577C31CD"/>
    <w:rsid w:val="5D3456EC"/>
    <w:rsid w:val="61063B7E"/>
    <w:rsid w:val="658B79BE"/>
    <w:rsid w:val="6B2E6755"/>
    <w:rsid w:val="6E23644B"/>
    <w:rsid w:val="71EB0F6B"/>
    <w:rsid w:val="7FE760A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13">
    <w:name w:val="Default Paragraph Font"/>
    <w:semiHidden/>
    <w:qFormat/>
    <w:uiPriority w:val="99"/>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3">
    <w:name w:val="Body Text"/>
    <w:basedOn w:val="1"/>
    <w:semiHidden/>
    <w:unhideWhenUsed/>
    <w:qFormat/>
    <w:uiPriority w:val="99"/>
    <w:pPr>
      <w:spacing w:after="120"/>
    </w:pPr>
  </w:style>
  <w:style w:type="paragraph" w:styleId="4">
    <w:name w:val="Body Text Indent"/>
    <w:basedOn w:val="1"/>
    <w:semiHidden/>
    <w:unhideWhenUsed/>
    <w:qFormat/>
    <w:uiPriority w:val="99"/>
    <w:pPr>
      <w:spacing w:after="120"/>
      <w:ind w:left="420" w:leftChars="200"/>
    </w:pPr>
  </w:style>
  <w:style w:type="paragraph" w:styleId="5">
    <w:name w:val="footer"/>
    <w:basedOn w:val="1"/>
    <w:link w:val="19"/>
    <w:semiHidden/>
    <w:qFormat/>
    <w:uiPriority w:val="99"/>
    <w:pPr>
      <w:tabs>
        <w:tab w:val="center" w:pos="4153"/>
        <w:tab w:val="right" w:pos="8306"/>
      </w:tabs>
      <w:snapToGrid w:val="0"/>
      <w:jc w:val="left"/>
    </w:pPr>
    <w:rPr>
      <w:rFonts w:cs="Times New Roman"/>
      <w:kern w:val="0"/>
      <w:sz w:val="18"/>
      <w:szCs w:val="18"/>
    </w:rPr>
  </w:style>
  <w:style w:type="paragraph" w:styleId="6">
    <w:name w:val="header"/>
    <w:basedOn w:val="1"/>
    <w:link w:val="17"/>
    <w:semiHidden/>
    <w:qFormat/>
    <w:uiPriority w:val="99"/>
    <w:pPr>
      <w:pBdr>
        <w:bottom w:val="single" w:color="auto" w:sz="6" w:space="1"/>
      </w:pBdr>
      <w:tabs>
        <w:tab w:val="center" w:pos="4153"/>
        <w:tab w:val="right" w:pos="8306"/>
      </w:tabs>
      <w:snapToGrid w:val="0"/>
      <w:jc w:val="center"/>
    </w:pPr>
    <w:rPr>
      <w:rFonts w:cs="Times New Roman"/>
      <w:kern w:val="0"/>
      <w:sz w:val="18"/>
      <w:szCs w:val="18"/>
    </w:rPr>
  </w:style>
  <w:style w:type="paragraph" w:styleId="7">
    <w:name w:val="toc 1"/>
    <w:basedOn w:val="1"/>
    <w:next w:val="1"/>
    <w:qFormat/>
    <w:locked/>
    <w:uiPriority w:val="0"/>
  </w:style>
  <w:style w:type="paragraph" w:styleId="8">
    <w:name w:val="toc 2"/>
    <w:basedOn w:val="1"/>
    <w:next w:val="1"/>
    <w:qFormat/>
    <w:locked/>
    <w:uiPriority w:val="0"/>
    <w:pPr>
      <w:ind w:left="420" w:leftChars="200"/>
    </w:p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0">
    <w:name w:val="Body Text First Indent 2"/>
    <w:basedOn w:val="4"/>
    <w:next w:val="3"/>
    <w:qFormat/>
    <w:uiPriority w:val="0"/>
    <w:pPr>
      <w:spacing w:after="0" w:line="600" w:lineRule="atLeast"/>
      <w:ind w:left="0" w:leftChars="0" w:firstLine="630"/>
    </w:pPr>
    <w:rPr>
      <w:rFonts w:cs="Times New Roman"/>
      <w:sz w:val="32"/>
      <w:szCs w:val="24"/>
    </w:rPr>
  </w:style>
  <w:style w:type="table" w:styleId="12">
    <w:name w:val="Table Grid"/>
    <w:basedOn w:val="11"/>
    <w:unhideWhenUsed/>
    <w:qFormat/>
    <w:locked/>
    <w:uiPriority w:val="9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99"/>
  </w:style>
  <w:style w:type="paragraph" w:customStyle="1" w:styleId="15">
    <w:name w:val="文档正文"/>
    <w:basedOn w:val="1"/>
    <w:qFormat/>
    <w:uiPriority w:val="99"/>
    <w:pPr>
      <w:spacing w:line="480" w:lineRule="atLeast"/>
      <w:textAlignment w:val="baseline"/>
    </w:pPr>
    <w:rPr>
      <w:rFonts w:ascii="Arial" w:hAnsi="Arial" w:cs="Arial"/>
    </w:rPr>
  </w:style>
  <w:style w:type="character" w:customStyle="1" w:styleId="16">
    <w:name w:val="默认段落字体1"/>
    <w:qFormat/>
    <w:uiPriority w:val="99"/>
    <w:rPr>
      <w:sz w:val="22"/>
      <w:szCs w:val="22"/>
    </w:rPr>
  </w:style>
  <w:style w:type="character" w:customStyle="1" w:styleId="17">
    <w:name w:val="页眉 Char"/>
    <w:link w:val="6"/>
    <w:semiHidden/>
    <w:qFormat/>
    <w:locked/>
    <w:uiPriority w:val="99"/>
    <w:rPr>
      <w:sz w:val="18"/>
      <w:szCs w:val="18"/>
    </w:rPr>
  </w:style>
  <w:style w:type="character" w:customStyle="1" w:styleId="18">
    <w:name w:val="NormalCharacter"/>
    <w:semiHidden/>
    <w:qFormat/>
    <w:uiPriority w:val="0"/>
  </w:style>
  <w:style w:type="character" w:customStyle="1" w:styleId="19">
    <w:name w:val="页脚 Char"/>
    <w:link w:val="5"/>
    <w:semiHidden/>
    <w:qFormat/>
    <w:locked/>
    <w:uiPriority w:val="99"/>
    <w:rPr>
      <w:sz w:val="18"/>
      <w:szCs w:val="18"/>
    </w:rPr>
  </w:style>
  <w:style w:type="paragraph" w:customStyle="1" w:styleId="20">
    <w:name w:val="UserStyle_0"/>
    <w:qFormat/>
    <w:uiPriority w:val="0"/>
    <w:pPr>
      <w:spacing w:line="300" w:lineRule="auto"/>
      <w:textAlignment w:val="baseline"/>
    </w:pPr>
    <w:rPr>
      <w:rFonts w:ascii="Arial" w:hAnsi="Arial" w:eastAsia="宋体" w:cs="Times New Roman"/>
      <w:sz w:val="21"/>
      <w:szCs w:val="21"/>
      <w:lang w:val="en-US" w:eastAsia="zh-CN" w:bidi="ar-SA"/>
    </w:rPr>
  </w:style>
  <w:style w:type="paragraph" w:customStyle="1" w:styleId="21">
    <w:name w:val="UserStyle_1"/>
    <w:basedOn w:val="1"/>
    <w:next w:val="20"/>
    <w:qFormat/>
    <w:uiPriority w:val="0"/>
    <w:pPr>
      <w:keepNext/>
      <w:keepLines/>
      <w:widowControl w:val="0"/>
      <w:numPr>
        <w:ilvl w:val="4"/>
        <w:numId w:val="1"/>
      </w:numPr>
      <w:tabs>
        <w:tab w:val="left" w:pos="3600"/>
      </w:tabs>
      <w:spacing w:before="280" w:after="156" w:line="377" w:lineRule="auto"/>
      <w:ind w:left="3600" w:hanging="360"/>
      <w:textAlignment w:val="auto"/>
    </w:pPr>
    <w:rPr>
      <w:rFonts w:ascii="Arial" w:hAnsi="Arial" w:eastAsia="黑体" w:cs="Times New Roman"/>
      <w:b/>
      <w:sz w:val="24"/>
      <w:szCs w:val="28"/>
    </w:rPr>
  </w:style>
  <w:style w:type="paragraph" w:customStyle="1" w:styleId="22">
    <w:name w:val="List Paragraph"/>
    <w:basedOn w:val="1"/>
    <w:qFormat/>
    <w:uiPriority w:val="99"/>
    <w:pPr>
      <w:ind w:firstLine="420" w:firstLineChars="200"/>
    </w:pPr>
  </w:style>
  <w:style w:type="paragraph" w:customStyle="1" w:styleId="23">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9</Pages>
  <Words>3041</Words>
  <Characters>3403</Characters>
  <Lines>25</Lines>
  <Paragraphs>7</Paragraphs>
  <TotalTime>10</TotalTime>
  <ScaleCrop>false</ScaleCrop>
  <LinksUpToDate>false</LinksUpToDate>
  <CharactersWithSpaces>3432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怪</cp:lastModifiedBy>
  <dcterms:modified xsi:type="dcterms:W3CDTF">2023-12-22T02:17:45Z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5E2D160B6C3247DAA68CB501B8820133</vt:lpwstr>
  </property>
</Properties>
</file>