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eastAsia="方正小标宋简体"/>
          <w:sz w:val="72"/>
          <w:szCs w:val="72"/>
          <w:lang w:eastAsia="zh-CN"/>
        </w:rPr>
      </w:pPr>
      <w:bookmarkStart w:id="1" w:name="_Toc15377425"/>
      <w:bookmarkStart w:id="2" w:name="_Toc15377193"/>
      <w:bookmarkStart w:id="3" w:name="_Toc15396597"/>
      <w:bookmarkStart w:id="4" w:name="_Toc15378441"/>
      <w:bookmarkStart w:id="5" w:name="_Toc15396475"/>
    </w:p>
    <w:p>
      <w:pPr>
        <w:ind w:firstLine="2880" w:firstLineChars="400"/>
        <w:jc w:val="both"/>
        <w:rPr>
          <w:rFonts w:hint="eastAsia" w:ascii="方正小标宋简体" w:eastAsia="方正小标宋简体"/>
          <w:sz w:val="72"/>
          <w:szCs w:val="72"/>
          <w:lang w:eastAsia="zh-CN"/>
        </w:rPr>
      </w:pPr>
    </w:p>
    <w:bookmarkEnd w:id="0"/>
    <w:bookmarkEnd w:id="1"/>
    <w:bookmarkEnd w:id="2"/>
    <w:bookmarkEnd w:id="3"/>
    <w:bookmarkEnd w:id="4"/>
    <w:bookmarkEnd w:id="5"/>
    <w:p>
      <w:pPr>
        <w:pStyle w:val="8"/>
        <w:jc w:val="center"/>
        <w:rPr>
          <w:rFonts w:hint="eastAsia" w:ascii="方正小标宋简体" w:hAnsi="宋体" w:eastAsia="方正小标宋简体" w:cs="Times New Roman"/>
          <w:color w:val="auto"/>
          <w:kern w:val="2"/>
          <w:sz w:val="52"/>
          <w:szCs w:val="52"/>
          <w:highlight w:val="none"/>
          <w:lang w:val="en-US" w:eastAsia="zh-CN" w:bidi="ar-SA"/>
        </w:rPr>
      </w:pPr>
      <w:r>
        <w:rPr>
          <w:rFonts w:hint="eastAsia" w:ascii="方正小标宋简体" w:hAnsi="宋体" w:eastAsia="方正小标宋简体" w:cs="Times New Roman"/>
          <w:color w:val="auto"/>
          <w:kern w:val="2"/>
          <w:sz w:val="52"/>
          <w:szCs w:val="52"/>
          <w:highlight w:val="none"/>
          <w:lang w:val="en-US" w:eastAsia="zh-CN" w:bidi="ar-SA"/>
        </w:rPr>
        <w:t>阿坝州壤塘县</w:t>
      </w:r>
    </w:p>
    <w:p>
      <w:pPr>
        <w:pStyle w:val="8"/>
        <w:jc w:val="center"/>
        <w:rPr>
          <w:rFonts w:hint="eastAsia" w:ascii="方正小标宋简体" w:hAnsi="宋体" w:eastAsia="方正小标宋简体" w:cs="Times New Roman"/>
          <w:color w:val="auto"/>
          <w:kern w:val="2"/>
          <w:sz w:val="52"/>
          <w:szCs w:val="52"/>
          <w:highlight w:val="none"/>
          <w:lang w:val="en-US" w:eastAsia="zh-CN" w:bidi="ar-SA"/>
        </w:rPr>
      </w:pPr>
      <w:r>
        <w:rPr>
          <w:rFonts w:hint="eastAsia" w:ascii="方正小标宋简体" w:hAnsi="宋体" w:eastAsia="方正小标宋简体" w:cs="Times New Roman"/>
          <w:color w:val="auto"/>
          <w:kern w:val="2"/>
          <w:sz w:val="52"/>
          <w:szCs w:val="52"/>
          <w:highlight w:val="none"/>
          <w:lang w:val="en-US" w:eastAsia="zh-CN" w:bidi="ar-SA"/>
        </w:rPr>
        <w:t>2024年度中共壤塘县委统战部</w:t>
      </w:r>
    </w:p>
    <w:p>
      <w:pPr>
        <w:pStyle w:val="8"/>
        <w:jc w:val="center"/>
        <w:rPr>
          <w:rFonts w:hint="eastAsia" w:ascii="方正小标宋简体" w:hAnsi="宋体" w:eastAsia="方正小标宋简体" w:cs="Times New Roman"/>
          <w:color w:val="auto"/>
          <w:kern w:val="2"/>
          <w:sz w:val="52"/>
          <w:szCs w:val="52"/>
          <w:highlight w:val="none"/>
          <w:lang w:val="en-US" w:eastAsia="zh-CN" w:bidi="ar-SA"/>
        </w:rPr>
      </w:pPr>
      <w:r>
        <w:rPr>
          <w:rFonts w:hint="eastAsia" w:ascii="方正小标宋简体" w:hAnsi="宋体" w:eastAsia="方正小标宋简体" w:cs="Times New Roman"/>
          <w:color w:val="auto"/>
          <w:kern w:val="2"/>
          <w:sz w:val="52"/>
          <w:szCs w:val="52"/>
          <w:highlight w:val="none"/>
          <w:lang w:val="en-US" w:eastAsia="zh-CN" w:bidi="ar-SA"/>
        </w:rPr>
        <w:t>部门决算公开</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sectPr>
          <w:headerReference r:id="rId4" w:type="first"/>
          <w:footerReference r:id="rId5" w:type="first"/>
          <w:headerReference r:id="rId3" w:type="default"/>
          <w:pgSz w:w="11906" w:h="16838"/>
          <w:pgMar w:top="1440" w:right="1800" w:bottom="1440" w:left="1800" w:header="851" w:footer="992" w:gutter="0"/>
          <w:pgNumType w:fmt="decimal" w:start="1"/>
          <w:cols w:space="425" w:num="1"/>
          <w:docGrid w:type="lines" w:linePitch="312" w:charSpace="0"/>
        </w:sectPr>
      </w:pPr>
    </w:p>
    <w:p>
      <w:pPr>
        <w:pStyle w:val="15"/>
        <w:jc w:val="center"/>
        <w:rPr>
          <w:rFonts w:hint="eastAsia" w:ascii="黑体" w:hAnsi="黑体" w:eastAsia="黑体"/>
          <w:color w:val="000000"/>
          <w:sz w:val="48"/>
          <w:szCs w:val="48"/>
        </w:rPr>
      </w:pPr>
      <w:bookmarkStart w:id="6" w:name="_Toc15377226"/>
      <w:r>
        <w:rPr>
          <w:rFonts w:hint="eastAsia" w:ascii="黑体" w:hAnsi="黑体" w:eastAsia="黑体"/>
          <w:color w:val="000000"/>
          <w:sz w:val="48"/>
          <w:szCs w:val="48"/>
        </w:rPr>
        <w:t>目录</w:t>
      </w:r>
    </w:p>
    <w:p>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bCs w:val="0"/>
          <w:lang w:eastAsia="zh-CN"/>
        </w:rPr>
        <w:t>第一部分</w:t>
      </w:r>
      <w:r>
        <w:rPr>
          <w:rFonts w:hint="eastAsia" w:ascii="黑体" w:hAnsi="黑体" w:eastAsia="黑体"/>
          <w:bCs w:val="0"/>
          <w:lang w:val="en-US" w:eastAsia="zh-CN"/>
        </w:rPr>
        <w:t xml:space="preserve"> </w:t>
      </w:r>
      <w:r>
        <w:rPr>
          <w:rFonts w:hint="eastAsia" w:ascii="黑体" w:hAnsi="黑体" w:eastAsia="黑体"/>
          <w:bCs w:val="0"/>
        </w:rPr>
        <w:t>部门概况</w:t>
      </w:r>
      <w:r>
        <w:tab/>
      </w:r>
      <w:r>
        <w:fldChar w:fldCharType="begin"/>
      </w:r>
      <w:r>
        <w:instrText xml:space="preserve"> PAGEREF _Toc30071 \h </w:instrText>
      </w:r>
      <w:r>
        <w:fldChar w:fldCharType="separate"/>
      </w:r>
      <w:r>
        <w:t>3</w:t>
      </w:r>
      <w:r>
        <w:fldChar w:fldCharType="end"/>
      </w:r>
    </w:p>
    <w:p>
      <w:pPr>
        <w:pStyle w:val="20"/>
        <w:tabs>
          <w:tab w:val="right" w:leader="dot" w:pos="8306"/>
        </w:tabs>
        <w:rPr>
          <w:rFonts w:hint="eastAsia" w:eastAsiaTheme="minorHAnsi"/>
          <w:lang w:val="en-US" w:eastAsia="zh-CN"/>
        </w:rPr>
      </w:pPr>
      <w:r>
        <w:rPr>
          <w:rFonts w:hint="eastAsia" w:ascii="黑体" w:hAnsi="黑体" w:eastAsia="黑体"/>
          <w:color w:val="000000"/>
        </w:rPr>
        <w:t>一、</w:t>
      </w:r>
      <w:r>
        <w:rPr>
          <w:rFonts w:hint="eastAsia" w:ascii="黑体" w:hAnsi="黑体" w:eastAsia="黑体"/>
          <w:color w:val="000000"/>
          <w:lang w:val="en-US" w:eastAsia="zh-CN"/>
        </w:rPr>
        <w:t>部门职责</w:t>
      </w:r>
      <w:r>
        <w:tab/>
      </w:r>
      <w:r>
        <w:rPr>
          <w:rFonts w:hint="eastAsia"/>
          <w:lang w:val="en-US" w:eastAsia="zh-CN"/>
        </w:rPr>
        <w:t>2</w:t>
      </w:r>
    </w:p>
    <w:p>
      <w:pPr>
        <w:pStyle w:val="20"/>
        <w:tabs>
          <w:tab w:val="right" w:leader="dot" w:pos="8306"/>
        </w:tabs>
        <w:rPr>
          <w:rFonts w:hint="eastAsia" w:ascii="黑体" w:hAnsi="黑体" w:eastAsia="黑体"/>
          <w:lang w:eastAsia="zh-CN"/>
        </w:rPr>
      </w:pPr>
      <w:r>
        <w:rPr>
          <w:rFonts w:hint="eastAsia" w:ascii="黑体" w:hAnsi="黑体" w:eastAsia="黑体"/>
        </w:rPr>
        <w:t>二、机构设置</w:t>
      </w:r>
      <w:r>
        <w:rPr>
          <w:rFonts w:hint="eastAsia" w:ascii="黑体" w:hAnsi="黑体" w:eastAsia="黑体"/>
        </w:rPr>
        <w:tab/>
      </w:r>
      <w:r>
        <w:rPr>
          <w:rFonts w:hint="eastAsia" w:ascii="黑体" w:hAnsi="黑体" w:eastAsia="黑体"/>
          <w:lang w:val="en-US" w:eastAsia="zh-CN"/>
        </w:rPr>
        <w:t>2</w:t>
      </w:r>
    </w:p>
    <w:p>
      <w:pPr>
        <w:pStyle w:val="15"/>
        <w:tabs>
          <w:tab w:val="right" w:leader="dot" w:pos="8306"/>
        </w:tabs>
      </w:pPr>
      <w:r>
        <w:rPr>
          <w:rFonts w:hint="eastAsia" w:ascii="黑体" w:hAnsi="黑体" w:eastAsia="黑体"/>
          <w:bCs w:val="0"/>
        </w:rPr>
        <w:t>第二部分</w:t>
      </w:r>
      <w:r>
        <w:rPr>
          <w:rFonts w:ascii="黑体" w:hAnsi="黑体" w:eastAsia="黑体"/>
          <w:bCs w:val="0"/>
        </w:rPr>
        <w:t xml:space="preserve"> </w:t>
      </w:r>
      <w:r>
        <w:rPr>
          <w:rFonts w:hint="eastAsia" w:ascii="黑体" w:hAnsi="黑体" w:eastAsia="黑体"/>
          <w:bCs w:val="0"/>
          <w:lang w:eastAsia="zh-CN"/>
        </w:rPr>
        <w:t>2024年</w:t>
      </w:r>
      <w:r>
        <w:rPr>
          <w:rFonts w:hint="eastAsia" w:ascii="黑体" w:hAnsi="黑体" w:eastAsia="黑体"/>
          <w:bCs w:val="0"/>
        </w:rPr>
        <w:t>度部门决算情况说明</w:t>
      </w:r>
      <w:r>
        <w:tab/>
      </w:r>
      <w:r>
        <w:fldChar w:fldCharType="begin"/>
      </w:r>
      <w:r>
        <w:instrText xml:space="preserve"> PAGEREF _Toc32366 \h </w:instrText>
      </w:r>
      <w:r>
        <w:fldChar w:fldCharType="separate"/>
      </w:r>
      <w:r>
        <w:t>6</w:t>
      </w:r>
      <w:r>
        <w:fldChar w:fldCharType="end"/>
      </w:r>
    </w:p>
    <w:p>
      <w:pPr>
        <w:pStyle w:val="20"/>
        <w:tabs>
          <w:tab w:val="right" w:leader="dot" w:pos="8306"/>
        </w:tabs>
      </w:pPr>
      <w:r>
        <w:rPr>
          <w:rFonts w:hint="eastAsia" w:ascii="黑体" w:hAnsi="黑体" w:eastAsia="黑体"/>
          <w:color w:val="000000"/>
          <w:szCs w:val="32"/>
        </w:rPr>
        <w:t>一、收</w:t>
      </w:r>
      <w:r>
        <w:rPr>
          <w:rFonts w:hint="eastAsia" w:ascii="黑体" w:hAnsi="黑体" w:eastAsia="黑体"/>
        </w:rPr>
        <w:t>入支出决算总体情况说明</w:t>
      </w:r>
      <w:r>
        <w:tab/>
      </w:r>
      <w:r>
        <w:fldChar w:fldCharType="begin"/>
      </w:r>
      <w:r>
        <w:instrText xml:space="preserve"> PAGEREF _Toc29926 \h </w:instrText>
      </w:r>
      <w:r>
        <w:fldChar w:fldCharType="separate"/>
      </w:r>
      <w:r>
        <w:t>6</w:t>
      </w:r>
      <w:r>
        <w:fldChar w:fldCharType="end"/>
      </w:r>
    </w:p>
    <w:p>
      <w:pPr>
        <w:pStyle w:val="20"/>
        <w:tabs>
          <w:tab w:val="right" w:leader="dot" w:pos="8306"/>
        </w:tabs>
      </w:pPr>
      <w:r>
        <w:rPr>
          <w:rFonts w:hint="eastAsia" w:ascii="黑体" w:hAnsi="黑体" w:eastAsia="黑体"/>
          <w:color w:val="000000"/>
          <w:szCs w:val="32"/>
        </w:rPr>
        <w:t>二、收</w:t>
      </w:r>
      <w:r>
        <w:rPr>
          <w:rFonts w:hint="eastAsia" w:ascii="黑体" w:hAnsi="黑体" w:eastAsia="黑体"/>
        </w:rPr>
        <w:t>入决算情况说明</w:t>
      </w:r>
      <w:r>
        <w:tab/>
      </w:r>
      <w:r>
        <w:fldChar w:fldCharType="begin"/>
      </w:r>
      <w:r>
        <w:instrText xml:space="preserve"> PAGEREF _Toc23496 \h </w:instrText>
      </w:r>
      <w:r>
        <w:fldChar w:fldCharType="separate"/>
      </w:r>
      <w:r>
        <w:t>7</w:t>
      </w:r>
      <w:r>
        <w:fldChar w:fldCharType="end"/>
      </w:r>
    </w:p>
    <w:p>
      <w:pPr>
        <w:pStyle w:val="20"/>
        <w:tabs>
          <w:tab w:val="right" w:leader="dot" w:pos="8306"/>
        </w:tabs>
      </w:pPr>
      <w:r>
        <w:rPr>
          <w:rFonts w:hint="eastAsia" w:ascii="黑体" w:hAnsi="黑体" w:eastAsia="黑体"/>
          <w:color w:val="000000"/>
          <w:szCs w:val="32"/>
        </w:rPr>
        <w:t>三、支</w:t>
      </w:r>
      <w:r>
        <w:rPr>
          <w:rFonts w:hint="eastAsia" w:ascii="黑体" w:hAnsi="黑体" w:eastAsia="黑体"/>
        </w:rPr>
        <w:t>出决算情况说明</w:t>
      </w:r>
      <w:r>
        <w:tab/>
      </w:r>
      <w:r>
        <w:fldChar w:fldCharType="begin"/>
      </w:r>
      <w:r>
        <w:instrText xml:space="preserve"> PAGEREF _Toc631 \h </w:instrText>
      </w:r>
      <w:r>
        <w:fldChar w:fldCharType="separate"/>
      </w:r>
      <w:r>
        <w:t>7</w:t>
      </w:r>
      <w:r>
        <w:fldChar w:fldCharType="end"/>
      </w:r>
    </w:p>
    <w:p>
      <w:pPr>
        <w:pStyle w:val="20"/>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_Toc3545 \h </w:instrText>
      </w:r>
      <w:r>
        <w:fldChar w:fldCharType="separate"/>
      </w:r>
      <w:r>
        <w:t>7</w:t>
      </w:r>
      <w:r>
        <w:fldChar w:fldCharType="end"/>
      </w:r>
    </w:p>
    <w:p>
      <w:pPr>
        <w:pStyle w:val="20"/>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_Toc30996 \h </w:instrText>
      </w:r>
      <w:r>
        <w:fldChar w:fldCharType="separate"/>
      </w:r>
      <w:r>
        <w:t>8</w:t>
      </w:r>
      <w:r>
        <w:fldChar w:fldCharType="end"/>
      </w:r>
    </w:p>
    <w:p>
      <w:pPr>
        <w:pStyle w:val="12"/>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_Toc11309 \h </w:instrText>
      </w:r>
      <w:r>
        <w:fldChar w:fldCharType="separate"/>
      </w:r>
      <w:r>
        <w:t>8</w:t>
      </w:r>
      <w:r>
        <w:fldChar w:fldCharType="end"/>
      </w:r>
    </w:p>
    <w:p>
      <w:pPr>
        <w:pStyle w:val="12"/>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_Toc7609 \h </w:instrText>
      </w:r>
      <w:r>
        <w:fldChar w:fldCharType="separate"/>
      </w:r>
      <w:r>
        <w:t>9</w:t>
      </w:r>
      <w:r>
        <w:fldChar w:fldCharType="end"/>
      </w:r>
    </w:p>
    <w:p>
      <w:pPr>
        <w:pStyle w:val="12"/>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_Toc11521 \h </w:instrText>
      </w:r>
      <w:r>
        <w:fldChar w:fldCharType="separate"/>
      </w:r>
      <w:r>
        <w:t>10</w:t>
      </w:r>
      <w:r>
        <w:fldChar w:fldCharType="end"/>
      </w:r>
    </w:p>
    <w:p>
      <w:pPr>
        <w:pStyle w:val="20"/>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_Toc1555 \h </w:instrText>
      </w:r>
      <w:r>
        <w:fldChar w:fldCharType="separate"/>
      </w:r>
      <w:r>
        <w:t>11</w:t>
      </w:r>
      <w:r>
        <w:fldChar w:fldCharType="end"/>
      </w:r>
    </w:p>
    <w:p>
      <w:pPr>
        <w:pStyle w:val="20"/>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_Toc3601 \h </w:instrText>
      </w:r>
      <w:r>
        <w:fldChar w:fldCharType="separate"/>
      </w:r>
      <w:r>
        <w:t>12</w:t>
      </w:r>
      <w:r>
        <w:fldChar w:fldCharType="end"/>
      </w:r>
    </w:p>
    <w:p>
      <w:pPr>
        <w:pStyle w:val="12"/>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_Toc1192 \h </w:instrText>
      </w:r>
      <w:r>
        <w:fldChar w:fldCharType="separate"/>
      </w:r>
      <w:r>
        <w:t>12</w:t>
      </w:r>
      <w:r>
        <w:fldChar w:fldCharType="end"/>
      </w:r>
    </w:p>
    <w:p>
      <w:pPr>
        <w:pStyle w:val="12"/>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_Toc23708 \h </w:instrText>
      </w:r>
      <w:r>
        <w:fldChar w:fldCharType="separate"/>
      </w:r>
      <w:r>
        <w:t>12</w:t>
      </w:r>
      <w:r>
        <w:fldChar w:fldCharType="end"/>
      </w:r>
    </w:p>
    <w:p>
      <w:pPr>
        <w:pStyle w:val="20"/>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_Toc11084 \h </w:instrText>
      </w:r>
      <w:r>
        <w:fldChar w:fldCharType="separate"/>
      </w:r>
      <w:r>
        <w:t>13</w:t>
      </w:r>
      <w:r>
        <w:fldChar w:fldCharType="end"/>
      </w:r>
    </w:p>
    <w:p>
      <w:pPr>
        <w:pStyle w:val="20"/>
        <w:tabs>
          <w:tab w:val="right" w:leader="dot" w:pos="8306"/>
        </w:tabs>
      </w:pPr>
      <w:r>
        <w:rPr>
          <w:rFonts w:hint="eastAsia" w:ascii="黑体" w:eastAsia="黑体"/>
          <w:color w:val="000000"/>
          <w:szCs w:val="32"/>
        </w:rPr>
        <w:t>九、</w:t>
      </w:r>
      <w:r>
        <w:rPr>
          <w:rFonts w:hint="eastAsia" w:ascii="黑体" w:hAnsi="黑体" w:eastAsia="黑体"/>
        </w:rPr>
        <w:t>国有资本经营预算支出决算情况说明</w:t>
      </w:r>
      <w:r>
        <w:tab/>
      </w:r>
      <w:r>
        <w:fldChar w:fldCharType="begin"/>
      </w:r>
      <w:r>
        <w:instrText xml:space="preserve"> PAGEREF _Toc24199 \h </w:instrText>
      </w:r>
      <w:r>
        <w:fldChar w:fldCharType="separate"/>
      </w:r>
      <w:r>
        <w:t>13</w:t>
      </w:r>
      <w:r>
        <w:fldChar w:fldCharType="end"/>
      </w:r>
    </w:p>
    <w:p>
      <w:pPr>
        <w:pStyle w:val="20"/>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_Toc15906 \h </w:instrText>
      </w:r>
      <w:r>
        <w:fldChar w:fldCharType="separate"/>
      </w:r>
      <w:r>
        <w:t>13</w:t>
      </w:r>
      <w:r>
        <w:fldChar w:fldCharType="end"/>
      </w:r>
    </w:p>
    <w:p>
      <w:pPr>
        <w:pStyle w:val="12"/>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_Toc28124 \h </w:instrText>
      </w:r>
      <w:r>
        <w:fldChar w:fldCharType="separate"/>
      </w:r>
      <w:r>
        <w:t>13</w:t>
      </w:r>
      <w:r>
        <w:fldChar w:fldCharType="end"/>
      </w:r>
    </w:p>
    <w:p>
      <w:pPr>
        <w:pStyle w:val="12"/>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_Toc953 \h </w:instrText>
      </w:r>
      <w:r>
        <w:fldChar w:fldCharType="separate"/>
      </w:r>
      <w:r>
        <w:t>13</w:t>
      </w:r>
      <w:r>
        <w:fldChar w:fldCharType="end"/>
      </w:r>
    </w:p>
    <w:p>
      <w:pPr>
        <w:pStyle w:val="12"/>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_Toc24818 \h </w:instrText>
      </w:r>
      <w:r>
        <w:fldChar w:fldCharType="separate"/>
      </w:r>
      <w:r>
        <w:t>13</w:t>
      </w:r>
      <w:r>
        <w:fldChar w:fldCharType="end"/>
      </w:r>
    </w:p>
    <w:p>
      <w:pPr>
        <w:pStyle w:val="12"/>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_Toc776 \h </w:instrText>
      </w:r>
      <w:r>
        <w:fldChar w:fldCharType="separate"/>
      </w:r>
      <w:r>
        <w:t>13</w:t>
      </w:r>
      <w:r>
        <w:fldChar w:fldCharType="end"/>
      </w:r>
    </w:p>
    <w:p>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_Toc27892 \h </w:instrText>
      </w:r>
      <w:r>
        <w:fldChar w:fldCharType="separate"/>
      </w:r>
      <w:r>
        <w:t>15</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_Toc1621 \h </w:instrText>
      </w:r>
      <w:r>
        <w:fldChar w:fldCharType="separate"/>
      </w:r>
      <w:r>
        <w:t>18</w:t>
      </w:r>
      <w:r>
        <w:fldChar w:fldCharType="end"/>
      </w:r>
    </w:p>
    <w:p>
      <w:pPr>
        <w:pStyle w:val="15"/>
        <w:tabs>
          <w:tab w:val="right" w:leader="dot" w:pos="8306"/>
        </w:tabs>
        <w:rPr>
          <w:rFonts w:hint="default" w:eastAsiaTheme="minorHAnsi"/>
          <w:lang w:val="en-US" w:eastAsia="zh-CN"/>
        </w:rPr>
      </w:pPr>
      <w:r>
        <w:rPr>
          <w:rFonts w:hint="eastAsia" w:ascii="黑体" w:hAnsi="黑体" w:eastAsia="黑体" w:cs="黑体"/>
        </w:rPr>
        <w:t>第五部分 附表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color w:val="000000"/>
        </w:rPr>
        <w:t>一、收</w:t>
      </w:r>
      <w:r>
        <w:rPr>
          <w:rFonts w:hint="eastAsia" w:ascii="仿宋" w:hAnsi="仿宋" w:eastAsia="仿宋"/>
          <w:bCs w:val="0"/>
        </w:rPr>
        <w:t>入支出决算总表</w:t>
      </w:r>
      <w:r>
        <w:tab/>
      </w:r>
      <w:r>
        <w:rPr>
          <w:rFonts w:hint="eastAsia"/>
          <w:lang w:val="en-US" w:eastAsia="zh-CN"/>
        </w:rPr>
        <w:t>24</w:t>
      </w:r>
    </w:p>
    <w:p>
      <w:pPr>
        <w:pStyle w:val="20"/>
        <w:tabs>
          <w:tab w:val="right" w:leader="dot" w:pos="8306"/>
        </w:tabs>
        <w:rPr>
          <w:rFonts w:hint="default" w:eastAsiaTheme="minorHAnsi"/>
          <w:lang w:val="en-US" w:eastAsia="zh-CN"/>
        </w:rPr>
      </w:pPr>
      <w:r>
        <w:rPr>
          <w:rFonts w:hint="eastAsia" w:ascii="仿宋" w:hAnsi="仿宋" w:eastAsia="仿宋"/>
          <w:color w:val="000000"/>
        </w:rPr>
        <w:t>二、收</w:t>
      </w:r>
      <w:r>
        <w:rPr>
          <w:rFonts w:hint="eastAsia" w:ascii="仿宋" w:hAnsi="仿宋" w:eastAsia="仿宋"/>
          <w:bCs w:val="0"/>
        </w:rPr>
        <w:t>入决算表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rPr>
          <w:rFonts w:hint="eastAsia"/>
          <w:lang w:val="en-US" w:eastAsia="zh-CN"/>
        </w:rPr>
        <w:t>24</w:t>
      </w:r>
    </w:p>
    <w:p>
      <w:pPr>
        <w:pStyle w:val="20"/>
        <w:tabs>
          <w:tab w:val="right" w:leader="dot" w:pos="8306"/>
        </w:tabs>
        <w:rPr>
          <w:rFonts w:hint="default" w:eastAsiaTheme="minorHAnsi"/>
          <w:lang w:val="en-US" w:eastAsia="zh-CN"/>
        </w:rPr>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rPr>
          <w:rFonts w:hint="eastAsia"/>
          <w:lang w:val="en-US" w:eastAsia="zh-CN"/>
        </w:rPr>
        <w:t>24</w:t>
      </w:r>
    </w:p>
    <w:p>
      <w:pPr>
        <w:pStyle w:val="20"/>
        <w:tabs>
          <w:tab w:val="right" w:leader="dot" w:pos="8306"/>
        </w:tabs>
        <w:rPr>
          <w:rFonts w:hint="default" w:eastAsiaTheme="minorHAnsi"/>
          <w:lang w:val="en-US" w:eastAsia="zh-CN"/>
        </w:rPr>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bCs w:val="0"/>
        </w:rPr>
        <w:t>十、</w:t>
      </w:r>
      <w:r>
        <w:rPr>
          <w:rFonts w:hint="eastAsia" w:ascii="仿宋" w:hAnsi="仿宋" w:eastAsia="仿宋"/>
          <w:color w:val="000000"/>
        </w:rPr>
        <w:t>政</w:t>
      </w:r>
      <w:r>
        <w:rPr>
          <w:rFonts w:hint="eastAsia" w:ascii="仿宋" w:hAnsi="仿宋" w:eastAsia="仿宋"/>
          <w:bCs w:val="0"/>
        </w:rPr>
        <w:t>府性基金预算财政拨款收入支出决算表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bCs w:val="0"/>
        </w:rPr>
        <w:t>十</w:t>
      </w:r>
      <w:r>
        <w:rPr>
          <w:rFonts w:hint="eastAsia" w:ascii="仿宋" w:hAnsi="仿宋" w:eastAsia="仿宋"/>
          <w:bCs w:val="0"/>
          <w:lang w:val="en-US" w:eastAsia="zh-CN"/>
        </w:rPr>
        <w:t>一</w:t>
      </w:r>
      <w:r>
        <w:rPr>
          <w:rFonts w:hint="eastAsia" w:ascii="仿宋" w:hAnsi="仿宋" w:eastAsia="仿宋"/>
          <w:bCs w:val="0"/>
        </w:rPr>
        <w:t>、</w:t>
      </w:r>
      <w:r>
        <w:rPr>
          <w:rFonts w:hint="eastAsia" w:ascii="仿宋" w:hAnsi="仿宋" w:eastAsia="仿宋"/>
          <w:color w:val="000000"/>
        </w:rPr>
        <w:t>国</w:t>
      </w:r>
      <w:r>
        <w:rPr>
          <w:rFonts w:hint="eastAsia" w:ascii="仿宋" w:hAnsi="仿宋" w:eastAsia="仿宋"/>
          <w:bCs w:val="0"/>
        </w:rPr>
        <w:t>有资本经营预算财政拨款</w:t>
      </w:r>
      <w:r>
        <w:rPr>
          <w:rFonts w:hint="eastAsia" w:ascii="仿宋" w:hAnsi="仿宋" w:eastAsia="仿宋"/>
          <w:bCs w:val="0"/>
          <w:lang w:val="en-US" w:eastAsia="zh-CN"/>
        </w:rPr>
        <w:t>收入</w:t>
      </w:r>
      <w:r>
        <w:rPr>
          <w:rFonts w:hint="eastAsia" w:ascii="仿宋" w:hAnsi="仿宋" w:eastAsia="仿宋"/>
          <w:bCs w:val="0"/>
        </w:rPr>
        <w:t>支出决算表</w:t>
      </w:r>
      <w:r>
        <w:tab/>
      </w:r>
      <w:r>
        <w:rPr>
          <w:rFonts w:hint="eastAsia"/>
          <w:lang w:val="en-US" w:eastAsia="zh-CN"/>
        </w:rPr>
        <w:t>24</w:t>
      </w:r>
    </w:p>
    <w:p>
      <w:pPr>
        <w:pStyle w:val="20"/>
        <w:tabs>
          <w:tab w:val="right" w:leader="dot" w:pos="8306"/>
        </w:tabs>
        <w:rPr>
          <w:rFonts w:hint="eastAsia"/>
          <w:lang w:val="en-US" w:eastAsia="zh-CN"/>
        </w:rPr>
      </w:pPr>
      <w:r>
        <w:rPr>
          <w:rFonts w:hint="eastAsia" w:ascii="仿宋" w:hAnsi="仿宋" w:eastAsia="仿宋"/>
          <w:bCs w:val="0"/>
        </w:rPr>
        <w:t>十</w:t>
      </w:r>
      <w:r>
        <w:rPr>
          <w:rFonts w:hint="eastAsia" w:ascii="仿宋" w:hAnsi="仿宋" w:eastAsia="仿宋"/>
          <w:bCs w:val="0"/>
          <w:lang w:val="en-US" w:eastAsia="zh-CN"/>
        </w:rPr>
        <w:t>二</w:t>
      </w:r>
      <w:r>
        <w:rPr>
          <w:rFonts w:hint="eastAsia" w:ascii="仿宋" w:hAnsi="仿宋" w:eastAsia="仿宋"/>
          <w:bCs w:val="0"/>
        </w:rPr>
        <w:t>、国有资本经营预算财政拨款支出决算表</w:t>
      </w:r>
      <w:r>
        <w:tab/>
      </w:r>
      <w:r>
        <w:rPr>
          <w:rFonts w:hint="eastAsia"/>
          <w:lang w:val="en-US" w:eastAsia="zh-CN"/>
        </w:rPr>
        <w:t>24</w:t>
      </w:r>
    </w:p>
    <w:p>
      <w:pPr>
        <w:pStyle w:val="20"/>
        <w:tabs>
          <w:tab w:val="right" w:leader="dot" w:pos="8306"/>
        </w:tabs>
        <w:rPr>
          <w:rFonts w:hint="default" w:eastAsiaTheme="minorHAnsi"/>
          <w:lang w:val="en-US" w:eastAsia="zh-CN"/>
        </w:rPr>
      </w:pPr>
      <w:r>
        <w:rPr>
          <w:rFonts w:hint="eastAsia" w:ascii="仿宋" w:hAnsi="仿宋" w:eastAsia="仿宋"/>
          <w:bCs w:val="0"/>
          <w:lang w:val="en-US" w:eastAsia="zh-CN"/>
        </w:rPr>
        <w:t>十三、</w:t>
      </w:r>
      <w:r>
        <w:rPr>
          <w:rFonts w:hint="eastAsia" w:ascii="仿宋" w:hAnsi="仿宋" w:eastAsia="仿宋"/>
          <w:bCs w:val="0"/>
        </w:rPr>
        <w:t>财政拨款“三公”经费支出决算表</w:t>
      </w:r>
      <w:r>
        <w:tab/>
      </w:r>
      <w:r>
        <w:rPr>
          <w:rFonts w:hint="eastAsia"/>
          <w:lang w:val="en-US" w:eastAsia="zh-CN"/>
        </w:rPr>
        <w:t>24</w:t>
      </w:r>
    </w:p>
    <w:p>
      <w:pPr>
        <w:widowControl/>
        <w:spacing w:line="440" w:lineRule="exact"/>
        <w:jc w:val="left"/>
        <w:rPr>
          <w:rFonts w:asciiTheme="minorHAnsi" w:eastAsiaTheme="minorHAnsi"/>
          <w:bCs/>
          <w:caps/>
          <w:szCs w:val="20"/>
        </w:rPr>
      </w:pPr>
      <w:r>
        <w:rPr>
          <w:rFonts w:asciiTheme="minorHAnsi" w:eastAsiaTheme="minorHAnsi"/>
          <w:bCs/>
          <w:caps/>
          <w:szCs w:val="20"/>
        </w:rPr>
        <w:fldChar w:fldCharType="end"/>
      </w:r>
      <w:bookmarkStart w:id="7" w:name="_Toc15377196"/>
      <w:bookmarkStart w:id="8" w:name="_Toc15396599"/>
    </w:p>
    <w:p>
      <w:pPr>
        <w:pStyle w:val="2"/>
      </w:pPr>
    </w:p>
    <w:p>
      <w:pPr>
        <w:pStyle w:val="4"/>
        <w:numPr>
          <w:ilvl w:val="0"/>
          <w:numId w:val="0"/>
        </w:numPr>
        <w:spacing w:before="0" w:after="0" w:line="560" w:lineRule="exact"/>
        <w:ind w:firstLine="2200" w:firstLineChars="500"/>
        <w:jc w:val="both"/>
        <w:rPr>
          <w:rStyle w:val="30"/>
          <w:rFonts w:hint="eastAsia" w:ascii="黑体" w:hAnsi="黑体" w:eastAsia="黑体"/>
          <w:b w:val="0"/>
          <w:bCs w:val="0"/>
          <w:lang w:eastAsia="zh-CN"/>
        </w:rPr>
      </w:pPr>
      <w:bookmarkStart w:id="9" w:name="_Toc79163601"/>
      <w:bookmarkStart w:id="10" w:name="_Toc30071"/>
    </w:p>
    <w:p>
      <w:pPr>
        <w:rPr>
          <w:rStyle w:val="30"/>
          <w:rFonts w:hint="eastAsia" w:ascii="黑体" w:hAnsi="黑体" w:eastAsia="黑体"/>
          <w:b w:val="0"/>
          <w:bCs w:val="0"/>
          <w:lang w:eastAsia="zh-CN"/>
        </w:rPr>
      </w:pPr>
    </w:p>
    <w:p>
      <w:pPr>
        <w:pStyle w:val="2"/>
        <w:rPr>
          <w:rFonts w:hint="eastAsia"/>
          <w:lang w:eastAsia="zh-CN"/>
        </w:rPr>
      </w:pPr>
    </w:p>
    <w:p>
      <w:pPr>
        <w:pStyle w:val="4"/>
        <w:numPr>
          <w:ilvl w:val="0"/>
          <w:numId w:val="1"/>
        </w:numPr>
        <w:spacing w:before="0" w:after="0" w:line="560" w:lineRule="exact"/>
        <w:ind w:left="110" w:leftChars="0" w:firstLine="2200" w:firstLineChars="0"/>
        <w:jc w:val="both"/>
        <w:rPr>
          <w:rStyle w:val="30"/>
          <w:rFonts w:hint="eastAsia" w:ascii="黑体" w:hAnsi="黑体" w:eastAsia="黑体"/>
          <w:b w:val="0"/>
          <w:bCs w:val="0"/>
        </w:rPr>
      </w:pPr>
      <w:r>
        <w:rPr>
          <w:rStyle w:val="30"/>
          <w:rFonts w:hint="eastAsia" w:ascii="黑体" w:hAnsi="黑体" w:eastAsia="黑体"/>
          <w:b w:val="0"/>
          <w:bCs w:val="0"/>
        </w:rPr>
        <w:t>部门概况</w:t>
      </w:r>
      <w:bookmarkEnd w:id="7"/>
      <w:bookmarkEnd w:id="8"/>
      <w:bookmarkEnd w:id="9"/>
      <w:bookmarkEnd w:id="10"/>
    </w:p>
    <w:p>
      <w:pPr>
        <w:numPr>
          <w:ilvl w:val="0"/>
          <w:numId w:val="0"/>
        </w:numPr>
        <w:rPr>
          <w:rFonts w:hint="eastAsia"/>
          <w:lang w:eastAsia="zh-CN"/>
        </w:rPr>
      </w:pPr>
    </w:p>
    <w:p>
      <w:pPr>
        <w:pStyle w:val="2"/>
        <w:rPr>
          <w:rFonts w:hint="eastAsia"/>
          <w:lang w:eastAsia="zh-CN"/>
        </w:rPr>
      </w:pPr>
    </w:p>
    <w:p>
      <w:pPr>
        <w:pStyle w:val="41"/>
        <w:spacing w:line="600" w:lineRule="exact"/>
        <w:ind w:firstLine="640"/>
        <w:outlineLvl w:val="1"/>
        <w:rPr>
          <w:rFonts w:hint="default" w:ascii="Times New Roman" w:hAnsi="Times New Roman" w:eastAsia="方正楷体_GBK" w:cs="Times New Roman"/>
          <w:b/>
          <w:bCs/>
          <w:sz w:val="32"/>
          <w:szCs w:val="32"/>
        </w:rPr>
      </w:pPr>
      <w:r>
        <w:rPr>
          <w:rFonts w:hint="eastAsia" w:ascii="黑体" w:hAnsi="黑体" w:eastAsia="黑体"/>
          <w:color w:val="000000"/>
          <w:sz w:val="32"/>
          <w:szCs w:val="32"/>
          <w:lang w:val="en-US" w:eastAsia="zh-CN"/>
        </w:rPr>
        <w:t>一、</w:t>
      </w:r>
      <w:r>
        <w:rPr>
          <w:rFonts w:hint="default" w:ascii="黑体" w:hAnsi="黑体" w:eastAsia="黑体"/>
          <w:color w:val="000000"/>
          <w:sz w:val="32"/>
          <w:szCs w:val="32"/>
          <w:lang w:val="en-US" w:eastAsia="zh-CN"/>
        </w:rPr>
        <w:t>部门职能简介</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 w:eastAsia="仿宋_GB2312" w:cs="Times New Roman"/>
          <w:kern w:val="0"/>
          <w:sz w:val="32"/>
          <w:szCs w:val="32"/>
          <w:lang w:val="zh-CN"/>
        </w:rPr>
      </w:pPr>
      <w:r>
        <w:rPr>
          <w:rFonts w:hint="eastAsia" w:ascii="仿宋_GB2312" w:hAnsi="仿宋" w:eastAsia="仿宋_GB2312" w:cs="Times New Roman"/>
          <w:kern w:val="0"/>
          <w:sz w:val="32"/>
          <w:szCs w:val="32"/>
          <w:lang w:val="en-US" w:eastAsia="zh-CN"/>
        </w:rPr>
        <w:t>县委统战部</w:t>
      </w:r>
      <w:r>
        <w:rPr>
          <w:rFonts w:hint="default" w:ascii="仿宋_GB2312" w:hAnsi="仿宋" w:eastAsia="仿宋_GB2312" w:cs="Times New Roman"/>
          <w:kern w:val="0"/>
          <w:sz w:val="32"/>
          <w:szCs w:val="32"/>
          <w:lang w:val="zh-CN"/>
        </w:rPr>
        <w:t>主要职</w:t>
      </w:r>
      <w:r>
        <w:rPr>
          <w:rFonts w:hint="eastAsia" w:ascii="仿宋_GB2312" w:hAnsi="仿宋" w:eastAsia="仿宋_GB2312" w:cs="Times New Roman"/>
          <w:kern w:val="0"/>
          <w:sz w:val="32"/>
          <w:szCs w:val="32"/>
          <w:lang w:val="en-US" w:eastAsia="zh-CN"/>
        </w:rPr>
        <w:t>能</w:t>
      </w:r>
      <w:r>
        <w:rPr>
          <w:rFonts w:hint="default" w:ascii="仿宋_GB2312" w:hAnsi="仿宋" w:eastAsia="仿宋_GB2312" w:cs="Times New Roman"/>
          <w:kern w:val="0"/>
          <w:sz w:val="32"/>
          <w:szCs w:val="32"/>
          <w:lang w:val="zh-CN"/>
        </w:rPr>
        <w:t>是：组织贯彻执行中央、省委、州委</w:t>
      </w:r>
      <w:r>
        <w:rPr>
          <w:rFonts w:hint="eastAsia" w:ascii="仿宋_GB2312" w:hAnsi="仿宋" w:eastAsia="仿宋_GB2312" w:cs="Times New Roman"/>
          <w:kern w:val="0"/>
          <w:sz w:val="32"/>
          <w:szCs w:val="32"/>
          <w:lang w:val="zh-CN"/>
        </w:rPr>
        <w:t>、县委</w:t>
      </w:r>
      <w:r>
        <w:rPr>
          <w:rFonts w:hint="default" w:ascii="仿宋_GB2312" w:hAnsi="仿宋" w:eastAsia="仿宋_GB2312" w:cs="Times New Roman"/>
          <w:kern w:val="0"/>
          <w:sz w:val="32"/>
          <w:szCs w:val="32"/>
          <w:lang w:val="zh-CN"/>
        </w:rPr>
        <w:t>关于统一战线的方针政策，调查研究统一战线的理论和政策，负责协调监督检查全</w:t>
      </w:r>
      <w:r>
        <w:rPr>
          <w:rFonts w:hint="eastAsia" w:ascii="仿宋_GB2312" w:hAnsi="仿宋" w:eastAsia="仿宋_GB2312" w:cs="Times New Roman"/>
          <w:kern w:val="0"/>
          <w:sz w:val="32"/>
          <w:szCs w:val="32"/>
          <w:lang w:val="zh-CN"/>
        </w:rPr>
        <w:t>县</w:t>
      </w:r>
      <w:r>
        <w:rPr>
          <w:rFonts w:hint="default" w:ascii="仿宋_GB2312" w:hAnsi="仿宋" w:eastAsia="仿宋_GB2312" w:cs="Times New Roman"/>
          <w:kern w:val="0"/>
          <w:sz w:val="32"/>
          <w:szCs w:val="32"/>
          <w:lang w:val="zh-CN"/>
        </w:rPr>
        <w:t>统一战线工作，牵头协调处理统战工作中的重大问题和组织统一战线和重大活动；负调查研究协调全</w:t>
      </w:r>
      <w:r>
        <w:rPr>
          <w:rFonts w:hint="eastAsia" w:ascii="仿宋_GB2312" w:hAnsi="仿宋" w:eastAsia="仿宋_GB2312" w:cs="Times New Roman"/>
          <w:kern w:val="0"/>
          <w:sz w:val="32"/>
          <w:szCs w:val="32"/>
          <w:lang w:val="zh-CN"/>
        </w:rPr>
        <w:t>县</w:t>
      </w:r>
      <w:r>
        <w:rPr>
          <w:rFonts w:hint="default" w:ascii="仿宋_GB2312" w:hAnsi="仿宋" w:eastAsia="仿宋_GB2312" w:cs="Times New Roman"/>
          <w:kern w:val="0"/>
          <w:sz w:val="32"/>
          <w:szCs w:val="32"/>
          <w:lang w:val="zh-CN"/>
        </w:rPr>
        <w:t>有关民族和宗教工作重大方针政策的贯彻执行，联系宗教界代表人物</w:t>
      </w:r>
      <w:r>
        <w:rPr>
          <w:rFonts w:hint="eastAsia" w:ascii="仿宋_GB2312" w:hAnsi="仿宋" w:eastAsia="仿宋_GB2312" w:cs="Times New Roman"/>
          <w:kern w:val="0"/>
          <w:sz w:val="32"/>
          <w:szCs w:val="32"/>
          <w:lang w:val="zh-CN"/>
        </w:rPr>
        <w:t>，</w:t>
      </w:r>
      <w:r>
        <w:rPr>
          <w:rFonts w:hint="eastAsia" w:ascii="仿宋_GB2312" w:hAnsi="仿宋" w:eastAsia="仿宋_GB2312"/>
          <w:kern w:val="0"/>
          <w:sz w:val="32"/>
          <w:szCs w:val="32"/>
          <w:lang w:val="zh-CN"/>
        </w:rPr>
        <w:t>协调、监督、指导全县寺庙管理工作；</w:t>
      </w:r>
      <w:r>
        <w:rPr>
          <w:rFonts w:hint="default" w:ascii="仿宋_GB2312" w:hAnsi="仿宋" w:eastAsia="仿宋_GB2312" w:cs="Times New Roman"/>
          <w:kern w:val="0"/>
          <w:sz w:val="32"/>
          <w:szCs w:val="32"/>
          <w:lang w:val="zh-CN"/>
        </w:rPr>
        <w:t>联系</w:t>
      </w:r>
      <w:bookmarkStart w:id="150" w:name="_GoBack"/>
      <w:bookmarkEnd w:id="150"/>
      <w:r>
        <w:rPr>
          <w:rFonts w:hint="default" w:ascii="仿宋_GB2312" w:hAnsi="仿宋" w:eastAsia="仿宋_GB2312" w:cs="Times New Roman"/>
          <w:kern w:val="0"/>
          <w:sz w:val="32"/>
          <w:szCs w:val="32"/>
          <w:lang w:val="zh-CN"/>
        </w:rPr>
        <w:t>全</w:t>
      </w:r>
      <w:r>
        <w:rPr>
          <w:rFonts w:hint="eastAsia" w:ascii="仿宋_GB2312" w:hAnsi="仿宋" w:eastAsia="仿宋_GB2312" w:cs="Times New Roman"/>
          <w:kern w:val="0"/>
          <w:sz w:val="32"/>
          <w:szCs w:val="32"/>
          <w:lang w:val="zh-CN"/>
        </w:rPr>
        <w:t>县</w:t>
      </w:r>
      <w:r>
        <w:rPr>
          <w:rFonts w:hint="default" w:ascii="仿宋_GB2312" w:hAnsi="仿宋" w:eastAsia="仿宋_GB2312" w:cs="Times New Roman"/>
          <w:kern w:val="0"/>
          <w:sz w:val="32"/>
          <w:szCs w:val="32"/>
          <w:lang w:val="zh-CN"/>
        </w:rPr>
        <w:t>党外代表人士及党外知识分子工作，负责党外人士的政治安排，做好党外后备干部和新的代表人物队伍的建设工作，指导有关统战团体和人民团体的统战工作；调查研究并反映</w:t>
      </w:r>
      <w:r>
        <w:rPr>
          <w:rFonts w:hint="eastAsia" w:ascii="仿宋_GB2312" w:hAnsi="仿宋" w:eastAsia="仿宋_GB2312" w:cs="Times New Roman"/>
          <w:kern w:val="0"/>
          <w:sz w:val="32"/>
          <w:szCs w:val="32"/>
          <w:lang w:val="zh-CN"/>
        </w:rPr>
        <w:t>全县</w:t>
      </w:r>
      <w:r>
        <w:rPr>
          <w:rFonts w:hint="eastAsia" w:ascii="仿宋_GB2312" w:hAnsi="仿宋" w:eastAsia="仿宋_GB2312"/>
          <w:kern w:val="0"/>
          <w:sz w:val="32"/>
          <w:szCs w:val="32"/>
          <w:lang w:val="zh-CN"/>
        </w:rPr>
        <w:t>民营经济、</w:t>
      </w:r>
      <w:r>
        <w:rPr>
          <w:rFonts w:hint="default" w:ascii="仿宋_GB2312" w:hAnsi="仿宋" w:eastAsia="仿宋_GB2312" w:cs="Times New Roman"/>
          <w:kern w:val="0"/>
          <w:sz w:val="32"/>
          <w:szCs w:val="32"/>
          <w:lang w:val="zh-CN"/>
        </w:rPr>
        <w:t>非公有制经济代表人士</w:t>
      </w:r>
      <w:r>
        <w:rPr>
          <w:rFonts w:hint="eastAsia" w:ascii="仿宋_GB2312" w:hAnsi="仿宋" w:eastAsia="仿宋_GB2312" w:cs="Times New Roman"/>
          <w:kern w:val="0"/>
          <w:sz w:val="32"/>
          <w:szCs w:val="32"/>
          <w:lang w:val="zh-CN"/>
        </w:rPr>
        <w:t>，</w:t>
      </w:r>
      <w:r>
        <w:rPr>
          <w:rFonts w:hint="eastAsia" w:ascii="仿宋_GB2312" w:hAnsi="仿宋" w:eastAsia="仿宋_GB2312"/>
          <w:kern w:val="0"/>
          <w:sz w:val="32"/>
          <w:szCs w:val="32"/>
          <w:lang w:val="zh-CN"/>
        </w:rPr>
        <w:t>新阶层代表人士情况；负责牵头、协调、指导寺庙管理机构履行宗教事务工作相关职责；</w:t>
      </w:r>
      <w:r>
        <w:rPr>
          <w:rFonts w:hint="default" w:ascii="仿宋_GB2312" w:hAnsi="仿宋" w:eastAsia="仿宋_GB2312" w:cs="Times New Roman"/>
          <w:kern w:val="0"/>
          <w:sz w:val="32"/>
          <w:szCs w:val="32"/>
          <w:lang w:val="zh-CN"/>
        </w:rPr>
        <w:t>负责海内外统一战线的宣传工作</w:t>
      </w:r>
      <w:r>
        <w:rPr>
          <w:rFonts w:hint="eastAsia" w:ascii="仿宋_GB2312" w:hAnsi="仿宋" w:eastAsia="仿宋_GB2312" w:cs="Times New Roman"/>
          <w:kern w:val="0"/>
          <w:sz w:val="32"/>
          <w:szCs w:val="32"/>
          <w:lang w:val="zh-CN"/>
        </w:rPr>
        <w:t>；</w:t>
      </w:r>
      <w:r>
        <w:rPr>
          <w:rFonts w:hint="eastAsia" w:ascii="仿宋_GB2312" w:hAnsi="仿宋" w:eastAsia="仿宋_GB2312"/>
          <w:kern w:val="0"/>
          <w:sz w:val="32"/>
          <w:szCs w:val="32"/>
          <w:lang w:val="zh-CN"/>
        </w:rPr>
        <w:t>统筹协调4个寺庙管理委员会、县民宗局、县佛协、县工商联。</w:t>
      </w:r>
    </w:p>
    <w:p>
      <w:pPr>
        <w:pStyle w:val="5"/>
        <w:spacing w:before="0" w:after="0" w:line="560" w:lineRule="exact"/>
        <w:rPr>
          <w:rStyle w:val="31"/>
          <w:b w:val="0"/>
          <w:bCs w:val="0"/>
        </w:rPr>
      </w:pPr>
      <w:bookmarkStart w:id="11" w:name="_Toc15377199"/>
      <w:bookmarkStart w:id="12" w:name="_Toc79163604"/>
      <w:bookmarkStart w:id="13" w:name="_Toc15378446"/>
      <w:r>
        <w:rPr>
          <w:rFonts w:hint="eastAsia" w:ascii="黑体" w:eastAsia="黑体"/>
          <w:b w:val="0"/>
          <w:color w:val="000000"/>
        </w:rPr>
        <w:t xml:space="preserve">    </w:t>
      </w:r>
      <w:r>
        <w:rPr>
          <w:rFonts w:hint="eastAsia" w:ascii="黑体" w:hAnsi="黑体" w:eastAsia="黑体" w:cs="Times New Roman"/>
          <w:b w:val="0"/>
          <w:bCs w:val="0"/>
          <w:color w:val="000000"/>
          <w:kern w:val="2"/>
          <w:sz w:val="32"/>
          <w:szCs w:val="32"/>
          <w:lang w:val="en-US" w:eastAsia="zh-CN" w:bidi="ar-SA"/>
        </w:rPr>
        <w:t>二、机构设置</w:t>
      </w:r>
    </w:p>
    <w:p>
      <w:pPr>
        <w:pStyle w:val="8"/>
        <w:adjustRightInd w:val="0"/>
        <w:snapToGrid w:val="0"/>
        <w:spacing w:beforeLines="0" w:line="560" w:lineRule="atLeast"/>
        <w:ind w:firstLine="640" w:firstLineChars="200"/>
        <w:rPr>
          <w:rFonts w:hint="eastAsia" w:hAnsi="仿宋"/>
          <w:sz w:val="32"/>
          <w:szCs w:val="32"/>
        </w:rPr>
        <w:sectPr>
          <w:footerReference r:id="rId6" w:type="default"/>
          <w:pgSz w:w="11906" w:h="16838"/>
          <w:pgMar w:top="1440" w:right="1800" w:bottom="1440" w:left="1800" w:header="851" w:footer="992" w:gutter="0"/>
          <w:pgNumType w:fmt="decimal" w:start="1"/>
          <w:cols w:space="720" w:num="1"/>
          <w:docGrid w:type="lines" w:linePitch="312" w:charSpace="0"/>
        </w:sectPr>
      </w:pPr>
      <w:r>
        <w:rPr>
          <w:rFonts w:hint="eastAsia" w:hAnsi="仿宋"/>
          <w:sz w:val="32"/>
          <w:szCs w:val="32"/>
          <w:lang w:eastAsia="zh-CN"/>
        </w:rPr>
        <w:t>中共壤塘县委统战部</w:t>
      </w:r>
      <w:r>
        <w:rPr>
          <w:rFonts w:hAnsi="仿宋"/>
          <w:sz w:val="32"/>
          <w:szCs w:val="32"/>
        </w:rPr>
        <w:t>为一级预算单位，</w:t>
      </w:r>
      <w:r>
        <w:rPr>
          <w:rFonts w:hint="eastAsia" w:hAnsi="仿宋"/>
          <w:sz w:val="32"/>
          <w:szCs w:val="32"/>
          <w:lang w:val="en-US" w:eastAsia="zh-CN"/>
        </w:rPr>
        <w:t>无下属二级预算单位，</w:t>
      </w:r>
      <w:r>
        <w:rPr>
          <w:rFonts w:hAnsi="仿宋"/>
          <w:sz w:val="32"/>
          <w:szCs w:val="32"/>
        </w:rPr>
        <w:t>基本性质为</w:t>
      </w:r>
      <w:r>
        <w:rPr>
          <w:rFonts w:hint="eastAsia" w:hAnsi="仿宋"/>
          <w:sz w:val="32"/>
          <w:szCs w:val="32"/>
          <w:lang w:val="en-US"/>
        </w:rPr>
        <w:t>行政</w:t>
      </w:r>
      <w:r>
        <w:rPr>
          <w:rFonts w:hAnsi="仿宋"/>
          <w:sz w:val="32"/>
          <w:szCs w:val="32"/>
        </w:rPr>
        <w:t>单位</w:t>
      </w:r>
    </w:p>
    <w:bookmarkEnd w:id="11"/>
    <w:bookmarkEnd w:id="12"/>
    <w:bookmarkEnd w:id="13"/>
    <w:p>
      <w:pPr>
        <w:pStyle w:val="8"/>
        <w:adjustRightInd w:val="0"/>
        <w:snapToGrid w:val="0"/>
        <w:spacing w:beforeLines="0" w:line="560" w:lineRule="atLeast"/>
        <w:rPr>
          <w:rFonts w:hint="eastAsia" w:hAnsi="仿宋"/>
          <w:sz w:val="32"/>
          <w:szCs w:val="32"/>
        </w:rPr>
      </w:pPr>
    </w:p>
    <w:p>
      <w:pPr>
        <w:widowControl/>
        <w:jc w:val="center"/>
        <w:rPr>
          <w:sz w:val="32"/>
          <w:szCs w:val="40"/>
        </w:rPr>
      </w:pPr>
      <w:bookmarkStart w:id="14" w:name="_Toc79163609"/>
      <w:bookmarkStart w:id="15" w:name="_Toc15377204"/>
      <w:bookmarkStart w:id="16" w:name="_Toc15396602"/>
      <w:bookmarkStart w:id="17" w:name="_Toc32366"/>
      <w:r>
        <w:rPr>
          <w:rStyle w:val="30"/>
          <w:rFonts w:hint="eastAsia" w:ascii="黑体" w:hAnsi="黑体" w:eastAsia="黑体"/>
          <w:b w:val="0"/>
          <w:bCs w:val="0"/>
        </w:rPr>
        <w:t>第二部分</w:t>
      </w:r>
      <w:r>
        <w:rPr>
          <w:rStyle w:val="30"/>
          <w:rFonts w:ascii="黑体" w:hAnsi="黑体" w:eastAsia="黑体"/>
          <w:b w:val="0"/>
          <w:bCs w:val="0"/>
        </w:rPr>
        <w:t xml:space="preserve"> </w:t>
      </w:r>
      <w:r>
        <w:rPr>
          <w:rStyle w:val="30"/>
          <w:rFonts w:hint="eastAsia" w:ascii="黑体" w:hAnsi="黑体" w:eastAsia="黑体"/>
          <w:b w:val="0"/>
          <w:bCs w:val="0"/>
          <w:lang w:eastAsia="zh-CN"/>
        </w:rPr>
        <w:t>2024年</w:t>
      </w:r>
      <w:r>
        <w:rPr>
          <w:rStyle w:val="30"/>
          <w:rFonts w:hint="eastAsia" w:ascii="黑体" w:hAnsi="黑体" w:eastAsia="黑体"/>
          <w:b w:val="0"/>
          <w:bCs w:val="0"/>
        </w:rPr>
        <w:t>度部门决算情况说明</w:t>
      </w:r>
      <w:bookmarkEnd w:id="14"/>
      <w:bookmarkEnd w:id="15"/>
      <w:bookmarkEnd w:id="16"/>
      <w:bookmarkEnd w:id="17"/>
    </w:p>
    <w:p>
      <w:pPr>
        <w:pStyle w:val="41"/>
        <w:spacing w:line="600" w:lineRule="exact"/>
        <w:ind w:firstLine="640"/>
        <w:outlineLvl w:val="1"/>
        <w:rPr>
          <w:rStyle w:val="31"/>
          <w:rFonts w:ascii="黑体" w:hAnsi="黑体" w:eastAsia="黑体"/>
          <w:b w:val="0"/>
        </w:rPr>
      </w:pPr>
      <w:bookmarkStart w:id="18" w:name="_Toc15377205"/>
      <w:bookmarkStart w:id="19" w:name="_Toc15396603"/>
      <w:bookmarkStart w:id="20" w:name="_Toc29926"/>
      <w:bookmarkStart w:id="21" w:name="_Toc79163610"/>
      <w:r>
        <w:rPr>
          <w:rFonts w:hint="eastAsia" w:ascii="黑体" w:hAnsi="黑体" w:eastAsia="黑体"/>
          <w:color w:val="000000"/>
          <w:sz w:val="32"/>
          <w:szCs w:val="32"/>
        </w:rPr>
        <w:t>一、收</w:t>
      </w:r>
      <w:r>
        <w:rPr>
          <w:rStyle w:val="31"/>
          <w:rFonts w:hint="eastAsia" w:ascii="黑体" w:hAnsi="黑体" w:eastAsia="黑体"/>
          <w:b w:val="0"/>
        </w:rPr>
        <w:t>入支出决算总体情况说明</w:t>
      </w:r>
      <w:bookmarkEnd w:id="18"/>
      <w:bookmarkEnd w:id="19"/>
      <w:bookmarkEnd w:id="20"/>
      <w:bookmarkEnd w:id="21"/>
    </w:p>
    <w:p>
      <w:pPr>
        <w:spacing w:line="600" w:lineRule="exact"/>
        <w:ind w:firstLine="640" w:firstLineChars="200"/>
        <w:rPr>
          <w:rFonts w:hint="eastAsia" w:ascii="仿宋" w:hAnsi="仿宋" w:eastAsia="仿宋"/>
          <w:color w:val="000000"/>
          <w:szCs w:val="32"/>
          <w:lang w:eastAsia="zh-CN"/>
        </w:rPr>
      </w:pPr>
      <w:r>
        <w:rPr>
          <w:rFonts w:hint="eastAsia" w:ascii="仿宋" w:hAnsi="仿宋" w:eastAsia="仿宋" w:cs="仿宋"/>
          <w:color w:val="000000"/>
          <w:kern w:val="2"/>
          <w:sz w:val="32"/>
          <w:szCs w:val="32"/>
          <w:lang w:val="en-US" w:eastAsia="zh-CN" w:bidi="ar"/>
        </w:rPr>
        <w:t>2024年度收入总计1255.23元，支出总计1019.20万元；与2023年相比，收入增加125.35万元，增长11.09%，主要变动原因：</w:t>
      </w:r>
      <w:r>
        <w:rPr>
          <w:rFonts w:hint="eastAsia" w:ascii="仿宋" w:hAnsi="仿宋" w:eastAsia="仿宋"/>
          <w:color w:val="000000"/>
          <w:sz w:val="32"/>
          <w:szCs w:val="32"/>
        </w:rPr>
        <w:t>本年度</w:t>
      </w:r>
      <w:r>
        <w:rPr>
          <w:rFonts w:hint="eastAsia" w:ascii="仿宋" w:hAnsi="仿宋" w:eastAsia="仿宋"/>
          <w:color w:val="000000"/>
          <w:sz w:val="32"/>
          <w:szCs w:val="32"/>
          <w:lang w:val="en-US" w:eastAsia="zh-CN"/>
        </w:rPr>
        <w:t>新增代管资金收入，收入增加；</w:t>
      </w:r>
      <w:r>
        <w:rPr>
          <w:rFonts w:hint="eastAsia" w:ascii="仿宋" w:hAnsi="仿宋" w:eastAsia="仿宋" w:cs="仿宋"/>
          <w:color w:val="000000"/>
          <w:kern w:val="2"/>
          <w:sz w:val="32"/>
          <w:szCs w:val="32"/>
          <w:lang w:val="en-US" w:eastAsia="zh-CN" w:bidi="ar"/>
        </w:rPr>
        <w:t>支出减少110.68万元，下降9.8%。主要变动原因：</w:t>
      </w:r>
      <w:r>
        <w:rPr>
          <w:rFonts w:hint="eastAsia" w:ascii="仿宋" w:hAnsi="仿宋" w:eastAsia="仿宋"/>
          <w:color w:val="000000"/>
          <w:sz w:val="32"/>
          <w:szCs w:val="32"/>
        </w:rPr>
        <w:t>本年度</w:t>
      </w:r>
      <w:r>
        <w:rPr>
          <w:rFonts w:hint="eastAsia" w:ascii="仿宋" w:hAnsi="仿宋" w:eastAsia="仿宋"/>
          <w:color w:val="000000"/>
          <w:sz w:val="32"/>
          <w:szCs w:val="32"/>
          <w:lang w:val="en-US" w:eastAsia="zh-CN"/>
        </w:rPr>
        <w:t>项目减少，支出减少</w:t>
      </w:r>
      <w:r>
        <w:rPr>
          <w:rFonts w:hint="eastAsia" w:ascii="仿宋" w:hAnsi="仿宋" w:eastAsia="仿宋"/>
          <w:color w:val="000000"/>
          <w:sz w:val="32"/>
          <w:szCs w:val="32"/>
          <w:lang w:eastAsia="zh-CN"/>
        </w:rPr>
        <w:t>。</w:t>
      </w:r>
    </w:p>
    <w:p>
      <w:pPr>
        <w:pStyle w:val="10"/>
        <w:ind w:left="0" w:leftChars="0" w:firstLine="0" w:firstLineChars="0"/>
        <w:jc w:val="center"/>
        <w:rPr>
          <w:rFonts w:hint="eastAsia"/>
          <w:lang w:val="en-US" w:eastAsia="zh-CN"/>
        </w:rPr>
      </w:pPr>
      <w:r>
        <w:drawing>
          <wp:inline distT="0" distB="0" distL="114300" distR="114300">
            <wp:extent cx="4134485" cy="2405380"/>
            <wp:effectExtent l="4445" t="4445" r="13970" b="9525"/>
            <wp:docPr id="135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hint="eastAsia"/>
          <w:lang w:val="en-US" w:eastAsia="zh-CN"/>
        </w:rPr>
        <w:t xml:space="preserve"> </w:t>
      </w:r>
      <w:r>
        <w:drawing>
          <wp:inline distT="0" distB="0" distL="114300" distR="114300">
            <wp:extent cx="4146550" cy="2245360"/>
            <wp:effectExtent l="4445" t="5080" r="20955" b="16510"/>
            <wp:docPr id="134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10"/>
        <w:jc w:val="center"/>
        <w:rPr>
          <w:rFonts w:hint="eastAsia" w:ascii="仿宋" w:hAnsi="仿宋" w:eastAsia="仿宋"/>
          <w:color w:val="000000"/>
          <w:sz w:val="32"/>
          <w:szCs w:val="32"/>
        </w:rPr>
      </w:pPr>
      <w:r>
        <w:rPr>
          <w:rFonts w:hint="eastAsia"/>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41"/>
        <w:spacing w:line="600" w:lineRule="exact"/>
        <w:ind w:left="0" w:leftChars="0" w:firstLine="640" w:firstLineChars="200"/>
        <w:outlineLvl w:val="1"/>
        <w:rPr>
          <w:rFonts w:hint="eastAsia" w:ascii="黑体" w:hAnsi="黑体" w:eastAsia="黑体"/>
          <w:color w:val="000000"/>
          <w:sz w:val="32"/>
          <w:szCs w:val="32"/>
        </w:rPr>
        <w:sectPr>
          <w:footerReference r:id="rId7" w:type="default"/>
          <w:pgSz w:w="11906" w:h="16838"/>
          <w:pgMar w:top="1440" w:right="1800" w:bottom="1440" w:left="1800" w:header="851" w:footer="992" w:gutter="0"/>
          <w:pgNumType w:fmt="decimal" w:start="6"/>
          <w:cols w:space="425" w:num="1"/>
          <w:docGrid w:type="lines" w:linePitch="312" w:charSpace="0"/>
        </w:sectPr>
      </w:pPr>
      <w:bookmarkStart w:id="22" w:name="_Toc15377206"/>
      <w:bookmarkStart w:id="23" w:name="_Toc15396604"/>
      <w:bookmarkStart w:id="24" w:name="_Toc79163611"/>
    </w:p>
    <w:p>
      <w:pPr>
        <w:pStyle w:val="41"/>
        <w:spacing w:line="600" w:lineRule="exact"/>
        <w:ind w:left="0" w:leftChars="0" w:firstLine="640" w:firstLineChars="200"/>
        <w:outlineLvl w:val="1"/>
        <w:rPr>
          <w:rStyle w:val="31"/>
          <w:rFonts w:ascii="黑体" w:hAnsi="黑体" w:eastAsia="黑体"/>
          <w:b w:val="0"/>
        </w:rPr>
      </w:pPr>
      <w:bookmarkStart w:id="25" w:name="_Toc23496"/>
      <w:r>
        <w:rPr>
          <w:rFonts w:hint="eastAsia" w:ascii="黑体" w:hAnsi="黑体" w:eastAsia="黑体"/>
          <w:color w:val="000000"/>
          <w:sz w:val="32"/>
          <w:szCs w:val="32"/>
        </w:rPr>
        <w:t>二、收</w:t>
      </w:r>
      <w:r>
        <w:rPr>
          <w:rStyle w:val="31"/>
          <w:rFonts w:hint="eastAsia" w:ascii="黑体" w:hAnsi="黑体" w:eastAsia="黑体"/>
          <w:b w:val="0"/>
        </w:rPr>
        <w:t>入决算情况说明</w:t>
      </w:r>
      <w:bookmarkEnd w:id="22"/>
      <w:bookmarkEnd w:id="23"/>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本年收入合计</w:t>
      </w:r>
      <w:r>
        <w:rPr>
          <w:rFonts w:hint="eastAsia" w:ascii="仿宋" w:hAnsi="仿宋" w:eastAsia="仿宋"/>
          <w:color w:val="000000"/>
          <w:sz w:val="32"/>
          <w:szCs w:val="32"/>
          <w:lang w:val="en-US" w:eastAsia="zh-CN"/>
        </w:rPr>
        <w:t>1255.23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eastAsia="zh-CN"/>
        </w:rPr>
        <w:t>1013.96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80.78</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其他收入241.26万元，占19.22%</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536575</wp:posOffset>
            </wp:positionH>
            <wp:positionV relativeFrom="paragraph">
              <wp:posOffset>219075</wp:posOffset>
            </wp:positionV>
            <wp:extent cx="3620135" cy="2018030"/>
            <wp:effectExtent l="5080" t="4445" r="13335" b="15875"/>
            <wp:wrapSquare wrapText="bothSides"/>
            <wp:docPr id="135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1920" w:firstLineChars="6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17"/>
      </w:pPr>
    </w:p>
    <w:p>
      <w:pPr>
        <w:pStyle w:val="41"/>
        <w:spacing w:line="600" w:lineRule="exact"/>
        <w:ind w:left="640" w:firstLine="0" w:firstLineChars="0"/>
        <w:outlineLvl w:val="1"/>
        <w:rPr>
          <w:rStyle w:val="31"/>
          <w:rFonts w:ascii="黑体" w:hAnsi="黑体" w:eastAsia="黑体"/>
          <w:b w:val="0"/>
        </w:rPr>
      </w:pPr>
      <w:bookmarkStart w:id="26" w:name="_Toc15377207"/>
      <w:bookmarkStart w:id="27" w:name="_Toc15396605"/>
      <w:bookmarkStart w:id="28" w:name="_Toc79163612"/>
      <w:bookmarkStart w:id="29" w:name="_Toc631"/>
      <w:r>
        <w:rPr>
          <w:rFonts w:hint="eastAsia" w:ascii="黑体" w:hAnsi="黑体" w:eastAsia="黑体"/>
          <w:color w:val="000000"/>
          <w:sz w:val="32"/>
          <w:szCs w:val="32"/>
        </w:rPr>
        <w:t>三、支</w:t>
      </w:r>
      <w:r>
        <w:rPr>
          <w:rStyle w:val="31"/>
          <w:rFonts w:hint="eastAsia" w:ascii="黑体" w:hAnsi="黑体" w:eastAsia="黑体"/>
          <w:b w:val="0"/>
        </w:rPr>
        <w:t>出决算情况说明</w:t>
      </w:r>
      <w:bookmarkEnd w:id="26"/>
      <w:bookmarkEnd w:id="27"/>
      <w:bookmarkEnd w:id="28"/>
      <w:bookmarkEnd w:id="29"/>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rPr>
        <w:t>本年支出合计</w:t>
      </w:r>
      <w:r>
        <w:rPr>
          <w:rFonts w:hint="eastAsia" w:ascii="仿宋_GB2312" w:eastAsia="仿宋_GB2312"/>
          <w:sz w:val="32"/>
          <w:szCs w:val="32"/>
          <w:lang w:eastAsia="zh-CN"/>
        </w:rPr>
        <w:t>1019.2</w:t>
      </w:r>
      <w:r>
        <w:rPr>
          <w:rFonts w:hint="eastAsia" w:ascii="仿宋_GB2312" w:eastAsia="仿宋_GB2312"/>
          <w:sz w:val="32"/>
          <w:szCs w:val="32"/>
        </w:rPr>
        <w:t>万元，其中：基本支出</w:t>
      </w:r>
      <w:r>
        <w:rPr>
          <w:rFonts w:hint="eastAsia" w:ascii="仿宋_GB2312" w:eastAsia="仿宋_GB2312"/>
          <w:sz w:val="32"/>
          <w:szCs w:val="32"/>
          <w:lang w:eastAsia="zh-CN"/>
        </w:rPr>
        <w:t>396.27</w:t>
      </w:r>
      <w:r>
        <w:rPr>
          <w:rFonts w:hint="eastAsia" w:ascii="仿宋_GB2312" w:eastAsia="仿宋_GB2312"/>
          <w:sz w:val="32"/>
          <w:szCs w:val="32"/>
        </w:rPr>
        <w:t>万元，占</w:t>
      </w:r>
      <w:r>
        <w:rPr>
          <w:rFonts w:hint="eastAsia" w:ascii="仿宋_GB2312" w:eastAsia="仿宋_GB2312"/>
          <w:sz w:val="32"/>
          <w:szCs w:val="32"/>
          <w:lang w:val="en-US" w:eastAsia="zh-CN"/>
        </w:rPr>
        <w:t>38.88</w:t>
      </w:r>
      <w:r>
        <w:rPr>
          <w:rFonts w:hint="eastAsia" w:ascii="仿宋_GB2312" w:eastAsia="仿宋_GB2312"/>
          <w:sz w:val="32"/>
          <w:szCs w:val="32"/>
        </w:rPr>
        <w:t>%；项目支出</w:t>
      </w:r>
      <w:r>
        <w:rPr>
          <w:rFonts w:hint="eastAsia" w:ascii="仿宋_GB2312" w:eastAsia="仿宋_GB2312"/>
          <w:sz w:val="32"/>
          <w:szCs w:val="32"/>
          <w:lang w:eastAsia="zh-CN"/>
        </w:rPr>
        <w:t>622.93</w:t>
      </w:r>
      <w:r>
        <w:rPr>
          <w:rFonts w:hint="eastAsia" w:ascii="仿宋_GB2312" w:eastAsia="仿宋_GB2312"/>
          <w:sz w:val="32"/>
          <w:szCs w:val="32"/>
        </w:rPr>
        <w:t>万元，</w:t>
      </w:r>
      <w:r>
        <w:rPr>
          <w:rFonts w:hint="eastAsia" w:ascii="仿宋_GB2312" w:eastAsia="仿宋_GB2312"/>
          <w:sz w:val="32"/>
          <w:szCs w:val="32"/>
          <w:lang w:val="en-US" w:eastAsia="zh-CN"/>
        </w:rPr>
        <w:t>61.12</w:t>
      </w:r>
      <w:r>
        <w:rPr>
          <w:rFonts w:hint="eastAsia" w:ascii="仿宋_GB2312" w:eastAsia="仿宋_GB2312"/>
          <w:sz w:val="32"/>
          <w:szCs w:val="32"/>
        </w:rPr>
        <w:t>%；</w:t>
      </w:r>
    </w:p>
    <w:p>
      <w:pPr>
        <w:pStyle w:val="10"/>
        <w:rPr>
          <w:rFonts w:ascii="仿宋" w:hAnsi="仿宋" w:eastAsia="仿宋"/>
          <w:color w:val="000000"/>
          <w:szCs w:val="32"/>
          <w:shd w:val="pct10" w:color="auto" w:fill="FFFFFF"/>
        </w:rPr>
      </w:pPr>
      <w:r>
        <w:drawing>
          <wp:inline distT="0" distB="0" distL="114300" distR="114300">
            <wp:extent cx="3658870" cy="2108200"/>
            <wp:effectExtent l="4445" t="4445" r="13335" b="20955"/>
            <wp:docPr id="134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spacing w:line="600" w:lineRule="exact"/>
        <w:ind w:firstLine="2240" w:firstLineChars="7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pStyle w:val="17"/>
      </w:pPr>
    </w:p>
    <w:p>
      <w:pPr>
        <w:spacing w:line="600" w:lineRule="exact"/>
        <w:ind w:firstLine="640" w:firstLineChars="200"/>
        <w:outlineLvl w:val="1"/>
        <w:rPr>
          <w:rStyle w:val="31"/>
          <w:rFonts w:ascii="黑体" w:hAnsi="黑体" w:eastAsia="黑体"/>
          <w:b w:val="0"/>
        </w:rPr>
      </w:pPr>
      <w:bookmarkStart w:id="30" w:name="_Toc79163613"/>
      <w:bookmarkStart w:id="31" w:name="_Toc15396606"/>
      <w:bookmarkStart w:id="32" w:name="_Toc3545"/>
      <w:bookmarkStart w:id="33" w:name="_Toc15377208"/>
      <w:r>
        <w:rPr>
          <w:rFonts w:hint="eastAsia" w:ascii="黑体" w:hAnsi="黑体" w:eastAsia="黑体"/>
          <w:color w:val="000000"/>
          <w:sz w:val="32"/>
          <w:szCs w:val="32"/>
        </w:rPr>
        <w:t>四、财</w:t>
      </w:r>
      <w:r>
        <w:rPr>
          <w:rStyle w:val="31"/>
          <w:rFonts w:hint="eastAsia" w:ascii="黑体" w:hAnsi="黑体" w:eastAsia="黑体"/>
          <w:b w:val="0"/>
        </w:rPr>
        <w:t>政拨款收入支出决算总体情况说明</w:t>
      </w:r>
      <w:bookmarkEnd w:id="30"/>
      <w:bookmarkEnd w:id="31"/>
      <w:bookmarkEnd w:id="32"/>
      <w:bookmarkEnd w:id="33"/>
    </w:p>
    <w:p>
      <w:pPr>
        <w:spacing w:line="600" w:lineRule="exact"/>
        <w:ind w:firstLine="640"/>
        <w:rPr>
          <w:rFonts w:ascii="仿宋" w:hAnsi="仿宋" w:eastAsia="仿宋"/>
          <w:color w:val="000000"/>
          <w:sz w:val="32"/>
          <w:szCs w:val="32"/>
        </w:rPr>
      </w:pPr>
      <w:r>
        <w:rPr>
          <w:rFonts w:hint="eastAsia" w:ascii="仿宋" w:hAnsi="仿宋" w:eastAsia="仿宋" w:cs="仿宋"/>
          <w:color w:val="000000"/>
          <w:kern w:val="2"/>
          <w:sz w:val="32"/>
          <w:szCs w:val="32"/>
          <w:lang w:val="en-US" w:eastAsia="zh-CN" w:bidi="ar"/>
        </w:rPr>
        <w:t>2024年度财政拨款收入总计1013.96元，财政拨款支出总计1013.96万元；与2023年相比，财政拨款收入减少115.92万元，下降10.26%，财政拨款支出减少115.92万元，下降10.26%。主要变动原因：本年度项目减少，收支减少</w:t>
      </w:r>
      <w:r>
        <w:rPr>
          <w:rFonts w:hint="eastAsia" w:ascii="仿宋" w:hAnsi="仿宋" w:eastAsia="仿宋"/>
          <w:color w:val="000000"/>
          <w:sz w:val="32"/>
          <w:szCs w:val="32"/>
        </w:rPr>
        <w:t>。</w:t>
      </w:r>
    </w:p>
    <w:p>
      <w:pPr>
        <w:pStyle w:val="10"/>
        <w:jc w:val="both"/>
      </w:pPr>
      <w:r>
        <w:drawing>
          <wp:inline distT="0" distB="0" distL="114300" distR="114300">
            <wp:extent cx="4208780" cy="2156460"/>
            <wp:effectExtent l="4445" t="4445" r="15875" b="10795"/>
            <wp:docPr id="134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pStyle w:val="10"/>
        <w:jc w:val="both"/>
        <w:rPr>
          <w:rFonts w:ascii="仿宋" w:hAnsi="仿宋" w:eastAsia="仿宋"/>
          <w:color w:val="000000"/>
          <w:szCs w:val="32"/>
        </w:rPr>
      </w:pPr>
      <w:r>
        <w:drawing>
          <wp:inline distT="0" distB="0" distL="114300" distR="114300">
            <wp:extent cx="4340860" cy="2025650"/>
            <wp:effectExtent l="4445" t="4445" r="17145" b="8255"/>
            <wp:docPr id="134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31"/>
          <w:rFonts w:ascii="黑体" w:hAnsi="黑体" w:eastAsia="黑体"/>
          <w:b w:val="0"/>
        </w:rPr>
      </w:pPr>
      <w:bookmarkStart w:id="34" w:name="_Toc30996"/>
      <w:bookmarkStart w:id="35" w:name="_Toc79163614"/>
      <w:bookmarkStart w:id="36" w:name="_Toc15396607"/>
      <w:bookmarkStart w:id="3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34"/>
      <w:bookmarkEnd w:id="35"/>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1309"/>
      <w:bookmarkStart w:id="39" w:name="_Toc79163615"/>
      <w:bookmarkStart w:id="40" w:name="_Toc15377210"/>
      <w:r>
        <w:rPr>
          <w:rFonts w:hint="eastAsia" w:ascii="仿宋" w:hAnsi="仿宋" w:eastAsia="仿宋"/>
          <w:b/>
          <w:color w:val="000000"/>
          <w:sz w:val="32"/>
          <w:szCs w:val="32"/>
        </w:rPr>
        <w:t>（一）一般公共预算财政拨款支出决算总体情况</w:t>
      </w:r>
      <w:bookmarkEnd w:id="38"/>
      <w:bookmarkEnd w:id="39"/>
      <w:bookmarkEnd w:id="40"/>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1013.96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99.48</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相比，一般公共预算财政拨款</w:t>
      </w:r>
      <w:r>
        <w:rPr>
          <w:rFonts w:hint="eastAsia" w:ascii="仿宋" w:hAnsi="仿宋" w:eastAsia="仿宋" w:cs="仿宋"/>
          <w:color w:val="000000"/>
          <w:kern w:val="2"/>
          <w:sz w:val="32"/>
          <w:szCs w:val="32"/>
          <w:lang w:val="en-US" w:eastAsia="zh-CN" w:bidi="ar"/>
        </w:rPr>
        <w:t>减少115.92万元，下降10.26%。主要变动原因：本年度项目减少，收支减少</w:t>
      </w:r>
      <w:r>
        <w:rPr>
          <w:rFonts w:hint="eastAsia" w:ascii="仿宋" w:hAnsi="仿宋" w:eastAsia="仿宋"/>
          <w:color w:val="000000"/>
          <w:sz w:val="32"/>
          <w:szCs w:val="32"/>
        </w:rPr>
        <w:t>。</w:t>
      </w:r>
    </w:p>
    <w:p>
      <w:pPr>
        <w:pStyle w:val="10"/>
        <w:rPr>
          <w:rFonts w:ascii="仿宋" w:hAnsi="仿宋" w:eastAsia="仿宋"/>
          <w:color w:val="000000"/>
          <w:szCs w:val="32"/>
        </w:rPr>
      </w:pPr>
      <w:r>
        <w:drawing>
          <wp:inline distT="0" distB="0" distL="114300" distR="114300">
            <wp:extent cx="4168140" cy="2306320"/>
            <wp:effectExtent l="4445" t="4445" r="18415" b="13335"/>
            <wp:docPr id="134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pStyle w:val="10"/>
        <w:ind w:firstLine="320" w:firstLineChars="100"/>
        <w:rPr>
          <w:rFonts w:hint="eastAsia" w:ascii="仿宋" w:hAnsi="仿宋" w:eastAsia="仿宋"/>
          <w:color w:val="000000"/>
          <w:szCs w:val="32"/>
        </w:rPr>
      </w:pPr>
      <w:r>
        <w:rPr>
          <w:rFonts w:hint="eastAsia" w:ascii="仿宋" w:hAnsi="仿宋" w:eastAsia="仿宋"/>
          <w:color w:val="000000"/>
          <w:szCs w:val="32"/>
        </w:rPr>
        <w:t>（图</w:t>
      </w:r>
      <w:r>
        <w:rPr>
          <w:rFonts w:ascii="仿宋" w:hAnsi="仿宋" w:eastAsia="仿宋"/>
          <w:color w:val="000000"/>
          <w:szCs w:val="32"/>
        </w:rPr>
        <w:t>5</w:t>
      </w:r>
      <w:r>
        <w:rPr>
          <w:rFonts w:hint="eastAsia" w:ascii="仿宋" w:hAnsi="仿宋" w:eastAsia="仿宋"/>
          <w:color w:val="000000"/>
          <w:szCs w:val="32"/>
        </w:rPr>
        <w:t>：一般公共预算财政拨款支出决算变动情况）</w:t>
      </w:r>
    </w:p>
    <w:p/>
    <w:p>
      <w:pPr>
        <w:spacing w:line="600" w:lineRule="exact"/>
        <w:ind w:firstLine="643" w:firstLineChars="200"/>
        <w:outlineLvl w:val="2"/>
        <w:rPr>
          <w:rFonts w:ascii="仿宋" w:hAnsi="仿宋" w:eastAsia="仿宋"/>
          <w:b/>
          <w:color w:val="000000"/>
          <w:sz w:val="32"/>
          <w:szCs w:val="32"/>
        </w:rPr>
      </w:pPr>
      <w:bookmarkStart w:id="41" w:name="_Toc15377211"/>
      <w:bookmarkStart w:id="42" w:name="_Toc7609"/>
      <w:bookmarkStart w:id="43" w:name="_Toc79163616"/>
      <w:r>
        <w:rPr>
          <w:rFonts w:hint="eastAsia" w:ascii="仿宋" w:hAnsi="仿宋" w:eastAsia="仿宋"/>
          <w:b/>
          <w:color w:val="000000"/>
          <w:sz w:val="32"/>
          <w:szCs w:val="32"/>
        </w:rPr>
        <w:t>（二）一般公共预算财政拨款支出决算结构情况</w:t>
      </w:r>
      <w:bookmarkEnd w:id="41"/>
      <w:bookmarkEnd w:id="42"/>
      <w:bookmarkEnd w:id="43"/>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1013.96</w:t>
      </w:r>
      <w:r>
        <w:rPr>
          <w:rFonts w:hint="eastAsia" w:ascii="仿宋" w:hAnsi="仿宋" w:eastAsia="仿宋"/>
          <w:color w:val="000000"/>
          <w:sz w:val="32"/>
          <w:szCs w:val="32"/>
        </w:rPr>
        <w:t>万元，主要用于以下方面</w:t>
      </w:r>
      <w:r>
        <w:rPr>
          <w:rFonts w:hint="eastAsia" w:ascii="仿宋" w:hAnsi="仿宋" w:eastAsia="仿宋"/>
          <w:color w:val="000000"/>
          <w:sz w:val="32"/>
          <w:szCs w:val="32"/>
          <w:lang w:eastAsia="zh-CN"/>
        </w:rPr>
        <w:t>：</w:t>
      </w:r>
      <w:r>
        <w:rPr>
          <w:rFonts w:hint="eastAsia" w:ascii="仿宋" w:hAnsi="仿宋" w:eastAsia="仿宋"/>
          <w:b/>
          <w:color w:val="000000"/>
          <w:sz w:val="32"/>
          <w:szCs w:val="32"/>
        </w:rPr>
        <w:t>一般公共服务</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901.24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88.88</w:t>
      </w:r>
      <w:r>
        <w:rPr>
          <w:rFonts w:hint="eastAsia" w:ascii="仿宋" w:hAnsi="仿宋" w:eastAsia="仿宋"/>
          <w:color w:val="000000"/>
          <w:sz w:val="32"/>
          <w:szCs w:val="32"/>
        </w:rPr>
        <w:t>%；</w:t>
      </w:r>
      <w:r>
        <w:rPr>
          <w:rFonts w:hint="eastAsia" w:ascii="仿宋" w:hAnsi="仿宋" w:eastAsia="仿宋"/>
          <w:b/>
          <w:bCs/>
          <w:color w:val="000000"/>
          <w:sz w:val="32"/>
          <w:szCs w:val="32"/>
        </w:rPr>
        <w:t>公共安全支出</w:t>
      </w:r>
      <w:r>
        <w:rPr>
          <w:rFonts w:hint="default" w:ascii="仿宋" w:hAnsi="仿宋" w:eastAsia="仿宋"/>
          <w:b w:val="0"/>
          <w:bCs w:val="0"/>
          <w:color w:val="000000"/>
          <w:sz w:val="32"/>
          <w:szCs w:val="32"/>
        </w:rPr>
        <w:t>10.00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0.99</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default" w:ascii="仿宋" w:hAnsi="仿宋" w:eastAsia="仿宋"/>
          <w:color w:val="000000"/>
          <w:sz w:val="32"/>
          <w:szCs w:val="32"/>
        </w:rPr>
        <w:t>55.66</w:t>
      </w:r>
      <w:r>
        <w:rPr>
          <w:rFonts w:hint="eastAsia" w:ascii="仿宋" w:hAnsi="仿宋" w:eastAsia="仿宋"/>
          <w:color w:val="000000"/>
          <w:sz w:val="32"/>
          <w:szCs w:val="32"/>
        </w:rPr>
        <w:t>万元，占5.</w:t>
      </w:r>
      <w:r>
        <w:rPr>
          <w:rFonts w:hint="eastAsia" w:ascii="仿宋" w:hAnsi="仿宋" w:eastAsia="仿宋"/>
          <w:color w:val="000000"/>
          <w:sz w:val="32"/>
          <w:szCs w:val="32"/>
          <w:lang w:val="en-US" w:eastAsia="zh-CN"/>
        </w:rPr>
        <w:t>49</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default" w:ascii="仿宋" w:hAnsi="仿宋" w:eastAsia="仿宋"/>
          <w:color w:val="000000"/>
          <w:sz w:val="32"/>
          <w:szCs w:val="32"/>
        </w:rPr>
        <w:t>19.48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1.92</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default" w:ascii="仿宋" w:hAnsi="仿宋" w:eastAsia="仿宋"/>
          <w:color w:val="000000"/>
          <w:sz w:val="32"/>
          <w:szCs w:val="32"/>
        </w:rPr>
        <w:t>27.58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2.72</w:t>
      </w:r>
      <w:r>
        <w:rPr>
          <w:rFonts w:hint="eastAsia" w:ascii="仿宋" w:hAnsi="仿宋" w:eastAsia="仿宋"/>
          <w:color w:val="000000"/>
          <w:sz w:val="32"/>
          <w:szCs w:val="32"/>
        </w:rPr>
        <w:t>%。</w:t>
      </w:r>
    </w:p>
    <w:p>
      <w:pPr>
        <w:pStyle w:val="8"/>
        <w:jc w:val="center"/>
        <w:rPr>
          <w:rFonts w:hint="eastAsia" w:ascii="仿宋" w:hAnsi="仿宋" w:eastAsia="仿宋"/>
          <w:color w:val="000000"/>
          <w:sz w:val="32"/>
          <w:szCs w:val="32"/>
        </w:rPr>
      </w:pPr>
      <w:r>
        <w:drawing>
          <wp:inline distT="0" distB="0" distL="114300" distR="114300">
            <wp:extent cx="3723005" cy="2057400"/>
            <wp:effectExtent l="4445" t="4445" r="6350" b="14605"/>
            <wp:docPr id="135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hint="eastAsia" w:ascii="仿宋" w:hAnsi="仿宋" w:eastAsia="仿宋"/>
          <w:b/>
          <w:color w:val="000000"/>
          <w:sz w:val="32"/>
          <w:szCs w:val="32"/>
        </w:rPr>
        <w:sectPr>
          <w:footerReference r:id="rId8" w:type="default"/>
          <w:pgSz w:w="11906" w:h="16838"/>
          <w:pgMar w:top="1440" w:right="1800" w:bottom="1440" w:left="1800" w:header="851" w:footer="992" w:gutter="0"/>
          <w:pgNumType w:fmt="decimal"/>
          <w:cols w:space="425" w:num="1"/>
          <w:docGrid w:type="lines" w:linePitch="312" w:charSpace="0"/>
        </w:sectPr>
      </w:pPr>
      <w:bookmarkStart w:id="44" w:name="_Toc15377212"/>
      <w:bookmarkStart w:id="45" w:name="_Toc79163617"/>
    </w:p>
    <w:p>
      <w:pPr>
        <w:spacing w:line="600" w:lineRule="exact"/>
        <w:ind w:firstLine="643" w:firstLineChars="200"/>
        <w:outlineLvl w:val="2"/>
        <w:rPr>
          <w:rFonts w:ascii="仿宋" w:hAnsi="仿宋" w:eastAsia="仿宋"/>
          <w:b/>
          <w:color w:val="000000"/>
          <w:sz w:val="32"/>
          <w:szCs w:val="32"/>
        </w:rPr>
      </w:pPr>
      <w:bookmarkStart w:id="46" w:name="_Toc11521"/>
      <w:r>
        <w:rPr>
          <w:rFonts w:hint="eastAsia" w:ascii="仿宋" w:hAnsi="仿宋" w:eastAsia="仿宋"/>
          <w:b/>
          <w:color w:val="000000"/>
          <w:sz w:val="32"/>
          <w:szCs w:val="32"/>
        </w:rPr>
        <w:t>（三）一般公共预算财政拨款支出决算具体情况</w:t>
      </w:r>
      <w:bookmarkEnd w:id="44"/>
      <w:bookmarkEnd w:id="45"/>
      <w:bookmarkEnd w:id="46"/>
    </w:p>
    <w:p>
      <w:pPr>
        <w:spacing w:line="600" w:lineRule="exact"/>
        <w:ind w:firstLine="643" w:firstLineChars="200"/>
        <w:rPr>
          <w:rFonts w:ascii="仿宋_GB2312" w:eastAsia="仿宋_GB2312"/>
          <w:b/>
          <w:bCs/>
          <w:sz w:val="32"/>
          <w:szCs w:val="32"/>
        </w:rPr>
      </w:pPr>
      <w:bookmarkStart w:id="47" w:name="_Toc15378460"/>
      <w:bookmarkStart w:id="48" w:name="_Toc15377213"/>
      <w:bookmarkStart w:id="49" w:name="_Toc15377444"/>
      <w:r>
        <w:rPr>
          <w:rFonts w:hint="eastAsia" w:ascii="仿宋_GB2312" w:eastAsia="仿宋_GB2312"/>
          <w:b/>
          <w:bCs/>
          <w:sz w:val="32"/>
          <w:szCs w:val="32"/>
          <w:lang w:eastAsia="zh-CN"/>
        </w:rPr>
        <w:t>2024年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1129.88</w:t>
      </w:r>
      <w:r>
        <w:rPr>
          <w:rFonts w:hint="eastAsia" w:ascii="仿宋_GB2312" w:eastAsia="仿宋_GB2312"/>
          <w:b/>
          <w:bCs/>
          <w:sz w:val="32"/>
          <w:szCs w:val="32"/>
        </w:rPr>
        <w:t>万元，完成预算100</w:t>
      </w:r>
      <w:r>
        <w:rPr>
          <w:rFonts w:ascii="仿宋_GB2312" w:eastAsia="仿宋_GB2312"/>
          <w:b/>
          <w:bCs/>
          <w:sz w:val="32"/>
          <w:szCs w:val="32"/>
        </w:rPr>
        <w:t>%</w:t>
      </w:r>
      <w:r>
        <w:rPr>
          <w:rFonts w:hint="eastAsia" w:ascii="仿宋_GB2312" w:eastAsia="仿宋_GB2312"/>
          <w:b/>
          <w:bCs/>
          <w:sz w:val="32"/>
          <w:szCs w:val="32"/>
        </w:rPr>
        <w:t>。其中：</w:t>
      </w:r>
      <w:bookmarkEnd w:id="47"/>
      <w:bookmarkEnd w:id="48"/>
      <w:bookmarkEnd w:id="49"/>
    </w:p>
    <w:p>
      <w:pPr>
        <w:spacing w:line="600" w:lineRule="exact"/>
        <w:ind w:firstLine="643" w:firstLineChars="200"/>
        <w:rPr>
          <w:rFonts w:ascii="仿宋" w:hAnsi="仿宋" w:eastAsia="仿宋"/>
          <w:b/>
          <w:color w:val="000000"/>
          <w:sz w:val="32"/>
          <w:szCs w:val="32"/>
        </w:rPr>
      </w:pPr>
      <w:r>
        <w:rPr>
          <w:rStyle w:val="26"/>
          <w:rFonts w:ascii="仿宋" w:hAnsi="仿宋" w:eastAsia="仿宋"/>
          <w:bCs/>
          <w:color w:val="000000"/>
          <w:sz w:val="32"/>
          <w:szCs w:val="32"/>
        </w:rPr>
        <w:t>1.</w:t>
      </w:r>
      <w:r>
        <w:rPr>
          <w:rStyle w:val="26"/>
          <w:rFonts w:hint="eastAsia" w:ascii="仿宋" w:hAnsi="仿宋" w:eastAsia="仿宋"/>
          <w:bCs/>
          <w:color w:val="000000"/>
          <w:sz w:val="32"/>
          <w:szCs w:val="32"/>
        </w:rPr>
        <w:t>一般公共服务（类）民族事务（款）民族工作专项（项）</w:t>
      </w:r>
      <w:r>
        <w:rPr>
          <w:rStyle w:val="26"/>
          <w:rFonts w:hint="eastAsia" w:ascii="仿宋" w:hAnsi="仿宋" w:eastAsia="仿宋"/>
          <w:bCs/>
          <w:color w:val="000000"/>
          <w:sz w:val="32"/>
          <w:szCs w:val="32"/>
          <w:lang w:eastAsia="zh-CN"/>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支出决算为7.96万元，完成预算100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rPr>
        <w:t>2</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一般公共服务（类）统战事务（款）行政运行（项）</w:t>
      </w:r>
      <w:r>
        <w:rPr>
          <w:rStyle w:val="26"/>
          <w:rFonts w:hint="eastAsia" w:ascii="仿宋" w:hAnsi="仿宋" w:eastAsia="仿宋"/>
          <w:bCs/>
          <w:color w:val="000000"/>
          <w:sz w:val="32"/>
          <w:szCs w:val="32"/>
          <w:lang w:eastAsia="zh-CN"/>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支出决算为293.55万元，完成预算100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rPr>
        <w:t>3</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一般公共服务（类）民族事务（款）一般行政管理事务（项）</w:t>
      </w:r>
      <w:r>
        <w:rPr>
          <w:rStyle w:val="26"/>
          <w:rFonts w:hint="eastAsia" w:ascii="仿宋" w:hAnsi="仿宋" w:eastAsia="仿宋"/>
          <w:bCs/>
          <w:color w:val="000000"/>
          <w:sz w:val="32"/>
          <w:szCs w:val="32"/>
          <w:lang w:eastAsia="zh-CN"/>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支出决算为311.16万元，完成预算100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rPr>
        <w:t>4</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一般公共服务（类）民族事务（款）宗教事务（项）</w:t>
      </w:r>
      <w:r>
        <w:rPr>
          <w:rStyle w:val="26"/>
          <w:rFonts w:hint="eastAsia" w:ascii="仿宋" w:hAnsi="仿宋" w:eastAsia="仿宋"/>
          <w:bCs/>
          <w:color w:val="000000"/>
          <w:sz w:val="32"/>
          <w:szCs w:val="32"/>
          <w:lang w:eastAsia="zh-CN"/>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支出决算为96.28万元，完成预算100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rPr>
        <w:t>5</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一般公共服务（类）民族事务（款）其他统战事务支出（项）</w:t>
      </w:r>
      <w:r>
        <w:rPr>
          <w:rStyle w:val="26"/>
          <w:rFonts w:hint="eastAsia" w:ascii="仿宋" w:hAnsi="仿宋" w:eastAsia="仿宋"/>
          <w:bCs/>
          <w:color w:val="000000"/>
          <w:sz w:val="32"/>
          <w:szCs w:val="32"/>
          <w:lang w:eastAsia="zh-CN"/>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支出决算为192.29万元，完成预算100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Style w:val="26"/>
          <w:rFonts w:ascii="仿宋" w:hAnsi="仿宋" w:eastAsia="仿宋"/>
          <w:bCs/>
          <w:color w:val="000000"/>
          <w:sz w:val="32"/>
          <w:szCs w:val="32"/>
        </w:rPr>
      </w:pPr>
      <w:r>
        <w:rPr>
          <w:rStyle w:val="26"/>
          <w:rFonts w:hint="eastAsia" w:ascii="仿宋" w:hAnsi="仿宋" w:eastAsia="仿宋"/>
          <w:bCs/>
          <w:color w:val="000000"/>
          <w:sz w:val="32"/>
          <w:szCs w:val="32"/>
        </w:rPr>
        <w:t>6</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公共安全支出（类）其他公共安全支出（款）其他公共安全支出（项）</w:t>
      </w:r>
      <w:r>
        <w:rPr>
          <w:rStyle w:val="26"/>
          <w:rFonts w:hint="eastAsia" w:ascii="仿宋" w:hAnsi="仿宋" w:eastAsia="仿宋"/>
          <w:bCs/>
          <w:color w:val="000000"/>
          <w:sz w:val="32"/>
          <w:szCs w:val="32"/>
          <w:lang w:eastAsia="zh-CN"/>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支出决算为10.00万元，完成预算100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rPr>
        <w:t>7</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社会保障和就业（类）行政事业单位养老支出（款）机关事业单位基本养老保险缴费支出（项）</w:t>
      </w:r>
      <w:r>
        <w:rPr>
          <w:rStyle w:val="26"/>
          <w:rFonts w:hint="eastAsia" w:ascii="仿宋" w:hAnsi="仿宋" w:eastAsia="仿宋"/>
          <w:bCs/>
          <w:color w:val="000000"/>
          <w:sz w:val="32"/>
          <w:szCs w:val="32"/>
          <w:lang w:eastAsia="zh-CN"/>
        </w:rPr>
        <w:t>：</w:t>
      </w:r>
      <w:r>
        <w:rPr>
          <w:rStyle w:val="26"/>
          <w:rFonts w:hint="eastAsia" w:ascii="仿宋" w:hAnsi="仿宋" w:eastAsia="仿宋"/>
          <w:b w:val="0"/>
          <w:bCs/>
          <w:color w:val="000000"/>
          <w:sz w:val="32"/>
          <w:szCs w:val="32"/>
        </w:rPr>
        <w:t>支出决算为37.12万元，完成预算100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Style w:val="26"/>
          <w:rFonts w:hint="eastAsia" w:ascii="仿宋" w:hAnsi="仿宋" w:eastAsia="仿宋"/>
          <w:bCs/>
          <w:color w:val="000000"/>
          <w:sz w:val="32"/>
          <w:szCs w:val="32"/>
        </w:rPr>
        <w:sectPr>
          <w:footerReference r:id="rId9" w:type="default"/>
          <w:pgSz w:w="11906" w:h="16838"/>
          <w:pgMar w:top="1440" w:right="1800" w:bottom="1440" w:left="1800" w:header="851" w:footer="992" w:gutter="0"/>
          <w:pgNumType w:fmt="decimal"/>
          <w:cols w:space="425" w:num="1"/>
          <w:docGrid w:type="lines" w:linePitch="312" w:charSpace="0"/>
        </w:sectPr>
      </w:pPr>
    </w:p>
    <w:p>
      <w:pPr>
        <w:spacing w:line="60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8</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社会保障和就业（类）行政事业单位养老支出（款）机关事业单位职业年金缴费支出（项）</w:t>
      </w:r>
      <w:r>
        <w:rPr>
          <w:rStyle w:val="26"/>
          <w:rFonts w:hint="eastAsia" w:ascii="仿宋" w:hAnsi="仿宋" w:eastAsia="仿宋"/>
          <w:bCs/>
          <w:color w:val="000000"/>
          <w:sz w:val="32"/>
          <w:szCs w:val="32"/>
          <w:lang w:eastAsia="zh-CN"/>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支出决算为18.54万元，完成预算100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9</w:t>
      </w:r>
      <w:r>
        <w:rPr>
          <w:rStyle w:val="26"/>
          <w:rFonts w:ascii="仿宋" w:hAnsi="仿宋" w:eastAsia="仿宋"/>
          <w:bCs/>
          <w:color w:val="000000"/>
          <w:sz w:val="32"/>
          <w:szCs w:val="32"/>
        </w:rPr>
        <w:t>.</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（类）行政事业单位医疗（款）行政单位医疗（项）</w:t>
      </w:r>
      <w:r>
        <w:rPr>
          <w:rStyle w:val="26"/>
          <w:rFonts w:hint="eastAsia" w:ascii="仿宋" w:hAnsi="仿宋" w:eastAsia="仿宋"/>
          <w:bCs/>
          <w:color w:val="000000"/>
          <w:sz w:val="32"/>
          <w:szCs w:val="32"/>
          <w:lang w:eastAsia="zh-CN"/>
        </w:rPr>
        <w:t>：</w:t>
      </w:r>
      <w:r>
        <w:rPr>
          <w:rStyle w:val="26"/>
          <w:rFonts w:hint="eastAsia" w:ascii="仿宋" w:hAnsi="仿宋" w:eastAsia="仿宋"/>
          <w:b w:val="0"/>
          <w:bCs/>
          <w:color w:val="000000"/>
          <w:sz w:val="32"/>
          <w:szCs w:val="32"/>
        </w:rPr>
        <w:t>支出决算为15.57万元，完成预算100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spacing w:line="600" w:lineRule="exact"/>
        <w:ind w:firstLine="643" w:firstLineChars="200"/>
        <w:rPr>
          <w:rStyle w:val="26"/>
          <w:rFonts w:ascii="仿宋" w:hAnsi="仿宋" w:eastAsia="仿宋"/>
          <w:b w:val="0"/>
          <w:bCs/>
          <w:color w:val="000000"/>
          <w:sz w:val="32"/>
          <w:szCs w:val="32"/>
        </w:rPr>
      </w:pPr>
      <w:r>
        <w:rPr>
          <w:rStyle w:val="26"/>
          <w:rFonts w:hint="eastAsia" w:ascii="仿宋" w:hAnsi="仿宋" w:eastAsia="仿宋"/>
          <w:bCs/>
          <w:color w:val="000000"/>
          <w:sz w:val="32"/>
          <w:szCs w:val="32"/>
        </w:rPr>
        <w:t>1</w:t>
      </w:r>
      <w:r>
        <w:rPr>
          <w:rStyle w:val="26"/>
          <w:rFonts w:hint="eastAsia" w:ascii="仿宋" w:hAnsi="仿宋" w:eastAsia="仿宋"/>
          <w:bCs/>
          <w:color w:val="000000"/>
          <w:sz w:val="32"/>
          <w:szCs w:val="32"/>
          <w:lang w:val="en-US" w:eastAsia="zh-CN"/>
        </w:rPr>
        <w:t>0</w:t>
      </w:r>
      <w:r>
        <w:rPr>
          <w:rStyle w:val="26"/>
          <w:rFonts w:ascii="仿宋" w:hAnsi="仿宋" w:eastAsia="仿宋"/>
          <w:bCs/>
          <w:color w:val="000000"/>
          <w:sz w:val="32"/>
          <w:szCs w:val="32"/>
        </w:rPr>
        <w:t>.</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（类）行政事业单位医疗（款）公务员医疗补助（项）</w:t>
      </w:r>
      <w:r>
        <w:rPr>
          <w:rStyle w:val="26"/>
          <w:rFonts w:hint="eastAsia" w:ascii="仿宋" w:hAnsi="仿宋" w:eastAsia="仿宋"/>
          <w:bCs/>
          <w:color w:val="000000"/>
          <w:sz w:val="32"/>
          <w:szCs w:val="32"/>
          <w:lang w:eastAsia="zh-CN"/>
        </w:rPr>
        <w:t>：</w:t>
      </w:r>
      <w:r>
        <w:rPr>
          <w:rStyle w:val="26"/>
          <w:rFonts w:hint="eastAsia" w:ascii="仿宋" w:hAnsi="仿宋" w:eastAsia="仿宋"/>
          <w:b w:val="0"/>
          <w:bCs/>
          <w:color w:val="000000"/>
          <w:sz w:val="32"/>
          <w:szCs w:val="32"/>
        </w:rPr>
        <w:t>支出决算为3.91万元，完成预算100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26"/>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11.</w:t>
      </w:r>
      <w:r>
        <w:rPr>
          <w:rFonts w:hint="eastAsia" w:ascii="仿宋" w:hAnsi="仿宋" w:eastAsia="仿宋"/>
          <w:b/>
          <w:bCs/>
          <w:color w:val="000000"/>
          <w:sz w:val="32"/>
          <w:szCs w:val="32"/>
        </w:rPr>
        <w:t>住房保障支出</w:t>
      </w:r>
      <w:r>
        <w:rPr>
          <w:rStyle w:val="26"/>
          <w:rFonts w:hint="eastAsia" w:ascii="仿宋" w:hAnsi="仿宋" w:eastAsia="仿宋"/>
          <w:bCs/>
          <w:color w:val="000000"/>
          <w:sz w:val="32"/>
          <w:szCs w:val="32"/>
        </w:rPr>
        <w:t>（类）住房改革支出（款）住房公积金（项）</w:t>
      </w:r>
      <w:r>
        <w:rPr>
          <w:rStyle w:val="26"/>
          <w:rFonts w:hint="eastAsia" w:ascii="仿宋" w:hAnsi="仿宋" w:eastAsia="仿宋"/>
          <w:bCs/>
          <w:color w:val="000000"/>
          <w:sz w:val="32"/>
          <w:szCs w:val="32"/>
          <w:lang w:eastAsia="zh-CN"/>
        </w:rPr>
        <w:t>：</w:t>
      </w:r>
      <w:r>
        <w:rPr>
          <w:rStyle w:val="26"/>
          <w:rFonts w:hint="eastAsia" w:ascii="仿宋" w:hAnsi="仿宋" w:eastAsia="仿宋"/>
          <w:b w:val="0"/>
          <w:bCs/>
          <w:color w:val="000000"/>
          <w:sz w:val="32"/>
          <w:szCs w:val="32"/>
        </w:rPr>
        <w:t>支出决算为26.16万元，完成预算100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pPr>
        <w:pStyle w:val="8"/>
        <w:numPr>
          <w:ilvl w:val="0"/>
          <w:numId w:val="0"/>
        </w:numPr>
        <w:rPr>
          <w:rStyle w:val="26"/>
          <w:rFonts w:hint="eastAsia" w:ascii="仿宋" w:hAnsi="仿宋" w:eastAsia="仿宋"/>
          <w:b w:val="0"/>
          <w:bCs/>
          <w:color w:val="000000"/>
          <w:sz w:val="32"/>
          <w:szCs w:val="32"/>
          <w:lang w:eastAsia="zh-CN"/>
        </w:rPr>
      </w:pPr>
      <w:r>
        <w:rPr>
          <w:rStyle w:val="26"/>
          <w:rFonts w:hint="eastAsia" w:ascii="仿宋" w:hAnsi="仿宋" w:eastAsia="仿宋"/>
          <w:bCs/>
          <w:color w:val="000000"/>
          <w:sz w:val="32"/>
          <w:szCs w:val="32"/>
        </w:rPr>
        <w:t>1</w:t>
      </w:r>
      <w:r>
        <w:rPr>
          <w:rStyle w:val="26"/>
          <w:rFonts w:hint="eastAsia" w:ascii="仿宋" w:hAnsi="仿宋" w:eastAsia="仿宋"/>
          <w:bCs/>
          <w:color w:val="000000"/>
          <w:sz w:val="32"/>
          <w:szCs w:val="32"/>
          <w:lang w:val="en-US" w:eastAsia="zh-CN"/>
        </w:rPr>
        <w:t>2</w:t>
      </w:r>
      <w:r>
        <w:rPr>
          <w:rStyle w:val="26"/>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6"/>
          <w:rFonts w:hint="eastAsia" w:ascii="仿宋" w:hAnsi="仿宋" w:eastAsia="仿宋"/>
          <w:bCs/>
          <w:color w:val="000000"/>
          <w:sz w:val="32"/>
          <w:szCs w:val="32"/>
        </w:rPr>
        <w:t>（类）住房改革支出（款）购房补贴（项）</w:t>
      </w:r>
      <w:r>
        <w:rPr>
          <w:rStyle w:val="26"/>
          <w:rFonts w:hint="eastAsia" w:ascii="仿宋" w:hAnsi="仿宋" w:eastAsia="仿宋"/>
          <w:bCs/>
          <w:color w:val="000000"/>
          <w:sz w:val="32"/>
          <w:szCs w:val="32"/>
          <w:lang w:eastAsia="zh-CN"/>
        </w:rPr>
        <w:t>：</w:t>
      </w:r>
      <w:r>
        <w:rPr>
          <w:rStyle w:val="26"/>
          <w:rFonts w:hint="eastAsia" w:ascii="仿宋" w:hAnsi="仿宋" w:eastAsia="仿宋"/>
          <w:b w:val="0"/>
          <w:bCs/>
          <w:color w:val="000000"/>
          <w:sz w:val="32"/>
          <w:szCs w:val="32"/>
        </w:rPr>
        <w:t>支出决算为1.4</w:t>
      </w:r>
      <w:r>
        <w:rPr>
          <w:rStyle w:val="26"/>
          <w:rFonts w:hint="eastAsia" w:ascii="仿宋" w:hAnsi="仿宋" w:eastAsia="仿宋"/>
          <w:b w:val="0"/>
          <w:bCs/>
          <w:color w:val="000000"/>
          <w:sz w:val="32"/>
          <w:szCs w:val="32"/>
          <w:lang w:val="en-US" w:eastAsia="zh-CN"/>
        </w:rPr>
        <w:t>3</w:t>
      </w:r>
      <w:r>
        <w:rPr>
          <w:rStyle w:val="26"/>
          <w:rFonts w:hint="eastAsia" w:ascii="仿宋" w:hAnsi="仿宋" w:eastAsia="仿宋"/>
          <w:b w:val="0"/>
          <w:bCs/>
          <w:color w:val="000000"/>
          <w:sz w:val="32"/>
          <w:szCs w:val="32"/>
        </w:rPr>
        <w:t>万元，完成预算100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r>
        <w:rPr>
          <w:rStyle w:val="26"/>
          <w:rFonts w:hint="eastAsia" w:ascii="仿宋" w:hAnsi="仿宋" w:eastAsia="仿宋"/>
          <w:b w:val="0"/>
          <w:bCs/>
          <w:color w:val="000000"/>
          <w:sz w:val="32"/>
          <w:szCs w:val="32"/>
          <w:lang w:eastAsia="zh-CN"/>
        </w:rPr>
        <w:t>。</w:t>
      </w:r>
    </w:p>
    <w:p/>
    <w:p>
      <w:pPr>
        <w:tabs>
          <w:tab w:val="right" w:pos="8306"/>
        </w:tabs>
        <w:spacing w:line="600" w:lineRule="exact"/>
        <w:ind w:firstLine="640"/>
        <w:outlineLvl w:val="1"/>
        <w:rPr>
          <w:rStyle w:val="31"/>
        </w:rPr>
      </w:pPr>
      <w:bookmarkStart w:id="50" w:name="_Toc79163618"/>
      <w:bookmarkStart w:id="51" w:name="_Toc15396608"/>
      <w:bookmarkStart w:id="52" w:name="_Toc15377214"/>
      <w:bookmarkStart w:id="53" w:name="_Toc1555"/>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0"/>
      <w:bookmarkEnd w:id="51"/>
      <w:bookmarkEnd w:id="52"/>
      <w:bookmarkEnd w:id="53"/>
      <w:r>
        <w:rPr>
          <w:rStyle w:val="31"/>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一般公共预算财政拨款基本支出</w:t>
      </w:r>
      <w:r>
        <w:rPr>
          <w:rFonts w:hint="eastAsia" w:ascii="仿宋" w:hAnsi="仿宋" w:eastAsia="仿宋"/>
          <w:color w:val="000000"/>
          <w:sz w:val="32"/>
          <w:szCs w:val="32"/>
          <w:lang w:eastAsia="zh-CN"/>
        </w:rPr>
        <w:t>396.27</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356.76</w:t>
      </w:r>
      <w:r>
        <w:rPr>
          <w:rFonts w:hint="eastAsia" w:ascii="仿宋" w:hAnsi="仿宋" w:eastAsia="仿宋"/>
          <w:color w:val="000000"/>
          <w:sz w:val="32"/>
          <w:szCs w:val="32"/>
        </w:rPr>
        <w:t>万元，主要包括：基本工资、津贴补贴、奖金、机关事业单位基本养老保险缴费、职业年金缴费、职工基本医疗保险缴费</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rPr>
        <w:t>其他社会保障缴费</w:t>
      </w:r>
      <w:r>
        <w:rPr>
          <w:rFonts w:hint="eastAsia" w:ascii="仿宋" w:hAnsi="仿宋" w:eastAsia="仿宋"/>
          <w:color w:val="000000"/>
          <w:sz w:val="32"/>
          <w:szCs w:val="32"/>
          <w:lang w:eastAsia="zh-CN"/>
        </w:rPr>
        <w:t>、</w:t>
      </w:r>
      <w:r>
        <w:rPr>
          <w:rFonts w:hint="eastAsia" w:ascii="仿宋" w:hAnsi="仿宋" w:eastAsia="仿宋"/>
          <w:color w:val="000000"/>
          <w:sz w:val="32"/>
          <w:szCs w:val="32"/>
        </w:rPr>
        <w:t>生活补助、医疗费补助</w:t>
      </w:r>
      <w:r>
        <w:rPr>
          <w:rFonts w:hint="eastAsia" w:ascii="仿宋" w:hAnsi="仿宋" w:eastAsia="仿宋"/>
          <w:color w:val="000000"/>
          <w:sz w:val="32"/>
          <w:szCs w:val="32"/>
          <w:lang w:eastAsia="zh-CN"/>
        </w:rPr>
        <w:t>、</w:t>
      </w:r>
      <w:r>
        <w:rPr>
          <w:rFonts w:hint="eastAsia" w:ascii="仿宋" w:hAnsi="仿宋" w:eastAsia="仿宋"/>
          <w:color w:val="000000"/>
          <w:sz w:val="32"/>
          <w:szCs w:val="32"/>
        </w:rPr>
        <w:t>住房公积金。</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日常公用经费3</w:t>
      </w:r>
      <w:r>
        <w:rPr>
          <w:rFonts w:hint="eastAsia" w:ascii="仿宋" w:hAnsi="仿宋" w:eastAsia="仿宋"/>
          <w:color w:val="000000"/>
          <w:sz w:val="32"/>
          <w:szCs w:val="32"/>
          <w:lang w:val="en-US" w:eastAsia="zh-CN"/>
        </w:rPr>
        <w:t>9.51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eastAsia="zh-CN"/>
        </w:rPr>
        <w:t>、</w:t>
      </w:r>
      <w:r>
        <w:rPr>
          <w:rFonts w:hint="eastAsia" w:ascii="仿宋" w:hAnsi="仿宋" w:eastAsia="仿宋"/>
          <w:color w:val="000000"/>
          <w:sz w:val="32"/>
          <w:szCs w:val="32"/>
        </w:rPr>
        <w:t>电费、邮电费、取暖费、物业管理费、差旅费</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公务用车运行维护费。</w:t>
      </w:r>
    </w:p>
    <w:p>
      <w:pPr>
        <w:spacing w:line="600" w:lineRule="exact"/>
        <w:ind w:firstLine="640"/>
        <w:outlineLvl w:val="1"/>
        <w:rPr>
          <w:rStyle w:val="31"/>
          <w:rFonts w:ascii="黑体" w:hAnsi="黑体" w:eastAsia="黑体"/>
          <w:b w:val="0"/>
        </w:rPr>
      </w:pPr>
      <w:bookmarkStart w:id="54" w:name="_Toc15396609"/>
      <w:bookmarkStart w:id="55" w:name="_Toc15377215"/>
      <w:bookmarkStart w:id="56" w:name="_Toc79163619"/>
      <w:bookmarkStart w:id="57" w:name="_Toc3601"/>
      <w:r>
        <w:rPr>
          <w:rFonts w:hint="eastAsia" w:ascii="黑体" w:eastAsia="黑体"/>
          <w:color w:val="000000"/>
          <w:sz w:val="32"/>
          <w:szCs w:val="32"/>
        </w:rPr>
        <w:t>七、</w:t>
      </w:r>
      <w:r>
        <w:rPr>
          <w:rStyle w:val="31"/>
          <w:rFonts w:hint="eastAsia" w:ascii="黑体" w:hAnsi="黑体" w:eastAsia="黑体"/>
        </w:rPr>
        <w:t>“</w:t>
      </w:r>
      <w:r>
        <w:rPr>
          <w:rStyle w:val="31"/>
          <w:rFonts w:hint="eastAsia" w:ascii="黑体" w:hAnsi="黑体" w:eastAsia="黑体"/>
          <w:b w:val="0"/>
        </w:rPr>
        <w:t>三公”经费财政拨款支出决算情况说明</w:t>
      </w:r>
      <w:bookmarkEnd w:id="54"/>
      <w:bookmarkEnd w:id="55"/>
      <w:bookmarkEnd w:id="56"/>
      <w:bookmarkEnd w:id="57"/>
    </w:p>
    <w:p>
      <w:pPr>
        <w:spacing w:line="600" w:lineRule="exact"/>
        <w:ind w:firstLine="640"/>
        <w:outlineLvl w:val="2"/>
        <w:rPr>
          <w:rFonts w:ascii="仿宋" w:hAnsi="仿宋" w:eastAsia="仿宋"/>
          <w:b/>
          <w:color w:val="000000"/>
          <w:sz w:val="32"/>
          <w:szCs w:val="32"/>
        </w:rPr>
      </w:pPr>
      <w:bookmarkStart w:id="58" w:name="_Toc79163620"/>
      <w:bookmarkStart w:id="59" w:name="_Toc15377216"/>
      <w:bookmarkStart w:id="60" w:name="_Toc1192"/>
      <w:r>
        <w:rPr>
          <w:rFonts w:hint="eastAsia" w:ascii="仿宋" w:hAnsi="仿宋" w:eastAsia="仿宋"/>
          <w:b/>
          <w:color w:val="000000"/>
          <w:sz w:val="32"/>
          <w:szCs w:val="32"/>
        </w:rPr>
        <w:t>（一）“三公”经费财政拨款支出决算总体情况说明</w:t>
      </w:r>
      <w:bookmarkEnd w:id="58"/>
      <w:bookmarkEnd w:id="59"/>
      <w:bookmarkEnd w:id="60"/>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“三公”经费财政拨款支出决算为</w:t>
      </w:r>
      <w:r>
        <w:rPr>
          <w:rFonts w:hint="eastAsia" w:ascii="仿宋_GB2312" w:eastAsia="仿宋_GB2312"/>
          <w:color w:val="000000"/>
          <w:sz w:val="32"/>
          <w:szCs w:val="32"/>
          <w:lang w:val="en-US" w:eastAsia="zh-CN"/>
        </w:rPr>
        <w:t>5.96</w:t>
      </w:r>
      <w:r>
        <w:rPr>
          <w:rFonts w:hint="eastAsia" w:ascii="仿宋" w:hAnsi="仿宋" w:eastAsia="仿宋"/>
          <w:color w:val="000000"/>
          <w:sz w:val="32"/>
          <w:szCs w:val="32"/>
        </w:rPr>
        <w:t>万元。</w:t>
      </w:r>
    </w:p>
    <w:p>
      <w:pPr>
        <w:spacing w:line="600" w:lineRule="exact"/>
        <w:ind w:firstLine="640"/>
        <w:outlineLvl w:val="2"/>
        <w:rPr>
          <w:rFonts w:ascii="仿宋" w:hAnsi="仿宋" w:eastAsia="仿宋"/>
          <w:b/>
          <w:color w:val="000000"/>
          <w:sz w:val="32"/>
          <w:szCs w:val="32"/>
        </w:rPr>
      </w:pPr>
      <w:bookmarkStart w:id="61" w:name="_Toc79163621"/>
      <w:bookmarkStart w:id="62" w:name="_Toc15377217"/>
      <w:bookmarkStart w:id="63" w:name="_Toc23708"/>
      <w:r>
        <w:rPr>
          <w:rFonts w:hint="eastAsia" w:ascii="仿宋" w:hAnsi="仿宋" w:eastAsia="仿宋"/>
          <w:b/>
          <w:color w:val="000000"/>
          <w:sz w:val="32"/>
          <w:szCs w:val="32"/>
        </w:rPr>
        <w:t>（二）“三公”经费财政拨款支出决算具体情况说明</w:t>
      </w:r>
      <w:bookmarkEnd w:id="61"/>
      <w:bookmarkEnd w:id="62"/>
      <w:bookmarkEnd w:id="6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“三公”经费财政拨款支出决算中，因公出国（境）费支出决算0万元，占0%；公务用车购置及运行维护费支出决算</w:t>
      </w:r>
      <w:r>
        <w:rPr>
          <w:rFonts w:hint="eastAsia" w:ascii="仿宋_GB2312" w:eastAsia="仿宋_GB2312"/>
          <w:color w:val="000000"/>
          <w:sz w:val="32"/>
          <w:szCs w:val="32"/>
          <w:lang w:val="en-US" w:eastAsia="zh-CN"/>
        </w:rPr>
        <w:t>5.96</w:t>
      </w:r>
      <w:r>
        <w:rPr>
          <w:rFonts w:hint="eastAsia" w:ascii="仿宋_GB2312" w:eastAsia="仿宋_GB2312"/>
          <w:color w:val="000000"/>
          <w:sz w:val="32"/>
          <w:szCs w:val="32"/>
        </w:rPr>
        <w:t>万元，占100%；公务接待费支出决算0万元，占0%。具体情况如下：</w:t>
      </w:r>
    </w:p>
    <w:p>
      <w:pPr>
        <w:pStyle w:val="29"/>
        <w:jc w:val="center"/>
        <w:rPr>
          <w:rFonts w:ascii="仿宋_GB2312" w:eastAsia="仿宋_GB2312"/>
          <w:color w:val="000000"/>
          <w:sz w:val="32"/>
          <w:szCs w:val="32"/>
        </w:rPr>
      </w:pPr>
      <w:r>
        <w:drawing>
          <wp:inline distT="0" distB="0" distL="114300" distR="114300">
            <wp:extent cx="4623435" cy="2080895"/>
            <wp:effectExtent l="4445" t="4445" r="203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（图7：“三公”经费财政拨款支出结构）</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6"/>
          <w:rFonts w:hint="eastAsia" w:ascii="仿宋" w:hAnsi="仿宋" w:eastAsia="仿宋"/>
          <w:b w:val="0"/>
          <w:bCs/>
          <w:color w:val="000000"/>
          <w:sz w:val="32"/>
          <w:szCs w:val="32"/>
        </w:rPr>
        <w:t>。</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lang w:val="en-US" w:eastAsia="zh-CN"/>
        </w:rPr>
        <w:t>5.96</w:t>
      </w:r>
      <w:r>
        <w:rPr>
          <w:rFonts w:hint="eastAsia" w:ascii="仿宋_GB2312" w:eastAsia="仿宋_GB2312"/>
          <w:color w:val="000000"/>
          <w:sz w:val="32"/>
          <w:szCs w:val="32"/>
        </w:rPr>
        <w:t>万元。公务用车购置及运行维护费支出决算比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lang w:val="en-US" w:eastAsia="zh-CN"/>
        </w:rPr>
        <w:t>减少6.03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下降50.29</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厉行节约</w:t>
      </w:r>
      <w:r>
        <w:rPr>
          <w:rFonts w:hint="eastAsia" w:ascii="仿宋_GB2312" w:eastAsia="仿宋_GB2312"/>
          <w:color w:val="000000"/>
          <w:sz w:val="32"/>
          <w:szCs w:val="32"/>
          <w:lang w:eastAsia="zh-CN"/>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公务用车购置支出0</w:t>
      </w:r>
      <w:r>
        <w:rPr>
          <w:rFonts w:hint="eastAsia" w:ascii="仿宋_GB2312" w:eastAsia="仿宋_GB2312"/>
          <w:color w:val="000000"/>
          <w:sz w:val="32"/>
          <w:szCs w:val="32"/>
        </w:rPr>
        <w:t>万元。</w:t>
      </w: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lang w:val="en-US" w:eastAsia="zh-CN"/>
        </w:rPr>
        <w:t>5.96</w:t>
      </w:r>
      <w:r>
        <w:rPr>
          <w:rFonts w:hint="eastAsia" w:ascii="仿宋_GB2312" w:eastAsia="仿宋_GB2312"/>
          <w:color w:val="000000"/>
          <w:sz w:val="32"/>
          <w:szCs w:val="32"/>
        </w:rPr>
        <w:t>万元。主要用于日常下乡以及出差等所需的公务用车燃料费、维修费、过路过桥费、保险费等支出。</w:t>
      </w:r>
    </w:p>
    <w:p>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p>
    <w:p>
      <w:pPr>
        <w:spacing w:line="600" w:lineRule="exact"/>
        <w:ind w:firstLine="640" w:firstLineChars="200"/>
        <w:outlineLvl w:val="1"/>
        <w:rPr>
          <w:rStyle w:val="31"/>
          <w:rFonts w:ascii="黑体" w:hAnsi="黑体" w:eastAsia="黑体"/>
        </w:rPr>
      </w:pPr>
      <w:bookmarkStart w:id="64" w:name="_Toc15377218"/>
      <w:bookmarkStart w:id="65" w:name="_Toc15396610"/>
      <w:bookmarkStart w:id="66" w:name="_Toc11084"/>
      <w:bookmarkStart w:id="67" w:name="_Toc79163622"/>
      <w:r>
        <w:rPr>
          <w:rFonts w:hint="eastAsia" w:ascii="黑体" w:eastAsia="黑体"/>
          <w:color w:val="000000"/>
          <w:sz w:val="32"/>
          <w:szCs w:val="32"/>
        </w:rPr>
        <w:t>八、</w:t>
      </w:r>
      <w:r>
        <w:rPr>
          <w:rStyle w:val="31"/>
          <w:rFonts w:hint="eastAsia" w:ascii="黑体" w:hAnsi="黑体" w:eastAsia="黑体"/>
          <w:b w:val="0"/>
        </w:rPr>
        <w:t>政府性基金预算支出决算情况说明</w:t>
      </w:r>
      <w:bookmarkEnd w:id="64"/>
      <w:bookmarkEnd w:id="65"/>
      <w:bookmarkEnd w:id="66"/>
      <w:bookmarkEnd w:id="6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政府性基金预算拨款支出0万元。</w:t>
      </w:r>
    </w:p>
    <w:p>
      <w:pPr>
        <w:spacing w:line="600" w:lineRule="exact"/>
        <w:ind w:firstLine="640" w:firstLineChars="200"/>
        <w:outlineLvl w:val="1"/>
        <w:rPr>
          <w:rStyle w:val="31"/>
          <w:rFonts w:ascii="黑体" w:hAnsi="黑体" w:eastAsia="黑体"/>
          <w:b w:val="0"/>
        </w:rPr>
      </w:pPr>
      <w:bookmarkStart w:id="68" w:name="_Toc24199"/>
      <w:bookmarkStart w:id="69" w:name="_Toc79163623"/>
      <w:bookmarkStart w:id="70" w:name="_Toc15396611"/>
      <w:bookmarkStart w:id="71" w:name="_Toc15377219"/>
      <w:r>
        <w:rPr>
          <w:rFonts w:hint="eastAsia" w:ascii="黑体" w:eastAsia="黑体"/>
          <w:color w:val="000000"/>
          <w:sz w:val="32"/>
          <w:szCs w:val="32"/>
        </w:rPr>
        <w:t>九、</w:t>
      </w:r>
      <w:r>
        <w:rPr>
          <w:rStyle w:val="31"/>
          <w:rFonts w:hint="eastAsia" w:ascii="黑体" w:hAnsi="黑体" w:eastAsia="黑体"/>
          <w:b w:val="0"/>
        </w:rPr>
        <w:t>国有资本经营预算支出决算情况说明</w:t>
      </w:r>
      <w:bookmarkEnd w:id="68"/>
      <w:bookmarkEnd w:id="69"/>
      <w:bookmarkEnd w:id="70"/>
      <w:bookmarkEnd w:id="71"/>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国有资本经营预算拨款支出0万元。</w:t>
      </w:r>
    </w:p>
    <w:p>
      <w:pPr>
        <w:spacing w:line="600" w:lineRule="exact"/>
        <w:ind w:firstLine="640" w:firstLineChars="200"/>
        <w:outlineLvl w:val="1"/>
        <w:rPr>
          <w:rStyle w:val="31"/>
          <w:rFonts w:ascii="黑体" w:hAnsi="黑体" w:eastAsia="黑体"/>
        </w:rPr>
      </w:pPr>
      <w:bookmarkStart w:id="72" w:name="_Toc15377221"/>
      <w:bookmarkStart w:id="73" w:name="_Toc15906"/>
      <w:bookmarkStart w:id="74" w:name="_Toc15396612"/>
      <w:bookmarkStart w:id="75" w:name="_Toc79163624"/>
      <w:r>
        <w:rPr>
          <w:rFonts w:hint="eastAsia" w:ascii="黑体" w:hAnsi="黑体" w:eastAsia="黑体"/>
          <w:color w:val="000000"/>
          <w:sz w:val="32"/>
          <w:szCs w:val="32"/>
        </w:rPr>
        <w:t>十</w:t>
      </w:r>
      <w:r>
        <w:rPr>
          <w:rStyle w:val="31"/>
          <w:rFonts w:hint="eastAsia" w:ascii="黑体" w:hAnsi="黑体" w:eastAsia="黑体"/>
        </w:rPr>
        <w:t>、</w:t>
      </w:r>
      <w:r>
        <w:rPr>
          <w:rStyle w:val="31"/>
          <w:rFonts w:hint="eastAsia" w:ascii="黑体" w:hAnsi="黑体" w:eastAsia="黑体"/>
          <w:b w:val="0"/>
        </w:rPr>
        <w:t>其他重要事项的情况说明</w:t>
      </w:r>
      <w:bookmarkEnd w:id="72"/>
      <w:bookmarkEnd w:id="73"/>
      <w:bookmarkEnd w:id="74"/>
      <w:bookmarkEnd w:id="75"/>
    </w:p>
    <w:p>
      <w:pPr>
        <w:spacing w:line="600" w:lineRule="exact"/>
        <w:ind w:firstLine="643" w:firstLineChars="200"/>
        <w:outlineLvl w:val="2"/>
        <w:rPr>
          <w:rFonts w:ascii="仿宋" w:hAnsi="仿宋" w:eastAsia="仿宋"/>
          <w:color w:val="000000"/>
          <w:sz w:val="32"/>
          <w:szCs w:val="32"/>
        </w:rPr>
      </w:pPr>
      <w:bookmarkStart w:id="76" w:name="_Toc28124"/>
      <w:bookmarkStart w:id="77" w:name="_Toc15377222"/>
      <w:bookmarkStart w:id="78" w:name="_Toc79163625"/>
      <w:r>
        <w:rPr>
          <w:rFonts w:hint="eastAsia" w:ascii="仿宋" w:hAnsi="仿宋" w:eastAsia="仿宋"/>
          <w:b/>
          <w:color w:val="000000"/>
          <w:sz w:val="32"/>
          <w:szCs w:val="32"/>
        </w:rPr>
        <w:t>（一）机关运行经费支出情况</w:t>
      </w:r>
      <w:bookmarkEnd w:id="76"/>
      <w:bookmarkEnd w:id="77"/>
      <w:bookmarkEnd w:id="7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，中共壤塘县委统战部机关运行经费支出</w:t>
      </w:r>
      <w:r>
        <w:rPr>
          <w:rFonts w:hint="eastAsia" w:ascii="仿宋_GB2312" w:eastAsia="仿宋_GB2312"/>
          <w:color w:val="000000"/>
          <w:sz w:val="32"/>
          <w:szCs w:val="32"/>
          <w:lang w:val="en-US" w:eastAsia="zh-CN"/>
        </w:rPr>
        <w:t>39.51</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lang w:val="en-US" w:eastAsia="zh-CN"/>
        </w:rPr>
        <w:t>减少8.88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下降18.35</w:t>
      </w:r>
      <w:r>
        <w:rPr>
          <w:rFonts w:ascii="仿宋_GB2312" w:eastAsia="仿宋_GB2312"/>
          <w:color w:val="000000"/>
          <w:sz w:val="32"/>
          <w:szCs w:val="32"/>
        </w:rPr>
        <w:t>%</w:t>
      </w:r>
      <w:r>
        <w:rPr>
          <w:rFonts w:hint="eastAsia" w:ascii="仿宋_GB2312" w:eastAsia="仿宋_GB2312"/>
          <w:color w:val="000000"/>
          <w:sz w:val="32"/>
          <w:szCs w:val="32"/>
        </w:rPr>
        <w:t>。主要原因是本年度业务活动</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，相应费用</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9" w:name="_Toc79163626"/>
      <w:bookmarkStart w:id="80" w:name="_Toc15377223"/>
      <w:bookmarkStart w:id="81" w:name="_Toc953"/>
      <w:r>
        <w:rPr>
          <w:rFonts w:hint="eastAsia" w:ascii="仿宋" w:hAnsi="仿宋" w:eastAsia="仿宋"/>
          <w:b/>
          <w:color w:val="000000"/>
          <w:sz w:val="32"/>
          <w:szCs w:val="32"/>
        </w:rPr>
        <w:t>（二）政府采购支出情况</w:t>
      </w:r>
      <w:bookmarkEnd w:id="79"/>
      <w:bookmarkEnd w:id="80"/>
      <w:bookmarkEnd w:id="81"/>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，中共壤塘县委统战部政府采购支出总额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，政府采购服务支出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2" w:name="_Toc15377224"/>
      <w:bookmarkStart w:id="83" w:name="_Toc24818"/>
      <w:bookmarkStart w:id="84" w:name="_Toc79163627"/>
      <w:r>
        <w:rPr>
          <w:rFonts w:hint="eastAsia" w:ascii="仿宋" w:hAnsi="仿宋" w:eastAsia="仿宋"/>
          <w:b/>
          <w:color w:val="000000"/>
          <w:sz w:val="32"/>
          <w:szCs w:val="32"/>
        </w:rPr>
        <w:t>（三）国有资产占有使用情况</w:t>
      </w:r>
      <w:bookmarkEnd w:id="82"/>
      <w:bookmarkEnd w:id="83"/>
      <w:bookmarkEnd w:id="84"/>
    </w:p>
    <w:p>
      <w:pPr>
        <w:autoSpaceDE w:val="0"/>
        <w:autoSpaceDN w:val="0"/>
        <w:adjustRightInd w:val="0"/>
        <w:spacing w:line="600" w:lineRule="exact"/>
        <w:ind w:firstLine="640" w:firstLineChars="200"/>
        <w:jc w:val="left"/>
        <w:rPr>
          <w:rFonts w:ascii="仿宋" w:hAnsi="仿宋" w:eastAsia="仿宋"/>
          <w:b/>
          <w:color w:val="FF0000"/>
          <w:sz w:val="32"/>
          <w:szCs w:val="32"/>
        </w:rPr>
      </w:pPr>
      <w:bookmarkStart w:id="85" w:name="OLE_LINK1"/>
      <w:r>
        <w:rPr>
          <w:rFonts w:hint="eastAsia" w:ascii="仿宋_GB2312" w:eastAsia="仿宋_GB2312"/>
          <w:color w:val="000000"/>
          <w:sz w:val="32"/>
          <w:szCs w:val="32"/>
        </w:rPr>
        <w:t>截</w:t>
      </w:r>
      <w:r>
        <w:rPr>
          <w:rFonts w:hint="eastAsia" w:ascii="仿宋_GB2312" w:eastAsia="仿宋_GB2312"/>
          <w:color w:val="000000"/>
          <w:sz w:val="32"/>
          <w:szCs w:val="32"/>
          <w:lang w:eastAsia="zh-CN"/>
        </w:rPr>
        <w:t>止</w:t>
      </w:r>
      <w:bookmarkEnd w:id="85"/>
      <w:r>
        <w:rPr>
          <w:rFonts w:hint="eastAsia" w:ascii="仿宋_GB2312" w:eastAsia="仿宋_GB2312"/>
          <w:color w:val="000000"/>
          <w:sz w:val="32"/>
          <w:szCs w:val="32"/>
          <w:lang w:eastAsia="zh-CN"/>
        </w:rPr>
        <w:t>2024年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日，中共壤塘县委统战部共有车辆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辆，其中：主要领导干部用车0辆、机要通信用车0辆、应急保障用车0辆、其他用车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其他用车主要是用于单位出差以及其他业务使用。单价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776"/>
      <w:bookmarkStart w:id="87" w:name="_Toc79163628"/>
      <w:r>
        <w:rPr>
          <w:rFonts w:hint="eastAsia" w:ascii="仿宋" w:hAnsi="仿宋" w:eastAsia="仿宋"/>
          <w:b/>
          <w:color w:val="000000"/>
          <w:sz w:val="32"/>
          <w:szCs w:val="32"/>
        </w:rPr>
        <w:t>（四）预算绩效管理情况。</w:t>
      </w:r>
      <w:bookmarkEnd w:id="86"/>
      <w:bookmarkEnd w:id="87"/>
    </w:p>
    <w:p>
      <w:pPr>
        <w:pStyle w:val="8"/>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根据预算绩效管理要求，本部门在</w:t>
      </w:r>
      <w:r>
        <w:rPr>
          <w:rFonts w:hint="eastAsia" w:hAnsi="仿宋_GB2312" w:cs="仿宋_GB2312"/>
          <w:sz w:val="32"/>
          <w:szCs w:val="32"/>
          <w:lang w:val="en-US" w:eastAsia="zh-CN"/>
        </w:rPr>
        <w:t>2024年</w:t>
      </w:r>
      <w:r>
        <w:rPr>
          <w:rFonts w:hint="eastAsia" w:ascii="仿宋_GB2312" w:hAnsi="仿宋_GB2312" w:eastAsia="仿宋_GB2312" w:cs="仿宋_GB2312"/>
          <w:sz w:val="32"/>
          <w:szCs w:val="32"/>
          <w:lang w:val="en-US" w:eastAsia="zh-CN"/>
        </w:rPr>
        <w:t>度</w:t>
      </w:r>
      <w:r>
        <w:rPr>
          <w:rFonts w:hint="eastAsia" w:ascii="仿宋_GB2312" w:hAnsi="仿宋_GB2312" w:eastAsia="仿宋_GB2312" w:cs="仿宋_GB2312"/>
          <w:sz w:val="32"/>
          <w:szCs w:val="32"/>
        </w:rPr>
        <w:t>预算编制阶段，</w:t>
      </w:r>
      <w:r>
        <w:rPr>
          <w:rFonts w:hint="eastAsia" w:hAnsi="仿宋_GB2312" w:cs="仿宋_GB2312"/>
          <w:sz w:val="32"/>
          <w:szCs w:val="32"/>
          <w:lang w:eastAsia="zh-CN"/>
        </w:rPr>
        <w:t>对</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开展预算事前绩效评估</w:t>
      </w:r>
      <w:r>
        <w:rPr>
          <w:rFonts w:hint="eastAsia" w:hAnsi="仿宋_GB2312" w:cs="仿宋_GB2312"/>
          <w:sz w:val="32"/>
          <w:szCs w:val="32"/>
          <w:lang w:eastAsia="zh-CN"/>
        </w:rPr>
        <w:t>、</w:t>
      </w:r>
      <w:r>
        <w:rPr>
          <w:rFonts w:hint="eastAsia" w:ascii="仿宋_GB2312" w:hAnsi="仿宋_GB2312" w:eastAsia="仿宋_GB2312" w:cs="仿宋_GB2312"/>
          <w:sz w:val="32"/>
          <w:szCs w:val="32"/>
        </w:rPr>
        <w:t>编制绩效目标，预算执行过程中，开展绩效监控</w:t>
      </w:r>
      <w:r>
        <w:rPr>
          <w:rFonts w:hint="eastAsia" w:ascii="仿宋_GB2312" w:hAnsi="仿宋_GB2312" w:eastAsia="仿宋_GB2312" w:cs="仿宋_GB2312"/>
          <w:sz w:val="32"/>
          <w:szCs w:val="32"/>
          <w:lang w:eastAsia="zh-CN"/>
        </w:rPr>
        <w:t>。</w:t>
      </w:r>
    </w:p>
    <w:p>
      <w:pPr>
        <w:pStyle w:val="8"/>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对</w:t>
      </w:r>
      <w:r>
        <w:rPr>
          <w:rFonts w:hint="eastAsia" w:hAnsi="仿宋_GB2312" w:cs="仿宋_GB2312"/>
          <w:sz w:val="32"/>
          <w:szCs w:val="32"/>
          <w:lang w:val="en-US" w:eastAsia="zh-CN"/>
        </w:rPr>
        <w:t>2024年</w:t>
      </w:r>
      <w:r>
        <w:rPr>
          <w:rFonts w:hint="eastAsia" w:ascii="仿宋_GB2312" w:hAnsi="仿宋_GB2312" w:eastAsia="仿宋_GB2312" w:cs="仿宋_GB2312"/>
          <w:sz w:val="32"/>
          <w:szCs w:val="32"/>
          <w:lang w:val="en-US" w:eastAsia="zh-CN"/>
        </w:rPr>
        <w:t>度一般公共预算</w:t>
      </w:r>
      <w:r>
        <w:rPr>
          <w:rFonts w:hint="eastAsia" w:ascii="仿宋_GB2312" w:hAnsi="仿宋_GB2312" w:eastAsia="仿宋_GB2312" w:cs="仿宋_GB2312"/>
          <w:sz w:val="32"/>
          <w:szCs w:val="32"/>
          <w:lang w:eastAsia="zh-CN"/>
        </w:rPr>
        <w:t>以及资本资产等</w:t>
      </w:r>
      <w:r>
        <w:rPr>
          <w:rFonts w:hint="eastAsia" w:ascii="仿宋_GB2312" w:hAnsi="仿宋_GB2312" w:eastAsia="仿宋_GB2312" w:cs="仿宋_GB2312"/>
          <w:sz w:val="32"/>
          <w:szCs w:val="32"/>
          <w:lang w:val="en-US" w:eastAsia="zh-CN"/>
        </w:rPr>
        <w:t>全面开展绩效自评，形成</w:t>
      </w:r>
      <w:r>
        <w:rPr>
          <w:rFonts w:hint="eastAsia" w:hAnsi="仿宋_GB2312" w:cs="仿宋_GB2312"/>
          <w:sz w:val="32"/>
          <w:szCs w:val="32"/>
          <w:lang w:val="en-US" w:eastAsia="zh-CN"/>
        </w:rPr>
        <w:t>中共壤塘县委统战部</w:t>
      </w:r>
      <w:r>
        <w:rPr>
          <w:rFonts w:hint="eastAsia" w:ascii="仿宋_GB2312" w:hAnsi="仿宋_GB2312" w:eastAsia="仿宋_GB2312" w:cs="仿宋_GB2312"/>
          <w:sz w:val="32"/>
          <w:szCs w:val="32"/>
          <w:lang w:eastAsia="zh-CN"/>
        </w:rPr>
        <w:t>部门整体（含部门预算项目）</w:t>
      </w:r>
      <w:r>
        <w:rPr>
          <w:rFonts w:hint="eastAsia" w:ascii="仿宋_GB2312" w:hAnsi="仿宋_GB2312" w:eastAsia="仿宋_GB2312" w:cs="仿宋_GB2312"/>
          <w:sz w:val="32"/>
          <w:szCs w:val="32"/>
          <w:lang w:val="en-US" w:eastAsia="zh-CN"/>
        </w:rPr>
        <w:t>绩效自评报告，其中，中共壤塘县委统战部部门整体</w:t>
      </w:r>
      <w:r>
        <w:rPr>
          <w:rFonts w:hint="eastAsia" w:ascii="仿宋_GB2312" w:hAnsi="仿宋_GB2312" w:eastAsia="仿宋_GB2312" w:cs="仿宋_GB2312"/>
          <w:sz w:val="32"/>
          <w:szCs w:val="32"/>
          <w:lang w:eastAsia="zh-CN"/>
        </w:rPr>
        <w:t>（含部门预算项目）</w:t>
      </w:r>
      <w:r>
        <w:rPr>
          <w:rFonts w:hint="eastAsia" w:ascii="仿宋_GB2312" w:hAnsi="仿宋_GB2312" w:eastAsia="仿宋_GB2312" w:cs="仿宋_GB2312"/>
          <w:sz w:val="32"/>
          <w:szCs w:val="32"/>
          <w:lang w:val="en-US" w:eastAsia="zh-CN"/>
        </w:rPr>
        <w:t>绩效自评得分为</w:t>
      </w:r>
      <w:r>
        <w:rPr>
          <w:rFonts w:hint="eastAsia" w:hAnsi="仿宋_GB2312" w:cs="仿宋_GB2312"/>
          <w:sz w:val="32"/>
          <w:szCs w:val="32"/>
          <w:lang w:val="en-US" w:eastAsia="zh-CN"/>
        </w:rPr>
        <w:t>98</w:t>
      </w:r>
      <w:r>
        <w:rPr>
          <w:rFonts w:hint="eastAsia" w:ascii="仿宋_GB2312" w:hAnsi="仿宋_GB2312" w:eastAsia="仿宋_GB2312" w:cs="仿宋_GB2312"/>
          <w:sz w:val="32"/>
          <w:szCs w:val="32"/>
          <w:lang w:val="en-US" w:eastAsia="zh-CN"/>
        </w:rPr>
        <w:t>分，绩效自评综述：</w:t>
      </w:r>
      <w:r>
        <w:rPr>
          <w:rFonts w:hint="eastAsia" w:hAnsi="仿宋_GB2312" w:cs="仿宋_GB2312"/>
          <w:sz w:val="32"/>
          <w:szCs w:val="32"/>
          <w:lang w:val="en-US" w:eastAsia="zh-CN"/>
        </w:rPr>
        <w:t>本次部门整体支出绩效自评得分为98分，总体表现较好</w:t>
      </w:r>
      <w:r>
        <w:rPr>
          <w:rFonts w:hint="eastAsia" w:ascii="仿宋_GB2312" w:hAnsi="仿宋_GB2312" w:eastAsia="仿宋_GB2312" w:cs="仿宋_GB2312"/>
          <w:sz w:val="32"/>
          <w:szCs w:val="32"/>
          <w:lang w:val="en-US" w:eastAsia="zh-CN"/>
        </w:rPr>
        <w:t>。绩效自评报告详见附件。</w:t>
      </w:r>
    </w:p>
    <w:p>
      <w:pPr>
        <w:pStyle w:val="8"/>
        <w:rPr>
          <w:rFonts w:hint="eastAsia" w:ascii="仿宋_GB2312" w:hAnsi="仿宋_GB2312" w:eastAsia="仿宋_GB2312" w:cs="仿宋_GB2312"/>
          <w:sz w:val="32"/>
          <w:szCs w:val="32"/>
          <w:lang w:val="en-US" w:eastAsia="zh-CN"/>
        </w:rPr>
        <w:sectPr>
          <w:footerReference r:id="rId10" w:type="default"/>
          <w:pgSz w:w="11906" w:h="16838"/>
          <w:pgMar w:top="1440" w:right="1800" w:bottom="1440" w:left="1800" w:header="851" w:footer="992" w:gutter="0"/>
          <w:pgNumType w:fmt="decimal"/>
          <w:cols w:space="425" w:num="1"/>
          <w:docGrid w:type="lines" w:linePitch="312" w:charSpace="0"/>
        </w:sectPr>
      </w:pPr>
    </w:p>
    <w:p>
      <w:pPr>
        <w:rPr>
          <w:rFonts w:hint="eastAsia"/>
          <w:lang w:val="en-US" w:eastAsia="zh-CN"/>
        </w:rPr>
      </w:pPr>
    </w:p>
    <w:p>
      <w:pPr>
        <w:numPr>
          <w:ilvl w:val="0"/>
          <w:numId w:val="2"/>
        </w:numPr>
        <w:spacing w:line="600" w:lineRule="exact"/>
        <w:ind w:firstLine="660" w:firstLineChars="150"/>
        <w:jc w:val="center"/>
        <w:outlineLvl w:val="0"/>
        <w:rPr>
          <w:rStyle w:val="30"/>
          <w:rFonts w:ascii="黑体" w:hAnsi="黑体" w:eastAsia="黑体"/>
          <w:b w:val="0"/>
        </w:rPr>
      </w:pPr>
      <w:bookmarkStart w:id="88" w:name="_Toc15396613"/>
      <w:bookmarkStart w:id="89" w:name="_Toc15377225"/>
      <w:bookmarkStart w:id="90" w:name="_Toc27892"/>
      <w:bookmarkStart w:id="91" w:name="_Toc79163629"/>
      <w:r>
        <w:rPr>
          <w:rFonts w:hint="eastAsia" w:ascii="黑体" w:hAnsi="黑体" w:eastAsia="黑体"/>
          <w:color w:val="000000"/>
          <w:sz w:val="44"/>
          <w:szCs w:val="44"/>
        </w:rPr>
        <w:t>名</w:t>
      </w:r>
      <w:r>
        <w:rPr>
          <w:rStyle w:val="30"/>
          <w:rFonts w:hint="eastAsia" w:ascii="黑体" w:hAnsi="黑体" w:eastAsia="黑体"/>
          <w:b w:val="0"/>
        </w:rPr>
        <w:t>词解释</w:t>
      </w:r>
      <w:bookmarkEnd w:id="88"/>
      <w:bookmarkEnd w:id="89"/>
      <w:bookmarkEnd w:id="90"/>
      <w:bookmarkEnd w:id="91"/>
    </w:p>
    <w:p>
      <w:pPr>
        <w:spacing w:line="600" w:lineRule="exact"/>
        <w:jc w:val="left"/>
        <w:rPr>
          <w:rFonts w:ascii="宋体"/>
          <w:b/>
          <w:color w:val="000000"/>
          <w:sz w:val="44"/>
          <w:szCs w:val="44"/>
        </w:rPr>
      </w:pPr>
    </w:p>
    <w:p>
      <w:pPr>
        <w:pStyle w:val="40"/>
        <w:spacing w:line="560" w:lineRule="atLeas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40"/>
        <w:spacing w:line="560" w:lineRule="atLeas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40"/>
        <w:spacing w:line="560" w:lineRule="atLeas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40"/>
        <w:spacing w:line="560" w:lineRule="atLeas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其他收入：指单位取得的除上述收入以外的各项收入。主要是援建资金。</w:t>
      </w:r>
    </w:p>
    <w:p>
      <w:pPr>
        <w:pStyle w:val="40"/>
        <w:spacing w:line="560" w:lineRule="atLeas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40"/>
        <w:spacing w:line="560" w:lineRule="atLeast"/>
        <w:ind w:firstLine="640" w:firstLineChars="200"/>
        <w:rPr>
          <w:rFonts w:ascii="仿宋_GB2312" w:eastAsia="仿宋_GB2312"/>
          <w:sz w:val="32"/>
          <w:szCs w:val="32"/>
        </w:rPr>
      </w:pPr>
      <w:r>
        <w:rPr>
          <w:rFonts w:hint="eastAsia" w:ascii="仿宋_GB2312" w:eastAsia="仿宋_GB2312"/>
          <w:sz w:val="32"/>
          <w:szCs w:val="32"/>
        </w:rPr>
        <w:t>6.年末结转和结余：指单位按有关规定结转到下年或以后年度继续使用的资金。</w:t>
      </w:r>
    </w:p>
    <w:p>
      <w:pPr>
        <w:pStyle w:val="10"/>
        <w:tabs>
          <w:tab w:val="left" w:pos="960"/>
        </w:tabs>
        <w:spacing w:line="560" w:lineRule="atLeast"/>
        <w:ind w:firstLine="640"/>
        <w:rPr>
          <w:rFonts w:ascii="仿宋_GB2312" w:eastAsia="仿宋_GB2312"/>
          <w:color w:val="000000"/>
        </w:rPr>
      </w:pPr>
      <w:r>
        <w:rPr>
          <w:rFonts w:hint="eastAsia" w:ascii="仿宋_GB2312"/>
          <w:color w:val="000000"/>
        </w:rPr>
        <w:t>7</w:t>
      </w:r>
      <w:r>
        <w:rPr>
          <w:rFonts w:ascii="仿宋_GB2312" w:eastAsia="仿宋_GB2312"/>
          <w:color w:val="000000"/>
        </w:rPr>
        <w:t>.</w:t>
      </w:r>
      <w:r>
        <w:rPr>
          <w:rFonts w:hint="eastAsia" w:ascii="仿宋_GB2312" w:eastAsia="仿宋_GB2312"/>
          <w:color w:val="000000"/>
        </w:rPr>
        <w:t>一般公共服务支出（类）民族事务（款）民族工作专项（项）：指用于民族事务管理方面的专项支出。</w:t>
      </w:r>
    </w:p>
    <w:p>
      <w:pPr>
        <w:pStyle w:val="10"/>
        <w:tabs>
          <w:tab w:val="left" w:pos="960"/>
        </w:tabs>
        <w:spacing w:line="560" w:lineRule="atLeast"/>
        <w:ind w:firstLine="640"/>
        <w:rPr>
          <w:rFonts w:ascii="仿宋_GB2312" w:eastAsia="仿宋_GB2312"/>
          <w:color w:val="000000"/>
        </w:rPr>
      </w:pPr>
      <w:r>
        <w:rPr>
          <w:rFonts w:hint="eastAsia" w:ascii="仿宋_GB2312" w:eastAsia="仿宋_GB2312"/>
          <w:color w:val="000000"/>
        </w:rPr>
        <w:t>8</w:t>
      </w:r>
      <w:r>
        <w:rPr>
          <w:rFonts w:ascii="仿宋_GB2312" w:eastAsia="仿宋_GB2312"/>
          <w:color w:val="000000"/>
        </w:rPr>
        <w:t>.</w:t>
      </w:r>
      <w:r>
        <w:rPr>
          <w:rFonts w:hint="eastAsia" w:ascii="仿宋_GB2312" w:eastAsia="仿宋_GB2312"/>
          <w:color w:val="000000"/>
        </w:rPr>
        <w:t>一般公共服务支出（类）组织事务（款）其他组织事务支出（项）：指其他用于中国共产党组织部门的事务支出。</w:t>
      </w:r>
    </w:p>
    <w:p>
      <w:pPr>
        <w:pStyle w:val="10"/>
        <w:tabs>
          <w:tab w:val="left" w:pos="960"/>
        </w:tabs>
        <w:spacing w:line="560" w:lineRule="atLeast"/>
        <w:ind w:firstLine="640"/>
        <w:rPr>
          <w:rFonts w:ascii="仿宋_GB2312" w:eastAsia="仿宋_GB2312"/>
          <w:color w:val="000000"/>
        </w:rPr>
      </w:pPr>
      <w:r>
        <w:rPr>
          <w:rFonts w:hint="eastAsia" w:ascii="仿宋_GB2312" w:eastAsia="仿宋_GB2312"/>
          <w:color w:val="000000"/>
        </w:rPr>
        <w:t>9</w:t>
      </w:r>
      <w:r>
        <w:rPr>
          <w:rFonts w:ascii="仿宋_GB2312" w:eastAsia="仿宋_GB2312"/>
          <w:color w:val="000000"/>
        </w:rPr>
        <w:t>.</w:t>
      </w:r>
      <w:r>
        <w:rPr>
          <w:rFonts w:hint="eastAsia" w:ascii="仿宋_GB2312" w:eastAsia="仿宋_GB2312"/>
          <w:color w:val="000000"/>
        </w:rPr>
        <w:t>一般公共服务支出（类）统战事务（款）行政运行（项）：指行政单位（包括实行公务员管理的事业单位）的基本支出。</w:t>
      </w:r>
    </w:p>
    <w:p>
      <w:pPr>
        <w:pStyle w:val="10"/>
        <w:tabs>
          <w:tab w:val="left" w:pos="960"/>
        </w:tabs>
        <w:spacing w:line="560" w:lineRule="atLeast"/>
        <w:ind w:firstLine="640"/>
        <w:rPr>
          <w:rFonts w:hint="eastAsia" w:ascii="仿宋_GB2312" w:eastAsia="仿宋_GB2312"/>
          <w:color w:val="000000"/>
        </w:rPr>
        <w:sectPr>
          <w:footerReference r:id="rId11" w:type="default"/>
          <w:pgSz w:w="11906" w:h="16838"/>
          <w:pgMar w:top="1440" w:right="1800" w:bottom="1440" w:left="1800" w:header="851" w:footer="992" w:gutter="0"/>
          <w:pgNumType w:fmt="decimal"/>
          <w:cols w:space="425" w:num="1"/>
          <w:docGrid w:type="lines" w:linePitch="312" w:charSpace="0"/>
        </w:sectPr>
      </w:pPr>
      <w:r>
        <w:rPr>
          <w:rFonts w:hint="eastAsia" w:ascii="仿宋_GB2312" w:eastAsia="仿宋_GB2312"/>
          <w:color w:val="000000"/>
        </w:rPr>
        <w:t>10</w:t>
      </w:r>
      <w:r>
        <w:rPr>
          <w:rFonts w:ascii="仿宋_GB2312" w:eastAsia="仿宋_GB2312"/>
          <w:color w:val="000000"/>
        </w:rPr>
        <w:t>.</w:t>
      </w:r>
      <w:r>
        <w:rPr>
          <w:rFonts w:hint="eastAsia" w:ascii="仿宋_GB2312" w:eastAsia="仿宋_GB2312"/>
          <w:color w:val="000000"/>
        </w:rPr>
        <w:t>一般公共服务支出（类）统战事务（款）一般行政</w:t>
      </w:r>
    </w:p>
    <w:p>
      <w:pPr>
        <w:pStyle w:val="10"/>
        <w:tabs>
          <w:tab w:val="left" w:pos="960"/>
        </w:tabs>
        <w:spacing w:line="560" w:lineRule="atLeast"/>
        <w:ind w:left="0" w:leftChars="0" w:firstLine="0" w:firstLineChars="0"/>
        <w:rPr>
          <w:rFonts w:ascii="仿宋_GB2312" w:eastAsia="仿宋_GB2312"/>
          <w:color w:val="000000"/>
        </w:rPr>
      </w:pPr>
      <w:r>
        <w:rPr>
          <w:rFonts w:hint="eastAsia" w:ascii="仿宋_GB2312" w:eastAsia="仿宋_GB2312"/>
          <w:color w:val="000000"/>
        </w:rPr>
        <w:t>管理事务（项）：指行政单位（包括实行公务员管理的事业单位）未单独设置项级科目的其他支出。</w:t>
      </w:r>
    </w:p>
    <w:p>
      <w:pPr>
        <w:pStyle w:val="10"/>
        <w:tabs>
          <w:tab w:val="left" w:pos="960"/>
        </w:tabs>
        <w:spacing w:line="560" w:lineRule="atLeast"/>
        <w:ind w:firstLine="640"/>
        <w:rPr>
          <w:rFonts w:ascii="仿宋_GB2312" w:eastAsia="仿宋_GB2312"/>
          <w:color w:val="000000"/>
        </w:rPr>
      </w:pPr>
      <w:r>
        <w:rPr>
          <w:rFonts w:hint="eastAsia" w:ascii="仿宋_GB2312" w:eastAsia="仿宋_GB2312"/>
          <w:color w:val="000000"/>
        </w:rPr>
        <w:t>11</w:t>
      </w:r>
      <w:r>
        <w:rPr>
          <w:rFonts w:ascii="仿宋_GB2312" w:eastAsia="仿宋_GB2312"/>
          <w:color w:val="000000"/>
        </w:rPr>
        <w:t>.</w:t>
      </w:r>
      <w:r>
        <w:rPr>
          <w:rFonts w:hint="eastAsia" w:ascii="仿宋_GB2312" w:eastAsia="仿宋_GB2312"/>
          <w:color w:val="000000"/>
        </w:rPr>
        <w:t>一般公共服务支出（类）统战事务（款）宗教事务（项）：指用于宗教事务管理方面的支出。</w:t>
      </w:r>
    </w:p>
    <w:p>
      <w:pPr>
        <w:pStyle w:val="10"/>
        <w:tabs>
          <w:tab w:val="left" w:pos="960"/>
        </w:tabs>
        <w:spacing w:line="560" w:lineRule="atLeast"/>
        <w:ind w:firstLine="640"/>
        <w:rPr>
          <w:rFonts w:ascii="仿宋_GB2312" w:eastAsia="仿宋_GB2312"/>
          <w:color w:val="000000"/>
        </w:rPr>
      </w:pPr>
      <w:r>
        <w:rPr>
          <w:rFonts w:hint="eastAsia" w:ascii="仿宋_GB2312" w:eastAsia="仿宋_GB2312"/>
          <w:color w:val="000000"/>
        </w:rPr>
        <w:t>12</w:t>
      </w:r>
      <w:r>
        <w:rPr>
          <w:rFonts w:ascii="仿宋_GB2312" w:eastAsia="仿宋_GB2312"/>
          <w:color w:val="000000"/>
        </w:rPr>
        <w:t>.</w:t>
      </w:r>
      <w:r>
        <w:rPr>
          <w:rFonts w:hint="eastAsia" w:ascii="仿宋_GB2312" w:eastAsia="仿宋_GB2312"/>
          <w:color w:val="000000"/>
        </w:rPr>
        <w:t>一般公共服务支出（类）统战事务（款）其他统战事务支出（项）：指其他用于统战事务方面的支出。</w:t>
      </w:r>
    </w:p>
    <w:p>
      <w:pPr>
        <w:pStyle w:val="10"/>
        <w:tabs>
          <w:tab w:val="left" w:pos="960"/>
        </w:tabs>
        <w:spacing w:line="560" w:lineRule="atLeast"/>
        <w:ind w:firstLine="640"/>
        <w:rPr>
          <w:rFonts w:ascii="仿宋_GB2312" w:eastAsia="仿宋_GB2312"/>
          <w:color w:val="000000"/>
        </w:rPr>
      </w:pPr>
      <w:r>
        <w:rPr>
          <w:rFonts w:hint="eastAsia" w:ascii="仿宋_GB2312" w:eastAsia="仿宋_GB2312"/>
          <w:color w:val="000000"/>
        </w:rPr>
        <w:t>13</w:t>
      </w:r>
      <w:r>
        <w:rPr>
          <w:rFonts w:ascii="仿宋_GB2312" w:eastAsia="仿宋_GB2312"/>
          <w:color w:val="000000"/>
        </w:rPr>
        <w:t>.</w:t>
      </w:r>
      <w:r>
        <w:rPr>
          <w:rFonts w:hint="eastAsia" w:ascii="仿宋_GB2312" w:eastAsia="仿宋_GB2312"/>
          <w:color w:val="000000"/>
        </w:rPr>
        <w:t>公共安全支出（类）其他公共安全支出（款）其他公共安全支出（项）：指其他用于公共安全方面的支出。</w:t>
      </w:r>
    </w:p>
    <w:p>
      <w:pPr>
        <w:pStyle w:val="10"/>
        <w:tabs>
          <w:tab w:val="left" w:pos="960"/>
        </w:tabs>
        <w:spacing w:line="560" w:lineRule="atLeast"/>
        <w:ind w:firstLine="640"/>
        <w:rPr>
          <w:rFonts w:eastAsia="仿宋_GB2312"/>
        </w:rPr>
      </w:pPr>
      <w:r>
        <w:rPr>
          <w:rFonts w:hint="eastAsia" w:ascii="仿宋_GB2312" w:eastAsia="仿宋_GB2312"/>
          <w:color w:val="000000"/>
        </w:rPr>
        <w:t>14.社会保障和就业（类）行政事业单位养老支出（款）机关事业单位基本养老保险缴费支出（项）：指由单位缴纳的基本养老保险费支出。</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社会保障和就业（类）行政事业单位养老支出（款）机关事业单位职业年金缴费支出（项）：指机关事业单位实施养老保险制度由单位实际缴纳的职业年金。</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16.卫生健康支出（类）行政事业单位医疗（款）行政单位医疗（项）：指财政部门集中安排的行政单位基本医疗保险缴费经费。</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17.住房保障支出（类）住房改革支出（款）住房公积金（项）：指行政事业单位</w:t>
      </w:r>
      <w:r>
        <w:rPr>
          <w:rFonts w:hint="eastAsia" w:ascii="仿宋_GB2312" w:eastAsia="仿宋_GB2312"/>
          <w:color w:val="000000"/>
          <w:sz w:val="32"/>
          <w:szCs w:val="32"/>
          <w:lang w:eastAsia="zh-CN"/>
        </w:rPr>
        <w:t>按</w:t>
      </w:r>
      <w:r>
        <w:rPr>
          <w:rFonts w:hint="eastAsia" w:ascii="仿宋_GB2312" w:eastAsia="仿宋_GB2312"/>
          <w:color w:val="000000"/>
          <w:sz w:val="32"/>
          <w:szCs w:val="32"/>
        </w:rPr>
        <w:t>工资比例为职工缴纳的住房公积金。</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spacing w:line="560" w:lineRule="atLeast"/>
        <w:ind w:firstLine="640" w:firstLineChars="200"/>
        <w:rPr>
          <w:rFonts w:hint="eastAsia" w:ascii="仿宋_GB2312" w:eastAsia="仿宋_GB2312"/>
          <w:color w:val="000000"/>
          <w:sz w:val="32"/>
          <w:szCs w:val="32"/>
        </w:rPr>
        <w:sectPr>
          <w:footerReference r:id="rId12" w:type="default"/>
          <w:pgSz w:w="11906" w:h="16838"/>
          <w:pgMar w:top="1440" w:right="1800" w:bottom="1440" w:left="1800" w:header="851" w:footer="992" w:gutter="0"/>
          <w:pgNumType w:fmt="decimal"/>
          <w:cols w:space="425" w:num="1"/>
          <w:docGrid w:type="lines" w:linePitch="312" w:charSpace="0"/>
        </w:sectPr>
      </w:pP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19.项目支出：指在基本支出之外为完成特定行政任务和事业发展目标所发生的支出。</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spacing w:line="56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atLeast"/>
        <w:ind w:firstLine="640" w:firstLineChars="200"/>
        <w:rPr>
          <w:rFonts w:ascii="仿宋_GB2312" w:eastAsia="仿宋_GB2312"/>
          <w:sz w:val="32"/>
          <w:szCs w:val="32"/>
        </w:rPr>
      </w:pPr>
      <w:r>
        <w:rPr>
          <w:rFonts w:hint="eastAsia" w:ascii="仿宋_GB2312" w:eastAsia="仿宋_GB2312"/>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sectPr>
          <w:footerReference r:id="rId13" w:type="default"/>
          <w:pgSz w:w="11906" w:h="16838"/>
          <w:pgMar w:top="1440" w:right="1800" w:bottom="1440" w:left="1800" w:header="851" w:footer="992" w:gutter="0"/>
          <w:pgNumType w:fmt="decimal"/>
          <w:cols w:space="425" w:num="1"/>
          <w:docGrid w:type="lines" w:linePitch="312" w:charSpace="0"/>
        </w:sectPr>
      </w:pPr>
      <w:bookmarkStart w:id="92" w:name="_Toc79163630"/>
      <w:bookmarkStart w:id="93" w:name="_Toc15396614"/>
    </w:p>
    <w:p>
      <w:pPr>
        <w:spacing w:line="600" w:lineRule="exact"/>
        <w:jc w:val="center"/>
        <w:outlineLvl w:val="0"/>
        <w:rPr>
          <w:rStyle w:val="30"/>
          <w:rFonts w:hint="eastAsia" w:ascii="黑体" w:hAnsi="黑体" w:eastAsia="黑体"/>
          <w:b w:val="0"/>
        </w:rPr>
      </w:pPr>
      <w:bookmarkStart w:id="94" w:name="_Toc1621"/>
      <w:r>
        <w:rPr>
          <w:rFonts w:hint="eastAsia" w:ascii="黑体" w:hAnsi="黑体" w:eastAsia="黑体"/>
          <w:color w:val="000000"/>
          <w:sz w:val="44"/>
          <w:szCs w:val="44"/>
        </w:rPr>
        <w:t>第</w:t>
      </w:r>
      <w:r>
        <w:rPr>
          <w:rStyle w:val="30"/>
          <w:rFonts w:hint="eastAsia" w:ascii="黑体" w:hAnsi="黑体" w:eastAsia="黑体"/>
          <w:b w:val="0"/>
        </w:rPr>
        <w:t>四部分</w:t>
      </w:r>
      <w:r>
        <w:rPr>
          <w:rStyle w:val="30"/>
          <w:rFonts w:ascii="黑体" w:hAnsi="黑体" w:eastAsia="黑体"/>
          <w:b w:val="0"/>
        </w:rPr>
        <w:t xml:space="preserve"> </w:t>
      </w:r>
      <w:r>
        <w:rPr>
          <w:rStyle w:val="30"/>
          <w:rFonts w:hint="eastAsia" w:ascii="黑体" w:hAnsi="黑体" w:eastAsia="黑体"/>
          <w:b w:val="0"/>
        </w:rPr>
        <w:t>附件</w:t>
      </w:r>
      <w:bookmarkEnd w:id="92"/>
      <w:bookmarkEnd w:id="93"/>
      <w:bookmarkEnd w:id="94"/>
    </w:p>
    <w:p>
      <w:pPr>
        <w:pStyle w:val="19"/>
      </w:pPr>
    </w:p>
    <w:p>
      <w:pPr>
        <w:spacing w:line="360" w:lineRule="auto"/>
        <w:jc w:val="center"/>
        <w:rPr>
          <w:rFonts w:hint="eastAsia" w:ascii="宋体" w:hAnsi="宋体" w:eastAsia="宋体" w:cs="宋体"/>
          <w:b/>
          <w:bCs/>
          <w:kern w:val="0"/>
          <w:sz w:val="44"/>
          <w:szCs w:val="44"/>
          <w:lang w:eastAsia="zh-CN"/>
        </w:rPr>
      </w:pPr>
      <w:r>
        <w:rPr>
          <w:rFonts w:hint="eastAsia" w:ascii="宋体" w:hAnsi="宋体" w:cs="宋体"/>
          <w:b/>
          <w:bCs/>
          <w:kern w:val="0"/>
          <w:sz w:val="44"/>
          <w:szCs w:val="44"/>
          <w:lang w:eastAsia="zh-CN"/>
        </w:rPr>
        <w:t>中共壤塘县委统战部</w:t>
      </w:r>
    </w:p>
    <w:p>
      <w:pPr>
        <w:spacing w:line="360" w:lineRule="auto"/>
        <w:jc w:val="center"/>
        <w:rPr>
          <w:rFonts w:ascii="宋体" w:hAnsi="宋体" w:cs="宋体"/>
          <w:kern w:val="0"/>
          <w:szCs w:val="21"/>
        </w:rPr>
      </w:pPr>
      <w:r>
        <w:rPr>
          <w:rFonts w:hint="eastAsia" w:ascii="宋体" w:hAnsi="宋体" w:cs="宋体"/>
          <w:b/>
          <w:bCs/>
          <w:kern w:val="0"/>
          <w:sz w:val="44"/>
          <w:szCs w:val="44"/>
          <w:lang w:eastAsia="zh-CN"/>
        </w:rPr>
        <w:t>2024年</w:t>
      </w:r>
      <w:r>
        <w:rPr>
          <w:rFonts w:hint="eastAsia" w:ascii="宋体" w:hAnsi="宋体" w:cs="宋体"/>
          <w:b/>
          <w:bCs/>
          <w:kern w:val="0"/>
          <w:sz w:val="44"/>
          <w:szCs w:val="44"/>
        </w:rPr>
        <w:t>度部门整体支出绩效评价自评报告</w:t>
      </w:r>
    </w:p>
    <w:p>
      <w:pPr>
        <w:spacing w:line="360" w:lineRule="auto"/>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一、部门（单位）概况</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pPr>
        <w:spacing w:line="360" w:lineRule="auto"/>
        <w:ind w:firstLine="640" w:firstLineChars="200"/>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中国共产党壤塘县委员会统一战线工作部（简称中共壤塘县委统战部）是壤塘县党委工作部门，为副县级，机构地址：四川省壤塘县罗吾塘中街90号。中共壤塘县委统战部无下属二级单位，基本性质为行政单位。</w:t>
      </w:r>
    </w:p>
    <w:p>
      <w:pPr>
        <w:numPr>
          <w:ilvl w:val="0"/>
          <w:numId w:val="3"/>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pPr>
        <w:pStyle w:val="45"/>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1.贯彻落实加强党对统一战线工作集中统一领导的要求。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2.研究拟定统一战线工作的政策和法规草案推动落实，深入调查研究，统筹协调和指导各乡镇、各部门（单位）统一战线工作。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3.负责发现、培养党外代表人士，制定党外干部培养规划，负责联系培养无党派人士、党外知识分子代表人士和新的社会阶层代表人士。</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4.贯彻落实党的民族工作方针，研究拟定民族工作的政策和重大措施，协调处理民族工作中的重大问题。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val="en-US" w:eastAsia="zh-CN" w:bidi="ar"/>
        </w:rPr>
        <w:t>5</w:t>
      </w:r>
      <w:r>
        <w:rPr>
          <w:rFonts w:hint="eastAsia" w:ascii="仿宋_GB2312" w:hAnsi="仿宋_GB2312" w:eastAsia="仿宋_GB2312" w:cs="仿宋_GB2312"/>
          <w:kern w:val="0"/>
          <w:sz w:val="32"/>
          <w:szCs w:val="32"/>
          <w:lang w:bidi="ar"/>
        </w:rPr>
        <w:t>.贯彻落实党的宗教工作基本方针和政策，研究拟定宗教工作的重大政策措施并督促落实，领导县民族宗教事务委员会依法管理宗教行政事务。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.承担全县非公有制经济协调工作。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val="en-US" w:eastAsia="zh-CN" w:bidi="ar"/>
        </w:rPr>
        <w:t>7.</w:t>
      </w:r>
      <w:r>
        <w:rPr>
          <w:rFonts w:hint="default" w:ascii="仿宋_GB2312" w:hAnsi="仿宋_GB2312" w:eastAsia="仿宋_GB2312" w:cs="仿宋_GB2312"/>
          <w:kern w:val="0"/>
          <w:sz w:val="32"/>
          <w:szCs w:val="32"/>
          <w:lang w:bidi="ar"/>
        </w:rPr>
        <w:t>负责海内外统一战线的宣传工作</w:t>
      </w:r>
      <w:r>
        <w:rPr>
          <w:rFonts w:hint="eastAsia" w:ascii="仿宋_GB2312" w:hAnsi="仿宋_GB2312" w:eastAsia="仿宋_GB2312" w:cs="仿宋_GB2312"/>
          <w:kern w:val="0"/>
          <w:sz w:val="32"/>
          <w:szCs w:val="32"/>
          <w:lang w:bidi="ar"/>
        </w:rPr>
        <w:t>。</w:t>
      </w:r>
    </w:p>
    <w:p>
      <w:pPr>
        <w:numPr>
          <w:ilvl w:val="0"/>
          <w:numId w:val="3"/>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pPr>
        <w:ind w:firstLine="640" w:firstLineChars="200"/>
        <w:rPr>
          <w:rFonts w:ascii="仿宋_GB2312" w:hAnsi="仿宋_GB2312" w:eastAsia="仿宋_GB2312" w:cs="仿宋_GB2312"/>
          <w:sz w:val="32"/>
          <w:szCs w:val="32"/>
        </w:rPr>
      </w:pPr>
      <w:r>
        <w:rPr>
          <w:rFonts w:hint="eastAsia" w:ascii="仿宋_GB2312" w:hAnsi="宋体" w:eastAsia="仿宋_GB2312" w:cs="仿宋_GB2312"/>
          <w:kern w:val="0"/>
          <w:sz w:val="32"/>
          <w:szCs w:val="32"/>
        </w:rPr>
        <w:t>截止</w:t>
      </w:r>
      <w:r>
        <w:rPr>
          <w:rFonts w:hint="eastAsia" w:ascii="仿宋_GB2312" w:hAnsi="宋体" w:eastAsia="仿宋_GB2312" w:cs="仿宋_GB2312"/>
          <w:kern w:val="0"/>
          <w:sz w:val="32"/>
          <w:szCs w:val="32"/>
          <w:lang w:eastAsia="zh-CN"/>
        </w:rPr>
        <w:t>2024年</w:t>
      </w:r>
      <w:r>
        <w:rPr>
          <w:rFonts w:hint="eastAsia" w:ascii="仿宋_GB2312" w:hAnsi="宋体" w:eastAsia="仿宋_GB2312" w:cs="仿宋_GB2312"/>
          <w:kern w:val="0"/>
          <w:sz w:val="32"/>
          <w:szCs w:val="32"/>
        </w:rPr>
        <w:t>12月31日，在职总人数为</w:t>
      </w:r>
      <w:r>
        <w:rPr>
          <w:rFonts w:hint="eastAsia" w:ascii="仿宋_GB2312" w:hAnsi="宋体" w:eastAsia="仿宋_GB2312" w:cs="仿宋_GB2312"/>
          <w:kern w:val="0"/>
          <w:sz w:val="32"/>
          <w:szCs w:val="32"/>
          <w:lang w:val="en-US" w:eastAsia="zh-CN"/>
        </w:rPr>
        <w:t>15</w:t>
      </w:r>
      <w:r>
        <w:rPr>
          <w:rFonts w:hint="eastAsia" w:ascii="仿宋_GB2312" w:hAnsi="宋体" w:eastAsia="仿宋_GB2312" w:cs="仿宋_GB2312"/>
          <w:kern w:val="0"/>
          <w:sz w:val="32"/>
          <w:szCs w:val="32"/>
        </w:rPr>
        <w:t>人</w:t>
      </w:r>
      <w:r>
        <w:rPr>
          <w:rFonts w:hint="eastAsia" w:ascii="仿宋_GB2312" w:hAnsi="仿宋_GB2312" w:eastAsia="仿宋_GB2312" w:cs="仿宋_GB2312"/>
          <w:sz w:val="32"/>
          <w:szCs w:val="32"/>
        </w:rPr>
        <w:t>。</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pPr>
        <w:pStyle w:val="47"/>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财政下达</w:t>
      </w:r>
      <w:r>
        <w:rPr>
          <w:rFonts w:hint="eastAsia" w:ascii="仿宋_GB2312" w:hAnsi="仿宋_GB2312" w:eastAsia="仿宋_GB2312" w:cs="仿宋_GB2312"/>
          <w:sz w:val="32"/>
          <w:szCs w:val="32"/>
          <w:lang w:eastAsia="zh-CN"/>
        </w:rPr>
        <w:t>中共壤塘县委统战部</w:t>
      </w:r>
      <w:r>
        <w:rPr>
          <w:rFonts w:hint="eastAsia" w:ascii="仿宋_GB2312" w:hAnsi="仿宋_GB2312" w:eastAsia="仿宋_GB2312" w:cs="仿宋_GB2312"/>
          <w:sz w:val="32"/>
          <w:szCs w:val="32"/>
        </w:rPr>
        <w:t>年初预算收入</w:t>
      </w:r>
      <w:r>
        <w:rPr>
          <w:rFonts w:hint="eastAsia" w:ascii="仿宋_GB2312" w:hAnsi="仿宋_GB2312" w:eastAsia="仿宋_GB2312" w:cs="仿宋_GB2312"/>
          <w:sz w:val="32"/>
          <w:szCs w:val="32"/>
          <w:lang w:val="en-US" w:eastAsia="zh-CN"/>
        </w:rPr>
        <w:t>299.01</w:t>
      </w:r>
      <w:r>
        <w:rPr>
          <w:rFonts w:hint="eastAsia" w:ascii="仿宋_GB2312" w:hAnsi="仿宋_GB2312" w:eastAsia="仿宋_GB2312" w:cs="仿宋_GB2312"/>
          <w:sz w:val="32"/>
          <w:szCs w:val="32"/>
        </w:rPr>
        <w:t>万元，执行期中追加收入</w:t>
      </w:r>
      <w:r>
        <w:rPr>
          <w:rFonts w:hint="eastAsia" w:ascii="仿宋_GB2312" w:hAnsi="仿宋_GB2312" w:eastAsia="仿宋_GB2312" w:cs="仿宋_GB2312"/>
          <w:sz w:val="32"/>
          <w:szCs w:val="32"/>
          <w:lang w:val="en-US" w:eastAsia="zh-CN"/>
        </w:rPr>
        <w:t>714.95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部门财政资金收入</w:t>
      </w:r>
      <w:r>
        <w:rPr>
          <w:rFonts w:hint="eastAsia" w:ascii="仿宋_GB2312" w:hAnsi="仿宋_GB2312" w:eastAsia="仿宋_GB2312" w:cs="仿宋_GB2312"/>
          <w:sz w:val="32"/>
          <w:szCs w:val="32"/>
          <w:lang w:val="en-US" w:eastAsia="zh-CN"/>
        </w:rPr>
        <w:t>合计1013.96万元；其他收入241.26万元，全年实际收入合计为1255.23万元，本年度无财政应返还额度</w:t>
      </w:r>
      <w:r>
        <w:rPr>
          <w:rFonts w:hint="eastAsia" w:ascii="仿宋_GB2312" w:hAnsi="仿宋_GB2312" w:eastAsia="仿宋_GB2312" w:cs="仿宋_GB2312"/>
          <w:sz w:val="32"/>
          <w:szCs w:val="32"/>
        </w:rPr>
        <w:t xml:space="preserve">。 </w:t>
      </w:r>
    </w:p>
    <w:p>
      <w:pPr>
        <w:pStyle w:val="47"/>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pPr>
        <w:pStyle w:val="47"/>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2024年中共壤塘县委统战部</w:t>
      </w:r>
      <w:r>
        <w:rPr>
          <w:rFonts w:hint="eastAsia" w:ascii="仿宋_GB2312" w:hAnsi="仿宋_GB2312" w:eastAsia="仿宋_GB2312" w:cs="仿宋_GB2312"/>
          <w:sz w:val="32"/>
          <w:szCs w:val="32"/>
        </w:rPr>
        <w:t>支出全年预算数共计</w:t>
      </w:r>
      <w:r>
        <w:rPr>
          <w:rFonts w:hint="eastAsia" w:ascii="仿宋_GB2312" w:hAnsi="仿宋_GB2312" w:eastAsia="仿宋_GB2312" w:cs="仿宋_GB2312"/>
          <w:sz w:val="32"/>
          <w:szCs w:val="32"/>
          <w:lang w:eastAsia="zh-CN"/>
        </w:rPr>
        <w:t>1255.23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396.27</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622.93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，年末结转和结余非财政拨款236.03</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pStyle w:val="47"/>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pPr>
        <w:pStyle w:val="47"/>
        <w:spacing w:line="360" w:lineRule="auto"/>
        <w:ind w:firstLine="643"/>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1.部门整体绩效目标制定情况</w:t>
      </w:r>
    </w:p>
    <w:p>
      <w:pPr>
        <w:pStyle w:val="47"/>
        <w:spacing w:line="360" w:lineRule="auto"/>
        <w:ind w:firstLine="643"/>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按照预算绩效管理要求，对</w:t>
      </w:r>
      <w:r>
        <w:rPr>
          <w:rFonts w:hint="eastAsia" w:ascii="仿宋_GB2312" w:hAnsi="仿宋_GB2312" w:eastAsia="仿宋_GB2312" w:cs="仿宋_GB2312"/>
          <w:sz w:val="32"/>
          <w:szCs w:val="32"/>
          <w:highlight w:val="none"/>
          <w:lang w:eastAsia="zh-CN"/>
        </w:rPr>
        <w:t>2024年</w:t>
      </w:r>
      <w:r>
        <w:rPr>
          <w:rFonts w:hint="eastAsia" w:ascii="仿宋_GB2312" w:hAnsi="仿宋_GB2312" w:eastAsia="仿宋_GB2312" w:cs="仿宋_GB2312"/>
          <w:sz w:val="32"/>
          <w:szCs w:val="32"/>
          <w:highlight w:val="none"/>
        </w:rPr>
        <w:t>一般公共预算项目支出开展绩效目标管理，共编制绩效目标覆盖率达到100%。制定</w:t>
      </w:r>
      <w:r>
        <w:rPr>
          <w:rFonts w:hint="eastAsia" w:ascii="仿宋_GB2312" w:hAnsi="仿宋_GB2312" w:eastAsia="仿宋_GB2312" w:cs="仿宋_GB2312"/>
          <w:sz w:val="32"/>
          <w:szCs w:val="32"/>
          <w:highlight w:val="none"/>
          <w:lang w:eastAsia="zh-CN"/>
        </w:rPr>
        <w:t>2024年</w:t>
      </w:r>
      <w:r>
        <w:rPr>
          <w:rFonts w:hint="eastAsia" w:ascii="仿宋_GB2312" w:hAnsi="仿宋_GB2312" w:eastAsia="仿宋_GB2312" w:cs="仿宋_GB2312"/>
          <w:sz w:val="32"/>
          <w:szCs w:val="32"/>
          <w:highlight w:val="none"/>
        </w:rPr>
        <w:t>整体目标：</w:t>
      </w:r>
      <w:r>
        <w:rPr>
          <w:rFonts w:hint="eastAsia" w:ascii="Times New Roman" w:hAnsi="Times New Roman" w:eastAsia="仿宋_GB2312" w:cs="Times New Roman"/>
          <w:sz w:val="32"/>
          <w:szCs w:val="32"/>
          <w:highlight w:val="none"/>
          <w:lang w:val="en-US" w:eastAsia="zh-CN"/>
        </w:rPr>
        <w:t>2024年</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我部</w:t>
      </w:r>
      <w:r>
        <w:rPr>
          <w:rFonts w:hint="default" w:ascii="Times New Roman" w:hAnsi="Times New Roman" w:eastAsia="仿宋_GB2312" w:cs="Times New Roman"/>
          <w:sz w:val="32"/>
          <w:szCs w:val="32"/>
          <w:highlight w:val="none"/>
        </w:rPr>
        <w:t>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坚持大团结大联合，凝聚新力量，奋进新征程”为目标，坚定不移贯彻落实统战</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4321”工作法，把握结合点，找准切入点，抓住着力点，全面推进统战各项工作，圆满完成今年的各项工作任务，为壤塘县经济社会</w:t>
      </w:r>
      <w:r>
        <w:rPr>
          <w:rFonts w:hint="default" w:ascii="Times New Roman" w:hAnsi="Times New Roman" w:eastAsia="仿宋_GB2312" w:cs="Times New Roman"/>
          <w:sz w:val="32"/>
          <w:szCs w:val="32"/>
          <w:highlight w:val="none"/>
          <w:lang w:eastAsia="zh-CN"/>
        </w:rPr>
        <w:t>高质量</w:t>
      </w:r>
      <w:r>
        <w:rPr>
          <w:rFonts w:hint="default" w:ascii="Times New Roman" w:hAnsi="Times New Roman" w:eastAsia="仿宋_GB2312" w:cs="Times New Roman"/>
          <w:sz w:val="32"/>
          <w:szCs w:val="32"/>
          <w:highlight w:val="none"/>
        </w:rPr>
        <w:t>发展和社会稳定做出积极贡献</w:t>
      </w:r>
      <w:r>
        <w:rPr>
          <w:rFonts w:hint="eastAsia" w:ascii="仿宋_GB2312" w:hAnsi="仿宋_GB2312" w:eastAsia="仿宋_GB2312" w:cs="仿宋_GB2312"/>
          <w:sz w:val="32"/>
          <w:szCs w:val="32"/>
          <w:highlight w:val="none"/>
          <w:lang w:eastAsia="zh-CN"/>
        </w:rPr>
        <w:t>。</w:t>
      </w:r>
    </w:p>
    <w:p>
      <w:pPr>
        <w:pStyle w:val="47"/>
        <w:numPr>
          <w:ilvl w:val="0"/>
          <w:numId w:val="0"/>
        </w:numPr>
        <w:spacing w:line="360" w:lineRule="auto"/>
        <w:ind w:firstLine="643" w:firstLineChars="200"/>
        <w:rPr>
          <w:rFonts w:hint="eastAsia"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lang w:val="en-US" w:eastAsia="zh-CN"/>
        </w:rPr>
        <w:t>2.</w:t>
      </w:r>
      <w:r>
        <w:rPr>
          <w:rFonts w:hint="eastAsia" w:ascii="仿宋_GB2312" w:hAnsi="仿宋_GB2312" w:eastAsia="仿宋_GB2312" w:cs="仿宋_GB2312"/>
          <w:b/>
          <w:bCs/>
          <w:kern w:val="0"/>
          <w:sz w:val="32"/>
          <w:szCs w:val="32"/>
          <w:highlight w:val="none"/>
        </w:rPr>
        <w:t>部门整体绩效目标完成情况</w:t>
      </w:r>
    </w:p>
    <w:p>
      <w:pPr>
        <w:pStyle w:val="47"/>
        <w:numPr>
          <w:ilvl w:val="0"/>
          <w:numId w:val="0"/>
        </w:num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宋体" w:eastAsia="仿宋_GB2312" w:cs="宋体"/>
          <w:color w:val="333333"/>
          <w:kern w:val="0"/>
          <w:sz w:val="32"/>
          <w:szCs w:val="32"/>
        </w:rPr>
        <w:t>县委统战部将紧紧围绕县委县政府中心工作，认真贯彻中央、省委、州委统战工作决策部署，按照年初制定的工作要点，加强统战系统队伍建设,坚持对</w:t>
      </w:r>
      <w:r>
        <w:rPr>
          <w:rFonts w:hint="eastAsia" w:ascii="仿宋_GB2312" w:hAnsi="宋体" w:eastAsia="仿宋_GB2312" w:cs="宋体"/>
          <w:color w:val="333333"/>
          <w:kern w:val="0"/>
          <w:sz w:val="32"/>
          <w:szCs w:val="32"/>
          <w:lang w:eastAsia="zh-CN"/>
        </w:rPr>
        <w:t>各类</w:t>
      </w:r>
      <w:r>
        <w:rPr>
          <w:rFonts w:hint="eastAsia" w:ascii="仿宋_GB2312" w:hAnsi="宋体" w:eastAsia="仿宋_GB2312" w:cs="宋体"/>
          <w:color w:val="333333"/>
          <w:kern w:val="0"/>
          <w:sz w:val="32"/>
          <w:szCs w:val="32"/>
        </w:rPr>
        <w:t>统战对象给予关心关爱等工作重点，切实发挥凝心聚力作用，确保</w:t>
      </w:r>
      <w:r>
        <w:rPr>
          <w:rFonts w:hint="eastAsia" w:ascii="仿宋_GB2312" w:hAnsi="宋体" w:eastAsia="仿宋_GB2312" w:cs="宋体"/>
          <w:color w:val="333333"/>
          <w:kern w:val="0"/>
          <w:sz w:val="32"/>
          <w:szCs w:val="32"/>
          <w:lang w:eastAsia="zh-CN"/>
        </w:rPr>
        <w:t>壤塘</w:t>
      </w:r>
      <w:r>
        <w:rPr>
          <w:rFonts w:hint="eastAsia" w:ascii="仿宋_GB2312" w:hAnsi="宋体" w:eastAsia="仿宋_GB2312" w:cs="宋体"/>
          <w:color w:val="333333"/>
          <w:kern w:val="0"/>
          <w:sz w:val="32"/>
          <w:szCs w:val="32"/>
        </w:rPr>
        <w:t>和谐稳定。</w:t>
      </w:r>
    </w:p>
    <w:p>
      <w:pPr>
        <w:pStyle w:val="47"/>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pPr>
        <w:pStyle w:val="47"/>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在预算编制中进一步夯实预算编制基础，及时更新相关基础数据，严格控制“三公”经费预算及支出，预算编制及决算编制做到了及时、完整、准确、合理、高效</w:t>
      </w:r>
      <w:r>
        <w:rPr>
          <w:rFonts w:ascii="仿宋_GB2312" w:hAnsi="仿宋_GB2312" w:eastAsia="仿宋_GB2312" w:cs="仿宋_GB2312"/>
          <w:sz w:val="32"/>
          <w:szCs w:val="32"/>
        </w:rPr>
        <w:t>。</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4.支出控制</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本年度资金使用过程中严格按照单位财务管理制度要求执行，资金使用的合规性体现在：</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（1）所有经费开支坚持财务审批制度，重大资金支出（日常公用经费在1万元及以上）由部务会会议研究决定。</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（2）在报销经费时，经办人使用统一规范的审批单，在审批单上写明用途、经办人员、股室负责人、财务负责人、单位领导、金额、报销日期等内容。</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（3）费用报销审批程序 </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经办人填写报销单→由业务股室负责人确认签字→财务科人员核签字→财务分管领导确认签字→领导（常务副部长）批准后，到财务科出纳处办理支付手续。</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各个审批环节的具体职责：</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务股室负责人及其分管领导对其发生的支出用途及金额的真实性、准确性负责，并对其股室填写的支出审批单内容、大小写金额、票据张数进行审核。经济业务发生后，原则上在30天之内报账完毕。不得将几个经济事项的票据合并填报。</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务室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科有权拒绝受理。</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领导审查财务收支的真实性、合法性、必要性，并在报销凭证上明确签署报销意见。所有费用报销实行单位负责人“一支笔”签批制度。严格控制现金支付，原则上采用公务卡和转账结算。会计人员进行会计核算时，对不符合财经管理规定的票据有权拒绝接受并应立即报告。</w:t>
      </w:r>
    </w:p>
    <w:p>
      <w:pPr>
        <w:pStyle w:val="47"/>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5.预算动态调整</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实行了预算动态调整，根据支出实际情况对预算有增减变动预算控制。</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6.预算执行进度</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各阶段预算执行进度均达标。</w:t>
      </w:r>
    </w:p>
    <w:p>
      <w:pPr>
        <w:pStyle w:val="47"/>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7.预算完成情况</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预算完成100%。</w:t>
      </w:r>
    </w:p>
    <w:p>
      <w:pPr>
        <w:pStyle w:val="47"/>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.违规纪录</w:t>
      </w:r>
    </w:p>
    <w:p>
      <w:pPr>
        <w:pStyle w:val="47"/>
        <w:spacing w:line="360" w:lineRule="auto"/>
        <w:jc w:val="both"/>
        <w:rPr>
          <w:rFonts w:hint="eastAsia" w:ascii="仿宋_GB2312" w:hAnsi="仿宋_GB2312" w:eastAsia="仿宋_GB2312" w:cs="仿宋_GB2312"/>
          <w:sz w:val="32"/>
          <w:szCs w:val="32"/>
          <w:lang w:val="en-US" w:eastAsia="zh-CN"/>
        </w:rPr>
      </w:pPr>
      <w:r>
        <w:rPr>
          <w:rFonts w:hint="eastAsia" w:ascii="仿宋_GB2312" w:eastAsia="仿宋_GB2312"/>
          <w:color w:val="000000"/>
          <w:sz w:val="32"/>
          <w:szCs w:val="32"/>
        </w:rPr>
        <w:t>截</w:t>
      </w:r>
      <w:r>
        <w:rPr>
          <w:rFonts w:hint="eastAsia" w:ascii="仿宋_GB2312" w:eastAsia="仿宋_GB2312"/>
          <w:color w:val="000000"/>
          <w:sz w:val="32"/>
          <w:szCs w:val="32"/>
          <w:lang w:eastAsia="zh-CN"/>
        </w:rPr>
        <w:t>止</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12月31日，我单位无违规纪录情况</w:t>
      </w:r>
      <w:r>
        <w:rPr>
          <w:rFonts w:hint="eastAsia" w:ascii="仿宋_GB2312" w:hAnsi="仿宋_GB2312" w:eastAsia="仿宋_GB2312" w:cs="仿宋_GB2312"/>
          <w:sz w:val="32"/>
          <w:szCs w:val="32"/>
          <w:lang w:eastAsia="zh-CN"/>
        </w:rPr>
        <w:t>。</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（二）结果应用情况</w:t>
      </w:r>
    </w:p>
    <w:p>
      <w:pPr>
        <w:pStyle w:val="47"/>
        <w:spacing w:line="360" w:lineRule="auto"/>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三公</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经费</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公”经费控制。中共壤塘县委统战部2024年“三公”经费预算6万元，决算支出5.96万元。其中公务用车购置及运行维护费预算6万元，决算支出5.96万元（其中公务用车运行维护费5.96万元）,未发生因公出国（境）费及公务接待费，2024年“三公”经费决算均未超过预算</w:t>
      </w:r>
      <w:r>
        <w:rPr>
          <w:rFonts w:hint="eastAsia" w:ascii="仿宋_GB2312" w:hAnsi="仿宋_GB2312" w:eastAsia="仿宋_GB2312" w:cs="仿宋_GB2312"/>
          <w:sz w:val="32"/>
          <w:szCs w:val="32"/>
        </w:rPr>
        <w:t>。</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2.资产管理</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固定资产在用率。截止</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12月31日，中共壤塘县委统战部《行政单位资产管理系统》固定资产总计107.32万元，在用的固定资产总计107.32万元，固定资产在用率达100%。</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3.信息公开</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信息公开。中共壤塘县委统战部已经按财政要求及时完成预算、决算、绩效等信息公开工作，信息在政府门户网站中公开。</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4.政府采购</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中共壤塘县委统战部发生政府采购支出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pStyle w:val="47"/>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四、评价结论及建议</w:t>
      </w:r>
    </w:p>
    <w:p>
      <w:pPr>
        <w:pStyle w:val="47"/>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pStyle w:val="47"/>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部门整体支出绩效评价情况开展自评，并撰写《中共壤塘县委统战部</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部门整体支出绩效评价报告》。根据考核评分细则，我部严格按照国家的相关财务管理制度规定，财务制度健全、会计核算规范，依照计划管理使用。按照部门整体支出绩效评价指标体系对照打分得出结果</w:t>
      </w:r>
      <w:r>
        <w:rPr>
          <w:rFonts w:hint="eastAsia" w:ascii="仿宋_GB2312" w:hAnsi="仿宋_GB2312" w:eastAsia="仿宋_GB2312" w:cs="仿宋_GB2312"/>
          <w:sz w:val="32"/>
          <w:szCs w:val="32"/>
          <w:highlight w:val="none"/>
        </w:rPr>
        <w:t>为9</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sz w:val="32"/>
          <w:szCs w:val="32"/>
        </w:rPr>
        <w:t>。</w:t>
      </w:r>
    </w:p>
    <w:p>
      <w:pPr>
        <w:pStyle w:val="47"/>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1.执行期间根据工作安排和开展情况追加收入较多，年初预算数与调整预算数差别较大，预算安排不准确</w:t>
      </w:r>
      <w:r>
        <w:rPr>
          <w:rFonts w:hint="eastAsia" w:ascii="仿宋_GB2312" w:hAnsi="仿宋_GB2312" w:eastAsia="仿宋_GB2312" w:cs="仿宋_GB2312"/>
          <w:sz w:val="32"/>
          <w:szCs w:val="32"/>
          <w:lang w:val="zh-CN"/>
        </w:rPr>
        <w:t>。</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pPr>
        <w:pStyle w:val="47"/>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1.加强预算安排准确性，尽量减少执行中期追加数。</w:t>
      </w:r>
    </w:p>
    <w:p>
      <w:pPr>
        <w:pStyle w:val="47"/>
        <w:spacing w:line="360" w:lineRule="auto"/>
        <w:ind w:firstLine="640"/>
        <w:rPr>
          <w:rFonts w:hint="eastAsia" w:ascii="仿宋_GB2312" w:hAnsi="仿宋_GB2312" w:eastAsia="仿宋_GB2312" w:cs="仿宋_GB2312"/>
          <w:sz w:val="32"/>
          <w:szCs w:val="32"/>
          <w:lang w:val="en-US" w:eastAsia="zh-CN"/>
        </w:rPr>
      </w:pPr>
    </w:p>
    <w:p>
      <w:pPr>
        <w:pStyle w:val="47"/>
        <w:spacing w:line="360" w:lineRule="auto"/>
        <w:ind w:firstLine="640"/>
        <w:rPr>
          <w:rFonts w:hint="eastAsia" w:ascii="仿宋_GB2312" w:hAnsi="仿宋_GB2312" w:eastAsia="仿宋_GB2312" w:cs="仿宋_GB2312"/>
          <w:sz w:val="32"/>
          <w:szCs w:val="32"/>
          <w:lang w:val="en-US" w:eastAsia="zh-CN"/>
        </w:rPr>
      </w:pPr>
    </w:p>
    <w:p>
      <w:pPr>
        <w:pStyle w:val="47"/>
        <w:spacing w:line="360" w:lineRule="auto"/>
        <w:ind w:firstLine="640"/>
        <w:rPr>
          <w:rFonts w:hint="eastAsia" w:ascii="仿宋_GB2312" w:hAnsi="仿宋_GB2312" w:eastAsia="仿宋_GB2312" w:cs="仿宋_GB2312"/>
          <w:sz w:val="32"/>
          <w:szCs w:val="32"/>
          <w:lang w:val="en-US" w:eastAsia="zh-CN"/>
        </w:rPr>
      </w:pPr>
    </w:p>
    <w:p>
      <w:pPr>
        <w:pStyle w:val="47"/>
        <w:spacing w:line="360" w:lineRule="auto"/>
        <w:ind w:firstLine="640"/>
        <w:rPr>
          <w:rFonts w:hint="eastAsia" w:ascii="仿宋_GB2312" w:hAnsi="仿宋_GB2312" w:eastAsia="仿宋_GB2312" w:cs="仿宋_GB2312"/>
          <w:sz w:val="32"/>
          <w:szCs w:val="32"/>
          <w:lang w:val="en-US" w:eastAsia="zh-CN"/>
        </w:rPr>
      </w:pPr>
    </w:p>
    <w:p>
      <w:pPr>
        <w:pStyle w:val="47"/>
        <w:spacing w:line="360" w:lineRule="auto"/>
        <w:ind w:firstLine="640"/>
        <w:rPr>
          <w:rFonts w:hint="eastAsia" w:ascii="仿宋_GB2312" w:hAnsi="仿宋_GB2312" w:eastAsia="仿宋_GB2312" w:cs="仿宋_GB2312"/>
          <w:sz w:val="32"/>
          <w:szCs w:val="32"/>
          <w:lang w:val="en-US" w:eastAsia="zh-CN"/>
        </w:rPr>
      </w:pPr>
    </w:p>
    <w:p>
      <w:pPr>
        <w:pStyle w:val="47"/>
        <w:spacing w:line="360" w:lineRule="auto"/>
        <w:ind w:firstLine="640"/>
        <w:rPr>
          <w:rFonts w:hint="eastAsia" w:ascii="仿宋_GB2312" w:hAnsi="仿宋_GB2312" w:eastAsia="仿宋_GB2312" w:cs="仿宋_GB2312"/>
          <w:sz w:val="32"/>
          <w:szCs w:val="32"/>
          <w:lang w:val="en-US" w:eastAsia="zh-CN"/>
        </w:rPr>
      </w:pPr>
    </w:p>
    <w:p>
      <w:pPr>
        <w:pStyle w:val="47"/>
        <w:spacing w:line="360" w:lineRule="auto"/>
        <w:ind w:firstLine="640"/>
        <w:rPr>
          <w:rFonts w:hint="eastAsia" w:ascii="仿宋_GB2312" w:hAnsi="仿宋_GB2312" w:eastAsia="仿宋_GB2312" w:cs="仿宋_GB2312"/>
          <w:sz w:val="32"/>
          <w:szCs w:val="32"/>
          <w:lang w:val="en-US" w:eastAsia="zh-CN"/>
        </w:rPr>
      </w:pPr>
    </w:p>
    <w:p>
      <w:pPr>
        <w:pStyle w:val="47"/>
        <w:spacing w:line="360" w:lineRule="auto"/>
        <w:ind w:firstLine="640"/>
        <w:rPr>
          <w:rFonts w:hint="eastAsia" w:ascii="仿宋_GB2312" w:hAnsi="仿宋_GB2312" w:eastAsia="仿宋_GB2312" w:cs="仿宋_GB2312"/>
          <w:sz w:val="32"/>
          <w:szCs w:val="32"/>
          <w:lang w:val="en-US" w:eastAsia="zh-CN"/>
        </w:rPr>
      </w:pPr>
    </w:p>
    <w:p>
      <w:pPr>
        <w:pStyle w:val="4"/>
        <w:bidi w:val="0"/>
        <w:jc w:val="center"/>
        <w:rPr>
          <w:rFonts w:hint="eastAsia" w:ascii="黑体" w:hAnsi="黑体" w:eastAsia="黑体" w:cs="黑体"/>
        </w:rPr>
      </w:pPr>
      <w:bookmarkStart w:id="95" w:name="_Toc7602"/>
      <w:bookmarkStart w:id="96" w:name="_Toc79163635"/>
      <w:bookmarkStart w:id="97" w:name="_Toc15396618"/>
      <w:r>
        <w:rPr>
          <w:rFonts w:hint="eastAsia" w:ascii="黑体" w:hAnsi="黑体" w:eastAsia="黑体" w:cs="黑体"/>
        </w:rPr>
        <w:t>第五部分 附表</w:t>
      </w:r>
      <w:bookmarkEnd w:id="6"/>
      <w:bookmarkEnd w:id="95"/>
      <w:bookmarkEnd w:id="96"/>
      <w:bookmarkEnd w:id="97"/>
    </w:p>
    <w:p>
      <w:pPr>
        <w:pStyle w:val="5"/>
        <w:rPr>
          <w:rFonts w:ascii="仿宋" w:hAnsi="仿宋" w:eastAsia="仿宋"/>
          <w:color w:val="000000"/>
        </w:rPr>
      </w:pPr>
      <w:bookmarkStart w:id="98" w:name="_Toc79163636"/>
      <w:bookmarkStart w:id="99" w:name="_Toc12877"/>
      <w:bookmarkStart w:id="100" w:name="_Toc15396619"/>
      <w:bookmarkStart w:id="101" w:name="_Toc17017"/>
      <w:r>
        <w:rPr>
          <w:rFonts w:hint="eastAsia" w:ascii="仿宋" w:hAnsi="仿宋" w:eastAsia="仿宋"/>
          <w:b w:val="0"/>
          <w:color w:val="000000"/>
        </w:rPr>
        <w:t>一、收</w:t>
      </w:r>
      <w:r>
        <w:rPr>
          <w:rStyle w:val="31"/>
          <w:rFonts w:hint="eastAsia" w:ascii="仿宋" w:hAnsi="仿宋" w:eastAsia="仿宋"/>
          <w:b w:val="0"/>
          <w:bCs w:val="0"/>
        </w:rPr>
        <w:t>入支出决算总表</w:t>
      </w:r>
      <w:bookmarkEnd w:id="98"/>
      <w:bookmarkEnd w:id="99"/>
      <w:bookmarkEnd w:id="100"/>
      <w:bookmarkEnd w:id="101"/>
    </w:p>
    <w:p>
      <w:pPr>
        <w:pStyle w:val="5"/>
        <w:rPr>
          <w:rFonts w:ascii="仿宋" w:hAnsi="仿宋" w:eastAsia="仿宋"/>
          <w:color w:val="000000"/>
        </w:rPr>
      </w:pPr>
      <w:bookmarkStart w:id="102" w:name="_Toc22435"/>
      <w:bookmarkStart w:id="103" w:name="_Toc15396620"/>
      <w:bookmarkStart w:id="104" w:name="_Toc79163637"/>
      <w:bookmarkStart w:id="105" w:name="_Toc5337"/>
      <w:r>
        <w:rPr>
          <w:rFonts w:hint="eastAsia" w:ascii="仿宋" w:hAnsi="仿宋" w:eastAsia="仿宋"/>
          <w:b w:val="0"/>
          <w:color w:val="000000"/>
        </w:rPr>
        <w:t>二、收</w:t>
      </w:r>
      <w:r>
        <w:rPr>
          <w:rStyle w:val="31"/>
          <w:rFonts w:hint="eastAsia" w:ascii="仿宋" w:hAnsi="仿宋" w:eastAsia="仿宋"/>
          <w:b w:val="0"/>
          <w:bCs w:val="0"/>
        </w:rPr>
        <w:t>入决算表</w:t>
      </w:r>
      <w:bookmarkEnd w:id="102"/>
      <w:bookmarkEnd w:id="103"/>
      <w:bookmarkEnd w:id="104"/>
      <w:bookmarkEnd w:id="105"/>
    </w:p>
    <w:p>
      <w:pPr>
        <w:pStyle w:val="5"/>
        <w:rPr>
          <w:rFonts w:ascii="仿宋" w:hAnsi="仿宋" w:eastAsia="仿宋"/>
          <w:color w:val="000000"/>
        </w:rPr>
      </w:pPr>
      <w:bookmarkStart w:id="106" w:name="_Toc79163638"/>
      <w:bookmarkStart w:id="107" w:name="_Toc15396621"/>
      <w:bookmarkStart w:id="108" w:name="_Toc21288"/>
      <w:bookmarkStart w:id="109" w:name="_Toc15057"/>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出决算表</w:t>
      </w:r>
      <w:bookmarkEnd w:id="106"/>
      <w:bookmarkEnd w:id="107"/>
      <w:bookmarkEnd w:id="108"/>
      <w:bookmarkEnd w:id="109"/>
    </w:p>
    <w:p>
      <w:pPr>
        <w:pStyle w:val="5"/>
        <w:rPr>
          <w:rFonts w:ascii="仿宋" w:hAnsi="仿宋" w:eastAsia="仿宋"/>
          <w:b w:val="0"/>
          <w:color w:val="000000"/>
        </w:rPr>
      </w:pPr>
      <w:bookmarkStart w:id="110" w:name="_Toc30975"/>
      <w:bookmarkStart w:id="111" w:name="_Toc15396622"/>
      <w:bookmarkStart w:id="112" w:name="_Toc79163639"/>
      <w:bookmarkStart w:id="113" w:name="_Toc5123"/>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110"/>
      <w:bookmarkEnd w:id="111"/>
      <w:bookmarkEnd w:id="112"/>
      <w:bookmarkEnd w:id="113"/>
    </w:p>
    <w:p>
      <w:pPr>
        <w:pStyle w:val="5"/>
        <w:rPr>
          <w:rStyle w:val="31"/>
          <w:rFonts w:ascii="仿宋" w:hAnsi="仿宋" w:eastAsia="仿宋"/>
          <w:b w:val="0"/>
          <w:bCs w:val="0"/>
        </w:rPr>
      </w:pPr>
      <w:bookmarkStart w:id="114" w:name="_Toc19276"/>
      <w:bookmarkStart w:id="115" w:name="_Toc8697"/>
      <w:bookmarkStart w:id="116" w:name="_Toc79163640"/>
      <w:bookmarkStart w:id="117" w:name="_Toc15396623"/>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w:t>
      </w:r>
      <w:bookmarkEnd w:id="114"/>
      <w:bookmarkEnd w:id="115"/>
      <w:bookmarkEnd w:id="116"/>
      <w:bookmarkEnd w:id="117"/>
      <w:bookmarkStart w:id="118" w:name="_Toc15396624"/>
    </w:p>
    <w:p>
      <w:pPr>
        <w:pStyle w:val="5"/>
        <w:rPr>
          <w:rFonts w:ascii="仿宋" w:hAnsi="仿宋" w:eastAsia="仿宋"/>
          <w:color w:val="000000"/>
        </w:rPr>
      </w:pPr>
      <w:bookmarkStart w:id="119" w:name="_Toc79163641"/>
      <w:bookmarkStart w:id="120" w:name="_Toc12357"/>
      <w:bookmarkStart w:id="121" w:name="_Toc27768"/>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118"/>
      <w:bookmarkEnd w:id="119"/>
      <w:bookmarkEnd w:id="120"/>
      <w:bookmarkEnd w:id="121"/>
    </w:p>
    <w:p>
      <w:pPr>
        <w:pStyle w:val="5"/>
        <w:rPr>
          <w:rFonts w:ascii="仿宋" w:hAnsi="仿宋" w:eastAsia="仿宋"/>
          <w:color w:val="000000"/>
        </w:rPr>
      </w:pPr>
      <w:bookmarkStart w:id="122" w:name="_Toc15840"/>
      <w:bookmarkStart w:id="123" w:name="_Toc79163642"/>
      <w:bookmarkStart w:id="124" w:name="_Toc9865"/>
      <w:bookmarkStart w:id="125" w:name="_Toc15396625"/>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122"/>
      <w:bookmarkEnd w:id="123"/>
      <w:bookmarkEnd w:id="124"/>
      <w:bookmarkEnd w:id="125"/>
    </w:p>
    <w:p>
      <w:pPr>
        <w:pStyle w:val="5"/>
        <w:rPr>
          <w:rFonts w:ascii="仿宋" w:hAnsi="仿宋" w:eastAsia="仿宋"/>
          <w:color w:val="000000"/>
        </w:rPr>
      </w:pPr>
      <w:bookmarkStart w:id="126" w:name="_Toc79163643"/>
      <w:bookmarkStart w:id="127" w:name="_Toc17185"/>
      <w:bookmarkStart w:id="128" w:name="_Toc29358"/>
      <w:bookmarkStart w:id="129" w:name="_Toc15396626"/>
      <w:bookmarkStart w:id="130" w:name="_Toc29548"/>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126"/>
      <w:bookmarkEnd w:id="127"/>
      <w:bookmarkEnd w:id="128"/>
      <w:bookmarkEnd w:id="129"/>
      <w:bookmarkEnd w:id="130"/>
    </w:p>
    <w:p>
      <w:pPr>
        <w:pStyle w:val="5"/>
        <w:rPr>
          <w:rFonts w:ascii="仿宋" w:hAnsi="仿宋" w:eastAsia="仿宋"/>
          <w:color w:val="000000"/>
        </w:rPr>
      </w:pPr>
      <w:bookmarkStart w:id="131" w:name="_Toc25183"/>
      <w:bookmarkStart w:id="132" w:name="_Toc15396627"/>
      <w:bookmarkStart w:id="133" w:name="_Toc79163644"/>
      <w:bookmarkStart w:id="134" w:name="_Toc79163894"/>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131"/>
      <w:bookmarkEnd w:id="132"/>
      <w:bookmarkEnd w:id="133"/>
      <w:bookmarkEnd w:id="134"/>
    </w:p>
    <w:p>
      <w:pPr>
        <w:pStyle w:val="5"/>
        <w:rPr>
          <w:rFonts w:ascii="仿宋" w:hAnsi="仿宋" w:eastAsia="仿宋"/>
          <w:color w:val="000000"/>
        </w:rPr>
      </w:pPr>
      <w:bookmarkStart w:id="135" w:name="_Toc15396628"/>
      <w:bookmarkStart w:id="136" w:name="_Toc79163895"/>
      <w:bookmarkStart w:id="137" w:name="_Toc79163645"/>
      <w:bookmarkStart w:id="138" w:name="_Toc3074"/>
      <w:r>
        <w:rPr>
          <w:rStyle w:val="31"/>
          <w:rFonts w:hint="eastAsia" w:ascii="仿宋" w:hAnsi="仿宋" w:eastAsia="仿宋"/>
          <w:b w:val="0"/>
          <w:bCs w:val="0"/>
        </w:rPr>
        <w:t>十、</w:t>
      </w:r>
      <w:bookmarkEnd w:id="135"/>
      <w:bookmarkEnd w:id="136"/>
      <w:bookmarkEnd w:id="137"/>
      <w:bookmarkStart w:id="139" w:name="_Toc79163646"/>
      <w:bookmarkStart w:id="140" w:name="_Toc15396629"/>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138"/>
      <w:bookmarkEnd w:id="139"/>
      <w:bookmarkEnd w:id="140"/>
    </w:p>
    <w:p>
      <w:pPr>
        <w:pStyle w:val="5"/>
        <w:rPr>
          <w:rStyle w:val="31"/>
          <w:rFonts w:ascii="仿宋" w:hAnsi="仿宋" w:eastAsia="仿宋"/>
          <w:b w:val="0"/>
          <w:bCs w:val="0"/>
        </w:rPr>
      </w:pPr>
      <w:bookmarkStart w:id="141" w:name="_Toc79163897"/>
      <w:bookmarkStart w:id="142" w:name="_Toc15396630"/>
      <w:bookmarkStart w:id="143" w:name="_Toc79163647"/>
      <w:bookmarkStart w:id="144" w:name="_Toc1462"/>
      <w:r>
        <w:rPr>
          <w:rStyle w:val="31"/>
          <w:rFonts w:hint="eastAsia" w:ascii="仿宋" w:hAnsi="仿宋" w:eastAsia="仿宋"/>
          <w:b w:val="0"/>
          <w:bCs w:val="0"/>
        </w:rPr>
        <w:t>十</w:t>
      </w:r>
      <w:bookmarkEnd w:id="141"/>
      <w:bookmarkEnd w:id="142"/>
      <w:bookmarkEnd w:id="143"/>
      <w:bookmarkStart w:id="145" w:name="_Toc15396631"/>
      <w:bookmarkStart w:id="146" w:name="_Toc79163648"/>
      <w:r>
        <w:rPr>
          <w:rStyle w:val="31"/>
          <w:rFonts w:hint="eastAsia" w:ascii="仿宋" w:hAnsi="仿宋" w:eastAsia="仿宋"/>
          <w:b w:val="0"/>
          <w:bCs w:val="0"/>
          <w:lang w:val="en-US" w:eastAsia="zh-CN"/>
        </w:rPr>
        <w:t>一</w:t>
      </w:r>
      <w:r>
        <w:rPr>
          <w:rStyle w:val="31"/>
          <w:rFonts w:hint="eastAsia" w:ascii="仿宋" w:hAnsi="仿宋" w:eastAsia="仿宋"/>
          <w:b w:val="0"/>
          <w:bCs w:val="0"/>
        </w:rPr>
        <w:t>、</w:t>
      </w:r>
      <w:r>
        <w:rPr>
          <w:rFonts w:hint="eastAsia" w:ascii="仿宋" w:hAnsi="仿宋" w:eastAsia="仿宋"/>
          <w:b w:val="0"/>
          <w:color w:val="000000"/>
        </w:rPr>
        <w:t>国</w:t>
      </w:r>
      <w:r>
        <w:rPr>
          <w:rStyle w:val="31"/>
          <w:rFonts w:hint="eastAsia" w:ascii="仿宋" w:hAnsi="仿宋" w:eastAsia="仿宋"/>
          <w:b w:val="0"/>
          <w:bCs w:val="0"/>
        </w:rPr>
        <w:t>有资本经营预算财政拨款</w:t>
      </w:r>
      <w:r>
        <w:rPr>
          <w:rStyle w:val="31"/>
          <w:rFonts w:hint="eastAsia" w:ascii="仿宋" w:hAnsi="仿宋" w:eastAsia="仿宋"/>
          <w:b w:val="0"/>
          <w:bCs w:val="0"/>
          <w:lang w:val="en-US" w:eastAsia="zh-CN"/>
        </w:rPr>
        <w:t>收入</w:t>
      </w:r>
      <w:r>
        <w:rPr>
          <w:rStyle w:val="31"/>
          <w:rFonts w:hint="eastAsia" w:ascii="仿宋" w:hAnsi="仿宋" w:eastAsia="仿宋"/>
          <w:b w:val="0"/>
          <w:bCs w:val="0"/>
        </w:rPr>
        <w:t>支出决算表</w:t>
      </w:r>
      <w:bookmarkEnd w:id="144"/>
      <w:bookmarkEnd w:id="145"/>
      <w:bookmarkEnd w:id="146"/>
    </w:p>
    <w:p>
      <w:pPr>
        <w:pStyle w:val="5"/>
        <w:rPr>
          <w:rStyle w:val="31"/>
          <w:rFonts w:hint="eastAsia" w:ascii="仿宋" w:hAnsi="仿宋" w:eastAsia="仿宋"/>
          <w:b w:val="0"/>
          <w:bCs w:val="0"/>
        </w:rPr>
      </w:pPr>
      <w:bookmarkStart w:id="147" w:name="_Toc20145"/>
      <w:bookmarkStart w:id="148" w:name="_Toc79163649"/>
      <w:r>
        <w:rPr>
          <w:rStyle w:val="31"/>
          <w:rFonts w:hint="eastAsia" w:ascii="仿宋" w:hAnsi="仿宋" w:eastAsia="仿宋"/>
          <w:b w:val="0"/>
          <w:bCs w:val="0"/>
        </w:rPr>
        <w:t>十</w:t>
      </w:r>
      <w:r>
        <w:rPr>
          <w:rStyle w:val="31"/>
          <w:rFonts w:hint="eastAsia" w:ascii="仿宋" w:hAnsi="仿宋" w:eastAsia="仿宋"/>
          <w:b w:val="0"/>
          <w:bCs w:val="0"/>
          <w:lang w:val="en-US" w:eastAsia="zh-CN"/>
        </w:rPr>
        <w:t>二</w:t>
      </w:r>
      <w:r>
        <w:rPr>
          <w:rStyle w:val="31"/>
          <w:rFonts w:hint="eastAsia" w:ascii="仿宋" w:hAnsi="仿宋" w:eastAsia="仿宋"/>
          <w:b w:val="0"/>
          <w:bCs w:val="0"/>
        </w:rPr>
        <w:t>、国有资本经营预算财政拨款支出决算表</w:t>
      </w:r>
      <w:bookmarkEnd w:id="147"/>
      <w:bookmarkEnd w:id="148"/>
    </w:p>
    <w:p>
      <w:pPr>
        <w:rPr>
          <w:rStyle w:val="31"/>
          <w:rFonts w:ascii="仿宋" w:hAnsi="仿宋" w:eastAsia="仿宋"/>
          <w:b w:val="0"/>
          <w:bCs w:val="0"/>
        </w:rPr>
      </w:pPr>
      <w:bookmarkStart w:id="149" w:name="_Toc17325"/>
      <w:r>
        <w:rPr>
          <w:rStyle w:val="31"/>
          <w:rFonts w:hint="eastAsia" w:ascii="仿宋" w:hAnsi="仿宋" w:eastAsia="仿宋"/>
          <w:b w:val="0"/>
          <w:bCs w:val="0"/>
          <w:lang w:val="en-US" w:eastAsia="zh-CN"/>
        </w:rPr>
        <w:t>十三、</w:t>
      </w:r>
      <w:r>
        <w:rPr>
          <w:rStyle w:val="31"/>
          <w:rFonts w:hint="eastAsia" w:ascii="仿宋" w:hAnsi="仿宋" w:eastAsia="仿宋"/>
          <w:b w:val="0"/>
          <w:bCs w:val="0"/>
        </w:rPr>
        <w:t>财政拨款“三公”经费支出决算表</w:t>
      </w:r>
      <w:bookmarkEnd w:id="149"/>
    </w:p>
    <w:sectPr>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960" w:firstLineChars="2200"/>
      <w:rPr>
        <w:rFonts w:hint="default" w:eastAsia="宋体"/>
        <w:lang w:val="en-US" w:eastAsia="zh-CN"/>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1Go8VAgAAFw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Z1Go8VAgAAF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140" w:firstLineChars="2300"/>
      <w:rPr>
        <w:rFonts w:hint="default"/>
        <w:lang w:val="en-US"/>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eRLAVAgAAFw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OeRLAVAgAAF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140" w:firstLineChars="2300"/>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5RrO4VAgAAFw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5RrO4VAgAAF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9HZcWAgAAFw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BHPR2XFgIAABcEAAAOAAAAAAAA&#10;AAEAIAAAAB8BAABkcnMvZTJvRG9jLnhtbFBLBQYAAAAABgAGAFkBAACn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140" w:firstLineChars="2300"/>
      <w:rPr>
        <w:rFonts w:hint="default" w:eastAsia="宋体"/>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6ahQVAgAAFw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EN6ahQVAgAAF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140" w:firstLineChars="2300"/>
      <w:rPr>
        <w:rFonts w:hint="default" w:eastAsia="宋体"/>
        <w:lang w:val="en-US"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uGoVAgAAFw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4uGoVAgAAF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960" w:firstLineChars="2200"/>
      <w:rPr>
        <w:rFonts w:hint="default" w:eastAsia="宋体"/>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EJvYVAgAAFw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QEJvYVAgAAF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960" w:firstLineChars="2200"/>
      <w:rPr>
        <w:rFonts w:hint="default" w:eastAsia="宋体"/>
        <w:lang w:val="en-US"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LzqgUAgAAF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mcvOqBQCAAAX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27BE6324"/>
    <w:multiLevelType w:val="singleLevel"/>
    <w:tmpl w:val="27BE6324"/>
    <w:lvl w:ilvl="0" w:tentative="0">
      <w:start w:val="2"/>
      <w:numFmt w:val="chineseCounting"/>
      <w:suff w:val="nothing"/>
      <w:lvlText w:val="（%1）"/>
      <w:lvlJc w:val="left"/>
      <w:rPr>
        <w:rFonts w:hint="eastAsia"/>
      </w:rPr>
    </w:lvl>
  </w:abstractNum>
  <w:abstractNum w:abstractNumId="2">
    <w:nsid w:val="73DE4676"/>
    <w:multiLevelType w:val="singleLevel"/>
    <w:tmpl w:val="73DE4676"/>
    <w:lvl w:ilvl="0" w:tentative="0">
      <w:start w:val="1"/>
      <w:numFmt w:val="chineseCounting"/>
      <w:suff w:val="space"/>
      <w:lvlText w:val="第%1部分"/>
      <w:lvlJc w:val="left"/>
      <w:pPr>
        <w:ind w:left="11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 w:name="KSO_WPS_MARK_KEY" w:val="607107ec-28f6-4202-9420-e617c3daee02"/>
  </w:docVars>
  <w:rsids>
    <w:rsidRoot w:val="00F1361C"/>
    <w:rsid w:val="000222C6"/>
    <w:rsid w:val="0002549F"/>
    <w:rsid w:val="000468DB"/>
    <w:rsid w:val="0006487A"/>
    <w:rsid w:val="00064A97"/>
    <w:rsid w:val="00065F8F"/>
    <w:rsid w:val="00070A43"/>
    <w:rsid w:val="000768F2"/>
    <w:rsid w:val="00083BA5"/>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667A3"/>
    <w:rsid w:val="0027224D"/>
    <w:rsid w:val="00280496"/>
    <w:rsid w:val="00282EBD"/>
    <w:rsid w:val="00294DC9"/>
    <w:rsid w:val="00295495"/>
    <w:rsid w:val="00296306"/>
    <w:rsid w:val="002A31DE"/>
    <w:rsid w:val="002B2613"/>
    <w:rsid w:val="002D6D05"/>
    <w:rsid w:val="002F1818"/>
    <w:rsid w:val="002F567B"/>
    <w:rsid w:val="003216A9"/>
    <w:rsid w:val="00335A74"/>
    <w:rsid w:val="00361CE5"/>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2CAD"/>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280D"/>
    <w:rsid w:val="0071798E"/>
    <w:rsid w:val="007416B6"/>
    <w:rsid w:val="00746F48"/>
    <w:rsid w:val="0075404D"/>
    <w:rsid w:val="00756B72"/>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3D3C"/>
    <w:rsid w:val="008253BB"/>
    <w:rsid w:val="0083706E"/>
    <w:rsid w:val="008408F6"/>
    <w:rsid w:val="008423A5"/>
    <w:rsid w:val="00850625"/>
    <w:rsid w:val="00853718"/>
    <w:rsid w:val="00855221"/>
    <w:rsid w:val="00860645"/>
    <w:rsid w:val="008632E0"/>
    <w:rsid w:val="00871F71"/>
    <w:rsid w:val="00872FD8"/>
    <w:rsid w:val="008827C9"/>
    <w:rsid w:val="00885AF4"/>
    <w:rsid w:val="00892977"/>
    <w:rsid w:val="008939CD"/>
    <w:rsid w:val="008B768C"/>
    <w:rsid w:val="008C4DB1"/>
    <w:rsid w:val="008C4EAF"/>
    <w:rsid w:val="008C5176"/>
    <w:rsid w:val="008C7BD1"/>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A714C"/>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0BAD"/>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A02C0"/>
    <w:rsid w:val="00BB4DF0"/>
    <w:rsid w:val="00BC289F"/>
    <w:rsid w:val="00BC2D50"/>
    <w:rsid w:val="00BC5361"/>
    <w:rsid w:val="00BC5460"/>
    <w:rsid w:val="00BC6B50"/>
    <w:rsid w:val="00BD0E25"/>
    <w:rsid w:val="00BE5E6B"/>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93C75"/>
    <w:rsid w:val="00CB4E70"/>
    <w:rsid w:val="00CC09B6"/>
    <w:rsid w:val="00CC0A1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2EE055C"/>
    <w:rsid w:val="046B275D"/>
    <w:rsid w:val="05062FCA"/>
    <w:rsid w:val="050B6D23"/>
    <w:rsid w:val="064B4EE4"/>
    <w:rsid w:val="07D94EB6"/>
    <w:rsid w:val="0A2032A3"/>
    <w:rsid w:val="0ACF434F"/>
    <w:rsid w:val="0B264A45"/>
    <w:rsid w:val="0B313D30"/>
    <w:rsid w:val="0B66293E"/>
    <w:rsid w:val="0CF839A0"/>
    <w:rsid w:val="0DBC5853"/>
    <w:rsid w:val="0DD752A7"/>
    <w:rsid w:val="0E7D2C2A"/>
    <w:rsid w:val="0FF461BD"/>
    <w:rsid w:val="10944F33"/>
    <w:rsid w:val="109A5BFB"/>
    <w:rsid w:val="10C055FF"/>
    <w:rsid w:val="10C1086A"/>
    <w:rsid w:val="118107EC"/>
    <w:rsid w:val="125809B5"/>
    <w:rsid w:val="13120EFB"/>
    <w:rsid w:val="143E4A1F"/>
    <w:rsid w:val="14633D95"/>
    <w:rsid w:val="14A34129"/>
    <w:rsid w:val="15E117EF"/>
    <w:rsid w:val="16640F24"/>
    <w:rsid w:val="16BB723D"/>
    <w:rsid w:val="174208D1"/>
    <w:rsid w:val="1A3B5DFE"/>
    <w:rsid w:val="1CCE1EFE"/>
    <w:rsid w:val="1D155CEE"/>
    <w:rsid w:val="21310982"/>
    <w:rsid w:val="21354AB4"/>
    <w:rsid w:val="237E0055"/>
    <w:rsid w:val="240371BF"/>
    <w:rsid w:val="249E73D4"/>
    <w:rsid w:val="27203F50"/>
    <w:rsid w:val="278154B6"/>
    <w:rsid w:val="29FD04D3"/>
    <w:rsid w:val="2A2E0C3A"/>
    <w:rsid w:val="2B9601FE"/>
    <w:rsid w:val="2BB62C95"/>
    <w:rsid w:val="2E1B018E"/>
    <w:rsid w:val="2E5C5BFF"/>
    <w:rsid w:val="30BF48C2"/>
    <w:rsid w:val="314430A9"/>
    <w:rsid w:val="31965918"/>
    <w:rsid w:val="319F7F4E"/>
    <w:rsid w:val="326B7F22"/>
    <w:rsid w:val="391D47E6"/>
    <w:rsid w:val="3AD076F1"/>
    <w:rsid w:val="3B252F0F"/>
    <w:rsid w:val="3B866650"/>
    <w:rsid w:val="3CA56B3A"/>
    <w:rsid w:val="3CCF23AE"/>
    <w:rsid w:val="3D271C45"/>
    <w:rsid w:val="3E5754B7"/>
    <w:rsid w:val="3EAD5FC1"/>
    <w:rsid w:val="3EBF7DB1"/>
    <w:rsid w:val="40737482"/>
    <w:rsid w:val="41370B8A"/>
    <w:rsid w:val="41DC602D"/>
    <w:rsid w:val="41FF2501"/>
    <w:rsid w:val="425C741F"/>
    <w:rsid w:val="434D4ED4"/>
    <w:rsid w:val="44384737"/>
    <w:rsid w:val="44A17F98"/>
    <w:rsid w:val="459F4E7E"/>
    <w:rsid w:val="4624380D"/>
    <w:rsid w:val="472C77A5"/>
    <w:rsid w:val="47486AC1"/>
    <w:rsid w:val="49F40065"/>
    <w:rsid w:val="4CF0791F"/>
    <w:rsid w:val="4E030DE3"/>
    <w:rsid w:val="4E5E075D"/>
    <w:rsid w:val="4ECE2238"/>
    <w:rsid w:val="4EF55B73"/>
    <w:rsid w:val="4FBD2223"/>
    <w:rsid w:val="51133873"/>
    <w:rsid w:val="51B33D72"/>
    <w:rsid w:val="53B94A5D"/>
    <w:rsid w:val="55BB3A6D"/>
    <w:rsid w:val="55EB7FF2"/>
    <w:rsid w:val="560B23E1"/>
    <w:rsid w:val="56781132"/>
    <w:rsid w:val="5F497278"/>
    <w:rsid w:val="60B10120"/>
    <w:rsid w:val="61574299"/>
    <w:rsid w:val="62EF7BB4"/>
    <w:rsid w:val="637C2412"/>
    <w:rsid w:val="654A0306"/>
    <w:rsid w:val="662419C0"/>
    <w:rsid w:val="66F66060"/>
    <w:rsid w:val="67136C12"/>
    <w:rsid w:val="68D75A1D"/>
    <w:rsid w:val="69227516"/>
    <w:rsid w:val="6A650554"/>
    <w:rsid w:val="6ACA6605"/>
    <w:rsid w:val="6AE95542"/>
    <w:rsid w:val="6C4A05C8"/>
    <w:rsid w:val="6CD16E13"/>
    <w:rsid w:val="6D14274C"/>
    <w:rsid w:val="6FEE1FCA"/>
    <w:rsid w:val="6FEE6B3D"/>
    <w:rsid w:val="70DC0075"/>
    <w:rsid w:val="72734D90"/>
    <w:rsid w:val="7313731C"/>
    <w:rsid w:val="748F1CD6"/>
    <w:rsid w:val="74FF4332"/>
    <w:rsid w:val="76780761"/>
    <w:rsid w:val="78A0431D"/>
    <w:rsid w:val="79835E6B"/>
    <w:rsid w:val="7A5073DE"/>
    <w:rsid w:val="7CCA70B9"/>
    <w:rsid w:val="7DA27FCE"/>
    <w:rsid w:val="7DA939D5"/>
    <w:rsid w:val="7F2E5C04"/>
    <w:rsid w:val="F41AF6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32"/>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next w:val="3"/>
    <w:link w:val="38"/>
    <w:qFormat/>
    <w:uiPriority w:val="99"/>
    <w:pPr>
      <w:tabs>
        <w:tab w:val="center" w:pos="4153"/>
        <w:tab w:val="right" w:pos="8306"/>
      </w:tabs>
      <w:snapToGrid w:val="0"/>
      <w:jc w:val="left"/>
    </w:pPr>
    <w:rPr>
      <w:rFonts w:ascii="Calibri" w:hAnsi="Calibri"/>
      <w:kern w:val="0"/>
      <w:sz w:val="18"/>
      <w:szCs w:val="20"/>
      <w:lang w:val="zh-CN"/>
    </w:rPr>
  </w:style>
  <w:style w:type="paragraph" w:styleId="3">
    <w:name w:val="header"/>
    <w:basedOn w:val="1"/>
    <w:next w:val="1"/>
    <w:link w:val="37"/>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next w:val="1"/>
    <w:link w:val="39"/>
    <w:qFormat/>
    <w:uiPriority w:val="99"/>
    <w:pPr>
      <w:spacing w:beforeLines="30"/>
    </w:pPr>
    <w:rPr>
      <w:rFonts w:ascii="仿宋_GB2312" w:eastAsia="仿宋_GB2312"/>
      <w:kern w:val="0"/>
      <w:sz w:val="24"/>
      <w:szCs w:val="20"/>
      <w:lang w:val="zh-CN"/>
    </w:rPr>
  </w:style>
  <w:style w:type="paragraph" w:styleId="9">
    <w:name w:val="Body Text Indent"/>
    <w:basedOn w:val="1"/>
    <w:next w:val="10"/>
    <w:qFormat/>
    <w:uiPriority w:val="99"/>
    <w:pPr>
      <w:spacing w:line="600" w:lineRule="atLeast"/>
      <w:ind w:firstLine="630"/>
    </w:pPr>
    <w:rPr>
      <w:rFonts w:eastAsia="仿宋_GB2312"/>
      <w:sz w:val="32"/>
    </w:rPr>
  </w:style>
  <w:style w:type="paragraph" w:styleId="10">
    <w:name w:val="Body Text First Indent 2"/>
    <w:basedOn w:val="9"/>
    <w:next w:val="1"/>
    <w:qFormat/>
    <w:uiPriority w:val="99"/>
    <w:rPr>
      <w:rFonts w:eastAsia="宋体"/>
    </w:rPr>
  </w:style>
  <w:style w:type="paragraph" w:styleId="11">
    <w:name w:val="toc 5"/>
    <w:basedOn w:val="1"/>
    <w:next w:val="1"/>
    <w:unhideWhenUsed/>
    <w:qFormat/>
    <w:uiPriority w:val="39"/>
    <w:pPr>
      <w:ind w:left="840"/>
      <w:jc w:val="left"/>
    </w:pPr>
    <w:rPr>
      <w:rFonts w:asciiTheme="minorHAnsi" w:eastAsiaTheme="minorHAnsi"/>
      <w:sz w:val="18"/>
      <w:szCs w:val="18"/>
    </w:rPr>
  </w:style>
  <w:style w:type="paragraph" w:styleId="12">
    <w:name w:val="toc 3"/>
    <w:basedOn w:val="1"/>
    <w:next w:val="1"/>
    <w:unhideWhenUsed/>
    <w:qFormat/>
    <w:uiPriority w:val="39"/>
    <w:pPr>
      <w:ind w:left="420"/>
      <w:jc w:val="left"/>
    </w:pPr>
    <w:rPr>
      <w:rFonts w:asciiTheme="minorHAnsi" w:eastAsiaTheme="minorHAnsi"/>
      <w:i/>
      <w:iCs/>
      <w:sz w:val="20"/>
      <w:szCs w:val="20"/>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4"/>
    <w:semiHidden/>
    <w:unhideWhenUsed/>
    <w:qFormat/>
    <w:uiPriority w:val="99"/>
    <w:rPr>
      <w:sz w:val="18"/>
      <w:szCs w:val="18"/>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footnote text"/>
    <w:basedOn w:val="1"/>
    <w:next w:val="10"/>
    <w:semiHidden/>
    <w:qFormat/>
    <w:uiPriority w:val="0"/>
    <w:pPr>
      <w:snapToGrid w:val="0"/>
      <w:jc w:val="left"/>
    </w:pPr>
    <w:rPr>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文档正文"/>
    <w:basedOn w:val="1"/>
    <w:qFormat/>
    <w:uiPriority w:val="99"/>
    <w:pPr>
      <w:spacing w:line="480" w:lineRule="atLeast"/>
      <w:textAlignment w:val="baseline"/>
    </w:pPr>
    <w:rPr>
      <w:rFonts w:ascii="Arial" w:hAnsi="Arial" w:cs="Arial"/>
    </w:rPr>
  </w:style>
  <w:style w:type="character" w:customStyle="1" w:styleId="30">
    <w:name w:val="标题 1 Char"/>
    <w:basedOn w:val="25"/>
    <w:link w:val="4"/>
    <w:qFormat/>
    <w:locked/>
    <w:uiPriority w:val="9"/>
    <w:rPr>
      <w:rFonts w:ascii="Times New Roman" w:hAnsi="Times New Roman" w:cs="Times New Roman"/>
      <w:b/>
      <w:bCs/>
      <w:kern w:val="44"/>
      <w:sz w:val="44"/>
      <w:szCs w:val="44"/>
    </w:rPr>
  </w:style>
  <w:style w:type="character" w:customStyle="1" w:styleId="31">
    <w:name w:val="标题 2 Char"/>
    <w:basedOn w:val="25"/>
    <w:link w:val="5"/>
    <w:qFormat/>
    <w:locked/>
    <w:uiPriority w:val="9"/>
    <w:rPr>
      <w:rFonts w:ascii="Cambria" w:hAnsi="Cambria" w:eastAsia="宋体" w:cs="Times New Roman"/>
      <w:b/>
      <w:bCs/>
      <w:kern w:val="2"/>
      <w:sz w:val="32"/>
      <w:szCs w:val="32"/>
    </w:rPr>
  </w:style>
  <w:style w:type="character" w:customStyle="1" w:styleId="32">
    <w:name w:val="标题 3 Char"/>
    <w:basedOn w:val="25"/>
    <w:link w:val="6"/>
    <w:qFormat/>
    <w:locked/>
    <w:uiPriority w:val="9"/>
    <w:rPr>
      <w:rFonts w:ascii="Times New Roman" w:hAnsi="Times New Roman" w:cs="Times New Roman"/>
      <w:b/>
      <w:bCs/>
      <w:kern w:val="2"/>
      <w:sz w:val="32"/>
      <w:szCs w:val="32"/>
    </w:rPr>
  </w:style>
  <w:style w:type="character" w:customStyle="1" w:styleId="33">
    <w:name w:val="Body Text Char"/>
    <w:basedOn w:val="25"/>
    <w:semiHidden/>
    <w:qFormat/>
    <w:uiPriority w:val="99"/>
    <w:rPr>
      <w:rFonts w:ascii="Times New Roman" w:hAnsi="Times New Roman" w:cs="Times New Roman"/>
      <w:sz w:val="24"/>
      <w:szCs w:val="24"/>
    </w:rPr>
  </w:style>
  <w:style w:type="character" w:customStyle="1" w:styleId="34">
    <w:name w:val="批注框文本 Char"/>
    <w:basedOn w:val="25"/>
    <w:link w:val="14"/>
    <w:semiHidden/>
    <w:qFormat/>
    <w:locked/>
    <w:uiPriority w:val="99"/>
    <w:rPr>
      <w:rFonts w:ascii="Times New Roman" w:hAnsi="Times New Roman" w:cs="Times New Roman"/>
      <w:kern w:val="2"/>
      <w:sz w:val="18"/>
      <w:szCs w:val="18"/>
    </w:rPr>
  </w:style>
  <w:style w:type="character" w:customStyle="1" w:styleId="35">
    <w:name w:val="Footer Char"/>
    <w:basedOn w:val="25"/>
    <w:semiHidden/>
    <w:qFormat/>
    <w:uiPriority w:val="99"/>
    <w:rPr>
      <w:rFonts w:ascii="Times New Roman" w:hAnsi="Times New Roman" w:cs="Times New Roman"/>
      <w:sz w:val="18"/>
      <w:szCs w:val="18"/>
    </w:rPr>
  </w:style>
  <w:style w:type="character" w:customStyle="1" w:styleId="36">
    <w:name w:val="Header Char"/>
    <w:basedOn w:val="25"/>
    <w:semiHidden/>
    <w:qFormat/>
    <w:uiPriority w:val="99"/>
    <w:rPr>
      <w:rFonts w:ascii="Times New Roman" w:hAnsi="Times New Roman" w:cs="Times New Roman"/>
      <w:sz w:val="18"/>
      <w:szCs w:val="18"/>
    </w:rPr>
  </w:style>
  <w:style w:type="character" w:customStyle="1" w:styleId="37">
    <w:name w:val="页眉 Char"/>
    <w:link w:val="3"/>
    <w:qFormat/>
    <w:locked/>
    <w:uiPriority w:val="99"/>
    <w:rPr>
      <w:sz w:val="18"/>
    </w:rPr>
  </w:style>
  <w:style w:type="character" w:customStyle="1" w:styleId="38">
    <w:name w:val="页脚 Char"/>
    <w:link w:val="2"/>
    <w:qFormat/>
    <w:locked/>
    <w:uiPriority w:val="99"/>
    <w:rPr>
      <w:sz w:val="18"/>
    </w:rPr>
  </w:style>
  <w:style w:type="character" w:customStyle="1" w:styleId="39">
    <w:name w:val="正文文本 Char"/>
    <w:link w:val="8"/>
    <w:qFormat/>
    <w:locked/>
    <w:uiPriority w:val="99"/>
    <w:rPr>
      <w:rFonts w:ascii="仿宋_GB2312" w:hAnsi="Times New Roman" w:eastAsia="仿宋_GB2312"/>
      <w:sz w:val="24"/>
    </w:rPr>
  </w:style>
  <w:style w:type="paragraph" w:customStyle="1" w:styleId="4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1">
    <w:name w:val="列表段落1"/>
    <w:basedOn w:val="1"/>
    <w:qFormat/>
    <w:uiPriority w:val="34"/>
    <w:pPr>
      <w:ind w:firstLine="420" w:firstLineChars="200"/>
    </w:pPr>
  </w:style>
  <w:style w:type="paragraph" w:customStyle="1" w:styleId="42">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4">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5">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46">
    <w:name w:val="四号正文"/>
    <w:basedOn w:val="1"/>
    <w:qFormat/>
    <w:uiPriority w:val="0"/>
    <w:pPr>
      <w:spacing w:line="360" w:lineRule="auto"/>
    </w:pPr>
    <w:rPr>
      <w:rFonts w:ascii="??" w:hAnsi="??" w:cs="宋体"/>
      <w:color w:val="000000"/>
      <w:kern w:val="0"/>
      <w:sz w:val="28"/>
      <w:szCs w:val="21"/>
    </w:rPr>
  </w:style>
  <w:style w:type="paragraph" w:customStyle="1" w:styleId="47">
    <w:name w:val="列出段落1"/>
    <w:basedOn w:val="1"/>
    <w:qFormat/>
    <w:uiPriority w:val="34"/>
    <w:pPr>
      <w:ind w:firstLine="420" w:firstLineChars="200"/>
    </w:pPr>
    <w:rPr>
      <w:rFonts w:ascii="Calibri" w:hAnsi="Calibri"/>
    </w:rPr>
  </w:style>
  <w:style w:type="paragraph" w:styleId="48">
    <w:name w:val="No Spacing"/>
    <w:link w:val="49"/>
    <w:qFormat/>
    <w:uiPriority w:val="1"/>
    <w:rPr>
      <w:rFonts w:asciiTheme="minorHAnsi" w:hAnsiTheme="minorHAnsi" w:eastAsiaTheme="minorEastAsia" w:cstheme="minorBidi"/>
      <w:sz w:val="22"/>
      <w:szCs w:val="22"/>
      <w:lang w:val="en-US" w:eastAsia="zh-CN" w:bidi="ar-SA"/>
    </w:rPr>
  </w:style>
  <w:style w:type="character" w:customStyle="1" w:styleId="49">
    <w:name w:val="无间隔 Char"/>
    <w:basedOn w:val="25"/>
    <w:link w:val="48"/>
    <w:qFormat/>
    <w:uiPriority w:val="1"/>
    <w:rPr>
      <w:rFonts w:asciiTheme="minorHAnsi" w:hAnsiTheme="minorHAnsi" w:eastAsiaTheme="minorEastAsia" w:cstheme="minorBidi"/>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chart" Target="charts/chart9.xml"/><Relationship Id="rId23" Type="http://schemas.openxmlformats.org/officeDocument/2006/relationships/chart" Target="charts/chart8.xml"/><Relationship Id="rId22" Type="http://schemas.openxmlformats.org/officeDocument/2006/relationships/chart" Target="charts/chart7.xml"/><Relationship Id="rId21" Type="http://schemas.openxmlformats.org/officeDocument/2006/relationships/chart" Target="charts/chart6.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86199\Documents\WeChat%20Files\wxid_rllsynkb03bd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2023年</c:v>
                </c:pt>
                <c:pt idx="1">
                  <c:v>2024年</c:v>
                </c:pt>
              </c:strCache>
            </c:strRef>
          </c:cat>
          <c:val>
            <c:numRef>
              <c:f>[决算公开分析图表.xls]Sheet1!$A$4:$B$4</c:f>
              <c:numCache>
                <c:formatCode>General</c:formatCode>
                <c:ptCount val="2"/>
                <c:pt idx="0">
                  <c:v>1129.88</c:v>
                </c:pt>
                <c:pt idx="1" c:formatCode="#,##0.00">
                  <c:v>1255.23</c:v>
                </c:pt>
              </c:numCache>
            </c:numRef>
          </c:val>
        </c:ser>
        <c:dLbls>
          <c:showLegendKey val="0"/>
          <c:showVal val="0"/>
          <c:showCatName val="0"/>
          <c:showSerName val="0"/>
          <c:showPercent val="0"/>
          <c:showBubbleSize val="0"/>
        </c:dLbls>
        <c:gapWidth val="219"/>
        <c:overlap val="-27"/>
        <c:axId val="314881465"/>
        <c:axId val="757827420"/>
      </c:barChart>
      <c:catAx>
        <c:axId val="31488146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7827420"/>
        <c:crosses val="autoZero"/>
        <c:auto val="1"/>
        <c:lblAlgn val="ctr"/>
        <c:lblOffset val="100"/>
        <c:noMultiLvlLbl val="0"/>
      </c:catAx>
      <c:valAx>
        <c:axId val="7578274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88146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2023年</c:v>
                </c:pt>
                <c:pt idx="1">
                  <c:v>2024年</c:v>
                </c:pt>
              </c:strCache>
            </c:strRef>
          </c:cat>
          <c:val>
            <c:numRef>
              <c:f>[决算公开分析图表.xls]Sheet1!$A$25:$B$25</c:f>
              <c:numCache>
                <c:formatCode>General</c:formatCode>
                <c:ptCount val="2"/>
                <c:pt idx="0">
                  <c:v>1129.88</c:v>
                </c:pt>
                <c:pt idx="1" c:formatCode="#,##0.00">
                  <c:v>1019.2</c:v>
                </c:pt>
              </c:numCache>
            </c:numRef>
          </c:val>
        </c:ser>
        <c:dLbls>
          <c:showLegendKey val="0"/>
          <c:showVal val="0"/>
          <c:showCatName val="0"/>
          <c:showSerName val="0"/>
          <c:showPercent val="0"/>
          <c:showBubbleSize val="0"/>
        </c:dLbls>
        <c:gapWidth val="219"/>
        <c:overlap val="-27"/>
        <c:axId val="818411759"/>
        <c:axId val="351555114"/>
      </c:barChart>
      <c:catAx>
        <c:axId val="81841175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1555114"/>
        <c:crosses val="autoZero"/>
        <c:auto val="1"/>
        <c:lblAlgn val="ctr"/>
        <c:lblOffset val="100"/>
        <c:noMultiLvlLbl val="0"/>
      </c:catAx>
      <c:valAx>
        <c:axId val="35155511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84117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[决算公开分析图表.xls]Sheet1!$D$43:$D$44</c:f>
              <c:strCache>
                <c:ptCount val="2"/>
                <c:pt idx="0">
                  <c:v>一般公共预算财政拨款收入</c:v>
                </c:pt>
                <c:pt idx="1">
                  <c:v>其他收入</c:v>
                </c:pt>
              </c:strCache>
            </c:strRef>
          </c:cat>
          <c:val>
            <c:numRef>
              <c:f>[决算公开分析图表.xls]Sheet1!$E$43:$E$44</c:f>
              <c:numCache>
                <c:formatCode>#,##0.00</c:formatCode>
                <c:ptCount val="2"/>
                <c:pt idx="0">
                  <c:v>1013.96</c:v>
                </c:pt>
                <c:pt idx="1" c:formatCode="General">
                  <c:v>241.26</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[决算公开分析图表.xls]Sheet1!$C$57:$C$58</c:f>
              <c:strCache>
                <c:ptCount val="2"/>
                <c:pt idx="0">
                  <c:v>基本支出</c:v>
                </c:pt>
                <c:pt idx="1">
                  <c:v>项目支出</c:v>
                </c:pt>
              </c:strCache>
            </c:strRef>
          </c:cat>
          <c:val>
            <c:numRef>
              <c:f>[决算公开分析图表.xls]Sheet1!$D$57:$D$58</c:f>
              <c:numCache>
                <c:formatCode>General</c:formatCode>
                <c:ptCount val="2"/>
                <c:pt idx="0">
                  <c:v>396.27</c:v>
                </c:pt>
                <c:pt idx="1" c:formatCode="#,##0.00">
                  <c:v>622.93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75"/>
          <c:h val="0.093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[决算公开分析图表.xls]Sheet1!$A$82:$B$82</c:f>
              <c:strCache>
                <c:ptCount val="2"/>
                <c:pt idx="0">
                  <c:v>2023年</c:v>
                </c:pt>
                <c:pt idx="1">
                  <c:v>2024年</c:v>
                </c:pt>
              </c:strCache>
            </c:strRef>
          </c:cat>
          <c:val>
            <c:numRef>
              <c:f>[决算公开分析图表.xls]Sheet1!$A$83:$B$83</c:f>
              <c:numCache>
                <c:formatCode>General</c:formatCode>
                <c:ptCount val="2"/>
                <c:pt idx="0">
                  <c:v>1129.88</c:v>
                </c:pt>
                <c:pt idx="1" c:formatCode="#,##0.00">
                  <c:v>1013.96</c:v>
                </c:pt>
              </c:numCache>
            </c:numRef>
          </c:val>
        </c:ser>
        <c:dLbls>
          <c:showLegendKey val="0"/>
          <c:showVal val="0"/>
          <c:showCatName val="0"/>
          <c:showSerName val="0"/>
          <c:showPercent val="0"/>
          <c:showBubbleSize val="0"/>
        </c:dLbls>
        <c:gapWidth val="219"/>
        <c:overlap val="-27"/>
        <c:axId val="862280183"/>
        <c:axId val="839048716"/>
      </c:barChart>
      <c:catAx>
        <c:axId val="86228018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9048716"/>
        <c:crosses val="autoZero"/>
        <c:auto val="1"/>
        <c:lblAlgn val="ctr"/>
        <c:lblOffset val="100"/>
        <c:noMultiLvlLbl val="0"/>
      </c:catAx>
      <c:valAx>
        <c:axId val="83904871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22801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[决算公开分析图表.xls]Sheet1!$A$99:$B$99</c:f>
              <c:strCache>
                <c:ptCount val="2"/>
                <c:pt idx="0">
                  <c:v>2023年</c:v>
                </c:pt>
                <c:pt idx="1">
                  <c:v>2024年</c:v>
                </c:pt>
              </c:strCache>
            </c:strRef>
          </c:cat>
          <c:val>
            <c:numRef>
              <c:f>[决算公开分析图表.xls]Sheet1!$A$100:$B$100</c:f>
              <c:numCache>
                <c:formatCode>General</c:formatCode>
                <c:ptCount val="2"/>
                <c:pt idx="0">
                  <c:v>1129.88</c:v>
                </c:pt>
                <c:pt idx="1" c:formatCode="#,##0.00">
                  <c:v>1013.96</c:v>
                </c:pt>
              </c:numCache>
            </c:numRef>
          </c:val>
        </c:ser>
        <c:dLbls>
          <c:showLegendKey val="0"/>
          <c:showVal val="0"/>
          <c:showCatName val="0"/>
          <c:showSerName val="0"/>
          <c:showPercent val="0"/>
          <c:showBubbleSize val="0"/>
        </c:dLbls>
        <c:gapWidth val="219"/>
        <c:overlap val="-27"/>
        <c:axId val="301484187"/>
        <c:axId val="803611363"/>
      </c:barChart>
      <c:catAx>
        <c:axId val="30148418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1363"/>
        <c:crosses val="autoZero"/>
        <c:auto val="1"/>
        <c:lblAlgn val="ctr"/>
        <c:lblOffset val="100"/>
        <c:noMultiLvlLbl val="0"/>
      </c:catAx>
      <c:valAx>
        <c:axId val="80361136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4841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5321992487624"/>
          <c:y val="0.0787843557603584"/>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[决算公开分析图表.xls]Sheet1!$A$115:$B$115</c:f>
              <c:strCache>
                <c:ptCount val="2"/>
                <c:pt idx="0">
                  <c:v>2023年</c:v>
                </c:pt>
                <c:pt idx="1">
                  <c:v>2024年</c:v>
                </c:pt>
              </c:strCache>
            </c:strRef>
          </c:cat>
          <c:val>
            <c:numRef>
              <c:f>[决算公开分析图表.xls]Sheet1!$A$116:$B$116</c:f>
              <c:numCache>
                <c:formatCode>General</c:formatCode>
                <c:ptCount val="2"/>
                <c:pt idx="0">
                  <c:v>1129.88</c:v>
                </c:pt>
                <c:pt idx="1" c:formatCode="#,##0.00">
                  <c:v>1013.96</c:v>
                </c:pt>
              </c:numCache>
            </c:numRef>
          </c:val>
        </c:ser>
        <c:dLbls>
          <c:showLegendKey val="0"/>
          <c:showVal val="0"/>
          <c:showCatName val="0"/>
          <c:showSerName val="0"/>
          <c:showPercent val="0"/>
          <c:showBubbleSize val="0"/>
        </c:dLbls>
        <c:gapWidth val="219"/>
        <c:overlap val="-27"/>
        <c:axId val="214012275"/>
        <c:axId val="92476527"/>
      </c:barChart>
      <c:catAx>
        <c:axId val="21401227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476527"/>
        <c:crosses val="autoZero"/>
        <c:auto val="1"/>
        <c:lblAlgn val="ctr"/>
        <c:lblOffset val="100"/>
        <c:noMultiLvlLbl val="0"/>
      </c:catAx>
      <c:valAx>
        <c:axId val="9247652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40122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2923053574139"/>
          <c:y val="0.0421348314606742"/>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dPt>
          <c:dLbls>
            <c:delete val="1"/>
          </c:dLbls>
          <c:cat>
            <c:strRef>
              <c:f>[决算公开分析图表.xls]Sheet1!$C$139:$C$143</c:f>
              <c:strCache>
                <c:ptCount val="5"/>
                <c:pt idx="0">
                  <c:v>一般公共服务支出</c:v>
                </c:pt>
                <c:pt idx="1">
                  <c:v>社会保障和就业支出</c:v>
                </c:pt>
                <c:pt idx="2">
                  <c:v>卫生健康支出</c:v>
                </c:pt>
                <c:pt idx="3">
                  <c:v>住房保障支出</c:v>
                </c:pt>
                <c:pt idx="4">
                  <c:v>公共安全支出</c:v>
                </c:pt>
              </c:strCache>
            </c:strRef>
          </c:cat>
          <c:val>
            <c:numRef>
              <c:f>[决算公开分析图表.xls]Sheet1!$D$139:$D$143</c:f>
              <c:numCache>
                <c:formatCode>General</c:formatCode>
                <c:ptCount val="5"/>
                <c:pt idx="0">
                  <c:v>901.24</c:v>
                </c:pt>
                <c:pt idx="1">
                  <c:v>55.66</c:v>
                </c:pt>
                <c:pt idx="2">
                  <c:v>19.48</c:v>
                </c:pt>
                <c:pt idx="3" c:formatCode="#,##0.00">
                  <c:v>27.58</c:v>
                </c:pt>
                <c:pt idx="4" c:formatCode="#,##0.00">
                  <c:v>10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49213870342451"/>
          <c:y val="0.211764705882353"/>
          <c:w val="0.432694378634504"/>
          <c:h val="0.77815126050420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spPr/>
          <c:explosion val="0"/>
          <c:dPt>
            <c:idx val="0"/>
            <c:bubble3D val="0"/>
            <c:explosion val="0"/>
            <c:spPr>
              <a:solidFill>
                <a:schemeClr val="accent1"/>
              </a:solidFill>
              <a:ln>
                <a:noFill/>
              </a:ln>
              <a:effectLst/>
            </c:spPr>
          </c:dPt>
          <c:dPt>
            <c:idx val="1"/>
            <c:bubble3D val="0"/>
            <c:explosion val="0"/>
            <c:spPr>
              <a:solidFill>
                <a:schemeClr val="accent3"/>
              </a:solidFill>
              <a:ln>
                <a:noFill/>
              </a:ln>
              <a:effectLst/>
            </c:spPr>
          </c:dPt>
          <c:dPt>
            <c:idx val="2"/>
            <c:bubble3D val="0"/>
            <c:explosion val="0"/>
            <c:spPr>
              <a:solidFill>
                <a:schemeClr val="accent5"/>
              </a:solidFill>
              <a:ln>
                <a:noFill/>
              </a:ln>
              <a:effectLst/>
            </c:spPr>
          </c:dPt>
          <c:dLbls>
            <c:delete val="1"/>
          </c:dLbls>
          <c:cat>
            <c:strRef>
              <c:f>[决算公开分析图表.xls]Sheet1!$A$166:$A$168</c:f>
              <c:strCache>
                <c:ptCount val="3"/>
                <c:pt idx="0">
                  <c:v>因公出国（境）费</c:v>
                </c:pt>
                <c:pt idx="1">
                  <c:v>公务接待费</c:v>
                </c:pt>
                <c:pt idx="2">
                  <c:v>公务用车购置及运行维护费</c:v>
                </c:pt>
              </c:strCache>
            </c:strRef>
          </c:cat>
          <c:val>
            <c:numRef>
              <c:f>[决算公开分析图表.xls]Sheet1!$B$166:$B$168</c:f>
              <c:numCache>
                <c:formatCode>General</c:formatCode>
                <c:ptCount val="3"/>
                <c:pt idx="0">
                  <c:v>0</c:v>
                </c:pt>
                <c:pt idx="1">
                  <c:v>0</c:v>
                </c:pt>
                <c:pt idx="2">
                  <c:v>11.99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45</Pages>
  <Words>10102</Words>
  <Characters>10897</Characters>
  <Lines>101</Lines>
  <Paragraphs>28</Paragraphs>
  <TotalTime>12</TotalTime>
  <ScaleCrop>false</ScaleCrop>
  <LinksUpToDate>false</LinksUpToDate>
  <CharactersWithSpaces>10996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Administrator</cp:lastModifiedBy>
  <cp:lastPrinted>2025-10-24T03:25:24Z</cp:lastPrinted>
  <dcterms:modified xsi:type="dcterms:W3CDTF">2025-10-24T03:25:58Z</dcterms:modified>
  <dc:title>阿坝州部门决算说明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5539177B32C04EBABF315ED8B050EB7D</vt:lpwstr>
  </property>
</Properties>
</file>