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77193"/>
      <w:bookmarkStart w:id="3" w:name="_Toc15377425"/>
      <w:bookmarkStart w:id="4" w:name="_Toc15378441"/>
      <w:bookmarkStart w:id="5" w:name="_Toc15396597"/>
      <w:r>
        <w:rPr>
          <w:rFonts w:hint="eastAsia" w:ascii="黑体" w:hAnsi="黑体" w:eastAsia="黑体"/>
          <w:sz w:val="72"/>
          <w:szCs w:val="72"/>
          <w:lang w:eastAsia="zh-CN"/>
        </w:rPr>
        <w:t>2022年</w:t>
      </w:r>
      <w:r>
        <w:rPr>
          <w:rFonts w:hint="eastAsia" w:ascii="黑体" w:hAnsi="黑体" w:eastAsia="黑体"/>
          <w:sz w:val="72"/>
          <w:szCs w:val="72"/>
        </w:rPr>
        <w:t>度</w:t>
      </w:r>
      <w:bookmarkEnd w:id="1"/>
      <w:bookmarkEnd w:id="2"/>
      <w:bookmarkEnd w:id="3"/>
      <w:bookmarkEnd w:id="4"/>
      <w:bookmarkEnd w:id="5"/>
    </w:p>
    <w:bookmarkEnd w:id="0"/>
    <w:p>
      <w:pPr>
        <w:jc w:val="center"/>
        <w:rPr>
          <w:rFonts w:hint="eastAsia" w:ascii="方正小标宋简体" w:eastAsia="方正小标宋简体"/>
          <w:sz w:val="72"/>
          <w:szCs w:val="72"/>
          <w:lang w:eastAsia="zh-CN"/>
        </w:rPr>
      </w:pPr>
      <w:bookmarkStart w:id="6" w:name="_Toc15396476"/>
      <w:bookmarkStart w:id="7" w:name="_Toc15377426"/>
      <w:bookmarkStart w:id="8" w:name="_Toc15378442"/>
      <w:bookmarkStart w:id="9" w:name="_Toc15306268"/>
      <w:bookmarkStart w:id="10" w:name="_Toc15396598"/>
      <w:bookmarkStart w:id="11" w:name="_Toc15377194"/>
      <w:r>
        <w:rPr>
          <w:rFonts w:hint="eastAsia" w:ascii="方正小标宋简体" w:eastAsia="方正小标宋简体"/>
          <w:sz w:val="72"/>
          <w:szCs w:val="72"/>
          <w:lang w:eastAsia="zh-CN"/>
        </w:rPr>
        <w:t>壤塘县工商业联合会</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Style w:val="19"/>
        <w:rPr>
          <w:rFonts w:ascii="方正小标宋简体" w:hAnsi="宋体" w:eastAsia="方正小标宋简体"/>
          <w:sz w:val="36"/>
          <w:szCs w:val="36"/>
        </w:rPr>
      </w:pPr>
    </w:p>
    <w:p>
      <w:pPr>
        <w:rPr>
          <w:rFonts w:ascii="方正小标宋简体" w:hAnsi="宋体" w:eastAsia="方正小标宋简体"/>
          <w:sz w:val="36"/>
          <w:szCs w:val="36"/>
        </w:rPr>
      </w:pPr>
    </w:p>
    <w:p>
      <w:pPr>
        <w:pStyle w:val="19"/>
        <w:rPr>
          <w:rFonts w:ascii="方正小标宋简体" w:hAnsi="宋体" w:eastAsia="方正小标宋简体"/>
          <w:sz w:val="36"/>
          <w:szCs w:val="36"/>
        </w:rPr>
      </w:pPr>
    </w:p>
    <w:p/>
    <w:p>
      <w:pPr>
        <w:rPr>
          <w:rFonts w:ascii="方正小标宋简体" w:hAnsi="宋体" w:eastAsia="方正小标宋简体"/>
          <w:sz w:val="36"/>
          <w:szCs w:val="36"/>
        </w:rPr>
      </w:pPr>
    </w:p>
    <w:p>
      <w:pPr>
        <w:widowControl/>
        <w:jc w:val="center"/>
        <w:rPr>
          <w:rFonts w:ascii="方正小标宋简体" w:hAnsi="宋体" w:eastAsia="方正小标宋简体"/>
          <w:color w:val="000000"/>
          <w:sz w:val="36"/>
          <w:szCs w:val="36"/>
        </w:rPr>
      </w:pPr>
    </w:p>
    <w:p>
      <w:pPr>
        <w:pStyle w:val="11"/>
        <w:rPr>
          <w:rFonts w:ascii="方正小标宋简体" w:hAnsi="宋体" w:eastAsia="方正小标宋简体"/>
          <w:color w:val="000000"/>
          <w:sz w:val="36"/>
          <w:szCs w:val="36"/>
        </w:rPr>
      </w:pPr>
    </w:p>
    <w:p>
      <w:pPr>
        <w:pStyle w:val="11"/>
        <w:rPr>
          <w:rFonts w:ascii="方正小标宋简体" w:hAnsi="宋体" w:eastAsia="方正小标宋简体"/>
          <w:color w:val="000000"/>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黑体" w:hAnsi="黑体" w:eastAsia="黑体"/>
          <w:color w:val="000000"/>
          <w:sz w:val="48"/>
          <w:szCs w:val="48"/>
        </w:rPr>
      </w:pPr>
      <w:r>
        <w:rPr>
          <w:rFonts w:hint="eastAsia" w:ascii="黑体" w:hAnsi="黑体" w:eastAsia="黑体"/>
          <w:color w:val="000000"/>
          <w:sz w:val="48"/>
          <w:szCs w:val="48"/>
        </w:rPr>
        <w:t>目录</w:t>
      </w:r>
    </w:p>
    <w:p>
      <w:pPr>
        <w:pStyle w:val="16"/>
        <w:keepNext w:val="0"/>
        <w:keepLines w:val="0"/>
        <w:pageBreakBefore w:val="0"/>
        <w:kinsoku/>
        <w:wordWrap/>
        <w:overflowPunct/>
        <w:topLinePunct w:val="0"/>
        <w:autoSpaceDE/>
        <w:autoSpaceDN/>
        <w:bidi w:val="0"/>
        <w:adjustRightInd/>
        <w:snapToGrid/>
        <w:spacing w:line="500" w:lineRule="exact"/>
        <w:jc w:val="center"/>
        <w:textAlignment w:val="auto"/>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3</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13</w:t>
      </w:r>
      <w:r>
        <w:rPr>
          <w:rFonts w:hint="eastAsia" w:hAnsiTheme="minorHAnsi"/>
          <w:b w:val="0"/>
          <w:bCs w:val="0"/>
          <w:sz w:val="24"/>
          <w:szCs w:val="24"/>
        </w:rPr>
        <w:t>日</w:t>
      </w:r>
    </w:p>
    <w:p>
      <w:pPr>
        <w:pStyle w:val="16"/>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黑体" w:hAnsi="黑体" w:eastAsia="黑体"/>
          <w:color w:val="000000"/>
        </w:rPr>
        <w:t>一、</w:t>
      </w:r>
      <w:r>
        <w:rPr>
          <w:rFonts w:hint="eastAsia" w:ascii="黑体" w:hAnsi="黑体" w:eastAsia="黑体"/>
          <w:color w:val="000000"/>
          <w:lang w:val="en-US" w:eastAsia="zh-CN"/>
        </w:rPr>
        <w:t>部门职责</w:t>
      </w:r>
      <w:r>
        <w:tab/>
      </w:r>
      <w:r>
        <w:fldChar w:fldCharType="begin"/>
      </w:r>
      <w:r>
        <w:instrText xml:space="preserve"> PAGEREF _Toc79163852 \h </w:instrText>
      </w:r>
      <w:r>
        <w:fldChar w:fldCharType="separate"/>
      </w:r>
      <w:r>
        <w:t>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4</w:t>
      </w:r>
      <w:r>
        <w:fldChar w:fldCharType="end"/>
      </w:r>
    </w:p>
    <w:p>
      <w:pPr>
        <w:pStyle w:val="16"/>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hint="eastAsia" w:ascii="黑体" w:hAnsi="黑体" w:eastAsia="黑体"/>
          <w:b w:val="0"/>
          <w:bCs w:val="0"/>
          <w:lang w:eastAsia="zh-CN"/>
        </w:rPr>
        <w:t>2022年</w:t>
      </w:r>
      <w:r>
        <w:rPr>
          <w:rFonts w:ascii="黑体" w:hAnsi="黑体" w:eastAsia="黑体"/>
          <w:b w:val="0"/>
          <w:bCs w:val="0"/>
        </w:rPr>
        <w:t>度部门决算情况说明</w:t>
      </w:r>
      <w:r>
        <w:tab/>
      </w:r>
      <w:r>
        <w:fldChar w:fldCharType="begin"/>
      </w:r>
      <w:r>
        <w:instrText xml:space="preserve"> PAGEREF _Toc79163859 \h </w:instrText>
      </w:r>
      <w:r>
        <w:fldChar w:fldCharType="separate"/>
      </w:r>
      <w:r>
        <w:t>5</w:t>
      </w:r>
      <w:r>
        <w:fldChar w:fldCharType="end"/>
      </w:r>
    </w:p>
    <w:p>
      <w:pPr>
        <w:pStyle w:val="20"/>
        <w:keepNext w:val="0"/>
        <w:keepLines w:val="0"/>
        <w:pageBreakBefore w:val="0"/>
        <w:tabs>
          <w:tab w:val="left" w:pos="840"/>
          <w:tab w:val="right" w:leader="dot" w:pos="8296"/>
        </w:tabs>
        <w:kinsoku/>
        <w:wordWrap/>
        <w:overflowPunct/>
        <w:topLinePunct w:val="0"/>
        <w:autoSpaceDE/>
        <w:autoSpaceDN/>
        <w:bidi w:val="0"/>
        <w:adjustRightInd/>
        <w:snapToGrid/>
        <w:spacing w:line="500" w:lineRule="exact"/>
        <w:textAlignment w:val="auto"/>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7</w:t>
      </w:r>
    </w:p>
    <w:p>
      <w:pPr>
        <w:pStyle w:val="20"/>
        <w:keepNext w:val="0"/>
        <w:keepLines w:val="0"/>
        <w:pageBreakBefore w:val="0"/>
        <w:tabs>
          <w:tab w:val="left" w:pos="840"/>
          <w:tab w:val="right" w:leader="dot" w:pos="8296"/>
        </w:tabs>
        <w:kinsoku/>
        <w:wordWrap/>
        <w:overflowPunct/>
        <w:topLinePunct w:val="0"/>
        <w:autoSpaceDE/>
        <w:autoSpaceDN/>
        <w:bidi w:val="0"/>
        <w:adjustRightInd/>
        <w:snapToGrid/>
        <w:spacing w:line="500" w:lineRule="exact"/>
        <w:textAlignment w:val="auto"/>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8</w:t>
      </w:r>
    </w:p>
    <w:p>
      <w:pPr>
        <w:pStyle w:val="20"/>
        <w:keepNext w:val="0"/>
        <w:keepLines w:val="0"/>
        <w:pageBreakBefore w:val="0"/>
        <w:tabs>
          <w:tab w:val="left" w:pos="840"/>
          <w:tab w:val="right" w:leader="dot" w:pos="8296"/>
        </w:tabs>
        <w:kinsoku/>
        <w:wordWrap/>
        <w:overflowPunct/>
        <w:topLinePunct w:val="0"/>
        <w:autoSpaceDE/>
        <w:autoSpaceDN/>
        <w:bidi w:val="0"/>
        <w:adjustRightInd/>
        <w:snapToGrid/>
        <w:spacing w:line="500" w:lineRule="exact"/>
        <w:textAlignment w:val="auto"/>
        <w:rPr>
          <w:rFonts w:hint="eastAsia" w:hAnsiTheme="minorHAnsi" w:eastAsiaTheme="minorHAnsi" w:cstheme="minorBidi"/>
          <w:smallCaps w:val="0"/>
          <w:sz w:val="21"/>
          <w:szCs w:val="22"/>
          <w:lang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8</w:t>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7</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8</w:t>
      </w:r>
      <w: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8</w:t>
      </w:r>
      <w: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9</w:t>
      </w:r>
      <w: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9</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10</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11</w:t>
      </w:r>
      <w: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11</w:t>
      </w:r>
      <w: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11</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12</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12</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12</w:t>
      </w:r>
      <w: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12</w:t>
      </w:r>
      <w: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13</w:t>
      </w:r>
      <w: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13</w:t>
      </w:r>
      <w: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13</w:t>
      </w:r>
      <w:r>
        <w:fldChar w:fldCharType="end"/>
      </w:r>
    </w:p>
    <w:p>
      <w:pPr>
        <w:pStyle w:val="16"/>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15</w:t>
      </w:r>
      <w:r>
        <w:fldChar w:fldCharType="end"/>
      </w:r>
    </w:p>
    <w:p>
      <w:pPr>
        <w:pStyle w:val="16"/>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18</w:t>
      </w:r>
      <w:r>
        <w:fldChar w:fldCharType="end"/>
      </w:r>
    </w:p>
    <w:p>
      <w:pPr>
        <w:pStyle w:val="16"/>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b w:val="0"/>
          <w:bCs w:val="0"/>
          <w:caps w:val="0"/>
          <w:sz w:val="21"/>
          <w:szCs w:val="22"/>
        </w:rPr>
      </w:pPr>
      <w:r>
        <w:rPr>
          <w:rFonts w:ascii="黑体" w:hAnsi="黑体" w:eastAsia="黑体" w:cs="黑体"/>
        </w:rPr>
        <w:t>附件1</w:t>
      </w:r>
      <w:r>
        <w:rPr>
          <w:rFonts w:hint="eastAsia" w:ascii="黑体" w:hAnsi="黑体" w:eastAsia="黑体" w:cs="黑体"/>
          <w:lang w:val="en-US" w:eastAsia="zh-CN"/>
        </w:rPr>
        <w:t>壤塘县工商业联合会</w:t>
      </w:r>
      <w:r>
        <w:rPr>
          <w:rFonts w:hint="eastAsia" w:ascii="黑体" w:hAnsi="黑体" w:eastAsia="黑体" w:cs="黑体"/>
          <w:lang w:eastAsia="zh-CN"/>
        </w:rPr>
        <w:t>2022年</w:t>
      </w:r>
      <w:r>
        <w:rPr>
          <w:rFonts w:hint="eastAsia" w:ascii="黑体" w:hAnsi="黑体" w:eastAsia="黑体" w:cs="黑体"/>
        </w:rPr>
        <w:t>部门整体支出绩效评价</w:t>
      </w:r>
      <w:r>
        <w:rPr>
          <w:rFonts w:hint="eastAsia" w:ascii="黑体" w:hAnsi="黑体" w:eastAsia="黑体" w:cs="黑体"/>
          <w:lang w:val="en-US" w:eastAsia="zh-CN"/>
        </w:rPr>
        <w:t>报告</w:t>
      </w:r>
      <w:r>
        <w:rPr>
          <w:rFonts w:hint="eastAsia" w:ascii="黑体" w:hAnsi="黑体" w:eastAsia="黑体" w:cs="黑体"/>
          <w:lang w:val="en-US" w:eastAsia="zh-CN"/>
        </w:rPr>
        <w:tab/>
      </w:r>
      <w:r>
        <w:fldChar w:fldCharType="begin"/>
      </w:r>
      <w:r>
        <w:instrText xml:space="preserve"> PAGEREF _Toc79163881 \h </w:instrText>
      </w:r>
      <w:r>
        <w:fldChar w:fldCharType="separate"/>
      </w:r>
      <w:r>
        <w:t>18</w:t>
      </w:r>
      <w:r>
        <w:fldChar w:fldCharType="end"/>
      </w:r>
    </w:p>
    <w:p>
      <w:pPr>
        <w:pStyle w:val="16"/>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23</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fldChar w:fldCharType="begin"/>
      </w:r>
      <w:r>
        <w:instrText xml:space="preserve"> PAGEREF _Toc79163898 \h </w:instrText>
      </w:r>
      <w:r>
        <w:fldChar w:fldCharType="separate"/>
      </w:r>
      <w:r>
        <w:t>24</w:t>
      </w:r>
      <w:r>
        <w:fldChar w:fldCharType="end"/>
      </w:r>
    </w:p>
    <w:p>
      <w:pPr>
        <w:pStyle w:val="20"/>
        <w:keepNext w:val="0"/>
        <w:keepLines w:val="0"/>
        <w:pageBreakBefore w:val="0"/>
        <w:tabs>
          <w:tab w:val="right" w:leader="dot" w:pos="8296"/>
        </w:tabs>
        <w:kinsoku/>
        <w:wordWrap/>
        <w:overflowPunct/>
        <w:topLinePunct w:val="0"/>
        <w:autoSpaceDE/>
        <w:autoSpaceDN/>
        <w:bidi w:val="0"/>
        <w:adjustRightInd/>
        <w:snapToGrid/>
        <w:spacing w:line="500" w:lineRule="exact"/>
        <w:textAlignment w:val="auto"/>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24</w:t>
      </w:r>
      <w:r>
        <w:fldChar w:fldCharType="end"/>
      </w:r>
    </w:p>
    <w:p>
      <w:pPr>
        <w:keepNext w:val="0"/>
        <w:keepLines w:val="0"/>
        <w:pageBreakBefore w:val="0"/>
        <w:kinsoku/>
        <w:wordWrap/>
        <w:overflowPunct/>
        <w:topLinePunct w:val="0"/>
        <w:autoSpaceDE/>
        <w:autoSpaceDN/>
        <w:bidi w:val="0"/>
        <w:adjustRightInd/>
        <w:snapToGrid/>
        <w:spacing w:line="500" w:lineRule="exact"/>
        <w:textAlignment w:val="auto"/>
      </w:pPr>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8"/>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8"/>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keepNext/>
        <w:keepLines/>
        <w:pageBreakBefore w:val="0"/>
        <w:widowControl w:val="0"/>
        <w:numPr>
          <w:ilvl w:val="0"/>
          <w:numId w:val="1"/>
        </w:numPr>
        <w:kinsoku/>
        <w:wordWrap/>
        <w:overflowPunct/>
        <w:topLinePunct w:val="0"/>
        <w:autoSpaceDE/>
        <w:autoSpaceDN/>
        <w:bidi w:val="0"/>
        <w:adjustRightInd/>
        <w:snapToGrid/>
        <w:spacing w:line="560" w:lineRule="exact"/>
        <w:textAlignment w:val="auto"/>
        <w:rPr>
          <w:rStyle w:val="29"/>
          <w:rFonts w:hint="eastAsia" w:ascii="黑体" w:hAnsi="黑体" w:eastAsia="黑体"/>
          <w:b w:val="0"/>
          <w:bCs w:val="0"/>
        </w:rPr>
      </w:pPr>
      <w:bookmarkStart w:id="16" w:name="_Toc15396600"/>
      <w:bookmarkStart w:id="17" w:name="_Toc79163602"/>
      <w:bookmarkStart w:id="18" w:name="_Toc15377197"/>
      <w:bookmarkStart w:id="19" w:name="_Toc79163852"/>
      <w:r>
        <w:rPr>
          <w:rFonts w:hint="eastAsia" w:ascii="黑体" w:hAnsi="黑体" w:eastAsia="黑体"/>
          <w:b w:val="0"/>
          <w:color w:val="000000"/>
          <w:lang w:val="en-US" w:eastAsia="zh-CN"/>
        </w:rPr>
        <w:t>部门职责</w:t>
      </w:r>
      <w:bookmarkEnd w:id="16"/>
      <w:bookmarkEnd w:id="17"/>
      <w:bookmarkEnd w:id="18"/>
      <w:bookmarkEnd w:id="19"/>
      <w:bookmarkStart w:id="146" w:name="_GoBack"/>
      <w:bookmarkEnd w:id="146"/>
      <w:bookmarkStart w:id="20" w:name="_Toc79163853"/>
      <w:bookmarkStart w:id="21" w:name="_Toc15378445"/>
      <w:bookmarkStart w:id="22" w:name="_Toc15377198"/>
      <w:bookmarkStart w:id="23" w:name="_Toc79163603"/>
    </w:p>
    <w:bookmarkEnd w:id="20"/>
    <w:bookmarkEnd w:id="21"/>
    <w:bookmarkEnd w:id="22"/>
    <w:bookmarkEnd w:id="23"/>
    <w:p>
      <w:pPr>
        <w:pStyle w:val="4"/>
        <w:numPr>
          <w:ilvl w:val="0"/>
          <w:numId w:val="0"/>
        </w:numPr>
        <w:ind w:firstLine="640" w:firstLineChars="200"/>
        <w:rPr>
          <w:rFonts w:hint="eastAsia" w:ascii="仿宋_GB2312" w:hAnsi="仿宋_GB2312" w:eastAsia="仿宋_GB2312" w:cs="仿宋_GB2312"/>
          <w:b w:val="0"/>
          <w:bCs w:val="0"/>
          <w:sz w:val="32"/>
          <w:szCs w:val="32"/>
        </w:rPr>
      </w:pPr>
      <w:bookmarkStart w:id="24" w:name="_Toc79163855"/>
      <w:bookmarkStart w:id="25" w:name="_Toc15396601"/>
      <w:bookmarkStart w:id="26" w:name="_Toc79163605"/>
      <w:bookmarkStart w:id="27" w:name="_Toc15377200"/>
      <w:r>
        <w:rPr>
          <w:rFonts w:hint="eastAsia" w:ascii="仿宋_GB2312" w:hAnsi="仿宋_GB2312" w:eastAsia="仿宋_GB2312" w:cs="仿宋_GB2312"/>
          <w:b w:val="0"/>
          <w:bCs w:val="0"/>
          <w:sz w:val="32"/>
          <w:szCs w:val="32"/>
        </w:rPr>
        <w:t>综合办公室。负责综合和反映全县工商联商会工作情况及贯彻落实县政府重大决策的情况；负责文件、机要、档案、文印管理工作；负责秘书实务、会议组织、日常值班及保卫保密工作；负责行政事务、财务和资产管理、内部协调和工勤人员</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后勤服务等工作；负责政府与商会工作的协调；负责督办领导集体决定事项的执行；指导商会的各项工作。</w:t>
      </w:r>
    </w:p>
    <w:p>
      <w:pPr>
        <w:pStyle w:val="4"/>
        <w:pageBreakBefore w:val="0"/>
        <w:widowControl w:val="0"/>
        <w:kinsoku/>
        <w:wordWrap/>
        <w:overflowPunct/>
        <w:topLinePunct w:val="0"/>
        <w:bidi w:val="0"/>
        <w:spacing w:line="560" w:lineRule="exact"/>
        <w:textAlignment w:val="auto"/>
        <w:rPr>
          <w:rStyle w:val="29"/>
          <w:b w:val="0"/>
          <w:bCs w:val="0"/>
        </w:rPr>
      </w:pPr>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4"/>
      <w:bookmarkEnd w:id="25"/>
      <w:bookmarkEnd w:id="26"/>
      <w:bookmarkEnd w:id="27"/>
    </w:p>
    <w:p>
      <w:pPr>
        <w:pStyle w:val="7"/>
        <w:pageBreakBefore w:val="0"/>
        <w:widowControl w:val="0"/>
        <w:kinsoku/>
        <w:wordWrap/>
        <w:overflowPunct/>
        <w:topLinePunct w:val="0"/>
        <w:bidi w:val="0"/>
        <w:adjustRightInd w:val="0"/>
        <w:snapToGrid w:val="0"/>
        <w:spacing w:before="93" w:line="560" w:lineRule="exact"/>
        <w:ind w:firstLine="672" w:firstLineChars="210"/>
        <w:textAlignment w:val="auto"/>
        <w:rPr>
          <w:rFonts w:ascii="仿宋" w:hAnsi="仿宋" w:eastAsia="仿宋"/>
          <w:color w:val="000000"/>
          <w:kern w:val="0"/>
          <w:sz w:val="32"/>
          <w:szCs w:val="32"/>
        </w:rPr>
      </w:pPr>
      <w:bookmarkStart w:id="28" w:name="_Toc12356"/>
      <w:bookmarkStart w:id="29" w:name="_Toc10699"/>
      <w:bookmarkStart w:id="30" w:name="_Toc30939"/>
      <w:r>
        <w:rPr>
          <w:rFonts w:hint="eastAsia" w:hAnsi="仿宋" w:cs="Times New Roman"/>
          <w:b w:val="0"/>
          <w:bCs w:val="0"/>
          <w:kern w:val="2"/>
          <w:sz w:val="32"/>
          <w:szCs w:val="32"/>
          <w:highlight w:val="none"/>
          <w:lang w:val="en-US" w:eastAsia="zh-CN" w:bidi="ar-SA"/>
        </w:rPr>
        <w:t>壤塘县工商业联合会</w:t>
      </w:r>
      <w:r>
        <w:rPr>
          <w:rFonts w:hint="eastAsia" w:ascii="仿宋_GB2312" w:hAnsi="仿宋" w:eastAsia="仿宋_GB2312" w:cs="Times New Roman"/>
          <w:b w:val="0"/>
          <w:bCs w:val="0"/>
          <w:kern w:val="2"/>
          <w:sz w:val="32"/>
          <w:szCs w:val="32"/>
          <w:highlight w:val="none"/>
          <w:lang w:val="en-US" w:eastAsia="zh-CN" w:bidi="ar-SA"/>
        </w:rPr>
        <w:t>无下属二级单位，本单位属</w:t>
      </w:r>
      <w:r>
        <w:rPr>
          <w:rFonts w:hint="eastAsia" w:hAnsi="仿宋" w:cs="Times New Roman"/>
          <w:b w:val="0"/>
          <w:bCs w:val="0"/>
          <w:kern w:val="2"/>
          <w:sz w:val="32"/>
          <w:szCs w:val="32"/>
          <w:highlight w:val="none"/>
          <w:lang w:val="en-US" w:eastAsia="zh-CN" w:bidi="ar-SA"/>
        </w:rPr>
        <w:t>行政</w:t>
      </w:r>
      <w:r>
        <w:rPr>
          <w:rFonts w:hint="eastAsia" w:ascii="仿宋_GB2312" w:hAnsi="仿宋" w:eastAsia="仿宋_GB2312" w:cs="Times New Roman"/>
          <w:b w:val="0"/>
          <w:bCs w:val="0"/>
          <w:kern w:val="2"/>
          <w:sz w:val="32"/>
          <w:szCs w:val="32"/>
          <w:highlight w:val="none"/>
          <w:lang w:val="en-US" w:eastAsia="zh-CN" w:bidi="ar-SA"/>
        </w:rPr>
        <w:t>单位。</w:t>
      </w:r>
      <w:bookmarkEnd w:id="28"/>
      <w:bookmarkEnd w:id="29"/>
      <w:bookmarkEnd w:id="30"/>
      <w:r>
        <w:rPr>
          <w:rFonts w:ascii="仿宋" w:hAnsi="仿宋" w:eastAsia="仿宋"/>
          <w:color w:val="000000"/>
          <w:sz w:val="32"/>
          <w:szCs w:val="32"/>
        </w:rPr>
        <w:br w:type="page"/>
      </w:r>
    </w:p>
    <w:p>
      <w:pPr>
        <w:pStyle w:val="3"/>
        <w:pageBreakBefore w:val="0"/>
        <w:widowControl w:val="0"/>
        <w:kinsoku/>
        <w:wordWrap/>
        <w:overflowPunct/>
        <w:topLinePunct w:val="0"/>
        <w:bidi w:val="0"/>
        <w:spacing w:line="560" w:lineRule="exact"/>
        <w:ind w:right="440"/>
        <w:jc w:val="right"/>
        <w:textAlignment w:val="auto"/>
        <w:rPr>
          <w:rStyle w:val="28"/>
          <w:rFonts w:ascii="黑体" w:hAnsi="黑体" w:eastAsia="黑体"/>
          <w:b w:val="0"/>
          <w:bCs w:val="0"/>
        </w:rPr>
      </w:pPr>
      <w:bookmarkStart w:id="31" w:name="_Toc15377204"/>
      <w:bookmarkStart w:id="32" w:name="_Toc79163609"/>
      <w:bookmarkStart w:id="33" w:name="_Toc79163859"/>
      <w:bookmarkStart w:id="34" w:name="_Toc15396602"/>
      <w:r>
        <w:rPr>
          <w:rFonts w:hint="eastAsia" w:ascii="黑体" w:hAnsi="黑体" w:eastAsia="黑体"/>
          <w:b w:val="0"/>
          <w:color w:val="000000"/>
        </w:rPr>
        <w:t>第二部分</w:t>
      </w:r>
      <w:r>
        <w:rPr>
          <w:rFonts w:ascii="黑体" w:hAnsi="黑体" w:eastAsia="黑体"/>
          <w:color w:val="000000"/>
        </w:rPr>
        <w:t xml:space="preserve"> </w:t>
      </w:r>
      <w:r>
        <w:rPr>
          <w:rStyle w:val="28"/>
          <w:rFonts w:hint="eastAsia" w:ascii="黑体" w:hAnsi="黑体" w:eastAsia="黑体"/>
          <w:b w:val="0"/>
          <w:bCs w:val="0"/>
          <w:lang w:eastAsia="zh-CN"/>
        </w:rPr>
        <w:t>2022年</w:t>
      </w:r>
      <w:r>
        <w:rPr>
          <w:rStyle w:val="28"/>
          <w:rFonts w:hint="eastAsia" w:ascii="黑体" w:hAnsi="黑体" w:eastAsia="黑体"/>
          <w:b w:val="0"/>
          <w:bCs w:val="0"/>
        </w:rPr>
        <w:t>度部门决算情况说明</w:t>
      </w:r>
      <w:bookmarkEnd w:id="31"/>
      <w:bookmarkEnd w:id="32"/>
      <w:bookmarkEnd w:id="33"/>
      <w:bookmarkEnd w:id="34"/>
    </w:p>
    <w:p>
      <w:pPr>
        <w:pStyle w:val="4"/>
        <w:keepNext/>
        <w:keepLines/>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一、收入支出决算总体情况说明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2022年度收入总计98.07万元，与2021年相比，增加16.72万元，增长20.56%。主要变动原因：本年新增项目，项目收入增加; 支出总计102.52万元。与2021年相比，增加2.04万元，增长2.03%。主要变动原因:本年新增项目，项目支出增加。</w:t>
      </w:r>
    </w:p>
    <w:p>
      <w:pPr>
        <w:pStyle w:val="22"/>
        <w:keepNext w:val="0"/>
        <w:keepLines w:val="0"/>
        <w:widowControl w:val="0"/>
        <w:suppressLineNumbers w:val="0"/>
        <w:spacing w:before="0" w:beforeAutospacing="1" w:after="0" w:afterAutospacing="0" w:line="360" w:lineRule="auto"/>
        <w:ind w:left="0" w:leftChars="0" w:right="0" w:firstLine="0" w:firstLineChars="0"/>
        <w:jc w:val="right"/>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r>
        <w:drawing>
          <wp:inline distT="0" distB="0" distL="114300" distR="114300">
            <wp:extent cx="4705350" cy="2452370"/>
            <wp:effectExtent l="4445" t="4445" r="14605" b="19685"/>
            <wp:docPr id="134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drawing>
          <wp:inline distT="0" distB="0" distL="114300" distR="114300">
            <wp:extent cx="4617085" cy="2290445"/>
            <wp:effectExtent l="4445" t="4445" r="7620" b="10160"/>
            <wp:docPr id="133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1</w:t>
      </w:r>
      <w:r>
        <w:rPr>
          <w:rFonts w:hint="eastAsia" w:ascii="仿宋" w:hAnsi="仿宋" w:eastAsia="仿宋" w:cs="仿宋"/>
          <w:color w:val="000000"/>
          <w:kern w:val="2"/>
          <w:sz w:val="32"/>
          <w:szCs w:val="32"/>
          <w:lang w:val="en-US" w:eastAsia="zh-CN" w:bidi="ar"/>
        </w:rPr>
        <w:t>：收、支决算总计变动情况图）（柱状图）</w:t>
      </w:r>
    </w:p>
    <w:p>
      <w:pPr>
        <w:keepNext w:val="0"/>
        <w:keepLines w:val="0"/>
        <w:widowControl w:val="0"/>
        <w:suppressLineNumbers w:val="0"/>
        <w:spacing w:before="0" w:beforeAutospacing="0" w:after="0" w:afterAutospacing="0" w:line="560" w:lineRule="exact"/>
        <w:ind w:left="0" w:right="0" w:firstLine="640" w:firstLineChars="200"/>
        <w:jc w:val="left"/>
        <w:rPr>
          <w:rFonts w:hint="default" w:ascii="仿宋_GB2312" w:hAnsi="Times New Roman" w:eastAsia="仿宋_GB2312" w:cs="Times New Roman"/>
          <w:color w:val="000000"/>
          <w:kern w:val="2"/>
          <w:sz w:val="32"/>
          <w:szCs w:val="32"/>
        </w:rPr>
      </w:pPr>
      <w:r>
        <w:rPr>
          <w:rFonts w:hint="default" w:ascii="仿宋_GB2312" w:hAnsi="Times New Roman" w:eastAsia="仿宋_GB2312" w:cs="Times New Roman"/>
          <w:color w:val="000000"/>
          <w:kern w:val="2"/>
          <w:sz w:val="32"/>
          <w:szCs w:val="32"/>
          <w:lang w:val="en-US" w:eastAsia="zh-CN" w:bidi="ar"/>
        </w:rPr>
        <w:t xml:space="preserve"> </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黑体" w:hAnsi="黑体" w:eastAsia="黑体" w:cs="Times New Roman"/>
          <w:b w:val="0"/>
          <w:bCs w:val="0"/>
          <w:color w:val="000000"/>
          <w:kern w:val="2"/>
          <w:sz w:val="32"/>
          <w:szCs w:val="32"/>
          <w:lang w:val="en-US" w:eastAsia="zh-CN" w:bidi="ar-SA"/>
        </w:rPr>
        <w:t>二、收入决算情况说明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lang w:val="en-US" w:eastAsia="zh-CN" w:bidi="ar"/>
        </w:rPr>
        <w:t>2022年</w:t>
      </w:r>
      <w:r>
        <w:rPr>
          <w:rFonts w:hint="eastAsia" w:ascii="仿宋" w:hAnsi="仿宋" w:eastAsia="仿宋" w:cs="仿宋"/>
          <w:color w:val="000000"/>
          <w:kern w:val="2"/>
          <w:sz w:val="32"/>
          <w:szCs w:val="32"/>
          <w:lang w:val="en-US" w:eastAsia="zh-CN" w:bidi="ar"/>
        </w:rPr>
        <w:t>本年收入合计98.07万元，其中：一般公共预算财政拨款收入98.07万元，占100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；政府性基金预算财政拨款收入0万元，占0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；上级补助收入0万元，占0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；事业收入0万元，占0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；经营收入0万元，占0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；附属单位上缴收入0万元，占0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；其他收入0万元，占0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w:t>
      </w:r>
    </w:p>
    <w:p>
      <w:pPr>
        <w:pStyle w:val="22"/>
        <w:keepNext w:val="0"/>
        <w:keepLines w:val="0"/>
        <w:widowControl w:val="0"/>
        <w:suppressLineNumbers w:val="0"/>
        <w:spacing w:before="0" w:beforeAutospacing="1" w:after="120" w:afterAutospacing="0" w:line="360" w:lineRule="auto"/>
        <w:ind w:left="0" w:leftChars="0" w:right="0" w:firstLine="420" w:firstLineChars="20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4371975" cy="2468880"/>
            <wp:effectExtent l="0" t="0" r="9525" b="762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8"/>
                    <a:stretch>
                      <a:fillRect/>
                    </a:stretch>
                  </pic:blipFill>
                  <pic:spPr>
                    <a:xfrm>
                      <a:off x="0" y="0"/>
                      <a:ext cx="4371975" cy="246888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2</w:t>
      </w:r>
      <w:r>
        <w:rPr>
          <w:rFonts w:hint="eastAsia" w:ascii="仿宋" w:hAnsi="仿宋" w:eastAsia="仿宋" w:cs="仿宋"/>
          <w:color w:val="000000"/>
          <w:kern w:val="2"/>
          <w:sz w:val="32"/>
          <w:szCs w:val="32"/>
          <w:lang w:val="en-US" w:eastAsia="zh-CN" w:bidi="ar"/>
        </w:rPr>
        <w:t>：收入决算结构图）（饼状图）</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Times New Roman" w:eastAsia="仿宋_GB2312" w:cs="Times New Roman"/>
          <w:color w:val="FF0000"/>
          <w:kern w:val="2"/>
          <w:sz w:val="32"/>
          <w:szCs w:val="32"/>
        </w:rPr>
      </w:pPr>
      <w:r>
        <w:rPr>
          <w:rFonts w:hint="default" w:ascii="仿宋_GB2312" w:hAnsi="Times New Roman" w:eastAsia="仿宋_GB2312" w:cs="Times New Roman"/>
          <w:color w:val="FF0000"/>
          <w:kern w:val="2"/>
          <w:sz w:val="32"/>
          <w:szCs w:val="32"/>
          <w:lang w:val="en-US" w:eastAsia="zh-CN" w:bidi="ar"/>
        </w:rPr>
        <w:t xml:space="preserve"> </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黑体" w:hAnsi="黑体" w:eastAsia="黑体" w:cs="Times New Roman"/>
          <w:b w:val="0"/>
          <w:bCs w:val="0"/>
          <w:color w:val="000000"/>
          <w:kern w:val="2"/>
          <w:sz w:val="32"/>
          <w:szCs w:val="32"/>
          <w:lang w:val="en-US" w:eastAsia="zh-CN" w:bidi="ar-SA"/>
        </w:rPr>
        <w:t>三、支出决算情况说</w:t>
      </w:r>
      <w:r>
        <w:rPr>
          <w:rFonts w:hint="eastAsia"/>
          <w:lang w:val="en-US" w:eastAsia="zh-CN"/>
        </w:rPr>
        <w:t>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szCs w:val="32"/>
        </w:rPr>
      </w:pPr>
      <w:r>
        <w:rPr>
          <w:rFonts w:hint="eastAsia" w:ascii="仿宋_GB2312" w:eastAsia="仿宋_GB2312" w:cs="Times New Roman"/>
          <w:kern w:val="2"/>
          <w:sz w:val="32"/>
          <w:szCs w:val="32"/>
          <w:lang w:val="en-US" w:eastAsia="zh-CN" w:bidi="ar"/>
        </w:rPr>
        <w:t>2022年</w:t>
      </w:r>
      <w:r>
        <w:rPr>
          <w:rFonts w:hint="default" w:ascii="仿宋_GB2312" w:hAnsi="Times New Roman" w:eastAsia="仿宋_GB2312" w:cs="仿宋_GB2312"/>
          <w:kern w:val="2"/>
          <w:sz w:val="32"/>
          <w:szCs w:val="32"/>
          <w:lang w:val="en-US" w:eastAsia="zh-CN" w:bidi="ar"/>
        </w:rPr>
        <w:t>本年支出合计</w:t>
      </w:r>
      <w:r>
        <w:rPr>
          <w:rFonts w:hint="eastAsia" w:ascii="仿宋_GB2312" w:eastAsia="仿宋_GB2312" w:cs="仿宋_GB2312"/>
          <w:kern w:val="2"/>
          <w:sz w:val="32"/>
          <w:szCs w:val="32"/>
          <w:lang w:val="en-US" w:eastAsia="zh-CN" w:bidi="ar"/>
        </w:rPr>
        <w:t>102.52万</w:t>
      </w:r>
      <w:r>
        <w:rPr>
          <w:rFonts w:hint="default" w:ascii="仿宋_GB2312" w:hAnsi="Times New Roman" w:eastAsia="仿宋_GB2312" w:cs="仿宋_GB2312"/>
          <w:kern w:val="2"/>
          <w:sz w:val="32"/>
          <w:szCs w:val="32"/>
          <w:lang w:val="en-US" w:eastAsia="zh-CN" w:bidi="ar"/>
        </w:rPr>
        <w:t>元</w:t>
      </w:r>
      <w:r>
        <w:rPr>
          <w:rFonts w:hint="eastAsia" w:ascii="仿宋_GB2312" w:eastAsia="仿宋_GB2312"/>
          <w:sz w:val="32"/>
          <w:szCs w:val="32"/>
        </w:rPr>
        <w:t>，其中：基本支出</w:t>
      </w:r>
      <w:r>
        <w:rPr>
          <w:rFonts w:hint="eastAsia" w:ascii="仿宋_GB2312" w:eastAsia="仿宋_GB2312" w:cs="仿宋_GB2312"/>
          <w:kern w:val="2"/>
          <w:sz w:val="32"/>
          <w:szCs w:val="32"/>
          <w:lang w:val="en-US" w:eastAsia="zh-CN" w:bidi="ar"/>
        </w:rPr>
        <w:t>95.32万</w:t>
      </w:r>
      <w:r>
        <w:rPr>
          <w:rFonts w:hint="eastAsia" w:ascii="仿宋_GB2312" w:eastAsia="仿宋_GB2312"/>
          <w:sz w:val="32"/>
          <w:szCs w:val="32"/>
        </w:rPr>
        <w:t>元，占92.98%；项目支出</w:t>
      </w:r>
      <w:r>
        <w:rPr>
          <w:rFonts w:hint="eastAsia" w:ascii="仿宋_GB2312" w:eastAsia="仿宋_GB2312"/>
          <w:sz w:val="32"/>
          <w:szCs w:val="32"/>
          <w:lang w:val="en-US" w:eastAsia="zh-CN"/>
        </w:rPr>
        <w:t>7.20</w:t>
      </w:r>
      <w:r>
        <w:rPr>
          <w:rFonts w:hint="eastAsia" w:ascii="仿宋_GB2312" w:eastAsia="仿宋_GB2312"/>
          <w:sz w:val="32"/>
          <w:szCs w:val="32"/>
        </w:rPr>
        <w:t>万元，占</w:t>
      </w:r>
      <w:r>
        <w:rPr>
          <w:rFonts w:hint="eastAsia" w:ascii="仿宋_GB2312" w:eastAsia="仿宋_GB2312"/>
          <w:sz w:val="32"/>
          <w:szCs w:val="32"/>
          <w:lang w:val="en-US" w:eastAsia="zh-CN"/>
        </w:rPr>
        <w:t>7.02</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rPr>
          <w:rFonts w:hint="eastAsia" w:ascii="仿宋_GB2312" w:eastAsia="仿宋_GB2312"/>
          <w:sz w:val="32"/>
          <w:szCs w:val="32"/>
        </w:rPr>
      </w:pPr>
    </w:p>
    <w:p>
      <w:pPr>
        <w:pStyle w:val="23"/>
        <w:jc w:val="center"/>
        <w:rPr>
          <w:rFonts w:ascii="仿宋" w:hAnsi="仿宋" w:eastAsia="仿宋"/>
          <w:color w:val="000000"/>
          <w:sz w:val="32"/>
          <w:szCs w:val="32"/>
          <w:shd w:val="pct10" w:color="auto" w:fill="FFFFFF"/>
        </w:rPr>
      </w:pPr>
      <w:r>
        <w:drawing>
          <wp:inline distT="0" distB="0" distL="114300" distR="114300">
            <wp:extent cx="4107180" cy="2071370"/>
            <wp:effectExtent l="4445" t="4445" r="22225" b="19685"/>
            <wp:docPr id="133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35" w:name="_Toc79163863"/>
      <w:bookmarkStart w:id="36" w:name="_Toc79163613"/>
      <w:bookmarkStart w:id="37" w:name="_Toc15396606"/>
      <w:bookmarkStart w:id="38" w:name="_Toc15377208"/>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5"/>
      <w:bookmarkEnd w:id="36"/>
      <w:bookmarkEnd w:id="37"/>
      <w:bookmarkEnd w:id="38"/>
    </w:p>
    <w:p>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98.07万元，与2021年相比，</w:t>
      </w:r>
      <w:r>
        <w:rPr>
          <w:rFonts w:hint="eastAsia" w:ascii="仿宋" w:hAnsi="仿宋" w:eastAsia="仿宋" w:cs="仿宋"/>
          <w:color w:val="000000"/>
          <w:kern w:val="2"/>
          <w:sz w:val="32"/>
          <w:szCs w:val="32"/>
          <w:lang w:val="en-US" w:eastAsia="zh-CN" w:bidi="ar"/>
        </w:rPr>
        <w:t>增加16.72万元，增长20.56%。主要变动原因：本年新增项目，项目收入增加;</w:t>
      </w:r>
      <w:r>
        <w:rPr>
          <w:rFonts w:hint="eastAsia" w:ascii="仿宋" w:hAnsi="仿宋" w:eastAsia="仿宋"/>
          <w:color w:val="000000"/>
          <w:sz w:val="32"/>
          <w:szCs w:val="32"/>
          <w:lang w:eastAsia="zh-CN"/>
        </w:rPr>
        <w:t>2022年</w:t>
      </w:r>
      <w:r>
        <w:rPr>
          <w:rFonts w:hint="eastAsia" w:ascii="仿宋" w:hAnsi="仿宋" w:eastAsia="仿宋"/>
          <w:color w:val="000000"/>
          <w:sz w:val="32"/>
          <w:szCs w:val="32"/>
        </w:rPr>
        <w:t>财政拨款支出总计</w:t>
      </w:r>
      <w:r>
        <w:rPr>
          <w:rFonts w:hint="eastAsia" w:ascii="仿宋" w:hAnsi="仿宋" w:eastAsia="仿宋"/>
          <w:color w:val="000000"/>
          <w:sz w:val="32"/>
          <w:szCs w:val="32"/>
          <w:lang w:val="en-US" w:eastAsia="zh-CN"/>
        </w:rPr>
        <w:t>102.52万元，与2021年相比，</w:t>
      </w:r>
      <w:r>
        <w:rPr>
          <w:rFonts w:hint="eastAsia" w:ascii="仿宋" w:hAnsi="仿宋" w:eastAsia="仿宋" w:cs="仿宋"/>
          <w:color w:val="000000"/>
          <w:kern w:val="2"/>
          <w:sz w:val="32"/>
          <w:szCs w:val="32"/>
          <w:lang w:val="en-US" w:eastAsia="zh-CN" w:bidi="ar"/>
        </w:rPr>
        <w:t>增加2.04万元，增长2.03%。主要变动原因:本年新增项目，项目支出增加</w:t>
      </w:r>
      <w:r>
        <w:rPr>
          <w:rFonts w:hint="eastAsia" w:ascii="仿宋" w:hAnsi="仿宋" w:eastAsia="仿宋"/>
          <w:color w:val="000000"/>
          <w:sz w:val="32"/>
          <w:szCs w:val="32"/>
          <w:lang w:eastAsia="zh-CN"/>
        </w:rPr>
        <w:t>。</w:t>
      </w:r>
    </w:p>
    <w:p>
      <w:pPr>
        <w:pStyle w:val="23"/>
        <w:jc w:val="center"/>
        <w:rPr>
          <w:rFonts w:ascii="仿宋" w:hAnsi="仿宋" w:eastAsia="仿宋"/>
          <w:color w:val="000000"/>
          <w:sz w:val="32"/>
          <w:szCs w:val="32"/>
        </w:rPr>
      </w:pPr>
      <w:r>
        <w:drawing>
          <wp:inline distT="0" distB="0" distL="114300" distR="114300">
            <wp:extent cx="4208780" cy="2165985"/>
            <wp:effectExtent l="5080" t="4445" r="15240" b="20320"/>
            <wp:docPr id="133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drawing>
          <wp:inline distT="0" distB="0" distL="114300" distR="114300">
            <wp:extent cx="4339590" cy="2025650"/>
            <wp:effectExtent l="4445" t="4445" r="18415" b="8255"/>
            <wp:docPr id="133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ageBreakBefore w:val="0"/>
        <w:widowControl w:val="0"/>
        <w:kinsoku/>
        <w:wordWrap/>
        <w:overflowPunct/>
        <w:topLinePunct w:val="0"/>
        <w:bidi w:val="0"/>
        <w:spacing w:line="560" w:lineRule="exact"/>
        <w:ind w:firstLine="640"/>
        <w:textAlignment w:val="auto"/>
        <w:rPr>
          <w:rFonts w:ascii="仿宋" w:hAnsi="仿宋" w:eastAsia="仿宋"/>
          <w:b/>
          <w:color w:val="00B05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39" w:name="_Toc79163864"/>
      <w:bookmarkStart w:id="40" w:name="_Toc15396607"/>
      <w:bookmarkStart w:id="41" w:name="_Toc15377209"/>
      <w:bookmarkStart w:id="42"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9"/>
      <w:bookmarkEnd w:id="40"/>
      <w:bookmarkEnd w:id="41"/>
      <w:bookmarkEnd w:id="42"/>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3" w:name="_Toc79163615"/>
      <w:bookmarkStart w:id="44" w:name="_Toc15377210"/>
      <w:bookmarkStart w:id="45" w:name="_Toc79163865"/>
      <w:r>
        <w:rPr>
          <w:rFonts w:hint="eastAsia" w:ascii="仿宋" w:hAnsi="仿宋" w:eastAsia="仿宋"/>
          <w:b/>
          <w:color w:val="000000"/>
          <w:sz w:val="32"/>
          <w:szCs w:val="32"/>
        </w:rPr>
        <w:t>（一）一般公共预算财政拨款支出决算总体情况</w:t>
      </w:r>
      <w:bookmarkEnd w:id="43"/>
      <w:bookmarkEnd w:id="44"/>
      <w:bookmarkEnd w:id="45"/>
    </w:p>
    <w:p>
      <w:pPr>
        <w:pageBreakBefore w:val="0"/>
        <w:widowControl w:val="0"/>
        <w:kinsoku/>
        <w:wordWrap/>
        <w:overflowPunct/>
        <w:topLinePunct w:val="0"/>
        <w:bidi w:val="0"/>
        <w:spacing w:line="560" w:lineRule="exac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val="en-US" w:eastAsia="zh-CN"/>
        </w:rPr>
        <w:t>102.52万</w:t>
      </w:r>
      <w:r>
        <w:rPr>
          <w:rFonts w:hint="eastAsia" w:ascii="仿宋" w:hAnsi="仿宋" w:eastAsia="仿宋"/>
          <w:color w:val="000000"/>
          <w:sz w:val="32"/>
          <w:szCs w:val="32"/>
        </w:rPr>
        <w:t>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2021年</w:t>
      </w:r>
      <w:r>
        <w:rPr>
          <w:rFonts w:hint="eastAsia" w:ascii="仿宋" w:hAnsi="仿宋" w:eastAsia="仿宋"/>
          <w:color w:val="000000"/>
          <w:sz w:val="32"/>
          <w:szCs w:val="32"/>
        </w:rPr>
        <w:t>相比，一般公共预算财政拨款</w:t>
      </w:r>
      <w:r>
        <w:rPr>
          <w:rFonts w:hint="eastAsia" w:ascii="仿宋" w:hAnsi="仿宋" w:eastAsia="仿宋" w:cs="仿宋"/>
          <w:color w:val="000000"/>
          <w:kern w:val="2"/>
          <w:sz w:val="32"/>
          <w:szCs w:val="32"/>
          <w:lang w:val="en-US" w:eastAsia="zh-CN" w:bidi="ar"/>
        </w:rPr>
        <w:t>增加2.04万元，增长2.03%。主要变动原因:本年新增项目，项目支出增加</w:t>
      </w:r>
      <w:r>
        <w:rPr>
          <w:rFonts w:hint="eastAsia" w:ascii="仿宋" w:hAnsi="仿宋" w:eastAsia="仿宋"/>
          <w:color w:val="000000"/>
          <w:sz w:val="32"/>
          <w:szCs w:val="32"/>
          <w:lang w:val="en-US" w:eastAsia="zh-CN"/>
        </w:rPr>
        <w:t>。</w:t>
      </w:r>
    </w:p>
    <w:p>
      <w:pPr>
        <w:jc w:val="center"/>
        <w:rPr>
          <w:rFonts w:ascii="仿宋" w:hAnsi="仿宋" w:eastAsia="仿宋"/>
          <w:color w:val="000000"/>
          <w:sz w:val="32"/>
          <w:szCs w:val="32"/>
        </w:rPr>
      </w:pPr>
      <w:r>
        <w:drawing>
          <wp:inline distT="0" distB="0" distL="114300" distR="114300">
            <wp:extent cx="4451350" cy="2287270"/>
            <wp:effectExtent l="4445" t="4445" r="20955" b="13335"/>
            <wp:docPr id="134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6" w:name="_Toc79163866"/>
      <w:bookmarkStart w:id="47" w:name="_Toc15377211"/>
      <w:bookmarkStart w:id="48" w:name="_Toc79163616"/>
      <w:r>
        <w:rPr>
          <w:rFonts w:hint="eastAsia" w:ascii="仿宋" w:hAnsi="仿宋" w:eastAsia="仿宋"/>
          <w:b/>
          <w:color w:val="000000"/>
          <w:sz w:val="32"/>
          <w:szCs w:val="32"/>
        </w:rPr>
        <w:t>（二）一般公共预算财政拨款支出决算结构情况</w:t>
      </w:r>
      <w:bookmarkEnd w:id="46"/>
      <w:bookmarkEnd w:id="47"/>
      <w:bookmarkEnd w:id="48"/>
    </w:p>
    <w:p>
      <w:pPr>
        <w:pageBreakBefore w:val="0"/>
        <w:widowControl w:val="0"/>
        <w:kinsoku/>
        <w:wordWrap/>
        <w:overflowPunct/>
        <w:topLinePunct w:val="0"/>
        <w:bidi w:val="0"/>
        <w:spacing w:line="560" w:lineRule="exact"/>
        <w:ind w:firstLine="640"/>
        <w:textAlignment w:val="auto"/>
        <w:rPr>
          <w:rFonts w:hint="eastAsia" w:ascii="仿宋" w:hAnsi="仿宋" w:eastAsia="仿宋"/>
          <w:b/>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102.52万</w:t>
      </w:r>
      <w:r>
        <w:rPr>
          <w:rFonts w:hint="eastAsia" w:ascii="仿宋" w:hAnsi="仿宋" w:eastAsia="仿宋"/>
          <w:color w:val="000000"/>
          <w:sz w:val="32"/>
          <w:szCs w:val="32"/>
        </w:rPr>
        <w:t>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一般公共服务支出</w:t>
      </w:r>
      <w:r>
        <w:rPr>
          <w:rFonts w:hint="eastAsia" w:ascii="仿宋" w:hAnsi="仿宋" w:eastAsia="仿宋"/>
          <w:b w:val="0"/>
          <w:bCs/>
          <w:color w:val="000000"/>
          <w:sz w:val="32"/>
          <w:szCs w:val="32"/>
        </w:rPr>
        <w:t>80.97</w:t>
      </w:r>
      <w:r>
        <w:rPr>
          <w:rFonts w:hint="eastAsia" w:ascii="仿宋" w:hAnsi="仿宋" w:eastAsia="仿宋"/>
          <w:color w:val="000000"/>
          <w:sz w:val="32"/>
          <w:szCs w:val="32"/>
        </w:rPr>
        <w:t>万元，占78.98%；</w:t>
      </w:r>
      <w:r>
        <w:rPr>
          <w:rFonts w:hint="eastAsia" w:ascii="仿宋" w:hAnsi="仿宋" w:eastAsia="仿宋"/>
          <w:b/>
          <w:color w:val="000000"/>
          <w:sz w:val="32"/>
          <w:szCs w:val="32"/>
        </w:rPr>
        <w:t>社会保障和就业</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10.16</w:t>
      </w:r>
      <w:r>
        <w:rPr>
          <w:rFonts w:hint="eastAsia" w:ascii="仿宋" w:hAnsi="仿宋" w:eastAsia="仿宋"/>
          <w:color w:val="000000"/>
          <w:sz w:val="32"/>
          <w:szCs w:val="32"/>
        </w:rPr>
        <w:t>万元，占9.91%；</w:t>
      </w:r>
      <w:r>
        <w:rPr>
          <w:rFonts w:hint="eastAsia" w:ascii="仿宋" w:hAnsi="仿宋" w:eastAsia="仿宋"/>
          <w:b/>
          <w:bCs/>
          <w:color w:val="000000"/>
          <w:sz w:val="32"/>
          <w:szCs w:val="32"/>
        </w:rPr>
        <w:t>卫生健康支出</w:t>
      </w:r>
      <w:r>
        <w:rPr>
          <w:rFonts w:hint="eastAsia" w:ascii="仿宋" w:hAnsi="仿宋" w:eastAsia="仿宋"/>
          <w:b w:val="0"/>
          <w:bCs w:val="0"/>
          <w:color w:val="000000"/>
          <w:sz w:val="32"/>
          <w:szCs w:val="32"/>
        </w:rPr>
        <w:t>4.19</w:t>
      </w:r>
      <w:r>
        <w:rPr>
          <w:rFonts w:hint="eastAsia" w:ascii="仿宋" w:hAnsi="仿宋" w:eastAsia="仿宋"/>
          <w:color w:val="000000"/>
          <w:sz w:val="32"/>
          <w:szCs w:val="32"/>
        </w:rPr>
        <w:t>万元，占4.09%；</w:t>
      </w:r>
      <w:r>
        <w:rPr>
          <w:rFonts w:hint="eastAsia" w:ascii="仿宋" w:hAnsi="仿宋" w:eastAsia="仿宋"/>
          <w:b/>
          <w:bCs/>
          <w:color w:val="000000"/>
          <w:sz w:val="32"/>
          <w:szCs w:val="32"/>
          <w:lang w:eastAsia="zh-CN"/>
        </w:rPr>
        <w:t>住房保障支出</w:t>
      </w:r>
      <w:r>
        <w:rPr>
          <w:rFonts w:hint="eastAsia" w:ascii="仿宋" w:hAnsi="仿宋" w:eastAsia="仿宋"/>
          <w:color w:val="000000"/>
          <w:sz w:val="32"/>
          <w:szCs w:val="32"/>
          <w:lang w:val="en-US" w:eastAsia="zh-CN"/>
        </w:rPr>
        <w:t>7.20</w:t>
      </w:r>
      <w:r>
        <w:rPr>
          <w:rFonts w:hint="eastAsia" w:ascii="仿宋" w:hAnsi="仿宋" w:eastAsia="仿宋"/>
          <w:color w:val="000000"/>
          <w:sz w:val="32"/>
          <w:szCs w:val="32"/>
          <w:lang w:eastAsia="zh-CN"/>
        </w:rPr>
        <w:t>万元，占</w:t>
      </w:r>
      <w:r>
        <w:rPr>
          <w:rFonts w:hint="eastAsia" w:ascii="仿宋" w:hAnsi="仿宋" w:eastAsia="仿宋"/>
          <w:color w:val="000000"/>
          <w:sz w:val="32"/>
          <w:szCs w:val="32"/>
          <w:lang w:val="en-US" w:eastAsia="zh-CN"/>
        </w:rPr>
        <w:t>7.02%</w:t>
      </w:r>
      <w:r>
        <w:rPr>
          <w:rFonts w:hint="eastAsia" w:ascii="仿宋" w:hAnsi="仿宋" w:eastAsia="仿宋"/>
          <w:color w:val="000000"/>
          <w:sz w:val="32"/>
          <w:szCs w:val="32"/>
          <w:lang w:eastAsia="zh-CN"/>
        </w:rPr>
        <w:t>。</w:t>
      </w:r>
    </w:p>
    <w:p>
      <w:pPr>
        <w:jc w:val="center"/>
        <w:rPr>
          <w:rFonts w:ascii="仿宋" w:hAnsi="仿宋" w:eastAsia="仿宋"/>
          <w:color w:val="000000"/>
          <w:sz w:val="32"/>
          <w:szCs w:val="32"/>
        </w:rPr>
      </w:pPr>
      <w:r>
        <w:drawing>
          <wp:inline distT="0" distB="0" distL="114300" distR="114300">
            <wp:extent cx="4466590" cy="2279650"/>
            <wp:effectExtent l="4445" t="4445" r="5715" b="20955"/>
            <wp:docPr id="134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9" w:name="_Toc79163617"/>
      <w:bookmarkStart w:id="50" w:name="_Toc15377212"/>
      <w:bookmarkStart w:id="51" w:name="_Toc79163867"/>
      <w:r>
        <w:rPr>
          <w:rFonts w:hint="eastAsia" w:ascii="仿宋" w:hAnsi="仿宋" w:eastAsia="仿宋"/>
          <w:b/>
          <w:color w:val="000000"/>
          <w:sz w:val="32"/>
          <w:szCs w:val="32"/>
        </w:rPr>
        <w:t>（三）一般公共预算财政拨款支出决算具体情况</w:t>
      </w:r>
      <w:bookmarkEnd w:id="49"/>
      <w:bookmarkEnd w:id="50"/>
      <w:bookmarkEnd w:id="51"/>
    </w:p>
    <w:p>
      <w:pPr>
        <w:pageBreakBefore w:val="0"/>
        <w:widowControl w:val="0"/>
        <w:kinsoku/>
        <w:wordWrap/>
        <w:overflowPunct/>
        <w:topLinePunct w:val="0"/>
        <w:bidi w:val="0"/>
        <w:spacing w:line="560" w:lineRule="exact"/>
        <w:ind w:firstLine="643" w:firstLineChars="200"/>
        <w:textAlignment w:val="auto"/>
        <w:rPr>
          <w:rFonts w:hint="eastAsia" w:ascii="仿宋_GB2312" w:eastAsia="仿宋_GB2312"/>
          <w:b/>
          <w:bCs/>
          <w:sz w:val="32"/>
          <w:szCs w:val="32"/>
        </w:rPr>
      </w:pPr>
      <w:bookmarkStart w:id="52" w:name="_Toc15377213"/>
      <w:bookmarkStart w:id="53" w:name="_Toc15378460"/>
      <w:bookmarkStart w:id="54" w:name="_Toc15377444"/>
      <w:r>
        <w:rPr>
          <w:rFonts w:hint="eastAsia" w:ascii="仿宋_GB2312" w:eastAsia="仿宋_GB2312"/>
          <w:b/>
          <w:bCs/>
          <w:sz w:val="32"/>
          <w:szCs w:val="32"/>
          <w:lang w:eastAsia="zh-CN"/>
        </w:rPr>
        <w:t>2022年</w:t>
      </w:r>
      <w:r>
        <w:rPr>
          <w:rFonts w:hint="eastAsia" w:ascii="仿宋_GB2312" w:eastAsia="仿宋_GB2312"/>
          <w:b/>
          <w:bCs/>
          <w:sz w:val="32"/>
          <w:szCs w:val="32"/>
        </w:rPr>
        <w:t>一般公共预算支出决算数为</w:t>
      </w:r>
      <w:r>
        <w:rPr>
          <w:rFonts w:hint="eastAsia" w:ascii="仿宋_GB2312" w:eastAsia="仿宋_GB2312"/>
          <w:b/>
          <w:bCs/>
          <w:sz w:val="32"/>
          <w:szCs w:val="32"/>
          <w:lang w:eastAsia="zh-CN"/>
        </w:rPr>
        <w:t>102.52万</w:t>
      </w:r>
      <w:r>
        <w:rPr>
          <w:rFonts w:hint="eastAsia" w:ascii="仿宋_GB2312" w:eastAsia="仿宋_GB2312"/>
          <w:b/>
          <w:bCs/>
          <w:sz w:val="32"/>
          <w:szCs w:val="32"/>
          <w:lang w:val="en-US" w:eastAsia="zh-CN"/>
        </w:rPr>
        <w:t>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2"/>
      <w:bookmarkEnd w:id="53"/>
      <w:bookmarkEnd w:id="54"/>
    </w:p>
    <w:p>
      <w:pPr>
        <w:pageBreakBefore w:val="0"/>
        <w:widowControl w:val="0"/>
        <w:kinsoku/>
        <w:wordWrap/>
        <w:overflowPunct/>
        <w:topLinePunct w:val="0"/>
        <w:bidi w:val="0"/>
        <w:spacing w:line="560" w:lineRule="exact"/>
        <w:ind w:firstLine="643" w:firstLineChars="200"/>
        <w:textAlignment w:val="auto"/>
        <w:rPr>
          <w:rStyle w:val="26"/>
          <w:rFonts w:hint="eastAsia" w:ascii="仿宋" w:hAnsi="仿宋" w:eastAsia="仿宋"/>
          <w:b w:val="0"/>
          <w:bCs/>
          <w:color w:val="000000"/>
          <w:sz w:val="32"/>
          <w:szCs w:val="32"/>
        </w:rPr>
      </w:pPr>
      <w:r>
        <w:rPr>
          <w:rStyle w:val="26"/>
          <w:rFonts w:ascii="仿宋" w:hAnsi="仿宋" w:eastAsia="仿宋"/>
          <w:bCs/>
          <w:color w:val="000000"/>
          <w:sz w:val="32"/>
          <w:szCs w:val="32"/>
        </w:rPr>
        <w:t>1.</w:t>
      </w:r>
      <w:r>
        <w:rPr>
          <w:rStyle w:val="26"/>
          <w:rFonts w:hint="eastAsia" w:ascii="仿宋" w:hAnsi="仿宋" w:eastAsia="仿宋"/>
          <w:bCs/>
          <w:color w:val="000000"/>
          <w:sz w:val="32"/>
          <w:szCs w:val="32"/>
        </w:rPr>
        <w:t>一般公共服务支出（类）民主党派及工商联事务（款）  行政运行（项）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45.35</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pPr>
        <w:pageBreakBefore w:val="0"/>
        <w:widowControl w:val="0"/>
        <w:kinsoku/>
        <w:wordWrap/>
        <w:overflowPunct/>
        <w:topLinePunct w:val="0"/>
        <w:bidi w:val="0"/>
        <w:spacing w:line="560" w:lineRule="exact"/>
        <w:ind w:firstLine="643" w:firstLineChars="200"/>
        <w:textAlignment w:val="auto"/>
        <w:rPr>
          <w:rStyle w:val="26"/>
          <w:rFonts w:hint="eastAsia" w:ascii="仿宋" w:hAnsi="仿宋" w:eastAsia="仿宋"/>
          <w:b w:val="0"/>
          <w:bCs/>
          <w:color w:val="000000"/>
          <w:sz w:val="32"/>
          <w:szCs w:val="32"/>
          <w:lang w:eastAsia="zh-CN"/>
        </w:rPr>
      </w:pPr>
      <w:r>
        <w:rPr>
          <w:rStyle w:val="26"/>
          <w:rFonts w:hint="eastAsia" w:ascii="仿宋" w:hAnsi="仿宋" w:eastAsia="仿宋"/>
          <w:bCs/>
          <w:color w:val="000000"/>
          <w:sz w:val="32"/>
          <w:szCs w:val="32"/>
          <w:lang w:val="en-US" w:eastAsia="zh-CN"/>
        </w:rPr>
        <w:t>2</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一般公共服务支出（类）民主党派及工商联事务（款）    一般行政管理事务（项）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7.20</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lang w:eastAsia="zh-CN"/>
        </w:rPr>
        <w:t>。</w:t>
      </w:r>
    </w:p>
    <w:p>
      <w:pPr>
        <w:pageBreakBefore w:val="0"/>
        <w:widowControl w:val="0"/>
        <w:kinsoku/>
        <w:wordWrap/>
        <w:overflowPunct/>
        <w:topLinePunct w:val="0"/>
        <w:bidi w:val="0"/>
        <w:spacing w:line="560" w:lineRule="exact"/>
        <w:ind w:firstLine="643" w:firstLineChars="200"/>
        <w:textAlignment w:val="auto"/>
        <w:rPr>
          <w:rFonts w:hint="eastAsia" w:ascii="仿宋" w:hAnsi="仿宋" w:eastAsia="仿宋"/>
          <w:b/>
          <w:color w:val="000000"/>
          <w:sz w:val="32"/>
          <w:szCs w:val="32"/>
          <w:lang w:eastAsia="zh-CN"/>
        </w:rPr>
      </w:pPr>
      <w:r>
        <w:rPr>
          <w:rStyle w:val="26"/>
          <w:rFonts w:hint="eastAsia" w:ascii="仿宋" w:hAnsi="仿宋" w:eastAsia="仿宋"/>
          <w:bCs/>
          <w:color w:val="000000"/>
          <w:sz w:val="32"/>
          <w:szCs w:val="32"/>
          <w:lang w:val="en-US" w:eastAsia="zh-CN"/>
        </w:rPr>
        <w:t>3</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一般公共服务支出（类）民主党派及工商联事务（款）    事业运行（项）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28.42</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lang w:eastAsia="zh-CN"/>
        </w:rPr>
        <w:t>。</w:t>
      </w:r>
    </w:p>
    <w:p>
      <w:pPr>
        <w:pageBreakBefore w:val="0"/>
        <w:widowControl w:val="0"/>
        <w:kinsoku/>
        <w:wordWrap/>
        <w:overflowPunct/>
        <w:topLinePunct w:val="0"/>
        <w:bidi w:val="0"/>
        <w:spacing w:line="560" w:lineRule="exact"/>
        <w:ind w:firstLine="643" w:firstLineChars="200"/>
        <w:textAlignment w:val="auto"/>
        <w:rPr>
          <w:rFonts w:ascii="仿宋" w:hAnsi="仿宋" w:eastAsia="仿宋"/>
          <w:b/>
          <w:color w:val="000000"/>
          <w:sz w:val="32"/>
          <w:szCs w:val="32"/>
        </w:rPr>
      </w:pPr>
      <w:r>
        <w:rPr>
          <w:rStyle w:val="26"/>
          <w:rFonts w:hint="eastAsia" w:ascii="仿宋" w:hAnsi="仿宋" w:eastAsia="仿宋"/>
          <w:bCs/>
          <w:color w:val="000000"/>
          <w:sz w:val="32"/>
          <w:szCs w:val="32"/>
          <w:lang w:val="en-US" w:eastAsia="zh-CN"/>
        </w:rPr>
        <w:t>4</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社会保障和就业支出（类）行政事业单位养老支出（款）机关事业单位基本养老保险缴费支出（项）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6.77</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pPr>
        <w:spacing w:beforeLines="0" w:afterLines="0" w:line="560" w:lineRule="exact"/>
        <w:ind w:firstLine="643" w:firstLineChars="200"/>
        <w:rPr>
          <w:rStyle w:val="26"/>
          <w:rFonts w:hint="eastAsia" w:ascii="仿宋" w:hAnsi="仿宋" w:eastAsia="仿宋"/>
          <w:b w:val="0"/>
          <w:bCs/>
          <w:color w:val="000000"/>
          <w:sz w:val="32"/>
          <w:szCs w:val="32"/>
        </w:rPr>
      </w:pPr>
      <w:r>
        <w:rPr>
          <w:rStyle w:val="26"/>
          <w:rFonts w:hint="eastAsia" w:ascii="仿宋" w:hAnsi="仿宋" w:eastAsia="仿宋"/>
          <w:bCs/>
          <w:color w:val="000000"/>
          <w:sz w:val="32"/>
          <w:szCs w:val="32"/>
          <w:lang w:val="en-US" w:eastAsia="zh-CN"/>
        </w:rPr>
        <w:t>5</w:t>
      </w:r>
      <w:r>
        <w:rPr>
          <w:rStyle w:val="26"/>
          <w:rFonts w:ascii="仿宋" w:hAnsi="仿宋" w:eastAsia="仿宋"/>
          <w:bCs/>
          <w:color w:val="000000"/>
          <w:sz w:val="32"/>
          <w:szCs w:val="32"/>
        </w:rPr>
        <w:t>.</w:t>
      </w:r>
      <w:r>
        <w:rPr>
          <w:rFonts w:hint="eastAsia" w:ascii="仿宋" w:hAnsi="仿宋" w:eastAsia="仿宋"/>
          <w:b/>
          <w:bCs/>
          <w:color w:val="000000"/>
          <w:sz w:val="32"/>
          <w:szCs w:val="32"/>
        </w:rPr>
        <w:t>社会保障和就业支出（类）行政事业单位养老支出（款）机关事业单位职业年金缴费支出（项）</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3.39</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pPr>
        <w:spacing w:beforeLines="0" w:afterLines="0" w:line="560" w:lineRule="exact"/>
        <w:ind w:firstLine="643" w:firstLineChars="200"/>
        <w:rPr>
          <w:rFonts w:hint="eastAsia" w:ascii="仿宋" w:hAnsi="仿宋" w:eastAsia="仿宋"/>
          <w:b/>
          <w:color w:val="000000"/>
          <w:sz w:val="32"/>
          <w:szCs w:val="32"/>
        </w:rPr>
      </w:pPr>
      <w:r>
        <w:rPr>
          <w:rStyle w:val="26"/>
          <w:rFonts w:hint="eastAsia" w:ascii="仿宋" w:hAnsi="仿宋" w:eastAsia="仿宋"/>
          <w:color w:val="000000"/>
          <w:sz w:val="32"/>
          <w:szCs w:val="32"/>
          <w:lang w:val="en-US" w:eastAsia="zh-CN"/>
        </w:rPr>
        <w:t>6</w:t>
      </w:r>
      <w:r>
        <w:rPr>
          <w:rStyle w:val="26"/>
          <w:rFonts w:hint="eastAsia" w:ascii="仿宋" w:hAnsi="仿宋" w:eastAsia="仿宋"/>
          <w:color w:val="000000"/>
          <w:sz w:val="32"/>
          <w:szCs w:val="32"/>
        </w:rPr>
        <w:t>.卫生健康支出（类）行政事业单位医疗（款）行政单位医疗（项）:</w:t>
      </w:r>
      <w:r>
        <w:rPr>
          <w:rStyle w:val="26"/>
          <w:rFonts w:hint="eastAsia" w:ascii="仿宋" w:hAnsi="仿宋" w:eastAsia="仿宋"/>
          <w:b w:val="0"/>
          <w:color w:val="000000"/>
          <w:sz w:val="32"/>
          <w:szCs w:val="32"/>
        </w:rPr>
        <w:t xml:space="preserve"> 支出决算为</w:t>
      </w:r>
      <w:r>
        <w:rPr>
          <w:rStyle w:val="26"/>
          <w:rFonts w:hint="eastAsia" w:ascii="仿宋" w:hAnsi="仿宋" w:eastAsia="仿宋"/>
          <w:b w:val="0"/>
          <w:color w:val="000000"/>
          <w:sz w:val="32"/>
          <w:szCs w:val="32"/>
          <w:lang w:val="en-US" w:eastAsia="zh-CN"/>
        </w:rPr>
        <w:t>1.62</w:t>
      </w:r>
      <w:r>
        <w:rPr>
          <w:rStyle w:val="26"/>
          <w:rFonts w:hint="eastAsia" w:ascii="仿宋" w:hAnsi="仿宋" w:eastAsia="仿宋"/>
          <w:b w:val="0"/>
          <w:color w:val="000000"/>
          <w:sz w:val="32"/>
          <w:szCs w:val="32"/>
        </w:rPr>
        <w:t>万元，完成预算100%。</w:t>
      </w:r>
    </w:p>
    <w:p>
      <w:pPr>
        <w:spacing w:beforeLines="0" w:afterLines="0" w:line="560" w:lineRule="exact"/>
        <w:ind w:firstLine="643" w:firstLineChars="200"/>
        <w:rPr>
          <w:rStyle w:val="26"/>
          <w:rFonts w:hint="eastAsia" w:ascii="仿宋" w:hAnsi="仿宋" w:eastAsia="仿宋"/>
          <w:b w:val="0"/>
          <w:color w:val="000000"/>
          <w:sz w:val="32"/>
          <w:szCs w:val="32"/>
        </w:rPr>
      </w:pPr>
      <w:r>
        <w:rPr>
          <w:rStyle w:val="26"/>
          <w:rFonts w:hint="eastAsia" w:ascii="仿宋" w:hAnsi="仿宋" w:eastAsia="仿宋"/>
          <w:color w:val="000000"/>
          <w:sz w:val="32"/>
          <w:szCs w:val="32"/>
          <w:lang w:val="en-US" w:eastAsia="zh-CN"/>
        </w:rPr>
        <w:t>7</w:t>
      </w:r>
      <w:r>
        <w:rPr>
          <w:rStyle w:val="26"/>
          <w:rFonts w:hint="eastAsia" w:ascii="仿宋" w:hAnsi="仿宋" w:eastAsia="仿宋"/>
          <w:color w:val="000000"/>
          <w:sz w:val="32"/>
          <w:szCs w:val="32"/>
        </w:rPr>
        <w:t xml:space="preserve">.卫生健康支出（类）行政事业单位医疗（款）事业单位医疗（项）: </w:t>
      </w:r>
      <w:r>
        <w:rPr>
          <w:rStyle w:val="26"/>
          <w:rFonts w:hint="eastAsia" w:ascii="仿宋" w:hAnsi="仿宋" w:eastAsia="仿宋"/>
          <w:b w:val="0"/>
          <w:color w:val="000000"/>
          <w:sz w:val="32"/>
          <w:szCs w:val="32"/>
        </w:rPr>
        <w:t>支出决算为1.39万元，完成预算100%。</w:t>
      </w:r>
    </w:p>
    <w:p>
      <w:pPr>
        <w:spacing w:beforeLines="0" w:afterLines="0" w:line="560" w:lineRule="exact"/>
        <w:ind w:firstLine="643" w:firstLineChars="200"/>
        <w:rPr>
          <w:rFonts w:hint="eastAsia" w:ascii="仿宋" w:hAnsi="仿宋" w:eastAsia="仿宋"/>
          <w:b/>
          <w:color w:val="000000"/>
          <w:sz w:val="32"/>
          <w:szCs w:val="32"/>
        </w:rPr>
      </w:pPr>
      <w:r>
        <w:rPr>
          <w:rStyle w:val="26"/>
          <w:rFonts w:hint="eastAsia" w:ascii="仿宋" w:hAnsi="仿宋" w:eastAsia="仿宋"/>
          <w:color w:val="000000"/>
          <w:sz w:val="32"/>
          <w:szCs w:val="32"/>
          <w:lang w:val="en-US" w:eastAsia="zh-CN"/>
        </w:rPr>
        <w:t>8</w:t>
      </w:r>
      <w:r>
        <w:rPr>
          <w:rStyle w:val="26"/>
          <w:rFonts w:hint="eastAsia" w:ascii="仿宋" w:hAnsi="仿宋" w:eastAsia="仿宋"/>
          <w:color w:val="000000"/>
          <w:sz w:val="32"/>
          <w:szCs w:val="32"/>
        </w:rPr>
        <w:t>.卫生健康支出（类）行政事业单位医疗（款）公务员医疗补助（项）:</w:t>
      </w:r>
      <w:r>
        <w:rPr>
          <w:rStyle w:val="26"/>
          <w:rFonts w:hint="eastAsia" w:ascii="仿宋" w:hAnsi="仿宋" w:eastAsia="仿宋"/>
          <w:b w:val="0"/>
          <w:color w:val="000000"/>
          <w:sz w:val="32"/>
          <w:szCs w:val="32"/>
        </w:rPr>
        <w:t xml:space="preserve"> 支出决算为</w:t>
      </w:r>
      <w:r>
        <w:rPr>
          <w:rStyle w:val="26"/>
          <w:rFonts w:hint="eastAsia" w:ascii="仿宋" w:hAnsi="仿宋" w:eastAsia="仿宋"/>
          <w:b w:val="0"/>
          <w:color w:val="000000"/>
          <w:sz w:val="32"/>
          <w:szCs w:val="32"/>
          <w:lang w:val="en-US" w:eastAsia="zh-CN"/>
        </w:rPr>
        <w:t>0.81</w:t>
      </w:r>
      <w:r>
        <w:rPr>
          <w:rStyle w:val="26"/>
          <w:rFonts w:hint="eastAsia" w:ascii="仿宋" w:hAnsi="仿宋" w:eastAsia="仿宋"/>
          <w:b w:val="0"/>
          <w:color w:val="000000"/>
          <w:sz w:val="32"/>
          <w:szCs w:val="32"/>
        </w:rPr>
        <w:t>万元，完成预算100%。</w:t>
      </w:r>
    </w:p>
    <w:p>
      <w:pPr>
        <w:pStyle w:val="11"/>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eastAsia="仿宋"/>
          <w:lang w:val="en-US" w:eastAsia="zh-CN"/>
        </w:rPr>
      </w:pPr>
      <w:r>
        <w:rPr>
          <w:rStyle w:val="26"/>
          <w:rFonts w:hint="eastAsia" w:ascii="仿宋" w:hAnsi="仿宋"/>
          <w:color w:val="000000"/>
          <w:sz w:val="32"/>
          <w:szCs w:val="32"/>
          <w:lang w:val="en-US" w:eastAsia="zh-CN"/>
        </w:rPr>
        <w:t>9</w:t>
      </w:r>
      <w:r>
        <w:rPr>
          <w:rStyle w:val="26"/>
          <w:rFonts w:hint="eastAsia" w:ascii="仿宋" w:hAnsi="仿宋" w:eastAsia="仿宋"/>
          <w:color w:val="000000"/>
          <w:sz w:val="32"/>
          <w:szCs w:val="32"/>
        </w:rPr>
        <w:t xml:space="preserve">.卫生健康支出（类）行政事业单位医疗（款）其他行政事业单位医疗支出（项）: </w:t>
      </w:r>
      <w:r>
        <w:rPr>
          <w:rStyle w:val="26"/>
          <w:rFonts w:hint="eastAsia" w:ascii="仿宋" w:hAnsi="仿宋" w:eastAsia="仿宋"/>
          <w:b w:val="0"/>
          <w:color w:val="000000"/>
          <w:sz w:val="32"/>
          <w:szCs w:val="32"/>
        </w:rPr>
        <w:t>支出决算为1.</w:t>
      </w:r>
      <w:r>
        <w:rPr>
          <w:rStyle w:val="26"/>
          <w:rFonts w:hint="eastAsia" w:ascii="仿宋" w:hAnsi="仿宋" w:eastAsia="仿宋"/>
          <w:b w:val="0"/>
          <w:color w:val="000000"/>
          <w:sz w:val="32"/>
          <w:szCs w:val="32"/>
          <w:lang w:val="en-US" w:eastAsia="zh-CN"/>
        </w:rPr>
        <w:t>1</w:t>
      </w:r>
      <w:r>
        <w:rPr>
          <w:rStyle w:val="26"/>
          <w:rFonts w:hint="eastAsia" w:ascii="仿宋" w:hAnsi="仿宋" w:eastAsia="仿宋"/>
          <w:b w:val="0"/>
          <w:color w:val="000000"/>
          <w:sz w:val="32"/>
          <w:szCs w:val="32"/>
        </w:rPr>
        <w:t>万元，完成预算100%</w:t>
      </w:r>
      <w:r>
        <w:rPr>
          <w:rStyle w:val="26"/>
          <w:rFonts w:hint="eastAsia" w:ascii="仿宋" w:hAnsi="仿宋"/>
          <w:b w:val="0"/>
          <w:color w:val="000000"/>
          <w:sz w:val="32"/>
          <w:szCs w:val="32"/>
          <w:lang w:eastAsia="zh-CN"/>
        </w:rPr>
        <w:t>。</w:t>
      </w:r>
    </w:p>
    <w:p>
      <w:pPr>
        <w:pageBreakBefore w:val="0"/>
        <w:widowControl w:val="0"/>
        <w:kinsoku/>
        <w:wordWrap/>
        <w:overflowPunct/>
        <w:topLinePunct w:val="0"/>
        <w:bidi w:val="0"/>
        <w:spacing w:line="560" w:lineRule="exact"/>
        <w:ind w:firstLine="643" w:firstLineChars="200"/>
        <w:textAlignment w:val="auto"/>
        <w:rPr>
          <w:rFonts w:hint="eastAsia" w:ascii="仿宋" w:hAnsi="仿宋" w:eastAsia="仿宋" w:cs="仿宋"/>
          <w:b w:val="0"/>
          <w:color w:val="000000"/>
          <w:kern w:val="2"/>
          <w:sz w:val="32"/>
          <w:szCs w:val="32"/>
          <w:lang w:val="en-US" w:eastAsia="zh-CN" w:bidi="ar"/>
        </w:rPr>
      </w:pPr>
      <w:r>
        <w:rPr>
          <w:rStyle w:val="26"/>
          <w:rFonts w:hint="eastAsia" w:ascii="仿宋" w:hAnsi="仿宋" w:eastAsia="仿宋"/>
          <w:color w:val="000000"/>
          <w:sz w:val="32"/>
          <w:szCs w:val="32"/>
          <w:lang w:val="en-US" w:eastAsia="zh-CN"/>
        </w:rPr>
        <w:t>10</w:t>
      </w:r>
      <w:r>
        <w:rPr>
          <w:rFonts w:hint="eastAsia" w:ascii="仿宋" w:hAnsi="仿宋" w:eastAsia="仿宋" w:cs="仿宋"/>
          <w:b/>
          <w:bCs w:val="0"/>
          <w:color w:val="000000"/>
          <w:kern w:val="2"/>
          <w:sz w:val="32"/>
          <w:szCs w:val="32"/>
          <w:lang w:val="en-US" w:eastAsia="zh-CN" w:bidi="ar"/>
        </w:rPr>
        <w:t>.住房保障支出（类）住房改革支出（款）住房公积金（项）:</w:t>
      </w:r>
      <w:r>
        <w:rPr>
          <w:rFonts w:hint="eastAsia" w:ascii="仿宋" w:hAnsi="仿宋" w:eastAsia="仿宋" w:cs="仿宋"/>
          <w:b w:val="0"/>
          <w:color w:val="000000"/>
          <w:kern w:val="2"/>
          <w:sz w:val="32"/>
          <w:szCs w:val="32"/>
          <w:lang w:val="en-US" w:eastAsia="zh-CN" w:bidi="ar"/>
        </w:rPr>
        <w:t>支出决算为5.95万元，完成预算100%。</w:t>
      </w:r>
    </w:p>
    <w:p>
      <w:pPr>
        <w:pStyle w:val="11"/>
        <w:keepNext w:val="0"/>
        <w:keepLines w:val="0"/>
        <w:pageBreakBefore w:val="0"/>
        <w:widowControl w:val="0"/>
        <w:kinsoku/>
        <w:wordWrap/>
        <w:overflowPunct/>
        <w:topLinePunct w:val="0"/>
        <w:autoSpaceDE/>
        <w:autoSpaceDN/>
        <w:bidi w:val="0"/>
        <w:adjustRightInd/>
        <w:snapToGrid/>
        <w:ind w:firstLine="643" w:firstLineChars="200"/>
        <w:textAlignment w:val="auto"/>
      </w:pPr>
      <w:r>
        <w:rPr>
          <w:rStyle w:val="26"/>
          <w:rFonts w:hint="eastAsia" w:ascii="仿宋" w:hAnsi="仿宋" w:eastAsia="仿宋"/>
          <w:color w:val="000000"/>
          <w:sz w:val="32"/>
          <w:szCs w:val="32"/>
          <w:lang w:val="en-US" w:eastAsia="zh-CN"/>
        </w:rPr>
        <w:t>1</w:t>
      </w:r>
      <w:r>
        <w:rPr>
          <w:rStyle w:val="26"/>
          <w:rFonts w:hint="eastAsia" w:ascii="仿宋" w:hAnsi="仿宋"/>
          <w:color w:val="000000"/>
          <w:sz w:val="32"/>
          <w:szCs w:val="32"/>
          <w:lang w:val="en-US" w:eastAsia="zh-CN"/>
        </w:rPr>
        <w:t>1</w:t>
      </w:r>
      <w:r>
        <w:rPr>
          <w:rFonts w:hint="eastAsia" w:ascii="仿宋" w:hAnsi="仿宋" w:eastAsia="仿宋" w:cs="仿宋"/>
          <w:b/>
          <w:bCs w:val="0"/>
          <w:color w:val="000000"/>
          <w:kern w:val="2"/>
          <w:sz w:val="32"/>
          <w:szCs w:val="32"/>
          <w:lang w:val="en-US" w:eastAsia="zh-CN" w:bidi="ar"/>
        </w:rPr>
        <w:t>.住房保障支出（类）住房改革支出（款）购房补贴（项）:</w:t>
      </w:r>
      <w:r>
        <w:rPr>
          <w:rFonts w:hint="eastAsia" w:ascii="仿宋" w:hAnsi="仿宋" w:eastAsia="仿宋" w:cs="仿宋"/>
          <w:b w:val="0"/>
          <w:color w:val="000000"/>
          <w:kern w:val="2"/>
          <w:sz w:val="32"/>
          <w:szCs w:val="32"/>
          <w:lang w:val="en-US" w:eastAsia="zh-CN" w:bidi="ar"/>
        </w:rPr>
        <w:t>支出决算为1.24万元，完成预算100%</w:t>
      </w:r>
    </w:p>
    <w:p>
      <w:pPr>
        <w:pageBreakBefore w:val="0"/>
        <w:widowControl w:val="0"/>
        <w:kinsoku/>
        <w:wordWrap/>
        <w:overflowPunct/>
        <w:topLinePunct w:val="0"/>
        <w:bidi w:val="0"/>
        <w:spacing w:line="560" w:lineRule="exact"/>
        <w:ind w:firstLine="640"/>
        <w:textAlignment w:val="auto"/>
        <w:rPr>
          <w:rFonts w:ascii="仿宋" w:hAnsi="仿宋" w:eastAsia="仿宋"/>
          <w:b/>
          <w:color w:val="000000"/>
          <w:sz w:val="32"/>
          <w:szCs w:val="32"/>
        </w:rPr>
      </w:pPr>
    </w:p>
    <w:p>
      <w:pPr>
        <w:pageBreakBefore w:val="0"/>
        <w:widowControl w:val="0"/>
        <w:tabs>
          <w:tab w:val="right" w:pos="8306"/>
        </w:tabs>
        <w:kinsoku/>
        <w:wordWrap/>
        <w:overflowPunct/>
        <w:topLinePunct w:val="0"/>
        <w:bidi w:val="0"/>
        <w:spacing w:line="560" w:lineRule="exact"/>
        <w:ind w:firstLine="640"/>
        <w:textAlignment w:val="auto"/>
        <w:outlineLvl w:val="1"/>
        <w:rPr>
          <w:rStyle w:val="29"/>
        </w:rPr>
      </w:pPr>
      <w:bookmarkStart w:id="55" w:name="_Toc79163618"/>
      <w:bookmarkStart w:id="56" w:name="_Toc79163868"/>
      <w:bookmarkStart w:id="57" w:name="_Toc15396608"/>
      <w:bookmarkStart w:id="58"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55"/>
      <w:bookmarkEnd w:id="56"/>
      <w:bookmarkEnd w:id="57"/>
      <w:bookmarkEnd w:id="58"/>
      <w:r>
        <w:rPr>
          <w:rStyle w:val="29"/>
          <w:rFonts w:ascii="黑体" w:hAnsi="黑体" w:eastAsia="黑体"/>
          <w:b w:val="0"/>
        </w:rPr>
        <w:tab/>
      </w:r>
    </w:p>
    <w:p>
      <w:pPr>
        <w:pageBreakBefore w:val="0"/>
        <w:widowControl w:val="0"/>
        <w:kinsoku/>
        <w:wordWrap/>
        <w:overflowPunct/>
        <w:topLinePunct w:val="0"/>
        <w:bidi w:val="0"/>
        <w:spacing w:line="56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一般公共预算财政拨款基本支出</w:t>
      </w:r>
      <w:r>
        <w:rPr>
          <w:rFonts w:hint="eastAsia" w:ascii="仿宋" w:hAnsi="仿宋" w:eastAsia="仿宋"/>
          <w:color w:val="000000"/>
          <w:sz w:val="32"/>
          <w:szCs w:val="32"/>
          <w:lang w:val="en-US" w:eastAsia="zh-CN"/>
        </w:rPr>
        <w:t>95.32万</w:t>
      </w:r>
      <w:r>
        <w:rPr>
          <w:rFonts w:hint="eastAsia" w:ascii="仿宋" w:hAnsi="仿宋" w:eastAsia="仿宋"/>
          <w:color w:val="000000"/>
          <w:sz w:val="32"/>
          <w:szCs w:val="32"/>
        </w:rPr>
        <w:t>元，其中：</w:t>
      </w:r>
    </w:p>
    <w:p>
      <w:pPr>
        <w:pageBreakBefore w:val="0"/>
        <w:widowControl w:val="0"/>
        <w:kinsoku/>
        <w:wordWrap/>
        <w:overflowPunct/>
        <w:topLinePunct w:val="0"/>
        <w:bidi w:val="0"/>
        <w:spacing w:line="560" w:lineRule="exact"/>
        <w:ind w:firstLine="645"/>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88.70</w:t>
      </w:r>
      <w:r>
        <w:rPr>
          <w:rFonts w:hint="eastAsia" w:ascii="仿宋" w:hAnsi="仿宋" w:eastAsia="仿宋"/>
          <w:color w:val="000000"/>
          <w:sz w:val="32"/>
          <w:szCs w:val="32"/>
        </w:rPr>
        <w:t>万元，主要包括：基本工资、津贴补贴</w:t>
      </w:r>
      <w:r>
        <w:rPr>
          <w:rFonts w:hint="eastAsia" w:ascii="仿宋" w:hAnsi="仿宋" w:eastAsia="仿宋"/>
          <w:color w:val="000000"/>
          <w:sz w:val="32"/>
          <w:szCs w:val="32"/>
          <w:lang w:eastAsia="zh-CN"/>
        </w:rPr>
        <w:t>、奖金、机关事业单位基本养老保险费、职业年金缴费、职工基本医疗保险缴费、公务员医疗补助缴费、其他社会保障缴费、住房公积金、医疗费补助、</w:t>
      </w:r>
      <w:r>
        <w:rPr>
          <w:rFonts w:hint="eastAsia" w:ascii="仿宋" w:hAnsi="仿宋" w:eastAsia="仿宋"/>
          <w:color w:val="000000"/>
          <w:sz w:val="32"/>
          <w:szCs w:val="32"/>
          <w:lang w:val="en-US" w:eastAsia="zh-CN"/>
        </w:rPr>
        <w:t>生活补助</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5"/>
        <w:textAlignment w:val="auto"/>
        <w:rPr>
          <w:rFonts w:ascii="仿宋" w:hAnsi="仿宋" w:eastAsia="仿宋"/>
          <w:b/>
          <w:color w:val="FF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6.61</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eastAsia="zh-CN"/>
        </w:rPr>
        <w:t>印刷</w:t>
      </w:r>
      <w:r>
        <w:rPr>
          <w:rFonts w:hint="eastAsia" w:ascii="仿宋" w:hAnsi="仿宋" w:eastAsia="仿宋"/>
          <w:color w:val="000000"/>
          <w:sz w:val="32"/>
          <w:szCs w:val="32"/>
        </w:rPr>
        <w:t>费</w:t>
      </w:r>
      <w:r>
        <w:rPr>
          <w:rFonts w:hint="eastAsia" w:ascii="仿宋" w:hAnsi="仿宋" w:eastAsia="仿宋"/>
          <w:color w:val="000000"/>
          <w:sz w:val="32"/>
          <w:szCs w:val="32"/>
          <w:lang w:eastAsia="zh-CN"/>
        </w:rPr>
        <w:t>、电费、</w:t>
      </w:r>
      <w:r>
        <w:rPr>
          <w:rFonts w:hint="eastAsia" w:ascii="仿宋" w:hAnsi="仿宋" w:eastAsia="仿宋"/>
          <w:color w:val="000000"/>
          <w:sz w:val="32"/>
          <w:szCs w:val="32"/>
          <w:lang w:val="en-US" w:eastAsia="zh-CN"/>
        </w:rPr>
        <w:t>邮电费、</w:t>
      </w:r>
      <w:r>
        <w:rPr>
          <w:rFonts w:hint="eastAsia" w:ascii="仿宋" w:hAnsi="仿宋" w:eastAsia="仿宋"/>
          <w:color w:val="000000"/>
          <w:sz w:val="32"/>
          <w:szCs w:val="32"/>
          <w:lang w:eastAsia="zh-CN"/>
        </w:rPr>
        <w:t>差旅费、</w:t>
      </w:r>
      <w:r>
        <w:rPr>
          <w:rFonts w:hint="eastAsia" w:ascii="仿宋" w:hAnsi="仿宋" w:eastAsia="仿宋"/>
          <w:color w:val="000000"/>
          <w:sz w:val="32"/>
          <w:szCs w:val="32"/>
          <w:lang w:val="en-US" w:eastAsia="zh-CN"/>
        </w:rPr>
        <w:t>维修（护）费、</w:t>
      </w:r>
      <w:r>
        <w:rPr>
          <w:rFonts w:hint="eastAsia" w:ascii="仿宋" w:hAnsi="仿宋" w:eastAsia="仿宋"/>
          <w:color w:val="000000"/>
          <w:sz w:val="32"/>
          <w:szCs w:val="32"/>
          <w:lang w:eastAsia="zh-CN"/>
        </w:rPr>
        <w:t>其他交通费用、</w:t>
      </w:r>
      <w:r>
        <w:rPr>
          <w:rFonts w:hint="eastAsia" w:ascii="仿宋" w:hAnsi="仿宋" w:eastAsia="仿宋"/>
          <w:color w:val="000000"/>
          <w:sz w:val="32"/>
          <w:szCs w:val="32"/>
          <w:lang w:val="en-US" w:eastAsia="zh-CN"/>
        </w:rPr>
        <w:t>办公设备购置</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rPr>
          <w:rFonts w:ascii="仿宋" w:hAnsi="仿宋" w:eastAsia="仿宋"/>
          <w:b/>
          <w:color w:val="FF0000"/>
          <w:sz w:val="32"/>
          <w:szCs w:val="32"/>
        </w:rPr>
      </w:pPr>
    </w:p>
    <w:p>
      <w:pPr>
        <w:pageBreakBefore w:val="0"/>
        <w:widowControl w:val="0"/>
        <w:kinsoku/>
        <w:wordWrap/>
        <w:overflowPunct/>
        <w:topLinePunct w:val="0"/>
        <w:bidi w:val="0"/>
        <w:spacing w:line="560" w:lineRule="exact"/>
        <w:ind w:firstLine="640"/>
        <w:textAlignment w:val="auto"/>
        <w:outlineLvl w:val="1"/>
        <w:rPr>
          <w:rStyle w:val="29"/>
          <w:rFonts w:ascii="黑体" w:hAnsi="黑体" w:eastAsia="黑体"/>
          <w:b w:val="0"/>
        </w:rPr>
      </w:pPr>
      <w:bookmarkStart w:id="59" w:name="_Toc79163869"/>
      <w:bookmarkStart w:id="60" w:name="_Toc15396609"/>
      <w:bookmarkStart w:id="61" w:name="_Toc15377215"/>
      <w:bookmarkStart w:id="62" w:name="_Toc7916361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59"/>
      <w:bookmarkEnd w:id="60"/>
      <w:bookmarkEnd w:id="61"/>
      <w:bookmarkEnd w:id="62"/>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3" w:name="_Toc79163870"/>
      <w:bookmarkStart w:id="64" w:name="_Toc79163620"/>
      <w:bookmarkStart w:id="65" w:name="_Toc15377216"/>
      <w:r>
        <w:rPr>
          <w:rFonts w:hint="eastAsia" w:ascii="仿宋" w:hAnsi="仿宋" w:eastAsia="仿宋"/>
          <w:b/>
          <w:color w:val="000000"/>
          <w:sz w:val="32"/>
          <w:szCs w:val="32"/>
        </w:rPr>
        <w:t>（一）“三公”经费财政拨款支出决算总体情况说明</w:t>
      </w:r>
      <w:bookmarkEnd w:id="63"/>
      <w:bookmarkEnd w:id="64"/>
      <w:bookmarkEnd w:id="65"/>
    </w:p>
    <w:p>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，决算数或与预算数持平的主要原因是</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本年度无“三公”经费财政拨款支出，无相关预算安排</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6" w:name="_Toc79163871"/>
      <w:bookmarkStart w:id="67" w:name="_Toc79163621"/>
      <w:bookmarkStart w:id="68" w:name="_Toc15377217"/>
      <w:r>
        <w:rPr>
          <w:rFonts w:hint="eastAsia" w:ascii="仿宋" w:hAnsi="仿宋" w:eastAsia="仿宋"/>
          <w:b/>
          <w:color w:val="000000"/>
          <w:sz w:val="32"/>
          <w:szCs w:val="32"/>
        </w:rPr>
        <w:t>（二）“三公”经费财政拨款支出决算具体情况说明</w:t>
      </w:r>
      <w:bookmarkEnd w:id="66"/>
      <w:bookmarkEnd w:id="67"/>
      <w:bookmarkEnd w:id="68"/>
    </w:p>
    <w:p>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2021年与2022年均无因公出国（境）经费支出</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（团组名称、出访地点、取得成效）等。</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6"/>
          <w:rFonts w:hint="eastAsia" w:ascii="仿宋" w:hAnsi="仿宋" w:eastAsia="仿宋"/>
          <w:b w:val="0"/>
          <w:bCs/>
          <w:color w:val="000000"/>
          <w:sz w:val="32"/>
          <w:szCs w:val="32"/>
        </w:rPr>
        <w:t>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增加</w:t>
      </w:r>
      <w:r>
        <w:rPr>
          <w:rFonts w:hint="eastAsia" w:ascii="仿宋_GB2312" w:eastAsia="仿宋_GB2312"/>
          <w:color w:val="000000"/>
          <w:sz w:val="32"/>
          <w:szCs w:val="32"/>
          <w:lang w:val="en-US" w:eastAsia="zh-CN"/>
        </w:rPr>
        <w:t>/减少0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/下降0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2021年与2022年均无公务用车购置及运行维护费支出</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其他用车0辆</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2021年与2022年均无公务接待费支出</w:t>
      </w:r>
      <w:r>
        <w:rPr>
          <w:rFonts w:hint="eastAsia" w:ascii="仿宋_GB2312" w:eastAsia="仿宋_GB2312"/>
          <w:color w:val="000000"/>
          <w:sz w:val="32"/>
          <w:szCs w:val="32"/>
        </w:rPr>
        <w:t>。其中：</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3" w:firstLineChars="200"/>
        <w:textAlignment w:val="auto"/>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p>
    <w:p>
      <w:pPr>
        <w:pageBreakBefore w:val="0"/>
        <w:widowControl w:val="0"/>
        <w:kinsoku/>
        <w:wordWrap/>
        <w:overflowPunct/>
        <w:topLinePunct w:val="0"/>
        <w:bidi w:val="0"/>
        <w:spacing w:line="560" w:lineRule="exact"/>
        <w:ind w:firstLine="640"/>
        <w:textAlignment w:val="auto"/>
        <w:outlineLvl w:val="1"/>
        <w:rPr>
          <w:rStyle w:val="29"/>
          <w:rFonts w:ascii="黑体" w:hAnsi="黑体" w:eastAsia="黑体"/>
        </w:rPr>
      </w:pPr>
      <w:bookmarkStart w:id="69" w:name="_Toc79163872"/>
      <w:bookmarkStart w:id="70" w:name="_Toc79163622"/>
      <w:bookmarkStart w:id="71" w:name="_Toc15396610"/>
      <w:bookmarkStart w:id="72" w:name="_Toc15377218"/>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69"/>
      <w:bookmarkEnd w:id="70"/>
      <w:bookmarkEnd w:id="71"/>
      <w:bookmarkEnd w:id="72"/>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p>
    <w:p>
      <w:pPr>
        <w:pageBreakBefore w:val="0"/>
        <w:widowControl w:val="0"/>
        <w:numPr>
          <w:ilvl w:val="0"/>
          <w:numId w:val="2"/>
        </w:numPr>
        <w:kinsoku/>
        <w:wordWrap/>
        <w:overflowPunct/>
        <w:topLinePunct w:val="0"/>
        <w:bidi w:val="0"/>
        <w:spacing w:line="560" w:lineRule="exact"/>
        <w:ind w:firstLine="640"/>
        <w:textAlignment w:val="auto"/>
        <w:outlineLvl w:val="1"/>
        <w:rPr>
          <w:rStyle w:val="29"/>
          <w:rFonts w:ascii="黑体" w:hAnsi="黑体" w:eastAsia="黑体"/>
          <w:b w:val="0"/>
        </w:rPr>
      </w:pPr>
      <w:bookmarkStart w:id="73" w:name="_Toc79163873"/>
      <w:bookmarkStart w:id="74" w:name="_Toc79163623"/>
      <w:bookmarkStart w:id="75" w:name="_Toc15377219"/>
      <w:bookmarkStart w:id="76" w:name="_Toc15396611"/>
      <w:r>
        <w:rPr>
          <w:rStyle w:val="29"/>
          <w:rFonts w:hint="eastAsia" w:ascii="黑体" w:hAnsi="黑体" w:eastAsia="黑体"/>
          <w:b w:val="0"/>
        </w:rPr>
        <w:t>国有资本经营预算支出决算情况说明</w:t>
      </w:r>
      <w:bookmarkEnd w:id="73"/>
      <w:bookmarkEnd w:id="74"/>
      <w:bookmarkEnd w:id="75"/>
      <w:bookmarkEnd w:id="76"/>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jc w:val="center"/>
        <w:textAlignment w:val="auto"/>
        <w:rPr>
          <w:rFonts w:ascii="方正小标宋简体" w:hAnsi="方正小标宋简体" w:eastAsia="方正小标宋简体" w:cs="方正小标宋简体"/>
          <w:sz w:val="44"/>
          <w:szCs w:val="44"/>
        </w:rPr>
      </w:pPr>
    </w:p>
    <w:p>
      <w:pPr>
        <w:pageBreakBefore w:val="0"/>
        <w:widowControl w:val="0"/>
        <w:kinsoku/>
        <w:wordWrap/>
        <w:overflowPunct/>
        <w:topLinePunct w:val="0"/>
        <w:bidi w:val="0"/>
        <w:spacing w:line="560" w:lineRule="exact"/>
        <w:ind w:firstLine="800" w:firstLineChars="250"/>
        <w:textAlignment w:val="auto"/>
        <w:outlineLvl w:val="1"/>
        <w:rPr>
          <w:rStyle w:val="29"/>
          <w:rFonts w:ascii="黑体" w:hAnsi="黑体" w:eastAsia="黑体"/>
        </w:rPr>
      </w:pPr>
      <w:bookmarkStart w:id="77" w:name="_Toc15396612"/>
      <w:bookmarkStart w:id="78" w:name="_Toc79163874"/>
      <w:bookmarkStart w:id="79" w:name="_Toc15377221"/>
      <w:bookmarkStart w:id="80" w:name="_Toc79163624"/>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77"/>
      <w:bookmarkEnd w:id="78"/>
      <w:bookmarkEnd w:id="79"/>
      <w:bookmarkEnd w:id="80"/>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color w:val="000000"/>
          <w:sz w:val="32"/>
          <w:szCs w:val="32"/>
        </w:rPr>
      </w:pPr>
      <w:bookmarkStart w:id="81" w:name="_Toc79163625"/>
      <w:bookmarkStart w:id="82" w:name="_Toc15377222"/>
      <w:bookmarkStart w:id="83" w:name="_Toc79163875"/>
      <w:r>
        <w:rPr>
          <w:rFonts w:hint="eastAsia" w:ascii="仿宋" w:hAnsi="仿宋" w:eastAsia="仿宋"/>
          <w:b/>
          <w:color w:val="000000"/>
          <w:sz w:val="32"/>
          <w:szCs w:val="32"/>
        </w:rPr>
        <w:t>（一）机关运行经费支出情况</w:t>
      </w:r>
      <w:bookmarkEnd w:id="81"/>
      <w:bookmarkEnd w:id="82"/>
      <w:bookmarkEnd w:id="83"/>
    </w:p>
    <w:p>
      <w:pPr>
        <w:pageBreakBefore w:val="0"/>
        <w:widowControl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w:t>
      </w:r>
      <w:r>
        <w:rPr>
          <w:rFonts w:hint="eastAsia" w:ascii="仿宋_GB2312" w:eastAsia="仿宋_GB2312"/>
          <w:color w:val="000000"/>
          <w:sz w:val="32"/>
          <w:szCs w:val="32"/>
          <w:lang w:eastAsia="zh-CN"/>
        </w:rPr>
        <w:t>壤塘县工商业联合会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4.39</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rPr>
        <w:t>9.39万元，</w:t>
      </w:r>
      <w:r>
        <w:rPr>
          <w:rFonts w:hint="eastAsia" w:ascii="仿宋_GB2312" w:eastAsia="仿宋_GB2312"/>
          <w:color w:val="000000"/>
          <w:sz w:val="32"/>
          <w:szCs w:val="32"/>
          <w:lang w:val="en-US" w:eastAsia="zh-CN"/>
        </w:rPr>
        <w:t>下降68.16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w:t>
      </w:r>
      <w:r>
        <w:rPr>
          <w:rFonts w:hint="eastAsia" w:ascii="仿宋_GB2312" w:eastAsia="仿宋_GB2312"/>
          <w:color w:val="000000"/>
          <w:sz w:val="32"/>
          <w:szCs w:val="32"/>
        </w:rPr>
        <w:t>运行经费采购了办公设备，</w:t>
      </w:r>
      <w:r>
        <w:rPr>
          <w:rFonts w:hint="eastAsia" w:ascii="仿宋_GB2312" w:eastAsia="仿宋_GB2312"/>
          <w:color w:val="000000"/>
          <w:sz w:val="32"/>
          <w:szCs w:val="32"/>
          <w:lang w:val="en-US" w:eastAsia="zh-CN"/>
        </w:rPr>
        <w:t>2022年未采购，故运行经费减少</w:t>
      </w:r>
      <w:r>
        <w:rPr>
          <w:rFonts w:hint="eastAsia" w:ascii="仿宋_GB2312" w:eastAsia="仿宋_GB2312"/>
          <w:color w:val="000000"/>
          <w:sz w:val="32"/>
          <w:szCs w:val="32"/>
          <w:lang w:eastAsia="zh-CN"/>
        </w:rPr>
        <w:t>。</w:t>
      </w:r>
    </w:p>
    <w:p>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84" w:name="_Toc79163876"/>
      <w:bookmarkStart w:id="85" w:name="_Toc15377223"/>
      <w:bookmarkStart w:id="86" w:name="_Toc79163626"/>
      <w:r>
        <w:rPr>
          <w:rFonts w:hint="eastAsia" w:ascii="仿宋" w:hAnsi="仿宋" w:eastAsia="仿宋"/>
          <w:b/>
          <w:color w:val="000000"/>
          <w:sz w:val="32"/>
          <w:szCs w:val="32"/>
        </w:rPr>
        <w:t>（二）政府采购支出情况</w:t>
      </w:r>
      <w:bookmarkEnd w:id="84"/>
      <w:bookmarkEnd w:id="85"/>
      <w:bookmarkEnd w:id="86"/>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w:t>
      </w:r>
      <w:r>
        <w:rPr>
          <w:rFonts w:hint="eastAsia" w:ascii="仿宋_GB2312" w:eastAsia="仿宋_GB2312"/>
          <w:color w:val="000000"/>
          <w:sz w:val="32"/>
          <w:szCs w:val="32"/>
          <w:lang w:eastAsia="zh-CN"/>
        </w:rPr>
        <w:t>壤塘县工商业联合会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日常办公用品的采购支出</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87" w:name="_Toc79163627"/>
      <w:bookmarkStart w:id="88" w:name="_Toc79163877"/>
      <w:bookmarkStart w:id="89" w:name="_Toc15377224"/>
      <w:r>
        <w:rPr>
          <w:rFonts w:hint="eastAsia" w:ascii="仿宋" w:hAnsi="仿宋" w:eastAsia="仿宋"/>
          <w:b/>
          <w:color w:val="000000"/>
          <w:sz w:val="32"/>
          <w:szCs w:val="32"/>
        </w:rPr>
        <w:t>（三）国有资产占有使用情况</w:t>
      </w:r>
      <w:bookmarkEnd w:id="87"/>
      <w:bookmarkEnd w:id="88"/>
      <w:bookmarkEnd w:id="89"/>
    </w:p>
    <w:p>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壤塘县工商业联合会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90" w:name="_Toc79163878"/>
      <w:bookmarkStart w:id="91" w:name="_Toc79163628"/>
      <w:r>
        <w:rPr>
          <w:rFonts w:hint="eastAsia" w:ascii="仿宋" w:hAnsi="仿宋" w:eastAsia="仿宋"/>
          <w:b/>
          <w:color w:val="000000"/>
          <w:sz w:val="32"/>
          <w:szCs w:val="32"/>
        </w:rPr>
        <w:t>（四）预算绩效管理情况。</w:t>
      </w:r>
      <w:bookmarkEnd w:id="90"/>
      <w:bookmarkEnd w:id="91"/>
    </w:p>
    <w:p>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部门整体支出开展绩效自评，从评价情况来看我</w:t>
      </w:r>
      <w:r>
        <w:rPr>
          <w:rFonts w:hint="eastAsia" w:ascii="仿宋_GB2312" w:hAnsi="仿宋_GB2312" w:eastAsia="仿宋_GB2312" w:cs="仿宋_GB2312"/>
          <w:sz w:val="32"/>
          <w:szCs w:val="32"/>
          <w:lang w:eastAsia="zh-CN"/>
        </w:rPr>
        <w:t>单位2022年</w:t>
      </w:r>
      <w:r>
        <w:rPr>
          <w:rFonts w:hint="eastAsia" w:ascii="仿宋_GB2312" w:hAnsi="仿宋_GB2312" w:eastAsia="仿宋_GB2312" w:cs="仿宋_GB2312"/>
          <w:sz w:val="32"/>
          <w:szCs w:val="32"/>
        </w:rPr>
        <w:t>部门整体支出情况良好，从预算到执行和收入、支出管理均严格按照相关要求进行，全年收支平衡，有效保障了单位正常运转，圆满完成了单位目标任务。本部门无专项预算项目，因此未组织开展项目支出绩效评价。</w:t>
      </w:r>
    </w:p>
    <w:p>
      <w:pPr>
        <w:pageBreakBefore w:val="0"/>
        <w:widowControl w:val="0"/>
        <w:kinsoku/>
        <w:wordWrap/>
        <w:overflowPunct/>
        <w:topLinePunct w:val="0"/>
        <w:bidi w:val="0"/>
        <w:spacing w:line="560" w:lineRule="exact"/>
        <w:ind w:firstLine="640" w:firstLineChars="200"/>
        <w:textAlignment w:val="auto"/>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rPr>
          <w:rFonts w:hint="eastAsia" w:eastAsia="仿宋_GB2312"/>
          <w:lang w:val="en-US" w:eastAsia="zh-CN"/>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本年度无项目绩效</w:t>
      </w:r>
      <w:r>
        <w:rPr>
          <w:rFonts w:hint="eastAsia" w:ascii="仿宋_GB2312" w:hAnsi="仿宋_GB2312" w:eastAsia="仿宋_GB2312" w:cs="仿宋_GB2312"/>
          <w:sz w:val="32"/>
          <w:szCs w:val="32"/>
          <w:lang w:eastAsia="zh-CN"/>
        </w:rPr>
        <w:t>。</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部门整体支出绩效评价情况开展自评，《</w:t>
      </w:r>
      <w:r>
        <w:rPr>
          <w:rFonts w:hint="eastAsia" w:ascii="仿宋_GB2312" w:hAnsi="仿宋_GB2312" w:eastAsia="仿宋_GB2312" w:cs="仿宋_GB2312"/>
          <w:sz w:val="32"/>
          <w:szCs w:val="32"/>
          <w:lang w:eastAsia="zh-CN"/>
        </w:rPr>
        <w:t>壤塘县工商业联合会2022年</w:t>
      </w:r>
      <w:r>
        <w:rPr>
          <w:rFonts w:hint="eastAsia" w:ascii="仿宋_GB2312" w:hAnsi="仿宋_GB2312" w:eastAsia="仿宋_GB2312" w:cs="仿宋_GB2312"/>
          <w:sz w:val="32"/>
          <w:szCs w:val="32"/>
        </w:rPr>
        <w:t>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8"/>
          <w:rFonts w:ascii="黑体" w:hAnsi="黑体" w:eastAsia="黑体"/>
          <w:b w:val="0"/>
        </w:rPr>
      </w:pPr>
      <w:bookmarkStart w:id="92" w:name="_Toc15396613"/>
      <w:bookmarkStart w:id="93" w:name="_Toc15377225"/>
      <w:bookmarkStart w:id="94" w:name="_Toc79163879"/>
      <w:bookmarkStart w:id="95" w:name="_Toc79163629"/>
      <w:r>
        <w:rPr>
          <w:rFonts w:hint="eastAsia" w:ascii="黑体" w:hAnsi="黑体" w:eastAsia="黑体"/>
          <w:color w:val="000000"/>
          <w:sz w:val="44"/>
          <w:szCs w:val="44"/>
        </w:rPr>
        <w:t>名</w:t>
      </w:r>
      <w:r>
        <w:rPr>
          <w:rStyle w:val="28"/>
          <w:rFonts w:hint="eastAsia" w:ascii="黑体" w:hAnsi="黑体" w:eastAsia="黑体"/>
          <w:b w:val="0"/>
        </w:rPr>
        <w:t>词解释</w:t>
      </w:r>
      <w:bookmarkEnd w:id="92"/>
      <w:bookmarkEnd w:id="93"/>
      <w:bookmarkEnd w:id="94"/>
      <w:bookmarkEnd w:id="95"/>
    </w:p>
    <w:p>
      <w:pPr>
        <w:spacing w:line="600" w:lineRule="exact"/>
        <w:jc w:val="left"/>
        <w:rPr>
          <w:rFonts w:ascii="宋体"/>
          <w:b/>
          <w:color w:val="000000"/>
          <w:sz w:val="44"/>
          <w:szCs w:val="44"/>
        </w:rPr>
      </w:pPr>
    </w:p>
    <w:p>
      <w:pPr>
        <w:pStyle w:val="3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9.社会保障和就业（类）行政事业单位养老支出（款）机关事业单位基本养老保险缴费支出（项）：指由单位缴纳的基本养老保险费支出。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10.社会保障和就业（类）行政事业单位养老支出（款）  机关事业单位职业年金缴费支出（项）：指机关事业单位实施养老保险制度由单位实际缴纳的职业年金。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11.一般公共服务支出（类）民主党派及工商联事务（款）行政运行（项）：指行政单位（包括实行公务员管理的事业单位）的基本支出。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12.一般公共服务支出（类）民主党派及工商联事务（款）  其他民主党派及工商联事务支出（项）：指其他用于民主党派及工商联事务方面的支出。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13.卫生健康支出（类）行政事业单位医疗（款）行政单位医疗（项）：指财政部门集中安排的行政单位基本医疗保险缴费经费。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14.住房保障支出（类）住房改革支出（款）住房公积金（项）：指行政事业单位安装工资比例为职工缴纳的住房公积金</w:t>
      </w:r>
      <w:r>
        <w:rPr>
          <w:rFonts w:hint="eastAsia" w:ascii="仿宋_GB2312" w:eastAsia="仿宋_GB2312"/>
          <w:color w:val="000000"/>
          <w:sz w:val="32"/>
          <w:szCs w:val="32"/>
        </w:rPr>
        <w:t>。</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.基本支出：指为保障机构正常运转、完成日常工作任务而发生的人员支出和公用支出。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.项目支出：指在基本支出之外为完成特定行政任务和事业发展目标所发生的支出。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.经营支出：指事业单位在专业业务活动及其辅助活动之外开展非独立核算经营活动发生的支出。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8"/>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pPr>
        <w:spacing w:line="600" w:lineRule="exact"/>
        <w:jc w:val="center"/>
        <w:outlineLvl w:val="0"/>
        <w:rPr>
          <w:rStyle w:val="28"/>
          <w:rFonts w:ascii="黑体" w:hAnsi="黑体" w:eastAsia="黑体"/>
          <w:b w:val="0"/>
        </w:rPr>
      </w:pPr>
      <w:bookmarkStart w:id="96" w:name="_Toc15377226"/>
      <w:r>
        <w:rPr>
          <w:rFonts w:ascii="宋体"/>
          <w:b/>
          <w:color w:val="000000"/>
          <w:sz w:val="44"/>
          <w:szCs w:val="44"/>
        </w:rPr>
        <w:br w:type="page"/>
      </w:r>
      <w:bookmarkStart w:id="97" w:name="_Toc15396614"/>
      <w:bookmarkStart w:id="98" w:name="_Toc79163630"/>
      <w:bookmarkStart w:id="99" w:name="_Toc79163880"/>
      <w:r>
        <w:rPr>
          <w:rFonts w:hint="eastAsia" w:ascii="黑体" w:hAnsi="黑体" w:eastAsia="黑体"/>
          <w:color w:val="000000"/>
          <w:sz w:val="44"/>
          <w:szCs w:val="44"/>
        </w:rPr>
        <w:t>第</w:t>
      </w:r>
      <w:r>
        <w:rPr>
          <w:rStyle w:val="28"/>
          <w:rFonts w:hint="eastAsia" w:ascii="黑体" w:hAnsi="黑体" w:eastAsia="黑体"/>
          <w:b w:val="0"/>
        </w:rPr>
        <w:t>四部分</w:t>
      </w:r>
      <w:r>
        <w:rPr>
          <w:rStyle w:val="28"/>
          <w:rFonts w:ascii="黑体" w:hAnsi="黑体" w:eastAsia="黑体"/>
          <w:b w:val="0"/>
        </w:rPr>
        <w:t xml:space="preserve"> </w:t>
      </w:r>
      <w:r>
        <w:rPr>
          <w:rStyle w:val="28"/>
          <w:rFonts w:hint="eastAsia" w:ascii="黑体" w:hAnsi="黑体" w:eastAsia="黑体"/>
          <w:b w:val="0"/>
        </w:rPr>
        <w:t>附件</w:t>
      </w:r>
      <w:bookmarkEnd w:id="97"/>
      <w:bookmarkEnd w:id="98"/>
      <w:bookmarkEnd w:id="99"/>
    </w:p>
    <w:p>
      <w:pPr>
        <w:spacing w:line="600" w:lineRule="exact"/>
        <w:jc w:val="left"/>
        <w:outlineLvl w:val="0"/>
        <w:rPr>
          <w:rFonts w:ascii="方正小标宋简体" w:hAnsi="方正小标宋简体" w:eastAsia="方正小标宋简体" w:cs="方正小标宋简体"/>
          <w:sz w:val="32"/>
          <w:szCs w:val="32"/>
        </w:rPr>
      </w:pPr>
      <w:bookmarkStart w:id="100" w:name="_Toc79163881"/>
      <w:bookmarkStart w:id="101" w:name="_Toc79163631"/>
      <w:r>
        <w:rPr>
          <w:rFonts w:hint="eastAsia" w:ascii="黑体" w:hAnsi="黑体" w:eastAsia="黑体" w:cs="黑体"/>
          <w:sz w:val="32"/>
          <w:szCs w:val="32"/>
        </w:rPr>
        <w:t>附件</w:t>
      </w:r>
      <w:r>
        <w:rPr>
          <w:rFonts w:ascii="黑体" w:hAnsi="黑体" w:eastAsia="黑体" w:cs="黑体"/>
          <w:sz w:val="32"/>
          <w:szCs w:val="32"/>
        </w:rPr>
        <w:t>1</w:t>
      </w:r>
      <w:bookmarkEnd w:id="100"/>
      <w:bookmarkEnd w:id="101"/>
    </w:p>
    <w:p>
      <w:pPr>
        <w:spacing w:line="580" w:lineRule="exact"/>
        <w:jc w:val="center"/>
        <w:rPr>
          <w:rFonts w:ascii="方正小标宋简体" w:hAnsi="方正小标宋简体" w:eastAsia="方正小标宋简体" w:cs="方正小标宋简体"/>
          <w:sz w:val="44"/>
          <w:szCs w:val="44"/>
        </w:rPr>
      </w:pPr>
    </w:p>
    <w:p>
      <w:pPr>
        <w:spacing w:line="360" w:lineRule="auto"/>
        <w:jc w:val="center"/>
        <w:rPr>
          <w:rFonts w:hint="eastAsia" w:ascii="宋体" w:hAnsi="宋体" w:cs="宋体"/>
          <w:b/>
          <w:bCs/>
          <w:kern w:val="0"/>
          <w:sz w:val="44"/>
          <w:szCs w:val="44"/>
        </w:rPr>
      </w:pPr>
      <w:r>
        <w:rPr>
          <w:rFonts w:hint="eastAsia" w:ascii="宋体" w:hAnsi="宋体" w:cs="宋体"/>
          <w:b/>
          <w:bCs/>
          <w:kern w:val="0"/>
          <w:sz w:val="44"/>
          <w:szCs w:val="44"/>
        </w:rPr>
        <w:t>壤塘县工商业联合会</w:t>
      </w:r>
    </w:p>
    <w:p>
      <w:pPr>
        <w:spacing w:line="360" w:lineRule="auto"/>
        <w:jc w:val="center"/>
        <w:rPr>
          <w:rFonts w:ascii="宋体" w:hAnsi="宋体" w:cs="宋体"/>
          <w:b/>
          <w:bCs/>
          <w:kern w:val="0"/>
          <w:sz w:val="44"/>
          <w:szCs w:val="44"/>
        </w:rPr>
      </w:pPr>
      <w:r>
        <w:rPr>
          <w:rFonts w:hint="eastAsia" w:ascii="宋体" w:hAnsi="宋体" w:cs="宋体"/>
          <w:b/>
          <w:bCs/>
          <w:kern w:val="0"/>
          <w:sz w:val="44"/>
          <w:szCs w:val="44"/>
        </w:rPr>
        <w:t>2022年度部门整体支出绩效评价自评报告</w:t>
      </w:r>
    </w:p>
    <w:p>
      <w:pPr>
        <w:spacing w:line="360" w:lineRule="auto"/>
        <w:jc w:val="center"/>
        <w:rPr>
          <w:rFonts w:ascii="宋体" w:hAnsi="宋体" w:cs="宋体"/>
          <w:kern w:val="0"/>
          <w:szCs w:val="21"/>
        </w:rPr>
      </w:pPr>
    </w:p>
    <w:p>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一、部门（单位）概况</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壤塘县工商业联合会机构性质：机关，机构地址：四川省壤塘县壤柯镇中街90号，单位负责人：刘麟。</w:t>
      </w:r>
    </w:p>
    <w:p>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（一）机构组成</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壤塘县工商业联合会</w:t>
      </w:r>
      <w:r>
        <w:rPr>
          <w:rFonts w:hint="eastAsia" w:ascii="仿宋_GB2312" w:hAnsi="仿宋_GB2312" w:eastAsia="仿宋_GB2312" w:cs="仿宋_GB2312"/>
          <w:color w:val="auto"/>
          <w:sz w:val="32"/>
          <w:szCs w:val="32"/>
          <w:lang w:val="zh-CN"/>
        </w:rPr>
        <w:t>由</w:t>
      </w:r>
      <w:r>
        <w:rPr>
          <w:rFonts w:hint="eastAsia" w:ascii="仿宋_GB2312" w:hAnsi="仿宋_GB2312" w:eastAsia="仿宋_GB2312" w:cs="仿宋_GB2312"/>
          <w:color w:val="auto"/>
          <w:sz w:val="32"/>
          <w:szCs w:val="32"/>
        </w:rPr>
        <w:t>综合办公室</w:t>
      </w:r>
      <w:r>
        <w:rPr>
          <w:rFonts w:hint="eastAsia" w:ascii="仿宋_GB2312" w:hAnsi="仿宋_GB2312" w:eastAsia="仿宋_GB2312" w:cs="仿宋_GB2312"/>
          <w:color w:val="auto"/>
          <w:sz w:val="32"/>
          <w:szCs w:val="32"/>
          <w:lang w:val="zh-CN"/>
        </w:rPr>
        <w:t>组</w:t>
      </w:r>
      <w:r>
        <w:rPr>
          <w:rFonts w:hint="eastAsia" w:ascii="仿宋_GB2312" w:hAnsi="仿宋_GB2312" w:eastAsia="仿宋_GB2312" w:cs="仿宋_GB2312"/>
          <w:sz w:val="32"/>
          <w:szCs w:val="32"/>
          <w:lang w:val="zh-CN"/>
        </w:rPr>
        <w:t>成</w:t>
      </w:r>
      <w:r>
        <w:rPr>
          <w:rFonts w:hint="eastAsia" w:ascii="仿宋_GB2312" w:hAnsi="仿宋_GB2312" w:eastAsia="仿宋_GB2312" w:cs="仿宋_GB2312"/>
          <w:sz w:val="32"/>
          <w:szCs w:val="32"/>
        </w:rPr>
        <w:t>。</w:t>
      </w:r>
    </w:p>
    <w:p>
      <w:pPr>
        <w:numPr>
          <w:ilvl w:val="0"/>
          <w:numId w:val="4"/>
        </w:numPr>
        <w:spacing w:line="360" w:lineRule="auto"/>
        <w:ind w:firstLine="643"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kern w:val="0"/>
          <w:sz w:val="32"/>
          <w:szCs w:val="32"/>
        </w:rPr>
        <w:t>机构职能</w:t>
      </w:r>
    </w:p>
    <w:p>
      <w:pPr>
        <w:numPr>
          <w:ilvl w:val="0"/>
          <w:numId w:val="0"/>
        </w:numPr>
        <w:spacing w:line="360" w:lineRule="auto"/>
        <w:ind w:firstLine="960" w:firstLineChars="3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综合办公室。负责综合和反映全县工商联商会工作情况及贯彻落实县政府重大决策的情况；负责文件、机要、档案、文印管理工作；负责秘书实务、会议组织、日常值班及保卫保密工作；负责行政事务、财务和资产管理、内部协调和工勤人员、后勤服务等工作；负责政府与商会工作的协调；负责督办领导集体决定事项的执行；指导商会的各项工作。</w:t>
      </w:r>
    </w:p>
    <w:p>
      <w:pPr>
        <w:numPr>
          <w:ilvl w:val="0"/>
          <w:numId w:val="4"/>
        </w:num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人员概况</w:t>
      </w:r>
    </w:p>
    <w:p>
      <w:pPr>
        <w:ind w:firstLine="800" w:firstLineChars="250"/>
        <w:rPr>
          <w:rFonts w:ascii="仿宋_GB2312" w:hAnsi="仿宋_GB2312" w:eastAsia="仿宋_GB2312" w:cs="仿宋_GB2312"/>
          <w:sz w:val="32"/>
          <w:szCs w:val="32"/>
        </w:rPr>
      </w:pPr>
      <w:r>
        <w:rPr>
          <w:rFonts w:hint="eastAsia" w:ascii="仿宋_GB2312" w:hAnsi="宋体" w:eastAsia="仿宋_GB2312" w:cs="仿宋_GB2312"/>
          <w:kern w:val="0"/>
          <w:sz w:val="32"/>
          <w:szCs w:val="32"/>
        </w:rPr>
        <w:t>人员情况：总编制</w:t>
      </w:r>
      <w:r>
        <w:rPr>
          <w:rFonts w:hint="eastAsia" w:ascii="仿宋_GB2312" w:hAnsi="宋体" w:eastAsia="仿宋_GB2312" w:cs="仿宋_GB2312"/>
          <w:kern w:val="0"/>
          <w:sz w:val="32"/>
          <w:szCs w:val="32"/>
          <w:lang w:val="en-US" w:eastAsia="zh-CN"/>
        </w:rPr>
        <w:t>4</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行政编制1人、</w:t>
      </w:r>
      <w:r>
        <w:rPr>
          <w:rFonts w:hint="eastAsia" w:ascii="仿宋_GB2312" w:hAnsi="宋体" w:eastAsia="仿宋_GB2312" w:cs="仿宋_GB2312"/>
          <w:kern w:val="0"/>
          <w:sz w:val="32"/>
          <w:szCs w:val="32"/>
          <w:lang w:val="en-US" w:eastAsia="zh-CN"/>
        </w:rPr>
        <w:t>行政工勤1人，</w:t>
      </w:r>
      <w:r>
        <w:rPr>
          <w:rFonts w:hint="eastAsia" w:ascii="仿宋_GB2312" w:hAnsi="宋体" w:eastAsia="仿宋_GB2312" w:cs="仿宋_GB2312"/>
          <w:kern w:val="0"/>
          <w:sz w:val="32"/>
          <w:szCs w:val="32"/>
        </w:rPr>
        <w:t>事业编制2人</w:t>
      </w:r>
      <w:r>
        <w:rPr>
          <w:rFonts w:hint="eastAsia" w:ascii="仿宋_GB2312" w:hAnsi="仿宋_GB2312" w:eastAsia="仿宋_GB2312" w:cs="仿宋_GB2312"/>
          <w:sz w:val="32"/>
          <w:szCs w:val="32"/>
        </w:rPr>
        <w:t>。</w:t>
      </w:r>
    </w:p>
    <w:p>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（一）部门财政资金收入情况</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2022年财政下达壤塘县工商业联合会年初预算收入</w:t>
      </w:r>
      <w:r>
        <w:rPr>
          <w:rFonts w:hint="eastAsia" w:ascii="仿宋_GB2312" w:hAnsi="仿宋_GB2312" w:eastAsia="仿宋_GB2312" w:cs="仿宋_GB2312"/>
          <w:sz w:val="32"/>
          <w:szCs w:val="32"/>
          <w:lang w:val="en-US" w:eastAsia="zh-CN"/>
        </w:rPr>
        <w:t>71.14</w:t>
      </w:r>
      <w:r>
        <w:rPr>
          <w:rFonts w:hint="eastAsia" w:ascii="仿宋_GB2312" w:hAnsi="仿宋_GB2312" w:eastAsia="仿宋_GB2312" w:cs="仿宋_GB2312"/>
          <w:sz w:val="32"/>
          <w:szCs w:val="32"/>
        </w:rPr>
        <w:t>万元，执行期中追加收入</w:t>
      </w:r>
      <w:r>
        <w:rPr>
          <w:rFonts w:ascii="仿宋_GB2312" w:hAnsi="仿宋_GB2312" w:eastAsia="仿宋_GB2312" w:cs="仿宋_GB2312"/>
          <w:sz w:val="32"/>
          <w:szCs w:val="32"/>
        </w:rPr>
        <w:t>31.38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全年实际收入合计为102.52万元，本年度无财政应返还额度</w:t>
      </w:r>
      <w:r>
        <w:rPr>
          <w:rFonts w:hint="eastAsia" w:ascii="仿宋_GB2312" w:hAnsi="仿宋_GB2312" w:eastAsia="仿宋_GB2312" w:cs="仿宋_GB2312"/>
          <w:sz w:val="32"/>
          <w:szCs w:val="32"/>
        </w:rPr>
        <w:t xml:space="preserve">。 </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（二）部门财政资金支出情况</w:t>
      </w:r>
      <w:r>
        <w:rPr>
          <w:rFonts w:hint="eastAsia" w:ascii="仿宋_GB2312" w:hAnsi="仿宋_GB2312" w:eastAsia="仿宋_GB2312" w:cs="仿宋_GB2312"/>
          <w:sz w:val="32"/>
          <w:szCs w:val="32"/>
        </w:rPr>
        <w:t xml:space="preserve">  </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2022年壤塘县工商业联合会支出全年预算数共计1</w:t>
      </w:r>
      <w:r>
        <w:rPr>
          <w:rFonts w:ascii="仿宋_GB2312" w:hAnsi="仿宋_GB2312" w:eastAsia="仿宋_GB2312" w:cs="仿宋_GB2312"/>
          <w:sz w:val="32"/>
          <w:szCs w:val="32"/>
        </w:rPr>
        <w:t>02.52</w:t>
      </w:r>
      <w:r>
        <w:rPr>
          <w:rFonts w:hint="eastAsia" w:ascii="仿宋_GB2312" w:hAnsi="仿宋_GB2312" w:eastAsia="仿宋_GB2312" w:cs="仿宋_GB2312"/>
          <w:sz w:val="32"/>
          <w:szCs w:val="32"/>
        </w:rPr>
        <w:t>万元，其中基本支出</w:t>
      </w:r>
      <w:r>
        <w:rPr>
          <w:rFonts w:ascii="仿宋_GB2312" w:hAnsi="仿宋_GB2312" w:eastAsia="仿宋_GB2312" w:cs="仿宋_GB2312"/>
          <w:sz w:val="32"/>
          <w:szCs w:val="32"/>
        </w:rPr>
        <w:t>95.32</w:t>
      </w:r>
      <w:r>
        <w:rPr>
          <w:rFonts w:hint="eastAsia" w:ascii="仿宋_GB2312" w:hAnsi="仿宋_GB2312" w:eastAsia="仿宋_GB2312" w:cs="仿宋_GB2312"/>
          <w:sz w:val="32"/>
          <w:szCs w:val="32"/>
        </w:rPr>
        <w:t>万元，项目支出</w:t>
      </w:r>
      <w:r>
        <w:rPr>
          <w:rFonts w:ascii="仿宋_GB2312" w:hAnsi="仿宋_GB2312" w:eastAsia="仿宋_GB2312" w:cs="仿宋_GB2312"/>
          <w:sz w:val="32"/>
          <w:szCs w:val="32"/>
        </w:rPr>
        <w:t>7.2</w:t>
      </w:r>
      <w:r>
        <w:rPr>
          <w:rFonts w:hint="eastAsia" w:ascii="仿宋_GB2312" w:hAnsi="仿宋_GB2312" w:eastAsia="仿宋_GB2312" w:cs="仿宋_GB2312"/>
          <w:sz w:val="32"/>
          <w:szCs w:val="32"/>
        </w:rPr>
        <w:t>万元。</w:t>
      </w:r>
    </w:p>
    <w:p>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pPr>
        <w:pStyle w:val="44"/>
        <w:spacing w:line="360" w:lineRule="auto"/>
        <w:ind w:firstLine="64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（一）部门预算管理</w:t>
      </w:r>
    </w:p>
    <w:p>
      <w:pPr>
        <w:pStyle w:val="44"/>
        <w:spacing w:line="360" w:lineRule="auto"/>
        <w:ind w:firstLine="64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1.部门整体绩效目标制定情况</w:t>
      </w:r>
    </w:p>
    <w:p>
      <w:pPr>
        <w:pStyle w:val="44"/>
        <w:spacing w:line="360" w:lineRule="auto"/>
        <w:ind w:firstLine="640"/>
        <w:rPr>
          <w:rFonts w:ascii="仿宋_GB2312" w:hAnsi="仿宋_GB2312" w:eastAsia="仿宋_GB2312" w:cs="仿宋_GB2312"/>
          <w:b/>
          <w:bCs/>
          <w:kern w:val="0"/>
          <w:sz w:val="32"/>
          <w:szCs w:val="32"/>
        </w:rPr>
      </w:pPr>
      <w:r>
        <w:rPr>
          <w:rFonts w:hint="eastAsia" w:ascii="仿宋_GB2312" w:hAnsi="仿宋_GB2312" w:eastAsia="仿宋_GB2312" w:cs="仿宋_GB2312"/>
          <w:sz w:val="32"/>
          <w:szCs w:val="32"/>
        </w:rPr>
        <w:t>坚持以习近平新时代中国特色社会主义思想为指导，认真学习贯彻二十大，省第十二次代会和中央经济工作会议精神，以及习近平总书记关于新时代民营经济统战工作和工商联工作重要指示批示精神，深入贯彻落实中共中央办公厅《关于加强新时代民营经济统战工作的意见》、省委十一届十次全会，坚持稳字当头、稳中求进，紧扣“两个健康”工作主题，落实“四会”工作要求，统筹引导、服务和理想信念教育，服务全县经济大盘，为高质量建成“美丽幸福壤巴拉家园”贡献民营经济智慧和力量。</w:t>
      </w:r>
    </w:p>
    <w:p>
      <w:pPr>
        <w:pStyle w:val="44"/>
        <w:spacing w:line="360" w:lineRule="auto"/>
        <w:ind w:firstLine="64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2.部门整体绩效目标完成情况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引导民营企业参与光彩事业、履行社会责任。组织民营企业参加全国“万企兴万村”行动台账管理工作视频培训会，“万企兴万村”行动助力乡村振兴工作推进会，充分利用好省工商联“万企兴万村”消费扶贫平台，引导民营企业参与消费行动。壤塘县工商联商会在明达村开展“万企兴万村”民营企业暖冬慰问活动，四川善进企业捐赠毛毯、四件套、家用锅等慰问物资，折合人民币18500元。</w:t>
      </w:r>
    </w:p>
    <w:p>
      <w:pPr>
        <w:spacing w:line="560" w:lineRule="exact"/>
        <w:ind w:firstLine="640" w:firstLineChars="200"/>
        <w:rPr>
          <w:rFonts w:hint="eastAsia"/>
        </w:rPr>
      </w:pPr>
      <w:r>
        <w:rPr>
          <w:rFonts w:hint="eastAsia" w:ascii="仿宋_GB2312" w:hAnsi="仿宋_GB2312" w:eastAsia="仿宋_GB2312" w:cs="仿宋_GB2312"/>
          <w:sz w:val="32"/>
          <w:szCs w:val="32"/>
        </w:rPr>
        <w:t>（2）积极引导民营企业参与抗疫救灾、扶贫济危等公益慈善活动。“6▪10”马尔康地震，组织民营经济人士履行社会责任累计捐款5200元，捐物折合人民币23800元。“8.30”“9.03”新冠肺炎疫情发生以来，我联充分发挥桥梁纽带助手作用，及时发出疫情防控倡议书，积极号召全县广大民营经济人士迅速行动起来，为疫情防控工作担当作为，奉献爱心。期间累计捐赠鲜肉、水果、蔬菜、面包等物资折合人民币64120元，累计个人捐赠资金2300元。由我县各行业民营企业及个体工商户组成120名志愿者服务队毅然扛起全县疫情防控物资搬运、生活物资配送、集中隔离点帐篷搭建、隔离点提供免费盒饭等工作</w:t>
      </w:r>
      <w:r>
        <w:rPr>
          <w:rFonts w:hint="eastAsia"/>
        </w:rPr>
        <w:t>。</w:t>
      </w:r>
    </w:p>
    <w:p>
      <w:pPr>
        <w:pStyle w:val="44"/>
        <w:spacing w:line="360" w:lineRule="auto"/>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3.预算编制情况</w:t>
      </w:r>
    </w:p>
    <w:p>
      <w:pPr>
        <w:pStyle w:val="44"/>
        <w:spacing w:line="360" w:lineRule="auto"/>
        <w:ind w:firstLine="640"/>
        <w:rPr>
          <w:rFonts w:ascii="仿宋_GB2312" w:hAnsi="仿宋_GB2312" w:eastAsia="仿宋_GB2312" w:cs="仿宋_GB2312"/>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壤塘县工商业联合会</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rPr>
        <w:t>71.14</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w:t>
      </w:r>
      <w:r>
        <w:rPr>
          <w:rFonts w:ascii="仿宋_GB2312" w:hAnsi="仿宋_GB2312" w:eastAsia="仿宋_GB2312" w:cs="仿宋_GB2312"/>
          <w:sz w:val="32"/>
          <w:szCs w:val="32"/>
        </w:rPr>
        <w:t>31.38</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rPr>
        <w:t>102.52</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年末无结转结余，</w:t>
      </w:r>
      <w:r>
        <w:rPr>
          <w:rFonts w:ascii="仿宋_GB2312" w:hAnsi="仿宋_GB2312" w:eastAsia="仿宋_GB2312" w:cs="仿宋_GB2312"/>
          <w:sz w:val="32"/>
          <w:szCs w:val="32"/>
        </w:rPr>
        <w:t>预算安排较为准确。</w:t>
      </w:r>
    </w:p>
    <w:p>
      <w:pPr>
        <w:pStyle w:val="44"/>
        <w:spacing w:line="360" w:lineRule="auto"/>
        <w:ind w:firstLine="64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4.执行进度</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2022年壤塘县工商业联合会财政拨款执行数</w:t>
      </w:r>
      <w:r>
        <w:rPr>
          <w:rFonts w:ascii="仿宋_GB2312" w:hAnsi="仿宋_GB2312" w:eastAsia="仿宋_GB2312" w:cs="仿宋_GB2312"/>
          <w:sz w:val="32"/>
          <w:szCs w:val="32"/>
        </w:rPr>
        <w:t>102.52</w:t>
      </w:r>
      <w:r>
        <w:rPr>
          <w:rFonts w:hint="eastAsia" w:ascii="仿宋_GB2312" w:hAnsi="仿宋_GB2312" w:eastAsia="仿宋_GB2312" w:cs="仿宋_GB2312"/>
          <w:sz w:val="32"/>
          <w:szCs w:val="32"/>
        </w:rPr>
        <w:t>万元，财政拨款调整预算数</w:t>
      </w:r>
      <w:r>
        <w:rPr>
          <w:rFonts w:hint="eastAsia" w:ascii="仿宋_GB2312" w:hAnsi="仿宋_GB2312" w:eastAsia="仿宋_GB2312" w:cs="仿宋_GB2312"/>
          <w:sz w:val="32"/>
          <w:szCs w:val="32"/>
          <w:lang w:val="en-US" w:eastAsia="zh-CN"/>
        </w:rPr>
        <w:t>102.52</w:t>
      </w:r>
      <w:r>
        <w:rPr>
          <w:rFonts w:hint="eastAsia" w:ascii="仿宋_GB2312" w:hAnsi="仿宋_GB2312" w:eastAsia="仿宋_GB2312" w:cs="仿宋_GB2312"/>
          <w:sz w:val="32"/>
          <w:szCs w:val="32"/>
        </w:rPr>
        <w:t>万元，部门总体执行进度</w:t>
      </w:r>
      <w:r>
        <w:rPr>
          <w:rFonts w:hint="eastAsia" w:ascii="仿宋_GB2312" w:hAnsi="仿宋_GB2312" w:eastAsia="仿宋_GB2312" w:cs="仿宋_GB2312"/>
          <w:sz w:val="32"/>
          <w:szCs w:val="32"/>
          <w:lang w:val="en-US" w:eastAsia="zh-CN"/>
        </w:rPr>
        <w:t>较高</w:t>
      </w:r>
      <w:r>
        <w:rPr>
          <w:rFonts w:hint="eastAsia" w:ascii="仿宋_GB2312" w:hAnsi="仿宋_GB2312" w:eastAsia="仿宋_GB2312" w:cs="仿宋_GB2312"/>
          <w:sz w:val="32"/>
          <w:szCs w:val="32"/>
        </w:rPr>
        <w:t>。</w:t>
      </w:r>
    </w:p>
    <w:p>
      <w:pPr>
        <w:pStyle w:val="44"/>
        <w:spacing w:line="360" w:lineRule="auto"/>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5.预算完成情况</w:t>
      </w:r>
    </w:p>
    <w:p>
      <w:pPr>
        <w:pStyle w:val="44"/>
        <w:spacing w:line="360" w:lineRule="auto"/>
        <w:ind w:firstLine="640"/>
        <w:rPr>
          <w:rFonts w:ascii="仿宋_GB2312" w:hAnsi="仿宋_GB2312" w:eastAsia="仿宋_GB2312" w:cs="仿宋_GB2312"/>
          <w:b/>
          <w:bCs/>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壤塘县工商业联合会</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rPr>
        <w:t>71.14</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w:t>
      </w:r>
      <w:r>
        <w:rPr>
          <w:rFonts w:ascii="仿宋_GB2312" w:hAnsi="仿宋_GB2312" w:eastAsia="仿宋_GB2312" w:cs="仿宋_GB2312"/>
          <w:sz w:val="32"/>
          <w:szCs w:val="32"/>
        </w:rPr>
        <w:t>31.38</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rPr>
        <w:t>102.52</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，预算完成进度为100%，预算完成度较高。</w:t>
      </w:r>
    </w:p>
    <w:p>
      <w:pPr>
        <w:pStyle w:val="44"/>
        <w:spacing w:line="360" w:lineRule="auto"/>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6.违规纪录</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截至2022年12月31日，我单位无违规纪录情况。</w:t>
      </w:r>
    </w:p>
    <w:p>
      <w:pPr>
        <w:pStyle w:val="44"/>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7.三公经费</w:t>
      </w:r>
    </w:p>
    <w:p>
      <w:pPr>
        <w:pStyle w:val="44"/>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公”经费控制。壤塘县工商业联合会2022年“三公”经费预算0万元，决算支出0万元。其中公务用车购置及运行维护费预算04万元，决算支出0万元（其中公务用车运行维护费3.76万元）,未发生因公出国（境）费及公务接待费，2022年“三公”经费决算均未超过预算。</w:t>
      </w:r>
    </w:p>
    <w:p>
      <w:pPr>
        <w:pStyle w:val="44"/>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8.政府采购</w:t>
      </w:r>
    </w:p>
    <w:p>
      <w:pPr>
        <w:pStyle w:val="44"/>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采购规范性。壤塘县工商业联合会2022年度政府采购货物支出0万元，政府采购工程支出0万元，政府采购服务支出0万元。</w:t>
      </w:r>
    </w:p>
    <w:p>
      <w:pPr>
        <w:pStyle w:val="44"/>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9.资产管理</w:t>
      </w:r>
      <w:r>
        <w:rPr>
          <w:rFonts w:hint="eastAsia" w:ascii="仿宋_GB2312" w:hAnsi="仿宋_GB2312" w:eastAsia="仿宋_GB2312" w:cs="仿宋_GB2312"/>
          <w:sz w:val="32"/>
          <w:szCs w:val="32"/>
          <w:lang w:val="en-US" w:eastAsia="zh-CN"/>
        </w:rPr>
        <w:t xml:space="preserve">  </w:t>
      </w:r>
    </w:p>
    <w:p>
      <w:pPr>
        <w:pStyle w:val="44"/>
        <w:spacing w:line="360" w:lineRule="auto"/>
        <w:ind w:firstLine="640"/>
        <w:rPr>
          <w:rFonts w:hint="default" w:ascii="仿宋_GB2312" w:hAnsi="仿宋_GB2312" w:eastAsia="仿宋_GB2312" w:cs="仿宋_GB2312"/>
          <w:b/>
          <w:bCs/>
          <w:sz w:val="32"/>
          <w:szCs w:val="32"/>
          <w:lang w:val="en-US"/>
        </w:rPr>
      </w:pPr>
      <w:r>
        <w:rPr>
          <w:rFonts w:hint="eastAsia" w:ascii="仿宋_GB2312" w:hAnsi="仿宋_GB2312" w:eastAsia="仿宋_GB2312" w:cs="仿宋_GB2312"/>
          <w:sz w:val="32"/>
          <w:szCs w:val="32"/>
          <w:lang w:val="en-US" w:eastAsia="zh-CN"/>
        </w:rPr>
        <w:t>固定资产在用率。截止2022年12月31日，壤塘县工商业联合会《行政单位资产管理系统》固定资产总计8.98万元，在用的固定资产总计8.98万元，固定资产在用率达100%。</w:t>
      </w:r>
    </w:p>
    <w:p>
      <w:pPr>
        <w:pStyle w:val="44"/>
        <w:numPr>
          <w:ilvl w:val="0"/>
          <w:numId w:val="0"/>
        </w:numPr>
        <w:tabs>
          <w:tab w:val="left" w:pos="628"/>
        </w:tabs>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(二)</w:t>
      </w:r>
      <w:r>
        <w:rPr>
          <w:rFonts w:hint="eastAsia" w:ascii="仿宋_GB2312" w:hAnsi="仿宋_GB2312" w:eastAsia="仿宋_GB2312" w:cs="仿宋_GB2312"/>
          <w:b/>
          <w:bCs/>
          <w:kern w:val="0"/>
          <w:sz w:val="32"/>
          <w:szCs w:val="32"/>
        </w:rPr>
        <w:t>结果应用情况</w:t>
      </w:r>
    </w:p>
    <w:p>
      <w:pPr>
        <w:pStyle w:val="44"/>
        <w:spacing w:line="36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　</w:t>
      </w:r>
      <w:r>
        <w:rPr>
          <w:rFonts w:hint="eastAsia" w:ascii="仿宋_GB2312" w:hAnsi="仿宋_GB2312" w:eastAsia="仿宋_GB2312" w:cs="仿宋_GB2312"/>
          <w:sz w:val="32"/>
          <w:szCs w:val="32"/>
        </w:rPr>
        <w:t>　根据县财政局要求，我会成立自评工作小组，组织实施本单位2022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全局各项工作的正常运转。</w:t>
      </w:r>
    </w:p>
    <w:p>
      <w:pPr>
        <w:pStyle w:val="44"/>
        <w:spacing w:line="360" w:lineRule="auto"/>
        <w:ind w:firstLine="64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四、评价结论及措施</w:t>
      </w:r>
    </w:p>
    <w:p>
      <w:pPr>
        <w:pStyle w:val="44"/>
        <w:spacing w:line="360" w:lineRule="auto"/>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pPr>
        <w:pStyle w:val="44"/>
        <w:spacing w:line="360" w:lineRule="auto"/>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zh-CN"/>
        </w:rPr>
        <w:t>我</w:t>
      </w:r>
      <w:r>
        <w:rPr>
          <w:rFonts w:hint="eastAsia" w:ascii="仿宋_GB2312" w:hAnsi="仿宋_GB2312" w:eastAsia="仿宋_GB2312" w:cs="仿宋_GB2312"/>
          <w:sz w:val="32"/>
          <w:szCs w:val="32"/>
        </w:rPr>
        <w:t>会</w:t>
      </w:r>
      <w:r>
        <w:rPr>
          <w:rFonts w:hint="eastAsia" w:ascii="仿宋_GB2312" w:hAnsi="仿宋_GB2312" w:eastAsia="仿宋_GB2312" w:cs="仿宋_GB2312"/>
          <w:sz w:val="32"/>
          <w:szCs w:val="32"/>
          <w:lang w:val="zh-CN"/>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w:t>
      </w:r>
      <w:r>
        <w:rPr>
          <w:rFonts w:hint="eastAsia" w:ascii="仿宋_GB2312" w:hAnsi="仿宋_GB2312" w:eastAsia="仿宋_GB2312" w:cs="仿宋_GB2312"/>
          <w:sz w:val="32"/>
          <w:szCs w:val="32"/>
        </w:rPr>
        <w:t>会</w:t>
      </w:r>
      <w:r>
        <w:rPr>
          <w:rFonts w:hint="eastAsia" w:ascii="仿宋_GB2312" w:hAnsi="仿宋_GB2312" w:eastAsia="仿宋_GB2312" w:cs="仿宋_GB2312"/>
          <w:sz w:val="32"/>
          <w:szCs w:val="32"/>
          <w:lang w:val="zh-CN"/>
        </w:rPr>
        <w:t>将继续努力，科学合理编制预决算，进行绩效评价，加强精细管理，完善不足</w:t>
      </w:r>
      <w:r>
        <w:rPr>
          <w:rFonts w:hint="eastAsia" w:ascii="仿宋_GB2312" w:hAnsi="仿宋_GB2312" w:eastAsia="仿宋_GB2312" w:cs="仿宋_GB2312"/>
          <w:sz w:val="32"/>
          <w:szCs w:val="32"/>
        </w:rPr>
        <w:t>。</w:t>
      </w:r>
    </w:p>
    <w:p>
      <w:pPr>
        <w:pStyle w:val="44"/>
        <w:spacing w:line="360" w:lineRule="auto"/>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（二）存在问题</w:t>
      </w:r>
    </w:p>
    <w:p>
      <w:pPr>
        <w:widowControl/>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1.未制定明确的财务监控监督措施</w:t>
      </w:r>
      <w:r>
        <w:rPr>
          <w:rFonts w:hint="eastAsia" w:ascii="仿宋_GB2312" w:hAnsi="仿宋_GB2312" w:eastAsia="仿宋_GB2312" w:cs="仿宋_GB2312"/>
          <w:sz w:val="32"/>
          <w:szCs w:val="32"/>
          <w:lang w:val="zh-CN"/>
        </w:rPr>
        <w:t>。</w:t>
      </w:r>
    </w:p>
    <w:p>
      <w:pPr>
        <w:widowControl/>
        <w:ind w:firstLine="643" w:firstLineChars="200"/>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（三）改进建议</w:t>
      </w:r>
    </w:p>
    <w:p>
      <w:pPr>
        <w:widowControl/>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1.制定明确的财务监控监督措施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并保证监控、监督措施执行有效</w:t>
      </w:r>
      <w:r>
        <w:rPr>
          <w:rFonts w:hint="eastAsia" w:ascii="仿宋_GB2312" w:hAnsi="仿宋_GB2312" w:eastAsia="仿宋_GB2312" w:cs="仿宋_GB2312"/>
          <w:sz w:val="32"/>
          <w:szCs w:val="32"/>
        </w:rPr>
        <w:t>。</w:t>
      </w:r>
    </w:p>
    <w:p>
      <w:pPr>
        <w:widowControl/>
        <w:ind w:firstLine="640" w:firstLineChars="200"/>
        <w:rPr>
          <w:rFonts w:hint="eastAsia"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pStyle w:val="19"/>
        <w:ind w:left="0" w:leftChars="0" w:firstLine="0" w:firstLineChars="0"/>
      </w:pPr>
    </w:p>
    <w:p>
      <w:pPr>
        <w:spacing w:line="600" w:lineRule="exact"/>
        <w:jc w:val="center"/>
        <w:outlineLvl w:val="0"/>
        <w:rPr>
          <w:rStyle w:val="28"/>
          <w:rFonts w:ascii="黑体" w:hAnsi="黑体" w:eastAsia="黑体"/>
          <w:b w:val="0"/>
        </w:rPr>
      </w:pPr>
      <w:bookmarkStart w:id="102" w:name="_Toc79163885"/>
      <w:bookmarkStart w:id="103" w:name="_Toc79163635"/>
      <w:bookmarkStart w:id="104" w:name="_Toc15396618"/>
      <w:r>
        <w:rPr>
          <w:rFonts w:hint="eastAsia" w:ascii="黑体" w:hAnsi="黑体" w:eastAsia="黑体"/>
          <w:color w:val="000000"/>
          <w:sz w:val="44"/>
          <w:szCs w:val="44"/>
        </w:rPr>
        <w:t>第</w:t>
      </w:r>
      <w:r>
        <w:rPr>
          <w:rStyle w:val="28"/>
          <w:rFonts w:hint="eastAsia" w:ascii="黑体" w:hAnsi="黑体" w:eastAsia="黑体"/>
          <w:b w:val="0"/>
        </w:rPr>
        <w:t>五部分</w:t>
      </w:r>
      <w:r>
        <w:rPr>
          <w:rStyle w:val="28"/>
          <w:rFonts w:ascii="黑体" w:hAnsi="黑体" w:eastAsia="黑体"/>
          <w:b w:val="0"/>
        </w:rPr>
        <w:t xml:space="preserve"> </w:t>
      </w:r>
      <w:r>
        <w:rPr>
          <w:rStyle w:val="28"/>
          <w:rFonts w:hint="eastAsia" w:ascii="黑体" w:hAnsi="黑体" w:eastAsia="黑体"/>
          <w:b w:val="0"/>
        </w:rPr>
        <w:t>附表</w:t>
      </w:r>
      <w:bookmarkEnd w:id="96"/>
      <w:bookmarkEnd w:id="102"/>
      <w:bookmarkEnd w:id="103"/>
      <w:bookmarkEnd w:id="104"/>
    </w:p>
    <w:p>
      <w:pPr>
        <w:pStyle w:val="4"/>
        <w:rPr>
          <w:rFonts w:ascii="仿宋" w:hAnsi="仿宋" w:eastAsia="仿宋"/>
          <w:color w:val="000000"/>
        </w:rPr>
      </w:pPr>
      <w:bookmarkStart w:id="105" w:name="_Toc79163636"/>
      <w:bookmarkStart w:id="106" w:name="_Toc15396619"/>
      <w:bookmarkStart w:id="107" w:name="_Toc79163886"/>
      <w:r>
        <w:rPr>
          <w:rFonts w:hint="eastAsia" w:ascii="仿宋" w:hAnsi="仿宋" w:eastAsia="仿宋"/>
          <w:b w:val="0"/>
          <w:color w:val="000000"/>
        </w:rPr>
        <w:t>一、收</w:t>
      </w:r>
      <w:r>
        <w:rPr>
          <w:rStyle w:val="29"/>
          <w:rFonts w:hint="eastAsia" w:ascii="仿宋" w:hAnsi="仿宋" w:eastAsia="仿宋"/>
          <w:b w:val="0"/>
          <w:bCs w:val="0"/>
        </w:rPr>
        <w:t>入支出决算总表</w:t>
      </w:r>
      <w:bookmarkEnd w:id="105"/>
      <w:bookmarkEnd w:id="106"/>
      <w:bookmarkEnd w:id="107"/>
    </w:p>
    <w:p>
      <w:pPr>
        <w:pStyle w:val="4"/>
        <w:rPr>
          <w:rFonts w:ascii="仿宋" w:hAnsi="仿宋" w:eastAsia="仿宋"/>
          <w:color w:val="000000"/>
        </w:rPr>
      </w:pPr>
      <w:bookmarkStart w:id="108" w:name="_Toc15396620"/>
      <w:bookmarkStart w:id="109" w:name="_Toc79163637"/>
      <w:bookmarkStart w:id="110" w:name="_Toc79163887"/>
      <w:r>
        <w:rPr>
          <w:rFonts w:hint="eastAsia" w:ascii="仿宋" w:hAnsi="仿宋" w:eastAsia="仿宋"/>
          <w:b w:val="0"/>
          <w:color w:val="000000"/>
        </w:rPr>
        <w:t>二、收</w:t>
      </w:r>
      <w:r>
        <w:rPr>
          <w:rStyle w:val="29"/>
          <w:rFonts w:hint="eastAsia" w:ascii="仿宋" w:hAnsi="仿宋" w:eastAsia="仿宋"/>
          <w:b w:val="0"/>
          <w:bCs w:val="0"/>
        </w:rPr>
        <w:t>入决算表</w:t>
      </w:r>
      <w:bookmarkEnd w:id="108"/>
      <w:bookmarkEnd w:id="109"/>
      <w:bookmarkEnd w:id="110"/>
    </w:p>
    <w:p>
      <w:pPr>
        <w:pStyle w:val="4"/>
        <w:rPr>
          <w:rFonts w:ascii="仿宋" w:hAnsi="仿宋" w:eastAsia="仿宋"/>
          <w:color w:val="000000"/>
        </w:rPr>
      </w:pPr>
      <w:bookmarkStart w:id="111" w:name="_Toc79163638"/>
      <w:bookmarkStart w:id="112" w:name="_Toc79163888"/>
      <w:bookmarkStart w:id="113"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111"/>
      <w:bookmarkEnd w:id="112"/>
      <w:bookmarkEnd w:id="113"/>
    </w:p>
    <w:p>
      <w:pPr>
        <w:pStyle w:val="4"/>
        <w:rPr>
          <w:rFonts w:ascii="仿宋" w:hAnsi="仿宋" w:eastAsia="仿宋"/>
          <w:b w:val="0"/>
          <w:color w:val="000000"/>
        </w:rPr>
      </w:pPr>
      <w:bookmarkStart w:id="114" w:name="_Toc15396622"/>
      <w:bookmarkStart w:id="115" w:name="_Toc79163889"/>
      <w:bookmarkStart w:id="116" w:name="_Toc79163639"/>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114"/>
      <w:bookmarkEnd w:id="115"/>
      <w:bookmarkEnd w:id="116"/>
    </w:p>
    <w:p>
      <w:pPr>
        <w:pStyle w:val="4"/>
        <w:rPr>
          <w:rStyle w:val="29"/>
          <w:rFonts w:ascii="仿宋" w:hAnsi="仿宋" w:eastAsia="仿宋"/>
          <w:b w:val="0"/>
          <w:bCs w:val="0"/>
        </w:rPr>
      </w:pPr>
      <w:bookmarkStart w:id="117" w:name="_Toc15396623"/>
      <w:bookmarkStart w:id="118" w:name="_Toc79163640"/>
      <w:bookmarkStart w:id="119" w:name="_Toc79163890"/>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117"/>
      <w:bookmarkEnd w:id="118"/>
      <w:bookmarkEnd w:id="119"/>
      <w:bookmarkStart w:id="120" w:name="_Toc15396624"/>
    </w:p>
    <w:p>
      <w:pPr>
        <w:pStyle w:val="4"/>
        <w:rPr>
          <w:rFonts w:ascii="仿宋" w:hAnsi="仿宋" w:eastAsia="仿宋"/>
          <w:color w:val="000000"/>
        </w:rPr>
      </w:pPr>
      <w:bookmarkStart w:id="121" w:name="_Toc79163641"/>
      <w:bookmarkStart w:id="122" w:name="_Toc79163891"/>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120"/>
      <w:bookmarkEnd w:id="121"/>
      <w:bookmarkEnd w:id="122"/>
    </w:p>
    <w:p>
      <w:pPr>
        <w:pStyle w:val="4"/>
        <w:rPr>
          <w:rFonts w:ascii="仿宋" w:hAnsi="仿宋" w:eastAsia="仿宋"/>
          <w:color w:val="000000"/>
        </w:rPr>
      </w:pPr>
      <w:bookmarkStart w:id="123" w:name="_Toc79163892"/>
      <w:bookmarkStart w:id="124" w:name="_Toc15396625"/>
      <w:bookmarkStart w:id="125" w:name="_Toc79163642"/>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123"/>
      <w:bookmarkEnd w:id="124"/>
      <w:bookmarkEnd w:id="125"/>
    </w:p>
    <w:p>
      <w:pPr>
        <w:pStyle w:val="4"/>
        <w:rPr>
          <w:rFonts w:ascii="仿宋" w:hAnsi="仿宋" w:eastAsia="仿宋"/>
          <w:color w:val="000000"/>
        </w:rPr>
      </w:pPr>
      <w:bookmarkStart w:id="126" w:name="_Toc79163893"/>
      <w:bookmarkStart w:id="127" w:name="_Toc79163643"/>
      <w:bookmarkStart w:id="128"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126"/>
      <w:bookmarkEnd w:id="127"/>
      <w:bookmarkEnd w:id="128"/>
    </w:p>
    <w:p>
      <w:pPr>
        <w:pStyle w:val="4"/>
        <w:rPr>
          <w:rFonts w:ascii="仿宋" w:hAnsi="仿宋" w:eastAsia="仿宋"/>
          <w:color w:val="000000"/>
        </w:rPr>
      </w:pPr>
      <w:bookmarkStart w:id="129" w:name="_Toc79163894"/>
      <w:bookmarkStart w:id="130" w:name="_Toc15396627"/>
      <w:bookmarkStart w:id="131" w:name="_Toc79163644"/>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129"/>
      <w:bookmarkEnd w:id="130"/>
      <w:bookmarkEnd w:id="131"/>
    </w:p>
    <w:p>
      <w:pPr>
        <w:pStyle w:val="4"/>
        <w:rPr>
          <w:rFonts w:ascii="仿宋" w:hAnsi="仿宋" w:eastAsia="仿宋"/>
          <w:color w:val="000000"/>
        </w:rPr>
      </w:pPr>
      <w:bookmarkStart w:id="132" w:name="_Toc79163895"/>
      <w:bookmarkStart w:id="133" w:name="_Toc79163645"/>
      <w:bookmarkStart w:id="134"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132"/>
      <w:bookmarkEnd w:id="133"/>
      <w:bookmarkEnd w:id="134"/>
    </w:p>
    <w:p>
      <w:pPr>
        <w:pStyle w:val="4"/>
        <w:rPr>
          <w:rFonts w:ascii="仿宋" w:hAnsi="仿宋" w:eastAsia="仿宋"/>
          <w:color w:val="000000"/>
        </w:rPr>
      </w:pPr>
      <w:bookmarkStart w:id="135" w:name="_Toc15396629"/>
      <w:bookmarkStart w:id="136" w:name="_Toc79163896"/>
      <w:bookmarkStart w:id="137" w:name="_Toc79163646"/>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135"/>
      <w:bookmarkEnd w:id="136"/>
      <w:bookmarkEnd w:id="137"/>
    </w:p>
    <w:p>
      <w:pPr>
        <w:pStyle w:val="4"/>
        <w:rPr>
          <w:rFonts w:ascii="仿宋" w:hAnsi="仿宋" w:eastAsia="仿宋"/>
          <w:color w:val="000000"/>
        </w:rPr>
      </w:pPr>
      <w:bookmarkStart w:id="138" w:name="_Toc79163897"/>
      <w:bookmarkStart w:id="139" w:name="_Toc15396630"/>
      <w:bookmarkStart w:id="140" w:name="_Toc79163647"/>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138"/>
      <w:bookmarkEnd w:id="139"/>
      <w:bookmarkEnd w:id="140"/>
    </w:p>
    <w:p>
      <w:pPr>
        <w:pStyle w:val="4"/>
        <w:rPr>
          <w:rStyle w:val="29"/>
          <w:rFonts w:ascii="仿宋" w:hAnsi="仿宋" w:eastAsia="仿宋"/>
          <w:b w:val="0"/>
          <w:bCs w:val="0"/>
        </w:rPr>
      </w:pPr>
      <w:bookmarkStart w:id="141" w:name="_Toc15396631"/>
      <w:bookmarkStart w:id="142" w:name="_Toc79163648"/>
      <w:bookmarkStart w:id="143" w:name="_Toc79163898"/>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有资本经营预算财政拨款支出决算表</w:t>
      </w:r>
      <w:bookmarkEnd w:id="141"/>
      <w:bookmarkEnd w:id="142"/>
      <w:bookmarkEnd w:id="143"/>
    </w:p>
    <w:p>
      <w:pPr>
        <w:pStyle w:val="4"/>
        <w:rPr>
          <w:rStyle w:val="29"/>
          <w:rFonts w:ascii="仿宋" w:hAnsi="仿宋" w:eastAsia="仿宋"/>
          <w:b w:val="0"/>
          <w:bCs w:val="0"/>
        </w:rPr>
      </w:pPr>
      <w:bookmarkStart w:id="144" w:name="_Toc79163649"/>
      <w:bookmarkStart w:id="145" w:name="_Toc79163899"/>
      <w:r>
        <w:rPr>
          <w:rStyle w:val="29"/>
          <w:rFonts w:hint="eastAsia" w:ascii="仿宋" w:hAnsi="仿宋" w:eastAsia="仿宋"/>
          <w:b w:val="0"/>
          <w:bCs w:val="0"/>
        </w:rPr>
        <w:t>十四、国有资本经营预算财政拨款支出决算表</w:t>
      </w:r>
      <w:bookmarkEnd w:id="144"/>
      <w:bookmarkEnd w:id="14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t>25</w:t>
    </w:r>
    <w:r>
      <w:fldChar w:fldCharType="end"/>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27BE6324"/>
    <w:multiLevelType w:val="singleLevel"/>
    <w:tmpl w:val="27BE6324"/>
    <w:lvl w:ilvl="0" w:tentative="0">
      <w:start w:val="2"/>
      <w:numFmt w:val="chineseCounting"/>
      <w:suff w:val="nothing"/>
      <w:lvlText w:val="（%1）"/>
      <w:lvlJc w:val="left"/>
      <w:rPr>
        <w:rFonts w:hint="eastAsia"/>
      </w:rPr>
    </w:lvl>
  </w:abstractNum>
  <w:abstractNum w:abstractNumId="3">
    <w:nsid w:val="7EED1195"/>
    <w:multiLevelType w:val="singleLevel"/>
    <w:tmpl w:val="7EED1195"/>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mZTlmMGI2ZjE3NTY4Y2I3MmIxZDhmM2RhOTUyMDc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4DA3"/>
    <w:rsid w:val="016D3530"/>
    <w:rsid w:val="051200B1"/>
    <w:rsid w:val="05B747B5"/>
    <w:rsid w:val="06FA704F"/>
    <w:rsid w:val="08674270"/>
    <w:rsid w:val="09844198"/>
    <w:rsid w:val="0A2032A3"/>
    <w:rsid w:val="0A5026DB"/>
    <w:rsid w:val="0B91295B"/>
    <w:rsid w:val="0C917B0E"/>
    <w:rsid w:val="0D1A52F9"/>
    <w:rsid w:val="10C055FF"/>
    <w:rsid w:val="114C04A7"/>
    <w:rsid w:val="118107EC"/>
    <w:rsid w:val="11BD58B2"/>
    <w:rsid w:val="120E4F25"/>
    <w:rsid w:val="12C30C3D"/>
    <w:rsid w:val="13D44FA7"/>
    <w:rsid w:val="13D5678A"/>
    <w:rsid w:val="169923E1"/>
    <w:rsid w:val="16BB723D"/>
    <w:rsid w:val="18D53478"/>
    <w:rsid w:val="19094ED0"/>
    <w:rsid w:val="1D155CEE"/>
    <w:rsid w:val="210E5779"/>
    <w:rsid w:val="22BA200B"/>
    <w:rsid w:val="22EB717D"/>
    <w:rsid w:val="240371BF"/>
    <w:rsid w:val="29FD04D3"/>
    <w:rsid w:val="2B6F5066"/>
    <w:rsid w:val="2E67780F"/>
    <w:rsid w:val="2E6C3ADF"/>
    <w:rsid w:val="2F0401BB"/>
    <w:rsid w:val="2FC101D2"/>
    <w:rsid w:val="303D5733"/>
    <w:rsid w:val="319F7F4E"/>
    <w:rsid w:val="326B7F22"/>
    <w:rsid w:val="34AE30A3"/>
    <w:rsid w:val="361374D2"/>
    <w:rsid w:val="388D37C7"/>
    <w:rsid w:val="396D4B38"/>
    <w:rsid w:val="3B4E6126"/>
    <w:rsid w:val="3D0C62A9"/>
    <w:rsid w:val="3D477BF1"/>
    <w:rsid w:val="3F47037C"/>
    <w:rsid w:val="3FEA2348"/>
    <w:rsid w:val="40F778EA"/>
    <w:rsid w:val="41E85C2D"/>
    <w:rsid w:val="42755200"/>
    <w:rsid w:val="42864E7C"/>
    <w:rsid w:val="464A0752"/>
    <w:rsid w:val="47971775"/>
    <w:rsid w:val="48B85449"/>
    <w:rsid w:val="4A235542"/>
    <w:rsid w:val="4C6365C5"/>
    <w:rsid w:val="4E606D65"/>
    <w:rsid w:val="4EBC7D13"/>
    <w:rsid w:val="4ECE2238"/>
    <w:rsid w:val="4F3F2E1E"/>
    <w:rsid w:val="50CC248F"/>
    <w:rsid w:val="52020AD7"/>
    <w:rsid w:val="52350508"/>
    <w:rsid w:val="529B480F"/>
    <w:rsid w:val="53AB0A82"/>
    <w:rsid w:val="595D1779"/>
    <w:rsid w:val="5DC664B8"/>
    <w:rsid w:val="5E3E24F3"/>
    <w:rsid w:val="5F526256"/>
    <w:rsid w:val="5FC37F08"/>
    <w:rsid w:val="600734E4"/>
    <w:rsid w:val="61502C69"/>
    <w:rsid w:val="61F730E4"/>
    <w:rsid w:val="623600B0"/>
    <w:rsid w:val="626616D3"/>
    <w:rsid w:val="631A4274"/>
    <w:rsid w:val="67B37AAD"/>
    <w:rsid w:val="6850354E"/>
    <w:rsid w:val="69780FAF"/>
    <w:rsid w:val="6C4A05C8"/>
    <w:rsid w:val="6C845EBC"/>
    <w:rsid w:val="71724535"/>
    <w:rsid w:val="72020D13"/>
    <w:rsid w:val="72734D90"/>
    <w:rsid w:val="72970CF6"/>
    <w:rsid w:val="79725A1A"/>
    <w:rsid w:val="79BC6C95"/>
    <w:rsid w:val="79C773E8"/>
    <w:rsid w:val="7A6B246A"/>
    <w:rsid w:val="7B580C40"/>
    <w:rsid w:val="7D21586B"/>
    <w:rsid w:val="7D44147C"/>
    <w:rsid w:val="7E0429B9"/>
    <w:rsid w:val="7E3239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等线"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0"/>
    <w:qFormat/>
    <w:uiPriority w:val="9"/>
    <w:pPr>
      <w:keepNext/>
      <w:keepLines/>
      <w:spacing w:before="260" w:after="260" w:line="416" w:lineRule="auto"/>
      <w:outlineLvl w:val="2"/>
    </w:pPr>
    <w:rPr>
      <w:b/>
      <w:bCs/>
      <w:sz w:val="32"/>
      <w:szCs w:val="32"/>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7"/>
    <w:qFormat/>
    <w:uiPriority w:val="99"/>
    <w:pPr>
      <w:spacing w:beforeLines="30"/>
    </w:pPr>
    <w:rPr>
      <w:rFonts w:ascii="仿宋_GB2312" w:eastAsia="仿宋_GB2312"/>
      <w:kern w:val="0"/>
      <w:sz w:val="24"/>
      <w:szCs w:val="20"/>
      <w:lang w:val="zh-CN"/>
    </w:rPr>
  </w:style>
  <w:style w:type="paragraph" w:styleId="8">
    <w:name w:val="Body Text Indent"/>
    <w:basedOn w:val="1"/>
    <w:next w:val="1"/>
    <w:qFormat/>
    <w:uiPriority w:val="0"/>
    <w:pPr>
      <w:spacing w:after="120"/>
      <w:ind w:left="420" w:leftChars="200"/>
    </w:pPr>
    <w:rPr>
      <w:rFonts w:ascii="Calibri" w:hAnsi="Calibri"/>
      <w:szCs w:val="22"/>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Plain Text"/>
    <w:basedOn w:val="1"/>
    <w:qFormat/>
    <w:uiPriority w:val="99"/>
    <w:rPr>
      <w:rFonts w:ascii="宋体" w:hAnsi="Courier New" w:eastAsia="仿宋" w:cs="Arial Unicode MS"/>
      <w:kern w:val="0"/>
      <w:sz w:val="32"/>
      <w:szCs w:val="21"/>
      <w:lang w:bidi="bo-CN"/>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2"/>
    <w:semiHidden/>
    <w:unhideWhenUsed/>
    <w:qFormat/>
    <w:uiPriority w:val="99"/>
    <w:rPr>
      <w:sz w:val="18"/>
      <w:szCs w:val="18"/>
    </w:rPr>
  </w:style>
  <w:style w:type="paragraph" w:styleId="14">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35"/>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20">
    <w:name w:val="toc 2"/>
    <w:basedOn w:val="1"/>
    <w:next w:val="1"/>
    <w:unhideWhenUsed/>
    <w:qFormat/>
    <w:uiPriority w:val="39"/>
    <w:pPr>
      <w:ind w:left="210"/>
      <w:jc w:val="left"/>
    </w:pPr>
    <w:rPr>
      <w:rFonts w:asciiTheme="minorHAnsi" w:eastAsiaTheme="minorHAnsi"/>
      <w:smallCaps/>
      <w:sz w:val="20"/>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paragraph" w:styleId="22">
    <w:name w:val="Normal (Web)"/>
    <w:basedOn w:val="1"/>
    <w:unhideWhenUsed/>
    <w:qFormat/>
    <w:uiPriority w:val="0"/>
    <w:pPr>
      <w:spacing w:before="100" w:beforeAutospacing="1" w:after="100" w:afterAutospacing="1"/>
    </w:pPr>
  </w:style>
  <w:style w:type="paragraph" w:styleId="23">
    <w:name w:val="Body Text First Indent 2"/>
    <w:basedOn w:val="8"/>
    <w:next w:val="1"/>
    <w:qFormat/>
    <w:uiPriority w:val="0"/>
    <w:pPr>
      <w:spacing w:line="360" w:lineRule="auto"/>
      <w:ind w:left="0" w:leftChars="0" w:firstLine="420" w:firstLineChars="200"/>
    </w:pPr>
    <w:rPr>
      <w:rFonts w:ascii="Times New Roman" w:hAnsi="Times New Roman" w:eastAsia="宋体"/>
    </w:rPr>
  </w:style>
  <w:style w:type="character" w:styleId="26">
    <w:name w:val="Strong"/>
    <w:basedOn w:val="25"/>
    <w:qFormat/>
    <w:uiPriority w:val="99"/>
    <w:rPr>
      <w:rFonts w:cs="Times New Roman"/>
      <w:b/>
    </w:rPr>
  </w:style>
  <w:style w:type="character" w:styleId="27">
    <w:name w:val="Hyperlink"/>
    <w:basedOn w:val="25"/>
    <w:unhideWhenUsed/>
    <w:qFormat/>
    <w:uiPriority w:val="99"/>
    <w:rPr>
      <w:rFonts w:cs="Times New Roman"/>
      <w:color w:val="0000FF"/>
      <w:u w:val="single"/>
    </w:rPr>
  </w:style>
  <w:style w:type="character" w:customStyle="1" w:styleId="28">
    <w:name w:val="标题 1 Char"/>
    <w:basedOn w:val="25"/>
    <w:link w:val="3"/>
    <w:qFormat/>
    <w:locked/>
    <w:uiPriority w:val="9"/>
    <w:rPr>
      <w:rFonts w:ascii="Times New Roman" w:hAnsi="Times New Roman" w:cs="Times New Roman"/>
      <w:b/>
      <w:bCs/>
      <w:kern w:val="44"/>
      <w:sz w:val="44"/>
      <w:szCs w:val="44"/>
    </w:rPr>
  </w:style>
  <w:style w:type="character" w:customStyle="1" w:styleId="29">
    <w:name w:val="标题 2 Char"/>
    <w:basedOn w:val="25"/>
    <w:link w:val="4"/>
    <w:qFormat/>
    <w:locked/>
    <w:uiPriority w:val="9"/>
    <w:rPr>
      <w:rFonts w:ascii="Cambria" w:hAnsi="Cambria" w:eastAsia="宋体" w:cs="Times New Roman"/>
      <w:b/>
      <w:bCs/>
      <w:kern w:val="2"/>
      <w:sz w:val="32"/>
      <w:szCs w:val="32"/>
    </w:rPr>
  </w:style>
  <w:style w:type="character" w:customStyle="1" w:styleId="30">
    <w:name w:val="标题 3 Char"/>
    <w:basedOn w:val="25"/>
    <w:link w:val="5"/>
    <w:qFormat/>
    <w:locked/>
    <w:uiPriority w:val="9"/>
    <w:rPr>
      <w:rFonts w:ascii="Times New Roman" w:hAnsi="Times New Roman" w:cs="Times New Roman"/>
      <w:b/>
      <w:bCs/>
      <w:kern w:val="2"/>
      <w:sz w:val="32"/>
      <w:szCs w:val="32"/>
    </w:rPr>
  </w:style>
  <w:style w:type="character" w:customStyle="1" w:styleId="31">
    <w:name w:val="Body Text Char"/>
    <w:basedOn w:val="25"/>
    <w:semiHidden/>
    <w:qFormat/>
    <w:uiPriority w:val="99"/>
    <w:rPr>
      <w:rFonts w:ascii="Times New Roman" w:hAnsi="Times New Roman" w:cs="Times New Roman"/>
      <w:sz w:val="24"/>
      <w:szCs w:val="24"/>
    </w:rPr>
  </w:style>
  <w:style w:type="character" w:customStyle="1" w:styleId="32">
    <w:name w:val="批注框文本 Char"/>
    <w:basedOn w:val="25"/>
    <w:link w:val="13"/>
    <w:semiHidden/>
    <w:qFormat/>
    <w:locked/>
    <w:uiPriority w:val="99"/>
    <w:rPr>
      <w:rFonts w:ascii="Times New Roman" w:hAnsi="Times New Roman" w:cs="Times New Roman"/>
      <w:kern w:val="2"/>
      <w:sz w:val="18"/>
      <w:szCs w:val="18"/>
    </w:rPr>
  </w:style>
  <w:style w:type="character" w:customStyle="1" w:styleId="33">
    <w:name w:val="Footer Char"/>
    <w:basedOn w:val="25"/>
    <w:semiHidden/>
    <w:qFormat/>
    <w:uiPriority w:val="99"/>
    <w:rPr>
      <w:rFonts w:ascii="Times New Roman" w:hAnsi="Times New Roman" w:cs="Times New Roman"/>
      <w:sz w:val="18"/>
      <w:szCs w:val="18"/>
    </w:rPr>
  </w:style>
  <w:style w:type="character" w:customStyle="1" w:styleId="34">
    <w:name w:val="Header Char"/>
    <w:basedOn w:val="25"/>
    <w:semiHidden/>
    <w:qFormat/>
    <w:uiPriority w:val="99"/>
    <w:rPr>
      <w:rFonts w:ascii="Times New Roman" w:hAnsi="Times New Roman" w:cs="Times New Roman"/>
      <w:sz w:val="18"/>
      <w:szCs w:val="18"/>
    </w:rPr>
  </w:style>
  <w:style w:type="character" w:customStyle="1" w:styleId="35">
    <w:name w:val="页眉 Char"/>
    <w:link w:val="15"/>
    <w:semiHidden/>
    <w:qFormat/>
    <w:locked/>
    <w:uiPriority w:val="99"/>
    <w:rPr>
      <w:sz w:val="18"/>
    </w:rPr>
  </w:style>
  <w:style w:type="character" w:customStyle="1" w:styleId="36">
    <w:name w:val="页脚 Char"/>
    <w:link w:val="14"/>
    <w:qFormat/>
    <w:locked/>
    <w:uiPriority w:val="99"/>
    <w:rPr>
      <w:sz w:val="18"/>
    </w:rPr>
  </w:style>
  <w:style w:type="character" w:customStyle="1" w:styleId="37">
    <w:name w:val="正文文本 Char"/>
    <w:link w:val="7"/>
    <w:qFormat/>
    <w:locked/>
    <w:uiPriority w:val="99"/>
    <w:rPr>
      <w:rFonts w:ascii="仿宋_GB2312" w:hAnsi="Times New Roman" w:eastAsia="仿宋_GB2312"/>
      <w:sz w:val="24"/>
    </w:rPr>
  </w:style>
  <w:style w:type="paragraph" w:customStyle="1" w:styleId="3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9">
    <w:name w:val="列表段落1"/>
    <w:basedOn w:val="1"/>
    <w:qFormat/>
    <w:uiPriority w:val="34"/>
    <w:pPr>
      <w:ind w:firstLine="420" w:firstLineChars="200"/>
    </w:pPr>
  </w:style>
  <w:style w:type="paragraph" w:customStyle="1" w:styleId="40">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3">
    <w:name w:val="NormalCharacter"/>
    <w:semiHidden/>
    <w:qFormat/>
    <w:uiPriority w:val="0"/>
    <w:rPr>
      <w:rFonts w:ascii="Calibri" w:hAnsi="Calibri" w:eastAsia="宋体" w:cs="Times New Roman"/>
      <w:kern w:val="2"/>
      <w:sz w:val="21"/>
      <w:szCs w:val="24"/>
      <w:lang w:val="en-US" w:eastAsia="zh-CN" w:bidi="ar-SA"/>
    </w:rPr>
  </w:style>
  <w:style w:type="paragraph" w:customStyle="1" w:styleId="44">
    <w:name w:val="列出段落1"/>
    <w:basedOn w:val="1"/>
    <w:qFormat/>
    <w:uiPriority w:val="34"/>
    <w:pPr>
      <w:ind w:firstLine="420" w:firstLineChars="200"/>
    </w:pPr>
    <w:rPr>
      <w:rFonts w:ascii="Calibri" w:hAnsi="Calibri" w:eastAsia="宋体" w:cs="Times New Roman"/>
    </w:rPr>
  </w:style>
  <w:style w:type="character" w:customStyle="1" w:styleId="45">
    <w:name w:val="15"/>
    <w:basedOn w:val="25"/>
    <w:qFormat/>
    <w:uiPriority w:val="0"/>
    <w:rPr>
      <w:rFonts w:hint="default" w:ascii="Cambria" w:hAnsi="Cambria" w:eastAsia="宋体" w:cs="Times New Roman"/>
      <w:b/>
      <w:bCs/>
      <w:kern w:val="2"/>
      <w:sz w:val="32"/>
      <w:szCs w:val="32"/>
    </w:rPr>
  </w:style>
  <w:style w:type="character" w:customStyle="1" w:styleId="46">
    <w:name w:val="10"/>
    <w:basedOn w:val="25"/>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image" Target="media/image1.jpe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Sheet1!$A$3:$B$3</c:f>
              <c:strCache>
                <c:ptCount val="2"/>
                <c:pt idx="0">
                  <c:v>2021年</c:v>
                </c:pt>
                <c:pt idx="1">
                  <c:v>2022年</c:v>
                </c:pt>
              </c:strCache>
            </c:strRef>
          </c:cat>
          <c:val>
            <c:numRef>
              <c:f>Sheet1!$A$4:$B$4</c:f>
              <c:numCache>
                <c:formatCode>General</c:formatCode>
                <c:ptCount val="2"/>
                <c:pt idx="0">
                  <c:v>81.35</c:v>
                </c:pt>
                <c:pt idx="1" c:formatCode="#,##0.00">
                  <c:v>98.07</c:v>
                </c:pt>
              </c:numCache>
            </c:numRef>
          </c:val>
        </c:ser>
        <c:dLbls>
          <c:showLegendKey val="0"/>
          <c:showVal val="0"/>
          <c:showCatName val="0"/>
          <c:showSerName val="0"/>
          <c:showPercent val="0"/>
          <c:showBubbleSize val="0"/>
        </c:dLbls>
        <c:gapWidth val="219"/>
        <c:overlap val="-27"/>
        <c:axId val="561741636"/>
        <c:axId val="199896368"/>
      </c:barChart>
      <c:catAx>
        <c:axId val="56174163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9896368"/>
        <c:crosses val="autoZero"/>
        <c:auto val="1"/>
        <c:lblAlgn val="ctr"/>
        <c:lblOffset val="100"/>
        <c:noMultiLvlLbl val="0"/>
      </c:catAx>
      <c:valAx>
        <c:axId val="19989636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17416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Sheet1!$A$24:$B$24</c:f>
              <c:strCache>
                <c:ptCount val="2"/>
                <c:pt idx="0">
                  <c:v>2021年</c:v>
                </c:pt>
                <c:pt idx="1">
                  <c:v>2022年</c:v>
                </c:pt>
              </c:strCache>
            </c:strRef>
          </c:cat>
          <c:val>
            <c:numRef>
              <c:f>Sheet1!$A$25:$B$25</c:f>
              <c:numCache>
                <c:formatCode>#,##0.00</c:formatCode>
                <c:ptCount val="2"/>
                <c:pt idx="0">
                  <c:v>100.48</c:v>
                </c:pt>
                <c:pt idx="1">
                  <c:v>102.52</c:v>
                </c:pt>
              </c:numCache>
            </c:numRef>
          </c:val>
        </c:ser>
        <c:dLbls>
          <c:showLegendKey val="0"/>
          <c:showVal val="0"/>
          <c:showCatName val="0"/>
          <c:showSerName val="0"/>
          <c:showPercent val="0"/>
          <c:showBubbleSize val="0"/>
        </c:dLbls>
        <c:gapWidth val="219"/>
        <c:overlap val="-27"/>
        <c:axId val="54978886"/>
        <c:axId val="94671669"/>
      </c:barChart>
      <c:catAx>
        <c:axId val="5497888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671669"/>
        <c:crosses val="autoZero"/>
        <c:auto val="1"/>
        <c:lblAlgn val="ctr"/>
        <c:lblOffset val="100"/>
        <c:noMultiLvlLbl val="0"/>
      </c:catAx>
      <c:valAx>
        <c:axId val="9467166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97888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Sheet1!$C$58:$C$62</c:f>
              <c:strCache>
                <c:ptCount val="5"/>
                <c:pt idx="0">
                  <c:v>基本支出</c:v>
                </c:pt>
                <c:pt idx="1">
                  <c:v>项目支出</c:v>
                </c:pt>
                <c:pt idx="2">
                  <c:v>上缴上级支出</c:v>
                </c:pt>
                <c:pt idx="3">
                  <c:v>经营支出</c:v>
                </c:pt>
                <c:pt idx="4">
                  <c:v>对附属单位补助支出</c:v>
                </c:pt>
              </c:strCache>
            </c:strRef>
          </c:cat>
          <c:val>
            <c:numRef>
              <c:f>Sheet1!$D$58:$D$62</c:f>
              <c:numCache>
                <c:formatCode>#,##0.00</c:formatCode>
                <c:ptCount val="5"/>
                <c:pt idx="0">
                  <c:v>95.32</c:v>
                </c:pt>
                <c:pt idx="1">
                  <c:v>7.2</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022"/>
          <c:y val="0.89475"/>
          <c:w val="0.927643802294027"/>
          <c:h val="0.093376135715693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Sheet1!$A$83:$B$83</c:f>
              <c:strCache>
                <c:ptCount val="2"/>
                <c:pt idx="0">
                  <c:v>2021年</c:v>
                </c:pt>
                <c:pt idx="1">
                  <c:v>2022年</c:v>
                </c:pt>
              </c:strCache>
            </c:strRef>
          </c:cat>
          <c:val>
            <c:numRef>
              <c:f>Sheet1!$A$84:$B$84</c:f>
              <c:numCache>
                <c:formatCode>General</c:formatCode>
                <c:ptCount val="2"/>
                <c:pt idx="0">
                  <c:v>81.35</c:v>
                </c:pt>
                <c:pt idx="1" c:formatCode="#,##0.00">
                  <c:v>98.07</c:v>
                </c:pt>
              </c:numCache>
            </c:numRef>
          </c:val>
        </c:ser>
        <c:dLbls>
          <c:showLegendKey val="0"/>
          <c:showVal val="0"/>
          <c:showCatName val="0"/>
          <c:showSerName val="0"/>
          <c:showPercent val="0"/>
          <c:showBubbleSize val="0"/>
        </c:dLbls>
        <c:gapWidth val="219"/>
        <c:overlap val="-27"/>
        <c:axId val="485901413"/>
        <c:axId val="693334897"/>
      </c:barChart>
      <c:catAx>
        <c:axId val="48590141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3334897"/>
        <c:crosses val="autoZero"/>
        <c:auto val="1"/>
        <c:lblAlgn val="ctr"/>
        <c:lblOffset val="100"/>
        <c:noMultiLvlLbl val="0"/>
      </c:catAx>
      <c:valAx>
        <c:axId val="69333489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59014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Sheet1!$A$100:$B$100</c:f>
              <c:strCache>
                <c:ptCount val="2"/>
                <c:pt idx="0">
                  <c:v>2021年</c:v>
                </c:pt>
                <c:pt idx="1">
                  <c:v>2022年</c:v>
                </c:pt>
              </c:strCache>
            </c:strRef>
          </c:cat>
          <c:val>
            <c:numRef>
              <c:f>Sheet1!$A$101:$B$101</c:f>
              <c:numCache>
                <c:formatCode>#,##0.00</c:formatCode>
                <c:ptCount val="2"/>
                <c:pt idx="0">
                  <c:v>100.48</c:v>
                </c:pt>
                <c:pt idx="1">
                  <c:v>102.52</c:v>
                </c:pt>
              </c:numCache>
            </c:numRef>
          </c:val>
        </c:ser>
        <c:dLbls>
          <c:showLegendKey val="0"/>
          <c:showVal val="0"/>
          <c:showCatName val="0"/>
          <c:showSerName val="0"/>
          <c:showPercent val="0"/>
          <c:showBubbleSize val="0"/>
        </c:dLbls>
        <c:gapWidth val="219"/>
        <c:overlap val="-27"/>
        <c:axId val="198008513"/>
        <c:axId val="682753437"/>
      </c:barChart>
      <c:catAx>
        <c:axId val="19800851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2753437"/>
        <c:crosses val="autoZero"/>
        <c:auto val="1"/>
        <c:lblAlgn val="ctr"/>
        <c:lblOffset val="100"/>
        <c:noMultiLvlLbl val="0"/>
      </c:catAx>
      <c:valAx>
        <c:axId val="68275343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80085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Sheet1!$A$116:$B$116</c:f>
              <c:strCache>
                <c:ptCount val="2"/>
                <c:pt idx="0">
                  <c:v>2021年</c:v>
                </c:pt>
                <c:pt idx="1">
                  <c:v>2022年</c:v>
                </c:pt>
              </c:strCache>
            </c:strRef>
          </c:cat>
          <c:val>
            <c:numRef>
              <c:f>Sheet1!$A$117:$B$117</c:f>
              <c:numCache>
                <c:formatCode>#,##0.00</c:formatCode>
                <c:ptCount val="2"/>
                <c:pt idx="0">
                  <c:v>100.48</c:v>
                </c:pt>
                <c:pt idx="1">
                  <c:v>102.52</c:v>
                </c:pt>
              </c:numCache>
            </c:numRef>
          </c:val>
        </c:ser>
        <c:dLbls>
          <c:showLegendKey val="0"/>
          <c:showVal val="0"/>
          <c:showCatName val="0"/>
          <c:showSerName val="0"/>
          <c:showPercent val="0"/>
          <c:showBubbleSize val="0"/>
        </c:dLbls>
        <c:gapWidth val="219"/>
        <c:overlap val="-27"/>
        <c:axId val="571637354"/>
        <c:axId val="415853380"/>
      </c:barChart>
      <c:catAx>
        <c:axId val="57163735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5853380"/>
        <c:crosses val="autoZero"/>
        <c:auto val="1"/>
        <c:lblAlgn val="ctr"/>
        <c:lblOffset val="100"/>
        <c:noMultiLvlLbl val="0"/>
      </c:catAx>
      <c:valAx>
        <c:axId val="41585338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163735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Sheet1!$C$141:$C$144</c:f>
              <c:strCache>
                <c:ptCount val="4"/>
                <c:pt idx="0">
                  <c:v>一般公共服务支出</c:v>
                </c:pt>
                <c:pt idx="1">
                  <c:v>社会保障和就业支出</c:v>
                </c:pt>
                <c:pt idx="2">
                  <c:v>卫生健康支出</c:v>
                </c:pt>
                <c:pt idx="3">
                  <c:v>住房保障支出</c:v>
                </c:pt>
              </c:strCache>
            </c:strRef>
          </c:cat>
          <c:val>
            <c:numRef>
              <c:f>Sheet1!$D$141:$D$144</c:f>
              <c:numCache>
                <c:formatCode>General</c:formatCode>
                <c:ptCount val="4"/>
                <c:pt idx="0">
                  <c:v>80.97</c:v>
                </c:pt>
                <c:pt idx="1" c:formatCode="#,##0.00">
                  <c:v>10.16</c:v>
                </c:pt>
                <c:pt idx="2" c:formatCode="#,##0.00">
                  <c:v>4.19</c:v>
                </c:pt>
                <c:pt idx="3" c:formatCode="#,##0.00">
                  <c:v>7.2</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0925"/>
          <c:y val="0.87975"/>
          <c:w val="0.781"/>
          <c:h val="0.088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7521</Words>
  <Characters>8151</Characters>
  <Lines>1</Lines>
  <Paragraphs>1</Paragraphs>
  <TotalTime>29</TotalTime>
  <ScaleCrop>false</ScaleCrop>
  <LinksUpToDate>false</LinksUpToDate>
  <CharactersWithSpaces>8247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彬</cp:lastModifiedBy>
  <cp:lastPrinted>2023-10-23T02:55:24Z</cp:lastPrinted>
  <dcterms:modified xsi:type="dcterms:W3CDTF">2023-10-23T03:23:25Z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444247F5B73E46D19456458C122D854B</vt:lpwstr>
  </property>
</Properties>
</file>