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rPr>
          <w:rFonts w:ascii="黑体" w:hAnsi="黑体" w:eastAsia="黑体" w:cs="Times New Roman"/>
          <w:sz w:val="44"/>
          <w:szCs w:val="44"/>
        </w:rPr>
      </w:pPr>
    </w:p>
    <w:p>
      <w:pPr>
        <w:jc w:val="center"/>
        <w:rPr>
          <w:rFonts w:ascii="黑体" w:hAnsi="黑体" w:eastAsia="黑体" w:cs="Times New Roman"/>
          <w:sz w:val="72"/>
          <w:szCs w:val="72"/>
        </w:rPr>
      </w:pPr>
      <w:r>
        <w:rPr>
          <w:rFonts w:hint="eastAsia" w:ascii="黑体" w:hAnsi="黑体" w:eastAsia="黑体" w:cs="黑体"/>
          <w:sz w:val="72"/>
          <w:szCs w:val="72"/>
        </w:rPr>
        <w:t>壤塘县信访局</w:t>
      </w:r>
      <w:r>
        <w:rPr>
          <w:rFonts w:ascii="黑体" w:hAnsi="黑体" w:eastAsia="黑体" w:cs="黑体"/>
          <w:sz w:val="72"/>
          <w:szCs w:val="72"/>
        </w:rPr>
        <w:t>202</w:t>
      </w:r>
      <w:r>
        <w:rPr>
          <w:rFonts w:hint="eastAsia" w:ascii="黑体" w:hAnsi="黑体" w:eastAsia="黑体" w:cs="黑体"/>
          <w:sz w:val="72"/>
          <w:szCs w:val="72"/>
          <w:lang w:val="en-US" w:eastAsia="zh-CN"/>
        </w:rPr>
        <w:t>2</w:t>
      </w:r>
      <w:r>
        <w:rPr>
          <w:rFonts w:ascii="黑体" w:hAnsi="黑体" w:eastAsia="黑体" w:cs="黑体"/>
          <w:sz w:val="72"/>
          <w:szCs w:val="72"/>
        </w:rPr>
        <w:t>年</w:t>
      </w:r>
      <w:r>
        <w:rPr>
          <w:rFonts w:hint="eastAsia" w:ascii="黑体" w:hAnsi="黑体" w:eastAsia="黑体" w:cs="黑体"/>
          <w:sz w:val="72"/>
          <w:szCs w:val="72"/>
        </w:rPr>
        <w:t>部门预算</w:t>
      </w: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jc w:val="center"/>
        <w:rPr>
          <w:rFonts w:ascii="黑体" w:hAnsi="黑体" w:eastAsia="黑体" w:cs="Times New Roman"/>
          <w:sz w:val="44"/>
          <w:szCs w:val="44"/>
        </w:rPr>
      </w:pPr>
    </w:p>
    <w:p>
      <w:pPr>
        <w:ind w:firstLine="1560" w:firstLineChars="300"/>
        <w:jc w:val="both"/>
        <w:rPr>
          <w:rFonts w:ascii="黑体" w:hAnsi="黑体" w:eastAsia="黑体" w:cs="Times New Roman"/>
          <w:sz w:val="52"/>
          <w:szCs w:val="52"/>
        </w:rPr>
      </w:pPr>
      <w:r>
        <w:rPr>
          <w:rFonts w:hint="eastAsia" w:ascii="黑体" w:hAnsi="黑体" w:eastAsia="黑体" w:cs="黑体"/>
          <w:sz w:val="52"/>
          <w:szCs w:val="52"/>
          <w:lang w:val="en-US" w:eastAsia="zh-CN"/>
        </w:rPr>
        <w:t>2022</w:t>
      </w:r>
      <w:r>
        <w:rPr>
          <w:rFonts w:hint="eastAsia" w:ascii="黑体" w:hAnsi="黑体" w:eastAsia="黑体" w:cs="黑体"/>
          <w:sz w:val="52"/>
          <w:szCs w:val="52"/>
        </w:rPr>
        <w:t>年</w:t>
      </w:r>
      <w:r>
        <w:rPr>
          <w:rFonts w:ascii="黑体" w:hAnsi="黑体" w:eastAsia="黑体" w:cs="黑体"/>
          <w:sz w:val="52"/>
          <w:szCs w:val="52"/>
        </w:rPr>
        <w:t xml:space="preserve"> </w:t>
      </w:r>
      <w:r>
        <w:rPr>
          <w:rFonts w:hint="eastAsia" w:ascii="黑体" w:hAnsi="黑体" w:eastAsia="黑体" w:cs="黑体"/>
          <w:sz w:val="52"/>
          <w:szCs w:val="52"/>
          <w:lang w:val="en-US" w:eastAsia="zh-CN"/>
        </w:rPr>
        <w:t>1</w:t>
      </w:r>
      <w:r>
        <w:rPr>
          <w:rFonts w:hint="eastAsia" w:ascii="黑体" w:hAnsi="黑体" w:eastAsia="黑体" w:cs="黑体"/>
          <w:sz w:val="52"/>
          <w:szCs w:val="52"/>
        </w:rPr>
        <w:t>月</w:t>
      </w:r>
      <w:r>
        <w:rPr>
          <w:rFonts w:ascii="黑体" w:hAnsi="黑体" w:eastAsia="黑体" w:cs="黑体"/>
          <w:sz w:val="52"/>
          <w:szCs w:val="52"/>
        </w:rPr>
        <w:t xml:space="preserve"> </w:t>
      </w:r>
      <w:r>
        <w:rPr>
          <w:rFonts w:hint="eastAsia" w:ascii="黑体" w:hAnsi="黑体" w:eastAsia="黑体" w:cs="黑体"/>
          <w:sz w:val="52"/>
          <w:szCs w:val="52"/>
          <w:lang w:val="en-US" w:eastAsia="zh-CN"/>
        </w:rPr>
        <w:t>20</w:t>
      </w:r>
      <w:r>
        <w:rPr>
          <w:rFonts w:hint="eastAsia" w:ascii="黑体" w:hAnsi="黑体" w:eastAsia="黑体" w:cs="黑体"/>
          <w:sz w:val="52"/>
          <w:szCs w:val="52"/>
        </w:rPr>
        <w:t>日</w:t>
      </w:r>
    </w:p>
    <w:p>
      <w:pPr>
        <w:rPr>
          <w:rFonts w:ascii="黑体" w:hAnsi="黑体" w:eastAsia="黑体" w:cs="Times New Roman"/>
          <w:sz w:val="44"/>
          <w:szCs w:val="44"/>
        </w:rPr>
      </w:pPr>
    </w:p>
    <w:p>
      <w:pPr>
        <w:rPr>
          <w:rFonts w:ascii="黑体" w:hAnsi="黑体" w:eastAsia="黑体" w:cs="Times New Roman"/>
          <w:sz w:val="44"/>
          <w:szCs w:val="44"/>
        </w:rPr>
      </w:pPr>
    </w:p>
    <w:p>
      <w:pPr>
        <w:ind w:firstLine="3200" w:firstLineChars="1000"/>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t>目 录</w:t>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TOC \o "1-3" \h \u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基本职能及主要工作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_Toc26880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2</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（一）壤塘县信访局职能简介</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_Toc6680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2</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（二）壤塘县信访局2022年重点工作</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_Toc1890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4</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 部门预算单位构成</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_Toc4158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 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_Toc19500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（一）收入预算情况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_Toc31441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（二）支出预算情况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_Toc21958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 财政拨款收支预算情况说明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_Toc9636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5</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五、 一般公共预算当年拨款情况说明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_Toc4998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（一）一般公共预算当年拨款规模变化情况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_Toc29278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（二）一般公共预算当年拨款结构情况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_Toc22927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（三）一般公共预算当年拨款具体使用情况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_Toc24901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6</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六、一般公共预算基本支出情况说明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_Toc30963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7</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七、“三公”经费财政拨款预算安排情况说明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_Toc12642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八、政府性基金预算支出情况说明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_Toc9689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九、其他重要事项的情况说明</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_Toc23192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（一） 机关运行经费</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（二）政府采购情况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_Toc31143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（三）国有资产占有使用情况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_Toc12129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8"/>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（四）绩效目标设置情况</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_Toc17726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8</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pStyle w:val="7"/>
        <w:tabs>
          <w:tab w:val="right" w:leader="dot" w:pos="8250"/>
        </w:tabs>
        <w:rPr>
          <w:rFonts w:hint="eastAsia" w:ascii="仿宋_GB2312" w:hAnsi="黑体" w:eastAsia="仿宋_GB2312" w:cs="Times New Roman"/>
          <w:kern w:val="0"/>
          <w:sz w:val="32"/>
          <w:szCs w:val="32"/>
          <w:lang w:val="en-US" w:eastAsia="zh-CN" w:bidi="ar-SA"/>
        </w:rPr>
      </w:pP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HYPERLINK \l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十、名词解释</w:t>
      </w:r>
      <w:r>
        <w:rPr>
          <w:rFonts w:hint="eastAsia" w:ascii="仿宋_GB2312" w:hAnsi="黑体" w:eastAsia="仿宋_GB2312" w:cs="Times New Roman"/>
          <w:kern w:val="0"/>
          <w:sz w:val="32"/>
          <w:szCs w:val="32"/>
          <w:lang w:val="en-US" w:eastAsia="zh-CN" w:bidi="ar-SA"/>
        </w:rPr>
        <w:tab/>
      </w:r>
      <w:r>
        <w:rPr>
          <w:rFonts w:hint="eastAsia" w:ascii="仿宋_GB2312" w:hAnsi="黑体" w:eastAsia="仿宋_GB2312" w:cs="Times New Roman"/>
          <w:kern w:val="0"/>
          <w:sz w:val="32"/>
          <w:szCs w:val="32"/>
          <w:lang w:val="en-US" w:eastAsia="zh-CN" w:bidi="ar-SA"/>
        </w:rPr>
        <w:fldChar w:fldCharType="begin"/>
      </w:r>
      <w:r>
        <w:rPr>
          <w:rFonts w:hint="eastAsia" w:ascii="仿宋_GB2312" w:hAnsi="黑体" w:eastAsia="仿宋_GB2312" w:cs="Times New Roman"/>
          <w:kern w:val="0"/>
          <w:sz w:val="32"/>
          <w:szCs w:val="32"/>
          <w:lang w:val="en-US" w:eastAsia="zh-CN" w:bidi="ar-SA"/>
        </w:rPr>
        <w:instrText xml:space="preserve"> PAGEREF _Toc9019 </w:instrText>
      </w:r>
      <w:r>
        <w:rPr>
          <w:rFonts w:hint="eastAsia" w:ascii="仿宋_GB2312" w:hAnsi="黑体" w:eastAsia="仿宋_GB2312" w:cs="Times New Roman"/>
          <w:kern w:val="0"/>
          <w:sz w:val="32"/>
          <w:szCs w:val="32"/>
          <w:lang w:val="en-US" w:eastAsia="zh-CN" w:bidi="ar-SA"/>
        </w:rPr>
        <w:fldChar w:fldCharType="separate"/>
      </w:r>
      <w:r>
        <w:rPr>
          <w:rFonts w:hint="eastAsia" w:ascii="仿宋_GB2312" w:hAnsi="黑体" w:eastAsia="仿宋_GB2312" w:cs="Times New Roman"/>
          <w:kern w:val="0"/>
          <w:sz w:val="32"/>
          <w:szCs w:val="32"/>
          <w:lang w:val="en-US" w:eastAsia="zh-CN" w:bidi="ar-SA"/>
        </w:rPr>
        <w:t>9</w:t>
      </w:r>
      <w:r>
        <w:rPr>
          <w:rFonts w:hint="eastAsia" w:ascii="仿宋_GB2312" w:hAnsi="黑体" w:eastAsia="仿宋_GB2312" w:cs="Times New Roman"/>
          <w:kern w:val="0"/>
          <w:sz w:val="32"/>
          <w:szCs w:val="32"/>
          <w:lang w:val="en-US" w:eastAsia="zh-CN" w:bidi="ar-SA"/>
        </w:rPr>
        <w:fldChar w:fldCharType="end"/>
      </w:r>
      <w:r>
        <w:rPr>
          <w:rFonts w:hint="eastAsia" w:ascii="仿宋_GB2312" w:hAnsi="黑体" w:eastAsia="仿宋_GB2312" w:cs="Times New Roman"/>
          <w:kern w:val="0"/>
          <w:sz w:val="32"/>
          <w:szCs w:val="32"/>
          <w:lang w:val="en-US" w:eastAsia="zh-CN" w:bidi="ar-SA"/>
        </w:rPr>
        <w:fldChar w:fldCharType="end"/>
      </w:r>
    </w:p>
    <w:p>
      <w:pPr>
        <w:rPr>
          <w:rFonts w:ascii="黑体" w:hAnsi="黑体" w:eastAsia="黑体" w:cs="Times New Roman"/>
          <w:sz w:val="32"/>
          <w:szCs w:val="32"/>
        </w:rPr>
      </w:pPr>
      <w:r>
        <w:rPr>
          <w:rFonts w:hint="eastAsia" w:ascii="仿宋_GB2312" w:hAnsi="黑体" w:eastAsia="仿宋_GB2312" w:cs="Times New Roman"/>
          <w:kern w:val="0"/>
          <w:sz w:val="32"/>
          <w:szCs w:val="32"/>
          <w:lang w:val="en-US" w:eastAsia="zh-CN" w:bidi="ar-SA"/>
        </w:rPr>
        <w:fldChar w:fldCharType="end"/>
      </w:r>
    </w:p>
    <w:p>
      <w:pPr>
        <w:widowControl/>
        <w:shd w:val="clear" w:color="auto" w:fill="FFFFFF"/>
        <w:spacing w:before="100" w:beforeAutospacing="1" w:after="100" w:afterAutospacing="1" w:line="290" w:lineRule="atLeast"/>
        <w:ind w:right="300"/>
        <w:jc w:val="left"/>
        <w:rPr>
          <w:rFonts w:ascii="??" w:hAnsi="??" w:cs="??"/>
          <w:kern w:val="0"/>
          <w:sz w:val="12"/>
          <w:szCs w:val="12"/>
        </w:rPr>
      </w:pP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楷体_GB2312" w:hAnsi="黑体" w:eastAsia="楷体_GB2312" w:cs="楷体_GB2312"/>
          <w:b/>
          <w:bCs/>
          <w:kern w:val="2"/>
          <w:sz w:val="32"/>
          <w:szCs w:val="32"/>
        </w:rPr>
      </w:pPr>
      <w:bookmarkStart w:id="0" w:name="_Toc26880"/>
      <w:r>
        <w:rPr>
          <w:rFonts w:hint="eastAsia" w:ascii="黑体" w:hAnsi="黑体" w:eastAsia="黑体" w:cs="黑体"/>
          <w:kern w:val="2"/>
          <w:sz w:val="32"/>
          <w:szCs w:val="32"/>
        </w:rPr>
        <w:t>基本职能及主要工作</w:t>
      </w:r>
      <w:bookmarkEnd w:id="0"/>
    </w:p>
    <w:p>
      <w:pPr>
        <w:pStyle w:val="27"/>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 w:name="_Toc6680"/>
      <w:r>
        <w:rPr>
          <w:rFonts w:hint="eastAsia" w:ascii="楷体_GB2312" w:hAnsi="黑体" w:eastAsia="楷体_GB2312" w:cs="楷体_GB2312"/>
          <w:b/>
          <w:bCs/>
          <w:kern w:val="2"/>
          <w:sz w:val="32"/>
          <w:szCs w:val="32"/>
        </w:rPr>
        <w:t>壤塘县信访局职能简介</w:t>
      </w:r>
      <w:bookmarkEnd w:id="1"/>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1.受理人民群众来信、负责县委、县政府上访群众的接访工作；承办县委、县政府领导及上级机关领导批示交办、转办的信访案件。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2.根据县委、县政府领导意见，向乡（镇）及有关部门、企事业单位交办、转办有关信访案件。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3.协调处理跨地区、跨部门的重要信访问题；直接调查处理信访老户和重要信访案件。</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4.检查、指导、督促各乡（镇）、县级机关各部门、各单位的信访工作。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rPr>
      </w:pPr>
      <w:r>
        <w:rPr>
          <w:rFonts w:hint="eastAsia" w:ascii="仿宋_GB2312" w:hAnsi="黑体" w:eastAsia="仿宋_GB2312" w:cs="Times New Roman"/>
          <w:sz w:val="32"/>
          <w:szCs w:val="32"/>
        </w:rPr>
        <w:t>5.为来信、来电、来访人员提供有关政策咨询，做好信访人员的思想疏导、矛盾化解工作。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rPr>
        <w:t>6.综合分析人民群众来信来访反映的问题和情况，征集、</w:t>
      </w:r>
      <w:r>
        <w:rPr>
          <w:rFonts w:hint="eastAsia" w:ascii="仿宋_GB2312" w:hAnsi="黑体" w:eastAsia="仿宋_GB2312" w:cs="Times New Roman"/>
          <w:sz w:val="32"/>
          <w:szCs w:val="32"/>
          <w:highlight w:val="none"/>
          <w:shd w:val="clear" w:color="auto" w:fill="auto"/>
        </w:rPr>
        <w:t>筛选和提供信访信息和建议；对带有全局性的重要信访问题开展调查研究，向县委、县政府提出解决问题的意见或办法。</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7.负责组织实施全县信访工作目标管理，提高信访工作质量，开展信访干部培训和信访宣传工作。</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8.配合政法、公安、司法等部门处理以群众集体上访为由而进行的游行、集会、请愿活动。</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bookmarkStart w:id="21" w:name="_GoBack"/>
      <w:r>
        <w:rPr>
          <w:rFonts w:hint="eastAsia" w:ascii="仿宋_GB2312" w:hAnsi="黑体" w:eastAsia="仿宋_GB2312" w:cs="Times New Roman"/>
          <w:sz w:val="32"/>
          <w:szCs w:val="32"/>
          <w:highlight w:val="none"/>
          <w:shd w:val="clear" w:color="auto" w:fill="auto"/>
        </w:rPr>
        <w:t>9.加强信访队伍的自身建设，不断提高信访干部的政治和业务素质。以实事求是的科学态度，研究和探讨信访工作的规律和理论、指导信访工作实践，充分发挥信访工作的社会效益。</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10.负责宣传和贯彻落实《信访条例》，按照《信访条例》规定，对有关信访干部和信访群众提出奖励或处罚的建议。</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Times New Roman"/>
          <w:sz w:val="32"/>
          <w:szCs w:val="32"/>
          <w:highlight w:val="none"/>
          <w:shd w:val="clear" w:color="auto" w:fill="auto"/>
        </w:rPr>
      </w:pPr>
      <w:r>
        <w:rPr>
          <w:rFonts w:hint="eastAsia" w:ascii="仿宋_GB2312" w:hAnsi="黑体" w:eastAsia="仿宋_GB2312" w:cs="Times New Roman"/>
          <w:sz w:val="32"/>
          <w:szCs w:val="32"/>
          <w:highlight w:val="none"/>
          <w:shd w:val="clear" w:color="auto" w:fill="auto"/>
        </w:rPr>
        <w:t>11.承办县委、县政府交办的其他事项。</w:t>
      </w:r>
    </w:p>
    <w:p>
      <w:pPr>
        <w:keepNext w:val="0"/>
        <w:keepLines w:val="0"/>
        <w:pageBreakBefore w:val="0"/>
        <w:widowControl/>
        <w:shd w:val="clear" w:color="auto"/>
        <w:kinsoku/>
        <w:wordWrap/>
        <w:overflowPunct/>
        <w:topLinePunct w:val="0"/>
        <w:autoSpaceDE/>
        <w:autoSpaceDN/>
        <w:bidi w:val="0"/>
        <w:adjustRightInd/>
        <w:snapToGrid/>
        <w:spacing w:line="560" w:lineRule="exact"/>
        <w:ind w:firstLine="643" w:firstLineChars="200"/>
        <w:jc w:val="left"/>
        <w:textAlignment w:val="auto"/>
        <w:outlineLvl w:val="1"/>
        <w:rPr>
          <w:rFonts w:hint="eastAsia" w:ascii="楷体_GB2312" w:hAnsi="黑体" w:eastAsia="楷体_GB2312" w:cs="楷体_GB2312"/>
          <w:b/>
          <w:bCs/>
          <w:color w:val="auto"/>
          <w:kern w:val="2"/>
          <w:sz w:val="32"/>
          <w:szCs w:val="32"/>
        </w:rPr>
      </w:pPr>
      <w:bookmarkStart w:id="2" w:name="_Toc1890"/>
      <w:r>
        <w:rPr>
          <w:rFonts w:hint="eastAsia" w:ascii="楷体_GB2312" w:hAnsi="黑体" w:eastAsia="楷体_GB2312" w:cs="楷体_GB2312"/>
          <w:b/>
          <w:bCs/>
          <w:color w:val="auto"/>
          <w:kern w:val="2"/>
          <w:sz w:val="32"/>
          <w:szCs w:val="32"/>
        </w:rPr>
        <w:t>（二）壤塘县信访局202</w:t>
      </w:r>
      <w:r>
        <w:rPr>
          <w:rFonts w:hint="eastAsia" w:ascii="楷体_GB2312" w:hAnsi="黑体" w:eastAsia="楷体_GB2312" w:cs="楷体_GB2312"/>
          <w:b/>
          <w:bCs/>
          <w:color w:val="auto"/>
          <w:kern w:val="2"/>
          <w:sz w:val="32"/>
          <w:szCs w:val="32"/>
          <w:lang w:val="en-US" w:eastAsia="zh-CN"/>
        </w:rPr>
        <w:t>2</w:t>
      </w:r>
      <w:r>
        <w:rPr>
          <w:rFonts w:hint="eastAsia" w:ascii="楷体_GB2312" w:hAnsi="黑体" w:eastAsia="楷体_GB2312" w:cs="楷体_GB2312"/>
          <w:b/>
          <w:bCs/>
          <w:color w:val="auto"/>
          <w:kern w:val="2"/>
          <w:sz w:val="32"/>
          <w:szCs w:val="32"/>
        </w:rPr>
        <w:t>年重点工作</w:t>
      </w:r>
      <w:bookmarkEnd w:id="2"/>
    </w:p>
    <w:p>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按照 “早谋划、早安排、早部署”的要求，下好先手</w:t>
      </w:r>
      <w:bookmarkEnd w:id="21"/>
      <w:r>
        <w:rPr>
          <w:rFonts w:hint="eastAsia" w:ascii="仿宋" w:hAnsi="仿宋" w:eastAsia="仿宋" w:cs="仿宋"/>
          <w:sz w:val="32"/>
          <w:szCs w:val="32"/>
          <w:lang w:eastAsia="zh-CN"/>
        </w:rPr>
        <w:t>棋，打好主动仗，认真完成各项工作任务，同时，我们不断总结经验、完善措施。面对新形势、新任务，我们更要增强信访工作的责任感、使命感、牢记信访宗旨、求真务实、开拓创新，为下半年的信访工作再上新台阶，为构建和谐</w:t>
      </w:r>
      <w:r>
        <w:rPr>
          <w:rFonts w:hint="eastAsia" w:ascii="仿宋" w:hAnsi="仿宋" w:eastAsia="仿宋" w:cs="仿宋"/>
          <w:sz w:val="32"/>
          <w:szCs w:val="32"/>
          <w:lang w:val="en-US" w:eastAsia="zh-CN"/>
        </w:rPr>
        <w:t>美丽</w:t>
      </w:r>
      <w:r>
        <w:rPr>
          <w:rFonts w:hint="eastAsia" w:ascii="仿宋" w:hAnsi="仿宋" w:eastAsia="仿宋" w:cs="仿宋"/>
          <w:sz w:val="32"/>
          <w:szCs w:val="32"/>
          <w:lang w:eastAsia="zh-CN"/>
        </w:rPr>
        <w:t>壤塘而努力奋斗。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是强化对重点信访工作和信访突出问题排查和督导力度。重要时期，拟启动“深重促”期间的督导模式，重点督导重要信访工作落实、突出信访问题化解、重点人员包保稳控等落实化解情况。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二是</w:t>
      </w:r>
      <w:r>
        <w:rPr>
          <w:rFonts w:hint="eastAsia" w:ascii="仿宋" w:hAnsi="仿宋" w:eastAsia="仿宋" w:cs="仿宋"/>
          <w:sz w:val="32"/>
          <w:szCs w:val="32"/>
          <w:lang w:eastAsia="zh-CN"/>
        </w:rPr>
        <w:t>不断加强信访矛盾纠纷预警和分析研判工作，及时掌握热点、难点问题，做到提前预判，迅速解决。特殊时期，结合我县信访工作实际，制定信访工作应急预案，随时做好应急处突准备。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　</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是以“三民”行动为载体，推动信访业务规范化建设向深发展，促进工作效率，找准存在问题和薄弱环节，积极补正，注重成果转化，切实提高全岗位员工的业务能力和综合素养。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是严格按照《信访条例》及省厅信访工作要求，进一步规范信访程序。实行局内一站式接待、一条龙办理、一揽子解决，力求把信访事项解决在初始，化解在基层，并逐步形成办事依法、遇事找法、解决问题用法、化解矛盾靠法的信访法治工作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黑体" w:eastAsia="楷体_GB2312" w:cs="楷体_GB2312"/>
          <w:b/>
          <w:bCs/>
          <w:kern w:val="2"/>
          <w:sz w:val="32"/>
          <w:szCs w:val="32"/>
        </w:rPr>
      </w:pPr>
      <w:r>
        <w:rPr>
          <w:rFonts w:hint="eastAsia" w:ascii="仿宋" w:hAnsi="仿宋" w:eastAsia="仿宋" w:cs="仿宋"/>
          <w:sz w:val="32"/>
          <w:szCs w:val="32"/>
          <w:lang w:val="en-US" w:eastAsia="zh-CN"/>
        </w:rPr>
        <w:t>五是</w:t>
      </w:r>
      <w:r>
        <w:rPr>
          <w:rFonts w:hint="eastAsia" w:ascii="仿宋" w:hAnsi="仿宋" w:eastAsia="仿宋" w:cs="仿宋"/>
          <w:sz w:val="32"/>
          <w:szCs w:val="32"/>
          <w:lang w:eastAsia="zh-CN"/>
        </w:rPr>
        <w:t>全面提升信访队伍素质。采取跟班学习、现场和视频培训等方式，加强信访干部和信访专（兼）职工作人员综合素质能力培训力度，特别是四川省网上信访信息系统规范操作和应用，全面提升信访专（兼）职工作人员的整治理论水平、业务技能和专业化水平。</w:t>
      </w: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bookmarkStart w:id="3" w:name="_Toc4158"/>
      <w:r>
        <w:rPr>
          <w:rFonts w:hint="eastAsia" w:ascii="黑体" w:hAnsi="黑体" w:eastAsia="黑体" w:cs="黑体"/>
          <w:kern w:val="2"/>
          <w:sz w:val="32"/>
          <w:szCs w:val="32"/>
        </w:rPr>
        <w:t>部门预算单位构成</w:t>
      </w:r>
      <w:bookmarkEnd w:id="3"/>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Ansi="黑体"/>
          <w:kern w:val="2"/>
          <w:sz w:val="32"/>
          <w:szCs w:val="32"/>
        </w:rPr>
      </w:pPr>
      <w:r>
        <w:rPr>
          <w:rFonts w:hint="eastAsia" w:hAnsi="黑体"/>
          <w:kern w:val="2"/>
          <w:sz w:val="32"/>
          <w:szCs w:val="32"/>
        </w:rPr>
        <w:t>壤塘县群众和信访工作局属一级预算单位。</w:t>
      </w:r>
    </w:p>
    <w:p>
      <w:pPr>
        <w:pStyle w:val="27"/>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left="0" w:leftChars="0" w:firstLine="640" w:firstLineChars="200"/>
        <w:textAlignment w:val="auto"/>
        <w:outlineLvl w:val="0"/>
        <w:rPr>
          <w:rFonts w:hint="eastAsia" w:ascii="黑体" w:hAnsi="黑体" w:eastAsia="黑体" w:cs="黑体"/>
          <w:kern w:val="2"/>
          <w:sz w:val="32"/>
          <w:szCs w:val="32"/>
        </w:rPr>
      </w:pPr>
      <w:bookmarkStart w:id="4" w:name="_Toc19500"/>
      <w:r>
        <w:rPr>
          <w:rFonts w:hint="eastAsia" w:ascii="黑体" w:hAnsi="黑体" w:eastAsia="黑体" w:cs="黑体"/>
          <w:kern w:val="2"/>
          <w:sz w:val="32"/>
          <w:szCs w:val="32"/>
        </w:rPr>
        <w:t>收支预算情况说明</w:t>
      </w:r>
      <w:bookmarkEnd w:id="4"/>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0" w:firstLineChars="200"/>
        <w:textAlignment w:val="auto"/>
        <w:outlineLvl w:val="9"/>
        <w:rPr>
          <w:rFonts w:hint="eastAsia" w:hAnsi="黑体"/>
          <w:kern w:val="2"/>
          <w:sz w:val="32"/>
          <w:szCs w:val="32"/>
        </w:rPr>
      </w:pPr>
      <w:r>
        <w:rPr>
          <w:rFonts w:hint="eastAsia" w:hAnsi="黑体"/>
          <w:kern w:val="2"/>
          <w:sz w:val="32"/>
          <w:szCs w:val="32"/>
        </w:rPr>
        <w:t>按照综合预算的原则，壤塘县信访局所有收入和支出均纳入部门预算管理。收入包括：一般公共预算拨款收入</w:t>
      </w:r>
      <w:r>
        <w:rPr>
          <w:rFonts w:hint="eastAsia" w:hAnsi="黑体" w:cs="Times New Roman"/>
          <w:kern w:val="2"/>
          <w:sz w:val="32"/>
          <w:szCs w:val="32"/>
        </w:rPr>
        <w:t>168.04</w:t>
      </w:r>
      <w:r>
        <w:rPr>
          <w:rFonts w:hint="eastAsia" w:hAnsi="黑体"/>
          <w:kern w:val="2"/>
          <w:sz w:val="32"/>
          <w:szCs w:val="32"/>
        </w:rPr>
        <w:t>万元；支出包括：一般公共预算服务支出120.77万元，社会保障和就业支出</w:t>
      </w:r>
      <w:r>
        <w:rPr>
          <w:rFonts w:hint="eastAsia" w:hAnsi="黑体" w:cs="Times New Roman"/>
          <w:kern w:val="2"/>
          <w:sz w:val="32"/>
          <w:szCs w:val="32"/>
        </w:rPr>
        <w:t>23.48</w:t>
      </w:r>
      <w:r>
        <w:rPr>
          <w:rFonts w:hint="eastAsia" w:hAnsi="黑体"/>
          <w:kern w:val="2"/>
          <w:sz w:val="32"/>
          <w:szCs w:val="32"/>
        </w:rPr>
        <w:t>万元，卫生健康支出</w:t>
      </w:r>
      <w:r>
        <w:rPr>
          <w:rFonts w:hint="eastAsia" w:hAnsi="黑体" w:cs="Times New Roman"/>
          <w:kern w:val="2"/>
          <w:sz w:val="32"/>
          <w:szCs w:val="32"/>
        </w:rPr>
        <w:t>8.49</w:t>
      </w:r>
      <w:r>
        <w:rPr>
          <w:rFonts w:hint="eastAsia" w:hAnsi="黑体"/>
          <w:kern w:val="2"/>
          <w:sz w:val="32"/>
          <w:szCs w:val="32"/>
        </w:rPr>
        <w:t>万元，住房保障支</w:t>
      </w:r>
      <w:r>
        <w:rPr>
          <w:rFonts w:hint="eastAsia" w:hAnsi="黑体"/>
          <w:color w:val="auto"/>
          <w:kern w:val="2"/>
          <w:sz w:val="32"/>
          <w:szCs w:val="32"/>
        </w:rPr>
        <w:t>出</w:t>
      </w:r>
      <w:r>
        <w:rPr>
          <w:rFonts w:hint="eastAsia" w:hAnsi="黑体" w:cs="Times New Roman"/>
          <w:color w:val="auto"/>
          <w:kern w:val="2"/>
          <w:sz w:val="32"/>
          <w:szCs w:val="32"/>
        </w:rPr>
        <w:t>15.29</w:t>
      </w:r>
      <w:r>
        <w:rPr>
          <w:rFonts w:hint="eastAsia" w:hAnsi="黑体"/>
          <w:color w:val="auto"/>
          <w:kern w:val="2"/>
          <w:sz w:val="32"/>
          <w:szCs w:val="32"/>
        </w:rPr>
        <w:t>万元。壤塘县信访局</w:t>
      </w:r>
      <w:r>
        <w:rPr>
          <w:rFonts w:hAnsi="黑体"/>
          <w:color w:val="auto"/>
          <w:kern w:val="2"/>
          <w:sz w:val="32"/>
          <w:szCs w:val="32"/>
        </w:rPr>
        <w:t>202</w:t>
      </w:r>
      <w:r>
        <w:rPr>
          <w:rFonts w:hint="eastAsia" w:hAnsi="黑体"/>
          <w:color w:val="auto"/>
          <w:kern w:val="2"/>
          <w:sz w:val="32"/>
          <w:szCs w:val="32"/>
          <w:lang w:val="en-US" w:eastAsia="zh-CN"/>
        </w:rPr>
        <w:t>2</w:t>
      </w:r>
      <w:r>
        <w:rPr>
          <w:rFonts w:hAnsi="黑体"/>
          <w:color w:val="auto"/>
          <w:kern w:val="2"/>
          <w:sz w:val="32"/>
          <w:szCs w:val="32"/>
        </w:rPr>
        <w:t>年</w:t>
      </w:r>
      <w:r>
        <w:rPr>
          <w:rFonts w:hint="eastAsia" w:hAnsi="黑体"/>
          <w:color w:val="auto"/>
          <w:kern w:val="2"/>
          <w:sz w:val="32"/>
          <w:szCs w:val="32"/>
        </w:rPr>
        <w:t>收支总预算</w:t>
      </w:r>
      <w:r>
        <w:rPr>
          <w:rFonts w:hint="eastAsia" w:hAnsi="黑体" w:cs="Times New Roman"/>
          <w:color w:val="auto"/>
          <w:kern w:val="2"/>
          <w:sz w:val="32"/>
          <w:szCs w:val="32"/>
        </w:rPr>
        <w:t>168.04</w:t>
      </w:r>
      <w:r>
        <w:rPr>
          <w:rFonts w:hint="eastAsia" w:hAnsi="黑体"/>
          <w:color w:val="auto"/>
          <w:kern w:val="2"/>
          <w:sz w:val="32"/>
          <w:szCs w:val="32"/>
        </w:rPr>
        <w:t>万元</w:t>
      </w:r>
      <w:r>
        <w:rPr>
          <w:rFonts w:hAnsi="黑体"/>
          <w:color w:val="auto"/>
          <w:kern w:val="2"/>
          <w:sz w:val="32"/>
          <w:szCs w:val="32"/>
        </w:rPr>
        <w:t>,</w:t>
      </w:r>
      <w:r>
        <w:rPr>
          <w:rFonts w:hint="eastAsia" w:hAnsi="黑体"/>
          <w:color w:val="auto"/>
          <w:kern w:val="2"/>
          <w:sz w:val="32"/>
          <w:szCs w:val="32"/>
        </w:rPr>
        <w:t>　比</w:t>
      </w:r>
      <w:r>
        <w:rPr>
          <w:rFonts w:hAnsi="黑体"/>
          <w:color w:val="auto"/>
          <w:kern w:val="2"/>
          <w:sz w:val="32"/>
          <w:szCs w:val="32"/>
        </w:rPr>
        <w:t>20</w:t>
      </w:r>
      <w:r>
        <w:rPr>
          <w:rFonts w:hint="eastAsia" w:hAnsi="黑体"/>
          <w:color w:val="auto"/>
          <w:kern w:val="2"/>
          <w:sz w:val="32"/>
          <w:szCs w:val="32"/>
        </w:rPr>
        <w:t>2</w:t>
      </w:r>
      <w:r>
        <w:rPr>
          <w:rFonts w:hint="eastAsia" w:hAnsi="黑体"/>
          <w:color w:val="auto"/>
          <w:kern w:val="2"/>
          <w:sz w:val="32"/>
          <w:szCs w:val="32"/>
          <w:lang w:val="en-US" w:eastAsia="zh-CN"/>
        </w:rPr>
        <w:t>1</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增加15.04</w:t>
      </w:r>
      <w:r>
        <w:rPr>
          <w:rFonts w:hint="eastAsia" w:hAnsi="黑体"/>
          <w:color w:val="auto"/>
          <w:kern w:val="2"/>
          <w:sz w:val="32"/>
          <w:szCs w:val="32"/>
        </w:rPr>
        <w:t>万元，主要原因</w:t>
      </w:r>
      <w:r>
        <w:rPr>
          <w:rFonts w:hAnsi="黑体"/>
          <w:color w:val="auto"/>
          <w:kern w:val="2"/>
          <w:sz w:val="32"/>
          <w:szCs w:val="32"/>
        </w:rPr>
        <w:t>:202</w:t>
      </w:r>
      <w:r>
        <w:rPr>
          <w:rFonts w:hint="eastAsia" w:hAnsi="黑体"/>
          <w:color w:val="auto"/>
          <w:kern w:val="2"/>
          <w:sz w:val="32"/>
          <w:szCs w:val="32"/>
          <w:lang w:val="en-US" w:eastAsia="zh-CN"/>
        </w:rPr>
        <w:t>2</w:t>
      </w:r>
      <w:r>
        <w:rPr>
          <w:rFonts w:hint="eastAsia" w:hAnsi="黑体"/>
          <w:color w:val="auto"/>
          <w:kern w:val="2"/>
          <w:sz w:val="32"/>
          <w:szCs w:val="32"/>
        </w:rPr>
        <w:t>人员经费预</w:t>
      </w:r>
      <w:r>
        <w:rPr>
          <w:rFonts w:hint="eastAsia" w:hAnsi="黑体"/>
          <w:kern w:val="2"/>
          <w:sz w:val="32"/>
          <w:szCs w:val="32"/>
        </w:rPr>
        <w:t>算</w:t>
      </w:r>
      <w:r>
        <w:rPr>
          <w:rFonts w:hint="eastAsia" w:hAnsi="黑体"/>
          <w:kern w:val="2"/>
          <w:sz w:val="32"/>
          <w:szCs w:val="32"/>
          <w:lang w:val="en-US" w:eastAsia="zh-CN"/>
        </w:rPr>
        <w:t>增加</w:t>
      </w:r>
      <w:r>
        <w:rPr>
          <w:rFonts w:hint="eastAsia" w:hAnsi="黑体"/>
          <w:kern w:val="2"/>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5" w:name="_Toc31441"/>
      <w:r>
        <w:rPr>
          <w:rFonts w:hint="eastAsia" w:ascii="楷体_GB2312" w:hAnsi="黑体" w:eastAsia="楷体_GB2312" w:cs="楷体_GB2312"/>
          <w:b/>
          <w:bCs/>
          <w:kern w:val="2"/>
          <w:sz w:val="32"/>
          <w:szCs w:val="32"/>
        </w:rPr>
        <w:t>（一）收入预算情况</w:t>
      </w:r>
      <w:bookmarkEnd w:id="5"/>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收入预算</w:t>
      </w:r>
      <w:r>
        <w:rPr>
          <w:rFonts w:hint="eastAsia" w:hAnsi="黑体" w:cs="Times New Roman"/>
          <w:kern w:val="2"/>
          <w:sz w:val="32"/>
          <w:szCs w:val="32"/>
        </w:rPr>
        <w:t>168.04</w:t>
      </w:r>
      <w:r>
        <w:rPr>
          <w:rFonts w:hint="eastAsia" w:hAnsi="黑体"/>
          <w:kern w:val="2"/>
          <w:sz w:val="32"/>
          <w:szCs w:val="32"/>
        </w:rPr>
        <w:t>万元；一般公共预算拨款收入</w:t>
      </w:r>
      <w:r>
        <w:rPr>
          <w:rFonts w:hint="eastAsia" w:hAnsi="黑体" w:cs="Times New Roman"/>
          <w:kern w:val="2"/>
          <w:sz w:val="32"/>
          <w:szCs w:val="32"/>
        </w:rPr>
        <w:t>168.04</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1"/>
        <w:rPr>
          <w:rFonts w:hint="eastAsia" w:ascii="楷体_GB2312" w:hAnsi="楷体_GB2312" w:eastAsia="楷体_GB2312" w:cs="楷体_GB2312"/>
          <w:b/>
          <w:bCs/>
          <w:kern w:val="2"/>
          <w:sz w:val="32"/>
          <w:szCs w:val="32"/>
        </w:rPr>
      </w:pPr>
      <w:bookmarkStart w:id="6" w:name="_Toc21958"/>
      <w:r>
        <w:rPr>
          <w:rFonts w:hint="eastAsia" w:hAnsi="黑体" w:eastAsia="楷体_GB2312"/>
          <w:kern w:val="2"/>
          <w:sz w:val="32"/>
          <w:szCs w:val="32"/>
          <w:lang w:eastAsia="zh-CN"/>
        </w:rPr>
        <w:t>（</w:t>
      </w:r>
      <w:r>
        <w:rPr>
          <w:rFonts w:hint="eastAsia" w:hAnsi="黑体" w:eastAsia="楷体_GB2312"/>
          <w:kern w:val="2"/>
          <w:sz w:val="32"/>
          <w:szCs w:val="32"/>
          <w:lang w:val="en-US" w:eastAsia="zh-CN"/>
        </w:rPr>
        <w:t>二</w:t>
      </w:r>
      <w:r>
        <w:rPr>
          <w:rFonts w:hint="eastAsia" w:hAnsi="黑体" w:eastAsia="楷体_GB2312"/>
          <w:kern w:val="2"/>
          <w:sz w:val="32"/>
          <w:szCs w:val="32"/>
          <w:lang w:eastAsia="zh-CN"/>
        </w:rPr>
        <w:t>）</w:t>
      </w:r>
      <w:r>
        <w:rPr>
          <w:rFonts w:hint="eastAsia" w:ascii="楷体_GB2312" w:hAnsi="楷体_GB2312" w:eastAsia="楷体_GB2312" w:cs="楷体_GB2312"/>
          <w:b/>
          <w:bCs/>
          <w:kern w:val="2"/>
          <w:sz w:val="32"/>
          <w:szCs w:val="32"/>
        </w:rPr>
        <w:t>支出预算情况</w:t>
      </w:r>
      <w:bookmarkEnd w:id="6"/>
    </w:p>
    <w:p>
      <w:pPr>
        <w:pStyle w:val="27"/>
        <w:spacing w:before="0" w:line="360" w:lineRule="auto"/>
        <w:ind w:firstLine="627" w:firstLineChars="196"/>
        <w:rPr>
          <w:rFonts w:hAnsi="黑体" w:cs="Times New Roman"/>
          <w:kern w:val="2"/>
          <w:sz w:val="32"/>
          <w:szCs w:val="32"/>
        </w:rPr>
      </w:pP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支出预算</w:t>
      </w:r>
      <w:r>
        <w:rPr>
          <w:rFonts w:hint="eastAsia" w:hAnsi="黑体" w:cs="Times New Roman"/>
          <w:kern w:val="2"/>
          <w:sz w:val="32"/>
          <w:szCs w:val="32"/>
        </w:rPr>
        <w:t>168.04</w:t>
      </w:r>
      <w:r>
        <w:rPr>
          <w:rFonts w:hint="eastAsia" w:hAnsi="黑体"/>
          <w:kern w:val="2"/>
          <w:sz w:val="32"/>
          <w:szCs w:val="32"/>
        </w:rPr>
        <w:t>万元，其中：基本支出</w:t>
      </w:r>
      <w:r>
        <w:rPr>
          <w:rFonts w:hint="eastAsia" w:hAnsi="黑体" w:cs="Times New Roman"/>
          <w:kern w:val="2"/>
          <w:sz w:val="32"/>
          <w:szCs w:val="32"/>
        </w:rPr>
        <w:t>168.04</w:t>
      </w:r>
      <w:r>
        <w:rPr>
          <w:rFonts w:hint="eastAsia" w:hAnsi="黑体"/>
          <w:kern w:val="2"/>
          <w:sz w:val="32"/>
          <w:szCs w:val="32"/>
        </w:rPr>
        <w:t>万元，占</w:t>
      </w:r>
      <w:r>
        <w:rPr>
          <w:rFonts w:hAnsi="黑体" w:cs="Times New Roman"/>
          <w:kern w:val="2"/>
          <w:sz w:val="32"/>
          <w:szCs w:val="32"/>
        </w:rPr>
        <w:t>100</w:t>
      </w:r>
      <w:r>
        <w:rPr>
          <w:rFonts w:hAnsi="黑体"/>
          <w:kern w:val="2"/>
          <w:sz w:val="32"/>
          <w:szCs w:val="32"/>
        </w:rPr>
        <w:t>%</w:t>
      </w:r>
      <w:r>
        <w:rPr>
          <w:rFonts w:hint="eastAsia" w:hAnsi="黑体"/>
          <w:kern w:val="2"/>
          <w:sz w:val="32"/>
          <w:szCs w:val="32"/>
        </w:rPr>
        <w:t>。</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7" w:name="_Toc9636"/>
      <w:r>
        <w:rPr>
          <w:rFonts w:hint="eastAsia" w:ascii="黑体" w:hAnsi="黑体" w:eastAsia="黑体" w:cs="黑体"/>
          <w:kern w:val="2"/>
          <w:sz w:val="32"/>
          <w:szCs w:val="32"/>
        </w:rPr>
        <w:t>财政拨款收支预算情况说明</w:t>
      </w:r>
      <w:bookmarkEnd w:id="7"/>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Ansi="黑体"/>
          <w:color w:val="auto"/>
          <w:kern w:val="2"/>
          <w:sz w:val="32"/>
          <w:szCs w:val="32"/>
        </w:rPr>
      </w:pPr>
      <w:r>
        <w:rPr>
          <w:rFonts w:hint="eastAsia" w:hAnsi="黑体"/>
          <w:kern w:val="2"/>
          <w:sz w:val="32"/>
          <w:szCs w:val="32"/>
          <w:highlight w:val="none"/>
        </w:rPr>
        <w:t>壤塘县信访局</w:t>
      </w:r>
      <w:r>
        <w:rPr>
          <w:rFonts w:hAnsi="黑体"/>
          <w:kern w:val="2"/>
          <w:sz w:val="32"/>
          <w:szCs w:val="32"/>
          <w:highlight w:val="none"/>
        </w:rPr>
        <w:t>202</w:t>
      </w:r>
      <w:r>
        <w:rPr>
          <w:rFonts w:hint="eastAsia" w:hAnsi="黑体"/>
          <w:kern w:val="2"/>
          <w:sz w:val="32"/>
          <w:szCs w:val="32"/>
          <w:highlight w:val="none"/>
          <w:lang w:val="en-US" w:eastAsia="zh-CN"/>
        </w:rPr>
        <w:t>2</w:t>
      </w:r>
      <w:r>
        <w:rPr>
          <w:rFonts w:hAnsi="黑体"/>
          <w:kern w:val="2"/>
          <w:sz w:val="32"/>
          <w:szCs w:val="32"/>
          <w:highlight w:val="none"/>
        </w:rPr>
        <w:t>年</w:t>
      </w:r>
      <w:r>
        <w:rPr>
          <w:rFonts w:hint="eastAsia" w:hAnsi="黑体"/>
          <w:kern w:val="2"/>
          <w:sz w:val="32"/>
          <w:szCs w:val="32"/>
          <w:highlight w:val="none"/>
        </w:rPr>
        <w:t>财政拨款收支总预算</w:t>
      </w:r>
      <w:r>
        <w:rPr>
          <w:rFonts w:hint="eastAsia" w:hAnsi="黑体" w:cs="Times New Roman"/>
          <w:kern w:val="2"/>
          <w:sz w:val="32"/>
          <w:szCs w:val="32"/>
          <w:highlight w:val="none"/>
        </w:rPr>
        <w:t>168.04</w:t>
      </w:r>
      <w:r>
        <w:rPr>
          <w:rFonts w:hint="eastAsia" w:hAnsi="黑体"/>
          <w:kern w:val="2"/>
          <w:sz w:val="32"/>
          <w:szCs w:val="32"/>
          <w:highlight w:val="none"/>
        </w:rPr>
        <w:t>万元</w:t>
      </w:r>
      <w:r>
        <w:rPr>
          <w:rFonts w:hint="eastAsia" w:hAnsi="黑体"/>
          <w:kern w:val="2"/>
          <w:sz w:val="32"/>
          <w:szCs w:val="32"/>
          <w:highlight w:val="none"/>
          <w:lang w:eastAsia="zh-CN"/>
        </w:rPr>
        <w:t>，</w:t>
      </w:r>
      <w:r>
        <w:rPr>
          <w:rFonts w:hint="eastAsia" w:hAnsi="黑体"/>
          <w:color w:val="auto"/>
          <w:kern w:val="2"/>
          <w:sz w:val="32"/>
          <w:szCs w:val="32"/>
          <w:highlight w:val="none"/>
        </w:rPr>
        <w:t>比</w:t>
      </w:r>
      <w:r>
        <w:rPr>
          <w:rFonts w:hAnsi="黑体"/>
          <w:color w:val="auto"/>
          <w:kern w:val="2"/>
          <w:sz w:val="32"/>
          <w:szCs w:val="32"/>
        </w:rPr>
        <w:t>20</w:t>
      </w:r>
      <w:r>
        <w:rPr>
          <w:rFonts w:hint="eastAsia" w:hAnsi="黑体"/>
          <w:color w:val="auto"/>
          <w:kern w:val="2"/>
          <w:sz w:val="32"/>
          <w:szCs w:val="32"/>
        </w:rPr>
        <w:t>2</w:t>
      </w:r>
      <w:r>
        <w:rPr>
          <w:rFonts w:hint="eastAsia" w:hAnsi="黑体"/>
          <w:color w:val="auto"/>
          <w:kern w:val="2"/>
          <w:sz w:val="32"/>
          <w:szCs w:val="32"/>
          <w:lang w:val="en-US" w:eastAsia="zh-CN"/>
        </w:rPr>
        <w:t>1</w:t>
      </w:r>
      <w:r>
        <w:rPr>
          <w:rFonts w:hAnsi="黑体"/>
          <w:color w:val="auto"/>
          <w:kern w:val="2"/>
          <w:sz w:val="32"/>
          <w:szCs w:val="32"/>
        </w:rPr>
        <w:t>年</w:t>
      </w:r>
      <w:r>
        <w:rPr>
          <w:rFonts w:hint="eastAsia" w:hAnsi="黑体"/>
          <w:color w:val="auto"/>
          <w:kern w:val="2"/>
          <w:sz w:val="32"/>
          <w:szCs w:val="32"/>
        </w:rPr>
        <w:t>收支预算总数</w:t>
      </w:r>
      <w:r>
        <w:rPr>
          <w:rFonts w:hint="eastAsia" w:hAnsi="黑体"/>
          <w:color w:val="auto"/>
          <w:kern w:val="2"/>
          <w:sz w:val="32"/>
          <w:szCs w:val="32"/>
          <w:lang w:val="en-US" w:eastAsia="zh-CN"/>
        </w:rPr>
        <w:t>增加15.04</w:t>
      </w:r>
      <w:r>
        <w:rPr>
          <w:rFonts w:hint="eastAsia" w:hAnsi="黑体"/>
          <w:color w:val="auto"/>
          <w:kern w:val="2"/>
          <w:sz w:val="32"/>
          <w:szCs w:val="32"/>
        </w:rPr>
        <w:t>万元，主要原因</w:t>
      </w:r>
      <w:r>
        <w:rPr>
          <w:rFonts w:hAnsi="黑体"/>
          <w:color w:val="auto"/>
          <w:kern w:val="2"/>
          <w:sz w:val="32"/>
          <w:szCs w:val="32"/>
        </w:rPr>
        <w:t>: 202</w:t>
      </w:r>
      <w:r>
        <w:rPr>
          <w:rFonts w:hint="eastAsia" w:hAnsi="黑体"/>
          <w:color w:val="auto"/>
          <w:kern w:val="2"/>
          <w:sz w:val="32"/>
          <w:szCs w:val="32"/>
          <w:lang w:val="en-US" w:eastAsia="zh-CN"/>
        </w:rPr>
        <w:t>2</w:t>
      </w:r>
      <w:r>
        <w:rPr>
          <w:rFonts w:hint="eastAsia" w:hAnsi="黑体"/>
          <w:color w:val="auto"/>
          <w:kern w:val="2"/>
          <w:sz w:val="32"/>
          <w:szCs w:val="32"/>
        </w:rPr>
        <w:t>人员经费预算</w:t>
      </w:r>
      <w:r>
        <w:rPr>
          <w:rFonts w:hint="eastAsia" w:hAnsi="黑体"/>
          <w:color w:val="auto"/>
          <w:kern w:val="2"/>
          <w:sz w:val="32"/>
          <w:szCs w:val="32"/>
          <w:lang w:val="en-US" w:eastAsia="zh-CN"/>
        </w:rPr>
        <w:t>增加</w:t>
      </w:r>
      <w:r>
        <w:rPr>
          <w:rFonts w:hint="eastAsia" w:hAnsi="黑体"/>
          <w:color w:val="auto"/>
          <w:kern w:val="2"/>
          <w:sz w:val="32"/>
          <w:szCs w:val="32"/>
        </w:rPr>
        <w:t>。</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Ansi="黑体" w:cs="Times New Roman"/>
          <w:kern w:val="2"/>
          <w:sz w:val="32"/>
          <w:szCs w:val="32"/>
        </w:rPr>
      </w:pPr>
      <w:r>
        <w:rPr>
          <w:rFonts w:hint="eastAsia" w:hAnsi="黑体"/>
          <w:color w:val="auto"/>
          <w:kern w:val="2"/>
          <w:sz w:val="32"/>
          <w:szCs w:val="32"/>
        </w:rPr>
        <w:t>收入包括：本年一般公共预算拨款收入</w:t>
      </w:r>
      <w:r>
        <w:rPr>
          <w:rFonts w:hint="eastAsia" w:hAnsi="黑体" w:cs="Times New Roman"/>
          <w:color w:val="auto"/>
          <w:kern w:val="2"/>
          <w:sz w:val="32"/>
          <w:szCs w:val="32"/>
        </w:rPr>
        <w:t>168.04</w:t>
      </w:r>
      <w:r>
        <w:rPr>
          <w:rFonts w:hint="eastAsia" w:hAnsi="黑体"/>
          <w:color w:val="auto"/>
          <w:kern w:val="2"/>
          <w:sz w:val="32"/>
          <w:szCs w:val="32"/>
        </w:rPr>
        <w:t>万元。</w:t>
      </w:r>
      <w:r>
        <w:rPr>
          <w:rFonts w:hAnsi="黑体" w:cs="Times New Roman"/>
          <w:color w:val="auto"/>
          <w:kern w:val="2"/>
          <w:sz w:val="32"/>
          <w:szCs w:val="32"/>
        </w:rPr>
        <w:t xml:space="preserve"> </w:t>
      </w:r>
      <w:r>
        <w:rPr>
          <w:rFonts w:hAnsi="黑体" w:cs="Times New Roman"/>
          <w:color w:val="auto"/>
          <w:kern w:val="2"/>
          <w:sz w:val="32"/>
          <w:szCs w:val="32"/>
        </w:rPr>
        <w:br w:type="textWrapping"/>
      </w:r>
      <w:r>
        <w:rPr>
          <w:rFonts w:hint="eastAsia" w:hAnsi="黑体"/>
          <w:kern w:val="2"/>
          <w:sz w:val="32"/>
          <w:szCs w:val="32"/>
        </w:rPr>
        <w:t>　　支出包括：一般公共预算服务支出120.77万元，社会保障和就业支出23.48万元，卫生健康支出8.49万元，住房保障支出15.29万元。</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8" w:name="_Toc4998"/>
      <w:r>
        <w:rPr>
          <w:rFonts w:hint="eastAsia" w:ascii="黑体" w:hAnsi="黑体" w:eastAsia="黑体" w:cs="黑体"/>
          <w:kern w:val="2"/>
          <w:sz w:val="32"/>
          <w:szCs w:val="32"/>
        </w:rPr>
        <w:t>一般公共预算当年拨款情况说明</w:t>
      </w:r>
      <w:bookmarkEnd w:id="8"/>
    </w:p>
    <w:p>
      <w:pPr>
        <w:pStyle w:val="27"/>
        <w:keepNext w:val="0"/>
        <w:keepLines w:val="0"/>
        <w:pageBreakBefore w:val="0"/>
        <w:widowControl w:val="0"/>
        <w:numPr>
          <w:ilvl w:val="0"/>
          <w:numId w:val="5"/>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9" w:name="_Toc29278"/>
      <w:r>
        <w:rPr>
          <w:rFonts w:hint="eastAsia" w:ascii="楷体_GB2312" w:hAnsi="黑体" w:eastAsia="楷体_GB2312" w:cs="楷体_GB2312"/>
          <w:b/>
          <w:bCs/>
          <w:kern w:val="2"/>
          <w:sz w:val="32"/>
          <w:szCs w:val="32"/>
        </w:rPr>
        <w:t>一般公共预算当年拨款规模变化情况</w:t>
      </w:r>
      <w:bookmarkEnd w:id="9"/>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一般公共预算当年拨款168.04万元，比</w:t>
      </w:r>
      <w:r>
        <w:rPr>
          <w:rFonts w:hAnsi="黑体"/>
          <w:kern w:val="2"/>
          <w:sz w:val="32"/>
          <w:szCs w:val="32"/>
        </w:rPr>
        <w:t>202</w:t>
      </w:r>
      <w:r>
        <w:rPr>
          <w:rFonts w:hint="eastAsia" w:hAnsi="黑体"/>
          <w:kern w:val="2"/>
          <w:sz w:val="32"/>
          <w:szCs w:val="32"/>
          <w:lang w:val="en-US" w:eastAsia="zh-CN"/>
        </w:rPr>
        <w:t>1</w:t>
      </w:r>
      <w:r>
        <w:rPr>
          <w:rFonts w:hAnsi="黑体"/>
          <w:kern w:val="2"/>
          <w:sz w:val="32"/>
          <w:szCs w:val="32"/>
        </w:rPr>
        <w:t>年</w:t>
      </w:r>
      <w:r>
        <w:rPr>
          <w:rFonts w:hint="eastAsia" w:hAnsi="黑体"/>
          <w:kern w:val="2"/>
          <w:sz w:val="32"/>
          <w:szCs w:val="32"/>
        </w:rPr>
        <w:t>预算数增加</w:t>
      </w:r>
      <w:r>
        <w:rPr>
          <w:rFonts w:hint="eastAsia" w:hAnsi="黑体"/>
          <w:kern w:val="2"/>
          <w:sz w:val="32"/>
          <w:szCs w:val="32"/>
          <w:lang w:val="en-US" w:eastAsia="zh-CN"/>
        </w:rPr>
        <w:t>增加15.04</w:t>
      </w:r>
      <w:r>
        <w:rPr>
          <w:rFonts w:hint="eastAsia" w:hAnsi="黑体"/>
          <w:kern w:val="2"/>
          <w:sz w:val="32"/>
          <w:szCs w:val="32"/>
        </w:rPr>
        <w:t>万元，主要是基本支出</w:t>
      </w:r>
      <w:r>
        <w:rPr>
          <w:rFonts w:hint="eastAsia" w:hAnsi="黑体"/>
          <w:kern w:val="2"/>
          <w:sz w:val="32"/>
          <w:szCs w:val="32"/>
          <w:lang w:val="en-US" w:eastAsia="zh-CN"/>
        </w:rPr>
        <w:t>增加15.04</w:t>
      </w:r>
      <w:r>
        <w:rPr>
          <w:rFonts w:hint="eastAsia" w:hAnsi="黑体"/>
          <w:kern w:val="2"/>
          <w:sz w:val="32"/>
          <w:szCs w:val="32"/>
        </w:rPr>
        <w:t>万元，主要原因</w:t>
      </w:r>
      <w:r>
        <w:rPr>
          <w:rFonts w:hAnsi="黑体"/>
          <w:kern w:val="2"/>
          <w:sz w:val="32"/>
          <w:szCs w:val="32"/>
        </w:rPr>
        <w:t>: 202</w:t>
      </w:r>
      <w:r>
        <w:rPr>
          <w:rFonts w:hint="eastAsia" w:hAnsi="黑体"/>
          <w:kern w:val="2"/>
          <w:sz w:val="32"/>
          <w:szCs w:val="32"/>
          <w:lang w:val="en-US" w:eastAsia="zh-CN"/>
        </w:rPr>
        <w:t>2</w:t>
      </w:r>
      <w:r>
        <w:rPr>
          <w:rFonts w:hint="eastAsia" w:hAnsi="黑体"/>
          <w:kern w:val="2"/>
          <w:sz w:val="32"/>
          <w:szCs w:val="32"/>
        </w:rPr>
        <w:t>人员经费预算</w:t>
      </w:r>
      <w:r>
        <w:rPr>
          <w:rFonts w:hint="eastAsia" w:hAnsi="黑体"/>
          <w:kern w:val="2"/>
          <w:sz w:val="32"/>
          <w:szCs w:val="32"/>
          <w:lang w:val="en-US" w:eastAsia="zh-CN"/>
        </w:rPr>
        <w:t>增加</w:t>
      </w:r>
      <w:r>
        <w:rPr>
          <w:rFonts w:hint="eastAsia" w:hAnsi="黑体"/>
          <w:kern w:val="2"/>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0" w:name="_Toc22927"/>
      <w:r>
        <w:rPr>
          <w:rFonts w:hint="eastAsia" w:ascii="楷体_GB2312" w:hAnsi="黑体" w:eastAsia="楷体_GB2312" w:cs="楷体_GB2312"/>
          <w:b/>
          <w:bCs/>
          <w:kern w:val="2"/>
          <w:sz w:val="32"/>
          <w:szCs w:val="32"/>
        </w:rPr>
        <w:t>（二）一般公共预算当年拨款结构情况</w:t>
      </w:r>
      <w:bookmarkEnd w:id="10"/>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一般公共预算服务支出120.77万元，</w:t>
      </w:r>
      <w:r>
        <w:rPr>
          <w:rFonts w:hint="eastAsia" w:hAnsi="黑体"/>
          <w:kern w:val="2"/>
          <w:sz w:val="32"/>
          <w:szCs w:val="32"/>
          <w:lang w:val="en-US" w:eastAsia="zh-CN"/>
        </w:rPr>
        <w:t>占71.87%；</w:t>
      </w:r>
      <w:r>
        <w:rPr>
          <w:rFonts w:hint="eastAsia" w:hAnsi="黑体"/>
          <w:kern w:val="2"/>
          <w:sz w:val="32"/>
          <w:szCs w:val="32"/>
        </w:rPr>
        <w:t>社会保障和就业支出23.48万元，</w:t>
      </w:r>
      <w:r>
        <w:rPr>
          <w:rFonts w:hint="eastAsia" w:hAnsi="黑体"/>
          <w:kern w:val="2"/>
          <w:sz w:val="32"/>
          <w:szCs w:val="32"/>
          <w:lang w:val="en-US" w:eastAsia="zh-CN"/>
        </w:rPr>
        <w:t>占13.97%；</w:t>
      </w:r>
      <w:r>
        <w:rPr>
          <w:rFonts w:hint="eastAsia" w:hAnsi="黑体"/>
          <w:kern w:val="2"/>
          <w:sz w:val="32"/>
          <w:szCs w:val="32"/>
        </w:rPr>
        <w:t>卫生健康支出8.49万元，</w:t>
      </w:r>
      <w:r>
        <w:rPr>
          <w:rFonts w:hint="eastAsia" w:hAnsi="黑体"/>
          <w:kern w:val="2"/>
          <w:sz w:val="32"/>
          <w:szCs w:val="32"/>
          <w:lang w:val="en-US" w:eastAsia="zh-CN"/>
        </w:rPr>
        <w:t>占5.05%；</w:t>
      </w:r>
      <w:r>
        <w:rPr>
          <w:rFonts w:hint="eastAsia" w:hAnsi="黑体"/>
          <w:kern w:val="2"/>
          <w:sz w:val="32"/>
          <w:szCs w:val="32"/>
        </w:rPr>
        <w:t>住房保障支出15.29万元</w:t>
      </w:r>
      <w:r>
        <w:rPr>
          <w:rFonts w:hint="eastAsia" w:hAnsi="黑体"/>
          <w:kern w:val="2"/>
          <w:sz w:val="32"/>
          <w:szCs w:val="32"/>
          <w:lang w:eastAsia="zh-CN"/>
        </w:rPr>
        <w:t>，</w:t>
      </w:r>
      <w:r>
        <w:rPr>
          <w:rFonts w:hint="eastAsia" w:hAnsi="黑体"/>
          <w:kern w:val="2"/>
          <w:sz w:val="32"/>
          <w:szCs w:val="32"/>
          <w:lang w:val="en-US" w:eastAsia="zh-CN"/>
        </w:rPr>
        <w:t>占9.10%</w:t>
      </w:r>
      <w:r>
        <w:rPr>
          <w:rFonts w:hint="eastAsia" w:hAnsi="黑体"/>
          <w:kern w:val="2"/>
          <w:sz w:val="32"/>
          <w:szCs w:val="32"/>
        </w:rPr>
        <w:t>。</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1" w:name="_Toc24901"/>
      <w:r>
        <w:rPr>
          <w:rFonts w:hint="eastAsia" w:ascii="楷体_GB2312" w:hAnsi="黑体" w:eastAsia="楷体_GB2312" w:cs="楷体_GB2312"/>
          <w:b/>
          <w:bCs/>
          <w:kern w:val="2"/>
          <w:sz w:val="32"/>
          <w:szCs w:val="32"/>
        </w:rPr>
        <w:t>（三）一般公共预算当年拨款具体使用情况</w:t>
      </w:r>
      <w:bookmarkEnd w:id="11"/>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int="eastAsia" w:hAnsi="黑体"/>
          <w:kern w:val="2"/>
          <w:sz w:val="32"/>
          <w:szCs w:val="32"/>
        </w:rPr>
        <w:t>1</w:t>
      </w:r>
      <w:r>
        <w:rPr>
          <w:rFonts w:hAnsi="黑体"/>
          <w:kern w:val="2"/>
          <w:sz w:val="32"/>
          <w:szCs w:val="32"/>
        </w:rPr>
        <w:t>.201</w:t>
      </w:r>
      <w:r>
        <w:rPr>
          <w:rFonts w:hint="eastAsia" w:hAnsi="黑体"/>
          <w:kern w:val="2"/>
          <w:sz w:val="32"/>
          <w:szCs w:val="32"/>
        </w:rPr>
        <w:t>（类）</w:t>
      </w:r>
      <w:r>
        <w:rPr>
          <w:rFonts w:hAnsi="黑体"/>
          <w:kern w:val="2"/>
          <w:sz w:val="32"/>
          <w:szCs w:val="32"/>
        </w:rPr>
        <w:t>03</w:t>
      </w:r>
      <w:r>
        <w:rPr>
          <w:rFonts w:hint="eastAsia" w:hAnsi="黑体"/>
          <w:kern w:val="2"/>
          <w:sz w:val="32"/>
          <w:szCs w:val="32"/>
        </w:rPr>
        <w:t>（款）</w:t>
      </w:r>
      <w:r>
        <w:rPr>
          <w:rFonts w:hAnsi="黑体"/>
          <w:kern w:val="2"/>
          <w:sz w:val="32"/>
          <w:szCs w:val="32"/>
        </w:rPr>
        <w:t>08</w:t>
      </w:r>
      <w:r>
        <w:rPr>
          <w:rFonts w:hint="eastAsia" w:hAnsi="黑体"/>
          <w:kern w:val="2"/>
          <w:sz w:val="32"/>
          <w:szCs w:val="32"/>
        </w:rPr>
        <w:t>（项）：</w:t>
      </w:r>
      <w:r>
        <w:rPr>
          <w:rFonts w:hint="eastAsia" w:hAnsi="黑体"/>
          <w:kern w:val="2"/>
          <w:sz w:val="32"/>
          <w:szCs w:val="32"/>
          <w:lang w:val="en-US" w:eastAsia="zh-CN"/>
        </w:rPr>
        <w:t>行政运行</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预算数为76.96万元，主要用于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年单位职工工资福利支出（基本工资、津补贴、绩效工资等）、日常公用经费支出（办公费、邮电费、劳务费等）、工会经费和公务用车运行维护费。</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2.201</w:t>
      </w:r>
      <w:r>
        <w:rPr>
          <w:rFonts w:hint="eastAsia" w:hAnsi="黑体"/>
          <w:kern w:val="2"/>
          <w:sz w:val="32"/>
          <w:szCs w:val="32"/>
        </w:rPr>
        <w:t>（类）</w:t>
      </w:r>
      <w:r>
        <w:rPr>
          <w:rFonts w:hAnsi="黑体"/>
          <w:kern w:val="2"/>
          <w:sz w:val="32"/>
          <w:szCs w:val="32"/>
        </w:rPr>
        <w:t>03</w:t>
      </w:r>
      <w:r>
        <w:rPr>
          <w:rFonts w:hint="eastAsia" w:hAnsi="黑体"/>
          <w:kern w:val="2"/>
          <w:sz w:val="32"/>
          <w:szCs w:val="32"/>
        </w:rPr>
        <w:t>（款）</w:t>
      </w:r>
      <w:r>
        <w:rPr>
          <w:rFonts w:hAnsi="黑体"/>
          <w:kern w:val="2"/>
          <w:sz w:val="32"/>
          <w:szCs w:val="32"/>
        </w:rPr>
        <w:t>50</w:t>
      </w:r>
      <w:r>
        <w:rPr>
          <w:rFonts w:hint="eastAsia" w:hAnsi="黑体"/>
          <w:kern w:val="2"/>
          <w:sz w:val="32"/>
          <w:szCs w:val="32"/>
        </w:rPr>
        <w:t>（项）：事业运行</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预算数为43.81万元，主要用于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年单位职工工资福利支出（基本工资、津补贴、绩效工资等）</w:t>
      </w:r>
      <w:r>
        <w:rPr>
          <w:rFonts w:hAnsi="黑体"/>
          <w:kern w:val="2"/>
          <w:sz w:val="32"/>
          <w:szCs w:val="32"/>
        </w:rPr>
        <w:br w:type="textWrapping"/>
      </w:r>
      <w:r>
        <w:rPr>
          <w:rFonts w:hint="eastAsia" w:hAnsi="黑体"/>
          <w:kern w:val="2"/>
          <w:sz w:val="32"/>
          <w:szCs w:val="32"/>
        </w:rPr>
        <w:t>　　</w:t>
      </w:r>
      <w:r>
        <w:rPr>
          <w:rFonts w:hAnsi="黑体"/>
          <w:kern w:val="2"/>
          <w:sz w:val="32"/>
          <w:szCs w:val="32"/>
        </w:rPr>
        <w:t>3.</w:t>
      </w:r>
      <w:r>
        <w:rPr>
          <w:rFonts w:hint="eastAsia" w:hAnsi="黑体"/>
          <w:kern w:val="2"/>
          <w:sz w:val="32"/>
          <w:szCs w:val="32"/>
        </w:rPr>
        <w:t>208（类）05（款）05（项）机关事业单位基本养老保险缴费支出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预算数为15.65万元，主要用于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年单位养老保险支出。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Ansi="黑体"/>
          <w:kern w:val="2"/>
          <w:sz w:val="32"/>
          <w:szCs w:val="32"/>
        </w:rPr>
      </w:pPr>
      <w:r>
        <w:rPr>
          <w:rFonts w:hAnsi="黑体"/>
          <w:kern w:val="2"/>
          <w:sz w:val="32"/>
          <w:szCs w:val="32"/>
        </w:rPr>
        <w:t>4.</w:t>
      </w:r>
      <w:r>
        <w:rPr>
          <w:rFonts w:hint="eastAsia" w:hAnsi="黑体"/>
          <w:kern w:val="2"/>
          <w:sz w:val="32"/>
          <w:szCs w:val="32"/>
        </w:rPr>
        <w:t>208（类）05（款）06（项）机关事业单位职业年金缴费支出</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预算数为7.83万元，主要用于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年单位职业年金支出。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5.</w:t>
      </w:r>
      <w:r>
        <w:rPr>
          <w:rFonts w:hint="eastAsia" w:hAnsi="黑体"/>
          <w:kern w:val="2"/>
          <w:sz w:val="32"/>
          <w:szCs w:val="32"/>
        </w:rPr>
        <w:t>210（类）11（款）01（项）行政单位医疗</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预算数为4.39万元，主要用于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年单位行政医疗支出。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6.</w:t>
      </w:r>
      <w:r>
        <w:rPr>
          <w:rFonts w:hint="eastAsia" w:hAnsi="黑体"/>
          <w:kern w:val="2"/>
          <w:sz w:val="32"/>
          <w:szCs w:val="32"/>
        </w:rPr>
        <w:t>210（类）11（款）02（项）事业单位医疗</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w:t>
      </w:r>
      <w:r>
        <w:rPr>
          <w:rFonts w:hint="eastAsia" w:hAnsi="黑体"/>
          <w:kern w:val="2"/>
          <w:sz w:val="32"/>
          <w:szCs w:val="32"/>
          <w:lang w:val="en-US" w:eastAsia="zh-CN"/>
        </w:rPr>
        <w:t>2.46</w:t>
      </w:r>
      <w:r>
        <w:rPr>
          <w:rFonts w:hint="eastAsia" w:hAnsi="黑体"/>
          <w:kern w:val="2"/>
          <w:sz w:val="32"/>
          <w:szCs w:val="32"/>
        </w:rPr>
        <w:t>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年单位事业医疗支出。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Ansi="黑体"/>
          <w:kern w:val="2"/>
          <w:sz w:val="32"/>
          <w:szCs w:val="32"/>
        </w:rPr>
        <w:t>7.</w:t>
      </w:r>
      <w:r>
        <w:rPr>
          <w:rFonts w:hint="eastAsia" w:hAnsi="黑体"/>
          <w:kern w:val="2"/>
          <w:sz w:val="32"/>
          <w:szCs w:val="32"/>
        </w:rPr>
        <w:t>210（类）11（款）03（项）公务员医疗补助</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预算数为0.91万元，主要用于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年单位公务员医疗补助支出。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8</w:t>
      </w:r>
      <w:r>
        <w:rPr>
          <w:rFonts w:hint="eastAsia" w:hAnsi="黑体"/>
          <w:kern w:val="2"/>
          <w:sz w:val="32"/>
          <w:szCs w:val="32"/>
        </w:rPr>
        <w:t>.210（类）11（款）03（项）其他行政事业单位医疗支出202</w:t>
      </w:r>
      <w:r>
        <w:rPr>
          <w:rFonts w:hint="eastAsia" w:hAnsi="黑体"/>
          <w:kern w:val="2"/>
          <w:sz w:val="32"/>
          <w:szCs w:val="32"/>
          <w:lang w:val="en-US" w:eastAsia="zh-CN"/>
        </w:rPr>
        <w:t>2</w:t>
      </w:r>
      <w:r>
        <w:rPr>
          <w:rFonts w:hint="eastAsia" w:hAnsi="黑体"/>
          <w:kern w:val="2"/>
          <w:sz w:val="32"/>
          <w:szCs w:val="32"/>
        </w:rPr>
        <w:t>年预算数为0.</w:t>
      </w:r>
      <w:r>
        <w:rPr>
          <w:rFonts w:hint="eastAsia" w:hAnsi="黑体"/>
          <w:kern w:val="2"/>
          <w:sz w:val="32"/>
          <w:szCs w:val="32"/>
          <w:lang w:val="en-US" w:eastAsia="zh-CN"/>
        </w:rPr>
        <w:t>73</w:t>
      </w:r>
      <w:r>
        <w:rPr>
          <w:rFonts w:hint="eastAsia" w:hAnsi="黑体"/>
          <w:kern w:val="2"/>
          <w:sz w:val="32"/>
          <w:szCs w:val="32"/>
        </w:rPr>
        <w:t>万元，主要用于 :202</w:t>
      </w:r>
      <w:r>
        <w:rPr>
          <w:rFonts w:hint="eastAsia" w:hAnsi="黑体"/>
          <w:kern w:val="2"/>
          <w:sz w:val="32"/>
          <w:szCs w:val="32"/>
          <w:lang w:val="en-US" w:eastAsia="zh-CN"/>
        </w:rPr>
        <w:t>2</w:t>
      </w:r>
      <w:r>
        <w:rPr>
          <w:rFonts w:hint="eastAsia" w:hAnsi="黑体"/>
          <w:kern w:val="2"/>
          <w:sz w:val="32"/>
          <w:szCs w:val="32"/>
        </w:rPr>
        <w:t>年单位其他行政事业单位医疗支出支出。</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lang w:val="en-US" w:eastAsia="zh-CN"/>
        </w:rPr>
        <w:t>9</w:t>
      </w:r>
      <w:r>
        <w:rPr>
          <w:rFonts w:hAnsi="黑体"/>
          <w:kern w:val="2"/>
          <w:sz w:val="32"/>
          <w:szCs w:val="32"/>
        </w:rPr>
        <w:t>.</w:t>
      </w:r>
      <w:r>
        <w:rPr>
          <w:rFonts w:hint="eastAsia" w:hAnsi="黑体"/>
          <w:kern w:val="2"/>
          <w:sz w:val="32"/>
          <w:szCs w:val="32"/>
        </w:rPr>
        <w:t>221（类）02（款）01（项）住房公积金</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预算数为15.29万元，主要用于</w:t>
      </w:r>
      <w:r>
        <w:rPr>
          <w:rFonts w:hAnsi="黑体"/>
          <w:kern w:val="2"/>
          <w:sz w:val="32"/>
          <w:szCs w:val="32"/>
        </w:rPr>
        <w:t xml:space="preserve"> :</w:t>
      </w:r>
      <w:r>
        <w:rPr>
          <w:rFonts w:hint="eastAsia" w:hAnsi="黑体"/>
          <w:kern w:val="2"/>
          <w:sz w:val="32"/>
          <w:szCs w:val="32"/>
        </w:rPr>
        <w:t>202</w:t>
      </w:r>
      <w:r>
        <w:rPr>
          <w:rFonts w:hint="eastAsia" w:hAnsi="黑体"/>
          <w:kern w:val="2"/>
          <w:sz w:val="32"/>
          <w:szCs w:val="32"/>
          <w:lang w:val="en-US" w:eastAsia="zh-CN"/>
        </w:rPr>
        <w:t>2</w:t>
      </w:r>
      <w:r>
        <w:rPr>
          <w:rFonts w:hint="eastAsia" w:hAnsi="黑体"/>
          <w:kern w:val="2"/>
          <w:sz w:val="32"/>
          <w:szCs w:val="32"/>
        </w:rPr>
        <w:t>年单位住房公积金支出。</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r>
        <w:rPr>
          <w:rFonts w:hint="eastAsia" w:ascii="黑体" w:hAnsi="黑体" w:eastAsia="黑体" w:cs="黑体"/>
          <w:kern w:val="2"/>
          <w:sz w:val="32"/>
          <w:szCs w:val="32"/>
        </w:rPr>
        <w:t xml:space="preserve"> </w:t>
      </w:r>
      <w:bookmarkStart w:id="12" w:name="_Toc30963"/>
      <w:r>
        <w:rPr>
          <w:rFonts w:hint="eastAsia" w:ascii="黑体" w:hAnsi="黑体" w:eastAsia="黑体" w:cs="黑体"/>
          <w:kern w:val="2"/>
          <w:sz w:val="32"/>
          <w:szCs w:val="32"/>
        </w:rPr>
        <w:t>一般公共预算基本支出情况说明</w:t>
      </w:r>
      <w:bookmarkEnd w:id="12"/>
    </w:p>
    <w:p>
      <w:pPr>
        <w:pStyle w:val="27"/>
        <w:spacing w:before="0" w:line="360" w:lineRule="auto"/>
        <w:ind w:firstLine="640" w:firstLineChars="200"/>
        <w:rPr>
          <w:rFonts w:hAnsi="黑体" w:cs="Times New Roman"/>
          <w:kern w:val="2"/>
          <w:sz w:val="32"/>
          <w:szCs w:val="32"/>
        </w:rPr>
      </w:pP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一般公共预算基本支出168.04万元，其中：人员经费147.08万元，主要包括：基本工资、津贴补贴、奖金、其他社会保障缴费、绩效工资、机关事业单位基本养老保险缴费、职业年金缴费、其他工资福利支出、离休费、奖励金、住房公积金、其他对个人和家庭的补助支出。公用经费20.96万元，主要包括：办公费、印刷费、手续费、水费、电费、邮电费、差旅费、维修（护）费、租赁费、会议费、培训费、劳务费、工会经费、福利费、其他交通工具运行维护费、其他商品和服务支出。</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3" w:name="_Toc12642"/>
      <w:r>
        <w:rPr>
          <w:rFonts w:hint="eastAsia" w:ascii="黑体" w:hAnsi="黑体" w:eastAsia="黑体" w:cs="黑体"/>
          <w:kern w:val="2"/>
          <w:sz w:val="32"/>
          <w:szCs w:val="32"/>
        </w:rPr>
        <w:t>“三公”经费财政拨款预算安排情况说明</w:t>
      </w:r>
      <w:bookmarkEnd w:id="13"/>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kern w:val="2"/>
          <w:sz w:val="32"/>
          <w:szCs w:val="32"/>
        </w:rPr>
      </w:pP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Ansi="黑体" w:cs="Times New Roman"/>
          <w:kern w:val="2"/>
          <w:sz w:val="32"/>
          <w:szCs w:val="32"/>
        </w:rPr>
        <w:t>“</w:t>
      </w:r>
      <w:r>
        <w:rPr>
          <w:rFonts w:hint="eastAsia" w:hAnsi="黑体"/>
          <w:kern w:val="2"/>
          <w:sz w:val="32"/>
          <w:szCs w:val="32"/>
        </w:rPr>
        <w:t>三公</w:t>
      </w:r>
      <w:r>
        <w:rPr>
          <w:rFonts w:hAnsi="黑体" w:cs="Times New Roman"/>
          <w:kern w:val="2"/>
          <w:sz w:val="32"/>
          <w:szCs w:val="32"/>
        </w:rPr>
        <w:t>”</w:t>
      </w:r>
      <w:r>
        <w:rPr>
          <w:rFonts w:hint="eastAsia" w:hAnsi="黑体"/>
          <w:kern w:val="2"/>
          <w:sz w:val="32"/>
          <w:szCs w:val="32"/>
        </w:rPr>
        <w:t>经费财政拨款预算数</w:t>
      </w:r>
      <w:r>
        <w:rPr>
          <w:rFonts w:hAnsi="黑体"/>
          <w:kern w:val="2"/>
          <w:sz w:val="32"/>
          <w:szCs w:val="32"/>
        </w:rPr>
        <w:t>4</w:t>
      </w:r>
      <w:r>
        <w:rPr>
          <w:rFonts w:hint="eastAsia" w:hAnsi="黑体"/>
          <w:kern w:val="2"/>
          <w:sz w:val="32"/>
          <w:szCs w:val="32"/>
        </w:rPr>
        <w:t>万元，其中：公务用车购置及运行维护费</w:t>
      </w:r>
      <w:r>
        <w:rPr>
          <w:rFonts w:hAnsi="黑体"/>
          <w:kern w:val="2"/>
          <w:sz w:val="32"/>
          <w:szCs w:val="32"/>
        </w:rPr>
        <w:t>4</w:t>
      </w:r>
      <w:r>
        <w:rPr>
          <w:rFonts w:hint="eastAsia" w:hAnsi="黑体"/>
          <w:kern w:val="2"/>
          <w:sz w:val="32"/>
          <w:szCs w:val="32"/>
        </w:rPr>
        <w:t>万元。</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4" w:name="_Toc9689"/>
      <w:r>
        <w:rPr>
          <w:rFonts w:hint="eastAsia" w:ascii="黑体" w:hAnsi="黑体" w:eastAsia="黑体" w:cs="黑体"/>
          <w:kern w:val="2"/>
          <w:sz w:val="32"/>
          <w:szCs w:val="32"/>
        </w:rPr>
        <w:t>政府性基金预算支出情况说明</w:t>
      </w:r>
      <w:bookmarkEnd w:id="14"/>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480" w:leftChars="0"/>
        <w:textAlignment w:val="auto"/>
        <w:outlineLvl w:val="9"/>
        <w:rPr>
          <w:rFonts w:hint="eastAsia" w:hAnsi="黑体"/>
          <w:kern w:val="2"/>
          <w:sz w:val="32"/>
          <w:szCs w:val="32"/>
        </w:rPr>
      </w:pPr>
      <w:r>
        <w:rPr>
          <w:rFonts w:hint="eastAsia" w:ascii="??" w:hAnsi="??" w:eastAsia="宋体" w:cs="宋体"/>
          <w:sz w:val="16"/>
          <w:szCs w:val="16"/>
        </w:rPr>
        <w:t>　</w:t>
      </w:r>
      <w:r>
        <w:rPr>
          <w:rFonts w:hint="eastAsia" w:hAnsi="黑体"/>
          <w:kern w:val="2"/>
          <w:sz w:val="32"/>
          <w:szCs w:val="32"/>
        </w:rPr>
        <w:t>壤塘县信访局</w:t>
      </w: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无政府性基金预算拨款。</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15" w:name="_Toc23192"/>
      <w:r>
        <w:rPr>
          <w:rFonts w:hint="eastAsia" w:ascii="黑体" w:hAnsi="黑体" w:eastAsia="黑体" w:cs="黑体"/>
          <w:kern w:val="2"/>
          <w:sz w:val="32"/>
          <w:szCs w:val="32"/>
        </w:rPr>
        <w:t>其他重要事项的情况说明</w:t>
      </w:r>
      <w:bookmarkEnd w:id="15"/>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9"/>
        <w:rPr>
          <w:rFonts w:hint="eastAsia" w:hAnsi="黑体"/>
          <w:color w:val="auto"/>
          <w:kern w:val="2"/>
          <w:sz w:val="32"/>
          <w:szCs w:val="32"/>
        </w:rPr>
      </w:pPr>
      <w:r>
        <w:rPr>
          <w:rFonts w:hint="eastAsia" w:hAnsi="黑体"/>
          <w:color w:val="auto"/>
          <w:kern w:val="2"/>
          <w:sz w:val="32"/>
          <w:szCs w:val="32"/>
        </w:rPr>
        <w:t>无</w:t>
      </w:r>
    </w:p>
    <w:p>
      <w:pPr>
        <w:pStyle w:val="27"/>
        <w:keepNext w:val="0"/>
        <w:keepLines w:val="0"/>
        <w:pageBreakBefore w:val="0"/>
        <w:widowControl w:val="0"/>
        <w:numPr>
          <w:ilvl w:val="0"/>
          <w:numId w:val="6"/>
        </w:numPr>
        <w:kinsoku/>
        <w:wordWrap/>
        <w:overflowPunct/>
        <w:topLinePunct w:val="0"/>
        <w:autoSpaceDE/>
        <w:autoSpaceDN/>
        <w:bidi w:val="0"/>
        <w:adjustRightInd/>
        <w:snapToGrid/>
        <w:spacing w:before="0" w:line="360" w:lineRule="auto"/>
        <w:ind w:firstLine="643" w:firstLineChars="200"/>
        <w:textAlignment w:val="auto"/>
        <w:outlineLvl w:val="1"/>
        <w:rPr>
          <w:rFonts w:hint="eastAsia" w:ascii="楷体_GB2312" w:hAnsi="黑体" w:eastAsia="楷体_GB2312" w:cs="楷体_GB2312"/>
          <w:b/>
          <w:bCs/>
          <w:kern w:val="2"/>
          <w:sz w:val="32"/>
          <w:szCs w:val="32"/>
        </w:rPr>
      </w:pPr>
      <w:bookmarkStart w:id="16" w:name="_Toc929"/>
      <w:r>
        <w:rPr>
          <w:rFonts w:hint="eastAsia" w:ascii="楷体_GB2312" w:hAnsi="黑体" w:eastAsia="楷体_GB2312" w:cs="楷体_GB2312"/>
          <w:b/>
          <w:bCs/>
          <w:kern w:val="2"/>
          <w:sz w:val="32"/>
          <w:szCs w:val="32"/>
        </w:rPr>
        <w:t>机关运行经费</w:t>
      </w:r>
      <w:bookmarkEnd w:id="16"/>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textAlignment w:val="auto"/>
        <w:outlineLvl w:val="9"/>
        <w:rPr>
          <w:rFonts w:hint="eastAsia" w:hAnsi="黑体"/>
          <w:color w:val="auto"/>
          <w:kern w:val="2"/>
          <w:sz w:val="32"/>
          <w:szCs w:val="32"/>
        </w:rPr>
      </w:pPr>
      <w:r>
        <w:rPr>
          <w:rFonts w:hint="eastAsia" w:hAnsi="黑体"/>
          <w:color w:val="auto"/>
          <w:kern w:val="2"/>
          <w:sz w:val="32"/>
          <w:szCs w:val="32"/>
          <w:lang w:val="en-US" w:eastAsia="zh-CN"/>
        </w:rPr>
        <w:t xml:space="preserve">   </w:t>
      </w:r>
      <w:r>
        <w:rPr>
          <w:rFonts w:hint="eastAsia" w:hAnsi="黑体"/>
          <w:color w:val="auto"/>
          <w:kern w:val="2"/>
          <w:sz w:val="32"/>
          <w:szCs w:val="32"/>
        </w:rPr>
        <w:t>壤塘县信访局</w:t>
      </w:r>
      <w:r>
        <w:rPr>
          <w:rFonts w:hAnsi="黑体"/>
          <w:color w:val="auto"/>
          <w:kern w:val="2"/>
          <w:sz w:val="32"/>
          <w:szCs w:val="32"/>
        </w:rPr>
        <w:t>202</w:t>
      </w:r>
      <w:r>
        <w:rPr>
          <w:rFonts w:hint="eastAsia" w:hAnsi="黑体"/>
          <w:color w:val="auto"/>
          <w:kern w:val="2"/>
          <w:sz w:val="32"/>
          <w:szCs w:val="32"/>
          <w:lang w:val="en-US" w:eastAsia="zh-CN"/>
        </w:rPr>
        <w:t>2</w:t>
      </w:r>
      <w:r>
        <w:rPr>
          <w:rFonts w:hAnsi="黑体"/>
          <w:color w:val="auto"/>
          <w:kern w:val="2"/>
          <w:sz w:val="32"/>
          <w:szCs w:val="32"/>
        </w:rPr>
        <w:t>年</w:t>
      </w:r>
      <w:r>
        <w:rPr>
          <w:rFonts w:hint="eastAsia" w:hAnsi="黑体"/>
          <w:color w:val="auto"/>
          <w:kern w:val="2"/>
          <w:sz w:val="32"/>
          <w:szCs w:val="32"/>
        </w:rPr>
        <w:t>机关运行经费财政拨款预算为20.96万元，比</w:t>
      </w:r>
      <w:r>
        <w:rPr>
          <w:rFonts w:hAnsi="黑体"/>
          <w:color w:val="auto"/>
          <w:kern w:val="2"/>
          <w:sz w:val="32"/>
          <w:szCs w:val="32"/>
        </w:rPr>
        <w:t>202</w:t>
      </w:r>
      <w:r>
        <w:rPr>
          <w:rFonts w:hint="eastAsia" w:hAnsi="黑体"/>
          <w:color w:val="auto"/>
          <w:kern w:val="2"/>
          <w:sz w:val="32"/>
          <w:szCs w:val="32"/>
          <w:lang w:val="en-US" w:eastAsia="zh-CN"/>
        </w:rPr>
        <w:t>1</w:t>
      </w:r>
      <w:r>
        <w:rPr>
          <w:rFonts w:hAnsi="黑体"/>
          <w:color w:val="auto"/>
          <w:kern w:val="2"/>
          <w:sz w:val="32"/>
          <w:szCs w:val="32"/>
        </w:rPr>
        <w:t>年</w:t>
      </w:r>
      <w:r>
        <w:rPr>
          <w:rFonts w:hint="eastAsia" w:hAnsi="黑体"/>
          <w:color w:val="auto"/>
          <w:kern w:val="2"/>
          <w:sz w:val="32"/>
          <w:szCs w:val="32"/>
          <w:lang w:val="en-US" w:eastAsia="zh-CN"/>
        </w:rPr>
        <w:t>增加2.96万元，增加</w:t>
      </w:r>
      <w:r>
        <w:rPr>
          <w:rFonts w:hint="eastAsia" w:hAnsi="黑体"/>
          <w:color w:val="auto"/>
          <w:kern w:val="2"/>
          <w:sz w:val="32"/>
          <w:szCs w:val="32"/>
        </w:rPr>
        <w:t>16.44%。</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outlineLvl w:val="1"/>
        <w:rPr>
          <w:rFonts w:hAnsi="黑体" w:cs="Times New Roman"/>
          <w:kern w:val="2"/>
          <w:sz w:val="32"/>
          <w:szCs w:val="32"/>
        </w:rPr>
      </w:pPr>
      <w:bookmarkStart w:id="17" w:name="_Toc31143"/>
      <w:r>
        <w:rPr>
          <w:rFonts w:hint="eastAsia" w:ascii="楷体_GB2312" w:hAnsi="黑体" w:eastAsia="楷体_GB2312" w:cs="楷体_GB2312"/>
          <w:b/>
          <w:bCs/>
          <w:kern w:val="2"/>
          <w:sz w:val="32"/>
          <w:szCs w:val="32"/>
        </w:rPr>
        <w:t>（二）政府采购情况</w:t>
      </w:r>
      <w:bookmarkEnd w:id="17"/>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hAnsi="黑体"/>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壤塘县信访局未安排政府采购预算。</w:t>
      </w:r>
    </w:p>
    <w:p>
      <w:pPr>
        <w:pStyle w:val="27"/>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outlineLvl w:val="1"/>
        <w:rPr>
          <w:rFonts w:hint="eastAsia" w:hAnsi="黑体"/>
          <w:kern w:val="2"/>
          <w:sz w:val="32"/>
          <w:szCs w:val="32"/>
        </w:rPr>
      </w:pPr>
      <w:bookmarkStart w:id="18" w:name="_Toc12129"/>
      <w:r>
        <w:rPr>
          <w:rFonts w:hint="eastAsia" w:hAnsi="黑体"/>
          <w:kern w:val="2"/>
          <w:sz w:val="32"/>
          <w:szCs w:val="32"/>
          <w:lang w:eastAsia="zh-CN"/>
        </w:rPr>
        <w:t>（</w:t>
      </w:r>
      <w:r>
        <w:rPr>
          <w:rFonts w:hint="eastAsia" w:hAnsi="黑体"/>
          <w:kern w:val="2"/>
          <w:sz w:val="32"/>
          <w:szCs w:val="32"/>
          <w:lang w:val="en-US" w:eastAsia="zh-CN"/>
        </w:rPr>
        <w:t>三</w:t>
      </w:r>
      <w:r>
        <w:rPr>
          <w:rFonts w:hint="eastAsia" w:hAnsi="黑体"/>
          <w:kern w:val="2"/>
          <w:sz w:val="32"/>
          <w:szCs w:val="32"/>
          <w:lang w:eastAsia="zh-CN"/>
        </w:rPr>
        <w:t>）</w:t>
      </w:r>
      <w:r>
        <w:rPr>
          <w:rFonts w:hint="eastAsia" w:hAnsi="黑体"/>
          <w:kern w:val="2"/>
          <w:sz w:val="32"/>
          <w:szCs w:val="32"/>
        </w:rPr>
        <w:t>国有资产占有使用情况</w:t>
      </w:r>
      <w:bookmarkEnd w:id="18"/>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3" w:firstLineChars="200"/>
        <w:textAlignment w:val="auto"/>
        <w:rPr>
          <w:rFonts w:hint="eastAsia"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无</w:t>
      </w:r>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0" w:firstLine="643" w:firstLineChars="200"/>
        <w:textAlignment w:val="auto"/>
        <w:outlineLvl w:val="1"/>
        <w:rPr>
          <w:rFonts w:hint="eastAsia" w:ascii="楷体_GB2312" w:hAnsi="黑体" w:eastAsia="楷体_GB2312" w:cs="楷体_GB2312"/>
          <w:b/>
          <w:bCs/>
          <w:kern w:val="2"/>
          <w:sz w:val="32"/>
          <w:szCs w:val="32"/>
        </w:rPr>
      </w:pPr>
      <w:bookmarkStart w:id="19" w:name="_Toc17726"/>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lang w:val="en-US" w:eastAsia="zh-CN"/>
        </w:rPr>
        <w:t>四</w:t>
      </w:r>
      <w:r>
        <w:rPr>
          <w:rFonts w:hint="eastAsia" w:ascii="楷体_GB2312" w:hAnsi="黑体" w:eastAsia="楷体_GB2312" w:cs="楷体_GB2312"/>
          <w:b/>
          <w:bCs/>
          <w:kern w:val="2"/>
          <w:sz w:val="32"/>
          <w:szCs w:val="32"/>
          <w:lang w:eastAsia="zh-CN"/>
        </w:rPr>
        <w:t>）</w:t>
      </w:r>
      <w:r>
        <w:rPr>
          <w:rFonts w:hint="eastAsia" w:ascii="楷体_GB2312" w:hAnsi="黑体" w:eastAsia="楷体_GB2312" w:cs="楷体_GB2312"/>
          <w:b/>
          <w:bCs/>
          <w:kern w:val="2"/>
          <w:sz w:val="32"/>
          <w:szCs w:val="32"/>
        </w:rPr>
        <w:t>绩效目标设置情况</w:t>
      </w:r>
      <w:bookmarkEnd w:id="19"/>
    </w:p>
    <w:p>
      <w:pPr>
        <w:pStyle w:val="27"/>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0" w:firstLineChars="200"/>
        <w:textAlignment w:val="auto"/>
        <w:rPr>
          <w:rFonts w:ascii="楷体_GB2312" w:hAnsi="黑体" w:eastAsia="楷体_GB2312" w:cs="楷体_GB2312"/>
          <w:b/>
          <w:bCs/>
          <w:kern w:val="2"/>
          <w:sz w:val="32"/>
          <w:szCs w:val="32"/>
        </w:rPr>
      </w:pPr>
      <w:r>
        <w:rPr>
          <w:rFonts w:hAnsi="黑体"/>
          <w:kern w:val="2"/>
          <w:sz w:val="32"/>
          <w:szCs w:val="32"/>
        </w:rPr>
        <w:t>202</w:t>
      </w:r>
      <w:r>
        <w:rPr>
          <w:rFonts w:hint="eastAsia" w:hAnsi="黑体"/>
          <w:kern w:val="2"/>
          <w:sz w:val="32"/>
          <w:szCs w:val="32"/>
          <w:lang w:val="en-US" w:eastAsia="zh-CN"/>
        </w:rPr>
        <w:t>2</w:t>
      </w:r>
      <w:r>
        <w:rPr>
          <w:rFonts w:hAnsi="黑体"/>
          <w:kern w:val="2"/>
          <w:sz w:val="32"/>
          <w:szCs w:val="32"/>
        </w:rPr>
        <w:t>年</w:t>
      </w:r>
      <w:r>
        <w:rPr>
          <w:rFonts w:hint="eastAsia" w:hAnsi="黑体"/>
          <w:kern w:val="2"/>
          <w:sz w:val="32"/>
          <w:szCs w:val="32"/>
        </w:rPr>
        <w:t>壤塘县信访局通用项目和专用项目均按要求实行绩效目标管理。</w:t>
      </w:r>
    </w:p>
    <w:p>
      <w:pPr>
        <w:pStyle w:val="27"/>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0" w:firstLineChars="200"/>
        <w:textAlignment w:val="auto"/>
        <w:outlineLvl w:val="0"/>
        <w:rPr>
          <w:rFonts w:hint="eastAsia" w:ascii="黑体" w:hAnsi="黑体" w:eastAsia="黑体" w:cs="黑体"/>
          <w:kern w:val="2"/>
          <w:sz w:val="32"/>
          <w:szCs w:val="32"/>
        </w:rPr>
      </w:pPr>
      <w:bookmarkStart w:id="20" w:name="_Toc9019"/>
      <w:r>
        <w:rPr>
          <w:rFonts w:hint="eastAsia" w:ascii="黑体" w:hAnsi="黑体" w:eastAsia="黑体" w:cs="黑体"/>
          <w:kern w:val="2"/>
          <w:sz w:val="32"/>
          <w:szCs w:val="32"/>
        </w:rPr>
        <w:t>名词解释</w:t>
      </w:r>
      <w:bookmarkEnd w:id="20"/>
    </w:p>
    <w:p>
      <w:pPr>
        <w:pStyle w:val="27"/>
        <w:spacing w:before="0" w:line="360" w:lineRule="auto"/>
        <w:ind w:firstLine="640" w:firstLineChars="200"/>
        <w:rPr>
          <w:rFonts w:hAnsi="黑体" w:cs="Times New Roman"/>
          <w:kern w:val="2"/>
          <w:sz w:val="32"/>
          <w:szCs w:val="32"/>
        </w:rPr>
      </w:pPr>
      <w:r>
        <w:rPr>
          <w:rFonts w:hint="eastAsia" w:hAnsi="黑体"/>
          <w:kern w:val="2"/>
          <w:sz w:val="32"/>
          <w:szCs w:val="32"/>
        </w:rPr>
        <w:t>（一）财政拨款收入：指由财政拨款形成的部门收入。按现行管理制度，部门预算中反映的财政拨款仅包括一般公共预算拨款和政府性基金预算拨款。</w:t>
      </w:r>
      <w:r>
        <w:rPr>
          <w:rFonts w:hAnsi="黑体" w:cs="Times New Roman"/>
          <w:kern w:val="2"/>
          <w:sz w:val="32"/>
          <w:szCs w:val="32"/>
        </w:rPr>
        <w:br w:type="textWrapping"/>
      </w:r>
      <w:r>
        <w:rPr>
          <w:rFonts w:hint="eastAsia" w:hAnsi="黑体"/>
          <w:kern w:val="2"/>
          <w:sz w:val="32"/>
          <w:szCs w:val="32"/>
        </w:rPr>
        <w:t>　　（二）事业收入：指所属事业单位开展专业业务活动及辅助活动所取得的收入。</w:t>
      </w:r>
      <w:r>
        <w:rPr>
          <w:rFonts w:hAnsi="黑体" w:cs="Times New Roman"/>
          <w:kern w:val="2"/>
          <w:sz w:val="32"/>
          <w:szCs w:val="32"/>
        </w:rPr>
        <w:br w:type="textWrapping"/>
      </w:r>
      <w:r>
        <w:rPr>
          <w:rFonts w:hint="eastAsia" w:hAnsi="黑体"/>
          <w:kern w:val="2"/>
          <w:sz w:val="32"/>
          <w:szCs w:val="32"/>
        </w:rPr>
        <w:t>　　（三）事业单位经营收入：指所属事业单位在专业业务活动及其辅助活动之外开展非独立核算经营活动取得的收入。</w:t>
      </w:r>
      <w:r>
        <w:rPr>
          <w:rFonts w:hAnsi="黑体" w:cs="Times New Roman"/>
          <w:kern w:val="2"/>
          <w:sz w:val="32"/>
          <w:szCs w:val="32"/>
        </w:rPr>
        <w:br w:type="textWrapping"/>
      </w:r>
      <w:r>
        <w:rPr>
          <w:rFonts w:hint="eastAsia" w:hAnsi="黑体"/>
          <w:kern w:val="2"/>
          <w:sz w:val="32"/>
          <w:szCs w:val="32"/>
        </w:rPr>
        <w:t>　　（四）其他收入：指除上述</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等以外的收入，主要是所属行政事业单位按规定动用的售房收入、存款利息收入等。</w:t>
      </w:r>
      <w:r>
        <w:rPr>
          <w:rFonts w:hAnsi="黑体" w:cs="Times New Roman"/>
          <w:kern w:val="2"/>
          <w:sz w:val="32"/>
          <w:szCs w:val="32"/>
        </w:rPr>
        <w:br w:type="textWrapping"/>
      </w:r>
      <w:r>
        <w:rPr>
          <w:rFonts w:hint="eastAsia" w:hAnsi="黑体"/>
          <w:kern w:val="2"/>
          <w:sz w:val="32"/>
          <w:szCs w:val="32"/>
        </w:rPr>
        <w:t>　　（五）用事业基金弥补收支差额：指所属事业单位在预计用当年的</w:t>
      </w:r>
      <w:r>
        <w:rPr>
          <w:rFonts w:hAnsi="黑体" w:cs="Times New Roman"/>
          <w:kern w:val="2"/>
          <w:sz w:val="32"/>
          <w:szCs w:val="32"/>
        </w:rPr>
        <w:t>“</w:t>
      </w:r>
      <w:r>
        <w:rPr>
          <w:rFonts w:hint="eastAsia" w:hAnsi="黑体"/>
          <w:kern w:val="2"/>
          <w:sz w:val="32"/>
          <w:szCs w:val="32"/>
        </w:rPr>
        <w:t>财政拨款收入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事业单位经营收入</w:t>
      </w:r>
      <w:r>
        <w:rPr>
          <w:rFonts w:hAnsi="黑体" w:cs="Times New Roman"/>
          <w:kern w:val="2"/>
          <w:sz w:val="32"/>
          <w:szCs w:val="32"/>
        </w:rPr>
        <w:t>”</w:t>
      </w:r>
      <w:r>
        <w:rPr>
          <w:rFonts w:hint="eastAsia" w:hAnsi="黑体"/>
          <w:kern w:val="2"/>
          <w:sz w:val="32"/>
          <w:szCs w:val="32"/>
        </w:rPr>
        <w:t>、</w:t>
      </w:r>
      <w:r>
        <w:rPr>
          <w:rFonts w:hAnsi="黑体" w:cs="Times New Roman"/>
          <w:kern w:val="2"/>
          <w:sz w:val="32"/>
          <w:szCs w:val="32"/>
        </w:rPr>
        <w:t>“</w:t>
      </w:r>
      <w:r>
        <w:rPr>
          <w:rFonts w:hint="eastAsia" w:hAnsi="黑体"/>
          <w:kern w:val="2"/>
          <w:sz w:val="32"/>
          <w:szCs w:val="32"/>
        </w:rPr>
        <w:t>其他收入</w:t>
      </w:r>
      <w:r>
        <w:rPr>
          <w:rFonts w:hAnsi="黑体" w:cs="Times New Roman"/>
          <w:kern w:val="2"/>
          <w:sz w:val="32"/>
          <w:szCs w:val="32"/>
        </w:rPr>
        <w:t>”</w:t>
      </w:r>
      <w:r>
        <w:rPr>
          <w:rFonts w:hint="eastAsia" w:hAnsi="黑体"/>
          <w:kern w:val="2"/>
          <w:sz w:val="32"/>
          <w:szCs w:val="32"/>
        </w:rPr>
        <w:t>不足以安排当年支出的情况下，使用以前年度积累的事业基金弥补本年度收支缺口的资金。</w:t>
      </w:r>
      <w:r>
        <w:rPr>
          <w:rFonts w:hAnsi="黑体" w:cs="Times New Roman"/>
          <w:kern w:val="2"/>
          <w:sz w:val="32"/>
          <w:szCs w:val="32"/>
        </w:rPr>
        <w:br w:type="textWrapping"/>
      </w:r>
      <w:r>
        <w:rPr>
          <w:rFonts w:hint="eastAsia" w:hAnsi="黑体"/>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hAnsi="黑体" w:eastAsia="仿宋_GB2312" w:cs="Times New Roman"/>
          <w:sz w:val="32"/>
          <w:szCs w:val="32"/>
        </w:rPr>
      </w:pPr>
    </w:p>
    <w:sectPr>
      <w:pgSz w:w="11850" w:h="16783"/>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B6441"/>
    <w:multiLevelType w:val="singleLevel"/>
    <w:tmpl w:val="C37B6441"/>
    <w:lvl w:ilvl="0" w:tentative="0">
      <w:start w:val="1"/>
      <w:numFmt w:val="chineseCounting"/>
      <w:suff w:val="nothing"/>
      <w:lvlText w:val="（%1）"/>
      <w:lvlJc w:val="left"/>
      <w:rPr>
        <w:rFonts w:hint="eastAsia"/>
      </w:rPr>
    </w:lvl>
  </w:abstractNum>
  <w:abstractNum w:abstractNumId="1">
    <w:nsid w:val="CA438BAF"/>
    <w:multiLevelType w:val="singleLevel"/>
    <w:tmpl w:val="CA438BAF"/>
    <w:lvl w:ilvl="0" w:tentative="0">
      <w:start w:val="1"/>
      <w:numFmt w:val="chineseCounting"/>
      <w:suff w:val="nothing"/>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lvl>
    <w:lvl w:ilvl="3" w:tentative="0">
      <w:start w:val="0"/>
      <w:numFmt w:val="decimal"/>
      <w:lvlText w:val=""/>
      <w:lvlJc w:val="left"/>
      <w:pPr>
        <w:tabs>
          <w:tab w:val="left" w:pos="360"/>
        </w:tabs>
      </w:pPr>
    </w:lvl>
    <w:lvl w:ilvl="4" w:tentative="0">
      <w:start w:val="0"/>
      <w:numFmt w:val="decimal"/>
      <w:pStyle w:val="23"/>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6ECCAD31"/>
    <w:multiLevelType w:val="singleLevel"/>
    <w:tmpl w:val="6ECCAD31"/>
    <w:lvl w:ilvl="0" w:tentative="0">
      <w:start w:val="4"/>
      <w:numFmt w:val="chineseCounting"/>
      <w:suff w:val="nothing"/>
      <w:lvlText w:val="%1、"/>
      <w:lvlJc w:val="left"/>
      <w:rPr>
        <w:rFonts w:hint="eastAsia"/>
      </w:rPr>
    </w:lvl>
  </w:abstractNum>
  <w:abstractNum w:abstractNumId="4">
    <w:nsid w:val="7810B98A"/>
    <w:multiLevelType w:val="singleLevel"/>
    <w:tmpl w:val="7810B98A"/>
    <w:lvl w:ilvl="0" w:tentative="0">
      <w:start w:val="1"/>
      <w:numFmt w:val="chineseCounting"/>
      <w:suff w:val="nothing"/>
      <w:lvlText w:val="%1、"/>
      <w:lvlJc w:val="left"/>
      <w:rPr>
        <w:rFonts w:hint="eastAsia"/>
      </w:rPr>
    </w:lvl>
  </w:abstractNum>
  <w:abstractNum w:abstractNumId="5">
    <w:nsid w:val="78DD5C70"/>
    <w:multiLevelType w:val="singleLevel"/>
    <w:tmpl w:val="78DD5C70"/>
    <w:lvl w:ilvl="0" w:tentative="0">
      <w:start w:val="1"/>
      <w:numFmt w:val="chineseCounting"/>
      <w:suff w:val="nothing"/>
      <w:lvlText w:val="（%1）"/>
      <w:lvlJc w:val="left"/>
      <w:rPr>
        <w:rFonts w:hint="eastAsia"/>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02FEA"/>
    <w:rsid w:val="00082EF4"/>
    <w:rsid w:val="00085137"/>
    <w:rsid w:val="00097A74"/>
    <w:rsid w:val="000A083C"/>
    <w:rsid w:val="00105B15"/>
    <w:rsid w:val="001A196D"/>
    <w:rsid w:val="002026C1"/>
    <w:rsid w:val="00212DBB"/>
    <w:rsid w:val="00260082"/>
    <w:rsid w:val="00264016"/>
    <w:rsid w:val="002946BD"/>
    <w:rsid w:val="002F6713"/>
    <w:rsid w:val="00316466"/>
    <w:rsid w:val="00334FF2"/>
    <w:rsid w:val="00352854"/>
    <w:rsid w:val="003762A5"/>
    <w:rsid w:val="004103CC"/>
    <w:rsid w:val="00420C45"/>
    <w:rsid w:val="0043059D"/>
    <w:rsid w:val="00471829"/>
    <w:rsid w:val="0047755A"/>
    <w:rsid w:val="00484AEB"/>
    <w:rsid w:val="004A7CFC"/>
    <w:rsid w:val="00527A2C"/>
    <w:rsid w:val="0059475F"/>
    <w:rsid w:val="00681CB7"/>
    <w:rsid w:val="006F18F1"/>
    <w:rsid w:val="007221E6"/>
    <w:rsid w:val="007B3677"/>
    <w:rsid w:val="007C7CD1"/>
    <w:rsid w:val="00844940"/>
    <w:rsid w:val="00882412"/>
    <w:rsid w:val="008C1FFD"/>
    <w:rsid w:val="008D3923"/>
    <w:rsid w:val="008F63EB"/>
    <w:rsid w:val="009272A9"/>
    <w:rsid w:val="009544A0"/>
    <w:rsid w:val="00986E64"/>
    <w:rsid w:val="00987B5A"/>
    <w:rsid w:val="009C5F76"/>
    <w:rsid w:val="00A55379"/>
    <w:rsid w:val="00B35F0F"/>
    <w:rsid w:val="00B713B0"/>
    <w:rsid w:val="00BB34A8"/>
    <w:rsid w:val="00BD787B"/>
    <w:rsid w:val="00C0348B"/>
    <w:rsid w:val="00C451EA"/>
    <w:rsid w:val="00C8183B"/>
    <w:rsid w:val="00D20EAB"/>
    <w:rsid w:val="00EF71D0"/>
    <w:rsid w:val="00F743F0"/>
    <w:rsid w:val="00F806C0"/>
    <w:rsid w:val="00F80C32"/>
    <w:rsid w:val="00FF11B9"/>
    <w:rsid w:val="145F6AAB"/>
    <w:rsid w:val="16CA62A6"/>
    <w:rsid w:val="178A7574"/>
    <w:rsid w:val="19486EBE"/>
    <w:rsid w:val="1A9A51D6"/>
    <w:rsid w:val="1C784EAC"/>
    <w:rsid w:val="23C15FD1"/>
    <w:rsid w:val="28CB15EA"/>
    <w:rsid w:val="2A723802"/>
    <w:rsid w:val="2A7A3526"/>
    <w:rsid w:val="2BDD1C23"/>
    <w:rsid w:val="30EC7ED5"/>
    <w:rsid w:val="3CE8319C"/>
    <w:rsid w:val="4D6A0AAB"/>
    <w:rsid w:val="670B7E05"/>
    <w:rsid w:val="69A1603A"/>
    <w:rsid w:val="6DAD3181"/>
    <w:rsid w:val="6EBC5D90"/>
    <w:rsid w:val="7880612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semiHidden="0" w:name="annotation text"/>
    <w:lsdException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3">
    <w:name w:val="Default Paragraph Font"/>
    <w:semiHidden/>
    <w:qFormat/>
    <w:uiPriority w:val="99"/>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1"/>
    <w:rPr>
      <w:rFonts w:ascii="仿宋_GB2312" w:hAnsi="仿宋_GB2312" w:eastAsia="仿宋_GB2312" w:cs="仿宋_GB2312"/>
      <w:sz w:val="32"/>
      <w:szCs w:val="32"/>
      <w:lang w:val="zh-CN" w:bidi="zh-CN"/>
    </w:rPr>
  </w:style>
  <w:style w:type="paragraph" w:styleId="3">
    <w:name w:val="index 8"/>
    <w:basedOn w:val="1"/>
    <w:next w:val="1"/>
    <w:unhideWhenUsed/>
    <w:qFormat/>
    <w:uiPriority w:val="99"/>
    <w:pPr>
      <w:ind w:left="2940"/>
    </w:pPr>
  </w:style>
  <w:style w:type="paragraph" w:styleId="4">
    <w:name w:val="annotation text"/>
    <w:basedOn w:val="1"/>
    <w:link w:val="18"/>
    <w:unhideWhenUsed/>
    <w:uiPriority w:val="99"/>
    <w:pPr>
      <w:jc w:val="left"/>
    </w:pPr>
  </w:style>
  <w:style w:type="paragraph" w:styleId="5">
    <w:name w:val="footer"/>
    <w:basedOn w:val="1"/>
    <w:link w:val="19"/>
    <w:semiHidden/>
    <w:uiPriority w:val="99"/>
    <w:pPr>
      <w:tabs>
        <w:tab w:val="center" w:pos="4153"/>
        <w:tab w:val="right" w:pos="8306"/>
      </w:tabs>
      <w:snapToGrid w:val="0"/>
      <w:jc w:val="left"/>
    </w:pPr>
    <w:rPr>
      <w:sz w:val="18"/>
      <w:szCs w:val="18"/>
    </w:rPr>
  </w:style>
  <w:style w:type="paragraph" w:styleId="6">
    <w:name w:val="header"/>
    <w:basedOn w:val="1"/>
    <w:link w:val="17"/>
    <w:semiHidden/>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ocked/>
    <w:uiPriority w:val="0"/>
  </w:style>
  <w:style w:type="paragraph" w:styleId="8">
    <w:name w:val="toc 2"/>
    <w:basedOn w:val="1"/>
    <w:next w:val="1"/>
    <w:locked/>
    <w:uiPriority w:val="0"/>
    <w:pPr>
      <w:ind w:left="420" w:leftChars="200"/>
    </w:pPr>
  </w:style>
  <w:style w:type="paragraph" w:styleId="9">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paragraph" w:styleId="10">
    <w:name w:val="annotation subject"/>
    <w:basedOn w:val="4"/>
    <w:next w:val="4"/>
    <w:link w:val="20"/>
    <w:unhideWhenUsed/>
    <w:uiPriority w:val="99"/>
    <w:rPr>
      <w:b/>
      <w:bCs/>
    </w:rPr>
  </w:style>
  <w:style w:type="table" w:styleId="12">
    <w:name w:val="Table Grid"/>
    <w:basedOn w:val="11"/>
    <w:unhideWhenUsed/>
    <w:qFormat/>
    <w:locked/>
    <w:uiPriority w:val="9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Emphasis"/>
    <w:basedOn w:val="13"/>
    <w:qFormat/>
    <w:uiPriority w:val="99"/>
  </w:style>
  <w:style w:type="character" w:styleId="15">
    <w:name w:val="annotation reference"/>
    <w:unhideWhenUsed/>
    <w:uiPriority w:val="99"/>
    <w:rPr>
      <w:sz w:val="21"/>
      <w:szCs w:val="21"/>
    </w:rPr>
  </w:style>
  <w:style w:type="character" w:customStyle="1" w:styleId="16">
    <w:name w:val="默认段落字体1"/>
    <w:uiPriority w:val="99"/>
    <w:rPr>
      <w:sz w:val="22"/>
      <w:szCs w:val="22"/>
    </w:rPr>
  </w:style>
  <w:style w:type="character" w:customStyle="1" w:styleId="17">
    <w:name w:val="页眉 Char"/>
    <w:link w:val="6"/>
    <w:semiHidden/>
    <w:locked/>
    <w:uiPriority w:val="99"/>
    <w:rPr>
      <w:sz w:val="18"/>
      <w:szCs w:val="18"/>
    </w:rPr>
  </w:style>
  <w:style w:type="character" w:customStyle="1" w:styleId="18">
    <w:name w:val="批注文字 字符"/>
    <w:link w:val="4"/>
    <w:semiHidden/>
    <w:uiPriority w:val="99"/>
    <w:rPr>
      <w:rFonts w:cs="Calibri"/>
      <w:kern w:val="2"/>
      <w:sz w:val="21"/>
      <w:szCs w:val="21"/>
    </w:rPr>
  </w:style>
  <w:style w:type="character" w:customStyle="1" w:styleId="19">
    <w:name w:val="页脚 Char"/>
    <w:link w:val="5"/>
    <w:semiHidden/>
    <w:locked/>
    <w:uiPriority w:val="99"/>
    <w:rPr>
      <w:sz w:val="18"/>
      <w:szCs w:val="18"/>
    </w:rPr>
  </w:style>
  <w:style w:type="character" w:customStyle="1" w:styleId="20">
    <w:name w:val="批注主题 字符"/>
    <w:link w:val="10"/>
    <w:semiHidden/>
    <w:uiPriority w:val="99"/>
    <w:rPr>
      <w:rFonts w:cs="Calibri"/>
      <w:b/>
      <w:bCs/>
      <w:kern w:val="2"/>
      <w:sz w:val="21"/>
      <w:szCs w:val="21"/>
    </w:rPr>
  </w:style>
  <w:style w:type="character" w:customStyle="1" w:styleId="21">
    <w:name w:val="NormalCharacter"/>
    <w:semiHidden/>
    <w:qFormat/>
    <w:uiPriority w:val="0"/>
  </w:style>
  <w:style w:type="paragraph" w:customStyle="1" w:styleId="22">
    <w:name w:val="List Paragraph"/>
    <w:basedOn w:val="1"/>
    <w:qFormat/>
    <w:uiPriority w:val="99"/>
    <w:pPr>
      <w:ind w:firstLine="420" w:firstLineChars="200"/>
    </w:pPr>
  </w:style>
  <w:style w:type="paragraph" w:customStyle="1" w:styleId="23">
    <w:name w:val="UserStyle_1"/>
    <w:basedOn w:val="1"/>
    <w:next w:val="24"/>
    <w:qFormat/>
    <w:uiPriority w:val="0"/>
    <w:pPr>
      <w:keepNext/>
      <w:keepLines/>
      <w:widowControl w:val="0"/>
      <w:numPr>
        <w:ilvl w:val="4"/>
        <w:numId w:val="1"/>
      </w:numPr>
      <w:tabs>
        <w:tab w:val="left" w:pos="3600"/>
      </w:tabs>
      <w:spacing w:before="280" w:after="156" w:line="377" w:lineRule="auto"/>
      <w:ind w:left="3600" w:hanging="360"/>
      <w:textAlignment w:val="auto"/>
    </w:pPr>
    <w:rPr>
      <w:rFonts w:ascii="Arial" w:hAnsi="Arial" w:eastAsia="黑体" w:cs="Times New Roman"/>
      <w:b/>
      <w:sz w:val="24"/>
      <w:szCs w:val="28"/>
    </w:rPr>
  </w:style>
  <w:style w:type="paragraph" w:customStyle="1" w:styleId="24">
    <w:name w:val="UserStyle_0"/>
    <w:qFormat/>
    <w:uiPriority w:val="0"/>
    <w:pPr>
      <w:spacing w:line="300" w:lineRule="auto"/>
      <w:textAlignment w:val="baseline"/>
    </w:pPr>
    <w:rPr>
      <w:rFonts w:ascii="Arial" w:hAnsi="Arial" w:eastAsia="宋体" w:cs="Times New Roman"/>
      <w:sz w:val="21"/>
      <w:szCs w:val="21"/>
      <w:lang w:val="en-US" w:eastAsia="zh-CN" w:bidi="ar-SA"/>
    </w:rPr>
  </w:style>
  <w:style w:type="paragraph" w:customStyle="1" w:styleId="25">
    <w:name w:val="WPSOffice手动目录 2"/>
    <w:qFormat/>
    <w:uiPriority w:val="0"/>
    <w:pPr>
      <w:ind w:leftChars="200"/>
    </w:pPr>
    <w:rPr>
      <w:rFonts w:ascii="Calibri" w:hAnsi="Calibri" w:eastAsia="宋体" w:cs="Times New Roman"/>
      <w:sz w:val="20"/>
      <w:szCs w:val="20"/>
    </w:rPr>
  </w:style>
  <w:style w:type="paragraph" w:customStyle="1" w:styleId="26">
    <w:name w:val="WPSOffice手动目录 1"/>
    <w:qFormat/>
    <w:uiPriority w:val="0"/>
    <w:pPr>
      <w:ind w:leftChars="0"/>
    </w:pPr>
    <w:rPr>
      <w:rFonts w:ascii="Calibri" w:hAnsi="Calibri" w:eastAsia="宋体" w:cs="Times New Roman"/>
      <w:sz w:val="20"/>
      <w:szCs w:val="20"/>
    </w:rPr>
  </w:style>
  <w:style w:type="paragraph" w:customStyle="1" w:styleId="27">
    <w:name w:val="正文文本1"/>
    <w:basedOn w:val="1"/>
    <w:qFormat/>
    <w:uiPriority w:val="99"/>
    <w:pPr>
      <w:spacing w:before="93"/>
    </w:pPr>
    <w:rPr>
      <w:rFonts w:ascii="仿宋_GB2312" w:hAnsi="仿宋_GB2312" w:eastAsia="仿宋_GB2312" w:cs="仿宋_GB2312"/>
      <w:kern w:val="0"/>
      <w:sz w:val="30"/>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9</Pages>
  <Words>476</Words>
  <Characters>2715</Characters>
  <Lines>22</Lines>
  <Paragraphs>6</Paragraphs>
  <TotalTime>7</TotalTime>
  <ScaleCrop>false</ScaleCrop>
  <LinksUpToDate>false</LinksUpToDate>
  <CharactersWithSpaces>3185</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怪</cp:lastModifiedBy>
  <dcterms:modified xsi:type="dcterms:W3CDTF">2022-01-19T07:47:40Z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y fmtid="{D5CDD505-2E9C-101B-9397-08002B2CF9AE}" pid="3" name="ICV">
    <vt:lpwstr>70DF16C076FB4B318CA8D7B58EA6F086</vt:lpwstr>
  </property>
</Properties>
</file>