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壤塘县信访局</w:t>
      </w:r>
      <w:r>
        <w:rPr>
          <w:rFonts w:hint="eastAsia" w:ascii="黑体" w:hAnsi="黑体" w:eastAsia="黑体" w:cs="黑体"/>
          <w:sz w:val="72"/>
          <w:szCs w:val="72"/>
          <w:lang w:eastAsia="zh-CN"/>
        </w:rPr>
        <w:t>2023年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ind w:firstLine="1560" w:firstLineChars="300"/>
        <w:jc w:val="both"/>
        <w:rPr>
          <w:rFonts w:ascii="黑体" w:hAnsi="黑体" w:eastAsia="黑体" w:cs="Times New Roman"/>
          <w:sz w:val="52"/>
          <w:szCs w:val="52"/>
        </w:rPr>
      </w:pPr>
      <w:r>
        <w:rPr>
          <w:rFonts w:hint="eastAsia" w:ascii="黑体" w:hAnsi="黑体" w:eastAsia="黑体" w:cs="黑体"/>
          <w:sz w:val="52"/>
          <w:szCs w:val="52"/>
          <w:lang w:val="en-US" w:eastAsia="zh-CN"/>
        </w:rPr>
        <w:t>2023年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ascii="黑体" w:hAnsi="黑体" w:eastAsia="黑体" w:cs="黑体"/>
          <w:sz w:val="52"/>
          <w:szCs w:val="52"/>
        </w:rPr>
        <w:t xml:space="preserve"> </w:t>
      </w:r>
      <w:r>
        <w:rPr>
          <w:rFonts w:hint="eastAsia" w:ascii="黑体" w:hAnsi="黑体" w:eastAsia="黑体" w:cs="黑体"/>
          <w:sz w:val="52"/>
          <w:szCs w:val="52"/>
          <w:lang w:val="en-US" w:eastAsia="zh-CN"/>
        </w:rPr>
        <w:t>16</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ind w:firstLine="3200" w:firstLineChars="1000"/>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t>目 录</w:t>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TOC \o "1-3" \h \u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_Toc26880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 基本职能及主要工作</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_Toc26880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2</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_Toc6680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（一）壤塘县信访局职能简介</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_Toc6680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2</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_Toc1890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（二）壤塘县信访局2023年重点工作</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_Toc1890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4</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_Toc4158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 部门预算单位构成</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_Toc4158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_Toc19500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 收支预算情况说明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_Toc19500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_Toc31441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（一）收入预算情况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_Toc31441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_Toc21958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（二）支出预算情况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_Toc21958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_Toc9636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四、 财政拨款收支预算情况说明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_Toc9636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_Toc4998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五、 一般公共预算当年拨款情况说明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_Toc4998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_Toc29278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（一）一般公共预算当年拨款规模变化情况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_Toc29278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_Toc22927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（二）一般公共预算当年拨款结构情况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_Toc22927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_Toc24901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（三）一般公共预算当年拨款具体使用情况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_Toc24901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_Toc30963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六、一般公共预算基本支出情况说明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_Toc30963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7</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_Toc12642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七、“三公”经费财政拨款预算安排情况说明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_Toc12642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_Toc9689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八、政府性基金预算支出情况说明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_Toc9689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_Toc23192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九、其他重要事项的情况说明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_Toc23192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 机关运行经费</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_Toc31143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（二）政府采购情况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_Toc31143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_Toc12129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（三）国有资产占有使用情况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_Toc12129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_Toc17726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（四）绩效目标设置情况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_Toc17726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_Toc9019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十、名词解释</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_Toc9019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9</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rPr>
          <w:rFonts w:ascii="黑体" w:hAnsi="黑体" w:eastAsia="黑体" w:cs="Times New Roman"/>
          <w:sz w:val="32"/>
          <w:szCs w:val="32"/>
        </w:rPr>
      </w:pPr>
      <w:r>
        <w:rPr>
          <w:rFonts w:hint="eastAsia" w:ascii="仿宋_GB2312" w:hAnsi="黑体" w:eastAsia="仿宋_GB2312" w:cs="Times New Roman"/>
          <w:kern w:val="0"/>
          <w:sz w:val="32"/>
          <w:szCs w:val="32"/>
          <w:lang w:val="en-US" w:eastAsia="zh-CN" w:bidi="ar-SA"/>
        </w:rPr>
        <w:fldChar w:fldCharType="end"/>
      </w:r>
    </w:p>
    <w:p>
      <w:pPr>
        <w:widowControl/>
        <w:shd w:val="clear" w:color="auto" w:fill="FFFFFF"/>
        <w:spacing w:before="100" w:beforeAutospacing="1" w:after="100" w:afterAutospacing="1" w:line="290" w:lineRule="atLeast"/>
        <w:ind w:right="300"/>
        <w:jc w:val="left"/>
        <w:rPr>
          <w:rFonts w:ascii="??" w:hAnsi="??" w:cs="??"/>
          <w:kern w:val="0"/>
          <w:sz w:val="12"/>
          <w:szCs w:val="12"/>
        </w:rPr>
      </w:pPr>
    </w:p>
    <w:p>
      <w:pPr>
        <w:pStyle w:val="27"/>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楷体_GB2312" w:hAnsi="黑体" w:eastAsia="楷体_GB2312" w:cs="楷体_GB2312"/>
          <w:b/>
          <w:bCs/>
          <w:kern w:val="2"/>
          <w:sz w:val="32"/>
          <w:szCs w:val="32"/>
        </w:rPr>
      </w:pPr>
      <w:bookmarkStart w:id="0" w:name="_Toc26880"/>
      <w:r>
        <w:rPr>
          <w:rFonts w:hint="eastAsia" w:ascii="黑体" w:hAnsi="黑体" w:eastAsia="黑体" w:cs="黑体"/>
          <w:kern w:val="2"/>
          <w:sz w:val="32"/>
          <w:szCs w:val="32"/>
        </w:rPr>
        <w:t>基本职能及主要工作</w:t>
      </w:r>
      <w:bookmarkEnd w:id="0"/>
    </w:p>
    <w:p>
      <w:pPr>
        <w:pStyle w:val="27"/>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 w:name="_Toc6680"/>
      <w:r>
        <w:rPr>
          <w:rFonts w:hint="eastAsia" w:ascii="楷体_GB2312" w:hAnsi="黑体" w:eastAsia="楷体_GB2312" w:cs="楷体_GB2312"/>
          <w:b/>
          <w:bCs/>
          <w:kern w:val="2"/>
          <w:sz w:val="32"/>
          <w:szCs w:val="32"/>
        </w:rPr>
        <w:t>壤塘县信访局职能简介</w:t>
      </w:r>
      <w:bookmarkEnd w:id="1"/>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1.受理人民群众来信、负责县委、县政府上访群众的接访工作；承办县委、县政府领导及上级机关领导批示交办、转办的信访案件。</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2.根据县委、县政府领导意见，向乡（镇）及有关部门、企事业单位交办、转办有关信访案件。</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3.协调处理跨地区、跨部门的重要信访问题；直接调查处理信访老户和重要信访案件。</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4.检查、指导、督促各乡（镇）、县级机关各部门、各单位的信访工作。</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5.为来信、来电、来访人员提供有关政策咨询，做好信访人员的思想疏导、矛盾化解工作。</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rPr>
        <w:t>6.综合分析人民群众来信来访反映的问题和情况，征集、</w:t>
      </w:r>
      <w:r>
        <w:rPr>
          <w:rFonts w:hint="eastAsia" w:ascii="仿宋_GB2312" w:hAnsi="黑体" w:eastAsia="仿宋_GB2312" w:cs="Times New Roman"/>
          <w:sz w:val="32"/>
          <w:szCs w:val="32"/>
          <w:highlight w:val="none"/>
          <w:shd w:val="clear" w:color="auto" w:fill="auto"/>
        </w:rPr>
        <w:t>筛选和提供信访信息和建议；对带有全局性的重要信访问题开展调查研究，向县委、县政府提出解决问题的意见或办法。</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7.负责组织实施全县信访工作目标管理，提高信访工作质量，开展信访干部培训和信访宣传工作。</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8.配合政法、公安、司法等部门处理以群众集体上访为由而进行的游行、集会、请愿活动。</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9.加强信访队伍的自身建设，不断提高信访干部的政治和业务素质。以实事求是的科学态度，研究和探讨信访工作的规律和理论、指导信访工作实践，充分发挥信访工作的社会效益。</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10.负责宣传和贯彻落实《信访条例》，按照《信访条例》规定，对有关信访干部和信访群众提出奖励或处罚的建议。</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11.承办县委、县政府交办的其他事项。</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3" w:firstLineChars="200"/>
        <w:jc w:val="left"/>
        <w:textAlignment w:val="auto"/>
        <w:outlineLvl w:val="1"/>
        <w:rPr>
          <w:rFonts w:hint="eastAsia" w:ascii="楷体_GB2312" w:hAnsi="黑体" w:eastAsia="楷体_GB2312" w:cs="楷体_GB2312"/>
          <w:b/>
          <w:bCs/>
          <w:color w:val="auto"/>
          <w:kern w:val="2"/>
          <w:sz w:val="32"/>
          <w:szCs w:val="32"/>
        </w:rPr>
      </w:pPr>
      <w:bookmarkStart w:id="2" w:name="_Toc1890"/>
      <w:r>
        <w:rPr>
          <w:rFonts w:hint="eastAsia" w:ascii="楷体_GB2312" w:hAnsi="黑体" w:eastAsia="楷体_GB2312" w:cs="楷体_GB2312"/>
          <w:b/>
          <w:bCs/>
          <w:color w:val="auto"/>
          <w:kern w:val="2"/>
          <w:sz w:val="32"/>
          <w:szCs w:val="32"/>
        </w:rPr>
        <w:t>（二）壤塘县信访局</w:t>
      </w:r>
      <w:r>
        <w:rPr>
          <w:rFonts w:hint="eastAsia" w:ascii="楷体_GB2312" w:hAnsi="黑体" w:eastAsia="楷体_GB2312" w:cs="楷体_GB2312"/>
          <w:b/>
          <w:bCs/>
          <w:color w:val="auto"/>
          <w:kern w:val="2"/>
          <w:sz w:val="32"/>
          <w:szCs w:val="32"/>
          <w:lang w:eastAsia="zh-CN"/>
        </w:rPr>
        <w:t>2023年</w:t>
      </w:r>
      <w:r>
        <w:rPr>
          <w:rFonts w:hint="eastAsia" w:ascii="楷体_GB2312" w:hAnsi="黑体" w:eastAsia="楷体_GB2312" w:cs="楷体_GB2312"/>
          <w:b/>
          <w:bCs/>
          <w:color w:val="auto"/>
          <w:kern w:val="2"/>
          <w:sz w:val="32"/>
          <w:szCs w:val="32"/>
        </w:rPr>
        <w:t>重点工作</w:t>
      </w:r>
      <w:bookmarkEnd w:id="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是强化对重点信访工作和信访突出问题排查和督导力度。重要时期，拟启动“深重促”期间的督导模式，重点督导重要信访工作落实、突出信访问题化解、重点人员包保稳控等落实化解情况。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二是</w:t>
      </w:r>
      <w:r>
        <w:rPr>
          <w:rFonts w:hint="eastAsia" w:ascii="仿宋" w:hAnsi="仿宋" w:eastAsia="仿宋" w:cs="仿宋"/>
          <w:sz w:val="32"/>
          <w:szCs w:val="32"/>
          <w:lang w:eastAsia="zh-CN"/>
        </w:rPr>
        <w:t>不断加强信访矛盾纠纷预警和分析研判工作，及时掌握热点、难点问题，做到提前预判，迅速解决。特殊时期，结合我县信访工作实际，制定信访工作应急预案，随时做好应急处突准备。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　</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是以“三民”行动为载体，推动信访业务规范化建设向深发展，促进工作效率，找准存在问题和薄弱环节，积极补正，注重成果转化，切实提高全岗位员工的业务能力和综合素养。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是严格按照《信访条例》及省厅信访工作要求，进一步规范信访程序。实行局内一站式接待、一条龙办理、一揽子解决，力求把信访事项解决在初始，化解在基层，并逐步形成办事依法、遇事找法、解决问题用法、化解矛盾靠法的信访法治工作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黑体" w:eastAsia="楷体_GB2312" w:cs="楷体_GB2312"/>
          <w:b/>
          <w:bCs/>
          <w:kern w:val="2"/>
          <w:sz w:val="32"/>
          <w:szCs w:val="32"/>
        </w:rPr>
      </w:pPr>
      <w:r>
        <w:rPr>
          <w:rFonts w:hint="eastAsia" w:ascii="仿宋" w:hAnsi="仿宋" w:eastAsia="仿宋" w:cs="仿宋"/>
          <w:sz w:val="32"/>
          <w:szCs w:val="32"/>
          <w:lang w:val="en-US" w:eastAsia="zh-CN"/>
        </w:rPr>
        <w:t>五是</w:t>
      </w:r>
      <w:r>
        <w:rPr>
          <w:rFonts w:hint="eastAsia" w:ascii="仿宋" w:hAnsi="仿宋" w:eastAsia="仿宋" w:cs="仿宋"/>
          <w:sz w:val="32"/>
          <w:szCs w:val="32"/>
          <w:lang w:eastAsia="zh-CN"/>
        </w:rPr>
        <w:t>全面提升信访队伍素质。采取跟班学习、现场和视频培训等方式，加强信访干部和信访专（兼）职工作人员综合素质能力培训力度，特别是四川省网上信访信息系统规范操作和应用，全面提升信访专（兼）职工作人员的整治理论水平、业务技能和专业化水平。</w:t>
      </w:r>
    </w:p>
    <w:p>
      <w:pPr>
        <w:pStyle w:val="27"/>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0" w:leftChars="0" w:firstLine="640" w:firstLineChars="200"/>
        <w:textAlignment w:val="auto"/>
        <w:outlineLvl w:val="0"/>
        <w:rPr>
          <w:rFonts w:hint="eastAsia" w:ascii="黑体" w:hAnsi="黑体" w:eastAsia="黑体" w:cs="黑体"/>
          <w:kern w:val="2"/>
          <w:sz w:val="32"/>
          <w:szCs w:val="32"/>
        </w:rPr>
      </w:pPr>
      <w:bookmarkStart w:id="3" w:name="_Toc4158"/>
      <w:r>
        <w:rPr>
          <w:rFonts w:hint="eastAsia" w:ascii="黑体" w:hAnsi="黑体" w:eastAsia="黑体" w:cs="黑体"/>
          <w:kern w:val="2"/>
          <w:sz w:val="32"/>
          <w:szCs w:val="32"/>
        </w:rPr>
        <w:t>部门预算单位构成</w:t>
      </w:r>
      <w:bookmarkEnd w:id="3"/>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Ansi="黑体"/>
          <w:kern w:val="2"/>
          <w:sz w:val="32"/>
          <w:szCs w:val="32"/>
        </w:rPr>
      </w:pPr>
      <w:r>
        <w:rPr>
          <w:rFonts w:hint="eastAsia" w:hAnsi="黑体"/>
          <w:kern w:val="2"/>
          <w:sz w:val="32"/>
          <w:szCs w:val="32"/>
        </w:rPr>
        <w:t>壤塘县群众和信访工作局属一级预算单位。</w:t>
      </w:r>
    </w:p>
    <w:p>
      <w:pPr>
        <w:pStyle w:val="27"/>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0" w:leftChars="0" w:firstLine="640" w:firstLineChars="200"/>
        <w:textAlignment w:val="auto"/>
        <w:outlineLvl w:val="0"/>
        <w:rPr>
          <w:rFonts w:hint="eastAsia" w:ascii="黑体" w:hAnsi="黑体" w:eastAsia="黑体" w:cs="黑体"/>
          <w:kern w:val="2"/>
          <w:sz w:val="32"/>
          <w:szCs w:val="32"/>
        </w:rPr>
      </w:pPr>
      <w:bookmarkStart w:id="4" w:name="_Toc19500"/>
      <w:r>
        <w:rPr>
          <w:rFonts w:hint="eastAsia" w:ascii="黑体" w:hAnsi="黑体" w:eastAsia="黑体" w:cs="黑体"/>
          <w:kern w:val="2"/>
          <w:sz w:val="32"/>
          <w:szCs w:val="32"/>
        </w:rPr>
        <w:t>收支预算情况说明</w:t>
      </w:r>
      <w:bookmarkEnd w:id="4"/>
    </w:p>
    <w:p>
      <w:pPr>
        <w:keepNext w:val="0"/>
        <w:keepLines w:val="0"/>
        <w:widowControl/>
        <w:suppressLineNumbers w:val="0"/>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按照综合预算的原则，壤塘县信访局所有收入和支出均纳入部门预算管理。收入包括：一般公共预算拨款收入191.08万元；支出包括：一般公共预算服务支出126.29万元，社会保障和就业支出34.95万元，卫生健康支出12.14万元，住房保障支出17.70万元。壤塘县信访局2023年收支总预算168.04万元,　比2022年收支预算总数增加15.04万元，主要原因:2023人员经费预算增加。</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3" w:firstLineChars="200"/>
        <w:textAlignment w:val="auto"/>
        <w:outlineLvl w:val="1"/>
        <w:rPr>
          <w:rFonts w:hint="eastAsia" w:ascii="楷体_GB2312" w:hAnsi="黑体" w:eastAsia="楷体_GB2312" w:cs="楷体_GB2312"/>
          <w:b/>
          <w:bCs/>
          <w:kern w:val="2"/>
          <w:sz w:val="32"/>
          <w:szCs w:val="32"/>
        </w:rPr>
      </w:pPr>
      <w:bookmarkStart w:id="5" w:name="_Toc31441"/>
      <w:r>
        <w:rPr>
          <w:rFonts w:hint="eastAsia" w:ascii="楷体_GB2312" w:hAnsi="黑体" w:eastAsia="楷体_GB2312" w:cs="楷体_GB2312"/>
          <w:b/>
          <w:bCs/>
          <w:kern w:val="2"/>
          <w:sz w:val="32"/>
          <w:szCs w:val="32"/>
        </w:rPr>
        <w:t>（一）收入预算情况</w:t>
      </w:r>
      <w:bookmarkEnd w:id="5"/>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壤塘县信访局</w:t>
      </w:r>
      <w:r>
        <w:rPr>
          <w:rFonts w:hint="eastAsia" w:hAnsi="黑体"/>
          <w:kern w:val="2"/>
          <w:sz w:val="32"/>
          <w:szCs w:val="32"/>
          <w:lang w:eastAsia="zh-CN"/>
        </w:rPr>
        <w:t>2023年</w:t>
      </w:r>
      <w:r>
        <w:rPr>
          <w:rFonts w:hint="eastAsia" w:hAnsi="黑体"/>
          <w:kern w:val="2"/>
          <w:sz w:val="32"/>
          <w:szCs w:val="32"/>
        </w:rPr>
        <w:t>收入预算</w:t>
      </w:r>
      <w:r>
        <w:rPr>
          <w:rFonts w:hint="eastAsia" w:hAnsi="黑体" w:cs="Times New Roman"/>
          <w:kern w:val="2"/>
          <w:sz w:val="32"/>
          <w:szCs w:val="32"/>
        </w:rPr>
        <w:t>168.04</w:t>
      </w:r>
      <w:r>
        <w:rPr>
          <w:rFonts w:hint="eastAsia" w:hAnsi="黑体"/>
          <w:kern w:val="2"/>
          <w:sz w:val="32"/>
          <w:szCs w:val="32"/>
        </w:rPr>
        <w:t>万元；一般公共预算拨款收入</w:t>
      </w:r>
      <w:r>
        <w:rPr>
          <w:rFonts w:hint="eastAsia" w:hAnsi="黑体" w:cs="Times New Roman"/>
          <w:kern w:val="2"/>
          <w:sz w:val="32"/>
          <w:szCs w:val="32"/>
        </w:rPr>
        <w:t>168.04</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1"/>
        <w:rPr>
          <w:rFonts w:hint="eastAsia" w:ascii="楷体_GB2312" w:hAnsi="楷体_GB2312" w:eastAsia="楷体_GB2312" w:cs="楷体_GB2312"/>
          <w:b/>
          <w:bCs/>
          <w:kern w:val="2"/>
          <w:sz w:val="32"/>
          <w:szCs w:val="32"/>
        </w:rPr>
      </w:pPr>
      <w:bookmarkStart w:id="6" w:name="_Toc21958"/>
      <w:r>
        <w:rPr>
          <w:rFonts w:hint="eastAsia" w:hAnsi="黑体" w:eastAsia="楷体_GB2312"/>
          <w:kern w:val="2"/>
          <w:sz w:val="32"/>
          <w:szCs w:val="32"/>
          <w:lang w:eastAsia="zh-CN"/>
        </w:rPr>
        <w:t>（</w:t>
      </w:r>
      <w:r>
        <w:rPr>
          <w:rFonts w:hint="eastAsia" w:hAnsi="黑体" w:eastAsia="楷体_GB2312"/>
          <w:kern w:val="2"/>
          <w:sz w:val="32"/>
          <w:szCs w:val="32"/>
          <w:lang w:val="en-US" w:eastAsia="zh-CN"/>
        </w:rPr>
        <w:t>二</w:t>
      </w:r>
      <w:r>
        <w:rPr>
          <w:rFonts w:hint="eastAsia" w:hAnsi="黑体" w:eastAsia="楷体_GB2312"/>
          <w:kern w:val="2"/>
          <w:sz w:val="32"/>
          <w:szCs w:val="32"/>
          <w:lang w:eastAsia="zh-CN"/>
        </w:rPr>
        <w:t>）</w:t>
      </w:r>
      <w:r>
        <w:rPr>
          <w:rFonts w:hint="eastAsia" w:ascii="楷体_GB2312" w:hAnsi="楷体_GB2312" w:eastAsia="楷体_GB2312" w:cs="楷体_GB2312"/>
          <w:b/>
          <w:bCs/>
          <w:kern w:val="2"/>
          <w:sz w:val="32"/>
          <w:szCs w:val="32"/>
        </w:rPr>
        <w:t>支出预算情况</w:t>
      </w:r>
      <w:bookmarkEnd w:id="6"/>
    </w:p>
    <w:p>
      <w:pPr>
        <w:pStyle w:val="27"/>
        <w:spacing w:before="0" w:line="360" w:lineRule="auto"/>
        <w:ind w:firstLine="627" w:firstLineChars="196"/>
        <w:rPr>
          <w:rFonts w:hAnsi="黑体" w:cs="Times New Roman"/>
          <w:kern w:val="2"/>
          <w:sz w:val="32"/>
          <w:szCs w:val="32"/>
        </w:rPr>
      </w:pPr>
      <w:r>
        <w:rPr>
          <w:rFonts w:hint="eastAsia" w:hAnsi="黑体"/>
          <w:kern w:val="2"/>
          <w:sz w:val="32"/>
          <w:szCs w:val="32"/>
        </w:rPr>
        <w:t>壤塘县信访局</w:t>
      </w:r>
      <w:r>
        <w:rPr>
          <w:rFonts w:hint="eastAsia" w:hAnsi="黑体"/>
          <w:kern w:val="2"/>
          <w:sz w:val="32"/>
          <w:szCs w:val="32"/>
          <w:lang w:eastAsia="zh-CN"/>
        </w:rPr>
        <w:t>2023年</w:t>
      </w:r>
      <w:r>
        <w:rPr>
          <w:rFonts w:hint="eastAsia" w:hAnsi="黑体"/>
          <w:kern w:val="2"/>
          <w:sz w:val="32"/>
          <w:szCs w:val="32"/>
        </w:rPr>
        <w:t>支出预算</w:t>
      </w:r>
      <w:r>
        <w:rPr>
          <w:rFonts w:hint="eastAsia" w:hAnsi="黑体" w:cs="Times New Roman"/>
          <w:kern w:val="2"/>
          <w:sz w:val="32"/>
          <w:szCs w:val="32"/>
        </w:rPr>
        <w:t>168.04</w:t>
      </w:r>
      <w:r>
        <w:rPr>
          <w:rFonts w:hint="eastAsia" w:hAnsi="黑体"/>
          <w:kern w:val="2"/>
          <w:sz w:val="32"/>
          <w:szCs w:val="32"/>
        </w:rPr>
        <w:t>万元，其中：基本支出</w:t>
      </w:r>
      <w:r>
        <w:rPr>
          <w:rFonts w:hint="eastAsia" w:hAnsi="黑体" w:cs="Times New Roman"/>
          <w:kern w:val="2"/>
          <w:sz w:val="32"/>
          <w:szCs w:val="32"/>
        </w:rPr>
        <w:t>168.04</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7" w:name="_Toc9636"/>
      <w:r>
        <w:rPr>
          <w:rFonts w:hint="eastAsia" w:ascii="黑体" w:hAnsi="黑体" w:eastAsia="黑体" w:cs="黑体"/>
          <w:kern w:val="2"/>
          <w:sz w:val="32"/>
          <w:szCs w:val="32"/>
        </w:rPr>
        <w:t>财政拨款收支预算情况说明</w:t>
      </w:r>
      <w:bookmarkEnd w:id="7"/>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Ansi="黑体"/>
          <w:color w:val="auto"/>
          <w:kern w:val="2"/>
          <w:sz w:val="32"/>
          <w:szCs w:val="32"/>
        </w:rPr>
      </w:pPr>
      <w:r>
        <w:rPr>
          <w:rFonts w:hint="eastAsia" w:hAnsi="黑体"/>
          <w:kern w:val="2"/>
          <w:sz w:val="32"/>
          <w:szCs w:val="32"/>
          <w:highlight w:val="none"/>
        </w:rPr>
        <w:t>壤塘县信访局</w:t>
      </w:r>
      <w:r>
        <w:rPr>
          <w:rFonts w:hint="eastAsia" w:hAnsi="黑体"/>
          <w:kern w:val="2"/>
          <w:sz w:val="32"/>
          <w:szCs w:val="32"/>
          <w:highlight w:val="none"/>
          <w:lang w:eastAsia="zh-CN"/>
        </w:rPr>
        <w:t>2023年</w:t>
      </w:r>
      <w:r>
        <w:rPr>
          <w:rFonts w:hint="eastAsia" w:hAnsi="黑体"/>
          <w:kern w:val="2"/>
          <w:sz w:val="32"/>
          <w:szCs w:val="32"/>
          <w:highlight w:val="none"/>
        </w:rPr>
        <w:t>财政拨款收支总预算</w:t>
      </w:r>
      <w:r>
        <w:rPr>
          <w:rFonts w:hint="eastAsia" w:hAnsi="黑体" w:cs="Times New Roman"/>
          <w:kern w:val="2"/>
          <w:sz w:val="32"/>
          <w:szCs w:val="32"/>
          <w:highlight w:val="none"/>
        </w:rPr>
        <w:t>168.04</w:t>
      </w:r>
      <w:r>
        <w:rPr>
          <w:rFonts w:hint="eastAsia" w:hAnsi="黑体"/>
          <w:kern w:val="2"/>
          <w:sz w:val="32"/>
          <w:szCs w:val="32"/>
          <w:highlight w:val="none"/>
        </w:rPr>
        <w:t>万元</w:t>
      </w:r>
      <w:r>
        <w:rPr>
          <w:rFonts w:hint="eastAsia" w:hAnsi="黑体"/>
          <w:kern w:val="2"/>
          <w:sz w:val="32"/>
          <w:szCs w:val="32"/>
          <w:highlight w:val="none"/>
          <w:lang w:eastAsia="zh-CN"/>
        </w:rPr>
        <w:t>，</w:t>
      </w:r>
      <w:r>
        <w:rPr>
          <w:rFonts w:hint="eastAsia" w:hAnsi="黑体"/>
          <w:color w:val="auto"/>
          <w:kern w:val="2"/>
          <w:sz w:val="32"/>
          <w:szCs w:val="32"/>
          <w:highlight w:val="none"/>
        </w:rPr>
        <w:t>比</w:t>
      </w:r>
      <w:r>
        <w:rPr>
          <w:rFonts w:hint="eastAsia" w:hAnsi="黑体"/>
          <w:color w:val="auto"/>
          <w:kern w:val="2"/>
          <w:sz w:val="32"/>
          <w:szCs w:val="32"/>
          <w:lang w:eastAsia="zh-CN"/>
        </w:rPr>
        <w:t>2022年</w:t>
      </w:r>
      <w:r>
        <w:rPr>
          <w:rFonts w:hint="eastAsia" w:hAnsi="黑体"/>
          <w:color w:val="auto"/>
          <w:kern w:val="2"/>
          <w:sz w:val="32"/>
          <w:szCs w:val="32"/>
        </w:rPr>
        <w:t>收支预算总数</w:t>
      </w:r>
      <w:r>
        <w:rPr>
          <w:rFonts w:hint="eastAsia" w:hAnsi="黑体"/>
          <w:color w:val="auto"/>
          <w:kern w:val="2"/>
          <w:sz w:val="32"/>
          <w:szCs w:val="32"/>
          <w:lang w:val="en-US" w:eastAsia="zh-CN"/>
        </w:rPr>
        <w:t>增加23.04</w:t>
      </w:r>
      <w:r>
        <w:rPr>
          <w:rFonts w:hint="eastAsia" w:hAnsi="黑体"/>
          <w:color w:val="auto"/>
          <w:kern w:val="2"/>
          <w:sz w:val="32"/>
          <w:szCs w:val="32"/>
        </w:rPr>
        <w:t>万元，主要原因</w:t>
      </w:r>
      <w:r>
        <w:rPr>
          <w:rFonts w:hAnsi="黑体"/>
          <w:color w:val="auto"/>
          <w:kern w:val="2"/>
          <w:sz w:val="32"/>
          <w:szCs w:val="32"/>
        </w:rPr>
        <w:t xml:space="preserve">: </w:t>
      </w:r>
      <w:r>
        <w:rPr>
          <w:rFonts w:hint="eastAsia" w:hAnsi="黑体"/>
          <w:color w:val="auto"/>
          <w:kern w:val="2"/>
          <w:sz w:val="32"/>
          <w:szCs w:val="32"/>
          <w:lang w:eastAsia="zh-CN"/>
        </w:rPr>
        <w:t>2023年</w:t>
      </w:r>
      <w:r>
        <w:rPr>
          <w:rFonts w:hint="eastAsia" w:hAnsi="黑体"/>
          <w:color w:val="auto"/>
          <w:kern w:val="2"/>
          <w:sz w:val="32"/>
          <w:szCs w:val="32"/>
        </w:rPr>
        <w:t>人员经费预算</w:t>
      </w:r>
      <w:r>
        <w:rPr>
          <w:rFonts w:hint="eastAsia" w:hAnsi="黑体"/>
          <w:color w:val="auto"/>
          <w:kern w:val="2"/>
          <w:sz w:val="32"/>
          <w:szCs w:val="32"/>
          <w:lang w:val="en-US" w:eastAsia="zh-CN"/>
        </w:rPr>
        <w:t>增加</w:t>
      </w:r>
      <w:r>
        <w:rPr>
          <w:rFonts w:hint="eastAsia" w:hAnsi="黑体"/>
          <w:color w:val="auto"/>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Ansi="黑体" w:cs="Times New Roman"/>
          <w:kern w:val="2"/>
          <w:sz w:val="32"/>
          <w:szCs w:val="32"/>
        </w:rPr>
      </w:pPr>
      <w:r>
        <w:rPr>
          <w:rFonts w:hint="eastAsia" w:hAnsi="黑体"/>
          <w:color w:val="auto"/>
          <w:kern w:val="2"/>
          <w:sz w:val="32"/>
          <w:szCs w:val="32"/>
        </w:rPr>
        <w:t>收入包括：本年一般公共预算拨款收入</w:t>
      </w:r>
      <w:r>
        <w:rPr>
          <w:rFonts w:hint="eastAsia" w:hAnsi="黑体" w:cs="Times New Roman"/>
          <w:color w:val="auto"/>
          <w:kern w:val="2"/>
          <w:sz w:val="32"/>
          <w:szCs w:val="32"/>
        </w:rPr>
        <w:t>168.04</w:t>
      </w:r>
      <w:r>
        <w:rPr>
          <w:rFonts w:hint="eastAsia" w:hAnsi="黑体"/>
          <w:color w:val="auto"/>
          <w:kern w:val="2"/>
          <w:sz w:val="32"/>
          <w:szCs w:val="32"/>
        </w:rPr>
        <w:t>万元。</w:t>
      </w:r>
      <w:r>
        <w:rPr>
          <w:rFonts w:hAnsi="黑体" w:cs="Times New Roman"/>
          <w:color w:val="auto"/>
          <w:kern w:val="2"/>
          <w:sz w:val="32"/>
          <w:szCs w:val="32"/>
        </w:rPr>
        <w:t xml:space="preserve"> </w:t>
      </w:r>
      <w:r>
        <w:rPr>
          <w:rFonts w:hAnsi="黑体" w:cs="Times New Roman"/>
          <w:color w:val="auto"/>
          <w:kern w:val="2"/>
          <w:sz w:val="32"/>
          <w:szCs w:val="32"/>
        </w:rPr>
        <w:br w:type="textWrapping"/>
      </w:r>
      <w:r>
        <w:rPr>
          <w:rFonts w:hint="eastAsia" w:hAnsi="黑体"/>
          <w:kern w:val="2"/>
          <w:sz w:val="32"/>
          <w:szCs w:val="32"/>
        </w:rPr>
        <w:t>　　支出包括：一般公共预算服务支出120.77万元，社会保障和就业支出</w:t>
      </w:r>
      <w:r>
        <w:rPr>
          <w:rFonts w:hint="eastAsia" w:hAnsi="黑体"/>
          <w:kern w:val="2"/>
          <w:sz w:val="32"/>
          <w:szCs w:val="32"/>
          <w:lang w:eastAsia="zh-CN"/>
        </w:rPr>
        <w:t>34.95</w:t>
      </w:r>
      <w:r>
        <w:rPr>
          <w:rFonts w:hint="eastAsia" w:hAnsi="黑体"/>
          <w:kern w:val="2"/>
          <w:sz w:val="32"/>
          <w:szCs w:val="32"/>
        </w:rPr>
        <w:t>万元，卫生健康支出</w:t>
      </w:r>
      <w:r>
        <w:rPr>
          <w:rFonts w:hint="eastAsia" w:hAnsi="黑体"/>
          <w:kern w:val="2"/>
          <w:sz w:val="32"/>
          <w:szCs w:val="32"/>
          <w:lang w:eastAsia="zh-CN"/>
        </w:rPr>
        <w:t>12.14</w:t>
      </w:r>
      <w:r>
        <w:rPr>
          <w:rFonts w:hint="eastAsia" w:hAnsi="黑体"/>
          <w:kern w:val="2"/>
          <w:sz w:val="32"/>
          <w:szCs w:val="32"/>
        </w:rPr>
        <w:t>万元，住房保障支出</w:t>
      </w:r>
      <w:r>
        <w:rPr>
          <w:rFonts w:hint="eastAsia" w:hAnsi="黑体"/>
          <w:kern w:val="2"/>
          <w:sz w:val="32"/>
          <w:szCs w:val="32"/>
          <w:lang w:eastAsia="zh-CN"/>
        </w:rPr>
        <w:t>17.70</w:t>
      </w:r>
      <w:r>
        <w:rPr>
          <w:rFonts w:hint="eastAsia" w:hAnsi="黑体"/>
          <w:kern w:val="2"/>
          <w:sz w:val="32"/>
          <w:szCs w:val="32"/>
        </w:rPr>
        <w:t>万元。</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8" w:name="_Toc4998"/>
      <w:r>
        <w:rPr>
          <w:rFonts w:hint="eastAsia" w:ascii="黑体" w:hAnsi="黑体" w:eastAsia="黑体" w:cs="黑体"/>
          <w:kern w:val="2"/>
          <w:sz w:val="32"/>
          <w:szCs w:val="32"/>
        </w:rPr>
        <w:t>一般公共预算当年拨款情况说明</w:t>
      </w:r>
      <w:bookmarkEnd w:id="8"/>
    </w:p>
    <w:p>
      <w:pPr>
        <w:pStyle w:val="27"/>
        <w:keepNext w:val="0"/>
        <w:keepLines w:val="0"/>
        <w:pageBreakBefore w:val="0"/>
        <w:widowControl w:val="0"/>
        <w:numPr>
          <w:ilvl w:val="0"/>
          <w:numId w:val="5"/>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9" w:name="_Toc29278"/>
      <w:r>
        <w:rPr>
          <w:rFonts w:hint="eastAsia" w:ascii="楷体_GB2312" w:hAnsi="黑体" w:eastAsia="楷体_GB2312" w:cs="楷体_GB2312"/>
          <w:b/>
          <w:bCs/>
          <w:kern w:val="2"/>
          <w:sz w:val="32"/>
          <w:szCs w:val="32"/>
        </w:rPr>
        <w:t>一般公共预算当年拨款规模变化情况</w:t>
      </w:r>
      <w:bookmarkEnd w:id="9"/>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壤塘县信访局</w:t>
      </w:r>
      <w:r>
        <w:rPr>
          <w:rFonts w:hint="eastAsia" w:hAnsi="黑体"/>
          <w:kern w:val="2"/>
          <w:sz w:val="32"/>
          <w:szCs w:val="32"/>
          <w:lang w:eastAsia="zh-CN"/>
        </w:rPr>
        <w:t>2023年</w:t>
      </w:r>
      <w:r>
        <w:rPr>
          <w:rFonts w:hint="eastAsia" w:hAnsi="黑体"/>
          <w:kern w:val="2"/>
          <w:sz w:val="32"/>
          <w:szCs w:val="32"/>
        </w:rPr>
        <w:t>一般公共预算当年拨款168.04万元，</w:t>
      </w:r>
      <w:r>
        <w:rPr>
          <w:rFonts w:hint="eastAsia" w:hAnsi="黑体"/>
          <w:color w:val="auto"/>
          <w:kern w:val="2"/>
          <w:sz w:val="32"/>
          <w:szCs w:val="32"/>
          <w:highlight w:val="none"/>
        </w:rPr>
        <w:t>比</w:t>
      </w:r>
      <w:r>
        <w:rPr>
          <w:rFonts w:hint="eastAsia" w:hAnsi="黑体"/>
          <w:color w:val="auto"/>
          <w:kern w:val="2"/>
          <w:sz w:val="32"/>
          <w:szCs w:val="32"/>
          <w:lang w:eastAsia="zh-CN"/>
        </w:rPr>
        <w:t>2022年</w:t>
      </w:r>
      <w:r>
        <w:rPr>
          <w:rFonts w:hint="eastAsia" w:hAnsi="黑体"/>
          <w:color w:val="auto"/>
          <w:kern w:val="2"/>
          <w:sz w:val="32"/>
          <w:szCs w:val="32"/>
        </w:rPr>
        <w:t>收支预算总数</w:t>
      </w:r>
      <w:r>
        <w:rPr>
          <w:rFonts w:hint="eastAsia" w:hAnsi="黑体"/>
          <w:color w:val="auto"/>
          <w:kern w:val="2"/>
          <w:sz w:val="32"/>
          <w:szCs w:val="32"/>
          <w:lang w:val="en-US" w:eastAsia="zh-CN"/>
        </w:rPr>
        <w:t>增加23.04</w:t>
      </w:r>
      <w:r>
        <w:rPr>
          <w:rFonts w:hint="eastAsia" w:hAnsi="黑体"/>
          <w:color w:val="auto"/>
          <w:kern w:val="2"/>
          <w:sz w:val="32"/>
          <w:szCs w:val="32"/>
        </w:rPr>
        <w:t>万元，主要原因</w:t>
      </w:r>
      <w:r>
        <w:rPr>
          <w:rFonts w:hAnsi="黑体"/>
          <w:color w:val="auto"/>
          <w:kern w:val="2"/>
          <w:sz w:val="32"/>
          <w:szCs w:val="32"/>
        </w:rPr>
        <w:t xml:space="preserve">: </w:t>
      </w:r>
      <w:r>
        <w:rPr>
          <w:rFonts w:hint="eastAsia" w:hAnsi="黑体"/>
          <w:color w:val="auto"/>
          <w:kern w:val="2"/>
          <w:sz w:val="32"/>
          <w:szCs w:val="32"/>
          <w:lang w:eastAsia="zh-CN"/>
        </w:rPr>
        <w:t>2023年</w:t>
      </w:r>
      <w:r>
        <w:rPr>
          <w:rFonts w:hint="eastAsia" w:hAnsi="黑体"/>
          <w:color w:val="auto"/>
          <w:kern w:val="2"/>
          <w:sz w:val="32"/>
          <w:szCs w:val="32"/>
        </w:rPr>
        <w:t>人员经费预算</w:t>
      </w:r>
      <w:r>
        <w:rPr>
          <w:rFonts w:hint="eastAsia" w:hAnsi="黑体"/>
          <w:color w:val="auto"/>
          <w:kern w:val="2"/>
          <w:sz w:val="32"/>
          <w:szCs w:val="32"/>
          <w:lang w:val="en-US" w:eastAsia="zh-CN"/>
        </w:rPr>
        <w:t>增加</w:t>
      </w:r>
      <w:r>
        <w:rPr>
          <w:rFonts w:hint="eastAsia" w:hAnsi="黑体"/>
          <w:color w:val="auto"/>
          <w:kern w:val="2"/>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0" w:name="_Toc22927"/>
      <w:r>
        <w:rPr>
          <w:rFonts w:hint="eastAsia" w:ascii="楷体_GB2312" w:hAnsi="黑体" w:eastAsia="楷体_GB2312" w:cs="楷体_GB2312"/>
          <w:b/>
          <w:bCs/>
          <w:kern w:val="2"/>
          <w:sz w:val="32"/>
          <w:szCs w:val="32"/>
        </w:rPr>
        <w:t>（二）一般公共预算当年拨款结构情况</w:t>
      </w:r>
      <w:bookmarkEnd w:id="10"/>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一般公共预算服务支出120.77万元，</w:t>
      </w:r>
      <w:r>
        <w:rPr>
          <w:rFonts w:hint="eastAsia" w:hAnsi="黑体"/>
          <w:kern w:val="2"/>
          <w:sz w:val="32"/>
          <w:szCs w:val="32"/>
          <w:lang w:val="en-US" w:eastAsia="zh-CN"/>
        </w:rPr>
        <w:t>占71.87%；</w:t>
      </w:r>
      <w:r>
        <w:rPr>
          <w:rFonts w:hint="eastAsia" w:hAnsi="黑体"/>
          <w:kern w:val="2"/>
          <w:sz w:val="32"/>
          <w:szCs w:val="32"/>
        </w:rPr>
        <w:t>社会保障和就业支出</w:t>
      </w:r>
      <w:r>
        <w:rPr>
          <w:rFonts w:hint="eastAsia" w:hAnsi="黑体"/>
          <w:kern w:val="2"/>
          <w:sz w:val="32"/>
          <w:szCs w:val="32"/>
          <w:lang w:eastAsia="zh-CN"/>
        </w:rPr>
        <w:t>34.95</w:t>
      </w:r>
      <w:r>
        <w:rPr>
          <w:rFonts w:hint="eastAsia" w:hAnsi="黑体"/>
          <w:kern w:val="2"/>
          <w:sz w:val="32"/>
          <w:szCs w:val="32"/>
        </w:rPr>
        <w:t>万元，</w:t>
      </w:r>
      <w:r>
        <w:rPr>
          <w:rFonts w:hint="eastAsia" w:hAnsi="黑体"/>
          <w:kern w:val="2"/>
          <w:sz w:val="32"/>
          <w:szCs w:val="32"/>
          <w:lang w:val="en-US" w:eastAsia="zh-CN"/>
        </w:rPr>
        <w:t>占13.97%；</w:t>
      </w:r>
      <w:r>
        <w:rPr>
          <w:rFonts w:hint="eastAsia" w:hAnsi="黑体"/>
          <w:kern w:val="2"/>
          <w:sz w:val="32"/>
          <w:szCs w:val="32"/>
        </w:rPr>
        <w:t>卫生健康支出</w:t>
      </w:r>
      <w:r>
        <w:rPr>
          <w:rFonts w:hint="eastAsia" w:hAnsi="黑体"/>
          <w:kern w:val="2"/>
          <w:sz w:val="32"/>
          <w:szCs w:val="32"/>
          <w:lang w:eastAsia="zh-CN"/>
        </w:rPr>
        <w:t>12.14</w:t>
      </w:r>
      <w:r>
        <w:rPr>
          <w:rFonts w:hint="eastAsia" w:hAnsi="黑体"/>
          <w:kern w:val="2"/>
          <w:sz w:val="32"/>
          <w:szCs w:val="32"/>
        </w:rPr>
        <w:t>万元，</w:t>
      </w:r>
      <w:r>
        <w:rPr>
          <w:rFonts w:hint="eastAsia" w:hAnsi="黑体"/>
          <w:kern w:val="2"/>
          <w:sz w:val="32"/>
          <w:szCs w:val="32"/>
          <w:lang w:val="en-US" w:eastAsia="zh-CN"/>
        </w:rPr>
        <w:t>占5.05%；</w:t>
      </w:r>
      <w:r>
        <w:rPr>
          <w:rFonts w:hint="eastAsia" w:hAnsi="黑体"/>
          <w:kern w:val="2"/>
          <w:sz w:val="32"/>
          <w:szCs w:val="32"/>
        </w:rPr>
        <w:t>住房保障支出</w:t>
      </w:r>
      <w:r>
        <w:rPr>
          <w:rFonts w:hint="eastAsia" w:hAnsi="黑体"/>
          <w:kern w:val="2"/>
          <w:sz w:val="32"/>
          <w:szCs w:val="32"/>
          <w:lang w:eastAsia="zh-CN"/>
        </w:rPr>
        <w:t>17.70</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占9.10%</w:t>
      </w:r>
      <w:r>
        <w:rPr>
          <w:rFonts w:hint="eastAsia" w:hAnsi="黑体"/>
          <w:kern w:val="2"/>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1" w:name="_Toc24901"/>
      <w:r>
        <w:rPr>
          <w:rFonts w:hint="eastAsia" w:ascii="楷体_GB2312" w:hAnsi="黑体" w:eastAsia="楷体_GB2312" w:cs="楷体_GB2312"/>
          <w:b/>
          <w:bCs/>
          <w:kern w:val="2"/>
          <w:sz w:val="32"/>
          <w:szCs w:val="32"/>
        </w:rPr>
        <w:t>（三）一般公共预算当年拨款具体使用情况</w:t>
      </w:r>
      <w:bookmarkEnd w:id="11"/>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int="eastAsia" w:hAnsi="黑体"/>
          <w:kern w:val="2"/>
          <w:sz w:val="32"/>
          <w:szCs w:val="32"/>
        </w:rPr>
        <w:t>1</w:t>
      </w:r>
      <w:r>
        <w:rPr>
          <w:rFonts w:hAnsi="黑体"/>
          <w:kern w:val="2"/>
          <w:sz w:val="32"/>
          <w:szCs w:val="32"/>
        </w:rPr>
        <w:t>.201</w:t>
      </w:r>
      <w:r>
        <w:rPr>
          <w:rFonts w:hint="eastAsia" w:hAnsi="黑体"/>
          <w:kern w:val="2"/>
          <w:sz w:val="32"/>
          <w:szCs w:val="32"/>
        </w:rPr>
        <w:t>（类）</w:t>
      </w:r>
      <w:r>
        <w:rPr>
          <w:rFonts w:hAnsi="黑体"/>
          <w:kern w:val="2"/>
          <w:sz w:val="32"/>
          <w:szCs w:val="32"/>
        </w:rPr>
        <w:t>03</w:t>
      </w:r>
      <w:r>
        <w:rPr>
          <w:rFonts w:hint="eastAsia" w:hAnsi="黑体"/>
          <w:kern w:val="2"/>
          <w:sz w:val="32"/>
          <w:szCs w:val="32"/>
        </w:rPr>
        <w:t>（款）</w:t>
      </w:r>
      <w:r>
        <w:rPr>
          <w:rFonts w:hAnsi="黑体"/>
          <w:kern w:val="2"/>
          <w:sz w:val="32"/>
          <w:szCs w:val="32"/>
        </w:rPr>
        <w:t>08</w:t>
      </w:r>
      <w:r>
        <w:rPr>
          <w:rFonts w:hint="eastAsia" w:hAnsi="黑体"/>
          <w:kern w:val="2"/>
          <w:sz w:val="32"/>
          <w:szCs w:val="32"/>
        </w:rPr>
        <w:t>（项）：</w:t>
      </w:r>
      <w:r>
        <w:rPr>
          <w:rFonts w:hint="eastAsia" w:hAnsi="黑体"/>
          <w:kern w:val="2"/>
          <w:sz w:val="32"/>
          <w:szCs w:val="32"/>
          <w:lang w:val="en-US" w:eastAsia="zh-CN"/>
        </w:rPr>
        <w:t>行政运行</w:t>
      </w:r>
      <w:r>
        <w:rPr>
          <w:rFonts w:hint="eastAsia" w:hAnsi="黑体"/>
          <w:kern w:val="2"/>
          <w:sz w:val="32"/>
          <w:szCs w:val="32"/>
          <w:lang w:eastAsia="zh-CN"/>
        </w:rPr>
        <w:t>2023年</w:t>
      </w:r>
      <w:r>
        <w:rPr>
          <w:rFonts w:hint="eastAsia" w:hAnsi="黑体"/>
          <w:kern w:val="2"/>
          <w:sz w:val="32"/>
          <w:szCs w:val="32"/>
        </w:rPr>
        <w:t>预算数为78.31万元，主要用于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单位职工工资福利支出（基本工资、津补贴、绩效工资等）、日常公用经费支出（办公费、邮电费、劳务费等）、工会经费和公务用车运行维护费。</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2.201</w:t>
      </w:r>
      <w:r>
        <w:rPr>
          <w:rFonts w:hint="eastAsia" w:hAnsi="黑体"/>
          <w:kern w:val="2"/>
          <w:sz w:val="32"/>
          <w:szCs w:val="32"/>
        </w:rPr>
        <w:t>（类）</w:t>
      </w:r>
      <w:r>
        <w:rPr>
          <w:rFonts w:hAnsi="黑体"/>
          <w:kern w:val="2"/>
          <w:sz w:val="32"/>
          <w:szCs w:val="32"/>
        </w:rPr>
        <w:t>03</w:t>
      </w:r>
      <w:r>
        <w:rPr>
          <w:rFonts w:hint="eastAsia" w:hAnsi="黑体"/>
          <w:kern w:val="2"/>
          <w:sz w:val="32"/>
          <w:szCs w:val="32"/>
        </w:rPr>
        <w:t>（款）</w:t>
      </w:r>
      <w:r>
        <w:rPr>
          <w:rFonts w:hAnsi="黑体"/>
          <w:kern w:val="2"/>
          <w:sz w:val="32"/>
          <w:szCs w:val="32"/>
        </w:rPr>
        <w:t>50</w:t>
      </w:r>
      <w:r>
        <w:rPr>
          <w:rFonts w:hint="eastAsia" w:hAnsi="黑体"/>
          <w:kern w:val="2"/>
          <w:sz w:val="32"/>
          <w:szCs w:val="32"/>
        </w:rPr>
        <w:t>（项）：事业运行</w:t>
      </w:r>
      <w:r>
        <w:rPr>
          <w:rFonts w:hint="eastAsia" w:hAnsi="黑体"/>
          <w:kern w:val="2"/>
          <w:sz w:val="32"/>
          <w:szCs w:val="32"/>
          <w:lang w:eastAsia="zh-CN"/>
        </w:rPr>
        <w:t>2023年</w:t>
      </w:r>
      <w:r>
        <w:rPr>
          <w:rFonts w:hint="eastAsia" w:hAnsi="黑体"/>
          <w:kern w:val="2"/>
          <w:sz w:val="32"/>
          <w:szCs w:val="32"/>
        </w:rPr>
        <w:t>预算数为47.98万元，主要用于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单位职工工资福利支出（基本工资、津补贴、绩效工资等）</w:t>
      </w:r>
      <w:r>
        <w:rPr>
          <w:rFonts w:hAnsi="黑体"/>
          <w:kern w:val="2"/>
          <w:sz w:val="32"/>
          <w:szCs w:val="32"/>
        </w:rPr>
        <w:br w:type="textWrapping"/>
      </w:r>
      <w:r>
        <w:rPr>
          <w:rFonts w:hint="eastAsia" w:hAnsi="黑体"/>
          <w:kern w:val="2"/>
          <w:sz w:val="32"/>
          <w:szCs w:val="32"/>
        </w:rPr>
        <w:t>　　</w:t>
      </w:r>
      <w:r>
        <w:rPr>
          <w:rFonts w:hAnsi="黑体"/>
          <w:kern w:val="2"/>
          <w:sz w:val="32"/>
          <w:szCs w:val="32"/>
        </w:rPr>
        <w:t>3.</w:t>
      </w:r>
      <w:r>
        <w:rPr>
          <w:rFonts w:hint="eastAsia" w:hAnsi="黑体"/>
          <w:kern w:val="2"/>
          <w:sz w:val="32"/>
          <w:szCs w:val="32"/>
        </w:rPr>
        <w:t>208（类）05（款）05（项）机关事业单位基本养老保险缴费支出</w:t>
      </w:r>
      <w:r>
        <w:rPr>
          <w:rFonts w:hint="eastAsia" w:hAnsi="黑体"/>
          <w:kern w:val="2"/>
          <w:sz w:val="32"/>
          <w:szCs w:val="32"/>
          <w:lang w:eastAsia="zh-CN"/>
        </w:rPr>
        <w:t>2023年</w:t>
      </w:r>
      <w:r>
        <w:rPr>
          <w:rFonts w:hint="eastAsia" w:hAnsi="黑体"/>
          <w:kern w:val="2"/>
          <w:sz w:val="32"/>
          <w:szCs w:val="32"/>
        </w:rPr>
        <w:t>预算数为23.3万元，主要用于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单位养老保险支出。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4.</w:t>
      </w:r>
      <w:r>
        <w:rPr>
          <w:rFonts w:hint="eastAsia" w:hAnsi="黑体"/>
          <w:kern w:val="2"/>
          <w:sz w:val="32"/>
          <w:szCs w:val="32"/>
        </w:rPr>
        <w:t>208（类）05（款）06（项）机关事业单位职业年金缴费支出</w:t>
      </w:r>
      <w:r>
        <w:rPr>
          <w:rFonts w:hint="eastAsia" w:hAnsi="黑体"/>
          <w:kern w:val="2"/>
          <w:sz w:val="32"/>
          <w:szCs w:val="32"/>
          <w:lang w:eastAsia="zh-CN"/>
        </w:rPr>
        <w:t>2023年</w:t>
      </w:r>
      <w:r>
        <w:rPr>
          <w:rFonts w:hint="eastAsia" w:hAnsi="黑体"/>
          <w:kern w:val="2"/>
          <w:sz w:val="32"/>
          <w:szCs w:val="32"/>
        </w:rPr>
        <w:t>预算数为11.65万元，主要用于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单位职业年金支出。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5.</w:t>
      </w:r>
      <w:r>
        <w:rPr>
          <w:rFonts w:hint="eastAsia" w:hAnsi="黑体"/>
          <w:kern w:val="2"/>
          <w:sz w:val="32"/>
          <w:szCs w:val="32"/>
        </w:rPr>
        <w:t>210（类）11（款）01（项）行政单位医疗</w:t>
      </w:r>
      <w:r>
        <w:rPr>
          <w:rFonts w:hint="eastAsia" w:hAnsi="黑体"/>
          <w:kern w:val="2"/>
          <w:sz w:val="32"/>
          <w:szCs w:val="32"/>
          <w:lang w:eastAsia="zh-CN"/>
        </w:rPr>
        <w:t>2023年</w:t>
      </w:r>
      <w:r>
        <w:rPr>
          <w:rFonts w:hint="eastAsia" w:hAnsi="黑体"/>
          <w:kern w:val="2"/>
          <w:sz w:val="32"/>
          <w:szCs w:val="32"/>
        </w:rPr>
        <w:t>预算数为6.31万元，主要用于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单位行政医疗支出。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6.</w:t>
      </w:r>
      <w:r>
        <w:rPr>
          <w:rFonts w:hint="eastAsia" w:hAnsi="黑体"/>
          <w:kern w:val="2"/>
          <w:sz w:val="32"/>
          <w:szCs w:val="32"/>
        </w:rPr>
        <w:t>210（类）11（款）02（项）事业单位医疗</w:t>
      </w:r>
      <w:r>
        <w:rPr>
          <w:rFonts w:hint="eastAsia" w:hAnsi="黑体"/>
          <w:kern w:val="2"/>
          <w:sz w:val="32"/>
          <w:szCs w:val="32"/>
          <w:lang w:eastAsia="zh-CN"/>
        </w:rPr>
        <w:t>2023年</w:t>
      </w:r>
      <w:r>
        <w:rPr>
          <w:rFonts w:hint="eastAsia" w:hAnsi="黑体"/>
          <w:kern w:val="2"/>
          <w:sz w:val="32"/>
          <w:szCs w:val="32"/>
        </w:rPr>
        <w:t>预算数为</w:t>
      </w:r>
      <w:r>
        <w:rPr>
          <w:rFonts w:hint="eastAsia" w:hAnsi="黑体"/>
          <w:kern w:val="2"/>
          <w:sz w:val="32"/>
          <w:szCs w:val="32"/>
          <w:lang w:val="en-US" w:eastAsia="zh-CN"/>
        </w:rPr>
        <w:t>3.88</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单位事业医疗支出。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7.</w:t>
      </w:r>
      <w:r>
        <w:rPr>
          <w:rFonts w:hint="eastAsia" w:hAnsi="黑体"/>
          <w:kern w:val="2"/>
          <w:sz w:val="32"/>
          <w:szCs w:val="32"/>
        </w:rPr>
        <w:t>210（类）11（款）03（项）公务员医疗补助</w:t>
      </w:r>
      <w:r>
        <w:rPr>
          <w:rFonts w:hint="eastAsia" w:hAnsi="黑体"/>
          <w:kern w:val="2"/>
          <w:sz w:val="32"/>
          <w:szCs w:val="32"/>
          <w:lang w:eastAsia="zh-CN"/>
        </w:rPr>
        <w:t>2023年</w:t>
      </w:r>
      <w:r>
        <w:rPr>
          <w:rFonts w:hint="eastAsia" w:hAnsi="黑体"/>
          <w:kern w:val="2"/>
          <w:sz w:val="32"/>
          <w:szCs w:val="32"/>
        </w:rPr>
        <w:t>预算数为0.91万元，主要用于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单位公务员医疗补助支出。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8</w:t>
      </w:r>
      <w:r>
        <w:rPr>
          <w:rFonts w:hint="eastAsia" w:hAnsi="黑体"/>
          <w:kern w:val="2"/>
          <w:sz w:val="32"/>
          <w:szCs w:val="32"/>
        </w:rPr>
        <w:t>.210（类）11（款）03（项）其他行政事业单位医疗支出</w:t>
      </w:r>
      <w:r>
        <w:rPr>
          <w:rFonts w:hint="eastAsia" w:hAnsi="黑体"/>
          <w:kern w:val="2"/>
          <w:sz w:val="32"/>
          <w:szCs w:val="32"/>
          <w:lang w:eastAsia="zh-CN"/>
        </w:rPr>
        <w:t>2023年</w:t>
      </w:r>
      <w:r>
        <w:rPr>
          <w:rFonts w:hint="eastAsia" w:hAnsi="黑体"/>
          <w:kern w:val="2"/>
          <w:sz w:val="32"/>
          <w:szCs w:val="32"/>
        </w:rPr>
        <w:t>预算数为1.08万元，主要用于 :</w:t>
      </w:r>
      <w:r>
        <w:rPr>
          <w:rFonts w:hint="eastAsia" w:hAnsi="黑体"/>
          <w:kern w:val="2"/>
          <w:sz w:val="32"/>
          <w:szCs w:val="32"/>
          <w:lang w:eastAsia="zh-CN"/>
        </w:rPr>
        <w:t>2023年</w:t>
      </w:r>
      <w:r>
        <w:rPr>
          <w:rFonts w:hint="eastAsia" w:hAnsi="黑体"/>
          <w:kern w:val="2"/>
          <w:sz w:val="32"/>
          <w:szCs w:val="32"/>
        </w:rPr>
        <w:t>单位其他行政事业单位医疗支出支出。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9</w:t>
      </w:r>
      <w:r>
        <w:rPr>
          <w:rFonts w:hAnsi="黑体"/>
          <w:kern w:val="2"/>
          <w:sz w:val="32"/>
          <w:szCs w:val="32"/>
        </w:rPr>
        <w:t>.</w:t>
      </w:r>
      <w:r>
        <w:rPr>
          <w:rFonts w:hint="eastAsia" w:hAnsi="黑体"/>
          <w:kern w:val="2"/>
          <w:sz w:val="32"/>
          <w:szCs w:val="32"/>
        </w:rPr>
        <w:t>221（类）02（款）01（项）住房公积金</w:t>
      </w:r>
      <w:r>
        <w:rPr>
          <w:rFonts w:hint="eastAsia" w:hAnsi="黑体"/>
          <w:kern w:val="2"/>
          <w:sz w:val="32"/>
          <w:szCs w:val="32"/>
          <w:lang w:eastAsia="zh-CN"/>
        </w:rPr>
        <w:t>2023年</w:t>
      </w:r>
      <w:r>
        <w:rPr>
          <w:rFonts w:hint="eastAsia" w:hAnsi="黑体"/>
          <w:kern w:val="2"/>
          <w:sz w:val="32"/>
          <w:szCs w:val="32"/>
        </w:rPr>
        <w:t>预算数为</w:t>
      </w:r>
      <w:r>
        <w:rPr>
          <w:rFonts w:hint="eastAsia" w:hAnsi="黑体"/>
          <w:kern w:val="2"/>
          <w:sz w:val="32"/>
          <w:szCs w:val="32"/>
          <w:lang w:eastAsia="zh-CN"/>
        </w:rPr>
        <w:t>17.7</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2023年</w:t>
      </w:r>
      <w:r>
        <w:rPr>
          <w:rFonts w:hint="eastAsia" w:hAnsi="黑体"/>
          <w:kern w:val="2"/>
          <w:sz w:val="32"/>
          <w:szCs w:val="32"/>
        </w:rPr>
        <w:t>单位住房公积金支出。</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rPr>
        <w:t xml:space="preserve"> </w:t>
      </w:r>
      <w:bookmarkStart w:id="12" w:name="_Toc30963"/>
      <w:r>
        <w:rPr>
          <w:rFonts w:hint="eastAsia" w:ascii="黑体" w:hAnsi="黑体" w:eastAsia="黑体" w:cs="黑体"/>
          <w:kern w:val="2"/>
          <w:sz w:val="32"/>
          <w:szCs w:val="32"/>
        </w:rPr>
        <w:t>一般公共预算基本支出情况说明</w:t>
      </w:r>
      <w:bookmarkEnd w:id="12"/>
    </w:p>
    <w:p>
      <w:pPr>
        <w:pStyle w:val="27"/>
        <w:spacing w:before="0" w:line="360" w:lineRule="auto"/>
        <w:ind w:firstLine="640" w:firstLineChars="200"/>
        <w:rPr>
          <w:rFonts w:hAnsi="黑体" w:cs="Times New Roman"/>
          <w:kern w:val="2"/>
          <w:sz w:val="32"/>
          <w:szCs w:val="32"/>
        </w:rPr>
      </w:pPr>
      <w:r>
        <w:rPr>
          <w:rFonts w:hint="eastAsia" w:hAnsi="黑体"/>
          <w:kern w:val="2"/>
          <w:sz w:val="32"/>
          <w:szCs w:val="32"/>
        </w:rPr>
        <w:t>壤塘县信访局</w:t>
      </w:r>
      <w:r>
        <w:rPr>
          <w:rFonts w:hint="eastAsia" w:hAnsi="黑体"/>
          <w:kern w:val="2"/>
          <w:sz w:val="32"/>
          <w:szCs w:val="32"/>
          <w:lang w:eastAsia="zh-CN"/>
        </w:rPr>
        <w:t>2023年</w:t>
      </w:r>
      <w:r>
        <w:rPr>
          <w:rFonts w:hint="eastAsia" w:hAnsi="黑体"/>
          <w:kern w:val="2"/>
          <w:sz w:val="32"/>
          <w:szCs w:val="32"/>
        </w:rPr>
        <w:t>一般公共预算基本支出191.08万元，其中：人员经费170.03万元，主要包括：基本工资、津贴补贴、奖金、其他社会保障缴费、绩效工资、机关事业单位基本养老保险缴费、职业年金缴费、其他工资福利支出、离休费、奖励金、住房公积金、其他对个人和家庭的补助支出。公用经费21.05万元，主要包括：办公费、印刷费、手续费、水费、电费、邮电费、差旅费、维修（护）费、租赁费、会议费、培训费、劳务费、工会经费、福利费、其他交通工具运行维护费、其他商品和服务支出。</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3" w:name="_Toc12642"/>
      <w:r>
        <w:rPr>
          <w:rFonts w:hint="eastAsia" w:ascii="黑体" w:hAnsi="黑体" w:eastAsia="黑体" w:cs="黑体"/>
          <w:kern w:val="2"/>
          <w:sz w:val="32"/>
          <w:szCs w:val="32"/>
        </w:rPr>
        <w:t>“三公”经费财政拨款预算安排情况说明</w:t>
      </w:r>
      <w:bookmarkEnd w:id="13"/>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壤塘县信访局</w:t>
      </w:r>
      <w:r>
        <w:rPr>
          <w:rFonts w:hint="eastAsia" w:hAnsi="黑体"/>
          <w:kern w:val="2"/>
          <w:sz w:val="32"/>
          <w:szCs w:val="32"/>
          <w:lang w:eastAsia="zh-CN"/>
        </w:rPr>
        <w:t>2023年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0</w:t>
      </w:r>
      <w:r>
        <w:rPr>
          <w:rFonts w:hint="eastAsia" w:hAnsi="黑体"/>
          <w:kern w:val="2"/>
          <w:sz w:val="32"/>
          <w:szCs w:val="32"/>
        </w:rPr>
        <w:t>万元，其中：公务用车购置及运行维护费</w:t>
      </w:r>
      <w:r>
        <w:rPr>
          <w:rFonts w:hint="eastAsia" w:hAnsi="黑体"/>
          <w:kern w:val="2"/>
          <w:sz w:val="32"/>
          <w:szCs w:val="32"/>
          <w:lang w:val="en-US" w:eastAsia="zh-CN"/>
        </w:rPr>
        <w:t>0</w:t>
      </w:r>
      <w:r>
        <w:rPr>
          <w:rFonts w:hint="eastAsia" w:hAnsi="黑体"/>
          <w:kern w:val="2"/>
          <w:sz w:val="32"/>
          <w:szCs w:val="32"/>
        </w:rPr>
        <w:t>万元。</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4" w:name="_Toc9689"/>
      <w:r>
        <w:rPr>
          <w:rFonts w:hint="eastAsia" w:ascii="黑体" w:hAnsi="黑体" w:eastAsia="黑体" w:cs="黑体"/>
          <w:kern w:val="2"/>
          <w:sz w:val="32"/>
          <w:szCs w:val="32"/>
        </w:rPr>
        <w:t>政府性基金预算支出情况说明</w:t>
      </w:r>
      <w:bookmarkEnd w:id="14"/>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480" w:leftChars="0"/>
        <w:textAlignment w:val="auto"/>
        <w:outlineLvl w:val="9"/>
        <w:rPr>
          <w:rFonts w:hint="eastAsia" w:hAnsi="黑体"/>
          <w:kern w:val="2"/>
          <w:sz w:val="32"/>
          <w:szCs w:val="32"/>
        </w:rPr>
      </w:pPr>
      <w:r>
        <w:rPr>
          <w:rFonts w:hint="eastAsia" w:ascii="??" w:hAnsi="??" w:eastAsia="宋体" w:cs="宋体"/>
          <w:sz w:val="16"/>
          <w:szCs w:val="16"/>
        </w:rPr>
        <w:t>　</w:t>
      </w:r>
      <w:r>
        <w:rPr>
          <w:rFonts w:hint="eastAsia" w:hAnsi="黑体"/>
          <w:kern w:val="2"/>
          <w:sz w:val="32"/>
          <w:szCs w:val="32"/>
        </w:rPr>
        <w:t>壤塘县信访局</w:t>
      </w:r>
      <w:r>
        <w:rPr>
          <w:rFonts w:hint="eastAsia" w:hAnsi="黑体"/>
          <w:kern w:val="2"/>
          <w:sz w:val="32"/>
          <w:szCs w:val="32"/>
          <w:lang w:eastAsia="zh-CN"/>
        </w:rPr>
        <w:t>2023年</w:t>
      </w:r>
      <w:r>
        <w:rPr>
          <w:rFonts w:hint="eastAsia" w:hAnsi="黑体"/>
          <w:kern w:val="2"/>
          <w:sz w:val="32"/>
          <w:szCs w:val="32"/>
        </w:rPr>
        <w:t>无政府性基金预算拨款。</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5" w:name="_Toc23192"/>
      <w:r>
        <w:rPr>
          <w:rFonts w:hint="eastAsia" w:ascii="黑体" w:hAnsi="黑体" w:eastAsia="黑体" w:cs="黑体"/>
          <w:kern w:val="2"/>
          <w:sz w:val="32"/>
          <w:szCs w:val="32"/>
        </w:rPr>
        <w:t>其他重要事项的情况说明</w:t>
      </w:r>
      <w:bookmarkEnd w:id="15"/>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color w:val="auto"/>
          <w:kern w:val="2"/>
          <w:sz w:val="32"/>
          <w:szCs w:val="32"/>
        </w:rPr>
      </w:pPr>
      <w:r>
        <w:rPr>
          <w:rFonts w:hint="eastAsia" w:hAnsi="黑体"/>
          <w:color w:val="auto"/>
          <w:kern w:val="2"/>
          <w:sz w:val="32"/>
          <w:szCs w:val="32"/>
        </w:rPr>
        <w:t>无</w:t>
      </w:r>
    </w:p>
    <w:p>
      <w:pPr>
        <w:pStyle w:val="27"/>
        <w:keepNext w:val="0"/>
        <w:keepLines w:val="0"/>
        <w:pageBreakBefore w:val="0"/>
        <w:widowControl w:val="0"/>
        <w:numPr>
          <w:ilvl w:val="0"/>
          <w:numId w:val="6"/>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6" w:name="_Toc929"/>
      <w:r>
        <w:rPr>
          <w:rFonts w:hint="eastAsia" w:ascii="楷体_GB2312" w:hAnsi="黑体" w:eastAsia="楷体_GB2312" w:cs="楷体_GB2312"/>
          <w:b/>
          <w:bCs/>
          <w:kern w:val="2"/>
          <w:sz w:val="32"/>
          <w:szCs w:val="32"/>
        </w:rPr>
        <w:t>机关运行经费</w:t>
      </w:r>
      <w:bookmarkEnd w:id="16"/>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textAlignment w:val="auto"/>
        <w:outlineLvl w:val="9"/>
        <w:rPr>
          <w:rFonts w:hint="eastAsia" w:hAnsi="黑体"/>
          <w:color w:val="auto"/>
          <w:kern w:val="2"/>
          <w:sz w:val="32"/>
          <w:szCs w:val="32"/>
        </w:rPr>
      </w:pPr>
      <w:r>
        <w:rPr>
          <w:rFonts w:hint="eastAsia" w:hAnsi="黑体"/>
          <w:color w:val="auto"/>
          <w:kern w:val="2"/>
          <w:sz w:val="32"/>
          <w:szCs w:val="32"/>
          <w:lang w:val="en-US" w:eastAsia="zh-CN"/>
        </w:rPr>
        <w:t xml:space="preserve">   </w:t>
      </w:r>
      <w:r>
        <w:rPr>
          <w:rFonts w:hint="eastAsia" w:hAnsi="黑体"/>
          <w:color w:val="auto"/>
          <w:kern w:val="2"/>
          <w:sz w:val="32"/>
          <w:szCs w:val="32"/>
        </w:rPr>
        <w:t>壤塘县信访局</w:t>
      </w:r>
      <w:r>
        <w:rPr>
          <w:rFonts w:hint="eastAsia" w:hAnsi="黑体"/>
          <w:color w:val="auto"/>
          <w:kern w:val="2"/>
          <w:sz w:val="32"/>
          <w:szCs w:val="32"/>
          <w:lang w:eastAsia="zh-CN"/>
        </w:rPr>
        <w:t>2023年</w:t>
      </w:r>
      <w:r>
        <w:rPr>
          <w:rFonts w:hint="eastAsia" w:hAnsi="黑体"/>
          <w:color w:val="auto"/>
          <w:kern w:val="2"/>
          <w:sz w:val="32"/>
          <w:szCs w:val="32"/>
        </w:rPr>
        <w:t>机关运行经费财政拨款预算为20.96万元，比</w:t>
      </w:r>
      <w:r>
        <w:rPr>
          <w:rFonts w:hint="eastAsia" w:hAnsi="黑体"/>
          <w:color w:val="auto"/>
          <w:kern w:val="2"/>
          <w:sz w:val="32"/>
          <w:szCs w:val="32"/>
          <w:lang w:eastAsia="zh-CN"/>
        </w:rPr>
        <w:t>2022年</w:t>
      </w:r>
      <w:r>
        <w:rPr>
          <w:rFonts w:hint="eastAsia" w:hAnsi="黑体"/>
          <w:color w:val="auto"/>
          <w:kern w:val="2"/>
          <w:sz w:val="32"/>
          <w:szCs w:val="32"/>
          <w:lang w:val="en-US" w:eastAsia="zh-CN"/>
        </w:rPr>
        <w:t>增加0.09万元，增加</w:t>
      </w:r>
      <w:bookmarkStart w:id="21" w:name="_GoBack"/>
      <w:bookmarkEnd w:id="21"/>
      <w:r>
        <w:rPr>
          <w:rFonts w:hint="eastAsia" w:hAnsi="黑体"/>
          <w:color w:val="auto"/>
          <w:kern w:val="2"/>
          <w:sz w:val="32"/>
          <w:szCs w:val="32"/>
          <w:lang w:val="en-US" w:eastAsia="zh-CN"/>
        </w:rPr>
        <w:t>0.43</w:t>
      </w:r>
      <w:r>
        <w:rPr>
          <w:rFonts w:hint="eastAsia" w:hAnsi="黑体"/>
          <w:color w:val="auto"/>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outlineLvl w:val="1"/>
        <w:rPr>
          <w:rFonts w:hAnsi="黑体" w:cs="Times New Roman"/>
          <w:kern w:val="2"/>
          <w:sz w:val="32"/>
          <w:szCs w:val="32"/>
        </w:rPr>
      </w:pPr>
      <w:bookmarkStart w:id="17" w:name="_Toc31143"/>
      <w:r>
        <w:rPr>
          <w:rFonts w:hint="eastAsia" w:ascii="楷体_GB2312" w:hAnsi="黑体" w:eastAsia="楷体_GB2312" w:cs="楷体_GB2312"/>
          <w:b/>
          <w:bCs/>
          <w:kern w:val="2"/>
          <w:sz w:val="32"/>
          <w:szCs w:val="32"/>
        </w:rPr>
        <w:t>（二）政府采购情况</w:t>
      </w:r>
      <w:bookmarkEnd w:id="17"/>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hAnsi="黑体"/>
          <w:kern w:val="2"/>
          <w:sz w:val="32"/>
          <w:szCs w:val="32"/>
        </w:rPr>
      </w:pPr>
      <w:r>
        <w:rPr>
          <w:rFonts w:hint="eastAsia" w:hAnsi="黑体"/>
          <w:kern w:val="2"/>
          <w:sz w:val="32"/>
          <w:szCs w:val="32"/>
          <w:lang w:eastAsia="zh-CN"/>
        </w:rPr>
        <w:t>2023年</w:t>
      </w:r>
      <w:r>
        <w:rPr>
          <w:rFonts w:hint="eastAsia" w:hAnsi="黑体"/>
          <w:kern w:val="2"/>
          <w:sz w:val="32"/>
          <w:szCs w:val="32"/>
        </w:rPr>
        <w:t>壤塘县信访局未安排政府采购预算。</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1"/>
        <w:rPr>
          <w:rFonts w:hint="eastAsia" w:hAnsi="黑体"/>
          <w:kern w:val="2"/>
          <w:sz w:val="32"/>
          <w:szCs w:val="32"/>
        </w:rPr>
      </w:pPr>
      <w:bookmarkStart w:id="18" w:name="_Toc12129"/>
      <w:r>
        <w:rPr>
          <w:rFonts w:hint="eastAsia" w:hAnsi="黑体"/>
          <w:kern w:val="2"/>
          <w:sz w:val="32"/>
          <w:szCs w:val="32"/>
          <w:lang w:eastAsia="zh-CN"/>
        </w:rPr>
        <w:t>（</w:t>
      </w:r>
      <w:r>
        <w:rPr>
          <w:rFonts w:hint="eastAsia" w:hAnsi="黑体"/>
          <w:kern w:val="2"/>
          <w:sz w:val="32"/>
          <w:szCs w:val="32"/>
          <w:lang w:val="en-US" w:eastAsia="zh-CN"/>
        </w:rPr>
        <w:t>三</w:t>
      </w:r>
      <w:r>
        <w:rPr>
          <w:rFonts w:hint="eastAsia" w:hAnsi="黑体"/>
          <w:kern w:val="2"/>
          <w:sz w:val="32"/>
          <w:szCs w:val="32"/>
          <w:lang w:eastAsia="zh-CN"/>
        </w:rPr>
        <w:t>）</w:t>
      </w:r>
      <w:r>
        <w:rPr>
          <w:rFonts w:hint="eastAsia" w:hAnsi="黑体"/>
          <w:kern w:val="2"/>
          <w:sz w:val="32"/>
          <w:szCs w:val="32"/>
        </w:rPr>
        <w:t>国有资产占有使用情况</w:t>
      </w:r>
      <w:bookmarkEnd w:id="18"/>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无</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3" w:firstLineChars="200"/>
        <w:textAlignment w:val="auto"/>
        <w:outlineLvl w:val="1"/>
        <w:rPr>
          <w:rFonts w:hint="eastAsia" w:ascii="楷体_GB2312" w:hAnsi="黑体" w:eastAsia="楷体_GB2312" w:cs="楷体_GB2312"/>
          <w:b/>
          <w:bCs/>
          <w:kern w:val="2"/>
          <w:sz w:val="32"/>
          <w:szCs w:val="32"/>
        </w:rPr>
      </w:pPr>
      <w:bookmarkStart w:id="19" w:name="_Toc17726"/>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绩效目标设置情况</w:t>
      </w:r>
      <w:bookmarkEnd w:id="19"/>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firstLine="640" w:firstLineChars="200"/>
        <w:textAlignment w:val="auto"/>
        <w:rPr>
          <w:rFonts w:ascii="楷体_GB2312" w:hAnsi="黑体" w:eastAsia="楷体_GB2312" w:cs="楷体_GB2312"/>
          <w:b/>
          <w:bCs/>
          <w:kern w:val="2"/>
          <w:sz w:val="32"/>
          <w:szCs w:val="32"/>
        </w:rPr>
      </w:pPr>
      <w:r>
        <w:rPr>
          <w:rFonts w:hint="eastAsia" w:hAnsi="黑体"/>
          <w:kern w:val="2"/>
          <w:sz w:val="32"/>
          <w:szCs w:val="32"/>
          <w:lang w:eastAsia="zh-CN"/>
        </w:rPr>
        <w:t>2023年</w:t>
      </w:r>
      <w:r>
        <w:rPr>
          <w:rFonts w:hint="eastAsia" w:hAnsi="黑体"/>
          <w:kern w:val="2"/>
          <w:sz w:val="32"/>
          <w:szCs w:val="32"/>
        </w:rPr>
        <w:t>壤塘县信访局通用项目和专用项目均按要求实行绩效目标管理。</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20" w:name="_Toc9019"/>
      <w:r>
        <w:rPr>
          <w:rFonts w:hint="eastAsia" w:ascii="黑体" w:hAnsi="黑体" w:eastAsia="黑体" w:cs="黑体"/>
          <w:kern w:val="2"/>
          <w:sz w:val="32"/>
          <w:szCs w:val="32"/>
        </w:rPr>
        <w:t>名词解释</w:t>
      </w:r>
      <w:bookmarkEnd w:id="20"/>
    </w:p>
    <w:p>
      <w:pPr>
        <w:pStyle w:val="27"/>
        <w:spacing w:before="0" w:line="360" w:lineRule="auto"/>
        <w:ind w:firstLine="640" w:firstLineChars="200"/>
        <w:rPr>
          <w:rFonts w:hAnsi="黑体" w:cs="Times New Roman"/>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hAnsi="黑体" w:eastAsia="仿宋_GB2312" w:cs="Times New Roman"/>
          <w:sz w:val="32"/>
          <w:szCs w:val="32"/>
        </w:rPr>
      </w:pPr>
    </w:p>
    <w:sectPr>
      <w:pgSz w:w="11850" w:h="16783"/>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7B6441"/>
    <w:multiLevelType w:val="singleLevel"/>
    <w:tmpl w:val="C37B6441"/>
    <w:lvl w:ilvl="0" w:tentative="0">
      <w:start w:val="1"/>
      <w:numFmt w:val="chineseCounting"/>
      <w:suff w:val="nothing"/>
      <w:lvlText w:val="（%1）"/>
      <w:lvlJc w:val="left"/>
      <w:rPr>
        <w:rFonts w:hint="eastAsia"/>
      </w:rPr>
    </w:lvl>
  </w:abstractNum>
  <w:abstractNum w:abstractNumId="1">
    <w:nsid w:val="CA438BAF"/>
    <w:multiLevelType w:val="singleLevel"/>
    <w:tmpl w:val="CA438BAF"/>
    <w:lvl w:ilvl="0" w:tentative="0">
      <w:start w:val="1"/>
      <w:numFmt w:val="chineseCounting"/>
      <w:suff w:val="nothing"/>
      <w:lvlText w:val="（%1）"/>
      <w:lvlJc w:val="left"/>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23"/>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ECCAD31"/>
    <w:multiLevelType w:val="singleLevel"/>
    <w:tmpl w:val="6ECCAD31"/>
    <w:lvl w:ilvl="0" w:tentative="0">
      <w:start w:val="4"/>
      <w:numFmt w:val="chineseCounting"/>
      <w:suff w:val="nothing"/>
      <w:lvlText w:val="%1、"/>
      <w:lvlJc w:val="left"/>
      <w:rPr>
        <w:rFonts w:hint="eastAsia"/>
      </w:rPr>
    </w:lvl>
  </w:abstractNum>
  <w:abstractNum w:abstractNumId="4">
    <w:nsid w:val="7810B98A"/>
    <w:multiLevelType w:val="singleLevel"/>
    <w:tmpl w:val="7810B98A"/>
    <w:lvl w:ilvl="0" w:tentative="0">
      <w:start w:val="1"/>
      <w:numFmt w:val="chineseCounting"/>
      <w:suff w:val="nothing"/>
      <w:lvlText w:val="%1、"/>
      <w:lvlJc w:val="left"/>
      <w:rPr>
        <w:rFonts w:hint="eastAsia"/>
      </w:rPr>
    </w:lvl>
  </w:abstractNum>
  <w:abstractNum w:abstractNumId="5">
    <w:nsid w:val="78DD5C70"/>
    <w:multiLevelType w:val="singleLevel"/>
    <w:tmpl w:val="78DD5C70"/>
    <w:lvl w:ilvl="0" w:tentative="0">
      <w:start w:val="1"/>
      <w:numFmt w:val="chineseCounting"/>
      <w:suff w:val="nothing"/>
      <w:lvlText w:val="（%1）"/>
      <w:lvlJc w:val="left"/>
      <w:rPr>
        <w:rFonts w:hint="eastAsia"/>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02FEA"/>
    <w:rsid w:val="00082EF4"/>
    <w:rsid w:val="00085137"/>
    <w:rsid w:val="00097A74"/>
    <w:rsid w:val="000A083C"/>
    <w:rsid w:val="00105B15"/>
    <w:rsid w:val="001A196D"/>
    <w:rsid w:val="002026C1"/>
    <w:rsid w:val="00212DBB"/>
    <w:rsid w:val="00260082"/>
    <w:rsid w:val="00264016"/>
    <w:rsid w:val="002946BD"/>
    <w:rsid w:val="002F6713"/>
    <w:rsid w:val="00316466"/>
    <w:rsid w:val="00334FF2"/>
    <w:rsid w:val="00352854"/>
    <w:rsid w:val="003762A5"/>
    <w:rsid w:val="004103CC"/>
    <w:rsid w:val="00420C45"/>
    <w:rsid w:val="0043059D"/>
    <w:rsid w:val="00471829"/>
    <w:rsid w:val="0047755A"/>
    <w:rsid w:val="00484AEB"/>
    <w:rsid w:val="004A7CFC"/>
    <w:rsid w:val="00527A2C"/>
    <w:rsid w:val="0059475F"/>
    <w:rsid w:val="00681CB7"/>
    <w:rsid w:val="006F18F1"/>
    <w:rsid w:val="007221E6"/>
    <w:rsid w:val="007B3677"/>
    <w:rsid w:val="007C7CD1"/>
    <w:rsid w:val="00844940"/>
    <w:rsid w:val="00882412"/>
    <w:rsid w:val="008C1FFD"/>
    <w:rsid w:val="008D3923"/>
    <w:rsid w:val="008F63EB"/>
    <w:rsid w:val="009272A9"/>
    <w:rsid w:val="009544A0"/>
    <w:rsid w:val="00986E64"/>
    <w:rsid w:val="00987B5A"/>
    <w:rsid w:val="009C5F76"/>
    <w:rsid w:val="00A55379"/>
    <w:rsid w:val="00B35F0F"/>
    <w:rsid w:val="00B713B0"/>
    <w:rsid w:val="00BB34A8"/>
    <w:rsid w:val="00BD787B"/>
    <w:rsid w:val="00C0348B"/>
    <w:rsid w:val="00C451EA"/>
    <w:rsid w:val="00C8183B"/>
    <w:rsid w:val="00D20EAB"/>
    <w:rsid w:val="00EF71D0"/>
    <w:rsid w:val="00F743F0"/>
    <w:rsid w:val="00F806C0"/>
    <w:rsid w:val="00F80C32"/>
    <w:rsid w:val="00FF11B9"/>
    <w:rsid w:val="145F6AAB"/>
    <w:rsid w:val="16CA62A6"/>
    <w:rsid w:val="178A7574"/>
    <w:rsid w:val="19486EBE"/>
    <w:rsid w:val="1A9A51D6"/>
    <w:rsid w:val="1C784EAC"/>
    <w:rsid w:val="23C15FD1"/>
    <w:rsid w:val="28CB15EA"/>
    <w:rsid w:val="2A723802"/>
    <w:rsid w:val="2A7A3526"/>
    <w:rsid w:val="2BDD1C23"/>
    <w:rsid w:val="30EC7ED5"/>
    <w:rsid w:val="3CE8319C"/>
    <w:rsid w:val="4D6A0AAB"/>
    <w:rsid w:val="522F6D22"/>
    <w:rsid w:val="670B7E05"/>
    <w:rsid w:val="69A1603A"/>
    <w:rsid w:val="6DAD3181"/>
    <w:rsid w:val="6EBC5D90"/>
    <w:rsid w:val="7880612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3">
    <w:name w:val="Default Paragraph Font"/>
    <w:semiHidden/>
    <w:qFormat/>
    <w:uiPriority w:val="99"/>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1"/>
    <w:rPr>
      <w:rFonts w:ascii="仿宋_GB2312" w:hAnsi="仿宋_GB2312" w:eastAsia="仿宋_GB2312" w:cs="仿宋_GB2312"/>
      <w:sz w:val="32"/>
      <w:szCs w:val="32"/>
      <w:lang w:val="zh-CN" w:bidi="zh-CN"/>
    </w:rPr>
  </w:style>
  <w:style w:type="paragraph" w:styleId="3">
    <w:name w:val="index 8"/>
    <w:basedOn w:val="1"/>
    <w:next w:val="1"/>
    <w:unhideWhenUsed/>
    <w:qFormat/>
    <w:uiPriority w:val="99"/>
    <w:pPr>
      <w:ind w:left="2940"/>
    </w:pPr>
  </w:style>
  <w:style w:type="paragraph" w:styleId="4">
    <w:name w:val="annotation text"/>
    <w:basedOn w:val="1"/>
    <w:link w:val="18"/>
    <w:unhideWhenUsed/>
    <w:qFormat/>
    <w:uiPriority w:val="99"/>
    <w:pPr>
      <w:jc w:val="left"/>
    </w:pPr>
  </w:style>
  <w:style w:type="paragraph" w:styleId="5">
    <w:name w:val="footer"/>
    <w:basedOn w:val="1"/>
    <w:link w:val="19"/>
    <w:semiHidden/>
    <w:uiPriority w:val="99"/>
    <w:pPr>
      <w:tabs>
        <w:tab w:val="center" w:pos="4153"/>
        <w:tab w:val="right" w:pos="8306"/>
      </w:tabs>
      <w:snapToGrid w:val="0"/>
      <w:jc w:val="left"/>
    </w:pPr>
    <w:rPr>
      <w:sz w:val="18"/>
      <w:szCs w:val="18"/>
    </w:rPr>
  </w:style>
  <w:style w:type="paragraph" w:styleId="6">
    <w:name w:val="header"/>
    <w:basedOn w:val="1"/>
    <w:link w:val="17"/>
    <w:semiHidden/>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ocked/>
    <w:uiPriority w:val="0"/>
  </w:style>
  <w:style w:type="paragraph" w:styleId="8">
    <w:name w:val="toc 2"/>
    <w:basedOn w:val="1"/>
    <w:next w:val="1"/>
    <w:locked/>
    <w:uiPriority w:val="0"/>
    <w:pPr>
      <w:ind w:left="420" w:leftChars="200"/>
    </w:p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paragraph" w:styleId="10">
    <w:name w:val="annotation subject"/>
    <w:basedOn w:val="4"/>
    <w:next w:val="4"/>
    <w:link w:val="20"/>
    <w:unhideWhenUsed/>
    <w:uiPriority w:val="99"/>
    <w:rPr>
      <w:b/>
      <w:bCs/>
    </w:rPr>
  </w:style>
  <w:style w:type="table" w:styleId="12">
    <w:name w:val="Table Grid"/>
    <w:basedOn w:val="11"/>
    <w:unhideWhenUsed/>
    <w:qFormat/>
    <w:locked/>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99"/>
  </w:style>
  <w:style w:type="character" w:styleId="15">
    <w:name w:val="annotation reference"/>
    <w:unhideWhenUsed/>
    <w:uiPriority w:val="99"/>
    <w:rPr>
      <w:sz w:val="21"/>
      <w:szCs w:val="21"/>
    </w:rPr>
  </w:style>
  <w:style w:type="character" w:customStyle="1" w:styleId="16">
    <w:name w:val="默认段落字体1"/>
    <w:uiPriority w:val="99"/>
    <w:rPr>
      <w:sz w:val="22"/>
      <w:szCs w:val="22"/>
    </w:rPr>
  </w:style>
  <w:style w:type="character" w:customStyle="1" w:styleId="17">
    <w:name w:val="页眉 Char"/>
    <w:link w:val="6"/>
    <w:semiHidden/>
    <w:locked/>
    <w:uiPriority w:val="99"/>
    <w:rPr>
      <w:sz w:val="18"/>
      <w:szCs w:val="18"/>
    </w:rPr>
  </w:style>
  <w:style w:type="character" w:customStyle="1" w:styleId="18">
    <w:name w:val="批注文字 字符"/>
    <w:link w:val="4"/>
    <w:semiHidden/>
    <w:uiPriority w:val="99"/>
    <w:rPr>
      <w:rFonts w:cs="Calibri"/>
      <w:kern w:val="2"/>
      <w:sz w:val="21"/>
      <w:szCs w:val="21"/>
    </w:rPr>
  </w:style>
  <w:style w:type="character" w:customStyle="1" w:styleId="19">
    <w:name w:val="页脚 Char"/>
    <w:link w:val="5"/>
    <w:semiHidden/>
    <w:locked/>
    <w:uiPriority w:val="99"/>
    <w:rPr>
      <w:sz w:val="18"/>
      <w:szCs w:val="18"/>
    </w:rPr>
  </w:style>
  <w:style w:type="character" w:customStyle="1" w:styleId="20">
    <w:name w:val="批注主题 字符"/>
    <w:link w:val="10"/>
    <w:semiHidden/>
    <w:uiPriority w:val="99"/>
    <w:rPr>
      <w:rFonts w:cs="Calibri"/>
      <w:b/>
      <w:bCs/>
      <w:kern w:val="2"/>
      <w:sz w:val="21"/>
      <w:szCs w:val="21"/>
    </w:rPr>
  </w:style>
  <w:style w:type="character" w:customStyle="1" w:styleId="21">
    <w:name w:val="NormalCharacter"/>
    <w:semiHidden/>
    <w:qFormat/>
    <w:uiPriority w:val="0"/>
  </w:style>
  <w:style w:type="paragraph" w:customStyle="1" w:styleId="22">
    <w:name w:val="List Paragraph"/>
    <w:basedOn w:val="1"/>
    <w:qFormat/>
    <w:uiPriority w:val="99"/>
    <w:pPr>
      <w:ind w:firstLine="420" w:firstLineChars="200"/>
    </w:pPr>
  </w:style>
  <w:style w:type="paragraph" w:customStyle="1" w:styleId="23">
    <w:name w:val="UserStyle_1"/>
    <w:basedOn w:val="1"/>
    <w:next w:val="24"/>
    <w:qFormat/>
    <w:uiPriority w:val="0"/>
    <w:pPr>
      <w:keepNext/>
      <w:keepLines/>
      <w:widowControl w:val="0"/>
      <w:numPr>
        <w:ilvl w:val="4"/>
        <w:numId w:val="1"/>
      </w:numPr>
      <w:tabs>
        <w:tab w:val="left" w:pos="3600"/>
      </w:tabs>
      <w:spacing w:before="280" w:after="156" w:line="377" w:lineRule="auto"/>
      <w:ind w:left="3600" w:hanging="360"/>
      <w:textAlignment w:val="auto"/>
    </w:pPr>
    <w:rPr>
      <w:rFonts w:ascii="Arial" w:hAnsi="Arial" w:eastAsia="黑体" w:cs="Times New Roman"/>
      <w:b/>
      <w:sz w:val="24"/>
      <w:szCs w:val="28"/>
    </w:rPr>
  </w:style>
  <w:style w:type="paragraph" w:customStyle="1" w:styleId="24">
    <w:name w:val="UserStyle_0"/>
    <w:qFormat/>
    <w:uiPriority w:val="0"/>
    <w:pPr>
      <w:spacing w:line="300" w:lineRule="auto"/>
      <w:textAlignment w:val="baseline"/>
    </w:pPr>
    <w:rPr>
      <w:rFonts w:ascii="Arial" w:hAnsi="Arial" w:eastAsia="宋体" w:cs="Times New Roman"/>
      <w:sz w:val="21"/>
      <w:szCs w:val="21"/>
      <w:lang w:val="en-US" w:eastAsia="zh-CN" w:bidi="ar-SA"/>
    </w:rPr>
  </w:style>
  <w:style w:type="paragraph" w:customStyle="1" w:styleId="25">
    <w:name w:val="WPSOffice手动目录 2"/>
    <w:qFormat/>
    <w:uiPriority w:val="0"/>
    <w:pPr>
      <w:ind w:leftChars="200"/>
    </w:pPr>
    <w:rPr>
      <w:rFonts w:ascii="Calibri" w:hAnsi="Calibri" w:eastAsia="宋体" w:cs="Times New Roman"/>
      <w:sz w:val="20"/>
      <w:szCs w:val="20"/>
    </w:rPr>
  </w:style>
  <w:style w:type="paragraph" w:customStyle="1" w:styleId="26">
    <w:name w:val="WPSOffice手动目录 1"/>
    <w:qFormat/>
    <w:uiPriority w:val="0"/>
    <w:pPr>
      <w:ind w:leftChars="0"/>
    </w:pPr>
    <w:rPr>
      <w:rFonts w:ascii="Calibri" w:hAnsi="Calibri" w:eastAsia="宋体" w:cs="Times New Roman"/>
      <w:sz w:val="20"/>
      <w:szCs w:val="20"/>
    </w:rPr>
  </w:style>
  <w:style w:type="paragraph" w:customStyle="1" w:styleId="27">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476</Words>
  <Characters>2715</Characters>
  <Lines>22</Lines>
  <Paragraphs>6</Paragraphs>
  <TotalTime>4</TotalTime>
  <ScaleCrop>false</ScaleCrop>
  <LinksUpToDate>false</LinksUpToDate>
  <CharactersWithSpaces>3185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人社局</cp:lastModifiedBy>
  <dcterms:modified xsi:type="dcterms:W3CDTF">2023-01-16T08:21:46Z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70DF16C076FB4B318CA8D7B58EA6F086</vt:lpwstr>
  </property>
</Properties>
</file>