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9FE35">
      <w:pPr>
        <w:spacing w:line="600" w:lineRule="exact"/>
        <w:jc w:val="center"/>
        <w:outlineLvl w:val="0"/>
        <w:rPr>
          <w:rFonts w:ascii="方正小标宋简体" w:hAnsi="宋体" w:eastAsia="方正小标宋简体"/>
          <w:color w:val="000000"/>
          <w:sz w:val="72"/>
          <w:szCs w:val="72"/>
        </w:rPr>
      </w:pPr>
      <w:bookmarkStart w:id="0" w:name="_Toc15306267"/>
    </w:p>
    <w:p w14:paraId="074A3313">
      <w:pPr>
        <w:spacing w:line="600" w:lineRule="exact"/>
        <w:jc w:val="center"/>
        <w:outlineLvl w:val="0"/>
        <w:rPr>
          <w:rFonts w:ascii="方正小标宋简体" w:hAnsi="宋体" w:eastAsia="方正小标宋简体"/>
          <w:color w:val="000000"/>
          <w:sz w:val="72"/>
          <w:szCs w:val="72"/>
        </w:rPr>
      </w:pPr>
    </w:p>
    <w:p w14:paraId="6CEACFC9">
      <w:pPr>
        <w:spacing w:line="600" w:lineRule="exact"/>
        <w:jc w:val="center"/>
        <w:outlineLvl w:val="0"/>
        <w:rPr>
          <w:rFonts w:ascii="方正小标宋简体" w:hAnsi="宋体" w:eastAsia="方正小标宋简体"/>
          <w:color w:val="000000"/>
          <w:sz w:val="72"/>
          <w:szCs w:val="72"/>
        </w:rPr>
      </w:pPr>
    </w:p>
    <w:p w14:paraId="1D34AA72">
      <w:pPr>
        <w:jc w:val="center"/>
        <w:rPr>
          <w:rFonts w:ascii="黑体" w:hAnsi="黑体" w:eastAsia="黑体"/>
          <w:sz w:val="72"/>
          <w:szCs w:val="72"/>
        </w:rPr>
      </w:pPr>
      <w:bookmarkStart w:id="1" w:name="_Toc15396597"/>
      <w:bookmarkStart w:id="2" w:name="_Toc15377193"/>
      <w:bookmarkStart w:id="3" w:name="_Toc15378441"/>
      <w:bookmarkStart w:id="4" w:name="_Toc15377425"/>
      <w:bookmarkStart w:id="5" w:name="_Toc15396475"/>
      <w:r>
        <w:rPr>
          <w:rFonts w:hint="eastAsia" w:ascii="黑体" w:hAnsi="黑体" w:eastAsia="黑体"/>
          <w:sz w:val="72"/>
          <w:szCs w:val="72"/>
          <w:lang w:eastAsia="zh-CN"/>
        </w:rPr>
        <w:t>2023</w:t>
      </w:r>
      <w:r>
        <w:rPr>
          <w:rFonts w:hint="eastAsia" w:ascii="黑体" w:hAnsi="黑体" w:eastAsia="黑体"/>
          <w:sz w:val="72"/>
          <w:szCs w:val="72"/>
        </w:rPr>
        <w:t>年度</w:t>
      </w:r>
      <w:bookmarkEnd w:id="1"/>
      <w:bookmarkEnd w:id="2"/>
      <w:bookmarkEnd w:id="3"/>
      <w:bookmarkEnd w:id="4"/>
      <w:bookmarkEnd w:id="5"/>
    </w:p>
    <w:p w14:paraId="4CD4551A">
      <w:pPr>
        <w:jc w:val="center"/>
        <w:rPr>
          <w:rFonts w:ascii="方正小标宋简体" w:eastAsia="方正小标宋简体"/>
          <w:sz w:val="72"/>
          <w:szCs w:val="72"/>
        </w:rPr>
      </w:pPr>
      <w:bookmarkStart w:id="6" w:name="_Toc15377426"/>
      <w:bookmarkStart w:id="7" w:name="_Toc15377194"/>
      <w:bookmarkStart w:id="8" w:name="_Toc15396476"/>
      <w:bookmarkStart w:id="9" w:name="_Toc15396598"/>
      <w:bookmarkStart w:id="10" w:name="_Toc15378442"/>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val="en-US" w:eastAsia="zh-CN"/>
        </w:rPr>
        <w:t>信访接待中心</w:t>
      </w:r>
      <w:r>
        <w:rPr>
          <w:rFonts w:hint="eastAsia" w:ascii="方正小标宋简体" w:eastAsia="方正小标宋简体"/>
          <w:sz w:val="72"/>
          <w:szCs w:val="72"/>
        </w:rPr>
        <w:t>部门决算</w:t>
      </w:r>
      <w:bookmarkEnd w:id="6"/>
      <w:bookmarkEnd w:id="7"/>
      <w:bookmarkEnd w:id="8"/>
      <w:bookmarkEnd w:id="9"/>
      <w:bookmarkEnd w:id="10"/>
      <w:bookmarkEnd w:id="11"/>
    </w:p>
    <w:p w14:paraId="5D70F2AE">
      <w:pPr>
        <w:widowControl/>
        <w:jc w:val="center"/>
        <w:rPr>
          <w:rFonts w:ascii="方正小标宋简体" w:hAnsi="宋体" w:eastAsia="方正小标宋简体"/>
          <w:color w:val="000000"/>
          <w:sz w:val="36"/>
          <w:szCs w:val="36"/>
        </w:rPr>
      </w:pPr>
    </w:p>
    <w:p w14:paraId="087FB4A9">
      <w:pPr>
        <w:rPr>
          <w:rFonts w:ascii="方正小标宋简体" w:hAnsi="宋体" w:eastAsia="方正小标宋简体"/>
          <w:sz w:val="36"/>
          <w:szCs w:val="36"/>
        </w:rPr>
      </w:pPr>
    </w:p>
    <w:p w14:paraId="042ADD9E">
      <w:pPr>
        <w:rPr>
          <w:rFonts w:ascii="方正小标宋简体" w:hAnsi="宋体" w:eastAsia="方正小标宋简体"/>
          <w:sz w:val="36"/>
          <w:szCs w:val="36"/>
        </w:rPr>
      </w:pPr>
    </w:p>
    <w:p w14:paraId="2A8CCA39">
      <w:pPr>
        <w:rPr>
          <w:rFonts w:ascii="方正小标宋简体" w:hAnsi="宋体" w:eastAsia="方正小标宋简体"/>
          <w:sz w:val="36"/>
          <w:szCs w:val="36"/>
        </w:rPr>
      </w:pPr>
    </w:p>
    <w:p w14:paraId="6FAA97BC">
      <w:pPr>
        <w:rPr>
          <w:rFonts w:ascii="方正小标宋简体" w:hAnsi="宋体" w:eastAsia="方正小标宋简体"/>
          <w:sz w:val="36"/>
          <w:szCs w:val="36"/>
        </w:rPr>
      </w:pPr>
    </w:p>
    <w:p w14:paraId="137A190E">
      <w:pPr>
        <w:rPr>
          <w:rFonts w:ascii="方正小标宋简体" w:hAnsi="宋体" w:eastAsia="方正小标宋简体"/>
          <w:sz w:val="36"/>
          <w:szCs w:val="36"/>
        </w:rPr>
      </w:pPr>
    </w:p>
    <w:p w14:paraId="52E42C12">
      <w:pPr>
        <w:pStyle w:val="10"/>
        <w:rPr>
          <w:rFonts w:ascii="方正小标宋简体" w:hAnsi="宋体" w:eastAsia="方正小标宋简体"/>
          <w:sz w:val="36"/>
          <w:szCs w:val="36"/>
        </w:rPr>
      </w:pPr>
    </w:p>
    <w:p w14:paraId="3F9F5A4C">
      <w:pPr>
        <w:pStyle w:val="9"/>
        <w:rPr>
          <w:rFonts w:ascii="方正小标宋简体" w:hAnsi="宋体" w:eastAsia="方正小标宋简体"/>
          <w:sz w:val="36"/>
          <w:szCs w:val="36"/>
        </w:rPr>
      </w:pPr>
    </w:p>
    <w:p w14:paraId="5D57A782">
      <w:pPr>
        <w:rPr>
          <w:rFonts w:ascii="方正小标宋简体" w:hAnsi="宋体" w:eastAsia="方正小标宋简体"/>
          <w:sz w:val="36"/>
          <w:szCs w:val="36"/>
        </w:rPr>
      </w:pPr>
    </w:p>
    <w:p w14:paraId="3A57B2B1">
      <w:pPr>
        <w:pStyle w:val="10"/>
        <w:rPr>
          <w:rFonts w:ascii="方正小标宋简体" w:hAnsi="宋体" w:eastAsia="方正小标宋简体"/>
          <w:sz w:val="36"/>
          <w:szCs w:val="36"/>
        </w:rPr>
      </w:pPr>
    </w:p>
    <w:p w14:paraId="4192CFC3">
      <w:pPr>
        <w:pStyle w:val="9"/>
        <w:rPr>
          <w:rFonts w:ascii="方正小标宋简体" w:hAnsi="宋体" w:eastAsia="方正小标宋简体"/>
          <w:sz w:val="36"/>
          <w:szCs w:val="36"/>
        </w:rPr>
      </w:pPr>
    </w:p>
    <w:p w14:paraId="6EEAA7A8">
      <w:pPr>
        <w:rPr>
          <w:rFonts w:ascii="方正小标宋简体" w:hAnsi="宋体" w:eastAsia="方正小标宋简体"/>
          <w:sz w:val="36"/>
          <w:szCs w:val="36"/>
        </w:rPr>
      </w:pPr>
    </w:p>
    <w:p w14:paraId="1674DAE2">
      <w:pPr>
        <w:pStyle w:val="10"/>
        <w:rPr>
          <w:rFonts w:ascii="方正小标宋简体" w:hAnsi="宋体" w:eastAsia="方正小标宋简体"/>
          <w:sz w:val="36"/>
          <w:szCs w:val="36"/>
        </w:rPr>
      </w:pPr>
    </w:p>
    <w:p w14:paraId="3B574BCF">
      <w:pPr>
        <w:widowControl/>
        <w:suppressAutoHyphens/>
        <w:bidi w:val="0"/>
        <w:jc w:val="center"/>
        <w:rPr>
          <w:rFonts w:hint="eastAsia" w:ascii="黑体" w:hAnsi="黑体" w:eastAsia="黑体"/>
          <w:color w:val="auto"/>
          <w:sz w:val="48"/>
          <w:szCs w:val="48"/>
          <w:highlight w:val="none"/>
        </w:rPr>
      </w:pPr>
      <w:r>
        <w:rPr>
          <w:rFonts w:hint="eastAsia" w:ascii="黑体" w:hAnsi="黑体" w:eastAsia="黑体"/>
          <w:color w:val="auto"/>
          <w:sz w:val="48"/>
          <w:szCs w:val="48"/>
          <w:highlight w:val="none"/>
        </w:rPr>
        <w:t>目录</w:t>
      </w:r>
    </w:p>
    <w:p w14:paraId="59A574EB">
      <w:pPr>
        <w:pStyle w:val="10"/>
      </w:pPr>
    </w:p>
    <w:p w14:paraId="37063957">
      <w:pPr>
        <w:pStyle w:val="17"/>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TOC \o \u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仿宋" w:hAnsi="仿宋" w:eastAsia="仿宋"/>
          <w:b w:val="0"/>
          <w:bCs w:val="0"/>
          <w:caps w:val="0"/>
          <w:color w:val="auto"/>
          <w:sz w:val="24"/>
          <w:szCs w:val="28"/>
          <w:highlight w:val="none"/>
          <w:lang w:val="en-US" w:eastAsia="zh-CN"/>
        </w:rPr>
        <w:t>第一部分 部门概况</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_Toc17124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6F90B76">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一、部门职责</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t>1</w:t>
      </w:r>
    </w:p>
    <w:p w14:paraId="03627581">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smallCaps w:val="0"/>
          <w:color w:val="auto"/>
          <w:sz w:val="24"/>
          <w:szCs w:val="24"/>
          <w:highlight w:val="none"/>
          <w:lang w:val="en-US" w:eastAsia="zh-CN"/>
        </w:rPr>
        <w:t>二、机构设置</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_Toc29784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2</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EC8CDF0">
      <w:pPr>
        <w:pStyle w:val="17"/>
        <w:tabs>
          <w:tab w:val="right" w:leader="dot" w:pos="8296"/>
        </w:tabs>
        <w:adjustRightInd w:val="0"/>
        <w:snapToGrid w:val="0"/>
        <w:spacing w:before="0" w:line="440" w:lineRule="exact"/>
        <w:jc w:val="left"/>
        <w:rPr>
          <w:rFonts w:hint="default"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第二部分 2023年度部门决算情况说明</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t>3</w:t>
      </w:r>
    </w:p>
    <w:p w14:paraId="62063566">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一</w:t>
      </w:r>
      <w:r>
        <w:rPr>
          <w:rFonts w:hint="default" w:ascii="Calibri" w:hAnsi="Calibri" w:eastAsia="宋体"/>
          <w:smallCaps w:val="0"/>
          <w:color w:val="auto"/>
          <w:sz w:val="24"/>
          <w:szCs w:val="24"/>
          <w:highlight w:val="none"/>
          <w:lang w:val="en-US" w:eastAsia="zh-CN"/>
        </w:rPr>
        <w:t>、</w:t>
      </w:r>
      <w:r>
        <w:rPr>
          <w:rFonts w:hint="eastAsia" w:ascii="Calibri" w:hAnsi="Calibri" w:eastAsia="宋体"/>
          <w:smallCaps w:val="0"/>
          <w:color w:val="auto"/>
          <w:sz w:val="24"/>
          <w:szCs w:val="24"/>
          <w:highlight w:val="none"/>
          <w:lang w:val="en-US" w:eastAsia="zh-CN"/>
        </w:rPr>
        <w:t>收入支出决算总体情况说明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_Toc12061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3</w:t>
      </w:r>
      <w:r>
        <w:rPr>
          <w:rFonts w:hint="eastAsia" w:ascii="Calibri" w:hAnsi="Calibri" w:eastAsia="宋体"/>
          <w:smallCaps w:val="0"/>
          <w:color w:val="auto"/>
          <w:sz w:val="24"/>
          <w:szCs w:val="24"/>
          <w:highlight w:val="none"/>
          <w:lang w:val="en-US" w:eastAsia="zh-CN"/>
        </w:rPr>
        <w:fldChar w:fldCharType="end"/>
      </w:r>
    </w:p>
    <w:p w14:paraId="46F8F5C4">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default" w:ascii="Calibri" w:hAnsi="Calibri" w:eastAsia="宋体"/>
          <w:smallCaps w:val="0"/>
          <w:color w:val="auto"/>
          <w:sz w:val="24"/>
          <w:szCs w:val="24"/>
          <w:highlight w:val="none"/>
          <w:lang w:val="en-US" w:eastAsia="zh-CN"/>
        </w:rPr>
        <w:t>二、</w:t>
      </w:r>
      <w:r>
        <w:rPr>
          <w:rFonts w:hint="eastAsia" w:ascii="Calibri" w:hAnsi="Calibri" w:eastAsia="宋体"/>
          <w:smallCaps w:val="0"/>
          <w:color w:val="auto"/>
          <w:sz w:val="24"/>
          <w:szCs w:val="24"/>
          <w:highlight w:val="none"/>
          <w:lang w:val="en-US" w:eastAsia="zh-CN"/>
        </w:rPr>
        <w:t>收入决算情况说明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_Toc15938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4</w:t>
      </w:r>
      <w:r>
        <w:rPr>
          <w:rFonts w:hint="eastAsia" w:ascii="Calibri" w:hAnsi="Calibri" w:eastAsia="宋体"/>
          <w:smallCaps w:val="0"/>
          <w:color w:val="auto"/>
          <w:sz w:val="24"/>
          <w:szCs w:val="24"/>
          <w:highlight w:val="none"/>
          <w:lang w:val="en-US" w:eastAsia="zh-CN"/>
        </w:rPr>
        <w:fldChar w:fldCharType="end"/>
      </w:r>
    </w:p>
    <w:p w14:paraId="3534CD94">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default" w:ascii="Calibri" w:hAnsi="Calibri" w:eastAsia="宋体"/>
          <w:smallCaps w:val="0"/>
          <w:color w:val="auto"/>
          <w:sz w:val="24"/>
          <w:szCs w:val="24"/>
          <w:highlight w:val="none"/>
          <w:lang w:val="en-US" w:eastAsia="zh-CN"/>
        </w:rPr>
        <w:t>三、</w:t>
      </w:r>
      <w:r>
        <w:rPr>
          <w:rFonts w:hint="eastAsia" w:ascii="Calibri" w:hAnsi="Calibri" w:eastAsia="宋体"/>
          <w:smallCaps w:val="0"/>
          <w:color w:val="auto"/>
          <w:sz w:val="24"/>
          <w:szCs w:val="24"/>
          <w:highlight w:val="none"/>
          <w:lang w:val="en-US" w:eastAsia="zh-CN"/>
        </w:rPr>
        <w:t>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_Toc30887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4</w:t>
      </w:r>
      <w:r>
        <w:rPr>
          <w:rFonts w:hint="eastAsia" w:ascii="Calibri" w:hAnsi="Calibri" w:eastAsia="宋体"/>
          <w:smallCaps w:val="0"/>
          <w:color w:val="auto"/>
          <w:sz w:val="24"/>
          <w:szCs w:val="24"/>
          <w:highlight w:val="none"/>
          <w:lang w:val="en-US" w:eastAsia="zh-CN"/>
        </w:rPr>
        <w:fldChar w:fldCharType="end"/>
      </w:r>
    </w:p>
    <w:p w14:paraId="09D63BE2">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四、财政拨款收入支出决算总体情况说明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_Toc24427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4</w:t>
      </w:r>
      <w:r>
        <w:rPr>
          <w:rFonts w:hint="eastAsia" w:ascii="Calibri" w:hAnsi="Calibri" w:eastAsia="宋体"/>
          <w:smallCaps w:val="0"/>
          <w:color w:val="auto"/>
          <w:sz w:val="24"/>
          <w:szCs w:val="24"/>
          <w:highlight w:val="none"/>
          <w:lang w:val="en-US" w:eastAsia="zh-CN"/>
        </w:rPr>
        <w:fldChar w:fldCharType="end"/>
      </w:r>
    </w:p>
    <w:p w14:paraId="1D967C4F">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五、一般公共预算财政拨款支出决算情况说明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_Toc16632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5</w:t>
      </w:r>
      <w:r>
        <w:rPr>
          <w:rFonts w:hint="eastAsia" w:ascii="Calibri" w:hAnsi="Calibri" w:eastAsia="宋体"/>
          <w:smallCaps w:val="0"/>
          <w:color w:val="auto"/>
          <w:sz w:val="24"/>
          <w:szCs w:val="24"/>
          <w:highlight w:val="none"/>
          <w:lang w:val="en-US" w:eastAsia="zh-CN"/>
        </w:rPr>
        <w:fldChar w:fldCharType="end"/>
      </w:r>
    </w:p>
    <w:p w14:paraId="07D22507">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六、一般公共预算财政拨款基本支出决算情况说明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_Toc139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8</w:t>
      </w:r>
      <w:r>
        <w:rPr>
          <w:rFonts w:hint="eastAsia" w:ascii="Calibri" w:hAnsi="Calibri" w:eastAsia="宋体"/>
          <w:smallCaps w:val="0"/>
          <w:color w:val="auto"/>
          <w:sz w:val="24"/>
          <w:szCs w:val="24"/>
          <w:highlight w:val="none"/>
          <w:lang w:val="en-US" w:eastAsia="zh-CN"/>
        </w:rPr>
        <w:fldChar w:fldCharType="end"/>
      </w:r>
    </w:p>
    <w:p w14:paraId="3B92E30E">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七、“三公”经费财政拨款支出决算情况说明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_Toc25505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9</w:t>
      </w:r>
      <w:r>
        <w:rPr>
          <w:rFonts w:hint="eastAsia" w:ascii="Calibri" w:hAnsi="Calibri" w:eastAsia="宋体"/>
          <w:smallCaps w:val="0"/>
          <w:color w:val="auto"/>
          <w:sz w:val="24"/>
          <w:szCs w:val="24"/>
          <w:highlight w:val="none"/>
          <w:lang w:val="en-US" w:eastAsia="zh-CN"/>
        </w:rPr>
        <w:fldChar w:fldCharType="end"/>
      </w:r>
    </w:p>
    <w:p w14:paraId="1697F42D">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八、政府性基金预算支出决算情况说明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_Toc8589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10</w:t>
      </w:r>
      <w:r>
        <w:rPr>
          <w:rFonts w:hint="eastAsia" w:ascii="Calibri" w:hAnsi="Calibri" w:eastAsia="宋体"/>
          <w:smallCaps w:val="0"/>
          <w:color w:val="auto"/>
          <w:sz w:val="24"/>
          <w:szCs w:val="24"/>
          <w:highlight w:val="none"/>
          <w:lang w:val="en-US" w:eastAsia="zh-CN"/>
        </w:rPr>
        <w:fldChar w:fldCharType="end"/>
      </w:r>
    </w:p>
    <w:p w14:paraId="4258B62D">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smallCaps w:val="0"/>
          <w:color w:val="auto"/>
          <w:sz w:val="24"/>
          <w:szCs w:val="24"/>
          <w:highlight w:val="none"/>
          <w:lang w:val="en-US" w:eastAsia="zh-CN"/>
        </w:rPr>
      </w:pPr>
      <w:r>
        <w:rPr>
          <w:rFonts w:hint="eastAsia" w:ascii="Calibri" w:hAnsi="Calibri" w:eastAsia="宋体"/>
          <w:smallCaps w:val="0"/>
          <w:color w:val="auto"/>
          <w:sz w:val="24"/>
          <w:szCs w:val="24"/>
          <w:highlight w:val="none"/>
          <w:lang w:val="en-US" w:eastAsia="zh-CN"/>
        </w:rPr>
        <w:t>九、国有资本经营预算支出决算情况说明</w:t>
      </w:r>
      <w:r>
        <w:rPr>
          <w:rFonts w:hint="eastAsia" w:ascii="Calibri" w:hAnsi="Calibri" w:eastAsia="宋体"/>
          <w:smallCaps w:val="0"/>
          <w:color w:val="auto"/>
          <w:sz w:val="24"/>
          <w:szCs w:val="24"/>
          <w:highlight w:val="none"/>
          <w:lang w:val="en-US" w:eastAsia="zh-CN"/>
        </w:rPr>
        <w:tab/>
      </w:r>
      <w:r>
        <w:rPr>
          <w:rFonts w:hint="eastAsia" w:ascii="Calibri" w:hAnsi="Calibri" w:eastAsia="宋体"/>
          <w:smallCaps w:val="0"/>
          <w:color w:val="auto"/>
          <w:sz w:val="24"/>
          <w:szCs w:val="24"/>
          <w:highlight w:val="none"/>
          <w:lang w:val="en-US" w:eastAsia="zh-CN"/>
        </w:rPr>
        <w:fldChar w:fldCharType="begin"/>
      </w:r>
      <w:r>
        <w:rPr>
          <w:rFonts w:hint="eastAsia" w:ascii="Calibri" w:hAnsi="Calibri" w:eastAsia="宋体"/>
          <w:smallCaps w:val="0"/>
          <w:color w:val="auto"/>
          <w:sz w:val="24"/>
          <w:szCs w:val="24"/>
          <w:highlight w:val="none"/>
          <w:lang w:val="en-US" w:eastAsia="zh-CN"/>
        </w:rPr>
        <w:instrText xml:space="preserve"> PAGEREF _Toc12219 \h </w:instrText>
      </w:r>
      <w:r>
        <w:rPr>
          <w:rFonts w:hint="eastAsia" w:ascii="Calibri" w:hAnsi="Calibri" w:eastAsia="宋体"/>
          <w:smallCaps w:val="0"/>
          <w:color w:val="auto"/>
          <w:sz w:val="24"/>
          <w:szCs w:val="24"/>
          <w:highlight w:val="none"/>
          <w:lang w:val="en-US" w:eastAsia="zh-CN"/>
        </w:rPr>
        <w:fldChar w:fldCharType="separate"/>
      </w:r>
      <w:r>
        <w:rPr>
          <w:rFonts w:hint="eastAsia" w:ascii="Calibri" w:hAnsi="Calibri" w:eastAsia="宋体"/>
          <w:smallCaps w:val="0"/>
          <w:color w:val="auto"/>
          <w:sz w:val="24"/>
          <w:szCs w:val="24"/>
          <w:highlight w:val="none"/>
          <w:lang w:val="en-US" w:eastAsia="zh-CN"/>
        </w:rPr>
        <w:t>10</w:t>
      </w:r>
      <w:r>
        <w:rPr>
          <w:rFonts w:hint="eastAsia" w:ascii="Calibri" w:hAnsi="Calibri" w:eastAsia="宋体"/>
          <w:smallCaps w:val="0"/>
          <w:color w:val="auto"/>
          <w:sz w:val="24"/>
          <w:szCs w:val="24"/>
          <w:highlight w:val="none"/>
          <w:lang w:val="en-US" w:eastAsia="zh-CN"/>
        </w:rPr>
        <w:fldChar w:fldCharType="end"/>
      </w:r>
    </w:p>
    <w:p w14:paraId="1D777A90">
      <w:pPr>
        <w:pStyle w:val="21"/>
        <w:tabs>
          <w:tab w:val="right" w:leader="dot" w:pos="8296"/>
        </w:tabs>
        <w:suppressAutoHyphens/>
        <w:bidi w:val="0"/>
        <w:adjustRightInd w:val="0"/>
        <w:snapToGrid w:val="0"/>
        <w:spacing w:line="440" w:lineRule="exact"/>
        <w:ind w:left="420" w:leftChars="200"/>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smallCaps w:val="0"/>
          <w:color w:val="auto"/>
          <w:sz w:val="24"/>
          <w:szCs w:val="24"/>
          <w:highlight w:val="none"/>
          <w:lang w:val="en-US" w:eastAsia="zh-CN"/>
        </w:rPr>
        <w:t>十、其他重要事项的情况说明</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_Toc9744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10</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A6CCB55">
      <w:pPr>
        <w:pStyle w:val="17"/>
        <w:tabs>
          <w:tab w:val="right" w:leader="dot" w:pos="8296"/>
        </w:tabs>
        <w:suppressAutoHyphens/>
        <w:bidi w:val="0"/>
        <w:adjustRightInd w:val="0"/>
        <w:snapToGrid w:val="0"/>
        <w:spacing w:before="0" w:after="0" w:line="440" w:lineRule="exact"/>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第三部分 名词解释</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_Toc30986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12</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5DC7274">
      <w:pPr>
        <w:pStyle w:val="17"/>
        <w:tabs>
          <w:tab w:val="right" w:leader="dot" w:pos="8296"/>
        </w:tabs>
        <w:suppressAutoHyphens/>
        <w:bidi w:val="0"/>
        <w:adjustRightInd w:val="0"/>
        <w:snapToGrid w:val="0"/>
        <w:spacing w:before="0" w:after="0" w:line="440" w:lineRule="exact"/>
        <w:jc w:val="left"/>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第四部分 附件</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_Toc919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15</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14111670">
      <w:pPr>
        <w:pStyle w:val="17"/>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第五部分 附表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_Toc32233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C549428">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一、收入支出决算总表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_Toc23912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366C624">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二、收入决算表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_Toc10372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834A677">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三、支出决算表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_Toc22551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4C8912E">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四、财政拨款收入支出决算总表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_Toc28052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DFC2C9C">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五、财政拨款支出决算明细表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_Toc31661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763743D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六、一般公共预算财政拨款支出决算表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_Toc29728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80D9E11">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七、一般公共预算财政拨款支出决算明细表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_Toc14143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0A1BE93E">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八、一般公共预算财政拨款基本支出决算表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_Toc27243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06799F1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九、一般公共预算财政拨款项目支出决算表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_Toc5502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5CE66D7C">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十、一般公共预算财政拨款“三公”经费支出决算表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_Toc22516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6EEADBE7">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十一、政府性基金预算财政拨款收入支出决算表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_Toc20787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67DC8DE2">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十二、政府性基金预算财政拨款“三公”经费支出决算表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_Toc16510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335EC2C1">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十三、国有资本经营预算财政拨款支出决算表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_Toc19124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7A5A2BF9">
      <w:pPr>
        <w:pStyle w:val="21"/>
        <w:tabs>
          <w:tab w:val="right" w:leader="dot" w:pos="8306"/>
        </w:tabs>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t>十四、国有资本经营预算财政拨款支出决算表</w:t>
      </w:r>
      <w:r>
        <w:rPr>
          <w:rFonts w:hint="eastAsia" w:ascii="Calibri" w:hAnsi="Calibri" w:eastAsia="宋体" w:cs="Times New Roman"/>
          <w:b w:val="0"/>
          <w:bCs w:val="0"/>
          <w:caps w:val="0"/>
          <w:smallCaps w:val="0"/>
          <w:color w:val="auto"/>
          <w:kern w:val="2"/>
          <w:sz w:val="24"/>
          <w:szCs w:val="24"/>
          <w:highlight w:val="none"/>
          <w:lang w:val="en-US" w:eastAsia="zh-CN" w:bidi="ar-SA"/>
        </w:rPr>
        <w:tab/>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begin"/>
      </w:r>
      <w:r>
        <w:rPr>
          <w:rFonts w:hint="eastAsia" w:ascii="Calibri" w:hAnsi="Calibri" w:eastAsia="宋体" w:cs="Times New Roman"/>
          <w:b w:val="0"/>
          <w:bCs w:val="0"/>
          <w:caps w:val="0"/>
          <w:smallCaps w:val="0"/>
          <w:color w:val="auto"/>
          <w:kern w:val="2"/>
          <w:sz w:val="24"/>
          <w:szCs w:val="24"/>
          <w:highlight w:val="none"/>
          <w:lang w:val="en-US" w:eastAsia="zh-CN" w:bidi="ar-SA"/>
        </w:rPr>
        <w:instrText xml:space="preserve"> PAGEREF _Toc10304 \h </w:instrTex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separate"/>
      </w:r>
      <w:r>
        <w:rPr>
          <w:rFonts w:hint="eastAsia" w:ascii="Calibri" w:hAnsi="Calibri" w:eastAsia="宋体" w:cs="Times New Roman"/>
          <w:b w:val="0"/>
          <w:bCs w:val="0"/>
          <w:caps w:val="0"/>
          <w:smallCaps w:val="0"/>
          <w:color w:val="auto"/>
          <w:kern w:val="2"/>
          <w:sz w:val="24"/>
          <w:szCs w:val="24"/>
          <w:highlight w:val="none"/>
          <w:lang w:val="en-US" w:eastAsia="zh-CN" w:bidi="ar-SA"/>
        </w:rPr>
        <w:t>16</w:t>
      </w: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4A9B5A5B">
      <w:pPr>
        <w:rPr>
          <w:rFonts w:hint="eastAsia" w:ascii="Calibri" w:hAnsi="Calibri" w:eastAsia="宋体" w:cs="Times New Roman"/>
          <w:b w:val="0"/>
          <w:bCs w:val="0"/>
          <w:caps w:val="0"/>
          <w:smallCaps w:val="0"/>
          <w:color w:val="auto"/>
          <w:kern w:val="2"/>
          <w:sz w:val="24"/>
          <w:szCs w:val="24"/>
          <w:highlight w:val="none"/>
          <w:lang w:val="en-US" w:eastAsia="zh-CN" w:bidi="ar-SA"/>
        </w:rPr>
      </w:pPr>
      <w:r>
        <w:rPr>
          <w:rFonts w:hint="eastAsia" w:ascii="Calibri" w:hAnsi="Calibri" w:eastAsia="宋体" w:cs="Times New Roman"/>
          <w:b w:val="0"/>
          <w:bCs w:val="0"/>
          <w:caps w:val="0"/>
          <w:smallCaps w:val="0"/>
          <w:color w:val="auto"/>
          <w:kern w:val="2"/>
          <w:sz w:val="24"/>
          <w:szCs w:val="24"/>
          <w:highlight w:val="none"/>
          <w:lang w:val="en-US" w:eastAsia="zh-CN" w:bidi="ar-SA"/>
        </w:rPr>
        <w:fldChar w:fldCharType="end"/>
      </w:r>
    </w:p>
    <w:p w14:paraId="755DA5CB">
      <w:pPr>
        <w:pStyle w:val="5"/>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Calibri" w:hAnsi="Calibri" w:eastAsia="宋体" w:cs="Times New Roman"/>
          <w:b w:val="0"/>
          <w:bCs w:val="0"/>
          <w:caps w:val="0"/>
          <w:smallCaps w:val="0"/>
          <w:color w:val="auto"/>
          <w:kern w:val="2"/>
          <w:sz w:val="24"/>
          <w:szCs w:val="24"/>
          <w:highlight w:val="none"/>
          <w:lang w:val="en-US" w:eastAsia="zh-CN" w:bidi="ar-SA"/>
        </w:rPr>
        <w:sectPr>
          <w:headerReference r:id="rId3" w:type="default"/>
          <w:pgSz w:w="11906" w:h="16838"/>
          <w:pgMar w:top="1440" w:right="1800" w:bottom="1440" w:left="1800" w:header="851" w:footer="992" w:gutter="0"/>
          <w:pgNumType w:start="1"/>
          <w:cols w:space="425" w:num="1"/>
          <w:titlePg/>
          <w:docGrid w:type="lines" w:linePitch="312" w:charSpace="0"/>
        </w:sectPr>
      </w:pPr>
      <w:bookmarkStart w:id="12" w:name="_Toc15396599"/>
      <w:bookmarkStart w:id="13" w:name="_Toc79163601"/>
      <w:bookmarkStart w:id="14" w:name="_Toc17124"/>
      <w:bookmarkStart w:id="15" w:name="_Toc15377196"/>
    </w:p>
    <w:p w14:paraId="5DE541FC">
      <w:pPr>
        <w:pStyle w:val="5"/>
        <w:suppressAutoHyphens/>
        <w:bidi w:val="0"/>
        <w:jc w:val="center"/>
        <w:rPr>
          <w:rFonts w:hint="eastAsia" w:ascii="黑体" w:hAnsi="黑体" w:eastAsia="黑体"/>
          <w:b w:val="0"/>
          <w:color w:val="auto"/>
          <w:highlight w:val="none"/>
        </w:rPr>
      </w:pPr>
      <w:r>
        <w:rPr>
          <w:rFonts w:hint="eastAsia" w:ascii="黑体" w:hAnsi="黑体" w:eastAsia="黑体"/>
          <w:b w:val="0"/>
          <w:color w:val="auto"/>
          <w:highlight w:val="none"/>
        </w:rPr>
        <w:t>第一部分 部门概况</w:t>
      </w:r>
      <w:bookmarkEnd w:id="12"/>
      <w:bookmarkEnd w:id="13"/>
      <w:bookmarkEnd w:id="14"/>
      <w:bookmarkEnd w:id="15"/>
    </w:p>
    <w:p w14:paraId="31491FE4">
      <w:pPr>
        <w:pStyle w:val="6"/>
        <w:rPr>
          <w:rStyle w:val="30"/>
          <w:rFonts w:hint="eastAsia" w:ascii="仿宋" w:hAnsi="仿宋" w:eastAsia="黑体"/>
          <w:b w:val="0"/>
          <w:bCs w:val="0"/>
          <w:color w:val="auto"/>
          <w:highlight w:val="none"/>
          <w:lang w:eastAsia="zh-CN"/>
        </w:rPr>
      </w:pPr>
      <w:bookmarkStart w:id="16" w:name="_Toc15396600"/>
      <w:bookmarkStart w:id="17" w:name="_Toc15377197"/>
      <w:bookmarkStart w:id="18" w:name="_Toc79163603"/>
      <w:bookmarkStart w:id="19" w:name="_Toc29481"/>
      <w:bookmarkStart w:id="20" w:name="_Toc15378445"/>
      <w:bookmarkStart w:id="21" w:name="_Toc15377198"/>
      <w:r>
        <w:rPr>
          <w:rFonts w:hint="eastAsia" w:ascii="黑体" w:hAnsi="黑体" w:eastAsia="黑体"/>
          <w:b w:val="0"/>
          <w:color w:val="auto"/>
          <w:highlight w:val="none"/>
        </w:rPr>
        <w:t>一、</w:t>
      </w:r>
      <w:bookmarkEnd w:id="16"/>
      <w:bookmarkEnd w:id="17"/>
      <w:r>
        <w:rPr>
          <w:rFonts w:hint="eastAsia" w:ascii="黑体" w:hAnsi="黑体" w:eastAsia="黑体"/>
          <w:b w:val="0"/>
          <w:color w:val="auto"/>
          <w:highlight w:val="none"/>
          <w:lang w:eastAsia="zh-CN"/>
        </w:rPr>
        <w:t>部门职责</w:t>
      </w:r>
    </w:p>
    <w:p w14:paraId="4D0B45FE">
      <w:pPr>
        <w:pStyle w:val="10"/>
        <w:pageBreakBefore w:val="0"/>
        <w:kinsoku/>
        <w:wordWrap/>
        <w:overflowPunct/>
        <w:topLinePunct w:val="0"/>
        <w:autoSpaceDE/>
        <w:autoSpaceDN/>
        <w:bidi w:val="0"/>
        <w:adjustRightInd w:val="0"/>
        <w:snapToGrid w:val="0"/>
        <w:spacing w:beforeLines="0" w:line="560" w:lineRule="exact"/>
        <w:textAlignment w:val="auto"/>
        <w:outlineLvl w:val="2"/>
        <w:rPr>
          <w:rFonts w:ascii="仿宋" w:hAnsi="仿宋" w:eastAsia="仿宋"/>
          <w:bCs/>
          <w:color w:val="000000"/>
          <w:sz w:val="32"/>
          <w:szCs w:val="32"/>
        </w:rPr>
      </w:pPr>
      <w:r>
        <w:rPr>
          <w:rFonts w:hint="eastAsia" w:ascii="仿宋" w:hAnsi="仿宋" w:eastAsia="仿宋"/>
          <w:bCs/>
          <w:color w:val="000000"/>
          <w:sz w:val="32"/>
          <w:szCs w:val="32"/>
        </w:rPr>
        <w:t>（一）主要职能</w:t>
      </w:r>
      <w:bookmarkEnd w:id="18"/>
      <w:bookmarkEnd w:id="19"/>
    </w:p>
    <w:bookmarkEnd w:id="20"/>
    <w:bookmarkEnd w:id="21"/>
    <w:p w14:paraId="1FD8845D">
      <w:pPr>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Times New Roman"/>
          <w:bCs/>
          <w:color w:val="000000"/>
          <w:kern w:val="0"/>
          <w:sz w:val="32"/>
          <w:szCs w:val="32"/>
          <w:lang w:val="zh-CN" w:eastAsia="zh-CN" w:bidi="ar-SA"/>
        </w:rPr>
      </w:pPr>
      <w:bookmarkStart w:id="22" w:name="_Toc15377199"/>
      <w:bookmarkStart w:id="23" w:name="_Toc15378446"/>
      <w:bookmarkStart w:id="24" w:name="_Toc79163604"/>
      <w:r>
        <w:rPr>
          <w:rFonts w:hint="eastAsia" w:ascii="仿宋" w:hAnsi="仿宋" w:eastAsia="仿宋" w:cs="Times New Roman"/>
          <w:bCs/>
          <w:color w:val="000000"/>
          <w:kern w:val="0"/>
          <w:sz w:val="32"/>
          <w:szCs w:val="32"/>
          <w:lang w:val="en-US" w:eastAsia="zh-CN" w:bidi="ar-SA"/>
        </w:rPr>
        <w:t>1.</w:t>
      </w:r>
      <w:r>
        <w:rPr>
          <w:rFonts w:hint="eastAsia" w:ascii="仿宋" w:hAnsi="仿宋" w:eastAsia="仿宋" w:cs="Times New Roman"/>
          <w:bCs/>
          <w:color w:val="000000"/>
          <w:kern w:val="0"/>
          <w:sz w:val="32"/>
          <w:szCs w:val="32"/>
          <w:lang w:val="zh-CN" w:eastAsia="zh-CN" w:bidi="ar-SA"/>
        </w:rPr>
        <w:t>履行政治领导责任，做好理论武装和思想政治工作，负责学习、宣传、贯彻执行党的理论和路线方针政策，贯彻落实党中央、省委、州委、县委的决策部署，发挥好把方向、管大局、保落实的重要作用。</w:t>
      </w:r>
    </w:p>
    <w:p w14:paraId="0E15CCD2">
      <w:pPr>
        <w:widowControl/>
        <w:adjustRightInd w:val="0"/>
        <w:snapToGrid w:val="0"/>
        <w:spacing w:line="560" w:lineRule="exact"/>
        <w:ind w:firstLine="640" w:firstLineChars="200"/>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2.</w:t>
      </w:r>
      <w:r>
        <w:rPr>
          <w:rFonts w:hint="eastAsia" w:ascii="仿宋" w:hAnsi="仿宋" w:eastAsia="仿宋" w:cs="Times New Roman"/>
          <w:bCs/>
          <w:color w:val="000000"/>
          <w:kern w:val="0"/>
          <w:sz w:val="32"/>
          <w:szCs w:val="32"/>
          <w:lang w:val="zh-CN" w:eastAsia="zh-CN" w:bidi="ar-SA"/>
        </w:rPr>
        <w:t>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任免、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14:paraId="1069410E">
      <w:pPr>
        <w:widowControl/>
        <w:adjustRightInd w:val="0"/>
        <w:snapToGrid w:val="0"/>
        <w:spacing w:line="560" w:lineRule="exact"/>
        <w:ind w:firstLine="640" w:firstLineChars="200"/>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3.</w:t>
      </w:r>
      <w:r>
        <w:rPr>
          <w:rFonts w:hint="eastAsia" w:ascii="仿宋" w:hAnsi="仿宋" w:eastAsia="仿宋" w:cs="Times New Roman"/>
          <w:bCs/>
          <w:color w:val="000000"/>
          <w:kern w:val="0"/>
          <w:sz w:val="32"/>
          <w:szCs w:val="32"/>
          <w:lang w:val="zh-CN" w:eastAsia="zh-CN" w:bidi="ar-SA"/>
        </w:rPr>
        <w:t>贯彻党管干部原则，加强干部队伍建设，完善干部培养选拔机制，加强干部教育管理监督。贯彻党管人才原则，加强人才队伍建设。加强对本单位工会、共青团、妇联等群团工作的领导。</w:t>
      </w:r>
    </w:p>
    <w:p w14:paraId="37D14CC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Times New Roman"/>
          <w:bCs/>
          <w:color w:val="000000"/>
          <w:kern w:val="0"/>
          <w:sz w:val="32"/>
          <w:szCs w:val="32"/>
          <w:lang w:val="zh-CN" w:eastAsia="zh-CN" w:bidi="ar-SA"/>
        </w:rPr>
      </w:pPr>
      <w:r>
        <w:rPr>
          <w:rFonts w:hint="eastAsia" w:ascii="仿宋" w:hAnsi="仿宋" w:eastAsia="仿宋" w:cs="Times New Roman"/>
          <w:bCs/>
          <w:color w:val="000000"/>
          <w:kern w:val="0"/>
          <w:sz w:val="32"/>
          <w:szCs w:val="32"/>
          <w:lang w:val="en-US" w:eastAsia="zh-CN" w:bidi="ar-SA"/>
        </w:rPr>
        <w:t>4.</w:t>
      </w:r>
      <w:r>
        <w:rPr>
          <w:rFonts w:hint="eastAsia" w:ascii="仿宋" w:hAnsi="仿宋" w:eastAsia="仿宋" w:cs="Times New Roman"/>
          <w:bCs/>
          <w:color w:val="000000"/>
          <w:kern w:val="0"/>
          <w:sz w:val="32"/>
          <w:szCs w:val="32"/>
          <w:lang w:val="zh-CN" w:eastAsia="zh-CN" w:bidi="ar-SA"/>
        </w:rPr>
        <w:t>履行党要管党、从严治党责任，加强对本单位党的建设的领导，落实党建工作责任制。认真履行党风廉政建设主体责任，支持纪检监察机构履行监督责任。</w:t>
      </w:r>
    </w:p>
    <w:bookmarkEnd w:id="22"/>
    <w:bookmarkEnd w:id="23"/>
    <w:bookmarkEnd w:id="24"/>
    <w:p w14:paraId="249E340B">
      <w:pPr>
        <w:pStyle w:val="6"/>
        <w:keepNext/>
        <w:keepLines/>
        <w:pageBreakBefore w:val="0"/>
        <w:widowControl w:val="0"/>
        <w:kinsoku/>
        <w:wordWrap/>
        <w:overflowPunct/>
        <w:topLinePunct w:val="0"/>
        <w:autoSpaceDE/>
        <w:autoSpaceDN/>
        <w:bidi w:val="0"/>
        <w:adjustRightInd/>
        <w:snapToGrid/>
        <w:spacing w:before="0" w:after="0" w:line="560" w:lineRule="exact"/>
        <w:textAlignment w:val="auto"/>
        <w:rPr>
          <w:rStyle w:val="30"/>
          <w:b w:val="0"/>
          <w:bCs w:val="0"/>
        </w:rPr>
      </w:pPr>
      <w:bookmarkStart w:id="25" w:name="_Toc15396601"/>
      <w:bookmarkStart w:id="26" w:name="_Toc15377200"/>
      <w:bookmarkStart w:id="27" w:name="_Toc29784"/>
      <w:bookmarkStart w:id="28" w:name="_Toc79163605"/>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25"/>
      <w:bookmarkEnd w:id="26"/>
      <w:bookmarkEnd w:id="27"/>
      <w:bookmarkEnd w:id="28"/>
    </w:p>
    <w:p w14:paraId="6C94D822">
      <w:pPr>
        <w:pStyle w:val="10"/>
        <w:keepNext w:val="0"/>
        <w:keepLines w:val="0"/>
        <w:pageBreakBefore w:val="0"/>
        <w:widowControl w:val="0"/>
        <w:kinsoku/>
        <w:wordWrap/>
        <w:overflowPunct/>
        <w:topLinePunct w:val="0"/>
        <w:autoSpaceDE/>
        <w:autoSpaceDN/>
        <w:bidi w:val="0"/>
        <w:adjustRightInd w:val="0"/>
        <w:snapToGrid w:val="0"/>
        <w:spacing w:before="93" w:line="560" w:lineRule="exact"/>
        <w:ind w:firstLine="640" w:firstLineChars="200"/>
        <w:textAlignment w:val="auto"/>
        <w:rPr>
          <w:rFonts w:ascii="仿宋" w:hAnsi="仿宋" w:eastAsia="仿宋"/>
          <w:color w:val="000000"/>
          <w:sz w:val="32"/>
          <w:szCs w:val="32"/>
        </w:rPr>
      </w:pPr>
      <w:r>
        <w:rPr>
          <w:rFonts w:hint="eastAsia" w:ascii="仿宋" w:hAnsi="仿宋" w:eastAsia="仿宋"/>
          <w:sz w:val="32"/>
          <w:szCs w:val="32"/>
          <w:lang w:val="en-US" w:eastAsia="zh-CN"/>
        </w:rPr>
        <w:t>阿坝州壤塘县信访接待中心为下属二级单位，本单位为事业单位。</w:t>
      </w:r>
    </w:p>
    <w:p w14:paraId="452B8FC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 w:hAnsi="方正小标宋" w:eastAsia="方正小标宋" w:cs="方正小标宋"/>
          <w:b w:val="0"/>
          <w:color w:val="000000"/>
          <w:sz w:val="44"/>
          <w:szCs w:val="44"/>
        </w:rPr>
      </w:pPr>
      <w:bookmarkStart w:id="29" w:name="_Toc15377204"/>
      <w:bookmarkStart w:id="30" w:name="_Toc15396602"/>
      <w:bookmarkStart w:id="31" w:name="_Toc79163609"/>
    </w:p>
    <w:p w14:paraId="0BEB3390">
      <w:pPr>
        <w:pStyle w:val="2"/>
        <w:rPr>
          <w:rFonts w:hint="eastAsia" w:ascii="方正小标宋" w:hAnsi="方正小标宋" w:eastAsia="方正小标宋" w:cs="方正小标宋"/>
          <w:b w:val="0"/>
          <w:color w:val="000000"/>
          <w:sz w:val="44"/>
          <w:szCs w:val="44"/>
        </w:rPr>
      </w:pPr>
    </w:p>
    <w:p w14:paraId="29F2A3AB">
      <w:pPr>
        <w:pStyle w:val="3"/>
        <w:rPr>
          <w:rFonts w:hint="eastAsia" w:ascii="方正小标宋" w:hAnsi="方正小标宋" w:eastAsia="方正小标宋" w:cs="方正小标宋"/>
          <w:b w:val="0"/>
          <w:color w:val="000000"/>
          <w:sz w:val="44"/>
          <w:szCs w:val="44"/>
        </w:rPr>
      </w:pPr>
    </w:p>
    <w:p w14:paraId="21786413">
      <w:pPr>
        <w:pStyle w:val="3"/>
        <w:rPr>
          <w:rFonts w:hint="eastAsia" w:ascii="方正小标宋" w:hAnsi="方正小标宋" w:eastAsia="方正小标宋" w:cs="方正小标宋"/>
          <w:b w:val="0"/>
          <w:color w:val="000000"/>
          <w:sz w:val="44"/>
          <w:szCs w:val="44"/>
        </w:rPr>
      </w:pPr>
    </w:p>
    <w:p w14:paraId="0FE96524">
      <w:pPr>
        <w:pStyle w:val="3"/>
        <w:rPr>
          <w:rFonts w:hint="eastAsia" w:ascii="方正小标宋" w:hAnsi="方正小标宋" w:eastAsia="方正小标宋" w:cs="方正小标宋"/>
          <w:b w:val="0"/>
          <w:color w:val="000000"/>
          <w:sz w:val="44"/>
          <w:szCs w:val="44"/>
        </w:rPr>
      </w:pPr>
    </w:p>
    <w:p w14:paraId="7E50AD5B">
      <w:pPr>
        <w:pStyle w:val="3"/>
        <w:rPr>
          <w:rFonts w:hint="eastAsia" w:ascii="方正小标宋" w:hAnsi="方正小标宋" w:eastAsia="方正小标宋" w:cs="方正小标宋"/>
          <w:b w:val="0"/>
          <w:color w:val="000000"/>
          <w:sz w:val="44"/>
          <w:szCs w:val="44"/>
        </w:rPr>
      </w:pPr>
    </w:p>
    <w:p w14:paraId="40E31E3A">
      <w:pPr>
        <w:pStyle w:val="3"/>
        <w:rPr>
          <w:rFonts w:hint="eastAsia" w:ascii="方正小标宋" w:hAnsi="方正小标宋" w:eastAsia="方正小标宋" w:cs="方正小标宋"/>
          <w:b w:val="0"/>
          <w:color w:val="000000"/>
          <w:sz w:val="44"/>
          <w:szCs w:val="44"/>
        </w:rPr>
      </w:pPr>
    </w:p>
    <w:p w14:paraId="674BAA31">
      <w:pPr>
        <w:pStyle w:val="3"/>
        <w:rPr>
          <w:rFonts w:hint="eastAsia" w:ascii="方正小标宋" w:hAnsi="方正小标宋" w:eastAsia="方正小标宋" w:cs="方正小标宋"/>
          <w:b w:val="0"/>
          <w:color w:val="000000"/>
          <w:sz w:val="44"/>
          <w:szCs w:val="44"/>
        </w:rPr>
      </w:pPr>
    </w:p>
    <w:p w14:paraId="543C4C21">
      <w:pPr>
        <w:pStyle w:val="3"/>
        <w:rPr>
          <w:rFonts w:hint="eastAsia" w:ascii="方正小标宋" w:hAnsi="方正小标宋" w:eastAsia="方正小标宋" w:cs="方正小标宋"/>
          <w:b w:val="0"/>
          <w:color w:val="000000"/>
          <w:sz w:val="44"/>
          <w:szCs w:val="44"/>
        </w:rPr>
      </w:pPr>
    </w:p>
    <w:p w14:paraId="79F8FF77">
      <w:pPr>
        <w:pStyle w:val="3"/>
        <w:rPr>
          <w:rFonts w:hint="eastAsia" w:ascii="方正小标宋" w:hAnsi="方正小标宋" w:eastAsia="方正小标宋" w:cs="方正小标宋"/>
          <w:b w:val="0"/>
          <w:color w:val="000000"/>
          <w:sz w:val="44"/>
          <w:szCs w:val="44"/>
        </w:rPr>
      </w:pPr>
    </w:p>
    <w:p w14:paraId="37F9CACA">
      <w:pPr>
        <w:pStyle w:val="3"/>
        <w:rPr>
          <w:rFonts w:hint="eastAsia" w:ascii="方正小标宋" w:hAnsi="方正小标宋" w:eastAsia="方正小标宋" w:cs="方正小标宋"/>
          <w:b w:val="0"/>
          <w:color w:val="000000"/>
          <w:sz w:val="44"/>
          <w:szCs w:val="44"/>
        </w:rPr>
      </w:pPr>
    </w:p>
    <w:p w14:paraId="72A3D3C3">
      <w:pPr>
        <w:pStyle w:val="3"/>
        <w:rPr>
          <w:rFonts w:hint="eastAsia" w:ascii="方正小标宋" w:hAnsi="方正小标宋" w:eastAsia="方正小标宋" w:cs="方正小标宋"/>
          <w:b w:val="0"/>
          <w:color w:val="000000"/>
          <w:sz w:val="44"/>
          <w:szCs w:val="44"/>
        </w:rPr>
      </w:pPr>
    </w:p>
    <w:p w14:paraId="19657986">
      <w:pPr>
        <w:pStyle w:val="3"/>
        <w:rPr>
          <w:rFonts w:hint="eastAsia" w:ascii="方正小标宋" w:hAnsi="方正小标宋" w:eastAsia="方正小标宋" w:cs="方正小标宋"/>
          <w:b w:val="0"/>
          <w:color w:val="000000"/>
          <w:sz w:val="44"/>
          <w:szCs w:val="44"/>
        </w:rPr>
      </w:pPr>
    </w:p>
    <w:p w14:paraId="434434B6">
      <w:pPr>
        <w:pStyle w:val="3"/>
        <w:rPr>
          <w:rFonts w:hint="eastAsia" w:ascii="方正小标宋" w:hAnsi="方正小标宋" w:eastAsia="方正小标宋" w:cs="方正小标宋"/>
          <w:b w:val="0"/>
          <w:color w:val="000000"/>
          <w:sz w:val="44"/>
          <w:szCs w:val="44"/>
        </w:rPr>
      </w:pPr>
    </w:p>
    <w:p w14:paraId="56BFCD26">
      <w:pPr>
        <w:widowControl/>
        <w:jc w:val="center"/>
        <w:rPr>
          <w:rFonts w:hint="eastAsia" w:ascii="黑体" w:hAnsi="黑体" w:eastAsia="黑体" w:cs="Times New Roman"/>
          <w:b w:val="0"/>
          <w:bCs/>
          <w:color w:val="auto"/>
          <w:kern w:val="44"/>
          <w:sz w:val="44"/>
          <w:szCs w:val="44"/>
          <w:highlight w:val="none"/>
          <w:lang w:val="en-US" w:eastAsia="zh-CN" w:bidi="ar-SA"/>
        </w:rPr>
      </w:pPr>
      <w:r>
        <w:rPr>
          <w:rFonts w:hint="eastAsia" w:ascii="黑体" w:hAnsi="黑体" w:eastAsia="黑体" w:cs="Times New Roman"/>
          <w:b w:val="0"/>
          <w:bCs/>
          <w:color w:val="auto"/>
          <w:kern w:val="44"/>
          <w:sz w:val="44"/>
          <w:szCs w:val="44"/>
          <w:highlight w:val="none"/>
          <w:lang w:val="en-US" w:eastAsia="zh-CN" w:bidi="ar-SA"/>
        </w:rPr>
        <w:t>第二部分 2023年度部门决算情况说明</w:t>
      </w:r>
      <w:bookmarkEnd w:id="29"/>
      <w:bookmarkEnd w:id="30"/>
      <w:bookmarkEnd w:id="31"/>
    </w:p>
    <w:p w14:paraId="58A2D0F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 w:hAnsi="方正小标宋" w:eastAsia="方正小标宋" w:cs="方正小标宋"/>
          <w:b w:val="0"/>
          <w:color w:val="000000"/>
          <w:sz w:val="44"/>
          <w:szCs w:val="44"/>
        </w:rPr>
      </w:pPr>
    </w:p>
    <w:p w14:paraId="3203DBCE">
      <w:pPr>
        <w:pStyle w:val="40"/>
        <w:numPr>
          <w:ilvl w:val="0"/>
          <w:numId w:val="1"/>
        </w:numPr>
        <w:spacing w:line="600" w:lineRule="exact"/>
        <w:ind w:firstLineChars="0"/>
        <w:outlineLvl w:val="1"/>
        <w:rPr>
          <w:rStyle w:val="30"/>
          <w:rFonts w:ascii="黑体" w:hAnsi="黑体" w:eastAsia="黑体"/>
          <w:b w:val="0"/>
        </w:rPr>
      </w:pPr>
      <w:bookmarkStart w:id="32" w:name="_Toc12061"/>
      <w:bookmarkStart w:id="33" w:name="_Toc15396603"/>
      <w:bookmarkStart w:id="34" w:name="_Toc79163610"/>
      <w:bookmarkStart w:id="35" w:name="_Toc15377205"/>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32"/>
      <w:bookmarkEnd w:id="33"/>
      <w:bookmarkEnd w:id="34"/>
      <w:bookmarkEnd w:id="35"/>
    </w:p>
    <w:p w14:paraId="61C8F736">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2023年度收入总计88.02万元，与2022年相比，增加12.65万元，增长16.78%。主要变动原因：合理范围内变动; 支出总计88.02万元。与2022年相比，增加7.26万元，增长8.99%。主要变动原因:当年人员经费增加，收支增加。</w:t>
      </w:r>
    </w:p>
    <w:p w14:paraId="2F1291C0">
      <w:pPr>
        <w:pStyle w:val="28"/>
        <w:ind w:left="0" w:leftChars="0" w:firstLine="0" w:firstLineChars="0"/>
        <w:jc w:val="center"/>
        <w:rPr>
          <w:rFonts w:hint="eastAsia" w:eastAsia="仿宋"/>
          <w:lang w:eastAsia="zh-CN"/>
        </w:rPr>
      </w:pPr>
      <w:r>
        <w:drawing>
          <wp:inline distT="0" distB="0" distL="114300" distR="114300">
            <wp:extent cx="4705350" cy="2576195"/>
            <wp:effectExtent l="4445" t="4445" r="14605" b="10160"/>
            <wp:docPr id="137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drawing>
          <wp:inline distT="0" distB="0" distL="114300" distR="114300">
            <wp:extent cx="4617085" cy="2406015"/>
            <wp:effectExtent l="4445" t="4445" r="13970" b="15240"/>
            <wp:docPr id="136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94E60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14:paraId="3BAD8F89">
      <w:pPr>
        <w:spacing w:line="600" w:lineRule="exact"/>
        <w:ind w:firstLine="640" w:firstLineChars="200"/>
        <w:jc w:val="left"/>
        <w:rPr>
          <w:rFonts w:ascii="仿宋_GB2312" w:eastAsia="仿宋_GB2312"/>
          <w:color w:val="000000"/>
          <w:sz w:val="32"/>
          <w:szCs w:val="32"/>
        </w:rPr>
      </w:pPr>
    </w:p>
    <w:p w14:paraId="0ACF0DF8">
      <w:pPr>
        <w:pStyle w:val="40"/>
        <w:numPr>
          <w:ilvl w:val="0"/>
          <w:numId w:val="1"/>
        </w:numPr>
        <w:spacing w:line="600" w:lineRule="exact"/>
        <w:ind w:firstLineChars="0"/>
        <w:outlineLvl w:val="1"/>
        <w:rPr>
          <w:rStyle w:val="30"/>
          <w:rFonts w:ascii="黑体" w:hAnsi="黑体" w:eastAsia="黑体"/>
          <w:b w:val="0"/>
        </w:rPr>
      </w:pPr>
      <w:bookmarkStart w:id="36" w:name="_Toc15396604"/>
      <w:bookmarkStart w:id="37" w:name="_Toc15938"/>
      <w:bookmarkStart w:id="38" w:name="_Toc15377206"/>
      <w:bookmarkStart w:id="39" w:name="_Toc79163611"/>
      <w:r>
        <w:rPr>
          <w:rFonts w:hint="eastAsia" w:ascii="黑体" w:hAnsi="黑体" w:eastAsia="黑体"/>
          <w:color w:val="000000"/>
          <w:sz w:val="32"/>
          <w:szCs w:val="32"/>
        </w:rPr>
        <w:t>收</w:t>
      </w:r>
      <w:r>
        <w:rPr>
          <w:rStyle w:val="30"/>
          <w:rFonts w:hint="eastAsia" w:ascii="黑体" w:hAnsi="黑体" w:eastAsia="黑体"/>
          <w:b w:val="0"/>
        </w:rPr>
        <w:t>入决算情况说明</w:t>
      </w:r>
      <w:bookmarkEnd w:id="36"/>
      <w:bookmarkEnd w:id="37"/>
      <w:bookmarkEnd w:id="38"/>
      <w:bookmarkEnd w:id="39"/>
    </w:p>
    <w:p w14:paraId="1DEA92D2">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年本年收入合计</w:t>
      </w:r>
      <w:r>
        <w:rPr>
          <w:rFonts w:hint="eastAsia" w:ascii="仿宋" w:hAnsi="仿宋" w:eastAsia="仿宋"/>
          <w:color w:val="000000"/>
          <w:sz w:val="32"/>
          <w:szCs w:val="32"/>
          <w:lang w:eastAsia="zh-CN"/>
        </w:rPr>
        <w:t>88.02</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eastAsia="zh-CN"/>
        </w:rPr>
        <w:t>88.02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w:t>
      </w:r>
    </w:p>
    <w:p w14:paraId="59E99E20">
      <w:pPr>
        <w:pStyle w:val="28"/>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4119245" cy="2278380"/>
            <wp:effectExtent l="4445" t="4445" r="10160" b="222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34F15B">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14:paraId="2CE63568">
      <w:pPr>
        <w:pStyle w:val="40"/>
        <w:numPr>
          <w:ilvl w:val="0"/>
          <w:numId w:val="1"/>
        </w:numPr>
        <w:spacing w:line="600" w:lineRule="exact"/>
        <w:ind w:firstLineChars="0"/>
        <w:outlineLvl w:val="1"/>
        <w:rPr>
          <w:rStyle w:val="30"/>
          <w:rFonts w:ascii="黑体" w:hAnsi="黑体" w:eastAsia="黑体"/>
          <w:b w:val="0"/>
        </w:rPr>
      </w:pPr>
      <w:bookmarkStart w:id="40" w:name="_Toc15377207"/>
      <w:bookmarkStart w:id="41" w:name="_Toc15396605"/>
      <w:bookmarkStart w:id="42" w:name="_Toc79163612"/>
      <w:bookmarkStart w:id="43" w:name="_Toc30887"/>
      <w:r>
        <w:rPr>
          <w:rFonts w:hint="eastAsia" w:ascii="黑体" w:hAnsi="黑体" w:eastAsia="黑体"/>
          <w:color w:val="000000"/>
          <w:sz w:val="32"/>
          <w:szCs w:val="32"/>
        </w:rPr>
        <w:t>支</w:t>
      </w:r>
      <w:r>
        <w:rPr>
          <w:rStyle w:val="30"/>
          <w:rFonts w:hint="eastAsia" w:ascii="黑体" w:hAnsi="黑体" w:eastAsia="黑体"/>
          <w:b w:val="0"/>
        </w:rPr>
        <w:t>出决算情况说明</w:t>
      </w:r>
      <w:bookmarkEnd w:id="40"/>
      <w:bookmarkEnd w:id="41"/>
      <w:bookmarkEnd w:id="42"/>
      <w:bookmarkEnd w:id="43"/>
    </w:p>
    <w:p w14:paraId="71F2E968">
      <w:pPr>
        <w:spacing w:line="600" w:lineRule="exact"/>
        <w:ind w:firstLine="640" w:firstLineChars="200"/>
        <w:rPr>
          <w:rFonts w:hint="default" w:ascii="仿宋" w:hAnsi="仿宋" w:eastAsia="仿宋"/>
          <w:color w:val="000000"/>
          <w:sz w:val="32"/>
          <w:szCs w:val="32"/>
          <w:shd w:val="pct10" w:color="auto" w:fill="FFFFFF"/>
          <w:lang w:val="en-US"/>
        </w:rPr>
      </w:pPr>
      <w:r>
        <w:rPr>
          <w:rFonts w:hint="eastAsia" w:ascii="仿宋_GB2312" w:eastAsia="仿宋_GB2312"/>
          <w:sz w:val="32"/>
          <w:szCs w:val="32"/>
          <w:lang w:eastAsia="zh-CN"/>
        </w:rPr>
        <w:t>2023</w:t>
      </w:r>
      <w:r>
        <w:rPr>
          <w:rFonts w:hint="eastAsia" w:ascii="仿宋_GB2312" w:eastAsia="仿宋_GB2312"/>
          <w:sz w:val="32"/>
          <w:szCs w:val="32"/>
        </w:rPr>
        <w:t>年本年支出合计</w:t>
      </w:r>
      <w:r>
        <w:rPr>
          <w:rFonts w:hint="eastAsia" w:ascii="仿宋_GB2312" w:eastAsia="仿宋_GB2312"/>
          <w:sz w:val="32"/>
          <w:szCs w:val="32"/>
          <w:lang w:eastAsia="zh-CN"/>
        </w:rPr>
        <w:t>88.02</w:t>
      </w:r>
      <w:r>
        <w:rPr>
          <w:rFonts w:hint="eastAsia" w:ascii="仿宋_GB2312" w:eastAsia="仿宋_GB2312"/>
          <w:sz w:val="32"/>
          <w:szCs w:val="32"/>
        </w:rPr>
        <w:t>万元，其中：基本支出</w:t>
      </w:r>
      <w:r>
        <w:rPr>
          <w:rFonts w:hint="eastAsia" w:ascii="仿宋_GB2312" w:eastAsia="仿宋_GB2312"/>
          <w:sz w:val="32"/>
          <w:szCs w:val="32"/>
          <w:lang w:eastAsia="zh-CN"/>
        </w:rPr>
        <w:t>88.02</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lang w:val="en-US" w:eastAsia="zh-CN"/>
        </w:rPr>
        <w:t xml:space="preserve"> 。</w:t>
      </w:r>
    </w:p>
    <w:p w14:paraId="6B7AD3EA">
      <w:pPr>
        <w:pStyle w:val="28"/>
        <w:jc w:val="center"/>
        <w:rPr>
          <w:rFonts w:hint="eastAsia" w:ascii="仿宋" w:hAnsi="仿宋" w:eastAsia="仿宋"/>
          <w:color w:val="000000"/>
          <w:sz w:val="32"/>
          <w:szCs w:val="32"/>
          <w:shd w:val="pct10" w:color="auto" w:fill="FFFFFF"/>
          <w:lang w:eastAsia="zh-CN"/>
        </w:rPr>
      </w:pPr>
      <w:r>
        <w:drawing>
          <wp:inline distT="0" distB="0" distL="114300" distR="114300">
            <wp:extent cx="4107180" cy="2176145"/>
            <wp:effectExtent l="4445" t="4445" r="15875" b="16510"/>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DC5D83C">
      <w:pPr>
        <w:spacing w:line="600" w:lineRule="exact"/>
        <w:ind w:firstLine="1280" w:firstLineChars="4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14:paraId="04A4BC86">
      <w:pPr>
        <w:spacing w:line="600" w:lineRule="exact"/>
        <w:ind w:firstLine="640" w:firstLineChars="200"/>
        <w:outlineLvl w:val="1"/>
        <w:rPr>
          <w:rStyle w:val="30"/>
          <w:rFonts w:ascii="黑体" w:hAnsi="黑体" w:eastAsia="黑体"/>
          <w:b w:val="0"/>
        </w:rPr>
      </w:pPr>
      <w:bookmarkStart w:id="44" w:name="_Toc15377208"/>
      <w:bookmarkStart w:id="45" w:name="_Toc79163613"/>
      <w:bookmarkStart w:id="46" w:name="_Toc24427"/>
      <w:bookmarkStart w:id="47" w:name="_Toc15396606"/>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44"/>
      <w:bookmarkEnd w:id="45"/>
      <w:bookmarkEnd w:id="46"/>
      <w:bookmarkEnd w:id="47"/>
    </w:p>
    <w:p w14:paraId="31759751">
      <w:pPr>
        <w:pStyle w:val="28"/>
        <w:ind w:left="0" w:leftChars="0" w:firstLine="640" w:firstLineChars="200"/>
        <w:rPr>
          <w:rFonts w:hint="eastAsia" w:ascii="仿宋" w:hAnsi="仿宋" w:eastAsia="仿宋" w:cs="仿宋"/>
          <w:color w:val="000000"/>
          <w:kern w:val="2"/>
          <w:sz w:val="32"/>
          <w:szCs w:val="32"/>
          <w:lang w:val="en-US" w:eastAsia="zh-CN" w:bidi="ar"/>
        </w:rPr>
      </w:pPr>
      <w:r>
        <w:rPr>
          <w:rFonts w:hint="eastAsia" w:ascii="仿宋" w:hAnsi="仿宋" w:eastAsia="仿宋" w:cs="仿宋"/>
          <w:color w:val="000000"/>
          <w:kern w:val="2"/>
          <w:sz w:val="32"/>
          <w:szCs w:val="32"/>
          <w:lang w:val="en-US" w:eastAsia="zh-CN" w:bidi="ar"/>
        </w:rPr>
        <w:t>2023年度</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s="仿宋"/>
          <w:color w:val="000000"/>
          <w:kern w:val="2"/>
          <w:sz w:val="32"/>
          <w:szCs w:val="32"/>
          <w:lang w:val="en-US" w:eastAsia="zh-CN" w:bidi="ar"/>
        </w:rPr>
        <w:t xml:space="preserve">总计88.02万元，与2022年相比，增加40.36万元，增长16.78%。主要变动原因：合理范围内变动; </w:t>
      </w:r>
      <w:r>
        <w:rPr>
          <w:rFonts w:hint="eastAsia" w:ascii="仿宋" w:hAnsi="仿宋" w:eastAsia="仿宋"/>
          <w:color w:val="000000"/>
          <w:sz w:val="32"/>
          <w:szCs w:val="32"/>
          <w:lang w:eastAsia="zh-CN"/>
        </w:rPr>
        <w:t>2023年</w:t>
      </w:r>
      <w:r>
        <w:rPr>
          <w:rFonts w:hint="eastAsia" w:ascii="仿宋" w:hAnsi="仿宋" w:eastAsia="仿宋"/>
          <w:color w:val="000000"/>
          <w:sz w:val="32"/>
          <w:szCs w:val="32"/>
        </w:rPr>
        <w:t>财政拨款支出</w:t>
      </w:r>
      <w:r>
        <w:rPr>
          <w:rFonts w:hint="eastAsia" w:ascii="仿宋" w:hAnsi="仿宋" w:eastAsia="仿宋" w:cs="仿宋"/>
          <w:color w:val="000000"/>
          <w:kern w:val="2"/>
          <w:sz w:val="32"/>
          <w:szCs w:val="32"/>
          <w:lang w:val="en-US" w:eastAsia="zh-CN" w:bidi="ar"/>
        </w:rPr>
        <w:t>总计88.02万元。与2022年相比，增加7.26万元，增长8.99%。主要变动原因:当年人员经费增加，收支增加。</w:t>
      </w:r>
    </w:p>
    <w:p w14:paraId="743AD6D1">
      <w:pPr>
        <w:pStyle w:val="28"/>
        <w:ind w:left="0" w:leftChars="0" w:firstLine="0" w:firstLineChars="0"/>
        <w:jc w:val="center"/>
        <w:rPr>
          <w:rFonts w:ascii="仿宋" w:hAnsi="仿宋" w:eastAsia="仿宋"/>
          <w:color w:val="000000"/>
          <w:sz w:val="32"/>
          <w:szCs w:val="32"/>
        </w:rPr>
      </w:pPr>
      <w:r>
        <w:drawing>
          <wp:inline distT="0" distB="0" distL="114300" distR="114300">
            <wp:extent cx="4208780" cy="2270760"/>
            <wp:effectExtent l="4445" t="4445" r="15875" b="10795"/>
            <wp:docPr id="136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drawing>
          <wp:inline distT="0" distB="0" distL="114300" distR="114300">
            <wp:extent cx="4340225" cy="2130425"/>
            <wp:effectExtent l="4445" t="4445" r="11430" b="11430"/>
            <wp:docPr id="136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E813D7">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14:paraId="2B8C722B">
      <w:pPr>
        <w:spacing w:line="600" w:lineRule="exact"/>
        <w:ind w:firstLine="640"/>
        <w:rPr>
          <w:rFonts w:ascii="仿宋" w:hAnsi="仿宋" w:eastAsia="仿宋"/>
          <w:b/>
          <w:color w:val="00B050"/>
          <w:sz w:val="32"/>
          <w:szCs w:val="32"/>
        </w:rPr>
      </w:pPr>
    </w:p>
    <w:p w14:paraId="0DBA3D67">
      <w:pPr>
        <w:spacing w:line="600" w:lineRule="exact"/>
        <w:ind w:firstLine="640" w:firstLineChars="200"/>
        <w:outlineLvl w:val="1"/>
        <w:rPr>
          <w:rStyle w:val="30"/>
          <w:rFonts w:ascii="黑体" w:hAnsi="黑体" w:eastAsia="黑体"/>
          <w:b w:val="0"/>
        </w:rPr>
      </w:pPr>
      <w:bookmarkStart w:id="48" w:name="_Toc79163614"/>
      <w:bookmarkStart w:id="49" w:name="_Toc15396607"/>
      <w:bookmarkStart w:id="50" w:name="_Toc16632"/>
      <w:bookmarkStart w:id="5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48"/>
      <w:bookmarkEnd w:id="49"/>
      <w:bookmarkEnd w:id="50"/>
      <w:bookmarkEnd w:id="51"/>
    </w:p>
    <w:p w14:paraId="0052FDA9">
      <w:pPr>
        <w:spacing w:line="600" w:lineRule="exact"/>
        <w:ind w:firstLine="643" w:firstLineChars="200"/>
        <w:outlineLvl w:val="2"/>
        <w:rPr>
          <w:rFonts w:ascii="仿宋" w:hAnsi="仿宋" w:eastAsia="仿宋"/>
          <w:b/>
          <w:color w:val="000000"/>
          <w:sz w:val="32"/>
          <w:szCs w:val="32"/>
        </w:rPr>
      </w:pPr>
      <w:bookmarkStart w:id="52" w:name="_Toc15377210"/>
      <w:bookmarkStart w:id="53" w:name="_Toc79163615"/>
      <w:bookmarkStart w:id="54" w:name="_Toc5046"/>
      <w:r>
        <w:rPr>
          <w:rFonts w:hint="eastAsia" w:ascii="仿宋" w:hAnsi="仿宋" w:eastAsia="仿宋"/>
          <w:b/>
          <w:color w:val="000000"/>
          <w:sz w:val="32"/>
          <w:szCs w:val="32"/>
        </w:rPr>
        <w:t>（一）一般公共预算财政拨款支出决算总体情况</w:t>
      </w:r>
      <w:bookmarkEnd w:id="52"/>
      <w:bookmarkEnd w:id="53"/>
      <w:bookmarkEnd w:id="54"/>
    </w:p>
    <w:p w14:paraId="05F0B75B">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88.02</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w:t>
      </w:r>
      <w:r>
        <w:rPr>
          <w:rFonts w:hint="eastAsia" w:ascii="仿宋" w:hAnsi="仿宋" w:eastAsia="仿宋" w:cs="仿宋"/>
          <w:color w:val="000000"/>
          <w:kern w:val="2"/>
          <w:sz w:val="32"/>
          <w:szCs w:val="32"/>
          <w:lang w:val="en-US" w:eastAsia="zh-CN" w:bidi="ar"/>
        </w:rPr>
        <w:t>增加7.26万元，增长8.99%</w:t>
      </w:r>
      <w:r>
        <w:rPr>
          <w:rFonts w:hint="eastAsia" w:ascii="仿宋" w:hAnsi="仿宋" w:eastAsia="仿宋"/>
          <w:color w:val="000000"/>
          <w:sz w:val="32"/>
          <w:szCs w:val="32"/>
        </w:rPr>
        <w:t>。主要</w:t>
      </w:r>
      <w:r>
        <w:rPr>
          <w:rFonts w:hint="eastAsia" w:ascii="仿宋" w:hAnsi="仿宋" w:eastAsia="仿宋"/>
          <w:color w:val="000000"/>
          <w:sz w:val="32"/>
          <w:szCs w:val="32"/>
          <w:lang w:val="en-US" w:eastAsia="zh-CN"/>
        </w:rPr>
        <w:t>变动原因为</w:t>
      </w:r>
      <w:r>
        <w:rPr>
          <w:rFonts w:hint="eastAsia" w:ascii="仿宋" w:hAnsi="仿宋" w:eastAsia="仿宋" w:cs="仿宋"/>
          <w:color w:val="000000"/>
          <w:kern w:val="2"/>
          <w:sz w:val="32"/>
          <w:szCs w:val="32"/>
          <w:lang w:val="en-US" w:eastAsia="zh-CN" w:bidi="ar"/>
        </w:rPr>
        <w:t>当年人员经费增加，收支增加</w:t>
      </w:r>
      <w:r>
        <w:rPr>
          <w:rFonts w:hint="eastAsia" w:ascii="仿宋" w:hAnsi="仿宋" w:eastAsia="仿宋"/>
          <w:color w:val="000000"/>
          <w:sz w:val="32"/>
          <w:szCs w:val="32"/>
          <w:lang w:val="en-US" w:eastAsia="zh-CN"/>
        </w:rPr>
        <w:t>。</w:t>
      </w:r>
    </w:p>
    <w:p w14:paraId="4C63C112">
      <w:pPr>
        <w:pStyle w:val="28"/>
        <w:rPr>
          <w:rFonts w:hint="eastAsia" w:ascii="仿宋" w:hAnsi="仿宋" w:eastAsia="仿宋"/>
          <w:color w:val="000000"/>
          <w:sz w:val="32"/>
          <w:szCs w:val="32"/>
          <w:lang w:val="en-US" w:eastAsia="zh-CN"/>
        </w:rPr>
      </w:pPr>
      <w:r>
        <w:drawing>
          <wp:inline distT="0" distB="0" distL="114300" distR="114300">
            <wp:extent cx="4451350" cy="2411095"/>
            <wp:effectExtent l="4445" t="4445" r="14605" b="10160"/>
            <wp:docPr id="137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899DB0">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14:paraId="58E7A380">
      <w:pPr>
        <w:spacing w:line="600" w:lineRule="exact"/>
        <w:ind w:firstLine="643" w:firstLineChars="200"/>
        <w:outlineLvl w:val="2"/>
        <w:rPr>
          <w:rFonts w:ascii="仿宋" w:hAnsi="仿宋" w:eastAsia="仿宋"/>
          <w:b/>
          <w:color w:val="000000"/>
          <w:sz w:val="32"/>
          <w:szCs w:val="32"/>
        </w:rPr>
      </w:pPr>
      <w:bookmarkStart w:id="55" w:name="_Toc15377211"/>
      <w:bookmarkStart w:id="56" w:name="_Toc19073"/>
      <w:bookmarkStart w:id="57" w:name="_Toc79163616"/>
      <w:r>
        <w:rPr>
          <w:rFonts w:hint="eastAsia" w:ascii="仿宋" w:hAnsi="仿宋" w:eastAsia="仿宋"/>
          <w:b/>
          <w:color w:val="000000"/>
          <w:sz w:val="32"/>
          <w:szCs w:val="32"/>
        </w:rPr>
        <w:t>（二）一般公共预算财政拨款支出决算结构情况</w:t>
      </w:r>
      <w:bookmarkEnd w:id="55"/>
      <w:bookmarkEnd w:id="56"/>
      <w:bookmarkEnd w:id="57"/>
    </w:p>
    <w:p w14:paraId="07EA9B65">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88.02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color w:val="000000"/>
          <w:sz w:val="32"/>
          <w:szCs w:val="32"/>
        </w:rPr>
        <w:t>支出66.61万元，占</w:t>
      </w:r>
      <w:r>
        <w:rPr>
          <w:rFonts w:hint="eastAsia" w:ascii="仿宋" w:hAnsi="仿宋" w:eastAsia="仿宋"/>
          <w:color w:val="000000"/>
          <w:sz w:val="32"/>
          <w:szCs w:val="32"/>
          <w:lang w:val="en-US" w:eastAsia="zh-CN"/>
        </w:rPr>
        <w:t>75.68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color w:val="000000"/>
          <w:sz w:val="32"/>
          <w:szCs w:val="32"/>
        </w:rPr>
        <w:t>支出11.08万元，占</w:t>
      </w:r>
      <w:r>
        <w:rPr>
          <w:rFonts w:hint="eastAsia" w:ascii="仿宋" w:hAnsi="仿宋" w:eastAsia="仿宋"/>
          <w:color w:val="000000"/>
          <w:sz w:val="32"/>
          <w:szCs w:val="32"/>
          <w:lang w:val="en-US" w:eastAsia="zh-CN"/>
        </w:rPr>
        <w:t>12.59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4.47万元，占</w:t>
      </w:r>
      <w:r>
        <w:rPr>
          <w:rFonts w:hint="eastAsia" w:ascii="仿宋" w:hAnsi="仿宋" w:eastAsia="仿宋"/>
          <w:color w:val="000000"/>
          <w:sz w:val="32"/>
          <w:szCs w:val="32"/>
          <w:lang w:val="en-US" w:eastAsia="zh-CN"/>
        </w:rPr>
        <w:t>5.08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住房保障支出</w:t>
      </w:r>
      <w:r>
        <w:rPr>
          <w:rFonts w:hint="eastAsia" w:ascii="仿宋" w:hAnsi="仿宋" w:eastAsia="仿宋"/>
          <w:color w:val="000000"/>
          <w:sz w:val="32"/>
          <w:szCs w:val="32"/>
        </w:rPr>
        <w:t>5.86万元，占</w:t>
      </w:r>
      <w:r>
        <w:rPr>
          <w:rFonts w:hint="eastAsia" w:ascii="仿宋" w:hAnsi="仿宋" w:eastAsia="仿宋"/>
          <w:color w:val="000000"/>
          <w:sz w:val="32"/>
          <w:szCs w:val="32"/>
          <w:lang w:val="en-US" w:eastAsia="zh-CN"/>
        </w:rPr>
        <w:t>6.66</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129DCD13">
      <w:pPr>
        <w:pStyle w:val="28"/>
        <w:rPr>
          <w:rFonts w:hint="eastAsia"/>
          <w:lang w:val="en-US" w:eastAsia="zh-CN"/>
        </w:rPr>
      </w:pPr>
      <w:r>
        <w:drawing>
          <wp:inline distT="0" distB="0" distL="114300" distR="114300">
            <wp:extent cx="4466590" cy="2393950"/>
            <wp:effectExtent l="4445" t="4445" r="12065" b="14605"/>
            <wp:docPr id="137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569EFC8">
      <w:pPr>
        <w:spacing w:line="600" w:lineRule="exact"/>
        <w:ind w:firstLine="640" w:firstLineChars="200"/>
        <w:outlineLvl w:val="2"/>
        <w:rPr>
          <w:rFonts w:hint="eastAsia" w:ascii="仿宋" w:hAnsi="仿宋" w:eastAsia="仿宋"/>
          <w:color w:val="000000"/>
          <w:sz w:val="32"/>
          <w:szCs w:val="32"/>
        </w:rPr>
      </w:pPr>
      <w:bookmarkStart w:id="58" w:name="_Toc6526"/>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bookmarkEnd w:id="58"/>
      <w:bookmarkStart w:id="59" w:name="_Toc15377212"/>
      <w:bookmarkStart w:id="60" w:name="_Toc79163617"/>
    </w:p>
    <w:p w14:paraId="355832C1">
      <w:pPr>
        <w:pStyle w:val="2"/>
        <w:rPr>
          <w:rFonts w:hint="eastAsia" w:ascii="仿宋" w:hAnsi="仿宋" w:eastAsia="仿宋"/>
          <w:color w:val="000000"/>
          <w:sz w:val="32"/>
          <w:szCs w:val="32"/>
        </w:rPr>
      </w:pPr>
    </w:p>
    <w:p w14:paraId="4E107085">
      <w:pPr>
        <w:pStyle w:val="3"/>
        <w:rPr>
          <w:rFonts w:hint="eastAsia"/>
        </w:rPr>
      </w:pPr>
    </w:p>
    <w:p w14:paraId="2D233324">
      <w:pPr>
        <w:spacing w:line="600" w:lineRule="exact"/>
        <w:ind w:firstLine="643" w:firstLineChars="200"/>
        <w:outlineLvl w:val="2"/>
        <w:rPr>
          <w:rFonts w:ascii="仿宋" w:hAnsi="仿宋" w:eastAsia="仿宋"/>
          <w:b/>
          <w:color w:val="000000"/>
          <w:sz w:val="32"/>
          <w:szCs w:val="32"/>
        </w:rPr>
      </w:pPr>
      <w:bookmarkStart w:id="61" w:name="_Toc4375"/>
      <w:r>
        <w:rPr>
          <w:rFonts w:hint="eastAsia" w:ascii="仿宋" w:hAnsi="仿宋" w:eastAsia="仿宋"/>
          <w:b/>
          <w:color w:val="000000"/>
          <w:sz w:val="32"/>
          <w:szCs w:val="32"/>
        </w:rPr>
        <w:t>（三）一般公共预算财政拨款支出决算具体情况</w:t>
      </w:r>
      <w:bookmarkEnd w:id="59"/>
      <w:bookmarkEnd w:id="60"/>
      <w:bookmarkEnd w:id="61"/>
    </w:p>
    <w:p w14:paraId="4C3EB632">
      <w:pPr>
        <w:spacing w:line="600" w:lineRule="exact"/>
        <w:ind w:firstLine="643" w:firstLineChars="200"/>
        <w:rPr>
          <w:rFonts w:ascii="仿宋_GB2312" w:eastAsia="仿宋_GB2312"/>
          <w:b/>
          <w:bCs/>
          <w:sz w:val="32"/>
          <w:szCs w:val="32"/>
        </w:rPr>
      </w:pPr>
      <w:bookmarkStart w:id="62" w:name="_Toc15377444"/>
      <w:bookmarkStart w:id="63" w:name="_Toc15377213"/>
      <w:bookmarkStart w:id="64" w:name="_Toc15378460"/>
      <w:r>
        <w:rPr>
          <w:rFonts w:hint="eastAsia" w:ascii="仿宋_GB2312" w:eastAsia="仿宋_GB2312"/>
          <w:b/>
          <w:bCs/>
          <w:sz w:val="32"/>
          <w:szCs w:val="32"/>
          <w:lang w:eastAsia="zh-CN"/>
        </w:rPr>
        <w:t>2023</w:t>
      </w:r>
      <w:r>
        <w:rPr>
          <w:rFonts w:hint="eastAsia" w:ascii="仿宋_GB2312" w:eastAsia="仿宋_GB2312"/>
          <w:b/>
          <w:bCs/>
          <w:sz w:val="32"/>
          <w:szCs w:val="32"/>
        </w:rPr>
        <w:t>年一般公共预算支出决算数为</w:t>
      </w:r>
      <w:r>
        <w:rPr>
          <w:rFonts w:hint="eastAsia" w:ascii="仿宋" w:hAnsi="仿宋" w:eastAsia="仿宋"/>
          <w:color w:val="000000"/>
          <w:sz w:val="32"/>
          <w:szCs w:val="32"/>
          <w:lang w:eastAsia="zh-CN"/>
        </w:rPr>
        <w:t>88.02</w:t>
      </w:r>
      <w:r>
        <w:rPr>
          <w:rFonts w:hint="eastAsia" w:ascii="仿宋" w:hAnsi="仿宋" w:eastAsia="仿宋"/>
          <w:color w:val="000000"/>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100.00</w:t>
      </w:r>
      <w:r>
        <w:rPr>
          <w:rFonts w:ascii="仿宋_GB2312" w:eastAsia="仿宋_GB2312"/>
          <w:b/>
          <w:bCs/>
          <w:sz w:val="32"/>
          <w:szCs w:val="32"/>
        </w:rPr>
        <w:t>%</w:t>
      </w:r>
      <w:r>
        <w:rPr>
          <w:rFonts w:hint="eastAsia" w:ascii="仿宋_GB2312" w:eastAsia="仿宋_GB2312"/>
          <w:b/>
          <w:bCs/>
          <w:sz w:val="32"/>
          <w:szCs w:val="32"/>
        </w:rPr>
        <w:t>。其中：</w:t>
      </w:r>
      <w:bookmarkEnd w:id="62"/>
      <w:bookmarkEnd w:id="63"/>
      <w:bookmarkEnd w:id="64"/>
    </w:p>
    <w:p w14:paraId="78FE0CD8">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1</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一般公共服务（类）政府办公厅（室）及相关机构事务（款）</w:t>
      </w:r>
      <w:r>
        <w:rPr>
          <w:rStyle w:val="26"/>
          <w:rFonts w:hint="eastAsia" w:ascii="仿宋" w:hAnsi="仿宋" w:eastAsia="仿宋"/>
          <w:bCs/>
          <w:color w:val="000000"/>
          <w:sz w:val="32"/>
          <w:szCs w:val="32"/>
          <w:lang w:val="en-US" w:eastAsia="zh-CN"/>
        </w:rPr>
        <w:t>事业</w:t>
      </w:r>
      <w:r>
        <w:rPr>
          <w:rStyle w:val="26"/>
          <w:rFonts w:hint="eastAsia" w:ascii="仿宋" w:hAnsi="仿宋" w:eastAsia="仿宋"/>
          <w:bCs/>
          <w:color w:val="000000"/>
          <w:sz w:val="32"/>
          <w:szCs w:val="32"/>
        </w:rPr>
        <w:t>运行（项）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支出决算为66.61万元，完成预算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24D067DA">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2</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社会保障和就业支出（类）行政事业单位养老支出（款）机关事业单位基本养老保险缴费支出（项）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支出决算为8.03万元，完成预算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2235885E">
      <w:pPr>
        <w:spacing w:line="600" w:lineRule="exact"/>
        <w:ind w:firstLine="643" w:firstLineChars="200"/>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3</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社会保障和就业支出（类）行政事业单位养老支出（款）机关事业单位职业年金缴费支出（项）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支出决算为3.06万元，完成预算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38E9210">
      <w:pPr>
        <w:spacing w:line="600" w:lineRule="exact"/>
        <w:ind w:firstLine="643" w:firstLineChars="200"/>
      </w:pPr>
      <w:r>
        <w:rPr>
          <w:rStyle w:val="26"/>
          <w:rFonts w:hint="eastAsia" w:ascii="仿宋" w:hAnsi="仿宋" w:eastAsia="仿宋"/>
          <w:bCs/>
          <w:color w:val="000000"/>
          <w:sz w:val="32"/>
          <w:szCs w:val="32"/>
          <w:lang w:val="en-US" w:eastAsia="zh-CN"/>
        </w:rPr>
        <w:t>4</w:t>
      </w:r>
      <w:r>
        <w:rPr>
          <w:rStyle w:val="26"/>
          <w:rFonts w:ascii="仿宋" w:hAnsi="仿宋" w:eastAsia="仿宋"/>
          <w:bCs/>
          <w:color w:val="000000"/>
          <w:sz w:val="32"/>
          <w:szCs w:val="32"/>
        </w:rPr>
        <w:t>.</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w:t>
      </w:r>
      <w:r>
        <w:rPr>
          <w:rStyle w:val="26"/>
          <w:rFonts w:hint="eastAsia" w:ascii="仿宋" w:hAnsi="仿宋" w:eastAsia="仿宋"/>
          <w:bCs/>
          <w:color w:val="000000"/>
          <w:sz w:val="32"/>
          <w:szCs w:val="32"/>
          <w:lang w:val="en-US" w:eastAsia="zh-CN"/>
        </w:rPr>
        <w:t>事业</w:t>
      </w:r>
      <w:r>
        <w:rPr>
          <w:rStyle w:val="26"/>
          <w:rFonts w:hint="eastAsia" w:ascii="仿宋" w:hAnsi="仿宋" w:eastAsia="仿宋"/>
          <w:bCs/>
          <w:color w:val="000000"/>
          <w:sz w:val="32"/>
          <w:szCs w:val="32"/>
        </w:rPr>
        <w:t>单位医疗（项）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支出决算为3.67万元，完成预算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56DECAE3">
      <w:pPr>
        <w:numPr>
          <w:ilvl w:val="0"/>
          <w:numId w:val="0"/>
        </w:numPr>
        <w:spacing w:line="600" w:lineRule="exact"/>
        <w:ind w:left="0" w:leftChars="0" w:firstLine="643" w:firstLineChars="200"/>
        <w:rPr>
          <w:rStyle w:val="26"/>
          <w:rFonts w:hint="eastAsia" w:ascii="仿宋" w:hAnsi="仿宋" w:eastAsia="仿宋"/>
          <w:b w:val="0"/>
          <w:bCs/>
          <w:color w:val="000000"/>
          <w:sz w:val="32"/>
          <w:szCs w:val="32"/>
        </w:rPr>
      </w:pPr>
      <w:r>
        <w:rPr>
          <w:rFonts w:hint="eastAsia" w:ascii="仿宋" w:hAnsi="仿宋" w:eastAsia="仿宋"/>
          <w:b/>
          <w:bCs/>
          <w:color w:val="000000"/>
          <w:sz w:val="32"/>
          <w:szCs w:val="32"/>
          <w:lang w:val="en-US" w:eastAsia="zh-CN"/>
        </w:rPr>
        <w:t>5.</w:t>
      </w:r>
      <w:r>
        <w:rPr>
          <w:rFonts w:hint="eastAsia" w:ascii="仿宋" w:hAnsi="仿宋" w:eastAsia="仿宋"/>
          <w:b/>
          <w:bCs/>
          <w:color w:val="000000"/>
          <w:sz w:val="32"/>
          <w:szCs w:val="32"/>
        </w:rPr>
        <w:t>卫生健康</w:t>
      </w:r>
      <w:r>
        <w:rPr>
          <w:rStyle w:val="26"/>
          <w:rFonts w:hint="eastAsia" w:ascii="仿宋" w:hAnsi="仿宋" w:eastAsia="仿宋"/>
          <w:bCs/>
          <w:color w:val="000000"/>
          <w:sz w:val="32"/>
          <w:szCs w:val="32"/>
        </w:rPr>
        <w:t>（类）行政事业单位医疗（款）其他行政事业单位医疗支出（项）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支出决算为0.79万元，完成预算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0769A98">
      <w:pPr>
        <w:numPr>
          <w:ilvl w:val="0"/>
          <w:numId w:val="0"/>
        </w:numPr>
        <w:spacing w:line="600" w:lineRule="exact"/>
        <w:ind w:left="0" w:leftChars="0" w:firstLine="640" w:firstLineChars="200"/>
        <w:rPr>
          <w:rStyle w:val="26"/>
          <w:rFonts w:hint="eastAsia" w:ascii="仿宋" w:hAnsi="仿宋" w:eastAsia="仿宋"/>
          <w:b w:val="0"/>
          <w:bCs/>
          <w:color w:val="000000"/>
          <w:sz w:val="32"/>
          <w:szCs w:val="32"/>
        </w:rPr>
      </w:pPr>
      <w:r>
        <w:rPr>
          <w:rStyle w:val="26"/>
          <w:rFonts w:hint="eastAsia" w:ascii="仿宋" w:hAnsi="仿宋" w:eastAsia="仿宋"/>
          <w:b w:val="0"/>
          <w:bCs/>
          <w:color w:val="000000"/>
          <w:sz w:val="32"/>
          <w:szCs w:val="32"/>
          <w:lang w:val="en-US" w:eastAsia="zh-CN"/>
        </w:rPr>
        <w:t>6.</w:t>
      </w:r>
      <w:r>
        <w:rPr>
          <w:rFonts w:hint="eastAsia" w:ascii="仿宋" w:hAnsi="仿宋" w:eastAsia="仿宋" w:cs="Times New Roman"/>
          <w:b/>
          <w:bCs/>
          <w:color w:val="000000"/>
          <w:kern w:val="2"/>
          <w:sz w:val="32"/>
          <w:szCs w:val="32"/>
          <w:lang w:val="en-US" w:eastAsia="zh-CN" w:bidi="ar-SA"/>
        </w:rPr>
        <w:t>住房保障支出（类）住房改革支出（款）住房公积金（项）：</w:t>
      </w:r>
      <w:r>
        <w:rPr>
          <w:rStyle w:val="26"/>
          <w:rFonts w:hint="eastAsia" w:ascii="仿宋" w:hAnsi="仿宋" w:eastAsia="仿宋"/>
          <w:b w:val="0"/>
          <w:bCs/>
          <w:color w:val="000000"/>
          <w:sz w:val="32"/>
          <w:szCs w:val="32"/>
        </w:rPr>
        <w:t>支出决算为5.86万元，完成预算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，决算数等于预算数。</w:t>
      </w:r>
    </w:p>
    <w:p w14:paraId="3FD3B9A6">
      <w:pPr>
        <w:pStyle w:val="2"/>
        <w:rPr>
          <w:rFonts w:hint="eastAsia"/>
        </w:rPr>
      </w:pPr>
    </w:p>
    <w:p w14:paraId="28B6782B">
      <w:pPr>
        <w:pStyle w:val="2"/>
        <w:rPr>
          <w:rFonts w:hint="default" w:ascii="仿宋" w:hAnsi="仿宋" w:eastAsia="仿宋" w:cs="Times New Roman"/>
          <w:b/>
          <w:bCs/>
          <w:color w:val="000000"/>
          <w:kern w:val="2"/>
          <w:sz w:val="32"/>
          <w:szCs w:val="32"/>
          <w:lang w:val="en-US" w:eastAsia="zh-CN" w:bidi="ar-SA"/>
        </w:rPr>
      </w:pPr>
    </w:p>
    <w:p w14:paraId="368E8215">
      <w:pPr>
        <w:pStyle w:val="2"/>
        <w:numPr>
          <w:ilvl w:val="0"/>
          <w:numId w:val="0"/>
        </w:numPr>
        <w:rPr>
          <w:rFonts w:hint="default" w:eastAsia="宋体"/>
          <w:lang w:val="en-US" w:eastAsia="zh-CN"/>
        </w:rPr>
      </w:pPr>
      <w:r>
        <w:rPr>
          <w:rFonts w:hint="eastAsia"/>
          <w:lang w:val="en-US" w:eastAsia="zh-CN"/>
        </w:rPr>
        <w:t xml:space="preserve">     </w:t>
      </w:r>
    </w:p>
    <w:p w14:paraId="3C195451">
      <w:pPr>
        <w:tabs>
          <w:tab w:val="right" w:pos="8306"/>
        </w:tabs>
        <w:spacing w:line="600" w:lineRule="exact"/>
        <w:ind w:firstLine="640"/>
        <w:outlineLvl w:val="1"/>
        <w:rPr>
          <w:rStyle w:val="30"/>
        </w:rPr>
      </w:pPr>
      <w:bookmarkStart w:id="65" w:name="_Toc79163618"/>
      <w:bookmarkStart w:id="66" w:name="_Toc15377214"/>
      <w:bookmarkStart w:id="67" w:name="_Toc139"/>
      <w:bookmarkStart w:id="68"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65"/>
      <w:bookmarkEnd w:id="66"/>
      <w:bookmarkEnd w:id="67"/>
      <w:bookmarkEnd w:id="68"/>
      <w:r>
        <w:rPr>
          <w:rStyle w:val="30"/>
          <w:rFonts w:ascii="黑体" w:hAnsi="黑体" w:eastAsia="黑体"/>
          <w:b w:val="0"/>
        </w:rPr>
        <w:tab/>
      </w:r>
    </w:p>
    <w:p w14:paraId="33423089">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88.02</w:t>
      </w:r>
      <w:r>
        <w:rPr>
          <w:rFonts w:hint="eastAsia" w:ascii="仿宋" w:hAnsi="仿宋" w:eastAsia="仿宋"/>
          <w:color w:val="000000"/>
          <w:sz w:val="32"/>
          <w:szCs w:val="32"/>
        </w:rPr>
        <w:t>万元，其中：</w:t>
      </w:r>
    </w:p>
    <w:p w14:paraId="73F11D1D">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85.95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6A828BB9">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日常公用经费2.07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8FD9AB7">
      <w:pPr>
        <w:spacing w:line="600" w:lineRule="exact"/>
        <w:ind w:firstLine="640"/>
        <w:rPr>
          <w:rFonts w:ascii="仿宋" w:hAnsi="仿宋" w:eastAsia="仿宋"/>
          <w:b/>
          <w:color w:val="FF0000"/>
          <w:sz w:val="32"/>
          <w:szCs w:val="32"/>
        </w:rPr>
      </w:pPr>
    </w:p>
    <w:p w14:paraId="3D902F72">
      <w:pPr>
        <w:pStyle w:val="2"/>
        <w:rPr>
          <w:rFonts w:ascii="仿宋" w:hAnsi="仿宋" w:eastAsia="仿宋"/>
          <w:b/>
          <w:color w:val="FF0000"/>
          <w:sz w:val="32"/>
          <w:szCs w:val="32"/>
        </w:rPr>
      </w:pPr>
    </w:p>
    <w:p w14:paraId="178E3229">
      <w:pPr>
        <w:pStyle w:val="3"/>
        <w:rPr>
          <w:rFonts w:ascii="仿宋" w:hAnsi="仿宋" w:eastAsia="仿宋"/>
          <w:b/>
          <w:color w:val="FF0000"/>
          <w:sz w:val="32"/>
          <w:szCs w:val="32"/>
        </w:rPr>
      </w:pPr>
    </w:p>
    <w:p w14:paraId="42C6FA5A">
      <w:pPr>
        <w:pStyle w:val="3"/>
        <w:rPr>
          <w:rFonts w:ascii="仿宋" w:hAnsi="仿宋" w:eastAsia="仿宋"/>
          <w:b/>
          <w:color w:val="FF0000"/>
          <w:sz w:val="32"/>
          <w:szCs w:val="32"/>
        </w:rPr>
      </w:pPr>
    </w:p>
    <w:p w14:paraId="59C7E874">
      <w:pPr>
        <w:pStyle w:val="3"/>
        <w:rPr>
          <w:rFonts w:ascii="仿宋" w:hAnsi="仿宋" w:eastAsia="仿宋"/>
          <w:b/>
          <w:color w:val="FF0000"/>
          <w:sz w:val="32"/>
          <w:szCs w:val="32"/>
        </w:rPr>
      </w:pPr>
    </w:p>
    <w:p w14:paraId="0D2B5BA6">
      <w:pPr>
        <w:pStyle w:val="3"/>
        <w:rPr>
          <w:rFonts w:ascii="仿宋" w:hAnsi="仿宋" w:eastAsia="仿宋"/>
          <w:b/>
          <w:color w:val="FF0000"/>
          <w:sz w:val="32"/>
          <w:szCs w:val="32"/>
        </w:rPr>
      </w:pPr>
    </w:p>
    <w:p w14:paraId="3734A76B">
      <w:pPr>
        <w:pStyle w:val="3"/>
        <w:rPr>
          <w:rFonts w:ascii="仿宋" w:hAnsi="仿宋" w:eastAsia="仿宋"/>
          <w:b/>
          <w:color w:val="FF0000"/>
          <w:sz w:val="32"/>
          <w:szCs w:val="32"/>
        </w:rPr>
      </w:pPr>
    </w:p>
    <w:p w14:paraId="7FA374DC">
      <w:pPr>
        <w:spacing w:line="600" w:lineRule="exact"/>
        <w:ind w:firstLine="640"/>
        <w:outlineLvl w:val="1"/>
        <w:rPr>
          <w:rStyle w:val="30"/>
          <w:rFonts w:ascii="黑体" w:hAnsi="黑体" w:eastAsia="黑体"/>
          <w:b w:val="0"/>
        </w:rPr>
      </w:pPr>
      <w:bookmarkStart w:id="69" w:name="_Toc15377215"/>
      <w:bookmarkStart w:id="70" w:name="_Toc15396609"/>
      <w:bookmarkStart w:id="71" w:name="_Toc79163619"/>
      <w:bookmarkStart w:id="72" w:name="_Toc25505"/>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69"/>
      <w:bookmarkEnd w:id="70"/>
      <w:bookmarkEnd w:id="71"/>
      <w:bookmarkEnd w:id="72"/>
    </w:p>
    <w:p w14:paraId="3EE0130A">
      <w:pPr>
        <w:spacing w:line="600" w:lineRule="exact"/>
        <w:ind w:firstLine="640"/>
        <w:outlineLvl w:val="2"/>
        <w:rPr>
          <w:rFonts w:ascii="仿宋" w:hAnsi="仿宋" w:eastAsia="仿宋"/>
          <w:b/>
          <w:color w:val="000000"/>
          <w:sz w:val="32"/>
          <w:szCs w:val="32"/>
        </w:rPr>
      </w:pPr>
      <w:bookmarkStart w:id="73" w:name="_Toc79163620"/>
      <w:bookmarkStart w:id="74" w:name="_Toc18810"/>
      <w:bookmarkStart w:id="75" w:name="_Toc15377216"/>
      <w:r>
        <w:rPr>
          <w:rFonts w:hint="eastAsia" w:ascii="仿宋" w:hAnsi="仿宋" w:eastAsia="仿宋"/>
          <w:b/>
          <w:color w:val="000000"/>
          <w:sz w:val="32"/>
          <w:szCs w:val="32"/>
        </w:rPr>
        <w:t>（一）“三公”经费财政拨款支出决算总体情况说明</w:t>
      </w:r>
      <w:bookmarkEnd w:id="73"/>
      <w:bookmarkEnd w:id="74"/>
      <w:bookmarkEnd w:id="75"/>
    </w:p>
    <w:p w14:paraId="3268A5F6">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714DCD2E">
      <w:pPr>
        <w:spacing w:line="600" w:lineRule="exact"/>
        <w:ind w:firstLine="640"/>
        <w:outlineLvl w:val="2"/>
        <w:rPr>
          <w:rFonts w:ascii="仿宋" w:hAnsi="仿宋" w:eastAsia="仿宋"/>
          <w:b/>
          <w:color w:val="000000"/>
          <w:sz w:val="32"/>
          <w:szCs w:val="32"/>
        </w:rPr>
      </w:pPr>
      <w:bookmarkStart w:id="76" w:name="_Toc16467"/>
      <w:bookmarkStart w:id="77" w:name="_Toc15377217"/>
      <w:bookmarkStart w:id="78" w:name="_Toc79163621"/>
      <w:r>
        <w:rPr>
          <w:rFonts w:hint="eastAsia" w:ascii="仿宋" w:hAnsi="仿宋" w:eastAsia="仿宋"/>
          <w:b/>
          <w:color w:val="000000"/>
          <w:sz w:val="32"/>
          <w:szCs w:val="32"/>
        </w:rPr>
        <w:t>（二）“三公”经费财政拨款支出决算具体情况说明</w:t>
      </w:r>
      <w:bookmarkEnd w:id="76"/>
      <w:bookmarkEnd w:id="77"/>
      <w:bookmarkEnd w:id="78"/>
    </w:p>
    <w:p w14:paraId="55BC0631">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61A60494">
      <w:pPr>
        <w:jc w:val="center"/>
      </w:pPr>
      <w:r>
        <w:drawing>
          <wp:inline distT="0" distB="0" distL="114300" distR="114300">
            <wp:extent cx="4623435" cy="2080895"/>
            <wp:effectExtent l="4445" t="4445" r="7620" b="10160"/>
            <wp:docPr id="134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292C36">
      <w:pPr>
        <w:spacing w:line="600" w:lineRule="exact"/>
        <w:ind w:firstLine="640"/>
        <w:jc w:val="center"/>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14:paraId="37289CE9">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2022年与2023年均无因公出国（境）经费支出</w:t>
      </w:r>
      <w:r>
        <w:rPr>
          <w:rFonts w:hint="eastAsia" w:ascii="仿宋_GB2312" w:eastAsia="仿宋_GB2312"/>
          <w:color w:val="000000"/>
          <w:sz w:val="32"/>
          <w:szCs w:val="32"/>
        </w:rPr>
        <w:t>。</w:t>
      </w:r>
    </w:p>
    <w:p w14:paraId="683CB5F1">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14:paraId="19A8B543">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b/>
          <w:bCs/>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6"/>
          <w:rFonts w:hint="eastAsia" w:ascii="仿宋" w:hAnsi="仿宋" w:eastAsia="仿宋"/>
          <w:b w:val="0"/>
          <w:bCs/>
          <w:color w:val="000000"/>
          <w:sz w:val="32"/>
          <w:szCs w:val="32"/>
        </w:rPr>
        <w:t>完成预算</w:t>
      </w:r>
      <w:r>
        <w:rPr>
          <w:rFonts w:hint="eastAsia" w:ascii="仿宋" w:hAnsi="仿宋" w:eastAsia="仿宋"/>
          <w:color w:val="000000"/>
          <w:sz w:val="32"/>
          <w:szCs w:val="32"/>
          <w:lang w:val="en-US" w:eastAsia="zh-CN"/>
        </w:rPr>
        <w:t>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38E39D2F">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其他用车0辆</w:t>
      </w:r>
      <w:r>
        <w:rPr>
          <w:rFonts w:hint="eastAsia" w:ascii="仿宋_GB2312" w:eastAsia="仿宋_GB2312"/>
          <w:color w:val="000000"/>
          <w:sz w:val="32"/>
          <w:szCs w:val="32"/>
        </w:rPr>
        <w:t>。</w:t>
      </w:r>
    </w:p>
    <w:p w14:paraId="449B4734">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b/>
          <w:bCs/>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，主要用于</w:t>
      </w:r>
      <w:r>
        <w:rPr>
          <w:rFonts w:hint="eastAsia" w:ascii="仿宋_GB2312" w:eastAsia="仿宋_GB2312"/>
          <w:color w:val="000000"/>
          <w:sz w:val="32"/>
          <w:szCs w:val="32"/>
          <w:lang w:val="en-US" w:eastAsia="zh-CN"/>
        </w:rPr>
        <w:t>车辆日常</w:t>
      </w:r>
      <w:r>
        <w:rPr>
          <w:rFonts w:hint="eastAsia" w:ascii="仿宋_GB2312" w:eastAsia="仿宋_GB2312"/>
          <w:color w:val="000000"/>
          <w:sz w:val="32"/>
          <w:szCs w:val="32"/>
          <w:lang w:eastAsia="zh-CN"/>
        </w:rPr>
        <w:t>所需的维修费、</w:t>
      </w:r>
      <w:r>
        <w:rPr>
          <w:rFonts w:hint="eastAsia" w:ascii="仿宋_GB2312" w:eastAsia="仿宋_GB2312"/>
          <w:color w:val="000000"/>
          <w:sz w:val="32"/>
          <w:szCs w:val="32"/>
          <w:lang w:val="en-US" w:eastAsia="zh-CN"/>
        </w:rPr>
        <w:t>过路费、</w:t>
      </w:r>
      <w:r>
        <w:rPr>
          <w:rFonts w:hint="eastAsia" w:ascii="仿宋_GB2312" w:eastAsia="仿宋_GB2312"/>
          <w:color w:val="000000"/>
          <w:sz w:val="32"/>
          <w:szCs w:val="32"/>
          <w:lang w:eastAsia="zh-CN"/>
        </w:rPr>
        <w:t>保险费等支出</w:t>
      </w:r>
      <w:r>
        <w:rPr>
          <w:rFonts w:hint="eastAsia" w:ascii="仿宋_GB2312" w:eastAsia="仿宋_GB2312"/>
          <w:color w:val="000000"/>
          <w:sz w:val="32"/>
          <w:szCs w:val="32"/>
        </w:rPr>
        <w:t>。</w:t>
      </w:r>
    </w:p>
    <w:p w14:paraId="39ECE167">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2022年与2023年均无公务接待费支出</w:t>
      </w:r>
      <w:r>
        <w:rPr>
          <w:rFonts w:hint="eastAsia" w:ascii="仿宋_GB2312" w:eastAsia="仿宋_GB2312"/>
          <w:color w:val="000000"/>
          <w:sz w:val="32"/>
          <w:szCs w:val="32"/>
        </w:rPr>
        <w:t>。其中：</w:t>
      </w:r>
    </w:p>
    <w:p w14:paraId="5DAFF1A0">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591E053">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2367424">
      <w:pPr>
        <w:spacing w:line="600" w:lineRule="exact"/>
        <w:ind w:firstLine="640" w:firstLineChars="200"/>
        <w:rPr>
          <w:rFonts w:ascii="仿宋_GB2312" w:eastAsia="仿宋_GB2312"/>
          <w:color w:val="000000"/>
          <w:sz w:val="32"/>
          <w:szCs w:val="32"/>
        </w:rPr>
      </w:pPr>
    </w:p>
    <w:p w14:paraId="405879EE">
      <w:pPr>
        <w:spacing w:line="600" w:lineRule="exact"/>
        <w:ind w:firstLine="640"/>
        <w:outlineLvl w:val="1"/>
        <w:rPr>
          <w:rStyle w:val="30"/>
          <w:rFonts w:ascii="黑体" w:hAnsi="黑体" w:eastAsia="黑体"/>
        </w:rPr>
      </w:pPr>
      <w:bookmarkStart w:id="79" w:name="_Toc79163622"/>
      <w:bookmarkStart w:id="80" w:name="_Toc15396610"/>
      <w:bookmarkStart w:id="81" w:name="_Toc8589"/>
      <w:bookmarkStart w:id="82" w:name="_Toc15377218"/>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79"/>
      <w:bookmarkEnd w:id="80"/>
      <w:bookmarkEnd w:id="81"/>
      <w:bookmarkEnd w:id="82"/>
    </w:p>
    <w:p w14:paraId="0EA8EA55">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BF29007">
      <w:pPr>
        <w:spacing w:line="600" w:lineRule="exact"/>
        <w:ind w:firstLine="640"/>
        <w:rPr>
          <w:rFonts w:ascii="仿宋_GB2312" w:eastAsia="仿宋_GB2312"/>
          <w:color w:val="000000"/>
          <w:sz w:val="32"/>
          <w:szCs w:val="32"/>
        </w:rPr>
      </w:pPr>
    </w:p>
    <w:p w14:paraId="38AD6A6D">
      <w:pPr>
        <w:numPr>
          <w:ilvl w:val="0"/>
          <w:numId w:val="2"/>
        </w:numPr>
        <w:spacing w:line="600" w:lineRule="exact"/>
        <w:ind w:firstLine="640"/>
        <w:outlineLvl w:val="1"/>
        <w:rPr>
          <w:rStyle w:val="30"/>
          <w:rFonts w:ascii="黑体" w:hAnsi="黑体" w:eastAsia="黑体"/>
          <w:b w:val="0"/>
        </w:rPr>
      </w:pPr>
      <w:bookmarkStart w:id="83" w:name="_Toc15396611"/>
      <w:bookmarkStart w:id="84" w:name="_Toc15377219"/>
      <w:bookmarkStart w:id="85" w:name="_Toc79163623"/>
      <w:bookmarkStart w:id="86" w:name="_Toc12219"/>
      <w:r>
        <w:rPr>
          <w:rStyle w:val="30"/>
          <w:rFonts w:hint="eastAsia" w:ascii="黑体" w:hAnsi="黑体" w:eastAsia="黑体"/>
          <w:b w:val="0"/>
        </w:rPr>
        <w:t>国有资本经营预算支出决算情况说明</w:t>
      </w:r>
      <w:bookmarkEnd w:id="83"/>
      <w:bookmarkEnd w:id="84"/>
      <w:bookmarkEnd w:id="85"/>
      <w:bookmarkEnd w:id="86"/>
    </w:p>
    <w:p w14:paraId="6361E4F4">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64A1E0D">
      <w:pPr>
        <w:spacing w:line="580" w:lineRule="exact"/>
        <w:jc w:val="center"/>
        <w:rPr>
          <w:rFonts w:ascii="方正小标宋简体" w:hAnsi="方正小标宋简体" w:eastAsia="方正小标宋简体" w:cs="方正小标宋简体"/>
          <w:sz w:val="44"/>
          <w:szCs w:val="44"/>
        </w:rPr>
      </w:pPr>
    </w:p>
    <w:p w14:paraId="31A8454D">
      <w:pPr>
        <w:spacing w:line="600" w:lineRule="exact"/>
        <w:ind w:firstLine="800" w:firstLineChars="250"/>
        <w:outlineLvl w:val="1"/>
        <w:rPr>
          <w:rStyle w:val="30"/>
          <w:rFonts w:ascii="黑体" w:hAnsi="黑体" w:eastAsia="黑体"/>
        </w:rPr>
      </w:pPr>
      <w:bookmarkStart w:id="87" w:name="_Toc79163624"/>
      <w:bookmarkStart w:id="88" w:name="_Toc15396612"/>
      <w:bookmarkStart w:id="89" w:name="_Toc15377221"/>
      <w:bookmarkStart w:id="90" w:name="_Toc9744"/>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87"/>
      <w:bookmarkEnd w:id="88"/>
      <w:bookmarkEnd w:id="89"/>
      <w:bookmarkEnd w:id="90"/>
    </w:p>
    <w:p w14:paraId="47BF28A6">
      <w:pPr>
        <w:spacing w:line="600" w:lineRule="exact"/>
        <w:ind w:firstLine="643" w:firstLineChars="200"/>
        <w:outlineLvl w:val="2"/>
        <w:rPr>
          <w:rFonts w:ascii="仿宋" w:hAnsi="仿宋" w:eastAsia="仿宋"/>
          <w:color w:val="000000"/>
          <w:sz w:val="32"/>
          <w:szCs w:val="32"/>
        </w:rPr>
      </w:pPr>
      <w:bookmarkStart w:id="91" w:name="_Toc15377222"/>
      <w:bookmarkStart w:id="92" w:name="_Toc79163625"/>
      <w:bookmarkStart w:id="93" w:name="_Toc32034"/>
      <w:r>
        <w:rPr>
          <w:rFonts w:hint="eastAsia" w:ascii="仿宋" w:hAnsi="仿宋" w:eastAsia="仿宋"/>
          <w:b/>
          <w:color w:val="000000"/>
          <w:sz w:val="32"/>
          <w:szCs w:val="32"/>
        </w:rPr>
        <w:t>（一）机关运行经费支出情况</w:t>
      </w:r>
      <w:bookmarkEnd w:id="91"/>
      <w:bookmarkEnd w:id="92"/>
      <w:bookmarkEnd w:id="93"/>
    </w:p>
    <w:p w14:paraId="6053B066">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壤塘县信访接待中心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0869CE4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4" w:name="_Toc79163626"/>
      <w:bookmarkStart w:id="95" w:name="_Toc15377223"/>
      <w:bookmarkStart w:id="96" w:name="_Toc13225"/>
      <w:r>
        <w:rPr>
          <w:rFonts w:hint="eastAsia" w:ascii="仿宋" w:hAnsi="仿宋" w:eastAsia="仿宋"/>
          <w:b/>
          <w:color w:val="000000"/>
          <w:sz w:val="32"/>
          <w:szCs w:val="32"/>
        </w:rPr>
        <w:t>（二）政府采购支出情况</w:t>
      </w:r>
      <w:bookmarkEnd w:id="94"/>
      <w:bookmarkEnd w:id="95"/>
      <w:bookmarkEnd w:id="96"/>
    </w:p>
    <w:p w14:paraId="5BBD7211">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壤塘县信访接待中心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EA4840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7"/>
      <w:bookmarkStart w:id="98" w:name="_Toc15377224"/>
      <w:bookmarkStart w:id="99" w:name="_Toc24339"/>
      <w:r>
        <w:rPr>
          <w:rFonts w:hint="eastAsia" w:ascii="仿宋" w:hAnsi="仿宋" w:eastAsia="仿宋"/>
          <w:b/>
          <w:color w:val="000000"/>
          <w:sz w:val="32"/>
          <w:szCs w:val="32"/>
        </w:rPr>
        <w:t>（三）国有资产占有使用情况</w:t>
      </w:r>
      <w:bookmarkEnd w:id="97"/>
      <w:bookmarkEnd w:id="98"/>
      <w:bookmarkEnd w:id="99"/>
    </w:p>
    <w:p w14:paraId="759BA5DB">
      <w:pPr>
        <w:autoSpaceDE w:val="0"/>
        <w:autoSpaceDN w:val="0"/>
        <w:adjustRightInd w:val="0"/>
        <w:spacing w:line="600" w:lineRule="exact"/>
        <w:ind w:firstLine="640" w:firstLineChars="200"/>
        <w:jc w:val="left"/>
        <w:rPr>
          <w:rFonts w:hint="default" w:ascii="仿宋" w:hAnsi="仿宋" w:eastAsia="仿宋_GB2312"/>
          <w:b/>
          <w:color w:val="FF0000"/>
          <w:sz w:val="32"/>
          <w:szCs w:val="32"/>
          <w:lang w:val="en-US" w:eastAsia="zh-CN"/>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壤塘县信访接待中心无公务用车。</w:t>
      </w:r>
    </w:p>
    <w:p w14:paraId="3E3A0443">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8"/>
      <w:bookmarkStart w:id="101" w:name="_Toc10566"/>
      <w:r>
        <w:rPr>
          <w:rFonts w:hint="eastAsia" w:ascii="仿宋" w:hAnsi="仿宋" w:eastAsia="仿宋"/>
          <w:b/>
          <w:color w:val="000000"/>
          <w:sz w:val="32"/>
          <w:szCs w:val="32"/>
        </w:rPr>
        <w:t>（四）预算绩效管理情况。</w:t>
      </w:r>
      <w:bookmarkEnd w:id="100"/>
      <w:bookmarkEnd w:id="101"/>
    </w:p>
    <w:p w14:paraId="04C343FF">
      <w:pPr>
        <w:spacing w:line="600" w:lineRule="exact"/>
        <w:ind w:firstLine="640" w:firstLineChars="200"/>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2023年度</w:t>
      </w:r>
      <w:r>
        <w:rPr>
          <w:rFonts w:hint="eastAsia" w:ascii="仿宋_GB2312" w:hAnsi="Times New Roman" w:eastAsia="仿宋_GB2312" w:cs="Times New Roman"/>
          <w:color w:val="auto"/>
          <w:sz w:val="32"/>
          <w:szCs w:val="32"/>
          <w:highlight w:val="none"/>
          <w:lang w:eastAsia="zh-CN"/>
        </w:rPr>
        <w:t>预算编制阶段，组织对</w:t>
      </w:r>
      <w:r>
        <w:rPr>
          <w:rFonts w:hint="eastAsia" w:ascii="仿宋_GB2312" w:eastAsia="仿宋_GB2312" w:cs="Times New Roman"/>
          <w:color w:val="auto"/>
          <w:sz w:val="32"/>
          <w:szCs w:val="32"/>
          <w:highlight w:val="none"/>
          <w:lang w:val="en-US" w:eastAsia="zh-CN"/>
        </w:rPr>
        <w:t>0</w:t>
      </w:r>
      <w:r>
        <w:rPr>
          <w:rFonts w:hint="eastAsia" w:ascii="仿宋_GB2312" w:hAnsi="Times New Roman" w:eastAsia="仿宋_GB2312" w:cs="Times New Roman"/>
          <w:color w:val="auto"/>
          <w:sz w:val="32"/>
          <w:szCs w:val="32"/>
          <w:highlight w:val="none"/>
          <w:lang w:val="en-US" w:eastAsia="zh-CN"/>
        </w:rPr>
        <w:t>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eastAsia="仿宋_GB2312" w:cs="Times New Roman"/>
          <w:color w:val="auto"/>
          <w:sz w:val="32"/>
          <w:szCs w:val="32"/>
          <w:highlight w:val="none"/>
          <w:lang w:val="en-US" w:eastAsia="zh-CN"/>
        </w:rPr>
        <w:t>0</w:t>
      </w:r>
      <w:r>
        <w:rPr>
          <w:rFonts w:hint="eastAsia" w:ascii="仿宋_GB2312" w:hAnsi="Times New Roman" w:eastAsia="仿宋_GB2312" w:cs="Times New Roman"/>
          <w:color w:val="auto"/>
          <w:sz w:val="32"/>
          <w:szCs w:val="32"/>
          <w:highlight w:val="none"/>
          <w:lang w:eastAsia="zh-CN"/>
        </w:rPr>
        <w:t>个项目编制了绩效目标，预算执行过程中，选取</w:t>
      </w:r>
      <w:r>
        <w:rPr>
          <w:rFonts w:hint="eastAsia" w:ascii="仿宋_GB2312" w:eastAsia="仿宋_GB2312" w:cs="Times New Roman"/>
          <w:color w:val="auto"/>
          <w:sz w:val="32"/>
          <w:szCs w:val="32"/>
          <w:highlight w:val="none"/>
          <w:lang w:val="en-US" w:eastAsia="zh-CN"/>
        </w:rPr>
        <w:t>0</w:t>
      </w:r>
      <w:r>
        <w:rPr>
          <w:rFonts w:hint="eastAsia" w:ascii="仿宋_GB2312" w:hAnsi="Times New Roman" w:eastAsia="仿宋_GB2312" w:cs="Times New Roman"/>
          <w:color w:val="auto"/>
          <w:sz w:val="32"/>
          <w:szCs w:val="32"/>
          <w:highlight w:val="none"/>
          <w:lang w:eastAsia="zh-CN"/>
        </w:rPr>
        <w:t>个项目开展绩效监控，组织对</w:t>
      </w:r>
      <w:r>
        <w:rPr>
          <w:rFonts w:hint="eastAsia" w:ascii="仿宋_GB2312" w:eastAsia="仿宋_GB2312" w:cs="Times New Roman"/>
          <w:color w:val="auto"/>
          <w:sz w:val="32"/>
          <w:szCs w:val="32"/>
          <w:highlight w:val="none"/>
          <w:lang w:val="en-US" w:eastAsia="zh-CN"/>
        </w:rPr>
        <w:t>0</w:t>
      </w:r>
      <w:r>
        <w:rPr>
          <w:rFonts w:hint="eastAsia" w:ascii="仿宋_GB2312" w:hAnsi="Times New Roman" w:eastAsia="仿宋_GB2312" w:cs="Times New Roman"/>
          <w:color w:val="auto"/>
          <w:sz w:val="32"/>
          <w:szCs w:val="32"/>
          <w:highlight w:val="none"/>
          <w:lang w:val="en-US" w:eastAsia="zh-CN"/>
        </w:rPr>
        <w:t>个项目开展绩效自评，绩效自评表详见第四部分附件。</w:t>
      </w:r>
    </w:p>
    <w:p w14:paraId="6B7C88C5">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1C7B01D2">
      <w:pPr>
        <w:numPr>
          <w:ilvl w:val="0"/>
          <w:numId w:val="3"/>
        </w:numPr>
        <w:spacing w:line="600" w:lineRule="exact"/>
        <w:ind w:firstLine="660" w:firstLineChars="150"/>
        <w:jc w:val="center"/>
        <w:outlineLvl w:val="0"/>
        <w:rPr>
          <w:rStyle w:val="29"/>
          <w:rFonts w:ascii="黑体" w:hAnsi="黑体" w:eastAsia="黑体"/>
          <w:b w:val="0"/>
        </w:rPr>
      </w:pPr>
      <w:bookmarkStart w:id="102" w:name="_Toc79163629"/>
      <w:bookmarkStart w:id="103" w:name="_Toc15396613"/>
      <w:bookmarkStart w:id="104" w:name="_Toc15377225"/>
      <w:bookmarkStart w:id="105" w:name="_Toc30986"/>
      <w:r>
        <w:rPr>
          <w:rFonts w:hint="eastAsia" w:ascii="黑体" w:hAnsi="黑体" w:eastAsia="黑体"/>
          <w:color w:val="000000"/>
          <w:sz w:val="44"/>
          <w:szCs w:val="44"/>
        </w:rPr>
        <w:t>名</w:t>
      </w:r>
      <w:r>
        <w:rPr>
          <w:rStyle w:val="29"/>
          <w:rFonts w:hint="eastAsia" w:ascii="黑体" w:hAnsi="黑体" w:eastAsia="黑体"/>
          <w:b w:val="0"/>
        </w:rPr>
        <w:t>词解释</w:t>
      </w:r>
      <w:bookmarkEnd w:id="102"/>
      <w:bookmarkEnd w:id="103"/>
      <w:bookmarkEnd w:id="104"/>
      <w:bookmarkEnd w:id="105"/>
    </w:p>
    <w:p w14:paraId="346E3EA3">
      <w:pPr>
        <w:spacing w:line="600" w:lineRule="exact"/>
        <w:jc w:val="left"/>
        <w:rPr>
          <w:rFonts w:ascii="宋体"/>
          <w:b/>
          <w:color w:val="000000"/>
          <w:sz w:val="44"/>
          <w:szCs w:val="44"/>
        </w:rPr>
      </w:pPr>
    </w:p>
    <w:p w14:paraId="6D77A6EC">
      <w:pPr>
        <w:pStyle w:val="3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0491459">
      <w:pPr>
        <w:pStyle w:val="3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3AE803E9">
      <w:pPr>
        <w:pStyle w:val="3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6C91FF94">
      <w:pPr>
        <w:pStyle w:val="3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援建资金</w:t>
      </w:r>
      <w:r>
        <w:rPr>
          <w:rFonts w:hint="eastAsia" w:ascii="仿宋_GB2312" w:eastAsia="仿宋_GB2312"/>
          <w:sz w:val="32"/>
          <w:szCs w:val="32"/>
        </w:rPr>
        <w:t>。</w:t>
      </w:r>
    </w:p>
    <w:p w14:paraId="300B32A6">
      <w:pPr>
        <w:pStyle w:val="39"/>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14:paraId="08B38D64">
      <w:pPr>
        <w:pStyle w:val="39"/>
        <w:spacing w:line="560"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14:paraId="41947D67">
      <w:pPr>
        <w:ind w:firstLine="640" w:firstLineChars="200"/>
        <w:rPr>
          <w:rFonts w:hint="eastAsia"/>
          <w:lang w:eastAsia="zh-CN"/>
        </w:rPr>
      </w:pPr>
      <w:r>
        <w:rPr>
          <w:rFonts w:hint="eastAsia" w:ascii="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政府办公厅（室）及相关机构事务（款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w:t>
      </w:r>
      <w:r>
        <w:rPr>
          <w:rFonts w:hint="eastAsia" w:ascii="仿宋_GB2312" w:hAnsi="Times New Roman" w:eastAsia="仿宋_GB2312" w:cs="Times New Roman"/>
          <w:color w:val="000000"/>
          <w:sz w:val="32"/>
          <w:szCs w:val="32"/>
          <w:lang w:eastAsia="zh-CN"/>
        </w:rPr>
        <w:t>指</w:t>
      </w:r>
      <w:r>
        <w:rPr>
          <w:rFonts w:hint="eastAsia" w:ascii="仿宋_GB2312" w:hAnsi="Times New Roman" w:eastAsia="仿宋_GB2312" w:cs="Times New Roman"/>
          <w:color w:val="000000"/>
          <w:sz w:val="32"/>
          <w:szCs w:val="32"/>
          <w:lang w:val="en-US" w:eastAsia="zh-CN"/>
        </w:rPr>
        <w:t>行政单位（包括实行公务员管理的事业单位）的基本支出</w:t>
      </w:r>
      <w:r>
        <w:rPr>
          <w:rFonts w:hint="eastAsia" w:ascii="仿宋_GB2312" w:hAnsi="Times New Roman" w:eastAsia="仿宋_GB2312" w:cs="Times New Roman"/>
          <w:color w:val="000000"/>
          <w:sz w:val="32"/>
          <w:szCs w:val="32"/>
          <w:lang w:eastAsia="zh-CN"/>
        </w:rPr>
        <w:t>。</w:t>
      </w:r>
    </w:p>
    <w:p w14:paraId="016DC535">
      <w:pPr>
        <w:ind w:firstLine="640" w:firstLineChars="200"/>
        <w:rPr>
          <w:rFonts w:hint="eastAsia" w:ascii="仿宋_GB2312" w:hAnsi="Times New Roman" w:eastAsia="仿宋_GB2312" w:cs="Times New Roman"/>
          <w:color w:val="000000"/>
          <w:sz w:val="32"/>
          <w:szCs w:val="32"/>
          <w:lang w:eastAsia="zh-CN"/>
        </w:rPr>
      </w:pPr>
      <w:r>
        <w:rPr>
          <w:rFonts w:hint="eastAsia" w:ascii="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lang w:eastAsia="zh-CN"/>
        </w:rPr>
        <w:t>一般公共服务支出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政府办公厅（室）及相关机构事务（款</w:t>
      </w:r>
      <w:r>
        <w:rPr>
          <w:rFonts w:hint="eastAsia" w:ascii="仿宋_GB2312" w:eastAsia="仿宋_GB2312"/>
          <w:color w:val="000000"/>
          <w:sz w:val="32"/>
          <w:szCs w:val="32"/>
        </w:rPr>
        <w:t>）</w:t>
      </w:r>
      <w:r>
        <w:rPr>
          <w:rFonts w:hint="eastAsia" w:ascii="仿宋_GB2312" w:hAnsi="Times New Roman" w:eastAsia="仿宋_GB2312" w:cs="Times New Roman"/>
          <w:color w:val="000000"/>
          <w:sz w:val="32"/>
          <w:szCs w:val="32"/>
          <w:lang w:val="en-US" w:eastAsia="zh-CN"/>
        </w:rPr>
        <w:t>信访事务</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各级政府用于接待群众来信来访方面的支出</w:t>
      </w:r>
      <w:r>
        <w:rPr>
          <w:rFonts w:hint="eastAsia" w:ascii="仿宋_GB2312" w:hAnsi="Times New Roman" w:eastAsia="仿宋_GB2312" w:cs="Times New Roman"/>
          <w:color w:val="000000"/>
          <w:sz w:val="32"/>
          <w:szCs w:val="32"/>
          <w:lang w:eastAsia="zh-CN"/>
        </w:rPr>
        <w:t>。</w:t>
      </w:r>
    </w:p>
    <w:p w14:paraId="502D0B90">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w:t>
      </w:r>
      <w:r>
        <w:rPr>
          <w:rFonts w:hint="eastAsia" w:ascii="仿宋" w:hAnsi="仿宋" w:eastAsia="仿宋" w:cs="仿宋"/>
          <w:color w:val="000000"/>
          <w:sz w:val="32"/>
          <w:szCs w:val="32"/>
          <w:lang w:eastAsia="zh-CN"/>
        </w:rPr>
        <w:t>单位</w:t>
      </w:r>
      <w:r>
        <w:rPr>
          <w:rFonts w:hint="eastAsia" w:ascii="仿宋" w:hAnsi="仿宋" w:eastAsia="仿宋" w:cs="仿宋"/>
          <w:color w:val="000000"/>
          <w:sz w:val="32"/>
          <w:szCs w:val="32"/>
          <w:lang w:val="en-US" w:eastAsia="zh-CN"/>
        </w:rPr>
        <w:t>养老支出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由单位缴纳的基本养老保险费支出</w:t>
      </w:r>
      <w:r>
        <w:rPr>
          <w:rFonts w:hint="eastAsia" w:ascii="仿宋_GB2312" w:eastAsia="仿宋_GB2312"/>
          <w:color w:val="000000"/>
          <w:sz w:val="32"/>
          <w:szCs w:val="32"/>
        </w:rPr>
        <w:t>。</w:t>
      </w:r>
    </w:p>
    <w:p w14:paraId="5A59479D">
      <w:pPr>
        <w:ind w:firstLine="640" w:firstLineChars="200"/>
        <w:rPr>
          <w:rFonts w:hint="eastAsia"/>
          <w:lang w:eastAsia="zh-CN"/>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障和就业（类）</w:t>
      </w:r>
      <w:r>
        <w:rPr>
          <w:rFonts w:hint="eastAsia" w:ascii="仿宋_GB2312" w:hAnsi="Times New Roman" w:eastAsia="仿宋_GB2312" w:cs="Times New Roman"/>
          <w:color w:val="000000"/>
          <w:sz w:val="32"/>
          <w:szCs w:val="32"/>
          <w:lang w:val="en-US" w:eastAsia="zh-CN"/>
        </w:rPr>
        <w:t>行政事业单位养老支出</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机关事业单位职业年金缴费支出</w:t>
      </w:r>
      <w:r>
        <w:rPr>
          <w:rFonts w:hint="eastAsia" w:ascii="仿宋_GB2312" w:hAnsi="Times New Roman" w:eastAsia="仿宋_GB2312" w:cs="Times New Roman"/>
          <w:color w:val="000000"/>
          <w:sz w:val="32"/>
          <w:szCs w:val="32"/>
          <w:lang w:eastAsia="zh-CN"/>
        </w:rPr>
        <w:t>（项）：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14:paraId="08BC5174">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11</w:t>
      </w:r>
      <w:r>
        <w:rPr>
          <w:rFonts w:hint="eastAsia" w:ascii="仿宋_GB2312" w:hAnsi="Times New Roman" w:eastAsia="仿宋_GB2312" w:cs="Times New Roman"/>
          <w:color w:val="000000"/>
          <w:sz w:val="32"/>
          <w:szCs w:val="32"/>
          <w:lang w:eastAsia="zh-CN"/>
        </w:rPr>
        <w:t>.卫生健康支出（类）行政事业单位医疗（款）行政单位医疗（项）：指财政部门集中安排的行政单位基本医疗保险缴费经费。</w:t>
      </w:r>
    </w:p>
    <w:p w14:paraId="23FBCBC6">
      <w:pPr>
        <w:ind w:firstLine="640" w:firstLineChars="200"/>
        <w:rPr>
          <w:rFonts w:hint="default"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12</w:t>
      </w:r>
      <w:r>
        <w:rPr>
          <w:rFonts w:hint="eastAsia" w:ascii="仿宋_GB2312" w:hAnsi="Times New Roman" w:eastAsia="仿宋_GB2312" w:cs="Times New Roman"/>
          <w:color w:val="000000"/>
          <w:sz w:val="32"/>
          <w:szCs w:val="32"/>
          <w:lang w:eastAsia="zh-CN"/>
        </w:rPr>
        <w:t>.住房</w:t>
      </w:r>
      <w:r>
        <w:rPr>
          <w:rFonts w:hint="eastAsia" w:ascii="仿宋_GB2312" w:hAnsi="Times New Roman" w:eastAsia="仿宋_GB2312" w:cs="Times New Roman"/>
          <w:color w:val="000000"/>
          <w:sz w:val="32"/>
          <w:szCs w:val="32"/>
          <w:lang w:val="en-US" w:eastAsia="zh-CN"/>
        </w:rPr>
        <w:t>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14:paraId="6E527581">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3</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14:paraId="1F24FE2A">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14:paraId="08130E04">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15</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14:paraId="0CE8E308">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16</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7EEBE0F">
      <w:pPr>
        <w:ind w:firstLine="640" w:firstLineChars="200"/>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17</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A045B1">
      <w:pPr>
        <w:pStyle w:val="2"/>
        <w:rPr>
          <w:rFonts w:hint="eastAsia" w:ascii="仿宋_GB2312" w:hAnsi="Times New Roman" w:eastAsia="仿宋_GB2312" w:cs="Times New Roman"/>
          <w:color w:val="000000"/>
          <w:sz w:val="32"/>
          <w:szCs w:val="32"/>
          <w:lang w:eastAsia="zh-CN"/>
        </w:rPr>
      </w:pPr>
    </w:p>
    <w:p w14:paraId="62A1BB85">
      <w:pPr>
        <w:pStyle w:val="3"/>
        <w:rPr>
          <w:rFonts w:hint="eastAsia" w:ascii="仿宋_GB2312" w:hAnsi="Times New Roman" w:eastAsia="仿宋_GB2312" w:cs="Times New Roman"/>
          <w:color w:val="000000"/>
          <w:sz w:val="32"/>
          <w:szCs w:val="32"/>
          <w:lang w:eastAsia="zh-CN"/>
        </w:rPr>
      </w:pPr>
    </w:p>
    <w:p w14:paraId="7EFB4685">
      <w:pPr>
        <w:pStyle w:val="3"/>
        <w:rPr>
          <w:rFonts w:hint="eastAsia" w:ascii="仿宋_GB2312" w:hAnsi="Times New Roman" w:eastAsia="仿宋_GB2312" w:cs="Times New Roman"/>
          <w:color w:val="000000"/>
          <w:sz w:val="32"/>
          <w:szCs w:val="32"/>
          <w:lang w:eastAsia="zh-CN"/>
        </w:rPr>
      </w:pPr>
    </w:p>
    <w:p w14:paraId="12830A2A">
      <w:pPr>
        <w:pStyle w:val="3"/>
        <w:rPr>
          <w:rFonts w:hint="eastAsia" w:ascii="仿宋_GB2312" w:hAnsi="Times New Roman" w:eastAsia="仿宋_GB2312" w:cs="Times New Roman"/>
          <w:color w:val="000000"/>
          <w:sz w:val="32"/>
          <w:szCs w:val="32"/>
          <w:lang w:eastAsia="zh-CN"/>
        </w:rPr>
      </w:pPr>
    </w:p>
    <w:p w14:paraId="471293AF">
      <w:pPr>
        <w:pStyle w:val="3"/>
        <w:rPr>
          <w:rFonts w:hint="eastAsia" w:ascii="仿宋_GB2312" w:hAnsi="Times New Roman" w:eastAsia="仿宋_GB2312" w:cs="Times New Roman"/>
          <w:color w:val="000000"/>
          <w:sz w:val="32"/>
          <w:szCs w:val="32"/>
          <w:lang w:eastAsia="zh-CN"/>
        </w:rPr>
      </w:pPr>
    </w:p>
    <w:p w14:paraId="3ACC76CD">
      <w:pPr>
        <w:pStyle w:val="3"/>
        <w:rPr>
          <w:rFonts w:hint="eastAsia" w:ascii="仿宋_GB2312" w:hAnsi="Times New Roman" w:eastAsia="仿宋_GB2312" w:cs="Times New Roman"/>
          <w:color w:val="000000"/>
          <w:sz w:val="32"/>
          <w:szCs w:val="32"/>
          <w:lang w:eastAsia="zh-CN"/>
        </w:rPr>
      </w:pPr>
    </w:p>
    <w:p w14:paraId="58D97F0E">
      <w:pPr>
        <w:pStyle w:val="3"/>
        <w:rPr>
          <w:rFonts w:hint="eastAsia" w:ascii="仿宋_GB2312" w:hAnsi="Times New Roman" w:eastAsia="仿宋_GB2312" w:cs="Times New Roman"/>
          <w:color w:val="000000"/>
          <w:sz w:val="32"/>
          <w:szCs w:val="32"/>
          <w:lang w:eastAsia="zh-CN"/>
        </w:rPr>
      </w:pPr>
    </w:p>
    <w:p w14:paraId="47C6837B">
      <w:pPr>
        <w:pStyle w:val="3"/>
        <w:rPr>
          <w:rFonts w:hint="eastAsia" w:ascii="仿宋_GB2312" w:hAnsi="Times New Roman" w:eastAsia="仿宋_GB2312" w:cs="Times New Roman"/>
          <w:color w:val="000000"/>
          <w:sz w:val="32"/>
          <w:szCs w:val="32"/>
          <w:lang w:eastAsia="zh-CN"/>
        </w:rPr>
      </w:pPr>
    </w:p>
    <w:p w14:paraId="352E21B2">
      <w:pPr>
        <w:pStyle w:val="3"/>
        <w:rPr>
          <w:rFonts w:hint="eastAsia" w:ascii="仿宋_GB2312" w:hAnsi="Times New Roman" w:eastAsia="仿宋_GB2312" w:cs="Times New Roman"/>
          <w:color w:val="000000"/>
          <w:sz w:val="32"/>
          <w:szCs w:val="32"/>
          <w:lang w:eastAsia="zh-CN"/>
        </w:rPr>
      </w:pPr>
    </w:p>
    <w:p w14:paraId="39DA4950">
      <w:pPr>
        <w:pStyle w:val="3"/>
        <w:rPr>
          <w:rFonts w:hint="eastAsia" w:ascii="仿宋_GB2312" w:hAnsi="Times New Roman" w:eastAsia="仿宋_GB2312" w:cs="Times New Roman"/>
          <w:color w:val="000000"/>
          <w:sz w:val="32"/>
          <w:szCs w:val="32"/>
          <w:lang w:eastAsia="zh-CN"/>
        </w:rPr>
      </w:pPr>
    </w:p>
    <w:p w14:paraId="1F2A437C">
      <w:pPr>
        <w:pStyle w:val="3"/>
        <w:rPr>
          <w:rFonts w:hint="eastAsia" w:ascii="仿宋_GB2312" w:hAnsi="Times New Roman" w:eastAsia="仿宋_GB2312" w:cs="Times New Roman"/>
          <w:color w:val="000000"/>
          <w:sz w:val="32"/>
          <w:szCs w:val="32"/>
          <w:lang w:eastAsia="zh-CN"/>
        </w:rPr>
      </w:pPr>
    </w:p>
    <w:p w14:paraId="689D470A">
      <w:pPr>
        <w:pStyle w:val="3"/>
        <w:rPr>
          <w:rFonts w:hint="eastAsia" w:ascii="仿宋_GB2312" w:hAnsi="Times New Roman" w:eastAsia="仿宋_GB2312" w:cs="Times New Roman"/>
          <w:color w:val="000000"/>
          <w:sz w:val="32"/>
          <w:szCs w:val="32"/>
          <w:lang w:eastAsia="zh-CN"/>
        </w:rPr>
      </w:pPr>
    </w:p>
    <w:p w14:paraId="51BC2E54">
      <w:pPr>
        <w:pStyle w:val="3"/>
        <w:rPr>
          <w:rFonts w:hint="eastAsia" w:ascii="仿宋_GB2312" w:hAnsi="Times New Roman" w:eastAsia="仿宋_GB2312" w:cs="Times New Roman"/>
          <w:color w:val="000000"/>
          <w:sz w:val="32"/>
          <w:szCs w:val="32"/>
          <w:lang w:eastAsia="zh-CN"/>
        </w:rPr>
      </w:pPr>
    </w:p>
    <w:p w14:paraId="7E837382">
      <w:pPr>
        <w:spacing w:line="600" w:lineRule="exact"/>
        <w:jc w:val="center"/>
        <w:outlineLvl w:val="0"/>
        <w:rPr>
          <w:rStyle w:val="29"/>
          <w:rFonts w:ascii="黑体" w:hAnsi="黑体" w:eastAsia="黑体"/>
          <w:b w:val="0"/>
        </w:rPr>
      </w:pPr>
      <w:bookmarkStart w:id="106" w:name="_Toc15396614"/>
      <w:bookmarkStart w:id="107" w:name="_Toc919"/>
      <w:bookmarkStart w:id="108" w:name="_Toc79163630"/>
      <w:bookmarkStart w:id="109" w:name="_Toc15377226"/>
      <w:r>
        <w:rPr>
          <w:rFonts w:hint="eastAsia" w:ascii="黑体" w:hAnsi="黑体" w:eastAsia="黑体"/>
          <w:color w:val="000000"/>
          <w:sz w:val="44"/>
          <w:szCs w:val="44"/>
        </w:rPr>
        <w:t>第</w:t>
      </w:r>
      <w:r>
        <w:rPr>
          <w:rStyle w:val="29"/>
          <w:rFonts w:hint="eastAsia" w:ascii="黑体" w:hAnsi="黑体" w:eastAsia="黑体"/>
          <w:b w:val="0"/>
        </w:rPr>
        <w:t>四部分</w:t>
      </w:r>
      <w:r>
        <w:rPr>
          <w:rStyle w:val="29"/>
          <w:rFonts w:ascii="黑体" w:hAnsi="黑体" w:eastAsia="黑体"/>
          <w:b w:val="0"/>
        </w:rPr>
        <w:t xml:space="preserve"> </w:t>
      </w:r>
      <w:r>
        <w:rPr>
          <w:rStyle w:val="29"/>
          <w:rFonts w:hint="eastAsia" w:ascii="黑体" w:hAnsi="黑体" w:eastAsia="黑体"/>
          <w:b w:val="0"/>
        </w:rPr>
        <w:t>附件</w:t>
      </w:r>
      <w:bookmarkEnd w:id="106"/>
      <w:bookmarkEnd w:id="107"/>
      <w:bookmarkEnd w:id="108"/>
    </w:p>
    <w:p w14:paraId="40896418">
      <w:pPr>
        <w:spacing w:line="600" w:lineRule="exact"/>
        <w:jc w:val="left"/>
        <w:outlineLvl w:val="0"/>
        <w:rPr>
          <w:rFonts w:hint="eastAsia" w:ascii="方正小标宋简体" w:hAnsi="方正小标宋简体" w:eastAsia="黑体" w:cs="方正小标宋简体"/>
          <w:sz w:val="32"/>
          <w:szCs w:val="32"/>
          <w:lang w:eastAsia="zh-CN"/>
        </w:rPr>
      </w:pPr>
      <w:bookmarkStart w:id="110" w:name="_Toc79163631"/>
      <w:bookmarkStart w:id="111" w:name="_Toc10130"/>
      <w:r>
        <w:rPr>
          <w:rFonts w:hint="eastAsia" w:ascii="黑体" w:hAnsi="黑体" w:eastAsia="黑体" w:cs="黑体"/>
          <w:sz w:val="32"/>
          <w:szCs w:val="32"/>
        </w:rPr>
        <w:t>附件</w:t>
      </w:r>
      <w:bookmarkEnd w:id="110"/>
      <w:bookmarkEnd w:id="111"/>
      <w:r>
        <w:rPr>
          <w:rFonts w:hint="eastAsia" w:ascii="黑体" w:hAnsi="黑体" w:eastAsia="黑体" w:cs="黑体"/>
          <w:sz w:val="32"/>
          <w:szCs w:val="32"/>
          <w:lang w:val="en-US" w:eastAsia="zh-CN"/>
        </w:rPr>
        <w:t>无</w:t>
      </w:r>
    </w:p>
    <w:p w14:paraId="276237C5">
      <w:pPr>
        <w:spacing w:line="600" w:lineRule="exact"/>
        <w:jc w:val="center"/>
        <w:outlineLvl w:val="0"/>
        <w:rPr>
          <w:rFonts w:hint="eastAsia" w:ascii="黑体" w:hAnsi="黑体" w:eastAsia="黑体"/>
          <w:color w:val="000000"/>
          <w:sz w:val="44"/>
          <w:szCs w:val="44"/>
        </w:rPr>
      </w:pPr>
      <w:bookmarkStart w:id="112" w:name="_Toc15396618"/>
      <w:bookmarkStart w:id="113" w:name="_Toc79163635"/>
      <w:bookmarkStart w:id="114" w:name="_Toc32233"/>
    </w:p>
    <w:p w14:paraId="4C0A27D9">
      <w:pPr>
        <w:spacing w:line="600" w:lineRule="exact"/>
        <w:jc w:val="center"/>
        <w:outlineLvl w:val="0"/>
        <w:rPr>
          <w:rFonts w:hint="eastAsia" w:ascii="黑体" w:hAnsi="黑体" w:eastAsia="黑体"/>
          <w:color w:val="000000"/>
          <w:sz w:val="44"/>
          <w:szCs w:val="44"/>
        </w:rPr>
      </w:pPr>
    </w:p>
    <w:p w14:paraId="7237AA00">
      <w:pPr>
        <w:spacing w:line="600" w:lineRule="exact"/>
        <w:jc w:val="center"/>
        <w:outlineLvl w:val="0"/>
        <w:rPr>
          <w:rFonts w:hint="eastAsia" w:ascii="黑体" w:hAnsi="黑体" w:eastAsia="黑体"/>
          <w:color w:val="000000"/>
          <w:sz w:val="44"/>
          <w:szCs w:val="44"/>
        </w:rPr>
      </w:pPr>
    </w:p>
    <w:p w14:paraId="1C9DF1CE">
      <w:pPr>
        <w:spacing w:line="600" w:lineRule="exact"/>
        <w:jc w:val="center"/>
        <w:outlineLvl w:val="0"/>
        <w:rPr>
          <w:rFonts w:hint="eastAsia" w:ascii="黑体" w:hAnsi="黑体" w:eastAsia="黑体"/>
          <w:color w:val="000000"/>
          <w:sz w:val="44"/>
          <w:szCs w:val="44"/>
        </w:rPr>
      </w:pPr>
    </w:p>
    <w:p w14:paraId="4FC4D328">
      <w:pPr>
        <w:spacing w:line="600" w:lineRule="exact"/>
        <w:jc w:val="center"/>
        <w:outlineLvl w:val="0"/>
        <w:rPr>
          <w:rFonts w:hint="eastAsia" w:ascii="黑体" w:hAnsi="黑体" w:eastAsia="黑体"/>
          <w:color w:val="000000"/>
          <w:sz w:val="44"/>
          <w:szCs w:val="44"/>
        </w:rPr>
      </w:pPr>
    </w:p>
    <w:p w14:paraId="6EE5005D">
      <w:pPr>
        <w:spacing w:line="600" w:lineRule="exact"/>
        <w:jc w:val="center"/>
        <w:outlineLvl w:val="0"/>
        <w:rPr>
          <w:rFonts w:hint="eastAsia" w:ascii="黑体" w:hAnsi="黑体" w:eastAsia="黑体"/>
          <w:color w:val="000000"/>
          <w:sz w:val="44"/>
          <w:szCs w:val="44"/>
        </w:rPr>
      </w:pPr>
    </w:p>
    <w:p w14:paraId="60519996">
      <w:pPr>
        <w:spacing w:line="600" w:lineRule="exact"/>
        <w:jc w:val="center"/>
        <w:outlineLvl w:val="0"/>
        <w:rPr>
          <w:rFonts w:hint="eastAsia" w:ascii="黑体" w:hAnsi="黑体" w:eastAsia="黑体"/>
          <w:color w:val="000000"/>
          <w:sz w:val="44"/>
          <w:szCs w:val="44"/>
        </w:rPr>
      </w:pPr>
    </w:p>
    <w:p w14:paraId="122B67B2">
      <w:pPr>
        <w:spacing w:line="600" w:lineRule="exact"/>
        <w:jc w:val="center"/>
        <w:outlineLvl w:val="0"/>
        <w:rPr>
          <w:rFonts w:hint="eastAsia" w:ascii="黑体" w:hAnsi="黑体" w:eastAsia="黑体"/>
          <w:color w:val="000000"/>
          <w:sz w:val="44"/>
          <w:szCs w:val="44"/>
        </w:rPr>
      </w:pPr>
    </w:p>
    <w:p w14:paraId="41216935">
      <w:pPr>
        <w:spacing w:line="600" w:lineRule="exact"/>
        <w:jc w:val="center"/>
        <w:outlineLvl w:val="0"/>
        <w:rPr>
          <w:rFonts w:hint="eastAsia" w:ascii="黑体" w:hAnsi="黑体" w:eastAsia="黑体"/>
          <w:color w:val="000000"/>
          <w:sz w:val="44"/>
          <w:szCs w:val="44"/>
        </w:rPr>
      </w:pPr>
    </w:p>
    <w:p w14:paraId="02E085F7">
      <w:pPr>
        <w:spacing w:line="600" w:lineRule="exact"/>
        <w:jc w:val="center"/>
        <w:outlineLvl w:val="0"/>
        <w:rPr>
          <w:rFonts w:hint="eastAsia" w:ascii="黑体" w:hAnsi="黑体" w:eastAsia="黑体"/>
          <w:color w:val="000000"/>
          <w:sz w:val="44"/>
          <w:szCs w:val="44"/>
        </w:rPr>
      </w:pPr>
    </w:p>
    <w:p w14:paraId="317541E1">
      <w:pPr>
        <w:spacing w:line="600" w:lineRule="exact"/>
        <w:jc w:val="center"/>
        <w:outlineLvl w:val="0"/>
        <w:rPr>
          <w:rFonts w:hint="eastAsia" w:ascii="黑体" w:hAnsi="黑体" w:eastAsia="黑体"/>
          <w:color w:val="000000"/>
          <w:sz w:val="44"/>
          <w:szCs w:val="44"/>
        </w:rPr>
      </w:pPr>
    </w:p>
    <w:p w14:paraId="76A123D3">
      <w:pPr>
        <w:spacing w:line="600" w:lineRule="exact"/>
        <w:jc w:val="center"/>
        <w:outlineLvl w:val="0"/>
        <w:rPr>
          <w:rFonts w:hint="eastAsia" w:ascii="黑体" w:hAnsi="黑体" w:eastAsia="黑体"/>
          <w:color w:val="000000"/>
          <w:sz w:val="44"/>
          <w:szCs w:val="44"/>
        </w:rPr>
      </w:pPr>
    </w:p>
    <w:p w14:paraId="6A07209A">
      <w:pPr>
        <w:spacing w:line="600" w:lineRule="exact"/>
        <w:jc w:val="center"/>
        <w:outlineLvl w:val="0"/>
        <w:rPr>
          <w:rFonts w:hint="eastAsia" w:ascii="黑体" w:hAnsi="黑体" w:eastAsia="黑体"/>
          <w:color w:val="000000"/>
          <w:sz w:val="44"/>
          <w:szCs w:val="44"/>
        </w:rPr>
      </w:pPr>
    </w:p>
    <w:p w14:paraId="54FC7854">
      <w:pPr>
        <w:spacing w:line="600" w:lineRule="exact"/>
        <w:jc w:val="center"/>
        <w:outlineLvl w:val="0"/>
        <w:rPr>
          <w:rFonts w:hint="eastAsia" w:ascii="黑体" w:hAnsi="黑体" w:eastAsia="黑体"/>
          <w:color w:val="000000"/>
          <w:sz w:val="44"/>
          <w:szCs w:val="44"/>
        </w:rPr>
      </w:pPr>
    </w:p>
    <w:p w14:paraId="08F4B367">
      <w:pPr>
        <w:spacing w:line="600" w:lineRule="exact"/>
        <w:jc w:val="center"/>
        <w:outlineLvl w:val="0"/>
        <w:rPr>
          <w:rFonts w:hint="eastAsia" w:ascii="黑体" w:hAnsi="黑体" w:eastAsia="黑体"/>
          <w:color w:val="000000"/>
          <w:sz w:val="44"/>
          <w:szCs w:val="44"/>
        </w:rPr>
      </w:pPr>
    </w:p>
    <w:p w14:paraId="2CFB1176">
      <w:pPr>
        <w:spacing w:line="600" w:lineRule="exact"/>
        <w:jc w:val="center"/>
        <w:outlineLvl w:val="0"/>
        <w:rPr>
          <w:rFonts w:hint="eastAsia" w:ascii="黑体" w:hAnsi="黑体" w:eastAsia="黑体"/>
          <w:color w:val="000000"/>
          <w:sz w:val="44"/>
          <w:szCs w:val="44"/>
        </w:rPr>
      </w:pPr>
    </w:p>
    <w:p w14:paraId="47B153D4">
      <w:pPr>
        <w:spacing w:line="600" w:lineRule="exact"/>
        <w:jc w:val="center"/>
        <w:outlineLvl w:val="0"/>
        <w:rPr>
          <w:rFonts w:hint="eastAsia" w:ascii="黑体" w:hAnsi="黑体" w:eastAsia="黑体"/>
          <w:color w:val="000000"/>
          <w:sz w:val="44"/>
          <w:szCs w:val="44"/>
        </w:rPr>
      </w:pPr>
    </w:p>
    <w:p w14:paraId="1177DA94">
      <w:pPr>
        <w:spacing w:line="600" w:lineRule="exact"/>
        <w:jc w:val="center"/>
        <w:outlineLvl w:val="0"/>
        <w:rPr>
          <w:rFonts w:hint="eastAsia" w:ascii="黑体" w:hAnsi="黑体" w:eastAsia="黑体"/>
          <w:color w:val="000000"/>
          <w:sz w:val="44"/>
          <w:szCs w:val="44"/>
        </w:rPr>
      </w:pPr>
    </w:p>
    <w:p w14:paraId="0402965C">
      <w:pPr>
        <w:spacing w:line="600" w:lineRule="exact"/>
        <w:jc w:val="center"/>
        <w:outlineLvl w:val="0"/>
        <w:rPr>
          <w:rFonts w:hint="eastAsia" w:ascii="黑体" w:hAnsi="黑体" w:eastAsia="黑体"/>
          <w:color w:val="000000"/>
          <w:sz w:val="44"/>
          <w:szCs w:val="44"/>
        </w:rPr>
      </w:pPr>
    </w:p>
    <w:p w14:paraId="4DE9D80A">
      <w:pPr>
        <w:spacing w:line="600" w:lineRule="exact"/>
        <w:jc w:val="center"/>
        <w:outlineLvl w:val="0"/>
        <w:rPr>
          <w:rFonts w:hint="eastAsia" w:ascii="黑体" w:hAnsi="黑体" w:eastAsia="黑体"/>
          <w:color w:val="000000"/>
          <w:sz w:val="44"/>
          <w:szCs w:val="44"/>
        </w:rPr>
      </w:pPr>
    </w:p>
    <w:p w14:paraId="5658284D">
      <w:pPr>
        <w:spacing w:line="600" w:lineRule="exact"/>
        <w:jc w:val="center"/>
        <w:outlineLvl w:val="0"/>
        <w:rPr>
          <w:rFonts w:hint="eastAsia" w:ascii="黑体" w:hAnsi="黑体" w:eastAsia="黑体"/>
          <w:color w:val="000000"/>
          <w:sz w:val="44"/>
          <w:szCs w:val="44"/>
        </w:rPr>
      </w:pPr>
    </w:p>
    <w:p w14:paraId="1CDF22E1">
      <w:pPr>
        <w:spacing w:line="600" w:lineRule="exact"/>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五部分</w:t>
      </w:r>
      <w:r>
        <w:rPr>
          <w:rStyle w:val="29"/>
          <w:rFonts w:ascii="黑体" w:hAnsi="黑体" w:eastAsia="黑体"/>
          <w:b w:val="0"/>
        </w:rPr>
        <w:t xml:space="preserve"> </w:t>
      </w:r>
      <w:r>
        <w:rPr>
          <w:rStyle w:val="29"/>
          <w:rFonts w:hint="eastAsia" w:ascii="黑体" w:hAnsi="黑体" w:eastAsia="黑体"/>
          <w:b w:val="0"/>
        </w:rPr>
        <w:t>附表</w:t>
      </w:r>
      <w:bookmarkEnd w:id="109"/>
      <w:bookmarkEnd w:id="112"/>
      <w:bookmarkEnd w:id="113"/>
      <w:bookmarkEnd w:id="114"/>
    </w:p>
    <w:p w14:paraId="359F39B0">
      <w:pPr>
        <w:pStyle w:val="6"/>
        <w:rPr>
          <w:rFonts w:ascii="仿宋" w:hAnsi="仿宋" w:eastAsia="仿宋"/>
          <w:color w:val="000000"/>
        </w:rPr>
      </w:pPr>
      <w:bookmarkStart w:id="115" w:name="_Toc15396619"/>
      <w:bookmarkStart w:id="116" w:name="_Toc79163636"/>
      <w:bookmarkStart w:id="117" w:name="_Toc23912"/>
      <w:r>
        <w:rPr>
          <w:rFonts w:hint="eastAsia" w:ascii="仿宋" w:hAnsi="仿宋" w:eastAsia="仿宋"/>
          <w:b w:val="0"/>
          <w:color w:val="000000"/>
        </w:rPr>
        <w:t>一、收</w:t>
      </w:r>
      <w:r>
        <w:rPr>
          <w:rStyle w:val="30"/>
          <w:rFonts w:hint="eastAsia" w:ascii="仿宋" w:hAnsi="仿宋" w:eastAsia="仿宋"/>
          <w:b w:val="0"/>
          <w:bCs w:val="0"/>
        </w:rPr>
        <w:t>入支出决算总表</w:t>
      </w:r>
      <w:bookmarkEnd w:id="115"/>
      <w:bookmarkEnd w:id="116"/>
      <w:bookmarkEnd w:id="117"/>
    </w:p>
    <w:p w14:paraId="6922812E">
      <w:pPr>
        <w:pStyle w:val="6"/>
        <w:rPr>
          <w:rFonts w:ascii="仿宋" w:hAnsi="仿宋" w:eastAsia="仿宋"/>
          <w:color w:val="000000"/>
        </w:rPr>
      </w:pPr>
      <w:bookmarkStart w:id="118" w:name="_Toc15396620"/>
      <w:bookmarkStart w:id="119" w:name="_Toc10372"/>
      <w:bookmarkStart w:id="120" w:name="_Toc79163637"/>
      <w:r>
        <w:rPr>
          <w:rFonts w:hint="eastAsia" w:ascii="仿宋" w:hAnsi="仿宋" w:eastAsia="仿宋"/>
          <w:b w:val="0"/>
          <w:color w:val="000000"/>
        </w:rPr>
        <w:t>二、收</w:t>
      </w:r>
      <w:r>
        <w:rPr>
          <w:rStyle w:val="30"/>
          <w:rFonts w:hint="eastAsia" w:ascii="仿宋" w:hAnsi="仿宋" w:eastAsia="仿宋"/>
          <w:b w:val="0"/>
          <w:bCs w:val="0"/>
        </w:rPr>
        <w:t>入决算表</w:t>
      </w:r>
      <w:bookmarkEnd w:id="118"/>
      <w:bookmarkEnd w:id="119"/>
      <w:bookmarkEnd w:id="120"/>
    </w:p>
    <w:p w14:paraId="5BD5534F">
      <w:pPr>
        <w:pStyle w:val="6"/>
        <w:rPr>
          <w:rFonts w:ascii="仿宋" w:hAnsi="仿宋" w:eastAsia="仿宋"/>
          <w:color w:val="000000"/>
        </w:rPr>
      </w:pPr>
      <w:bookmarkStart w:id="121" w:name="_Toc22551"/>
      <w:bookmarkStart w:id="122" w:name="_Toc79163638"/>
      <w:bookmarkStart w:id="123" w:name="_Toc15396621"/>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出决算表</w:t>
      </w:r>
      <w:bookmarkEnd w:id="121"/>
      <w:bookmarkEnd w:id="122"/>
      <w:bookmarkEnd w:id="123"/>
    </w:p>
    <w:p w14:paraId="109220CE">
      <w:pPr>
        <w:pStyle w:val="6"/>
        <w:rPr>
          <w:rFonts w:ascii="仿宋" w:hAnsi="仿宋" w:eastAsia="仿宋"/>
          <w:b w:val="0"/>
          <w:color w:val="000000"/>
        </w:rPr>
      </w:pPr>
      <w:bookmarkStart w:id="124" w:name="_Toc28052"/>
      <w:bookmarkStart w:id="125" w:name="_Toc15396622"/>
      <w:bookmarkStart w:id="126" w:name="_Toc79163639"/>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124"/>
      <w:bookmarkEnd w:id="125"/>
      <w:bookmarkEnd w:id="126"/>
    </w:p>
    <w:p w14:paraId="3322FE55">
      <w:pPr>
        <w:pStyle w:val="6"/>
        <w:rPr>
          <w:rStyle w:val="30"/>
          <w:rFonts w:ascii="仿宋" w:hAnsi="仿宋" w:eastAsia="仿宋"/>
          <w:b w:val="0"/>
          <w:bCs w:val="0"/>
        </w:rPr>
      </w:pPr>
      <w:bookmarkStart w:id="127" w:name="_Toc31661"/>
      <w:bookmarkStart w:id="128" w:name="_Toc79163640"/>
      <w:bookmarkStart w:id="129"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w:t>
      </w:r>
      <w:bookmarkEnd w:id="127"/>
      <w:bookmarkEnd w:id="128"/>
      <w:bookmarkEnd w:id="129"/>
      <w:bookmarkStart w:id="130" w:name="_Toc15396624"/>
    </w:p>
    <w:p w14:paraId="2D47D92F">
      <w:pPr>
        <w:pStyle w:val="6"/>
        <w:rPr>
          <w:rFonts w:ascii="仿宋" w:hAnsi="仿宋" w:eastAsia="仿宋"/>
          <w:color w:val="000000"/>
        </w:rPr>
      </w:pPr>
      <w:bookmarkStart w:id="131" w:name="_Toc79163641"/>
      <w:bookmarkStart w:id="132" w:name="_Toc29728"/>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130"/>
      <w:bookmarkEnd w:id="131"/>
      <w:bookmarkEnd w:id="132"/>
    </w:p>
    <w:p w14:paraId="1BE94821">
      <w:pPr>
        <w:pStyle w:val="6"/>
        <w:rPr>
          <w:rFonts w:ascii="仿宋" w:hAnsi="仿宋" w:eastAsia="仿宋"/>
          <w:color w:val="000000"/>
        </w:rPr>
      </w:pPr>
      <w:bookmarkStart w:id="133" w:name="_Toc15396625"/>
      <w:bookmarkStart w:id="134" w:name="_Toc79163642"/>
      <w:bookmarkStart w:id="135" w:name="_Toc14143"/>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133"/>
      <w:bookmarkEnd w:id="134"/>
      <w:bookmarkEnd w:id="135"/>
    </w:p>
    <w:p w14:paraId="684CA196">
      <w:pPr>
        <w:pStyle w:val="6"/>
        <w:rPr>
          <w:rFonts w:ascii="仿宋" w:hAnsi="仿宋" w:eastAsia="仿宋"/>
          <w:color w:val="000000"/>
        </w:rPr>
      </w:pPr>
      <w:bookmarkStart w:id="136" w:name="_Toc27243"/>
      <w:bookmarkStart w:id="137" w:name="_Toc15396626"/>
      <w:bookmarkStart w:id="138" w:name="_Toc79163643"/>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136"/>
      <w:bookmarkEnd w:id="137"/>
      <w:bookmarkEnd w:id="138"/>
    </w:p>
    <w:p w14:paraId="708B231F">
      <w:pPr>
        <w:pStyle w:val="6"/>
        <w:rPr>
          <w:rFonts w:ascii="仿宋" w:hAnsi="仿宋" w:eastAsia="仿宋"/>
          <w:color w:val="000000"/>
        </w:rPr>
      </w:pPr>
      <w:bookmarkStart w:id="139" w:name="_Toc79163644"/>
      <w:bookmarkStart w:id="140" w:name="_Toc5502"/>
      <w:bookmarkStart w:id="141" w:name="_Toc15396627"/>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139"/>
      <w:bookmarkEnd w:id="140"/>
      <w:bookmarkEnd w:id="141"/>
    </w:p>
    <w:p w14:paraId="6876E7CD">
      <w:pPr>
        <w:pStyle w:val="6"/>
        <w:rPr>
          <w:rFonts w:ascii="仿宋" w:hAnsi="仿宋" w:eastAsia="仿宋"/>
          <w:color w:val="000000"/>
        </w:rPr>
      </w:pPr>
      <w:bookmarkStart w:id="142" w:name="_Toc22516"/>
      <w:bookmarkStart w:id="143" w:name="_Toc79163645"/>
      <w:bookmarkStart w:id="144"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142"/>
      <w:bookmarkEnd w:id="143"/>
      <w:bookmarkEnd w:id="144"/>
    </w:p>
    <w:p w14:paraId="29CCC453">
      <w:pPr>
        <w:pStyle w:val="6"/>
        <w:rPr>
          <w:rFonts w:ascii="仿宋" w:hAnsi="仿宋" w:eastAsia="仿宋"/>
          <w:color w:val="000000"/>
        </w:rPr>
      </w:pPr>
      <w:bookmarkStart w:id="145" w:name="_Toc15396629"/>
      <w:bookmarkStart w:id="146" w:name="_Toc79163646"/>
      <w:bookmarkStart w:id="147" w:name="_Toc20787"/>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145"/>
      <w:bookmarkEnd w:id="146"/>
      <w:bookmarkEnd w:id="147"/>
    </w:p>
    <w:p w14:paraId="59040F93">
      <w:pPr>
        <w:pStyle w:val="6"/>
        <w:rPr>
          <w:rFonts w:ascii="仿宋" w:hAnsi="仿宋" w:eastAsia="仿宋"/>
          <w:color w:val="000000"/>
        </w:rPr>
      </w:pPr>
      <w:bookmarkStart w:id="148" w:name="_Toc79163647"/>
      <w:bookmarkStart w:id="149" w:name="_Toc15396630"/>
      <w:bookmarkStart w:id="150" w:name="_Toc16510"/>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w:t>
      </w:r>
      <w:bookmarkStart w:id="156" w:name="_GoBack"/>
      <w:bookmarkEnd w:id="156"/>
      <w:r>
        <w:rPr>
          <w:rStyle w:val="30"/>
          <w:rFonts w:hint="eastAsia" w:ascii="仿宋" w:hAnsi="仿宋" w:eastAsia="仿宋"/>
          <w:b w:val="0"/>
          <w:bCs w:val="0"/>
        </w:rPr>
        <w:t>政拨款“三公”经费支出决算表</w:t>
      </w:r>
      <w:bookmarkEnd w:id="148"/>
      <w:bookmarkEnd w:id="149"/>
      <w:bookmarkEnd w:id="150"/>
    </w:p>
    <w:p w14:paraId="37EEF0F0">
      <w:pPr>
        <w:pStyle w:val="6"/>
        <w:rPr>
          <w:rStyle w:val="30"/>
          <w:rFonts w:ascii="仿宋" w:hAnsi="仿宋" w:eastAsia="仿宋"/>
          <w:b w:val="0"/>
          <w:bCs w:val="0"/>
        </w:rPr>
      </w:pPr>
      <w:bookmarkStart w:id="151" w:name="_Toc15396631"/>
      <w:bookmarkStart w:id="152" w:name="_Toc19124"/>
      <w:bookmarkStart w:id="153" w:name="_Toc79163648"/>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有资本经营预算财政拨款支出决算表</w:t>
      </w:r>
      <w:bookmarkEnd w:id="151"/>
      <w:bookmarkEnd w:id="152"/>
      <w:bookmarkEnd w:id="153"/>
    </w:p>
    <w:p w14:paraId="6E2D6BBA">
      <w:pPr>
        <w:pStyle w:val="6"/>
        <w:rPr>
          <w:rStyle w:val="30"/>
          <w:rFonts w:ascii="仿宋" w:hAnsi="仿宋" w:eastAsia="仿宋"/>
          <w:b w:val="0"/>
          <w:bCs w:val="0"/>
        </w:rPr>
      </w:pPr>
      <w:bookmarkStart w:id="154" w:name="_Toc10304"/>
      <w:bookmarkStart w:id="155" w:name="_Toc79163649"/>
      <w:r>
        <w:rPr>
          <w:rStyle w:val="30"/>
          <w:rFonts w:hint="eastAsia" w:ascii="仿宋" w:hAnsi="仿宋" w:eastAsia="仿宋"/>
          <w:b w:val="0"/>
          <w:bCs w:val="0"/>
        </w:rPr>
        <w:t>十四、国有资本经营预算财政拨款支出决算表</w:t>
      </w:r>
      <w:bookmarkEnd w:id="154"/>
      <w:bookmarkEnd w:id="155"/>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Arial Unicode MS"/>
    <w:panose1 w:val="03000509000000000000"/>
    <w:charset w:val="86"/>
    <w:family w:val="auto"/>
    <w:pitch w:val="default"/>
    <w:sig w:usb0="00000000" w:usb1="00000000" w:usb2="00000000" w:usb3="00000000" w:csb0="00040000" w:csb1="00000000"/>
  </w:font>
  <w:font w:name="方正小标宋">
    <w:altName w:val="宋体"/>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593B3">
    <w:pPr>
      <w:pStyle w:val="15"/>
      <w:jc w:val="center"/>
    </w:pPr>
    <w:r>
      <w:fldChar w:fldCharType="begin"/>
    </w:r>
    <w:r>
      <w:instrText xml:space="preserve">PAGE   \* MERGEFORMAT</w:instrText>
    </w:r>
    <w:r>
      <w:fldChar w:fldCharType="separate"/>
    </w:r>
    <w:r>
      <w:t>25</w:t>
    </w:r>
    <w:r>
      <w:fldChar w:fldCharType="end"/>
    </w:r>
  </w:p>
  <w:p w14:paraId="0323FA2D">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98B54">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4476C">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wYTQ2ZDA5NGQ0ZTRhNWE2NDE3NGQxNmM2NGM4Ym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2B96468"/>
    <w:rsid w:val="07F740B0"/>
    <w:rsid w:val="0A2032A3"/>
    <w:rsid w:val="10C055FF"/>
    <w:rsid w:val="111D6E87"/>
    <w:rsid w:val="118107EC"/>
    <w:rsid w:val="163C4F8E"/>
    <w:rsid w:val="16BB723D"/>
    <w:rsid w:val="1D155CEE"/>
    <w:rsid w:val="1F8A45CD"/>
    <w:rsid w:val="22437A53"/>
    <w:rsid w:val="240371BF"/>
    <w:rsid w:val="29FD04D3"/>
    <w:rsid w:val="2D004C0F"/>
    <w:rsid w:val="2D0637A8"/>
    <w:rsid w:val="319F7F4E"/>
    <w:rsid w:val="326B7F22"/>
    <w:rsid w:val="335C6514"/>
    <w:rsid w:val="36D77671"/>
    <w:rsid w:val="3B015A41"/>
    <w:rsid w:val="486E6592"/>
    <w:rsid w:val="4ECE2238"/>
    <w:rsid w:val="588A4517"/>
    <w:rsid w:val="5D1555AB"/>
    <w:rsid w:val="5DC97BCB"/>
    <w:rsid w:val="5F385194"/>
    <w:rsid w:val="61CB62CF"/>
    <w:rsid w:val="6C4A05C8"/>
    <w:rsid w:val="6E4D34AC"/>
    <w:rsid w:val="72734D90"/>
    <w:rsid w:val="73944A74"/>
    <w:rsid w:val="7F076C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toc 7"/>
    <w:basedOn w:val="1"/>
    <w:next w:val="1"/>
    <w:unhideWhenUsed/>
    <w:qFormat/>
    <w:uiPriority w:val="39"/>
    <w:pPr>
      <w:ind w:left="1260"/>
      <w:jc w:val="left"/>
    </w:pPr>
    <w:rPr>
      <w:rFonts w:asciiTheme="minorHAnsi" w:eastAsiaTheme="minorHAnsi"/>
      <w:sz w:val="18"/>
      <w:szCs w:val="18"/>
    </w:rPr>
  </w:style>
  <w:style w:type="paragraph" w:styleId="9">
    <w:name w:val="index 8"/>
    <w:basedOn w:val="1"/>
    <w:next w:val="1"/>
    <w:unhideWhenUsed/>
    <w:qFormat/>
    <w:uiPriority w:val="99"/>
    <w:pPr>
      <w:ind w:left="2940"/>
    </w:pPr>
  </w:style>
  <w:style w:type="paragraph" w:styleId="10">
    <w:name w:val="Body Text"/>
    <w:basedOn w:val="1"/>
    <w:next w:val="9"/>
    <w:link w:val="38"/>
    <w:qFormat/>
    <w:uiPriority w:val="99"/>
    <w:pPr>
      <w:spacing w:beforeLines="30"/>
    </w:pPr>
    <w:rPr>
      <w:rFonts w:ascii="仿宋_GB2312" w:eastAsia="仿宋_GB2312"/>
      <w:kern w:val="0"/>
      <w:sz w:val="24"/>
      <w:szCs w:val="20"/>
      <w:lang w:val="zh-CN"/>
    </w:rPr>
  </w:style>
  <w:style w:type="paragraph" w:styleId="11">
    <w:name w:val="toc 5"/>
    <w:basedOn w:val="1"/>
    <w:next w:val="1"/>
    <w:unhideWhenUsed/>
    <w:qFormat/>
    <w:uiPriority w:val="39"/>
    <w:pPr>
      <w:ind w:left="840"/>
      <w:jc w:val="left"/>
    </w:pPr>
    <w:rPr>
      <w:rFonts w:asciiTheme="minorHAnsi" w:eastAsiaTheme="minorHAnsi"/>
      <w:sz w:val="18"/>
      <w:szCs w:val="18"/>
    </w:rPr>
  </w:style>
  <w:style w:type="paragraph" w:styleId="12">
    <w:name w:val="toc 3"/>
    <w:basedOn w:val="1"/>
    <w:next w:val="1"/>
    <w:unhideWhenUsed/>
    <w:qFormat/>
    <w:uiPriority w:val="39"/>
    <w:pPr>
      <w:ind w:left="420"/>
      <w:jc w:val="left"/>
    </w:pPr>
    <w:rPr>
      <w:rFonts w:asciiTheme="minorHAnsi" w:eastAsiaTheme="minorHAnsi"/>
      <w:i/>
      <w:iCs/>
      <w:sz w:val="20"/>
      <w:szCs w:val="20"/>
    </w:rPr>
  </w:style>
  <w:style w:type="paragraph" w:styleId="13">
    <w:name w:val="toc 8"/>
    <w:basedOn w:val="1"/>
    <w:next w:val="1"/>
    <w:unhideWhenUsed/>
    <w:qFormat/>
    <w:uiPriority w:val="39"/>
    <w:pPr>
      <w:ind w:left="1470"/>
      <w:jc w:val="left"/>
    </w:pPr>
    <w:rPr>
      <w:rFonts w:asciiTheme="minorHAnsi" w:eastAsiaTheme="minorHAnsi"/>
      <w:sz w:val="18"/>
      <w:szCs w:val="18"/>
    </w:rPr>
  </w:style>
  <w:style w:type="paragraph" w:styleId="14">
    <w:name w:val="Balloon Text"/>
    <w:basedOn w:val="1"/>
    <w:link w:val="33"/>
    <w:semiHidden/>
    <w:unhideWhenUsed/>
    <w:qFormat/>
    <w:uiPriority w:val="99"/>
    <w:rPr>
      <w:sz w:val="18"/>
      <w:szCs w:val="18"/>
    </w:rPr>
  </w:style>
  <w:style w:type="paragraph" w:styleId="15">
    <w:name w:val="footer"/>
    <w:basedOn w:val="1"/>
    <w:link w:val="37"/>
    <w:qFormat/>
    <w:uiPriority w:val="99"/>
    <w:pPr>
      <w:tabs>
        <w:tab w:val="center" w:pos="4153"/>
        <w:tab w:val="right" w:pos="8306"/>
      </w:tabs>
      <w:snapToGrid w:val="0"/>
      <w:jc w:val="left"/>
    </w:pPr>
    <w:rPr>
      <w:rFonts w:ascii="Calibri" w:hAnsi="Calibri"/>
      <w:kern w:val="0"/>
      <w:sz w:val="18"/>
      <w:szCs w:val="20"/>
      <w:lang w:val="zh-CN"/>
    </w:rPr>
  </w:style>
  <w:style w:type="paragraph" w:styleId="16">
    <w:name w:val="header"/>
    <w:basedOn w:val="1"/>
    <w:link w:val="36"/>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7">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8">
    <w:name w:val="toc 4"/>
    <w:basedOn w:val="1"/>
    <w:next w:val="1"/>
    <w:unhideWhenUsed/>
    <w:qFormat/>
    <w:uiPriority w:val="39"/>
    <w:pPr>
      <w:ind w:left="630"/>
      <w:jc w:val="left"/>
    </w:pPr>
    <w:rPr>
      <w:rFonts w:asciiTheme="minorHAnsi" w:eastAsiaTheme="minorHAnsi"/>
      <w:sz w:val="18"/>
      <w:szCs w:val="18"/>
    </w:rPr>
  </w:style>
  <w:style w:type="paragraph" w:styleId="19">
    <w:name w:val="toc 6"/>
    <w:basedOn w:val="1"/>
    <w:next w:val="1"/>
    <w:unhideWhenUsed/>
    <w:qFormat/>
    <w:uiPriority w:val="39"/>
    <w:pPr>
      <w:ind w:left="1050"/>
      <w:jc w:val="left"/>
    </w:pPr>
    <w:rPr>
      <w:rFonts w:asciiTheme="minorHAnsi" w:eastAsiaTheme="minorHAnsi"/>
      <w:sz w:val="18"/>
      <w:szCs w:val="18"/>
    </w:rPr>
  </w:style>
  <w:style w:type="paragraph" w:styleId="20">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1">
    <w:name w:val="toc 2"/>
    <w:basedOn w:val="1"/>
    <w:next w:val="1"/>
    <w:unhideWhenUsed/>
    <w:qFormat/>
    <w:uiPriority w:val="39"/>
    <w:pPr>
      <w:ind w:left="210"/>
      <w:jc w:val="left"/>
    </w:pPr>
    <w:rPr>
      <w:rFonts w:asciiTheme="minorHAnsi" w:eastAsiaTheme="minorHAnsi"/>
      <w:smallCaps/>
      <w:sz w:val="20"/>
      <w:szCs w:val="20"/>
    </w:rPr>
  </w:style>
  <w:style w:type="paragraph" w:styleId="22">
    <w:name w:val="toc 9"/>
    <w:basedOn w:val="1"/>
    <w:next w:val="1"/>
    <w:unhideWhenUsed/>
    <w:qFormat/>
    <w:uiPriority w:val="39"/>
    <w:pPr>
      <w:ind w:left="1680"/>
      <w:jc w:val="left"/>
    </w:pPr>
    <w:rPr>
      <w:rFonts w:asciiTheme="minorHAnsi" w:eastAsiaTheme="minorHAnsi"/>
      <w:sz w:val="18"/>
      <w:szCs w:val="18"/>
    </w:rPr>
  </w:style>
  <w:style w:type="paragraph" w:styleId="23">
    <w:name w:val="Normal (Web)"/>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hAnsi="Times New Roman" w:eastAsia="宋体" w:cs="Times New Roman"/>
      <w:snapToGrid/>
      <w:color w:val="auto"/>
      <w:spacing w:val="0"/>
      <w:w w:val="100"/>
      <w:kern w:val="0"/>
      <w:position w:val="0"/>
      <w:sz w:val="24"/>
      <w:szCs w:val="21"/>
      <w:u w:val="none" w:color="auto"/>
      <w:vertAlign w:val="baseline"/>
      <w:lang w:val="en-US" w:eastAsia="zh-CN" w:bidi="ar-SA"/>
    </w:rPr>
  </w:style>
  <w:style w:type="character" w:styleId="26">
    <w:name w:val="Strong"/>
    <w:basedOn w:val="25"/>
    <w:qFormat/>
    <w:uiPriority w:val="99"/>
    <w:rPr>
      <w:rFonts w:cs="Times New Roman"/>
      <w:b/>
    </w:rPr>
  </w:style>
  <w:style w:type="character" w:styleId="27">
    <w:name w:val="Hyperlink"/>
    <w:basedOn w:val="25"/>
    <w:unhideWhenUsed/>
    <w:qFormat/>
    <w:uiPriority w:val="99"/>
    <w:rPr>
      <w:rFonts w:cs="Times New Roman"/>
      <w:color w:val="0000FF"/>
      <w:u w:val="single"/>
    </w:rPr>
  </w:style>
  <w:style w:type="paragraph" w:customStyle="1" w:styleId="28">
    <w:name w:val="列出段落1"/>
    <w:basedOn w:val="1"/>
    <w:qFormat/>
    <w:uiPriority w:val="34"/>
    <w:pPr>
      <w:ind w:firstLine="420" w:firstLineChars="200"/>
    </w:pPr>
    <w:rPr>
      <w:rFonts w:ascii="Calibri" w:hAnsi="Calibri" w:eastAsia="宋体" w:cs="Times New Roman"/>
    </w:rPr>
  </w:style>
  <w:style w:type="character" w:customStyle="1" w:styleId="29">
    <w:name w:val="标题 1 Char"/>
    <w:basedOn w:val="25"/>
    <w:link w:val="5"/>
    <w:qFormat/>
    <w:locked/>
    <w:uiPriority w:val="9"/>
    <w:rPr>
      <w:rFonts w:ascii="Times New Roman" w:hAnsi="Times New Roman" w:cs="Times New Roman"/>
      <w:b/>
      <w:bCs/>
      <w:kern w:val="44"/>
      <w:sz w:val="44"/>
      <w:szCs w:val="44"/>
    </w:rPr>
  </w:style>
  <w:style w:type="character" w:customStyle="1" w:styleId="30">
    <w:name w:val="标题 2 Char"/>
    <w:basedOn w:val="25"/>
    <w:link w:val="6"/>
    <w:qFormat/>
    <w:locked/>
    <w:uiPriority w:val="9"/>
    <w:rPr>
      <w:rFonts w:ascii="Cambria" w:hAnsi="Cambria" w:eastAsia="宋体" w:cs="Times New Roman"/>
      <w:b/>
      <w:bCs/>
      <w:kern w:val="2"/>
      <w:sz w:val="32"/>
      <w:szCs w:val="32"/>
    </w:rPr>
  </w:style>
  <w:style w:type="character" w:customStyle="1" w:styleId="31">
    <w:name w:val="标题 3 Char"/>
    <w:basedOn w:val="25"/>
    <w:link w:val="7"/>
    <w:qFormat/>
    <w:locked/>
    <w:uiPriority w:val="9"/>
    <w:rPr>
      <w:rFonts w:ascii="Times New Roman" w:hAnsi="Times New Roman" w:cs="Times New Roman"/>
      <w:b/>
      <w:bCs/>
      <w:kern w:val="2"/>
      <w:sz w:val="32"/>
      <w:szCs w:val="32"/>
    </w:rPr>
  </w:style>
  <w:style w:type="character" w:customStyle="1" w:styleId="32">
    <w:name w:val="Body Text Char"/>
    <w:basedOn w:val="25"/>
    <w:semiHidden/>
    <w:qFormat/>
    <w:uiPriority w:val="99"/>
    <w:rPr>
      <w:rFonts w:ascii="Times New Roman" w:hAnsi="Times New Roman" w:cs="Times New Roman"/>
      <w:sz w:val="24"/>
      <w:szCs w:val="24"/>
    </w:rPr>
  </w:style>
  <w:style w:type="character" w:customStyle="1" w:styleId="33">
    <w:name w:val="批注框文本 Char"/>
    <w:basedOn w:val="25"/>
    <w:link w:val="14"/>
    <w:semiHidden/>
    <w:qFormat/>
    <w:locked/>
    <w:uiPriority w:val="99"/>
    <w:rPr>
      <w:rFonts w:ascii="Times New Roman" w:hAnsi="Times New Roman" w:cs="Times New Roman"/>
      <w:kern w:val="2"/>
      <w:sz w:val="18"/>
      <w:szCs w:val="18"/>
    </w:rPr>
  </w:style>
  <w:style w:type="character" w:customStyle="1" w:styleId="34">
    <w:name w:val="Footer Char"/>
    <w:basedOn w:val="25"/>
    <w:semiHidden/>
    <w:qFormat/>
    <w:uiPriority w:val="99"/>
    <w:rPr>
      <w:rFonts w:ascii="Times New Roman" w:hAnsi="Times New Roman" w:cs="Times New Roman"/>
      <w:sz w:val="18"/>
      <w:szCs w:val="18"/>
    </w:rPr>
  </w:style>
  <w:style w:type="character" w:customStyle="1" w:styleId="35">
    <w:name w:val="Header Char"/>
    <w:basedOn w:val="25"/>
    <w:semiHidden/>
    <w:qFormat/>
    <w:uiPriority w:val="99"/>
    <w:rPr>
      <w:rFonts w:ascii="Times New Roman" w:hAnsi="Times New Roman" w:cs="Times New Roman"/>
      <w:sz w:val="18"/>
      <w:szCs w:val="18"/>
    </w:rPr>
  </w:style>
  <w:style w:type="character" w:customStyle="1" w:styleId="36">
    <w:name w:val="页眉 Char"/>
    <w:link w:val="16"/>
    <w:semiHidden/>
    <w:qFormat/>
    <w:locked/>
    <w:uiPriority w:val="99"/>
    <w:rPr>
      <w:sz w:val="18"/>
    </w:rPr>
  </w:style>
  <w:style w:type="character" w:customStyle="1" w:styleId="37">
    <w:name w:val="页脚 Char"/>
    <w:link w:val="15"/>
    <w:qFormat/>
    <w:locked/>
    <w:uiPriority w:val="99"/>
    <w:rPr>
      <w:sz w:val="18"/>
    </w:rPr>
  </w:style>
  <w:style w:type="character" w:customStyle="1" w:styleId="38">
    <w:name w:val="正文文本 Char"/>
    <w:link w:val="10"/>
    <w:qFormat/>
    <w:locked/>
    <w:uiPriority w:val="99"/>
    <w:rPr>
      <w:rFonts w:ascii="仿宋_GB2312" w:hAnsi="Times New Roman" w:eastAsia="仿宋_GB2312"/>
      <w:sz w:val="24"/>
    </w:rPr>
  </w:style>
  <w:style w:type="paragraph" w:customStyle="1" w:styleId="3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0">
    <w:name w:val="列表段落1"/>
    <w:basedOn w:val="1"/>
    <w:qFormat/>
    <w:uiPriority w:val="34"/>
    <w:pPr>
      <w:ind w:firstLine="420" w:firstLineChars="200"/>
    </w:pPr>
  </w:style>
  <w:style w:type="paragraph" w:customStyle="1" w:styleId="41">
    <w:name w:val="TOC 标题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Heading1"/>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TOC 标题2"/>
    <w:basedOn w:val="5"/>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chart" Target="charts/chart9.xml"/><Relationship Id="rId14" Type="http://schemas.openxmlformats.org/officeDocument/2006/relationships/chart" Target="charts/chart8.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2756;&#22616;\&#22756;&#22616;&#20915;&#36187;&#20844;&#24320;\&#20449;&#35775;\2023&#20449;&#35775;&#20915;&#31639;&#22270;&#34920;.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[2023信访决算图表.xls]Sheet1!$A$3:$B$3</c:f>
              <c:strCache>
                <c:ptCount val="2"/>
                <c:pt idx="0">
                  <c:v>2022年</c:v>
                </c:pt>
                <c:pt idx="1">
                  <c:v>2023年</c:v>
                </c:pt>
              </c:strCache>
            </c:strRef>
          </c:cat>
          <c:val>
            <c:numRef>
              <c:f>[2023信访决算图表.xls]Sheet1!$A$4:$B$4</c:f>
              <c:numCache>
                <c:formatCode>#,##0.00</c:formatCode>
                <c:ptCount val="2"/>
                <c:pt idx="0">
                  <c:v>75.37</c:v>
                </c:pt>
                <c:pt idx="1">
                  <c:v>88.02</c:v>
                </c:pt>
              </c:numCache>
            </c:numRef>
          </c:val>
        </c:ser>
        <c:dLbls>
          <c:showLegendKey val="0"/>
          <c:showVal val="0"/>
          <c:showCatName val="0"/>
          <c:showSerName val="0"/>
          <c:showPercent val="0"/>
          <c:showBubbleSize val="0"/>
        </c:dLbls>
        <c:gapWidth val="219"/>
        <c:overlap val="-27"/>
        <c:axId val="716387942"/>
        <c:axId val="521732826"/>
      </c:barChart>
      <c:catAx>
        <c:axId val="71638794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1732826"/>
        <c:crosses val="autoZero"/>
        <c:auto val="1"/>
        <c:lblAlgn val="ctr"/>
        <c:lblOffset val="100"/>
        <c:noMultiLvlLbl val="0"/>
      </c:catAx>
      <c:valAx>
        <c:axId val="52173282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638794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[2023信访决算图表.xls]Sheet1!$A$24:$B$24</c:f>
              <c:strCache>
                <c:ptCount val="2"/>
                <c:pt idx="0">
                  <c:v>2022年</c:v>
                </c:pt>
                <c:pt idx="1">
                  <c:v>2023年</c:v>
                </c:pt>
              </c:strCache>
            </c:strRef>
          </c:cat>
          <c:val>
            <c:numRef>
              <c:f>[2023信访决算图表.xls]Sheet1!$A$25:$B$25</c:f>
              <c:numCache>
                <c:formatCode>#,##0.00</c:formatCode>
                <c:ptCount val="2"/>
                <c:pt idx="0">
                  <c:v>80.75</c:v>
                </c:pt>
                <c:pt idx="1">
                  <c:v>88.02</c:v>
                </c:pt>
              </c:numCache>
            </c:numRef>
          </c:val>
        </c:ser>
        <c:dLbls>
          <c:showLegendKey val="0"/>
          <c:showVal val="0"/>
          <c:showCatName val="0"/>
          <c:showSerName val="0"/>
          <c:showPercent val="0"/>
          <c:showBubbleSize val="0"/>
        </c:dLbls>
        <c:gapWidth val="219"/>
        <c:overlap val="-27"/>
        <c:axId val="198130040"/>
        <c:axId val="916778277"/>
      </c:barChart>
      <c:catAx>
        <c:axId val="1981300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778277"/>
        <c:crosses val="autoZero"/>
        <c:auto val="1"/>
        <c:lblAlgn val="ctr"/>
        <c:lblOffset val="100"/>
        <c:noMultiLvlLbl val="0"/>
      </c:catAx>
      <c:valAx>
        <c:axId val="91677827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8130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财政拨款收入</c:v>
                </c:pt>
              </c:strCache>
            </c:strRef>
          </c:cat>
          <c:val>
            <c:numRef>
              <c:f>Sheet1!$B$2</c:f>
              <c:numCache>
                <c:formatCode>General</c:formatCode>
                <c:ptCount val="1"/>
                <c:pt idx="0">
                  <c:v>179.77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222.55</c:v>
                </c:pt>
                <c:pt idx="1">
                  <c:v>0</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[2023信访决算图表.xls]Sheet1!$A$83:$B$83</c:f>
              <c:strCache>
                <c:ptCount val="2"/>
                <c:pt idx="0">
                  <c:v>2022年</c:v>
                </c:pt>
                <c:pt idx="1">
                  <c:v>2023年</c:v>
                </c:pt>
              </c:strCache>
            </c:strRef>
          </c:cat>
          <c:val>
            <c:numRef>
              <c:f>[2023信访决算图表.xls]Sheet1!$A$84:$B$84</c:f>
              <c:numCache>
                <c:formatCode>#,##0.00</c:formatCode>
                <c:ptCount val="2"/>
                <c:pt idx="0">
                  <c:v>75.37</c:v>
                </c:pt>
                <c:pt idx="1">
                  <c:v>88.02</c:v>
                </c:pt>
              </c:numCache>
            </c:numRef>
          </c:val>
        </c:ser>
        <c:dLbls>
          <c:showLegendKey val="0"/>
          <c:showVal val="0"/>
          <c:showCatName val="0"/>
          <c:showSerName val="0"/>
          <c:showPercent val="0"/>
          <c:showBubbleSize val="0"/>
        </c:dLbls>
        <c:gapWidth val="219"/>
        <c:overlap val="-27"/>
        <c:axId val="174975040"/>
        <c:axId val="725292051"/>
      </c:barChart>
      <c:catAx>
        <c:axId val="1749750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5292051"/>
        <c:crosses val="autoZero"/>
        <c:auto val="1"/>
        <c:lblAlgn val="ctr"/>
        <c:lblOffset val="100"/>
        <c:noMultiLvlLbl val="0"/>
      </c:catAx>
      <c:valAx>
        <c:axId val="72529205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497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[2023信访决算图表.xls]Sheet1!$A$100:$B$100</c:f>
              <c:strCache>
                <c:ptCount val="2"/>
                <c:pt idx="0">
                  <c:v>2022年</c:v>
                </c:pt>
                <c:pt idx="1">
                  <c:v>2023年</c:v>
                </c:pt>
              </c:strCache>
            </c:strRef>
          </c:cat>
          <c:val>
            <c:numRef>
              <c:f>[2023信访决算图表.xls]Sheet1!$A$101:$B$101</c:f>
              <c:numCache>
                <c:formatCode>#,##0.00</c:formatCode>
                <c:ptCount val="2"/>
                <c:pt idx="0">
                  <c:v>80.75</c:v>
                </c:pt>
                <c:pt idx="1">
                  <c:v>88.02</c:v>
                </c:pt>
              </c:numCache>
            </c:numRef>
          </c:val>
        </c:ser>
        <c:dLbls>
          <c:showLegendKey val="0"/>
          <c:showVal val="0"/>
          <c:showCatName val="0"/>
          <c:showSerName val="0"/>
          <c:showPercent val="0"/>
          <c:showBubbleSize val="0"/>
        </c:dLbls>
        <c:gapWidth val="219"/>
        <c:overlap val="-27"/>
        <c:axId val="55613156"/>
        <c:axId val="184260280"/>
      </c:barChart>
      <c:catAx>
        <c:axId val="5561315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4260280"/>
        <c:crosses val="autoZero"/>
        <c:auto val="1"/>
        <c:lblAlgn val="ctr"/>
        <c:lblOffset val="100"/>
        <c:noMultiLvlLbl val="0"/>
      </c:catAx>
      <c:valAx>
        <c:axId val="1842602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6131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[2023信访决算图表.xls]Sheet1!$A$116:$B$116</c:f>
              <c:strCache>
                <c:ptCount val="2"/>
                <c:pt idx="0">
                  <c:v>2022年</c:v>
                </c:pt>
                <c:pt idx="1">
                  <c:v>2023年</c:v>
                </c:pt>
              </c:strCache>
            </c:strRef>
          </c:cat>
          <c:val>
            <c:numRef>
              <c:f>[2023信访决算图表.xls]Sheet1!$A$117:$B$117</c:f>
              <c:numCache>
                <c:formatCode>#,##0.00</c:formatCode>
                <c:ptCount val="2"/>
                <c:pt idx="0">
                  <c:v>80.75</c:v>
                </c:pt>
                <c:pt idx="1">
                  <c:v>88.02</c:v>
                </c:pt>
              </c:numCache>
            </c:numRef>
          </c:val>
        </c:ser>
        <c:dLbls>
          <c:showLegendKey val="0"/>
          <c:showVal val="0"/>
          <c:showCatName val="0"/>
          <c:showSerName val="0"/>
          <c:showPercent val="0"/>
          <c:showBubbleSize val="0"/>
        </c:dLbls>
        <c:gapWidth val="219"/>
        <c:overlap val="-27"/>
        <c:axId val="40078101"/>
        <c:axId val="83507832"/>
      </c:barChart>
      <c:catAx>
        <c:axId val="4007810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507832"/>
        <c:crosses val="autoZero"/>
        <c:auto val="1"/>
        <c:lblAlgn val="ctr"/>
        <c:lblOffset val="100"/>
        <c:noMultiLvlLbl val="0"/>
      </c:catAx>
      <c:valAx>
        <c:axId val="8350783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07810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[2023信访决算图表.xls]Sheet1!$C$140:$C$143</c:f>
              <c:strCache>
                <c:ptCount val="4"/>
                <c:pt idx="0">
                  <c:v>一般公共服务</c:v>
                </c:pt>
                <c:pt idx="1">
                  <c:v>社会保障和就业支出</c:v>
                </c:pt>
                <c:pt idx="2">
                  <c:v>卫生健康支出</c:v>
                </c:pt>
                <c:pt idx="3">
                  <c:v>住房保障支出</c:v>
                </c:pt>
              </c:strCache>
            </c:strRef>
          </c:cat>
          <c:val>
            <c:numRef>
              <c:f>[2023信访决算图表.xls]Sheet1!$D$140:$D$143</c:f>
              <c:numCache>
                <c:formatCode>General</c:formatCode>
                <c:ptCount val="4"/>
                <c:pt idx="0">
                  <c:v>66.61</c:v>
                </c:pt>
                <c:pt idx="1" c:formatCode="#,##0.00">
                  <c:v>11.08</c:v>
                </c:pt>
                <c:pt idx="2" c:formatCode="#,##0.00">
                  <c:v>4.47</c:v>
                </c:pt>
                <c:pt idx="3" c:formatCode="#,##0.00">
                  <c:v>5.86</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[决算公开分析图表.xls]Sheet1!$A$164:$A$166</c:f>
              <c:strCache>
                <c:ptCount val="3"/>
                <c:pt idx="0">
                  <c:v>因公出国（境）费</c:v>
                </c:pt>
                <c:pt idx="1">
                  <c:v>公务接待费</c:v>
                </c:pt>
                <c:pt idx="2">
                  <c:v>公务用车购置及运行维护费</c:v>
                </c:pt>
              </c:strCache>
            </c:strRef>
          </c:cat>
          <c:val>
            <c:numRef>
              <c:f>[决算公开分析图表.xls]Sheet1!$B$164:$B$166</c:f>
              <c:numCache>
                <c:formatCode>General</c:formatCode>
                <c:ptCount val="3"/>
                <c:pt idx="0">
                  <c:v>0</c:v>
                </c:pt>
                <c:pt idx="1">
                  <c:v>0</c:v>
                </c:pt>
                <c:pt idx="2">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4684</Words>
  <Characters>5046</Characters>
  <Lines>74</Lines>
  <Paragraphs>21</Paragraphs>
  <TotalTime>47</TotalTime>
  <ScaleCrop>false</ScaleCrop>
  <LinksUpToDate>false</LinksUpToDate>
  <CharactersWithSpaces>5098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怪</cp:lastModifiedBy>
  <cp:lastPrinted>2021-07-29T03:56:00Z</cp:lastPrinted>
  <dcterms:modified xsi:type="dcterms:W3CDTF">2024-10-19T08:38:44Z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EF13E3234E5946F095D16E8C6CF8B44D_13</vt:lpwstr>
  </property>
</Properties>
</file>