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9FE35">
      <w:pPr>
        <w:spacing w:line="600" w:lineRule="exact"/>
        <w:jc w:val="center"/>
        <w:outlineLvl w:val="0"/>
        <w:rPr>
          <w:rFonts w:ascii="方正小标宋简体" w:hAnsi="宋体" w:eastAsia="方正小标宋简体"/>
          <w:color w:val="000000"/>
          <w:sz w:val="72"/>
          <w:szCs w:val="72"/>
        </w:rPr>
      </w:pPr>
      <w:bookmarkStart w:id="0" w:name="_Toc15306267"/>
    </w:p>
    <w:p w14:paraId="074A3313">
      <w:pPr>
        <w:spacing w:line="600" w:lineRule="exact"/>
        <w:jc w:val="center"/>
        <w:outlineLvl w:val="0"/>
        <w:rPr>
          <w:rFonts w:ascii="方正小标宋简体" w:hAnsi="宋体" w:eastAsia="方正小标宋简体"/>
          <w:color w:val="000000"/>
          <w:sz w:val="72"/>
          <w:szCs w:val="72"/>
        </w:rPr>
      </w:pPr>
    </w:p>
    <w:p w14:paraId="6CEACFC9">
      <w:pPr>
        <w:spacing w:line="600" w:lineRule="exact"/>
        <w:jc w:val="center"/>
        <w:outlineLvl w:val="0"/>
        <w:rPr>
          <w:rFonts w:ascii="方正小标宋简体" w:hAnsi="宋体" w:eastAsia="方正小标宋简体"/>
          <w:color w:val="000000"/>
          <w:sz w:val="72"/>
          <w:szCs w:val="72"/>
        </w:rPr>
      </w:pPr>
    </w:p>
    <w:p w14:paraId="1D34AA72">
      <w:pPr>
        <w:jc w:val="center"/>
        <w:rPr>
          <w:rFonts w:ascii="黑体" w:hAnsi="黑体" w:eastAsia="黑体"/>
          <w:sz w:val="72"/>
          <w:szCs w:val="72"/>
        </w:rPr>
      </w:pPr>
      <w:bookmarkStart w:id="1" w:name="_Toc15378441"/>
      <w:bookmarkStart w:id="2" w:name="_Toc15377425"/>
      <w:bookmarkStart w:id="3" w:name="_Toc15377193"/>
      <w:bookmarkStart w:id="4" w:name="_Toc15396475"/>
      <w:bookmarkStart w:id="5" w:name="_Toc15396597"/>
      <w:r>
        <w:rPr>
          <w:rFonts w:hint="eastAsia" w:ascii="黑体" w:hAnsi="黑体" w:eastAsia="黑体"/>
          <w:sz w:val="72"/>
          <w:szCs w:val="72"/>
          <w:lang w:eastAsia="zh-CN"/>
        </w:rPr>
        <w:t>2024</w:t>
      </w:r>
      <w:r>
        <w:rPr>
          <w:rFonts w:hint="eastAsia" w:ascii="黑体" w:hAnsi="黑体" w:eastAsia="黑体"/>
          <w:sz w:val="72"/>
          <w:szCs w:val="72"/>
        </w:rPr>
        <w:t>年度</w:t>
      </w:r>
      <w:bookmarkEnd w:id="1"/>
      <w:bookmarkEnd w:id="2"/>
      <w:bookmarkEnd w:id="3"/>
      <w:bookmarkEnd w:id="4"/>
      <w:bookmarkEnd w:id="5"/>
    </w:p>
    <w:p w14:paraId="4CD4551A">
      <w:pPr>
        <w:jc w:val="center"/>
        <w:rPr>
          <w:rFonts w:ascii="方正小标宋简体" w:eastAsia="方正小标宋简体"/>
          <w:sz w:val="72"/>
          <w:szCs w:val="72"/>
        </w:rPr>
      </w:pPr>
      <w:bookmarkStart w:id="6" w:name="_Toc15396598"/>
      <w:bookmarkStart w:id="7" w:name="_Toc15377426"/>
      <w:bookmarkStart w:id="8" w:name="_Toc15378442"/>
      <w:bookmarkStart w:id="9" w:name="_Toc15396476"/>
      <w:bookmarkStart w:id="10" w:name="_Toc15377194"/>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信访工作局</w:t>
      </w:r>
      <w:r>
        <w:rPr>
          <w:rFonts w:hint="eastAsia" w:ascii="方正小标宋简体" w:eastAsia="方正小标宋简体"/>
          <w:sz w:val="72"/>
          <w:szCs w:val="72"/>
        </w:rPr>
        <w:t>部门决算</w:t>
      </w:r>
      <w:bookmarkEnd w:id="6"/>
      <w:bookmarkEnd w:id="7"/>
      <w:bookmarkEnd w:id="8"/>
      <w:bookmarkEnd w:id="9"/>
      <w:bookmarkEnd w:id="10"/>
      <w:bookmarkEnd w:id="11"/>
    </w:p>
    <w:p w14:paraId="5D70F2AE">
      <w:pPr>
        <w:widowControl/>
        <w:jc w:val="center"/>
        <w:rPr>
          <w:rFonts w:ascii="方正小标宋简体" w:hAnsi="宋体" w:eastAsia="方正小标宋简体"/>
          <w:color w:val="000000"/>
          <w:sz w:val="36"/>
          <w:szCs w:val="36"/>
        </w:rPr>
      </w:pPr>
    </w:p>
    <w:p w14:paraId="087FB4A9">
      <w:pPr>
        <w:rPr>
          <w:rFonts w:ascii="方正小标宋简体" w:hAnsi="宋体" w:eastAsia="方正小标宋简体"/>
          <w:sz w:val="36"/>
          <w:szCs w:val="36"/>
        </w:rPr>
      </w:pPr>
    </w:p>
    <w:p w14:paraId="042ADD9E">
      <w:pPr>
        <w:rPr>
          <w:rFonts w:ascii="方正小标宋简体" w:hAnsi="宋体" w:eastAsia="方正小标宋简体"/>
          <w:sz w:val="36"/>
          <w:szCs w:val="36"/>
        </w:rPr>
      </w:pPr>
    </w:p>
    <w:p w14:paraId="2A8CCA39">
      <w:pPr>
        <w:rPr>
          <w:rFonts w:ascii="方正小标宋简体" w:hAnsi="宋体" w:eastAsia="方正小标宋简体"/>
          <w:sz w:val="36"/>
          <w:szCs w:val="36"/>
        </w:rPr>
      </w:pPr>
    </w:p>
    <w:p w14:paraId="6FAA97BC">
      <w:pPr>
        <w:rPr>
          <w:rFonts w:ascii="方正小标宋简体" w:hAnsi="宋体" w:eastAsia="方正小标宋简体"/>
          <w:sz w:val="36"/>
          <w:szCs w:val="36"/>
        </w:rPr>
      </w:pPr>
    </w:p>
    <w:p w14:paraId="137A190E">
      <w:pPr>
        <w:rPr>
          <w:rFonts w:ascii="方正小标宋简体" w:hAnsi="宋体" w:eastAsia="方正小标宋简体"/>
          <w:sz w:val="36"/>
          <w:szCs w:val="36"/>
        </w:rPr>
      </w:pPr>
    </w:p>
    <w:p w14:paraId="52E42C12">
      <w:pPr>
        <w:pStyle w:val="9"/>
        <w:rPr>
          <w:rFonts w:ascii="方正小标宋简体" w:hAnsi="宋体" w:eastAsia="方正小标宋简体"/>
          <w:sz w:val="36"/>
          <w:szCs w:val="36"/>
        </w:rPr>
      </w:pPr>
    </w:p>
    <w:p w14:paraId="3F9F5A4C">
      <w:pPr>
        <w:pStyle w:val="8"/>
        <w:rPr>
          <w:rFonts w:ascii="方正小标宋简体" w:hAnsi="宋体" w:eastAsia="方正小标宋简体"/>
          <w:sz w:val="36"/>
          <w:szCs w:val="36"/>
        </w:rPr>
      </w:pPr>
    </w:p>
    <w:p w14:paraId="5D57A782">
      <w:pPr>
        <w:rPr>
          <w:rFonts w:ascii="方正小标宋简体" w:hAnsi="宋体" w:eastAsia="方正小标宋简体"/>
          <w:sz w:val="36"/>
          <w:szCs w:val="36"/>
        </w:rPr>
      </w:pPr>
    </w:p>
    <w:p w14:paraId="3A57B2B1">
      <w:pPr>
        <w:pStyle w:val="9"/>
        <w:rPr>
          <w:rFonts w:ascii="方正小标宋简体" w:hAnsi="宋体" w:eastAsia="方正小标宋简体"/>
          <w:sz w:val="36"/>
          <w:szCs w:val="36"/>
        </w:rPr>
      </w:pPr>
    </w:p>
    <w:p w14:paraId="4192CFC3">
      <w:pPr>
        <w:pStyle w:val="8"/>
        <w:rPr>
          <w:rFonts w:ascii="方正小标宋简体" w:hAnsi="宋体" w:eastAsia="方正小标宋简体"/>
          <w:sz w:val="36"/>
          <w:szCs w:val="36"/>
        </w:rPr>
      </w:pPr>
    </w:p>
    <w:p w14:paraId="6EEAA7A8">
      <w:pPr>
        <w:rPr>
          <w:rFonts w:ascii="方正小标宋简体" w:hAnsi="宋体" w:eastAsia="方正小标宋简体"/>
          <w:sz w:val="36"/>
          <w:szCs w:val="36"/>
        </w:rPr>
      </w:pPr>
    </w:p>
    <w:p w14:paraId="1674DAE2">
      <w:pPr>
        <w:pStyle w:val="9"/>
        <w:rPr>
          <w:rFonts w:ascii="方正小标宋简体" w:hAnsi="宋体" w:eastAsia="方正小标宋简体"/>
          <w:sz w:val="36"/>
          <w:szCs w:val="36"/>
        </w:rPr>
      </w:pPr>
    </w:p>
    <w:p w14:paraId="1D1D205C">
      <w:pPr>
        <w:widowControl/>
        <w:suppressAutoHyphens/>
        <w:bidi w:val="0"/>
        <w:jc w:val="center"/>
        <w:rPr>
          <w:rFonts w:hint="eastAsia" w:ascii="仿宋" w:hAnsi="仿宋" w:eastAsia="仿宋" w:cs="Times New Roman"/>
          <w:b w:val="0"/>
          <w:bCs w:val="0"/>
          <w:caps w:val="0"/>
          <w:color w:val="auto"/>
          <w:kern w:val="2"/>
          <w:sz w:val="28"/>
          <w:szCs w:val="28"/>
          <w:highlight w:val="none"/>
          <w:lang w:val="en-US" w:eastAsia="zh-CN" w:bidi="ar-SA"/>
        </w:rPr>
      </w:pPr>
      <w:r>
        <w:rPr>
          <w:rFonts w:hint="eastAsia" w:ascii="黑体" w:hAnsi="黑体" w:eastAsia="黑体"/>
          <w:color w:val="auto"/>
          <w:sz w:val="48"/>
          <w:szCs w:val="48"/>
          <w:highlight w:val="none"/>
        </w:rPr>
        <w:t>目录</w:t>
      </w:r>
    </w:p>
    <w:p w14:paraId="59A574EB">
      <w:pPr>
        <w:pStyle w:val="9"/>
      </w:pPr>
    </w:p>
    <w:p w14:paraId="37063957">
      <w:pPr>
        <w:pStyle w:val="16"/>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TOC \o \u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仿宋" w:hAnsi="仿宋" w:eastAsia="仿宋"/>
          <w:b w:val="0"/>
          <w:bCs w:val="0"/>
          <w:caps w:val="0"/>
          <w:color w:val="auto"/>
          <w:sz w:val="24"/>
          <w:szCs w:val="28"/>
          <w:highlight w:val="none"/>
          <w:lang w:val="en-US" w:eastAsia="zh-CN"/>
        </w:rPr>
        <w:t>第一部分 部门概况</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_Toc17124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6F90B7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一、部门职责</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t>1</w:t>
      </w:r>
    </w:p>
    <w:p w14:paraId="03627581">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二、机构设置</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_Toc29784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EC8CDF0">
      <w:pPr>
        <w:pStyle w:val="16"/>
        <w:tabs>
          <w:tab w:val="right" w:leader="dot" w:pos="8296"/>
        </w:tabs>
        <w:adjustRightInd w:val="0"/>
        <w:snapToGrid w:val="0"/>
        <w:spacing w:before="0" w:line="440" w:lineRule="exact"/>
        <w:jc w:val="left"/>
        <w:rPr>
          <w:rFonts w:hint="default"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第二部分 2024年度部门决算情况说明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t>3</w:t>
      </w:r>
    </w:p>
    <w:p w14:paraId="6206356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w:t>
      </w:r>
      <w:r>
        <w:rPr>
          <w:rFonts w:hint="default" w:ascii="Calibri" w:hAnsi="Calibri" w:eastAsia="宋体"/>
          <w:smallCaps w:val="0"/>
          <w:color w:val="auto"/>
          <w:sz w:val="24"/>
          <w:szCs w:val="24"/>
          <w:highlight w:val="none"/>
          <w:lang w:val="en-US" w:eastAsia="zh-CN"/>
        </w:rPr>
        <w:t>、</w:t>
      </w:r>
      <w:r>
        <w:rPr>
          <w:rFonts w:hint="eastAsia" w:ascii="Calibri" w:hAnsi="Calibri" w:eastAsia="宋体"/>
          <w:smallCaps w:val="0"/>
          <w:color w:val="auto"/>
          <w:sz w:val="24"/>
          <w:szCs w:val="24"/>
          <w:highlight w:val="none"/>
          <w:lang w:val="en-US" w:eastAsia="zh-CN"/>
        </w:rPr>
        <w:t>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_Toc12061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3</w:t>
      </w:r>
      <w:r>
        <w:rPr>
          <w:rFonts w:hint="eastAsia" w:ascii="Calibri" w:hAnsi="Calibri" w:eastAsia="宋体"/>
          <w:smallCaps w:val="0"/>
          <w:color w:val="auto"/>
          <w:sz w:val="24"/>
          <w:szCs w:val="24"/>
          <w:highlight w:val="none"/>
          <w:lang w:val="en-US" w:eastAsia="zh-CN"/>
        </w:rPr>
        <w:fldChar w:fldCharType="end"/>
      </w:r>
    </w:p>
    <w:p w14:paraId="46F8F5C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二、</w:t>
      </w:r>
      <w:r>
        <w:rPr>
          <w:rFonts w:hint="eastAsia" w:ascii="Calibri" w:hAnsi="Calibri" w:eastAsia="宋体"/>
          <w:smallCaps w:val="0"/>
          <w:color w:val="auto"/>
          <w:sz w:val="24"/>
          <w:szCs w:val="24"/>
          <w:highlight w:val="none"/>
          <w:lang w:val="en-US" w:eastAsia="zh-CN"/>
        </w:rPr>
        <w:t>收入决算情况说明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_Toc15938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bookmarkStart w:id="162" w:name="_GoBack"/>
      <w:bookmarkEnd w:id="162"/>
    </w:p>
    <w:p w14:paraId="3534CD9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三、</w:t>
      </w:r>
      <w:r>
        <w:rPr>
          <w:rFonts w:hint="eastAsia" w:ascii="Calibri" w:hAnsi="Calibri" w:eastAsia="宋体"/>
          <w:smallCaps w:val="0"/>
          <w:color w:val="auto"/>
          <w:sz w:val="24"/>
          <w:szCs w:val="24"/>
          <w:highlight w:val="none"/>
          <w:lang w:val="en-US" w:eastAsia="zh-CN"/>
        </w:rPr>
        <w:t>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_Toc30887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09D63BE2">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四、财政拨款收入支出决算总体情况说明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_Toc24427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5</w:t>
      </w:r>
      <w:r>
        <w:rPr>
          <w:rFonts w:hint="eastAsia" w:ascii="Calibri" w:hAnsi="Calibri" w:eastAsia="宋体"/>
          <w:smallCaps w:val="0"/>
          <w:color w:val="auto"/>
          <w:sz w:val="24"/>
          <w:szCs w:val="24"/>
          <w:highlight w:val="none"/>
          <w:lang w:val="en-US" w:eastAsia="zh-CN"/>
        </w:rPr>
        <w:fldChar w:fldCharType="end"/>
      </w:r>
    </w:p>
    <w:p w14:paraId="1D967C4F">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五、一般公共预算财政拨款支出决算情况说明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_Toc16632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5</w:t>
      </w:r>
      <w:r>
        <w:rPr>
          <w:rFonts w:hint="eastAsia" w:ascii="Calibri" w:hAnsi="Calibri" w:eastAsia="宋体"/>
          <w:smallCaps w:val="0"/>
          <w:color w:val="auto"/>
          <w:sz w:val="24"/>
          <w:szCs w:val="24"/>
          <w:highlight w:val="none"/>
          <w:lang w:val="en-US" w:eastAsia="zh-CN"/>
        </w:rPr>
        <w:fldChar w:fldCharType="end"/>
      </w:r>
    </w:p>
    <w:p w14:paraId="07D22507">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六、一般公共预算财政拨款基本支出决算情况说明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_Toc139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8</w:t>
      </w:r>
      <w:r>
        <w:rPr>
          <w:rFonts w:hint="eastAsia" w:ascii="Calibri" w:hAnsi="Calibri" w:eastAsia="宋体"/>
          <w:smallCaps w:val="0"/>
          <w:color w:val="auto"/>
          <w:sz w:val="24"/>
          <w:szCs w:val="24"/>
          <w:highlight w:val="none"/>
          <w:lang w:val="en-US" w:eastAsia="zh-CN"/>
        </w:rPr>
        <w:fldChar w:fldCharType="end"/>
      </w:r>
    </w:p>
    <w:p w14:paraId="3B92E30E">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七、“三公”经费财政拨款支出决算情况说明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_Toc25505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9</w:t>
      </w:r>
      <w:r>
        <w:rPr>
          <w:rFonts w:hint="eastAsia" w:ascii="Calibri" w:hAnsi="Calibri" w:eastAsia="宋体"/>
          <w:smallCaps w:val="0"/>
          <w:color w:val="auto"/>
          <w:sz w:val="24"/>
          <w:szCs w:val="24"/>
          <w:highlight w:val="none"/>
          <w:lang w:val="en-US" w:eastAsia="zh-CN"/>
        </w:rPr>
        <w:fldChar w:fldCharType="end"/>
      </w:r>
    </w:p>
    <w:p w14:paraId="1697F4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八、政府性基金预算支出决算情况说明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_Toc8589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10</w:t>
      </w:r>
      <w:r>
        <w:rPr>
          <w:rFonts w:hint="eastAsia" w:ascii="Calibri" w:hAnsi="Calibri" w:eastAsia="宋体"/>
          <w:smallCaps w:val="0"/>
          <w:color w:val="auto"/>
          <w:sz w:val="24"/>
          <w:szCs w:val="24"/>
          <w:highlight w:val="none"/>
          <w:lang w:val="en-US" w:eastAsia="zh-CN"/>
        </w:rPr>
        <w:fldChar w:fldCharType="end"/>
      </w:r>
    </w:p>
    <w:p w14:paraId="4258B6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九、国有资本经营预算支出决算情况说明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_Toc12219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10</w:t>
      </w:r>
      <w:r>
        <w:rPr>
          <w:rFonts w:hint="eastAsia" w:ascii="Calibri" w:hAnsi="Calibri" w:eastAsia="宋体"/>
          <w:smallCaps w:val="0"/>
          <w:color w:val="auto"/>
          <w:sz w:val="24"/>
          <w:szCs w:val="24"/>
          <w:highlight w:val="none"/>
          <w:lang w:val="en-US" w:eastAsia="zh-CN"/>
        </w:rPr>
        <w:fldChar w:fldCharType="end"/>
      </w:r>
    </w:p>
    <w:p w14:paraId="1D777A90">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十、其他重要事项的情况说明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_Toc9744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11</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A6CCB55">
      <w:pPr>
        <w:pStyle w:val="16"/>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第三部分 名词解释</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_Toc30986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12</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5DC7274">
      <w:pPr>
        <w:pStyle w:val="16"/>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第四部分 附件</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_Toc919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15</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4111670">
      <w:pPr>
        <w:pStyle w:val="16"/>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第五部分 附表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_Toc32233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C549428">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一、收入支出决算总表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_Toc23912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66C624">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二、收入决算表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_Toc10372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834A67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三、支出决算表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_Toc22551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4C8912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四、财政拨款收入支出决算总表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_Toc28052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DFC2C9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五、财政拨款支出决算明细表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_Toc31661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63743D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六、一般公共预算财政拨款支出决算表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_Toc29728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80D9E1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七、一般公共预算财政拨款支出决算明细表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_Toc14143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A1BE93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八、一般公共预算财政拨款基本支出决算表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_Toc27243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6799F1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九、一般公共预算财政拨款项目支出决算表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_Toc5502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CE66D7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十、一般公共预算财政拨款“三公”经费支出决算表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_Toc22516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EEADBE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十一、政府性基金预算财政拨款收入支出决算表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_Toc20787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7DC8DE2">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十二、政府性基金预算财政拨款“三公”经费支出决算表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_Toc16510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5EC2C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十三、国有资本经营预算财政拨款支出决算表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_Toc19124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A5A2BF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十四、国有资本经营预算财政拨款支出决算表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_Toc10304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24</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A9B5A5B">
      <w:pPr>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C38808D">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Calibri" w:hAnsi="Calibri" w:eastAsia="宋体" w:cs="Times New Roman"/>
          <w:b w:val="0"/>
          <w:bCs w:val="0"/>
          <w:caps w:val="0"/>
          <w:smallCaps w:val="0"/>
          <w:color w:val="auto"/>
          <w:kern w:val="2"/>
          <w:sz w:val="24"/>
          <w:szCs w:val="24"/>
          <w:highlight w:val="none"/>
          <w:lang w:val="en-US" w:eastAsia="zh-CN" w:bidi="ar-SA"/>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96599"/>
      <w:bookmarkStart w:id="13" w:name="_Toc17124"/>
      <w:bookmarkStart w:id="14" w:name="_Toc79163601"/>
      <w:bookmarkStart w:id="15" w:name="_Toc15377196"/>
    </w:p>
    <w:p w14:paraId="5DE541FC">
      <w:pPr>
        <w:pStyle w:val="4"/>
        <w:suppressAutoHyphens/>
        <w:bidi w:val="0"/>
        <w:jc w:val="center"/>
        <w:rPr>
          <w:rFonts w:hint="eastAsia" w:ascii="黑体" w:hAnsi="黑体" w:eastAsia="黑体"/>
          <w:b w:val="0"/>
          <w:color w:val="auto"/>
          <w:highlight w:val="none"/>
        </w:rPr>
      </w:pPr>
      <w:r>
        <w:rPr>
          <w:rFonts w:hint="eastAsia" w:ascii="黑体" w:hAnsi="黑体" w:eastAsia="黑体"/>
          <w:b w:val="0"/>
          <w:color w:val="auto"/>
          <w:highlight w:val="none"/>
        </w:rPr>
        <w:t>第一部分 部门概况</w:t>
      </w:r>
      <w:bookmarkEnd w:id="12"/>
      <w:bookmarkEnd w:id="13"/>
      <w:bookmarkEnd w:id="14"/>
      <w:bookmarkEnd w:id="15"/>
    </w:p>
    <w:p w14:paraId="31491FE4">
      <w:pPr>
        <w:pStyle w:val="5"/>
        <w:rPr>
          <w:rStyle w:val="30"/>
          <w:rFonts w:hint="eastAsia" w:ascii="仿宋" w:hAnsi="仿宋" w:eastAsia="黑体"/>
          <w:b w:val="0"/>
          <w:bCs w:val="0"/>
          <w:color w:val="auto"/>
          <w:highlight w:val="none"/>
          <w:lang w:eastAsia="zh-CN"/>
        </w:rPr>
      </w:pPr>
      <w:bookmarkStart w:id="16" w:name="_Toc15396600"/>
      <w:bookmarkStart w:id="17" w:name="_Toc15377197"/>
      <w:bookmarkStart w:id="18" w:name="_Toc79163603"/>
      <w:bookmarkStart w:id="19" w:name="_Toc29481"/>
      <w:bookmarkStart w:id="20" w:name="_Toc15378445"/>
      <w:bookmarkStart w:id="21" w:name="_Toc15377198"/>
      <w:r>
        <w:rPr>
          <w:rFonts w:hint="eastAsia" w:ascii="黑体" w:hAnsi="黑体" w:eastAsia="黑体"/>
          <w:b w:val="0"/>
          <w:color w:val="auto"/>
          <w:highlight w:val="none"/>
        </w:rPr>
        <w:t>一、</w:t>
      </w:r>
      <w:bookmarkEnd w:id="16"/>
      <w:bookmarkEnd w:id="17"/>
      <w:r>
        <w:rPr>
          <w:rFonts w:hint="eastAsia" w:ascii="黑体" w:hAnsi="黑体" w:eastAsia="黑体"/>
          <w:b w:val="0"/>
          <w:color w:val="auto"/>
          <w:highlight w:val="none"/>
          <w:lang w:eastAsia="zh-CN"/>
        </w:rPr>
        <w:t>部门职责</w:t>
      </w:r>
    </w:p>
    <w:p w14:paraId="4D0B45FE">
      <w:pPr>
        <w:pStyle w:val="9"/>
        <w:pageBreakBefore w:val="0"/>
        <w:kinsoku/>
        <w:wordWrap/>
        <w:overflowPunct/>
        <w:topLinePunct w:val="0"/>
        <w:autoSpaceDE/>
        <w:autoSpaceDN/>
        <w:bidi w:val="0"/>
        <w:adjustRightInd w:val="0"/>
        <w:snapToGrid w:val="0"/>
        <w:spacing w:beforeLines="0" w:line="560" w:lineRule="exact"/>
        <w:textAlignment w:val="auto"/>
        <w:outlineLvl w:val="2"/>
        <w:rPr>
          <w:rFonts w:ascii="仿宋" w:hAnsi="仿宋" w:eastAsia="仿宋"/>
          <w:bCs/>
          <w:color w:val="000000"/>
          <w:sz w:val="32"/>
          <w:szCs w:val="32"/>
        </w:rPr>
      </w:pPr>
      <w:r>
        <w:rPr>
          <w:rFonts w:hint="eastAsia" w:ascii="仿宋" w:hAnsi="仿宋" w:eastAsia="仿宋"/>
          <w:bCs/>
          <w:color w:val="000000"/>
          <w:sz w:val="32"/>
          <w:szCs w:val="32"/>
        </w:rPr>
        <w:t>（一）主要职能</w:t>
      </w:r>
      <w:bookmarkEnd w:id="18"/>
      <w:bookmarkEnd w:id="19"/>
    </w:p>
    <w:bookmarkEnd w:id="20"/>
    <w:bookmarkEnd w:id="21"/>
    <w:p w14:paraId="1FD8845D">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bookmarkStart w:id="22" w:name="_Toc79163604"/>
      <w:bookmarkStart w:id="23" w:name="_Toc15377199"/>
      <w:bookmarkStart w:id="24" w:name="_Toc15378446"/>
      <w:r>
        <w:rPr>
          <w:rFonts w:hint="eastAsia" w:ascii="仿宋" w:hAnsi="仿宋" w:eastAsia="仿宋" w:cs="Times New Roman"/>
          <w:bCs/>
          <w:color w:val="000000"/>
          <w:kern w:val="0"/>
          <w:sz w:val="32"/>
          <w:szCs w:val="32"/>
          <w:lang w:val="en-US" w:eastAsia="zh-CN" w:bidi="ar-SA"/>
        </w:rPr>
        <w:t>1.</w:t>
      </w:r>
      <w:r>
        <w:rPr>
          <w:rFonts w:hint="eastAsia" w:ascii="仿宋" w:hAnsi="仿宋" w:eastAsia="仿宋" w:cs="Times New Roman"/>
          <w:bCs/>
          <w:color w:val="000000"/>
          <w:kern w:val="0"/>
          <w:sz w:val="32"/>
          <w:szCs w:val="32"/>
          <w:lang w:val="zh-CN" w:eastAsia="zh-CN" w:bidi="ar-SA"/>
        </w:rPr>
        <w:t>履行政治领导责任，做好理论武装和思想政治工作，负责学习、宣传、贯彻执行党的理论和路线方针政策，贯彻落实党中央、省委、州委、县委的决策部署，发挥好把方向、管大局、保落实的重要作用。</w:t>
      </w:r>
    </w:p>
    <w:p w14:paraId="0E15CCD2">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2.</w:t>
      </w:r>
      <w:r>
        <w:rPr>
          <w:rFonts w:hint="eastAsia" w:ascii="仿宋" w:hAnsi="仿宋" w:eastAsia="仿宋" w:cs="Times New Roman"/>
          <w:bCs/>
          <w:color w:val="000000"/>
          <w:kern w:val="0"/>
          <w:sz w:val="32"/>
          <w:szCs w:val="32"/>
          <w:lang w:val="zh-CN" w:eastAsia="zh-CN" w:bidi="ar-SA"/>
        </w:rPr>
        <w:t>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14:paraId="1069410E">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3.</w:t>
      </w:r>
      <w:r>
        <w:rPr>
          <w:rFonts w:hint="eastAsia" w:ascii="仿宋" w:hAnsi="仿宋" w:eastAsia="仿宋" w:cs="Times New Roman"/>
          <w:bCs/>
          <w:color w:val="000000"/>
          <w:kern w:val="0"/>
          <w:sz w:val="32"/>
          <w:szCs w:val="32"/>
          <w:lang w:val="zh-CN" w:eastAsia="zh-CN" w:bidi="ar-SA"/>
        </w:rPr>
        <w:t>贯彻党管干部原则，加强干部队伍建设，完善干部培养选拔机制，加强干部教育管理监督。贯彻党管人才原则，加强人才队伍建设。加强对本单位工会、共青团、妇联等群团工作的领导。</w:t>
      </w:r>
    </w:p>
    <w:p w14:paraId="37D14CC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4.</w:t>
      </w:r>
      <w:r>
        <w:rPr>
          <w:rFonts w:hint="eastAsia" w:ascii="仿宋" w:hAnsi="仿宋" w:eastAsia="仿宋" w:cs="Times New Roman"/>
          <w:bCs/>
          <w:color w:val="000000"/>
          <w:kern w:val="0"/>
          <w:sz w:val="32"/>
          <w:szCs w:val="32"/>
          <w:lang w:val="zh-CN" w:eastAsia="zh-CN" w:bidi="ar-SA"/>
        </w:rPr>
        <w:t>履行党要管党、从严治党责任，加强对本单位党的建设的领导，落实党建工作责任制。认真履行党风廉政建设主体责任，支持纪检监察机构履行监督责任。</w:t>
      </w:r>
    </w:p>
    <w:bookmarkEnd w:id="22"/>
    <w:bookmarkEnd w:id="23"/>
    <w:bookmarkEnd w:id="24"/>
    <w:p w14:paraId="249E340B">
      <w:pPr>
        <w:pStyle w:val="5"/>
        <w:keepNext/>
        <w:keepLines/>
        <w:pageBreakBefore w:val="0"/>
        <w:widowControl w:val="0"/>
        <w:kinsoku/>
        <w:wordWrap/>
        <w:overflowPunct/>
        <w:topLinePunct w:val="0"/>
        <w:autoSpaceDE/>
        <w:autoSpaceDN/>
        <w:bidi w:val="0"/>
        <w:adjustRightInd/>
        <w:snapToGrid/>
        <w:spacing w:before="0" w:after="0" w:line="560" w:lineRule="exact"/>
        <w:textAlignment w:val="auto"/>
        <w:rPr>
          <w:rStyle w:val="30"/>
          <w:b w:val="0"/>
          <w:bCs w:val="0"/>
        </w:rPr>
      </w:pPr>
      <w:bookmarkStart w:id="25" w:name="_Toc79163605"/>
      <w:bookmarkStart w:id="26" w:name="_Toc15396601"/>
      <w:bookmarkStart w:id="27" w:name="_Toc15377200"/>
      <w:bookmarkStart w:id="28" w:name="_Toc29784"/>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5"/>
      <w:bookmarkEnd w:id="26"/>
      <w:bookmarkEnd w:id="27"/>
      <w:bookmarkEnd w:id="28"/>
    </w:p>
    <w:p w14:paraId="6C94D822">
      <w:pPr>
        <w:pStyle w:val="9"/>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rPr>
          <w:rFonts w:ascii="仿宋" w:hAnsi="仿宋" w:eastAsia="仿宋"/>
          <w:color w:val="000000"/>
          <w:sz w:val="32"/>
          <w:szCs w:val="32"/>
        </w:rPr>
      </w:pPr>
      <w:r>
        <w:rPr>
          <w:rFonts w:hint="eastAsia" w:ascii="仿宋" w:hAnsi="仿宋" w:eastAsia="仿宋"/>
          <w:sz w:val="32"/>
          <w:szCs w:val="32"/>
          <w:lang w:val="en-US" w:eastAsia="zh-CN"/>
        </w:rPr>
        <w:t>壤塘县信访工作局有两个下属二级单位，分别为阿坝州壤塘县信访工作局和阿坝州壤塘县信访接待中心。</w:t>
      </w:r>
    </w:p>
    <w:p w14:paraId="452B8F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bookmarkStart w:id="29" w:name="_Toc15377204"/>
      <w:bookmarkStart w:id="30" w:name="_Toc79163609"/>
      <w:bookmarkStart w:id="31" w:name="_Toc15396602"/>
    </w:p>
    <w:p w14:paraId="0BEB3390">
      <w:pPr>
        <w:pStyle w:val="18"/>
        <w:rPr>
          <w:rFonts w:hint="eastAsia" w:ascii="方正小标宋" w:hAnsi="方正小标宋" w:eastAsia="方正小标宋" w:cs="方正小标宋"/>
          <w:b w:val="0"/>
          <w:color w:val="000000"/>
          <w:sz w:val="44"/>
          <w:szCs w:val="44"/>
        </w:rPr>
      </w:pPr>
    </w:p>
    <w:p w14:paraId="29F2A3AB">
      <w:pPr>
        <w:pStyle w:val="2"/>
        <w:rPr>
          <w:rFonts w:hint="eastAsia" w:ascii="方正小标宋" w:hAnsi="方正小标宋" w:eastAsia="方正小标宋" w:cs="方正小标宋"/>
          <w:b w:val="0"/>
          <w:color w:val="000000"/>
          <w:sz w:val="44"/>
          <w:szCs w:val="44"/>
        </w:rPr>
      </w:pPr>
    </w:p>
    <w:p w14:paraId="21786413">
      <w:pPr>
        <w:pStyle w:val="2"/>
        <w:rPr>
          <w:rFonts w:hint="eastAsia" w:ascii="方正小标宋" w:hAnsi="方正小标宋" w:eastAsia="方正小标宋" w:cs="方正小标宋"/>
          <w:b w:val="0"/>
          <w:color w:val="000000"/>
          <w:sz w:val="44"/>
          <w:szCs w:val="44"/>
        </w:rPr>
      </w:pPr>
    </w:p>
    <w:p w14:paraId="0FE96524">
      <w:pPr>
        <w:pStyle w:val="2"/>
        <w:rPr>
          <w:rFonts w:hint="eastAsia" w:ascii="方正小标宋" w:hAnsi="方正小标宋" w:eastAsia="方正小标宋" w:cs="方正小标宋"/>
          <w:b w:val="0"/>
          <w:color w:val="000000"/>
          <w:sz w:val="44"/>
          <w:szCs w:val="44"/>
        </w:rPr>
      </w:pPr>
    </w:p>
    <w:p w14:paraId="7E50AD5B">
      <w:pPr>
        <w:pStyle w:val="2"/>
        <w:rPr>
          <w:rFonts w:hint="eastAsia" w:ascii="方正小标宋" w:hAnsi="方正小标宋" w:eastAsia="方正小标宋" w:cs="方正小标宋"/>
          <w:b w:val="0"/>
          <w:color w:val="000000"/>
          <w:sz w:val="44"/>
          <w:szCs w:val="44"/>
        </w:rPr>
      </w:pPr>
    </w:p>
    <w:p w14:paraId="40E31E3A">
      <w:pPr>
        <w:pStyle w:val="2"/>
        <w:rPr>
          <w:rFonts w:hint="eastAsia" w:ascii="方正小标宋" w:hAnsi="方正小标宋" w:eastAsia="方正小标宋" w:cs="方正小标宋"/>
          <w:b w:val="0"/>
          <w:color w:val="000000"/>
          <w:sz w:val="44"/>
          <w:szCs w:val="44"/>
        </w:rPr>
      </w:pPr>
    </w:p>
    <w:p w14:paraId="674BAA31">
      <w:pPr>
        <w:pStyle w:val="2"/>
        <w:rPr>
          <w:rFonts w:hint="eastAsia" w:ascii="方正小标宋" w:hAnsi="方正小标宋" w:eastAsia="方正小标宋" w:cs="方正小标宋"/>
          <w:b w:val="0"/>
          <w:color w:val="000000"/>
          <w:sz w:val="44"/>
          <w:szCs w:val="44"/>
        </w:rPr>
      </w:pPr>
    </w:p>
    <w:p w14:paraId="543C4C21">
      <w:pPr>
        <w:pStyle w:val="2"/>
        <w:rPr>
          <w:rFonts w:hint="eastAsia" w:ascii="方正小标宋" w:hAnsi="方正小标宋" w:eastAsia="方正小标宋" w:cs="方正小标宋"/>
          <w:b w:val="0"/>
          <w:color w:val="000000"/>
          <w:sz w:val="44"/>
          <w:szCs w:val="44"/>
        </w:rPr>
      </w:pPr>
    </w:p>
    <w:p w14:paraId="79F8FF77">
      <w:pPr>
        <w:pStyle w:val="2"/>
        <w:rPr>
          <w:rFonts w:hint="eastAsia" w:ascii="方正小标宋" w:hAnsi="方正小标宋" w:eastAsia="方正小标宋" w:cs="方正小标宋"/>
          <w:b w:val="0"/>
          <w:color w:val="000000"/>
          <w:sz w:val="44"/>
          <w:szCs w:val="44"/>
        </w:rPr>
      </w:pPr>
    </w:p>
    <w:p w14:paraId="37F9CACA">
      <w:pPr>
        <w:pStyle w:val="2"/>
        <w:rPr>
          <w:rFonts w:hint="eastAsia" w:ascii="方正小标宋" w:hAnsi="方正小标宋" w:eastAsia="方正小标宋" w:cs="方正小标宋"/>
          <w:b w:val="0"/>
          <w:color w:val="000000"/>
          <w:sz w:val="44"/>
          <w:szCs w:val="44"/>
        </w:rPr>
      </w:pPr>
    </w:p>
    <w:p w14:paraId="72A3D3C3">
      <w:pPr>
        <w:pStyle w:val="2"/>
        <w:rPr>
          <w:rFonts w:hint="eastAsia" w:ascii="方正小标宋" w:hAnsi="方正小标宋" w:eastAsia="方正小标宋" w:cs="方正小标宋"/>
          <w:b w:val="0"/>
          <w:color w:val="000000"/>
          <w:sz w:val="44"/>
          <w:szCs w:val="44"/>
        </w:rPr>
      </w:pPr>
    </w:p>
    <w:p w14:paraId="19657986">
      <w:pPr>
        <w:pStyle w:val="2"/>
        <w:rPr>
          <w:rFonts w:hint="eastAsia" w:ascii="方正小标宋" w:hAnsi="方正小标宋" w:eastAsia="方正小标宋" w:cs="方正小标宋"/>
          <w:b w:val="0"/>
          <w:color w:val="000000"/>
          <w:sz w:val="44"/>
          <w:szCs w:val="44"/>
        </w:rPr>
      </w:pPr>
    </w:p>
    <w:p w14:paraId="434434B6">
      <w:pPr>
        <w:pStyle w:val="2"/>
        <w:rPr>
          <w:rFonts w:hint="eastAsia" w:ascii="方正小标宋" w:hAnsi="方正小标宋" w:eastAsia="方正小标宋" w:cs="方正小标宋"/>
          <w:b w:val="0"/>
          <w:color w:val="000000"/>
          <w:sz w:val="44"/>
          <w:szCs w:val="44"/>
        </w:rPr>
      </w:pPr>
    </w:p>
    <w:p w14:paraId="56BFCD26">
      <w:pPr>
        <w:widowControl/>
        <w:jc w:val="center"/>
        <w:rPr>
          <w:rFonts w:hint="eastAsia" w:ascii="黑体" w:hAnsi="黑体" w:eastAsia="黑体" w:cs="Times New Roman"/>
          <w:b w:val="0"/>
          <w:bCs/>
          <w:color w:val="auto"/>
          <w:kern w:val="44"/>
          <w:sz w:val="44"/>
          <w:szCs w:val="44"/>
          <w:highlight w:val="none"/>
          <w:lang w:val="en-US" w:eastAsia="zh-CN" w:bidi="ar-SA"/>
        </w:rPr>
      </w:pPr>
      <w:r>
        <w:rPr>
          <w:rFonts w:hint="eastAsia" w:ascii="黑体" w:hAnsi="黑体" w:eastAsia="黑体" w:cs="Times New Roman"/>
          <w:b w:val="0"/>
          <w:bCs/>
          <w:color w:val="auto"/>
          <w:kern w:val="44"/>
          <w:sz w:val="44"/>
          <w:szCs w:val="44"/>
          <w:highlight w:val="none"/>
          <w:lang w:val="en-US" w:eastAsia="zh-CN" w:bidi="ar-SA"/>
        </w:rPr>
        <w:t>第二部分 2024年度部门决算情况说明</w:t>
      </w:r>
      <w:bookmarkEnd w:id="29"/>
      <w:bookmarkEnd w:id="30"/>
      <w:bookmarkEnd w:id="31"/>
    </w:p>
    <w:p w14:paraId="58A2D0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p>
    <w:p w14:paraId="3203DBCE">
      <w:pPr>
        <w:pStyle w:val="40"/>
        <w:numPr>
          <w:ilvl w:val="0"/>
          <w:numId w:val="1"/>
        </w:numPr>
        <w:spacing w:line="600" w:lineRule="exact"/>
        <w:ind w:firstLineChars="0"/>
        <w:outlineLvl w:val="1"/>
        <w:rPr>
          <w:rStyle w:val="30"/>
          <w:rFonts w:ascii="黑体" w:hAnsi="黑体" w:eastAsia="黑体"/>
          <w:b w:val="0"/>
        </w:rPr>
      </w:pPr>
      <w:bookmarkStart w:id="32" w:name="_Toc12061"/>
      <w:bookmarkStart w:id="33" w:name="_Toc15396603"/>
      <w:bookmarkStart w:id="34" w:name="_Toc79163610"/>
      <w:bookmarkStart w:id="35" w:name="_Toc15377205"/>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32"/>
      <w:bookmarkEnd w:id="33"/>
      <w:bookmarkEnd w:id="34"/>
      <w:bookmarkEnd w:id="35"/>
    </w:p>
    <w:p w14:paraId="61C8F73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2024年度收入总计223.64万元，与2023年相比，增加1.1万元，上升0.49%。主要变动原因：当年人员薪资政策变动，收入增加; 支出总计223.64万元。与2023年相比，增加1.1万元，上升0.49%。主要变动原因：当年人员薪资政策变动，支出增加。</w:t>
      </w:r>
    </w:p>
    <w:p w14:paraId="2F1291C0">
      <w:pPr>
        <w:pStyle w:val="28"/>
        <w:ind w:left="0" w:leftChars="0" w:firstLine="0" w:firstLineChars="0"/>
        <w:jc w:val="center"/>
      </w:pPr>
      <w:r>
        <w:drawing>
          <wp:inline distT="0" distB="0" distL="114300" distR="114300">
            <wp:extent cx="4705350" cy="2675890"/>
            <wp:effectExtent l="4445" t="4445" r="14605" b="17145"/>
            <wp:docPr id="136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1CCBD3F">
      <w:pPr>
        <w:pStyle w:val="28"/>
        <w:ind w:left="0" w:leftChars="0" w:firstLine="0" w:firstLineChars="0"/>
        <w:jc w:val="center"/>
        <w:rPr>
          <w:rFonts w:hint="eastAsia"/>
          <w:lang w:eastAsia="zh-CN"/>
        </w:rPr>
      </w:pPr>
      <w:r>
        <w:drawing>
          <wp:inline distT="0" distB="0" distL="114300" distR="114300">
            <wp:extent cx="4617085" cy="2497455"/>
            <wp:effectExtent l="4445" t="4445" r="11430" b="12700"/>
            <wp:docPr id="135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94E60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14:paraId="3BAD8F89">
      <w:pPr>
        <w:spacing w:line="600" w:lineRule="exact"/>
        <w:jc w:val="left"/>
        <w:rPr>
          <w:rFonts w:ascii="仿宋_GB2312" w:eastAsia="仿宋_GB2312"/>
          <w:color w:val="000000"/>
          <w:sz w:val="32"/>
          <w:szCs w:val="32"/>
        </w:rPr>
      </w:pPr>
    </w:p>
    <w:p w14:paraId="0ACF0DF8">
      <w:pPr>
        <w:pStyle w:val="40"/>
        <w:numPr>
          <w:ilvl w:val="0"/>
          <w:numId w:val="1"/>
        </w:numPr>
        <w:spacing w:line="600" w:lineRule="exact"/>
        <w:ind w:firstLineChars="0"/>
        <w:outlineLvl w:val="1"/>
        <w:rPr>
          <w:rStyle w:val="30"/>
          <w:rFonts w:ascii="黑体" w:hAnsi="黑体" w:eastAsia="黑体"/>
          <w:b w:val="0"/>
        </w:rPr>
      </w:pPr>
      <w:bookmarkStart w:id="36" w:name="_Toc15396604"/>
      <w:bookmarkStart w:id="37" w:name="_Toc15938"/>
      <w:bookmarkStart w:id="38" w:name="_Toc79163611"/>
      <w:bookmarkStart w:id="39" w:name="_Toc15377206"/>
      <w:r>
        <w:rPr>
          <w:rFonts w:hint="eastAsia" w:ascii="黑体" w:hAnsi="黑体" w:eastAsia="黑体"/>
          <w:color w:val="000000"/>
          <w:sz w:val="32"/>
          <w:szCs w:val="32"/>
        </w:rPr>
        <w:t>收</w:t>
      </w:r>
      <w:r>
        <w:rPr>
          <w:rStyle w:val="30"/>
          <w:rFonts w:hint="eastAsia" w:ascii="黑体" w:hAnsi="黑体" w:eastAsia="黑体"/>
          <w:b w:val="0"/>
        </w:rPr>
        <w:t>入决算情况说明</w:t>
      </w:r>
      <w:bookmarkEnd w:id="36"/>
      <w:bookmarkEnd w:id="37"/>
      <w:bookmarkEnd w:id="38"/>
      <w:bookmarkEnd w:id="39"/>
    </w:p>
    <w:p w14:paraId="1DEA92D2">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lang w:eastAsia="zh-CN"/>
        </w:rPr>
        <w:t>2024</w:t>
      </w:r>
      <w:r>
        <w:rPr>
          <w:rFonts w:hint="eastAsia" w:ascii="仿宋" w:hAnsi="仿宋" w:eastAsia="仿宋"/>
          <w:color w:val="000000"/>
          <w:sz w:val="32"/>
          <w:szCs w:val="32"/>
        </w:rPr>
        <w:t>年本年收入合计</w:t>
      </w:r>
      <w:r>
        <w:rPr>
          <w:rFonts w:hint="eastAsia" w:ascii="仿宋" w:hAnsi="仿宋" w:eastAsia="仿宋"/>
          <w:color w:val="000000"/>
          <w:sz w:val="32"/>
          <w:szCs w:val="32"/>
          <w:lang w:eastAsia="zh-CN"/>
        </w:rPr>
        <w:t>22</w:t>
      </w:r>
      <w:r>
        <w:rPr>
          <w:rFonts w:hint="eastAsia" w:ascii="仿宋" w:hAnsi="仿宋" w:eastAsia="仿宋"/>
          <w:color w:val="000000"/>
          <w:sz w:val="32"/>
          <w:szCs w:val="32"/>
          <w:lang w:val="en-US" w:eastAsia="zh-CN"/>
        </w:rPr>
        <w:t>3.64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eastAsia="zh-CN"/>
        </w:rPr>
        <w:t>22</w:t>
      </w:r>
      <w:r>
        <w:rPr>
          <w:rFonts w:hint="eastAsia" w:ascii="仿宋" w:hAnsi="仿宋" w:eastAsia="仿宋"/>
          <w:color w:val="000000"/>
          <w:sz w:val="32"/>
          <w:szCs w:val="32"/>
          <w:lang w:val="en-US" w:eastAsia="zh-CN"/>
        </w:rPr>
        <w:t>3.64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w:t>
      </w:r>
    </w:p>
    <w:p w14:paraId="59E99E20">
      <w:pPr>
        <w:pStyle w:val="28"/>
        <w:rPr>
          <w:rFonts w:hint="eastAsia" w:ascii="仿宋_GB2312" w:eastAsia="仿宋_GB2312"/>
          <w:color w:val="FF0000"/>
          <w:sz w:val="32"/>
          <w:szCs w:val="32"/>
          <w:lang w:eastAsia="zh-CN"/>
        </w:rPr>
      </w:pPr>
      <w:r>
        <w:rPr>
          <w:rFonts w:hint="eastAsia"/>
          <w:lang w:val="en-US" w:eastAsia="zh-CN"/>
        </w:rPr>
        <w:t xml:space="preserve">      </w:t>
      </w:r>
      <w:r>
        <w:drawing>
          <wp:inline distT="0" distB="0" distL="114300" distR="114300">
            <wp:extent cx="3925570" cy="2600325"/>
            <wp:effectExtent l="0" t="0" r="6350" b="5715"/>
            <wp:docPr id="136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图片 4" descr="IMG_256"/>
                    <pic:cNvPicPr>
                      <a:picLocks noChangeAspect="1"/>
                    </pic:cNvPicPr>
                  </pic:nvPicPr>
                  <pic:blipFill>
                    <a:blip r:embed="rId9"/>
                    <a:stretch>
                      <a:fillRect/>
                    </a:stretch>
                  </pic:blipFill>
                  <pic:spPr>
                    <a:xfrm>
                      <a:off x="0" y="0"/>
                      <a:ext cx="3925570" cy="2600325"/>
                    </a:xfrm>
                    <a:prstGeom prst="rect">
                      <a:avLst/>
                    </a:prstGeom>
                    <a:noFill/>
                    <a:ln w="9525">
                      <a:noFill/>
                    </a:ln>
                  </pic:spPr>
                </pic:pic>
              </a:graphicData>
            </a:graphic>
          </wp:inline>
        </w:drawing>
      </w:r>
    </w:p>
    <w:p w14:paraId="2D34F15B">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14:paraId="2CE63568">
      <w:pPr>
        <w:pStyle w:val="40"/>
        <w:numPr>
          <w:ilvl w:val="0"/>
          <w:numId w:val="1"/>
        </w:numPr>
        <w:spacing w:line="600" w:lineRule="exact"/>
        <w:ind w:firstLineChars="0"/>
        <w:outlineLvl w:val="1"/>
        <w:rPr>
          <w:rStyle w:val="30"/>
          <w:rFonts w:ascii="黑体" w:hAnsi="黑体" w:eastAsia="黑体"/>
          <w:b w:val="0"/>
        </w:rPr>
      </w:pPr>
      <w:bookmarkStart w:id="40" w:name="_Toc15377207"/>
      <w:bookmarkStart w:id="41" w:name="_Toc15396605"/>
      <w:bookmarkStart w:id="42" w:name="_Toc79163612"/>
      <w:bookmarkStart w:id="43" w:name="_Toc30887"/>
      <w:r>
        <w:rPr>
          <w:rFonts w:hint="eastAsia" w:ascii="黑体" w:hAnsi="黑体" w:eastAsia="黑体"/>
          <w:color w:val="000000"/>
          <w:sz w:val="32"/>
          <w:szCs w:val="32"/>
        </w:rPr>
        <w:t>支</w:t>
      </w:r>
      <w:r>
        <w:rPr>
          <w:rStyle w:val="30"/>
          <w:rFonts w:hint="eastAsia" w:ascii="黑体" w:hAnsi="黑体" w:eastAsia="黑体"/>
          <w:b w:val="0"/>
        </w:rPr>
        <w:t>出决算情况说明</w:t>
      </w:r>
      <w:bookmarkEnd w:id="40"/>
      <w:bookmarkEnd w:id="41"/>
      <w:bookmarkEnd w:id="42"/>
      <w:bookmarkEnd w:id="43"/>
    </w:p>
    <w:p w14:paraId="71F2E968">
      <w:pPr>
        <w:spacing w:line="600" w:lineRule="exact"/>
        <w:ind w:firstLine="640" w:firstLineChars="200"/>
        <w:rPr>
          <w:rFonts w:hint="default" w:ascii="仿宋" w:hAnsi="仿宋" w:eastAsia="仿宋"/>
          <w:color w:val="000000"/>
          <w:sz w:val="32"/>
          <w:szCs w:val="32"/>
          <w:shd w:val="pct10" w:color="auto" w:fill="FFFFFF"/>
          <w:lang w:val="en-US"/>
        </w:rPr>
      </w:pPr>
      <w:r>
        <w:rPr>
          <w:rFonts w:hint="eastAsia" w:ascii="仿宋_GB2312" w:eastAsia="仿宋_GB2312"/>
          <w:sz w:val="32"/>
          <w:szCs w:val="32"/>
          <w:lang w:eastAsia="zh-CN"/>
        </w:rPr>
        <w:t>2024</w:t>
      </w:r>
      <w:r>
        <w:rPr>
          <w:rFonts w:hint="eastAsia" w:ascii="仿宋_GB2312" w:eastAsia="仿宋_GB2312"/>
          <w:sz w:val="32"/>
          <w:szCs w:val="32"/>
        </w:rPr>
        <w:t>年本年支出合计</w:t>
      </w:r>
      <w:r>
        <w:rPr>
          <w:rFonts w:hint="eastAsia" w:ascii="仿宋_GB2312" w:eastAsia="仿宋_GB2312"/>
          <w:sz w:val="32"/>
          <w:szCs w:val="32"/>
          <w:lang w:eastAsia="zh-CN"/>
        </w:rPr>
        <w:t>22</w:t>
      </w:r>
      <w:r>
        <w:rPr>
          <w:rFonts w:hint="eastAsia" w:ascii="仿宋_GB2312" w:eastAsia="仿宋_GB2312"/>
          <w:sz w:val="32"/>
          <w:szCs w:val="32"/>
          <w:lang w:val="en-US" w:eastAsia="zh-CN"/>
        </w:rPr>
        <w:t>3.64</w:t>
      </w:r>
      <w:r>
        <w:rPr>
          <w:rFonts w:hint="eastAsia" w:ascii="仿宋_GB2312" w:eastAsia="仿宋_GB2312"/>
          <w:sz w:val="32"/>
          <w:szCs w:val="32"/>
        </w:rPr>
        <w:t>万元，其中：基本支出22</w:t>
      </w:r>
      <w:r>
        <w:rPr>
          <w:rFonts w:hint="eastAsia" w:ascii="仿宋_GB2312" w:eastAsia="仿宋_GB2312"/>
          <w:sz w:val="32"/>
          <w:szCs w:val="32"/>
          <w:lang w:val="en-US" w:eastAsia="zh-CN"/>
        </w:rPr>
        <w:t>3.64</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val="en-US" w:eastAsia="zh-CN"/>
        </w:rPr>
        <w:t xml:space="preserve"> 。</w:t>
      </w:r>
    </w:p>
    <w:p w14:paraId="6B7AD3EA">
      <w:pPr>
        <w:pStyle w:val="28"/>
        <w:jc w:val="center"/>
        <w:rPr>
          <w:rFonts w:hint="eastAsia" w:ascii="仿宋" w:hAnsi="仿宋" w:eastAsia="仿宋"/>
          <w:color w:val="000000"/>
          <w:sz w:val="32"/>
          <w:szCs w:val="32"/>
          <w:shd w:val="pct10" w:color="auto" w:fill="FFFFFF"/>
          <w:lang w:eastAsia="zh-CN"/>
        </w:rPr>
      </w:pPr>
      <w: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C5D83C">
      <w:pPr>
        <w:spacing w:line="600" w:lineRule="exact"/>
        <w:ind w:firstLine="1280" w:firstLineChars="4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14:paraId="04A4BC86">
      <w:pPr>
        <w:spacing w:line="600" w:lineRule="exact"/>
        <w:ind w:firstLine="640" w:firstLineChars="200"/>
        <w:outlineLvl w:val="1"/>
        <w:rPr>
          <w:rStyle w:val="30"/>
          <w:rFonts w:ascii="黑体" w:hAnsi="黑体" w:eastAsia="黑体"/>
          <w:b w:val="0"/>
        </w:rPr>
      </w:pPr>
      <w:bookmarkStart w:id="44" w:name="_Toc15396606"/>
      <w:bookmarkStart w:id="45" w:name="_Toc24427"/>
      <w:bookmarkStart w:id="46" w:name="_Toc79163613"/>
      <w:bookmarkStart w:id="47" w:name="_Toc15377208"/>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44"/>
      <w:bookmarkEnd w:id="45"/>
      <w:bookmarkEnd w:id="46"/>
      <w:bookmarkEnd w:id="47"/>
    </w:p>
    <w:p w14:paraId="31759751">
      <w:pPr>
        <w:pStyle w:val="28"/>
        <w:ind w:left="0" w:leftChars="0" w:firstLine="0" w:firstLineChars="0"/>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2024年度</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s="仿宋"/>
          <w:color w:val="000000"/>
          <w:kern w:val="2"/>
          <w:sz w:val="32"/>
          <w:szCs w:val="32"/>
          <w:lang w:val="en-US" w:eastAsia="zh-CN" w:bidi="ar"/>
        </w:rPr>
        <w:t xml:space="preserve">总计223.64万元，与2023年相比，增加1.10万元，上升0.49%。主要变动原因：当年人员薪资政策变动，收入增加; </w:t>
      </w:r>
      <w:r>
        <w:rPr>
          <w:rFonts w:hint="eastAsia" w:ascii="仿宋" w:hAnsi="仿宋" w:eastAsia="仿宋"/>
          <w:color w:val="000000"/>
          <w:sz w:val="32"/>
          <w:szCs w:val="32"/>
          <w:lang w:eastAsia="zh-CN"/>
        </w:rPr>
        <w:t>2024年</w:t>
      </w:r>
      <w:r>
        <w:rPr>
          <w:rFonts w:hint="eastAsia" w:ascii="仿宋" w:hAnsi="仿宋" w:eastAsia="仿宋"/>
          <w:color w:val="000000"/>
          <w:sz w:val="32"/>
          <w:szCs w:val="32"/>
        </w:rPr>
        <w:t>财政拨款支出</w:t>
      </w:r>
      <w:r>
        <w:rPr>
          <w:rFonts w:hint="eastAsia" w:ascii="仿宋" w:hAnsi="仿宋" w:eastAsia="仿宋" w:cs="仿宋"/>
          <w:color w:val="000000"/>
          <w:kern w:val="2"/>
          <w:sz w:val="32"/>
          <w:szCs w:val="32"/>
          <w:lang w:val="en-US" w:eastAsia="zh-CN" w:bidi="ar"/>
        </w:rPr>
        <w:t>总计223.64万元。与2023年相比，增加1.10万元，上升0.49%。主要变动原因:当年人员薪资政策变动，支出增加。</w:t>
      </w:r>
    </w:p>
    <w:p w14:paraId="743AD6D1">
      <w:pPr>
        <w:pStyle w:val="28"/>
        <w:ind w:left="0" w:leftChars="0" w:firstLine="0" w:firstLineChars="0"/>
        <w:jc w:val="center"/>
      </w:pPr>
      <w:r>
        <w:drawing>
          <wp:inline distT="0" distB="0" distL="114300" distR="114300">
            <wp:extent cx="4208780" cy="2362200"/>
            <wp:effectExtent l="4445" t="4445" r="8255" b="10795"/>
            <wp:docPr id="135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E98916">
      <w:pPr>
        <w:pStyle w:val="28"/>
        <w:ind w:left="0" w:leftChars="0" w:firstLine="0" w:firstLineChars="0"/>
        <w:jc w:val="center"/>
      </w:pPr>
      <w:r>
        <w:rPr>
          <w:rFonts w:hint="eastAsia"/>
          <w:lang w:val="en-US" w:eastAsia="zh-CN"/>
        </w:rPr>
        <w:t xml:space="preserve"> </w:t>
      </w:r>
      <w:r>
        <w:drawing>
          <wp:inline distT="0" distB="0" distL="114300" distR="114300">
            <wp:extent cx="4339590" cy="2214245"/>
            <wp:effectExtent l="4445" t="4445" r="14605" b="6350"/>
            <wp:docPr id="135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E813D7">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14:paraId="2B8C722B">
      <w:pPr>
        <w:spacing w:line="600" w:lineRule="exact"/>
        <w:ind w:firstLine="640"/>
        <w:rPr>
          <w:rFonts w:ascii="仿宋" w:hAnsi="仿宋" w:eastAsia="仿宋"/>
          <w:b/>
          <w:color w:val="00B050"/>
          <w:sz w:val="32"/>
          <w:szCs w:val="32"/>
        </w:rPr>
      </w:pPr>
    </w:p>
    <w:p w14:paraId="0DBA3D67">
      <w:pPr>
        <w:spacing w:line="600" w:lineRule="exact"/>
        <w:ind w:firstLine="640" w:firstLineChars="200"/>
        <w:outlineLvl w:val="1"/>
        <w:rPr>
          <w:rStyle w:val="30"/>
          <w:rFonts w:ascii="黑体" w:hAnsi="黑体" w:eastAsia="黑体"/>
          <w:b w:val="0"/>
        </w:rPr>
      </w:pPr>
      <w:bookmarkStart w:id="48" w:name="_Toc15377209"/>
      <w:bookmarkStart w:id="49" w:name="_Toc15396607"/>
      <w:bookmarkStart w:id="50" w:name="_Toc79163614"/>
      <w:bookmarkStart w:id="51" w:name="_Toc1663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48"/>
      <w:bookmarkEnd w:id="49"/>
      <w:bookmarkEnd w:id="50"/>
      <w:bookmarkEnd w:id="51"/>
    </w:p>
    <w:p w14:paraId="0052FDA9">
      <w:pPr>
        <w:spacing w:line="600" w:lineRule="exact"/>
        <w:ind w:firstLine="643" w:firstLineChars="200"/>
        <w:outlineLvl w:val="2"/>
        <w:rPr>
          <w:rFonts w:ascii="仿宋" w:hAnsi="仿宋" w:eastAsia="仿宋"/>
          <w:b/>
          <w:color w:val="000000"/>
          <w:sz w:val="32"/>
          <w:szCs w:val="32"/>
        </w:rPr>
      </w:pPr>
      <w:bookmarkStart w:id="52" w:name="_Toc5046"/>
      <w:bookmarkStart w:id="53" w:name="_Toc79163615"/>
      <w:bookmarkStart w:id="54" w:name="_Toc15377210"/>
      <w:r>
        <w:rPr>
          <w:rFonts w:hint="eastAsia" w:ascii="仿宋" w:hAnsi="仿宋" w:eastAsia="仿宋"/>
          <w:b/>
          <w:color w:val="000000"/>
          <w:sz w:val="32"/>
          <w:szCs w:val="32"/>
        </w:rPr>
        <w:t>（一）一般公共预算财政拨款支出决算总体情况</w:t>
      </w:r>
      <w:bookmarkEnd w:id="52"/>
      <w:bookmarkEnd w:id="53"/>
      <w:bookmarkEnd w:id="54"/>
    </w:p>
    <w:p w14:paraId="05F0B75B">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22</w:t>
      </w:r>
      <w:r>
        <w:rPr>
          <w:rFonts w:hint="eastAsia" w:ascii="仿宋" w:hAnsi="仿宋" w:eastAsia="仿宋"/>
          <w:color w:val="000000"/>
          <w:sz w:val="32"/>
          <w:szCs w:val="32"/>
          <w:lang w:val="en-US" w:eastAsia="zh-CN"/>
        </w:rPr>
        <w:t>3.64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增加1.10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上升0.49</w:t>
      </w:r>
      <w:r>
        <w:rPr>
          <w:rFonts w:ascii="仿宋" w:hAnsi="仿宋" w:eastAsia="仿宋"/>
          <w:color w:val="000000"/>
          <w:sz w:val="32"/>
          <w:szCs w:val="32"/>
        </w:rPr>
        <w:t>%</w:t>
      </w:r>
      <w:r>
        <w:rPr>
          <w:rFonts w:hint="eastAsia" w:ascii="仿宋" w:hAnsi="仿宋" w:eastAsia="仿宋"/>
          <w:color w:val="000000"/>
          <w:sz w:val="32"/>
          <w:szCs w:val="32"/>
        </w:rPr>
        <w:t>。主要</w:t>
      </w:r>
      <w:r>
        <w:rPr>
          <w:rFonts w:hint="eastAsia" w:ascii="仿宋" w:hAnsi="仿宋" w:eastAsia="仿宋"/>
          <w:color w:val="000000"/>
          <w:sz w:val="32"/>
          <w:szCs w:val="32"/>
          <w:lang w:val="en-US" w:eastAsia="zh-CN"/>
        </w:rPr>
        <w:t>变动原因为当年</w:t>
      </w:r>
      <w:r>
        <w:rPr>
          <w:rFonts w:hint="eastAsia" w:ascii="仿宋" w:hAnsi="仿宋" w:eastAsia="仿宋" w:cs="仿宋"/>
          <w:color w:val="000000"/>
          <w:kern w:val="2"/>
          <w:sz w:val="32"/>
          <w:szCs w:val="32"/>
          <w:lang w:val="en-US" w:eastAsia="zh-CN" w:bidi="ar"/>
        </w:rPr>
        <w:t>人员薪资政策变动，支出增加</w:t>
      </w:r>
      <w:r>
        <w:rPr>
          <w:rFonts w:hint="eastAsia" w:ascii="仿宋" w:hAnsi="仿宋" w:eastAsia="仿宋"/>
          <w:color w:val="000000"/>
          <w:sz w:val="32"/>
          <w:szCs w:val="32"/>
          <w:lang w:val="en-US" w:eastAsia="zh-CN"/>
        </w:rPr>
        <w:t>。</w:t>
      </w:r>
    </w:p>
    <w:p w14:paraId="4C63C112">
      <w:pPr>
        <w:pStyle w:val="28"/>
        <w:rPr>
          <w:rFonts w:hint="eastAsia" w:ascii="仿宋" w:hAnsi="仿宋" w:eastAsia="仿宋"/>
          <w:color w:val="000000"/>
          <w:sz w:val="32"/>
          <w:szCs w:val="32"/>
          <w:lang w:val="en-US" w:eastAsia="zh-CN"/>
        </w:rPr>
      </w:pPr>
      <w:r>
        <w:drawing>
          <wp:inline distT="0" distB="0" distL="114300" distR="114300">
            <wp:extent cx="4451350" cy="2510155"/>
            <wp:effectExtent l="4445" t="4445" r="9525" b="15240"/>
            <wp:docPr id="136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899DB0">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14:paraId="58E7A380">
      <w:pPr>
        <w:spacing w:line="600" w:lineRule="exact"/>
        <w:ind w:firstLine="643" w:firstLineChars="200"/>
        <w:outlineLvl w:val="2"/>
        <w:rPr>
          <w:rFonts w:ascii="仿宋" w:hAnsi="仿宋" w:eastAsia="仿宋"/>
          <w:b/>
          <w:color w:val="000000"/>
          <w:sz w:val="32"/>
          <w:szCs w:val="32"/>
        </w:rPr>
      </w:pPr>
      <w:bookmarkStart w:id="55" w:name="_Toc19073"/>
      <w:bookmarkStart w:id="56" w:name="_Toc79163616"/>
      <w:bookmarkStart w:id="57" w:name="_Toc15377211"/>
      <w:r>
        <w:rPr>
          <w:rFonts w:hint="eastAsia" w:ascii="仿宋" w:hAnsi="仿宋" w:eastAsia="仿宋"/>
          <w:b/>
          <w:color w:val="000000"/>
          <w:sz w:val="32"/>
          <w:szCs w:val="32"/>
        </w:rPr>
        <w:t>（二）一般公共预算财政拨款支出决算结构情况</w:t>
      </w:r>
      <w:bookmarkEnd w:id="55"/>
      <w:bookmarkEnd w:id="56"/>
      <w:bookmarkEnd w:id="57"/>
    </w:p>
    <w:p w14:paraId="07EA9B65">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22</w:t>
      </w:r>
      <w:r>
        <w:rPr>
          <w:rFonts w:hint="eastAsia" w:ascii="仿宋" w:hAnsi="仿宋" w:eastAsia="仿宋"/>
          <w:color w:val="000000"/>
          <w:sz w:val="32"/>
          <w:szCs w:val="32"/>
          <w:lang w:val="en-US" w:eastAsia="zh-CN"/>
        </w:rPr>
        <w:t>3.64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color w:val="000000"/>
          <w:sz w:val="32"/>
          <w:szCs w:val="32"/>
        </w:rPr>
        <w:t>支出16</w:t>
      </w:r>
      <w:r>
        <w:rPr>
          <w:rFonts w:hint="eastAsia" w:ascii="仿宋" w:hAnsi="仿宋" w:eastAsia="仿宋"/>
          <w:color w:val="000000"/>
          <w:sz w:val="32"/>
          <w:szCs w:val="32"/>
          <w:lang w:val="en-US" w:eastAsia="zh-CN"/>
        </w:rPr>
        <w:t>4.24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73.44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30.31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13.55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11.</w:t>
      </w:r>
      <w:r>
        <w:rPr>
          <w:rFonts w:hint="eastAsia" w:ascii="仿宋" w:hAnsi="仿宋" w:eastAsia="仿宋"/>
          <w:color w:val="000000"/>
          <w:sz w:val="32"/>
          <w:szCs w:val="32"/>
          <w:lang w:val="en-US" w:eastAsia="zh-CN"/>
        </w:rPr>
        <w:t>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5.35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住房保障支出</w:t>
      </w: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7.13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7.66</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129DCD13">
      <w:pPr>
        <w:pStyle w:val="28"/>
        <w:rPr>
          <w:rFonts w:hint="eastAsia"/>
          <w:lang w:val="en-US" w:eastAsia="zh-CN"/>
        </w:rPr>
      </w:pPr>
      <w:r>
        <w:rPr>
          <w:rFonts w:hint="eastAsia"/>
          <w:lang w:val="en-US" w:eastAsia="zh-CN"/>
        </w:rPr>
        <w:t xml:space="preserve">   </w:t>
      </w:r>
      <w:r>
        <w:drawing>
          <wp:inline distT="0" distB="0" distL="114300" distR="114300">
            <wp:extent cx="4098290" cy="2176145"/>
            <wp:effectExtent l="4445" t="4445" r="12065" b="13970"/>
            <wp:docPr id="136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69EFC8">
      <w:pPr>
        <w:spacing w:line="600" w:lineRule="exact"/>
        <w:ind w:firstLine="640" w:firstLineChars="200"/>
        <w:outlineLvl w:val="2"/>
        <w:rPr>
          <w:rFonts w:hint="eastAsia" w:ascii="仿宋" w:hAnsi="仿宋" w:eastAsia="仿宋"/>
          <w:color w:val="000000"/>
          <w:sz w:val="32"/>
          <w:szCs w:val="32"/>
        </w:rPr>
      </w:pPr>
      <w:bookmarkStart w:id="58" w:name="_Toc6526"/>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bookmarkEnd w:id="58"/>
      <w:bookmarkStart w:id="59" w:name="_Toc15377212"/>
      <w:bookmarkStart w:id="60" w:name="_Toc79163617"/>
    </w:p>
    <w:p w14:paraId="2D233324">
      <w:pPr>
        <w:spacing w:line="600" w:lineRule="exact"/>
        <w:ind w:firstLine="643" w:firstLineChars="200"/>
        <w:outlineLvl w:val="2"/>
        <w:rPr>
          <w:rFonts w:ascii="仿宋" w:hAnsi="仿宋" w:eastAsia="仿宋"/>
          <w:b/>
          <w:color w:val="000000"/>
          <w:sz w:val="32"/>
          <w:szCs w:val="32"/>
        </w:rPr>
      </w:pPr>
      <w:bookmarkStart w:id="61" w:name="_Toc4375"/>
      <w:r>
        <w:rPr>
          <w:rFonts w:hint="eastAsia" w:ascii="仿宋" w:hAnsi="仿宋" w:eastAsia="仿宋"/>
          <w:b/>
          <w:color w:val="000000"/>
          <w:sz w:val="32"/>
          <w:szCs w:val="32"/>
        </w:rPr>
        <w:t>（三）一般公共预算财政拨款支出决算具体情况</w:t>
      </w:r>
      <w:bookmarkEnd w:id="59"/>
      <w:bookmarkEnd w:id="60"/>
      <w:bookmarkEnd w:id="61"/>
    </w:p>
    <w:p w14:paraId="4C3EB632">
      <w:pPr>
        <w:spacing w:line="600" w:lineRule="exact"/>
        <w:ind w:firstLine="643" w:firstLineChars="200"/>
        <w:rPr>
          <w:rFonts w:ascii="仿宋_GB2312" w:eastAsia="仿宋_GB2312"/>
          <w:b/>
          <w:bCs/>
          <w:sz w:val="32"/>
          <w:szCs w:val="32"/>
        </w:rPr>
      </w:pPr>
      <w:bookmarkStart w:id="62" w:name="_Toc15378460"/>
      <w:bookmarkStart w:id="63" w:name="_Toc15377213"/>
      <w:bookmarkStart w:id="64" w:name="_Toc15377444"/>
      <w:r>
        <w:rPr>
          <w:rFonts w:hint="eastAsia" w:ascii="仿宋_GB2312" w:eastAsia="仿宋_GB2312"/>
          <w:b/>
          <w:bCs/>
          <w:sz w:val="32"/>
          <w:szCs w:val="32"/>
          <w:lang w:eastAsia="zh-CN"/>
        </w:rPr>
        <w:t>2024</w:t>
      </w:r>
      <w:r>
        <w:rPr>
          <w:rFonts w:hint="eastAsia" w:ascii="仿宋_GB2312" w:eastAsia="仿宋_GB2312"/>
          <w:b/>
          <w:bCs/>
          <w:sz w:val="32"/>
          <w:szCs w:val="32"/>
        </w:rPr>
        <w:t>年一般公共预算支出决算数为</w:t>
      </w:r>
      <w:r>
        <w:rPr>
          <w:rFonts w:hint="eastAsia" w:ascii="仿宋" w:hAnsi="仿宋" w:eastAsia="仿宋"/>
          <w:color w:val="000000"/>
          <w:sz w:val="32"/>
          <w:szCs w:val="32"/>
          <w:lang w:eastAsia="zh-CN"/>
        </w:rPr>
        <w:t>22</w:t>
      </w:r>
      <w:r>
        <w:rPr>
          <w:rFonts w:hint="eastAsia" w:ascii="仿宋" w:hAnsi="仿宋" w:eastAsia="仿宋"/>
          <w:color w:val="000000"/>
          <w:sz w:val="32"/>
          <w:szCs w:val="32"/>
          <w:lang w:val="en-US" w:eastAsia="zh-CN"/>
        </w:rPr>
        <w:t>3.64万元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100.00</w:t>
      </w:r>
      <w:r>
        <w:rPr>
          <w:rFonts w:ascii="仿宋_GB2312" w:eastAsia="仿宋_GB2312"/>
          <w:b/>
          <w:bCs/>
          <w:sz w:val="32"/>
          <w:szCs w:val="32"/>
        </w:rPr>
        <w:t>%</w:t>
      </w:r>
      <w:r>
        <w:rPr>
          <w:rFonts w:hint="eastAsia" w:ascii="仿宋_GB2312" w:eastAsia="仿宋_GB2312"/>
          <w:b/>
          <w:bCs/>
          <w:sz w:val="32"/>
          <w:szCs w:val="32"/>
        </w:rPr>
        <w:t>。其中：</w:t>
      </w:r>
      <w:bookmarkEnd w:id="62"/>
      <w:bookmarkEnd w:id="63"/>
      <w:bookmarkEnd w:id="64"/>
    </w:p>
    <w:p w14:paraId="3C0DC949">
      <w:pPr>
        <w:spacing w:line="600" w:lineRule="exact"/>
        <w:ind w:firstLine="643" w:firstLineChars="200"/>
        <w:rPr>
          <w:rFonts w:ascii="仿宋" w:hAnsi="仿宋" w:eastAsia="仿宋"/>
          <w:b/>
          <w:color w:val="000000"/>
          <w:sz w:val="32"/>
          <w:szCs w:val="32"/>
        </w:rPr>
      </w:pPr>
      <w:r>
        <w:rPr>
          <w:rStyle w:val="26"/>
          <w:rFonts w:ascii="仿宋" w:hAnsi="仿宋" w:eastAsia="仿宋"/>
          <w:bCs/>
          <w:color w:val="000000"/>
          <w:sz w:val="32"/>
          <w:szCs w:val="32"/>
        </w:rPr>
        <w:t>1.</w:t>
      </w:r>
      <w:r>
        <w:rPr>
          <w:rStyle w:val="26"/>
          <w:rFonts w:hint="eastAsia" w:ascii="仿宋" w:hAnsi="仿宋" w:eastAsia="仿宋"/>
          <w:bCs/>
          <w:color w:val="000000"/>
          <w:sz w:val="32"/>
          <w:szCs w:val="32"/>
        </w:rPr>
        <w:t>一般公共服务（类）</w:t>
      </w:r>
      <w:r>
        <w:rPr>
          <w:rStyle w:val="26"/>
          <w:rFonts w:hint="eastAsia" w:ascii="仿宋" w:hAnsi="仿宋" w:eastAsia="仿宋"/>
          <w:bCs/>
          <w:color w:val="000000"/>
          <w:sz w:val="32"/>
          <w:szCs w:val="32"/>
          <w:lang w:val="en-US" w:eastAsia="zh-CN"/>
        </w:rPr>
        <w:t>信访事务</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款</w:t>
      </w:r>
      <w:r>
        <w:rPr>
          <w:rStyle w:val="26"/>
          <w:rFonts w:hint="eastAsia" w:ascii="仿宋" w:hAnsi="仿宋" w:eastAsia="仿宋"/>
          <w:bCs/>
          <w:color w:val="000000"/>
          <w:sz w:val="32"/>
          <w:szCs w:val="32"/>
        </w:rPr>
        <w:t>）行政运行（项）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100.65</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78FE0CD8">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2</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一般公共服务（类）</w:t>
      </w:r>
      <w:r>
        <w:rPr>
          <w:rStyle w:val="26"/>
          <w:rFonts w:hint="eastAsia" w:ascii="仿宋" w:hAnsi="仿宋" w:eastAsia="仿宋"/>
          <w:bCs/>
          <w:color w:val="000000"/>
          <w:sz w:val="32"/>
          <w:szCs w:val="32"/>
          <w:lang w:val="en-US" w:eastAsia="zh-CN"/>
        </w:rPr>
        <w:t>信访事务</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款</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机关服务</w:t>
      </w:r>
      <w:r>
        <w:rPr>
          <w:rStyle w:val="26"/>
          <w:rFonts w:hint="eastAsia" w:ascii="仿宋" w:hAnsi="仿宋" w:eastAsia="仿宋"/>
          <w:bCs/>
          <w:color w:val="000000"/>
          <w:sz w:val="32"/>
          <w:szCs w:val="32"/>
        </w:rPr>
        <w:t>（项）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支出决算为6</w:t>
      </w:r>
      <w:r>
        <w:rPr>
          <w:rStyle w:val="26"/>
          <w:rFonts w:hint="eastAsia" w:ascii="仿宋" w:hAnsi="仿宋" w:eastAsia="仿宋"/>
          <w:b w:val="0"/>
          <w:bCs/>
          <w:color w:val="000000"/>
          <w:sz w:val="32"/>
          <w:szCs w:val="32"/>
          <w:lang w:val="en-US" w:eastAsia="zh-CN"/>
        </w:rPr>
        <w:t>3.59</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4D067DA">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3</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社会保障和就业支出（类）行政事业单位养老支出（款）机关事业单位基本养老保险缴费支出（项）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支出决算为20.</w:t>
      </w:r>
      <w:r>
        <w:rPr>
          <w:rStyle w:val="26"/>
          <w:rFonts w:hint="eastAsia" w:ascii="仿宋" w:hAnsi="仿宋" w:eastAsia="仿宋"/>
          <w:b w:val="0"/>
          <w:bCs/>
          <w:color w:val="000000"/>
          <w:sz w:val="32"/>
          <w:szCs w:val="32"/>
          <w:lang w:val="en-US" w:eastAsia="zh-CN"/>
        </w:rPr>
        <w:t>40</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235885E">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4</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社会保障和就业支出（类）行政事业单位养老支出（款）机关事业单位职业年金缴费支出（项）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9.91</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463EE84B">
      <w:pPr>
        <w:spacing w:line="60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lang w:val="en-US" w:eastAsia="zh-CN"/>
        </w:rPr>
        <w:t>5</w:t>
      </w:r>
      <w:r>
        <w:rPr>
          <w:rStyle w:val="26"/>
          <w:rFonts w:ascii="仿宋" w:hAnsi="仿宋" w:eastAsia="仿宋"/>
          <w:bCs/>
          <w:color w:val="000000"/>
          <w:sz w:val="32"/>
          <w:szCs w:val="32"/>
        </w:rPr>
        <w:t>.</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（类）行政事业单位医疗（款）行政单位医疗（项）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6.33</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0043BFC5">
      <w:pPr>
        <w:spacing w:line="600" w:lineRule="exact"/>
        <w:ind w:firstLine="643" w:firstLineChars="200"/>
        <w:rPr>
          <w:rFonts w:ascii="仿宋" w:hAnsi="仿宋" w:eastAsia="仿宋"/>
          <w:b/>
          <w:color w:val="000000"/>
          <w:sz w:val="32"/>
          <w:szCs w:val="32"/>
        </w:rPr>
      </w:pPr>
      <w:r>
        <w:rPr>
          <w:rStyle w:val="26"/>
          <w:rFonts w:ascii="仿宋" w:hAnsi="仿宋" w:eastAsia="仿宋"/>
          <w:bCs/>
          <w:color w:val="000000"/>
          <w:sz w:val="32"/>
          <w:szCs w:val="32"/>
        </w:rPr>
        <w:t>6.</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w:t>
      </w:r>
      <w:r>
        <w:rPr>
          <w:rStyle w:val="26"/>
          <w:rFonts w:hint="eastAsia" w:ascii="仿宋" w:hAnsi="仿宋" w:eastAsia="仿宋"/>
          <w:bCs/>
          <w:color w:val="000000"/>
          <w:sz w:val="32"/>
          <w:szCs w:val="32"/>
          <w:lang w:val="en-US" w:eastAsia="zh-CN"/>
        </w:rPr>
        <w:t>事业</w:t>
      </w:r>
      <w:r>
        <w:rPr>
          <w:rStyle w:val="26"/>
          <w:rFonts w:hint="eastAsia" w:ascii="仿宋" w:hAnsi="仿宋" w:eastAsia="仿宋"/>
          <w:bCs/>
          <w:color w:val="000000"/>
          <w:sz w:val="32"/>
          <w:szCs w:val="32"/>
        </w:rPr>
        <w:t>单位医疗（项）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支出决算为3.6</w:t>
      </w:r>
      <w:r>
        <w:rPr>
          <w:rStyle w:val="26"/>
          <w:rFonts w:hint="eastAsia" w:ascii="仿宋" w:hAnsi="仿宋" w:eastAsia="仿宋"/>
          <w:b w:val="0"/>
          <w:bCs/>
          <w:color w:val="000000"/>
          <w:sz w:val="32"/>
          <w:szCs w:val="32"/>
          <w:lang w:val="en-US" w:eastAsia="zh-CN"/>
        </w:rPr>
        <w:t>9</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38E9210">
      <w:pPr>
        <w:pStyle w:val="18"/>
      </w:pPr>
    </w:p>
    <w:p w14:paraId="656ED7FD">
      <w:pPr>
        <w:numPr>
          <w:ilvl w:val="0"/>
          <w:numId w:val="0"/>
        </w:numPr>
        <w:spacing w:line="600" w:lineRule="exact"/>
        <w:ind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7.</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（类）行政事业单位医疗（款）公务员医疗补助（项）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支出决算为1.0</w:t>
      </w:r>
      <w:r>
        <w:rPr>
          <w:rStyle w:val="26"/>
          <w:rFonts w:hint="eastAsia" w:ascii="仿宋" w:hAnsi="仿宋" w:eastAsia="仿宋"/>
          <w:b w:val="0"/>
          <w:bCs/>
          <w:color w:val="000000"/>
          <w:sz w:val="32"/>
          <w:szCs w:val="32"/>
          <w:lang w:val="en-US" w:eastAsia="zh-CN"/>
        </w:rPr>
        <w:t>0</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56DECAE3">
      <w:pPr>
        <w:numPr>
          <w:ilvl w:val="0"/>
          <w:numId w:val="0"/>
        </w:numPr>
        <w:spacing w:line="600" w:lineRule="exact"/>
        <w:ind w:left="0" w:leftChars="0"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8.</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（类）行政事业单位医疗（款）其他行政事业单位医疗支出（项）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支出决算为0.</w:t>
      </w:r>
      <w:r>
        <w:rPr>
          <w:rStyle w:val="26"/>
          <w:rFonts w:hint="eastAsia" w:ascii="仿宋" w:hAnsi="仿宋" w:eastAsia="仿宋"/>
          <w:b w:val="0"/>
          <w:bCs/>
          <w:color w:val="000000"/>
          <w:sz w:val="32"/>
          <w:szCs w:val="32"/>
          <w:lang w:val="en-US" w:eastAsia="zh-CN"/>
        </w:rPr>
        <w:t>95</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68E8215">
      <w:pPr>
        <w:numPr>
          <w:ilvl w:val="0"/>
          <w:numId w:val="0"/>
        </w:numPr>
        <w:spacing w:line="600" w:lineRule="exact"/>
        <w:ind w:left="0" w:leftChars="0" w:firstLine="640" w:firstLineChars="200"/>
        <w:rPr>
          <w:rFonts w:hint="default" w:eastAsia="宋体"/>
          <w:lang w:val="en-US" w:eastAsia="zh-CN"/>
        </w:rPr>
      </w:pPr>
      <w:r>
        <w:rPr>
          <w:rStyle w:val="26"/>
          <w:rFonts w:hint="eastAsia" w:ascii="仿宋" w:hAnsi="仿宋" w:eastAsia="仿宋"/>
          <w:b w:val="0"/>
          <w:bCs/>
          <w:color w:val="000000"/>
          <w:sz w:val="32"/>
          <w:szCs w:val="32"/>
          <w:lang w:val="en-US" w:eastAsia="zh-CN"/>
        </w:rPr>
        <w:t>9.</w:t>
      </w:r>
      <w:r>
        <w:rPr>
          <w:rFonts w:hint="eastAsia" w:ascii="仿宋" w:hAnsi="仿宋" w:eastAsia="仿宋" w:cs="Times New Roman"/>
          <w:b/>
          <w:bCs/>
          <w:color w:val="000000"/>
          <w:kern w:val="2"/>
          <w:sz w:val="32"/>
          <w:szCs w:val="32"/>
          <w:lang w:val="en-US" w:eastAsia="zh-CN" w:bidi="ar-SA"/>
        </w:rPr>
        <w:t>住房保障支出（类）住房改革支出（款）住房公积金（项）：</w:t>
      </w:r>
      <w:r>
        <w:rPr>
          <w:rStyle w:val="26"/>
          <w:rFonts w:hint="eastAsia" w:ascii="仿宋" w:hAnsi="仿宋" w:eastAsia="仿宋"/>
          <w:b w:val="0"/>
          <w:bCs/>
          <w:color w:val="000000"/>
          <w:sz w:val="32"/>
          <w:szCs w:val="32"/>
        </w:rPr>
        <w:t>支出决算为1</w:t>
      </w:r>
      <w:r>
        <w:rPr>
          <w:rStyle w:val="26"/>
          <w:rFonts w:hint="eastAsia" w:ascii="仿宋" w:hAnsi="仿宋" w:eastAsia="仿宋"/>
          <w:b w:val="0"/>
          <w:bCs/>
          <w:color w:val="000000"/>
          <w:sz w:val="32"/>
          <w:szCs w:val="32"/>
          <w:lang w:val="en-US" w:eastAsia="zh-CN"/>
        </w:rPr>
        <w:t>7.13</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C195451">
      <w:pPr>
        <w:tabs>
          <w:tab w:val="right" w:pos="8306"/>
        </w:tabs>
        <w:spacing w:line="600" w:lineRule="exact"/>
        <w:ind w:firstLine="640"/>
        <w:outlineLvl w:val="1"/>
        <w:rPr>
          <w:rStyle w:val="30"/>
        </w:rPr>
      </w:pPr>
      <w:bookmarkStart w:id="65" w:name="_Toc79163618"/>
      <w:bookmarkStart w:id="66" w:name="_Toc15396608"/>
      <w:bookmarkStart w:id="67" w:name="_Toc139"/>
      <w:bookmarkStart w:id="6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65"/>
      <w:bookmarkEnd w:id="66"/>
      <w:bookmarkEnd w:id="67"/>
      <w:bookmarkEnd w:id="68"/>
      <w:r>
        <w:rPr>
          <w:rStyle w:val="30"/>
          <w:rFonts w:ascii="黑体" w:hAnsi="黑体" w:eastAsia="黑体"/>
          <w:b w:val="0"/>
        </w:rPr>
        <w:tab/>
      </w:r>
    </w:p>
    <w:p w14:paraId="33423089">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2024</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164.24</w:t>
      </w:r>
      <w:r>
        <w:rPr>
          <w:rFonts w:hint="eastAsia" w:ascii="仿宋" w:hAnsi="仿宋" w:eastAsia="仿宋"/>
          <w:color w:val="000000"/>
          <w:sz w:val="32"/>
          <w:szCs w:val="32"/>
        </w:rPr>
        <w:t>万元，其中：</w:t>
      </w:r>
    </w:p>
    <w:p w14:paraId="73F11D1D">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151.82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42C6FA5A">
      <w:pPr>
        <w:spacing w:line="600" w:lineRule="exact"/>
        <w:ind w:firstLine="640" w:firstLineChars="200"/>
        <w:rPr>
          <w:rFonts w:ascii="仿宋" w:hAnsi="仿宋" w:eastAsia="仿宋"/>
          <w:b/>
          <w:color w:val="FF0000"/>
          <w:sz w:val="32"/>
          <w:szCs w:val="32"/>
        </w:rPr>
      </w:pPr>
      <w:r>
        <w:rPr>
          <w:rFonts w:hint="eastAsia" w:ascii="仿宋" w:hAnsi="仿宋" w:eastAsia="仿宋"/>
          <w:color w:val="000000"/>
          <w:sz w:val="32"/>
          <w:szCs w:val="32"/>
        </w:rPr>
        <w:t>日常公用经费1</w:t>
      </w:r>
      <w:r>
        <w:rPr>
          <w:rFonts w:hint="eastAsia" w:ascii="仿宋" w:hAnsi="仿宋" w:eastAsia="仿宋"/>
          <w:color w:val="000000"/>
          <w:sz w:val="32"/>
          <w:szCs w:val="32"/>
          <w:lang w:val="en-US" w:eastAsia="zh-CN"/>
        </w:rPr>
        <w:t>2.42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FA374DC">
      <w:pPr>
        <w:spacing w:line="600" w:lineRule="exact"/>
        <w:ind w:firstLine="640"/>
        <w:outlineLvl w:val="1"/>
        <w:rPr>
          <w:rStyle w:val="30"/>
          <w:rFonts w:ascii="黑体" w:hAnsi="黑体" w:eastAsia="黑体"/>
          <w:b w:val="0"/>
        </w:rPr>
      </w:pPr>
      <w:bookmarkStart w:id="69" w:name="_Toc15377215"/>
      <w:bookmarkStart w:id="70" w:name="_Toc25505"/>
      <w:bookmarkStart w:id="71" w:name="_Toc15396609"/>
      <w:bookmarkStart w:id="72" w:name="_Toc79163619"/>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69"/>
      <w:bookmarkEnd w:id="70"/>
      <w:bookmarkEnd w:id="71"/>
      <w:bookmarkEnd w:id="72"/>
    </w:p>
    <w:p w14:paraId="3EE0130A">
      <w:pPr>
        <w:spacing w:line="600" w:lineRule="exact"/>
        <w:ind w:firstLine="640"/>
        <w:outlineLvl w:val="2"/>
        <w:rPr>
          <w:rFonts w:ascii="仿宋" w:hAnsi="仿宋" w:eastAsia="仿宋"/>
          <w:b/>
          <w:color w:val="000000"/>
          <w:sz w:val="32"/>
          <w:szCs w:val="32"/>
        </w:rPr>
      </w:pPr>
      <w:bookmarkStart w:id="73" w:name="_Toc15377216"/>
      <w:bookmarkStart w:id="74" w:name="_Toc79163620"/>
      <w:bookmarkStart w:id="75" w:name="_Toc18810"/>
      <w:r>
        <w:rPr>
          <w:rFonts w:hint="eastAsia" w:ascii="仿宋" w:hAnsi="仿宋" w:eastAsia="仿宋"/>
          <w:b/>
          <w:color w:val="000000"/>
          <w:sz w:val="32"/>
          <w:szCs w:val="32"/>
        </w:rPr>
        <w:t>（一）“三公”经费财政拨款支出决算总体情况说明</w:t>
      </w:r>
      <w:bookmarkEnd w:id="73"/>
      <w:bookmarkEnd w:id="74"/>
      <w:bookmarkEnd w:id="75"/>
    </w:p>
    <w:p w14:paraId="3268A5F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2024</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714DCD2E">
      <w:pPr>
        <w:spacing w:line="600" w:lineRule="exact"/>
        <w:ind w:firstLine="640"/>
        <w:outlineLvl w:val="2"/>
        <w:rPr>
          <w:rFonts w:ascii="仿宋" w:hAnsi="仿宋" w:eastAsia="仿宋"/>
          <w:b/>
          <w:color w:val="000000"/>
          <w:sz w:val="32"/>
          <w:szCs w:val="32"/>
        </w:rPr>
      </w:pPr>
      <w:bookmarkStart w:id="76" w:name="_Toc15377217"/>
      <w:bookmarkStart w:id="77" w:name="_Toc16467"/>
      <w:bookmarkStart w:id="78" w:name="_Toc79163621"/>
      <w:r>
        <w:rPr>
          <w:rFonts w:hint="eastAsia" w:ascii="仿宋" w:hAnsi="仿宋" w:eastAsia="仿宋"/>
          <w:b/>
          <w:color w:val="000000"/>
          <w:sz w:val="32"/>
          <w:szCs w:val="32"/>
        </w:rPr>
        <w:t>（二）“三公”经费财政拨款支出决算具体情况说明</w:t>
      </w:r>
      <w:bookmarkEnd w:id="76"/>
      <w:bookmarkEnd w:id="77"/>
      <w:bookmarkEnd w:id="78"/>
    </w:p>
    <w:p w14:paraId="266EF54F">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2024</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55BC0631">
      <w:pPr>
        <w:pStyle w:val="2"/>
        <w:rPr>
          <w:rFonts w:hint="eastAsia" w:ascii="仿宋" w:hAnsi="仿宋" w:eastAsia="仿宋"/>
          <w:color w:val="000000"/>
          <w:sz w:val="32"/>
          <w:szCs w:val="32"/>
        </w:rPr>
      </w:pPr>
    </w:p>
    <w:p w14:paraId="61A60494">
      <w:pPr>
        <w:jc w:val="center"/>
      </w:pPr>
      <w: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292C36">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14:paraId="37289CE9">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2023年与2024年均无因公出国（境）经费支出</w:t>
      </w:r>
      <w:r>
        <w:rPr>
          <w:rFonts w:hint="eastAsia" w:ascii="仿宋_GB2312" w:eastAsia="仿宋_GB2312"/>
          <w:color w:val="000000"/>
          <w:sz w:val="32"/>
          <w:szCs w:val="32"/>
        </w:rPr>
        <w:t>。</w:t>
      </w:r>
    </w:p>
    <w:p w14:paraId="683CB5F1">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14:paraId="19A8B543">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Fonts w:hint="eastAsia" w:ascii="仿宋" w:hAnsi="仿宋" w:eastAsia="仿宋"/>
          <w:color w:val="000000"/>
          <w:sz w:val="32"/>
          <w:szCs w:val="32"/>
          <w:lang w:val="en-US" w:eastAsia="zh-CN"/>
        </w:rPr>
        <w:t>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38E39D2F">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2024年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14:paraId="449B473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w:t>
      </w:r>
      <w:r>
        <w:rPr>
          <w:rFonts w:hint="eastAsia" w:ascii="仿宋_GB2312" w:eastAsia="仿宋_GB2312"/>
          <w:color w:val="000000"/>
          <w:sz w:val="32"/>
          <w:szCs w:val="32"/>
          <w:lang w:val="en-US" w:eastAsia="zh-CN"/>
        </w:rPr>
        <w:t>车辆日常</w:t>
      </w:r>
      <w:r>
        <w:rPr>
          <w:rFonts w:hint="eastAsia" w:ascii="仿宋_GB2312" w:eastAsia="仿宋_GB2312"/>
          <w:color w:val="000000"/>
          <w:sz w:val="32"/>
          <w:szCs w:val="32"/>
          <w:lang w:eastAsia="zh-CN"/>
        </w:rPr>
        <w:t>所需的维修费、</w:t>
      </w:r>
      <w:r>
        <w:rPr>
          <w:rFonts w:hint="eastAsia" w:ascii="仿宋_GB2312" w:eastAsia="仿宋_GB2312"/>
          <w:color w:val="000000"/>
          <w:sz w:val="32"/>
          <w:szCs w:val="32"/>
          <w:lang w:val="en-US" w:eastAsia="zh-CN"/>
        </w:rPr>
        <w:t>过路费、</w:t>
      </w:r>
      <w:r>
        <w:rPr>
          <w:rFonts w:hint="eastAsia" w:ascii="仿宋_GB2312" w:eastAsia="仿宋_GB2312"/>
          <w:color w:val="000000"/>
          <w:sz w:val="32"/>
          <w:szCs w:val="32"/>
          <w:lang w:eastAsia="zh-CN"/>
        </w:rPr>
        <w:t>保险费等支出</w:t>
      </w:r>
      <w:r>
        <w:rPr>
          <w:rFonts w:hint="eastAsia" w:ascii="仿宋_GB2312" w:eastAsia="仿宋_GB2312"/>
          <w:color w:val="000000"/>
          <w:sz w:val="32"/>
          <w:szCs w:val="32"/>
        </w:rPr>
        <w:t>。</w:t>
      </w:r>
    </w:p>
    <w:p w14:paraId="39ECE167">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2023年与2024年均无公务接待费支出</w:t>
      </w:r>
      <w:r>
        <w:rPr>
          <w:rFonts w:hint="eastAsia" w:ascii="仿宋_GB2312" w:eastAsia="仿宋_GB2312"/>
          <w:color w:val="000000"/>
          <w:sz w:val="32"/>
          <w:szCs w:val="32"/>
        </w:rPr>
        <w:t>。其中：</w:t>
      </w:r>
    </w:p>
    <w:p w14:paraId="5DAFF1A0">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591E053">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2367424">
      <w:pPr>
        <w:spacing w:line="600" w:lineRule="exact"/>
        <w:ind w:firstLine="640" w:firstLineChars="200"/>
        <w:rPr>
          <w:rFonts w:ascii="仿宋_GB2312" w:eastAsia="仿宋_GB2312"/>
          <w:color w:val="000000"/>
          <w:sz w:val="32"/>
          <w:szCs w:val="32"/>
        </w:rPr>
      </w:pPr>
    </w:p>
    <w:p w14:paraId="405879EE">
      <w:pPr>
        <w:spacing w:line="600" w:lineRule="exact"/>
        <w:ind w:firstLine="640"/>
        <w:outlineLvl w:val="1"/>
        <w:rPr>
          <w:rStyle w:val="30"/>
          <w:rFonts w:ascii="黑体" w:hAnsi="黑体" w:eastAsia="黑体"/>
        </w:rPr>
      </w:pPr>
      <w:bookmarkStart w:id="79" w:name="_Toc79163622"/>
      <w:bookmarkStart w:id="80" w:name="_Toc15377218"/>
      <w:bookmarkStart w:id="81" w:name="_Toc15396610"/>
      <w:bookmarkStart w:id="82" w:name="_Toc8589"/>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79"/>
      <w:bookmarkEnd w:id="80"/>
      <w:bookmarkEnd w:id="81"/>
      <w:bookmarkEnd w:id="82"/>
    </w:p>
    <w:p w14:paraId="0EA8EA55">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BF29007">
      <w:pPr>
        <w:spacing w:line="600" w:lineRule="exact"/>
        <w:ind w:firstLine="640"/>
        <w:rPr>
          <w:rFonts w:ascii="仿宋_GB2312" w:eastAsia="仿宋_GB2312"/>
          <w:color w:val="000000"/>
          <w:sz w:val="32"/>
          <w:szCs w:val="32"/>
        </w:rPr>
      </w:pPr>
    </w:p>
    <w:p w14:paraId="38AD6A6D">
      <w:pPr>
        <w:numPr>
          <w:ilvl w:val="0"/>
          <w:numId w:val="2"/>
        </w:numPr>
        <w:spacing w:line="600" w:lineRule="exact"/>
        <w:ind w:firstLine="640"/>
        <w:outlineLvl w:val="1"/>
        <w:rPr>
          <w:rStyle w:val="30"/>
          <w:rFonts w:ascii="黑体" w:hAnsi="黑体" w:eastAsia="黑体"/>
          <w:b w:val="0"/>
        </w:rPr>
      </w:pPr>
      <w:bookmarkStart w:id="83" w:name="_Toc15396611"/>
      <w:bookmarkStart w:id="84" w:name="_Toc15377219"/>
      <w:bookmarkStart w:id="85" w:name="_Toc79163623"/>
      <w:bookmarkStart w:id="86" w:name="_Toc12219"/>
      <w:r>
        <w:rPr>
          <w:rStyle w:val="30"/>
          <w:rFonts w:hint="eastAsia" w:ascii="黑体" w:hAnsi="黑体" w:eastAsia="黑体"/>
          <w:b w:val="0"/>
        </w:rPr>
        <w:t>国有资本经营预算支出决算情况说明</w:t>
      </w:r>
      <w:bookmarkEnd w:id="83"/>
      <w:bookmarkEnd w:id="84"/>
      <w:bookmarkEnd w:id="85"/>
      <w:bookmarkEnd w:id="86"/>
    </w:p>
    <w:p w14:paraId="6361E4F4">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64A1E0D">
      <w:pPr>
        <w:spacing w:line="580" w:lineRule="exact"/>
        <w:jc w:val="center"/>
        <w:rPr>
          <w:rFonts w:ascii="方正小标宋简体" w:hAnsi="方正小标宋简体" w:eastAsia="方正小标宋简体" w:cs="方正小标宋简体"/>
          <w:sz w:val="44"/>
          <w:szCs w:val="44"/>
        </w:rPr>
      </w:pPr>
    </w:p>
    <w:p w14:paraId="31A8454D">
      <w:pPr>
        <w:spacing w:line="600" w:lineRule="exact"/>
        <w:ind w:firstLine="800" w:firstLineChars="250"/>
        <w:outlineLvl w:val="1"/>
        <w:rPr>
          <w:rStyle w:val="30"/>
          <w:rFonts w:ascii="黑体" w:hAnsi="黑体" w:eastAsia="黑体"/>
        </w:rPr>
      </w:pPr>
      <w:bookmarkStart w:id="87" w:name="_Toc9744"/>
      <w:bookmarkStart w:id="88" w:name="_Toc15377221"/>
      <w:bookmarkStart w:id="89" w:name="_Toc79163624"/>
      <w:bookmarkStart w:id="90" w:name="_Toc15396612"/>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87"/>
      <w:bookmarkEnd w:id="88"/>
      <w:bookmarkEnd w:id="89"/>
      <w:bookmarkEnd w:id="90"/>
    </w:p>
    <w:p w14:paraId="47BF28A6">
      <w:pPr>
        <w:spacing w:line="600" w:lineRule="exact"/>
        <w:ind w:firstLine="643" w:firstLineChars="200"/>
        <w:outlineLvl w:val="2"/>
        <w:rPr>
          <w:rFonts w:ascii="仿宋" w:hAnsi="仿宋" w:eastAsia="仿宋"/>
          <w:color w:val="000000"/>
          <w:sz w:val="32"/>
          <w:szCs w:val="32"/>
        </w:rPr>
      </w:pPr>
      <w:bookmarkStart w:id="91" w:name="_Toc15377222"/>
      <w:bookmarkStart w:id="92" w:name="_Toc32034"/>
      <w:bookmarkStart w:id="93" w:name="_Toc79163625"/>
      <w:r>
        <w:rPr>
          <w:rFonts w:hint="eastAsia" w:ascii="仿宋" w:hAnsi="仿宋" w:eastAsia="仿宋"/>
          <w:b/>
          <w:color w:val="000000"/>
          <w:sz w:val="32"/>
          <w:szCs w:val="32"/>
        </w:rPr>
        <w:t>（一）机关运行经费支出情况</w:t>
      </w:r>
      <w:bookmarkEnd w:id="91"/>
      <w:bookmarkEnd w:id="92"/>
      <w:bookmarkEnd w:id="93"/>
    </w:p>
    <w:p w14:paraId="6053B066">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壤塘县信访工作局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7.76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1.83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19.07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基本支出减少，机关运行经费减少。</w:t>
      </w:r>
    </w:p>
    <w:p w14:paraId="0869CE4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4" w:name="_Toc79163626"/>
      <w:bookmarkStart w:id="95" w:name="_Toc13225"/>
      <w:bookmarkStart w:id="96" w:name="_Toc15377223"/>
      <w:r>
        <w:rPr>
          <w:rFonts w:hint="eastAsia" w:ascii="仿宋" w:hAnsi="仿宋" w:eastAsia="仿宋"/>
          <w:b/>
          <w:color w:val="000000"/>
          <w:sz w:val="32"/>
          <w:szCs w:val="32"/>
        </w:rPr>
        <w:t>（二）政府采购支出情况</w:t>
      </w:r>
      <w:bookmarkEnd w:id="94"/>
      <w:bookmarkEnd w:id="95"/>
      <w:bookmarkEnd w:id="96"/>
    </w:p>
    <w:p w14:paraId="5BBD7211">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壤塘县信访工作局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EA4840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24339"/>
      <w:bookmarkStart w:id="98" w:name="_Toc15377224"/>
      <w:bookmarkStart w:id="99" w:name="_Toc79163627"/>
      <w:r>
        <w:rPr>
          <w:rFonts w:hint="eastAsia" w:ascii="仿宋" w:hAnsi="仿宋" w:eastAsia="仿宋"/>
          <w:b/>
          <w:color w:val="000000"/>
          <w:sz w:val="32"/>
          <w:szCs w:val="32"/>
        </w:rPr>
        <w:t>（三）国有资产占有使用情况</w:t>
      </w:r>
      <w:bookmarkEnd w:id="97"/>
      <w:bookmarkEnd w:id="98"/>
      <w:bookmarkEnd w:id="99"/>
    </w:p>
    <w:p w14:paraId="759BA5DB">
      <w:pPr>
        <w:autoSpaceDE w:val="0"/>
        <w:autoSpaceDN w:val="0"/>
        <w:adjustRightInd w:val="0"/>
        <w:spacing w:line="600" w:lineRule="exact"/>
        <w:ind w:firstLine="640" w:firstLineChars="200"/>
        <w:jc w:val="left"/>
        <w:rPr>
          <w:rFonts w:hint="default" w:ascii="仿宋" w:hAnsi="仿宋" w:eastAsia="仿宋_GB2312"/>
          <w:b/>
          <w:color w:val="FF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壤塘县信访工作局无公务用车。</w:t>
      </w:r>
    </w:p>
    <w:p w14:paraId="3E3A044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8"/>
      <w:bookmarkStart w:id="101" w:name="_Toc10566"/>
      <w:r>
        <w:rPr>
          <w:rFonts w:hint="eastAsia" w:ascii="仿宋" w:hAnsi="仿宋" w:eastAsia="仿宋"/>
          <w:b/>
          <w:color w:val="000000"/>
          <w:sz w:val="32"/>
          <w:szCs w:val="32"/>
        </w:rPr>
        <w:t>（四）预算绩效管理情况。</w:t>
      </w:r>
      <w:bookmarkEnd w:id="100"/>
      <w:bookmarkEnd w:id="101"/>
    </w:p>
    <w:p w14:paraId="779E5D0A">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根根据预算绩效管理要求，本单位在年初预算编制阶段，组织对</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14:paraId="0E53A20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阿坝州壤塘县信访工作局</w:t>
      </w:r>
      <w:r>
        <w:rPr>
          <w:rFonts w:hint="eastAsia" w:ascii="仿宋_GB2312" w:hAnsi="仿宋_GB2312" w:eastAsia="仿宋_GB2312" w:cs="仿宋_GB2312"/>
          <w:sz w:val="32"/>
          <w:szCs w:val="32"/>
        </w:rPr>
        <w:t>（含部门预算项目）绩效自评报告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阿坝州壤塘县信访工作局会</w:t>
      </w:r>
      <w:r>
        <w:rPr>
          <w:rFonts w:hint="eastAsia" w:ascii="仿宋_GB2312" w:hAnsi="仿宋_GB2312" w:eastAsia="仿宋_GB2312" w:cs="仿宋_GB2312"/>
          <w:sz w:val="32"/>
          <w:szCs w:val="32"/>
        </w:rPr>
        <w:t>（含部门预算项目）绩效自评得分为</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val="en-US" w:eastAsia="zh-CN"/>
        </w:rPr>
        <w:t>本次部门整体支出绩效自评得分为98分总体表现良好。</w:t>
      </w:r>
      <w:r>
        <w:rPr>
          <w:rFonts w:hint="eastAsia" w:ascii="仿宋_GB2312" w:hAnsi="仿宋_GB2312" w:eastAsia="仿宋_GB2312" w:cs="仿宋_GB2312"/>
          <w:sz w:val="32"/>
          <w:szCs w:val="32"/>
        </w:rPr>
        <w:t>绩效自评报告详见附件。</w:t>
      </w:r>
    </w:p>
    <w:p w14:paraId="6B7C88C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C7B01D2">
      <w:pPr>
        <w:numPr>
          <w:ilvl w:val="0"/>
          <w:numId w:val="3"/>
        </w:numPr>
        <w:spacing w:line="600" w:lineRule="exact"/>
        <w:ind w:firstLine="660" w:firstLineChars="150"/>
        <w:jc w:val="center"/>
        <w:outlineLvl w:val="0"/>
        <w:rPr>
          <w:rStyle w:val="29"/>
          <w:rFonts w:ascii="黑体" w:hAnsi="黑体" w:eastAsia="黑体"/>
          <w:b w:val="0"/>
        </w:rPr>
      </w:pPr>
      <w:bookmarkStart w:id="102" w:name="_Toc15377225"/>
      <w:bookmarkStart w:id="103" w:name="_Toc79163629"/>
      <w:bookmarkStart w:id="104" w:name="_Toc15396613"/>
      <w:bookmarkStart w:id="105" w:name="_Toc30986"/>
      <w:r>
        <w:rPr>
          <w:rFonts w:hint="eastAsia" w:ascii="黑体" w:hAnsi="黑体" w:eastAsia="黑体"/>
          <w:color w:val="000000"/>
          <w:sz w:val="44"/>
          <w:szCs w:val="44"/>
        </w:rPr>
        <w:t>名</w:t>
      </w:r>
      <w:r>
        <w:rPr>
          <w:rStyle w:val="29"/>
          <w:rFonts w:hint="eastAsia" w:ascii="黑体" w:hAnsi="黑体" w:eastAsia="黑体"/>
          <w:b w:val="0"/>
        </w:rPr>
        <w:t>词解释</w:t>
      </w:r>
      <w:bookmarkEnd w:id="102"/>
      <w:bookmarkEnd w:id="103"/>
      <w:bookmarkEnd w:id="104"/>
      <w:bookmarkEnd w:id="105"/>
    </w:p>
    <w:p w14:paraId="346E3EA3">
      <w:pPr>
        <w:spacing w:line="600" w:lineRule="exact"/>
        <w:jc w:val="left"/>
        <w:rPr>
          <w:rFonts w:ascii="宋体"/>
          <w:b/>
          <w:color w:val="000000"/>
          <w:sz w:val="44"/>
          <w:szCs w:val="44"/>
        </w:rPr>
      </w:pPr>
    </w:p>
    <w:p w14:paraId="6D77A6EC">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0491459">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3AE803E9">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6C91FF94">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14:paraId="300B32A6">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08B38D64">
      <w:pPr>
        <w:pStyle w:val="39"/>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41947D67">
      <w:pPr>
        <w:ind w:firstLine="640" w:firstLineChars="200"/>
        <w:rPr>
          <w:rFonts w:hint="eastAsia"/>
          <w:lang w:eastAsia="zh-CN"/>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w:t>
      </w:r>
      <w:r>
        <w:rPr>
          <w:rFonts w:hint="eastAsia" w:ascii="仿宋_GB2312" w:hAnsi="Times New Roman" w:eastAsia="仿宋_GB2312" w:cs="Times New Roman"/>
          <w:color w:val="000000"/>
          <w:sz w:val="32"/>
          <w:szCs w:val="32"/>
          <w:lang w:eastAsia="zh-CN"/>
        </w:rPr>
        <w:t>指</w:t>
      </w:r>
      <w:r>
        <w:rPr>
          <w:rFonts w:hint="eastAsia" w:ascii="仿宋_GB2312" w:hAnsi="Times New Roman" w:eastAsia="仿宋_GB2312" w:cs="Times New Roman"/>
          <w:color w:val="000000"/>
          <w:sz w:val="32"/>
          <w:szCs w:val="32"/>
          <w:lang w:val="en-US" w:eastAsia="zh-CN"/>
        </w:rPr>
        <w:t>行政单位（包括实行公务员管理的事业单位）的基本支出</w:t>
      </w:r>
      <w:r>
        <w:rPr>
          <w:rFonts w:hint="eastAsia" w:ascii="仿宋_GB2312" w:hAnsi="Times New Roman" w:eastAsia="仿宋_GB2312" w:cs="Times New Roman"/>
          <w:color w:val="000000"/>
          <w:sz w:val="32"/>
          <w:szCs w:val="32"/>
          <w:lang w:eastAsia="zh-CN"/>
        </w:rPr>
        <w:t>。</w:t>
      </w:r>
    </w:p>
    <w:p w14:paraId="016DC535">
      <w:pPr>
        <w:ind w:firstLine="640" w:firstLineChars="200"/>
        <w:rPr>
          <w:rFonts w:hint="eastAsia" w:ascii="仿宋_GB2312" w:hAnsi="Times New Roman" w:eastAsia="仿宋_GB2312" w:cs="Times New Roman"/>
          <w:color w:val="000000"/>
          <w:sz w:val="32"/>
          <w:szCs w:val="32"/>
          <w:lang w:eastAsia="zh-CN"/>
        </w:rPr>
      </w:pPr>
      <w:r>
        <w:rPr>
          <w:rFonts w:hint="eastAsia" w:ascii="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hAnsi="Times New Roman" w:eastAsia="仿宋_GB2312" w:cs="Times New Roman"/>
          <w:color w:val="000000"/>
          <w:sz w:val="32"/>
          <w:szCs w:val="32"/>
          <w:lang w:val="en-US" w:eastAsia="zh-CN"/>
        </w:rPr>
        <w:t>信访事务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各级政府用于接待群众来信来访方面的支出</w:t>
      </w:r>
      <w:r>
        <w:rPr>
          <w:rFonts w:hint="eastAsia" w:ascii="仿宋_GB2312" w:hAnsi="Times New Roman" w:eastAsia="仿宋_GB2312" w:cs="Times New Roman"/>
          <w:color w:val="000000"/>
          <w:sz w:val="32"/>
          <w:szCs w:val="32"/>
          <w:lang w:eastAsia="zh-CN"/>
        </w:rPr>
        <w:t>。</w:t>
      </w:r>
    </w:p>
    <w:p w14:paraId="502D0B9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14:paraId="5A59479D">
      <w:pPr>
        <w:ind w:firstLine="640" w:firstLineChars="200"/>
        <w:rPr>
          <w:rFonts w:hint="eastAsia"/>
          <w:lang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障和就业（类）</w:t>
      </w:r>
      <w:r>
        <w:rPr>
          <w:rFonts w:hint="eastAsia" w:ascii="仿宋_GB2312" w:hAnsi="Times New Roman" w:eastAsia="仿宋_GB2312" w:cs="Times New Roman"/>
          <w:color w:val="000000"/>
          <w:sz w:val="32"/>
          <w:szCs w:val="32"/>
          <w:lang w:val="en-US" w:eastAsia="zh-CN"/>
        </w:rPr>
        <w:t>行政事业单位养老支出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14:paraId="08BC517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.卫生健康支出（类）行政事业单位医疗（款）行政单位医疗（项）：指财政部门集中安排的行政单位基本医疗保险缴费经费。</w:t>
      </w:r>
    </w:p>
    <w:p w14:paraId="23FBCBC6">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14:paraId="6E527581">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14:paraId="1F24FE2A">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14:paraId="08130E0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14:paraId="0CE8E308">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EEBE0F">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A045B1">
      <w:pPr>
        <w:pStyle w:val="18"/>
        <w:rPr>
          <w:rFonts w:hint="eastAsia" w:ascii="仿宋_GB2312" w:hAnsi="Times New Roman" w:eastAsia="仿宋_GB2312" w:cs="Times New Roman"/>
          <w:color w:val="000000"/>
          <w:sz w:val="32"/>
          <w:szCs w:val="32"/>
          <w:lang w:eastAsia="zh-CN"/>
        </w:rPr>
      </w:pPr>
    </w:p>
    <w:p w14:paraId="62A1BB85">
      <w:pPr>
        <w:pStyle w:val="2"/>
        <w:rPr>
          <w:rFonts w:hint="eastAsia" w:ascii="仿宋_GB2312" w:hAnsi="Times New Roman" w:eastAsia="仿宋_GB2312" w:cs="Times New Roman"/>
          <w:color w:val="000000"/>
          <w:sz w:val="32"/>
          <w:szCs w:val="32"/>
          <w:lang w:eastAsia="zh-CN"/>
        </w:rPr>
      </w:pPr>
    </w:p>
    <w:p w14:paraId="7EFB4685">
      <w:pPr>
        <w:pStyle w:val="2"/>
        <w:rPr>
          <w:rFonts w:hint="eastAsia" w:ascii="仿宋_GB2312" w:hAnsi="Times New Roman" w:eastAsia="仿宋_GB2312" w:cs="Times New Roman"/>
          <w:color w:val="000000"/>
          <w:sz w:val="32"/>
          <w:szCs w:val="32"/>
          <w:lang w:eastAsia="zh-CN"/>
        </w:rPr>
      </w:pPr>
    </w:p>
    <w:p w14:paraId="12830A2A">
      <w:pPr>
        <w:pStyle w:val="2"/>
        <w:rPr>
          <w:rFonts w:hint="eastAsia" w:ascii="仿宋_GB2312" w:hAnsi="Times New Roman" w:eastAsia="仿宋_GB2312" w:cs="Times New Roman"/>
          <w:color w:val="000000"/>
          <w:sz w:val="32"/>
          <w:szCs w:val="32"/>
          <w:lang w:eastAsia="zh-CN"/>
        </w:rPr>
      </w:pPr>
    </w:p>
    <w:p w14:paraId="471293AF">
      <w:pPr>
        <w:pStyle w:val="2"/>
        <w:rPr>
          <w:rFonts w:hint="eastAsia" w:ascii="仿宋_GB2312" w:hAnsi="Times New Roman" w:eastAsia="仿宋_GB2312" w:cs="Times New Roman"/>
          <w:color w:val="000000"/>
          <w:sz w:val="32"/>
          <w:szCs w:val="32"/>
          <w:lang w:eastAsia="zh-CN"/>
        </w:rPr>
      </w:pPr>
    </w:p>
    <w:p w14:paraId="3ACC76CD">
      <w:pPr>
        <w:pStyle w:val="2"/>
        <w:rPr>
          <w:rFonts w:hint="eastAsia" w:ascii="仿宋_GB2312" w:hAnsi="Times New Roman" w:eastAsia="仿宋_GB2312" w:cs="Times New Roman"/>
          <w:color w:val="000000"/>
          <w:sz w:val="32"/>
          <w:szCs w:val="32"/>
          <w:lang w:eastAsia="zh-CN"/>
        </w:rPr>
      </w:pPr>
    </w:p>
    <w:p w14:paraId="58D97F0E">
      <w:pPr>
        <w:pStyle w:val="2"/>
        <w:rPr>
          <w:rFonts w:hint="eastAsia" w:ascii="仿宋_GB2312" w:hAnsi="Times New Roman" w:eastAsia="仿宋_GB2312" w:cs="Times New Roman"/>
          <w:color w:val="000000"/>
          <w:sz w:val="32"/>
          <w:szCs w:val="32"/>
          <w:lang w:eastAsia="zh-CN"/>
        </w:rPr>
      </w:pPr>
    </w:p>
    <w:p w14:paraId="47C6837B">
      <w:pPr>
        <w:pStyle w:val="2"/>
        <w:rPr>
          <w:rFonts w:hint="eastAsia" w:ascii="仿宋_GB2312" w:hAnsi="Times New Roman" w:eastAsia="仿宋_GB2312" w:cs="Times New Roman"/>
          <w:color w:val="000000"/>
          <w:sz w:val="32"/>
          <w:szCs w:val="32"/>
          <w:lang w:eastAsia="zh-CN"/>
        </w:rPr>
      </w:pPr>
    </w:p>
    <w:p w14:paraId="352E21B2">
      <w:pPr>
        <w:pStyle w:val="2"/>
        <w:rPr>
          <w:rFonts w:hint="eastAsia" w:ascii="仿宋_GB2312" w:hAnsi="Times New Roman" w:eastAsia="仿宋_GB2312" w:cs="Times New Roman"/>
          <w:color w:val="000000"/>
          <w:sz w:val="32"/>
          <w:szCs w:val="32"/>
          <w:lang w:eastAsia="zh-CN"/>
        </w:rPr>
      </w:pPr>
    </w:p>
    <w:p w14:paraId="39DA4950">
      <w:pPr>
        <w:pStyle w:val="2"/>
        <w:rPr>
          <w:rFonts w:hint="eastAsia" w:ascii="仿宋_GB2312" w:hAnsi="Times New Roman" w:eastAsia="仿宋_GB2312" w:cs="Times New Roman"/>
          <w:color w:val="000000"/>
          <w:sz w:val="32"/>
          <w:szCs w:val="32"/>
          <w:lang w:eastAsia="zh-CN"/>
        </w:rPr>
      </w:pPr>
    </w:p>
    <w:p w14:paraId="1F2A437C">
      <w:pPr>
        <w:pStyle w:val="2"/>
        <w:rPr>
          <w:rFonts w:hint="eastAsia" w:ascii="仿宋_GB2312" w:hAnsi="Times New Roman" w:eastAsia="仿宋_GB2312" w:cs="Times New Roman"/>
          <w:color w:val="000000"/>
          <w:sz w:val="32"/>
          <w:szCs w:val="32"/>
          <w:lang w:eastAsia="zh-CN"/>
        </w:rPr>
      </w:pPr>
    </w:p>
    <w:p w14:paraId="689D470A">
      <w:pPr>
        <w:pStyle w:val="2"/>
        <w:rPr>
          <w:rFonts w:hint="eastAsia" w:ascii="仿宋_GB2312" w:hAnsi="Times New Roman" w:eastAsia="仿宋_GB2312" w:cs="Times New Roman"/>
          <w:color w:val="000000"/>
          <w:sz w:val="32"/>
          <w:szCs w:val="32"/>
          <w:lang w:eastAsia="zh-CN"/>
        </w:rPr>
      </w:pPr>
    </w:p>
    <w:p w14:paraId="51BC2E54">
      <w:pPr>
        <w:pStyle w:val="2"/>
        <w:rPr>
          <w:rFonts w:hint="eastAsia" w:ascii="仿宋_GB2312" w:hAnsi="Times New Roman" w:eastAsia="仿宋_GB2312" w:cs="Times New Roman"/>
          <w:color w:val="000000"/>
          <w:sz w:val="32"/>
          <w:szCs w:val="32"/>
          <w:lang w:eastAsia="zh-CN"/>
        </w:rPr>
      </w:pPr>
    </w:p>
    <w:p w14:paraId="7E837382">
      <w:pPr>
        <w:spacing w:line="600" w:lineRule="exact"/>
        <w:jc w:val="center"/>
        <w:outlineLvl w:val="0"/>
        <w:rPr>
          <w:rStyle w:val="29"/>
          <w:rFonts w:ascii="黑体" w:hAnsi="黑体" w:eastAsia="黑体"/>
          <w:b w:val="0"/>
        </w:rPr>
      </w:pPr>
      <w:bookmarkStart w:id="106" w:name="_Toc79163630"/>
      <w:bookmarkStart w:id="107" w:name="_Toc919"/>
      <w:bookmarkStart w:id="108" w:name="_Toc15396614"/>
      <w:bookmarkStart w:id="109" w:name="_Toc15377226"/>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106"/>
      <w:bookmarkEnd w:id="107"/>
      <w:bookmarkEnd w:id="108"/>
    </w:p>
    <w:p w14:paraId="40896418">
      <w:pPr>
        <w:spacing w:line="600" w:lineRule="exact"/>
        <w:jc w:val="left"/>
        <w:outlineLvl w:val="0"/>
        <w:rPr>
          <w:rFonts w:ascii="方正小标宋简体" w:hAnsi="方正小标宋简体" w:eastAsia="方正小标宋简体" w:cs="方正小标宋简体"/>
          <w:sz w:val="32"/>
          <w:szCs w:val="32"/>
        </w:rPr>
      </w:pPr>
      <w:bookmarkStart w:id="110" w:name="_Toc10130"/>
      <w:bookmarkStart w:id="111" w:name="_Toc79163631"/>
      <w:r>
        <w:rPr>
          <w:rFonts w:hint="eastAsia" w:ascii="黑体" w:hAnsi="黑体" w:eastAsia="黑体" w:cs="黑体"/>
          <w:sz w:val="32"/>
          <w:szCs w:val="32"/>
        </w:rPr>
        <w:t>附件</w:t>
      </w:r>
      <w:r>
        <w:rPr>
          <w:rFonts w:ascii="黑体" w:hAnsi="黑体" w:eastAsia="黑体" w:cs="黑体"/>
          <w:sz w:val="32"/>
          <w:szCs w:val="32"/>
        </w:rPr>
        <w:t>1</w:t>
      </w:r>
      <w:bookmarkEnd w:id="110"/>
      <w:bookmarkEnd w:id="111"/>
    </w:p>
    <w:p w14:paraId="03858347">
      <w:pPr>
        <w:spacing w:line="360" w:lineRule="auto"/>
        <w:jc w:val="center"/>
        <w:outlineLvl w:val="0"/>
        <w:rPr>
          <w:rFonts w:ascii="宋体" w:hAnsi="宋体" w:cs="宋体"/>
          <w:b/>
          <w:bCs/>
          <w:kern w:val="0"/>
          <w:sz w:val="44"/>
          <w:szCs w:val="44"/>
        </w:rPr>
      </w:pPr>
      <w:r>
        <w:rPr>
          <w:rFonts w:hint="eastAsia" w:ascii="宋体" w:hAnsi="宋体" w:cs="宋体"/>
          <w:b/>
          <w:bCs/>
          <w:kern w:val="0"/>
          <w:sz w:val="44"/>
          <w:szCs w:val="44"/>
        </w:rPr>
        <w:t>壤塘县信访局</w:t>
      </w:r>
      <w:r>
        <w:rPr>
          <w:rFonts w:hint="eastAsia" w:ascii="宋体" w:hAnsi="宋体" w:cs="宋体"/>
          <w:b/>
          <w:bCs/>
          <w:kern w:val="0"/>
          <w:sz w:val="44"/>
          <w:szCs w:val="44"/>
          <w:lang w:eastAsia="zh-CN"/>
        </w:rPr>
        <w:t>2024</w:t>
      </w:r>
      <w:r>
        <w:rPr>
          <w:rFonts w:hint="eastAsia" w:ascii="宋体" w:hAnsi="宋体" w:cs="宋体"/>
          <w:b/>
          <w:bCs/>
          <w:kern w:val="0"/>
          <w:sz w:val="44"/>
          <w:szCs w:val="44"/>
        </w:rPr>
        <w:t>年度部门整体支出绩效评价自评报告</w:t>
      </w:r>
    </w:p>
    <w:p w14:paraId="36C8FDB3">
      <w:pPr>
        <w:spacing w:line="360" w:lineRule="auto"/>
        <w:jc w:val="center"/>
        <w:rPr>
          <w:rFonts w:ascii="宋体" w:hAnsi="宋体" w:cs="宋体"/>
          <w:kern w:val="0"/>
          <w:szCs w:val="21"/>
        </w:rPr>
      </w:pPr>
    </w:p>
    <w:p w14:paraId="047CB90A">
      <w:pPr>
        <w:spacing w:line="360" w:lineRule="auto"/>
        <w:ind w:firstLine="643" w:firstLineChars="200"/>
        <w:outlineLvl w:val="0"/>
        <w:rPr>
          <w:rFonts w:hint="eastAsia" w:ascii="仿宋" w:hAnsi="仿宋" w:eastAsia="仿宋" w:cs="仿宋"/>
          <w:b/>
          <w:bCs/>
          <w:sz w:val="32"/>
          <w:szCs w:val="32"/>
        </w:rPr>
      </w:pPr>
      <w:r>
        <w:rPr>
          <w:rFonts w:hint="eastAsia" w:ascii="仿宋" w:hAnsi="仿宋" w:eastAsia="仿宋" w:cs="仿宋"/>
          <w:b/>
          <w:bCs/>
          <w:kern w:val="0"/>
          <w:sz w:val="32"/>
          <w:szCs w:val="32"/>
        </w:rPr>
        <w:t>一、部门（单位）概况</w:t>
      </w:r>
    </w:p>
    <w:p w14:paraId="2508E804">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壤塘县信访局：行政，机构地址：四川省阿坝藏族羌族自治州壤塘县壤柯镇罗吾塘前街22号，单位负责人：</w:t>
      </w:r>
      <w:r>
        <w:rPr>
          <w:rFonts w:hint="eastAsia" w:ascii="仿宋" w:hAnsi="仿宋" w:eastAsia="仿宋" w:cs="仿宋"/>
          <w:sz w:val="32"/>
          <w:szCs w:val="32"/>
          <w:lang w:val="en-US" w:eastAsia="zh-CN"/>
        </w:rPr>
        <w:t>银凤</w:t>
      </w:r>
      <w:r>
        <w:rPr>
          <w:rFonts w:hint="eastAsia" w:ascii="仿宋" w:hAnsi="仿宋" w:eastAsia="仿宋" w:cs="仿宋"/>
          <w:sz w:val="32"/>
          <w:szCs w:val="32"/>
        </w:rPr>
        <w:t>。</w:t>
      </w:r>
    </w:p>
    <w:p w14:paraId="593406F6">
      <w:pPr>
        <w:widowControl/>
        <w:adjustRightInd w:val="0"/>
        <w:snapToGrid w:val="0"/>
        <w:spacing w:line="560" w:lineRule="exact"/>
        <w:ind w:firstLine="640" w:firstLineChars="200"/>
        <w:contextualSpacing/>
        <w:jc w:val="left"/>
        <w:outlineLvl w:val="1"/>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（一）机构组成</w:t>
      </w:r>
    </w:p>
    <w:p w14:paraId="74950F28">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壤塘县信访局（简称县信访局）是壤塘县人民政府工作部门，为正科级。</w:t>
      </w:r>
    </w:p>
    <w:p w14:paraId="32448D53">
      <w:pPr>
        <w:widowControl/>
        <w:adjustRightInd w:val="0"/>
        <w:snapToGrid w:val="0"/>
        <w:spacing w:line="560" w:lineRule="exact"/>
        <w:ind w:firstLine="640" w:firstLineChars="200"/>
        <w:contextualSpacing/>
        <w:jc w:val="left"/>
        <w:rPr>
          <w:rFonts w:hint="eastAsia" w:ascii="仿宋" w:hAnsi="仿宋" w:eastAsia="仿宋" w:cs="仿宋"/>
          <w:b/>
          <w:bCs/>
          <w:sz w:val="32"/>
          <w:szCs w:val="32"/>
        </w:rPr>
      </w:pPr>
      <w:r>
        <w:rPr>
          <w:rFonts w:hint="eastAsia" w:ascii="仿宋" w:hAnsi="仿宋" w:eastAsia="仿宋" w:cs="仿宋"/>
          <w:color w:val="000000"/>
          <w:kern w:val="0"/>
          <w:sz w:val="32"/>
          <w:szCs w:val="32"/>
          <w:shd w:val="clear" w:color="auto" w:fill="FFFFFF"/>
          <w:lang w:bidi="ar"/>
        </w:rPr>
        <w:t>（二）机构职能</w:t>
      </w:r>
    </w:p>
    <w:p w14:paraId="2CAD2E36">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1.履行政治领导责任，做好理论武装和思想政治工作，负责学习、宣传、贯彻执行党的理论和路线方针政策，贯彻落实党中央、省委、州委、县委的决策部署，发挥好把方向、管大局、保落实的重要作用。</w:t>
      </w:r>
    </w:p>
    <w:p w14:paraId="3ED1FFDC">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14:paraId="5FEF52DE">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3.贯彻党管干部原则，加强干部队伍建设，完善干部培养选拔机制，加强干部教育管理监督。贯彻党管人才原则，加强人才队伍建设。加强对本单位工会、共青团、妇联等群团工作的领导。</w:t>
      </w:r>
    </w:p>
    <w:p w14:paraId="70A5D7C5">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4.履行党要管党、从严治党责任，加强对本单位党的建设的领导，落实党建工作责任制。认真履行党风廉政建设主体责任，支持纪检监察机构履行监督责任。</w:t>
      </w:r>
    </w:p>
    <w:p w14:paraId="33283C0F">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highlight w:val="none"/>
          <w:shd w:val="clear" w:color="auto" w:fill="FFFFFF"/>
          <w:lang w:bidi="ar"/>
        </w:rPr>
      </w:pPr>
      <w:r>
        <w:rPr>
          <w:rFonts w:hint="eastAsia" w:ascii="仿宋" w:hAnsi="仿宋" w:eastAsia="仿宋" w:cs="仿宋"/>
          <w:color w:val="000000"/>
          <w:kern w:val="0"/>
          <w:sz w:val="32"/>
          <w:szCs w:val="32"/>
          <w:highlight w:val="none"/>
          <w:shd w:val="clear" w:color="auto" w:fill="FFFFFF"/>
          <w:lang w:bidi="ar"/>
        </w:rPr>
        <w:t>（三）人员概况</w:t>
      </w:r>
    </w:p>
    <w:p w14:paraId="3A99835B">
      <w:pPr>
        <w:ind w:firstLine="640" w:firstLineChars="200"/>
        <w:rPr>
          <w:rFonts w:hint="eastAsia" w:ascii="仿宋" w:hAnsi="仿宋" w:eastAsia="仿宋" w:cs="仿宋"/>
          <w:sz w:val="32"/>
          <w:szCs w:val="32"/>
          <w:highlight w:val="none"/>
        </w:rPr>
      </w:pPr>
      <w:r>
        <w:rPr>
          <w:rFonts w:hint="eastAsia" w:ascii="仿宋" w:hAnsi="仿宋" w:eastAsia="仿宋" w:cs="仿宋"/>
          <w:kern w:val="0"/>
          <w:sz w:val="32"/>
          <w:szCs w:val="32"/>
          <w:highlight w:val="none"/>
          <w:lang w:val="en-US" w:eastAsia="zh-CN"/>
        </w:rPr>
        <w:t>截止2024年12月31日，</w:t>
      </w:r>
      <w:r>
        <w:rPr>
          <w:rFonts w:hint="eastAsia" w:ascii="仿宋" w:hAnsi="仿宋" w:eastAsia="仿宋" w:cs="仿宋"/>
          <w:kern w:val="0"/>
          <w:sz w:val="32"/>
          <w:szCs w:val="32"/>
          <w:highlight w:val="none"/>
        </w:rPr>
        <w:t>单位</w:t>
      </w:r>
      <w:r>
        <w:rPr>
          <w:rFonts w:hint="eastAsia" w:ascii="仿宋" w:hAnsi="仿宋" w:eastAsia="仿宋" w:cs="仿宋"/>
          <w:kern w:val="0"/>
          <w:sz w:val="32"/>
          <w:szCs w:val="32"/>
          <w:highlight w:val="none"/>
          <w:lang w:val="en-US" w:eastAsia="zh-CN"/>
        </w:rPr>
        <w:t>在职人员共6</w:t>
      </w:r>
      <w:r>
        <w:rPr>
          <w:rFonts w:hint="eastAsia" w:ascii="仿宋" w:hAnsi="仿宋" w:eastAsia="仿宋" w:cs="仿宋"/>
          <w:kern w:val="0"/>
          <w:sz w:val="32"/>
          <w:szCs w:val="32"/>
          <w:highlight w:val="none"/>
        </w:rPr>
        <w:t>人。</w:t>
      </w:r>
    </w:p>
    <w:p w14:paraId="5D8FC4AB">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二、部门财政资金收支情况</w:t>
      </w:r>
    </w:p>
    <w:p w14:paraId="0DE8AFD6">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（一）部门财政资金收入情况</w:t>
      </w:r>
    </w:p>
    <w:p w14:paraId="21CAFFF5">
      <w:pPr>
        <w:pStyle w:val="28"/>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2024</w:t>
      </w:r>
      <w:r>
        <w:rPr>
          <w:rFonts w:hint="eastAsia" w:ascii="仿宋" w:hAnsi="仿宋" w:eastAsia="仿宋" w:cs="仿宋"/>
          <w:sz w:val="32"/>
          <w:szCs w:val="32"/>
          <w:lang w:val="en-US" w:eastAsia="zh-CN"/>
        </w:rPr>
        <w:t>年财</w:t>
      </w:r>
      <w:r>
        <w:rPr>
          <w:rFonts w:hint="eastAsia" w:ascii="仿宋" w:hAnsi="仿宋" w:eastAsia="仿宋" w:cs="仿宋"/>
          <w:sz w:val="32"/>
          <w:szCs w:val="32"/>
          <w:lang w:eastAsia="zh-CN"/>
        </w:rPr>
        <w:t>政下达壤塘县信访局年初预算收入</w:t>
      </w:r>
      <w:r>
        <w:rPr>
          <w:rFonts w:hint="eastAsia" w:ascii="仿宋" w:hAnsi="仿宋" w:eastAsia="仿宋" w:cs="仿宋"/>
          <w:sz w:val="32"/>
          <w:szCs w:val="32"/>
          <w:lang w:val="en-US" w:eastAsia="zh-CN"/>
        </w:rPr>
        <w:t>179.01</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当年追加预算44.63万元，年末收入总计为223.64万元。</w:t>
      </w:r>
      <w:r>
        <w:rPr>
          <w:rFonts w:hint="eastAsia" w:ascii="仿宋" w:hAnsi="仿宋" w:eastAsia="仿宋" w:cs="仿宋"/>
          <w:sz w:val="32"/>
          <w:szCs w:val="32"/>
          <w:lang w:eastAsia="zh-CN"/>
        </w:rPr>
        <w:t xml:space="preserve">   </w:t>
      </w:r>
    </w:p>
    <w:p w14:paraId="3C8BE14E">
      <w:pPr>
        <w:widowControl/>
        <w:adjustRightInd w:val="0"/>
        <w:snapToGrid w:val="0"/>
        <w:spacing w:line="560" w:lineRule="exact"/>
        <w:ind w:firstLine="640" w:firstLineChars="200"/>
        <w:contextualSpacing/>
        <w:jc w:val="left"/>
        <w:rPr>
          <w:rFonts w:hint="default" w:ascii="仿宋" w:hAnsi="仿宋" w:eastAsia="仿宋" w:cs="仿宋"/>
          <w:sz w:val="32"/>
          <w:szCs w:val="32"/>
          <w:lang w:val="en-US" w:eastAsia="zh-CN"/>
        </w:rPr>
      </w:pPr>
      <w:r>
        <w:rPr>
          <w:rFonts w:hint="eastAsia" w:ascii="仿宋" w:hAnsi="仿宋" w:eastAsia="仿宋" w:cs="仿宋"/>
          <w:color w:val="000000"/>
          <w:kern w:val="0"/>
          <w:sz w:val="32"/>
          <w:szCs w:val="32"/>
          <w:shd w:val="clear" w:color="auto" w:fill="FFFFFF"/>
          <w:lang w:bidi="ar"/>
        </w:rPr>
        <w:t>（二）部门财政资金支出情况</w:t>
      </w:r>
    </w:p>
    <w:p w14:paraId="47CDF155">
      <w:pPr>
        <w:pStyle w:val="28"/>
        <w:spacing w:line="360" w:lineRule="auto"/>
        <w:ind w:firstLine="640"/>
        <w:rPr>
          <w:rFonts w:hint="eastAsia" w:ascii="仿宋" w:hAnsi="仿宋" w:eastAsia="仿宋" w:cs="仿宋"/>
          <w:sz w:val="32"/>
          <w:szCs w:val="32"/>
        </w:rPr>
      </w:pPr>
      <w:r>
        <w:rPr>
          <w:rFonts w:hint="eastAsia" w:ascii="仿宋" w:hAnsi="仿宋" w:eastAsia="仿宋" w:cs="仿宋"/>
          <w:sz w:val="32"/>
          <w:szCs w:val="32"/>
          <w:lang w:eastAsia="zh-CN"/>
        </w:rPr>
        <w:t>2024</w:t>
      </w:r>
      <w:r>
        <w:rPr>
          <w:rFonts w:hint="eastAsia" w:ascii="仿宋" w:hAnsi="仿宋" w:eastAsia="仿宋" w:cs="仿宋"/>
          <w:sz w:val="32"/>
          <w:szCs w:val="32"/>
        </w:rPr>
        <w:t>年</w:t>
      </w:r>
      <w:r>
        <w:rPr>
          <w:rFonts w:hint="eastAsia" w:ascii="仿宋" w:hAnsi="仿宋" w:eastAsia="仿宋" w:cs="仿宋"/>
          <w:sz w:val="32"/>
          <w:szCs w:val="32"/>
          <w:lang w:eastAsia="zh-CN"/>
        </w:rPr>
        <w:t>壤塘县信访局</w:t>
      </w:r>
      <w:r>
        <w:rPr>
          <w:rFonts w:hint="eastAsia" w:ascii="仿宋" w:hAnsi="仿宋" w:eastAsia="仿宋" w:cs="仿宋"/>
          <w:sz w:val="32"/>
          <w:szCs w:val="32"/>
        </w:rPr>
        <w:t>共计预算支出</w:t>
      </w:r>
      <w:r>
        <w:rPr>
          <w:rFonts w:hint="eastAsia" w:ascii="仿宋" w:hAnsi="仿宋" w:eastAsia="仿宋" w:cs="仿宋"/>
          <w:sz w:val="32"/>
          <w:szCs w:val="32"/>
          <w:lang w:val="en-US" w:eastAsia="zh-CN"/>
        </w:rPr>
        <w:t>223.64</w:t>
      </w:r>
      <w:r>
        <w:rPr>
          <w:rFonts w:hint="eastAsia" w:ascii="仿宋" w:hAnsi="仿宋" w:eastAsia="仿宋" w:cs="仿宋"/>
          <w:sz w:val="32"/>
          <w:szCs w:val="32"/>
        </w:rPr>
        <w:t>万元，基本支出</w:t>
      </w:r>
      <w:r>
        <w:rPr>
          <w:rFonts w:hint="eastAsia" w:ascii="仿宋" w:hAnsi="仿宋" w:eastAsia="仿宋" w:cs="仿宋"/>
          <w:sz w:val="32"/>
          <w:szCs w:val="32"/>
          <w:lang w:val="en-US" w:eastAsia="zh-CN"/>
        </w:rPr>
        <w:t>223.64</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0.00</w:t>
      </w:r>
      <w:r>
        <w:rPr>
          <w:rFonts w:hint="eastAsia" w:ascii="仿宋" w:hAnsi="仿宋" w:eastAsia="仿宋" w:cs="仿宋"/>
          <w:sz w:val="32"/>
          <w:szCs w:val="32"/>
        </w:rPr>
        <w:t>万元。</w:t>
      </w:r>
    </w:p>
    <w:p w14:paraId="1E5B7B9B">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三、部门整体预算绩效管理情况</w:t>
      </w:r>
    </w:p>
    <w:p w14:paraId="4F89E205">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（一）部门预算管理</w:t>
      </w:r>
    </w:p>
    <w:p w14:paraId="3EC68E76">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1、部门绩效目标制定情况</w:t>
      </w:r>
    </w:p>
    <w:p w14:paraId="482CEA27">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坚按照预算绩效管理要求，本部门对</w:t>
      </w:r>
      <w:r>
        <w:rPr>
          <w:rFonts w:hint="eastAsia" w:ascii="仿宋" w:hAnsi="仿宋" w:eastAsia="仿宋" w:cs="仿宋"/>
          <w:color w:val="333333"/>
          <w:kern w:val="0"/>
          <w:sz w:val="32"/>
          <w:szCs w:val="32"/>
          <w:shd w:val="clear" w:color="auto" w:fill="FFFFFF"/>
          <w:lang w:eastAsia="zh-CN"/>
        </w:rPr>
        <w:t>2024</w:t>
      </w:r>
      <w:r>
        <w:rPr>
          <w:rFonts w:hint="eastAsia" w:ascii="仿宋" w:hAnsi="仿宋" w:eastAsia="仿宋" w:cs="仿宋"/>
          <w:color w:val="333333"/>
          <w:kern w:val="0"/>
          <w:sz w:val="32"/>
          <w:szCs w:val="32"/>
          <w:shd w:val="clear" w:color="auto" w:fill="FFFFFF"/>
        </w:rPr>
        <w:t>年一般公共预算项目支出开展了绩效目标管理，共编制绩效目标覆盖率达到100%。</w:t>
      </w:r>
    </w:p>
    <w:p w14:paraId="2B33086D">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2、</w:t>
      </w:r>
      <w:r>
        <w:rPr>
          <w:rFonts w:hint="eastAsia" w:ascii="仿宋" w:hAnsi="仿宋" w:eastAsia="仿宋" w:cs="仿宋"/>
          <w:color w:val="333333"/>
          <w:kern w:val="0"/>
          <w:sz w:val="32"/>
          <w:szCs w:val="32"/>
          <w:shd w:val="clear" w:color="auto" w:fill="FFFFFF"/>
          <w:lang w:eastAsia="zh-CN"/>
        </w:rPr>
        <w:t>2024</w:t>
      </w:r>
      <w:r>
        <w:rPr>
          <w:rFonts w:hint="eastAsia" w:ascii="仿宋" w:hAnsi="仿宋" w:eastAsia="仿宋" w:cs="仿宋"/>
          <w:color w:val="333333"/>
          <w:kern w:val="0"/>
          <w:sz w:val="32"/>
          <w:szCs w:val="32"/>
          <w:shd w:val="clear" w:color="auto" w:fill="FFFFFF"/>
        </w:rPr>
        <w:t>年整体目标如下：</w:t>
      </w:r>
    </w:p>
    <w:p w14:paraId="2D862E08">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坚持以人民为中心，以社会治理创新为动力、以依法及时就地解决合理诉求为目标，深入信访工作制度改革，持续开展信访矛盾化解攻坚战，紧紧围绕信访工作目标责任，始终把信访工作摆在突出的重要位置，加强信访积案化解工作力度，强化领导干部下访，积极排查信访矛盾纠纷，解决好信访突出问题，扎实做好我县信访稳控工作，对信访重点人员落实稳控责任，逐一落实包案领导、责任单位和责任人，促进我县的社会和谐稳定。</w:t>
      </w:r>
    </w:p>
    <w:p w14:paraId="4D3BD76B">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lang w:val="en-US" w:eastAsia="zh-CN"/>
        </w:rPr>
        <w:t>3</w:t>
      </w:r>
      <w:r>
        <w:rPr>
          <w:rFonts w:hint="eastAsia" w:ascii="仿宋" w:hAnsi="仿宋" w:eastAsia="仿宋" w:cs="仿宋"/>
          <w:color w:val="333333"/>
          <w:kern w:val="0"/>
          <w:sz w:val="32"/>
          <w:szCs w:val="32"/>
          <w:shd w:val="clear" w:color="auto" w:fill="FFFFFF"/>
        </w:rPr>
        <w:t>.预算编制准确</w:t>
      </w:r>
    </w:p>
    <w:p w14:paraId="0226D498">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在预算编制中进一步夯实预算编制基础，及时更新相关基础数据，严格控制“三公”经费预算及支出，预算编制及决算编制做到了及时、完整、准确、合理、高效。</w:t>
      </w:r>
    </w:p>
    <w:p w14:paraId="2FDE644A">
      <w:pPr>
        <w:widowControl/>
        <w:numPr>
          <w:ilvl w:val="0"/>
          <w:numId w:val="4"/>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highlight w:val="none"/>
          <w:shd w:val="clear" w:color="auto" w:fill="FFFFFF"/>
          <w:lang w:bidi="ar"/>
        </w:rPr>
      </w:pPr>
      <w:r>
        <w:rPr>
          <w:rFonts w:hint="eastAsia" w:ascii="仿宋" w:hAnsi="仿宋" w:eastAsia="仿宋" w:cs="仿宋"/>
          <w:color w:val="000000"/>
          <w:kern w:val="0"/>
          <w:sz w:val="32"/>
          <w:szCs w:val="32"/>
          <w:highlight w:val="none"/>
          <w:shd w:val="clear" w:color="auto" w:fill="FFFFFF"/>
          <w:lang w:bidi="ar"/>
        </w:rPr>
        <w:t>目标完成情况</w:t>
      </w:r>
    </w:p>
    <w:p w14:paraId="5FDB35A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方正楷体_GBK" w:hAnsi="方正楷体_GBK" w:eastAsia="方正楷体_GBK" w:cs="方正楷体_GBK"/>
          <w:b/>
          <w:bCs w:val="0"/>
          <w:sz w:val="32"/>
          <w:szCs w:val="32"/>
          <w:lang w:val="en-US" w:eastAsia="zh-CN"/>
        </w:rPr>
        <w:t>突出党政主导，构建法治信访“大格局”。</w:t>
      </w:r>
      <w:r>
        <w:rPr>
          <w:rFonts w:hint="eastAsia" w:ascii="仿宋_GB2312" w:hAnsi="仿宋_GB2312" w:eastAsia="仿宋_GB2312" w:cs="仿宋_GB2312"/>
          <w:b w:val="0"/>
          <w:bCs/>
          <w:sz w:val="32"/>
          <w:szCs w:val="32"/>
          <w:lang w:val="en-US" w:eastAsia="zh-CN"/>
        </w:rPr>
        <w:t>建立“三级书记抓信访”责任体系，构建全员全域讲法治、抓信访工作格局，形成了“上热中开下烫”的生动局面。</w:t>
      </w:r>
      <w:r>
        <w:rPr>
          <w:rFonts w:hint="eastAsia" w:ascii="仿宋_GB2312" w:hAnsi="仿宋_GB2312" w:eastAsia="仿宋_GB2312" w:cs="仿宋_GB2312"/>
          <w:b/>
          <w:bCs w:val="0"/>
          <w:sz w:val="32"/>
          <w:szCs w:val="32"/>
          <w:lang w:val="en-US" w:eastAsia="zh-CN"/>
        </w:rPr>
        <w:t>一是开门接访。</w:t>
      </w:r>
      <w:r>
        <w:rPr>
          <w:rFonts w:hint="eastAsia" w:ascii="仿宋_GB2312" w:hAnsi="仿宋_GB2312" w:eastAsia="仿宋_GB2312" w:cs="仿宋_GB2312"/>
          <w:b w:val="0"/>
          <w:bCs/>
          <w:sz w:val="32"/>
          <w:szCs w:val="32"/>
          <w:lang w:val="en-US" w:eastAsia="zh-CN"/>
        </w:rPr>
        <w:t>县委常委会会议、县政府常务会定期研究信访工作，坚持用法治思维谋划信访工作、靠法治方式解决信访问题。落实领导干部定期接访制度，县级领导每月至少1次在县群众来访接待中心接访，部门乡镇领导每周至少1次在本单位接待信访群众，村组干部每天在党群活动室值班接访。</w:t>
      </w:r>
      <w:r>
        <w:rPr>
          <w:rFonts w:hint="eastAsia" w:ascii="仿宋_GB2312" w:hAnsi="仿宋_GB2312" w:eastAsia="仿宋_GB2312" w:cs="仿宋_GB2312"/>
          <w:b/>
          <w:bCs w:val="0"/>
          <w:sz w:val="32"/>
          <w:szCs w:val="32"/>
          <w:lang w:val="en-US" w:eastAsia="zh-CN"/>
        </w:rPr>
        <w:t>二是下沉接访。</w:t>
      </w:r>
      <w:r>
        <w:rPr>
          <w:rFonts w:hint="eastAsia" w:ascii="仿宋_GB2312" w:hAnsi="仿宋_GB2312" w:eastAsia="仿宋_GB2312" w:cs="仿宋_GB2312"/>
          <w:b w:val="0"/>
          <w:bCs/>
          <w:sz w:val="32"/>
          <w:szCs w:val="32"/>
          <w:lang w:val="en-US" w:eastAsia="zh-CN"/>
        </w:rPr>
        <w:t>弘扬“四下基层”优良作风，实行“访前调查准备+访中会商研究+访后限期办结”闭环工作模式，及时就地解决群众合理诉求。联系乡领导每月至少1次到联系乡镇督导信访工作、研究信访问题、走访群众收集解决急难盼愁问题。部门、乡镇领导每月至少1次在群众家门口“接单问诊”，重点排化历史遗留、城乡建设、 自然资源、劳动保障等高发领域的信访问题。</w:t>
      </w:r>
      <w:r>
        <w:rPr>
          <w:rFonts w:hint="eastAsia" w:ascii="仿宋_GB2312" w:hAnsi="仿宋_GB2312" w:eastAsia="仿宋_GB2312" w:cs="仿宋_GB2312"/>
          <w:b/>
          <w:bCs w:val="0"/>
          <w:sz w:val="32"/>
          <w:szCs w:val="32"/>
          <w:lang w:val="en-US" w:eastAsia="zh-CN"/>
        </w:rPr>
        <w:t>三是跟踪回访。</w:t>
      </w:r>
      <w:r>
        <w:rPr>
          <w:rFonts w:hint="eastAsia" w:ascii="仿宋_GB2312" w:hAnsi="仿宋_GB2312" w:eastAsia="仿宋_GB2312" w:cs="仿宋_GB2312"/>
          <w:b w:val="0"/>
          <w:bCs/>
          <w:sz w:val="32"/>
          <w:szCs w:val="32"/>
          <w:lang w:val="en-US" w:eastAsia="zh-CN"/>
        </w:rPr>
        <w:t>加强群众反映问题调查处理情况的跟踪反馈，及时告知群众进展情况和处理结果;对群众诉求依法按政策不能解决的，耐心细致地做好解疑释惑和情绪疏导工作，取得群众的理解和支持，切实提高群众满意率。2024以来，我局共接到网上投诉和本级来访52批次（四川省网上信访信息系统20件，本级来访35件）89人次，目前已化解50件，2件正在调解中，化解率96%。</w:t>
      </w:r>
    </w:p>
    <w:p w14:paraId="50A241D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方正楷体_GBK" w:hAnsi="方正楷体_GBK" w:eastAsia="方正楷体_GBK" w:cs="方正楷体_GBK"/>
          <w:b/>
          <w:bCs w:val="0"/>
          <w:sz w:val="32"/>
          <w:szCs w:val="32"/>
          <w:lang w:val="en-US" w:eastAsia="zh-CN"/>
        </w:rPr>
        <w:t>突出基层主体，打好源头治理“组合拳”。</w:t>
      </w:r>
      <w:r>
        <w:rPr>
          <w:rFonts w:hint="eastAsia" w:ascii="仿宋_GB2312" w:hAnsi="仿宋_GB2312" w:eastAsia="仿宋_GB2312" w:cs="仿宋_GB2312"/>
          <w:b w:val="0"/>
          <w:bCs/>
          <w:sz w:val="32"/>
          <w:szCs w:val="32"/>
          <w:lang w:val="en-US" w:eastAsia="zh-CN"/>
        </w:rPr>
        <w:t>树牢“人民信访为人民”工作理念，夯实基层基础，注重源头预防，把信访工作做到群众心坎上。</w:t>
      </w:r>
      <w:r>
        <w:rPr>
          <w:rFonts w:hint="eastAsia" w:ascii="仿宋_GB2312" w:hAnsi="仿宋_GB2312" w:eastAsia="仿宋_GB2312" w:cs="仿宋_GB2312"/>
          <w:b/>
          <w:bCs w:val="0"/>
          <w:sz w:val="32"/>
          <w:szCs w:val="32"/>
          <w:lang w:val="en-US" w:eastAsia="zh-CN"/>
        </w:rPr>
        <w:t>一是抓源头，减少信访事项发生。</w:t>
      </w:r>
      <w:r>
        <w:rPr>
          <w:rFonts w:hint="eastAsia" w:ascii="仿宋_GB2312" w:hAnsi="仿宋_GB2312" w:eastAsia="仿宋_GB2312" w:cs="仿宋_GB2312"/>
          <w:b w:val="0"/>
          <w:bCs/>
          <w:sz w:val="32"/>
          <w:szCs w:val="32"/>
          <w:lang w:val="en-US" w:eastAsia="zh-CN"/>
        </w:rPr>
        <w:t>坚持和发展新时代“枫桥经验”，深入开展信访问题源头治理三年攻坚行动，11个乡镇建立信访工作联席会议机制，预防在先、发现在早、解决在小，今年1-10月，共排查矛盾纠纷138件，化解133件，化解率96.3%。</w:t>
      </w:r>
      <w:r>
        <w:rPr>
          <w:rFonts w:hint="eastAsia" w:ascii="仿宋_GB2312" w:hAnsi="仿宋_GB2312" w:eastAsia="仿宋_GB2312" w:cs="仿宋_GB2312"/>
          <w:b/>
          <w:bCs w:val="0"/>
          <w:sz w:val="32"/>
          <w:szCs w:val="32"/>
          <w:lang w:val="en-US" w:eastAsia="zh-CN"/>
        </w:rPr>
        <w:t>二是重研判，防范控制信访风险。</w:t>
      </w:r>
      <w:r>
        <w:rPr>
          <w:rFonts w:hint="eastAsia" w:ascii="仿宋_GB2312" w:hAnsi="仿宋_GB2312" w:eastAsia="仿宋_GB2312" w:cs="仿宋_GB2312"/>
          <w:b w:val="0"/>
          <w:bCs/>
          <w:sz w:val="32"/>
          <w:szCs w:val="32"/>
          <w:lang w:val="en-US" w:eastAsia="zh-CN"/>
        </w:rPr>
        <w:t>坚持信访跟着项目、民生等重点领域走，坚持每季度开展1次县域信访形势分析研判，梳理突出矛盾隐患6件，有力推动各部门依法行政、科学决策。</w:t>
      </w:r>
      <w:r>
        <w:rPr>
          <w:rFonts w:hint="eastAsia" w:ascii="仿宋_GB2312" w:hAnsi="仿宋_GB2312" w:eastAsia="仿宋_GB2312" w:cs="仿宋_GB2312"/>
          <w:b/>
          <w:bCs w:val="0"/>
          <w:sz w:val="32"/>
          <w:szCs w:val="32"/>
          <w:lang w:val="en-US" w:eastAsia="zh-CN"/>
        </w:rPr>
        <w:t>三是依法办,提升问题化解质效。</w:t>
      </w:r>
      <w:r>
        <w:rPr>
          <w:rFonts w:hint="eastAsia" w:ascii="仿宋_GB2312" w:hAnsi="仿宋_GB2312" w:eastAsia="仿宋_GB2312" w:cs="仿宋_GB2312"/>
          <w:b w:val="0"/>
          <w:bCs/>
          <w:sz w:val="32"/>
          <w:szCs w:val="32"/>
          <w:lang w:val="en-US" w:eastAsia="zh-CN"/>
        </w:rPr>
        <w:t>持续开展“治重化积”“马上办限时办盯着办”等行动，依法及时就地解决群众合理诉求，2024年以来，全县信访事项及时受理率100%、按期答复率100%、群众满意率 100%，州局交办“治重化积”案件化解率100%。</w:t>
      </w:r>
    </w:p>
    <w:p w14:paraId="0E34112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color w:val="333333"/>
          <w:kern w:val="0"/>
          <w:sz w:val="32"/>
          <w:szCs w:val="32"/>
          <w:shd w:val="clear" w:color="auto" w:fill="FFFFFF"/>
          <w:lang w:val="en-US" w:eastAsia="zh-CN" w:bidi="ar-SA"/>
        </w:rPr>
      </w:pPr>
      <w:r>
        <w:rPr>
          <w:rFonts w:hint="eastAsia" w:ascii="方正楷体_GBK" w:hAnsi="方正楷体_GBK" w:eastAsia="方正楷体_GBK" w:cs="方正楷体_GBK"/>
          <w:b/>
          <w:bCs w:val="0"/>
          <w:sz w:val="32"/>
          <w:szCs w:val="32"/>
          <w:lang w:val="en-US" w:eastAsia="zh-CN"/>
        </w:rPr>
        <w:t>突出治理主线，拧紧信访滋生“安全阀”。</w:t>
      </w:r>
      <w:r>
        <w:rPr>
          <w:rFonts w:hint="eastAsia" w:ascii="仿宋_GB2312" w:hAnsi="仿宋_GB2312" w:eastAsia="仿宋_GB2312" w:cs="仿宋_GB2312"/>
          <w:b w:val="0"/>
          <w:bCs/>
          <w:color w:val="auto"/>
          <w:sz w:val="32"/>
          <w:szCs w:val="32"/>
          <w:lang w:val="en-US" w:eastAsia="zh-CN"/>
        </w:rPr>
        <w:t>坚持教育引导与依法处理并重，树立保护依法信访、打击违法信访的正确导向。</w:t>
      </w:r>
      <w:r>
        <w:rPr>
          <w:rFonts w:hint="eastAsia" w:ascii="仿宋_GB2312" w:hAnsi="仿宋_GB2312" w:eastAsia="仿宋_GB2312" w:cs="仿宋_GB2312"/>
          <w:b/>
          <w:bCs w:val="0"/>
          <w:color w:val="auto"/>
          <w:sz w:val="32"/>
          <w:szCs w:val="32"/>
          <w:lang w:val="en-US" w:eastAsia="zh-CN"/>
        </w:rPr>
        <w:t>一是强宣传，营造法治信访氛围。</w:t>
      </w:r>
      <w:r>
        <w:rPr>
          <w:rFonts w:hint="eastAsia" w:ascii="仿宋_GB2312" w:hAnsi="仿宋_GB2312" w:eastAsia="仿宋_GB2312" w:cs="仿宋_GB2312"/>
          <w:b w:val="0"/>
          <w:bCs/>
          <w:color w:val="auto"/>
          <w:sz w:val="32"/>
          <w:szCs w:val="32"/>
          <w:lang w:val="en-US" w:eastAsia="zh-CN"/>
        </w:rPr>
        <w:t>开展《信访工作条例》宣传活动，印发信访工作法治化“路线图”、工作指南等宣传资料5000余份。将宣传信访法规知识和普法教育相结合，通过街头宣传、院坝宣讲、播放普法视频等方式，引导群众依法理性表达诉求。</w:t>
      </w:r>
      <w:r>
        <w:rPr>
          <w:rFonts w:hint="eastAsia" w:ascii="仿宋_GB2312" w:hAnsi="仿宋_GB2312" w:eastAsia="仿宋_GB2312" w:cs="仿宋_GB2312"/>
          <w:b/>
          <w:bCs w:val="0"/>
          <w:color w:val="auto"/>
          <w:sz w:val="32"/>
          <w:szCs w:val="32"/>
          <w:lang w:val="en-US" w:eastAsia="zh-CN"/>
        </w:rPr>
        <w:t>二是保稳定，提升解难治访效力。</w:t>
      </w:r>
      <w:r>
        <w:rPr>
          <w:rFonts w:hint="eastAsia" w:ascii="仿宋_GB2312" w:hAnsi="仿宋_GB2312" w:eastAsia="仿宋_GB2312" w:cs="仿宋_GB2312"/>
          <w:b w:val="0"/>
          <w:bCs/>
          <w:sz w:val="32"/>
          <w:szCs w:val="32"/>
          <w:lang w:val="en-US" w:eastAsia="zh-CN"/>
        </w:rPr>
        <w:t>加强重点信访人员法律教育，对</w:t>
      </w:r>
      <w:r>
        <w:rPr>
          <w:rFonts w:hint="eastAsia" w:ascii="仿宋_GB2312" w:hAnsi="仿宋_GB2312" w:eastAsia="仿宋_GB2312" w:cs="仿宋_GB2312"/>
          <w:b w:val="0"/>
          <w:bCs/>
          <w:color w:val="auto"/>
          <w:sz w:val="32"/>
          <w:szCs w:val="32"/>
          <w:lang w:val="en-US" w:eastAsia="zh-CN"/>
        </w:rPr>
        <w:t>企图缠访、闹访、越级上访人员及时研判、及时预警、及时稳控。</w:t>
      </w:r>
      <w:r>
        <w:rPr>
          <w:rFonts w:hint="eastAsia" w:ascii="仿宋_GB2312" w:hAnsi="仿宋_GB2312" w:eastAsia="仿宋_GB2312" w:cs="仿宋_GB2312"/>
          <w:b w:val="0"/>
          <w:bCs/>
          <w:sz w:val="32"/>
          <w:szCs w:val="32"/>
          <w:lang w:val="en-US" w:eastAsia="zh-CN"/>
        </w:rPr>
        <w:t>落实县级包案领导5人，梳理出州挂牌重点人员1人，县挂牌重点人员4人，落实责任单位5家。</w:t>
      </w:r>
      <w:r>
        <w:rPr>
          <w:rFonts w:hint="eastAsia" w:ascii="仿宋_GB2312" w:hAnsi="仿宋_GB2312" w:eastAsia="仿宋_GB2312" w:cs="仿宋_GB2312"/>
          <w:b/>
          <w:bCs w:val="0"/>
          <w:sz w:val="32"/>
          <w:szCs w:val="32"/>
          <w:lang w:val="en-US" w:eastAsia="zh-CN"/>
        </w:rPr>
        <w:t>三是护秩序，形成联动维稳合力。</w:t>
      </w:r>
      <w:r>
        <w:rPr>
          <w:rFonts w:hint="eastAsia" w:ascii="仿宋_GB2312" w:hAnsi="仿宋_GB2312" w:eastAsia="仿宋_GB2312" w:cs="仿宋_GB2312"/>
          <w:b w:val="0"/>
          <w:bCs/>
          <w:sz w:val="32"/>
          <w:szCs w:val="32"/>
          <w:lang w:val="en-US" w:eastAsia="zh-CN"/>
        </w:rPr>
        <w:t>贯彻落实《依法处理信访活动中违法犯罪行为的工作指引》，在全国两会及党的二十届三中全会等重点时段派出政法、公安、信访业务骨干4批次20人次赴蓉赴州开展信访安全保障工作，实现“北京不去、省市不聚、外地不串、网上不炒”目标。</w:t>
      </w:r>
    </w:p>
    <w:p w14:paraId="6B3A5A7B">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bidi="ar"/>
        </w:rPr>
        <w:t>5</w:t>
      </w:r>
      <w:r>
        <w:rPr>
          <w:rFonts w:hint="eastAsia" w:ascii="仿宋" w:hAnsi="仿宋" w:eastAsia="仿宋" w:cs="仿宋"/>
          <w:color w:val="000000"/>
          <w:kern w:val="0"/>
          <w:sz w:val="32"/>
          <w:szCs w:val="32"/>
          <w:shd w:val="clear" w:color="auto" w:fill="FFFFFF"/>
          <w:lang w:bidi="ar"/>
        </w:rPr>
        <w:t>、执行进度情况</w:t>
      </w:r>
    </w:p>
    <w:p w14:paraId="0F814661">
      <w:pPr>
        <w:pStyle w:val="28"/>
        <w:spacing w:line="360" w:lineRule="auto"/>
        <w:ind w:firstLine="640"/>
        <w:rPr>
          <w:rFonts w:hint="eastAsia" w:ascii="仿宋" w:hAnsi="仿宋" w:eastAsia="仿宋" w:cs="仿宋"/>
          <w:sz w:val="32"/>
          <w:szCs w:val="32"/>
        </w:rPr>
      </w:pPr>
      <w:r>
        <w:rPr>
          <w:rFonts w:hint="eastAsia" w:ascii="仿宋" w:hAnsi="仿宋" w:eastAsia="仿宋" w:cs="仿宋"/>
          <w:sz w:val="32"/>
          <w:szCs w:val="32"/>
          <w:lang w:eastAsia="zh-CN"/>
        </w:rPr>
        <w:t>2024</w:t>
      </w:r>
      <w:r>
        <w:rPr>
          <w:rFonts w:hint="eastAsia" w:ascii="仿宋" w:hAnsi="仿宋" w:eastAsia="仿宋" w:cs="仿宋"/>
          <w:sz w:val="32"/>
          <w:szCs w:val="32"/>
        </w:rPr>
        <w:t>年财政下达</w:t>
      </w:r>
      <w:r>
        <w:rPr>
          <w:rFonts w:hint="eastAsia" w:ascii="仿宋" w:hAnsi="仿宋" w:eastAsia="仿宋" w:cs="仿宋"/>
          <w:sz w:val="32"/>
          <w:szCs w:val="32"/>
          <w:lang w:eastAsia="zh-CN"/>
        </w:rPr>
        <w:t>壤塘县信访局</w:t>
      </w:r>
      <w:r>
        <w:rPr>
          <w:rFonts w:hint="eastAsia" w:ascii="仿宋" w:hAnsi="仿宋" w:eastAsia="仿宋" w:cs="仿宋"/>
          <w:sz w:val="32"/>
          <w:szCs w:val="32"/>
        </w:rPr>
        <w:t>年初预算收入</w:t>
      </w:r>
      <w:r>
        <w:rPr>
          <w:rFonts w:hint="eastAsia" w:ascii="仿宋" w:hAnsi="仿宋" w:eastAsia="仿宋" w:cs="仿宋"/>
          <w:sz w:val="32"/>
          <w:szCs w:val="32"/>
          <w:lang w:val="en-US" w:eastAsia="zh-CN"/>
        </w:rPr>
        <w:t>179.01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当年追加预算44.63万元，年末收入总计为223.64万元。</w:t>
      </w:r>
      <w:r>
        <w:rPr>
          <w:rFonts w:hint="eastAsia" w:ascii="仿宋" w:hAnsi="仿宋" w:eastAsia="仿宋" w:cs="仿宋"/>
          <w:sz w:val="32"/>
          <w:szCs w:val="32"/>
        </w:rPr>
        <w:t xml:space="preserve">   </w:t>
      </w:r>
    </w:p>
    <w:p w14:paraId="5C4BED6C">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bidi="ar"/>
        </w:rPr>
        <w:t>6</w:t>
      </w:r>
      <w:r>
        <w:rPr>
          <w:rFonts w:hint="eastAsia" w:ascii="仿宋" w:hAnsi="仿宋" w:eastAsia="仿宋" w:cs="仿宋"/>
          <w:color w:val="000000"/>
          <w:kern w:val="0"/>
          <w:sz w:val="32"/>
          <w:szCs w:val="32"/>
          <w:shd w:val="clear" w:color="auto" w:fill="FFFFFF"/>
          <w:lang w:bidi="ar"/>
        </w:rPr>
        <w:t>、预算完成情况</w:t>
      </w:r>
    </w:p>
    <w:p w14:paraId="127AEFB2">
      <w:pPr>
        <w:pStyle w:val="28"/>
        <w:spacing w:line="360" w:lineRule="auto"/>
        <w:ind w:firstLine="640"/>
        <w:rPr>
          <w:rFonts w:hint="eastAsia" w:ascii="仿宋" w:hAnsi="仿宋" w:eastAsia="仿宋" w:cs="仿宋"/>
          <w:sz w:val="32"/>
          <w:szCs w:val="32"/>
        </w:rPr>
      </w:pPr>
      <w:r>
        <w:rPr>
          <w:rFonts w:hint="eastAsia" w:ascii="仿宋" w:hAnsi="仿宋" w:eastAsia="仿宋" w:cs="仿宋"/>
          <w:sz w:val="32"/>
          <w:szCs w:val="32"/>
          <w:lang w:eastAsia="zh-CN"/>
        </w:rPr>
        <w:t>2024</w:t>
      </w:r>
      <w:r>
        <w:rPr>
          <w:rFonts w:hint="eastAsia" w:ascii="仿宋" w:hAnsi="仿宋" w:eastAsia="仿宋" w:cs="仿宋"/>
          <w:sz w:val="32"/>
          <w:szCs w:val="32"/>
        </w:rPr>
        <w:t>年财政下达</w:t>
      </w:r>
      <w:r>
        <w:rPr>
          <w:rFonts w:hint="eastAsia" w:ascii="仿宋" w:hAnsi="仿宋" w:eastAsia="仿宋" w:cs="仿宋"/>
          <w:sz w:val="32"/>
          <w:szCs w:val="32"/>
          <w:lang w:eastAsia="zh-CN"/>
        </w:rPr>
        <w:t>壤塘县信访局</w:t>
      </w:r>
      <w:r>
        <w:rPr>
          <w:rFonts w:hint="eastAsia" w:ascii="仿宋" w:hAnsi="仿宋" w:eastAsia="仿宋" w:cs="仿宋"/>
          <w:sz w:val="32"/>
          <w:szCs w:val="32"/>
        </w:rPr>
        <w:t>年初预算收入</w:t>
      </w:r>
      <w:r>
        <w:rPr>
          <w:rFonts w:hint="eastAsia" w:ascii="仿宋" w:hAnsi="仿宋" w:eastAsia="仿宋" w:cs="仿宋"/>
          <w:sz w:val="32"/>
          <w:szCs w:val="32"/>
          <w:lang w:val="en-US" w:eastAsia="zh-CN"/>
        </w:rPr>
        <w:t>179.01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当年追加预算44.63万元，年末收入总计为223.64万元。</w:t>
      </w:r>
      <w:r>
        <w:rPr>
          <w:rFonts w:hint="eastAsia" w:ascii="仿宋" w:hAnsi="仿宋" w:eastAsia="仿宋" w:cs="仿宋"/>
          <w:sz w:val="32"/>
          <w:szCs w:val="32"/>
        </w:rPr>
        <w:t xml:space="preserve">   </w:t>
      </w:r>
    </w:p>
    <w:p w14:paraId="042773D7">
      <w:pPr>
        <w:pStyle w:val="28"/>
        <w:spacing w:line="360" w:lineRule="auto"/>
        <w:ind w:firstLine="640"/>
        <w:rPr>
          <w:rFonts w:hint="eastAsia" w:ascii="仿宋" w:hAnsi="仿宋" w:eastAsia="仿宋" w:cs="仿宋"/>
          <w:b/>
          <w:bCs/>
          <w:kern w:val="0"/>
          <w:sz w:val="32"/>
          <w:szCs w:val="32"/>
        </w:rPr>
      </w:pPr>
      <w:r>
        <w:rPr>
          <w:rFonts w:hint="eastAsia" w:ascii="仿宋" w:hAnsi="仿宋" w:eastAsia="仿宋" w:cs="仿宋"/>
          <w:b/>
          <w:bCs/>
          <w:kern w:val="0"/>
          <w:sz w:val="32"/>
          <w:szCs w:val="32"/>
          <w:lang w:val="en-US" w:eastAsia="zh-CN"/>
        </w:rPr>
        <w:t>6、</w:t>
      </w:r>
      <w:r>
        <w:rPr>
          <w:rFonts w:hint="eastAsia" w:ascii="仿宋" w:hAnsi="仿宋" w:eastAsia="仿宋" w:cs="仿宋"/>
          <w:b/>
          <w:bCs/>
          <w:kern w:val="0"/>
          <w:sz w:val="32"/>
          <w:szCs w:val="32"/>
        </w:rPr>
        <w:t>行政成本</w:t>
      </w:r>
    </w:p>
    <w:p w14:paraId="1924A744">
      <w:pPr>
        <w:pStyle w:val="28"/>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rPr>
        <w:t>“三公”经费控制。</w:t>
      </w:r>
      <w:r>
        <w:rPr>
          <w:rFonts w:hint="eastAsia" w:ascii="仿宋" w:hAnsi="仿宋" w:eastAsia="仿宋" w:cs="仿宋"/>
          <w:sz w:val="32"/>
          <w:szCs w:val="32"/>
          <w:lang w:eastAsia="zh-CN"/>
        </w:rPr>
        <w:t>壤塘县信访局会2024年</w:t>
      </w:r>
      <w:r>
        <w:rPr>
          <w:rFonts w:hint="eastAsia" w:ascii="仿宋" w:hAnsi="仿宋" w:eastAsia="仿宋" w:cs="仿宋"/>
          <w:sz w:val="32"/>
          <w:szCs w:val="32"/>
          <w:lang w:val="en-US" w:eastAsia="zh-CN"/>
        </w:rPr>
        <w:t>无</w:t>
      </w:r>
      <w:r>
        <w:rPr>
          <w:rFonts w:hint="eastAsia" w:ascii="仿宋" w:hAnsi="仿宋" w:eastAsia="仿宋" w:cs="仿宋"/>
          <w:sz w:val="32"/>
          <w:szCs w:val="32"/>
          <w:lang w:eastAsia="zh-CN"/>
        </w:rPr>
        <w:t>“三公”经费</w:t>
      </w:r>
      <w:r>
        <w:rPr>
          <w:rFonts w:hint="eastAsia" w:ascii="仿宋" w:hAnsi="仿宋" w:eastAsia="仿宋" w:cs="仿宋"/>
          <w:sz w:val="32"/>
          <w:szCs w:val="32"/>
          <w:lang w:val="en-US" w:eastAsia="zh-CN"/>
        </w:rPr>
        <w:t>支出。</w:t>
      </w:r>
    </w:p>
    <w:p w14:paraId="0D8EDE1C">
      <w:pPr>
        <w:pStyle w:val="28"/>
        <w:spacing w:line="360" w:lineRule="auto"/>
        <w:ind w:firstLine="640"/>
        <w:outlineLvl w:val="1"/>
        <w:rPr>
          <w:rFonts w:hint="eastAsia" w:ascii="仿宋" w:hAnsi="仿宋" w:eastAsia="仿宋" w:cs="仿宋"/>
          <w:b/>
          <w:bCs/>
          <w:kern w:val="0"/>
          <w:sz w:val="32"/>
          <w:szCs w:val="32"/>
        </w:rPr>
      </w:pPr>
      <w:bookmarkStart w:id="112" w:name="_Toc28206"/>
      <w:bookmarkStart w:id="113" w:name="_Toc16180"/>
      <w:r>
        <w:rPr>
          <w:rFonts w:hint="eastAsia" w:ascii="仿宋" w:hAnsi="仿宋" w:eastAsia="仿宋" w:cs="仿宋"/>
          <w:b/>
          <w:bCs/>
          <w:kern w:val="0"/>
          <w:sz w:val="32"/>
          <w:szCs w:val="32"/>
          <w:lang w:val="en-US" w:eastAsia="zh-CN"/>
        </w:rPr>
        <w:t>7、</w:t>
      </w:r>
      <w:r>
        <w:rPr>
          <w:rFonts w:hint="eastAsia" w:ascii="仿宋" w:hAnsi="仿宋" w:eastAsia="仿宋" w:cs="仿宋"/>
          <w:b/>
          <w:bCs/>
          <w:kern w:val="0"/>
          <w:sz w:val="32"/>
          <w:szCs w:val="32"/>
        </w:rPr>
        <w:t>政府采购</w:t>
      </w:r>
      <w:bookmarkEnd w:id="112"/>
      <w:bookmarkEnd w:id="113"/>
    </w:p>
    <w:p w14:paraId="5EA06A03">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2024年壤塘县信访局</w:t>
      </w:r>
      <w:r>
        <w:rPr>
          <w:rFonts w:hint="eastAsia" w:ascii="仿宋" w:hAnsi="仿宋" w:eastAsia="仿宋" w:cs="仿宋"/>
          <w:sz w:val="32"/>
          <w:szCs w:val="32"/>
          <w:lang w:val="en-US" w:eastAsia="zh-CN"/>
        </w:rPr>
        <w:t>无“</w:t>
      </w:r>
      <w:r>
        <w:rPr>
          <w:rFonts w:hint="eastAsia" w:ascii="仿宋" w:hAnsi="仿宋" w:eastAsia="仿宋" w:cs="仿宋"/>
          <w:sz w:val="32"/>
          <w:szCs w:val="32"/>
        </w:rPr>
        <w:t>政府采购</w:t>
      </w:r>
      <w:r>
        <w:rPr>
          <w:rFonts w:hint="eastAsia" w:ascii="仿宋" w:hAnsi="仿宋" w:eastAsia="仿宋" w:cs="仿宋"/>
          <w:sz w:val="32"/>
          <w:szCs w:val="32"/>
          <w:lang w:val="en-US" w:eastAsia="zh-CN"/>
        </w:rPr>
        <w:t>”支出</w:t>
      </w:r>
      <w:r>
        <w:rPr>
          <w:rFonts w:hint="eastAsia" w:ascii="仿宋" w:hAnsi="仿宋" w:eastAsia="仿宋" w:cs="仿宋"/>
          <w:sz w:val="32"/>
          <w:szCs w:val="32"/>
        </w:rPr>
        <w:t>。</w:t>
      </w:r>
    </w:p>
    <w:p w14:paraId="147ED96A">
      <w:pPr>
        <w:numPr>
          <w:ilvl w:val="0"/>
          <w:numId w:val="0"/>
        </w:numPr>
        <w:snapToGrid w:val="0"/>
        <w:spacing w:line="360" w:lineRule="auto"/>
        <w:ind w:firstLine="643" w:firstLineChars="200"/>
        <w:outlineLvl w:val="1"/>
        <w:rPr>
          <w:rFonts w:hint="eastAsia" w:ascii="仿宋" w:hAnsi="仿宋" w:eastAsia="仿宋" w:cs="仿宋"/>
          <w:b/>
          <w:bCs/>
          <w:sz w:val="32"/>
          <w:szCs w:val="32"/>
        </w:rPr>
      </w:pPr>
      <w:bookmarkStart w:id="114" w:name="_Toc7148"/>
      <w:bookmarkStart w:id="115" w:name="_Toc7598"/>
      <w:r>
        <w:rPr>
          <w:rFonts w:hint="eastAsia" w:ascii="仿宋" w:hAnsi="仿宋" w:eastAsia="仿宋" w:cs="仿宋"/>
          <w:b/>
          <w:bCs/>
          <w:kern w:val="0"/>
          <w:sz w:val="32"/>
          <w:szCs w:val="32"/>
          <w:lang w:val="en-US" w:eastAsia="zh-CN"/>
        </w:rPr>
        <w:t>8、</w:t>
      </w:r>
      <w:r>
        <w:rPr>
          <w:rFonts w:hint="eastAsia" w:ascii="仿宋" w:hAnsi="仿宋" w:eastAsia="仿宋" w:cs="仿宋"/>
          <w:b/>
          <w:bCs/>
          <w:kern w:val="0"/>
          <w:sz w:val="32"/>
          <w:szCs w:val="32"/>
        </w:rPr>
        <w:t>资产管理</w:t>
      </w:r>
      <w:bookmarkEnd w:id="114"/>
      <w:bookmarkEnd w:id="115"/>
      <w:r>
        <w:rPr>
          <w:rFonts w:hint="eastAsia" w:ascii="仿宋" w:hAnsi="仿宋" w:eastAsia="仿宋" w:cs="仿宋"/>
          <w:b/>
          <w:bCs/>
          <w:kern w:val="0"/>
          <w:sz w:val="32"/>
          <w:szCs w:val="32"/>
        </w:rPr>
        <w:t xml:space="preserve"> </w:t>
      </w:r>
      <w:r>
        <w:rPr>
          <w:rFonts w:hint="eastAsia" w:ascii="仿宋" w:hAnsi="仿宋" w:eastAsia="仿宋" w:cs="仿宋"/>
          <w:b/>
          <w:bCs/>
          <w:sz w:val="32"/>
          <w:szCs w:val="32"/>
        </w:rPr>
        <w:t xml:space="preserve"> </w:t>
      </w:r>
    </w:p>
    <w:p w14:paraId="262087A9">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固定资产在用率。截止</w:t>
      </w:r>
      <w:r>
        <w:rPr>
          <w:rFonts w:hint="eastAsia" w:ascii="仿宋" w:hAnsi="仿宋" w:eastAsia="仿宋" w:cs="仿宋"/>
          <w:sz w:val="32"/>
          <w:szCs w:val="32"/>
          <w:lang w:eastAsia="zh-CN"/>
        </w:rPr>
        <w:t>2024年</w:t>
      </w:r>
      <w:r>
        <w:rPr>
          <w:rFonts w:hint="eastAsia" w:ascii="仿宋" w:hAnsi="仿宋" w:eastAsia="仿宋" w:cs="仿宋"/>
          <w:sz w:val="32"/>
          <w:szCs w:val="32"/>
        </w:rPr>
        <w:t>12月31日，</w:t>
      </w:r>
      <w:r>
        <w:rPr>
          <w:rFonts w:hint="eastAsia" w:ascii="仿宋" w:hAnsi="仿宋" w:eastAsia="仿宋" w:cs="仿宋"/>
          <w:sz w:val="32"/>
          <w:szCs w:val="32"/>
          <w:lang w:eastAsia="zh-CN"/>
        </w:rPr>
        <w:t>壤塘县信访局会</w:t>
      </w:r>
      <w:r>
        <w:rPr>
          <w:rFonts w:hint="eastAsia" w:ascii="仿宋" w:hAnsi="仿宋" w:eastAsia="仿宋" w:cs="仿宋"/>
          <w:sz w:val="32"/>
          <w:szCs w:val="32"/>
        </w:rPr>
        <w:t>《行政单位资产管理系统》固定资产总计</w:t>
      </w:r>
      <w:r>
        <w:rPr>
          <w:rFonts w:hint="eastAsia" w:ascii="仿宋" w:hAnsi="仿宋" w:eastAsia="仿宋" w:cs="仿宋"/>
          <w:sz w:val="32"/>
          <w:szCs w:val="32"/>
          <w:lang w:val="en-US" w:eastAsia="zh-CN"/>
        </w:rPr>
        <w:t>14.32</w:t>
      </w:r>
      <w:r>
        <w:rPr>
          <w:rFonts w:hint="eastAsia" w:ascii="仿宋" w:hAnsi="仿宋" w:eastAsia="仿宋" w:cs="仿宋"/>
          <w:sz w:val="32"/>
          <w:szCs w:val="32"/>
        </w:rPr>
        <w:t>万元，在用的固定资产总计</w:t>
      </w:r>
      <w:r>
        <w:rPr>
          <w:rFonts w:hint="eastAsia" w:ascii="仿宋" w:hAnsi="仿宋" w:eastAsia="仿宋" w:cs="仿宋"/>
          <w:sz w:val="32"/>
          <w:szCs w:val="32"/>
          <w:lang w:val="en-US" w:eastAsia="zh-CN"/>
        </w:rPr>
        <w:t>14.32</w:t>
      </w:r>
      <w:r>
        <w:rPr>
          <w:rFonts w:hint="eastAsia" w:ascii="仿宋" w:hAnsi="仿宋" w:eastAsia="仿宋" w:cs="仿宋"/>
          <w:sz w:val="32"/>
          <w:szCs w:val="32"/>
        </w:rPr>
        <w:t>万元，固定资产在用率达100%。</w:t>
      </w:r>
    </w:p>
    <w:p w14:paraId="1A2030D0">
      <w:pPr>
        <w:pStyle w:val="28"/>
        <w:spacing w:line="360" w:lineRule="auto"/>
        <w:ind w:left="420" w:leftChars="200" w:firstLine="321" w:firstLineChars="100"/>
        <w:rPr>
          <w:rFonts w:hint="eastAsia" w:ascii="仿宋" w:hAnsi="仿宋" w:eastAsia="仿宋" w:cs="仿宋"/>
          <w:b/>
          <w:bCs/>
          <w:kern w:val="0"/>
          <w:sz w:val="32"/>
          <w:szCs w:val="32"/>
        </w:rPr>
      </w:pPr>
      <w:r>
        <w:rPr>
          <w:rFonts w:hint="eastAsia" w:ascii="仿宋" w:hAnsi="仿宋" w:eastAsia="仿宋" w:cs="仿宋"/>
          <w:b/>
          <w:bCs/>
          <w:kern w:val="0"/>
          <w:sz w:val="32"/>
          <w:szCs w:val="32"/>
          <w:lang w:val="en-US" w:eastAsia="zh-CN"/>
        </w:rPr>
        <w:t>9、</w:t>
      </w:r>
      <w:r>
        <w:rPr>
          <w:rFonts w:hint="eastAsia" w:ascii="仿宋" w:hAnsi="仿宋" w:eastAsia="仿宋" w:cs="仿宋"/>
          <w:b/>
          <w:bCs/>
          <w:kern w:val="0"/>
          <w:sz w:val="32"/>
          <w:szCs w:val="32"/>
        </w:rPr>
        <w:t>信息公开</w:t>
      </w:r>
    </w:p>
    <w:p w14:paraId="6E37FCB2">
      <w:pPr>
        <w:pStyle w:val="28"/>
        <w:spacing w:line="360" w:lineRule="auto"/>
        <w:ind w:firstLine="640"/>
        <w:outlineLvl w:val="0"/>
        <w:rPr>
          <w:rFonts w:hint="eastAsia" w:ascii="仿宋" w:hAnsi="仿宋" w:eastAsia="仿宋" w:cs="仿宋"/>
          <w:b/>
          <w:bCs/>
          <w:kern w:val="0"/>
          <w:sz w:val="32"/>
          <w:szCs w:val="32"/>
          <w:lang w:val="en-US" w:eastAsia="zh-CN"/>
        </w:rPr>
      </w:pPr>
      <w:bookmarkStart w:id="116" w:name="_Toc30560"/>
      <w:bookmarkStart w:id="117" w:name="_Toc15471"/>
      <w:r>
        <w:rPr>
          <w:rFonts w:hint="eastAsia" w:ascii="仿宋" w:hAnsi="仿宋" w:eastAsia="仿宋" w:cs="仿宋"/>
          <w:sz w:val="32"/>
          <w:szCs w:val="32"/>
        </w:rPr>
        <w:t>信息公开。</w:t>
      </w:r>
      <w:r>
        <w:rPr>
          <w:rFonts w:hint="eastAsia" w:ascii="仿宋" w:hAnsi="仿宋" w:eastAsia="仿宋" w:cs="仿宋"/>
          <w:sz w:val="32"/>
          <w:szCs w:val="32"/>
          <w:lang w:eastAsia="zh-CN"/>
        </w:rPr>
        <w:t>壤塘县信访局会</w:t>
      </w:r>
      <w:r>
        <w:rPr>
          <w:rFonts w:hint="eastAsia" w:ascii="仿宋" w:hAnsi="仿宋" w:eastAsia="仿宋" w:cs="仿宋"/>
          <w:sz w:val="32"/>
          <w:szCs w:val="32"/>
        </w:rPr>
        <w:t>已经按财政要求及时完成预算、决算、绩效等信息公开工作，信息公开在壤塘县人民政府门户网站中。</w:t>
      </w:r>
      <w:bookmarkEnd w:id="116"/>
      <w:bookmarkEnd w:id="117"/>
    </w:p>
    <w:p w14:paraId="00AD5DF0">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（二）结果应用情况</w:t>
      </w:r>
    </w:p>
    <w:p w14:paraId="334C109C">
      <w:pPr>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我会成立自评工作小组，组织实施本单位</w:t>
      </w:r>
      <w:r>
        <w:rPr>
          <w:rFonts w:hint="eastAsia" w:ascii="仿宋" w:hAnsi="仿宋" w:eastAsia="仿宋" w:cs="仿宋"/>
          <w:color w:val="000000"/>
          <w:kern w:val="0"/>
          <w:sz w:val="32"/>
          <w:szCs w:val="32"/>
          <w:lang w:eastAsia="zh-CN" w:bidi="ar"/>
        </w:rPr>
        <w:t>2024</w:t>
      </w:r>
      <w:r>
        <w:rPr>
          <w:rFonts w:hint="eastAsia" w:ascii="仿宋" w:hAnsi="仿宋" w:eastAsia="仿宋" w:cs="仿宋"/>
          <w:color w:val="000000"/>
          <w:kern w:val="0"/>
          <w:sz w:val="32"/>
          <w:szCs w:val="32"/>
          <w:lang w:bidi="ar"/>
        </w:rPr>
        <w:t>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我单位各项工作的正常运转。</w:t>
      </w:r>
    </w:p>
    <w:p w14:paraId="48A324E6">
      <w:pPr>
        <w:widowControl/>
        <w:numPr>
          <w:ilvl w:val="0"/>
          <w:numId w:val="5"/>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评价结论及建议</w:t>
      </w:r>
    </w:p>
    <w:p w14:paraId="1F4581C4">
      <w:pPr>
        <w:widowControl/>
        <w:numPr>
          <w:ilvl w:val="0"/>
          <w:numId w:val="6"/>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评价结论</w:t>
      </w:r>
    </w:p>
    <w:p w14:paraId="549E612F">
      <w:pPr>
        <w:pStyle w:val="20"/>
        <w:ind w:left="0" w:leftChars="0"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val="zh-CN" w:bidi="ar"/>
        </w:rPr>
        <w:t>我</w:t>
      </w:r>
      <w:r>
        <w:rPr>
          <w:rFonts w:hint="eastAsia" w:ascii="仿宋" w:hAnsi="仿宋" w:eastAsia="仿宋" w:cs="仿宋"/>
          <w:color w:val="000000"/>
          <w:kern w:val="0"/>
          <w:sz w:val="32"/>
          <w:szCs w:val="32"/>
          <w:lang w:val="en-US" w:eastAsia="zh-CN" w:bidi="ar"/>
        </w:rPr>
        <w:t>单位</w:t>
      </w:r>
      <w:r>
        <w:rPr>
          <w:rFonts w:hint="eastAsia" w:ascii="仿宋" w:hAnsi="仿宋" w:eastAsia="仿宋" w:cs="仿宋"/>
          <w:color w:val="000000"/>
          <w:kern w:val="0"/>
          <w:sz w:val="32"/>
          <w:szCs w:val="32"/>
          <w:lang w:val="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 w:hAnsi="仿宋" w:eastAsia="仿宋" w:cs="仿宋"/>
          <w:color w:val="000000"/>
          <w:kern w:val="0"/>
          <w:sz w:val="32"/>
          <w:szCs w:val="32"/>
          <w:lang w:bidi="ar"/>
        </w:rPr>
        <w:t>会</w:t>
      </w:r>
      <w:r>
        <w:rPr>
          <w:rFonts w:hint="eastAsia" w:ascii="仿宋" w:hAnsi="仿宋" w:eastAsia="仿宋" w:cs="仿宋"/>
          <w:color w:val="000000"/>
          <w:kern w:val="0"/>
          <w:sz w:val="32"/>
          <w:szCs w:val="32"/>
          <w:lang w:val="zh-CN" w:bidi="ar"/>
        </w:rPr>
        <w:t>将继续努力，科学合理编制预决算，进行绩效评价，加强精细管理，完善不足。</w:t>
      </w:r>
      <w:r>
        <w:rPr>
          <w:rFonts w:hint="eastAsia" w:ascii="仿宋" w:hAnsi="仿宋" w:eastAsia="仿宋" w:cs="仿宋"/>
          <w:color w:val="000000"/>
          <w:kern w:val="0"/>
          <w:sz w:val="32"/>
          <w:szCs w:val="32"/>
          <w:lang w:bidi="ar"/>
        </w:rPr>
        <w:t>根据《壤塘县</w:t>
      </w:r>
      <w:r>
        <w:rPr>
          <w:rFonts w:hint="eastAsia" w:ascii="仿宋" w:hAnsi="仿宋" w:eastAsia="仿宋" w:cs="仿宋"/>
          <w:color w:val="000000"/>
          <w:kern w:val="0"/>
          <w:sz w:val="32"/>
          <w:szCs w:val="32"/>
          <w:lang w:eastAsia="zh-CN" w:bidi="ar"/>
        </w:rPr>
        <w:t>2024</w:t>
      </w:r>
      <w:r>
        <w:rPr>
          <w:rFonts w:hint="eastAsia" w:ascii="仿宋" w:hAnsi="仿宋" w:eastAsia="仿宋" w:cs="仿宋"/>
          <w:color w:val="000000"/>
          <w:kern w:val="0"/>
          <w:sz w:val="32"/>
          <w:szCs w:val="32"/>
          <w:lang w:bidi="ar"/>
        </w:rPr>
        <w:t>年部门整体支出绩效评价指标体系》评分，得分9</w:t>
      </w:r>
      <w:r>
        <w:rPr>
          <w:rFonts w:hint="eastAsia" w:ascii="仿宋" w:hAnsi="仿宋" w:eastAsia="仿宋" w:cs="仿宋"/>
          <w:color w:val="000000"/>
          <w:kern w:val="0"/>
          <w:sz w:val="32"/>
          <w:szCs w:val="32"/>
          <w:lang w:val="en-US" w:eastAsia="zh-CN" w:bidi="ar"/>
        </w:rPr>
        <w:t>8</w:t>
      </w:r>
      <w:r>
        <w:rPr>
          <w:rFonts w:hint="eastAsia" w:ascii="仿宋" w:hAnsi="仿宋" w:eastAsia="仿宋" w:cs="仿宋"/>
          <w:color w:val="000000"/>
          <w:kern w:val="0"/>
          <w:sz w:val="32"/>
          <w:szCs w:val="32"/>
          <w:lang w:bidi="ar"/>
        </w:rPr>
        <w:t>分，绩效评价结果优秀。</w:t>
      </w:r>
    </w:p>
    <w:p w14:paraId="25626874">
      <w:pPr>
        <w:widowControl/>
        <w:numPr>
          <w:ilvl w:val="0"/>
          <w:numId w:val="6"/>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存在问题</w:t>
      </w:r>
    </w:p>
    <w:p w14:paraId="6C772470">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val="zh-CN" w:bidi="ar"/>
        </w:rPr>
      </w:pPr>
      <w:r>
        <w:rPr>
          <w:rFonts w:hint="eastAsia" w:ascii="仿宋" w:hAnsi="仿宋" w:eastAsia="仿宋" w:cs="仿宋"/>
          <w:color w:val="000000"/>
          <w:kern w:val="0"/>
          <w:sz w:val="32"/>
          <w:szCs w:val="32"/>
          <w:lang w:bidi="ar"/>
        </w:rPr>
        <w:t>1、预算编制前根据年度内单位可预见的工作任务，确定了单位年度预算目标，细化了预算指标，但预算编制的精准性有待进一步提高。</w:t>
      </w:r>
    </w:p>
    <w:p w14:paraId="3C701343">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w:t>
      </w:r>
      <w:r>
        <w:rPr>
          <w:rFonts w:hint="eastAsia" w:ascii="仿宋" w:hAnsi="仿宋" w:eastAsia="仿宋" w:cs="仿宋"/>
          <w:color w:val="000000"/>
          <w:kern w:val="0"/>
          <w:sz w:val="32"/>
          <w:szCs w:val="32"/>
          <w:lang w:val="zh-CN" w:bidi="ar"/>
        </w:rPr>
        <w:t>是对部门整体支出预算评价工作不够重视，没有把预算财务分析作为常态化工作。</w:t>
      </w:r>
    </w:p>
    <w:p w14:paraId="22B459B1">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（三）改进建议</w:t>
      </w:r>
    </w:p>
    <w:p w14:paraId="34F2F96B">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1.加强学习，提高思想认识。组织单位财务人员认真学习《预算法》、《项目支出绩效评价》等文件精神及相关法规、制度，提高单位领导对全面预算管理及绩效评价工作的重视程度，增强意识。</w:t>
      </w:r>
    </w:p>
    <w:p w14:paraId="69FA0210">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bidi="ar"/>
        </w:rPr>
      </w:pPr>
      <w:r>
        <w:rPr>
          <w:rFonts w:hint="eastAsia" w:ascii="仿宋" w:hAnsi="仿宋" w:eastAsia="仿宋" w:cs="仿宋"/>
          <w:color w:val="000000"/>
          <w:kern w:val="0"/>
          <w:sz w:val="32"/>
          <w:szCs w:val="32"/>
          <w:lang w:bidi="ar"/>
        </w:rPr>
        <w:t>2.提高预算编制的可操作性，强化预算执行约束力，尽量减少预算调整。</w:t>
      </w:r>
    </w:p>
    <w:p w14:paraId="33B280C2">
      <w:pPr>
        <w:widowControl/>
        <w:jc w:val="left"/>
        <w:rPr>
          <w:rStyle w:val="29"/>
          <w:rFonts w:ascii="黑体" w:hAnsi="黑体" w:eastAsia="黑体"/>
          <w:b w:val="0"/>
        </w:rPr>
      </w:pPr>
      <w:r>
        <w:drawing>
          <wp:inline distT="0" distB="0" distL="114300" distR="114300">
            <wp:extent cx="5269230" cy="3587750"/>
            <wp:effectExtent l="0" t="0" r="381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69230" cy="3587750"/>
                    </a:xfrm>
                    <a:prstGeom prst="rect">
                      <a:avLst/>
                    </a:prstGeom>
                    <a:noFill/>
                    <a:ln>
                      <a:noFill/>
                    </a:ln>
                  </pic:spPr>
                </pic:pic>
              </a:graphicData>
            </a:graphic>
          </wp:inline>
        </w:drawing>
      </w:r>
    </w:p>
    <w:p w14:paraId="2507C474">
      <w:pPr>
        <w:widowControl/>
        <w:jc w:val="left"/>
        <w:rPr>
          <w:rStyle w:val="29"/>
          <w:rFonts w:ascii="黑体" w:hAnsi="黑体" w:eastAsia="黑体"/>
          <w:b w:val="0"/>
        </w:rPr>
      </w:pPr>
      <w:r>
        <w:rPr>
          <w:rStyle w:val="29"/>
          <w:rFonts w:ascii="黑体" w:hAnsi="黑体" w:eastAsia="黑体"/>
          <w:b w:val="0"/>
        </w:rPr>
        <w:br w:type="page"/>
      </w:r>
    </w:p>
    <w:p w14:paraId="1CDF22E1">
      <w:pPr>
        <w:spacing w:line="600" w:lineRule="exact"/>
        <w:jc w:val="center"/>
        <w:outlineLvl w:val="0"/>
        <w:rPr>
          <w:rStyle w:val="29"/>
          <w:rFonts w:ascii="黑体" w:hAnsi="黑体" w:eastAsia="黑体"/>
          <w:b w:val="0"/>
        </w:rPr>
      </w:pPr>
      <w:bookmarkStart w:id="118" w:name="_Toc79163635"/>
      <w:bookmarkStart w:id="119" w:name="_Toc15396618"/>
      <w:bookmarkStart w:id="120" w:name="_Toc32233"/>
      <w:r>
        <w:rPr>
          <w:rFonts w:hint="eastAsia" w:ascii="黑体" w:hAnsi="黑体" w:eastAsia="黑体"/>
          <w:color w:val="000000"/>
          <w:sz w:val="44"/>
          <w:szCs w:val="44"/>
        </w:rPr>
        <w:t>第</w:t>
      </w:r>
      <w:r>
        <w:rPr>
          <w:rStyle w:val="29"/>
          <w:rFonts w:hint="eastAsia" w:ascii="黑体" w:hAnsi="黑体" w:eastAsia="黑体"/>
          <w:b w:val="0"/>
        </w:rPr>
        <w:t>五部分</w:t>
      </w:r>
      <w:r>
        <w:rPr>
          <w:rStyle w:val="29"/>
          <w:rFonts w:ascii="黑体" w:hAnsi="黑体" w:eastAsia="黑体"/>
          <w:b w:val="0"/>
        </w:rPr>
        <w:t xml:space="preserve"> </w:t>
      </w:r>
      <w:r>
        <w:rPr>
          <w:rStyle w:val="29"/>
          <w:rFonts w:hint="eastAsia" w:ascii="黑体" w:hAnsi="黑体" w:eastAsia="黑体"/>
          <w:b w:val="0"/>
        </w:rPr>
        <w:t>附表</w:t>
      </w:r>
      <w:bookmarkEnd w:id="109"/>
      <w:bookmarkEnd w:id="118"/>
      <w:bookmarkEnd w:id="119"/>
      <w:bookmarkEnd w:id="120"/>
    </w:p>
    <w:p w14:paraId="359F39B0">
      <w:pPr>
        <w:pStyle w:val="5"/>
        <w:rPr>
          <w:rFonts w:ascii="仿宋" w:hAnsi="仿宋" w:eastAsia="仿宋"/>
          <w:color w:val="000000"/>
        </w:rPr>
      </w:pPr>
      <w:bookmarkStart w:id="121" w:name="_Toc79163636"/>
      <w:bookmarkStart w:id="122" w:name="_Toc23912"/>
      <w:bookmarkStart w:id="123"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121"/>
      <w:bookmarkEnd w:id="122"/>
      <w:bookmarkEnd w:id="123"/>
    </w:p>
    <w:p w14:paraId="6922812E">
      <w:pPr>
        <w:pStyle w:val="5"/>
        <w:rPr>
          <w:rFonts w:ascii="仿宋" w:hAnsi="仿宋" w:eastAsia="仿宋"/>
          <w:color w:val="000000"/>
        </w:rPr>
      </w:pPr>
      <w:bookmarkStart w:id="124" w:name="_Toc15396620"/>
      <w:bookmarkStart w:id="125" w:name="_Toc10372"/>
      <w:bookmarkStart w:id="126" w:name="_Toc79163637"/>
      <w:r>
        <w:rPr>
          <w:rFonts w:hint="eastAsia" w:ascii="仿宋" w:hAnsi="仿宋" w:eastAsia="仿宋"/>
          <w:b w:val="0"/>
          <w:color w:val="000000"/>
        </w:rPr>
        <w:t>二、收</w:t>
      </w:r>
      <w:r>
        <w:rPr>
          <w:rStyle w:val="30"/>
          <w:rFonts w:hint="eastAsia" w:ascii="仿宋" w:hAnsi="仿宋" w:eastAsia="仿宋"/>
          <w:b w:val="0"/>
          <w:bCs w:val="0"/>
        </w:rPr>
        <w:t>入决算表</w:t>
      </w:r>
      <w:bookmarkEnd w:id="124"/>
      <w:bookmarkEnd w:id="125"/>
      <w:bookmarkEnd w:id="126"/>
    </w:p>
    <w:p w14:paraId="5BD5534F">
      <w:pPr>
        <w:pStyle w:val="5"/>
        <w:rPr>
          <w:rFonts w:ascii="仿宋" w:hAnsi="仿宋" w:eastAsia="仿宋"/>
          <w:color w:val="000000"/>
        </w:rPr>
      </w:pPr>
      <w:bookmarkStart w:id="127" w:name="_Toc15396621"/>
      <w:bookmarkStart w:id="128" w:name="_Toc22551"/>
      <w:bookmarkStart w:id="129" w:name="_Toc79163638"/>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127"/>
      <w:bookmarkEnd w:id="128"/>
      <w:bookmarkEnd w:id="129"/>
    </w:p>
    <w:p w14:paraId="109220CE">
      <w:pPr>
        <w:pStyle w:val="5"/>
        <w:rPr>
          <w:rFonts w:ascii="仿宋" w:hAnsi="仿宋" w:eastAsia="仿宋"/>
          <w:b w:val="0"/>
          <w:color w:val="000000"/>
        </w:rPr>
      </w:pPr>
      <w:bookmarkStart w:id="130" w:name="_Toc15396622"/>
      <w:bookmarkStart w:id="131" w:name="_Toc79163639"/>
      <w:bookmarkStart w:id="132" w:name="_Toc2805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130"/>
      <w:bookmarkEnd w:id="131"/>
      <w:bookmarkEnd w:id="132"/>
    </w:p>
    <w:p w14:paraId="3322FE55">
      <w:pPr>
        <w:pStyle w:val="5"/>
        <w:rPr>
          <w:rStyle w:val="30"/>
          <w:rFonts w:ascii="仿宋" w:hAnsi="仿宋" w:eastAsia="仿宋"/>
          <w:b w:val="0"/>
          <w:bCs w:val="0"/>
        </w:rPr>
      </w:pPr>
      <w:bookmarkStart w:id="133" w:name="_Toc31661"/>
      <w:bookmarkStart w:id="134" w:name="_Toc79163640"/>
      <w:bookmarkStart w:id="135"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133"/>
      <w:bookmarkEnd w:id="134"/>
      <w:bookmarkEnd w:id="135"/>
      <w:bookmarkStart w:id="136" w:name="_Toc15396624"/>
    </w:p>
    <w:p w14:paraId="2D47D92F">
      <w:pPr>
        <w:pStyle w:val="5"/>
        <w:rPr>
          <w:rFonts w:ascii="仿宋" w:hAnsi="仿宋" w:eastAsia="仿宋"/>
          <w:color w:val="000000"/>
        </w:rPr>
      </w:pPr>
      <w:bookmarkStart w:id="137" w:name="_Toc79163641"/>
      <w:bookmarkStart w:id="138" w:name="_Toc29728"/>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136"/>
      <w:bookmarkEnd w:id="137"/>
      <w:bookmarkEnd w:id="138"/>
    </w:p>
    <w:p w14:paraId="1BE94821">
      <w:pPr>
        <w:pStyle w:val="5"/>
        <w:rPr>
          <w:rFonts w:ascii="仿宋" w:hAnsi="仿宋" w:eastAsia="仿宋"/>
          <w:color w:val="000000"/>
        </w:rPr>
      </w:pPr>
      <w:bookmarkStart w:id="139" w:name="_Toc15396625"/>
      <w:bookmarkStart w:id="140" w:name="_Toc14143"/>
      <w:bookmarkStart w:id="141" w:name="_Toc79163642"/>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139"/>
      <w:bookmarkEnd w:id="140"/>
      <w:bookmarkEnd w:id="141"/>
    </w:p>
    <w:p w14:paraId="684CA196">
      <w:pPr>
        <w:pStyle w:val="5"/>
        <w:rPr>
          <w:rFonts w:ascii="仿宋" w:hAnsi="仿宋" w:eastAsia="仿宋"/>
          <w:color w:val="000000"/>
        </w:rPr>
      </w:pPr>
      <w:bookmarkStart w:id="142" w:name="_Toc15396626"/>
      <w:bookmarkStart w:id="143" w:name="_Toc27243"/>
      <w:bookmarkStart w:id="144" w:name="_Toc79163643"/>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142"/>
      <w:bookmarkEnd w:id="143"/>
      <w:bookmarkEnd w:id="144"/>
    </w:p>
    <w:p w14:paraId="708B231F">
      <w:pPr>
        <w:pStyle w:val="5"/>
        <w:rPr>
          <w:rFonts w:ascii="仿宋" w:hAnsi="仿宋" w:eastAsia="仿宋"/>
          <w:color w:val="000000"/>
        </w:rPr>
      </w:pPr>
      <w:bookmarkStart w:id="145" w:name="_Toc79163644"/>
      <w:bookmarkStart w:id="146" w:name="_Toc5502"/>
      <w:bookmarkStart w:id="147"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145"/>
      <w:bookmarkEnd w:id="146"/>
      <w:bookmarkEnd w:id="147"/>
    </w:p>
    <w:p w14:paraId="6876E7CD">
      <w:pPr>
        <w:pStyle w:val="5"/>
        <w:rPr>
          <w:rFonts w:ascii="仿宋" w:hAnsi="仿宋" w:eastAsia="仿宋"/>
          <w:color w:val="000000"/>
        </w:rPr>
      </w:pPr>
      <w:bookmarkStart w:id="148" w:name="_Toc22516"/>
      <w:bookmarkStart w:id="149" w:name="_Toc15396628"/>
      <w:bookmarkStart w:id="150" w:name="_Toc79163645"/>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148"/>
      <w:bookmarkEnd w:id="149"/>
      <w:bookmarkEnd w:id="150"/>
    </w:p>
    <w:p w14:paraId="29CCC453">
      <w:pPr>
        <w:pStyle w:val="5"/>
        <w:rPr>
          <w:rFonts w:ascii="仿宋" w:hAnsi="仿宋" w:eastAsia="仿宋"/>
          <w:color w:val="000000"/>
        </w:rPr>
      </w:pPr>
      <w:bookmarkStart w:id="151" w:name="_Toc15396629"/>
      <w:bookmarkStart w:id="152" w:name="_Toc20787"/>
      <w:bookmarkStart w:id="153" w:name="_Toc79163646"/>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151"/>
      <w:bookmarkEnd w:id="152"/>
      <w:bookmarkEnd w:id="153"/>
    </w:p>
    <w:p w14:paraId="59040F93">
      <w:pPr>
        <w:pStyle w:val="5"/>
        <w:rPr>
          <w:rFonts w:ascii="仿宋" w:hAnsi="仿宋" w:eastAsia="仿宋"/>
          <w:color w:val="000000"/>
        </w:rPr>
      </w:pPr>
      <w:bookmarkStart w:id="154" w:name="_Toc79163647"/>
      <w:bookmarkStart w:id="155" w:name="_Toc15396630"/>
      <w:bookmarkStart w:id="156" w:name="_Toc1651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154"/>
      <w:bookmarkEnd w:id="155"/>
      <w:bookmarkEnd w:id="156"/>
    </w:p>
    <w:p w14:paraId="37EEF0F0">
      <w:pPr>
        <w:pStyle w:val="5"/>
        <w:rPr>
          <w:rStyle w:val="30"/>
          <w:rFonts w:ascii="仿宋" w:hAnsi="仿宋" w:eastAsia="仿宋"/>
          <w:b w:val="0"/>
          <w:bCs w:val="0"/>
        </w:rPr>
      </w:pPr>
      <w:bookmarkStart w:id="157" w:name="_Toc79163648"/>
      <w:bookmarkStart w:id="158" w:name="_Toc15396631"/>
      <w:bookmarkStart w:id="159" w:name="_Toc19124"/>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有资本经营预算财政拨款支出决算表</w:t>
      </w:r>
      <w:bookmarkEnd w:id="157"/>
      <w:bookmarkEnd w:id="158"/>
      <w:bookmarkEnd w:id="159"/>
    </w:p>
    <w:p w14:paraId="6E2D6BBA">
      <w:pPr>
        <w:pStyle w:val="5"/>
        <w:rPr>
          <w:rStyle w:val="30"/>
          <w:rFonts w:ascii="仿宋" w:hAnsi="仿宋" w:eastAsia="仿宋"/>
          <w:b w:val="0"/>
          <w:bCs w:val="0"/>
        </w:rPr>
      </w:pPr>
      <w:bookmarkStart w:id="160" w:name="_Toc79163649"/>
      <w:bookmarkStart w:id="161" w:name="_Toc10304"/>
      <w:r>
        <w:rPr>
          <w:rStyle w:val="30"/>
          <w:rFonts w:hint="eastAsia" w:ascii="仿宋" w:hAnsi="仿宋" w:eastAsia="仿宋"/>
          <w:b w:val="0"/>
          <w:bCs w:val="0"/>
        </w:rPr>
        <w:t>十四、国有资本经营预算财政拨款支出决算表</w:t>
      </w:r>
      <w:bookmarkEnd w:id="160"/>
      <w:bookmarkEnd w:id="161"/>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
    <w:altName w:val="宋体"/>
    <w:panose1 w:val="00000000000000000000"/>
    <w:charset w:val="00"/>
    <w:family w:val="auto"/>
    <w:pitch w:val="default"/>
    <w:sig w:usb0="00000000" w:usb1="00000000" w:usb2="00000000" w:usb3="00000000" w:csb0="0000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593B3">
    <w:pPr>
      <w:pStyle w:val="14"/>
      <w:jc w:val="center"/>
    </w:pPr>
    <w:r>
      <w:fldChar w:fldCharType="begin"/>
    </w:r>
    <w:r>
      <w:instrText xml:space="preserve">PAGE   \* MERGEFORMAT</w:instrText>
    </w:r>
    <w:r>
      <w:fldChar w:fldCharType="separate"/>
    </w:r>
    <w:r>
      <w:t>25</w:t>
    </w:r>
    <w:r>
      <w:fldChar w:fldCharType="end"/>
    </w:r>
  </w:p>
  <w:p w14:paraId="0323FA2D">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98B54">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4476C">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06CCE1D5"/>
    <w:multiLevelType w:val="singleLevel"/>
    <w:tmpl w:val="06CCE1D5"/>
    <w:lvl w:ilvl="0" w:tentative="0">
      <w:start w:val="4"/>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2B905EE6"/>
    <w:multiLevelType w:val="singleLevel"/>
    <w:tmpl w:val="2B905EE6"/>
    <w:lvl w:ilvl="0" w:tentative="0">
      <w:start w:val="4"/>
      <w:numFmt w:val="decimal"/>
      <w:suff w:val="nothing"/>
      <w:lvlText w:val="%1、"/>
      <w:lvlJc w:val="left"/>
    </w:lvl>
  </w:abstractNum>
  <w:abstractNum w:abstractNumId="5">
    <w:nsid w:val="43BF398C"/>
    <w:multiLevelType w:val="singleLevel"/>
    <w:tmpl w:val="43BF398C"/>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NlYmU3NGU2NGQ5ZDViNDUxMTZkNjBhMzg5ZjY4NT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2B96468"/>
    <w:rsid w:val="0A2032A3"/>
    <w:rsid w:val="0CC84116"/>
    <w:rsid w:val="10C055FF"/>
    <w:rsid w:val="111D6E87"/>
    <w:rsid w:val="118107EC"/>
    <w:rsid w:val="132023F7"/>
    <w:rsid w:val="163C4F8E"/>
    <w:rsid w:val="16BB723D"/>
    <w:rsid w:val="1D155CEE"/>
    <w:rsid w:val="1F8A45CD"/>
    <w:rsid w:val="1FB86E31"/>
    <w:rsid w:val="22437A53"/>
    <w:rsid w:val="240371BF"/>
    <w:rsid w:val="29FD04D3"/>
    <w:rsid w:val="2D004C0F"/>
    <w:rsid w:val="2D0637A8"/>
    <w:rsid w:val="319F7F4E"/>
    <w:rsid w:val="326B7F22"/>
    <w:rsid w:val="335C6514"/>
    <w:rsid w:val="3B015A41"/>
    <w:rsid w:val="4ECE2238"/>
    <w:rsid w:val="588A4517"/>
    <w:rsid w:val="5D1555AB"/>
    <w:rsid w:val="5DC97BCB"/>
    <w:rsid w:val="5F385194"/>
    <w:rsid w:val="61CB62CF"/>
    <w:rsid w:val="670441FA"/>
    <w:rsid w:val="6C4A05C8"/>
    <w:rsid w:val="6E4D34AC"/>
    <w:rsid w:val="72734D90"/>
    <w:rsid w:val="73944A74"/>
    <w:rsid w:val="7F076C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index 8"/>
    <w:basedOn w:val="1"/>
    <w:next w:val="1"/>
    <w:unhideWhenUsed/>
    <w:qFormat/>
    <w:uiPriority w:val="99"/>
    <w:pPr>
      <w:ind w:left="2940"/>
    </w:pPr>
  </w:style>
  <w:style w:type="paragraph" w:styleId="9">
    <w:name w:val="Body Text"/>
    <w:basedOn w:val="1"/>
    <w:next w:val="8"/>
    <w:link w:val="38"/>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3"/>
    <w:semiHidden/>
    <w:unhideWhenUsed/>
    <w:qFormat/>
    <w:uiPriority w:val="99"/>
    <w:rPr>
      <w:sz w:val="18"/>
      <w:szCs w:val="18"/>
    </w:rPr>
  </w:style>
  <w:style w:type="paragraph" w:styleId="14">
    <w:name w:val="footer"/>
    <w:basedOn w:val="1"/>
    <w:link w:val="37"/>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6"/>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footnote text"/>
    <w:basedOn w:val="1"/>
    <w:next w:val="2"/>
    <w:semiHidden/>
    <w:qFormat/>
    <w:uiPriority w:val="0"/>
    <w:pPr>
      <w:snapToGrid w:val="0"/>
      <w:jc w:val="left"/>
    </w:pPr>
    <w:rPr>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1">
    <w:name w:val="toc 2"/>
    <w:basedOn w:val="1"/>
    <w:next w:val="1"/>
    <w:unhideWhenUsed/>
    <w:qFormat/>
    <w:uiPriority w:val="39"/>
    <w:pPr>
      <w:ind w:left="210"/>
      <w:jc w:val="left"/>
    </w:pPr>
    <w:rPr>
      <w:rFonts w:asciiTheme="minorHAnsi" w:eastAsiaTheme="minorHAnsi"/>
      <w:smallCaps/>
      <w:sz w:val="20"/>
      <w:szCs w:val="20"/>
    </w:rPr>
  </w:style>
  <w:style w:type="paragraph" w:styleId="22">
    <w:name w:val="toc 9"/>
    <w:basedOn w:val="1"/>
    <w:next w:val="1"/>
    <w:unhideWhenUsed/>
    <w:qFormat/>
    <w:uiPriority w:val="39"/>
    <w:pPr>
      <w:ind w:left="1680"/>
      <w:jc w:val="left"/>
    </w:pPr>
    <w:rPr>
      <w:rFonts w:asciiTheme="minorHAnsi" w:eastAsiaTheme="minorHAnsi"/>
      <w:sz w:val="18"/>
      <w:szCs w:val="18"/>
    </w:rPr>
  </w:style>
  <w:style w:type="paragraph" w:styleId="23">
    <w:name w:val="Normal (Web)"/>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Times New Roman"/>
      <w:snapToGrid/>
      <w:color w:val="auto"/>
      <w:spacing w:val="0"/>
      <w:w w:val="100"/>
      <w:kern w:val="0"/>
      <w:position w:val="0"/>
      <w:sz w:val="24"/>
      <w:szCs w:val="21"/>
      <w:u w:val="none" w:color="auto"/>
      <w:vertAlign w:val="baseline"/>
      <w:lang w:val="en-US" w:eastAsia="zh-CN" w:bidi="ar-SA"/>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paragraph" w:customStyle="1" w:styleId="28">
    <w:name w:val="列出段落1"/>
    <w:basedOn w:val="1"/>
    <w:qFormat/>
    <w:uiPriority w:val="34"/>
    <w:pPr>
      <w:ind w:firstLine="420" w:firstLineChars="200"/>
    </w:pPr>
    <w:rPr>
      <w:rFonts w:ascii="Calibri" w:hAnsi="Calibri" w:eastAsia="宋体" w:cs="Times New Roman"/>
    </w:rPr>
  </w:style>
  <w:style w:type="character" w:customStyle="1" w:styleId="29">
    <w:name w:val="标题 1 Char"/>
    <w:basedOn w:val="25"/>
    <w:link w:val="4"/>
    <w:qFormat/>
    <w:locked/>
    <w:uiPriority w:val="9"/>
    <w:rPr>
      <w:rFonts w:ascii="Times New Roman" w:hAnsi="Times New Roman" w:cs="Times New Roman"/>
      <w:b/>
      <w:bCs/>
      <w:kern w:val="44"/>
      <w:sz w:val="44"/>
      <w:szCs w:val="44"/>
    </w:rPr>
  </w:style>
  <w:style w:type="character" w:customStyle="1" w:styleId="30">
    <w:name w:val="标题 2 Char"/>
    <w:basedOn w:val="25"/>
    <w:link w:val="5"/>
    <w:qFormat/>
    <w:locked/>
    <w:uiPriority w:val="9"/>
    <w:rPr>
      <w:rFonts w:ascii="Cambria" w:hAnsi="Cambria" w:eastAsia="宋体" w:cs="Times New Roman"/>
      <w:b/>
      <w:bCs/>
      <w:kern w:val="2"/>
      <w:sz w:val="32"/>
      <w:szCs w:val="32"/>
    </w:rPr>
  </w:style>
  <w:style w:type="character" w:customStyle="1" w:styleId="31">
    <w:name w:val="标题 3 Char"/>
    <w:basedOn w:val="25"/>
    <w:link w:val="6"/>
    <w:qFormat/>
    <w:locked/>
    <w:uiPriority w:val="9"/>
    <w:rPr>
      <w:rFonts w:ascii="Times New Roman" w:hAnsi="Times New Roman" w:cs="Times New Roman"/>
      <w:b/>
      <w:bCs/>
      <w:kern w:val="2"/>
      <w:sz w:val="32"/>
      <w:szCs w:val="32"/>
    </w:rPr>
  </w:style>
  <w:style w:type="character" w:customStyle="1" w:styleId="32">
    <w:name w:val="Body Text Char"/>
    <w:basedOn w:val="25"/>
    <w:semiHidden/>
    <w:qFormat/>
    <w:uiPriority w:val="99"/>
    <w:rPr>
      <w:rFonts w:ascii="Times New Roman" w:hAnsi="Times New Roman" w:cs="Times New Roman"/>
      <w:sz w:val="24"/>
      <w:szCs w:val="24"/>
    </w:rPr>
  </w:style>
  <w:style w:type="character" w:customStyle="1" w:styleId="33">
    <w:name w:val="批注框文本 Char"/>
    <w:basedOn w:val="25"/>
    <w:link w:val="13"/>
    <w:semiHidden/>
    <w:qFormat/>
    <w:locked/>
    <w:uiPriority w:val="99"/>
    <w:rPr>
      <w:rFonts w:ascii="Times New Roman" w:hAnsi="Times New Roman" w:cs="Times New Roman"/>
      <w:kern w:val="2"/>
      <w:sz w:val="18"/>
      <w:szCs w:val="18"/>
    </w:rPr>
  </w:style>
  <w:style w:type="character" w:customStyle="1" w:styleId="34">
    <w:name w:val="Footer Char"/>
    <w:basedOn w:val="25"/>
    <w:semiHidden/>
    <w:qFormat/>
    <w:uiPriority w:val="99"/>
    <w:rPr>
      <w:rFonts w:ascii="Times New Roman" w:hAnsi="Times New Roman" w:cs="Times New Roman"/>
      <w:sz w:val="18"/>
      <w:szCs w:val="18"/>
    </w:rPr>
  </w:style>
  <w:style w:type="character" w:customStyle="1" w:styleId="35">
    <w:name w:val="Header Char"/>
    <w:basedOn w:val="25"/>
    <w:semiHidden/>
    <w:qFormat/>
    <w:uiPriority w:val="99"/>
    <w:rPr>
      <w:rFonts w:ascii="Times New Roman" w:hAnsi="Times New Roman" w:cs="Times New Roman"/>
      <w:sz w:val="18"/>
      <w:szCs w:val="18"/>
    </w:rPr>
  </w:style>
  <w:style w:type="character" w:customStyle="1" w:styleId="36">
    <w:name w:val="页眉 Char"/>
    <w:link w:val="15"/>
    <w:semiHidden/>
    <w:qFormat/>
    <w:locked/>
    <w:uiPriority w:val="99"/>
    <w:rPr>
      <w:sz w:val="18"/>
    </w:rPr>
  </w:style>
  <w:style w:type="character" w:customStyle="1" w:styleId="37">
    <w:name w:val="页脚 Char"/>
    <w:link w:val="14"/>
    <w:qFormat/>
    <w:locked/>
    <w:uiPriority w:val="99"/>
    <w:rPr>
      <w:sz w:val="18"/>
    </w:rPr>
  </w:style>
  <w:style w:type="character" w:customStyle="1" w:styleId="38">
    <w:name w:val="正文文本 Char"/>
    <w:link w:val="9"/>
    <w:qFormat/>
    <w:locked/>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2.png"/><Relationship Id="rId15" Type="http://schemas.openxmlformats.org/officeDocument/2006/relationships/chart" Target="charts/chart8.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2270;&#34920;&#24555;&#2546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2270;&#34920;&#24555;&#25463;.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2270;&#34920;&#24555;&#25463;.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2270;&#34920;&#24555;&#25463;.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2270;&#34920;&#24555;&#25463;.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2270;&#34920;&#24555;&#25463;.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[图表快捷.xls]Sheet1!$A$3:$B$3</c:f>
              <c:strCache>
                <c:ptCount val="2"/>
                <c:pt idx="0">
                  <c:v>2023年</c:v>
                </c:pt>
                <c:pt idx="1">
                  <c:v>2024年</c:v>
                </c:pt>
              </c:strCache>
            </c:strRef>
          </c:cat>
          <c:val>
            <c:numRef>
              <c:f>[图表快捷.xls]Sheet1!$A$4:$B$4</c:f>
              <c:numCache>
                <c:formatCode>#,##0.00</c:formatCode>
                <c:ptCount val="2"/>
                <c:pt idx="0">
                  <c:v>222.55</c:v>
                </c:pt>
                <c:pt idx="1">
                  <c:v>223.64</c:v>
                </c:pt>
              </c:numCache>
            </c:numRef>
          </c:val>
        </c:ser>
        <c:dLbls>
          <c:showLegendKey val="0"/>
          <c:showVal val="0"/>
          <c:showCatName val="0"/>
          <c:showSerName val="0"/>
          <c:showPercent val="0"/>
          <c:showBubbleSize val="0"/>
        </c:dLbls>
        <c:gapWidth val="219"/>
        <c:overlap val="-27"/>
        <c:axId val="824881662"/>
        <c:axId val="952663897"/>
      </c:barChart>
      <c:catAx>
        <c:axId val="82488166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2663897"/>
        <c:crosses val="autoZero"/>
        <c:auto val="1"/>
        <c:lblAlgn val="ctr"/>
        <c:lblOffset val="100"/>
        <c:noMultiLvlLbl val="0"/>
      </c:catAx>
      <c:valAx>
        <c:axId val="95266389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4881662"/>
        <c:crosses val="autoZero"/>
        <c:crossBetween val="between"/>
      </c:valAx>
      <c:spPr>
        <a:noFill/>
        <a:ln>
          <a:noFill/>
        </a:ln>
        <a:effectLst/>
      </c:spPr>
    </c:plotArea>
    <c:plotVisOnly val="1"/>
    <c:dispBlanksAs val="gap"/>
    <c:showDLblsOverMax val="0"/>
    <c:extLst>
      <c:ext uri="{0b15fc19-7d7d-44ad-8c2d-2c3a37ce22c3}">
        <chartProps xmlns="https://web.wps.cn/et/2018/main" chartId="{6a7626da-52e7-4000-8598-d37b2765520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[图表快捷.xls]Sheet1!$A$24:$B$24</c:f>
              <c:strCache>
                <c:ptCount val="2"/>
                <c:pt idx="0">
                  <c:v>2023年</c:v>
                </c:pt>
                <c:pt idx="1">
                  <c:v>2024年</c:v>
                </c:pt>
              </c:strCache>
            </c:strRef>
          </c:cat>
          <c:val>
            <c:numRef>
              <c:f>[图表快捷.xls]Sheet1!$A$25:$B$25</c:f>
              <c:numCache>
                <c:formatCode>#,##0.00</c:formatCode>
                <c:ptCount val="2"/>
                <c:pt idx="0">
                  <c:v>222.55</c:v>
                </c:pt>
                <c:pt idx="1">
                  <c:v>223.64</c:v>
                </c:pt>
              </c:numCache>
            </c:numRef>
          </c:val>
        </c:ser>
        <c:dLbls>
          <c:showLegendKey val="0"/>
          <c:showVal val="0"/>
          <c:showCatName val="0"/>
          <c:showSerName val="0"/>
          <c:showPercent val="0"/>
          <c:showBubbleSize val="0"/>
        </c:dLbls>
        <c:gapWidth val="219"/>
        <c:overlap val="-27"/>
        <c:axId val="124089606"/>
        <c:axId val="149382473"/>
      </c:barChart>
      <c:catAx>
        <c:axId val="12408960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9382473"/>
        <c:crosses val="autoZero"/>
        <c:auto val="1"/>
        <c:lblAlgn val="ctr"/>
        <c:lblOffset val="100"/>
        <c:noMultiLvlLbl val="0"/>
      </c:catAx>
      <c:valAx>
        <c:axId val="14938247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4089606"/>
        <c:crosses val="autoZero"/>
        <c:crossBetween val="between"/>
      </c:valAx>
      <c:spPr>
        <a:noFill/>
        <a:ln>
          <a:noFill/>
        </a:ln>
        <a:effectLst/>
      </c:spPr>
    </c:plotArea>
    <c:plotVisOnly val="1"/>
    <c:dispBlanksAs val="gap"/>
    <c:showDLblsOverMax val="0"/>
    <c:extLst>
      <c:ext uri="{0b15fc19-7d7d-44ad-8c2d-2c3a37ce22c3}">
        <chartProps xmlns="https://web.wps.cn/et/2018/main" chartId="{6771a83f-37c2-4528-959e-269aaea8966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222.55</c:v>
                </c:pt>
                <c:pt idx="1">
                  <c:v>0</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67512a-07d4-484c-bc9a-6727251c236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[图表快捷.xls]Sheet1!$A$83:$B$83</c:f>
              <c:strCache>
                <c:ptCount val="2"/>
                <c:pt idx="0">
                  <c:v>2023年</c:v>
                </c:pt>
                <c:pt idx="1">
                  <c:v>2024年</c:v>
                </c:pt>
              </c:strCache>
            </c:strRef>
          </c:cat>
          <c:val>
            <c:numRef>
              <c:f>[图表快捷.xls]Sheet1!$A$84:$B$84</c:f>
              <c:numCache>
                <c:formatCode>#,##0.00</c:formatCode>
                <c:ptCount val="2"/>
                <c:pt idx="0">
                  <c:v>222.55</c:v>
                </c:pt>
                <c:pt idx="1">
                  <c:v>223.64</c:v>
                </c:pt>
              </c:numCache>
            </c:numRef>
          </c:val>
        </c:ser>
        <c:dLbls>
          <c:showLegendKey val="0"/>
          <c:showVal val="0"/>
          <c:showCatName val="0"/>
          <c:showSerName val="0"/>
          <c:showPercent val="0"/>
          <c:showBubbleSize val="0"/>
        </c:dLbls>
        <c:gapWidth val="219"/>
        <c:overlap val="-27"/>
        <c:axId val="196324847"/>
        <c:axId val="623832543"/>
      </c:barChart>
      <c:catAx>
        <c:axId val="19632484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3832543"/>
        <c:crosses val="autoZero"/>
        <c:auto val="1"/>
        <c:lblAlgn val="ctr"/>
        <c:lblOffset val="100"/>
        <c:noMultiLvlLbl val="0"/>
      </c:catAx>
      <c:valAx>
        <c:axId val="62383254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6324847"/>
        <c:crosses val="autoZero"/>
        <c:crossBetween val="between"/>
      </c:valAx>
      <c:spPr>
        <a:noFill/>
        <a:ln>
          <a:noFill/>
        </a:ln>
        <a:effectLst/>
      </c:spPr>
    </c:plotArea>
    <c:plotVisOnly val="1"/>
    <c:dispBlanksAs val="gap"/>
    <c:showDLblsOverMax val="0"/>
    <c:extLst>
      <c:ext uri="{0b15fc19-7d7d-44ad-8c2d-2c3a37ce22c3}">
        <chartProps xmlns="https://web.wps.cn/et/2018/main" chartId="{0f36d934-d0b2-400b-ad55-a3b5ea235b6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[图表快捷.xls]Sheet1!$A$100:$B$100</c:f>
              <c:strCache>
                <c:ptCount val="2"/>
                <c:pt idx="0">
                  <c:v>2023年</c:v>
                </c:pt>
                <c:pt idx="1">
                  <c:v>2024年</c:v>
                </c:pt>
              </c:strCache>
            </c:strRef>
          </c:cat>
          <c:val>
            <c:numRef>
              <c:f>[图表快捷.xls]Sheet1!$A$101:$B$101</c:f>
              <c:numCache>
                <c:formatCode>#,##0.00</c:formatCode>
                <c:ptCount val="2"/>
                <c:pt idx="0">
                  <c:v>222.55</c:v>
                </c:pt>
                <c:pt idx="1">
                  <c:v>223.64</c:v>
                </c:pt>
              </c:numCache>
            </c:numRef>
          </c:val>
        </c:ser>
        <c:dLbls>
          <c:showLegendKey val="0"/>
          <c:showVal val="0"/>
          <c:showCatName val="0"/>
          <c:showSerName val="0"/>
          <c:showPercent val="0"/>
          <c:showBubbleSize val="0"/>
        </c:dLbls>
        <c:gapWidth val="219"/>
        <c:overlap val="-27"/>
        <c:axId val="707477475"/>
        <c:axId val="644998041"/>
      </c:barChart>
      <c:catAx>
        <c:axId val="70747747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998041"/>
        <c:crosses val="autoZero"/>
        <c:auto val="1"/>
        <c:lblAlgn val="ctr"/>
        <c:lblOffset val="100"/>
        <c:noMultiLvlLbl val="0"/>
      </c:catAx>
      <c:valAx>
        <c:axId val="64499804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7477475"/>
        <c:crosses val="autoZero"/>
        <c:crossBetween val="between"/>
      </c:valAx>
      <c:spPr>
        <a:noFill/>
        <a:ln>
          <a:noFill/>
        </a:ln>
        <a:effectLst/>
      </c:spPr>
    </c:plotArea>
    <c:plotVisOnly val="1"/>
    <c:dispBlanksAs val="gap"/>
    <c:showDLblsOverMax val="0"/>
    <c:extLst>
      <c:ext uri="{0b15fc19-7d7d-44ad-8c2d-2c3a37ce22c3}">
        <chartProps xmlns="https://web.wps.cn/et/2018/main" chartId="{813e7578-3c56-47e9-9dd2-418c86258a9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[图表快捷.xls]Sheet1!$A$116:$B$116</c:f>
              <c:strCache>
                <c:ptCount val="2"/>
                <c:pt idx="0">
                  <c:v>2023年</c:v>
                </c:pt>
                <c:pt idx="1">
                  <c:v>2024年</c:v>
                </c:pt>
              </c:strCache>
            </c:strRef>
          </c:cat>
          <c:val>
            <c:numRef>
              <c:f>[图表快捷.xls]Sheet1!$A$117:$B$117</c:f>
              <c:numCache>
                <c:formatCode>#,##0.00</c:formatCode>
                <c:ptCount val="2"/>
                <c:pt idx="0">
                  <c:v>222.55</c:v>
                </c:pt>
                <c:pt idx="1">
                  <c:v>223.64</c:v>
                </c:pt>
              </c:numCache>
            </c:numRef>
          </c:val>
        </c:ser>
        <c:dLbls>
          <c:showLegendKey val="0"/>
          <c:showVal val="0"/>
          <c:showCatName val="0"/>
          <c:showSerName val="0"/>
          <c:showPercent val="0"/>
          <c:showBubbleSize val="0"/>
        </c:dLbls>
        <c:gapWidth val="219"/>
        <c:overlap val="-27"/>
        <c:axId val="589516765"/>
        <c:axId val="129884647"/>
      </c:barChart>
      <c:catAx>
        <c:axId val="58951676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9884647"/>
        <c:crosses val="autoZero"/>
        <c:auto val="1"/>
        <c:lblAlgn val="ctr"/>
        <c:lblOffset val="100"/>
        <c:noMultiLvlLbl val="0"/>
      </c:catAx>
      <c:valAx>
        <c:axId val="12988464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516765"/>
        <c:crosses val="autoZero"/>
        <c:crossBetween val="between"/>
      </c:valAx>
      <c:spPr>
        <a:noFill/>
        <a:ln>
          <a:noFill/>
        </a:ln>
        <a:effectLst/>
      </c:spPr>
    </c:plotArea>
    <c:plotVisOnly val="1"/>
    <c:dispBlanksAs val="gap"/>
    <c:showDLblsOverMax val="0"/>
    <c:extLst>
      <c:ext uri="{0b15fc19-7d7d-44ad-8c2d-2c3a37ce22c3}">
        <chartProps xmlns="https://web.wps.cn/et/2018/main" chartId="{536d742a-5ad7-4e5c-b3bd-c65f5dcb410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[图表快捷.xls]Sheet1!$C$140:$C$143</c:f>
              <c:strCache>
                <c:ptCount val="4"/>
                <c:pt idx="0">
                  <c:v>一般公共服务支出</c:v>
                </c:pt>
                <c:pt idx="1">
                  <c:v>社会保障和就业支出</c:v>
                </c:pt>
                <c:pt idx="2">
                  <c:v>卫生健康支出</c:v>
                </c:pt>
                <c:pt idx="3">
                  <c:v>住房保障支出</c:v>
                </c:pt>
              </c:strCache>
            </c:strRef>
          </c:cat>
          <c:val>
            <c:numRef>
              <c:f>[图表快捷.xls]Sheet1!$D$140:$D$143</c:f>
              <c:numCache>
                <c:formatCode>_ * #,##0.00_ ;_ * \-#,##0.00_ ;_ * "-"??_ ;_ @_ </c:formatCode>
                <c:ptCount val="4"/>
                <c:pt idx="0">
                  <c:v>164.24</c:v>
                </c:pt>
                <c:pt idx="1">
                  <c:v>30.31</c:v>
                </c:pt>
                <c:pt idx="2">
                  <c:v>11.97</c:v>
                </c:pt>
                <c:pt idx="3">
                  <c:v>17.13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14318214133371"/>
          <c:y val="0.796589223924864"/>
          <c:w val="0.781032276411204"/>
          <c:h val="0.15991102323282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d27eaf7-feea-42c0-8f49-c0974f1ab70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c:v>
                </c:pt>
                <c:pt idx="2">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f461c87-776e-4c0f-a080-553155d4a43d}"/>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8620</Words>
  <Characters>9188</Characters>
  <Lines>74</Lines>
  <Paragraphs>21</Paragraphs>
  <TotalTime>0</TotalTime>
  <ScaleCrop>false</ScaleCrop>
  <LinksUpToDate>false</LinksUpToDate>
  <CharactersWithSpaces>9259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怪</cp:lastModifiedBy>
  <cp:lastPrinted>2021-07-29T03:56:00Z</cp:lastPrinted>
  <dcterms:modified xsi:type="dcterms:W3CDTF">2025-10-15T03:54:09Z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8183EF685DCE403F82BCB21F70CD30A2</vt:lpwstr>
  </property>
  <property fmtid="{D5CDD505-2E9C-101B-9397-08002B2CF9AE}" pid="4" name="KSOTemplateDocerSaveRecord">
    <vt:lpwstr>eyJoZGlkIjoiNzMwYTQ2ZDA5NGQ0ZTRhNWE2NDE3NGQxNmM2NGM4YmMiLCJ1c2VySWQiOiIyNDY1ODczNzUifQ==</vt:lpwstr>
  </property>
</Properties>
</file>