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32"/>
          <w:szCs w:val="32"/>
        </w:rPr>
      </w:pPr>
    </w:p>
    <w:p>
      <w:pPr>
        <w:rPr>
          <w:rFonts w:ascii="黑体" w:hAnsi="黑体" w:eastAsia="黑体" w:cs="Times New Roman"/>
          <w:sz w:val="44"/>
          <w:szCs w:val="44"/>
        </w:rPr>
      </w:pPr>
      <w:bookmarkStart w:id="0" w:name="_GoBack"/>
      <w:bookmarkEnd w:id="0"/>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黑体"/>
          <w:sz w:val="52"/>
          <w:szCs w:val="52"/>
        </w:rPr>
      </w:pPr>
      <w:r>
        <w:rPr>
          <w:rFonts w:hint="eastAsia" w:ascii="黑体" w:hAnsi="黑体" w:eastAsia="黑体" w:cs="黑体"/>
          <w:sz w:val="52"/>
          <w:szCs w:val="52"/>
        </w:rPr>
        <w:t>壤塘县粮食和物资储备中心</w:t>
      </w:r>
    </w:p>
    <w:p>
      <w:pPr>
        <w:jc w:val="center"/>
        <w:rPr>
          <w:rFonts w:ascii="黑体" w:hAnsi="黑体" w:eastAsia="黑体" w:cs="Times New Roman"/>
          <w:sz w:val="72"/>
          <w:szCs w:val="72"/>
        </w:rPr>
      </w:pPr>
      <w:r>
        <w:rPr>
          <w:rFonts w:ascii="黑体" w:hAnsi="黑体" w:eastAsia="黑体" w:cs="黑体"/>
          <w:sz w:val="72"/>
          <w:szCs w:val="72"/>
        </w:rPr>
        <w:t>202</w:t>
      </w:r>
      <w:r>
        <w:rPr>
          <w:rFonts w:hint="eastAsia"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rPr>
        <w:t>202</w:t>
      </w:r>
      <w:r>
        <w:rPr>
          <w:rFonts w:hint="eastAsia" w:ascii="黑体" w:hAnsi="黑体" w:eastAsia="黑体" w:cs="黑体"/>
          <w:sz w:val="52"/>
          <w:szCs w:val="52"/>
          <w:lang w:val="en-US" w:eastAsia="zh-CN"/>
        </w:rPr>
        <w:t>2</w:t>
      </w:r>
      <w:r>
        <w:rPr>
          <w:rFonts w:hint="eastAsia" w:ascii="黑体" w:hAnsi="黑体" w:eastAsia="黑体" w:cs="黑体"/>
          <w:sz w:val="52"/>
          <w:szCs w:val="52"/>
        </w:rPr>
        <w:t>年</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hint="eastAsia" w:ascii="黑体" w:hAnsi="黑体" w:eastAsia="黑体" w:cs="黑体"/>
          <w:sz w:val="52"/>
          <w:szCs w:val="52"/>
          <w:lang w:val="en-US" w:eastAsia="zh-CN"/>
        </w:rPr>
        <w:t>20</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pPr>
        <w:ind w:firstLine="3080" w:firstLineChars="700"/>
        <w:rPr>
          <w:rFonts w:ascii="黑体" w:hAnsi="黑体" w:eastAsia="黑体" w:cs="Times New Roman"/>
          <w:sz w:val="44"/>
          <w:szCs w:val="44"/>
        </w:rPr>
      </w:pPr>
    </w:p>
    <w:p>
      <w:pPr>
        <w:pStyle w:val="16"/>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年</w:t>
      </w:r>
      <w:r>
        <w:rPr>
          <w:rFonts w:hint="eastAsia" w:ascii="仿宋_GB2312" w:hAnsi="黑体" w:eastAsia="仿宋_GB2312" w:cs="仿宋_GB2312"/>
          <w:sz w:val="32"/>
          <w:szCs w:val="32"/>
        </w:rPr>
        <w:t>重点工作</w:t>
      </w:r>
    </w:p>
    <w:p>
      <w:pPr>
        <w:rPr>
          <w:rFonts w:ascii="黑体" w:hAnsi="黑体" w:eastAsia="黑体" w:cs="Times New Roman"/>
          <w:sz w:val="32"/>
          <w:szCs w:val="32"/>
        </w:rPr>
      </w:pPr>
      <w:r>
        <w:rPr>
          <w:rFonts w:hint="eastAsia" w:ascii="黑体" w:hAnsi="黑体" w:eastAsia="黑体" w:cs="黑体"/>
          <w:sz w:val="32"/>
          <w:szCs w:val="32"/>
        </w:rPr>
        <w:t>二、部门预算单位构成</w:t>
      </w:r>
    </w:p>
    <w:p>
      <w:pPr>
        <w:rPr>
          <w:rFonts w:ascii="黑体" w:hAnsi="黑体" w:eastAsia="黑体" w:cs="Times New Roman"/>
          <w:sz w:val="32"/>
          <w:szCs w:val="32"/>
        </w:rPr>
      </w:pPr>
      <w:r>
        <w:rPr>
          <w:rFonts w:hint="eastAsia" w:ascii="黑体" w:hAnsi="黑体" w:eastAsia="黑体" w:cs="黑体"/>
          <w:sz w:val="32"/>
          <w:szCs w:val="32"/>
        </w:rPr>
        <w:t>三、收支预算情况说明</w:t>
      </w:r>
    </w:p>
    <w:p>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pPr>
        <w:rPr>
          <w:rFonts w:ascii="黑体" w:hAnsi="黑体" w:eastAsia="黑体" w:cs="Times New Roman"/>
          <w:sz w:val="32"/>
          <w:szCs w:val="32"/>
        </w:rPr>
      </w:pPr>
      <w:r>
        <w:rPr>
          <w:rFonts w:hint="eastAsia" w:ascii="黑体" w:hAnsi="黑体" w:eastAsia="黑体" w:cs="黑体"/>
          <w:sz w:val="32"/>
          <w:szCs w:val="32"/>
        </w:rPr>
        <w:t>四、财政拨款收支预算情况说明</w:t>
      </w:r>
    </w:p>
    <w:p>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rPr>
          <w:rFonts w:ascii="仿宋_GB2312" w:hAnsi="黑体" w:eastAsia="仿宋_GB2312" w:cs="仿宋_GB2312"/>
          <w:sz w:val="32"/>
          <w:szCs w:val="32"/>
        </w:rPr>
      </w:pPr>
      <w:r>
        <w:rPr>
          <w:rFonts w:hint="eastAsia" w:ascii="仿宋_GB2312" w:hAnsi="黑体" w:eastAsia="仿宋_GB2312" w:cs="仿宋_GB2312"/>
          <w:sz w:val="32"/>
          <w:szCs w:val="32"/>
        </w:rPr>
        <w:t>（一）一般公共预算当年拨款规模变化情况</w:t>
      </w:r>
    </w:p>
    <w:p>
      <w:pPr>
        <w:rPr>
          <w:rFonts w:ascii="仿宋_GB2312" w:hAnsi="黑体" w:eastAsia="仿宋_GB2312" w:cs="仿宋_GB2312"/>
          <w:sz w:val="32"/>
          <w:szCs w:val="32"/>
        </w:rPr>
      </w:pPr>
      <w:r>
        <w:rPr>
          <w:rFonts w:hint="eastAsia" w:ascii="仿宋_GB2312" w:hAnsi="黑体" w:eastAsia="仿宋_GB2312" w:cs="仿宋_GB2312"/>
          <w:sz w:val="32"/>
          <w:szCs w:val="32"/>
        </w:rPr>
        <w:t>（二）一般公共预算当年拨款结构情况</w:t>
      </w:r>
    </w:p>
    <w:p>
      <w:pPr>
        <w:rPr>
          <w:rFonts w:ascii="仿宋_GB2312" w:hAnsi="黑体" w:eastAsia="仿宋_GB2312" w:cs="仿宋_GB2312"/>
          <w:sz w:val="32"/>
          <w:szCs w:val="32"/>
        </w:rPr>
      </w:pPr>
      <w:r>
        <w:rPr>
          <w:rFonts w:hint="eastAsia" w:ascii="仿宋_GB2312" w:hAnsi="黑体" w:eastAsia="仿宋_GB2312" w:cs="仿宋_GB2312"/>
          <w:sz w:val="32"/>
          <w:szCs w:val="32"/>
        </w:rPr>
        <w:t>（三）一般公共预算当年拨款具体使用情况</w:t>
      </w:r>
    </w:p>
    <w:p>
      <w:pPr>
        <w:rPr>
          <w:rFonts w:ascii="黑体" w:hAnsi="黑体" w:eastAsia="黑体" w:cs="黑体"/>
          <w:sz w:val="32"/>
          <w:szCs w:val="32"/>
        </w:rPr>
      </w:pPr>
      <w:r>
        <w:rPr>
          <w:rFonts w:hint="eastAsia" w:ascii="黑体" w:hAnsi="黑体" w:eastAsia="黑体" w:cs="黑体"/>
          <w:sz w:val="32"/>
          <w:szCs w:val="32"/>
        </w:rPr>
        <w:t>六、一般公共预算基本支出情况说明</w:t>
      </w:r>
    </w:p>
    <w:p>
      <w:pPr>
        <w:rPr>
          <w:rFonts w:ascii="黑体" w:hAnsi="黑体" w:eastAsia="黑体" w:cs="黑体"/>
          <w:sz w:val="32"/>
          <w:szCs w:val="32"/>
        </w:rPr>
      </w:pPr>
      <w:r>
        <w:rPr>
          <w:rFonts w:hint="eastAsia" w:ascii="黑体" w:hAnsi="黑体" w:eastAsia="黑体" w:cs="黑体"/>
          <w:sz w:val="32"/>
          <w:szCs w:val="32"/>
        </w:rPr>
        <w:t>七、“三公”经费财政拨款预算安排情况说明</w:t>
      </w:r>
    </w:p>
    <w:p>
      <w:pPr>
        <w:rPr>
          <w:rFonts w:ascii="黑体" w:hAnsi="黑体" w:eastAsia="黑体" w:cs="黑体"/>
          <w:sz w:val="32"/>
          <w:szCs w:val="32"/>
        </w:rPr>
      </w:pPr>
      <w:r>
        <w:rPr>
          <w:rFonts w:hint="eastAsia" w:ascii="黑体" w:hAnsi="黑体" w:eastAsia="黑体" w:cs="黑体"/>
          <w:sz w:val="32"/>
          <w:szCs w:val="32"/>
        </w:rPr>
        <w:t>八、政府性基金预算支出情况说明</w:t>
      </w:r>
    </w:p>
    <w:p>
      <w:pPr>
        <w:rPr>
          <w:rFonts w:ascii="黑体" w:hAnsi="黑体" w:eastAsia="黑体" w:cs="黑体"/>
          <w:sz w:val="32"/>
          <w:szCs w:val="32"/>
        </w:rPr>
      </w:pPr>
      <w:r>
        <w:rPr>
          <w:rFonts w:hint="eastAsia" w:ascii="黑体" w:hAnsi="黑体" w:eastAsia="黑体" w:cs="黑体"/>
          <w:sz w:val="32"/>
          <w:szCs w:val="32"/>
        </w:rPr>
        <w:t>九、其他重要事项的情况说明</w:t>
      </w:r>
    </w:p>
    <w:p>
      <w:pPr>
        <w:rPr>
          <w:rFonts w:ascii="黑体" w:hAnsi="黑体" w:eastAsia="黑体" w:cs="Times New Roman"/>
          <w:sz w:val="32"/>
          <w:szCs w:val="32"/>
        </w:rPr>
      </w:pPr>
      <w:r>
        <w:rPr>
          <w:rFonts w:hint="eastAsia" w:ascii="黑体" w:hAnsi="黑体" w:eastAsia="黑体" w:cs="黑体"/>
          <w:sz w:val="32"/>
          <w:szCs w:val="32"/>
        </w:rPr>
        <w:t>十、名称解释</w:t>
      </w:r>
    </w:p>
    <w:p>
      <w:pPr>
        <w:widowControl/>
        <w:shd w:val="clear" w:color="auto" w:fill="FFFFFF"/>
        <w:spacing w:before="100" w:beforeAutospacing="1" w:after="100" w:afterAutospacing="1" w:line="290" w:lineRule="atLeast"/>
        <w:ind w:right="300"/>
        <w:jc w:val="left"/>
        <w:rPr>
          <w:rFonts w:ascii="??" w:hAnsi="??" w:cs="??"/>
          <w:kern w:val="0"/>
          <w:sz w:val="12"/>
          <w:szCs w:val="12"/>
        </w:rPr>
      </w:pPr>
    </w:p>
    <w:p>
      <w:pPr>
        <w:pStyle w:val="2"/>
        <w:rPr>
          <w:rFonts w:ascii="??" w:hAnsi="??" w:cs="??"/>
          <w:kern w:val="0"/>
          <w:sz w:val="12"/>
          <w:szCs w:val="12"/>
        </w:rPr>
      </w:pPr>
    </w:p>
    <w:p/>
    <w:p>
      <w:pPr>
        <w:pStyle w:val="14"/>
        <w:keepNext w:val="0"/>
        <w:keepLines w:val="0"/>
        <w:pageBreakBefore w:val="0"/>
        <w:numPr>
          <w:ilvl w:val="0"/>
          <w:numId w:val="2"/>
        </w:numPr>
        <w:kinsoku/>
        <w:wordWrap/>
        <w:overflowPunct/>
        <w:topLinePunct w:val="0"/>
        <w:autoSpaceDE/>
        <w:autoSpaceDN/>
        <w:bidi w:val="0"/>
        <w:spacing w:before="0" w:line="560" w:lineRule="exact"/>
        <w:ind w:firstLine="640" w:firstLineChars="200"/>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rPr>
        <w:t>基本职能及主要工作</w:t>
      </w:r>
    </w:p>
    <w:p>
      <w:pPr>
        <w:pStyle w:val="14"/>
        <w:keepNext w:val="0"/>
        <w:keepLines w:val="0"/>
        <w:pageBreakBefore w:val="0"/>
        <w:numPr>
          <w:ilvl w:val="0"/>
          <w:numId w:val="0"/>
        </w:numPr>
        <w:kinsoku/>
        <w:wordWrap/>
        <w:overflowPunct/>
        <w:topLinePunct w:val="0"/>
        <w:autoSpaceDE/>
        <w:autoSpaceDN/>
        <w:bidi w:val="0"/>
        <w:spacing w:before="0" w:line="560" w:lineRule="exact"/>
        <w:ind w:firstLine="643" w:firstLineChars="200"/>
        <w:textAlignment w:val="auto"/>
        <w:outlineLvl w:val="0"/>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（一）壤塘县粮食和物资储备中心职能简介</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贯彻实施国家、省、州有关粮食流通和物资储备的方针、政策、法律法规和相关规范性文件。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贯彻执行《粮食流通管理条例》，加强储备粮管理。执行县发改</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制定的本县粮食流通和县级储备粮管理办法、粮食应急预案、规章制度和有关政策。</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研究提出全县粮食宏观调控、粮油方面的平衡以及粮食流通的中长期规划、收购、储存、动用县级储备粮的建议，并组织实施；</w:t>
      </w:r>
      <w:r>
        <w:rPr>
          <w:rFonts w:hint="eastAsia" w:ascii="仿宋_GB2312" w:hAnsi="仿宋_GB2312" w:eastAsia="仿宋_GB2312" w:cs="仿宋_GB2312"/>
          <w:sz w:val="32"/>
          <w:szCs w:val="32"/>
          <w:lang w:eastAsia="zh-CN"/>
        </w:rPr>
        <w:t>参与拟定</w:t>
      </w:r>
      <w:r>
        <w:rPr>
          <w:rFonts w:hint="eastAsia" w:ascii="仿宋_GB2312" w:hAnsi="仿宋_GB2312" w:eastAsia="仿宋_GB2312" w:cs="仿宋_GB2312"/>
          <w:sz w:val="32"/>
          <w:szCs w:val="32"/>
        </w:rPr>
        <w:t>粮食产业化经营的措施，配合有关部门抓好商品粮油品种结构调整。</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负责省、州、县储备粮管理，指导全县粮食储备体系建设；</w:t>
      </w:r>
      <w:r>
        <w:rPr>
          <w:rFonts w:hint="eastAsia" w:ascii="仿宋_GB2312" w:hAnsi="仿宋_GB2312" w:eastAsia="仿宋_GB2312" w:cs="仿宋_GB2312"/>
          <w:sz w:val="32"/>
          <w:szCs w:val="32"/>
          <w:lang w:eastAsia="zh-CN"/>
        </w:rPr>
        <w:t>在行政主管部门的授权下监督检查</w:t>
      </w:r>
      <w:r>
        <w:rPr>
          <w:rFonts w:hint="eastAsia" w:ascii="仿宋_GB2312" w:hAnsi="仿宋_GB2312" w:eastAsia="仿宋_GB2312" w:cs="仿宋_GB2312"/>
          <w:sz w:val="32"/>
          <w:szCs w:val="32"/>
        </w:rPr>
        <w:t>县级储备粮</w:t>
      </w:r>
      <w:r>
        <w:rPr>
          <w:rFonts w:hint="eastAsia" w:ascii="仿宋_GB2312" w:hAnsi="仿宋_GB2312" w:eastAsia="仿宋_GB2312" w:cs="仿宋_GB2312"/>
          <w:sz w:val="32"/>
          <w:szCs w:val="32"/>
          <w:lang w:eastAsia="zh-CN"/>
        </w:rPr>
        <w:t>库存数量和质量，制度县级储备粮管理的技术规范并监督执行，</w:t>
      </w:r>
      <w:r>
        <w:rPr>
          <w:rFonts w:hint="eastAsia" w:ascii="仿宋_GB2312" w:hAnsi="仿宋_GB2312" w:eastAsia="仿宋_GB2312" w:cs="仿宋_GB2312"/>
          <w:sz w:val="32"/>
          <w:szCs w:val="32"/>
        </w:rPr>
        <w:t>研究提出县级储备粮的收购、轮换、抛售计划，并组织实施。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管理社会粮食流通，保障军队、城镇居民、救灾济粮和国家重点建设项目的粮食供应。</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指导和协调全县粮食流通基础设施建设，编制全县粮油仓储、加工设施建设计划并组织实施；</w:t>
      </w:r>
      <w:r>
        <w:rPr>
          <w:rFonts w:hint="eastAsia" w:ascii="仿宋_GB2312" w:hAnsi="仿宋_GB2312" w:eastAsia="仿宋_GB2312" w:cs="仿宋_GB2312"/>
          <w:sz w:val="32"/>
          <w:szCs w:val="32"/>
          <w:lang w:eastAsia="zh-CN"/>
        </w:rPr>
        <w:t>在行政主管部门的授权下</w:t>
      </w:r>
      <w:r>
        <w:rPr>
          <w:rFonts w:hint="eastAsia" w:ascii="仿宋_GB2312" w:hAnsi="仿宋_GB2312" w:eastAsia="仿宋_GB2312" w:cs="仿宋_GB2312"/>
          <w:sz w:val="32"/>
          <w:szCs w:val="32"/>
        </w:rPr>
        <w:t>指导商业网点建设，负责粮油仓储设施的报废、占用、</w:t>
      </w:r>
      <w:r>
        <w:rPr>
          <w:rFonts w:hint="eastAsia" w:ascii="仿宋_GB2312" w:hAnsi="仿宋_GB2312" w:eastAsia="仿宋_GB2312" w:cs="仿宋_GB2312"/>
          <w:sz w:val="32"/>
          <w:szCs w:val="32"/>
          <w:lang w:eastAsia="zh-CN"/>
        </w:rPr>
        <w:t>拆迁地审批</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指导并推动行业的技术改造、新技术推广应用、安全生产和抢险救灾工作；承担行业统计工作。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指导全县粮食财务管理工作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会同有关部门做好粮食收购资金使用；编报全县粮食系统财务报表，组织年度决算。</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协同</w:t>
      </w:r>
      <w:r>
        <w:rPr>
          <w:rFonts w:hint="eastAsia" w:ascii="仿宋_GB2312" w:hAnsi="仿宋_GB2312" w:eastAsia="仿宋_GB2312" w:cs="仿宋_GB2312"/>
          <w:sz w:val="32"/>
          <w:szCs w:val="32"/>
          <w:lang w:eastAsia="zh-CN"/>
        </w:rPr>
        <w:t>有关做好粮食质量标准的管理工作；</w:t>
      </w:r>
      <w:r>
        <w:rPr>
          <w:rFonts w:hint="eastAsia" w:ascii="仿宋_GB2312" w:hAnsi="仿宋_GB2312" w:eastAsia="仿宋_GB2312" w:cs="仿宋_GB2312"/>
          <w:sz w:val="32"/>
          <w:szCs w:val="32"/>
        </w:rPr>
        <w:t>制定粮食储存、运输的技术规范，并监督执行。</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负责全县粮食余缺调剂，组织和协调县内粮油调剂工作和对外经济技术合作交流。</w:t>
      </w:r>
    </w:p>
    <w:p>
      <w:pPr>
        <w:pStyle w:val="7"/>
        <w:keepNext w:val="0"/>
        <w:keepLines w:val="0"/>
        <w:pageBreakBefore w:val="0"/>
        <w:kinsoku/>
        <w:wordWrap/>
        <w:overflowPunct/>
        <w:topLinePunct w:val="0"/>
        <w:autoSpaceDE/>
        <w:autoSpaceDN/>
        <w:bidi w:val="0"/>
        <w:spacing w:line="560" w:lineRule="exact"/>
        <w:ind w:left="0" w:leftChars="0" w:firstLine="640" w:firstLineChars="200"/>
        <w:textAlignment w:val="auto"/>
        <w:rPr>
          <w:rFonts w:ascii="仿宋_GB2312" w:hAnsi="仿宋_GB2312" w:eastAsia="仿宋_GB2312" w:cs="仿宋_GB2312"/>
        </w:rPr>
      </w:pPr>
      <w:r>
        <w:rPr>
          <w:rFonts w:hint="eastAsia" w:ascii="仿宋_GB2312" w:hAnsi="仿宋_GB2312" w:eastAsia="仿宋_GB2312" w:cs="仿宋_GB2312"/>
          <w:lang w:val="en-US" w:eastAsia="zh-CN"/>
        </w:rPr>
        <w:t>11.</w:t>
      </w:r>
      <w:r>
        <w:rPr>
          <w:rFonts w:hint="eastAsia" w:ascii="仿宋_GB2312" w:hAnsi="仿宋_GB2312" w:eastAsia="仿宋_GB2312" w:cs="仿宋_GB2312"/>
        </w:rPr>
        <w:t>协助做好救灾物资储备规划、品种目录和标准、年度购置计划，负责州级救灾物资的收储、轮换和日常管理，根据动用指令按程序组织调拨。</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ascii="楷体_GB2312" w:hAnsi="黑体" w:eastAsia="楷体_GB2312" w:cs="楷体_GB2312"/>
          <w:b/>
          <w:bCs/>
          <w:kern w:val="2"/>
          <w:sz w:val="32"/>
          <w:szCs w:val="32"/>
        </w:rPr>
      </w:pPr>
      <w:r>
        <w:rPr>
          <w:rFonts w:hint="eastAsia"/>
          <w:sz w:val="32"/>
          <w:szCs w:val="32"/>
          <w:lang w:val="en-US" w:eastAsia="zh-CN"/>
        </w:rPr>
        <w:t>12.完成</w:t>
      </w:r>
      <w:r>
        <w:rPr>
          <w:rFonts w:hint="eastAsia"/>
          <w:sz w:val="32"/>
          <w:szCs w:val="32"/>
        </w:rPr>
        <w:t>县委、县政府</w:t>
      </w:r>
      <w:r>
        <w:rPr>
          <w:rFonts w:hint="eastAsia"/>
          <w:sz w:val="32"/>
          <w:szCs w:val="32"/>
          <w:lang w:eastAsia="zh-CN"/>
        </w:rPr>
        <w:t>和局机关</w:t>
      </w:r>
      <w:r>
        <w:rPr>
          <w:rFonts w:hint="eastAsia"/>
          <w:sz w:val="32"/>
          <w:szCs w:val="32"/>
        </w:rPr>
        <w:t>交办的其他</w:t>
      </w:r>
      <w:r>
        <w:rPr>
          <w:rFonts w:hint="eastAsia"/>
          <w:sz w:val="32"/>
          <w:szCs w:val="32"/>
          <w:lang w:eastAsia="zh-CN"/>
        </w:rPr>
        <w:t>工作</w:t>
      </w:r>
      <w:r>
        <w:rPr>
          <w:rFonts w:hint="eastAsia"/>
          <w:sz w:val="32"/>
          <w:szCs w:val="32"/>
        </w:rPr>
        <w:t>。</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ascii="楷体_GB2312" w:hAnsi="黑体" w:eastAsia="楷体_GB2312" w:cs="楷体_GB2312"/>
          <w:b/>
          <w:bCs/>
          <w:color w:val="FF0000"/>
          <w:kern w:val="2"/>
          <w:sz w:val="32"/>
          <w:szCs w:val="32"/>
        </w:rPr>
      </w:pPr>
      <w:r>
        <w:rPr>
          <w:rFonts w:hint="eastAsia" w:ascii="楷体_GB2312" w:hAnsi="黑体" w:eastAsia="楷体_GB2312" w:cs="楷体_GB2312"/>
          <w:b/>
          <w:bCs/>
          <w:color w:val="auto"/>
          <w:kern w:val="2"/>
          <w:sz w:val="32"/>
          <w:szCs w:val="32"/>
        </w:rPr>
        <w:t>（二）壤塘县粮食和物资储备中心</w:t>
      </w:r>
      <w:r>
        <w:rPr>
          <w:rFonts w:ascii="楷体_GB2312" w:hAnsi="黑体" w:eastAsia="楷体_GB2312" w:cs="楷体_GB2312"/>
          <w:b/>
          <w:bCs/>
          <w:color w:val="auto"/>
          <w:kern w:val="2"/>
          <w:sz w:val="32"/>
          <w:szCs w:val="32"/>
        </w:rPr>
        <w:t>20</w:t>
      </w:r>
      <w:r>
        <w:rPr>
          <w:rFonts w:hint="eastAsia" w:ascii="楷体_GB2312" w:hAnsi="黑体" w:eastAsia="楷体_GB2312" w:cs="楷体_GB2312"/>
          <w:b/>
          <w:bCs/>
          <w:color w:val="auto"/>
          <w:kern w:val="2"/>
          <w:sz w:val="32"/>
          <w:szCs w:val="32"/>
        </w:rPr>
        <w:t>2</w:t>
      </w:r>
      <w:r>
        <w:rPr>
          <w:rFonts w:hint="eastAsia" w:ascii="楷体_GB2312" w:hAnsi="黑体" w:eastAsia="楷体_GB2312" w:cs="楷体_GB2312"/>
          <w:b/>
          <w:bCs/>
          <w:color w:val="auto"/>
          <w:kern w:val="2"/>
          <w:sz w:val="32"/>
          <w:szCs w:val="32"/>
          <w:lang w:val="en-US" w:eastAsia="zh-CN"/>
        </w:rPr>
        <w:t>2</w:t>
      </w:r>
      <w:r>
        <w:rPr>
          <w:rFonts w:ascii="楷体_GB2312" w:hAnsi="黑体" w:eastAsia="楷体_GB2312" w:cs="楷体_GB2312"/>
          <w:b/>
          <w:bCs/>
          <w:color w:val="auto"/>
          <w:kern w:val="2"/>
          <w:sz w:val="32"/>
          <w:szCs w:val="32"/>
        </w:rPr>
        <w:t>年</w:t>
      </w:r>
      <w:r>
        <w:rPr>
          <w:rFonts w:hint="eastAsia" w:ascii="楷体_GB2312" w:hAnsi="黑体" w:eastAsia="楷体_GB2312" w:cs="楷体_GB2312"/>
          <w:b/>
          <w:bCs/>
          <w:color w:val="auto"/>
          <w:kern w:val="2"/>
          <w:sz w:val="32"/>
          <w:szCs w:val="32"/>
        </w:rPr>
        <w:t>重点工作</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2022</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年粮食和物资储备中心仍将围绕县委、县政府决策部署，继续在加强粮食安全党政同责、加强</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粮食购销领域腐败问题专项整治、</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加强</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粮食仓储规范化管理、加强粮油收储企业管理等方面务实奋进、积极作为。现将具体工作计划如下：</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1.落实好粮食安全主体责任。</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是及时学习贯彻习近平总书记关于保障国家粮食安全重要论述和重要批示精神。结合自身实际全力贯彻落实党中央、国务院保障粮食安全、开展粮食节约行动决策部署。形成分管粮食安全的县级领导统筹，部门负责同志具体抓的工作格局。二是通过</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梳理政策性粮食库存大清查、粮食安全省长责任制考核、中央储备粮管理和中央事权粮食政策执行情况年度考核以及政策性粮食库存大排查中发现的问题，</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再次研究问题出现的原因，再次检验整改实效</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。三是按照规定用途使用涉粮资金，杜绝出现挤占、挪用，迟滞、克扣补贴的问题，资金拨付必须符合国库集中支付制度相关要求。</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2.稳步提高粮食生产能力。</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一是继续宣传</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执行《基本农田保护条例》</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全面落实基本农田保护制度，严格执行土地利用总体规划，落实用途管制制度，控制各类非农建设占用基本农田，切实保护永久基本农田</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。二是由县上统筹持续做好</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高标准农田建设</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培育新型粮食生产经营主体及社会化服务体系</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建设工作。三是严格落实粮食补贴政策，杜绝</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出现作假、挤占、截留、挪用和套取补贴等违规行为。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3.增强粮食流通安全保障能力。</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是结合本地区区域与人口布局、粮食供应与需求结构、物流与交通情况，加强粮油储备、粮油加工、军粮供应、市场体系建设等各方面统筹衔接。二是增强储备保障能力，深化粮食储备安全管理体制机制改革。三是加强粮油应急供应体系建设，有效应对各类突发公共事件、自然灾害或者其他原因引起的县内粮食市场异常波动，确保粮食市场供应，保持粮食市场价格基本稳定。四是</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结合粮食收储制度改革新形势，《粮食流通管理条例》新要求，立足职能，在工作手段、资源整合、平台搭建等方面加强创新，提升队伍履职能力</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4.推动粮食产业经济高质量发展。</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是组织2022年度“世界粮食日”、全国粮食安全宣传周等活动，向社会广泛宣传习近平总书记关于保障国家粮食安全重要论述，更好落实党中央、国务院及省委省政府关于粮食安全工作决策部署。二是继续组织粮食系统干部职工学习新修订《粮食流通管理条例》和新颁布的《粮食安全保障条例》。</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5.</w:t>
      </w:r>
      <w:r>
        <w:rPr>
          <w:rFonts w:hint="eastAsia" w:ascii="仿宋_GB2312" w:hAnsi="仿宋_GB2312" w:eastAsia="仿宋_GB2312" w:cs="仿宋_GB2312"/>
          <w:b/>
          <w:bCs/>
          <w:color w:val="000000" w:themeColor="text1"/>
          <w:kern w:val="0"/>
          <w:sz w:val="32"/>
          <w:szCs w:val="32"/>
          <w:lang w:eastAsia="zh-CN" w:bidi="ar"/>
          <w14:textFill>
            <w14:solidFill>
              <w14:schemeClr w14:val="tx1"/>
            </w14:solidFill>
          </w14:textFill>
        </w:rPr>
        <w:t>加强</w:t>
      </w: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粮食购销领域腐败问题专项整治方面</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提高</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思想认识，敢于较真碰硬</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中心上下务必高度重视专项整治工作，坚决贯彻落实习近平总书记关于粮食安全系列重要讲话和重要批示精神，认真落实中央纪委、国家监委、省纪委监委和州纪委、州委巡察办及省粮食和物资储备局粮食购销领域腐败问题专项整治工作部署要求。召开专题会议部署专项整治工作，全面排查粮食购销领域风险隐患，从严从重查处涉粮违法违规行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（2）明确责任分工，细化工作任务</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制定专项整治工作方案，</w:t>
      </w:r>
      <w:r>
        <w:rPr>
          <w:rFonts w:ascii="仿宋_GB2312" w:hAnsi="仿宋_GB2312" w:eastAsia="仿宋_GB2312" w:cs="仿宋_GB2312"/>
          <w:color w:val="000000" w:themeColor="text1"/>
          <w:kern w:val="0"/>
          <w:sz w:val="32"/>
          <w:szCs w:val="32"/>
          <w:lang w:bidi="ar"/>
          <w14:textFill>
            <w14:solidFill>
              <w14:schemeClr w14:val="tx1"/>
            </w14:solidFill>
          </w14:textFill>
        </w:rPr>
        <w:t>分解细化任务，明确时间节点、责任领导、牵头股室和责任人，扎实</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推进专项整治</w:t>
      </w:r>
      <w:r>
        <w:rPr>
          <w:rFonts w:ascii="仿宋_GB2312" w:hAnsi="仿宋_GB2312" w:eastAsia="仿宋_GB2312" w:cs="仿宋_GB2312"/>
          <w:color w:val="000000" w:themeColor="text1"/>
          <w:kern w:val="0"/>
          <w:sz w:val="32"/>
          <w:szCs w:val="32"/>
          <w:lang w:bidi="ar"/>
          <w14:textFill>
            <w14:solidFill>
              <w14:schemeClr w14:val="tx1"/>
            </w14:solidFill>
          </w14:textFill>
        </w:rPr>
        <w:t>工作。</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（3）自觉接受监督，积极自查自纠。</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一是自觉支持配合巡察、检查工作，准确理解和把握巡察、检查要求，真心诚意接受监督检查。二是由中心主要</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领导牵头进行专项整治自查自纠工作的</w:t>
      </w:r>
      <w:r>
        <w:rPr>
          <w:rFonts w:ascii="仿宋_GB2312" w:hAnsi="仿宋_GB2312" w:eastAsia="仿宋_GB2312" w:cs="仿宋_GB2312"/>
          <w:color w:val="000000" w:themeColor="text1"/>
          <w:kern w:val="0"/>
          <w:sz w:val="32"/>
          <w:szCs w:val="32"/>
          <w:lang w:bidi="ar"/>
          <w14:textFill>
            <w14:solidFill>
              <w14:schemeClr w14:val="tx1"/>
            </w14:solidFill>
          </w14:textFill>
        </w:rPr>
        <w:t>研究</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部署</w:t>
      </w:r>
      <w:r>
        <w:rPr>
          <w:rFonts w:ascii="仿宋_GB2312" w:hAnsi="仿宋_GB2312" w:eastAsia="仿宋_GB2312" w:cs="仿宋_GB2312"/>
          <w:color w:val="000000" w:themeColor="text1"/>
          <w:kern w:val="0"/>
          <w:sz w:val="32"/>
          <w:szCs w:val="32"/>
          <w:lang w:bidi="ar"/>
          <w14:textFill>
            <w14:solidFill>
              <w14:schemeClr w14:val="tx1"/>
            </w14:solidFill>
          </w14:textFill>
        </w:rPr>
        <w:t>，认真查找存在问题的原因</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，拿出切实可行的整改举措，指定整改责任人要求在规定期限内完成整改。</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6.</w:t>
      </w:r>
      <w:r>
        <w:rPr>
          <w:rFonts w:hint="eastAsia" w:ascii="仿宋_GB2312" w:hAnsi="仿宋_GB2312" w:eastAsia="仿宋_GB2312" w:cs="仿宋_GB2312"/>
          <w:b/>
          <w:bCs/>
          <w:color w:val="000000" w:themeColor="text1"/>
          <w:kern w:val="0"/>
          <w:sz w:val="32"/>
          <w:szCs w:val="32"/>
          <w:lang w:eastAsia="zh-CN" w:bidi="ar"/>
          <w14:textFill>
            <w14:solidFill>
              <w14:schemeClr w14:val="tx1"/>
            </w14:solidFill>
          </w14:textFill>
        </w:rPr>
        <w:t>加强</w:t>
      </w: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粮食仓储规范化管理方面。</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是遵循“按制度办事、以制度管人”的工作思路，进一步明确各岗位人员职责、各项技术操作规程。二是管理行为更加科学规范。在粮食质量管理方面，严把粮食质量关，根据粮食购入质量检验业务流程，坚持储粮质量抽检和粮食出库质量检测制度。在储粮安全管理方面，坚持“领导带队、集体查粮”制度；坚持保管员“三天一小查、五天一大查、风雨雪前后及时查”制度。在安全生产管理方面。严格落实“党政同责、一岗双责、齐抓共管、失职追责”和“三个必须”要求。严格落实重大隐患排查，重大危险源登记备案，安全生产月等工作，坚持“安全第一、预防为主、综合治理”的方针，不定期开展安全生产自查工作。</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color w:val="000000" w:themeColor="text1"/>
          <w:kern w:val="0"/>
          <w:sz w:val="32"/>
          <w:szCs w:val="32"/>
          <w:lang w:val="en-US" w:eastAsia="zh-CN" w:bidi="ar"/>
          <w14:textFill>
            <w14:solidFill>
              <w14:schemeClr w14:val="tx1"/>
            </w14:solidFill>
          </w14:textFill>
        </w:rPr>
      </w:pPr>
      <w:r>
        <w:rPr>
          <w:rFonts w:hint="eastAsia" w:ascii="黑体" w:hAnsi="黑体" w:eastAsia="黑体" w:cs="黑体"/>
          <w:color w:val="000000" w:themeColor="text1"/>
          <w:kern w:val="0"/>
          <w:sz w:val="32"/>
          <w:szCs w:val="32"/>
          <w:lang w:val="en-US" w:eastAsia="zh-CN" w:bidi="ar"/>
          <w14:textFill>
            <w14:solidFill>
              <w14:schemeClr w14:val="tx1"/>
            </w14:solidFill>
          </w14:textFill>
        </w:rPr>
        <w:t>7.加强粮油收储企业管理方面</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明确监管责任，严格责任落实</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中心将进一步</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压实</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主体</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监管责任，严格落实“党政同责、一岗双责、齐抓共管、失职追责”要求，切实加强</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对粮油收储企业的</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指导和监督检查</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完善体制机制，加强储备管理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将储备粮轮换列入重点工作抓紧抓实，积极指导督促承储企业严格执行政策纪律和管理制度规定，加强轮换过程管理，杜绝以陈顶新、应轮未轮、弄虚作假、以次充好等行为。</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在</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储备粮质量管理</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方面</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中心将继续</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督促承储企业认真落实国家粮食质量管理政策和标准，严格执行粮情检查制度，建立健全粮食质量档案，进一步完善粮食入库、出库质量检验制度，严防不符合质量、食品安全标准的粮食流入口粮市场。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加强隐患排查，确保“两个安全”</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中心将持续抓好安全储粮和安全生产的隐患排查工作，坚决消除各种事故风险和隐患。一是继续组织开展安全储粮和安全生产等专项检查整治活动，坚决防止系统性和重大性危害发生。二是在节假日期间，加强安全生产工作安排部署，加大工作力度，强化监督管理，持续保持安全生产高压态势。三是加强问题整改与惩防结合，对排查出的安全隐患必须制定整改措施，能整改的立即整改，现场不能整改的要制定限期整改，并指定专人负责。四是注重总结和学习典型经验做法，探索建立健全行业安全生产隐患排查治理长效机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加强监督检查，严格责任追究</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中心</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进一步加大常态化监管和监督检查力度，坚持“严”字当头，创新监管方式，大力推行“双随机、一公开”和“互联网+监管”，切实提升监管治理效能。</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一是</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结合粮食库存大清查发现问题整改“回头看”等工作，全面深入检视政策性粮食库存数量、质量、储存安全、库存管理等方面存在的突出问题。</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二是</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建立定期巡查、不定期抽查制度，确保履行职责无偏差，政策执行不走样。对储备粮承储企业监督管理情况实行年度综合评价，强化评价结果运用。</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三是</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建立健全问责机制。对储备粮管理工作履职不到位，导致发生无正当理由拒不执行或未完成充实及轮换计划、粮油储存安全事故、安全生产事故、储备粮短少、质量超标、挤占挪用资金等问题的，根据情节严重程度，按照相关规定对负责</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同志</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进行约谈、问责、追责。</w:t>
      </w:r>
    </w:p>
    <w:p>
      <w:pPr>
        <w:keepNext w:val="0"/>
        <w:keepLines w:val="0"/>
        <w:pageBreakBefore w:val="0"/>
        <w:kinsoku/>
        <w:wordWrap/>
        <w:overflowPunct/>
        <w:topLinePunct w:val="0"/>
        <w:autoSpaceDE/>
        <w:autoSpaceDN/>
        <w:bidi w:val="0"/>
        <w:spacing w:line="560" w:lineRule="exact"/>
        <w:ind w:firstLine="640" w:firstLineChars="200"/>
        <w:textAlignment w:val="auto"/>
        <w:rPr>
          <w:rFonts w:hAnsi="黑体" w:cs="Times New Roman"/>
          <w:sz w:val="32"/>
          <w:szCs w:val="32"/>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除以上重点工作外，粮物储备中心还将在“壤巴拉菜籽油”销售、疫情防控、宣传工作上持续发力</w:t>
      </w:r>
      <w:r>
        <w:rPr>
          <w:rFonts w:hint="eastAsia" w:ascii="仿宋_GB2312" w:hAnsi="仿宋_GB2312" w:eastAsia="仿宋_GB2312" w:cs="仿宋_GB2312"/>
          <w:sz w:val="32"/>
          <w:szCs w:val="32"/>
        </w:rPr>
        <w:t>。</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cs="Times New Roman"/>
          <w:kern w:val="2"/>
          <w:sz w:val="32"/>
          <w:szCs w:val="32"/>
        </w:rPr>
      </w:pPr>
      <w:r>
        <w:rPr>
          <w:rFonts w:hint="eastAsia" w:ascii="黑体" w:hAnsi="黑体" w:eastAsia="黑体" w:cs="黑体"/>
          <w:kern w:val="2"/>
          <w:sz w:val="32"/>
          <w:szCs w:val="32"/>
        </w:rPr>
        <w:t>二、部门预算单位构成</w:t>
      </w:r>
      <w:r>
        <w:rPr>
          <w:rFonts w:ascii="??" w:hAnsi="??" w:eastAsia="宋体" w:cs="Times New Roman"/>
          <w:sz w:val="16"/>
          <w:szCs w:val="16"/>
        </w:rPr>
        <w:br w:type="textWrapping"/>
      </w:r>
      <w:r>
        <w:rPr>
          <w:rFonts w:hint="eastAsia" w:hAnsi="黑体"/>
          <w:kern w:val="2"/>
          <w:sz w:val="32"/>
          <w:szCs w:val="32"/>
        </w:rPr>
        <w:t>壤塘</w:t>
      </w:r>
      <w:r>
        <w:rPr>
          <w:rFonts w:hint="eastAsia"/>
          <w:color w:val="000000"/>
          <w:sz w:val="32"/>
          <w:szCs w:val="32"/>
        </w:rPr>
        <w:t>县粮食和物资储备中心</w:t>
      </w:r>
      <w:r>
        <w:rPr>
          <w:rFonts w:hint="eastAsia"/>
          <w:kern w:val="2"/>
          <w:sz w:val="32"/>
          <w:szCs w:val="32"/>
        </w:rPr>
        <w:t>属一级预算单位，是参照公务员法管理的事业单位，无下属二级</w:t>
      </w:r>
      <w:r>
        <w:rPr>
          <w:rFonts w:hint="eastAsia" w:hAnsi="黑体"/>
          <w:kern w:val="2"/>
          <w:sz w:val="32"/>
          <w:szCs w:val="32"/>
        </w:rPr>
        <w:t>预算单位。</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ascii="黑体" w:hAnsi="黑体" w:eastAsia="黑体" w:cs="黑体"/>
          <w:kern w:val="2"/>
          <w:sz w:val="32"/>
          <w:szCs w:val="32"/>
        </w:rPr>
        <w:t>三、收支预算情况说明</w:t>
      </w:r>
      <w:r>
        <w:rPr>
          <w:rFonts w:ascii="??" w:hAnsi="??" w:eastAsia="宋体" w:cs="Times New Roman"/>
          <w:sz w:val="16"/>
          <w:szCs w:val="16"/>
        </w:rPr>
        <w:br w:type="textWrapping"/>
      </w:r>
      <w:r>
        <w:rPr>
          <w:rFonts w:hint="eastAsia" w:hAnsi="黑体"/>
          <w:kern w:val="2"/>
          <w:sz w:val="32"/>
          <w:szCs w:val="32"/>
        </w:rPr>
        <w:t>按照综合预算的原则，壤塘</w:t>
      </w:r>
      <w:r>
        <w:rPr>
          <w:rFonts w:hint="eastAsia"/>
          <w:color w:val="000000"/>
          <w:sz w:val="32"/>
          <w:szCs w:val="32"/>
        </w:rPr>
        <w:t>县粮食和物资储备中心</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lang w:val="en-US" w:eastAsia="zh-CN"/>
        </w:rPr>
        <w:t>142.2</w:t>
      </w:r>
      <w:r>
        <w:rPr>
          <w:rFonts w:hint="eastAsia" w:hAnsi="黑体"/>
          <w:kern w:val="2"/>
          <w:sz w:val="32"/>
          <w:szCs w:val="32"/>
        </w:rPr>
        <w:t>万元；支出包括：社会保障和就业支出</w:t>
      </w:r>
      <w:r>
        <w:rPr>
          <w:rFonts w:hint="eastAsia" w:hAnsi="黑体" w:cs="Times New Roman"/>
          <w:kern w:val="2"/>
          <w:sz w:val="32"/>
          <w:szCs w:val="32"/>
          <w:lang w:val="en-US" w:eastAsia="zh-CN"/>
        </w:rPr>
        <w:t>20.54</w:t>
      </w:r>
      <w:r>
        <w:rPr>
          <w:rFonts w:hint="eastAsia" w:hAnsi="黑体"/>
          <w:kern w:val="2"/>
          <w:sz w:val="32"/>
          <w:szCs w:val="32"/>
        </w:rPr>
        <w:t>万元，卫生健康支出</w:t>
      </w:r>
      <w:r>
        <w:rPr>
          <w:rFonts w:hint="eastAsia" w:hAnsi="黑体"/>
          <w:kern w:val="2"/>
          <w:sz w:val="32"/>
          <w:szCs w:val="32"/>
          <w:lang w:val="en-US" w:eastAsia="zh-CN"/>
        </w:rPr>
        <w:t>8.91</w:t>
      </w:r>
      <w:r>
        <w:rPr>
          <w:rFonts w:hint="eastAsia" w:hAnsi="黑体"/>
          <w:kern w:val="2"/>
          <w:sz w:val="32"/>
          <w:szCs w:val="32"/>
        </w:rPr>
        <w:t>万元，住房保障支出</w:t>
      </w:r>
      <w:r>
        <w:rPr>
          <w:rFonts w:hint="eastAsia" w:hAnsi="黑体" w:cs="Times New Roman"/>
          <w:kern w:val="2"/>
          <w:sz w:val="32"/>
          <w:szCs w:val="32"/>
          <w:lang w:val="en-US" w:eastAsia="zh-CN"/>
        </w:rPr>
        <w:t>13.34</w:t>
      </w:r>
      <w:r>
        <w:rPr>
          <w:rFonts w:hint="eastAsia" w:hAnsi="黑体"/>
          <w:kern w:val="2"/>
          <w:sz w:val="32"/>
          <w:szCs w:val="32"/>
        </w:rPr>
        <w:t>万元，粮油物资储备支出99.41万元。壤塘</w:t>
      </w:r>
      <w:r>
        <w:rPr>
          <w:rFonts w:hint="eastAsia"/>
          <w:color w:val="000000"/>
          <w:sz w:val="32"/>
          <w:szCs w:val="32"/>
        </w:rPr>
        <w:t>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收支总预算</w:t>
      </w:r>
      <w:r>
        <w:rPr>
          <w:rFonts w:hint="eastAsia" w:hAnsi="黑体" w:cs="Times New Roman"/>
          <w:color w:val="auto"/>
          <w:kern w:val="2"/>
          <w:sz w:val="32"/>
          <w:szCs w:val="32"/>
          <w:lang w:val="en-US" w:eastAsia="zh-CN"/>
        </w:rPr>
        <w:t>142.2</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收支预算总数</w:t>
      </w:r>
      <w:r>
        <w:rPr>
          <w:rFonts w:hAnsi="黑体" w:cs="Times New Roman"/>
          <w:kern w:val="2"/>
          <w:sz w:val="32"/>
          <w:szCs w:val="32"/>
        </w:rPr>
        <w:t>219.79</w:t>
      </w:r>
      <w:r>
        <w:rPr>
          <w:rFonts w:hint="eastAsia" w:hAnsi="黑体"/>
          <w:kern w:val="2"/>
          <w:sz w:val="32"/>
          <w:szCs w:val="32"/>
        </w:rPr>
        <w:t>万元</w:t>
      </w:r>
      <w:r>
        <w:rPr>
          <w:rFonts w:hint="eastAsia" w:hAnsi="黑体"/>
          <w:kern w:val="2"/>
          <w:sz w:val="32"/>
          <w:szCs w:val="32"/>
          <w:lang w:val="en-US" w:eastAsia="zh-CN"/>
        </w:rPr>
        <w:t>减少</w:t>
      </w:r>
      <w:r>
        <w:rPr>
          <w:rFonts w:hint="eastAsia" w:hAnsi="黑体" w:cs="Times New Roman"/>
          <w:kern w:val="2"/>
          <w:sz w:val="32"/>
          <w:szCs w:val="32"/>
        </w:rPr>
        <w:t>77.59</w:t>
      </w:r>
      <w:r>
        <w:rPr>
          <w:rFonts w:hint="eastAsia" w:hAnsi="黑体"/>
          <w:kern w:val="2"/>
          <w:sz w:val="32"/>
          <w:szCs w:val="32"/>
        </w:rPr>
        <w:t>万元，主要原因</w:t>
      </w:r>
      <w:r>
        <w:rPr>
          <w:rFonts w:hint="eastAsia" w:hAnsi="黑体"/>
          <w:kern w:val="2"/>
          <w:sz w:val="32"/>
          <w:szCs w:val="32"/>
          <w:lang w:eastAsia="zh-CN"/>
        </w:rPr>
        <w:t>：</w:t>
      </w:r>
      <w:r>
        <w:rPr>
          <w:rFonts w:hint="eastAsia" w:hAnsi="黑体"/>
          <w:kern w:val="2"/>
          <w:sz w:val="32"/>
          <w:szCs w:val="32"/>
          <w:lang w:val="en-US" w:eastAsia="zh-CN"/>
        </w:rPr>
        <w:t>2022年无项目支出预算且人员经费预算减少</w:t>
      </w:r>
      <w:r>
        <w:rPr>
          <w:rFonts w:hint="eastAsia" w:hAnsi="黑体"/>
          <w:kern w:val="2"/>
          <w:sz w:val="32"/>
          <w:szCs w:val="32"/>
        </w:rPr>
        <w:t>。</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（一）收入预算情况</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壤塘</w:t>
      </w:r>
      <w:r>
        <w:rPr>
          <w:rFonts w:hint="eastAsia"/>
          <w:color w:val="000000"/>
          <w:sz w:val="32"/>
          <w:szCs w:val="32"/>
        </w:rPr>
        <w:t>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rPr>
        <w:t>142.20</w:t>
      </w:r>
      <w:r>
        <w:rPr>
          <w:rFonts w:hint="eastAsia" w:hAnsi="黑体"/>
          <w:kern w:val="2"/>
          <w:sz w:val="32"/>
          <w:szCs w:val="32"/>
        </w:rPr>
        <w:t>万元，其中：一般公共预算拨款收入</w:t>
      </w:r>
      <w:r>
        <w:rPr>
          <w:rFonts w:hint="eastAsia" w:hAnsi="黑体" w:cs="Times New Roman"/>
          <w:kern w:val="2"/>
          <w:sz w:val="32"/>
          <w:szCs w:val="32"/>
        </w:rPr>
        <w:t>142.20</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（二）支出预算情况</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壤塘</w:t>
      </w:r>
      <w:r>
        <w:rPr>
          <w:rFonts w:hint="eastAsia"/>
          <w:color w:val="000000"/>
          <w:sz w:val="32"/>
          <w:szCs w:val="32"/>
        </w:rPr>
        <w:t>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rPr>
        <w:t>142.20</w:t>
      </w:r>
      <w:r>
        <w:rPr>
          <w:rFonts w:hint="eastAsia" w:hAnsi="黑体"/>
          <w:kern w:val="2"/>
          <w:sz w:val="32"/>
          <w:szCs w:val="32"/>
        </w:rPr>
        <w:t>万元，其中：基本支出</w:t>
      </w:r>
      <w:r>
        <w:rPr>
          <w:rFonts w:hint="eastAsia" w:hAnsi="黑体" w:cs="Times New Roman"/>
          <w:kern w:val="2"/>
          <w:sz w:val="32"/>
          <w:szCs w:val="32"/>
        </w:rPr>
        <w:t>142.20</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ascii="黑体" w:hAnsi="黑体" w:eastAsia="黑体" w:cs="黑体"/>
          <w:kern w:val="2"/>
          <w:sz w:val="32"/>
          <w:szCs w:val="32"/>
        </w:rPr>
      </w:pPr>
      <w:r>
        <w:rPr>
          <w:rFonts w:hint="eastAsia" w:ascii="黑体" w:hAnsi="黑体" w:eastAsia="黑体" w:cs="黑体"/>
          <w:kern w:val="2"/>
          <w:sz w:val="32"/>
          <w:szCs w:val="32"/>
        </w:rPr>
        <w:t>四、财政拨款收支预算情况说明</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壤塘</w:t>
      </w:r>
      <w:r>
        <w:rPr>
          <w:rFonts w:hint="eastAsia"/>
          <w:color w:val="000000"/>
          <w:sz w:val="32"/>
          <w:szCs w:val="32"/>
        </w:rPr>
        <w:t>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lang w:val="en-US" w:eastAsia="zh-CN"/>
        </w:rPr>
        <w:t>142.2</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财政拨款收支总预算</w:t>
      </w:r>
      <w:r>
        <w:rPr>
          <w:rFonts w:hint="eastAsia" w:hAnsi="黑体"/>
          <w:kern w:val="2"/>
          <w:sz w:val="32"/>
          <w:szCs w:val="32"/>
          <w:lang w:val="en-US" w:eastAsia="zh-CN"/>
        </w:rPr>
        <w:t>减少</w:t>
      </w:r>
      <w:r>
        <w:rPr>
          <w:rFonts w:hint="eastAsia" w:hAnsi="黑体"/>
          <w:kern w:val="2"/>
          <w:sz w:val="32"/>
          <w:szCs w:val="32"/>
        </w:rPr>
        <w:t>77.59万元，主要原因</w:t>
      </w:r>
      <w:r>
        <w:rPr>
          <w:rFonts w:hint="eastAsia" w:hAnsi="黑体"/>
          <w:kern w:val="2"/>
          <w:sz w:val="32"/>
          <w:szCs w:val="32"/>
          <w:lang w:eastAsia="zh-CN"/>
        </w:rPr>
        <w:t>：</w:t>
      </w:r>
      <w:r>
        <w:rPr>
          <w:rFonts w:hint="eastAsia" w:hAnsi="黑体"/>
          <w:kern w:val="2"/>
          <w:sz w:val="32"/>
          <w:szCs w:val="32"/>
          <w:lang w:val="en-US" w:eastAsia="zh-CN"/>
        </w:rPr>
        <w:t>2022年无项目支出预算且人员经费预算减少。</w:t>
      </w:r>
      <w:r>
        <w:rPr>
          <w:rFonts w:hint="eastAsia" w:hAnsi="黑体"/>
          <w:kern w:val="2"/>
          <w:sz w:val="32"/>
          <w:szCs w:val="32"/>
        </w:rPr>
        <w:t>收入包括：本年一般公共预算拨款收入</w:t>
      </w:r>
      <w:r>
        <w:rPr>
          <w:rFonts w:hint="eastAsia" w:hAnsi="黑体"/>
          <w:kern w:val="2"/>
          <w:sz w:val="32"/>
          <w:szCs w:val="32"/>
          <w:lang w:val="en-US" w:eastAsia="zh-CN"/>
        </w:rPr>
        <w:t>142.20</w:t>
      </w:r>
      <w:r>
        <w:rPr>
          <w:rFonts w:hint="eastAsia" w:hAnsi="黑体"/>
          <w:kern w:val="2"/>
          <w:sz w:val="32"/>
          <w:szCs w:val="32"/>
        </w:rPr>
        <w:t>万元；支出包括：社会保障和就业支出</w:t>
      </w:r>
      <w:r>
        <w:rPr>
          <w:rFonts w:hint="eastAsia" w:hAnsi="黑体" w:cs="Times New Roman"/>
          <w:kern w:val="2"/>
          <w:sz w:val="32"/>
          <w:szCs w:val="32"/>
          <w:lang w:val="en-US" w:eastAsia="zh-CN"/>
        </w:rPr>
        <w:t>20.54</w:t>
      </w:r>
      <w:r>
        <w:rPr>
          <w:rFonts w:hint="eastAsia" w:hAnsi="黑体"/>
          <w:kern w:val="2"/>
          <w:sz w:val="32"/>
          <w:szCs w:val="32"/>
        </w:rPr>
        <w:t>万元，卫生健康支出</w:t>
      </w:r>
      <w:r>
        <w:rPr>
          <w:rFonts w:hint="eastAsia" w:hAnsi="黑体"/>
          <w:kern w:val="2"/>
          <w:sz w:val="32"/>
          <w:szCs w:val="32"/>
          <w:lang w:val="en-US" w:eastAsia="zh-CN"/>
        </w:rPr>
        <w:t>8.91</w:t>
      </w:r>
      <w:r>
        <w:rPr>
          <w:rFonts w:hint="eastAsia" w:hAnsi="黑体"/>
          <w:kern w:val="2"/>
          <w:sz w:val="32"/>
          <w:szCs w:val="32"/>
        </w:rPr>
        <w:t>万元，住房保障支出</w:t>
      </w:r>
      <w:r>
        <w:rPr>
          <w:rFonts w:hint="eastAsia" w:hAnsi="黑体" w:cs="Times New Roman"/>
          <w:kern w:val="2"/>
          <w:sz w:val="32"/>
          <w:szCs w:val="32"/>
          <w:lang w:val="en-US" w:eastAsia="zh-CN"/>
        </w:rPr>
        <w:t>13.34</w:t>
      </w:r>
      <w:r>
        <w:rPr>
          <w:rFonts w:hint="eastAsia" w:hAnsi="黑体"/>
          <w:kern w:val="2"/>
          <w:sz w:val="32"/>
          <w:szCs w:val="32"/>
        </w:rPr>
        <w:t>万元，粮油物资储备支出99.41万元。</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ascii="黑体" w:hAnsi="黑体" w:eastAsia="黑体" w:cs="黑体"/>
          <w:kern w:val="2"/>
          <w:sz w:val="32"/>
          <w:szCs w:val="32"/>
        </w:rPr>
      </w:pPr>
      <w:r>
        <w:rPr>
          <w:rFonts w:hint="eastAsia" w:ascii="黑体" w:hAnsi="黑体" w:eastAsia="黑体" w:cs="黑体"/>
          <w:kern w:val="2"/>
          <w:sz w:val="32"/>
          <w:szCs w:val="32"/>
        </w:rPr>
        <w:t>五、一般公共预算当年拨款情况说明</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壤塘</w:t>
      </w:r>
      <w:r>
        <w:rPr>
          <w:rFonts w:hint="eastAsia"/>
          <w:color w:val="000000"/>
          <w:sz w:val="32"/>
          <w:szCs w:val="32"/>
        </w:rPr>
        <w:t>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一般公共预算当年拨款</w:t>
      </w:r>
      <w:r>
        <w:rPr>
          <w:rFonts w:hint="eastAsia" w:hAnsi="黑体"/>
          <w:kern w:val="2"/>
          <w:sz w:val="32"/>
          <w:szCs w:val="32"/>
          <w:lang w:val="en-US" w:eastAsia="zh-CN"/>
        </w:rPr>
        <w:t>142.20</w:t>
      </w:r>
      <w:r>
        <w:rPr>
          <w:rFonts w:hint="eastAsia" w:hAnsi="黑体"/>
          <w:kern w:val="2"/>
          <w:sz w:val="32"/>
          <w:szCs w:val="32"/>
        </w:rPr>
        <w:t>万元</w:t>
      </w:r>
      <w:r>
        <w:rPr>
          <w:rFonts w:hint="eastAsia" w:hAnsi="黑体"/>
          <w:color w:val="auto"/>
          <w:kern w:val="2"/>
          <w:sz w:val="32"/>
          <w:szCs w:val="32"/>
        </w:rPr>
        <w:t>，比</w:t>
      </w:r>
      <w:r>
        <w:rPr>
          <w:rFonts w:hAnsi="黑体"/>
          <w:color w:val="auto"/>
          <w:kern w:val="2"/>
          <w:sz w:val="32"/>
          <w:szCs w:val="32"/>
        </w:rPr>
        <w:t>202</w:t>
      </w:r>
      <w:r>
        <w:rPr>
          <w:rFonts w:hint="eastAsia" w:hAnsi="黑体"/>
          <w:color w:val="auto"/>
          <w:kern w:val="2"/>
          <w:sz w:val="32"/>
          <w:szCs w:val="32"/>
          <w:lang w:val="en-US" w:eastAsia="zh-CN"/>
        </w:rPr>
        <w:t>1</w:t>
      </w:r>
      <w:r>
        <w:rPr>
          <w:rFonts w:hAnsi="黑体"/>
          <w:color w:val="auto"/>
          <w:kern w:val="2"/>
          <w:sz w:val="32"/>
          <w:szCs w:val="32"/>
        </w:rPr>
        <w:t>年</w:t>
      </w:r>
      <w:r>
        <w:rPr>
          <w:rFonts w:hint="eastAsia" w:hAnsi="黑体"/>
          <w:color w:val="auto"/>
          <w:kern w:val="2"/>
          <w:sz w:val="32"/>
          <w:szCs w:val="32"/>
        </w:rPr>
        <w:t>预算数</w:t>
      </w:r>
      <w:r>
        <w:rPr>
          <w:rFonts w:hint="eastAsia" w:hAnsi="黑体"/>
          <w:color w:val="auto"/>
          <w:kern w:val="2"/>
          <w:sz w:val="32"/>
          <w:szCs w:val="32"/>
          <w:lang w:val="en-US" w:eastAsia="zh-CN"/>
        </w:rPr>
        <w:t>减少7</w:t>
      </w:r>
      <w:r>
        <w:rPr>
          <w:rFonts w:hint="eastAsia" w:hAnsi="黑体"/>
          <w:color w:val="auto"/>
          <w:kern w:val="2"/>
          <w:sz w:val="32"/>
          <w:szCs w:val="32"/>
        </w:rPr>
        <w:t>7.59万元，主要是基本支出</w:t>
      </w:r>
      <w:r>
        <w:rPr>
          <w:rFonts w:hint="eastAsia" w:hAnsi="黑体"/>
          <w:color w:val="auto"/>
          <w:kern w:val="2"/>
          <w:sz w:val="32"/>
          <w:szCs w:val="32"/>
          <w:lang w:val="en-US" w:eastAsia="zh-CN"/>
        </w:rPr>
        <w:t>减少</w:t>
      </w:r>
      <w:r>
        <w:rPr>
          <w:rFonts w:hint="eastAsia" w:hAnsi="黑体"/>
          <w:color w:val="auto"/>
          <w:kern w:val="2"/>
          <w:sz w:val="32"/>
          <w:szCs w:val="32"/>
        </w:rPr>
        <w:t>29.59万元，项目支出</w:t>
      </w:r>
      <w:r>
        <w:rPr>
          <w:rFonts w:hint="eastAsia" w:hAnsi="黑体"/>
          <w:color w:val="auto"/>
          <w:kern w:val="2"/>
          <w:sz w:val="32"/>
          <w:szCs w:val="32"/>
          <w:lang w:val="en-US" w:eastAsia="zh-CN"/>
        </w:rPr>
        <w:t>减少</w:t>
      </w:r>
      <w:r>
        <w:rPr>
          <w:rFonts w:hint="eastAsia" w:hAnsi="黑体"/>
          <w:color w:val="auto"/>
          <w:kern w:val="2"/>
          <w:sz w:val="32"/>
          <w:szCs w:val="32"/>
        </w:rPr>
        <w:t>48万元。主要原因</w:t>
      </w:r>
      <w:r>
        <w:rPr>
          <w:rFonts w:hint="eastAsia" w:hAnsi="黑体"/>
          <w:color w:val="auto"/>
          <w:kern w:val="2"/>
          <w:sz w:val="32"/>
          <w:szCs w:val="32"/>
          <w:lang w:eastAsia="zh-CN"/>
        </w:rPr>
        <w:t>：</w:t>
      </w:r>
      <w:r>
        <w:rPr>
          <w:rFonts w:hint="eastAsia" w:hAnsi="黑体"/>
          <w:color w:val="auto"/>
          <w:kern w:val="2"/>
          <w:sz w:val="32"/>
          <w:szCs w:val="32"/>
          <w:lang w:val="en-US" w:eastAsia="zh-CN"/>
        </w:rPr>
        <w:t>2022年无项目支出预算且人员经费预算减少</w:t>
      </w:r>
      <w:r>
        <w:rPr>
          <w:rFonts w:hint="eastAsia" w:hAnsi="黑体"/>
          <w:color w:val="auto"/>
          <w:kern w:val="2"/>
          <w:sz w:val="32"/>
          <w:szCs w:val="32"/>
        </w:rPr>
        <w:t>。</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（二）一般公共预算当年拨款结构情况</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社会保障和就业支出</w:t>
      </w:r>
      <w:r>
        <w:rPr>
          <w:rFonts w:hint="eastAsia" w:hAnsi="黑体" w:cs="Times New Roman"/>
          <w:kern w:val="2"/>
          <w:sz w:val="32"/>
          <w:szCs w:val="32"/>
          <w:lang w:val="en-US" w:eastAsia="zh-CN"/>
        </w:rPr>
        <w:t>20.54</w:t>
      </w:r>
      <w:r>
        <w:rPr>
          <w:rFonts w:hint="eastAsia" w:hAnsi="黑体"/>
          <w:kern w:val="2"/>
          <w:sz w:val="32"/>
          <w:szCs w:val="32"/>
        </w:rPr>
        <w:t>万元，占14.44%；卫生健康支出</w:t>
      </w:r>
      <w:r>
        <w:rPr>
          <w:rFonts w:hint="eastAsia" w:hAnsi="黑体"/>
          <w:kern w:val="2"/>
          <w:sz w:val="32"/>
          <w:szCs w:val="32"/>
          <w:lang w:val="en-US" w:eastAsia="zh-CN"/>
        </w:rPr>
        <w:t>8.91</w:t>
      </w:r>
      <w:r>
        <w:rPr>
          <w:rFonts w:hint="eastAsia" w:hAnsi="黑体"/>
          <w:kern w:val="2"/>
          <w:sz w:val="32"/>
          <w:szCs w:val="32"/>
        </w:rPr>
        <w:t>万元，占6.27%；住房保障支出</w:t>
      </w:r>
      <w:r>
        <w:rPr>
          <w:rFonts w:hint="eastAsia" w:hAnsi="黑体" w:cs="Times New Roman"/>
          <w:kern w:val="2"/>
          <w:sz w:val="32"/>
          <w:szCs w:val="32"/>
          <w:lang w:val="en-US" w:eastAsia="zh-CN"/>
        </w:rPr>
        <w:t>13.34</w:t>
      </w:r>
      <w:r>
        <w:rPr>
          <w:rFonts w:hint="eastAsia" w:hAnsi="黑体"/>
          <w:kern w:val="2"/>
          <w:sz w:val="32"/>
          <w:szCs w:val="32"/>
        </w:rPr>
        <w:t>万元，占9.38%；粮油物资储备支出99.41万元，占69.91%。</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（三）一般公共预算当年拨款具体使用情况</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Ansi="黑体"/>
          <w:kern w:val="2"/>
          <w:sz w:val="32"/>
          <w:szCs w:val="32"/>
        </w:rPr>
        <w:t>1</w:t>
      </w:r>
      <w:r>
        <w:rPr>
          <w:rFonts w:hint="eastAsia" w:hAnsi="黑体"/>
          <w:kern w:val="2"/>
          <w:sz w:val="32"/>
          <w:szCs w:val="32"/>
        </w:rPr>
        <w:t>．社会保障和就业支出（类）行政事业单位养老支出（款）机关事业单位基本养老保险缴费支出（项目）202</w:t>
      </w:r>
      <w:r>
        <w:rPr>
          <w:rFonts w:hint="eastAsia" w:hAnsi="黑体"/>
          <w:kern w:val="2"/>
          <w:sz w:val="32"/>
          <w:szCs w:val="32"/>
          <w:lang w:val="en-US" w:eastAsia="zh-CN"/>
        </w:rPr>
        <w:t>2</w:t>
      </w:r>
      <w:r>
        <w:rPr>
          <w:rFonts w:hint="eastAsia" w:hAnsi="黑体"/>
          <w:kern w:val="2"/>
          <w:sz w:val="32"/>
          <w:szCs w:val="32"/>
        </w:rPr>
        <w:t>年预算数为13.69万元，主要用于单位缴纳职工养老保险缴费支出。</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Ansi="黑体"/>
          <w:kern w:val="2"/>
          <w:sz w:val="32"/>
          <w:szCs w:val="32"/>
        </w:rPr>
        <w:t>2</w:t>
      </w:r>
      <w:r>
        <w:rPr>
          <w:rFonts w:hint="eastAsia" w:hAnsi="黑体"/>
          <w:kern w:val="2"/>
          <w:sz w:val="32"/>
          <w:szCs w:val="32"/>
        </w:rPr>
        <w:t>．社会保障和就业支出（类）行政事业单位养老支出（款）机关事业单位职业年金缴费支出（项目）202</w:t>
      </w:r>
      <w:r>
        <w:rPr>
          <w:rFonts w:hint="eastAsia" w:hAnsi="黑体"/>
          <w:kern w:val="2"/>
          <w:sz w:val="32"/>
          <w:szCs w:val="32"/>
          <w:lang w:val="en-US" w:eastAsia="zh-CN"/>
        </w:rPr>
        <w:t>2</w:t>
      </w:r>
      <w:r>
        <w:rPr>
          <w:rFonts w:hint="eastAsia" w:hAnsi="黑体"/>
          <w:kern w:val="2"/>
          <w:sz w:val="32"/>
          <w:szCs w:val="32"/>
        </w:rPr>
        <w:t>年预算数为6.85万元，主要用于单位缴纳职工职业年金缴费支出。</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3．卫生健康支出（类）行政事业单位医疗（款）行政单位医疗（项目）202</w:t>
      </w:r>
      <w:r>
        <w:rPr>
          <w:rFonts w:hint="eastAsia" w:hAnsi="黑体"/>
          <w:kern w:val="2"/>
          <w:sz w:val="32"/>
          <w:szCs w:val="32"/>
          <w:lang w:val="en-US" w:eastAsia="zh-CN"/>
        </w:rPr>
        <w:t>2</w:t>
      </w:r>
      <w:r>
        <w:rPr>
          <w:rFonts w:hint="eastAsia" w:hAnsi="黑体"/>
          <w:kern w:val="2"/>
          <w:sz w:val="32"/>
          <w:szCs w:val="32"/>
        </w:rPr>
        <w:t>年预算数为5.99万元，主要用于单位缴纳职工基本医疗保险缴费支出。</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4．卫生健康支出（类）行政事业单位医疗（款）公务员医疗补助（项目）202</w:t>
      </w:r>
      <w:r>
        <w:rPr>
          <w:rFonts w:hint="eastAsia" w:hAnsi="黑体"/>
          <w:kern w:val="2"/>
          <w:sz w:val="32"/>
          <w:szCs w:val="32"/>
          <w:lang w:val="en-US" w:eastAsia="zh-CN"/>
        </w:rPr>
        <w:t>2</w:t>
      </w:r>
      <w:r>
        <w:rPr>
          <w:rFonts w:hint="eastAsia" w:hAnsi="黑体"/>
          <w:kern w:val="2"/>
          <w:sz w:val="32"/>
          <w:szCs w:val="32"/>
        </w:rPr>
        <w:t>年预算数为2.92万元，主要用于单位缴纳职工公务员医疗补助缴费支出。</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5.住房保障支出（类）住房改革支出（款）住房公积金（项目）202</w:t>
      </w:r>
      <w:r>
        <w:rPr>
          <w:rFonts w:hint="eastAsia" w:hAnsi="黑体"/>
          <w:kern w:val="2"/>
          <w:sz w:val="32"/>
          <w:szCs w:val="32"/>
          <w:lang w:val="en-US" w:eastAsia="zh-CN"/>
        </w:rPr>
        <w:t>2</w:t>
      </w:r>
      <w:r>
        <w:rPr>
          <w:rFonts w:hint="eastAsia" w:hAnsi="黑体"/>
          <w:kern w:val="2"/>
          <w:sz w:val="32"/>
          <w:szCs w:val="32"/>
        </w:rPr>
        <w:t>年预算数为13.34万元，主要用于单位缴纳职工住房公积金。</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int="eastAsia" w:hAnsi="黑体"/>
          <w:kern w:val="2"/>
          <w:sz w:val="32"/>
          <w:szCs w:val="32"/>
        </w:rPr>
      </w:pPr>
      <w:r>
        <w:rPr>
          <w:rFonts w:hint="eastAsia" w:hAnsi="黑体"/>
          <w:kern w:val="2"/>
          <w:sz w:val="32"/>
          <w:szCs w:val="32"/>
        </w:rPr>
        <w:t>6.粮油物资储备支出（类）粮油物资事务（款）</w:t>
      </w:r>
      <w:r>
        <w:rPr>
          <w:rFonts w:hint="eastAsia" w:hAnsi="黑体"/>
          <w:kern w:val="2"/>
          <w:sz w:val="32"/>
          <w:szCs w:val="32"/>
          <w:lang w:val="en-US" w:eastAsia="zh-CN"/>
        </w:rPr>
        <w:t>行政运行</w:t>
      </w:r>
      <w:r>
        <w:rPr>
          <w:rFonts w:hint="eastAsia" w:hAnsi="黑体"/>
          <w:kern w:val="2"/>
          <w:sz w:val="32"/>
          <w:szCs w:val="32"/>
        </w:rPr>
        <w:t>（项目）202</w:t>
      </w:r>
      <w:r>
        <w:rPr>
          <w:rFonts w:hint="eastAsia" w:hAnsi="黑体"/>
          <w:kern w:val="2"/>
          <w:sz w:val="32"/>
          <w:szCs w:val="32"/>
          <w:lang w:val="en-US" w:eastAsia="zh-CN"/>
        </w:rPr>
        <w:t>2</w:t>
      </w:r>
      <w:r>
        <w:rPr>
          <w:rFonts w:hint="eastAsia" w:hAnsi="黑体"/>
          <w:kern w:val="2"/>
          <w:sz w:val="32"/>
          <w:szCs w:val="32"/>
        </w:rPr>
        <w:t>年预算数为99.41万元，主要用于单位运行支出</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ascii="黑体" w:hAnsi="黑体" w:eastAsia="黑体" w:cs="黑体"/>
          <w:kern w:val="2"/>
          <w:sz w:val="32"/>
          <w:szCs w:val="32"/>
        </w:rPr>
      </w:pPr>
      <w:r>
        <w:rPr>
          <w:rFonts w:hint="eastAsia" w:ascii="黑体" w:hAnsi="黑体" w:eastAsia="黑体" w:cs="黑体"/>
          <w:kern w:val="2"/>
          <w:sz w:val="32"/>
          <w:szCs w:val="32"/>
        </w:rPr>
        <w:t>六、一般公共预算基本支出情况说明</w:t>
      </w:r>
    </w:p>
    <w:p>
      <w:pPr>
        <w:pStyle w:val="14"/>
        <w:keepNext w:val="0"/>
        <w:keepLines w:val="0"/>
        <w:pageBreakBefore w:val="0"/>
        <w:tabs>
          <w:tab w:val="left" w:pos="720"/>
        </w:tabs>
        <w:kinsoku/>
        <w:wordWrap/>
        <w:overflowPunct/>
        <w:topLinePunct w:val="0"/>
        <w:autoSpaceDE/>
        <w:autoSpaceDN/>
        <w:bidi w:val="0"/>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壤塘县粮食和物资储备中心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142.20</w:t>
      </w:r>
      <w:r>
        <w:rPr>
          <w:rFonts w:hint="eastAsia" w:hAnsi="黑体"/>
          <w:kern w:val="2"/>
          <w:sz w:val="32"/>
          <w:szCs w:val="32"/>
        </w:rPr>
        <w:t>万元，其中：人员经费130.09万元，主要包括：基本工资32.14万元、津贴补贴50.75万元、奖金2.68万元、机关事业单位基本养老保险缴费13.69万元、职业年金缴费6.85万元、城镇职工医疗保险5.99万元、公务员医疗补助2.92万元、其他社会保障缴费1.73万元、住房公积金13.34万元。公用经费12.11万元，主要包括：办公费3.07万元、印刷费0.60万元、电费0.80万元、邮电费0.74万元、取暖费0.62万元、物业管理费0.47万元、差旅费2.00万元、公务接待费0.10万元、工会经费1.71万元、公务用车运行维护费2万元。</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壤塘县粮食和物资储备中心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0</w:t>
      </w:r>
      <w:r>
        <w:rPr>
          <w:rFonts w:hint="eastAsia" w:hAnsi="黑体"/>
          <w:kern w:val="2"/>
          <w:sz w:val="32"/>
          <w:szCs w:val="32"/>
        </w:rPr>
        <w:t>.1万元，其中：因公出国（境）费用</w:t>
      </w:r>
      <w:r>
        <w:rPr>
          <w:rFonts w:hint="eastAsia" w:hAnsi="黑体"/>
          <w:kern w:val="2"/>
          <w:sz w:val="32"/>
          <w:szCs w:val="32"/>
          <w:lang w:val="en-US" w:eastAsia="zh-CN"/>
        </w:rPr>
        <w:t>0万元，</w:t>
      </w:r>
      <w:r>
        <w:rPr>
          <w:rFonts w:hint="eastAsia" w:hAnsi="黑体"/>
          <w:kern w:val="2"/>
          <w:sz w:val="32"/>
          <w:szCs w:val="32"/>
        </w:rPr>
        <w:t>公务接待费0.1万元，公务用车运行维护费</w:t>
      </w:r>
      <w:r>
        <w:rPr>
          <w:rFonts w:hint="eastAsia" w:hAnsi="黑体"/>
          <w:kern w:val="2"/>
          <w:sz w:val="32"/>
          <w:szCs w:val="32"/>
          <w:lang w:val="en-US" w:eastAsia="zh-CN"/>
        </w:rPr>
        <w:t>0</w:t>
      </w:r>
      <w:r>
        <w:rPr>
          <w:rFonts w:hint="eastAsia" w:hAnsi="黑体"/>
          <w:kern w:val="2"/>
          <w:sz w:val="32"/>
          <w:szCs w:val="32"/>
        </w:rPr>
        <w:t>万元。</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公务接待费0.1万元</w:t>
      </w:r>
      <w:r>
        <w:rPr>
          <w:rFonts w:hint="eastAsia" w:hAnsi="黑体"/>
          <w:kern w:val="2"/>
          <w:sz w:val="32"/>
          <w:szCs w:val="32"/>
          <w:lang w:eastAsia="zh-CN"/>
        </w:rPr>
        <w:t>，</w:t>
      </w:r>
      <w:r>
        <w:rPr>
          <w:rFonts w:hint="eastAsia" w:hAnsi="黑体"/>
          <w:kern w:val="2"/>
          <w:sz w:val="32"/>
          <w:szCs w:val="32"/>
        </w:rPr>
        <w:t>较</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持平。</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ascii="黑体" w:hAnsi="黑体" w:eastAsia="黑体" w:cs="黑体"/>
          <w:kern w:val="2"/>
          <w:sz w:val="32"/>
          <w:szCs w:val="32"/>
        </w:rPr>
      </w:pPr>
      <w:r>
        <w:rPr>
          <w:rFonts w:hint="eastAsia" w:ascii="黑体" w:hAnsi="黑体" w:eastAsia="黑体" w:cs="黑体"/>
          <w:kern w:val="2"/>
          <w:sz w:val="32"/>
          <w:szCs w:val="32"/>
        </w:rPr>
        <w:t>八、政府性基金预算支出情况说明</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壤塘县粮食和物资储备中心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无政府性基金预算拨款安排。</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ascii="黑体" w:hAnsi="黑体" w:eastAsia="黑体" w:cs="黑体"/>
          <w:kern w:val="2"/>
          <w:sz w:val="32"/>
          <w:szCs w:val="32"/>
        </w:rPr>
      </w:pPr>
      <w:r>
        <w:rPr>
          <w:rFonts w:hint="eastAsia" w:ascii="黑体" w:hAnsi="黑体" w:eastAsia="黑体" w:cs="黑体"/>
          <w:kern w:val="2"/>
          <w:sz w:val="32"/>
          <w:szCs w:val="32"/>
        </w:rPr>
        <w:t>九、其他重要事项的情况说明</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（一）机关运行经费</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壤塘县粮食和物资储备中心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color w:val="auto"/>
          <w:kern w:val="2"/>
          <w:sz w:val="32"/>
          <w:szCs w:val="32"/>
        </w:rPr>
        <w:t>机关运行经费</w:t>
      </w:r>
      <w:r>
        <w:rPr>
          <w:rFonts w:hint="eastAsia" w:hAnsi="黑体"/>
          <w:kern w:val="2"/>
          <w:sz w:val="32"/>
          <w:szCs w:val="32"/>
        </w:rPr>
        <w:t>财政拨款预算为12.11万元，比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w:t>
      </w:r>
      <w:r>
        <w:rPr>
          <w:rFonts w:hint="eastAsia" w:hAnsi="黑体"/>
          <w:kern w:val="2"/>
          <w:sz w:val="32"/>
          <w:szCs w:val="32"/>
          <w:lang w:val="en-US" w:eastAsia="zh-CN"/>
        </w:rPr>
        <w:t>减少</w:t>
      </w:r>
      <w:r>
        <w:rPr>
          <w:rFonts w:hint="eastAsia" w:hAnsi="黑体"/>
          <w:kern w:val="2"/>
          <w:sz w:val="32"/>
          <w:szCs w:val="32"/>
        </w:rPr>
        <w:t>1.58万元，</w:t>
      </w:r>
      <w:r>
        <w:rPr>
          <w:rFonts w:hint="eastAsia" w:hAnsi="黑体"/>
          <w:kern w:val="2"/>
          <w:sz w:val="32"/>
          <w:szCs w:val="32"/>
          <w:lang w:val="en-US" w:eastAsia="zh-CN"/>
        </w:rPr>
        <w:t>降低</w:t>
      </w:r>
      <w:r>
        <w:rPr>
          <w:rFonts w:hint="eastAsia" w:hAnsi="黑体"/>
          <w:kern w:val="2"/>
          <w:sz w:val="32"/>
          <w:szCs w:val="32"/>
        </w:rPr>
        <w:t>11.54</w:t>
      </w:r>
      <w:r>
        <w:rPr>
          <w:rFonts w:hAnsi="黑体"/>
          <w:kern w:val="2"/>
          <w:sz w:val="32"/>
          <w:szCs w:val="32"/>
        </w:rPr>
        <w:t>%</w:t>
      </w:r>
      <w:r>
        <w:rPr>
          <w:rFonts w:hint="eastAsia" w:hAnsi="黑体"/>
          <w:kern w:val="2"/>
          <w:sz w:val="32"/>
          <w:szCs w:val="32"/>
        </w:rPr>
        <w:t>。</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ascii="楷体_GB2312" w:hAnsi="黑体" w:eastAsia="楷体_GB2312" w:cs="Times New Roman"/>
          <w:b/>
          <w:bCs/>
          <w:kern w:val="2"/>
          <w:sz w:val="32"/>
          <w:szCs w:val="32"/>
        </w:rPr>
      </w:pPr>
      <w:r>
        <w:rPr>
          <w:rFonts w:hint="eastAsia" w:ascii="楷体_GB2312" w:hAnsi="黑体" w:eastAsia="楷体_GB2312" w:cs="楷体_GB2312"/>
          <w:b/>
          <w:bCs/>
          <w:kern w:val="2"/>
          <w:sz w:val="32"/>
          <w:szCs w:val="32"/>
        </w:rPr>
        <w:t>（二）政府采购情况</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int="eastAsia" w:hAnsi="黑体"/>
          <w:kern w:val="2"/>
          <w:sz w:val="32"/>
          <w:szCs w:val="32"/>
        </w:rPr>
        <w:t>壤塘县粮食和物资储备中心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未安排政府采购预算。</w:t>
      </w:r>
    </w:p>
    <w:p>
      <w:pPr>
        <w:pStyle w:val="14"/>
        <w:keepNext w:val="0"/>
        <w:keepLines w:val="0"/>
        <w:pageBreakBefore w:val="0"/>
        <w:numPr>
          <w:ilvl w:val="0"/>
          <w:numId w:val="0"/>
        </w:numPr>
        <w:kinsoku/>
        <w:wordWrap/>
        <w:overflowPunct/>
        <w:topLinePunct w:val="0"/>
        <w:autoSpaceDE/>
        <w:autoSpaceDN/>
        <w:bidi w:val="0"/>
        <w:spacing w:before="0" w:line="560" w:lineRule="exact"/>
        <w:ind w:firstLine="643" w:firstLineChars="200"/>
        <w:textAlignment w:val="auto"/>
        <w:rPr>
          <w:rFonts w:hint="eastAsia" w:ascii="仿宋_GB2312" w:hAnsi="仿宋_GB2312" w:eastAsia="仿宋_GB2312" w:cs="仿宋_GB2312"/>
          <w:b/>
          <w:bCs/>
          <w:kern w:val="2"/>
          <w:sz w:val="32"/>
          <w:szCs w:val="32"/>
          <w:lang w:val="en-US" w:eastAsia="zh-CN"/>
        </w:rPr>
      </w:pPr>
      <w:r>
        <w:rPr>
          <w:rFonts w:hint="eastAsia" w:ascii="楷体_GB2312" w:hAnsi="黑体" w:eastAsia="楷体_GB2312" w:cs="楷体_GB2312"/>
          <w:b/>
          <w:bCs/>
          <w:kern w:val="2"/>
          <w:sz w:val="32"/>
          <w:szCs w:val="32"/>
          <w:lang w:eastAsia="zh-CN"/>
        </w:rPr>
        <w:t>（三）</w:t>
      </w:r>
      <w:r>
        <w:rPr>
          <w:rFonts w:hint="eastAsia" w:ascii="楷体_GB2312" w:hAnsi="黑体" w:eastAsia="楷体_GB2312" w:cs="楷体_GB2312"/>
          <w:b/>
          <w:bCs/>
          <w:kern w:val="2"/>
          <w:sz w:val="32"/>
          <w:szCs w:val="32"/>
        </w:rPr>
        <w:t>国有资产占有使用情况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无</w:t>
      </w:r>
      <w:r>
        <w:rPr>
          <w:rFonts w:hint="eastAsia" w:cs="仿宋_GB2312"/>
          <w:b w:val="0"/>
          <w:bCs w:val="0"/>
          <w:kern w:val="2"/>
          <w:sz w:val="32"/>
          <w:szCs w:val="32"/>
          <w:lang w:val="en-US" w:eastAsia="zh-CN"/>
        </w:rPr>
        <w:t>。</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（四）绩效目标设置情况</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Ansi="黑体"/>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壤塘县粮食和物资储备中心通用项目和专用项目均按要求实行绩效目标管理，涉及一般公共预算当年拨款</w:t>
      </w:r>
      <w:r>
        <w:rPr>
          <w:rFonts w:hint="eastAsia" w:hAnsi="黑体"/>
          <w:kern w:val="2"/>
          <w:sz w:val="32"/>
          <w:szCs w:val="32"/>
          <w:lang w:val="en-US" w:eastAsia="zh-CN"/>
        </w:rPr>
        <w:t>142.20</w:t>
      </w:r>
      <w:r>
        <w:rPr>
          <w:rFonts w:hint="eastAsia" w:hAnsi="黑体"/>
          <w:kern w:val="2"/>
          <w:sz w:val="32"/>
          <w:szCs w:val="32"/>
        </w:rPr>
        <w:t>万元。</w:t>
      </w:r>
    </w:p>
    <w:p>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ascii="??" w:hAnsi="??" w:eastAsia="宋体" w:cs="Times New Roman"/>
          <w:sz w:val="16"/>
          <w:szCs w:val="16"/>
        </w:rPr>
      </w:pPr>
      <w:r>
        <w:rPr>
          <w:rFonts w:hint="eastAsia" w:ascii="黑体" w:hAnsi="黑体" w:eastAsia="黑体" w:cs="黑体"/>
          <w:kern w:val="2"/>
          <w:sz w:val="32"/>
          <w:szCs w:val="32"/>
        </w:rPr>
        <w:t>十、名词解释</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hAnsi="黑体"/>
          <w:kern w:val="2"/>
          <w:sz w:val="32"/>
          <w:szCs w:val="32"/>
        </w:rPr>
      </w:pPr>
      <w:r>
        <w:rPr>
          <w:rFonts w:hint="eastAsia" w:hAnsi="黑体"/>
          <w:b/>
          <w:bCs/>
          <w:kern w:val="2"/>
          <w:sz w:val="32"/>
          <w:szCs w:val="32"/>
        </w:rPr>
        <w:t>（一）财政拨款收入：</w:t>
      </w:r>
      <w:r>
        <w:rPr>
          <w:rFonts w:hint="eastAsia" w:hAnsi="黑体"/>
          <w:kern w:val="2"/>
          <w:sz w:val="32"/>
          <w:szCs w:val="32"/>
        </w:rPr>
        <w:t>指由财政拨款形成的部门收入。按现行管理制度，部门预算中反映的财政拨款仅包括一般公共预算拨款和政府性基金预算拨款。</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hAnsi="黑体"/>
          <w:kern w:val="2"/>
          <w:sz w:val="32"/>
          <w:szCs w:val="32"/>
        </w:rPr>
      </w:pPr>
      <w:r>
        <w:rPr>
          <w:rFonts w:hint="eastAsia" w:hAnsi="黑体"/>
          <w:b/>
          <w:bCs/>
          <w:kern w:val="2"/>
          <w:sz w:val="32"/>
          <w:szCs w:val="32"/>
        </w:rPr>
        <w:t>（二）事业收入：</w:t>
      </w:r>
      <w:r>
        <w:rPr>
          <w:rFonts w:hint="eastAsia" w:hAnsi="黑体"/>
          <w:kern w:val="2"/>
          <w:sz w:val="32"/>
          <w:szCs w:val="32"/>
        </w:rPr>
        <w:t>指所属事业单位开展专业业务活动及辅助活动所取得的收入。</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hAnsi="黑体"/>
          <w:kern w:val="2"/>
          <w:sz w:val="32"/>
          <w:szCs w:val="32"/>
        </w:rPr>
      </w:pPr>
      <w:r>
        <w:rPr>
          <w:rFonts w:hint="eastAsia" w:hAnsi="黑体"/>
          <w:b/>
          <w:bCs/>
          <w:kern w:val="2"/>
          <w:sz w:val="32"/>
          <w:szCs w:val="32"/>
        </w:rPr>
        <w:t>（三）事业单位经营收入：</w:t>
      </w:r>
      <w:r>
        <w:rPr>
          <w:rFonts w:hint="eastAsia" w:hAnsi="黑体"/>
          <w:kern w:val="2"/>
          <w:sz w:val="32"/>
          <w:szCs w:val="32"/>
        </w:rPr>
        <w:t>指所属事业单位在专业业务活动及其辅助活动之外开展非独立核算经营活动取得的收入。</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hAnsi="黑体"/>
          <w:kern w:val="2"/>
          <w:sz w:val="32"/>
          <w:szCs w:val="32"/>
        </w:rPr>
      </w:pPr>
      <w:r>
        <w:rPr>
          <w:rFonts w:hint="eastAsia" w:hAnsi="黑体"/>
          <w:b/>
          <w:bCs/>
          <w:kern w:val="2"/>
          <w:sz w:val="32"/>
          <w:szCs w:val="32"/>
        </w:rPr>
        <w:t>（四）其他收入：</w:t>
      </w:r>
      <w:r>
        <w:rPr>
          <w:rFonts w:hint="eastAsia" w:hAnsi="黑体"/>
          <w:kern w:val="2"/>
          <w:sz w:val="32"/>
          <w:szCs w:val="32"/>
        </w:rPr>
        <w:t>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hAnsi="黑体"/>
          <w:kern w:val="2"/>
          <w:sz w:val="32"/>
          <w:szCs w:val="32"/>
        </w:rPr>
      </w:pPr>
      <w:r>
        <w:rPr>
          <w:rFonts w:hint="eastAsia" w:hAnsi="黑体"/>
          <w:b/>
          <w:bCs/>
          <w:kern w:val="2"/>
          <w:sz w:val="32"/>
          <w:szCs w:val="32"/>
        </w:rPr>
        <w:t>（五）用事业基金弥补收支差额：</w:t>
      </w:r>
      <w:r>
        <w:rPr>
          <w:rFonts w:hint="eastAsia" w:hAnsi="黑体"/>
          <w:kern w:val="2"/>
          <w:sz w:val="32"/>
          <w:szCs w:val="32"/>
        </w:rPr>
        <w:t>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pPr>
        <w:pStyle w:val="14"/>
        <w:keepNext w:val="0"/>
        <w:keepLines w:val="0"/>
        <w:pageBreakBefore w:val="0"/>
        <w:kinsoku/>
        <w:wordWrap/>
        <w:overflowPunct/>
        <w:topLinePunct w:val="0"/>
        <w:autoSpaceDE/>
        <w:autoSpaceDN/>
        <w:bidi w:val="0"/>
        <w:spacing w:before="0" w:line="560" w:lineRule="exact"/>
        <w:ind w:firstLine="643" w:firstLineChars="200"/>
        <w:textAlignment w:val="auto"/>
        <w:rPr>
          <w:rFonts w:hAnsi="黑体" w:cs="Times New Roman"/>
          <w:kern w:val="2"/>
          <w:sz w:val="32"/>
          <w:szCs w:val="32"/>
        </w:rPr>
      </w:pPr>
      <w:r>
        <w:rPr>
          <w:rFonts w:hint="eastAsia" w:hAnsi="黑体"/>
          <w:b/>
          <w:bCs/>
          <w:kern w:val="2"/>
          <w:sz w:val="32"/>
          <w:szCs w:val="32"/>
        </w:rPr>
        <w:t>（六）上年结转：</w:t>
      </w:r>
      <w:r>
        <w:rPr>
          <w:rFonts w:hint="eastAsia" w:hAnsi="黑体"/>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黑体"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129B29A"/>
    <w:multiLevelType w:val="singleLevel"/>
    <w:tmpl w:val="4129B29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54"/>
    <w:rsid w:val="00013F89"/>
    <w:rsid w:val="00085137"/>
    <w:rsid w:val="00092049"/>
    <w:rsid w:val="00097A74"/>
    <w:rsid w:val="0010091B"/>
    <w:rsid w:val="00114D56"/>
    <w:rsid w:val="00255D9A"/>
    <w:rsid w:val="00260082"/>
    <w:rsid w:val="002D5F48"/>
    <w:rsid w:val="00317D47"/>
    <w:rsid w:val="00352854"/>
    <w:rsid w:val="0036094C"/>
    <w:rsid w:val="003762A5"/>
    <w:rsid w:val="003D7B56"/>
    <w:rsid w:val="00405039"/>
    <w:rsid w:val="00471829"/>
    <w:rsid w:val="0047755A"/>
    <w:rsid w:val="00484AEB"/>
    <w:rsid w:val="004A17D7"/>
    <w:rsid w:val="004F177A"/>
    <w:rsid w:val="004F55B1"/>
    <w:rsid w:val="0050530E"/>
    <w:rsid w:val="00523AD8"/>
    <w:rsid w:val="00527A2C"/>
    <w:rsid w:val="00541CE8"/>
    <w:rsid w:val="00556281"/>
    <w:rsid w:val="005E5C01"/>
    <w:rsid w:val="00621612"/>
    <w:rsid w:val="00643A51"/>
    <w:rsid w:val="00681CB7"/>
    <w:rsid w:val="006B5A90"/>
    <w:rsid w:val="00700A68"/>
    <w:rsid w:val="00746EF0"/>
    <w:rsid w:val="007B3677"/>
    <w:rsid w:val="007C7CD1"/>
    <w:rsid w:val="00804603"/>
    <w:rsid w:val="00825013"/>
    <w:rsid w:val="008A5FB8"/>
    <w:rsid w:val="008F63EB"/>
    <w:rsid w:val="00911620"/>
    <w:rsid w:val="0093727E"/>
    <w:rsid w:val="0095666B"/>
    <w:rsid w:val="00981A87"/>
    <w:rsid w:val="00987B5A"/>
    <w:rsid w:val="009A09E2"/>
    <w:rsid w:val="009A7871"/>
    <w:rsid w:val="009C5F76"/>
    <w:rsid w:val="009F17B5"/>
    <w:rsid w:val="00A55379"/>
    <w:rsid w:val="00B713B0"/>
    <w:rsid w:val="00BB1BBF"/>
    <w:rsid w:val="00BE644B"/>
    <w:rsid w:val="00C0348B"/>
    <w:rsid w:val="00C37478"/>
    <w:rsid w:val="00C451EA"/>
    <w:rsid w:val="00C8183B"/>
    <w:rsid w:val="00D44AFA"/>
    <w:rsid w:val="00E86257"/>
    <w:rsid w:val="00E91AC9"/>
    <w:rsid w:val="00EA7BD5"/>
    <w:rsid w:val="00EB283B"/>
    <w:rsid w:val="00EB6F15"/>
    <w:rsid w:val="00EF71D0"/>
    <w:rsid w:val="00F743F0"/>
    <w:rsid w:val="00F806C0"/>
    <w:rsid w:val="00F80C32"/>
    <w:rsid w:val="00F90685"/>
    <w:rsid w:val="00FF11B9"/>
    <w:rsid w:val="00FF4B91"/>
    <w:rsid w:val="041B5DF4"/>
    <w:rsid w:val="0E6C0E80"/>
    <w:rsid w:val="0EDF5040"/>
    <w:rsid w:val="112F5B47"/>
    <w:rsid w:val="209F6280"/>
    <w:rsid w:val="250003FC"/>
    <w:rsid w:val="257F0085"/>
    <w:rsid w:val="280D1C94"/>
    <w:rsid w:val="2C873457"/>
    <w:rsid w:val="35A95619"/>
    <w:rsid w:val="3A755FCF"/>
    <w:rsid w:val="527745EA"/>
    <w:rsid w:val="561D378D"/>
    <w:rsid w:val="64D545B9"/>
    <w:rsid w:val="6BF32B6E"/>
    <w:rsid w:val="71A77C57"/>
    <w:rsid w:val="74A6049C"/>
    <w:rsid w:val="7CC738D5"/>
    <w:rsid w:val="7E5A1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0" w:semiHidden="0" w:name="header"/>
    <w:lsdException w:qFormat="1" w:unhideWhenUsed="0" w:uiPriority="99" w:name="footer"/>
    <w:lsdException w:uiPriority="99" w:name="index heading"/>
    <w:lsdException w:qFormat="1" w:uiPriority="0" w:name="caption" w:locked="1"/>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3">
    <w:name w:val="Body Text Indent"/>
    <w:basedOn w:val="1"/>
    <w:link w:val="18"/>
    <w:semiHidden/>
    <w:unhideWhenUsed/>
    <w:qFormat/>
    <w:uiPriority w:val="99"/>
    <w:pPr>
      <w:spacing w:after="120"/>
      <w:ind w:left="420" w:leftChars="200"/>
    </w:pPr>
  </w:style>
  <w:style w:type="paragraph" w:styleId="4">
    <w:name w:val="footer"/>
    <w:basedOn w:val="1"/>
    <w:link w:val="13"/>
    <w:semiHidden/>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rFonts w:cs="Times New Roman" w:asciiTheme="minorHAnsi" w:hAnsiTheme="minorHAnsi" w:eastAsiaTheme="minorEastAsia"/>
      <w:kern w:val="0"/>
      <w:sz w:val="24"/>
      <w:szCs w:val="24"/>
    </w:rPr>
  </w:style>
  <w:style w:type="paragraph" w:styleId="7">
    <w:name w:val="Body Text First Indent 2"/>
    <w:basedOn w:val="3"/>
    <w:link w:val="19"/>
    <w:qFormat/>
    <w:uiPriority w:val="0"/>
    <w:pPr>
      <w:tabs>
        <w:tab w:val="left" w:pos="960"/>
      </w:tabs>
      <w:spacing w:after="0" w:line="540" w:lineRule="exact"/>
      <w:ind w:left="0" w:leftChars="0" w:firstLine="420" w:firstLineChars="200"/>
    </w:pPr>
    <w:rPr>
      <w:rFonts w:ascii="Times New Roman" w:hAnsi="Times New Roman" w:cs="Times New Roman"/>
      <w:sz w:val="32"/>
      <w:szCs w:val="32"/>
    </w:rPr>
  </w:style>
  <w:style w:type="character" w:styleId="10">
    <w:name w:val="Strong"/>
    <w:basedOn w:val="9"/>
    <w:qFormat/>
    <w:locked/>
    <w:uiPriority w:val="0"/>
    <w:rPr>
      <w:b/>
    </w:rPr>
  </w:style>
  <w:style w:type="character" w:styleId="11">
    <w:name w:val="Emphasis"/>
    <w:basedOn w:val="9"/>
    <w:qFormat/>
    <w:uiPriority w:val="99"/>
  </w:style>
  <w:style w:type="character" w:customStyle="1" w:styleId="12">
    <w:name w:val="页眉 字符"/>
    <w:basedOn w:val="9"/>
    <w:link w:val="5"/>
    <w:qFormat/>
    <w:locked/>
    <w:uiPriority w:val="0"/>
    <w:rPr>
      <w:sz w:val="18"/>
      <w:szCs w:val="18"/>
    </w:rPr>
  </w:style>
  <w:style w:type="character" w:customStyle="1" w:styleId="13">
    <w:name w:val="页脚 字符"/>
    <w:basedOn w:val="9"/>
    <w:link w:val="4"/>
    <w:semiHidden/>
    <w:qFormat/>
    <w:locked/>
    <w:uiPriority w:val="99"/>
    <w:rPr>
      <w:sz w:val="18"/>
      <w:szCs w:val="18"/>
    </w:rPr>
  </w:style>
  <w:style w:type="paragraph" w:customStyle="1" w:styleId="14">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5">
    <w:name w:val="默认段落字体1"/>
    <w:qFormat/>
    <w:uiPriority w:val="99"/>
    <w:rPr>
      <w:sz w:val="22"/>
      <w:szCs w:val="22"/>
    </w:rPr>
  </w:style>
  <w:style w:type="paragraph" w:customStyle="1" w:styleId="16">
    <w:name w:val="列出段落1"/>
    <w:basedOn w:val="1"/>
    <w:qFormat/>
    <w:uiPriority w:val="99"/>
    <w:pPr>
      <w:ind w:firstLine="420" w:firstLineChars="200"/>
    </w:pPr>
  </w:style>
  <w:style w:type="paragraph" w:styleId="17">
    <w:name w:val="List Paragraph"/>
    <w:basedOn w:val="1"/>
    <w:qFormat/>
    <w:uiPriority w:val="34"/>
    <w:pPr>
      <w:ind w:firstLine="420" w:firstLineChars="200"/>
    </w:pPr>
  </w:style>
  <w:style w:type="character" w:customStyle="1" w:styleId="18">
    <w:name w:val="正文文本缩进 字符"/>
    <w:basedOn w:val="9"/>
    <w:link w:val="3"/>
    <w:semiHidden/>
    <w:qFormat/>
    <w:uiPriority w:val="99"/>
    <w:rPr>
      <w:rFonts w:cs="Calibri"/>
      <w:kern w:val="2"/>
      <w:sz w:val="21"/>
      <w:szCs w:val="21"/>
    </w:rPr>
  </w:style>
  <w:style w:type="character" w:customStyle="1" w:styleId="19">
    <w:name w:val="正文首行缩进 2 字符"/>
    <w:basedOn w:val="18"/>
    <w:link w:val="7"/>
    <w:qFormat/>
    <w:uiPriority w:val="0"/>
    <w:rPr>
      <w:rFonts w:ascii="Times New Roman" w:hAnsi="Times New Roman" w:cs="Calibri"/>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10</Pages>
  <Words>588</Words>
  <Characters>3353</Characters>
  <Lines>27</Lines>
  <Paragraphs>7</Paragraphs>
  <TotalTime>34</TotalTime>
  <ScaleCrop>false</ScaleCrop>
  <LinksUpToDate>false</LinksUpToDate>
  <CharactersWithSpaces>3934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2021-04-15T14:08:00Z</dcterms:created>
  <dc:creator>薛永萍</dc:creator>
  <cp:lastModifiedBy>堵嫡沃</cp:lastModifiedBy>
  <cp:lastPrinted>2021-04-20T06:57:00Z</cp:lastPrinted>
  <dcterms:modified xsi:type="dcterms:W3CDTF">2022-01-19T09:54:00Z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369A3A96C5E04A6088F0DE00644D9806</vt:lpwstr>
  </property>
</Properties>
</file>