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77425"/>
      <w:bookmarkStart w:id="3" w:name="_Toc15378441"/>
      <w:bookmarkStart w:id="4" w:name="_Toc15377193"/>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77426"/>
      <w:bookmarkStart w:id="10" w:name="_Toc15396476"/>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粮食和物资储备中心</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pStyle w:val="15"/>
        <w:jc w:val="center"/>
        <w:rPr>
          <w:rFonts w:hint="eastAsia" w:hAnsiTheme="minorHAnsi"/>
          <w:b w:val="0"/>
          <w:bCs w:val="0"/>
          <w:sz w:val="24"/>
          <w:szCs w:val="24"/>
        </w:rPr>
      </w:pPr>
    </w:p>
    <w:p>
      <w:pPr>
        <w:pStyle w:val="15"/>
        <w:jc w:val="center"/>
        <w:rPr>
          <w:rFonts w:hint="eastAsia" w:hAnsiTheme="minorHAnsi"/>
          <w:b w:val="0"/>
          <w:bCs w:val="0"/>
          <w:sz w:val="24"/>
          <w:szCs w:val="24"/>
        </w:rPr>
      </w:pP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19</w:t>
      </w:r>
      <w:r>
        <w:rPr>
          <w:rFonts w:hint="eastAsia" w:hAnsiTheme="minorHAnsi"/>
          <w:b w:val="0"/>
          <w:bCs w:val="0"/>
          <w:sz w:val="24"/>
          <w:szCs w:val="24"/>
        </w:rPr>
        <w:t>日</w:t>
      </w:r>
    </w:p>
    <w:p>
      <w:pPr>
        <w:rPr>
          <w:rFonts w:ascii="方正小标宋简体" w:hAnsi="宋体" w:eastAsia="方正小标宋简体"/>
          <w:sz w:val="36"/>
          <w:szCs w:val="36"/>
        </w:rPr>
      </w:pPr>
    </w:p>
    <w:p>
      <w:pPr>
        <w:pStyle w:val="18"/>
        <w:rPr>
          <w:rFonts w:ascii="方正小标宋简体" w:hAnsi="宋体" w:eastAsia="方正小标宋简体"/>
          <w:sz w:val="36"/>
          <w:szCs w:val="36"/>
        </w:rPr>
      </w:pPr>
    </w:p>
    <w:p>
      <w:pPr>
        <w:rPr>
          <w:rFonts w:ascii="方正小标宋简体" w:hAnsi="宋体" w:eastAsia="方正小标宋简体"/>
          <w:sz w:val="36"/>
          <w:szCs w:val="36"/>
        </w:rPr>
      </w:pPr>
    </w:p>
    <w:p>
      <w:pPr>
        <w:pStyle w:val="18"/>
      </w:pPr>
    </w:p>
    <w:p>
      <w:pPr>
        <w:widowControl/>
        <w:ind w:firstLine="3840" w:firstLineChars="800"/>
        <w:jc w:val="both"/>
        <w:rPr>
          <w:rFonts w:ascii="黑体" w:hAnsi="黑体" w:eastAsia="黑体"/>
          <w:color w:val="000000"/>
          <w:sz w:val="48"/>
          <w:szCs w:val="48"/>
        </w:rPr>
      </w:pPr>
      <w:r>
        <w:rPr>
          <w:rFonts w:hint="eastAsia" w:ascii="黑体" w:hAnsi="黑体" w:eastAsia="黑体"/>
          <w:color w:val="000000"/>
          <w:sz w:val="48"/>
          <w:szCs w:val="48"/>
        </w:rPr>
        <w:t>目录</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_Toc14061 \h </w:instrText>
      </w:r>
      <w:r>
        <w:fldChar w:fldCharType="separate"/>
      </w:r>
      <w:r>
        <w:t>1</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_Toc5077 \h </w:instrText>
      </w:r>
      <w:r>
        <w:fldChar w:fldCharType="separate"/>
      </w:r>
      <w:r>
        <w:t>1</w:t>
      </w:r>
      <w:r>
        <w:fldChar w:fldCharType="end"/>
      </w:r>
    </w:p>
    <w:p>
      <w:pPr>
        <w:pStyle w:val="10"/>
        <w:tabs>
          <w:tab w:val="right" w:leader="dot" w:pos="8306"/>
        </w:tabs>
      </w:pPr>
      <w:r>
        <w:rPr>
          <w:rFonts w:hint="eastAsia" w:ascii="仿宋" w:hAnsi="仿宋" w:eastAsia="仿宋"/>
          <w:bCs/>
          <w:color w:val="000000"/>
          <w:szCs w:val="32"/>
        </w:rPr>
        <w:t>（一）主要职能。</w:t>
      </w:r>
      <w:r>
        <w:tab/>
      </w:r>
      <w:r>
        <w:fldChar w:fldCharType="begin"/>
      </w:r>
      <w:r>
        <w:instrText xml:space="preserve"> PAGEREF _Toc11923 \h </w:instrText>
      </w:r>
      <w:r>
        <w:fldChar w:fldCharType="separate"/>
      </w:r>
      <w:r>
        <w:t>1</w:t>
      </w:r>
      <w:r>
        <w:fldChar w:fldCharType="end"/>
      </w:r>
    </w:p>
    <w:p>
      <w:pPr>
        <w:pStyle w:val="10"/>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w:t>
      </w:r>
      <w:r>
        <w:rPr>
          <w:rFonts w:hint="eastAsia" w:ascii="仿宋" w:hAnsi="仿宋" w:eastAsia="仿宋"/>
          <w:bCs/>
          <w:color w:val="000000"/>
          <w:szCs w:val="32"/>
        </w:rPr>
        <w:t>1年重点工作完成情况。</w:t>
      </w:r>
      <w:r>
        <w:tab/>
      </w:r>
      <w:r>
        <w:fldChar w:fldCharType="begin"/>
      </w:r>
      <w:r>
        <w:instrText xml:space="preserve"> PAGEREF _Toc24745 \h </w:instrText>
      </w:r>
      <w:r>
        <w:fldChar w:fldCharType="separate"/>
      </w:r>
      <w:r>
        <w:t>2</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_Toc16236 \h </w:instrText>
      </w:r>
      <w:r>
        <w:fldChar w:fldCharType="separate"/>
      </w:r>
      <w:r>
        <w:t>4</w:t>
      </w:r>
      <w:r>
        <w:fldChar w:fldCharType="end"/>
      </w:r>
    </w:p>
    <w:p>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_Toc4162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_Toc12750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_Toc16043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_Toc31362 \h </w:instrText>
      </w:r>
      <w:r>
        <w:fldChar w:fldCharType="separate"/>
      </w:r>
      <w:r>
        <w:t>5</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_Toc15078 \h </w:instrText>
      </w:r>
      <w:r>
        <w:fldChar w:fldCharType="separate"/>
      </w:r>
      <w:r>
        <w:t>5</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_Toc3182 \h </w:instrText>
      </w:r>
      <w:r>
        <w:fldChar w:fldCharType="separate"/>
      </w:r>
      <w:r>
        <w:t>6</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_Toc21606 \h </w:instrText>
      </w:r>
      <w:r>
        <w:fldChar w:fldCharType="separate"/>
      </w:r>
      <w:r>
        <w:t>6</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_Toc10432 \h </w:instrText>
      </w:r>
      <w:r>
        <w:fldChar w:fldCharType="separate"/>
      </w:r>
      <w:r>
        <w:t>6</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_Toc16672 \h </w:instrText>
      </w:r>
      <w:r>
        <w:fldChar w:fldCharType="separate"/>
      </w:r>
      <w:r>
        <w:t>7</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_Toc10535 \h </w:instrText>
      </w:r>
      <w:r>
        <w:fldChar w:fldCharType="separate"/>
      </w:r>
      <w:r>
        <w:t>9</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_Toc18764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_Toc23840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_Toc3601 \h </w:instrText>
      </w:r>
      <w:r>
        <w:fldChar w:fldCharType="separate"/>
      </w:r>
      <w:r>
        <w:t>10</w:t>
      </w:r>
      <w:r>
        <w:fldChar w:fldCharType="end"/>
      </w:r>
    </w:p>
    <w:p>
      <w:pPr>
        <w:pStyle w:val="19"/>
        <w:tabs>
          <w:tab w:val="right" w:leader="dot" w:pos="8306"/>
        </w:tabs>
      </w:pPr>
      <w:r>
        <w:rPr>
          <w:rFonts w:ascii="仿宋_GB2312" w:eastAsia="仿宋_GB2312"/>
          <w:color w:val="000000"/>
          <w:szCs w:val="32"/>
        </w:rPr>
        <w:t>3.</w:t>
      </w:r>
      <w:r>
        <w:rPr>
          <w:rFonts w:hint="eastAsia" w:ascii="仿宋_GB2312" w:eastAsia="仿宋_GB2312"/>
          <w:color w:val="000000"/>
          <w:szCs w:val="32"/>
        </w:rPr>
        <w:t>公务接待费支出</w:t>
      </w:r>
      <w:r>
        <w:rPr>
          <w:rFonts w:hint="eastAsia" w:ascii="仿宋_GB2312" w:eastAsia="仿宋_GB2312"/>
          <w:color w:val="000000"/>
          <w:szCs w:val="32"/>
          <w:lang w:val="en-US" w:eastAsia="zh-CN"/>
        </w:rPr>
        <w:t>0</w:t>
      </w:r>
      <w:r>
        <w:rPr>
          <w:rFonts w:hint="eastAsia" w:ascii="仿宋_GB2312" w:eastAsia="仿宋_GB2312"/>
          <w:color w:val="000000"/>
          <w:szCs w:val="32"/>
        </w:rPr>
        <w:t>万元</w:t>
      </w:r>
      <w:r>
        <w:rPr>
          <w:rFonts w:hint="eastAsia" w:ascii="仿宋" w:hAnsi="仿宋" w:eastAsia="仿宋"/>
          <w:bCs/>
          <w:color w:val="000000"/>
          <w:szCs w:val="32"/>
        </w:rPr>
        <w:t>。</w:t>
      </w:r>
      <w:r>
        <w:tab/>
      </w:r>
      <w:r>
        <w:fldChar w:fldCharType="begin"/>
      </w:r>
      <w:r>
        <w:instrText xml:space="preserve"> PAGEREF _Toc6753 \h </w:instrText>
      </w:r>
      <w:r>
        <w:fldChar w:fldCharType="separate"/>
      </w:r>
      <w:r>
        <w:t>10</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_Toc10932 \h </w:instrText>
      </w:r>
      <w:r>
        <w:fldChar w:fldCharType="separate"/>
      </w:r>
      <w:r>
        <w:t>10</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_Toc25064 \h </w:instrText>
      </w:r>
      <w:r>
        <w:fldChar w:fldCharType="separate"/>
      </w:r>
      <w:r>
        <w:t>10</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_Toc11254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_Toc17979 \h </w:instrText>
      </w:r>
      <w:r>
        <w:fldChar w:fldCharType="separate"/>
      </w:r>
      <w:r>
        <w:t>10</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_Toc30673 \h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_Toc25809 \h </w:instrText>
      </w:r>
      <w:r>
        <w:fldChar w:fldCharType="separate"/>
      </w:r>
      <w:r>
        <w:t>11</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_Toc20405 \h </w:instrText>
      </w:r>
      <w:r>
        <w:fldChar w:fldCharType="separate"/>
      </w:r>
      <w:r>
        <w:t>11</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_Toc5070 \h </w:instrText>
      </w:r>
      <w:r>
        <w:fldChar w:fldCharType="separate"/>
      </w:r>
      <w:r>
        <w:t>12</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_Toc10725 \h </w:instrText>
      </w:r>
      <w:r>
        <w:fldChar w:fldCharType="separate"/>
      </w:r>
      <w:r>
        <w:t>19</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_Toc11881 \h </w:instrText>
      </w:r>
      <w:r>
        <w:fldChar w:fldCharType="separate"/>
      </w:r>
      <w:r>
        <w:t>19</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_Toc17077 \h </w:instrText>
      </w:r>
      <w:r>
        <w:fldChar w:fldCharType="separate"/>
      </w:r>
      <w:r>
        <w:t>19</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_Toc32182 \h </w:instrText>
      </w:r>
      <w:r>
        <w:fldChar w:fldCharType="separate"/>
      </w:r>
      <w:r>
        <w:t>19</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_Toc3250 \h </w:instrText>
      </w:r>
      <w:r>
        <w:fldChar w:fldCharType="separate"/>
      </w:r>
      <w:r>
        <w:t>19</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_Toc26806 \h </w:instrText>
      </w:r>
      <w:r>
        <w:fldChar w:fldCharType="separate"/>
      </w:r>
      <w:r>
        <w:t>19</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_Toc7923 \h </w:instrText>
      </w:r>
      <w:r>
        <w:fldChar w:fldCharType="separate"/>
      </w:r>
      <w:r>
        <w:t>19</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_Toc11727 \h </w:instrText>
      </w:r>
      <w:r>
        <w:fldChar w:fldCharType="separate"/>
      </w:r>
      <w:r>
        <w:t>19</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_Toc31537 \h </w:instrText>
      </w:r>
      <w:r>
        <w:fldChar w:fldCharType="separate"/>
      </w:r>
      <w:r>
        <w:t>19</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_Toc14620 \h </w:instrText>
      </w:r>
      <w:r>
        <w:fldChar w:fldCharType="separate"/>
      </w:r>
      <w:r>
        <w:t>19</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_Toc4435 \h </w:instrText>
      </w:r>
      <w:r>
        <w:fldChar w:fldCharType="separate"/>
      </w:r>
      <w:r>
        <w:t>19</w:t>
      </w:r>
      <w:r>
        <w:fldChar w:fldCharType="end"/>
      </w:r>
    </w:p>
    <w:p>
      <w:pPr>
        <w:pStyle w:val="19"/>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_Toc1596 \h </w:instrText>
      </w:r>
      <w:r>
        <w:fldChar w:fldCharType="separate"/>
      </w:r>
      <w:r>
        <w:t>19</w:t>
      </w:r>
      <w:r>
        <w:fldChar w:fldCharType="end"/>
      </w:r>
    </w:p>
    <w:p>
      <w:pPr>
        <w:pStyle w:val="19"/>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_Toc21639 \h </w:instrText>
      </w:r>
      <w:r>
        <w:fldChar w:fldCharType="separate"/>
      </w:r>
      <w:r>
        <w:t>19</w:t>
      </w:r>
      <w:r>
        <w:fldChar w:fldCharType="end"/>
      </w:r>
    </w:p>
    <w:p>
      <w:pPr>
        <w:pStyle w:val="19"/>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_Toc12672 \h </w:instrText>
      </w:r>
      <w:r>
        <w:fldChar w:fldCharType="separate"/>
      </w:r>
      <w:r>
        <w:t>19</w:t>
      </w:r>
      <w:r>
        <w:fldChar w:fldCharType="end"/>
      </w:r>
    </w:p>
    <w:p>
      <w:pPr>
        <w:pStyle w:val="19"/>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_Toc5684 \h </w:instrText>
      </w:r>
      <w:r>
        <w:fldChar w:fldCharType="separate"/>
      </w:r>
      <w:r>
        <w:t>19</w:t>
      </w:r>
      <w:r>
        <w:fldChar w:fldCharType="end"/>
      </w:r>
    </w:p>
    <w:p>
      <w:r>
        <w:rPr>
          <w:rFonts w:asciiTheme="minorHAnsi" w:eastAsiaTheme="minorHAnsi"/>
          <w:bCs/>
          <w: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hint="eastAsia" w:ascii="仿宋" w:hAnsi="仿宋" w:eastAsia="仿宋"/>
          <w:color w:val="FF0000"/>
          <w:sz w:val="24"/>
          <w:lang w:eastAsia="zh-CN"/>
        </w:rPr>
        <w:t>（</w:t>
      </w:r>
      <w:r>
        <w:rPr>
          <w:rFonts w:hint="eastAsia" w:ascii="仿宋" w:hAnsi="仿宋" w:eastAsia="仿宋"/>
          <w:color w:val="FF0000"/>
          <w:sz w:val="24"/>
        </w:rPr>
        <w:t>注：请部门根据实际注明页码</w:t>
      </w:r>
      <w:r>
        <w:rPr>
          <w:rFonts w:hint="eastAsia" w:ascii="仿宋" w:hAnsi="仿宋" w:eastAsia="仿宋"/>
          <w:color w:val="FF0000"/>
          <w:sz w:val="24"/>
          <w:lang w:eastAsia="zh-CN"/>
        </w:rPr>
        <w:t>）</w:t>
      </w:r>
    </w:p>
    <w:p>
      <w:pPr>
        <w:pStyle w:val="4"/>
        <w:jc w:val="center"/>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96599"/>
      <w:bookmarkStart w:id="13" w:name="_Toc15377196"/>
      <w:bookmarkStart w:id="14" w:name="_Toc79163601"/>
    </w:p>
    <w:p>
      <w:pPr>
        <w:pStyle w:val="4"/>
        <w:jc w:val="center"/>
        <w:rPr>
          <w:rStyle w:val="25"/>
          <w:rFonts w:ascii="黑体" w:hAnsi="黑体" w:eastAsia="黑体"/>
          <w:b/>
          <w:bCs w:val="0"/>
        </w:rPr>
      </w:pPr>
      <w:bookmarkStart w:id="15" w:name="_Toc14061"/>
      <w:r>
        <w:rPr>
          <w:rFonts w:hint="eastAsia" w:ascii="黑体" w:hAnsi="黑体" w:eastAsia="黑体"/>
          <w:b w:val="0"/>
        </w:rPr>
        <w:t>第一部分</w:t>
      </w:r>
      <w:r>
        <w:rPr>
          <w:rFonts w:ascii="黑体" w:hAnsi="黑体" w:eastAsia="黑体"/>
          <w:b w:val="0"/>
        </w:rPr>
        <w:t xml:space="preserve"> </w:t>
      </w:r>
      <w:r>
        <w:rPr>
          <w:rStyle w:val="2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26"/>
          <w:rFonts w:ascii="仿宋" w:hAnsi="仿宋" w:eastAsia="仿宋"/>
          <w:b w:val="0"/>
          <w:bCs w:val="0"/>
        </w:rPr>
      </w:pPr>
      <w:bookmarkStart w:id="16" w:name="_Toc79163602"/>
      <w:bookmarkStart w:id="17" w:name="_Toc15396600"/>
      <w:bookmarkStart w:id="18" w:name="_Toc15377197"/>
      <w:bookmarkStart w:id="19" w:name="_Toc507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8"/>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1192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adjustRightInd w:val="0"/>
        <w:snapToGrid w:val="0"/>
        <w:spacing w:line="576" w:lineRule="exact"/>
        <w:ind w:firstLine="643" w:firstLineChars="200"/>
        <w:rPr>
          <w:rFonts w:ascii="仿宋_GB2312" w:hAnsi="仿宋_GB2312" w:eastAsia="仿宋_GB2312" w:cs="仿宋_GB2312"/>
          <w:bCs/>
          <w:sz w:val="32"/>
          <w:szCs w:val="32"/>
        </w:rPr>
      </w:pPr>
      <w:bookmarkStart w:id="24" w:name="_Toc15377199"/>
      <w:bookmarkStart w:id="25" w:name="_Toc15378446"/>
      <w:bookmarkStart w:id="26" w:name="_Toc79163604"/>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Cs/>
          <w:sz w:val="32"/>
          <w:szCs w:val="32"/>
        </w:rPr>
        <w:t>贯彻实施国家、省、州有关粮食流通和物资储备的方针、政策、法律法规和相关规范性文件。</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第二条 </w:t>
      </w:r>
      <w:r>
        <w:rPr>
          <w:rFonts w:hint="eastAsia" w:ascii="仿宋_GB2312" w:hAnsi="仿宋_GB2312" w:eastAsia="仿宋_GB2312" w:cs="仿宋_GB2312"/>
          <w:sz w:val="32"/>
          <w:szCs w:val="32"/>
        </w:rPr>
        <w:t>贯彻执行《粮食流通管理条例》，加强储备粮管理。执行县发改</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制定的本县粮食流通和县级储备粮管理办法、粮食应急预案、规章制度和有关政策。</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研究提出全县粮食宏观调控、粮油方面的平衡以及粮食流通的中长期规划、收购、储存、动用县级储备粮的建议，并组织实施；</w:t>
      </w:r>
      <w:r>
        <w:rPr>
          <w:rFonts w:hint="eastAsia" w:ascii="仿宋_GB2312" w:hAnsi="仿宋_GB2312" w:eastAsia="仿宋_GB2312" w:cs="仿宋_GB2312"/>
          <w:sz w:val="32"/>
          <w:szCs w:val="32"/>
          <w:lang w:eastAsia="zh-CN"/>
        </w:rPr>
        <w:t>参与</w:t>
      </w:r>
      <w:r>
        <w:rPr>
          <w:rFonts w:hint="eastAsia" w:ascii="仿宋_GB2312" w:hAnsi="仿宋_GB2312" w:eastAsia="仿宋_GB2312" w:cs="仿宋_GB2312"/>
          <w:sz w:val="32"/>
          <w:szCs w:val="32"/>
        </w:rPr>
        <w:t>拟定粮食产业化经营的措施，配合有关部门抓好商品粮油品种结构调整。</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第四条 </w:t>
      </w:r>
      <w:r>
        <w:rPr>
          <w:rFonts w:hint="eastAsia" w:ascii="仿宋_GB2312" w:hAnsi="仿宋_GB2312" w:eastAsia="仿宋_GB2312" w:cs="仿宋_GB2312"/>
          <w:sz w:val="32"/>
          <w:szCs w:val="32"/>
        </w:rPr>
        <w:t>负责省、州、县储备粮管理，指导全县粮食储备体系建设；</w:t>
      </w:r>
      <w:r>
        <w:rPr>
          <w:rFonts w:hint="eastAsia" w:ascii="仿宋_GB2312" w:hAnsi="仿宋_GB2312" w:eastAsia="仿宋_GB2312" w:cs="仿宋_GB2312"/>
          <w:sz w:val="32"/>
          <w:szCs w:val="32"/>
          <w:lang w:eastAsia="zh-CN"/>
        </w:rPr>
        <w:t>在行政主管部门的授权下监督检查</w:t>
      </w:r>
      <w:r>
        <w:rPr>
          <w:rFonts w:hint="eastAsia" w:ascii="仿宋_GB2312" w:hAnsi="仿宋_GB2312" w:eastAsia="仿宋_GB2312" w:cs="仿宋_GB2312"/>
          <w:sz w:val="32"/>
          <w:szCs w:val="32"/>
        </w:rPr>
        <w:t>县级储备粮</w:t>
      </w:r>
      <w:r>
        <w:rPr>
          <w:rFonts w:hint="eastAsia" w:ascii="仿宋_GB2312" w:hAnsi="仿宋_GB2312" w:eastAsia="仿宋_GB2312" w:cs="仿宋_GB2312"/>
          <w:sz w:val="32"/>
          <w:szCs w:val="32"/>
          <w:lang w:eastAsia="zh-CN"/>
        </w:rPr>
        <w:t>库存数量和质量，制度县级储备粮管理</w:t>
      </w:r>
      <w:r>
        <w:rPr>
          <w:rFonts w:hint="eastAsia" w:ascii="仿宋_GB2312" w:hAnsi="仿宋_GB2312" w:eastAsia="仿宋_GB2312" w:cs="仿宋_GB2312"/>
          <w:sz w:val="32"/>
          <w:szCs w:val="32"/>
        </w:rPr>
        <w:t>的技术规范并监督执行；研究提出县级储备粮的收购、轮换、抛售计划，并组织实施。</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第五条 </w:t>
      </w:r>
      <w:r>
        <w:rPr>
          <w:rFonts w:hint="eastAsia" w:ascii="仿宋_GB2312" w:hAnsi="仿宋_GB2312" w:eastAsia="仿宋_GB2312" w:cs="仿宋_GB2312"/>
          <w:sz w:val="32"/>
          <w:szCs w:val="32"/>
        </w:rPr>
        <w:t>管理社会粮食流通，保障军队、城镇居民、救灾济粮和国家重点建设项目的粮食供应。</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第六条 </w:t>
      </w:r>
      <w:r>
        <w:rPr>
          <w:rFonts w:hint="eastAsia" w:ascii="仿宋_GB2312" w:hAnsi="仿宋_GB2312" w:eastAsia="仿宋_GB2312" w:cs="仿宋_GB2312"/>
          <w:sz w:val="32"/>
          <w:szCs w:val="32"/>
        </w:rPr>
        <w:t>指导和协调全县粮食流通基础设施建设，编制全县粮油仓储、加工设施建设计划并组织实施；</w:t>
      </w:r>
      <w:r>
        <w:rPr>
          <w:rFonts w:hint="eastAsia" w:ascii="仿宋_GB2312" w:hAnsi="仿宋_GB2312" w:eastAsia="仿宋_GB2312" w:cs="仿宋_GB2312"/>
          <w:sz w:val="32"/>
          <w:szCs w:val="32"/>
          <w:lang w:eastAsia="zh-CN"/>
        </w:rPr>
        <w:t>在行政管理部门的授权下</w:t>
      </w:r>
      <w:r>
        <w:rPr>
          <w:rFonts w:hint="eastAsia" w:ascii="仿宋_GB2312" w:hAnsi="仿宋_GB2312" w:eastAsia="仿宋_GB2312" w:cs="仿宋_GB2312"/>
          <w:sz w:val="32"/>
          <w:szCs w:val="32"/>
        </w:rPr>
        <w:t>指导商业网点建设，负责粮油仓储设施的报废、占用、</w:t>
      </w:r>
      <w:r>
        <w:rPr>
          <w:rFonts w:hint="eastAsia" w:ascii="仿宋_GB2312" w:hAnsi="仿宋_GB2312" w:eastAsia="仿宋_GB2312" w:cs="仿宋_GB2312"/>
          <w:sz w:val="32"/>
          <w:szCs w:val="32"/>
          <w:lang w:eastAsia="zh-CN"/>
        </w:rPr>
        <w:t>拆迁地审批</w:t>
      </w:r>
      <w:r>
        <w:rPr>
          <w:rFonts w:hint="eastAsia" w:ascii="仿宋_GB2312" w:hAnsi="仿宋_GB2312" w:eastAsia="仿宋_GB2312" w:cs="仿宋_GB2312"/>
          <w:sz w:val="32"/>
          <w:szCs w:val="32"/>
        </w:rPr>
        <w:t>。</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第七条 </w:t>
      </w:r>
      <w:r>
        <w:rPr>
          <w:rFonts w:hint="eastAsia" w:ascii="仿宋_GB2312" w:hAnsi="仿宋_GB2312" w:eastAsia="仿宋_GB2312" w:cs="仿宋_GB2312"/>
          <w:sz w:val="32"/>
          <w:szCs w:val="32"/>
        </w:rPr>
        <w:t>指导并推动行业的技术改造、新技术推广应用、安全生产和抢险救灾工作；承担行业统计工作。</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第八条 </w:t>
      </w:r>
      <w:r>
        <w:rPr>
          <w:rFonts w:hint="eastAsia" w:ascii="仿宋_GB2312" w:hAnsi="仿宋_GB2312" w:eastAsia="仿宋_GB2312" w:cs="仿宋_GB2312"/>
          <w:sz w:val="32"/>
          <w:szCs w:val="32"/>
        </w:rPr>
        <w:t>指导全县粮食财务管理工作；会同有关部门做好粮食收购资金使用；编报全县粮食系统财务报表，组织制年度决算。</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第九条 </w:t>
      </w:r>
      <w:r>
        <w:rPr>
          <w:rFonts w:hint="eastAsia" w:ascii="仿宋_GB2312" w:hAnsi="仿宋_GB2312" w:eastAsia="仿宋_GB2312" w:cs="仿宋_GB2312"/>
          <w:sz w:val="32"/>
          <w:szCs w:val="32"/>
        </w:rPr>
        <w:t>协同</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做好粮食质量标准的管理工作；制定粮食储存、运输的技术规范，并监督执行。</w:t>
      </w:r>
    </w:p>
    <w:p>
      <w:pPr>
        <w:widowControl/>
        <w:adjustRightInd w:val="0"/>
        <w:snapToGrid w:val="0"/>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第十条 </w:t>
      </w:r>
      <w:r>
        <w:rPr>
          <w:rFonts w:hint="eastAsia" w:ascii="仿宋_GB2312" w:hAnsi="仿宋_GB2312" w:eastAsia="仿宋_GB2312" w:cs="仿宋_GB2312"/>
          <w:sz w:val="32"/>
          <w:szCs w:val="32"/>
        </w:rPr>
        <w:t>负责全县粮食余缺调剂，组织和协调县内粮油调剂工作和对外经济技术合作交流。</w:t>
      </w:r>
    </w:p>
    <w:p>
      <w:pPr>
        <w:pStyle w:val="2"/>
        <w:ind w:firstLine="641"/>
        <w:rPr>
          <w:rFonts w:hint="eastAsia" w:ascii="仿宋_GB2312" w:hAnsi="仿宋_GB2312" w:eastAsia="仿宋_GB2312" w:cs="仿宋_GB2312"/>
        </w:rPr>
      </w:pPr>
      <w:r>
        <w:rPr>
          <w:rFonts w:hint="eastAsia" w:ascii="仿宋_GB2312" w:hAnsi="仿宋_GB2312" w:eastAsia="仿宋_GB2312" w:cs="仿宋_GB2312"/>
          <w:b/>
          <w:bCs/>
        </w:rPr>
        <w:t xml:space="preserve">第十一条 </w:t>
      </w:r>
      <w:r>
        <w:rPr>
          <w:rFonts w:hint="eastAsia" w:ascii="仿宋_GB2312" w:hAnsi="仿宋_GB2312" w:eastAsia="仿宋_GB2312" w:cs="仿宋_GB2312"/>
        </w:rPr>
        <w:t>协助做好救灾物资储备规划、品种目录和标准、年度购置计划，负责州级救灾物资的收储、轮换和日常管理，根据动用指令按程序组织调拨。</w:t>
      </w:r>
    </w:p>
    <w:p>
      <w:pPr>
        <w:pStyle w:val="2"/>
        <w:ind w:firstLine="641"/>
        <w:rPr>
          <w:rFonts w:hint="default" w:ascii="仿宋_GB2312" w:hAnsi="仿宋_GB2312" w:eastAsia="仿宋_GB2312" w:cs="仿宋_GB2312"/>
          <w:lang w:val="en-US" w:eastAsia="zh-CN"/>
        </w:rPr>
      </w:pPr>
      <w:r>
        <w:rPr>
          <w:rFonts w:hint="eastAsia" w:ascii="仿宋_GB2312" w:hAnsi="仿宋_GB2312" w:eastAsia="仿宋_GB2312" w:cs="仿宋_GB2312"/>
          <w:b/>
          <w:bCs/>
          <w:lang w:eastAsia="zh-CN"/>
        </w:rPr>
        <w:t>第十二条</w:t>
      </w:r>
      <w:r>
        <w:rPr>
          <w:rFonts w:hint="eastAsia" w:ascii="仿宋_GB2312" w:hAnsi="仿宋_GB2312" w:eastAsia="仿宋_GB2312" w:cs="仿宋_GB2312"/>
          <w:b/>
          <w:bCs/>
          <w:lang w:val="en-US" w:eastAsia="zh-CN"/>
        </w:rPr>
        <w:t xml:space="preserve"> </w:t>
      </w:r>
      <w:r>
        <w:rPr>
          <w:rFonts w:hint="eastAsia" w:ascii="仿宋_GB2312" w:hAnsi="仿宋_GB2312" w:eastAsia="仿宋_GB2312" w:cs="仿宋_GB2312"/>
          <w:lang w:val="en-US" w:eastAsia="zh-CN"/>
        </w:rPr>
        <w:t>完成县委、县政府和局机关交办的其他工作。</w:t>
      </w: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7" w:name="_Toc24745"/>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粮物储备中心</w:t>
      </w:r>
      <w:r>
        <w:rPr>
          <w:rFonts w:hint="eastAsia" w:ascii="仿宋_GB2312" w:hAnsi="仿宋_GB2312" w:eastAsia="仿宋_GB2312" w:cs="仿宋_GB2312"/>
          <w:sz w:val="32"/>
          <w:szCs w:val="32"/>
          <w:lang w:val="en-US" w:eastAsia="zh-CN"/>
        </w:rPr>
        <w:t>始终把保障粮食安全责任扛在肩上、落实在行动上。</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保持全县粮油品种结构、储备布局合理，地方储备粮库存量充足，库存粮食均保持计划库存数，绝不出现空库、库存不足等现象。</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定期对储备粮、政策性粮食的入库粮食来源、出库粮食去向、粮食购销资金变动进行检查，对粮食入库前空仓、粮食轮换入库进行验收，粮食销售及出库等方面符合政策规定，粮食质量安全可靠，粮食批次进行检验检测，查验质检报告。未出现陈化、霉变、重金属超标等问题。</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始终按照“谁储粮、谁负责，谁坏粮、谁担责”的原则，逐级传导压力和夯实责任，督促县粮油收储公司加强管理和内部管控，压实安全储粮和安全生产主体责任；建立健全安全检查长效机制，坚持开展安全储粮和安全生产隐患排查，及时发现和消除各类风险隐患，加强治理，建立台账，明确整改要求和责任，确保不发生重大粮油储存事故和重大安全生产事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开展粮食安全系列宣传学习贯彻活动情况。</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组织</w:t>
      </w:r>
      <w:r>
        <w:rPr>
          <w:rFonts w:hint="eastAsia" w:ascii="仿宋_GB2312" w:hAnsi="仿宋_GB2312" w:eastAsia="仿宋_GB2312" w:cs="仿宋_GB2312"/>
          <w:sz w:val="32"/>
          <w:szCs w:val="32"/>
          <w:lang w:val="en-US" w:eastAsia="zh-CN"/>
        </w:rPr>
        <w:t>开展第41个“世界粮食日”、全国粮食安全宣传周，通过悬挂宣传横幅、利用电子屏幕、发放宣传手册、摆放宣传展板、开展咨询服务等形式，向社会广泛宣传发展粮食产业、爱粮节粮的重要意义。</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组织全体干部职工学习新修订《粮食流通管理条例》和新颁布的《粮食安全保障条例》。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积极配合涉粮购销领域专项巡察。</w:t>
      </w:r>
      <w:r>
        <w:rPr>
          <w:rFonts w:hint="eastAsia" w:ascii="仿宋_GB2312" w:hAnsi="仿宋_GB2312" w:eastAsia="仿宋_GB2312" w:cs="仿宋_GB2312"/>
          <w:kern w:val="2"/>
          <w:sz w:val="32"/>
          <w:szCs w:val="32"/>
          <w:lang w:val="en-US" w:eastAsia="zh-CN" w:bidi="ar-SA"/>
        </w:rPr>
        <w:t>县委巡察组于九月中旬起开展了十三届壤塘县委涉粮购销领域专项巡察工作，县委第三巡察组于十月中旬进驻粮物储备中心开展工作。在巡察期间，中心从讲政治、讲规矩、讲纪律的高度，深刻认识开展县委巡察工作的重大意义，切实增强责任感和自觉性，坚决贯彻县委巡视工作中的各项安排和部署 ，积极主动配合巡察工作。做到了讲成绩不拔高，讲差距不护短，讲问题不遮掩，积极协助巡察组客观、真实、全面、准确地掌握我单位相关情况。</w:t>
      </w: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楷体_GB2312" w:hAnsi="楷体_GB2312" w:eastAsia="楷体_GB2312" w:cs="楷体_GB2312"/>
          <w:b/>
          <w:bCs/>
          <w:kern w:val="2"/>
          <w:sz w:val="32"/>
          <w:szCs w:val="32"/>
          <w:lang w:val="en-US" w:eastAsia="zh-CN" w:bidi="ar-SA"/>
        </w:rPr>
      </w:pPr>
    </w:p>
    <w:p>
      <w:pPr>
        <w:pStyle w:val="8"/>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b w:val="0"/>
          <w:bCs w:val="0"/>
        </w:rPr>
      </w:pPr>
      <w:bookmarkStart w:id="28" w:name="_Toc16236"/>
      <w:bookmarkStart w:id="29" w:name="_Toc15396601"/>
      <w:bookmarkStart w:id="30" w:name="_Toc79163605"/>
      <w:bookmarkStart w:id="3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keepNext/>
        <w:keepLines/>
        <w:pageBreakBefore w:val="0"/>
        <w:widowControl w:val="0"/>
        <w:kinsoku/>
        <w:wordWrap w:val="0"/>
        <w:overflowPunct/>
        <w:topLinePunct w:val="0"/>
        <w:autoSpaceDE/>
        <w:autoSpaceDN/>
        <w:bidi w:val="0"/>
        <w:adjustRightInd/>
        <w:snapToGrid/>
        <w:spacing w:before="0" w:after="0" w:line="560" w:lineRule="exact"/>
        <w:ind w:right="0" w:firstLine="640" w:firstLineChars="200"/>
        <w:jc w:val="left"/>
        <w:textAlignment w:val="auto"/>
        <w:outlineLvl w:val="9"/>
        <w:rPr>
          <w:rFonts w:hint="default" w:ascii="仿宋_GB2312" w:hAnsi="仿宋_GB2312" w:eastAsia="仿宋_GB2312" w:cs="仿宋_GB2312"/>
          <w:b w:val="0"/>
          <w:bCs w:val="0"/>
          <w:kern w:val="2"/>
          <w:sz w:val="32"/>
          <w:szCs w:val="32"/>
          <w:lang w:val="en-US" w:eastAsia="zh-CN" w:bidi="ar-SA"/>
        </w:rPr>
      </w:pPr>
      <w:bookmarkStart w:id="32" w:name="_Toc15377204"/>
      <w:bookmarkStart w:id="33" w:name="_Toc15396602"/>
      <w:bookmarkStart w:id="34" w:name="_Toc79163609"/>
      <w:r>
        <w:rPr>
          <w:rFonts w:hint="eastAsia" w:ascii="仿宋_GB2312" w:hAnsi="仿宋_GB2312" w:eastAsia="仿宋_GB2312" w:cs="仿宋_GB2312"/>
          <w:b w:val="0"/>
          <w:bCs w:val="0"/>
          <w:kern w:val="2"/>
          <w:sz w:val="32"/>
          <w:szCs w:val="32"/>
          <w:lang w:val="en-US" w:eastAsia="zh-CN" w:bidi="ar-SA"/>
        </w:rPr>
        <w:t>粮食和物资储备中心为行政单位，下属无其他二级预算单位。</w:t>
      </w:r>
    </w:p>
    <w:p>
      <w:pPr>
        <w:pStyle w:val="4"/>
        <w:ind w:right="440"/>
        <w:jc w:val="right"/>
        <w:rPr>
          <w:rStyle w:val="25"/>
          <w:rFonts w:ascii="黑体" w:hAnsi="黑体" w:eastAsia="黑体"/>
          <w:b w:val="0"/>
          <w:bCs w:val="0"/>
        </w:rPr>
      </w:pPr>
      <w:bookmarkStart w:id="35" w:name="_Toc4162"/>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32"/>
      <w:bookmarkEnd w:id="33"/>
      <w:bookmarkEnd w:id="34"/>
      <w:bookmarkEnd w:id="35"/>
    </w:p>
    <w:p/>
    <w:p>
      <w:pPr>
        <w:pStyle w:val="36"/>
        <w:numPr>
          <w:ilvl w:val="0"/>
          <w:numId w:val="1"/>
        </w:numPr>
        <w:spacing w:line="600" w:lineRule="exact"/>
        <w:ind w:firstLineChars="0"/>
        <w:outlineLvl w:val="1"/>
        <w:rPr>
          <w:rStyle w:val="26"/>
          <w:rFonts w:ascii="黑体" w:hAnsi="黑体" w:eastAsia="黑体"/>
          <w:b w:val="0"/>
        </w:rPr>
      </w:pPr>
      <w:bookmarkStart w:id="36" w:name="_Toc12750"/>
      <w:bookmarkStart w:id="37" w:name="_Toc15396603"/>
      <w:bookmarkStart w:id="38" w:name="_Toc15377205"/>
      <w:bookmarkStart w:id="39" w:name="_Toc79163610"/>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1年度收、支总计874.55万元。与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总计各</w:t>
      </w:r>
      <w:r>
        <w:rPr>
          <w:rFonts w:hint="eastAsia" w:ascii="仿宋" w:hAnsi="仿宋" w:eastAsia="仿宋"/>
          <w:color w:val="000000"/>
          <w:sz w:val="32"/>
          <w:szCs w:val="32"/>
          <w:lang w:val="en-US" w:eastAsia="zh-CN"/>
        </w:rPr>
        <w:t>减少365.4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29.47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2020年项目处于建设阶段，支出较多，并且2021年当年专项资金不再结转至下一年度，因而收入减少。</w:t>
      </w:r>
    </w:p>
    <w:p>
      <w:pPr>
        <w:pStyle w:val="18"/>
        <w:rPr>
          <w:rFonts w:hint="eastAsia"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1000125</wp:posOffset>
            </wp:positionH>
            <wp:positionV relativeFrom="paragraph">
              <wp:posOffset>124460</wp:posOffset>
            </wp:positionV>
            <wp:extent cx="3335655" cy="1922145"/>
            <wp:effectExtent l="4445" t="4445" r="12700" b="1651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rPr>
          <w:rFonts w:hint="eastAsia" w:ascii="仿宋" w:hAnsi="仿宋" w:eastAsia="仿宋"/>
          <w:color w:val="000000"/>
          <w:sz w:val="32"/>
          <w:szCs w:val="32"/>
          <w:lang w:val="en-US" w:eastAsia="zh-CN"/>
        </w:rPr>
      </w:pPr>
    </w:p>
    <w:p>
      <w:pPr>
        <w:pStyle w:val="18"/>
        <w:rPr>
          <w:rFonts w:hint="eastAsia" w:ascii="仿宋" w:hAnsi="仿宋" w:eastAsia="仿宋"/>
          <w:color w:val="000000"/>
          <w:sz w:val="32"/>
          <w:szCs w:val="32"/>
          <w:lang w:val="en-US" w:eastAsia="zh-CN"/>
        </w:rPr>
      </w:pPr>
    </w:p>
    <w:p>
      <w:pPr>
        <w:rPr>
          <w:rFonts w:hint="eastAsia" w:ascii="仿宋" w:hAnsi="仿宋" w:eastAsia="仿宋"/>
          <w:color w:val="000000"/>
          <w:sz w:val="32"/>
          <w:szCs w:val="32"/>
          <w:lang w:val="en-US" w:eastAsia="zh-CN"/>
        </w:rPr>
      </w:pPr>
    </w:p>
    <w:p>
      <w:pPr>
        <w:pStyle w:val="18"/>
        <w:rPr>
          <w:rFonts w:hint="eastAsia" w:ascii="仿宋" w:hAnsi="仿宋" w:eastAsia="仿宋"/>
          <w:color w:val="000000"/>
          <w:sz w:val="32"/>
          <w:szCs w:val="32"/>
          <w:lang w:val="en-US" w:eastAsia="zh-CN"/>
        </w:rPr>
      </w:pPr>
    </w:p>
    <w:p>
      <w:pPr>
        <w:pStyle w:val="18"/>
        <w:ind w:left="0" w:leftChars="0" w:firstLine="0" w:firstLineChars="0"/>
        <w:rPr>
          <w:rFonts w:hint="default"/>
          <w:lang w:val="en-US" w:eastAsia="zh-CN"/>
        </w:rPr>
      </w:pPr>
    </w:p>
    <w:p>
      <w:pPr>
        <w:spacing w:line="600" w:lineRule="exact"/>
        <w:ind w:firstLine="1600" w:firstLineChars="5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6"/>
        <w:numPr>
          <w:ilvl w:val="0"/>
          <w:numId w:val="1"/>
        </w:numPr>
        <w:spacing w:line="600" w:lineRule="exact"/>
        <w:ind w:firstLineChars="0"/>
        <w:outlineLvl w:val="1"/>
        <w:rPr>
          <w:rStyle w:val="26"/>
          <w:rFonts w:ascii="黑体" w:hAnsi="黑体" w:eastAsia="黑体"/>
          <w:b w:val="0"/>
        </w:rPr>
      </w:pPr>
      <w:bookmarkStart w:id="40" w:name="_Toc16043"/>
      <w:bookmarkStart w:id="41" w:name="_Toc15396604"/>
      <w:bookmarkStart w:id="42" w:name="_Toc79163611"/>
      <w:bookmarkStart w:id="43"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rPr>
        <w:t>1年本年收入合计456.48万元，其中：一般公共预算财政拨款收入456.48万元，占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rPr>
          <w:rFonts w:hint="eastAsia"/>
          <w:lang w:val="en-US" w:eastAsia="zh-CN"/>
        </w:rPr>
      </w:pPr>
      <w:r>
        <w:rPr>
          <w:rFonts w:hint="eastAsia" w:eastAsia="宋体"/>
          <w:lang w:eastAsia="zh-CN"/>
        </w:rPr>
        <w:drawing>
          <wp:inline distT="0" distB="0" distL="114300" distR="114300">
            <wp:extent cx="4477385" cy="2493010"/>
            <wp:effectExtent l="4445" t="4445" r="1397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36"/>
        <w:numPr>
          <w:ilvl w:val="0"/>
          <w:numId w:val="1"/>
        </w:numPr>
        <w:spacing w:line="600" w:lineRule="exact"/>
        <w:ind w:firstLineChars="0"/>
        <w:outlineLvl w:val="1"/>
        <w:rPr>
          <w:rStyle w:val="26"/>
          <w:rFonts w:ascii="黑体" w:hAnsi="黑体" w:eastAsia="黑体"/>
          <w:b w:val="0"/>
        </w:rPr>
      </w:pPr>
      <w:bookmarkStart w:id="44" w:name="_Toc15377207"/>
      <w:bookmarkStart w:id="45" w:name="_Toc15396605"/>
      <w:bookmarkStart w:id="46" w:name="_Toc31362"/>
      <w:bookmarkStart w:id="47"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1年本年支出合计874.55万元，其中：基本支出210.51万元，占</w:t>
      </w:r>
      <w:r>
        <w:rPr>
          <w:rFonts w:hint="eastAsia" w:ascii="仿宋_GB2312" w:eastAsia="仿宋_GB2312"/>
          <w:sz w:val="32"/>
          <w:szCs w:val="32"/>
          <w:lang w:val="en-US" w:eastAsia="zh-CN"/>
        </w:rPr>
        <w:t>24.07</w:t>
      </w:r>
      <w:r>
        <w:rPr>
          <w:rFonts w:ascii="仿宋_GB2312" w:eastAsia="仿宋_GB2312"/>
          <w:sz w:val="32"/>
          <w:szCs w:val="32"/>
        </w:rPr>
        <w:t>%</w:t>
      </w:r>
      <w:r>
        <w:rPr>
          <w:rFonts w:hint="eastAsia" w:ascii="仿宋_GB2312" w:eastAsia="仿宋_GB2312"/>
          <w:sz w:val="32"/>
          <w:szCs w:val="32"/>
        </w:rPr>
        <w:t>；项目支出664.04万元，占</w:t>
      </w:r>
      <w:r>
        <w:rPr>
          <w:rFonts w:hint="eastAsia" w:ascii="仿宋_GB2312" w:eastAsia="仿宋_GB2312"/>
          <w:sz w:val="32"/>
          <w:szCs w:val="32"/>
          <w:lang w:val="en-US" w:eastAsia="zh-CN"/>
        </w:rPr>
        <w:t>75.93</w:t>
      </w:r>
      <w:r>
        <w:rPr>
          <w:rFonts w:ascii="仿宋_GB2312" w:eastAsia="仿宋_GB2312"/>
          <w:sz w:val="32"/>
          <w:szCs w:val="32"/>
        </w:rPr>
        <w:t>%</w:t>
      </w:r>
      <w:r>
        <w:rPr>
          <w:rFonts w:hint="eastAsia" w:ascii="仿宋_GB2312" w:eastAsia="仿宋_GB2312"/>
          <w:sz w:val="32"/>
          <w:szCs w:val="32"/>
        </w:rPr>
        <w:t>。</w:t>
      </w:r>
    </w:p>
    <w:p>
      <w:pPr>
        <w:pStyle w:val="18"/>
        <w:rPr>
          <w:rFonts w:hint="eastAsia" w:ascii="仿宋_GB2312" w:eastAsia="仿宋_GB2312"/>
          <w:sz w:val="32"/>
          <w:szCs w:val="32"/>
        </w:rPr>
      </w:pPr>
      <w:r>
        <w:rPr>
          <w:rFonts w:hint="eastAsia" w:eastAsia="仿宋_GB2312"/>
          <w:lang w:eastAsia="zh-CN"/>
        </w:rPr>
        <w:drawing>
          <wp:anchor distT="0" distB="0" distL="114300" distR="114300" simplePos="0" relativeHeight="251663360" behindDoc="0" locked="0" layoutInCell="1" allowOverlap="1">
            <wp:simplePos x="0" y="0"/>
            <wp:positionH relativeFrom="column">
              <wp:posOffset>426720</wp:posOffset>
            </wp:positionH>
            <wp:positionV relativeFrom="paragraph">
              <wp:posOffset>145415</wp:posOffset>
            </wp:positionV>
            <wp:extent cx="3976370" cy="3055620"/>
            <wp:effectExtent l="4445" t="4445" r="12065" b="18415"/>
            <wp:wrapNone/>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rPr>
          <w:rFonts w:hint="eastAsia" w:ascii="仿宋_GB2312" w:eastAsia="仿宋_GB2312"/>
          <w:sz w:val="32"/>
          <w:szCs w:val="32"/>
        </w:rPr>
      </w:pPr>
    </w:p>
    <w:p>
      <w:pPr>
        <w:pStyle w:val="18"/>
        <w:rPr>
          <w:rFonts w:hint="eastAsia" w:ascii="仿宋_GB2312" w:eastAsia="仿宋_GB2312"/>
          <w:sz w:val="32"/>
          <w:szCs w:val="32"/>
        </w:rPr>
      </w:pPr>
    </w:p>
    <w:p>
      <w:pPr>
        <w:rPr>
          <w:rFonts w:hint="eastAsia" w:ascii="仿宋_GB2312" w:eastAsia="仿宋_GB2312"/>
          <w:sz w:val="32"/>
          <w:szCs w:val="32"/>
        </w:rPr>
      </w:pPr>
    </w:p>
    <w:p>
      <w:pPr>
        <w:pStyle w:val="2"/>
        <w:rPr>
          <w:rFonts w:hint="eastAsia" w:eastAsia="仿宋_GB2312"/>
          <w:lang w:eastAsia="zh-CN"/>
        </w:rPr>
      </w:pPr>
    </w:p>
    <w:p>
      <w:pPr>
        <w:spacing w:line="600" w:lineRule="exact"/>
        <w:ind w:firstLine="640"/>
        <w:rPr>
          <w:rFonts w:ascii="仿宋" w:hAnsi="仿宋" w:eastAsia="仿宋"/>
          <w:color w:val="000000"/>
          <w:sz w:val="32"/>
          <w:szCs w:val="32"/>
          <w:shd w:val="pct10" w:color="auto" w:fill="FFFFFF"/>
        </w:rPr>
      </w:pPr>
    </w:p>
    <w:p>
      <w:pPr>
        <w:pStyle w:val="2"/>
        <w:rPr>
          <w:rFonts w:ascii="仿宋" w:hAnsi="仿宋" w:eastAsia="仿宋"/>
          <w:color w:val="000000"/>
          <w:sz w:val="32"/>
          <w:szCs w:val="32"/>
          <w:shd w:val="pct10" w:color="auto" w:fill="FFFFFF"/>
        </w:rPr>
      </w:pPr>
    </w:p>
    <w:p>
      <w:pPr>
        <w:pStyle w:val="2"/>
        <w:rPr>
          <w:rFonts w:ascii="仿宋" w:hAnsi="仿宋" w:eastAsia="仿宋"/>
          <w:color w:val="000000"/>
          <w:sz w:val="32"/>
          <w:szCs w:val="32"/>
          <w:shd w:val="pct10" w:color="auto" w:fill="FFFFFF"/>
        </w:rPr>
      </w:pPr>
    </w:p>
    <w:p>
      <w:pPr>
        <w:pStyle w:val="2"/>
        <w:rPr>
          <w:rFonts w:ascii="仿宋" w:hAnsi="仿宋" w:eastAsia="仿宋"/>
          <w:color w:val="000000"/>
          <w:sz w:val="32"/>
          <w:szCs w:val="32"/>
          <w:shd w:val="pct10" w:color="auto" w:fill="FFFFFF"/>
        </w:rPr>
      </w:pPr>
    </w:p>
    <w:p>
      <w:pPr>
        <w:spacing w:line="600" w:lineRule="exact"/>
        <w:ind w:firstLine="1920" w:firstLineChars="600"/>
        <w:rPr>
          <w:rFonts w:ascii="仿宋" w:hAnsi="仿宋" w:eastAsia="仿宋"/>
          <w:color w:val="000000"/>
          <w:sz w:val="32"/>
          <w:szCs w:val="32"/>
          <w:shd w:val="pct10" w:color="auto" w:fill="FFFFFF"/>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48" w:name="_Toc79163613"/>
      <w:bookmarkStart w:id="49" w:name="_Toc15377208"/>
      <w:bookmarkStart w:id="50" w:name="_Toc15396606"/>
      <w:bookmarkStart w:id="51" w:name="_Toc1507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1年财政拨款收、支总计874.55万元。与</w:t>
      </w:r>
      <w:r>
        <w:rPr>
          <w:rFonts w:ascii="仿宋" w:hAnsi="仿宋" w:eastAsia="仿宋"/>
          <w:color w:val="000000"/>
          <w:sz w:val="32"/>
          <w:szCs w:val="32"/>
        </w:rPr>
        <w:t>20</w:t>
      </w:r>
      <w:r>
        <w:rPr>
          <w:rFonts w:hint="eastAsia" w:ascii="仿宋" w:hAnsi="仿宋" w:eastAsia="仿宋"/>
          <w:color w:val="000000"/>
          <w:sz w:val="32"/>
          <w:szCs w:val="32"/>
        </w:rPr>
        <w:t>20年相比，财政拨款收</w:t>
      </w:r>
      <w:r>
        <w:rPr>
          <w:rFonts w:hint="eastAsia" w:ascii="仿宋" w:hAnsi="仿宋" w:eastAsia="仿宋"/>
          <w:color w:val="000000"/>
          <w:sz w:val="32"/>
          <w:szCs w:val="32"/>
          <w:lang w:val="en-US" w:eastAsia="zh-CN"/>
        </w:rPr>
        <w:t>入、支出减少365.4万元，</w:t>
      </w:r>
      <w:r>
        <w:rPr>
          <w:rFonts w:hint="eastAsia" w:ascii="仿宋" w:hAnsi="仿宋" w:eastAsia="仿宋"/>
          <w:color w:val="000000"/>
          <w:sz w:val="32"/>
          <w:szCs w:val="32"/>
        </w:rPr>
        <w:t>下降</w:t>
      </w:r>
      <w:r>
        <w:rPr>
          <w:rFonts w:hint="eastAsia" w:ascii="仿宋" w:hAnsi="仿宋" w:eastAsia="仿宋"/>
          <w:color w:val="000000"/>
          <w:sz w:val="32"/>
          <w:szCs w:val="32"/>
          <w:lang w:val="en-US" w:eastAsia="zh-CN"/>
        </w:rPr>
        <w:t>29.47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2020年项目处于建设阶段，支出较多，并且2021年当年专项资金不再结转至下一年度，因而收入减少。</w:t>
      </w:r>
    </w:p>
    <w:p>
      <w:pPr>
        <w:spacing w:line="600" w:lineRule="exact"/>
        <w:ind w:firstLine="640"/>
        <w:rPr>
          <w:rFonts w:ascii="仿宋" w:hAnsi="仿宋" w:eastAsia="仿宋"/>
          <w:color w:val="000000"/>
          <w:sz w:val="32"/>
          <w:szCs w:val="32"/>
        </w:rPr>
      </w:pPr>
      <w:r>
        <w:rPr>
          <w:rFonts w:hint="default" w:ascii="仿宋" w:hAnsi="仿宋" w:eastAsia="仿宋"/>
          <w:color w:val="000000"/>
          <w:sz w:val="32"/>
          <w:szCs w:val="32"/>
          <w:lang w:val="en-US" w:eastAsia="zh-CN"/>
        </w:rPr>
        <w:drawing>
          <wp:anchor distT="0" distB="0" distL="114300" distR="114300" simplePos="0" relativeHeight="251660288" behindDoc="0" locked="0" layoutInCell="1" allowOverlap="1">
            <wp:simplePos x="0" y="0"/>
            <wp:positionH relativeFrom="column">
              <wp:posOffset>600075</wp:posOffset>
            </wp:positionH>
            <wp:positionV relativeFrom="paragraph">
              <wp:posOffset>68580</wp:posOffset>
            </wp:positionV>
            <wp:extent cx="3335655" cy="1922145"/>
            <wp:effectExtent l="4445" t="4445" r="12700" b="1651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hAnsi="仿宋" w:eastAsia="仿宋"/>
          <w:color w:val="000000"/>
          <w:sz w:val="32"/>
          <w:szCs w:val="32"/>
        </w:rPr>
      </w:pPr>
    </w:p>
    <w:p>
      <w:pPr>
        <w:pStyle w:val="18"/>
      </w:pPr>
    </w:p>
    <w:p>
      <w:pPr>
        <w:pStyle w:val="18"/>
        <w:rPr>
          <w:rFonts w:ascii="仿宋" w:hAnsi="仿宋" w:eastAsia="仿宋"/>
          <w:color w:val="000000"/>
          <w:sz w:val="32"/>
          <w:szCs w:val="32"/>
        </w:rPr>
      </w:pPr>
    </w:p>
    <w:p>
      <w:pPr>
        <w:rPr>
          <w:rFonts w:ascii="仿宋" w:hAnsi="仿宋" w:eastAsia="仿宋"/>
          <w:color w:val="000000"/>
          <w:sz w:val="32"/>
          <w:szCs w:val="32"/>
        </w:rPr>
      </w:pPr>
    </w:p>
    <w:p>
      <w:pPr>
        <w:pStyle w:val="18"/>
      </w:pPr>
    </w:p>
    <w:p>
      <w:pPr>
        <w:spacing w:line="600" w:lineRule="exact"/>
        <w:ind w:firstLine="640" w:firstLineChars="2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rPr>
      </w:pPr>
      <w:bookmarkStart w:id="52" w:name="_Toc15396607"/>
      <w:bookmarkStart w:id="53" w:name="_Toc15377209"/>
      <w:bookmarkStart w:id="54" w:name="_Toc79163614"/>
      <w:bookmarkStart w:id="55" w:name="_Toc318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21606"/>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anchor distT="0" distB="0" distL="114300" distR="114300" simplePos="0" relativeHeight="251661312" behindDoc="0" locked="0" layoutInCell="1" allowOverlap="1">
            <wp:simplePos x="0" y="0"/>
            <wp:positionH relativeFrom="column">
              <wp:posOffset>1114425</wp:posOffset>
            </wp:positionH>
            <wp:positionV relativeFrom="paragraph">
              <wp:posOffset>1499235</wp:posOffset>
            </wp:positionV>
            <wp:extent cx="3335655" cy="1922145"/>
            <wp:effectExtent l="4445" t="4445" r="12700" b="1651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202</w:t>
      </w:r>
      <w:r>
        <w:rPr>
          <w:rFonts w:hint="eastAsia" w:ascii="仿宋" w:hAnsi="仿宋" w:eastAsia="仿宋"/>
          <w:color w:val="000000"/>
          <w:sz w:val="32"/>
          <w:szCs w:val="32"/>
        </w:rPr>
        <w:t>1年一般公共预算财政拨款支出874.55万元，占本年支出合计的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71.34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8.88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项目完工，支出增加</w:t>
      </w:r>
    </w:p>
    <w:p>
      <w:pPr>
        <w:spacing w:line="600" w:lineRule="exact"/>
        <w:ind w:firstLine="640" w:firstLineChars="200"/>
        <w:rPr>
          <w:rFonts w:ascii="仿宋" w:hAnsi="仿宋" w:eastAsia="仿宋"/>
          <w:color w:val="000000"/>
          <w:sz w:val="32"/>
          <w:szCs w:val="32"/>
        </w:rPr>
      </w:pPr>
    </w:p>
    <w:p>
      <w:pPr>
        <w:pStyle w:val="18"/>
        <w:rPr>
          <w:rFonts w:ascii="仿宋" w:hAnsi="仿宋" w:eastAsia="仿宋"/>
          <w:color w:val="000000"/>
          <w:sz w:val="32"/>
          <w:szCs w:val="32"/>
        </w:rPr>
      </w:pPr>
    </w:p>
    <w:p>
      <w:pPr>
        <w:rPr>
          <w:rFonts w:ascii="仿宋" w:hAnsi="仿宋" w:eastAsia="仿宋"/>
          <w:color w:val="000000"/>
          <w:sz w:val="32"/>
          <w:szCs w:val="32"/>
        </w:rPr>
      </w:pPr>
    </w:p>
    <w:p>
      <w:pPr>
        <w:pStyle w:val="18"/>
      </w:pPr>
    </w:p>
    <w:p>
      <w:pPr>
        <w:pStyle w:val="18"/>
        <w:rPr>
          <w:rFonts w:ascii="仿宋" w:hAnsi="仿宋" w:eastAsia="仿宋"/>
          <w:color w:val="000000"/>
          <w:sz w:val="32"/>
          <w:szCs w:val="32"/>
        </w:rPr>
      </w:pPr>
    </w:p>
    <w:p/>
    <w:p>
      <w:pPr>
        <w:spacing w:line="600" w:lineRule="exact"/>
        <w:ind w:firstLine="640" w:firstLineChars="200"/>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10432"/>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rPr>
        <w:t>1年一般公共预算财政拨款支出874.55万元，主要用于以下方面</w:t>
      </w:r>
      <w:r>
        <w:rPr>
          <w:rFonts w:hint="eastAsia" w:ascii="仿宋" w:hAnsi="仿宋" w:eastAsia="仿宋"/>
          <w:color w:val="auto"/>
          <w:sz w:val="32"/>
          <w:szCs w:val="32"/>
          <w:lang w:eastAsia="zh-CN"/>
        </w:rPr>
        <w:t>：</w:t>
      </w:r>
      <w:r>
        <w:rPr>
          <w:rFonts w:hint="eastAsia" w:ascii="仿宋" w:hAnsi="仿宋" w:eastAsia="仿宋"/>
          <w:b/>
          <w:color w:val="auto"/>
          <w:sz w:val="32"/>
          <w:szCs w:val="32"/>
        </w:rPr>
        <w:t>社会保障和就业（类）</w:t>
      </w:r>
      <w:r>
        <w:rPr>
          <w:rFonts w:hint="eastAsia" w:ascii="仿宋" w:hAnsi="仿宋" w:eastAsia="仿宋"/>
          <w:color w:val="auto"/>
          <w:sz w:val="32"/>
          <w:szCs w:val="32"/>
        </w:rPr>
        <w:t>支出</w:t>
      </w:r>
      <w:r>
        <w:rPr>
          <w:rFonts w:hint="eastAsia" w:ascii="仿宋" w:hAnsi="仿宋" w:eastAsia="仿宋"/>
          <w:color w:val="auto"/>
          <w:sz w:val="32"/>
          <w:szCs w:val="32"/>
          <w:lang w:val="en-US" w:eastAsia="zh-CN"/>
        </w:rPr>
        <w:t>22.64</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2.59</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bCs/>
          <w:color w:val="auto"/>
          <w:sz w:val="32"/>
          <w:szCs w:val="32"/>
        </w:rPr>
        <w:t>卫生健康支出</w:t>
      </w:r>
      <w:r>
        <w:rPr>
          <w:rFonts w:hint="eastAsia" w:ascii="仿宋" w:hAnsi="仿宋" w:eastAsia="仿宋"/>
          <w:color w:val="auto"/>
          <w:sz w:val="32"/>
          <w:szCs w:val="32"/>
        </w:rPr>
        <w:t>10.47万元，占</w:t>
      </w:r>
      <w:r>
        <w:rPr>
          <w:rFonts w:hint="eastAsia" w:ascii="仿宋" w:hAnsi="仿宋" w:eastAsia="仿宋"/>
          <w:color w:val="auto"/>
          <w:sz w:val="32"/>
          <w:szCs w:val="32"/>
          <w:lang w:val="en-US" w:eastAsia="zh-CN"/>
        </w:rPr>
        <w:t>1.2</w:t>
      </w:r>
      <w:r>
        <w:rPr>
          <w:rFonts w:ascii="仿宋" w:hAnsi="仿宋" w:eastAsia="仿宋"/>
          <w:color w:val="auto"/>
          <w:sz w:val="32"/>
          <w:szCs w:val="32"/>
        </w:rPr>
        <w:t>%</w:t>
      </w:r>
      <w:r>
        <w:rPr>
          <w:rFonts w:hint="eastAsia" w:ascii="仿宋" w:hAnsi="仿宋" w:eastAsia="仿宋"/>
          <w:color w:val="auto"/>
          <w:sz w:val="32"/>
          <w:szCs w:val="32"/>
        </w:rPr>
        <w:t>；</w:t>
      </w:r>
    </w:p>
    <w:p>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商业服务业</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类）支出0.47万元，占0.05%；</w:t>
      </w:r>
      <w:r>
        <w:rPr>
          <w:rFonts w:hint="eastAsia" w:ascii="仿宋" w:hAnsi="仿宋" w:eastAsia="仿宋"/>
          <w:color w:val="auto"/>
          <w:sz w:val="32"/>
          <w:szCs w:val="32"/>
        </w:rPr>
        <w:t>住房保障支出15.43万元，占</w:t>
      </w:r>
      <w:r>
        <w:rPr>
          <w:rFonts w:hint="eastAsia" w:ascii="仿宋" w:hAnsi="仿宋" w:eastAsia="仿宋"/>
          <w:color w:val="auto"/>
          <w:sz w:val="32"/>
          <w:szCs w:val="32"/>
          <w:lang w:val="en-US" w:eastAsia="zh-CN"/>
        </w:rPr>
        <w:t>1.76</w:t>
      </w:r>
      <w:r>
        <w:rPr>
          <w:rFonts w:ascii="仿宋" w:hAnsi="仿宋" w:eastAsia="仿宋"/>
          <w:color w:val="auto"/>
          <w:sz w:val="32"/>
          <w:szCs w:val="32"/>
        </w:rPr>
        <w:t>%</w:t>
      </w:r>
      <w:r>
        <w:rPr>
          <w:rFonts w:hint="eastAsia" w:ascii="仿宋" w:hAnsi="仿宋" w:eastAsia="仿宋"/>
          <w:color w:val="auto"/>
          <w:sz w:val="32"/>
          <w:szCs w:val="32"/>
        </w:rPr>
        <w:t>；粮油物资储备</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类）支出825.54万元，占94.4%。</w:t>
      </w:r>
    </w:p>
    <w:p>
      <w:pPr>
        <w:pStyle w:val="18"/>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537845</wp:posOffset>
            </wp:positionH>
            <wp:positionV relativeFrom="paragraph">
              <wp:posOffset>3810</wp:posOffset>
            </wp:positionV>
            <wp:extent cx="4120515" cy="2421890"/>
            <wp:effectExtent l="4445" t="4445" r="8890" b="1206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rPr>
          <w:rFonts w:hint="eastAsia"/>
          <w:lang w:val="en-US" w:eastAsia="zh-CN"/>
        </w:rPr>
      </w:pP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rPr>
      </w:pPr>
    </w:p>
    <w:p>
      <w:pPr>
        <w:pStyle w:val="2"/>
        <w:ind w:left="0" w:leftChars="0" w:firstLine="0" w:firstLineChars="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3" w:firstLineChars="200"/>
        <w:outlineLvl w:val="2"/>
        <w:rPr>
          <w:rFonts w:ascii="仿宋" w:hAnsi="仿宋" w:eastAsia="仿宋"/>
          <w:b/>
          <w:color w:val="000000"/>
          <w:sz w:val="32"/>
          <w:szCs w:val="32"/>
        </w:rPr>
      </w:pPr>
      <w:bookmarkStart w:id="62" w:name="_Toc15377212"/>
      <w:bookmarkStart w:id="63" w:name="_Toc79163617"/>
      <w:bookmarkStart w:id="64" w:name="_Toc1667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213"/>
      <w:bookmarkStart w:id="66" w:name="_Toc15378460"/>
      <w:bookmarkStart w:id="67" w:name="_Toc15377444"/>
      <w:r>
        <w:rPr>
          <w:rFonts w:ascii="仿宋_GB2312" w:eastAsia="仿宋_GB2312"/>
          <w:b/>
          <w:bCs/>
          <w:sz w:val="32"/>
          <w:szCs w:val="32"/>
        </w:rPr>
        <w:t>202</w:t>
      </w:r>
      <w:r>
        <w:rPr>
          <w:rFonts w:hint="eastAsia" w:ascii="仿宋_GB2312" w:eastAsia="仿宋_GB2312"/>
          <w:b/>
          <w:bCs/>
          <w:sz w:val="32"/>
          <w:szCs w:val="32"/>
        </w:rPr>
        <w:t>1年一般公共预算支出决算数为874.55</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社会保障和就业支出（类）行政事业单位养老支出（款）机关事业单位基本养老保险缴费支出（项）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支出决算为15.1万元，完成预算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社会保障和就业支出（类）行政事业单位养老支出（款）机关事业单位职业年金缴费支出（项）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7.54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3.</w:t>
      </w:r>
      <w:r>
        <w:rPr>
          <w:rStyle w:val="23"/>
          <w:rFonts w:hint="eastAsia" w:ascii="仿宋" w:hAnsi="仿宋" w:eastAsia="仿宋"/>
          <w:bCs/>
          <w:color w:val="000000"/>
          <w:sz w:val="32"/>
          <w:szCs w:val="32"/>
        </w:rPr>
        <w:t>卫生健康支出（类）行政事业单位医疗（款）行政单位医疗（项）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支出决算为7.21万元，完成预算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4</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卫生健康支出（类）行政事业单位医疗（款）公务员医疗补助（项）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支出决算为3.26万元，完成预算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商业服务业等支出（类）商业流通事务（款）其他商业流通事务支出（项）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支出决算为0.47万元，完成预算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ascii="仿宋" w:hAnsi="仿宋" w:eastAsia="仿宋"/>
          <w:bCs/>
          <w:color w:val="000000"/>
          <w:sz w:val="32"/>
          <w:szCs w:val="32"/>
        </w:rPr>
        <w:t>6.</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（类）住房改革支出（款）住房公积金（项）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支出决算为14.14万元，完成预算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 购房补贴（项）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支出决算为1.29万元，完成预算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（类）粮油物资事务（款）行政运行（项）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支出决算为161.97万元，完成预算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9</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（类）粮油物资事务（款） 一般行政管理事务（项）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支出决算为52</w:t>
      </w:r>
      <w:r>
        <w:rPr>
          <w:rStyle w:val="23"/>
          <w:rFonts w:hint="eastAsia" w:ascii="仿宋" w:hAnsi="仿宋" w:eastAsia="仿宋"/>
          <w:b w:val="0"/>
          <w:bCs/>
          <w:color w:val="000000"/>
          <w:sz w:val="32"/>
          <w:szCs w:val="32"/>
          <w:lang w:val="en-US" w:eastAsia="zh-CN"/>
        </w:rPr>
        <w:t>.00</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10</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（类）粮油物资事务（款）设施建设（项）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18.48</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，完成决算数等于预算数。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11</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（类）粮油物资事务（款）物资保管保养（项）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9</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12</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（类）粮油物资事务（款）其他粮油物资事务支出（项）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219.53</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rPr>
          <w:rStyle w:val="23"/>
          <w:rFonts w:hint="eastAsia" w:ascii="仿宋" w:hAnsi="仿宋" w:eastAsia="仿宋"/>
          <w:b w:val="0"/>
          <w:bCs/>
          <w:color w:val="000000"/>
          <w:sz w:val="32"/>
          <w:szCs w:val="32"/>
        </w:rPr>
      </w:pPr>
      <w:r>
        <w:rPr>
          <w:rStyle w:val="23"/>
          <w:rFonts w:hint="eastAsia" w:ascii="仿宋" w:hAnsi="仿宋" w:eastAsia="仿宋"/>
          <w:bCs/>
          <w:color w:val="000000"/>
          <w:sz w:val="32"/>
          <w:szCs w:val="32"/>
          <w:lang w:val="en-US" w:eastAsia="zh-CN"/>
        </w:rPr>
        <w:t>13</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（类）粮油储备（款）储备粮油补贴（项）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45.81</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3" w:firstLineChars="200"/>
      </w:pPr>
      <w:r>
        <w:rPr>
          <w:rStyle w:val="23"/>
          <w:rFonts w:hint="eastAsia" w:ascii="仿宋" w:hAnsi="仿宋" w:eastAsia="仿宋"/>
          <w:bCs/>
          <w:color w:val="000000"/>
          <w:sz w:val="32"/>
          <w:szCs w:val="32"/>
          <w:lang w:val="en-US" w:eastAsia="zh-CN"/>
        </w:rPr>
        <w:t>14</w:t>
      </w:r>
      <w:r>
        <w:rPr>
          <w:rStyle w:val="23"/>
          <w:rFonts w:ascii="仿宋" w:hAnsi="仿宋" w:eastAsia="仿宋"/>
          <w:bCs/>
          <w:color w:val="000000"/>
          <w:sz w:val="32"/>
          <w:szCs w:val="32"/>
        </w:rPr>
        <w:t>.</w:t>
      </w:r>
      <w:r>
        <w:rPr>
          <w:rFonts w:hint="eastAsia" w:ascii="仿宋" w:hAnsi="仿宋" w:eastAsia="仿宋"/>
          <w:b/>
          <w:bCs/>
          <w:color w:val="000000"/>
          <w:sz w:val="32"/>
          <w:szCs w:val="32"/>
        </w:rPr>
        <w:t>粮油物资储备支出</w:t>
      </w:r>
      <w:r>
        <w:rPr>
          <w:rStyle w:val="23"/>
          <w:rFonts w:hint="eastAsia" w:ascii="仿宋" w:hAnsi="仿宋" w:eastAsia="仿宋"/>
          <w:bCs/>
          <w:color w:val="000000"/>
          <w:sz w:val="32"/>
          <w:szCs w:val="32"/>
        </w:rPr>
        <w:t>（类）粮油储备（款）储备粮（油）库建设（项）</w:t>
      </w:r>
      <w:r>
        <w:rPr>
          <w:rStyle w:val="23"/>
          <w:rFonts w:hint="eastAsia" w:ascii="仿宋" w:hAnsi="仿宋" w:eastAsia="仿宋"/>
          <w:bCs/>
          <w:color w:val="000000"/>
          <w:sz w:val="32"/>
          <w:szCs w:val="32"/>
          <w:lang w:eastAsia="zh-CN"/>
        </w:rPr>
        <w:t>：</w:t>
      </w:r>
      <w:r>
        <w:rPr>
          <w:rStyle w:val="23"/>
          <w:rFonts w:hint="eastAsia" w:ascii="仿宋" w:hAnsi="仿宋" w:eastAsia="仿宋"/>
          <w:b w:val="0"/>
          <w:bCs/>
          <w:color w:val="000000"/>
          <w:sz w:val="32"/>
          <w:szCs w:val="32"/>
        </w:rPr>
        <w:t>支出决算为</w:t>
      </w:r>
      <w:r>
        <w:rPr>
          <w:rStyle w:val="23"/>
          <w:rFonts w:hint="eastAsia" w:ascii="仿宋" w:hAnsi="仿宋" w:eastAsia="仿宋"/>
          <w:b w:val="0"/>
          <w:bCs/>
          <w:color w:val="000000"/>
          <w:sz w:val="32"/>
          <w:szCs w:val="32"/>
          <w:lang w:val="en-US" w:eastAsia="zh-CN"/>
        </w:rPr>
        <w:t>318.74</w:t>
      </w:r>
      <w:r>
        <w:rPr>
          <w:rStyle w:val="23"/>
          <w:rFonts w:hint="eastAsia" w:ascii="仿宋" w:hAnsi="仿宋" w:eastAsia="仿宋"/>
          <w:b w:val="0"/>
          <w:bCs/>
          <w:color w:val="000000"/>
          <w:sz w:val="32"/>
          <w:szCs w:val="32"/>
        </w:rPr>
        <w:t>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6"/>
        </w:rPr>
      </w:pPr>
      <w:bookmarkStart w:id="68" w:name="_Toc79163618"/>
      <w:bookmarkStart w:id="69" w:name="_Toc10535"/>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210.5</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199.07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11.43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2" w:name="_Toc79163619"/>
      <w:bookmarkStart w:id="73" w:name="_Toc15377215"/>
      <w:bookmarkStart w:id="74" w:name="_Toc18764"/>
      <w:bookmarkStart w:id="75"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23840"/>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3601"/>
      <w:bookmarkStart w:id="80" w:name="_Toc15377217"/>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outlineLvl w:val="1"/>
        <w:rPr>
          <w:rStyle w:val="23"/>
          <w:rFonts w:hint="eastAsia" w:ascii="仿宋" w:hAnsi="仿宋" w:eastAsia="仿宋"/>
          <w:b w:val="0"/>
          <w:bCs/>
          <w:color w:val="000000"/>
          <w:sz w:val="32"/>
          <w:szCs w:val="32"/>
        </w:rPr>
      </w:pPr>
      <w:bookmarkStart w:id="82" w:name="_Toc6753"/>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bookmarkEnd w:id="82"/>
      <w:bookmarkStart w:id="83" w:name="_Toc15377218"/>
      <w:bookmarkStart w:id="84" w:name="_Toc79163622"/>
      <w:bookmarkStart w:id="85" w:name="_Toc15396610"/>
    </w:p>
    <w:p>
      <w:pPr>
        <w:spacing w:line="600" w:lineRule="exact"/>
        <w:ind w:firstLine="640"/>
        <w:outlineLvl w:val="1"/>
        <w:rPr>
          <w:rStyle w:val="26"/>
          <w:rFonts w:ascii="黑体" w:hAnsi="黑体" w:eastAsia="黑体"/>
        </w:rPr>
      </w:pPr>
      <w:bookmarkStart w:id="86" w:name="_Toc1093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87" w:name="_Toc25064"/>
      <w:bookmarkStart w:id="88" w:name="_Toc79163623"/>
      <w:bookmarkStart w:id="89" w:name="_Toc15396611"/>
      <w:bookmarkStart w:id="90" w:name="_Toc15377219"/>
      <w:r>
        <w:rPr>
          <w:rStyle w:val="26"/>
          <w:rFonts w:hint="eastAsia" w:ascii="黑体" w:hAnsi="黑体" w:eastAsia="黑体"/>
          <w:b w:val="0"/>
        </w:rPr>
        <w:t>国有资本经营预算支出决算情况说明</w:t>
      </w:r>
      <w:bookmarkEnd w:id="87"/>
      <w:bookmarkEnd w:id="88"/>
      <w:bookmarkEnd w:id="89"/>
      <w:bookmarkEnd w:id="90"/>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6"/>
          <w:rFonts w:ascii="黑体" w:hAnsi="黑体" w:eastAsia="黑体"/>
        </w:rPr>
      </w:pPr>
      <w:bookmarkStart w:id="91" w:name="_Toc11254"/>
      <w:bookmarkStart w:id="92" w:name="_Toc15396612"/>
      <w:bookmarkStart w:id="93" w:name="_Toc15377221"/>
      <w:bookmarkStart w:id="94" w:name="_Toc79163624"/>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1"/>
      <w:bookmarkEnd w:id="92"/>
      <w:bookmarkEnd w:id="93"/>
      <w:bookmarkEnd w:id="94"/>
    </w:p>
    <w:p>
      <w:pPr>
        <w:spacing w:line="600" w:lineRule="exact"/>
        <w:ind w:firstLine="643" w:firstLineChars="200"/>
        <w:outlineLvl w:val="2"/>
        <w:rPr>
          <w:rFonts w:ascii="仿宋" w:hAnsi="仿宋" w:eastAsia="仿宋"/>
          <w:color w:val="000000"/>
          <w:sz w:val="32"/>
          <w:szCs w:val="32"/>
        </w:rPr>
      </w:pPr>
      <w:bookmarkStart w:id="95" w:name="_Toc17979"/>
      <w:bookmarkStart w:id="96" w:name="_Toc79163625"/>
      <w:bookmarkStart w:id="97" w:name="_Toc15377222"/>
      <w:r>
        <w:rPr>
          <w:rFonts w:hint="eastAsia" w:ascii="仿宋" w:hAnsi="仿宋" w:eastAsia="仿宋"/>
          <w:b/>
          <w:color w:val="000000"/>
          <w:sz w:val="32"/>
          <w:szCs w:val="32"/>
        </w:rPr>
        <w:t>（一）机关运行经费支出情况</w:t>
      </w:r>
      <w:bookmarkEnd w:id="95"/>
      <w:bookmarkEnd w:id="96"/>
      <w:bookmarkEnd w:id="97"/>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壤塘县粮食和物资储备中心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11.43</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1.08</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10.43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单位日常经费支出增加。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3"/>
      <w:bookmarkStart w:id="99" w:name="_Toc30673"/>
      <w:bookmarkStart w:id="100" w:name="_Toc79163626"/>
      <w:r>
        <w:rPr>
          <w:rFonts w:hint="eastAsia" w:ascii="仿宋" w:hAns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壤塘县粮食和物资储备中心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186.8</w:t>
      </w:r>
      <w:r>
        <w:rPr>
          <w:rFonts w:hint="eastAsia" w:ascii="仿宋_GB2312" w:eastAsia="仿宋_GB2312"/>
          <w:color w:val="000000"/>
          <w:sz w:val="32"/>
          <w:szCs w:val="32"/>
        </w:rPr>
        <w:t>万元，其中：政府采购工程支出</w:t>
      </w:r>
      <w:r>
        <w:rPr>
          <w:rFonts w:hint="eastAsia" w:ascii="仿宋_GB2312" w:eastAsia="仿宋_GB2312"/>
          <w:color w:val="000000"/>
          <w:sz w:val="32"/>
          <w:szCs w:val="32"/>
          <w:lang w:val="en-US" w:eastAsia="zh-CN"/>
        </w:rPr>
        <w:t>186.8</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粮油仓库建设</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186.8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15377224"/>
      <w:bookmarkStart w:id="102" w:name="_Toc79163627"/>
      <w:bookmarkStart w:id="103" w:name="_Toc25809"/>
      <w:r>
        <w:rPr>
          <w:rFonts w:hint="eastAsia" w:ascii="仿宋" w:hAnsi="仿宋" w:eastAsia="仿宋"/>
          <w:b/>
          <w:color w:val="000000"/>
          <w:sz w:val="32"/>
          <w:szCs w:val="32"/>
        </w:rPr>
        <w:t>（三）国有资产占有使用情况</w:t>
      </w:r>
      <w:bookmarkEnd w:id="101"/>
      <w:bookmarkEnd w:id="102"/>
      <w:bookmarkEnd w:id="10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highlight w:val="none"/>
        </w:rPr>
        <w:t>截</w:t>
      </w:r>
      <w:r>
        <w:rPr>
          <w:rFonts w:hint="eastAsia" w:ascii="仿宋_GB2312" w:eastAsia="仿宋_GB2312"/>
          <w:color w:val="000000"/>
          <w:sz w:val="32"/>
          <w:szCs w:val="32"/>
          <w:highlight w:val="none"/>
          <w:lang w:eastAsia="zh-CN"/>
        </w:rPr>
        <w:t>止</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壤塘县粮食和物资储备中心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628"/>
      <w:bookmarkStart w:id="105" w:name="_Toc20405"/>
      <w:r>
        <w:rPr>
          <w:rFonts w:hint="eastAsia" w:ascii="仿宋" w:hAnsi="仿宋" w:eastAsia="仿宋"/>
          <w:b/>
          <w:color w:val="000000"/>
          <w:sz w:val="32"/>
          <w:szCs w:val="32"/>
        </w:rPr>
        <w:t>（四）预算绩效管理情况。</w:t>
      </w:r>
      <w:bookmarkEnd w:id="104"/>
      <w:bookmarkEnd w:id="10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hint="eastAsia" w:ascii="仿宋_GB2312" w:hAnsi="仿宋_GB2312" w:eastAsia="仿宋_GB2312" w:cs="仿宋_GB2312"/>
          <w:sz w:val="32"/>
          <w:szCs w:val="32"/>
          <w:lang w:val="en-US" w:eastAsia="zh-CN"/>
        </w:rPr>
        <w:t>单位整体支出情况较好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sz w:val="32"/>
          <w:szCs w:val="32"/>
          <w:highlight w:val="none"/>
          <w:lang w:val="en-US" w:eastAsia="zh-CN"/>
        </w:rPr>
        <w:t>项目工程正在有序推进。</w:t>
      </w:r>
      <w:bookmarkStart w:id="155" w:name="_GoBack"/>
      <w:bookmarkEnd w:id="155"/>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今年壤塘县救灾物资储备库建设项目、壤塘县物流仓储建设项目打捆实施，投资共计</w:t>
      </w:r>
      <w:r>
        <w:rPr>
          <w:rFonts w:hint="eastAsia" w:ascii="仿宋_GB2312" w:hAnsi="仿宋_GB2312" w:eastAsia="仿宋_GB2312" w:cs="仿宋_GB2312"/>
          <w:sz w:val="32"/>
          <w:szCs w:val="32"/>
          <w:lang w:val="en-US" w:eastAsia="zh-CN"/>
        </w:rPr>
        <w:t>720万元</w:t>
      </w:r>
      <w:r>
        <w:rPr>
          <w:rFonts w:hint="eastAsia" w:ascii="仿宋_GB2312" w:hAnsi="仿宋_GB2312" w:eastAsia="仿宋_GB2312" w:cs="仿宋_GB2312"/>
          <w:sz w:val="32"/>
          <w:szCs w:val="32"/>
          <w:lang w:eastAsia="zh-CN"/>
        </w:rPr>
        <w:t>，项目主要涉及新建物资储备库房</w:t>
      </w:r>
      <w:r>
        <w:rPr>
          <w:rFonts w:hint="eastAsia" w:ascii="仿宋_GB2312" w:hAnsi="仿宋_GB2312" w:eastAsia="仿宋_GB2312" w:cs="仿宋_GB2312"/>
          <w:sz w:val="32"/>
          <w:szCs w:val="32"/>
          <w:lang w:val="en-US" w:eastAsia="zh-CN"/>
        </w:rPr>
        <w:t>540平方米、生产辅助用房180平方米、物流仓储及办公用房300平方米、值班室36平方米及相关附属设施建设。该项目</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2021年4月10日开工，2021年12月10日完成竣工验收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此外，上寨粮油储备库建设项目也正在有序推进</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该项目投资200万元，于2021年</w:t>
      </w:r>
      <w:r>
        <w:rPr>
          <w:rFonts w:hint="default" w:ascii="仿宋_GB2312" w:hAnsi="仿宋_GB2312" w:eastAsia="仿宋_GB2312" w:cs="仿宋_GB2312"/>
          <w:sz w:val="32"/>
          <w:szCs w:val="32"/>
          <w:lang w:val="en-US" w:eastAsia="zh-CN"/>
        </w:rPr>
        <w:t>7月开工</w:t>
      </w:r>
      <w:r>
        <w:rPr>
          <w:rFonts w:hint="eastAsia" w:ascii="仿宋_GB2312" w:hAnsi="仿宋_GB2312" w:eastAsia="仿宋_GB2312" w:cs="仿宋_GB2312"/>
          <w:sz w:val="32"/>
          <w:szCs w:val="32"/>
          <w:lang w:val="en-US" w:eastAsia="zh-CN"/>
        </w:rPr>
        <w:t>，目前该项目已完成45%，预计2022年7月底完工</w:t>
      </w:r>
      <w:r>
        <w:rPr>
          <w:rFonts w:hint="default" w:ascii="仿宋_GB2312" w:hAnsi="仿宋_GB2312" w:eastAsia="仿宋_GB2312" w:cs="仿宋_GB2312"/>
          <w:sz w:val="32"/>
          <w:szCs w:val="32"/>
          <w:lang w:val="en-US" w:eastAsia="zh-CN"/>
        </w:rPr>
        <w:t>。</w:t>
      </w:r>
    </w:p>
    <w:p>
      <w:pPr>
        <w:spacing w:line="580" w:lineRule="exact"/>
        <w:rPr>
          <w:rFonts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25"/>
          <w:rFonts w:ascii="黑体" w:hAnsi="黑体" w:eastAsia="黑体"/>
          <w:b w:val="0"/>
        </w:rPr>
      </w:pPr>
      <w:bookmarkStart w:id="106" w:name="_Toc15396613"/>
      <w:bookmarkStart w:id="107" w:name="_Toc5070"/>
      <w:bookmarkStart w:id="108" w:name="_Toc15377225"/>
      <w:bookmarkStart w:id="109" w:name="_Toc79163629"/>
      <w:r>
        <w:rPr>
          <w:rFonts w:hint="eastAsia" w:ascii="黑体" w:hAnsi="黑体" w:eastAsia="黑体"/>
          <w:color w:val="000000"/>
          <w:sz w:val="44"/>
          <w:szCs w:val="44"/>
        </w:rPr>
        <w:t>名</w:t>
      </w:r>
      <w:r>
        <w:rPr>
          <w:rStyle w:val="25"/>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5"/>
        <w:spacing w:line="560" w:lineRule="exact"/>
        <w:ind w:firstLine="640" w:firstLineChars="200"/>
        <w:rPr>
          <w:rFonts w:ascii="仿宋_GB2312" w:hAnsi="仿宋_GB2312" w:eastAsia="仿宋_GB2312" w:cs="仿宋_GB2312"/>
          <w:sz w:val="32"/>
          <w:szCs w:val="32"/>
        </w:rPr>
      </w:pPr>
      <w:bookmarkStart w:id="110" w:name="_Toc15377226"/>
      <w:r>
        <w:rPr>
          <w:rFonts w:hint="eastAsia" w:ascii="仿宋_GB2312" w:hAnsi="仿宋_GB2312" w:eastAsia="仿宋_GB2312" w:cs="仿宋_GB2312"/>
          <w:sz w:val="32"/>
          <w:szCs w:val="32"/>
        </w:rPr>
        <w:t>1.财政拨款收入：指单位从同级财政部门取得的财政预算资金。</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3.其他收入：指单位取得的除上述收入以外的各项收入。</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4.年初结转和结余：指以前年度尚未完成、结转到本年按有关规定继续使用的资金。</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5、年末结转和结余：指单位按有关规定结转到下年或以后年度继续使用的资金。</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6.社会保障和就业（类）行政事业单位离退休（款）机关事业单位基本养老保险缴费支出（项）：指反映机关事业单位实施养老保险制度由单位缴纳的基本养老保险费支出。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7.社会保障和就业（类）行政事业单位离退休（款）机关事业单位职业年金缴费支出（项）：指反映机关事业单位实施养老保险制度由单位实际缴纳的职业年金支出。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医疗卫生与计划生育（类）行政事业单位医疗（款）事业单位医疗（项）：指反映财政部门安排的事业单位基本医疗保险缴费经费，未参加医疗保险的事业单位的公费医疗经费，按国家规定享受离休人员待遇的医疗经费。</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9.住房保障（类）住房改革支出（款）住房公积金（项）：指反映行政事业单位按人力资源和社会保障部、财政部规定的基本工资和津贴补贴以及规定比例为职工缴纳的住房公积金。</w:t>
      </w:r>
    </w:p>
    <w:p>
      <w:pPr>
        <w:ind w:firstLine="640" w:firstLineChars="200"/>
        <w:rPr>
          <w:rFonts w:ascii="仿宋_GB2312" w:hAnsi="仿宋_GB2312" w:eastAsia="仿宋_GB2312" w:cs="仿宋_GB2312"/>
          <w:color w:val="666666"/>
          <w:sz w:val="32"/>
          <w:szCs w:val="32"/>
          <w:shd w:val="clear" w:color="auto" w:fill="FFFFFF"/>
        </w:rPr>
      </w:pPr>
      <w:r>
        <w:rPr>
          <w:rFonts w:hint="eastAsia" w:ascii="仿宋_GB2312" w:hAnsi="仿宋_GB2312" w:eastAsia="仿宋_GB2312" w:cs="仿宋_GB2312"/>
          <w:color w:val="000000"/>
          <w:sz w:val="32"/>
          <w:szCs w:val="32"/>
        </w:rPr>
        <w:t>10.粮油物资储备（类）粮油事务（款）行政运行（项）：用于保障机构正常进行，开展日常工作的基本支出。</w:t>
      </w:r>
    </w:p>
    <w:p>
      <w:pPr>
        <w:ind w:firstLine="640" w:firstLineChars="200"/>
        <w:rPr>
          <w:rFonts w:ascii="仿宋_GB2312" w:hAnsi="仿宋_GB2312" w:eastAsia="仿宋_GB2312" w:cs="仿宋_GB2312"/>
          <w:color w:val="00B050"/>
          <w:sz w:val="32"/>
          <w:szCs w:val="32"/>
        </w:rPr>
      </w:pPr>
      <w:r>
        <w:rPr>
          <w:rFonts w:hint="eastAsia" w:ascii="仿宋_GB2312" w:hAnsi="仿宋_GB2312" w:eastAsia="仿宋_GB2312" w:cs="仿宋_GB2312"/>
          <w:color w:val="000000"/>
          <w:sz w:val="32"/>
          <w:szCs w:val="32"/>
        </w:rPr>
        <w:t>粮油物资储备（类）粮油事务（款）其他粮油事务（项）：主要用于其他粮油事务支出。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粮油物资储备（类）物资事务（款）仓库建设（项）：指各储备仓库实施安全改造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改扩建工程等基本建设活动的支出。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粮油物资储备（类）粮油储备（款）储备粮油补贴（项）：指反映用于储备粮油和临时储存粮油的补贴支出。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粮油物资储备（类）粮油储备（款）储备粮（油）库建设（项）：指反映储备粮油仓储设施建设方面的支出。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11.基本支出：指为保障 机构正常运转、完成日常工作任务而发生的人员支出和公用支出。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12.项目支出：指在基本支出之外为完成特定行政任务和事业发展目标所发生的支出。</w:t>
      </w:r>
    </w:p>
    <w:p>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13.经营支出：指事业单位在专业业务活动及其辅助活动之外开展非独立核算经营活动发生的支出。</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left"/>
        <w:rPr>
          <w:rFonts w:hint="eastAsia" w:ascii="宋体" w:eastAsia="宋体"/>
          <w:b/>
          <w:color w:val="000000"/>
          <w:sz w:val="44"/>
          <w:szCs w:val="44"/>
          <w:lang w:eastAsia="zh-CN"/>
        </w:rPr>
      </w:pPr>
      <w:r>
        <w:rPr>
          <w:rFonts w:ascii="宋体"/>
          <w:b/>
          <w:color w:val="000000"/>
          <w:sz w:val="44"/>
          <w:szCs w:val="44"/>
        </w:rPr>
        <w:br w:type="page"/>
      </w:r>
    </w:p>
    <w:p>
      <w:pPr>
        <w:pStyle w:val="18"/>
        <w:rPr>
          <w:rFonts w:ascii="宋体"/>
          <w:b/>
          <w:color w:val="000000"/>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壤塘县粮食和物资储备中心</w:t>
      </w:r>
      <w:r>
        <w:rPr>
          <w:rFonts w:hint="eastAsia" w:ascii="方正小标宋简体" w:hAnsi="宋体" w:eastAsia="方正小标宋简体"/>
          <w:color w:val="000000"/>
          <w:kern w:val="0"/>
          <w:sz w:val="40"/>
          <w:szCs w:val="44"/>
          <w:lang w:val="zh-CN"/>
        </w:rPr>
        <w:t>部门</w:t>
      </w:r>
    </w:p>
    <w:p>
      <w:pPr>
        <w:spacing w:line="600" w:lineRule="exact"/>
        <w:jc w:val="center"/>
        <w:rPr>
          <w:rFonts w:ascii="仿宋_GB2312" w:hAnsi="宋体" w:eastAsia="仿宋_GB2312"/>
          <w:sz w:val="32"/>
          <w:szCs w:val="32"/>
          <w:shd w:val="clear" w:color="auto" w:fill="FFFFFF"/>
        </w:rPr>
      </w:pPr>
      <w:r>
        <w:rPr>
          <w:rFonts w:ascii="方正小标宋简体" w:hAnsi="宋体" w:eastAsia="方正小标宋简体"/>
          <w:color w:val="000000"/>
          <w:kern w:val="0"/>
          <w:sz w:val="40"/>
          <w:szCs w:val="44"/>
        </w:rPr>
        <w:t>20</w:t>
      </w:r>
      <w:r>
        <w:rPr>
          <w:rFonts w:hint="eastAsia" w:ascii="方正小标宋简体" w:hAnsi="宋体" w:eastAsia="方正小标宋简体"/>
          <w:color w:val="000000"/>
          <w:kern w:val="0"/>
          <w:sz w:val="40"/>
          <w:szCs w:val="44"/>
          <w:lang w:val="en-US" w:eastAsia="zh-CN"/>
        </w:rPr>
        <w:t>21</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hd w:val="clear" w:color="auto" w:fill="FFFFFF"/>
        <w:adjustRightInd w:val="0"/>
        <w:snapToGrid w:val="0"/>
        <w:spacing w:line="560" w:lineRule="exact"/>
        <w:ind w:firstLine="643" w:firstLineChars="200"/>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壤塘县粮食和物资储备中心由办公室、业务股及财会统计股组成</w:t>
      </w:r>
    </w:p>
    <w:p>
      <w:pPr>
        <w:adjustRightInd w:val="0"/>
        <w:snapToGrid w:val="0"/>
        <w:spacing w:line="560" w:lineRule="exact"/>
        <w:ind w:firstLine="643" w:firstLineChars="200"/>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宋体" w:eastAsia="仿宋_GB2312" w:cs="宋体"/>
          <w:color w:val="000000"/>
          <w:kern w:val="0"/>
          <w:sz w:val="32"/>
          <w:szCs w:val="32"/>
          <w:shd w:val="clear" w:color="auto" w:fill="FFFFFF"/>
          <w:lang w:val="zh-CN"/>
        </w:rPr>
        <w:t>壤塘县粮食和物资储备中心</w:t>
      </w:r>
      <w:r>
        <w:rPr>
          <w:rFonts w:hint="eastAsia" w:ascii="仿宋_GB2312" w:hAnsi="仿宋_GB2312" w:eastAsia="仿宋_GB2312" w:cs="仿宋_GB2312"/>
          <w:sz w:val="32"/>
          <w:szCs w:val="32"/>
        </w:rPr>
        <w:t>负责省、州、县储备粮管理，指导全县粮食储备体系建设；制定县级储备粮管理的技术规范并监督执行；监督检查州、县储备粮库存数量和质量；研究提出县级储备粮的收购、轮换、抛售计划，并组织实施。管理社会粮食流通，保障军队、城镇居民、救灾济粮和国家重点建设项目的粮食供应。负责全县粮食余缺调剂，组织和协调县内粮油调剂工作和对外经济技术合作交流。协助做好救灾物资储备规划、品种目录和标准、年度购置计划，负责州级救灾物资的收储、轮换和日常管理，根据动用指令按程序组织调拨。</w:t>
      </w:r>
    </w:p>
    <w:p>
      <w:pPr>
        <w:numPr>
          <w:ilvl w:val="0"/>
          <w:numId w:val="4"/>
        </w:numPr>
        <w:adjustRightInd w:val="0"/>
        <w:snapToGrid w:val="0"/>
        <w:spacing w:line="560" w:lineRule="exact"/>
        <w:ind w:firstLine="643" w:firstLineChars="200"/>
        <w:rPr>
          <w:rFonts w:ascii="楷体_GB2312" w:hAnsi="楷体_GB2312" w:eastAsia="楷体_GB2312" w:cs="楷体_GB2312"/>
          <w:b/>
          <w:bCs/>
          <w:kern w:val="0"/>
          <w:sz w:val="32"/>
          <w:szCs w:val="32"/>
          <w:shd w:val="clear" w:color="auto" w:fill="FFFFFF"/>
          <w:lang w:val="zh-CN"/>
        </w:rPr>
      </w:pPr>
      <w:r>
        <w:rPr>
          <w:rFonts w:hint="eastAsia" w:ascii="楷体_GB2312" w:hAnsi="楷体_GB2312" w:eastAsia="楷体_GB2312" w:cs="楷体_GB2312"/>
          <w:b/>
          <w:bCs/>
          <w:kern w:val="0"/>
          <w:sz w:val="32"/>
          <w:szCs w:val="32"/>
          <w:shd w:val="clear" w:color="auto" w:fill="FFFFFF"/>
          <w:lang w:val="zh-CN"/>
        </w:rPr>
        <w:t>人员概况</w:t>
      </w:r>
    </w:p>
    <w:p>
      <w:pPr>
        <w:adjustRightInd w:val="0"/>
        <w:snapToGrid w:val="0"/>
        <w:spacing w:line="56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rPr>
        <w:t>参公事业编制8名。其中：主任1名，副主任1名，股室长3名，一般干部3名。下设办公室、业务股、会计统筹股。</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1年度收、支总计874.55万元。与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总计各</w:t>
      </w:r>
      <w:r>
        <w:rPr>
          <w:rFonts w:hint="eastAsia" w:ascii="仿宋" w:hAnsi="仿宋" w:eastAsia="仿宋"/>
          <w:color w:val="000000"/>
          <w:sz w:val="32"/>
          <w:szCs w:val="32"/>
          <w:lang w:val="en-US" w:eastAsia="zh-CN"/>
        </w:rPr>
        <w:t>减少365.4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29.47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2020年项目处于建设阶段，支出较多，并且2021年当年专项资金不再结转至下一年度，因而收入减少。</w:t>
      </w:r>
    </w:p>
    <w:p>
      <w:pPr>
        <w:widowControl/>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1年度收、支总计874.55万元。与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总计各</w:t>
      </w:r>
      <w:r>
        <w:rPr>
          <w:rFonts w:hint="eastAsia" w:ascii="仿宋" w:hAnsi="仿宋" w:eastAsia="仿宋"/>
          <w:color w:val="000000"/>
          <w:sz w:val="32"/>
          <w:szCs w:val="32"/>
          <w:lang w:val="en-US" w:eastAsia="zh-CN"/>
        </w:rPr>
        <w:t>减少365.4</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29.47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2020年项目处于建设阶段，支出较多，并且2021年当年专项资金不再结转至下一年度，因而收入减少。</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严格预算支出管理。在支出预算编制上，人员经费按照配置定额，逐人核定编制，公用经费分类分档，按定额编制；根据“总量控制、计划管理”的要求从严控制行政经费，压缩公务费开支，资产的配置严格政府采购，按照预算科目和项目资金的规定使用财政资金，保障部门整体支出的规范化、制度化。</w:t>
      </w:r>
    </w:p>
    <w:p>
      <w:pPr>
        <w:widowControl/>
        <w:adjustRightInd w:val="0"/>
        <w:snapToGrid w:val="0"/>
        <w:spacing w:line="580" w:lineRule="exact"/>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2.财务管理上，按照国家相关法律法规，制定了机关财务、公物购置使用、接待、会务、差旅等管理制度，并严格按照制度管理和执行，防范风险，保证财政资金的安全和高效运行。</w:t>
      </w:r>
    </w:p>
    <w:p>
      <w:pPr>
        <w:widowControl/>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1.本年预算配置控制较好，财政供养人员控制在预算编制以内，实际在职人员数与编制数相同；无“三公”经费支出。</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2.预算执行方面，支出总额控制在预算总额以内，基本支出中财政政策性工资有所追加，本年部门预算未进行预算相关事项的调整；预算资金按规定管理使用，财政拨款支出总体控制较好。</w:t>
      </w:r>
    </w:p>
    <w:p>
      <w:pPr>
        <w:widowControl/>
        <w:adjustRightInd w:val="0"/>
        <w:snapToGrid w:val="0"/>
        <w:spacing w:line="580" w:lineRule="exact"/>
        <w:ind w:firstLine="640" w:firstLineChars="200"/>
        <w:contextualSpacing/>
        <w:jc w:val="left"/>
        <w:rPr>
          <w:rFonts w:ascii="仿宋" w:hAnsi="仿宋" w:eastAsia="仿宋" w:cs="仿宋"/>
          <w:sz w:val="32"/>
          <w:szCs w:val="32"/>
        </w:rPr>
      </w:pPr>
      <w:r>
        <w:rPr>
          <w:rFonts w:hint="eastAsia" w:ascii="仿宋_GB2312" w:hAnsi="仿宋_GB2312" w:eastAsia="仿宋_GB2312" w:cs="仿宋_GB2312"/>
          <w:sz w:val="32"/>
          <w:szCs w:val="32"/>
        </w:rPr>
        <w:t>3.预算管理方面，制定了切实有效的内部财务、资产内部管理制度，执行总体较为有效。</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spacing w:line="576" w:lineRule="exact"/>
        <w:ind w:firstLine="640" w:firstLineChars="200"/>
        <w:rPr>
          <w:lang w:val="zh-CN"/>
        </w:rPr>
      </w:pPr>
      <w:r>
        <w:rPr>
          <w:rFonts w:hint="eastAsia" w:ascii="仿宋_GB2312" w:hAnsi="仿宋_GB2312" w:eastAsia="仿宋_GB2312" w:cs="仿宋_GB2312"/>
          <w:sz w:val="32"/>
          <w:szCs w:val="32"/>
        </w:rPr>
        <w:t>根据考核评分细则，我办严格按照国家的相关财务管理制度规定，财务制度健全、会计核算规范，依照计划管理使用。按照部门整体支出绩效评价指标体系对照打分得出结果，等级为良好。</w:t>
      </w:r>
    </w:p>
    <w:p>
      <w:pPr>
        <w:widowControl/>
        <w:numPr>
          <w:ilvl w:val="0"/>
          <w:numId w:val="5"/>
        </w:numPr>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存在问题</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一是</w:t>
      </w:r>
      <w:r>
        <w:rPr>
          <w:rFonts w:hint="eastAsia" w:ascii="仿宋_GB2312" w:hAnsi="仿宋_GB2312" w:eastAsia="仿宋_GB2312" w:cs="仿宋_GB2312"/>
          <w:sz w:val="32"/>
          <w:szCs w:val="32"/>
        </w:rPr>
        <w:t>预算编制有待更严格执行，预算编制与实际支出项目有的存在差异。</w:t>
      </w:r>
    </w:p>
    <w:p>
      <w:pPr>
        <w:pStyle w:val="2"/>
        <w:ind w:left="420" w:leftChars="200" w:firstLine="321" w:firstLineChars="100"/>
        <w:rPr>
          <w:lang w:val="zh-CN"/>
        </w:rPr>
      </w:pPr>
      <w:r>
        <w:rPr>
          <w:rFonts w:hint="eastAsia" w:ascii="仿宋" w:hAnsi="仿宋" w:eastAsia="仿宋" w:cs="仿宋"/>
          <w:b/>
          <w:bCs/>
        </w:rPr>
        <w:t>二是</w:t>
      </w:r>
      <w:r>
        <w:rPr>
          <w:rFonts w:hint="eastAsia" w:ascii="仿宋_GB2312" w:hAnsi="仿宋_GB2312" w:eastAsia="仿宋_GB2312" w:cs="仿宋_GB2312"/>
        </w:rPr>
        <w:t>制度执行力度有待加强。</w:t>
      </w:r>
    </w:p>
    <w:p>
      <w:pPr>
        <w:widowControl/>
        <w:adjustRightInd w:val="0"/>
        <w:snapToGrid w:val="0"/>
        <w:spacing w:line="580" w:lineRule="exact"/>
        <w:ind w:firstLine="643" w:firstLineChars="200"/>
        <w:contextualSpacing/>
        <w:jc w:val="left"/>
        <w:rPr>
          <w:rFonts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spacing w:line="576" w:lineRule="exact"/>
        <w:ind w:firstLine="643" w:firstLineChars="200"/>
        <w:rPr>
          <w:rFonts w:ascii="仿宋" w:hAnsi="仿宋" w:eastAsia="仿宋" w:cs="仿宋"/>
          <w:sz w:val="32"/>
          <w:szCs w:val="32"/>
        </w:rPr>
      </w:pPr>
      <w:r>
        <w:rPr>
          <w:rFonts w:hint="eastAsia" w:ascii="仿宋" w:hAnsi="仿宋" w:eastAsia="仿宋" w:cs="仿宋"/>
          <w:b/>
          <w:bCs/>
          <w:sz w:val="32"/>
          <w:szCs w:val="32"/>
        </w:rPr>
        <w:t>一是</w:t>
      </w:r>
      <w:r>
        <w:rPr>
          <w:rFonts w:hint="eastAsia" w:ascii="仿宋_GB2312" w:hAnsi="仿宋_GB2312" w:eastAsia="仿宋_GB2312" w:cs="仿宋_GB2312"/>
          <w:sz w:val="32"/>
          <w:szCs w:val="32"/>
        </w:rPr>
        <w:t>按照预算规定的项目和用途严格财务审核，经费支出严格按预算规定项目的财务支出内容进行财务核算，在预算金额内严格控制费用的支出。</w:t>
      </w:r>
    </w:p>
    <w:p>
      <w:pPr>
        <w:spacing w:line="580" w:lineRule="exact"/>
        <w:ind w:firstLine="643" w:firstLineChars="200"/>
        <w:rPr>
          <w:rFonts w:ascii="仿宋_GB2312" w:hAnsi="仿宋_GB2312" w:eastAsia="仿宋_GB2312" w:cs="仿宋_GB2312"/>
          <w:sz w:val="32"/>
          <w:szCs w:val="32"/>
        </w:rPr>
      </w:pPr>
      <w:r>
        <w:rPr>
          <w:rFonts w:hint="eastAsia" w:ascii="仿宋" w:hAnsi="仿宋" w:eastAsia="仿宋" w:cs="仿宋"/>
          <w:b/>
          <w:bCs/>
          <w:sz w:val="32"/>
          <w:szCs w:val="32"/>
        </w:rPr>
        <w:t>二是</w:t>
      </w:r>
      <w:r>
        <w:rPr>
          <w:rFonts w:hint="eastAsia" w:ascii="仿宋_GB2312" w:hAnsi="仿宋_GB2312" w:eastAsia="仿宋_GB2312" w:cs="仿宋_GB2312"/>
          <w:sz w:val="32"/>
          <w:szCs w:val="32"/>
        </w:rPr>
        <w:t>预算财务分析常态化，定期做好预算支出财务分析，做好部门整体支出预算评价工作，完善各项</w:t>
      </w:r>
      <w:r>
        <w:rPr>
          <w:rFonts w:hint="eastAsia" w:ascii="仿宋_GB2312" w:hAnsi="仿宋_GB2312" w:eastAsia="仿宋_GB2312" w:cs="仿宋_GB2312"/>
          <w:sz w:val="32"/>
          <w:szCs w:val="32"/>
          <w:lang w:eastAsia="zh-CN"/>
        </w:rPr>
        <w:t>制度</w:t>
      </w:r>
      <w:r>
        <w:rPr>
          <w:rFonts w:hint="eastAsia" w:ascii="仿宋_GB2312" w:hAnsi="仿宋_GB2312" w:eastAsia="仿宋_GB2312" w:cs="仿宋_GB2312"/>
          <w:sz w:val="32"/>
          <w:szCs w:val="32"/>
        </w:rPr>
        <w:t>，提升执行力。</w:t>
      </w:r>
    </w:p>
    <w:p/>
    <w:p>
      <w:pPr>
        <w:rPr>
          <w:rFonts w:ascii="宋体"/>
          <w:b/>
          <w:color w:val="000000"/>
          <w:sz w:val="44"/>
          <w:szCs w:val="44"/>
        </w:rPr>
      </w:pPr>
    </w:p>
    <w:p>
      <w:pPr>
        <w:pStyle w:val="18"/>
        <w:rPr>
          <w:rFonts w:ascii="宋体"/>
          <w:b/>
          <w:color w:val="000000"/>
          <w:sz w:val="44"/>
          <w:szCs w:val="44"/>
        </w:rPr>
      </w:pPr>
    </w:p>
    <w:p>
      <w:pPr>
        <w:rPr>
          <w:rFonts w:ascii="宋体"/>
          <w:b/>
          <w:color w:val="000000"/>
          <w:sz w:val="44"/>
          <w:szCs w:val="44"/>
        </w:rPr>
      </w:pPr>
    </w:p>
    <w:p>
      <w:pPr>
        <w:pStyle w:val="18"/>
        <w:rPr>
          <w:rFonts w:ascii="宋体"/>
          <w:b/>
          <w:color w:val="000000"/>
          <w:sz w:val="44"/>
          <w:szCs w:val="44"/>
        </w:rPr>
      </w:pPr>
    </w:p>
    <w:p>
      <w:pPr>
        <w:rPr>
          <w:rFonts w:ascii="宋体"/>
          <w:b/>
          <w:color w:val="000000"/>
          <w:sz w:val="44"/>
          <w:szCs w:val="44"/>
        </w:rPr>
      </w:pPr>
    </w:p>
    <w:p>
      <w:pPr>
        <w:pStyle w:val="18"/>
        <w:rPr>
          <w:rFonts w:ascii="宋体"/>
          <w:b/>
          <w:color w:val="000000"/>
          <w:sz w:val="44"/>
          <w:szCs w:val="44"/>
        </w:rPr>
      </w:pPr>
    </w:p>
    <w:p>
      <w:pPr>
        <w:rPr>
          <w:rFonts w:ascii="宋体"/>
          <w:b/>
          <w:color w:val="000000"/>
          <w:sz w:val="44"/>
          <w:szCs w:val="44"/>
        </w:rPr>
      </w:pPr>
    </w:p>
    <w:p>
      <w:pPr>
        <w:pStyle w:val="18"/>
        <w:rPr>
          <w:rFonts w:ascii="宋体"/>
          <w:b/>
          <w:color w:val="000000"/>
          <w:sz w:val="44"/>
          <w:szCs w:val="44"/>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600" w:lineRule="exact"/>
        <w:jc w:val="center"/>
        <w:outlineLvl w:val="0"/>
        <w:rPr>
          <w:rStyle w:val="25"/>
          <w:rFonts w:ascii="黑体" w:hAnsi="黑体" w:eastAsia="黑体"/>
          <w:b w:val="0"/>
        </w:rPr>
      </w:pPr>
      <w:bookmarkStart w:id="111" w:name="_Toc79163635"/>
      <w:bookmarkStart w:id="112" w:name="_Toc10725"/>
      <w:bookmarkStart w:id="113" w:name="_Toc1539661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0"/>
      <w:bookmarkEnd w:id="111"/>
      <w:bookmarkEnd w:id="112"/>
      <w:bookmarkEnd w:id="113"/>
    </w:p>
    <w:p>
      <w:pPr>
        <w:pStyle w:val="5"/>
        <w:rPr>
          <w:rFonts w:ascii="仿宋" w:hAnsi="仿宋" w:eastAsia="仿宋"/>
          <w:color w:val="000000"/>
        </w:rPr>
      </w:pPr>
      <w:bookmarkStart w:id="114" w:name="_Toc15396619"/>
      <w:bookmarkStart w:id="115" w:name="_Toc79163636"/>
      <w:bookmarkStart w:id="116" w:name="_Toc11881"/>
      <w:r>
        <w:rPr>
          <w:rFonts w:hint="eastAsia" w:ascii="仿宋" w:hAnsi="仿宋" w:eastAsia="仿宋"/>
          <w:b w:val="0"/>
          <w:color w:val="000000"/>
        </w:rPr>
        <w:t>一、收</w:t>
      </w:r>
      <w:r>
        <w:rPr>
          <w:rStyle w:val="26"/>
          <w:rFonts w:hint="eastAsia" w:ascii="仿宋" w:hAnsi="仿宋" w:eastAsia="仿宋"/>
          <w:b w:val="0"/>
          <w:bCs w:val="0"/>
        </w:rPr>
        <w:t>入支出决算总表</w:t>
      </w:r>
      <w:bookmarkEnd w:id="114"/>
      <w:bookmarkEnd w:id="115"/>
      <w:bookmarkEnd w:id="116"/>
    </w:p>
    <w:p>
      <w:pPr>
        <w:pStyle w:val="5"/>
        <w:rPr>
          <w:rFonts w:ascii="仿宋" w:hAnsi="仿宋" w:eastAsia="仿宋"/>
          <w:color w:val="000000"/>
        </w:rPr>
      </w:pPr>
      <w:bookmarkStart w:id="117" w:name="_Toc17077"/>
      <w:bookmarkStart w:id="118" w:name="_Toc79163637"/>
      <w:bookmarkStart w:id="119" w:name="_Toc15396620"/>
      <w:r>
        <w:rPr>
          <w:rFonts w:hint="eastAsia" w:ascii="仿宋" w:hAnsi="仿宋" w:eastAsia="仿宋"/>
          <w:b w:val="0"/>
          <w:color w:val="000000"/>
        </w:rPr>
        <w:t>二、收</w:t>
      </w:r>
      <w:r>
        <w:rPr>
          <w:rStyle w:val="26"/>
          <w:rFonts w:hint="eastAsia" w:ascii="仿宋" w:hAnsi="仿宋" w:eastAsia="仿宋"/>
          <w:b w:val="0"/>
          <w:bCs w:val="0"/>
        </w:rPr>
        <w:t>入决算表</w:t>
      </w:r>
      <w:bookmarkEnd w:id="117"/>
      <w:bookmarkEnd w:id="118"/>
      <w:bookmarkEnd w:id="119"/>
    </w:p>
    <w:p>
      <w:pPr>
        <w:pStyle w:val="5"/>
        <w:rPr>
          <w:rFonts w:ascii="仿宋" w:hAnsi="仿宋" w:eastAsia="仿宋"/>
          <w:color w:val="000000"/>
        </w:rPr>
      </w:pPr>
      <w:bookmarkStart w:id="120" w:name="_Toc32182"/>
      <w:bookmarkStart w:id="121" w:name="_Toc79163638"/>
      <w:bookmarkStart w:id="122"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0"/>
      <w:bookmarkEnd w:id="121"/>
      <w:bookmarkEnd w:id="122"/>
    </w:p>
    <w:p>
      <w:pPr>
        <w:pStyle w:val="5"/>
        <w:rPr>
          <w:rFonts w:ascii="仿宋" w:hAnsi="仿宋" w:eastAsia="仿宋"/>
          <w:b w:val="0"/>
          <w:color w:val="000000"/>
        </w:rPr>
      </w:pPr>
      <w:bookmarkStart w:id="123" w:name="_Toc15396622"/>
      <w:bookmarkStart w:id="124" w:name="_Toc79163639"/>
      <w:bookmarkStart w:id="125" w:name="_Toc3250"/>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23"/>
      <w:bookmarkEnd w:id="124"/>
      <w:bookmarkEnd w:id="125"/>
    </w:p>
    <w:p>
      <w:pPr>
        <w:pStyle w:val="5"/>
        <w:rPr>
          <w:rStyle w:val="26"/>
          <w:rFonts w:ascii="仿宋" w:hAnsi="仿宋" w:eastAsia="仿宋"/>
          <w:b w:val="0"/>
          <w:bCs w:val="0"/>
        </w:rPr>
      </w:pPr>
      <w:bookmarkStart w:id="126" w:name="_Toc79163640"/>
      <w:bookmarkStart w:id="127" w:name="_Toc15396623"/>
      <w:bookmarkStart w:id="128" w:name="_Toc26806"/>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26"/>
      <w:bookmarkEnd w:id="127"/>
      <w:bookmarkEnd w:id="128"/>
      <w:bookmarkStart w:id="129" w:name="_Toc15396624"/>
    </w:p>
    <w:p>
      <w:pPr>
        <w:pStyle w:val="5"/>
        <w:rPr>
          <w:rFonts w:ascii="仿宋" w:hAnsi="仿宋" w:eastAsia="仿宋"/>
          <w:color w:val="000000"/>
        </w:rPr>
      </w:pPr>
      <w:bookmarkStart w:id="130" w:name="_Toc79163641"/>
      <w:bookmarkStart w:id="131" w:name="_Toc7923"/>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29"/>
      <w:bookmarkEnd w:id="130"/>
      <w:bookmarkEnd w:id="131"/>
    </w:p>
    <w:p>
      <w:pPr>
        <w:pStyle w:val="5"/>
        <w:rPr>
          <w:rFonts w:ascii="仿宋" w:hAnsi="仿宋" w:eastAsia="仿宋"/>
          <w:color w:val="000000"/>
        </w:rPr>
      </w:pPr>
      <w:bookmarkStart w:id="132" w:name="_Toc15396625"/>
      <w:bookmarkStart w:id="133" w:name="_Toc79163642"/>
      <w:bookmarkStart w:id="134" w:name="_Toc11727"/>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32"/>
      <w:bookmarkEnd w:id="133"/>
      <w:bookmarkEnd w:id="134"/>
    </w:p>
    <w:p>
      <w:pPr>
        <w:pStyle w:val="5"/>
        <w:rPr>
          <w:rFonts w:ascii="仿宋" w:hAnsi="仿宋" w:eastAsia="仿宋"/>
          <w:color w:val="000000"/>
        </w:rPr>
      </w:pPr>
      <w:bookmarkStart w:id="135" w:name="_Toc79163643"/>
      <w:bookmarkStart w:id="136" w:name="_Toc15396626"/>
      <w:bookmarkStart w:id="137" w:name="_Toc31537"/>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35"/>
      <w:bookmarkEnd w:id="136"/>
      <w:bookmarkEnd w:id="137"/>
    </w:p>
    <w:p>
      <w:pPr>
        <w:pStyle w:val="5"/>
        <w:rPr>
          <w:rFonts w:ascii="仿宋" w:hAnsi="仿宋" w:eastAsia="仿宋"/>
          <w:color w:val="000000"/>
        </w:rPr>
      </w:pPr>
      <w:bookmarkStart w:id="138" w:name="_Toc15396627"/>
      <w:bookmarkStart w:id="139" w:name="_Toc79163644"/>
      <w:bookmarkStart w:id="140" w:name="_Toc14620"/>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38"/>
      <w:bookmarkEnd w:id="139"/>
      <w:bookmarkEnd w:id="140"/>
    </w:p>
    <w:p>
      <w:pPr>
        <w:pStyle w:val="5"/>
        <w:rPr>
          <w:rFonts w:ascii="仿宋" w:hAnsi="仿宋" w:eastAsia="仿宋"/>
          <w:color w:val="000000"/>
        </w:rPr>
      </w:pPr>
      <w:bookmarkStart w:id="141" w:name="_Toc15396628"/>
      <w:bookmarkStart w:id="142" w:name="_Toc79163645"/>
      <w:bookmarkStart w:id="143" w:name="_Toc4435"/>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1"/>
      <w:bookmarkEnd w:id="142"/>
      <w:bookmarkEnd w:id="143"/>
    </w:p>
    <w:p>
      <w:pPr>
        <w:pStyle w:val="5"/>
        <w:rPr>
          <w:rFonts w:ascii="仿宋" w:hAnsi="仿宋" w:eastAsia="仿宋"/>
          <w:color w:val="000000"/>
        </w:rPr>
      </w:pPr>
      <w:bookmarkStart w:id="144" w:name="_Toc79163646"/>
      <w:bookmarkStart w:id="145" w:name="_Toc15396629"/>
      <w:bookmarkStart w:id="146" w:name="_Toc1596"/>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44"/>
      <w:bookmarkEnd w:id="145"/>
      <w:bookmarkEnd w:id="146"/>
    </w:p>
    <w:p>
      <w:pPr>
        <w:pStyle w:val="5"/>
        <w:rPr>
          <w:rFonts w:ascii="仿宋" w:hAnsi="仿宋" w:eastAsia="仿宋"/>
          <w:color w:val="000000"/>
        </w:rPr>
      </w:pPr>
      <w:bookmarkStart w:id="147" w:name="_Toc15396630"/>
      <w:bookmarkStart w:id="148" w:name="_Toc79163647"/>
      <w:bookmarkStart w:id="149" w:name="_Toc21639"/>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47"/>
      <w:bookmarkEnd w:id="148"/>
      <w:bookmarkEnd w:id="149"/>
    </w:p>
    <w:p>
      <w:pPr>
        <w:pStyle w:val="5"/>
        <w:rPr>
          <w:rStyle w:val="26"/>
          <w:rFonts w:ascii="仿宋" w:hAnsi="仿宋" w:eastAsia="仿宋"/>
          <w:b w:val="0"/>
          <w:bCs w:val="0"/>
        </w:rPr>
      </w:pPr>
      <w:bookmarkStart w:id="150" w:name="_Toc79163648"/>
      <w:bookmarkStart w:id="151" w:name="_Toc15396631"/>
      <w:bookmarkStart w:id="152" w:name="_Toc12672"/>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0"/>
      <w:bookmarkEnd w:id="151"/>
      <w:bookmarkEnd w:id="152"/>
    </w:p>
    <w:p>
      <w:pPr>
        <w:pStyle w:val="5"/>
        <w:rPr>
          <w:rStyle w:val="26"/>
          <w:rFonts w:ascii="仿宋" w:hAnsi="仿宋" w:eastAsia="仿宋"/>
          <w:b w:val="0"/>
          <w:bCs w:val="0"/>
        </w:rPr>
      </w:pPr>
      <w:bookmarkStart w:id="153" w:name="_Toc79163649"/>
      <w:bookmarkStart w:id="154" w:name="_Toc5684"/>
      <w:r>
        <w:rPr>
          <w:rStyle w:val="26"/>
          <w:rFonts w:hint="eastAsia" w:ascii="仿宋" w:hAnsi="仿宋" w:eastAsia="仿宋"/>
          <w:b w:val="0"/>
          <w:bCs w:val="0"/>
        </w:rPr>
        <w:t>十四、国有资本经营预算财政拨款支出决算表</w:t>
      </w:r>
      <w:bookmarkEnd w:id="153"/>
      <w:bookmarkEnd w:id="154"/>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5D88C870"/>
    <w:multiLevelType w:val="singleLevel"/>
    <w:tmpl w:val="5D88C870"/>
    <w:lvl w:ilvl="0" w:tentative="0">
      <w:start w:val="3"/>
      <w:numFmt w:val="chineseCounting"/>
      <w:suff w:val="nothing"/>
      <w:lvlText w:val="（%1）"/>
      <w:lvlJc w:val="left"/>
      <w:rPr>
        <w:rFonts w:hint="eastAsia"/>
      </w:rPr>
    </w:lvl>
  </w:abstractNum>
  <w:abstractNum w:abstractNumId="4">
    <w:nsid w:val="61E0CBEB"/>
    <w:multiLevelType w:val="singleLevel"/>
    <w:tmpl w:val="61E0CBEB"/>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k3Y2JkMTIxMGJlMWYzZTI2OTk1NDQyM2VlMWY3NG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62B4EFE"/>
    <w:rsid w:val="0A2032A3"/>
    <w:rsid w:val="10C055FF"/>
    <w:rsid w:val="118107EC"/>
    <w:rsid w:val="11E70EDC"/>
    <w:rsid w:val="137F0D44"/>
    <w:rsid w:val="16BB723D"/>
    <w:rsid w:val="172F4566"/>
    <w:rsid w:val="1D155CEE"/>
    <w:rsid w:val="217A6FCE"/>
    <w:rsid w:val="240371BF"/>
    <w:rsid w:val="29FD04D3"/>
    <w:rsid w:val="2E734E6D"/>
    <w:rsid w:val="319F7F4E"/>
    <w:rsid w:val="326B7F22"/>
    <w:rsid w:val="32F1344A"/>
    <w:rsid w:val="3B2F3D42"/>
    <w:rsid w:val="3B7E69A5"/>
    <w:rsid w:val="400B5E62"/>
    <w:rsid w:val="433104F9"/>
    <w:rsid w:val="49017DF2"/>
    <w:rsid w:val="4B15426B"/>
    <w:rsid w:val="4C97238C"/>
    <w:rsid w:val="4C9F17C3"/>
    <w:rsid w:val="4E5D1D85"/>
    <w:rsid w:val="4ECE2238"/>
    <w:rsid w:val="533E4E87"/>
    <w:rsid w:val="5E167DC2"/>
    <w:rsid w:val="64E648CC"/>
    <w:rsid w:val="66C537B1"/>
    <w:rsid w:val="6AFF5E09"/>
    <w:rsid w:val="6C4A05C8"/>
    <w:rsid w:val="6FFDB838"/>
    <w:rsid w:val="72734D90"/>
    <w:rsid w:val="75DD1415"/>
    <w:rsid w:val="7F922A88"/>
    <w:rsid w:val="7FAF3B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semiHidden/>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99"/>
    <w:pPr>
      <w:ind w:left="200" w:leftChars="200" w:hanging="200" w:hangingChars="200"/>
    </w:p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4"/>
    <w:semiHidden/>
    <w:qFormat/>
    <w:locked/>
    <w:uiPriority w:val="99"/>
    <w:rPr>
      <w:sz w:val="18"/>
    </w:rPr>
  </w:style>
  <w:style w:type="character" w:customStyle="1" w:styleId="33">
    <w:name w:val="页脚 Char"/>
    <w:link w:val="13"/>
    <w:qFormat/>
    <w:locked/>
    <w:uiPriority w:val="99"/>
    <w:rPr>
      <w:sz w:val="18"/>
    </w:rPr>
  </w:style>
  <w:style w:type="character" w:customStyle="1" w:styleId="34">
    <w:name w:val="正文文本 Char"/>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1292.66</c:v>
                </c:pt>
                <c:pt idx="1">
                  <c:v>671.99</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788.39</c:v>
                </c:pt>
                <c:pt idx="1">
                  <c:v>671.99</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325.08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210.51</c:v>
                </c:pt>
                <c:pt idx="1">
                  <c:v>664.04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1292.66</c:v>
                </c:pt>
                <c:pt idx="1">
                  <c:v>671.99</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Sheet1!$C$2:$C$3</c:f>
              <c:numCache>
                <c:formatCode>General</c:formatCode>
                <c:ptCount val="2"/>
                <c:pt idx="0">
                  <c:v>788.39</c:v>
                </c:pt>
                <c:pt idx="1">
                  <c:v>671.99</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Sheet1!$B$1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Sheet1!$B$2:$B$3</c:f>
              <c:numCache>
                <c:formatCode>General</c:formatCode>
                <c:ptCount val="2"/>
                <c:pt idx="0">
                  <c:v>803.21</c:v>
                </c:pt>
                <c:pt idx="1">
                  <c:v>874.55</c:v>
                </c:pt>
              </c:numCache>
            </c:numRef>
          </c:val>
        </c:ser>
        <c:dLbls>
          <c:showLegendKey val="0"/>
          <c:showVal val="0"/>
          <c:showCatName val="0"/>
          <c:showSerName val="0"/>
          <c:showPercent val="0"/>
          <c:showBubbleSize val="0"/>
        </c:dLbls>
        <c:gapWidth val="219"/>
        <c:overlap val="-27"/>
        <c:axId val="771366718"/>
        <c:axId val="298366382"/>
      </c:barChart>
      <c:catAx>
        <c:axId val="77136671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8366382"/>
        <c:crosses val="autoZero"/>
        <c:auto val="1"/>
        <c:lblAlgn val="ctr"/>
        <c:lblOffset val="100"/>
        <c:noMultiLvlLbl val="0"/>
      </c:catAx>
      <c:valAx>
        <c:axId val="2983663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136671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社会保障和就业</c:v>
                </c:pt>
                <c:pt idx="1">
                  <c:v>卫生健康支出</c:v>
                </c:pt>
                <c:pt idx="2">
                  <c:v>商业服务业</c:v>
                </c:pt>
                <c:pt idx="3">
                  <c:v>住房保障支出</c:v>
                </c:pt>
                <c:pt idx="4">
                  <c:v>粮油物资储备</c:v>
                </c:pt>
              </c:strCache>
            </c:strRef>
          </c:cat>
          <c:val>
            <c:numRef>
              <c:f>Sheet1!$B$2:$B$6</c:f>
              <c:numCache>
                <c:formatCode>General</c:formatCode>
                <c:ptCount val="5"/>
                <c:pt idx="0">
                  <c:v>22.64</c:v>
                </c:pt>
                <c:pt idx="1">
                  <c:v>10.47</c:v>
                </c:pt>
                <c:pt idx="2">
                  <c:v>0.47</c:v>
                </c:pt>
                <c:pt idx="3">
                  <c:v>15.43</c:v>
                </c:pt>
                <c:pt idx="4">
                  <c:v>825.54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7719</Words>
  <Characters>8278</Characters>
  <Lines>74</Lines>
  <Paragraphs>21</Paragraphs>
  <TotalTime>14</TotalTime>
  <ScaleCrop>false</ScaleCrop>
  <LinksUpToDate>false</LinksUpToDate>
  <CharactersWithSpaces>8529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堵嫡沃</cp:lastModifiedBy>
  <cp:lastPrinted>2022-10-22T01:59:48Z</cp:lastPrinted>
  <dcterms:modified xsi:type="dcterms:W3CDTF">2022-10-22T02:00:22Z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C5882EA70F14438AA16D538F5B0BEED7</vt:lpwstr>
  </property>
</Properties>
</file>