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8441"/>
      <w:bookmarkStart w:id="3" w:name="_Toc15377193"/>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黑体" w:hAnsi="黑体" w:eastAsia="黑体" w:cs="黑体"/>
          <w:sz w:val="72"/>
          <w:szCs w:val="72"/>
        </w:rPr>
      </w:pPr>
      <w:bookmarkStart w:id="6" w:name="_Toc15396598"/>
      <w:bookmarkStart w:id="7" w:name="_Toc15377194"/>
      <w:bookmarkStart w:id="8" w:name="_Toc15378442"/>
      <w:bookmarkStart w:id="9" w:name="_Toc15377426"/>
      <w:bookmarkStart w:id="10" w:name="_Toc15396476"/>
      <w:r>
        <w:rPr>
          <w:rFonts w:hint="eastAsia" w:ascii="黑体" w:hAnsi="黑体" w:eastAsia="黑体" w:cs="黑体"/>
          <w:sz w:val="72"/>
          <w:szCs w:val="72"/>
        </w:rPr>
        <w:t>四川省阿坝州</w:t>
      </w:r>
      <w:bookmarkEnd w:id="0"/>
      <w:bookmarkStart w:id="11" w:name="_Toc15306268"/>
      <w:r>
        <w:rPr>
          <w:rFonts w:hint="eastAsia" w:ascii="黑体" w:hAnsi="黑体" w:eastAsia="黑体" w:cs="黑体"/>
          <w:sz w:val="72"/>
          <w:szCs w:val="72"/>
          <w:lang w:eastAsia="zh-CN"/>
        </w:rPr>
        <w:t>壤塘县教育局</w:t>
      </w:r>
      <w:r>
        <w:rPr>
          <w:rFonts w:hint="eastAsia" w:ascii="黑体" w:hAnsi="黑体" w:eastAsia="黑体" w:cs="黑体"/>
          <w:sz w:val="72"/>
          <w:szCs w:val="72"/>
        </w:rPr>
        <w:t>部门决算</w:t>
      </w:r>
      <w:bookmarkEnd w:id="6"/>
      <w:bookmarkEnd w:id="7"/>
      <w:bookmarkEnd w:id="8"/>
      <w:bookmarkEnd w:id="9"/>
      <w:bookmarkEnd w:id="10"/>
      <w:bookmarkEnd w:id="11"/>
    </w:p>
    <w:p>
      <w:pPr>
        <w:jc w:val="center"/>
        <w:rPr>
          <w:rFonts w:hint="eastAsia" w:ascii="黑体" w:hAnsi="黑体" w:eastAsia="黑体" w:cs="黑体"/>
          <w:sz w:val="72"/>
          <w:szCs w:val="72"/>
        </w:rPr>
      </w:pPr>
    </w:p>
    <w:p>
      <w:pPr>
        <w:jc w:val="center"/>
        <w:rPr>
          <w:rFonts w:hint="eastAsia" w:ascii="方正小标宋简体" w:eastAsia="方正小标宋简体"/>
          <w:sz w:val="72"/>
          <w:szCs w:val="72"/>
        </w:rPr>
      </w:pPr>
    </w:p>
    <w:p>
      <w:pPr>
        <w:jc w:val="center"/>
        <w:rPr>
          <w:rFonts w:hint="eastAsia" w:ascii="方正小标宋简体" w:eastAsia="方正小标宋简体"/>
          <w:sz w:val="72"/>
          <w:szCs w:val="72"/>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22</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outlineLvl w:val="0"/>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10</w:t>
      </w:r>
      <w:r>
        <w:fldChar w:fldCharType="end"/>
      </w:r>
    </w:p>
    <w:p>
      <w:pPr>
        <w:pStyle w:val="13"/>
        <w:tabs>
          <w:tab w:val="right" w:leader="dot" w:pos="8296"/>
        </w:tabs>
        <w:ind w:firstLine="200" w:firstLineChars="100"/>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10</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10</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11</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12</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13</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16</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19</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19</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21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21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21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21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21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22</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22</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42</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45</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rPr>
          <w:rFonts w:hint="eastAsia" w:ascii="方正小标宋简体" w:hAnsi="黑体" w:eastAsia="方正小标宋简体" w:cs="黑体"/>
          <w:lang w:eastAsia="zh-CN"/>
        </w:rPr>
        <w:t>教育局</w:t>
      </w:r>
      <w:r>
        <w:rPr>
          <w:rFonts w:ascii="方正小标宋简体" w:hAnsi="黑体" w:eastAsia="方正小标宋简体" w:cs="黑体"/>
        </w:rPr>
        <w:t>部门2020年部门整体支出绩效评价报告</w:t>
      </w:r>
      <w:r>
        <w:tab/>
      </w:r>
      <w:r>
        <w:fldChar w:fldCharType="begin"/>
      </w:r>
      <w:r>
        <w:instrText xml:space="preserve"> PAGEREF _Toc79163881 \h </w:instrText>
      </w:r>
      <w:r>
        <w:fldChar w:fldCharType="separate"/>
      </w:r>
      <w:r>
        <w:t>45</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49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fldChar w:fldCharType="begin"/>
      </w:r>
      <w:r>
        <w:instrText xml:space="preserve"> PAGEREF _Toc79163898 \h </w:instrText>
      </w:r>
      <w:r>
        <w:fldChar w:fldCharType="separate"/>
      </w:r>
      <w:r>
        <w:t>71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71</w:t>
      </w:r>
      <w:r>
        <w:fldChar w:fldCharType="end"/>
      </w:r>
    </w:p>
    <w:p>
      <w:r>
        <w:rPr>
          <w:rFonts w:asciiTheme="minorHAnsi" w:eastAsiaTheme="minorHAnsi"/>
          <w:b/>
          <w:bCs/>
          <w:caps/>
          <w:sz w:val="20"/>
          <w:szCs w:val="20"/>
        </w:rPr>
        <w:fldChar w:fldCharType="end"/>
      </w:r>
    </w:p>
    <w:p>
      <w:pPr>
        <w:widowControl/>
        <w:spacing w:line="440" w:lineRule="exact"/>
        <w:jc w:val="left"/>
        <w:rPr>
          <w:rFonts w:hint="eastAsia" w:ascii="仿宋" w:hAnsi="仿宋" w:eastAsia="仿宋" w:cs="仿宋"/>
          <w:bCs/>
          <w:kern w:val="44"/>
          <w:sz w:val="32"/>
          <w:szCs w:val="32"/>
        </w:rPr>
      </w:pPr>
      <w:bookmarkStart w:id="12" w:name="_Toc15377196"/>
      <w:bookmarkStart w:id="13" w:name="_Toc15396599"/>
      <w:r>
        <w:rPr>
          <w:rFonts w:hint="eastAsia" w:ascii="仿宋" w:hAnsi="仿宋" w:eastAsia="仿宋" w:cs="仿宋"/>
          <w:b/>
          <w:sz w:val="32"/>
          <w:szCs w:val="32"/>
        </w:rPr>
        <w:br w:type="page"/>
      </w:r>
    </w:p>
    <w:p>
      <w:pPr>
        <w:pStyle w:val="2"/>
        <w:jc w:val="center"/>
        <w:rPr>
          <w:rStyle w:val="25"/>
          <w:rFonts w:hint="eastAsia" w:ascii="黑体" w:hAnsi="黑体" w:eastAsia="黑体" w:cs="黑体"/>
          <w:b/>
          <w:bCs w:val="0"/>
          <w:sz w:val="44"/>
          <w:szCs w:val="44"/>
        </w:rPr>
      </w:pPr>
      <w:bookmarkStart w:id="14" w:name="_Toc79163601"/>
      <w:bookmarkStart w:id="15" w:name="_Toc79163851"/>
      <w:r>
        <w:rPr>
          <w:rFonts w:hint="eastAsia" w:ascii="黑体" w:hAnsi="黑体" w:eastAsia="黑体" w:cs="黑体"/>
          <w:b w:val="0"/>
          <w:sz w:val="44"/>
          <w:szCs w:val="44"/>
        </w:rPr>
        <w:t xml:space="preserve">第一部分 </w:t>
      </w:r>
      <w:r>
        <w:rPr>
          <w:rStyle w:val="25"/>
          <w:rFonts w:hint="eastAsia" w:ascii="黑体" w:hAnsi="黑体" w:eastAsia="黑体" w:cs="黑体"/>
          <w:b w:val="0"/>
          <w:bCs w:val="0"/>
          <w:sz w:val="44"/>
          <w:szCs w:val="44"/>
        </w:rPr>
        <w:t>部门概况</w:t>
      </w:r>
      <w:bookmarkEnd w:id="12"/>
      <w:bookmarkEnd w:id="13"/>
      <w:bookmarkEnd w:id="14"/>
      <w:bookmarkEnd w:id="15"/>
    </w:p>
    <w:p>
      <w:pPr>
        <w:widowControl/>
        <w:jc w:val="left"/>
        <w:rPr>
          <w:rFonts w:hint="eastAsia" w:ascii="仿宋" w:hAnsi="仿宋" w:eastAsia="仿宋" w:cs="仿宋"/>
          <w:color w:val="000000"/>
          <w:sz w:val="32"/>
          <w:szCs w:val="32"/>
        </w:rPr>
      </w:pPr>
    </w:p>
    <w:p>
      <w:pPr>
        <w:pStyle w:val="3"/>
        <w:rPr>
          <w:rStyle w:val="26"/>
          <w:rFonts w:hint="eastAsia" w:ascii="仿宋" w:hAnsi="仿宋" w:eastAsia="仿宋" w:cs="仿宋"/>
          <w:b w:val="0"/>
          <w:bCs w:val="0"/>
          <w:sz w:val="32"/>
          <w:szCs w:val="32"/>
        </w:rPr>
      </w:pPr>
      <w:bookmarkStart w:id="16" w:name="_Toc15396600"/>
      <w:bookmarkStart w:id="17" w:name="_Toc15377197"/>
      <w:bookmarkStart w:id="18" w:name="_Toc79163852"/>
      <w:bookmarkStart w:id="19" w:name="_Toc79163602"/>
      <w:r>
        <w:rPr>
          <w:rFonts w:hint="eastAsia" w:ascii="仿宋" w:hAnsi="仿宋" w:eastAsia="仿宋" w:cs="仿宋"/>
          <w:b w:val="0"/>
          <w:color w:val="000000"/>
          <w:sz w:val="32"/>
          <w:szCs w:val="32"/>
        </w:rPr>
        <w:t>一、基</w:t>
      </w:r>
      <w:r>
        <w:rPr>
          <w:rStyle w:val="26"/>
          <w:rFonts w:hint="eastAsia" w:ascii="仿宋" w:hAnsi="仿宋" w:eastAsia="仿宋" w:cs="仿宋"/>
          <w:b w:val="0"/>
          <w:bCs w:val="0"/>
          <w:sz w:val="32"/>
          <w:szCs w:val="32"/>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hint="eastAsia" w:ascii="仿宋" w:hAnsi="仿宋" w:eastAsia="仿宋" w:cs="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cs="仿宋"/>
          <w:bCs/>
          <w:color w:val="000000"/>
          <w:sz w:val="32"/>
          <w:szCs w:val="32"/>
        </w:rPr>
        <w:t>（一）主要职能。</w:t>
      </w:r>
      <w:bookmarkEnd w:id="20"/>
      <w:bookmarkEnd w:id="21"/>
    </w:p>
    <w:bookmarkEnd w:id="22"/>
    <w:bookmarkEnd w:id="23"/>
    <w:p>
      <w:pPr>
        <w:pStyle w:val="6"/>
        <w:adjustRightInd w:val="0"/>
        <w:snapToGrid w:val="0"/>
        <w:spacing w:before="72" w:line="600" w:lineRule="exact"/>
        <w:ind w:firstLine="672" w:firstLineChars="210"/>
        <w:rPr>
          <w:rFonts w:hint="eastAsia" w:ascii="仿宋" w:hAnsi="仿宋" w:eastAsia="仿宋" w:cs="仿宋"/>
          <w:color w:val="000000"/>
          <w:sz w:val="32"/>
          <w:szCs w:val="32"/>
        </w:rPr>
      </w:pPr>
      <w:bookmarkStart w:id="24" w:name="_Toc79163854"/>
      <w:bookmarkStart w:id="25" w:name="_Toc15377199"/>
      <w:bookmarkStart w:id="26" w:name="_Toc15378446"/>
      <w:bookmarkStart w:id="27" w:name="_Toc79163604"/>
      <w:r>
        <w:rPr>
          <w:rFonts w:hint="eastAsia" w:ascii="仿宋" w:hAnsi="仿宋" w:eastAsia="仿宋" w:cs="仿宋"/>
          <w:color w:val="000000"/>
          <w:sz w:val="32"/>
          <w:szCs w:val="32"/>
        </w:rPr>
        <w:t>根据县委编委会的会议纪要和县教育局三定方案，我局内设3个行政职能股室和9个事业股室。</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办公室    综合协调机关重要政务、事务，负责各类文件的运转和管理工作；负责局党委会、局长碰头会、局长办公会、股长（主任）会和机关干部会等重要会议的组织安排并督办；负责机关档案管理，指导中小学图书室、文书档案室建设与管理；负责教育宣传、文秘工作；组织办理人大代表建议、政协委员提案和编写教育体育年鉴；负责机关干职工计划生育、报刊发行、图书征订工作；负责后勤服务工作；管理机关财产、财务；负责机关住房管理、办公和生活用品的供应及机关住房水电维修、卫生和绿化美化工作；负责机关车辆的调度、管理及文印工作；负责对外接待联络工作。</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计财基建规划股    制订全县教育体育经费管理有关规章制度及全县教育事业中长期发展规划，执行中小学收费政策；审批县直学校和各中心校的基本建设规划和预决算，并检查执行情况；指导全县各学校编制各学校和本级教育局经费的年度预决算；检查监控教育系统经费的筹集使用情况；负责全县中小学布局调整和校园建设规划；负责中小学危房改造、校安工程、校舍维修和教师周转房建设；监管教育育系统国有资产；负责本系统会计基础工作的规范化建设，负责教育债务审计化解工作。</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人事股    负责中小学校机构编制管理；指导、实施中小学教育人事制度改革；负责中小学教职工的招聘录用、考核奖惩、职务评聘、调配交流、劳资福利和档案管理；负责中小学校长的选拔、任用、培养、培训和考核考察，负责大中专毕业生就业管理、指导与服务；负责事业单位登记管理。</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以下为9个事业股室</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教育股  负责中等职业学校和普通高中的国家助学金的核实、审批、发放工作以及中等职业学校家庭经济困难学生和涉农专业学生免学费工作；负责大学生生源地信用助学贷款审核、报批工作；接受社会各界对学生的资助。</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教师进修校  负责全县教师师德教育；负责全县教师继续教育规划的制定、实施；负责全县教师学历培训；负责教师资格的考核、审查、认定、发证工作；负责全县骨干教师的培训和管理；负责县委、县政府“名师工程”“师德标兵工程”的实施工作；负责对县成人教育中心的业务指导工作。</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大中专招生办公室  负责三大国考和全国英语等级考试报考、信息采集及组考、建档工作；负责招生工作；负责普通高校招生、高教自考毕业和全国英语等级考试合格证的办证。</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成人与职工教育股  负责职业教育与成人教育管理；负责制定职成教育事业发展规划；负责农村教育综合改革和农科教统筹，负责职校招生和毕业生跟踪调查、扶持；负责农民工、职工培训和劳动力转移培训；负责公、民办职业学校教学业务管理。</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勤工俭学管理股  负责全县中小学校勤工俭学管理工作；负责全县校办企业的管理与协调工作；负责全县校方责任险投保与管理工作；负责全县中小学校劳动实践场所建设与管理工作。 </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教义电教站  负责全县教育技术事业发展规划和青少年科技教育规划的制定、实施和目标管理评价；负责全县教育技术装备、管理、运用、研究、指导工作；负责实验教学、信息技术教育、电化教育和农村现代远程教育的管理、指导、评价等工作。</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教研室 负责管理全县基础教育工作（幼儿教育、特殊教育、小学、初中、普通高中教育），负责全县教育教学研究工作，负责组织、协调、指导基础教育的教育教学研究和改革工作；负责中小学教材及相关配套用书的审订工作；负责基础教育质量检测和评价工作；负责组织实施中小学学业水平考试及学校的学籍管理工作；负责指导全县中小学的艺术教育、国防教育等工作；负责中小学的德育工作和学校少先队、共青团工作；负责普通高中及城区中小学招生管理工作；负责教育学会日常工作。</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安全股  负责全市教育系统各项安全稳定工作，制定各项工作计划、规章制度、工作方案、预案；组织开展学校安全工作大检查，指导学校开展师生安全教育，指导各校加强安全管理，指导各校及时整治各类安全隐患，指导学校法制副校长开展治安、禁毒等法制教育活动，指导学校开展“反邪教”教育活动；密切关注学校安全稳定工作态势，指导、处理校园安全事故及矛盾纠纷；协调各学校与公安、司法、法院、消防、交通、安监、技监、城管、信访等职能部门的关系；负责“安全文明校园”的创建，加强安全教育，狠抓安全管理，营造安全氛围，增强安全意识，确保师生平安，维护教育大局稳定。</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德育股   负责指导全县学校开展德育工作和精神文明建设工作；指导全县学校加强德育工作队伍建设和师德师风建设；负责学生的思想道德教育工作；负责全县乡村学校少年宫工作；开展各种德育评优活动，做好先进班集体、三好学生、优秀学生干部等推荐、审核工作；加强德育工作网络建设，是学校、家庭、社会教育紧密结合；负责指导全县学校校园文化建设工作；协助有关部门做好全县各级各类学校共青团、少先队工作。</w:t>
      </w:r>
    </w:p>
    <w:p>
      <w:pPr>
        <w:rPr>
          <w:rFonts w:hint="eastAsia" w:ascii="仿宋" w:hAnsi="仿宋" w:eastAsia="仿宋" w:cs="仿宋"/>
          <w:color w:val="000000"/>
          <w:sz w:val="32"/>
          <w:szCs w:val="32"/>
        </w:rPr>
      </w:pPr>
      <w:r>
        <w:rPr>
          <w:rFonts w:hint="eastAsia" w:ascii="仿宋" w:hAnsi="仿宋" w:eastAsia="仿宋" w:cs="仿宋"/>
          <w:color w:val="000000"/>
          <w:sz w:val="32"/>
          <w:szCs w:val="32"/>
        </w:rPr>
        <w:t>（二）20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年重点工作完成情况。</w:t>
      </w:r>
    </w:p>
    <w:p>
      <w:pPr>
        <w:spacing w:line="560" w:lineRule="exact"/>
        <w:rPr>
          <w:rFonts w:ascii="黑体" w:hAnsi="黑体" w:eastAsia="黑体"/>
          <w:sz w:val="32"/>
          <w:szCs w:val="32"/>
        </w:rPr>
      </w:pPr>
      <w:r>
        <w:rPr>
          <w:rFonts w:hint="eastAsia" w:ascii="楷体" w:hAnsi="楷体" w:eastAsia="楷体"/>
          <w:b/>
          <w:sz w:val="32"/>
          <w:szCs w:val="32"/>
        </w:rPr>
        <w:t xml:space="preserve">  </w:t>
      </w:r>
      <w:r>
        <w:rPr>
          <w:rFonts w:hint="eastAsia" w:ascii="楷体" w:hAnsi="楷体" w:eastAsia="楷体"/>
          <w:b/>
          <w:sz w:val="32"/>
          <w:szCs w:val="32"/>
          <w:lang w:val="en-US" w:eastAsia="zh-CN"/>
        </w:rPr>
        <w:t xml:space="preserve">   </w:t>
      </w:r>
      <w:r>
        <w:rPr>
          <w:rFonts w:hint="eastAsia" w:ascii="黑体" w:hAnsi="黑体" w:eastAsia="黑体"/>
          <w:sz w:val="32"/>
          <w:szCs w:val="32"/>
        </w:rPr>
        <w:t>一、教育基本情况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全县现有幼儿园共46所，（其中：城关幼儿园1所，乡镇中心幼儿园5所，乡镇中心校附设学前班5所，村级幼儿园35所），在园幼儿2135人。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有小学11所，在校小学学生5916人；九年一贯制学校2所，在校初中学生2046人；随着普通高中的综合改革，我县积极推进高中教育，我县现有高完中1所，在校高中学生163人。学前三年毛入园率79.15%、义务教育阶段入学率97.96%，高中阶段教育毛入学率65.28%，义务教育巩固率98.85%。教职工604人，其中专任教师548人。</w:t>
      </w:r>
    </w:p>
    <w:p>
      <w:pPr>
        <w:pBdr>
          <w:bottom w:val="single" w:color="FFFFFF" w:sz="4" w:space="31"/>
        </w:pBdr>
        <w:shd w:val="clear" w:color="auto" w:fill="FFFFFF"/>
        <w:tabs>
          <w:tab w:val="left" w:pos="1440"/>
        </w:tabs>
        <w:snapToGrid w:val="0"/>
        <w:spacing w:line="560" w:lineRule="exact"/>
        <w:rPr>
          <w:rFonts w:hint="eastAsia" w:ascii="仿宋" w:hAnsi="仿宋" w:eastAsia="仿宋" w:cs="仿宋"/>
          <w:color w:val="000000"/>
          <w:sz w:val="32"/>
          <w:szCs w:val="32"/>
        </w:rPr>
      </w:pPr>
      <w:r>
        <w:rPr>
          <w:rFonts w:hint="eastAsia" w:ascii="仿宋_GB2312" w:hAnsi="黑体" w:eastAsia="仿宋_GB2312"/>
          <w:b/>
          <w:color w:val="000000"/>
          <w:sz w:val="32"/>
          <w:szCs w:val="32"/>
        </w:rPr>
        <w:t xml:space="preserve"> </w:t>
      </w:r>
      <w:r>
        <w:rPr>
          <w:rFonts w:hint="eastAsia" w:ascii="仿宋_GB2312" w:hAnsi="黑体" w:eastAsia="仿宋_GB2312"/>
          <w:b/>
          <w:color w:val="000000"/>
          <w:sz w:val="32"/>
          <w:szCs w:val="32"/>
          <w:lang w:val="en-US" w:eastAsia="zh-CN"/>
        </w:rPr>
        <w:t xml:space="preserve">   </w:t>
      </w:r>
      <w:r>
        <w:rPr>
          <w:rFonts w:hint="eastAsia" w:ascii="黑体" w:hAnsi="黑体" w:eastAsia="黑体"/>
          <w:sz w:val="32"/>
          <w:szCs w:val="32"/>
          <w:lang w:eastAsia="zh-CN"/>
        </w:rPr>
        <w:t>二</w:t>
      </w:r>
      <w:r>
        <w:rPr>
          <w:rFonts w:hint="eastAsia" w:ascii="黑体" w:hAnsi="黑体" w:eastAsia="黑体"/>
          <w:sz w:val="32"/>
          <w:szCs w:val="32"/>
        </w:rPr>
        <w:t>、</w:t>
      </w:r>
      <w:r>
        <w:rPr>
          <w:rFonts w:hint="eastAsia" w:ascii="黑体" w:hAnsi="黑体" w:eastAsia="黑体"/>
          <w:sz w:val="32"/>
          <w:szCs w:val="32"/>
          <w:lang w:eastAsia="zh-CN"/>
        </w:rPr>
        <w:t>工作情况及成效</w:t>
      </w:r>
    </w:p>
    <w:p>
      <w:pPr>
        <w:pBdr>
          <w:bottom w:val="single" w:color="FFFFFF" w:sz="4" w:space="31"/>
        </w:pBdr>
        <w:shd w:val="clear" w:color="auto" w:fill="FFFFFF"/>
        <w:tabs>
          <w:tab w:val="left" w:pos="1440"/>
        </w:tabs>
        <w:snapToGrid w:val="0"/>
        <w:spacing w:line="560" w:lineRule="exact"/>
        <w:rPr>
          <w:rFonts w:ascii="华文楷体" w:hAnsi="华文楷体" w:eastAsia="华文楷体"/>
          <w:b/>
          <w:color w:val="000000"/>
          <w:sz w:val="32"/>
          <w:szCs w:val="32"/>
          <w:shd w:val="clear" w:color="auto" w:fill="FFFFFF"/>
        </w:rPr>
      </w:pPr>
      <w:r>
        <w:rPr>
          <w:rFonts w:hint="eastAsia" w:ascii="仿宋_GB2312" w:hAnsi="黑体" w:eastAsia="仿宋_GB2312"/>
          <w:b/>
          <w:color w:val="000000"/>
          <w:sz w:val="32"/>
          <w:szCs w:val="32"/>
        </w:rPr>
        <w:t xml:space="preserve"> </w:t>
      </w:r>
      <w:r>
        <w:rPr>
          <w:rFonts w:hint="eastAsia" w:ascii="仿宋_GB2312" w:hAnsi="黑体" w:eastAsia="仿宋_GB2312"/>
          <w:b/>
          <w:color w:val="000000"/>
          <w:sz w:val="32"/>
          <w:szCs w:val="32"/>
          <w:lang w:val="en-US" w:eastAsia="zh-CN"/>
        </w:rPr>
        <w:t xml:space="preserve">   </w:t>
      </w:r>
      <w:r>
        <w:rPr>
          <w:rStyle w:val="41"/>
          <w:rFonts w:hint="eastAsia" w:ascii="华文楷体" w:hAnsi="华文楷体" w:eastAsia="华文楷体"/>
          <w:b/>
          <w:color w:val="000000"/>
          <w:sz w:val="32"/>
          <w:szCs w:val="32"/>
          <w:shd w:val="clear" w:color="auto" w:fill="FFFFFF"/>
        </w:rPr>
        <w:t>一是提升基础教育教学质量。</w:t>
      </w:r>
      <w:r>
        <w:rPr>
          <w:rFonts w:hint="eastAsia" w:ascii="仿宋_GB2312" w:hAnsi="仿宋_GB2312" w:eastAsia="仿宋_GB2312" w:cs="仿宋_GB2312"/>
          <w:color w:val="000000"/>
          <w:kern w:val="0"/>
          <w:sz w:val="32"/>
          <w:szCs w:val="32"/>
        </w:rPr>
        <w:t>提升双语教育教学水平，推进统编教材和通用语言文字使用。</w:t>
      </w:r>
      <w:r>
        <w:rPr>
          <w:rFonts w:hint="eastAsia" w:ascii="仿宋_GB2312" w:eastAsia="仿宋_GB2312"/>
          <w:color w:val="000000"/>
          <w:sz w:val="32"/>
          <w:szCs w:val="32"/>
        </w:rPr>
        <w:t>深化教育教学改革。强化教学“六认真”，充分发挥课堂主阵地作用，提高教学质量。</w:t>
      </w:r>
      <w:r>
        <w:rPr>
          <w:rFonts w:hint="eastAsia" w:ascii="仿宋_GB2312" w:eastAsia="仿宋_GB2312"/>
          <w:sz w:val="32"/>
          <w:szCs w:val="32"/>
        </w:rPr>
        <w:t>各学校对标一流，奋力赶超，使今年中高考再创佳绩。中考一类模式最高分753分、二类模式最高分:秋丹甲:772分，平均分突破580分。壤塘县90%高中生升入大学继续深造。县城关小学毕业班成绩检测位于阿坝州所有学校140个班级的语文、数学双第一。</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Style w:val="41"/>
          <w:rFonts w:hint="eastAsia" w:ascii="华文楷体" w:hAnsi="华文楷体" w:eastAsia="华文楷体"/>
          <w:b/>
          <w:color w:val="000000"/>
          <w:sz w:val="32"/>
          <w:szCs w:val="32"/>
          <w:shd w:val="clear" w:color="auto" w:fill="FFFFFF"/>
        </w:rPr>
        <w:t>二是扩大普惠学前教育。</w:t>
      </w:r>
      <w:r>
        <w:rPr>
          <w:rFonts w:hint="eastAsia" w:ascii="仿宋_GB2312" w:eastAsia="仿宋_GB2312"/>
          <w:color w:val="000000"/>
          <w:sz w:val="32"/>
          <w:szCs w:val="32"/>
        </w:rPr>
        <w:t>多渠道扩大普惠性学前教育优质资源，新建幼儿园7所，今年秋季各级幼儿园已达52所。进一步提高普及普惠程度，提升保教质量。</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Fonts w:hint="eastAsia" w:ascii="华文楷体" w:hAnsi="华文楷体" w:eastAsia="华文楷体"/>
          <w:b/>
          <w:color w:val="000000"/>
          <w:sz w:val="32"/>
          <w:szCs w:val="32"/>
        </w:rPr>
        <w:t>三是</w:t>
      </w:r>
      <w:r>
        <w:rPr>
          <w:rStyle w:val="41"/>
          <w:rFonts w:hint="eastAsia" w:ascii="华文楷体" w:hAnsi="华文楷体" w:eastAsia="华文楷体"/>
          <w:b/>
          <w:color w:val="000000"/>
          <w:sz w:val="32"/>
          <w:szCs w:val="32"/>
          <w:shd w:val="clear" w:color="auto" w:fill="FFFFFF"/>
        </w:rPr>
        <w:t>确保控辍保学工作取得明显成效。</w:t>
      </w:r>
      <w:r>
        <w:rPr>
          <w:rFonts w:hint="eastAsia" w:ascii="仿宋_GB2312" w:eastAsia="仿宋_GB2312"/>
          <w:color w:val="000000"/>
          <w:sz w:val="32"/>
          <w:szCs w:val="32"/>
        </w:rPr>
        <w:t>学校布局明显优化，优质教育资源覆盖面进一步扩大。进一步完善控辍保学实施方案，确保不让建档立卡贫困户适龄子女失学辍学，九年义务教育巩固率达到95%以上。</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Fonts w:hint="eastAsia" w:ascii="华文楷体" w:hAnsi="华文楷体" w:eastAsia="华文楷体"/>
          <w:b/>
          <w:color w:val="000000"/>
          <w:sz w:val="32"/>
          <w:szCs w:val="32"/>
        </w:rPr>
        <w:t>四是</w:t>
      </w:r>
      <w:r>
        <w:rPr>
          <w:rStyle w:val="41"/>
          <w:rFonts w:hint="eastAsia" w:ascii="华文楷体" w:hAnsi="华文楷体" w:eastAsia="华文楷体"/>
          <w:b/>
          <w:color w:val="000000"/>
          <w:sz w:val="32"/>
          <w:szCs w:val="32"/>
          <w:shd w:val="clear" w:color="auto" w:fill="FFFFFF"/>
        </w:rPr>
        <w:t>进一步提升特殊教育发展水平。</w:t>
      </w:r>
      <w:r>
        <w:rPr>
          <w:rFonts w:hint="eastAsia" w:ascii="仿宋_GB2312" w:eastAsia="仿宋_GB2312"/>
          <w:color w:val="000000"/>
          <w:sz w:val="32"/>
          <w:szCs w:val="32"/>
        </w:rPr>
        <w:t>进一步提升残疾儿童少年义务教育普及水平，完善特殊教育管理工作措施，提升特殊教育教学质量。</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Fonts w:hint="eastAsia" w:ascii="华文楷体" w:hAnsi="华文楷体" w:eastAsia="华文楷体"/>
          <w:b/>
          <w:color w:val="000000"/>
          <w:sz w:val="32"/>
          <w:szCs w:val="32"/>
        </w:rPr>
        <w:t>五是</w:t>
      </w:r>
      <w:r>
        <w:rPr>
          <w:rStyle w:val="41"/>
          <w:rFonts w:hint="eastAsia" w:ascii="华文楷体" w:hAnsi="华文楷体" w:eastAsia="华文楷体"/>
          <w:b/>
          <w:color w:val="000000"/>
          <w:sz w:val="32"/>
          <w:szCs w:val="32"/>
          <w:shd w:val="clear" w:color="auto" w:fill="FFFFFF"/>
        </w:rPr>
        <w:t>提高高中阶段教育水平。</w:t>
      </w:r>
      <w:r>
        <w:rPr>
          <w:rStyle w:val="41"/>
          <w:rFonts w:hint="eastAsia" w:ascii="仿宋_GB2312" w:hAnsi="华文楷体" w:eastAsia="仿宋_GB2312"/>
          <w:color w:val="000000"/>
          <w:sz w:val="32"/>
          <w:szCs w:val="32"/>
          <w:shd w:val="clear" w:color="auto" w:fill="FFFFFF"/>
        </w:rPr>
        <w:t>稳妥推进高中教学改革，</w:t>
      </w:r>
      <w:r>
        <w:rPr>
          <w:rFonts w:hint="eastAsia" w:ascii="仿宋_GB2312" w:eastAsia="仿宋_GB2312"/>
          <w:color w:val="000000"/>
          <w:sz w:val="32"/>
          <w:szCs w:val="32"/>
        </w:rPr>
        <w:t>认真研究高中阶段教育工作，推动普通高中多样化特色化发展。深化高中育人方式和模式改革，切实提高高中教育质量。</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Style w:val="41"/>
          <w:rFonts w:hint="eastAsia" w:ascii="华文楷体" w:hAnsi="华文楷体" w:eastAsia="华文楷体"/>
          <w:b/>
          <w:color w:val="000000"/>
          <w:sz w:val="32"/>
          <w:szCs w:val="32"/>
          <w:shd w:val="clear" w:color="auto" w:fill="FFFFFF"/>
        </w:rPr>
        <w:t>六是建立促进学生身心健康发展长效机制。</w:t>
      </w:r>
      <w:r>
        <w:rPr>
          <w:rFonts w:hint="eastAsia" w:ascii="仿宋_GB2312" w:eastAsia="仿宋_GB2312"/>
          <w:bCs/>
          <w:color w:val="000000"/>
          <w:sz w:val="32"/>
          <w:szCs w:val="32"/>
        </w:rPr>
        <w:t>整体推进学校体育美育工作，推进体育美育教学改革，促进学生身心健康、体魄强健，提升学生审美和人文素养。完善学校卫生与健康教育工作制度，大力推进综合防控“新冠疫情”等传染病以及儿童青少年近视，培养学生良好的卫生行为习惯。</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Style w:val="41"/>
          <w:rFonts w:hint="eastAsia" w:ascii="华文楷体" w:hAnsi="华文楷体" w:eastAsia="华文楷体"/>
          <w:b/>
          <w:color w:val="000000"/>
          <w:sz w:val="32"/>
          <w:szCs w:val="32"/>
          <w:shd w:val="clear" w:color="auto" w:fill="FFFFFF"/>
        </w:rPr>
        <w:t>七是继续深化名誉校（园）长制。</w:t>
      </w:r>
      <w:r>
        <w:rPr>
          <w:rFonts w:hint="eastAsia" w:ascii="仿宋_GB2312" w:eastAsia="仿宋_GB2312"/>
          <w:color w:val="000000"/>
          <w:sz w:val="32"/>
          <w:szCs w:val="32"/>
        </w:rPr>
        <w:t>优化细化实化名誉校（园）长“九个一”工程，确保名誉校（园）长为学校师生做更多的摸得着、看得见的实事，已初步形成尊师重教优质的壤塘氛围，为壤塘教育快速发展提供更充分的组织保障。</w:t>
      </w:r>
    </w:p>
    <w:p>
      <w:pPr>
        <w:pBdr>
          <w:bottom w:val="single" w:color="FFFFFF" w:sz="4" w:space="31"/>
        </w:pBdr>
        <w:shd w:val="clear" w:color="auto" w:fill="FFFFFF"/>
        <w:tabs>
          <w:tab w:val="left" w:pos="1440"/>
        </w:tabs>
        <w:snapToGrid w:val="0"/>
        <w:spacing w:line="560" w:lineRule="exact"/>
        <w:ind w:firstLine="640"/>
        <w:rPr>
          <w:rFonts w:ascii="华文楷体" w:hAnsi="华文楷体" w:eastAsia="华文楷体"/>
          <w:b/>
          <w:color w:val="000000"/>
          <w:sz w:val="32"/>
          <w:szCs w:val="32"/>
          <w:shd w:val="clear" w:color="auto" w:fill="FFFFFF"/>
        </w:rPr>
      </w:pPr>
      <w:r>
        <w:rPr>
          <w:rStyle w:val="41"/>
          <w:rFonts w:hint="eastAsia" w:ascii="华文楷体" w:hAnsi="华文楷体" w:eastAsia="华文楷体"/>
          <w:b/>
          <w:color w:val="000000"/>
          <w:sz w:val="32"/>
          <w:szCs w:val="32"/>
          <w:shd w:val="clear" w:color="auto" w:fill="FFFFFF"/>
        </w:rPr>
        <w:t>八是巩固好教育扶贫成果。</w:t>
      </w:r>
      <w:r>
        <w:rPr>
          <w:rFonts w:hint="eastAsia" w:ascii="仿宋_GB2312" w:eastAsia="仿宋_GB2312"/>
          <w:color w:val="000000"/>
          <w:kern w:val="0"/>
          <w:sz w:val="32"/>
          <w:szCs w:val="32"/>
        </w:rPr>
        <w:t>解决教育保障的突出问题，补短板、兜底线，切实阻断贫困代际传递，特别是狠抓“控辍保学”，巩固好教育扶贫成果。顺利接受脱贫攻坚省级考核，圆满完成目标任务。</w:t>
      </w:r>
    </w:p>
    <w:p>
      <w:pPr>
        <w:pBdr>
          <w:bottom w:val="single" w:color="FFFFFF" w:sz="4" w:space="31"/>
        </w:pBdr>
        <w:shd w:val="clear" w:color="auto" w:fill="FFFFFF"/>
        <w:tabs>
          <w:tab w:val="left" w:pos="1440"/>
        </w:tabs>
        <w:snapToGrid w:val="0"/>
        <w:spacing w:line="560" w:lineRule="exact"/>
        <w:ind w:firstLine="640"/>
        <w:rPr>
          <w:rFonts w:ascii="仿宋_GB2312" w:eastAsia="仿宋_GB2312"/>
          <w:bCs/>
          <w:color w:val="000000"/>
          <w:sz w:val="32"/>
          <w:szCs w:val="32"/>
        </w:rPr>
      </w:pPr>
      <w:r>
        <w:rPr>
          <w:rFonts w:hint="eastAsia" w:ascii="华文楷体" w:hAnsi="华文楷体" w:eastAsia="华文楷体"/>
          <w:b/>
          <w:color w:val="000000"/>
          <w:sz w:val="32"/>
          <w:szCs w:val="32"/>
        </w:rPr>
        <w:t>九是</w:t>
      </w:r>
      <w:r>
        <w:rPr>
          <w:rStyle w:val="41"/>
          <w:rFonts w:hint="eastAsia" w:ascii="华文楷体" w:hAnsi="华文楷体" w:eastAsia="华文楷体"/>
          <w:b/>
          <w:color w:val="000000"/>
          <w:sz w:val="32"/>
          <w:szCs w:val="32"/>
          <w:shd w:val="clear" w:color="auto" w:fill="FFFFFF"/>
        </w:rPr>
        <w:t>积极推广国家通用语言文字。</w:t>
      </w:r>
      <w:r>
        <w:rPr>
          <w:rFonts w:hint="eastAsia" w:ascii="仿宋_GB2312" w:eastAsia="仿宋_GB2312"/>
          <w:bCs/>
          <w:color w:val="000000"/>
          <w:sz w:val="32"/>
          <w:szCs w:val="32"/>
        </w:rPr>
        <w:t>大力推进国家通用语言文字普及推广，持续开展培训交流活动，通用语言文字工作于10月顺利通过省级、州级验收。</w:t>
      </w:r>
    </w:p>
    <w:p>
      <w:pPr>
        <w:pBdr>
          <w:bottom w:val="single" w:color="FFFFFF" w:sz="4" w:space="31"/>
        </w:pBdr>
        <w:shd w:val="clear" w:color="auto" w:fill="FFFFFF"/>
        <w:tabs>
          <w:tab w:val="left" w:pos="1440"/>
        </w:tabs>
        <w:snapToGrid w:val="0"/>
        <w:spacing w:line="560" w:lineRule="exact"/>
        <w:ind w:firstLine="641"/>
        <w:rPr>
          <w:rFonts w:hint="eastAsia" w:ascii="仿宋_GB2312" w:hAnsi="Times New Roman" w:eastAsia="仿宋_GB2312"/>
          <w:color w:val="000000"/>
          <w:sz w:val="32"/>
          <w:szCs w:val="32"/>
        </w:rPr>
      </w:pPr>
      <w:r>
        <w:rPr>
          <w:rFonts w:hint="eastAsia" w:ascii="华文楷体" w:hAnsi="华文楷体" w:eastAsia="华文楷体"/>
          <w:b/>
          <w:color w:val="000000"/>
          <w:sz w:val="32"/>
          <w:szCs w:val="32"/>
        </w:rPr>
        <w:t>十是切实加强教师队伍建设</w:t>
      </w:r>
      <w:r>
        <w:rPr>
          <w:rStyle w:val="41"/>
          <w:rFonts w:hint="eastAsia" w:ascii="华文楷体" w:hAnsi="华文楷体" w:eastAsia="华文楷体"/>
          <w:b/>
          <w:color w:val="000000"/>
          <w:sz w:val="32"/>
          <w:szCs w:val="32"/>
          <w:shd w:val="clear" w:color="auto" w:fill="FFFFFF"/>
        </w:rPr>
        <w:t>。</w:t>
      </w:r>
      <w:r>
        <w:rPr>
          <w:rFonts w:hint="eastAsia" w:ascii="仿宋_GB2312" w:eastAsia="仿宋_GB2312"/>
          <w:bCs/>
          <w:color w:val="000000"/>
          <w:sz w:val="32"/>
          <w:szCs w:val="32"/>
        </w:rPr>
        <w:t>深化师德师风建设，全力实施教师培养培训工程，逐步建立一支高素质、专业化、创新型师资队伍。</w:t>
      </w:r>
      <w:r>
        <w:rPr>
          <w:rFonts w:hint="eastAsia" w:ascii="仿宋_GB2312" w:hAnsi="Times New Roman" w:eastAsia="仿宋_GB2312"/>
          <w:color w:val="000000"/>
          <w:sz w:val="32"/>
          <w:szCs w:val="32"/>
        </w:rPr>
        <w:t>强化政府主体责任，继续保障义务教育教师年工资收入水平不低于公务员；</w:t>
      </w:r>
      <w:r>
        <w:rPr>
          <w:rStyle w:val="41"/>
          <w:rFonts w:hint="eastAsia" w:ascii="仿宋_GB2312" w:hAnsi="华文楷体" w:eastAsia="仿宋_GB2312"/>
          <w:color w:val="000000"/>
          <w:sz w:val="32"/>
          <w:szCs w:val="32"/>
          <w:shd w:val="clear" w:color="auto" w:fill="FFFFFF"/>
        </w:rPr>
        <w:t>完善终身教育体系建设，</w:t>
      </w:r>
      <w:r>
        <w:rPr>
          <w:rFonts w:hint="eastAsia" w:ascii="仿宋_GB2312" w:hAnsi="Times New Roman" w:eastAsia="仿宋_GB2312"/>
          <w:color w:val="000000"/>
          <w:sz w:val="32"/>
          <w:szCs w:val="32"/>
        </w:rPr>
        <w:t>努力使教师安心、静心、舒心从教的环境进一步得到改善，教师职业荣誉感进一步增强。</w:t>
      </w:r>
      <w:bookmarkEnd w:id="24"/>
      <w:bookmarkEnd w:id="25"/>
      <w:bookmarkEnd w:id="26"/>
      <w:bookmarkEnd w:id="27"/>
      <w:bookmarkStart w:id="28" w:name="_Toc79163605"/>
      <w:bookmarkStart w:id="29" w:name="_Toc15377200"/>
      <w:bookmarkStart w:id="30" w:name="_Toc15396601"/>
      <w:bookmarkStart w:id="31" w:name="_Toc79163855"/>
    </w:p>
    <w:p>
      <w:pPr>
        <w:numPr>
          <w:ilvl w:val="0"/>
          <w:numId w:val="1"/>
        </w:numPr>
        <w:pBdr>
          <w:bottom w:val="single" w:color="FFFFFF" w:sz="4" w:space="31"/>
        </w:pBdr>
        <w:shd w:val="clear" w:color="auto" w:fill="FFFFFF"/>
        <w:tabs>
          <w:tab w:val="left" w:pos="1440"/>
        </w:tabs>
        <w:snapToGrid w:val="0"/>
        <w:spacing w:line="560" w:lineRule="exact"/>
        <w:ind w:firstLine="641"/>
        <w:rPr>
          <w:rStyle w:val="26"/>
          <w:rFonts w:hint="eastAsia" w:ascii="黑体" w:hAnsi="黑体" w:eastAsia="黑体"/>
          <w:b w:val="0"/>
          <w:bCs w:val="0"/>
        </w:rPr>
      </w:pPr>
      <w:r>
        <w:rPr>
          <w:rStyle w:val="26"/>
          <w:rFonts w:hint="eastAsia" w:ascii="黑体" w:hAnsi="黑体" w:eastAsia="黑体"/>
          <w:b w:val="0"/>
          <w:bCs w:val="0"/>
        </w:rPr>
        <w:t>机构设置</w:t>
      </w:r>
      <w:bookmarkEnd w:id="28"/>
      <w:bookmarkEnd w:id="29"/>
      <w:bookmarkEnd w:id="30"/>
      <w:bookmarkEnd w:id="31"/>
    </w:p>
    <w:p>
      <w:pPr>
        <w:numPr>
          <w:ilvl w:val="0"/>
          <w:numId w:val="0"/>
        </w:numPr>
        <w:pBdr>
          <w:bottom w:val="single" w:color="FFFFFF" w:sz="4" w:space="31"/>
        </w:pBdr>
        <w:shd w:val="clear" w:color="auto" w:fill="FFFFFF"/>
        <w:tabs>
          <w:tab w:val="left" w:pos="1440"/>
        </w:tabs>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教育局</w:t>
      </w:r>
      <w:r>
        <w:rPr>
          <w:rFonts w:hint="eastAsia" w:ascii="仿宋" w:hAnsi="仿宋" w:eastAsia="仿宋" w:cs="仿宋"/>
          <w:sz w:val="32"/>
          <w:szCs w:val="32"/>
        </w:rPr>
        <w:t>下属二级单位</w:t>
      </w:r>
      <w:r>
        <w:rPr>
          <w:rFonts w:hint="eastAsia" w:ascii="仿宋" w:hAnsi="仿宋" w:eastAsia="仿宋" w:cs="仿宋"/>
          <w:sz w:val="32"/>
          <w:szCs w:val="32"/>
          <w:lang w:val="en-US" w:eastAsia="zh-CN"/>
        </w:rPr>
        <w:t>17</w:t>
      </w:r>
      <w:r>
        <w:rPr>
          <w:rFonts w:hint="eastAsia" w:ascii="仿宋" w:hAnsi="仿宋" w:eastAsia="仿宋" w:cs="仿宋"/>
          <w:sz w:val="32"/>
          <w:szCs w:val="32"/>
        </w:rPr>
        <w:t>个，其中行政单位</w:t>
      </w:r>
      <w:r>
        <w:rPr>
          <w:rFonts w:hint="eastAsia" w:ascii="仿宋" w:hAnsi="仿宋" w:eastAsia="仿宋" w:cs="仿宋"/>
          <w:sz w:val="32"/>
          <w:szCs w:val="32"/>
          <w:lang w:val="en-US" w:eastAsia="zh-CN"/>
        </w:rPr>
        <w:t>1</w:t>
      </w:r>
      <w:r>
        <w:rPr>
          <w:rFonts w:hint="eastAsia" w:ascii="仿宋" w:hAnsi="仿宋" w:eastAsia="仿宋" w:cs="仿宋"/>
          <w:sz w:val="32"/>
          <w:szCs w:val="32"/>
        </w:rPr>
        <w:t>个，参照公务员法管理的事业单位</w:t>
      </w:r>
      <w:r>
        <w:rPr>
          <w:rFonts w:hint="eastAsia" w:ascii="仿宋" w:hAnsi="仿宋" w:eastAsia="仿宋" w:cs="仿宋"/>
          <w:bCs/>
          <w:sz w:val="32"/>
          <w:szCs w:val="32"/>
          <w:lang w:val="en-US" w:eastAsia="zh-CN"/>
        </w:rPr>
        <w:t>0</w:t>
      </w:r>
      <w:r>
        <w:rPr>
          <w:rFonts w:hint="eastAsia" w:ascii="仿宋" w:hAnsi="仿宋" w:eastAsia="仿宋" w:cs="仿宋"/>
          <w:sz w:val="32"/>
          <w:szCs w:val="32"/>
        </w:rPr>
        <w:t>个，其他事业单位</w:t>
      </w:r>
      <w:r>
        <w:rPr>
          <w:rFonts w:hint="eastAsia" w:ascii="仿宋" w:hAnsi="仿宋" w:eastAsia="仿宋" w:cs="仿宋"/>
          <w:sz w:val="32"/>
          <w:szCs w:val="32"/>
          <w:lang w:val="en-US" w:eastAsia="zh-CN"/>
        </w:rPr>
        <w:t>17</w:t>
      </w:r>
      <w:r>
        <w:rPr>
          <w:rFonts w:hint="eastAsia" w:ascii="仿宋" w:hAnsi="仿宋" w:eastAsia="仿宋" w:cs="仿宋"/>
          <w:sz w:val="32"/>
          <w:szCs w:val="32"/>
        </w:rPr>
        <w:t>个。</w:t>
      </w:r>
    </w:p>
    <w:p>
      <w:pPr>
        <w:pStyle w:val="2"/>
        <w:ind w:right="440"/>
        <w:jc w:val="center"/>
        <w:rPr>
          <w:rFonts w:hint="eastAsia" w:ascii="黑体" w:hAnsi="黑体" w:eastAsia="黑体" w:cs="黑体"/>
          <w:sz w:val="44"/>
          <w:szCs w:val="44"/>
        </w:rPr>
      </w:pPr>
      <w:bookmarkStart w:id="32" w:name="_Toc79163609"/>
      <w:bookmarkStart w:id="33" w:name="_Toc15377204"/>
      <w:bookmarkStart w:id="34" w:name="_Toc79163859"/>
      <w:bookmarkStart w:id="35" w:name="_Toc15396602"/>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5"/>
          <w:rFonts w:hint="eastAsia" w:ascii="黑体" w:hAnsi="黑体" w:eastAsia="黑体" w:cs="黑体"/>
          <w:b w:val="0"/>
          <w:bCs w:val="0"/>
          <w:sz w:val="44"/>
          <w:szCs w:val="44"/>
        </w:rPr>
        <w:t>2020年度部门决算情况说明</w:t>
      </w:r>
      <w:bookmarkEnd w:id="32"/>
      <w:bookmarkEnd w:id="33"/>
      <w:bookmarkEnd w:id="34"/>
      <w:bookmarkEnd w:id="35"/>
    </w:p>
    <w:p>
      <w:pPr>
        <w:numPr>
          <w:ilvl w:val="0"/>
          <w:numId w:val="1"/>
        </w:numPr>
        <w:pBdr>
          <w:bottom w:val="single" w:color="FFFFFF" w:sz="4" w:space="31"/>
        </w:pBdr>
        <w:shd w:val="clear" w:color="auto" w:fill="FFFFFF"/>
        <w:tabs>
          <w:tab w:val="left" w:pos="1440"/>
        </w:tabs>
        <w:snapToGrid w:val="0"/>
        <w:spacing w:line="560" w:lineRule="exact"/>
        <w:ind w:firstLine="641"/>
        <w:rPr>
          <w:rFonts w:hint="eastAsia" w:ascii="黑体" w:hAnsi="黑体" w:eastAsia="黑体" w:cs="黑体"/>
          <w:color w:val="000000"/>
          <w:sz w:val="32"/>
          <w:szCs w:val="32"/>
        </w:rPr>
      </w:pPr>
      <w:bookmarkStart w:id="36" w:name="_Toc15377205"/>
      <w:bookmarkStart w:id="37" w:name="_Toc79163860"/>
      <w:bookmarkStart w:id="38" w:name="_Toc79163610"/>
      <w:bookmarkStart w:id="39" w:name="_Toc15396603"/>
      <w:r>
        <w:rPr>
          <w:rStyle w:val="26"/>
          <w:rFonts w:hint="eastAsia" w:ascii="黑体" w:hAnsi="黑体" w:eastAsia="黑体" w:cs="黑体"/>
          <w:b w:val="0"/>
          <w:bCs w:val="0"/>
        </w:rPr>
        <w:t>收入支出决算总体情况说明</w:t>
      </w:r>
      <w:bookmarkEnd w:id="36"/>
      <w:bookmarkEnd w:id="37"/>
      <w:bookmarkEnd w:id="38"/>
      <w:bookmarkEnd w:id="39"/>
    </w:p>
    <w:p>
      <w:pPr>
        <w:numPr>
          <w:ilvl w:val="0"/>
          <w:numId w:val="0"/>
        </w:numPr>
        <w:pBdr>
          <w:bottom w:val="single" w:color="FFFFFF" w:sz="4" w:space="31"/>
        </w:pBdr>
        <w:shd w:val="clear" w:color="auto" w:fill="FFFFFF"/>
        <w:tabs>
          <w:tab w:val="left" w:pos="1440"/>
        </w:tabs>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2020年度收</w:t>
      </w:r>
      <w:r>
        <w:rPr>
          <w:rFonts w:hint="eastAsia" w:ascii="仿宋" w:hAnsi="仿宋" w:eastAsia="仿宋" w:cs="仿宋"/>
          <w:color w:val="000000"/>
          <w:sz w:val="32"/>
          <w:szCs w:val="32"/>
          <w:lang w:eastAsia="zh-CN"/>
        </w:rPr>
        <w:t>入</w:t>
      </w:r>
      <w:r>
        <w:rPr>
          <w:rFonts w:hint="eastAsia" w:ascii="仿宋" w:hAnsi="仿宋" w:eastAsia="仿宋" w:cs="仿宋"/>
          <w:color w:val="000000"/>
          <w:sz w:val="32"/>
          <w:szCs w:val="32"/>
        </w:rPr>
        <w:t>总计12,522.38万元、支</w:t>
      </w:r>
      <w:r>
        <w:rPr>
          <w:rFonts w:hint="eastAsia" w:ascii="仿宋" w:hAnsi="仿宋" w:eastAsia="仿宋" w:cs="仿宋"/>
          <w:color w:val="000000"/>
          <w:sz w:val="32"/>
          <w:szCs w:val="32"/>
          <w:lang w:eastAsia="zh-CN"/>
        </w:rPr>
        <w:t>出</w:t>
      </w:r>
      <w:r>
        <w:rPr>
          <w:rFonts w:hint="eastAsia" w:ascii="仿宋" w:hAnsi="仿宋" w:eastAsia="仿宋" w:cs="仿宋"/>
          <w:color w:val="000000"/>
          <w:sz w:val="32"/>
          <w:szCs w:val="32"/>
        </w:rPr>
        <w:t>总计11240.66万元。</w:t>
      </w:r>
      <w:r>
        <w:rPr>
          <w:rFonts w:hint="eastAsia" w:ascii="仿宋" w:hAnsi="仿宋" w:eastAsia="仿宋" w:cs="仿宋"/>
          <w:color w:val="000000"/>
          <w:sz w:val="32"/>
          <w:szCs w:val="32"/>
          <w:lang w:eastAsia="zh-CN"/>
        </w:rPr>
        <w:t>与</w:t>
      </w:r>
      <w:r>
        <w:rPr>
          <w:rFonts w:hint="eastAsia" w:ascii="仿宋" w:hAnsi="仿宋" w:eastAsia="仿宋" w:cs="仿宋"/>
          <w:color w:val="000000"/>
          <w:sz w:val="32"/>
          <w:szCs w:val="32"/>
        </w:rPr>
        <w:t>2019年相比收</w:t>
      </w:r>
      <w:r>
        <w:rPr>
          <w:rFonts w:hint="eastAsia" w:ascii="仿宋" w:hAnsi="仿宋" w:eastAsia="仿宋" w:cs="仿宋"/>
          <w:color w:val="000000"/>
          <w:sz w:val="32"/>
          <w:szCs w:val="32"/>
          <w:lang w:eastAsia="zh-CN"/>
        </w:rPr>
        <w:t>入</w:t>
      </w:r>
      <w:r>
        <w:rPr>
          <w:rFonts w:hint="eastAsia" w:ascii="仿宋" w:hAnsi="仿宋" w:eastAsia="仿宋" w:cs="仿宋"/>
          <w:color w:val="000000"/>
          <w:sz w:val="32"/>
          <w:szCs w:val="32"/>
          <w:lang w:val="en-US" w:eastAsia="zh-CN"/>
        </w:rPr>
        <w:t>增加4975.35万元，增长65.92%</w:t>
      </w:r>
      <w:r>
        <w:rPr>
          <w:rFonts w:hint="eastAsia" w:ascii="仿宋" w:hAnsi="仿宋" w:eastAsia="仿宋" w:cs="仿宋"/>
          <w:color w:val="000000"/>
          <w:sz w:val="32"/>
          <w:szCs w:val="32"/>
        </w:rPr>
        <w:t>、支</w:t>
      </w:r>
      <w:r>
        <w:rPr>
          <w:rFonts w:hint="eastAsia" w:ascii="仿宋" w:hAnsi="仿宋" w:eastAsia="仿宋" w:cs="仿宋"/>
          <w:color w:val="000000"/>
          <w:sz w:val="32"/>
          <w:szCs w:val="32"/>
          <w:lang w:eastAsia="zh-CN"/>
        </w:rPr>
        <w:t>出</w:t>
      </w:r>
      <w:r>
        <w:rPr>
          <w:rFonts w:hint="eastAsia" w:ascii="仿宋" w:hAnsi="仿宋" w:eastAsia="仿宋" w:cs="仿宋"/>
          <w:color w:val="000000"/>
          <w:sz w:val="32"/>
          <w:szCs w:val="32"/>
        </w:rPr>
        <w:t>增加</w:t>
      </w:r>
      <w:r>
        <w:rPr>
          <w:rFonts w:hint="eastAsia" w:ascii="仿宋" w:hAnsi="仿宋" w:eastAsia="仿宋" w:cs="仿宋"/>
          <w:color w:val="000000"/>
          <w:sz w:val="32"/>
          <w:szCs w:val="32"/>
          <w:lang w:val="en-US" w:eastAsia="zh-CN"/>
        </w:rPr>
        <w:t>1921.84万元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20.62</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当年增加上级专项资金。</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drawing>
          <wp:anchor distT="0" distB="0" distL="114300" distR="114300" simplePos="0" relativeHeight="251659264" behindDoc="0" locked="0" layoutInCell="1" allowOverlap="1">
            <wp:simplePos x="0" y="0"/>
            <wp:positionH relativeFrom="column">
              <wp:posOffset>-255270</wp:posOffset>
            </wp:positionH>
            <wp:positionV relativeFrom="paragraph">
              <wp:posOffset>23495</wp:posOffset>
            </wp:positionV>
            <wp:extent cx="5401945" cy="3591560"/>
            <wp:effectExtent l="4445" t="4445" r="22860" b="2349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numPr>
          <w:ilvl w:val="0"/>
          <w:numId w:val="0"/>
        </w:numPr>
        <w:pBdr>
          <w:bottom w:val="single" w:color="FFFFFF" w:sz="4" w:space="31"/>
        </w:pBdr>
        <w:shd w:val="clear" w:color="auto" w:fill="FFFFFF"/>
        <w:tabs>
          <w:tab w:val="left" w:pos="1440"/>
        </w:tabs>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（图1：收、支决算总计变动情况图）（柱状图）</w:t>
      </w:r>
    </w:p>
    <w:p>
      <w:pPr>
        <w:pStyle w:val="36"/>
        <w:numPr>
          <w:ilvl w:val="0"/>
          <w:numId w:val="2"/>
        </w:numPr>
        <w:spacing w:line="600" w:lineRule="exact"/>
        <w:ind w:firstLineChars="0"/>
        <w:outlineLvl w:val="1"/>
        <w:rPr>
          <w:rStyle w:val="26"/>
          <w:rFonts w:hint="eastAsia" w:ascii="黑体" w:hAnsi="黑体" w:eastAsia="黑体" w:cs="黑体"/>
          <w:b w:val="0"/>
          <w:sz w:val="32"/>
          <w:szCs w:val="32"/>
        </w:rPr>
      </w:pPr>
      <w:bookmarkStart w:id="40" w:name="_Toc79163611"/>
      <w:bookmarkStart w:id="41" w:name="_Toc15377206"/>
      <w:bookmarkStart w:id="42" w:name="_Toc15396604"/>
      <w:bookmarkStart w:id="43" w:name="_Toc79163861"/>
      <w:r>
        <w:rPr>
          <w:rFonts w:hint="eastAsia" w:ascii="黑体" w:hAnsi="黑体" w:eastAsia="黑体" w:cs="黑体"/>
          <w:color w:val="000000"/>
          <w:sz w:val="32"/>
          <w:szCs w:val="32"/>
        </w:rPr>
        <w:t>收</w:t>
      </w:r>
      <w:r>
        <w:rPr>
          <w:rStyle w:val="26"/>
          <w:rFonts w:hint="eastAsia" w:ascii="黑体" w:hAnsi="黑体" w:eastAsia="黑体" w:cs="黑体"/>
          <w:b w:val="0"/>
          <w:sz w:val="32"/>
          <w:szCs w:val="32"/>
        </w:rPr>
        <w:t>入决算情况说明</w:t>
      </w:r>
      <w:bookmarkEnd w:id="40"/>
      <w:bookmarkEnd w:id="41"/>
      <w:bookmarkEnd w:id="42"/>
      <w:bookmarkEnd w:id="43"/>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2020年本年收入合计12,522.38万元，其中：一般公共预算财政拨款收入12491.38万元，占</w:t>
      </w:r>
      <w:r>
        <w:rPr>
          <w:rFonts w:hint="eastAsia" w:ascii="仿宋" w:hAnsi="仿宋" w:eastAsia="仿宋" w:cs="仿宋"/>
          <w:color w:val="000000"/>
          <w:sz w:val="32"/>
          <w:szCs w:val="32"/>
          <w:lang w:val="en-US" w:eastAsia="zh-CN"/>
        </w:rPr>
        <w:t>99.75</w:t>
      </w:r>
      <w:r>
        <w:rPr>
          <w:rFonts w:hint="eastAsia" w:ascii="仿宋" w:hAnsi="仿宋" w:eastAsia="仿宋" w:cs="仿宋"/>
          <w:color w:val="000000"/>
          <w:sz w:val="32"/>
          <w:szCs w:val="32"/>
        </w:rPr>
        <w:t>%；政府性基金预算财政拨款收入31万元，占</w:t>
      </w:r>
      <w:r>
        <w:rPr>
          <w:rFonts w:hint="eastAsia" w:ascii="仿宋" w:hAnsi="仿宋" w:eastAsia="仿宋" w:cs="仿宋"/>
          <w:color w:val="000000"/>
          <w:sz w:val="32"/>
          <w:szCs w:val="32"/>
          <w:lang w:val="en-US" w:eastAsia="zh-CN"/>
        </w:rPr>
        <w:t>0.25</w:t>
      </w:r>
      <w:r>
        <w:rPr>
          <w:rFonts w:hint="eastAsia" w:ascii="仿宋" w:hAnsi="仿宋" w:eastAsia="仿宋" w:cs="仿宋"/>
          <w:color w:val="000000"/>
          <w:sz w:val="32"/>
          <w:szCs w:val="32"/>
        </w:rPr>
        <w:t>%；上级补助收入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%；事业收入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%；经营收入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%；附属单位上缴收入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%；其他收入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168910</wp:posOffset>
            </wp:positionH>
            <wp:positionV relativeFrom="paragraph">
              <wp:posOffset>301625</wp:posOffset>
            </wp:positionV>
            <wp:extent cx="4881245" cy="3784600"/>
            <wp:effectExtent l="4445" t="4445" r="10160" b="2095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s="仿宋"/>
          <w:color w:val="FF0000"/>
          <w:sz w:val="32"/>
          <w:szCs w:val="32"/>
        </w:rPr>
      </w:pPr>
      <w:r>
        <w:rPr>
          <w:rFonts w:hint="eastAsia" w:ascii="仿宋" w:hAnsi="仿宋" w:eastAsia="仿宋" w:cs="仿宋"/>
          <w:color w:val="000000"/>
          <w:sz w:val="32"/>
          <w:szCs w:val="32"/>
        </w:rPr>
        <w:t>（图2：收入决算结构图）（饼状图）</w:t>
      </w:r>
    </w:p>
    <w:p>
      <w:pPr>
        <w:pStyle w:val="36"/>
        <w:numPr>
          <w:ilvl w:val="0"/>
          <w:numId w:val="2"/>
        </w:numPr>
        <w:spacing w:line="600" w:lineRule="exact"/>
        <w:ind w:firstLineChars="0"/>
        <w:outlineLvl w:val="1"/>
        <w:rPr>
          <w:rStyle w:val="26"/>
          <w:rFonts w:hint="eastAsia" w:ascii="黑体" w:hAnsi="黑体" w:eastAsia="黑体" w:cs="黑体"/>
          <w:b w:val="0"/>
          <w:sz w:val="32"/>
          <w:szCs w:val="32"/>
        </w:rPr>
      </w:pPr>
      <w:bookmarkStart w:id="44" w:name="_Toc15396605"/>
      <w:bookmarkStart w:id="45" w:name="_Toc15377207"/>
      <w:bookmarkStart w:id="46" w:name="_Toc79163862"/>
      <w:bookmarkStart w:id="47" w:name="_Toc79163612"/>
      <w:r>
        <w:rPr>
          <w:rFonts w:hint="eastAsia" w:ascii="黑体" w:hAnsi="黑体" w:eastAsia="黑体" w:cs="黑体"/>
          <w:color w:val="000000"/>
          <w:sz w:val="32"/>
          <w:szCs w:val="32"/>
        </w:rPr>
        <w:t>支</w:t>
      </w:r>
      <w:r>
        <w:rPr>
          <w:rStyle w:val="26"/>
          <w:rFonts w:hint="eastAsia" w:ascii="黑体" w:hAnsi="黑体" w:eastAsia="黑体" w:cs="黑体"/>
          <w:b w:val="0"/>
          <w:sz w:val="32"/>
          <w:szCs w:val="32"/>
        </w:rPr>
        <w:t>出决算情况说明</w:t>
      </w:r>
      <w:bookmarkEnd w:id="44"/>
      <w:bookmarkEnd w:id="45"/>
      <w:bookmarkEnd w:id="46"/>
      <w:bookmarkEnd w:id="47"/>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2020年本年支出合计11240.65万元，其中：基本支出202.44万元，占</w:t>
      </w:r>
      <w:r>
        <w:rPr>
          <w:rFonts w:hint="eastAsia" w:ascii="仿宋" w:hAnsi="仿宋" w:eastAsia="仿宋" w:cs="仿宋"/>
          <w:sz w:val="32"/>
          <w:szCs w:val="32"/>
          <w:lang w:val="en-US" w:eastAsia="zh-CN"/>
        </w:rPr>
        <w:t>1.8</w:t>
      </w:r>
      <w:r>
        <w:rPr>
          <w:rFonts w:hint="eastAsia" w:ascii="仿宋" w:hAnsi="仿宋" w:eastAsia="仿宋" w:cs="仿宋"/>
          <w:sz w:val="32"/>
          <w:szCs w:val="32"/>
        </w:rPr>
        <w:t>%；项目支出11038.21万元，占</w:t>
      </w:r>
      <w:r>
        <w:rPr>
          <w:rFonts w:hint="eastAsia" w:ascii="仿宋" w:hAnsi="仿宋" w:eastAsia="仿宋" w:cs="仿宋"/>
          <w:sz w:val="32"/>
          <w:szCs w:val="32"/>
          <w:lang w:val="en-US" w:eastAsia="zh-CN"/>
        </w:rPr>
        <w:t>98.2</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FF0000"/>
          <w:sz w:val="32"/>
          <w:szCs w:val="32"/>
          <w:lang w:eastAsia="zh-CN"/>
        </w:rPr>
        <w:drawing>
          <wp:anchor distT="0" distB="0" distL="114300" distR="114300" simplePos="0" relativeHeight="251661312" behindDoc="0" locked="0" layoutInCell="1" allowOverlap="1">
            <wp:simplePos x="0" y="0"/>
            <wp:positionH relativeFrom="column">
              <wp:posOffset>437515</wp:posOffset>
            </wp:positionH>
            <wp:positionV relativeFrom="paragraph">
              <wp:posOffset>223520</wp:posOffset>
            </wp:positionV>
            <wp:extent cx="4932045" cy="3611245"/>
            <wp:effectExtent l="4445" t="4445" r="16510" b="2286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left="1278" w:leftChars="304" w:hanging="640" w:hangingChars="200"/>
        <w:rPr>
          <w:rFonts w:hint="eastAsia" w:ascii="仿宋" w:hAnsi="仿宋" w:eastAsia="仿宋" w:cs="仿宋"/>
          <w:color w:val="FF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图3：支出决算结构图）（饼状图）</w:t>
      </w:r>
    </w:p>
    <w:p>
      <w:pPr>
        <w:spacing w:line="600" w:lineRule="exact"/>
        <w:ind w:firstLine="640" w:firstLineChars="200"/>
        <w:outlineLvl w:val="1"/>
        <w:rPr>
          <w:rStyle w:val="26"/>
          <w:rFonts w:hint="eastAsia" w:ascii="黑体" w:hAnsi="黑体" w:eastAsia="黑体" w:cs="黑体"/>
          <w:b w:val="0"/>
          <w:sz w:val="32"/>
          <w:szCs w:val="32"/>
        </w:rPr>
      </w:pPr>
      <w:bookmarkStart w:id="48" w:name="_Toc15396606"/>
      <w:bookmarkStart w:id="49" w:name="_Toc79163613"/>
      <w:bookmarkStart w:id="50" w:name="_Toc15377208"/>
      <w:bookmarkStart w:id="51" w:name="_Toc79163863"/>
      <w:r>
        <w:rPr>
          <w:rFonts w:hint="eastAsia" w:ascii="黑体" w:hAnsi="黑体" w:eastAsia="黑体" w:cs="黑体"/>
          <w:color w:val="000000"/>
          <w:sz w:val="32"/>
          <w:szCs w:val="32"/>
        </w:rPr>
        <w:t>四、财</w:t>
      </w:r>
      <w:r>
        <w:rPr>
          <w:rStyle w:val="26"/>
          <w:rFonts w:hint="eastAsia" w:ascii="黑体" w:hAnsi="黑体" w:eastAsia="黑体" w:cs="黑体"/>
          <w:b w:val="0"/>
          <w:sz w:val="32"/>
          <w:szCs w:val="32"/>
        </w:rPr>
        <w:t>政拨款收入支出决算总体情况说明</w:t>
      </w:r>
      <w:bookmarkEnd w:id="48"/>
      <w:bookmarkEnd w:id="49"/>
      <w:bookmarkEnd w:id="50"/>
      <w:bookmarkEnd w:id="5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年度</w:t>
      </w:r>
      <w:r>
        <w:rPr>
          <w:rFonts w:hint="eastAsia" w:ascii="仿宋" w:hAnsi="仿宋" w:eastAsia="仿宋" w:cs="仿宋"/>
          <w:color w:val="000000"/>
          <w:sz w:val="32"/>
          <w:szCs w:val="32"/>
          <w:lang w:eastAsia="zh-CN"/>
        </w:rPr>
        <w:t>财政拨款收入</w:t>
      </w:r>
      <w:r>
        <w:rPr>
          <w:rFonts w:hint="eastAsia" w:ascii="仿宋" w:hAnsi="仿宋" w:eastAsia="仿宋" w:cs="仿宋"/>
          <w:color w:val="000000"/>
          <w:sz w:val="32"/>
          <w:szCs w:val="32"/>
          <w:lang w:val="en-US" w:eastAsia="zh-CN"/>
        </w:rPr>
        <w:t>12522.38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与201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eastAsia="zh-CN"/>
        </w:rPr>
        <w:t>入比</w:t>
      </w:r>
      <w:r>
        <w:rPr>
          <w:rFonts w:hint="eastAsia" w:ascii="仿宋" w:hAnsi="仿宋" w:eastAsia="仿宋" w:cs="仿宋"/>
          <w:color w:val="000000"/>
          <w:sz w:val="32"/>
          <w:szCs w:val="32"/>
          <w:lang w:val="en-US" w:eastAsia="zh-CN"/>
        </w:rPr>
        <w:t>2019年</w:t>
      </w:r>
      <w:r>
        <w:rPr>
          <w:rFonts w:hint="eastAsia" w:ascii="仿宋" w:hAnsi="仿宋" w:eastAsia="仿宋" w:cs="仿宋"/>
          <w:color w:val="000000"/>
          <w:sz w:val="32"/>
          <w:szCs w:val="32"/>
          <w:lang w:eastAsia="zh-CN"/>
        </w:rPr>
        <w:t>收入增加</w:t>
      </w:r>
      <w:r>
        <w:rPr>
          <w:rFonts w:hint="eastAsia" w:ascii="仿宋" w:hAnsi="仿宋" w:eastAsia="仿宋" w:cs="仿宋"/>
          <w:color w:val="000000"/>
          <w:sz w:val="32"/>
          <w:szCs w:val="32"/>
          <w:lang w:val="en-US" w:eastAsia="zh-CN"/>
        </w:rPr>
        <w:t>4975.35</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65.92</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年度</w:t>
      </w:r>
      <w:r>
        <w:rPr>
          <w:rFonts w:hint="eastAsia" w:ascii="仿宋" w:hAnsi="仿宋" w:eastAsia="仿宋" w:cs="仿宋"/>
          <w:color w:val="000000"/>
          <w:sz w:val="32"/>
          <w:szCs w:val="32"/>
          <w:lang w:eastAsia="zh-CN"/>
        </w:rPr>
        <w:t>财政拨款支出</w:t>
      </w:r>
      <w:r>
        <w:rPr>
          <w:rFonts w:hint="eastAsia" w:ascii="仿宋" w:hAnsi="仿宋" w:eastAsia="仿宋" w:cs="仿宋"/>
          <w:color w:val="000000"/>
          <w:sz w:val="32"/>
          <w:szCs w:val="32"/>
          <w:lang w:val="en-US" w:eastAsia="zh-CN"/>
        </w:rPr>
        <w:t>11240.66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支出增加</w:t>
      </w:r>
      <w:r>
        <w:rPr>
          <w:rFonts w:hint="eastAsia" w:ascii="仿宋" w:hAnsi="仿宋" w:eastAsia="仿宋" w:cs="仿宋"/>
          <w:color w:val="000000"/>
          <w:sz w:val="32"/>
          <w:szCs w:val="32"/>
          <w:lang w:val="en-US" w:eastAsia="zh-CN"/>
        </w:rPr>
        <w:t>1932.27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20.75</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当年上级专项增加。</w:t>
      </w:r>
    </w:p>
    <w:p>
      <w:pPr>
        <w:spacing w:line="600" w:lineRule="exact"/>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3" w:firstLineChars="200"/>
        <w:rPr>
          <w:rFonts w:hint="eastAsia" w:ascii="仿宋" w:hAnsi="仿宋" w:eastAsia="仿宋" w:cs="仿宋"/>
          <w:b/>
          <w:color w:val="00B050"/>
          <w:sz w:val="32"/>
          <w:szCs w:val="32"/>
        </w:rPr>
      </w:pPr>
    </w:p>
    <w:p>
      <w:pPr>
        <w:spacing w:line="600" w:lineRule="exact"/>
        <w:ind w:firstLine="643" w:firstLineChars="200"/>
        <w:rPr>
          <w:rFonts w:hint="eastAsia" w:ascii="仿宋" w:hAnsi="仿宋" w:eastAsia="仿宋" w:cs="仿宋"/>
          <w:b/>
          <w:color w:val="00B050"/>
          <w:sz w:val="32"/>
          <w:szCs w:val="32"/>
        </w:rPr>
      </w:pPr>
    </w:p>
    <w:p>
      <w:pPr>
        <w:spacing w:line="600" w:lineRule="exact"/>
        <w:rPr>
          <w:rFonts w:hint="eastAsia" w:ascii="仿宋" w:hAnsi="仿宋" w:eastAsia="仿宋" w:cs="仿宋"/>
          <w:b/>
          <w:color w:val="00B050"/>
          <w:sz w:val="32"/>
          <w:szCs w:val="32"/>
        </w:rPr>
      </w:pPr>
      <w:r>
        <w:rPr>
          <w:rFonts w:hint="eastAsia" w:ascii="仿宋" w:hAnsi="仿宋" w:eastAsia="仿宋" w:cs="仿宋"/>
          <w:color w:val="000000" w:themeColor="text1"/>
          <w:sz w:val="32"/>
          <w:szCs w:val="32"/>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73025</wp:posOffset>
            </wp:positionH>
            <wp:positionV relativeFrom="paragraph">
              <wp:posOffset>479425</wp:posOffset>
            </wp:positionV>
            <wp:extent cx="5529580" cy="3825240"/>
            <wp:effectExtent l="4445" t="5080" r="9525" b="177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numPr>
          <w:ilvl w:val="0"/>
          <w:numId w:val="0"/>
        </w:numPr>
        <w:spacing w:line="600" w:lineRule="exact"/>
        <w:outlineLvl w:val="1"/>
        <w:rPr>
          <w:rStyle w:val="26"/>
          <w:rFonts w:hint="eastAsia" w:ascii="仿宋" w:hAnsi="仿宋" w:eastAsia="仿宋" w:cs="仿宋"/>
          <w:b w:val="0"/>
          <w:sz w:val="32"/>
          <w:szCs w:val="32"/>
        </w:rPr>
      </w:pPr>
      <w:bookmarkStart w:id="52" w:name="_Toc79163864"/>
      <w:bookmarkStart w:id="53" w:name="_Toc15377209"/>
      <w:bookmarkStart w:id="54" w:name="_Toc15396607"/>
      <w:bookmarkStart w:id="55" w:name="_Toc79163614"/>
    </w:p>
    <w:p>
      <w:pPr>
        <w:spacing w:line="600" w:lineRule="exact"/>
        <w:ind w:firstLine="640" w:firstLineChars="200"/>
        <w:rPr>
          <w:rFonts w:hint="eastAsia" w:ascii="仿宋" w:hAnsi="仿宋" w:eastAsia="仿宋" w:cs="仿宋"/>
          <w:b/>
          <w:color w:val="00B05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图4：财政拨款收、支决算总计变动情况）（柱状图）</w:t>
      </w:r>
    </w:p>
    <w:p>
      <w:pPr>
        <w:numPr>
          <w:ilvl w:val="0"/>
          <w:numId w:val="0"/>
        </w:numPr>
        <w:spacing w:line="600" w:lineRule="exact"/>
        <w:ind w:left="641" w:leftChars="0"/>
        <w:outlineLvl w:val="1"/>
        <w:rPr>
          <w:rStyle w:val="26"/>
          <w:rFonts w:hint="eastAsia" w:ascii="仿宋" w:hAnsi="仿宋" w:eastAsia="仿宋" w:cs="仿宋"/>
          <w:b w:val="0"/>
          <w:sz w:val="32"/>
          <w:szCs w:val="32"/>
        </w:rPr>
      </w:pPr>
    </w:p>
    <w:bookmarkEnd w:id="52"/>
    <w:bookmarkEnd w:id="53"/>
    <w:bookmarkEnd w:id="54"/>
    <w:bookmarkEnd w:id="55"/>
    <w:p>
      <w:pPr>
        <w:spacing w:line="600" w:lineRule="exact"/>
        <w:ind w:firstLine="640" w:firstLineChars="200"/>
        <w:outlineLvl w:val="1"/>
        <w:rPr>
          <w:rFonts w:hint="eastAsia" w:ascii="仿宋" w:hAnsi="仿宋" w:eastAsia="仿宋" w:cs="仿宋"/>
          <w:b/>
          <w:color w:val="000000"/>
          <w:sz w:val="32"/>
          <w:szCs w:val="32"/>
        </w:rPr>
      </w:pPr>
      <w:bookmarkStart w:id="56" w:name="_Toc79163865"/>
      <w:bookmarkStart w:id="57" w:name="_Toc15377210"/>
      <w:bookmarkStart w:id="58" w:name="_Toc79163615"/>
      <w:r>
        <w:rPr>
          <w:rFonts w:hint="eastAsia" w:ascii="黑体" w:hAnsi="黑体" w:eastAsia="黑体" w:cs="黑体"/>
          <w:color w:val="000000"/>
          <w:sz w:val="32"/>
          <w:szCs w:val="32"/>
          <w:lang w:eastAsia="zh-CN"/>
        </w:rPr>
        <w:t>五</w:t>
      </w:r>
      <w:r>
        <w:rPr>
          <w:rFonts w:hint="eastAsia" w:ascii="黑体" w:hAnsi="黑体" w:eastAsia="黑体" w:cs="黑体"/>
          <w:color w:val="000000"/>
          <w:sz w:val="32"/>
          <w:szCs w:val="32"/>
        </w:rPr>
        <w:t>、</w:t>
      </w:r>
      <w:r>
        <w:rPr>
          <w:rFonts w:hint="eastAsia" w:ascii="黑体" w:hAnsi="黑体" w:eastAsia="黑体" w:cs="黑体"/>
          <w:color w:val="000000"/>
          <w:sz w:val="32"/>
          <w:szCs w:val="32"/>
          <w:lang w:eastAsia="zh-CN"/>
        </w:rPr>
        <w:t>一般公共预算财政拨款支出决算情况说明</w:t>
      </w:r>
    </w:p>
    <w:p>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2020年一般公共预算财政拨款支出11224.71万元，占本年支出合计的</w:t>
      </w:r>
      <w:r>
        <w:rPr>
          <w:rFonts w:hint="eastAsia" w:ascii="仿宋" w:hAnsi="仿宋" w:eastAsia="仿宋" w:cs="仿宋"/>
          <w:color w:val="000000"/>
          <w:sz w:val="32"/>
          <w:szCs w:val="32"/>
          <w:lang w:val="en-US" w:eastAsia="zh-CN"/>
        </w:rPr>
        <w:t>99.86</w:t>
      </w:r>
      <w:r>
        <w:rPr>
          <w:rFonts w:hint="eastAsia" w:ascii="仿宋" w:hAnsi="仿宋" w:eastAsia="仿宋" w:cs="仿宋"/>
          <w:color w:val="000000"/>
          <w:sz w:val="32"/>
          <w:szCs w:val="32"/>
        </w:rPr>
        <w:t>%。与20</w:t>
      </w:r>
      <w:r>
        <w:rPr>
          <w:rFonts w:hint="eastAsia" w:ascii="仿宋" w:hAnsi="仿宋" w:eastAsia="仿宋" w:cs="仿宋"/>
          <w:color w:val="000000"/>
          <w:sz w:val="32"/>
          <w:szCs w:val="32"/>
          <w:lang w:val="en-US" w:eastAsia="zh-CN"/>
        </w:rPr>
        <w:t>19</w:t>
      </w:r>
      <w:r>
        <w:rPr>
          <w:rFonts w:hint="eastAsia" w:ascii="仿宋" w:hAnsi="仿宋" w:eastAsia="仿宋" w:cs="仿宋"/>
          <w:color w:val="000000"/>
          <w:sz w:val="32"/>
          <w:szCs w:val="32"/>
        </w:rPr>
        <w:t>年一般公共预算财政拨款相比增</w:t>
      </w:r>
      <w:r>
        <w:rPr>
          <w:rFonts w:hint="eastAsia" w:ascii="仿宋" w:hAnsi="仿宋" w:eastAsia="仿宋" w:cs="仿宋"/>
          <w:color w:val="000000"/>
          <w:sz w:val="32"/>
          <w:szCs w:val="32"/>
          <w:lang w:eastAsia="zh-CN"/>
        </w:rPr>
        <w:t>加</w:t>
      </w:r>
      <w:r>
        <w:rPr>
          <w:rFonts w:hint="eastAsia" w:ascii="仿宋" w:hAnsi="仿宋" w:eastAsia="仿宋" w:cs="仿宋"/>
          <w:color w:val="000000"/>
          <w:sz w:val="32"/>
          <w:szCs w:val="32"/>
          <w:lang w:val="en-US" w:eastAsia="zh-CN"/>
        </w:rPr>
        <w:t>3730.68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49.78</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当年增加上级专项资金。</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628015</wp:posOffset>
            </wp:positionH>
            <wp:positionV relativeFrom="paragraph">
              <wp:posOffset>250825</wp:posOffset>
            </wp:positionV>
            <wp:extent cx="4431665" cy="3065145"/>
            <wp:effectExtent l="4445" t="5080" r="21590" b="1587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（图5：一般公共预算财政拨款支出决算变动情况）（柱状图）</w:t>
      </w:r>
    </w:p>
    <w:p>
      <w:pPr>
        <w:spacing w:line="600" w:lineRule="exact"/>
        <w:ind w:firstLine="643" w:firstLineChars="200"/>
        <w:outlineLvl w:val="2"/>
        <w:rPr>
          <w:rFonts w:hint="eastAsia" w:ascii="仿宋" w:hAnsi="仿宋" w:eastAsia="仿宋" w:cs="仿宋"/>
          <w:b/>
          <w:color w:val="000000"/>
          <w:sz w:val="32"/>
          <w:szCs w:val="32"/>
        </w:rPr>
      </w:pPr>
      <w:bookmarkStart w:id="59" w:name="_Toc79163616"/>
      <w:bookmarkStart w:id="60" w:name="_Toc79163866"/>
      <w:bookmarkStart w:id="61" w:name="_Toc15377211"/>
      <w:r>
        <w:rPr>
          <w:rFonts w:hint="eastAsia" w:ascii="仿宋" w:hAnsi="仿宋" w:eastAsia="仿宋" w:cs="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2020年一般公共预算财政拨款支出11224.69万元，主要用于以下方面:</w:t>
      </w:r>
      <w:r>
        <w:rPr>
          <w:rFonts w:hint="eastAsia" w:ascii="仿宋" w:hAnsi="仿宋" w:eastAsia="仿宋" w:cs="仿宋"/>
          <w:b/>
          <w:color w:val="000000"/>
          <w:sz w:val="32"/>
          <w:szCs w:val="32"/>
        </w:rPr>
        <w:t>一般公共服务（类）</w:t>
      </w:r>
      <w:r>
        <w:rPr>
          <w:rFonts w:hint="eastAsia" w:ascii="仿宋" w:hAnsi="仿宋" w:eastAsia="仿宋" w:cs="仿宋"/>
          <w:color w:val="000000"/>
          <w:sz w:val="32"/>
          <w:szCs w:val="32"/>
        </w:rPr>
        <w:t>支出19.82万元，占</w:t>
      </w:r>
      <w:r>
        <w:rPr>
          <w:rFonts w:hint="eastAsia" w:ascii="仿宋" w:hAnsi="仿宋" w:eastAsia="仿宋" w:cs="仿宋"/>
          <w:color w:val="000000"/>
          <w:sz w:val="32"/>
          <w:szCs w:val="32"/>
          <w:lang w:val="en-US" w:eastAsia="zh-CN"/>
        </w:rPr>
        <w:t>0.18</w:t>
      </w:r>
      <w:r>
        <w:rPr>
          <w:rFonts w:hint="eastAsia" w:ascii="仿宋" w:hAnsi="仿宋" w:eastAsia="仿宋" w:cs="仿宋"/>
          <w:color w:val="000000"/>
          <w:sz w:val="32"/>
          <w:szCs w:val="32"/>
        </w:rPr>
        <w:t>%；</w:t>
      </w:r>
      <w:r>
        <w:rPr>
          <w:rFonts w:hint="eastAsia" w:ascii="仿宋" w:hAnsi="仿宋" w:eastAsia="仿宋" w:cs="仿宋"/>
          <w:b/>
          <w:color w:val="000000"/>
          <w:sz w:val="32"/>
          <w:szCs w:val="32"/>
        </w:rPr>
        <w:t>教育支出（类）</w:t>
      </w:r>
      <w:r>
        <w:rPr>
          <w:rFonts w:hint="eastAsia" w:ascii="仿宋" w:hAnsi="仿宋" w:eastAsia="仿宋" w:cs="仿宋"/>
          <w:color w:val="000000"/>
          <w:sz w:val="32"/>
          <w:szCs w:val="32"/>
        </w:rPr>
        <w:t>10896.27万元，占</w:t>
      </w:r>
      <w:r>
        <w:rPr>
          <w:rFonts w:hint="eastAsia" w:ascii="仿宋" w:hAnsi="仿宋" w:eastAsia="仿宋" w:cs="仿宋"/>
          <w:color w:val="000000"/>
          <w:sz w:val="32"/>
          <w:szCs w:val="32"/>
          <w:lang w:val="en-US" w:eastAsia="zh-CN"/>
        </w:rPr>
        <w:t>97.07</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文化旅游体育与传媒（类）支出24.57万元，占</w:t>
      </w:r>
      <w:r>
        <w:rPr>
          <w:rFonts w:hint="eastAsia" w:ascii="仿宋" w:hAnsi="仿宋" w:eastAsia="仿宋" w:cs="仿宋"/>
          <w:b/>
          <w:bCs/>
          <w:color w:val="000000"/>
          <w:sz w:val="32"/>
          <w:szCs w:val="32"/>
          <w:lang w:val="en-US" w:eastAsia="zh-CN"/>
        </w:rPr>
        <w:t>0.22</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w:t>
      </w:r>
      <w:r>
        <w:rPr>
          <w:rFonts w:hint="eastAsia" w:ascii="仿宋" w:hAnsi="仿宋" w:eastAsia="仿宋" w:cs="仿宋"/>
          <w:b/>
          <w:color w:val="000000"/>
          <w:sz w:val="32"/>
          <w:szCs w:val="32"/>
        </w:rPr>
        <w:t>社会保障和就业（类）</w:t>
      </w:r>
      <w:r>
        <w:rPr>
          <w:rFonts w:hint="eastAsia" w:ascii="仿宋" w:hAnsi="仿宋" w:eastAsia="仿宋" w:cs="仿宋"/>
          <w:color w:val="000000"/>
          <w:sz w:val="32"/>
          <w:szCs w:val="32"/>
        </w:rPr>
        <w:t>支出24.25万元，占</w:t>
      </w:r>
      <w:r>
        <w:rPr>
          <w:rFonts w:hint="eastAsia" w:ascii="仿宋" w:hAnsi="仿宋" w:eastAsia="仿宋" w:cs="仿宋"/>
          <w:color w:val="000000"/>
          <w:sz w:val="32"/>
          <w:szCs w:val="32"/>
          <w:lang w:val="en-US" w:eastAsia="zh-CN"/>
        </w:rPr>
        <w:t>0.22</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w:t>
      </w:r>
      <w:r>
        <w:rPr>
          <w:rFonts w:hint="eastAsia" w:ascii="仿宋" w:hAnsi="仿宋" w:eastAsia="仿宋" w:cs="仿宋"/>
          <w:color w:val="000000"/>
          <w:sz w:val="32"/>
          <w:szCs w:val="32"/>
        </w:rPr>
        <w:t>24.88万元，占</w:t>
      </w:r>
      <w:r>
        <w:rPr>
          <w:rFonts w:hint="eastAsia" w:ascii="仿宋" w:hAnsi="仿宋" w:eastAsia="仿宋" w:cs="仿宋"/>
          <w:color w:val="000000"/>
          <w:sz w:val="32"/>
          <w:szCs w:val="32"/>
          <w:lang w:val="en-US" w:eastAsia="zh-CN"/>
        </w:rPr>
        <w:t>0.22</w:t>
      </w:r>
      <w:r>
        <w:rPr>
          <w:rFonts w:hint="eastAsia" w:ascii="仿宋" w:hAnsi="仿宋" w:eastAsia="仿宋" w:cs="仿宋"/>
          <w:color w:val="000000"/>
          <w:sz w:val="32"/>
          <w:szCs w:val="32"/>
        </w:rPr>
        <w:t>%；</w:t>
      </w:r>
      <w:r>
        <w:rPr>
          <w:rFonts w:hint="eastAsia" w:ascii="仿宋" w:hAnsi="仿宋" w:eastAsia="仿宋" w:cs="仿宋"/>
          <w:color w:val="000000" w:themeColor="text1"/>
          <w:sz w:val="32"/>
          <w:szCs w:val="32"/>
          <w14:textFill>
            <w14:solidFill>
              <w14:schemeClr w14:val="tx1"/>
            </w14:solidFill>
          </w14:textFill>
        </w:rPr>
        <w:t>农林水支出</w:t>
      </w:r>
      <w:r>
        <w:rPr>
          <w:rFonts w:hint="eastAsia" w:ascii="仿宋" w:hAnsi="仿宋" w:eastAsia="仿宋" w:cs="仿宋"/>
          <w:b/>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lang w:val="en-US" w:eastAsia="zh-CN"/>
          <w14:textFill>
            <w14:solidFill>
              <w14:schemeClr w14:val="tx1"/>
            </w14:solidFill>
          </w14:textFill>
        </w:rPr>
        <w:t>213</w:t>
      </w:r>
      <w:r>
        <w:rPr>
          <w:rFonts w:hint="eastAsia" w:ascii="仿宋" w:hAnsi="仿宋" w:eastAsia="仿宋" w:cs="仿宋"/>
          <w:b/>
          <w:color w:val="000000" w:themeColor="text1"/>
          <w:sz w:val="32"/>
          <w:szCs w:val="32"/>
          <w14:textFill>
            <w14:solidFill>
              <w14:schemeClr w14:val="tx1"/>
            </w14:solidFill>
          </w14:textFill>
        </w:rPr>
        <w:t>类）</w:t>
      </w:r>
      <w:r>
        <w:rPr>
          <w:rFonts w:hint="eastAsia" w:ascii="仿宋" w:hAnsi="仿宋" w:eastAsia="仿宋" w:cs="仿宋"/>
          <w:color w:val="000000" w:themeColor="text1"/>
          <w:sz w:val="32"/>
          <w:szCs w:val="32"/>
          <w14:textFill>
            <w14:solidFill>
              <w14:schemeClr w14:val="tx1"/>
            </w14:solidFill>
          </w14:textFill>
        </w:rPr>
        <w:t>出</w:t>
      </w:r>
      <w:r>
        <w:rPr>
          <w:rFonts w:hint="eastAsia" w:ascii="仿宋" w:hAnsi="仿宋" w:eastAsia="仿宋" w:cs="仿宋"/>
          <w:color w:val="000000" w:themeColor="text1"/>
          <w:sz w:val="32"/>
          <w:szCs w:val="32"/>
          <w:lang w:eastAsia="zh-CN"/>
          <w14:textFill>
            <w14:solidFill>
              <w14:schemeClr w14:val="tx1"/>
            </w14:solidFill>
          </w14:textFill>
        </w:rPr>
        <w:t>220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0.2</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sz w:val="32"/>
          <w:szCs w:val="32"/>
        </w:rPr>
        <w:t>住房保障支出</w:t>
      </w:r>
      <w:r>
        <w:rPr>
          <w:rFonts w:hint="eastAsia" w:ascii="仿宋" w:hAnsi="仿宋" w:eastAsia="仿宋" w:cs="仿宋"/>
          <w:color w:val="000000"/>
          <w:sz w:val="32"/>
          <w:szCs w:val="32"/>
          <w:lang w:val="en-US" w:eastAsia="zh-CN"/>
        </w:rPr>
        <w:t>14.91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0.13</w:t>
      </w:r>
      <w:r>
        <w:rPr>
          <w:rFonts w:hint="eastAsia" w:ascii="仿宋" w:hAnsi="仿宋" w:eastAsia="仿宋" w:cs="仿宋"/>
          <w:color w:val="000000"/>
          <w:sz w:val="32"/>
          <w:szCs w:val="32"/>
        </w:rPr>
        <w:t>%。</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drawing>
          <wp:anchor distT="0" distB="0" distL="114300" distR="114300" simplePos="0" relativeHeight="251664384" behindDoc="0" locked="0" layoutInCell="1" allowOverlap="1">
            <wp:simplePos x="0" y="0"/>
            <wp:positionH relativeFrom="column">
              <wp:posOffset>524510</wp:posOffset>
            </wp:positionH>
            <wp:positionV relativeFrom="paragraph">
              <wp:posOffset>25400</wp:posOffset>
            </wp:positionV>
            <wp:extent cx="4455795" cy="3031490"/>
            <wp:effectExtent l="4445" t="5080" r="16510" b="1143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图6：一般公共预算财政拨款支出决算结构）（饼状图）</w:t>
      </w:r>
    </w:p>
    <w:p>
      <w:pPr>
        <w:spacing w:line="600" w:lineRule="exact"/>
        <w:ind w:firstLine="640" w:firstLineChars="200"/>
        <w:rPr>
          <w:rFonts w:hint="eastAsia" w:ascii="仿宋" w:hAnsi="仿宋" w:eastAsia="仿宋" w:cs="仿宋"/>
          <w:color w:val="000000"/>
          <w:sz w:val="32"/>
          <w:szCs w:val="32"/>
        </w:rPr>
      </w:pPr>
    </w:p>
    <w:p>
      <w:pPr>
        <w:spacing w:line="600" w:lineRule="exact"/>
        <w:ind w:firstLine="640" w:firstLineChars="200"/>
        <w:rPr>
          <w:rFonts w:hint="eastAsia" w:ascii="仿宋" w:hAnsi="仿宋" w:eastAsia="仿宋" w:cs="仿宋"/>
          <w:color w:val="000000"/>
          <w:sz w:val="32"/>
          <w:szCs w:val="32"/>
        </w:rPr>
      </w:pPr>
    </w:p>
    <w:p>
      <w:pPr>
        <w:spacing w:line="600" w:lineRule="exact"/>
        <w:ind w:firstLine="643" w:firstLineChars="200"/>
        <w:outlineLvl w:val="2"/>
        <w:rPr>
          <w:rFonts w:hint="eastAsia" w:ascii="仿宋" w:hAnsi="仿宋" w:eastAsia="仿宋" w:cs="仿宋"/>
          <w:b/>
          <w:color w:val="000000"/>
          <w:sz w:val="32"/>
          <w:szCs w:val="32"/>
        </w:rPr>
      </w:pPr>
      <w:bookmarkStart w:id="62" w:name="_Toc79163867"/>
      <w:bookmarkStart w:id="63" w:name="_Toc15377212"/>
      <w:bookmarkStart w:id="64" w:name="_Toc79163617"/>
      <w:r>
        <w:rPr>
          <w:rFonts w:hint="eastAsia" w:ascii="仿宋" w:hAnsi="仿宋" w:eastAsia="仿宋" w:cs="仿宋"/>
          <w:b/>
          <w:color w:val="000000"/>
          <w:sz w:val="32"/>
          <w:szCs w:val="32"/>
        </w:rPr>
        <w:t>（三）一般公共预算财政拨款支出决算具体情况</w:t>
      </w:r>
      <w:bookmarkEnd w:id="62"/>
      <w:bookmarkEnd w:id="63"/>
      <w:bookmarkEnd w:id="64"/>
    </w:p>
    <w:p>
      <w:pPr>
        <w:spacing w:line="600" w:lineRule="exact"/>
        <w:ind w:firstLine="643" w:firstLineChars="200"/>
        <w:rPr>
          <w:rFonts w:hint="eastAsia" w:ascii="仿宋" w:hAnsi="仿宋" w:eastAsia="仿宋" w:cs="仿宋"/>
          <w:b/>
          <w:bCs/>
          <w:sz w:val="32"/>
          <w:szCs w:val="32"/>
        </w:rPr>
      </w:pPr>
      <w:bookmarkStart w:id="65" w:name="_Toc15377444"/>
      <w:bookmarkStart w:id="66" w:name="_Toc15378460"/>
      <w:bookmarkStart w:id="67" w:name="_Toc15377213"/>
      <w:r>
        <w:rPr>
          <w:rFonts w:hint="eastAsia" w:ascii="仿宋" w:hAnsi="仿宋" w:eastAsia="仿宋" w:cs="仿宋"/>
          <w:b/>
          <w:bCs/>
          <w:sz w:val="32"/>
          <w:szCs w:val="32"/>
        </w:rPr>
        <w:t>2020年一般公共预算支出决算数为</w:t>
      </w:r>
      <w:r>
        <w:rPr>
          <w:rFonts w:hint="eastAsia" w:ascii="仿宋" w:hAnsi="仿宋" w:eastAsia="仿宋" w:cs="仿宋"/>
          <w:b/>
          <w:bCs/>
          <w:sz w:val="32"/>
          <w:szCs w:val="32"/>
          <w:lang w:val="en-US" w:eastAsia="zh-CN"/>
        </w:rPr>
        <w:t>6110.5</w:t>
      </w:r>
      <w:r>
        <w:rPr>
          <w:rFonts w:hint="eastAsia" w:ascii="仿宋" w:hAnsi="仿宋" w:eastAsia="仿宋" w:cs="仿宋"/>
          <w:b/>
          <w:bCs/>
          <w:sz w:val="32"/>
          <w:szCs w:val="32"/>
        </w:rPr>
        <w:t>，完成预算</w:t>
      </w:r>
      <w:r>
        <w:rPr>
          <w:rFonts w:hint="eastAsia" w:ascii="仿宋" w:hAnsi="仿宋" w:eastAsia="仿宋" w:cs="仿宋"/>
          <w:b/>
          <w:bCs/>
          <w:sz w:val="32"/>
          <w:szCs w:val="32"/>
          <w:lang w:val="en-US" w:eastAsia="zh-CN"/>
        </w:rPr>
        <w:t>1980.54</w:t>
      </w:r>
      <w:r>
        <w:rPr>
          <w:rFonts w:hint="eastAsia" w:ascii="仿宋" w:hAnsi="仿宋" w:eastAsia="仿宋" w:cs="仿宋"/>
          <w:b/>
          <w:bCs/>
          <w:sz w:val="32"/>
          <w:szCs w:val="32"/>
        </w:rPr>
        <w:t>%。其中：</w:t>
      </w:r>
      <w:bookmarkEnd w:id="65"/>
      <w:bookmarkEnd w:id="66"/>
      <w:bookmarkEnd w:id="67"/>
    </w:p>
    <w:p>
      <w:pPr>
        <w:spacing w:line="600" w:lineRule="exact"/>
        <w:ind w:firstLine="640" w:firstLineChars="200"/>
        <w:rPr>
          <w:rFonts w:hint="eastAsia" w:ascii="仿宋" w:hAnsi="仿宋" w:eastAsia="仿宋" w:cs="仿宋"/>
          <w:b/>
          <w:color w:val="000000"/>
          <w:sz w:val="32"/>
          <w:szCs w:val="32"/>
        </w:rPr>
      </w:pPr>
      <w:r>
        <w:rPr>
          <w:rStyle w:val="22"/>
          <w:rFonts w:hint="eastAsia" w:ascii="仿宋" w:hAnsi="仿宋" w:eastAsia="仿宋" w:cs="仿宋"/>
          <w:b w:val="0"/>
          <w:bCs/>
          <w:color w:val="000000"/>
          <w:sz w:val="32"/>
          <w:szCs w:val="32"/>
        </w:rPr>
        <w:t>1.一般公共服务（类）群众团体事务（款）其他群众团体事务支出（项）: 支出决算为19.82万元，完成预算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大于</w:t>
      </w:r>
      <w:r>
        <w:rPr>
          <w:rStyle w:val="22"/>
          <w:rFonts w:hint="eastAsia" w:ascii="仿宋" w:hAnsi="仿宋" w:eastAsia="仿宋" w:cs="仿宋"/>
          <w:b w:val="0"/>
          <w:bCs/>
          <w:color w:val="000000"/>
          <w:sz w:val="32"/>
          <w:szCs w:val="32"/>
        </w:rPr>
        <w:t>预算数的主要原因是</w:t>
      </w:r>
      <w:r>
        <w:rPr>
          <w:rStyle w:val="22"/>
          <w:rFonts w:hint="eastAsia" w:ascii="仿宋" w:hAnsi="仿宋" w:eastAsia="仿宋" w:cs="仿宋"/>
          <w:b w:val="0"/>
          <w:bCs/>
          <w:color w:val="000000"/>
          <w:sz w:val="32"/>
          <w:szCs w:val="32"/>
          <w:lang w:val="en-US" w:eastAsia="zh-CN"/>
        </w:rPr>
        <w:t>19.82万元是上级专项，年初预算没有此项资金</w:t>
      </w:r>
      <w:r>
        <w:rPr>
          <w:rStyle w:val="22"/>
          <w:rFonts w:hint="eastAsia" w:ascii="仿宋" w:hAnsi="仿宋" w:eastAsia="仿宋" w:cs="仿宋"/>
          <w:b w:val="0"/>
          <w:bCs/>
          <w:color w:val="000000"/>
          <w:sz w:val="32"/>
          <w:szCs w:val="32"/>
        </w:rPr>
        <w:t>。</w:t>
      </w:r>
    </w:p>
    <w:p>
      <w:pPr>
        <w:spacing w:line="600" w:lineRule="exact"/>
        <w:ind w:firstLine="640" w:firstLineChars="200"/>
        <w:rPr>
          <w:rStyle w:val="22"/>
          <w:rFonts w:hint="eastAsia" w:ascii="仿宋" w:hAnsi="仿宋" w:eastAsia="仿宋" w:cs="仿宋"/>
          <w:b w:val="0"/>
          <w:bCs/>
          <w:color w:val="000000"/>
          <w:sz w:val="32"/>
          <w:szCs w:val="32"/>
        </w:rPr>
      </w:pPr>
      <w:r>
        <w:rPr>
          <w:rStyle w:val="22"/>
          <w:rFonts w:hint="eastAsia" w:ascii="仿宋" w:hAnsi="仿宋" w:eastAsia="仿宋" w:cs="仿宋"/>
          <w:b w:val="0"/>
          <w:bCs/>
          <w:color w:val="000000"/>
          <w:sz w:val="32"/>
          <w:szCs w:val="32"/>
        </w:rPr>
        <w:t>2.教育</w:t>
      </w:r>
      <w:r>
        <w:rPr>
          <w:rStyle w:val="22"/>
          <w:rFonts w:hint="eastAsia" w:ascii="仿宋" w:hAnsi="仿宋" w:eastAsia="仿宋" w:cs="仿宋"/>
          <w:b w:val="0"/>
          <w:bCs/>
          <w:color w:val="000000"/>
          <w:sz w:val="32"/>
          <w:szCs w:val="32"/>
          <w:lang w:val="en-US" w:eastAsia="zh-CN"/>
        </w:rPr>
        <w:t>205</w:t>
      </w:r>
      <w:r>
        <w:rPr>
          <w:rStyle w:val="22"/>
          <w:rFonts w:hint="eastAsia" w:ascii="仿宋" w:hAnsi="仿宋" w:eastAsia="仿宋" w:cs="仿宋"/>
          <w:b w:val="0"/>
          <w:bCs/>
          <w:color w:val="000000"/>
          <w:sz w:val="32"/>
          <w:szCs w:val="32"/>
        </w:rPr>
        <w:t>（类）</w:t>
      </w:r>
      <w:r>
        <w:rPr>
          <w:rStyle w:val="22"/>
          <w:rFonts w:hint="eastAsia" w:ascii="仿宋" w:hAnsi="仿宋" w:eastAsia="仿宋" w:cs="仿宋"/>
          <w:b w:val="0"/>
          <w:bCs/>
          <w:color w:val="000000"/>
          <w:sz w:val="32"/>
          <w:szCs w:val="32"/>
          <w:lang w:val="en-US" w:eastAsia="zh-CN"/>
        </w:rPr>
        <w:t>教育管理事务</w:t>
      </w:r>
      <w:r>
        <w:rPr>
          <w:rStyle w:val="22"/>
          <w:rFonts w:hint="eastAsia" w:ascii="仿宋" w:hAnsi="仿宋" w:eastAsia="仿宋" w:cs="仿宋"/>
          <w:b w:val="0"/>
          <w:bCs/>
          <w:color w:val="000000"/>
          <w:sz w:val="32"/>
          <w:szCs w:val="32"/>
        </w:rPr>
        <w:t>（款）行政运行（项）: 支出决算为155.35万元，完成预算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w:t>
      </w:r>
      <w:r>
        <w:rPr>
          <w:rStyle w:val="22"/>
          <w:rFonts w:hint="eastAsia" w:ascii="仿宋" w:hAnsi="仿宋" w:eastAsia="仿宋" w:cs="仿宋"/>
          <w:b w:val="0"/>
          <w:bCs/>
          <w:color w:val="000000"/>
          <w:sz w:val="32"/>
          <w:szCs w:val="32"/>
          <w:lang w:val="en-US" w:eastAsia="zh-CN"/>
        </w:rPr>
        <w:t>205</w:t>
      </w:r>
      <w:r>
        <w:rPr>
          <w:rStyle w:val="22"/>
          <w:rFonts w:hint="eastAsia" w:ascii="仿宋" w:hAnsi="仿宋" w:eastAsia="仿宋" w:cs="仿宋"/>
          <w:b w:val="0"/>
          <w:bCs/>
          <w:color w:val="000000"/>
          <w:sz w:val="32"/>
          <w:szCs w:val="32"/>
        </w:rPr>
        <w:t>（类）</w:t>
      </w:r>
      <w:r>
        <w:rPr>
          <w:rStyle w:val="22"/>
          <w:rFonts w:hint="eastAsia" w:ascii="仿宋" w:hAnsi="仿宋" w:eastAsia="仿宋" w:cs="仿宋"/>
          <w:b w:val="0"/>
          <w:bCs/>
          <w:color w:val="000000"/>
          <w:sz w:val="32"/>
          <w:szCs w:val="32"/>
          <w:lang w:val="en-US" w:eastAsia="zh-CN"/>
        </w:rPr>
        <w:t>教育管理事务</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一般行政管理事务</w:t>
      </w:r>
      <w:r>
        <w:rPr>
          <w:rStyle w:val="22"/>
          <w:rFonts w:hint="eastAsia" w:ascii="仿宋" w:hAnsi="仿宋" w:eastAsia="仿宋" w:cs="仿宋"/>
          <w:b w:val="0"/>
          <w:bCs/>
          <w:color w:val="000000"/>
          <w:sz w:val="32"/>
          <w:szCs w:val="32"/>
        </w:rPr>
        <w:t>（项）: 支出决算为250.13万元，完成预算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教育管理事务</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其他教育管理事务支出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188</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eastAsia="zh-CN"/>
        </w:rPr>
        <w:t>学前教育</w:t>
      </w:r>
      <w:r>
        <w:rPr>
          <w:rStyle w:val="22"/>
          <w:rFonts w:hint="eastAsia" w:ascii="仿宋" w:hAnsi="仿宋" w:eastAsia="仿宋" w:cs="仿宋"/>
          <w:b w:val="0"/>
          <w:bCs/>
          <w:color w:val="000000"/>
          <w:sz w:val="32"/>
          <w:szCs w:val="32"/>
        </w:rPr>
        <w:t>（项）: 支出决算为1,574.45万元，完成预算</w:t>
      </w:r>
      <w:r>
        <w:rPr>
          <w:rStyle w:val="22"/>
          <w:rFonts w:hint="eastAsia" w:ascii="仿宋" w:hAnsi="仿宋" w:eastAsia="仿宋" w:cs="仿宋"/>
          <w:b w:val="0"/>
          <w:bCs/>
          <w:color w:val="000000"/>
          <w:sz w:val="32"/>
          <w:szCs w:val="32"/>
          <w:lang w:val="en-US" w:eastAsia="zh-CN"/>
        </w:rPr>
        <w:t>65.34</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小学教育</w:t>
      </w:r>
      <w:r>
        <w:rPr>
          <w:rStyle w:val="22"/>
          <w:rFonts w:hint="eastAsia" w:ascii="仿宋" w:hAnsi="仿宋" w:eastAsia="仿宋" w:cs="仿宋"/>
          <w:b w:val="0"/>
          <w:bCs/>
          <w:color w:val="000000"/>
          <w:sz w:val="32"/>
          <w:szCs w:val="32"/>
        </w:rPr>
        <w:t>（项）: 支出决算为2,479.94万元，完成预算</w:t>
      </w:r>
      <w:r>
        <w:rPr>
          <w:rStyle w:val="22"/>
          <w:rFonts w:hint="eastAsia" w:ascii="仿宋" w:hAnsi="仿宋" w:eastAsia="仿宋" w:cs="仿宋"/>
          <w:b w:val="0"/>
          <w:bCs/>
          <w:color w:val="000000"/>
          <w:sz w:val="32"/>
          <w:szCs w:val="32"/>
          <w:lang w:val="en-US" w:eastAsia="zh-CN"/>
        </w:rPr>
        <w:t>90.53</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eastAsia="zh-CN"/>
        </w:rPr>
        <w:t>初中教育</w:t>
      </w:r>
      <w:r>
        <w:rPr>
          <w:rStyle w:val="22"/>
          <w:rFonts w:hint="eastAsia" w:ascii="仿宋" w:hAnsi="仿宋" w:eastAsia="仿宋" w:cs="仿宋"/>
          <w:b w:val="0"/>
          <w:bCs/>
          <w:color w:val="000000"/>
          <w:sz w:val="32"/>
          <w:szCs w:val="32"/>
        </w:rPr>
        <w:t>（项）: 支出决算为638.68万元，完成预算</w:t>
      </w:r>
      <w:r>
        <w:rPr>
          <w:rStyle w:val="22"/>
          <w:rFonts w:hint="eastAsia" w:ascii="仿宋" w:hAnsi="仿宋" w:eastAsia="仿宋" w:cs="仿宋"/>
          <w:b w:val="0"/>
          <w:bCs/>
          <w:color w:val="000000"/>
          <w:sz w:val="32"/>
          <w:szCs w:val="32"/>
          <w:lang w:val="en-US" w:eastAsia="zh-CN"/>
        </w:rPr>
        <w:t>95.83</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eastAsia="zh-CN"/>
        </w:rPr>
        <w:t>高中教育</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15</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43.8</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eastAsia="zh-CN"/>
        </w:rPr>
        <w:t>高等教育</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7.88</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普通教育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其他普通教育支出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5254.43</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61.88</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职业教育</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eastAsia="zh-CN"/>
        </w:rPr>
        <w:t>中等</w:t>
      </w:r>
      <w:r>
        <w:rPr>
          <w:rStyle w:val="22"/>
          <w:rFonts w:hint="eastAsia" w:ascii="仿宋" w:hAnsi="仿宋" w:eastAsia="仿宋" w:cs="仿宋"/>
          <w:b w:val="0"/>
          <w:bCs/>
          <w:color w:val="000000"/>
          <w:sz w:val="32"/>
          <w:szCs w:val="32"/>
          <w:lang w:val="en-US" w:eastAsia="zh-CN"/>
        </w:rPr>
        <w:t>职业教育</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3.39</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教育（类）特殊教育（款）</w:t>
      </w:r>
      <w:r>
        <w:rPr>
          <w:rStyle w:val="22"/>
          <w:rFonts w:hint="eastAsia" w:ascii="仿宋" w:hAnsi="仿宋" w:eastAsia="仿宋" w:cs="仿宋"/>
          <w:b w:val="0"/>
          <w:bCs/>
          <w:color w:val="000000"/>
          <w:sz w:val="32"/>
          <w:szCs w:val="32"/>
          <w:lang w:eastAsia="zh-CN"/>
        </w:rPr>
        <w:t>其他</w:t>
      </w:r>
      <w:r>
        <w:rPr>
          <w:rStyle w:val="22"/>
          <w:rFonts w:hint="eastAsia" w:ascii="仿宋" w:hAnsi="仿宋" w:eastAsia="仿宋" w:cs="仿宋"/>
          <w:b w:val="0"/>
          <w:bCs/>
          <w:color w:val="000000"/>
          <w:sz w:val="32"/>
          <w:szCs w:val="32"/>
          <w:lang w:val="en-US" w:eastAsia="zh-CN"/>
        </w:rPr>
        <w:t>特殊教育支出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3.2</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教育（类）教育费附加安排的支出（款）</w:t>
      </w:r>
      <w:r>
        <w:rPr>
          <w:rStyle w:val="22"/>
          <w:rFonts w:hint="eastAsia" w:ascii="仿宋" w:hAnsi="仿宋" w:eastAsia="仿宋" w:cs="仿宋"/>
          <w:b w:val="0"/>
          <w:bCs/>
          <w:color w:val="000000"/>
          <w:sz w:val="32"/>
          <w:szCs w:val="32"/>
          <w:lang w:val="en-US" w:eastAsia="zh-CN"/>
        </w:rPr>
        <w:t>其他教育费附加安排的支出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83.62</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教育（类）</w:t>
      </w:r>
      <w:r>
        <w:rPr>
          <w:rStyle w:val="22"/>
          <w:rFonts w:hint="eastAsia" w:ascii="仿宋" w:hAnsi="仿宋" w:eastAsia="仿宋" w:cs="仿宋"/>
          <w:b w:val="0"/>
          <w:bCs/>
          <w:color w:val="000000"/>
          <w:sz w:val="32"/>
          <w:szCs w:val="32"/>
          <w:lang w:val="en-US" w:eastAsia="zh-CN"/>
        </w:rPr>
        <w:t>其他教育支出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其他教育支出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242.2</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99.1</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决算数</w:t>
      </w:r>
      <w:r>
        <w:rPr>
          <w:rStyle w:val="22"/>
          <w:rFonts w:hint="eastAsia" w:ascii="仿宋" w:hAnsi="仿宋" w:eastAsia="仿宋" w:cs="仿宋"/>
          <w:b w:val="0"/>
          <w:bCs/>
          <w:color w:val="000000"/>
          <w:sz w:val="32"/>
          <w:szCs w:val="32"/>
          <w:lang w:eastAsia="zh-CN"/>
        </w:rPr>
        <w:t>小于</w:t>
      </w:r>
      <w:r>
        <w:rPr>
          <w:rStyle w:val="22"/>
          <w:rFonts w:hint="eastAsia" w:ascii="仿宋" w:hAnsi="仿宋" w:eastAsia="仿宋" w:cs="仿宋"/>
          <w:b w:val="0"/>
          <w:bCs/>
          <w:color w:val="000000"/>
          <w:sz w:val="32"/>
          <w:szCs w:val="32"/>
        </w:rPr>
        <w:t>预算数</w:t>
      </w:r>
      <w:r>
        <w:rPr>
          <w:rStyle w:val="22"/>
          <w:rFonts w:hint="eastAsia" w:ascii="仿宋" w:hAnsi="仿宋" w:eastAsia="仿宋" w:cs="仿宋"/>
          <w:b w:val="0"/>
          <w:bCs/>
          <w:color w:val="000000"/>
          <w:sz w:val="32"/>
          <w:szCs w:val="32"/>
          <w:lang w:eastAsia="zh-CN"/>
        </w:rPr>
        <w:t>的主要原因资金结转下年继续使用。</w:t>
      </w:r>
    </w:p>
    <w:p>
      <w:pPr>
        <w:spacing w:line="600" w:lineRule="exact"/>
        <w:ind w:firstLine="640" w:firstLineChars="200"/>
        <w:rPr>
          <w:rStyle w:val="22"/>
          <w:rFonts w:hint="eastAsia" w:ascii="仿宋" w:hAnsi="仿宋" w:eastAsia="仿宋" w:cs="仿宋"/>
          <w:b w:val="0"/>
          <w:bCs/>
          <w:color w:val="000000"/>
          <w:sz w:val="32"/>
          <w:szCs w:val="32"/>
        </w:rPr>
      </w:pPr>
      <w:r>
        <w:rPr>
          <w:rStyle w:val="22"/>
          <w:rFonts w:hint="eastAsia" w:ascii="仿宋" w:hAnsi="仿宋" w:eastAsia="仿宋" w:cs="仿宋"/>
          <w:b w:val="0"/>
          <w:bCs/>
          <w:color w:val="000000"/>
          <w:sz w:val="32"/>
          <w:szCs w:val="32"/>
          <w:lang w:val="en-US" w:eastAsia="zh-CN"/>
        </w:rPr>
        <w:t>3</w:t>
      </w:r>
      <w:r>
        <w:rPr>
          <w:rStyle w:val="22"/>
          <w:rFonts w:hint="eastAsia" w:ascii="仿宋" w:hAnsi="仿宋" w:eastAsia="仿宋" w:cs="仿宋"/>
          <w:b w:val="0"/>
          <w:bCs/>
          <w:color w:val="000000"/>
          <w:sz w:val="32"/>
          <w:szCs w:val="32"/>
        </w:rPr>
        <w:t>.文化旅游体育与传媒（类）</w:t>
      </w:r>
      <w:r>
        <w:rPr>
          <w:rStyle w:val="22"/>
          <w:rFonts w:hint="eastAsia" w:ascii="仿宋" w:hAnsi="仿宋" w:eastAsia="仿宋" w:cs="仿宋"/>
          <w:b w:val="0"/>
          <w:bCs/>
          <w:color w:val="000000"/>
          <w:sz w:val="32"/>
          <w:szCs w:val="32"/>
          <w:lang w:val="en-US" w:eastAsia="zh-CN"/>
        </w:rPr>
        <w:t xml:space="preserve"> 文化和旅游</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 xml:space="preserve"> 其他文化和旅游支出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22.55</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p>
    <w:p>
      <w:pPr>
        <w:spacing w:line="600" w:lineRule="exact"/>
        <w:ind w:firstLine="640" w:firstLineChars="200"/>
        <w:rPr>
          <w:rStyle w:val="22"/>
          <w:rFonts w:hint="eastAsia" w:ascii="仿宋" w:hAnsi="仿宋" w:eastAsia="仿宋" w:cs="仿宋"/>
          <w:b w:val="0"/>
          <w:bCs/>
          <w:color w:val="000000"/>
          <w:sz w:val="32"/>
          <w:szCs w:val="32"/>
        </w:rPr>
      </w:pPr>
      <w:r>
        <w:rPr>
          <w:rStyle w:val="22"/>
          <w:rFonts w:hint="eastAsia" w:ascii="仿宋" w:hAnsi="仿宋" w:eastAsia="仿宋" w:cs="仿宋"/>
          <w:b w:val="0"/>
          <w:bCs/>
          <w:color w:val="000000"/>
          <w:sz w:val="32"/>
          <w:szCs w:val="32"/>
          <w:lang w:val="en-US" w:eastAsia="zh-CN"/>
        </w:rPr>
        <w:t>4</w:t>
      </w:r>
      <w:r>
        <w:rPr>
          <w:rStyle w:val="22"/>
          <w:rFonts w:hint="eastAsia" w:ascii="仿宋" w:hAnsi="仿宋" w:eastAsia="仿宋" w:cs="仿宋"/>
          <w:b w:val="0"/>
          <w:bCs/>
          <w:color w:val="000000"/>
          <w:sz w:val="32"/>
          <w:szCs w:val="32"/>
        </w:rPr>
        <w:t>.社会保障和就业（类）</w:t>
      </w:r>
      <w:r>
        <w:rPr>
          <w:rStyle w:val="22"/>
          <w:rFonts w:hint="eastAsia" w:ascii="仿宋" w:hAnsi="仿宋" w:eastAsia="仿宋" w:cs="仿宋"/>
          <w:b w:val="0"/>
          <w:bCs/>
          <w:color w:val="000000"/>
          <w:sz w:val="32"/>
          <w:szCs w:val="32"/>
          <w:lang w:val="en-US" w:eastAsia="zh-CN"/>
        </w:rPr>
        <w:t>行政事业单位养老支出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机关事业单位基本养老保险缴费支出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16.18</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社会保障和就业（类）</w:t>
      </w:r>
      <w:r>
        <w:rPr>
          <w:rStyle w:val="22"/>
          <w:rFonts w:hint="eastAsia" w:ascii="仿宋" w:hAnsi="仿宋" w:eastAsia="仿宋" w:cs="仿宋"/>
          <w:b w:val="0"/>
          <w:bCs/>
          <w:color w:val="000000"/>
          <w:sz w:val="32"/>
          <w:szCs w:val="32"/>
          <w:lang w:val="en-US" w:eastAsia="zh-CN"/>
        </w:rPr>
        <w:t>行政事业单位养老支出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机关事业单位职业年金缴费支出</w:t>
      </w:r>
      <w:r>
        <w:rPr>
          <w:rStyle w:val="22"/>
          <w:rFonts w:hint="eastAsia" w:ascii="仿宋" w:hAnsi="仿宋" w:eastAsia="仿宋" w:cs="仿宋"/>
          <w:b w:val="0"/>
          <w:bCs/>
          <w:color w:val="000000"/>
          <w:sz w:val="32"/>
          <w:szCs w:val="32"/>
        </w:rPr>
        <w:t>（项）: 支出决算为</w:t>
      </w:r>
      <w:r>
        <w:rPr>
          <w:rStyle w:val="22"/>
          <w:rFonts w:hint="eastAsia" w:ascii="仿宋" w:hAnsi="仿宋" w:eastAsia="仿宋" w:cs="仿宋"/>
          <w:b w:val="0"/>
          <w:bCs/>
          <w:color w:val="000000"/>
          <w:sz w:val="32"/>
          <w:szCs w:val="32"/>
          <w:lang w:val="en-US" w:eastAsia="zh-CN"/>
        </w:rPr>
        <w:t>8.07</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p>
    <w:p>
      <w:pPr>
        <w:spacing w:line="600" w:lineRule="exact"/>
        <w:ind w:firstLine="640" w:firstLineChars="200"/>
        <w:rPr>
          <w:rStyle w:val="22"/>
          <w:rFonts w:hint="eastAsia" w:ascii="仿宋" w:hAnsi="仿宋" w:eastAsia="仿宋" w:cs="仿宋"/>
          <w:b w:val="0"/>
          <w:bCs/>
          <w:color w:val="000000"/>
          <w:sz w:val="32"/>
          <w:szCs w:val="32"/>
          <w:lang w:eastAsia="zh-CN"/>
        </w:rPr>
      </w:pPr>
      <w:r>
        <w:rPr>
          <w:rStyle w:val="22"/>
          <w:rFonts w:hint="eastAsia" w:ascii="仿宋" w:hAnsi="仿宋" w:eastAsia="仿宋" w:cs="仿宋"/>
          <w:b w:val="0"/>
          <w:bCs/>
          <w:color w:val="000000"/>
          <w:sz w:val="32"/>
          <w:szCs w:val="32"/>
          <w:lang w:val="en-US" w:eastAsia="zh-CN"/>
        </w:rPr>
        <w:t>5</w:t>
      </w:r>
      <w:r>
        <w:rPr>
          <w:rStyle w:val="22"/>
          <w:rFonts w:hint="eastAsia" w:ascii="仿宋" w:hAnsi="仿宋" w:eastAsia="仿宋" w:cs="仿宋"/>
          <w:b w:val="0"/>
          <w:bCs/>
          <w:color w:val="000000"/>
          <w:sz w:val="32"/>
          <w:szCs w:val="32"/>
        </w:rPr>
        <w:t>.卫生健康（类）</w:t>
      </w:r>
      <w:r>
        <w:rPr>
          <w:rStyle w:val="22"/>
          <w:rFonts w:hint="eastAsia" w:ascii="仿宋" w:hAnsi="仿宋" w:eastAsia="仿宋" w:cs="仿宋"/>
          <w:b w:val="0"/>
          <w:bCs/>
          <w:color w:val="000000"/>
          <w:sz w:val="32"/>
          <w:szCs w:val="32"/>
          <w:lang w:val="en-US" w:eastAsia="zh-CN"/>
        </w:rPr>
        <w:t>公共卫生</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重大公共卫生服务</w:t>
      </w:r>
      <w:r>
        <w:rPr>
          <w:rStyle w:val="22"/>
          <w:rFonts w:hint="eastAsia" w:ascii="仿宋" w:hAnsi="仿宋" w:eastAsia="仿宋" w:cs="仿宋"/>
          <w:b w:val="0"/>
          <w:bCs/>
          <w:color w:val="000000"/>
          <w:sz w:val="32"/>
          <w:szCs w:val="32"/>
        </w:rPr>
        <w:t>（项）:支出决算为</w:t>
      </w:r>
      <w:r>
        <w:rPr>
          <w:rStyle w:val="22"/>
          <w:rFonts w:hint="eastAsia" w:ascii="仿宋" w:hAnsi="仿宋" w:eastAsia="仿宋" w:cs="仿宋"/>
          <w:b w:val="0"/>
          <w:bCs/>
          <w:color w:val="000000"/>
          <w:sz w:val="32"/>
          <w:szCs w:val="32"/>
          <w:lang w:val="en-US" w:eastAsia="zh-CN"/>
        </w:rPr>
        <w:t>16.95</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r>
        <w:rPr>
          <w:rStyle w:val="22"/>
          <w:rFonts w:hint="eastAsia" w:ascii="仿宋" w:hAnsi="仿宋" w:eastAsia="仿宋" w:cs="仿宋"/>
          <w:b w:val="0"/>
          <w:bCs/>
          <w:color w:val="000000"/>
          <w:sz w:val="32"/>
          <w:szCs w:val="32"/>
        </w:rPr>
        <w:t>卫生健康（类）卫生健康（类）</w:t>
      </w:r>
      <w:r>
        <w:rPr>
          <w:rStyle w:val="22"/>
          <w:rFonts w:hint="eastAsia" w:ascii="仿宋" w:hAnsi="仿宋" w:eastAsia="仿宋" w:cs="仿宋"/>
          <w:b w:val="0"/>
          <w:bCs/>
          <w:color w:val="000000"/>
          <w:sz w:val="32"/>
          <w:szCs w:val="32"/>
          <w:lang w:val="en-US" w:eastAsia="zh-CN"/>
        </w:rPr>
        <w:t>公共卫生</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重大公共卫生服务</w:t>
      </w:r>
      <w:r>
        <w:rPr>
          <w:rStyle w:val="22"/>
          <w:rFonts w:hint="eastAsia" w:ascii="仿宋" w:hAnsi="仿宋" w:eastAsia="仿宋" w:cs="仿宋"/>
          <w:b w:val="0"/>
          <w:bCs/>
          <w:color w:val="000000"/>
          <w:sz w:val="32"/>
          <w:szCs w:val="32"/>
        </w:rPr>
        <w:t>（项） 行政单位医疗（款）支出决算为7.93万元，完成预算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p>
    <w:p>
      <w:pPr>
        <w:spacing w:line="600" w:lineRule="exact"/>
        <w:ind w:firstLine="640" w:firstLineChars="200"/>
        <w:rPr>
          <w:rStyle w:val="22"/>
          <w:rFonts w:hint="eastAsia" w:ascii="仿宋" w:hAnsi="仿宋" w:eastAsia="仿宋" w:cs="仿宋"/>
          <w:b w:val="0"/>
          <w:bCs/>
          <w:color w:val="000000"/>
          <w:sz w:val="32"/>
          <w:szCs w:val="32"/>
          <w:lang w:eastAsia="zh-CN"/>
        </w:rPr>
      </w:pPr>
      <w:r>
        <w:rPr>
          <w:rStyle w:val="22"/>
          <w:rFonts w:hint="eastAsia" w:ascii="仿宋" w:hAnsi="仿宋" w:eastAsia="仿宋" w:cs="仿宋"/>
          <w:b w:val="0"/>
          <w:bCs/>
          <w:color w:val="000000"/>
          <w:sz w:val="32"/>
          <w:szCs w:val="32"/>
          <w:lang w:val="en-US" w:eastAsia="zh-CN"/>
        </w:rPr>
        <w:t>6.农林水支出</w:t>
      </w:r>
      <w:r>
        <w:rPr>
          <w:rStyle w:val="22"/>
          <w:rFonts w:hint="eastAsia" w:ascii="仿宋" w:hAnsi="仿宋" w:eastAsia="仿宋" w:cs="仿宋"/>
          <w:b w:val="0"/>
          <w:bCs/>
          <w:color w:val="000000"/>
          <w:sz w:val="32"/>
          <w:szCs w:val="32"/>
        </w:rPr>
        <w:t>（类）</w:t>
      </w:r>
      <w:r>
        <w:rPr>
          <w:rStyle w:val="22"/>
          <w:rFonts w:hint="eastAsia" w:ascii="仿宋" w:hAnsi="仿宋" w:eastAsia="仿宋" w:cs="仿宋"/>
          <w:b w:val="0"/>
          <w:bCs/>
          <w:color w:val="000000"/>
          <w:sz w:val="32"/>
          <w:szCs w:val="32"/>
          <w:lang w:val="en-US" w:eastAsia="zh-CN"/>
        </w:rPr>
        <w:t>其他扶贫支出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其他扶贫支出</w:t>
      </w:r>
      <w:r>
        <w:rPr>
          <w:rStyle w:val="22"/>
          <w:rFonts w:hint="eastAsia" w:ascii="仿宋" w:hAnsi="仿宋" w:eastAsia="仿宋" w:cs="仿宋"/>
          <w:b w:val="0"/>
          <w:bCs/>
          <w:color w:val="000000"/>
          <w:sz w:val="32"/>
          <w:szCs w:val="32"/>
        </w:rPr>
        <w:t>（项）:支出决算为</w:t>
      </w:r>
      <w:r>
        <w:rPr>
          <w:rStyle w:val="22"/>
          <w:rFonts w:hint="eastAsia" w:ascii="仿宋" w:hAnsi="仿宋" w:eastAsia="仿宋" w:cs="仿宋"/>
          <w:b w:val="0"/>
          <w:bCs/>
          <w:color w:val="000000"/>
          <w:sz w:val="32"/>
          <w:szCs w:val="32"/>
          <w:lang w:val="en-US" w:eastAsia="zh-CN"/>
        </w:rPr>
        <w:t>220</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p>
    <w:p>
      <w:pPr>
        <w:spacing w:line="600" w:lineRule="exact"/>
        <w:ind w:firstLine="640" w:firstLineChars="200"/>
        <w:rPr>
          <w:rStyle w:val="22"/>
          <w:rFonts w:hint="eastAsia" w:ascii="仿宋" w:hAnsi="仿宋" w:eastAsia="仿宋" w:cs="仿宋"/>
          <w:b w:val="0"/>
          <w:bCs/>
          <w:color w:val="000000"/>
          <w:sz w:val="32"/>
          <w:szCs w:val="32"/>
          <w:lang w:eastAsia="zh-CN"/>
        </w:rPr>
      </w:pPr>
      <w:r>
        <w:rPr>
          <w:rStyle w:val="22"/>
          <w:rFonts w:hint="eastAsia" w:ascii="仿宋" w:hAnsi="仿宋" w:eastAsia="仿宋" w:cs="仿宋"/>
          <w:b w:val="0"/>
          <w:bCs/>
          <w:color w:val="000000"/>
          <w:sz w:val="32"/>
          <w:szCs w:val="32"/>
          <w:lang w:val="en-US" w:eastAsia="zh-CN"/>
        </w:rPr>
        <w:t>7.住房保障支出</w:t>
      </w:r>
      <w:r>
        <w:rPr>
          <w:rStyle w:val="22"/>
          <w:rFonts w:hint="eastAsia" w:ascii="仿宋" w:hAnsi="仿宋" w:eastAsia="仿宋" w:cs="仿宋"/>
          <w:b w:val="0"/>
          <w:bCs/>
          <w:color w:val="000000"/>
          <w:sz w:val="32"/>
          <w:szCs w:val="32"/>
        </w:rPr>
        <w:t>（类）</w:t>
      </w:r>
      <w:r>
        <w:rPr>
          <w:rStyle w:val="22"/>
          <w:rFonts w:hint="eastAsia" w:ascii="仿宋" w:hAnsi="仿宋" w:eastAsia="仿宋" w:cs="仿宋"/>
          <w:b w:val="0"/>
          <w:bCs/>
          <w:color w:val="000000"/>
          <w:sz w:val="32"/>
          <w:szCs w:val="32"/>
          <w:lang w:val="en-US" w:eastAsia="zh-CN"/>
        </w:rPr>
        <w:t>住房改革支出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 xml:space="preserve"> 住房公积金</w:t>
      </w:r>
      <w:r>
        <w:rPr>
          <w:rStyle w:val="22"/>
          <w:rFonts w:hint="eastAsia" w:ascii="仿宋" w:hAnsi="仿宋" w:eastAsia="仿宋" w:cs="仿宋"/>
          <w:b w:val="0"/>
          <w:bCs/>
          <w:color w:val="000000"/>
          <w:sz w:val="32"/>
          <w:szCs w:val="32"/>
        </w:rPr>
        <w:t>（项）:支出决算为</w:t>
      </w:r>
      <w:r>
        <w:rPr>
          <w:rStyle w:val="22"/>
          <w:rFonts w:hint="eastAsia" w:ascii="仿宋" w:hAnsi="仿宋" w:eastAsia="仿宋" w:cs="仿宋"/>
          <w:b w:val="0"/>
          <w:bCs/>
          <w:color w:val="000000"/>
          <w:sz w:val="32"/>
          <w:szCs w:val="32"/>
          <w:lang w:val="en-US" w:eastAsia="zh-CN"/>
        </w:rPr>
        <w:t>14.91</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p>
    <w:p>
      <w:pPr>
        <w:spacing w:line="600" w:lineRule="exact"/>
        <w:ind w:firstLine="640" w:firstLineChars="200"/>
        <w:rPr>
          <w:rFonts w:hint="eastAsia" w:ascii="仿宋" w:hAnsi="仿宋" w:eastAsia="仿宋" w:cs="仿宋"/>
          <w:b/>
          <w:color w:val="000000"/>
          <w:sz w:val="32"/>
          <w:szCs w:val="32"/>
        </w:rPr>
      </w:pPr>
      <w:r>
        <w:rPr>
          <w:rStyle w:val="22"/>
          <w:rFonts w:hint="eastAsia" w:ascii="仿宋" w:hAnsi="仿宋" w:eastAsia="仿宋" w:cs="仿宋"/>
          <w:b w:val="0"/>
          <w:bCs/>
          <w:color w:val="000000"/>
          <w:sz w:val="32"/>
          <w:szCs w:val="32"/>
          <w:lang w:val="en-US" w:eastAsia="zh-CN"/>
        </w:rPr>
        <w:t>8.住房保障支出</w:t>
      </w:r>
      <w:r>
        <w:rPr>
          <w:rStyle w:val="22"/>
          <w:rFonts w:hint="eastAsia" w:ascii="仿宋" w:hAnsi="仿宋" w:eastAsia="仿宋" w:cs="仿宋"/>
          <w:b w:val="0"/>
          <w:bCs/>
          <w:color w:val="000000"/>
          <w:sz w:val="32"/>
          <w:szCs w:val="32"/>
        </w:rPr>
        <w:t>（类）</w:t>
      </w:r>
      <w:r>
        <w:rPr>
          <w:rStyle w:val="22"/>
          <w:rFonts w:hint="eastAsia" w:ascii="仿宋" w:hAnsi="仿宋" w:eastAsia="仿宋" w:cs="仿宋"/>
          <w:b w:val="0"/>
          <w:bCs/>
          <w:color w:val="000000"/>
          <w:sz w:val="32"/>
          <w:szCs w:val="32"/>
          <w:lang w:val="en-US" w:eastAsia="zh-CN"/>
        </w:rPr>
        <w:t>住房改革支出</w:t>
      </w:r>
      <w:r>
        <w:rPr>
          <w:rStyle w:val="22"/>
          <w:rFonts w:hint="eastAsia" w:ascii="仿宋" w:hAnsi="仿宋" w:eastAsia="仿宋" w:cs="仿宋"/>
          <w:b w:val="0"/>
          <w:bCs/>
          <w:color w:val="000000"/>
          <w:sz w:val="32"/>
          <w:szCs w:val="32"/>
        </w:rPr>
        <w:t>（款）</w:t>
      </w:r>
      <w:r>
        <w:rPr>
          <w:rStyle w:val="22"/>
          <w:rFonts w:hint="eastAsia" w:ascii="仿宋" w:hAnsi="仿宋" w:eastAsia="仿宋" w:cs="仿宋"/>
          <w:b w:val="0"/>
          <w:bCs/>
          <w:color w:val="000000"/>
          <w:sz w:val="32"/>
          <w:szCs w:val="32"/>
          <w:lang w:val="en-US" w:eastAsia="zh-CN"/>
        </w:rPr>
        <w:t xml:space="preserve"> 住房公积金</w:t>
      </w:r>
      <w:r>
        <w:rPr>
          <w:rStyle w:val="22"/>
          <w:rFonts w:hint="eastAsia" w:ascii="仿宋" w:hAnsi="仿宋" w:eastAsia="仿宋" w:cs="仿宋"/>
          <w:b w:val="0"/>
          <w:bCs/>
          <w:color w:val="000000"/>
          <w:sz w:val="32"/>
          <w:szCs w:val="32"/>
        </w:rPr>
        <w:t>（项）:支出决算为</w:t>
      </w:r>
      <w:r>
        <w:rPr>
          <w:rStyle w:val="22"/>
          <w:rFonts w:hint="eastAsia" w:ascii="仿宋" w:hAnsi="仿宋" w:eastAsia="仿宋" w:cs="仿宋"/>
          <w:b w:val="0"/>
          <w:bCs/>
          <w:color w:val="000000"/>
          <w:sz w:val="32"/>
          <w:szCs w:val="32"/>
          <w:lang w:val="en-US" w:eastAsia="zh-CN"/>
        </w:rPr>
        <w:t>14.91</w:t>
      </w:r>
      <w:r>
        <w:rPr>
          <w:rStyle w:val="22"/>
          <w:rFonts w:hint="eastAsia" w:ascii="仿宋" w:hAnsi="仿宋" w:eastAsia="仿宋" w:cs="仿宋"/>
          <w:b w:val="0"/>
          <w:bCs/>
          <w:color w:val="000000"/>
          <w:sz w:val="32"/>
          <w:szCs w:val="32"/>
        </w:rPr>
        <w:t>万元，完成预算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%，决算数等于预算数</w:t>
      </w:r>
      <w:r>
        <w:rPr>
          <w:rStyle w:val="22"/>
          <w:rFonts w:hint="eastAsia" w:ascii="仿宋" w:hAnsi="仿宋" w:eastAsia="仿宋" w:cs="仿宋"/>
          <w:b w:val="0"/>
          <w:bCs/>
          <w:color w:val="000000"/>
          <w:sz w:val="32"/>
          <w:szCs w:val="32"/>
          <w:lang w:eastAsia="zh-CN"/>
        </w:rPr>
        <w:t>。</w:t>
      </w:r>
    </w:p>
    <w:p>
      <w:pPr>
        <w:tabs>
          <w:tab w:val="right" w:pos="8306"/>
        </w:tabs>
        <w:spacing w:line="600" w:lineRule="exact"/>
        <w:ind w:firstLine="640"/>
        <w:outlineLvl w:val="1"/>
        <w:rPr>
          <w:rStyle w:val="26"/>
          <w:rFonts w:hint="eastAsia" w:ascii="仿宋" w:hAnsi="仿宋" w:eastAsia="仿宋" w:cs="仿宋"/>
          <w:sz w:val="32"/>
          <w:szCs w:val="32"/>
        </w:rPr>
      </w:pPr>
      <w:bookmarkStart w:id="68" w:name="_Toc15396608"/>
      <w:bookmarkStart w:id="69" w:name="_Toc79163618"/>
      <w:bookmarkStart w:id="70" w:name="_Toc79163868"/>
      <w:bookmarkStart w:id="71" w:name="_Toc15377214"/>
      <w:r>
        <w:rPr>
          <w:rFonts w:hint="eastAsia" w:ascii="仿宋" w:hAnsi="仿宋" w:eastAsia="仿宋" w:cs="仿宋"/>
          <w:color w:val="000000"/>
          <w:sz w:val="32"/>
          <w:szCs w:val="32"/>
        </w:rPr>
        <w:t>六</w:t>
      </w:r>
      <w:r>
        <w:rPr>
          <w:rFonts w:hint="eastAsia" w:ascii="仿宋" w:hAnsi="仿宋" w:eastAsia="仿宋" w:cs="仿宋"/>
          <w:b/>
          <w:color w:val="000000"/>
          <w:sz w:val="32"/>
          <w:szCs w:val="32"/>
        </w:rPr>
        <w:t>、一</w:t>
      </w:r>
      <w:r>
        <w:rPr>
          <w:rStyle w:val="26"/>
          <w:rFonts w:hint="eastAsia" w:ascii="仿宋" w:hAnsi="仿宋" w:eastAsia="仿宋" w:cs="仿宋"/>
          <w:b w:val="0"/>
          <w:sz w:val="32"/>
          <w:szCs w:val="32"/>
        </w:rPr>
        <w:t>般公共预算财政拨款基本支出决算情况说明</w:t>
      </w:r>
      <w:bookmarkEnd w:id="68"/>
      <w:bookmarkEnd w:id="69"/>
      <w:bookmarkEnd w:id="70"/>
      <w:bookmarkEnd w:id="71"/>
      <w:r>
        <w:rPr>
          <w:rStyle w:val="26"/>
          <w:rFonts w:hint="eastAsia" w:ascii="仿宋" w:hAnsi="仿宋" w:eastAsia="仿宋" w:cs="仿宋"/>
          <w:b w:val="0"/>
          <w:sz w:val="32"/>
          <w:szCs w:val="32"/>
        </w:rPr>
        <w:tab/>
      </w:r>
    </w:p>
    <w:p>
      <w:pPr>
        <w:spacing w:line="600" w:lineRule="exact"/>
        <w:ind w:firstLine="645"/>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2020年一般公共预算财政拨款基本支出202.44万元，其中：人员经费</w:t>
      </w:r>
      <w:r>
        <w:rPr>
          <w:rFonts w:hint="eastAsia" w:ascii="仿宋" w:hAnsi="仿宋" w:eastAsia="仿宋" w:cs="仿宋"/>
          <w:color w:val="000000"/>
          <w:sz w:val="32"/>
          <w:szCs w:val="32"/>
          <w:lang w:val="en-US" w:eastAsia="zh-CN"/>
        </w:rPr>
        <w:t>185.94</w:t>
      </w:r>
      <w:r>
        <w:rPr>
          <w:rFonts w:hint="eastAsia" w:ascii="仿宋" w:hAnsi="仿宋" w:eastAsia="仿宋" w:cs="仿宋"/>
          <w:color w:val="000000"/>
          <w:sz w:val="32"/>
          <w:szCs w:val="32"/>
        </w:rPr>
        <w:t>万元，主要包括：基本工资、津贴补贴、奖金、绩效工资、机关事业单位基本养老保险缴费、职业年金缴费、其他社会保障缴费、抚恤金、生活补助、医疗费补助、</w:t>
      </w:r>
      <w:r>
        <w:rPr>
          <w:rFonts w:hint="eastAsia" w:ascii="仿宋" w:hAnsi="仿宋" w:eastAsia="仿宋" w:cs="仿宋"/>
          <w:color w:val="000000"/>
          <w:sz w:val="32"/>
          <w:szCs w:val="32"/>
          <w:lang w:eastAsia="zh-CN"/>
        </w:rPr>
        <w:t>助学金、</w:t>
      </w:r>
      <w:r>
        <w:rPr>
          <w:rFonts w:hint="eastAsia" w:ascii="仿宋" w:hAnsi="仿宋" w:eastAsia="仿宋" w:cs="仿宋"/>
          <w:color w:val="000000"/>
          <w:sz w:val="32"/>
          <w:szCs w:val="32"/>
        </w:rPr>
        <w:t>奖励金</w:t>
      </w:r>
      <w:r>
        <w:rPr>
          <w:rFonts w:hint="eastAsia" w:ascii="仿宋" w:hAnsi="仿宋" w:eastAsia="仿宋" w:cs="仿宋"/>
          <w:color w:val="000000"/>
          <w:sz w:val="32"/>
          <w:szCs w:val="32"/>
          <w:lang w:eastAsia="zh-CN"/>
        </w:rPr>
        <w:t>支出</w:t>
      </w:r>
      <w:r>
        <w:rPr>
          <w:rFonts w:hint="eastAsia" w:ascii="仿宋" w:hAnsi="仿宋" w:eastAsia="仿宋" w:cs="仿宋"/>
          <w:color w:val="000000"/>
          <w:sz w:val="32"/>
          <w:szCs w:val="32"/>
        </w:rPr>
        <w:t>。</w:t>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　　日常公用经费</w:t>
      </w:r>
      <w:r>
        <w:rPr>
          <w:rFonts w:hint="eastAsia" w:ascii="仿宋" w:hAnsi="仿宋" w:eastAsia="仿宋" w:cs="仿宋"/>
          <w:color w:val="000000"/>
          <w:sz w:val="32"/>
          <w:szCs w:val="32"/>
          <w:lang w:val="en-US" w:eastAsia="zh-CN"/>
        </w:rPr>
        <w:t>16.5</w:t>
      </w:r>
      <w:r>
        <w:rPr>
          <w:rFonts w:hint="eastAsia" w:ascii="仿宋" w:hAnsi="仿宋" w:eastAsia="仿宋" w:cs="仿宋"/>
          <w:color w:val="000000"/>
          <w:sz w:val="32"/>
          <w:szCs w:val="32"/>
        </w:rPr>
        <w:t>万元，主要包括：办公费、印刷费、水费、电费、邮电费、取暖费、物业管理费、差旅费、维修（护）费、会议费、培训费、公务接待费、劳务费、工会经费、福利费、公务用车运行维护费、其他交通费</w:t>
      </w:r>
      <w:r>
        <w:rPr>
          <w:rFonts w:hint="eastAsia" w:ascii="仿宋" w:hAnsi="仿宋" w:eastAsia="仿宋" w:cs="仿宋"/>
          <w:color w:val="000000"/>
          <w:sz w:val="32"/>
          <w:szCs w:val="32"/>
          <w:lang w:eastAsia="zh-CN"/>
        </w:rPr>
        <w:t>支出</w:t>
      </w:r>
      <w:r>
        <w:rPr>
          <w:rFonts w:hint="eastAsia" w:ascii="仿宋" w:hAnsi="仿宋" w:eastAsia="仿宋" w:cs="仿宋"/>
          <w:color w:val="000000"/>
          <w:sz w:val="32"/>
          <w:szCs w:val="32"/>
        </w:rPr>
        <w:t>。</w:t>
      </w:r>
    </w:p>
    <w:p>
      <w:pPr>
        <w:spacing w:line="600" w:lineRule="exact"/>
        <w:ind w:firstLine="640"/>
        <w:rPr>
          <w:rFonts w:hint="eastAsia" w:ascii="仿宋" w:hAnsi="仿宋" w:eastAsia="仿宋" w:cs="仿宋"/>
          <w:b/>
          <w:color w:val="FF0000"/>
          <w:sz w:val="32"/>
          <w:szCs w:val="32"/>
        </w:rPr>
      </w:pPr>
    </w:p>
    <w:p>
      <w:pPr>
        <w:spacing w:line="600" w:lineRule="exact"/>
        <w:ind w:firstLine="640"/>
        <w:outlineLvl w:val="1"/>
        <w:rPr>
          <w:rStyle w:val="26"/>
          <w:rFonts w:hint="eastAsia" w:ascii="黑体" w:hAnsi="黑体" w:eastAsia="黑体" w:cs="黑体"/>
          <w:b w:val="0"/>
          <w:sz w:val="32"/>
          <w:szCs w:val="32"/>
        </w:rPr>
      </w:pPr>
      <w:bookmarkStart w:id="72" w:name="_Toc79163619"/>
      <w:bookmarkStart w:id="73" w:name="_Toc15377215"/>
      <w:bookmarkStart w:id="74" w:name="_Toc15396609"/>
      <w:bookmarkStart w:id="75" w:name="_Toc79163869"/>
      <w:r>
        <w:rPr>
          <w:rFonts w:hint="eastAsia" w:ascii="黑体" w:hAnsi="黑体" w:eastAsia="黑体" w:cs="黑体"/>
          <w:color w:val="000000"/>
          <w:sz w:val="32"/>
          <w:szCs w:val="32"/>
        </w:rPr>
        <w:t>七、</w:t>
      </w:r>
      <w:r>
        <w:rPr>
          <w:rStyle w:val="26"/>
          <w:rFonts w:hint="eastAsia" w:ascii="黑体" w:hAnsi="黑体" w:eastAsia="黑体" w:cs="黑体"/>
          <w:sz w:val="32"/>
          <w:szCs w:val="32"/>
        </w:rPr>
        <w:t>“</w:t>
      </w:r>
      <w:r>
        <w:rPr>
          <w:rStyle w:val="26"/>
          <w:rFonts w:hint="eastAsia" w:ascii="黑体" w:hAnsi="黑体" w:eastAsia="黑体" w:cs="黑体"/>
          <w:b w:val="0"/>
          <w:sz w:val="32"/>
          <w:szCs w:val="32"/>
        </w:rPr>
        <w:t>三公”经费财政拨款支出决算情况说明</w:t>
      </w:r>
      <w:bookmarkEnd w:id="72"/>
      <w:bookmarkEnd w:id="73"/>
      <w:bookmarkEnd w:id="74"/>
      <w:bookmarkEnd w:id="75"/>
    </w:p>
    <w:p>
      <w:pPr>
        <w:spacing w:line="600" w:lineRule="exact"/>
        <w:ind w:firstLine="640"/>
        <w:outlineLvl w:val="2"/>
        <w:rPr>
          <w:rFonts w:hint="eastAsia" w:ascii="仿宋" w:hAnsi="仿宋" w:eastAsia="仿宋" w:cs="仿宋"/>
          <w:b/>
          <w:color w:val="000000"/>
          <w:sz w:val="32"/>
          <w:szCs w:val="32"/>
        </w:rPr>
      </w:pPr>
      <w:bookmarkStart w:id="76" w:name="_Toc15377216"/>
      <w:bookmarkStart w:id="77" w:name="_Toc79163620"/>
      <w:bookmarkStart w:id="78" w:name="_Toc79163870"/>
      <w:r>
        <w:rPr>
          <w:rFonts w:hint="eastAsia" w:ascii="仿宋" w:hAnsi="仿宋" w:eastAsia="仿宋" w:cs="仿宋"/>
          <w:b/>
          <w:color w:val="000000"/>
          <w:sz w:val="32"/>
          <w:szCs w:val="32"/>
        </w:rPr>
        <w:t>（一）“三公”经费财政拨款支出决算总体情况说明</w:t>
      </w:r>
      <w:bookmarkEnd w:id="76"/>
      <w:bookmarkEnd w:id="77"/>
      <w:bookmarkEnd w:id="78"/>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2020年“三公”经费财政拨款支出决算为</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%，决算数与预算数持平。</w:t>
      </w:r>
    </w:p>
    <w:p>
      <w:pPr>
        <w:spacing w:line="600" w:lineRule="exact"/>
        <w:ind w:firstLine="640"/>
        <w:outlineLvl w:val="2"/>
        <w:rPr>
          <w:rFonts w:hint="eastAsia" w:ascii="仿宋" w:hAnsi="仿宋" w:eastAsia="仿宋" w:cs="仿宋"/>
          <w:b/>
          <w:color w:val="000000"/>
          <w:sz w:val="32"/>
          <w:szCs w:val="32"/>
        </w:rPr>
      </w:pPr>
      <w:bookmarkStart w:id="79" w:name="_Toc79163621"/>
      <w:bookmarkStart w:id="80" w:name="_Toc79163871"/>
      <w:bookmarkStart w:id="81" w:name="_Toc15377217"/>
      <w:r>
        <w:rPr>
          <w:rFonts w:hint="eastAsia" w:ascii="仿宋" w:hAnsi="仿宋" w:eastAsia="仿宋" w:cs="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2020年“三公”经费财政拨款支出决算中，因公出国（境）费支出决算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%；公务用车购置及运行维护费支出决算</w:t>
      </w:r>
      <w:r>
        <w:rPr>
          <w:rFonts w:hint="eastAsia" w:ascii="仿宋" w:hAnsi="仿宋" w:eastAsia="仿宋" w:cs="仿宋"/>
          <w:color w:val="000000"/>
          <w:sz w:val="32"/>
          <w:szCs w:val="32"/>
          <w:lang w:val="en-US" w:eastAsia="zh-CN"/>
        </w:rPr>
        <w:t>9.8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98.99</w:t>
      </w:r>
      <w:r>
        <w:rPr>
          <w:rFonts w:hint="eastAsia" w:ascii="仿宋" w:hAnsi="仿宋" w:eastAsia="仿宋" w:cs="仿宋"/>
          <w:color w:val="000000"/>
          <w:sz w:val="32"/>
          <w:szCs w:val="32"/>
        </w:rPr>
        <w:t>%；公务接待费支出决算</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1.01</w:t>
      </w:r>
      <w:r>
        <w:rPr>
          <w:rFonts w:hint="eastAsia" w:ascii="仿宋" w:hAnsi="仿宋" w:eastAsia="仿宋" w:cs="仿宋"/>
          <w:color w:val="000000"/>
          <w:sz w:val="32"/>
          <w:szCs w:val="32"/>
        </w:rPr>
        <w:t>%。具体情况如下：</w:t>
      </w: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drawing>
          <wp:anchor distT="0" distB="0" distL="114300" distR="114300" simplePos="0" relativeHeight="251665408" behindDoc="0" locked="0" layoutInCell="1" allowOverlap="1">
            <wp:simplePos x="0" y="0"/>
            <wp:positionH relativeFrom="column">
              <wp:posOffset>247015</wp:posOffset>
            </wp:positionH>
            <wp:positionV relativeFrom="paragraph">
              <wp:posOffset>5080</wp:posOffset>
            </wp:positionV>
            <wp:extent cx="3728720" cy="2468245"/>
            <wp:effectExtent l="4445" t="4445" r="19685" b="2286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（图7：“三公”经费财政拨款支出结构）（饼状图）</w:t>
      </w:r>
    </w:p>
    <w:p>
      <w:pPr>
        <w:spacing w:line="600" w:lineRule="exact"/>
        <w:ind w:firstLine="640"/>
        <w:rPr>
          <w:rStyle w:val="22"/>
          <w:rFonts w:hint="eastAsia" w:ascii="仿宋" w:hAnsi="仿宋" w:eastAsia="仿宋" w:cs="仿宋"/>
          <w:b w:val="0"/>
          <w:bCs/>
          <w:color w:val="000000"/>
          <w:sz w:val="32"/>
          <w:szCs w:val="32"/>
          <w:lang w:val="en-US" w:eastAsia="zh-CN"/>
        </w:rPr>
      </w:pPr>
      <w:r>
        <w:rPr>
          <w:rStyle w:val="22"/>
          <w:rFonts w:hint="eastAsia" w:ascii="仿宋" w:hAnsi="仿宋" w:eastAsia="仿宋" w:cs="仿宋"/>
          <w:b w:val="0"/>
          <w:bCs/>
          <w:color w:val="000000"/>
          <w:sz w:val="32"/>
          <w:szCs w:val="32"/>
          <w:lang w:val="en-US" w:eastAsia="zh-CN"/>
        </w:rPr>
        <w:t>1.因公出国（境）经费支出0万元，完成预算0%。全年安排因公出国（境）团组0次，出国（境）0人。</w:t>
      </w:r>
    </w:p>
    <w:p>
      <w:pPr>
        <w:spacing w:line="600" w:lineRule="exact"/>
        <w:ind w:firstLine="640"/>
        <w:rPr>
          <w:rFonts w:hint="eastAsia" w:ascii="仿宋" w:hAnsi="仿宋" w:eastAsia="仿宋" w:cs="仿宋"/>
          <w:b/>
          <w:color w:val="000000"/>
          <w:sz w:val="32"/>
          <w:szCs w:val="32"/>
        </w:rPr>
      </w:pPr>
      <w:r>
        <w:rPr>
          <w:rStyle w:val="22"/>
          <w:rFonts w:hint="eastAsia" w:ascii="仿宋" w:hAnsi="仿宋" w:eastAsia="仿宋" w:cs="仿宋"/>
          <w:b w:val="0"/>
          <w:bCs/>
          <w:color w:val="000000"/>
          <w:sz w:val="32"/>
          <w:szCs w:val="32"/>
          <w:lang w:val="en-US" w:eastAsia="zh-CN"/>
        </w:rPr>
        <w:t>2.公务用车购置及运行维护费支出9.8</w:t>
      </w:r>
      <w:r>
        <w:rPr>
          <w:rFonts w:hint="eastAsia" w:ascii="仿宋" w:hAnsi="仿宋" w:eastAsia="仿宋" w:cs="仿宋"/>
          <w:color w:val="000000"/>
          <w:sz w:val="32"/>
          <w:szCs w:val="32"/>
        </w:rPr>
        <w:t>万元,</w:t>
      </w:r>
      <w:r>
        <w:rPr>
          <w:rStyle w:val="22"/>
          <w:rFonts w:hint="eastAsia" w:ascii="仿宋" w:hAnsi="仿宋" w:eastAsia="仿宋" w:cs="仿宋"/>
          <w:b w:val="0"/>
          <w:bCs/>
          <w:color w:val="000000"/>
          <w:sz w:val="32"/>
          <w:szCs w:val="32"/>
        </w:rPr>
        <w:t>完成预算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公务用车购置及运行维护费支出决算比201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年减少</w:t>
      </w:r>
      <w:r>
        <w:rPr>
          <w:rFonts w:hint="eastAsia" w:ascii="仿宋" w:hAnsi="仿宋" w:eastAsia="仿宋" w:cs="仿宋"/>
          <w:color w:val="000000"/>
          <w:sz w:val="32"/>
          <w:szCs w:val="32"/>
          <w:lang w:val="en-US" w:eastAsia="zh-CN"/>
        </w:rPr>
        <w:t>3.61</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26.92</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压减运行维护费支出节约开支</w:t>
      </w:r>
      <w:r>
        <w:rPr>
          <w:rFonts w:hint="eastAsia" w:ascii="仿宋" w:hAnsi="仿宋" w:eastAsia="仿宋" w:cs="仿宋"/>
          <w:color w:val="000000"/>
          <w:sz w:val="32"/>
          <w:szCs w:val="32"/>
        </w:rPr>
        <w:t>。</w:t>
      </w:r>
    </w:p>
    <w:p>
      <w:pPr>
        <w:spacing w:line="600" w:lineRule="exact"/>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t>其中：公务用车购置支出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万元。全年按规定更新购置公务用车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辆，其中：轿车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辆、金额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万元，越野车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辆、金额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万元，载客汽车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辆、金额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万元。截至2020年12月底，单位共有公务用车</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辆，其中：轿车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辆、越野车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辆、载客汽车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公务用车运行维护费支出</w:t>
      </w:r>
      <w:r>
        <w:rPr>
          <w:rFonts w:hint="eastAsia" w:ascii="仿宋" w:hAnsi="仿宋" w:eastAsia="仿宋" w:cs="仿宋"/>
          <w:color w:val="000000"/>
          <w:sz w:val="32"/>
          <w:szCs w:val="32"/>
          <w:lang w:val="en-US" w:eastAsia="zh-CN"/>
        </w:rPr>
        <w:t>9.8</w:t>
      </w:r>
      <w:r>
        <w:rPr>
          <w:rFonts w:hint="eastAsia" w:ascii="仿宋" w:hAnsi="仿宋" w:eastAsia="仿宋" w:cs="仿宋"/>
          <w:color w:val="000000"/>
          <w:sz w:val="32"/>
          <w:szCs w:val="32"/>
        </w:rPr>
        <w:t>万元。主要用于</w:t>
      </w:r>
      <w:r>
        <w:rPr>
          <w:rFonts w:hint="eastAsia" w:ascii="仿宋" w:hAnsi="仿宋" w:eastAsia="仿宋" w:cs="仿宋"/>
          <w:color w:val="000000"/>
          <w:sz w:val="32"/>
          <w:szCs w:val="32"/>
          <w:lang w:eastAsia="zh-CN"/>
        </w:rPr>
        <w:t>单位职工下乡、出差</w:t>
      </w:r>
      <w:r>
        <w:rPr>
          <w:rFonts w:hint="eastAsia" w:ascii="仿宋" w:hAnsi="仿宋" w:eastAsia="仿宋" w:cs="仿宋"/>
          <w:color w:val="000000"/>
          <w:sz w:val="32"/>
          <w:szCs w:val="32"/>
        </w:rPr>
        <w:t>等所需的公务用车燃料费、维修费、过路过桥费、保险费等支出。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3.公务接待费支出</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万元，完</w:t>
      </w:r>
      <w:r>
        <w:rPr>
          <w:rStyle w:val="22"/>
          <w:rFonts w:hint="eastAsia" w:ascii="仿宋" w:hAnsi="仿宋" w:eastAsia="仿宋" w:cs="仿宋"/>
          <w:b w:val="0"/>
          <w:bCs/>
          <w:color w:val="000000"/>
          <w:sz w:val="32"/>
          <w:szCs w:val="32"/>
        </w:rPr>
        <w:t>成预算</w:t>
      </w:r>
      <w:r>
        <w:rPr>
          <w:rStyle w:val="22"/>
          <w:rFonts w:hint="eastAsia" w:ascii="仿宋" w:hAnsi="仿宋" w:eastAsia="仿宋" w:cs="仿宋"/>
          <w:b w:val="0"/>
          <w:bCs/>
          <w:color w:val="000000"/>
          <w:sz w:val="32"/>
          <w:szCs w:val="32"/>
          <w:lang w:val="en-US" w:eastAsia="zh-CN"/>
        </w:rPr>
        <w:t>100</w:t>
      </w:r>
      <w:r>
        <w:rPr>
          <w:rStyle w:val="22"/>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公务接待费支出决算比2019年减少</w:t>
      </w:r>
      <w:r>
        <w:rPr>
          <w:rFonts w:hint="eastAsia" w:ascii="仿宋" w:hAnsi="仿宋" w:eastAsia="仿宋" w:cs="仿宋"/>
          <w:color w:val="000000"/>
          <w:sz w:val="32"/>
          <w:szCs w:val="32"/>
          <w:lang w:val="en-US" w:eastAsia="zh-CN"/>
        </w:rPr>
        <w:t>1.11</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99.1</w:t>
      </w:r>
      <w:r>
        <w:rPr>
          <w:rFonts w:hint="eastAsia" w:ascii="仿宋" w:hAnsi="仿宋" w:eastAsia="仿宋" w:cs="仿宋"/>
          <w:color w:val="000000"/>
          <w:sz w:val="32"/>
          <w:szCs w:val="32"/>
        </w:rPr>
        <w:t>%。主要原因</w:t>
      </w:r>
      <w:r>
        <w:rPr>
          <w:rFonts w:hint="eastAsia" w:ascii="仿宋" w:hAnsi="仿宋" w:eastAsia="仿宋" w:cs="仿宋"/>
          <w:color w:val="000000"/>
          <w:sz w:val="32"/>
          <w:szCs w:val="32"/>
          <w:lang w:eastAsia="zh-CN"/>
        </w:rPr>
        <w:t>当年接待事项少，减少了接待费支出</w:t>
      </w:r>
      <w:r>
        <w:rPr>
          <w:rFonts w:hint="eastAsia" w:ascii="仿宋" w:hAnsi="仿宋" w:eastAsia="仿宋" w:cs="仿宋"/>
          <w:color w:val="000000"/>
          <w:sz w:val="32"/>
          <w:szCs w:val="32"/>
        </w:rPr>
        <w:t>。其中：国内公务接待支出</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万元，主要用于</w:t>
      </w:r>
      <w:r>
        <w:rPr>
          <w:rFonts w:hint="eastAsia" w:ascii="仿宋" w:hAnsi="仿宋" w:eastAsia="仿宋" w:cs="仿宋"/>
          <w:color w:val="000000"/>
          <w:sz w:val="32"/>
          <w:szCs w:val="32"/>
          <w:lang w:eastAsia="zh-CN"/>
        </w:rPr>
        <w:t>外县工作人员到我县检查工作</w:t>
      </w:r>
      <w:r>
        <w:rPr>
          <w:rFonts w:hint="eastAsia" w:ascii="仿宋" w:hAnsi="仿宋" w:eastAsia="仿宋" w:cs="仿宋"/>
          <w:color w:val="000000"/>
          <w:sz w:val="32"/>
          <w:szCs w:val="32"/>
        </w:rPr>
        <w:t>用餐费等。国内公务接待</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批次，</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人次（不包括陪同人员），共计支出</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万元，具体内容包括：</w:t>
      </w:r>
      <w:r>
        <w:rPr>
          <w:rFonts w:hint="eastAsia" w:ascii="仿宋" w:hAnsi="仿宋" w:eastAsia="仿宋" w:cs="仿宋"/>
          <w:color w:val="000000"/>
          <w:sz w:val="32"/>
          <w:szCs w:val="32"/>
          <w:lang w:eastAsia="zh-CN"/>
        </w:rPr>
        <w:t>外县工作人员到我县检查工作</w:t>
      </w:r>
      <w:r>
        <w:rPr>
          <w:rFonts w:hint="eastAsia" w:ascii="仿宋" w:hAnsi="仿宋" w:eastAsia="仿宋" w:cs="仿宋"/>
          <w:color w:val="000000"/>
          <w:sz w:val="32"/>
          <w:szCs w:val="32"/>
        </w:rPr>
        <w:t>用餐费</w:t>
      </w:r>
      <w:r>
        <w:rPr>
          <w:rFonts w:hint="eastAsia" w:ascii="仿宋" w:hAnsi="仿宋" w:eastAsia="仿宋" w:cs="仿宋"/>
          <w:color w:val="000000"/>
          <w:sz w:val="32"/>
          <w:szCs w:val="32"/>
          <w:lang w:eastAsia="zh-CN"/>
        </w:rPr>
        <w:t>用</w:t>
      </w:r>
      <w:r>
        <w:rPr>
          <w:rFonts w:hint="eastAsia" w:ascii="仿宋" w:hAnsi="仿宋" w:eastAsia="仿宋" w:cs="仿宋"/>
          <w:color w:val="000000"/>
          <w:sz w:val="32"/>
          <w:szCs w:val="32"/>
        </w:rPr>
        <w:t>。</w:t>
      </w:r>
    </w:p>
    <w:p>
      <w:pPr>
        <w:spacing w:line="600" w:lineRule="exact"/>
        <w:ind w:firstLine="640"/>
        <w:outlineLvl w:val="1"/>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外事接待支出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万元，外事接待</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批次，</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人，共计支出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bookmarkStart w:id="82" w:name="_Toc15396610"/>
      <w:bookmarkStart w:id="83" w:name="_Toc79163622"/>
      <w:bookmarkStart w:id="84" w:name="_Toc15377218"/>
      <w:bookmarkStart w:id="85" w:name="_Toc79163872"/>
      <w:r>
        <w:rPr>
          <w:rFonts w:hint="eastAsia" w:ascii="仿宋" w:hAnsi="仿宋" w:eastAsia="仿宋" w:cs="仿宋"/>
          <w:color w:val="000000"/>
          <w:sz w:val="32"/>
          <w:szCs w:val="32"/>
          <w:lang w:eastAsia="zh-CN"/>
        </w:rPr>
        <w:t>。</w:t>
      </w:r>
    </w:p>
    <w:p>
      <w:pPr>
        <w:spacing w:line="600" w:lineRule="exact"/>
        <w:ind w:firstLine="640"/>
        <w:outlineLvl w:val="1"/>
        <w:rPr>
          <w:rStyle w:val="26"/>
          <w:rFonts w:hint="eastAsia" w:ascii="黑体" w:hAnsi="黑体" w:eastAsia="黑体" w:cs="黑体"/>
          <w:sz w:val="32"/>
          <w:szCs w:val="32"/>
        </w:rPr>
      </w:pPr>
      <w:r>
        <w:rPr>
          <w:rFonts w:hint="eastAsia" w:ascii="黑体" w:hAnsi="黑体" w:eastAsia="黑体" w:cs="黑体"/>
          <w:color w:val="000000"/>
          <w:sz w:val="32"/>
          <w:szCs w:val="32"/>
        </w:rPr>
        <w:t>八、</w:t>
      </w:r>
      <w:r>
        <w:rPr>
          <w:rStyle w:val="26"/>
          <w:rFonts w:hint="eastAsia" w:ascii="黑体" w:hAnsi="黑体" w:eastAsia="黑体" w:cs="黑体"/>
          <w:b w:val="0"/>
          <w:sz w:val="32"/>
          <w:szCs w:val="32"/>
        </w:rPr>
        <w:t>政府性基金预算支出决算情况说明</w:t>
      </w:r>
      <w:bookmarkEnd w:id="82"/>
      <w:bookmarkEnd w:id="83"/>
      <w:bookmarkEnd w:id="84"/>
      <w:bookmarkEnd w:id="8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2020年政府性基金预算拨款支出</w:t>
      </w:r>
      <w:r>
        <w:rPr>
          <w:rFonts w:hint="eastAsia" w:ascii="仿宋" w:hAnsi="仿宋" w:eastAsia="仿宋" w:cs="仿宋"/>
          <w:color w:val="000000"/>
          <w:sz w:val="32"/>
          <w:szCs w:val="32"/>
          <w:lang w:val="en-US" w:eastAsia="zh-CN"/>
        </w:rPr>
        <w:t>31</w:t>
      </w:r>
      <w:r>
        <w:rPr>
          <w:rFonts w:hint="eastAsia" w:ascii="仿宋" w:hAnsi="仿宋" w:eastAsia="仿宋" w:cs="仿宋"/>
          <w:color w:val="000000"/>
          <w:sz w:val="32"/>
          <w:szCs w:val="32"/>
        </w:rPr>
        <w:t>万元。</w:t>
      </w:r>
    </w:p>
    <w:p>
      <w:pPr>
        <w:spacing w:line="600" w:lineRule="exact"/>
        <w:ind w:firstLine="640"/>
        <w:rPr>
          <w:rFonts w:hint="eastAsia" w:ascii="仿宋" w:hAnsi="仿宋" w:eastAsia="仿宋" w:cs="仿宋"/>
          <w:color w:val="000000"/>
          <w:sz w:val="32"/>
          <w:szCs w:val="32"/>
        </w:rPr>
      </w:pPr>
    </w:p>
    <w:p>
      <w:pPr>
        <w:numPr>
          <w:ilvl w:val="0"/>
          <w:numId w:val="3"/>
        </w:numPr>
        <w:spacing w:line="600" w:lineRule="exact"/>
        <w:ind w:firstLine="640"/>
        <w:outlineLvl w:val="1"/>
        <w:rPr>
          <w:rStyle w:val="26"/>
          <w:rFonts w:hint="eastAsia" w:ascii="黑体" w:hAnsi="黑体" w:eastAsia="黑体" w:cs="黑体"/>
          <w:b w:val="0"/>
          <w:sz w:val="32"/>
          <w:szCs w:val="32"/>
        </w:rPr>
      </w:pPr>
      <w:bookmarkStart w:id="86" w:name="_Toc15377219"/>
      <w:bookmarkStart w:id="87" w:name="_Toc15396611"/>
      <w:bookmarkStart w:id="88" w:name="_Toc79163623"/>
      <w:bookmarkStart w:id="89" w:name="_Toc79163873"/>
      <w:r>
        <w:rPr>
          <w:rStyle w:val="26"/>
          <w:rFonts w:hint="eastAsia" w:ascii="黑体" w:hAnsi="黑体" w:eastAsia="黑体" w:cs="黑体"/>
          <w:b w:val="0"/>
          <w:sz w:val="32"/>
          <w:szCs w:val="32"/>
        </w:rPr>
        <w:t>国有资本经营预算支出决算情况说明</w:t>
      </w:r>
      <w:bookmarkEnd w:id="86"/>
      <w:bookmarkEnd w:id="87"/>
      <w:bookmarkEnd w:id="88"/>
      <w:bookmarkEnd w:id="8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2020年国有资本经营预算拨款支出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spacing w:line="580" w:lineRule="exact"/>
        <w:jc w:val="center"/>
        <w:rPr>
          <w:rFonts w:hint="eastAsia" w:ascii="仿宋" w:hAnsi="仿宋" w:eastAsia="仿宋" w:cs="仿宋"/>
          <w:sz w:val="32"/>
          <w:szCs w:val="32"/>
        </w:rPr>
      </w:pPr>
    </w:p>
    <w:p>
      <w:pPr>
        <w:spacing w:line="600" w:lineRule="exact"/>
        <w:ind w:firstLine="800" w:firstLineChars="250"/>
        <w:outlineLvl w:val="1"/>
        <w:rPr>
          <w:rStyle w:val="26"/>
          <w:rFonts w:hint="eastAsia" w:ascii="黑体" w:hAnsi="黑体" w:eastAsia="黑体" w:cs="黑体"/>
          <w:sz w:val="32"/>
          <w:szCs w:val="32"/>
        </w:rPr>
      </w:pPr>
      <w:bookmarkStart w:id="90" w:name="_Toc79163624"/>
      <w:bookmarkStart w:id="91" w:name="_Toc79163874"/>
      <w:bookmarkStart w:id="92" w:name="_Toc15377221"/>
      <w:bookmarkStart w:id="93" w:name="_Toc15396612"/>
      <w:r>
        <w:rPr>
          <w:rFonts w:hint="eastAsia" w:ascii="黑体" w:hAnsi="黑体" w:eastAsia="黑体" w:cs="黑体"/>
          <w:color w:val="000000"/>
          <w:sz w:val="32"/>
          <w:szCs w:val="32"/>
        </w:rPr>
        <w:t>十</w:t>
      </w:r>
      <w:r>
        <w:rPr>
          <w:rStyle w:val="26"/>
          <w:rFonts w:hint="eastAsia" w:ascii="黑体" w:hAnsi="黑体" w:eastAsia="黑体" w:cs="黑体"/>
          <w:sz w:val="32"/>
          <w:szCs w:val="32"/>
        </w:rPr>
        <w:t>、</w:t>
      </w:r>
      <w:r>
        <w:rPr>
          <w:rStyle w:val="26"/>
          <w:rFonts w:hint="eastAsia" w:ascii="黑体" w:hAnsi="黑体" w:eastAsia="黑体" w:cs="黑体"/>
          <w:b w:val="0"/>
          <w:sz w:val="32"/>
          <w:szCs w:val="32"/>
        </w:rPr>
        <w:t>其他重要事项的情况说明</w:t>
      </w:r>
      <w:bookmarkEnd w:id="90"/>
      <w:bookmarkEnd w:id="91"/>
      <w:bookmarkEnd w:id="92"/>
      <w:bookmarkEnd w:id="93"/>
    </w:p>
    <w:p>
      <w:pPr>
        <w:spacing w:line="600" w:lineRule="exact"/>
        <w:ind w:firstLine="643" w:firstLineChars="200"/>
        <w:outlineLvl w:val="2"/>
        <w:rPr>
          <w:rFonts w:hint="eastAsia" w:ascii="仿宋" w:hAnsi="仿宋" w:eastAsia="仿宋" w:cs="仿宋"/>
          <w:color w:val="000000"/>
          <w:sz w:val="32"/>
          <w:szCs w:val="32"/>
        </w:rPr>
      </w:pPr>
      <w:bookmarkStart w:id="94" w:name="_Toc79163875"/>
      <w:bookmarkStart w:id="95" w:name="_Toc79163625"/>
      <w:bookmarkStart w:id="96" w:name="_Toc15377222"/>
      <w:r>
        <w:rPr>
          <w:rFonts w:hint="eastAsia" w:ascii="仿宋" w:hAnsi="仿宋" w:eastAsia="仿宋" w:cs="仿宋"/>
          <w:b/>
          <w:color w:val="000000"/>
          <w:sz w:val="32"/>
          <w:szCs w:val="32"/>
        </w:rPr>
        <w:t>（一）机关运行经费支出情况</w:t>
      </w:r>
      <w:bookmarkEnd w:id="94"/>
      <w:bookmarkEnd w:id="95"/>
      <w:bookmarkEnd w:id="96"/>
    </w:p>
    <w:p>
      <w:pPr>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eastAsia="zh-CN"/>
        </w:rPr>
        <w:t>壤塘县教育局也</w:t>
      </w:r>
      <w:r>
        <w:rPr>
          <w:rFonts w:hint="eastAsia" w:ascii="仿宋" w:hAnsi="仿宋" w:eastAsia="仿宋" w:cs="仿宋"/>
          <w:color w:val="000000"/>
          <w:sz w:val="32"/>
          <w:szCs w:val="32"/>
        </w:rPr>
        <w:t>机关运行经费支出</w:t>
      </w:r>
      <w:r>
        <w:rPr>
          <w:rFonts w:hint="eastAsia" w:ascii="仿宋" w:hAnsi="仿宋" w:eastAsia="仿宋" w:cs="仿宋"/>
          <w:color w:val="000000"/>
          <w:sz w:val="32"/>
          <w:szCs w:val="32"/>
          <w:lang w:val="en-US" w:eastAsia="zh-CN"/>
        </w:rPr>
        <w:t>16.5</w:t>
      </w:r>
      <w:r>
        <w:rPr>
          <w:rFonts w:hint="eastAsia" w:ascii="仿宋" w:hAnsi="仿宋" w:eastAsia="仿宋" w:cs="仿宋"/>
          <w:color w:val="000000"/>
          <w:sz w:val="32"/>
          <w:szCs w:val="32"/>
        </w:rPr>
        <w:t>万元，比2019年减少</w:t>
      </w:r>
      <w:r>
        <w:rPr>
          <w:rFonts w:hint="eastAsia" w:ascii="仿宋" w:hAnsi="仿宋" w:eastAsia="仿宋" w:cs="仿宋"/>
          <w:color w:val="000000"/>
          <w:sz w:val="32"/>
          <w:szCs w:val="32"/>
          <w:lang w:val="en-US" w:eastAsia="zh-CN"/>
        </w:rPr>
        <w:t>4.46</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21.28</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压缩公用经费支出。</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97" w:name="_Toc15377223"/>
      <w:bookmarkStart w:id="98" w:name="_Toc79163876"/>
      <w:bookmarkStart w:id="99" w:name="_Toc79163626"/>
      <w:r>
        <w:rPr>
          <w:rFonts w:hint="eastAsia" w:ascii="仿宋" w:hAnsi="仿宋" w:eastAsia="仿宋" w:cs="仿宋"/>
          <w:b/>
          <w:color w:val="000000"/>
          <w:sz w:val="32"/>
          <w:szCs w:val="32"/>
        </w:rPr>
        <w:t>（二）政府采购支出情况</w:t>
      </w:r>
      <w:bookmarkEnd w:id="97"/>
      <w:bookmarkEnd w:id="98"/>
      <w:bookmarkEnd w:id="99"/>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eastAsia="zh-CN"/>
        </w:rPr>
        <w:t>壤塘县教育局</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2152.24</w:t>
      </w:r>
      <w:r>
        <w:rPr>
          <w:rFonts w:hint="eastAsia" w:ascii="仿宋" w:hAnsi="仿宋" w:eastAsia="仿宋" w:cs="仿宋"/>
          <w:color w:val="000000"/>
          <w:sz w:val="32"/>
          <w:szCs w:val="32"/>
        </w:rPr>
        <w:t>万元，其中：政府采购货物支出</w:t>
      </w:r>
      <w:r>
        <w:rPr>
          <w:rFonts w:hint="eastAsia" w:ascii="仿宋" w:hAnsi="仿宋" w:eastAsia="仿宋" w:cs="仿宋"/>
          <w:color w:val="000000"/>
          <w:sz w:val="32"/>
          <w:szCs w:val="32"/>
          <w:lang w:val="en-US" w:eastAsia="zh-CN"/>
        </w:rPr>
        <w:t>546.82</w:t>
      </w:r>
      <w:r>
        <w:rPr>
          <w:rFonts w:hint="eastAsia" w:ascii="仿宋" w:hAnsi="仿宋" w:eastAsia="仿宋" w:cs="仿宋"/>
          <w:color w:val="000000"/>
          <w:sz w:val="32"/>
          <w:szCs w:val="32"/>
        </w:rPr>
        <w:t>万元、政府采购工程支出</w:t>
      </w:r>
      <w:r>
        <w:rPr>
          <w:rFonts w:hint="eastAsia" w:ascii="仿宋" w:hAnsi="仿宋" w:eastAsia="仿宋" w:cs="仿宋"/>
          <w:color w:val="000000"/>
          <w:sz w:val="32"/>
          <w:szCs w:val="32"/>
          <w:lang w:val="en-US" w:eastAsia="zh-CN"/>
        </w:rPr>
        <w:t>1605.42</w:t>
      </w:r>
      <w:r>
        <w:rPr>
          <w:rFonts w:hint="eastAsia" w:ascii="仿宋" w:hAnsi="仿宋" w:eastAsia="仿宋" w:cs="仿宋"/>
          <w:color w:val="000000"/>
          <w:sz w:val="32"/>
          <w:szCs w:val="32"/>
        </w:rPr>
        <w:t>万元、政府采购服务支出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万元。主要用于壤塘县吾依乡中心小学校教师周转宿舍建设</w:t>
      </w:r>
      <w:r>
        <w:rPr>
          <w:rFonts w:hint="eastAsia" w:ascii="仿宋" w:hAnsi="仿宋" w:eastAsia="仿宋" w:cs="仿宋"/>
          <w:color w:val="000000"/>
          <w:sz w:val="32"/>
          <w:szCs w:val="32"/>
          <w:lang w:eastAsia="zh-CN"/>
        </w:rPr>
        <w:t>，壤塘县吾依乡中心校滑坡地质灾害治理，壤塘县上杜柯乡中心校供暖工程，南木达中小学宿舍及中壤塘中心校宿舍维修改造，壤塘县教育局教职工高原御寒服装采购，2020年十年行动计划图书、设备采购，全面改薄能力提升设备和教学办公设备采购，2020壤塘县寄宿制中小学学生床上用品采购，2020年各中小学学生作业本印刷采购等项目。</w:t>
      </w:r>
      <w:r>
        <w:rPr>
          <w:rFonts w:hint="eastAsia" w:ascii="仿宋" w:hAnsi="仿宋" w:eastAsia="仿宋" w:cs="仿宋"/>
          <w:color w:val="000000"/>
          <w:sz w:val="32"/>
          <w:szCs w:val="32"/>
        </w:rPr>
        <w:t>授予中小企业合同金额</w:t>
      </w:r>
      <w:r>
        <w:rPr>
          <w:rFonts w:hint="eastAsia" w:ascii="仿宋" w:hAnsi="仿宋" w:eastAsia="仿宋" w:cs="仿宋"/>
          <w:color w:val="000000"/>
          <w:sz w:val="32"/>
          <w:szCs w:val="32"/>
          <w:lang w:val="en-US" w:eastAsia="zh-CN"/>
        </w:rPr>
        <w:t>2152.24</w:t>
      </w:r>
      <w:r>
        <w:rPr>
          <w:rFonts w:hint="eastAsia" w:ascii="仿宋" w:hAnsi="仿宋" w:eastAsia="仿宋" w:cs="仿宋"/>
          <w:color w:val="000000"/>
          <w:sz w:val="32"/>
          <w:szCs w:val="32"/>
        </w:rPr>
        <w:t>万元，占政府采购支出总额的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%，其中：授予小微企业合同金额</w:t>
      </w:r>
      <w:r>
        <w:rPr>
          <w:rFonts w:hint="eastAsia" w:ascii="仿宋" w:hAnsi="仿宋" w:eastAsia="仿宋" w:cs="仿宋"/>
          <w:color w:val="000000"/>
          <w:sz w:val="32"/>
          <w:szCs w:val="32"/>
          <w:lang w:val="en-US" w:eastAsia="zh-CN"/>
        </w:rPr>
        <w:t>2152.24</w:t>
      </w:r>
      <w:r>
        <w:rPr>
          <w:rFonts w:hint="eastAsia" w:ascii="仿宋" w:hAnsi="仿宋" w:eastAsia="仿宋" w:cs="仿宋"/>
          <w:color w:val="000000"/>
          <w:sz w:val="32"/>
          <w:szCs w:val="32"/>
        </w:rPr>
        <w:t>万元，占政府采购支出总额的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100" w:name="_Toc79163877"/>
      <w:bookmarkStart w:id="101" w:name="_Toc15377224"/>
      <w:bookmarkStart w:id="102" w:name="_Toc79163627"/>
      <w:r>
        <w:rPr>
          <w:rFonts w:hint="eastAsia" w:ascii="仿宋" w:hAnsi="仿宋" w:eastAsia="仿宋" w:cs="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 w:hAnsi="仿宋" w:eastAsia="仿宋" w:cs="仿宋"/>
          <w:b/>
          <w:color w:val="FF0000"/>
          <w:sz w:val="32"/>
          <w:szCs w:val="32"/>
        </w:rPr>
      </w:pPr>
      <w:r>
        <w:rPr>
          <w:rFonts w:hint="eastAsia" w:ascii="仿宋" w:hAnsi="仿宋" w:eastAsia="仿宋" w:cs="仿宋"/>
          <w:color w:val="000000"/>
          <w:sz w:val="32"/>
          <w:szCs w:val="32"/>
        </w:rPr>
        <w:t>截至2020年12月31日，</w:t>
      </w:r>
      <w:r>
        <w:rPr>
          <w:rFonts w:hint="eastAsia" w:ascii="仿宋" w:hAnsi="仿宋" w:eastAsia="仿宋" w:cs="仿宋"/>
          <w:color w:val="000000"/>
          <w:sz w:val="32"/>
          <w:szCs w:val="32"/>
          <w:lang w:eastAsia="zh-CN"/>
        </w:rPr>
        <w:t>壤塘县教育局</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辆，其中：主要领导干部用车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辆、机要通信用车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辆、应急保障用车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辆、其他用车</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其他用车主要是用于</w:t>
      </w:r>
      <w:r>
        <w:rPr>
          <w:rFonts w:hint="eastAsia" w:ascii="仿宋" w:hAnsi="仿宋" w:eastAsia="仿宋" w:cs="仿宋"/>
          <w:color w:val="000000"/>
          <w:sz w:val="32"/>
          <w:szCs w:val="32"/>
          <w:lang w:eastAsia="zh-CN"/>
        </w:rPr>
        <w:t>教育事业用车。</w:t>
      </w:r>
      <w:r>
        <w:rPr>
          <w:rFonts w:hint="eastAsia" w:ascii="仿宋" w:hAnsi="仿宋" w:eastAsia="仿宋" w:cs="仿宋"/>
          <w:color w:val="000000"/>
          <w:sz w:val="32"/>
          <w:szCs w:val="32"/>
        </w:rPr>
        <w:t>单价50万元以上通用设备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台（套），单价100万元以上专用设备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103" w:name="_Toc79163878"/>
      <w:bookmarkStart w:id="104" w:name="_Toc79163628"/>
      <w:r>
        <w:rPr>
          <w:rFonts w:hint="eastAsia" w:ascii="仿宋" w:hAnsi="仿宋" w:eastAsia="仿宋" w:cs="仿宋"/>
          <w:b/>
          <w:color w:val="000000"/>
          <w:sz w:val="32"/>
          <w:szCs w:val="32"/>
        </w:rPr>
        <w:t>（四）预算绩效管理情况。</w:t>
      </w:r>
      <w:bookmarkEnd w:id="103"/>
      <w:bookmarkEnd w:id="104"/>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根据预算绩效管理要求，本单位在年初预算编制阶段，组织对教育类政策性项目省级补助资金</w:t>
      </w:r>
      <w:r>
        <w:rPr>
          <w:rFonts w:hint="eastAsia" w:ascii="仿宋" w:hAnsi="仿宋" w:eastAsia="仿宋" w:cs="仿宋"/>
          <w:sz w:val="32"/>
          <w:szCs w:val="32"/>
          <w:lang w:eastAsia="zh-CN"/>
        </w:rPr>
        <w:t>，2020年高海拔少数民族自治州教育“三包”经费 ，壤塘县教育局2020年度新冠状病毒肺炎疫情防控中央结算资金，壤塘县教育局学生公用经费，壤塘教育局2020年城乡义务教育中央补助资金项目营养餐资金</w:t>
      </w:r>
      <w:r>
        <w:rPr>
          <w:rFonts w:hint="eastAsia" w:ascii="仿宋" w:hAnsi="仿宋" w:eastAsia="仿宋" w:cs="仿宋"/>
          <w:sz w:val="32"/>
          <w:szCs w:val="32"/>
        </w:rPr>
        <w:t>事前绩效评估，</w:t>
      </w:r>
      <w:r>
        <w:rPr>
          <w:rFonts w:hint="eastAsia" w:ascii="仿宋" w:hAnsi="仿宋" w:eastAsia="仿宋" w:cs="仿宋"/>
          <w:sz w:val="32"/>
          <w:szCs w:val="32"/>
          <w:lang w:val="en-US" w:eastAsia="zh-CN"/>
        </w:rPr>
        <w:t>5</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val="en-US" w:eastAsia="zh-CN"/>
        </w:rPr>
        <w:t>5</w:t>
      </w:r>
      <w:r>
        <w:rPr>
          <w:rFonts w:hint="eastAsia" w:ascii="仿宋" w:hAnsi="仿宋" w:eastAsia="仿宋" w:cs="仿宋"/>
          <w:sz w:val="32"/>
          <w:szCs w:val="32"/>
        </w:rPr>
        <w:t>个项目开展绩效监控，年终执行完毕后，对</w:t>
      </w:r>
      <w:r>
        <w:rPr>
          <w:rFonts w:hint="eastAsia" w:ascii="仿宋" w:hAnsi="仿宋" w:eastAsia="仿宋" w:cs="仿宋"/>
          <w:sz w:val="32"/>
          <w:szCs w:val="32"/>
          <w:lang w:val="en-US" w:eastAsia="zh-CN"/>
        </w:rPr>
        <w:t>5</w:t>
      </w:r>
      <w:r>
        <w:rPr>
          <w:rFonts w:hint="eastAsia" w:ascii="仿宋" w:hAnsi="仿宋" w:eastAsia="仿宋" w:cs="仿宋"/>
          <w:sz w:val="32"/>
          <w:szCs w:val="32"/>
        </w:rPr>
        <w:t>个项目开展了绩效目标完成情况自评。</w:t>
      </w:r>
    </w:p>
    <w:p>
      <w:pPr>
        <w:widowControl/>
        <w:ind w:firstLine="640" w:firstLineChars="200"/>
        <w:jc w:val="left"/>
        <w:rPr>
          <w:rFonts w:hint="eastAsia" w:ascii="仿宋" w:hAnsi="仿宋" w:eastAsia="仿宋_GB2312" w:cs="仿宋"/>
          <w:sz w:val="32"/>
          <w:szCs w:val="32"/>
          <w:lang w:eastAsia="zh-CN"/>
        </w:rPr>
      </w:pPr>
      <w:r>
        <w:rPr>
          <w:rFonts w:hint="eastAsia" w:ascii="仿宋" w:hAnsi="仿宋" w:eastAsia="仿宋" w:cs="仿宋"/>
          <w:sz w:val="32"/>
          <w:szCs w:val="32"/>
        </w:rPr>
        <w:t>本部门按要求对20</w:t>
      </w:r>
      <w:r>
        <w:rPr>
          <w:rFonts w:hint="eastAsia" w:ascii="仿宋" w:hAnsi="仿宋" w:eastAsia="仿宋" w:cs="仿宋"/>
          <w:sz w:val="32"/>
          <w:szCs w:val="32"/>
          <w:lang w:val="en-US" w:eastAsia="zh-CN"/>
        </w:rPr>
        <w:t>20</w:t>
      </w:r>
      <w:r>
        <w:rPr>
          <w:rFonts w:hint="eastAsia" w:ascii="仿宋" w:hAnsi="仿宋" w:eastAsia="仿宋" w:cs="仿宋"/>
          <w:sz w:val="32"/>
          <w:szCs w:val="32"/>
        </w:rPr>
        <w:t>年部门整体支出开展绩效自评，从评价情况来看：</w:t>
      </w:r>
      <w:r>
        <w:rPr>
          <w:rFonts w:hint="eastAsia" w:ascii="仿宋" w:hAnsi="仿宋" w:eastAsia="仿宋" w:cs="仿宋"/>
          <w:sz w:val="32"/>
          <w:szCs w:val="32"/>
          <w:lang w:eastAsia="zh-CN"/>
        </w:rPr>
        <w:t>本部门整体支出绩效评价自查自评结果良好。保证了全县各学校正常运转和日常工作的有序开展，各类专项</w:t>
      </w:r>
      <w:r>
        <w:rPr>
          <w:rFonts w:hint="eastAsia" w:ascii="仿宋" w:hAnsi="仿宋" w:eastAsia="仿宋" w:cs="仿宋"/>
          <w:sz w:val="32"/>
          <w:szCs w:val="32"/>
        </w:rPr>
        <w:t>资金支付按预算目标</w:t>
      </w:r>
      <w:r>
        <w:rPr>
          <w:rFonts w:hint="eastAsia" w:ascii="仿宋" w:hAnsi="仿宋" w:eastAsia="仿宋" w:cs="仿宋"/>
          <w:sz w:val="32"/>
          <w:szCs w:val="32"/>
          <w:lang w:eastAsia="zh-CN"/>
        </w:rPr>
        <w:t>有序</w:t>
      </w:r>
      <w:r>
        <w:rPr>
          <w:rFonts w:hint="eastAsia" w:ascii="仿宋" w:hAnsi="仿宋" w:eastAsia="仿宋" w:cs="仿宋"/>
          <w:sz w:val="32"/>
          <w:szCs w:val="32"/>
        </w:rPr>
        <w:t>进行</w:t>
      </w:r>
      <w:r>
        <w:rPr>
          <w:rFonts w:hint="eastAsia" w:ascii="仿宋" w:hAnsi="仿宋" w:eastAsia="仿宋" w:cs="仿宋"/>
          <w:sz w:val="32"/>
          <w:szCs w:val="32"/>
          <w:lang w:eastAsia="zh-CN"/>
        </w:rPr>
        <w:t>。</w:t>
      </w:r>
      <w:r>
        <w:rPr>
          <w:rFonts w:hint="eastAsia" w:ascii="仿宋_GB2312" w:hAnsi="Arial" w:eastAsia="仿宋_GB2312" w:cs="Arial"/>
          <w:sz w:val="32"/>
          <w:szCs w:val="32"/>
        </w:rPr>
        <w:t>改善学校办学条件、，加大基础教育投入力度，加快教育布局优化，加强教育设施建设，全面提升教育教学水平，</w:t>
      </w:r>
      <w:r>
        <w:rPr>
          <w:rFonts w:hint="eastAsia" w:ascii="仿宋_GB2312" w:hAnsi="Arial" w:eastAsia="仿宋_GB2312" w:cs="Arial"/>
          <w:sz w:val="32"/>
          <w:szCs w:val="32"/>
          <w:lang w:eastAsia="zh-CN"/>
        </w:rPr>
        <w:t>并接受财政部门或上级部门的检查、验收。</w:t>
      </w:r>
    </w:p>
    <w:p>
      <w:pPr>
        <w:numPr>
          <w:ilvl w:val="0"/>
          <w:numId w:val="4"/>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项目绩效目标完成情况。</w:t>
      </w:r>
    </w:p>
    <w:p>
      <w:pPr>
        <w:numPr>
          <w:ilvl w:val="0"/>
          <w:numId w:val="4"/>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本部门在2020年度部门决算中反映“教育类政策性项目省级补助资金”</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020年高海拔少数民族自治州教育“三包”经费</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壤塘县教育局2020年度新冠状病毒肺炎疫情防控中央结算资金</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壤塘县教育局学生公用经费”，</w:t>
      </w:r>
      <w:r>
        <w:rPr>
          <w:rFonts w:hint="eastAsia" w:ascii="仿宋" w:hAnsi="仿宋" w:eastAsia="仿宋" w:cs="仿宋"/>
          <w:sz w:val="32"/>
          <w:szCs w:val="32"/>
        </w:rPr>
        <w:t>“</w:t>
      </w:r>
      <w:r>
        <w:rPr>
          <w:rFonts w:hint="eastAsia" w:ascii="仿宋" w:hAnsi="仿宋" w:eastAsia="仿宋" w:cs="仿宋"/>
          <w:sz w:val="32"/>
          <w:szCs w:val="32"/>
          <w:lang w:eastAsia="zh-CN"/>
        </w:rPr>
        <w:t>壤塘教育局2020年城乡义务教育中央补助资金项目营养餐资金</w:t>
      </w: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个项目绩效目标实际完成情况。</w:t>
      </w:r>
    </w:p>
    <w:p>
      <w:pPr>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（1）教育类政策性项目省级补助资金项目绩效目标完成情况综述。项目全年预算数</w:t>
      </w:r>
      <w:r>
        <w:rPr>
          <w:rFonts w:hint="eastAsia" w:ascii="仿宋" w:hAnsi="仿宋" w:eastAsia="仿宋" w:cs="仿宋"/>
          <w:sz w:val="32"/>
          <w:szCs w:val="32"/>
          <w:lang w:val="en-US" w:eastAsia="zh-CN"/>
        </w:rPr>
        <w:t>621.09</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499.93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80.49</w:t>
      </w:r>
      <w:r>
        <w:rPr>
          <w:rFonts w:hint="eastAsia" w:ascii="仿宋" w:hAnsi="仿宋" w:eastAsia="仿宋" w:cs="仿宋"/>
          <w:sz w:val="32"/>
          <w:szCs w:val="32"/>
        </w:rPr>
        <w:t xml:space="preserve">%。通过项目实施，公用经费资金主要用于保障义务教育学校正常运转，完成教育教学活动和其他日常工作任务等方面支出的费用，具体支出范围包括:教学义务与管理，教师培训，实验实习，文体活动、水电、取暖、交通差旅、邮电、校方责任保险费、仪器设备及图书资料等购置，房屋、建筑物及仪器设备的日常维修维护等。不得用于人员经费、基本建设投资、偿还债务等方面支出。其中教师培训费按照不低于学校年度公用经费预算总额的5%安排，用于教师按照学校年度培训计划参加培训所需的差旅费、伙食补助费、资料费和住宿费等开支，支付依据合规合法，资金支付与预算相符。学生生活补助主要用于学生在校的基本生活保障。学生作业本费主要用于学生在校的作业本购置；高中助学金用于高中在校生的基本生活。农村教师生活补助资金解决农村教师生活补助。建议全面实施义务教育阶段经费管理，2020年教育局按照年初实施方案，总体绩效目标和绩效指标按时按量完成，下一步我局高度重视，遵循“专款专用、公开透明、及时结算”的原则，随时接受了上级主管部门和审计的检查工作，做到2020年义务教育阶段所有结余资金按时按量、专款专用的原则全部用于学校。加强义务教育阶段所有经费的管理制度，严格财务制度，加强内部控制制度。下一步改进措施：使用预算做到统筹兼顾、保证重点，量入为出，精打细算，将学校的长远规划与短期安排相结合，勤俭节约，努力提高日常公用经费的使用效益。 </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41"/>
        <w:gridCol w:w="916"/>
        <w:gridCol w:w="1025"/>
        <w:gridCol w:w="2791"/>
        <w:gridCol w:w="1995"/>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bidi="ar"/>
              </w:rPr>
              <w:t>项目绩效目标完成情况表</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教育类政策性项目省级补助资金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壤塘县教育局</w:t>
            </w:r>
          </w:p>
        </w:tc>
      </w:tr>
      <w:tr>
        <w:tblPrEx>
          <w:tblCellMar>
            <w:top w:w="0" w:type="dxa"/>
            <w:left w:w="0" w:type="dxa"/>
            <w:bottom w:w="0" w:type="dxa"/>
            <w:right w:w="0" w:type="dxa"/>
          </w:tblCellMar>
        </w:tblPrEx>
        <w:trPr>
          <w:trHeight w:val="276" w:hRule="atLeast"/>
          <w:jc w:val="center"/>
        </w:trPr>
        <w:tc>
          <w:tcPr>
            <w:tcW w:w="8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预算执行情况(万元)</w:t>
            </w:r>
          </w:p>
        </w:tc>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预算数:</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621.09万元</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lang w:val="en-US" w:eastAsia="zh-CN"/>
              </w:rPr>
              <w:t>499.93</w:t>
            </w:r>
          </w:p>
        </w:tc>
      </w:tr>
      <w:tr>
        <w:tblPrEx>
          <w:tblCellMar>
            <w:top w:w="0" w:type="dxa"/>
            <w:left w:w="0" w:type="dxa"/>
            <w:bottom w:w="0" w:type="dxa"/>
            <w:right w:w="0" w:type="dxa"/>
          </w:tblCellMar>
        </w:tblPrEx>
        <w:trPr>
          <w:trHeight w:val="824" w:hRule="atLeast"/>
          <w:jc w:val="center"/>
        </w:trPr>
        <w:tc>
          <w:tcPr>
            <w:tcW w:w="8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621.09万元</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lang w:val="en-US" w:eastAsia="zh-CN"/>
              </w:rPr>
              <w:t>499.93</w:t>
            </w:r>
          </w:p>
        </w:tc>
      </w:tr>
      <w:tr>
        <w:tblPrEx>
          <w:tblCellMar>
            <w:top w:w="0" w:type="dxa"/>
            <w:left w:w="0" w:type="dxa"/>
            <w:bottom w:w="0" w:type="dxa"/>
            <w:right w:w="0" w:type="dxa"/>
          </w:tblCellMar>
        </w:tblPrEx>
        <w:trPr>
          <w:trHeight w:val="1115" w:hRule="atLeast"/>
          <w:jc w:val="center"/>
        </w:trPr>
        <w:tc>
          <w:tcPr>
            <w:tcW w:w="8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276" w:hRule="atLeast"/>
          <w:jc w:val="center"/>
        </w:trPr>
        <w:tc>
          <w:tcPr>
            <w:tcW w:w="8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年度目标完成情况</w:t>
            </w:r>
          </w:p>
        </w:tc>
        <w:tc>
          <w:tcPr>
            <w:tcW w:w="47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预期目标</w:t>
            </w:r>
          </w:p>
        </w:tc>
        <w:tc>
          <w:tcPr>
            <w:tcW w:w="4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实际完成目标</w:t>
            </w:r>
          </w:p>
        </w:tc>
      </w:tr>
      <w:tr>
        <w:tblPrEx>
          <w:tblCellMar>
            <w:top w:w="0" w:type="dxa"/>
            <w:left w:w="0" w:type="dxa"/>
            <w:bottom w:w="0" w:type="dxa"/>
            <w:right w:w="0" w:type="dxa"/>
          </w:tblCellMar>
        </w:tblPrEx>
        <w:trPr>
          <w:trHeight w:val="1159" w:hRule="atLeast"/>
          <w:jc w:val="center"/>
        </w:trPr>
        <w:tc>
          <w:tcPr>
            <w:tcW w:w="8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47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城乡义务教育农村教师生活补助； 目标2：建档立卡中职及本专科学生特别资助； 目标3：城乡义务教育公用经费补助；目标4：学前教育资金；目标5：普通高中免学费及教材费以及高中助学金和公用经费；目标6：城乡义务教育生活补助经费；目标7：城乡义务教育营养餐经费补助；目标8：城乡义务教育宿舍维修经费。</w:t>
            </w:r>
          </w:p>
        </w:tc>
        <w:tc>
          <w:tcPr>
            <w:tcW w:w="4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完成了城乡义务教育农村教师生活补助；建档立卡中职及本专科学生特别资助；城乡义务教育公用经费补助；学前教育资金；普通高中免学费及教材费以及高中助学金和公用经费；城乡义务教育生活补助经费；城乡义务教育营养餐经费补助；城乡义务教育宿舍维修经费。</w:t>
            </w:r>
          </w:p>
        </w:tc>
      </w:tr>
      <w:tr>
        <w:tblPrEx>
          <w:tblCellMar>
            <w:top w:w="0" w:type="dxa"/>
            <w:left w:w="0" w:type="dxa"/>
            <w:bottom w:w="0" w:type="dxa"/>
            <w:right w:w="0" w:type="dxa"/>
          </w:tblCellMar>
        </w:tblPrEx>
        <w:trPr>
          <w:trHeight w:val="90" w:hRule="atLeast"/>
          <w:jc w:val="center"/>
        </w:trPr>
        <w:tc>
          <w:tcPr>
            <w:tcW w:w="84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绩效指标完成情况</w:t>
            </w: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二级指标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三级指标</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3154"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惠及义务教育阶段学生人数</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共计7628人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共计7628人</w:t>
            </w:r>
          </w:p>
        </w:tc>
      </w:tr>
      <w:tr>
        <w:tblPrEx>
          <w:tblCellMar>
            <w:top w:w="0" w:type="dxa"/>
            <w:left w:w="0" w:type="dxa"/>
            <w:bottom w:w="0" w:type="dxa"/>
            <w:right w:w="0" w:type="dxa"/>
          </w:tblCellMar>
        </w:tblPrEx>
        <w:trPr>
          <w:trHeight w:val="1297"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产</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出</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指</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惠及人教师</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271人</w:t>
            </w:r>
          </w:p>
        </w:tc>
      </w:tr>
      <w:tr>
        <w:tblPrEx>
          <w:tblCellMar>
            <w:top w:w="0" w:type="dxa"/>
            <w:left w:w="0" w:type="dxa"/>
            <w:bottom w:w="0" w:type="dxa"/>
            <w:right w:w="0" w:type="dxa"/>
          </w:tblCellMar>
        </w:tblPrEx>
        <w:trPr>
          <w:trHeight w:val="1042"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产</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出</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指</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质量指标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根据省州学前教育经费管理文件实施</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100%</w:t>
            </w:r>
          </w:p>
        </w:tc>
      </w:tr>
      <w:tr>
        <w:tblPrEx>
          <w:tblCellMar>
            <w:top w:w="0" w:type="dxa"/>
            <w:left w:w="0" w:type="dxa"/>
            <w:bottom w:w="0" w:type="dxa"/>
            <w:right w:w="0" w:type="dxa"/>
          </w:tblCellMar>
        </w:tblPrEx>
        <w:trPr>
          <w:trHeight w:val="1042"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产</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出</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指</w:t>
            </w: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项目按期完成情况</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80%</w:t>
            </w:r>
          </w:p>
        </w:tc>
      </w:tr>
      <w:tr>
        <w:tblPrEx>
          <w:tblCellMar>
            <w:top w:w="0" w:type="dxa"/>
            <w:left w:w="0" w:type="dxa"/>
            <w:bottom w:w="0" w:type="dxa"/>
            <w:right w:w="0" w:type="dxa"/>
          </w:tblCellMar>
        </w:tblPrEx>
        <w:trPr>
          <w:trHeight w:val="1042"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经济效益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覆盖全县所有学校的在园学生</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7628人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7628人</w:t>
            </w:r>
          </w:p>
        </w:tc>
      </w:tr>
      <w:tr>
        <w:tblPrEx>
          <w:tblCellMar>
            <w:top w:w="0" w:type="dxa"/>
            <w:left w:w="0" w:type="dxa"/>
            <w:bottom w:w="0" w:type="dxa"/>
            <w:right w:w="0" w:type="dxa"/>
          </w:tblCellMar>
        </w:tblPrEx>
        <w:trPr>
          <w:trHeight w:val="3183"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经济效益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覆盖全县所有学校的教师</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271人</w:t>
            </w:r>
          </w:p>
        </w:tc>
      </w:tr>
      <w:tr>
        <w:tblPrEx>
          <w:tblCellMar>
            <w:top w:w="0" w:type="dxa"/>
            <w:left w:w="0" w:type="dxa"/>
            <w:bottom w:w="0" w:type="dxa"/>
            <w:right w:w="0" w:type="dxa"/>
          </w:tblCellMar>
        </w:tblPrEx>
        <w:trPr>
          <w:trHeight w:val="1042"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社会效益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减轻了学生家长的后顾之忧</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2073人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2073人</w:t>
            </w:r>
          </w:p>
        </w:tc>
      </w:tr>
      <w:tr>
        <w:tblPrEx>
          <w:tblCellMar>
            <w:top w:w="0" w:type="dxa"/>
            <w:left w:w="0" w:type="dxa"/>
            <w:bottom w:w="0" w:type="dxa"/>
            <w:right w:w="0" w:type="dxa"/>
          </w:tblCellMar>
        </w:tblPrEx>
        <w:trPr>
          <w:trHeight w:val="1297"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使用者满意度</w:t>
            </w: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r>
        <w:tblPrEx>
          <w:tblCellMar>
            <w:top w:w="0" w:type="dxa"/>
            <w:left w:w="0" w:type="dxa"/>
            <w:bottom w:w="0" w:type="dxa"/>
            <w:right w:w="0" w:type="dxa"/>
          </w:tblCellMar>
        </w:tblPrEx>
        <w:trPr>
          <w:trHeight w:val="1297" w:hRule="atLeast"/>
          <w:jc w:val="center"/>
        </w:trPr>
        <w:tc>
          <w:tcPr>
            <w:tcW w:w="8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p>
            <w:pPr>
              <w:widowControl/>
              <w:jc w:val="center"/>
              <w:textAlignment w:val="center"/>
              <w:rPr>
                <w:rFonts w:hint="eastAsia" w:ascii="仿宋" w:hAnsi="仿宋" w:eastAsia="仿宋" w:cs="仿宋"/>
                <w:color w:val="000000"/>
                <w:sz w:val="32"/>
                <w:szCs w:val="32"/>
              </w:rPr>
            </w:pP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1050" w:hRule="atLeast"/>
          <w:jc w:val="center"/>
        </w:trPr>
        <w:tc>
          <w:tcPr>
            <w:tcW w:w="84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19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r>
    </w:tbl>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（2）2020年高海拔少数民族自治州教育“三包”经费项目绩效目标完成情况综述。项目全年预算数</w:t>
      </w:r>
      <w:r>
        <w:rPr>
          <w:rFonts w:hint="eastAsia" w:ascii="仿宋" w:hAnsi="仿宋" w:eastAsia="仿宋" w:cs="仿宋"/>
          <w:sz w:val="32"/>
          <w:szCs w:val="32"/>
          <w:lang w:val="en-US" w:eastAsia="zh-CN"/>
        </w:rPr>
        <w:t>212.4</w:t>
      </w:r>
      <w:r>
        <w:rPr>
          <w:rFonts w:hint="eastAsia" w:ascii="仿宋" w:hAnsi="仿宋" w:eastAsia="仿宋" w:cs="仿宋"/>
          <w:sz w:val="32"/>
          <w:szCs w:val="32"/>
        </w:rPr>
        <w:t>万元，执行数为</w:t>
      </w:r>
      <w:r>
        <w:rPr>
          <w:rFonts w:hint="eastAsia" w:ascii="仿宋" w:hAnsi="仿宋" w:eastAsia="仿宋" w:cs="仿宋"/>
          <w:color w:val="000000"/>
          <w:kern w:val="0"/>
          <w:sz w:val="32"/>
          <w:szCs w:val="32"/>
          <w:lang w:val="en-US" w:eastAsia="zh-CN"/>
        </w:rPr>
        <w:t>212.4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通过项目实施，建立符合壤塘实际的学校学生食堂食品定点集中采购工作机制，将学校食品安全工作等纳入有序、规范的操作轨道，使学生食堂食品采购过程实现公开化、透明化，保证采购质量和采购价格的合理化，确保资金安全、高效，做到让社会满意，让家长放心，让广大学生吃得安全、吃得放心，吃得健康有营养，并让学生生活补助发挥最大效益</w:t>
      </w:r>
      <w:r>
        <w:rPr>
          <w:rFonts w:hint="eastAsia" w:ascii="仿宋" w:hAnsi="仿宋" w:eastAsia="仿宋" w:cs="仿宋"/>
          <w:sz w:val="32"/>
          <w:szCs w:val="32"/>
          <w:lang w:eastAsia="zh-CN"/>
        </w:rPr>
        <w:t>。</w:t>
      </w:r>
      <w:r>
        <w:rPr>
          <w:rFonts w:hint="eastAsia" w:ascii="仿宋" w:hAnsi="仿宋" w:eastAsia="仿宋" w:cs="仿宋"/>
          <w:sz w:val="32"/>
          <w:szCs w:val="32"/>
        </w:rPr>
        <w:t>2020年高海拔少数民族自治州教育“三包”经费寄宿制生活补助的实施，解决了我县寄宿制学生的生活费问题，有力地缓解了学校与家长关于生活问题的压力；营养改善计划实施我县学生的体质得到了明显改善，专项资金的规范管理和安全使用，做到让社会满意，让家长放心，让所有寄宿制学生不用为了自己的生活费而浪费精力，能在学校专心学习，没有后顾之忧。学校住宿、生活条件的改善使教师和学生的工作、学习积极性得到了极大的提高，学校的教育教学质量也将得到提升。</w:t>
      </w:r>
      <w:r>
        <w:rPr>
          <w:rFonts w:hint="eastAsia" w:ascii="仿宋" w:hAnsi="仿宋" w:eastAsia="仿宋" w:cs="仿宋"/>
          <w:sz w:val="32"/>
          <w:szCs w:val="32"/>
          <w:lang w:eastAsia="zh-CN"/>
        </w:rPr>
        <w:t>项目满意度测评达到</w:t>
      </w:r>
      <w:r>
        <w:rPr>
          <w:rFonts w:hint="eastAsia" w:ascii="仿宋" w:hAnsi="仿宋" w:eastAsia="仿宋" w:cs="仿宋"/>
          <w:sz w:val="32"/>
          <w:szCs w:val="32"/>
          <w:lang w:val="en-US" w:eastAsia="zh-CN"/>
        </w:rPr>
        <w:t>98%。</w:t>
      </w:r>
      <w:r>
        <w:rPr>
          <w:rFonts w:hint="eastAsia" w:ascii="仿宋" w:hAnsi="仿宋" w:eastAsia="仿宋" w:cs="仿宋"/>
          <w:sz w:val="32"/>
          <w:szCs w:val="32"/>
        </w:rPr>
        <w:t>发现的主要问题：</w:t>
      </w:r>
      <w:r>
        <w:rPr>
          <w:rFonts w:hint="eastAsia" w:ascii="仿宋" w:hAnsi="仿宋" w:eastAsia="仿宋" w:cs="仿宋"/>
          <w:kern w:val="0"/>
          <w:sz w:val="32"/>
          <w:szCs w:val="32"/>
        </w:rPr>
        <w:t>学校食堂后勤人员数量少、素质参差不齐，因用电难等原因，部分学校食堂设备无法正常使用，造成学生食堂菜品单一。建议加大对学校食堂后勤人员的业务培训，提高设备使用率，加大学校食堂的改扩建、设备的采购力度。同时，还需加强对学校营养配餐的指导，在保证学生各种营养成分摄入量的前提下，制定符合实际的营养食谱，达到营养均衡。</w:t>
      </w:r>
      <w:r>
        <w:rPr>
          <w:rFonts w:hint="eastAsia" w:ascii="仿宋" w:hAnsi="仿宋" w:eastAsia="仿宋" w:cs="仿宋"/>
          <w:sz w:val="32"/>
          <w:szCs w:val="32"/>
        </w:rPr>
        <w:t>。下一步改进措施：</w:t>
      </w:r>
      <w:r>
        <w:rPr>
          <w:rFonts w:hint="eastAsia" w:ascii="仿宋" w:hAnsi="仿宋" w:eastAsia="仿宋" w:cs="仿宋"/>
          <w:kern w:val="0"/>
          <w:sz w:val="32"/>
          <w:szCs w:val="32"/>
        </w:rPr>
        <w:t>学校食堂后勤人员数量少、素质参差不齐，因用电难等原因，部分学校食堂设备无法正常使用，造成学生食堂菜品单一。建议加大对学校食堂后勤人员的业务培训，提高设备使用率，加大学校食堂的改扩建、设备的采购力度。同时，还需加强对学校营养配餐的指导，在保证学生各种营养成分摄入量的前提下，制定符合实际的营养食谱，达到营养均衡。</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1114"/>
        <w:gridCol w:w="643"/>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bidi="ar"/>
              </w:rPr>
              <w:t>项目绩效目标完成情况表</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2020年高海拔少数民族自治州教育“三包”经费补助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壤塘县教育局</w:t>
            </w:r>
          </w:p>
        </w:tc>
      </w:tr>
      <w:tr>
        <w:tblPrEx>
          <w:tblCellMar>
            <w:top w:w="0" w:type="dxa"/>
            <w:left w:w="0" w:type="dxa"/>
            <w:bottom w:w="0" w:type="dxa"/>
            <w:right w:w="0" w:type="dxa"/>
          </w:tblCellMar>
        </w:tblPrEx>
        <w:trPr>
          <w:trHeight w:val="276" w:hRule="atLeast"/>
          <w:jc w:val="center"/>
        </w:trPr>
        <w:tc>
          <w:tcPr>
            <w:tcW w:w="111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预算执行情况(万元)</w:t>
            </w:r>
          </w:p>
        </w:tc>
        <w:tc>
          <w:tcPr>
            <w:tcW w:w="16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212.4万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212.4万</w:t>
            </w:r>
          </w:p>
        </w:tc>
      </w:tr>
      <w:tr>
        <w:tblPrEx>
          <w:tblCellMar>
            <w:top w:w="0" w:type="dxa"/>
            <w:left w:w="0" w:type="dxa"/>
            <w:bottom w:w="0" w:type="dxa"/>
            <w:right w:w="0" w:type="dxa"/>
          </w:tblCellMar>
        </w:tblPrEx>
        <w:trPr>
          <w:trHeight w:val="276" w:hRule="atLeast"/>
          <w:jc w:val="center"/>
        </w:trPr>
        <w:tc>
          <w:tcPr>
            <w:tcW w:w="111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6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212.4万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212.4万</w:t>
            </w:r>
          </w:p>
        </w:tc>
      </w:tr>
      <w:tr>
        <w:tblPrEx>
          <w:tblCellMar>
            <w:top w:w="0" w:type="dxa"/>
            <w:left w:w="0" w:type="dxa"/>
            <w:bottom w:w="0" w:type="dxa"/>
            <w:right w:w="0" w:type="dxa"/>
          </w:tblCellMar>
        </w:tblPrEx>
        <w:trPr>
          <w:trHeight w:val="1511" w:hRule="atLeast"/>
          <w:jc w:val="center"/>
        </w:trPr>
        <w:tc>
          <w:tcPr>
            <w:tcW w:w="111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6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276" w:hRule="atLeast"/>
          <w:jc w:val="center"/>
        </w:trPr>
        <w:tc>
          <w:tcPr>
            <w:tcW w:w="111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年度目标完成情况</w:t>
            </w:r>
          </w:p>
        </w:tc>
        <w:tc>
          <w:tcPr>
            <w:tcW w:w="40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实际完成目标</w:t>
            </w:r>
          </w:p>
        </w:tc>
      </w:tr>
      <w:tr>
        <w:tblPrEx>
          <w:tblCellMar>
            <w:top w:w="0" w:type="dxa"/>
            <w:left w:w="0" w:type="dxa"/>
            <w:bottom w:w="0" w:type="dxa"/>
            <w:right w:w="0" w:type="dxa"/>
          </w:tblCellMar>
        </w:tblPrEx>
        <w:trPr>
          <w:trHeight w:val="1159" w:hRule="atLeast"/>
          <w:jc w:val="center"/>
        </w:trPr>
        <w:tc>
          <w:tcPr>
            <w:tcW w:w="111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40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目标1：对全县寄宿制学生实施包吃、包住、包学习“三包”政策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目标2：2020年我县计划对全县7460名寄宿制学生实行“三包”政策，其中包括2049名建档立卡贫困户学生</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目标3：按照寄宿制学生补助标准每生每年1700元，实现全免费教育，让教育有保障政策落到实处。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按照项目要求对全县寄宿制学生实施包吃、包住、包学习“三包”政策，2020年我县计划对全县7460名寄宿制学生实行“三包”政策，其中包括2049名建档立卡贫困户学生，按照寄宿制学生补助标准每生每年1700元，实现全免费教育，让教育有保障政策落到实处。</w:t>
            </w:r>
          </w:p>
        </w:tc>
      </w:tr>
      <w:tr>
        <w:tblPrEx>
          <w:tblCellMar>
            <w:top w:w="0" w:type="dxa"/>
            <w:left w:w="0" w:type="dxa"/>
            <w:bottom w:w="0" w:type="dxa"/>
            <w:right w:w="0" w:type="dxa"/>
          </w:tblCellMar>
        </w:tblPrEx>
        <w:trPr>
          <w:trHeight w:val="1042" w:hRule="atLeast"/>
          <w:jc w:val="center"/>
        </w:trPr>
        <w:tc>
          <w:tcPr>
            <w:tcW w:w="111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绩效指标完成情况</w:t>
            </w: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kern w:val="0"/>
                <w:sz w:val="32"/>
                <w:szCs w:val="32"/>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“三包”经费补助项目惠及人数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7460人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7460人</w:t>
            </w:r>
          </w:p>
        </w:tc>
      </w:tr>
      <w:tr>
        <w:tblPrEx>
          <w:tblCellMar>
            <w:top w:w="0" w:type="dxa"/>
            <w:left w:w="0" w:type="dxa"/>
            <w:bottom w:w="0" w:type="dxa"/>
            <w:right w:w="0" w:type="dxa"/>
          </w:tblCellMar>
        </w:tblPrEx>
        <w:trPr>
          <w:trHeight w:val="1297"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“三包”经费补助项目惠及的学生中建档立卡等贫困户子女占比</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≥27%</w:t>
            </w:r>
          </w:p>
        </w:tc>
      </w:tr>
      <w:tr>
        <w:tblPrEx>
          <w:tblCellMar>
            <w:top w:w="0" w:type="dxa"/>
            <w:left w:w="0" w:type="dxa"/>
            <w:bottom w:w="0" w:type="dxa"/>
            <w:right w:w="0" w:type="dxa"/>
          </w:tblCellMar>
        </w:tblPrEx>
        <w:trPr>
          <w:trHeight w:val="1042"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资助经费及时拨付率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r>
        <w:tblPrEx>
          <w:tblCellMar>
            <w:top w:w="0" w:type="dxa"/>
            <w:left w:w="0" w:type="dxa"/>
            <w:bottom w:w="0" w:type="dxa"/>
            <w:right w:w="0" w:type="dxa"/>
          </w:tblCellMar>
        </w:tblPrEx>
        <w:trPr>
          <w:trHeight w:val="1042"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“三包”经费补助项目惠及贫困户子女生均资助标准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1700元/学年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1700元/学年</w:t>
            </w:r>
          </w:p>
        </w:tc>
      </w:tr>
      <w:tr>
        <w:tblPrEx>
          <w:tblCellMar>
            <w:top w:w="0" w:type="dxa"/>
            <w:left w:w="0" w:type="dxa"/>
            <w:bottom w:w="0" w:type="dxa"/>
            <w:right w:w="0" w:type="dxa"/>
          </w:tblCellMar>
        </w:tblPrEx>
        <w:trPr>
          <w:trHeight w:val="3509"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经济</w:t>
            </w:r>
            <w:r>
              <w:rPr>
                <w:rFonts w:hint="eastAsia" w:ascii="仿宋" w:hAnsi="仿宋" w:eastAsia="仿宋" w:cs="仿宋"/>
                <w:color w:val="000000"/>
                <w:sz w:val="32"/>
                <w:szCs w:val="32"/>
              </w:rPr>
              <w:t>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缓解建档立卡贫困户教育负担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≥348.33万元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≥348.33万元</w:t>
            </w:r>
          </w:p>
        </w:tc>
      </w:tr>
      <w:tr>
        <w:tblPrEx>
          <w:tblCellMar>
            <w:top w:w="0" w:type="dxa"/>
            <w:left w:w="0" w:type="dxa"/>
            <w:bottom w:w="0" w:type="dxa"/>
            <w:right w:w="0" w:type="dxa"/>
          </w:tblCellMar>
        </w:tblPrEx>
        <w:trPr>
          <w:trHeight w:val="3843"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社会效益</w:t>
            </w:r>
            <w:r>
              <w:rPr>
                <w:rFonts w:hint="eastAsia" w:ascii="仿宋" w:hAnsi="仿宋" w:eastAsia="仿宋" w:cs="仿宋"/>
                <w:color w:val="000000"/>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建档立卡贫困户子女全程全部接受资助的比例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r>
        <w:tblPrEx>
          <w:tblCellMar>
            <w:top w:w="0" w:type="dxa"/>
            <w:left w:w="0" w:type="dxa"/>
            <w:bottom w:w="0" w:type="dxa"/>
            <w:right w:w="0" w:type="dxa"/>
          </w:tblCellMar>
        </w:tblPrEx>
        <w:trPr>
          <w:trHeight w:val="1042"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0"/>
                <w:sz w:val="32"/>
                <w:szCs w:val="32"/>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w:t>
            </w:r>
            <w:r>
              <w:rPr>
                <w:rFonts w:hint="eastAsia" w:ascii="仿宋" w:hAnsi="仿宋" w:eastAsia="仿宋" w:cs="仿宋"/>
                <w:color w:val="000000"/>
                <w:kern w:val="0"/>
                <w:sz w:val="32"/>
                <w:szCs w:val="32"/>
                <w:lang w:eastAsia="zh-CN" w:bidi="ar"/>
              </w:rPr>
              <w:t>可持续影响</w:t>
            </w:r>
            <w:r>
              <w:rPr>
                <w:rFonts w:hint="eastAsia" w:ascii="仿宋" w:hAnsi="仿宋" w:eastAsia="仿宋" w:cs="仿宋"/>
                <w:color w:val="000000"/>
                <w:kern w:val="0"/>
                <w:sz w:val="32"/>
                <w:szCs w:val="32"/>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“三包”经费补助项目实施时间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≥5年</w:t>
            </w:r>
          </w:p>
        </w:tc>
      </w:tr>
      <w:tr>
        <w:tblPrEx>
          <w:tblCellMar>
            <w:top w:w="0" w:type="dxa"/>
            <w:left w:w="0" w:type="dxa"/>
            <w:bottom w:w="0" w:type="dxa"/>
            <w:right w:w="0" w:type="dxa"/>
          </w:tblCellMar>
        </w:tblPrEx>
        <w:trPr>
          <w:trHeight w:val="1297"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0"/>
                <w:sz w:val="32"/>
                <w:szCs w:val="32"/>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学生家长</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学生家长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≥98%</w:t>
            </w:r>
          </w:p>
        </w:tc>
      </w:tr>
      <w:tr>
        <w:tblPrEx>
          <w:tblCellMar>
            <w:top w:w="0" w:type="dxa"/>
            <w:left w:w="0" w:type="dxa"/>
            <w:bottom w:w="0" w:type="dxa"/>
            <w:right w:w="0" w:type="dxa"/>
          </w:tblCellMar>
        </w:tblPrEx>
        <w:trPr>
          <w:trHeight w:val="1297" w:hRule="atLeast"/>
          <w:jc w:val="center"/>
        </w:trPr>
        <w:tc>
          <w:tcPr>
            <w:tcW w:w="111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服务对象</w:t>
            </w:r>
          </w:p>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学生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≥98%</w:t>
            </w:r>
          </w:p>
        </w:tc>
      </w:tr>
      <w:tr>
        <w:tblPrEx>
          <w:tblCellMar>
            <w:top w:w="0" w:type="dxa"/>
            <w:left w:w="0" w:type="dxa"/>
            <w:bottom w:w="0" w:type="dxa"/>
            <w:right w:w="0" w:type="dxa"/>
          </w:tblCellMar>
        </w:tblPrEx>
        <w:trPr>
          <w:trHeight w:val="1050" w:hRule="atLeast"/>
          <w:jc w:val="center"/>
        </w:trPr>
        <w:tc>
          <w:tcPr>
            <w:tcW w:w="111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2"/>
                <w:sz w:val="32"/>
                <w:szCs w:val="32"/>
                <w:lang w:val="en-US" w:eastAsia="zh-CN" w:bidi="ar-SA"/>
              </w:rPr>
            </w:pPr>
          </w:p>
        </w:tc>
      </w:tr>
    </w:tbl>
    <w:p>
      <w:pPr>
        <w:spacing w:line="580" w:lineRule="exact"/>
        <w:ind w:left="630"/>
        <w:rPr>
          <w:rFonts w:hint="eastAsia" w:ascii="仿宋" w:hAnsi="仿宋" w:eastAsia="仿宋" w:cs="仿宋"/>
          <w:sz w:val="32"/>
          <w:szCs w:val="32"/>
        </w:rPr>
      </w:pP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 w:hAnsi="仿宋" w:eastAsia="仿宋" w:cs="仿宋"/>
          <w:kern w:val="0"/>
          <w:sz w:val="32"/>
          <w:szCs w:val="32"/>
        </w:rPr>
      </w:pPr>
    </w:p>
    <w:p>
      <w:pPr>
        <w:numPr>
          <w:ilvl w:val="0"/>
          <w:numId w:val="5"/>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壤塘县教育局学生公用经费项目绩效目标完成情况综述。项目全年预算数7</w:t>
      </w:r>
      <w:r>
        <w:rPr>
          <w:rFonts w:hint="eastAsia" w:ascii="仿宋" w:hAnsi="仿宋" w:eastAsia="仿宋" w:cs="仿宋"/>
          <w:sz w:val="32"/>
          <w:szCs w:val="32"/>
          <w:lang w:val="en-US" w:eastAsia="zh-CN"/>
        </w:rPr>
        <w:t>2</w:t>
      </w:r>
      <w:r>
        <w:rPr>
          <w:rFonts w:hint="eastAsia" w:ascii="仿宋" w:hAnsi="仿宋" w:eastAsia="仿宋" w:cs="仿宋"/>
          <w:sz w:val="32"/>
          <w:szCs w:val="32"/>
        </w:rPr>
        <w:t>万元，执行数为72万元，完成预算的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%。通过项目实施，义务教育阶段中小学公用经费的实施，给7878人学生、学生家长带来了物质上的支持，给壤塘教育控辍保学带来了希望。壤塘县教育局学生公用经费</w:t>
      </w:r>
      <w:r>
        <w:rPr>
          <w:rFonts w:hint="eastAsia" w:ascii="仿宋" w:hAnsi="仿宋" w:eastAsia="仿宋" w:cs="仿宋"/>
          <w:sz w:val="32"/>
          <w:szCs w:val="32"/>
          <w:lang w:eastAsia="zh-CN"/>
        </w:rPr>
        <w:t>为</w:t>
      </w:r>
      <w:r>
        <w:rPr>
          <w:rFonts w:hint="eastAsia" w:ascii="仿宋" w:hAnsi="仿宋" w:eastAsia="仿宋" w:cs="仿宋"/>
          <w:sz w:val="32"/>
          <w:szCs w:val="32"/>
        </w:rPr>
        <w:t>2020年壤塘县义务教育阶段学生公用经费</w:t>
      </w:r>
      <w:r>
        <w:rPr>
          <w:rFonts w:hint="eastAsia" w:ascii="仿宋" w:hAnsi="仿宋" w:eastAsia="仿宋" w:cs="仿宋"/>
          <w:sz w:val="32"/>
          <w:szCs w:val="32"/>
          <w:lang w:eastAsia="zh-CN"/>
        </w:rPr>
        <w:t>人均补助</w:t>
      </w:r>
      <w:r>
        <w:rPr>
          <w:rFonts w:hint="eastAsia" w:ascii="仿宋" w:hAnsi="仿宋" w:eastAsia="仿宋" w:cs="仿宋"/>
          <w:sz w:val="32"/>
          <w:szCs w:val="32"/>
        </w:rPr>
        <w:t>小学生650元、初中生</w:t>
      </w:r>
      <w:r>
        <w:rPr>
          <w:rFonts w:hint="eastAsia" w:ascii="仿宋" w:hAnsi="仿宋" w:eastAsia="仿宋" w:cs="仿宋"/>
          <w:sz w:val="32"/>
          <w:szCs w:val="32"/>
          <w:lang w:eastAsia="zh-CN"/>
        </w:rPr>
        <w:t>人均</w:t>
      </w:r>
      <w:r>
        <w:rPr>
          <w:rFonts w:hint="eastAsia" w:ascii="仿宋" w:hAnsi="仿宋" w:eastAsia="仿宋" w:cs="仿宋"/>
          <w:sz w:val="32"/>
          <w:szCs w:val="32"/>
        </w:rPr>
        <w:t>850元标准（其中寄宿制学生单独增加200元补助）全部实施完成。发现的主要问题：加强义务教育阶段公用经费的管理制度，严格财务制度，加强内部控制制度。下一步改进措施：使用预算做到统筹兼顾、保证重点，量入为出，精打细算，将学校的长远规划与短期安排相结合，勤俭节约，努力提高日常公用经费的使用效益。</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1141"/>
        <w:gridCol w:w="616"/>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bidi="ar"/>
              </w:rPr>
              <w:t>项目绩效目标完成情况表</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壤塘县中央转移支付区域（义务教育公用经费项目）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壤塘县教育局</w:t>
            </w:r>
          </w:p>
        </w:tc>
      </w:tr>
      <w:tr>
        <w:tblPrEx>
          <w:tblCellMar>
            <w:top w:w="0" w:type="dxa"/>
            <w:left w:w="0" w:type="dxa"/>
            <w:bottom w:w="0" w:type="dxa"/>
            <w:right w:w="0" w:type="dxa"/>
          </w:tblCellMar>
        </w:tblPrEx>
        <w:trPr>
          <w:trHeight w:val="276" w:hRule="atLeast"/>
          <w:jc w:val="center"/>
        </w:trPr>
        <w:tc>
          <w:tcPr>
            <w:tcW w:w="11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预算执行情况(万元)</w:t>
            </w:r>
          </w:p>
        </w:tc>
        <w:tc>
          <w:tcPr>
            <w:tcW w:w="16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72</w:t>
            </w:r>
            <w:r>
              <w:rPr>
                <w:rFonts w:hint="eastAsia" w:ascii="仿宋" w:hAnsi="仿宋" w:eastAsia="仿宋" w:cs="仿宋"/>
                <w:color w:val="000000"/>
                <w:sz w:val="32"/>
                <w:szCs w:val="32"/>
                <w:lang w:eastAsia="zh-CN"/>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72</w:t>
            </w:r>
            <w:r>
              <w:rPr>
                <w:rFonts w:hint="eastAsia" w:ascii="仿宋" w:hAnsi="仿宋" w:eastAsia="仿宋" w:cs="仿宋"/>
                <w:color w:val="000000"/>
                <w:sz w:val="32"/>
                <w:szCs w:val="32"/>
                <w:lang w:eastAsia="zh-CN"/>
              </w:rPr>
              <w:t>万</w:t>
            </w:r>
          </w:p>
        </w:tc>
      </w:tr>
      <w:tr>
        <w:tblPrEx>
          <w:tblCellMar>
            <w:top w:w="0" w:type="dxa"/>
            <w:left w:w="0" w:type="dxa"/>
            <w:bottom w:w="0" w:type="dxa"/>
            <w:right w:w="0" w:type="dxa"/>
          </w:tblCellMar>
        </w:tblPrEx>
        <w:trPr>
          <w:trHeight w:val="276"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6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72</w:t>
            </w:r>
            <w:r>
              <w:rPr>
                <w:rFonts w:hint="eastAsia" w:ascii="仿宋" w:hAnsi="仿宋" w:eastAsia="仿宋" w:cs="仿宋"/>
                <w:color w:val="000000"/>
                <w:sz w:val="32"/>
                <w:szCs w:val="32"/>
                <w:lang w:eastAsia="zh-CN"/>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72</w:t>
            </w:r>
            <w:r>
              <w:rPr>
                <w:rFonts w:hint="eastAsia" w:ascii="仿宋" w:hAnsi="仿宋" w:eastAsia="仿宋" w:cs="仿宋"/>
                <w:color w:val="000000"/>
                <w:sz w:val="32"/>
                <w:szCs w:val="32"/>
                <w:lang w:eastAsia="zh-CN"/>
              </w:rPr>
              <w:t>万</w:t>
            </w:r>
          </w:p>
        </w:tc>
      </w:tr>
      <w:tr>
        <w:tblPrEx>
          <w:tblCellMar>
            <w:top w:w="0" w:type="dxa"/>
            <w:left w:w="0" w:type="dxa"/>
            <w:bottom w:w="0" w:type="dxa"/>
            <w:right w:w="0" w:type="dxa"/>
          </w:tblCellMar>
        </w:tblPrEx>
        <w:trPr>
          <w:trHeight w:val="1511"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6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276" w:hRule="atLeast"/>
          <w:jc w:val="center"/>
        </w:trPr>
        <w:tc>
          <w:tcPr>
            <w:tcW w:w="11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年度目标完成情况</w:t>
            </w:r>
          </w:p>
        </w:tc>
        <w:tc>
          <w:tcPr>
            <w:tcW w:w="40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实际完成目标</w:t>
            </w:r>
          </w:p>
        </w:tc>
      </w:tr>
      <w:tr>
        <w:tblPrEx>
          <w:tblCellMar>
            <w:top w:w="0" w:type="dxa"/>
            <w:left w:w="0" w:type="dxa"/>
            <w:bottom w:w="0" w:type="dxa"/>
            <w:right w:w="0" w:type="dxa"/>
          </w:tblCellMar>
        </w:tblPrEx>
        <w:trPr>
          <w:trHeight w:val="1159"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40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全县义务教育阶段学生7878人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2020年度全县7878名学生补助公用经费，其中小学5811人，初中2067人。</w:t>
            </w:r>
          </w:p>
        </w:tc>
      </w:tr>
      <w:tr>
        <w:tblPrEx>
          <w:tblCellMar>
            <w:top w:w="0" w:type="dxa"/>
            <w:left w:w="0" w:type="dxa"/>
            <w:bottom w:w="0" w:type="dxa"/>
            <w:right w:w="0" w:type="dxa"/>
          </w:tblCellMar>
        </w:tblPrEx>
        <w:trPr>
          <w:trHeight w:val="1042" w:hRule="atLeast"/>
          <w:jc w:val="center"/>
        </w:trPr>
        <w:tc>
          <w:tcPr>
            <w:tcW w:w="114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绩效指标完成情况</w:t>
            </w: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农村义务教育学生公用经费惠及人数7878人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100%-80%</w:t>
            </w:r>
          </w:p>
        </w:tc>
      </w:tr>
      <w:tr>
        <w:tblPrEx>
          <w:tblCellMar>
            <w:top w:w="0" w:type="dxa"/>
            <w:left w:w="0" w:type="dxa"/>
            <w:bottom w:w="0" w:type="dxa"/>
            <w:right w:w="0" w:type="dxa"/>
          </w:tblCellMar>
        </w:tblPrEx>
        <w:trPr>
          <w:trHeight w:val="4229"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按期完成率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r>
        <w:tblPrEx>
          <w:tblCellMar>
            <w:top w:w="0" w:type="dxa"/>
            <w:left w:w="0" w:type="dxa"/>
            <w:bottom w:w="0" w:type="dxa"/>
            <w:right w:w="0" w:type="dxa"/>
          </w:tblCellMar>
        </w:tblPrEx>
        <w:trPr>
          <w:trHeight w:val="1042"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农村义务教育学生公用经费生均补助标准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小学850元/天-初中1050元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小学850元/天-初中1050元</w:t>
            </w:r>
          </w:p>
        </w:tc>
      </w:tr>
      <w:tr>
        <w:tblPrEx>
          <w:tblCellMar>
            <w:top w:w="0" w:type="dxa"/>
            <w:left w:w="0" w:type="dxa"/>
            <w:bottom w:w="0" w:type="dxa"/>
            <w:right w:w="0" w:type="dxa"/>
          </w:tblCellMar>
        </w:tblPrEx>
        <w:trPr>
          <w:trHeight w:val="1042"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eastAsia="zh-CN" w:bidi="ar"/>
              </w:rPr>
              <w:t>效益</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经济效益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农村义务教育学生公用经费惠及人数7878人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100%-80%</w:t>
            </w:r>
          </w:p>
        </w:tc>
      </w:tr>
      <w:tr>
        <w:tblPrEx>
          <w:tblCellMar>
            <w:top w:w="0" w:type="dxa"/>
            <w:left w:w="0" w:type="dxa"/>
            <w:bottom w:w="0" w:type="dxa"/>
            <w:right w:w="0" w:type="dxa"/>
          </w:tblCellMar>
        </w:tblPrEx>
        <w:trPr>
          <w:trHeight w:val="1042"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效益</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社会效益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建档立卡家庭适龄儿童、接受九年义务教育的比率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100%-80%</w:t>
            </w:r>
          </w:p>
        </w:tc>
      </w:tr>
      <w:tr>
        <w:tblPrEx>
          <w:tblCellMar>
            <w:top w:w="0" w:type="dxa"/>
            <w:left w:w="0" w:type="dxa"/>
            <w:bottom w:w="0" w:type="dxa"/>
            <w:right w:w="0" w:type="dxa"/>
          </w:tblCellMar>
        </w:tblPrEx>
        <w:trPr>
          <w:trHeight w:val="3382"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服务对象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各学校学生满意度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r>
      <w:tr>
        <w:tblPrEx>
          <w:tblCellMar>
            <w:top w:w="0" w:type="dxa"/>
            <w:left w:w="0" w:type="dxa"/>
            <w:bottom w:w="0" w:type="dxa"/>
            <w:right w:w="0" w:type="dxa"/>
          </w:tblCellMar>
        </w:tblPrEx>
        <w:trPr>
          <w:trHeight w:val="2668"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各学校学生家长满意度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r>
      <w:tr>
        <w:tblPrEx>
          <w:tblCellMar>
            <w:top w:w="0" w:type="dxa"/>
            <w:left w:w="0" w:type="dxa"/>
            <w:bottom w:w="0" w:type="dxa"/>
            <w:right w:w="0" w:type="dxa"/>
          </w:tblCellMar>
        </w:tblPrEx>
        <w:trPr>
          <w:trHeight w:val="1297" w:hRule="atLeast"/>
          <w:jc w:val="center"/>
        </w:trPr>
        <w:tc>
          <w:tcPr>
            <w:tcW w:w="114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6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服务对象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各学校学校满意度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96%</w:t>
            </w:r>
          </w:p>
        </w:tc>
      </w:tr>
    </w:tbl>
    <w:p>
      <w:pPr>
        <w:numPr>
          <w:ilvl w:val="0"/>
          <w:numId w:val="5"/>
        </w:numPr>
        <w:spacing w:line="560" w:lineRule="exact"/>
        <w:ind w:left="0" w:leftChars="0"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壤塘县教育局2020年度新冠状病毒肺炎疫情防控中央结算资金</w:t>
      </w:r>
      <w:r>
        <w:rPr>
          <w:rFonts w:hint="eastAsia" w:ascii="仿宋" w:hAnsi="仿宋" w:eastAsia="仿宋" w:cs="仿宋"/>
          <w:sz w:val="32"/>
          <w:szCs w:val="32"/>
        </w:rPr>
        <w:t>项目绩效目标完成情况综述。项目全年预算数10.7040万元，执行数为10.7040万元，完成预算的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%。通过项目实施，</w:t>
      </w:r>
      <w:r>
        <w:rPr>
          <w:rFonts w:hint="eastAsia" w:ascii="仿宋" w:hAnsi="仿宋" w:eastAsia="仿宋" w:cs="仿宋"/>
          <w:b w:val="0"/>
          <w:bCs w:val="0"/>
          <w:color w:val="000000"/>
          <w:sz w:val="32"/>
          <w:szCs w:val="32"/>
        </w:rPr>
        <w:t>做好新型冠状病毒感染肺炎疫情学校后勤保障工作</w:t>
      </w:r>
      <w:r>
        <w:rPr>
          <w:rFonts w:hint="eastAsia" w:ascii="仿宋" w:hAnsi="仿宋" w:eastAsia="仿宋" w:cs="仿宋"/>
          <w:b w:val="0"/>
          <w:bCs w:val="0"/>
          <w:color w:val="000000"/>
          <w:sz w:val="32"/>
          <w:szCs w:val="32"/>
          <w:lang w:eastAsia="zh-CN"/>
        </w:rPr>
        <w:t>。开学前为学校准备好疫情防控的物资。</w:t>
      </w:r>
      <w:r>
        <w:rPr>
          <w:rFonts w:hint="eastAsia" w:ascii="仿宋" w:hAnsi="仿宋" w:eastAsia="仿宋" w:cs="仿宋"/>
          <w:sz w:val="32"/>
          <w:szCs w:val="32"/>
          <w:lang w:eastAsia="zh-CN"/>
        </w:rPr>
        <w:t>保证了我县在</w:t>
      </w:r>
      <w:r>
        <w:rPr>
          <w:rFonts w:hint="eastAsia" w:ascii="仿宋" w:hAnsi="仿宋" w:eastAsia="仿宋" w:cs="仿宋"/>
          <w:sz w:val="32"/>
          <w:szCs w:val="32"/>
          <w:lang w:val="en-US" w:eastAsia="zh-CN"/>
        </w:rPr>
        <w:t>4月的全面开学。</w:t>
      </w:r>
      <w:r>
        <w:rPr>
          <w:rFonts w:hint="eastAsia" w:ascii="仿宋" w:hAnsi="仿宋" w:eastAsia="仿宋" w:cs="仿宋"/>
          <w:sz w:val="32"/>
          <w:szCs w:val="32"/>
          <w:lang w:eastAsia="zh-CN"/>
        </w:rPr>
        <w:t>壤塘县教育局2020年度新冠状病毒肺炎疫情防控中央结算资金</w:t>
      </w:r>
      <w:r>
        <w:rPr>
          <w:rFonts w:hint="eastAsia" w:ascii="仿宋" w:hAnsi="仿宋" w:eastAsia="仿宋" w:cs="仿宋"/>
          <w:sz w:val="32"/>
          <w:szCs w:val="32"/>
        </w:rPr>
        <w:t>项目根据项目具体情况分析，该项目保证了我县在新型冠状病毒感染肺炎疫情2020年4月的全面开学。经济效益：充分利用该笔资金，最大程度为学校购置223只红外线测温仪；社会效益为保障新冠状病毒肺炎疫情期间防疫物资使师生在学校正常学习生活；现目前设备使用情况良好。发现的主要问题：教育局在应对重大突发安全公共事故上前瞻性不强，应急预案不完善</w:t>
      </w:r>
      <w:r>
        <w:rPr>
          <w:rFonts w:hint="eastAsia" w:ascii="仿宋" w:hAnsi="仿宋" w:eastAsia="仿宋" w:cs="仿宋"/>
          <w:sz w:val="32"/>
          <w:szCs w:val="32"/>
          <w:lang w:eastAsia="zh-CN"/>
        </w:rPr>
        <w:t>；教育局没有应对重大突发安全公共事故购买物资、人员培训专项资金。作为一个国家级贫困县，自身条件相对较差，地方配套资金不足，肯请国家和省上加大对民族地区资金方面的投入力度。</w:t>
      </w:r>
      <w:r>
        <w:rPr>
          <w:rFonts w:hint="eastAsia" w:ascii="仿宋" w:hAnsi="仿宋" w:eastAsia="仿宋" w:cs="仿宋"/>
          <w:sz w:val="32"/>
          <w:szCs w:val="32"/>
        </w:rPr>
        <w:t>下一步改进措施：进一步加大对民族地区</w:t>
      </w:r>
      <w:r>
        <w:rPr>
          <w:rFonts w:hint="eastAsia" w:ascii="仿宋" w:hAnsi="仿宋" w:eastAsia="仿宋" w:cs="仿宋"/>
          <w:sz w:val="32"/>
          <w:szCs w:val="32"/>
          <w:lang w:val="zh-CN"/>
        </w:rPr>
        <w:t>应对重大突发安全公共事故</w:t>
      </w:r>
      <w:r>
        <w:rPr>
          <w:rFonts w:hint="eastAsia" w:ascii="仿宋" w:hAnsi="仿宋" w:eastAsia="仿宋" w:cs="仿宋"/>
          <w:sz w:val="32"/>
          <w:szCs w:val="32"/>
        </w:rPr>
        <w:t>资金方面的投入力度</w:t>
      </w:r>
      <w:r>
        <w:rPr>
          <w:rFonts w:hint="eastAsia" w:ascii="仿宋" w:hAnsi="仿宋" w:eastAsia="仿宋" w:cs="仿宋"/>
          <w:sz w:val="32"/>
          <w:szCs w:val="32"/>
          <w:lang w:eastAsia="zh-CN"/>
        </w:rPr>
        <w:t>；</w:t>
      </w:r>
      <w:r>
        <w:rPr>
          <w:rFonts w:hint="eastAsia" w:ascii="仿宋" w:hAnsi="仿宋" w:eastAsia="仿宋" w:cs="仿宋"/>
          <w:sz w:val="32"/>
          <w:szCs w:val="32"/>
        </w:rPr>
        <w:t>加大</w:t>
      </w:r>
      <w:r>
        <w:rPr>
          <w:rFonts w:hint="eastAsia" w:ascii="仿宋" w:hAnsi="仿宋" w:eastAsia="仿宋" w:cs="仿宋"/>
          <w:sz w:val="32"/>
          <w:szCs w:val="32"/>
          <w:lang w:eastAsia="zh-CN"/>
        </w:rPr>
        <w:t>对</w:t>
      </w:r>
      <w:r>
        <w:rPr>
          <w:rFonts w:hint="eastAsia" w:ascii="仿宋" w:hAnsi="仿宋" w:eastAsia="仿宋" w:cs="仿宋"/>
          <w:sz w:val="32"/>
          <w:szCs w:val="32"/>
          <w:lang w:val="zh-CN"/>
        </w:rPr>
        <w:t>应对重大突发安全公共事故人员</w:t>
      </w:r>
      <w:r>
        <w:rPr>
          <w:rFonts w:hint="eastAsia" w:ascii="仿宋" w:hAnsi="仿宋" w:eastAsia="仿宋" w:cs="仿宋"/>
          <w:sz w:val="32"/>
          <w:szCs w:val="32"/>
        </w:rPr>
        <w:t>的培训</w:t>
      </w:r>
      <w:r>
        <w:rPr>
          <w:rFonts w:hint="eastAsia" w:ascii="仿宋" w:hAnsi="仿宋" w:eastAsia="仿宋" w:cs="仿宋"/>
          <w:sz w:val="32"/>
          <w:szCs w:val="32"/>
          <w:lang w:eastAsia="zh-CN"/>
        </w:rPr>
        <w:t>，</w:t>
      </w:r>
      <w:r>
        <w:rPr>
          <w:rFonts w:hint="eastAsia" w:ascii="仿宋" w:hAnsi="仿宋" w:eastAsia="仿宋" w:cs="仿宋"/>
          <w:sz w:val="32"/>
          <w:szCs w:val="32"/>
          <w:lang w:val="zh-CN"/>
        </w:rPr>
        <w:t>预案的演练；</w:t>
      </w:r>
      <w:r>
        <w:rPr>
          <w:rFonts w:hint="eastAsia" w:ascii="仿宋" w:hAnsi="仿宋" w:eastAsia="仿宋" w:cs="仿宋"/>
          <w:sz w:val="32"/>
          <w:szCs w:val="32"/>
        </w:rPr>
        <w:t>3、增加后期维护资金。</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27"/>
        <w:gridCol w:w="930"/>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bidi="ar"/>
              </w:rPr>
              <w:t>项目绩效目标完成情况表</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壤塘县教育局2020年度新冠状病毒肺炎疫情防控中央结算资金（物资采购经费）采购项目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壤塘县教育局</w:t>
            </w:r>
          </w:p>
        </w:tc>
      </w:tr>
      <w:tr>
        <w:tblPrEx>
          <w:tblCellMar>
            <w:top w:w="0" w:type="dxa"/>
            <w:left w:w="0" w:type="dxa"/>
            <w:bottom w:w="0" w:type="dxa"/>
            <w:right w:w="0" w:type="dxa"/>
          </w:tblCellMar>
        </w:tblPrEx>
        <w:trPr>
          <w:trHeight w:val="276"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预算执行情况(万元)</w:t>
            </w:r>
          </w:p>
        </w:tc>
        <w:tc>
          <w:tcPr>
            <w:tcW w:w="1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10.704万元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10.704万元</w:t>
            </w:r>
          </w:p>
        </w:tc>
      </w:tr>
      <w:tr>
        <w:tblPrEx>
          <w:tblCellMar>
            <w:top w:w="0" w:type="dxa"/>
            <w:left w:w="0" w:type="dxa"/>
            <w:bottom w:w="0" w:type="dxa"/>
            <w:right w:w="0" w:type="dxa"/>
          </w:tblCellMar>
        </w:tblPrEx>
        <w:trPr>
          <w:trHeight w:val="276"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10.704万元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10.704万元</w:t>
            </w:r>
          </w:p>
        </w:tc>
      </w:tr>
      <w:tr>
        <w:tblPrEx>
          <w:tblCellMar>
            <w:top w:w="0" w:type="dxa"/>
            <w:left w:w="0" w:type="dxa"/>
            <w:bottom w:w="0" w:type="dxa"/>
            <w:right w:w="0" w:type="dxa"/>
          </w:tblCellMar>
        </w:tblPrEx>
        <w:trPr>
          <w:trHeight w:val="1511"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276"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年度目标完成情况</w:t>
            </w:r>
          </w:p>
        </w:tc>
        <w:tc>
          <w:tcPr>
            <w:tcW w:w="434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实际完成目标</w:t>
            </w:r>
          </w:p>
        </w:tc>
      </w:tr>
      <w:tr>
        <w:tblPrEx>
          <w:tblCellMar>
            <w:top w:w="0" w:type="dxa"/>
            <w:left w:w="0" w:type="dxa"/>
            <w:bottom w:w="0" w:type="dxa"/>
            <w:right w:w="0" w:type="dxa"/>
          </w:tblCellMar>
        </w:tblPrEx>
        <w:trPr>
          <w:trHeight w:val="1159"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434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目标1：装备学校幼儿园15所</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目标2：2020年底完成</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目标3：购置223只红外线测温仪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1：装备学校幼儿园15所</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目标2：2020年底完成</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目标3：购置223只红外线测温仪</w:t>
            </w:r>
          </w:p>
        </w:tc>
      </w:tr>
      <w:tr>
        <w:tblPrEx>
          <w:tblCellMar>
            <w:top w:w="0" w:type="dxa"/>
            <w:left w:w="0" w:type="dxa"/>
            <w:bottom w:w="0" w:type="dxa"/>
            <w:right w:w="0" w:type="dxa"/>
          </w:tblCellMar>
        </w:tblPrEx>
        <w:trPr>
          <w:trHeight w:val="1042" w:hRule="atLeast"/>
          <w:jc w:val="center"/>
        </w:trPr>
        <w:tc>
          <w:tcPr>
            <w:tcW w:w="82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绩效指标完成情况</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装备学校数量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≥15所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≥15所</w:t>
            </w:r>
          </w:p>
        </w:tc>
      </w:tr>
      <w:tr>
        <w:tblPrEx>
          <w:tblCellMar>
            <w:top w:w="0" w:type="dxa"/>
            <w:left w:w="0" w:type="dxa"/>
            <w:bottom w:w="0" w:type="dxa"/>
            <w:right w:w="0" w:type="dxa"/>
          </w:tblCellMar>
        </w:tblPrEx>
        <w:trPr>
          <w:trHeight w:val="1297"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购置红外线测温仪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≥223只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≥223只</w:t>
            </w:r>
          </w:p>
        </w:tc>
      </w:tr>
      <w:tr>
        <w:tblPrEx>
          <w:tblCellMar>
            <w:top w:w="0" w:type="dxa"/>
            <w:left w:w="0" w:type="dxa"/>
            <w:bottom w:w="0" w:type="dxa"/>
            <w:right w:w="0" w:type="dxa"/>
          </w:tblCellMar>
        </w:tblPrEx>
        <w:trPr>
          <w:trHeight w:val="1042"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义务教育学生惠及人数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≥7000人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≥7878人</w:t>
            </w:r>
          </w:p>
        </w:tc>
      </w:tr>
      <w:tr>
        <w:tblPrEx>
          <w:tblCellMar>
            <w:top w:w="0" w:type="dxa"/>
            <w:left w:w="0" w:type="dxa"/>
            <w:bottom w:w="0" w:type="dxa"/>
            <w:right w:w="0" w:type="dxa"/>
          </w:tblCellMar>
        </w:tblPrEx>
        <w:trPr>
          <w:trHeight w:val="1042"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sz w:val="32"/>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按照合同要求验收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30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是否合格</w:t>
            </w:r>
          </w:p>
        </w:tc>
      </w:tr>
      <w:tr>
        <w:tblPrEx>
          <w:tblCellMar>
            <w:top w:w="0" w:type="dxa"/>
            <w:left w:w="0" w:type="dxa"/>
            <w:bottom w:w="0" w:type="dxa"/>
            <w:right w:w="0" w:type="dxa"/>
          </w:tblCellMar>
        </w:tblPrEx>
        <w:trPr>
          <w:trHeight w:val="1042"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计划时间内完成情况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是否完成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完成</w:t>
            </w:r>
          </w:p>
        </w:tc>
      </w:tr>
      <w:tr>
        <w:tblPrEx>
          <w:tblCellMar>
            <w:top w:w="0" w:type="dxa"/>
            <w:left w:w="0" w:type="dxa"/>
            <w:bottom w:w="0" w:type="dxa"/>
            <w:right w:w="0" w:type="dxa"/>
          </w:tblCellMar>
        </w:tblPrEx>
        <w:trPr>
          <w:trHeight w:val="1042"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社会效益</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覆盖项目学校学生情况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是否全覆盖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全覆盖</w:t>
            </w:r>
          </w:p>
        </w:tc>
      </w:tr>
      <w:tr>
        <w:tblPrEx>
          <w:tblCellMar>
            <w:top w:w="0" w:type="dxa"/>
            <w:left w:w="0" w:type="dxa"/>
            <w:bottom w:w="0" w:type="dxa"/>
            <w:right w:w="0" w:type="dxa"/>
          </w:tblCellMar>
        </w:tblPrEx>
        <w:trPr>
          <w:trHeight w:val="1042" w:hRule="atLeast"/>
          <w:jc w:val="center"/>
        </w:trPr>
        <w:tc>
          <w:tcPr>
            <w:tcW w:w="827"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服务对象</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学校使用者满意度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bl>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壤塘教育局2020年城乡义务教育中央补助资金项目营养餐资金</w:t>
      </w:r>
      <w:r>
        <w:rPr>
          <w:rFonts w:hint="eastAsia" w:ascii="仿宋" w:hAnsi="仿宋" w:eastAsia="仿宋" w:cs="仿宋"/>
          <w:sz w:val="32"/>
          <w:szCs w:val="32"/>
        </w:rPr>
        <w:t>为提高我县义务教育实施水平，切实减轻经济困难学生家庭经济负担，改善学生学习环境，促进学生健康成长， 2020年城乡义务教育中央补助资金项目营养餐资金项目。在项目实施中，让建档立卡贫困户子女2049人享受了营养改善计划，解决了我县寄宿制学生的生活费不足问题，有力地缓解了学校与家长关于生活问题的压力；营养改善</w:t>
      </w:r>
      <w:r>
        <w:rPr>
          <w:rFonts w:hint="eastAsia" w:ascii="仿宋" w:hAnsi="仿宋" w:eastAsia="仿宋" w:cs="仿宋"/>
          <w:sz w:val="32"/>
          <w:szCs w:val="32"/>
          <w:lang w:eastAsia="zh-CN"/>
        </w:rPr>
        <w:t>地</w:t>
      </w:r>
      <w:r>
        <w:rPr>
          <w:rFonts w:hint="eastAsia" w:ascii="仿宋" w:hAnsi="仿宋" w:eastAsia="仿宋" w:cs="仿宋"/>
          <w:sz w:val="32"/>
          <w:szCs w:val="32"/>
        </w:rPr>
        <w:t>实施</w:t>
      </w:r>
      <w:r>
        <w:rPr>
          <w:rFonts w:hint="eastAsia" w:ascii="仿宋" w:hAnsi="仿宋" w:eastAsia="仿宋" w:cs="仿宋"/>
          <w:sz w:val="32"/>
          <w:szCs w:val="32"/>
          <w:lang w:eastAsia="zh-CN"/>
        </w:rPr>
        <w:t>让</w:t>
      </w:r>
      <w:r>
        <w:rPr>
          <w:rFonts w:hint="eastAsia" w:ascii="仿宋" w:hAnsi="仿宋" w:eastAsia="仿宋" w:cs="仿宋"/>
          <w:sz w:val="32"/>
          <w:szCs w:val="32"/>
        </w:rPr>
        <w:t>我县学生的体质得到了明显改善，专项资金的规范管理和安全使用，做到让社会满意，让家长放心，学生家长满意度测评满意度达98%。让所有寄宿制学生不用为了自己的生活费而浪费精力，能在学校专心学习，没有后顾之忧。学校住宿、生活条件的改善使教师和学生的工作、学习积极性得到了极大的提高，学校的教育教学质量也将得到提升。</w:t>
      </w:r>
      <w:r>
        <w:rPr>
          <w:rFonts w:hint="eastAsia" w:ascii="仿宋" w:hAnsi="仿宋" w:eastAsia="仿宋" w:cs="仿宋"/>
          <w:sz w:val="32"/>
          <w:szCs w:val="32"/>
          <w:lang w:eastAsia="zh-CN"/>
        </w:rPr>
        <w:t>壤塘教育局2020年城乡义务教育中央补助资金项目营养餐</w:t>
      </w:r>
      <w:r>
        <w:rPr>
          <w:rFonts w:hint="eastAsia" w:ascii="仿宋" w:hAnsi="仿宋" w:eastAsia="仿宋" w:cs="仿宋"/>
          <w:sz w:val="32"/>
          <w:szCs w:val="32"/>
          <w:lang w:val="zh-CN"/>
        </w:rPr>
        <w:t>对照项目计划目标，我局农村义务教育学生营养改善计划食品安全达标率达</w:t>
      </w:r>
      <w:r>
        <w:rPr>
          <w:rFonts w:hint="eastAsia" w:ascii="仿宋" w:hAnsi="仿宋" w:eastAsia="仿宋" w:cs="仿宋"/>
          <w:sz w:val="32"/>
          <w:szCs w:val="32"/>
        </w:rPr>
        <w:t>100%</w:t>
      </w:r>
      <w:r>
        <w:rPr>
          <w:rFonts w:hint="eastAsia" w:ascii="仿宋" w:hAnsi="仿宋" w:eastAsia="仿宋" w:cs="仿宋"/>
          <w:sz w:val="32"/>
          <w:szCs w:val="32"/>
          <w:lang w:val="zh-CN"/>
        </w:rPr>
        <w:t>。农村义务教育学生营养膳食生均补助达到标准</w:t>
      </w:r>
      <w:r>
        <w:rPr>
          <w:rFonts w:hint="eastAsia" w:ascii="仿宋" w:hAnsi="仿宋" w:eastAsia="仿宋" w:cs="仿宋"/>
          <w:sz w:val="32"/>
          <w:szCs w:val="32"/>
        </w:rPr>
        <w:t>4元/天。发现的主要问题：</w:t>
      </w:r>
      <w:r>
        <w:rPr>
          <w:rFonts w:hint="eastAsia" w:ascii="仿宋" w:hAnsi="仿宋" w:eastAsia="仿宋" w:cs="仿宋"/>
          <w:kern w:val="0"/>
          <w:sz w:val="32"/>
          <w:szCs w:val="32"/>
        </w:rPr>
        <w:t>学校食堂后勤人员数量少、素质参差不齐，因用电难等原因，部分学校食堂设备无法正常使用，造成学生食堂菜品单一。建议加大对学校食堂后勤人员的业务培训，提高设备使用率，加大学校食堂的改扩建、设备的采购力度。同时，还需加强对学校营养配餐的指导，在保证学生各种营养成分摄入量的前提下，制定符合实际的营养食谱，达到营养均衡</w:t>
      </w:r>
      <w:r>
        <w:rPr>
          <w:rFonts w:hint="eastAsia" w:ascii="仿宋" w:hAnsi="仿宋" w:eastAsia="仿宋" w:cs="仿宋"/>
          <w:sz w:val="32"/>
          <w:szCs w:val="32"/>
        </w:rPr>
        <w:t>。下一步改进措施：</w:t>
      </w:r>
      <w:r>
        <w:rPr>
          <w:rFonts w:hint="eastAsia" w:ascii="仿宋" w:hAnsi="仿宋" w:eastAsia="仿宋" w:cs="仿宋"/>
          <w:kern w:val="0"/>
          <w:sz w:val="32"/>
          <w:szCs w:val="32"/>
        </w:rPr>
        <w:t>食堂供餐后学校食堂后勤人员属临时招聘，待遇差，工作量大给学校管理带来难度，请求解决正式编制或相关待遇。</w:t>
      </w:r>
      <w:r>
        <w:rPr>
          <w:rFonts w:hint="eastAsia" w:ascii="仿宋" w:hAnsi="仿宋" w:eastAsia="仿宋" w:cs="仿宋"/>
          <w:sz w:val="32"/>
          <w:szCs w:val="32"/>
          <w:lang w:val="en-US" w:eastAsia="zh-CN"/>
        </w:rPr>
        <w:t xml:space="preserve">   </w:t>
      </w: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23"/>
        <w:gridCol w:w="83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bidi="ar"/>
              </w:rPr>
              <w:t>项目绩效目标完成情况表</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壤塘教育局城乡义务教育中央补助资金项目营养餐项目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壤塘县教育局</w:t>
            </w:r>
          </w:p>
        </w:tc>
      </w:tr>
      <w:tr>
        <w:tblPrEx>
          <w:tblCellMar>
            <w:top w:w="0" w:type="dxa"/>
            <w:left w:w="0" w:type="dxa"/>
            <w:bottom w:w="0" w:type="dxa"/>
            <w:right w:w="0" w:type="dxa"/>
          </w:tblCellMar>
        </w:tblPrEx>
        <w:trPr>
          <w:trHeight w:val="276" w:hRule="atLeast"/>
          <w:jc w:val="center"/>
        </w:trPr>
        <w:tc>
          <w:tcPr>
            <w:tcW w:w="92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预算执行情况(万元)</w:t>
            </w:r>
          </w:p>
        </w:tc>
        <w:tc>
          <w:tcPr>
            <w:tcW w:w="18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r>
      <w:tr>
        <w:tblPrEx>
          <w:tblCellMar>
            <w:top w:w="0" w:type="dxa"/>
            <w:left w:w="0" w:type="dxa"/>
            <w:bottom w:w="0" w:type="dxa"/>
            <w:right w:w="0" w:type="dxa"/>
          </w:tblCellMar>
        </w:tblPrEx>
        <w:trPr>
          <w:trHeight w:val="276"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8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r>
      <w:tr>
        <w:tblPrEx>
          <w:tblCellMar>
            <w:top w:w="0" w:type="dxa"/>
            <w:left w:w="0" w:type="dxa"/>
            <w:bottom w:w="0" w:type="dxa"/>
            <w:right w:w="0" w:type="dxa"/>
          </w:tblCellMar>
        </w:tblPrEx>
        <w:trPr>
          <w:trHeight w:val="1511"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18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r>
      <w:tr>
        <w:tblPrEx>
          <w:tblCellMar>
            <w:top w:w="0" w:type="dxa"/>
            <w:left w:w="0" w:type="dxa"/>
            <w:bottom w:w="0" w:type="dxa"/>
            <w:right w:w="0" w:type="dxa"/>
          </w:tblCellMar>
        </w:tblPrEx>
        <w:trPr>
          <w:trHeight w:val="276" w:hRule="atLeast"/>
          <w:jc w:val="center"/>
        </w:trPr>
        <w:tc>
          <w:tcPr>
            <w:tcW w:w="92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年度目标完成情况</w:t>
            </w:r>
          </w:p>
        </w:tc>
        <w:tc>
          <w:tcPr>
            <w:tcW w:w="42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实际完成目标</w:t>
            </w:r>
          </w:p>
        </w:tc>
      </w:tr>
      <w:tr>
        <w:tblPrEx>
          <w:tblCellMar>
            <w:top w:w="0" w:type="dxa"/>
            <w:left w:w="0" w:type="dxa"/>
            <w:bottom w:w="0" w:type="dxa"/>
            <w:right w:w="0" w:type="dxa"/>
          </w:tblCellMar>
        </w:tblPrEx>
        <w:trPr>
          <w:trHeight w:val="1159"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32"/>
                <w:szCs w:val="32"/>
              </w:rPr>
            </w:pPr>
          </w:p>
        </w:tc>
        <w:tc>
          <w:tcPr>
            <w:tcW w:w="42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2020年应享受营养餐人数7878人，城乡义务教育中央补助资金项目营养餐资金项目全部用于学生营养改善计划生活支出, 拨付195万。食堂供餐比例100％。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2020年已完成享受营养餐人数7878人，城乡义务教育中央补助资金195万项目营养餐资金项目全部用于学生营养改善计划生活支出, 截止目前支出195万。食堂供餐比例100％。</w:t>
            </w:r>
          </w:p>
        </w:tc>
      </w:tr>
      <w:tr>
        <w:tblPrEx>
          <w:tblCellMar>
            <w:top w:w="0" w:type="dxa"/>
            <w:left w:w="0" w:type="dxa"/>
            <w:bottom w:w="0" w:type="dxa"/>
            <w:right w:w="0" w:type="dxa"/>
          </w:tblCellMar>
        </w:tblPrEx>
        <w:trPr>
          <w:trHeight w:val="1042" w:hRule="atLeast"/>
          <w:jc w:val="center"/>
        </w:trPr>
        <w:tc>
          <w:tcPr>
            <w:tcW w:w="92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绩效指标完成情况</w:t>
            </w: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农村义务教育学生营养改善计划惠及人数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7878人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7878人</w:t>
            </w:r>
          </w:p>
        </w:tc>
      </w:tr>
      <w:tr>
        <w:tblPrEx>
          <w:tblCellMar>
            <w:top w:w="0" w:type="dxa"/>
            <w:left w:w="0" w:type="dxa"/>
            <w:bottom w:w="0" w:type="dxa"/>
            <w:right w:w="0" w:type="dxa"/>
          </w:tblCellMar>
        </w:tblPrEx>
        <w:trPr>
          <w:trHeight w:val="1297"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农村义务教育学生营养改善计划到位资金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195万</w:t>
            </w:r>
          </w:p>
        </w:tc>
      </w:tr>
      <w:tr>
        <w:tblPrEx>
          <w:tblCellMar>
            <w:top w:w="0" w:type="dxa"/>
            <w:left w:w="0" w:type="dxa"/>
            <w:bottom w:w="0" w:type="dxa"/>
            <w:right w:w="0" w:type="dxa"/>
          </w:tblCellMar>
        </w:tblPrEx>
        <w:trPr>
          <w:trHeight w:val="1042"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农村义务教育学生营养改善计划按期完成率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190天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190天</w:t>
            </w:r>
          </w:p>
        </w:tc>
      </w:tr>
      <w:tr>
        <w:tblPrEx>
          <w:tblCellMar>
            <w:top w:w="0" w:type="dxa"/>
            <w:left w:w="0" w:type="dxa"/>
            <w:bottom w:w="0" w:type="dxa"/>
            <w:right w:w="0" w:type="dxa"/>
          </w:tblCellMar>
        </w:tblPrEx>
        <w:trPr>
          <w:trHeight w:val="1042"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eastAsia="zh-CN" w:bidi="ar"/>
              </w:rPr>
              <w:t>产出</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农村义务教育学生营养膳食生均补助标准改善计划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4元/天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4元/天</w:t>
            </w:r>
          </w:p>
        </w:tc>
      </w:tr>
      <w:tr>
        <w:tblPrEx>
          <w:tblCellMar>
            <w:top w:w="0" w:type="dxa"/>
            <w:left w:w="0" w:type="dxa"/>
            <w:bottom w:w="0" w:type="dxa"/>
            <w:right w:w="0" w:type="dxa"/>
          </w:tblCellMar>
        </w:tblPrEx>
        <w:trPr>
          <w:trHeight w:val="1042"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效益</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32"/>
                <w:szCs w:val="32"/>
                <w:u w:val="none"/>
                <w:lang w:val="en-US" w:eastAsia="zh-CN" w:bidi="ar"/>
              </w:rPr>
            </w:pPr>
            <w:r>
              <w:rPr>
                <w:rFonts w:hint="eastAsia" w:ascii="仿宋" w:hAnsi="仿宋" w:eastAsia="仿宋" w:cs="仿宋"/>
                <w:i w:val="0"/>
                <w:color w:val="000000"/>
                <w:kern w:val="0"/>
                <w:sz w:val="32"/>
                <w:szCs w:val="32"/>
                <w:u w:val="none"/>
                <w:lang w:val="en-US" w:eastAsia="zh-CN" w:bidi="ar"/>
              </w:rPr>
              <w:t>经济效益</w:t>
            </w:r>
          </w:p>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建档立卡家庭适龄儿童青少年享受营养餐比例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r>
      <w:tr>
        <w:tblPrEx>
          <w:tblCellMar>
            <w:top w:w="0" w:type="dxa"/>
            <w:left w:w="0" w:type="dxa"/>
            <w:bottom w:w="0" w:type="dxa"/>
            <w:right w:w="0" w:type="dxa"/>
          </w:tblCellMar>
        </w:tblPrEx>
        <w:trPr>
          <w:trHeight w:val="1042"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eastAsia="zh-CN" w:bidi="ar"/>
              </w:rPr>
              <w:t>效益</w:t>
            </w:r>
            <w:r>
              <w:rPr>
                <w:rFonts w:hint="eastAsia" w:ascii="仿宋" w:hAnsi="仿宋" w:eastAsia="仿宋" w:cs="仿宋"/>
                <w:color w:val="000000"/>
                <w:kern w:val="0"/>
                <w:sz w:val="32"/>
                <w:szCs w:val="32"/>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32"/>
                <w:szCs w:val="32"/>
                <w:u w:val="none"/>
                <w:lang w:val="en-US" w:eastAsia="zh-CN" w:bidi="ar"/>
              </w:rPr>
            </w:pPr>
            <w:r>
              <w:rPr>
                <w:rFonts w:hint="eastAsia" w:ascii="仿宋" w:hAnsi="仿宋" w:eastAsia="仿宋" w:cs="仿宋"/>
                <w:i w:val="0"/>
                <w:color w:val="000000"/>
                <w:kern w:val="0"/>
                <w:sz w:val="32"/>
                <w:szCs w:val="32"/>
                <w:u w:val="none"/>
                <w:lang w:val="en-US" w:eastAsia="zh-CN" w:bidi="ar"/>
              </w:rPr>
              <w:t>社会效益</w:t>
            </w:r>
          </w:p>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农村义务教育学生营养改善计划实施年限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≥5年</w:t>
            </w:r>
          </w:p>
        </w:tc>
      </w:tr>
      <w:tr>
        <w:tblPrEx>
          <w:tblCellMar>
            <w:top w:w="0" w:type="dxa"/>
            <w:left w:w="0" w:type="dxa"/>
            <w:bottom w:w="0" w:type="dxa"/>
            <w:right w:w="0" w:type="dxa"/>
          </w:tblCellMar>
        </w:tblPrEx>
        <w:trPr>
          <w:trHeight w:val="1042"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服务对象</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学生家长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≥98%</w:t>
            </w:r>
          </w:p>
        </w:tc>
      </w:tr>
      <w:tr>
        <w:tblPrEx>
          <w:tblCellMar>
            <w:top w:w="0" w:type="dxa"/>
            <w:left w:w="0" w:type="dxa"/>
            <w:bottom w:w="0" w:type="dxa"/>
            <w:right w:w="0" w:type="dxa"/>
          </w:tblCellMar>
        </w:tblPrEx>
        <w:trPr>
          <w:trHeight w:val="1297" w:hRule="atLeast"/>
          <w:jc w:val="center"/>
        </w:trPr>
        <w:tc>
          <w:tcPr>
            <w:tcW w:w="92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p>
        </w:tc>
        <w:tc>
          <w:tcPr>
            <w:tcW w:w="8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服务对象</w:t>
            </w:r>
          </w:p>
          <w:p>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学生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color w:val="000000"/>
                <w:sz w:val="32"/>
                <w:szCs w:val="32"/>
              </w:rPr>
            </w:pPr>
            <w:r>
              <w:rPr>
                <w:rFonts w:hint="eastAsia" w:ascii="仿宋" w:hAnsi="仿宋" w:eastAsia="仿宋" w:cs="仿宋"/>
                <w:i w:val="0"/>
                <w:color w:val="000000"/>
                <w:kern w:val="0"/>
                <w:sz w:val="32"/>
                <w:szCs w:val="32"/>
                <w:u w:val="none"/>
                <w:lang w:val="en-US" w:eastAsia="zh-CN" w:bidi="ar"/>
              </w:rPr>
              <w:t>≥98%</w:t>
            </w:r>
          </w:p>
        </w:tc>
      </w:tr>
    </w:tbl>
    <w:p>
      <w:pPr>
        <w:numPr>
          <w:ilvl w:val="0"/>
          <w:numId w:val="6"/>
        </w:numPr>
        <w:spacing w:line="580" w:lineRule="exact"/>
        <w:ind w:left="630"/>
        <w:rPr>
          <w:rFonts w:hint="eastAsia" w:ascii="仿宋" w:hAnsi="仿宋" w:eastAsia="仿宋" w:cs="仿宋"/>
          <w:sz w:val="32"/>
          <w:szCs w:val="32"/>
        </w:rPr>
      </w:pPr>
      <w:r>
        <w:rPr>
          <w:rFonts w:hint="eastAsia" w:ascii="仿宋" w:hAnsi="仿宋" w:eastAsia="仿宋" w:cs="仿宋"/>
          <w:sz w:val="32"/>
          <w:szCs w:val="32"/>
        </w:rPr>
        <w:t>部门绩效评价结果。</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 w:hAnsi="仿宋" w:eastAsia="仿宋" w:cs="仿宋"/>
          <w:b/>
          <w:color w:val="000000"/>
          <w:sz w:val="32"/>
          <w:szCs w:val="32"/>
        </w:rPr>
      </w:pPr>
      <w:r>
        <w:rPr>
          <w:rFonts w:hint="eastAsia" w:ascii="仿宋" w:hAnsi="仿宋" w:eastAsia="仿宋" w:cs="仿宋"/>
          <w:kern w:val="2"/>
          <w:sz w:val="32"/>
          <w:szCs w:val="32"/>
          <w:lang w:val="en-US" w:eastAsia="zh-CN" w:bidi="ar"/>
        </w:rPr>
        <w:t>本部门自行</w:t>
      </w:r>
      <w:r>
        <w:rPr>
          <w:rFonts w:hint="eastAsia" w:ascii="仿宋" w:hAnsi="仿宋" w:eastAsia="仿宋" w:cs="仿宋"/>
          <w:sz w:val="32"/>
          <w:szCs w:val="32"/>
        </w:rPr>
        <w:t>组织对教育类政策性项目省级补助资金</w:t>
      </w:r>
      <w:r>
        <w:rPr>
          <w:rFonts w:hint="eastAsia" w:ascii="仿宋" w:hAnsi="仿宋" w:eastAsia="仿宋" w:cs="仿宋"/>
          <w:sz w:val="32"/>
          <w:szCs w:val="32"/>
          <w:lang w:eastAsia="zh-CN"/>
        </w:rPr>
        <w:t>，2020年高海拔少数民族自治州教育“三包”经费 ，壤塘县教育局2020年度新冠状病毒肺炎疫情防控中央结算资金，壤塘县教育局学生公用经费，壤塘教育局2020年城乡义务教育中央补助资金项目营养餐资金</w:t>
      </w:r>
      <w:r>
        <w:rPr>
          <w:rFonts w:hint="eastAsia" w:ascii="仿宋" w:hAnsi="仿宋" w:eastAsia="仿宋" w:cs="仿宋"/>
          <w:sz w:val="32"/>
          <w:szCs w:val="32"/>
        </w:rPr>
        <w:t>事前绩效评估，</w:t>
      </w:r>
      <w:r>
        <w:rPr>
          <w:rFonts w:hint="eastAsia" w:ascii="仿宋" w:hAnsi="仿宋" w:eastAsia="仿宋" w:cs="仿宋"/>
          <w:sz w:val="32"/>
          <w:szCs w:val="32"/>
          <w:lang w:val="en-US" w:eastAsia="zh-CN"/>
        </w:rPr>
        <w:t>5</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val="en-US" w:eastAsia="zh-CN"/>
        </w:rPr>
        <w:t>5</w:t>
      </w:r>
      <w:r>
        <w:rPr>
          <w:rFonts w:hint="eastAsia" w:ascii="仿宋" w:hAnsi="仿宋" w:eastAsia="仿宋" w:cs="仿宋"/>
          <w:sz w:val="32"/>
          <w:szCs w:val="32"/>
        </w:rPr>
        <w:t>个项目开展绩效监控，年终执行完毕后，对</w:t>
      </w:r>
      <w:r>
        <w:rPr>
          <w:rFonts w:hint="eastAsia" w:ascii="仿宋" w:hAnsi="仿宋" w:eastAsia="仿宋" w:cs="仿宋"/>
          <w:sz w:val="32"/>
          <w:szCs w:val="32"/>
          <w:lang w:val="en-US" w:eastAsia="zh-CN"/>
        </w:rPr>
        <w:t>5</w:t>
      </w:r>
      <w:r>
        <w:rPr>
          <w:rFonts w:hint="eastAsia" w:ascii="仿宋" w:hAnsi="仿宋" w:eastAsia="仿宋" w:cs="仿宋"/>
          <w:sz w:val="32"/>
          <w:szCs w:val="32"/>
        </w:rPr>
        <w:t>个项目开展了绩效目标完成情况自评</w:t>
      </w:r>
      <w:r>
        <w:rPr>
          <w:rFonts w:hint="eastAsia" w:ascii="仿宋" w:hAnsi="仿宋" w:eastAsia="仿宋" w:cs="仿宋"/>
          <w:kern w:val="2"/>
          <w:sz w:val="32"/>
          <w:szCs w:val="32"/>
          <w:lang w:val="en-US" w:eastAsia="zh-CN" w:bidi="ar"/>
        </w:rPr>
        <w:t>。促进了我县教学质量不断提高，教育教学取得初步成效。不但极大地改善了我县办学条件，发挥了学校规模效益，加快了学校均衡发展，提高了教师素质，提高了教学质量，而且深得民心，促进了我县民族教育事业不断向前发展。</w:t>
      </w:r>
    </w:p>
    <w:p>
      <w:pPr>
        <w:numPr>
          <w:ilvl w:val="0"/>
          <w:numId w:val="7"/>
        </w:numPr>
        <w:spacing w:line="600" w:lineRule="exact"/>
        <w:ind w:firstLine="660" w:firstLineChars="150"/>
        <w:jc w:val="center"/>
        <w:outlineLvl w:val="0"/>
        <w:rPr>
          <w:rStyle w:val="25"/>
          <w:rFonts w:hint="eastAsia" w:ascii="黑体" w:hAnsi="黑体" w:eastAsia="黑体" w:cs="黑体"/>
          <w:b w:val="0"/>
          <w:sz w:val="44"/>
          <w:szCs w:val="44"/>
        </w:rPr>
      </w:pPr>
      <w:bookmarkStart w:id="105" w:name="_Toc15396613"/>
      <w:bookmarkStart w:id="106" w:name="_Toc79163629"/>
      <w:bookmarkStart w:id="107" w:name="_Toc79163879"/>
      <w:bookmarkStart w:id="108" w:name="_Toc15377225"/>
      <w:r>
        <w:rPr>
          <w:rFonts w:hint="eastAsia" w:ascii="黑体" w:hAnsi="黑体" w:eastAsia="黑体" w:cs="黑体"/>
          <w:color w:val="000000"/>
          <w:sz w:val="44"/>
          <w:szCs w:val="44"/>
        </w:rPr>
        <w:t>名</w:t>
      </w:r>
      <w:r>
        <w:rPr>
          <w:rStyle w:val="25"/>
          <w:rFonts w:hint="eastAsia" w:ascii="黑体" w:hAnsi="黑体" w:eastAsia="黑体" w:cs="黑体"/>
          <w:b w:val="0"/>
          <w:sz w:val="44"/>
          <w:szCs w:val="44"/>
        </w:rPr>
        <w:t>词解释</w:t>
      </w:r>
      <w:bookmarkEnd w:id="105"/>
      <w:bookmarkEnd w:id="106"/>
      <w:bookmarkEnd w:id="107"/>
      <w:bookmarkEnd w:id="108"/>
    </w:p>
    <w:p>
      <w:pPr>
        <w:spacing w:line="600" w:lineRule="exact"/>
        <w:jc w:val="left"/>
        <w:rPr>
          <w:rFonts w:hint="eastAsia" w:ascii="仿宋" w:hAnsi="仿宋" w:eastAsia="仿宋" w:cs="仿宋"/>
          <w:b/>
          <w:color w:val="000000"/>
          <w:sz w:val="32"/>
          <w:szCs w:val="32"/>
        </w:rPr>
      </w:pP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5.使用非财政拨款结余：指事业单位使用以前年度积累的非财政拨款结余弥补当年收支差额的金额。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6.年初结转和结余：指以前年度尚未完成、结转到本年按有关规定继续使用的资金。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7.结余分配：指事业单位按照会计制度规定缴纳的所得税、提取的专用结余以及转入非财政拨款结余的金额等。</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9.一般公共服务（类）众团体事务款）其他群众团体事务支出（项）：指</w:t>
      </w:r>
      <w:r>
        <w:rPr>
          <w:rFonts w:hint="eastAsia" w:ascii="仿宋" w:hAnsi="仿宋" w:eastAsia="仿宋" w:cs="仿宋"/>
          <w:color w:val="000000"/>
          <w:sz w:val="32"/>
          <w:szCs w:val="32"/>
          <w:lang w:eastAsia="zh-CN"/>
        </w:rPr>
        <w:t>其他用于群众团体事务方面的支出</w:t>
      </w:r>
      <w:r>
        <w:rPr>
          <w:rFonts w:hint="eastAsia" w:ascii="仿宋" w:hAnsi="仿宋" w:eastAsia="仿宋" w:cs="仿宋"/>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教育管理事务</w:t>
      </w:r>
      <w:r>
        <w:rPr>
          <w:rFonts w:hint="eastAsia" w:ascii="仿宋_GB2312" w:eastAsia="仿宋_GB2312"/>
          <w:color w:val="000000"/>
          <w:sz w:val="32"/>
          <w:szCs w:val="32"/>
        </w:rPr>
        <w:t>（款）行政运行（项）：指反映</w:t>
      </w:r>
      <w:r>
        <w:rPr>
          <w:rFonts w:hint="eastAsia" w:ascii="仿宋_GB2312" w:eastAsia="仿宋_GB2312"/>
          <w:color w:val="000000"/>
          <w:sz w:val="32"/>
          <w:szCs w:val="32"/>
          <w:lang w:eastAsia="zh-CN"/>
        </w:rPr>
        <w:t>行政单位的基本支出</w:t>
      </w:r>
      <w:r>
        <w:rPr>
          <w:rFonts w:hint="eastAsia" w:ascii="仿宋_GB2312" w:eastAsia="仿宋_GB2312"/>
          <w:color w:val="000000"/>
          <w:sz w:val="32"/>
          <w:szCs w:val="32"/>
        </w:rPr>
        <w:t>。</w:t>
      </w:r>
    </w:p>
    <w:p>
      <w:pPr>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10</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学前教育</w:t>
      </w:r>
      <w:r>
        <w:rPr>
          <w:rFonts w:hint="eastAsia" w:ascii="仿宋_GB2312" w:eastAsia="仿宋_GB2312"/>
          <w:color w:val="000000"/>
          <w:sz w:val="32"/>
          <w:szCs w:val="32"/>
        </w:rPr>
        <w:t>（项）：指反映各部门举办的</w:t>
      </w:r>
      <w:r>
        <w:rPr>
          <w:rFonts w:hint="eastAsia" w:ascii="仿宋_GB2312" w:eastAsia="仿宋_GB2312"/>
          <w:color w:val="000000"/>
          <w:sz w:val="32"/>
          <w:szCs w:val="32"/>
          <w:lang w:eastAsia="zh-CN"/>
        </w:rPr>
        <w:t>学前</w:t>
      </w:r>
      <w:r>
        <w:rPr>
          <w:rFonts w:hint="eastAsia" w:ascii="仿宋_GB2312" w:eastAsia="仿宋_GB2312"/>
          <w:color w:val="000000"/>
          <w:sz w:val="32"/>
          <w:szCs w:val="32"/>
        </w:rPr>
        <w:t>教育支出。</w:t>
      </w:r>
    </w:p>
    <w:p>
      <w:pPr>
        <w:ind w:firstLine="480" w:firstLineChars="15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小学教育</w:t>
      </w:r>
      <w:r>
        <w:rPr>
          <w:rFonts w:hint="eastAsia" w:ascii="仿宋_GB2312" w:eastAsia="仿宋_GB2312"/>
          <w:color w:val="000000"/>
          <w:sz w:val="32"/>
          <w:szCs w:val="32"/>
        </w:rPr>
        <w:t>（项）：指反映各部门举办的小学教育支出。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初中教育</w:t>
      </w:r>
      <w:r>
        <w:rPr>
          <w:rFonts w:hint="eastAsia" w:ascii="仿宋_GB2312" w:eastAsia="仿宋_GB2312"/>
          <w:color w:val="000000"/>
          <w:sz w:val="32"/>
          <w:szCs w:val="32"/>
        </w:rPr>
        <w:t>（项）：指反映各部门举办的初中教育支出。</w:t>
      </w:r>
    </w:p>
    <w:p>
      <w:pPr>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12</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高中教育</w:t>
      </w:r>
      <w:r>
        <w:rPr>
          <w:rFonts w:hint="eastAsia" w:ascii="仿宋_GB2312" w:eastAsia="仿宋_GB2312"/>
          <w:color w:val="000000"/>
          <w:sz w:val="32"/>
          <w:szCs w:val="32"/>
        </w:rPr>
        <w:t>（项）：指反映各部门举办的高中教育支出。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高等教育</w:t>
      </w:r>
      <w:r>
        <w:rPr>
          <w:rFonts w:hint="eastAsia" w:ascii="仿宋_GB2312" w:eastAsia="仿宋_GB2312"/>
          <w:color w:val="000000"/>
          <w:sz w:val="32"/>
          <w:szCs w:val="32"/>
        </w:rPr>
        <w:t>（项）：指反映各部门举办的</w:t>
      </w:r>
      <w:r>
        <w:rPr>
          <w:rFonts w:hint="eastAsia" w:ascii="仿宋_GB2312" w:eastAsia="仿宋_GB2312"/>
          <w:color w:val="000000"/>
          <w:sz w:val="32"/>
          <w:szCs w:val="32"/>
          <w:lang w:eastAsia="zh-CN"/>
        </w:rPr>
        <w:t>普通本科（包括研究生）教育支出</w:t>
      </w:r>
      <w:r>
        <w:rPr>
          <w:rFonts w:hint="eastAsia" w:ascii="仿宋_GB2312" w:eastAsia="仿宋_GB2312"/>
          <w:color w:val="000000"/>
          <w:sz w:val="32"/>
          <w:szCs w:val="32"/>
        </w:rPr>
        <w:t>。</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sz w:val="32"/>
          <w:szCs w:val="32"/>
        </w:rPr>
        <w:t>、</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其他普通教育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其他普通教育支出</w:t>
      </w:r>
      <w:r>
        <w:rPr>
          <w:rFonts w:hint="eastAsia" w:ascii="仿宋_GB2312" w:eastAsia="仿宋_GB2312"/>
          <w:color w:val="000000"/>
          <w:sz w:val="32"/>
          <w:szCs w:val="32"/>
        </w:rPr>
        <w:t>（项）：指反映各部</w:t>
      </w:r>
      <w:r>
        <w:rPr>
          <w:rFonts w:hint="eastAsia" w:ascii="仿宋_GB2312" w:eastAsia="仿宋_GB2312"/>
          <w:color w:val="000000"/>
          <w:sz w:val="32"/>
          <w:szCs w:val="32"/>
          <w:lang w:eastAsia="zh-CN"/>
        </w:rPr>
        <w:t>其他用于普通教育方面的支出。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 xml:space="preserve"> 职业教育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 xml:space="preserve"> 中等职业教育</w:t>
      </w:r>
      <w:r>
        <w:rPr>
          <w:rFonts w:hint="eastAsia" w:ascii="仿宋_GB2312" w:eastAsia="仿宋_GB2312"/>
          <w:color w:val="000000"/>
          <w:sz w:val="32"/>
          <w:szCs w:val="32"/>
        </w:rPr>
        <w:t>（项）：指反映各部</w:t>
      </w:r>
      <w:r>
        <w:rPr>
          <w:rFonts w:hint="eastAsia" w:ascii="仿宋_GB2312" w:eastAsia="仿宋_GB2312"/>
          <w:color w:val="000000"/>
          <w:sz w:val="32"/>
          <w:szCs w:val="32"/>
          <w:lang w:eastAsia="zh-CN"/>
        </w:rPr>
        <w:t>（不含人力资源社会保障部门）举办的中等职业教育支出。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 xml:space="preserve"> 特殊教育</w:t>
      </w:r>
      <w:r>
        <w:rPr>
          <w:rFonts w:hint="eastAsia" w:ascii="仿宋_GB2312" w:eastAsia="仿宋_GB2312"/>
          <w:color w:val="000000"/>
          <w:sz w:val="32"/>
          <w:szCs w:val="32"/>
        </w:rPr>
        <w:t>（款）</w:t>
      </w:r>
      <w:r>
        <w:rPr>
          <w:rFonts w:hint="eastAsia" w:ascii="仿宋_GB2312" w:eastAsia="仿宋_GB2312"/>
          <w:color w:val="000000"/>
          <w:sz w:val="32"/>
          <w:szCs w:val="32"/>
          <w:lang w:eastAsia="zh-CN"/>
        </w:rPr>
        <w:t xml:space="preserve"> 其他特殊教育支出</w:t>
      </w:r>
      <w:r>
        <w:rPr>
          <w:rFonts w:hint="eastAsia" w:ascii="仿宋_GB2312" w:eastAsia="仿宋_GB2312"/>
          <w:color w:val="000000"/>
          <w:sz w:val="32"/>
          <w:szCs w:val="32"/>
        </w:rPr>
        <w:t>（项）：指反映各部</w:t>
      </w:r>
      <w:r>
        <w:rPr>
          <w:rFonts w:hint="eastAsia" w:ascii="仿宋_GB2312" w:eastAsia="仿宋_GB2312"/>
          <w:color w:val="000000"/>
          <w:sz w:val="32"/>
          <w:szCs w:val="32"/>
          <w:lang w:eastAsia="zh-CN"/>
        </w:rPr>
        <w:t>其他用于特殊教育方面的支出。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教育费附加安排的支出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其他教育费附加安排的支出</w:t>
      </w:r>
      <w:r>
        <w:rPr>
          <w:rFonts w:hint="eastAsia" w:ascii="仿宋_GB2312" w:eastAsia="仿宋_GB2312"/>
          <w:color w:val="000000"/>
          <w:sz w:val="32"/>
          <w:szCs w:val="32"/>
        </w:rPr>
        <w:t>（项）：指反映</w:t>
      </w:r>
      <w:r>
        <w:rPr>
          <w:rFonts w:hint="eastAsia" w:ascii="仿宋_GB2312" w:eastAsia="仿宋_GB2312"/>
          <w:color w:val="000000"/>
          <w:sz w:val="32"/>
          <w:szCs w:val="32"/>
          <w:lang w:eastAsia="zh-CN"/>
        </w:rPr>
        <w:t>其他用于教育附加方面的支出。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教育（类）</w:t>
      </w:r>
      <w:r>
        <w:rPr>
          <w:rFonts w:hint="eastAsia" w:ascii="仿宋_GB2312" w:eastAsia="仿宋_GB2312"/>
          <w:color w:val="000000"/>
          <w:sz w:val="32"/>
          <w:szCs w:val="32"/>
          <w:lang w:eastAsia="zh-CN"/>
        </w:rPr>
        <w:t>其他教育支出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其他教育支出</w:t>
      </w:r>
      <w:r>
        <w:rPr>
          <w:rFonts w:hint="eastAsia" w:ascii="仿宋_GB2312" w:eastAsia="仿宋_GB2312"/>
          <w:color w:val="000000"/>
          <w:sz w:val="32"/>
          <w:szCs w:val="32"/>
        </w:rPr>
        <w:t>（项）：指反映</w:t>
      </w:r>
      <w:r>
        <w:rPr>
          <w:rFonts w:hint="eastAsia" w:ascii="仿宋_GB2312" w:eastAsia="仿宋_GB2312"/>
          <w:color w:val="000000"/>
          <w:sz w:val="32"/>
          <w:szCs w:val="32"/>
          <w:lang w:eastAsia="zh-CN"/>
        </w:rPr>
        <w:t>其他用于教育方面的支出。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文化旅游体育与传媒支出（类）</w:t>
      </w:r>
      <w:r>
        <w:rPr>
          <w:rFonts w:hint="eastAsia" w:ascii="仿宋_GB2312" w:eastAsia="仿宋_GB2312"/>
          <w:color w:val="000000"/>
          <w:sz w:val="32"/>
          <w:szCs w:val="32"/>
          <w:lang w:eastAsia="zh-CN"/>
        </w:rPr>
        <w:t xml:space="preserve"> 文化和旅游支出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 xml:space="preserve"> 其他文化和旅游支出</w:t>
      </w:r>
      <w:r>
        <w:rPr>
          <w:rFonts w:hint="eastAsia" w:ascii="仿宋_GB2312" w:eastAsia="仿宋_GB2312"/>
          <w:color w:val="000000"/>
          <w:sz w:val="32"/>
          <w:szCs w:val="32"/>
        </w:rPr>
        <w:t>（项）：指反映</w:t>
      </w:r>
      <w:r>
        <w:rPr>
          <w:rFonts w:hint="eastAsia" w:ascii="仿宋_GB2312" w:eastAsia="仿宋_GB2312"/>
          <w:color w:val="000000"/>
          <w:sz w:val="32"/>
          <w:szCs w:val="32"/>
          <w:lang w:eastAsia="zh-CN"/>
        </w:rPr>
        <w:t>其他用于文化和旅游支出方面的支出。</w:t>
      </w:r>
    </w:p>
    <w:p>
      <w:pPr>
        <w:ind w:firstLine="480" w:firstLineChars="15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文化旅游体育与传媒支出（类）</w:t>
      </w:r>
      <w:r>
        <w:rPr>
          <w:rFonts w:hint="eastAsia" w:ascii="仿宋_GB2312" w:eastAsia="仿宋_GB2312"/>
          <w:color w:val="000000"/>
          <w:sz w:val="32"/>
          <w:szCs w:val="32"/>
          <w:lang w:eastAsia="zh-CN"/>
        </w:rPr>
        <w:t xml:space="preserve"> 其他文化旅游体育与传媒支出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宣传文化发展专项支出</w:t>
      </w:r>
      <w:r>
        <w:rPr>
          <w:rFonts w:hint="eastAsia" w:ascii="仿宋_GB2312" w:eastAsia="仿宋_GB2312"/>
          <w:color w:val="000000"/>
          <w:sz w:val="32"/>
          <w:szCs w:val="32"/>
        </w:rPr>
        <w:t>（项）：指反映</w:t>
      </w:r>
      <w:r>
        <w:rPr>
          <w:rFonts w:hint="eastAsia" w:ascii="仿宋_GB2312" w:eastAsia="仿宋_GB2312"/>
          <w:color w:val="000000"/>
          <w:sz w:val="32"/>
          <w:szCs w:val="32"/>
          <w:lang w:eastAsia="zh-CN"/>
        </w:rPr>
        <w:t>按照国家有关政策支持宣传文化单位发展的专项支出。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、社会保障和就业（类）行政事业单位养老支出（款）  机关事业单位基本养老保险缴费支出（项）：指反映机关事业单位实施养老保险制度由单位缴纳的基本养老保险费支出。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、社会保障和就业（类）行政事业单位养老支出（款） 机关事业单位职业年金缴费支出（项）：指反映机关事业单位实施养老保险制度由单位实际缴纳的职业年金支出。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、医疗卫生与计划生育（类）行政事业单位医疗（款）行政单位医疗（项）：指反映财政部门集中安排的</w:t>
      </w:r>
      <w:r>
        <w:rPr>
          <w:rFonts w:hint="eastAsia" w:ascii="仿宋_GB2312" w:eastAsia="仿宋_GB2312"/>
          <w:color w:val="000000"/>
          <w:sz w:val="32"/>
          <w:szCs w:val="32"/>
          <w:lang w:eastAsia="zh-CN"/>
        </w:rPr>
        <w:t>行政</w:t>
      </w:r>
      <w:r>
        <w:rPr>
          <w:rFonts w:hint="eastAsia" w:ascii="仿宋_GB2312" w:eastAsia="仿宋_GB2312"/>
          <w:color w:val="000000"/>
          <w:sz w:val="32"/>
          <w:szCs w:val="32"/>
        </w:rPr>
        <w:t>单位</w:t>
      </w:r>
      <w:r>
        <w:rPr>
          <w:rFonts w:hint="eastAsia" w:ascii="仿宋_GB2312" w:eastAsia="仿宋_GB2312"/>
          <w:color w:val="000000"/>
          <w:sz w:val="32"/>
          <w:szCs w:val="32"/>
          <w:lang w:eastAsia="zh-CN"/>
        </w:rPr>
        <w:t>（包括实行公务员管理的事业单位）</w:t>
      </w:r>
      <w:r>
        <w:rPr>
          <w:rFonts w:hint="eastAsia" w:ascii="仿宋_GB2312" w:eastAsia="仿宋_GB2312"/>
          <w:color w:val="000000"/>
          <w:sz w:val="32"/>
          <w:szCs w:val="32"/>
        </w:rPr>
        <w:t>基本医疗保险缴费经费，未参加医疗保险的事业单位的公费医疗经费，按国家规定享受离休人员待遇的医疗经费。</w:t>
      </w:r>
    </w:p>
    <w:p>
      <w:pPr>
        <w:ind w:firstLine="480" w:firstLineChars="150"/>
        <w:rPr>
          <w:rFonts w:hint="eastAsia" w:ascii="仿宋" w:hAnsi="仿宋" w:eastAsia="仿宋" w:cs="仿宋"/>
          <w:b/>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、住房保障（类）住房改革支出（款）</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（项）：指反映行政事业单位按人力资源和社会保障部、财政部规定的基本工资和津贴补贴以及规定比例为职工缴纳的住房公积金。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 xml:space="preserve">.项目支出：指在基本支出之外为完成特定行政任务和事业发展目标所发生的支出。 </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28</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29</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0" w:firstLineChars="200"/>
        <w:rPr>
          <w:rFonts w:hint="eastAsia" w:ascii="仿宋" w:hAnsi="仿宋" w:eastAsia="仿宋" w:cs="仿宋"/>
          <w:sz w:val="32"/>
          <w:szCs w:val="32"/>
        </w:rPr>
      </w:pPr>
    </w:p>
    <w:p>
      <w:pPr>
        <w:spacing w:line="600" w:lineRule="exact"/>
        <w:jc w:val="center"/>
        <w:outlineLvl w:val="0"/>
        <w:rPr>
          <w:rStyle w:val="25"/>
          <w:rFonts w:ascii="黑体" w:hAnsi="黑体" w:eastAsia="黑体"/>
          <w:b w:val="0"/>
        </w:rPr>
      </w:pPr>
      <w:bookmarkStart w:id="109" w:name="_Toc15396614"/>
      <w:bookmarkStart w:id="110" w:name="_Toc79163630"/>
      <w:bookmarkStart w:id="111" w:name="_Toc79163880"/>
      <w:bookmarkStart w:id="112" w:name="_Toc79163881"/>
      <w:bookmarkStart w:id="113" w:name="_Toc79163631"/>
      <w:bookmarkStart w:id="114" w:name="_Toc15377226"/>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spacing w:line="600" w:lineRule="exact"/>
        <w:jc w:val="left"/>
        <w:outlineLvl w:val="0"/>
        <w:rPr>
          <w:rFonts w:hint="eastAsia" w:ascii="仿宋" w:hAnsi="仿宋" w:eastAsia="仿宋" w:cs="仿宋"/>
          <w:sz w:val="32"/>
          <w:szCs w:val="32"/>
        </w:rPr>
      </w:pPr>
      <w:r>
        <w:rPr>
          <w:rFonts w:hint="eastAsia" w:ascii="仿宋" w:hAnsi="仿宋" w:eastAsia="仿宋" w:cs="仿宋"/>
          <w:sz w:val="32"/>
          <w:szCs w:val="32"/>
        </w:rPr>
        <w:t>附件1</w:t>
      </w:r>
      <w:bookmarkEnd w:id="112"/>
      <w:bookmarkEnd w:id="113"/>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lang w:eastAsia="zh-CN"/>
        </w:rPr>
        <w:t>教育局</w:t>
      </w:r>
      <w:r>
        <w:rPr>
          <w:rFonts w:hint="eastAsia" w:ascii="黑体" w:hAnsi="黑体" w:eastAsia="黑体" w:cs="黑体"/>
          <w:sz w:val="44"/>
          <w:szCs w:val="44"/>
        </w:rPr>
        <w:t>部门2020年</w:t>
      </w:r>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rPr>
        <w:t>部门整体支出绩效评价报告</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800" w:firstLineChars="250"/>
        <w:rPr>
          <w:rFonts w:ascii="仿宋" w:hAnsi="仿宋" w:eastAsia="仿宋"/>
          <w:sz w:val="32"/>
          <w:szCs w:val="32"/>
        </w:rPr>
      </w:pPr>
      <w:r>
        <w:rPr>
          <w:rFonts w:hint="eastAsia" w:ascii="仿宋" w:hAnsi="仿宋" w:eastAsia="仿宋"/>
          <w:sz w:val="32"/>
          <w:szCs w:val="32"/>
          <w:lang w:eastAsia="zh-CN"/>
        </w:rPr>
        <w:t>壤塘县教育局（本级）属</w:t>
      </w:r>
      <w:r>
        <w:rPr>
          <w:rFonts w:hint="eastAsia" w:ascii="仿宋" w:hAnsi="仿宋" w:eastAsia="仿宋"/>
          <w:sz w:val="32"/>
          <w:szCs w:val="32"/>
        </w:rPr>
        <w:t>二级单位</w:t>
      </w:r>
      <w:r>
        <w:rPr>
          <w:rFonts w:hint="eastAsia" w:ascii="仿宋" w:hAnsi="仿宋" w:eastAsia="仿宋"/>
          <w:sz w:val="32"/>
          <w:szCs w:val="32"/>
          <w:lang w:val="en-US" w:eastAsia="zh-CN"/>
        </w:rPr>
        <w:t>17</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w:t>
      </w:r>
      <w:r>
        <w:rPr>
          <w:rFonts w:hint="eastAsia" w:ascii="仿宋" w:hAnsi="仿宋" w:eastAsia="仿宋"/>
          <w:sz w:val="32"/>
          <w:szCs w:val="32"/>
          <w:lang w:val="en-US" w:eastAsia="zh-CN"/>
        </w:rPr>
        <w:t>17</w:t>
      </w:r>
      <w:r>
        <w:rPr>
          <w:rFonts w:hint="eastAsia" w:ascii="仿宋" w:hAnsi="仿宋" w:eastAsia="仿宋"/>
          <w:sz w:val="32"/>
          <w:szCs w:val="32"/>
        </w:rPr>
        <w:t>个。</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（二）机构职能。</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贯彻落实党的教育方针及有关教育工作的政策、法律、法规、规章，实施义务教育，促进农村基础教育发展，义务学历教育。</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（三）人员概况。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w:t>
      </w:r>
      <w:r>
        <w:rPr>
          <w:rFonts w:hint="eastAsia" w:ascii="仿宋" w:hAnsi="仿宋" w:eastAsia="仿宋" w:cs="仿宋"/>
          <w:sz w:val="32"/>
          <w:szCs w:val="32"/>
          <w:lang w:val="en-US" w:eastAsia="zh-CN"/>
        </w:rPr>
        <w:t>2020</w:t>
      </w:r>
      <w:r>
        <w:rPr>
          <w:rFonts w:hint="eastAsia" w:ascii="仿宋" w:hAnsi="仿宋" w:eastAsia="仿宋" w:cs="仿宋"/>
          <w:sz w:val="32"/>
          <w:szCs w:val="32"/>
        </w:rPr>
        <w:t>年12月，我</w:t>
      </w:r>
      <w:r>
        <w:rPr>
          <w:rFonts w:hint="eastAsia" w:ascii="仿宋" w:hAnsi="仿宋" w:eastAsia="仿宋" w:cs="仿宋"/>
          <w:sz w:val="32"/>
          <w:szCs w:val="32"/>
          <w:lang w:eastAsia="zh-CN"/>
        </w:rPr>
        <w:t>局</w:t>
      </w:r>
      <w:r>
        <w:rPr>
          <w:rFonts w:hint="eastAsia" w:ascii="仿宋" w:hAnsi="仿宋" w:eastAsia="仿宋" w:cs="仿宋"/>
          <w:sz w:val="32"/>
          <w:szCs w:val="32"/>
        </w:rPr>
        <w:t>有在职</w:t>
      </w:r>
      <w:r>
        <w:rPr>
          <w:rFonts w:hint="eastAsia" w:ascii="仿宋" w:hAnsi="仿宋" w:eastAsia="仿宋" w:cs="仿宋"/>
          <w:sz w:val="32"/>
          <w:szCs w:val="32"/>
          <w:lang w:eastAsia="zh-CN"/>
        </w:rPr>
        <w:t>职工</w:t>
      </w:r>
      <w:r>
        <w:rPr>
          <w:rFonts w:hint="eastAsia" w:ascii="仿宋" w:hAnsi="仿宋" w:eastAsia="仿宋" w:cs="仿宋"/>
          <w:sz w:val="32"/>
          <w:szCs w:val="32"/>
          <w:lang w:val="en-US" w:eastAsia="zh-CN"/>
        </w:rPr>
        <w:t>7</w:t>
      </w:r>
      <w:r>
        <w:rPr>
          <w:rFonts w:hint="eastAsia" w:ascii="仿宋" w:hAnsi="仿宋" w:eastAsia="仿宋" w:cs="仿宋"/>
          <w:sz w:val="32"/>
          <w:szCs w:val="32"/>
        </w:rPr>
        <w:t>人，在校学生人数</w:t>
      </w:r>
      <w:r>
        <w:rPr>
          <w:rFonts w:hint="eastAsia" w:ascii="仿宋" w:hAnsi="仿宋" w:eastAsia="仿宋" w:cs="仿宋"/>
          <w:sz w:val="32"/>
          <w:szCs w:val="32"/>
          <w:lang w:val="en-US" w:eastAsia="zh-CN"/>
        </w:rPr>
        <w:t>0</w:t>
      </w:r>
      <w:r>
        <w:rPr>
          <w:rFonts w:hint="eastAsia" w:ascii="仿宋" w:hAnsi="仿宋" w:eastAsia="仿宋" w:cs="仿宋"/>
          <w:sz w:val="32"/>
          <w:szCs w:val="32"/>
        </w:rPr>
        <w:t>人。</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二、部门财政资金收支情况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（一）部门财政资金收入情况。</w:t>
      </w:r>
    </w:p>
    <w:p>
      <w:pPr>
        <w:spacing w:line="600" w:lineRule="exact"/>
        <w:ind w:firstLine="640" w:firstLineChars="200"/>
        <w:outlineLvl w:val="1"/>
        <w:rPr>
          <w:rFonts w:hint="eastAsia" w:ascii="仿宋" w:hAnsi="仿宋" w:eastAsia="仿宋" w:cs="仿宋"/>
          <w:color w:val="000000"/>
          <w:sz w:val="32"/>
          <w:szCs w:val="32"/>
        </w:rPr>
      </w:pPr>
      <w:bookmarkStart w:id="115" w:name="_Toc54610976"/>
      <w:bookmarkStart w:id="116" w:name="_Toc29535"/>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年本年收入合计12522.38万元，其中：一般公共预算财政拨款收入</w:t>
      </w:r>
      <w:r>
        <w:rPr>
          <w:rFonts w:hint="eastAsia" w:ascii="仿宋" w:hAnsi="仿宋" w:eastAsia="仿宋" w:cs="仿宋"/>
          <w:color w:val="000000"/>
          <w:sz w:val="32"/>
          <w:szCs w:val="32"/>
          <w:lang w:val="en-US" w:eastAsia="zh-CN"/>
        </w:rPr>
        <w:t>12491.38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99.75</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31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0.25</w:t>
      </w:r>
      <w:r>
        <w:rPr>
          <w:rFonts w:hint="eastAsia" w:ascii="仿宋" w:hAnsi="仿宋" w:eastAsia="仿宋" w:cs="仿宋"/>
          <w:color w:val="000000"/>
          <w:sz w:val="32"/>
          <w:szCs w:val="32"/>
        </w:rPr>
        <w:t>%；国有资本经营预算财政拨款收入0万元，占0%；事业收入0万元，占0%；经营收入0万元，占0%；附属单位上缴收入0万元，占0%；其他收入0万元，占0%。</w:t>
      </w:r>
      <w:bookmarkEnd w:id="115"/>
      <w:bookmarkEnd w:id="116"/>
    </w:p>
    <w:p>
      <w:pPr>
        <w:numPr>
          <w:ilvl w:val="0"/>
          <w:numId w:val="8"/>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部门财政资金支出情况。</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年本年支出合计</w:t>
      </w:r>
      <w:r>
        <w:rPr>
          <w:rFonts w:hint="eastAsia" w:ascii="仿宋" w:hAnsi="仿宋" w:eastAsia="仿宋" w:cs="仿宋"/>
          <w:color w:val="000000"/>
          <w:sz w:val="32"/>
          <w:szCs w:val="32"/>
          <w:lang w:val="en-US" w:eastAsia="zh-CN"/>
        </w:rPr>
        <w:t>11240.66</w:t>
      </w:r>
      <w:r>
        <w:rPr>
          <w:rFonts w:hint="eastAsia" w:ascii="仿宋" w:hAnsi="仿宋" w:eastAsia="仿宋" w:cs="仿宋"/>
          <w:color w:val="000000"/>
          <w:sz w:val="32"/>
          <w:szCs w:val="32"/>
        </w:rPr>
        <w:t>万元，其中：基本支出202.44万元，占</w:t>
      </w: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%；项目支出11038.21万元，占</w:t>
      </w:r>
      <w:r>
        <w:rPr>
          <w:rFonts w:hint="eastAsia" w:ascii="仿宋" w:hAnsi="仿宋" w:eastAsia="仿宋" w:cs="仿宋"/>
          <w:color w:val="000000"/>
          <w:sz w:val="32"/>
          <w:szCs w:val="32"/>
          <w:lang w:val="en-US" w:eastAsia="zh-CN"/>
        </w:rPr>
        <w:t>98.2</w:t>
      </w:r>
      <w:r>
        <w:rPr>
          <w:rFonts w:hint="eastAsia" w:ascii="仿宋" w:hAnsi="仿宋" w:eastAsia="仿宋" w:cs="仿宋"/>
          <w:color w:val="000000"/>
          <w:sz w:val="32"/>
          <w:szCs w:val="32"/>
        </w:rPr>
        <w:t>%；上缴上级支出0万元，占0%；经营支出0万元，占0%；对附属单位补助支出0万元，占0%。</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三、部门整体预算绩效管理情况（根据适用指标体系进行调整）</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（一）部门预算管理。</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们严格预算管理，切实按照相关管理制度要求，修改完善了《财务管理规定》《公务接待管理规定》《差旅费、会议费、培训费管理规定》《公务车辆管理办法》等工作制度，进一步明确了财政预算资金审批手续和拨付程序、机关行政经费审批手续和报销程序，加强了财务管理，规范了收支行为，保证了按预算执行方案，完成预算目标。</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（二）专项预算管理。</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根据学校预算金额，专款专用，无违规超范围使用情况。</w:t>
      </w:r>
    </w:p>
    <w:p>
      <w:pPr>
        <w:numPr>
          <w:ilvl w:val="0"/>
          <w:numId w:val="8"/>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结果应用情况。</w:t>
      </w:r>
    </w:p>
    <w:p>
      <w:pPr>
        <w:spacing w:line="58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教育基本经费的使用，力保学校教育教学工作的有效开展以及学校工作的正常运行；足额发放人员保障经费、严肃财经纪律，落实好资助政策，保证资金安全，及时下达资金，督促学校按时落实学前减免午餐费资金、寄宿制阶段学生生活费资金等。</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四、评价结论及建议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（一）评价结论。</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积极履职，强化管理，较好的完成了年度工作目标。通过加强预算收支管理，不断建立健全内部管理制度，梳理内部管理流程，部门整体支出管理水平得到提升。</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（二）存在问题。</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1、预算编制工作有待细化。预算编制不够明确和细化，预算编制的合理性需要提高，预算执行力度还要进一步加强。</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2、因单位全额编制少导致经费不足：绩效工资和日常公用经费不足。</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（三）改进建议。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针对上述存在的问题，拟实施的改进措施如下：</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3、对相关人员加强培训，特别是针对《预算法》、《行政事业单位会计制度》等学习培训，规范部门预算收支核算，切实提高部门预算收支管理水平。</w:t>
      </w: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p>
    <w:p>
      <w:pPr>
        <w:spacing w:line="600" w:lineRule="exact"/>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壤塘县教育局</w:t>
      </w:r>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lang w:val="en-US" w:eastAsia="zh-CN"/>
        </w:rPr>
        <w:t>教育类政策性</w:t>
      </w:r>
      <w:r>
        <w:rPr>
          <w:rFonts w:hint="eastAsia" w:ascii="黑体" w:hAnsi="黑体" w:eastAsia="黑体" w:cs="黑体"/>
          <w:sz w:val="44"/>
          <w:szCs w:val="44"/>
        </w:rPr>
        <w:t>项目</w:t>
      </w:r>
      <w:r>
        <w:rPr>
          <w:rFonts w:hint="eastAsia" w:ascii="黑体" w:hAnsi="黑体" w:eastAsia="黑体" w:cs="黑体"/>
          <w:sz w:val="44"/>
          <w:szCs w:val="44"/>
          <w:lang w:val="en-US" w:eastAsia="zh-CN"/>
        </w:rPr>
        <w:t>省级补助资金2020年绩效评价报告</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rPr>
        <w:t>一、</w:t>
      </w:r>
      <w:r>
        <w:rPr>
          <w:rStyle w:val="25"/>
          <w:rFonts w:hint="eastAsia" w:ascii="仿宋" w:hAnsi="仿宋" w:eastAsia="仿宋" w:cs="仿宋"/>
          <w:b w:val="0"/>
          <w:sz w:val="32"/>
          <w:szCs w:val="32"/>
          <w:lang w:val="zh-CN"/>
        </w:rPr>
        <w:t>项目概况</w:t>
      </w:r>
    </w:p>
    <w:p>
      <w:pPr>
        <w:widowControl/>
        <w:ind w:firstLine="640" w:firstLineChars="200"/>
        <w:jc w:val="left"/>
        <w:rPr>
          <w:rStyle w:val="25"/>
          <w:rFonts w:hint="eastAsia" w:ascii="仿宋" w:hAnsi="仿宋" w:eastAsia="仿宋" w:cs="仿宋"/>
          <w:b w:val="0"/>
          <w:sz w:val="32"/>
          <w:szCs w:val="32"/>
          <w:lang w:val="en-US" w:eastAsia="zh-CN"/>
        </w:rPr>
      </w:pPr>
      <w:r>
        <w:rPr>
          <w:rStyle w:val="25"/>
          <w:rFonts w:hint="eastAsia" w:ascii="仿宋" w:hAnsi="仿宋" w:eastAsia="仿宋" w:cs="仿宋"/>
          <w:b w:val="0"/>
          <w:sz w:val="32"/>
          <w:szCs w:val="32"/>
        </w:rPr>
        <w:t>我县现有中小学14所，其中：义务教育阶段小学5811人，初中2067人。应享受公用经费补助的</w:t>
      </w:r>
      <w:r>
        <w:rPr>
          <w:rStyle w:val="25"/>
          <w:rFonts w:hint="eastAsia" w:ascii="仿宋" w:hAnsi="仿宋" w:eastAsia="仿宋" w:cs="仿宋"/>
          <w:b w:val="0"/>
          <w:sz w:val="32"/>
          <w:szCs w:val="32"/>
          <w:lang w:val="en-US" w:eastAsia="zh-CN"/>
        </w:rPr>
        <w:t>7628</w:t>
      </w:r>
      <w:r>
        <w:rPr>
          <w:rStyle w:val="25"/>
          <w:rFonts w:hint="eastAsia" w:ascii="仿宋" w:hAnsi="仿宋" w:eastAsia="仿宋" w:cs="仿宋"/>
          <w:b w:val="0"/>
          <w:sz w:val="32"/>
          <w:szCs w:val="32"/>
        </w:rPr>
        <w:t>人。标准小学每生每年800元，初中每生每年1000元，对在校寄宿制学生再次基础上提高200元。</w:t>
      </w:r>
      <w:r>
        <w:rPr>
          <w:rStyle w:val="25"/>
          <w:rFonts w:hint="eastAsia" w:ascii="仿宋" w:hAnsi="仿宋" w:eastAsia="仿宋" w:cs="仿宋"/>
          <w:b w:val="0"/>
          <w:sz w:val="32"/>
          <w:szCs w:val="32"/>
          <w:lang w:val="en-US" w:eastAsia="zh-CN"/>
        </w:rPr>
        <w:t>全县农村教师生活补助对象271人，每人每月400元补助；建档立卡中职学生90人，每人每期500元，全年1000元；建档立卡大中专学生54人，每人每年4000元；全县高中在校生163人，每人每年2000元。</w:t>
      </w:r>
    </w:p>
    <w:p>
      <w:pPr>
        <w:widowControl/>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项目资金申报及批复情况。</w:t>
      </w:r>
    </w:p>
    <w:p>
      <w:pPr>
        <w:widowControl/>
        <w:ind w:firstLine="640" w:firstLineChars="200"/>
        <w:jc w:val="left"/>
        <w:rPr>
          <w:rStyle w:val="25"/>
          <w:rFonts w:hint="eastAsia" w:ascii="仿宋" w:hAnsi="仿宋" w:eastAsia="仿宋" w:cs="仿宋"/>
          <w:b w:val="0"/>
          <w:sz w:val="32"/>
          <w:szCs w:val="32"/>
          <w:lang w:val="en-US"/>
        </w:rPr>
      </w:pPr>
      <w:r>
        <w:rPr>
          <w:rStyle w:val="25"/>
          <w:rFonts w:hint="eastAsia" w:ascii="仿宋" w:hAnsi="仿宋" w:eastAsia="仿宋" w:cs="仿宋"/>
          <w:b w:val="0"/>
          <w:sz w:val="32"/>
          <w:szCs w:val="32"/>
          <w:lang w:val="en-US" w:eastAsia="zh-CN"/>
        </w:rPr>
        <w:t>根据阿州财教[2020]11号下达2020年城乡义务教育经费保障机制学生公用经费107万元，城乡义务教育经费保障机制学生作业本费11万元，城乡义务教育经费保障机制学生生活补助资金144万元，城乡义务教育经费保障机制农村教师生活68万元，建档立卡中职特别资助1万元，建档立卡本专科特别资助10万元，学前教育资金70万元，普通高中免学费和教材费18.14万元，普通高中公用经费2.85元，城乡义务教育经费高海拔取暖费116万元，普通高中公用经费10.16万元，学生营养改善计划资金13万元，城乡义务教育宿舍维修资金50万元。</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项目绩效目标。</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en-US" w:eastAsia="zh-CN"/>
        </w:rPr>
        <w:t>2020年度教育类政策性省级补助资金实际收入621.09万元，</w:t>
      </w:r>
      <w:r>
        <w:rPr>
          <w:rStyle w:val="25"/>
          <w:rFonts w:hint="eastAsia" w:ascii="仿宋" w:hAnsi="仿宋" w:eastAsia="仿宋" w:cs="仿宋"/>
          <w:b w:val="0"/>
          <w:sz w:val="32"/>
          <w:szCs w:val="32"/>
          <w:lang w:val="zh-CN"/>
        </w:rPr>
        <w:t>教育局根据</w:t>
      </w:r>
      <w:r>
        <w:rPr>
          <w:rStyle w:val="25"/>
          <w:rFonts w:hint="eastAsia" w:ascii="仿宋" w:hAnsi="仿宋" w:eastAsia="仿宋" w:cs="仿宋"/>
          <w:b w:val="0"/>
          <w:sz w:val="32"/>
          <w:szCs w:val="32"/>
          <w:lang w:val="en-US" w:eastAsia="zh-CN"/>
        </w:rPr>
        <w:t>义务教育经费按照</w:t>
      </w:r>
      <w:r>
        <w:rPr>
          <w:rStyle w:val="25"/>
          <w:rFonts w:hint="eastAsia" w:ascii="仿宋" w:hAnsi="仿宋" w:eastAsia="仿宋" w:cs="仿宋"/>
          <w:b w:val="0"/>
          <w:sz w:val="32"/>
          <w:szCs w:val="32"/>
          <w:lang w:val="zh-CN"/>
        </w:rPr>
        <w:t>年初实施方案预定进度计划，项目实施按照方案逐步实施，到20</w:t>
      </w:r>
      <w:r>
        <w:rPr>
          <w:rStyle w:val="25"/>
          <w:rFonts w:hint="eastAsia" w:ascii="仿宋" w:hAnsi="仿宋" w:eastAsia="仿宋" w:cs="仿宋"/>
          <w:b w:val="0"/>
          <w:sz w:val="32"/>
          <w:szCs w:val="32"/>
          <w:lang w:val="en-US" w:eastAsia="zh-CN"/>
        </w:rPr>
        <w:t>20</w:t>
      </w:r>
      <w:r>
        <w:rPr>
          <w:rStyle w:val="25"/>
          <w:rFonts w:hint="eastAsia" w:ascii="仿宋" w:hAnsi="仿宋" w:eastAsia="仿宋" w:cs="仿宋"/>
          <w:b w:val="0"/>
          <w:sz w:val="32"/>
          <w:szCs w:val="32"/>
          <w:lang w:val="zh-CN"/>
        </w:rPr>
        <w:t>年秋季放假</w:t>
      </w:r>
      <w:r>
        <w:rPr>
          <w:rStyle w:val="25"/>
          <w:rFonts w:hint="eastAsia" w:ascii="仿宋" w:hAnsi="仿宋" w:eastAsia="仿宋" w:cs="仿宋"/>
          <w:b w:val="0"/>
          <w:sz w:val="32"/>
          <w:szCs w:val="32"/>
          <w:lang w:val="en-US" w:eastAsia="zh-CN"/>
        </w:rPr>
        <w:t>时</w:t>
      </w:r>
      <w:r>
        <w:rPr>
          <w:rStyle w:val="25"/>
          <w:rFonts w:hint="eastAsia" w:ascii="仿宋" w:hAnsi="仿宋" w:eastAsia="仿宋" w:cs="仿宋"/>
          <w:b w:val="0"/>
          <w:sz w:val="32"/>
          <w:szCs w:val="32"/>
          <w:lang w:val="zh-CN"/>
        </w:rPr>
        <w:t>项目按照进度顺利完成。</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项目资金申报相符性。</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项目申报内容与具体实施内容相符、申报目标合理可行。</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二、项目实施及管理情况</w:t>
      </w:r>
    </w:p>
    <w:p>
      <w:pPr>
        <w:widowControl/>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ab/>
      </w:r>
      <w:r>
        <w:rPr>
          <w:rStyle w:val="25"/>
          <w:rFonts w:hint="eastAsia" w:ascii="仿宋" w:hAnsi="仿宋" w:eastAsia="仿宋" w:cs="仿宋"/>
          <w:b w:val="0"/>
          <w:sz w:val="32"/>
          <w:szCs w:val="32"/>
          <w:lang w:val="zh-CN"/>
        </w:rPr>
        <w:t>（一）资金计划、到位及使用情况。</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1、资金计划及到位。</w:t>
      </w:r>
    </w:p>
    <w:p>
      <w:pPr>
        <w:widowControl/>
        <w:ind w:firstLine="640" w:firstLineChars="200"/>
        <w:jc w:val="left"/>
        <w:rPr>
          <w:rStyle w:val="25"/>
          <w:rFonts w:hint="eastAsia" w:ascii="仿宋" w:hAnsi="仿宋" w:eastAsia="仿宋" w:cs="仿宋"/>
          <w:b w:val="0"/>
          <w:sz w:val="32"/>
          <w:szCs w:val="32"/>
          <w:lang w:val="en-US"/>
        </w:rPr>
      </w:pPr>
      <w:r>
        <w:rPr>
          <w:rStyle w:val="25"/>
          <w:rFonts w:hint="eastAsia" w:ascii="仿宋" w:hAnsi="仿宋" w:eastAsia="仿宋" w:cs="仿宋"/>
          <w:b w:val="0"/>
          <w:sz w:val="32"/>
          <w:szCs w:val="32"/>
          <w:lang w:val="en-US" w:eastAsia="zh-CN"/>
        </w:rPr>
        <w:t>根据阿州财教[2020]11号下达2020年城乡义务教育经费保障机制学生公用经费107万元，城乡义务教育经费保障机制学生作业本费11万元，城乡义务教育经费保障机制学生生活补助资金144万元，城乡义务教育经费保障机制农村教师生活68万元，建档立卡中职特别资助1万元，建档立卡本专科特别资助10万元，学前教育资金70万元，普通高中免学费和教材费18.14万元，普通高中公用经费2.85元，城乡义务教育经费高海拔取暖费116万元，普通高中公用经费10.16万元，学生营养改善计划资金13万元，城乡义务教育宿舍维修资金50万元。</w:t>
      </w:r>
    </w:p>
    <w:p>
      <w:pPr>
        <w:widowControl/>
        <w:numPr>
          <w:ilvl w:val="0"/>
          <w:numId w:val="9"/>
        </w:numPr>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资金使用。</w:t>
      </w:r>
    </w:p>
    <w:p>
      <w:pPr>
        <w:widowControl/>
        <w:numPr>
          <w:ilvl w:val="0"/>
          <w:numId w:val="0"/>
        </w:numPr>
        <w:ind w:firstLine="640" w:firstLineChars="200"/>
        <w:jc w:val="left"/>
        <w:rPr>
          <w:rStyle w:val="25"/>
          <w:rFonts w:hint="eastAsia" w:ascii="仿宋" w:hAnsi="仿宋" w:eastAsia="仿宋" w:cs="仿宋"/>
          <w:b w:val="0"/>
          <w:sz w:val="32"/>
          <w:szCs w:val="32"/>
          <w:lang w:val="en-US" w:eastAsia="zh-CN"/>
        </w:rPr>
      </w:pPr>
      <w:r>
        <w:rPr>
          <w:rStyle w:val="25"/>
          <w:rFonts w:hint="eastAsia" w:ascii="仿宋" w:hAnsi="仿宋" w:eastAsia="仿宋" w:cs="仿宋"/>
          <w:b w:val="0"/>
          <w:sz w:val="32"/>
          <w:szCs w:val="32"/>
          <w:lang w:val="zh-CN"/>
        </w:rPr>
        <w:t>截止</w:t>
      </w:r>
      <w:r>
        <w:rPr>
          <w:rStyle w:val="25"/>
          <w:rFonts w:hint="eastAsia" w:ascii="仿宋" w:hAnsi="仿宋" w:eastAsia="仿宋" w:cs="仿宋"/>
          <w:b w:val="0"/>
          <w:sz w:val="32"/>
          <w:szCs w:val="32"/>
          <w:lang w:val="en-US" w:eastAsia="zh-CN"/>
        </w:rPr>
        <w:t>2020年12月31日</w:t>
      </w:r>
      <w:r>
        <w:rPr>
          <w:rStyle w:val="25"/>
          <w:rFonts w:hint="eastAsia" w:ascii="仿宋" w:hAnsi="仿宋" w:eastAsia="仿宋" w:cs="仿宋"/>
          <w:b w:val="0"/>
          <w:sz w:val="32"/>
          <w:szCs w:val="32"/>
          <w:lang w:val="zh-CN"/>
        </w:rPr>
        <w:t>项目资金的实际支出</w:t>
      </w:r>
      <w:r>
        <w:rPr>
          <w:rStyle w:val="25"/>
          <w:rFonts w:hint="eastAsia" w:ascii="仿宋" w:hAnsi="仿宋" w:eastAsia="仿宋" w:cs="仿宋"/>
          <w:b w:val="0"/>
          <w:sz w:val="32"/>
          <w:szCs w:val="32"/>
          <w:lang w:val="en-US" w:eastAsia="zh-CN"/>
        </w:rPr>
        <w:t>499.93万元</w:t>
      </w:r>
      <w:r>
        <w:rPr>
          <w:rStyle w:val="25"/>
          <w:rFonts w:hint="eastAsia" w:ascii="仿宋" w:hAnsi="仿宋" w:eastAsia="仿宋" w:cs="仿宋"/>
          <w:b w:val="0"/>
          <w:sz w:val="32"/>
          <w:szCs w:val="32"/>
          <w:lang w:val="zh-CN"/>
        </w:rPr>
        <w:t>，</w:t>
      </w:r>
      <w:r>
        <w:rPr>
          <w:rStyle w:val="25"/>
          <w:rFonts w:hint="eastAsia" w:ascii="仿宋" w:hAnsi="仿宋" w:eastAsia="仿宋" w:cs="仿宋"/>
          <w:b w:val="0"/>
          <w:sz w:val="32"/>
          <w:szCs w:val="32"/>
        </w:rPr>
        <w:t>公用经费</w:t>
      </w:r>
      <w:r>
        <w:rPr>
          <w:rStyle w:val="25"/>
          <w:rFonts w:hint="eastAsia" w:ascii="仿宋" w:hAnsi="仿宋" w:eastAsia="仿宋" w:cs="仿宋"/>
          <w:b w:val="0"/>
          <w:sz w:val="32"/>
          <w:szCs w:val="32"/>
          <w:lang w:val="zh-CN"/>
        </w:rPr>
        <w:t>资金</w:t>
      </w:r>
      <w:r>
        <w:rPr>
          <w:rStyle w:val="25"/>
          <w:rFonts w:hint="eastAsia" w:ascii="仿宋" w:hAnsi="仿宋" w:eastAsia="仿宋" w:cs="仿宋"/>
          <w:b w:val="0"/>
          <w:sz w:val="32"/>
          <w:szCs w:val="32"/>
          <w:lang w:val="en-US" w:eastAsia="zh-CN"/>
        </w:rPr>
        <w:t>主要用于</w:t>
      </w:r>
      <w:r>
        <w:rPr>
          <w:rStyle w:val="25"/>
          <w:rFonts w:hint="eastAsia" w:ascii="仿宋" w:hAnsi="仿宋" w:eastAsia="仿宋" w:cs="仿宋"/>
          <w:b w:val="0"/>
          <w:sz w:val="32"/>
          <w:szCs w:val="32"/>
        </w:rPr>
        <w:t>保障义务教育学校正常运转，完成教育教学活动和其他日常工作任务等方面支出的费用，具体支出范围包括:教学义务与管理，教师培训，实验实习，文体活动、水电、取暖、交通差旅、邮电、校方责任保险费、仪器设备及图书资料等购置，房屋、建筑物及仪器设备的日常维修维护等。不得用于人员经费、基本建设投资、偿还债务等方面支出。其中教师培训费按照不低于学校年度公用经费预算总额的5%安排，用于教师按照学校年度培训计划参加培训所需的差旅费、伙食补助费、资料费和住宿费等开支</w:t>
      </w:r>
      <w:r>
        <w:rPr>
          <w:rStyle w:val="25"/>
          <w:rFonts w:hint="eastAsia" w:ascii="仿宋" w:hAnsi="仿宋" w:eastAsia="仿宋" w:cs="仿宋"/>
          <w:b w:val="0"/>
          <w:sz w:val="32"/>
          <w:szCs w:val="32"/>
          <w:lang w:val="zh-CN"/>
        </w:rPr>
        <w:t>，支付依据合规合法，资金支付与预算相符。</w:t>
      </w:r>
      <w:r>
        <w:rPr>
          <w:rStyle w:val="25"/>
          <w:rFonts w:hint="eastAsia" w:ascii="仿宋" w:hAnsi="仿宋" w:eastAsia="仿宋" w:cs="仿宋"/>
          <w:b w:val="0"/>
          <w:sz w:val="32"/>
          <w:szCs w:val="32"/>
          <w:lang w:val="en-US" w:eastAsia="zh-CN"/>
        </w:rPr>
        <w:t>学生生活补助主要用于学生在校的基本生活保障。学生作业本费主要用于学生在校的作业本购置；高中助学金用于高中在校生的基本生活。农村教师生活补助资金解决农村教师生活补助。</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（二）项目财务管理情况。</w:t>
      </w:r>
    </w:p>
    <w:p>
      <w:pPr>
        <w:widowControl/>
        <w:ind w:firstLine="640" w:firstLineChars="200"/>
        <w:jc w:val="left"/>
        <w:rPr>
          <w:rStyle w:val="25"/>
          <w:rFonts w:hint="eastAsia" w:ascii="仿宋" w:hAnsi="仿宋" w:eastAsia="仿宋" w:cs="仿宋"/>
          <w:b w:val="0"/>
          <w:sz w:val="32"/>
          <w:szCs w:val="32"/>
          <w:lang w:val="en-US"/>
        </w:rPr>
      </w:pPr>
      <w:r>
        <w:rPr>
          <w:rStyle w:val="25"/>
          <w:rFonts w:hint="eastAsia" w:ascii="仿宋" w:hAnsi="仿宋" w:eastAsia="仿宋" w:cs="仿宋"/>
          <w:b w:val="0"/>
          <w:sz w:val="32"/>
          <w:szCs w:val="32"/>
          <w:lang w:val="zh-CN"/>
        </w:rPr>
        <w:t>资金使用。</w:t>
      </w:r>
      <w:r>
        <w:rPr>
          <w:rStyle w:val="25"/>
          <w:rFonts w:hint="eastAsia" w:ascii="仿宋" w:hAnsi="仿宋" w:eastAsia="仿宋" w:cs="仿宋"/>
          <w:b w:val="0"/>
          <w:sz w:val="32"/>
          <w:szCs w:val="32"/>
        </w:rPr>
        <w:t>遵循“专款专用、公开透明、及时结算”的原则，2020年义务教育阶段公用经费全部用于学校日常开支</w:t>
      </w:r>
      <w:r>
        <w:rPr>
          <w:rStyle w:val="25"/>
          <w:rFonts w:hint="eastAsia" w:ascii="仿宋" w:hAnsi="仿宋" w:eastAsia="仿宋" w:cs="仿宋"/>
          <w:b w:val="0"/>
          <w:sz w:val="32"/>
          <w:szCs w:val="32"/>
          <w:lang w:eastAsia="zh-CN"/>
        </w:rPr>
        <w:t>；</w:t>
      </w:r>
      <w:r>
        <w:rPr>
          <w:rStyle w:val="25"/>
          <w:rFonts w:hint="eastAsia" w:ascii="仿宋" w:hAnsi="仿宋" w:eastAsia="仿宋" w:cs="仿宋"/>
          <w:b w:val="0"/>
          <w:sz w:val="32"/>
          <w:szCs w:val="32"/>
          <w:lang w:val="en-US" w:eastAsia="zh-CN"/>
        </w:rPr>
        <w:t>学生生活补助、学生作业本</w:t>
      </w:r>
      <w:r>
        <w:rPr>
          <w:rStyle w:val="25"/>
          <w:rFonts w:hint="eastAsia" w:ascii="仿宋" w:hAnsi="仿宋" w:eastAsia="仿宋" w:cs="仿宋"/>
          <w:b w:val="0"/>
          <w:sz w:val="32"/>
          <w:szCs w:val="32"/>
        </w:rPr>
        <w:t>资金项目</w:t>
      </w:r>
      <w:r>
        <w:rPr>
          <w:rStyle w:val="25"/>
          <w:rFonts w:hint="eastAsia" w:ascii="仿宋" w:hAnsi="仿宋" w:eastAsia="仿宋" w:cs="仿宋"/>
          <w:b w:val="0"/>
          <w:sz w:val="32"/>
          <w:szCs w:val="32"/>
          <w:lang w:val="en-US" w:eastAsia="zh-CN"/>
        </w:rPr>
        <w:t>全部用于学生个人</w:t>
      </w:r>
      <w:r>
        <w:rPr>
          <w:rStyle w:val="25"/>
          <w:rFonts w:hint="eastAsia" w:ascii="仿宋" w:hAnsi="仿宋" w:eastAsia="仿宋" w:cs="仿宋"/>
          <w:b w:val="0"/>
          <w:sz w:val="32"/>
          <w:szCs w:val="32"/>
        </w:rPr>
        <w:t>，到目前项目已</w:t>
      </w:r>
      <w:r>
        <w:rPr>
          <w:rStyle w:val="25"/>
          <w:rFonts w:hint="eastAsia" w:ascii="仿宋" w:hAnsi="仿宋" w:eastAsia="仿宋" w:cs="仿宋"/>
          <w:b w:val="0"/>
          <w:sz w:val="32"/>
          <w:szCs w:val="32"/>
          <w:lang w:val="en-US" w:eastAsia="zh-CN"/>
        </w:rPr>
        <w:t>完成总投资的80%，2021年度继续实施完成。</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（三）项目组织实施情况。</w:t>
      </w:r>
    </w:p>
    <w:p>
      <w:pPr>
        <w:widowControl/>
        <w:ind w:firstLine="960" w:firstLineChars="3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lang w:val="en-US" w:eastAsia="zh-CN"/>
        </w:rPr>
        <w:t>2020年度城乡义务教育经费保障机制经费实际收入621.09万元，</w:t>
      </w:r>
      <w:r>
        <w:rPr>
          <w:rStyle w:val="25"/>
          <w:rFonts w:hint="eastAsia" w:ascii="仿宋" w:hAnsi="仿宋" w:eastAsia="仿宋" w:cs="仿宋"/>
          <w:b w:val="0"/>
          <w:sz w:val="32"/>
          <w:szCs w:val="32"/>
          <w:lang w:val="zh-CN"/>
        </w:rPr>
        <w:t>教育局根据</w:t>
      </w:r>
      <w:r>
        <w:rPr>
          <w:rStyle w:val="25"/>
          <w:rFonts w:hint="eastAsia" w:ascii="仿宋" w:hAnsi="仿宋" w:eastAsia="仿宋" w:cs="仿宋"/>
          <w:b w:val="0"/>
          <w:sz w:val="32"/>
          <w:szCs w:val="32"/>
          <w:lang w:val="en-US" w:eastAsia="zh-CN"/>
        </w:rPr>
        <w:t>义务教育经费按照</w:t>
      </w:r>
      <w:r>
        <w:rPr>
          <w:rStyle w:val="25"/>
          <w:rFonts w:hint="eastAsia" w:ascii="仿宋" w:hAnsi="仿宋" w:eastAsia="仿宋" w:cs="仿宋"/>
          <w:b w:val="0"/>
          <w:sz w:val="32"/>
          <w:szCs w:val="32"/>
          <w:lang w:val="zh-CN"/>
        </w:rPr>
        <w:t>年初实施方案预定进度计划，项目实施按照方案实施，到20</w:t>
      </w:r>
      <w:r>
        <w:rPr>
          <w:rStyle w:val="25"/>
          <w:rFonts w:hint="eastAsia" w:ascii="仿宋" w:hAnsi="仿宋" w:eastAsia="仿宋" w:cs="仿宋"/>
          <w:b w:val="0"/>
          <w:sz w:val="32"/>
          <w:szCs w:val="32"/>
          <w:lang w:val="en-US" w:eastAsia="zh-CN"/>
        </w:rPr>
        <w:t>20</w:t>
      </w:r>
      <w:r>
        <w:rPr>
          <w:rStyle w:val="25"/>
          <w:rFonts w:hint="eastAsia" w:ascii="仿宋" w:hAnsi="仿宋" w:eastAsia="仿宋" w:cs="仿宋"/>
          <w:b w:val="0"/>
          <w:sz w:val="32"/>
          <w:szCs w:val="32"/>
          <w:lang w:val="zh-CN"/>
        </w:rPr>
        <w:t>年秋季放假</w:t>
      </w:r>
      <w:r>
        <w:rPr>
          <w:rStyle w:val="25"/>
          <w:rFonts w:hint="eastAsia" w:ascii="仿宋" w:hAnsi="仿宋" w:eastAsia="仿宋" w:cs="仿宋"/>
          <w:b w:val="0"/>
          <w:sz w:val="32"/>
          <w:szCs w:val="32"/>
          <w:lang w:val="en-US" w:eastAsia="zh-CN"/>
        </w:rPr>
        <w:t>时</w:t>
      </w:r>
      <w:r>
        <w:rPr>
          <w:rStyle w:val="25"/>
          <w:rFonts w:hint="eastAsia" w:ascii="仿宋" w:hAnsi="仿宋" w:eastAsia="仿宋" w:cs="仿宋"/>
          <w:b w:val="0"/>
          <w:sz w:val="32"/>
          <w:szCs w:val="32"/>
          <w:lang w:val="zh-CN"/>
        </w:rPr>
        <w:t>项目按照进度顺利完成。</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rPr>
        <w:t>三、目标完成情况</w:t>
      </w:r>
      <w:r>
        <w:rPr>
          <w:rStyle w:val="25"/>
          <w:rFonts w:hint="eastAsia" w:ascii="仿宋" w:hAnsi="仿宋" w:eastAsia="仿宋" w:cs="仿宋"/>
          <w:b w:val="0"/>
          <w:sz w:val="32"/>
          <w:szCs w:val="32"/>
          <w:lang w:val="zh-CN"/>
        </w:rPr>
        <w:tab/>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（一）目标任务量完成情况。</w:t>
      </w:r>
    </w:p>
    <w:p>
      <w:pPr>
        <w:widowControl/>
        <w:ind w:firstLine="640" w:firstLineChars="200"/>
        <w:jc w:val="left"/>
        <w:rPr>
          <w:rStyle w:val="25"/>
          <w:rFonts w:hint="eastAsia" w:ascii="仿宋" w:hAnsi="仿宋" w:eastAsia="仿宋" w:cs="仿宋"/>
          <w:b w:val="0"/>
          <w:sz w:val="32"/>
          <w:szCs w:val="32"/>
          <w:lang w:val="en-US" w:eastAsia="zh-CN"/>
        </w:rPr>
      </w:pPr>
      <w:r>
        <w:rPr>
          <w:rStyle w:val="25"/>
          <w:rFonts w:hint="eastAsia" w:ascii="仿宋" w:hAnsi="仿宋" w:eastAsia="仿宋" w:cs="仿宋"/>
          <w:b w:val="0"/>
          <w:sz w:val="32"/>
          <w:szCs w:val="32"/>
          <w:lang w:val="en-US" w:eastAsia="zh-CN"/>
        </w:rPr>
        <w:t>2020年完成了对全</w:t>
      </w:r>
      <w:r>
        <w:rPr>
          <w:rStyle w:val="25"/>
          <w:rFonts w:hint="eastAsia" w:ascii="仿宋" w:hAnsi="仿宋" w:eastAsia="仿宋" w:cs="仿宋"/>
          <w:b w:val="0"/>
          <w:sz w:val="32"/>
          <w:szCs w:val="32"/>
        </w:rPr>
        <w:t>县</w:t>
      </w:r>
      <w:r>
        <w:rPr>
          <w:rStyle w:val="25"/>
          <w:rFonts w:hint="eastAsia" w:ascii="仿宋" w:hAnsi="仿宋" w:eastAsia="仿宋" w:cs="仿宋"/>
          <w:b w:val="0"/>
          <w:sz w:val="32"/>
          <w:szCs w:val="32"/>
          <w:lang w:val="en-US" w:eastAsia="zh-CN"/>
        </w:rPr>
        <w:t>在校学生7628人、每生每年800元公用经费。</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1.产出指标完成情况分析。</w:t>
      </w:r>
    </w:p>
    <w:p>
      <w:pPr>
        <w:widowControl/>
        <w:ind w:firstLine="320" w:firstLineChars="100"/>
        <w:jc w:val="left"/>
        <w:rPr>
          <w:rStyle w:val="25"/>
          <w:rFonts w:hint="eastAsia" w:ascii="仿宋" w:hAnsi="仿宋" w:eastAsia="仿宋" w:cs="仿宋"/>
          <w:b w:val="0"/>
          <w:sz w:val="32"/>
          <w:szCs w:val="32"/>
          <w:lang w:val="en-US" w:eastAsia="zh-CN"/>
        </w:rPr>
      </w:pPr>
      <w:r>
        <w:rPr>
          <w:rStyle w:val="25"/>
          <w:rFonts w:hint="eastAsia" w:ascii="仿宋" w:hAnsi="仿宋" w:eastAsia="仿宋" w:cs="仿宋"/>
          <w:b w:val="0"/>
          <w:sz w:val="32"/>
          <w:szCs w:val="32"/>
        </w:rPr>
        <w:t>（1）数量指标。涉及</w:t>
      </w:r>
      <w:r>
        <w:rPr>
          <w:rStyle w:val="25"/>
          <w:rFonts w:hint="eastAsia" w:ascii="仿宋" w:hAnsi="仿宋" w:eastAsia="仿宋" w:cs="仿宋"/>
          <w:b w:val="0"/>
          <w:sz w:val="32"/>
          <w:szCs w:val="32"/>
          <w:lang w:val="en-US" w:eastAsia="zh-CN"/>
        </w:rPr>
        <w:t>学校</w:t>
      </w:r>
      <w:r>
        <w:rPr>
          <w:rStyle w:val="25"/>
          <w:rFonts w:hint="eastAsia" w:ascii="仿宋" w:hAnsi="仿宋" w:eastAsia="仿宋" w:cs="仿宋"/>
          <w:b w:val="0"/>
          <w:sz w:val="32"/>
          <w:szCs w:val="32"/>
        </w:rPr>
        <w:t>1</w:t>
      </w:r>
      <w:r>
        <w:rPr>
          <w:rStyle w:val="25"/>
          <w:rFonts w:hint="eastAsia" w:ascii="仿宋" w:hAnsi="仿宋" w:eastAsia="仿宋" w:cs="仿宋"/>
          <w:b w:val="0"/>
          <w:sz w:val="32"/>
          <w:szCs w:val="32"/>
          <w:lang w:val="en-US" w:eastAsia="zh-CN"/>
        </w:rPr>
        <w:t>4</w:t>
      </w:r>
      <w:r>
        <w:rPr>
          <w:rStyle w:val="25"/>
          <w:rFonts w:hint="eastAsia" w:ascii="仿宋" w:hAnsi="仿宋" w:eastAsia="仿宋" w:cs="仿宋"/>
          <w:b w:val="0"/>
          <w:sz w:val="32"/>
          <w:szCs w:val="32"/>
        </w:rPr>
        <w:t>所，</w:t>
      </w:r>
      <w:r>
        <w:rPr>
          <w:rStyle w:val="25"/>
          <w:rFonts w:hint="eastAsia" w:ascii="仿宋" w:hAnsi="仿宋" w:eastAsia="仿宋" w:cs="仿宋"/>
          <w:b w:val="0"/>
          <w:sz w:val="32"/>
          <w:szCs w:val="32"/>
          <w:lang w:val="en-US" w:eastAsia="zh-CN"/>
        </w:rPr>
        <w:t>涉及学生7628人。</w:t>
      </w:r>
    </w:p>
    <w:p>
      <w:pPr>
        <w:widowControl/>
        <w:ind w:firstLine="320" w:firstLineChars="1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（2）质量指标。合格率100%。</w:t>
      </w:r>
    </w:p>
    <w:p>
      <w:pPr>
        <w:widowControl/>
        <w:ind w:firstLine="320" w:firstLineChars="1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（3）时效指标。完成时限</w:t>
      </w:r>
      <w:r>
        <w:rPr>
          <w:rStyle w:val="25"/>
          <w:rFonts w:hint="eastAsia" w:ascii="仿宋" w:hAnsi="仿宋" w:eastAsia="仿宋" w:cs="仿宋"/>
          <w:b w:val="0"/>
          <w:sz w:val="32"/>
          <w:szCs w:val="32"/>
          <w:lang w:val="en-US" w:eastAsia="zh-CN"/>
        </w:rPr>
        <w:t>2020年12月31日</w:t>
      </w:r>
      <w:r>
        <w:rPr>
          <w:rStyle w:val="25"/>
          <w:rFonts w:hint="eastAsia" w:ascii="仿宋" w:hAnsi="仿宋" w:eastAsia="仿宋" w:cs="仿宋"/>
          <w:b w:val="0"/>
          <w:sz w:val="32"/>
          <w:szCs w:val="32"/>
        </w:rPr>
        <w:t>。</w:t>
      </w:r>
    </w:p>
    <w:p>
      <w:pPr>
        <w:widowControl/>
        <w:ind w:firstLine="320" w:firstLineChars="100"/>
        <w:jc w:val="left"/>
        <w:rPr>
          <w:rStyle w:val="25"/>
          <w:rFonts w:hint="eastAsia" w:ascii="仿宋" w:hAnsi="仿宋" w:eastAsia="仿宋" w:cs="仿宋"/>
          <w:b w:val="0"/>
          <w:sz w:val="32"/>
          <w:szCs w:val="32"/>
          <w:lang w:val="en-US"/>
        </w:rPr>
      </w:pPr>
      <w:r>
        <w:rPr>
          <w:rStyle w:val="25"/>
          <w:rFonts w:hint="eastAsia" w:ascii="仿宋" w:hAnsi="仿宋" w:eastAsia="仿宋" w:cs="仿宋"/>
          <w:b w:val="0"/>
          <w:sz w:val="32"/>
          <w:szCs w:val="32"/>
        </w:rPr>
        <w:t>（4）成本指标。</w:t>
      </w:r>
      <w:r>
        <w:rPr>
          <w:rStyle w:val="25"/>
          <w:rFonts w:hint="eastAsia" w:ascii="仿宋" w:hAnsi="仿宋" w:eastAsia="仿宋" w:cs="仿宋"/>
          <w:b w:val="0"/>
          <w:sz w:val="32"/>
          <w:szCs w:val="32"/>
          <w:lang w:val="en-US" w:eastAsia="zh-CN"/>
        </w:rPr>
        <w:t>学生公用经费每生每年800元、学生生活补助每生每年1700元，作业本每生每年小学30元，初中每生每年40元。</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（二）目标质量完成情况。</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对照项目计划目标，</w:t>
      </w:r>
      <w:r>
        <w:rPr>
          <w:rStyle w:val="25"/>
          <w:rFonts w:hint="eastAsia" w:ascii="仿宋" w:hAnsi="仿宋" w:eastAsia="仿宋" w:cs="仿宋"/>
          <w:b w:val="0"/>
          <w:sz w:val="32"/>
          <w:szCs w:val="32"/>
          <w:lang w:val="en-US" w:eastAsia="zh-CN"/>
        </w:rPr>
        <w:t>义务教育所有经费</w:t>
      </w:r>
      <w:r>
        <w:rPr>
          <w:rStyle w:val="25"/>
          <w:rFonts w:hint="eastAsia" w:ascii="仿宋" w:hAnsi="仿宋" w:eastAsia="仿宋" w:cs="仿宋"/>
          <w:b w:val="0"/>
          <w:sz w:val="32"/>
          <w:szCs w:val="32"/>
          <w:lang w:val="zh-CN"/>
        </w:rPr>
        <w:t>项目</w:t>
      </w:r>
      <w:r>
        <w:rPr>
          <w:rStyle w:val="25"/>
          <w:rFonts w:hint="eastAsia" w:ascii="仿宋" w:hAnsi="仿宋" w:eastAsia="仿宋" w:cs="仿宋"/>
          <w:b w:val="0"/>
          <w:sz w:val="32"/>
          <w:szCs w:val="32"/>
          <w:lang w:val="en-US" w:eastAsia="zh-CN"/>
        </w:rPr>
        <w:t>按时按量完成</w:t>
      </w:r>
      <w:r>
        <w:rPr>
          <w:rStyle w:val="25"/>
          <w:rFonts w:hint="eastAsia" w:ascii="仿宋" w:hAnsi="仿宋" w:eastAsia="仿宋" w:cs="仿宋"/>
          <w:b w:val="0"/>
          <w:sz w:val="32"/>
          <w:szCs w:val="32"/>
          <w:lang w:val="zh-CN"/>
        </w:rPr>
        <w:t>。达到</w:t>
      </w:r>
      <w:r>
        <w:rPr>
          <w:rStyle w:val="25"/>
          <w:rFonts w:hint="eastAsia" w:ascii="仿宋" w:hAnsi="仿宋" w:eastAsia="仿宋" w:cs="仿宋"/>
          <w:b w:val="0"/>
          <w:sz w:val="32"/>
          <w:szCs w:val="32"/>
          <w:lang w:val="en-US" w:eastAsia="zh-CN"/>
        </w:rPr>
        <w:t>预期</w:t>
      </w:r>
      <w:r>
        <w:rPr>
          <w:rStyle w:val="25"/>
          <w:rFonts w:hint="eastAsia" w:ascii="仿宋" w:hAnsi="仿宋" w:eastAsia="仿宋" w:cs="仿宋"/>
          <w:b w:val="0"/>
          <w:sz w:val="32"/>
          <w:szCs w:val="32"/>
          <w:lang w:val="zh-CN"/>
        </w:rPr>
        <w:t>目标。</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（三）目标进度完成情况。</w:t>
      </w:r>
    </w:p>
    <w:p>
      <w:pPr>
        <w:widowControl/>
        <w:ind w:firstLine="640" w:firstLineChars="200"/>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val="zh-CN"/>
        </w:rPr>
        <w:t>对照预定进度计划，项目实际完成</w:t>
      </w:r>
      <w:r>
        <w:rPr>
          <w:rStyle w:val="25"/>
          <w:rFonts w:hint="eastAsia" w:ascii="仿宋" w:hAnsi="仿宋" w:eastAsia="仿宋" w:cs="仿宋"/>
          <w:b w:val="0"/>
          <w:sz w:val="32"/>
          <w:szCs w:val="32"/>
          <w:lang w:val="en-US" w:eastAsia="zh-CN"/>
        </w:rPr>
        <w:t>80%</w:t>
      </w:r>
      <w:r>
        <w:rPr>
          <w:rStyle w:val="25"/>
          <w:rFonts w:hint="eastAsia" w:ascii="仿宋" w:hAnsi="仿宋" w:eastAsia="仿宋" w:cs="仿宋"/>
          <w:b w:val="0"/>
          <w:sz w:val="32"/>
          <w:szCs w:val="32"/>
          <w:lang w:val="zh-CN"/>
        </w:rPr>
        <w:t>。</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四、项目效益情况</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lang w:val="zh-CN"/>
        </w:rPr>
        <w:t>根据项目具体情况分析：</w:t>
      </w:r>
      <w:r>
        <w:rPr>
          <w:rStyle w:val="25"/>
          <w:rFonts w:hint="eastAsia" w:ascii="仿宋" w:hAnsi="仿宋" w:eastAsia="仿宋" w:cs="仿宋"/>
          <w:b w:val="0"/>
          <w:sz w:val="32"/>
          <w:szCs w:val="32"/>
        </w:rPr>
        <w:t>（1）社会效益。项目覆盖范围</w:t>
      </w:r>
      <w:r>
        <w:rPr>
          <w:rStyle w:val="25"/>
          <w:rFonts w:hint="eastAsia" w:ascii="仿宋" w:hAnsi="仿宋" w:eastAsia="仿宋" w:cs="仿宋"/>
          <w:b w:val="0"/>
          <w:sz w:val="32"/>
          <w:szCs w:val="32"/>
          <w:lang w:val="en-US" w:eastAsia="zh-CN"/>
        </w:rPr>
        <w:t>义务</w:t>
      </w:r>
      <w:r>
        <w:rPr>
          <w:rStyle w:val="25"/>
          <w:rFonts w:hint="eastAsia" w:ascii="仿宋" w:hAnsi="仿宋" w:eastAsia="仿宋" w:cs="仿宋"/>
          <w:b w:val="0"/>
          <w:sz w:val="32"/>
          <w:szCs w:val="32"/>
        </w:rPr>
        <w:t>教育阶段学生</w:t>
      </w:r>
      <w:r>
        <w:rPr>
          <w:rStyle w:val="25"/>
          <w:rFonts w:hint="eastAsia" w:ascii="仿宋" w:hAnsi="仿宋" w:eastAsia="仿宋" w:cs="仿宋"/>
          <w:b w:val="0"/>
          <w:sz w:val="32"/>
          <w:szCs w:val="32"/>
          <w:lang w:val="en-US" w:eastAsia="zh-CN"/>
        </w:rPr>
        <w:t>7628</w:t>
      </w:r>
      <w:r>
        <w:rPr>
          <w:rStyle w:val="25"/>
          <w:rFonts w:hint="eastAsia" w:ascii="仿宋" w:hAnsi="仿宋" w:eastAsia="仿宋" w:cs="仿宋"/>
          <w:b w:val="0"/>
          <w:sz w:val="32"/>
          <w:szCs w:val="32"/>
        </w:rPr>
        <w:t>人。（2）可持续影响。</w:t>
      </w:r>
      <w:r>
        <w:rPr>
          <w:rStyle w:val="25"/>
          <w:rFonts w:hint="eastAsia" w:ascii="仿宋" w:hAnsi="仿宋" w:eastAsia="仿宋" w:cs="仿宋"/>
          <w:b w:val="0"/>
          <w:sz w:val="32"/>
          <w:szCs w:val="32"/>
          <w:lang w:val="en-US" w:eastAsia="zh-CN"/>
        </w:rPr>
        <w:t>长期</w:t>
      </w:r>
      <w:r>
        <w:rPr>
          <w:rStyle w:val="25"/>
          <w:rFonts w:hint="eastAsia" w:ascii="仿宋" w:hAnsi="仿宋" w:eastAsia="仿宋" w:cs="仿宋"/>
          <w:b w:val="0"/>
          <w:sz w:val="32"/>
          <w:szCs w:val="32"/>
        </w:rPr>
        <w:t>。</w:t>
      </w:r>
    </w:p>
    <w:p>
      <w:pPr>
        <w:widowControl/>
        <w:jc w:val="left"/>
        <w:rPr>
          <w:rStyle w:val="25"/>
          <w:rFonts w:hint="eastAsia" w:ascii="仿宋" w:hAnsi="仿宋" w:eastAsia="仿宋" w:cs="仿宋"/>
          <w:b w:val="0"/>
          <w:sz w:val="32"/>
          <w:szCs w:val="32"/>
          <w:lang w:val="zh-CN"/>
        </w:rPr>
      </w:pPr>
      <w:r>
        <w:rPr>
          <w:rStyle w:val="25"/>
          <w:rFonts w:hint="eastAsia" w:ascii="仿宋" w:hAnsi="仿宋" w:eastAsia="仿宋" w:cs="仿宋"/>
          <w:b w:val="0"/>
          <w:sz w:val="32"/>
          <w:szCs w:val="32"/>
          <w:lang w:eastAsia="zh-CN"/>
        </w:rPr>
        <w:t>（</w:t>
      </w:r>
      <w:r>
        <w:rPr>
          <w:rStyle w:val="25"/>
          <w:rFonts w:hint="eastAsia" w:ascii="仿宋" w:hAnsi="仿宋" w:eastAsia="仿宋" w:cs="仿宋"/>
          <w:b w:val="0"/>
          <w:sz w:val="32"/>
          <w:szCs w:val="32"/>
        </w:rPr>
        <w:t>3</w:t>
      </w:r>
      <w:r>
        <w:rPr>
          <w:rStyle w:val="25"/>
          <w:rFonts w:hint="eastAsia" w:ascii="仿宋" w:hAnsi="仿宋" w:eastAsia="仿宋" w:cs="仿宋"/>
          <w:b w:val="0"/>
          <w:sz w:val="32"/>
          <w:szCs w:val="32"/>
          <w:lang w:eastAsia="zh-CN"/>
        </w:rPr>
        <w:t>）</w:t>
      </w:r>
      <w:r>
        <w:rPr>
          <w:rStyle w:val="25"/>
          <w:rFonts w:hint="eastAsia" w:ascii="仿宋" w:hAnsi="仿宋" w:eastAsia="仿宋" w:cs="仿宋"/>
          <w:b w:val="0"/>
          <w:sz w:val="32"/>
          <w:szCs w:val="32"/>
        </w:rPr>
        <w:t>满意度指标完成情况分析。学生、学生家长满意度不低于95%。</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五、问题及建议</w:t>
      </w:r>
    </w:p>
    <w:p>
      <w:pPr>
        <w:widowControl/>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lang w:val="en-US" w:eastAsia="zh-CN"/>
        </w:rPr>
        <w:t>全面实施义务教育阶段经费管理，2020年教育局按照年初实施方案，</w:t>
      </w:r>
      <w:r>
        <w:rPr>
          <w:rStyle w:val="25"/>
          <w:rFonts w:hint="eastAsia" w:ascii="仿宋" w:hAnsi="仿宋" w:eastAsia="仿宋" w:cs="仿宋"/>
          <w:b w:val="0"/>
          <w:sz w:val="32"/>
          <w:szCs w:val="32"/>
        </w:rPr>
        <w:t>总体绩效目标和绩效指标</w:t>
      </w:r>
      <w:r>
        <w:rPr>
          <w:rStyle w:val="25"/>
          <w:rFonts w:hint="eastAsia" w:ascii="仿宋" w:hAnsi="仿宋" w:eastAsia="仿宋" w:cs="仿宋"/>
          <w:b w:val="0"/>
          <w:sz w:val="32"/>
          <w:szCs w:val="32"/>
          <w:lang w:val="en-US" w:eastAsia="zh-CN"/>
        </w:rPr>
        <w:t>按时按量</w:t>
      </w:r>
      <w:r>
        <w:rPr>
          <w:rStyle w:val="25"/>
          <w:rFonts w:hint="eastAsia" w:ascii="仿宋" w:hAnsi="仿宋" w:eastAsia="仿宋" w:cs="仿宋"/>
          <w:b w:val="0"/>
          <w:sz w:val="32"/>
          <w:szCs w:val="32"/>
        </w:rPr>
        <w:t>完成</w:t>
      </w:r>
      <w:r>
        <w:rPr>
          <w:rStyle w:val="25"/>
          <w:rFonts w:hint="eastAsia" w:ascii="仿宋" w:hAnsi="仿宋" w:eastAsia="仿宋" w:cs="仿宋"/>
          <w:b w:val="0"/>
          <w:sz w:val="32"/>
          <w:szCs w:val="32"/>
          <w:lang w:eastAsia="zh-CN"/>
        </w:rPr>
        <w:t>，</w:t>
      </w:r>
      <w:r>
        <w:rPr>
          <w:rStyle w:val="25"/>
          <w:rFonts w:hint="eastAsia" w:ascii="仿宋" w:hAnsi="仿宋" w:eastAsia="仿宋" w:cs="仿宋"/>
          <w:b w:val="0"/>
          <w:sz w:val="32"/>
          <w:szCs w:val="32"/>
        </w:rPr>
        <w:t>下一步</w:t>
      </w:r>
      <w:r>
        <w:rPr>
          <w:rStyle w:val="25"/>
          <w:rFonts w:hint="eastAsia" w:ascii="仿宋" w:hAnsi="仿宋" w:eastAsia="仿宋" w:cs="仿宋"/>
          <w:b w:val="0"/>
          <w:sz w:val="32"/>
          <w:szCs w:val="32"/>
          <w:lang w:val="en-US" w:eastAsia="zh-CN"/>
        </w:rPr>
        <w:t>我局高度重视，</w:t>
      </w:r>
      <w:r>
        <w:rPr>
          <w:rStyle w:val="25"/>
          <w:rFonts w:hint="eastAsia" w:ascii="仿宋" w:hAnsi="仿宋" w:eastAsia="仿宋" w:cs="仿宋"/>
          <w:b w:val="0"/>
          <w:sz w:val="32"/>
          <w:szCs w:val="32"/>
        </w:rPr>
        <w:t>遵循“专款专用、公开透明、及时结算”的原则，</w:t>
      </w:r>
      <w:r>
        <w:rPr>
          <w:rStyle w:val="25"/>
          <w:rFonts w:hint="eastAsia" w:ascii="仿宋" w:hAnsi="仿宋" w:eastAsia="仿宋" w:cs="仿宋"/>
          <w:b w:val="0"/>
          <w:sz w:val="32"/>
          <w:szCs w:val="32"/>
          <w:lang w:val="en-US" w:eastAsia="zh-CN"/>
        </w:rPr>
        <w:t>随时接受了上级主管部门和审计的检查工作，做到2020年</w:t>
      </w:r>
      <w:r>
        <w:rPr>
          <w:rStyle w:val="25"/>
          <w:rFonts w:hint="eastAsia" w:ascii="仿宋" w:hAnsi="仿宋" w:eastAsia="仿宋" w:cs="仿宋"/>
          <w:b w:val="0"/>
          <w:sz w:val="32"/>
          <w:szCs w:val="32"/>
        </w:rPr>
        <w:t>义务教育阶段</w:t>
      </w:r>
      <w:r>
        <w:rPr>
          <w:rStyle w:val="25"/>
          <w:rFonts w:hint="eastAsia" w:ascii="仿宋" w:hAnsi="仿宋" w:eastAsia="仿宋" w:cs="仿宋"/>
          <w:b w:val="0"/>
          <w:sz w:val="32"/>
          <w:szCs w:val="32"/>
          <w:lang w:val="en-US" w:eastAsia="zh-CN"/>
        </w:rPr>
        <w:t>所有结余资金按时按量、专款专用的原则</w:t>
      </w:r>
      <w:r>
        <w:rPr>
          <w:rStyle w:val="25"/>
          <w:rFonts w:hint="eastAsia" w:ascii="仿宋" w:hAnsi="仿宋" w:eastAsia="仿宋" w:cs="仿宋"/>
          <w:b w:val="0"/>
          <w:sz w:val="32"/>
          <w:szCs w:val="32"/>
        </w:rPr>
        <w:t>全部用于学校</w:t>
      </w:r>
      <w:r>
        <w:rPr>
          <w:rStyle w:val="25"/>
          <w:rFonts w:hint="eastAsia" w:ascii="仿宋" w:hAnsi="仿宋" w:eastAsia="仿宋" w:cs="仿宋"/>
          <w:b w:val="0"/>
          <w:sz w:val="32"/>
          <w:szCs w:val="32"/>
          <w:lang w:eastAsia="zh-CN"/>
        </w:rPr>
        <w:t>。</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加强义务教育阶段</w:t>
      </w:r>
      <w:r>
        <w:rPr>
          <w:rStyle w:val="25"/>
          <w:rFonts w:hint="eastAsia" w:ascii="仿宋" w:hAnsi="仿宋" w:eastAsia="仿宋" w:cs="仿宋"/>
          <w:b w:val="0"/>
          <w:sz w:val="32"/>
          <w:szCs w:val="32"/>
          <w:lang w:val="en-US" w:eastAsia="zh-CN"/>
        </w:rPr>
        <w:t>所有</w:t>
      </w:r>
      <w:r>
        <w:rPr>
          <w:rStyle w:val="25"/>
          <w:rFonts w:hint="eastAsia" w:ascii="仿宋" w:hAnsi="仿宋" w:eastAsia="仿宋" w:cs="仿宋"/>
          <w:b w:val="0"/>
          <w:sz w:val="32"/>
          <w:szCs w:val="32"/>
        </w:rPr>
        <w:t>经费的管理制度，严格财务制度，加强内部控制制度。</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六、今后改进的措施和办法</w:t>
      </w:r>
    </w:p>
    <w:p>
      <w:pPr>
        <w:widowControl/>
        <w:ind w:firstLine="640" w:firstLineChars="200"/>
        <w:jc w:val="left"/>
        <w:rPr>
          <w:rStyle w:val="25"/>
          <w:rFonts w:hint="eastAsia" w:ascii="仿宋" w:hAnsi="仿宋" w:eastAsia="仿宋" w:cs="仿宋"/>
          <w:b w:val="0"/>
          <w:sz w:val="32"/>
          <w:szCs w:val="32"/>
        </w:rPr>
      </w:pPr>
      <w:r>
        <w:rPr>
          <w:rStyle w:val="25"/>
          <w:rFonts w:hint="eastAsia" w:ascii="仿宋" w:hAnsi="仿宋" w:eastAsia="仿宋" w:cs="仿宋"/>
          <w:b w:val="0"/>
          <w:sz w:val="32"/>
          <w:szCs w:val="32"/>
        </w:rPr>
        <w:t>使用预算做到统筹兼顾、保证重点，量入为出，精打细算，将学校的长远规划与短期安排相结合，勤俭节约，努力提高日常公用经费的使用效益</w:t>
      </w:r>
      <w:r>
        <w:rPr>
          <w:rStyle w:val="25"/>
          <w:rFonts w:hint="eastAsia" w:ascii="仿宋" w:hAnsi="仿宋" w:eastAsia="仿宋" w:cs="仿宋"/>
          <w:b w:val="0"/>
          <w:sz w:val="32"/>
          <w:szCs w:val="32"/>
          <w:lang w:eastAsia="zh-CN"/>
        </w:rPr>
        <w:t>。</w:t>
      </w:r>
      <w:r>
        <w:rPr>
          <w:rStyle w:val="25"/>
          <w:rFonts w:hint="eastAsia" w:ascii="仿宋" w:hAnsi="仿宋" w:eastAsia="仿宋" w:cs="仿宋"/>
          <w:b w:val="0"/>
          <w:sz w:val="32"/>
          <w:szCs w:val="32"/>
        </w:rPr>
        <w:t xml:space="preserve">  </w:t>
      </w:r>
    </w:p>
    <w:p>
      <w:pPr>
        <w:widowControl/>
        <w:jc w:val="left"/>
        <w:rPr>
          <w:rStyle w:val="25"/>
          <w:rFonts w:hint="eastAsia" w:ascii="仿宋" w:hAnsi="仿宋" w:eastAsia="仿宋" w:cs="仿宋"/>
          <w:b w:val="0"/>
          <w:sz w:val="32"/>
          <w:szCs w:val="32"/>
          <w:lang w:val="en-US" w:eastAsia="zh-CN"/>
        </w:rPr>
      </w:pPr>
    </w:p>
    <w:p>
      <w:pPr>
        <w:widowControl/>
        <w:ind w:firstLine="2560" w:firstLineChars="800"/>
        <w:jc w:val="left"/>
        <w:rPr>
          <w:rStyle w:val="25"/>
          <w:rFonts w:hint="eastAsia" w:ascii="仿宋" w:hAnsi="仿宋" w:eastAsia="仿宋" w:cs="仿宋"/>
          <w:b w:val="0"/>
          <w:sz w:val="32"/>
          <w:szCs w:val="32"/>
          <w:lang w:val="en-US" w:eastAsia="zh-CN"/>
        </w:rPr>
      </w:pPr>
    </w:p>
    <w:p>
      <w:pPr>
        <w:widowControl/>
        <w:ind w:firstLine="2560" w:firstLineChars="800"/>
        <w:jc w:val="left"/>
        <w:rPr>
          <w:rStyle w:val="25"/>
          <w:rFonts w:hint="eastAsia" w:ascii="仿宋" w:hAnsi="仿宋" w:eastAsia="仿宋" w:cs="仿宋"/>
          <w:b w:val="0"/>
          <w:sz w:val="32"/>
          <w:szCs w:val="32"/>
          <w:lang w:val="en-US" w:eastAsia="zh-CN"/>
        </w:rPr>
      </w:pPr>
    </w:p>
    <w:p>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高海拔少数民族自治州教育“三包”经费补助2020年绩效评价报告</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为提高我县</w:t>
      </w:r>
      <w:r>
        <w:rPr>
          <w:rFonts w:hint="eastAsia" w:ascii="仿宋" w:hAnsi="仿宋" w:eastAsia="仿宋" w:cs="仿宋"/>
          <w:color w:val="000000"/>
          <w:sz w:val="32"/>
          <w:szCs w:val="32"/>
          <w:lang w:val="en-US" w:eastAsia="zh-CN"/>
        </w:rPr>
        <w:t>城乡</w:t>
      </w:r>
      <w:r>
        <w:rPr>
          <w:rFonts w:hint="eastAsia" w:ascii="仿宋" w:hAnsi="仿宋" w:eastAsia="仿宋" w:cs="仿宋"/>
          <w:color w:val="000000"/>
          <w:sz w:val="32"/>
          <w:szCs w:val="32"/>
        </w:rPr>
        <w:t>义务教育</w:t>
      </w:r>
      <w:r>
        <w:rPr>
          <w:rFonts w:hint="eastAsia" w:ascii="仿宋" w:hAnsi="仿宋" w:eastAsia="仿宋" w:cs="仿宋"/>
          <w:color w:val="000000"/>
          <w:sz w:val="32"/>
          <w:szCs w:val="32"/>
          <w:lang w:val="en-US" w:eastAsia="zh-CN"/>
        </w:rPr>
        <w:t>学生生活</w:t>
      </w:r>
      <w:r>
        <w:rPr>
          <w:rFonts w:hint="eastAsia" w:ascii="仿宋" w:hAnsi="仿宋" w:eastAsia="仿宋" w:cs="仿宋"/>
          <w:color w:val="000000"/>
          <w:sz w:val="32"/>
          <w:szCs w:val="32"/>
        </w:rPr>
        <w:t>水平，切实减轻经济困难学生家庭经济负担，改善学生学习环境，促进学生健康成长，</w:t>
      </w:r>
      <w:r>
        <w:rPr>
          <w:rFonts w:hint="eastAsia" w:ascii="仿宋" w:hAnsi="仿宋" w:eastAsia="仿宋" w:cs="仿宋"/>
          <w:color w:val="000000"/>
          <w:sz w:val="32"/>
          <w:szCs w:val="32"/>
          <w:lang w:eastAsia="zh-CN"/>
        </w:rPr>
        <w:t>实施</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020年高海拔少数民族自治州教育“三包”经费补助项目。在项目实施中，成立由县教育局局长任组长、分管副局长为副组长，相关股室为成员的专项工作领导小组。领导小组办公室设在教育局后勤服务中心处理日常事务。各校也成立相应的组织机构，为顺利开展各项工作奠定了坚实的基础。</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en-US" w:eastAsia="zh-CN"/>
        </w:rPr>
        <w:t>2020年</w:t>
      </w:r>
      <w:r>
        <w:rPr>
          <w:rFonts w:hint="eastAsia" w:ascii="仿宋" w:hAnsi="仿宋" w:eastAsia="仿宋" w:cs="仿宋"/>
          <w:color w:val="000000"/>
          <w:sz w:val="32"/>
          <w:szCs w:val="32"/>
        </w:rPr>
        <w:t>我县有中小学1</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所，应享受寄宿制学生生活补助的</w:t>
      </w:r>
      <w:r>
        <w:rPr>
          <w:rFonts w:hint="eastAsia" w:ascii="仿宋" w:hAnsi="仿宋" w:eastAsia="仿宋" w:cs="仿宋"/>
          <w:color w:val="000000"/>
          <w:sz w:val="32"/>
          <w:szCs w:val="32"/>
          <w:lang w:val="en-US" w:eastAsia="zh-CN"/>
        </w:rPr>
        <w:t>7460</w:t>
      </w:r>
      <w:r>
        <w:rPr>
          <w:rFonts w:hint="eastAsia" w:ascii="仿宋" w:hAnsi="仿宋" w:eastAsia="仿宋" w:cs="仿宋"/>
          <w:color w:val="000000"/>
          <w:sz w:val="32"/>
          <w:szCs w:val="32"/>
        </w:rPr>
        <w:t>人其中：小学</w:t>
      </w:r>
      <w:r>
        <w:rPr>
          <w:rFonts w:hint="eastAsia" w:ascii="仿宋" w:hAnsi="仿宋" w:eastAsia="仿宋" w:cs="仿宋"/>
          <w:color w:val="000000"/>
          <w:sz w:val="32"/>
          <w:szCs w:val="32"/>
          <w:lang w:val="en-US" w:eastAsia="zh-CN"/>
        </w:rPr>
        <w:t>5652</w:t>
      </w:r>
      <w:r>
        <w:rPr>
          <w:rFonts w:hint="eastAsia" w:ascii="仿宋" w:hAnsi="仿宋" w:eastAsia="仿宋" w:cs="仿宋"/>
          <w:color w:val="000000"/>
          <w:sz w:val="32"/>
          <w:szCs w:val="32"/>
        </w:rPr>
        <w:t>人，初中</w:t>
      </w:r>
      <w:r>
        <w:rPr>
          <w:rFonts w:hint="eastAsia" w:ascii="仿宋" w:hAnsi="仿宋" w:eastAsia="仿宋" w:cs="仿宋"/>
          <w:color w:val="000000"/>
          <w:sz w:val="32"/>
          <w:szCs w:val="32"/>
          <w:lang w:val="en-US" w:eastAsia="zh-CN"/>
        </w:rPr>
        <w:t>1808</w:t>
      </w:r>
      <w:r>
        <w:rPr>
          <w:rFonts w:hint="eastAsia" w:ascii="仿宋" w:hAnsi="仿宋" w:eastAsia="仿宋" w:cs="仿宋"/>
          <w:color w:val="000000"/>
          <w:sz w:val="32"/>
          <w:szCs w:val="32"/>
        </w:rPr>
        <w:t>人，每生每年</w:t>
      </w:r>
      <w:r>
        <w:rPr>
          <w:rFonts w:hint="eastAsia" w:ascii="仿宋" w:hAnsi="仿宋" w:eastAsia="仿宋" w:cs="仿宋"/>
          <w:color w:val="000000"/>
          <w:sz w:val="32"/>
          <w:szCs w:val="32"/>
          <w:lang w:val="en-US" w:eastAsia="zh-CN"/>
        </w:rPr>
        <w:t>补助标准为</w:t>
      </w:r>
      <w:r>
        <w:rPr>
          <w:rFonts w:hint="eastAsia" w:ascii="仿宋" w:hAnsi="仿宋" w:eastAsia="仿宋" w:cs="仿宋"/>
          <w:color w:val="000000"/>
          <w:sz w:val="32"/>
          <w:szCs w:val="32"/>
        </w:rPr>
        <w:t>1700元。</w:t>
      </w:r>
    </w:p>
    <w:p>
      <w:pPr>
        <w:keepNext w:val="0"/>
        <w:keepLines w:val="0"/>
        <w:pageBreakBefore w:val="0"/>
        <w:numPr>
          <w:ilvl w:val="0"/>
          <w:numId w:val="10"/>
        </w:numPr>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项目资金申报及批复情况</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2</w:t>
      </w:r>
      <w:r>
        <w:rPr>
          <w:rFonts w:hint="eastAsia" w:ascii="仿宋" w:hAnsi="仿宋" w:eastAsia="仿宋" w:cs="仿宋"/>
          <w:color w:val="000000"/>
          <w:sz w:val="32"/>
          <w:szCs w:val="32"/>
        </w:rPr>
        <w:t>020年高海拔少数民族自治州教育“三包”经费补助项目</w:t>
      </w:r>
      <w:r>
        <w:rPr>
          <w:rFonts w:hint="eastAsia" w:ascii="仿宋" w:hAnsi="仿宋" w:eastAsia="仿宋" w:cs="仿宋"/>
          <w:color w:val="000000"/>
          <w:sz w:val="32"/>
          <w:szCs w:val="32"/>
          <w:lang w:val="zh-CN"/>
        </w:rPr>
        <w:t>资金申报、批复符合资金管理办法等相关规定。</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（二）项目绩效目标</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020年高海拔少数民族自治州教育“三包”经费补助项目</w:t>
      </w:r>
      <w:r>
        <w:rPr>
          <w:rFonts w:hint="eastAsia" w:ascii="仿宋" w:hAnsi="仿宋" w:eastAsia="仿宋" w:cs="仿宋"/>
          <w:color w:val="000000"/>
          <w:sz w:val="32"/>
          <w:szCs w:val="32"/>
          <w:lang w:val="zh-CN"/>
        </w:rPr>
        <w:t>主要内容</w:t>
      </w:r>
      <w:r>
        <w:rPr>
          <w:rFonts w:hint="eastAsia" w:ascii="仿宋" w:hAnsi="仿宋" w:eastAsia="仿宋" w:cs="仿宋"/>
          <w:color w:val="000000"/>
          <w:sz w:val="32"/>
          <w:szCs w:val="32"/>
          <w:lang w:val="zh-CN" w:eastAsia="zh-CN"/>
        </w:rPr>
        <w:t>是对全县寄宿制学生实施包吃、包住、包学习“三包”政策</w:t>
      </w:r>
      <w:r>
        <w:rPr>
          <w:rFonts w:hint="eastAsia" w:ascii="仿宋" w:hAnsi="仿宋" w:eastAsia="仿宋" w:cs="仿宋"/>
          <w:color w:val="000000"/>
          <w:sz w:val="32"/>
          <w:szCs w:val="32"/>
          <w:lang w:val="zh-CN"/>
        </w:rPr>
        <w:t>，</w:t>
      </w:r>
      <w:r>
        <w:rPr>
          <w:rFonts w:hint="eastAsia" w:ascii="仿宋" w:hAnsi="仿宋" w:eastAsia="仿宋" w:cs="仿宋"/>
          <w:color w:val="000000"/>
          <w:sz w:val="32"/>
          <w:szCs w:val="32"/>
          <w:lang w:val="en-US" w:eastAsia="zh-CN"/>
        </w:rPr>
        <w:t>2020年</w:t>
      </w:r>
      <w:r>
        <w:rPr>
          <w:rFonts w:hint="eastAsia" w:ascii="仿宋" w:hAnsi="仿宋" w:eastAsia="仿宋" w:cs="仿宋"/>
          <w:color w:val="000000"/>
          <w:sz w:val="32"/>
          <w:szCs w:val="32"/>
          <w:lang w:val="zh-CN"/>
        </w:rPr>
        <w:t>我县计划</w:t>
      </w:r>
      <w:r>
        <w:rPr>
          <w:rFonts w:hint="eastAsia" w:ascii="仿宋" w:hAnsi="仿宋" w:eastAsia="仿宋" w:cs="仿宋"/>
          <w:color w:val="000000"/>
          <w:sz w:val="32"/>
          <w:szCs w:val="32"/>
          <w:lang w:val="en-US" w:eastAsia="zh-CN"/>
        </w:rPr>
        <w:t>对全县7460名寄宿制学生实行</w:t>
      </w:r>
      <w:r>
        <w:rPr>
          <w:rFonts w:hint="eastAsia" w:ascii="仿宋" w:hAnsi="仿宋" w:eastAsia="仿宋" w:cs="仿宋"/>
          <w:color w:val="000000"/>
          <w:sz w:val="32"/>
          <w:szCs w:val="32"/>
          <w:lang w:val="zh-CN" w:eastAsia="zh-CN"/>
        </w:rPr>
        <w:t>“三包”政策，其中包括</w:t>
      </w:r>
      <w:r>
        <w:rPr>
          <w:rFonts w:hint="eastAsia" w:ascii="仿宋" w:hAnsi="仿宋" w:eastAsia="仿宋" w:cs="仿宋"/>
          <w:color w:val="000000"/>
          <w:sz w:val="32"/>
          <w:szCs w:val="32"/>
          <w:lang w:val="en-US" w:eastAsia="zh-CN"/>
        </w:rPr>
        <w:t>2049名建档立卡贫困户学生，按照寄宿制学生补助标准</w:t>
      </w:r>
      <w:r>
        <w:rPr>
          <w:rFonts w:hint="eastAsia" w:ascii="仿宋" w:hAnsi="仿宋" w:eastAsia="仿宋" w:cs="仿宋"/>
          <w:color w:val="000000"/>
          <w:sz w:val="32"/>
          <w:szCs w:val="32"/>
        </w:rPr>
        <w:t>每生每年1700元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zh-CN"/>
        </w:rPr>
        <w:t>实现全免费教育，让教育有保障政策落到实处。项目实施进度计划在</w:t>
      </w:r>
      <w:r>
        <w:rPr>
          <w:rFonts w:hint="eastAsia" w:ascii="仿宋" w:hAnsi="仿宋" w:eastAsia="仿宋" w:cs="仿宋"/>
          <w:color w:val="000000"/>
          <w:sz w:val="32"/>
          <w:szCs w:val="32"/>
          <w:lang w:val="en-US" w:eastAsia="zh-CN"/>
        </w:rPr>
        <w:t>2020年12月完成</w:t>
      </w:r>
      <w:r>
        <w:rPr>
          <w:rFonts w:hint="eastAsia" w:ascii="仿宋" w:hAnsi="仿宋" w:eastAsia="仿宋" w:cs="仿宋"/>
          <w:color w:val="000000"/>
          <w:sz w:val="32"/>
          <w:szCs w:val="32"/>
          <w:lang w:val="zh-CN"/>
        </w:rPr>
        <w:t>。</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项目资金申报相符性。</w:t>
      </w:r>
    </w:p>
    <w:p>
      <w:pPr>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020年高海拔少数民族自治州教育“三包”经费补助项目</w:t>
      </w:r>
      <w:r>
        <w:rPr>
          <w:rFonts w:hint="eastAsia" w:ascii="仿宋" w:hAnsi="仿宋" w:eastAsia="仿宋" w:cs="仿宋"/>
          <w:color w:val="000000"/>
          <w:sz w:val="32"/>
          <w:szCs w:val="32"/>
          <w:lang w:val="zh-CN"/>
        </w:rPr>
        <w:t>申报内容是</w:t>
      </w:r>
      <w:r>
        <w:rPr>
          <w:rFonts w:hint="eastAsia" w:ascii="仿宋" w:hAnsi="仿宋" w:eastAsia="仿宋" w:cs="仿宋"/>
          <w:color w:val="000000"/>
          <w:sz w:val="32"/>
          <w:szCs w:val="32"/>
          <w:lang w:val="zh-CN" w:eastAsia="zh-CN"/>
        </w:rPr>
        <w:t>对全县寄宿制学生实施包吃、包住、包学习</w:t>
      </w:r>
      <w:r>
        <w:rPr>
          <w:rFonts w:hint="eastAsia" w:ascii="仿宋" w:hAnsi="仿宋" w:eastAsia="仿宋" w:cs="仿宋"/>
          <w:color w:val="000000"/>
          <w:sz w:val="32"/>
          <w:szCs w:val="32"/>
          <w:lang w:val="zh-CN"/>
        </w:rPr>
        <w:t>与具体实施内容相符、申报目标合理。</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rPr>
      </w:pPr>
      <w:r>
        <w:rPr>
          <w:rFonts w:hint="eastAsia" w:ascii="仿宋" w:hAnsi="仿宋" w:eastAsia="仿宋" w:cs="仿宋"/>
          <w:sz w:val="32"/>
          <w:szCs w:val="32"/>
        </w:rPr>
        <w:t>二、项目实施及管理情况</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keepNext w:val="0"/>
        <w:keepLines w:val="0"/>
        <w:pageBreakBefore w:val="0"/>
        <w:widowControl/>
        <w:kinsoku/>
        <w:wordWrap/>
        <w:overflowPunct/>
        <w:topLinePunct w:val="0"/>
        <w:autoSpaceDE/>
        <w:autoSpaceDN/>
        <w:bidi w:val="0"/>
        <w:spacing w:before="225" w:after="225" w:line="520" w:lineRule="exact"/>
        <w:ind w:firstLine="645"/>
        <w:jc w:val="left"/>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1、资金计划及到位。</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sz w:val="32"/>
          <w:szCs w:val="32"/>
        </w:rPr>
        <w:t>壤塘县教育局财务管理办法》明确，专项资金应专款专用。由财政局落实专项资金，加强资金监管，将2020年高海拔少数民族自治州教育“三包”经费补助资金纳入国库管理，按照财政国库管理制度及有关规定及时支付。</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zh-CN"/>
        </w:rPr>
        <w:t>壤塘县</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lang w:val="zh-CN"/>
        </w:rPr>
        <w:t>年根据义务教育阶段寄宿制学生数实施项目申报，根据</w:t>
      </w:r>
      <w:r>
        <w:rPr>
          <w:rFonts w:hint="eastAsia" w:ascii="仿宋" w:hAnsi="仿宋" w:eastAsia="仿宋" w:cs="仿宋"/>
          <w:color w:val="000000"/>
          <w:sz w:val="32"/>
          <w:szCs w:val="32"/>
          <w:lang w:val="en-US" w:eastAsia="zh-CN"/>
        </w:rPr>
        <w:t>阿州财预【2020】66号下达2020年高海拔少数民族自治州教育“三包”经费补助的通知，下达212.4万元。</w:t>
      </w:r>
    </w:p>
    <w:p>
      <w:pPr>
        <w:keepNext w:val="0"/>
        <w:keepLines w:val="0"/>
        <w:pageBreakBefore w:val="0"/>
        <w:widowControl/>
        <w:numPr>
          <w:ilvl w:val="0"/>
          <w:numId w:val="11"/>
        </w:numPr>
        <w:kinsoku/>
        <w:wordWrap/>
        <w:overflowPunct/>
        <w:topLinePunct w:val="0"/>
        <w:autoSpaceDE/>
        <w:autoSpaceDN/>
        <w:bidi w:val="0"/>
        <w:spacing w:before="225" w:after="225" w:line="520" w:lineRule="exact"/>
        <w:ind w:firstLine="643"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资金使用情况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遵循“专款专用、公开透明、及时结算”的原则，2020年高海拔少数民族自治州教育“三包”经费补助资金全部用于寄宿制学生</w:t>
      </w:r>
      <w:r>
        <w:rPr>
          <w:rFonts w:hint="eastAsia" w:ascii="仿宋" w:hAnsi="仿宋" w:eastAsia="仿宋" w:cs="仿宋"/>
          <w:color w:val="000000"/>
          <w:sz w:val="32"/>
          <w:szCs w:val="32"/>
          <w:lang w:val="en-US" w:eastAsia="zh-CN"/>
        </w:rPr>
        <w:t>“三包”方面</w:t>
      </w:r>
      <w:r>
        <w:rPr>
          <w:rFonts w:hint="eastAsia" w:ascii="仿宋" w:hAnsi="仿宋" w:eastAsia="仿宋" w:cs="仿宋"/>
          <w:color w:val="000000"/>
          <w:sz w:val="32"/>
          <w:szCs w:val="32"/>
        </w:rPr>
        <w:t>,不足部分用以往结转的学生生活补助费将项目实施。到目前</w:t>
      </w:r>
      <w:r>
        <w:rPr>
          <w:rFonts w:hint="eastAsia" w:ascii="仿宋" w:hAnsi="仿宋" w:eastAsia="仿宋" w:cs="仿宋"/>
          <w:color w:val="000000"/>
          <w:sz w:val="32"/>
          <w:szCs w:val="32"/>
          <w:lang w:val="en-US" w:eastAsia="zh-CN"/>
        </w:rPr>
        <w:t>212.4</w:t>
      </w:r>
      <w:r>
        <w:rPr>
          <w:rFonts w:hint="eastAsia" w:ascii="仿宋" w:hAnsi="仿宋" w:eastAsia="仿宋" w:cs="仿宋"/>
          <w:color w:val="000000"/>
          <w:sz w:val="32"/>
          <w:szCs w:val="32"/>
        </w:rPr>
        <w:t>万以实施完。</w:t>
      </w:r>
    </w:p>
    <w:p>
      <w:pPr>
        <w:keepNext w:val="0"/>
        <w:keepLines w:val="0"/>
        <w:pageBreakBefore w:val="0"/>
        <w:widowControl/>
        <w:kinsoku/>
        <w:wordWrap/>
        <w:overflowPunct/>
        <w:topLinePunct w:val="0"/>
        <w:autoSpaceDE/>
        <w:autoSpaceDN/>
        <w:bidi w:val="0"/>
        <w:spacing w:before="225" w:after="225" w:line="520" w:lineRule="exact"/>
        <w:ind w:firstLine="6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3、项目财务管理情况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严格遵照《项目资金管理办法》。在地方政府统筹下，积极开展各项项目，专项资金管理制度完善，项目都能按计划执行。资金实行专人专户管理，设立了专门账户，实行专人负责，做到了专款专用，并定期和不定期接受了上级和审计部门的监督和审计。 </w:t>
      </w:r>
    </w:p>
    <w:p>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 xml:space="preserve"> ( 二 )项目组织实施情况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认真贯彻落实中共中央《建立健全教育、制度、监督并重的惩治和预防腐败体系实施纲要》精神，切实按照州委、州人民政府和州教育局工作安排，县教育局立足实际，坚持创新，建立符合壤塘实际的学校学生食堂食品定点集中采购工作机制，将学校食品安全工作等纳入有序、规范的操作轨道，使学生食堂食品采购过程实现公开化、透明化，保证采购质量和采购价格的合理化，确保资金安全、高效，做到让社会满意，让家长放心，让广大学生吃得安全、吃得放心，吃得健康有营养，并让学生生活补助发挥最大效益。</w:t>
      </w:r>
    </w:p>
    <w:p>
      <w:pPr>
        <w:keepNext w:val="0"/>
        <w:keepLines w:val="0"/>
        <w:pageBreakBefore w:val="0"/>
        <w:kinsoku/>
        <w:wordWrap/>
        <w:overflowPunct/>
        <w:topLinePunct w:val="0"/>
        <w:autoSpaceDE/>
        <w:autoSpaceDN/>
        <w:bidi w:val="0"/>
        <w:spacing w:line="520" w:lineRule="exact"/>
        <w:ind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1、加强领导，健全组织机构</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为有序实施学生生活补助、营养改善计划，保障各项工作顺利推进，成立了以教育局局长为组长，分管副局长为副组长，相关股室为成员的壤塘县寄宿制学校服务管理中心领导小组。壤塘县寄宿制学校服务管理中心办公室设在勤管股，负责处理日常事务。各校也成立相应的组织机构，为顺利开展各项工作奠定了坚实的基础。  </w:t>
      </w:r>
    </w:p>
    <w:p>
      <w:pPr>
        <w:keepNext w:val="0"/>
        <w:keepLines w:val="0"/>
        <w:pageBreakBefore w:val="0"/>
        <w:kinsoku/>
        <w:wordWrap/>
        <w:overflowPunct/>
        <w:topLinePunct w:val="0"/>
        <w:autoSpaceDE/>
        <w:autoSpaceDN/>
        <w:bidi w:val="0"/>
        <w:spacing w:line="520" w:lineRule="exact"/>
        <w:ind w:firstLine="675" w:firstLineChars="210"/>
        <w:textAlignment w:val="auto"/>
        <w:rPr>
          <w:rFonts w:hint="eastAsia" w:ascii="仿宋" w:hAnsi="仿宋" w:eastAsia="仿宋" w:cs="仿宋"/>
          <w:b/>
          <w:sz w:val="32"/>
          <w:szCs w:val="32"/>
        </w:rPr>
      </w:pPr>
      <w:r>
        <w:rPr>
          <w:rFonts w:hint="eastAsia" w:ascii="仿宋" w:hAnsi="仿宋" w:eastAsia="仿宋" w:cs="仿宋"/>
          <w:b/>
          <w:sz w:val="32"/>
          <w:szCs w:val="32"/>
        </w:rPr>
        <w:t>2、结合实际，规范资金管理使用</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a．制定方案，保障实施。我县是国家级贫困县，大骨节病重灾区，农牧民收入低，家庭经济困难，无力资助学生在校生活，只能靠学生生活补助、营养改善计划资金在学校生活。由于物价逐年上涨，各学校在使用学生生活补助让学生在吃得饱的基础上，尽最大努力考虑学生营养。</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b．加强资金管理。寄宿制学生生活补助、做到了分账核算，专款专用。大宗物品全部实行政府采购，实行“四统一”，即统一招标、统一采购、统一分配、统一运送。保证了学生食品的安全、质量。</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c．加快食堂改建扩建力度。已批复学校食堂建设项目已全部竣工；已竣工学校食堂已及时交付使用，能满足我县全部学生就餐需求。随着学校食堂建设配套设施的完善，县委县府和县教育局积极协调，加强监管，解决困难，把92名炊勤人员工资列入财政预算。教育局挤出公用经费，用于购置设备，建立专门的储藏室，配备相应的储存设备，分类存放，确保食品干净卫生。学校按照营养餐食谱操作规范备餐，对食品进行48小时的留样封存，以备待查。截止目前，食堂供餐比例100％，惠及全部寄宿制学生，未发生任何食品安全事件。</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rPr>
        <w:t>d．加强督查，主动接受监督。国家补助的寄宿制学生生活补助、农村义务教育阶段营养改善计划资金全部用于了学生，各学校按照《壤塘县教育局寄宿制经费管理办法》、</w:t>
      </w:r>
      <w:bookmarkStart w:id="163" w:name="_GoBack"/>
      <w:r>
        <w:rPr>
          <w:rFonts w:hint="eastAsia" w:ascii="仿宋" w:hAnsi="仿宋" w:eastAsia="仿宋" w:cs="仿宋"/>
          <w:color w:val="000000"/>
          <w:sz w:val="32"/>
          <w:szCs w:val="32"/>
        </w:rPr>
        <w:t>《壤塘县农村义务教育学生营养改善计划食堂供餐实施方案》做好了寄宿制学生生活补助公开栏，营养改善计划公开栏，每学期如实公布了学生生活补助的收支帐目。并定期和不定期的接受上级和审计部门的监督审计。为切实掌握寄宿制学生生活补助的推进情况，教育局安排专人负责寄宿制学生生活补助实施情况，随时了解反馈学生寄宿制学生生活补助实施过程中存在的问题，并不断改进工作，保证此项惠民工程扎实推进。　</w:t>
      </w:r>
    </w:p>
    <w:p>
      <w:pPr>
        <w:keepNext w:val="0"/>
        <w:keepLines w:val="0"/>
        <w:pageBreakBefore w:val="0"/>
        <w:numPr>
          <w:ilvl w:val="0"/>
          <w:numId w:val="12"/>
        </w:numPr>
        <w:kinsoku/>
        <w:wordWrap/>
        <w:overflowPunct/>
        <w:topLinePunct w:val="0"/>
        <w:autoSpaceDE/>
        <w:autoSpaceDN/>
        <w:bidi w:val="0"/>
        <w:adjustRightInd w:val="0"/>
        <w:snapToGrid w:val="0"/>
        <w:spacing w:line="520" w:lineRule="exact"/>
        <w:ind w:left="120" w:leftChars="0" w:firstLine="720" w:firstLineChars="0"/>
        <w:textAlignment w:val="auto"/>
        <w:rPr>
          <w:rFonts w:hint="eastAsia" w:ascii="仿宋" w:hAnsi="仿宋" w:eastAsia="仿宋" w:cs="仿宋"/>
          <w:b/>
          <w:bCs/>
          <w:sz w:val="32"/>
          <w:szCs w:val="32"/>
          <w:lang w:val="zh-CN"/>
        </w:rPr>
      </w:pPr>
      <w:r>
        <w:rPr>
          <w:rFonts w:hint="eastAsia" w:ascii="仿宋" w:hAnsi="仿宋" w:eastAsia="仿宋" w:cs="仿宋"/>
          <w:b/>
          <w:bCs/>
          <w:sz w:val="32"/>
          <w:szCs w:val="32"/>
        </w:rPr>
        <w:t>目标完成情况</w:t>
      </w:r>
      <w:r>
        <w:rPr>
          <w:rFonts w:hint="eastAsia" w:ascii="仿宋" w:hAnsi="仿宋" w:eastAsia="仿宋" w:cs="仿宋"/>
          <w:b/>
          <w:bCs/>
          <w:sz w:val="32"/>
          <w:szCs w:val="32"/>
          <w:lang w:val="zh-CN"/>
        </w:rPr>
        <w:tab/>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根据目标任务</w:t>
      </w:r>
      <w:r>
        <w:rPr>
          <w:rFonts w:hint="eastAsia" w:ascii="仿宋" w:hAnsi="仿宋" w:eastAsia="仿宋" w:cs="仿宋"/>
          <w:color w:val="000000"/>
          <w:sz w:val="32"/>
          <w:szCs w:val="32"/>
          <w:lang w:val="en-US" w:eastAsia="zh-CN"/>
        </w:rPr>
        <w:t>2020年</w:t>
      </w:r>
      <w:r>
        <w:rPr>
          <w:rFonts w:hint="eastAsia" w:ascii="仿宋" w:hAnsi="仿宋" w:eastAsia="仿宋" w:cs="仿宋"/>
          <w:color w:val="000000"/>
          <w:sz w:val="32"/>
          <w:szCs w:val="32"/>
        </w:rPr>
        <w:t>我县有中小学1</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所，应享受寄宿制学生生活补助的</w:t>
      </w:r>
      <w:r>
        <w:rPr>
          <w:rFonts w:hint="eastAsia" w:ascii="仿宋" w:hAnsi="仿宋" w:eastAsia="仿宋" w:cs="仿宋"/>
          <w:color w:val="000000"/>
          <w:sz w:val="32"/>
          <w:szCs w:val="32"/>
          <w:lang w:val="en-US" w:eastAsia="zh-CN"/>
        </w:rPr>
        <w:t>7460</w:t>
      </w:r>
      <w:r>
        <w:rPr>
          <w:rFonts w:hint="eastAsia" w:ascii="仿宋" w:hAnsi="仿宋" w:eastAsia="仿宋" w:cs="仿宋"/>
          <w:color w:val="000000"/>
          <w:sz w:val="32"/>
          <w:szCs w:val="32"/>
        </w:rPr>
        <w:t>人其中：小学</w:t>
      </w:r>
      <w:r>
        <w:rPr>
          <w:rFonts w:hint="eastAsia" w:ascii="仿宋" w:hAnsi="仿宋" w:eastAsia="仿宋" w:cs="仿宋"/>
          <w:color w:val="000000"/>
          <w:sz w:val="32"/>
          <w:szCs w:val="32"/>
          <w:lang w:val="en-US" w:eastAsia="zh-CN"/>
        </w:rPr>
        <w:t>5652</w:t>
      </w:r>
      <w:r>
        <w:rPr>
          <w:rFonts w:hint="eastAsia" w:ascii="仿宋" w:hAnsi="仿宋" w:eastAsia="仿宋" w:cs="仿宋"/>
          <w:color w:val="000000"/>
          <w:sz w:val="32"/>
          <w:szCs w:val="32"/>
        </w:rPr>
        <w:t>人，初中</w:t>
      </w:r>
      <w:r>
        <w:rPr>
          <w:rFonts w:hint="eastAsia" w:ascii="仿宋" w:hAnsi="仿宋" w:eastAsia="仿宋" w:cs="仿宋"/>
          <w:color w:val="000000"/>
          <w:sz w:val="32"/>
          <w:szCs w:val="32"/>
          <w:lang w:val="en-US" w:eastAsia="zh-CN"/>
        </w:rPr>
        <w:t>1808</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实行</w:t>
      </w:r>
      <w:r>
        <w:rPr>
          <w:rFonts w:hint="eastAsia" w:ascii="仿宋" w:hAnsi="仿宋" w:eastAsia="仿宋" w:cs="仿宋"/>
          <w:color w:val="000000"/>
          <w:sz w:val="32"/>
          <w:szCs w:val="32"/>
          <w:lang w:val="zh-CN" w:eastAsia="zh-CN"/>
        </w:rPr>
        <w:t>“三包”政策，其中包括</w:t>
      </w:r>
      <w:r>
        <w:rPr>
          <w:rFonts w:hint="eastAsia" w:ascii="仿宋" w:hAnsi="仿宋" w:eastAsia="仿宋" w:cs="仿宋"/>
          <w:color w:val="000000"/>
          <w:sz w:val="32"/>
          <w:szCs w:val="32"/>
          <w:lang w:val="en-US" w:eastAsia="zh-CN"/>
        </w:rPr>
        <w:t>2049名建档立卡贫困户学生，按照寄宿制学生补助标准</w:t>
      </w:r>
      <w:r>
        <w:rPr>
          <w:rFonts w:hint="eastAsia" w:ascii="仿宋" w:hAnsi="仿宋" w:eastAsia="仿宋" w:cs="仿宋"/>
          <w:color w:val="000000"/>
          <w:sz w:val="32"/>
          <w:szCs w:val="32"/>
        </w:rPr>
        <w:t>每生每年1700元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zh-CN"/>
        </w:rPr>
        <w:t>实现全免费教育，让教育有保障政策落到实处。</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zh-CN"/>
        </w:rPr>
        <w:t>对照项目计划目标，我局按时按量完成了预期目标。</w:t>
      </w:r>
      <w:r>
        <w:rPr>
          <w:rFonts w:hint="eastAsia" w:ascii="仿宋" w:hAnsi="仿宋" w:eastAsia="仿宋" w:cs="仿宋"/>
          <w:color w:val="000000"/>
          <w:sz w:val="32"/>
          <w:szCs w:val="32"/>
        </w:rPr>
        <w:t>不足部分用以往结转的学生生活补助费将项目实施。</w:t>
      </w:r>
      <w:r>
        <w:rPr>
          <w:rFonts w:hint="eastAsia" w:ascii="仿宋" w:hAnsi="仿宋" w:eastAsia="仿宋" w:cs="仿宋"/>
          <w:color w:val="000000"/>
          <w:sz w:val="32"/>
          <w:szCs w:val="32"/>
          <w:lang w:val="zh-CN"/>
        </w:rPr>
        <w:t>家长不用出钱，寄宿制学生在学校吃的好，吃的饱。全年没有出现食品安全事故。</w:t>
      </w:r>
      <w:r>
        <w:rPr>
          <w:rFonts w:hint="eastAsia" w:ascii="仿宋" w:hAnsi="仿宋" w:eastAsia="仿宋" w:cs="仿宋"/>
          <w:color w:val="000000"/>
          <w:sz w:val="32"/>
          <w:szCs w:val="32"/>
        </w:rPr>
        <w:t xml:space="preserve"> </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（三）目标进度完成情况。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20</w:t>
      </w:r>
      <w:r>
        <w:rPr>
          <w:rFonts w:hint="eastAsia" w:ascii="仿宋" w:hAnsi="仿宋" w:eastAsia="仿宋" w:cs="仿宋"/>
          <w:color w:val="000000"/>
          <w:sz w:val="32"/>
          <w:szCs w:val="32"/>
          <w:lang w:val="en-US" w:eastAsia="zh-CN"/>
        </w:rPr>
        <w:t>20年</w:t>
      </w:r>
      <w:r>
        <w:rPr>
          <w:rFonts w:hint="eastAsia" w:ascii="仿宋" w:hAnsi="仿宋" w:eastAsia="仿宋" w:cs="仿宋"/>
          <w:color w:val="000000"/>
          <w:sz w:val="32"/>
          <w:szCs w:val="32"/>
          <w:lang w:val="zh-CN"/>
        </w:rPr>
        <w:t>教育局根据年初寄宿制生活补助实施方案预定进度计划，项目实施按照方案逐步实施，到20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lang w:val="zh-CN"/>
        </w:rPr>
        <w:t>年秋季放假项目按照进度顺利完成。</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bCs/>
          <w:sz w:val="32"/>
          <w:szCs w:val="32"/>
        </w:rPr>
      </w:pPr>
      <w:r>
        <w:rPr>
          <w:rFonts w:hint="eastAsia" w:ascii="仿宋" w:hAnsi="仿宋" w:eastAsia="仿宋" w:cs="仿宋"/>
          <w:b/>
          <w:bCs/>
          <w:sz w:val="32"/>
          <w:szCs w:val="32"/>
        </w:rPr>
        <w:t>四、项目效益情况</w:t>
      </w:r>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寄宿制生活补助的实施，解决了我县寄宿制学生的生活费问题，有力地缓解了学校与家长关于生活问题的压力；营养改善计划实施我县学生的体质得到了明显改善，专项资金的规范管理和安全使用，做到让社会满意，让家长放心，让所有寄宿制学生不用为了自己的生活费而浪费精力，能在学校专心学习，没有后顾之忧。学校住宿、生活条件的改善使教师和学生的工作、学习积极性得到了极大的提高，学校的教育教学质量也将得到提升。</w:t>
      </w:r>
      <w:r>
        <w:rPr>
          <w:rFonts w:hint="eastAsia" w:ascii="仿宋" w:hAnsi="仿宋" w:eastAsia="仿宋" w:cs="仿宋"/>
          <w:color w:val="000000"/>
          <w:sz w:val="32"/>
          <w:szCs w:val="32"/>
          <w:lang w:eastAsia="zh-CN"/>
        </w:rPr>
        <w:t>项目满意度测评达到</w:t>
      </w:r>
      <w:r>
        <w:rPr>
          <w:rFonts w:hint="eastAsia" w:ascii="仿宋" w:hAnsi="仿宋" w:eastAsia="仿宋" w:cs="仿宋"/>
          <w:color w:val="000000"/>
          <w:sz w:val="32"/>
          <w:szCs w:val="32"/>
          <w:lang w:val="en-US" w:eastAsia="zh-CN"/>
        </w:rPr>
        <w:t>98%。</w:t>
      </w:r>
    </w:p>
    <w:p>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bCs/>
          <w:sz w:val="32"/>
          <w:szCs w:val="32"/>
        </w:rPr>
      </w:pPr>
      <w:r>
        <w:rPr>
          <w:rFonts w:hint="eastAsia" w:ascii="仿宋" w:hAnsi="仿宋" w:eastAsia="仿宋" w:cs="仿宋"/>
          <w:b/>
          <w:bCs/>
          <w:sz w:val="32"/>
          <w:szCs w:val="32"/>
        </w:rPr>
        <w:t>五、问题及建议</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学校食堂后勤人员数量少、素质参差不齐，因用电难等原因，部分学校食堂设备无法正常使用，造成学生食堂菜品单一。建议加大对学校食堂后勤人员的业务培训，提高设备使用率，加大学校食堂的改扩建、设备的采购力度。同时，还需加强对学校营养配餐的指导，在保证学生各种营养成分摄入量的前提下，制定符合实际的营养食谱，达到营养均衡。</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rPr>
        <w:t>2、食堂供餐后学校食堂后勤人员属临时招聘，待遇差，工作量大给学校管理带来难度，请求解决正式编制或相关待遇。</w:t>
      </w:r>
      <w:r>
        <w:rPr>
          <w:rFonts w:hint="eastAsia" w:ascii="仿宋" w:hAnsi="仿宋" w:eastAsia="仿宋" w:cs="仿宋"/>
          <w:color w:val="000000"/>
          <w:sz w:val="32"/>
          <w:szCs w:val="32"/>
          <w:lang w:val="en-US" w:eastAsia="zh-CN"/>
        </w:rPr>
        <w:t xml:space="preserve">   </w:t>
      </w:r>
    </w:p>
    <w:bookmarkEnd w:id="163"/>
    <w:p>
      <w:pPr>
        <w:widowControl/>
        <w:spacing w:before="225" w:after="225" w:line="345" w:lineRule="atLeast"/>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w:t>
      </w:r>
    </w:p>
    <w:p>
      <w:pPr>
        <w:widowControl/>
        <w:spacing w:before="225" w:after="225" w:line="345" w:lineRule="atLeast"/>
        <w:jc w:val="center"/>
        <w:rPr>
          <w:rFonts w:hint="eastAsia" w:ascii="黑体" w:hAnsi="黑体" w:eastAsia="黑体" w:cs="黑体"/>
          <w:sz w:val="44"/>
          <w:szCs w:val="44"/>
        </w:rPr>
      </w:pPr>
      <w:r>
        <w:rPr>
          <w:rFonts w:hint="eastAsia" w:ascii="黑体" w:hAnsi="黑体" w:eastAsia="黑体" w:cs="黑体"/>
          <w:sz w:val="44"/>
          <w:szCs w:val="44"/>
        </w:rPr>
        <w:t>壤塘县教育局</w:t>
      </w:r>
    </w:p>
    <w:p>
      <w:pPr>
        <w:widowControl/>
        <w:spacing w:before="225" w:after="225" w:line="345" w:lineRule="atLeast"/>
        <w:jc w:val="center"/>
        <w:rPr>
          <w:rFonts w:hint="eastAsia" w:ascii="黑体" w:hAnsi="黑体" w:eastAsia="黑体" w:cs="黑体"/>
          <w:sz w:val="44"/>
          <w:szCs w:val="44"/>
        </w:rPr>
      </w:pPr>
      <w:r>
        <w:rPr>
          <w:rFonts w:hint="eastAsia" w:ascii="黑体" w:hAnsi="黑体" w:eastAsia="黑体" w:cs="黑体"/>
          <w:sz w:val="44"/>
          <w:szCs w:val="44"/>
        </w:rPr>
        <w:t>2020年度新冠状病毒</w:t>
      </w:r>
    </w:p>
    <w:p>
      <w:pPr>
        <w:widowControl/>
        <w:spacing w:before="225" w:after="225" w:line="345" w:lineRule="atLeast"/>
        <w:jc w:val="center"/>
        <w:rPr>
          <w:rFonts w:hint="eastAsia" w:ascii="黑体" w:hAnsi="黑体" w:eastAsia="黑体" w:cs="黑体"/>
          <w:sz w:val="44"/>
          <w:szCs w:val="44"/>
        </w:rPr>
      </w:pPr>
      <w:r>
        <w:rPr>
          <w:rFonts w:hint="eastAsia" w:ascii="黑体" w:hAnsi="黑体" w:eastAsia="黑体" w:cs="黑体"/>
          <w:sz w:val="44"/>
          <w:szCs w:val="44"/>
        </w:rPr>
        <w:t>肺炎疫情防控中央结算资金</w:t>
      </w:r>
    </w:p>
    <w:p>
      <w:pPr>
        <w:widowControl/>
        <w:spacing w:before="225" w:after="225" w:line="345" w:lineRule="atLeast"/>
        <w:jc w:val="center"/>
        <w:rPr>
          <w:rFonts w:hint="eastAsia" w:ascii="黑体" w:hAnsi="黑体" w:eastAsia="黑体" w:cs="黑体"/>
          <w:kern w:val="0"/>
          <w:sz w:val="32"/>
          <w:szCs w:val="32"/>
        </w:rPr>
      </w:pPr>
      <w:r>
        <w:rPr>
          <w:rFonts w:hint="eastAsia" w:ascii="黑体" w:hAnsi="黑体" w:eastAsia="黑体" w:cs="黑体"/>
          <w:sz w:val="44"/>
          <w:szCs w:val="44"/>
        </w:rPr>
        <w:t>采购项目2020年绩效评价报告</w:t>
      </w:r>
    </w:p>
    <w:p>
      <w:pPr>
        <w:widowControl/>
        <w:spacing w:before="225" w:after="225" w:line="345"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一、项目概况</w:t>
      </w:r>
    </w:p>
    <w:p>
      <w:pPr>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（一）项目资金申报及批复情况。根据阿州财社[2020]67号2020年度新冠状病毒肺炎疫情防控中央结算资金（物资采购经费）文件精神，为我县学校采购红外线测温仪10.7040万元，装备学校幼儿园15所）</w:t>
      </w:r>
      <w:r>
        <w:rPr>
          <w:rFonts w:hint="eastAsia" w:ascii="仿宋" w:hAnsi="仿宋" w:eastAsia="仿宋" w:cs="仿宋"/>
          <w:color w:val="000000"/>
          <w:sz w:val="32"/>
          <w:szCs w:val="32"/>
          <w:lang w:eastAsia="zh-CN"/>
        </w:rPr>
        <w:t>。</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（二）项目绩效目标。购置红外线测温仪223只共10.7040万元，装备学校幼儿园15所，对全县学校进行全覆盖，保障新冠状病毒肺炎疫情期间防疫物资使师生在学校正常学习生活。</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（三）项目资金申报相符性。项目申报内容与具体实施内容一致、申报目标合理可行。</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二、项目实施及管理情况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kern w:val="0"/>
          <w:sz w:val="32"/>
          <w:szCs w:val="32"/>
        </w:rPr>
        <w:tab/>
      </w:r>
      <w:r>
        <w:rPr>
          <w:rFonts w:hint="eastAsia" w:ascii="仿宋" w:hAnsi="仿宋" w:eastAsia="仿宋" w:cs="仿宋"/>
          <w:color w:val="000000"/>
          <w:sz w:val="32"/>
          <w:szCs w:val="32"/>
        </w:rPr>
        <w:t>（一）资金计划、到位及使用情况。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1、资金计划及到位。该项目资金截止评价前，已按照申报内容到位10.7040万元。</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2、资金使用。截止评价时点，项目资金按照支付手续合规合法，共计支付10.7040万元。资金支付与预算相符。</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（二）项目财务管理情况。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该项目严格按照教育局财务管理制度、会计核算及账务处理程序办理。财务处理及时、会计核算规范。</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（三）项目组织实施情况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按照阿州教发〔2020〕15号《阿坝州教育局关于做好新型冠状病毒感染肺炎疫情学校后勤保障工作的通知》文件精神和壤塘县防控新冠肺炎指挥部文件要求开学前为学校准备好疫情防控的物资。因2020年2月疫情防控的物资紧张，结合学校实际，经教育局局务会研究研究决定，由教育局统计学校需求数量后联系县防控新冠肺炎指挥部购买红外线测温仪。3月购买后由教育局发放到各中小学幼儿园，保证了我县在4月的全面开学。</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三、目标完成情况</w:t>
      </w:r>
      <w:r>
        <w:rPr>
          <w:rFonts w:hint="eastAsia" w:ascii="仿宋" w:hAnsi="仿宋" w:eastAsia="仿宋" w:cs="仿宋"/>
          <w:kern w:val="0"/>
          <w:sz w:val="32"/>
          <w:szCs w:val="32"/>
        </w:rPr>
        <w:tab/>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（一）目标任务量完成情况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严格按照资金及项目批复，为15所中小学幼儿园学校购置223只红外线测温仪，保证了我县在4月的全面开学。</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（二）目标质量完成情况。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为15所中小学幼儿园学校购置223只红外线测温仪发放时进行了验收，合格无异议。</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（三）目标进度完成情况。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该项目按照阿州教发〔2020〕15号《阿坝州教育局关于做好新型冠状病毒感染肺炎疫情学校后勤保障工作的通知》文件精神和壤塘县防控新冠肺炎指挥部文件要求开学前为学校准备好疫情防控的物资。按照特殊时期特殊采购，按期完成采购工作，并完成资金支付工作。</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四、项目效益情况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项目具体情况分析，该项目保证了我县在新型冠状病毒感染肺炎疫情2020年4月的全面开学。经济效益：充分利用该笔资金，最大程度为学校购置223只红外线测温仪；社会效益为保障新冠状病毒肺炎疫情期间防疫物资使师生在学校正常学习生活；现目前设备使用情况良好。</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五、问题及建议</w:t>
      </w:r>
    </w:p>
    <w:p>
      <w:pPr>
        <w:widowControl/>
        <w:spacing w:before="225" w:after="225" w:line="345"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（一）存在的问题</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1、教育局在应对重大突发安全公共事故上前瞻性不强，应急预案不完善。</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2、教育局没有应对重大突发安全公共事故购买物资、人员培训专项资金。作为一个国家级贫困县，自身条件相对较差，地方配套资金不足，肯请国家和省上加大对民族地区资金方面的投入力度。</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（二）相关建议。1、进一步加大对民族地区应对重大突发安全公共事故资金方面的投入力度。2、加大对应对重大突发安全公共事故人员的培训，预案的演练。3、增加后期维护资金。</w:t>
      </w:r>
    </w:p>
    <w:p>
      <w:pPr>
        <w:widowControl/>
        <w:spacing w:line="580" w:lineRule="exact"/>
        <w:jc w:val="left"/>
        <w:rPr>
          <w:rFonts w:hint="eastAsia" w:ascii="仿宋" w:hAnsi="仿宋" w:eastAsia="仿宋" w:cs="仿宋"/>
          <w:sz w:val="32"/>
          <w:szCs w:val="32"/>
        </w:rPr>
      </w:pPr>
    </w:p>
    <w:p>
      <w:pPr>
        <w:pStyle w:val="40"/>
        <w:spacing w:line="580" w:lineRule="exact"/>
        <w:jc w:val="center"/>
        <w:rPr>
          <w:rFonts w:hint="eastAsia" w:ascii="黑体" w:hAnsi="黑体" w:eastAsia="黑体" w:cs="黑体"/>
          <w:color w:val="auto"/>
          <w:kern w:val="2"/>
          <w:sz w:val="44"/>
          <w:szCs w:val="44"/>
          <w:lang w:val="en-US" w:eastAsia="zh-CN" w:bidi="ar-SA"/>
        </w:rPr>
      </w:pPr>
      <w:r>
        <w:rPr>
          <w:rFonts w:hint="eastAsia" w:ascii="黑体" w:hAnsi="黑体" w:eastAsia="黑体" w:cs="黑体"/>
          <w:color w:val="auto"/>
          <w:kern w:val="2"/>
          <w:sz w:val="44"/>
          <w:szCs w:val="44"/>
          <w:lang w:val="en-US" w:eastAsia="zh-CN" w:bidi="ar-SA"/>
        </w:rPr>
        <w:t>壤塘县教育局学生公用经费2020年绩效评价报告</w:t>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b/>
          <w:sz w:val="32"/>
          <w:szCs w:val="32"/>
        </w:rPr>
        <w:t>一、</w:t>
      </w:r>
      <w:r>
        <w:rPr>
          <w:rFonts w:hint="eastAsia" w:ascii="仿宋" w:hAnsi="仿宋" w:eastAsia="仿宋" w:cs="仿宋"/>
          <w:b/>
          <w:sz w:val="32"/>
          <w:szCs w:val="32"/>
          <w:lang w:val="zh-CN"/>
        </w:rPr>
        <w:t>项目概况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我县现有中小学14所，其中：义务教育阶段小学5811人，初中2067人。应享受公用经费补助的7878人（小学、初中学生）。标准小学每生每年</w:t>
      </w:r>
      <w:r>
        <w:rPr>
          <w:rFonts w:hint="eastAsia" w:ascii="仿宋" w:hAnsi="仿宋" w:eastAsia="仿宋" w:cs="仿宋"/>
          <w:color w:val="000000"/>
          <w:sz w:val="32"/>
          <w:szCs w:val="32"/>
          <w:lang w:val="en-US" w:eastAsia="zh-CN"/>
        </w:rPr>
        <w:t>650</w:t>
      </w:r>
      <w:r>
        <w:rPr>
          <w:rFonts w:hint="eastAsia" w:ascii="仿宋" w:hAnsi="仿宋" w:eastAsia="仿宋" w:cs="仿宋"/>
          <w:color w:val="000000"/>
          <w:sz w:val="32"/>
          <w:szCs w:val="32"/>
        </w:rPr>
        <w:t>元，初中每生每年</w:t>
      </w:r>
      <w:r>
        <w:rPr>
          <w:rFonts w:hint="eastAsia" w:ascii="仿宋" w:hAnsi="仿宋" w:eastAsia="仿宋" w:cs="仿宋"/>
          <w:color w:val="000000"/>
          <w:sz w:val="32"/>
          <w:szCs w:val="32"/>
          <w:lang w:val="en-US" w:eastAsia="zh-CN"/>
        </w:rPr>
        <w:t>850</w:t>
      </w:r>
      <w:r>
        <w:rPr>
          <w:rFonts w:hint="eastAsia" w:ascii="仿宋" w:hAnsi="仿宋" w:eastAsia="仿宋" w:cs="仿宋"/>
          <w:color w:val="000000"/>
          <w:sz w:val="32"/>
          <w:szCs w:val="32"/>
        </w:rPr>
        <w:t>元，对在校寄宿制学生再次基础上提高200元。</w:t>
      </w:r>
    </w:p>
    <w:p>
      <w:pPr>
        <w:widowControl/>
        <w:numPr>
          <w:ilvl w:val="0"/>
          <w:numId w:val="13"/>
        </w:numPr>
        <w:spacing w:before="225" w:after="225" w:line="345" w:lineRule="atLeast"/>
        <w:jc w:val="left"/>
        <w:rPr>
          <w:rFonts w:hint="eastAsia" w:ascii="仿宋" w:hAnsi="仿宋" w:eastAsia="仿宋" w:cs="仿宋"/>
          <w:b/>
          <w:sz w:val="32"/>
          <w:szCs w:val="32"/>
          <w:lang w:val="zh-CN"/>
        </w:rPr>
      </w:pPr>
      <w:r>
        <w:rPr>
          <w:rFonts w:hint="eastAsia" w:ascii="仿宋" w:hAnsi="仿宋" w:eastAsia="仿宋" w:cs="仿宋"/>
          <w:b/>
          <w:sz w:val="32"/>
          <w:szCs w:val="32"/>
          <w:lang w:val="zh-CN"/>
        </w:rPr>
        <w:t>项目资金申报及批复情况。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zh-CN"/>
        </w:rPr>
        <w:t>壤塘县20</w:t>
      </w:r>
      <w:r>
        <w:rPr>
          <w:rFonts w:hint="eastAsia" w:ascii="仿宋" w:hAnsi="仿宋" w:eastAsia="仿宋" w:cs="仿宋"/>
          <w:color w:val="000000"/>
          <w:sz w:val="32"/>
          <w:szCs w:val="32"/>
        </w:rPr>
        <w:t>20</w:t>
      </w:r>
      <w:r>
        <w:rPr>
          <w:rFonts w:hint="eastAsia" w:ascii="仿宋" w:hAnsi="仿宋" w:eastAsia="仿宋" w:cs="仿宋"/>
          <w:color w:val="000000"/>
          <w:sz w:val="32"/>
          <w:szCs w:val="32"/>
          <w:lang w:val="zh-CN"/>
        </w:rPr>
        <w:t>年根据义务教育阶段学生数实施项目申报，根据申报</w:t>
      </w:r>
      <w:r>
        <w:rPr>
          <w:rFonts w:hint="eastAsia" w:ascii="仿宋" w:hAnsi="仿宋" w:eastAsia="仿宋" w:cs="仿宋"/>
          <w:color w:val="000000"/>
          <w:sz w:val="32"/>
          <w:szCs w:val="32"/>
        </w:rPr>
        <w:t>2020年义务教育阶段公用经费资金项目根据阿州财教【2020】56号收到2020年</w:t>
      </w:r>
      <w:r>
        <w:rPr>
          <w:rFonts w:hint="eastAsia" w:ascii="仿宋" w:hAnsi="仿宋" w:eastAsia="仿宋" w:cs="仿宋"/>
          <w:color w:val="000000"/>
          <w:sz w:val="32"/>
          <w:szCs w:val="32"/>
          <w:lang w:val="en-US" w:eastAsia="zh-CN"/>
        </w:rPr>
        <w:t>关于下达义务教育阶段学生公用经费</w:t>
      </w:r>
      <w:r>
        <w:rPr>
          <w:rFonts w:hint="eastAsia" w:ascii="仿宋" w:hAnsi="仿宋" w:eastAsia="仿宋" w:cs="仿宋"/>
          <w:color w:val="000000"/>
          <w:sz w:val="32"/>
          <w:szCs w:val="32"/>
        </w:rPr>
        <w:t>中央补助</w:t>
      </w:r>
      <w:r>
        <w:rPr>
          <w:rFonts w:hint="eastAsia" w:ascii="仿宋" w:hAnsi="仿宋" w:eastAsia="仿宋" w:cs="仿宋"/>
          <w:color w:val="000000"/>
          <w:sz w:val="32"/>
          <w:szCs w:val="32"/>
          <w:lang w:val="en-US" w:eastAsia="zh-CN"/>
        </w:rPr>
        <w:t>资金</w:t>
      </w:r>
      <w:r>
        <w:rPr>
          <w:rFonts w:hint="eastAsia" w:ascii="仿宋" w:hAnsi="仿宋" w:eastAsia="仿宋" w:cs="仿宋"/>
          <w:color w:val="000000"/>
          <w:sz w:val="32"/>
          <w:szCs w:val="32"/>
        </w:rPr>
        <w:t>72万元。</w:t>
      </w:r>
    </w:p>
    <w:p>
      <w:pPr>
        <w:widowControl/>
        <w:spacing w:before="225" w:after="225" w:line="345" w:lineRule="atLeast"/>
        <w:ind w:firstLine="482" w:firstLineChars="150"/>
        <w:jc w:val="left"/>
        <w:rPr>
          <w:rFonts w:hint="eastAsia" w:ascii="仿宋" w:hAnsi="仿宋" w:eastAsia="仿宋" w:cs="仿宋"/>
          <w:b/>
          <w:sz w:val="32"/>
          <w:szCs w:val="32"/>
          <w:lang w:val="zh-CN"/>
        </w:rPr>
      </w:pPr>
      <w:r>
        <w:rPr>
          <w:rFonts w:hint="eastAsia" w:ascii="仿宋" w:hAnsi="仿宋" w:eastAsia="仿宋" w:cs="仿宋"/>
          <w:b/>
          <w:sz w:val="32"/>
          <w:szCs w:val="32"/>
          <w:lang w:val="zh-CN"/>
        </w:rPr>
        <w:t>（二）项目绩效目标。</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项目主要用于义务教育阶段中小学生日常公用开支，按照计划实施项目，达到了预期目标。</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项目申报内容与具体实施内容相符、申报目标合理可行。</w:t>
      </w:r>
    </w:p>
    <w:p>
      <w:pPr>
        <w:adjustRightInd w:val="0"/>
        <w:snapToGrid w:val="0"/>
        <w:spacing w:line="580" w:lineRule="exact"/>
        <w:ind w:firstLine="720"/>
        <w:rPr>
          <w:rFonts w:hint="eastAsia" w:ascii="仿宋" w:hAnsi="仿宋" w:eastAsia="仿宋" w:cs="仿宋"/>
          <w:b/>
          <w:sz w:val="32"/>
          <w:szCs w:val="32"/>
        </w:rPr>
      </w:pPr>
      <w:r>
        <w:rPr>
          <w:rFonts w:hint="eastAsia" w:ascii="仿宋" w:hAnsi="仿宋" w:eastAsia="仿宋" w:cs="仿宋"/>
          <w:b/>
          <w:sz w:val="32"/>
          <w:szCs w:val="32"/>
        </w:rPr>
        <w:t>二、项目实施及管理情况</w:t>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1、根据阿州财教【2020】56号收到2020年下达2020年</w:t>
      </w:r>
      <w:r>
        <w:rPr>
          <w:rFonts w:hint="eastAsia" w:ascii="仿宋" w:hAnsi="仿宋" w:eastAsia="仿宋" w:cs="仿宋"/>
          <w:color w:val="000000"/>
          <w:sz w:val="32"/>
          <w:szCs w:val="32"/>
          <w:lang w:val="en-US" w:eastAsia="zh-CN"/>
        </w:rPr>
        <w:t>关于下达义务教育阶段学生公用经费</w:t>
      </w:r>
      <w:r>
        <w:rPr>
          <w:rFonts w:hint="eastAsia" w:ascii="仿宋" w:hAnsi="仿宋" w:eastAsia="仿宋" w:cs="仿宋"/>
          <w:color w:val="000000"/>
          <w:sz w:val="32"/>
          <w:szCs w:val="32"/>
        </w:rPr>
        <w:t>中央补助</w:t>
      </w:r>
      <w:r>
        <w:rPr>
          <w:rFonts w:hint="eastAsia" w:ascii="仿宋" w:hAnsi="仿宋" w:eastAsia="仿宋" w:cs="仿宋"/>
          <w:color w:val="000000"/>
          <w:sz w:val="32"/>
          <w:szCs w:val="32"/>
          <w:lang w:val="en-US" w:eastAsia="zh-CN"/>
        </w:rPr>
        <w:t>资金</w:t>
      </w:r>
      <w:r>
        <w:rPr>
          <w:rFonts w:hint="eastAsia" w:ascii="仿宋" w:hAnsi="仿宋" w:eastAsia="仿宋" w:cs="仿宋"/>
          <w:color w:val="000000"/>
          <w:sz w:val="32"/>
          <w:szCs w:val="32"/>
        </w:rPr>
        <w:t>72万元。</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zh-CN"/>
        </w:rPr>
        <w:t>2．资金使用。</w:t>
      </w:r>
      <w:r>
        <w:rPr>
          <w:rFonts w:hint="eastAsia" w:ascii="仿宋" w:hAnsi="仿宋" w:eastAsia="仿宋" w:cs="仿宋"/>
          <w:color w:val="000000"/>
          <w:sz w:val="32"/>
          <w:szCs w:val="32"/>
        </w:rPr>
        <w:t>遵循“专款专用、公开透明、及时结算”的原则，2020年义务教育阶段公用经费资金项目全部用于学校日常开支，到目前项目已全部实施完。</w:t>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rPr>
        <w:t>义务教育阶段公用经费</w:t>
      </w:r>
      <w:r>
        <w:rPr>
          <w:rFonts w:hint="eastAsia" w:ascii="仿宋" w:hAnsi="仿宋" w:eastAsia="仿宋" w:cs="仿宋"/>
          <w:color w:val="000000"/>
          <w:sz w:val="32"/>
          <w:szCs w:val="32"/>
          <w:lang w:val="zh-CN"/>
        </w:rPr>
        <w:t>项目财务管理制度健全、机构合理。对照项目资金管理办法，评价项目严格执行财务管理制度、财务处理是否及时、会计核算是否规范等。</w:t>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义务教育阶段公用经费资金由各学校组织实施，教育局监管，学校实行报账制，报账中做到要有经办人、校长、证明人和教育局分管股室、会计、财务负责人、主要领导审核签字，做到层层签字才给予报账制度。</w:t>
      </w:r>
    </w:p>
    <w:p>
      <w:pPr>
        <w:adjustRightInd w:val="0"/>
        <w:snapToGrid w:val="0"/>
        <w:spacing w:line="58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rPr>
        <w:t>四、项目绩效情况</w:t>
      </w:r>
      <w:r>
        <w:rPr>
          <w:rFonts w:hint="eastAsia" w:ascii="仿宋" w:hAnsi="仿宋" w:eastAsia="仿宋" w:cs="仿宋"/>
          <w:sz w:val="32"/>
          <w:szCs w:val="32"/>
          <w:lang w:val="zh-CN"/>
        </w:rPr>
        <w:tab/>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20</w:t>
      </w:r>
      <w:r>
        <w:rPr>
          <w:rFonts w:hint="eastAsia" w:ascii="仿宋" w:hAnsi="仿宋" w:eastAsia="仿宋" w:cs="仿宋"/>
          <w:color w:val="000000"/>
          <w:sz w:val="32"/>
          <w:szCs w:val="32"/>
        </w:rPr>
        <w:t>20</w:t>
      </w:r>
      <w:r>
        <w:rPr>
          <w:rFonts w:hint="eastAsia" w:ascii="仿宋" w:hAnsi="仿宋" w:eastAsia="仿宋" w:cs="仿宋"/>
          <w:color w:val="000000"/>
          <w:sz w:val="32"/>
          <w:szCs w:val="32"/>
          <w:lang w:val="zh-CN"/>
        </w:rPr>
        <w:t>年壤塘县义务教育阶段学生公用经费已计划数小学生均</w:t>
      </w:r>
      <w:r>
        <w:rPr>
          <w:rFonts w:hint="eastAsia" w:ascii="仿宋" w:hAnsi="仿宋" w:eastAsia="仿宋" w:cs="仿宋"/>
          <w:color w:val="000000"/>
          <w:sz w:val="32"/>
          <w:szCs w:val="32"/>
          <w:lang w:val="en-US" w:eastAsia="zh-CN"/>
        </w:rPr>
        <w:t>650</w:t>
      </w:r>
      <w:r>
        <w:rPr>
          <w:rFonts w:hint="eastAsia" w:ascii="仿宋" w:hAnsi="仿宋" w:eastAsia="仿宋" w:cs="仿宋"/>
          <w:color w:val="000000"/>
          <w:sz w:val="32"/>
          <w:szCs w:val="32"/>
          <w:lang w:val="zh-CN"/>
        </w:rPr>
        <w:t>元、初中生均</w:t>
      </w:r>
      <w:r>
        <w:rPr>
          <w:rFonts w:hint="eastAsia" w:ascii="仿宋" w:hAnsi="仿宋" w:eastAsia="仿宋" w:cs="仿宋"/>
          <w:color w:val="000000"/>
          <w:sz w:val="32"/>
          <w:szCs w:val="32"/>
          <w:lang w:val="en-US" w:eastAsia="zh-CN"/>
        </w:rPr>
        <w:t>850</w:t>
      </w:r>
      <w:r>
        <w:rPr>
          <w:rFonts w:hint="eastAsia" w:ascii="仿宋" w:hAnsi="仿宋" w:eastAsia="仿宋" w:cs="仿宋"/>
          <w:color w:val="000000"/>
          <w:sz w:val="32"/>
          <w:szCs w:val="32"/>
          <w:lang w:val="zh-CN"/>
        </w:rPr>
        <w:t>元标准（</w:t>
      </w:r>
      <w:r>
        <w:rPr>
          <w:rFonts w:hint="eastAsia" w:ascii="仿宋" w:hAnsi="仿宋" w:eastAsia="仿宋" w:cs="仿宋"/>
          <w:color w:val="000000"/>
          <w:sz w:val="32"/>
          <w:szCs w:val="32"/>
        </w:rPr>
        <w:t>其中寄宿制学生单独增加200元补助</w:t>
      </w:r>
      <w:r>
        <w:rPr>
          <w:rFonts w:hint="eastAsia" w:ascii="仿宋" w:hAnsi="仿宋" w:eastAsia="仿宋" w:cs="仿宋"/>
          <w:color w:val="000000"/>
          <w:sz w:val="32"/>
          <w:szCs w:val="32"/>
          <w:lang w:val="zh-CN"/>
        </w:rPr>
        <w:t>）全部实施完成。</w:t>
      </w:r>
    </w:p>
    <w:p>
      <w:pPr>
        <w:adjustRightInd w:val="0"/>
        <w:snapToGrid w:val="0"/>
        <w:spacing w:line="58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（二）项目效益情况。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zh-CN"/>
        </w:rPr>
        <w:t>义务教育阶段中小学公用经费的实施，给</w:t>
      </w:r>
      <w:r>
        <w:rPr>
          <w:rFonts w:hint="eastAsia" w:ascii="仿宋" w:hAnsi="仿宋" w:eastAsia="仿宋" w:cs="仿宋"/>
          <w:color w:val="000000"/>
          <w:sz w:val="32"/>
          <w:szCs w:val="32"/>
        </w:rPr>
        <w:t>7878人</w:t>
      </w:r>
      <w:r>
        <w:rPr>
          <w:rFonts w:hint="eastAsia" w:ascii="仿宋" w:hAnsi="仿宋" w:eastAsia="仿宋" w:cs="仿宋"/>
          <w:color w:val="000000"/>
          <w:sz w:val="32"/>
          <w:szCs w:val="32"/>
          <w:lang w:val="zh-CN"/>
        </w:rPr>
        <w:t>学生、学生家长带来了物质上的支持，给壤塘教育控辍保学带来了希</w:t>
      </w:r>
      <w:r>
        <w:rPr>
          <w:rFonts w:hint="eastAsia" w:ascii="仿宋" w:hAnsi="仿宋" w:eastAsia="仿宋" w:cs="仿宋"/>
          <w:color w:val="000000"/>
          <w:sz w:val="32"/>
          <w:szCs w:val="32"/>
        </w:rPr>
        <w:t>望。</w:t>
      </w:r>
    </w:p>
    <w:p>
      <w:pPr>
        <w:numPr>
          <w:ilvl w:val="0"/>
          <w:numId w:val="0"/>
        </w:num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存在的问题及建议</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 xml:space="preserve"> </w:t>
      </w:r>
      <w:r>
        <w:rPr>
          <w:rFonts w:hint="eastAsia" w:ascii="仿宋" w:hAnsi="仿宋" w:eastAsia="仿宋" w:cs="仿宋"/>
          <w:color w:val="000000"/>
          <w:sz w:val="32"/>
          <w:szCs w:val="32"/>
        </w:rPr>
        <w:t xml:space="preserve">  1、加强义务教育阶段公用经费的管理制度，严格财务制度，加强内部控制制度。</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六、今后改进的措施和办法</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使用预算做到统筹兼顾、保证重点，量入为出，精打细算，将学校的长远规划与短期安排相结合，勤俭节约，努力提高日常公用经费的使用效益</w:t>
      </w:r>
      <w:r>
        <w:rPr>
          <w:rFonts w:hint="eastAsia" w:ascii="仿宋" w:hAnsi="仿宋" w:eastAsia="仿宋" w:cs="仿宋"/>
          <w:color w:val="000000"/>
          <w:sz w:val="32"/>
          <w:szCs w:val="32"/>
          <w:lang w:val="zh-CN" w:eastAsia="zh-CN"/>
        </w:rPr>
        <w:t>。</w:t>
      </w:r>
      <w:r>
        <w:rPr>
          <w:rFonts w:hint="eastAsia" w:ascii="仿宋" w:hAnsi="仿宋" w:eastAsia="仿宋" w:cs="仿宋"/>
          <w:color w:val="000000"/>
          <w:sz w:val="32"/>
          <w:szCs w:val="32"/>
          <w:lang w:val="zh-CN"/>
        </w:rPr>
        <w:t xml:space="preserve">  </w:t>
      </w:r>
    </w:p>
    <w:p>
      <w:pPr>
        <w:spacing w:line="600" w:lineRule="exact"/>
        <w:ind w:firstLine="640" w:firstLineChars="200"/>
        <w:rPr>
          <w:rFonts w:hint="eastAsia" w:ascii="仿宋" w:hAnsi="仿宋" w:eastAsia="仿宋" w:cs="仿宋"/>
          <w:color w:val="000000"/>
          <w:sz w:val="32"/>
          <w:szCs w:val="32"/>
          <w:lang w:val="zh-CN"/>
        </w:rPr>
      </w:pPr>
    </w:p>
    <w:p>
      <w:pPr>
        <w:adjustRightInd w:val="0"/>
        <w:snapToGrid w:val="0"/>
        <w:spacing w:line="580" w:lineRule="exact"/>
        <w:ind w:left="1590"/>
        <w:rPr>
          <w:rFonts w:hint="eastAsia" w:ascii="仿宋" w:hAnsi="仿宋" w:eastAsia="仿宋" w:cs="仿宋"/>
          <w:b/>
          <w:sz w:val="32"/>
          <w:szCs w:val="32"/>
          <w:lang w:val="zh-CN"/>
        </w:rPr>
      </w:pPr>
    </w:p>
    <w:p>
      <w:pPr>
        <w:spacing w:line="560" w:lineRule="exact"/>
        <w:rPr>
          <w:rFonts w:hint="eastAsia" w:ascii="仿宋" w:hAnsi="仿宋" w:eastAsia="仿宋" w:cs="仿宋"/>
          <w:sz w:val="32"/>
          <w:szCs w:val="32"/>
        </w:rPr>
      </w:pPr>
      <w:r>
        <w:rPr>
          <w:rFonts w:hint="eastAsia" w:ascii="仿宋" w:hAnsi="仿宋" w:eastAsia="仿宋" w:cs="仿宋"/>
          <w:b/>
          <w:sz w:val="32"/>
          <w:szCs w:val="32"/>
          <w:lang w:val="zh-CN"/>
        </w:rPr>
        <w:t xml:space="preserve">             </w:t>
      </w:r>
    </w:p>
    <w:p>
      <w:pPr>
        <w:adjustRightInd w:val="0"/>
        <w:snapToGrid w:val="0"/>
        <w:spacing w:line="580" w:lineRule="exact"/>
        <w:ind w:left="1590"/>
        <w:rPr>
          <w:rFonts w:hint="eastAsia" w:ascii="仿宋" w:hAnsi="仿宋" w:eastAsia="仿宋" w:cs="仿宋"/>
          <w:b/>
          <w:sz w:val="32"/>
          <w:szCs w:val="32"/>
          <w:lang w:val="zh-CN"/>
        </w:rPr>
      </w:pPr>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rPr>
        <w:t>城乡义务教育中央补助</w:t>
      </w:r>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rPr>
        <w:t>资金项目营养餐资金2020年绩效评价报告</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rPr>
        <w:t>一、</w:t>
      </w:r>
      <w:r>
        <w:rPr>
          <w:rFonts w:hint="eastAsia" w:ascii="仿宋" w:hAnsi="仿宋" w:eastAsia="仿宋" w:cs="仿宋"/>
          <w:color w:val="000000"/>
          <w:sz w:val="32"/>
          <w:szCs w:val="32"/>
          <w:lang w:val="zh-CN"/>
        </w:rPr>
        <w:t>项目概况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为提高我县义务教育实施水平，切实减轻经济困难学生家庭经济负担，改善学生学习环境，促进学生健康成长， 2020年城乡义务教育中央补助资金项目营养餐资金项目。在项目实施中，成立由县教育局局长任组长、分管副局长为副组长，相关股室为成员的营养餐工作领导小组。2013年成立了营养办设在教育局勤管股处理理日常事务。各校也成立相应的组织机构，为顺利开展各项工作奠定了坚实的基础。</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我县现有中小学14所，其中：小学5811人，初中2067人。应享受营养餐资金的7878人，标准每生每天4元，一年按190天计算，共计760元。我县所有学校均采用午餐方式食堂供餐，以牛肉或鸡蛋作为菜谱模式外加水果。 </w:t>
      </w:r>
    </w:p>
    <w:p>
      <w:pPr>
        <w:spacing w:line="560" w:lineRule="exact"/>
        <w:ind w:firstLine="320" w:firstLineChars="100"/>
        <w:rPr>
          <w:rFonts w:hint="eastAsia" w:ascii="仿宋" w:hAnsi="仿宋" w:eastAsia="仿宋" w:cs="仿宋"/>
          <w:sz w:val="32"/>
          <w:szCs w:val="32"/>
        </w:rPr>
      </w:pPr>
      <w:r>
        <w:rPr>
          <w:rFonts w:hint="eastAsia" w:ascii="仿宋" w:hAnsi="仿宋" w:eastAsia="仿宋" w:cs="仿宋"/>
          <w:sz w:val="32"/>
          <w:szCs w:val="32"/>
        </w:rPr>
        <w:t>（一）、项目绩效目标</w:t>
      </w:r>
    </w:p>
    <w:p>
      <w:pPr>
        <w:widowControl/>
        <w:spacing w:before="225" w:after="225" w:line="345" w:lineRule="atLeast"/>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1、制定项目计划</w:t>
      </w:r>
    </w:p>
    <w:p>
      <w:pPr>
        <w:widowControl/>
        <w:spacing w:before="225" w:after="225" w:line="345" w:lineRule="atLeas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sz w:val="32"/>
          <w:szCs w:val="32"/>
        </w:rPr>
        <w:t xml:space="preserve">年初教育局与各学校负责人根据各校义务教育阶段学生在校生情况制定营养餐项目计划，并按照项目计划的要求进行实施。根据项目实施结果，对未能切实按进度实施计划的，要求限期纠正，对项目实施得力，任务完成较好的予以表彰。 </w:t>
      </w:r>
    </w:p>
    <w:p>
      <w:pPr>
        <w:widowControl/>
        <w:spacing w:before="225" w:after="225" w:line="345" w:lineRule="atLeast"/>
        <w:jc w:val="left"/>
        <w:rPr>
          <w:rFonts w:hint="eastAsia" w:ascii="仿宋" w:hAnsi="仿宋" w:eastAsia="仿宋" w:cs="仿宋"/>
          <w:color w:val="000000"/>
          <w:kern w:val="0"/>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 </w:t>
      </w:r>
      <w:r>
        <w:rPr>
          <w:rFonts w:hint="eastAsia" w:ascii="仿宋" w:hAnsi="仿宋" w:eastAsia="仿宋" w:cs="仿宋"/>
          <w:color w:val="000000"/>
          <w:kern w:val="0"/>
          <w:sz w:val="32"/>
          <w:szCs w:val="32"/>
        </w:rPr>
        <w:t xml:space="preserve">建立工作通报制度 </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各学校定期编发工作简(通)报，每月通报工作进展情况，宣传好的经验与做法，反映普遍性问题，加强对项目计划实施工作的指导和督办。 </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 xml:space="preserve"> 3、建立信息公开制度 </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各校明确规定义务教育阶段学生营养餐改善计划经费信息公开的内容、方式，保证信息公开的公正、公平、便民和及时、准确;采取多种方式，及时将工作方案、实施进展、运行结果向社会公示;督促学校定期公布配餐食谱、数量和价格，严禁克扣和浪费。  </w:t>
      </w:r>
    </w:p>
    <w:p>
      <w:pPr>
        <w:widowControl/>
        <w:numPr>
          <w:ilvl w:val="0"/>
          <w:numId w:val="14"/>
        </w:numPr>
        <w:spacing w:before="225" w:after="225" w:line="345" w:lineRule="atLeas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项目资金申报相符性</w:t>
      </w:r>
    </w:p>
    <w:p>
      <w:pPr>
        <w:widowControl/>
        <w:spacing w:before="225" w:after="225" w:line="345" w:lineRule="atLeas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sz w:val="32"/>
          <w:szCs w:val="32"/>
        </w:rPr>
        <w:t xml:space="preserve">  2020年城乡义务教育中央补助资金项目营养餐资金项目与申报相符。</w:t>
      </w:r>
    </w:p>
    <w:p>
      <w:pPr>
        <w:widowControl/>
        <w:spacing w:before="225" w:after="225" w:line="345" w:lineRule="atLeas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w:t>
      </w:r>
      <w:r>
        <w:rPr>
          <w:rFonts w:hint="eastAsia" w:ascii="仿宋" w:hAnsi="仿宋" w:eastAsia="仿宋" w:cs="仿宋"/>
          <w:b/>
          <w:bCs/>
          <w:color w:val="000000"/>
          <w:kern w:val="0"/>
          <w:sz w:val="32"/>
          <w:szCs w:val="32"/>
        </w:rPr>
        <w:t>项目实施及管理情况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（一）资金计划、到位及使用情况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资金计划及到位</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壤塘县教育局财务管理办法》明确，专项资金应专款专用。由财政局落实专项资金，加强资金监管，将2020年城乡义务教育中央补助资金项目营养餐资金项目纳入国库管理，按照财政国库管理制度及有关规定及时支付。</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2020年</w:t>
      </w:r>
      <w:r>
        <w:rPr>
          <w:rFonts w:hint="eastAsia" w:ascii="仿宋" w:hAnsi="仿宋" w:eastAsia="仿宋" w:cs="仿宋"/>
          <w:color w:val="000000"/>
          <w:sz w:val="32"/>
          <w:szCs w:val="32"/>
          <w:lang w:eastAsia="zh-CN"/>
        </w:rPr>
        <w:t>壤塘县教育局收到</w:t>
      </w:r>
      <w:r>
        <w:rPr>
          <w:rFonts w:hint="eastAsia" w:ascii="仿宋" w:hAnsi="仿宋" w:eastAsia="仿宋" w:cs="仿宋"/>
          <w:color w:val="000000"/>
          <w:sz w:val="32"/>
          <w:szCs w:val="32"/>
        </w:rPr>
        <w:t>城乡义务教育中央补助资金项目营养餐资金收到阿州财教2020-56号（195万）。</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2、资金使用情况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遵循“专款专用、公开透明、及时结算”的原则，2020年城乡义务教育中央补助资金项目营养餐资金项目全部用于学生营养改善计划生活支出, 截止目前支出195万。</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3、项目财务管理情况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严格遵照《项目资金管理办法》。在地方政府统筹下，积极开展各项项目，专项资金管理制度完善，项目都能按计划执行。资金实行专人专户管理，设立了专门账户，实行专人负责，做到了专款专用，并定期和不定期接受了上级和审计部门的监督和审计。 </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(三)项目组织实施情况</w:t>
      </w:r>
    </w:p>
    <w:p>
      <w:pPr>
        <w:spacing w:line="520" w:lineRule="exact"/>
        <w:ind w:firstLine="643" w:firstLineChars="200"/>
        <w:rPr>
          <w:rFonts w:hint="eastAsia" w:ascii="仿宋" w:hAnsi="仿宋" w:eastAsia="仿宋" w:cs="仿宋"/>
          <w:b/>
          <w:sz w:val="32"/>
          <w:szCs w:val="32"/>
        </w:rPr>
      </w:pPr>
      <w:r>
        <w:rPr>
          <w:rFonts w:hint="eastAsia" w:ascii="仿宋" w:hAnsi="仿宋" w:eastAsia="仿宋" w:cs="仿宋"/>
          <w:b/>
          <w:sz w:val="32"/>
          <w:szCs w:val="32"/>
        </w:rPr>
        <w:t>（一）加强领导，健全组织机构</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为有序实施学生营养改善计划，保障各项工作顺利推进，成立了以教育局局长为组长，分管副局长为副组长，相关股室为成员的壤塘县教育局营养改善计划领导小组。2013年成立了营养办设在教育局勤管股处理理日常事务。各校也成立相应的组织机构，为顺利开展各项工作奠定了坚实的基础。  </w:t>
      </w:r>
    </w:p>
    <w:p>
      <w:pPr>
        <w:spacing w:line="520" w:lineRule="exact"/>
        <w:ind w:firstLine="675" w:firstLineChars="210"/>
        <w:rPr>
          <w:rFonts w:hint="eastAsia" w:ascii="仿宋" w:hAnsi="仿宋" w:eastAsia="仿宋" w:cs="仿宋"/>
          <w:b/>
          <w:sz w:val="32"/>
          <w:szCs w:val="32"/>
        </w:rPr>
      </w:pPr>
      <w:r>
        <w:rPr>
          <w:rFonts w:hint="eastAsia" w:ascii="仿宋" w:hAnsi="仿宋" w:eastAsia="仿宋" w:cs="仿宋"/>
          <w:b/>
          <w:sz w:val="32"/>
          <w:szCs w:val="32"/>
        </w:rPr>
        <w:t>（二）结合实际，规范资金管理使用</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制定方案，保障实施。我县是国家级贫困县，大骨节病重灾区，农牧民收入低，家庭经济困难，无力资助学生在校生活，只能靠学生生活补助、营养改善计划资金在学校生活。由于物价逐年上涨，各学校在使用学生生活补助让学生在吃得饱的基础上，尽最大努力考虑学生营养。</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2．加强资金管理。营养餐资金做到了分账核算，专款专用。大宗物品全部实行政府采购，实行“四统一”，即统一招标、统一采购、统一分配、统一运送。保证了学生食品的安全、质量。</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加快食堂改建扩建力度。随着学校食堂建设配套设施的完善，县委县府和县教育局积极协调，加强监管，解决困难，把炊勤人员工资列入财政预算。教育局挤出公用经费，用于购置学校食堂设备，建立专门的储藏室，配备相应的储存设备，分类存放，确保食品干净卫生。学校按照营养餐食谱操作规范备餐，对食品进行48小时的留样封存，以备待查。截止目前，食堂供餐比例100％，惠及全部寄宿制学生，未发生任何食品安全事件。</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加强督查，主动接受监督。农村义务教育阶段营养改善计划资金全部用于了学生，各学校按照《壤塘县教育局寄宿制经费管理办法》、《壤塘县农村义务教育学生营养改善计划食堂供餐实施方案》做好了营养改善计划公开栏，每学期如实公布了学生生活补助的收支帐目。并定期和不定期的接受上级和审计部门的监督审计。为切实掌握营养餐的推进情况，教育局安排专人负责营养餐实施情况，随时了解反馈学生营养餐实施过程中存在的问题，并不断改进工作，保证此项惠民工程扎实推进。　</w:t>
      </w:r>
    </w:p>
    <w:p>
      <w:pPr>
        <w:widowControl/>
        <w:spacing w:before="225" w:after="225" w:line="345"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（一）目标任务量完成情况。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根据目标任务，</w:t>
      </w:r>
      <w:r>
        <w:rPr>
          <w:rFonts w:hint="eastAsia" w:ascii="仿宋" w:hAnsi="仿宋" w:eastAsia="仿宋" w:cs="仿宋"/>
          <w:color w:val="000000"/>
          <w:sz w:val="32"/>
          <w:szCs w:val="32"/>
        </w:rPr>
        <w:t>2020年7878</w:t>
      </w:r>
      <w:r>
        <w:rPr>
          <w:rFonts w:hint="eastAsia" w:ascii="仿宋" w:hAnsi="仿宋" w:eastAsia="仿宋" w:cs="仿宋"/>
          <w:color w:val="000000"/>
          <w:sz w:val="32"/>
          <w:szCs w:val="32"/>
          <w:lang w:val="zh-CN"/>
        </w:rPr>
        <w:t>人义务教育阶段在校学生享受营养餐，</w:t>
      </w:r>
      <w:r>
        <w:rPr>
          <w:rFonts w:hint="eastAsia" w:ascii="仿宋" w:hAnsi="仿宋" w:eastAsia="仿宋" w:cs="仿宋"/>
          <w:color w:val="000000"/>
          <w:sz w:val="32"/>
          <w:szCs w:val="32"/>
        </w:rPr>
        <w:t>小学5811人，初中2067人。</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（二）目标质量完成情况。</w:t>
      </w:r>
    </w:p>
    <w:p>
      <w:pPr>
        <w:spacing w:line="600"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对照项目计划目标，我局按时按量完成了预期目标。</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（三）目标进度完成情况。</w:t>
      </w:r>
    </w:p>
    <w:p>
      <w:pPr>
        <w:adjustRightInd w:val="0"/>
        <w:snapToGrid w:val="0"/>
        <w:spacing w:line="560" w:lineRule="exact"/>
        <w:ind w:firstLine="800" w:firstLineChars="250"/>
        <w:rPr>
          <w:rFonts w:hint="eastAsia" w:ascii="仿宋" w:hAnsi="仿宋" w:eastAsia="仿宋" w:cs="仿宋"/>
          <w:sz w:val="32"/>
          <w:szCs w:val="32"/>
          <w:lang w:val="zh-CN"/>
        </w:rPr>
      </w:pPr>
      <w:r>
        <w:rPr>
          <w:rFonts w:hint="eastAsia" w:ascii="仿宋" w:hAnsi="仿宋" w:eastAsia="仿宋" w:cs="仿宋"/>
          <w:color w:val="000000"/>
          <w:sz w:val="32"/>
          <w:szCs w:val="32"/>
          <w:lang w:val="zh-CN"/>
        </w:rPr>
        <w:t>教育局根据年初预定进度计划，各项项目进度顺利</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营养餐的实施，解决了我县寄宿制学生的生活费不足问题，有力地缓解了学校与家长关于生活问题的压力；营养改善计划实施我县学生的体质得到了明显改善，专项资金的规范管理和安全使用，做到让社会满意，让家长放心，让所有寄宿制学生不用为了自己的生活费而浪费精力，能在学校专心学习，没有后顾之忧。学校住宿、生活条件的改善使教师和学生的工作、学习积极性得到了极大的提高，学校的教育教学质量也将得到提升。</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学校食堂后勤人员数量少、素质参差不齐，因用电难等原因，部分学校食堂设备无法正常使用，造成学生食堂菜品单一。建议加大对学校食堂后勤人员的业务培训，提高设备使用率，加大学校食堂的改扩建、设备的采购力度。同时，还需加强对学校营养配餐的指导，在保证学生各种营养成分摄入量的前提下，制定符合实际的营养食谱，达到营养均衡。</w:t>
      </w:r>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2、食堂供餐后学校食堂后勤人员属临时招聘，待遇差，工作量大给学校管理带来难度，请求解决正式编制或相关待遇。</w:t>
      </w:r>
    </w:p>
    <w:p>
      <w:pPr>
        <w:spacing w:line="600" w:lineRule="exact"/>
        <w:ind w:firstLine="640" w:firstLineChars="200"/>
        <w:rPr>
          <w:rFonts w:hint="eastAsia" w:ascii="仿宋" w:hAnsi="仿宋" w:eastAsia="仿宋" w:cs="仿宋"/>
          <w:color w:val="000000"/>
          <w:sz w:val="32"/>
          <w:szCs w:val="32"/>
        </w:rPr>
      </w:pPr>
    </w:p>
    <w:p>
      <w:pPr>
        <w:widowControl/>
        <w:spacing w:before="225" w:after="225" w:line="345" w:lineRule="atLeast"/>
        <w:jc w:val="left"/>
        <w:rPr>
          <w:rStyle w:val="25"/>
          <w:rFonts w:ascii="黑体" w:hAnsi="黑体" w:eastAsia="黑体"/>
          <w:b w:val="0"/>
        </w:rPr>
      </w:pPr>
      <w:r>
        <w:rPr>
          <w:rFonts w:hint="eastAsia" w:ascii="仿宋" w:hAnsi="仿宋" w:eastAsia="仿宋" w:cs="仿宋"/>
          <w:kern w:val="0"/>
          <w:sz w:val="32"/>
          <w:szCs w:val="32"/>
        </w:rPr>
        <w:t xml:space="preserve">                                 </w:t>
      </w: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19" w:name="_Toc79163635"/>
      <w:bookmarkStart w:id="120" w:name="_Toc79163885"/>
      <w:bookmarkStart w:id="121" w:name="_Toc1539661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4"/>
      <w:bookmarkEnd w:id="119"/>
      <w:bookmarkEnd w:id="120"/>
      <w:bookmarkEnd w:id="121"/>
    </w:p>
    <w:p>
      <w:pPr>
        <w:pStyle w:val="3"/>
        <w:rPr>
          <w:rFonts w:ascii="仿宋" w:hAnsi="仿宋" w:eastAsia="仿宋"/>
          <w:color w:val="000000"/>
        </w:rPr>
      </w:pPr>
      <w:bookmarkStart w:id="122" w:name="_Toc79163636"/>
      <w:bookmarkStart w:id="123" w:name="_Toc15396619"/>
      <w:bookmarkStart w:id="124" w:name="_Toc79163886"/>
      <w:r>
        <w:rPr>
          <w:rFonts w:hint="eastAsia" w:ascii="仿宋" w:hAnsi="仿宋" w:eastAsia="仿宋"/>
          <w:b w:val="0"/>
          <w:color w:val="000000"/>
        </w:rPr>
        <w:t>一、收</w:t>
      </w:r>
      <w:r>
        <w:rPr>
          <w:rStyle w:val="26"/>
          <w:rFonts w:hint="eastAsia" w:ascii="仿宋" w:hAnsi="仿宋" w:eastAsia="仿宋"/>
          <w:b w:val="0"/>
          <w:bCs w:val="0"/>
        </w:rPr>
        <w:t>入支出决算总表</w:t>
      </w:r>
      <w:bookmarkEnd w:id="122"/>
      <w:bookmarkEnd w:id="123"/>
      <w:bookmarkEnd w:id="124"/>
    </w:p>
    <w:p>
      <w:pPr>
        <w:pStyle w:val="3"/>
        <w:rPr>
          <w:rFonts w:ascii="仿宋" w:hAnsi="仿宋" w:eastAsia="仿宋"/>
          <w:color w:val="000000"/>
        </w:rPr>
      </w:pPr>
      <w:bookmarkStart w:id="125" w:name="_Toc15396620"/>
      <w:bookmarkStart w:id="126" w:name="_Toc79163887"/>
      <w:bookmarkStart w:id="127"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5"/>
      <w:bookmarkEnd w:id="126"/>
      <w:bookmarkEnd w:id="127"/>
    </w:p>
    <w:p>
      <w:pPr>
        <w:pStyle w:val="3"/>
        <w:rPr>
          <w:rFonts w:ascii="仿宋" w:hAnsi="仿宋" w:eastAsia="仿宋"/>
          <w:color w:val="000000"/>
        </w:rPr>
      </w:pPr>
      <w:bookmarkStart w:id="128" w:name="_Toc79163638"/>
      <w:bookmarkStart w:id="129" w:name="_Toc15396621"/>
      <w:bookmarkStart w:id="130"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8"/>
      <w:bookmarkEnd w:id="129"/>
      <w:bookmarkEnd w:id="130"/>
    </w:p>
    <w:p>
      <w:pPr>
        <w:pStyle w:val="3"/>
        <w:rPr>
          <w:rFonts w:ascii="仿宋" w:hAnsi="仿宋" w:eastAsia="仿宋"/>
          <w:b w:val="0"/>
          <w:color w:val="000000"/>
        </w:rPr>
      </w:pPr>
      <w:bookmarkStart w:id="131" w:name="_Toc79163889"/>
      <w:bookmarkStart w:id="132" w:name="_Toc15396622"/>
      <w:bookmarkStart w:id="133"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1"/>
      <w:bookmarkEnd w:id="132"/>
      <w:bookmarkEnd w:id="133"/>
    </w:p>
    <w:p>
      <w:pPr>
        <w:pStyle w:val="3"/>
        <w:rPr>
          <w:rStyle w:val="26"/>
          <w:rFonts w:ascii="仿宋" w:hAnsi="仿宋" w:eastAsia="仿宋"/>
          <w:b w:val="0"/>
          <w:bCs w:val="0"/>
        </w:rPr>
      </w:pPr>
      <w:bookmarkStart w:id="134" w:name="_Toc79163890"/>
      <w:bookmarkStart w:id="135" w:name="_Toc79163640"/>
      <w:bookmarkStart w:id="136"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4"/>
      <w:bookmarkEnd w:id="135"/>
      <w:bookmarkEnd w:id="136"/>
      <w:bookmarkStart w:id="137" w:name="_Toc15396624"/>
    </w:p>
    <w:p>
      <w:pPr>
        <w:pStyle w:val="3"/>
        <w:rPr>
          <w:rFonts w:ascii="仿宋" w:hAnsi="仿宋" w:eastAsia="仿宋"/>
          <w:color w:val="000000"/>
        </w:rPr>
      </w:pPr>
      <w:bookmarkStart w:id="138" w:name="_Toc79163891"/>
      <w:bookmarkStart w:id="139"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7"/>
      <w:bookmarkEnd w:id="138"/>
      <w:bookmarkEnd w:id="139"/>
    </w:p>
    <w:p>
      <w:pPr>
        <w:pStyle w:val="3"/>
        <w:rPr>
          <w:rFonts w:ascii="仿宋" w:hAnsi="仿宋" w:eastAsia="仿宋"/>
          <w:color w:val="000000"/>
        </w:rPr>
      </w:pPr>
      <w:bookmarkStart w:id="140" w:name="_Toc79163892"/>
      <w:bookmarkStart w:id="141" w:name="_Toc79163642"/>
      <w:bookmarkStart w:id="142"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0"/>
      <w:bookmarkEnd w:id="141"/>
      <w:bookmarkEnd w:id="142"/>
    </w:p>
    <w:p>
      <w:pPr>
        <w:pStyle w:val="3"/>
        <w:rPr>
          <w:rFonts w:ascii="仿宋" w:hAnsi="仿宋" w:eastAsia="仿宋"/>
          <w:color w:val="000000"/>
        </w:rPr>
      </w:pPr>
      <w:bookmarkStart w:id="143" w:name="_Toc79163893"/>
      <w:bookmarkStart w:id="144" w:name="_Toc79163643"/>
      <w:bookmarkStart w:id="145"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3"/>
      <w:bookmarkEnd w:id="144"/>
      <w:bookmarkEnd w:id="145"/>
    </w:p>
    <w:p>
      <w:pPr>
        <w:pStyle w:val="3"/>
        <w:rPr>
          <w:rFonts w:ascii="仿宋" w:hAnsi="仿宋" w:eastAsia="仿宋"/>
          <w:color w:val="000000"/>
        </w:rPr>
      </w:pPr>
      <w:bookmarkStart w:id="146" w:name="_Toc15396627"/>
      <w:bookmarkStart w:id="147" w:name="_Toc79163644"/>
      <w:bookmarkStart w:id="148" w:name="_Toc7916389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6"/>
      <w:bookmarkEnd w:id="147"/>
      <w:bookmarkEnd w:id="148"/>
    </w:p>
    <w:p>
      <w:pPr>
        <w:pStyle w:val="3"/>
        <w:rPr>
          <w:rFonts w:ascii="仿宋" w:hAnsi="仿宋" w:eastAsia="仿宋"/>
          <w:color w:val="000000"/>
        </w:rPr>
      </w:pPr>
      <w:bookmarkStart w:id="149" w:name="_Toc15396628"/>
      <w:bookmarkStart w:id="150" w:name="_Toc79163645"/>
      <w:bookmarkStart w:id="151" w:name="_Toc7916389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9"/>
      <w:bookmarkEnd w:id="150"/>
      <w:bookmarkEnd w:id="151"/>
    </w:p>
    <w:p>
      <w:pPr>
        <w:pStyle w:val="3"/>
        <w:rPr>
          <w:rFonts w:ascii="仿宋" w:hAnsi="仿宋" w:eastAsia="仿宋"/>
          <w:color w:val="000000"/>
        </w:rPr>
      </w:pPr>
      <w:bookmarkStart w:id="152" w:name="_Toc15396629"/>
      <w:bookmarkStart w:id="153" w:name="_Toc79163646"/>
      <w:bookmarkStart w:id="154" w:name="_Toc7916389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2"/>
      <w:bookmarkEnd w:id="153"/>
      <w:bookmarkEnd w:id="154"/>
    </w:p>
    <w:p>
      <w:pPr>
        <w:pStyle w:val="3"/>
        <w:rPr>
          <w:rFonts w:ascii="仿宋" w:hAnsi="仿宋" w:eastAsia="仿宋"/>
          <w:color w:val="000000"/>
        </w:rPr>
      </w:pPr>
      <w:bookmarkStart w:id="155" w:name="_Toc79163647"/>
      <w:bookmarkStart w:id="156" w:name="_Toc79163897"/>
      <w:bookmarkStart w:id="157"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5"/>
      <w:bookmarkEnd w:id="156"/>
      <w:bookmarkEnd w:id="157"/>
    </w:p>
    <w:p>
      <w:pPr>
        <w:pStyle w:val="3"/>
        <w:rPr>
          <w:rStyle w:val="26"/>
          <w:rFonts w:ascii="仿宋" w:hAnsi="仿宋" w:eastAsia="仿宋"/>
          <w:b w:val="0"/>
          <w:bCs w:val="0"/>
        </w:rPr>
      </w:pPr>
      <w:bookmarkStart w:id="158" w:name="_Toc15396631"/>
      <w:bookmarkStart w:id="159" w:name="_Toc79163898"/>
      <w:bookmarkStart w:id="160" w:name="_Toc7916364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8"/>
      <w:bookmarkEnd w:id="159"/>
      <w:bookmarkEnd w:id="160"/>
    </w:p>
    <w:p>
      <w:pPr>
        <w:pStyle w:val="3"/>
        <w:rPr>
          <w:rStyle w:val="26"/>
          <w:rFonts w:ascii="仿宋" w:hAnsi="仿宋" w:eastAsia="仿宋"/>
          <w:b w:val="0"/>
          <w:bCs w:val="0"/>
        </w:rPr>
      </w:pPr>
      <w:bookmarkStart w:id="161" w:name="_Toc79163899"/>
      <w:bookmarkStart w:id="162" w:name="_Toc79163649"/>
      <w:r>
        <w:rPr>
          <w:rStyle w:val="26"/>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E00B5"/>
    <w:multiLevelType w:val="singleLevel"/>
    <w:tmpl w:val="8C7E00B5"/>
    <w:lvl w:ilvl="0" w:tentative="0">
      <w:start w:val="3"/>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9737F2C"/>
    <w:multiLevelType w:val="singleLevel"/>
    <w:tmpl w:val="E9737F2C"/>
    <w:lvl w:ilvl="0" w:tentative="0">
      <w:start w:val="2"/>
      <w:numFmt w:val="chineseCounting"/>
      <w:suff w:val="nothing"/>
      <w:lvlText w:val="（%1）"/>
      <w:lvlJc w:val="left"/>
      <w:rPr>
        <w:rFonts w:hint="eastAsia"/>
      </w:rPr>
    </w:lvl>
  </w:abstractNum>
  <w:abstractNum w:abstractNumId="4">
    <w:nsid w:val="EE216880"/>
    <w:multiLevelType w:val="singleLevel"/>
    <w:tmpl w:val="EE216880"/>
    <w:lvl w:ilvl="0" w:tentative="0">
      <w:start w:val="1"/>
      <w:numFmt w:val="chineseCounting"/>
      <w:suff w:val="nothing"/>
      <w:lvlText w:val="（%1）"/>
      <w:lvlJc w:val="left"/>
      <w:rPr>
        <w:rFonts w:hint="eastAsia"/>
      </w:rPr>
    </w:lvl>
  </w:abstractNum>
  <w:abstractNum w:abstractNumId="5">
    <w:nsid w:val="FA1ECBA0"/>
    <w:multiLevelType w:val="singleLevel"/>
    <w:tmpl w:val="FA1ECBA0"/>
    <w:lvl w:ilvl="0" w:tentative="0">
      <w:start w:val="2"/>
      <w:numFmt w:val="decimal"/>
      <w:suff w:val="nothing"/>
      <w:lvlText w:val="%1、"/>
      <w:lvlJc w:val="left"/>
    </w:lvl>
  </w:abstractNum>
  <w:abstractNum w:abstractNumId="6">
    <w:nsid w:val="0000000B"/>
    <w:multiLevelType w:val="singleLevel"/>
    <w:tmpl w:val="0000000B"/>
    <w:lvl w:ilvl="0" w:tentative="0">
      <w:start w:val="1"/>
      <w:numFmt w:val="decimal"/>
      <w:suff w:val="nothing"/>
      <w:lvlText w:val="%1、"/>
      <w:lvlJc w:val="left"/>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25D1BFEA"/>
    <w:multiLevelType w:val="singleLevel"/>
    <w:tmpl w:val="25D1BFEA"/>
    <w:lvl w:ilvl="0" w:tentative="0">
      <w:start w:val="2"/>
      <w:numFmt w:val="chineseCounting"/>
      <w:suff w:val="nothing"/>
      <w:lvlText w:val="%1、"/>
      <w:lvlJc w:val="left"/>
      <w:rPr>
        <w:rFonts w:hint="eastAsia"/>
      </w:rPr>
    </w:lvl>
  </w:abstractNum>
  <w:abstractNum w:abstractNumId="9">
    <w:nsid w:val="2924D0C1"/>
    <w:multiLevelType w:val="singleLevel"/>
    <w:tmpl w:val="2924D0C1"/>
    <w:lvl w:ilvl="0" w:tentative="0">
      <w:start w:val="2"/>
      <w:numFmt w:val="decimal"/>
      <w:lvlText w:val="%1."/>
      <w:lvlJc w:val="left"/>
      <w:pPr>
        <w:tabs>
          <w:tab w:val="left" w:pos="312"/>
        </w:tabs>
      </w:pPr>
    </w:lvl>
  </w:abstractNum>
  <w:abstractNum w:abstractNumId="10">
    <w:nsid w:val="4D338B0D"/>
    <w:multiLevelType w:val="singleLevel"/>
    <w:tmpl w:val="4D338B0D"/>
    <w:lvl w:ilvl="0" w:tentative="0">
      <w:start w:val="3"/>
      <w:numFmt w:val="chineseCounting"/>
      <w:suff w:val="nothing"/>
      <w:lvlText w:val="%1、"/>
      <w:lvlJc w:val="left"/>
      <w:pPr>
        <w:ind w:left="120"/>
      </w:pPr>
      <w:rPr>
        <w:rFonts w:hint="eastAsia"/>
        <w:b/>
        <w:bCs/>
      </w:rPr>
    </w:lvl>
  </w:abstractNum>
  <w:abstractNum w:abstractNumId="11">
    <w:nsid w:val="50B856E8"/>
    <w:multiLevelType w:val="multilevel"/>
    <w:tmpl w:val="50B856E8"/>
    <w:lvl w:ilvl="0" w:tentative="0">
      <w:start w:val="1"/>
      <w:numFmt w:val="japaneseCounting"/>
      <w:lvlText w:val="（%1）"/>
      <w:lvlJc w:val="left"/>
      <w:pPr>
        <w:ind w:left="1590" w:hanging="945"/>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12">
    <w:nsid w:val="53BF4BF1"/>
    <w:multiLevelType w:val="singleLevel"/>
    <w:tmpl w:val="53BF4BF1"/>
    <w:lvl w:ilvl="0" w:tentative="0">
      <w:start w:val="2"/>
      <w:numFmt w:val="chineseCounting"/>
      <w:suff w:val="nothing"/>
      <w:lvlText w:val="（%1）"/>
      <w:lvlJc w:val="left"/>
    </w:lvl>
  </w:abstractNum>
  <w:abstractNum w:abstractNumId="13">
    <w:nsid w:val="55A8EAE1"/>
    <w:multiLevelType w:val="singleLevel"/>
    <w:tmpl w:val="55A8EAE1"/>
    <w:lvl w:ilvl="0" w:tentative="0">
      <w:start w:val="1"/>
      <w:numFmt w:val="decimal"/>
      <w:lvlText w:val="%1."/>
      <w:lvlJc w:val="left"/>
      <w:pPr>
        <w:tabs>
          <w:tab w:val="left" w:pos="312"/>
        </w:tabs>
      </w:pPr>
    </w:lvl>
  </w:abstractNum>
  <w:num w:numId="1">
    <w:abstractNumId w:val="8"/>
  </w:num>
  <w:num w:numId="2">
    <w:abstractNumId w:val="7"/>
  </w:num>
  <w:num w:numId="3">
    <w:abstractNumId w:val="1"/>
  </w:num>
  <w:num w:numId="4">
    <w:abstractNumId w:val="13"/>
  </w:num>
  <w:num w:numId="5">
    <w:abstractNumId w:val="0"/>
  </w:num>
  <w:num w:numId="6">
    <w:abstractNumId w:val="9"/>
  </w:num>
  <w:num w:numId="7">
    <w:abstractNumId w:val="2"/>
  </w:num>
  <w:num w:numId="8">
    <w:abstractNumId w:val="3"/>
  </w:num>
  <w:num w:numId="9">
    <w:abstractNumId w:val="5"/>
  </w:num>
  <w:num w:numId="10">
    <w:abstractNumId w:val="4"/>
  </w:num>
  <w:num w:numId="11">
    <w:abstractNumId w:val="6"/>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D36B7"/>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4E3632"/>
    <w:rsid w:val="0A2032A3"/>
    <w:rsid w:val="0A45101B"/>
    <w:rsid w:val="0A7D54B3"/>
    <w:rsid w:val="0CC64C93"/>
    <w:rsid w:val="10861BED"/>
    <w:rsid w:val="10C055FF"/>
    <w:rsid w:val="118107EC"/>
    <w:rsid w:val="12147272"/>
    <w:rsid w:val="16BB723D"/>
    <w:rsid w:val="170F3B2A"/>
    <w:rsid w:val="1A123497"/>
    <w:rsid w:val="1BA670B0"/>
    <w:rsid w:val="1CCB68CC"/>
    <w:rsid w:val="1CCE6F63"/>
    <w:rsid w:val="1D155CEE"/>
    <w:rsid w:val="21377C0E"/>
    <w:rsid w:val="23D6261F"/>
    <w:rsid w:val="240371BF"/>
    <w:rsid w:val="24E05F7E"/>
    <w:rsid w:val="269D5177"/>
    <w:rsid w:val="272C76D8"/>
    <w:rsid w:val="28C86247"/>
    <w:rsid w:val="29FD04D3"/>
    <w:rsid w:val="2A6650BE"/>
    <w:rsid w:val="2CD0580A"/>
    <w:rsid w:val="2EDC5115"/>
    <w:rsid w:val="309B648C"/>
    <w:rsid w:val="316F1FB1"/>
    <w:rsid w:val="319F7F4E"/>
    <w:rsid w:val="326B7F22"/>
    <w:rsid w:val="32894ED8"/>
    <w:rsid w:val="38967808"/>
    <w:rsid w:val="3DD3031F"/>
    <w:rsid w:val="40534471"/>
    <w:rsid w:val="40A705B5"/>
    <w:rsid w:val="41AE55D6"/>
    <w:rsid w:val="42833239"/>
    <w:rsid w:val="47C40537"/>
    <w:rsid w:val="48550495"/>
    <w:rsid w:val="4BF960A0"/>
    <w:rsid w:val="4C2B0E78"/>
    <w:rsid w:val="4C70366A"/>
    <w:rsid w:val="4DA405FA"/>
    <w:rsid w:val="4ECE2238"/>
    <w:rsid w:val="53245707"/>
    <w:rsid w:val="54CB3B85"/>
    <w:rsid w:val="5686115B"/>
    <w:rsid w:val="5D2C70EC"/>
    <w:rsid w:val="60A20D6B"/>
    <w:rsid w:val="62862CC6"/>
    <w:rsid w:val="63464338"/>
    <w:rsid w:val="6403003B"/>
    <w:rsid w:val="640906E5"/>
    <w:rsid w:val="6585070B"/>
    <w:rsid w:val="65FB1ADB"/>
    <w:rsid w:val="6A115EAF"/>
    <w:rsid w:val="6C063D2B"/>
    <w:rsid w:val="6C4A05C8"/>
    <w:rsid w:val="6D3A33D6"/>
    <w:rsid w:val="71972982"/>
    <w:rsid w:val="72734D90"/>
    <w:rsid w:val="741C71FE"/>
    <w:rsid w:val="7918342A"/>
    <w:rsid w:val="79972FD8"/>
    <w:rsid w:val="79A21F82"/>
    <w:rsid w:val="7A5A07ED"/>
    <w:rsid w:val="7D57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0">
    <w:name w:val="Default Paragraph Font"/>
    <w:link w:val="21"/>
    <w:semiHidden/>
    <w:unhideWhenUsed/>
    <w:qFormat/>
    <w:uiPriority w:val="1"/>
    <w:rPr>
      <w:rFonts w:eastAsia="宋体"/>
      <w:sz w:val="21"/>
    </w:rPr>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4"/>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9"/>
    <w:semiHidden/>
    <w:unhideWhenUsed/>
    <w:qFormat/>
    <w:uiPriority w:val="99"/>
    <w:rPr>
      <w:sz w:val="18"/>
      <w:szCs w:val="18"/>
    </w:rPr>
  </w:style>
  <w:style w:type="paragraph" w:styleId="11">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rPr>
      <w:sz w:val="24"/>
    </w:rPr>
  </w:style>
  <w:style w:type="paragraph" w:customStyle="1" w:styleId="21">
    <w:name w:val="Char Char Char Char Char Char Char"/>
    <w:basedOn w:val="1"/>
    <w:link w:val="20"/>
    <w:qFormat/>
    <w:uiPriority w:val="0"/>
    <w:pPr>
      <w:spacing w:before="300" w:after="300" w:line="560" w:lineRule="exact"/>
    </w:pPr>
    <w:rPr>
      <w:rFonts w:eastAsia="宋体"/>
      <w:sz w:val="21"/>
    </w:rPr>
  </w:style>
  <w:style w:type="character" w:styleId="22">
    <w:name w:val="Strong"/>
    <w:basedOn w:val="20"/>
    <w:qFormat/>
    <w:uiPriority w:val="99"/>
    <w:rPr>
      <w:rFonts w:cs="Times New Roman"/>
      <w:b/>
    </w:rPr>
  </w:style>
  <w:style w:type="character" w:styleId="23">
    <w:name w:val="page number"/>
    <w:basedOn w:val="20"/>
    <w:qFormat/>
    <w:uiPriority w:val="0"/>
  </w:style>
  <w:style w:type="character" w:styleId="24">
    <w:name w:val="Hyperlink"/>
    <w:basedOn w:val="20"/>
    <w:unhideWhenUsed/>
    <w:qFormat/>
    <w:uiPriority w:val="99"/>
    <w:rPr>
      <w:rFonts w:cs="Times New Roman"/>
      <w:color w:val="0000FF"/>
      <w:u w:val="single"/>
    </w:rPr>
  </w:style>
  <w:style w:type="character" w:customStyle="1" w:styleId="25">
    <w:name w:val="标题 1 字符"/>
    <w:basedOn w:val="20"/>
    <w:link w:val="2"/>
    <w:qFormat/>
    <w:locked/>
    <w:uiPriority w:val="9"/>
    <w:rPr>
      <w:rFonts w:ascii="Times New Roman" w:hAnsi="Times New Roman" w:cs="Times New Roman"/>
      <w:b/>
      <w:bCs/>
      <w:kern w:val="44"/>
      <w:sz w:val="44"/>
      <w:szCs w:val="44"/>
    </w:rPr>
  </w:style>
  <w:style w:type="character" w:customStyle="1" w:styleId="26">
    <w:name w:val="标题 2 字符"/>
    <w:basedOn w:val="20"/>
    <w:link w:val="3"/>
    <w:qFormat/>
    <w:locked/>
    <w:uiPriority w:val="9"/>
    <w:rPr>
      <w:rFonts w:ascii="Cambria" w:hAnsi="Cambria" w:eastAsia="宋体" w:cs="Times New Roman"/>
      <w:b/>
      <w:bCs/>
      <w:kern w:val="2"/>
      <w:sz w:val="32"/>
      <w:szCs w:val="32"/>
    </w:rPr>
  </w:style>
  <w:style w:type="character" w:customStyle="1" w:styleId="27">
    <w:name w:val="标题 3 字符"/>
    <w:basedOn w:val="20"/>
    <w:link w:val="4"/>
    <w:qFormat/>
    <w:locked/>
    <w:uiPriority w:val="9"/>
    <w:rPr>
      <w:rFonts w:ascii="Times New Roman" w:hAnsi="Times New Roman" w:cs="Times New Roman"/>
      <w:b/>
      <w:bCs/>
      <w:kern w:val="2"/>
      <w:sz w:val="32"/>
      <w:szCs w:val="32"/>
    </w:rPr>
  </w:style>
  <w:style w:type="character" w:customStyle="1" w:styleId="28">
    <w:name w:val="Body Text Char"/>
    <w:basedOn w:val="20"/>
    <w:semiHidden/>
    <w:qFormat/>
    <w:uiPriority w:val="99"/>
    <w:rPr>
      <w:rFonts w:ascii="Times New Roman" w:hAnsi="Times New Roman" w:cs="Times New Roman"/>
      <w:sz w:val="24"/>
      <w:szCs w:val="24"/>
    </w:rPr>
  </w:style>
  <w:style w:type="character" w:customStyle="1" w:styleId="29">
    <w:name w:val="批注框文本 字符"/>
    <w:basedOn w:val="20"/>
    <w:link w:val="10"/>
    <w:semiHidden/>
    <w:qFormat/>
    <w:locked/>
    <w:uiPriority w:val="99"/>
    <w:rPr>
      <w:rFonts w:ascii="Times New Roman" w:hAnsi="Times New Roman" w:cs="Times New Roman"/>
      <w:kern w:val="2"/>
      <w:sz w:val="18"/>
      <w:szCs w:val="18"/>
    </w:rPr>
  </w:style>
  <w:style w:type="character" w:customStyle="1" w:styleId="30">
    <w:name w:val="Footer Char"/>
    <w:basedOn w:val="20"/>
    <w:semiHidden/>
    <w:qFormat/>
    <w:uiPriority w:val="99"/>
    <w:rPr>
      <w:rFonts w:ascii="Times New Roman" w:hAnsi="Times New Roman" w:cs="Times New Roman"/>
      <w:sz w:val="18"/>
      <w:szCs w:val="18"/>
    </w:rPr>
  </w:style>
  <w:style w:type="character" w:customStyle="1" w:styleId="31">
    <w:name w:val="Header Char"/>
    <w:basedOn w:val="20"/>
    <w:semiHidden/>
    <w:qFormat/>
    <w:uiPriority w:val="99"/>
    <w:rPr>
      <w:rFonts w:ascii="Times New Roman" w:hAnsi="Times New Roman" w:cs="Times New Roman"/>
      <w:sz w:val="18"/>
      <w:szCs w:val="18"/>
    </w:rPr>
  </w:style>
  <w:style w:type="character" w:customStyle="1" w:styleId="32">
    <w:name w:val="页眉 字符"/>
    <w:link w:val="12"/>
    <w:semiHidden/>
    <w:qFormat/>
    <w:locked/>
    <w:uiPriority w:val="99"/>
    <w:rPr>
      <w:sz w:val="18"/>
    </w:rPr>
  </w:style>
  <w:style w:type="character" w:customStyle="1" w:styleId="33">
    <w:name w:val="页脚 字符"/>
    <w:link w:val="11"/>
    <w:qFormat/>
    <w:locked/>
    <w:uiPriority w:val="99"/>
    <w:rPr>
      <w:sz w:val="18"/>
    </w:rPr>
  </w:style>
  <w:style w:type="character" w:customStyle="1" w:styleId="34">
    <w:name w:val="正文文本 字符"/>
    <w:link w:val="6"/>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四号正文"/>
    <w:basedOn w:val="1"/>
    <w:qFormat/>
    <w:uiPriority w:val="0"/>
    <w:pPr>
      <w:spacing w:line="360" w:lineRule="auto"/>
    </w:pPr>
    <w:rPr>
      <w:rFonts w:ascii="??" w:hAnsi="??" w:eastAsia="宋体" w:cs="宋体"/>
      <w:color w:val="000000"/>
      <w:kern w:val="0"/>
      <w:sz w:val="28"/>
      <w:szCs w:val="21"/>
    </w:rPr>
  </w:style>
  <w:style w:type="character" w:customStyle="1" w:styleId="41">
    <w:name w:val="font_size121"/>
    <w:basedOn w:val="20"/>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收、支决算总计变动情况表（万元）</a:t>
            </a:r>
            <a:endParaRPr altLang="en-US"/>
          </a:p>
        </c:rich>
      </c:tx>
      <c:layout/>
      <c:overlay val="0"/>
      <c:spPr>
        <a:noFill/>
        <a:ln>
          <a:noFill/>
        </a:ln>
        <a:effectLst/>
      </c:spPr>
    </c:title>
    <c:autoTitleDeleted val="0"/>
    <c:plotArea>
      <c:layout>
        <c:manualLayout>
          <c:layoutTarget val="inner"/>
          <c:xMode val="edge"/>
          <c:yMode val="edge"/>
          <c:x val="0.0860678049987627"/>
          <c:y val="0.0965180405533443"/>
          <c:w val="0.952675"/>
          <c:h val="0.84256666666666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2019年收入</c:v>
                </c:pt>
                <c:pt idx="1">
                  <c:v>2020年收入</c:v>
                </c:pt>
                <c:pt idx="2">
                  <c:v>2019年支出</c:v>
                </c:pt>
                <c:pt idx="3">
                  <c:v>2020年支出</c:v>
                </c:pt>
              </c:strCache>
            </c:strRef>
          </c:cat>
          <c:val>
            <c:numRef>
              <c:f>Sheet1!$B$2:$B$5</c:f>
              <c:numCache>
                <c:formatCode>General</c:formatCode>
                <c:ptCount val="4"/>
                <c:pt idx="0">
                  <c:v>7547.03</c:v>
                </c:pt>
                <c:pt idx="1">
                  <c:v>12522.38</c:v>
                </c:pt>
                <c:pt idx="2">
                  <c:v>9318.82</c:v>
                </c:pt>
                <c:pt idx="3">
                  <c:v>11240.66</c:v>
                </c:pt>
              </c:numCache>
            </c:numRef>
          </c:val>
        </c:ser>
        <c:dLbls>
          <c:showLegendKey val="0"/>
          <c:showVal val="1"/>
          <c:showCatName val="0"/>
          <c:showSerName val="0"/>
          <c:showPercent val="0"/>
          <c:showBubbleSize val="0"/>
        </c:dLbls>
        <c:gapWidth val="219"/>
        <c:overlap val="-27"/>
        <c:axId val="280880327"/>
        <c:axId val="294712135"/>
        <c:extLst>
          <c:ext xmlns:c15="http://schemas.microsoft.com/office/drawing/2012/chart" uri="{02D57815-91ED-43cb-92C2-25804820EDAC}">
            <c15:filteredBarSeries>
              <c15:ser>
                <c:idx val="1"/>
                <c:order val="1"/>
                <c:tx>
                  <c:strRef>
                    <c:extLst>
                      <c:ext uri="{02D57815-91ED-43cb-92C2-25804820EDAC}">
                        <c15:formulaRef>
                          <c15:sqref>"收、支决算总计变动情况图"</c15:sqref>
                        </c15:formulaRef>
                      </c:ext>
                    </c:extLst>
                    <c:strCache>
                      <c:ptCount val="1"/>
                      <c:pt idx="0">
                        <c:v>收、支决算总计变动情况图</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Sheet1!$A$2:$A$5</c15:sqref>
                        </c15:formulaRef>
                      </c:ext>
                    </c:extLst>
                    <c:strCache>
                      <c:ptCount val="4"/>
                      <c:pt idx="0">
                        <c:v>2019年收入</c:v>
                      </c:pt>
                      <c:pt idx="1">
                        <c:v>2020年收入</c:v>
                      </c:pt>
                      <c:pt idx="2">
                        <c:v>2019年支出</c:v>
                      </c:pt>
                      <c:pt idx="3">
                        <c:v>2020年支出</c:v>
                      </c:pt>
                    </c:strCache>
                  </c:strRef>
                </c:cat>
                <c:val>
                  <c:numRef>
                    <c:extLst>
                      <c:ext uri="{02D57815-91ED-43cb-92C2-25804820EDAC}">
                        <c15:formulaRef>
                          <c15:sqref>{1}</c15:sqref>
                        </c15:formulaRef>
                      </c:ext>
                    </c:extLst>
                    <c:numCache>
                      <c:formatCode>General</c:formatCode>
                      <c:ptCount val="1"/>
                      <c:pt idx="0">
                        <c:v>1</c:v>
                      </c:pt>
                    </c:numCache>
                  </c:numRef>
                </c:val>
              </c15:ser>
            </c15:filteredBarSeries>
          </c:ext>
        </c:extLst>
      </c:barChart>
      <c:catAx>
        <c:axId val="280880327"/>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4712135"/>
        <c:crosses val="autoZero"/>
        <c:auto val="1"/>
        <c:lblAlgn val="ctr"/>
        <c:lblOffset val="100"/>
        <c:noMultiLvlLbl val="0"/>
      </c:catAx>
      <c:valAx>
        <c:axId val="294712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8803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p>
        </c:rich>
      </c:tx>
      <c:layout>
        <c:manualLayout>
          <c:xMode val="edge"/>
          <c:yMode val="edge"/>
          <c:x val="0.317700453857791"/>
          <c:y val="0.901691729323308"/>
        </c:manualLayout>
      </c:layout>
      <c:overlay val="0"/>
      <c:spPr>
        <a:noFill/>
        <a:ln>
          <a:noFill/>
        </a:ln>
        <a:effectLst/>
      </c:spPr>
    </c:title>
    <c:autoTitleDeleted val="0"/>
    <c:plotArea>
      <c:layout/>
      <c:pieChart>
        <c:varyColors val="1"/>
        <c:ser>
          <c:idx val="0"/>
          <c:order val="0"/>
          <c:tx>
            <c:strRef>
              <c:f>"收入决算结构图（万元）"</c:f>
              <c:strCache>
                <c:ptCount val="1"/>
                <c:pt idx="0">
                  <c:v>收入决算结构图（万元）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c:v>
                </c:pt>
              </c:strCache>
            </c:strRef>
          </c:cat>
          <c:val>
            <c:numRef>
              <c:f>Sheet1!$B$2:$B$3</c:f>
              <c:numCache>
                <c:formatCode>General</c:formatCode>
                <c:ptCount val="2"/>
                <c:pt idx="0">
                  <c:v>12522.38</c:v>
                </c:pt>
                <c:pt idx="1">
                  <c:v>31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76563287947554"/>
          <c:y val="0.073496240601503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97940002575"/>
          <c:y val="0.0888707037643208"/>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345332698110211"/>
          <c:y val="0.378281535648995"/>
          <c:w val="0.481295855169128"/>
          <c:h val="0.615624619134674"/>
        </c:manualLayout>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noFill/>
              </a:ln>
              <a:effectLst/>
            </c:spPr>
          </c:dPt>
          <c:dPt>
            <c:idx val="1"/>
            <c:bubble3D val="0"/>
            <c:explosion val="0"/>
            <c:spPr>
              <a:solidFill>
                <a:schemeClr val="accent2"/>
              </a:solidFill>
              <a:ln>
                <a:noFill/>
              </a:ln>
              <a:effectLst/>
            </c:spPr>
          </c:dPt>
          <c:dLbls>
            <c:dLbl>
              <c:idx val="0"/>
              <c:layout>
                <c:manualLayout>
                  <c:x val="-0.0227887215140981"/>
                  <c:y val="-0.091489361702127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6387279515901"/>
                  <c:y val="-0.22594760768934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基本支出</c:v>
                </c:pt>
                <c:pt idx="1">
                  <c:v>项目支出</c:v>
                </c:pt>
              </c:strCache>
            </c:strRef>
          </c:cat>
          <c:val>
            <c:numRef>
              <c:f>Sheet1!$B$3:$B$4</c:f>
              <c:numCache>
                <c:formatCode>General</c:formatCode>
                <c:ptCount val="2"/>
                <c:pt idx="0">
                  <c:v>202.44</c:v>
                </c:pt>
                <c:pt idx="1">
                  <c:v>11038.21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853611432985709"/>
          <c:y val="0.2381274431564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14764683968707"/>
          <c:y val="0.00671462829736211"/>
          <c:w val="0.877610828262759"/>
          <c:h val="0.809976019184652"/>
        </c:manualLayout>
      </c:layout>
      <c:barChart>
        <c:barDir val="col"/>
        <c:grouping val="clustered"/>
        <c:varyColors val="0"/>
        <c:ser>
          <c:idx val="0"/>
          <c:order val="0"/>
          <c:tx>
            <c:strRef>
              <c:f>"财政拨款收、支决算总计变动情况（万元）"</c:f>
              <c:strCache>
                <c:ptCount val="1"/>
                <c:pt idx="0">
                  <c:v>财政拨款收、支决算总计变动情况（万元）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2019年财政拨款收入</c:v>
                </c:pt>
                <c:pt idx="1">
                  <c:v>2020年财政拨款收入</c:v>
                </c:pt>
                <c:pt idx="2">
                  <c:v>2019年财政拨款支出</c:v>
                </c:pt>
                <c:pt idx="3">
                  <c:v>2020年财政拨款支出</c:v>
                </c:pt>
              </c:strCache>
            </c:strRef>
          </c:cat>
          <c:val>
            <c:numRef>
              <c:f>Sheet1!$B$1:$B$4</c:f>
              <c:numCache>
                <c:formatCode>General</c:formatCode>
                <c:ptCount val="4"/>
                <c:pt idx="0">
                  <c:v>7547.03</c:v>
                </c:pt>
                <c:pt idx="1">
                  <c:v>12522.38</c:v>
                </c:pt>
                <c:pt idx="2">
                  <c:v>9318.82</c:v>
                </c:pt>
                <c:pt idx="3" c:formatCode="#,##0.00">
                  <c:v>10113.68</c:v>
                </c:pt>
              </c:numCache>
            </c:numRef>
          </c:val>
        </c:ser>
        <c:dLbls>
          <c:showLegendKey val="0"/>
          <c:showVal val="1"/>
          <c:showCatName val="0"/>
          <c:showSerName val="0"/>
          <c:showPercent val="0"/>
          <c:showBubbleSize val="0"/>
        </c:dLbls>
        <c:gapWidth val="219"/>
        <c:overlap val="-27"/>
        <c:axId val="73591487"/>
        <c:axId val="987089515"/>
      </c:barChart>
      <c:catAx>
        <c:axId val="735914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7089515"/>
        <c:crosses val="autoZero"/>
        <c:auto val="1"/>
        <c:lblAlgn val="ctr"/>
        <c:lblOffset val="100"/>
        <c:noMultiLvlLbl val="0"/>
      </c:catAx>
      <c:valAx>
        <c:axId val="9870895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914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"一般公共预算财政拨款支出决算变动情况（万元）"</c:f>
              <c:strCache>
                <c:ptCount val="1"/>
                <c:pt idx="0">
                  <c:v>一般公共预算财政拨款支出决算变动情况（万元）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2019年一般公共预算财政拨款</c:v>
                </c:pt>
                <c:pt idx="1">
                  <c:v>2020年一般公共预算财政拨款支出</c:v>
                </c:pt>
              </c:strCache>
            </c:strRef>
          </c:cat>
          <c:val>
            <c:numRef>
              <c:f>Sheet1!$B$2:$B$3</c:f>
              <c:numCache>
                <c:formatCode>#,##0.00</c:formatCode>
                <c:ptCount val="2"/>
                <c:pt idx="0">
                  <c:v>7494.03</c:v>
                </c:pt>
                <c:pt idx="1" c:formatCode="General">
                  <c:v>11224.71</c:v>
                </c:pt>
              </c:numCache>
            </c:numRef>
          </c:val>
        </c:ser>
        <c:dLbls>
          <c:showLegendKey val="0"/>
          <c:showVal val="1"/>
          <c:showCatName val="0"/>
          <c:showSerName val="0"/>
          <c:showPercent val="0"/>
          <c:showBubbleSize val="0"/>
        </c:dLbls>
        <c:gapWidth val="219"/>
        <c:overlap val="-27"/>
        <c:axId val="406335954"/>
        <c:axId val="127140933"/>
      </c:barChart>
      <c:catAx>
        <c:axId val="4063359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7140933"/>
        <c:crosses val="autoZero"/>
        <c:auto val="1"/>
        <c:lblAlgn val="ctr"/>
        <c:lblOffset val="100"/>
        <c:noMultiLvlLbl val="0"/>
      </c:catAx>
      <c:valAx>
        <c:axId val="12714093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3359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一般公共服务支出201</c:v>
                </c:pt>
                <c:pt idx="1">
                  <c:v>教育支出205</c:v>
                </c:pt>
                <c:pt idx="2">
                  <c:v>文化旅游体育与传媒支出207</c:v>
                </c:pt>
                <c:pt idx="3">
                  <c:v>社会保障和就业支出208</c:v>
                </c:pt>
                <c:pt idx="4">
                  <c:v>卫生健康支出210</c:v>
                </c:pt>
                <c:pt idx="5">
                  <c:v>农林水支出213</c:v>
                </c:pt>
                <c:pt idx="6">
                  <c:v>住房保障支出221</c:v>
                </c:pt>
              </c:strCache>
            </c:strRef>
          </c:cat>
          <c:val>
            <c:numRef>
              <c:f>Sheet1!$B$2:$B$8</c:f>
              <c:numCache>
                <c:formatCode>General</c:formatCode>
                <c:ptCount val="7"/>
                <c:pt idx="0">
                  <c:v>19.82</c:v>
                </c:pt>
                <c:pt idx="1" c:formatCode="#,##0.00">
                  <c:v>10896.27</c:v>
                </c:pt>
                <c:pt idx="2">
                  <c:v>24.57</c:v>
                </c:pt>
                <c:pt idx="3">
                  <c:v>24.25</c:v>
                </c:pt>
                <c:pt idx="4">
                  <c:v>24.88</c:v>
                </c:pt>
                <c:pt idx="5">
                  <c:v>220</c:v>
                </c:pt>
                <c:pt idx="6">
                  <c:v>14.91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"三公”经费财政拨款支出结构（万元）"</c:f>
              <c:strCache>
                <c:ptCount val="1"/>
                <c:pt idx="0">
                  <c:v>三公”经费财政拨款支出结构（万元）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9.8</c:v>
                </c:pt>
                <c:pt idx="2">
                  <c:v>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36</TotalTime>
  <ScaleCrop>false</ScaleCrop>
  <LinksUpToDate>false</LinksUpToDate>
  <CharactersWithSpaces>10536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悠然</cp:lastModifiedBy>
  <cp:lastPrinted>2021-10-23T11:17:33Z</cp:lastPrinted>
  <dcterms:modified xsi:type="dcterms:W3CDTF">2021-10-23T11:22:36Z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F5618CF636D34B53B2D44142A92B5D76</vt:lpwstr>
  </property>
</Properties>
</file>