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2E562">
      <w:pPr>
        <w:spacing w:line="600" w:lineRule="exact"/>
        <w:jc w:val="center"/>
        <w:outlineLvl w:val="0"/>
        <w:rPr>
          <w:rFonts w:ascii="方正小标宋简体" w:eastAsia="方正小标宋简体"/>
          <w:sz w:val="72"/>
          <w:szCs w:val="72"/>
        </w:rPr>
      </w:pPr>
      <w:bookmarkStart w:id="0" w:name="_Toc15378441"/>
      <w:bookmarkStart w:id="1" w:name="_Toc15396475"/>
      <w:bookmarkStart w:id="2" w:name="_Toc15396597"/>
      <w:bookmarkStart w:id="3" w:name="_Toc15377425"/>
      <w:bookmarkStart w:id="4" w:name="_Toc15377193"/>
      <w:bookmarkStart w:id="5" w:name="_Toc15306267"/>
    </w:p>
    <w:p w14:paraId="47FE447D">
      <w:pPr>
        <w:spacing w:line="600" w:lineRule="exact"/>
        <w:jc w:val="center"/>
        <w:outlineLvl w:val="0"/>
        <w:rPr>
          <w:rFonts w:ascii="方正小标宋简体" w:eastAsia="方正小标宋简体"/>
          <w:sz w:val="72"/>
          <w:szCs w:val="72"/>
        </w:rPr>
      </w:pPr>
    </w:p>
    <w:p w14:paraId="734543F0">
      <w:pPr>
        <w:spacing w:line="600" w:lineRule="exact"/>
        <w:jc w:val="center"/>
        <w:outlineLvl w:val="0"/>
        <w:rPr>
          <w:rFonts w:ascii="方正小标宋简体" w:eastAsia="方正小标宋简体"/>
          <w:sz w:val="72"/>
          <w:szCs w:val="72"/>
        </w:rPr>
      </w:pPr>
    </w:p>
    <w:p w14:paraId="0CE76D29">
      <w:pPr>
        <w:adjustRightInd w:val="0"/>
        <w:snapToGrid w:val="0"/>
        <w:spacing w:line="360" w:lineRule="auto"/>
        <w:jc w:val="center"/>
        <w:outlineLvl w:val="0"/>
        <w:rPr>
          <w:rFonts w:ascii="方正小标宋简体" w:eastAsia="方正小标宋简体" w:cs="方正小标宋简体"/>
          <w:sz w:val="72"/>
          <w:szCs w:val="72"/>
        </w:rPr>
      </w:pPr>
      <w:bookmarkStart w:id="6" w:name="_Toc24263"/>
      <w:r>
        <w:rPr>
          <w:rFonts w:hint="eastAsia" w:ascii="方正小标宋简体" w:eastAsia="方正小标宋简体" w:cs="方正小标宋简体"/>
          <w:sz w:val="72"/>
          <w:szCs w:val="72"/>
        </w:rPr>
        <w:t>2022年度</w:t>
      </w:r>
      <w:bookmarkEnd w:id="0"/>
      <w:bookmarkEnd w:id="1"/>
      <w:bookmarkEnd w:id="2"/>
      <w:bookmarkEnd w:id="3"/>
      <w:bookmarkEnd w:id="4"/>
      <w:bookmarkEnd w:id="6"/>
    </w:p>
    <w:bookmarkEnd w:id="5"/>
    <w:p w14:paraId="7D872DDC">
      <w:pPr>
        <w:adjustRightInd w:val="0"/>
        <w:snapToGrid w:val="0"/>
        <w:spacing w:line="360" w:lineRule="auto"/>
        <w:jc w:val="center"/>
        <w:outlineLvl w:val="0"/>
        <w:rPr>
          <w:rFonts w:ascii="方正小标宋简体" w:eastAsia="方正小标宋简体" w:cs="方正小标宋简体"/>
          <w:sz w:val="72"/>
          <w:szCs w:val="72"/>
        </w:rPr>
      </w:pPr>
      <w:bookmarkStart w:id="7" w:name="_Toc15306268"/>
      <w:bookmarkStart w:id="8" w:name="_Toc15377194"/>
      <w:bookmarkStart w:id="9" w:name="_Toc32217"/>
      <w:bookmarkStart w:id="10" w:name="_Toc15396598"/>
      <w:bookmarkStart w:id="11" w:name="_Toc15378442"/>
      <w:bookmarkStart w:id="12" w:name="_Toc15396476"/>
      <w:bookmarkStart w:id="13" w:name="_Toc15377426"/>
      <w:r>
        <w:rPr>
          <w:rFonts w:hint="eastAsia" w:ascii="方正小标宋简体" w:eastAsia="方正小标宋简体" w:cs="方正小标宋简体"/>
          <w:sz w:val="72"/>
          <w:szCs w:val="72"/>
        </w:rPr>
        <w:t>阿坝州壤塘县大学中专招生办公室部门决算</w:t>
      </w:r>
      <w:bookmarkEnd w:id="7"/>
      <w:bookmarkEnd w:id="8"/>
      <w:bookmarkEnd w:id="9"/>
      <w:bookmarkEnd w:id="10"/>
      <w:bookmarkEnd w:id="11"/>
      <w:bookmarkEnd w:id="12"/>
      <w:bookmarkEnd w:id="13"/>
    </w:p>
    <w:p w14:paraId="2594A048">
      <w:pPr>
        <w:autoSpaceDE w:val="0"/>
        <w:autoSpaceDN w:val="0"/>
        <w:adjustRightInd w:val="0"/>
        <w:ind w:left="420" w:leftChars="200"/>
        <w:jc w:val="left"/>
        <w:rPr>
          <w:rFonts w:ascii="宋体" w:cs="仿宋_GB2312"/>
          <w:sz w:val="32"/>
          <w:szCs w:val="32"/>
        </w:rPr>
      </w:pPr>
    </w:p>
    <w:p w14:paraId="1ACAE6FD">
      <w:pPr>
        <w:autoSpaceDE w:val="0"/>
        <w:autoSpaceDN w:val="0"/>
        <w:adjustRightInd w:val="0"/>
        <w:ind w:left="420" w:leftChars="200"/>
        <w:jc w:val="left"/>
        <w:rPr>
          <w:rFonts w:ascii="宋体" w:cs="仿宋_GB2312"/>
          <w:sz w:val="32"/>
          <w:szCs w:val="32"/>
        </w:rPr>
      </w:pPr>
    </w:p>
    <w:p w14:paraId="51B80768">
      <w:pPr>
        <w:autoSpaceDE w:val="0"/>
        <w:autoSpaceDN w:val="0"/>
        <w:adjustRightInd w:val="0"/>
        <w:ind w:left="420" w:leftChars="200"/>
        <w:jc w:val="left"/>
        <w:rPr>
          <w:rFonts w:ascii="宋体" w:cs="仿宋_GB2312"/>
          <w:sz w:val="32"/>
          <w:szCs w:val="32"/>
        </w:rPr>
      </w:pPr>
    </w:p>
    <w:p w14:paraId="62B46CC8">
      <w:pPr>
        <w:autoSpaceDE w:val="0"/>
        <w:autoSpaceDN w:val="0"/>
        <w:adjustRightInd w:val="0"/>
        <w:ind w:left="420" w:leftChars="200"/>
        <w:jc w:val="left"/>
        <w:rPr>
          <w:rFonts w:ascii="宋体" w:cs="仿宋_GB2312"/>
          <w:sz w:val="32"/>
          <w:szCs w:val="32"/>
        </w:rPr>
      </w:pPr>
    </w:p>
    <w:p w14:paraId="09DB748D">
      <w:pPr>
        <w:autoSpaceDE w:val="0"/>
        <w:autoSpaceDN w:val="0"/>
        <w:adjustRightInd w:val="0"/>
        <w:ind w:left="420" w:leftChars="200"/>
        <w:jc w:val="left"/>
        <w:rPr>
          <w:rFonts w:ascii="宋体" w:cs="仿宋_GB2312"/>
          <w:sz w:val="32"/>
          <w:szCs w:val="32"/>
        </w:rPr>
      </w:pPr>
    </w:p>
    <w:p w14:paraId="7252254D">
      <w:pPr>
        <w:autoSpaceDE w:val="0"/>
        <w:autoSpaceDN w:val="0"/>
        <w:adjustRightInd w:val="0"/>
        <w:ind w:left="420" w:leftChars="200"/>
        <w:jc w:val="left"/>
        <w:rPr>
          <w:rFonts w:ascii="宋体" w:cs="仿宋_GB2312"/>
          <w:sz w:val="32"/>
          <w:szCs w:val="32"/>
        </w:rPr>
      </w:pPr>
    </w:p>
    <w:p w14:paraId="58790369">
      <w:pPr>
        <w:autoSpaceDE w:val="0"/>
        <w:autoSpaceDN w:val="0"/>
        <w:adjustRightInd w:val="0"/>
        <w:ind w:left="420" w:leftChars="200"/>
        <w:jc w:val="left"/>
        <w:rPr>
          <w:rFonts w:ascii="宋体" w:cs="仿宋_GB2312"/>
          <w:sz w:val="32"/>
          <w:szCs w:val="32"/>
        </w:rPr>
      </w:pPr>
    </w:p>
    <w:p w14:paraId="7C6DF87C">
      <w:pPr>
        <w:autoSpaceDE w:val="0"/>
        <w:autoSpaceDN w:val="0"/>
        <w:adjustRightInd w:val="0"/>
        <w:ind w:left="420" w:leftChars="200"/>
        <w:jc w:val="left"/>
        <w:rPr>
          <w:rFonts w:ascii="宋体"/>
          <w:sz w:val="32"/>
          <w:szCs w:val="32"/>
        </w:rPr>
      </w:pPr>
      <w:r>
        <w:rPr>
          <w:rFonts w:hint="eastAsia" w:ascii="宋体" w:cs="仿宋_GB2312"/>
          <w:sz w:val="32"/>
          <w:szCs w:val="32"/>
        </w:rPr>
        <w:t>保密审查情况：已审查，内容审定</w:t>
      </w:r>
    </w:p>
    <w:p w14:paraId="7E68B238">
      <w:pPr>
        <w:autoSpaceDE w:val="0"/>
        <w:autoSpaceDN w:val="0"/>
        <w:adjustRightInd w:val="0"/>
        <w:ind w:left="420" w:leftChars="200"/>
        <w:jc w:val="left"/>
        <w:rPr>
          <w:rFonts w:ascii="宋体"/>
          <w:sz w:val="32"/>
          <w:szCs w:val="32"/>
        </w:rPr>
      </w:pPr>
      <w:r>
        <w:rPr>
          <w:rFonts w:hint="eastAsia" w:ascii="宋体" w:cs="仿宋_GB2312"/>
          <w:sz w:val="32"/>
          <w:szCs w:val="32"/>
        </w:rPr>
        <w:t>部门主要负责人审签情况：已审签，同意对外公开</w:t>
      </w:r>
    </w:p>
    <w:p w14:paraId="7DB6C2A9">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14:paraId="358A7926">
      <w:pPr>
        <w:widowControl/>
        <w:jc w:val="center"/>
        <w:rPr>
          <w:rFonts w:ascii="黑体" w:eastAsia="黑体" w:cs="Arial"/>
          <w:sz w:val="28"/>
          <w:szCs w:val="28"/>
        </w:rPr>
      </w:pPr>
    </w:p>
    <w:p w14:paraId="4B2471A1">
      <w:pPr>
        <w:pStyle w:val="17"/>
      </w:pPr>
      <w:r>
        <w:rPr>
          <w:rFonts w:hint="eastAsia"/>
        </w:rPr>
        <w:t>公开时间：2023年10月23日</w:t>
      </w:r>
      <w:bookmarkStart w:id="14" w:name="_Toc15396599"/>
      <w:bookmarkStart w:id="15" w:name="_Toc15377196"/>
      <w:r>
        <w:fldChar w:fldCharType="begin"/>
      </w:r>
      <w:r>
        <w:instrText xml:space="preserve">TOC \o "1-2" \h \u </w:instrText>
      </w:r>
      <w:r>
        <w:fldChar w:fldCharType="separate"/>
      </w:r>
    </w:p>
    <w:p w14:paraId="1C497239">
      <w:pPr>
        <w:pStyle w:val="17"/>
        <w:tabs>
          <w:tab w:val="right" w:leader="dot" w:pos="8312"/>
          <w:tab w:val="clear" w:pos="8296"/>
        </w:tabs>
      </w:pPr>
      <w:r>
        <w:fldChar w:fldCharType="begin"/>
      </w:r>
      <w:r>
        <w:instrText xml:space="preserve"> HYPERLINK \l "_Toc31824" </w:instrText>
      </w:r>
      <w:r>
        <w:fldChar w:fldCharType="separate"/>
      </w:r>
      <w:r>
        <w:rPr>
          <w:rFonts w:hint="eastAsia" w:ascii="黑体" w:eastAsia="黑体"/>
        </w:rPr>
        <w:t>第一部分 部门概况</w:t>
      </w:r>
      <w:r>
        <w:tab/>
      </w:r>
      <w:r>
        <w:fldChar w:fldCharType="begin"/>
      </w:r>
      <w:r>
        <w:instrText xml:space="preserve"> PAGEREF _Toc31824 </w:instrText>
      </w:r>
      <w:r>
        <w:fldChar w:fldCharType="separate"/>
      </w:r>
      <w:r>
        <w:t>4</w:t>
      </w:r>
      <w:r>
        <w:fldChar w:fldCharType="end"/>
      </w:r>
      <w:r>
        <w:fldChar w:fldCharType="end"/>
      </w:r>
    </w:p>
    <w:p w14:paraId="45BDEA3B">
      <w:pPr>
        <w:pStyle w:val="20"/>
        <w:tabs>
          <w:tab w:val="right" w:leader="dot" w:pos="8312"/>
          <w:tab w:val="clear" w:pos="8296"/>
        </w:tabs>
      </w:pPr>
      <w:r>
        <w:fldChar w:fldCharType="begin"/>
      </w:r>
      <w:r>
        <w:instrText xml:space="preserve"> HYPERLINK \l "_Toc17044" </w:instrText>
      </w:r>
      <w:r>
        <w:fldChar w:fldCharType="separate"/>
      </w:r>
      <w:r>
        <w:rPr>
          <w:rFonts w:hint="eastAsia" w:ascii="黑体" w:eastAsia="黑体"/>
        </w:rPr>
        <w:t>一、部门职能</w:t>
      </w:r>
      <w:r>
        <w:tab/>
      </w:r>
      <w:r>
        <w:fldChar w:fldCharType="begin"/>
      </w:r>
      <w:r>
        <w:instrText xml:space="preserve"> PAGEREF _Toc17044 </w:instrText>
      </w:r>
      <w:r>
        <w:fldChar w:fldCharType="separate"/>
      </w:r>
      <w:r>
        <w:t>4</w:t>
      </w:r>
      <w:r>
        <w:fldChar w:fldCharType="end"/>
      </w:r>
      <w:r>
        <w:fldChar w:fldCharType="end"/>
      </w:r>
    </w:p>
    <w:p w14:paraId="05365011">
      <w:pPr>
        <w:pStyle w:val="20"/>
        <w:tabs>
          <w:tab w:val="right" w:leader="dot" w:pos="8312"/>
          <w:tab w:val="clear" w:pos="8296"/>
        </w:tabs>
      </w:pPr>
      <w:r>
        <w:fldChar w:fldCharType="begin"/>
      </w:r>
      <w:r>
        <w:instrText xml:space="preserve"> HYPERLINK \l "_Toc27840" </w:instrText>
      </w:r>
      <w:r>
        <w:fldChar w:fldCharType="separate"/>
      </w:r>
      <w:r>
        <w:rPr>
          <w:rFonts w:hint="eastAsia" w:ascii="黑体" w:eastAsia="黑体"/>
        </w:rPr>
        <w:t>二、机构设置</w:t>
      </w:r>
      <w:r>
        <w:tab/>
      </w:r>
      <w:r>
        <w:fldChar w:fldCharType="begin"/>
      </w:r>
      <w:r>
        <w:instrText xml:space="preserve"> PAGEREF _Toc27840 </w:instrText>
      </w:r>
      <w:r>
        <w:fldChar w:fldCharType="separate"/>
      </w:r>
      <w:r>
        <w:t>8</w:t>
      </w:r>
      <w:r>
        <w:fldChar w:fldCharType="end"/>
      </w:r>
      <w:r>
        <w:fldChar w:fldCharType="end"/>
      </w:r>
    </w:p>
    <w:p w14:paraId="64593E47">
      <w:pPr>
        <w:pStyle w:val="17"/>
        <w:tabs>
          <w:tab w:val="right" w:leader="dot" w:pos="8312"/>
          <w:tab w:val="clear" w:pos="8296"/>
        </w:tabs>
      </w:pPr>
      <w:r>
        <w:fldChar w:fldCharType="begin"/>
      </w:r>
      <w:r>
        <w:instrText xml:space="preserve"> HYPERLINK \l "_Toc29059" </w:instrText>
      </w:r>
      <w:r>
        <w:fldChar w:fldCharType="separate"/>
      </w:r>
      <w:r>
        <w:rPr>
          <w:rFonts w:hint="eastAsia" w:ascii="黑体" w:eastAsia="黑体"/>
        </w:rPr>
        <w:t>第二部分 2022年度</w:t>
      </w:r>
      <w:r>
        <w:rPr>
          <w:rFonts w:hint="eastAsia" w:ascii="黑体" w:eastAsia="黑体"/>
          <w:bCs/>
        </w:rPr>
        <w:t>部门决算情况说明</w:t>
      </w:r>
      <w:r>
        <w:tab/>
      </w:r>
      <w:r>
        <w:fldChar w:fldCharType="begin"/>
      </w:r>
      <w:r>
        <w:instrText xml:space="preserve"> PAGEREF _Toc29059 </w:instrText>
      </w:r>
      <w:r>
        <w:fldChar w:fldCharType="separate"/>
      </w:r>
      <w:r>
        <w:t>9</w:t>
      </w:r>
      <w:r>
        <w:fldChar w:fldCharType="end"/>
      </w:r>
      <w:r>
        <w:fldChar w:fldCharType="end"/>
      </w:r>
    </w:p>
    <w:p w14:paraId="74BD26BB">
      <w:pPr>
        <w:pStyle w:val="20"/>
        <w:tabs>
          <w:tab w:val="right" w:leader="dot" w:pos="8312"/>
          <w:tab w:val="clear" w:pos="8296"/>
        </w:tabs>
      </w:pPr>
      <w:r>
        <w:fldChar w:fldCharType="begin"/>
      </w:r>
      <w:r>
        <w:instrText xml:space="preserve"> HYPERLINK \l "_Toc10969" </w:instrText>
      </w:r>
      <w:r>
        <w:fldChar w:fldCharType="separate"/>
      </w:r>
      <w:r>
        <w:rPr>
          <w:rFonts w:ascii="黑体" w:eastAsia="黑体"/>
        </w:rPr>
        <w:t xml:space="preserve">一、 </w:t>
      </w:r>
      <w:r>
        <w:rPr>
          <w:rFonts w:hint="eastAsia" w:ascii="黑体" w:eastAsia="黑体"/>
          <w:szCs w:val="32"/>
        </w:rPr>
        <w:t>收</w:t>
      </w:r>
      <w:r>
        <w:rPr>
          <w:rFonts w:hint="eastAsia" w:ascii="黑体" w:eastAsia="黑体"/>
        </w:rPr>
        <w:t>入支出决算总体情况说明</w:t>
      </w:r>
      <w:r>
        <w:tab/>
      </w:r>
      <w:r>
        <w:fldChar w:fldCharType="begin"/>
      </w:r>
      <w:r>
        <w:instrText xml:space="preserve"> PAGEREF _Toc10969 </w:instrText>
      </w:r>
      <w:r>
        <w:fldChar w:fldCharType="separate"/>
      </w:r>
      <w:r>
        <w:t>9</w:t>
      </w:r>
      <w:r>
        <w:fldChar w:fldCharType="end"/>
      </w:r>
      <w:r>
        <w:fldChar w:fldCharType="end"/>
      </w:r>
    </w:p>
    <w:p w14:paraId="1B13E366">
      <w:pPr>
        <w:pStyle w:val="20"/>
        <w:tabs>
          <w:tab w:val="right" w:leader="dot" w:pos="8312"/>
          <w:tab w:val="clear" w:pos="8296"/>
        </w:tabs>
      </w:pPr>
      <w:r>
        <w:fldChar w:fldCharType="begin"/>
      </w:r>
      <w:r>
        <w:instrText xml:space="preserve"> HYPERLINK \l "_Toc29610" </w:instrText>
      </w:r>
      <w:r>
        <w:fldChar w:fldCharType="separate"/>
      </w:r>
      <w:r>
        <w:rPr>
          <w:rFonts w:ascii="黑体" w:eastAsia="黑体"/>
        </w:rPr>
        <w:t xml:space="preserve">二、 </w:t>
      </w:r>
      <w:r>
        <w:rPr>
          <w:rFonts w:hint="eastAsia" w:ascii="黑体" w:eastAsia="黑体"/>
          <w:szCs w:val="32"/>
        </w:rPr>
        <w:t>收</w:t>
      </w:r>
      <w:r>
        <w:rPr>
          <w:rFonts w:hint="eastAsia" w:ascii="黑体" w:eastAsia="黑体"/>
        </w:rPr>
        <w:t>入决算情况说明</w:t>
      </w:r>
      <w:r>
        <w:tab/>
      </w:r>
      <w:r>
        <w:fldChar w:fldCharType="begin"/>
      </w:r>
      <w:r>
        <w:instrText xml:space="preserve"> PAGEREF _Toc29610 </w:instrText>
      </w:r>
      <w:r>
        <w:fldChar w:fldCharType="separate"/>
      </w:r>
      <w:r>
        <w:t>9</w:t>
      </w:r>
      <w:r>
        <w:fldChar w:fldCharType="end"/>
      </w:r>
      <w:r>
        <w:fldChar w:fldCharType="end"/>
      </w:r>
    </w:p>
    <w:p w14:paraId="11C61634">
      <w:pPr>
        <w:pStyle w:val="20"/>
        <w:tabs>
          <w:tab w:val="right" w:leader="dot" w:pos="8312"/>
          <w:tab w:val="clear" w:pos="8296"/>
        </w:tabs>
      </w:pPr>
      <w:r>
        <w:fldChar w:fldCharType="begin"/>
      </w:r>
      <w:r>
        <w:instrText xml:space="preserve"> HYPERLINK \l "_Toc6063" </w:instrText>
      </w:r>
      <w:r>
        <w:fldChar w:fldCharType="separate"/>
      </w:r>
      <w:r>
        <w:rPr>
          <w:rFonts w:ascii="黑体" w:eastAsia="黑体"/>
        </w:rPr>
        <w:t xml:space="preserve">三、 </w:t>
      </w:r>
      <w:r>
        <w:rPr>
          <w:rFonts w:hint="eastAsia" w:ascii="黑体" w:eastAsia="黑体"/>
          <w:szCs w:val="32"/>
        </w:rPr>
        <w:t>支</w:t>
      </w:r>
      <w:r>
        <w:rPr>
          <w:rFonts w:hint="eastAsia" w:ascii="黑体" w:eastAsia="黑体"/>
        </w:rPr>
        <w:t>出决算情况说明</w:t>
      </w:r>
      <w:r>
        <w:tab/>
      </w:r>
      <w:r>
        <w:fldChar w:fldCharType="begin"/>
      </w:r>
      <w:r>
        <w:instrText xml:space="preserve"> PAGEREF _Toc6063 </w:instrText>
      </w:r>
      <w:r>
        <w:fldChar w:fldCharType="separate"/>
      </w:r>
      <w:r>
        <w:t>10</w:t>
      </w:r>
      <w:r>
        <w:fldChar w:fldCharType="end"/>
      </w:r>
      <w:r>
        <w:fldChar w:fldCharType="end"/>
      </w:r>
    </w:p>
    <w:p w14:paraId="6C66488C">
      <w:pPr>
        <w:pStyle w:val="20"/>
        <w:tabs>
          <w:tab w:val="right" w:leader="dot" w:pos="8312"/>
          <w:tab w:val="clear" w:pos="8296"/>
        </w:tabs>
      </w:pPr>
      <w:r>
        <w:fldChar w:fldCharType="begin"/>
      </w:r>
      <w:r>
        <w:instrText xml:space="preserve"> HYPERLINK \l "_Toc22887" </w:instrText>
      </w:r>
      <w:r>
        <w:fldChar w:fldCharType="separate"/>
      </w:r>
      <w:r>
        <w:rPr>
          <w:rFonts w:hint="eastAsia" w:ascii="黑体" w:eastAsia="黑体"/>
          <w:szCs w:val="32"/>
        </w:rPr>
        <w:t>四、财</w:t>
      </w:r>
      <w:r>
        <w:rPr>
          <w:rFonts w:hint="eastAsia" w:ascii="黑体" w:eastAsia="黑体"/>
        </w:rPr>
        <w:t>政拨款收入支出决算总体情况说明</w:t>
      </w:r>
      <w:r>
        <w:tab/>
      </w:r>
      <w:r>
        <w:fldChar w:fldCharType="begin"/>
      </w:r>
      <w:r>
        <w:instrText xml:space="preserve"> PAGEREF _Toc22887 </w:instrText>
      </w:r>
      <w:r>
        <w:fldChar w:fldCharType="separate"/>
      </w:r>
      <w:r>
        <w:t>11</w:t>
      </w:r>
      <w:r>
        <w:fldChar w:fldCharType="end"/>
      </w:r>
      <w:r>
        <w:fldChar w:fldCharType="end"/>
      </w:r>
    </w:p>
    <w:p w14:paraId="661C66BB">
      <w:pPr>
        <w:pStyle w:val="20"/>
        <w:tabs>
          <w:tab w:val="right" w:leader="dot" w:pos="8312"/>
          <w:tab w:val="clear" w:pos="8296"/>
        </w:tabs>
      </w:pPr>
      <w:r>
        <w:fldChar w:fldCharType="begin"/>
      </w:r>
      <w:r>
        <w:instrText xml:space="preserve"> HYPERLINK \l "_Toc20315" </w:instrText>
      </w:r>
      <w:r>
        <w:fldChar w:fldCharType="separate"/>
      </w:r>
      <w:r>
        <w:rPr>
          <w:rFonts w:hint="eastAsia" w:ascii="黑体" w:eastAsia="黑体"/>
          <w:szCs w:val="32"/>
        </w:rPr>
        <w:t>五、一</w:t>
      </w:r>
      <w:r>
        <w:rPr>
          <w:rFonts w:hint="eastAsia" w:ascii="黑体" w:eastAsia="黑体"/>
        </w:rPr>
        <w:t>般公共预算财政拨款支出决算情况说明</w:t>
      </w:r>
      <w:r>
        <w:tab/>
      </w:r>
      <w:r>
        <w:fldChar w:fldCharType="begin"/>
      </w:r>
      <w:r>
        <w:instrText xml:space="preserve"> PAGEREF _Toc20315 </w:instrText>
      </w:r>
      <w:r>
        <w:fldChar w:fldCharType="separate"/>
      </w:r>
      <w:r>
        <w:t>11</w:t>
      </w:r>
      <w:r>
        <w:fldChar w:fldCharType="end"/>
      </w:r>
      <w:r>
        <w:fldChar w:fldCharType="end"/>
      </w:r>
    </w:p>
    <w:p w14:paraId="2B65282E">
      <w:pPr>
        <w:pStyle w:val="20"/>
        <w:tabs>
          <w:tab w:val="right" w:leader="dot" w:pos="8312"/>
          <w:tab w:val="clear" w:pos="8296"/>
        </w:tabs>
      </w:pPr>
      <w:r>
        <w:fldChar w:fldCharType="begin"/>
      </w:r>
      <w:r>
        <w:instrText xml:space="preserve"> HYPERLINK \l "_Toc11993" </w:instrText>
      </w:r>
      <w:r>
        <w:fldChar w:fldCharType="separate"/>
      </w:r>
      <w:r>
        <w:rPr>
          <w:rFonts w:hint="eastAsia" w:ascii="黑体" w:eastAsia="黑体"/>
          <w:szCs w:val="32"/>
        </w:rPr>
        <w:t>六、一</w:t>
      </w:r>
      <w:r>
        <w:rPr>
          <w:rFonts w:hint="eastAsia" w:ascii="黑体" w:eastAsia="黑体"/>
        </w:rPr>
        <w:t>般公共预算财政拨款基本支出决算情况说明</w:t>
      </w:r>
      <w:r>
        <w:tab/>
      </w:r>
      <w:r>
        <w:fldChar w:fldCharType="begin"/>
      </w:r>
      <w:r>
        <w:instrText xml:space="preserve"> PAGEREF _Toc11993 </w:instrText>
      </w:r>
      <w:r>
        <w:fldChar w:fldCharType="separate"/>
      </w:r>
      <w:r>
        <w:t>14</w:t>
      </w:r>
      <w:r>
        <w:fldChar w:fldCharType="end"/>
      </w:r>
      <w:r>
        <w:fldChar w:fldCharType="end"/>
      </w:r>
    </w:p>
    <w:p w14:paraId="56D4B647">
      <w:pPr>
        <w:pStyle w:val="20"/>
        <w:tabs>
          <w:tab w:val="right" w:leader="dot" w:pos="8312"/>
          <w:tab w:val="clear" w:pos="8296"/>
        </w:tabs>
      </w:pPr>
      <w:r>
        <w:fldChar w:fldCharType="begin"/>
      </w:r>
      <w:r>
        <w:instrText xml:space="preserve"> HYPERLINK \l "_Toc13379" </w:instrText>
      </w:r>
      <w:r>
        <w:fldChar w:fldCharType="separate"/>
      </w:r>
      <w:r>
        <w:rPr>
          <w:rFonts w:hint="eastAsia" w:ascii="黑体" w:eastAsia="黑体"/>
          <w:szCs w:val="32"/>
        </w:rPr>
        <w:t>七、</w:t>
      </w:r>
      <w:r>
        <w:rPr>
          <w:rFonts w:hint="eastAsia" w:ascii="黑体" w:eastAsia="黑体"/>
        </w:rPr>
        <w:t>“三公”经费财政拨款支出决算情况说明</w:t>
      </w:r>
      <w:r>
        <w:tab/>
      </w:r>
      <w:r>
        <w:fldChar w:fldCharType="begin"/>
      </w:r>
      <w:r>
        <w:instrText xml:space="preserve"> PAGEREF _Toc13379 </w:instrText>
      </w:r>
      <w:r>
        <w:fldChar w:fldCharType="separate"/>
      </w:r>
      <w:r>
        <w:t>14</w:t>
      </w:r>
      <w:r>
        <w:fldChar w:fldCharType="end"/>
      </w:r>
      <w:r>
        <w:fldChar w:fldCharType="end"/>
      </w:r>
    </w:p>
    <w:p w14:paraId="337A6ACF">
      <w:pPr>
        <w:pStyle w:val="20"/>
        <w:tabs>
          <w:tab w:val="right" w:leader="dot" w:pos="8312"/>
          <w:tab w:val="clear" w:pos="8296"/>
        </w:tabs>
      </w:pPr>
      <w:r>
        <w:fldChar w:fldCharType="begin"/>
      </w:r>
      <w:r>
        <w:instrText xml:space="preserve"> HYPERLINK \l "_Toc16521" </w:instrText>
      </w:r>
      <w:r>
        <w:fldChar w:fldCharType="separate"/>
      </w:r>
      <w:r>
        <w:rPr>
          <w:rFonts w:hint="eastAsia" w:ascii="黑体" w:eastAsia="黑体"/>
        </w:rPr>
        <w:t>九、 国有资本经营预算支出决算情况说明</w:t>
      </w:r>
      <w:r>
        <w:tab/>
      </w:r>
      <w:r>
        <w:fldChar w:fldCharType="begin"/>
      </w:r>
      <w:r>
        <w:instrText xml:space="preserve"> PAGEREF _Toc16521 </w:instrText>
      </w:r>
      <w:r>
        <w:fldChar w:fldCharType="separate"/>
      </w:r>
      <w:r>
        <w:t>16</w:t>
      </w:r>
      <w:r>
        <w:fldChar w:fldCharType="end"/>
      </w:r>
      <w:r>
        <w:fldChar w:fldCharType="end"/>
      </w:r>
    </w:p>
    <w:p w14:paraId="461B607D">
      <w:pPr>
        <w:pStyle w:val="20"/>
        <w:tabs>
          <w:tab w:val="right" w:leader="dot" w:pos="8312"/>
          <w:tab w:val="clear" w:pos="8296"/>
        </w:tabs>
      </w:pPr>
      <w:r>
        <w:fldChar w:fldCharType="begin"/>
      </w:r>
      <w:r>
        <w:instrText xml:space="preserve"> HYPERLINK \l "_Toc28061" </w:instrText>
      </w:r>
      <w:r>
        <w:fldChar w:fldCharType="separate"/>
      </w:r>
      <w:r>
        <w:rPr>
          <w:rFonts w:hint="eastAsia" w:ascii="黑体" w:eastAsia="黑体"/>
          <w:szCs w:val="32"/>
        </w:rPr>
        <w:t>十</w:t>
      </w:r>
      <w:r>
        <w:rPr>
          <w:rFonts w:hint="eastAsia" w:ascii="黑体" w:eastAsia="黑体"/>
        </w:rPr>
        <w:t>、其他重要事项的情况说明</w:t>
      </w:r>
      <w:r>
        <w:tab/>
      </w:r>
      <w:r>
        <w:fldChar w:fldCharType="begin"/>
      </w:r>
      <w:r>
        <w:instrText xml:space="preserve"> PAGEREF _Toc28061 </w:instrText>
      </w:r>
      <w:r>
        <w:fldChar w:fldCharType="separate"/>
      </w:r>
      <w:r>
        <w:t>16</w:t>
      </w:r>
      <w:r>
        <w:fldChar w:fldCharType="end"/>
      </w:r>
      <w:r>
        <w:fldChar w:fldCharType="end"/>
      </w:r>
    </w:p>
    <w:p w14:paraId="25F4CCB3">
      <w:pPr>
        <w:pStyle w:val="17"/>
        <w:tabs>
          <w:tab w:val="right" w:leader="dot" w:pos="8312"/>
          <w:tab w:val="clear" w:pos="8296"/>
        </w:tabs>
      </w:pPr>
      <w:r>
        <w:fldChar w:fldCharType="begin"/>
      </w:r>
      <w:r>
        <w:instrText xml:space="preserve"> HYPERLINK \l "_Toc14940" </w:instrText>
      </w:r>
      <w:r>
        <w:fldChar w:fldCharType="separate"/>
      </w:r>
      <w:r>
        <w:rPr>
          <w:rFonts w:hint="eastAsia" w:ascii="黑体" w:eastAsia="黑体"/>
        </w:rPr>
        <w:t xml:space="preserve">第三部分 </w:t>
      </w:r>
      <w:r>
        <w:rPr>
          <w:rFonts w:hint="eastAsia" w:ascii="黑体" w:eastAsia="黑体"/>
          <w:szCs w:val="44"/>
        </w:rPr>
        <w:t>名</w:t>
      </w:r>
      <w:r>
        <w:rPr>
          <w:rFonts w:hint="eastAsia" w:ascii="黑体" w:eastAsia="黑体"/>
        </w:rPr>
        <w:t>词解释</w:t>
      </w:r>
      <w:r>
        <w:tab/>
      </w:r>
      <w:r>
        <w:fldChar w:fldCharType="begin"/>
      </w:r>
      <w:r>
        <w:instrText xml:space="preserve"> PAGEREF _Toc14940 </w:instrText>
      </w:r>
      <w:r>
        <w:fldChar w:fldCharType="separate"/>
      </w:r>
      <w:r>
        <w:t>18</w:t>
      </w:r>
      <w:r>
        <w:fldChar w:fldCharType="end"/>
      </w:r>
      <w:r>
        <w:fldChar w:fldCharType="end"/>
      </w:r>
    </w:p>
    <w:p w14:paraId="5C7D3A8B">
      <w:pPr>
        <w:pStyle w:val="17"/>
        <w:tabs>
          <w:tab w:val="right" w:leader="dot" w:pos="8312"/>
          <w:tab w:val="clear" w:pos="8296"/>
        </w:tabs>
      </w:pPr>
      <w:r>
        <w:fldChar w:fldCharType="begin"/>
      </w:r>
      <w:r>
        <w:instrText xml:space="preserve"> HYPERLINK \l "_Toc15132" </w:instrText>
      </w:r>
      <w:r>
        <w:fldChar w:fldCharType="separate"/>
      </w:r>
      <w:r>
        <w:rPr>
          <w:rFonts w:hint="eastAsia" w:ascii="黑体" w:eastAsia="黑体"/>
          <w:szCs w:val="44"/>
        </w:rPr>
        <w:t>第</w:t>
      </w:r>
      <w:r>
        <w:rPr>
          <w:rFonts w:hint="eastAsia" w:ascii="黑体" w:eastAsia="黑体"/>
        </w:rPr>
        <w:t>四部分附件</w:t>
      </w:r>
      <w:r>
        <w:tab/>
      </w:r>
      <w:r>
        <w:fldChar w:fldCharType="begin"/>
      </w:r>
      <w:r>
        <w:instrText xml:space="preserve"> PAGEREF _Toc15132 </w:instrText>
      </w:r>
      <w:r>
        <w:fldChar w:fldCharType="separate"/>
      </w:r>
      <w:r>
        <w:t>22</w:t>
      </w:r>
      <w:r>
        <w:fldChar w:fldCharType="end"/>
      </w:r>
      <w:r>
        <w:fldChar w:fldCharType="end"/>
      </w:r>
    </w:p>
    <w:p w14:paraId="5910FF30">
      <w:pPr>
        <w:pStyle w:val="17"/>
        <w:tabs>
          <w:tab w:val="right" w:leader="dot" w:pos="8312"/>
          <w:tab w:val="clear" w:pos="8296"/>
        </w:tabs>
      </w:pPr>
      <w:r>
        <w:fldChar w:fldCharType="begin"/>
      </w:r>
      <w:r>
        <w:instrText xml:space="preserve"> HYPERLINK \l "_Toc6935" </w:instrText>
      </w:r>
      <w:r>
        <w:fldChar w:fldCharType="separate"/>
      </w:r>
      <w:r>
        <w:rPr>
          <w:rFonts w:hint="eastAsia" w:ascii="黑体" w:eastAsia="黑体" w:cs="黑体"/>
          <w:szCs w:val="32"/>
        </w:rPr>
        <w:t>附件</w:t>
      </w:r>
      <w:r>
        <w:rPr>
          <w:rFonts w:ascii="黑体" w:eastAsia="黑体" w:cs="黑体"/>
          <w:szCs w:val="32"/>
        </w:rPr>
        <w:t>1</w:t>
      </w:r>
      <w:r>
        <w:tab/>
      </w:r>
      <w:r>
        <w:fldChar w:fldCharType="begin"/>
      </w:r>
      <w:r>
        <w:instrText xml:space="preserve"> PAGEREF _Toc6935 </w:instrText>
      </w:r>
      <w:r>
        <w:fldChar w:fldCharType="separate"/>
      </w:r>
      <w:r>
        <w:t>22</w:t>
      </w:r>
      <w:r>
        <w:fldChar w:fldCharType="end"/>
      </w:r>
      <w:r>
        <w:fldChar w:fldCharType="end"/>
      </w:r>
    </w:p>
    <w:p w14:paraId="4284219F">
      <w:pPr>
        <w:pStyle w:val="17"/>
        <w:tabs>
          <w:tab w:val="right" w:leader="dot" w:pos="8312"/>
          <w:tab w:val="clear" w:pos="8296"/>
        </w:tabs>
      </w:pPr>
      <w:r>
        <w:fldChar w:fldCharType="begin"/>
      </w:r>
      <w:r>
        <w:instrText xml:space="preserve"> HYPERLINK \l "_Toc20194" </w:instrText>
      </w:r>
      <w:r>
        <w:fldChar w:fldCharType="separate"/>
      </w:r>
      <w:r>
        <w:rPr>
          <w:rFonts w:hint="eastAsia" w:ascii="方正小标宋简体" w:eastAsia="方正小标宋简体" w:cs="黑体"/>
          <w:szCs w:val="44"/>
        </w:rPr>
        <w:t>四川省阿坝州壤塘县大学中专招生办公室</w:t>
      </w:r>
      <w:r>
        <w:rPr>
          <w:rFonts w:ascii="方正小标宋简体" w:eastAsia="方正小标宋简体" w:cs="黑体"/>
          <w:szCs w:val="44"/>
        </w:rPr>
        <w:t>2022</w:t>
      </w:r>
      <w:r>
        <w:rPr>
          <w:rFonts w:hint="eastAsia" w:ascii="方正小标宋简体" w:eastAsia="方正小标宋简体" w:cs="黑体"/>
          <w:szCs w:val="44"/>
        </w:rPr>
        <w:t>年部门整体支出绩效评价报告</w:t>
      </w:r>
      <w:r>
        <w:tab/>
      </w:r>
      <w:r>
        <w:fldChar w:fldCharType="begin"/>
      </w:r>
      <w:r>
        <w:instrText xml:space="preserve"> PAGEREF _Toc20194 </w:instrText>
      </w:r>
      <w:r>
        <w:fldChar w:fldCharType="separate"/>
      </w:r>
      <w:r>
        <w:t>22</w:t>
      </w:r>
      <w:r>
        <w:fldChar w:fldCharType="end"/>
      </w:r>
      <w:r>
        <w:fldChar w:fldCharType="end"/>
      </w:r>
    </w:p>
    <w:p w14:paraId="30FCA722">
      <w:pPr>
        <w:pStyle w:val="17"/>
        <w:tabs>
          <w:tab w:val="right" w:leader="dot" w:pos="8312"/>
          <w:tab w:val="clear" w:pos="8296"/>
        </w:tabs>
      </w:pPr>
      <w:r>
        <w:fldChar w:fldCharType="begin"/>
      </w:r>
      <w:r>
        <w:instrText xml:space="preserve"> HYPERLINK \l "_Toc2299" </w:instrText>
      </w:r>
      <w:r>
        <w:fldChar w:fldCharType="separate"/>
      </w:r>
      <w:r>
        <w:rPr>
          <w:rFonts w:hint="eastAsia" w:ascii="黑体" w:eastAsia="黑体"/>
          <w:szCs w:val="44"/>
        </w:rPr>
        <w:t>第</w:t>
      </w:r>
      <w:r>
        <w:rPr>
          <w:rFonts w:hint="eastAsia" w:ascii="黑体" w:eastAsia="黑体"/>
        </w:rPr>
        <w:t>五部分 附表</w:t>
      </w:r>
      <w:r>
        <w:tab/>
      </w:r>
      <w:r>
        <w:fldChar w:fldCharType="begin"/>
      </w:r>
      <w:r>
        <w:instrText xml:space="preserve"> PAGEREF _Toc2299 </w:instrText>
      </w:r>
      <w:r>
        <w:fldChar w:fldCharType="separate"/>
      </w:r>
      <w:r>
        <w:t>34</w:t>
      </w:r>
      <w:r>
        <w:fldChar w:fldCharType="end"/>
      </w:r>
      <w:r>
        <w:fldChar w:fldCharType="end"/>
      </w:r>
    </w:p>
    <w:p w14:paraId="10F35A22">
      <w:pPr>
        <w:pStyle w:val="20"/>
        <w:tabs>
          <w:tab w:val="right" w:leader="dot" w:pos="8312"/>
          <w:tab w:val="clear" w:pos="8296"/>
        </w:tabs>
      </w:pPr>
      <w:r>
        <w:fldChar w:fldCharType="begin"/>
      </w:r>
      <w:r>
        <w:instrText xml:space="preserve"> HYPERLINK \l "_Toc10288" </w:instrText>
      </w:r>
      <w:r>
        <w:fldChar w:fldCharType="separate"/>
      </w:r>
      <w:r>
        <w:rPr>
          <w:rFonts w:hint="eastAsia" w:ascii="仿宋" w:eastAsia="仿宋"/>
        </w:rPr>
        <w:t>一、收</w:t>
      </w:r>
      <w:r>
        <w:rPr>
          <w:rFonts w:hint="eastAsia"/>
        </w:rPr>
        <w:t>入支出决算总表</w:t>
      </w:r>
      <w:r>
        <w:tab/>
      </w:r>
      <w:r>
        <w:fldChar w:fldCharType="begin"/>
      </w:r>
      <w:r>
        <w:instrText xml:space="preserve"> PAGEREF _Toc10288 </w:instrText>
      </w:r>
      <w:r>
        <w:fldChar w:fldCharType="separate"/>
      </w:r>
      <w:r>
        <w:t>34</w:t>
      </w:r>
      <w:r>
        <w:fldChar w:fldCharType="end"/>
      </w:r>
      <w:r>
        <w:fldChar w:fldCharType="end"/>
      </w:r>
    </w:p>
    <w:p w14:paraId="3F551E04">
      <w:pPr>
        <w:pStyle w:val="20"/>
        <w:tabs>
          <w:tab w:val="right" w:leader="dot" w:pos="8312"/>
          <w:tab w:val="clear" w:pos="8296"/>
        </w:tabs>
      </w:pPr>
      <w:r>
        <w:fldChar w:fldCharType="begin"/>
      </w:r>
      <w:r>
        <w:instrText xml:space="preserve"> HYPERLINK \l "_Toc14402" </w:instrText>
      </w:r>
      <w:r>
        <w:fldChar w:fldCharType="separate"/>
      </w:r>
      <w:r>
        <w:rPr>
          <w:rFonts w:hint="eastAsia" w:ascii="仿宋" w:eastAsia="仿宋"/>
        </w:rPr>
        <w:t>二、收</w:t>
      </w:r>
      <w:r>
        <w:rPr>
          <w:rFonts w:hint="eastAsia" w:ascii="仿宋" w:eastAsia="仿宋"/>
          <w:bCs/>
        </w:rPr>
        <w:t>入决算表</w:t>
      </w:r>
      <w:r>
        <w:tab/>
      </w:r>
      <w:r>
        <w:fldChar w:fldCharType="begin"/>
      </w:r>
      <w:r>
        <w:instrText xml:space="preserve"> PAGEREF _Toc14402 </w:instrText>
      </w:r>
      <w:r>
        <w:fldChar w:fldCharType="separate"/>
      </w:r>
      <w:r>
        <w:t>34</w:t>
      </w:r>
      <w:r>
        <w:fldChar w:fldCharType="end"/>
      </w:r>
      <w:r>
        <w:fldChar w:fldCharType="end"/>
      </w:r>
    </w:p>
    <w:p w14:paraId="003EC90E">
      <w:pPr>
        <w:pStyle w:val="20"/>
        <w:tabs>
          <w:tab w:val="right" w:leader="dot" w:pos="8312"/>
          <w:tab w:val="clear" w:pos="8296"/>
        </w:tabs>
      </w:pPr>
      <w:r>
        <w:fldChar w:fldCharType="begin"/>
      </w:r>
      <w:r>
        <w:instrText xml:space="preserve"> HYPERLINK \l "_Toc31852" </w:instrText>
      </w:r>
      <w:r>
        <w:fldChar w:fldCharType="separate"/>
      </w:r>
      <w:r>
        <w:rPr>
          <w:rFonts w:hint="eastAsia" w:ascii="仿宋" w:eastAsia="仿宋"/>
          <w:bCs/>
        </w:rPr>
        <w:t>三、</w:t>
      </w:r>
      <w:r>
        <w:rPr>
          <w:rFonts w:hint="eastAsia" w:ascii="仿宋" w:eastAsia="仿宋"/>
        </w:rPr>
        <w:t>支</w:t>
      </w:r>
      <w:r>
        <w:rPr>
          <w:rFonts w:hint="eastAsia" w:ascii="仿宋" w:eastAsia="仿宋"/>
          <w:bCs/>
        </w:rPr>
        <w:t>出决算表</w:t>
      </w:r>
      <w:r>
        <w:tab/>
      </w:r>
      <w:r>
        <w:fldChar w:fldCharType="begin"/>
      </w:r>
      <w:r>
        <w:instrText xml:space="preserve"> PAGEREF _Toc31852 </w:instrText>
      </w:r>
      <w:r>
        <w:fldChar w:fldCharType="separate"/>
      </w:r>
      <w:r>
        <w:t>34</w:t>
      </w:r>
      <w:r>
        <w:fldChar w:fldCharType="end"/>
      </w:r>
      <w:r>
        <w:fldChar w:fldCharType="end"/>
      </w:r>
    </w:p>
    <w:p w14:paraId="65BDA33E">
      <w:pPr>
        <w:pStyle w:val="20"/>
        <w:tabs>
          <w:tab w:val="right" w:leader="dot" w:pos="8312"/>
          <w:tab w:val="clear" w:pos="8296"/>
        </w:tabs>
      </w:pPr>
      <w:r>
        <w:fldChar w:fldCharType="begin"/>
      </w:r>
      <w:r>
        <w:instrText xml:space="preserve"> HYPERLINK \l "_Toc23170" </w:instrText>
      </w:r>
      <w:r>
        <w:fldChar w:fldCharType="separate"/>
      </w:r>
      <w:r>
        <w:rPr>
          <w:rFonts w:hint="eastAsia" w:ascii="仿宋" w:eastAsia="仿宋"/>
          <w:bCs/>
        </w:rPr>
        <w:t>四、</w:t>
      </w:r>
      <w:r>
        <w:rPr>
          <w:rFonts w:hint="eastAsia" w:ascii="仿宋" w:eastAsia="仿宋"/>
        </w:rPr>
        <w:t>财</w:t>
      </w:r>
      <w:r>
        <w:rPr>
          <w:rFonts w:hint="eastAsia" w:ascii="仿宋" w:eastAsia="仿宋"/>
          <w:bCs/>
        </w:rPr>
        <w:t>政拨款收入支出决算总表</w:t>
      </w:r>
      <w:r>
        <w:tab/>
      </w:r>
      <w:r>
        <w:fldChar w:fldCharType="begin"/>
      </w:r>
      <w:r>
        <w:instrText xml:space="preserve"> PAGEREF _Toc23170 </w:instrText>
      </w:r>
      <w:r>
        <w:fldChar w:fldCharType="separate"/>
      </w:r>
      <w:r>
        <w:t>34</w:t>
      </w:r>
      <w:r>
        <w:fldChar w:fldCharType="end"/>
      </w:r>
      <w:r>
        <w:fldChar w:fldCharType="end"/>
      </w:r>
    </w:p>
    <w:p w14:paraId="0D6959E4">
      <w:pPr>
        <w:pStyle w:val="20"/>
        <w:tabs>
          <w:tab w:val="right" w:leader="dot" w:pos="8312"/>
          <w:tab w:val="clear" w:pos="8296"/>
        </w:tabs>
      </w:pPr>
      <w:r>
        <w:fldChar w:fldCharType="begin"/>
      </w:r>
      <w:r>
        <w:instrText xml:space="preserve"> HYPERLINK \l "_Toc26990" </w:instrText>
      </w:r>
      <w:r>
        <w:fldChar w:fldCharType="separate"/>
      </w:r>
      <w:r>
        <w:rPr>
          <w:rFonts w:hint="eastAsia" w:ascii="仿宋" w:eastAsia="仿宋"/>
          <w:bCs/>
        </w:rPr>
        <w:t>五、</w:t>
      </w:r>
      <w:r>
        <w:rPr>
          <w:rFonts w:hint="eastAsia" w:ascii="仿宋" w:eastAsia="仿宋"/>
        </w:rPr>
        <w:t>财</w:t>
      </w:r>
      <w:r>
        <w:rPr>
          <w:rFonts w:hint="eastAsia" w:ascii="仿宋" w:eastAsia="仿宋"/>
          <w:bCs/>
        </w:rPr>
        <w:t>政拨款支出决算明细表</w:t>
      </w:r>
      <w:r>
        <w:tab/>
      </w:r>
      <w:r>
        <w:fldChar w:fldCharType="begin"/>
      </w:r>
      <w:r>
        <w:instrText xml:space="preserve"> PAGEREF _Toc26990 </w:instrText>
      </w:r>
      <w:r>
        <w:fldChar w:fldCharType="separate"/>
      </w:r>
      <w:r>
        <w:t>34</w:t>
      </w:r>
      <w:r>
        <w:fldChar w:fldCharType="end"/>
      </w:r>
      <w:r>
        <w:fldChar w:fldCharType="end"/>
      </w:r>
    </w:p>
    <w:p w14:paraId="12F373B3">
      <w:pPr>
        <w:pStyle w:val="20"/>
        <w:tabs>
          <w:tab w:val="right" w:leader="dot" w:pos="8312"/>
          <w:tab w:val="clear" w:pos="8296"/>
        </w:tabs>
      </w:pPr>
      <w:r>
        <w:fldChar w:fldCharType="begin"/>
      </w:r>
      <w:r>
        <w:instrText xml:space="preserve"> HYPERLINK \l "_Toc1612" </w:instrText>
      </w:r>
      <w:r>
        <w:fldChar w:fldCharType="separate"/>
      </w:r>
      <w:r>
        <w:rPr>
          <w:rFonts w:hint="eastAsia" w:ascii="仿宋" w:eastAsia="仿宋"/>
          <w:bCs/>
        </w:rPr>
        <w:t>六、</w:t>
      </w:r>
      <w:r>
        <w:rPr>
          <w:rFonts w:hint="eastAsia" w:ascii="仿宋" w:eastAsia="仿宋"/>
        </w:rPr>
        <w:t>一</w:t>
      </w:r>
      <w:r>
        <w:rPr>
          <w:rFonts w:hint="eastAsia" w:ascii="仿宋" w:eastAsia="仿宋"/>
          <w:bCs/>
        </w:rPr>
        <w:t>般公共预算财政拨款支出决算表</w:t>
      </w:r>
      <w:r>
        <w:tab/>
      </w:r>
      <w:r>
        <w:fldChar w:fldCharType="begin"/>
      </w:r>
      <w:r>
        <w:instrText xml:space="preserve"> PAGEREF _Toc1612 </w:instrText>
      </w:r>
      <w:r>
        <w:fldChar w:fldCharType="separate"/>
      </w:r>
      <w:r>
        <w:t>34</w:t>
      </w:r>
      <w:r>
        <w:fldChar w:fldCharType="end"/>
      </w:r>
      <w:r>
        <w:fldChar w:fldCharType="end"/>
      </w:r>
    </w:p>
    <w:p w14:paraId="1F780B09">
      <w:pPr>
        <w:pStyle w:val="20"/>
        <w:tabs>
          <w:tab w:val="right" w:leader="dot" w:pos="8312"/>
          <w:tab w:val="clear" w:pos="8296"/>
        </w:tabs>
      </w:pPr>
      <w:r>
        <w:fldChar w:fldCharType="begin"/>
      </w:r>
      <w:r>
        <w:instrText xml:space="preserve"> HYPERLINK \l "_Toc17215" </w:instrText>
      </w:r>
      <w:r>
        <w:fldChar w:fldCharType="separate"/>
      </w:r>
      <w:r>
        <w:rPr>
          <w:rFonts w:hint="eastAsia" w:ascii="仿宋" w:eastAsia="仿宋"/>
          <w:bCs/>
        </w:rPr>
        <w:t>七、</w:t>
      </w:r>
      <w:r>
        <w:rPr>
          <w:rFonts w:hint="eastAsia" w:ascii="仿宋" w:eastAsia="仿宋"/>
        </w:rPr>
        <w:t>一</w:t>
      </w:r>
      <w:r>
        <w:rPr>
          <w:rFonts w:hint="eastAsia" w:ascii="仿宋" w:eastAsia="仿宋"/>
          <w:bCs/>
        </w:rPr>
        <w:t>般公共预算财政拨款支出决算明细表</w:t>
      </w:r>
      <w:r>
        <w:tab/>
      </w:r>
      <w:r>
        <w:fldChar w:fldCharType="begin"/>
      </w:r>
      <w:r>
        <w:instrText xml:space="preserve"> PAGEREF _Toc17215 </w:instrText>
      </w:r>
      <w:r>
        <w:fldChar w:fldCharType="separate"/>
      </w:r>
      <w:r>
        <w:t>34</w:t>
      </w:r>
      <w:r>
        <w:fldChar w:fldCharType="end"/>
      </w:r>
      <w:r>
        <w:fldChar w:fldCharType="end"/>
      </w:r>
    </w:p>
    <w:p w14:paraId="3B36000B">
      <w:pPr>
        <w:pStyle w:val="20"/>
        <w:tabs>
          <w:tab w:val="right" w:leader="dot" w:pos="8312"/>
          <w:tab w:val="clear" w:pos="8296"/>
        </w:tabs>
      </w:pPr>
      <w:r>
        <w:fldChar w:fldCharType="begin"/>
      </w:r>
      <w:r>
        <w:instrText xml:space="preserve"> HYPERLINK \l "_Toc16499" </w:instrText>
      </w:r>
      <w:r>
        <w:fldChar w:fldCharType="separate"/>
      </w:r>
      <w:r>
        <w:rPr>
          <w:rFonts w:hint="eastAsia" w:ascii="仿宋" w:eastAsia="仿宋"/>
          <w:bCs/>
        </w:rPr>
        <w:t>八、</w:t>
      </w:r>
      <w:r>
        <w:rPr>
          <w:rFonts w:hint="eastAsia" w:ascii="仿宋" w:eastAsia="仿宋"/>
        </w:rPr>
        <w:t>一</w:t>
      </w:r>
      <w:r>
        <w:rPr>
          <w:rFonts w:hint="eastAsia" w:ascii="仿宋" w:eastAsia="仿宋"/>
          <w:bCs/>
        </w:rPr>
        <w:t>般公共预算财政拨款基本支出决算表</w:t>
      </w:r>
      <w:r>
        <w:tab/>
      </w:r>
      <w:r>
        <w:fldChar w:fldCharType="begin"/>
      </w:r>
      <w:r>
        <w:instrText xml:space="preserve"> PAGEREF _Toc16499 </w:instrText>
      </w:r>
      <w:r>
        <w:fldChar w:fldCharType="separate"/>
      </w:r>
      <w:r>
        <w:t>34</w:t>
      </w:r>
      <w:r>
        <w:fldChar w:fldCharType="end"/>
      </w:r>
      <w:r>
        <w:fldChar w:fldCharType="end"/>
      </w:r>
    </w:p>
    <w:p w14:paraId="5B8C8B9C">
      <w:pPr>
        <w:pStyle w:val="20"/>
        <w:tabs>
          <w:tab w:val="right" w:leader="dot" w:pos="8312"/>
          <w:tab w:val="clear" w:pos="8296"/>
        </w:tabs>
      </w:pPr>
      <w:r>
        <w:fldChar w:fldCharType="begin"/>
      </w:r>
      <w:r>
        <w:instrText xml:space="preserve"> HYPERLINK \l "_Toc8354" </w:instrText>
      </w:r>
      <w:r>
        <w:fldChar w:fldCharType="separate"/>
      </w:r>
      <w:r>
        <w:rPr>
          <w:rFonts w:hint="eastAsia" w:ascii="仿宋" w:eastAsia="仿宋"/>
          <w:bCs/>
        </w:rPr>
        <w:t>九、</w:t>
      </w:r>
      <w:r>
        <w:rPr>
          <w:rFonts w:hint="eastAsia" w:ascii="仿宋" w:eastAsia="仿宋"/>
        </w:rPr>
        <w:t>一</w:t>
      </w:r>
      <w:r>
        <w:rPr>
          <w:rFonts w:hint="eastAsia" w:ascii="仿宋" w:eastAsia="仿宋"/>
          <w:bCs/>
        </w:rPr>
        <w:t>般公共预算财政拨款项目支出决算表</w:t>
      </w:r>
      <w:r>
        <w:tab/>
      </w:r>
      <w:r>
        <w:fldChar w:fldCharType="begin"/>
      </w:r>
      <w:r>
        <w:instrText xml:space="preserve"> PAGEREF _Toc8354 </w:instrText>
      </w:r>
      <w:r>
        <w:fldChar w:fldCharType="separate"/>
      </w:r>
      <w:r>
        <w:t>34</w:t>
      </w:r>
      <w:r>
        <w:fldChar w:fldCharType="end"/>
      </w:r>
      <w:r>
        <w:fldChar w:fldCharType="end"/>
      </w:r>
    </w:p>
    <w:p w14:paraId="0F1E3F5B">
      <w:pPr>
        <w:pStyle w:val="20"/>
        <w:tabs>
          <w:tab w:val="right" w:leader="dot" w:pos="8312"/>
          <w:tab w:val="clear" w:pos="8296"/>
        </w:tabs>
      </w:pPr>
      <w:r>
        <w:fldChar w:fldCharType="begin"/>
      </w:r>
      <w:r>
        <w:instrText xml:space="preserve"> HYPERLINK \l "_Toc23778" </w:instrText>
      </w:r>
      <w:r>
        <w:fldChar w:fldCharType="separate"/>
      </w:r>
      <w:r>
        <w:rPr>
          <w:rFonts w:hint="eastAsia" w:ascii="仿宋" w:eastAsia="仿宋"/>
          <w:bCs/>
        </w:rPr>
        <w:t>十、</w:t>
      </w:r>
      <w:r>
        <w:rPr>
          <w:rFonts w:hint="eastAsia" w:ascii="仿宋" w:eastAsia="仿宋"/>
        </w:rPr>
        <w:t>政</w:t>
      </w:r>
      <w:r>
        <w:rPr>
          <w:rFonts w:hint="eastAsia" w:ascii="仿宋" w:eastAsia="仿宋"/>
          <w:bCs/>
        </w:rPr>
        <w:t>府性基金预算财政拨款收入支出决算表</w:t>
      </w:r>
      <w:r>
        <w:tab/>
      </w:r>
      <w:r>
        <w:fldChar w:fldCharType="begin"/>
      </w:r>
      <w:r>
        <w:instrText xml:space="preserve"> PAGEREF _Toc23778 </w:instrText>
      </w:r>
      <w:r>
        <w:fldChar w:fldCharType="separate"/>
      </w:r>
      <w:r>
        <w:t>34</w:t>
      </w:r>
      <w:r>
        <w:fldChar w:fldCharType="end"/>
      </w:r>
      <w:r>
        <w:fldChar w:fldCharType="end"/>
      </w:r>
    </w:p>
    <w:p w14:paraId="3BE72A78">
      <w:pPr>
        <w:pStyle w:val="20"/>
        <w:tabs>
          <w:tab w:val="right" w:leader="dot" w:pos="8312"/>
          <w:tab w:val="clear" w:pos="8296"/>
        </w:tabs>
      </w:pPr>
      <w:r>
        <w:fldChar w:fldCharType="begin"/>
      </w:r>
      <w:r>
        <w:instrText xml:space="preserve"> HYPERLINK \l "_Toc9511" </w:instrText>
      </w:r>
      <w:r>
        <w:fldChar w:fldCharType="separate"/>
      </w:r>
      <w:r>
        <w:rPr>
          <w:rFonts w:hint="eastAsia" w:ascii="仿宋" w:eastAsia="仿宋"/>
          <w:bCs/>
        </w:rPr>
        <w:t>十一、</w:t>
      </w:r>
      <w:r>
        <w:rPr>
          <w:rFonts w:hint="eastAsia" w:ascii="仿宋" w:eastAsia="仿宋"/>
        </w:rPr>
        <w:t>国</w:t>
      </w:r>
      <w:r>
        <w:rPr>
          <w:rFonts w:hint="eastAsia" w:ascii="仿宋" w:eastAsia="仿宋"/>
          <w:bCs/>
        </w:rPr>
        <w:t>有资本经营预算财政拨款收入支出决算表</w:t>
      </w:r>
      <w:r>
        <w:tab/>
      </w:r>
      <w:r>
        <w:fldChar w:fldCharType="begin"/>
      </w:r>
      <w:r>
        <w:instrText xml:space="preserve"> PAGEREF _Toc9511 </w:instrText>
      </w:r>
      <w:r>
        <w:fldChar w:fldCharType="separate"/>
      </w:r>
      <w:r>
        <w:t>34</w:t>
      </w:r>
      <w:r>
        <w:fldChar w:fldCharType="end"/>
      </w:r>
      <w:r>
        <w:fldChar w:fldCharType="end"/>
      </w:r>
    </w:p>
    <w:p w14:paraId="4A4432FB">
      <w:pPr>
        <w:pStyle w:val="20"/>
        <w:tabs>
          <w:tab w:val="right" w:leader="dot" w:pos="8312"/>
          <w:tab w:val="clear" w:pos="8296"/>
        </w:tabs>
      </w:pPr>
      <w:r>
        <w:fldChar w:fldCharType="begin"/>
      </w:r>
      <w:r>
        <w:instrText xml:space="preserve"> HYPERLINK \l "_Toc23288" </w:instrText>
      </w:r>
      <w:r>
        <w:fldChar w:fldCharType="separate"/>
      </w:r>
      <w:r>
        <w:rPr>
          <w:rFonts w:hint="eastAsia" w:ascii="仿宋" w:eastAsia="仿宋"/>
          <w:bCs/>
        </w:rPr>
        <w:t>十二、国有资本经营预算财政拨款支出决算表</w:t>
      </w:r>
      <w:r>
        <w:tab/>
      </w:r>
      <w:r>
        <w:fldChar w:fldCharType="begin"/>
      </w:r>
      <w:r>
        <w:instrText xml:space="preserve"> PAGEREF _Toc23288 </w:instrText>
      </w:r>
      <w:r>
        <w:fldChar w:fldCharType="separate"/>
      </w:r>
      <w:r>
        <w:t>34</w:t>
      </w:r>
      <w:r>
        <w:fldChar w:fldCharType="end"/>
      </w:r>
      <w:r>
        <w:fldChar w:fldCharType="end"/>
      </w:r>
    </w:p>
    <w:p w14:paraId="09E214DC">
      <w:pPr>
        <w:pStyle w:val="20"/>
        <w:tabs>
          <w:tab w:val="right" w:leader="dot" w:pos="8312"/>
          <w:tab w:val="clear" w:pos="8296"/>
        </w:tabs>
      </w:pPr>
      <w:r>
        <w:fldChar w:fldCharType="begin"/>
      </w:r>
      <w:r>
        <w:instrText xml:space="preserve"> HYPERLINK \l "_Toc15513" </w:instrText>
      </w:r>
      <w:r>
        <w:fldChar w:fldCharType="separate"/>
      </w:r>
      <w:r>
        <w:rPr>
          <w:rFonts w:hint="eastAsia" w:ascii="仿宋" w:eastAsia="仿宋"/>
          <w:bCs/>
        </w:rPr>
        <w:t>十三、财政拨款“三公”经费支出决算表</w:t>
      </w:r>
      <w:r>
        <w:tab/>
      </w:r>
      <w:r>
        <w:fldChar w:fldCharType="begin"/>
      </w:r>
      <w:r>
        <w:instrText xml:space="preserve"> PAGEREF _Toc15513 </w:instrText>
      </w:r>
      <w:r>
        <w:fldChar w:fldCharType="separate"/>
      </w:r>
      <w:r>
        <w:t>34</w:t>
      </w:r>
      <w:r>
        <w:fldChar w:fldCharType="end"/>
      </w:r>
      <w:r>
        <w:fldChar w:fldCharType="end"/>
      </w:r>
    </w:p>
    <w:p w14:paraId="3867C4D9">
      <w:r>
        <w:fldChar w:fldCharType="end"/>
      </w:r>
    </w:p>
    <w:p w14:paraId="2D5B05A1">
      <w:pPr>
        <w:widowControl/>
        <w:spacing w:line="440" w:lineRule="exact"/>
        <w:jc w:val="left"/>
        <w:rPr>
          <w:rFonts w:ascii="仿宋" w:eastAsia="仿宋"/>
          <w:bCs/>
          <w:kern w:val="44"/>
          <w:sz w:val="24"/>
        </w:rPr>
      </w:pPr>
      <w:r>
        <w:rPr>
          <w:rFonts w:ascii="仿宋" w:eastAsia="仿宋"/>
          <w:b/>
          <w:sz w:val="24"/>
        </w:rPr>
        <w:br w:type="page"/>
      </w:r>
    </w:p>
    <w:bookmarkEnd w:id="14"/>
    <w:bookmarkEnd w:id="15"/>
    <w:p w14:paraId="0EA9E3C4">
      <w:pPr>
        <w:pStyle w:val="5"/>
        <w:jc w:val="center"/>
        <w:rPr>
          <w:rFonts w:ascii="黑体" w:eastAsia="黑体"/>
          <w:sz w:val="32"/>
          <w:szCs w:val="32"/>
        </w:rPr>
      </w:pPr>
      <w:bookmarkStart w:id="16" w:name="_Toc15396602"/>
      <w:bookmarkStart w:id="17" w:name="_Toc15377204"/>
      <w:r>
        <w:rPr>
          <w:rFonts w:hint="eastAsia" w:ascii="黑体" w:eastAsia="黑体"/>
          <w:b w:val="0"/>
        </w:rPr>
        <w:t xml:space="preserve">第一部分 </w:t>
      </w:r>
      <w:r>
        <w:rPr>
          <w:rStyle w:val="27"/>
          <w:rFonts w:hint="eastAsia" w:ascii="黑体" w:eastAsia="黑体"/>
          <w:b w:val="0"/>
          <w:bCs w:val="0"/>
          <w:lang w:eastAsia="zh-CN"/>
        </w:rPr>
        <w:t>部门</w:t>
      </w:r>
      <w:r>
        <w:rPr>
          <w:rStyle w:val="27"/>
          <w:rFonts w:hint="eastAsia" w:ascii="黑体" w:eastAsia="黑体"/>
          <w:b w:val="0"/>
          <w:bCs w:val="0"/>
        </w:rPr>
        <w:t>概况</w:t>
      </w:r>
    </w:p>
    <w:p w14:paraId="57F20384">
      <w:pPr>
        <w:pStyle w:val="6"/>
        <w:tabs>
          <w:tab w:val="left" w:pos="2791"/>
        </w:tabs>
        <w:rPr>
          <w:rFonts w:hint="eastAsia" w:ascii="黑体" w:eastAsia="黑体"/>
          <w:b w:val="0"/>
        </w:rPr>
      </w:pPr>
      <w:bookmarkStart w:id="18" w:name="_Toc15377197"/>
      <w:bookmarkStart w:id="19" w:name="_Toc15396600"/>
      <w:bookmarkStart w:id="20" w:name="_Toc18655"/>
      <w:bookmarkStart w:id="21" w:name="_Toc11684"/>
      <w:r>
        <w:rPr>
          <w:rFonts w:hint="eastAsia" w:ascii="黑体" w:eastAsia="黑体"/>
          <w:b w:val="0"/>
        </w:rPr>
        <w:t>一、</w:t>
      </w:r>
      <w:bookmarkEnd w:id="18"/>
      <w:bookmarkEnd w:id="19"/>
      <w:r>
        <w:rPr>
          <w:rFonts w:hint="eastAsia" w:ascii="黑体" w:eastAsia="黑体"/>
          <w:b w:val="0"/>
        </w:rPr>
        <w:t>部门职责</w:t>
      </w:r>
      <w:bookmarkEnd w:id="20"/>
      <w:bookmarkEnd w:id="21"/>
      <w:r>
        <w:rPr>
          <w:rFonts w:ascii="黑体" w:eastAsia="黑体"/>
          <w:b w:val="0"/>
        </w:rPr>
        <w:tab/>
      </w:r>
    </w:p>
    <w:p w14:paraId="7021E030">
      <w:pPr>
        <w:spacing w:line="600" w:lineRule="exact"/>
        <w:ind w:firstLine="640" w:firstLineChars="200"/>
        <w:rPr>
          <w:rFonts w:hint="eastAsia" w:ascii="仿宋" w:eastAsia="仿宋"/>
          <w:sz w:val="32"/>
          <w:szCs w:val="32"/>
        </w:rPr>
      </w:pPr>
      <w:bookmarkStart w:id="162" w:name="_GoBack"/>
      <w:r>
        <w:rPr>
          <w:rFonts w:hint="eastAsia" w:ascii="仿宋" w:eastAsia="仿宋"/>
          <w:sz w:val="32"/>
          <w:szCs w:val="32"/>
        </w:rPr>
        <w:t>贯彻执行党和国家教育方针政策、法律法规，统筹推进教育综合改革，编制并组织实施教育事业发展规划；统筹管理学前教育、义务教育、普通高中教育、职业教育、特殊教育、民办教育及终身教育体系建设，推进义务教育优质均衡发展和“双减”工作落实；负责教育系统党建思政、意识形态、师德师风建设及德育、体育、美育、劳动教育、法治教育、心理健康教育等工作；统筹教师队伍建设，负责教师招聘调配、职称评审、教育培训、评优表彰及人事管理工作；规范办学行为，负责教育行政审批、校外培训机构监管、教育督导评估、教育质量监测，督促落实各级教育履职责任；统筹管理教育经费、校园基建、校舍维修、教育装备、后勤保障及学生资助工作；负责各级各类教育招生考试、学籍管理、教学教研、课程教材管理等业务工作；统筹校园安全、综治维稳、信访舆情处置、未成年人保护及校园周边环境治理；落实语言文字规范化工作，统筹教育交流协作与对口帮扶，完成党委、政府和上级教育部门交办的其他工作。</w:t>
      </w:r>
    </w:p>
    <w:bookmarkEnd w:id="162"/>
    <w:p w14:paraId="2F7F7C10">
      <w:pPr>
        <w:pStyle w:val="6"/>
        <w:rPr>
          <w:rStyle w:val="28"/>
          <w:b w:val="0"/>
          <w:bCs w:val="0"/>
        </w:rPr>
      </w:pPr>
      <w:bookmarkStart w:id="22" w:name="_Toc21090"/>
      <w:bookmarkStart w:id="23" w:name="_Toc15396601"/>
      <w:bookmarkStart w:id="24" w:name="_Toc1170"/>
      <w:bookmarkStart w:id="25" w:name="_Toc15377200"/>
      <w:r>
        <w:rPr>
          <w:rFonts w:hint="eastAsia" w:ascii="黑体" w:eastAsia="黑体"/>
          <w:b w:val="0"/>
        </w:rPr>
        <w:t>二、机</w:t>
      </w:r>
      <w:r>
        <w:rPr>
          <w:rStyle w:val="28"/>
          <w:rFonts w:hint="eastAsia" w:ascii="黑体" w:eastAsia="黑体"/>
          <w:b w:val="0"/>
          <w:bCs w:val="0"/>
        </w:rPr>
        <w:t>构设置</w:t>
      </w:r>
      <w:bookmarkEnd w:id="22"/>
      <w:bookmarkEnd w:id="23"/>
      <w:bookmarkEnd w:id="24"/>
      <w:bookmarkEnd w:id="25"/>
    </w:p>
    <w:p w14:paraId="368FB842">
      <w:pPr>
        <w:spacing w:line="600" w:lineRule="exact"/>
        <w:ind w:firstLine="640" w:firstLineChars="200"/>
        <w:rPr>
          <w:rFonts w:hint="eastAsia" w:ascii="仿宋" w:eastAsia="仿宋"/>
          <w:sz w:val="32"/>
          <w:szCs w:val="32"/>
        </w:rPr>
      </w:pPr>
      <w:r>
        <w:rPr>
          <w:rFonts w:hint="eastAsia" w:ascii="仿宋" w:eastAsia="仿宋"/>
          <w:sz w:val="32"/>
          <w:szCs w:val="32"/>
        </w:rPr>
        <w:t>四川省阿坝州壤塘县大学中专招生办公室下属二级单位0个，其中行政单位0个，参照公务员法管理的事业单位0个，其他事业单位0个。</w:t>
      </w:r>
    </w:p>
    <w:p w14:paraId="648E33F8">
      <w:pPr>
        <w:spacing w:line="600" w:lineRule="exact"/>
        <w:ind w:firstLine="640" w:firstLineChars="200"/>
        <w:rPr>
          <w:rFonts w:hint="eastAsia" w:ascii="仿宋" w:eastAsia="仿宋"/>
          <w:sz w:val="32"/>
          <w:szCs w:val="32"/>
        </w:rPr>
      </w:pPr>
      <w:r>
        <w:rPr>
          <w:rFonts w:hint="eastAsia" w:ascii="仿宋" w:eastAsia="仿宋"/>
          <w:sz w:val="32"/>
          <w:szCs w:val="32"/>
        </w:rPr>
        <w:t>1.纳入四川省阿坝州壤塘县大学中专招生办公室2024年度部门决算编制范围的二级预算单位包括：无。</w:t>
      </w:r>
    </w:p>
    <w:p w14:paraId="4CFBAA89">
      <w:pPr>
        <w:pStyle w:val="5"/>
        <w:ind w:right="440"/>
        <w:jc w:val="center"/>
        <w:rPr>
          <w:rFonts w:ascii="黑体" w:eastAsia="黑体"/>
          <w:b w:val="0"/>
        </w:rPr>
      </w:pPr>
      <w:r>
        <w:rPr>
          <w:rFonts w:ascii="仿宋" w:eastAsia="仿宋"/>
          <w:sz w:val="32"/>
          <w:szCs w:val="32"/>
        </w:rPr>
        <w:br w:type="page"/>
      </w:r>
    </w:p>
    <w:p w14:paraId="66721AED">
      <w:pPr>
        <w:pStyle w:val="5"/>
        <w:ind w:right="440" w:firstLine="440" w:firstLineChars="100"/>
        <w:rPr>
          <w:rStyle w:val="27"/>
          <w:rFonts w:ascii="黑体" w:eastAsia="黑体"/>
          <w:b w:val="0"/>
          <w:bCs/>
        </w:rPr>
      </w:pPr>
      <w:bookmarkStart w:id="26" w:name="_Toc29059"/>
      <w:r>
        <w:rPr>
          <w:rFonts w:hint="eastAsia" w:ascii="黑体" w:eastAsia="黑体"/>
          <w:b w:val="0"/>
        </w:rPr>
        <w:t>第二部分 2022年度</w:t>
      </w:r>
      <w:r>
        <w:rPr>
          <w:rStyle w:val="27"/>
          <w:rFonts w:hint="eastAsia" w:ascii="黑体" w:eastAsia="黑体"/>
          <w:b w:val="0"/>
          <w:bCs/>
        </w:rPr>
        <w:t>部门决算情况说明</w:t>
      </w:r>
      <w:bookmarkEnd w:id="16"/>
      <w:bookmarkEnd w:id="17"/>
      <w:bookmarkEnd w:id="26"/>
    </w:p>
    <w:p w14:paraId="1C73EE9A"/>
    <w:p w14:paraId="65AF5C0F">
      <w:pPr>
        <w:pStyle w:val="38"/>
        <w:numPr>
          <w:ilvl w:val="0"/>
          <w:numId w:val="1"/>
        </w:numPr>
        <w:spacing w:line="600" w:lineRule="exact"/>
        <w:ind w:firstLineChars="0"/>
        <w:outlineLvl w:val="1"/>
        <w:rPr>
          <w:rStyle w:val="28"/>
          <w:rFonts w:ascii="黑体" w:eastAsia="黑体"/>
          <w:b w:val="0"/>
        </w:rPr>
      </w:pPr>
      <w:bookmarkStart w:id="27" w:name="_Toc15377205"/>
      <w:bookmarkStart w:id="28" w:name="_Toc1993"/>
      <w:bookmarkStart w:id="29" w:name="_Toc79163610"/>
      <w:bookmarkStart w:id="30" w:name="_Toc10969"/>
      <w:bookmarkStart w:id="31" w:name="_Toc15396603"/>
      <w:r>
        <w:rPr>
          <w:rFonts w:hint="eastAsia" w:ascii="黑体" w:eastAsia="黑体"/>
          <w:color w:val="000000"/>
          <w:sz w:val="32"/>
          <w:szCs w:val="32"/>
        </w:rPr>
        <w:t>收</w:t>
      </w:r>
      <w:r>
        <w:rPr>
          <w:rStyle w:val="28"/>
          <w:rFonts w:hint="eastAsia" w:ascii="黑体" w:eastAsia="黑体"/>
        </w:rPr>
        <w:t>入支出决算总体情况说明</w:t>
      </w:r>
      <w:bookmarkEnd w:id="27"/>
      <w:bookmarkEnd w:id="28"/>
      <w:bookmarkEnd w:id="29"/>
      <w:bookmarkEnd w:id="30"/>
      <w:bookmarkEnd w:id="31"/>
    </w:p>
    <w:p w14:paraId="0E29699B">
      <w:pPr>
        <w:ind w:firstLine="709"/>
        <w:rPr>
          <w:rFonts w:ascii="仿宋" w:eastAsia="仿宋"/>
          <w:color w:val="000000"/>
          <w:sz w:val="32"/>
          <w:szCs w:val="32"/>
        </w:rPr>
      </w:pPr>
      <w:r>
        <w:rPr>
          <w:rFonts w:hint="eastAsia" w:ascii="仿宋" w:eastAsia="仿宋"/>
          <w:color w:val="000000"/>
          <w:sz w:val="32"/>
          <w:szCs w:val="32"/>
        </w:rPr>
        <w:t>2022年度收入</w:t>
      </w:r>
      <w:r>
        <w:rPr>
          <w:rFonts w:ascii="仿宋" w:eastAsia="仿宋"/>
          <w:color w:val="000000"/>
          <w:sz w:val="32"/>
          <w:szCs w:val="32"/>
        </w:rPr>
        <w:t>13</w:t>
      </w:r>
      <w:r>
        <w:rPr>
          <w:rFonts w:hint="eastAsia" w:ascii="仿宋" w:eastAsia="仿宋"/>
          <w:color w:val="000000"/>
          <w:sz w:val="32"/>
          <w:szCs w:val="32"/>
        </w:rPr>
        <w:t>9</w:t>
      </w:r>
      <w:r>
        <w:rPr>
          <w:rFonts w:ascii="仿宋" w:eastAsia="仿宋"/>
          <w:color w:val="000000"/>
          <w:sz w:val="32"/>
          <w:szCs w:val="32"/>
        </w:rPr>
        <w:t>4.5</w:t>
      </w:r>
      <w:r>
        <w:rPr>
          <w:rFonts w:hint="eastAsia" w:ascii="仿宋" w:eastAsia="仿宋"/>
          <w:color w:val="000000"/>
          <w:sz w:val="32"/>
          <w:szCs w:val="32"/>
        </w:rPr>
        <w:t>万元，与2021年相比，收入减少了8184.64万元，减少了85.44</w:t>
      </w:r>
      <w:r>
        <w:rPr>
          <w:rFonts w:ascii="仿宋" w:eastAsia="仿宋"/>
          <w:color w:val="000000"/>
          <w:sz w:val="32"/>
          <w:szCs w:val="32"/>
        </w:rPr>
        <w:t>%</w:t>
      </w:r>
      <w:r>
        <w:rPr>
          <w:rFonts w:hint="eastAsia" w:ascii="仿宋" w:eastAsia="仿宋"/>
          <w:color w:val="000000"/>
          <w:sz w:val="32"/>
          <w:szCs w:val="32"/>
        </w:rPr>
        <w:t>。2022年度支出总计</w:t>
      </w:r>
      <w:r>
        <w:rPr>
          <w:rFonts w:ascii="仿宋" w:eastAsia="仿宋"/>
          <w:color w:val="000000"/>
          <w:sz w:val="32"/>
          <w:szCs w:val="32"/>
        </w:rPr>
        <w:t>1457.27</w:t>
      </w:r>
      <w:r>
        <w:rPr>
          <w:rFonts w:hint="eastAsia" w:ascii="仿宋" w:eastAsia="仿宋"/>
          <w:color w:val="000000"/>
          <w:sz w:val="32"/>
          <w:szCs w:val="32"/>
        </w:rPr>
        <w:t>万元，与2021年相比，支出减少9361.55万元，减少了86.53</w:t>
      </w:r>
      <w:r>
        <w:rPr>
          <w:rFonts w:ascii="仿宋" w:eastAsia="仿宋"/>
          <w:color w:val="000000"/>
          <w:sz w:val="32"/>
          <w:szCs w:val="32"/>
        </w:rPr>
        <w:t>%</w:t>
      </w:r>
      <w:r>
        <w:rPr>
          <w:rFonts w:hint="eastAsia" w:ascii="仿宋" w:eastAsia="仿宋"/>
          <w:color w:val="000000"/>
          <w:sz w:val="32"/>
          <w:szCs w:val="32"/>
        </w:rPr>
        <w:t>。主要变动原因2021年项目专项资金在本部门中核算，本年度在壤塘县教育局本级中核算，专项经费收入和支出相应减少。</w:t>
      </w:r>
    </w:p>
    <w:p w14:paraId="6D5DE9C4">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14:paraId="66C3030A">
      <w:pPr>
        <w:spacing w:line="600" w:lineRule="exact"/>
        <w:ind w:firstLine="640" w:firstLineChars="200"/>
        <w:rPr>
          <w:rFonts w:ascii="仿宋" w:eastAsia="仿宋"/>
          <w:color w:val="000000"/>
          <w:sz w:val="32"/>
          <w:szCs w:val="32"/>
        </w:rPr>
      </w:pPr>
    </w:p>
    <w:p w14:paraId="48CC7E75">
      <w:pPr>
        <w:spacing w:line="600" w:lineRule="exact"/>
        <w:ind w:firstLine="640" w:firstLineChars="200"/>
        <w:rPr>
          <w:rFonts w:ascii="仿宋" w:eastAsia="仿宋"/>
          <w:color w:val="000000"/>
          <w:sz w:val="32"/>
          <w:szCs w:val="32"/>
        </w:rPr>
      </w:pPr>
    </w:p>
    <w:p w14:paraId="5D8C8CED">
      <w:pPr>
        <w:spacing w:line="600" w:lineRule="exact"/>
        <w:ind w:firstLine="640" w:firstLineChars="200"/>
        <w:rPr>
          <w:rFonts w:ascii="仿宋" w:eastAsia="仿宋"/>
          <w:color w:val="000000"/>
          <w:sz w:val="32"/>
          <w:szCs w:val="32"/>
        </w:rPr>
      </w:pPr>
    </w:p>
    <w:p w14:paraId="2830702F">
      <w:pPr>
        <w:spacing w:line="600" w:lineRule="exact"/>
        <w:ind w:firstLine="640" w:firstLineChars="200"/>
        <w:rPr>
          <w:rFonts w:ascii="仿宋" w:eastAsia="仿宋"/>
          <w:color w:val="000000"/>
          <w:sz w:val="32"/>
          <w:szCs w:val="32"/>
        </w:rPr>
      </w:pPr>
    </w:p>
    <w:p w14:paraId="0FDB61F9">
      <w:pPr>
        <w:pStyle w:val="10"/>
        <w:spacing w:before="93" w:beforeLines="0"/>
      </w:pPr>
    </w:p>
    <w:p w14:paraId="1BC90299">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-1859915</wp:posOffset>
            </wp:positionV>
            <wp:extent cx="4514215" cy="2162175"/>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4514216" cy="2162175"/>
                    </a:xfrm>
                    <a:prstGeom prst="rect">
                      <a:avLst/>
                    </a:prstGeom>
                    <a:noFill/>
                    <a:ln w="9525" cap="flat" cmpd="sng">
                      <a:noFill/>
                      <a:prstDash val="solid"/>
                      <a:miter/>
                    </a:ln>
                  </pic:spPr>
                </pic:pic>
              </a:graphicData>
            </a:graphic>
          </wp:anchor>
        </w:drawing>
      </w:r>
    </w:p>
    <w:p w14:paraId="5DA603A5">
      <w:pPr>
        <w:pStyle w:val="38"/>
        <w:numPr>
          <w:ilvl w:val="0"/>
          <w:numId w:val="1"/>
        </w:numPr>
        <w:spacing w:line="600" w:lineRule="exact"/>
        <w:ind w:firstLineChars="0"/>
        <w:outlineLvl w:val="1"/>
        <w:rPr>
          <w:rStyle w:val="28"/>
          <w:rFonts w:ascii="黑体" w:eastAsia="黑体"/>
          <w:b w:val="0"/>
        </w:rPr>
      </w:pPr>
      <w:bookmarkStart w:id="32" w:name="_Toc15396604"/>
      <w:bookmarkStart w:id="33" w:name="_Toc15377206"/>
      <w:bookmarkStart w:id="34" w:name="_Toc79163611"/>
      <w:bookmarkStart w:id="35" w:name="_Toc22476"/>
      <w:bookmarkStart w:id="36" w:name="_Toc29610"/>
      <w:r>
        <w:rPr>
          <w:rFonts w:hint="eastAsia" w:ascii="黑体" w:eastAsia="黑体"/>
          <w:color w:val="000000"/>
          <w:sz w:val="32"/>
          <w:szCs w:val="32"/>
        </w:rPr>
        <w:t>收</w:t>
      </w:r>
      <w:r>
        <w:rPr>
          <w:rStyle w:val="28"/>
          <w:rFonts w:hint="eastAsia" w:ascii="黑体" w:eastAsia="黑体"/>
        </w:rPr>
        <w:t>入决算情况说明</w:t>
      </w:r>
      <w:bookmarkEnd w:id="32"/>
      <w:bookmarkEnd w:id="33"/>
      <w:bookmarkEnd w:id="34"/>
      <w:bookmarkEnd w:id="35"/>
      <w:bookmarkEnd w:id="36"/>
    </w:p>
    <w:p w14:paraId="728BC4D7">
      <w:pPr>
        <w:ind w:firstLine="640" w:firstLineChars="200"/>
        <w:rPr>
          <w:rFonts w:ascii="仿宋_GB2312" w:eastAsia="仿宋_GB2312"/>
          <w:color w:val="FF0000"/>
          <w:sz w:val="32"/>
          <w:szCs w:val="32"/>
        </w:rPr>
      </w:pPr>
      <w:r>
        <w:rPr>
          <w:rFonts w:ascii="仿宋" w:eastAsia="仿宋"/>
          <w:color w:val="000000"/>
          <w:sz w:val="32"/>
          <w:szCs w:val="32"/>
        </w:rPr>
        <w:t>2022</w:t>
      </w:r>
      <w:r>
        <w:rPr>
          <w:rFonts w:hint="eastAsia" w:ascii="仿宋" w:eastAsia="仿宋"/>
          <w:color w:val="000000"/>
          <w:sz w:val="32"/>
          <w:szCs w:val="32"/>
        </w:rPr>
        <w:t>年本年收入合计</w:t>
      </w:r>
      <w:r>
        <w:rPr>
          <w:rFonts w:ascii="仿宋" w:eastAsia="仿宋"/>
          <w:color w:val="000000"/>
          <w:sz w:val="32"/>
          <w:szCs w:val="32"/>
        </w:rPr>
        <w:t>1394.5</w:t>
      </w:r>
      <w:r>
        <w:rPr>
          <w:rFonts w:hint="eastAsia" w:ascii="仿宋" w:eastAsia="仿宋"/>
          <w:color w:val="000000"/>
          <w:sz w:val="32"/>
          <w:szCs w:val="32"/>
        </w:rPr>
        <w:t>万元，其中：一般公共预算财政拨款收入</w:t>
      </w:r>
      <w:r>
        <w:rPr>
          <w:rFonts w:ascii="仿宋" w:eastAsia="仿宋"/>
          <w:color w:val="000000"/>
          <w:sz w:val="32"/>
          <w:szCs w:val="32"/>
        </w:rPr>
        <w:t>1384.5</w:t>
      </w:r>
      <w:r>
        <w:rPr>
          <w:rFonts w:hint="eastAsia" w:ascii="仿宋" w:eastAsia="仿宋"/>
          <w:color w:val="000000"/>
          <w:sz w:val="32"/>
          <w:szCs w:val="32"/>
        </w:rPr>
        <w:t>万元，占99.28</w:t>
      </w:r>
      <w:r>
        <w:rPr>
          <w:rFonts w:ascii="仿宋" w:eastAsia="仿宋"/>
          <w:color w:val="000000"/>
          <w:sz w:val="32"/>
          <w:szCs w:val="32"/>
        </w:rPr>
        <w:t>%</w:t>
      </w:r>
      <w:r>
        <w:rPr>
          <w:rFonts w:hint="eastAsia" w:ascii="仿宋" w:eastAsia="仿宋"/>
          <w:color w:val="000000"/>
          <w:sz w:val="32"/>
          <w:szCs w:val="32"/>
        </w:rPr>
        <w:t>；政府性基金预算财政拨款收入0万元，占0.00</w:t>
      </w:r>
      <w:r>
        <w:rPr>
          <w:rFonts w:ascii="仿宋" w:eastAsia="仿宋"/>
          <w:color w:val="000000"/>
          <w:sz w:val="32"/>
          <w:szCs w:val="32"/>
        </w:rPr>
        <w:t>%</w:t>
      </w:r>
      <w:r>
        <w:rPr>
          <w:rFonts w:hint="eastAsia" w:ascii="仿宋" w:eastAsia="仿宋"/>
          <w:color w:val="000000"/>
          <w:sz w:val="32"/>
          <w:szCs w:val="32"/>
        </w:rPr>
        <w:t>；上级补助收入0万元，占0</w:t>
      </w:r>
      <w:r>
        <w:rPr>
          <w:rFonts w:ascii="仿宋" w:eastAsia="仿宋"/>
          <w:color w:val="000000"/>
          <w:sz w:val="32"/>
          <w:szCs w:val="32"/>
        </w:rPr>
        <w:t>%</w:t>
      </w:r>
      <w:r>
        <w:rPr>
          <w:rFonts w:hint="eastAsia" w:ascii="仿宋" w:eastAsia="仿宋"/>
          <w:color w:val="000000"/>
          <w:sz w:val="32"/>
          <w:szCs w:val="32"/>
        </w:rPr>
        <w:t>；事业收入</w:t>
      </w:r>
      <w:r>
        <w:rPr>
          <w:rFonts w:ascii="仿宋" w:eastAsia="仿宋"/>
          <w:color w:val="000000"/>
          <w:sz w:val="32"/>
          <w:szCs w:val="32"/>
        </w:rPr>
        <w:t>10</w:t>
      </w:r>
      <w:r>
        <w:rPr>
          <w:rFonts w:hint="eastAsia" w:ascii="仿宋" w:eastAsia="仿宋"/>
          <w:color w:val="000000"/>
          <w:sz w:val="32"/>
          <w:szCs w:val="32"/>
        </w:rPr>
        <w:t>万元，占0.72</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r>
        <w:rPr>
          <w:rFonts w:ascii="仿宋" w:eastAsia="仿宋"/>
          <w:color w:val="000000"/>
          <w:sz w:val="32"/>
          <w:szCs w:val="32"/>
        </w:rPr>
        <w:t>%</w:t>
      </w:r>
      <w:r>
        <w:rPr>
          <w:rFonts w:hint="eastAsia" w:ascii="仿宋" w:eastAsia="仿宋"/>
          <w:color w:val="000000"/>
          <w:sz w:val="32"/>
          <w:szCs w:val="32"/>
        </w:rPr>
        <w:t>。</w:t>
      </w:r>
    </w:p>
    <w:p w14:paraId="0FDFE55A">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：收入决算结构图）（饼状图）</w:t>
      </w:r>
    </w:p>
    <w:p w14:paraId="2DCA2FCC">
      <w:pPr>
        <w:pStyle w:val="10"/>
        <w:spacing w:before="93" w:beforeLines="0"/>
      </w:pPr>
      <w:r>
        <w:rPr>
          <w:rFonts w:hint="eastAsia"/>
        </w:rPr>
        <w:drawing>
          <wp:anchor distT="0" distB="0" distL="114300" distR="114300" simplePos="0" relativeHeight="251659264" behindDoc="0" locked="0" layoutInCell="1" allowOverlap="1">
            <wp:simplePos x="0" y="0"/>
            <wp:positionH relativeFrom="column">
              <wp:posOffset>304800</wp:posOffset>
            </wp:positionH>
            <wp:positionV relativeFrom="paragraph">
              <wp:posOffset>160020</wp:posOffset>
            </wp:positionV>
            <wp:extent cx="4562475" cy="2667000"/>
            <wp:effectExtent l="0" t="0" r="0" b="0"/>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4562475" cy="2667000"/>
                    </a:xfrm>
                    <a:prstGeom prst="rect">
                      <a:avLst/>
                    </a:prstGeom>
                    <a:noFill/>
                    <a:ln w="9525" cap="flat" cmpd="sng">
                      <a:noFill/>
                      <a:prstDash val="solid"/>
                      <a:miter/>
                    </a:ln>
                  </pic:spPr>
                </pic:pic>
              </a:graphicData>
            </a:graphic>
          </wp:anchor>
        </w:drawing>
      </w:r>
    </w:p>
    <w:p w14:paraId="6E6D74E7">
      <w:pPr>
        <w:pStyle w:val="10"/>
        <w:spacing w:before="93" w:beforeLines="0"/>
      </w:pPr>
    </w:p>
    <w:p w14:paraId="01CB62AC">
      <w:pPr>
        <w:spacing w:line="600" w:lineRule="exact"/>
        <w:ind w:firstLine="640" w:firstLineChars="200"/>
        <w:rPr>
          <w:rFonts w:ascii="仿宋_GB2312" w:eastAsia="仿宋_GB2312"/>
          <w:color w:val="FF0000"/>
          <w:sz w:val="32"/>
          <w:szCs w:val="32"/>
        </w:rPr>
      </w:pPr>
    </w:p>
    <w:p w14:paraId="61A72E19">
      <w:pPr>
        <w:pStyle w:val="10"/>
        <w:spacing w:before="93" w:beforeLines="0"/>
      </w:pPr>
    </w:p>
    <w:p w14:paraId="2A925BEE">
      <w:pPr>
        <w:spacing w:line="600" w:lineRule="exact"/>
        <w:ind w:firstLine="640" w:firstLineChars="200"/>
        <w:rPr>
          <w:rFonts w:ascii="仿宋_GB2312" w:eastAsia="仿宋_GB2312"/>
          <w:color w:val="FF0000"/>
          <w:sz w:val="32"/>
          <w:szCs w:val="32"/>
        </w:rPr>
      </w:pPr>
    </w:p>
    <w:p w14:paraId="00664E32">
      <w:pPr>
        <w:spacing w:line="600" w:lineRule="exact"/>
        <w:ind w:firstLine="640" w:firstLineChars="200"/>
        <w:rPr>
          <w:rFonts w:ascii="仿宋_GB2312" w:eastAsia="仿宋_GB2312"/>
          <w:color w:val="FF0000"/>
          <w:sz w:val="32"/>
          <w:szCs w:val="32"/>
        </w:rPr>
      </w:pPr>
    </w:p>
    <w:p w14:paraId="2117C123">
      <w:pPr>
        <w:spacing w:line="600" w:lineRule="exact"/>
        <w:ind w:firstLine="640" w:firstLineChars="200"/>
        <w:rPr>
          <w:rFonts w:ascii="仿宋_GB2312" w:eastAsia="仿宋_GB2312"/>
          <w:color w:val="FF0000"/>
          <w:sz w:val="32"/>
          <w:szCs w:val="32"/>
        </w:rPr>
      </w:pPr>
    </w:p>
    <w:p w14:paraId="78E049C0">
      <w:pPr>
        <w:pStyle w:val="38"/>
        <w:numPr>
          <w:ilvl w:val="0"/>
          <w:numId w:val="1"/>
        </w:numPr>
        <w:spacing w:line="600" w:lineRule="exact"/>
        <w:ind w:firstLineChars="0"/>
        <w:outlineLvl w:val="1"/>
        <w:rPr>
          <w:rStyle w:val="28"/>
          <w:rFonts w:ascii="黑体" w:eastAsia="黑体"/>
          <w:b w:val="0"/>
        </w:rPr>
      </w:pPr>
      <w:bookmarkStart w:id="37" w:name="_Toc15680"/>
      <w:bookmarkStart w:id="38" w:name="_Toc6063"/>
      <w:bookmarkStart w:id="39" w:name="_Toc79163612"/>
      <w:bookmarkStart w:id="40" w:name="_Toc15377207"/>
      <w:bookmarkStart w:id="41" w:name="_Toc15396605"/>
      <w:r>
        <w:rPr>
          <w:rFonts w:hint="eastAsia" w:ascii="黑体" w:eastAsia="黑体"/>
          <w:color w:val="000000"/>
          <w:sz w:val="32"/>
          <w:szCs w:val="32"/>
        </w:rPr>
        <w:t>支</w:t>
      </w:r>
      <w:r>
        <w:rPr>
          <w:rStyle w:val="28"/>
          <w:rFonts w:hint="eastAsia" w:ascii="黑体" w:eastAsia="黑体"/>
        </w:rPr>
        <w:t>出决算情况说明</w:t>
      </w:r>
      <w:bookmarkEnd w:id="37"/>
      <w:bookmarkEnd w:id="38"/>
      <w:bookmarkEnd w:id="39"/>
      <w:bookmarkEnd w:id="40"/>
      <w:bookmarkEnd w:id="41"/>
    </w:p>
    <w:p w14:paraId="042C6D28">
      <w:pPr>
        <w:ind w:firstLine="640" w:firstLineChars="200"/>
        <w:rPr>
          <w:rFonts w:ascii="仿宋" w:eastAsia="仿宋"/>
          <w:color w:val="000000"/>
          <w:sz w:val="32"/>
          <w:szCs w:val="32"/>
          <w:shd w:val="pct10" w:color="auto" w:fill="FFFFFF"/>
        </w:rPr>
      </w:pPr>
      <w:r>
        <w:rPr>
          <w:rFonts w:ascii="仿宋" w:eastAsia="仿宋"/>
          <w:color w:val="000000"/>
          <w:sz w:val="32"/>
          <w:szCs w:val="32"/>
        </w:rPr>
        <w:t>2022</w:t>
      </w:r>
      <w:r>
        <w:rPr>
          <w:rFonts w:hint="eastAsia" w:ascii="仿宋" w:eastAsia="仿宋"/>
          <w:color w:val="000000"/>
          <w:sz w:val="32"/>
          <w:szCs w:val="32"/>
        </w:rPr>
        <w:t>年本年支出合计</w:t>
      </w:r>
      <w:r>
        <w:rPr>
          <w:rFonts w:ascii="仿宋" w:eastAsia="仿宋"/>
          <w:color w:val="000000"/>
          <w:sz w:val="32"/>
          <w:szCs w:val="32"/>
        </w:rPr>
        <w:t>1457.27</w:t>
      </w:r>
      <w:r>
        <w:rPr>
          <w:rFonts w:hint="eastAsia" w:ascii="仿宋" w:eastAsia="仿宋"/>
          <w:color w:val="000000"/>
          <w:sz w:val="32"/>
          <w:szCs w:val="32"/>
        </w:rPr>
        <w:t>万元，其中：基本支出</w:t>
      </w:r>
      <w:r>
        <w:rPr>
          <w:rFonts w:ascii="仿宋" w:eastAsia="仿宋"/>
          <w:color w:val="000000"/>
          <w:sz w:val="32"/>
          <w:szCs w:val="32"/>
        </w:rPr>
        <w:t>1359.4</w:t>
      </w:r>
      <w:r>
        <w:rPr>
          <w:rFonts w:hint="eastAsia" w:ascii="仿宋" w:eastAsia="仿宋"/>
          <w:color w:val="000000"/>
          <w:sz w:val="32"/>
          <w:szCs w:val="32"/>
        </w:rPr>
        <w:t>万元，占93.28</w:t>
      </w:r>
      <w:r>
        <w:rPr>
          <w:rFonts w:ascii="仿宋" w:eastAsia="仿宋"/>
          <w:color w:val="000000"/>
          <w:sz w:val="32"/>
          <w:szCs w:val="32"/>
        </w:rPr>
        <w:t>%</w:t>
      </w:r>
      <w:r>
        <w:rPr>
          <w:rFonts w:hint="eastAsia" w:ascii="仿宋" w:eastAsia="仿宋"/>
          <w:color w:val="000000"/>
          <w:sz w:val="32"/>
          <w:szCs w:val="32"/>
        </w:rPr>
        <w:t>；项目支出</w:t>
      </w:r>
      <w:r>
        <w:rPr>
          <w:rFonts w:ascii="仿宋" w:eastAsia="仿宋"/>
          <w:color w:val="000000"/>
          <w:sz w:val="32"/>
          <w:szCs w:val="32"/>
        </w:rPr>
        <w:t>97.87</w:t>
      </w:r>
      <w:r>
        <w:rPr>
          <w:rFonts w:hint="eastAsia" w:ascii="仿宋" w:eastAsia="仿宋"/>
          <w:color w:val="000000"/>
          <w:sz w:val="32"/>
          <w:szCs w:val="32"/>
        </w:rPr>
        <w:t>万元，占6.72</w:t>
      </w:r>
      <w:r>
        <w:rPr>
          <w:rFonts w:ascii="仿宋" w:eastAsia="仿宋"/>
          <w:color w:val="000000"/>
          <w:sz w:val="32"/>
          <w:szCs w:val="32"/>
        </w:rPr>
        <w:t>%</w:t>
      </w:r>
      <w:r>
        <w:rPr>
          <w:rFonts w:hint="eastAsia" w:ascii="仿宋" w:eastAsia="仿宋"/>
          <w:color w:val="000000"/>
          <w:sz w:val="32"/>
          <w:szCs w:val="32"/>
        </w:rPr>
        <w:t>；上缴上级支出0万元，占0</w:t>
      </w:r>
      <w:r>
        <w:rPr>
          <w:rFonts w:ascii="仿宋" w:eastAsia="仿宋"/>
          <w:color w:val="000000"/>
          <w:sz w:val="32"/>
          <w:szCs w:val="32"/>
        </w:rPr>
        <w:t>%</w:t>
      </w:r>
      <w:r>
        <w:rPr>
          <w:rFonts w:hint="eastAsia" w:ascii="仿宋" w:eastAsia="仿宋"/>
          <w:color w:val="000000"/>
          <w:sz w:val="32"/>
          <w:szCs w:val="32"/>
        </w:rPr>
        <w:t>；经营支出0万元，占0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14:paraId="1740BFE1">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14:paraId="3A0B489A">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495300</wp:posOffset>
            </wp:positionH>
            <wp:positionV relativeFrom="paragraph">
              <wp:posOffset>66675</wp:posOffset>
            </wp:positionV>
            <wp:extent cx="3952875" cy="2362200"/>
            <wp:effectExtent l="0" t="0" r="0" b="0"/>
            <wp:wrapNone/>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8"/>
                    <a:stretch>
                      <a:fillRect/>
                    </a:stretch>
                  </pic:blipFill>
                  <pic:spPr>
                    <a:xfrm>
                      <a:off x="0" y="0"/>
                      <a:ext cx="3952873" cy="2362200"/>
                    </a:xfrm>
                    <a:prstGeom prst="rect">
                      <a:avLst/>
                    </a:prstGeom>
                    <a:noFill/>
                    <a:ln w="9525" cap="flat" cmpd="sng">
                      <a:noFill/>
                      <a:prstDash val="solid"/>
                      <a:miter/>
                    </a:ln>
                  </pic:spPr>
                </pic:pic>
              </a:graphicData>
            </a:graphic>
          </wp:anchor>
        </w:drawing>
      </w:r>
    </w:p>
    <w:p w14:paraId="3AE5A9D1">
      <w:pPr>
        <w:spacing w:line="600" w:lineRule="exact"/>
        <w:ind w:firstLine="640" w:firstLineChars="200"/>
        <w:rPr>
          <w:rFonts w:ascii="仿宋" w:eastAsia="仿宋"/>
          <w:color w:val="000000"/>
          <w:sz w:val="32"/>
          <w:szCs w:val="32"/>
        </w:rPr>
      </w:pPr>
    </w:p>
    <w:p w14:paraId="5CD7C4EE">
      <w:pPr>
        <w:spacing w:line="600" w:lineRule="exact"/>
        <w:ind w:firstLine="640" w:firstLineChars="200"/>
        <w:rPr>
          <w:rFonts w:ascii="仿宋" w:eastAsia="仿宋"/>
          <w:color w:val="000000"/>
          <w:sz w:val="32"/>
          <w:szCs w:val="32"/>
        </w:rPr>
      </w:pPr>
    </w:p>
    <w:p w14:paraId="083973BB">
      <w:pPr>
        <w:spacing w:line="600" w:lineRule="exact"/>
        <w:ind w:firstLine="640" w:firstLineChars="200"/>
        <w:rPr>
          <w:rFonts w:ascii="仿宋" w:eastAsia="仿宋"/>
          <w:color w:val="000000"/>
          <w:sz w:val="32"/>
          <w:szCs w:val="32"/>
        </w:rPr>
      </w:pPr>
    </w:p>
    <w:p w14:paraId="39F245CE">
      <w:pPr>
        <w:spacing w:line="600" w:lineRule="exact"/>
        <w:ind w:firstLine="640" w:firstLineChars="200"/>
        <w:rPr>
          <w:rFonts w:ascii="仿宋" w:eastAsia="仿宋"/>
          <w:color w:val="000000"/>
          <w:sz w:val="32"/>
          <w:szCs w:val="32"/>
        </w:rPr>
      </w:pPr>
    </w:p>
    <w:p w14:paraId="139DE17B">
      <w:pPr>
        <w:spacing w:line="600" w:lineRule="exact"/>
        <w:ind w:firstLine="640" w:firstLineChars="200"/>
        <w:rPr>
          <w:rFonts w:ascii="仿宋" w:eastAsia="仿宋"/>
          <w:color w:val="000000"/>
          <w:sz w:val="32"/>
          <w:szCs w:val="32"/>
        </w:rPr>
      </w:pPr>
    </w:p>
    <w:p w14:paraId="2DEE9EBB">
      <w:pPr>
        <w:spacing w:line="600" w:lineRule="exact"/>
        <w:ind w:firstLine="640" w:firstLineChars="200"/>
        <w:rPr>
          <w:rFonts w:ascii="仿宋" w:eastAsia="仿宋"/>
          <w:color w:val="000000"/>
          <w:sz w:val="32"/>
          <w:szCs w:val="32"/>
        </w:rPr>
      </w:pPr>
    </w:p>
    <w:p w14:paraId="00259632">
      <w:pPr>
        <w:spacing w:line="600" w:lineRule="exact"/>
        <w:rPr>
          <w:rFonts w:ascii="仿宋_GB2312" w:eastAsia="仿宋_GB2312"/>
          <w:color w:val="FF0000"/>
          <w:sz w:val="32"/>
          <w:szCs w:val="32"/>
        </w:rPr>
      </w:pPr>
    </w:p>
    <w:p w14:paraId="5AFC9AEE">
      <w:pPr>
        <w:spacing w:line="600" w:lineRule="exact"/>
        <w:ind w:firstLine="640" w:firstLineChars="200"/>
        <w:outlineLvl w:val="1"/>
        <w:rPr>
          <w:rStyle w:val="28"/>
          <w:rFonts w:ascii="黑体" w:eastAsia="黑体"/>
          <w:b w:val="0"/>
        </w:rPr>
      </w:pPr>
      <w:bookmarkStart w:id="42" w:name="_Toc15396606"/>
      <w:bookmarkStart w:id="43" w:name="_Toc79163613"/>
      <w:bookmarkStart w:id="44" w:name="_Toc15377208"/>
      <w:bookmarkStart w:id="45" w:name="_Toc22887"/>
      <w:bookmarkStart w:id="46" w:name="_Toc27223"/>
      <w:r>
        <w:rPr>
          <w:rFonts w:hint="eastAsia" w:ascii="黑体" w:eastAsia="黑体"/>
          <w:color w:val="000000"/>
          <w:sz w:val="32"/>
          <w:szCs w:val="32"/>
        </w:rPr>
        <w:t>四、财</w:t>
      </w:r>
      <w:r>
        <w:rPr>
          <w:rStyle w:val="28"/>
          <w:rFonts w:hint="eastAsia" w:ascii="黑体" w:eastAsia="黑体"/>
        </w:rPr>
        <w:t>政拨款收入支出决算总体情况说明</w:t>
      </w:r>
      <w:bookmarkEnd w:id="42"/>
      <w:bookmarkEnd w:id="43"/>
      <w:bookmarkEnd w:id="44"/>
      <w:bookmarkEnd w:id="45"/>
      <w:bookmarkEnd w:id="46"/>
    </w:p>
    <w:p w14:paraId="6BEFB50F">
      <w:pPr>
        <w:ind w:firstLine="709"/>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年财政拨款收入总计1,384.50万元，支出总计1,447.27万元。与</w:t>
      </w:r>
      <w:r>
        <w:rPr>
          <w:rFonts w:ascii="仿宋" w:eastAsia="仿宋"/>
          <w:color w:val="000000"/>
          <w:sz w:val="32"/>
          <w:szCs w:val="32"/>
        </w:rPr>
        <w:t>2021</w:t>
      </w:r>
      <w:r>
        <w:rPr>
          <w:rFonts w:hint="eastAsia" w:ascii="仿宋" w:eastAsia="仿宋"/>
          <w:color w:val="000000"/>
          <w:sz w:val="32"/>
          <w:szCs w:val="32"/>
        </w:rPr>
        <w:t>年相比，财政拨款收入总计减少8171.32万元，减少85.51</w:t>
      </w:r>
      <w:r>
        <w:rPr>
          <w:rFonts w:ascii="仿宋" w:eastAsia="仿宋"/>
          <w:color w:val="000000"/>
          <w:sz w:val="32"/>
          <w:szCs w:val="32"/>
        </w:rPr>
        <w:t>%</w:t>
      </w:r>
      <w:r>
        <w:rPr>
          <w:rFonts w:hint="eastAsia" w:ascii="仿宋" w:eastAsia="仿宋"/>
          <w:color w:val="000000"/>
          <w:sz w:val="32"/>
          <w:szCs w:val="32"/>
        </w:rPr>
        <w:t>，支出总计减少9348.23万元，减少86.59</w:t>
      </w:r>
      <w:r>
        <w:rPr>
          <w:rFonts w:ascii="仿宋" w:eastAsia="仿宋"/>
          <w:color w:val="000000"/>
          <w:sz w:val="32"/>
          <w:szCs w:val="32"/>
        </w:rPr>
        <w:t>%</w:t>
      </w:r>
      <w:r>
        <w:rPr>
          <w:rFonts w:hint="eastAsia" w:ascii="仿宋" w:eastAsia="仿宋"/>
          <w:color w:val="000000"/>
          <w:sz w:val="32"/>
          <w:szCs w:val="32"/>
        </w:rPr>
        <w:t>。主要变动原因2021年项目专项资金在本部门中核算，本年度在壤塘县教育局本级中核算，专项经费收入和支出相应减少。</w:t>
      </w:r>
    </w:p>
    <w:p w14:paraId="7FBDC06A">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14:paraId="5E7E8800">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723900</wp:posOffset>
            </wp:positionH>
            <wp:positionV relativeFrom="paragraph">
              <wp:posOffset>356235</wp:posOffset>
            </wp:positionV>
            <wp:extent cx="3980815" cy="2476500"/>
            <wp:effectExtent l="0" t="0" r="0" b="0"/>
            <wp:wrapNone/>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9"/>
                    <a:stretch>
                      <a:fillRect/>
                    </a:stretch>
                  </pic:blipFill>
                  <pic:spPr>
                    <a:xfrm>
                      <a:off x="0" y="0"/>
                      <a:ext cx="3980815" cy="2476500"/>
                    </a:xfrm>
                    <a:prstGeom prst="rect">
                      <a:avLst/>
                    </a:prstGeom>
                    <a:noFill/>
                    <a:ln w="9525" cap="flat" cmpd="sng">
                      <a:noFill/>
                      <a:prstDash val="solid"/>
                      <a:miter/>
                    </a:ln>
                  </pic:spPr>
                </pic:pic>
              </a:graphicData>
            </a:graphic>
          </wp:anchor>
        </w:drawing>
      </w:r>
    </w:p>
    <w:p w14:paraId="5DA5FA9C">
      <w:pPr>
        <w:spacing w:line="600" w:lineRule="exact"/>
        <w:ind w:firstLine="640" w:firstLineChars="200"/>
        <w:rPr>
          <w:rFonts w:ascii="仿宋" w:eastAsia="仿宋"/>
          <w:color w:val="000000"/>
          <w:sz w:val="32"/>
          <w:szCs w:val="32"/>
        </w:rPr>
      </w:pPr>
    </w:p>
    <w:p w14:paraId="34A1D9BE">
      <w:pPr>
        <w:spacing w:line="600" w:lineRule="exact"/>
        <w:ind w:firstLine="640" w:firstLineChars="200"/>
        <w:rPr>
          <w:rFonts w:ascii="仿宋" w:eastAsia="仿宋"/>
          <w:color w:val="000000"/>
          <w:sz w:val="32"/>
          <w:szCs w:val="32"/>
        </w:rPr>
      </w:pPr>
    </w:p>
    <w:p w14:paraId="353787AD">
      <w:pPr>
        <w:spacing w:line="600" w:lineRule="exact"/>
        <w:ind w:firstLine="640" w:firstLineChars="200"/>
        <w:rPr>
          <w:rFonts w:ascii="仿宋" w:eastAsia="仿宋"/>
          <w:color w:val="000000"/>
          <w:sz w:val="32"/>
          <w:szCs w:val="32"/>
        </w:rPr>
      </w:pPr>
    </w:p>
    <w:p w14:paraId="6A2EC9F5">
      <w:pPr>
        <w:spacing w:line="600" w:lineRule="exact"/>
        <w:ind w:firstLine="640" w:firstLineChars="200"/>
        <w:rPr>
          <w:rFonts w:ascii="仿宋" w:eastAsia="仿宋"/>
          <w:color w:val="000000"/>
          <w:sz w:val="32"/>
          <w:szCs w:val="32"/>
        </w:rPr>
      </w:pPr>
    </w:p>
    <w:p w14:paraId="2F176B9D">
      <w:pPr>
        <w:spacing w:line="600" w:lineRule="exact"/>
        <w:ind w:firstLine="640" w:firstLineChars="200"/>
        <w:rPr>
          <w:rFonts w:ascii="仿宋" w:eastAsia="仿宋"/>
          <w:color w:val="000000"/>
          <w:sz w:val="32"/>
          <w:szCs w:val="32"/>
        </w:rPr>
      </w:pPr>
    </w:p>
    <w:p w14:paraId="71CEDDB1">
      <w:pPr>
        <w:spacing w:line="600" w:lineRule="exact"/>
        <w:ind w:firstLine="640" w:firstLineChars="200"/>
        <w:rPr>
          <w:rFonts w:ascii="仿宋" w:eastAsia="仿宋"/>
          <w:color w:val="000000"/>
          <w:sz w:val="32"/>
          <w:szCs w:val="32"/>
        </w:rPr>
      </w:pPr>
    </w:p>
    <w:p w14:paraId="4F0347C8">
      <w:pPr>
        <w:spacing w:line="600" w:lineRule="exact"/>
        <w:ind w:firstLine="640" w:firstLineChars="200"/>
        <w:outlineLvl w:val="1"/>
        <w:rPr>
          <w:rFonts w:ascii="黑体" w:eastAsia="黑体"/>
          <w:color w:val="000000"/>
          <w:sz w:val="32"/>
          <w:szCs w:val="32"/>
        </w:rPr>
      </w:pPr>
      <w:bookmarkStart w:id="47" w:name="_Toc15377209"/>
      <w:bookmarkStart w:id="48" w:name="_Toc15396607"/>
      <w:bookmarkStart w:id="49" w:name="_Toc79163614"/>
    </w:p>
    <w:p w14:paraId="31E1A047">
      <w:pPr>
        <w:spacing w:line="600" w:lineRule="exact"/>
        <w:ind w:firstLine="640" w:firstLineChars="200"/>
        <w:outlineLvl w:val="1"/>
        <w:rPr>
          <w:rStyle w:val="28"/>
          <w:rFonts w:ascii="黑体" w:eastAsia="黑体"/>
          <w:b w:val="0"/>
        </w:rPr>
      </w:pPr>
      <w:bookmarkStart w:id="50" w:name="_Toc28903"/>
      <w:bookmarkStart w:id="51" w:name="_Toc20315"/>
      <w:r>
        <w:rPr>
          <w:rFonts w:hint="eastAsia" w:ascii="黑体" w:eastAsia="黑体"/>
          <w:color w:val="000000"/>
          <w:sz w:val="32"/>
          <w:szCs w:val="32"/>
        </w:rPr>
        <w:t>五、</w:t>
      </w:r>
      <w:r>
        <w:rPr>
          <w:rFonts w:hint="eastAsia" w:ascii="黑体" w:eastAsia="黑体"/>
          <w:b/>
          <w:color w:val="000000"/>
          <w:sz w:val="32"/>
          <w:szCs w:val="32"/>
        </w:rPr>
        <w:t>一</w:t>
      </w:r>
      <w:r>
        <w:rPr>
          <w:rStyle w:val="28"/>
          <w:rFonts w:hint="eastAsia" w:ascii="黑体" w:eastAsia="黑体"/>
        </w:rPr>
        <w:t>般公共预算财政拨款支出决算情况说明</w:t>
      </w:r>
      <w:bookmarkEnd w:id="47"/>
      <w:bookmarkEnd w:id="48"/>
      <w:bookmarkEnd w:id="49"/>
      <w:bookmarkEnd w:id="50"/>
      <w:bookmarkEnd w:id="51"/>
    </w:p>
    <w:p w14:paraId="16829E9E">
      <w:pPr>
        <w:spacing w:line="600" w:lineRule="exact"/>
        <w:ind w:firstLine="643" w:firstLineChars="200"/>
        <w:outlineLvl w:val="2"/>
        <w:rPr>
          <w:rFonts w:ascii="仿宋" w:eastAsia="仿宋"/>
          <w:b/>
          <w:color w:val="000000"/>
          <w:sz w:val="32"/>
          <w:szCs w:val="32"/>
        </w:rPr>
      </w:pPr>
      <w:bookmarkStart w:id="52" w:name="_Toc79163615"/>
      <w:bookmarkStart w:id="53" w:name="_Toc297"/>
      <w:bookmarkStart w:id="54" w:name="_Toc15377210"/>
      <w:r>
        <w:rPr>
          <w:rFonts w:hint="eastAsia" w:ascii="仿宋" w:eastAsia="仿宋"/>
          <w:b/>
          <w:color w:val="000000"/>
          <w:sz w:val="32"/>
          <w:szCs w:val="32"/>
        </w:rPr>
        <w:t>（一）一般公共预算财政拨款支出决算总体情况</w:t>
      </w:r>
      <w:bookmarkEnd w:id="52"/>
      <w:bookmarkEnd w:id="53"/>
      <w:bookmarkEnd w:id="54"/>
    </w:p>
    <w:p w14:paraId="2C969818">
      <w:pPr>
        <w:ind w:firstLine="709"/>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年一般公共预算财政拨款支出</w:t>
      </w:r>
      <w:r>
        <w:rPr>
          <w:rFonts w:ascii="仿宋" w:eastAsia="仿宋"/>
          <w:color w:val="000000"/>
          <w:sz w:val="32"/>
          <w:szCs w:val="32"/>
        </w:rPr>
        <w:t>1447.27</w:t>
      </w:r>
      <w:r>
        <w:rPr>
          <w:rFonts w:hint="eastAsia" w:ascii="仿宋" w:eastAsia="仿宋"/>
          <w:color w:val="000000"/>
          <w:sz w:val="32"/>
          <w:szCs w:val="32"/>
        </w:rPr>
        <w:t>万元，占本年支出合计的99.31</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2021</w:t>
      </w:r>
      <w:r>
        <w:rPr>
          <w:rFonts w:hint="eastAsia" w:ascii="仿宋" w:eastAsia="仿宋"/>
          <w:color w:val="000000"/>
          <w:sz w:val="32"/>
          <w:szCs w:val="32"/>
        </w:rPr>
        <w:t>年相比，一般公共预算财政拨款支出减少9298.27万元，减少86.53</w:t>
      </w:r>
      <w:r>
        <w:rPr>
          <w:rFonts w:ascii="仿宋" w:eastAsia="仿宋"/>
          <w:color w:val="000000"/>
          <w:sz w:val="32"/>
          <w:szCs w:val="32"/>
        </w:rPr>
        <w:t>%</w:t>
      </w:r>
      <w:r>
        <w:rPr>
          <w:rFonts w:hint="eastAsia" w:ascii="仿宋" w:eastAsia="仿宋"/>
          <w:color w:val="000000"/>
          <w:sz w:val="32"/>
          <w:szCs w:val="32"/>
        </w:rPr>
        <w:t>。主要变动原因2021年项目专项资金在本部门中核算，本年度在壤塘县教育局本级中核算，专项经费支出相应减少。</w:t>
      </w:r>
    </w:p>
    <w:p w14:paraId="7B0DCD0A">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：一般公共预算财政拨款支出决算变动情况）（柱状图）</w:t>
      </w:r>
    </w:p>
    <w:p w14:paraId="4B642A0D">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-28575</wp:posOffset>
            </wp:positionH>
            <wp:positionV relativeFrom="paragraph">
              <wp:posOffset>35560</wp:posOffset>
            </wp:positionV>
            <wp:extent cx="5514975" cy="2257425"/>
            <wp:effectExtent l="0" t="0" r="0" b="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0"/>
                    <a:stretch>
                      <a:fillRect/>
                    </a:stretch>
                  </pic:blipFill>
                  <pic:spPr>
                    <a:xfrm>
                      <a:off x="0" y="0"/>
                      <a:ext cx="5514973" cy="2257425"/>
                    </a:xfrm>
                    <a:prstGeom prst="rect">
                      <a:avLst/>
                    </a:prstGeom>
                    <a:noFill/>
                    <a:ln w="9525" cap="flat" cmpd="sng">
                      <a:noFill/>
                      <a:prstDash val="solid"/>
                      <a:miter/>
                    </a:ln>
                  </pic:spPr>
                </pic:pic>
              </a:graphicData>
            </a:graphic>
          </wp:anchor>
        </w:drawing>
      </w:r>
    </w:p>
    <w:p w14:paraId="63FE812A">
      <w:pPr>
        <w:spacing w:line="600" w:lineRule="exact"/>
        <w:ind w:firstLine="640" w:firstLineChars="200"/>
        <w:rPr>
          <w:rFonts w:ascii="仿宋" w:eastAsia="仿宋"/>
          <w:color w:val="000000"/>
          <w:sz w:val="32"/>
          <w:szCs w:val="32"/>
        </w:rPr>
      </w:pPr>
    </w:p>
    <w:p w14:paraId="62F6170C">
      <w:pPr>
        <w:spacing w:line="600" w:lineRule="exact"/>
        <w:ind w:firstLine="640" w:firstLineChars="200"/>
        <w:rPr>
          <w:rFonts w:ascii="仿宋" w:eastAsia="仿宋"/>
          <w:color w:val="000000"/>
          <w:sz w:val="32"/>
          <w:szCs w:val="32"/>
        </w:rPr>
      </w:pPr>
    </w:p>
    <w:p w14:paraId="7803E670">
      <w:pPr>
        <w:spacing w:line="600" w:lineRule="exact"/>
        <w:ind w:firstLine="640" w:firstLineChars="200"/>
        <w:rPr>
          <w:rFonts w:ascii="仿宋" w:eastAsia="仿宋"/>
          <w:color w:val="000000"/>
          <w:sz w:val="32"/>
          <w:szCs w:val="32"/>
        </w:rPr>
      </w:pPr>
    </w:p>
    <w:p w14:paraId="0CF31335">
      <w:pPr>
        <w:spacing w:line="600" w:lineRule="exact"/>
        <w:ind w:firstLine="640" w:firstLineChars="200"/>
        <w:rPr>
          <w:rFonts w:ascii="仿宋" w:eastAsia="仿宋"/>
          <w:color w:val="000000"/>
          <w:sz w:val="32"/>
          <w:szCs w:val="32"/>
        </w:rPr>
      </w:pPr>
    </w:p>
    <w:p w14:paraId="7C96AA15">
      <w:pPr>
        <w:spacing w:line="600" w:lineRule="exact"/>
        <w:ind w:firstLine="640" w:firstLineChars="200"/>
        <w:rPr>
          <w:rFonts w:ascii="仿宋" w:eastAsia="仿宋"/>
          <w:color w:val="000000"/>
          <w:sz w:val="32"/>
          <w:szCs w:val="32"/>
        </w:rPr>
      </w:pPr>
    </w:p>
    <w:p w14:paraId="1B93072E">
      <w:pPr>
        <w:spacing w:line="600" w:lineRule="exact"/>
        <w:ind w:firstLine="643" w:firstLineChars="200"/>
        <w:outlineLvl w:val="2"/>
        <w:rPr>
          <w:rFonts w:ascii="仿宋" w:eastAsia="仿宋"/>
          <w:b/>
          <w:color w:val="000000"/>
          <w:sz w:val="32"/>
          <w:szCs w:val="32"/>
        </w:rPr>
      </w:pPr>
      <w:bookmarkStart w:id="55" w:name="_Toc79163616"/>
      <w:bookmarkStart w:id="56" w:name="_Toc15377211"/>
      <w:bookmarkStart w:id="57" w:name="_Toc15421"/>
      <w:r>
        <w:rPr>
          <w:rFonts w:hint="eastAsia" w:ascii="仿宋" w:eastAsia="仿宋"/>
          <w:b/>
          <w:color w:val="000000"/>
          <w:sz w:val="32"/>
          <w:szCs w:val="32"/>
        </w:rPr>
        <w:t>（二）一般公共预算财政拨款支出决算结构情况</w:t>
      </w:r>
      <w:bookmarkEnd w:id="55"/>
      <w:bookmarkEnd w:id="56"/>
      <w:bookmarkEnd w:id="57"/>
    </w:p>
    <w:p w14:paraId="571131CE">
      <w:pPr>
        <w:spacing w:line="600" w:lineRule="exact"/>
        <w:ind w:firstLine="640"/>
        <w:rPr>
          <w:rFonts w:ascii="仿宋" w:eastAsia="仿宋"/>
          <w:b/>
          <w:color w:val="000000"/>
          <w:sz w:val="32"/>
          <w:szCs w:val="32"/>
        </w:rPr>
      </w:pPr>
      <w:r>
        <w:rPr>
          <w:rFonts w:ascii="仿宋" w:eastAsia="仿宋"/>
          <w:color w:val="000000"/>
          <w:sz w:val="32"/>
          <w:szCs w:val="32"/>
        </w:rPr>
        <w:t>2022</w:t>
      </w:r>
      <w:r>
        <w:rPr>
          <w:rFonts w:hint="eastAsia" w:ascii="仿宋" w:eastAsia="仿宋"/>
          <w:color w:val="000000"/>
          <w:sz w:val="32"/>
          <w:szCs w:val="32"/>
        </w:rPr>
        <w:t>年一般公共预算财政拨款支出1,447.27万元，主要用于以下方面</w:t>
      </w:r>
      <w:r>
        <w:rPr>
          <w:rFonts w:ascii="仿宋" w:eastAsia="仿宋"/>
          <w:color w:val="000000"/>
          <w:sz w:val="32"/>
          <w:szCs w:val="32"/>
        </w:rPr>
        <w:t>:</w:t>
      </w:r>
      <w:r>
        <w:rPr>
          <w:rFonts w:hint="eastAsia" w:ascii="仿宋" w:eastAsia="仿宋"/>
          <w:b/>
          <w:color w:val="000000"/>
          <w:sz w:val="32"/>
          <w:szCs w:val="32"/>
        </w:rPr>
        <w:t>一般公共服务（201类）</w:t>
      </w:r>
      <w:r>
        <w:rPr>
          <w:rFonts w:hint="eastAsia" w:ascii="仿宋" w:eastAsia="仿宋"/>
          <w:color w:val="000000"/>
          <w:sz w:val="32"/>
          <w:szCs w:val="32"/>
        </w:rPr>
        <w:t>支出0万元，占0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教育支出（205类）</w:t>
      </w:r>
      <w:r>
        <w:rPr>
          <w:rFonts w:ascii="仿宋" w:eastAsia="仿宋"/>
          <w:color w:val="000000"/>
          <w:sz w:val="32"/>
          <w:szCs w:val="32"/>
        </w:rPr>
        <w:t>1150.63</w:t>
      </w:r>
      <w:r>
        <w:rPr>
          <w:rFonts w:hint="eastAsia" w:ascii="仿宋" w:eastAsia="仿宋"/>
          <w:color w:val="000000"/>
          <w:sz w:val="32"/>
          <w:szCs w:val="32"/>
        </w:rPr>
        <w:t>万元，占79.5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科学技术（206类）</w:t>
      </w:r>
      <w:r>
        <w:rPr>
          <w:rFonts w:hint="eastAsia" w:ascii="仿宋" w:eastAsia="仿宋"/>
          <w:color w:val="000000"/>
          <w:sz w:val="32"/>
          <w:szCs w:val="32"/>
        </w:rPr>
        <w:t>支出0万元，占0</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社会保障和就业（208类）</w:t>
      </w:r>
      <w:r>
        <w:rPr>
          <w:rFonts w:hint="eastAsia" w:ascii="仿宋" w:eastAsia="仿宋"/>
          <w:color w:val="000000"/>
          <w:sz w:val="32"/>
          <w:szCs w:val="32"/>
        </w:rPr>
        <w:t>支出152.68万元，占10.55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卫生健康支出（210</w:t>
      </w:r>
      <w:r>
        <w:rPr>
          <w:rFonts w:hint="eastAsia" w:ascii="仿宋" w:eastAsia="仿宋"/>
          <w:b/>
          <w:color w:val="000000"/>
          <w:sz w:val="32"/>
          <w:szCs w:val="32"/>
        </w:rPr>
        <w:t>类</w:t>
      </w:r>
      <w:r>
        <w:rPr>
          <w:rFonts w:hint="eastAsia" w:ascii="仿宋" w:eastAsia="仿宋"/>
          <w:b/>
          <w:bCs/>
          <w:color w:val="000000"/>
          <w:sz w:val="32"/>
          <w:szCs w:val="32"/>
        </w:rPr>
        <w:t>）</w:t>
      </w:r>
      <w:r>
        <w:rPr>
          <w:rFonts w:ascii="仿宋" w:eastAsia="仿宋"/>
          <w:color w:val="000000"/>
          <w:sz w:val="32"/>
          <w:szCs w:val="32"/>
        </w:rPr>
        <w:t>59.13</w:t>
      </w:r>
      <w:r>
        <w:rPr>
          <w:rFonts w:hint="eastAsia" w:ascii="仿宋" w:eastAsia="仿宋"/>
          <w:b/>
          <w:color w:val="000000"/>
          <w:sz w:val="32"/>
          <w:szCs w:val="32"/>
        </w:rPr>
        <w:t>万</w:t>
      </w:r>
      <w:r>
        <w:rPr>
          <w:rFonts w:hint="eastAsia" w:ascii="仿宋" w:eastAsia="仿宋"/>
          <w:color w:val="000000"/>
          <w:sz w:val="32"/>
          <w:szCs w:val="32"/>
        </w:rPr>
        <w:t>元，占4.09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住房保障支出（221类）</w:t>
      </w:r>
      <w:r>
        <w:rPr>
          <w:rFonts w:ascii="仿宋" w:eastAsia="仿宋"/>
          <w:color w:val="000000"/>
          <w:sz w:val="32"/>
          <w:szCs w:val="32"/>
        </w:rPr>
        <w:t>84.83</w:t>
      </w:r>
      <w:r>
        <w:rPr>
          <w:rFonts w:hint="eastAsia" w:ascii="仿宋" w:eastAsia="仿宋"/>
          <w:color w:val="000000"/>
          <w:sz w:val="32"/>
          <w:szCs w:val="32"/>
        </w:rPr>
        <w:t>万元，占5.86</w:t>
      </w:r>
      <w:r>
        <w:rPr>
          <w:rFonts w:ascii="仿宋" w:eastAsia="仿宋"/>
          <w:color w:val="000000"/>
          <w:sz w:val="32"/>
          <w:szCs w:val="32"/>
        </w:rPr>
        <w:t>%</w:t>
      </w:r>
      <w:r>
        <w:rPr>
          <w:rFonts w:hint="eastAsia" w:ascii="仿宋" w:eastAsia="仿宋"/>
          <w:color w:val="000000"/>
          <w:sz w:val="32"/>
          <w:szCs w:val="32"/>
        </w:rPr>
        <w:t>；</w:t>
      </w:r>
    </w:p>
    <w:p w14:paraId="7E78A2EE">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14:paraId="54A9087A">
      <w:pPr>
        <w:spacing w:line="600" w:lineRule="exact"/>
        <w:ind w:firstLine="640"/>
        <w:rPr>
          <w:rFonts w:ascii="仿宋" w:eastAsia="仿宋"/>
          <w:color w:val="000000"/>
          <w:sz w:val="32"/>
          <w:szCs w:val="32"/>
        </w:rPr>
      </w:pPr>
    </w:p>
    <w:p w14:paraId="50416935">
      <w:pPr>
        <w:spacing w:line="600" w:lineRule="exact"/>
        <w:ind w:firstLine="640"/>
        <w:rPr>
          <w:rFonts w:ascii="仿宋" w:eastAsia="仿宋"/>
          <w:color w:val="000000"/>
          <w:sz w:val="32"/>
          <w:szCs w:val="32"/>
        </w:rPr>
      </w:pPr>
    </w:p>
    <w:p w14:paraId="1109181E">
      <w:pPr>
        <w:spacing w:line="600" w:lineRule="exact"/>
        <w:ind w:firstLine="640"/>
        <w:rPr>
          <w:rFonts w:ascii="仿宋" w:eastAsia="仿宋"/>
          <w:color w:val="000000"/>
          <w:sz w:val="32"/>
          <w:szCs w:val="32"/>
        </w:rPr>
      </w:pPr>
    </w:p>
    <w:p w14:paraId="6102AB40">
      <w:pPr>
        <w:spacing w:line="600" w:lineRule="exact"/>
        <w:ind w:firstLine="640"/>
        <w:rPr>
          <w:rFonts w:ascii="仿宋" w:eastAsia="仿宋"/>
          <w:color w:val="000000"/>
          <w:sz w:val="32"/>
          <w:szCs w:val="32"/>
        </w:rPr>
      </w:pPr>
    </w:p>
    <w:p w14:paraId="7DB71DD7">
      <w:pPr>
        <w:spacing w:line="600" w:lineRule="exact"/>
        <w:ind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1659264" behindDoc="0" locked="0" layoutInCell="1" allowOverlap="1">
            <wp:simplePos x="0" y="0"/>
            <wp:positionH relativeFrom="column">
              <wp:posOffset>609600</wp:posOffset>
            </wp:positionH>
            <wp:positionV relativeFrom="paragraph">
              <wp:posOffset>209550</wp:posOffset>
            </wp:positionV>
            <wp:extent cx="3914775" cy="2466975"/>
            <wp:effectExtent l="0" t="0" r="0" b="0"/>
            <wp:wrapNone/>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1"/>
                    <a:stretch>
                      <a:fillRect/>
                    </a:stretch>
                  </pic:blipFill>
                  <pic:spPr>
                    <a:xfrm>
                      <a:off x="0" y="0"/>
                      <a:ext cx="3914775" cy="2466975"/>
                    </a:xfrm>
                    <a:prstGeom prst="rect">
                      <a:avLst/>
                    </a:prstGeom>
                    <a:noFill/>
                    <a:ln w="9525" cap="flat" cmpd="sng">
                      <a:noFill/>
                      <a:prstDash val="solid"/>
                      <a:miter/>
                    </a:ln>
                  </pic:spPr>
                </pic:pic>
              </a:graphicData>
            </a:graphic>
          </wp:anchor>
        </w:drawing>
      </w:r>
    </w:p>
    <w:p w14:paraId="562A422B">
      <w:pPr>
        <w:spacing w:line="600" w:lineRule="exact"/>
        <w:ind w:firstLine="640"/>
        <w:rPr>
          <w:rFonts w:ascii="仿宋" w:eastAsia="仿宋"/>
          <w:color w:val="000000"/>
          <w:sz w:val="32"/>
          <w:szCs w:val="32"/>
        </w:rPr>
      </w:pPr>
    </w:p>
    <w:p w14:paraId="692A48B9">
      <w:pPr>
        <w:spacing w:line="600" w:lineRule="exact"/>
        <w:ind w:firstLine="640"/>
        <w:rPr>
          <w:rFonts w:ascii="仿宋" w:eastAsia="仿宋"/>
          <w:color w:val="000000"/>
          <w:sz w:val="32"/>
          <w:szCs w:val="32"/>
        </w:rPr>
      </w:pPr>
    </w:p>
    <w:p w14:paraId="587C18E2">
      <w:pPr>
        <w:spacing w:line="600" w:lineRule="exact"/>
        <w:ind w:firstLine="640"/>
        <w:rPr>
          <w:rFonts w:ascii="仿宋" w:eastAsia="仿宋"/>
          <w:color w:val="000000"/>
          <w:sz w:val="32"/>
          <w:szCs w:val="32"/>
        </w:rPr>
      </w:pPr>
    </w:p>
    <w:p w14:paraId="455C9735">
      <w:pPr>
        <w:spacing w:line="600" w:lineRule="exact"/>
        <w:ind w:firstLine="640"/>
        <w:rPr>
          <w:rFonts w:ascii="仿宋" w:eastAsia="仿宋"/>
          <w:color w:val="000000"/>
          <w:sz w:val="32"/>
          <w:szCs w:val="32"/>
        </w:rPr>
      </w:pPr>
    </w:p>
    <w:p w14:paraId="6D079E8B">
      <w:pPr>
        <w:spacing w:line="600" w:lineRule="exact"/>
        <w:ind w:firstLine="640"/>
        <w:rPr>
          <w:rFonts w:ascii="仿宋" w:eastAsia="仿宋"/>
          <w:color w:val="000000"/>
          <w:sz w:val="32"/>
          <w:szCs w:val="32"/>
        </w:rPr>
      </w:pPr>
    </w:p>
    <w:p w14:paraId="10CA2978">
      <w:pPr>
        <w:spacing w:line="600" w:lineRule="exact"/>
        <w:ind w:firstLine="640"/>
        <w:rPr>
          <w:rFonts w:ascii="仿宋" w:eastAsia="仿宋"/>
          <w:color w:val="000000"/>
          <w:sz w:val="32"/>
          <w:szCs w:val="32"/>
        </w:rPr>
      </w:pPr>
    </w:p>
    <w:p w14:paraId="2BBA4895">
      <w:pPr>
        <w:spacing w:line="600" w:lineRule="exact"/>
        <w:ind w:firstLine="640"/>
        <w:rPr>
          <w:rFonts w:ascii="仿宋" w:eastAsia="仿宋"/>
          <w:color w:val="000000"/>
          <w:sz w:val="32"/>
          <w:szCs w:val="32"/>
        </w:rPr>
      </w:pPr>
    </w:p>
    <w:p w14:paraId="4BC44E97">
      <w:pPr>
        <w:spacing w:line="600" w:lineRule="exact"/>
        <w:ind w:firstLine="643" w:firstLineChars="200"/>
        <w:outlineLvl w:val="2"/>
        <w:rPr>
          <w:rFonts w:ascii="仿宋" w:eastAsia="仿宋"/>
          <w:b/>
          <w:color w:val="000000"/>
          <w:sz w:val="32"/>
          <w:szCs w:val="32"/>
        </w:rPr>
      </w:pPr>
      <w:bookmarkStart w:id="58" w:name="_Toc15377212"/>
      <w:bookmarkStart w:id="59" w:name="_Toc101"/>
      <w:bookmarkStart w:id="60" w:name="_Toc79163617"/>
      <w:r>
        <w:rPr>
          <w:rFonts w:hint="eastAsia" w:ascii="仿宋" w:eastAsia="仿宋"/>
          <w:b/>
          <w:color w:val="000000"/>
          <w:sz w:val="32"/>
          <w:szCs w:val="32"/>
        </w:rPr>
        <w:t>（三）一般公共预算财政拨款支出决算具体情况</w:t>
      </w:r>
      <w:bookmarkEnd w:id="58"/>
      <w:bookmarkEnd w:id="59"/>
      <w:bookmarkEnd w:id="60"/>
    </w:p>
    <w:p w14:paraId="4D4BD7B0">
      <w:pPr>
        <w:ind w:firstLine="640" w:firstLineChars="200"/>
        <w:rPr>
          <w:rFonts w:ascii="仿宋" w:eastAsia="仿宋"/>
          <w:sz w:val="32"/>
          <w:szCs w:val="32"/>
        </w:rPr>
      </w:pPr>
      <w:bookmarkStart w:id="61" w:name="_Toc15377213"/>
      <w:bookmarkStart w:id="62" w:name="_Toc15377444"/>
      <w:bookmarkStart w:id="63" w:name="_Toc15378460"/>
      <w:r>
        <w:rPr>
          <w:rFonts w:ascii="仿宋_GB2312" w:eastAsia="仿宋_GB2312"/>
          <w:bCs/>
          <w:sz w:val="32"/>
          <w:szCs w:val="32"/>
        </w:rPr>
        <w:t>2022</w:t>
      </w:r>
      <w:r>
        <w:rPr>
          <w:rFonts w:hint="eastAsia" w:ascii="仿宋_GB2312" w:eastAsia="仿宋_GB2312"/>
          <w:bCs/>
          <w:sz w:val="32"/>
          <w:szCs w:val="32"/>
        </w:rPr>
        <w:t>年一般公共预算支出决算数为1447.27万元，完成预算100</w:t>
      </w:r>
      <w:r>
        <w:rPr>
          <w:rFonts w:ascii="仿宋_GB2312" w:eastAsia="仿宋_GB2312"/>
          <w:bCs/>
          <w:sz w:val="32"/>
          <w:szCs w:val="32"/>
        </w:rPr>
        <w:t>%</w:t>
      </w:r>
      <w:r>
        <w:rPr>
          <w:rFonts w:hint="eastAsia" w:ascii="仿宋_GB2312" w:eastAsia="仿宋_GB2312"/>
          <w:bCs/>
          <w:sz w:val="32"/>
          <w:szCs w:val="32"/>
        </w:rPr>
        <w:t>。其中</w:t>
      </w:r>
      <w:bookmarkEnd w:id="61"/>
      <w:bookmarkEnd w:id="62"/>
      <w:bookmarkEnd w:id="63"/>
      <w:r>
        <w:rPr>
          <w:rFonts w:hint="eastAsia" w:ascii="仿宋_GB2312" w:eastAsia="仿宋_GB2312"/>
          <w:bCs/>
          <w:sz w:val="32"/>
          <w:szCs w:val="32"/>
        </w:rPr>
        <w:t>：</w:t>
      </w:r>
    </w:p>
    <w:p w14:paraId="6B8DBE35">
      <w:pPr>
        <w:ind w:firstLine="640" w:firstLineChars="200"/>
        <w:rPr>
          <w:rStyle w:val="25"/>
          <w:rFonts w:ascii="仿宋" w:eastAsia="仿宋"/>
          <w:b w:val="0"/>
          <w:bCs/>
          <w:color w:val="000000"/>
          <w:sz w:val="32"/>
          <w:szCs w:val="32"/>
        </w:rPr>
      </w:pPr>
      <w:r>
        <w:rPr>
          <w:rStyle w:val="25"/>
          <w:rFonts w:hint="eastAsia" w:ascii="仿宋" w:eastAsia="仿宋"/>
          <w:b w:val="0"/>
          <w:bCs/>
          <w:color w:val="000000"/>
          <w:sz w:val="32"/>
          <w:szCs w:val="32"/>
        </w:rPr>
        <w:t>1</w:t>
      </w:r>
      <w:r>
        <w:rPr>
          <w:rStyle w:val="25"/>
          <w:rFonts w:ascii="仿宋" w:eastAsia="仿宋"/>
          <w:b w:val="0"/>
          <w:bCs/>
          <w:color w:val="000000"/>
          <w:sz w:val="32"/>
          <w:szCs w:val="32"/>
        </w:rPr>
        <w:t>.</w:t>
      </w:r>
      <w:r>
        <w:rPr>
          <w:rStyle w:val="25"/>
          <w:rFonts w:hint="eastAsia" w:ascii="仿宋" w:eastAsia="仿宋"/>
          <w:bCs/>
          <w:color w:val="000000"/>
          <w:sz w:val="32"/>
          <w:szCs w:val="32"/>
        </w:rPr>
        <w:t>教育205（类）02（款）05（项）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21.66</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r>
        <w:rPr>
          <w:rStyle w:val="25"/>
          <w:rFonts w:hint="eastAsia" w:ascii="仿宋" w:eastAsia="仿宋"/>
          <w:bCs/>
          <w:color w:val="000000"/>
          <w:sz w:val="32"/>
          <w:szCs w:val="32"/>
        </w:rPr>
        <w:t>教育205（类）02（款）99（项）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1128.97</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p>
    <w:p w14:paraId="5B5EE406">
      <w:pPr>
        <w:spacing w:line="600" w:lineRule="exact"/>
        <w:ind w:firstLine="640" w:firstLineChars="200"/>
        <w:rPr>
          <w:rStyle w:val="25"/>
          <w:b w:val="0"/>
          <w:bCs/>
        </w:rPr>
      </w:pPr>
      <w:r>
        <w:rPr>
          <w:rStyle w:val="25"/>
          <w:rFonts w:hint="eastAsia" w:ascii="仿宋" w:eastAsia="仿宋"/>
          <w:b w:val="0"/>
          <w:bCs/>
          <w:color w:val="000000"/>
          <w:sz w:val="32"/>
          <w:szCs w:val="32"/>
        </w:rPr>
        <w:t>2</w:t>
      </w:r>
      <w:r>
        <w:rPr>
          <w:rStyle w:val="25"/>
          <w:rFonts w:ascii="仿宋" w:eastAsia="仿宋"/>
          <w:b w:val="0"/>
          <w:bCs/>
          <w:color w:val="000000"/>
          <w:sz w:val="32"/>
          <w:szCs w:val="32"/>
        </w:rPr>
        <w:t>.</w:t>
      </w:r>
      <w:r>
        <w:rPr>
          <w:rStyle w:val="25"/>
          <w:rFonts w:hint="eastAsia" w:ascii="仿宋" w:eastAsia="仿宋"/>
          <w:bCs/>
          <w:color w:val="000000"/>
          <w:sz w:val="32"/>
          <w:szCs w:val="32"/>
        </w:rPr>
        <w:t>社会保障和就业208（类）05（款）05（项）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101.57</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r>
        <w:rPr>
          <w:rStyle w:val="25"/>
          <w:rFonts w:hint="eastAsia" w:ascii="仿宋" w:eastAsia="仿宋"/>
          <w:bCs/>
          <w:color w:val="000000"/>
          <w:sz w:val="32"/>
          <w:szCs w:val="32"/>
        </w:rPr>
        <w:t>社会保障和就业208（类）05（款）06（项）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51.1</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p>
    <w:p w14:paraId="275BC2DE">
      <w:pPr>
        <w:spacing w:line="600" w:lineRule="exact"/>
        <w:ind w:firstLine="640" w:firstLineChars="200"/>
        <w:rPr>
          <w:rStyle w:val="25"/>
          <w:b w:val="0"/>
          <w:bCs/>
        </w:rPr>
      </w:pPr>
      <w:r>
        <w:rPr>
          <w:rStyle w:val="25"/>
          <w:rFonts w:hint="eastAsia" w:ascii="仿宋" w:eastAsia="仿宋"/>
          <w:b w:val="0"/>
          <w:bCs/>
          <w:color w:val="000000"/>
          <w:sz w:val="32"/>
          <w:szCs w:val="32"/>
        </w:rPr>
        <w:t>3</w:t>
      </w:r>
      <w:r>
        <w:rPr>
          <w:rStyle w:val="25"/>
          <w:rFonts w:ascii="仿宋" w:eastAsia="仿宋"/>
          <w:b w:val="0"/>
          <w:bCs/>
          <w:color w:val="000000"/>
          <w:sz w:val="32"/>
          <w:szCs w:val="32"/>
        </w:rPr>
        <w:t>.</w:t>
      </w:r>
      <w:r>
        <w:rPr>
          <w:rStyle w:val="25"/>
          <w:rFonts w:hint="eastAsia" w:ascii="仿宋" w:eastAsia="仿宋"/>
          <w:bCs/>
          <w:color w:val="000000"/>
          <w:sz w:val="32"/>
          <w:szCs w:val="32"/>
        </w:rPr>
        <w:t>医疗卫生与计划生育210（类）11（款）02（项）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46.92</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r>
        <w:rPr>
          <w:rStyle w:val="25"/>
          <w:rFonts w:hint="eastAsia" w:ascii="仿宋" w:eastAsia="仿宋"/>
          <w:bCs/>
          <w:color w:val="000000"/>
          <w:sz w:val="32"/>
          <w:szCs w:val="32"/>
        </w:rPr>
        <w:t>210（类）11（款）99（项）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12.2</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p>
    <w:p w14:paraId="16F26E04">
      <w:pPr>
        <w:spacing w:line="600" w:lineRule="exact"/>
        <w:ind w:firstLine="640" w:firstLineChars="200"/>
        <w:rPr>
          <w:rStyle w:val="25"/>
          <w:rFonts w:ascii="仿宋" w:eastAsia="仿宋"/>
          <w:b w:val="0"/>
          <w:bCs/>
          <w:color w:val="000000"/>
          <w:sz w:val="32"/>
          <w:szCs w:val="32"/>
        </w:rPr>
      </w:pPr>
      <w:r>
        <w:rPr>
          <w:rStyle w:val="25"/>
          <w:rFonts w:hint="eastAsia" w:ascii="仿宋" w:eastAsia="仿宋"/>
          <w:b w:val="0"/>
          <w:bCs/>
          <w:color w:val="000000"/>
          <w:sz w:val="32"/>
          <w:szCs w:val="32"/>
        </w:rPr>
        <w:t>4</w:t>
      </w:r>
      <w:r>
        <w:rPr>
          <w:rStyle w:val="25"/>
          <w:rFonts w:ascii="仿宋" w:eastAsia="仿宋"/>
          <w:b w:val="0"/>
          <w:bCs/>
          <w:color w:val="000000"/>
          <w:sz w:val="32"/>
          <w:szCs w:val="32"/>
        </w:rPr>
        <w:t>.</w:t>
      </w:r>
      <w:r>
        <w:rPr>
          <w:rStyle w:val="25"/>
          <w:rFonts w:hint="eastAsia" w:ascii="仿宋" w:eastAsia="仿宋"/>
          <w:bCs/>
          <w:color w:val="000000"/>
          <w:sz w:val="32"/>
          <w:szCs w:val="32"/>
        </w:rPr>
        <w:t>住房保障支出221（类）02（款）01（项）</w:t>
      </w:r>
      <w:r>
        <w:rPr>
          <w:rStyle w:val="25"/>
          <w:rFonts w:ascii="仿宋" w:eastAsia="仿宋"/>
          <w:bCs/>
          <w:color w:val="000000"/>
          <w:sz w:val="32"/>
          <w:szCs w:val="32"/>
        </w:rPr>
        <w:t>:</w:t>
      </w:r>
      <w:r>
        <w:rPr>
          <w:rStyle w:val="25"/>
          <w:rFonts w:hint="eastAsia" w:ascii="仿宋" w:eastAsia="仿宋"/>
          <w:b w:val="0"/>
          <w:bCs/>
          <w:color w:val="000000"/>
          <w:sz w:val="32"/>
          <w:szCs w:val="32"/>
        </w:rPr>
        <w:t>支出决算为</w:t>
      </w:r>
      <w:r>
        <w:rPr>
          <w:rFonts w:ascii="仿宋" w:eastAsia="仿宋"/>
          <w:b/>
          <w:bCs/>
          <w:color w:val="000000"/>
          <w:sz w:val="32"/>
          <w:szCs w:val="32"/>
        </w:rPr>
        <w:t>84.83</w:t>
      </w:r>
      <w:r>
        <w:rPr>
          <w:rStyle w:val="25"/>
          <w:rFonts w:hint="eastAsia" w:ascii="仿宋" w:eastAsia="仿宋"/>
          <w:b w:val="0"/>
          <w:bCs/>
          <w:color w:val="000000"/>
          <w:sz w:val="32"/>
          <w:szCs w:val="32"/>
        </w:rPr>
        <w:t>万元，完成预算100</w:t>
      </w:r>
      <w:r>
        <w:rPr>
          <w:rStyle w:val="25"/>
          <w:rFonts w:ascii="仿宋" w:eastAsia="仿宋"/>
          <w:b w:val="0"/>
          <w:bCs/>
          <w:color w:val="000000"/>
          <w:sz w:val="32"/>
          <w:szCs w:val="32"/>
        </w:rPr>
        <w:t>%</w:t>
      </w:r>
      <w:r>
        <w:rPr>
          <w:rStyle w:val="25"/>
          <w:rFonts w:hint="eastAsia" w:ascii="仿宋" w:eastAsia="仿宋"/>
          <w:b w:val="0"/>
          <w:bCs/>
          <w:color w:val="000000"/>
          <w:sz w:val="32"/>
          <w:szCs w:val="32"/>
        </w:rPr>
        <w:t>，决算数等于预算数。</w:t>
      </w:r>
    </w:p>
    <w:p w14:paraId="0EFDD98B">
      <w:pPr>
        <w:tabs>
          <w:tab w:val="right" w:pos="8306"/>
        </w:tabs>
        <w:spacing w:line="600" w:lineRule="exact"/>
        <w:ind w:firstLine="640"/>
        <w:outlineLvl w:val="1"/>
        <w:rPr>
          <w:rStyle w:val="28"/>
        </w:rPr>
      </w:pPr>
      <w:bookmarkStart w:id="64" w:name="_Toc11993"/>
      <w:bookmarkStart w:id="65" w:name="_Toc79163618"/>
      <w:bookmarkStart w:id="66" w:name="_Toc15377214"/>
      <w:bookmarkStart w:id="67" w:name="_Toc15396608"/>
      <w:bookmarkStart w:id="68" w:name="_Toc26868"/>
      <w:r>
        <w:rPr>
          <w:rFonts w:hint="eastAsia" w:ascii="黑体" w:eastAsia="黑体"/>
          <w:color w:val="000000"/>
          <w:sz w:val="32"/>
          <w:szCs w:val="32"/>
        </w:rPr>
        <w:t>六</w:t>
      </w:r>
      <w:r>
        <w:rPr>
          <w:rFonts w:hint="eastAsia" w:ascii="黑体" w:eastAsia="黑体"/>
          <w:b/>
          <w:color w:val="000000"/>
          <w:sz w:val="32"/>
          <w:szCs w:val="32"/>
        </w:rPr>
        <w:t>、一</w:t>
      </w:r>
      <w:r>
        <w:rPr>
          <w:rStyle w:val="28"/>
          <w:rFonts w:hint="eastAsia" w:ascii="黑体" w:eastAsia="黑体"/>
        </w:rPr>
        <w:t>般公共预算财政拨款基本支出决算情况说明</w:t>
      </w:r>
      <w:bookmarkEnd w:id="64"/>
      <w:bookmarkEnd w:id="65"/>
      <w:bookmarkEnd w:id="66"/>
      <w:bookmarkEnd w:id="67"/>
      <w:bookmarkEnd w:id="68"/>
      <w:r>
        <w:rPr>
          <w:rStyle w:val="28"/>
          <w:rFonts w:ascii="黑体" w:eastAsia="黑体"/>
        </w:rPr>
        <w:tab/>
      </w:r>
    </w:p>
    <w:p w14:paraId="05D51214">
      <w:pPr>
        <w:spacing w:line="600" w:lineRule="exact"/>
        <w:ind w:firstLine="645"/>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年一般公共预算财政拨款基本支出1359.4万元，其中：</w:t>
      </w:r>
    </w:p>
    <w:p w14:paraId="17E25DC6">
      <w:pPr>
        <w:spacing w:line="600" w:lineRule="exact"/>
        <w:ind w:firstLine="645"/>
        <w:rPr>
          <w:rFonts w:ascii="仿宋" w:eastAsia="仿宋"/>
          <w:b/>
          <w:color w:val="FF0000"/>
          <w:sz w:val="32"/>
          <w:szCs w:val="32"/>
        </w:rPr>
      </w:pPr>
      <w:r>
        <w:rPr>
          <w:rFonts w:hint="eastAsia" w:ascii="仿宋" w:eastAsia="仿宋"/>
          <w:color w:val="000000"/>
          <w:sz w:val="32"/>
          <w:szCs w:val="32"/>
        </w:rPr>
        <w:t>人员经费1309.58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49.82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0F9323F">
      <w:pPr>
        <w:spacing w:line="600" w:lineRule="exact"/>
        <w:ind w:firstLine="640"/>
        <w:outlineLvl w:val="1"/>
        <w:rPr>
          <w:rStyle w:val="28"/>
          <w:rFonts w:ascii="黑体" w:eastAsia="黑体"/>
          <w:b w:val="0"/>
        </w:rPr>
      </w:pPr>
      <w:bookmarkStart w:id="69" w:name="_Toc4262"/>
      <w:bookmarkStart w:id="70" w:name="_Toc15396609"/>
      <w:bookmarkStart w:id="71" w:name="_Toc79163619"/>
      <w:bookmarkStart w:id="72" w:name="_Toc13379"/>
      <w:bookmarkStart w:id="73" w:name="_Toc15377215"/>
      <w:r>
        <w:rPr>
          <w:rFonts w:hint="eastAsia" w:ascii="黑体" w:eastAsia="黑体"/>
          <w:color w:val="000000"/>
          <w:sz w:val="32"/>
          <w:szCs w:val="32"/>
        </w:rPr>
        <w:t>七、</w:t>
      </w:r>
      <w:r>
        <w:rPr>
          <w:rStyle w:val="28"/>
          <w:rFonts w:hint="eastAsia" w:ascii="黑体" w:eastAsia="黑体"/>
        </w:rPr>
        <w:t>“三公”经费财政拨款支出决算情况说明</w:t>
      </w:r>
      <w:bookmarkEnd w:id="69"/>
      <w:bookmarkEnd w:id="70"/>
      <w:bookmarkEnd w:id="71"/>
      <w:bookmarkEnd w:id="72"/>
      <w:bookmarkEnd w:id="73"/>
    </w:p>
    <w:p w14:paraId="4FAB925F">
      <w:pPr>
        <w:spacing w:line="600" w:lineRule="exact"/>
        <w:ind w:firstLine="640"/>
        <w:outlineLvl w:val="2"/>
        <w:rPr>
          <w:rFonts w:ascii="仿宋" w:eastAsia="仿宋"/>
          <w:b/>
          <w:color w:val="000000"/>
          <w:sz w:val="32"/>
          <w:szCs w:val="32"/>
        </w:rPr>
      </w:pPr>
      <w:bookmarkStart w:id="74" w:name="_Toc13343"/>
      <w:bookmarkStart w:id="75" w:name="_Toc15377216"/>
      <w:bookmarkStart w:id="76" w:name="_Toc79163620"/>
      <w:r>
        <w:rPr>
          <w:rFonts w:hint="eastAsia" w:ascii="仿宋" w:eastAsia="仿宋"/>
          <w:b/>
          <w:color w:val="000000"/>
          <w:sz w:val="32"/>
          <w:szCs w:val="32"/>
        </w:rPr>
        <w:t>（一）“三公”经费财政拨款支出决算总体情况说明</w:t>
      </w:r>
      <w:bookmarkEnd w:id="74"/>
      <w:bookmarkEnd w:id="75"/>
      <w:bookmarkEnd w:id="76"/>
    </w:p>
    <w:p w14:paraId="44AEEC20">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年“三公”经费财政拨款支出决算为0.79万元，完成预算100</w:t>
      </w:r>
      <w:r>
        <w:rPr>
          <w:rFonts w:ascii="仿宋" w:eastAsia="仿宋"/>
          <w:color w:val="000000"/>
          <w:sz w:val="32"/>
          <w:szCs w:val="32"/>
        </w:rPr>
        <w:t>%</w:t>
      </w:r>
      <w:r>
        <w:rPr>
          <w:rFonts w:hint="eastAsia" w:ascii="仿宋" w:eastAsia="仿宋"/>
          <w:color w:val="000000"/>
          <w:sz w:val="32"/>
          <w:szCs w:val="32"/>
        </w:rPr>
        <w:t>，决算数与预算数持平。</w:t>
      </w:r>
    </w:p>
    <w:p w14:paraId="4A9160A1">
      <w:pPr>
        <w:spacing w:line="600" w:lineRule="exact"/>
        <w:ind w:firstLine="640"/>
        <w:outlineLvl w:val="2"/>
        <w:rPr>
          <w:rFonts w:ascii="仿宋" w:eastAsia="仿宋"/>
          <w:b/>
          <w:color w:val="000000"/>
          <w:sz w:val="32"/>
          <w:szCs w:val="32"/>
        </w:rPr>
      </w:pPr>
      <w:bookmarkStart w:id="77" w:name="_Toc79163621"/>
      <w:bookmarkStart w:id="78" w:name="_Toc15377217"/>
      <w:bookmarkStart w:id="79" w:name="_Toc32245"/>
      <w:r>
        <w:rPr>
          <w:rFonts w:hint="eastAsia" w:ascii="仿宋" w:eastAsia="仿宋"/>
          <w:b/>
          <w:color w:val="000000"/>
          <w:sz w:val="32"/>
          <w:szCs w:val="32"/>
        </w:rPr>
        <w:t>（二）“三公”经费财政拨款支出决算具体情况说明</w:t>
      </w:r>
      <w:bookmarkEnd w:id="77"/>
      <w:bookmarkEnd w:id="78"/>
      <w:bookmarkEnd w:id="79"/>
    </w:p>
    <w:p w14:paraId="387BC54D">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年“三公”经费财政拨款支出决算中，因公出国（境）费支出决算0万元，占0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；公务用车购置及运行维护费支出决算0万元，占0</w:t>
      </w:r>
      <w:r>
        <w:rPr>
          <w:rFonts w:ascii="仿宋" w:eastAsia="仿宋"/>
          <w:color w:val="000000"/>
          <w:sz w:val="32"/>
          <w:szCs w:val="32"/>
        </w:rPr>
        <w:t>%</w:t>
      </w:r>
      <w:r>
        <w:rPr>
          <w:rFonts w:hint="eastAsia" w:ascii="仿宋" w:eastAsia="仿宋"/>
          <w:color w:val="000000"/>
          <w:sz w:val="32"/>
          <w:szCs w:val="32"/>
        </w:rPr>
        <w:t>；公务接待费支出决算0.79万元，占100</w:t>
      </w:r>
      <w:r>
        <w:rPr>
          <w:rFonts w:ascii="仿宋" w:eastAsia="仿宋"/>
          <w:color w:val="000000"/>
          <w:sz w:val="32"/>
          <w:szCs w:val="32"/>
        </w:rPr>
        <w:t>%</w:t>
      </w:r>
      <w:r>
        <w:rPr>
          <w:rFonts w:hint="eastAsia" w:ascii="仿宋" w:eastAsia="仿宋"/>
          <w:color w:val="000000"/>
          <w:sz w:val="32"/>
          <w:szCs w:val="32"/>
        </w:rPr>
        <w:t>。具体情况如下：</w:t>
      </w:r>
    </w:p>
    <w:p w14:paraId="5CDCA1C0">
      <w:pPr>
        <w:spacing w:line="600" w:lineRule="exact"/>
        <w:ind w:firstLine="640"/>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7</w:t>
      </w:r>
      <w:r>
        <w:rPr>
          <w:rFonts w:hint="eastAsia" w:ascii="仿宋" w:eastAsia="仿宋"/>
          <w:color w:val="000000"/>
          <w:sz w:val="32"/>
          <w:szCs w:val="32"/>
        </w:rPr>
        <w:t>：“三公”经费财政拨款支出结构）（饼状图）</w:t>
      </w:r>
    </w:p>
    <w:p w14:paraId="118DA860">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1247775</wp:posOffset>
            </wp:positionH>
            <wp:positionV relativeFrom="paragraph">
              <wp:posOffset>171450</wp:posOffset>
            </wp:positionV>
            <wp:extent cx="2838450" cy="2120265"/>
            <wp:effectExtent l="0" t="0" r="0" b="0"/>
            <wp:wrapNone/>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icPr>
                  <pic:blipFill>
                    <a:blip r:embed="rId12"/>
                    <a:stretch>
                      <a:fillRect/>
                    </a:stretch>
                  </pic:blipFill>
                  <pic:spPr>
                    <a:xfrm>
                      <a:off x="0" y="0"/>
                      <a:ext cx="2838448" cy="2120265"/>
                    </a:xfrm>
                    <a:prstGeom prst="rect">
                      <a:avLst/>
                    </a:prstGeom>
                    <a:noFill/>
                    <a:ln w="9525" cap="flat" cmpd="sng">
                      <a:noFill/>
                      <a:prstDash val="solid"/>
                      <a:miter/>
                    </a:ln>
                  </pic:spPr>
                </pic:pic>
              </a:graphicData>
            </a:graphic>
          </wp:anchor>
        </w:drawing>
      </w:r>
    </w:p>
    <w:p w14:paraId="345EFDA1">
      <w:pPr>
        <w:spacing w:line="600" w:lineRule="exact"/>
        <w:ind w:firstLine="640"/>
        <w:rPr>
          <w:rFonts w:ascii="仿宋" w:eastAsia="仿宋"/>
          <w:color w:val="000000"/>
          <w:sz w:val="32"/>
          <w:szCs w:val="32"/>
        </w:rPr>
      </w:pPr>
    </w:p>
    <w:p w14:paraId="67817825">
      <w:pPr>
        <w:spacing w:line="600" w:lineRule="exact"/>
        <w:ind w:firstLine="640"/>
        <w:rPr>
          <w:rFonts w:ascii="仿宋" w:eastAsia="仿宋"/>
          <w:color w:val="000000"/>
          <w:sz w:val="32"/>
          <w:szCs w:val="32"/>
        </w:rPr>
      </w:pPr>
    </w:p>
    <w:p w14:paraId="3BC0FCDF">
      <w:pPr>
        <w:spacing w:line="600" w:lineRule="exact"/>
        <w:ind w:firstLine="640"/>
        <w:rPr>
          <w:rFonts w:ascii="仿宋" w:eastAsia="仿宋"/>
          <w:color w:val="000000"/>
          <w:sz w:val="32"/>
          <w:szCs w:val="32"/>
        </w:rPr>
      </w:pPr>
    </w:p>
    <w:p w14:paraId="41659CC2">
      <w:pPr>
        <w:spacing w:line="600" w:lineRule="exact"/>
        <w:ind w:firstLine="640"/>
        <w:rPr>
          <w:rFonts w:ascii="仿宋" w:eastAsia="仿宋"/>
          <w:color w:val="000000"/>
          <w:sz w:val="32"/>
          <w:szCs w:val="32"/>
        </w:rPr>
      </w:pPr>
    </w:p>
    <w:p w14:paraId="4387C445">
      <w:pPr>
        <w:tabs>
          <w:tab w:val="left" w:pos="7170"/>
        </w:tabs>
        <w:spacing w:line="600" w:lineRule="exact"/>
        <w:ind w:firstLine="640"/>
        <w:rPr>
          <w:rFonts w:ascii="仿宋" w:eastAsia="仿宋"/>
          <w:color w:val="000000"/>
          <w:sz w:val="32"/>
          <w:szCs w:val="32"/>
        </w:rPr>
      </w:pPr>
      <w:r>
        <w:rPr>
          <w:rFonts w:ascii="仿宋" w:eastAsia="仿宋"/>
          <w:color w:val="000000"/>
          <w:sz w:val="32"/>
          <w:szCs w:val="32"/>
        </w:rPr>
        <w:tab/>
      </w:r>
    </w:p>
    <w:p w14:paraId="7E5649DE">
      <w:pPr>
        <w:tabs>
          <w:tab w:val="left" w:pos="7170"/>
        </w:tabs>
        <w:spacing w:line="600" w:lineRule="exact"/>
        <w:ind w:firstLine="640"/>
        <w:rPr>
          <w:rFonts w:ascii="仿宋" w:eastAsia="仿宋"/>
          <w:color w:val="000000"/>
          <w:sz w:val="32"/>
          <w:szCs w:val="32"/>
        </w:rPr>
      </w:pPr>
      <w:r>
        <w:rPr>
          <w:rFonts w:ascii="仿宋" w:eastAsia="仿宋"/>
          <w:color w:val="000000"/>
          <w:sz w:val="32"/>
          <w:szCs w:val="32"/>
        </w:rPr>
        <w:t>1.</w:t>
      </w:r>
      <w:r>
        <w:rPr>
          <w:rFonts w:hint="eastAsia" w:ascii="仿宋" w:eastAsia="仿宋"/>
          <w:color w:val="000000"/>
          <w:sz w:val="32"/>
          <w:szCs w:val="32"/>
        </w:rPr>
        <w:t>因公出国（境）经费支出0万元，完成预算100</w:t>
      </w:r>
      <w:r>
        <w:rPr>
          <w:rFonts w:ascii="仿宋" w:eastAsia="仿宋"/>
          <w:color w:val="000000"/>
          <w:sz w:val="32"/>
          <w:szCs w:val="32"/>
        </w:rPr>
        <w:t>%</w:t>
      </w:r>
      <w:r>
        <w:rPr>
          <w:rFonts w:hint="eastAsia" w:ascii="仿宋" w:eastAsia="仿宋"/>
          <w:color w:val="000000"/>
          <w:sz w:val="32"/>
          <w:szCs w:val="32"/>
        </w:rPr>
        <w:t>。全年安排因公出国（境）团组0次，出国（境）0人。因公出国（境）支出决算比</w:t>
      </w:r>
      <w:r>
        <w:rPr>
          <w:rFonts w:ascii="仿宋" w:eastAsia="仿宋"/>
          <w:color w:val="000000"/>
          <w:sz w:val="32"/>
          <w:szCs w:val="32"/>
        </w:rPr>
        <w:t>2021</w:t>
      </w:r>
      <w:r>
        <w:rPr>
          <w:rFonts w:hint="eastAsia" w:ascii="仿宋" w:eastAsia="仿宋"/>
          <w:color w:val="000000"/>
          <w:sz w:val="32"/>
          <w:szCs w:val="32"/>
        </w:rPr>
        <w:t>年减少0万元，增长0</w:t>
      </w:r>
      <w:r>
        <w:rPr>
          <w:rFonts w:ascii="仿宋" w:eastAsia="仿宋"/>
          <w:color w:val="000000"/>
          <w:sz w:val="32"/>
          <w:szCs w:val="32"/>
        </w:rPr>
        <w:t>%</w:t>
      </w:r>
      <w:r>
        <w:rPr>
          <w:rFonts w:hint="eastAsia" w:ascii="仿宋" w:eastAsia="仿宋"/>
          <w:color w:val="000000"/>
          <w:sz w:val="32"/>
          <w:szCs w:val="32"/>
        </w:rPr>
        <w:t>。</w:t>
      </w:r>
    </w:p>
    <w:p w14:paraId="2007C0CF">
      <w:pPr>
        <w:spacing w:line="600" w:lineRule="exact"/>
        <w:ind w:firstLine="640"/>
        <w:rPr>
          <w:rFonts w:ascii="仿宋" w:eastAsia="仿宋"/>
          <w:color w:val="000000"/>
          <w:sz w:val="32"/>
          <w:szCs w:val="32"/>
        </w:rPr>
      </w:pPr>
      <w:r>
        <w:rPr>
          <w:rFonts w:ascii="仿宋" w:eastAsia="仿宋"/>
          <w:color w:val="000000"/>
          <w:sz w:val="32"/>
          <w:szCs w:val="32"/>
        </w:rPr>
        <w:t>2.</w:t>
      </w:r>
      <w:r>
        <w:rPr>
          <w:rFonts w:hint="eastAsia" w:ascii="仿宋" w:eastAsia="仿宋"/>
          <w:color w:val="000000"/>
          <w:sz w:val="32"/>
          <w:szCs w:val="32"/>
        </w:rPr>
        <w:t>公务用车购置及运行维护费支出0万元</w:t>
      </w:r>
      <w:r>
        <w:rPr>
          <w:rFonts w:ascii="仿宋" w:eastAsia="仿宋"/>
          <w:color w:val="000000"/>
          <w:sz w:val="32"/>
          <w:szCs w:val="32"/>
        </w:rPr>
        <w:t>,</w:t>
      </w:r>
      <w:r>
        <w:rPr>
          <w:rFonts w:hint="eastAsia" w:ascii="仿宋" w:eastAsia="仿宋"/>
          <w:color w:val="000000"/>
          <w:sz w:val="32"/>
          <w:szCs w:val="32"/>
        </w:rPr>
        <w:t>公务用车购置及运行维护费支出决算比</w:t>
      </w:r>
      <w:r>
        <w:rPr>
          <w:rFonts w:ascii="仿宋" w:eastAsia="仿宋"/>
          <w:color w:val="000000"/>
          <w:sz w:val="32"/>
          <w:szCs w:val="32"/>
        </w:rPr>
        <w:t>2021</w:t>
      </w:r>
      <w:r>
        <w:rPr>
          <w:rFonts w:hint="eastAsia" w:ascii="仿宋" w:eastAsia="仿宋"/>
          <w:color w:val="000000"/>
          <w:sz w:val="32"/>
          <w:szCs w:val="32"/>
        </w:rPr>
        <w:t>年减少0万元，增长0</w:t>
      </w:r>
      <w:r>
        <w:rPr>
          <w:rFonts w:ascii="仿宋" w:eastAsia="仿宋"/>
          <w:color w:val="000000"/>
          <w:sz w:val="32"/>
          <w:szCs w:val="32"/>
        </w:rPr>
        <w:t>%</w:t>
      </w:r>
      <w:r>
        <w:rPr>
          <w:rFonts w:hint="eastAsia" w:ascii="仿宋" w:eastAsia="仿宋"/>
          <w:color w:val="000000"/>
          <w:sz w:val="32"/>
          <w:szCs w:val="32"/>
        </w:rPr>
        <w:t>。</w:t>
      </w:r>
    </w:p>
    <w:p w14:paraId="60E7D416">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其中：公务用车购置支出0万元。全年按规定更新购置公务用车0辆，其中：轿车0辆、金额0万元，越野车0辆、金额0万元，载客汽车0辆、金额0万元。</w:t>
      </w:r>
      <w:r>
        <w:rPr>
          <w:rFonts w:ascii="仿宋" w:eastAsia="仿宋"/>
          <w:color w:val="000000"/>
          <w:sz w:val="32"/>
          <w:szCs w:val="32"/>
        </w:rPr>
        <w:t>2022</w:t>
      </w:r>
      <w:r>
        <w:rPr>
          <w:rFonts w:hint="eastAsia" w:ascii="仿宋" w:eastAsia="仿宋"/>
          <w:color w:val="000000"/>
          <w:sz w:val="32"/>
          <w:szCs w:val="32"/>
        </w:rPr>
        <w:t>年</w:t>
      </w:r>
      <w:r>
        <w:rPr>
          <w:rFonts w:ascii="仿宋" w:eastAsia="仿宋"/>
          <w:color w:val="000000"/>
          <w:sz w:val="32"/>
          <w:szCs w:val="32"/>
        </w:rPr>
        <w:t>12</w:t>
      </w:r>
      <w:r>
        <w:rPr>
          <w:rFonts w:hint="eastAsia" w:ascii="仿宋" w:eastAsia="仿宋"/>
          <w:color w:val="000000"/>
          <w:sz w:val="32"/>
          <w:szCs w:val="32"/>
        </w:rPr>
        <w:t>月底，单位共有公务用车0辆，其中：轿车0辆、越野车0辆、载客汽车0辆。</w:t>
      </w:r>
    </w:p>
    <w:p w14:paraId="1A956E0D">
      <w:pPr>
        <w:spacing w:line="600" w:lineRule="exact"/>
        <w:ind w:firstLine="640"/>
        <w:rPr>
          <w:rFonts w:ascii="仿宋" w:eastAsia="仿宋"/>
          <w:color w:val="000000"/>
          <w:sz w:val="32"/>
          <w:szCs w:val="32"/>
        </w:rPr>
      </w:pPr>
      <w:r>
        <w:rPr>
          <w:rFonts w:hint="eastAsia" w:ascii="仿宋" w:eastAsia="仿宋"/>
          <w:color w:val="000000"/>
          <w:sz w:val="32"/>
          <w:szCs w:val="32"/>
        </w:rPr>
        <w:t>公务用车运行维护费支出0万元。主要用于公务用车燃料费、维修费、过路过桥费、保险费等支出。</w:t>
      </w:r>
    </w:p>
    <w:p w14:paraId="03F110C6">
      <w:pPr>
        <w:spacing w:line="600" w:lineRule="exact"/>
        <w:ind w:firstLine="640"/>
        <w:rPr>
          <w:rFonts w:ascii="仿宋" w:eastAsia="仿宋"/>
          <w:color w:val="000000"/>
          <w:sz w:val="32"/>
          <w:szCs w:val="32"/>
        </w:rPr>
      </w:pPr>
      <w:r>
        <w:rPr>
          <w:rFonts w:ascii="仿宋" w:eastAsia="仿宋"/>
          <w:color w:val="000000"/>
          <w:sz w:val="32"/>
          <w:szCs w:val="32"/>
        </w:rPr>
        <w:t>3.</w:t>
      </w:r>
      <w:r>
        <w:rPr>
          <w:rFonts w:hint="eastAsia" w:ascii="仿宋" w:eastAsia="仿宋"/>
          <w:color w:val="000000"/>
          <w:sz w:val="32"/>
          <w:szCs w:val="32"/>
        </w:rPr>
        <w:t>公务接待费支出0.79万元，完成预算100</w:t>
      </w:r>
      <w:r>
        <w:rPr>
          <w:rFonts w:ascii="仿宋" w:eastAsia="仿宋"/>
          <w:color w:val="000000"/>
          <w:sz w:val="32"/>
          <w:szCs w:val="32"/>
        </w:rPr>
        <w:t>%</w:t>
      </w:r>
      <w:r>
        <w:rPr>
          <w:rFonts w:hint="eastAsia" w:ascii="仿宋" w:eastAsia="仿宋"/>
          <w:color w:val="000000"/>
          <w:sz w:val="32"/>
          <w:szCs w:val="32"/>
        </w:rPr>
        <w:t>。公务接待费支出决算比</w:t>
      </w:r>
      <w:r>
        <w:rPr>
          <w:rFonts w:ascii="仿宋" w:eastAsia="仿宋"/>
          <w:color w:val="000000"/>
          <w:sz w:val="32"/>
          <w:szCs w:val="32"/>
        </w:rPr>
        <w:t>2021</w:t>
      </w:r>
      <w:r>
        <w:rPr>
          <w:rFonts w:hint="eastAsia" w:ascii="仿宋" w:eastAsia="仿宋"/>
          <w:color w:val="000000"/>
          <w:sz w:val="32"/>
          <w:szCs w:val="32"/>
        </w:rPr>
        <w:t>年减少2.28万元，下降74.27</w:t>
      </w:r>
      <w:r>
        <w:rPr>
          <w:rFonts w:ascii="仿宋" w:eastAsia="仿宋"/>
          <w:color w:val="000000"/>
          <w:sz w:val="32"/>
          <w:szCs w:val="32"/>
        </w:rPr>
        <w:t>%</w:t>
      </w:r>
      <w:r>
        <w:rPr>
          <w:rFonts w:hint="eastAsia" w:ascii="仿宋" w:eastAsia="仿宋"/>
          <w:color w:val="000000"/>
          <w:sz w:val="32"/>
          <w:szCs w:val="32"/>
        </w:rPr>
        <w:t>。主要原因压缩开支，厉行节约，减少陪餐人数。</w:t>
      </w:r>
    </w:p>
    <w:p w14:paraId="4AF12037">
      <w:pPr>
        <w:spacing w:line="600" w:lineRule="exact"/>
        <w:ind w:firstLine="640"/>
        <w:rPr>
          <w:rFonts w:ascii="仿宋" w:eastAsia="仿宋"/>
          <w:color w:val="000000"/>
          <w:sz w:val="32"/>
          <w:szCs w:val="32"/>
        </w:rPr>
      </w:pPr>
      <w:r>
        <w:rPr>
          <w:rFonts w:hint="eastAsia" w:ascii="仿宋" w:eastAsia="仿宋"/>
          <w:color w:val="000000"/>
          <w:sz w:val="32"/>
          <w:szCs w:val="32"/>
        </w:rPr>
        <w:t>国内公务接待支出0.79万元，主要用于执行公务、开展业务活动开支的住宿费、用餐费等。国内公务接待3批次，27人次（不包括陪同人员），共计支出0.79万元。</w:t>
      </w:r>
    </w:p>
    <w:p w14:paraId="3F6F544D">
      <w:pPr>
        <w:spacing w:line="600" w:lineRule="exact"/>
        <w:ind w:firstLine="640"/>
        <w:rPr>
          <w:rFonts w:ascii="仿宋" w:eastAsia="仿宋"/>
          <w:color w:val="000000"/>
          <w:sz w:val="32"/>
          <w:szCs w:val="32"/>
        </w:rPr>
      </w:pPr>
      <w:r>
        <w:rPr>
          <w:rFonts w:hint="eastAsia" w:ascii="仿宋" w:eastAsia="仿宋"/>
          <w:color w:val="000000"/>
          <w:sz w:val="32"/>
          <w:szCs w:val="32"/>
        </w:rPr>
        <w:t>外事接待支出0万元，外事接待0批次，0人，共计支出0万元</w:t>
      </w:r>
      <w:bookmarkStart w:id="80" w:name="_Toc79163622"/>
      <w:bookmarkStart w:id="81" w:name="_Toc15377218"/>
      <w:bookmarkStart w:id="82" w:name="_Toc15396610"/>
      <w:r>
        <w:rPr>
          <w:rFonts w:hint="eastAsia" w:ascii="仿宋" w:eastAsia="仿宋"/>
          <w:color w:val="000000"/>
          <w:sz w:val="32"/>
          <w:szCs w:val="32"/>
        </w:rPr>
        <w:t>。</w:t>
      </w:r>
    </w:p>
    <w:p w14:paraId="31867B09">
      <w:pPr>
        <w:spacing w:line="600" w:lineRule="exact"/>
        <w:ind w:firstLine="640"/>
        <w:rPr>
          <w:rStyle w:val="28"/>
          <w:rFonts w:ascii="黑体" w:eastAsia="黑体"/>
        </w:rPr>
      </w:pPr>
      <w:r>
        <w:rPr>
          <w:rFonts w:hint="eastAsia" w:ascii="黑体" w:eastAsia="黑体"/>
          <w:color w:val="000000"/>
          <w:sz w:val="32"/>
          <w:szCs w:val="32"/>
        </w:rPr>
        <w:t>八、</w:t>
      </w:r>
      <w:r>
        <w:rPr>
          <w:rStyle w:val="28"/>
          <w:rFonts w:hint="eastAsia" w:ascii="黑体" w:eastAsia="黑体"/>
        </w:rPr>
        <w:t>政府性基金预算支出决算情况说明</w:t>
      </w:r>
      <w:bookmarkEnd w:id="80"/>
      <w:bookmarkEnd w:id="81"/>
      <w:bookmarkEnd w:id="82"/>
    </w:p>
    <w:p w14:paraId="655DF80B">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年政府性基金预算拨款支出0万元。</w:t>
      </w:r>
    </w:p>
    <w:p w14:paraId="1A7DF175">
      <w:pPr>
        <w:numPr>
          <w:ilvl w:val="0"/>
          <w:numId w:val="2"/>
        </w:numPr>
        <w:spacing w:line="600" w:lineRule="exact"/>
        <w:ind w:left="0" w:firstLine="640"/>
        <w:outlineLvl w:val="1"/>
        <w:rPr>
          <w:rStyle w:val="28"/>
          <w:rFonts w:ascii="黑体" w:eastAsia="黑体"/>
          <w:b w:val="0"/>
        </w:rPr>
      </w:pPr>
      <w:bookmarkStart w:id="83" w:name="_Toc16521"/>
      <w:bookmarkStart w:id="84" w:name="_Toc15396611"/>
      <w:bookmarkStart w:id="85" w:name="_Toc14310"/>
      <w:bookmarkStart w:id="86" w:name="_Toc79163623"/>
      <w:bookmarkStart w:id="87" w:name="_Toc15377219"/>
      <w:r>
        <w:rPr>
          <w:rStyle w:val="28"/>
          <w:rFonts w:hint="eastAsia" w:ascii="黑体" w:eastAsia="黑体"/>
        </w:rPr>
        <w:t>国有资本经营预算支出决算情况说明</w:t>
      </w:r>
      <w:bookmarkEnd w:id="83"/>
      <w:bookmarkEnd w:id="84"/>
      <w:bookmarkEnd w:id="85"/>
      <w:bookmarkEnd w:id="86"/>
      <w:bookmarkEnd w:id="87"/>
    </w:p>
    <w:p w14:paraId="6B055117">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年国有资本经营预算拨款支出0万元。</w:t>
      </w:r>
    </w:p>
    <w:p w14:paraId="45C6F5CC">
      <w:pPr>
        <w:spacing w:line="600" w:lineRule="exact"/>
        <w:ind w:firstLine="800" w:firstLineChars="250"/>
        <w:outlineLvl w:val="1"/>
        <w:rPr>
          <w:rStyle w:val="28"/>
          <w:rFonts w:ascii="黑体" w:eastAsia="黑体"/>
        </w:rPr>
      </w:pPr>
      <w:bookmarkStart w:id="88" w:name="_Toc28061"/>
      <w:bookmarkStart w:id="89" w:name="_Toc26412"/>
      <w:bookmarkStart w:id="90" w:name="_Toc15396612"/>
      <w:bookmarkStart w:id="91" w:name="_Toc15377221"/>
      <w:bookmarkStart w:id="92" w:name="_Toc79163624"/>
      <w:r>
        <w:rPr>
          <w:rFonts w:hint="eastAsia" w:ascii="黑体" w:eastAsia="黑体"/>
          <w:color w:val="000000"/>
          <w:sz w:val="32"/>
          <w:szCs w:val="32"/>
        </w:rPr>
        <w:t>十</w:t>
      </w:r>
      <w:r>
        <w:rPr>
          <w:rStyle w:val="28"/>
          <w:rFonts w:hint="eastAsia" w:ascii="黑体" w:eastAsia="黑体"/>
        </w:rPr>
        <w:t>、其他重要事项的情况说明</w:t>
      </w:r>
      <w:bookmarkEnd w:id="88"/>
      <w:bookmarkEnd w:id="89"/>
      <w:bookmarkEnd w:id="90"/>
      <w:bookmarkEnd w:id="91"/>
      <w:bookmarkEnd w:id="92"/>
    </w:p>
    <w:p w14:paraId="72AE66E9">
      <w:pPr>
        <w:spacing w:line="600" w:lineRule="exact"/>
        <w:ind w:firstLine="643" w:firstLineChars="200"/>
        <w:outlineLvl w:val="2"/>
        <w:rPr>
          <w:rFonts w:ascii="仿宋" w:eastAsia="仿宋"/>
          <w:color w:val="000000"/>
          <w:sz w:val="32"/>
          <w:szCs w:val="32"/>
        </w:rPr>
      </w:pPr>
      <w:bookmarkStart w:id="93" w:name="_Toc15377222"/>
      <w:bookmarkStart w:id="94" w:name="_Toc79163625"/>
      <w:bookmarkStart w:id="95" w:name="_Toc6077"/>
      <w:r>
        <w:rPr>
          <w:rFonts w:hint="eastAsia" w:ascii="仿宋" w:eastAsia="仿宋"/>
          <w:b/>
          <w:color w:val="000000"/>
          <w:sz w:val="32"/>
          <w:szCs w:val="32"/>
        </w:rPr>
        <w:t>（一）机关运行经费支出情况</w:t>
      </w:r>
      <w:bookmarkEnd w:id="93"/>
      <w:bookmarkEnd w:id="94"/>
      <w:bookmarkEnd w:id="95"/>
    </w:p>
    <w:p w14:paraId="6C58AB6D">
      <w:pPr>
        <w:spacing w:line="600" w:lineRule="exact"/>
        <w:ind w:firstLine="640" w:firstLineChars="20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年，阿坝州壤塘县大学中专招生办公室机关运行经费支出0万元，比</w:t>
      </w:r>
      <w:r>
        <w:rPr>
          <w:rFonts w:ascii="仿宋" w:eastAsia="仿宋"/>
          <w:color w:val="000000"/>
          <w:sz w:val="32"/>
          <w:szCs w:val="32"/>
        </w:rPr>
        <w:t>2021</w:t>
      </w:r>
      <w:r>
        <w:rPr>
          <w:rFonts w:hint="eastAsia" w:ascii="仿宋" w:eastAsia="仿宋"/>
          <w:color w:val="000000"/>
          <w:sz w:val="32"/>
          <w:szCs w:val="32"/>
        </w:rPr>
        <w:t>年减少0万元，增长0</w:t>
      </w:r>
      <w:r>
        <w:rPr>
          <w:rFonts w:ascii="仿宋" w:eastAsia="仿宋"/>
          <w:color w:val="000000"/>
          <w:sz w:val="32"/>
          <w:szCs w:val="32"/>
        </w:rPr>
        <w:t>%</w:t>
      </w:r>
      <w:r>
        <w:rPr>
          <w:rFonts w:hint="eastAsia" w:ascii="仿宋" w:eastAsia="仿宋"/>
          <w:color w:val="000000"/>
          <w:sz w:val="32"/>
          <w:szCs w:val="32"/>
        </w:rPr>
        <w:t>。</w:t>
      </w:r>
    </w:p>
    <w:p w14:paraId="15DB4DBB">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6" w:name="_Toc15377223"/>
      <w:bookmarkStart w:id="97" w:name="_Toc2512"/>
      <w:bookmarkStart w:id="98" w:name="_Toc79163626"/>
      <w:r>
        <w:rPr>
          <w:rFonts w:hint="eastAsia" w:ascii="仿宋" w:eastAsia="仿宋"/>
          <w:b/>
          <w:color w:val="000000"/>
          <w:sz w:val="32"/>
          <w:szCs w:val="32"/>
        </w:rPr>
        <w:t>（二）政府采购支出情况</w:t>
      </w:r>
      <w:bookmarkEnd w:id="96"/>
      <w:bookmarkEnd w:id="97"/>
      <w:bookmarkEnd w:id="98"/>
    </w:p>
    <w:p w14:paraId="52222E0D">
      <w:pPr>
        <w:spacing w:line="600" w:lineRule="exact"/>
        <w:ind w:firstLine="640" w:firstLineChars="200"/>
        <w:rPr>
          <w:rFonts w:ascii="仿宋" w:eastAsia="仿宋"/>
          <w:b/>
          <w:color w:val="000000"/>
          <w:sz w:val="32"/>
          <w:szCs w:val="32"/>
        </w:rPr>
      </w:pPr>
      <w:r>
        <w:rPr>
          <w:rFonts w:ascii="仿宋_GB2312" w:eastAsia="仿宋_GB2312"/>
          <w:color w:val="000000"/>
          <w:sz w:val="32"/>
          <w:szCs w:val="32"/>
        </w:rPr>
        <w:t>2022</w:t>
      </w:r>
      <w:r>
        <w:rPr>
          <w:rFonts w:hint="eastAsia" w:ascii="仿宋_GB2312" w:eastAsia="仿宋_GB2312"/>
          <w:color w:val="000000"/>
          <w:sz w:val="32"/>
          <w:szCs w:val="32"/>
        </w:rPr>
        <w:t>年，</w:t>
      </w:r>
      <w:r>
        <w:rPr>
          <w:rFonts w:hint="eastAsia" w:ascii="仿宋" w:eastAsia="仿宋"/>
          <w:color w:val="000000"/>
          <w:sz w:val="32"/>
          <w:szCs w:val="32"/>
        </w:rPr>
        <w:t>阿坝州壤塘县大学中专招生办公室政府采购支出总额0万元，其中：政府采购货物支出0万元、政府采购工程支出0万元、政府采购服务支出0万元。</w:t>
      </w:r>
    </w:p>
    <w:p w14:paraId="0D23E72C">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99" w:name="_Toc15377224"/>
      <w:bookmarkStart w:id="100" w:name="_Toc79163627"/>
      <w:bookmarkStart w:id="101" w:name="_Toc11122"/>
      <w:r>
        <w:rPr>
          <w:rFonts w:hint="eastAsia" w:ascii="仿宋" w:eastAsia="仿宋"/>
          <w:b/>
          <w:color w:val="000000"/>
          <w:sz w:val="32"/>
          <w:szCs w:val="32"/>
        </w:rPr>
        <w:t>（三）国有资产占有使用情况</w:t>
      </w:r>
      <w:bookmarkEnd w:id="99"/>
      <w:bookmarkEnd w:id="100"/>
      <w:bookmarkEnd w:id="101"/>
    </w:p>
    <w:p w14:paraId="5CE2E01A">
      <w:pPr>
        <w:autoSpaceDE w:val="0"/>
        <w:autoSpaceDN w:val="0"/>
        <w:adjustRightInd w:val="0"/>
        <w:spacing w:line="600" w:lineRule="exact"/>
        <w:ind w:firstLine="640" w:firstLineChars="200"/>
        <w:jc w:val="left"/>
        <w:rPr>
          <w:rFonts w:ascii="仿宋" w:eastAsia="仿宋" w:cs="仿宋"/>
          <w:b/>
          <w:color w:val="FF0000"/>
          <w:sz w:val="32"/>
          <w:szCs w:val="32"/>
        </w:rPr>
      </w:pPr>
      <w:r>
        <w:rPr>
          <w:rFonts w:ascii="仿宋" w:eastAsia="仿宋" w:cs="仿宋"/>
          <w:color w:val="000000"/>
          <w:sz w:val="32"/>
          <w:szCs w:val="32"/>
        </w:rPr>
        <w:t>2022</w:t>
      </w:r>
      <w:r>
        <w:rPr>
          <w:rFonts w:hint="eastAsia" w:ascii="仿宋" w:eastAsia="仿宋" w:cs="仿宋"/>
          <w:color w:val="000000"/>
          <w:sz w:val="32"/>
          <w:szCs w:val="32"/>
        </w:rPr>
        <w:t>年</w:t>
      </w:r>
      <w:r>
        <w:rPr>
          <w:rFonts w:ascii="仿宋" w:eastAsia="仿宋" w:cs="仿宋"/>
          <w:color w:val="000000"/>
          <w:sz w:val="32"/>
          <w:szCs w:val="32"/>
        </w:rPr>
        <w:t>12</w:t>
      </w:r>
      <w:r>
        <w:rPr>
          <w:rFonts w:hint="eastAsia" w:ascii="仿宋" w:eastAsia="仿宋" w:cs="仿宋"/>
          <w:color w:val="000000"/>
          <w:sz w:val="32"/>
          <w:szCs w:val="32"/>
        </w:rPr>
        <w:t>月</w:t>
      </w:r>
      <w:r>
        <w:rPr>
          <w:rFonts w:ascii="仿宋" w:eastAsia="仿宋" w:cs="仿宋"/>
          <w:color w:val="000000"/>
          <w:sz w:val="32"/>
          <w:szCs w:val="32"/>
        </w:rPr>
        <w:t>31</w:t>
      </w:r>
      <w:r>
        <w:rPr>
          <w:rFonts w:hint="eastAsia" w:ascii="仿宋" w:eastAsia="仿宋" w:cs="仿宋"/>
          <w:color w:val="000000"/>
          <w:sz w:val="32"/>
          <w:szCs w:val="32"/>
        </w:rPr>
        <w:t>日，阿坝州壤塘县大学中专招生办公室共有车辆0辆，其中：主要领导干部用车0辆、机要通信用车0辆、应急保障用车0辆、其他用车0辆。单价50万元以上通用设备0台（套），单价100万元以上专用设备0台（套）。</w:t>
      </w:r>
    </w:p>
    <w:p w14:paraId="0BE611E6">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102" w:name="_Toc5485"/>
      <w:bookmarkStart w:id="103" w:name="_Toc79163628"/>
      <w:r>
        <w:rPr>
          <w:rFonts w:hint="eastAsia" w:ascii="仿宋" w:eastAsia="仿宋"/>
          <w:b/>
          <w:color w:val="000000"/>
          <w:sz w:val="32"/>
          <w:szCs w:val="32"/>
        </w:rPr>
        <w:t>（四）预算绩效管理情况。</w:t>
      </w:r>
      <w:bookmarkEnd w:id="102"/>
      <w:bookmarkEnd w:id="103"/>
    </w:p>
    <w:p w14:paraId="35296CC8">
      <w:pPr>
        <w:spacing w:line="580" w:lineRule="exact"/>
        <w:ind w:firstLine="640" w:firstLineChars="200"/>
        <w:rPr>
          <w:rFonts w:ascii="仿宋" w:eastAsia="仿宋" w:cs="仿宋"/>
          <w:color w:val="000000"/>
          <w:sz w:val="32"/>
          <w:szCs w:val="32"/>
        </w:rPr>
      </w:pPr>
      <w:r>
        <w:rPr>
          <w:rFonts w:hint="eastAsia" w:ascii="仿宋" w:eastAsia="仿宋" w:cs="仿宋"/>
          <w:color w:val="000000"/>
          <w:sz w:val="32"/>
          <w:szCs w:val="32"/>
        </w:rPr>
        <w:t>根据预算绩效管理要求，本部门在2022年度预算编制阶段，未安排200万元及以上项目，故对0个项目开展了预算事前绩效评估，对0个项目编制了绩效目标，预算执行过程中，选取0个项目开展绩效监控。</w:t>
      </w:r>
    </w:p>
    <w:p w14:paraId="71B35B6B">
      <w:pPr>
        <w:spacing w:line="580" w:lineRule="exact"/>
        <w:ind w:firstLine="640" w:firstLineChars="200"/>
        <w:rPr>
          <w:rFonts w:ascii="仿宋" w:eastAsia="仿宋" w:cs="仿宋"/>
          <w:color w:val="000000"/>
          <w:sz w:val="32"/>
          <w:szCs w:val="32"/>
        </w:rPr>
      </w:pPr>
      <w:r>
        <w:rPr>
          <w:rFonts w:hint="eastAsia" w:ascii="仿宋" w:eastAsia="仿宋" w:cs="仿宋"/>
          <w:color w:val="000000"/>
          <w:sz w:val="32"/>
          <w:szCs w:val="32"/>
        </w:rPr>
        <w:t>组织对2022年度一般公共预算、政府性基金预算、国有资本经营预算、社会保险基金预算以及资本资产、债券资金等全面开展绩效自评，形成壤塘县教育局部门整体（含部门预算项目）绩效自评报告、学前村级辅导员劳务报酬补助资金等专项预算项目绩效自评报告，其中，部门整体（含部门预算项目）绩效自评得分为98分。</w:t>
      </w:r>
    </w:p>
    <w:p w14:paraId="60C1A189">
      <w:pPr>
        <w:spacing w:line="580" w:lineRule="exact"/>
        <w:ind w:firstLine="420" w:firstLineChars="200"/>
      </w:pPr>
    </w:p>
    <w:p w14:paraId="0DBA0C0A">
      <w:pPr>
        <w:pStyle w:val="10"/>
        <w:tabs>
          <w:tab w:val="left" w:pos="7395"/>
        </w:tabs>
        <w:spacing w:before="93" w:beforeLines="0"/>
      </w:pPr>
      <w:r>
        <w:tab/>
      </w:r>
    </w:p>
    <w:p w14:paraId="5E2AD9D1">
      <w:pPr>
        <w:pStyle w:val="10"/>
        <w:tabs>
          <w:tab w:val="left" w:pos="7395"/>
        </w:tabs>
        <w:spacing w:before="93" w:beforeLines="0"/>
      </w:pPr>
    </w:p>
    <w:p w14:paraId="467DB4C9">
      <w:pPr>
        <w:pStyle w:val="10"/>
        <w:tabs>
          <w:tab w:val="left" w:pos="7395"/>
        </w:tabs>
        <w:spacing w:before="93" w:beforeLines="0"/>
      </w:pPr>
    </w:p>
    <w:p w14:paraId="257575E7">
      <w:pPr>
        <w:pStyle w:val="10"/>
        <w:spacing w:before="93" w:beforeLines="0"/>
      </w:pPr>
    </w:p>
    <w:p w14:paraId="3ECE6986">
      <w:pPr>
        <w:pStyle w:val="10"/>
        <w:spacing w:before="93" w:beforeLines="0"/>
      </w:pPr>
    </w:p>
    <w:p w14:paraId="70E4036F">
      <w:pPr>
        <w:pStyle w:val="10"/>
        <w:spacing w:before="93" w:beforeLines="0"/>
      </w:pPr>
    </w:p>
    <w:p w14:paraId="4E472DDF">
      <w:pPr>
        <w:pStyle w:val="10"/>
        <w:spacing w:before="93" w:beforeLines="0"/>
      </w:pPr>
    </w:p>
    <w:p w14:paraId="64D94B2E">
      <w:pPr>
        <w:pStyle w:val="10"/>
        <w:spacing w:before="93" w:beforeLines="0"/>
      </w:pPr>
    </w:p>
    <w:p w14:paraId="0C225B85">
      <w:pPr>
        <w:pStyle w:val="10"/>
        <w:spacing w:before="93" w:beforeLines="0"/>
      </w:pPr>
    </w:p>
    <w:p w14:paraId="49D2D846">
      <w:pPr>
        <w:numPr>
          <w:ilvl w:val="0"/>
          <w:numId w:val="3"/>
        </w:numPr>
        <w:spacing w:line="600" w:lineRule="exact"/>
        <w:ind w:left="0" w:firstLine="660" w:firstLineChars="150"/>
        <w:jc w:val="center"/>
        <w:outlineLvl w:val="0"/>
        <w:rPr>
          <w:rStyle w:val="27"/>
          <w:rFonts w:ascii="黑体" w:eastAsia="黑体"/>
          <w:b w:val="0"/>
        </w:rPr>
      </w:pPr>
      <w:bookmarkStart w:id="104" w:name="_Toc15377225"/>
      <w:bookmarkStart w:id="105" w:name="_Toc14940"/>
      <w:bookmarkStart w:id="106" w:name="_Toc15396613"/>
      <w:bookmarkStart w:id="107" w:name="_Toc79163629"/>
      <w:bookmarkStart w:id="108" w:name="_Toc1933"/>
      <w:r>
        <w:rPr>
          <w:rFonts w:hint="eastAsia" w:ascii="黑体" w:eastAsia="黑体"/>
          <w:color w:val="000000"/>
          <w:sz w:val="44"/>
          <w:szCs w:val="44"/>
        </w:rPr>
        <w:t>名</w:t>
      </w:r>
      <w:r>
        <w:rPr>
          <w:rStyle w:val="27"/>
          <w:rFonts w:hint="eastAsia" w:ascii="黑体" w:eastAsia="黑体"/>
        </w:rPr>
        <w:t>词解释</w:t>
      </w:r>
      <w:bookmarkEnd w:id="104"/>
      <w:bookmarkEnd w:id="105"/>
      <w:bookmarkEnd w:id="106"/>
      <w:bookmarkEnd w:id="107"/>
      <w:bookmarkEnd w:id="108"/>
    </w:p>
    <w:p w14:paraId="33CCF38B">
      <w:pPr>
        <w:spacing w:line="600" w:lineRule="exact"/>
        <w:jc w:val="left"/>
        <w:rPr>
          <w:rFonts w:ascii="宋体"/>
          <w:b/>
          <w:color w:val="000000"/>
          <w:sz w:val="44"/>
          <w:szCs w:val="44"/>
        </w:rPr>
      </w:pPr>
    </w:p>
    <w:p w14:paraId="4D9C646B">
      <w:pPr>
        <w:pStyle w:val="33"/>
        <w:spacing w:line="560" w:lineRule="exact"/>
        <w:ind w:firstLine="640" w:firstLineChars="200"/>
        <w:rPr>
          <w:sz w:val="32"/>
          <w:szCs w:val="32"/>
        </w:rPr>
      </w:pPr>
      <w:r>
        <w:rPr>
          <w:sz w:val="32"/>
          <w:szCs w:val="32"/>
        </w:rPr>
        <w:t>1.</w:t>
      </w:r>
      <w:r>
        <w:rPr>
          <w:rFonts w:hint="eastAsia"/>
          <w:sz w:val="32"/>
          <w:szCs w:val="32"/>
        </w:rPr>
        <w:t>财政拨款收入：指单位从同级财政部门取得的财政预算资金。</w:t>
      </w:r>
    </w:p>
    <w:p w14:paraId="1AB71A18">
      <w:pPr>
        <w:pStyle w:val="33"/>
        <w:spacing w:line="560" w:lineRule="exact"/>
        <w:ind w:firstLine="640" w:firstLineChars="200"/>
        <w:rPr>
          <w:sz w:val="32"/>
          <w:szCs w:val="32"/>
        </w:rPr>
      </w:pPr>
      <w:r>
        <w:rPr>
          <w:sz w:val="32"/>
          <w:szCs w:val="32"/>
        </w:rPr>
        <w:t>2.</w:t>
      </w:r>
      <w:r>
        <w:rPr>
          <w:rFonts w:hint="eastAsia"/>
          <w:sz w:val="32"/>
          <w:szCs w:val="32"/>
        </w:rPr>
        <w:t>事业收入：指事业单位开展专业业务活动及辅助活动取得的收入。如…（二级预算单位事业收入情况）等。</w:t>
      </w:r>
    </w:p>
    <w:p w14:paraId="1B2636EA">
      <w:pPr>
        <w:pStyle w:val="33"/>
        <w:spacing w:line="560" w:lineRule="exact"/>
        <w:ind w:firstLine="640" w:firstLineChars="200"/>
        <w:rPr>
          <w:sz w:val="32"/>
          <w:szCs w:val="32"/>
        </w:rPr>
      </w:pPr>
      <w:r>
        <w:rPr>
          <w:sz w:val="32"/>
          <w:szCs w:val="32"/>
        </w:rPr>
        <w:t>3.</w:t>
      </w:r>
      <w:r>
        <w:rPr>
          <w:rFonts w:hint="eastAsia"/>
          <w:sz w:val="32"/>
          <w:szCs w:val="32"/>
        </w:rPr>
        <w:t>经营收入：指事业单位在专业业务活动及其辅助活动之外开展非独立核算经营活动取得的收入。如…（二级预算单位经营收入情况）等。</w:t>
      </w:r>
    </w:p>
    <w:p w14:paraId="105D6C83">
      <w:pPr>
        <w:pStyle w:val="33"/>
        <w:spacing w:line="560" w:lineRule="exact"/>
        <w:ind w:firstLine="640" w:firstLineChars="200"/>
        <w:rPr>
          <w:sz w:val="32"/>
          <w:szCs w:val="32"/>
        </w:rPr>
      </w:pPr>
      <w:r>
        <w:rPr>
          <w:sz w:val="32"/>
          <w:szCs w:val="32"/>
        </w:rPr>
        <w:t>4.</w:t>
      </w:r>
      <w:r>
        <w:rPr>
          <w:rFonts w:hint="eastAsia"/>
          <w:sz w:val="32"/>
          <w:szCs w:val="32"/>
        </w:rPr>
        <w:t>其他收入：指单位取得的除上述收入以外的各项收入。主要是…（收入类型）等。</w:t>
      </w:r>
    </w:p>
    <w:p w14:paraId="4F0449C5">
      <w:pPr>
        <w:pStyle w:val="33"/>
        <w:spacing w:line="560" w:lineRule="exact"/>
        <w:ind w:firstLine="640" w:firstLineChars="200"/>
        <w:rPr>
          <w:sz w:val="32"/>
          <w:szCs w:val="32"/>
        </w:rPr>
      </w:pPr>
      <w:r>
        <w:rPr>
          <w:sz w:val="32"/>
          <w:szCs w:val="32"/>
        </w:rPr>
        <w:t>5.</w:t>
      </w:r>
      <w:r>
        <w:rPr>
          <w:rFonts w:hint="eastAsia"/>
          <w:sz w:val="32"/>
          <w:szCs w:val="32"/>
        </w:rPr>
        <w:t>使用非财政拨款结余：指事业单位使用以前年度积累的非财政拨款结余弥补当年收支差额的金额。</w:t>
      </w:r>
    </w:p>
    <w:p w14:paraId="79AFD3CD">
      <w:pPr>
        <w:pStyle w:val="33"/>
        <w:spacing w:line="560" w:lineRule="exact"/>
        <w:ind w:firstLine="640" w:firstLineChars="200"/>
        <w:rPr>
          <w:sz w:val="32"/>
          <w:szCs w:val="32"/>
        </w:rPr>
      </w:pPr>
      <w:r>
        <w:rPr>
          <w:sz w:val="32"/>
          <w:szCs w:val="32"/>
        </w:rPr>
        <w:t>6.</w:t>
      </w:r>
      <w:r>
        <w:rPr>
          <w:rFonts w:hint="eastAsia"/>
          <w:sz w:val="32"/>
          <w:szCs w:val="32"/>
        </w:rPr>
        <w:t>年初结转和结余：指以前年度尚未完成、结转到本年按有关规定继续使用的资金。</w:t>
      </w:r>
    </w:p>
    <w:p w14:paraId="3D4004F6">
      <w:pPr>
        <w:pStyle w:val="33"/>
        <w:spacing w:line="560" w:lineRule="exact"/>
        <w:ind w:firstLine="640" w:firstLineChars="200"/>
        <w:rPr>
          <w:sz w:val="32"/>
          <w:szCs w:val="32"/>
        </w:rPr>
      </w:pPr>
      <w:r>
        <w:rPr>
          <w:sz w:val="32"/>
          <w:szCs w:val="32"/>
        </w:rPr>
        <w:t>7.</w:t>
      </w:r>
      <w:r>
        <w:rPr>
          <w:rFonts w:hint="eastAsia"/>
          <w:sz w:val="32"/>
          <w:szCs w:val="32"/>
        </w:rPr>
        <w:t>结余分配：指事业单位按照会计制度规定缴纳的所得税、提取的专用结余以及转入非财政拨款结余的金额等。</w:t>
      </w:r>
    </w:p>
    <w:p w14:paraId="0F849312">
      <w:pPr>
        <w:pStyle w:val="33"/>
        <w:spacing w:line="560" w:lineRule="exact"/>
        <w:ind w:firstLine="640" w:firstLineChars="200"/>
        <w:rPr>
          <w:sz w:val="32"/>
          <w:szCs w:val="32"/>
        </w:rPr>
      </w:pPr>
      <w:r>
        <w:rPr>
          <w:sz w:val="32"/>
          <w:szCs w:val="32"/>
        </w:rPr>
        <w:t>8</w:t>
      </w:r>
      <w:r>
        <w:rPr>
          <w:rFonts w:hint="eastAsia"/>
          <w:sz w:val="32"/>
          <w:szCs w:val="32"/>
        </w:rPr>
        <w:t>、年末结转和结余：指单位按有关规定结转到下年或以后年度继续使用的资金。</w:t>
      </w:r>
    </w:p>
    <w:p w14:paraId="095DD805">
      <w:pPr>
        <w:ind w:firstLine="640" w:firstLineChars="200"/>
        <w:rPr>
          <w:rFonts w:ascii="仿宋" w:eastAsia="仿宋"/>
          <w:color w:val="000000"/>
          <w:sz w:val="32"/>
          <w:szCs w:val="32"/>
        </w:rPr>
      </w:pPr>
      <w:r>
        <w:rPr>
          <w:rFonts w:hint="eastAsia" w:ascii="仿宋" w:eastAsia="仿宋"/>
          <w:color w:val="000000"/>
          <w:sz w:val="32"/>
          <w:szCs w:val="32"/>
        </w:rPr>
        <w:t>9</w:t>
      </w:r>
      <w:r>
        <w:rPr>
          <w:rFonts w:hint="eastAsia" w:ascii="仿宋" w:eastAsia="仿宋"/>
          <w:sz w:val="32"/>
          <w:szCs w:val="32"/>
        </w:rPr>
        <w:t>、</w:t>
      </w:r>
      <w:r>
        <w:rPr>
          <w:rFonts w:hint="eastAsia" w:ascii="仿宋" w:eastAsia="仿宋"/>
          <w:color w:val="000000"/>
          <w:sz w:val="32"/>
          <w:szCs w:val="32"/>
        </w:rPr>
        <w:t>教育（205类）教育管理事务（01款）行政运行（01项）：指反映行政单位的基本支出。</w:t>
      </w:r>
    </w:p>
    <w:p w14:paraId="5505AFC4">
      <w:pPr>
        <w:ind w:firstLine="480" w:firstLineChars="150"/>
        <w:rPr>
          <w:rFonts w:ascii="仿宋" w:eastAsia="仿宋"/>
          <w:color w:val="000000"/>
          <w:sz w:val="32"/>
          <w:szCs w:val="32"/>
        </w:rPr>
      </w:pPr>
      <w:r>
        <w:rPr>
          <w:rFonts w:hint="eastAsia" w:ascii="仿宋" w:eastAsia="仿宋"/>
          <w:color w:val="000000"/>
          <w:sz w:val="32"/>
          <w:szCs w:val="32"/>
        </w:rPr>
        <w:t>10</w:t>
      </w:r>
      <w:r>
        <w:rPr>
          <w:rFonts w:hint="eastAsia" w:ascii="仿宋" w:eastAsia="仿宋"/>
          <w:sz w:val="32"/>
          <w:szCs w:val="32"/>
        </w:rPr>
        <w:t>、</w:t>
      </w:r>
      <w:r>
        <w:rPr>
          <w:rFonts w:hint="eastAsia" w:ascii="仿宋" w:eastAsia="仿宋"/>
          <w:color w:val="000000"/>
          <w:sz w:val="32"/>
          <w:szCs w:val="32"/>
        </w:rPr>
        <w:t>教育（205类）普通教育（02款）学前教育（01项）：指反映各部门举办的学前教育支出。</w:t>
      </w:r>
    </w:p>
    <w:p w14:paraId="5703B9C9">
      <w:pPr>
        <w:ind w:firstLine="480" w:firstLineChars="150"/>
        <w:rPr>
          <w:rFonts w:ascii="仿宋" w:eastAsia="仿宋"/>
          <w:color w:val="000000"/>
          <w:sz w:val="32"/>
          <w:szCs w:val="32"/>
        </w:rPr>
      </w:pPr>
      <w:r>
        <w:rPr>
          <w:rFonts w:hint="eastAsia" w:ascii="仿宋" w:eastAsia="仿宋"/>
          <w:color w:val="000000"/>
          <w:sz w:val="32"/>
          <w:szCs w:val="32"/>
        </w:rPr>
        <w:t>11</w:t>
      </w:r>
      <w:r>
        <w:rPr>
          <w:rFonts w:hint="eastAsia" w:ascii="仿宋" w:eastAsia="仿宋"/>
          <w:sz w:val="32"/>
          <w:szCs w:val="32"/>
        </w:rPr>
        <w:t>、</w:t>
      </w:r>
      <w:r>
        <w:rPr>
          <w:rFonts w:hint="eastAsia" w:ascii="仿宋" w:eastAsia="仿宋"/>
          <w:color w:val="000000"/>
          <w:sz w:val="32"/>
          <w:szCs w:val="32"/>
        </w:rPr>
        <w:t>教育（205类）普通教育（02款）小学教育（02项）：指反映各部门举办的小学教育支出。</w:t>
      </w:r>
    </w:p>
    <w:p w14:paraId="61D330F0">
      <w:pPr>
        <w:ind w:firstLine="480" w:firstLineChars="150"/>
        <w:rPr>
          <w:rFonts w:ascii="仿宋" w:eastAsia="仿宋"/>
          <w:color w:val="000000"/>
          <w:sz w:val="32"/>
          <w:szCs w:val="32"/>
        </w:rPr>
      </w:pPr>
      <w:r>
        <w:rPr>
          <w:rFonts w:hint="eastAsia" w:ascii="仿宋" w:eastAsia="仿宋"/>
          <w:color w:val="000000"/>
          <w:sz w:val="32"/>
          <w:szCs w:val="32"/>
        </w:rPr>
        <w:t>12</w:t>
      </w:r>
      <w:r>
        <w:rPr>
          <w:rFonts w:hint="eastAsia" w:ascii="仿宋" w:eastAsia="仿宋"/>
          <w:sz w:val="32"/>
          <w:szCs w:val="32"/>
        </w:rPr>
        <w:t>、</w:t>
      </w:r>
      <w:r>
        <w:rPr>
          <w:rFonts w:hint="eastAsia" w:ascii="仿宋" w:eastAsia="仿宋"/>
          <w:color w:val="000000"/>
          <w:sz w:val="32"/>
          <w:szCs w:val="32"/>
        </w:rPr>
        <w:t>教育（205类）普通教育（02款）初中教育（03项）：指反映各部门举办的初中教育支出。</w:t>
      </w:r>
    </w:p>
    <w:p w14:paraId="204167CB">
      <w:pPr>
        <w:ind w:firstLine="480" w:firstLineChars="150"/>
        <w:rPr>
          <w:rFonts w:ascii="仿宋" w:eastAsia="仿宋"/>
          <w:color w:val="000000"/>
          <w:sz w:val="32"/>
          <w:szCs w:val="32"/>
        </w:rPr>
      </w:pPr>
      <w:r>
        <w:rPr>
          <w:rFonts w:hint="eastAsia" w:ascii="仿宋" w:eastAsia="仿宋"/>
          <w:color w:val="000000"/>
          <w:sz w:val="32"/>
          <w:szCs w:val="32"/>
        </w:rPr>
        <w:t>12</w:t>
      </w:r>
      <w:r>
        <w:rPr>
          <w:rFonts w:hint="eastAsia" w:ascii="仿宋" w:eastAsia="仿宋"/>
          <w:sz w:val="32"/>
          <w:szCs w:val="32"/>
        </w:rPr>
        <w:t>、</w:t>
      </w:r>
      <w:r>
        <w:rPr>
          <w:rFonts w:hint="eastAsia" w:ascii="仿宋" w:eastAsia="仿宋"/>
          <w:color w:val="000000"/>
          <w:sz w:val="32"/>
          <w:szCs w:val="32"/>
        </w:rPr>
        <w:t>教育（205类）普通教育（02款）高中教育（04项）：指反映各部门举办的高中教育支出。</w:t>
      </w:r>
    </w:p>
    <w:p w14:paraId="3F0932A5">
      <w:pPr>
        <w:ind w:firstLine="480" w:firstLineChars="150"/>
        <w:rPr>
          <w:rFonts w:ascii="仿宋" w:eastAsia="仿宋"/>
          <w:color w:val="000000"/>
          <w:sz w:val="32"/>
          <w:szCs w:val="32"/>
        </w:rPr>
      </w:pPr>
      <w:r>
        <w:rPr>
          <w:rFonts w:hint="eastAsia" w:ascii="仿宋" w:eastAsia="仿宋"/>
          <w:color w:val="000000"/>
          <w:sz w:val="32"/>
          <w:szCs w:val="32"/>
        </w:rPr>
        <w:t>13</w:t>
      </w:r>
      <w:r>
        <w:rPr>
          <w:rFonts w:hint="eastAsia" w:ascii="仿宋" w:eastAsia="仿宋"/>
          <w:sz w:val="32"/>
          <w:szCs w:val="32"/>
        </w:rPr>
        <w:t>、</w:t>
      </w:r>
      <w:r>
        <w:rPr>
          <w:rFonts w:hint="eastAsia" w:ascii="仿宋" w:eastAsia="仿宋"/>
          <w:color w:val="000000"/>
          <w:sz w:val="32"/>
          <w:szCs w:val="32"/>
        </w:rPr>
        <w:t>教育（205类）普通教育（02款）高等教育（05项）：指反映各部门举办的普通本科（包括研究生）教育支出。</w:t>
      </w:r>
    </w:p>
    <w:p w14:paraId="1D286145">
      <w:pPr>
        <w:ind w:firstLine="480" w:firstLineChars="150"/>
        <w:rPr>
          <w:rFonts w:ascii="仿宋" w:eastAsia="仿宋"/>
          <w:color w:val="000000"/>
          <w:sz w:val="32"/>
          <w:szCs w:val="32"/>
        </w:rPr>
      </w:pPr>
      <w:r>
        <w:rPr>
          <w:rFonts w:hint="eastAsia" w:ascii="仿宋" w:eastAsia="仿宋"/>
          <w:color w:val="000000"/>
          <w:sz w:val="32"/>
          <w:szCs w:val="32"/>
        </w:rPr>
        <w:t>14</w:t>
      </w:r>
      <w:r>
        <w:rPr>
          <w:rFonts w:hint="eastAsia" w:ascii="仿宋" w:eastAsia="仿宋"/>
          <w:sz w:val="32"/>
          <w:szCs w:val="32"/>
        </w:rPr>
        <w:t>、</w:t>
      </w:r>
      <w:r>
        <w:rPr>
          <w:rFonts w:hint="eastAsia" w:ascii="仿宋" w:eastAsia="仿宋"/>
          <w:color w:val="000000"/>
          <w:sz w:val="32"/>
          <w:szCs w:val="32"/>
        </w:rPr>
        <w:t>教育（205类）其他普通教育（02款）其他普通教育支出（99项）：指反映各部其他用于普通教育方面的支出。</w:t>
      </w:r>
    </w:p>
    <w:p w14:paraId="0D88E27E">
      <w:pPr>
        <w:ind w:firstLine="480" w:firstLineChars="150"/>
        <w:rPr>
          <w:rFonts w:ascii="仿宋" w:eastAsia="仿宋"/>
          <w:color w:val="000000"/>
          <w:sz w:val="32"/>
          <w:szCs w:val="32"/>
        </w:rPr>
      </w:pPr>
      <w:r>
        <w:rPr>
          <w:rFonts w:hint="eastAsia" w:ascii="仿宋" w:eastAsia="仿宋"/>
          <w:color w:val="000000"/>
          <w:sz w:val="32"/>
          <w:szCs w:val="32"/>
        </w:rPr>
        <w:t>15、教育（205类） 职业教育（03款） 中等职业教育（02项）：指反映各部（不含人力资源社会保障部门）举办的中等职业教育支出。</w:t>
      </w:r>
    </w:p>
    <w:p w14:paraId="17B374E8">
      <w:pPr>
        <w:ind w:firstLine="480" w:firstLineChars="150"/>
        <w:rPr>
          <w:rFonts w:ascii="仿宋" w:eastAsia="仿宋"/>
          <w:color w:val="000000"/>
          <w:sz w:val="32"/>
          <w:szCs w:val="32"/>
        </w:rPr>
      </w:pPr>
      <w:r>
        <w:rPr>
          <w:rFonts w:hint="eastAsia" w:ascii="仿宋" w:eastAsia="仿宋"/>
          <w:color w:val="000000"/>
          <w:sz w:val="32"/>
          <w:szCs w:val="32"/>
        </w:rPr>
        <w:t>16、教育（205类） 成人教育（04款）成人初等教育（01项）：指反映各部门举办各类成人初等教育的支出。</w:t>
      </w:r>
    </w:p>
    <w:p w14:paraId="32FD2557">
      <w:pPr>
        <w:ind w:firstLine="480" w:firstLineChars="150"/>
        <w:rPr>
          <w:rFonts w:ascii="仿宋" w:eastAsia="仿宋"/>
          <w:color w:val="000000"/>
          <w:sz w:val="32"/>
          <w:szCs w:val="32"/>
        </w:rPr>
      </w:pPr>
      <w:r>
        <w:rPr>
          <w:rFonts w:hint="eastAsia" w:ascii="仿宋" w:eastAsia="仿宋"/>
          <w:color w:val="000000"/>
          <w:sz w:val="32"/>
          <w:szCs w:val="32"/>
        </w:rPr>
        <w:t>17、教育（205类）教育费附加安排的支出（09款）其他教育费附加安排的支出（99项）：指反映其他用于教育附加方面的支出。</w:t>
      </w:r>
    </w:p>
    <w:p w14:paraId="54822733">
      <w:pPr>
        <w:ind w:firstLine="480" w:firstLineChars="150"/>
        <w:rPr>
          <w:rFonts w:ascii="仿宋" w:eastAsia="仿宋"/>
          <w:color w:val="000000"/>
          <w:sz w:val="32"/>
          <w:szCs w:val="32"/>
        </w:rPr>
      </w:pPr>
      <w:r>
        <w:rPr>
          <w:rFonts w:hint="eastAsia" w:ascii="仿宋" w:eastAsia="仿宋"/>
          <w:color w:val="000000"/>
          <w:sz w:val="32"/>
          <w:szCs w:val="32"/>
        </w:rPr>
        <w:t>18、教育（205类）其他教育支出（99款）其他教育支出（99项）：指反映其他用于教育方面的支出。</w:t>
      </w:r>
    </w:p>
    <w:p w14:paraId="1861B577">
      <w:pPr>
        <w:ind w:firstLine="480" w:firstLineChars="150"/>
        <w:rPr>
          <w:rFonts w:ascii="仿宋" w:eastAsia="仿宋"/>
          <w:color w:val="000000"/>
          <w:sz w:val="32"/>
          <w:szCs w:val="32"/>
        </w:rPr>
      </w:pPr>
      <w:r>
        <w:rPr>
          <w:rFonts w:hint="eastAsia" w:ascii="仿宋" w:eastAsia="仿宋"/>
          <w:color w:val="000000"/>
          <w:sz w:val="32"/>
          <w:szCs w:val="32"/>
        </w:rPr>
        <w:t>19、文化旅游体育与传媒支出（207类） 文化和旅游支出（99款） 宣传文化发展专项支出（02项）：指反映按照国家有关政策支持宣传文化单位发展的专项支出。</w:t>
      </w:r>
    </w:p>
    <w:p w14:paraId="77EDD6AF">
      <w:pPr>
        <w:ind w:firstLine="480" w:firstLineChars="150"/>
        <w:rPr>
          <w:rFonts w:ascii="仿宋" w:eastAsia="仿宋"/>
          <w:color w:val="000000"/>
          <w:sz w:val="32"/>
          <w:szCs w:val="32"/>
        </w:rPr>
      </w:pPr>
      <w:r>
        <w:rPr>
          <w:rFonts w:hint="eastAsia" w:ascii="仿宋" w:eastAsia="仿宋"/>
          <w:color w:val="000000"/>
          <w:sz w:val="32"/>
          <w:szCs w:val="32"/>
        </w:rPr>
        <w:t>20、社会保障和就业（208类）行政事业单位养老支出（05款）  机关事业单位基本养老保险缴费支出（05项）：指反映机关事业单位实施养老保险制度由单位缴纳的基本养老保险费支出。</w:t>
      </w:r>
    </w:p>
    <w:p w14:paraId="7B4C9631">
      <w:pPr>
        <w:ind w:firstLine="480" w:firstLineChars="150"/>
        <w:rPr>
          <w:rFonts w:ascii="仿宋" w:eastAsia="仿宋"/>
          <w:color w:val="000000"/>
          <w:sz w:val="32"/>
          <w:szCs w:val="32"/>
        </w:rPr>
      </w:pPr>
      <w:r>
        <w:rPr>
          <w:rFonts w:hint="eastAsia" w:ascii="仿宋" w:eastAsia="仿宋"/>
          <w:color w:val="000000"/>
          <w:sz w:val="32"/>
          <w:szCs w:val="32"/>
        </w:rPr>
        <w:t>21、社会保障和就业（208类）行政事业单位养老支出（05款） 机关事业单位职业年金缴费支出（06项）：指反映机关事业单位实施养老保险制度由单位实际缴纳的职业年金支出。</w:t>
      </w:r>
    </w:p>
    <w:p w14:paraId="52861682">
      <w:pPr>
        <w:ind w:firstLine="480" w:firstLineChars="150"/>
        <w:rPr>
          <w:rFonts w:ascii="仿宋" w:eastAsia="仿宋"/>
          <w:color w:val="000000"/>
          <w:sz w:val="32"/>
          <w:szCs w:val="32"/>
        </w:rPr>
      </w:pPr>
      <w:r>
        <w:rPr>
          <w:rFonts w:hint="eastAsia" w:ascii="仿宋" w:eastAsia="仿宋"/>
          <w:color w:val="000000"/>
          <w:sz w:val="32"/>
          <w:szCs w:val="32"/>
        </w:rPr>
        <w:t>22、医疗卫生与计划生育（210类）行政事业单位医疗（11款）行政单位医疗（01项）：指反映财政部门集中安排的行政单位（包括实行公务员管理的事业单位）基本医疗保险缴费经费，未参加医疗保险的事业单位的公费医疗经费，按国家规定享受离休人员待遇的医疗经费。</w:t>
      </w:r>
    </w:p>
    <w:p w14:paraId="4E8726E2">
      <w:pPr>
        <w:ind w:firstLine="480" w:firstLineChars="150"/>
        <w:rPr>
          <w:rFonts w:ascii="仿宋" w:eastAsia="仿宋" w:cs="仿宋"/>
          <w:color w:val="000000"/>
          <w:sz w:val="32"/>
          <w:szCs w:val="32"/>
        </w:rPr>
      </w:pPr>
      <w:r>
        <w:rPr>
          <w:rFonts w:hint="eastAsia" w:ascii="仿宋" w:eastAsia="仿宋"/>
          <w:color w:val="000000"/>
          <w:sz w:val="32"/>
          <w:szCs w:val="32"/>
        </w:rPr>
        <w:t>23、住房保障（221类）住房改革支出（02款）住房公积金（01项）：指反映行政事业单位按人力资源和社会保障部、财政部规定的基本工资和津贴补贴以及规定比例为职工缴纳的住房公积金。</w:t>
      </w:r>
    </w:p>
    <w:p w14:paraId="1BE91A77">
      <w:pPr>
        <w:ind w:firstLine="640" w:firstLineChars="200"/>
        <w:rPr>
          <w:rFonts w:ascii="仿宋" w:eastAsia="仿宋"/>
          <w:color w:val="000000"/>
          <w:sz w:val="32"/>
          <w:szCs w:val="32"/>
        </w:rPr>
      </w:pPr>
      <w:r>
        <w:rPr>
          <w:rFonts w:hint="eastAsia" w:ascii="仿宋" w:eastAsia="仿宋"/>
          <w:color w:val="000000"/>
          <w:sz w:val="32"/>
          <w:szCs w:val="32"/>
        </w:rPr>
        <w:t>24.基本支出：指为保障机构正常运转、完成日常工作任务而发生的人员支出和公用支出。</w:t>
      </w:r>
    </w:p>
    <w:p w14:paraId="4A0B7E88">
      <w:pPr>
        <w:ind w:firstLine="640" w:firstLineChars="200"/>
        <w:rPr>
          <w:rFonts w:ascii="仿宋" w:eastAsia="仿宋"/>
          <w:color w:val="000000"/>
          <w:sz w:val="32"/>
          <w:szCs w:val="32"/>
        </w:rPr>
      </w:pPr>
      <w:r>
        <w:rPr>
          <w:rFonts w:hint="eastAsia" w:ascii="仿宋" w:eastAsia="仿宋"/>
          <w:color w:val="000000"/>
          <w:sz w:val="32"/>
          <w:szCs w:val="32"/>
        </w:rPr>
        <w:t xml:space="preserve">25.项目支出：指在基本支出之外为完成特定行政任务和事业发展目标所发生的支出。 </w:t>
      </w:r>
    </w:p>
    <w:p w14:paraId="4699C8A0">
      <w:pPr>
        <w:ind w:firstLine="640" w:firstLineChars="200"/>
        <w:rPr>
          <w:rFonts w:ascii="仿宋" w:eastAsia="仿宋"/>
          <w:color w:val="000000"/>
          <w:sz w:val="32"/>
          <w:szCs w:val="32"/>
        </w:rPr>
      </w:pPr>
      <w:r>
        <w:rPr>
          <w:rFonts w:hint="eastAsia" w:ascii="仿宋" w:eastAsia="仿宋"/>
          <w:color w:val="000000"/>
          <w:sz w:val="32"/>
          <w:szCs w:val="32"/>
        </w:rPr>
        <w:t>26.经营支出：指事业单位在专业业务活动及其辅助活动之外开展非独立核算经营活动发生的支出。</w:t>
      </w:r>
    </w:p>
    <w:p w14:paraId="4EA48162">
      <w:pPr>
        <w:pStyle w:val="33"/>
        <w:spacing w:line="560" w:lineRule="exact"/>
        <w:ind w:firstLine="640" w:firstLineChars="200"/>
        <w:rPr>
          <w:rFonts w:cs="Times New Roman"/>
          <w:kern w:val="2"/>
          <w:sz w:val="32"/>
          <w:szCs w:val="32"/>
        </w:rPr>
      </w:pPr>
      <w:r>
        <w:rPr>
          <w:rFonts w:hint="eastAsia" w:cs="Times New Roman"/>
          <w:kern w:val="2"/>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2B5DEDD">
      <w:pPr>
        <w:pStyle w:val="33"/>
        <w:spacing w:line="560" w:lineRule="exact"/>
        <w:ind w:firstLine="640" w:firstLineChars="200"/>
        <w:rPr>
          <w:rFonts w:cs="Times New Roman"/>
          <w:kern w:val="2"/>
          <w:sz w:val="32"/>
          <w:szCs w:val="32"/>
        </w:rPr>
      </w:pPr>
      <w:r>
        <w:rPr>
          <w:rFonts w:hint="eastAsia" w:cs="Times New Roman"/>
          <w:kern w:val="2"/>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65C6897">
      <w:pPr>
        <w:spacing w:line="600" w:lineRule="exact"/>
        <w:jc w:val="center"/>
        <w:outlineLvl w:val="0"/>
        <w:rPr>
          <w:rFonts w:ascii="仿宋" w:eastAsia="仿宋"/>
          <w:color w:val="000000"/>
          <w:sz w:val="32"/>
          <w:szCs w:val="32"/>
        </w:rPr>
      </w:pPr>
      <w:bookmarkStart w:id="109" w:name="_Toc15396614"/>
      <w:bookmarkStart w:id="110" w:name="_Toc79163630"/>
      <w:bookmarkStart w:id="111" w:name="_Toc15377226"/>
    </w:p>
    <w:p w14:paraId="23BFC889">
      <w:pPr>
        <w:spacing w:line="600" w:lineRule="exact"/>
        <w:jc w:val="center"/>
        <w:outlineLvl w:val="0"/>
        <w:rPr>
          <w:rFonts w:ascii="仿宋" w:eastAsia="仿宋"/>
          <w:color w:val="000000"/>
          <w:sz w:val="32"/>
          <w:szCs w:val="32"/>
        </w:rPr>
      </w:pPr>
    </w:p>
    <w:p w14:paraId="1FEEB3D5">
      <w:pPr>
        <w:spacing w:line="600" w:lineRule="exact"/>
        <w:jc w:val="center"/>
        <w:outlineLvl w:val="0"/>
        <w:rPr>
          <w:rFonts w:ascii="仿宋" w:eastAsia="仿宋"/>
          <w:color w:val="000000"/>
          <w:sz w:val="32"/>
          <w:szCs w:val="32"/>
        </w:rPr>
      </w:pPr>
    </w:p>
    <w:p w14:paraId="7157D36E">
      <w:pPr>
        <w:spacing w:line="600" w:lineRule="exact"/>
        <w:jc w:val="center"/>
        <w:outlineLvl w:val="0"/>
        <w:rPr>
          <w:rFonts w:ascii="仿宋" w:eastAsia="仿宋"/>
          <w:color w:val="000000"/>
          <w:sz w:val="32"/>
          <w:szCs w:val="32"/>
        </w:rPr>
      </w:pPr>
    </w:p>
    <w:p w14:paraId="37C3ADDF">
      <w:pPr>
        <w:spacing w:line="600" w:lineRule="exact"/>
        <w:jc w:val="center"/>
        <w:outlineLvl w:val="0"/>
        <w:rPr>
          <w:rFonts w:ascii="仿宋" w:eastAsia="仿宋"/>
          <w:color w:val="000000"/>
          <w:sz w:val="32"/>
          <w:szCs w:val="32"/>
        </w:rPr>
      </w:pPr>
    </w:p>
    <w:p w14:paraId="65526836">
      <w:pPr>
        <w:spacing w:line="600" w:lineRule="exact"/>
        <w:jc w:val="center"/>
        <w:outlineLvl w:val="0"/>
        <w:rPr>
          <w:rFonts w:ascii="黑体" w:eastAsia="黑体"/>
          <w:color w:val="000000"/>
          <w:sz w:val="44"/>
          <w:szCs w:val="44"/>
        </w:rPr>
      </w:pPr>
    </w:p>
    <w:p w14:paraId="38E354F3">
      <w:pPr>
        <w:spacing w:line="600" w:lineRule="exact"/>
        <w:jc w:val="center"/>
        <w:outlineLvl w:val="0"/>
        <w:rPr>
          <w:rFonts w:ascii="黑体" w:eastAsia="黑体"/>
          <w:color w:val="000000"/>
          <w:sz w:val="44"/>
          <w:szCs w:val="44"/>
        </w:rPr>
      </w:pPr>
    </w:p>
    <w:p w14:paraId="7005CE82">
      <w:pPr>
        <w:spacing w:line="600" w:lineRule="exact"/>
        <w:jc w:val="center"/>
        <w:outlineLvl w:val="0"/>
        <w:rPr>
          <w:rFonts w:ascii="黑体" w:eastAsia="黑体"/>
          <w:color w:val="000000"/>
          <w:sz w:val="44"/>
          <w:szCs w:val="44"/>
        </w:rPr>
      </w:pPr>
    </w:p>
    <w:p w14:paraId="761DF1EE">
      <w:pPr>
        <w:spacing w:line="600" w:lineRule="exact"/>
        <w:jc w:val="center"/>
        <w:outlineLvl w:val="0"/>
        <w:rPr>
          <w:rFonts w:ascii="黑体" w:eastAsia="黑体"/>
          <w:color w:val="000000"/>
          <w:sz w:val="44"/>
          <w:szCs w:val="44"/>
        </w:rPr>
      </w:pPr>
      <w:bookmarkStart w:id="112" w:name="_Toc2790"/>
    </w:p>
    <w:p w14:paraId="35D0383E">
      <w:pPr>
        <w:pStyle w:val="2"/>
        <w:jc w:val="left"/>
      </w:pPr>
    </w:p>
    <w:p w14:paraId="0DE6BA9C">
      <w:pPr>
        <w:spacing w:line="600" w:lineRule="exact"/>
        <w:jc w:val="center"/>
        <w:outlineLvl w:val="0"/>
        <w:rPr>
          <w:rStyle w:val="27"/>
          <w:rFonts w:ascii="黑体" w:eastAsia="黑体"/>
          <w:b w:val="0"/>
        </w:rPr>
      </w:pPr>
      <w:bookmarkStart w:id="113" w:name="_Toc15132"/>
      <w:r>
        <w:rPr>
          <w:rFonts w:hint="eastAsia" w:ascii="黑体" w:eastAsia="黑体"/>
          <w:color w:val="000000"/>
          <w:sz w:val="44"/>
          <w:szCs w:val="44"/>
        </w:rPr>
        <w:t>第</w:t>
      </w:r>
      <w:r>
        <w:rPr>
          <w:rStyle w:val="27"/>
          <w:rFonts w:hint="eastAsia" w:ascii="黑体" w:eastAsia="黑体"/>
        </w:rPr>
        <w:t>四部分附件</w:t>
      </w:r>
      <w:bookmarkEnd w:id="109"/>
      <w:bookmarkEnd w:id="110"/>
      <w:bookmarkEnd w:id="112"/>
      <w:bookmarkEnd w:id="113"/>
    </w:p>
    <w:p w14:paraId="22997AE7">
      <w:pPr>
        <w:spacing w:line="600" w:lineRule="exact"/>
        <w:jc w:val="left"/>
        <w:outlineLvl w:val="0"/>
        <w:rPr>
          <w:rFonts w:ascii="方正小标宋简体" w:eastAsia="方正小标宋简体" w:cs="方正小标宋简体"/>
          <w:sz w:val="32"/>
          <w:szCs w:val="32"/>
        </w:rPr>
      </w:pPr>
      <w:bookmarkStart w:id="114" w:name="_Toc6935"/>
      <w:bookmarkStart w:id="115" w:name="_Toc30172"/>
      <w:bookmarkStart w:id="116" w:name="_Toc79163631"/>
      <w:r>
        <w:rPr>
          <w:rFonts w:hint="eastAsia" w:ascii="黑体" w:eastAsia="黑体" w:cs="黑体"/>
          <w:sz w:val="32"/>
          <w:szCs w:val="32"/>
        </w:rPr>
        <w:t>附件</w:t>
      </w:r>
      <w:r>
        <w:rPr>
          <w:rFonts w:ascii="黑体" w:eastAsia="黑体" w:cs="黑体"/>
          <w:sz w:val="32"/>
          <w:szCs w:val="32"/>
        </w:rPr>
        <w:t>1</w:t>
      </w:r>
      <w:bookmarkEnd w:id="114"/>
      <w:bookmarkEnd w:id="115"/>
      <w:bookmarkEnd w:id="116"/>
    </w:p>
    <w:p w14:paraId="754520F8">
      <w:pPr>
        <w:spacing w:line="580" w:lineRule="exact"/>
        <w:jc w:val="center"/>
        <w:rPr>
          <w:rFonts w:ascii="方正小标宋简体" w:eastAsia="方正小标宋简体" w:cs="方正小标宋简体"/>
          <w:sz w:val="44"/>
          <w:szCs w:val="44"/>
        </w:rPr>
      </w:pPr>
    </w:p>
    <w:p w14:paraId="4907AED0">
      <w:pPr>
        <w:spacing w:line="600" w:lineRule="exact"/>
        <w:jc w:val="center"/>
        <w:outlineLvl w:val="0"/>
        <w:rPr>
          <w:rFonts w:ascii="方正小标宋简体" w:eastAsia="方正小标宋简体" w:cs="黑体"/>
          <w:sz w:val="44"/>
          <w:szCs w:val="44"/>
        </w:rPr>
      </w:pPr>
      <w:bookmarkStart w:id="117" w:name="_Toc79163632"/>
      <w:bookmarkStart w:id="118" w:name="_Toc3948"/>
      <w:bookmarkStart w:id="119" w:name="_Toc20194"/>
      <w:r>
        <w:rPr>
          <w:rFonts w:hint="eastAsia" w:ascii="方正小标宋简体" w:eastAsia="方正小标宋简体" w:cs="黑体"/>
          <w:sz w:val="44"/>
          <w:szCs w:val="44"/>
        </w:rPr>
        <w:t>四川省阿坝州壤塘县大学中专招生办公室</w:t>
      </w:r>
      <w:r>
        <w:rPr>
          <w:rFonts w:ascii="方正小标宋简体" w:eastAsia="方正小标宋简体" w:cs="黑体"/>
          <w:sz w:val="44"/>
          <w:szCs w:val="44"/>
        </w:rPr>
        <w:t>2022</w:t>
      </w:r>
      <w:r>
        <w:rPr>
          <w:rFonts w:hint="eastAsia" w:ascii="方正小标宋简体" w:eastAsia="方正小标宋简体" w:cs="黑体"/>
          <w:sz w:val="44"/>
          <w:szCs w:val="44"/>
        </w:rPr>
        <w:t>年部门整体支出绩效评价报告</w:t>
      </w:r>
      <w:bookmarkEnd w:id="117"/>
      <w:bookmarkEnd w:id="118"/>
      <w:bookmarkEnd w:id="119"/>
    </w:p>
    <w:p w14:paraId="06B3EB37">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14:paraId="3537C3D2">
      <w:pPr>
        <w:spacing w:line="580" w:lineRule="exact"/>
        <w:ind w:firstLine="643" w:firstLineChars="200"/>
        <w:rPr>
          <w:rFonts w:ascii="仿宋" w:eastAsia="仿宋" w:cs="仿宋_GB2312"/>
          <w:b/>
          <w:sz w:val="32"/>
          <w:szCs w:val="32"/>
        </w:rPr>
      </w:pPr>
      <w:r>
        <w:rPr>
          <w:rFonts w:ascii="仿宋" w:eastAsia="仿宋" w:cs="仿宋_GB2312"/>
          <w:b/>
          <w:sz w:val="32"/>
          <w:szCs w:val="32"/>
        </w:rPr>
        <w:t>（一）机构组成。</w:t>
      </w:r>
    </w:p>
    <w:p w14:paraId="0B7355C8">
      <w:pPr>
        <w:ind w:firstLine="800" w:firstLineChars="250"/>
        <w:rPr>
          <w:rFonts w:ascii="仿宋" w:eastAsia="仿宋"/>
          <w:sz w:val="32"/>
          <w:szCs w:val="32"/>
        </w:rPr>
      </w:pPr>
      <w:r>
        <w:rPr>
          <w:rFonts w:hint="eastAsia" w:ascii="仿宋" w:eastAsia="仿宋"/>
          <w:sz w:val="32"/>
          <w:szCs w:val="32"/>
        </w:rPr>
        <w:t>四川省阿坝州壤塘县大学中专招生办公室下属二级单位0个，其中行政单位0个，参照公务员法管理的事业单位</w:t>
      </w:r>
      <w:r>
        <w:rPr>
          <w:rFonts w:hint="eastAsia" w:ascii="仿宋" w:eastAsia="仿宋"/>
          <w:bCs/>
          <w:sz w:val="32"/>
          <w:szCs w:val="32"/>
        </w:rPr>
        <w:t>0</w:t>
      </w:r>
      <w:r>
        <w:rPr>
          <w:rFonts w:hint="eastAsia" w:ascii="仿宋" w:eastAsia="仿宋"/>
          <w:sz w:val="32"/>
          <w:szCs w:val="32"/>
        </w:rPr>
        <w:t>个，其他事业单位0个。</w:t>
      </w:r>
    </w:p>
    <w:p w14:paraId="47A35919">
      <w:pPr>
        <w:spacing w:line="580" w:lineRule="exact"/>
        <w:ind w:firstLine="643" w:firstLineChars="200"/>
        <w:rPr>
          <w:rFonts w:ascii="仿宋" w:eastAsia="仿宋" w:cs="仿宋_GB2312"/>
          <w:b/>
          <w:sz w:val="32"/>
          <w:szCs w:val="32"/>
        </w:rPr>
      </w:pPr>
      <w:r>
        <w:rPr>
          <w:rFonts w:hint="eastAsia" w:ascii="仿宋" w:eastAsia="仿宋" w:cs="仿宋_GB2312"/>
          <w:b/>
          <w:sz w:val="32"/>
          <w:szCs w:val="32"/>
        </w:rPr>
        <w:t>（二）</w:t>
      </w:r>
      <w:r>
        <w:rPr>
          <w:rFonts w:ascii="仿宋" w:eastAsia="仿宋" w:cs="仿宋_GB2312"/>
          <w:b/>
          <w:sz w:val="32"/>
          <w:szCs w:val="32"/>
        </w:rPr>
        <w:t>机构职能</w:t>
      </w:r>
      <w:r>
        <w:rPr>
          <w:rFonts w:hint="eastAsia" w:ascii="仿宋" w:eastAsia="仿宋" w:cs="仿宋_GB2312"/>
          <w:b/>
          <w:sz w:val="32"/>
          <w:szCs w:val="32"/>
        </w:rPr>
        <w:t>和人员概况</w:t>
      </w:r>
      <w:r>
        <w:rPr>
          <w:rFonts w:ascii="仿宋" w:eastAsia="仿宋" w:cs="仿宋_GB2312"/>
          <w:b/>
          <w:sz w:val="32"/>
          <w:szCs w:val="32"/>
        </w:rPr>
        <w:t>。</w:t>
      </w:r>
    </w:p>
    <w:p w14:paraId="289B2F1E">
      <w:pPr>
        <w:spacing w:line="580" w:lineRule="exact"/>
        <w:ind w:firstLine="640" w:firstLineChars="200"/>
        <w:rPr>
          <w:rFonts w:ascii="仿宋" w:eastAsia="仿宋" w:cs="仿宋_GB2312"/>
          <w:sz w:val="32"/>
          <w:szCs w:val="32"/>
        </w:rPr>
      </w:pPr>
      <w:r>
        <w:rPr>
          <w:rFonts w:ascii="仿宋" w:eastAsia="仿宋" w:cs="仿宋_GB2312"/>
          <w:sz w:val="32"/>
          <w:szCs w:val="32"/>
        </w:rPr>
        <w:t>贯彻落实党的教育方针及有关教育工作的政策、法律、法规、规章，实施义务教育，促进农村基础教育发展，</w:t>
      </w:r>
      <w:r>
        <w:rPr>
          <w:rFonts w:hint="eastAsia" w:ascii="仿宋" w:eastAsia="仿宋" w:cs="仿宋_GB2312"/>
          <w:sz w:val="32"/>
          <w:szCs w:val="32"/>
        </w:rPr>
        <w:t>义务</w:t>
      </w:r>
      <w:r>
        <w:rPr>
          <w:rFonts w:ascii="仿宋" w:eastAsia="仿宋" w:cs="仿宋_GB2312"/>
          <w:sz w:val="32"/>
          <w:szCs w:val="32"/>
        </w:rPr>
        <w:t>学历教育。</w:t>
      </w:r>
    </w:p>
    <w:p w14:paraId="50B9BEC6">
      <w:pPr>
        <w:spacing w:line="580" w:lineRule="exact"/>
        <w:ind w:firstLine="640" w:firstLineChars="200"/>
        <w:rPr>
          <w:rFonts w:ascii="仿宋" w:eastAsia="仿宋" w:cs="仿宋_GB2312"/>
          <w:b/>
          <w:color w:val="FF0000"/>
          <w:sz w:val="32"/>
          <w:szCs w:val="32"/>
        </w:rPr>
      </w:pPr>
      <w:r>
        <w:rPr>
          <w:rFonts w:hint="eastAsia" w:ascii="仿宋" w:eastAsia="仿宋" w:cs="仿宋_GB2312"/>
          <w:sz w:val="32"/>
          <w:szCs w:val="32"/>
        </w:rPr>
        <w:t>2021年12月，我单位有在职职工44人，遗属人员40人。</w:t>
      </w:r>
      <w:r>
        <w:rPr>
          <w:rFonts w:ascii="仿宋" w:eastAsia="仿宋" w:cs="仿宋_GB2312"/>
          <w:sz w:val="32"/>
          <w:szCs w:val="32"/>
        </w:rPr>
        <w:br w:type="textWrapping"/>
      </w:r>
      <w:r>
        <w:rPr>
          <w:rFonts w:hint="eastAsia" w:ascii="仿宋" w:eastAsia="仿宋" w:cs="仿宋_GB2312"/>
          <w:b/>
          <w:sz w:val="32"/>
          <w:szCs w:val="32"/>
        </w:rPr>
        <w:t>（三）年度主要工作任务。</w:t>
      </w:r>
    </w:p>
    <w:p w14:paraId="5198222E">
      <w:pPr>
        <w:pStyle w:val="10"/>
        <w:numPr>
          <w:ilvl w:val="0"/>
          <w:numId w:val="4"/>
        </w:numPr>
        <w:spacing w:before="93" w:beforeLines="0"/>
      </w:pPr>
      <w:r>
        <w:t>建机制，困难学子广泛受益。一是认真落实国家政策，不折不扣执行义务教育“三免一补”、营养改善计划等教育扶贫政策，切实做到应免尽免，应补尽补。二是县委县政府拿出500余万元资金与其他社会资助资金整合建立县级教育救助基金，用于奖励和帮扶家庭困难学生完成学业。三是积极落实各项助学帮困政策，向符合条件，经济困难的中职、普通高校新生和在校生发放助学贷款；实施中考助学帮扶，对参加中考并且被普通中专、五年制高职录取的农村贫困家庭户的考生给予资助。有力保障了贫困学生“不因家庭经济困难而举债，不因贫困而辍学”，捐资助学工作成效显著。本年度已完成上半年中职学生42人的特别资助，资助金额2.1万元；已受理2533人，发放金额245.16万元；完成生源地助学贷款127人，贷款金额114.25万元。</w:t>
      </w:r>
    </w:p>
    <w:p w14:paraId="4B892E23">
      <w:pPr>
        <w:pStyle w:val="10"/>
        <w:spacing w:before="93" w:beforeLines="0"/>
      </w:pPr>
      <w:r>
        <w:t>2.添措施，更加完善后勤服务。一是加强学校的安全保卫措施，配置了防暴警用器械，安装了监控系统，100%完成了校园“三防”系统建设，校园安全防护设施加装已全面完成。二是加强寄宿制标准化建设，规范化管理，统一免费为寄宿制学生提供生活用品，打造温馨适宜的寝室文化，让学生住得舒心。三是严格食品采购程序和食品加工流程，学生食品、大宗物品全部实行政府采购，实行“四个统一”，保证了食品安全和质量，让学生吃得放心。</w:t>
      </w:r>
    </w:p>
    <w:p w14:paraId="0C084571">
      <w:pPr>
        <w:pStyle w:val="10"/>
        <w:spacing w:before="93" w:beforeLines="0"/>
      </w:pPr>
      <w:r>
        <w:t>3.借东风，扎实开展“组团式”“校联体”“一对一”工作。按照中组部“组团式”帮扶要求，在我县办好1所高中。秋季学期，浙江派往我县高中教师4人，绵阳派往我县高中教师5人，加上我县已有的5名高中教师，共14人担任高中教育教学工作。今年秋季学期招收了31名高一学生（其中：壤塘籍学生5人，外县籍学生26人），目前高中已全面开学复课。扎实开展“校联体”工作，建成紧密型“校对校”教育联合体3所；我县10所学校与绵阳市优质学校对应建立“一对一”帮扶，春季学期，绵阳市游仙区教体局“一对一”对口帮扶送培送教80人次；帮扶我县校长管理、学科教师能力提升培训320人次。在“一对一”“手把手”帮扶的同时，还为全县各中小学、幼儿园带来了先进的教学理念，并再次为各学校捐赠了教学物资、设备资金等达20余万元，有效提升了我县校长管理能力和教师业务水平。</w:t>
      </w:r>
    </w:p>
    <w:p w14:paraId="65D33A13">
      <w:pPr>
        <w:pStyle w:val="10"/>
        <w:spacing w:before="93" w:beforeLines="0"/>
      </w:pPr>
      <w:r>
        <w:t>（三）规范办学行为，强化质量与管理。认真落实惠民政策，减轻家庭经济负担，切实保证了县域内无适龄儿童因贫辍学。建立完善了适龄儿童少年基础信息台账。经排查核实：全县7-15周岁适龄儿童少年共计8108人，其中7-9周岁适龄儿童3102人，10-12周岁适龄儿童少年2655人，13-15周岁适龄少年2351人，做到了底数清、动态明。2022年通过合理布局校园，全县现有幼儿园共51所，其中：城关幼儿园1所，乡镇中心幼儿园11所，村级幼儿园39所，在园学生2223人，学前三年毛入园率90.12%；小学10所，九年一贯制学校2所，高完中1所，在校学生8504人，辖区内义务教育阶段入学率99.92%，巩固率98.85%，高中阶段毛入学率93.15%，残疾儿童入学率100%。二是深入推进教研教改，大力实施“双减”政策。持续深化教育改革，强化教师“六认真”，落实“双减”政策，不断提高教学质量，个别学校学科成绩名列全州前茅。三是强化教师培训，提高业务水平。完成国家级培训219人次，省级培训2920人次，州级培训150人次，县级培训1274人次。全面认真落实国家、省、州、县下达教师培训及语言文字目标任务，为中小学教师业务能力提高起到了积极的作用，为全县中小学教育教学质量的提高奠定了基础。四是是规范招生考试行为，确保高中考顺利进行。今年普通高考考试录取情况为：普通类考生最高分501分，藏文一类模式考生最高分396分；中考考试录取情况为：普通类总分840分，我县最高分762分，二类模式总分990分，我县最高分766.3分；一类模式总分990分，我县最高分814.9分。</w:t>
      </w:r>
    </w:p>
    <w:p w14:paraId="679D0AE3">
      <w:pPr>
        <w:pStyle w:val="10"/>
        <w:spacing w:before="93" w:beforeLines="0"/>
      </w:pPr>
      <w:r>
        <w:t>（四）强化队伍建设，提升师资素质。一是全面加强系统内作风建设。继续深化“小手拉大手”行动，创新载体方式，丰富内涵外延，通过引导学生良好行为示范，引导广大家长解放思想。在建立和完善各项制度的基础上，强化监督检查。将为民服务理念贯穿工作始终，为服务对象提供优质服务，树立教育系统为民、高效、务实的良好形象。切实加强师德师风长效机制建立，不断推进教育系统政风、行风建设，进一步提高群众对教育的满意度。二是逐步提升教师素质。狠抓县级教师培训，继续与绵阳市、温州市各学校签订对口帮扶协议。保障教师培训经费，确保了各类师培活动取得实效。三是合理配备学科教师。积极与县编制部门联系，认真核定全县中小学教职工编制数量，努力向上争取编制，确保专任教师配齐配够。在多方积极争取和努力下，州委编办和州教育局为我县新增教师编制157名，目前正在计划招录中。</w:t>
      </w:r>
    </w:p>
    <w:p w14:paraId="68DCA2D8">
      <w:pPr>
        <w:pStyle w:val="10"/>
        <w:spacing w:before="93" w:beforeLines="0"/>
      </w:pPr>
      <w:r>
        <w:t>（五）强化校园安全，确保师生生命安全健康。切实开展校园安全工作，制定完善应急预案，大力开展风险隐患排查和整治，切实保障了校园和周边安全。</w:t>
      </w:r>
    </w:p>
    <w:p w14:paraId="1720C3D0">
      <w:pPr>
        <w:spacing w:line="580" w:lineRule="exact"/>
        <w:ind w:firstLine="643" w:firstLineChars="200"/>
        <w:rPr>
          <w:b/>
        </w:rPr>
      </w:pPr>
      <w:r>
        <w:rPr>
          <w:rFonts w:hint="eastAsia" w:ascii="仿宋" w:eastAsia="仿宋" w:cs="仿宋_GB2312"/>
          <w:b/>
          <w:sz w:val="32"/>
          <w:szCs w:val="32"/>
        </w:rPr>
        <w:t>（四）部门整体支出绩效目标。</w:t>
      </w:r>
    </w:p>
    <w:p w14:paraId="75C1677E">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二、部门资金收支情况</w:t>
      </w:r>
    </w:p>
    <w:p w14:paraId="3A3E153C">
      <w:pPr>
        <w:spacing w:line="580" w:lineRule="exact"/>
        <w:ind w:firstLine="643" w:firstLineChars="200"/>
        <w:rPr>
          <w:rFonts w:ascii="仿宋" w:eastAsia="仿宋" w:cs="仿宋_GB2312"/>
          <w:b/>
          <w:sz w:val="32"/>
          <w:szCs w:val="32"/>
        </w:rPr>
      </w:pPr>
      <w:r>
        <w:rPr>
          <w:rFonts w:ascii="仿宋" w:eastAsia="仿宋" w:cs="仿宋_GB2312"/>
          <w:b/>
          <w:sz w:val="32"/>
          <w:szCs w:val="32"/>
        </w:rPr>
        <w:t>（一）部门</w:t>
      </w:r>
      <w:r>
        <w:rPr>
          <w:rFonts w:hint="eastAsia" w:ascii="仿宋" w:eastAsia="仿宋" w:cs="仿宋_GB2312"/>
          <w:b/>
          <w:sz w:val="32"/>
          <w:szCs w:val="32"/>
        </w:rPr>
        <w:t>总体</w:t>
      </w:r>
      <w:r>
        <w:rPr>
          <w:rFonts w:ascii="仿宋" w:eastAsia="仿宋" w:cs="仿宋_GB2312"/>
          <w:b/>
          <w:sz w:val="32"/>
          <w:szCs w:val="32"/>
        </w:rPr>
        <w:t>收</w:t>
      </w:r>
      <w:r>
        <w:rPr>
          <w:rFonts w:hint="eastAsia" w:ascii="仿宋" w:eastAsia="仿宋" w:cs="仿宋_GB2312"/>
          <w:b/>
          <w:sz w:val="32"/>
          <w:szCs w:val="32"/>
        </w:rPr>
        <w:t>支</w:t>
      </w:r>
      <w:r>
        <w:rPr>
          <w:rFonts w:ascii="仿宋" w:eastAsia="仿宋" w:cs="仿宋_GB2312"/>
          <w:b/>
          <w:sz w:val="32"/>
          <w:szCs w:val="32"/>
        </w:rPr>
        <w:t>情况。</w:t>
      </w:r>
    </w:p>
    <w:p w14:paraId="687659D0">
      <w:pPr>
        <w:ind w:firstLine="640" w:firstLineChars="200"/>
        <w:rPr>
          <w:rFonts w:ascii="仿宋" w:eastAsia="仿宋"/>
          <w:sz w:val="32"/>
          <w:szCs w:val="32"/>
        </w:rPr>
      </w:pPr>
      <w:r>
        <w:rPr>
          <w:rFonts w:hint="eastAsia" w:ascii="仿宋" w:eastAsia="仿宋"/>
          <w:sz w:val="32"/>
          <w:szCs w:val="32"/>
        </w:rPr>
        <w:t>1.部门总体收入情况</w:t>
      </w:r>
    </w:p>
    <w:p w14:paraId="05BF1D5D">
      <w:pPr>
        <w:ind w:firstLine="640" w:firstLineChars="200"/>
        <w:rPr>
          <w:rFonts w:ascii="仿宋" w:eastAsia="仿宋"/>
          <w:sz w:val="32"/>
          <w:szCs w:val="32"/>
        </w:rPr>
      </w:pPr>
      <w:r>
        <w:rPr>
          <w:rFonts w:ascii="仿宋" w:eastAsia="仿宋"/>
          <w:sz w:val="32"/>
          <w:szCs w:val="32"/>
        </w:rPr>
        <w:t>2022</w:t>
      </w:r>
      <w:r>
        <w:rPr>
          <w:rFonts w:hint="eastAsia" w:ascii="仿宋" w:eastAsia="仿宋"/>
          <w:sz w:val="32"/>
          <w:szCs w:val="32"/>
        </w:rPr>
        <w:t>年本年收入合计1394.50万元，其中：一般公共预算财政拨款收入1384.50万元，占99.28</w:t>
      </w:r>
      <w:r>
        <w:rPr>
          <w:rFonts w:ascii="仿宋" w:eastAsia="仿宋"/>
          <w:sz w:val="32"/>
          <w:szCs w:val="32"/>
        </w:rPr>
        <w:t>%</w:t>
      </w:r>
      <w:r>
        <w:rPr>
          <w:rFonts w:hint="eastAsia" w:ascii="仿宋" w:eastAsia="仿宋"/>
          <w:sz w:val="32"/>
          <w:szCs w:val="32"/>
        </w:rPr>
        <w:t>；政府性基金预算财政拨款收入0万元，占0</w:t>
      </w:r>
      <w:r>
        <w:rPr>
          <w:rFonts w:ascii="仿宋" w:eastAsia="仿宋"/>
          <w:sz w:val="32"/>
          <w:szCs w:val="32"/>
        </w:rPr>
        <w:t>%</w:t>
      </w:r>
      <w:r>
        <w:rPr>
          <w:rFonts w:hint="eastAsia" w:ascii="仿宋" w:eastAsia="仿宋"/>
          <w:sz w:val="32"/>
          <w:szCs w:val="32"/>
        </w:rPr>
        <w:t>；国有资本经营预算财政拨款收入0万元，占0</w:t>
      </w:r>
      <w:r>
        <w:rPr>
          <w:rFonts w:ascii="仿宋" w:eastAsia="仿宋"/>
          <w:sz w:val="32"/>
          <w:szCs w:val="32"/>
        </w:rPr>
        <w:t>%</w:t>
      </w:r>
      <w:r>
        <w:rPr>
          <w:rFonts w:hint="eastAsia" w:ascii="仿宋" w:eastAsia="仿宋"/>
          <w:sz w:val="32"/>
          <w:szCs w:val="32"/>
        </w:rPr>
        <w:t>；事业收入10万元，占0.72</w:t>
      </w:r>
      <w:r>
        <w:rPr>
          <w:rFonts w:ascii="仿宋" w:eastAsia="仿宋"/>
          <w:sz w:val="32"/>
          <w:szCs w:val="32"/>
        </w:rPr>
        <w:t>%</w:t>
      </w:r>
      <w:r>
        <w:rPr>
          <w:rFonts w:hint="eastAsia" w:ascii="仿宋" w:eastAsia="仿宋"/>
          <w:sz w:val="32"/>
          <w:szCs w:val="32"/>
        </w:rPr>
        <w:t>；经营收入0万元，占0</w:t>
      </w:r>
      <w:r>
        <w:rPr>
          <w:rFonts w:ascii="仿宋" w:eastAsia="仿宋"/>
          <w:sz w:val="32"/>
          <w:szCs w:val="32"/>
        </w:rPr>
        <w:t>%</w:t>
      </w:r>
      <w:r>
        <w:rPr>
          <w:rFonts w:hint="eastAsia" w:ascii="仿宋" w:eastAsia="仿宋"/>
          <w:sz w:val="32"/>
          <w:szCs w:val="32"/>
        </w:rPr>
        <w:t>；附属单位上缴收入0万元，占0</w:t>
      </w:r>
      <w:r>
        <w:rPr>
          <w:rFonts w:ascii="仿宋" w:eastAsia="仿宋"/>
          <w:sz w:val="32"/>
          <w:szCs w:val="32"/>
        </w:rPr>
        <w:t>%</w:t>
      </w:r>
      <w:r>
        <w:rPr>
          <w:rFonts w:hint="eastAsia" w:ascii="仿宋" w:eastAsia="仿宋"/>
          <w:sz w:val="32"/>
          <w:szCs w:val="32"/>
        </w:rPr>
        <w:t>；其他收入0万元，占0</w:t>
      </w:r>
      <w:r>
        <w:rPr>
          <w:rFonts w:ascii="仿宋" w:eastAsia="仿宋"/>
          <w:sz w:val="32"/>
          <w:szCs w:val="32"/>
        </w:rPr>
        <w:t>%</w:t>
      </w:r>
      <w:r>
        <w:rPr>
          <w:rFonts w:hint="eastAsia" w:ascii="仿宋" w:eastAsia="仿宋"/>
          <w:sz w:val="32"/>
          <w:szCs w:val="32"/>
        </w:rPr>
        <w:t>。</w:t>
      </w:r>
    </w:p>
    <w:p w14:paraId="0A37BCEA">
      <w:pPr>
        <w:pStyle w:val="10"/>
        <w:spacing w:before="93" w:beforeLines="0"/>
        <w:ind w:firstLine="640" w:firstLineChars="200"/>
        <w:rPr>
          <w:rFonts w:ascii="仿宋" w:eastAsia="仿宋"/>
          <w:kern w:val="2"/>
          <w:sz w:val="32"/>
          <w:szCs w:val="32"/>
        </w:rPr>
      </w:pPr>
      <w:r>
        <w:rPr>
          <w:rFonts w:hint="eastAsia" w:ascii="仿宋" w:eastAsia="仿宋"/>
          <w:kern w:val="2"/>
          <w:sz w:val="32"/>
          <w:szCs w:val="32"/>
        </w:rPr>
        <w:t>2. 部门总体支出情况</w:t>
      </w:r>
    </w:p>
    <w:p w14:paraId="3E1F2624">
      <w:pPr>
        <w:spacing w:line="600" w:lineRule="exact"/>
        <w:ind w:firstLine="640"/>
        <w:rPr>
          <w:rFonts w:ascii="仿宋" w:eastAsia="仿宋"/>
          <w:sz w:val="32"/>
          <w:szCs w:val="32"/>
        </w:rPr>
      </w:pPr>
      <w:r>
        <w:rPr>
          <w:rFonts w:ascii="仿宋" w:eastAsia="仿宋"/>
          <w:color w:val="000000"/>
          <w:sz w:val="32"/>
          <w:szCs w:val="32"/>
        </w:rPr>
        <w:t>2022</w:t>
      </w:r>
      <w:r>
        <w:rPr>
          <w:rFonts w:hint="eastAsia" w:ascii="仿宋" w:eastAsia="仿宋"/>
          <w:color w:val="000000"/>
          <w:sz w:val="32"/>
          <w:szCs w:val="32"/>
        </w:rPr>
        <w:t>年本年支出合计1457.27万元，其中：基本支出1359.4万元，占93.28</w:t>
      </w:r>
      <w:r>
        <w:rPr>
          <w:rFonts w:ascii="仿宋" w:eastAsia="仿宋"/>
          <w:color w:val="000000"/>
          <w:sz w:val="32"/>
          <w:szCs w:val="32"/>
        </w:rPr>
        <w:t>%</w:t>
      </w:r>
      <w:r>
        <w:rPr>
          <w:rFonts w:hint="eastAsia" w:ascii="仿宋" w:eastAsia="仿宋"/>
          <w:color w:val="000000"/>
          <w:sz w:val="32"/>
          <w:szCs w:val="32"/>
        </w:rPr>
        <w:t>；项目支出97.87万元，占6.72</w:t>
      </w:r>
      <w:r>
        <w:rPr>
          <w:rFonts w:ascii="仿宋" w:eastAsia="仿宋"/>
          <w:color w:val="000000"/>
          <w:sz w:val="32"/>
          <w:szCs w:val="32"/>
        </w:rPr>
        <w:t>%</w:t>
      </w:r>
      <w:r>
        <w:rPr>
          <w:rFonts w:hint="eastAsia" w:ascii="仿宋" w:eastAsia="仿宋"/>
          <w:color w:val="000000"/>
          <w:sz w:val="32"/>
          <w:szCs w:val="32"/>
        </w:rPr>
        <w:t>；上缴上级支出0万元，占0</w:t>
      </w:r>
      <w:r>
        <w:rPr>
          <w:rFonts w:ascii="仿宋" w:eastAsia="仿宋"/>
          <w:color w:val="000000"/>
          <w:sz w:val="32"/>
          <w:szCs w:val="32"/>
        </w:rPr>
        <w:t>%</w:t>
      </w:r>
      <w:r>
        <w:rPr>
          <w:rFonts w:hint="eastAsia" w:ascii="仿宋" w:eastAsia="仿宋"/>
          <w:color w:val="000000"/>
          <w:sz w:val="32"/>
          <w:szCs w:val="32"/>
        </w:rPr>
        <w:t>；经营支出0万元，占0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14:paraId="342A70E3">
      <w:pPr>
        <w:spacing w:line="580" w:lineRule="exact"/>
        <w:ind w:firstLine="472" w:firstLineChars="147"/>
        <w:rPr>
          <w:rFonts w:ascii="仿宋" w:eastAsia="仿宋" w:cs="仿宋_GB2312"/>
          <w:b/>
          <w:sz w:val="32"/>
          <w:szCs w:val="32"/>
        </w:rPr>
      </w:pPr>
      <w:r>
        <w:rPr>
          <w:rFonts w:hint="eastAsia" w:ascii="仿宋" w:eastAsia="仿宋" w:cs="仿宋_GB2312"/>
          <w:b/>
          <w:sz w:val="32"/>
          <w:szCs w:val="32"/>
        </w:rPr>
        <w:t>（二）</w:t>
      </w:r>
      <w:r>
        <w:rPr>
          <w:rFonts w:ascii="仿宋" w:eastAsia="仿宋" w:cs="仿宋_GB2312"/>
          <w:b/>
          <w:sz w:val="32"/>
          <w:szCs w:val="32"/>
        </w:rPr>
        <w:t>部门财政</w:t>
      </w:r>
      <w:r>
        <w:rPr>
          <w:rFonts w:hint="eastAsia" w:ascii="仿宋" w:eastAsia="仿宋" w:cs="仿宋_GB2312"/>
          <w:b/>
          <w:sz w:val="32"/>
          <w:szCs w:val="32"/>
        </w:rPr>
        <w:t>拨款收</w:t>
      </w:r>
      <w:r>
        <w:rPr>
          <w:rFonts w:ascii="仿宋" w:eastAsia="仿宋" w:cs="仿宋_GB2312"/>
          <w:b/>
          <w:sz w:val="32"/>
          <w:szCs w:val="32"/>
        </w:rPr>
        <w:t>支出情况。</w:t>
      </w:r>
    </w:p>
    <w:p w14:paraId="2899452A">
      <w:pPr>
        <w:ind w:firstLine="640" w:firstLineChars="200"/>
        <w:rPr>
          <w:rFonts w:ascii="仿宋" w:eastAsia="仿宋"/>
          <w:sz w:val="32"/>
          <w:szCs w:val="32"/>
        </w:rPr>
      </w:pPr>
      <w:r>
        <w:rPr>
          <w:rFonts w:hint="eastAsia" w:ascii="仿宋" w:eastAsia="仿宋"/>
          <w:sz w:val="32"/>
          <w:szCs w:val="32"/>
        </w:rPr>
        <w:t>1.部门财政拨款收入情况</w:t>
      </w:r>
    </w:p>
    <w:p w14:paraId="682ADCD9">
      <w:pPr>
        <w:ind w:firstLine="640" w:firstLineChars="200"/>
        <w:rPr>
          <w:rFonts w:ascii="仿宋" w:eastAsia="仿宋"/>
          <w:sz w:val="32"/>
          <w:szCs w:val="32"/>
        </w:rPr>
      </w:pPr>
      <w:r>
        <w:rPr>
          <w:rFonts w:ascii="仿宋" w:eastAsia="仿宋"/>
          <w:sz w:val="32"/>
          <w:szCs w:val="32"/>
        </w:rPr>
        <w:t>2022</w:t>
      </w:r>
      <w:r>
        <w:rPr>
          <w:rFonts w:hint="eastAsia" w:ascii="仿宋" w:eastAsia="仿宋"/>
          <w:sz w:val="32"/>
          <w:szCs w:val="32"/>
        </w:rPr>
        <w:t>年度财政拨款收入总计1384.50万元，其中：一般公共预算财政拨款收入1384.50万元，占100</w:t>
      </w:r>
      <w:r>
        <w:rPr>
          <w:rFonts w:ascii="仿宋" w:eastAsia="仿宋"/>
          <w:sz w:val="32"/>
          <w:szCs w:val="32"/>
        </w:rPr>
        <w:t>%</w:t>
      </w:r>
      <w:r>
        <w:rPr>
          <w:rFonts w:hint="eastAsia" w:ascii="仿宋" w:eastAsia="仿宋"/>
          <w:sz w:val="32"/>
          <w:szCs w:val="32"/>
        </w:rPr>
        <w:t>；政府性基金预算财政拨款收入0万元，占0</w:t>
      </w:r>
      <w:r>
        <w:rPr>
          <w:rFonts w:ascii="仿宋" w:eastAsia="仿宋"/>
          <w:sz w:val="32"/>
          <w:szCs w:val="32"/>
        </w:rPr>
        <w:t>%</w:t>
      </w:r>
      <w:r>
        <w:rPr>
          <w:rFonts w:hint="eastAsia" w:ascii="仿宋" w:eastAsia="仿宋"/>
          <w:sz w:val="32"/>
          <w:szCs w:val="32"/>
        </w:rPr>
        <w:t>；国有资本经营预算财政拨款收入0万元，占0</w:t>
      </w:r>
      <w:r>
        <w:rPr>
          <w:rFonts w:ascii="仿宋" w:eastAsia="仿宋"/>
          <w:sz w:val="32"/>
          <w:szCs w:val="32"/>
        </w:rPr>
        <w:t>%</w:t>
      </w:r>
      <w:r>
        <w:rPr>
          <w:rFonts w:hint="eastAsia" w:ascii="仿宋" w:eastAsia="仿宋"/>
          <w:sz w:val="32"/>
          <w:szCs w:val="32"/>
        </w:rPr>
        <w:t>；事业收入0万元，占0</w:t>
      </w:r>
      <w:r>
        <w:rPr>
          <w:rFonts w:ascii="仿宋" w:eastAsia="仿宋"/>
          <w:sz w:val="32"/>
          <w:szCs w:val="32"/>
        </w:rPr>
        <w:t>%</w:t>
      </w:r>
      <w:r>
        <w:rPr>
          <w:rFonts w:hint="eastAsia" w:ascii="仿宋" w:eastAsia="仿宋"/>
          <w:sz w:val="32"/>
          <w:szCs w:val="32"/>
        </w:rPr>
        <w:t>；经营收入0万元，占0</w:t>
      </w:r>
      <w:r>
        <w:rPr>
          <w:rFonts w:ascii="仿宋" w:eastAsia="仿宋"/>
          <w:sz w:val="32"/>
          <w:szCs w:val="32"/>
        </w:rPr>
        <w:t>%</w:t>
      </w:r>
      <w:r>
        <w:rPr>
          <w:rFonts w:hint="eastAsia" w:ascii="仿宋" w:eastAsia="仿宋"/>
          <w:sz w:val="32"/>
          <w:szCs w:val="32"/>
        </w:rPr>
        <w:t>；附属单位上缴收入0万元，占0</w:t>
      </w:r>
      <w:r>
        <w:rPr>
          <w:rFonts w:ascii="仿宋" w:eastAsia="仿宋"/>
          <w:sz w:val="32"/>
          <w:szCs w:val="32"/>
        </w:rPr>
        <w:t>%</w:t>
      </w:r>
      <w:r>
        <w:rPr>
          <w:rFonts w:hint="eastAsia" w:ascii="仿宋" w:eastAsia="仿宋"/>
          <w:sz w:val="32"/>
          <w:szCs w:val="32"/>
        </w:rPr>
        <w:t>；其他收入0万元，占0</w:t>
      </w:r>
      <w:r>
        <w:rPr>
          <w:rFonts w:ascii="仿宋" w:eastAsia="仿宋"/>
          <w:sz w:val="32"/>
          <w:szCs w:val="32"/>
        </w:rPr>
        <w:t>%</w:t>
      </w:r>
      <w:r>
        <w:rPr>
          <w:rFonts w:hint="eastAsia" w:ascii="仿宋" w:eastAsia="仿宋"/>
          <w:sz w:val="32"/>
          <w:szCs w:val="32"/>
        </w:rPr>
        <w:t>。</w:t>
      </w:r>
    </w:p>
    <w:p w14:paraId="44E8455F">
      <w:pPr>
        <w:ind w:firstLine="640" w:firstLineChars="200"/>
        <w:rPr>
          <w:rFonts w:ascii="仿宋" w:eastAsia="仿宋"/>
          <w:sz w:val="32"/>
          <w:szCs w:val="32"/>
        </w:rPr>
      </w:pPr>
      <w:r>
        <w:rPr>
          <w:rFonts w:hint="eastAsia" w:ascii="仿宋" w:eastAsia="仿宋"/>
          <w:sz w:val="32"/>
          <w:szCs w:val="32"/>
        </w:rPr>
        <w:t>2. 部门财政拨款支出情况</w:t>
      </w:r>
    </w:p>
    <w:p w14:paraId="6863633B">
      <w:pPr>
        <w:spacing w:line="600" w:lineRule="exact"/>
        <w:ind w:firstLine="640"/>
        <w:rPr>
          <w:rFonts w:ascii="仿宋" w:eastAsia="仿宋"/>
          <w:color w:val="000000"/>
          <w:sz w:val="32"/>
          <w:szCs w:val="32"/>
        </w:rPr>
      </w:pPr>
      <w:r>
        <w:rPr>
          <w:rFonts w:ascii="仿宋" w:eastAsia="仿宋"/>
          <w:color w:val="000000"/>
          <w:sz w:val="32"/>
          <w:szCs w:val="32"/>
        </w:rPr>
        <w:t>2022</w:t>
      </w:r>
      <w:r>
        <w:rPr>
          <w:rFonts w:hint="eastAsia" w:ascii="仿宋" w:eastAsia="仿宋"/>
          <w:color w:val="000000"/>
          <w:sz w:val="32"/>
          <w:szCs w:val="32"/>
        </w:rPr>
        <w:t>年本年支出合计1447.27万元，其中：基本支出1359.4万元，占93.93</w:t>
      </w:r>
      <w:r>
        <w:rPr>
          <w:rFonts w:ascii="仿宋" w:eastAsia="仿宋"/>
          <w:color w:val="000000"/>
          <w:sz w:val="32"/>
          <w:szCs w:val="32"/>
        </w:rPr>
        <w:t>%</w:t>
      </w:r>
      <w:r>
        <w:rPr>
          <w:rFonts w:hint="eastAsia" w:ascii="仿宋" w:eastAsia="仿宋"/>
          <w:color w:val="000000"/>
          <w:sz w:val="32"/>
          <w:szCs w:val="32"/>
        </w:rPr>
        <w:t>；项目支出87.87万元，占6.07</w:t>
      </w:r>
      <w:r>
        <w:rPr>
          <w:rFonts w:ascii="仿宋" w:eastAsia="仿宋"/>
          <w:color w:val="000000"/>
          <w:sz w:val="32"/>
          <w:szCs w:val="32"/>
        </w:rPr>
        <w:t>%</w:t>
      </w:r>
      <w:r>
        <w:rPr>
          <w:rFonts w:hint="eastAsia" w:ascii="仿宋" w:eastAsia="仿宋"/>
          <w:color w:val="000000"/>
          <w:sz w:val="32"/>
          <w:szCs w:val="32"/>
        </w:rPr>
        <w:t>；上缴上级支出0万元，占0</w:t>
      </w:r>
      <w:r>
        <w:rPr>
          <w:rFonts w:ascii="仿宋" w:eastAsia="仿宋"/>
          <w:color w:val="000000"/>
          <w:sz w:val="32"/>
          <w:szCs w:val="32"/>
        </w:rPr>
        <w:t>%</w:t>
      </w:r>
      <w:r>
        <w:rPr>
          <w:rFonts w:hint="eastAsia" w:ascii="仿宋" w:eastAsia="仿宋"/>
          <w:color w:val="000000"/>
          <w:sz w:val="32"/>
          <w:szCs w:val="32"/>
        </w:rPr>
        <w:t>；经营支出0万元，占0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14:paraId="454108E5">
      <w:pPr>
        <w:ind w:firstLine="640" w:firstLineChars="200"/>
      </w:pPr>
      <w:r>
        <w:rPr>
          <w:rFonts w:hint="eastAsia" w:ascii="仿宋" w:eastAsia="仿宋"/>
          <w:sz w:val="32"/>
          <w:szCs w:val="32"/>
        </w:rPr>
        <w:t xml:space="preserve">  3.部门财政拨款结转结余情况</w:t>
      </w:r>
    </w:p>
    <w:p w14:paraId="34AD2D0E">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ascii="黑体" w:eastAsia="黑体" w:cs="宋体"/>
          <w:color w:val="000000"/>
          <w:kern w:val="0"/>
          <w:sz w:val="32"/>
          <w:szCs w:val="32"/>
          <w:shd w:val="clear" w:color="auto" w:fill="FFFFFF"/>
        </w:rPr>
        <w:t>三、部门整体</w:t>
      </w:r>
      <w:r>
        <w:rPr>
          <w:rFonts w:hint="eastAsia" w:ascii="黑体" w:eastAsia="黑体" w:cs="宋体"/>
          <w:color w:val="000000"/>
          <w:kern w:val="0"/>
          <w:sz w:val="32"/>
          <w:szCs w:val="32"/>
          <w:shd w:val="clear" w:color="auto" w:fill="FFFFFF"/>
        </w:rPr>
        <w:t>绩效分析</w:t>
      </w:r>
    </w:p>
    <w:p w14:paraId="5E67A54D">
      <w:pPr>
        <w:spacing w:line="580" w:lineRule="exact"/>
        <w:ind w:firstLine="643" w:firstLineChars="200"/>
        <w:rPr>
          <w:rFonts w:ascii="仿宋" w:eastAsia="仿宋" w:cs="仿宋_GB2312"/>
          <w:sz w:val="32"/>
          <w:szCs w:val="32"/>
        </w:rPr>
      </w:pPr>
      <w:r>
        <w:rPr>
          <w:rFonts w:hint="eastAsia" w:ascii="楷体_GB2312" w:eastAsia="楷体_GB2312" w:cs="楷体_GB2312"/>
          <w:b/>
          <w:bCs/>
          <w:kern w:val="0"/>
          <w:sz w:val="32"/>
          <w:szCs w:val="32"/>
          <w:shd w:val="clear" w:color="auto" w:fill="FFFFFF"/>
          <w:lang w:val="zh-CN"/>
        </w:rPr>
        <w:t>（一）部门预算项目绩效分析</w:t>
      </w:r>
      <w:r>
        <w:rPr>
          <w:rFonts w:ascii="仿宋" w:eastAsia="仿宋" w:cs="仿宋_GB2312"/>
          <w:sz w:val="32"/>
          <w:szCs w:val="32"/>
        </w:rPr>
        <w:t>。</w:t>
      </w:r>
    </w:p>
    <w:p w14:paraId="32A51016">
      <w:pPr>
        <w:spacing w:line="580" w:lineRule="exact"/>
        <w:ind w:firstLine="640" w:firstLineChars="200"/>
        <w:rPr>
          <w:rFonts w:ascii="仿宋" w:eastAsia="仿宋" w:cs="仿宋_GB2312"/>
          <w:sz w:val="32"/>
          <w:szCs w:val="32"/>
        </w:rPr>
      </w:pPr>
      <w:r>
        <w:rPr>
          <w:rFonts w:hint="eastAsia" w:ascii="仿宋" w:eastAsia="仿宋" w:cs="仿宋_GB2312"/>
          <w:sz w:val="32"/>
          <w:szCs w:val="32"/>
        </w:rPr>
        <w:t>1.人员类项目绩效分析</w:t>
      </w:r>
    </w:p>
    <w:p w14:paraId="10B24924">
      <w:pPr>
        <w:spacing w:line="580" w:lineRule="exact"/>
        <w:rPr>
          <w:rFonts w:ascii="仿宋" w:eastAsia="仿宋" w:cs="仿宋_GB2312"/>
          <w:sz w:val="32"/>
          <w:szCs w:val="32"/>
        </w:rPr>
      </w:pPr>
      <w:r>
        <w:rPr>
          <w:rFonts w:hint="eastAsia" w:ascii="仿宋" w:eastAsia="仿宋" w:cs="仿宋_GB2312"/>
          <w:sz w:val="32"/>
          <w:szCs w:val="32"/>
        </w:rPr>
        <w:t xml:space="preserve">    2022年度人员类项目绩效目标完成情况综述。项目全年预算数75.19万元，执行数为75.19万元，完成预算的100%。通过项目实施，确保教育工作的正常开展。</w:t>
      </w:r>
    </w:p>
    <w:p w14:paraId="463978C3">
      <w:pPr>
        <w:spacing w:line="580" w:lineRule="exact"/>
        <w:ind w:firstLine="640" w:firstLineChars="200"/>
        <w:rPr>
          <w:rFonts w:ascii="仿宋" w:eastAsia="仿宋" w:cs="仿宋_GB2312"/>
          <w:sz w:val="32"/>
          <w:szCs w:val="32"/>
        </w:rPr>
      </w:pPr>
      <w:r>
        <w:rPr>
          <w:rFonts w:hint="eastAsia" w:ascii="仿宋" w:eastAsia="仿宋" w:cs="仿宋_GB2312"/>
          <w:sz w:val="32"/>
          <w:szCs w:val="32"/>
        </w:rPr>
        <w:t>2.运转类项目绩效分析</w:t>
      </w:r>
    </w:p>
    <w:p w14:paraId="3B121A9B">
      <w:pPr>
        <w:spacing w:line="580" w:lineRule="exact"/>
        <w:ind w:firstLine="640" w:firstLineChars="200"/>
        <w:rPr>
          <w:rFonts w:ascii="仿宋" w:eastAsia="仿宋" w:cs="仿宋_GB2312"/>
          <w:sz w:val="32"/>
          <w:szCs w:val="32"/>
        </w:rPr>
      </w:pPr>
      <w:r>
        <w:rPr>
          <w:rFonts w:hint="eastAsia" w:ascii="仿宋" w:eastAsia="仿宋" w:cs="仿宋_GB2312"/>
          <w:sz w:val="32"/>
          <w:szCs w:val="32"/>
        </w:rPr>
        <w:t>2022年度运转类项目绩效目标完成情况综述。项目全年预算数12.68万元，执行数为12.68万元，完成预算的100%。通过项目实施，保障单位日常运转。</w:t>
      </w:r>
    </w:p>
    <w:p w14:paraId="63288DA2">
      <w:pPr>
        <w:spacing w:line="580" w:lineRule="exact"/>
        <w:ind w:firstLine="640" w:firstLineChars="200"/>
        <w:rPr>
          <w:rFonts w:ascii="仿宋" w:eastAsia="仿宋" w:cs="仿宋_GB2312"/>
          <w:sz w:val="32"/>
          <w:szCs w:val="32"/>
        </w:rPr>
      </w:pPr>
      <w:r>
        <w:rPr>
          <w:rFonts w:hint="eastAsia" w:ascii="仿宋" w:eastAsia="仿宋" w:cs="仿宋_GB2312"/>
          <w:sz w:val="32"/>
          <w:szCs w:val="32"/>
        </w:rPr>
        <w:t>3.特定目标类项目绩效分析</w:t>
      </w:r>
    </w:p>
    <w:p w14:paraId="71B27319">
      <w:pPr>
        <w:pStyle w:val="10"/>
        <w:spacing w:before="93" w:beforeLines="0"/>
      </w:pPr>
      <w:r>
        <w:rPr>
          <w:rFonts w:hint="eastAsia" w:ascii="仿宋" w:eastAsia="仿宋" w:cs="仿宋_GB2312"/>
          <w:kern w:val="2"/>
          <w:sz w:val="32"/>
          <w:szCs w:val="32"/>
        </w:rPr>
        <w:t xml:space="preserve">  无</w:t>
      </w:r>
    </w:p>
    <w:bookmarkEnd w:id="111"/>
    <w:p w14:paraId="118738A2">
      <w:pPr>
        <w:widowControl/>
        <w:adjustRightInd w:val="0"/>
        <w:snapToGrid w:val="0"/>
        <w:spacing w:line="560" w:lineRule="exact"/>
        <w:ind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（二）部门整体履职绩效分析。</w:t>
      </w:r>
    </w:p>
    <w:p w14:paraId="6DB27303">
      <w:pPr>
        <w:widowControl/>
        <w:adjustRightInd w:val="0"/>
        <w:snapToGrid w:val="0"/>
        <w:spacing w:line="560" w:lineRule="exact"/>
        <w:ind w:firstLine="640" w:firstLineChars="200"/>
        <w:contextualSpacing/>
        <w:jc w:val="left"/>
        <w:rPr>
          <w:rFonts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1.预算完成情况</w:t>
      </w:r>
    </w:p>
    <w:p w14:paraId="584CFD19">
      <w:pPr>
        <w:widowControl/>
        <w:adjustRightInd w:val="0"/>
        <w:snapToGrid w:val="0"/>
        <w:spacing w:line="560" w:lineRule="exact"/>
        <w:ind w:firstLine="640" w:firstLineChars="200"/>
        <w:contextualSpacing/>
        <w:jc w:val="left"/>
        <w:rPr>
          <w:rFonts w:ascii="仿宋" w:eastAsia="仿宋"/>
          <w:sz w:val="32"/>
          <w:szCs w:val="32"/>
        </w:rPr>
      </w:pPr>
      <w:r>
        <w:rPr>
          <w:rFonts w:hint="eastAsia" w:ascii="仿宋" w:eastAsia="仿宋"/>
          <w:sz w:val="32"/>
          <w:szCs w:val="32"/>
        </w:rPr>
        <w:t>本单位2022年度收入全年预算数为1394.50万元，收入决算数为1394.50万元，预算完成度为100%，预算执行度高。</w:t>
      </w:r>
    </w:p>
    <w:p w14:paraId="14773257">
      <w:pPr>
        <w:numPr>
          <w:ilvl w:val="0"/>
          <w:numId w:val="5"/>
        </w:numPr>
        <w:tabs>
          <w:tab w:val="left" w:pos="-1677"/>
        </w:tabs>
        <w:spacing w:line="560" w:lineRule="exact"/>
        <w:ind w:left="0" w:firstLine="640" w:firstLineChars="200"/>
        <w:rPr>
          <w:rFonts w:eastAsia="仿宋_GB2312"/>
          <w:sz w:val="32"/>
          <w:szCs w:val="32"/>
        </w:rPr>
      </w:pPr>
      <w:r>
        <w:rPr>
          <w:rFonts w:ascii="仿宋" w:eastAsia="仿宋"/>
          <w:sz w:val="32"/>
          <w:szCs w:val="32"/>
        </w:rPr>
        <w:t>“三公”经费</w:t>
      </w:r>
    </w:p>
    <w:p w14:paraId="576D3EF1">
      <w:pPr>
        <w:spacing w:line="600" w:lineRule="exact"/>
        <w:ind w:firstLine="640"/>
        <w:rPr>
          <w:rFonts w:ascii="仿宋" w:eastAsia="仿宋"/>
          <w:sz w:val="32"/>
          <w:szCs w:val="32"/>
        </w:rPr>
      </w:pPr>
      <w:r>
        <w:rPr>
          <w:rFonts w:ascii="仿宋" w:eastAsia="仿宋"/>
          <w:sz w:val="32"/>
          <w:szCs w:val="32"/>
        </w:rPr>
        <w:t>本单位2022年“三公”经费支出数</w:t>
      </w:r>
      <w:r>
        <w:rPr>
          <w:rFonts w:hint="eastAsia" w:ascii="仿宋" w:eastAsia="仿宋"/>
          <w:sz w:val="32"/>
          <w:szCs w:val="32"/>
        </w:rPr>
        <w:t>0.79</w:t>
      </w:r>
      <w:r>
        <w:rPr>
          <w:rFonts w:ascii="仿宋" w:eastAsia="仿宋"/>
          <w:sz w:val="32"/>
          <w:szCs w:val="32"/>
        </w:rPr>
        <w:t>万元，2021年“三公”经费支出数为</w:t>
      </w:r>
      <w:r>
        <w:rPr>
          <w:rFonts w:hint="eastAsia" w:ascii="仿宋" w:eastAsia="仿宋"/>
          <w:sz w:val="32"/>
          <w:szCs w:val="32"/>
        </w:rPr>
        <w:t>3.07</w:t>
      </w:r>
      <w:r>
        <w:rPr>
          <w:rFonts w:ascii="仿宋" w:eastAsia="仿宋"/>
          <w:sz w:val="32"/>
          <w:szCs w:val="32"/>
        </w:rPr>
        <w:t>万元</w:t>
      </w:r>
      <w:r>
        <w:rPr>
          <w:rFonts w:hint="eastAsia" w:ascii="仿宋" w:eastAsia="仿宋"/>
          <w:sz w:val="32"/>
          <w:szCs w:val="32"/>
        </w:rPr>
        <w:t>减少</w:t>
      </w:r>
      <w:r>
        <w:rPr>
          <w:rFonts w:ascii="仿宋" w:eastAsia="仿宋"/>
          <w:sz w:val="32"/>
          <w:szCs w:val="32"/>
        </w:rPr>
        <w:t>了</w:t>
      </w:r>
      <w:r>
        <w:rPr>
          <w:rFonts w:hint="eastAsia" w:ascii="仿宋" w:eastAsia="仿宋"/>
          <w:sz w:val="32"/>
          <w:szCs w:val="32"/>
        </w:rPr>
        <w:t>2.28</w:t>
      </w:r>
      <w:r>
        <w:rPr>
          <w:rFonts w:ascii="仿宋" w:eastAsia="仿宋"/>
          <w:sz w:val="32"/>
          <w:szCs w:val="32"/>
        </w:rPr>
        <w:t>万元，</w:t>
      </w:r>
      <w:r>
        <w:rPr>
          <w:rFonts w:hint="eastAsia" w:ascii="仿宋" w:eastAsia="仿宋"/>
          <w:sz w:val="32"/>
          <w:szCs w:val="32"/>
        </w:rPr>
        <w:t>主要原因压缩开支，厉行节约，减少陪餐人数。</w:t>
      </w:r>
    </w:p>
    <w:p w14:paraId="393ED5B4">
      <w:pPr>
        <w:pStyle w:val="49"/>
        <w:spacing w:line="560" w:lineRule="exact"/>
        <w:rPr>
          <w:rFonts w:eastAsia="仿宋_GB2312"/>
        </w:rPr>
      </w:pPr>
      <w:r>
        <w:rPr>
          <w:rFonts w:eastAsia="仿宋_GB2312"/>
        </w:rPr>
        <w:t>3.政府采购</w:t>
      </w:r>
    </w:p>
    <w:p w14:paraId="2A3E8E5A">
      <w:pPr>
        <w:pStyle w:val="49"/>
        <w:spacing w:line="560" w:lineRule="exact"/>
        <w:rPr>
          <w:rFonts w:ascii="仿宋" w:eastAsia="仿宋"/>
        </w:rPr>
      </w:pPr>
      <w:r>
        <w:rPr>
          <w:rFonts w:ascii="仿宋" w:eastAsia="仿宋"/>
        </w:rPr>
        <w:t>2022年本单位</w:t>
      </w:r>
      <w:r>
        <w:rPr>
          <w:rFonts w:hint="eastAsia" w:ascii="仿宋" w:eastAsia="仿宋"/>
        </w:rPr>
        <w:t>未</w:t>
      </w:r>
      <w:r>
        <w:rPr>
          <w:rFonts w:ascii="仿宋" w:eastAsia="仿宋"/>
        </w:rPr>
        <w:t>发生政府采购行为</w:t>
      </w:r>
      <w:r>
        <w:rPr>
          <w:rFonts w:hint="eastAsia" w:ascii="仿宋" w:eastAsia="仿宋"/>
        </w:rPr>
        <w:t>。</w:t>
      </w:r>
    </w:p>
    <w:p w14:paraId="5EAAA45E">
      <w:pPr>
        <w:tabs>
          <w:tab w:val="left" w:pos="-1677"/>
          <w:tab w:val="left" w:pos="312"/>
        </w:tabs>
        <w:spacing w:line="560" w:lineRule="exact"/>
        <w:ind w:firstLine="640" w:firstLineChars="200"/>
        <w:rPr>
          <w:rFonts w:eastAsia="仿宋_GB2312"/>
          <w:sz w:val="32"/>
          <w:szCs w:val="32"/>
        </w:rPr>
      </w:pPr>
      <w:r>
        <w:rPr>
          <w:rFonts w:eastAsia="仿宋_GB2312"/>
          <w:sz w:val="32"/>
          <w:szCs w:val="32"/>
        </w:rPr>
        <w:t>4.资产管理</w:t>
      </w:r>
    </w:p>
    <w:p w14:paraId="684722A3">
      <w:pPr>
        <w:pStyle w:val="49"/>
        <w:spacing w:line="560" w:lineRule="exact"/>
        <w:rPr>
          <w:rFonts w:ascii="仿宋" w:eastAsia="仿宋"/>
        </w:rPr>
      </w:pPr>
      <w:r>
        <w:rPr>
          <w:rFonts w:ascii="仿宋" w:eastAsia="仿宋"/>
        </w:rPr>
        <w:t>壤塘县</w:t>
      </w:r>
      <w:r>
        <w:rPr>
          <w:rFonts w:hint="eastAsia" w:ascii="仿宋" w:eastAsia="仿宋"/>
        </w:rPr>
        <w:t>大学中专招生办公室</w:t>
      </w:r>
      <w:r>
        <w:rPr>
          <w:rFonts w:ascii="仿宋" w:eastAsia="仿宋"/>
        </w:rPr>
        <w:t>《行政单位资产管理系统》固定资产总计</w:t>
      </w:r>
      <w:r>
        <w:rPr>
          <w:rFonts w:hint="eastAsia" w:ascii="仿宋" w:eastAsia="仿宋"/>
        </w:rPr>
        <w:t>0</w:t>
      </w:r>
      <w:r>
        <w:rPr>
          <w:rFonts w:ascii="仿宋" w:eastAsia="仿宋"/>
        </w:rPr>
        <w:t>万元，</w:t>
      </w:r>
      <w:r>
        <w:rPr>
          <w:rFonts w:hint="eastAsia" w:ascii="仿宋" w:eastAsia="仿宋"/>
        </w:rPr>
        <w:t>原因为本单位资产由壤塘县教育局统一管理及核算。</w:t>
      </w:r>
    </w:p>
    <w:p w14:paraId="07350DD3">
      <w:pPr>
        <w:tabs>
          <w:tab w:val="left" w:pos="-1677"/>
          <w:tab w:val="left" w:pos="312"/>
        </w:tabs>
        <w:spacing w:line="560" w:lineRule="exact"/>
        <w:ind w:firstLine="640" w:firstLineChars="200"/>
        <w:rPr>
          <w:rFonts w:eastAsia="仿宋_GB2312"/>
          <w:sz w:val="32"/>
          <w:szCs w:val="32"/>
        </w:rPr>
      </w:pPr>
      <w:r>
        <w:rPr>
          <w:rFonts w:eastAsia="仿宋_GB2312"/>
          <w:sz w:val="32"/>
          <w:szCs w:val="32"/>
        </w:rPr>
        <w:t>5.信息公开</w:t>
      </w:r>
    </w:p>
    <w:p w14:paraId="3DA7D333">
      <w:pPr>
        <w:pStyle w:val="49"/>
        <w:spacing w:line="560" w:lineRule="exact"/>
        <w:rPr>
          <w:rFonts w:ascii="仿宋" w:eastAsia="仿宋"/>
        </w:rPr>
      </w:pPr>
      <w:r>
        <w:rPr>
          <w:rFonts w:ascii="仿宋" w:eastAsia="仿宋"/>
        </w:rPr>
        <w:t>按财政要求及时完成预算、决算、绩效等信息公开工作，信息公开在壤塘县人民政府网站中。</w:t>
      </w:r>
    </w:p>
    <w:p w14:paraId="42DCD94E">
      <w:pPr>
        <w:tabs>
          <w:tab w:val="left" w:pos="-1677"/>
          <w:tab w:val="left" w:pos="312"/>
        </w:tabs>
        <w:spacing w:line="560" w:lineRule="exact"/>
        <w:ind w:firstLine="640" w:firstLineChars="200"/>
        <w:rPr>
          <w:rFonts w:eastAsia="仿宋_GB2312"/>
          <w:sz w:val="32"/>
          <w:szCs w:val="32"/>
        </w:rPr>
      </w:pPr>
      <w:r>
        <w:rPr>
          <w:rFonts w:hint="eastAsia" w:eastAsia="仿宋_GB2312"/>
          <w:sz w:val="32"/>
          <w:szCs w:val="32"/>
        </w:rPr>
        <w:t>（三）结果应用情况。</w:t>
      </w:r>
    </w:p>
    <w:p w14:paraId="672069D8">
      <w:pPr>
        <w:pStyle w:val="49"/>
        <w:spacing w:line="560" w:lineRule="exact"/>
        <w:rPr>
          <w:rFonts w:ascii="仿宋" w:eastAsia="仿宋"/>
        </w:rPr>
      </w:pPr>
      <w:r>
        <w:rPr>
          <w:rFonts w:hint="eastAsia" w:ascii="仿宋" w:eastAsia="仿宋"/>
        </w:rPr>
        <w:t>教育基本经费的使用，力保教育教学工作的有效开展以及业务工作的正常运行；足额发放人员保障经费、严肃财经纪律，落实好资助政策，保证资金安全，及时下达资金，督促学校按时落实学前减免午餐费资金、寄宿制阶段学生生活费资金等。</w:t>
      </w:r>
    </w:p>
    <w:p w14:paraId="2E556316">
      <w:pPr>
        <w:widowControl/>
        <w:numPr>
          <w:ilvl w:val="0"/>
          <w:numId w:val="6"/>
        </w:numPr>
        <w:adjustRightInd w:val="0"/>
        <w:snapToGrid w:val="0"/>
        <w:spacing w:line="560" w:lineRule="exact"/>
        <w:ind w:left="0"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自评质量。</w:t>
      </w:r>
    </w:p>
    <w:p w14:paraId="26C45329">
      <w:pPr>
        <w:widowControl/>
        <w:adjustRightInd w:val="0"/>
        <w:snapToGrid w:val="0"/>
        <w:spacing w:line="560" w:lineRule="exact"/>
        <w:ind w:firstLine="640" w:firstLineChars="200"/>
        <w:contextualSpacing/>
        <w:jc w:val="left"/>
        <w:rPr>
          <w:rFonts w:ascii="仿宋" w:eastAsia="仿宋"/>
          <w:sz w:val="32"/>
          <w:szCs w:val="32"/>
        </w:rPr>
      </w:pPr>
      <w:r>
        <w:rPr>
          <w:rFonts w:hint="eastAsia" w:ascii="仿宋" w:eastAsia="仿宋"/>
          <w:sz w:val="32"/>
          <w:szCs w:val="32"/>
        </w:rPr>
        <w:t>包括评价部门整体自评准确情况。</w:t>
      </w:r>
    </w:p>
    <w:p w14:paraId="62C79FA6">
      <w:pPr>
        <w:widowControl/>
        <w:adjustRightInd w:val="0"/>
        <w:snapToGrid w:val="0"/>
        <w:spacing w:line="560"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四、评价结论及建议</w:t>
      </w:r>
    </w:p>
    <w:p w14:paraId="70CD4628">
      <w:pPr>
        <w:widowControl/>
        <w:adjustRightInd w:val="0"/>
        <w:snapToGrid w:val="0"/>
        <w:spacing w:line="560" w:lineRule="exact"/>
        <w:ind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（一）评价结论。</w:t>
      </w:r>
    </w:p>
    <w:p w14:paraId="218BD13C">
      <w:pPr>
        <w:spacing w:line="580" w:lineRule="exact"/>
        <w:ind w:firstLine="640" w:firstLineChars="200"/>
        <w:rPr>
          <w:rFonts w:ascii="仿宋" w:eastAsia="仿宋" w:cs="仿宋"/>
          <w:sz w:val="32"/>
          <w:szCs w:val="32"/>
        </w:rPr>
      </w:pPr>
      <w:r>
        <w:rPr>
          <w:rFonts w:hint="eastAsia" w:ascii="仿宋" w:eastAsia="仿宋" w:cs="仿宋"/>
          <w:sz w:val="32"/>
          <w:szCs w:val="32"/>
        </w:rPr>
        <w:t>2022年，我单位积极履职，强化管理，较好的完成了年度工作目标。通过加强预算收支管理，不断建立健全内部管理制度，梳理内部管理流程，部门整体支出管理水平得到提升。</w:t>
      </w:r>
    </w:p>
    <w:p w14:paraId="2A90C0FD">
      <w:pPr>
        <w:widowControl/>
        <w:numPr>
          <w:ilvl w:val="0"/>
          <w:numId w:val="7"/>
        </w:numPr>
        <w:adjustRightInd w:val="0"/>
        <w:snapToGrid w:val="0"/>
        <w:spacing w:line="560" w:lineRule="exact"/>
        <w:ind w:left="0"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存在问题。</w:t>
      </w:r>
    </w:p>
    <w:p w14:paraId="613F5F29">
      <w:pPr>
        <w:widowControl/>
        <w:adjustRightInd w:val="0"/>
        <w:snapToGrid w:val="0"/>
        <w:spacing w:line="580" w:lineRule="exact"/>
        <w:ind w:firstLine="640" w:firstLineChars="200"/>
        <w:contextualSpacing/>
        <w:jc w:val="left"/>
        <w:rPr>
          <w:rFonts w:ascii="仿宋" w:eastAsia="仿宋" w:cs="仿宋"/>
          <w:sz w:val="32"/>
          <w:szCs w:val="32"/>
        </w:rPr>
      </w:pPr>
      <w:r>
        <w:rPr>
          <w:rFonts w:hint="eastAsia" w:ascii="仿宋" w:eastAsia="仿宋" w:cs="仿宋"/>
          <w:sz w:val="32"/>
          <w:szCs w:val="32"/>
        </w:rPr>
        <w:t>预算编制工作有待细化。预算编制不够明确和细化，预算编制的合理性需要提高，预算执行力度还要进一步加强。</w:t>
      </w:r>
    </w:p>
    <w:p w14:paraId="662F6CA5">
      <w:pPr>
        <w:widowControl/>
        <w:adjustRightInd w:val="0"/>
        <w:snapToGrid w:val="0"/>
        <w:spacing w:line="560" w:lineRule="exact"/>
        <w:ind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（三）改进建议。</w:t>
      </w:r>
    </w:p>
    <w:p w14:paraId="6B9E5E31">
      <w:pPr>
        <w:spacing w:line="580" w:lineRule="exact"/>
        <w:ind w:firstLine="640" w:firstLineChars="200"/>
        <w:rPr>
          <w:rFonts w:ascii="仿宋" w:eastAsia="仿宋" w:cs="仿宋"/>
          <w:sz w:val="32"/>
          <w:szCs w:val="32"/>
        </w:rPr>
      </w:pPr>
      <w:r>
        <w:rPr>
          <w:rFonts w:hint="eastAsia" w:ascii="仿宋" w:eastAsia="仿宋" w:cs="仿宋"/>
          <w:sz w:val="32"/>
          <w:szCs w:val="32"/>
        </w:rPr>
        <w:t>针对上述存在的问题，拟实施的改进措施如下：</w:t>
      </w:r>
    </w:p>
    <w:p w14:paraId="2F3BDC4F">
      <w:pPr>
        <w:spacing w:line="580" w:lineRule="exact"/>
        <w:ind w:firstLine="640" w:firstLineChars="200"/>
        <w:rPr>
          <w:rFonts w:ascii="仿宋" w:eastAsia="仿宋" w:cs="仿宋"/>
          <w:sz w:val="32"/>
          <w:szCs w:val="32"/>
        </w:rPr>
      </w:pPr>
      <w:r>
        <w:rPr>
          <w:rFonts w:hint="eastAsia" w:ascii="仿宋" w:eastAsia="仿宋" w:cs="仿宋"/>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61256196">
      <w:pPr>
        <w:spacing w:line="580" w:lineRule="exact"/>
        <w:ind w:firstLine="640" w:firstLineChars="200"/>
        <w:rPr>
          <w:rFonts w:ascii="仿宋" w:eastAsia="仿宋" w:cs="仿宋"/>
          <w:sz w:val="32"/>
          <w:szCs w:val="32"/>
        </w:rPr>
      </w:pPr>
      <w:r>
        <w:rPr>
          <w:rFonts w:hint="eastAsia" w:ascii="仿宋" w:eastAsia="仿宋" w:cs="仿宋"/>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643D3868">
      <w:pPr>
        <w:spacing w:line="580" w:lineRule="exact"/>
        <w:ind w:firstLine="640" w:firstLineChars="200"/>
        <w:rPr>
          <w:rFonts w:ascii="仿宋" w:eastAsia="仿宋" w:cs="仿宋"/>
          <w:sz w:val="32"/>
          <w:szCs w:val="32"/>
        </w:rPr>
      </w:pPr>
      <w:r>
        <w:rPr>
          <w:rFonts w:hint="eastAsia" w:ascii="仿宋" w:eastAsia="仿宋" w:cs="仿宋"/>
          <w:sz w:val="32"/>
          <w:szCs w:val="32"/>
        </w:rPr>
        <w:t>3、对相关人员加强培训，规范部门预算收支核算，切实提高部门预算收支管理水平。</w:t>
      </w:r>
    </w:p>
    <w:p w14:paraId="4E0D1F66">
      <w:pPr>
        <w:pStyle w:val="3"/>
        <w:spacing w:line="560" w:lineRule="exact"/>
        <w:ind w:left="0" w:leftChars="0"/>
      </w:pPr>
      <w:r>
        <w:rPr>
          <w:rFonts w:hint="eastAsia" w:eastAsia="仿宋_GB2312" w:cs="仿宋_GB2312"/>
          <w:sz w:val="32"/>
          <w:lang w:val="zh-CN"/>
        </w:rPr>
        <w:t>附表：</w:t>
      </w:r>
      <w:r>
        <w:rPr>
          <w:rFonts w:hint="eastAsia" w:eastAsia="仿宋_GB2312" w:cs="仿宋_GB2312"/>
          <w:sz w:val="32"/>
        </w:rPr>
        <w:t>部门预算项目支出绩效自评表（2022年度）</w:t>
      </w:r>
    </w:p>
    <w:tbl>
      <w:tblPr>
        <w:tblStyle w:val="23"/>
        <w:tblW w:w="95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
        <w:gridCol w:w="1313"/>
        <w:gridCol w:w="1148"/>
        <w:gridCol w:w="1440"/>
        <w:gridCol w:w="396"/>
        <w:gridCol w:w="245"/>
        <w:gridCol w:w="830"/>
        <w:gridCol w:w="756"/>
        <w:gridCol w:w="846"/>
        <w:gridCol w:w="486"/>
        <w:gridCol w:w="396"/>
        <w:gridCol w:w="1081"/>
      </w:tblGrid>
      <w:tr w14:paraId="4F40D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513" w:type="dxa"/>
            <w:gridSpan w:val="1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E681">
            <w:pPr>
              <w:widowControl/>
              <w:jc w:val="center"/>
              <w:rPr>
                <w:rFonts w:ascii="黑体" w:eastAsia="黑体" w:cs="宋体"/>
                <w:b/>
                <w:bCs/>
                <w:color w:val="000000"/>
                <w:kern w:val="0"/>
                <w:sz w:val="30"/>
                <w:szCs w:val="30"/>
              </w:rPr>
            </w:pPr>
            <w:r>
              <w:rPr>
                <w:rFonts w:hint="eastAsia" w:ascii="黑体" w:eastAsia="黑体" w:cs="宋体"/>
                <w:b/>
                <w:bCs/>
                <w:color w:val="000000"/>
                <w:kern w:val="0"/>
                <w:sz w:val="30"/>
                <w:szCs w:val="30"/>
              </w:rPr>
              <w:t>部门预算项目支出绩效自评表（2022年度）</w:t>
            </w:r>
          </w:p>
        </w:tc>
      </w:tr>
      <w:tr w14:paraId="67C0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8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A69B">
            <w:pPr>
              <w:widowControl/>
              <w:jc w:val="left"/>
              <w:rPr>
                <w:rFonts w:ascii="宋体" w:cs="宋体"/>
                <w:color w:val="000000"/>
                <w:kern w:val="0"/>
                <w:sz w:val="18"/>
                <w:szCs w:val="18"/>
              </w:rPr>
            </w:pPr>
            <w:r>
              <w:rPr>
                <w:rFonts w:hint="eastAsia" w:ascii="宋体" w:cs="宋体"/>
                <w:color w:val="000000"/>
                <w:kern w:val="0"/>
                <w:sz w:val="18"/>
                <w:szCs w:val="18"/>
              </w:rPr>
              <w:t>项目名称</w:t>
            </w:r>
          </w:p>
        </w:tc>
        <w:tc>
          <w:tcPr>
            <w:tcW w:w="7624"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2AFE">
            <w:pPr>
              <w:widowControl/>
              <w:jc w:val="left"/>
              <w:rPr>
                <w:rFonts w:ascii="宋体" w:cs="宋体"/>
                <w:color w:val="000000"/>
                <w:kern w:val="0"/>
                <w:sz w:val="18"/>
                <w:szCs w:val="18"/>
              </w:rPr>
            </w:pPr>
            <w:r>
              <w:rPr>
                <w:rFonts w:hint="eastAsia" w:ascii="宋体" w:cs="宋体"/>
                <w:color w:val="000000"/>
                <w:kern w:val="0"/>
                <w:sz w:val="18"/>
                <w:szCs w:val="18"/>
              </w:rPr>
              <w:t>51323023T000007885962-新生入学交通补助</w:t>
            </w:r>
          </w:p>
        </w:tc>
      </w:tr>
      <w:tr w14:paraId="6724E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188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38C7">
            <w:pPr>
              <w:widowControl/>
              <w:jc w:val="left"/>
              <w:rPr>
                <w:rFonts w:ascii="宋体" w:cs="宋体"/>
                <w:color w:val="000000"/>
                <w:kern w:val="0"/>
                <w:sz w:val="18"/>
                <w:szCs w:val="18"/>
              </w:rPr>
            </w:pPr>
            <w:r>
              <w:rPr>
                <w:rFonts w:hint="eastAsia" w:ascii="宋体" w:cs="宋体"/>
                <w:color w:val="000000"/>
                <w:kern w:val="0"/>
                <w:sz w:val="18"/>
                <w:szCs w:val="18"/>
              </w:rPr>
              <w:t>主管部门</w:t>
            </w:r>
          </w:p>
        </w:tc>
        <w:tc>
          <w:tcPr>
            <w:tcW w:w="48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2457">
            <w:pPr>
              <w:widowControl/>
              <w:jc w:val="left"/>
              <w:rPr>
                <w:rFonts w:ascii="宋体" w:cs="宋体"/>
                <w:color w:val="000000"/>
                <w:kern w:val="0"/>
                <w:sz w:val="18"/>
                <w:szCs w:val="18"/>
              </w:rPr>
            </w:pPr>
            <w:r>
              <w:rPr>
                <w:rFonts w:hint="eastAsia" w:ascii="宋体" w:cs="宋体"/>
                <w:color w:val="000000"/>
                <w:kern w:val="0"/>
                <w:sz w:val="18"/>
                <w:szCs w:val="18"/>
              </w:rPr>
              <w:t>县教育局</w:t>
            </w:r>
          </w:p>
        </w:tc>
        <w:tc>
          <w:tcPr>
            <w:tcW w:w="846" w:type="dxa"/>
            <w:tcBorders>
              <w:top w:val="nil"/>
              <w:left w:val="nil"/>
              <w:bottom w:val="nil"/>
              <w:right w:val="nil"/>
            </w:tcBorders>
            <w:shd w:val="clear" w:color="auto" w:fill="auto"/>
            <w:noWrap/>
            <w:vAlign w:val="center"/>
          </w:tcPr>
          <w:p w14:paraId="694DCC71">
            <w:pPr>
              <w:widowControl/>
              <w:jc w:val="left"/>
              <w:rPr>
                <w:rFonts w:ascii="黑体" w:hAnsi="黑体" w:cs="宋体"/>
                <w:color w:val="000000"/>
                <w:kern w:val="0"/>
                <w:sz w:val="18"/>
                <w:szCs w:val="18"/>
              </w:rPr>
            </w:pPr>
            <w:r>
              <w:rPr>
                <w:rFonts w:ascii="黑体" w:hAnsi="黑体" w:cs="宋体"/>
                <w:color w:val="000000"/>
                <w:kern w:val="0"/>
                <w:sz w:val="18"/>
                <w:szCs w:val="18"/>
              </w:rPr>
              <w:t>实施单位 （盖章）</w:t>
            </w:r>
          </w:p>
        </w:tc>
        <w:tc>
          <w:tcPr>
            <w:tcW w:w="196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588D6">
            <w:pPr>
              <w:widowControl/>
              <w:jc w:val="center"/>
              <w:rPr>
                <w:rFonts w:ascii="宋体" w:cs="宋体"/>
                <w:color w:val="000000"/>
                <w:kern w:val="0"/>
                <w:sz w:val="18"/>
                <w:szCs w:val="18"/>
              </w:rPr>
            </w:pPr>
            <w:r>
              <w:rPr>
                <w:rFonts w:hint="eastAsia" w:ascii="宋体" w:cs="宋体"/>
                <w:color w:val="000000"/>
                <w:kern w:val="0"/>
                <w:sz w:val="18"/>
                <w:szCs w:val="18"/>
              </w:rPr>
              <w:t>壤塘县大学中专招生办公室</w:t>
            </w:r>
          </w:p>
        </w:tc>
      </w:tr>
      <w:tr w14:paraId="77C58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DF8D">
            <w:pPr>
              <w:widowControl/>
              <w:jc w:val="left"/>
              <w:rPr>
                <w:rFonts w:ascii="宋体" w:cs="宋体"/>
                <w:color w:val="000000"/>
                <w:kern w:val="0"/>
                <w:sz w:val="18"/>
                <w:szCs w:val="18"/>
              </w:rPr>
            </w:pPr>
            <w:r>
              <w:rPr>
                <w:rFonts w:hint="eastAsia" w:ascii="宋体" w:cs="宋体"/>
                <w:color w:val="000000"/>
                <w:kern w:val="0"/>
                <w:sz w:val="18"/>
                <w:szCs w:val="18"/>
              </w:rPr>
              <w:t>项目基本情况</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F592">
            <w:pPr>
              <w:widowControl/>
              <w:jc w:val="left"/>
              <w:rPr>
                <w:rFonts w:ascii="宋体" w:cs="宋体"/>
                <w:color w:val="000000"/>
                <w:kern w:val="0"/>
                <w:sz w:val="18"/>
                <w:szCs w:val="18"/>
              </w:rPr>
            </w:pPr>
            <w:r>
              <w:rPr>
                <w:rFonts w:hint="eastAsia" w:ascii="宋体" w:cs="宋体"/>
                <w:color w:val="000000"/>
                <w:kern w:val="0"/>
                <w:sz w:val="18"/>
                <w:szCs w:val="18"/>
              </w:rPr>
              <w:t>1.项目年度目标完成情况</w:t>
            </w:r>
          </w:p>
        </w:tc>
        <w:tc>
          <w:tcPr>
            <w:tcW w:w="48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5A51">
            <w:pPr>
              <w:widowControl/>
              <w:jc w:val="center"/>
              <w:rPr>
                <w:rFonts w:ascii="宋体" w:cs="宋体"/>
                <w:color w:val="000000"/>
                <w:kern w:val="0"/>
                <w:sz w:val="18"/>
                <w:szCs w:val="18"/>
              </w:rPr>
            </w:pPr>
            <w:r>
              <w:rPr>
                <w:rFonts w:hint="eastAsia" w:ascii="宋体" w:cs="宋体"/>
                <w:color w:val="000000"/>
                <w:kern w:val="0"/>
                <w:sz w:val="18"/>
                <w:szCs w:val="18"/>
              </w:rPr>
              <w:t>项目年度目标</w:t>
            </w:r>
          </w:p>
        </w:tc>
        <w:tc>
          <w:tcPr>
            <w:tcW w:w="280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6AF2">
            <w:pPr>
              <w:widowControl/>
              <w:jc w:val="center"/>
              <w:rPr>
                <w:rFonts w:ascii="黑体" w:hAnsi="黑体" w:cs="宋体"/>
                <w:color w:val="000000"/>
                <w:kern w:val="0"/>
                <w:sz w:val="18"/>
                <w:szCs w:val="18"/>
              </w:rPr>
            </w:pPr>
            <w:r>
              <w:rPr>
                <w:rFonts w:ascii="黑体" w:hAnsi="黑体" w:cs="宋体"/>
                <w:color w:val="000000"/>
                <w:kern w:val="0"/>
                <w:sz w:val="18"/>
                <w:szCs w:val="18"/>
              </w:rPr>
              <w:t>年度目标完成情况</w:t>
            </w:r>
          </w:p>
        </w:tc>
      </w:tr>
      <w:tr w14:paraId="377A3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1733D6B7"/>
        </w:tc>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2910F188"/>
        </w:tc>
        <w:tc>
          <w:tcPr>
            <w:tcW w:w="481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3CC1">
            <w:pPr>
              <w:widowControl/>
              <w:jc w:val="left"/>
              <w:rPr>
                <w:rFonts w:ascii="宋体" w:cs="宋体"/>
                <w:color w:val="000000"/>
                <w:kern w:val="0"/>
                <w:sz w:val="18"/>
                <w:szCs w:val="18"/>
              </w:rPr>
            </w:pPr>
            <w:r>
              <w:rPr>
                <w:rFonts w:hint="eastAsia" w:ascii="宋体" w:cs="宋体"/>
                <w:color w:val="000000"/>
                <w:kern w:val="0"/>
                <w:sz w:val="18"/>
                <w:szCs w:val="18"/>
              </w:rPr>
              <w:t>完成对新生入学学生交通费补助。</w:t>
            </w:r>
          </w:p>
        </w:tc>
        <w:tc>
          <w:tcPr>
            <w:tcW w:w="280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0380">
            <w:pPr>
              <w:widowControl/>
              <w:jc w:val="left"/>
              <w:rPr>
                <w:rFonts w:ascii="黑体" w:hAnsi="黑体" w:cs="宋体"/>
                <w:color w:val="000000"/>
                <w:kern w:val="0"/>
                <w:sz w:val="18"/>
                <w:szCs w:val="18"/>
              </w:rPr>
            </w:pPr>
            <w:r>
              <w:rPr>
                <w:rFonts w:ascii="黑体" w:hAnsi="黑体" w:cs="宋体"/>
                <w:color w:val="000000"/>
                <w:kern w:val="0"/>
                <w:sz w:val="18"/>
                <w:szCs w:val="18"/>
              </w:rPr>
              <w:t>完成对新生入学学生交通费补助</w:t>
            </w:r>
          </w:p>
        </w:tc>
      </w:tr>
      <w:tr w14:paraId="21DD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6C1DF431"/>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B662D">
            <w:pPr>
              <w:widowControl/>
              <w:jc w:val="left"/>
              <w:rPr>
                <w:rFonts w:ascii="宋体" w:cs="宋体"/>
                <w:color w:val="000000"/>
                <w:kern w:val="0"/>
                <w:sz w:val="18"/>
                <w:szCs w:val="18"/>
              </w:rPr>
            </w:pPr>
            <w:r>
              <w:rPr>
                <w:rFonts w:hint="eastAsia" w:ascii="宋体" w:cs="宋体"/>
                <w:color w:val="000000"/>
                <w:kern w:val="0"/>
                <w:sz w:val="18"/>
                <w:szCs w:val="18"/>
              </w:rPr>
              <w:t>2.项目实施内容及过程概述</w:t>
            </w:r>
          </w:p>
        </w:tc>
        <w:tc>
          <w:tcPr>
            <w:tcW w:w="7624"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B91A">
            <w:pPr>
              <w:widowControl/>
              <w:jc w:val="left"/>
              <w:rPr>
                <w:rFonts w:ascii="宋体" w:cs="宋体"/>
                <w:color w:val="000000"/>
                <w:kern w:val="0"/>
                <w:sz w:val="18"/>
                <w:szCs w:val="18"/>
              </w:rPr>
            </w:pPr>
            <w:r>
              <w:rPr>
                <w:rFonts w:hint="eastAsia" w:ascii="宋体" w:cs="宋体"/>
                <w:color w:val="000000"/>
                <w:kern w:val="0"/>
                <w:sz w:val="18"/>
                <w:szCs w:val="18"/>
              </w:rPr>
              <w:t>按时完成对新生入学学生交通补助。</w:t>
            </w:r>
          </w:p>
        </w:tc>
      </w:tr>
      <w:tr w14:paraId="78528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3EEA">
            <w:pPr>
              <w:widowControl/>
              <w:jc w:val="center"/>
              <w:rPr>
                <w:rFonts w:ascii="宋体" w:cs="宋体"/>
                <w:color w:val="000000"/>
                <w:kern w:val="0"/>
                <w:sz w:val="18"/>
                <w:szCs w:val="18"/>
              </w:rPr>
            </w:pPr>
            <w:r>
              <w:rPr>
                <w:rFonts w:hint="eastAsia" w:ascii="宋体" w:cs="宋体"/>
                <w:color w:val="000000"/>
                <w:kern w:val="0"/>
                <w:sz w:val="18"/>
                <w:szCs w:val="18"/>
              </w:rPr>
              <w:t>预算执行情况（10分）</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1682">
            <w:pPr>
              <w:widowControl/>
              <w:jc w:val="center"/>
              <w:rPr>
                <w:rFonts w:ascii="宋体" w:cs="宋体"/>
                <w:color w:val="000000"/>
                <w:kern w:val="0"/>
                <w:sz w:val="18"/>
                <w:szCs w:val="18"/>
              </w:rPr>
            </w:pPr>
            <w:r>
              <w:rPr>
                <w:rFonts w:hint="eastAsia" w:ascii="宋体" w:cs="宋体"/>
                <w:color w:val="000000"/>
                <w:kern w:val="0"/>
                <w:sz w:val="18"/>
                <w:szCs w:val="18"/>
              </w:rPr>
              <w:t>年度预算数（万元）</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2C17">
            <w:pPr>
              <w:widowControl/>
              <w:jc w:val="center"/>
              <w:rPr>
                <w:rFonts w:ascii="宋体" w:cs="宋体"/>
                <w:color w:val="000000"/>
                <w:kern w:val="0"/>
                <w:sz w:val="18"/>
                <w:szCs w:val="18"/>
              </w:rPr>
            </w:pPr>
            <w:r>
              <w:rPr>
                <w:rFonts w:hint="eastAsia" w:ascii="宋体" w:cs="宋体"/>
                <w:color w:val="000000"/>
                <w:kern w:val="0"/>
                <w:sz w:val="18"/>
                <w:szCs w:val="18"/>
              </w:rPr>
              <w:t>年初预算</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F410">
            <w:pPr>
              <w:widowControl/>
              <w:jc w:val="center"/>
              <w:rPr>
                <w:rFonts w:ascii="宋体" w:cs="宋体"/>
                <w:color w:val="000000"/>
                <w:kern w:val="0"/>
                <w:sz w:val="18"/>
                <w:szCs w:val="18"/>
              </w:rPr>
            </w:pPr>
            <w:r>
              <w:rPr>
                <w:rFonts w:hint="eastAsia" w:ascii="宋体" w:cs="宋体"/>
                <w:color w:val="000000"/>
                <w:kern w:val="0"/>
                <w:sz w:val="18"/>
                <w:szCs w:val="18"/>
              </w:rPr>
              <w:t>调整后预算数</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7966E">
            <w:pPr>
              <w:widowControl/>
              <w:jc w:val="center"/>
              <w:rPr>
                <w:rFonts w:ascii="宋体" w:cs="宋体"/>
                <w:color w:val="000000"/>
                <w:kern w:val="0"/>
                <w:sz w:val="18"/>
                <w:szCs w:val="18"/>
              </w:rPr>
            </w:pPr>
            <w:r>
              <w:rPr>
                <w:rFonts w:hint="eastAsia" w:ascii="宋体" w:cs="宋体"/>
                <w:color w:val="000000"/>
                <w:kern w:val="0"/>
                <w:sz w:val="18"/>
                <w:szCs w:val="18"/>
              </w:rPr>
              <w:t>预算执行数</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397A7">
            <w:pPr>
              <w:widowControl/>
              <w:jc w:val="center"/>
              <w:rPr>
                <w:rFonts w:ascii="宋体" w:cs="宋体"/>
                <w:color w:val="000000"/>
                <w:kern w:val="0"/>
                <w:sz w:val="18"/>
                <w:szCs w:val="18"/>
              </w:rPr>
            </w:pPr>
            <w:r>
              <w:rPr>
                <w:rFonts w:hint="eastAsia" w:ascii="宋体" w:cs="宋体"/>
                <w:color w:val="000000"/>
                <w:kern w:val="0"/>
                <w:sz w:val="18"/>
                <w:szCs w:val="18"/>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ABFD">
            <w:pPr>
              <w:widowControl/>
              <w:jc w:val="center"/>
              <w:rPr>
                <w:rFonts w:ascii="宋体" w:cs="宋体"/>
                <w:color w:val="000000"/>
                <w:kern w:val="0"/>
                <w:sz w:val="18"/>
                <w:szCs w:val="18"/>
              </w:rPr>
            </w:pPr>
            <w:r>
              <w:rPr>
                <w:rFonts w:hint="eastAsia" w:ascii="宋体" w:cs="宋体"/>
                <w:color w:val="000000"/>
                <w:kern w:val="0"/>
                <w:sz w:val="18"/>
                <w:szCs w:val="18"/>
              </w:rPr>
              <w:t>权重</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2DED">
            <w:pPr>
              <w:widowControl/>
              <w:jc w:val="center"/>
              <w:rPr>
                <w:rFonts w:ascii="宋体" w:cs="宋体"/>
                <w:color w:val="000000"/>
                <w:kern w:val="0"/>
                <w:sz w:val="18"/>
                <w:szCs w:val="18"/>
              </w:rPr>
            </w:pPr>
            <w:r>
              <w:rPr>
                <w:rFonts w:hint="eastAsia" w:ascii="宋体" w:cs="宋体"/>
                <w:color w:val="000000"/>
                <w:kern w:val="0"/>
                <w:sz w:val="18"/>
                <w:szCs w:val="18"/>
              </w:rPr>
              <w:t>得分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585B">
            <w:pPr>
              <w:widowControl/>
              <w:jc w:val="center"/>
              <w:rPr>
                <w:rFonts w:ascii="宋体" w:cs="宋体"/>
                <w:color w:val="000000"/>
                <w:kern w:val="0"/>
                <w:sz w:val="18"/>
                <w:szCs w:val="18"/>
              </w:rPr>
            </w:pPr>
            <w:r>
              <w:rPr>
                <w:rFonts w:hint="eastAsia" w:ascii="宋体" w:cs="宋体"/>
                <w:color w:val="000000"/>
                <w:kern w:val="0"/>
                <w:sz w:val="18"/>
                <w:szCs w:val="18"/>
              </w:rPr>
              <w:t>原因</w:t>
            </w:r>
          </w:p>
        </w:tc>
      </w:tr>
      <w:tr w14:paraId="47D1A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396739DD"/>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E9C0">
            <w:pPr>
              <w:widowControl/>
              <w:jc w:val="center"/>
              <w:rPr>
                <w:rFonts w:ascii="宋体" w:cs="宋体"/>
                <w:color w:val="000000"/>
                <w:kern w:val="0"/>
                <w:sz w:val="18"/>
                <w:szCs w:val="18"/>
              </w:rPr>
            </w:pPr>
            <w:r>
              <w:rPr>
                <w:rFonts w:hint="eastAsia" w:ascii="宋体" w:cs="宋体"/>
                <w:color w:val="000000"/>
                <w:kern w:val="0"/>
                <w:sz w:val="18"/>
                <w:szCs w:val="18"/>
              </w:rPr>
              <w:t>总额</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B8E0">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5A40">
            <w:pPr>
              <w:widowControl/>
              <w:jc w:val="center"/>
              <w:rPr>
                <w:rFonts w:ascii="宋体" w:cs="宋体"/>
                <w:color w:val="000000"/>
                <w:kern w:val="0"/>
                <w:sz w:val="18"/>
                <w:szCs w:val="18"/>
              </w:rPr>
            </w:pPr>
            <w:r>
              <w:rPr>
                <w:rFonts w:hint="eastAsia" w:ascii="宋体" w:cs="宋体"/>
                <w:color w:val="000000"/>
                <w:kern w:val="0"/>
                <w:sz w:val="18"/>
                <w:szCs w:val="18"/>
              </w:rPr>
              <w:t>1.30</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9799">
            <w:pPr>
              <w:widowControl/>
              <w:jc w:val="center"/>
              <w:rPr>
                <w:rFonts w:ascii="宋体" w:cs="宋体"/>
                <w:color w:val="000000"/>
                <w:kern w:val="0"/>
                <w:sz w:val="18"/>
                <w:szCs w:val="18"/>
              </w:rPr>
            </w:pPr>
            <w:r>
              <w:rPr>
                <w:rFonts w:hint="eastAsia" w:ascii="宋体" w:cs="宋体"/>
                <w:color w:val="000000"/>
                <w:kern w:val="0"/>
                <w:sz w:val="18"/>
                <w:szCs w:val="18"/>
              </w:rPr>
              <w:t>1.30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A1CB">
            <w:pPr>
              <w:widowControl/>
              <w:jc w:val="center"/>
              <w:rPr>
                <w:rFonts w:ascii="宋体" w:cs="宋体"/>
                <w:color w:val="000000"/>
                <w:kern w:val="0"/>
                <w:sz w:val="18"/>
                <w:szCs w:val="18"/>
              </w:rPr>
            </w:pPr>
            <w:r>
              <w:rPr>
                <w:rFonts w:hint="eastAsia"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6B8C">
            <w:pPr>
              <w:widowControl/>
              <w:jc w:val="center"/>
              <w:rPr>
                <w:rFonts w:ascii="宋体" w:cs="宋体"/>
                <w:color w:val="000000"/>
                <w:kern w:val="0"/>
                <w:sz w:val="18"/>
                <w:szCs w:val="18"/>
              </w:rPr>
            </w:pPr>
            <w:r>
              <w:rPr>
                <w:rFonts w:hint="eastAsia" w:ascii="宋体" w:cs="宋体"/>
                <w:color w:val="000000"/>
                <w:kern w:val="0"/>
                <w:sz w:val="18"/>
                <w:szCs w:val="18"/>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3136">
            <w:pPr>
              <w:widowControl/>
              <w:jc w:val="center"/>
              <w:rPr>
                <w:rFonts w:ascii="宋体" w:cs="宋体"/>
                <w:color w:val="000000"/>
                <w:kern w:val="0"/>
                <w:sz w:val="18"/>
                <w:szCs w:val="18"/>
              </w:rPr>
            </w:pPr>
            <w:r>
              <w:rPr>
                <w:rFonts w:hint="eastAsia" w:ascii="宋体" w:cs="宋体"/>
                <w:color w:val="000000"/>
                <w:kern w:val="0"/>
                <w:sz w:val="18"/>
                <w:szCs w:val="18"/>
              </w:rPr>
              <w:t>10</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040C">
            <w:pPr>
              <w:widowControl/>
              <w:jc w:val="left"/>
              <w:rPr>
                <w:rFonts w:ascii="黑体" w:hAnsi="黑体" w:cs="宋体"/>
                <w:i/>
                <w:iCs/>
                <w:color w:val="000000"/>
                <w:kern w:val="0"/>
                <w:sz w:val="18"/>
                <w:szCs w:val="18"/>
              </w:rPr>
            </w:pPr>
            <w:r>
              <w:rPr>
                <w:rFonts w:ascii="黑体" w:hAnsi="黑体" w:cs="宋体"/>
                <w:i/>
                <w:iCs/>
                <w:color w:val="000000"/>
                <w:kern w:val="0"/>
                <w:sz w:val="18"/>
                <w:szCs w:val="18"/>
              </w:rPr>
              <w:t>1.预算执行率=预算执行数/调整后预算数，预算执行率未达到90%的需说明原因（100字以内）;2.年中发生预算调整的（追加或调减）,应单独说明理由；3.其他资金包括：社会投入资金、银行贷款.</w:t>
            </w:r>
          </w:p>
        </w:tc>
      </w:tr>
      <w:tr w14:paraId="574F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003C181B"/>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0D1AC">
            <w:pPr>
              <w:widowControl/>
              <w:jc w:val="center"/>
              <w:rPr>
                <w:rFonts w:ascii="宋体" w:cs="宋体"/>
                <w:color w:val="000000"/>
                <w:kern w:val="0"/>
                <w:sz w:val="18"/>
                <w:szCs w:val="18"/>
              </w:rPr>
            </w:pPr>
            <w:r>
              <w:rPr>
                <w:rFonts w:hint="eastAsia" w:ascii="宋体" w:cs="宋体"/>
                <w:color w:val="000000"/>
                <w:kern w:val="0"/>
                <w:sz w:val="18"/>
                <w:szCs w:val="18"/>
              </w:rPr>
              <w:t>其中：财政资金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45F8">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B633">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E0FB">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4F7F">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AAE5">
            <w:pPr>
              <w:widowControl/>
              <w:jc w:val="center"/>
              <w:rPr>
                <w:rFonts w:ascii="宋体" w:cs="宋体"/>
                <w:color w:val="000000"/>
                <w:kern w:val="0"/>
                <w:sz w:val="18"/>
                <w:szCs w:val="18"/>
              </w:rPr>
            </w:pPr>
            <w:r>
              <w:rPr>
                <w:rFonts w:hint="eastAsia" w:ascii="宋体" w:cs="宋体"/>
                <w:color w:val="000000"/>
                <w:kern w:val="0"/>
                <w:sz w:val="18"/>
                <w:szCs w:val="18"/>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31CC">
            <w:pPr>
              <w:widowControl/>
              <w:jc w:val="center"/>
              <w:rPr>
                <w:rFonts w:ascii="宋体" w:cs="宋体"/>
                <w:color w:val="000000"/>
                <w:kern w:val="0"/>
                <w:sz w:val="18"/>
                <w:szCs w:val="18"/>
              </w:rPr>
            </w:pPr>
            <w:r>
              <w:rPr>
                <w:rFonts w:hint="eastAsia" w:ascii="宋体" w:cs="宋体"/>
                <w:color w:val="000000"/>
                <w:kern w:val="0"/>
                <w:sz w:val="18"/>
                <w:szCs w:val="18"/>
              </w:rPr>
              <w:t>/</w:t>
            </w: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14:paraId="5A1A2D92"/>
        </w:tc>
      </w:tr>
      <w:tr w14:paraId="4D4E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74537188"/>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1DA3C">
            <w:pPr>
              <w:widowControl/>
              <w:jc w:val="center"/>
              <w:rPr>
                <w:rFonts w:ascii="宋体" w:cs="宋体"/>
                <w:color w:val="000000"/>
                <w:kern w:val="0"/>
                <w:sz w:val="18"/>
                <w:szCs w:val="18"/>
              </w:rPr>
            </w:pPr>
            <w:r>
              <w:rPr>
                <w:rFonts w:hint="eastAsia" w:ascii="宋体" w:cs="宋体"/>
                <w:color w:val="000000"/>
                <w:kern w:val="0"/>
                <w:sz w:val="18"/>
                <w:szCs w:val="18"/>
              </w:rPr>
              <w:t>财政专户管理资金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6278">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B47A9">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0402">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CDAE3">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0CBC">
            <w:pPr>
              <w:widowControl/>
              <w:jc w:val="center"/>
              <w:rPr>
                <w:rFonts w:ascii="宋体" w:cs="宋体"/>
                <w:color w:val="000000"/>
                <w:kern w:val="0"/>
                <w:sz w:val="18"/>
                <w:szCs w:val="18"/>
              </w:rPr>
            </w:pPr>
            <w:r>
              <w:rPr>
                <w:rFonts w:hint="eastAsia" w:ascii="宋体" w:cs="宋体"/>
                <w:color w:val="000000"/>
                <w:kern w:val="0"/>
                <w:sz w:val="18"/>
                <w:szCs w:val="18"/>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3B5E">
            <w:pPr>
              <w:widowControl/>
              <w:jc w:val="center"/>
              <w:rPr>
                <w:rFonts w:ascii="宋体" w:cs="宋体"/>
                <w:color w:val="000000"/>
                <w:kern w:val="0"/>
                <w:sz w:val="18"/>
                <w:szCs w:val="18"/>
              </w:rPr>
            </w:pPr>
            <w:r>
              <w:rPr>
                <w:rFonts w:hint="eastAsia" w:ascii="宋体" w:cs="宋体"/>
                <w:color w:val="000000"/>
                <w:kern w:val="0"/>
                <w:sz w:val="18"/>
                <w:szCs w:val="18"/>
              </w:rPr>
              <w:t>/</w:t>
            </w: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14:paraId="23B7D907"/>
        </w:tc>
      </w:tr>
      <w:tr w14:paraId="0765A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3E14F151"/>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087A">
            <w:pPr>
              <w:widowControl/>
              <w:jc w:val="center"/>
              <w:rPr>
                <w:rFonts w:ascii="宋体" w:cs="宋体"/>
                <w:color w:val="000000"/>
                <w:kern w:val="0"/>
                <w:sz w:val="18"/>
                <w:szCs w:val="18"/>
              </w:rPr>
            </w:pPr>
            <w:r>
              <w:rPr>
                <w:rFonts w:hint="eastAsia" w:ascii="宋体" w:cs="宋体"/>
                <w:color w:val="000000"/>
                <w:kern w:val="0"/>
                <w:sz w:val="18"/>
                <w:szCs w:val="18"/>
              </w:rPr>
              <w:t>单位资金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02A1">
            <w:pPr>
              <w:widowControl/>
              <w:jc w:val="center"/>
              <w:rPr>
                <w:rFonts w:ascii="宋体" w:cs="宋体"/>
                <w:color w:val="000000"/>
                <w:kern w:val="0"/>
                <w:sz w:val="18"/>
                <w:szCs w:val="18"/>
              </w:rPr>
            </w:pPr>
            <w:r>
              <w:rPr>
                <w:rFonts w:hint="eastAsia" w:ascii="宋体" w:cs="宋体"/>
                <w:color w:val="000000"/>
                <w:kern w:val="0"/>
                <w:sz w:val="18"/>
                <w:szCs w:val="18"/>
              </w:rPr>
              <w:t>0.00</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5FC3">
            <w:pPr>
              <w:widowControl/>
              <w:jc w:val="center"/>
              <w:rPr>
                <w:rFonts w:ascii="宋体" w:cs="宋体"/>
                <w:color w:val="000000"/>
                <w:kern w:val="0"/>
                <w:sz w:val="18"/>
                <w:szCs w:val="18"/>
              </w:rPr>
            </w:pPr>
            <w:r>
              <w:rPr>
                <w:rFonts w:hint="eastAsia" w:ascii="宋体" w:cs="宋体"/>
                <w:color w:val="000000"/>
                <w:kern w:val="0"/>
                <w:sz w:val="18"/>
                <w:szCs w:val="18"/>
              </w:rPr>
              <w:t>1.30</w:t>
            </w: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056D">
            <w:pPr>
              <w:widowControl/>
              <w:jc w:val="center"/>
              <w:rPr>
                <w:rFonts w:ascii="宋体" w:cs="宋体"/>
                <w:color w:val="000000"/>
                <w:kern w:val="0"/>
                <w:sz w:val="18"/>
                <w:szCs w:val="18"/>
              </w:rPr>
            </w:pPr>
            <w:r>
              <w:rPr>
                <w:rFonts w:hint="eastAsia" w:ascii="宋体" w:cs="宋体"/>
                <w:color w:val="000000"/>
                <w:kern w:val="0"/>
                <w:sz w:val="18"/>
                <w:szCs w:val="18"/>
              </w:rPr>
              <w:t>1.30</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A45E">
            <w:pPr>
              <w:widowControl/>
              <w:jc w:val="center"/>
              <w:rPr>
                <w:rFonts w:ascii="宋体" w:cs="宋体"/>
                <w:color w:val="000000"/>
                <w:kern w:val="0"/>
                <w:sz w:val="18"/>
                <w:szCs w:val="18"/>
              </w:rPr>
            </w:pPr>
            <w:r>
              <w:rPr>
                <w:rFonts w:hint="eastAsia" w:ascii="宋体" w:cs="宋体"/>
                <w:color w:val="000000"/>
                <w:kern w:val="0"/>
                <w:sz w:val="18"/>
                <w:szCs w:val="18"/>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15F1">
            <w:pPr>
              <w:widowControl/>
              <w:jc w:val="center"/>
              <w:rPr>
                <w:rFonts w:ascii="宋体" w:cs="宋体"/>
                <w:color w:val="000000"/>
                <w:kern w:val="0"/>
                <w:sz w:val="18"/>
                <w:szCs w:val="18"/>
              </w:rPr>
            </w:pPr>
            <w:r>
              <w:rPr>
                <w:rFonts w:hint="eastAsia" w:ascii="宋体" w:cs="宋体"/>
                <w:color w:val="000000"/>
                <w:kern w:val="0"/>
                <w:sz w:val="18"/>
                <w:szCs w:val="18"/>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0724">
            <w:pPr>
              <w:widowControl/>
              <w:jc w:val="center"/>
              <w:rPr>
                <w:rFonts w:ascii="宋体" w:cs="宋体"/>
                <w:color w:val="000000"/>
                <w:kern w:val="0"/>
                <w:sz w:val="18"/>
                <w:szCs w:val="18"/>
              </w:rPr>
            </w:pPr>
            <w:r>
              <w:rPr>
                <w:rFonts w:hint="eastAsia" w:ascii="宋体" w:cs="宋体"/>
                <w:color w:val="000000"/>
                <w:kern w:val="0"/>
                <w:sz w:val="18"/>
                <w:szCs w:val="18"/>
              </w:rPr>
              <w:t>/</w:t>
            </w: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14:paraId="0835F841"/>
        </w:tc>
      </w:tr>
      <w:tr w14:paraId="56635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215092ED"/>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1663">
            <w:pPr>
              <w:widowControl/>
              <w:jc w:val="center"/>
              <w:rPr>
                <w:rFonts w:ascii="宋体" w:cs="宋体"/>
                <w:color w:val="000000"/>
                <w:kern w:val="0"/>
                <w:sz w:val="18"/>
                <w:szCs w:val="18"/>
              </w:rPr>
            </w:pPr>
            <w:r>
              <w:rPr>
                <w:rFonts w:hint="eastAsia" w:ascii="宋体" w:cs="宋体"/>
                <w:color w:val="000000"/>
                <w:kern w:val="0"/>
                <w:sz w:val="18"/>
                <w:szCs w:val="18"/>
              </w:rPr>
              <w:t>其他资金</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1AF3C">
            <w:pPr>
              <w:widowControl/>
              <w:jc w:val="center"/>
              <w:rPr>
                <w:rFonts w:ascii="微软雅黑" w:eastAsia="微软雅黑" w:cs="宋体"/>
                <w:i/>
                <w:iCs/>
                <w:color w:val="000000"/>
                <w:kern w:val="0"/>
                <w:sz w:val="16"/>
                <w:szCs w:val="16"/>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1DE7">
            <w:pPr>
              <w:widowControl/>
              <w:jc w:val="center"/>
              <w:rPr>
                <w:rFonts w:ascii="微软雅黑" w:eastAsia="微软雅黑" w:cs="宋体"/>
                <w:i/>
                <w:iCs/>
                <w:color w:val="000000"/>
                <w:kern w:val="0"/>
                <w:sz w:val="16"/>
                <w:szCs w:val="16"/>
              </w:rPr>
            </w:pPr>
          </w:p>
        </w:tc>
        <w:tc>
          <w:tcPr>
            <w:tcW w:w="222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3344">
            <w:pPr>
              <w:widowControl/>
              <w:jc w:val="center"/>
              <w:rPr>
                <w:rFonts w:ascii="微软雅黑" w:eastAsia="微软雅黑" w:cs="宋体"/>
                <w:i/>
                <w:iCs/>
                <w:color w:val="000000"/>
                <w:kern w:val="0"/>
                <w:sz w:val="16"/>
                <w:szCs w:val="16"/>
              </w:rPr>
            </w:pP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EABF">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45B3">
            <w:pPr>
              <w:widowControl/>
              <w:jc w:val="center"/>
              <w:rPr>
                <w:rFonts w:ascii="宋体" w:cs="宋体"/>
                <w:color w:val="000000"/>
                <w:kern w:val="0"/>
                <w:sz w:val="18"/>
                <w:szCs w:val="18"/>
              </w:rPr>
            </w:pPr>
            <w:r>
              <w:rPr>
                <w:rFonts w:hint="eastAsia" w:ascii="宋体" w:cs="宋体"/>
                <w:color w:val="000000"/>
                <w:kern w:val="0"/>
                <w:sz w:val="18"/>
                <w:szCs w:val="18"/>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1CF2">
            <w:pPr>
              <w:widowControl/>
              <w:jc w:val="center"/>
              <w:rPr>
                <w:rFonts w:ascii="宋体" w:cs="宋体"/>
                <w:color w:val="000000"/>
                <w:kern w:val="0"/>
                <w:sz w:val="18"/>
                <w:szCs w:val="18"/>
              </w:rPr>
            </w:pPr>
            <w:r>
              <w:rPr>
                <w:rFonts w:hint="eastAsia" w:ascii="宋体" w:cs="宋体"/>
                <w:color w:val="000000"/>
                <w:kern w:val="0"/>
                <w:sz w:val="18"/>
                <w:szCs w:val="18"/>
              </w:rPr>
              <w:t>/</w:t>
            </w:r>
          </w:p>
        </w:tc>
        <w:tc>
          <w:tcPr>
            <w:tcW w:w="1081" w:type="dxa"/>
            <w:vMerge w:val="continue"/>
            <w:tcBorders>
              <w:top w:val="single" w:color="000000" w:sz="4" w:space="0"/>
              <w:left w:val="single" w:color="000000" w:sz="4" w:space="0"/>
              <w:bottom w:val="single" w:color="000000" w:sz="4" w:space="0"/>
              <w:right w:val="single" w:color="000000" w:sz="4" w:space="0"/>
            </w:tcBorders>
            <w:noWrap/>
            <w:vAlign w:val="center"/>
          </w:tcPr>
          <w:p w14:paraId="60B895B6"/>
        </w:tc>
      </w:tr>
      <w:tr w14:paraId="2AF5A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0718">
            <w:pPr>
              <w:widowControl/>
              <w:jc w:val="center"/>
              <w:rPr>
                <w:rFonts w:ascii="宋体" w:cs="宋体"/>
                <w:color w:val="000000"/>
                <w:kern w:val="0"/>
                <w:sz w:val="18"/>
                <w:szCs w:val="18"/>
              </w:rPr>
            </w:pPr>
            <w:r>
              <w:rPr>
                <w:rFonts w:hint="eastAsia" w:ascii="宋体" w:cs="宋体"/>
                <w:color w:val="000000"/>
                <w:kern w:val="0"/>
                <w:sz w:val="18"/>
                <w:szCs w:val="18"/>
              </w:rPr>
              <w:t>绩效指标（90分）</w:t>
            </w:r>
          </w:p>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6BD8D">
            <w:pPr>
              <w:widowControl/>
              <w:jc w:val="center"/>
              <w:rPr>
                <w:rFonts w:ascii="宋体" w:cs="宋体"/>
                <w:color w:val="000000"/>
                <w:kern w:val="0"/>
                <w:sz w:val="18"/>
                <w:szCs w:val="18"/>
              </w:rPr>
            </w:pPr>
            <w:r>
              <w:rPr>
                <w:rFonts w:hint="eastAsia" w:ascii="宋体" w:cs="宋体"/>
                <w:color w:val="000000"/>
                <w:kern w:val="0"/>
                <w:sz w:val="18"/>
                <w:szCs w:val="18"/>
              </w:rPr>
              <w:t>一级指标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6FA4">
            <w:pPr>
              <w:widowControl/>
              <w:jc w:val="center"/>
              <w:rPr>
                <w:rFonts w:ascii="宋体" w:cs="宋体"/>
                <w:color w:val="000000"/>
                <w:kern w:val="0"/>
                <w:sz w:val="18"/>
                <w:szCs w:val="18"/>
              </w:rPr>
            </w:pPr>
            <w:r>
              <w:rPr>
                <w:rFonts w:hint="eastAsia" w:ascii="宋体" w:cs="宋体"/>
                <w:color w:val="000000"/>
                <w:kern w:val="0"/>
                <w:sz w:val="18"/>
                <w:szCs w:val="18"/>
              </w:rPr>
              <w:t>二级指标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7A50">
            <w:pPr>
              <w:widowControl/>
              <w:jc w:val="center"/>
              <w:rPr>
                <w:rFonts w:ascii="宋体" w:cs="宋体"/>
                <w:color w:val="000000"/>
                <w:kern w:val="0"/>
                <w:sz w:val="18"/>
                <w:szCs w:val="18"/>
              </w:rPr>
            </w:pPr>
            <w:r>
              <w:rPr>
                <w:rFonts w:hint="eastAsia" w:ascii="宋体" w:cs="宋体"/>
                <w:color w:val="000000"/>
                <w:kern w:val="0"/>
                <w:sz w:val="18"/>
                <w:szCs w:val="18"/>
              </w:rPr>
              <w:t>三级指标</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131C3">
            <w:pPr>
              <w:widowControl/>
              <w:jc w:val="center"/>
              <w:rPr>
                <w:rFonts w:ascii="宋体" w:cs="宋体"/>
                <w:color w:val="000000"/>
                <w:kern w:val="0"/>
                <w:sz w:val="18"/>
                <w:szCs w:val="18"/>
              </w:rPr>
            </w:pPr>
            <w:r>
              <w:rPr>
                <w:rFonts w:hint="eastAsia" w:ascii="宋体" w:cs="宋体"/>
                <w:color w:val="000000"/>
                <w:kern w:val="0"/>
                <w:sz w:val="18"/>
                <w:szCs w:val="18"/>
              </w:rPr>
              <w:t>指标性质</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B4BF">
            <w:pPr>
              <w:widowControl/>
              <w:jc w:val="center"/>
              <w:rPr>
                <w:rFonts w:ascii="宋体" w:cs="宋体"/>
                <w:color w:val="000000"/>
                <w:kern w:val="0"/>
                <w:sz w:val="18"/>
                <w:szCs w:val="18"/>
              </w:rPr>
            </w:pPr>
            <w:r>
              <w:rPr>
                <w:rFonts w:hint="eastAsia" w:ascii="宋体" w:cs="宋体"/>
                <w:color w:val="000000"/>
                <w:kern w:val="0"/>
                <w:sz w:val="18"/>
                <w:szCs w:val="18"/>
              </w:rPr>
              <w:t>指标值</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ABC8">
            <w:pPr>
              <w:widowControl/>
              <w:jc w:val="center"/>
              <w:rPr>
                <w:rFonts w:ascii="宋体" w:cs="宋体"/>
                <w:color w:val="000000"/>
                <w:kern w:val="0"/>
                <w:sz w:val="18"/>
                <w:szCs w:val="18"/>
              </w:rPr>
            </w:pPr>
            <w:r>
              <w:rPr>
                <w:rFonts w:hint="eastAsia" w:ascii="宋体" w:cs="宋体"/>
                <w:color w:val="000000"/>
                <w:kern w:val="0"/>
                <w:sz w:val="18"/>
                <w:szCs w:val="18"/>
              </w:rPr>
              <w:t>度量单位</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538E">
            <w:pPr>
              <w:widowControl/>
              <w:jc w:val="center"/>
              <w:rPr>
                <w:rFonts w:ascii="宋体" w:cs="宋体"/>
                <w:color w:val="000000"/>
                <w:kern w:val="0"/>
                <w:sz w:val="18"/>
                <w:szCs w:val="18"/>
              </w:rPr>
            </w:pPr>
            <w:r>
              <w:rPr>
                <w:rFonts w:hint="eastAsia" w:ascii="宋体" w:cs="宋体"/>
                <w:color w:val="000000"/>
                <w:kern w:val="0"/>
                <w:sz w:val="18"/>
                <w:szCs w:val="18"/>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FAC35">
            <w:pPr>
              <w:widowControl/>
              <w:jc w:val="center"/>
              <w:rPr>
                <w:rFonts w:ascii="宋体" w:cs="宋体"/>
                <w:color w:val="000000"/>
                <w:kern w:val="0"/>
                <w:sz w:val="18"/>
                <w:szCs w:val="18"/>
              </w:rPr>
            </w:pPr>
            <w:r>
              <w:rPr>
                <w:rFonts w:hint="eastAsia" w:ascii="宋体" w:cs="宋体"/>
                <w:color w:val="000000"/>
                <w:kern w:val="0"/>
                <w:sz w:val="18"/>
                <w:szCs w:val="18"/>
              </w:rPr>
              <w:t>权重</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A88C">
            <w:pPr>
              <w:widowControl/>
              <w:jc w:val="center"/>
              <w:rPr>
                <w:rFonts w:ascii="宋体" w:cs="宋体"/>
                <w:color w:val="000000"/>
                <w:kern w:val="0"/>
                <w:sz w:val="18"/>
                <w:szCs w:val="18"/>
              </w:rPr>
            </w:pPr>
            <w:r>
              <w:rPr>
                <w:rFonts w:hint="eastAsia" w:ascii="宋体" w:cs="宋体"/>
                <w:color w:val="000000"/>
                <w:kern w:val="0"/>
                <w:sz w:val="18"/>
                <w:szCs w:val="18"/>
              </w:rPr>
              <w:t>得分</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F650A">
            <w:pPr>
              <w:widowControl/>
              <w:jc w:val="center"/>
              <w:rPr>
                <w:rFonts w:ascii="宋体" w:cs="宋体"/>
                <w:color w:val="000000"/>
                <w:kern w:val="0"/>
                <w:sz w:val="18"/>
                <w:szCs w:val="18"/>
              </w:rPr>
            </w:pPr>
            <w:r>
              <w:rPr>
                <w:rFonts w:hint="eastAsia" w:ascii="宋体" w:cs="宋体"/>
                <w:color w:val="000000"/>
                <w:kern w:val="0"/>
                <w:sz w:val="18"/>
                <w:szCs w:val="18"/>
              </w:rPr>
              <w:t>未完成原因分析</w:t>
            </w:r>
          </w:p>
        </w:tc>
      </w:tr>
      <w:tr w14:paraId="6519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771C9F3B"/>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E959">
            <w:pPr>
              <w:widowControl/>
              <w:jc w:val="center"/>
              <w:rPr>
                <w:rFonts w:ascii="宋体" w:cs="宋体"/>
                <w:color w:val="000000"/>
                <w:kern w:val="0"/>
                <w:sz w:val="18"/>
                <w:szCs w:val="18"/>
              </w:rPr>
            </w:pPr>
            <w:r>
              <w:rPr>
                <w:rFonts w:hint="eastAsia" w:ascii="宋体" w:cs="宋体"/>
                <w:color w:val="000000"/>
                <w:kern w:val="0"/>
                <w:sz w:val="18"/>
                <w:szCs w:val="18"/>
              </w:rPr>
              <w:t>产出指标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70CB">
            <w:pPr>
              <w:widowControl/>
              <w:jc w:val="center"/>
              <w:rPr>
                <w:rFonts w:ascii="宋体" w:cs="宋体"/>
                <w:color w:val="000000"/>
                <w:kern w:val="0"/>
                <w:sz w:val="18"/>
                <w:szCs w:val="18"/>
              </w:rPr>
            </w:pPr>
            <w:r>
              <w:rPr>
                <w:rFonts w:hint="eastAsia" w:ascii="宋体" w:cs="宋体"/>
                <w:color w:val="000000"/>
                <w:kern w:val="0"/>
                <w:sz w:val="18"/>
                <w:szCs w:val="18"/>
              </w:rPr>
              <w:t>数量指标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1BA4">
            <w:pPr>
              <w:widowControl/>
              <w:jc w:val="center"/>
              <w:rPr>
                <w:rFonts w:ascii="宋体" w:cs="宋体"/>
                <w:color w:val="000000"/>
                <w:kern w:val="0"/>
                <w:sz w:val="18"/>
                <w:szCs w:val="18"/>
              </w:rPr>
            </w:pPr>
            <w:r>
              <w:rPr>
                <w:rFonts w:hint="eastAsia" w:ascii="宋体" w:cs="宋体"/>
                <w:color w:val="000000"/>
                <w:kern w:val="0"/>
                <w:sz w:val="18"/>
                <w:szCs w:val="18"/>
              </w:rPr>
              <w:t>补助交通费人数</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A5CB">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ACF3">
            <w:pPr>
              <w:widowControl/>
              <w:jc w:val="center"/>
              <w:rPr>
                <w:rFonts w:ascii="宋体" w:cs="宋体"/>
                <w:color w:val="000000"/>
                <w:kern w:val="0"/>
                <w:sz w:val="18"/>
                <w:szCs w:val="18"/>
              </w:rPr>
            </w:pPr>
            <w:r>
              <w:rPr>
                <w:rFonts w:hint="eastAsia" w:ascii="宋体" w:cs="宋体"/>
                <w:color w:val="000000"/>
                <w:kern w:val="0"/>
                <w:sz w:val="18"/>
                <w:szCs w:val="18"/>
              </w:rPr>
              <w:t>26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F705">
            <w:pPr>
              <w:widowControl/>
              <w:jc w:val="center"/>
              <w:rPr>
                <w:rFonts w:ascii="宋体" w:cs="宋体"/>
                <w:color w:val="000000"/>
                <w:kern w:val="0"/>
                <w:sz w:val="18"/>
                <w:szCs w:val="18"/>
              </w:rPr>
            </w:pPr>
            <w:r>
              <w:rPr>
                <w:rFonts w:hint="eastAsia" w:ascii="宋体" w:cs="宋体"/>
                <w:color w:val="000000"/>
                <w:kern w:val="0"/>
                <w:sz w:val="18"/>
                <w:szCs w:val="18"/>
              </w:rPr>
              <w:t>名</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D5F3">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68A3">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2028">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17567">
            <w:pPr>
              <w:widowControl/>
              <w:jc w:val="center"/>
              <w:rPr>
                <w:rFonts w:ascii="微软雅黑" w:eastAsia="微软雅黑" w:cs="宋体"/>
                <w:i/>
                <w:iCs/>
                <w:color w:val="000000"/>
                <w:kern w:val="0"/>
                <w:sz w:val="16"/>
                <w:szCs w:val="16"/>
              </w:rPr>
            </w:pPr>
          </w:p>
        </w:tc>
      </w:tr>
      <w:tr w14:paraId="4AFC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71A7BC4F"/>
        </w:tc>
        <w:tc>
          <w:tcPr>
            <w:tcW w:w="1313" w:type="dxa"/>
            <w:vMerge w:val="continue"/>
            <w:tcBorders>
              <w:top w:val="single" w:color="000000" w:sz="4" w:space="0"/>
              <w:left w:val="single" w:color="000000" w:sz="4" w:space="0"/>
              <w:bottom w:val="single" w:color="000000" w:sz="4" w:space="0"/>
              <w:right w:val="single" w:color="000000" w:sz="4" w:space="0"/>
            </w:tcBorders>
            <w:noWrap/>
            <w:vAlign w:val="center"/>
          </w:tcPr>
          <w:p w14:paraId="4B0D1DCA"/>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BE50">
            <w:pPr>
              <w:widowControl/>
              <w:jc w:val="center"/>
              <w:rPr>
                <w:rFonts w:ascii="宋体" w:cs="宋体"/>
                <w:color w:val="000000"/>
                <w:kern w:val="0"/>
                <w:sz w:val="18"/>
                <w:szCs w:val="18"/>
              </w:rPr>
            </w:pPr>
            <w:r>
              <w:rPr>
                <w:rFonts w:hint="eastAsia" w:ascii="宋体" w:cs="宋体"/>
                <w:color w:val="000000"/>
                <w:kern w:val="0"/>
                <w:sz w:val="18"/>
                <w:szCs w:val="18"/>
              </w:rPr>
              <w:t>时效指标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B1C6">
            <w:pPr>
              <w:widowControl/>
              <w:jc w:val="center"/>
              <w:rPr>
                <w:rFonts w:ascii="宋体" w:cs="宋体"/>
                <w:color w:val="000000"/>
                <w:kern w:val="0"/>
                <w:sz w:val="18"/>
                <w:szCs w:val="18"/>
              </w:rPr>
            </w:pPr>
            <w:r>
              <w:rPr>
                <w:rFonts w:hint="eastAsia" w:ascii="宋体" w:cs="宋体"/>
                <w:color w:val="000000"/>
                <w:kern w:val="0"/>
                <w:sz w:val="18"/>
                <w:szCs w:val="18"/>
              </w:rPr>
              <w:t>补助交通费资金年底前完成</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B478">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3847">
            <w:pPr>
              <w:widowControl/>
              <w:jc w:val="center"/>
              <w:rPr>
                <w:rFonts w:ascii="宋体" w:cs="宋体"/>
                <w:color w:val="000000"/>
                <w:kern w:val="0"/>
                <w:sz w:val="18"/>
                <w:szCs w:val="18"/>
              </w:rPr>
            </w:pPr>
            <w:r>
              <w:rPr>
                <w:rFonts w:hint="eastAsia" w:ascii="宋体" w:cs="宋体"/>
                <w:color w:val="000000"/>
                <w:kern w:val="0"/>
                <w:sz w:val="18"/>
                <w:szCs w:val="18"/>
              </w:rPr>
              <w:t>100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6110">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F250">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2415">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FE38">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C144">
            <w:pPr>
              <w:widowControl/>
              <w:jc w:val="center"/>
              <w:rPr>
                <w:rFonts w:ascii="微软雅黑" w:eastAsia="微软雅黑" w:cs="宋体"/>
                <w:i/>
                <w:iCs/>
                <w:color w:val="000000"/>
                <w:kern w:val="0"/>
                <w:sz w:val="16"/>
                <w:szCs w:val="16"/>
              </w:rPr>
            </w:pPr>
          </w:p>
        </w:tc>
      </w:tr>
      <w:tr w14:paraId="434E6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0D3A6714"/>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76AC">
            <w:pPr>
              <w:widowControl/>
              <w:jc w:val="center"/>
              <w:rPr>
                <w:rFonts w:ascii="宋体" w:cs="宋体"/>
                <w:color w:val="000000"/>
                <w:kern w:val="0"/>
                <w:sz w:val="18"/>
                <w:szCs w:val="18"/>
              </w:rPr>
            </w:pPr>
            <w:r>
              <w:rPr>
                <w:rFonts w:hint="eastAsia" w:ascii="宋体" w:cs="宋体"/>
                <w:color w:val="000000"/>
                <w:kern w:val="0"/>
                <w:sz w:val="18"/>
                <w:szCs w:val="18"/>
              </w:rPr>
              <w:t>效益指标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387E">
            <w:pPr>
              <w:widowControl/>
              <w:jc w:val="center"/>
              <w:rPr>
                <w:rFonts w:ascii="宋体" w:cs="宋体"/>
                <w:color w:val="000000"/>
                <w:kern w:val="0"/>
                <w:sz w:val="18"/>
                <w:szCs w:val="18"/>
              </w:rPr>
            </w:pPr>
            <w:r>
              <w:rPr>
                <w:rFonts w:hint="eastAsia" w:ascii="宋体" w:cs="宋体"/>
                <w:color w:val="000000"/>
                <w:kern w:val="0"/>
                <w:sz w:val="18"/>
                <w:szCs w:val="18"/>
              </w:rPr>
              <w:t>经济效益指标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1A83">
            <w:pPr>
              <w:widowControl/>
              <w:jc w:val="center"/>
              <w:rPr>
                <w:rFonts w:ascii="宋体" w:cs="宋体"/>
                <w:color w:val="000000"/>
                <w:kern w:val="0"/>
                <w:sz w:val="18"/>
                <w:szCs w:val="18"/>
              </w:rPr>
            </w:pPr>
            <w:r>
              <w:rPr>
                <w:rFonts w:hint="eastAsia" w:ascii="宋体" w:cs="宋体"/>
                <w:color w:val="000000"/>
                <w:kern w:val="0"/>
                <w:sz w:val="18"/>
                <w:szCs w:val="18"/>
              </w:rPr>
              <w:t>补助经费实施效益</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04C1">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8FFA">
            <w:pPr>
              <w:widowControl/>
              <w:jc w:val="center"/>
              <w:rPr>
                <w:rFonts w:ascii="宋体" w:cs="宋体"/>
                <w:color w:val="000000"/>
                <w:kern w:val="0"/>
                <w:sz w:val="18"/>
                <w:szCs w:val="18"/>
              </w:rPr>
            </w:pPr>
            <w:r>
              <w:rPr>
                <w:rFonts w:hint="eastAsia" w:ascii="宋体" w:cs="宋体"/>
                <w:color w:val="000000"/>
                <w:kern w:val="0"/>
                <w:sz w:val="18"/>
                <w:szCs w:val="18"/>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33CF">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80EE">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F9FA">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04D7">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5C91">
            <w:pPr>
              <w:widowControl/>
              <w:jc w:val="center"/>
              <w:rPr>
                <w:rFonts w:ascii="微软雅黑" w:eastAsia="微软雅黑" w:cs="宋体"/>
                <w:i/>
                <w:iCs/>
                <w:color w:val="000000"/>
                <w:kern w:val="0"/>
                <w:sz w:val="16"/>
                <w:szCs w:val="16"/>
              </w:rPr>
            </w:pPr>
          </w:p>
        </w:tc>
      </w:tr>
      <w:tr w14:paraId="33F1B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3022B1CE"/>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D648">
            <w:pPr>
              <w:widowControl/>
              <w:jc w:val="center"/>
              <w:rPr>
                <w:rFonts w:ascii="宋体" w:cs="宋体"/>
                <w:color w:val="000000"/>
                <w:kern w:val="0"/>
                <w:sz w:val="18"/>
                <w:szCs w:val="18"/>
              </w:rPr>
            </w:pPr>
            <w:r>
              <w:rPr>
                <w:rFonts w:hint="eastAsia" w:ascii="宋体" w:cs="宋体"/>
                <w:color w:val="000000"/>
                <w:kern w:val="0"/>
                <w:sz w:val="18"/>
                <w:szCs w:val="18"/>
              </w:rPr>
              <w:t>满意度指标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003E6">
            <w:pPr>
              <w:widowControl/>
              <w:jc w:val="center"/>
              <w:rPr>
                <w:rFonts w:ascii="宋体" w:cs="宋体"/>
                <w:color w:val="000000"/>
                <w:kern w:val="0"/>
                <w:sz w:val="18"/>
                <w:szCs w:val="18"/>
              </w:rPr>
            </w:pPr>
            <w:r>
              <w:rPr>
                <w:rFonts w:hint="eastAsia" w:ascii="宋体" w:cs="宋体"/>
                <w:color w:val="000000"/>
                <w:kern w:val="0"/>
                <w:sz w:val="18"/>
                <w:szCs w:val="18"/>
              </w:rPr>
              <w:t>服务对象满意度指标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3D5F">
            <w:pPr>
              <w:widowControl/>
              <w:jc w:val="center"/>
              <w:rPr>
                <w:rFonts w:ascii="宋体" w:cs="宋体"/>
                <w:color w:val="000000"/>
                <w:kern w:val="0"/>
                <w:sz w:val="18"/>
                <w:szCs w:val="18"/>
              </w:rPr>
            </w:pPr>
            <w:r>
              <w:rPr>
                <w:rFonts w:hint="eastAsia" w:ascii="宋体" w:cs="宋体"/>
                <w:color w:val="000000"/>
                <w:kern w:val="0"/>
                <w:sz w:val="18"/>
                <w:szCs w:val="18"/>
              </w:rPr>
              <w:t>覆盖交通费补助人数</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711A">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A388">
            <w:pPr>
              <w:widowControl/>
              <w:jc w:val="center"/>
              <w:rPr>
                <w:rFonts w:ascii="宋体" w:cs="宋体"/>
                <w:color w:val="000000"/>
                <w:kern w:val="0"/>
                <w:sz w:val="18"/>
                <w:szCs w:val="18"/>
              </w:rPr>
            </w:pPr>
            <w:r>
              <w:rPr>
                <w:rFonts w:hint="eastAsia" w:ascii="宋体" w:cs="宋体"/>
                <w:color w:val="000000"/>
                <w:kern w:val="0"/>
                <w:sz w:val="18"/>
                <w:szCs w:val="18"/>
              </w:rPr>
              <w:t>95</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49AB">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A9CF">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55AFC">
            <w:pPr>
              <w:widowControl/>
              <w:jc w:val="center"/>
              <w:rPr>
                <w:rFonts w:ascii="宋体" w:cs="宋体"/>
                <w:color w:val="000000"/>
                <w:kern w:val="0"/>
                <w:sz w:val="18"/>
                <w:szCs w:val="18"/>
              </w:rPr>
            </w:pPr>
            <w:r>
              <w:rPr>
                <w:rFonts w:hint="eastAsia" w:ascii="宋体" w:cs="宋体"/>
                <w:color w:val="000000"/>
                <w:kern w:val="0"/>
                <w:sz w:val="18"/>
                <w:szCs w:val="18"/>
              </w:rPr>
              <w:t>10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1378">
            <w:pPr>
              <w:widowControl/>
              <w:jc w:val="center"/>
              <w:rPr>
                <w:rFonts w:ascii="宋体" w:cs="宋体"/>
                <w:color w:val="000000"/>
                <w:kern w:val="0"/>
                <w:sz w:val="18"/>
                <w:szCs w:val="18"/>
              </w:rPr>
            </w:pPr>
            <w:r>
              <w:rPr>
                <w:rFonts w:hint="eastAsia" w:ascii="宋体" w:cs="宋体"/>
                <w:color w:val="000000"/>
                <w:kern w:val="0"/>
                <w:sz w:val="18"/>
                <w:szCs w:val="18"/>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C9B9D">
            <w:pPr>
              <w:widowControl/>
              <w:jc w:val="center"/>
              <w:rPr>
                <w:rFonts w:ascii="微软雅黑" w:eastAsia="微软雅黑" w:cs="宋体"/>
                <w:i/>
                <w:iCs/>
                <w:color w:val="000000"/>
                <w:kern w:val="0"/>
                <w:sz w:val="16"/>
                <w:szCs w:val="16"/>
              </w:rPr>
            </w:pPr>
            <w:r>
              <w:rPr>
                <w:rFonts w:hint="eastAsia" w:ascii="微软雅黑" w:eastAsia="微软雅黑" w:cs="宋体"/>
                <w:i/>
                <w:iCs/>
                <w:color w:val="000000"/>
                <w:kern w:val="0"/>
                <w:sz w:val="16"/>
                <w:szCs w:val="16"/>
              </w:rPr>
              <w:t>未到达每一个服务对象都满意</w:t>
            </w:r>
          </w:p>
        </w:tc>
      </w:tr>
      <w:tr w14:paraId="7ACE7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576" w:type="dxa"/>
            <w:vMerge w:val="continue"/>
            <w:tcBorders>
              <w:top w:val="single" w:color="000000" w:sz="4" w:space="0"/>
              <w:left w:val="single" w:color="000000" w:sz="4" w:space="0"/>
              <w:bottom w:val="single" w:color="000000" w:sz="4" w:space="0"/>
              <w:right w:val="single" w:color="000000" w:sz="4" w:space="0"/>
            </w:tcBorders>
            <w:noWrap/>
            <w:vAlign w:val="center"/>
          </w:tcPr>
          <w:p w14:paraId="63BFF2E2"/>
        </w:tc>
        <w:tc>
          <w:tcPr>
            <w:tcW w:w="13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15CA">
            <w:pPr>
              <w:widowControl/>
              <w:jc w:val="center"/>
              <w:rPr>
                <w:rFonts w:ascii="宋体" w:cs="宋体"/>
                <w:color w:val="000000"/>
                <w:kern w:val="0"/>
                <w:sz w:val="18"/>
                <w:szCs w:val="18"/>
              </w:rPr>
            </w:pPr>
            <w:r>
              <w:rPr>
                <w:rFonts w:hint="eastAsia" w:ascii="宋体" w:cs="宋体"/>
                <w:color w:val="000000"/>
                <w:kern w:val="0"/>
                <w:sz w:val="18"/>
                <w:szCs w:val="18"/>
              </w:rPr>
              <w:t>成本指标</w:t>
            </w:r>
          </w:p>
        </w:tc>
        <w:tc>
          <w:tcPr>
            <w:tcW w:w="11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C43A4">
            <w:pPr>
              <w:widowControl/>
              <w:jc w:val="center"/>
              <w:rPr>
                <w:rFonts w:ascii="宋体" w:cs="宋体"/>
                <w:color w:val="000000"/>
                <w:kern w:val="0"/>
                <w:sz w:val="18"/>
                <w:szCs w:val="18"/>
              </w:rPr>
            </w:pPr>
            <w:r>
              <w:rPr>
                <w:rFonts w:hint="eastAsia" w:ascii="宋体" w:cs="宋体"/>
                <w:color w:val="000000"/>
                <w:kern w:val="0"/>
                <w:sz w:val="18"/>
                <w:szCs w:val="18"/>
              </w:rPr>
              <w:t>经济成本指标</w:t>
            </w:r>
          </w:p>
        </w:tc>
        <w:tc>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F7DFD">
            <w:pPr>
              <w:widowControl/>
              <w:jc w:val="center"/>
              <w:rPr>
                <w:rFonts w:ascii="宋体" w:cs="宋体"/>
                <w:color w:val="000000"/>
                <w:kern w:val="0"/>
                <w:sz w:val="18"/>
                <w:szCs w:val="18"/>
              </w:rPr>
            </w:pPr>
            <w:r>
              <w:rPr>
                <w:rFonts w:hint="eastAsia" w:ascii="宋体" w:cs="宋体"/>
                <w:color w:val="000000"/>
                <w:kern w:val="0"/>
                <w:sz w:val="18"/>
                <w:szCs w:val="18"/>
              </w:rPr>
              <w:t>补助标准人均</w:t>
            </w:r>
          </w:p>
        </w:tc>
        <w:tc>
          <w:tcPr>
            <w:tcW w:w="64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5D1B">
            <w:pPr>
              <w:widowControl/>
              <w:jc w:val="center"/>
              <w:rPr>
                <w:rFonts w:ascii="宋体" w:cs="宋体"/>
                <w:color w:val="000000"/>
                <w:kern w:val="0"/>
                <w:sz w:val="18"/>
                <w:szCs w:val="18"/>
              </w:rPr>
            </w:pPr>
            <w:r>
              <w:rPr>
                <w:rFonts w:hint="eastAsia" w:ascii="宋体" w:cs="宋体"/>
                <w:color w:val="000000"/>
                <w:kern w:val="0"/>
                <w:sz w:val="18"/>
                <w:szCs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0C7F">
            <w:pPr>
              <w:widowControl/>
              <w:jc w:val="center"/>
              <w:rPr>
                <w:rFonts w:ascii="宋体" w:cs="宋体"/>
                <w:color w:val="000000"/>
                <w:kern w:val="0"/>
                <w:sz w:val="18"/>
                <w:szCs w:val="18"/>
              </w:rPr>
            </w:pPr>
            <w:r>
              <w:rPr>
                <w:rFonts w:hint="eastAsia" w:ascii="宋体" w:cs="宋体"/>
                <w:color w:val="000000"/>
                <w:kern w:val="0"/>
                <w:sz w:val="18"/>
                <w:szCs w:val="18"/>
              </w:rPr>
              <w:t>500</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6E464">
            <w:pPr>
              <w:widowControl/>
              <w:jc w:val="center"/>
              <w:rPr>
                <w:rFonts w:ascii="宋体" w:cs="宋体"/>
                <w:color w:val="000000"/>
                <w:kern w:val="0"/>
                <w:sz w:val="18"/>
                <w:szCs w:val="18"/>
              </w:rPr>
            </w:pPr>
            <w:r>
              <w:rPr>
                <w:rFonts w:hint="eastAsia" w:ascii="宋体" w:cs="宋体"/>
                <w:color w:val="000000"/>
                <w:kern w:val="0"/>
                <w:sz w:val="18"/>
                <w:szCs w:val="18"/>
              </w:rPr>
              <w:t>元/人·次</w:t>
            </w:r>
          </w:p>
        </w:tc>
        <w:tc>
          <w:tcPr>
            <w:tcW w:w="8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6325">
            <w:pPr>
              <w:widowControl/>
              <w:jc w:val="center"/>
              <w:rPr>
                <w:rFonts w:ascii="微软雅黑" w:eastAsia="微软雅黑" w:cs="宋体"/>
                <w:i/>
                <w:iCs/>
                <w:color w:val="000000"/>
                <w:kern w:val="0"/>
                <w:sz w:val="16"/>
                <w:szCs w:val="16"/>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2C1A">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0DA3">
            <w:pPr>
              <w:widowControl/>
              <w:jc w:val="center"/>
              <w:rPr>
                <w:rFonts w:ascii="宋体" w:cs="宋体"/>
                <w:color w:val="000000"/>
                <w:kern w:val="0"/>
                <w:sz w:val="18"/>
                <w:szCs w:val="18"/>
              </w:rPr>
            </w:pPr>
            <w:r>
              <w:rPr>
                <w:rFonts w:hint="eastAsia" w:ascii="宋体" w:cs="宋体"/>
                <w:color w:val="000000"/>
                <w:kern w:val="0"/>
                <w:sz w:val="18"/>
                <w:szCs w:val="18"/>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3C85">
            <w:pPr>
              <w:widowControl/>
              <w:jc w:val="center"/>
              <w:rPr>
                <w:rFonts w:ascii="微软雅黑" w:eastAsia="微软雅黑" w:cs="宋体"/>
                <w:i/>
                <w:iCs/>
                <w:color w:val="000000"/>
                <w:kern w:val="0"/>
                <w:sz w:val="16"/>
                <w:szCs w:val="16"/>
              </w:rPr>
            </w:pPr>
          </w:p>
        </w:tc>
      </w:tr>
      <w:tr w14:paraId="662AA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7550"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C176">
            <w:pPr>
              <w:widowControl/>
              <w:jc w:val="center"/>
              <w:rPr>
                <w:rFonts w:ascii="宋体" w:cs="宋体"/>
                <w:color w:val="000000"/>
                <w:kern w:val="0"/>
                <w:sz w:val="18"/>
                <w:szCs w:val="18"/>
              </w:rPr>
            </w:pPr>
            <w:r>
              <w:rPr>
                <w:rFonts w:hint="eastAsia" w:ascii="宋体" w:cs="宋体"/>
                <w:color w:val="000000"/>
                <w:kern w:val="0"/>
                <w:sz w:val="18"/>
                <w:szCs w:val="18"/>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05F8">
            <w:pPr>
              <w:widowControl/>
              <w:jc w:val="center"/>
              <w:rPr>
                <w:rFonts w:ascii="宋体" w:cs="宋体"/>
                <w:color w:val="000000"/>
                <w:kern w:val="0"/>
                <w:sz w:val="18"/>
                <w:szCs w:val="18"/>
              </w:rPr>
            </w:pPr>
            <w:r>
              <w:rPr>
                <w:rFonts w:hint="eastAsia" w:ascii="宋体" w:cs="宋体"/>
                <w:color w:val="000000"/>
                <w:kern w:val="0"/>
                <w:sz w:val="18"/>
                <w:szCs w:val="18"/>
              </w:rPr>
              <w:t>100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38C9">
            <w:pPr>
              <w:widowControl/>
              <w:jc w:val="right"/>
              <w:rPr>
                <w:rFonts w:ascii="宋体" w:cs="宋体"/>
                <w:color w:val="000000"/>
                <w:kern w:val="0"/>
                <w:sz w:val="18"/>
                <w:szCs w:val="18"/>
              </w:rPr>
            </w:pPr>
            <w:r>
              <w:rPr>
                <w:rFonts w:hint="eastAsia" w:ascii="宋体" w:cs="宋体"/>
                <w:color w:val="000000"/>
                <w:kern w:val="0"/>
                <w:sz w:val="18"/>
                <w:szCs w:val="18"/>
              </w:rPr>
              <w:t>98</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CCED">
            <w:pPr>
              <w:widowControl/>
              <w:jc w:val="left"/>
              <w:rPr>
                <w:rFonts w:ascii="宋体" w:cs="宋体"/>
                <w:color w:val="000000"/>
                <w:kern w:val="0"/>
                <w:sz w:val="18"/>
                <w:szCs w:val="18"/>
              </w:rPr>
            </w:pPr>
          </w:p>
        </w:tc>
      </w:tr>
      <w:tr w14:paraId="1F4BA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A622">
            <w:pPr>
              <w:widowControl/>
              <w:jc w:val="center"/>
              <w:rPr>
                <w:rFonts w:ascii="宋体" w:cs="宋体"/>
                <w:color w:val="000000"/>
                <w:kern w:val="0"/>
                <w:sz w:val="18"/>
                <w:szCs w:val="18"/>
              </w:rPr>
            </w:pPr>
            <w:r>
              <w:rPr>
                <w:rFonts w:hint="eastAsia" w:ascii="宋体" w:cs="宋体"/>
                <w:color w:val="000000"/>
                <w:kern w:val="0"/>
                <w:sz w:val="18"/>
                <w:szCs w:val="18"/>
              </w:rPr>
              <w:t>评价结论</w:t>
            </w:r>
          </w:p>
        </w:tc>
        <w:tc>
          <w:tcPr>
            <w:tcW w:w="893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7ED4">
            <w:pPr>
              <w:widowControl/>
              <w:jc w:val="left"/>
              <w:rPr>
                <w:rFonts w:ascii="微软雅黑" w:eastAsia="微软雅黑" w:cs="宋体"/>
                <w:i/>
                <w:iCs/>
                <w:color w:val="000000"/>
                <w:kern w:val="0"/>
                <w:sz w:val="16"/>
                <w:szCs w:val="16"/>
              </w:rPr>
            </w:pPr>
            <w:r>
              <w:rPr>
                <w:rFonts w:hint="eastAsia" w:ascii="微软雅黑" w:eastAsia="微软雅黑" w:cs="宋体"/>
                <w:i/>
                <w:iCs/>
                <w:color w:val="000000"/>
                <w:kern w:val="0"/>
                <w:sz w:val="16"/>
                <w:szCs w:val="16"/>
              </w:rPr>
              <w:t>98分，按时完成对新生入学学生交通补助</w:t>
            </w:r>
          </w:p>
        </w:tc>
      </w:tr>
      <w:tr w14:paraId="536F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CDDB">
            <w:pPr>
              <w:widowControl/>
              <w:jc w:val="center"/>
              <w:rPr>
                <w:rFonts w:ascii="宋体" w:cs="宋体"/>
                <w:color w:val="000000"/>
                <w:kern w:val="0"/>
                <w:sz w:val="18"/>
                <w:szCs w:val="18"/>
              </w:rPr>
            </w:pPr>
            <w:r>
              <w:rPr>
                <w:rFonts w:hint="eastAsia" w:ascii="宋体" w:cs="宋体"/>
                <w:color w:val="000000"/>
                <w:kern w:val="0"/>
                <w:sz w:val="18"/>
                <w:szCs w:val="18"/>
              </w:rPr>
              <w:t>存在问题</w:t>
            </w:r>
          </w:p>
        </w:tc>
        <w:tc>
          <w:tcPr>
            <w:tcW w:w="893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55D0">
            <w:pPr>
              <w:widowControl/>
              <w:jc w:val="left"/>
              <w:rPr>
                <w:rFonts w:ascii="微软雅黑" w:eastAsia="微软雅黑" w:cs="宋体"/>
                <w:i/>
                <w:iCs/>
                <w:color w:val="000000"/>
                <w:kern w:val="0"/>
                <w:sz w:val="16"/>
                <w:szCs w:val="16"/>
              </w:rPr>
            </w:pPr>
            <w:r>
              <w:rPr>
                <w:rFonts w:hint="eastAsia" w:ascii="微软雅黑" w:eastAsia="微软雅黑" w:cs="宋体"/>
                <w:i/>
                <w:iCs/>
                <w:color w:val="000000"/>
                <w:kern w:val="0"/>
                <w:sz w:val="16"/>
                <w:szCs w:val="16"/>
              </w:rPr>
              <w:t>无</w:t>
            </w:r>
          </w:p>
        </w:tc>
      </w:tr>
      <w:tr w14:paraId="62034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053C0">
            <w:pPr>
              <w:widowControl/>
              <w:jc w:val="center"/>
              <w:rPr>
                <w:rFonts w:ascii="宋体" w:cs="宋体"/>
                <w:color w:val="000000"/>
                <w:kern w:val="0"/>
                <w:sz w:val="18"/>
                <w:szCs w:val="18"/>
              </w:rPr>
            </w:pPr>
            <w:r>
              <w:rPr>
                <w:rFonts w:hint="eastAsia" w:ascii="宋体" w:cs="宋体"/>
                <w:color w:val="000000"/>
                <w:kern w:val="0"/>
                <w:sz w:val="18"/>
                <w:szCs w:val="18"/>
              </w:rPr>
              <w:t>改进措施</w:t>
            </w:r>
          </w:p>
        </w:tc>
        <w:tc>
          <w:tcPr>
            <w:tcW w:w="8937" w:type="dxa"/>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D72F">
            <w:pPr>
              <w:widowControl/>
              <w:jc w:val="left"/>
              <w:rPr>
                <w:rFonts w:ascii="微软雅黑" w:eastAsia="微软雅黑" w:cs="宋体"/>
                <w:i/>
                <w:iCs/>
                <w:color w:val="000000"/>
                <w:kern w:val="0"/>
                <w:sz w:val="16"/>
                <w:szCs w:val="16"/>
              </w:rPr>
            </w:pPr>
            <w:r>
              <w:rPr>
                <w:rFonts w:hint="eastAsia" w:ascii="微软雅黑" w:eastAsia="微软雅黑" w:cs="宋体"/>
                <w:i/>
                <w:iCs/>
                <w:color w:val="000000"/>
                <w:kern w:val="0"/>
                <w:sz w:val="16"/>
                <w:szCs w:val="16"/>
              </w:rPr>
              <w:t>无</w:t>
            </w:r>
          </w:p>
        </w:tc>
      </w:tr>
      <w:tr w14:paraId="588D9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487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A8BD8">
            <w:pPr>
              <w:widowControl/>
              <w:jc w:val="left"/>
              <w:rPr>
                <w:rFonts w:ascii="黑体" w:hAnsi="黑体" w:cs="宋体"/>
                <w:color w:val="000000"/>
                <w:kern w:val="0"/>
                <w:sz w:val="18"/>
                <w:szCs w:val="18"/>
              </w:rPr>
            </w:pPr>
            <w:r>
              <w:rPr>
                <w:rFonts w:ascii="黑体" w:hAnsi="黑体" w:cs="宋体"/>
                <w:color w:val="000000"/>
                <w:kern w:val="0"/>
                <w:sz w:val="18"/>
                <w:szCs w:val="18"/>
              </w:rPr>
              <w:t>项目负责人：李荣富</w:t>
            </w:r>
          </w:p>
        </w:tc>
        <w:tc>
          <w:tcPr>
            <w:tcW w:w="4640"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7909">
            <w:pPr>
              <w:widowControl/>
              <w:jc w:val="left"/>
              <w:rPr>
                <w:rFonts w:ascii="黑体" w:hAnsi="黑体" w:cs="宋体"/>
                <w:color w:val="000000"/>
                <w:kern w:val="0"/>
                <w:sz w:val="18"/>
                <w:szCs w:val="18"/>
              </w:rPr>
            </w:pPr>
            <w:r>
              <w:rPr>
                <w:rFonts w:ascii="黑体" w:hAnsi="黑体" w:cs="宋体"/>
                <w:color w:val="000000"/>
                <w:kern w:val="0"/>
                <w:sz w:val="18"/>
                <w:szCs w:val="18"/>
              </w:rPr>
              <w:t>财务负责人：张吉勇</w:t>
            </w:r>
          </w:p>
        </w:tc>
      </w:tr>
      <w:tr w14:paraId="3A24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576" w:type="dxa"/>
            <w:tcBorders>
              <w:top w:val="nil"/>
              <w:left w:val="nil"/>
              <w:bottom w:val="nil"/>
              <w:right w:val="nil"/>
            </w:tcBorders>
            <w:shd w:val="clear" w:color="auto" w:fill="auto"/>
            <w:noWrap/>
            <w:vAlign w:val="center"/>
          </w:tcPr>
          <w:p w14:paraId="71822F6D">
            <w:pPr>
              <w:widowControl/>
              <w:jc w:val="left"/>
              <w:rPr>
                <w:rFonts w:ascii="宋体" w:cs="宋体"/>
                <w:color w:val="000000"/>
                <w:kern w:val="0"/>
                <w:sz w:val="18"/>
                <w:szCs w:val="18"/>
              </w:rPr>
            </w:pPr>
          </w:p>
        </w:tc>
        <w:tc>
          <w:tcPr>
            <w:tcW w:w="1313" w:type="dxa"/>
            <w:tcBorders>
              <w:top w:val="nil"/>
              <w:left w:val="nil"/>
              <w:bottom w:val="nil"/>
              <w:right w:val="nil"/>
            </w:tcBorders>
            <w:shd w:val="clear" w:color="auto" w:fill="auto"/>
            <w:noWrap/>
            <w:vAlign w:val="center"/>
          </w:tcPr>
          <w:p w14:paraId="4BD7071E">
            <w:pPr>
              <w:widowControl/>
              <w:jc w:val="left"/>
              <w:rPr>
                <w:rFonts w:ascii="宋体" w:cs="宋体"/>
                <w:color w:val="000000"/>
                <w:kern w:val="0"/>
                <w:sz w:val="18"/>
                <w:szCs w:val="18"/>
              </w:rPr>
            </w:pPr>
          </w:p>
        </w:tc>
        <w:tc>
          <w:tcPr>
            <w:tcW w:w="1148" w:type="dxa"/>
            <w:tcBorders>
              <w:top w:val="nil"/>
              <w:left w:val="nil"/>
              <w:bottom w:val="nil"/>
              <w:right w:val="nil"/>
            </w:tcBorders>
            <w:shd w:val="clear" w:color="auto" w:fill="auto"/>
            <w:noWrap/>
            <w:vAlign w:val="center"/>
          </w:tcPr>
          <w:p w14:paraId="46548B94">
            <w:pPr>
              <w:widowControl/>
              <w:jc w:val="left"/>
              <w:rPr>
                <w:rFonts w:ascii="宋体" w:cs="宋体"/>
                <w:color w:val="000000"/>
                <w:kern w:val="0"/>
                <w:sz w:val="18"/>
                <w:szCs w:val="18"/>
              </w:rPr>
            </w:pPr>
          </w:p>
        </w:tc>
        <w:tc>
          <w:tcPr>
            <w:tcW w:w="1440" w:type="dxa"/>
            <w:tcBorders>
              <w:top w:val="nil"/>
              <w:left w:val="nil"/>
              <w:bottom w:val="nil"/>
              <w:right w:val="nil"/>
            </w:tcBorders>
            <w:shd w:val="clear" w:color="auto" w:fill="auto"/>
            <w:noWrap/>
            <w:vAlign w:val="center"/>
          </w:tcPr>
          <w:p w14:paraId="6922012F">
            <w:pPr>
              <w:widowControl/>
              <w:jc w:val="left"/>
              <w:rPr>
                <w:rFonts w:ascii="宋体" w:cs="宋体"/>
                <w:color w:val="000000"/>
                <w:kern w:val="0"/>
                <w:sz w:val="18"/>
                <w:szCs w:val="18"/>
              </w:rPr>
            </w:pPr>
          </w:p>
        </w:tc>
        <w:tc>
          <w:tcPr>
            <w:tcW w:w="396" w:type="dxa"/>
            <w:tcBorders>
              <w:top w:val="nil"/>
              <w:left w:val="nil"/>
              <w:bottom w:val="nil"/>
              <w:right w:val="nil"/>
            </w:tcBorders>
            <w:shd w:val="clear" w:color="auto" w:fill="auto"/>
            <w:noWrap/>
            <w:vAlign w:val="center"/>
          </w:tcPr>
          <w:p w14:paraId="098C8111">
            <w:pPr>
              <w:widowControl/>
              <w:jc w:val="left"/>
              <w:rPr>
                <w:rFonts w:ascii="宋体" w:cs="宋体"/>
                <w:color w:val="000000"/>
                <w:kern w:val="0"/>
                <w:sz w:val="18"/>
                <w:szCs w:val="18"/>
              </w:rPr>
            </w:pPr>
          </w:p>
        </w:tc>
        <w:tc>
          <w:tcPr>
            <w:tcW w:w="1075" w:type="dxa"/>
            <w:gridSpan w:val="2"/>
            <w:tcBorders>
              <w:top w:val="nil"/>
              <w:left w:val="nil"/>
              <w:bottom w:val="nil"/>
              <w:right w:val="nil"/>
            </w:tcBorders>
            <w:shd w:val="clear" w:color="auto" w:fill="auto"/>
            <w:noWrap/>
            <w:vAlign w:val="center"/>
          </w:tcPr>
          <w:p w14:paraId="28C5525D">
            <w:pPr>
              <w:widowControl/>
              <w:jc w:val="left"/>
              <w:rPr>
                <w:rFonts w:ascii="宋体" w:cs="宋体"/>
                <w:color w:val="000000"/>
                <w:kern w:val="0"/>
                <w:sz w:val="18"/>
                <w:szCs w:val="18"/>
              </w:rPr>
            </w:pPr>
          </w:p>
        </w:tc>
        <w:tc>
          <w:tcPr>
            <w:tcW w:w="756" w:type="dxa"/>
            <w:tcBorders>
              <w:top w:val="nil"/>
              <w:left w:val="nil"/>
              <w:bottom w:val="nil"/>
              <w:right w:val="nil"/>
            </w:tcBorders>
            <w:shd w:val="clear" w:color="auto" w:fill="auto"/>
            <w:noWrap/>
            <w:vAlign w:val="center"/>
          </w:tcPr>
          <w:p w14:paraId="114E8612">
            <w:pPr>
              <w:widowControl/>
              <w:jc w:val="left"/>
              <w:rPr>
                <w:rFonts w:ascii="宋体" w:cs="宋体"/>
                <w:color w:val="000000"/>
                <w:kern w:val="0"/>
                <w:sz w:val="18"/>
                <w:szCs w:val="18"/>
              </w:rPr>
            </w:pPr>
          </w:p>
        </w:tc>
        <w:tc>
          <w:tcPr>
            <w:tcW w:w="846" w:type="dxa"/>
            <w:tcBorders>
              <w:top w:val="nil"/>
              <w:left w:val="nil"/>
              <w:bottom w:val="nil"/>
              <w:right w:val="nil"/>
            </w:tcBorders>
            <w:shd w:val="clear" w:color="auto" w:fill="auto"/>
            <w:noWrap/>
            <w:vAlign w:val="center"/>
          </w:tcPr>
          <w:p w14:paraId="70E0EE9F">
            <w:pPr>
              <w:widowControl/>
              <w:jc w:val="left"/>
              <w:rPr>
                <w:rFonts w:ascii="宋体" w:cs="宋体"/>
                <w:color w:val="000000"/>
                <w:kern w:val="0"/>
                <w:sz w:val="18"/>
                <w:szCs w:val="18"/>
              </w:rPr>
            </w:pPr>
          </w:p>
        </w:tc>
        <w:tc>
          <w:tcPr>
            <w:tcW w:w="486" w:type="dxa"/>
            <w:tcBorders>
              <w:top w:val="nil"/>
              <w:left w:val="nil"/>
              <w:bottom w:val="nil"/>
              <w:right w:val="nil"/>
            </w:tcBorders>
            <w:shd w:val="clear" w:color="auto" w:fill="auto"/>
            <w:noWrap/>
            <w:vAlign w:val="center"/>
          </w:tcPr>
          <w:p w14:paraId="6D30F40F">
            <w:pPr>
              <w:widowControl/>
              <w:jc w:val="left"/>
              <w:rPr>
                <w:rFonts w:ascii="宋体" w:cs="宋体"/>
                <w:color w:val="000000"/>
                <w:kern w:val="0"/>
                <w:sz w:val="18"/>
                <w:szCs w:val="18"/>
              </w:rPr>
            </w:pPr>
          </w:p>
        </w:tc>
        <w:tc>
          <w:tcPr>
            <w:tcW w:w="396" w:type="dxa"/>
            <w:tcBorders>
              <w:top w:val="nil"/>
              <w:left w:val="nil"/>
              <w:bottom w:val="nil"/>
              <w:right w:val="nil"/>
            </w:tcBorders>
            <w:shd w:val="clear" w:color="auto" w:fill="auto"/>
            <w:noWrap/>
            <w:vAlign w:val="center"/>
          </w:tcPr>
          <w:p w14:paraId="69AD861F">
            <w:pPr>
              <w:widowControl/>
              <w:jc w:val="left"/>
              <w:rPr>
                <w:rFonts w:ascii="宋体" w:cs="宋体"/>
                <w:color w:val="000000"/>
                <w:kern w:val="0"/>
                <w:sz w:val="18"/>
                <w:szCs w:val="18"/>
              </w:rPr>
            </w:pPr>
          </w:p>
        </w:tc>
        <w:tc>
          <w:tcPr>
            <w:tcW w:w="1081" w:type="dxa"/>
            <w:tcBorders>
              <w:top w:val="nil"/>
              <w:left w:val="nil"/>
              <w:bottom w:val="nil"/>
              <w:right w:val="nil"/>
            </w:tcBorders>
            <w:shd w:val="clear" w:color="auto" w:fill="auto"/>
            <w:noWrap/>
            <w:vAlign w:val="center"/>
          </w:tcPr>
          <w:p w14:paraId="0E3BC77E">
            <w:pPr>
              <w:widowControl/>
              <w:jc w:val="left"/>
              <w:rPr>
                <w:rFonts w:ascii="宋体" w:cs="宋体"/>
                <w:color w:val="000000"/>
                <w:kern w:val="0"/>
                <w:sz w:val="18"/>
                <w:szCs w:val="18"/>
              </w:rPr>
            </w:pPr>
          </w:p>
        </w:tc>
      </w:tr>
    </w:tbl>
    <w:p w14:paraId="08F683C5">
      <w:pPr>
        <w:spacing w:line="600" w:lineRule="exact"/>
        <w:jc w:val="center"/>
        <w:outlineLvl w:val="0"/>
        <w:rPr>
          <w:rFonts w:ascii="黑体" w:eastAsia="黑体"/>
          <w:sz w:val="44"/>
          <w:szCs w:val="44"/>
        </w:rPr>
      </w:pPr>
      <w:bookmarkStart w:id="120" w:name="_Toc15396618"/>
      <w:bookmarkStart w:id="121" w:name="_Toc2299"/>
      <w:bookmarkStart w:id="122" w:name="_Toc21397"/>
    </w:p>
    <w:p w14:paraId="288D2B64">
      <w:pPr>
        <w:spacing w:line="600" w:lineRule="exact"/>
        <w:jc w:val="center"/>
        <w:outlineLvl w:val="0"/>
        <w:rPr>
          <w:rFonts w:ascii="黑体" w:eastAsia="黑体"/>
          <w:sz w:val="44"/>
          <w:szCs w:val="44"/>
        </w:rPr>
      </w:pPr>
    </w:p>
    <w:p w14:paraId="087B6FC7">
      <w:pPr>
        <w:spacing w:line="600" w:lineRule="exact"/>
        <w:jc w:val="center"/>
        <w:outlineLvl w:val="0"/>
        <w:rPr>
          <w:rFonts w:ascii="黑体" w:eastAsia="黑体"/>
          <w:sz w:val="44"/>
          <w:szCs w:val="44"/>
        </w:rPr>
      </w:pPr>
    </w:p>
    <w:p w14:paraId="327B8E33">
      <w:pPr>
        <w:spacing w:line="600" w:lineRule="exact"/>
        <w:jc w:val="center"/>
        <w:outlineLvl w:val="0"/>
        <w:rPr>
          <w:rStyle w:val="27"/>
          <w:rFonts w:ascii="黑体" w:eastAsia="黑体"/>
        </w:rPr>
      </w:pPr>
      <w:r>
        <w:rPr>
          <w:rFonts w:hint="eastAsia" w:ascii="黑体" w:eastAsia="黑体"/>
          <w:sz w:val="44"/>
          <w:szCs w:val="44"/>
        </w:rPr>
        <w:t>第</w:t>
      </w:r>
      <w:r>
        <w:rPr>
          <w:rStyle w:val="27"/>
          <w:rFonts w:hint="eastAsia" w:ascii="黑体" w:eastAsia="黑体"/>
        </w:rPr>
        <w:t>五部分 附表</w:t>
      </w:r>
      <w:bookmarkEnd w:id="120"/>
      <w:bookmarkEnd w:id="121"/>
      <w:bookmarkEnd w:id="122"/>
      <w:bookmarkStart w:id="123" w:name="_Toc380"/>
      <w:bookmarkStart w:id="124" w:name="_Toc15396619"/>
    </w:p>
    <w:p w14:paraId="36899A34">
      <w:pPr>
        <w:pStyle w:val="6"/>
        <w:rPr>
          <w:rFonts w:ascii="仿宋" w:eastAsia="仿宋"/>
        </w:rPr>
      </w:pPr>
      <w:bookmarkStart w:id="125" w:name="_Toc10288"/>
      <w:r>
        <w:rPr>
          <w:rFonts w:hint="eastAsia" w:ascii="仿宋" w:eastAsia="仿宋"/>
        </w:rPr>
        <w:t>一、收</w:t>
      </w:r>
      <w:r>
        <w:rPr>
          <w:rFonts w:hint="eastAsia"/>
        </w:rPr>
        <w:t>入支出决算总表</w:t>
      </w:r>
      <w:bookmarkEnd w:id="123"/>
      <w:bookmarkEnd w:id="124"/>
      <w:bookmarkEnd w:id="125"/>
    </w:p>
    <w:p w14:paraId="6D0BF415">
      <w:pPr>
        <w:pStyle w:val="6"/>
        <w:rPr>
          <w:rFonts w:ascii="仿宋" w:eastAsia="仿宋"/>
        </w:rPr>
      </w:pPr>
      <w:bookmarkStart w:id="126" w:name="_Toc15396620"/>
      <w:bookmarkStart w:id="127" w:name="_Toc14402"/>
      <w:bookmarkStart w:id="128" w:name="_Toc20881"/>
      <w:r>
        <w:rPr>
          <w:rFonts w:hint="eastAsia" w:ascii="仿宋" w:eastAsia="仿宋"/>
        </w:rPr>
        <w:t>二、收</w:t>
      </w:r>
      <w:r>
        <w:rPr>
          <w:rStyle w:val="28"/>
          <w:rFonts w:hint="eastAsia" w:ascii="仿宋" w:eastAsia="仿宋"/>
          <w:b/>
          <w:bCs/>
        </w:rPr>
        <w:t>入决算表</w:t>
      </w:r>
      <w:bookmarkEnd w:id="126"/>
      <w:bookmarkEnd w:id="127"/>
      <w:bookmarkEnd w:id="128"/>
    </w:p>
    <w:p w14:paraId="75996FB2">
      <w:pPr>
        <w:pStyle w:val="6"/>
        <w:rPr>
          <w:rFonts w:ascii="仿宋" w:eastAsia="仿宋"/>
        </w:rPr>
      </w:pPr>
      <w:bookmarkStart w:id="129" w:name="_Toc20328"/>
      <w:bookmarkStart w:id="130" w:name="_Toc31852"/>
      <w:bookmarkStart w:id="131" w:name="_Toc15396621"/>
      <w:r>
        <w:rPr>
          <w:rStyle w:val="28"/>
          <w:rFonts w:hint="eastAsia" w:ascii="仿宋" w:eastAsia="仿宋"/>
          <w:b/>
          <w:bCs/>
        </w:rPr>
        <w:t>三、</w:t>
      </w:r>
      <w:r>
        <w:rPr>
          <w:rFonts w:hint="eastAsia" w:ascii="仿宋" w:eastAsia="仿宋"/>
        </w:rPr>
        <w:t>支</w:t>
      </w:r>
      <w:r>
        <w:rPr>
          <w:rStyle w:val="28"/>
          <w:rFonts w:hint="eastAsia" w:ascii="仿宋" w:eastAsia="仿宋"/>
          <w:b/>
          <w:bCs/>
        </w:rPr>
        <w:t>出决算表</w:t>
      </w:r>
      <w:bookmarkEnd w:id="129"/>
      <w:bookmarkEnd w:id="130"/>
      <w:bookmarkEnd w:id="131"/>
    </w:p>
    <w:p w14:paraId="7DC254A8">
      <w:pPr>
        <w:pStyle w:val="6"/>
        <w:rPr>
          <w:rFonts w:ascii="仿宋" w:eastAsia="仿宋"/>
        </w:rPr>
      </w:pPr>
      <w:bookmarkStart w:id="132" w:name="_Toc23170"/>
      <w:bookmarkStart w:id="133" w:name="_Toc15396622"/>
      <w:bookmarkStart w:id="134" w:name="_Toc22859"/>
      <w:r>
        <w:rPr>
          <w:rStyle w:val="28"/>
          <w:rFonts w:hint="eastAsia" w:ascii="仿宋" w:eastAsia="仿宋"/>
          <w:b/>
          <w:bCs/>
        </w:rPr>
        <w:t>四、</w:t>
      </w:r>
      <w:r>
        <w:rPr>
          <w:rFonts w:hint="eastAsia" w:ascii="仿宋" w:eastAsia="仿宋"/>
        </w:rPr>
        <w:t>财</w:t>
      </w:r>
      <w:r>
        <w:rPr>
          <w:rStyle w:val="28"/>
          <w:rFonts w:hint="eastAsia" w:ascii="仿宋" w:eastAsia="仿宋"/>
          <w:b/>
          <w:bCs/>
        </w:rPr>
        <w:t>政拨款收入支出决算总表</w:t>
      </w:r>
      <w:bookmarkEnd w:id="132"/>
      <w:bookmarkEnd w:id="133"/>
      <w:bookmarkEnd w:id="134"/>
    </w:p>
    <w:p w14:paraId="23720EFD">
      <w:pPr>
        <w:pStyle w:val="6"/>
        <w:rPr>
          <w:rStyle w:val="28"/>
          <w:rFonts w:ascii="仿宋" w:eastAsia="仿宋"/>
          <w:b/>
          <w:bCs w:val="0"/>
        </w:rPr>
      </w:pPr>
      <w:bookmarkStart w:id="135" w:name="_Toc15396623"/>
      <w:bookmarkStart w:id="136" w:name="_Toc26990"/>
      <w:bookmarkStart w:id="137" w:name="_Toc2136"/>
      <w:r>
        <w:rPr>
          <w:rStyle w:val="28"/>
          <w:rFonts w:hint="eastAsia" w:ascii="仿宋" w:eastAsia="仿宋"/>
          <w:b/>
          <w:bCs/>
        </w:rPr>
        <w:t>五、</w:t>
      </w:r>
      <w:r>
        <w:rPr>
          <w:rFonts w:hint="eastAsia" w:ascii="仿宋" w:eastAsia="仿宋"/>
        </w:rPr>
        <w:t>财</w:t>
      </w:r>
      <w:r>
        <w:rPr>
          <w:rStyle w:val="28"/>
          <w:rFonts w:hint="eastAsia" w:ascii="仿宋" w:eastAsia="仿宋"/>
          <w:b/>
          <w:bCs/>
        </w:rPr>
        <w:t>政拨款支出决算明细表</w:t>
      </w:r>
      <w:bookmarkEnd w:id="135"/>
      <w:bookmarkEnd w:id="136"/>
      <w:bookmarkEnd w:id="137"/>
      <w:bookmarkStart w:id="138" w:name="_Toc15396624"/>
    </w:p>
    <w:p w14:paraId="24814A03">
      <w:pPr>
        <w:pStyle w:val="6"/>
        <w:rPr>
          <w:rFonts w:ascii="仿宋" w:eastAsia="仿宋"/>
        </w:rPr>
      </w:pPr>
      <w:bookmarkStart w:id="139" w:name="_Toc20546"/>
      <w:bookmarkStart w:id="140" w:name="_Toc1612"/>
      <w:r>
        <w:rPr>
          <w:rStyle w:val="28"/>
          <w:rFonts w:hint="eastAsia" w:ascii="仿宋" w:eastAsia="仿宋"/>
          <w:b/>
          <w:bCs/>
        </w:rPr>
        <w:t>六、</w:t>
      </w:r>
      <w:r>
        <w:rPr>
          <w:rFonts w:hint="eastAsia" w:ascii="仿宋" w:eastAsia="仿宋"/>
        </w:rPr>
        <w:t>一</w:t>
      </w:r>
      <w:r>
        <w:rPr>
          <w:rStyle w:val="28"/>
          <w:rFonts w:hint="eastAsia" w:ascii="仿宋" w:eastAsia="仿宋"/>
          <w:b/>
          <w:bCs/>
        </w:rPr>
        <w:t>般公共预算财政拨款支出决算表</w:t>
      </w:r>
      <w:bookmarkEnd w:id="138"/>
      <w:bookmarkEnd w:id="139"/>
      <w:bookmarkEnd w:id="140"/>
    </w:p>
    <w:p w14:paraId="2296DEF5">
      <w:pPr>
        <w:pStyle w:val="6"/>
        <w:rPr>
          <w:rFonts w:ascii="仿宋" w:eastAsia="仿宋"/>
        </w:rPr>
      </w:pPr>
      <w:bookmarkStart w:id="141" w:name="_Toc17215"/>
      <w:bookmarkStart w:id="142" w:name="_Toc1986"/>
      <w:bookmarkStart w:id="143" w:name="_Toc15396625"/>
      <w:r>
        <w:rPr>
          <w:rStyle w:val="28"/>
          <w:rFonts w:hint="eastAsia" w:ascii="仿宋" w:eastAsia="仿宋"/>
          <w:b/>
          <w:bCs/>
        </w:rPr>
        <w:t>七、</w:t>
      </w:r>
      <w:r>
        <w:rPr>
          <w:rFonts w:hint="eastAsia" w:ascii="仿宋" w:eastAsia="仿宋"/>
        </w:rPr>
        <w:t>一</w:t>
      </w:r>
      <w:r>
        <w:rPr>
          <w:rStyle w:val="28"/>
          <w:rFonts w:hint="eastAsia" w:ascii="仿宋" w:eastAsia="仿宋"/>
          <w:b/>
          <w:bCs/>
        </w:rPr>
        <w:t>般公共预算财政拨款支出决算明细表</w:t>
      </w:r>
      <w:bookmarkEnd w:id="141"/>
      <w:bookmarkEnd w:id="142"/>
      <w:bookmarkEnd w:id="143"/>
    </w:p>
    <w:p w14:paraId="41A95C16">
      <w:pPr>
        <w:pStyle w:val="6"/>
        <w:rPr>
          <w:rFonts w:ascii="仿宋" w:eastAsia="仿宋"/>
        </w:rPr>
      </w:pPr>
      <w:bookmarkStart w:id="144" w:name="_Toc18491"/>
      <w:bookmarkStart w:id="145" w:name="_Toc16499"/>
      <w:bookmarkStart w:id="146" w:name="_Toc15396626"/>
      <w:r>
        <w:rPr>
          <w:rStyle w:val="28"/>
          <w:rFonts w:hint="eastAsia" w:ascii="仿宋" w:eastAsia="仿宋"/>
          <w:b/>
          <w:bCs/>
        </w:rPr>
        <w:t>八、</w:t>
      </w:r>
      <w:r>
        <w:rPr>
          <w:rFonts w:hint="eastAsia" w:ascii="仿宋" w:eastAsia="仿宋"/>
        </w:rPr>
        <w:t>一</w:t>
      </w:r>
      <w:r>
        <w:rPr>
          <w:rStyle w:val="28"/>
          <w:rFonts w:hint="eastAsia" w:ascii="仿宋" w:eastAsia="仿宋"/>
          <w:b/>
          <w:bCs/>
        </w:rPr>
        <w:t>般公共预算财政拨款基本支出决算表</w:t>
      </w:r>
      <w:bookmarkEnd w:id="144"/>
      <w:bookmarkEnd w:id="145"/>
      <w:bookmarkEnd w:id="146"/>
    </w:p>
    <w:p w14:paraId="24A2FF44">
      <w:pPr>
        <w:pStyle w:val="6"/>
        <w:rPr>
          <w:rFonts w:ascii="仿宋" w:eastAsia="仿宋"/>
        </w:rPr>
      </w:pPr>
      <w:bookmarkStart w:id="147" w:name="_Toc15396627"/>
      <w:bookmarkStart w:id="148" w:name="_Toc8354"/>
      <w:bookmarkStart w:id="149" w:name="_Toc21464"/>
      <w:r>
        <w:rPr>
          <w:rStyle w:val="28"/>
          <w:rFonts w:hint="eastAsia" w:ascii="仿宋" w:eastAsia="仿宋"/>
          <w:b/>
          <w:bCs/>
        </w:rPr>
        <w:t>九、</w:t>
      </w:r>
      <w:r>
        <w:rPr>
          <w:rFonts w:hint="eastAsia" w:ascii="仿宋" w:eastAsia="仿宋"/>
        </w:rPr>
        <w:t>一</w:t>
      </w:r>
      <w:r>
        <w:rPr>
          <w:rStyle w:val="28"/>
          <w:rFonts w:hint="eastAsia" w:ascii="仿宋" w:eastAsia="仿宋"/>
          <w:b/>
          <w:bCs/>
        </w:rPr>
        <w:t>般公共预算财政拨款项目支出决算表</w:t>
      </w:r>
      <w:bookmarkEnd w:id="147"/>
      <w:bookmarkEnd w:id="148"/>
      <w:bookmarkEnd w:id="149"/>
    </w:p>
    <w:p w14:paraId="5020AA3B">
      <w:pPr>
        <w:pStyle w:val="6"/>
        <w:rPr>
          <w:rFonts w:ascii="仿宋" w:eastAsia="仿宋"/>
        </w:rPr>
      </w:pPr>
      <w:bookmarkStart w:id="150" w:name="_Toc15396628"/>
      <w:bookmarkStart w:id="151" w:name="_Toc1046"/>
      <w:bookmarkStart w:id="152" w:name="_Toc23778"/>
      <w:r>
        <w:rPr>
          <w:rStyle w:val="28"/>
          <w:rFonts w:hint="eastAsia" w:ascii="仿宋" w:eastAsia="仿宋"/>
          <w:b/>
          <w:bCs/>
        </w:rPr>
        <w:t>十、</w:t>
      </w:r>
      <w:bookmarkEnd w:id="150"/>
      <w:r>
        <w:rPr>
          <w:rFonts w:hint="eastAsia" w:ascii="仿宋" w:eastAsia="仿宋"/>
        </w:rPr>
        <w:t>政</w:t>
      </w:r>
      <w:r>
        <w:rPr>
          <w:rStyle w:val="28"/>
          <w:rFonts w:hint="eastAsia" w:ascii="仿宋" w:eastAsia="仿宋"/>
          <w:b/>
          <w:bCs/>
        </w:rPr>
        <w:t>府性基金预算财政拨款收入支出决算表</w:t>
      </w:r>
      <w:bookmarkEnd w:id="151"/>
      <w:bookmarkEnd w:id="152"/>
    </w:p>
    <w:p w14:paraId="0F979802">
      <w:pPr>
        <w:pStyle w:val="6"/>
        <w:rPr>
          <w:rFonts w:ascii="仿宋" w:eastAsia="仿宋"/>
        </w:rPr>
      </w:pPr>
      <w:bookmarkStart w:id="153" w:name="_Toc15396629"/>
      <w:bookmarkStart w:id="154" w:name="_Toc2955"/>
      <w:bookmarkStart w:id="155" w:name="_Toc9511"/>
      <w:r>
        <w:rPr>
          <w:rStyle w:val="28"/>
          <w:rFonts w:hint="eastAsia" w:ascii="仿宋" w:eastAsia="仿宋"/>
          <w:b/>
          <w:bCs/>
        </w:rPr>
        <w:t>十一、</w:t>
      </w:r>
      <w:bookmarkEnd w:id="153"/>
      <w:r>
        <w:rPr>
          <w:rFonts w:hint="eastAsia" w:ascii="仿宋" w:eastAsia="仿宋"/>
        </w:rPr>
        <w:t>国</w:t>
      </w:r>
      <w:r>
        <w:rPr>
          <w:rStyle w:val="28"/>
          <w:rFonts w:hint="eastAsia" w:ascii="仿宋" w:eastAsia="仿宋"/>
          <w:b/>
          <w:bCs/>
        </w:rPr>
        <w:t>有资本经营预算财政拨款收入支出决算表</w:t>
      </w:r>
      <w:bookmarkEnd w:id="154"/>
      <w:bookmarkEnd w:id="155"/>
    </w:p>
    <w:p w14:paraId="0BF3C08B">
      <w:pPr>
        <w:pStyle w:val="6"/>
        <w:rPr>
          <w:rFonts w:ascii="仿宋" w:eastAsia="仿宋"/>
        </w:rPr>
      </w:pPr>
      <w:bookmarkStart w:id="156" w:name="_Toc15396630"/>
      <w:bookmarkStart w:id="157" w:name="_Toc14414"/>
      <w:bookmarkStart w:id="158" w:name="_Toc23288"/>
      <w:r>
        <w:rPr>
          <w:rStyle w:val="28"/>
          <w:rFonts w:hint="eastAsia" w:ascii="仿宋" w:eastAsia="仿宋"/>
          <w:b/>
          <w:bCs/>
        </w:rPr>
        <w:t>十二、</w:t>
      </w:r>
      <w:bookmarkEnd w:id="156"/>
      <w:r>
        <w:rPr>
          <w:rStyle w:val="28"/>
          <w:rFonts w:hint="eastAsia" w:ascii="仿宋" w:eastAsia="仿宋"/>
          <w:b/>
          <w:bCs/>
        </w:rPr>
        <w:t>国有资本经营预算财政拨款支出决算表</w:t>
      </w:r>
      <w:bookmarkEnd w:id="157"/>
      <w:bookmarkEnd w:id="158"/>
    </w:p>
    <w:p w14:paraId="2D612077">
      <w:pPr>
        <w:pStyle w:val="6"/>
        <w:rPr>
          <w:rFonts w:eastAsia="仿宋"/>
        </w:rPr>
      </w:pPr>
      <w:bookmarkStart w:id="159" w:name="_Toc15396631"/>
      <w:bookmarkStart w:id="160" w:name="_Toc15513"/>
      <w:bookmarkStart w:id="161" w:name="_Toc1421"/>
      <w:r>
        <w:rPr>
          <w:rStyle w:val="28"/>
          <w:rFonts w:hint="eastAsia" w:ascii="仿宋" w:eastAsia="仿宋"/>
          <w:b/>
          <w:bCs/>
        </w:rPr>
        <w:t>十三、</w:t>
      </w:r>
      <w:bookmarkEnd w:id="159"/>
      <w:r>
        <w:rPr>
          <w:rStyle w:val="28"/>
          <w:rFonts w:hint="eastAsia" w:ascii="仿宋" w:eastAsia="仿宋"/>
          <w:b/>
          <w:bCs/>
        </w:rPr>
        <w:t>财政拨款“三公”经费支出决算表</w:t>
      </w:r>
      <w:bookmarkEnd w:id="160"/>
      <w:bookmarkEnd w:id="161"/>
    </w:p>
    <w:p w14:paraId="07160C91">
      <w:pPr>
        <w:spacing w:line="580" w:lineRule="exact"/>
        <w:ind w:firstLine="420" w:firstLineChars="200"/>
        <w:rPr>
          <w:rFonts w:eastAsia="仿宋"/>
        </w:rPr>
      </w:pPr>
    </w:p>
    <w:sectPr>
      <w:headerReference r:id="rId3" w:type="default"/>
      <w:footerReference r:id="rId4" w:type="default"/>
      <w:pgSz w:w="11906" w:h="16838"/>
      <w:pgMar w:top="1440" w:right="1797" w:bottom="1440"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2075462"/>
    </w:sdtPr>
    <w:sdtContent>
      <w:p w14:paraId="6043C681">
        <w:pPr>
          <w:pStyle w:val="15"/>
          <w:jc w:val="center"/>
        </w:pPr>
        <w:r>
          <w:fldChar w:fldCharType="begin"/>
        </w:r>
        <w:r>
          <w:instrText xml:space="preserve">PAGE   \* MERGEFORMAT</w:instrText>
        </w:r>
        <w:r>
          <w:fldChar w:fldCharType="separate"/>
        </w:r>
        <w:r>
          <w:rPr>
            <w:lang w:val="zh-CN"/>
          </w:rPr>
          <w:t>34</w:t>
        </w:r>
        <w:r>
          <w:rPr>
            <w:lang w:val="zh-CN"/>
          </w:rPr>
          <w:fldChar w:fldCharType="end"/>
        </w:r>
      </w:p>
    </w:sdtContent>
  </w:sdt>
  <w:p w14:paraId="55896F00">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C241B">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A35D2"/>
    <w:multiLevelType w:val="singleLevel"/>
    <w:tmpl w:val="A9DA35D2"/>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2">
    <w:nsid w:val="D553E6CB"/>
    <w:multiLevelType w:val="singleLevel"/>
    <w:tmpl w:val="D553E6CB"/>
    <w:lvl w:ilvl="0" w:tentative="0">
      <w:start w:val="1"/>
      <w:numFmt w:val="decimal"/>
      <w:lvlText w:val="%1."/>
      <w:lvlJc w:val="left"/>
      <w:pPr>
        <w:ind w:left="0" w:firstLine="0"/>
      </w:pPr>
    </w:lvl>
  </w:abstractNum>
  <w:abstractNum w:abstractNumId="3">
    <w:nsid w:val="DEBEF323"/>
    <w:multiLevelType w:val="singleLevel"/>
    <w:tmpl w:val="DEBEF323"/>
    <w:lvl w:ilvl="0" w:tentative="0">
      <w:start w:val="4"/>
      <w:numFmt w:val="chineseCounting"/>
      <w:suff w:val="nothing"/>
      <w:lvlText w:val="（%1）"/>
      <w:lvlJc w:val="left"/>
      <w:pPr>
        <w:ind w:left="0" w:firstLine="0"/>
      </w:pPr>
      <w:rPr>
        <w:rFonts w:hint="eastAsia"/>
      </w:rPr>
    </w:lvl>
  </w:abstractNum>
  <w:abstractNum w:abstractNumId="4">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5">
    <w:nsid w:val="FBFE7596"/>
    <w:multiLevelType w:val="singleLevel"/>
    <w:tmpl w:val="FBFE7596"/>
    <w:lvl w:ilvl="0" w:tentative="0">
      <w:start w:val="2"/>
      <w:numFmt w:val="decimal"/>
      <w:lvlText w:val="%1."/>
      <w:lvlJc w:val="left"/>
      <w:pPr>
        <w:ind w:left="0" w:firstLine="0"/>
      </w:p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6"/>
  </w:num>
  <w:num w:numId="2">
    <w:abstractNumId w:val="1"/>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9FF31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7"/>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8"/>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uiPriority w:val="0"/>
    <w:pPr>
      <w:keepNext/>
      <w:keepLines/>
      <w:widowControl w:val="0"/>
      <w:spacing w:before="260" w:after="260" w:line="415" w:lineRule="auto"/>
      <w:outlineLvl w:val="2"/>
    </w:pPr>
    <w:rPr>
      <w:b/>
      <w:bCs/>
      <w:sz w:val="32"/>
      <w:szCs w:val="32"/>
    </w:rPr>
  </w:style>
  <w:style w:type="character" w:default="1" w:styleId="24">
    <w:name w:val="Default Paragraph Font"/>
    <w:uiPriority w:val="0"/>
  </w:style>
  <w:style w:type="table" w:default="1" w:styleId="23">
    <w:name w:val="Normal Table"/>
    <w:semiHidden/>
    <w:uiPriority w:val="0"/>
    <w:tblPr>
      <w:tblCellMar>
        <w:top w:w="0" w:type="dxa"/>
        <w:left w:w="108" w:type="dxa"/>
        <w:bottom w:w="0" w:type="dxa"/>
        <w:right w:w="108" w:type="dxa"/>
      </w:tblCellMar>
    </w:tblPr>
  </w:style>
  <w:style w:type="paragraph" w:styleId="2">
    <w:name w:val="footnote text"/>
    <w:basedOn w:val="1"/>
    <w:next w:val="3"/>
    <w:uiPriority w:val="0"/>
    <w:pPr>
      <w:snapToGrid w:val="0"/>
      <w:jc w:val="left"/>
    </w:pPr>
    <w:rPr>
      <w:sz w:val="18"/>
      <w:szCs w:val="18"/>
    </w:rPr>
  </w:style>
  <w:style w:type="paragraph" w:styleId="3">
    <w:name w:val="Body Text First Indent 2"/>
    <w:basedOn w:val="4"/>
    <w:qFormat/>
    <w:uiPriority w:val="0"/>
    <w:pPr>
      <w:ind w:firstLine="200" w:firstLineChars="200"/>
    </w:pPr>
  </w:style>
  <w:style w:type="paragraph" w:styleId="4">
    <w:name w:val="Body Text Indent"/>
    <w:basedOn w:val="1"/>
    <w:next w:val="3"/>
    <w:uiPriority w:val="0"/>
    <w:pPr>
      <w:spacing w:after="120"/>
      <w:ind w:left="200" w:leftChars="200"/>
    </w:pPr>
    <w:rPr>
      <w:rFonts w:ascii="仿宋_GB2312" w:hAnsi="仿宋_GB2312"/>
      <w:szCs w:val="32"/>
    </w:rPr>
  </w:style>
  <w:style w:type="paragraph" w:styleId="8">
    <w:name w:val="toc 7"/>
    <w:basedOn w:val="1"/>
    <w:next w:val="1"/>
    <w:uiPriority w:val="0"/>
    <w:pPr>
      <w:ind w:left="1260"/>
      <w:jc w:val="left"/>
    </w:pPr>
    <w:rPr>
      <w:rFonts w:ascii="Calibri" w:hAnsi="Calibri" w:eastAsia="Calibri"/>
      <w:sz w:val="18"/>
      <w:szCs w:val="18"/>
    </w:rPr>
  </w:style>
  <w:style w:type="paragraph" w:styleId="9">
    <w:name w:val="Document Map"/>
    <w:basedOn w:val="1"/>
    <w:qFormat/>
    <w:uiPriority w:val="0"/>
    <w:rPr>
      <w:rFonts w:ascii="宋体"/>
      <w:sz w:val="18"/>
      <w:szCs w:val="18"/>
    </w:rPr>
  </w:style>
  <w:style w:type="paragraph" w:styleId="10">
    <w:name w:val="Body Text"/>
    <w:basedOn w:val="1"/>
    <w:uiPriority w:val="0"/>
    <w:pPr>
      <w:spacing w:before="30" w:beforeLines="30"/>
    </w:pPr>
    <w:rPr>
      <w:rFonts w:ascii="仿宋_GB2312" w:eastAsia="仿宋_GB2312"/>
      <w:kern w:val="0"/>
      <w:sz w:val="30"/>
    </w:rPr>
  </w:style>
  <w:style w:type="paragraph" w:styleId="11">
    <w:name w:val="toc 5"/>
    <w:basedOn w:val="1"/>
    <w:next w:val="1"/>
    <w:uiPriority w:val="0"/>
    <w:pPr>
      <w:ind w:left="840"/>
      <w:jc w:val="left"/>
    </w:pPr>
    <w:rPr>
      <w:rFonts w:ascii="Calibri" w:hAnsi="Calibri" w:eastAsia="Calibri"/>
      <w:sz w:val="18"/>
      <w:szCs w:val="18"/>
    </w:rPr>
  </w:style>
  <w:style w:type="paragraph" w:styleId="12">
    <w:name w:val="toc 3"/>
    <w:basedOn w:val="1"/>
    <w:next w:val="1"/>
    <w:uiPriority w:val="0"/>
    <w:pPr>
      <w:tabs>
        <w:tab w:val="right" w:leader="dot" w:pos="8296"/>
      </w:tabs>
      <w:ind w:left="400" w:leftChars="400"/>
    </w:pPr>
  </w:style>
  <w:style w:type="paragraph" w:styleId="13">
    <w:name w:val="toc 8"/>
    <w:basedOn w:val="1"/>
    <w:next w:val="1"/>
    <w:uiPriority w:val="0"/>
    <w:pPr>
      <w:ind w:left="1470"/>
      <w:jc w:val="left"/>
    </w:pPr>
    <w:rPr>
      <w:rFonts w:ascii="Calibri" w:hAnsi="Calibri" w:eastAsia="Calibri"/>
      <w:sz w:val="18"/>
      <w:szCs w:val="18"/>
    </w:rPr>
  </w:style>
  <w:style w:type="paragraph" w:styleId="14">
    <w:name w:val="Balloon Text"/>
    <w:basedOn w:val="1"/>
    <w:uiPriority w:val="0"/>
    <w:rPr>
      <w:sz w:val="18"/>
      <w:szCs w:val="18"/>
    </w:rPr>
  </w:style>
  <w:style w:type="paragraph" w:styleId="15">
    <w:name w:val="footer"/>
    <w:basedOn w:val="1"/>
    <w:uiPriority w:val="0"/>
    <w:pPr>
      <w:tabs>
        <w:tab w:val="center" w:pos="4153"/>
        <w:tab w:val="right" w:pos="8306"/>
      </w:tabs>
      <w:snapToGrid w:val="0"/>
      <w:jc w:val="left"/>
    </w:pPr>
    <w:rPr>
      <w:rFonts w:ascii="Calibri" w:hAnsi="Calibri"/>
      <w:kern w:val="0"/>
      <w:sz w:val="18"/>
      <w:szCs w:val="18"/>
    </w:rPr>
  </w:style>
  <w:style w:type="paragraph" w:styleId="16">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7">
    <w:name w:val="toc 1"/>
    <w:basedOn w:val="1"/>
    <w:next w:val="1"/>
    <w:uiPriority w:val="0"/>
    <w:pPr>
      <w:tabs>
        <w:tab w:val="right" w:leader="dot" w:pos="8296"/>
      </w:tabs>
      <w:spacing w:before="93"/>
      <w:jc w:val="center"/>
    </w:pPr>
    <w:rPr>
      <w:rFonts w:ascii="仿宋" w:eastAsia="仿宋"/>
      <w:sz w:val="28"/>
      <w:szCs w:val="28"/>
    </w:rPr>
  </w:style>
  <w:style w:type="paragraph" w:styleId="18">
    <w:name w:val="toc 4"/>
    <w:basedOn w:val="1"/>
    <w:next w:val="1"/>
    <w:uiPriority w:val="0"/>
    <w:pPr>
      <w:ind w:left="630"/>
      <w:jc w:val="left"/>
    </w:pPr>
    <w:rPr>
      <w:rFonts w:ascii="Calibri" w:hAnsi="Calibri" w:eastAsia="Calibri"/>
      <w:sz w:val="18"/>
      <w:szCs w:val="18"/>
    </w:rPr>
  </w:style>
  <w:style w:type="paragraph" w:styleId="19">
    <w:name w:val="toc 6"/>
    <w:basedOn w:val="1"/>
    <w:next w:val="1"/>
    <w:qFormat/>
    <w:uiPriority w:val="0"/>
    <w:pPr>
      <w:ind w:left="1050"/>
      <w:jc w:val="left"/>
    </w:pPr>
    <w:rPr>
      <w:rFonts w:ascii="Calibri" w:hAnsi="Calibri" w:eastAsia="Calibri"/>
      <w:sz w:val="18"/>
      <w:szCs w:val="18"/>
    </w:rPr>
  </w:style>
  <w:style w:type="paragraph" w:styleId="20">
    <w:name w:val="toc 2"/>
    <w:basedOn w:val="1"/>
    <w:next w:val="1"/>
    <w:uiPriority w:val="0"/>
    <w:pPr>
      <w:tabs>
        <w:tab w:val="right" w:leader="dot" w:pos="8296"/>
      </w:tabs>
      <w:ind w:left="200" w:leftChars="200"/>
    </w:pPr>
  </w:style>
  <w:style w:type="paragraph" w:styleId="21">
    <w:name w:val="toc 9"/>
    <w:basedOn w:val="1"/>
    <w:next w:val="1"/>
    <w:uiPriority w:val="0"/>
    <w:pPr>
      <w:ind w:left="1680"/>
      <w:jc w:val="left"/>
    </w:pPr>
    <w:rPr>
      <w:rFonts w:ascii="Calibri" w:hAnsi="Calibri" w:eastAsia="Calibri"/>
      <w:sz w:val="18"/>
      <w:szCs w:val="18"/>
    </w:rPr>
  </w:style>
  <w:style w:type="paragraph" w:styleId="22">
    <w:name w:val="Normal (Web)"/>
    <w:basedOn w:val="1"/>
    <w:uiPriority w:val="0"/>
    <w:pPr>
      <w:widowControl/>
      <w:spacing w:before="100" w:beforeAutospacing="1" w:after="100" w:afterAutospacing="1"/>
      <w:jc w:val="left"/>
    </w:pPr>
    <w:rPr>
      <w:rFonts w:ascii="宋体" w:cs="宋体"/>
      <w:kern w:val="0"/>
      <w:sz w:val="24"/>
    </w:rPr>
  </w:style>
  <w:style w:type="character" w:styleId="25">
    <w:name w:val="Strong"/>
    <w:basedOn w:val="24"/>
    <w:uiPriority w:val="0"/>
    <w:rPr>
      <w:b/>
    </w:rPr>
  </w:style>
  <w:style w:type="character" w:styleId="26">
    <w:name w:val="Hyperlink"/>
    <w:basedOn w:val="24"/>
    <w:uiPriority w:val="0"/>
    <w:rPr>
      <w:color w:val="0000FF"/>
      <w:u w:val="single"/>
    </w:rPr>
  </w:style>
  <w:style w:type="character" w:customStyle="1" w:styleId="27">
    <w:name w:val="heading 1 Char"/>
    <w:basedOn w:val="24"/>
    <w:link w:val="5"/>
    <w:uiPriority w:val="0"/>
    <w:rPr>
      <w:rFonts w:ascii="Times New Roman" w:hAnsi="Times New Roman" w:eastAsia="宋体" w:cs="Times New Roman"/>
      <w:b/>
      <w:bCs/>
      <w:kern w:val="44"/>
      <w:sz w:val="44"/>
      <w:szCs w:val="44"/>
      <w:lang w:val="en-US" w:eastAsia="zh-CN" w:bidi="ar-SA"/>
    </w:rPr>
  </w:style>
  <w:style w:type="character" w:customStyle="1" w:styleId="28">
    <w:name w:val="heading 2 Char"/>
    <w:basedOn w:val="24"/>
    <w:link w:val="6"/>
    <w:uiPriority w:val="0"/>
    <w:rPr>
      <w:rFonts w:ascii="Cambria" w:hAnsi="Cambria" w:eastAsia="宋体" w:cs="Times New Roman"/>
      <w:b/>
      <w:bCs/>
      <w:kern w:val="2"/>
      <w:sz w:val="32"/>
      <w:szCs w:val="32"/>
      <w:lang w:val="en-US" w:eastAsia="zh-CN" w:bidi="ar-SA"/>
    </w:rPr>
  </w:style>
  <w:style w:type="paragraph" w:customStyle="1" w:styleId="29">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30">
    <w:name w:val="Header Char"/>
    <w:basedOn w:val="24"/>
    <w:uiPriority w:val="0"/>
    <w:rPr>
      <w:rFonts w:ascii="Times New Roman" w:hAnsi="Times New Roman"/>
      <w:sz w:val="18"/>
      <w:szCs w:val="18"/>
    </w:rPr>
  </w:style>
  <w:style w:type="character" w:customStyle="1" w:styleId="31">
    <w:name w:val="Footer Char"/>
    <w:basedOn w:val="24"/>
    <w:uiPriority w:val="0"/>
    <w:rPr>
      <w:rFonts w:ascii="Times New Roman" w:hAnsi="Times New Roman"/>
      <w:sz w:val="18"/>
      <w:szCs w:val="18"/>
    </w:rPr>
  </w:style>
  <w:style w:type="character" w:customStyle="1" w:styleId="32">
    <w:name w:val="Body Text Char"/>
    <w:basedOn w:val="24"/>
    <w:uiPriority w:val="0"/>
    <w:rPr>
      <w:rFonts w:ascii="Times New Roman" w:hAnsi="Times New Roman"/>
      <w:szCs w:val="24"/>
    </w:rPr>
  </w:style>
  <w:style w:type="paragraph" w:customStyle="1" w:styleId="33">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4">
    <w:name w:val="List Paragraph"/>
    <w:basedOn w:val="1"/>
    <w:uiPriority w:val="0"/>
    <w:pPr>
      <w:ind w:firstLine="200" w:firstLineChars="200"/>
    </w:pPr>
  </w:style>
  <w:style w:type="paragraph" w:customStyle="1" w:styleId="35">
    <w:name w:val="TOC 标题1"/>
    <w:basedOn w:val="5"/>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6">
    <w:name w:val="TOC 标题2"/>
    <w:basedOn w:val="5"/>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7">
    <w:name w:val="四号正文"/>
    <w:basedOn w:val="1"/>
    <w:uiPriority w:val="0"/>
    <w:pPr>
      <w:spacing w:line="360" w:lineRule="auto"/>
    </w:pPr>
    <w:rPr>
      <w:rFonts w:ascii="??" w:hAnsi="??"/>
      <w:color w:val="000000"/>
      <w:kern w:val="0"/>
      <w:sz w:val="28"/>
      <w:szCs w:val="21"/>
      <w:lang w:val="zh-CN"/>
    </w:rPr>
  </w:style>
  <w:style w:type="paragraph" w:customStyle="1" w:styleId="38">
    <w:name w:val="列表段落1"/>
    <w:basedOn w:val="1"/>
    <w:uiPriority w:val="0"/>
    <w:pPr>
      <w:ind w:firstLine="200" w:firstLineChars="200"/>
    </w:pPr>
  </w:style>
  <w:style w:type="paragraph" w:customStyle="1" w:styleId="39">
    <w:name w:val="TOC Heading1"/>
    <w:basedOn w:val="5"/>
    <w:next w:val="1"/>
    <w:uiPriority w:val="0"/>
    <w:pPr>
      <w:keepNext/>
      <w:keepLines/>
      <w:widowControl/>
      <w:spacing w:before="480" w:after="0" w:line="276" w:lineRule="auto"/>
      <w:jc w:val="left"/>
      <w:outlineLvl w:val="9"/>
    </w:pPr>
    <w:rPr>
      <w:rFonts w:ascii="Cambria" w:hAnsi="Cambria"/>
      <w:color w:val="365F91"/>
      <w:kern w:val="0"/>
      <w:sz w:val="28"/>
      <w:szCs w:val="28"/>
    </w:rPr>
  </w:style>
  <w:style w:type="character" w:customStyle="1" w:styleId="40">
    <w:name w:val="font01"/>
    <w:basedOn w:val="24"/>
    <w:uiPriority w:val="0"/>
    <w:rPr>
      <w:rFonts w:ascii="宋体" w:eastAsia="宋体"/>
      <w:color w:val="000000"/>
      <w:sz w:val="20"/>
      <w:szCs w:val="20"/>
      <w:u w:val="none"/>
    </w:rPr>
  </w:style>
  <w:style w:type="character" w:customStyle="1" w:styleId="41">
    <w:name w:val="font41"/>
    <w:basedOn w:val="24"/>
    <w:uiPriority w:val="0"/>
    <w:rPr>
      <w:rFonts w:ascii="宋体" w:eastAsia="宋体"/>
      <w:color w:val="000000"/>
      <w:sz w:val="20"/>
      <w:szCs w:val="20"/>
      <w:u w:val="none"/>
    </w:rPr>
  </w:style>
  <w:style w:type="character" w:customStyle="1" w:styleId="42">
    <w:name w:val="font11"/>
    <w:basedOn w:val="24"/>
    <w:uiPriority w:val="0"/>
    <w:rPr>
      <w:rFonts w:ascii="宋体" w:eastAsia="宋体"/>
      <w:color w:val="000000"/>
      <w:sz w:val="20"/>
      <w:szCs w:val="20"/>
      <w:u w:val="none"/>
    </w:rPr>
  </w:style>
  <w:style w:type="character" w:customStyle="1" w:styleId="43">
    <w:name w:val="font61"/>
    <w:basedOn w:val="24"/>
    <w:uiPriority w:val="0"/>
    <w:rPr>
      <w:rFonts w:ascii="宋体" w:eastAsia="宋体"/>
      <w:color w:val="000000"/>
      <w:sz w:val="20"/>
      <w:szCs w:val="20"/>
      <w:u w:val="none"/>
    </w:rPr>
  </w:style>
  <w:style w:type="paragraph" w:customStyle="1" w:styleId="44">
    <w:name w:val="Char Char Char Char Char Char Char"/>
    <w:basedOn w:val="1"/>
    <w:uiPriority w:val="0"/>
    <w:pPr>
      <w:spacing w:before="300" w:after="300" w:line="560" w:lineRule="exact"/>
    </w:pPr>
  </w:style>
  <w:style w:type="character" w:customStyle="1" w:styleId="45">
    <w:name w:val="font21"/>
    <w:basedOn w:val="24"/>
    <w:uiPriority w:val="0"/>
    <w:rPr>
      <w:rFonts w:ascii="宋体" w:eastAsia="宋体"/>
      <w:color w:val="000000"/>
      <w:sz w:val="20"/>
      <w:szCs w:val="20"/>
      <w:u w:val="none"/>
    </w:rPr>
  </w:style>
  <w:style w:type="character" w:customStyle="1" w:styleId="46">
    <w:name w:val="font91"/>
    <w:basedOn w:val="24"/>
    <w:uiPriority w:val="0"/>
    <w:rPr>
      <w:rFonts w:ascii="宋体" w:eastAsia="宋体"/>
      <w:color w:val="000000"/>
      <w:sz w:val="16"/>
      <w:szCs w:val="16"/>
      <w:u w:val="none"/>
    </w:rPr>
  </w:style>
  <w:style w:type="character" w:customStyle="1" w:styleId="47">
    <w:name w:val="font71"/>
    <w:basedOn w:val="24"/>
    <w:uiPriority w:val="0"/>
    <w:rPr>
      <w:rFonts w:ascii="宋体" w:eastAsia="宋体"/>
      <w:color w:val="000000"/>
      <w:sz w:val="20"/>
      <w:szCs w:val="20"/>
      <w:u w:val="none"/>
    </w:rPr>
  </w:style>
  <w:style w:type="paragraph" w:customStyle="1" w:styleId="48">
    <w:name w:val="修订1"/>
    <w:uiPriority w:val="0"/>
    <w:rPr>
      <w:rFonts w:ascii="Times New Roman" w:hAnsi="Times New Roman" w:eastAsia="宋体" w:cs="Times New Roman"/>
      <w:kern w:val="2"/>
      <w:sz w:val="21"/>
      <w:szCs w:val="24"/>
      <w:lang w:val="en-US" w:eastAsia="zh-CN" w:bidi="ar-SA"/>
    </w:rPr>
  </w:style>
  <w:style w:type="paragraph" w:customStyle="1" w:styleId="49">
    <w:name w:val="列出段落1"/>
    <w:basedOn w:val="1"/>
    <w:uiPriority w:val="0"/>
    <w:pPr>
      <w:ind w:firstLine="200" w:firstLineChars="200"/>
    </w:pPr>
    <w:rPr>
      <w:rFonts w:ascii="Calibri" w:hAnsi="Calibri"/>
      <w:sz w:val="32"/>
      <w:szCs w:val="32"/>
    </w:rPr>
  </w:style>
  <w:style w:type="character" w:customStyle="1" w:styleId="50">
    <w:name w:val="font51"/>
    <w:basedOn w:val="24"/>
    <w:uiPriority w:val="0"/>
    <w:rPr>
      <w:rFonts w:ascii="宋体" w:eastAsia="宋体" w:cs="宋体"/>
      <w:color w:val="000000"/>
      <w:sz w:val="20"/>
      <w:szCs w:val="20"/>
      <w:u w:val="none"/>
    </w:rPr>
  </w:style>
  <w:style w:type="character" w:customStyle="1" w:styleId="51">
    <w:name w:val="font121"/>
    <w:basedOn w:val="24"/>
    <w:uiPriority w:val="0"/>
    <w:rPr>
      <w:rFonts w:ascii="宋体" w:eastAsia="宋体" w:cs="宋体"/>
      <w:color w:val="000000"/>
      <w:sz w:val="20"/>
      <w:szCs w:val="20"/>
      <w:u w:val="none"/>
    </w:rPr>
  </w:style>
  <w:style w:type="character" w:customStyle="1" w:styleId="52">
    <w:name w:val="font131"/>
    <w:basedOn w:val="24"/>
    <w:uiPriority w:val="0"/>
    <w:rPr>
      <w:rFonts w:ascii="宋体" w:eastAsia="宋体" w:cs="宋体"/>
      <w:color w:val="000000"/>
      <w:sz w:val="20"/>
      <w:szCs w:val="20"/>
      <w:u w:val="none"/>
    </w:rPr>
  </w:style>
  <w:style w:type="character" w:customStyle="1" w:styleId="53">
    <w:name w:val="font112"/>
    <w:basedOn w:val="24"/>
    <w:uiPriority w:val="0"/>
    <w:rPr>
      <w:rFonts w:ascii="宋体" w:eastAsia="宋体" w:cs="宋体"/>
      <w:b/>
      <w:color w:val="000000"/>
      <w:sz w:val="32"/>
      <w:szCs w:val="32"/>
      <w:u w:val="none"/>
    </w:rPr>
  </w:style>
  <w:style w:type="character" w:customStyle="1" w:styleId="54">
    <w:name w:val="font171"/>
    <w:basedOn w:val="24"/>
    <w:uiPriority w:val="0"/>
    <w:rPr>
      <w:rFonts w:ascii="宋体" w:eastAsia="宋体" w:cs="宋体"/>
      <w:color w:val="000000"/>
      <w:sz w:val="32"/>
      <w:szCs w:val="32"/>
      <w:u w:val="none"/>
    </w:rPr>
  </w:style>
  <w:style w:type="character" w:customStyle="1" w:styleId="55">
    <w:name w:val="font161"/>
    <w:basedOn w:val="24"/>
    <w:uiPriority w:val="0"/>
    <w:rPr>
      <w:rFonts w:ascii="宋体" w:eastAsia="宋体" w:cs="宋体"/>
      <w:color w:val="000000"/>
      <w:sz w:val="20"/>
      <w:szCs w:val="20"/>
      <w:u w:val="none"/>
    </w:rPr>
  </w:style>
  <w:style w:type="character" w:customStyle="1" w:styleId="56">
    <w:name w:val="font101"/>
    <w:basedOn w:val="24"/>
    <w:uiPriority w:val="0"/>
    <w:rPr>
      <w:rFonts w:ascii="宋体" w:eastAsia="宋体" w:cs="宋体"/>
      <w:color w:val="000000"/>
      <w:sz w:val="18"/>
      <w:szCs w:val="18"/>
      <w:u w:val="none"/>
    </w:rPr>
  </w:style>
  <w:style w:type="character" w:customStyle="1" w:styleId="57">
    <w:name w:val="font31"/>
    <w:basedOn w:val="24"/>
    <w:uiPriority w:val="0"/>
    <w:rPr>
      <w:rFonts w:ascii="宋体" w:eastAsia="宋体" w:cs="宋体"/>
      <w:b/>
      <w:color w:val="000000"/>
      <w:sz w:val="32"/>
      <w:szCs w:val="32"/>
      <w:u w:val="none"/>
    </w:rPr>
  </w:style>
  <w:style w:type="character" w:customStyle="1" w:styleId="58">
    <w:name w:val="font191"/>
    <w:basedOn w:val="24"/>
    <w:uiPriority w:val="0"/>
    <w:rPr>
      <w:rFonts w:ascii="宋体" w:eastAsia="宋体" w:cs="宋体"/>
      <w:color w:val="000000"/>
      <w:sz w:val="12"/>
      <w:szCs w:val="12"/>
      <w:u w:val="none"/>
    </w:rPr>
  </w:style>
  <w:style w:type="character" w:customStyle="1" w:styleId="59">
    <w:name w:val="font81"/>
    <w:basedOn w:val="24"/>
    <w:uiPriority w:val="0"/>
    <w:rPr>
      <w:rFonts w:ascii="宋体" w:eastAsia="宋体" w:cs="宋体"/>
      <w:color w:val="000000"/>
      <w:sz w:val="20"/>
      <w:szCs w:val="20"/>
      <w:u w:val="none"/>
    </w:rPr>
  </w:style>
  <w:style w:type="character" w:customStyle="1" w:styleId="60">
    <w:name w:val="font12"/>
    <w:basedOn w:val="24"/>
    <w:uiPriority w:val="0"/>
    <w:rPr>
      <w:rFonts w:ascii="宋体" w:eastAsia="宋体" w:cs="宋体"/>
      <w:color w:val="000000"/>
      <w:sz w:val="12"/>
      <w:szCs w:val="12"/>
      <w:u w:val="none"/>
    </w:rPr>
  </w:style>
  <w:style w:type="paragraph" w:customStyle="1" w:styleId="61">
    <w:name w:val="WPSOffice手动目录 1"/>
    <w:uiPriority w:val="0"/>
    <w:rPr>
      <w:rFonts w:ascii="Times New Roman" w:hAnsi="Times New Roman" w:eastAsia="宋体" w:cs="Times New Roman"/>
      <w:sz w:val="20"/>
      <w:szCs w:val="20"/>
      <w:lang w:val="en-US" w:eastAsia="zh-CN" w:bidi="ar-SA"/>
    </w:rPr>
  </w:style>
  <w:style w:type="paragraph" w:customStyle="1" w:styleId="62">
    <w:name w:val="WPSOffice手动目录 2"/>
    <w:uiPriority w:val="0"/>
    <w:pPr>
      <w:ind w:left="200" w:leftChars="2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29</Pages>
  <Words>2482</Words>
  <Characters>2521</Characters>
  <Lines>837</Lines>
  <Paragraphs>336</Paragraphs>
  <TotalTime>15</TotalTime>
  <ScaleCrop>false</ScaleCrop>
  <LinksUpToDate>false</LinksUpToDate>
  <CharactersWithSpaces>2593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2023-10-20T09:13:00Z</dcterms:created>
  <dc:creator>曹颖</dc:creator>
  <cp:lastModifiedBy>囍NI如初</cp:lastModifiedBy>
  <cp:lastPrinted>2023-10-23T05:25:00Z</cp:lastPrinted>
  <dcterms:modified xsi:type="dcterms:W3CDTF">2026-07-03T07:40:21Z</dcterms:modified>
  <dc:title>四川省***</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eyJoZGlkIjoiYmEyMDkyOTI5NGEyNTNhMWUyMGMyYzllY2VkNzdmNjciLCJ1c2VySWQiOiI2NzEyODcxMDMifQ==</vt:lpwstr>
  </property>
  <property fmtid="{D5CDD505-2E9C-101B-9397-08002B2CF9AE}" pid="4" name="ICV">
    <vt:lpwstr>94D63FBE5A5840B794632D120FB029B7_12</vt:lpwstr>
  </property>
</Properties>
</file>