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auto"/>
          <w:sz w:val="72"/>
          <w:szCs w:val="72"/>
          <w:highlight w:val="auto"/>
        </w:rPr>
      </w:pPr>
      <w:bookmarkStart w:id="0" w:name="_Toc15396475"/>
      <w:bookmarkStart w:id="1" w:name="_Toc15377425"/>
      <w:bookmarkStart w:id="2" w:name="_Toc15396597"/>
      <w:bookmarkStart w:id="3" w:name="_Toc15378441"/>
      <w:bookmarkStart w:id="4" w:name="_Toc15377193"/>
      <w:bookmarkStart w:id="5" w:name="_Toc15306267"/>
    </w:p>
    <w:p>
      <w:pPr>
        <w:spacing w:line="600" w:lineRule="exact"/>
        <w:jc w:val="center"/>
        <w:outlineLvl w:val="0"/>
        <w:rPr>
          <w:rFonts w:ascii="方正小标宋简体" w:eastAsia="方正小标宋简体"/>
          <w:color w:val="auto"/>
          <w:sz w:val="72"/>
          <w:szCs w:val="72"/>
          <w:highlight w:val="auto"/>
        </w:rPr>
      </w:pPr>
    </w:p>
    <w:p>
      <w:pPr>
        <w:pStyle w:val="15"/>
        <w:rPr>
          <w:rFonts w:ascii="宋体" w:eastAsia="宋体" w:cs="宋体" w:hint="eastAsia"/>
          <w:color w:val="auto"/>
          <w:sz w:val="48"/>
          <w:szCs w:val="48"/>
          <w:highlight w:val="auto"/>
        </w:rPr>
      </w:pP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outlineLvl w:val="0"/>
        <w:rPr>
          <w:rFonts w:ascii="方正小标宋_GBK" w:eastAsia="方正小标宋_GBK" w:cs="方正小标宋_GBK" w:hint="eastAsia"/>
          <w:color w:val="auto"/>
          <w:sz w:val="48"/>
          <w:szCs w:val="48"/>
          <w:highlight w:val="auto"/>
        </w:rPr>
      </w:pPr>
      <w:r>
        <w:rPr>
          <w:rFonts w:ascii="方正小标宋_GBK" w:eastAsia="方正小标宋_GBK" w:cs="方正小标宋_GBK" w:hint="eastAsia"/>
          <w:color w:val="auto"/>
          <w:sz w:val="48"/>
          <w:szCs w:val="48"/>
          <w:highlight w:val="auto"/>
        </w:rPr>
        <w:t>20</w:t>
      </w:r>
      <w:r>
        <w:rPr>
          <w:rFonts w:ascii="方正小标宋_GBK" w:eastAsia="方正小标宋_GBK" w:cs="方正小标宋_GBK" w:hint="eastAsia"/>
          <w:color w:val="auto"/>
          <w:sz w:val="48"/>
          <w:szCs w:val="48"/>
          <w:lang w:val="en-US" w:eastAsia="zh-CN"/>
          <w:highlight w:val="auto"/>
        </w:rPr>
        <w:t>22</w:t>
      </w:r>
      <w:r>
        <w:rPr>
          <w:rFonts w:ascii="方正小标宋_GBK" w:eastAsia="方正小标宋_GBK" w:cs="方正小标宋_GBK" w:hint="eastAsia"/>
          <w:color w:val="auto"/>
          <w:sz w:val="48"/>
          <w:szCs w:val="48"/>
          <w:highlight w:val="auto"/>
        </w:rPr>
        <w:t>年度</w:t>
      </w:r>
      <w:bookmarkEnd w:id="0"/>
      <w:bookmarkEnd w:id="1"/>
      <w:bookmarkEnd w:id="2"/>
      <w:bookmarkEnd w:id="3"/>
      <w:bookmarkEnd w:id="4"/>
    </w:p>
    <w:p>
      <w:pPr>
        <w:keepNext w:val="0"/>
        <w:keepLines w:val="0"/>
        <w:pageBreakBefore w:val="0"/>
        <w:widowControl w:val="0"/>
        <w:kinsoku/>
        <w:wordWrap/>
        <w:overflowPunct/>
        <w:topLinePunct w:val="0"/>
        <w:autoSpaceDE/>
        <w:autoSpaceDN/>
        <w:bidi w:val="0"/>
        <w:spacing w:line="700" w:lineRule="exact"/>
        <w:jc w:val="center"/>
        <w:textAlignment w:val="auto"/>
        <w:rPr>
          <w:rFonts w:ascii="方正小标宋_GBK" w:eastAsia="方正小标宋_GBK" w:cs="方正小标宋_GBK" w:hint="eastAsia"/>
          <w:sz w:val="48"/>
          <w:szCs w:val="48"/>
          <w:lang w:val="en-US" w:eastAsia="zh-CN"/>
        </w:rPr>
      </w:pPr>
      <w:bookmarkStart w:id="6" w:name="_Toc15377426"/>
      <w:bookmarkStart w:id="7" w:name="_Toc15396476"/>
      <w:bookmarkStart w:id="8" w:name="_Toc15378442"/>
      <w:bookmarkStart w:id="9" w:name="_Toc15377194"/>
      <w:bookmarkStart w:id="10" w:name="_Toc15306268"/>
      <w:bookmarkStart w:id="11" w:name="_Toc15396598"/>
      <w:bookmarkEnd w:id="5"/>
      <w:r>
        <w:rPr>
          <w:rFonts w:ascii="方正小标宋_GBK" w:eastAsia="方正小标宋_GBK" w:cs="方正小标宋_GBK" w:hint="eastAsia"/>
          <w:sz w:val="48"/>
          <w:szCs w:val="48"/>
        </w:rPr>
        <w:t>阿坝州壤塘县</w:t>
      </w:r>
      <w:r>
        <w:rPr>
          <w:rFonts w:ascii="方正小标宋_GBK" w:eastAsia="方正小标宋_GBK" w:cs="方正小标宋_GBK" w:hint="eastAsia"/>
          <w:sz w:val="48"/>
          <w:szCs w:val="48"/>
          <w:lang w:val="en-US" w:eastAsia="zh-CN"/>
        </w:rPr>
        <w:t>科学技术和农业畜牧局</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outlineLvl w:val="0"/>
        <w:rPr>
          <w:rFonts w:ascii="方正小标宋_GBK" w:eastAsia="方正小标宋_GBK" w:cs="方正小标宋_GBK" w:hint="eastAsia"/>
          <w:color w:val="auto"/>
          <w:sz w:val="48"/>
          <w:szCs w:val="48"/>
          <w:lang w:val="en-US" w:eastAsia="zh-CN"/>
          <w:highlight w:val="auto"/>
        </w:rPr>
      </w:pPr>
      <w:r>
        <w:rPr>
          <w:rFonts w:ascii="方正小标宋_GBK" w:eastAsia="方正小标宋_GBK" w:cs="方正小标宋_GBK" w:hint="eastAsia"/>
          <w:color w:val="auto"/>
          <w:sz w:val="48"/>
          <w:szCs w:val="48"/>
          <w:highlight w:val="auto"/>
        </w:rPr>
        <w:t>决算</w:t>
      </w:r>
      <w:bookmarkEnd w:id="6"/>
      <w:bookmarkEnd w:id="7"/>
      <w:bookmarkEnd w:id="8"/>
      <w:bookmarkEnd w:id="9"/>
      <w:bookmarkEnd w:id="10"/>
      <w:bookmarkEnd w:id="11"/>
      <w:r>
        <w:rPr>
          <w:rFonts w:ascii="方正小标宋_GBK" w:eastAsia="方正小标宋_GBK" w:cs="方正小标宋_GBK" w:hint="eastAsia"/>
          <w:color w:val="auto"/>
          <w:sz w:val="48"/>
          <w:szCs w:val="48"/>
          <w:lang w:val="en-US" w:eastAsia="zh-CN"/>
          <w:highlight w:val="auto"/>
        </w:rPr>
        <w:t>公开</w:t>
      </w:r>
    </w:p>
    <w:p>
      <w:pPr>
        <w:widowControl/>
        <w:jc w:val="center"/>
        <w:rPr>
          <w:rFonts w:ascii="方正小标宋简体" w:eastAsia="方正小标宋简体"/>
          <w:color w:val="auto"/>
          <w:sz w:val="36"/>
          <w:szCs w:val="36"/>
          <w:highlight w:val="auto"/>
        </w:rPr>
      </w:pPr>
    </w:p>
    <w:p>
      <w:pPr>
        <w:widowControl/>
        <w:jc w:val="center"/>
        <w:rPr>
          <w:rFonts w:ascii="方正小标宋简体" w:eastAsia="方正小标宋简体"/>
          <w:color w:val="auto"/>
          <w:sz w:val="36"/>
          <w:szCs w:val="36"/>
          <w:highlight w:val="auto"/>
        </w:rPr>
      </w:pPr>
    </w:p>
    <w:p>
      <w:pPr>
        <w:widowControl/>
        <w:jc w:val="center"/>
        <w:rPr>
          <w:rFonts w:ascii="方正小标宋简体" w:eastAsia="方正小标宋简体"/>
          <w:color w:val="auto"/>
          <w:sz w:val="36"/>
          <w:szCs w:val="36"/>
          <w:highlight w:val="auto"/>
        </w:rPr>
      </w:pPr>
    </w:p>
    <w:p>
      <w:pPr>
        <w:widowControl/>
        <w:jc w:val="center"/>
        <w:rPr>
          <w:rFonts w:ascii="方正小标宋简体" w:eastAsia="方正小标宋简体"/>
          <w:color w:val="auto"/>
          <w:sz w:val="36"/>
          <w:szCs w:val="36"/>
          <w:highlight w:val="auto"/>
        </w:rPr>
      </w:pPr>
    </w:p>
    <w:p>
      <w:pPr>
        <w:widowControl/>
        <w:jc w:val="center"/>
        <w:rPr>
          <w:rFonts w:ascii="方正小标宋简体" w:eastAsia="方正小标宋简体"/>
          <w:color w:val="auto"/>
          <w:sz w:val="36"/>
          <w:szCs w:val="36"/>
          <w:highlight w:val="auto"/>
        </w:rPr>
      </w:pPr>
    </w:p>
    <w:p>
      <w:pPr>
        <w:widowControl/>
        <w:jc w:val="center"/>
        <w:rPr>
          <w:rFonts w:ascii="方正小标宋简体" w:eastAsia="方正小标宋简体"/>
          <w:color w:val="auto"/>
          <w:sz w:val="36"/>
          <w:szCs w:val="36"/>
          <w:highlight w:val="auto"/>
        </w:rPr>
      </w:pPr>
    </w:p>
    <w:p>
      <w:pPr>
        <w:widowControl/>
        <w:jc w:val="both"/>
        <w:rPr>
          <w:rFonts w:ascii="方正小标宋简体" w:eastAsia="方正小标宋简体"/>
          <w:color w:val="auto"/>
          <w:sz w:val="36"/>
          <w:szCs w:val="36"/>
          <w:highlight w:val="auto"/>
        </w:rPr>
      </w:pPr>
    </w:p>
    <w:p>
      <w:pPr>
        <w:widowControl/>
        <w:jc w:val="center"/>
        <w:rPr>
          <w:rFonts w:ascii="方正小标宋简体" w:eastAsia="方正小标宋简体"/>
          <w:color w:val="auto"/>
          <w:sz w:val="36"/>
          <w:szCs w:val="36"/>
          <w:highlight w:val="auto"/>
        </w:rPr>
      </w:pPr>
    </w:p>
    <w:p>
      <w:pPr>
        <w:autoSpaceDE w:val="0"/>
        <w:autoSpaceDN w:val="0"/>
        <w:adjustRightInd w:val="0"/>
        <w:ind w:leftChars="200" w:left="42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保密审查情况：已审查，内容审定</w:t>
      </w:r>
    </w:p>
    <w:p>
      <w:pPr>
        <w:autoSpaceDE w:val="0"/>
        <w:autoSpaceDN w:val="0"/>
        <w:adjustRightInd w:val="0"/>
        <w:ind w:leftChars="200" w:left="42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部门主要负责人审签情况：已审签，同意对外公开</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ascii="黑体" w:eastAsia="黑体" w:hint="eastAsia"/>
          <w:color w:val="auto"/>
          <w:sz w:val="44"/>
          <w:szCs w:val="44"/>
          <w:highlight w:val="auto"/>
        </w:rPr>
      </w:pPr>
      <w:r>
        <w:rPr>
          <w:rFonts w:ascii="方正小标宋简体" w:eastAsia="方正小标宋简体"/>
          <w:color w:val="auto"/>
          <w:sz w:val="36"/>
          <w:szCs w:val="36"/>
          <w:highlight w:val="auto"/>
        </w:rPr>
        <w:br w:type="page"/>
      </w:r>
      <w:r>
        <w:rPr>
          <w:rFonts w:ascii="黑体" w:eastAsia="黑体" w:hint="eastAsia"/>
          <w:color w:val="auto"/>
          <w:sz w:val="44"/>
          <w:szCs w:val="44"/>
          <w:highlight w:val="auto"/>
        </w:rPr>
        <w:t>目录</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before="0" w:line="560" w:lineRule="exact"/>
        <w:jc w:val="center"/>
        <w:textAlignment w:val="auto"/>
        <w:rPr>
          <w:rFonts w:hint="eastAsia"/>
          <w:color w:val="auto"/>
          <w:highlight w:val="auto"/>
        </w:rPr>
      </w:pP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before="0" w:line="560" w:lineRule="exact"/>
        <w:jc w:val="center"/>
        <w:textAlignment w:val="auto"/>
        <w:rPr>
          <w:rFonts w:ascii="仿宋_GB2312" w:eastAsia="仿宋_GB2312" w:cs="仿宋_GB2312" w:hint="eastAsia"/>
          <w:color w:val="auto"/>
          <w:sz w:val="30"/>
          <w:szCs w:val="30"/>
          <w:highlight w:val="auto"/>
        </w:rPr>
      </w:pPr>
      <w:r>
        <w:rPr>
          <w:rFonts w:ascii="仿宋_GB2312" w:eastAsia="仿宋_GB2312" w:cs="仿宋_GB2312" w:hint="eastAsia"/>
          <w:color w:val="auto"/>
          <w:sz w:val="30"/>
          <w:szCs w:val="30"/>
          <w:highlight w:val="auto"/>
        </w:rPr>
        <w:t>公开时间：20</w:t>
      </w:r>
      <w:r>
        <w:rPr>
          <w:rFonts w:ascii="仿宋_GB2312" w:eastAsia="仿宋_GB2312" w:cs="仿宋_GB2312" w:hint="eastAsia"/>
          <w:color w:val="auto"/>
          <w:sz w:val="30"/>
          <w:szCs w:val="30"/>
          <w:lang w:val="en-US" w:eastAsia="zh-CN"/>
          <w:highlight w:val="auto"/>
        </w:rPr>
        <w:t>23</w:t>
      </w:r>
      <w:r>
        <w:rPr>
          <w:rFonts w:ascii="仿宋_GB2312" w:eastAsia="仿宋_GB2312" w:cs="仿宋_GB2312" w:hint="eastAsia"/>
          <w:color w:val="auto"/>
          <w:sz w:val="30"/>
          <w:szCs w:val="30"/>
          <w:highlight w:val="auto"/>
        </w:rPr>
        <w:t>年</w:t>
      </w:r>
      <w:r>
        <w:rPr>
          <w:rFonts w:ascii="仿宋_GB2312" w:eastAsia="仿宋_GB2312" w:cs="仿宋_GB2312" w:hint="eastAsia"/>
          <w:color w:val="auto"/>
          <w:sz w:val="30"/>
          <w:szCs w:val="30"/>
          <w:lang w:val="en-US" w:eastAsia="zh-CN"/>
          <w:highlight w:val="auto"/>
        </w:rPr>
        <w:t>10</w:t>
      </w:r>
      <w:r>
        <w:rPr>
          <w:rFonts w:ascii="仿宋_GB2312" w:eastAsia="仿宋_GB2312" w:cs="仿宋_GB2312" w:hint="eastAsia"/>
          <w:color w:val="auto"/>
          <w:sz w:val="30"/>
          <w:szCs w:val="30"/>
          <w:highlight w:val="auto"/>
        </w:rPr>
        <w:t>月</w:t>
      </w:r>
      <w:r>
        <w:rPr>
          <w:rFonts w:ascii="仿宋_GB2312" w:eastAsia="仿宋_GB2312" w:cs="仿宋_GB2312" w:hint="eastAsia"/>
          <w:color w:val="auto"/>
          <w:sz w:val="30"/>
          <w:szCs w:val="30"/>
          <w:lang w:val="en-US" w:eastAsia="zh-CN"/>
          <w:highlight w:val="auto"/>
        </w:rPr>
        <w:t>18</w:t>
      </w:r>
      <w:r>
        <w:rPr>
          <w:rFonts w:ascii="仿宋_GB2312" w:eastAsia="仿宋_GB2312" w:cs="仿宋_GB2312" w:hint="eastAsia"/>
          <w:color w:val="auto"/>
          <w:sz w:val="30"/>
          <w:szCs w:val="30"/>
          <w:highlight w:val="auto"/>
        </w:rPr>
        <w:t>日</w:t>
      </w:r>
    </w:p>
    <w:p>
      <w:pPr>
        <w:rPr>
          <w:rFonts w:hint="eastAsia"/>
        </w:rPr>
      </w:pPr>
    </w:p>
    <w:p>
      <w:pPr>
        <w:rPr>
          <w:rFonts w:hint="eastAsia"/>
        </w:rPr>
      </w:pPr>
    </w:p>
    <w:p>
      <w:pPr>
        <w:pStyle w:val="22"/>
        <w:tabs>
          <w:tab w:val="right" w:leader="dot" w:pos="8296"/>
        </w:tabs>
        <w:adjustRightInd w:val="0"/>
        <w:snapToGrid w:val="0"/>
        <w:spacing w:before="0" w:line="440" w:lineRule="exact"/>
        <w:jc w:val="left"/>
        <w:rPr>
          <w:rFonts w:ascii="仿宋_GB2312" w:eastAsia="仿宋_GB2312" w:cs="仿宋_GB2312"/>
          <w:b w:val="0"/>
          <w:bCs w:val="0"/>
          <w:color w:val="auto"/>
          <w:sz w:val="28"/>
          <w:szCs w:val="28"/>
          <w:lang w:val="en-US" w:eastAsia="zh-CN"/>
          <w:highlight w:val="auto"/>
        </w:rPr>
      </w:pPr>
      <w:r>
        <w:rPr>
          <w:rFonts w:ascii="仿宋_GB2312" w:eastAsia="仿宋_GB2312" w:cs="仿宋_GB2312" w:hint="eastAsia"/>
          <w:b w:val="0"/>
          <w:bCs w:val="0"/>
          <w:color w:val="auto"/>
          <w:sz w:val="28"/>
          <w:szCs w:val="28"/>
          <w:highlight w:val="auto"/>
        </w:rPr>
        <w:t>第一部分 部门概况</w:t>
      </w:r>
      <w:r>
        <w:rPr>
          <w:rFonts w:ascii="仿宋_GB2312" w:eastAsia="仿宋_GB2312" w:cs="仿宋_GB2312" w:hint="eastAsia"/>
          <w:b w:val="0"/>
          <w:bCs w:val="0"/>
          <w:color w:val="auto"/>
          <w:sz w:val="28"/>
          <w:szCs w:val="28"/>
          <w:lang w:val="en-US" w:eastAsia="zh-CN"/>
          <w:highlight w:val="auto"/>
        </w:rPr>
        <w:t>............................................3</w:t>
      </w:r>
    </w:p>
    <w:p>
      <w:pPr>
        <w:pStyle w:val="24"/>
        <w:tabs>
          <w:tab w:val="right" w:leader="dot" w:pos="8296"/>
        </w:tabs>
        <w:adjustRightInd w:val="0"/>
        <w:snapToGrid w:val="0"/>
        <w:spacing w:line="440" w:lineRule="exact"/>
        <w:jc w:val="left"/>
        <w:rPr>
          <w:rFonts w:ascii="仿宋_GB2312" w:eastAsia="仿宋_GB2312" w:cs="仿宋_GB2312"/>
          <w:color w:val="auto"/>
          <w:sz w:val="28"/>
          <w:szCs w:val="28"/>
          <w:lang w:val="en-US" w:eastAsia="zh-CN"/>
          <w:highlight w:val="auto"/>
        </w:rPr>
      </w:pPr>
      <w:r>
        <w:rPr>
          <w:rFonts w:ascii="仿宋_GB2312" w:eastAsia="仿宋_GB2312" w:cs="仿宋_GB2312" w:hint="eastAsia"/>
          <w:color w:val="auto"/>
          <w:sz w:val="28"/>
          <w:szCs w:val="28"/>
          <w:highlight w:val="auto"/>
        </w:rPr>
        <w:t>一、</w:t>
      </w:r>
      <w:r>
        <w:rPr>
          <w:rFonts w:ascii="仿宋_GB2312" w:eastAsia="仿宋_GB2312" w:cs="仿宋_GB2312" w:hint="eastAsia"/>
          <w:color w:val="auto"/>
          <w:sz w:val="28"/>
          <w:szCs w:val="28"/>
          <w:lang w:eastAsia="zh-CN"/>
          <w:highlight w:val="auto"/>
        </w:rPr>
        <w:t>部门职责</w:t>
      </w:r>
      <w:r>
        <w:rPr>
          <w:rFonts w:ascii="仿宋_GB2312" w:eastAsia="仿宋_GB2312" w:cs="仿宋_GB2312" w:hint="eastAsia"/>
          <w:color w:val="auto"/>
          <w:sz w:val="28"/>
          <w:szCs w:val="28"/>
          <w:lang w:val="en-US" w:eastAsia="zh-CN"/>
          <w:highlight w:val="auto"/>
        </w:rPr>
        <w:t>..............................................3</w:t>
      </w:r>
      <w:r>
        <w:rPr>
          <w:rFonts w:ascii="仿宋_GB2312" w:eastAsia="仿宋_GB2312" w:cs="仿宋_GB2312" w:hint="eastAsia"/>
          <w:color w:val="auto"/>
          <w:sz w:val="28"/>
          <w:szCs w:val="28"/>
          <w:highlight w:val="auto"/>
        </w:rPr>
        <w:t>二、机构设置</w:t>
      </w:r>
      <w:r>
        <w:rPr>
          <w:rFonts w:ascii="仿宋_GB2312" w:eastAsia="仿宋_GB2312" w:cs="仿宋_GB2312" w:hint="eastAsia"/>
          <w:color w:val="auto"/>
          <w:sz w:val="28"/>
          <w:szCs w:val="28"/>
          <w:lang w:val="en-US" w:eastAsia="zh-CN"/>
          <w:highlight w:val="auto"/>
        </w:rPr>
        <w:t>..............................................8</w:t>
      </w:r>
    </w:p>
    <w:p>
      <w:pPr>
        <w:pStyle w:val="22"/>
        <w:tabs>
          <w:tab w:val="right" w:leader="dot" w:pos="8296"/>
        </w:tabs>
        <w:adjustRightInd w:val="0"/>
        <w:snapToGrid w:val="0"/>
        <w:spacing w:before="0" w:line="440" w:lineRule="exact"/>
        <w:jc w:val="left"/>
        <w:rPr>
          <w:rFonts w:ascii="仿宋_GB2312" w:eastAsia="仿宋_GB2312" w:cs="仿宋_GB2312"/>
          <w:b w:val="0"/>
          <w:bCs w:val="0"/>
          <w:color w:val="auto"/>
          <w:sz w:val="28"/>
          <w:szCs w:val="28"/>
          <w:lang w:val="en-US" w:eastAsia="zh-CN"/>
          <w:highlight w:val="auto"/>
        </w:rPr>
      </w:pPr>
      <w:r>
        <w:rPr>
          <w:rFonts w:ascii="仿宋_GB2312" w:eastAsia="仿宋_GB2312" w:cs="仿宋_GB2312" w:hint="eastAsia"/>
          <w:b w:val="0"/>
          <w:bCs w:val="0"/>
          <w:color w:val="auto"/>
          <w:sz w:val="28"/>
          <w:szCs w:val="28"/>
          <w:highlight w:val="auto"/>
        </w:rPr>
        <w:t>第二部分</w:t>
      </w:r>
      <w:r>
        <w:rPr>
          <w:rFonts w:ascii="仿宋_GB2312" w:eastAsia="仿宋_GB2312" w:cs="仿宋_GB2312" w:hint="eastAsia"/>
          <w:b w:val="0"/>
          <w:bCs w:val="0"/>
          <w:color w:val="auto"/>
          <w:sz w:val="28"/>
          <w:szCs w:val="28"/>
          <w:lang w:val="en-US" w:eastAsia="zh-CN"/>
          <w:highlight w:val="auto"/>
        </w:rPr>
        <w:t>2022年度</w:t>
      </w:r>
      <w:r>
        <w:rPr>
          <w:rFonts w:ascii="仿宋_GB2312" w:eastAsia="仿宋_GB2312" w:cs="仿宋_GB2312" w:hint="eastAsia"/>
          <w:b w:val="0"/>
          <w:bCs w:val="0"/>
          <w:color w:val="auto"/>
          <w:sz w:val="28"/>
          <w:szCs w:val="28"/>
          <w:highlight w:val="auto"/>
        </w:rPr>
        <w:t>部门决算情况说明</w:t>
      </w:r>
      <w:r>
        <w:rPr>
          <w:rFonts w:ascii="仿宋_GB2312" w:eastAsia="仿宋_GB2312" w:cs="仿宋_GB2312" w:hint="eastAsia"/>
          <w:b w:val="0"/>
          <w:bCs w:val="0"/>
          <w:color w:val="auto"/>
          <w:sz w:val="28"/>
          <w:szCs w:val="28"/>
          <w:lang w:val="en-US" w:eastAsia="zh-CN"/>
          <w:highlight w:val="auto"/>
        </w:rPr>
        <w:t>............................9</w:t>
      </w:r>
    </w:p>
    <w:p>
      <w:pPr>
        <w:pStyle w:val="24"/>
        <w:tabs>
          <w:tab w:val="right" w:leader="dot" w:pos="8296"/>
        </w:tabs>
        <w:adjustRightInd w:val="0"/>
        <w:snapToGrid w:val="0"/>
        <w:spacing w:line="440" w:lineRule="exact"/>
        <w:jc w:val="left"/>
        <w:rPr>
          <w:rFonts w:ascii="仿宋_GB2312" w:eastAsia="仿宋_GB2312" w:cs="仿宋_GB2312"/>
          <w:color w:val="auto"/>
          <w:sz w:val="28"/>
          <w:szCs w:val="28"/>
          <w:lang w:val="en-US" w:eastAsia="zh-CN"/>
          <w:highlight w:val="auto"/>
        </w:rPr>
      </w:pPr>
      <w:r>
        <w:rPr>
          <w:rFonts w:ascii="仿宋_GB2312" w:eastAsia="仿宋_GB2312" w:cs="仿宋_GB2312" w:hint="eastAsia"/>
          <w:color w:val="auto"/>
          <w:sz w:val="28"/>
          <w:szCs w:val="28"/>
          <w:highlight w:val="auto"/>
        </w:rPr>
        <w:t>一、收入支出决算总体情况说明</w:t>
      </w:r>
      <w:r>
        <w:rPr>
          <w:rFonts w:ascii="仿宋_GB2312" w:eastAsia="仿宋_GB2312" w:cs="仿宋_GB2312" w:hint="eastAsia"/>
          <w:color w:val="auto"/>
          <w:sz w:val="28"/>
          <w:szCs w:val="28"/>
          <w:lang w:val="en-US" w:eastAsia="zh-CN"/>
          <w:highlight w:val="auto"/>
        </w:rPr>
        <w:t>..............................9</w:t>
      </w:r>
      <w:r>
        <w:rPr>
          <w:rFonts w:ascii="仿宋_GB2312" w:eastAsia="仿宋_GB2312" w:cs="仿宋_GB2312" w:hint="eastAsia"/>
          <w:color w:val="auto"/>
          <w:sz w:val="28"/>
          <w:szCs w:val="28"/>
          <w:highlight w:val="auto"/>
        </w:rPr>
        <w:t>二、收入决算情况说明</w:t>
      </w:r>
      <w:r>
        <w:rPr>
          <w:rFonts w:ascii="仿宋_GB2312" w:eastAsia="仿宋_GB2312" w:cs="仿宋_GB2312" w:hint="eastAsia"/>
          <w:color w:val="auto"/>
          <w:sz w:val="28"/>
          <w:szCs w:val="28"/>
          <w:lang w:val="en-US" w:eastAsia="zh-CN"/>
          <w:highlight w:val="auto"/>
        </w:rPr>
        <w:t>.......................................10</w:t>
      </w:r>
    </w:p>
    <w:p>
      <w:pPr>
        <w:pStyle w:val="24"/>
        <w:tabs>
          <w:tab w:val="right" w:leader="dot" w:pos="8296"/>
        </w:tabs>
        <w:adjustRightInd w:val="0"/>
        <w:snapToGrid w:val="0"/>
        <w:spacing w:line="440" w:lineRule="exact"/>
        <w:jc w:val="left"/>
        <w:rPr>
          <w:rFonts w:ascii="仿宋_GB2312" w:eastAsia="仿宋_GB2312" w:cs="仿宋_GB2312"/>
          <w:color w:val="auto"/>
          <w:sz w:val="28"/>
          <w:szCs w:val="28"/>
          <w:lang w:val="en-US" w:eastAsia="zh-CN"/>
          <w:highlight w:val="auto"/>
        </w:rPr>
      </w:pPr>
      <w:r>
        <w:rPr>
          <w:rFonts w:ascii="仿宋_GB2312" w:eastAsia="仿宋_GB2312" w:cs="仿宋_GB2312" w:hint="eastAsia"/>
          <w:color w:val="auto"/>
          <w:sz w:val="28"/>
          <w:szCs w:val="28"/>
          <w:highlight w:val="auto"/>
        </w:rPr>
        <w:t>三、支出决算情况说明</w:t>
      </w:r>
      <w:r>
        <w:rPr>
          <w:rFonts w:ascii="仿宋_GB2312" w:eastAsia="仿宋_GB2312" w:cs="仿宋_GB2312" w:hint="eastAsia"/>
          <w:color w:val="auto"/>
          <w:sz w:val="28"/>
          <w:szCs w:val="28"/>
          <w:lang w:val="en-US" w:eastAsia="zh-CN"/>
          <w:highlight w:val="auto"/>
        </w:rPr>
        <w:t>.......................................11</w:t>
      </w:r>
      <w:r>
        <w:rPr>
          <w:rFonts w:ascii="仿宋_GB2312" w:eastAsia="仿宋_GB2312" w:cs="仿宋_GB2312" w:hint="eastAsia"/>
          <w:color w:val="auto"/>
          <w:sz w:val="28"/>
          <w:szCs w:val="28"/>
          <w:highlight w:val="auto"/>
        </w:rPr>
        <w:t>四、财政拨款收入支出决算总体情况说明</w:t>
      </w:r>
      <w:r>
        <w:rPr>
          <w:rFonts w:ascii="仿宋_GB2312" w:eastAsia="仿宋_GB2312" w:cs="仿宋_GB2312" w:hint="eastAsia"/>
          <w:color w:val="auto"/>
          <w:sz w:val="28"/>
          <w:szCs w:val="28"/>
          <w:lang w:val="en-US" w:eastAsia="zh-CN"/>
          <w:highlight w:val="auto"/>
        </w:rPr>
        <w:t>.......................11</w:t>
      </w:r>
      <w:r>
        <w:rPr>
          <w:rFonts w:ascii="仿宋_GB2312" w:eastAsia="仿宋_GB2312" w:cs="仿宋_GB2312" w:hint="eastAsia"/>
          <w:color w:val="auto"/>
          <w:sz w:val="28"/>
          <w:szCs w:val="28"/>
          <w:highlight w:val="auto"/>
        </w:rPr>
        <w:t>五、一般公共预算财政拨款支出决算情况说明</w:t>
      </w:r>
      <w:r>
        <w:rPr>
          <w:rFonts w:ascii="仿宋_GB2312" w:eastAsia="仿宋_GB2312" w:cs="仿宋_GB2312" w:hint="eastAsia"/>
          <w:color w:val="auto"/>
          <w:sz w:val="28"/>
          <w:szCs w:val="28"/>
          <w:lang w:val="en-US" w:eastAsia="zh-CN"/>
          <w:highlight w:val="auto"/>
        </w:rPr>
        <w:t>..................12</w:t>
      </w:r>
    </w:p>
    <w:p>
      <w:pPr>
        <w:pStyle w:val="24"/>
        <w:tabs>
          <w:tab w:val="right" w:leader="dot" w:pos="8296"/>
        </w:tabs>
        <w:adjustRightInd w:val="0"/>
        <w:snapToGrid w:val="0"/>
        <w:spacing w:line="440" w:lineRule="exact"/>
        <w:jc w:val="left"/>
        <w:rPr>
          <w:rFonts w:ascii="仿宋_GB2312" w:eastAsia="仿宋_GB2312" w:cs="仿宋_GB2312"/>
          <w:color w:val="auto"/>
          <w:sz w:val="28"/>
          <w:szCs w:val="28"/>
          <w:lang w:val="en-US" w:eastAsia="zh-CN"/>
          <w:highlight w:val="auto"/>
        </w:rPr>
      </w:pPr>
      <w:r>
        <w:rPr>
          <w:rFonts w:ascii="仿宋_GB2312" w:eastAsia="仿宋_GB2312" w:cs="仿宋_GB2312" w:hint="eastAsia"/>
          <w:color w:val="auto"/>
          <w:sz w:val="28"/>
          <w:szCs w:val="28"/>
          <w:highlight w:val="auto"/>
        </w:rPr>
        <w:t>六、一般公共预算财政拨款基本支出决算情况说明</w:t>
      </w:r>
      <w:r>
        <w:rPr>
          <w:rFonts w:ascii="仿宋_GB2312" w:eastAsia="仿宋_GB2312" w:cs="仿宋_GB2312" w:hint="eastAsia"/>
          <w:color w:val="auto"/>
          <w:sz w:val="28"/>
          <w:szCs w:val="28"/>
          <w:lang w:val="en-US" w:eastAsia="zh-CN"/>
          <w:highlight w:val="auto"/>
        </w:rPr>
        <w:t>..............16</w:t>
      </w:r>
      <w:r>
        <w:rPr>
          <w:rFonts w:ascii="仿宋_GB2312" w:eastAsia="仿宋_GB2312" w:cs="仿宋_GB2312" w:hint="eastAsia"/>
          <w:color w:val="auto"/>
          <w:sz w:val="28"/>
          <w:szCs w:val="28"/>
          <w:highlight w:val="auto"/>
        </w:rPr>
        <w:t>七、财政拨款</w:t>
      </w:r>
      <w:r>
        <w:rPr>
          <w:rFonts w:ascii="仿宋_GB2312" w:eastAsia="仿宋_GB2312" w:cs="仿宋_GB2312" w:hint="eastAsia"/>
          <w:color w:val="auto"/>
          <w:sz w:val="28"/>
          <w:szCs w:val="28"/>
          <w:lang w:eastAsia="zh-CN"/>
          <w:highlight w:val="auto"/>
        </w:rPr>
        <w:t>“</w:t>
      </w:r>
      <w:r>
        <w:rPr>
          <w:rFonts w:ascii="仿宋_GB2312" w:eastAsia="仿宋_GB2312" w:cs="仿宋_GB2312" w:hint="eastAsia"/>
          <w:color w:val="auto"/>
          <w:sz w:val="28"/>
          <w:szCs w:val="28"/>
          <w:highlight w:val="auto"/>
        </w:rPr>
        <w:t>三公”经费支出决算情况说明</w:t>
      </w:r>
      <w:r>
        <w:rPr>
          <w:rFonts w:ascii="仿宋_GB2312" w:eastAsia="仿宋_GB2312" w:cs="仿宋_GB2312" w:hint="eastAsia"/>
          <w:color w:val="auto"/>
          <w:sz w:val="28"/>
          <w:szCs w:val="28"/>
          <w:lang w:val="en-US" w:eastAsia="zh-CN"/>
          <w:highlight w:val="auto"/>
        </w:rPr>
        <w:t>....................16</w:t>
      </w:r>
      <w:r>
        <w:rPr>
          <w:rFonts w:ascii="仿宋_GB2312" w:eastAsia="仿宋_GB2312" w:cs="仿宋_GB2312" w:hint="eastAsia"/>
          <w:color w:val="auto"/>
          <w:sz w:val="28"/>
          <w:szCs w:val="28"/>
          <w:highlight w:val="auto"/>
        </w:rPr>
        <w:t>八、政府性基金预算支出决算情况说明</w:t>
      </w:r>
      <w:r>
        <w:rPr>
          <w:rFonts w:ascii="仿宋_GB2312" w:eastAsia="仿宋_GB2312" w:cs="仿宋_GB2312" w:hint="eastAsia"/>
          <w:color w:val="auto"/>
          <w:sz w:val="28"/>
          <w:szCs w:val="28"/>
          <w:lang w:val="en-US" w:eastAsia="zh-CN"/>
          <w:highlight w:val="auto"/>
        </w:rPr>
        <w:t>........................18</w:t>
      </w:r>
    </w:p>
    <w:p>
      <w:pPr>
        <w:pStyle w:val="24"/>
        <w:tabs>
          <w:tab w:val="right" w:leader="dot" w:pos="8296"/>
        </w:tabs>
        <w:adjustRightInd w:val="0"/>
        <w:snapToGrid w:val="0"/>
        <w:spacing w:line="440" w:lineRule="exact"/>
        <w:jc w:val="left"/>
        <w:rPr>
          <w:rFonts w:ascii="仿宋_GB2312" w:eastAsia="仿宋_GB2312" w:cs="仿宋_GB2312"/>
          <w:color w:val="auto"/>
          <w:sz w:val="28"/>
          <w:szCs w:val="28"/>
          <w:lang w:val="en-US" w:eastAsia="zh-CN"/>
          <w:highlight w:val="auto"/>
        </w:rPr>
      </w:pPr>
      <w:r>
        <w:rPr>
          <w:rFonts w:ascii="仿宋_GB2312" w:eastAsia="仿宋_GB2312" w:cs="仿宋_GB2312" w:hint="eastAsia"/>
          <w:color w:val="auto"/>
          <w:sz w:val="28"/>
          <w:szCs w:val="28"/>
          <w:highlight w:val="auto"/>
        </w:rPr>
        <w:t>九、</w:t>
      </w:r>
      <w:r>
        <w:rPr>
          <w:rFonts w:ascii="仿宋_GB2312" w:eastAsia="仿宋_GB2312" w:cs="仿宋_GB2312" w:hint="eastAsia"/>
          <w:color w:val="auto"/>
          <w:sz w:val="28"/>
          <w:szCs w:val="28"/>
          <w:lang w:eastAsia="zh-CN"/>
          <w:highlight w:val="auto"/>
        </w:rPr>
        <w:t>国</w:t>
      </w:r>
      <w:r>
        <w:rPr>
          <w:rFonts w:ascii="仿宋_GB2312" w:eastAsia="仿宋_GB2312" w:cs="仿宋_GB2312" w:hint="eastAsia"/>
          <w:color w:val="auto"/>
          <w:sz w:val="28"/>
          <w:szCs w:val="28"/>
          <w:highlight w:val="auto"/>
        </w:rPr>
        <w:t>有资本经营预算支出决算情况说明</w:t>
      </w:r>
      <w:r>
        <w:rPr>
          <w:rFonts w:ascii="仿宋_GB2312" w:eastAsia="仿宋_GB2312" w:cs="仿宋_GB2312" w:hint="eastAsia"/>
          <w:color w:val="auto"/>
          <w:sz w:val="28"/>
          <w:szCs w:val="28"/>
          <w:lang w:val="en-US" w:eastAsia="zh-CN"/>
          <w:highlight w:val="auto"/>
        </w:rPr>
        <w:t>......................18</w:t>
      </w:r>
      <w:r>
        <w:rPr>
          <w:rFonts w:ascii="仿宋_GB2312" w:eastAsia="仿宋_GB2312" w:cs="仿宋_GB2312" w:hint="eastAsia"/>
          <w:color w:val="auto"/>
          <w:sz w:val="28"/>
          <w:szCs w:val="28"/>
          <w:lang w:eastAsia="zh-CN"/>
          <w:highlight w:val="auto"/>
        </w:rPr>
        <w:t>十</w:t>
      </w:r>
      <w:r>
        <w:rPr>
          <w:rFonts w:ascii="仿宋_GB2312" w:eastAsia="仿宋_GB2312" w:cs="仿宋_GB2312" w:hint="eastAsia"/>
          <w:color w:val="auto"/>
          <w:sz w:val="28"/>
          <w:szCs w:val="28"/>
          <w:highlight w:val="auto"/>
        </w:rPr>
        <w:t>、其他重要事项的情况说明</w:t>
      </w:r>
      <w:r>
        <w:rPr>
          <w:rFonts w:ascii="仿宋_GB2312" w:eastAsia="仿宋_GB2312" w:cs="仿宋_GB2312" w:hint="eastAsia"/>
          <w:color w:val="auto"/>
          <w:sz w:val="28"/>
          <w:szCs w:val="28"/>
          <w:lang w:val="en-US" w:eastAsia="zh-CN"/>
          <w:highlight w:val="auto"/>
        </w:rPr>
        <w:t>................................18</w:t>
      </w:r>
    </w:p>
    <w:p>
      <w:pPr>
        <w:pStyle w:val="22"/>
        <w:tabs>
          <w:tab w:val="right" w:leader="dot" w:pos="8296"/>
        </w:tabs>
        <w:adjustRightInd w:val="0"/>
        <w:snapToGrid w:val="0"/>
        <w:spacing w:before="0" w:line="440" w:lineRule="exact"/>
        <w:jc w:val="left"/>
        <w:rPr>
          <w:rFonts w:ascii="仿宋_GB2312" w:eastAsia="仿宋_GB2312" w:cs="仿宋_GB2312"/>
          <w:b w:val="0"/>
          <w:bCs w:val="0"/>
          <w:color w:val="auto"/>
          <w:sz w:val="28"/>
          <w:szCs w:val="28"/>
          <w:lang w:val="en-US" w:eastAsia="zh-CN"/>
          <w:highlight w:val="auto"/>
        </w:rPr>
      </w:pPr>
      <w:r>
        <w:rPr>
          <w:rFonts w:ascii="仿宋_GB2312" w:eastAsia="仿宋_GB2312" w:cs="仿宋_GB2312" w:hint="eastAsia"/>
          <w:b w:val="0"/>
          <w:bCs w:val="0"/>
          <w:color w:val="auto"/>
          <w:sz w:val="28"/>
          <w:szCs w:val="28"/>
          <w:highlight w:val="auto"/>
        </w:rPr>
        <w:t>第三部分</w:t>
      </w:r>
      <w:r>
        <w:rPr>
          <w:rFonts w:ascii="仿宋_GB2312" w:eastAsia="仿宋_GB2312" w:cs="仿宋_GB2312" w:hint="eastAsia"/>
          <w:b w:val="0"/>
          <w:bCs w:val="0"/>
          <w:color w:val="auto"/>
          <w:sz w:val="28"/>
          <w:szCs w:val="28"/>
          <w:lang w:val="en-US" w:eastAsia="zh-CN"/>
          <w:highlight w:val="auto"/>
        </w:rPr>
        <w:t xml:space="preserve"> </w:t>
      </w:r>
      <w:r>
        <w:rPr>
          <w:rFonts w:ascii="仿宋_GB2312" w:eastAsia="仿宋_GB2312" w:cs="仿宋_GB2312" w:hint="eastAsia"/>
          <w:b w:val="0"/>
          <w:bCs w:val="0"/>
          <w:color w:val="auto"/>
          <w:sz w:val="28"/>
          <w:szCs w:val="28"/>
          <w:highlight w:val="auto"/>
        </w:rPr>
        <w:t>名词解释</w:t>
      </w:r>
      <w:r>
        <w:rPr>
          <w:rFonts w:ascii="仿宋_GB2312" w:eastAsia="仿宋_GB2312" w:cs="仿宋_GB2312" w:hint="eastAsia"/>
          <w:b w:val="0"/>
          <w:bCs w:val="0"/>
          <w:color w:val="auto"/>
          <w:sz w:val="28"/>
          <w:szCs w:val="28"/>
          <w:lang w:val="en-US" w:eastAsia="zh-CN"/>
          <w:highlight w:val="auto"/>
        </w:rPr>
        <w:t>............................................53</w:t>
      </w:r>
    </w:p>
    <w:p>
      <w:pPr>
        <w:pStyle w:val="22"/>
        <w:tabs>
          <w:tab w:val="right" w:leader="dot" w:pos="8296"/>
        </w:tabs>
        <w:adjustRightInd w:val="0"/>
        <w:snapToGrid w:val="0"/>
        <w:spacing w:before="0" w:line="440" w:lineRule="exact"/>
        <w:jc w:val="left"/>
        <w:rPr>
          <w:rFonts w:ascii="仿宋_GB2312" w:eastAsia="仿宋_GB2312" w:cs="仿宋_GB2312"/>
          <w:b w:val="0"/>
          <w:bCs w:val="0"/>
          <w:color w:val="auto"/>
          <w:sz w:val="28"/>
          <w:szCs w:val="28"/>
          <w:lang w:val="en-US" w:eastAsia="zh-CN"/>
          <w:highlight w:val="auto"/>
        </w:rPr>
      </w:pPr>
      <w:r>
        <w:rPr>
          <w:rFonts w:ascii="仿宋_GB2312" w:eastAsia="仿宋_GB2312" w:cs="仿宋_GB2312" w:hint="eastAsia"/>
          <w:b w:val="0"/>
          <w:bCs w:val="0"/>
          <w:color w:val="auto"/>
          <w:sz w:val="28"/>
          <w:szCs w:val="28"/>
          <w:highlight w:val="auto"/>
        </w:rPr>
        <w:t>第四部分 附件</w:t>
      </w:r>
      <w:r>
        <w:rPr>
          <w:rFonts w:ascii="仿宋_GB2312" w:eastAsia="仿宋_GB2312" w:cs="仿宋_GB2312" w:hint="eastAsia"/>
          <w:b w:val="0"/>
          <w:bCs w:val="0"/>
          <w:color w:val="auto"/>
          <w:sz w:val="28"/>
          <w:szCs w:val="28"/>
          <w:lang w:val="en-US" w:eastAsia="zh-CN"/>
          <w:highlight w:val="auto"/>
        </w:rPr>
        <w:t>................................................55</w:t>
      </w:r>
    </w:p>
    <w:p>
      <w:pPr>
        <w:pStyle w:val="22"/>
        <w:tabs>
          <w:tab w:val="right" w:leader="dot" w:pos="8296"/>
        </w:tabs>
        <w:adjustRightInd w:val="0"/>
        <w:snapToGrid w:val="0"/>
        <w:spacing w:before="0" w:line="440" w:lineRule="exact"/>
        <w:jc w:val="left"/>
        <w:rPr>
          <w:rFonts w:ascii="仿宋_GB2312" w:eastAsia="仿宋_GB2312" w:cs="仿宋_GB2312"/>
          <w:b w:val="0"/>
          <w:bCs w:val="0"/>
          <w:color w:val="auto"/>
          <w:sz w:val="28"/>
          <w:szCs w:val="28"/>
          <w:lang w:val="en-US" w:eastAsia="zh-CN"/>
          <w:highlight w:val="auto"/>
        </w:rPr>
      </w:pPr>
      <w:r>
        <w:rPr>
          <w:rFonts w:ascii="仿宋_GB2312" w:eastAsia="仿宋_GB2312" w:cs="仿宋_GB2312" w:hint="eastAsia"/>
          <w:b w:val="0"/>
          <w:bCs w:val="0"/>
          <w:color w:val="auto"/>
          <w:sz w:val="28"/>
          <w:szCs w:val="28"/>
          <w:highlight w:val="auto"/>
        </w:rPr>
        <w:t>第五部分 附表</w:t>
      </w:r>
      <w:r>
        <w:rPr>
          <w:rFonts w:ascii="仿宋_GB2312" w:eastAsia="仿宋_GB2312" w:cs="仿宋_GB2312" w:hint="eastAsia"/>
          <w:b w:val="0"/>
          <w:bCs w:val="0"/>
          <w:color w:val="auto"/>
          <w:sz w:val="28"/>
          <w:szCs w:val="28"/>
          <w:lang w:val="en-US" w:eastAsia="zh-CN"/>
          <w:highlight w:val="auto"/>
        </w:rPr>
        <w:t>................................................70</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kern w:val="2"/>
          <w:sz w:val="44"/>
          <w:szCs w:val="44"/>
          <w:lang w:val="en-US" w:eastAsia="zh-CN" w:bidi="ar-SA"/>
        </w:rPr>
      </w:pPr>
      <w:bookmarkStart w:id="12" w:name="_Toc15396599"/>
      <w:bookmarkStart w:id="13" w:name="_Toc15377196"/>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方正小标宋_GBK" w:eastAsia="方正小标宋_GBK" w:cs="方正小标宋_GBK" w:hint="eastAsia"/>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int="eastAsia"/>
          <w:sz w:val="44"/>
          <w:szCs w:val="44"/>
        </w:rPr>
      </w:pPr>
      <w:r>
        <w:rPr>
          <w:rFonts w:ascii="方正小标宋_GBK" w:eastAsia="方正小标宋_GBK" w:cs="方正小标宋_GBK" w:hint="eastAsia"/>
          <w:kern w:val="2"/>
          <w:sz w:val="44"/>
          <w:szCs w:val="44"/>
          <w:lang w:val="en-US" w:eastAsia="zh-CN" w:bidi="ar-SA"/>
        </w:rPr>
        <w:t xml:space="preserve">第一部分 </w:t>
      </w:r>
      <w:r>
        <w:rPr>
          <w:rFonts w:ascii="方正小标宋_GBK" w:eastAsia="方正小标宋_GBK" w:cs="方正小标宋_GBK" w:hint="eastAsia"/>
          <w:sz w:val="44"/>
          <w:szCs w:val="44"/>
        </w:rPr>
        <w:t>部门概况</w:t>
      </w:r>
      <w:bookmarkEnd w:id="12"/>
      <w:bookmarkEnd w:id="13"/>
    </w:p>
    <w:p>
      <w:pPr>
        <w:pStyle w:val="15"/>
        <w:keepNext w:val="0"/>
        <w:keepLines w:val="0"/>
        <w:pageBreakBefore w:val="0"/>
        <w:widowControl w:val="0"/>
        <w:kinsoku/>
        <w:wordWrap/>
        <w:overflowPunct/>
        <w:topLinePunct w:val="0"/>
        <w:autoSpaceDE/>
        <w:autoSpaceDN/>
        <w:bidi w:val="0"/>
        <w:adjustRightInd/>
        <w:snapToGrid/>
        <w:spacing w:beforeLines="0" w:before="30" w:line="560" w:lineRule="exact"/>
        <w:jc w:val="center"/>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黑体" w:eastAsia="黑体" w:cs="黑体" w:hint="eastAsia"/>
          <w:b w:val="0"/>
          <w:bCs w:val="0"/>
          <w:sz w:val="32"/>
          <w:szCs w:val="32"/>
          <w:lang w:eastAsia="zh-CN"/>
        </w:rPr>
      </w:pPr>
      <w:r>
        <w:rPr>
          <w:rFonts w:ascii="黑体" w:eastAsia="黑体" w:cs="黑体" w:hint="eastAsia"/>
          <w:b w:val="0"/>
          <w:bCs w:val="0"/>
          <w:sz w:val="32"/>
          <w:szCs w:val="32"/>
          <w:lang w:val="en-US" w:eastAsia="zh-CN"/>
        </w:rPr>
        <w:t>一、</w:t>
      </w:r>
      <w:r>
        <w:rPr>
          <w:rFonts w:ascii="黑体" w:eastAsia="黑体" w:cs="黑体" w:hint="eastAsia"/>
          <w:b w:val="0"/>
          <w:bCs w:val="0"/>
          <w:sz w:val="32"/>
          <w:szCs w:val="32"/>
          <w:lang w:eastAsia="zh-CN"/>
        </w:rPr>
        <w:t>部门职责</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ascii="Times New Roman" w:eastAsia="仿宋_GB2312" w:cs="Times New Roman" w:hAnsi="Times New Roman"/>
          <w:sz w:val="32"/>
          <w:szCs w:val="32"/>
        </w:rPr>
        <w:t>贯彻执行有关创新驱动发展战略以及科技发展、引进国外智力规划和政策，拟订全县有关科技发展的政策措施并组织实施。</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2.</w:t>
      </w:r>
      <w:r>
        <w:rPr>
          <w:rFonts w:ascii="Times New Roman" w:eastAsia="仿宋_GB2312" w:cs="Times New Roman" w:hAnsi="Times New Roman"/>
          <w:sz w:val="32"/>
          <w:szCs w:val="32"/>
        </w:rPr>
        <w:t>统筹研究和组织实施全县“三农”工作的发展战略中长期规划、重大政策。</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3.</w:t>
      </w:r>
      <w:r>
        <w:rPr>
          <w:rFonts w:ascii="Times New Roman" w:eastAsia="仿宋_GB2312" w:cs="Times New Roman" w:hAnsi="Times New Roman"/>
          <w:sz w:val="32"/>
          <w:szCs w:val="32"/>
        </w:rPr>
        <w:t>统筹实施乡村振兴战略，牵头组织改善全县农村人居环境。</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4.</w:t>
      </w:r>
      <w:r>
        <w:rPr>
          <w:rFonts w:ascii="Times New Roman" w:eastAsia="仿宋_GB2312" w:cs="Times New Roman" w:hAnsi="Times New Roman"/>
          <w:sz w:val="32"/>
          <w:szCs w:val="32"/>
        </w:rPr>
        <w:t>建立统一的科技管理平台和科研项目资金协调、实施评估、监管机制。会同有关部门提出优化配置科技资源的政策措施建议，推动多元化科技投入体系建设。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5.</w:t>
      </w:r>
      <w:r>
        <w:rPr>
          <w:rFonts w:ascii="Times New Roman" w:eastAsia="仿宋_GB2312" w:cs="Times New Roman" w:hAnsi="Times New Roman"/>
          <w:sz w:val="32"/>
          <w:szCs w:val="32"/>
        </w:rPr>
        <w:t>拟订深化全县农村经济体制改革和巩固完善农村基本经营制度的政策措施。负责农民承包地、农村宅基地管理和</w:t>
      </w:r>
      <w:r>
        <w:rPr>
          <w:rFonts w:ascii="Times New Roman" w:eastAsia="仿宋_GB2312" w:cs="Times New Roman" w:hAnsi="Times New Roman"/>
          <w:sz w:val="32"/>
          <w:szCs w:val="32"/>
          <w:lang w:eastAsia="zh-CN"/>
        </w:rPr>
        <w:t>改革</w:t>
      </w:r>
      <w:r>
        <w:rPr>
          <w:rFonts w:ascii="Times New Roman" w:eastAsia="仿宋_GB2312" w:cs="Times New Roman" w:hAnsi="Times New Roman"/>
          <w:sz w:val="32"/>
          <w:szCs w:val="32"/>
        </w:rPr>
        <w:t>有关工作。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pPr>
      <w:r>
        <w:rPr>
          <w:rFonts w:ascii="Times New Roman" w:eastAsia="仿宋_GB2312" w:cs="Times New Roman" w:hAnsi="Times New Roman"/>
          <w:b/>
          <w:bCs/>
          <w:sz w:val="32"/>
          <w:szCs w:val="32"/>
          <w:lang w:val="en-US" w:eastAsia="zh-CN"/>
        </w:rPr>
        <w:t>6.</w:t>
      </w:r>
      <w:r>
        <w:rPr>
          <w:rFonts w:ascii="Times New Roman" w:eastAsia="仿宋_GB2312" w:cs="Times New Roman" w:hAnsi="Times New Roman"/>
          <w:sz w:val="32"/>
          <w:szCs w:val="32"/>
        </w:rPr>
        <w:t>指导全县乡村特色产业、农产品加工业</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产地初加工</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、休闲农业和乡村涉农企业发展工作。开展特色农产品优势区建设和管理工作。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7.</w:t>
      </w:r>
      <w:r>
        <w:rPr>
          <w:rFonts w:ascii="Times New Roman" w:eastAsia="仿宋_GB2312" w:cs="Times New Roman" w:hAnsi="Times New Roman"/>
          <w:sz w:val="32"/>
          <w:szCs w:val="32"/>
        </w:rPr>
        <w:t>组织实施重大科技专项，组织参与国家、省、州重大科技专项。统筹关键共性技术、前沿引领技术、现代工程技术颠覆性技术研发和创新，组织重大技术攻关和成果应用示范。</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8.</w:t>
      </w:r>
      <w:r>
        <w:rPr>
          <w:rFonts w:ascii="Times New Roman" w:eastAsia="仿宋_GB2312" w:cs="Times New Roman" w:hAnsi="Times New Roman"/>
          <w:sz w:val="32"/>
          <w:szCs w:val="32"/>
        </w:rPr>
        <w:t>统筹区域科技创新体系建设，指导区域创新发展、科技资源合理布局和协同创新能力建设，推动科技园区、科技小镇科技平台建设。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eastAsia="仿宋_GB2312" w:cs="Times New Roman" w:hint="eastAsia"/>
          <w:b/>
          <w:bCs/>
          <w:sz w:val="32"/>
          <w:szCs w:val="32"/>
          <w:lang w:val="en-US" w:eastAsia="zh-CN"/>
        </w:rPr>
        <w:t>9</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负责全县种植业、畜牧业</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草原牧业</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渔业、农垦农业机械化等农业各产业的监督管理。指导农产品生产及生产功能区、保护区建设和管理工作。组织构建现代农业产业体系、生产体系、经营体系，指导农业标准化、规模化生产。落实促进粮油、畜禽、水产等初级农产品生产发展的相关政策措施，引导农业产业结构调整和产品品质改善，促进农业绿色发展。</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0</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负责制定全县农业产业机械化、智能化、数字化发展规划并组织实施。</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1</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color w:val="auto"/>
          <w:sz w:val="32"/>
          <w:szCs w:val="32"/>
        </w:rPr>
        <w:t>负</w:t>
      </w:r>
      <w:r>
        <w:rPr>
          <w:rFonts w:ascii="Times New Roman" w:eastAsia="仿宋_GB2312" w:cs="Times New Roman" w:hAnsi="Times New Roman"/>
          <w:sz w:val="32"/>
          <w:szCs w:val="32"/>
        </w:rPr>
        <w:t>责全县农产品质量安全监督管理。组织开展农产品质量安全监测、追溯、风险评估。</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2</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组织开展全县农业资源区划和资源保护工作。指导农用地、渔业水域以及农业生物物种资源的保护与管理，负责水生野生动植物保护、耕地及永久基本农田质量保护工作。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eastAsia="仿宋_GB2312" w:cs="Times New Roman" w:hint="eastAsia"/>
          <w:sz w:val="32"/>
          <w:szCs w:val="32"/>
          <w:lang w:eastAsia="zh-CN"/>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3</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负责全县农业生产资料和农业投入品的监督管理组织农业生产资料市场体系建设，承担农作物种子</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种苗</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、食用菌种、饲草良种、种畜禽、水产苗种、农药、兽药</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渔药</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饲料、饲料添加剂等农业生产资料的监督管理</w:t>
      </w:r>
      <w:r>
        <w:rPr>
          <w:rFonts w:eastAsia="仿宋_GB2312" w:cs="Times New Roman" w:hint="eastAsia"/>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color w:val="auto"/>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4</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color w:val="auto"/>
          <w:sz w:val="32"/>
          <w:szCs w:val="32"/>
        </w:rPr>
        <w:t>负责全县农业防灾减灾、农作物重大病虫害防治工作。会同有关部门制定动植物防疫检疫政策并指导实施。</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5</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负责全县农田建设管理。组织拟订农田建设发展规划。</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6</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组织拟订全县农业科研、农技推广的规划、计划和有关政策并组织实施，牵头推动农业科技体制改革和农业科技创新体系建设。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7</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牵头开展全县农业对外合作工作</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承办县政府农业涉外事务，参与拟订农业对外开放政策和外向型农业发展规划，指导外向型农业发展。</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1</w:t>
      </w:r>
      <w:r>
        <w:rPr>
          <w:rFonts w:eastAsia="仿宋_GB2312" w:cs="Times New Roman" w:hint="eastAsia"/>
          <w:b/>
          <w:bCs/>
          <w:sz w:val="32"/>
          <w:szCs w:val="32"/>
          <w:lang w:val="en-US" w:eastAsia="zh-CN"/>
        </w:rPr>
        <w:t>8</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制定科技人才队伍、农业农村人才队伍建设规划。指导科技、农业、农村人才队伍建设。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eastAsia="仿宋_GB2312" w:cs="Times New Roman" w:hint="eastAsia"/>
          <w:b/>
          <w:bCs/>
          <w:sz w:val="32"/>
          <w:szCs w:val="32"/>
          <w:lang w:val="en-US" w:eastAsia="zh-CN"/>
        </w:rPr>
        <w:t>19</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统筹协调和监督指导全县农业综合执法</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负责监督指导重大案件查处</w:t>
      </w:r>
      <w:r>
        <w:rPr>
          <w:rFonts w:ascii="Times New Roman" w:eastAsia="仿宋_GB2312" w:cs="Times New Roman" w:hAnsi="Times New Roman"/>
          <w:sz w:val="32"/>
          <w:szCs w:val="32"/>
          <w:lang w:eastAsia="zh-CN"/>
        </w:rPr>
        <w:t>和</w:t>
      </w:r>
      <w:r>
        <w:rPr>
          <w:rFonts w:ascii="Times New Roman" w:eastAsia="仿宋_GB2312" w:cs="Times New Roman" w:hAnsi="Times New Roman"/>
          <w:sz w:val="32"/>
          <w:szCs w:val="32"/>
        </w:rPr>
        <w:t>县本级办理的涉农违法案件</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推进农业依法行政。</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2</w:t>
      </w:r>
      <w:r>
        <w:rPr>
          <w:rFonts w:eastAsia="仿宋_GB2312" w:cs="Times New Roman" w:hint="eastAsia"/>
          <w:b/>
          <w:bCs/>
          <w:sz w:val="32"/>
          <w:szCs w:val="32"/>
          <w:lang w:val="en-US" w:eastAsia="zh-CN"/>
        </w:rPr>
        <w:t>0</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负责全县农业投资项目、农业综合项目管理。提出农业投融资体制机制改革建议。</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sz w:val="32"/>
          <w:szCs w:val="32"/>
        </w:rPr>
      </w:pPr>
      <w:r>
        <w:rPr>
          <w:rFonts w:ascii="Times New Roman" w:eastAsia="仿宋_GB2312" w:cs="Times New Roman" w:hAnsi="Times New Roman"/>
          <w:b/>
          <w:bCs/>
          <w:sz w:val="32"/>
          <w:szCs w:val="32"/>
          <w:lang w:val="en-US" w:eastAsia="zh-CN"/>
        </w:rPr>
        <w:t>2</w:t>
      </w:r>
      <w:r>
        <w:rPr>
          <w:rFonts w:eastAsia="仿宋_GB2312" w:cs="Times New Roman" w:hint="eastAsia"/>
          <w:b/>
          <w:bCs/>
          <w:sz w:val="32"/>
          <w:szCs w:val="32"/>
          <w:lang w:val="en-US" w:eastAsia="zh-CN"/>
        </w:rPr>
        <w:t>1</w:t>
      </w:r>
      <w:r>
        <w:rPr>
          <w:rFonts w:ascii="Times New Roman" w:eastAsia="仿宋_GB2312" w:cs="Times New Roman" w:hAnsi="Times New Roman"/>
          <w:b/>
          <w:bCs/>
          <w:sz w:val="32"/>
          <w:szCs w:val="32"/>
          <w:lang w:val="en-US" w:eastAsia="zh-CN"/>
        </w:rPr>
        <w:t>.</w:t>
      </w:r>
      <w:r>
        <w:rPr>
          <w:rFonts w:ascii="Times New Roman" w:eastAsia="仿宋_GB2312" w:cs="Times New Roman" w:hAnsi="Times New Roman"/>
          <w:sz w:val="32"/>
          <w:szCs w:val="32"/>
        </w:rPr>
        <w:t>负责职责范围内的安全生产和职业健康、生态环境保护、公共机构节能减排、审批服务便民化等工作。</w:t>
      </w:r>
    </w:p>
    <w:p>
      <w:pPr>
        <w:keepNext w:val="0"/>
        <w:keepLines w:val="0"/>
        <w:pageBreakBefore w:val="0"/>
        <w:widowControl w:val="0"/>
        <w:kinsoku/>
        <w:wordWrap/>
        <w:overflowPunct/>
        <w:topLinePunct w:val="0"/>
        <w:bidi w:val="0"/>
        <w:adjustRightInd/>
        <w:snapToGrid/>
        <w:spacing w:line="560" w:lineRule="exact"/>
        <w:ind w:firstLineChars="200" w:firstLine="640"/>
        <w:textAlignment w:val="auto"/>
        <w:rPr>
          <w:rStyle w:val="2Char"/>
          <w:rFonts w:ascii="黑体" w:eastAsia="黑体" w:cs="黑体" w:hint="eastAsia"/>
          <w:b w:val="0"/>
          <w:bCs w:val="0"/>
          <w:color w:val="auto"/>
          <w:sz w:val="32"/>
          <w:szCs w:val="32"/>
          <w:highlight w:val="auto"/>
        </w:rPr>
      </w:pPr>
      <w:bookmarkStart w:id="14" w:name="_Toc15396601"/>
      <w:bookmarkStart w:id="15" w:name="_Toc15377200"/>
      <w:r>
        <w:rPr>
          <w:rFonts w:ascii="黑体" w:eastAsia="黑体" w:cs="黑体" w:hint="eastAsia"/>
          <w:b w:val="0"/>
          <w:color w:val="auto"/>
          <w:sz w:val="32"/>
          <w:szCs w:val="32"/>
          <w:highlight w:val="auto"/>
        </w:rPr>
        <w:t>二、机</w:t>
      </w:r>
      <w:r>
        <w:rPr>
          <w:rStyle w:val="2Char"/>
          <w:rFonts w:ascii="黑体" w:eastAsia="黑体" w:cs="黑体" w:hint="eastAsia"/>
          <w:b w:val="0"/>
          <w:bCs w:val="0"/>
          <w:color w:val="auto"/>
          <w:sz w:val="32"/>
          <w:szCs w:val="32"/>
          <w:highlight w:val="auto"/>
        </w:rPr>
        <w:t>构设置</w:t>
      </w:r>
      <w:bookmarkEnd w:id="14"/>
      <w:bookmarkEnd w:id="15"/>
    </w:p>
    <w:p>
      <w:pPr>
        <w:keepNext w:val="0"/>
        <w:keepLines w:val="0"/>
        <w:pageBreakBefore w:val="0"/>
        <w:widowControl w:val="0"/>
        <w:kinsoku/>
        <w:wordWrap/>
        <w:overflowPunct/>
        <w:topLinePunct w:val="0"/>
        <w:autoSpaceDE w:val="0"/>
        <w:autoSpaceDN w:val="0"/>
        <w:bidi w:val="0"/>
        <w:adjustRightInd/>
        <w:snapToGrid/>
        <w:spacing w:line="560" w:lineRule="exact"/>
        <w:ind w:right="0" w:firstLineChars="200" w:firstLine="640"/>
        <w:jc w:val="both"/>
        <w:textAlignment w:val="auto"/>
        <w:rPr>
          <w:rFonts w:ascii="Times New Roman" w:eastAsia="仿宋_GB2312" w:cs="Times New Roman" w:hAnsi="Times New Roman"/>
          <w:kern w:val="0"/>
          <w:sz w:val="32"/>
          <w:szCs w:val="32"/>
          <w:lang w:val="en-US"/>
        </w:rPr>
      </w:pPr>
      <w:bookmarkStart w:id="16" w:name="_Toc15377204"/>
      <w:bookmarkStart w:id="17" w:name="_Toc15396602"/>
      <w:r>
        <w:rPr>
          <w:rFonts w:ascii="Times New Roman" w:eastAsia="仿宋_GB2312" w:cs="Times New Roman" w:hAnsi="Times New Roman"/>
          <w:kern w:val="0"/>
          <w:sz w:val="32"/>
          <w:szCs w:val="32"/>
          <w:lang w:val="en-US"/>
        </w:rPr>
        <w:t>科技农牧局下属二级单位0个，其中行政单位0个，参照公务员法管理的事业单位0个，其他事业单位0个。</w:t>
      </w:r>
    </w:p>
    <w:p>
      <w:pPr>
        <w:rPr>
          <w:rFonts w:ascii="方正小标宋_GBK" w:eastAsia="方正小标宋_GBK" w:cs="方正小标宋_GBK" w:hint="eastAsia"/>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eastAsia="方正小标宋_GBK" w:cs="方正小标宋_GBK" w:hint="eastAsia"/>
          <w:b w:val="0"/>
          <w:bCs w:val="0"/>
          <w:sz w:val="44"/>
          <w:szCs w:val="44"/>
        </w:rPr>
      </w:pPr>
      <w:r>
        <w:rPr>
          <w:rFonts w:ascii="方正小标宋_GBK" w:eastAsia="方正小标宋_GBK" w:cs="方正小标宋_GBK" w:hint="eastAsia"/>
          <w:b w:val="0"/>
          <w:bCs w:val="0"/>
          <w:sz w:val="44"/>
          <w:szCs w:val="44"/>
        </w:rPr>
        <w:t xml:space="preserve">第二部分 </w:t>
      </w:r>
      <w:r>
        <w:rPr>
          <w:rFonts w:ascii="方正小标宋_GBK" w:eastAsia="方正小标宋_GBK" w:cs="方正小标宋_GBK" w:hint="eastAsia"/>
          <w:b w:val="0"/>
          <w:bCs w:val="0"/>
          <w:sz w:val="44"/>
          <w:szCs w:val="44"/>
          <w:lang w:val="en-US" w:eastAsia="zh-CN"/>
        </w:rPr>
        <w:t>2022年度</w:t>
      </w:r>
      <w:r>
        <w:rPr>
          <w:rFonts w:ascii="方正小标宋_GBK" w:eastAsia="方正小标宋_GBK" w:cs="方正小标宋_GBK" w:hint="eastAsia"/>
          <w:b w:val="0"/>
          <w:bCs w:val="0"/>
          <w:sz w:val="44"/>
          <w:szCs w:val="44"/>
        </w:rPr>
        <w:t>部门决算情况说明</w:t>
      </w:r>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420"/>
        <w:textAlignment w:val="auto"/>
        <w:rPr>
          <w:color w:val="auto"/>
          <w:highlight w:val="auto"/>
        </w:rPr>
      </w:pPr>
    </w:p>
    <w:p>
      <w:pPr>
        <w:pStyle w:val="34"/>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1"/>
        <w:rPr>
          <w:rStyle w:val="2Char"/>
          <w:rFonts w:ascii="黑体" w:eastAsia="黑体"/>
          <w:b w:val="0"/>
          <w:color w:val="auto"/>
          <w:highlight w:val="auto"/>
        </w:rPr>
      </w:pPr>
      <w:bookmarkStart w:id="18" w:name="_Toc15377205"/>
      <w:bookmarkStart w:id="19" w:name="_Toc15396603"/>
      <w:r>
        <w:rPr>
          <w:rFonts w:ascii="黑体" w:eastAsia="黑体" w:cs="Times New Roman"/>
          <w:b w:val="0"/>
          <w:bCs/>
          <w:color w:val="auto"/>
          <w:kern w:val="2"/>
          <w:sz w:val="32"/>
          <w:szCs w:val="32"/>
          <w:lang w:val="en-US" w:eastAsia="zh-CN" w:bidi="ar-SA"/>
        </w:rPr>
        <w:t>一、</w:t>
      </w:r>
      <w:r>
        <w:rPr>
          <w:rFonts w:ascii="黑体" w:eastAsia="黑体" w:hint="eastAsia"/>
          <w:color w:val="auto"/>
          <w:sz w:val="32"/>
          <w:szCs w:val="32"/>
          <w:highlight w:val="auto"/>
        </w:rPr>
        <w:t>收</w:t>
      </w:r>
      <w:r>
        <w:rPr>
          <w:rStyle w:val="2Char"/>
          <w:rFonts w:ascii="黑体" w:eastAsia="黑体" w:hint="eastAsia"/>
          <w:b w:val="0"/>
          <w:color w:val="auto"/>
          <w:highlight w:val="auto"/>
        </w:rPr>
        <w:t>入支出决算总体情况说明</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auto"/>
          <w:sz w:val="32"/>
          <w:szCs w:val="32"/>
          <w:lang w:eastAsia="zh-CN"/>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年度收</w:t>
      </w:r>
      <w:r>
        <w:rPr>
          <w:rFonts w:ascii="仿宋_GB2312" w:eastAsia="仿宋_GB2312" w:cs="仿宋_GB2312" w:hint="eastAsia"/>
          <w:color w:val="auto"/>
          <w:sz w:val="32"/>
          <w:szCs w:val="32"/>
          <w:lang w:val="en-US" w:eastAsia="zh-CN"/>
          <w:highlight w:val="auto"/>
        </w:rPr>
        <w:t>入</w:t>
      </w:r>
      <w:r>
        <w:rPr>
          <w:rFonts w:ascii="仿宋_GB2312" w:eastAsia="仿宋_GB2312" w:cs="仿宋_GB2312" w:hint="eastAsia"/>
          <w:color w:val="auto"/>
          <w:sz w:val="32"/>
          <w:szCs w:val="32"/>
          <w:highlight w:val="auto"/>
        </w:rPr>
        <w:t>总计</w:t>
      </w:r>
      <w:r>
        <w:rPr>
          <w:rFonts w:ascii="仿宋_GB2312" w:eastAsia="仿宋_GB2312" w:cs="仿宋_GB2312" w:hint="eastAsia"/>
          <w:color w:val="auto"/>
          <w:sz w:val="32"/>
          <w:szCs w:val="32"/>
          <w:lang w:val="en-US" w:eastAsia="zh-CN"/>
          <w:highlight w:val="auto"/>
        </w:rPr>
        <w:t>5175.10</w:t>
      </w:r>
      <w:r>
        <w:rPr>
          <w:rFonts w:ascii="仿宋_GB2312" w:eastAsia="仿宋_GB2312" w:cs="仿宋_GB2312" w:hint="eastAsia"/>
          <w:color w:val="auto"/>
          <w:sz w:val="32"/>
          <w:szCs w:val="32"/>
          <w:highlight w:val="auto"/>
        </w:rPr>
        <w:t>万元。与20</w:t>
      </w:r>
      <w:r>
        <w:rPr>
          <w:rFonts w:ascii="仿宋_GB2312" w:eastAsia="仿宋_GB2312" w:cs="仿宋_GB2312" w:hint="eastAsia"/>
          <w:color w:val="auto"/>
          <w:sz w:val="32"/>
          <w:szCs w:val="32"/>
          <w:lang w:val="en-US" w:eastAsia="zh-CN"/>
          <w:highlight w:val="auto"/>
        </w:rPr>
        <w:t>21</w:t>
      </w:r>
      <w:r>
        <w:rPr>
          <w:rFonts w:ascii="仿宋_GB2312" w:eastAsia="仿宋_GB2312" w:cs="仿宋_GB2312" w:hint="eastAsia"/>
          <w:color w:val="auto"/>
          <w:sz w:val="32"/>
          <w:szCs w:val="32"/>
          <w:highlight w:val="auto"/>
        </w:rPr>
        <w:t>年相比收</w:t>
      </w:r>
      <w:r>
        <w:rPr>
          <w:rFonts w:ascii="仿宋_GB2312" w:eastAsia="仿宋_GB2312" w:cs="仿宋_GB2312" w:hint="eastAsia"/>
          <w:color w:val="auto"/>
          <w:sz w:val="32"/>
          <w:szCs w:val="32"/>
          <w:lang w:val="en-US" w:eastAsia="zh-CN"/>
          <w:highlight w:val="auto"/>
        </w:rPr>
        <w:t>入</w:t>
      </w:r>
      <w:r>
        <w:rPr>
          <w:rFonts w:ascii="仿宋_GB2312" w:eastAsia="仿宋_GB2312" w:cs="仿宋_GB2312" w:hint="eastAsia"/>
          <w:color w:val="auto"/>
          <w:sz w:val="32"/>
          <w:szCs w:val="32"/>
          <w:highlight w:val="auto"/>
        </w:rPr>
        <w:t>总计减少</w:t>
      </w:r>
      <w:r>
        <w:rPr>
          <w:rFonts w:ascii="仿宋_GB2312" w:eastAsia="仿宋_GB2312" w:cs="仿宋_GB2312" w:hint="eastAsia"/>
          <w:color w:val="auto"/>
          <w:sz w:val="32"/>
          <w:szCs w:val="32"/>
          <w:lang w:val="en-US" w:eastAsia="zh-CN"/>
          <w:highlight w:val="auto"/>
        </w:rPr>
        <w:t>3295.09</w:t>
      </w:r>
      <w:r>
        <w:rPr>
          <w:rFonts w:ascii="仿宋_GB2312" w:eastAsia="仿宋_GB2312" w:cs="仿宋_GB2312" w:hint="eastAsia"/>
          <w:color w:val="auto"/>
          <w:sz w:val="32"/>
          <w:szCs w:val="32"/>
          <w:highlight w:val="auto"/>
        </w:rPr>
        <w:t>万元，下降</w:t>
      </w:r>
      <w:r>
        <w:rPr>
          <w:rFonts w:ascii="仿宋_GB2312" w:eastAsia="仿宋_GB2312" w:cs="仿宋_GB2312" w:hint="eastAsia"/>
          <w:color w:val="auto"/>
          <w:sz w:val="32"/>
          <w:szCs w:val="32"/>
          <w:lang w:val="en-US" w:eastAsia="zh-CN"/>
          <w:highlight w:val="auto"/>
        </w:rPr>
        <w:t>38.90</w:t>
      </w:r>
      <w:r>
        <w:rPr>
          <w:rFonts w:ascii="仿宋_GB2312" w:eastAsia="仿宋_GB2312" w:cs="仿宋_GB2312" w:hint="eastAsia"/>
          <w:color w:val="auto"/>
          <w:sz w:val="32"/>
          <w:szCs w:val="32"/>
          <w:highlight w:val="auto"/>
        </w:rPr>
        <w:t>%。主要变动</w:t>
      </w:r>
      <w:r>
        <w:rPr>
          <w:rFonts w:ascii="仿宋_GB2312" w:eastAsia="仿宋_GB2312" w:cs="仿宋_GB2312" w:hint="eastAsia"/>
          <w:color w:val="auto"/>
          <w:sz w:val="32"/>
          <w:szCs w:val="32"/>
          <w:lang w:eastAsia="zh-CN"/>
          <w:highlight w:val="auto"/>
        </w:rPr>
        <w:t>原因</w:t>
      </w:r>
      <w:r>
        <w:rPr>
          <w:rFonts w:ascii="仿宋_GB2312" w:eastAsia="仿宋_GB2312" w:cs="仿宋_GB2312" w:hint="eastAsia"/>
          <w:color w:val="000000"/>
          <w:sz w:val="32"/>
          <w:szCs w:val="32"/>
          <w:lang w:val="en-US" w:eastAsia="zh-CN"/>
        </w:rPr>
        <w:t>乡村振兴项目户改厕、美丽壤巴拉家园划归乡村振兴局资金减少</w:t>
      </w:r>
      <w:r>
        <w:rPr>
          <w:rFonts w:ascii="仿宋_GB2312" w:eastAsia="仿宋_GB2312" w:cs="仿宋_GB2312" w:hint="eastAsia"/>
          <w:color w:val="auto"/>
          <w:sz w:val="32"/>
          <w:szCs w:val="32"/>
          <w:lang w:eastAsia="zh-CN"/>
          <w:highlight w:val="auto"/>
        </w:rPr>
        <w:t>。</w:t>
      </w:r>
    </w:p>
    <w:p>
      <w:pPr>
        <w:pStyle w:val="15"/>
        <w:rPr>
          <w:rFonts w:ascii="仿宋" w:eastAsia="仿宋" w:hint="eastAsia"/>
          <w:color w:val="auto"/>
          <w:sz w:val="32"/>
          <w:szCs w:val="32"/>
          <w:lang w:eastAsia="zh-CN"/>
          <w:highlight w:val="auto"/>
        </w:rPr>
      </w:pPr>
      <w:r>
        <w:drawing>
          <wp:inline distT="0" distB="0" distL="114300" distR="114300">
            <wp:extent cx="5440679" cy="263144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Fonts w:ascii="仿宋" w:eastAsia="仿宋"/>
          <w:color w:val="auto"/>
          <w:sz w:val="32"/>
          <w:szCs w:val="32"/>
          <w:highlight w:val="auto"/>
        </w:rPr>
      </w:pPr>
      <w:r>
        <w:rPr>
          <w:rFonts w:ascii="仿宋" w:eastAsia="仿宋" w:hint="eastAsia"/>
          <w:color w:val="auto"/>
          <w:sz w:val="32"/>
          <w:szCs w:val="32"/>
          <w:highlight w:val="auto"/>
        </w:rPr>
        <w:t>（图</w:t>
      </w:r>
      <w:r>
        <w:rPr>
          <w:rFonts w:ascii="仿宋" w:eastAsia="仿宋"/>
          <w:color w:val="auto"/>
          <w:sz w:val="32"/>
          <w:szCs w:val="32"/>
          <w:highlight w:val="auto"/>
        </w:rPr>
        <w:t>1</w:t>
      </w:r>
      <w:r>
        <w:rPr>
          <w:rFonts w:ascii="仿宋" w:eastAsia="仿宋" w:hint="eastAsia"/>
          <w:color w:val="auto"/>
          <w:sz w:val="32"/>
          <w:szCs w:val="32"/>
          <w:highlight w:val="auto"/>
        </w:rPr>
        <w:t>：</w:t>
      </w:r>
      <w:r>
        <w:rPr>
          <w:rFonts w:ascii="仿宋_GB2312" w:eastAsia="仿宋_GB2312" w:cs="仿宋_GB2312" w:hint="eastAsia"/>
          <w:color w:val="000000"/>
          <w:sz w:val="32"/>
          <w:szCs w:val="32"/>
          <w:lang w:val="en-US" w:eastAsia="zh-CN"/>
        </w:rPr>
        <w:t>收入决算总计变动情况图</w:t>
      </w:r>
      <w:r>
        <w:rPr>
          <w:rFonts w:ascii="仿宋" w:eastAsia="仿宋" w:hint="eastAsia"/>
          <w:color w:val="auto"/>
          <w:sz w:val="32"/>
          <w:szCs w:val="32"/>
          <w:highlight w:val="auto"/>
        </w:rPr>
        <w:t>）（</w:t>
      </w:r>
      <w:r>
        <w:rPr>
          <w:rFonts w:ascii="仿宋_GB2312" w:eastAsia="仿宋_GB2312" w:cs="仿宋_GB2312" w:hint="eastAsia"/>
          <w:color w:val="000000"/>
          <w:sz w:val="32"/>
          <w:szCs w:val="32"/>
          <w:lang w:val="en-US" w:eastAsia="zh-CN"/>
        </w:rPr>
        <w:t>柱状图</w:t>
      </w:r>
      <w:r>
        <w:rPr>
          <w:rFonts w:ascii="仿宋" w:eastAsia="仿宋" w:hint="eastAsia"/>
          <w:color w:val="auto"/>
          <w:sz w:val="32"/>
          <w:szCs w:val="32"/>
          <w:highlight w:val="auto"/>
        </w:rPr>
        <w:t>）</w:t>
      </w:r>
    </w:p>
    <w:p>
      <w:pPr>
        <w:spacing w:line="600" w:lineRule="exact"/>
        <w:ind w:firstLineChars="200" w:firstLine="640"/>
        <w:jc w:val="left"/>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年度</w:t>
      </w:r>
      <w:r>
        <w:rPr>
          <w:rFonts w:ascii="仿宋_GB2312" w:eastAsia="仿宋_GB2312" w:cs="仿宋_GB2312" w:hint="eastAsia"/>
          <w:color w:val="auto"/>
          <w:sz w:val="32"/>
          <w:szCs w:val="32"/>
          <w:lang w:val="en-US" w:eastAsia="zh-CN"/>
          <w:highlight w:val="auto"/>
        </w:rPr>
        <w:t>支出</w:t>
      </w:r>
      <w:r>
        <w:rPr>
          <w:rFonts w:ascii="仿宋_GB2312" w:eastAsia="仿宋_GB2312" w:cs="仿宋_GB2312" w:hint="eastAsia"/>
          <w:color w:val="auto"/>
          <w:sz w:val="32"/>
          <w:szCs w:val="32"/>
          <w:highlight w:val="auto"/>
        </w:rPr>
        <w:t>总计</w:t>
      </w:r>
      <w:r>
        <w:rPr>
          <w:rFonts w:ascii="仿宋_GB2312" w:eastAsia="仿宋_GB2312" w:cs="仿宋_GB2312" w:hint="eastAsia"/>
          <w:color w:val="auto"/>
          <w:sz w:val="32"/>
          <w:szCs w:val="32"/>
          <w:lang w:val="en-US" w:eastAsia="zh-CN"/>
          <w:highlight w:val="auto"/>
        </w:rPr>
        <w:t>5175.10</w:t>
      </w:r>
      <w:r>
        <w:rPr>
          <w:rFonts w:ascii="仿宋_GB2312" w:eastAsia="仿宋_GB2312" w:cs="仿宋_GB2312" w:hint="eastAsia"/>
          <w:color w:val="auto"/>
          <w:sz w:val="32"/>
          <w:szCs w:val="32"/>
          <w:highlight w:val="auto"/>
        </w:rPr>
        <w:t>万元。与20</w:t>
      </w:r>
      <w:r>
        <w:rPr>
          <w:rFonts w:ascii="仿宋_GB2312" w:eastAsia="仿宋_GB2312" w:cs="仿宋_GB2312" w:hint="eastAsia"/>
          <w:color w:val="auto"/>
          <w:sz w:val="32"/>
          <w:szCs w:val="32"/>
          <w:lang w:val="en-US" w:eastAsia="zh-CN"/>
          <w:highlight w:val="auto"/>
        </w:rPr>
        <w:t>21</w:t>
      </w:r>
      <w:r>
        <w:rPr>
          <w:rFonts w:ascii="仿宋_GB2312" w:eastAsia="仿宋_GB2312" w:cs="仿宋_GB2312" w:hint="eastAsia"/>
          <w:color w:val="auto"/>
          <w:sz w:val="32"/>
          <w:szCs w:val="32"/>
          <w:highlight w:val="auto"/>
        </w:rPr>
        <w:t>年相比</w:t>
      </w:r>
      <w:r>
        <w:rPr>
          <w:rFonts w:ascii="仿宋_GB2312" w:eastAsia="仿宋_GB2312" w:cs="仿宋_GB2312" w:hint="eastAsia"/>
          <w:color w:val="auto"/>
          <w:sz w:val="32"/>
          <w:szCs w:val="32"/>
          <w:lang w:val="en-US" w:eastAsia="zh-CN"/>
          <w:highlight w:val="auto"/>
        </w:rPr>
        <w:t>支出</w:t>
      </w:r>
      <w:r>
        <w:rPr>
          <w:rFonts w:ascii="仿宋_GB2312" w:eastAsia="仿宋_GB2312" w:cs="仿宋_GB2312" w:hint="eastAsia"/>
          <w:color w:val="auto"/>
          <w:sz w:val="32"/>
          <w:szCs w:val="32"/>
          <w:highlight w:val="auto"/>
        </w:rPr>
        <w:t>总计减少</w:t>
      </w:r>
      <w:r>
        <w:rPr>
          <w:rFonts w:ascii="仿宋_GB2312" w:eastAsia="仿宋_GB2312" w:cs="仿宋_GB2312" w:hint="eastAsia"/>
          <w:color w:val="auto"/>
          <w:sz w:val="32"/>
          <w:szCs w:val="32"/>
          <w:lang w:val="en-US" w:eastAsia="zh-CN"/>
          <w:highlight w:val="auto"/>
        </w:rPr>
        <w:t>3295.09</w:t>
      </w:r>
      <w:r>
        <w:rPr>
          <w:rFonts w:ascii="仿宋_GB2312" w:eastAsia="仿宋_GB2312" w:cs="仿宋_GB2312" w:hint="eastAsia"/>
          <w:color w:val="auto"/>
          <w:sz w:val="32"/>
          <w:szCs w:val="32"/>
          <w:highlight w:val="auto"/>
        </w:rPr>
        <w:t>万元，下降</w:t>
      </w:r>
      <w:r>
        <w:rPr>
          <w:rFonts w:ascii="仿宋_GB2312" w:eastAsia="仿宋_GB2312" w:cs="仿宋_GB2312" w:hint="eastAsia"/>
          <w:color w:val="auto"/>
          <w:sz w:val="32"/>
          <w:szCs w:val="32"/>
          <w:lang w:val="en-US" w:eastAsia="zh-CN"/>
          <w:highlight w:val="auto"/>
        </w:rPr>
        <w:t>38.90</w:t>
      </w:r>
      <w:r>
        <w:rPr>
          <w:rFonts w:ascii="仿宋_GB2312" w:eastAsia="仿宋_GB2312" w:cs="仿宋_GB2312" w:hint="eastAsia"/>
          <w:color w:val="auto"/>
          <w:sz w:val="32"/>
          <w:szCs w:val="32"/>
          <w:highlight w:val="auto"/>
        </w:rPr>
        <w:t>%。主要变动</w:t>
      </w:r>
      <w:r>
        <w:rPr>
          <w:rFonts w:ascii="仿宋_GB2312" w:eastAsia="仿宋_GB2312" w:cs="仿宋_GB2312" w:hint="eastAsia"/>
          <w:color w:val="auto"/>
          <w:sz w:val="32"/>
          <w:szCs w:val="32"/>
          <w:lang w:eastAsia="zh-CN"/>
          <w:highlight w:val="auto"/>
        </w:rPr>
        <w:t>原因</w:t>
      </w:r>
      <w:r>
        <w:rPr>
          <w:rFonts w:ascii="仿宋_GB2312" w:eastAsia="仿宋_GB2312" w:cs="仿宋_GB2312" w:hint="eastAsia"/>
          <w:color w:val="000000"/>
          <w:sz w:val="32"/>
          <w:szCs w:val="32"/>
          <w:lang w:val="en-US" w:eastAsia="zh-CN"/>
        </w:rPr>
        <w:t>乡村振兴项目户改厕、美丽壤巴拉家园划归乡村振兴局资金减少</w:t>
      </w:r>
      <w:r>
        <w:rPr>
          <w:rFonts w:ascii="仿宋_GB2312" w:eastAsia="仿宋_GB2312" w:cs="仿宋_GB2312" w:hint="eastAsia"/>
          <w:color w:val="auto"/>
          <w:sz w:val="32"/>
          <w:szCs w:val="32"/>
          <w:lang w:eastAsia="zh-CN"/>
          <w:highlight w:val="auto"/>
        </w:rPr>
        <w:t>。</w:t>
      </w:r>
    </w:p>
    <w:p>
      <w:pPr>
        <w:pStyle w:val="15"/>
        <w:rPr>
          <w:rFonts w:ascii="仿宋_GB2312" w:eastAsia="仿宋_GB2312"/>
          <w:color w:val="auto"/>
          <w:sz w:val="32"/>
          <w:szCs w:val="32"/>
          <w:highlight w:val="auto"/>
        </w:rPr>
      </w:pPr>
      <w:r>
        <w:drawing>
          <wp:inline distT="0" distB="0" distL="114300" distR="114300">
            <wp:extent cx="5388610" cy="235394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rPr>
          <w:rFonts w:ascii="仿宋" w:eastAsia="仿宋"/>
          <w:color w:val="auto"/>
          <w:sz w:val="32"/>
          <w:szCs w:val="32"/>
          <w:highlight w:val="auto"/>
        </w:rPr>
      </w:pPr>
      <w:r>
        <w:rPr>
          <w:rFonts w:ascii="仿宋" w:eastAsia="仿宋" w:hint="eastAsia"/>
          <w:color w:val="auto"/>
          <w:sz w:val="32"/>
          <w:szCs w:val="32"/>
          <w:highlight w:val="auto"/>
        </w:rPr>
        <w:t>（</w:t>
      </w:r>
      <w:r>
        <w:rPr>
          <w:rFonts w:ascii="仿宋_GB2312" w:eastAsia="仿宋_GB2312" w:cs="仿宋_GB2312" w:hint="eastAsia"/>
          <w:color w:val="auto"/>
          <w:sz w:val="32"/>
          <w:szCs w:val="32"/>
          <w:highlight w:val="auto"/>
        </w:rPr>
        <w:t>图1：支</w:t>
      </w:r>
      <w:r>
        <w:rPr>
          <w:rFonts w:ascii="仿宋_GB2312" w:eastAsia="仿宋_GB2312" w:cs="仿宋_GB2312" w:hint="eastAsia"/>
          <w:color w:val="auto"/>
          <w:sz w:val="32"/>
          <w:szCs w:val="32"/>
          <w:lang w:val="en-US" w:eastAsia="zh-CN"/>
          <w:highlight w:val="auto"/>
        </w:rPr>
        <w:t>出</w:t>
      </w:r>
      <w:r>
        <w:rPr>
          <w:rFonts w:ascii="仿宋_GB2312" w:eastAsia="仿宋_GB2312" w:cs="仿宋_GB2312" w:hint="eastAsia"/>
          <w:color w:val="auto"/>
          <w:sz w:val="32"/>
          <w:szCs w:val="32"/>
          <w:highlight w:val="auto"/>
        </w:rPr>
        <w:t>决算总计变动情况图）（柱状图</w:t>
      </w:r>
      <w:r>
        <w:rPr>
          <w:rFonts w:ascii="仿宋" w:eastAsia="仿宋" w:hint="eastAsia"/>
          <w:color w:val="auto"/>
          <w:sz w:val="32"/>
          <w:szCs w:val="32"/>
          <w:highlight w:val="auto"/>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1"/>
        <w:rPr>
          <w:rStyle w:val="2Char"/>
          <w:rFonts w:ascii="黑体" w:eastAsia="黑体"/>
          <w:b w:val="0"/>
          <w:color w:val="auto"/>
          <w:highlight w:val="auto"/>
        </w:rPr>
      </w:pPr>
      <w:bookmarkStart w:id="20" w:name="_Toc15377206"/>
      <w:bookmarkStart w:id="21" w:name="_Toc15396604"/>
      <w:r>
        <w:rPr>
          <w:rFonts w:ascii="黑体" w:eastAsia="黑体" w:cs="Times New Roman"/>
          <w:b w:val="0"/>
          <w:bCs/>
          <w:color w:val="auto"/>
          <w:kern w:val="2"/>
          <w:sz w:val="32"/>
          <w:szCs w:val="32"/>
          <w:lang w:val="en-US" w:eastAsia="zh-CN" w:bidi="ar-SA"/>
        </w:rPr>
        <w:t>二、</w:t>
      </w:r>
      <w:r>
        <w:rPr>
          <w:rFonts w:ascii="黑体" w:eastAsia="黑体" w:hint="eastAsia"/>
          <w:color w:val="auto"/>
          <w:sz w:val="32"/>
          <w:szCs w:val="32"/>
          <w:highlight w:val="auto"/>
        </w:rPr>
        <w:t>收</w:t>
      </w:r>
      <w:r>
        <w:rPr>
          <w:rStyle w:val="2Char"/>
          <w:rFonts w:ascii="黑体" w:eastAsia="黑体" w:hint="eastAsia"/>
          <w:b w:val="0"/>
          <w:color w:val="auto"/>
          <w:highlight w:val="auto"/>
        </w:rPr>
        <w:t>入决算情况说明</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年本年收入合计</w:t>
      </w:r>
      <w:r>
        <w:rPr>
          <w:rFonts w:ascii="仿宋_GB2312" w:eastAsia="仿宋_GB2312" w:cs="仿宋_GB2312" w:hint="eastAsia"/>
          <w:color w:val="auto"/>
          <w:sz w:val="32"/>
          <w:szCs w:val="32"/>
          <w:lang w:val="en-US" w:eastAsia="zh-CN"/>
          <w:highlight w:val="auto"/>
        </w:rPr>
        <w:t>4753.63</w:t>
      </w:r>
      <w:r>
        <w:rPr>
          <w:rFonts w:ascii="仿宋_GB2312" w:eastAsia="仿宋_GB2312" w:cs="仿宋_GB2312" w:hint="eastAsia"/>
          <w:color w:val="auto"/>
          <w:sz w:val="32"/>
          <w:szCs w:val="32"/>
          <w:highlight w:val="auto"/>
        </w:rPr>
        <w:t>万元，其中：一般公共预算财政拨款收入</w:t>
      </w:r>
      <w:r>
        <w:rPr>
          <w:rFonts w:ascii="仿宋_GB2312" w:eastAsia="仿宋_GB2312" w:cs="仿宋_GB2312" w:hint="eastAsia"/>
          <w:color w:val="auto"/>
          <w:sz w:val="32"/>
          <w:szCs w:val="32"/>
          <w:lang w:val="en-US" w:eastAsia="zh-CN"/>
          <w:highlight w:val="auto"/>
        </w:rPr>
        <w:t>4753.63</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100</w:t>
      </w:r>
      <w:r>
        <w:rPr>
          <w:rFonts w:ascii="仿宋_GB2312" w:eastAsia="仿宋_GB2312" w:cs="仿宋_GB2312" w:hint="eastAsia"/>
          <w:color w:val="auto"/>
          <w:sz w:val="32"/>
          <w:szCs w:val="32"/>
          <w:highlight w:val="auto"/>
        </w:rPr>
        <w:t>%。</w:t>
      </w:r>
    </w:p>
    <w:p>
      <w:pPr>
        <w:pStyle w:val="15"/>
        <w:rPr>
          <w:rFonts w:ascii="仿宋" w:eastAsia="仿宋" w:hint="eastAsia"/>
          <w:color w:val="auto"/>
          <w:sz w:val="32"/>
          <w:szCs w:val="32"/>
          <w:highlight w:val="auto"/>
        </w:rPr>
      </w:pPr>
      <w:r>
        <w:drawing>
          <wp:inline distT="0" distB="0" distL="114300" distR="114300">
            <wp:extent cx="5360035" cy="2808605"/>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200" w:firstLine="640"/>
        <w:rPr>
          <w:rFonts w:ascii="仿宋" w:eastAsia="仿宋" w:hint="eastAsia"/>
          <w:color w:val="auto"/>
          <w:sz w:val="32"/>
          <w:szCs w:val="32"/>
          <w:highlight w:val="auto"/>
        </w:rPr>
      </w:pPr>
      <w:r>
        <w:rPr>
          <w:rFonts w:ascii="仿宋" w:eastAsia="仿宋" w:hint="eastAsia"/>
          <w:color w:val="auto"/>
          <w:sz w:val="32"/>
          <w:szCs w:val="32"/>
          <w:highlight w:val="auto"/>
        </w:rPr>
        <w:t>（</w:t>
      </w:r>
      <w:r>
        <w:rPr>
          <w:rFonts w:ascii="仿宋_GB2312" w:eastAsia="仿宋_GB2312" w:cs="仿宋_GB2312" w:hint="eastAsia"/>
          <w:color w:val="auto"/>
          <w:sz w:val="32"/>
          <w:szCs w:val="32"/>
          <w:highlight w:val="auto"/>
        </w:rPr>
        <w:t>图2：收入决算结构图）（饼状图</w:t>
      </w:r>
      <w:r>
        <w:rPr>
          <w:rFonts w:ascii="仿宋" w:eastAsia="仿宋" w:hint="eastAsia"/>
          <w:color w:val="auto"/>
          <w:sz w:val="32"/>
          <w:szCs w:val="32"/>
          <w:highlight w:val="auto"/>
        </w:rPr>
        <w:t>）</w:t>
      </w:r>
    </w:p>
    <w:p>
      <w:pPr>
        <w:pStyle w:val="15"/>
        <w:rPr>
          <w:rFonts w:ascii="仿宋" w:eastAsia="仿宋" w:hint="eastAsia"/>
          <w:color w:val="auto"/>
          <w:sz w:val="32"/>
          <w:szCs w:val="32"/>
          <w:highlight w:val="auto"/>
        </w:rPr>
      </w:pPr>
    </w:p>
    <w:p>
      <w:pPr>
        <w:pStyle w:val="34"/>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1"/>
        <w:rPr>
          <w:rStyle w:val="2Char"/>
          <w:rFonts w:ascii="黑体" w:eastAsia="黑体"/>
          <w:b w:val="0"/>
          <w:color w:val="auto"/>
          <w:highlight w:val="auto"/>
        </w:rPr>
      </w:pPr>
      <w:bookmarkStart w:id="22" w:name="_Toc15396605"/>
      <w:bookmarkStart w:id="23" w:name="_Toc15377207"/>
      <w:r>
        <w:rPr>
          <w:rFonts w:ascii="黑体" w:eastAsia="黑体" w:cs="Times New Roman"/>
          <w:b w:val="0"/>
          <w:bCs/>
          <w:color w:val="auto"/>
          <w:kern w:val="2"/>
          <w:sz w:val="32"/>
          <w:szCs w:val="32"/>
          <w:lang w:val="en-US" w:eastAsia="zh-CN" w:bidi="ar-SA"/>
        </w:rPr>
        <w:t>三、</w:t>
      </w:r>
      <w:r>
        <w:rPr>
          <w:rFonts w:ascii="黑体" w:eastAsia="黑体" w:hint="eastAsia"/>
          <w:color w:val="auto"/>
          <w:sz w:val="32"/>
          <w:szCs w:val="32"/>
          <w:highlight w:val="auto"/>
        </w:rPr>
        <w:t>支</w:t>
      </w:r>
      <w:r>
        <w:rPr>
          <w:rStyle w:val="2Char"/>
          <w:rFonts w:ascii="黑体" w:eastAsia="黑体" w:hint="eastAsia"/>
          <w:b w:val="0"/>
          <w:color w:val="auto"/>
          <w:highlight w:val="auto"/>
        </w:rPr>
        <w:t>出决算情况说明</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年本年支出合计</w:t>
      </w:r>
      <w:r>
        <w:rPr>
          <w:rFonts w:ascii="仿宋_GB2312" w:eastAsia="仿宋_GB2312" w:cs="仿宋_GB2312" w:hint="eastAsia"/>
          <w:color w:val="auto"/>
          <w:sz w:val="32"/>
          <w:szCs w:val="32"/>
          <w:lang w:val="en-US" w:eastAsia="zh-CN"/>
          <w:highlight w:val="auto"/>
        </w:rPr>
        <w:t>5175.10</w:t>
      </w:r>
      <w:r>
        <w:rPr>
          <w:rFonts w:ascii="仿宋_GB2312" w:eastAsia="仿宋_GB2312" w:cs="仿宋_GB2312" w:hint="eastAsia"/>
          <w:color w:val="auto"/>
          <w:sz w:val="32"/>
          <w:szCs w:val="32"/>
          <w:highlight w:val="auto"/>
        </w:rPr>
        <w:t>万元，其中：基本支出</w:t>
      </w:r>
      <w:r>
        <w:rPr>
          <w:rFonts w:ascii="仿宋_GB2312" w:eastAsia="仿宋_GB2312" w:cs="仿宋_GB2312" w:hint="eastAsia"/>
          <w:color w:val="auto"/>
          <w:sz w:val="32"/>
          <w:szCs w:val="32"/>
          <w:lang w:val="en-US" w:eastAsia="zh-CN"/>
          <w:highlight w:val="auto"/>
        </w:rPr>
        <w:t>899.46</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17.38</w:t>
      </w:r>
      <w:r>
        <w:rPr>
          <w:rFonts w:ascii="仿宋_GB2312" w:eastAsia="仿宋_GB2312" w:cs="仿宋_GB2312" w:hint="eastAsia"/>
          <w:color w:val="auto"/>
          <w:sz w:val="32"/>
          <w:szCs w:val="32"/>
          <w:highlight w:val="auto"/>
        </w:rPr>
        <w:t>%；项目支出</w:t>
      </w:r>
      <w:r>
        <w:rPr>
          <w:rFonts w:ascii="仿宋_GB2312" w:eastAsia="仿宋_GB2312" w:cs="仿宋_GB2312" w:hint="eastAsia"/>
          <w:color w:val="auto"/>
          <w:sz w:val="32"/>
          <w:szCs w:val="32"/>
          <w:lang w:val="en-US" w:eastAsia="zh-CN"/>
          <w:highlight w:val="auto"/>
        </w:rPr>
        <w:t>4275.64</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82.62</w:t>
      </w:r>
      <w:r>
        <w:rPr>
          <w:rFonts w:ascii="仿宋_GB2312" w:eastAsia="仿宋_GB2312" w:cs="仿宋_GB2312" w:hint="eastAsia"/>
          <w:color w:val="auto"/>
          <w:sz w:val="32"/>
          <w:szCs w:val="32"/>
          <w:highlight w:val="auto"/>
        </w:rPr>
        <w:t>%。</w:t>
      </w:r>
    </w:p>
    <w:p>
      <w:pPr>
        <w:pStyle w:val="15"/>
        <w:rPr>
          <w:rFonts w:ascii="仿宋" w:eastAsia="仿宋" w:hint="eastAsia"/>
          <w:color w:val="auto"/>
          <w:sz w:val="32"/>
          <w:szCs w:val="32"/>
          <w:highlight w:val="auto"/>
        </w:rPr>
      </w:pPr>
      <w:r>
        <w:drawing>
          <wp:inline distT="0" distB="0" distL="114300" distR="114300">
            <wp:extent cx="4572000" cy="2318385"/>
            <wp:effectExtent l="0" t="0" r="0" b="0"/>
            <wp:docPr id="4" name="图表 4"/>
            <wp:cNvGraphicFramePr>
              <a:graphicFrameLocks noChangeAspect="0"/>
            </wp:cNvGraphicFramePr>
            <a:graphic>
              <a:graphicData uri="http://schemas.openxmlformats.org/drawingml/2006/chart">
                <c:chart xmlns:c="http://schemas.openxmlformats.org/drawingml/2006/chart" r:id="rId7"/>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（图3：支出决算结构图）（饼状图）</w:t>
      </w:r>
    </w:p>
    <w:p>
      <w:pPr>
        <w:spacing w:line="600" w:lineRule="exact"/>
        <w:ind w:firstLineChars="200" w:firstLine="640"/>
        <w:outlineLvl w:val="1"/>
        <w:rPr>
          <w:rStyle w:val="2Char"/>
          <w:rFonts w:ascii="黑体" w:eastAsia="黑体"/>
          <w:b w:val="0"/>
          <w:color w:val="auto"/>
          <w:highlight w:val="auto"/>
        </w:rPr>
      </w:pPr>
      <w:bookmarkStart w:id="24" w:name="_Toc15396606"/>
      <w:bookmarkStart w:id="25" w:name="_Toc15377208"/>
      <w:r>
        <w:rPr>
          <w:rFonts w:ascii="黑体" w:eastAsia="黑体" w:hint="eastAsia"/>
          <w:color w:val="auto"/>
          <w:sz w:val="32"/>
          <w:szCs w:val="32"/>
          <w:highlight w:val="auto"/>
        </w:rPr>
        <w:t>四、财</w:t>
      </w:r>
      <w:r>
        <w:rPr>
          <w:rStyle w:val="2Char"/>
          <w:rFonts w:ascii="黑体" w:eastAsia="黑体" w:hint="eastAsia"/>
          <w:b w:val="0"/>
          <w:color w:val="auto"/>
          <w:highlight w:val="auto"/>
        </w:rPr>
        <w:t>政拨款收入支出决算总体情况说明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auto"/>
          <w:sz w:val="32"/>
          <w:szCs w:val="32"/>
          <w:lang w:eastAsia="zh-CN"/>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年度</w:t>
      </w:r>
      <w:r>
        <w:rPr>
          <w:rFonts w:ascii="仿宋_GB2312" w:eastAsia="仿宋_GB2312" w:cs="仿宋_GB2312" w:hint="eastAsia"/>
          <w:color w:val="auto"/>
          <w:sz w:val="32"/>
          <w:szCs w:val="32"/>
          <w:lang w:val="en-US" w:eastAsia="zh-CN"/>
          <w:highlight w:val="auto"/>
        </w:rPr>
        <w:t>财政拨款</w:t>
      </w:r>
      <w:r>
        <w:rPr>
          <w:rFonts w:ascii="仿宋_GB2312" w:eastAsia="仿宋_GB2312" w:cs="仿宋_GB2312" w:hint="eastAsia"/>
          <w:color w:val="auto"/>
          <w:sz w:val="32"/>
          <w:szCs w:val="32"/>
          <w:highlight w:val="auto"/>
        </w:rPr>
        <w:t>收</w:t>
      </w:r>
      <w:r>
        <w:rPr>
          <w:rFonts w:ascii="仿宋_GB2312" w:eastAsia="仿宋_GB2312" w:cs="仿宋_GB2312" w:hint="eastAsia"/>
          <w:color w:val="auto"/>
          <w:sz w:val="32"/>
          <w:szCs w:val="32"/>
          <w:lang w:val="en-US" w:eastAsia="zh-CN"/>
          <w:highlight w:val="auto"/>
        </w:rPr>
        <w:t>入</w:t>
      </w:r>
      <w:r>
        <w:rPr>
          <w:rFonts w:ascii="仿宋_GB2312" w:eastAsia="仿宋_GB2312" w:cs="仿宋_GB2312" w:hint="eastAsia"/>
          <w:color w:val="auto"/>
          <w:sz w:val="32"/>
          <w:szCs w:val="32"/>
          <w:highlight w:val="auto"/>
        </w:rPr>
        <w:t>总计</w:t>
      </w:r>
      <w:r>
        <w:rPr>
          <w:rFonts w:ascii="仿宋_GB2312" w:eastAsia="仿宋_GB2312" w:cs="仿宋_GB2312" w:hint="eastAsia"/>
          <w:color w:val="auto"/>
          <w:sz w:val="32"/>
          <w:szCs w:val="32"/>
          <w:lang w:val="en-US" w:eastAsia="zh-CN"/>
          <w:highlight w:val="auto"/>
        </w:rPr>
        <w:t>4753.63</w:t>
      </w:r>
      <w:r>
        <w:rPr>
          <w:rFonts w:ascii="仿宋_GB2312" w:eastAsia="仿宋_GB2312" w:cs="仿宋_GB2312" w:hint="eastAsia"/>
          <w:color w:val="auto"/>
          <w:sz w:val="32"/>
          <w:szCs w:val="32"/>
          <w:highlight w:val="auto"/>
        </w:rPr>
        <w:t>万元。与20</w:t>
      </w:r>
      <w:r>
        <w:rPr>
          <w:rFonts w:ascii="仿宋_GB2312" w:eastAsia="仿宋_GB2312" w:cs="仿宋_GB2312" w:hint="eastAsia"/>
          <w:color w:val="auto"/>
          <w:sz w:val="32"/>
          <w:szCs w:val="32"/>
          <w:lang w:val="en-US" w:eastAsia="zh-CN"/>
          <w:highlight w:val="auto"/>
        </w:rPr>
        <w:t>21</w:t>
      </w:r>
      <w:r>
        <w:rPr>
          <w:rFonts w:ascii="仿宋_GB2312" w:eastAsia="仿宋_GB2312" w:cs="仿宋_GB2312" w:hint="eastAsia"/>
          <w:color w:val="auto"/>
          <w:sz w:val="32"/>
          <w:szCs w:val="32"/>
          <w:highlight w:val="auto"/>
        </w:rPr>
        <w:t>年相比</w:t>
      </w:r>
      <w:r>
        <w:rPr>
          <w:rFonts w:ascii="仿宋_GB2312" w:eastAsia="仿宋_GB2312" w:cs="仿宋_GB2312" w:hint="eastAsia"/>
          <w:color w:val="auto"/>
          <w:sz w:val="32"/>
          <w:szCs w:val="32"/>
          <w:lang w:val="en-US" w:eastAsia="zh-CN"/>
          <w:highlight w:val="auto"/>
        </w:rPr>
        <w:t>财政拨款</w:t>
      </w:r>
      <w:r>
        <w:rPr>
          <w:rFonts w:ascii="仿宋_GB2312" w:eastAsia="仿宋_GB2312" w:cs="仿宋_GB2312" w:hint="eastAsia"/>
          <w:color w:val="auto"/>
          <w:sz w:val="32"/>
          <w:szCs w:val="32"/>
          <w:highlight w:val="auto"/>
        </w:rPr>
        <w:t>收</w:t>
      </w:r>
      <w:r>
        <w:rPr>
          <w:rFonts w:ascii="仿宋_GB2312" w:eastAsia="仿宋_GB2312" w:cs="仿宋_GB2312" w:hint="eastAsia"/>
          <w:color w:val="auto"/>
          <w:sz w:val="32"/>
          <w:szCs w:val="32"/>
          <w:lang w:val="en-US" w:eastAsia="zh-CN"/>
          <w:highlight w:val="auto"/>
        </w:rPr>
        <w:t>入</w:t>
      </w:r>
      <w:r>
        <w:rPr>
          <w:rFonts w:ascii="仿宋_GB2312" w:eastAsia="仿宋_GB2312" w:cs="仿宋_GB2312" w:hint="eastAsia"/>
          <w:color w:val="auto"/>
          <w:sz w:val="32"/>
          <w:szCs w:val="32"/>
          <w:highlight w:val="auto"/>
        </w:rPr>
        <w:t>总计减少</w:t>
      </w:r>
      <w:r>
        <w:rPr>
          <w:rFonts w:ascii="仿宋_GB2312" w:eastAsia="仿宋_GB2312" w:cs="仿宋_GB2312" w:hint="eastAsia"/>
          <w:color w:val="auto"/>
          <w:sz w:val="32"/>
          <w:szCs w:val="32"/>
          <w:lang w:val="en-US" w:eastAsia="zh-CN"/>
          <w:highlight w:val="auto"/>
        </w:rPr>
        <w:t>3069.72</w:t>
      </w:r>
      <w:r>
        <w:rPr>
          <w:rFonts w:ascii="仿宋_GB2312" w:eastAsia="仿宋_GB2312" w:cs="仿宋_GB2312" w:hint="eastAsia"/>
          <w:color w:val="auto"/>
          <w:sz w:val="32"/>
          <w:szCs w:val="32"/>
          <w:highlight w:val="auto"/>
        </w:rPr>
        <w:t>万元，下降</w:t>
      </w:r>
      <w:r>
        <w:rPr>
          <w:rFonts w:ascii="仿宋_GB2312" w:eastAsia="仿宋_GB2312" w:cs="仿宋_GB2312" w:hint="eastAsia"/>
          <w:color w:val="auto"/>
          <w:sz w:val="32"/>
          <w:szCs w:val="32"/>
          <w:lang w:val="en-US" w:eastAsia="zh-CN"/>
          <w:highlight w:val="auto"/>
        </w:rPr>
        <w:t>39.24</w:t>
      </w:r>
      <w:r>
        <w:rPr>
          <w:rFonts w:ascii="仿宋_GB2312" w:eastAsia="仿宋_GB2312" w:cs="仿宋_GB2312" w:hint="eastAsia"/>
          <w:color w:val="auto"/>
          <w:sz w:val="32"/>
          <w:szCs w:val="32"/>
          <w:highlight w:val="auto"/>
        </w:rPr>
        <w:t>%。主要变动</w:t>
      </w:r>
      <w:r>
        <w:rPr>
          <w:rFonts w:ascii="仿宋_GB2312" w:eastAsia="仿宋_GB2312" w:cs="仿宋_GB2312" w:hint="eastAsia"/>
          <w:color w:val="auto"/>
          <w:sz w:val="32"/>
          <w:szCs w:val="32"/>
          <w:lang w:eastAsia="zh-CN"/>
          <w:highlight w:val="auto"/>
        </w:rPr>
        <w:t>原因</w:t>
      </w:r>
      <w:r>
        <w:rPr>
          <w:rFonts w:ascii="仿宋_GB2312" w:eastAsia="仿宋_GB2312" w:cs="仿宋_GB2312"/>
          <w:color w:val="auto"/>
          <w:sz w:val="32"/>
          <w:szCs w:val="32"/>
          <w:lang w:val="en-US" w:eastAsia="zh-CN"/>
          <w:highlight w:val="auto"/>
        </w:rPr>
        <w:t>乡村振兴项目户改厕、美丽壤巴拉家园</w:t>
      </w:r>
      <w:r>
        <w:rPr>
          <w:rFonts w:ascii="仿宋_GB2312" w:eastAsia="仿宋_GB2312" w:cs="仿宋_GB2312" w:hint="eastAsia"/>
          <w:color w:val="auto"/>
          <w:sz w:val="32"/>
          <w:szCs w:val="32"/>
          <w:lang w:val="en-US" w:eastAsia="zh-CN"/>
          <w:highlight w:val="auto"/>
        </w:rPr>
        <w:t>划归乡村振兴局资金减少</w:t>
      </w:r>
      <w:r>
        <w:rPr>
          <w:rFonts w:ascii="仿宋_GB2312" w:eastAsia="仿宋_GB2312" w:cs="仿宋_GB2312" w:hint="eastAsia"/>
          <w:color w:val="auto"/>
          <w:sz w:val="32"/>
          <w:szCs w:val="32"/>
          <w:lang w:eastAsia="zh-CN"/>
          <w:highlight w:val="auto"/>
        </w:rPr>
        <w:t>。</w:t>
      </w:r>
    </w:p>
    <w:p>
      <w:pPr>
        <w:pStyle w:val="15"/>
        <w:ind w:firstLineChars="200" w:firstLine="600"/>
        <w:rPr>
          <w:rFonts w:ascii="仿宋" w:eastAsia="仿宋" w:hint="eastAsia"/>
          <w:color w:val="auto"/>
          <w:sz w:val="32"/>
          <w:szCs w:val="32"/>
          <w:lang w:eastAsia="zh-CN"/>
          <w:highlight w:val="auto"/>
        </w:rPr>
      </w:pPr>
      <w:r>
        <w:drawing>
          <wp:inline distT="0" distB="0" distL="114300" distR="114300">
            <wp:extent cx="4820285" cy="2194560"/>
            <wp:effectExtent l="0" t="0" r="0" b="0"/>
            <wp:docPr id="5"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（图4：财政拨款收</w:t>
      </w:r>
      <w:r>
        <w:rPr>
          <w:rFonts w:ascii="仿宋_GB2312" w:eastAsia="仿宋_GB2312" w:cs="仿宋_GB2312" w:hint="eastAsia"/>
          <w:color w:val="auto"/>
          <w:sz w:val="32"/>
          <w:szCs w:val="32"/>
          <w:lang w:val="en-US" w:eastAsia="zh-CN"/>
          <w:highlight w:val="auto"/>
        </w:rPr>
        <w:t>入</w:t>
      </w:r>
      <w:r>
        <w:rPr>
          <w:rFonts w:ascii="仿宋_GB2312" w:eastAsia="仿宋_GB2312" w:cs="仿宋_GB2312" w:hint="eastAsia"/>
          <w:color w:val="auto"/>
          <w:sz w:val="32"/>
          <w:szCs w:val="32"/>
          <w:highlight w:val="auto"/>
        </w:rPr>
        <w:t>决算总计变动情况）（柱状图）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年度财政拨款</w:t>
      </w:r>
      <w:r>
        <w:rPr>
          <w:rFonts w:ascii="仿宋_GB2312" w:eastAsia="仿宋_GB2312" w:cs="仿宋_GB2312" w:hint="eastAsia"/>
          <w:color w:val="auto"/>
          <w:sz w:val="32"/>
          <w:szCs w:val="32"/>
          <w:lang w:val="en-US" w:eastAsia="zh-CN"/>
          <w:highlight w:val="auto"/>
        </w:rPr>
        <w:t>支出</w:t>
      </w:r>
      <w:r>
        <w:rPr>
          <w:rFonts w:ascii="仿宋_GB2312" w:eastAsia="仿宋_GB2312" w:cs="仿宋_GB2312" w:hint="eastAsia"/>
          <w:color w:val="auto"/>
          <w:sz w:val="32"/>
          <w:szCs w:val="32"/>
          <w:highlight w:val="auto"/>
        </w:rPr>
        <w:t>总计</w:t>
      </w:r>
      <w:r>
        <w:rPr>
          <w:rFonts w:ascii="仿宋_GB2312" w:eastAsia="仿宋_GB2312" w:cs="仿宋_GB2312" w:hint="eastAsia"/>
          <w:color w:val="auto"/>
          <w:sz w:val="32"/>
          <w:szCs w:val="32"/>
          <w:lang w:val="en-US" w:eastAsia="zh-CN"/>
          <w:highlight w:val="auto"/>
        </w:rPr>
        <w:t>5175.10</w:t>
      </w:r>
      <w:r>
        <w:rPr>
          <w:rFonts w:ascii="仿宋_GB2312" w:eastAsia="仿宋_GB2312" w:cs="仿宋_GB2312" w:hint="eastAsia"/>
          <w:color w:val="auto"/>
          <w:sz w:val="32"/>
          <w:szCs w:val="32"/>
          <w:highlight w:val="auto"/>
        </w:rPr>
        <w:t>万元。与20</w:t>
      </w:r>
      <w:r>
        <w:rPr>
          <w:rFonts w:ascii="仿宋_GB2312" w:eastAsia="仿宋_GB2312" w:cs="仿宋_GB2312" w:hint="eastAsia"/>
          <w:color w:val="auto"/>
          <w:sz w:val="32"/>
          <w:szCs w:val="32"/>
          <w:lang w:val="en-US" w:eastAsia="zh-CN"/>
          <w:highlight w:val="auto"/>
        </w:rPr>
        <w:t>21</w:t>
      </w:r>
      <w:r>
        <w:rPr>
          <w:rFonts w:ascii="仿宋_GB2312" w:eastAsia="仿宋_GB2312" w:cs="仿宋_GB2312" w:hint="eastAsia"/>
          <w:color w:val="auto"/>
          <w:sz w:val="32"/>
          <w:szCs w:val="32"/>
          <w:highlight w:val="auto"/>
        </w:rPr>
        <w:t>年相比财政拨款</w:t>
      </w:r>
      <w:r>
        <w:rPr>
          <w:rFonts w:ascii="仿宋_GB2312" w:eastAsia="仿宋_GB2312" w:cs="仿宋_GB2312" w:hint="eastAsia"/>
          <w:color w:val="auto"/>
          <w:sz w:val="32"/>
          <w:szCs w:val="32"/>
          <w:lang w:val="en-US" w:eastAsia="zh-CN"/>
          <w:highlight w:val="auto"/>
        </w:rPr>
        <w:t>支出</w:t>
      </w:r>
      <w:r>
        <w:rPr>
          <w:rFonts w:ascii="仿宋_GB2312" w:eastAsia="仿宋_GB2312" w:cs="仿宋_GB2312" w:hint="eastAsia"/>
          <w:color w:val="auto"/>
          <w:sz w:val="32"/>
          <w:szCs w:val="32"/>
          <w:highlight w:val="auto"/>
        </w:rPr>
        <w:t>总计减少</w:t>
      </w:r>
      <w:r>
        <w:rPr>
          <w:rFonts w:ascii="仿宋_GB2312" w:eastAsia="仿宋_GB2312" w:cs="仿宋_GB2312" w:hint="eastAsia"/>
          <w:color w:val="auto"/>
          <w:sz w:val="32"/>
          <w:szCs w:val="32"/>
          <w:lang w:val="en-US" w:eastAsia="zh-CN"/>
          <w:highlight w:val="auto"/>
        </w:rPr>
        <w:t>3295.09</w:t>
      </w:r>
      <w:r>
        <w:rPr>
          <w:rFonts w:ascii="仿宋_GB2312" w:eastAsia="仿宋_GB2312" w:cs="仿宋_GB2312" w:hint="eastAsia"/>
          <w:color w:val="auto"/>
          <w:sz w:val="32"/>
          <w:szCs w:val="32"/>
          <w:highlight w:val="auto"/>
        </w:rPr>
        <w:t>万元，下降</w:t>
      </w:r>
      <w:r>
        <w:rPr>
          <w:rFonts w:ascii="仿宋_GB2312" w:eastAsia="仿宋_GB2312" w:cs="仿宋_GB2312" w:hint="eastAsia"/>
          <w:color w:val="auto"/>
          <w:sz w:val="32"/>
          <w:szCs w:val="32"/>
          <w:lang w:val="en-US" w:eastAsia="zh-CN"/>
          <w:highlight w:val="auto"/>
        </w:rPr>
        <w:t>38.90</w:t>
      </w:r>
      <w:r>
        <w:rPr>
          <w:rFonts w:ascii="仿宋_GB2312" w:eastAsia="仿宋_GB2312" w:cs="仿宋_GB2312" w:hint="eastAsia"/>
          <w:color w:val="auto"/>
          <w:sz w:val="32"/>
          <w:szCs w:val="32"/>
          <w:highlight w:val="auto"/>
        </w:rPr>
        <w:t>%。主要变动</w:t>
      </w:r>
      <w:r>
        <w:rPr>
          <w:rFonts w:ascii="仿宋_GB2312" w:eastAsia="仿宋_GB2312" w:cs="仿宋_GB2312" w:hint="eastAsia"/>
          <w:color w:val="auto"/>
          <w:sz w:val="32"/>
          <w:szCs w:val="32"/>
          <w:lang w:eastAsia="zh-CN"/>
          <w:highlight w:val="auto"/>
        </w:rPr>
        <w:t>原因</w:t>
      </w:r>
      <w:r>
        <w:rPr>
          <w:rFonts w:ascii="仿宋_GB2312" w:eastAsia="仿宋_GB2312" w:cs="仿宋_GB2312"/>
          <w:color w:val="auto"/>
          <w:sz w:val="32"/>
          <w:szCs w:val="32"/>
          <w:lang w:val="en-US" w:eastAsia="zh-CN"/>
          <w:highlight w:val="auto"/>
        </w:rPr>
        <w:t>乡村振兴项目户改厕、美丽壤巴拉家园</w:t>
      </w:r>
      <w:r>
        <w:rPr>
          <w:rFonts w:ascii="仿宋_GB2312" w:eastAsia="仿宋_GB2312" w:cs="仿宋_GB2312" w:hint="eastAsia"/>
          <w:color w:val="auto"/>
          <w:sz w:val="32"/>
          <w:szCs w:val="32"/>
          <w:lang w:val="en-US" w:eastAsia="zh-CN"/>
          <w:highlight w:val="auto"/>
        </w:rPr>
        <w:t>划归乡村振兴局资金减少。</w:t>
      </w:r>
    </w:p>
    <w:p>
      <w:pPr>
        <w:pStyle w:val="15"/>
      </w:pPr>
      <w:r>
        <w:drawing>
          <wp:inline distT="0" distB="0" distL="114300" distR="114300">
            <wp:extent cx="5003799" cy="2124075"/>
            <wp:effectExtent l="0" t="0" r="0" b="0"/>
            <wp:docPr id="6" name="图表 2"/>
            <wp:cNvGraphicFramePr>
              <a:graphicFrameLocks noChangeAspect="0"/>
            </wp:cNvGraphicFramePr>
            <a:graphic>
              <a:graphicData uri="http://schemas.openxmlformats.org/drawingml/2006/chart">
                <c:chart xmlns:c="http://schemas.openxmlformats.org/drawingml/2006/chart" r:id="rId9"/>
              </a:graphicData>
            </a:graphic>
          </wp:inline>
        </w:drawing>
      </w:r>
    </w:p>
    <w:p>
      <w:pPr>
        <w:pStyle w:val="15"/>
        <w:keepNext w:val="0"/>
        <w:keepLines w:val="0"/>
        <w:pageBreakBefore w:val="0"/>
        <w:widowControl w:val="0"/>
        <w:kinsoku/>
        <w:wordWrap/>
        <w:overflowPunct/>
        <w:topLinePunct w:val="0"/>
        <w:autoSpaceDE/>
        <w:autoSpaceDN/>
        <w:bidi w:val="0"/>
        <w:adjustRightInd/>
        <w:snapToGrid/>
        <w:spacing w:beforeLines="0" w:before="30" w:line="560" w:lineRule="exact"/>
        <w:ind w:firstLineChars="200" w:firstLine="640"/>
        <w:jc w:val="both"/>
        <w:textAlignment w:val="auto"/>
        <w:rPr>
          <w:rFonts w:ascii="仿宋_GB2312" w:eastAsia="仿宋_GB2312" w:cs="仿宋_GB2312" w:hint="eastAsia"/>
          <w:color w:val="auto"/>
          <w:kern w:val="2"/>
          <w:sz w:val="32"/>
          <w:szCs w:val="32"/>
          <w:lang w:val="en-US" w:eastAsia="zh-CN" w:bidi="ar-SA"/>
          <w:highlight w:val="auto"/>
        </w:rPr>
      </w:pPr>
      <w:r>
        <w:rPr>
          <w:rFonts w:ascii="仿宋" w:eastAsia="仿宋" w:hint="eastAsia"/>
          <w:color w:val="auto"/>
          <w:sz w:val="32"/>
          <w:szCs w:val="32"/>
          <w:highlight w:val="auto"/>
        </w:rPr>
        <w:t>（图4：</w:t>
      </w:r>
      <w:r>
        <w:rPr>
          <w:rFonts w:ascii="仿宋_GB2312" w:eastAsia="仿宋_GB2312" w:cs="仿宋_GB2312" w:hint="eastAsia"/>
          <w:color w:val="auto"/>
          <w:kern w:val="2"/>
          <w:sz w:val="32"/>
          <w:szCs w:val="32"/>
          <w:lang w:val="en-US" w:eastAsia="zh-CN" w:bidi="ar-SA"/>
          <w:highlight w:val="auto"/>
        </w:rPr>
        <w:t>财政拨款支出决算总计变动情况）（柱状图）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outlineLvl w:val="1"/>
        <w:rPr>
          <w:rStyle w:val="2Char"/>
          <w:rFonts w:ascii="黑体" w:eastAsia="黑体"/>
          <w:b w:val="0"/>
          <w:bCs w:val="0"/>
          <w:color w:val="auto"/>
          <w:highlight w:val="auto"/>
        </w:rPr>
      </w:pPr>
      <w:bookmarkStart w:id="26" w:name="_Toc15377209"/>
      <w:bookmarkStart w:id="27" w:name="_Toc15396607"/>
      <w:r>
        <w:rPr>
          <w:rFonts w:ascii="黑体" w:eastAsia="黑体" w:hint="eastAsia"/>
          <w:b w:val="0"/>
          <w:bCs w:val="0"/>
          <w:color w:val="auto"/>
          <w:sz w:val="32"/>
          <w:szCs w:val="32"/>
          <w:highlight w:val="auto"/>
        </w:rPr>
        <w:t>五、一</w:t>
      </w:r>
      <w:r>
        <w:rPr>
          <w:rStyle w:val="2Char"/>
          <w:rFonts w:ascii="黑体" w:eastAsia="黑体" w:hint="eastAsia"/>
          <w:b w:val="0"/>
          <w:bCs w:val="0"/>
          <w:color w:val="auto"/>
          <w:highlight w:val="auto"/>
        </w:rPr>
        <w:t>般公共预算财政拨款支出决算情况说明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outlineLvl w:val="2"/>
        <w:rPr>
          <w:rFonts w:ascii="楷体_GB2312" w:eastAsia="楷体_GB2312" w:cs="楷体_GB2312" w:hint="eastAsia"/>
          <w:b/>
          <w:bCs w:val="0"/>
          <w:color w:val="auto"/>
          <w:sz w:val="32"/>
          <w:szCs w:val="32"/>
          <w:highlight w:val="auto"/>
        </w:rPr>
      </w:pPr>
      <w:bookmarkStart w:id="28" w:name="_Toc15377210"/>
      <w:r>
        <w:rPr>
          <w:rFonts w:ascii="楷体_GB2312" w:eastAsia="楷体_GB2312" w:cs="楷体_GB2312" w:hint="eastAsia"/>
          <w:b/>
          <w:bCs w:val="0"/>
          <w:color w:val="auto"/>
          <w:sz w:val="32"/>
          <w:szCs w:val="32"/>
          <w:highlight w:val="auto"/>
        </w:rPr>
        <w:t>（一）一般公共预算财政拨款支出决算总体情况</w:t>
      </w:r>
      <w:bookmarkEnd w:id="2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年一般公共预算财政拨款支出</w:t>
      </w:r>
      <w:r>
        <w:rPr>
          <w:rFonts w:ascii="仿宋_GB2312" w:eastAsia="仿宋_GB2312" w:cs="仿宋_GB2312" w:hint="eastAsia"/>
          <w:color w:val="auto"/>
          <w:sz w:val="32"/>
          <w:szCs w:val="32"/>
          <w:lang w:val="en-US" w:eastAsia="zh-CN"/>
          <w:highlight w:val="auto"/>
        </w:rPr>
        <w:t>5175.10</w:t>
      </w:r>
      <w:r>
        <w:rPr>
          <w:rFonts w:ascii="仿宋_GB2312" w:eastAsia="仿宋_GB2312" w:cs="仿宋_GB2312" w:hint="eastAsia"/>
          <w:color w:val="auto"/>
          <w:sz w:val="32"/>
          <w:szCs w:val="32"/>
          <w:highlight w:val="auto"/>
        </w:rPr>
        <w:t>万元，占本年支出合计的</w:t>
      </w:r>
      <w:r>
        <w:rPr>
          <w:rFonts w:ascii="仿宋_GB2312" w:eastAsia="仿宋_GB2312" w:cs="仿宋_GB2312" w:hint="eastAsia"/>
          <w:color w:val="auto"/>
          <w:sz w:val="32"/>
          <w:szCs w:val="32"/>
          <w:lang w:val="en-US" w:eastAsia="zh-CN"/>
          <w:highlight w:val="auto"/>
        </w:rPr>
        <w:t>100</w:t>
      </w:r>
      <w:r>
        <w:rPr>
          <w:rFonts w:ascii="仿宋_GB2312" w:eastAsia="仿宋_GB2312" w:cs="仿宋_GB2312" w:hint="eastAsia"/>
          <w:color w:val="auto"/>
          <w:sz w:val="32"/>
          <w:szCs w:val="32"/>
          <w:highlight w:val="auto"/>
        </w:rPr>
        <w:t>%。与20</w:t>
      </w:r>
      <w:r>
        <w:rPr>
          <w:rFonts w:ascii="仿宋_GB2312" w:eastAsia="仿宋_GB2312" w:cs="仿宋_GB2312" w:hint="eastAsia"/>
          <w:color w:val="auto"/>
          <w:sz w:val="32"/>
          <w:szCs w:val="32"/>
          <w:lang w:val="en-US" w:eastAsia="zh-CN"/>
          <w:highlight w:val="auto"/>
        </w:rPr>
        <w:t>21</w:t>
      </w:r>
      <w:r>
        <w:rPr>
          <w:rFonts w:ascii="仿宋_GB2312" w:eastAsia="仿宋_GB2312" w:cs="仿宋_GB2312" w:hint="eastAsia"/>
          <w:color w:val="auto"/>
          <w:sz w:val="32"/>
          <w:szCs w:val="32"/>
          <w:highlight w:val="auto"/>
        </w:rPr>
        <w:t>年相比，一般公共预算财政拨款</w:t>
      </w:r>
      <w:r>
        <w:rPr>
          <w:rFonts w:ascii="仿宋_GB2312" w:eastAsia="仿宋_GB2312" w:cs="仿宋_GB2312" w:hint="eastAsia"/>
          <w:color w:val="auto"/>
          <w:sz w:val="32"/>
          <w:szCs w:val="32"/>
          <w:lang w:eastAsia="zh-CN"/>
          <w:highlight w:val="auto"/>
        </w:rPr>
        <w:t>支出</w:t>
      </w:r>
      <w:r>
        <w:rPr>
          <w:rFonts w:ascii="仿宋_GB2312" w:eastAsia="仿宋_GB2312" w:cs="仿宋_GB2312" w:hint="eastAsia"/>
          <w:color w:val="auto"/>
          <w:sz w:val="32"/>
          <w:szCs w:val="32"/>
          <w:highlight w:val="auto"/>
        </w:rPr>
        <w:t>减少</w:t>
      </w:r>
      <w:r>
        <w:rPr>
          <w:rFonts w:ascii="仿宋_GB2312" w:eastAsia="仿宋_GB2312" w:cs="仿宋_GB2312" w:hint="eastAsia"/>
          <w:color w:val="auto"/>
          <w:sz w:val="32"/>
          <w:szCs w:val="32"/>
          <w:lang w:val="en-US" w:eastAsia="zh-CN"/>
          <w:highlight w:val="auto"/>
        </w:rPr>
        <w:t>3295</w:t>
      </w:r>
      <w:r>
        <w:rPr>
          <w:rFonts w:ascii="仿宋_GB2312" w:eastAsia="仿宋_GB2312" w:cs="仿宋_GB2312" w:hint="eastAsia"/>
          <w:color w:val="auto"/>
          <w:sz w:val="32"/>
          <w:szCs w:val="32"/>
          <w:highlight w:val="auto"/>
        </w:rPr>
        <w:t>万元，下降</w:t>
      </w:r>
      <w:r>
        <w:rPr>
          <w:rFonts w:ascii="仿宋_GB2312" w:eastAsia="仿宋_GB2312" w:cs="仿宋_GB2312" w:hint="eastAsia"/>
          <w:color w:val="auto"/>
          <w:sz w:val="32"/>
          <w:szCs w:val="32"/>
          <w:lang w:val="en-US" w:eastAsia="zh-CN"/>
          <w:highlight w:val="auto"/>
        </w:rPr>
        <w:t>38.90</w:t>
      </w:r>
      <w:r>
        <w:rPr>
          <w:rFonts w:ascii="仿宋_GB2312" w:eastAsia="仿宋_GB2312" w:cs="仿宋_GB2312" w:hint="eastAsia"/>
          <w:color w:val="auto"/>
          <w:sz w:val="32"/>
          <w:szCs w:val="32"/>
          <w:highlight w:val="auto"/>
        </w:rPr>
        <w:t>%。主要变动</w:t>
      </w:r>
      <w:r>
        <w:rPr>
          <w:rFonts w:ascii="仿宋_GB2312" w:eastAsia="仿宋_GB2312" w:cs="仿宋_GB2312" w:hint="eastAsia"/>
          <w:color w:val="auto"/>
          <w:sz w:val="32"/>
          <w:szCs w:val="32"/>
          <w:lang w:eastAsia="zh-CN"/>
          <w:highlight w:val="auto"/>
        </w:rPr>
        <w:t>原因</w:t>
      </w:r>
      <w:r>
        <w:rPr>
          <w:rFonts w:ascii="仿宋_GB2312" w:eastAsia="仿宋_GB2312" w:cs="仿宋_GB2312" w:hint="eastAsia"/>
          <w:color w:val="000000"/>
          <w:sz w:val="32"/>
          <w:szCs w:val="32"/>
          <w:lang w:val="en-US" w:eastAsia="zh-CN"/>
        </w:rPr>
        <w:t>乡村振兴项目户改厕、美丽壤巴拉家园划归乡村振兴局资金减少。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eastAsia="仿宋"/>
          <w:color w:val="auto"/>
          <w:sz w:val="32"/>
          <w:szCs w:val="32"/>
          <w:highlight w:val="auto"/>
        </w:rPr>
      </w:pPr>
    </w:p>
    <w:p>
      <w:pPr>
        <w:pStyle w:val="15"/>
        <w:rPr>
          <w:rFonts w:ascii="仿宋" w:eastAsia="仿宋"/>
          <w:color w:val="auto"/>
          <w:sz w:val="32"/>
          <w:szCs w:val="32"/>
          <w:highlight w:val="auto"/>
        </w:rPr>
      </w:pPr>
      <w:r>
        <w:drawing>
          <wp:inline distT="0" distB="0" distL="114300" distR="114300">
            <wp:extent cx="5003799" cy="2108200"/>
            <wp:effectExtent l="0" t="0" r="0" b="0"/>
            <wp:docPr id="7" name="图表 2"/>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outlineLvl w:val="2"/>
        <w:rPr>
          <w:rFonts w:ascii="楷体_GB2312" w:eastAsia="楷体_GB2312" w:cs="楷体_GB2312" w:hint="eastAsia"/>
          <w:b/>
          <w:bCs w:val="0"/>
          <w:color w:val="auto"/>
          <w:sz w:val="32"/>
          <w:szCs w:val="32"/>
          <w:highlight w:val="auto"/>
        </w:rPr>
      </w:pPr>
      <w:bookmarkStart w:id="29" w:name="_Toc15377211"/>
      <w:r>
        <w:rPr>
          <w:rFonts w:ascii="楷体_GB2312" w:eastAsia="楷体_GB2312" w:cs="楷体_GB2312" w:hint="eastAsia"/>
          <w:b/>
          <w:bCs w:val="0"/>
          <w:color w:val="auto"/>
          <w:sz w:val="32"/>
          <w:szCs w:val="32"/>
          <w:highlight w:val="auto"/>
        </w:rPr>
        <w:t>（二）一般公共预算财政拨款支出决算结构情况</w:t>
      </w:r>
      <w:bookmarkEnd w:id="29"/>
    </w:p>
    <w:p>
      <w:pPr>
        <w:spacing w:line="600" w:lineRule="exact"/>
        <w:ind w:firstLine="64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年一般公共预算财政拨款支出</w:t>
      </w:r>
      <w:r>
        <w:rPr>
          <w:rFonts w:ascii="仿宋_GB2312" w:eastAsia="仿宋_GB2312" w:cs="仿宋_GB2312" w:hint="eastAsia"/>
          <w:color w:val="auto"/>
          <w:sz w:val="32"/>
          <w:szCs w:val="32"/>
          <w:lang w:val="en-US" w:eastAsia="zh-CN"/>
          <w:highlight w:val="auto"/>
        </w:rPr>
        <w:t>5175.10</w:t>
      </w:r>
      <w:r>
        <w:rPr>
          <w:rFonts w:ascii="仿宋_GB2312" w:eastAsia="仿宋_GB2312" w:cs="仿宋_GB2312" w:hint="eastAsia"/>
          <w:color w:val="auto"/>
          <w:sz w:val="32"/>
          <w:szCs w:val="32"/>
          <w:highlight w:val="auto"/>
        </w:rPr>
        <w:t>万元，主要用于以下方面</w:t>
      </w:r>
      <w:r>
        <w:rPr>
          <w:rFonts w:ascii="仿宋_GB2312" w:eastAsia="仿宋_GB2312" w:cs="仿宋_GB2312" w:hint="eastAsia"/>
          <w:color w:val="auto"/>
          <w:sz w:val="32"/>
          <w:szCs w:val="32"/>
          <w:lang w:eastAsia="zh-CN"/>
          <w:highlight w:val="auto"/>
        </w:rPr>
        <w:t>：</w:t>
      </w:r>
      <w:r>
        <w:rPr>
          <w:rFonts w:ascii="仿宋_GB2312" w:eastAsia="仿宋_GB2312" w:cs="仿宋_GB2312" w:hint="eastAsia"/>
          <w:b/>
          <w:color w:val="auto"/>
          <w:sz w:val="32"/>
          <w:szCs w:val="32"/>
          <w:lang w:val="en-US" w:eastAsia="zh-CN"/>
          <w:highlight w:val="auto"/>
        </w:rPr>
        <w:t>农林水支出</w:t>
      </w:r>
      <w:r>
        <w:rPr>
          <w:rFonts w:ascii="仿宋_GB2312" w:eastAsia="仿宋_GB2312" w:cs="仿宋_GB2312" w:hint="eastAsia"/>
          <w:color w:val="auto"/>
          <w:sz w:val="32"/>
          <w:szCs w:val="32"/>
          <w:lang w:val="en-US" w:eastAsia="zh-CN"/>
          <w:highlight w:val="auto"/>
        </w:rPr>
        <w:t>4581.5</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88.53</w:t>
      </w:r>
      <w:r>
        <w:rPr>
          <w:rFonts w:ascii="仿宋_GB2312" w:eastAsia="仿宋_GB2312" w:cs="仿宋_GB2312" w:hint="eastAsia"/>
          <w:color w:val="auto"/>
          <w:sz w:val="32"/>
          <w:szCs w:val="32"/>
          <w:highlight w:val="auto"/>
        </w:rPr>
        <w:t>%；</w:t>
      </w:r>
      <w:r>
        <w:rPr>
          <w:rFonts w:ascii="仿宋_GB2312" w:eastAsia="仿宋_GB2312" w:cs="仿宋_GB2312" w:hint="eastAsia"/>
          <w:b/>
          <w:color w:val="auto"/>
          <w:sz w:val="32"/>
          <w:szCs w:val="32"/>
          <w:highlight w:val="auto"/>
        </w:rPr>
        <w:t>科学技术</w:t>
      </w:r>
      <w:r>
        <w:rPr>
          <w:rFonts w:ascii="仿宋_GB2312" w:eastAsia="仿宋_GB2312" w:cs="仿宋_GB2312" w:hint="eastAsia"/>
          <w:b/>
          <w:bCs/>
          <w:color w:val="auto"/>
          <w:sz w:val="32"/>
          <w:szCs w:val="32"/>
          <w:highlight w:val="auto"/>
        </w:rPr>
        <w:t>支出</w:t>
      </w:r>
      <w:r>
        <w:rPr>
          <w:rFonts w:ascii="仿宋_GB2312" w:eastAsia="仿宋_GB2312" w:cs="仿宋_GB2312" w:hint="eastAsia"/>
          <w:b/>
          <w:bCs/>
          <w:color w:val="auto"/>
          <w:sz w:val="32"/>
          <w:szCs w:val="32"/>
          <w:lang w:val="en-US" w:eastAsia="zh-CN"/>
          <w:highlight w:val="auto"/>
        </w:rPr>
        <w:t>338.54</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6.54</w:t>
      </w:r>
      <w:r>
        <w:rPr>
          <w:rFonts w:ascii="仿宋_GB2312" w:eastAsia="仿宋_GB2312" w:cs="仿宋_GB2312" w:hint="eastAsia"/>
          <w:color w:val="auto"/>
          <w:sz w:val="32"/>
          <w:szCs w:val="32"/>
          <w:highlight w:val="auto"/>
        </w:rPr>
        <w:t>%；</w:t>
      </w:r>
      <w:r>
        <w:rPr>
          <w:rFonts w:ascii="仿宋_GB2312" w:eastAsia="仿宋_GB2312" w:cs="仿宋_GB2312" w:hint="eastAsia"/>
          <w:b/>
          <w:bCs/>
          <w:color w:val="auto"/>
          <w:sz w:val="32"/>
          <w:szCs w:val="32"/>
          <w:highlight w:val="auto"/>
        </w:rPr>
        <w:t>文化旅游体育与传媒支出</w:t>
      </w:r>
      <w:r>
        <w:rPr>
          <w:rFonts w:ascii="仿宋_GB2312" w:eastAsia="仿宋_GB2312" w:cs="仿宋_GB2312" w:hint="eastAsia"/>
          <w:b/>
          <w:bCs/>
          <w:color w:val="auto"/>
          <w:sz w:val="32"/>
          <w:szCs w:val="32"/>
          <w:lang w:val="en-US" w:eastAsia="zh-CN"/>
          <w:highlight w:val="auto"/>
        </w:rPr>
        <w:t>1.05</w:t>
      </w:r>
      <w:r>
        <w:rPr>
          <w:rFonts w:ascii="仿宋_GB2312" w:eastAsia="仿宋_GB2312" w:cs="仿宋_GB2312" w:hint="eastAsia"/>
          <w:b/>
          <w:bCs/>
          <w:color w:val="auto"/>
          <w:sz w:val="32"/>
          <w:szCs w:val="32"/>
          <w:highlight w:val="auto"/>
        </w:rPr>
        <w:t>万元，占</w:t>
      </w:r>
      <w:r>
        <w:rPr>
          <w:rFonts w:ascii="仿宋_GB2312" w:eastAsia="仿宋_GB2312" w:cs="仿宋_GB2312" w:hint="eastAsia"/>
          <w:b/>
          <w:bCs/>
          <w:color w:val="auto"/>
          <w:sz w:val="32"/>
          <w:szCs w:val="32"/>
          <w:lang w:val="en-US" w:eastAsia="zh-CN"/>
          <w:highlight w:val="auto"/>
        </w:rPr>
        <w:t>0.02</w:t>
      </w:r>
      <w:r>
        <w:rPr>
          <w:rFonts w:ascii="仿宋_GB2312" w:eastAsia="仿宋_GB2312" w:cs="仿宋_GB2312" w:hint="eastAsia"/>
          <w:b/>
          <w:bCs/>
          <w:color w:val="auto"/>
          <w:sz w:val="32"/>
          <w:szCs w:val="32"/>
          <w:highlight w:val="auto"/>
        </w:rPr>
        <w:t>%</w:t>
      </w:r>
      <w:r>
        <w:rPr>
          <w:rFonts w:ascii="仿宋_GB2312" w:eastAsia="仿宋_GB2312" w:cs="仿宋_GB2312" w:hint="eastAsia"/>
          <w:color w:val="auto"/>
          <w:sz w:val="32"/>
          <w:szCs w:val="32"/>
          <w:highlight w:val="auto"/>
        </w:rPr>
        <w:t>；</w:t>
      </w:r>
      <w:r>
        <w:rPr>
          <w:rFonts w:ascii="仿宋_GB2312" w:eastAsia="仿宋_GB2312" w:cs="仿宋_GB2312" w:hint="eastAsia"/>
          <w:b/>
          <w:color w:val="auto"/>
          <w:sz w:val="32"/>
          <w:szCs w:val="32"/>
          <w:highlight w:val="auto"/>
        </w:rPr>
        <w:t>社会保障和就业</w:t>
      </w:r>
      <w:r>
        <w:rPr>
          <w:rFonts w:ascii="仿宋_GB2312" w:eastAsia="仿宋_GB2312" w:cs="仿宋_GB2312" w:hint="eastAsia"/>
          <w:b/>
          <w:bCs/>
          <w:color w:val="auto"/>
          <w:sz w:val="32"/>
          <w:szCs w:val="32"/>
          <w:highlight w:val="auto"/>
        </w:rPr>
        <w:t>支出</w:t>
      </w:r>
      <w:r>
        <w:rPr>
          <w:rFonts w:ascii="仿宋_GB2312" w:eastAsia="仿宋_GB2312" w:cs="仿宋_GB2312" w:hint="eastAsia"/>
          <w:color w:val="auto"/>
          <w:sz w:val="32"/>
          <w:szCs w:val="32"/>
          <w:lang w:val="en-US" w:eastAsia="zh-CN"/>
          <w:highlight w:val="auto"/>
        </w:rPr>
        <w:t>137.15</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2.65</w:t>
      </w:r>
      <w:r>
        <w:rPr>
          <w:rFonts w:ascii="仿宋_GB2312" w:eastAsia="仿宋_GB2312" w:cs="仿宋_GB2312" w:hint="eastAsia"/>
          <w:color w:val="auto"/>
          <w:sz w:val="32"/>
          <w:szCs w:val="32"/>
          <w:highlight w:val="auto"/>
        </w:rPr>
        <w:t>%；</w:t>
      </w:r>
      <w:r>
        <w:rPr>
          <w:rFonts w:ascii="仿宋_GB2312" w:eastAsia="仿宋_GB2312" w:cs="仿宋_GB2312" w:hint="eastAsia"/>
          <w:b/>
          <w:bCs/>
          <w:color w:val="auto"/>
          <w:sz w:val="32"/>
          <w:szCs w:val="32"/>
          <w:highlight w:val="auto"/>
        </w:rPr>
        <w:t>卫生健康支出</w:t>
      </w:r>
      <w:r>
        <w:rPr>
          <w:rFonts w:ascii="仿宋_GB2312" w:eastAsia="仿宋_GB2312" w:cs="仿宋_GB2312" w:hint="eastAsia"/>
          <w:b/>
          <w:bCs/>
          <w:color w:val="auto"/>
          <w:sz w:val="32"/>
          <w:szCs w:val="32"/>
          <w:lang w:val="en-US" w:eastAsia="zh-CN"/>
          <w:highlight w:val="auto"/>
        </w:rPr>
        <w:t>68.14</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1.32</w:t>
      </w:r>
      <w:r>
        <w:rPr>
          <w:rFonts w:ascii="仿宋_GB2312" w:eastAsia="仿宋_GB2312" w:cs="仿宋_GB2312" w:hint="eastAsia"/>
          <w:color w:val="auto"/>
          <w:sz w:val="32"/>
          <w:szCs w:val="32"/>
          <w:highlight w:val="auto"/>
        </w:rPr>
        <w:t>%；</w:t>
      </w:r>
      <w:r>
        <w:rPr>
          <w:rFonts w:ascii="仿宋_GB2312" w:eastAsia="仿宋_GB2312" w:cs="仿宋_GB2312" w:hint="eastAsia"/>
          <w:b/>
          <w:bCs/>
          <w:color w:val="auto"/>
          <w:sz w:val="32"/>
          <w:szCs w:val="32"/>
          <w:highlight w:val="auto"/>
        </w:rPr>
        <w:t>住房保障支出</w:t>
      </w:r>
      <w:r>
        <w:rPr>
          <w:rFonts w:ascii="仿宋_GB2312" w:eastAsia="仿宋_GB2312" w:cs="仿宋_GB2312" w:hint="eastAsia"/>
          <w:color w:val="auto"/>
          <w:sz w:val="32"/>
          <w:szCs w:val="32"/>
          <w:lang w:val="en-US" w:eastAsia="zh-CN"/>
          <w:highlight w:val="auto"/>
        </w:rPr>
        <w:t>48.71</w:t>
      </w:r>
      <w:r>
        <w:rPr>
          <w:rFonts w:ascii="仿宋_GB2312" w:eastAsia="仿宋_GB2312" w:cs="仿宋_GB2312" w:hint="eastAsia"/>
          <w:color w:val="auto"/>
          <w:sz w:val="32"/>
          <w:szCs w:val="32"/>
          <w:highlight w:val="auto"/>
        </w:rPr>
        <w:t>万元，占</w:t>
      </w:r>
      <w:r>
        <w:rPr>
          <w:rFonts w:ascii="仿宋_GB2312" w:eastAsia="仿宋_GB2312" w:cs="仿宋_GB2312" w:hint="eastAsia"/>
          <w:color w:val="auto"/>
          <w:sz w:val="32"/>
          <w:szCs w:val="32"/>
          <w:lang w:val="en-US" w:eastAsia="zh-CN"/>
          <w:highlight w:val="auto"/>
        </w:rPr>
        <w:t>0.94</w:t>
      </w:r>
      <w:r>
        <w:rPr>
          <w:rFonts w:ascii="仿宋_GB2312" w:eastAsia="仿宋_GB2312" w:cs="仿宋_GB2312" w:hint="eastAsia"/>
          <w:color w:val="auto"/>
          <w:sz w:val="32"/>
          <w:szCs w:val="32"/>
          <w:highlight w:val="auto"/>
        </w:rPr>
        <w:t>%。</w:t>
      </w:r>
    </w:p>
    <w:p>
      <w:pPr>
        <w:pStyle w:val="15"/>
        <w:rPr>
          <w:rFonts w:ascii="仿宋" w:eastAsia="仿宋" w:hint="eastAsia"/>
          <w:color w:val="auto"/>
          <w:sz w:val="32"/>
          <w:szCs w:val="32"/>
          <w:highlight w:val="auto"/>
        </w:rPr>
      </w:pPr>
      <w:r>
        <w:drawing>
          <wp:inline distT="0" distB="0" distL="114300" distR="114300">
            <wp:extent cx="5076190" cy="2265045"/>
            <wp:effectExtent l="0" t="0" r="0" b="0"/>
            <wp:docPr id="8" name="图表 5"/>
            <wp:cNvGraphicFramePr>
              <a:graphicFrameLocks noChangeAspect="0"/>
            </wp:cNvGraphicFramePr>
            <a:graphic>
              <a:graphicData uri="http://schemas.openxmlformats.org/drawingml/2006/chart">
                <c:chart xmlns:c="http://schemas.openxmlformats.org/drawingml/2006/chart" r:id="rId11"/>
              </a:graphicData>
            </a:graphic>
          </wp:inline>
        </w:drawing>
      </w:r>
    </w:p>
    <w:p>
      <w:pPr>
        <w:spacing w:line="600" w:lineRule="exact"/>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_GB2312" w:eastAsia="楷体_GB2312" w:cs="楷体_GB2312" w:hint="eastAsia"/>
          <w:b/>
          <w:color w:val="auto"/>
          <w:sz w:val="32"/>
          <w:szCs w:val="32"/>
          <w:highlight w:val="auto"/>
        </w:rPr>
      </w:pPr>
      <w:bookmarkStart w:id="30" w:name="_Toc15377212"/>
      <w:r>
        <w:rPr>
          <w:rFonts w:ascii="楷体_GB2312" w:eastAsia="楷体_GB2312" w:cs="楷体_GB2312" w:hint="eastAsia"/>
          <w:b/>
          <w:color w:val="auto"/>
          <w:sz w:val="32"/>
          <w:szCs w:val="32"/>
          <w:highlight w:val="auto"/>
        </w:rPr>
        <w:t>（三）一般公共预算财政拨款支出决算具体情况</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仿宋_GB2312" w:eastAsia="仿宋_GB2312" w:cs="仿宋_GB2312" w:hint="eastAsia"/>
          <w:color w:val="auto"/>
          <w:sz w:val="32"/>
          <w:szCs w:val="32"/>
          <w:highlight w:val="auto"/>
        </w:rPr>
      </w:pPr>
      <w:bookmarkStart w:id="31" w:name="_Toc15378460"/>
      <w:bookmarkStart w:id="32" w:name="_Toc15377213"/>
      <w:bookmarkStart w:id="33" w:name="_Toc15377444"/>
      <w:r>
        <w:rPr>
          <w:rFonts w:ascii="仿宋_GB2312" w:eastAsia="仿宋_GB2312" w:cs="仿宋_GB2312" w:hint="eastAsia"/>
          <w:b/>
          <w:color w:val="auto"/>
          <w:sz w:val="32"/>
          <w:szCs w:val="32"/>
          <w:highlight w:val="auto"/>
        </w:rPr>
        <w:t>20</w:t>
      </w:r>
      <w:r>
        <w:rPr>
          <w:rFonts w:ascii="仿宋_GB2312" w:eastAsia="仿宋_GB2312" w:cs="仿宋_GB2312" w:hint="eastAsia"/>
          <w:b/>
          <w:color w:val="auto"/>
          <w:sz w:val="32"/>
          <w:szCs w:val="32"/>
          <w:lang w:val="en-US" w:eastAsia="zh-CN"/>
          <w:highlight w:val="auto"/>
        </w:rPr>
        <w:t>22</w:t>
      </w:r>
      <w:r>
        <w:rPr>
          <w:rFonts w:ascii="仿宋_GB2312" w:eastAsia="仿宋_GB2312" w:cs="仿宋_GB2312" w:hint="eastAsia"/>
          <w:b/>
          <w:color w:val="auto"/>
          <w:sz w:val="32"/>
          <w:szCs w:val="32"/>
          <w:highlight w:val="auto"/>
        </w:rPr>
        <w:t>年</w:t>
      </w:r>
      <w:r>
        <w:rPr>
          <w:rFonts w:ascii="仿宋_GB2312" w:eastAsia="仿宋_GB2312" w:cs="仿宋_GB2312" w:hint="eastAsia"/>
          <w:b/>
          <w:color w:val="auto"/>
          <w:sz w:val="32"/>
          <w:szCs w:val="32"/>
          <w:lang w:eastAsia="zh-CN"/>
          <w:highlight w:val="auto"/>
        </w:rPr>
        <w:t>一</w:t>
      </w:r>
      <w:r>
        <w:rPr>
          <w:rFonts w:ascii="仿宋_GB2312" w:eastAsia="仿宋_GB2312" w:cs="仿宋_GB2312" w:hint="eastAsia"/>
          <w:b/>
          <w:color w:val="auto"/>
          <w:sz w:val="32"/>
          <w:szCs w:val="32"/>
          <w:highlight w:val="auto"/>
        </w:rPr>
        <w:t>般公共预算支出决算数为</w:t>
      </w:r>
      <w:r>
        <w:rPr>
          <w:rFonts w:ascii="仿宋_GB2312" w:eastAsia="仿宋_GB2312" w:cs="仿宋_GB2312" w:hint="eastAsia"/>
          <w:b/>
          <w:color w:val="auto"/>
          <w:sz w:val="32"/>
          <w:szCs w:val="32"/>
          <w:lang w:val="en-US" w:eastAsia="zh-CN"/>
          <w:highlight w:val="auto"/>
        </w:rPr>
        <w:t>5175.10万元</w:t>
      </w:r>
      <w:r>
        <w:rPr>
          <w:rFonts w:ascii="仿宋_GB2312" w:eastAsia="仿宋_GB2312" w:cs="仿宋_GB2312" w:hint="eastAsia"/>
          <w:color w:val="auto"/>
          <w:sz w:val="32"/>
          <w:szCs w:val="32"/>
          <w:highlight w:val="auto"/>
        </w:rPr>
        <w:t>，</w:t>
      </w:r>
      <w:r>
        <w:rPr>
          <w:rStyle w:val="27"/>
          <w:rFonts w:ascii="仿宋_GB2312" w:eastAsia="仿宋_GB2312" w:cs="仿宋_GB2312" w:hint="eastAsia"/>
          <w:bCs/>
          <w:color w:val="auto"/>
          <w:sz w:val="32"/>
          <w:szCs w:val="32"/>
          <w:highlight w:val="auto"/>
        </w:rPr>
        <w:t>完成预算</w:t>
      </w:r>
      <w:r>
        <w:rPr>
          <w:rStyle w:val="27"/>
          <w:rFonts w:ascii="仿宋_GB2312" w:eastAsia="仿宋_GB2312" w:cs="仿宋_GB2312" w:hint="eastAsia"/>
          <w:bCs/>
          <w:color w:val="auto"/>
          <w:sz w:val="32"/>
          <w:szCs w:val="32"/>
          <w:lang w:val="en-US" w:eastAsia="zh-CN"/>
          <w:highlight w:val="auto"/>
        </w:rPr>
        <w:t>100</w:t>
      </w:r>
      <w:r>
        <w:rPr>
          <w:rStyle w:val="27"/>
          <w:rFonts w:ascii="仿宋_GB2312" w:eastAsia="仿宋_GB2312" w:cs="仿宋_GB2312" w:hint="eastAsia"/>
          <w:bCs/>
          <w:color w:val="auto"/>
          <w:sz w:val="32"/>
          <w:szCs w:val="32"/>
          <w:highlight w:val="auto"/>
        </w:rPr>
        <w:t>%。其中：</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7"/>
          <w:rFonts w:ascii="仿宋_GB2312" w:eastAsia="仿宋_GB2312" w:cs="仿宋_GB2312" w:hint="eastAsia"/>
          <w:b w:val="0"/>
          <w:bCs/>
          <w:color w:val="auto"/>
          <w:sz w:val="32"/>
          <w:szCs w:val="32"/>
          <w:lang w:eastAsia="zh-CN"/>
          <w:highlight w:val="auto"/>
        </w:rPr>
      </w:pPr>
      <w:r>
        <w:rPr>
          <w:rStyle w:val="27"/>
          <w:rFonts w:ascii="仿宋_GB2312" w:eastAsia="仿宋_GB2312" w:cs="仿宋_GB2312" w:hint="eastAsia"/>
          <w:bCs/>
          <w:color w:val="auto"/>
          <w:sz w:val="32"/>
          <w:szCs w:val="32"/>
          <w:lang w:val="en-US" w:eastAsia="zh-CN"/>
          <w:highlight w:val="auto"/>
        </w:rPr>
        <w:t>1</w:t>
      </w:r>
      <w:r>
        <w:rPr>
          <w:rStyle w:val="27"/>
          <w:rFonts w:ascii="仿宋_GB2312" w:eastAsia="仿宋_GB2312" w:cs="仿宋_GB2312" w:hint="eastAsia"/>
          <w:bCs/>
          <w:color w:val="auto"/>
          <w:sz w:val="32"/>
          <w:szCs w:val="32"/>
          <w:highlight w:val="auto"/>
        </w:rPr>
        <w:t>.科学技术（类）技术研究与开发（款）科技成果转化与扩散（项）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58.82</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Style w:val="27"/>
          <w:rFonts w:ascii="仿宋_GB2312" w:eastAsia="仿宋_GB2312" w:cs="仿宋_GB2312" w:hint="eastAsia"/>
          <w:bCs/>
          <w:color w:val="auto"/>
          <w:sz w:val="32"/>
          <w:szCs w:val="32"/>
          <w:highlight w:val="auto"/>
        </w:rPr>
        <w:t>科学技术（类）技术研究与开发（款）其他技术研究与开发支出（项）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Style w:val="27"/>
          <w:rFonts w:ascii="仿宋_GB2312" w:eastAsia="仿宋_GB2312" w:cs="仿宋_GB2312" w:hint="eastAsia"/>
          <w:bCs/>
          <w:color w:val="auto"/>
          <w:sz w:val="32"/>
          <w:szCs w:val="32"/>
          <w:highlight w:val="auto"/>
        </w:rPr>
        <w:t>科学技术（类）科技重大项目（款）重点研发计划（项）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126.34</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Style w:val="27"/>
          <w:rFonts w:ascii="仿宋_GB2312" w:eastAsia="仿宋_GB2312" w:cs="仿宋_GB2312" w:hint="eastAsia"/>
          <w:bCs/>
          <w:color w:val="auto"/>
          <w:sz w:val="32"/>
          <w:szCs w:val="32"/>
          <w:highlight w:val="auto"/>
        </w:rPr>
        <w:t>科学技术（类）其他科学技术支出（款）其他科学技术支出（项）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143.38</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color w:val="auto"/>
          <w:sz w:val="32"/>
          <w:szCs w:val="32"/>
          <w:highlight w:val="auto"/>
        </w:rPr>
      </w:pPr>
      <w:r>
        <w:rPr>
          <w:rStyle w:val="27"/>
          <w:rFonts w:ascii="仿宋_GB2312" w:eastAsia="仿宋_GB2312" w:cs="仿宋_GB2312" w:hint="eastAsia"/>
          <w:bCs/>
          <w:color w:val="auto"/>
          <w:sz w:val="32"/>
          <w:szCs w:val="32"/>
          <w:lang w:val="en-US" w:eastAsia="zh-CN"/>
          <w:highlight w:val="auto"/>
        </w:rPr>
        <w:t>2</w:t>
      </w:r>
      <w:r>
        <w:rPr>
          <w:rStyle w:val="27"/>
          <w:rFonts w:ascii="仿宋_GB2312" w:eastAsia="仿宋_GB2312" w:cs="仿宋_GB2312" w:hint="eastAsia"/>
          <w:bCs/>
          <w:color w:val="auto"/>
          <w:sz w:val="32"/>
          <w:szCs w:val="32"/>
          <w:highlight w:val="auto"/>
        </w:rPr>
        <w:t>.文化旅游体育与传媒（类）文化和旅游（款）文化活动（项）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1.05</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7"/>
          <w:rFonts w:ascii="仿宋_GB2312" w:eastAsia="仿宋_GB2312" w:cs="仿宋_GB2312" w:hint="eastAsia"/>
          <w:b w:val="0"/>
          <w:bCs/>
          <w:color w:val="auto"/>
          <w:sz w:val="32"/>
          <w:szCs w:val="32"/>
          <w:lang w:eastAsia="zh-CN"/>
          <w:highlight w:val="auto"/>
        </w:rPr>
      </w:pPr>
      <w:r>
        <w:rPr>
          <w:rStyle w:val="27"/>
          <w:rFonts w:ascii="仿宋_GB2312" w:eastAsia="仿宋_GB2312" w:cs="仿宋_GB2312" w:hint="eastAsia"/>
          <w:bCs/>
          <w:color w:val="auto"/>
          <w:sz w:val="32"/>
          <w:szCs w:val="32"/>
          <w:lang w:val="en-US" w:eastAsia="zh-CN"/>
          <w:highlight w:val="auto"/>
        </w:rPr>
        <w:t>3</w:t>
      </w:r>
      <w:r>
        <w:rPr>
          <w:rStyle w:val="27"/>
          <w:rFonts w:ascii="仿宋_GB2312" w:eastAsia="仿宋_GB2312" w:cs="仿宋_GB2312" w:hint="eastAsia"/>
          <w:bCs/>
          <w:color w:val="auto"/>
          <w:sz w:val="32"/>
          <w:szCs w:val="32"/>
          <w:highlight w:val="auto"/>
        </w:rPr>
        <w:t>.社会保障和就业（类）行政事业单位养老支出（款）机关事业单位基本养老保险缴费支出（项）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59.94</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Style w:val="27"/>
          <w:rFonts w:ascii="仿宋_GB2312" w:eastAsia="仿宋_GB2312" w:cs="仿宋_GB2312" w:hint="eastAsia"/>
          <w:bCs/>
          <w:color w:val="auto"/>
          <w:sz w:val="32"/>
          <w:szCs w:val="32"/>
          <w:highlight w:val="auto"/>
        </w:rPr>
        <w:t>社会保障和就业（类）行政事业单位养老支出（款）机关事业单位职业年金缴费支出（项）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29.98</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Style w:val="27"/>
          <w:rFonts w:ascii="仿宋_GB2312" w:eastAsia="仿宋_GB2312" w:cs="仿宋_GB2312" w:hint="eastAsia"/>
          <w:bCs/>
          <w:color w:val="auto"/>
          <w:sz w:val="32"/>
          <w:szCs w:val="32"/>
          <w:highlight w:val="auto"/>
        </w:rPr>
        <w:t>社会保障和就业（类）抚恤（款）死亡抚恤（项）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47.24</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7"/>
          <w:rFonts w:ascii="仿宋_GB2312" w:eastAsia="仿宋_GB2312" w:cs="仿宋_GB2312" w:hint="eastAsia"/>
          <w:b w:val="0"/>
          <w:bCs/>
          <w:color w:val="auto"/>
          <w:sz w:val="32"/>
          <w:szCs w:val="32"/>
          <w:lang w:eastAsia="zh-CN"/>
          <w:highlight w:val="auto"/>
        </w:rPr>
      </w:pPr>
      <w:r>
        <w:rPr>
          <w:rStyle w:val="27"/>
          <w:rFonts w:ascii="仿宋_GB2312" w:eastAsia="仿宋_GB2312" w:cs="仿宋_GB2312" w:hint="eastAsia"/>
          <w:bCs/>
          <w:color w:val="auto"/>
          <w:sz w:val="32"/>
          <w:szCs w:val="32"/>
          <w:lang w:val="en-US" w:eastAsia="zh-CN"/>
          <w:highlight w:val="auto"/>
        </w:rPr>
        <w:t>4</w:t>
      </w:r>
      <w:r>
        <w:rPr>
          <w:rStyle w:val="27"/>
          <w:rFonts w:ascii="仿宋_GB2312" w:eastAsia="仿宋_GB2312" w:cs="仿宋_GB2312" w:hint="eastAsia"/>
          <w:bCs/>
          <w:color w:val="auto"/>
          <w:sz w:val="32"/>
          <w:szCs w:val="32"/>
          <w:highlight w:val="auto"/>
        </w:rPr>
        <w:t>.</w:t>
      </w:r>
      <w:r>
        <w:rPr>
          <w:rFonts w:ascii="仿宋_GB2312" w:eastAsia="仿宋_GB2312" w:cs="仿宋_GB2312" w:hint="eastAsia"/>
          <w:b/>
          <w:bCs/>
          <w:color w:val="auto"/>
          <w:sz w:val="32"/>
          <w:szCs w:val="32"/>
          <w:highlight w:val="auto"/>
        </w:rPr>
        <w:t>卫生健康</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公共卫生（款）重大公共卫生服务（项）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支出决算为31.92万元，完成预算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卫生健康</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行政事业单位医疗（款）行政单位医疗（项）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27.55</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卫生健康</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行政事业单位医疗（款）公务员医疗补助（项）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8.67</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color w:val="auto"/>
          <w:sz w:val="32"/>
          <w:szCs w:val="32"/>
          <w:lang w:eastAsia="zh-CN"/>
          <w:highlight w:val="auto"/>
        </w:rPr>
      </w:pPr>
      <w:r>
        <w:rPr>
          <w:rStyle w:val="27"/>
          <w:rFonts w:ascii="仿宋_GB2312" w:eastAsia="仿宋_GB2312" w:cs="仿宋_GB2312" w:hint="eastAsia"/>
          <w:bCs/>
          <w:color w:val="auto"/>
          <w:sz w:val="32"/>
          <w:szCs w:val="32"/>
          <w:lang w:val="en-US" w:eastAsia="zh-CN"/>
          <w:highlight w:val="auto"/>
        </w:rPr>
        <w:t>5</w:t>
      </w:r>
      <w:r>
        <w:rPr>
          <w:rStyle w:val="27"/>
          <w:rFonts w:ascii="仿宋_GB2312" w:eastAsia="仿宋_GB2312" w:cs="仿宋_GB2312" w:hint="eastAsia"/>
          <w:bCs/>
          <w:color w:val="auto"/>
          <w:sz w:val="32"/>
          <w:szCs w:val="32"/>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行政运行（项）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支出决算为677.36万元，完成预算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一般行政管理事务（项）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20.80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病虫害控制（项）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10.88</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农产品质量安全（项）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0.84</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执法监管（项）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1.50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农业生产发展（项）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61.09</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农业资源保护修复与利用（项）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43.56</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农田建设（项）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0.15</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农业农村（款</w:t>
      </w:r>
      <w:r>
        <w:rPr>
          <w:rStyle w:val="27"/>
          <w:rFonts w:ascii="仿宋_GB2312" w:eastAsia="仿宋_GB2312" w:cs="仿宋_GB2312" w:hint="eastAsia"/>
          <w:bCs/>
          <w:color w:val="auto"/>
          <w:sz w:val="32"/>
          <w:szCs w:val="32"/>
          <w:lang w:eastAsia="zh-CN"/>
          <w:highlight w:val="auto"/>
        </w:rPr>
        <w:t>）</w:t>
      </w:r>
      <w:r>
        <w:rPr>
          <w:rFonts w:ascii="仿宋_GB2312" w:eastAsia="仿宋_GB2312" w:cs="仿宋_GB2312" w:hint="eastAsia"/>
          <w:b/>
          <w:color w:val="auto"/>
          <w:sz w:val="32"/>
          <w:szCs w:val="32"/>
          <w:lang w:eastAsia="zh-CN"/>
          <w:highlight w:val="auto"/>
        </w:rPr>
        <w:t>其他农业农村支出</w:t>
      </w:r>
      <w:r>
        <w:rPr>
          <w:rStyle w:val="27"/>
          <w:rFonts w:ascii="仿宋_GB2312" w:eastAsia="仿宋_GB2312" w:cs="仿宋_GB2312" w:hint="eastAsia"/>
          <w:bCs/>
          <w:color w:val="auto"/>
          <w:sz w:val="32"/>
          <w:szCs w:val="32"/>
          <w:highlight w:val="auto"/>
        </w:rPr>
        <w:t>（项）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971.41</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巩固</w:t>
      </w:r>
      <w:r>
        <w:rPr>
          <w:rStyle w:val="27"/>
          <w:rFonts w:ascii="仿宋_GB2312" w:eastAsia="仿宋_GB2312" w:cs="仿宋_GB2312" w:hint="eastAsia"/>
          <w:bCs/>
          <w:color w:val="auto"/>
          <w:sz w:val="32"/>
          <w:szCs w:val="32"/>
          <w:lang w:val="en-US" w:eastAsia="zh-CN"/>
          <w:highlight w:val="auto"/>
        </w:rPr>
        <w:t>拓展</w:t>
      </w:r>
      <w:r>
        <w:rPr>
          <w:rStyle w:val="27"/>
          <w:rFonts w:ascii="仿宋_GB2312" w:eastAsia="仿宋_GB2312" w:cs="仿宋_GB2312" w:hint="eastAsia"/>
          <w:bCs/>
          <w:color w:val="auto"/>
          <w:sz w:val="32"/>
          <w:szCs w:val="32"/>
          <w:highlight w:val="auto"/>
        </w:rPr>
        <w:t>脱贫衔接乡村振兴（款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农村基础设施建设（项）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36.00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巩固</w:t>
      </w:r>
      <w:r>
        <w:rPr>
          <w:rStyle w:val="27"/>
          <w:rFonts w:ascii="仿宋_GB2312" w:eastAsia="仿宋_GB2312" w:cs="仿宋_GB2312" w:hint="eastAsia"/>
          <w:bCs/>
          <w:color w:val="auto"/>
          <w:sz w:val="32"/>
          <w:szCs w:val="32"/>
          <w:lang w:val="en-US" w:eastAsia="zh-CN"/>
          <w:highlight w:val="auto"/>
        </w:rPr>
        <w:t>拓展</w:t>
      </w:r>
      <w:r>
        <w:rPr>
          <w:rStyle w:val="27"/>
          <w:rFonts w:ascii="仿宋_GB2312" w:eastAsia="仿宋_GB2312" w:cs="仿宋_GB2312" w:hint="eastAsia"/>
          <w:bCs/>
          <w:color w:val="auto"/>
          <w:sz w:val="32"/>
          <w:szCs w:val="32"/>
          <w:highlight w:val="auto"/>
        </w:rPr>
        <w:t>脱贫衔接乡村振兴（款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生产发展（项）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322.50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农村综合改革（款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其他农村综合改革支出（项）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86.00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普惠金融发展支出（款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农业保险保费补贴（项）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84.69</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农林水支出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其他农林水支出（款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其他农林水支出（项）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2264.73</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color w:val="auto"/>
          <w:sz w:val="32"/>
          <w:szCs w:val="32"/>
          <w:lang w:eastAsia="zh-CN"/>
          <w:highlight w:val="auto"/>
        </w:rPr>
      </w:pPr>
      <w:r>
        <w:rPr>
          <w:rStyle w:val="27"/>
          <w:rFonts w:ascii="仿宋_GB2312" w:eastAsia="仿宋_GB2312" w:cs="仿宋_GB2312" w:hint="eastAsia"/>
          <w:bCs/>
          <w:color w:val="auto"/>
          <w:sz w:val="32"/>
          <w:szCs w:val="32"/>
          <w:lang w:val="en-US" w:eastAsia="zh-CN"/>
          <w:highlight w:val="auto"/>
        </w:rPr>
        <w:t>6</w:t>
      </w:r>
      <w:r>
        <w:rPr>
          <w:rStyle w:val="27"/>
          <w:rFonts w:ascii="仿宋_GB2312" w:eastAsia="仿宋_GB2312" w:cs="仿宋_GB2312" w:hint="eastAsia"/>
          <w:bCs/>
          <w:color w:val="auto"/>
          <w:sz w:val="32"/>
          <w:szCs w:val="32"/>
          <w:highlight w:val="auto"/>
        </w:rPr>
        <w:t>.</w:t>
      </w:r>
      <w:r>
        <w:rPr>
          <w:rFonts w:ascii="仿宋_GB2312" w:eastAsia="仿宋_GB2312" w:cs="仿宋_GB2312" w:hint="eastAsia"/>
          <w:b/>
          <w:bCs/>
          <w:color w:val="auto"/>
          <w:sz w:val="32"/>
          <w:szCs w:val="32"/>
          <w:highlight w:val="auto"/>
        </w:rPr>
        <w:t>住房保障支出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住房改革支出（款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住房公积金（项）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47.20</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r>
        <w:rPr>
          <w:rFonts w:ascii="仿宋_GB2312" w:eastAsia="仿宋_GB2312" w:cs="仿宋_GB2312" w:hint="eastAsia"/>
          <w:b/>
          <w:bCs/>
          <w:color w:val="auto"/>
          <w:sz w:val="32"/>
          <w:szCs w:val="32"/>
          <w:highlight w:val="auto"/>
        </w:rPr>
        <w:t>住房保障支出</w:t>
      </w:r>
      <w:r>
        <w:rPr>
          <w:rStyle w:val="27"/>
          <w:rFonts w:ascii="仿宋_GB2312" w:eastAsia="仿宋_GB2312" w:cs="仿宋_GB2312" w:hint="eastAsia"/>
          <w:bCs/>
          <w:color w:val="auto"/>
          <w:sz w:val="32"/>
          <w:szCs w:val="32"/>
          <w:highlight w:val="auto"/>
        </w:rPr>
        <w:t>（类</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住房改革支出（款</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Cs/>
          <w:color w:val="auto"/>
          <w:sz w:val="32"/>
          <w:szCs w:val="32"/>
          <w:highlight w:val="auto"/>
        </w:rPr>
        <w:t>购房补贴（项）</w:t>
      </w:r>
      <w:r>
        <w:rPr>
          <w:rStyle w:val="27"/>
          <w:rFonts w:ascii="仿宋_GB2312" w:eastAsia="仿宋_GB2312" w:cs="仿宋_GB2312" w:hint="eastAsia"/>
          <w:bCs/>
          <w:color w:val="auto"/>
          <w:sz w:val="32"/>
          <w:szCs w:val="32"/>
          <w:lang w:eastAsia="zh-CN"/>
          <w:highlight w:val="auto"/>
        </w:rPr>
        <w:t>：</w:t>
      </w:r>
      <w:r>
        <w:rPr>
          <w:rStyle w:val="27"/>
          <w:rFonts w:ascii="仿宋_GB2312" w:eastAsia="仿宋_GB2312" w:cs="仿宋_GB2312" w:hint="eastAsia"/>
          <w:b w:val="0"/>
          <w:bCs/>
          <w:color w:val="auto"/>
          <w:sz w:val="32"/>
          <w:szCs w:val="32"/>
          <w:highlight w:val="auto"/>
        </w:rPr>
        <w:t>支出决算为</w:t>
      </w:r>
      <w:r>
        <w:rPr>
          <w:rStyle w:val="27"/>
          <w:rFonts w:ascii="仿宋_GB2312" w:eastAsia="仿宋_GB2312" w:cs="仿宋_GB2312" w:hint="eastAsia"/>
          <w:b w:val="0"/>
          <w:bCs/>
          <w:color w:val="auto"/>
          <w:sz w:val="32"/>
          <w:szCs w:val="32"/>
          <w:lang w:val="en-US" w:eastAsia="zh-CN"/>
          <w:highlight w:val="auto"/>
        </w:rPr>
        <w:t>1.51</w:t>
      </w:r>
      <w:r>
        <w:rPr>
          <w:rStyle w:val="27"/>
          <w:rFonts w:ascii="仿宋_GB2312" w:eastAsia="仿宋_GB2312" w:cs="仿宋_GB2312" w:hint="eastAsia"/>
          <w:b w:val="0"/>
          <w:bCs/>
          <w:color w:val="auto"/>
          <w:sz w:val="32"/>
          <w:szCs w:val="32"/>
          <w:highlight w:val="auto"/>
        </w:rPr>
        <w:t>万元，完成预算</w:t>
      </w:r>
      <w:r>
        <w:rPr>
          <w:rStyle w:val="27"/>
          <w:rFonts w:ascii="仿宋_GB2312" w:eastAsia="仿宋_GB2312" w:cs="仿宋_GB2312" w:hint="eastAsia"/>
          <w:b w:val="0"/>
          <w:bCs/>
          <w:color w:val="auto"/>
          <w:sz w:val="32"/>
          <w:szCs w:val="32"/>
          <w:lang w:val="en-US" w:eastAsia="zh-CN"/>
          <w:highlight w:val="auto"/>
        </w:rPr>
        <w:t>100</w:t>
      </w:r>
      <w:r>
        <w:rPr>
          <w:rStyle w:val="27"/>
          <w:rFonts w:ascii="仿宋_GB2312" w:eastAsia="仿宋_GB2312" w:cs="仿宋_GB2312" w:hint="eastAsia"/>
          <w:b w:val="0"/>
          <w:bCs/>
          <w:color w:val="auto"/>
          <w:sz w:val="32"/>
          <w:szCs w:val="32"/>
          <w:highlight w:val="auto"/>
        </w:rPr>
        <w:t>%</w:t>
      </w:r>
      <w:r>
        <w:rPr>
          <w:rStyle w:val="27"/>
          <w:rFonts w:ascii="仿宋_GB2312" w:eastAsia="仿宋_GB2312" w:cs="仿宋_GB2312" w:hint="eastAsia"/>
          <w:b w:val="0"/>
          <w:bCs/>
          <w:color w:val="auto"/>
          <w:sz w:val="32"/>
          <w:szCs w:val="32"/>
          <w:lang w:eastAsia="zh-CN"/>
          <w:highlight w:val="auto"/>
        </w:rPr>
        <w:t>；</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Chars="200" w:firstLine="640"/>
        <w:textAlignment w:val="auto"/>
        <w:outlineLvl w:val="1"/>
        <w:rPr>
          <w:rStyle w:val="2Char"/>
          <w:b w:val="0"/>
          <w:bCs w:val="0"/>
          <w:color w:val="auto"/>
          <w:highlight w:val="auto"/>
        </w:rPr>
      </w:pPr>
      <w:bookmarkStart w:id="34" w:name="_Toc15396608"/>
      <w:bookmarkStart w:id="35" w:name="_Toc15377214"/>
      <w:r>
        <w:rPr>
          <w:rFonts w:ascii="黑体" w:eastAsia="黑体" w:hint="eastAsia"/>
          <w:b w:val="0"/>
          <w:bCs w:val="0"/>
          <w:color w:val="auto"/>
          <w:sz w:val="32"/>
          <w:szCs w:val="32"/>
          <w:highlight w:val="auto"/>
        </w:rPr>
        <w:t>六、一</w:t>
      </w:r>
      <w:r>
        <w:rPr>
          <w:rStyle w:val="2Char"/>
          <w:rFonts w:ascii="黑体" w:eastAsia="黑体" w:hint="eastAsia"/>
          <w:b w:val="0"/>
          <w:bCs w:val="0"/>
          <w:color w:val="auto"/>
          <w:highlight w:val="auto"/>
        </w:rPr>
        <w:t>般公共预算财政拨款基本支出决算情况说明</w:t>
      </w:r>
      <w:bookmarkEnd w:id="34"/>
      <w:bookmarkEnd w:id="35"/>
      <w:r>
        <w:rPr>
          <w:rStyle w:val="2Char"/>
          <w:rFonts w:ascii="黑体" w:eastAsia="黑体"/>
          <w:b w:val="0"/>
          <w:bCs w:val="0"/>
          <w:color w:val="auto"/>
          <w:highlight w:val="auto"/>
        </w:rPr>
        <w:tab/>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年一般公共预算财政拨款基本支出</w:t>
      </w:r>
      <w:r>
        <w:rPr>
          <w:rFonts w:ascii="仿宋_GB2312" w:eastAsia="仿宋_GB2312" w:cs="仿宋_GB2312" w:hint="eastAsia"/>
          <w:color w:val="auto"/>
          <w:sz w:val="32"/>
          <w:szCs w:val="32"/>
          <w:lang w:val="en-US" w:eastAsia="zh-CN"/>
          <w:highlight w:val="auto"/>
        </w:rPr>
        <w:t>899.45</w:t>
      </w:r>
      <w:r>
        <w:rPr>
          <w:rFonts w:ascii="仿宋_GB2312" w:eastAsia="仿宋_GB2312" w:cs="仿宋_GB2312" w:hint="eastAsia"/>
          <w:color w:val="auto"/>
          <w:sz w:val="32"/>
          <w:szCs w:val="32"/>
          <w:highlight w:val="auto"/>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color w:val="auto"/>
          <w:sz w:val="32"/>
          <w:szCs w:val="32"/>
          <w:highlight w:val="auto"/>
        </w:rPr>
      </w:pPr>
      <w:r>
        <w:rPr>
          <w:rFonts w:ascii="仿宋_GB2312" w:eastAsia="仿宋_GB2312" w:cs="仿宋_GB2312" w:hint="eastAsia"/>
          <w:color w:val="auto"/>
          <w:sz w:val="32"/>
          <w:szCs w:val="32"/>
          <w:highlight w:val="auto"/>
        </w:rPr>
        <w:t>人员经费</w:t>
      </w:r>
      <w:r>
        <w:rPr>
          <w:rFonts w:ascii="仿宋_GB2312" w:eastAsia="仿宋_GB2312" w:cs="仿宋_GB2312" w:hint="eastAsia"/>
          <w:color w:val="auto"/>
          <w:sz w:val="32"/>
          <w:szCs w:val="32"/>
          <w:lang w:val="en-US" w:eastAsia="zh-CN"/>
          <w:highlight w:val="auto"/>
        </w:rPr>
        <w:t>854.52</w:t>
      </w:r>
      <w:r>
        <w:rPr>
          <w:rFonts w:ascii="仿宋_GB2312" w:eastAsia="仿宋_GB2312" w:cs="仿宋_GB2312" w:hint="eastAsia"/>
          <w:color w:val="auto"/>
          <w:sz w:val="32"/>
          <w:szCs w:val="32"/>
          <w:highlight w:val="auto"/>
        </w:rPr>
        <w:t>万元，主要包括：基本工资</w:t>
      </w:r>
      <w:r>
        <w:rPr>
          <w:rFonts w:ascii="仿宋_GB2312" w:eastAsia="仿宋_GB2312" w:cs="仿宋_GB2312" w:hint="eastAsia"/>
          <w:color w:val="auto"/>
          <w:sz w:val="32"/>
          <w:szCs w:val="32"/>
          <w:lang w:val="en-US" w:eastAsia="zh-CN"/>
          <w:highlight w:val="auto"/>
        </w:rPr>
        <w:t>133.41万元</w:t>
      </w:r>
      <w:r>
        <w:rPr>
          <w:rFonts w:ascii="仿宋_GB2312" w:eastAsia="仿宋_GB2312" w:cs="仿宋_GB2312" w:hint="eastAsia"/>
          <w:color w:val="auto"/>
          <w:sz w:val="32"/>
          <w:szCs w:val="32"/>
          <w:highlight w:val="auto"/>
        </w:rPr>
        <w:t>、津贴补贴</w:t>
      </w:r>
      <w:r>
        <w:rPr>
          <w:rFonts w:ascii="仿宋_GB2312" w:eastAsia="仿宋_GB2312" w:cs="仿宋_GB2312" w:hint="eastAsia"/>
          <w:color w:val="auto"/>
          <w:sz w:val="32"/>
          <w:szCs w:val="32"/>
          <w:lang w:val="en-US" w:eastAsia="zh-CN"/>
          <w:highlight w:val="auto"/>
        </w:rPr>
        <w:t>187.78万元</w:t>
      </w:r>
      <w:r>
        <w:rPr>
          <w:rFonts w:ascii="仿宋_GB2312" w:eastAsia="仿宋_GB2312" w:cs="仿宋_GB2312" w:hint="eastAsia"/>
          <w:color w:val="auto"/>
          <w:sz w:val="32"/>
          <w:szCs w:val="32"/>
          <w:highlight w:val="auto"/>
        </w:rPr>
        <w:t>、奖金</w:t>
      </w:r>
      <w:r>
        <w:rPr>
          <w:rFonts w:ascii="仿宋_GB2312" w:eastAsia="仿宋_GB2312" w:cs="仿宋_GB2312" w:hint="eastAsia"/>
          <w:color w:val="auto"/>
          <w:sz w:val="32"/>
          <w:szCs w:val="32"/>
          <w:lang w:val="en-US" w:eastAsia="zh-CN"/>
          <w:highlight w:val="auto"/>
        </w:rPr>
        <w:t>150.36万元</w:t>
      </w:r>
      <w:r>
        <w:rPr>
          <w:rFonts w:ascii="仿宋_GB2312" w:eastAsia="仿宋_GB2312" w:cs="仿宋_GB2312" w:hint="eastAsia"/>
          <w:color w:val="auto"/>
          <w:sz w:val="32"/>
          <w:szCs w:val="32"/>
          <w:highlight w:val="auto"/>
        </w:rPr>
        <w:t>、机关事业单位基本养老保险缴费</w:t>
      </w:r>
      <w:r>
        <w:rPr>
          <w:rFonts w:ascii="仿宋_GB2312" w:eastAsia="仿宋_GB2312" w:cs="仿宋_GB2312" w:hint="eastAsia"/>
          <w:color w:val="auto"/>
          <w:sz w:val="32"/>
          <w:szCs w:val="32"/>
          <w:lang w:val="en-US" w:eastAsia="zh-CN"/>
          <w:highlight w:val="auto"/>
        </w:rPr>
        <w:t>59.94万元</w:t>
      </w:r>
      <w:r>
        <w:rPr>
          <w:rFonts w:ascii="仿宋_GB2312" w:eastAsia="仿宋_GB2312" w:cs="仿宋_GB2312" w:hint="eastAsia"/>
          <w:color w:val="auto"/>
          <w:sz w:val="32"/>
          <w:szCs w:val="32"/>
          <w:highlight w:val="auto"/>
        </w:rPr>
        <w:t>、职业年金缴费</w:t>
      </w:r>
      <w:r>
        <w:rPr>
          <w:rFonts w:ascii="仿宋_GB2312" w:eastAsia="仿宋_GB2312" w:cs="仿宋_GB2312" w:hint="eastAsia"/>
          <w:color w:val="auto"/>
          <w:sz w:val="32"/>
          <w:szCs w:val="32"/>
          <w:lang w:val="en-US" w:eastAsia="zh-CN"/>
          <w:highlight w:val="auto"/>
        </w:rPr>
        <w:t>29.98万元</w:t>
      </w:r>
      <w:r>
        <w:rPr>
          <w:rFonts w:ascii="仿宋_GB2312" w:eastAsia="仿宋_GB2312" w:cs="仿宋_GB2312" w:hint="eastAsia"/>
          <w:color w:val="auto"/>
          <w:sz w:val="32"/>
          <w:szCs w:val="32"/>
          <w:highlight w:val="auto"/>
        </w:rPr>
        <w:t>、职工基本医疗保险缴费</w:t>
      </w:r>
      <w:r>
        <w:rPr>
          <w:rFonts w:ascii="仿宋_GB2312" w:eastAsia="仿宋_GB2312" w:cs="仿宋_GB2312" w:hint="eastAsia"/>
          <w:color w:val="auto"/>
          <w:sz w:val="32"/>
          <w:szCs w:val="32"/>
          <w:lang w:val="en-US" w:eastAsia="zh-CN"/>
          <w:highlight w:val="auto"/>
        </w:rPr>
        <w:t>27.55万元、公务员医疗补助缴费8.67万元、</w:t>
      </w:r>
      <w:r>
        <w:rPr>
          <w:rFonts w:ascii="仿宋_GB2312" w:eastAsia="仿宋_GB2312" w:cs="仿宋_GB2312" w:hint="eastAsia"/>
          <w:color w:val="auto"/>
          <w:sz w:val="32"/>
          <w:szCs w:val="32"/>
          <w:highlight w:val="auto"/>
        </w:rPr>
        <w:t>其他社会保障缴费</w:t>
      </w:r>
      <w:r>
        <w:rPr>
          <w:rFonts w:ascii="仿宋_GB2312" w:eastAsia="仿宋_GB2312" w:cs="仿宋_GB2312" w:hint="eastAsia"/>
          <w:color w:val="auto"/>
          <w:sz w:val="32"/>
          <w:szCs w:val="32"/>
          <w:lang w:val="en-US" w:eastAsia="zh-CN"/>
          <w:highlight w:val="auto"/>
        </w:rPr>
        <w:t>5.77万元</w:t>
      </w:r>
      <w:r>
        <w:rPr>
          <w:rFonts w:ascii="仿宋_GB2312" w:eastAsia="仿宋_GB2312" w:cs="仿宋_GB2312" w:hint="eastAsia"/>
          <w:color w:val="auto"/>
          <w:sz w:val="32"/>
          <w:szCs w:val="32"/>
          <w:highlight w:val="auto"/>
        </w:rPr>
        <w:t>、抚恤金</w:t>
      </w:r>
      <w:r>
        <w:rPr>
          <w:rFonts w:ascii="仿宋_GB2312" w:eastAsia="仿宋_GB2312" w:cs="仿宋_GB2312" w:hint="eastAsia"/>
          <w:color w:val="auto"/>
          <w:sz w:val="32"/>
          <w:szCs w:val="32"/>
          <w:lang w:val="en-US" w:eastAsia="zh-CN"/>
          <w:highlight w:val="auto"/>
        </w:rPr>
        <w:t>47.24万元</w:t>
      </w:r>
      <w:r>
        <w:rPr>
          <w:rFonts w:ascii="仿宋_GB2312" w:eastAsia="仿宋_GB2312" w:cs="仿宋_GB2312" w:hint="eastAsia"/>
          <w:color w:val="auto"/>
          <w:sz w:val="32"/>
          <w:szCs w:val="32"/>
          <w:highlight w:val="auto"/>
        </w:rPr>
        <w:t>、生活补助</w:t>
      </w:r>
      <w:r>
        <w:rPr>
          <w:rFonts w:ascii="仿宋_GB2312" w:eastAsia="仿宋_GB2312" w:cs="仿宋_GB2312" w:hint="eastAsia"/>
          <w:color w:val="auto"/>
          <w:sz w:val="32"/>
          <w:szCs w:val="32"/>
          <w:lang w:val="en-US" w:eastAsia="zh-CN"/>
          <w:highlight w:val="auto"/>
        </w:rPr>
        <w:t>138.01万元</w:t>
      </w:r>
      <w:r>
        <w:rPr>
          <w:rFonts w:ascii="仿宋_GB2312" w:eastAsia="仿宋_GB2312" w:cs="仿宋_GB2312" w:hint="eastAsia"/>
          <w:color w:val="auto"/>
          <w:sz w:val="32"/>
          <w:szCs w:val="32"/>
          <w:highlight w:val="auto"/>
        </w:rPr>
        <w:t>、奖励金</w:t>
      </w:r>
      <w:r>
        <w:rPr>
          <w:rFonts w:ascii="仿宋_GB2312" w:eastAsia="仿宋_GB2312" w:cs="仿宋_GB2312" w:hint="eastAsia"/>
          <w:color w:val="auto"/>
          <w:sz w:val="32"/>
          <w:szCs w:val="32"/>
          <w:lang w:val="en-US" w:eastAsia="zh-CN"/>
          <w:highlight w:val="auto"/>
        </w:rPr>
        <w:t>0.01万元</w:t>
      </w:r>
      <w:r>
        <w:rPr>
          <w:rFonts w:ascii="仿宋_GB2312" w:eastAsia="仿宋_GB2312" w:cs="仿宋_GB2312" w:hint="eastAsia"/>
          <w:color w:val="auto"/>
          <w:sz w:val="32"/>
          <w:szCs w:val="32"/>
          <w:highlight w:val="auto"/>
        </w:rPr>
        <w:t>、住房公积金</w:t>
      </w:r>
      <w:r>
        <w:rPr>
          <w:rFonts w:ascii="仿宋_GB2312" w:eastAsia="仿宋_GB2312" w:cs="仿宋_GB2312" w:hint="eastAsia"/>
          <w:color w:val="auto"/>
          <w:sz w:val="32"/>
          <w:szCs w:val="32"/>
          <w:lang w:val="en-US" w:eastAsia="zh-CN"/>
          <w:highlight w:val="auto"/>
        </w:rPr>
        <w:t>47.20万元、</w:t>
      </w:r>
      <w:r>
        <w:rPr>
          <w:rFonts w:ascii="仿宋_GB2312" w:eastAsia="仿宋_GB2312" w:cs="仿宋_GB2312" w:hint="eastAsia"/>
          <w:color w:val="auto"/>
          <w:sz w:val="32"/>
          <w:szCs w:val="32"/>
          <w:highlight w:val="auto"/>
        </w:rPr>
        <w:t>医疗费</w:t>
      </w:r>
      <w:r>
        <w:rPr>
          <w:rFonts w:ascii="仿宋_GB2312" w:eastAsia="仿宋_GB2312" w:cs="仿宋_GB2312" w:hint="eastAsia"/>
          <w:color w:val="auto"/>
          <w:sz w:val="32"/>
          <w:szCs w:val="32"/>
          <w:lang w:val="en-US" w:eastAsia="zh-CN"/>
          <w:highlight w:val="auto"/>
        </w:rPr>
        <w:t>18.60万元</w:t>
      </w:r>
      <w:r>
        <w:rPr>
          <w:rFonts w:ascii="仿宋_GB2312" w:eastAsia="仿宋_GB2312" w:cs="仿宋_GB2312" w:hint="eastAsia"/>
          <w:color w:val="auto"/>
          <w:sz w:val="32"/>
          <w:szCs w:val="32"/>
          <w:highlight w:val="auto"/>
        </w:rPr>
        <w:t>。</w:t>
        <w:br/>
        <w:t>　　公用经费</w:t>
      </w:r>
      <w:r>
        <w:rPr>
          <w:rFonts w:ascii="仿宋_GB2312" w:eastAsia="仿宋_GB2312" w:cs="仿宋_GB2312" w:hint="eastAsia"/>
          <w:color w:val="auto"/>
          <w:sz w:val="32"/>
          <w:szCs w:val="32"/>
          <w:lang w:val="en-US" w:eastAsia="zh-CN"/>
          <w:highlight w:val="auto"/>
        </w:rPr>
        <w:t>44.93</w:t>
      </w:r>
      <w:r>
        <w:rPr>
          <w:rFonts w:ascii="仿宋_GB2312" w:eastAsia="仿宋_GB2312" w:cs="仿宋_GB2312" w:hint="eastAsia"/>
          <w:color w:val="auto"/>
          <w:sz w:val="32"/>
          <w:szCs w:val="32"/>
          <w:highlight w:val="auto"/>
        </w:rPr>
        <w:t>万元，主要包括：办公费</w:t>
      </w:r>
      <w:r>
        <w:rPr>
          <w:rFonts w:ascii="仿宋_GB2312" w:eastAsia="仿宋_GB2312" w:cs="仿宋_GB2312" w:hint="eastAsia"/>
          <w:color w:val="auto"/>
          <w:sz w:val="32"/>
          <w:szCs w:val="32"/>
          <w:lang w:val="en-US" w:eastAsia="zh-CN"/>
          <w:highlight w:val="auto"/>
        </w:rPr>
        <w:t>5.37万元</w:t>
      </w:r>
      <w:r>
        <w:rPr>
          <w:rFonts w:ascii="仿宋_GB2312" w:eastAsia="仿宋_GB2312" w:cs="仿宋_GB2312" w:hint="eastAsia"/>
          <w:color w:val="auto"/>
          <w:sz w:val="32"/>
          <w:szCs w:val="32"/>
          <w:highlight w:val="auto"/>
        </w:rPr>
        <w:t>、印刷费</w:t>
      </w:r>
      <w:r>
        <w:rPr>
          <w:rFonts w:ascii="仿宋_GB2312" w:eastAsia="仿宋_GB2312" w:cs="仿宋_GB2312" w:hint="eastAsia"/>
          <w:color w:val="auto"/>
          <w:sz w:val="32"/>
          <w:szCs w:val="32"/>
          <w:lang w:val="en-US" w:eastAsia="zh-CN"/>
          <w:highlight w:val="auto"/>
        </w:rPr>
        <w:t>7.31万元</w:t>
      </w:r>
      <w:r>
        <w:rPr>
          <w:rFonts w:ascii="仿宋_GB2312" w:eastAsia="仿宋_GB2312" w:cs="仿宋_GB2312" w:hint="eastAsia"/>
          <w:color w:val="auto"/>
          <w:sz w:val="32"/>
          <w:szCs w:val="32"/>
          <w:highlight w:val="auto"/>
        </w:rPr>
        <w:t>、水费</w:t>
      </w:r>
      <w:r>
        <w:rPr>
          <w:rFonts w:ascii="仿宋_GB2312" w:eastAsia="仿宋_GB2312" w:cs="仿宋_GB2312" w:hint="eastAsia"/>
          <w:color w:val="auto"/>
          <w:sz w:val="32"/>
          <w:szCs w:val="32"/>
          <w:lang w:val="en-US" w:eastAsia="zh-CN"/>
          <w:highlight w:val="auto"/>
        </w:rPr>
        <w:t>0.24万元</w:t>
      </w:r>
      <w:r>
        <w:rPr>
          <w:rFonts w:ascii="仿宋_GB2312" w:eastAsia="仿宋_GB2312" w:cs="仿宋_GB2312" w:hint="eastAsia"/>
          <w:color w:val="auto"/>
          <w:sz w:val="32"/>
          <w:szCs w:val="32"/>
          <w:highlight w:val="auto"/>
        </w:rPr>
        <w:t>、电费</w:t>
      </w:r>
      <w:r>
        <w:rPr>
          <w:rFonts w:ascii="仿宋_GB2312" w:eastAsia="仿宋_GB2312" w:cs="仿宋_GB2312" w:hint="eastAsia"/>
          <w:color w:val="auto"/>
          <w:sz w:val="32"/>
          <w:szCs w:val="32"/>
          <w:lang w:val="en-US" w:eastAsia="zh-CN"/>
          <w:highlight w:val="auto"/>
        </w:rPr>
        <w:t>2.00万元</w:t>
      </w:r>
      <w:r>
        <w:rPr>
          <w:rFonts w:ascii="仿宋_GB2312" w:eastAsia="仿宋_GB2312" w:cs="仿宋_GB2312" w:hint="eastAsia"/>
          <w:color w:val="auto"/>
          <w:sz w:val="32"/>
          <w:szCs w:val="32"/>
          <w:highlight w:val="auto"/>
        </w:rPr>
        <w:t>、邮电费</w:t>
      </w:r>
      <w:r>
        <w:rPr>
          <w:rFonts w:ascii="仿宋_GB2312" w:eastAsia="仿宋_GB2312" w:cs="仿宋_GB2312" w:hint="eastAsia"/>
          <w:color w:val="auto"/>
          <w:sz w:val="32"/>
          <w:szCs w:val="32"/>
          <w:lang w:val="en-US" w:eastAsia="zh-CN"/>
          <w:highlight w:val="auto"/>
        </w:rPr>
        <w:t>1.00万元</w:t>
      </w:r>
      <w:r>
        <w:rPr>
          <w:rFonts w:ascii="仿宋_GB2312" w:eastAsia="仿宋_GB2312" w:cs="仿宋_GB2312" w:hint="eastAsia"/>
          <w:color w:val="auto"/>
          <w:sz w:val="32"/>
          <w:szCs w:val="32"/>
          <w:highlight w:val="auto"/>
        </w:rPr>
        <w:t>、差旅费</w:t>
      </w:r>
      <w:r>
        <w:rPr>
          <w:rFonts w:ascii="仿宋_GB2312" w:eastAsia="仿宋_GB2312" w:cs="仿宋_GB2312" w:hint="eastAsia"/>
          <w:color w:val="auto"/>
          <w:sz w:val="32"/>
          <w:szCs w:val="32"/>
          <w:lang w:val="en-US" w:eastAsia="zh-CN"/>
          <w:highlight w:val="auto"/>
        </w:rPr>
        <w:t>14.29万元</w:t>
      </w:r>
      <w:r>
        <w:rPr>
          <w:rFonts w:ascii="仿宋_GB2312" w:eastAsia="仿宋_GB2312" w:cs="仿宋_GB2312" w:hint="eastAsia"/>
          <w:color w:val="auto"/>
          <w:sz w:val="32"/>
          <w:szCs w:val="32"/>
          <w:highlight w:val="auto"/>
        </w:rPr>
        <w:t>、劳务费</w:t>
      </w:r>
      <w:r>
        <w:rPr>
          <w:rFonts w:ascii="仿宋_GB2312" w:eastAsia="仿宋_GB2312" w:cs="仿宋_GB2312" w:hint="eastAsia"/>
          <w:color w:val="auto"/>
          <w:sz w:val="32"/>
          <w:szCs w:val="32"/>
          <w:lang w:val="en-US" w:eastAsia="zh-CN"/>
          <w:highlight w:val="auto"/>
        </w:rPr>
        <w:t>1.75万元</w:t>
      </w:r>
      <w:r>
        <w:rPr>
          <w:rFonts w:ascii="仿宋_GB2312" w:eastAsia="仿宋_GB2312" w:cs="仿宋_GB2312" w:hint="eastAsia"/>
          <w:color w:val="auto"/>
          <w:sz w:val="32"/>
          <w:szCs w:val="32"/>
          <w:highlight w:val="auto"/>
        </w:rPr>
        <w:t>、委托业务费</w:t>
      </w:r>
      <w:r>
        <w:rPr>
          <w:rFonts w:ascii="仿宋_GB2312" w:eastAsia="仿宋_GB2312" w:cs="仿宋_GB2312" w:hint="eastAsia"/>
          <w:color w:val="auto"/>
          <w:sz w:val="32"/>
          <w:szCs w:val="32"/>
          <w:lang w:val="en-US" w:eastAsia="zh-CN"/>
          <w:highlight w:val="auto"/>
        </w:rPr>
        <w:t>0.30万元</w:t>
      </w:r>
      <w:r>
        <w:rPr>
          <w:rFonts w:ascii="仿宋_GB2312" w:eastAsia="仿宋_GB2312" w:cs="仿宋_GB2312" w:hint="eastAsia"/>
          <w:color w:val="auto"/>
          <w:sz w:val="32"/>
          <w:szCs w:val="32"/>
          <w:highlight w:val="auto"/>
        </w:rPr>
        <w:t>、公务用车运行维护费</w:t>
      </w:r>
      <w:r>
        <w:rPr>
          <w:rFonts w:ascii="仿宋_GB2312" w:eastAsia="仿宋_GB2312" w:cs="仿宋_GB2312" w:hint="eastAsia"/>
          <w:color w:val="auto"/>
          <w:sz w:val="32"/>
          <w:szCs w:val="32"/>
          <w:lang w:val="en-US" w:eastAsia="zh-CN"/>
          <w:highlight w:val="auto"/>
        </w:rPr>
        <w:t>12.43万元</w:t>
      </w:r>
      <w:r>
        <w:rPr>
          <w:rFonts w:ascii="仿宋_GB2312" w:eastAsia="仿宋_GB2312" w:cs="仿宋_GB2312" w:hint="eastAsia"/>
          <w:color w:val="auto"/>
          <w:sz w:val="32"/>
          <w:szCs w:val="32"/>
          <w:highlight w:val="auto"/>
        </w:rPr>
        <w:t>、其他交通费</w:t>
      </w:r>
      <w:r>
        <w:rPr>
          <w:rFonts w:ascii="仿宋_GB2312" w:eastAsia="仿宋_GB2312" w:cs="仿宋_GB2312" w:hint="eastAsia"/>
          <w:color w:val="auto"/>
          <w:sz w:val="32"/>
          <w:szCs w:val="32"/>
          <w:lang w:val="en-US" w:eastAsia="zh-CN"/>
          <w:highlight w:val="auto"/>
        </w:rPr>
        <w:t>0.25万元</w:t>
      </w:r>
      <w:r>
        <w:rPr>
          <w:rFonts w:ascii="仿宋_GB2312" w:eastAsia="仿宋_GB2312" w:cs="仿宋_GB2312" w:hint="eastAsia"/>
          <w:b/>
          <w:color w:val="auto"/>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Style w:val="2Char"/>
          <w:rFonts w:ascii="黑体" w:eastAsia="黑体"/>
          <w:b w:val="0"/>
          <w:color w:val="auto"/>
          <w:highlight w:val="auto"/>
        </w:rPr>
      </w:pPr>
      <w:bookmarkStart w:id="36" w:name="_Toc15377215"/>
      <w:bookmarkStart w:id="37" w:name="_Toc15396609"/>
      <w:r>
        <w:rPr>
          <w:rFonts w:ascii="黑体" w:eastAsia="黑体" w:hint="eastAsia"/>
          <w:color w:val="auto"/>
          <w:sz w:val="32"/>
          <w:szCs w:val="32"/>
          <w:highlight w:val="auto"/>
        </w:rPr>
        <w:t>七、</w:t>
      </w:r>
      <w:r>
        <w:rPr>
          <w:rStyle w:val="2Char"/>
          <w:rFonts w:ascii="黑体" w:eastAsia="黑体" w:hint="eastAsia"/>
          <w:b w:val="0"/>
          <w:color w:val="auto"/>
          <w:highlight w:val="auto"/>
        </w:rPr>
        <w:t>财政拨款</w:t>
      </w:r>
      <w:r>
        <w:rPr>
          <w:rStyle w:val="2Char"/>
          <w:rFonts w:ascii="黑体" w:eastAsia="黑体" w:hint="eastAsia"/>
          <w:color w:val="auto"/>
          <w:highlight w:val="auto"/>
        </w:rPr>
        <w:t>“</w:t>
      </w:r>
      <w:r>
        <w:rPr>
          <w:rStyle w:val="2Char"/>
          <w:rFonts w:ascii="黑体" w:eastAsia="黑体" w:hint="eastAsia"/>
          <w:b w:val="0"/>
          <w:color w:val="auto"/>
          <w:highlight w:val="auto"/>
        </w:rPr>
        <w:t>三公”经费支出决算情况说明</w:t>
      </w:r>
      <w:bookmarkEnd w:id="36"/>
      <w:bookmarkEnd w:id="37"/>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_GB2312" w:eastAsia="楷体_GB2312" w:cs="楷体_GB2312" w:hint="eastAsia"/>
          <w:b/>
          <w:bCs w:val="0"/>
          <w:color w:val="auto"/>
          <w:sz w:val="32"/>
          <w:szCs w:val="32"/>
          <w:highlight w:val="auto"/>
        </w:rPr>
      </w:pPr>
      <w:bookmarkStart w:id="38" w:name="_Toc15377216"/>
      <w:r>
        <w:rPr>
          <w:rFonts w:ascii="楷体_GB2312" w:eastAsia="楷体_GB2312" w:cs="楷体_GB2312" w:hint="eastAsia"/>
          <w:b/>
          <w:bCs w:val="0"/>
          <w:color w:val="auto"/>
          <w:sz w:val="32"/>
          <w:szCs w:val="32"/>
          <w:highlight w:val="auto"/>
        </w:rPr>
        <w:t>（一）“三公”经费财政拨款支出决算总体情况说明</w:t>
      </w:r>
      <w:bookmarkEnd w:id="3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年“三公”经费财政拨款支出决算为</w:t>
      </w:r>
      <w:r>
        <w:rPr>
          <w:rFonts w:ascii="仿宋_GB2312" w:eastAsia="仿宋_GB2312" w:cs="仿宋_GB2312" w:hint="eastAsia"/>
          <w:color w:val="auto"/>
          <w:sz w:val="32"/>
          <w:szCs w:val="32"/>
          <w:lang w:val="en-US" w:eastAsia="zh-CN"/>
          <w:highlight w:val="auto"/>
        </w:rPr>
        <w:t>12.43</w:t>
      </w:r>
      <w:r>
        <w:rPr>
          <w:rFonts w:ascii="仿宋_GB2312" w:eastAsia="仿宋_GB2312" w:cs="仿宋_GB2312" w:hint="eastAsia"/>
          <w:color w:val="auto"/>
          <w:sz w:val="32"/>
          <w:szCs w:val="32"/>
          <w:highlight w:val="auto"/>
        </w:rPr>
        <w:t>万元，完成预算</w:t>
      </w:r>
      <w:r>
        <w:rPr>
          <w:rFonts w:ascii="仿宋_GB2312" w:eastAsia="仿宋_GB2312" w:cs="仿宋_GB2312" w:hint="eastAsia"/>
          <w:color w:val="auto"/>
          <w:sz w:val="32"/>
          <w:szCs w:val="32"/>
          <w:lang w:val="en-US" w:eastAsia="zh-CN"/>
          <w:highlight w:val="auto"/>
        </w:rPr>
        <w:t>100</w:t>
      </w:r>
      <w:r>
        <w:rPr>
          <w:rFonts w:ascii="仿宋_GB2312" w:eastAsia="仿宋_GB2312" w:cs="仿宋_GB2312" w:hint="eastAsia"/>
          <w:color w:val="auto"/>
          <w:sz w:val="32"/>
          <w:szCs w:val="32"/>
          <w:highlight w:val="auto"/>
        </w:rPr>
        <w:t>%，</w:t>
      </w:r>
      <w:r>
        <w:rPr>
          <w:rFonts w:ascii="仿宋_GB2312" w:eastAsia="仿宋_GB2312" w:cs="仿宋_GB2312" w:hint="eastAsia"/>
          <w:color w:val="auto"/>
          <w:sz w:val="32"/>
          <w:szCs w:val="32"/>
          <w:lang w:eastAsia="zh-CN"/>
          <w:highlight w:val="auto"/>
        </w:rPr>
        <w:t>较上年</w:t>
      </w:r>
      <w:r>
        <w:rPr>
          <w:rFonts w:ascii="仿宋_GB2312" w:eastAsia="仿宋_GB2312" w:cs="仿宋_GB2312" w:hint="eastAsia"/>
          <w:color w:val="auto"/>
          <w:sz w:val="32"/>
          <w:szCs w:val="32"/>
          <w:lang w:val="en-US" w:eastAsia="zh-CN"/>
          <w:highlight w:val="auto"/>
        </w:rPr>
        <w:t>减少4.44万元，下降26.32%。</w:t>
      </w:r>
      <w:r>
        <w:rPr>
          <w:rFonts w:ascii="仿宋_GB2312" w:eastAsia="仿宋_GB2312" w:cs="仿宋_GB2312" w:hint="eastAsia"/>
          <w:color w:val="auto"/>
          <w:sz w:val="32"/>
          <w:szCs w:val="32"/>
          <w:highlight w:val="auto"/>
        </w:rPr>
        <w:t>决算数小于预算数的主要原因</w:t>
      </w:r>
      <w:r>
        <w:rPr>
          <w:rFonts w:ascii="仿宋_GB2312" w:eastAsia="仿宋_GB2312" w:cs="仿宋_GB2312" w:hint="eastAsia"/>
          <w:color w:val="auto"/>
          <w:sz w:val="32"/>
          <w:szCs w:val="32"/>
          <w:lang w:val="en-US" w:eastAsia="zh-CN"/>
          <w:highlight w:val="auto"/>
        </w:rPr>
        <w:t>2022年项目减少、下乡和出差次数减少故</w:t>
      </w:r>
      <w:r>
        <w:rPr>
          <w:rFonts w:ascii="仿宋_GB2312" w:eastAsia="仿宋_GB2312" w:cs="仿宋_GB2312" w:hint="eastAsia"/>
          <w:color w:val="auto"/>
          <w:sz w:val="32"/>
          <w:szCs w:val="32"/>
          <w:highlight w:val="auto"/>
        </w:rPr>
        <w:t>公务用车运行维护费</w:t>
      </w:r>
      <w:r>
        <w:rPr>
          <w:rFonts w:ascii="仿宋_GB2312" w:eastAsia="仿宋_GB2312" w:cs="仿宋_GB2312" w:hint="eastAsia"/>
          <w:color w:val="auto"/>
          <w:sz w:val="32"/>
          <w:szCs w:val="32"/>
          <w:lang w:val="en-US" w:eastAsia="zh-CN"/>
          <w:highlight w:val="auto"/>
        </w:rPr>
        <w:t>减少</w:t>
      </w:r>
      <w:r>
        <w:rPr>
          <w:rFonts w:ascii="仿宋_GB2312" w:eastAsia="仿宋_GB2312" w:cs="仿宋_GB2312" w:hint="eastAsia"/>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_GB2312" w:eastAsia="楷体_GB2312" w:cs="楷体_GB2312" w:hint="eastAsia"/>
          <w:b/>
          <w:bCs w:val="0"/>
          <w:color w:val="auto"/>
          <w:sz w:val="32"/>
          <w:szCs w:val="32"/>
          <w:highlight w:val="auto"/>
        </w:rPr>
      </w:pPr>
      <w:bookmarkStart w:id="39" w:name="_Toc15377217"/>
      <w:r>
        <w:rPr>
          <w:rFonts w:ascii="楷体_GB2312" w:eastAsia="楷体_GB2312" w:cs="楷体_GB2312" w:hint="eastAsia"/>
          <w:b/>
          <w:bCs w:val="0"/>
          <w:color w:val="auto"/>
          <w:sz w:val="32"/>
          <w:szCs w:val="32"/>
          <w:highlight w:val="auto"/>
        </w:rPr>
        <w:t>（二）“三公”经费财政拨款支出决算具体情况说明</w:t>
      </w:r>
      <w:bookmarkEnd w:id="39"/>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2022年“三公”经费财政拨款支出决算中，因公出国（境）费支出决算0万元，占0%；公务用车购置及运行维护费支出决算12.43万元，占100%；公务接待费支出决算0万元，占0%。具体情况如下：</w:t>
      </w:r>
    </w:p>
    <w:p>
      <w:pPr>
        <w:pStyle w:val="15"/>
        <w:rPr>
          <w:rFonts w:ascii="仿宋" w:eastAsia="仿宋"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auto"/>
          <w:sz w:val="32"/>
          <w:szCs w:val="32"/>
          <w:highlight w:val="auto"/>
        </w:rPr>
      </w:pPr>
      <w:r>
        <w:rPr>
          <w:rFonts w:ascii="仿宋_GB2312" w:eastAsia="仿宋_GB2312" w:cs="仿宋_GB2312" w:hint="eastAsia"/>
          <w:b/>
          <w:bCs/>
          <w:color w:val="auto"/>
          <w:kern w:val="2"/>
          <w:sz w:val="32"/>
          <w:szCs w:val="32"/>
          <w:lang w:val="en-US" w:eastAsia="zh-CN" w:bidi="ar-SA"/>
        </w:rPr>
        <w:t>1.</w:t>
      </w:r>
      <w:r>
        <w:rPr>
          <w:rFonts w:ascii="仿宋_GB2312" w:eastAsia="仿宋_GB2312" w:cs="仿宋_GB2312" w:hint="eastAsia"/>
          <w:b/>
          <w:bCs/>
          <w:color w:val="auto"/>
          <w:sz w:val="32"/>
          <w:szCs w:val="32"/>
          <w:lang w:val="en-US" w:eastAsia="zh-CN"/>
          <w:highlight w:val="auto"/>
        </w:rPr>
        <w:t>因公出国（境）经费支出</w:t>
      </w:r>
      <w:r>
        <w:rPr>
          <w:rFonts w:ascii="仿宋_GB2312" w:eastAsia="仿宋_GB2312" w:cs="仿宋_GB2312" w:hint="eastAsia"/>
          <w:color w:val="auto"/>
          <w:sz w:val="32"/>
          <w:szCs w:val="32"/>
          <w:lang w:val="en-US" w:eastAsia="zh-CN"/>
          <w:highlight w:val="auto"/>
        </w:rPr>
        <w:t>0万元，完成预算0%。全年</w:t>
      </w:r>
      <w:r>
        <w:rPr>
          <w:rFonts w:ascii="仿宋_GB2312" w:eastAsia="仿宋_GB2312" w:cs="仿宋_GB2312" w:hint="eastAsia"/>
          <w:color w:val="auto"/>
          <w:sz w:val="32"/>
          <w:szCs w:val="32"/>
          <w:highlight w:val="auto"/>
        </w:rPr>
        <w:t>安排因公出国（境）团组</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次，出国（境）</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人。</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b/>
          <w:color w:val="auto"/>
          <w:sz w:val="32"/>
          <w:szCs w:val="32"/>
          <w:highlight w:val="auto"/>
        </w:rPr>
      </w:pPr>
      <w:r>
        <w:rPr>
          <w:rFonts w:ascii="仿宋_GB2312" w:eastAsia="仿宋_GB2312" w:cs="仿宋_GB2312" w:hint="eastAsia"/>
          <w:b/>
          <w:color w:val="auto"/>
          <w:sz w:val="32"/>
          <w:szCs w:val="32"/>
          <w:highlight w:val="auto"/>
        </w:rPr>
        <w:t>2.公务用车购置及运行维护费支出</w:t>
      </w:r>
      <w:r>
        <w:rPr>
          <w:rFonts w:ascii="仿宋_GB2312" w:eastAsia="仿宋_GB2312" w:cs="仿宋_GB2312" w:hint="eastAsia"/>
          <w:color w:val="auto"/>
          <w:sz w:val="32"/>
          <w:szCs w:val="32"/>
          <w:lang w:val="en-US" w:eastAsia="zh-CN"/>
          <w:highlight w:val="auto"/>
        </w:rPr>
        <w:t>12.43</w:t>
      </w:r>
      <w:r>
        <w:rPr>
          <w:rFonts w:ascii="仿宋_GB2312" w:eastAsia="仿宋_GB2312" w:cs="仿宋_GB2312" w:hint="eastAsia"/>
          <w:color w:val="auto"/>
          <w:sz w:val="32"/>
          <w:szCs w:val="32"/>
          <w:highlight w:val="auto"/>
        </w:rPr>
        <w:t>万元,</w:t>
      </w:r>
      <w:r>
        <w:rPr>
          <w:rStyle w:val="27"/>
          <w:rFonts w:ascii="仿宋_GB2312" w:eastAsia="仿宋_GB2312" w:cs="仿宋_GB2312" w:hint="eastAsia"/>
          <w:b w:val="0"/>
          <w:bCs/>
          <w:color w:val="auto"/>
          <w:sz w:val="32"/>
          <w:szCs w:val="32"/>
          <w:highlight w:val="auto"/>
        </w:rPr>
        <w:t>完成预算</w:t>
      </w:r>
      <w:r>
        <w:rPr>
          <w:rStyle w:val="27"/>
          <w:rFonts w:ascii="仿宋_GB2312" w:eastAsia="仿宋_GB2312" w:cs="仿宋_GB2312" w:hint="eastAsia"/>
          <w:b w:val="0"/>
          <w:bCs/>
          <w:color w:val="auto"/>
          <w:sz w:val="32"/>
          <w:szCs w:val="32"/>
          <w:lang w:val="en-US" w:eastAsia="zh-CN"/>
          <w:highlight w:val="auto"/>
        </w:rPr>
        <w:t>0</w:t>
      </w:r>
      <w:r>
        <w:rPr>
          <w:rStyle w:val="27"/>
          <w:rFonts w:ascii="仿宋_GB2312" w:eastAsia="仿宋_GB2312" w:cs="仿宋_GB2312" w:hint="eastAsia"/>
          <w:b w:val="0"/>
          <w:bCs/>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
          <w:color w:val="auto"/>
          <w:sz w:val="32"/>
          <w:szCs w:val="32"/>
          <w:highlight w:val="auto"/>
        </w:rPr>
      </w:pPr>
      <w:r>
        <w:rPr>
          <w:rFonts w:ascii="仿宋_GB2312" w:eastAsia="仿宋_GB2312" w:cs="仿宋_GB2312" w:hint="eastAsia"/>
          <w:color w:val="auto"/>
          <w:sz w:val="32"/>
          <w:szCs w:val="32"/>
          <w:highlight w:val="auto"/>
        </w:rPr>
        <w:t>其中：</w:t>
      </w:r>
      <w:r>
        <w:rPr>
          <w:rFonts w:ascii="仿宋_GB2312" w:eastAsia="仿宋_GB2312" w:cs="仿宋_GB2312" w:hint="eastAsia"/>
          <w:b/>
          <w:color w:val="auto"/>
          <w:sz w:val="32"/>
          <w:szCs w:val="32"/>
          <w:highlight w:val="auto"/>
        </w:rPr>
        <w:t>公务用车购置支出</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万元。全年按规定更新购置公务用车</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辆，其中：轿车</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辆、金额</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万元，越野车</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辆、金额</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万元，载客汽车</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辆、金额</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万元。20</w:t>
      </w:r>
      <w:r>
        <w:rPr>
          <w:rFonts w:ascii="仿宋_GB2312" w:eastAsia="仿宋_GB2312" w:cs="仿宋_GB2312" w:hint="eastAsia"/>
          <w:color w:val="auto"/>
          <w:sz w:val="32"/>
          <w:szCs w:val="32"/>
          <w:lang w:val="en-US" w:eastAsia="zh-CN"/>
          <w:highlight w:val="auto"/>
        </w:rPr>
        <w:t>22</w:t>
      </w:r>
      <w:r>
        <w:rPr>
          <w:rFonts w:ascii="仿宋_GB2312" w:eastAsia="仿宋_GB2312" w:cs="仿宋_GB2312" w:hint="eastAsia"/>
          <w:color w:val="auto"/>
          <w:sz w:val="32"/>
          <w:szCs w:val="32"/>
          <w:highlight w:val="auto"/>
        </w:rPr>
        <w:t>年12月底，单位共有公务用车</w:t>
      </w:r>
      <w:r>
        <w:rPr>
          <w:rFonts w:ascii="仿宋_GB2312" w:eastAsia="仿宋_GB2312" w:cs="仿宋_GB2312" w:hint="eastAsia"/>
          <w:color w:val="auto"/>
          <w:sz w:val="32"/>
          <w:szCs w:val="32"/>
          <w:lang w:val="en-US" w:eastAsia="zh-CN"/>
          <w:highlight w:val="auto"/>
        </w:rPr>
        <w:t>7</w:t>
      </w:r>
      <w:r>
        <w:rPr>
          <w:rFonts w:ascii="仿宋_GB2312" w:eastAsia="仿宋_GB2312" w:cs="仿宋_GB2312" w:hint="eastAsia"/>
          <w:color w:val="auto"/>
          <w:sz w:val="32"/>
          <w:szCs w:val="32"/>
          <w:highlight w:val="auto"/>
        </w:rPr>
        <w:t>辆，其中：轿车</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辆、越野车</w:t>
      </w:r>
      <w:r>
        <w:rPr>
          <w:rFonts w:ascii="仿宋_GB2312" w:eastAsia="仿宋_GB2312" w:cs="仿宋_GB2312" w:hint="eastAsia"/>
          <w:color w:val="auto"/>
          <w:sz w:val="32"/>
          <w:szCs w:val="32"/>
          <w:lang w:val="en-US" w:eastAsia="zh-CN"/>
          <w:highlight w:val="auto"/>
        </w:rPr>
        <w:t>6</w:t>
      </w:r>
      <w:r>
        <w:rPr>
          <w:rFonts w:ascii="仿宋_GB2312" w:eastAsia="仿宋_GB2312" w:cs="仿宋_GB2312" w:hint="eastAsia"/>
          <w:color w:val="auto"/>
          <w:sz w:val="32"/>
          <w:szCs w:val="32"/>
          <w:highlight w:val="auto"/>
        </w:rPr>
        <w:t>辆、载客汽车</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辆</w:t>
      </w:r>
      <w:r>
        <w:rPr>
          <w:rFonts w:ascii="仿宋_GB2312" w:eastAsia="仿宋_GB2312" w:cs="仿宋_GB2312" w:hint="eastAsia"/>
          <w:color w:val="auto"/>
          <w:sz w:val="32"/>
          <w:szCs w:val="32"/>
          <w:lang w:eastAsia="zh-CN"/>
          <w:highlight w:val="auto"/>
        </w:rPr>
        <w:t>，</w:t>
      </w:r>
      <w:r>
        <w:rPr>
          <w:rFonts w:ascii="仿宋_GB2312" w:eastAsia="仿宋_GB2312" w:cs="仿宋_GB2312" w:hint="eastAsia"/>
          <w:color w:val="auto"/>
          <w:sz w:val="32"/>
          <w:szCs w:val="32"/>
          <w:lang w:val="en-US" w:eastAsia="zh-CN"/>
          <w:highlight w:val="auto"/>
        </w:rPr>
        <w:t>其他车辆1辆</w:t>
      </w:r>
      <w:r>
        <w:rPr>
          <w:rFonts w:ascii="仿宋_GB2312" w:eastAsia="仿宋_GB2312" w:cs="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s="仿宋_GB2312" w:hint="eastAsia"/>
          <w:color w:val="auto"/>
          <w:sz w:val="32"/>
          <w:szCs w:val="32"/>
          <w:highlight w:val="auto"/>
        </w:rPr>
      </w:pPr>
      <w:r>
        <w:rPr>
          <w:rFonts w:ascii="仿宋_GB2312" w:eastAsia="仿宋_GB2312" w:cs="仿宋_GB2312" w:hint="eastAsia"/>
          <w:b/>
          <w:color w:val="auto"/>
          <w:sz w:val="32"/>
          <w:szCs w:val="32"/>
          <w:highlight w:val="auto"/>
        </w:rPr>
        <w:t>公务用车运行维护费支出</w:t>
      </w:r>
      <w:r>
        <w:rPr>
          <w:rFonts w:ascii="仿宋_GB2312" w:eastAsia="仿宋_GB2312" w:cs="仿宋_GB2312" w:hint="eastAsia"/>
          <w:color w:val="auto"/>
          <w:sz w:val="32"/>
          <w:szCs w:val="32"/>
          <w:lang w:val="en-US" w:eastAsia="zh-CN"/>
          <w:highlight w:val="auto"/>
        </w:rPr>
        <w:t>12.43</w:t>
      </w:r>
      <w:r>
        <w:rPr>
          <w:rFonts w:ascii="仿宋_GB2312" w:eastAsia="仿宋_GB2312" w:cs="仿宋_GB2312" w:hint="eastAsia"/>
          <w:color w:val="auto"/>
          <w:sz w:val="32"/>
          <w:szCs w:val="32"/>
          <w:highlight w:val="auto"/>
        </w:rPr>
        <w:t>万元。主要用于所需的公务用车燃料费、维修费、过路过桥费、保险费等支出。</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s="仿宋_GB2312" w:hint="eastAsia"/>
          <w:color w:val="auto"/>
          <w:sz w:val="32"/>
          <w:szCs w:val="32"/>
          <w:highlight w:val="auto"/>
        </w:rPr>
      </w:pPr>
      <w:r>
        <w:rPr>
          <w:rFonts w:ascii="仿宋_GB2312" w:eastAsia="仿宋_GB2312" w:cs="仿宋_GB2312" w:hint="eastAsia"/>
          <w:b/>
          <w:color w:val="auto"/>
          <w:sz w:val="32"/>
          <w:szCs w:val="32"/>
          <w:highlight w:val="auto"/>
        </w:rPr>
        <w:t>3.公务接待费支出</w:t>
      </w:r>
      <w:r>
        <w:rPr>
          <w:rFonts w:ascii="仿宋_GB2312" w:eastAsia="仿宋_GB2312" w:cs="仿宋_GB2312" w:hint="eastAsia"/>
          <w:color w:val="auto"/>
          <w:sz w:val="32"/>
          <w:szCs w:val="32"/>
          <w:lang w:val="en-US" w:eastAsia="zh-CN"/>
          <w:highlight w:val="auto"/>
        </w:rPr>
        <w:t>0.00</w:t>
      </w:r>
      <w:r>
        <w:rPr>
          <w:rFonts w:ascii="仿宋_GB2312" w:eastAsia="仿宋_GB2312" w:cs="仿宋_GB2312" w:hint="eastAsia"/>
          <w:color w:val="auto"/>
          <w:sz w:val="32"/>
          <w:szCs w:val="32"/>
          <w:highlight w:val="auto"/>
        </w:rPr>
        <w:t>万元，</w:t>
      </w:r>
      <w:r>
        <w:rPr>
          <w:rStyle w:val="27"/>
          <w:rFonts w:ascii="仿宋_GB2312" w:eastAsia="仿宋_GB2312" w:cs="仿宋_GB2312" w:hint="eastAsia"/>
          <w:b w:val="0"/>
          <w:bCs/>
          <w:color w:val="auto"/>
          <w:sz w:val="32"/>
          <w:szCs w:val="32"/>
          <w:highlight w:val="auto"/>
        </w:rPr>
        <w:t>完成预算</w:t>
      </w:r>
      <w:r>
        <w:rPr>
          <w:rStyle w:val="27"/>
          <w:rFonts w:ascii="仿宋_GB2312" w:eastAsia="仿宋_GB2312" w:cs="仿宋_GB2312" w:hint="eastAsia"/>
          <w:b w:val="0"/>
          <w:bCs/>
          <w:color w:val="auto"/>
          <w:sz w:val="32"/>
          <w:szCs w:val="32"/>
          <w:lang w:val="en-US" w:eastAsia="zh-CN"/>
          <w:highlight w:val="auto"/>
        </w:rPr>
        <w:t>0</w:t>
      </w:r>
      <w:r>
        <w:rPr>
          <w:rStyle w:val="27"/>
          <w:rFonts w:ascii="仿宋_GB2312" w:eastAsia="仿宋_GB2312" w:cs="仿宋_GB2312" w:hint="eastAsia"/>
          <w:b w:val="0"/>
          <w:bCs/>
          <w:color w:val="auto"/>
          <w:sz w:val="32"/>
          <w:szCs w:val="32"/>
          <w:highlight w:val="auto"/>
        </w:rPr>
        <w:t>%。</w:t>
      </w:r>
      <w:r>
        <w:rPr>
          <w:rFonts w:ascii="仿宋_GB2312" w:eastAsia="仿宋_GB2312" w:cs="仿宋_GB2312" w:hint="eastAsia"/>
          <w:color w:val="auto"/>
          <w:sz w:val="32"/>
          <w:szCs w:val="32"/>
          <w:highlight w:val="auto"/>
        </w:rPr>
        <w:t>其中：</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s="仿宋_GB2312" w:hint="eastAsia"/>
          <w:color w:val="auto"/>
          <w:sz w:val="32"/>
          <w:szCs w:val="32"/>
          <w:highlight w:val="auto"/>
        </w:rPr>
      </w:pPr>
      <w:r>
        <w:rPr>
          <w:rFonts w:ascii="仿宋_GB2312" w:eastAsia="仿宋_GB2312" w:cs="仿宋_GB2312" w:hint="eastAsia"/>
          <w:b/>
          <w:color w:val="auto"/>
          <w:sz w:val="32"/>
          <w:szCs w:val="32"/>
          <w:highlight w:val="auto"/>
        </w:rPr>
        <w:t>国内公务接待支出</w:t>
      </w:r>
      <w:r>
        <w:rPr>
          <w:rFonts w:ascii="仿宋_GB2312" w:eastAsia="仿宋_GB2312" w:cs="仿宋_GB2312" w:hint="eastAsia"/>
          <w:color w:val="auto"/>
          <w:sz w:val="32"/>
          <w:szCs w:val="32"/>
          <w:lang w:val="en-US" w:eastAsia="zh-CN"/>
          <w:highlight w:val="auto"/>
        </w:rPr>
        <w:t>0.00</w:t>
      </w:r>
      <w:r>
        <w:rPr>
          <w:rFonts w:ascii="仿宋_GB2312" w:eastAsia="仿宋_GB2312" w:cs="仿宋_GB2312" w:hint="eastAsia"/>
          <w:color w:val="auto"/>
          <w:sz w:val="32"/>
          <w:szCs w:val="32"/>
          <w:highlight w:val="auto"/>
        </w:rPr>
        <w:t>万元</w:t>
      </w:r>
      <w:r>
        <w:rPr>
          <w:rFonts w:ascii="仿宋_GB2312" w:eastAsia="仿宋_GB2312" w:cs="仿宋_GB2312" w:hint="eastAsia"/>
          <w:color w:val="auto"/>
          <w:sz w:val="32"/>
          <w:szCs w:val="32"/>
          <w:lang w:eastAsia="zh-CN"/>
          <w:highlight w:val="auto"/>
        </w:rPr>
        <w:t>，</w:t>
      </w:r>
      <w:r>
        <w:rPr>
          <w:rFonts w:ascii="仿宋_GB2312" w:eastAsia="仿宋_GB2312" w:cs="仿宋_GB2312" w:hint="eastAsia"/>
          <w:color w:val="auto"/>
          <w:sz w:val="32"/>
          <w:szCs w:val="32"/>
          <w:highlight w:val="auto"/>
        </w:rPr>
        <w:t>国内公务接待</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批次，</w:t>
      </w:r>
      <w:r>
        <w:rPr>
          <w:rFonts w:ascii="仿宋_GB2312" w:eastAsia="仿宋_GB2312" w:cs="仿宋_GB2312" w:hint="eastAsia"/>
          <w:color w:val="auto"/>
          <w:sz w:val="32"/>
          <w:szCs w:val="32"/>
          <w:lang w:val="en-US" w:eastAsia="zh-CN"/>
          <w:highlight w:val="auto"/>
        </w:rPr>
        <w:t>0</w:t>
      </w:r>
      <w:r>
        <w:rPr>
          <w:rFonts w:ascii="仿宋_GB2312" w:eastAsia="仿宋_GB2312" w:cs="仿宋_GB2312" w:hint="eastAsia"/>
          <w:color w:val="auto"/>
          <w:sz w:val="32"/>
          <w:szCs w:val="32"/>
          <w:highlight w:val="auto"/>
        </w:rPr>
        <w:t>人次（不包括陪同人员），共计支出</w:t>
      </w:r>
      <w:r>
        <w:rPr>
          <w:rFonts w:ascii="仿宋_GB2312" w:eastAsia="仿宋_GB2312" w:cs="仿宋_GB2312" w:hint="eastAsia"/>
          <w:color w:val="auto"/>
          <w:sz w:val="32"/>
          <w:szCs w:val="32"/>
          <w:lang w:val="en-US" w:eastAsia="zh-CN"/>
          <w:highlight w:val="auto"/>
        </w:rPr>
        <w:t>0.00</w:t>
      </w:r>
      <w:r>
        <w:rPr>
          <w:rFonts w:ascii="仿宋_GB2312" w:eastAsia="仿宋_GB2312" w:cs="仿宋_GB2312" w:hint="eastAsia"/>
          <w:color w:val="auto"/>
          <w:sz w:val="32"/>
          <w:szCs w:val="32"/>
          <w:highlight w:val="auto"/>
        </w:rPr>
        <w:t>万元。</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s="仿宋_GB2312" w:hint="eastAsia"/>
          <w:color w:val="auto"/>
          <w:sz w:val="32"/>
          <w:szCs w:val="32"/>
          <w:highlight w:val="auto"/>
        </w:rPr>
      </w:pPr>
      <w:r>
        <w:rPr>
          <w:rFonts w:ascii="仿宋_GB2312" w:eastAsia="仿宋_GB2312" w:cs="仿宋_GB2312" w:hint="eastAsia"/>
          <w:b/>
          <w:color w:val="auto"/>
          <w:sz w:val="32"/>
          <w:szCs w:val="32"/>
          <w:highlight w:val="auto"/>
        </w:rPr>
        <w:t>外事接待支出</w:t>
      </w:r>
      <w:r>
        <w:rPr>
          <w:rFonts w:ascii="仿宋_GB2312" w:eastAsia="仿宋_GB2312" w:cs="仿宋_GB2312" w:hint="eastAsia"/>
          <w:color w:val="auto"/>
          <w:sz w:val="32"/>
          <w:szCs w:val="32"/>
          <w:lang w:val="en-US" w:eastAsia="zh-CN"/>
          <w:highlight w:val="auto"/>
        </w:rPr>
        <w:t>0.00</w:t>
      </w:r>
      <w:r>
        <w:rPr>
          <w:rFonts w:ascii="仿宋_GB2312" w:eastAsia="仿宋_GB2312" w:cs="仿宋_GB2312" w:hint="eastAsia"/>
          <w:color w:val="auto"/>
          <w:sz w:val="32"/>
          <w:szCs w:val="32"/>
          <w:highlight w:val="auto"/>
        </w:rPr>
        <w:t>万元，共计支出</w:t>
      </w:r>
      <w:r>
        <w:rPr>
          <w:rFonts w:ascii="仿宋_GB2312" w:eastAsia="仿宋_GB2312" w:cs="仿宋_GB2312" w:hint="eastAsia"/>
          <w:color w:val="auto"/>
          <w:sz w:val="32"/>
          <w:szCs w:val="32"/>
          <w:lang w:val="en-US" w:eastAsia="zh-CN"/>
          <w:highlight w:val="auto"/>
        </w:rPr>
        <w:t>0.00</w:t>
      </w:r>
      <w:r>
        <w:rPr>
          <w:rFonts w:ascii="仿宋_GB2312" w:eastAsia="仿宋_GB2312" w:cs="仿宋_GB2312" w:hint="eastAsia"/>
          <w:color w:val="auto"/>
          <w:sz w:val="32"/>
          <w:szCs w:val="32"/>
          <w:highlight w:val="auto"/>
        </w:rPr>
        <w:t>万元。</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outlineLvl w:val="1"/>
        <w:rPr>
          <w:rStyle w:val="2Char"/>
          <w:rFonts w:ascii="黑体" w:eastAsia="黑体"/>
          <w:color w:val="auto"/>
          <w:highlight w:val="auto"/>
        </w:rPr>
      </w:pPr>
      <w:bookmarkStart w:id="40" w:name="_Toc15377218"/>
      <w:bookmarkStart w:id="41" w:name="_Toc15396610"/>
      <w:r>
        <w:rPr>
          <w:rFonts w:ascii="黑体" w:eastAsia="黑体" w:hint="eastAsia"/>
          <w:color w:val="auto"/>
          <w:sz w:val="32"/>
          <w:szCs w:val="32"/>
          <w:highlight w:val="auto"/>
        </w:rPr>
        <w:t>八、</w:t>
      </w:r>
      <w:r>
        <w:rPr>
          <w:rStyle w:val="2Char"/>
          <w:rFonts w:ascii="黑体" w:eastAsia="黑体" w:hint="eastAsia"/>
          <w:b w:val="0"/>
          <w:color w:val="auto"/>
          <w:highlight w:val="auto"/>
        </w:rPr>
        <w:t>政府性基金预算支出决算情况说明</w:t>
      </w:r>
      <w:bookmarkEnd w:id="40"/>
      <w:bookmarkEnd w:id="41"/>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年政府性基金预算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w:t>
      </w:r>
    </w:p>
    <w:p>
      <w:pPr>
        <w:keepNext w:val="0"/>
        <w:keepLines w:val="0"/>
        <w:pageBreakBefore w:val="0"/>
        <w:widowControl w:val="0"/>
        <w:kinsoku/>
        <w:wordWrap/>
        <w:overflowPunct/>
        <w:topLinePunct w:val="0"/>
        <w:bidi w:val="0"/>
        <w:snapToGrid/>
        <w:spacing w:line="560" w:lineRule="exact"/>
        <w:ind w:left="0" w:firstLineChars="200" w:firstLine="640"/>
        <w:jc w:val="both"/>
        <w:textAlignment w:val="auto"/>
        <w:outlineLvl w:val="1"/>
        <w:rPr>
          <w:rStyle w:val="2Char"/>
          <w:rFonts w:ascii="黑体" w:eastAsia="黑体"/>
          <w:b w:val="0"/>
          <w:color w:val="auto"/>
          <w:highlight w:val="auto"/>
        </w:rPr>
      </w:pPr>
      <w:bookmarkStart w:id="42" w:name="_Toc15396611"/>
      <w:bookmarkStart w:id="43" w:name="_Toc15377219"/>
      <w:r>
        <w:rPr>
          <w:rFonts w:ascii="黑体" w:eastAsia="黑体" w:cs="Times New Roman" w:hint="eastAsia"/>
          <w:b w:val="0"/>
          <w:bCs/>
          <w:color w:val="auto"/>
          <w:kern w:val="2"/>
          <w:sz w:val="32"/>
          <w:szCs w:val="32"/>
          <w:lang w:val="en-US" w:eastAsia="zh-CN" w:bidi="ar-SA"/>
        </w:rPr>
        <w:t>九、</w:t>
      </w:r>
      <w:r>
        <w:rPr>
          <w:rStyle w:val="2Char"/>
          <w:rFonts w:ascii="黑体" w:eastAsia="黑体" w:hint="eastAsia"/>
          <w:b w:val="0"/>
          <w:color w:val="auto"/>
          <w:highlight w:val="auto"/>
        </w:rPr>
        <w:t>国有资本经营预算支出决算情况说明</w:t>
      </w:r>
      <w:bookmarkEnd w:id="42"/>
      <w:bookmarkEnd w:id="43"/>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年国有资本经营预算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w:t>
      </w:r>
    </w:p>
    <w:p>
      <w:pPr>
        <w:keepNext w:val="0"/>
        <w:keepLines w:val="0"/>
        <w:pageBreakBefore w:val="0"/>
        <w:widowControl w:val="0"/>
        <w:kinsoku/>
        <w:wordWrap/>
        <w:overflowPunct/>
        <w:topLinePunct w:val="0"/>
        <w:bidi w:val="0"/>
        <w:snapToGrid/>
        <w:spacing w:line="560" w:lineRule="exact"/>
        <w:ind w:left="0" w:firstLineChars="200" w:firstLine="640"/>
        <w:jc w:val="both"/>
        <w:textAlignment w:val="auto"/>
        <w:outlineLvl w:val="1"/>
        <w:rPr>
          <w:rStyle w:val="2Char"/>
          <w:rFonts w:ascii="黑体" w:eastAsia="黑体" w:hint="eastAsia"/>
          <w:b w:val="0"/>
          <w:color w:val="auto"/>
          <w:highlight w:val="auto"/>
        </w:rPr>
      </w:pPr>
      <w:bookmarkStart w:id="44" w:name="_Toc15396612"/>
      <w:bookmarkStart w:id="45" w:name="_Toc15377221"/>
      <w:r>
        <w:rPr>
          <w:rFonts w:ascii="黑体" w:eastAsia="黑体" w:cs="Times New Roman" w:hint="eastAsia"/>
          <w:b w:val="0"/>
          <w:bCs/>
          <w:color w:val="auto"/>
          <w:kern w:val="2"/>
          <w:sz w:val="32"/>
          <w:szCs w:val="32"/>
          <w:lang w:val="en-US" w:eastAsia="zh-CN" w:bidi="ar-SA"/>
        </w:rPr>
        <w:t>十、</w:t>
      </w:r>
      <w:r>
        <w:rPr>
          <w:rStyle w:val="2Char"/>
          <w:rFonts w:ascii="黑体" w:eastAsia="黑体" w:hint="eastAsia"/>
          <w:b w:val="0"/>
          <w:color w:val="auto"/>
          <w:highlight w:val="auto"/>
        </w:rPr>
        <w:t>其他重要事项的情况说明</w:t>
      </w:r>
      <w:bookmarkEnd w:id="44"/>
      <w:bookmarkEnd w:id="45"/>
    </w:p>
    <w:p>
      <w:pPr>
        <w:keepNext w:val="0"/>
        <w:keepLines w:val="0"/>
        <w:pageBreakBefore w:val="0"/>
        <w:widowControl w:val="0"/>
        <w:kinsoku/>
        <w:wordWrap/>
        <w:overflowPunct/>
        <w:topLinePunct w:val="0"/>
        <w:bidi w:val="0"/>
        <w:snapToGrid/>
        <w:spacing w:line="560" w:lineRule="exact"/>
        <w:ind w:firstLineChars="200" w:firstLine="640"/>
        <w:jc w:val="both"/>
        <w:textAlignment w:val="auto"/>
        <w:outlineLvl w:val="2"/>
        <w:rPr>
          <w:rFonts w:ascii="楷体_GB2312" w:eastAsia="楷体_GB2312" w:cs="楷体_GB2312" w:hint="eastAsia"/>
          <w:b/>
          <w:bCs w:val="0"/>
          <w:color w:val="auto"/>
          <w:sz w:val="32"/>
          <w:szCs w:val="32"/>
          <w:highlight w:val="auto"/>
        </w:rPr>
      </w:pPr>
      <w:bookmarkStart w:id="46" w:name="_Toc15377222"/>
      <w:r>
        <w:rPr>
          <w:rFonts w:ascii="楷体_GB2312" w:eastAsia="楷体_GB2312" w:cs="楷体_GB2312" w:hint="eastAsia"/>
          <w:b/>
          <w:bCs w:val="0"/>
          <w:color w:val="auto"/>
          <w:sz w:val="32"/>
          <w:szCs w:val="32"/>
          <w:highlight w:val="auto"/>
        </w:rPr>
        <w:t>（一）机关运行经费支出情况</w:t>
      </w:r>
      <w:bookmarkEnd w:id="46"/>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hint="eastAsia"/>
          <w:color w:val="auto"/>
          <w:sz w:val="32"/>
          <w:szCs w:val="32"/>
          <w:lang w:eastAsia="zh-CN"/>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w:t>
      </w:r>
      <w:r>
        <w:rPr>
          <w:rFonts w:ascii="仿宋_GB2312" w:eastAsia="仿宋_GB2312" w:hint="eastAsia"/>
          <w:color w:val="auto"/>
          <w:sz w:val="32"/>
          <w:szCs w:val="32"/>
          <w:lang w:val="en-US" w:eastAsia="zh-CN"/>
          <w:highlight w:val="auto"/>
        </w:rPr>
        <w:t>科技农牧局</w:t>
      </w:r>
      <w:r>
        <w:rPr>
          <w:rFonts w:ascii="仿宋_GB2312" w:eastAsia="仿宋_GB2312" w:hint="eastAsia"/>
          <w:color w:val="auto"/>
          <w:sz w:val="32"/>
          <w:szCs w:val="32"/>
          <w:highlight w:val="auto"/>
        </w:rPr>
        <w:t>运行经费支出</w:t>
      </w:r>
      <w:r>
        <w:rPr>
          <w:rFonts w:ascii="仿宋_GB2312" w:eastAsia="仿宋_GB2312" w:hint="eastAsia"/>
          <w:color w:val="auto"/>
          <w:sz w:val="32"/>
          <w:szCs w:val="32"/>
          <w:lang w:val="en-US" w:eastAsia="zh-CN"/>
          <w:highlight w:val="auto"/>
        </w:rPr>
        <w:t>44.93</w:t>
      </w:r>
      <w:r>
        <w:rPr>
          <w:rFonts w:ascii="仿宋_GB2312" w:eastAsia="仿宋_GB2312" w:hint="eastAsia"/>
          <w:color w:val="auto"/>
          <w:sz w:val="32"/>
          <w:szCs w:val="32"/>
          <w:highlight w:val="auto"/>
        </w:rPr>
        <w:t>万元，比</w:t>
      </w: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21</w:t>
      </w:r>
      <w:r>
        <w:rPr>
          <w:rFonts w:ascii="仿宋_GB2312" w:eastAsia="仿宋_GB2312" w:hint="eastAsia"/>
          <w:color w:val="auto"/>
          <w:sz w:val="32"/>
          <w:szCs w:val="32"/>
          <w:highlight w:val="auto"/>
        </w:rPr>
        <w:t>年减少</w:t>
      </w:r>
      <w:r>
        <w:rPr>
          <w:rFonts w:ascii="仿宋_GB2312" w:eastAsia="仿宋_GB2312" w:hint="eastAsia"/>
          <w:color w:val="auto"/>
          <w:sz w:val="32"/>
          <w:szCs w:val="32"/>
          <w:lang w:val="en-US" w:eastAsia="zh-CN"/>
          <w:highlight w:val="auto"/>
        </w:rPr>
        <w:t>7.51</w:t>
      </w:r>
      <w:r>
        <w:rPr>
          <w:rFonts w:ascii="仿宋_GB2312" w:eastAsia="仿宋_GB2312" w:hint="eastAsia"/>
          <w:color w:val="auto"/>
          <w:sz w:val="32"/>
          <w:szCs w:val="32"/>
          <w:highlight w:val="auto"/>
        </w:rPr>
        <w:t>万元，下降</w:t>
      </w:r>
      <w:r>
        <w:rPr>
          <w:rFonts w:ascii="仿宋_GB2312" w:eastAsia="仿宋_GB2312" w:hint="eastAsia"/>
          <w:color w:val="auto"/>
          <w:sz w:val="32"/>
          <w:szCs w:val="32"/>
          <w:lang w:val="en-US" w:eastAsia="zh-CN"/>
          <w:highlight w:val="auto"/>
        </w:rPr>
        <w:t>14.32</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。主要</w:t>
      </w:r>
      <w:r>
        <w:rPr>
          <w:rFonts w:ascii="仿宋_GB2312" w:eastAsia="仿宋_GB2312" w:hint="eastAsia"/>
          <w:color w:val="auto"/>
          <w:sz w:val="32"/>
          <w:szCs w:val="32"/>
          <w:lang w:eastAsia="zh-CN"/>
          <w:highlight w:val="auto"/>
        </w:rPr>
        <w:t>原因</w:t>
      </w:r>
      <w:r>
        <w:rPr>
          <w:rFonts w:ascii="仿宋_GB2312" w:eastAsia="仿宋_GB2312" w:hint="eastAsia"/>
          <w:color w:val="auto"/>
          <w:sz w:val="32"/>
          <w:szCs w:val="32"/>
          <w:lang w:val="en-US" w:eastAsia="zh-CN"/>
          <w:highlight w:val="auto"/>
        </w:rPr>
        <w:t>2022年底未支付2022年度取暖费</w:t>
      </w:r>
      <w:r>
        <w:rPr>
          <w:rFonts w:ascii="仿宋_GB2312" w:eastAsia="仿宋_GB2312" w:hint="eastAsia"/>
          <w:color w:val="auto"/>
          <w:sz w:val="32"/>
          <w:szCs w:val="32"/>
          <w:lang w:eastAsia="zh-CN"/>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outlineLvl w:val="2"/>
        <w:rPr>
          <w:rFonts w:ascii="楷体_GB2312" w:eastAsia="楷体_GB2312" w:cs="楷体_GB2312" w:hint="eastAsia"/>
          <w:b/>
          <w:bCs w:val="0"/>
          <w:color w:val="auto"/>
          <w:sz w:val="32"/>
          <w:szCs w:val="32"/>
          <w:highlight w:val="auto"/>
        </w:rPr>
      </w:pPr>
      <w:bookmarkStart w:id="47" w:name="_Toc15377223"/>
      <w:r>
        <w:rPr>
          <w:rFonts w:ascii="楷体_GB2312" w:eastAsia="楷体_GB2312" w:cs="楷体_GB2312" w:hint="eastAsia"/>
          <w:b/>
          <w:bCs w:val="0"/>
          <w:color w:val="auto"/>
          <w:sz w:val="32"/>
          <w:szCs w:val="32"/>
          <w:highlight w:val="auto"/>
        </w:rPr>
        <w:t>（二）政府采购支出情况</w:t>
      </w:r>
      <w:bookmarkEnd w:id="47"/>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w:t>
      </w:r>
      <w:r>
        <w:rPr>
          <w:rFonts w:ascii="仿宋_GB2312" w:eastAsia="仿宋_GB2312" w:hint="eastAsia"/>
          <w:color w:val="auto"/>
          <w:sz w:val="32"/>
          <w:szCs w:val="32"/>
          <w:lang w:val="en-US" w:eastAsia="zh-CN"/>
          <w:highlight w:val="auto"/>
        </w:rPr>
        <w:t>科技农牧局</w:t>
      </w:r>
      <w:r>
        <w:rPr>
          <w:rFonts w:ascii="仿宋_GB2312" w:eastAsia="仿宋_GB2312" w:hint="eastAsia"/>
          <w:color w:val="auto"/>
          <w:sz w:val="32"/>
          <w:szCs w:val="32"/>
          <w:highlight w:val="auto"/>
        </w:rPr>
        <w:t>政府采购支出总额</w:t>
      </w:r>
      <w:r>
        <w:rPr>
          <w:rFonts w:ascii="仿宋_GB2312" w:eastAsia="仿宋_GB2312" w:hint="eastAsia"/>
          <w:color w:val="auto"/>
          <w:sz w:val="32"/>
          <w:szCs w:val="32"/>
          <w:lang w:val="en-US" w:eastAsia="zh-CN"/>
          <w:highlight w:val="auto"/>
        </w:rPr>
        <w:t>265.83</w:t>
      </w:r>
      <w:r>
        <w:rPr>
          <w:rFonts w:ascii="仿宋_GB2312" w:eastAsia="仿宋_GB2312" w:hint="eastAsia"/>
          <w:color w:val="auto"/>
          <w:sz w:val="32"/>
          <w:szCs w:val="32"/>
          <w:highlight w:val="auto"/>
        </w:rPr>
        <w:t>万元，其中：政府采购货物支出</w:t>
      </w:r>
      <w:r>
        <w:rPr>
          <w:rFonts w:ascii="仿宋_GB2312" w:eastAsia="仿宋_GB2312" w:hint="eastAsia"/>
          <w:color w:val="auto"/>
          <w:sz w:val="32"/>
          <w:szCs w:val="32"/>
          <w:lang w:val="en-US" w:eastAsia="zh-CN"/>
          <w:highlight w:val="auto"/>
        </w:rPr>
        <w:t>265.83</w:t>
      </w:r>
      <w:r>
        <w:rPr>
          <w:rFonts w:ascii="仿宋_GB2312" w:eastAsia="仿宋_GB2312" w:hint="eastAsia"/>
          <w:color w:val="auto"/>
          <w:sz w:val="32"/>
          <w:szCs w:val="32"/>
          <w:highlight w:val="auto"/>
        </w:rPr>
        <w:t>万元、政府采购工程支出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万元、政府采购服务支出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万元。授予中小企业合同金额</w:t>
      </w:r>
      <w:r>
        <w:rPr>
          <w:rFonts w:ascii="仿宋_GB2312" w:eastAsia="仿宋_GB2312" w:hint="eastAsia"/>
          <w:color w:val="auto"/>
          <w:sz w:val="32"/>
          <w:szCs w:val="32"/>
          <w:lang w:val="en-US" w:eastAsia="zh-CN"/>
          <w:highlight w:val="auto"/>
        </w:rPr>
        <w:t>265.83</w:t>
      </w:r>
      <w:r>
        <w:rPr>
          <w:rFonts w:ascii="仿宋_GB2312" w:eastAsia="仿宋_GB2312" w:hint="eastAsia"/>
          <w:color w:val="auto"/>
          <w:sz w:val="32"/>
          <w:szCs w:val="32"/>
          <w:highlight w:val="auto"/>
        </w:rPr>
        <w:t>万元，占政府采购支出总额的</w:t>
      </w:r>
      <w:r>
        <w:rPr>
          <w:rFonts w:ascii="仿宋_GB2312" w:eastAsia="仿宋_GB2312" w:hint="eastAsia"/>
          <w:color w:val="auto"/>
          <w:sz w:val="32"/>
          <w:szCs w:val="32"/>
          <w:lang w:val="en-US" w:eastAsia="zh-CN"/>
          <w:highlight w:val="auto"/>
        </w:rPr>
        <w:t>100</w:t>
      </w:r>
      <w:r>
        <w:rPr>
          <w:rFonts w:ascii="仿宋_GB2312" w:eastAsia="仿宋_GB2312"/>
          <w:color w:val="auto"/>
          <w:sz w:val="32"/>
          <w:szCs w:val="32"/>
          <w:highlight w:val="auto"/>
        </w:rPr>
        <w:t>%</w:t>
      </w:r>
      <w:r>
        <w:rPr>
          <w:rFonts w:ascii="仿宋_GB2312" w:eastAsia="仿宋_GB2312" w:hint="eastAsia"/>
          <w:color w:val="auto"/>
          <w:sz w:val="32"/>
          <w:szCs w:val="32"/>
          <w:highlight w:val="auto"/>
        </w:rPr>
        <w:t>，其中：授予小微企业合同金额</w:t>
      </w:r>
      <w:r>
        <w:rPr>
          <w:rFonts w:ascii="仿宋_GB2312" w:eastAsia="仿宋_GB2312" w:hint="eastAsia"/>
          <w:color w:val="auto"/>
          <w:sz w:val="32"/>
          <w:szCs w:val="32"/>
          <w:lang w:val="en-US" w:eastAsia="zh-CN"/>
          <w:highlight w:val="auto"/>
        </w:rPr>
        <w:t>265.83</w:t>
      </w:r>
      <w:r>
        <w:rPr>
          <w:rFonts w:ascii="仿宋_GB2312" w:eastAsia="仿宋_GB2312" w:hint="eastAsia"/>
          <w:color w:val="auto"/>
          <w:sz w:val="32"/>
          <w:szCs w:val="32"/>
          <w:highlight w:val="auto"/>
        </w:rPr>
        <w:t>万元，占政府采购支出总额的</w:t>
      </w:r>
      <w:r>
        <w:rPr>
          <w:rFonts w:ascii="仿宋_GB2312" w:eastAsia="仿宋_GB2312" w:hint="eastAsia"/>
          <w:color w:val="auto"/>
          <w:sz w:val="32"/>
          <w:szCs w:val="32"/>
          <w:lang w:val="en-US" w:eastAsia="zh-CN"/>
          <w:highlight w:val="auto"/>
        </w:rPr>
        <w:t>100</w:t>
      </w:r>
      <w:r>
        <w:rPr>
          <w:rFonts w:ascii="仿宋_GB2312" w:eastAsia="仿宋_GB2312"/>
          <w:color w:val="auto"/>
          <w:sz w:val="32"/>
          <w:szCs w:val="32"/>
          <w:highlight w:val="auto"/>
        </w:rPr>
        <w:t>%</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outlineLvl w:val="2"/>
        <w:rPr>
          <w:rFonts w:ascii="楷体_GB2312" w:eastAsia="楷体_GB2312" w:cs="楷体_GB2312" w:hint="eastAsia"/>
          <w:b/>
          <w:bCs w:val="0"/>
          <w:color w:val="auto"/>
          <w:sz w:val="32"/>
          <w:szCs w:val="32"/>
          <w:highlight w:val="auto"/>
        </w:rPr>
      </w:pPr>
      <w:bookmarkStart w:id="48" w:name="_Toc15377224"/>
      <w:r>
        <w:rPr>
          <w:rFonts w:ascii="楷体_GB2312" w:eastAsia="楷体_GB2312" w:cs="楷体_GB2312" w:hint="eastAsia"/>
          <w:b/>
          <w:bCs w:val="0"/>
          <w:color w:val="auto"/>
          <w:sz w:val="32"/>
          <w:szCs w:val="32"/>
          <w:highlight w:val="auto"/>
        </w:rPr>
        <w:t>（三）国有资产占有使用情况</w:t>
      </w:r>
      <w:bookmarkEnd w:id="4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Times New Roman" w:eastAsia="仿宋_GB2312" w:cs="Times New Roman" w:hAnsi="Times New Roman"/>
          <w:color w:val="000000"/>
          <w:sz w:val="32"/>
          <w:szCs w:val="32"/>
          <w:lang w:val="en-US" w:eastAsia="zh-CN"/>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w:t>
      </w:r>
      <w:r>
        <w:rPr>
          <w:rFonts w:ascii="仿宋_GB2312" w:eastAsia="仿宋_GB2312"/>
          <w:color w:val="auto"/>
          <w:sz w:val="32"/>
          <w:szCs w:val="32"/>
          <w:highlight w:val="auto"/>
        </w:rPr>
        <w:t>12</w:t>
      </w:r>
      <w:r>
        <w:rPr>
          <w:rFonts w:ascii="仿宋_GB2312" w:eastAsia="仿宋_GB2312" w:hint="eastAsia"/>
          <w:color w:val="auto"/>
          <w:sz w:val="32"/>
          <w:szCs w:val="32"/>
          <w:highlight w:val="auto"/>
        </w:rPr>
        <w:t>月</w:t>
      </w:r>
      <w:r>
        <w:rPr>
          <w:rFonts w:ascii="仿宋_GB2312" w:eastAsia="仿宋_GB2312"/>
          <w:color w:val="auto"/>
          <w:sz w:val="32"/>
          <w:szCs w:val="32"/>
          <w:highlight w:val="auto"/>
        </w:rPr>
        <w:t>31</w:t>
      </w:r>
      <w:r>
        <w:rPr>
          <w:rFonts w:ascii="仿宋_GB2312" w:eastAsia="仿宋_GB2312" w:hint="eastAsia"/>
          <w:color w:val="auto"/>
          <w:sz w:val="32"/>
          <w:szCs w:val="32"/>
          <w:highlight w:val="auto"/>
        </w:rPr>
        <w:t>日，</w:t>
      </w:r>
      <w:r>
        <w:rPr>
          <w:rFonts w:ascii="Times New Roman" w:eastAsia="仿宋_GB2312" w:cs="Times New Roman" w:hAnsi="Times New Roman"/>
          <w:color w:val="000000"/>
          <w:sz w:val="32"/>
          <w:szCs w:val="32"/>
          <w:lang w:val="en-US" w:eastAsia="zh-CN"/>
        </w:rPr>
        <w:t>科技农牧局</w:t>
      </w:r>
      <w:r>
        <w:rPr>
          <w:rFonts w:ascii="Times New Roman" w:eastAsia="仿宋_GB2312" w:cs="Times New Roman" w:hAnsi="Times New Roman"/>
          <w:color w:val="000000"/>
          <w:sz w:val="32"/>
          <w:szCs w:val="32"/>
        </w:rPr>
        <w:t>共有车辆</w:t>
      </w:r>
      <w:r>
        <w:rPr>
          <w:rFonts w:ascii="Times New Roman" w:eastAsia="仿宋_GB2312" w:cs="Times New Roman" w:hAnsi="Times New Roman"/>
          <w:color w:val="000000"/>
          <w:sz w:val="32"/>
          <w:szCs w:val="32"/>
          <w:lang w:val="en-US" w:eastAsia="zh-CN"/>
        </w:rPr>
        <w:t>7</w:t>
      </w:r>
      <w:r>
        <w:rPr>
          <w:rFonts w:ascii="Times New Roman" w:eastAsia="仿宋_GB2312" w:cs="Times New Roman" w:hAnsi="Times New Roman"/>
          <w:color w:val="000000"/>
          <w:sz w:val="32"/>
          <w:szCs w:val="32"/>
        </w:rPr>
        <w:t>辆，其中：主要领导干部用车</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rPr>
        <w:t>辆、机要通信用车</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rPr>
        <w:t>辆、应急保障用车</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rPr>
        <w:t>辆、其他用车</w:t>
      </w:r>
      <w:r>
        <w:rPr>
          <w:rFonts w:ascii="Times New Roman" w:eastAsia="仿宋_GB2312" w:cs="Times New Roman" w:hAnsi="Times New Roman"/>
          <w:color w:val="000000"/>
          <w:sz w:val="32"/>
          <w:szCs w:val="32"/>
          <w:lang w:val="en-US" w:eastAsia="zh-CN"/>
        </w:rPr>
        <w:t>7</w:t>
      </w:r>
      <w:r>
        <w:rPr>
          <w:rFonts w:ascii="Times New Roman" w:eastAsia="仿宋_GB2312" w:cs="Times New Roman" w:hAnsi="Times New Roman"/>
          <w:color w:val="000000"/>
          <w:sz w:val="32"/>
          <w:szCs w:val="32"/>
        </w:rPr>
        <w:t>辆</w:t>
      </w:r>
      <w:r>
        <w:rPr>
          <w:rFonts w:ascii="Times New Roman" w:eastAsia="仿宋_GB2312" w:cs="Times New Roman" w:hAnsi="Times New Roman"/>
          <w:color w:val="000000"/>
          <w:sz w:val="32"/>
          <w:szCs w:val="32"/>
          <w:lang w:eastAsia="zh-CN"/>
        </w:rPr>
        <w:t>，</w:t>
      </w:r>
      <w:r>
        <w:rPr>
          <w:rFonts w:ascii="Times New Roman" w:eastAsia="仿宋_GB2312" w:cs="Times New Roman" w:hAnsi="Times New Roman"/>
          <w:color w:val="000000"/>
          <w:sz w:val="32"/>
          <w:szCs w:val="32"/>
        </w:rPr>
        <w:t>其他用车主要是用于</w:t>
      </w:r>
      <w:r>
        <w:rPr>
          <w:rFonts w:ascii="Times New Roman" w:eastAsia="仿宋_GB2312" w:cs="Times New Roman" w:hAnsi="Times New Roman"/>
          <w:color w:val="000000"/>
          <w:sz w:val="32"/>
          <w:szCs w:val="32"/>
          <w:lang w:eastAsia="zh-CN"/>
        </w:rPr>
        <w:t>本单位的公务用车；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单价50万元以上通用设备</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rPr>
        <w:t>台（套），单价100万元以上专用设备</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rPr>
        <w:t>台（套）。</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outlineLvl w:val="2"/>
        <w:rPr>
          <w:rFonts w:ascii="楷体_GB2312" w:eastAsia="楷体_GB2312" w:cs="楷体_GB2312" w:hint="eastAsia"/>
          <w:b/>
          <w:bCs w:val="0"/>
          <w:color w:val="auto"/>
          <w:sz w:val="32"/>
          <w:szCs w:val="32"/>
          <w:highlight w:val="auto"/>
        </w:rPr>
      </w:pPr>
      <w:r>
        <w:rPr>
          <w:rFonts w:ascii="楷体_GB2312" w:eastAsia="楷体_GB2312" w:cs="楷体_GB2312" w:hint="eastAsia"/>
          <w:b/>
          <w:bCs w:val="0"/>
          <w:color w:val="auto"/>
          <w:sz w:val="32"/>
          <w:szCs w:val="32"/>
          <w:highlight w:val="auto"/>
        </w:rPr>
        <w:t>（四）预算绩效管理情况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40"/>
        <w:jc w:val="both"/>
        <w:textAlignment w:val="center"/>
        <w:rPr>
          <w:rFonts w:ascii="仿宋_GB2312" w:eastAsia="仿宋_GB2312" w:cs="仿宋_GB2312" w:hint="eastAsia"/>
          <w:color w:val="auto"/>
          <w:sz w:val="32"/>
          <w:szCs w:val="32"/>
          <w:highlight w:val="auto"/>
        </w:rPr>
      </w:pPr>
      <w:r>
        <w:rPr>
          <w:rFonts w:ascii="仿宋_GB2312" w:eastAsia="仿宋_GB2312" w:cs="仿宋_GB2312" w:hint="eastAsia"/>
          <w:b w:val="0"/>
          <w:bCs w:val="0"/>
          <w:color w:val="auto"/>
          <w:sz w:val="32"/>
          <w:szCs w:val="32"/>
          <w:highlight w:val="auto"/>
        </w:rPr>
        <w:t>根</w:t>
      </w:r>
      <w:r>
        <w:rPr>
          <w:rFonts w:ascii="仿宋" w:eastAsia="仿宋" w:cs="Times New Roman" w:hint="eastAsia"/>
          <w:b w:val="0"/>
          <w:bCs w:val="0"/>
          <w:color w:val="auto"/>
          <w:sz w:val="32"/>
          <w:szCs w:val="32"/>
          <w:highlight w:val="auto"/>
        </w:rPr>
        <w:t>据预算绩效管理要求，本部门在202</w:t>
      </w:r>
      <w:r>
        <w:rPr>
          <w:rFonts w:ascii="仿宋" w:eastAsia="仿宋" w:cs="Times New Roman" w:hint="eastAsia"/>
          <w:b w:val="0"/>
          <w:bCs w:val="0"/>
          <w:color w:val="auto"/>
          <w:sz w:val="32"/>
          <w:szCs w:val="32"/>
          <w:lang w:val="en-US" w:eastAsia="zh-CN"/>
          <w:highlight w:val="auto"/>
        </w:rPr>
        <w:t>2</w:t>
      </w:r>
      <w:r>
        <w:rPr>
          <w:rFonts w:ascii="仿宋" w:eastAsia="仿宋" w:cs="Times New Roman" w:hint="eastAsia"/>
          <w:b w:val="0"/>
          <w:bCs w:val="0"/>
          <w:color w:val="auto"/>
          <w:sz w:val="32"/>
          <w:szCs w:val="32"/>
          <w:highlight w:val="auto"/>
        </w:rPr>
        <w:t>年度预算编制阶段，</w:t>
      </w:r>
      <w:r>
        <w:rPr>
          <w:rFonts w:ascii="仿宋" w:eastAsia="仿宋" w:cs="Times New Roman" w:hint="eastAsia"/>
          <w:b w:val="0"/>
          <w:bCs w:val="0"/>
          <w:color w:val="auto"/>
          <w:sz w:val="32"/>
          <w:szCs w:val="32"/>
          <w:lang w:val="en-US" w:eastAsia="zh-CN"/>
          <w:highlight w:val="auto"/>
        </w:rPr>
        <w:t>组织对2022年壤塘县草原生态保护补助奖励政策、耕地地力保护补贴资金、2022年壤塘县中央财政农业生产和水利救灾资金、</w:t>
      </w:r>
      <w:r>
        <w:rPr>
          <w:rFonts w:ascii="仿宋" w:eastAsia="仿宋" w:cs="仿宋" w:hint="eastAsia"/>
          <w:color w:val="auto"/>
          <w:sz w:val="32"/>
          <w:szCs w:val="32"/>
          <w:lang w:val="en-US" w:eastAsia="zh-CN"/>
          <w:highlight w:val="auto"/>
        </w:rPr>
        <w:t>2022年</w:t>
      </w:r>
      <w:r>
        <w:rPr>
          <w:rFonts w:ascii="仿宋" w:eastAsia="仿宋" w:cs="仿宋" w:hint="eastAsia"/>
          <w:i w:val="0"/>
          <w:color w:val="000000"/>
          <w:kern w:val="0"/>
          <w:sz w:val="32"/>
          <w:szCs w:val="32"/>
          <w:u w:val="none"/>
          <w:lang w:val="en-US" w:eastAsia="zh-CN"/>
        </w:rPr>
        <w:t>农业产业化项目</w:t>
      </w:r>
      <w:r>
        <w:rPr>
          <w:rFonts w:ascii="仿宋_GB2312" w:eastAsia="仿宋_GB2312" w:cs="仿宋_GB2312" w:hint="eastAsia"/>
          <w:color w:val="auto"/>
          <w:sz w:val="32"/>
          <w:szCs w:val="32"/>
          <w:highlight w:val="auto"/>
        </w:rPr>
        <w:t>等</w:t>
      </w:r>
      <w:r>
        <w:rPr>
          <w:rFonts w:ascii="仿宋_GB2312" w:eastAsia="仿宋_GB2312" w:cs="仿宋_GB2312" w:hint="eastAsia"/>
          <w:color w:val="auto"/>
          <w:sz w:val="32"/>
          <w:szCs w:val="32"/>
          <w:lang w:val="en-US" w:eastAsia="zh-CN"/>
          <w:highlight w:val="auto"/>
        </w:rPr>
        <w:t>4</w:t>
      </w:r>
      <w:r>
        <w:rPr>
          <w:rFonts w:ascii="仿宋_GB2312" w:eastAsia="仿宋_GB2312" w:cs="仿宋_GB2312" w:hint="eastAsia"/>
          <w:color w:val="auto"/>
          <w:sz w:val="32"/>
          <w:szCs w:val="32"/>
          <w:highlight w:val="auto"/>
        </w:rPr>
        <w:t>个项目开展了预算事前绩效评估，对</w:t>
      </w:r>
      <w:r>
        <w:rPr>
          <w:rFonts w:ascii="仿宋_GB2312" w:eastAsia="仿宋_GB2312" w:cs="仿宋_GB2312" w:hint="eastAsia"/>
          <w:color w:val="auto"/>
          <w:sz w:val="32"/>
          <w:szCs w:val="32"/>
          <w:lang w:val="en-US" w:eastAsia="zh-CN"/>
          <w:highlight w:val="auto"/>
        </w:rPr>
        <w:t>4</w:t>
      </w:r>
      <w:r>
        <w:rPr>
          <w:rFonts w:ascii="仿宋_GB2312" w:eastAsia="仿宋_GB2312" w:cs="仿宋_GB2312" w:hint="eastAsia"/>
          <w:color w:val="auto"/>
          <w:sz w:val="32"/>
          <w:szCs w:val="32"/>
          <w:highlight w:val="auto"/>
        </w:rPr>
        <w:t>个项目编制了绩效目标，预算执行过程中，选取</w:t>
      </w:r>
      <w:r>
        <w:rPr>
          <w:rFonts w:ascii="仿宋_GB2312" w:eastAsia="仿宋_GB2312" w:cs="仿宋_GB2312" w:hint="eastAsia"/>
          <w:color w:val="auto"/>
          <w:sz w:val="32"/>
          <w:szCs w:val="32"/>
          <w:lang w:val="en-US" w:eastAsia="zh-CN"/>
          <w:highlight w:val="auto"/>
        </w:rPr>
        <w:t>4</w:t>
      </w:r>
      <w:r>
        <w:rPr>
          <w:rFonts w:ascii="仿宋_GB2312" w:eastAsia="仿宋_GB2312" w:cs="仿宋_GB2312" w:hint="eastAsia"/>
          <w:color w:val="auto"/>
          <w:sz w:val="32"/>
          <w:szCs w:val="32"/>
          <w:highlight w:val="auto"/>
        </w:rPr>
        <w:t>个项目开展绩效监控。</w:t>
      </w:r>
    </w:p>
    <w:p>
      <w:pPr>
        <w:pStyle w:val="23"/>
        <w:rPr>
          <w:rFonts w:hint="eastAsia"/>
        </w:rPr>
      </w:pPr>
    </w:p>
    <w:p>
      <w:pPr>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26"/>
        <w:keepNext w:val="0"/>
        <w:keepLines w:val="0"/>
        <w:pageBreakBefore w:val="0"/>
        <w:widowControl w:val="0"/>
        <w:kinsoku/>
        <w:wordWrap/>
        <w:overflowPunct/>
        <w:topLinePunct w:val="0"/>
        <w:autoSpaceDE/>
        <w:autoSpaceDN/>
        <w:bidi w:val="0"/>
        <w:spacing w:line="560" w:lineRule="exact"/>
        <w:ind w:leftChars="0" w:left="0" w:firstLineChars="200" w:firstLine="640"/>
        <w:jc w:val="center"/>
        <w:textAlignment w:val="auto"/>
        <w:rPr>
          <w:rFonts w:ascii="仿宋" w:eastAsia="仿宋" w:cs="仿宋" w:hint="eastAsia"/>
          <w:b/>
          <w:bCs/>
          <w:color w:val="auto"/>
          <w:sz w:val="32"/>
          <w:szCs w:val="32"/>
          <w:lang w:val="zh-CN" w:eastAsia="zh-CN"/>
          <w:highlight w:val="auto"/>
        </w:rPr>
      </w:pPr>
      <w:r>
        <w:rPr>
          <w:rFonts w:ascii="仿宋" w:eastAsia="仿宋" w:cs="仿宋" w:hint="eastAsia"/>
          <w:b/>
          <w:bCs/>
          <w:color w:val="auto"/>
          <w:sz w:val="32"/>
          <w:szCs w:val="32"/>
          <w:lang w:val="zh-CN" w:eastAsia="zh-CN"/>
          <w:highlight w:val="auto"/>
        </w:rPr>
        <w:t>附表：</w:t>
      </w:r>
      <w:r>
        <w:rPr>
          <w:rFonts w:ascii="仿宋" w:eastAsia="仿宋" w:cs="仿宋" w:hint="eastAsia"/>
          <w:b/>
          <w:bCs/>
          <w:i w:val="0"/>
          <w:color w:val="000000"/>
          <w:kern w:val="0"/>
          <w:sz w:val="32"/>
          <w:szCs w:val="32"/>
          <w:u w:val="none"/>
          <w:lang w:val="en-US" w:eastAsia="zh-CN"/>
        </w:rPr>
        <w:t>2022年壤塘县草原生态保护补助奖励政策</w:t>
      </w:r>
      <w:r>
        <w:rPr>
          <w:rFonts w:ascii="仿宋" w:eastAsia="仿宋" w:cs="仿宋" w:hint="eastAsia"/>
          <w:b/>
          <w:bCs/>
          <w:color w:val="auto"/>
          <w:sz w:val="32"/>
          <w:szCs w:val="32"/>
          <w:lang w:val="en-US" w:eastAsia="zh-CN"/>
          <w:highlight w:val="auto"/>
        </w:rPr>
        <w:t>支出绩效自评表（2022年度）</w:t>
      </w:r>
    </w:p>
    <w:tbl>
      <w:tblPr>
        <w:jc w:val="left"/>
        <w:tblInd w:w="0" w:type="dxa"/>
        <w:tblW w:w="9480" w:type="dxa"/>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
      <w:tblGrid>
        <w:gridCol w:w="679"/>
        <w:gridCol w:w="1079"/>
        <w:gridCol w:w="1365"/>
        <w:gridCol w:w="1802"/>
        <w:gridCol w:w="521"/>
        <w:gridCol w:w="633"/>
        <w:gridCol w:w="1010"/>
        <w:gridCol w:w="503"/>
        <w:gridCol w:w="450"/>
        <w:gridCol w:w="1438"/>
      </w:tblGrid>
      <w:tr>
        <w:trPr>
          <w:trHeight w:val="904"/>
        </w:trPr>
        <w:tc>
          <w:tcPr>
            <w:tcW w:w="9480"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b/>
                <w:i w:val="0"/>
                <w:color w:val="000000"/>
                <w:sz w:val="21"/>
                <w:szCs w:val="21"/>
                <w:u w:val="none"/>
              </w:rPr>
            </w:pPr>
            <w:r>
              <w:rPr>
                <w:rFonts w:ascii="仿宋" w:eastAsia="仿宋" w:cs="仿宋" w:hint="eastAsia"/>
                <w:b/>
                <w:i w:val="0"/>
                <w:color w:val="000000"/>
                <w:kern w:val="0"/>
                <w:sz w:val="21"/>
                <w:szCs w:val="21"/>
                <w:u w:val="none"/>
                <w:lang w:val="en-US" w:eastAsia="zh-CN"/>
              </w:rPr>
              <w:t>部门预算项目支出绩效自评表（2022年度）</w:t>
            </w:r>
          </w:p>
        </w:tc>
      </w:tr>
      <w:tr>
        <w:trPr>
          <w:trHeight w:val="286"/>
        </w:trPr>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项目名称</w:t>
            </w:r>
          </w:p>
        </w:tc>
        <w:tc>
          <w:tcPr>
            <w:tcW w:w="7722"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2022年壤塘县草原生态保护补助奖励政策</w:t>
            </w:r>
          </w:p>
        </w:tc>
      </w:tr>
      <w:tr>
        <w:trPr>
          <w:trHeight w:val="1470"/>
        </w:trPr>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主管部门</w:t>
            </w:r>
          </w:p>
        </w:tc>
        <w:tc>
          <w:tcPr>
            <w:tcW w:w="432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壤塘县科学技术和农业畜牧局</w:t>
            </w:r>
          </w:p>
        </w:tc>
        <w:tc>
          <w:tcPr>
            <w:tcW w:w="1010"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实施单位 （盖章）</w:t>
            </w:r>
          </w:p>
        </w:tc>
        <w:tc>
          <w:tcPr>
            <w:tcW w:w="239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壤塘县科学技术和农业畜牧局</w:t>
            </w:r>
          </w:p>
        </w:tc>
      </w:tr>
      <w:tr>
        <w:trPr>
          <w:trHeight w:val="286"/>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项目基本情况</w:t>
            </w:r>
          </w:p>
        </w:tc>
        <w:tc>
          <w:tcPr>
            <w:tcW w:w="107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1.项目年度目标完成情况</w:t>
            </w:r>
          </w:p>
        </w:tc>
        <w:tc>
          <w:tcPr>
            <w:tcW w:w="432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项目年度目标</w:t>
            </w:r>
          </w:p>
        </w:tc>
        <w:tc>
          <w:tcPr>
            <w:tcW w:w="340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年度目标完成情况</w:t>
            </w:r>
          </w:p>
        </w:tc>
      </w:tr>
      <w:tr>
        <w:trPr>
          <w:trHeight w:val="708"/>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2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严格按照省州实施方案落实草原禁牧和草畜平衡目标任务，通过社会保障卡“一卡通”足额兑现补助奖励资金</w:t>
            </w:r>
          </w:p>
        </w:tc>
        <w:tc>
          <w:tcPr>
            <w:tcW w:w="340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通过社会保障卡“一卡通”足额兑现补助奖励资金，</w:t>
            </w:r>
            <w:r>
              <w:rPr>
                <w:rFonts w:ascii="仿宋" w:eastAsia="仿宋" w:cs="仿宋" w:hint="eastAsia"/>
                <w:i w:val="0"/>
                <w:color w:val="000000"/>
                <w:sz w:val="21"/>
                <w:szCs w:val="21"/>
                <w:u w:val="none"/>
                <w:lang w:val="en-US" w:eastAsia="zh-CN"/>
              </w:rPr>
              <w:t>实施草原禁牧193万亩，补助标准7.65元/亩，补助资金1476.45万元；草畜平衡314.75万亩，补助标准2.5元/亩，奖励资金786.875万元。</w:t>
            </w:r>
          </w:p>
        </w:tc>
      </w:tr>
      <w:tr>
        <w:trPr>
          <w:trHeight w:val="693"/>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2.项目实施内容及过程概述</w:t>
            </w:r>
          </w:p>
        </w:tc>
        <w:tc>
          <w:tcPr>
            <w:tcW w:w="7722"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实施草原禁牧193万亩，补助标准7.65元/亩，补助资金1476.45万元；草畜平衡314.75万亩，补助标准2.5元/亩，奖励资金786.875万元。</w:t>
            </w:r>
          </w:p>
        </w:tc>
      </w:tr>
      <w:tr>
        <w:trPr>
          <w:trHeight w:val="680"/>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预算执行情况（10分）</w:t>
            </w: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年度预算数（万元）</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年初预算</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调整后预算数</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预算执行数</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预算执行率</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得分</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原因</w:t>
            </w:r>
          </w:p>
        </w:tc>
      </w:tr>
      <w:tr>
        <w:trPr>
          <w:trHeight w:val="387"/>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总额</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2263.325</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2263.325</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2263.325</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100.00%</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38"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780"/>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其中：财政资金</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2263.325</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2263.325</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2263.325</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kern w:val="0"/>
                <w:sz w:val="21"/>
                <w:szCs w:val="21"/>
                <w:u w:val="none"/>
                <w:lang w:val="en-US" w:eastAsia="zh-CN"/>
              </w:rPr>
              <w:t>100.00</w:t>
            </w:r>
            <w:r>
              <w:rPr>
                <w:rFonts w:ascii="仿宋" w:eastAsia="仿宋" w:cs="仿宋" w:hint="eastAsia"/>
                <w:i w:val="0"/>
                <w:color w:val="000000"/>
                <w:sz w:val="21"/>
                <w:szCs w:val="21"/>
                <w:u w:val="none"/>
                <w:lang w:val="en-US" w:eastAsia="zh-CN"/>
              </w:rPr>
              <w:t>%</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3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660"/>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财政专户管理资金</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0</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43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780"/>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单位资金</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0</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43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625"/>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其他资金</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iCs/>
                <w:color w:val="000000"/>
                <w:sz w:val="21"/>
                <w:szCs w:val="21"/>
                <w:u w:val="none"/>
                <w:lang w:val="en-US" w:eastAsia="zh-CN"/>
              </w:rPr>
            </w:pPr>
            <w:r>
              <w:rPr>
                <w:rFonts w:ascii="仿宋" w:eastAsia="仿宋" w:cs="仿宋" w:hint="eastAsia"/>
                <w:i w:val="0"/>
                <w:iCs/>
                <w:color w:val="000000"/>
                <w:sz w:val="21"/>
                <w:szCs w:val="21"/>
                <w:u w:val="none"/>
                <w:lang w:val="en-US" w:eastAsia="zh-CN"/>
              </w:rPr>
              <w:t>0</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iCs/>
                <w:color w:val="000000"/>
                <w:sz w:val="21"/>
                <w:szCs w:val="21"/>
                <w:u w:val="none"/>
                <w:lang w:val="en-US" w:eastAsia="zh-CN"/>
              </w:rPr>
            </w:pPr>
            <w:r>
              <w:rPr>
                <w:rFonts w:ascii="仿宋" w:eastAsia="仿宋" w:cs="仿宋" w:hint="eastAsia"/>
                <w:i w:val="0"/>
                <w:iCs/>
                <w:color w:val="000000"/>
                <w:sz w:val="21"/>
                <w:szCs w:val="21"/>
                <w:u w:val="none"/>
                <w:lang w:val="en-US" w:eastAsia="zh-CN"/>
              </w:rPr>
              <w:t>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iCs/>
                <w:color w:val="000000"/>
                <w:sz w:val="21"/>
                <w:szCs w:val="21"/>
                <w:u w:val="none"/>
                <w:lang w:val="en-US" w:eastAsia="zh-CN"/>
              </w:rPr>
            </w:pPr>
            <w:r>
              <w:rPr>
                <w:rFonts w:ascii="仿宋" w:eastAsia="仿宋" w:cs="仿宋" w:hint="eastAsia"/>
                <w:i w:val="0"/>
                <w:iCs/>
                <w:color w:val="000000"/>
                <w:sz w:val="21"/>
                <w:szCs w:val="21"/>
                <w:u w:val="none"/>
                <w:lang w:val="en-US" w:eastAsia="zh-CN"/>
              </w:rPr>
              <w:t>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43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452"/>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绩效指标（90分）</w:t>
            </w:r>
          </w:p>
        </w:tc>
        <w:tc>
          <w:tcPr>
            <w:tcW w:w="10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一级指标</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二级指标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指标性质</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指标值</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完成值</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得分</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未完成原因分析</w:t>
            </w:r>
          </w:p>
        </w:tc>
      </w:tr>
      <w:tr>
        <w:trPr>
          <w:trHeight w:val="339"/>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产出指标</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kern w:val="0"/>
                <w:sz w:val="21"/>
                <w:szCs w:val="21"/>
                <w:u w:val="none"/>
                <w:lang w:val="en-US" w:eastAsia="zh-CN"/>
              </w:rPr>
              <w:t>数量指标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涉及乡镇，村，户</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sz w:val="21"/>
                <w:szCs w:val="21"/>
                <w:u w:val="none"/>
                <w:lang w:val="en-US" w:eastAsia="zh-CN"/>
              </w:rPr>
              <w:t>11个乡镇，51个村，8657</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lang w:val="en-US" w:eastAsia="zh-CN"/>
              </w:rPr>
            </w:pPr>
            <w:r>
              <w:rPr>
                <w:rFonts w:ascii="仿宋" w:eastAsia="仿宋" w:cs="仿宋" w:hint="eastAsia"/>
                <w:i/>
                <w:color w:val="000000"/>
                <w:sz w:val="21"/>
                <w:szCs w:val="21"/>
                <w:u w:val="none"/>
                <w:lang w:val="en-US" w:eastAsia="zh-CN"/>
              </w:rPr>
              <w:t>100%</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494"/>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tcBorders>
              <w:left w:val="single" w:sz="4" w:space="0" w:color="000000"/>
              <w:right w:val="single" w:sz="4" w:space="0" w:color="000000"/>
            </w:tcBorders>
            <w:shd w:val="clear" w:color="auto" w:fill="auto"/>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0"/>
                <w:sz w:val="21"/>
                <w:szCs w:val="21"/>
                <w:u w:val="none"/>
                <w:lang w:val="en-US" w:eastAsia="zh-CN"/>
              </w:rPr>
              <w:t>时效指标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1年</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1年</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20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20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p>
        </w:tc>
      </w:tr>
      <w:tr>
        <w:trPr>
          <w:trHeight w:val="494"/>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FF0000"/>
                <w:sz w:val="21"/>
                <w:szCs w:val="21"/>
                <w:u w:val="none"/>
              </w:rPr>
            </w:pPr>
            <w:r>
              <w:rPr>
                <w:rFonts w:ascii="仿宋" w:eastAsia="仿宋" w:cs="仿宋" w:hint="eastAsia"/>
                <w:i w:val="0"/>
                <w:color w:val="000000"/>
                <w:sz w:val="21"/>
                <w:szCs w:val="21"/>
                <w:u w:val="none"/>
                <w:lang w:val="en-US" w:eastAsia="zh-CN"/>
              </w:rPr>
              <w:t>成本指标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草原禁牧补助标准7.65元/亩，草畜平衡补助标准2.5元/亩</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sz w:val="21"/>
                <w:szCs w:val="21"/>
                <w:u w:val="none"/>
                <w:lang w:val="en-US" w:eastAsia="zh-CN"/>
              </w:rPr>
              <w:t>草原禁牧补助标准7.65元/亩，草畜平衡补助标准2.5元/亩</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lang w:val="en-US" w:eastAsia="zh-CN"/>
              </w:rPr>
            </w:pPr>
            <w:r>
              <w:rPr>
                <w:rFonts w:ascii="仿宋" w:eastAsia="仿宋" w:cs="仿宋" w:hint="eastAsia"/>
                <w:i/>
                <w:color w:val="000000"/>
                <w:sz w:val="21"/>
                <w:szCs w:val="21"/>
                <w:u w:val="none"/>
                <w:lang w:val="en-US" w:eastAsia="zh-CN"/>
              </w:rPr>
              <w:t>100%</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584"/>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效益指标</w:t>
            </w: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0"/>
                <w:sz w:val="21"/>
                <w:szCs w:val="21"/>
                <w:u w:val="none"/>
                <w:lang w:val="en-US" w:eastAsia="zh-CN"/>
              </w:rPr>
              <w:t>经济效益指标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0"/>
                <w:sz w:val="21"/>
                <w:szCs w:val="21"/>
                <w:u w:val="none"/>
                <w:lang w:val="en-US" w:eastAsia="zh-CN"/>
              </w:rPr>
              <w:t>2263.325万元，户均收入2614元，人均收入545元。</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auto"/>
                <w:kern w:val="0"/>
                <w:sz w:val="21"/>
                <w:szCs w:val="21"/>
                <w:u w:val="none"/>
                <w:lang w:val="en-US" w:eastAsia="zh-CN"/>
              </w:rPr>
              <w:t>户均收入2614元，人均收入545元</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584"/>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tcBorders>
              <w:left w:val="single" w:sz="4" w:space="0" w:color="000000"/>
              <w:right w:val="single" w:sz="4" w:space="0" w:color="000000"/>
            </w:tcBorders>
            <w:shd w:val="clear" w:color="auto" w:fill="auto"/>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2"/>
                <w:sz w:val="21"/>
                <w:szCs w:val="21"/>
                <w:u w:val="none"/>
                <w:lang w:val="en-US" w:eastAsia="zh-CN" w:bidi="ar-SA"/>
              </w:rPr>
              <w:t>社会效益</w:t>
            </w:r>
          </w:p>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2"/>
                <w:sz w:val="21"/>
                <w:szCs w:val="21"/>
                <w:u w:val="none"/>
                <w:lang w:val="en-US" w:eastAsia="zh-CN" w:bidi="ar-SA"/>
              </w:rPr>
              <w:t>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2"/>
                <w:sz w:val="21"/>
                <w:szCs w:val="21"/>
                <w:u w:val="none"/>
                <w:lang w:val="en-US" w:eastAsia="zh-CN" w:bidi="ar-SA"/>
              </w:rPr>
              <w:t>宣传补助奖励政策，提高农牧民认识</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95</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kern w:val="2"/>
                <w:sz w:val="21"/>
                <w:szCs w:val="21"/>
                <w:u w:val="none"/>
                <w:lang w:val="en-US" w:eastAsia="zh-CN" w:bidi="ar-SA"/>
              </w:rPr>
              <w:t>95%</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20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1021"/>
        </w:trPr>
        <w:tc>
          <w:tcPr>
            <w:tcW w:w="67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9"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sz w:val="21"/>
                <w:szCs w:val="21"/>
                <w:u w:val="none"/>
              </w:rPr>
              <w:t>生态效益</w:t>
            </w:r>
          </w:p>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sz w:val="21"/>
                <w:szCs w:val="21"/>
                <w:u w:val="none"/>
              </w:rPr>
              <w:t>指标</w:t>
            </w:r>
          </w:p>
        </w:tc>
        <w:tc>
          <w:tcPr>
            <w:tcW w:w="18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lang w:val="en-US"/>
              </w:rPr>
            </w:pPr>
            <w:r>
              <w:rPr>
                <w:rFonts w:ascii="仿宋" w:eastAsia="仿宋" w:cs="仿宋" w:hint="eastAsia"/>
                <w:i w:val="0"/>
                <w:color w:val="auto"/>
                <w:sz w:val="21"/>
                <w:szCs w:val="21"/>
                <w:u w:val="none"/>
                <w:lang w:val="en-US"/>
              </w:rPr>
              <w:t>涵养水源，保持水土，保护草原资源，改善草原生态环境</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w:t>
            </w:r>
          </w:p>
        </w:tc>
        <w:tc>
          <w:tcPr>
            <w:tcW w:w="6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95</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kern w:val="2"/>
                <w:sz w:val="21"/>
                <w:szCs w:val="21"/>
                <w:u w:val="none"/>
                <w:lang w:val="en-US" w:eastAsia="zh-CN" w:bidi="ar-SA"/>
              </w:rPr>
              <w:t>95%</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935"/>
        </w:trPr>
        <w:tc>
          <w:tcPr>
            <w:tcW w:w="7089"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合计</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100</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sz w:val="21"/>
                <w:szCs w:val="21"/>
                <w:u w:val="none"/>
              </w:rPr>
            </w:pPr>
          </w:p>
        </w:tc>
      </w:tr>
      <w:tr>
        <w:trPr>
          <w:trHeight w:val="1622"/>
        </w:trPr>
        <w:tc>
          <w:tcPr>
            <w:tcW w:w="6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评价结论</w:t>
            </w:r>
          </w:p>
        </w:tc>
        <w:tc>
          <w:tcPr>
            <w:tcW w:w="8801"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color w:val="000000"/>
                <w:sz w:val="21"/>
                <w:szCs w:val="21"/>
                <w:u w:val="none"/>
                <w:lang w:val="en-US"/>
              </w:rPr>
            </w:pPr>
            <w:r>
              <w:rPr>
                <w:rFonts w:ascii="仿宋" w:eastAsia="仿宋" w:cs="仿宋" w:hint="eastAsia"/>
                <w:i w:val="0"/>
                <w:iCs/>
                <w:color w:val="000000"/>
                <w:kern w:val="0"/>
                <w:sz w:val="21"/>
                <w:szCs w:val="21"/>
                <w:u w:val="none"/>
                <w:lang w:val="en-US" w:eastAsia="zh-CN"/>
              </w:rPr>
              <w:t>草原生态保护补助奖励政策的实施，涵养水源，保持水土，保护草原资源，改善草原生态环境，有利于增强农牧民草原生态保护意识，提高保护草原生态的积极性、自觉性与主动性，增加农牧民群众收入。</w:t>
            </w:r>
          </w:p>
        </w:tc>
      </w:tr>
      <w:tr>
        <w:trPr>
          <w:trHeight w:val="1115"/>
        </w:trPr>
        <w:tc>
          <w:tcPr>
            <w:tcW w:w="67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存在问题</w:t>
            </w:r>
          </w:p>
        </w:tc>
        <w:tc>
          <w:tcPr>
            <w:tcW w:w="8801"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color w:val="000000"/>
                <w:sz w:val="21"/>
                <w:szCs w:val="21"/>
                <w:u w:val="none"/>
              </w:rPr>
            </w:pPr>
            <w:r>
              <w:rPr>
                <w:rFonts w:ascii="仿宋" w:eastAsia="仿宋" w:cs="仿宋" w:hint="eastAsia"/>
                <w:i w:val="0"/>
                <w:iCs/>
                <w:color w:val="000000"/>
                <w:kern w:val="0"/>
                <w:sz w:val="21"/>
                <w:szCs w:val="21"/>
                <w:u w:val="none"/>
                <w:lang w:val="en-US" w:eastAsia="zh-CN"/>
              </w:rPr>
              <w:t>由于政策覆盖的草原面积广，而草原管护人员较少，一定程度上增加了草原禁牧和草畜平衡的管理难度。</w:t>
            </w:r>
          </w:p>
        </w:tc>
      </w:tr>
      <w:tr>
        <w:trPr>
          <w:trHeight w:val="969"/>
        </w:trPr>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改进措施</w:t>
            </w:r>
          </w:p>
        </w:tc>
        <w:tc>
          <w:tcPr>
            <w:tcW w:w="7722"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iCs/>
                <w:color w:val="000000"/>
                <w:kern w:val="0"/>
                <w:sz w:val="21"/>
                <w:szCs w:val="21"/>
                <w:u w:val="none"/>
                <w:lang w:val="en-US" w:eastAsia="zh-CN"/>
              </w:rPr>
            </w:pPr>
            <w:r>
              <w:rPr>
                <w:rFonts w:ascii="仿宋" w:eastAsia="仿宋" w:cs="仿宋" w:hint="eastAsia"/>
                <w:i w:val="0"/>
                <w:iCs/>
                <w:color w:val="000000"/>
                <w:kern w:val="0"/>
                <w:sz w:val="21"/>
                <w:szCs w:val="21"/>
                <w:u w:val="none"/>
                <w:lang w:val="zh-CN" w:eastAsia="zh-CN"/>
              </w:rPr>
              <w:t>各项目成员单位、部门、项目实施乡（镇）通力协作，加大宣传力度，提高牧民群众对“草奖”政策的认识，营造草畜平衡的良好氛围，</w:t>
            </w:r>
            <w:r>
              <w:rPr>
                <w:rFonts w:ascii="仿宋" w:eastAsia="仿宋" w:cs="仿宋" w:hint="eastAsia"/>
                <w:i w:val="0"/>
                <w:iCs/>
                <w:color w:val="000000"/>
                <w:kern w:val="0"/>
                <w:sz w:val="21"/>
                <w:szCs w:val="21"/>
                <w:u w:val="none"/>
                <w:lang w:val="en-US" w:eastAsia="zh-CN"/>
              </w:rPr>
              <w:t>促进</w:t>
            </w:r>
            <w:r>
              <w:rPr>
                <w:rFonts w:ascii="仿宋" w:eastAsia="仿宋" w:cs="仿宋" w:hint="eastAsia"/>
                <w:i w:val="0"/>
                <w:iCs/>
                <w:color w:val="000000"/>
                <w:kern w:val="0"/>
                <w:sz w:val="21"/>
                <w:szCs w:val="21"/>
                <w:u w:val="none"/>
                <w:lang w:val="zh-CN" w:eastAsia="zh-CN"/>
              </w:rPr>
              <w:t>畜牧业健康发展与草原生态平衡的良性循环。</w:t>
            </w:r>
          </w:p>
          <w:p>
            <w:pPr>
              <w:keepNext w:val="0"/>
              <w:keepLines w:val="0"/>
              <w:widowControl/>
              <w:suppressLineNumbers w:val="0"/>
              <w:jc w:val="left"/>
              <w:textAlignment w:val="center"/>
              <w:rPr>
                <w:rFonts w:ascii="仿宋" w:eastAsia="仿宋" w:cs="仿宋" w:hint="eastAsia"/>
                <w:i/>
                <w:color w:val="000000"/>
                <w:sz w:val="21"/>
                <w:szCs w:val="21"/>
                <w:u w:val="none"/>
                <w:lang w:val="en-US" w:eastAsia="zh-CN"/>
              </w:rPr>
            </w:pPr>
          </w:p>
        </w:tc>
      </w:tr>
      <w:tr>
        <w:trPr>
          <w:trHeight w:val="286"/>
        </w:trPr>
        <w:tc>
          <w:tcPr>
            <w:tcW w:w="5446"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项目负责人：黄宗敏</w:t>
            </w:r>
          </w:p>
        </w:tc>
        <w:tc>
          <w:tcPr>
            <w:tcW w:w="4034"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财务负责人：杨卫平</w:t>
            </w:r>
          </w:p>
        </w:tc>
      </w:tr>
    </w:tbl>
    <w:p>
      <w:pPr>
        <w:pStyle w:val="15"/>
        <w:keepNext w:val="0"/>
        <w:keepLines w:val="0"/>
        <w:pageBreakBefore w:val="0"/>
        <w:widowControl w:val="0"/>
        <w:kinsoku/>
        <w:wordWrap/>
        <w:overflowPunct/>
        <w:topLinePunct w:val="0"/>
        <w:autoSpaceDE/>
        <w:autoSpaceDN/>
        <w:bidi w:val="0"/>
        <w:adjustRightInd/>
        <w:snapToGrid/>
        <w:spacing w:beforeLines="0" w:before="30" w:line="700" w:lineRule="exact"/>
        <w:ind w:firstLine="0"/>
        <w:jc w:val="both"/>
        <w:textAlignment w:val="auto"/>
        <w:rPr>
          <w:rFonts w:ascii="方正小标宋_GBK" w:eastAsia="方正小标宋_GBK" w:cs="方正小标宋_GBK" w:hint="eastAsia"/>
          <w:b w:val="0"/>
          <w:bCs w:val="0"/>
          <w:color w:val="auto"/>
          <w:kern w:val="2"/>
          <w:sz w:val="44"/>
          <w:szCs w:val="44"/>
          <w:lang w:val="en-US" w:eastAsia="zh-CN"/>
          <w:highlight w:val="auto"/>
        </w:rPr>
      </w:pPr>
    </w:p>
    <w:p>
      <w:pPr>
        <w:pStyle w:val="15"/>
        <w:keepNext w:val="0"/>
        <w:keepLines w:val="0"/>
        <w:pageBreakBefore w:val="0"/>
        <w:widowControl w:val="0"/>
        <w:kinsoku/>
        <w:wordWrap/>
        <w:overflowPunct/>
        <w:topLinePunct w:val="0"/>
        <w:autoSpaceDE/>
        <w:autoSpaceDN/>
        <w:bidi w:val="0"/>
        <w:adjustRightInd/>
        <w:snapToGrid/>
        <w:spacing w:beforeLines="0" w:before="30" w:line="700" w:lineRule="exact"/>
        <w:ind w:firstLine="0"/>
        <w:jc w:val="center"/>
        <w:textAlignment w:val="auto"/>
        <w:rPr>
          <w:rFonts w:ascii="方正小标宋_GBK" w:eastAsia="方正小标宋_GBK" w:cs="方正小标宋_GBK" w:hint="eastAsia"/>
          <w:b w:val="0"/>
          <w:bCs w:val="0"/>
          <w:color w:val="auto"/>
          <w:kern w:val="2"/>
          <w:sz w:val="44"/>
          <w:szCs w:val="44"/>
          <w:lang w:val="en-US" w:eastAsia="zh-CN"/>
          <w:highlight w:val="auto"/>
        </w:rPr>
      </w:pPr>
      <w:r>
        <w:rPr>
          <w:rFonts w:ascii="方正小标宋_GBK" w:eastAsia="方正小标宋_GBK" w:cs="方正小标宋_GBK" w:hint="eastAsia"/>
          <w:b w:val="0"/>
          <w:bCs w:val="0"/>
          <w:color w:val="auto"/>
          <w:kern w:val="2"/>
          <w:sz w:val="44"/>
          <w:szCs w:val="44"/>
          <w:lang w:val="en-US" w:eastAsia="zh-CN"/>
          <w:highlight w:val="auto"/>
        </w:rPr>
        <w:t>2022年壤塘县草原生态保护补助奖励政策</w:t>
      </w:r>
    </w:p>
    <w:p>
      <w:pPr>
        <w:pStyle w:val="37"/>
        <w:keepNext w:val="0"/>
        <w:keepLines w:val="0"/>
        <w:pageBreakBefore w:val="0"/>
        <w:widowControl w:val="0"/>
        <w:kinsoku/>
        <w:wordWrap/>
        <w:overflowPunct/>
        <w:topLinePunct w:val="0"/>
        <w:autoSpaceDE/>
        <w:autoSpaceDN/>
        <w:bidi w:val="0"/>
        <w:adjustRightInd/>
        <w:snapToGrid/>
        <w:spacing w:line="700" w:lineRule="exact"/>
        <w:ind w:firstLine="0"/>
        <w:jc w:val="center"/>
        <w:textAlignment w:val="auto"/>
        <w:rPr>
          <w:rFonts w:ascii="方正小标宋_GBK" w:eastAsia="方正小标宋_GBK" w:cs="方正小标宋_GBK" w:hint="eastAsia"/>
          <w:b w:val="0"/>
          <w:bCs w:val="0"/>
          <w:color w:val="auto"/>
          <w:kern w:val="2"/>
          <w:sz w:val="44"/>
          <w:szCs w:val="44"/>
          <w:lang w:val="en-US" w:eastAsia="zh-CN"/>
          <w:highlight w:val="auto"/>
        </w:rPr>
      </w:pPr>
      <w:r>
        <w:rPr>
          <w:rFonts w:ascii="方正小标宋_GBK" w:eastAsia="方正小标宋_GBK" w:cs="方正小标宋_GBK" w:hint="eastAsia"/>
          <w:b w:val="0"/>
          <w:bCs w:val="0"/>
          <w:color w:val="auto"/>
          <w:kern w:val="2"/>
          <w:sz w:val="44"/>
          <w:szCs w:val="44"/>
          <w:lang w:val="en-US" w:eastAsia="zh-CN"/>
          <w:highlight w:val="auto"/>
        </w:rPr>
        <w:t>中央专项资金预算项目绩效自评报告</w:t>
      </w:r>
    </w:p>
    <w:p>
      <w:pPr>
        <w:pStyle w:val="37"/>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 w:eastAsia="仿宋" w:cs="仿宋" w:hint="eastAsia"/>
          <w:b/>
          <w:bCs/>
          <w:color w:val="auto"/>
          <w:kern w:val="2"/>
          <w:sz w:val="32"/>
          <w:szCs w:val="32"/>
          <w:highlight w:val="auto"/>
        </w:rPr>
      </w:pP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黑体" w:eastAsia="黑体" w:cs="黑体" w:hint="eastAsia"/>
          <w:b w:val="0"/>
          <w:bCs w:val="0"/>
          <w:color w:val="auto"/>
          <w:sz w:val="32"/>
          <w:szCs w:val="32"/>
          <w:lang w:val="zh-CN"/>
          <w:highlight w:val="auto"/>
        </w:rPr>
      </w:pPr>
      <w:r>
        <w:rPr>
          <w:rFonts w:ascii="黑体" w:eastAsia="黑体" w:cs="黑体" w:hint="eastAsia"/>
          <w:b w:val="0"/>
          <w:bCs w:val="0"/>
          <w:color w:val="auto"/>
          <w:sz w:val="32"/>
          <w:szCs w:val="32"/>
          <w:highlight w:val="auto"/>
        </w:rPr>
        <w:t>一、</w:t>
      </w:r>
      <w:r>
        <w:rPr>
          <w:rFonts w:ascii="黑体" w:eastAsia="黑体" w:cs="黑体" w:hint="eastAsia"/>
          <w:b w:val="0"/>
          <w:bCs w:val="0"/>
          <w:color w:val="auto"/>
          <w:sz w:val="32"/>
          <w:szCs w:val="32"/>
          <w:lang w:val="zh-CN"/>
          <w:highlight w:val="auto"/>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（一）项目基本情况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根据阿坝州财政局、阿坝州农业农村局《关于下达2022年中央财政农业资源及生态保护补助资金的通知》（阿州财农〔2021〕98号），壤塘县财政局《关于下达2022年中央财政农业资源及生态保护补助资金的通知》（壤财农〔2022〕1号）文件精神，我县2022年实施禁牧193万亩，禁牧补助标准7.65元/亩，实施草畜平衡314.75万亩，草畜平衡奖励标准2.5元/亩，完成兑现2022年草原生态保护补助奖励政策资金2263.325万元。</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完成2022年草原生态保护补助奖励政策资金2263.325万元，涉及全县11个乡（镇）、51个村、8567户，其中：实施禁牧193万亩，禁牧补助标准7.65元/亩，共计1476.45万元；实施草畜平衡314.75万亩，草畜平衡奖励标准2.5元/亩，共计786.875万元。</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黑体" w:eastAsia="黑体" w:cs="黑体" w:hint="eastAsia"/>
          <w:b w:val="0"/>
          <w:bCs w:val="0"/>
          <w:color w:val="auto"/>
          <w:sz w:val="32"/>
          <w:szCs w:val="32"/>
          <w:highlight w:val="auto"/>
        </w:rPr>
      </w:pPr>
      <w:r>
        <w:rPr>
          <w:rFonts w:ascii="黑体" w:eastAsia="黑体" w:cs="黑体" w:hint="eastAsia"/>
          <w:b w:val="0"/>
          <w:bCs w:val="0"/>
          <w:color w:val="auto"/>
          <w:sz w:val="32"/>
          <w:szCs w:val="32"/>
          <w:highlight w:val="auto"/>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（一）项目资金申报及批复情况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根据阿坝州财政局、阿坝州农业农村局《关于下达2022年中央财政农业资源及生态保护补助资金的通知》（阿州财农〔2021〕98号），壤塘县财政局《关于下达2022年中央财政农业资源及生态保护补助资金的通知》（壤财农〔2022〕1号）文件精神在各乡（镇）核查统计的基础上，并将草原补奖政策基础数据上报县财政局、县林业和草原局，编制了壤塘县2022年草原生态保护补助奖励政策实施方案，明确目标任务、补奖内容、补奖标准、补奖对象、资金规模、减畜任务、超载率调减目标、实施进度、推进措施和保障措施等，2022年国家下达我县草原生态保护补助奖励资金共计2263.325万元。</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（二）资金计划、到位及使用情况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b/>
          <w:bCs/>
          <w:sz w:val="32"/>
          <w:szCs w:val="32"/>
          <w:lang w:val="zh-CN" w:eastAsia="zh-CN"/>
        </w:rPr>
        <w:t>1</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lang w:val="zh-CN" w:eastAsia="zh-CN"/>
        </w:rPr>
        <w:t>资金计划。</w:t>
      </w:r>
      <w:r>
        <w:rPr>
          <w:rFonts w:ascii="仿宋_GB2312" w:eastAsia="仿宋_GB2312" w:cs="仿宋_GB2312" w:hint="eastAsia"/>
          <w:sz w:val="32"/>
          <w:szCs w:val="32"/>
          <w:lang w:val="en-US" w:eastAsia="zh-CN"/>
        </w:rPr>
        <w:t>2022年国家下达我县草原生态保护补助奖励资金共计2263.325万元。</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b/>
          <w:bCs/>
          <w:sz w:val="32"/>
          <w:szCs w:val="32"/>
          <w:lang w:val="zh-CN" w:eastAsia="zh-CN"/>
        </w:rPr>
        <w:t>2</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lang w:val="zh-CN" w:eastAsia="zh-CN"/>
        </w:rPr>
        <w:t>资金到位。</w:t>
      </w:r>
      <w:r>
        <w:rPr>
          <w:rFonts w:ascii="仿宋_GB2312" w:eastAsia="仿宋_GB2312" w:cs="仿宋_GB2312" w:hint="eastAsia"/>
          <w:sz w:val="32"/>
          <w:szCs w:val="32"/>
          <w:lang w:val="en-US" w:eastAsia="zh-CN"/>
        </w:rPr>
        <w:t>2022年国家下达我县草原生态保护补助奖励资金共计2263.325万元，资金已按计划及时到位，到位率100%。</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zh-CN" w:eastAsia="zh-CN"/>
        </w:rPr>
        <w:t>3</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lang w:val="zh-CN" w:eastAsia="zh-CN"/>
        </w:rPr>
        <w:t>资金使用。</w:t>
      </w:r>
      <w:r>
        <w:rPr>
          <w:rFonts w:ascii="仿宋_GB2312" w:eastAsia="仿宋_GB2312" w:cs="仿宋_GB2312" w:hint="eastAsia"/>
          <w:sz w:val="32"/>
          <w:szCs w:val="32"/>
          <w:lang w:val="zh-CN" w:eastAsia="zh-CN"/>
        </w:rPr>
        <w:t>对资金使用的安全性、规范性、有效性</w:t>
      </w:r>
      <w:r>
        <w:rPr>
          <w:rFonts w:ascii="仿宋_GB2312" w:eastAsia="仿宋_GB2312" w:cs="仿宋_GB2312" w:hint="eastAsia"/>
          <w:sz w:val="32"/>
          <w:szCs w:val="32"/>
          <w:lang w:val="en-US" w:eastAsia="zh-CN"/>
        </w:rPr>
        <w:t>进行科学分析</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严格按照财务制度进行报账，并在村一级进行公示</w:t>
      </w:r>
      <w:r>
        <w:rPr>
          <w:rFonts w:ascii="仿宋_GB2312" w:eastAsia="仿宋_GB2312" w:cs="仿宋_GB2312" w:hint="eastAsia"/>
          <w:sz w:val="32"/>
          <w:szCs w:val="32"/>
          <w:lang w:val="zh-CN" w:eastAsia="zh-CN"/>
        </w:rPr>
        <w:t>，资金支付范围、支付标准、支付进度、支付依据等合规合法、与预算相符。</w:t>
      </w:r>
      <w:r>
        <w:rPr>
          <w:rFonts w:ascii="仿宋_GB2312" w:eastAsia="仿宋_GB2312" w:cs="仿宋_GB2312" w:hint="eastAsia"/>
          <w:sz w:val="32"/>
          <w:szCs w:val="32"/>
          <w:lang w:val="en-US" w:eastAsia="zh-CN"/>
        </w:rPr>
        <w:t>具体分配安排如下：</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年国家下达我县</w:t>
      </w:r>
      <w:r>
        <w:rPr>
          <w:rFonts w:ascii="仿宋_GB2312" w:eastAsia="仿宋_GB2312" w:cs="仿宋_GB2312" w:hint="eastAsia"/>
          <w:sz w:val="32"/>
          <w:szCs w:val="32"/>
          <w:lang w:val="en-US" w:eastAsia="zh-CN"/>
        </w:rPr>
        <w:t>草原生态保护</w:t>
      </w:r>
      <w:r>
        <w:rPr>
          <w:rFonts w:ascii="仿宋_GB2312" w:eastAsia="仿宋_GB2312" w:cs="仿宋_GB2312" w:hint="eastAsia"/>
          <w:sz w:val="32"/>
          <w:szCs w:val="32"/>
          <w:lang w:val="zh-CN" w:eastAsia="zh-CN"/>
        </w:rPr>
        <w:t>补助奖励资金共计</w:t>
      </w:r>
      <w:r>
        <w:rPr>
          <w:rFonts w:ascii="仿宋_GB2312" w:eastAsia="仿宋_GB2312" w:cs="仿宋_GB2312" w:hint="eastAsia"/>
          <w:sz w:val="32"/>
          <w:szCs w:val="32"/>
          <w:lang w:val="en-US" w:eastAsia="zh-CN"/>
        </w:rPr>
        <w:t>2263.325</w:t>
      </w:r>
      <w:r>
        <w:rPr>
          <w:rFonts w:ascii="仿宋_GB2312" w:eastAsia="仿宋_GB2312" w:cs="仿宋_GB2312" w:hint="eastAsia"/>
          <w:sz w:val="32"/>
          <w:szCs w:val="32"/>
          <w:lang w:val="zh-CN" w:eastAsia="zh-CN"/>
        </w:rPr>
        <w:t>万元；</w:t>
      </w:r>
      <w:r>
        <w:rPr>
          <w:rFonts w:ascii="仿宋_GB2312" w:eastAsia="仿宋_GB2312" w:cs="仿宋_GB2312" w:hint="eastAsia"/>
          <w:sz w:val="32"/>
          <w:szCs w:val="32"/>
          <w:lang w:val="en-US" w:eastAsia="zh-CN"/>
        </w:rPr>
        <w:t>其中：</w:t>
      </w:r>
      <w:r>
        <w:rPr>
          <w:rFonts w:ascii="仿宋_GB2312" w:eastAsia="仿宋_GB2312" w:cs="仿宋_GB2312" w:hint="eastAsia"/>
          <w:sz w:val="32"/>
          <w:szCs w:val="32"/>
          <w:lang w:val="zh-CN" w:eastAsia="zh-CN"/>
        </w:rPr>
        <w:t>草原禁牧补助193万亩</w:t>
      </w:r>
      <w:bookmarkStart w:id="49" w:name="OLE_LINK1"/>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补助资金</w:t>
      </w:r>
      <w:r>
        <w:rPr>
          <w:rFonts w:ascii="仿宋_GB2312" w:eastAsia="仿宋_GB2312" w:cs="仿宋_GB2312" w:hint="eastAsia"/>
          <w:sz w:val="32"/>
          <w:szCs w:val="32"/>
          <w:lang w:val="zh-CN" w:eastAsia="zh-CN"/>
        </w:rPr>
        <w:t>14</w:t>
      </w:r>
      <w:r>
        <w:rPr>
          <w:rFonts w:ascii="仿宋_GB2312" w:eastAsia="仿宋_GB2312" w:cs="仿宋_GB2312" w:hint="eastAsia"/>
          <w:sz w:val="32"/>
          <w:szCs w:val="32"/>
          <w:lang w:val="en-US" w:eastAsia="zh-CN"/>
        </w:rPr>
        <w:t>76.45</w:t>
      </w:r>
      <w:bookmarkEnd w:id="49"/>
      <w:r>
        <w:rPr>
          <w:rFonts w:ascii="仿宋_GB2312" w:eastAsia="仿宋_GB2312" w:cs="仿宋_GB2312" w:hint="eastAsia"/>
          <w:sz w:val="32"/>
          <w:szCs w:val="32"/>
          <w:lang w:val="zh-CN" w:eastAsia="zh-CN"/>
        </w:rPr>
        <w:t>万元。草畜平衡奖励314.75万亩，</w:t>
      </w:r>
      <w:r>
        <w:rPr>
          <w:rFonts w:ascii="仿宋_GB2312" w:eastAsia="仿宋_GB2312" w:cs="仿宋_GB2312" w:hint="eastAsia"/>
          <w:sz w:val="32"/>
          <w:szCs w:val="32"/>
          <w:lang w:val="en-US" w:eastAsia="zh-CN"/>
        </w:rPr>
        <w:t>奖励资金</w:t>
      </w:r>
      <w:r>
        <w:rPr>
          <w:rFonts w:ascii="仿宋_GB2312" w:eastAsia="仿宋_GB2312" w:cs="仿宋_GB2312" w:hint="eastAsia"/>
          <w:sz w:val="32"/>
          <w:szCs w:val="32"/>
          <w:lang w:val="zh-CN" w:eastAsia="zh-CN"/>
        </w:rPr>
        <w:t>786.875万元。</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（三）项目财务管理情况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县财政部门会同林草、科农、审计等相关部门健全草原补奖政策资金管理规章制度，资金进行专账管理，严格执行专账管理、专款专用。县科农局、财政局、林草部门要会同纪检、审计等部门，加强对政策任务和资金落实情况的监督检查。</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黑体" w:eastAsia="黑体" w:cs="黑体" w:hint="eastAsia"/>
          <w:b w:val="0"/>
          <w:bCs w:val="0"/>
          <w:color w:val="auto"/>
          <w:sz w:val="32"/>
          <w:szCs w:val="32"/>
          <w:u w:val="none"/>
          <w:highlight w:val="auto"/>
        </w:rPr>
      </w:pPr>
      <w:r>
        <w:rPr>
          <w:rFonts w:ascii="黑体" w:eastAsia="黑体" w:cs="黑体" w:hint="eastAsia"/>
          <w:b w:val="0"/>
          <w:bCs w:val="0"/>
          <w:color w:val="auto"/>
          <w:sz w:val="32"/>
          <w:szCs w:val="32"/>
          <w:u w:val="none"/>
          <w:highlight w:val="auto"/>
        </w:rPr>
        <w:t>三、项目实施及管理情况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在各乡（镇）核查统计的基础上，并将草原补奖政策基础数据上报县财政局、县林业和草原局，我县结合实际编制了壤塘县2022年草原生态保护补助奖励政策实施方案，明确目标任务、补奖内容、补奖标准、补奖对象、资金规模、减畜任务、超载率调减目标、实施进度、推进措施和保障措施等。超载过牧的乡（镇）要将减畜任务分解落实到超载过牧的村、组、户，县林草局会同县科农局要督促指导乡（镇）人民政府每年要与乡、村签订的目标责任书和牧户签订任务表，并对牧民履行草原禁牧、草畜平衡和减畜任务情况进行检查考核，确保政策效果。县、乡（镇）要扎实做好草原补奖信息系统数据录入、审核、管理和技术培训工作，安排专人负责，确保基础信息准确、可靠并与“惠民惠农财政补贴‘一卡通’资格审批”系统、资金发放系统上的基础信息数据保持一致。</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jc w:val="both"/>
        <w:textAlignment w:val="auto"/>
        <w:rPr>
          <w:rFonts w:ascii="楷体_GB2312" w:eastAsia="楷体_GB2312" w:cs="楷体_GB2312" w:hint="eastAsia"/>
          <w:b/>
          <w:color w:val="auto"/>
          <w:sz w:val="32"/>
          <w:szCs w:val="32"/>
          <w:u w:val="none"/>
          <w:lang w:val="zh-CN"/>
          <w:highlight w:val="auto"/>
        </w:rPr>
      </w:pPr>
      <w:r>
        <w:rPr>
          <w:rFonts w:ascii="楷体_GB2312" w:eastAsia="楷体_GB2312" w:cs="楷体_GB2312" w:hint="eastAsia"/>
          <w:b/>
          <w:color w:val="auto"/>
          <w:kern w:val="2"/>
          <w:sz w:val="32"/>
          <w:szCs w:val="32"/>
          <w:lang w:val="zh-CN" w:eastAsia="zh-CN" w:bidi="ar-SA"/>
        </w:rPr>
        <w:t>（一）</w:t>
      </w:r>
      <w:r>
        <w:rPr>
          <w:rFonts w:ascii="楷体_GB2312" w:eastAsia="楷体_GB2312" w:cs="楷体_GB2312" w:hint="eastAsia"/>
          <w:b/>
          <w:color w:val="auto"/>
          <w:sz w:val="32"/>
          <w:szCs w:val="32"/>
          <w:u w:val="none"/>
          <w:lang w:val="zh-CN"/>
          <w:highlight w:val="auto"/>
        </w:rPr>
        <w:t>项目组织架构及实施流程</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县、乡建立健全由政府主要负责人任组长的政策实施工作领导小组，强化组织领导，明确部门分工，建立财政、科农、林草等部门协调机制，成立工作专班，完善工作机制，全力做好草原补奖政策落实各项工作。县财政局负责会同相关部门做好资金发放和绩效管理工作；县科农局按照政策实施需求，负责对享受政策的牧户登记造册，做好草原补奖信息系统录入和管理工作，开展政策宣传和培训，会同相关部门抓好政策组织落实；县林业和草原局负责禁牧和草畜平衡监督管理，确定禁牧和草畜平衡面积及区域，测定草原承载力，会同科学技术和农业畜牧局核定并发布合理载畜量，建立健全县、乡、村三级草原管护网络，加大对草原禁牧休牧轮牧、草畜平衡制度落实情况的监督检查力度。</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该项目领导小组办公室下设于县科学技术和农业畜牧局，负责处理日常事务。</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jc w:val="both"/>
        <w:textAlignment w:val="auto"/>
        <w:rPr>
          <w:rFonts w:ascii="楷体_GB2312" w:eastAsia="楷体_GB2312" w:cs="楷体_GB2312" w:hint="eastAsia"/>
          <w:b/>
          <w:color w:val="auto"/>
          <w:kern w:val="2"/>
          <w:sz w:val="32"/>
          <w:szCs w:val="32"/>
          <w:lang w:val="zh-CN" w:eastAsia="zh-CN" w:bidi="ar-SA"/>
        </w:rPr>
      </w:pPr>
      <w:r>
        <w:rPr>
          <w:rFonts w:ascii="楷体_GB2312" w:eastAsia="楷体_GB2312" w:cs="楷体_GB2312" w:hint="eastAsia"/>
          <w:b/>
          <w:color w:val="auto"/>
          <w:kern w:val="2"/>
          <w:sz w:val="32"/>
          <w:szCs w:val="32"/>
          <w:lang w:val="zh-CN" w:eastAsia="zh-CN" w:bidi="ar-SA"/>
        </w:rPr>
        <w:t>（二）项目管理情况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建立健全县、乡、村三级草原保护管护体系建设，将禁牧制度和草畜平衡制度推行情况纳入村规民约，强化村民自治管理能力，充分发挥村级生态护林员作用，建立村民监督管护、村级生态护林员管护、县乡巡查抽查、林草局监理检测的联动督查核查机制。加大对草原禁牧休牧制度、草畜平衡制度落实情况的监督核查力度，落实草原禁牧、草畜平衡的宣传、监督、管理和绩效考核，对农牧民履行减畜任务开展常态化管理，建立禁牧、草畜平衡及减畜任务工作台账和档案。依法打击违反草原禁牧和草畜平衡制度的违法行为，确保政策实施效果。草原监测机构应完善全县草原监测网络平台，全面开展监测工作，重点监测植被生态指标。根据禁牧区生态恢复情况结合当地农牧民生产发展，积极探索禁牧地块解禁的标准、方法、途径和措施，建立草原生态科学评价体系，为有效评估政策实施效果提供技术支撑和依据。</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jc w:val="both"/>
        <w:textAlignment w:val="auto"/>
        <w:rPr>
          <w:rFonts w:ascii="楷体_GB2312" w:eastAsia="楷体_GB2312" w:cs="楷体_GB2312" w:hint="eastAsia"/>
          <w:b/>
          <w:color w:val="auto"/>
          <w:kern w:val="2"/>
          <w:sz w:val="32"/>
          <w:szCs w:val="32"/>
          <w:lang w:val="zh-CN" w:eastAsia="zh-CN" w:bidi="ar-SA"/>
        </w:rPr>
      </w:pPr>
      <w:r>
        <w:rPr>
          <w:rFonts w:ascii="楷体_GB2312" w:eastAsia="楷体_GB2312" w:cs="楷体_GB2312" w:hint="eastAsia"/>
          <w:b/>
          <w:color w:val="auto"/>
          <w:kern w:val="2"/>
          <w:sz w:val="32"/>
          <w:szCs w:val="32"/>
          <w:lang w:val="zh-CN" w:eastAsia="zh-CN" w:bidi="ar-SA"/>
        </w:rPr>
        <w:t>（三）项目监管情况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一是</w:t>
      </w:r>
      <w:r>
        <w:rPr>
          <w:rFonts w:ascii="仿宋_GB2312" w:eastAsia="仿宋_GB2312" w:cs="仿宋_GB2312" w:hint="eastAsia"/>
          <w:sz w:val="32"/>
          <w:szCs w:val="32"/>
          <w:lang w:val="en-US" w:eastAsia="zh-CN"/>
        </w:rPr>
        <w:t>建立健全监督检查制度。采取政府监督检查、社会公开监督、牧民自我监督和依法查处相结合的方式，切实加大政策实施监督检查力度。建立县巡查、县抽查、乡普查的监督检查制度，对查出的问题要及时纠正并督促限期整改。推行公示和社会公开监督制度，采用媒体公示、张榜公示等方式，公开牧户数量、补助奖励标准、补助奖励资金数额等内容，设立监督热线电话，受理政策咨询、群众举报事项，引导群众参与管理，广泛接受社会监督，促进补奖政策实施的公开、公正、公平。推行村民自治监管制度，通过村规民约、村委会监管、村民相互监督，协调解决政策实施中的具体问题。</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二是</w:t>
      </w:r>
      <w:r>
        <w:rPr>
          <w:rFonts w:ascii="仿宋_GB2312" w:eastAsia="仿宋_GB2312" w:cs="仿宋_GB2312" w:hint="eastAsia"/>
          <w:sz w:val="32"/>
          <w:szCs w:val="32"/>
          <w:lang w:val="en-US" w:eastAsia="zh-CN"/>
        </w:rPr>
        <w:t>认真开展牧户考核验收。建立科学有效的牧户考核验收制度，在完成对政策实施牧户考核验收，由县级部门考核组进行考核，考核合格后进行村级公示，由县科农局及时将补奖资金直补兑现到户。</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黑体" w:eastAsia="黑体" w:cs="黑体" w:hint="eastAsia"/>
          <w:b w:val="0"/>
          <w:bCs w:val="0"/>
          <w:color w:val="auto"/>
          <w:sz w:val="32"/>
          <w:szCs w:val="32"/>
          <w:u w:val="none"/>
          <w:lang w:val="zh-CN"/>
          <w:highlight w:val="auto"/>
        </w:rPr>
      </w:pPr>
      <w:r>
        <w:rPr>
          <w:rFonts w:ascii="黑体" w:eastAsia="黑体" w:cs="黑体" w:hint="eastAsia"/>
          <w:b w:val="0"/>
          <w:bCs w:val="0"/>
          <w:color w:val="auto"/>
          <w:sz w:val="32"/>
          <w:szCs w:val="32"/>
          <w:u w:val="none"/>
          <w:highlight w:val="auto"/>
        </w:rPr>
        <w:t>四、项目绩效情况</w:t>
      </w:r>
      <w:r>
        <w:rPr>
          <w:rFonts w:ascii="黑体" w:eastAsia="黑体" w:cs="黑体" w:hint="eastAsia"/>
          <w:b w:val="0"/>
          <w:bCs w:val="0"/>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color w:val="auto"/>
          <w:sz w:val="32"/>
          <w:szCs w:val="32"/>
          <w:u w:val="none"/>
          <w:lang w:val="zh-CN"/>
          <w:highlight w:val="auto"/>
        </w:rPr>
      </w:pPr>
      <w:r>
        <w:rPr>
          <w:rFonts w:ascii="楷体_GB2312" w:eastAsia="楷体_GB2312" w:cs="楷体_GB2312" w:hint="eastAsia"/>
          <w:b/>
          <w:color w:val="auto"/>
          <w:sz w:val="32"/>
          <w:szCs w:val="32"/>
          <w:u w:val="none"/>
          <w:lang w:val="zh-CN"/>
          <w:highlight w:val="auto"/>
        </w:rPr>
        <w:t>（一）项目完成情况</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 w:eastAsia="仿宋" w:cs="仿宋" w:hint="eastAsia"/>
          <w:sz w:val="32"/>
          <w:szCs w:val="32"/>
          <w:lang w:val="en-US" w:eastAsia="zh-CN"/>
        </w:rPr>
      </w:pPr>
      <w:r>
        <w:rPr>
          <w:rFonts w:ascii="仿宋" w:eastAsia="仿宋" w:cs="仿宋" w:hint="eastAsia"/>
          <w:sz w:val="32"/>
          <w:szCs w:val="32"/>
          <w:lang w:val="en-US" w:eastAsia="zh-CN"/>
        </w:rPr>
        <w:t>2022年，通过实施草原补奖政策，在全县继续推进草原禁牧和草畜平衡制度，完成兑现2022年草原生态保护补助奖励政策资金2263.325万元，涉及全县11个乡（镇）、51个村、8567户，其中：实施禁牧193万亩，禁牧补助标准7.65元/亩，共计1476.45万元；实施草畜平衡314.75万亩，草畜平衡标准2.5元/亩共计786.875万元；完成率100%。</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color w:val="auto"/>
          <w:sz w:val="32"/>
          <w:szCs w:val="32"/>
          <w:u w:val="none"/>
          <w:lang w:val="zh-CN"/>
          <w:highlight w:val="auto"/>
        </w:rPr>
      </w:pPr>
      <w:r>
        <w:rPr>
          <w:rFonts w:ascii="楷体_GB2312" w:eastAsia="楷体_GB2312" w:cs="楷体_GB2312" w:hint="eastAsia"/>
          <w:b/>
          <w:color w:val="auto"/>
          <w:sz w:val="32"/>
          <w:szCs w:val="32"/>
          <w:u w:val="none"/>
          <w:lang w:val="zh-CN"/>
          <w:highlight w:val="auto"/>
        </w:rPr>
        <w:t>（二）项目效益情况</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both"/>
        <w:textAlignment w:val="auto"/>
        <w:outlineLvl w:val="1"/>
        <w:rPr>
          <w:rFonts w:ascii="仿宋_GB2312" w:eastAsia="仿宋_GB2312" w:cs="仿宋_GB2312" w:hint="eastAsia"/>
          <w:b/>
          <w:sz w:val="32"/>
          <w:szCs w:val="32"/>
          <w:lang w:val="en-US" w:eastAsia="zh-CN"/>
        </w:rPr>
      </w:pPr>
      <w:bookmarkStart w:id="50" w:name="_Toc29118"/>
      <w:bookmarkStart w:id="51" w:name="_Toc13657_WPSOffice_Level2"/>
      <w:bookmarkStart w:id="52" w:name="_Toc12908"/>
      <w:r>
        <w:rPr>
          <w:rFonts w:ascii="仿宋_GB2312" w:eastAsia="仿宋_GB2312" w:cs="仿宋_GB2312" w:hint="eastAsia"/>
          <w:b/>
          <w:sz w:val="32"/>
          <w:szCs w:val="32"/>
          <w:lang w:val="en-US" w:eastAsia="zh-CN"/>
        </w:rPr>
        <w:t>1.</w:t>
      </w:r>
      <w:r>
        <w:rPr>
          <w:rFonts w:ascii="仿宋_GB2312" w:eastAsia="仿宋_GB2312" w:cs="仿宋_GB2312" w:hint="eastAsia"/>
          <w:b/>
          <w:sz w:val="32"/>
          <w:szCs w:val="32"/>
        </w:rPr>
        <w:t>生态效益</w:t>
      </w:r>
      <w:bookmarkEnd w:id="50"/>
      <w:bookmarkEnd w:id="51"/>
      <w:bookmarkEnd w:id="52"/>
    </w:p>
    <w:p>
      <w:pPr>
        <w:keepNext w:val="0"/>
        <w:keepLines w:val="0"/>
        <w:pageBreakBefore w:val="0"/>
        <w:widowControl w:val="0"/>
        <w:kinsoku/>
        <w:wordWrap/>
        <w:overflowPunct/>
        <w:topLinePunct w:val="0"/>
        <w:autoSpaceDE/>
        <w:autoSpaceDN/>
        <w:bidi w:val="0"/>
        <w:adjustRightInd/>
        <w:spacing w:line="560" w:lineRule="exact"/>
        <w:ind w:firstLineChars="200" w:firstLine="640"/>
        <w:jc w:val="both"/>
        <w:textAlignment w:val="auto"/>
        <w:outlineLvl w:val="1"/>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壤塘县位于长江上游，广袤的草原是青藏高原陆地生态系统的重要组成部分，具有调节气候、涵养水源、保持水土、净化空气、固碳储氮等多种生态功能，实施草原生态保护补助奖励政策，促进草原禁牧和草畜平衡，能有效保护草原资源，改善草原生态环境，遏制草原生态退化趋势，加快草原生态恢复速度，提高天然草原载畜能力，减低天然草原牲畜超载率，促进草原生态系统的良性循环，进一步促进草原生态保护，为维护我县草原生态安全起到十分重要的作用。</w:t>
      </w:r>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_GB2312" w:eastAsia="仿宋_GB2312" w:cs="仿宋_GB2312" w:hint="eastAsia"/>
          <w:b/>
          <w:sz w:val="32"/>
          <w:szCs w:val="32"/>
        </w:rPr>
      </w:pPr>
      <w:bookmarkStart w:id="53" w:name="_Toc18557"/>
      <w:bookmarkStart w:id="54" w:name="_Toc5877_WPSOffice_Level2"/>
      <w:bookmarkStart w:id="55" w:name="_Toc21046"/>
      <w:r>
        <w:rPr>
          <w:rFonts w:ascii="仿宋_GB2312" w:eastAsia="仿宋_GB2312" w:cs="仿宋_GB2312" w:hint="eastAsia"/>
          <w:b/>
          <w:sz w:val="32"/>
          <w:szCs w:val="32"/>
          <w:lang w:val="en-US" w:eastAsia="zh-CN"/>
        </w:rPr>
        <w:t>2.</w:t>
      </w:r>
      <w:r>
        <w:rPr>
          <w:rFonts w:ascii="仿宋_GB2312" w:eastAsia="仿宋_GB2312" w:cs="仿宋_GB2312" w:hint="eastAsia"/>
          <w:b/>
          <w:sz w:val="32"/>
          <w:szCs w:val="32"/>
        </w:rPr>
        <w:t>经济效益</w:t>
      </w:r>
      <w:bookmarkEnd w:id="53"/>
      <w:bookmarkEnd w:id="54"/>
      <w:bookmarkEnd w:id="55"/>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落实草原生态保护补助奖励政策，2022年可发放牧户补奖资金2263.325万元。年可实现牧民户均政策性增收约2555元，人均增收约543元。同时，推动畜牧产业生产方式加快转变，通过促进草畜平衡制度落实让“夏秋天然放牧+冬春半舍饲补饲”生产方式逐步代替传统的“逐水草而牧”生产方式，优化畜群结构，提高出栏率，降低死亡率，增加牛羊肉、奶等畜产品量，提升畜牧养殖综合效益，促进农牧民实现减畜不减收。</w:t>
      </w:r>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_GB2312" w:eastAsia="仿宋_GB2312" w:cs="仿宋_GB2312" w:hint="eastAsia"/>
          <w:b/>
          <w:sz w:val="32"/>
          <w:szCs w:val="32"/>
        </w:rPr>
      </w:pPr>
      <w:bookmarkStart w:id="56" w:name="_Toc19556_WPSOffice_Level2"/>
      <w:bookmarkStart w:id="57" w:name="_Toc20094"/>
      <w:bookmarkStart w:id="58" w:name="_Toc20701"/>
      <w:r>
        <w:rPr>
          <w:rFonts w:ascii="仿宋_GB2312" w:eastAsia="仿宋_GB2312" w:cs="仿宋_GB2312" w:hint="eastAsia"/>
          <w:b/>
          <w:sz w:val="32"/>
          <w:szCs w:val="32"/>
          <w:lang w:val="en-US" w:eastAsia="zh-CN"/>
        </w:rPr>
        <w:t>3.</w:t>
      </w:r>
      <w:r>
        <w:rPr>
          <w:rFonts w:ascii="仿宋_GB2312" w:eastAsia="仿宋_GB2312" w:cs="仿宋_GB2312" w:hint="eastAsia"/>
          <w:b/>
          <w:sz w:val="32"/>
          <w:szCs w:val="32"/>
        </w:rPr>
        <w:t>社会效益</w:t>
      </w:r>
      <w:bookmarkEnd w:id="56"/>
      <w:bookmarkEnd w:id="57"/>
      <w:bookmarkEnd w:id="58"/>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县属于边远地区、落后地区、生态脆弱区和少数民族集中分布区，有利于增强农牧民草原生态保护意识，提高保护草原生态的积极性、自觉性与主动性，同时，减轻牧区农牧民放牧劳动强度，促进牧区劳动力转移，实现农牧民转产转业，提高农牧民物质文化水平，对增强牧区发展后劲，维护民族团结和牧区和谐稳定起到重要的作用。</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黑体" w:eastAsia="黑体" w:cs="黑体" w:hint="eastAsia"/>
          <w:b w:val="0"/>
          <w:bCs w:val="0"/>
          <w:color w:val="auto"/>
          <w:sz w:val="32"/>
          <w:szCs w:val="32"/>
          <w:u w:val="none"/>
          <w:highlight w:val="auto"/>
        </w:rPr>
      </w:pPr>
      <w:r>
        <w:rPr>
          <w:rFonts w:ascii="黑体" w:eastAsia="黑体" w:cs="黑体" w:hint="eastAsia"/>
          <w:b w:val="0"/>
          <w:bCs w:val="0"/>
          <w:color w:val="auto"/>
          <w:sz w:val="32"/>
          <w:szCs w:val="32"/>
          <w:u w:val="none"/>
          <w:highlight w:val="auto"/>
        </w:rPr>
        <w:t>五、评价结论及建议</w:t>
      </w:r>
    </w:p>
    <w:p>
      <w:pPr>
        <w:keepNext w:val="0"/>
        <w:keepLines w:val="0"/>
        <w:pageBreakBefore w:val="0"/>
        <w:widowControl w:val="0"/>
        <w:tabs>
          <w:tab w:val="left" w:pos="3991"/>
        </w:tabs>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color w:val="auto"/>
          <w:sz w:val="32"/>
          <w:szCs w:val="32"/>
          <w:u w:val="none"/>
          <w:lang w:val="zh-CN"/>
          <w:highlight w:val="auto"/>
        </w:rPr>
      </w:pPr>
      <w:r>
        <w:rPr>
          <w:rFonts w:ascii="楷体_GB2312" w:eastAsia="楷体_GB2312" w:cs="楷体_GB2312" w:hint="eastAsia"/>
          <w:b/>
          <w:bCs/>
          <w:color w:val="auto"/>
          <w:sz w:val="32"/>
          <w:szCs w:val="32"/>
          <w:u w:val="none"/>
          <w:lang w:val="zh-CN"/>
          <w:highlight w:val="auto"/>
        </w:rPr>
        <w:t>（一）评价结论</w:t>
      </w:r>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该政策在省、州、县各级领导的关心和支持下、在主管部门的统一安排下、在各乡（镇）高度负责统一组织实施下，严格按照目标管理将政策任务落实到乡、村，并签订牧户承诺书。</w:t>
      </w:r>
      <w:r>
        <w:rPr>
          <w:rFonts w:ascii="仿宋_GB2312" w:eastAsia="仿宋_GB2312" w:cs="仿宋_GB2312" w:hint="eastAsia"/>
          <w:sz w:val="32"/>
          <w:szCs w:val="32"/>
          <w:lang w:val="zh-CN" w:eastAsia="zh-CN"/>
        </w:rPr>
        <w:t>通过对2022年壤塘县草原生态保护补助奖励政策农牧民群众满意度的调查，调查结果农牧民群众对该</w:t>
      </w:r>
      <w:r>
        <w:rPr>
          <w:rFonts w:ascii="仿宋_GB2312" w:eastAsia="仿宋_GB2312" w:cs="仿宋_GB2312" w:hint="eastAsia"/>
          <w:sz w:val="32"/>
          <w:szCs w:val="32"/>
          <w:lang w:val="en-US" w:eastAsia="zh-CN"/>
        </w:rPr>
        <w:t>政策</w:t>
      </w:r>
      <w:r>
        <w:rPr>
          <w:rFonts w:ascii="仿宋_GB2312" w:eastAsia="仿宋_GB2312" w:cs="仿宋_GB2312" w:hint="eastAsia"/>
          <w:sz w:val="32"/>
          <w:szCs w:val="32"/>
          <w:lang w:val="zh-CN" w:eastAsia="zh-CN"/>
        </w:rPr>
        <w:t>的满意度达100%。</w:t>
      </w:r>
    </w:p>
    <w:p>
      <w:pPr>
        <w:keepNext w:val="0"/>
        <w:keepLines w:val="0"/>
        <w:pageBreakBefore w:val="0"/>
        <w:widowControl w:val="0"/>
        <w:tabs>
          <w:tab w:val="left" w:pos="3991"/>
        </w:tabs>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color w:val="auto"/>
          <w:sz w:val="32"/>
          <w:szCs w:val="32"/>
          <w:u w:val="none"/>
          <w:lang w:val="zh-CN"/>
          <w:highlight w:val="auto"/>
        </w:rPr>
      </w:pPr>
      <w:r>
        <w:rPr>
          <w:rFonts w:ascii="楷体_GB2312" w:eastAsia="楷体_GB2312" w:cs="楷体_GB2312" w:hint="eastAsia"/>
          <w:b/>
          <w:bCs/>
          <w:color w:val="auto"/>
          <w:sz w:val="32"/>
          <w:szCs w:val="32"/>
          <w:u w:val="none"/>
          <w:lang w:val="zh-CN"/>
          <w:highlight w:val="auto"/>
        </w:rPr>
        <w:t>（二）存在的问题</w:t>
      </w:r>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由于政策覆盖的草原面积广，而草原管护人员较少，一定程度上增加了草原禁牧和草畜平衡的管理难度。</w:t>
      </w:r>
    </w:p>
    <w:p>
      <w:pPr>
        <w:keepNext w:val="0"/>
        <w:keepLines w:val="0"/>
        <w:pageBreakBefore w:val="0"/>
        <w:widowControl w:val="0"/>
        <w:tabs>
          <w:tab w:val="left" w:pos="3991"/>
        </w:tabs>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color w:val="auto"/>
          <w:sz w:val="32"/>
          <w:szCs w:val="32"/>
          <w:u w:val="none"/>
          <w:lang w:val="zh-CN"/>
          <w:highlight w:val="auto"/>
        </w:rPr>
      </w:pPr>
      <w:r>
        <w:rPr>
          <w:rFonts w:ascii="楷体_GB2312" w:eastAsia="楷体_GB2312" w:cs="楷体_GB2312" w:hint="eastAsia"/>
          <w:b/>
          <w:bCs/>
          <w:color w:val="auto"/>
          <w:sz w:val="32"/>
          <w:szCs w:val="32"/>
          <w:u w:val="none"/>
          <w:lang w:val="zh-CN"/>
          <w:highlight w:val="auto"/>
        </w:rPr>
        <w:t>（三）相关建议</w:t>
      </w:r>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both"/>
        <w:textAlignment w:val="auto"/>
        <w:outlineLvl w:val="1"/>
        <w:rPr>
          <w:rFonts w:ascii="仿宋" w:eastAsia="仿宋" w:cs="仿宋" w:hint="eastAsia"/>
          <w:b w:val="0"/>
          <w:bCs/>
          <w:sz w:val="32"/>
          <w:szCs w:val="32"/>
          <w:lang w:val="zh-CN" w:eastAsia="zh-CN"/>
        </w:rPr>
      </w:pPr>
      <w:r>
        <w:rPr>
          <w:rFonts w:ascii="仿宋_GB2312" w:eastAsia="仿宋_GB2312" w:cs="仿宋_GB2312" w:hint="eastAsia"/>
          <w:sz w:val="32"/>
          <w:szCs w:val="32"/>
          <w:lang w:val="zh-CN" w:eastAsia="zh-CN"/>
        </w:rPr>
        <w:t>各项目成员单位、部门、项目实施乡（镇）通力协作，加大宣传力度，提高牧民群众对“草奖”政策的认识，营造草畜平衡的良好氛围，</w:t>
      </w:r>
      <w:r>
        <w:rPr>
          <w:rFonts w:ascii="仿宋_GB2312" w:eastAsia="仿宋_GB2312" w:cs="仿宋_GB2312" w:hint="eastAsia"/>
          <w:sz w:val="32"/>
          <w:szCs w:val="32"/>
          <w:lang w:val="en-US" w:eastAsia="zh-CN"/>
        </w:rPr>
        <w:t>促进</w:t>
      </w:r>
      <w:r>
        <w:rPr>
          <w:rFonts w:ascii="仿宋_GB2312" w:eastAsia="仿宋_GB2312" w:cs="仿宋_GB2312" w:hint="eastAsia"/>
          <w:sz w:val="32"/>
          <w:szCs w:val="32"/>
          <w:lang w:val="zh-CN" w:eastAsia="zh-CN"/>
        </w:rPr>
        <w:t>畜牧业健康发展与草原生态平衡的良性循环。</w:t>
      </w:r>
    </w:p>
    <w:p>
      <w:pPr>
        <w:pStyle w:val="15"/>
        <w:rPr>
          <w:rFonts w:ascii="仿宋" w:eastAsia="仿宋" w:cs="仿宋" w:hint="eastAsia"/>
          <w:b w:val="0"/>
          <w:bCs/>
          <w:sz w:val="32"/>
          <w:szCs w:val="32"/>
          <w:lang w:val="zh-CN" w:eastAsia="zh-CN"/>
        </w:rPr>
      </w:pPr>
    </w:p>
    <w:p>
      <w:pPr>
        <w:jc w:val="center"/>
        <w:rPr>
          <w:rFonts w:ascii="仿宋" w:eastAsia="仿宋" w:cs="仿宋" w:hint="eastAsia"/>
          <w:b/>
          <w:bCs/>
          <w:color w:val="auto"/>
          <w:sz w:val="32"/>
          <w:szCs w:val="32"/>
          <w:lang w:val="en-US" w:eastAsia="zh-CN"/>
          <w:highlight w:val="auto"/>
        </w:rPr>
      </w:pPr>
      <w:r>
        <w:rPr>
          <w:rFonts w:ascii="仿宋" w:eastAsia="仿宋" w:cs="仿宋" w:hint="eastAsia"/>
          <w:b/>
          <w:bCs/>
          <w:color w:val="auto"/>
          <w:sz w:val="32"/>
          <w:szCs w:val="32"/>
          <w:lang w:val="zh-CN" w:eastAsia="zh-CN"/>
          <w:highlight w:val="auto"/>
        </w:rPr>
        <w:t>附表：</w:t>
      </w:r>
      <w:r>
        <w:rPr>
          <w:rFonts w:ascii="仿宋" w:eastAsia="仿宋" w:cs="仿宋" w:hint="eastAsia"/>
          <w:b/>
          <w:bCs/>
          <w:i w:val="0"/>
          <w:color w:val="000000"/>
          <w:kern w:val="0"/>
          <w:sz w:val="32"/>
          <w:szCs w:val="32"/>
          <w:u w:val="none"/>
          <w:lang w:val="en-US" w:eastAsia="zh-CN"/>
        </w:rPr>
        <w:t>2022年耕地地力保护补助资金</w:t>
      </w:r>
      <w:r>
        <w:rPr>
          <w:rFonts w:ascii="仿宋" w:eastAsia="仿宋" w:cs="仿宋" w:hint="eastAsia"/>
          <w:b/>
          <w:bCs/>
          <w:color w:val="auto"/>
          <w:sz w:val="32"/>
          <w:szCs w:val="32"/>
          <w:lang w:val="en-US" w:eastAsia="zh-CN"/>
          <w:highlight w:val="auto"/>
        </w:rPr>
        <w:t>支出绩效自评表</w:t>
      </w:r>
    </w:p>
    <w:p>
      <w:pPr>
        <w:jc w:val="center"/>
        <w:rPr>
          <w:rFonts w:ascii="仿宋" w:eastAsia="仿宋" w:cs="仿宋" w:hint="eastAsia"/>
          <w:b/>
          <w:bCs/>
          <w:sz w:val="32"/>
          <w:szCs w:val="32"/>
          <w:lang w:val="zh-CN" w:eastAsia="zh-CN"/>
        </w:rPr>
      </w:pPr>
      <w:r>
        <w:rPr>
          <w:rFonts w:ascii="仿宋" w:eastAsia="仿宋" w:cs="仿宋" w:hint="eastAsia"/>
          <w:b/>
          <w:bCs/>
          <w:color w:val="auto"/>
          <w:sz w:val="32"/>
          <w:szCs w:val="32"/>
          <w:lang w:val="en-US" w:eastAsia="zh-CN"/>
          <w:highlight w:val="auto"/>
        </w:rPr>
        <w:t>（2022年度）</w:t>
      </w:r>
    </w:p>
    <w:p>
      <w:pPr>
        <w:pStyle w:val="16"/>
        <w:jc w:val="center"/>
        <w:rPr>
          <w:rFonts w:hint="eastAsia"/>
          <w:lang w:val="zh-CN" w:eastAsia="zh-CN"/>
        </w:rPr>
      </w:pPr>
    </w:p>
    <w:p>
      <w:pPr>
        <w:pStyle w:val="15"/>
        <w:rPr>
          <w:rFonts w:ascii="仿宋" w:eastAsia="仿宋" w:cs="仿宋" w:hint="eastAsia"/>
          <w:sz w:val="21"/>
          <w:szCs w:val="21"/>
          <w:lang w:val="en-US" w:eastAsia="zh-CN"/>
        </w:rPr>
      </w:pPr>
    </w:p>
    <w:tbl>
      <w:tblPr>
        <w:jc w:val="center"/>
        <w:tblW w:w="948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683"/>
        <w:gridCol w:w="1184"/>
        <w:gridCol w:w="1289"/>
        <w:gridCol w:w="1646"/>
        <w:gridCol w:w="650"/>
        <w:gridCol w:w="623"/>
        <w:gridCol w:w="960"/>
        <w:gridCol w:w="505"/>
        <w:gridCol w:w="456"/>
        <w:gridCol w:w="1484"/>
      </w:tblGrid>
      <w:tr>
        <w:trPr>
          <w:trHeight w:val="904"/>
        </w:trPr>
        <w:tc>
          <w:tcPr>
            <w:tcW w:w="9480"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b/>
                <w:color w:val="000000"/>
                <w:sz w:val="21"/>
                <w:szCs w:val="21"/>
              </w:rPr>
            </w:pPr>
            <w:r>
              <w:rPr>
                <w:rFonts w:ascii="仿宋" w:eastAsia="仿宋" w:cs="仿宋" w:hint="eastAsia"/>
                <w:b/>
                <w:color w:val="000000"/>
                <w:kern w:val="0"/>
                <w:sz w:val="21"/>
                <w:szCs w:val="21"/>
              </w:rPr>
              <w:t>部门预算项目支出绩效自评表（2022年度）</w:t>
            </w:r>
          </w:p>
        </w:tc>
      </w:tr>
      <w:tr>
        <w:trPr>
          <w:trHeight w:val="592"/>
        </w:trPr>
        <w:tc>
          <w:tcPr>
            <w:tcW w:w="186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项目名称</w:t>
            </w:r>
          </w:p>
        </w:tc>
        <w:tc>
          <w:tcPr>
            <w:tcW w:w="7613"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耕地地力保护补贴资金</w:t>
            </w:r>
          </w:p>
        </w:tc>
      </w:tr>
      <w:tr>
        <w:trPr>
          <w:trHeight w:val="886"/>
        </w:trPr>
        <w:tc>
          <w:tcPr>
            <w:tcW w:w="186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主管部门</w:t>
            </w: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壤塘县科学技术和农业畜牧局</w:t>
            </w:r>
          </w:p>
        </w:tc>
        <w:tc>
          <w:tcPr>
            <w:tcW w:w="96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实施单位 （盖章）</w:t>
            </w:r>
          </w:p>
        </w:tc>
        <w:tc>
          <w:tcPr>
            <w:tcW w:w="2445"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壤塘县科学技术和农业畜牧局</w:t>
            </w:r>
          </w:p>
        </w:tc>
      </w:tr>
      <w:tr>
        <w:trPr>
          <w:trHeight w:val="455"/>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项目基本情况</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1.项目年度目标完成情况</w:t>
            </w: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项目年度目标</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年度目标完成情况</w:t>
            </w:r>
          </w:p>
        </w:tc>
      </w:tr>
      <w:tr>
        <w:trPr>
          <w:trHeight w:val="1178"/>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 xml:space="preserve">    计划全县11个乡镇“耕地地力保护补贴”政策资金兑现，享受补贴的农民要做到耕地不撂荒，地力不降低。</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ind w:firstLineChars="200" w:firstLine="420"/>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完成全县11个乡镇“耕地地力保护补贴”政策资金兑现，享受补贴的农民做到耕地不撂荒，地力不降低。</w:t>
            </w:r>
          </w:p>
        </w:tc>
      </w:tr>
      <w:tr>
        <w:trPr>
          <w:trHeight w:val="873"/>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2.项目实施内容及过程概述</w:t>
            </w:r>
          </w:p>
        </w:tc>
        <w:tc>
          <w:tcPr>
            <w:tcW w:w="7613"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ind w:firstLineChars="200" w:firstLine="420"/>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完成全县11个乡镇“耕地地力保护补贴”35136.64亩，补贴农户4718户，补贴标准57.56元/亩。</w:t>
            </w:r>
          </w:p>
        </w:tc>
      </w:tr>
      <w:tr>
        <w:trPr>
          <w:trHeight w:val="680"/>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预算执行情况（10分）</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年度预算数（万元）</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年初预算</w:t>
            </w: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调整后预算数</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预算执行数</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得分</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原因</w:t>
            </w:r>
          </w:p>
        </w:tc>
      </w:tr>
      <w:tr>
        <w:trPr>
          <w:trHeight w:val="692"/>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总额</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202.26</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202.26</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i/>
                <w:color w:val="000000"/>
                <w:sz w:val="21"/>
                <w:szCs w:val="21"/>
              </w:rPr>
            </w:pPr>
          </w:p>
        </w:tc>
      </w:tr>
      <w:tr>
        <w:trPr>
          <w:trHeight w:val="78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其中：财政资金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202.26</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202.26</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66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财政专户管理资金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78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单位资金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804"/>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其他资金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452"/>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绩效指标（90分）</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一级指标</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二级指标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三级指标</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指标</w:t>
            </w:r>
          </w:p>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性质</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指标值</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得分</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未完成原因分析</w:t>
            </w:r>
          </w:p>
        </w:tc>
      </w:tr>
      <w:tr>
        <w:trPr>
          <w:trHeight w:val="584"/>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产出指标</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数量指标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补贴农户</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4718户</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541"/>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涉及乡镇个数</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val="en-US" w:eastAsia="zh-CN"/>
              </w:rPr>
            </w:pPr>
            <w:r>
              <w:rPr>
                <w:rFonts w:ascii="仿宋" w:eastAsia="仿宋" w:cs="仿宋" w:hint="eastAsia"/>
                <w:color w:val="000000"/>
                <w:kern w:val="0"/>
                <w:sz w:val="21"/>
                <w:szCs w:val="21"/>
              </w:rPr>
              <w:t>11</w:t>
            </w:r>
            <w:r>
              <w:rPr>
                <w:rFonts w:ascii="仿宋" w:eastAsia="仿宋" w:cs="仿宋" w:hint="eastAsia"/>
                <w:color w:val="000000"/>
                <w:kern w:val="0"/>
                <w:sz w:val="21"/>
                <w:szCs w:val="21"/>
                <w:lang w:val="en-US" w:eastAsia="zh-CN"/>
              </w:rPr>
              <w:t>个</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691"/>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质量指标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资金使用无重大违纪违规现象</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无</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无</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无</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691"/>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时效指标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6月30日前</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6月</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452"/>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效益指标</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经济效益指标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每亩地补贴金额</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57.56元</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eastAsia="zh-CN"/>
              </w:rPr>
            </w:pPr>
            <w:r>
              <w:rPr>
                <w:rFonts w:ascii="仿宋" w:eastAsia="仿宋" w:cs="仿宋" w:hint="eastAsia"/>
                <w:color w:val="000000"/>
                <w:kern w:val="0"/>
                <w:sz w:val="21"/>
                <w:szCs w:val="21"/>
                <w:lang w:val="en-US" w:eastAsia="zh-CN"/>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452"/>
        </w:trPr>
        <w:tc>
          <w:tcPr>
            <w:tcW w:w="683"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color w:val="000000"/>
                <w:sz w:val="21"/>
                <w:szCs w:val="21"/>
              </w:rPr>
            </w:pPr>
          </w:p>
        </w:tc>
        <w:tc>
          <w:tcPr>
            <w:tcW w:w="1184"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社会效益</w:t>
            </w:r>
          </w:p>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促进耕地保护；耕地质量总体不下降</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452"/>
        </w:trPr>
        <w:tc>
          <w:tcPr>
            <w:tcW w:w="683" w:type="dxa"/>
            <w:vMerge/>
            <w:tcBorders>
              <w:left w:val="single" w:sz="4" w:space="0" w:color="000000"/>
              <w:right w:val="single" w:sz="4" w:space="0" w:color="000000"/>
            </w:tcBorders>
            <w:shd w:val="clear" w:color="auto" w:fill="auto"/>
            <w:tcMar>
              <w:top w:w="15" w:type="dxa"/>
              <w:left w:w="15" w:type="dxa"/>
              <w:right w:w="15" w:type="dxa"/>
            </w:tcMar>
            <w:vAlign w:val="center"/>
          </w:tcPr>
          <w:p/>
        </w:tc>
        <w:tc>
          <w:tcPr>
            <w:tcW w:w="1184" w:type="dxa"/>
            <w:vMerge/>
            <w:tcBorders>
              <w:left w:val="single" w:sz="4" w:space="0" w:color="000000"/>
              <w:right w:val="single" w:sz="4" w:space="0" w:color="000000"/>
            </w:tcBorders>
            <w:shd w:val="clear" w:color="auto" w:fill="auto"/>
            <w:tcMar>
              <w:top w:w="15" w:type="dxa"/>
              <w:left w:w="15" w:type="dxa"/>
              <w:right w:w="15" w:type="dxa"/>
            </w:tcMar>
            <w:vAlign w:val="center"/>
          </w:tc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生态效益</w:t>
            </w:r>
          </w:p>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保护耕地地力</w:t>
            </w: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w:t>
            </w:r>
          </w:p>
        </w:tc>
        <w:tc>
          <w:tcPr>
            <w:tcW w:w="6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center"/>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jc w:val="center"/>
              <w:rPr>
                <w:rFonts w:ascii="仿宋" w:eastAsia="仿宋" w:cs="仿宋" w:hint="eastAsia"/>
                <w:i/>
                <w:color w:val="000000"/>
                <w:sz w:val="21"/>
                <w:szCs w:val="21"/>
              </w:rPr>
            </w:pPr>
          </w:p>
        </w:tc>
      </w:tr>
      <w:tr>
        <w:trPr>
          <w:trHeight w:val="452"/>
        </w:trPr>
        <w:tc>
          <w:tcPr>
            <w:tcW w:w="683" w:type="dxa"/>
            <w:vMerge/>
            <w:tcBorders>
              <w:left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left w:val="single" w:sz="4" w:space="0" w:color="000000"/>
              <w:right w:val="single" w:sz="4" w:space="0" w:color="000000"/>
            </w:tcBorders>
            <w:shd w:val="clear" w:color="auto" w:fill="auto"/>
            <w:noWrap/>
            <w:tcMar>
              <w:top w:w="15" w:type="dxa"/>
              <w:left w:w="15" w:type="dxa"/>
              <w:right w:w="15" w:type="dxa"/>
            </w:tcMar>
            <w:vAlign w:val="center"/>
          </w:tc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可持续影响指标</w:t>
            </w:r>
          </w:p>
        </w:tc>
        <w:tc>
          <w:tcPr>
            <w:tcW w:w="1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持续提升耕地地力</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长期</w:t>
            </w:r>
          </w:p>
        </w:tc>
        <w:tc>
          <w:tcPr>
            <w:tcW w:w="62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长期</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长期</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lang w:val="en-US" w:eastAsia="zh-CN"/>
              </w:rPr>
            </w:pPr>
            <w:r>
              <w:rPr>
                <w:rFonts w:ascii="仿宋" w:eastAsia="仿宋" w:cs="仿宋" w:hint="eastAsia"/>
                <w:color w:val="000000"/>
                <w:kern w:val="0"/>
                <w:sz w:val="21"/>
                <w:szCs w:val="21"/>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rPr>
            </w:pPr>
          </w:p>
        </w:tc>
      </w:tr>
      <w:tr>
        <w:trPr>
          <w:trHeight w:val="805"/>
        </w:trPr>
        <w:tc>
          <w:tcPr>
            <w:tcW w:w="7035"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color w:val="000000"/>
                <w:sz w:val="21"/>
                <w:szCs w:val="21"/>
                <w:lang w:val="en-US" w:eastAsia="zh-CN"/>
              </w:rPr>
            </w:pPr>
            <w:r>
              <w:rPr>
                <w:rFonts w:ascii="仿宋" w:eastAsia="仿宋" w:cs="仿宋" w:hint="eastAsia"/>
                <w:color w:val="000000"/>
                <w:sz w:val="21"/>
                <w:szCs w:val="21"/>
                <w:lang w:val="en-US" w:eastAsia="zh-CN"/>
              </w:rPr>
              <w:t>100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color w:val="000000"/>
                <w:sz w:val="21"/>
                <w:szCs w:val="21"/>
              </w:rPr>
            </w:pPr>
          </w:p>
        </w:tc>
      </w:tr>
      <w:tr>
        <w:trPr>
          <w:trHeight w:val="2326"/>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评价</w:t>
            </w:r>
          </w:p>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结论</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textAlignment w:val="center"/>
              <w:rPr>
                <w:rFonts w:ascii="仿宋" w:eastAsia="仿宋" w:cs="仿宋" w:hint="eastAsia"/>
                <w:color w:val="000000"/>
                <w:kern w:val="0"/>
                <w:sz w:val="21"/>
                <w:szCs w:val="21"/>
              </w:rPr>
            </w:pPr>
          </w:p>
          <w:p>
            <w:pPr>
              <w:widowControl/>
              <w:ind w:firstLineChars="200" w:firstLine="420"/>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根据上级支付资金绩效评价工作的通知精神，县</w:t>
            </w:r>
            <w:r>
              <w:rPr>
                <w:rFonts w:ascii="仿宋" w:eastAsia="仿宋" w:cs="仿宋" w:hint="eastAsia"/>
                <w:color w:val="000000"/>
                <w:kern w:val="0"/>
                <w:sz w:val="21"/>
                <w:szCs w:val="21"/>
                <w:lang w:val="en-US" w:eastAsia="zh-CN"/>
              </w:rPr>
              <w:t>科学技术和农业畜牧局</w:t>
            </w:r>
            <w:r>
              <w:rPr>
                <w:rFonts w:ascii="仿宋" w:eastAsia="仿宋" w:cs="仿宋" w:hint="eastAsia"/>
                <w:color w:val="000000"/>
                <w:kern w:val="0"/>
                <w:sz w:val="21"/>
                <w:szCs w:val="21"/>
              </w:rPr>
              <w:t>认真按照2022年支付资金使用绩效评价表的要求，对我县2022年耕地地力保护补贴项目的绩效进行了严格的考核评价。一是严格遵照评价原则，合理确定评价对象，层层落实绩效评价目标任务。二是按照评价内容对2022年耕地地力保护补贴项目进行考核内容逐项打分。三是根据部门预算项目支出绩效自评表，2022年壤塘县耕地地力保护补贴资金使用情况的绩效得分为100分。四是根据我县绩效得分，壤塘县</w:t>
            </w:r>
            <w:r>
              <w:rPr>
                <w:rFonts w:ascii="仿宋" w:eastAsia="仿宋" w:cs="仿宋" w:hint="eastAsia"/>
                <w:color w:val="000000"/>
                <w:kern w:val="0"/>
                <w:sz w:val="21"/>
                <w:szCs w:val="21"/>
                <w:lang w:val="en-US" w:eastAsia="zh-CN"/>
              </w:rPr>
              <w:t>科学技术和农业农村局</w:t>
            </w:r>
            <w:r>
              <w:rPr>
                <w:rFonts w:ascii="仿宋" w:eastAsia="仿宋" w:cs="仿宋" w:hint="eastAsia"/>
                <w:color w:val="000000"/>
                <w:kern w:val="0"/>
                <w:sz w:val="21"/>
                <w:szCs w:val="21"/>
              </w:rPr>
              <w:t>自评2022年壤塘县耕地地力保护补贴项目绩效评价自评为优秀。</w:t>
            </w:r>
          </w:p>
          <w:p>
            <w:pPr>
              <w:widowControl/>
              <w:textAlignment w:val="center"/>
              <w:rPr>
                <w:rFonts w:ascii="仿宋" w:eastAsia="仿宋" w:cs="仿宋" w:hint="eastAsia"/>
                <w:i/>
                <w:color w:val="000000"/>
                <w:sz w:val="21"/>
                <w:szCs w:val="21"/>
              </w:rPr>
            </w:pPr>
          </w:p>
        </w:tc>
      </w:tr>
      <w:tr>
        <w:trPr>
          <w:trHeight w:val="594"/>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存在</w:t>
            </w:r>
          </w:p>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问题</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numPr>
                <w:ilvl w:val="0"/>
                <w:numId w:val="1"/>
              </w:numPr>
              <w:jc w:val="left"/>
              <w:textAlignment w:val="center"/>
              <w:rPr>
                <w:rFonts w:ascii="仿宋" w:eastAsia="仿宋" w:cs="仿宋" w:hint="eastAsia"/>
                <w:sz w:val="21"/>
                <w:szCs w:val="21"/>
                <w:lang w:val="en-US" w:eastAsia="zh-CN"/>
              </w:rPr>
            </w:pPr>
            <w:r>
              <w:rPr>
                <w:rFonts w:ascii="仿宋" w:eastAsia="仿宋" w:cs="仿宋" w:hint="eastAsia"/>
                <w:sz w:val="21"/>
                <w:szCs w:val="21"/>
                <w:lang w:val="en-US" w:eastAsia="zh-CN"/>
              </w:rPr>
              <w:t>乡镇无专职人员管理该项目，专业水平不足。</w:t>
            </w:r>
          </w:p>
          <w:p>
            <w:pPr>
              <w:pStyle w:val="15"/>
              <w:numPr>
                <w:ilvl w:val="0"/>
                <w:numId w:val="1"/>
              </w:numPr>
              <w:rPr>
                <w:rFonts w:ascii="仿宋" w:eastAsia="仿宋" w:cs="仿宋" w:hint="eastAsia"/>
                <w:sz w:val="21"/>
                <w:szCs w:val="21"/>
                <w:lang w:val="en-US" w:eastAsia="zh-CN"/>
              </w:rPr>
            </w:pPr>
            <w:r>
              <w:rPr>
                <w:rFonts w:ascii="仿宋" w:eastAsia="仿宋" w:cs="仿宋" w:hint="eastAsia"/>
                <w:sz w:val="21"/>
                <w:szCs w:val="21"/>
                <w:lang w:val="en-US" w:eastAsia="zh-CN"/>
              </w:rPr>
              <w:t>村民人数多且社保卡变动频繁，导致支付进度缓慢。</w:t>
            </w:r>
          </w:p>
        </w:tc>
      </w:tr>
      <w:tr>
        <w:trPr>
          <w:trHeight w:val="633"/>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改进</w:t>
            </w:r>
          </w:p>
          <w:p>
            <w:pPr>
              <w:widowControl/>
              <w:jc w:val="center"/>
              <w:textAlignment w:val="center"/>
              <w:rPr>
                <w:rFonts w:ascii="仿宋" w:eastAsia="仿宋" w:cs="仿宋" w:hint="eastAsia"/>
                <w:color w:val="000000"/>
                <w:sz w:val="21"/>
                <w:szCs w:val="21"/>
              </w:rPr>
            </w:pPr>
            <w:r>
              <w:rPr>
                <w:rFonts w:ascii="仿宋" w:eastAsia="仿宋" w:cs="仿宋" w:hint="eastAsia"/>
                <w:color w:val="000000"/>
                <w:kern w:val="0"/>
                <w:sz w:val="21"/>
                <w:szCs w:val="21"/>
              </w:rPr>
              <w:t>措施</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numPr>
                <w:ilvl w:val="0"/>
                <w:numId w:val="2"/>
              </w:numPr>
              <w:jc w:val="left"/>
              <w:textAlignment w:val="center"/>
              <w:rPr>
                <w:rFonts w:ascii="仿宋" w:eastAsia="仿宋" w:cs="仿宋" w:hint="eastAsia"/>
                <w:sz w:val="21"/>
                <w:szCs w:val="21"/>
                <w:lang w:val="en-US" w:eastAsia="zh-CN"/>
              </w:rPr>
            </w:pPr>
            <w:r>
              <w:rPr>
                <w:rFonts w:ascii="仿宋" w:eastAsia="仿宋" w:cs="仿宋" w:hint="eastAsia"/>
                <w:sz w:val="21"/>
                <w:szCs w:val="21"/>
                <w:lang w:val="en-US" w:eastAsia="zh-CN"/>
              </w:rPr>
              <w:t>加强乡镇专职人员管理，进行业务培训。</w:t>
            </w:r>
          </w:p>
          <w:p>
            <w:pPr>
              <w:pStyle w:val="15"/>
              <w:numPr>
                <w:ilvl w:val="0"/>
                <w:numId w:val="2"/>
              </w:numPr>
              <w:rPr>
                <w:rFonts w:ascii="仿宋" w:eastAsia="仿宋" w:cs="仿宋" w:hint="eastAsia"/>
                <w:sz w:val="21"/>
                <w:szCs w:val="21"/>
                <w:lang w:val="en-US" w:eastAsia="zh-CN"/>
              </w:rPr>
            </w:pPr>
            <w:r>
              <w:rPr>
                <w:rFonts w:ascii="仿宋" w:eastAsia="仿宋" w:cs="仿宋" w:hint="eastAsia"/>
                <w:sz w:val="21"/>
                <w:szCs w:val="21"/>
                <w:lang w:val="en-US" w:eastAsia="zh-CN"/>
              </w:rPr>
              <w:t>加强系统维护，提高更新社保卡功能。</w:t>
            </w:r>
          </w:p>
        </w:tc>
      </w:tr>
      <w:tr>
        <w:trPr>
          <w:trHeight w:val="600"/>
        </w:trPr>
        <w:tc>
          <w:tcPr>
            <w:tcW w:w="545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hint="eastAsia"/>
                <w:color w:val="000000"/>
                <w:kern w:val="0"/>
                <w:sz w:val="21"/>
                <w:szCs w:val="21"/>
              </w:rPr>
            </w:pPr>
            <w:r>
              <w:rPr>
                <w:rFonts w:ascii="仿宋" w:eastAsia="仿宋" w:cs="仿宋" w:hint="eastAsia"/>
                <w:color w:val="000000"/>
                <w:kern w:val="0"/>
                <w:sz w:val="21"/>
                <w:szCs w:val="21"/>
              </w:rPr>
              <w:t>项目负责人：娜姆</w:t>
            </w:r>
          </w:p>
        </w:tc>
        <w:tc>
          <w:tcPr>
            <w:tcW w:w="402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 w:eastAsia="仿宋" w:cs="仿宋"/>
                <w:color w:val="000000"/>
                <w:kern w:val="0"/>
                <w:sz w:val="21"/>
                <w:szCs w:val="21"/>
                <w:lang w:val="en-US" w:eastAsia="zh-CN"/>
              </w:rPr>
            </w:pPr>
            <w:r>
              <w:rPr>
                <w:rFonts w:ascii="仿宋" w:eastAsia="仿宋" w:cs="仿宋" w:hint="eastAsia"/>
                <w:color w:val="000000"/>
                <w:kern w:val="0"/>
                <w:sz w:val="21"/>
                <w:szCs w:val="21"/>
              </w:rPr>
              <w:t>财务负责人：</w:t>
            </w:r>
            <w:r>
              <w:rPr>
                <w:rFonts w:ascii="仿宋" w:eastAsia="仿宋" w:cs="仿宋" w:hint="eastAsia"/>
                <w:color w:val="000000"/>
                <w:kern w:val="0"/>
                <w:sz w:val="21"/>
                <w:szCs w:val="21"/>
                <w:lang w:val="en-US" w:eastAsia="zh-CN"/>
              </w:rPr>
              <w:t>杨卫平</w:t>
            </w:r>
          </w:p>
        </w:tc>
      </w:tr>
    </w:tbl>
    <w:p>
      <w:pPr>
        <w:pStyle w:val="37"/>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ascii="仿宋" w:eastAsia="仿宋" w:cs="仿宋" w:hint="eastAsia"/>
          <w:b/>
          <w:bCs/>
          <w:color w:val="auto"/>
          <w:kern w:val="2"/>
          <w:sz w:val="32"/>
          <w:szCs w:val="32"/>
          <w:lang w:val="en-US" w:eastAsia="zh-CN"/>
          <w:highlight w:val="auto"/>
        </w:rPr>
      </w:pPr>
    </w:p>
    <w:p>
      <w:pPr>
        <w:pStyle w:val="37"/>
        <w:keepNext w:val="0"/>
        <w:keepLines w:val="0"/>
        <w:pageBreakBefore w:val="0"/>
        <w:widowControl w:val="0"/>
        <w:kinsoku/>
        <w:wordWrap/>
        <w:overflowPunct/>
        <w:topLinePunct w:val="0"/>
        <w:autoSpaceDE/>
        <w:autoSpaceDN/>
        <w:bidi w:val="0"/>
        <w:spacing w:line="578" w:lineRule="exact"/>
        <w:jc w:val="center"/>
        <w:textAlignment w:val="auto"/>
        <w:rPr>
          <w:rFonts w:ascii="方正小标宋_GBK" w:eastAsia="方正小标宋_GBK" w:cs="方正小标宋_GBK" w:hint="eastAsia"/>
          <w:b w:val="0"/>
          <w:bCs w:val="0"/>
          <w:color w:val="auto"/>
          <w:kern w:val="2"/>
          <w:sz w:val="44"/>
          <w:szCs w:val="44"/>
          <w:lang w:val="en-US" w:eastAsia="zh-CN"/>
          <w:highlight w:val="auto"/>
        </w:rPr>
      </w:pPr>
      <w:r>
        <w:rPr>
          <w:rFonts w:ascii="方正小标宋_GBK" w:eastAsia="方正小标宋_GBK" w:cs="方正小标宋_GBK" w:hint="eastAsia"/>
          <w:b w:val="0"/>
          <w:bCs w:val="0"/>
          <w:color w:val="auto"/>
          <w:kern w:val="2"/>
          <w:sz w:val="44"/>
          <w:szCs w:val="44"/>
          <w:lang w:val="en-US" w:eastAsia="zh-CN"/>
          <w:highlight w:val="auto"/>
        </w:rPr>
        <w:t>2022年壤塘县耕地地力保护补助资金</w:t>
      </w:r>
    </w:p>
    <w:p>
      <w:pPr>
        <w:pStyle w:val="37"/>
        <w:keepNext w:val="0"/>
        <w:keepLines w:val="0"/>
        <w:pageBreakBefore w:val="0"/>
        <w:widowControl w:val="0"/>
        <w:kinsoku/>
        <w:wordWrap/>
        <w:overflowPunct/>
        <w:topLinePunct w:val="0"/>
        <w:autoSpaceDE/>
        <w:autoSpaceDN/>
        <w:bidi w:val="0"/>
        <w:spacing w:line="578" w:lineRule="exact"/>
        <w:jc w:val="center"/>
        <w:textAlignment w:val="auto"/>
        <w:rPr>
          <w:rFonts w:ascii="方正小标宋_GBK" w:eastAsia="方正小标宋_GBK" w:cs="方正小标宋_GBK" w:hint="eastAsia"/>
          <w:b w:val="0"/>
          <w:bCs w:val="0"/>
          <w:color w:val="auto"/>
          <w:kern w:val="2"/>
          <w:sz w:val="44"/>
          <w:szCs w:val="44"/>
        </w:rPr>
      </w:pPr>
      <w:r>
        <w:rPr>
          <w:rFonts w:ascii="方正小标宋_GBK" w:eastAsia="方正小标宋_GBK" w:cs="方正小标宋_GBK" w:hint="eastAsia"/>
          <w:b w:val="0"/>
          <w:bCs w:val="0"/>
          <w:color w:val="auto"/>
          <w:kern w:val="2"/>
          <w:sz w:val="44"/>
          <w:szCs w:val="44"/>
          <w:lang w:val="en-US" w:eastAsia="zh-CN"/>
          <w:highlight w:val="auto"/>
        </w:rPr>
        <w:t>绩效自评报告</w:t>
      </w:r>
    </w:p>
    <w:p>
      <w:pPr>
        <w:adjustRightInd w:val="0"/>
        <w:snapToGrid w:val="0"/>
        <w:spacing w:line="560" w:lineRule="exact"/>
        <w:ind w:firstLine="720"/>
        <w:rPr>
          <w:rFonts w:ascii="仿宋" w:eastAsia="仿宋" w:cs="仿宋" w:hint="eastAsia"/>
          <w:b/>
          <w:bCs/>
          <w:sz w:val="32"/>
          <w:szCs w:val="32"/>
        </w:rPr>
      </w:pPr>
    </w:p>
    <w:p>
      <w:pPr>
        <w:adjustRightInd w:val="0"/>
        <w:snapToGrid w:val="0"/>
        <w:spacing w:line="560" w:lineRule="exact"/>
        <w:ind w:firstLine="720"/>
        <w:rPr>
          <w:rFonts w:ascii="黑体" w:eastAsia="黑体" w:cs="黑体" w:hint="eastAsia"/>
          <w:b w:val="0"/>
          <w:bCs w:val="0"/>
          <w:sz w:val="32"/>
          <w:szCs w:val="32"/>
          <w:lang w:val="zh-CN"/>
        </w:rPr>
      </w:pPr>
      <w:r>
        <w:rPr>
          <w:rFonts w:ascii="黑体" w:eastAsia="黑体" w:cs="黑体" w:hint="eastAsia"/>
          <w:b w:val="0"/>
          <w:bCs w:val="0"/>
          <w:sz w:val="32"/>
          <w:szCs w:val="32"/>
        </w:rPr>
        <w:t>一、</w:t>
      </w:r>
      <w:r>
        <w:rPr>
          <w:rFonts w:ascii="黑体" w:eastAsia="黑体" w:cs="黑体" w:hint="eastAsia"/>
          <w:b w:val="0"/>
          <w:bCs w:val="0"/>
          <w:sz w:val="32"/>
          <w:szCs w:val="32"/>
          <w:lang w:val="zh-CN"/>
        </w:rPr>
        <w:t>项目概况</w:t>
      </w:r>
    </w:p>
    <w:p>
      <w:pPr>
        <w:adjustRightInd w:val="0"/>
        <w:snapToGrid w:val="0"/>
        <w:spacing w:line="560" w:lineRule="exact"/>
        <w:ind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（一）项目基本情况</w:t>
      </w:r>
    </w:p>
    <w:p>
      <w:pPr>
        <w:widowControl/>
        <w:adjustRightInd w:val="0"/>
        <w:snapToGrid w:val="0"/>
        <w:spacing w:line="560" w:lineRule="exact"/>
        <w:ind w:firstLineChars="200" w:firstLine="640"/>
        <w:contextualSpacing/>
        <w:jc w:val="left"/>
        <w:rPr>
          <w:rFonts w:ascii="仿宋_GB2312" w:eastAsia="仿宋_GB2312" w:cs="仿宋_GB2312" w:hint="eastAsia"/>
          <w:sz w:val="32"/>
          <w:szCs w:val="32"/>
        </w:rPr>
      </w:pPr>
      <w:r>
        <w:rPr>
          <w:rFonts w:ascii="仿宋" w:eastAsia="仿宋" w:cs="仿宋" w:hint="eastAsia"/>
          <w:b/>
          <w:bCs/>
          <w:sz w:val="32"/>
          <w:szCs w:val="32"/>
        </w:rPr>
        <w:t>1</w:t>
      </w:r>
      <w:r>
        <w:rPr>
          <w:rFonts w:ascii="仿宋" w:eastAsia="仿宋" w:cs="仿宋" w:hint="eastAsia"/>
          <w:b/>
          <w:bCs/>
          <w:sz w:val="32"/>
          <w:szCs w:val="32"/>
          <w:lang w:val="en-US" w:eastAsia="zh-CN"/>
        </w:rPr>
        <w:t>.</w:t>
      </w:r>
      <w:r>
        <w:rPr>
          <w:rFonts w:ascii="仿宋_GB2312" w:eastAsia="仿宋_GB2312" w:cs="仿宋_GB2312" w:hint="eastAsia"/>
          <w:sz w:val="32"/>
          <w:szCs w:val="32"/>
        </w:rPr>
        <w:t>负责审核、汇总耕地地力保护补贴面积和补贴对象身份等基础数据及负面清单中与其职能相关的数据，提出资金安排建议，负责补贴项目组织实施和监督，负责绩效评价等工作。</w:t>
      </w:r>
    </w:p>
    <w:p>
      <w:pPr>
        <w:spacing w:line="560" w:lineRule="exact"/>
        <w:ind w:firstLineChars="200" w:firstLine="640"/>
        <w:rPr>
          <w:rFonts w:ascii="仿宋_GB2312" w:eastAsia="仿宋_GB2312" w:cs="仿宋_GB2312" w:hint="eastAsia"/>
          <w:sz w:val="32"/>
          <w:szCs w:val="32"/>
        </w:rPr>
      </w:pPr>
      <w:r>
        <w:rPr>
          <w:rFonts w:ascii="仿宋" w:eastAsia="仿宋" w:cs="仿宋" w:hint="eastAsia"/>
          <w:b/>
          <w:bCs/>
          <w:sz w:val="32"/>
          <w:szCs w:val="32"/>
        </w:rPr>
        <w:t>2</w:t>
      </w:r>
      <w:r>
        <w:rPr>
          <w:rFonts w:ascii="仿宋" w:eastAsia="仿宋" w:cs="仿宋" w:hint="eastAsia"/>
          <w:b/>
          <w:bCs/>
          <w:sz w:val="32"/>
          <w:szCs w:val="32"/>
          <w:lang w:val="en-US" w:eastAsia="zh-CN"/>
        </w:rPr>
        <w:t>.</w:t>
      </w:r>
      <w:r>
        <w:rPr>
          <w:rFonts w:ascii="仿宋_GB2312" w:eastAsia="仿宋_GB2312" w:cs="仿宋_GB2312" w:hint="eastAsia"/>
          <w:sz w:val="32"/>
          <w:szCs w:val="32"/>
        </w:rPr>
        <w:t>根据《阿坝州财政局 阿坝州农业农村局〈关于提前下达2022年中央财政农业生产发展资金（耕地地力保护补贴方向）的通知〉》（阿州财农〔2021〕99号）的文件下达2022年中央财政农业生产发展资金202.26万元，实际到位资金202.26万元，资金到位率100%。</w:t>
      </w:r>
    </w:p>
    <w:p>
      <w:pPr>
        <w:widowControl/>
        <w:adjustRightInd w:val="0"/>
        <w:snapToGrid w:val="0"/>
        <w:spacing w:line="560" w:lineRule="exact"/>
        <w:ind w:firstLineChars="200" w:firstLine="640"/>
        <w:contextualSpacing/>
        <w:jc w:val="left"/>
        <w:rPr>
          <w:rFonts w:ascii="仿宋_GB2312" w:eastAsia="仿宋_GB2312" w:cs="仿宋_GB2312" w:hint="eastAsia"/>
          <w:sz w:val="32"/>
          <w:szCs w:val="32"/>
        </w:rPr>
      </w:pPr>
      <w:r>
        <w:rPr>
          <w:rFonts w:ascii="仿宋" w:eastAsia="仿宋" w:cs="仿宋" w:hint="eastAsia"/>
          <w:b/>
          <w:bCs/>
          <w:sz w:val="32"/>
          <w:szCs w:val="32"/>
        </w:rPr>
        <w:t>3</w:t>
      </w:r>
      <w:r>
        <w:rPr>
          <w:rFonts w:ascii="仿宋" w:eastAsia="仿宋" w:cs="仿宋" w:hint="eastAsia"/>
          <w:b/>
          <w:bCs/>
          <w:sz w:val="32"/>
          <w:szCs w:val="32"/>
          <w:lang w:val="en-US" w:eastAsia="zh-CN"/>
        </w:rPr>
        <w:t>.</w:t>
      </w:r>
      <w:r>
        <w:rPr>
          <w:rFonts w:ascii="仿宋_GB2312" w:eastAsia="仿宋_GB2312" w:cs="仿宋_GB2312" w:hint="eastAsia"/>
          <w:sz w:val="32"/>
          <w:szCs w:val="32"/>
        </w:rPr>
        <w:t>根据《四川省农业厅 四川省财政厅关于印发</w:t>
      </w:r>
      <w:r>
        <w:rPr>
          <w:rFonts w:ascii="仿宋_GB2312" w:eastAsia="仿宋_GB2312" w:cs="仿宋_GB2312" w:hint="eastAsia"/>
          <w:sz w:val="32"/>
          <w:szCs w:val="32"/>
          <w:lang w:eastAsia="zh-CN"/>
        </w:rPr>
        <w:t>〈</w:t>
      </w:r>
      <w:r>
        <w:rPr>
          <w:rFonts w:ascii="仿宋_GB2312" w:eastAsia="仿宋_GB2312" w:cs="仿宋_GB2312" w:hint="eastAsia"/>
          <w:sz w:val="32"/>
          <w:szCs w:val="32"/>
        </w:rPr>
        <w:t>四川省调整完善农业三项补贴政策实施方案</w:t>
      </w:r>
      <w:r>
        <w:rPr>
          <w:rFonts w:ascii="仿宋_GB2312" w:eastAsia="仿宋_GB2312" w:cs="仿宋_GB2312" w:hint="eastAsia"/>
          <w:sz w:val="32"/>
          <w:szCs w:val="32"/>
          <w:lang w:eastAsia="zh-CN"/>
        </w:rPr>
        <w:t>〉</w:t>
      </w:r>
      <w:r>
        <w:rPr>
          <w:rFonts w:ascii="仿宋_GB2312" w:eastAsia="仿宋_GB2312" w:cs="仿宋_GB2312" w:hint="eastAsia"/>
          <w:sz w:val="32"/>
          <w:szCs w:val="32"/>
        </w:rPr>
        <w:t>的通知》（川农业〔2015〕50号）和《阿坝州财政局 阿坝州农业农村局〈关于提前下达2022年中央财政农业生产发展资金（耕地地力保护补贴方向）的通知〉》（阿州财农〔2021〕99号）文件的要求，及时制定了《壤塘县2022年耕地地力保护补贴实施方案》，并下发至各乡镇，积极组织实施。为增强农业补贴政策精准性、指向性和实效性，提高农业补贴政策效能。2022年，中央财政相关农业专项资金——耕地地力保护补贴下达实施耕地地力保护补贴35136.64亩补贴标准57.56元/亩，投入资金202.26万元。项目实施过程中，均按照项目管理要求强化项目资金的管理和使用，严格报账制度，完善报账手续，注重单据的合法性和附件的完整性，并实行多级审核。项目资金实行专账管理，保证专款专用，资金使用过程中无挤占、截留、挪用的现象。</w:t>
      </w:r>
    </w:p>
    <w:p>
      <w:pPr>
        <w:adjustRightInd w:val="0"/>
        <w:snapToGrid w:val="0"/>
        <w:spacing w:line="560" w:lineRule="exact"/>
        <w:ind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（二）项目绩效目标</w:t>
      </w:r>
    </w:p>
    <w:p>
      <w:pPr>
        <w:autoSpaceDE w:val="0"/>
        <w:spacing w:line="560" w:lineRule="exact"/>
        <w:ind w:firstLineChars="200" w:firstLine="640"/>
        <w:jc w:val="left"/>
        <w:rPr>
          <w:rFonts w:ascii="仿宋_GB2312" w:eastAsia="仿宋_GB2312" w:cs="仿宋_GB2312" w:hint="eastAsia"/>
          <w:sz w:val="32"/>
          <w:szCs w:val="32"/>
        </w:rPr>
      </w:pPr>
      <w:r>
        <w:rPr>
          <w:rFonts w:ascii="仿宋" w:eastAsia="仿宋" w:cs="仿宋" w:hint="eastAsia"/>
          <w:sz w:val="32"/>
          <w:szCs w:val="32"/>
        </w:rPr>
        <w:t>1</w:t>
      </w:r>
      <w:r>
        <w:rPr>
          <w:rFonts w:ascii="仿宋" w:eastAsia="仿宋" w:cs="仿宋" w:hint="eastAsia"/>
          <w:sz w:val="32"/>
          <w:szCs w:val="32"/>
          <w:lang w:val="en-US" w:eastAsia="zh-CN"/>
        </w:rPr>
        <w:t>.</w:t>
      </w:r>
      <w:r>
        <w:rPr>
          <w:rFonts w:ascii="仿宋_GB2312" w:eastAsia="仿宋_GB2312" w:cs="仿宋_GB2312" w:hint="eastAsia"/>
          <w:sz w:val="32"/>
          <w:szCs w:val="32"/>
        </w:rPr>
        <w:t>耕地地力保护补贴补贴范围为全县拥有耕地承包权的种地农民，耕地地力保护补贴与耕地面积挂钩，耕地面积的核定，以土地确权面积为基础，按排除法进行调整。对已作为畜牧养殖场使用的耕地、林地、成片粮田转为设施农业用地、非农业征（占）用耕地等已改变用途的耕地，以及长年抛荒地、占补平衡中“补”的面积和质量达不到耕种条件的耕地、国有农（林、茶、桑）场、科研院所、农村集体等单位未发包耕地（含自留地）等不纳入补贴范围。</w:t>
      </w:r>
    </w:p>
    <w:p>
      <w:pPr>
        <w:spacing w:line="560" w:lineRule="exact"/>
        <w:ind w:firstLineChars="200" w:firstLine="640"/>
        <w:rPr>
          <w:rFonts w:ascii="仿宋_GB2312" w:eastAsia="仿宋_GB2312" w:cs="仿宋_GB2312" w:hint="eastAsia"/>
          <w:sz w:val="32"/>
          <w:szCs w:val="32"/>
        </w:rPr>
      </w:pPr>
      <w:r>
        <w:rPr>
          <w:rFonts w:ascii="仿宋" w:eastAsia="仿宋" w:cs="仿宋" w:hint="eastAsia"/>
          <w:sz w:val="32"/>
          <w:szCs w:val="32"/>
        </w:rPr>
        <w:t>2</w:t>
      </w:r>
      <w:r>
        <w:rPr>
          <w:rFonts w:ascii="仿宋" w:eastAsia="仿宋" w:cs="仿宋" w:hint="eastAsia"/>
          <w:sz w:val="32"/>
          <w:szCs w:val="32"/>
          <w:lang w:val="en-US" w:eastAsia="zh-CN"/>
        </w:rPr>
        <w:t>.</w:t>
      </w:r>
      <w:r>
        <w:rPr>
          <w:rFonts w:ascii="仿宋_GB2312" w:eastAsia="仿宋_GB2312" w:cs="仿宋_GB2312" w:hint="eastAsia"/>
          <w:sz w:val="32"/>
          <w:szCs w:val="32"/>
        </w:rPr>
        <w:t>完成全县11个乡镇“耕地地力保护补贴”政策资金兑现，享受补贴的农民做到无耕地撂荒，地力不降低。全县最终确认核实耕地地力保护补贴面积35136.64亩，惠及农户4718户，补贴标准57.56元/亩，兑现资金202.26万元。</w:t>
      </w:r>
    </w:p>
    <w:p>
      <w:pPr>
        <w:adjustRightInd w:val="0"/>
        <w:snapToGrid w:val="0"/>
        <w:spacing w:line="560" w:lineRule="exact"/>
        <w:ind w:firstLine="720"/>
        <w:rPr>
          <w:rFonts w:ascii="黑体" w:eastAsia="黑体" w:cs="黑体" w:hint="eastAsia"/>
          <w:b w:val="0"/>
          <w:bCs w:val="0"/>
          <w:sz w:val="32"/>
          <w:szCs w:val="32"/>
        </w:rPr>
      </w:pPr>
      <w:r>
        <w:rPr>
          <w:rFonts w:ascii="黑体" w:eastAsia="黑体" w:cs="黑体" w:hint="eastAsia"/>
          <w:b w:val="0"/>
          <w:bCs w:val="0"/>
          <w:sz w:val="32"/>
          <w:szCs w:val="32"/>
        </w:rPr>
        <w:t>二、项目资金申报及使用情况</w:t>
      </w:r>
    </w:p>
    <w:p>
      <w:pPr>
        <w:adjustRightInd w:val="0"/>
        <w:snapToGrid w:val="0"/>
        <w:spacing w:line="560" w:lineRule="exact"/>
        <w:ind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根据《阿坝州财政局 阿坝州农业农村局〈关于提前下达2022年中央财政农业生产发展资金（耕地地力保护补贴方向）的通知〉》（阿州财农〔2021〕99号），下达2022年中央财政农业生产发展资金202.26万元，实际到位资金202.26万元，用于补贴耕地地力保护。完成全县11个乡镇“耕地地力保护补贴”35136.64亩，补贴农户4718户。</w:t>
      </w:r>
    </w:p>
    <w:p>
      <w:pPr>
        <w:adjustRightInd w:val="0"/>
        <w:snapToGrid w:val="0"/>
        <w:spacing w:line="560" w:lineRule="exact"/>
        <w:ind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b/>
          <w:bCs/>
          <w:sz w:val="32"/>
          <w:szCs w:val="32"/>
        </w:rPr>
        <w:t>1</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rPr>
        <w:t>资金投入情况分析。</w:t>
      </w:r>
      <w:r>
        <w:rPr>
          <w:rFonts w:ascii="仿宋_GB2312" w:eastAsia="仿宋_GB2312" w:cs="仿宋_GB2312" w:hint="eastAsia"/>
          <w:sz w:val="32"/>
          <w:szCs w:val="32"/>
        </w:rPr>
        <w:t>根据《阿坝州财政局 阿坝州农业农村局〈关于提前下达2022年中央财政农业生产发展资金（耕地地力保护补贴方向）的通知〉》（阿州财农〔2021〕99号）的文件下达2022年中央财政农业生产发展资金202.26万元，实际到位资金202.26万元，资金到位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b/>
          <w:bCs/>
          <w:sz w:val="32"/>
          <w:szCs w:val="32"/>
        </w:rPr>
        <w:t>2、资金管理情况分析。</w:t>
      </w:r>
      <w:r>
        <w:rPr>
          <w:rFonts w:ascii="仿宋_GB2312" w:eastAsia="仿宋_GB2312" w:cs="仿宋_GB2312" w:hint="eastAsia"/>
          <w:sz w:val="32"/>
          <w:szCs w:val="32"/>
        </w:rPr>
        <w:t>根据《四川省农业厅 四川省财政厅关于印发</w:t>
      </w:r>
      <w:r>
        <w:rPr>
          <w:rFonts w:ascii="仿宋_GB2312" w:eastAsia="仿宋_GB2312" w:cs="仿宋_GB2312" w:hint="eastAsia"/>
          <w:sz w:val="32"/>
          <w:szCs w:val="32"/>
          <w:lang w:eastAsia="zh-CN"/>
        </w:rPr>
        <w:t>〈</w:t>
      </w:r>
      <w:r>
        <w:rPr>
          <w:rFonts w:ascii="仿宋_GB2312" w:eastAsia="仿宋_GB2312" w:cs="仿宋_GB2312" w:hint="eastAsia"/>
          <w:sz w:val="32"/>
          <w:szCs w:val="32"/>
        </w:rPr>
        <w:t>四川省调整完善农业三项补贴政策实施方案</w:t>
      </w:r>
      <w:r>
        <w:rPr>
          <w:rFonts w:ascii="仿宋_GB2312" w:eastAsia="仿宋_GB2312" w:cs="仿宋_GB2312" w:hint="eastAsia"/>
          <w:sz w:val="32"/>
          <w:szCs w:val="32"/>
          <w:lang w:eastAsia="zh-CN"/>
        </w:rPr>
        <w:t>〉</w:t>
      </w:r>
      <w:r>
        <w:rPr>
          <w:rFonts w:ascii="仿宋_GB2312" w:eastAsia="仿宋_GB2312" w:cs="仿宋_GB2312" w:hint="eastAsia"/>
          <w:sz w:val="32"/>
          <w:szCs w:val="32"/>
        </w:rPr>
        <w:t>的通知》（川农业〔2015〕50号）和《阿坝州财政局 阿坝州农业农村局〈关于提前下达2022年中央财政农业生产发展资金（耕地地力保护补贴方向）的通知〉》（阿州财农〔2021〕99号）文件的要求，及时制定了《壤塘县2022年耕地地力保护补贴实施方案》，并下发至各乡镇，积极组织实施。为增强农业补贴政策精准性、指向性和实效性，提高农业补贴政策效能。2022年，中央财政相关农业专项资金——耕地地力保护补贴下达实施耕地地力保护补贴35136.64亩补贴标准57.56元/亩，投入资金202.26万元。项目实施过程中，均按照项目管理要求强化项目资金的管理和使用，严格报账制度，完善报账手续，注重单据的合法性和附件的完整性，并实行多级审核。项目资金实行专账管理，保证专款专用，资金使用过程中无挤占、截留、挪用的现象。</w:t>
      </w:r>
    </w:p>
    <w:p>
      <w:pPr>
        <w:adjustRightInd w:val="0"/>
        <w:snapToGrid w:val="0"/>
        <w:spacing w:line="560" w:lineRule="exact"/>
        <w:ind w:firstLine="720"/>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（三）项目财务管理情况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2022年耕地地力保护补贴转移支付项目资金严格按照《财政部关于印发</w:t>
      </w:r>
      <w:r>
        <w:rPr>
          <w:rFonts w:ascii="仿宋_GB2312" w:eastAsia="仿宋_GB2312" w:cs="仿宋_GB2312" w:hint="eastAsia"/>
          <w:sz w:val="32"/>
          <w:szCs w:val="32"/>
          <w:lang w:eastAsia="zh-CN"/>
        </w:rPr>
        <w:t>〈</w:t>
      </w:r>
      <w:r>
        <w:rPr>
          <w:rFonts w:ascii="仿宋_GB2312" w:eastAsia="仿宋_GB2312" w:cs="仿宋_GB2312" w:hint="eastAsia"/>
          <w:sz w:val="32"/>
          <w:szCs w:val="32"/>
        </w:rPr>
        <w:t>农业生产发展资金管理办法</w:t>
      </w:r>
      <w:r>
        <w:rPr>
          <w:rFonts w:ascii="仿宋_GB2312" w:eastAsia="仿宋_GB2312" w:cs="仿宋_GB2312" w:hint="eastAsia"/>
          <w:sz w:val="32"/>
          <w:szCs w:val="32"/>
          <w:lang w:eastAsia="zh-CN"/>
        </w:rPr>
        <w:t>〉</w:t>
      </w:r>
      <w:r>
        <w:rPr>
          <w:rFonts w:ascii="仿宋_GB2312" w:eastAsia="仿宋_GB2312" w:cs="仿宋_GB2312" w:hint="eastAsia"/>
          <w:sz w:val="32"/>
          <w:szCs w:val="32"/>
        </w:rPr>
        <w:t>的通知》管理使用，做到项目资金的专款专用。项目资金实行专账管理，财务管理制度健全，财务制度执行良好。会计核算真实完整，项目资金支出和预算批复用途相符，支出符合国家财经法规和财务管理制度规定。资金拨付程序规范，资产管理制度健全。定期对项目资金使用情况进行检查，严格确保项目质量。</w:t>
      </w:r>
    </w:p>
    <w:p>
      <w:pPr>
        <w:adjustRightInd w:val="0"/>
        <w:snapToGrid w:val="0"/>
        <w:spacing w:line="560" w:lineRule="exact"/>
        <w:ind w:firstLine="720"/>
        <w:rPr>
          <w:rFonts w:ascii="黑体" w:eastAsia="黑体" w:cs="黑体" w:hint="eastAsia"/>
          <w:b w:val="0"/>
          <w:bCs w:val="0"/>
          <w:sz w:val="32"/>
          <w:szCs w:val="32"/>
        </w:rPr>
      </w:pPr>
      <w:r>
        <w:rPr>
          <w:rFonts w:ascii="黑体" w:eastAsia="黑体" w:cs="黑体" w:hint="eastAsia"/>
          <w:b w:val="0"/>
          <w:bCs w:val="0"/>
          <w:sz w:val="32"/>
          <w:szCs w:val="32"/>
        </w:rPr>
        <w:t>三、项目实施及管理情况</w:t>
      </w:r>
    </w:p>
    <w:p>
      <w:pPr>
        <w:autoSpaceDE w:val="0"/>
        <w:spacing w:line="560" w:lineRule="exact"/>
        <w:ind w:firstLineChars="200" w:firstLine="640"/>
        <w:jc w:val="left"/>
        <w:rPr>
          <w:rFonts w:ascii="仿宋_GB2312" w:eastAsia="仿宋_GB2312" w:cs="仿宋_GB2312" w:hint="eastAsia"/>
          <w:sz w:val="32"/>
          <w:szCs w:val="32"/>
        </w:rPr>
      </w:pPr>
      <w:r>
        <w:rPr>
          <w:rFonts w:ascii="楷体_GB2312" w:eastAsia="楷体_GB2312" w:cs="楷体_GB2312" w:hint="eastAsia"/>
          <w:b/>
          <w:bCs/>
          <w:sz w:val="32"/>
          <w:szCs w:val="32"/>
          <w:lang w:val="zh-CN"/>
        </w:rPr>
        <w:t>（一）建立组织机构。</w:t>
      </w:r>
      <w:r>
        <w:rPr>
          <w:rFonts w:ascii="仿宋_GB2312" w:eastAsia="仿宋_GB2312" w:cs="仿宋_GB2312" w:hint="eastAsia"/>
          <w:sz w:val="32"/>
          <w:szCs w:val="32"/>
        </w:rPr>
        <w:t>成立2022年壤塘县耕地地力保护补贴政策实施领导小组，负责制定实施方案、确定补贴标准、组织核实补贴面积、兑付资金、委托代理发放机构、监督检查及信访等工作。领导小组成员单位要明确分工，落实责任，密切配合，形成合力推动补贴工作顺利实施。</w:t>
      </w:r>
    </w:p>
    <w:p>
      <w:pPr>
        <w:autoSpaceDE w:val="0"/>
        <w:spacing w:line="560" w:lineRule="exact"/>
        <w:ind w:firstLineChars="200" w:firstLine="640"/>
        <w:jc w:val="left"/>
        <w:rPr>
          <w:rFonts w:ascii="仿宋_GB2312" w:eastAsia="仿宋_GB2312" w:cs="仿宋_GB2312" w:hint="eastAsia"/>
          <w:sz w:val="32"/>
          <w:szCs w:val="32"/>
        </w:rPr>
      </w:pPr>
      <w:r>
        <w:rPr>
          <w:rFonts w:ascii="楷体_GB2312" w:eastAsia="楷体_GB2312" w:cs="楷体_GB2312" w:hint="eastAsia"/>
          <w:b/>
          <w:bCs/>
          <w:sz w:val="32"/>
          <w:szCs w:val="32"/>
          <w:lang w:val="zh-CN"/>
        </w:rPr>
        <w:t>（二）严格监督检查。</w:t>
      </w:r>
      <w:r>
        <w:rPr>
          <w:rFonts w:ascii="仿宋_GB2312" w:eastAsia="仿宋_GB2312" w:cs="仿宋_GB2312" w:hint="eastAsia"/>
          <w:sz w:val="32"/>
          <w:szCs w:val="32"/>
        </w:rPr>
        <w:t>各部门要严格执行政策，强化补贴工作项目管理。补贴资金要专款专用，切实按照国家规定严格使用。任何地方、单位和个人都不得以任何形式和理由套取、挤占、挪用补贴资金。凡违规操作和套取、挤占、挪用补贴资金的，一经查实将按照有关规定严肃处理，并视其情节追究有关单位、领导和当事人的责任。（县财政局举报电话：0837-2378302；县科学技术和农业畜牧局举报电话：0837-2376258）。</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楷体_GB2312" w:eastAsia="楷体_GB2312" w:cs="楷体_GB2312" w:hint="eastAsia"/>
          <w:b/>
          <w:bCs/>
          <w:sz w:val="32"/>
          <w:szCs w:val="32"/>
          <w:lang w:val="zh-CN"/>
        </w:rPr>
        <w:t>（三）加强宣传培训。</w:t>
      </w:r>
      <w:r>
        <w:rPr>
          <w:rFonts w:ascii="仿宋_GB2312" w:eastAsia="仿宋_GB2312" w:cs="仿宋_GB2312" w:hint="eastAsia"/>
          <w:sz w:val="32"/>
          <w:szCs w:val="32"/>
          <w:lang w:val="zh-CN"/>
        </w:rPr>
        <w:t>县</w:t>
      </w:r>
      <w:r>
        <w:rPr>
          <w:rFonts w:ascii="仿宋_GB2312" w:eastAsia="仿宋_GB2312" w:cs="仿宋_GB2312" w:hint="eastAsia"/>
          <w:sz w:val="32"/>
          <w:szCs w:val="32"/>
        </w:rPr>
        <w:t>科农牧、财政、宣传等部门要及时通过各种媒体向广大农民、基层干部，深入、持久宣传耕地地力保护补贴政策和有关要求，各乡（镇）人民政府要将耕地地力保护补贴政策宣传到村组、到农户，让基层干部和农民充分了解政策精神实质和主要内容，充分调动农民生产积极性，营造良好社会氛围，推动补贴工作的顺利开展。同时，要加强直接参与政策宣传和操作落实有关人员的培训，明确政策在补贴对象、面积认定、操作方式等方面的调整变化，确保政策落到实处。</w:t>
      </w:r>
    </w:p>
    <w:p>
      <w:pPr>
        <w:adjustRightInd w:val="0"/>
        <w:snapToGrid w:val="0"/>
        <w:spacing w:line="560" w:lineRule="exact"/>
        <w:ind w:firstLine="720"/>
        <w:rPr>
          <w:rFonts w:ascii="黑体" w:eastAsia="黑体" w:cs="黑体" w:hint="eastAsia"/>
          <w:b w:val="0"/>
          <w:bCs w:val="0"/>
          <w:sz w:val="32"/>
          <w:szCs w:val="32"/>
          <w:lang w:val="zh-CN"/>
        </w:rPr>
      </w:pPr>
      <w:r>
        <w:rPr>
          <w:rFonts w:ascii="黑体" w:eastAsia="黑体" w:cs="黑体" w:hint="eastAsia"/>
          <w:b w:val="0"/>
          <w:bCs w:val="0"/>
          <w:sz w:val="32"/>
          <w:szCs w:val="32"/>
        </w:rPr>
        <w:t>四、项目绩效情况</w:t>
      </w:r>
      <w:r>
        <w:rPr>
          <w:rFonts w:ascii="黑体" w:eastAsia="黑体" w:cs="黑体" w:hint="eastAsia"/>
          <w:b w:val="0"/>
          <w:bCs w:val="0"/>
          <w:sz w:val="32"/>
          <w:szCs w:val="32"/>
          <w:lang w:val="zh-CN"/>
        </w:rPr>
        <w:tab/>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（一）项目完成情况</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（1）数量指标。</w:t>
      </w:r>
      <w:r>
        <w:rPr>
          <w:rFonts w:ascii="仿宋_GB2312" w:eastAsia="仿宋_GB2312" w:cs="仿宋_GB2312" w:hint="eastAsia"/>
          <w:sz w:val="32"/>
          <w:szCs w:val="32"/>
        </w:rPr>
        <w:t>计划实施11个乡镇，实际完成11个乡镇。根据各乡镇耕地实际统计公示核实，我县2022年完善农业耕地地力补贴面积35136.64亩，补贴农户4718户完成率100%，确定补贴标准57.56元/亩，实际兑现资金202.26万元。其中蒲西乡兑现面积3152.95亩、惠及423户、发放补贴资金181493.17元，吾依乡兑现面积4772.87亩、惠及450户、发放补贴资金274740.69元，石里乡兑现面积2507亩、惠及340户、发放补贴资金144310.54元，上杜柯乡兑现面积2722.15亩、惠及340户、发放补贴资金156695.12元，尕多乡兑现面积5254.39亩、惠及627户、发放补贴资金302442.73元，上壤塘乡兑现面积1058.87亩、惠及182户、发放补贴资金60951.77元，茸木达乡兑现面积2419.33亩、惠及436户、发放补贴资金139263.78元，宗科乡兑现面积4222.78亩、惠及565户、发放补贴资金243075.93元，南木达乡兑现面积3961.71亩、惠及524户、发放补贴资金258047.87元，中壤塘乡兑现面积1318亩、惠及311户、发放补贴资金75868.13元，岗木达乡兑现面积3746.59亩、惠及520户、发放补贴资金215664.98元。</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（2）质量指标。</w:t>
      </w:r>
      <w:r>
        <w:rPr>
          <w:rFonts w:ascii="仿宋_GB2312" w:eastAsia="仿宋_GB2312" w:cs="仿宋_GB2312" w:hint="eastAsia"/>
          <w:sz w:val="32"/>
          <w:szCs w:val="32"/>
        </w:rPr>
        <w:t>资金发放</w:t>
      </w:r>
      <w:r>
        <w:rPr>
          <w:rFonts w:ascii="仿宋_GB2312" w:eastAsia="仿宋_GB2312" w:cs="仿宋_GB2312" w:hint="eastAsia"/>
          <w:sz w:val="32"/>
          <w:szCs w:val="32"/>
          <w:lang w:eastAsia="zh-CN"/>
        </w:rPr>
        <w:t>通过</w:t>
      </w:r>
      <w:r>
        <w:rPr>
          <w:rFonts w:ascii="仿宋_GB2312" w:eastAsia="仿宋_GB2312" w:cs="仿宋_GB2312" w:hint="eastAsia"/>
          <w:sz w:val="32"/>
          <w:szCs w:val="32"/>
        </w:rPr>
        <w:t>“一卡通”发放，补贴对象审核准确性，符合条件的农户100%发放；补贴面积审核准确性，不符合条件的耕地均不予补贴；补贴资金发放程序规范性严格按照自治区和横县实施方案要求发放。</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（3）时效指标。</w:t>
      </w:r>
      <w:r>
        <w:rPr>
          <w:rFonts w:ascii="仿宋_GB2312" w:eastAsia="仿宋_GB2312" w:cs="仿宋_GB2312" w:hint="eastAsia"/>
          <w:sz w:val="32"/>
          <w:szCs w:val="32"/>
        </w:rPr>
        <w:t>6月30日以前组织兑现。完成绩效指标。</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（4）成本指标。</w:t>
      </w:r>
      <w:r>
        <w:rPr>
          <w:rFonts w:ascii="仿宋_GB2312" w:eastAsia="仿宋_GB2312" w:cs="仿宋_GB2312" w:hint="eastAsia"/>
          <w:sz w:val="32"/>
          <w:szCs w:val="32"/>
        </w:rPr>
        <w:t>农作物种植补贴标准57.56元/亩。补贴完成绩效指标任务。</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楷体_GB2312" w:eastAsia="楷体_GB2312" w:cs="楷体_GB2312" w:hint="eastAsia"/>
          <w:b/>
          <w:bCs/>
          <w:sz w:val="32"/>
          <w:szCs w:val="32"/>
          <w:lang w:val="zh-CN"/>
        </w:rPr>
      </w:pPr>
      <w:r>
        <w:rPr>
          <w:rFonts w:ascii="楷体_GB2312" w:eastAsia="楷体_GB2312" w:cs="楷体_GB2312" w:hint="eastAsia"/>
          <w:b/>
          <w:bCs/>
          <w:sz w:val="32"/>
          <w:szCs w:val="32"/>
          <w:lang w:val="zh-CN"/>
        </w:rPr>
        <w:t>（二）项目效益情况</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lang w:eastAsia="zh-CN"/>
        </w:rPr>
      </w:pPr>
      <w:r>
        <w:rPr>
          <w:rFonts w:ascii="仿宋_GB2312" w:eastAsia="仿宋_GB2312" w:cs="仿宋_GB2312" w:hint="eastAsia"/>
          <w:b/>
          <w:bCs/>
          <w:sz w:val="32"/>
          <w:szCs w:val="32"/>
        </w:rPr>
        <w:t>1</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rPr>
        <w:t>经济效益</w:t>
      </w:r>
      <w:r>
        <w:rPr>
          <w:rFonts w:ascii="仿宋_GB2312" w:eastAsia="仿宋_GB2312" w:cs="仿宋_GB2312" w:hint="eastAsia"/>
          <w:b/>
          <w:bCs/>
          <w:sz w:val="32"/>
          <w:szCs w:val="32"/>
          <w:lang w:eastAsia="zh-CN"/>
        </w:rPr>
        <w:t>：</w:t>
      </w:r>
      <w:r>
        <w:rPr>
          <w:rFonts w:ascii="仿宋_GB2312" w:eastAsia="仿宋_GB2312" w:cs="仿宋_GB2312" w:hint="eastAsia"/>
          <w:sz w:val="32"/>
          <w:szCs w:val="32"/>
        </w:rPr>
        <w:t>绩效指标任务36100.71亩，实际农作物播面面积36220亩</w:t>
      </w:r>
      <w:r>
        <w:rPr>
          <w:rFonts w:ascii="仿宋_GB2312" w:eastAsia="仿宋_GB2312" w:cs="仿宋_GB2312" w:hint="eastAsia"/>
          <w:sz w:val="32"/>
          <w:szCs w:val="32"/>
          <w:lang w:eastAsia="zh-CN"/>
        </w:rPr>
        <w:t>，</w:t>
      </w:r>
      <w:r>
        <w:rPr>
          <w:rFonts w:ascii="仿宋_GB2312" w:eastAsia="仿宋_GB2312" w:cs="仿宋_GB2312" w:hint="eastAsia"/>
          <w:sz w:val="32"/>
          <w:szCs w:val="32"/>
        </w:rPr>
        <w:t>补贴标准57.56元/亩</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2</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rPr>
        <w:t>社会效益</w:t>
      </w:r>
      <w:r>
        <w:rPr>
          <w:rFonts w:ascii="仿宋_GB2312" w:eastAsia="仿宋_GB2312" w:cs="仿宋_GB2312" w:hint="eastAsia"/>
          <w:b/>
          <w:bCs/>
          <w:sz w:val="32"/>
          <w:szCs w:val="32"/>
          <w:lang w:eastAsia="zh-CN"/>
        </w:rPr>
        <w:t>：</w:t>
      </w:r>
      <w:r>
        <w:rPr>
          <w:rFonts w:ascii="仿宋_GB2312" w:eastAsia="仿宋_GB2312" w:cs="仿宋_GB2312" w:hint="eastAsia"/>
          <w:sz w:val="32"/>
          <w:szCs w:val="32"/>
        </w:rPr>
        <w:t>无资金使用重大违规违纪问题，完成目标绩效。</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3</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rPr>
        <w:t>生态效益</w:t>
      </w:r>
      <w:r>
        <w:rPr>
          <w:rFonts w:ascii="仿宋_GB2312" w:eastAsia="仿宋_GB2312" w:cs="仿宋_GB2312" w:hint="eastAsia"/>
          <w:b/>
          <w:bCs/>
          <w:sz w:val="32"/>
          <w:szCs w:val="32"/>
          <w:lang w:eastAsia="zh-CN"/>
        </w:rPr>
        <w:t>：</w:t>
      </w:r>
      <w:r>
        <w:rPr>
          <w:rFonts w:ascii="仿宋_GB2312" w:eastAsia="仿宋_GB2312" w:cs="仿宋_GB2312" w:hint="eastAsia"/>
          <w:sz w:val="32"/>
          <w:szCs w:val="32"/>
        </w:rPr>
        <w:t>绩效指标任务提高耕地地力，完成目标绩效。</w:t>
      </w:r>
    </w:p>
    <w:p>
      <w:pPr>
        <w:keepNext w:val="0"/>
        <w:keepLines w:val="0"/>
        <w:pageBreakBefore w:val="0"/>
        <w:widowControl w:val="0"/>
        <w:kinsoku/>
        <w:wordWrap/>
        <w:overflowPunct/>
        <w:topLinePunct w:val="0"/>
        <w:autoSpaceDE w:val="0"/>
        <w:autoSpaceDN/>
        <w:bidi w:val="0"/>
        <w:adjustRightInd/>
        <w:snapToGrid/>
        <w:spacing w:line="560" w:lineRule="exact"/>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b/>
          <w:bCs/>
          <w:sz w:val="32"/>
          <w:szCs w:val="32"/>
        </w:rPr>
        <w:t>4</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rPr>
        <w:t>可持续影响指标：</w:t>
      </w:r>
      <w:r>
        <w:rPr>
          <w:rFonts w:ascii="仿宋_GB2312" w:eastAsia="仿宋_GB2312" w:cs="仿宋_GB2312" w:hint="eastAsia"/>
          <w:sz w:val="32"/>
          <w:szCs w:val="32"/>
        </w:rPr>
        <w:t>绩效指标任务对耕地改变影响，保障粮食安全，完成目标绩效。</w:t>
      </w:r>
    </w:p>
    <w:p>
      <w:pPr>
        <w:spacing w:line="560" w:lineRule="exact"/>
        <w:ind w:firstLineChars="200" w:firstLine="640"/>
        <w:rPr>
          <w:rFonts w:eastAsia="仿宋_GB2312"/>
          <w:sz w:val="32"/>
          <w:szCs w:val="32"/>
        </w:rPr>
      </w:pPr>
      <w:r>
        <w:rPr>
          <w:rFonts w:ascii="仿宋_GB2312" w:eastAsia="仿宋_GB2312" w:cs="仿宋_GB2312" w:hint="eastAsia"/>
          <w:b/>
          <w:bCs/>
          <w:sz w:val="32"/>
          <w:szCs w:val="32"/>
        </w:rPr>
        <w:t>5</w:t>
      </w:r>
      <w:r>
        <w:rPr>
          <w:rFonts w:ascii="仿宋_GB2312" w:eastAsia="仿宋_GB2312" w:cs="仿宋_GB2312" w:hint="eastAsia"/>
          <w:b/>
          <w:bCs/>
          <w:sz w:val="32"/>
          <w:szCs w:val="32"/>
          <w:lang w:val="en-US" w:eastAsia="zh-CN"/>
        </w:rPr>
        <w:t>.</w:t>
      </w:r>
      <w:r>
        <w:rPr>
          <w:rFonts w:ascii="仿宋_GB2312" w:eastAsia="仿宋_GB2312" w:cs="仿宋_GB2312" w:hint="eastAsia"/>
          <w:b/>
          <w:bCs/>
          <w:sz w:val="32"/>
          <w:szCs w:val="32"/>
        </w:rPr>
        <w:t>服务对象满意度指标：</w:t>
      </w:r>
      <w:r>
        <w:rPr>
          <w:rFonts w:eastAsia="仿宋_GB2312"/>
          <w:sz w:val="32"/>
          <w:szCs w:val="32"/>
        </w:rPr>
        <w:t>绩效指标任务农民满意度达到95%，对补贴政策知晓率达95%以上，农民对补贴政策落实满意度95%以上，完成目标绩效。</w:t>
      </w:r>
    </w:p>
    <w:p>
      <w:pPr>
        <w:adjustRightInd w:val="0"/>
        <w:snapToGrid w:val="0"/>
        <w:spacing w:line="560" w:lineRule="exact"/>
        <w:ind w:firstLineChars="200" w:firstLine="640"/>
        <w:rPr>
          <w:rFonts w:ascii="黑体" w:eastAsia="黑体"/>
          <w:sz w:val="32"/>
          <w:szCs w:val="32"/>
        </w:rPr>
      </w:pPr>
      <w:r>
        <w:rPr>
          <w:rFonts w:ascii="黑体" w:eastAsia="黑体" w:hint="eastAsia"/>
          <w:sz w:val="32"/>
          <w:szCs w:val="32"/>
        </w:rPr>
        <w:t>五、评价结论及建议</w:t>
      </w:r>
    </w:p>
    <w:p>
      <w:pPr>
        <w:adjustRightInd w:val="0"/>
        <w:snapToGrid w:val="0"/>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eastAsia="仿宋_GB2312"/>
          <w:sz w:val="32"/>
          <w:szCs w:val="32"/>
        </w:rPr>
      </w:pPr>
      <w:r>
        <w:rPr>
          <w:rFonts w:eastAsia="仿宋_GB2312" w:hint="eastAsia"/>
          <w:sz w:val="32"/>
          <w:szCs w:val="32"/>
        </w:rPr>
        <w:t>根据上级支付资金绩效评价工作的通知精神，县</w:t>
      </w:r>
      <w:r>
        <w:rPr>
          <w:rFonts w:eastAsia="仿宋_GB2312" w:hint="eastAsia"/>
          <w:sz w:val="32"/>
          <w:szCs w:val="32"/>
          <w:lang w:val="en-US" w:eastAsia="zh-CN"/>
        </w:rPr>
        <w:t>科学技术和农业畜牧局</w:t>
      </w:r>
      <w:r>
        <w:rPr>
          <w:rFonts w:eastAsia="仿宋_GB2312" w:hint="eastAsia"/>
          <w:sz w:val="32"/>
          <w:szCs w:val="32"/>
        </w:rPr>
        <w:t>认真按照2022年支付资金使用绩效评价表的要求，对我县2022年耕地地力保护补贴项目的绩效进行了严格的考核评价。一是严格遵照评价原则，合理确定评价对象，层层落实绩效评价目标任务。二是按照评价内容对2022年耕地地力保护补贴项目进行考核内容逐项打分。三是根据部门预算项目支出绩效自评表，2022年壤塘县耕地地力保护补贴资金使用情况的绩效得分为100分。四是根据我县绩效得分，壤塘县</w:t>
      </w:r>
      <w:r>
        <w:rPr>
          <w:rFonts w:eastAsia="仿宋_GB2312" w:hint="eastAsia"/>
          <w:sz w:val="32"/>
          <w:szCs w:val="32"/>
          <w:lang w:val="en-US" w:eastAsia="zh-CN"/>
        </w:rPr>
        <w:t>科学技术和农业畜牧</w:t>
      </w:r>
      <w:r>
        <w:rPr>
          <w:rFonts w:eastAsia="仿宋_GB2312" w:hint="eastAsia"/>
          <w:sz w:val="32"/>
          <w:szCs w:val="32"/>
        </w:rPr>
        <w:t>局自评2022年壤塘县耕地地力保护补贴项目绩效评价自评为优秀。</w:t>
      </w:r>
    </w:p>
    <w:p>
      <w:pPr>
        <w:adjustRightInd w:val="0"/>
        <w:snapToGrid w:val="0"/>
        <w:spacing w:line="560" w:lineRule="exact"/>
        <w:ind w:firstLineChars="200" w:firstLine="640"/>
        <w:rPr>
          <w:rFonts w:ascii="楷体_GB2312" w:eastAsia="楷体_GB2312" w:hint="eastAsia"/>
          <w:b/>
          <w:sz w:val="32"/>
          <w:szCs w:val="32"/>
          <w:lang w:val="zh-CN"/>
        </w:rPr>
      </w:pPr>
      <w:r>
        <w:rPr>
          <w:rFonts w:ascii="楷体_GB2312" w:eastAsia="楷体_GB2312" w:hint="eastAsia"/>
          <w:b/>
          <w:sz w:val="32"/>
          <w:szCs w:val="32"/>
          <w:lang w:val="zh-CN"/>
        </w:rPr>
        <w:t>（二）存在的问题</w:t>
      </w:r>
    </w:p>
    <w:p>
      <w:pPr>
        <w:widowControl/>
        <w:ind w:left="0" w:firstLineChars="200" w:firstLine="640"/>
        <w:jc w:val="left"/>
        <w:textAlignment w:val="center"/>
        <w:rPr>
          <w:rFonts w:ascii="仿宋" w:eastAsia="仿宋" w:cs="仿宋" w:hint="eastAsia"/>
          <w:sz w:val="32"/>
          <w:szCs w:val="32"/>
          <w:lang w:val="en-US" w:eastAsia="zh-CN"/>
        </w:rPr>
      </w:pPr>
      <w:r>
        <w:rPr>
          <w:rFonts w:ascii="仿宋" w:eastAsia="仿宋" w:cs="仿宋" w:hint="eastAsia"/>
          <w:sz w:val="32"/>
          <w:szCs w:val="32"/>
          <w:lang w:val="en-US" w:eastAsia="zh-CN"/>
        </w:rPr>
        <w:t>1.乡镇无专职人员管理该项目，专业水平不足。</w:t>
      </w:r>
    </w:p>
    <w:p>
      <w:pPr>
        <w:adjustRightInd w:val="0"/>
        <w:snapToGrid w:val="0"/>
        <w:spacing w:line="560" w:lineRule="exact"/>
        <w:ind w:firstLine="720"/>
        <w:rPr>
          <w:rFonts w:ascii="仿宋" w:eastAsia="仿宋" w:cs="仿宋" w:hint="eastAsia"/>
          <w:sz w:val="32"/>
          <w:szCs w:val="32"/>
          <w:lang w:val="en-US" w:eastAsia="zh-CN"/>
        </w:rPr>
      </w:pPr>
      <w:r>
        <w:rPr>
          <w:rFonts w:ascii="仿宋" w:eastAsia="仿宋" w:cs="仿宋" w:hint="eastAsia"/>
          <w:sz w:val="32"/>
          <w:szCs w:val="32"/>
          <w:lang w:val="en-US" w:eastAsia="zh-CN"/>
        </w:rPr>
        <w:t>2.村民人数多且社保卡变动频繁，导致支付进度缓慢。</w:t>
      </w:r>
    </w:p>
    <w:p>
      <w:pPr>
        <w:adjustRightInd w:val="0"/>
        <w:snapToGrid w:val="0"/>
        <w:spacing w:line="560"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widowControl/>
        <w:ind w:left="0" w:firstLineChars="200" w:firstLine="640"/>
        <w:jc w:val="left"/>
        <w:textAlignment w:val="center"/>
        <w:rPr>
          <w:rFonts w:ascii="仿宋" w:eastAsia="仿宋" w:cs="仿宋" w:hint="eastAsia"/>
          <w:sz w:val="32"/>
          <w:szCs w:val="32"/>
          <w:lang w:val="en-US" w:eastAsia="zh-CN"/>
        </w:rPr>
      </w:pPr>
      <w:r>
        <w:rPr>
          <w:rFonts w:ascii="仿宋" w:eastAsia="仿宋" w:cs="仿宋" w:hint="eastAsia"/>
          <w:sz w:val="32"/>
          <w:szCs w:val="32"/>
          <w:lang w:val="en-US" w:eastAsia="zh-CN"/>
        </w:rPr>
        <w:t>1.加强乡镇专职人员管理，进行业务培训。</w:t>
      </w:r>
    </w:p>
    <w:p>
      <w:pPr>
        <w:pStyle w:val="15"/>
        <w:ind w:firstLineChars="200" w:firstLine="640"/>
        <w:rPr>
          <w:sz w:val="32"/>
          <w:szCs w:val="32"/>
        </w:rPr>
      </w:pPr>
      <w:r>
        <w:rPr>
          <w:rFonts w:ascii="仿宋" w:eastAsia="仿宋" w:cs="仿宋" w:hint="eastAsia"/>
          <w:sz w:val="32"/>
          <w:szCs w:val="32"/>
          <w:lang w:val="en-US" w:eastAsia="zh-CN"/>
        </w:rPr>
        <w:t>2.加强系统维护，提高更新社保卡功能。</w:t>
      </w:r>
    </w:p>
    <w:p>
      <w:pPr>
        <w:pStyle w:val="15"/>
      </w:pPr>
    </w:p>
    <w:p>
      <w:pPr>
        <w:keepNext w:val="0"/>
        <w:keepLines w:val="0"/>
        <w:widowControl/>
        <w:suppressLineNumbers w:val="0"/>
        <w:jc w:val="center"/>
        <w:textAlignment w:val="center"/>
        <w:rPr>
          <w:rFonts w:ascii="仿宋" w:eastAsia="仿宋" w:cs="仿宋" w:hint="eastAsia"/>
          <w:b/>
          <w:bCs/>
          <w:i w:val="0"/>
          <w:color w:val="000000"/>
          <w:kern w:val="0"/>
          <w:sz w:val="32"/>
          <w:szCs w:val="32"/>
          <w:u w:val="none"/>
          <w:lang w:val="en-US" w:eastAsia="zh-CN"/>
        </w:rPr>
      </w:pPr>
      <w:r>
        <w:rPr>
          <w:rFonts w:ascii="仿宋_GB2312" w:eastAsia="仿宋_GB2312" w:cs="仿宋_GB2312" w:hint="eastAsia"/>
          <w:b/>
          <w:bCs/>
          <w:color w:val="auto"/>
          <w:sz w:val="32"/>
          <w:szCs w:val="32"/>
          <w:lang w:val="zh-CN" w:eastAsia="zh-CN"/>
          <w:highlight w:val="auto"/>
        </w:rPr>
        <w:t>附表：</w:t>
      </w:r>
      <w:r>
        <w:rPr>
          <w:rFonts w:ascii="仿宋" w:eastAsia="仿宋" w:cs="仿宋" w:hint="eastAsia"/>
          <w:b/>
          <w:bCs/>
          <w:i w:val="0"/>
          <w:color w:val="000000"/>
          <w:kern w:val="0"/>
          <w:sz w:val="32"/>
          <w:szCs w:val="32"/>
          <w:u w:val="none"/>
          <w:lang w:val="en-US" w:eastAsia="zh-CN"/>
        </w:rPr>
        <w:t>2022年壤塘县中央财政农业生产和水利救灾资金</w:t>
      </w:r>
    </w:p>
    <w:p>
      <w:pPr>
        <w:pStyle w:val="26"/>
        <w:keepNext w:val="0"/>
        <w:keepLines w:val="0"/>
        <w:pageBreakBefore w:val="0"/>
        <w:widowControl w:val="0"/>
        <w:kinsoku/>
        <w:wordWrap/>
        <w:overflowPunct/>
        <w:topLinePunct w:val="0"/>
        <w:autoSpaceDE/>
        <w:autoSpaceDN/>
        <w:bidi w:val="0"/>
        <w:spacing w:line="560" w:lineRule="exact"/>
        <w:ind w:leftChars="0" w:left="0" w:firstLineChars="200" w:firstLine="640"/>
        <w:jc w:val="center"/>
        <w:textAlignment w:val="auto"/>
        <w:rPr>
          <w:rFonts w:ascii="仿宋_GB2312" w:eastAsia="仿宋_GB2312" w:cs="仿宋_GB2312" w:hint="eastAsia"/>
          <w:b/>
          <w:bCs/>
          <w:color w:val="auto"/>
          <w:sz w:val="32"/>
          <w:szCs w:val="32"/>
          <w:lang w:val="en-US" w:eastAsia="zh-CN"/>
          <w:highlight w:val="auto"/>
        </w:rPr>
      </w:pPr>
      <w:r>
        <w:rPr>
          <w:rFonts w:ascii="仿宋_GB2312" w:eastAsia="仿宋_GB2312" w:cs="仿宋_GB2312" w:hint="eastAsia"/>
          <w:b/>
          <w:bCs/>
          <w:color w:val="auto"/>
          <w:sz w:val="32"/>
          <w:szCs w:val="32"/>
          <w:lang w:val="en-US" w:eastAsia="zh-CN"/>
          <w:highlight w:val="auto"/>
        </w:rPr>
        <w:t>支出绩效自评表（2022年度）</w:t>
      </w:r>
    </w:p>
    <w:p>
      <w:pPr>
        <w:pStyle w:val="26"/>
        <w:keepNext w:val="0"/>
        <w:keepLines w:val="0"/>
        <w:pageBreakBefore w:val="0"/>
        <w:widowControl w:val="0"/>
        <w:kinsoku/>
        <w:wordWrap/>
        <w:overflowPunct/>
        <w:topLinePunct w:val="0"/>
        <w:autoSpaceDE/>
        <w:autoSpaceDN/>
        <w:bidi w:val="0"/>
        <w:spacing w:line="560" w:lineRule="exact"/>
        <w:ind w:leftChars="0" w:left="0" w:firstLineChars="200" w:firstLine="640"/>
        <w:jc w:val="center"/>
        <w:textAlignment w:val="auto"/>
        <w:rPr>
          <w:rFonts w:ascii="仿宋_GB2312" w:eastAsia="仿宋_GB2312" w:cs="仿宋_GB2312" w:hint="eastAsia"/>
          <w:b/>
          <w:bCs/>
          <w:color w:val="auto"/>
          <w:sz w:val="32"/>
          <w:szCs w:val="32"/>
          <w:lang w:val="zh-CN" w:eastAsia="zh-CN"/>
          <w:highlight w:val="auto"/>
        </w:rPr>
      </w:pPr>
    </w:p>
    <w:tbl>
      <w:tblPr>
        <w:jc w:val="left"/>
        <w:tblInd w:w="0" w:type="dxa"/>
        <w:tblW w:w="11035"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683"/>
        <w:gridCol w:w="1132"/>
        <w:gridCol w:w="1341"/>
        <w:gridCol w:w="1828"/>
        <w:gridCol w:w="521"/>
        <w:gridCol w:w="570"/>
        <w:gridCol w:w="540"/>
        <w:gridCol w:w="925"/>
        <w:gridCol w:w="456"/>
        <w:gridCol w:w="1484"/>
        <w:gridCol w:w="1555"/>
      </w:tblGrid>
      <w:tr>
        <w:trPr>
          <w:trHeight w:val="586"/>
          <w:gridAfter w:val="1"/>
          <w:wAfter w:w="1555" w:type="dxa"/>
        </w:trPr>
        <w:tc>
          <w:tcPr>
            <w:tcW w:w="9480"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b/>
                <w:i w:val="0"/>
                <w:color w:val="000000"/>
                <w:sz w:val="21"/>
                <w:szCs w:val="21"/>
                <w:u w:val="none"/>
              </w:rPr>
            </w:pPr>
            <w:r>
              <w:rPr>
                <w:rFonts w:ascii="仿宋" w:eastAsia="仿宋" w:cs="仿宋" w:hint="eastAsia"/>
                <w:b/>
                <w:i w:val="0"/>
                <w:color w:val="000000"/>
                <w:kern w:val="0"/>
                <w:sz w:val="21"/>
                <w:szCs w:val="21"/>
                <w:u w:val="none"/>
                <w:lang w:val="en-US" w:eastAsia="zh-CN"/>
              </w:rPr>
              <w:t>部门预算项目支出绩效自评表（2022年度）</w:t>
            </w:r>
          </w:p>
        </w:tc>
      </w:tr>
      <w:tr>
        <w:trPr>
          <w:trHeight w:val="286"/>
          <w:gridAfter w:val="1"/>
          <w:wAfter w:w="1555" w:type="dxa"/>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项目名称</w:t>
            </w:r>
          </w:p>
        </w:tc>
        <w:tc>
          <w:tcPr>
            <w:tcW w:w="7665"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2022年壤塘县中央财政农业生产和水利救灾资金</w:t>
            </w:r>
          </w:p>
          <w:p>
            <w:pPr>
              <w:keepNext w:val="0"/>
              <w:keepLines w:val="0"/>
              <w:widowControl/>
              <w:suppressLineNumbers w:val="0"/>
              <w:jc w:val="left"/>
              <w:textAlignment w:val="center"/>
              <w:rPr>
                <w:rFonts w:ascii="仿宋" w:eastAsia="仿宋" w:cs="仿宋" w:hint="eastAsia"/>
                <w:i w:val="0"/>
                <w:color w:val="000000"/>
                <w:sz w:val="21"/>
                <w:szCs w:val="21"/>
                <w:u w:val="none"/>
              </w:rPr>
            </w:pPr>
          </w:p>
        </w:tc>
      </w:tr>
      <w:tr>
        <w:trPr>
          <w:trHeight w:val="512"/>
          <w:gridAfter w:val="1"/>
          <w:wAfter w:w="1555" w:type="dxa"/>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主管部门</w:t>
            </w:r>
          </w:p>
        </w:tc>
        <w:tc>
          <w:tcPr>
            <w:tcW w:w="4260"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壤塘县科学技术和农业畜牧局</w:t>
            </w:r>
          </w:p>
        </w:tc>
        <w:tc>
          <w:tcPr>
            <w:tcW w:w="540"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实施单位 （盖章）</w:t>
            </w:r>
          </w:p>
        </w:tc>
        <w:tc>
          <w:tcPr>
            <w:tcW w:w="2865"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壤塘县科学技术和农业畜牧局</w:t>
            </w:r>
          </w:p>
        </w:tc>
      </w:tr>
      <w:tr>
        <w:trPr>
          <w:trHeight w:val="286"/>
          <w:gridAfter w:val="1"/>
          <w:wAfter w:w="1555" w:type="dxa"/>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项目基本情况</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1.项目年度目标完成情况</w:t>
            </w:r>
          </w:p>
        </w:tc>
        <w:tc>
          <w:tcPr>
            <w:tcW w:w="4260"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项目年度目标</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年度目标完成情况</w:t>
            </w:r>
          </w:p>
        </w:tc>
      </w:tr>
      <w:tr>
        <w:trPr>
          <w:trHeight w:val="708"/>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260"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计划投资72万元，采购青干草290吨，用于灾后救灾越冬储备。</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ind w:firstLineChars="100" w:firstLine="21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2022年壤塘县中央财政农业生产和水利救灾资金项目总投资72万元，采购青干草290.34吨，实际支出项目资金67.338万元，资金支付合规合法，与预算相符。任务完成量为100%。结余资金4.662万元，财政已收回。</w:t>
            </w:r>
          </w:p>
        </w:tc>
      </w:tr>
      <w:tr>
        <w:trPr>
          <w:trHeight w:val="693"/>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2.项目实施内容及过程概述</w:t>
            </w:r>
          </w:p>
        </w:tc>
        <w:tc>
          <w:tcPr>
            <w:tcW w:w="7665"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sz w:val="21"/>
                <w:szCs w:val="21"/>
                <w:u w:val="none"/>
              </w:rPr>
            </w:pPr>
            <w:r>
              <w:rPr>
                <w:rFonts w:ascii="仿宋_GB2312" w:eastAsia="仿宋_GB2312" w:cs="仿宋_GB2312" w:hint="eastAsia"/>
                <w:sz w:val="21"/>
                <w:szCs w:val="21"/>
                <w:lang w:val="en-US" w:eastAsia="zh-CN"/>
              </w:rPr>
              <w:t>购青干草290.34吨，分布发放全县11个乡镇。其中：上壤塘乡43吨、中壤塘镇41.44吨、吾依乡25吨、上杜柯乡30.8吨、蒲西乡16吨、宗科乡16、茸木达乡14.1吨、尕多乡31吨、南木达镇32.18吨、石里乡11吨、岗木达镇29.82吨。</w:t>
            </w:r>
          </w:p>
        </w:tc>
      </w:tr>
      <w:tr>
        <w:trPr>
          <w:trHeight w:val="680"/>
          <w:gridAfter w:val="1"/>
          <w:wAfter w:w="1555" w:type="dxa"/>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预算执行情况（10分）</w:t>
            </w: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年度预算数（万元）</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年初预算</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调整后预算数</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预算执行数</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预算执行率</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得分</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原因</w:t>
            </w:r>
          </w:p>
        </w:tc>
      </w:tr>
      <w:tr>
        <w:trPr>
          <w:trHeight w:val="387"/>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总额</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72</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72</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67.338</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100.00%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780"/>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其中：财政资金</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72</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72</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67.338</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100.00%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660"/>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财政专户管理资金</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780"/>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单位资金</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0.00%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1530"/>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其他资金</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452"/>
          <w:gridAfter w:val="1"/>
          <w:wAfter w:w="1555" w:type="dxa"/>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绩效指标（90分）</w:t>
            </w:r>
          </w:p>
        </w:tc>
        <w:tc>
          <w:tcPr>
            <w:tcW w:w="11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一级指标</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kern w:val="0"/>
                <w:sz w:val="21"/>
                <w:szCs w:val="21"/>
                <w:u w:val="none"/>
                <w:lang w:val="en-US" w:eastAsia="zh-CN"/>
              </w:rPr>
              <w:t>二级指标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指标性质</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指标值</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完成值</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得分</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未完成原因分析</w:t>
            </w:r>
          </w:p>
        </w:tc>
      </w:tr>
      <w:tr>
        <w:trPr>
          <w:trHeight w:val="339"/>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产出指标</w:t>
            </w:r>
          </w:p>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数量指标</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kern w:val="0"/>
                <w:sz w:val="21"/>
                <w:szCs w:val="21"/>
                <w:u w:val="none"/>
                <w:lang w:val="en-US" w:eastAsia="zh-CN"/>
              </w:rPr>
              <w:t>数量指标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_GB2312" w:eastAsia="仿宋_GB2312" w:cs="仿宋_GB2312" w:hint="eastAsia"/>
                <w:sz w:val="21"/>
                <w:szCs w:val="21"/>
                <w:lang w:val="en-US" w:eastAsia="zh-CN"/>
              </w:rPr>
              <w:t>购青干草吨数</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_GB2312" w:eastAsia="仿宋_GB2312" w:cs="仿宋_GB2312" w:hint="eastAsia"/>
                <w:sz w:val="21"/>
                <w:szCs w:val="21"/>
                <w:lang w:val="en-US" w:eastAsia="zh-CN"/>
              </w:rPr>
              <w:t>290.34吨</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color w:val="000000"/>
                <w:sz w:val="21"/>
                <w:szCs w:val="21"/>
                <w:u w:val="none"/>
                <w:lang w:val="en-US" w:eastAsia="zh-CN"/>
              </w:rPr>
            </w:pPr>
            <w:r>
              <w:rPr>
                <w:rFonts w:ascii="仿宋" w:eastAsia="仿宋" w:cs="仿宋" w:hint="eastAsia"/>
                <w:i/>
                <w:color w:val="000000"/>
                <w:sz w:val="21"/>
                <w:szCs w:val="21"/>
                <w:u w:val="none"/>
                <w:lang w:val="en-US" w:eastAsia="zh-CN"/>
              </w:rPr>
              <w:t>100%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339"/>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vMerge/>
            <w:tcBorders>
              <w:left w:val="single" w:sz="4" w:space="0" w:color="000000"/>
              <w:right w:val="single" w:sz="4" w:space="0" w:color="000000"/>
            </w:tcBorders>
            <w:shd w:val="clear" w:color="auto" w:fill="auto"/>
            <w:noWrap/>
            <w:tcMar>
              <w:top w:w="15" w:type="dxa"/>
              <w:left w:w="15" w:type="dxa"/>
              <w:right w:w="15" w:type="dxa"/>
            </w:tcMar>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_GB2312" w:eastAsia="仿宋_GB2312" w:cs="仿宋_GB2312" w:hint="eastAsia"/>
                <w:sz w:val="21"/>
                <w:szCs w:val="21"/>
                <w:lang w:val="en-US" w:eastAsia="zh-CN"/>
              </w:rPr>
              <w:t>分布发放乡镇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11个</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color w:val="000000"/>
                <w:sz w:val="21"/>
                <w:szCs w:val="21"/>
                <w:u w:val="none"/>
                <w:lang w:val="en-US" w:eastAsia="zh-CN"/>
              </w:rPr>
            </w:pPr>
            <w:r>
              <w:rPr>
                <w:rFonts w:ascii="仿宋" w:eastAsia="仿宋" w:cs="仿宋" w:hint="eastAsia"/>
                <w:i/>
                <w:color w:val="000000"/>
                <w:sz w:val="21"/>
                <w:szCs w:val="21"/>
                <w:u w:val="none"/>
                <w:lang w:val="en-US" w:eastAsia="zh-CN"/>
              </w:rPr>
              <w:t>100%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339"/>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vMerge/>
            <w:tcBorders>
              <w:left w:val="single" w:sz="4" w:space="0" w:color="000000"/>
              <w:right w:val="single" w:sz="4" w:space="0" w:color="000000"/>
            </w:tcBorders>
            <w:shd w:val="clear" w:color="auto" w:fill="auto"/>
            <w:noWrap/>
            <w:tcMar>
              <w:top w:w="15" w:type="dxa"/>
              <w:left w:w="15" w:type="dxa"/>
              <w:right w:w="15" w:type="dxa"/>
            </w:tcMar>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kern w:val="0"/>
                <w:sz w:val="21"/>
                <w:szCs w:val="21"/>
                <w:u w:val="none"/>
                <w:lang w:val="en-US" w:eastAsia="zh-CN"/>
              </w:rPr>
              <w:t>成本指标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购买青干草总额</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72万元</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color w:val="000000"/>
                <w:sz w:val="21"/>
                <w:szCs w:val="21"/>
                <w:u w:val="none"/>
                <w:lang w:val="en-US" w:eastAsia="zh-CN"/>
              </w:rPr>
            </w:pPr>
            <w:r>
              <w:rPr>
                <w:rFonts w:ascii="仿宋" w:eastAsia="仿宋" w:cs="仿宋" w:hint="eastAsia"/>
                <w:i/>
                <w:color w:val="000000"/>
                <w:sz w:val="21"/>
                <w:szCs w:val="21"/>
                <w:u w:val="none"/>
                <w:lang w:val="en-US" w:eastAsia="zh-CN"/>
              </w:rPr>
              <w:t>100%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452"/>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效益指标</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0"/>
                <w:sz w:val="21"/>
                <w:szCs w:val="21"/>
                <w:u w:val="none"/>
                <w:lang w:val="en-US" w:eastAsia="zh-CN"/>
              </w:rPr>
            </w:pPr>
            <w:r>
              <w:rPr>
                <w:rFonts w:ascii="仿宋" w:eastAsia="仿宋" w:cs="仿宋" w:hint="eastAsia"/>
                <w:i w:val="0"/>
                <w:color w:val="auto"/>
                <w:kern w:val="0"/>
                <w:sz w:val="21"/>
                <w:szCs w:val="21"/>
                <w:u w:val="none"/>
                <w:lang w:val="en-US" w:eastAsia="zh-CN"/>
              </w:rPr>
              <w:t>生态效益指标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减少天然草原载畜量压力</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lang w:val="en-US" w:eastAsia="zh-CN"/>
              </w:rPr>
            </w:pPr>
          </w:p>
          <w:p>
            <w:pPr>
              <w:pStyle w:val="15"/>
              <w:rPr>
                <w:rFonts w:hint="eastAsia"/>
                <w:lang w:val="en-US" w:eastAsia="zh-CN"/>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kern w:val="2"/>
                <w:sz w:val="21"/>
                <w:szCs w:val="21"/>
                <w:u w:val="none"/>
                <w:lang w:val="en-US" w:eastAsia="zh-CN" w:bidi="ar-SA"/>
              </w:rPr>
            </w:pPr>
            <w:r>
              <w:rPr>
                <w:rFonts w:ascii="仿宋" w:eastAsia="仿宋" w:cs="仿宋" w:hint="eastAsia"/>
                <w:i w:val="0"/>
                <w:color w:val="000000"/>
                <w:kern w:val="2"/>
                <w:sz w:val="21"/>
                <w:szCs w:val="21"/>
                <w:u w:val="none"/>
                <w:lang w:val="en-US" w:eastAsia="zh-CN" w:bidi="ar-SA"/>
              </w:rPr>
              <w:t>98%</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color w:val="000000"/>
                <w:sz w:val="21"/>
                <w:szCs w:val="21"/>
                <w:u w:val="none"/>
                <w:lang w:val="en-US" w:eastAsia="zh-CN"/>
              </w:rPr>
            </w:pPr>
            <w:r>
              <w:rPr>
                <w:rFonts w:ascii="仿宋" w:eastAsia="仿宋" w:cs="仿宋" w:hint="eastAsia"/>
                <w:i/>
                <w:color w:val="000000"/>
                <w:sz w:val="21"/>
                <w:szCs w:val="21"/>
                <w:u w:val="none"/>
                <w:lang w:val="en-US" w:eastAsia="zh-CN"/>
              </w:rPr>
              <w:t>98%</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452"/>
          <w:gridAfter w:val="1"/>
          <w:wAfter w:w="1555" w:type="dxa"/>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32"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sz w:val="21"/>
                <w:szCs w:val="21"/>
                <w:u w:val="none"/>
              </w:rPr>
            </w:pPr>
            <w:r>
              <w:rPr>
                <w:rFonts w:ascii="仿宋" w:eastAsia="仿宋" w:cs="仿宋" w:hint="eastAsia"/>
                <w:i w:val="0"/>
                <w:color w:val="auto"/>
                <w:kern w:val="0"/>
                <w:sz w:val="21"/>
                <w:szCs w:val="21"/>
                <w:u w:val="none"/>
                <w:lang w:val="en-US" w:eastAsia="zh-CN"/>
              </w:rPr>
              <w:t>经济效益指标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_GB2312" w:eastAsia="仿宋_GB2312" w:cs="仿宋_GB2312" w:hint="eastAsia"/>
                <w:kern w:val="2"/>
                <w:sz w:val="21"/>
                <w:szCs w:val="21"/>
                <w:lang w:val="en-US" w:eastAsia="zh-CN" w:bidi="ar-SA"/>
              </w:rPr>
              <w:t>每头牛每天补饲</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8公斤</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color w:val="000000"/>
                <w:sz w:val="21"/>
                <w:szCs w:val="21"/>
                <w:u w:val="none"/>
                <w:lang w:val="en-US" w:eastAsia="zh-CN"/>
              </w:rPr>
            </w:pPr>
            <w:r>
              <w:rPr>
                <w:rFonts w:ascii="仿宋" w:eastAsia="仿宋" w:cs="仿宋" w:hint="eastAsia"/>
                <w:i/>
                <w:color w:val="000000"/>
                <w:sz w:val="21"/>
                <w:szCs w:val="21"/>
                <w:u w:val="none"/>
                <w:lang w:val="en-US" w:eastAsia="zh-CN"/>
              </w:rPr>
              <w:t>100%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705"/>
        </w:trPr>
        <w:tc>
          <w:tcPr>
            <w:tcW w:w="6615"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合计</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i w:val="0"/>
                <w:color w:val="000000"/>
                <w:sz w:val="21"/>
                <w:szCs w:val="21"/>
                <w:u w:val="none"/>
                <w:lang w:val="en-US" w:eastAsia="zh-CN"/>
              </w:rPr>
            </w:pPr>
            <w:r>
              <w:rPr>
                <w:rFonts w:ascii="仿宋" w:eastAsia="仿宋" w:cs="仿宋" w:hint="eastAsia"/>
                <w:i w:val="0"/>
                <w:color w:val="000000"/>
                <w:sz w:val="21"/>
                <w:szCs w:val="21"/>
                <w:u w:val="none"/>
                <w:lang w:val="en-US" w:eastAsia="zh-CN"/>
              </w:rPr>
              <w:t>100</w:t>
            </w:r>
          </w:p>
        </w:tc>
        <w:tc>
          <w:tcPr>
            <w:tcW w:w="303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sz w:val="21"/>
                <w:szCs w:val="21"/>
                <w:u w:val="none"/>
              </w:rPr>
            </w:pPr>
          </w:p>
        </w:tc>
      </w:tr>
      <w:tr>
        <w:trPr>
          <w:trHeight w:val="1140"/>
          <w:gridAfter w:val="1"/>
          <w:wAfter w:w="1555" w:type="dxa"/>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评价结论</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ind w:firstLineChars="200" w:firstLine="420"/>
              <w:rPr>
                <w:rFonts w:ascii="仿宋" w:eastAsia="仿宋" w:cs="仿宋" w:hint="eastAsia"/>
                <w:sz w:val="21"/>
                <w:szCs w:val="21"/>
              </w:rPr>
            </w:pPr>
            <w:r>
              <w:rPr>
                <w:rFonts w:ascii="仿宋" w:eastAsia="仿宋" w:cs="仿宋" w:hint="eastAsia"/>
                <w:sz w:val="21"/>
                <w:szCs w:val="21"/>
              </w:rPr>
              <w:t>通过项目实施，使壤塘县薄弱的冬季饲草料储备能力得到有效缓解，增强畜牧业的防灾抗灾能力，极大</w:t>
            </w:r>
            <w:r>
              <w:rPr>
                <w:rFonts w:ascii="仿宋" w:eastAsia="仿宋" w:cs="仿宋" w:hint="eastAsia"/>
                <w:sz w:val="21"/>
                <w:szCs w:val="21"/>
                <w:lang w:eastAsia="zh-CN"/>
              </w:rPr>
              <w:t>地</w:t>
            </w:r>
            <w:r>
              <w:rPr>
                <w:rFonts w:ascii="仿宋" w:eastAsia="仿宋" w:cs="仿宋" w:hint="eastAsia"/>
                <w:sz w:val="21"/>
                <w:szCs w:val="21"/>
              </w:rPr>
              <w:t>减少自然灾害给畜牧业造成的损失。以每</w:t>
            </w:r>
            <w:r>
              <w:rPr>
                <w:rFonts w:ascii="仿宋" w:eastAsia="仿宋" w:cs="仿宋" w:hint="eastAsia"/>
                <w:sz w:val="21"/>
                <w:szCs w:val="21"/>
                <w:lang w:eastAsia="zh-CN"/>
              </w:rPr>
              <w:t>吨</w:t>
            </w:r>
            <w:r>
              <w:rPr>
                <w:rFonts w:ascii="仿宋" w:eastAsia="仿宋" w:cs="仿宋" w:hint="eastAsia"/>
                <w:sz w:val="21"/>
                <w:szCs w:val="21"/>
              </w:rPr>
              <w:t>干草</w:t>
            </w:r>
            <w:r>
              <w:rPr>
                <w:rFonts w:ascii="仿宋" w:eastAsia="仿宋" w:cs="仿宋" w:hint="eastAsia"/>
                <w:sz w:val="21"/>
                <w:szCs w:val="21"/>
                <w:lang w:val="en-US" w:eastAsia="zh-CN"/>
              </w:rPr>
              <w:t>0.25</w:t>
            </w:r>
            <w:r>
              <w:rPr>
                <w:rFonts w:ascii="仿宋" w:eastAsia="仿宋" w:cs="仿宋" w:hint="eastAsia"/>
                <w:sz w:val="21"/>
                <w:szCs w:val="21"/>
                <w:lang w:eastAsia="zh-CN"/>
              </w:rPr>
              <w:t>万</w:t>
            </w:r>
            <w:r>
              <w:rPr>
                <w:rFonts w:ascii="仿宋" w:eastAsia="仿宋" w:cs="仿宋" w:hint="eastAsia"/>
                <w:sz w:val="21"/>
                <w:szCs w:val="21"/>
              </w:rPr>
              <w:t>元，</w:t>
            </w:r>
            <w:r>
              <w:rPr>
                <w:rFonts w:ascii="仿宋" w:eastAsia="仿宋" w:cs="仿宋" w:hint="eastAsia"/>
                <w:sz w:val="21"/>
                <w:szCs w:val="21"/>
                <w:lang w:val="en-US" w:eastAsia="zh-CN"/>
              </w:rPr>
              <w:t>72</w:t>
            </w:r>
            <w:r>
              <w:rPr>
                <w:rFonts w:ascii="仿宋" w:eastAsia="仿宋" w:cs="仿宋" w:hint="eastAsia"/>
                <w:sz w:val="21"/>
                <w:szCs w:val="21"/>
              </w:rPr>
              <w:t>万元可购买干草</w:t>
            </w:r>
            <w:r>
              <w:rPr>
                <w:rFonts w:ascii="仿宋" w:eastAsia="仿宋" w:cs="仿宋" w:hint="eastAsia"/>
                <w:sz w:val="21"/>
                <w:szCs w:val="21"/>
                <w:lang w:val="en-US" w:eastAsia="zh-CN"/>
              </w:rPr>
              <w:t>288吨</w:t>
            </w:r>
            <w:r>
              <w:rPr>
                <w:rFonts w:ascii="仿宋" w:eastAsia="仿宋" w:cs="仿宋" w:hint="eastAsia"/>
                <w:sz w:val="21"/>
                <w:szCs w:val="21"/>
              </w:rPr>
              <w:t>，以每头牛每天补饲8</w:t>
            </w:r>
            <w:r>
              <w:rPr>
                <w:rFonts w:ascii="仿宋" w:eastAsia="仿宋" w:cs="仿宋" w:hint="eastAsia"/>
                <w:sz w:val="21"/>
                <w:szCs w:val="21"/>
                <w:lang w:eastAsia="zh-CN"/>
              </w:rPr>
              <w:t>公</w:t>
            </w:r>
            <w:r>
              <w:rPr>
                <w:rFonts w:ascii="仿宋" w:eastAsia="仿宋" w:cs="仿宋" w:hint="eastAsia"/>
                <w:sz w:val="21"/>
                <w:szCs w:val="21"/>
              </w:rPr>
              <w:t>斤计，以每年受灾</w:t>
            </w:r>
            <w:r>
              <w:rPr>
                <w:rFonts w:ascii="仿宋" w:eastAsia="仿宋" w:cs="仿宋" w:hint="eastAsia"/>
                <w:sz w:val="21"/>
                <w:szCs w:val="21"/>
                <w:lang w:val="en-US" w:eastAsia="zh-CN"/>
              </w:rPr>
              <w:t>20</w:t>
            </w:r>
            <w:r>
              <w:rPr>
                <w:rFonts w:ascii="仿宋" w:eastAsia="仿宋" w:cs="仿宋" w:hint="eastAsia"/>
                <w:sz w:val="21"/>
                <w:szCs w:val="21"/>
              </w:rPr>
              <w:t>天计，</w:t>
            </w:r>
            <w:r>
              <w:rPr>
                <w:rFonts w:ascii="仿宋" w:eastAsia="仿宋" w:cs="仿宋" w:hint="eastAsia"/>
                <w:sz w:val="21"/>
                <w:szCs w:val="21"/>
                <w:lang w:val="en-US" w:eastAsia="zh-CN"/>
              </w:rPr>
              <w:t>288吨</w:t>
            </w:r>
            <w:r>
              <w:rPr>
                <w:rFonts w:ascii="仿宋" w:eastAsia="仿宋" w:cs="仿宋" w:hint="eastAsia"/>
                <w:sz w:val="21"/>
                <w:szCs w:val="21"/>
              </w:rPr>
              <w:t>干草可供</w:t>
            </w:r>
            <w:r>
              <w:rPr>
                <w:rFonts w:ascii="仿宋" w:eastAsia="仿宋" w:cs="仿宋" w:hint="eastAsia"/>
                <w:sz w:val="21"/>
                <w:szCs w:val="21"/>
                <w:lang w:val="en-US" w:eastAsia="zh-CN"/>
              </w:rPr>
              <w:t>应1800</w:t>
            </w:r>
            <w:r>
              <w:rPr>
                <w:rFonts w:ascii="仿宋" w:eastAsia="仿宋" w:cs="仿宋" w:hint="eastAsia"/>
                <w:sz w:val="21"/>
                <w:szCs w:val="21"/>
              </w:rPr>
              <w:t>头牛</w:t>
            </w:r>
          </w:p>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572"/>
          <w:gridAfter w:val="1"/>
          <w:wAfter w:w="1555" w:type="dxa"/>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存在问题</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ind w:firstLineChars="200" w:firstLine="420"/>
              <w:rPr>
                <w:rFonts w:ascii="仿宋" w:eastAsia="仿宋" w:cs="仿宋" w:hint="eastAsia"/>
                <w:sz w:val="21"/>
                <w:szCs w:val="21"/>
              </w:rPr>
            </w:pPr>
            <w:r>
              <w:rPr>
                <w:rFonts w:ascii="仿宋" w:eastAsia="仿宋" w:cs="仿宋" w:hint="eastAsia"/>
                <w:sz w:val="21"/>
                <w:szCs w:val="21"/>
              </w:rPr>
              <w:t xml:space="preserve"> 1、牧户对牲畜越冬度春饲草储备重视不够，冬春牧草缺口较大，防灾救灾能力严重不足；</w:t>
            </w:r>
          </w:p>
          <w:p>
            <w:pPr>
              <w:spacing w:line="560" w:lineRule="exact"/>
              <w:ind w:firstLineChars="200" w:firstLine="420"/>
              <w:rPr>
                <w:rFonts w:ascii="仿宋" w:eastAsia="仿宋" w:cs="仿宋" w:hint="eastAsia"/>
                <w:sz w:val="21"/>
                <w:szCs w:val="21"/>
              </w:rPr>
            </w:pPr>
            <w:r>
              <w:rPr>
                <w:rFonts w:ascii="仿宋" w:eastAsia="仿宋" w:cs="仿宋" w:hint="eastAsia"/>
                <w:sz w:val="21"/>
                <w:szCs w:val="21"/>
              </w:rPr>
              <w:t xml:space="preserve"> 2、客观存在牧草生产能力、打储草设施不足，养殖方式粗放等问题；</w:t>
            </w:r>
          </w:p>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633"/>
          <w:gridAfter w:val="1"/>
          <w:wAfter w:w="1555" w:type="dxa"/>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改进措施</w:t>
            </w:r>
          </w:p>
        </w:tc>
        <w:tc>
          <w:tcPr>
            <w:tcW w:w="7665"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ind w:firstLineChars="200" w:firstLine="420"/>
              <w:rPr>
                <w:rFonts w:ascii="仿宋" w:eastAsia="仿宋" w:cs="仿宋" w:hint="eastAsia"/>
                <w:sz w:val="21"/>
                <w:szCs w:val="21"/>
              </w:rPr>
            </w:pPr>
            <w:r>
              <w:rPr>
                <w:rFonts w:ascii="仿宋" w:eastAsia="仿宋" w:cs="仿宋" w:hint="eastAsia"/>
                <w:sz w:val="21"/>
                <w:szCs w:val="21"/>
              </w:rPr>
              <w:t>1、加强科学养畜宣传，倡导放牧+补饲等现代养殖模式，提高牧户牦牛养殖水平，增强冬春牧草储备意识和主动性；</w:t>
            </w:r>
          </w:p>
          <w:p>
            <w:pPr>
              <w:spacing w:line="560" w:lineRule="exact"/>
              <w:ind w:firstLineChars="200" w:firstLine="420"/>
              <w:rPr>
                <w:rFonts w:ascii="仿宋" w:eastAsia="仿宋" w:cs="仿宋" w:hint="eastAsia"/>
                <w:sz w:val="21"/>
                <w:szCs w:val="21"/>
              </w:rPr>
            </w:pPr>
            <w:r>
              <w:rPr>
                <w:rFonts w:ascii="仿宋" w:eastAsia="仿宋" w:cs="仿宋" w:hint="eastAsia"/>
                <w:sz w:val="21"/>
                <w:szCs w:val="21"/>
              </w:rPr>
              <w:t>2、加强牧草生产能力建设，通过卧圈种草、牧草基地建设、草原封育补播和打储草设施建设等举措，有效提高牧草生产能力；</w:t>
            </w:r>
          </w:p>
          <w:p>
            <w:pPr>
              <w:spacing w:line="560" w:lineRule="exact"/>
              <w:ind w:firstLineChars="200" w:firstLine="420"/>
              <w:rPr>
                <w:rFonts w:ascii="仿宋" w:eastAsia="仿宋" w:cs="仿宋" w:hint="eastAsia"/>
                <w:sz w:val="21"/>
                <w:szCs w:val="21"/>
              </w:rPr>
            </w:pPr>
            <w:r>
              <w:rPr>
                <w:rFonts w:ascii="仿宋" w:eastAsia="仿宋" w:cs="仿宋" w:hint="eastAsia"/>
                <w:sz w:val="21"/>
                <w:szCs w:val="21"/>
              </w:rPr>
              <w:t>3、加强救灾牧草的科学调度。一是根据我县实际需求，多方争取资金，增加救灾牧草供给；二是深入调研，提高救灾牧草发放覆盖率，力求救灾牧草发放更具针对性。</w:t>
            </w:r>
          </w:p>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286"/>
          <w:gridAfter w:val="1"/>
          <w:wAfter w:w="1555" w:type="dxa"/>
        </w:trPr>
        <w:tc>
          <w:tcPr>
            <w:tcW w:w="5505"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项目负责人：王福美</w:t>
            </w:r>
          </w:p>
        </w:tc>
        <w:tc>
          <w:tcPr>
            <w:tcW w:w="3975"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i w:val="0"/>
                <w:color w:val="000000"/>
                <w:sz w:val="21"/>
                <w:szCs w:val="21"/>
                <w:u w:val="none"/>
                <w:lang w:val="en-US"/>
              </w:rPr>
            </w:pPr>
            <w:r>
              <w:rPr>
                <w:rFonts w:ascii="仿宋" w:eastAsia="仿宋" w:cs="仿宋" w:hint="eastAsia"/>
                <w:i w:val="0"/>
                <w:color w:val="000000"/>
                <w:kern w:val="0"/>
                <w:sz w:val="21"/>
                <w:szCs w:val="21"/>
                <w:u w:val="none"/>
                <w:lang w:val="en-US" w:eastAsia="zh-CN"/>
              </w:rPr>
              <w:t>财务负责人：杨卫平</w:t>
            </w:r>
          </w:p>
        </w:tc>
      </w:tr>
    </w:tbl>
    <w:p>
      <w:pPr>
        <w:pStyle w:val="37"/>
        <w:keepNext w:val="0"/>
        <w:keepLines w:val="0"/>
        <w:pageBreakBefore w:val="0"/>
        <w:widowControl w:val="0"/>
        <w:kinsoku/>
        <w:wordWrap/>
        <w:overflowPunct/>
        <w:topLinePunct w:val="0"/>
        <w:autoSpaceDE/>
        <w:autoSpaceDN/>
        <w:bidi w:val="0"/>
        <w:spacing w:line="578" w:lineRule="exact"/>
        <w:jc w:val="both"/>
        <w:textAlignment w:val="auto"/>
        <w:rPr>
          <w:rFonts w:ascii="仿宋" w:eastAsia="仿宋" w:cs="仿宋" w:hint="eastAsia"/>
          <w:color w:val="auto"/>
          <w:kern w:val="2"/>
          <w:sz w:val="32"/>
          <w:szCs w:val="32"/>
          <w:lang w:val="en-US" w:eastAsia="zh-CN"/>
          <w:highlight w:val="auto"/>
        </w:rPr>
      </w:pPr>
    </w:p>
    <w:p>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rFonts w:ascii="方正小标宋_GBK" w:eastAsia="方正小标宋_GBK" w:cs="方正小标宋_GBK" w:hint="eastAsia"/>
          <w:b w:val="0"/>
          <w:bCs w:val="0"/>
          <w:color w:val="auto"/>
          <w:kern w:val="2"/>
          <w:sz w:val="44"/>
          <w:szCs w:val="44"/>
          <w:lang w:val="en-US" w:eastAsia="zh-CN"/>
          <w:highlight w:val="auto"/>
        </w:rPr>
      </w:pPr>
      <w:r>
        <w:rPr>
          <w:rFonts w:ascii="方正小标宋_GBK" w:eastAsia="方正小标宋_GBK" w:cs="方正小标宋_GBK" w:hint="eastAsia"/>
          <w:b w:val="0"/>
          <w:bCs w:val="0"/>
          <w:color w:val="auto"/>
          <w:kern w:val="2"/>
          <w:sz w:val="44"/>
          <w:szCs w:val="44"/>
          <w:lang w:val="en-US" w:eastAsia="zh-CN"/>
          <w:highlight w:val="auto"/>
        </w:rPr>
        <w:t>2022</w:t>
      </w:r>
      <w:r>
        <w:rPr>
          <w:rFonts w:ascii="方正小标宋_GBK" w:eastAsia="方正小标宋_GBK" w:cs="方正小标宋_GBK" w:hint="eastAsia"/>
          <w:b w:val="0"/>
          <w:bCs w:val="0"/>
          <w:sz w:val="44"/>
          <w:szCs w:val="44"/>
          <w:lang w:val="en-US" w:eastAsia="zh-CN"/>
        </w:rPr>
        <w:t>中央财政农业生产和水利救灾资金</w:t>
      </w:r>
      <w:r>
        <w:rPr>
          <w:rFonts w:ascii="方正小标宋_GBK" w:eastAsia="方正小标宋_GBK" w:cs="方正小标宋_GBK" w:hint="eastAsia"/>
          <w:b w:val="0"/>
          <w:bCs w:val="0"/>
          <w:color w:val="auto"/>
          <w:kern w:val="2"/>
          <w:sz w:val="44"/>
          <w:szCs w:val="44"/>
          <w:lang w:val="en-US" w:eastAsia="zh-CN"/>
          <w:highlight w:val="auto"/>
        </w:rPr>
        <w:t>绩效自评报告</w:t>
      </w: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ascii="黑体" w:eastAsia="黑体" w:cs="黑体" w:hint="eastAsia"/>
          <w:b w:val="0"/>
          <w:bCs w:val="0"/>
          <w:color w:val="auto"/>
          <w:kern w:val="2"/>
          <w:sz w:val="32"/>
          <w:szCs w:val="32"/>
          <w:lang w:val="en-US" w:eastAsia="zh-CN"/>
          <w:highlight w:val="auto"/>
        </w:rPr>
      </w:pP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黑体" w:eastAsia="黑体" w:cs="黑体" w:hint="eastAsia"/>
          <w:b w:val="0"/>
          <w:bCs w:val="0"/>
          <w:sz w:val="32"/>
          <w:szCs w:val="32"/>
        </w:rPr>
      </w:pPr>
      <w:r>
        <w:rPr>
          <w:rFonts w:ascii="黑体" w:eastAsia="黑体" w:cs="黑体" w:hint="eastAsia"/>
          <w:b w:val="0"/>
          <w:bCs w:val="0"/>
          <w:sz w:val="32"/>
          <w:szCs w:val="32"/>
        </w:rPr>
        <w:t>一、绩效目标分解下达情况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outlineLvl w:val="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根据《四川省财政厅 四川省农业农村厅关于下达中央财政农业生产和水利救灾资金预算的通知》（川财农〔2022〕6号）、《阿坝州财政局 阿坝州农业农村局壤塘县财政农业生产和水利救灾资金预算的通知》（阿坝州财农〔2022〕12号）、《壤塘县财政局关于下达中央财政农业生产和水利救灾资金预算的通知》（壤财农〔2022〕12号）等精神文明，下达我县中央财政农业生产和水利救灾资金72万元。该项目绩效目标分析情况如下：</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outlineLvl w:val="0"/>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（一）资金指标</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outlineLvl w:val="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该项目计划投资72万元，实际到位72万元。资金来源：中央救灾资金。</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outlineLvl w:val="0"/>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（二）绩效总目标</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仿宋" w:eastAsia="仿宋" w:cs="仿宋" w:hint="eastAsia"/>
          <w:i w:val="0"/>
          <w:color w:val="000000"/>
          <w:kern w:val="0"/>
          <w:sz w:val="32"/>
          <w:szCs w:val="32"/>
          <w:u w:val="none"/>
          <w:lang w:val="en-US" w:eastAsia="zh-CN"/>
        </w:rPr>
      </w:pPr>
      <w:r>
        <w:rPr>
          <w:rFonts w:ascii="仿宋" w:eastAsia="仿宋" w:cs="仿宋" w:hint="eastAsia"/>
          <w:i w:val="0"/>
          <w:color w:val="000000"/>
          <w:kern w:val="0"/>
          <w:sz w:val="32"/>
          <w:szCs w:val="32"/>
          <w:u w:val="none"/>
          <w:lang w:val="en-US" w:eastAsia="zh-CN"/>
        </w:rPr>
        <w:t>2022年壤塘县中央财政农业生产和水利救灾资金项目总投资72万元，采购青干草290.34吨。</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黑体" w:eastAsia="黑体" w:cs="黑体" w:hint="eastAsia"/>
          <w:b w:val="0"/>
          <w:bCs w:val="0"/>
          <w:sz w:val="32"/>
          <w:szCs w:val="32"/>
        </w:rPr>
      </w:pPr>
      <w:r>
        <w:rPr>
          <w:rFonts w:ascii="黑体" w:eastAsia="黑体" w:cs="黑体" w:hint="eastAsia"/>
          <w:b w:val="0"/>
          <w:bCs w:val="0"/>
          <w:kern w:val="2"/>
          <w:sz w:val="32"/>
          <w:szCs w:val="32"/>
          <w:lang w:val="en-US" w:eastAsia="zh-CN" w:bidi="ar-SA"/>
        </w:rPr>
        <w:t>二、</w:t>
      </w:r>
      <w:r>
        <w:rPr>
          <w:rFonts w:ascii="黑体" w:eastAsia="黑体" w:cs="黑体" w:hint="eastAsia"/>
          <w:b w:val="0"/>
          <w:bCs w:val="0"/>
          <w:sz w:val="32"/>
          <w:szCs w:val="32"/>
          <w:lang w:eastAsia="zh-CN"/>
        </w:rPr>
        <w:t>绩效</w:t>
      </w:r>
      <w:r>
        <w:rPr>
          <w:rFonts w:ascii="黑体" w:eastAsia="黑体" w:cs="黑体" w:hint="eastAsia"/>
          <w:b w:val="0"/>
          <w:bCs w:val="0"/>
          <w:sz w:val="32"/>
          <w:szCs w:val="32"/>
        </w:rPr>
        <w:t>情况分析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（一）资金投入情况分析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按照《中央财政农业生产和水利救灾资金管理办法》规定，我县结合实际情况，采购青干草290.34吨，分布发放全县11个乡镇。其中：上壤塘乡43吨、中壤塘镇41.44吨、吾依乡25吨、上杜柯乡30.8吨、蒲西乡16吨、宗科乡16、茸木达乡14.1吨、尕多乡31吨、南木达镇32.18吨、石里乡11吨、岗木达镇29.82吨。实际支出项目资金67.338万元，结余资金4.662万元。结余资金财政已收回。</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（二）资金管理情况分析</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FF"/>
          <w:sz w:val="32"/>
          <w:szCs w:val="32"/>
          <w:lang w:val="en-US" w:eastAsia="zh-CN"/>
        </w:rPr>
      </w:pPr>
      <w:r>
        <w:rPr>
          <w:rFonts w:ascii="仿宋_GB2312" w:eastAsia="仿宋_GB2312" w:cs="仿宋_GB2312" w:hint="eastAsia"/>
          <w:color w:val="auto"/>
          <w:sz w:val="32"/>
          <w:szCs w:val="32"/>
          <w:lang w:val="en-US" w:eastAsia="zh-CN"/>
        </w:rPr>
        <w:t>严格《中央财政农业生产和水利救灾资金管理办法》规定，按照政府采购要求进行采购。我县结合实际情况，采购青干草290吨全部用于灾后救灾越冬储备，</w:t>
      </w:r>
      <w:r>
        <w:rPr>
          <w:rFonts w:ascii="仿宋_GB2312" w:eastAsia="仿宋_GB2312" w:cs="仿宋_GB2312" w:hint="eastAsia"/>
          <w:bCs/>
          <w:color w:val="auto"/>
          <w:kern w:val="0"/>
          <w:sz w:val="32"/>
          <w:szCs w:val="32"/>
          <w:lang w:val="en-US" w:eastAsia="zh-CN" w:bidi="ar-SA"/>
        </w:rPr>
        <w:t>建设财务管理制度、设置资金管理机构、通过会计核算进项专项专管，严格执行财务管理制度，项目资金财务处理及时、会计核算规范。</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（三）总体绩效目标完成情况分析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2022年壤塘县中央财政农业生产和水利救灾资金项目总投资72万元，采购青干草290.34吨，实际支出项目资金67.338万元，资金支付合规合法，与预算相符。任务完成量为100%。结余资金4.662万元，财政已收回。</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（四）绩效指标完成情况分析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产出指标分析：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（1）数量指标分析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计划投资72万元，采购青干草290吨。实际投资67.338万元，采购青干草290.34吨，发放全县11个乡镇。其中上壤塘乡43吨、中壤塘镇41.44吨、吾依乡25吨、上杜柯乡30.8吨、蒲西乡16吨、宗科乡16、茸木达乡14.1吨、尕多乡31吨、南木达镇32.18吨、石里乡11吨、岗木达镇29.82吨。任务完成量为100%。</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（2）质量指标分析</w:t>
      </w:r>
    </w:p>
    <w:p>
      <w:pPr>
        <w:pStyle w:val="16"/>
        <w:keepNext w:val="0"/>
        <w:keepLines w:val="0"/>
        <w:pageBreakBefore w:val="0"/>
        <w:widowControl w:val="0"/>
        <w:kinsoku/>
        <w:wordWrap/>
        <w:overflowPunct/>
        <w:topLinePunct w:val="0"/>
        <w:autoSpaceDE/>
        <w:autoSpaceDN/>
        <w:bidi w:val="0"/>
        <w:adjustRightInd/>
        <w:spacing w:before="0" w:line="56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实际投资67.338万元，采购青干草290.34吨，发放全县11个乡镇，发放率达到100%。</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（3）时效指标分析</w:t>
      </w:r>
    </w:p>
    <w:p>
      <w:pPr>
        <w:pStyle w:val="16"/>
        <w:keepNext w:val="0"/>
        <w:keepLines w:val="0"/>
        <w:pageBreakBefore w:val="0"/>
        <w:widowControl w:val="0"/>
        <w:kinsoku/>
        <w:wordWrap/>
        <w:overflowPunct/>
        <w:topLinePunct w:val="0"/>
        <w:autoSpaceDE/>
        <w:autoSpaceDN/>
        <w:bidi w:val="0"/>
        <w:adjustRightInd/>
        <w:spacing w:before="0" w:line="56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2022年1月-2月开始编制方案、备案工作</w:t>
      </w:r>
    </w:p>
    <w:p>
      <w:pPr>
        <w:pStyle w:val="16"/>
        <w:keepNext w:val="0"/>
        <w:keepLines w:val="0"/>
        <w:pageBreakBefore w:val="0"/>
        <w:widowControl w:val="0"/>
        <w:kinsoku/>
        <w:wordWrap/>
        <w:overflowPunct/>
        <w:topLinePunct w:val="0"/>
        <w:autoSpaceDE/>
        <w:autoSpaceDN/>
        <w:bidi w:val="0"/>
        <w:adjustRightInd/>
        <w:spacing w:before="0" w:line="56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2022年5月-11月采购、验收</w:t>
      </w:r>
    </w:p>
    <w:p>
      <w:pPr>
        <w:pStyle w:val="16"/>
        <w:keepNext w:val="0"/>
        <w:keepLines w:val="0"/>
        <w:pageBreakBefore w:val="0"/>
        <w:widowControl w:val="0"/>
        <w:kinsoku/>
        <w:wordWrap/>
        <w:overflowPunct/>
        <w:topLinePunct w:val="0"/>
        <w:autoSpaceDE/>
        <w:autoSpaceDN/>
        <w:bidi w:val="0"/>
        <w:adjustRightInd/>
        <w:spacing w:before="0" w:line="56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2022年12月完成拨付资金，任务完成100%。</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（4）成本指标</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outlineLvl w:val="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2022年壤塘县中央财政农业生产和水利救灾资金，该项目总投资67.338万元，任务完成量为100%。</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效益指标分析：</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（1）经济效益指标</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outlineLvl w:val="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以每吨青干草0.25万元计算，72万元可购买青干草288吨，以每头牛每天补饲8公斤计算，每年受灾20天，288吨青干草可供应1800头牛。</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（2）生态效益指标</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outlineLvl w:val="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本项目针对壤塘县自然灾害频繁、家畜在冷季严重缺草，经常造成大量掉膘和死亡，以及实施退牧还草后家畜的补饲草料等突出问题，开展打贮草基地建设，对于增强畜牧业的防灾抗灾能力，为牲畜贮备越冬度春饲草料，实现畜牧业的可持续发展具有重要意义。该项目的实施可以为牲畜贮备越冬度春饲草料，对于增强畜牧业的防灾抗灾能力，减少自然灾害对牲畜造成掉膘和死亡，实现草地资源、生态环境、畜牧业经济发展之间相互协调，相互促进，生态系统恢复良性循环，草原自我调控能力和生态服务功能显著增强创造条件。</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outlineLvl w:val="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（3）社会效益指标</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outlineLvl w:val="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通过项目实施，使壤塘县薄弱的冬季饲草料储备能力得到有效缓解，增强畜牧业的防灾抗灾能力，极大地减少自然灾害给畜牧业造成的损失。</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rPr>
          <w:rFonts w:ascii="黑体" w:eastAsia="黑体" w:cs="黑体" w:hint="eastAsia"/>
          <w:b w:val="0"/>
          <w:bCs/>
          <w:sz w:val="32"/>
          <w:szCs w:val="32"/>
        </w:rPr>
      </w:pPr>
      <w:r>
        <w:rPr>
          <w:rFonts w:ascii="黑体" w:eastAsia="黑体" w:cs="黑体" w:hint="eastAsia"/>
          <w:b w:val="0"/>
          <w:bCs/>
          <w:sz w:val="32"/>
          <w:szCs w:val="32"/>
          <w:lang w:val="en-US" w:eastAsia="zh-CN"/>
        </w:rPr>
        <w:t>三、</w:t>
      </w:r>
      <w:r>
        <w:rPr>
          <w:rFonts w:ascii="黑体" w:eastAsia="黑体" w:cs="黑体" w:hint="eastAsia"/>
          <w:b w:val="0"/>
          <w:bCs/>
          <w:sz w:val="32"/>
          <w:szCs w:val="32"/>
        </w:rPr>
        <w:t>偏离绩效目标的原因和下一步改进措施</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outlineLvl w:val="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本年度该项目严格按照实施方案，未偏离绩效。资金支付合规合法，2022年12月20日前评价时点任务完成量为100%。</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rPr>
          <w:rFonts w:ascii="黑体" w:eastAsia="黑体" w:cs="黑体" w:hint="eastAsia"/>
          <w:b w:val="0"/>
          <w:bCs/>
          <w:sz w:val="32"/>
          <w:szCs w:val="32"/>
          <w:lang w:val="en-US" w:eastAsia="zh-CN"/>
        </w:rPr>
      </w:pPr>
      <w:r>
        <w:rPr>
          <w:rFonts w:ascii="黑体" w:eastAsia="黑体" w:cs="黑体" w:hint="eastAsia"/>
          <w:b w:val="0"/>
          <w:bCs/>
          <w:sz w:val="32"/>
          <w:szCs w:val="32"/>
          <w:lang w:val="en-US" w:eastAsia="zh-CN"/>
        </w:rPr>
        <w:t>四、绩效自评结果拟应用和公开情况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outlineLvl w:val="0"/>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2022年壤塘县中央财政农业生产和水利救灾资金项目于2022年12月内完成了公示公开。采购青干草290.34吨，发放全县11个乡镇。其中上壤塘乡43吨、中壤塘镇41.44吨、吾依乡25吨、上杜柯乡30.8吨、蒲西乡16吨、宗科乡16、茸木达乡14.1吨、尕多乡31吨、南木达镇32.18吨、石里乡11吨、岗木达镇29.82吨。任务完成量为100%。</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rPr>
          <w:rFonts w:ascii="黑体" w:eastAsia="黑体" w:cs="黑体" w:hint="eastAsia"/>
          <w:b w:val="0"/>
          <w:bCs/>
          <w:sz w:val="32"/>
          <w:szCs w:val="32"/>
          <w:lang w:val="en-US" w:eastAsia="zh-CN"/>
        </w:rPr>
      </w:pPr>
      <w:r>
        <w:rPr>
          <w:rFonts w:ascii="黑体" w:eastAsia="黑体" w:cs="黑体" w:hint="eastAsia"/>
          <w:b w:val="0"/>
          <w:bCs/>
          <w:sz w:val="32"/>
          <w:szCs w:val="32"/>
          <w:lang w:val="en-US" w:eastAsia="zh-CN"/>
        </w:rPr>
        <w:t>五、其他需要的问题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w:t>
      </w:r>
      <w:r>
        <w:rPr>
          <w:rFonts w:ascii="楷体_GB2312" w:eastAsia="楷体_GB2312" w:cs="楷体_GB2312" w:hint="eastAsia"/>
          <w:b/>
          <w:bCs w:val="0"/>
          <w:color w:val="auto"/>
          <w:sz w:val="32"/>
          <w:szCs w:val="32"/>
          <w:u w:val="none"/>
          <w:lang w:val="en-US" w:eastAsia="zh-CN"/>
          <w:highlight w:val="auto"/>
        </w:rPr>
        <w:t>一</w:t>
      </w:r>
      <w:r>
        <w:rPr>
          <w:rFonts w:ascii="楷体_GB2312" w:eastAsia="楷体_GB2312" w:cs="楷体_GB2312" w:hint="eastAsia"/>
          <w:b/>
          <w:bCs w:val="0"/>
          <w:color w:val="auto"/>
          <w:sz w:val="32"/>
          <w:szCs w:val="32"/>
          <w:u w:val="none"/>
          <w:lang w:val="zh-CN"/>
          <w:highlight w:val="auto"/>
        </w:rPr>
        <w:t>）存在的问题</w:t>
      </w:r>
    </w:p>
    <w:p>
      <w:pPr>
        <w:spacing w:line="560" w:lineRule="exact"/>
        <w:ind w:firstLineChars="200" w:firstLine="640"/>
        <w:rPr>
          <w:rFonts w:ascii="仿宋" w:eastAsia="仿宋" w:cs="仿宋" w:hint="eastAsia"/>
          <w:sz w:val="32"/>
          <w:szCs w:val="32"/>
        </w:rPr>
      </w:pPr>
      <w:r>
        <w:rPr>
          <w:rFonts w:ascii="仿宋" w:eastAsia="仿宋" w:cs="仿宋" w:hint="eastAsia"/>
          <w:sz w:val="32"/>
          <w:szCs w:val="32"/>
        </w:rPr>
        <w:t>1、牧户对牲畜越冬度春饲草储备重视不够，冬春牧草缺口较大，防灾救灾能力严重不足；</w:t>
      </w:r>
    </w:p>
    <w:p>
      <w:pPr>
        <w:spacing w:line="560" w:lineRule="exact"/>
        <w:ind w:firstLineChars="200" w:firstLine="640"/>
        <w:rPr>
          <w:rFonts w:ascii="仿宋" w:eastAsia="仿宋" w:cs="仿宋" w:hint="eastAsia"/>
          <w:sz w:val="32"/>
          <w:szCs w:val="32"/>
        </w:rPr>
      </w:pPr>
      <w:r>
        <w:rPr>
          <w:rFonts w:ascii="仿宋" w:eastAsia="仿宋" w:cs="仿宋" w:hint="eastAsia"/>
          <w:sz w:val="32"/>
          <w:szCs w:val="32"/>
        </w:rPr>
        <w:t xml:space="preserve"> 2、客观存在牧草生产能力、打储草设施不足，养殖方式粗放等问题；</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w:t>
      </w:r>
      <w:r>
        <w:rPr>
          <w:rFonts w:ascii="楷体_GB2312" w:eastAsia="楷体_GB2312" w:cs="楷体_GB2312" w:hint="eastAsia"/>
          <w:b/>
          <w:bCs w:val="0"/>
          <w:color w:val="auto"/>
          <w:sz w:val="32"/>
          <w:szCs w:val="32"/>
          <w:u w:val="none"/>
          <w:lang w:val="en-US" w:eastAsia="zh-CN"/>
          <w:highlight w:val="auto"/>
        </w:rPr>
        <w:t>二</w:t>
      </w:r>
      <w:r>
        <w:rPr>
          <w:rFonts w:ascii="楷体_GB2312" w:eastAsia="楷体_GB2312" w:cs="楷体_GB2312" w:hint="eastAsia"/>
          <w:b/>
          <w:bCs w:val="0"/>
          <w:color w:val="auto"/>
          <w:sz w:val="32"/>
          <w:szCs w:val="32"/>
          <w:u w:val="none"/>
          <w:lang w:val="zh-CN"/>
          <w:highlight w:val="auto"/>
        </w:rPr>
        <w:t>）相关建议</w:t>
      </w:r>
    </w:p>
    <w:p>
      <w:pPr>
        <w:spacing w:line="560" w:lineRule="exact"/>
        <w:ind w:firstLineChars="200" w:firstLine="640"/>
        <w:rPr>
          <w:rFonts w:ascii="仿宋" w:eastAsia="仿宋" w:cs="仿宋" w:hint="eastAsia"/>
          <w:sz w:val="32"/>
          <w:szCs w:val="32"/>
        </w:rPr>
      </w:pPr>
      <w:r>
        <w:rPr>
          <w:rFonts w:ascii="仿宋" w:eastAsia="仿宋" w:cs="仿宋" w:hint="eastAsia"/>
          <w:sz w:val="32"/>
          <w:szCs w:val="32"/>
        </w:rPr>
        <w:t>1、加强科学养畜宣传，倡导放牧+补饲等现代养殖模式，提高牧户牦牛养殖水平，增强冬春牧草储备意识和主动性；</w:t>
      </w:r>
    </w:p>
    <w:p>
      <w:pPr>
        <w:spacing w:line="560" w:lineRule="exact"/>
        <w:ind w:firstLineChars="200" w:firstLine="640"/>
        <w:rPr>
          <w:rFonts w:ascii="仿宋" w:eastAsia="仿宋" w:cs="仿宋" w:hint="eastAsia"/>
          <w:sz w:val="32"/>
          <w:szCs w:val="32"/>
        </w:rPr>
      </w:pPr>
      <w:r>
        <w:rPr>
          <w:rFonts w:ascii="仿宋" w:eastAsia="仿宋" w:cs="仿宋" w:hint="eastAsia"/>
          <w:sz w:val="32"/>
          <w:szCs w:val="32"/>
        </w:rPr>
        <w:t>2、加强牧草生产能力建设，通过卧圈种草、牧草基地建设、草原封育补播和打储草设施建设等举措，有效提高牧草生产能力；</w:t>
      </w:r>
    </w:p>
    <w:p>
      <w:pPr>
        <w:spacing w:line="560" w:lineRule="exact"/>
        <w:ind w:firstLineChars="200" w:firstLine="640"/>
        <w:rPr>
          <w:rFonts w:ascii="仿宋" w:eastAsia="仿宋" w:cs="仿宋" w:hint="eastAsia"/>
          <w:sz w:val="32"/>
          <w:szCs w:val="32"/>
        </w:rPr>
      </w:pPr>
      <w:r>
        <w:rPr>
          <w:rFonts w:ascii="仿宋" w:eastAsia="仿宋" w:cs="仿宋" w:hint="eastAsia"/>
          <w:sz w:val="32"/>
          <w:szCs w:val="32"/>
        </w:rPr>
        <w:t>3、加强救灾牧草的科学调度。一是根据我县实际需求，多方争取资金，增加救灾牧草供给；二是深入调研，提高救灾牧草发放覆盖率，力求救灾牧草发放更具针对性。</w:t>
      </w:r>
    </w:p>
    <w:p>
      <w:pPr>
        <w:pStyle w:val="15"/>
        <w:rPr>
          <w:rFonts w:ascii="仿宋" w:eastAsia="仿宋" w:cs="仿宋" w:hint="eastAsia"/>
          <w:sz w:val="32"/>
          <w:szCs w:val="32"/>
        </w:rPr>
      </w:pPr>
    </w:p>
    <w:p>
      <w:pPr>
        <w:pStyle w:val="26"/>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仿宋_GB2312" w:eastAsia="仿宋_GB2312" w:cs="仿宋_GB2312" w:hint="eastAsia"/>
          <w:b/>
          <w:bCs/>
          <w:color w:val="auto"/>
          <w:sz w:val="32"/>
          <w:szCs w:val="32"/>
          <w:lang w:val="zh-CN" w:eastAsia="zh-CN"/>
          <w:highlight w:val="auto"/>
        </w:rPr>
      </w:pPr>
      <w:r>
        <w:rPr>
          <w:rFonts w:ascii="仿宋" w:eastAsia="仿宋" w:cs="仿宋" w:hint="eastAsia"/>
          <w:b/>
          <w:bCs/>
          <w:color w:val="auto"/>
          <w:sz w:val="32"/>
          <w:szCs w:val="32"/>
          <w:lang w:val="zh-CN" w:eastAsia="zh-CN"/>
          <w:highlight w:val="auto"/>
        </w:rPr>
        <w:t>附表：</w:t>
      </w:r>
      <w:r>
        <w:rPr>
          <w:rFonts w:ascii="仿宋" w:eastAsia="仿宋" w:cs="仿宋" w:hint="eastAsia"/>
          <w:b/>
          <w:bCs/>
          <w:i w:val="0"/>
          <w:color w:val="000000"/>
          <w:kern w:val="0"/>
          <w:sz w:val="32"/>
          <w:szCs w:val="32"/>
          <w:u w:val="none"/>
          <w:lang w:val="en-US" w:eastAsia="zh-CN"/>
        </w:rPr>
        <w:t>农业产业化项目</w:t>
      </w:r>
      <w:r>
        <w:rPr>
          <w:rFonts w:ascii="仿宋" w:eastAsia="仿宋" w:cs="仿宋" w:hint="eastAsia"/>
          <w:b/>
          <w:bCs/>
          <w:color w:val="auto"/>
          <w:sz w:val="32"/>
          <w:szCs w:val="32"/>
          <w:lang w:val="en-US" w:eastAsia="zh-CN"/>
          <w:highlight w:val="auto"/>
        </w:rPr>
        <w:t>支出绩效自评表（2022年</w:t>
      </w:r>
      <w:r>
        <w:rPr>
          <w:rFonts w:ascii="仿宋_GB2312" w:eastAsia="仿宋_GB2312" w:cs="仿宋_GB2312" w:hint="eastAsia"/>
          <w:b/>
          <w:bCs/>
          <w:color w:val="auto"/>
          <w:sz w:val="32"/>
          <w:szCs w:val="32"/>
          <w:lang w:val="en-US" w:eastAsia="zh-CN"/>
          <w:highlight w:val="auto"/>
        </w:rPr>
        <w:t>度）</w:t>
      </w:r>
    </w:p>
    <w:tbl>
      <w:tblPr>
        <w:jc w:val="left"/>
        <w:tblInd w:w="0" w:type="dxa"/>
        <w:tblW w:w="9480" w:type="dxa"/>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
      <w:tblGrid>
        <w:gridCol w:w="683"/>
        <w:gridCol w:w="1184"/>
        <w:gridCol w:w="1289"/>
        <w:gridCol w:w="1828"/>
        <w:gridCol w:w="521"/>
        <w:gridCol w:w="570"/>
        <w:gridCol w:w="960"/>
        <w:gridCol w:w="505"/>
        <w:gridCol w:w="456"/>
        <w:gridCol w:w="1484"/>
      </w:tblGrid>
      <w:tr>
        <w:trPr>
          <w:trHeight w:val="904"/>
        </w:trPr>
        <w:tc>
          <w:tcPr>
            <w:tcW w:w="9480"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b/>
                <w:i w:val="0"/>
                <w:color w:val="000000"/>
                <w:sz w:val="21"/>
                <w:szCs w:val="21"/>
                <w:u w:val="none"/>
              </w:rPr>
            </w:pPr>
            <w:r>
              <w:rPr>
                <w:rFonts w:ascii="仿宋" w:eastAsia="仿宋" w:cs="仿宋" w:hint="eastAsia"/>
                <w:b/>
                <w:i w:val="0"/>
                <w:color w:val="000000"/>
                <w:kern w:val="0"/>
                <w:sz w:val="21"/>
                <w:szCs w:val="21"/>
                <w:u w:val="none"/>
                <w:lang w:val="en-US" w:eastAsia="zh-CN"/>
              </w:rPr>
              <w:t>部门预算项目支出绩效自评表（2022年度）</w:t>
            </w:r>
          </w:p>
        </w:tc>
      </w:tr>
      <w:tr>
        <w:trPr>
          <w:trHeight w:val="286"/>
        </w:trPr>
        <w:tc>
          <w:tcPr>
            <w:tcW w:w="186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项目名称</w:t>
            </w:r>
          </w:p>
        </w:tc>
        <w:tc>
          <w:tcPr>
            <w:tcW w:w="7613"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农业产业化项目</w:t>
            </w:r>
          </w:p>
        </w:tc>
      </w:tr>
      <w:tr>
        <w:trPr>
          <w:trHeight w:val="512"/>
        </w:trPr>
        <w:tc>
          <w:tcPr>
            <w:tcW w:w="186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主管部门</w:t>
            </w: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壤塘县科学技术和农业畜牧局</w:t>
            </w:r>
          </w:p>
        </w:tc>
        <w:tc>
          <w:tcPr>
            <w:tcW w:w="960"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实施单位 （盖章）</w:t>
            </w:r>
          </w:p>
        </w:tc>
        <w:tc>
          <w:tcPr>
            <w:tcW w:w="2445"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壤塘县科学技术和农业</w:t>
            </w:r>
          </w:p>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畜牧局</w:t>
            </w:r>
          </w:p>
        </w:tc>
      </w:tr>
      <w:tr>
        <w:trPr>
          <w:trHeight w:val="286"/>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项目基本情况</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1.项目年度目标完成情况</w:t>
            </w: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项目年度目标</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年度目标完成情况</w:t>
            </w:r>
          </w:p>
        </w:tc>
      </w:tr>
      <w:tr>
        <w:trPr>
          <w:trHeight w:val="708"/>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2022年壤塘县《农业产业化项目》项目年初计划投资230万元，计划针对全县农业产业园区（基地）及种植大户进行扶持。根据我县农业产业发展实际，全县</w:t>
            </w:r>
            <w:r>
              <w:rPr>
                <w:rFonts w:ascii="仿宋" w:eastAsia="仿宋" w:cs="仿宋" w:hint="eastAsia"/>
                <w:i w:val="0"/>
                <w:color w:val="000000"/>
                <w:kern w:val="0"/>
                <w:sz w:val="21"/>
                <w:szCs w:val="21"/>
                <w:u w:val="none"/>
                <w:lang w:val="zh-CN" w:eastAsia="zh-CN"/>
              </w:rPr>
              <w:t>实际种植</w:t>
            </w:r>
            <w:r>
              <w:rPr>
                <w:rFonts w:ascii="仿宋" w:eastAsia="仿宋" w:cs="仿宋" w:hint="eastAsia"/>
                <w:i w:val="0"/>
                <w:color w:val="000000"/>
                <w:kern w:val="0"/>
                <w:sz w:val="21"/>
                <w:szCs w:val="21"/>
                <w:u w:val="none"/>
                <w:lang w:val="en-US" w:eastAsia="zh-CN"/>
              </w:rPr>
              <w:t>面积4434.06亩、食用菌包95000包，支付资金152.6590万元。</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根据我县农业产业发展实际，全县</w:t>
            </w:r>
            <w:r>
              <w:rPr>
                <w:rFonts w:ascii="仿宋" w:eastAsia="仿宋" w:cs="仿宋" w:hint="eastAsia"/>
                <w:i w:val="0"/>
                <w:color w:val="000000"/>
                <w:kern w:val="0"/>
                <w:sz w:val="21"/>
                <w:szCs w:val="21"/>
                <w:u w:val="none"/>
                <w:lang w:val="zh-CN" w:eastAsia="zh-CN"/>
              </w:rPr>
              <w:t>实际种植</w:t>
            </w:r>
            <w:r>
              <w:rPr>
                <w:rFonts w:ascii="仿宋" w:eastAsia="仿宋" w:cs="仿宋" w:hint="eastAsia"/>
                <w:i w:val="0"/>
                <w:color w:val="000000"/>
                <w:kern w:val="0"/>
                <w:sz w:val="21"/>
                <w:szCs w:val="21"/>
                <w:u w:val="none"/>
                <w:lang w:val="en-US" w:eastAsia="zh-CN"/>
              </w:rPr>
              <w:t>面积4434.06亩、食用菌包95000包，支付资金152.6590万元。</w:t>
            </w:r>
          </w:p>
        </w:tc>
      </w:tr>
      <w:tr>
        <w:trPr>
          <w:trHeight w:val="693"/>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2.项目实施内容及过程概述</w:t>
            </w:r>
          </w:p>
        </w:tc>
        <w:tc>
          <w:tcPr>
            <w:tcW w:w="7613"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2022年“农业产业化项目”主要的实施内容为：规模种植高原生态蔬菜、豌豆、传统农作物和发展食用菌种植。一是根据壤塘县人民政府办公室关于印发《壤塘县农业产业结构调整扶持办法》的通知（壤府办函〔2021〕8 号）对农作物规模种植及农产品销售、生产加工、品牌建设进行扶持；二是管护、维修维护农业产业基地（园区）基础设施；三是农业产业园区规划；四是开展培训和宣传，支持基地（园区）科技试验。项目建设时间：2022年1月-2022年12月。</w:t>
            </w:r>
          </w:p>
          <w:p>
            <w:pP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2022年壤塘县《农业产业化项目》项目年初计划投资230万元，计划针对全县农业产业园区（基地）及种植大户进行扶持。根据我县农业产业发展实际，全县</w:t>
            </w:r>
            <w:r>
              <w:rPr>
                <w:rFonts w:ascii="仿宋" w:eastAsia="仿宋" w:cs="仿宋" w:hint="eastAsia"/>
                <w:i w:val="0"/>
                <w:color w:val="000000"/>
                <w:kern w:val="0"/>
                <w:sz w:val="21"/>
                <w:szCs w:val="21"/>
                <w:u w:val="none"/>
                <w:lang w:val="zh-CN" w:eastAsia="zh-CN"/>
              </w:rPr>
              <w:t>实际种植</w:t>
            </w:r>
            <w:r>
              <w:rPr>
                <w:rFonts w:ascii="仿宋" w:eastAsia="仿宋" w:cs="仿宋" w:hint="eastAsia"/>
                <w:i w:val="0"/>
                <w:color w:val="000000"/>
                <w:kern w:val="0"/>
                <w:sz w:val="21"/>
                <w:szCs w:val="21"/>
                <w:u w:val="none"/>
                <w:lang w:val="en-US" w:eastAsia="zh-CN"/>
              </w:rPr>
              <w:t>面积4434.06亩、食用菌包95000包，支付资金152.6590万元。根据项目实施方案，该项目完成目标任务。</w:t>
            </w:r>
          </w:p>
        </w:tc>
      </w:tr>
      <w:tr>
        <w:trPr>
          <w:trHeight w:val="680"/>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预算执行情况（10分）</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年度预算数（万元）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年初预算</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调整后预算数</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预算执行数</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得分</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原因</w:t>
            </w:r>
          </w:p>
        </w:tc>
      </w:tr>
      <w:tr>
        <w:trPr>
          <w:trHeight w:val="387"/>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总额</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230</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177</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152.6590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86.24%</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w:t>
            </w: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78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其中：财政资金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230</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177</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152.6590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86.24%</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10</w:t>
            </w: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66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财政专户管理资金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78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单位资金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500"/>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其他资金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w:t>
            </w: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r>
      <w:tr>
        <w:trPr>
          <w:trHeight w:val="452"/>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绩效指标（90分）</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一级指标</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二级指标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三级指标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指标性质</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指标值</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权重</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得分</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未完成原因分析</w:t>
            </w:r>
          </w:p>
        </w:tc>
      </w:tr>
      <w:tr>
        <w:trPr>
          <w:trHeight w:val="339"/>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产出指标</w:t>
            </w:r>
          </w:p>
          <w:p>
            <w:pPr>
              <w:keepNext w:val="0"/>
              <w:keepLines w:val="0"/>
              <w:widowControl/>
              <w:suppressLineNumbers w:val="0"/>
              <w:jc w:val="center"/>
              <w:textAlignment w:val="center"/>
              <w:rPr>
                <w:rFonts w:ascii="仿宋" w:eastAsia="仿宋" w:cs="仿宋" w:hint="eastAsia"/>
                <w:i w:val="0"/>
                <w:color w:val="000000"/>
                <w:sz w:val="21"/>
                <w:szCs w:val="21"/>
                <w:u w:val="none"/>
              </w:rPr>
            </w:pP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0"/>
                <w:sz w:val="21"/>
                <w:szCs w:val="21"/>
                <w:u w:val="none"/>
                <w:lang w:val="en-US" w:eastAsia="zh-CN"/>
              </w:rPr>
              <w:t>数量指标</w:t>
            </w:r>
          </w:p>
          <w:p>
            <w:pPr>
              <w:keepNext w:val="0"/>
              <w:keepLines w:val="0"/>
              <w:widowControl/>
              <w:suppressLineNumbers w:val="0"/>
              <w:jc w:val="center"/>
              <w:textAlignment w:val="center"/>
              <w:rPr>
                <w:rFonts w:ascii="仿宋" w:eastAsia="仿宋" w:cs="仿宋" w:hint="eastAsia"/>
                <w:i w:val="0"/>
                <w:color w:val="auto"/>
                <w:sz w:val="21"/>
                <w:szCs w:val="21"/>
                <w:u w:val="none"/>
              </w:rPr>
            </w:pP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zh-CN" w:eastAsia="zh-CN"/>
              </w:rPr>
              <w:t>种植</w:t>
            </w:r>
            <w:r>
              <w:rPr>
                <w:rFonts w:ascii="仿宋" w:eastAsia="仿宋" w:cs="仿宋" w:hint="eastAsia"/>
                <w:i w:val="0"/>
                <w:color w:val="000000"/>
                <w:kern w:val="0"/>
                <w:sz w:val="21"/>
                <w:szCs w:val="21"/>
                <w:u w:val="none"/>
                <w:lang w:val="en-US" w:eastAsia="zh-CN"/>
              </w:rPr>
              <w:t>面积</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4434.06亩</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376"/>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食用菌包</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95000包</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339"/>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0"/>
                <w:sz w:val="21"/>
                <w:szCs w:val="21"/>
                <w:u w:val="none"/>
                <w:lang w:val="en-US" w:eastAsia="zh-CN"/>
              </w:rPr>
              <w:t>时效指标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按时发放率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339"/>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0"/>
                <w:sz w:val="21"/>
                <w:szCs w:val="21"/>
                <w:u w:val="none"/>
                <w:lang w:val="en-US" w:eastAsia="zh-CN"/>
              </w:rPr>
            </w:pPr>
            <w:r>
              <w:rPr>
                <w:rFonts w:ascii="仿宋" w:eastAsia="仿宋" w:cs="仿宋" w:hint="eastAsia"/>
                <w:i w:val="0"/>
                <w:color w:val="auto"/>
                <w:kern w:val="0"/>
                <w:sz w:val="21"/>
                <w:szCs w:val="21"/>
                <w:u w:val="none"/>
                <w:lang w:val="en-US" w:eastAsia="zh-CN"/>
              </w:rPr>
              <w:t>质量指标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无公害农产品率</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10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10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664"/>
        </w:trPr>
        <w:tc>
          <w:tcPr>
            <w:tcW w:w="6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效益指标</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2"/>
                <w:sz w:val="21"/>
                <w:szCs w:val="21"/>
                <w:u w:val="none"/>
                <w:lang w:val="en-US" w:eastAsia="zh-CN" w:bidi="ar-SA"/>
              </w:rPr>
            </w:pPr>
            <w:r>
              <w:rPr>
                <w:rFonts w:ascii="仿宋" w:eastAsia="仿宋" w:cs="仿宋" w:hint="eastAsia"/>
                <w:i w:val="0"/>
                <w:color w:val="auto"/>
                <w:kern w:val="0"/>
                <w:sz w:val="21"/>
                <w:szCs w:val="21"/>
                <w:u w:val="none"/>
                <w:lang w:val="en-US" w:eastAsia="zh-CN"/>
              </w:rPr>
              <w:t>经济效益指标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bCs/>
                <w:color w:val="auto"/>
                <w:kern w:val="0"/>
                <w:sz w:val="21"/>
                <w:szCs w:val="21"/>
                <w:lang w:val="en-US" w:eastAsia="zh-CN" w:bidi="ar-SA"/>
              </w:rPr>
              <w:t>全县土地流转费</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135万元</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color w:val="000000"/>
                <w:sz w:val="21"/>
                <w:szCs w:val="21"/>
                <w:u w:val="none"/>
                <w:lang w:val="en-US" w:eastAsia="zh-CN"/>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452"/>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sz w:val="21"/>
                <w:szCs w:val="21"/>
                <w:u w:val="none"/>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auto"/>
                <w:kern w:val="0"/>
                <w:sz w:val="21"/>
                <w:szCs w:val="21"/>
                <w:u w:val="none"/>
                <w:lang w:val="en-US" w:eastAsia="zh-CN"/>
              </w:rPr>
            </w:pPr>
            <w:r>
              <w:rPr>
                <w:rFonts w:ascii="仿宋" w:eastAsia="仿宋" w:cs="仿宋" w:hint="eastAsia"/>
                <w:i w:val="0"/>
                <w:color w:val="auto"/>
                <w:kern w:val="0"/>
                <w:sz w:val="21"/>
                <w:szCs w:val="21"/>
                <w:u w:val="none"/>
                <w:lang w:val="en-US" w:eastAsia="zh-CN"/>
              </w:rPr>
              <w:t>生态效益指标</w:t>
            </w:r>
          </w:p>
        </w:tc>
        <w:tc>
          <w:tcPr>
            <w:tcW w:w="18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农药、化肥用量</w:t>
            </w:r>
          </w:p>
        </w:tc>
        <w:tc>
          <w:tcPr>
            <w:tcW w:w="5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零增长</w:t>
            </w:r>
          </w:p>
        </w:tc>
        <w:tc>
          <w:tcPr>
            <w:tcW w:w="5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零增长</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kern w:val="2"/>
                <w:sz w:val="21"/>
                <w:szCs w:val="21"/>
                <w:u w:val="none"/>
                <w:lang w:val="en-US" w:eastAsia="zh-CN" w:bidi="ar-SA"/>
              </w:rPr>
            </w:pPr>
            <w:r>
              <w:rPr>
                <w:rFonts w:ascii="仿宋" w:eastAsia="仿宋" w:cs="仿宋" w:hint="eastAsia"/>
                <w:i w:val="0"/>
                <w:color w:val="000000"/>
                <w:kern w:val="0"/>
                <w:sz w:val="21"/>
                <w:szCs w:val="21"/>
                <w:u w:val="none"/>
                <w:lang w:val="en-US" w:eastAsia="zh-CN"/>
              </w:rPr>
              <w:t>零增长</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kern w:val="0"/>
                <w:sz w:val="21"/>
                <w:szCs w:val="21"/>
                <w:u w:val="none"/>
                <w:lang w:val="en-US" w:eastAsia="zh-CN"/>
              </w:rPr>
            </w:pPr>
            <w:r>
              <w:rPr>
                <w:rFonts w:ascii="仿宋" w:eastAsia="仿宋" w:cs="仿宋" w:hint="eastAsia"/>
                <w:i w:val="0"/>
                <w:color w:val="000000"/>
                <w:kern w:val="0"/>
                <w:sz w:val="21"/>
                <w:szCs w:val="21"/>
                <w:u w:val="none"/>
                <w:lang w:val="en-US" w:eastAsia="zh-CN"/>
              </w:rPr>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val="0"/>
                <w:color w:val="000000"/>
                <w:kern w:val="2"/>
                <w:sz w:val="21"/>
                <w:szCs w:val="21"/>
                <w:u w:val="none"/>
                <w:lang w:val="en-US" w:eastAsia="zh-CN" w:bidi="ar-SA"/>
              </w:rPr>
            </w:pPr>
            <w:r>
              <w:rPr>
                <w:rFonts w:ascii="仿宋" w:eastAsia="仿宋" w:cs="仿宋" w:hint="eastAsia"/>
                <w:i w:val="0"/>
                <w:color w:val="000000"/>
                <w:sz w:val="21"/>
                <w:szCs w:val="21"/>
                <w:u w:val="none"/>
                <w:lang w:val="en-US" w:eastAsia="zh-CN"/>
              </w:rPr>
              <w:t>20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仿宋" w:eastAsia="仿宋" w:cs="仿宋" w:hint="eastAsia"/>
                <w:i/>
                <w:color w:val="000000"/>
                <w:sz w:val="21"/>
                <w:szCs w:val="21"/>
                <w:u w:val="none"/>
              </w:rPr>
            </w:pPr>
          </w:p>
        </w:tc>
      </w:tr>
      <w:tr>
        <w:trPr>
          <w:trHeight w:val="900"/>
        </w:trPr>
        <w:tc>
          <w:tcPr>
            <w:tcW w:w="7035"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100</w:t>
            </w:r>
          </w:p>
        </w:tc>
        <w:tc>
          <w:tcPr>
            <w:tcW w:w="4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sz w:val="21"/>
                <w:szCs w:val="21"/>
                <w:u w:val="none"/>
                <w:lang w:val="en-US" w:eastAsia="zh-CN"/>
              </w:rPr>
            </w:pPr>
            <w:r>
              <w:rPr>
                <w:rFonts w:ascii="仿宋" w:eastAsia="仿宋" w:cs="仿宋" w:hint="eastAsia"/>
                <w:i w:val="0"/>
                <w:color w:val="000000"/>
                <w:sz w:val="21"/>
                <w:szCs w:val="21"/>
                <w:u w:val="none"/>
                <w:lang w:val="en-US" w:eastAsia="zh-CN"/>
              </w:rPr>
              <w:t>100</w:t>
            </w:r>
          </w:p>
        </w:tc>
        <w:tc>
          <w:tcPr>
            <w:tcW w:w="148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 w:eastAsia="仿宋" w:cs="仿宋" w:hint="eastAsia"/>
                <w:i w:val="0"/>
                <w:color w:val="000000"/>
                <w:sz w:val="21"/>
                <w:szCs w:val="21"/>
                <w:u w:val="none"/>
              </w:rPr>
            </w:pPr>
          </w:p>
        </w:tc>
      </w:tr>
      <w:tr>
        <w:trPr>
          <w:trHeight w:val="1140"/>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评价结论</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adjustRightInd w:val="0"/>
              <w:snapToGrid w:val="0"/>
              <w:spacing w:line="540" w:lineRule="exact"/>
              <w:ind w:firstLineChars="200" w:firstLine="420"/>
              <w:jc w:val="left"/>
              <w:rPr>
                <w:rFonts w:ascii="仿宋" w:eastAsia="仿宋" w:cs="仿宋" w:hint="eastAsia"/>
                <w:i w:val="0"/>
                <w:iCs/>
                <w:color w:val="000000"/>
                <w:kern w:val="0"/>
                <w:sz w:val="21"/>
                <w:szCs w:val="21"/>
                <w:u w:val="none"/>
                <w:lang w:val="en-US" w:eastAsia="zh-CN"/>
              </w:rPr>
            </w:pPr>
            <w:r>
              <w:rPr>
                <w:rFonts w:ascii="仿宋" w:eastAsia="仿宋" w:cs="仿宋" w:hint="eastAsia"/>
                <w:i w:val="0"/>
                <w:iCs/>
                <w:color w:val="000000"/>
                <w:kern w:val="0"/>
                <w:sz w:val="21"/>
                <w:szCs w:val="21"/>
                <w:u w:val="none"/>
                <w:lang w:val="en-US" w:eastAsia="zh-CN"/>
              </w:rPr>
              <w:t>通过该项目的实施，让全县上下不断探索农业工作新思路，推进农业产业结构调整的思路得到具体落实。让农户学习到新的经营管理模式，学习到新的种植技术和方法。重新树立正确的种植业理念，逐步调动肯吃苦、会管理、懂经营等农户的生产积极性。充分利用当地土地资源发展高原蔬菜种植业生产，带动广大农牧民增收致富，减少采挖野生资源对草场和林地的破坏，保护草场和林地的生态环境；通过项目的实施，有效推广机械化作业，改善土壤结构，促进土壤中的微生物和水、热、气、肥良性循环，有利于促进生态农业的健康发展。</w:t>
            </w:r>
          </w:p>
          <w:p>
            <w:pPr>
              <w:keepNext w:val="0"/>
              <w:keepLines w:val="0"/>
              <w:widowControl/>
              <w:suppressLineNumbers w:val="0"/>
              <w:jc w:val="left"/>
              <w:textAlignment w:val="center"/>
              <w:rPr>
                <w:rFonts w:ascii="仿宋" w:eastAsia="仿宋" w:cs="仿宋" w:hint="eastAsia"/>
                <w:i/>
                <w:color w:val="000000"/>
                <w:sz w:val="21"/>
                <w:szCs w:val="21"/>
                <w:u w:val="none"/>
              </w:rPr>
            </w:pPr>
          </w:p>
        </w:tc>
      </w:tr>
      <w:tr>
        <w:trPr>
          <w:trHeight w:val="572"/>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存在问题</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adjustRightInd w:val="0"/>
              <w:snapToGrid w:val="0"/>
              <w:spacing w:line="540" w:lineRule="exact"/>
              <w:ind w:firstLineChars="200" w:firstLine="420"/>
              <w:jc w:val="left"/>
              <w:rPr>
                <w:rFonts w:ascii="仿宋" w:eastAsia="仿宋" w:cs="仿宋" w:hint="eastAsia"/>
                <w:i w:val="0"/>
                <w:iCs/>
                <w:color w:val="000000"/>
                <w:kern w:val="0"/>
                <w:sz w:val="21"/>
                <w:szCs w:val="21"/>
                <w:u w:val="none"/>
                <w:lang w:val="zh-CN" w:eastAsia="zh-CN"/>
              </w:rPr>
            </w:pPr>
            <w:r>
              <w:rPr>
                <w:rFonts w:ascii="仿宋" w:eastAsia="仿宋" w:cs="仿宋" w:hint="eastAsia"/>
                <w:i w:val="0"/>
                <w:iCs/>
                <w:color w:val="000000"/>
                <w:kern w:val="0"/>
                <w:sz w:val="21"/>
                <w:szCs w:val="21"/>
                <w:u w:val="none"/>
                <w:lang w:val="en-US" w:eastAsia="zh-CN"/>
              </w:rPr>
              <w:t>1.</w:t>
            </w:r>
            <w:r>
              <w:rPr>
                <w:rFonts w:ascii="仿宋" w:eastAsia="仿宋" w:cs="仿宋" w:hint="eastAsia"/>
                <w:i w:val="0"/>
                <w:iCs/>
                <w:color w:val="000000"/>
                <w:kern w:val="0"/>
                <w:sz w:val="21"/>
                <w:szCs w:val="21"/>
                <w:u w:val="none"/>
                <w:lang w:val="zh-CN" w:eastAsia="zh-CN"/>
              </w:rPr>
              <w:t>农业园区基地</w:t>
            </w:r>
            <w:r>
              <w:rPr>
                <w:rFonts w:ascii="仿宋" w:eastAsia="仿宋" w:cs="仿宋" w:hint="eastAsia"/>
                <w:i w:val="0"/>
                <w:iCs/>
                <w:color w:val="000000"/>
                <w:kern w:val="0"/>
                <w:sz w:val="21"/>
                <w:szCs w:val="21"/>
                <w:u w:val="none"/>
                <w:lang w:val="en-US" w:eastAsia="zh-CN"/>
              </w:rPr>
              <w:t>管理</w:t>
            </w:r>
            <w:r>
              <w:rPr>
                <w:rFonts w:ascii="仿宋" w:eastAsia="仿宋" w:cs="仿宋" w:hint="eastAsia"/>
                <w:i w:val="0"/>
                <w:iCs/>
                <w:color w:val="000000"/>
                <w:kern w:val="0"/>
                <w:sz w:val="21"/>
                <w:szCs w:val="21"/>
                <w:u w:val="none"/>
                <w:lang w:val="zh-CN" w:eastAsia="zh-CN"/>
              </w:rPr>
              <w:t>不规范，</w:t>
            </w:r>
            <w:r>
              <w:rPr>
                <w:rFonts w:ascii="仿宋" w:eastAsia="仿宋" w:cs="仿宋" w:hint="eastAsia"/>
                <w:i w:val="0"/>
                <w:iCs/>
                <w:color w:val="000000"/>
                <w:kern w:val="0"/>
                <w:sz w:val="21"/>
                <w:szCs w:val="21"/>
                <w:u w:val="none"/>
                <w:lang w:val="en-US" w:eastAsia="zh-CN"/>
              </w:rPr>
              <w:t>从业人员的种植技术需继续提高</w:t>
            </w:r>
            <w:r>
              <w:rPr>
                <w:rFonts w:ascii="仿宋" w:eastAsia="仿宋" w:cs="仿宋" w:hint="eastAsia"/>
                <w:i w:val="0"/>
                <w:iCs/>
                <w:color w:val="000000"/>
                <w:kern w:val="0"/>
                <w:sz w:val="21"/>
                <w:szCs w:val="21"/>
                <w:u w:val="none"/>
                <w:lang w:val="zh-CN" w:eastAsia="zh-CN"/>
              </w:rPr>
              <w:t>。</w:t>
            </w:r>
          </w:p>
          <w:p>
            <w:pPr>
              <w:adjustRightInd w:val="0"/>
              <w:snapToGrid w:val="0"/>
              <w:spacing w:line="540" w:lineRule="exact"/>
              <w:ind w:firstLineChars="200" w:firstLine="420"/>
              <w:jc w:val="left"/>
              <w:rPr>
                <w:rFonts w:ascii="仿宋" w:eastAsia="仿宋" w:cs="仿宋" w:hint="eastAsia"/>
                <w:i w:val="0"/>
                <w:iCs/>
                <w:color w:val="000000"/>
                <w:kern w:val="0"/>
                <w:sz w:val="21"/>
                <w:szCs w:val="21"/>
                <w:u w:val="none"/>
                <w:lang w:val="en-US" w:eastAsia="zh-CN"/>
              </w:rPr>
            </w:pPr>
            <w:r>
              <w:rPr>
                <w:rFonts w:ascii="仿宋" w:eastAsia="仿宋" w:cs="仿宋" w:hint="eastAsia"/>
                <w:i w:val="0"/>
                <w:iCs/>
                <w:color w:val="000000"/>
                <w:kern w:val="0"/>
                <w:sz w:val="21"/>
                <w:szCs w:val="21"/>
                <w:u w:val="none"/>
                <w:lang w:val="en-US" w:eastAsia="zh-CN"/>
              </w:rPr>
              <w:t>2.防灾减灾设施需继续建设。</w:t>
            </w:r>
          </w:p>
          <w:p>
            <w:pPr>
              <w:keepNext w:val="0"/>
              <w:keepLines w:val="0"/>
              <w:widowControl/>
              <w:suppressLineNumbers w:val="0"/>
              <w:jc w:val="left"/>
              <w:textAlignment w:val="center"/>
              <w:rPr>
                <w:rFonts w:ascii="仿宋" w:eastAsia="仿宋" w:cs="仿宋" w:hint="eastAsia"/>
                <w:i w:val="0"/>
                <w:iCs/>
                <w:color w:val="000000"/>
                <w:sz w:val="21"/>
                <w:szCs w:val="21"/>
                <w:u w:val="none"/>
              </w:rPr>
            </w:pPr>
          </w:p>
        </w:tc>
      </w:tr>
      <w:tr>
        <w:trPr>
          <w:trHeight w:val="633"/>
        </w:trPr>
        <w:tc>
          <w:tcPr>
            <w:tcW w:w="6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 w:eastAsia="仿宋" w:cs="仿宋" w:hint="eastAsia"/>
                <w:i w:val="0"/>
                <w:color w:val="000000"/>
                <w:sz w:val="21"/>
                <w:szCs w:val="21"/>
                <w:u w:val="none"/>
              </w:rPr>
            </w:pPr>
            <w:r>
              <w:rPr>
                <w:rFonts w:ascii="仿宋" w:eastAsia="仿宋" w:cs="仿宋" w:hint="eastAsia"/>
                <w:i w:val="0"/>
                <w:color w:val="000000"/>
                <w:kern w:val="0"/>
                <w:sz w:val="21"/>
                <w:szCs w:val="21"/>
                <w:u w:val="none"/>
                <w:lang w:val="en-US" w:eastAsia="zh-CN"/>
              </w:rPr>
              <w:t>改进措施</w:t>
            </w:r>
          </w:p>
        </w:tc>
        <w:tc>
          <w:tcPr>
            <w:tcW w:w="8797"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adjustRightInd w:val="0"/>
              <w:snapToGrid w:val="0"/>
              <w:spacing w:line="540" w:lineRule="exact"/>
              <w:ind w:firstLineChars="200" w:firstLine="420"/>
              <w:jc w:val="left"/>
              <w:rPr>
                <w:rFonts w:ascii="仿宋" w:eastAsia="仿宋" w:cs="仿宋" w:hint="eastAsia"/>
                <w:i w:val="0"/>
                <w:iCs/>
                <w:color w:val="000000"/>
                <w:kern w:val="0"/>
                <w:sz w:val="21"/>
                <w:szCs w:val="21"/>
                <w:u w:val="none"/>
                <w:lang w:val="en-US" w:eastAsia="zh-CN"/>
              </w:rPr>
            </w:pPr>
            <w:r>
              <w:rPr>
                <w:rFonts w:ascii="仿宋" w:eastAsia="仿宋" w:cs="仿宋" w:hint="eastAsia"/>
                <w:i w:val="0"/>
                <w:iCs/>
                <w:color w:val="000000"/>
                <w:kern w:val="0"/>
                <w:sz w:val="21"/>
                <w:szCs w:val="21"/>
                <w:u w:val="none"/>
                <w:lang w:val="en-US" w:eastAsia="zh-CN"/>
              </w:rPr>
              <w:t>1.完善我县农业园区（基地）管理办法，对我县农业园区（基地）进行精细化管理，加强职业经理人培养，加强从业人员技术培训。</w:t>
            </w:r>
          </w:p>
          <w:p>
            <w:pPr>
              <w:adjustRightInd w:val="0"/>
              <w:snapToGrid w:val="0"/>
              <w:spacing w:line="540" w:lineRule="exact"/>
              <w:ind w:firstLineChars="200" w:firstLine="420"/>
              <w:jc w:val="left"/>
              <w:rPr>
                <w:rFonts w:ascii="仿宋" w:eastAsia="仿宋" w:cs="仿宋" w:hint="eastAsia"/>
                <w:i w:val="0"/>
                <w:iCs/>
                <w:color w:val="000000"/>
                <w:kern w:val="0"/>
                <w:sz w:val="21"/>
                <w:szCs w:val="21"/>
                <w:u w:val="none"/>
                <w:lang w:val="en-US" w:eastAsia="zh-CN"/>
              </w:rPr>
            </w:pPr>
            <w:r>
              <w:rPr>
                <w:rFonts w:ascii="仿宋" w:eastAsia="仿宋" w:cs="仿宋" w:hint="eastAsia"/>
                <w:i w:val="0"/>
                <w:iCs/>
                <w:color w:val="000000"/>
                <w:kern w:val="0"/>
                <w:sz w:val="21"/>
                <w:szCs w:val="21"/>
                <w:u w:val="none"/>
                <w:lang w:val="en-US" w:eastAsia="zh-CN"/>
              </w:rPr>
              <w:t>2.完善防灾减灾基础设施建设。</w:t>
            </w:r>
          </w:p>
          <w:p>
            <w:pPr>
              <w:adjustRightInd w:val="0"/>
              <w:snapToGrid w:val="0"/>
              <w:spacing w:line="540" w:lineRule="exact"/>
              <w:ind w:firstLineChars="200" w:firstLine="420"/>
              <w:jc w:val="left"/>
              <w:rPr>
                <w:rFonts w:ascii="仿宋" w:eastAsia="仿宋" w:cs="仿宋" w:hint="eastAsia"/>
                <w:i w:val="0"/>
                <w:iCs/>
                <w:color w:val="000000"/>
                <w:kern w:val="0"/>
                <w:sz w:val="21"/>
                <w:szCs w:val="21"/>
                <w:u w:val="none"/>
                <w:lang w:val="en-US" w:eastAsia="zh-CN"/>
              </w:rPr>
            </w:pPr>
            <w:r>
              <w:rPr>
                <w:rFonts w:ascii="仿宋" w:eastAsia="仿宋" w:cs="仿宋" w:hint="eastAsia"/>
                <w:i w:val="0"/>
                <w:iCs/>
                <w:color w:val="000000"/>
                <w:kern w:val="0"/>
                <w:sz w:val="21"/>
                <w:szCs w:val="21"/>
                <w:u w:val="none"/>
                <w:lang w:val="en-US" w:eastAsia="zh-CN"/>
              </w:rPr>
              <w:t>3.推动以高原特色优质的蔬菜等建立相关的品牌建设，做好生态和绿色的认证等推广宣传工作。</w:t>
            </w:r>
          </w:p>
          <w:p>
            <w:pPr>
              <w:keepNext w:val="0"/>
              <w:keepLines w:val="0"/>
              <w:widowControl/>
              <w:suppressLineNumbers w:val="0"/>
              <w:jc w:val="left"/>
              <w:textAlignment w:val="center"/>
              <w:rPr>
                <w:rFonts w:ascii="仿宋" w:eastAsia="仿宋" w:cs="仿宋" w:hint="eastAsia"/>
                <w:i w:val="0"/>
                <w:iCs/>
                <w:color w:val="000000"/>
                <w:sz w:val="21"/>
                <w:szCs w:val="21"/>
                <w:u w:val="none"/>
              </w:rPr>
            </w:pPr>
          </w:p>
        </w:tc>
      </w:tr>
      <w:tr>
        <w:trPr>
          <w:trHeight w:val="286"/>
        </w:trPr>
        <w:tc>
          <w:tcPr>
            <w:tcW w:w="5505"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项目负责人：何德斌</w:t>
            </w:r>
          </w:p>
        </w:tc>
        <w:tc>
          <w:tcPr>
            <w:tcW w:w="3975"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eastAsia="仿宋" w:cs="仿宋" w:hint="eastAsia"/>
                <w:i w:val="0"/>
                <w:color w:val="000000"/>
                <w:sz w:val="21"/>
                <w:szCs w:val="21"/>
                <w:u w:val="none"/>
                <w:lang w:val="en-US"/>
              </w:rPr>
            </w:pPr>
            <w:r>
              <w:rPr>
                <w:rFonts w:ascii="仿宋" w:eastAsia="仿宋" w:cs="仿宋" w:hint="eastAsia"/>
                <w:i w:val="0"/>
                <w:color w:val="000000"/>
                <w:kern w:val="0"/>
                <w:sz w:val="21"/>
                <w:szCs w:val="21"/>
                <w:u w:val="none"/>
                <w:lang w:val="en-US" w:eastAsia="zh-CN"/>
              </w:rPr>
              <w:t>财务负责人：杨卫平</w:t>
            </w:r>
          </w:p>
        </w:tc>
      </w:tr>
    </w:tbl>
    <w:p>
      <w:pPr>
        <w:pStyle w:val="15"/>
        <w:rPr>
          <w:rFonts w:cs="宋体" w:hint="eastAsia"/>
          <w:color w:val="auto"/>
          <w:kern w:val="0"/>
          <w:sz w:val="32"/>
          <w:szCs w:val="32"/>
          <w:shd w:val="clear" w:color="auto" w:fill="FFFFFF"/>
          <w:lang w:val="zh-CN"/>
          <w:highlight w:val="auto"/>
        </w:rPr>
      </w:pPr>
    </w:p>
    <w:p>
      <w:pPr>
        <w:pStyle w:val="37"/>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eastAsia="方正小标宋_GBK" w:cs="方正小标宋_GBK" w:hint="eastAsia"/>
          <w:color w:val="auto"/>
          <w:kern w:val="2"/>
          <w:sz w:val="44"/>
          <w:szCs w:val="44"/>
          <w:lang w:val="en-US" w:eastAsia="zh-CN"/>
          <w:highlight w:val="auto"/>
        </w:rPr>
      </w:pPr>
      <w:r>
        <w:rPr>
          <w:rFonts w:ascii="方正小标宋_GBK" w:eastAsia="方正小标宋_GBK" w:cs="方正小标宋_GBK" w:hint="eastAsia"/>
          <w:i w:val="0"/>
          <w:color w:val="000000"/>
          <w:kern w:val="0"/>
          <w:sz w:val="44"/>
          <w:szCs w:val="44"/>
          <w:u w:val="none"/>
          <w:lang w:val="en-US" w:eastAsia="zh-CN"/>
        </w:rPr>
        <w:t>2022年农业产业化项目</w:t>
      </w:r>
      <w:r>
        <w:rPr>
          <w:rFonts w:ascii="方正小标宋_GBK" w:eastAsia="方正小标宋_GBK" w:cs="方正小标宋_GBK" w:hint="eastAsia"/>
          <w:color w:val="auto"/>
          <w:kern w:val="2"/>
          <w:sz w:val="44"/>
          <w:szCs w:val="44"/>
          <w:lang w:val="en-US" w:eastAsia="zh-CN"/>
          <w:highlight w:val="auto"/>
        </w:rPr>
        <w:t>绩效自评报告</w:t>
      </w:r>
    </w:p>
    <w:p>
      <w:pPr>
        <w:pStyle w:val="37"/>
        <w:keepNext w:val="0"/>
        <w:keepLines w:val="0"/>
        <w:pageBreakBefore w:val="0"/>
        <w:widowControl w:val="0"/>
        <w:kinsoku/>
        <w:wordWrap/>
        <w:overflowPunct/>
        <w:topLinePunct w:val="0"/>
        <w:autoSpaceDE/>
        <w:autoSpaceDN/>
        <w:bidi w:val="0"/>
        <w:spacing w:line="578" w:lineRule="exact"/>
        <w:ind w:firstLine="640"/>
        <w:jc w:val="center"/>
        <w:textAlignment w:val="auto"/>
        <w:rPr>
          <w:rFonts w:ascii="仿宋" w:eastAsia="仿宋" w:cs="仿宋" w:hint="eastAsia"/>
          <w:color w:val="auto"/>
          <w:kern w:val="2"/>
          <w:sz w:val="32"/>
          <w:szCs w:val="32"/>
          <w:highlight w:val="auto"/>
        </w:rPr>
      </w:pP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b w:val="0"/>
          <w:bCs w:val="0"/>
          <w:color w:val="auto"/>
          <w:sz w:val="32"/>
          <w:szCs w:val="32"/>
          <w:lang w:val="zh-CN"/>
          <w:highlight w:val="auto"/>
        </w:rPr>
      </w:pPr>
      <w:r>
        <w:rPr>
          <w:rFonts w:ascii="黑体" w:eastAsia="黑体" w:cs="黑体" w:hint="eastAsia"/>
          <w:b w:val="0"/>
          <w:bCs w:val="0"/>
          <w:color w:val="auto"/>
          <w:sz w:val="32"/>
          <w:szCs w:val="32"/>
          <w:highlight w:val="auto"/>
        </w:rPr>
        <w:t>一、</w:t>
      </w:r>
      <w:r>
        <w:rPr>
          <w:rFonts w:ascii="黑体" w:eastAsia="黑体" w:cs="黑体" w:hint="eastAsia"/>
          <w:b w:val="0"/>
          <w:bCs w:val="0"/>
          <w:color w:val="auto"/>
          <w:sz w:val="32"/>
          <w:szCs w:val="32"/>
          <w:lang w:val="zh-CN"/>
          <w:highlight w:val="auto"/>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（一）项目基本情况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val="0"/>
          <w:bCs w:val="0"/>
          <w:kern w:val="0"/>
          <w:sz w:val="32"/>
          <w:szCs w:val="32"/>
          <w:lang w:eastAsia="zh-CN"/>
        </w:rPr>
      </w:pPr>
      <w:r>
        <w:rPr>
          <w:rFonts w:ascii="仿宋_GB2312" w:eastAsia="仿宋_GB2312" w:cs="仿宋_GB2312" w:hint="eastAsia"/>
          <w:b w:val="0"/>
          <w:bCs w:val="0"/>
          <w:sz w:val="32"/>
          <w:szCs w:val="32"/>
          <w:lang w:val="en-US" w:eastAsia="zh-CN"/>
        </w:rPr>
        <w:t>为进一步巩固壤塘县农业产业发展，完善产业发展基础，促进壤塘县经济结构调整；2022年“农业产业化项目”主要的实施内容为：</w:t>
      </w:r>
      <w:r>
        <w:rPr>
          <w:rFonts w:ascii="仿宋_GB2312" w:eastAsia="仿宋_GB2312" w:cs="仿宋_GB2312" w:hint="eastAsia"/>
          <w:b w:val="0"/>
          <w:bCs w:val="0"/>
          <w:sz w:val="32"/>
          <w:szCs w:val="32"/>
          <w:lang w:eastAsia="zh-CN"/>
        </w:rPr>
        <w:t>规模种植高原生态蔬菜、</w:t>
      </w:r>
      <w:r>
        <w:rPr>
          <w:rFonts w:ascii="仿宋_GB2312" w:eastAsia="仿宋_GB2312" w:cs="仿宋_GB2312" w:hint="eastAsia"/>
          <w:b w:val="0"/>
          <w:bCs w:val="0"/>
          <w:color w:val="auto"/>
          <w:sz w:val="32"/>
          <w:szCs w:val="32"/>
          <w:lang w:val="en-US" w:eastAsia="zh-CN"/>
        </w:rPr>
        <w:t>豌豆、</w:t>
      </w:r>
      <w:r>
        <w:rPr>
          <w:rFonts w:ascii="仿宋_GB2312" w:eastAsia="仿宋_GB2312" w:cs="仿宋_GB2312" w:hint="eastAsia"/>
          <w:b w:val="0"/>
          <w:bCs w:val="0"/>
          <w:sz w:val="32"/>
          <w:szCs w:val="32"/>
          <w:lang w:eastAsia="zh-CN"/>
        </w:rPr>
        <w:t>传统农作物和发展食用菌种植。</w:t>
      </w:r>
      <w:r>
        <w:rPr>
          <w:rFonts w:ascii="仿宋_GB2312" w:eastAsia="仿宋_GB2312" w:cs="仿宋_GB2312" w:hint="eastAsia"/>
          <w:b w:val="0"/>
          <w:bCs w:val="0"/>
          <w:color w:val="auto"/>
          <w:sz w:val="32"/>
          <w:szCs w:val="32"/>
          <w:lang w:eastAsia="zh-CN"/>
        </w:rPr>
        <w:t>一是</w:t>
      </w:r>
      <w:r>
        <w:rPr>
          <w:rFonts w:ascii="仿宋_GB2312" w:eastAsia="仿宋_GB2312" w:cs="仿宋_GB2312" w:hint="eastAsia"/>
          <w:b w:val="0"/>
          <w:bCs w:val="0"/>
          <w:color w:val="auto"/>
          <w:sz w:val="32"/>
          <w:szCs w:val="32"/>
          <w:lang w:val="en-US" w:eastAsia="zh-CN"/>
        </w:rPr>
        <w:t>根据</w:t>
      </w:r>
      <w:r>
        <w:rPr>
          <w:rFonts w:ascii="仿宋_GB2312" w:eastAsia="仿宋_GB2312" w:cs="仿宋_GB2312" w:hint="eastAsia"/>
          <w:b w:val="0"/>
          <w:bCs w:val="0"/>
          <w:color w:val="auto"/>
          <w:sz w:val="32"/>
          <w:szCs w:val="32"/>
          <w:lang w:eastAsia="zh-CN"/>
        </w:rPr>
        <w:t>壤塘县人民政府办公室关于印发《壤塘县农业产业结构调整扶持办法》的通知（</w:t>
      </w:r>
      <w:r>
        <w:rPr>
          <w:rFonts w:ascii="仿宋_GB2312" w:eastAsia="仿宋_GB2312" w:cs="仿宋_GB2312" w:hint="eastAsia"/>
          <w:b w:val="0"/>
          <w:bCs w:val="0"/>
          <w:color w:val="auto"/>
          <w:sz w:val="32"/>
          <w:szCs w:val="32"/>
        </w:rPr>
        <w:t>壤府办函〔2021〕8号</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lang w:val="en-US" w:eastAsia="zh-CN"/>
        </w:rPr>
        <w:t>对农作物规模种植及农产品</w:t>
      </w:r>
      <w:r>
        <w:rPr>
          <w:rFonts w:ascii="仿宋_GB2312" w:eastAsia="仿宋_GB2312" w:cs="仿宋_GB2312" w:hint="eastAsia"/>
          <w:b w:val="0"/>
          <w:bCs w:val="0"/>
          <w:color w:val="auto"/>
          <w:sz w:val="32"/>
          <w:szCs w:val="32"/>
          <w:lang w:eastAsia="zh-CN"/>
        </w:rPr>
        <w:t>销售、生产加工、品牌建设</w:t>
      </w:r>
      <w:r>
        <w:rPr>
          <w:rFonts w:ascii="仿宋_GB2312" w:eastAsia="仿宋_GB2312" w:cs="仿宋_GB2312" w:hint="eastAsia"/>
          <w:b w:val="0"/>
          <w:bCs w:val="0"/>
          <w:color w:val="auto"/>
          <w:sz w:val="32"/>
          <w:szCs w:val="32"/>
          <w:lang w:val="en-US" w:eastAsia="zh-CN"/>
        </w:rPr>
        <w:t>进行扶持</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lang w:val="en-US" w:eastAsia="zh-CN"/>
        </w:rPr>
        <w:t>二是管护、维修维护农业产业基地（园区）基础设施；三是农业产业园</w:t>
      </w:r>
      <w:r>
        <w:rPr>
          <w:rFonts w:ascii="仿宋_GB2312" w:eastAsia="仿宋_GB2312" w:cs="仿宋_GB2312" w:hint="eastAsia"/>
          <w:b w:val="0"/>
          <w:bCs w:val="0"/>
          <w:color w:val="auto"/>
          <w:sz w:val="32"/>
          <w:szCs w:val="32"/>
          <w:lang w:eastAsia="zh-CN"/>
        </w:rPr>
        <w:t>区</w:t>
      </w:r>
      <w:r>
        <w:rPr>
          <w:rFonts w:ascii="仿宋_GB2312" w:eastAsia="仿宋_GB2312" w:cs="仿宋_GB2312" w:hint="eastAsia"/>
          <w:b w:val="0"/>
          <w:bCs w:val="0"/>
          <w:color w:val="auto"/>
          <w:sz w:val="32"/>
          <w:szCs w:val="32"/>
          <w:lang w:val="en-US" w:eastAsia="zh-CN"/>
        </w:rPr>
        <w:t>规划</w:t>
      </w:r>
      <w:r>
        <w:rPr>
          <w:rFonts w:ascii="仿宋_GB2312" w:eastAsia="仿宋_GB2312" w:cs="仿宋_GB2312" w:hint="eastAsia"/>
          <w:b w:val="0"/>
          <w:bCs w:val="0"/>
          <w:color w:val="auto"/>
          <w:sz w:val="32"/>
          <w:szCs w:val="32"/>
          <w:lang w:eastAsia="zh-CN"/>
        </w:rPr>
        <w:t>；四是</w:t>
      </w:r>
      <w:r>
        <w:rPr>
          <w:rFonts w:ascii="仿宋_GB2312" w:eastAsia="仿宋_GB2312" w:cs="仿宋_GB2312" w:hint="eastAsia"/>
          <w:b w:val="0"/>
          <w:bCs w:val="0"/>
          <w:color w:val="auto"/>
          <w:sz w:val="32"/>
          <w:szCs w:val="32"/>
          <w:lang w:val="en-US" w:eastAsia="zh-CN"/>
        </w:rPr>
        <w:t>开展</w:t>
      </w:r>
      <w:r>
        <w:rPr>
          <w:rFonts w:ascii="仿宋_GB2312" w:eastAsia="仿宋_GB2312" w:cs="仿宋_GB2312" w:hint="eastAsia"/>
          <w:b w:val="0"/>
          <w:bCs w:val="0"/>
          <w:color w:val="auto"/>
          <w:sz w:val="32"/>
          <w:szCs w:val="32"/>
          <w:lang w:eastAsia="zh-CN"/>
        </w:rPr>
        <w:t>培训和宣传，</w:t>
      </w:r>
      <w:r>
        <w:rPr>
          <w:rFonts w:ascii="仿宋_GB2312" w:eastAsia="仿宋_GB2312" w:cs="仿宋_GB2312" w:hint="eastAsia"/>
          <w:b w:val="0"/>
          <w:bCs w:val="0"/>
          <w:color w:val="auto"/>
          <w:sz w:val="32"/>
          <w:szCs w:val="32"/>
        </w:rPr>
        <w:t>支持基地（园区）科技试验</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sz w:val="32"/>
          <w:szCs w:val="32"/>
        </w:rPr>
        <w:t>项目建设时间：</w:t>
      </w:r>
      <w:r>
        <w:rPr>
          <w:rFonts w:ascii="仿宋_GB2312" w:eastAsia="仿宋_GB2312" w:cs="仿宋_GB2312" w:hint="eastAsia"/>
          <w:b w:val="0"/>
          <w:bCs w:val="0"/>
          <w:kern w:val="0"/>
          <w:sz w:val="32"/>
          <w:szCs w:val="32"/>
        </w:rPr>
        <w:t>202</w:t>
      </w:r>
      <w:r>
        <w:rPr>
          <w:rFonts w:ascii="仿宋_GB2312" w:eastAsia="仿宋_GB2312" w:cs="仿宋_GB2312" w:hint="eastAsia"/>
          <w:b w:val="0"/>
          <w:bCs w:val="0"/>
          <w:kern w:val="0"/>
          <w:sz w:val="32"/>
          <w:szCs w:val="32"/>
          <w:lang w:val="en-US" w:eastAsia="zh-CN"/>
        </w:rPr>
        <w:t>2</w:t>
      </w:r>
      <w:r>
        <w:rPr>
          <w:rFonts w:ascii="仿宋_GB2312" w:eastAsia="仿宋_GB2312" w:cs="仿宋_GB2312" w:hint="eastAsia"/>
          <w:b w:val="0"/>
          <w:bCs w:val="0"/>
          <w:kern w:val="0"/>
          <w:sz w:val="32"/>
          <w:szCs w:val="32"/>
        </w:rPr>
        <w:t>年1月</w:t>
      </w:r>
      <w:r>
        <w:rPr>
          <w:rFonts w:ascii="仿宋_GB2312" w:eastAsia="仿宋_GB2312" w:cs="仿宋_GB2312" w:hint="eastAsia"/>
          <w:b w:val="0"/>
          <w:bCs w:val="0"/>
          <w:kern w:val="0"/>
          <w:sz w:val="32"/>
          <w:szCs w:val="32"/>
          <w:lang w:eastAsia="zh-CN"/>
        </w:rPr>
        <w:t>—2022年</w:t>
      </w:r>
      <w:r>
        <w:rPr>
          <w:rFonts w:ascii="仿宋_GB2312" w:eastAsia="仿宋_GB2312" w:cs="仿宋_GB2312" w:hint="eastAsia"/>
          <w:b w:val="0"/>
          <w:bCs w:val="0"/>
          <w:kern w:val="0"/>
          <w:sz w:val="32"/>
          <w:szCs w:val="32"/>
        </w:rPr>
        <w:t>12月</w:t>
      </w:r>
      <w:r>
        <w:rPr>
          <w:rFonts w:ascii="仿宋_GB2312" w:eastAsia="仿宋_GB2312" w:cs="仿宋_GB2312" w:hint="eastAsia"/>
          <w:b w:val="0"/>
          <w:bCs w:val="0"/>
          <w:kern w:val="0"/>
          <w:sz w:val="32"/>
          <w:szCs w:val="32"/>
          <w:lang w:eastAsia="zh-CN"/>
        </w:rPr>
        <w:t>。</w:t>
      </w:r>
    </w:p>
    <w:p>
      <w:pPr>
        <w:pStyle w:val="15"/>
        <w:keepNext w:val="0"/>
        <w:keepLines w:val="0"/>
        <w:pageBreakBefore w:val="0"/>
        <w:widowControl w:val="0"/>
        <w:kinsoku/>
        <w:wordWrap/>
        <w:overflowPunct/>
        <w:topLinePunct w:val="0"/>
        <w:autoSpaceDE/>
        <w:autoSpaceDN/>
        <w:bidi w:val="0"/>
        <w:spacing w:beforeLines="0" w:before="30"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color w:val="auto"/>
          <w:sz w:val="32"/>
          <w:szCs w:val="32"/>
          <w:lang w:val="zh-CN"/>
        </w:rPr>
        <w:t>项目</w:t>
      </w:r>
      <w:r>
        <w:rPr>
          <w:rFonts w:ascii="仿宋_GB2312" w:eastAsia="仿宋_GB2312" w:cs="仿宋_GB2312" w:hint="eastAsia"/>
          <w:color w:val="auto"/>
          <w:sz w:val="32"/>
          <w:szCs w:val="32"/>
          <w:lang w:val="en-US" w:eastAsia="zh-CN"/>
        </w:rPr>
        <w:t>在</w:t>
      </w:r>
      <w:r>
        <w:rPr>
          <w:rFonts w:ascii="仿宋_GB2312" w:eastAsia="仿宋_GB2312" w:cs="仿宋_GB2312" w:hint="eastAsia"/>
          <w:color w:val="auto"/>
          <w:sz w:val="32"/>
          <w:szCs w:val="32"/>
          <w:lang w:val="zh-CN"/>
        </w:rPr>
        <w:t>具体实施</w:t>
      </w:r>
      <w:r>
        <w:rPr>
          <w:rFonts w:ascii="仿宋_GB2312" w:eastAsia="仿宋_GB2312" w:cs="仿宋_GB2312" w:hint="eastAsia"/>
          <w:color w:val="auto"/>
          <w:sz w:val="32"/>
          <w:szCs w:val="32"/>
          <w:lang w:val="en-US" w:eastAsia="zh-CN"/>
        </w:rPr>
        <w:t>过程中，严格按照申报</w:t>
      </w:r>
      <w:r>
        <w:rPr>
          <w:rFonts w:ascii="仿宋_GB2312" w:eastAsia="仿宋_GB2312" w:cs="仿宋_GB2312" w:hint="eastAsia"/>
          <w:color w:val="auto"/>
          <w:sz w:val="32"/>
          <w:szCs w:val="32"/>
          <w:lang w:val="zh-CN"/>
        </w:rPr>
        <w:t>内容</w:t>
      </w:r>
      <w:r>
        <w:rPr>
          <w:rFonts w:ascii="仿宋_GB2312" w:eastAsia="仿宋_GB2312" w:cs="仿宋_GB2312" w:hint="eastAsia"/>
          <w:color w:val="auto"/>
          <w:sz w:val="32"/>
          <w:szCs w:val="32"/>
          <w:lang w:val="en-US" w:eastAsia="zh-CN"/>
        </w:rPr>
        <w:t>进行，有关补助标准按照</w:t>
      </w:r>
      <w:r>
        <w:rPr>
          <w:rFonts w:ascii="仿宋_GB2312" w:eastAsia="仿宋_GB2312" w:cs="仿宋_GB2312" w:hint="eastAsia"/>
          <w:bCs/>
          <w:color w:val="auto"/>
          <w:sz w:val="32"/>
          <w:szCs w:val="32"/>
          <w:lang w:eastAsia="zh-CN"/>
        </w:rPr>
        <w:t>壤塘县人民政府办公室关于印发《壤塘县农业产业结构调整扶持办法》的通知</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壤府办函〔2021〕8号</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lang w:val="en-US" w:eastAsia="zh-CN"/>
        </w:rPr>
        <w:t>规定进行发放；</w:t>
      </w:r>
      <w:r>
        <w:rPr>
          <w:rFonts w:ascii="仿宋_GB2312" w:eastAsia="仿宋_GB2312" w:cs="仿宋_GB2312" w:hint="eastAsia"/>
          <w:color w:val="auto"/>
          <w:sz w:val="32"/>
          <w:szCs w:val="32"/>
          <w:lang w:val="zh-CN"/>
        </w:rPr>
        <w:t>申报目标是合理可行。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b w:val="0"/>
          <w:bCs w:val="0"/>
          <w:color w:val="auto"/>
          <w:sz w:val="32"/>
          <w:szCs w:val="32"/>
          <w:highlight w:val="auto"/>
        </w:rPr>
      </w:pPr>
      <w:r>
        <w:rPr>
          <w:rFonts w:ascii="黑体" w:eastAsia="黑体" w:cs="黑体" w:hint="eastAsia"/>
          <w:b w:val="0"/>
          <w:bCs w:val="0"/>
          <w:color w:val="auto"/>
          <w:sz w:val="32"/>
          <w:szCs w:val="32"/>
          <w:highlight w:val="auto"/>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（一）项目资金申报及批复情况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根据项目建设内容和农业产业发展的实际，于2022年5月4日向县人民政府请示了《壤塘县科学技术和农业畜牧局关于审定〈农业产业化项目〉的请示》（壤科农﹝2022﹞38号），县人民政府于2022年5月5日回复原则同意。按照项目实施方案项目估算总投资230万元，实际到位资金177万元</w:t>
      </w:r>
      <w:r>
        <w:rPr>
          <w:rFonts w:ascii="仿宋_GB2312" w:eastAsia="仿宋_GB2312" w:cs="仿宋_GB2312" w:hint="eastAsia"/>
          <w:bCs/>
          <w:color w:val="auto"/>
          <w:kern w:val="0"/>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（二）资金计划、到位及使用情况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根据项目建设内容和农业产业发展的实际，于2022年5月4日向县人民政府请示了《壤塘县科学技术和农业畜牧局关于审定〈农业产业化项目〉的请示》（壤科农﹝2022﹞38号），县人民政府于2022年5月5日回复原则同意。按照项目实施方案项目估算总投资230万元。实际到位资金177万元</w:t>
      </w:r>
      <w:r>
        <w:rPr>
          <w:rFonts w:ascii="仿宋_GB2312" w:eastAsia="仿宋_GB2312" w:cs="仿宋_GB2312" w:hint="eastAsia"/>
          <w:bCs/>
          <w:color w:val="auto"/>
          <w:kern w:val="0"/>
          <w:sz w:val="32"/>
          <w:szCs w:val="32"/>
          <w:lang w:val="zh-CN" w:eastAsia="zh-CN" w:bidi="ar-SA"/>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zh-CN" w:eastAsia="zh-CN" w:bidi="ar-SA"/>
        </w:rPr>
      </w:pPr>
      <w:r>
        <w:rPr>
          <w:rFonts w:ascii="仿宋_GB2312" w:eastAsia="仿宋_GB2312" w:cs="仿宋_GB2312" w:hint="eastAsia"/>
          <w:bCs/>
          <w:color w:val="auto"/>
          <w:kern w:val="0"/>
          <w:sz w:val="32"/>
          <w:szCs w:val="32"/>
          <w:lang w:val="en-US" w:eastAsia="zh-CN" w:bidi="ar-SA"/>
        </w:rPr>
        <w:t>全县</w:t>
      </w:r>
      <w:r>
        <w:rPr>
          <w:rFonts w:ascii="仿宋_GB2312" w:eastAsia="仿宋_GB2312" w:cs="仿宋_GB2312" w:hint="eastAsia"/>
          <w:bCs/>
          <w:color w:val="auto"/>
          <w:kern w:val="0"/>
          <w:sz w:val="32"/>
          <w:szCs w:val="32"/>
          <w:lang w:val="zh-CN" w:eastAsia="zh-CN" w:bidi="ar-SA"/>
        </w:rPr>
        <w:t>实际种植</w:t>
      </w:r>
      <w:r>
        <w:rPr>
          <w:rFonts w:ascii="仿宋_GB2312" w:eastAsia="仿宋_GB2312" w:cs="仿宋_GB2312" w:hint="eastAsia"/>
          <w:bCs/>
          <w:color w:val="auto"/>
          <w:kern w:val="0"/>
          <w:sz w:val="32"/>
          <w:szCs w:val="32"/>
          <w:lang w:val="en-US" w:eastAsia="zh-CN" w:bidi="ar-SA"/>
        </w:rPr>
        <w:t>面积4434.06亩、食用菌包95000包，支付资金152.6590万元，项目建设时间为2022年1月—2022年12月。农业产业化项目有效促进</w:t>
      </w:r>
      <w:r>
        <w:rPr>
          <w:rFonts w:ascii="仿宋_GB2312" w:eastAsia="仿宋_GB2312" w:cs="仿宋_GB2312" w:hint="eastAsia"/>
          <w:bCs/>
          <w:color w:val="auto"/>
          <w:kern w:val="0"/>
          <w:sz w:val="32"/>
          <w:szCs w:val="32"/>
          <w:lang w:val="zh-CN" w:eastAsia="zh-CN" w:bidi="ar-SA"/>
        </w:rPr>
        <w:t>农业产业结构调整、优化进程，推进壤塘县农村经济、社会发展。</w:t>
      </w:r>
      <w:r>
        <w:rPr>
          <w:rFonts w:ascii="仿宋_GB2312" w:eastAsia="仿宋_GB2312" w:cs="仿宋_GB2312" w:hint="eastAsia"/>
          <w:bCs/>
          <w:color w:val="auto"/>
          <w:kern w:val="0"/>
          <w:sz w:val="32"/>
          <w:szCs w:val="32"/>
          <w:lang w:val="en-US" w:eastAsia="zh-CN" w:bidi="ar-SA"/>
        </w:rPr>
        <w:t>改善生产、生活方式，促进思想观念的转变，实现农牧民稳步增收的同时</w:t>
      </w:r>
      <w:r>
        <w:rPr>
          <w:rFonts w:ascii="仿宋_GB2312" w:eastAsia="仿宋_GB2312" w:cs="仿宋_GB2312" w:hint="eastAsia"/>
          <w:bCs/>
          <w:color w:val="auto"/>
          <w:kern w:val="0"/>
          <w:sz w:val="32"/>
          <w:szCs w:val="32"/>
          <w:lang w:val="zh-CN" w:eastAsia="zh-CN" w:bidi="ar-SA"/>
        </w:rPr>
        <w:t>带动本地群众参与建设和管理，学习生产技术，掌握生产技能，促进全县社会稳定和发展，对后期农牧民依托农业产业增收具有重大意义。</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（三）项目财务管理情况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zh-CN" w:eastAsia="zh-CN" w:bidi="ar-SA"/>
        </w:rPr>
      </w:pPr>
      <w:r>
        <w:rPr>
          <w:rFonts w:ascii="仿宋_GB2312" w:eastAsia="仿宋_GB2312" w:cs="仿宋_GB2312" w:hint="eastAsia"/>
          <w:bCs/>
          <w:color w:val="auto"/>
          <w:kern w:val="0"/>
          <w:sz w:val="32"/>
          <w:szCs w:val="32"/>
          <w:lang w:val="en-US" w:eastAsia="zh-CN" w:bidi="ar-SA"/>
        </w:rPr>
        <w:t>2022年壤塘县《农业产业化项目》严格按照资金管理办法，建设财务管理制度、设置资金管理机构、通过会计核算进项专项专管，严格执行财务管理制度，项目资金财务处理及时、会计核算规范。</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b w:val="0"/>
          <w:bCs w:val="0"/>
          <w:color w:val="auto"/>
          <w:sz w:val="32"/>
          <w:szCs w:val="32"/>
          <w:highlight w:val="auto"/>
        </w:rPr>
      </w:pPr>
      <w:r>
        <w:rPr>
          <w:rFonts w:ascii="黑体" w:eastAsia="黑体" w:cs="黑体" w:hint="eastAsia"/>
          <w:b w:val="0"/>
          <w:bCs w:val="0"/>
          <w:color w:val="auto"/>
          <w:sz w:val="32"/>
          <w:szCs w:val="32"/>
          <w:highlight w:val="auto"/>
        </w:rPr>
        <w:t>三、项目实施及管理情况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为加强组织领导，成立以分管县长为组长，县科学技术和农业畜牧局局长为副组长，县财政局、县乡村振兴局、县审计局等为成员的项目实施领导小组。领导小组下设办公室（办公室设在县科学技术和农业畜牧局），由县科学技术和农业畜牧局局长兼任办公室主任，对项目实施工作进行安排部署和督办实施，并积极落实扶持资金。</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zh-CN" w:eastAsia="zh-CN" w:bidi="ar-SA"/>
        </w:rPr>
      </w:pPr>
      <w:r>
        <w:rPr>
          <w:rFonts w:ascii="仿宋_GB2312" w:eastAsia="仿宋_GB2312" w:cs="仿宋_GB2312" w:hint="eastAsia"/>
          <w:bCs/>
          <w:color w:val="auto"/>
          <w:kern w:val="0"/>
          <w:sz w:val="32"/>
          <w:szCs w:val="32"/>
          <w:lang w:val="en-US" w:eastAsia="zh-CN" w:bidi="ar-SA"/>
        </w:rPr>
        <w:t>为进一步保障群众知情权、参与权、监督权，对每个申请扶持资金的园区（基地）及种植大户的申请扶持资金文件资料进行了公告。</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（一）</w:t>
      </w:r>
      <w:r>
        <w:rPr>
          <w:rFonts w:ascii="仿宋_GB2312" w:eastAsia="仿宋_GB2312" w:cs="仿宋_GB2312" w:hint="eastAsia"/>
          <w:bCs/>
          <w:color w:val="auto"/>
          <w:kern w:val="0"/>
          <w:sz w:val="32"/>
          <w:szCs w:val="32"/>
          <w:lang w:val="en-US" w:eastAsia="zh-CN" w:bidi="ar-SA"/>
        </w:rPr>
        <w:t>县人民政府出台支农惠农政策《壤塘县农业产业结构调整扶持办法》的通知（壤府办函〔2021〕8号）和《壤塘县农业园区（基地）建设管理办法》的通知（壤府办函〔2021〕9号），实行种植补贴的鼓励政策，促进种植蔬菜及菌类产业大发展，达到农牧民增收致富。</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（二）</w:t>
      </w:r>
      <w:r>
        <w:rPr>
          <w:rFonts w:ascii="仿宋_GB2312" w:eastAsia="仿宋_GB2312" w:cs="仿宋_GB2312" w:hint="eastAsia"/>
          <w:bCs/>
          <w:color w:val="auto"/>
          <w:kern w:val="0"/>
          <w:sz w:val="32"/>
          <w:szCs w:val="32"/>
          <w:lang w:val="en-US" w:eastAsia="zh-CN" w:bidi="ar-SA"/>
        </w:rPr>
        <w:t>县人民政府成立相应组织机构负责资金、基地认证、产品认证、产品申报、用料保障、产品商标注册和公司登记及企业在生产、加工、销售环节所需资金信贷协调等工作。</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（三）</w:t>
      </w:r>
      <w:r>
        <w:rPr>
          <w:rFonts w:ascii="仿宋_GB2312" w:eastAsia="仿宋_GB2312" w:cs="仿宋_GB2312" w:hint="eastAsia"/>
          <w:bCs/>
          <w:color w:val="auto"/>
          <w:kern w:val="0"/>
          <w:sz w:val="32"/>
          <w:szCs w:val="32"/>
          <w:lang w:val="en-US" w:eastAsia="zh-CN" w:bidi="ar-SA"/>
        </w:rPr>
        <w:t>各乡（镇）人民政府和县科学技术和农业畜牧局负责为各基地（园区）经营主体营造良好的投资环境，有序组织农民学习、务工。</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zh-CN" w:eastAsia="zh-CN" w:bidi="ar-SA"/>
        </w:rPr>
      </w:pPr>
      <w:r>
        <w:rPr>
          <w:rFonts w:ascii="仿宋_GB2312" w:eastAsia="仿宋_GB2312" w:cs="仿宋_GB2312" w:hint="eastAsia"/>
          <w:bCs/>
          <w:color w:val="auto"/>
          <w:kern w:val="0"/>
          <w:sz w:val="32"/>
          <w:szCs w:val="32"/>
          <w:lang w:val="zh-CN" w:eastAsia="zh-CN" w:bidi="ar-SA"/>
        </w:rPr>
        <w:t>项目主管部门为加强项目管理实地走访种植情况，邀请专家到田间地头指导栽培技术。</w:t>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ascii="黑体" w:eastAsia="黑体" w:cs="黑体" w:hint="eastAsia"/>
          <w:color w:val="auto"/>
          <w:sz w:val="32"/>
          <w:szCs w:val="32"/>
          <w:u w:val="none"/>
          <w:lang w:val="zh-CN"/>
          <w:highlight w:val="auto"/>
        </w:rPr>
      </w:pPr>
      <w:r>
        <w:rPr>
          <w:rFonts w:ascii="黑体" w:eastAsia="黑体" w:cs="黑体" w:hint="eastAsia"/>
          <w:color w:val="auto"/>
          <w:sz w:val="32"/>
          <w:szCs w:val="32"/>
          <w:u w:val="none"/>
          <w:highlight w:val="auto"/>
        </w:rPr>
        <w:t>四、项目绩效情况</w:t>
      </w:r>
      <w:r>
        <w:rPr>
          <w:rFonts w:ascii="黑体" w:eastAsia="黑体" w:cs="黑体" w:hint="eastAsia"/>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（一）项目完成情况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2022年壤塘县《农业产业化项目》项目年初计划投资230万元，计划针对全县农业产业园区（基地）及种植大户进行扶持。根据我县农业产业发展实际，</w:t>
      </w:r>
      <w:r>
        <w:rPr>
          <w:rFonts w:ascii="仿宋_GB2312" w:eastAsia="仿宋_GB2312" w:cs="仿宋_GB2312" w:hint="eastAsia"/>
          <w:bCs/>
          <w:color w:val="auto"/>
          <w:kern w:val="0"/>
          <w:sz w:val="32"/>
          <w:szCs w:val="32"/>
          <w:lang w:val="zh-CN" w:eastAsia="zh-CN" w:bidi="ar-SA"/>
        </w:rPr>
        <w:t>全县实际种植</w:t>
      </w:r>
      <w:r>
        <w:rPr>
          <w:rFonts w:ascii="仿宋_GB2312" w:eastAsia="仿宋_GB2312" w:cs="仿宋_GB2312" w:hint="eastAsia"/>
          <w:bCs/>
          <w:color w:val="auto"/>
          <w:kern w:val="0"/>
          <w:sz w:val="32"/>
          <w:szCs w:val="32"/>
          <w:lang w:val="en-US" w:eastAsia="zh-CN" w:bidi="ar-SA"/>
        </w:rPr>
        <w:t>面积4434.06亩、食用菌包95000包，支付资金152.6590万元。根据项目实施方案，该项目完成目标任务。</w:t>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（二）项目效益情况</w:t>
      </w:r>
    </w:p>
    <w:p>
      <w:pPr>
        <w:pStyle w:val="25"/>
        <w:shd w:val="clear" w:color="auto" w:fill="FFFFFF"/>
        <w:spacing w:before="0" w:beforeAutospacing="0" w:after="0" w:afterAutospacing="0" w:line="560" w:lineRule="exact"/>
        <w:ind w:firstLineChars="200" w:firstLine="640"/>
        <w:rPr>
          <w:rFonts w:ascii="仿宋_GB2312" w:eastAsia="仿宋_GB2312" w:cs="仿宋_GB2312" w:hint="eastAsia"/>
          <w:b/>
          <w:bCs w:val="0"/>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经济效益</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1.</w:t>
      </w:r>
      <w:r>
        <w:rPr>
          <w:rFonts w:ascii="仿宋_GB2312" w:eastAsia="仿宋_GB2312" w:cs="仿宋_GB2312" w:hint="eastAsia"/>
          <w:bCs/>
          <w:color w:val="auto"/>
          <w:kern w:val="0"/>
          <w:sz w:val="32"/>
          <w:szCs w:val="32"/>
          <w:lang w:val="en-US" w:eastAsia="zh-CN" w:bidi="ar-SA"/>
        </w:rPr>
        <w:t>2022年共计支付土地流转费135余万元；</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2.</w:t>
      </w:r>
      <w:r>
        <w:rPr>
          <w:rFonts w:ascii="仿宋_GB2312" w:eastAsia="仿宋_GB2312" w:cs="仿宋_GB2312" w:hint="eastAsia"/>
          <w:bCs/>
          <w:color w:val="auto"/>
          <w:kern w:val="0"/>
          <w:sz w:val="32"/>
          <w:szCs w:val="32"/>
          <w:lang w:val="en-US" w:eastAsia="zh-CN" w:bidi="ar-SA"/>
        </w:rPr>
        <w:t>农牧民群众通过到高原生态蔬菜、食用菌种植园区（基地）务工费用共计264余万元。</w:t>
      </w:r>
    </w:p>
    <w:p>
      <w:pPr>
        <w:widowControl/>
        <w:shd w:val="clear" w:color="auto" w:fill="FFFFFF"/>
        <w:spacing w:line="540" w:lineRule="exact"/>
        <w:ind w:left="0" w:firstLineChars="200" w:firstLine="640"/>
        <w:jc w:val="left"/>
        <w:rPr>
          <w:rFonts w:ascii="仿宋_GB2312" w:eastAsia="仿宋_GB2312" w:cs="仿宋_GB2312" w:hint="eastAsia"/>
          <w:b/>
          <w:bCs w:val="0"/>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社会效益</w:t>
      </w:r>
    </w:p>
    <w:p>
      <w:pPr>
        <w:keepNext w:val="0"/>
        <w:keepLines w:val="0"/>
        <w:pageBreakBefore w:val="0"/>
        <w:widowControl/>
        <w:shd w:val="clear" w:color="auto" w:fill="FFFFFF"/>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通过该项目的实施，让全县上下不断探索农业工作新思路，推进农业产业结构调整的思路得到具体落实。让农户学习到新的经营管理模式，学习到新的种植技术和方法。重新树立正确的种植业理念，逐步调动肯吃苦、会管理、懂经营等农户的生产积极性。促使农牧民建基地扩大生产，创造更多的经济收益，改善生活；充分挖掘农业资源潜力，使农业结构合理调整，增强生态建设后续的可持续发展能力，有效改善农民的生活条件。</w:t>
      </w:r>
    </w:p>
    <w:p>
      <w:pPr>
        <w:keepNext w:val="0"/>
        <w:keepLines w:val="0"/>
        <w:pageBreakBefore w:val="0"/>
        <w:widowControl/>
        <w:shd w:val="clear" w:color="auto" w:fill="FFFFFF"/>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高原生态蔬菜、食用菌种植园区（基地）容纳了本地600名以上农牧民群众在4-9月内务工，减少上山挖药时因药山问题发生摩擦和冲突。通过高原生态蔬菜种植技术、食用菌栽培技术的培训，增强群众的科技意识、市场意识和自我发展能力。</w:t>
      </w:r>
    </w:p>
    <w:p>
      <w:pPr>
        <w:keepNext w:val="0"/>
        <w:keepLines w:val="0"/>
        <w:pageBreakBefore w:val="0"/>
        <w:widowControl/>
        <w:shd w:val="clear" w:color="auto" w:fill="FFFFFF"/>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
          <w:bCs w:val="0"/>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生态效益</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充分利用当地土地资源发展高原蔬菜种植业生产，带动广大农牧民增收致富，减少采挖野生资源对草场和林地的破坏，保护草场和林地的生态环境；通过项目的实施，有效推广机械化作业，改善土壤结构，促进土壤中的微生物和水、热、气、肥良性循环，有利于促进生态农业的健康发展。</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黑体" w:eastAsia="黑体" w:cs="黑体" w:hint="eastAsia"/>
          <w:b w:val="0"/>
          <w:bCs w:val="0"/>
          <w:color w:val="auto"/>
          <w:sz w:val="32"/>
          <w:szCs w:val="32"/>
          <w:u w:val="none"/>
          <w:highlight w:val="auto"/>
        </w:rPr>
      </w:pPr>
      <w:r>
        <w:rPr>
          <w:rFonts w:ascii="黑体" w:eastAsia="黑体" w:cs="黑体" w:hint="eastAsia"/>
          <w:b w:val="0"/>
          <w:bCs w:val="0"/>
          <w:color w:val="auto"/>
          <w:sz w:val="32"/>
          <w:szCs w:val="32"/>
          <w:u w:val="none"/>
          <w:highlight w:val="auto"/>
        </w:rPr>
        <w:t>五、评价结论及建议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jc w:val="both"/>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（一）评价结论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Cs/>
          <w:color w:val="auto"/>
          <w:kern w:val="0"/>
          <w:sz w:val="32"/>
          <w:szCs w:val="32"/>
          <w:lang w:val="en-US" w:eastAsia="zh-CN" w:bidi="ar-SA"/>
        </w:rPr>
        <w:t>通过该项目的实施，可以让全县上下不断探索农业工作新思路，推进农业产业结构调整的思路得到具体落实。让农户学习到新的经营管理模式，学习到新的种植技术和方法。重新树立正确的种植业理念，逐步调动肯吃苦、会管理、懂经营等农户的生产积极性。促使农牧民建基地扩大生产，创造更多的经济收益，改善生活；充分挖掘农业资源潜力，使农业结构合理调整，增强生态建设后续的可持续发展能力，有效改善农民的生活条件。</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（二）存在的问题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Cs/>
          <w:color w:val="auto"/>
          <w:kern w:val="0"/>
          <w:sz w:val="32"/>
          <w:szCs w:val="32"/>
          <w:lang w:val="zh-CN" w:eastAsia="zh-CN" w:bidi="ar-SA"/>
        </w:rPr>
      </w:pPr>
      <w:r>
        <w:rPr>
          <w:rFonts w:ascii="仿宋_GB2312" w:eastAsia="仿宋_GB2312" w:cs="仿宋_GB2312" w:hint="eastAsia"/>
          <w:b/>
          <w:bCs w:val="0"/>
          <w:color w:val="auto"/>
          <w:kern w:val="0"/>
          <w:sz w:val="32"/>
          <w:szCs w:val="32"/>
          <w:lang w:val="en-US" w:eastAsia="zh-CN" w:bidi="ar-SA"/>
        </w:rPr>
        <w:t>1.</w:t>
      </w:r>
      <w:r>
        <w:rPr>
          <w:rFonts w:ascii="仿宋_GB2312" w:eastAsia="仿宋_GB2312" w:cs="仿宋_GB2312" w:hint="eastAsia"/>
          <w:bCs/>
          <w:color w:val="auto"/>
          <w:kern w:val="0"/>
          <w:sz w:val="32"/>
          <w:szCs w:val="32"/>
          <w:lang w:val="zh-CN" w:eastAsia="zh-CN" w:bidi="ar-SA"/>
        </w:rPr>
        <w:t>农业园区基地</w:t>
      </w:r>
      <w:r>
        <w:rPr>
          <w:rFonts w:ascii="仿宋_GB2312" w:eastAsia="仿宋_GB2312" w:cs="仿宋_GB2312" w:hint="eastAsia"/>
          <w:bCs/>
          <w:color w:val="auto"/>
          <w:kern w:val="0"/>
          <w:sz w:val="32"/>
          <w:szCs w:val="32"/>
          <w:lang w:val="en-US" w:eastAsia="zh-CN" w:bidi="ar-SA"/>
        </w:rPr>
        <w:t>管理</w:t>
      </w:r>
      <w:r>
        <w:rPr>
          <w:rFonts w:ascii="仿宋_GB2312" w:eastAsia="仿宋_GB2312" w:cs="仿宋_GB2312" w:hint="eastAsia"/>
          <w:bCs/>
          <w:color w:val="auto"/>
          <w:kern w:val="0"/>
          <w:sz w:val="32"/>
          <w:szCs w:val="32"/>
          <w:lang w:val="zh-CN" w:eastAsia="zh-CN" w:bidi="ar-SA"/>
        </w:rPr>
        <w:t>不规范，</w:t>
      </w:r>
      <w:r>
        <w:rPr>
          <w:rFonts w:ascii="仿宋_GB2312" w:eastAsia="仿宋_GB2312" w:cs="仿宋_GB2312" w:hint="eastAsia"/>
          <w:bCs/>
          <w:color w:val="auto"/>
          <w:kern w:val="0"/>
          <w:sz w:val="32"/>
          <w:szCs w:val="32"/>
          <w:lang w:val="en-US" w:eastAsia="zh-CN" w:bidi="ar-SA"/>
        </w:rPr>
        <w:t>从业人员的种植技术需继续提高</w:t>
      </w:r>
      <w:r>
        <w:rPr>
          <w:rFonts w:ascii="仿宋_GB2312" w:eastAsia="仿宋_GB2312" w:cs="仿宋_GB2312" w:hint="eastAsia"/>
          <w:bCs/>
          <w:color w:val="auto"/>
          <w:kern w:val="0"/>
          <w:sz w:val="32"/>
          <w:szCs w:val="32"/>
          <w:lang w:val="zh-CN" w:eastAsia="zh-CN" w:bidi="ar-SA"/>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2.</w:t>
      </w:r>
      <w:r>
        <w:rPr>
          <w:rFonts w:ascii="仿宋_GB2312" w:eastAsia="仿宋_GB2312" w:cs="仿宋_GB2312" w:hint="eastAsia"/>
          <w:bCs/>
          <w:color w:val="auto"/>
          <w:kern w:val="0"/>
          <w:sz w:val="32"/>
          <w:szCs w:val="32"/>
          <w:lang w:val="en-US" w:eastAsia="zh-CN" w:bidi="ar-SA"/>
        </w:rPr>
        <w:t>防灾减灾设施需继续建设。</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_GB2312" w:eastAsia="楷体_GB2312" w:cs="楷体_GB2312" w:hint="eastAsia"/>
          <w:b/>
          <w:bCs w:val="0"/>
          <w:color w:val="auto"/>
          <w:sz w:val="32"/>
          <w:szCs w:val="32"/>
          <w:u w:val="none"/>
          <w:lang w:val="zh-CN"/>
          <w:highlight w:val="auto"/>
        </w:rPr>
      </w:pPr>
      <w:r>
        <w:rPr>
          <w:rFonts w:ascii="楷体_GB2312" w:eastAsia="楷体_GB2312" w:cs="楷体_GB2312" w:hint="eastAsia"/>
          <w:b/>
          <w:bCs w:val="0"/>
          <w:color w:val="auto"/>
          <w:sz w:val="32"/>
          <w:szCs w:val="32"/>
          <w:u w:val="none"/>
          <w:lang w:val="zh-CN"/>
          <w:highlight w:val="auto"/>
        </w:rPr>
        <w:t>（三）相关建议</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1.</w:t>
      </w:r>
      <w:r>
        <w:rPr>
          <w:rFonts w:ascii="仿宋_GB2312" w:eastAsia="仿宋_GB2312" w:cs="仿宋_GB2312" w:hint="eastAsia"/>
          <w:bCs/>
          <w:color w:val="auto"/>
          <w:kern w:val="0"/>
          <w:sz w:val="32"/>
          <w:szCs w:val="32"/>
          <w:lang w:val="en-US" w:eastAsia="zh-CN" w:bidi="ar-SA"/>
        </w:rPr>
        <w:t>完善我县农业园区（基地）管理办法，对我县农业园区（基地）进行精细化管理，加强职业经理人培养，加强从业人员技术培训。</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2.</w:t>
      </w:r>
      <w:r>
        <w:rPr>
          <w:rFonts w:ascii="仿宋_GB2312" w:eastAsia="仿宋_GB2312" w:cs="仿宋_GB2312" w:hint="eastAsia"/>
          <w:bCs/>
          <w:color w:val="auto"/>
          <w:kern w:val="0"/>
          <w:sz w:val="32"/>
          <w:szCs w:val="32"/>
          <w:lang w:val="en-US" w:eastAsia="zh-CN" w:bidi="ar-SA"/>
        </w:rPr>
        <w:t>完善防灾减灾基础设施建设。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Cs/>
          <w:color w:val="auto"/>
          <w:kern w:val="0"/>
          <w:sz w:val="32"/>
          <w:szCs w:val="32"/>
          <w:lang w:val="en-US" w:eastAsia="zh-CN" w:bidi="ar-SA"/>
        </w:rPr>
      </w:pPr>
      <w:r>
        <w:rPr>
          <w:rFonts w:ascii="仿宋_GB2312" w:eastAsia="仿宋_GB2312" w:cs="仿宋_GB2312" w:hint="eastAsia"/>
          <w:b/>
          <w:bCs w:val="0"/>
          <w:color w:val="auto"/>
          <w:kern w:val="0"/>
          <w:sz w:val="32"/>
          <w:szCs w:val="32"/>
          <w:lang w:val="en-US" w:eastAsia="zh-CN" w:bidi="ar-SA"/>
        </w:rPr>
        <w:t>3.</w:t>
      </w:r>
      <w:r>
        <w:rPr>
          <w:rFonts w:ascii="仿宋_GB2312" w:eastAsia="仿宋_GB2312" w:cs="仿宋_GB2312" w:hint="eastAsia"/>
          <w:bCs/>
          <w:color w:val="auto"/>
          <w:kern w:val="0"/>
          <w:sz w:val="32"/>
          <w:szCs w:val="32"/>
          <w:lang w:val="en-US" w:eastAsia="zh-CN" w:bidi="ar-SA"/>
        </w:rPr>
        <w:t>推动以高原特色优质的蔬菜等建立相关的品牌建设，做好生态和绿色的认证等推广宣传工作。</w:t>
      </w:r>
    </w:p>
    <w:p>
      <w:pPr>
        <w:pStyle w:val="15"/>
        <w:rPr>
          <w:rFonts w:hint="eastAsi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0"/>
        <w:rPr>
          <w:rStyle w:val="1Char"/>
          <w:rFonts w:ascii="方正小标宋_GBK" w:eastAsia="方正小标宋_GBK" w:cs="方正小标宋_GBK" w:hint="eastAsia"/>
          <w:b w:val="0"/>
          <w:color w:val="auto"/>
          <w:highlight w:val="auto"/>
        </w:rPr>
      </w:pPr>
      <w:bookmarkStart w:id="59" w:name="_Toc15377225"/>
      <w:bookmarkStart w:id="60" w:name="_Toc15396613"/>
      <w:r>
        <w:rPr>
          <w:rFonts w:ascii="方正小标宋_GBK" w:eastAsia="方正小标宋_GBK" w:cs="方正小标宋_GBK" w:hint="eastAsia"/>
          <w:b w:val="0"/>
          <w:bCs/>
          <w:color w:val="auto"/>
          <w:kern w:val="44"/>
          <w:sz w:val="44"/>
          <w:szCs w:val="44"/>
          <w:lang w:val="en-US" w:eastAsia="zh-CN" w:bidi="ar-SA"/>
        </w:rPr>
        <w:t xml:space="preserve">第三部分 </w:t>
      </w:r>
      <w:r>
        <w:rPr>
          <w:rFonts w:ascii="方正小标宋_GBK" w:eastAsia="方正小标宋_GBK" w:cs="方正小标宋_GBK" w:hint="eastAsia"/>
          <w:color w:val="auto"/>
          <w:sz w:val="44"/>
          <w:szCs w:val="44"/>
          <w:highlight w:val="auto"/>
        </w:rPr>
        <w:t>名</w:t>
      </w:r>
      <w:r>
        <w:rPr>
          <w:rStyle w:val="1Char"/>
          <w:rFonts w:ascii="方正小标宋_GBK" w:eastAsia="方正小标宋_GBK" w:cs="方正小标宋_GBK" w:hint="eastAsia"/>
          <w:b w:val="0"/>
          <w:color w:val="auto"/>
          <w:highlight w:val="auto"/>
        </w:rPr>
        <w:t>词解释</w:t>
      </w:r>
      <w:bookmarkEnd w:id="59"/>
      <w:bookmarkEnd w:id="60"/>
    </w:p>
    <w:p>
      <w:pPr>
        <w:keepNext w:val="0"/>
        <w:keepLines w:val="0"/>
        <w:pageBreakBefore w:val="0"/>
        <w:widowControl w:val="0"/>
        <w:kinsoku/>
        <w:wordWrap/>
        <w:overflowPunct/>
        <w:topLinePunct w:val="0"/>
        <w:bidi w:val="0"/>
        <w:snapToGrid/>
        <w:spacing w:line="560" w:lineRule="exact"/>
        <w:ind w:firstLineChars="200" w:firstLine="880"/>
        <w:jc w:val="both"/>
        <w:textAlignment w:val="auto"/>
        <w:rPr>
          <w:rFonts w:ascii="宋体"/>
          <w:b/>
          <w:color w:val="auto"/>
          <w:sz w:val="44"/>
          <w:szCs w:val="44"/>
          <w:highlight w:val="auto"/>
        </w:rPr>
      </w:pP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1.</w:t>
      </w:r>
      <w:r>
        <w:rPr>
          <w:rFonts w:ascii="仿宋_GB2312" w:eastAsia="仿宋_GB2312" w:hint="eastAsia"/>
          <w:color w:val="auto"/>
          <w:sz w:val="32"/>
          <w:szCs w:val="32"/>
          <w:highlight w:val="auto"/>
        </w:rPr>
        <w:t>财政拨款收入：指单位从同级财政部门取得的财政预算资金。</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hint="eastAsia"/>
          <w:color w:val="auto"/>
          <w:sz w:val="32"/>
          <w:szCs w:val="32"/>
          <w:highlight w:val="auto"/>
        </w:rPr>
      </w:pPr>
      <w:r>
        <w:rPr>
          <w:rFonts w:ascii="仿宋_GB2312" w:eastAsia="仿宋_GB2312"/>
          <w:color w:val="auto"/>
          <w:sz w:val="32"/>
          <w:szCs w:val="32"/>
          <w:highlight w:val="auto"/>
        </w:rPr>
        <w:t>2.</w:t>
      </w:r>
      <w:r>
        <w:rPr>
          <w:rFonts w:ascii="仿宋_GB2312" w:eastAsia="仿宋_GB2312" w:hint="eastAsia"/>
          <w:color w:val="auto"/>
          <w:sz w:val="32"/>
          <w:szCs w:val="32"/>
          <w:highlight w:val="auto"/>
        </w:rPr>
        <w:t>事业收入：指事业单位开展专业业务活动及辅助活动取得的收入。</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hint="eastAsia"/>
          <w:color w:val="auto"/>
          <w:sz w:val="32"/>
          <w:szCs w:val="32"/>
          <w:highlight w:val="auto"/>
        </w:rPr>
      </w:pPr>
      <w:r>
        <w:rPr>
          <w:rFonts w:ascii="仿宋_GB2312" w:eastAsia="仿宋_GB2312"/>
          <w:color w:val="auto"/>
          <w:sz w:val="32"/>
          <w:szCs w:val="32"/>
          <w:highlight w:val="auto"/>
        </w:rPr>
        <w:t>3.</w:t>
      </w:r>
      <w:r>
        <w:rPr>
          <w:rFonts w:ascii="仿宋_GB2312" w:eastAsia="仿宋_GB2312" w:hint="eastAsia"/>
          <w:color w:val="auto"/>
          <w:sz w:val="32"/>
          <w:szCs w:val="32"/>
          <w:highlight w:val="auto"/>
        </w:rPr>
        <w:t>经营收入：指事业单位在专业业务活动及其辅助活动之外开展非独立核算经营活动取得的收入。</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hint="eastAsia"/>
          <w:color w:val="auto"/>
          <w:sz w:val="32"/>
          <w:szCs w:val="32"/>
          <w:highlight w:val="auto"/>
        </w:rPr>
      </w:pPr>
      <w:r>
        <w:rPr>
          <w:rFonts w:ascii="仿宋_GB2312" w:eastAsia="仿宋_GB2312"/>
          <w:color w:val="auto"/>
          <w:sz w:val="32"/>
          <w:szCs w:val="32"/>
          <w:highlight w:val="auto"/>
        </w:rPr>
        <w:t>4.</w:t>
      </w:r>
      <w:r>
        <w:rPr>
          <w:rFonts w:ascii="仿宋_GB2312" w:eastAsia="仿宋_GB2312" w:hint="eastAsia"/>
          <w:color w:val="auto"/>
          <w:sz w:val="32"/>
          <w:szCs w:val="32"/>
          <w:highlight w:val="auto"/>
        </w:rPr>
        <w:t>其他收入：指单位取得的除上述收入以外的各项收入。</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5.</w:t>
      </w:r>
      <w:r>
        <w:rPr>
          <w:rFonts w:ascii="仿宋_GB2312" w:eastAsia="仿宋_GB2312" w:hint="eastAsia"/>
          <w:color w:val="auto"/>
          <w:sz w:val="32"/>
          <w:szCs w:val="32"/>
          <w:lang w:eastAsia="zh-CN"/>
          <w:highlight w:val="auto"/>
        </w:rPr>
        <w:t>使用非财政拨款结余</w:t>
      </w:r>
      <w:r>
        <w:rPr>
          <w:rFonts w:ascii="仿宋_GB2312" w:eastAsia="仿宋_GB2312" w:hint="eastAsia"/>
          <w:color w:val="auto"/>
          <w:sz w:val="32"/>
          <w:szCs w:val="32"/>
          <w:highlight w:val="auto"/>
        </w:rPr>
        <w:t>：指事业单位</w:t>
      </w:r>
      <w:r>
        <w:rPr>
          <w:rFonts w:ascii="仿宋_GB2312" w:eastAsia="仿宋_GB2312" w:hint="eastAsia"/>
          <w:color w:val="auto"/>
          <w:sz w:val="32"/>
          <w:szCs w:val="32"/>
          <w:lang w:eastAsia="zh-CN"/>
          <w:highlight w:val="auto"/>
        </w:rPr>
        <w:t>使用以前年度积累的非财政拨款结余弥补当年收支差额的金额。</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6.</w:t>
      </w:r>
      <w:r>
        <w:rPr>
          <w:rFonts w:ascii="仿宋_GB2312" w:eastAsia="仿宋_GB2312" w:hint="eastAsia"/>
          <w:color w:val="auto"/>
          <w:sz w:val="32"/>
          <w:szCs w:val="32"/>
          <w:highlight w:val="auto"/>
        </w:rPr>
        <w:t>年初结转和结余：指以前年度尚未完成、结转到本年按有关规定继续使用的资金。</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7.</w:t>
      </w:r>
      <w:r>
        <w:rPr>
          <w:rFonts w:ascii="仿宋_GB2312" w:eastAsia="仿宋_GB2312" w:hint="eastAsia"/>
          <w:color w:val="auto"/>
          <w:sz w:val="32"/>
          <w:szCs w:val="32"/>
          <w:highlight w:val="auto"/>
        </w:rPr>
        <w:t>结余分配：指事业单位按照会计制度规定</w:t>
      </w:r>
      <w:r>
        <w:rPr>
          <w:rFonts w:ascii="仿宋_GB2312" w:eastAsia="仿宋_GB2312" w:hint="eastAsia"/>
          <w:color w:val="auto"/>
          <w:sz w:val="32"/>
          <w:szCs w:val="32"/>
          <w:lang w:eastAsia="zh-CN"/>
          <w:highlight w:val="auto"/>
        </w:rPr>
        <w:t>缴纳的所得税、提取的专用结余以及转入非财政拨款结余的金额</w:t>
      </w:r>
      <w:r>
        <w:rPr>
          <w:rFonts w:ascii="仿宋_GB2312" w:eastAsia="仿宋_GB2312" w:hint="eastAsia"/>
          <w:color w:val="auto"/>
          <w:sz w:val="32"/>
          <w:szCs w:val="32"/>
          <w:highlight w:val="auto"/>
        </w:rPr>
        <w:t>等。</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8</w:t>
      </w:r>
      <w:r>
        <w:rPr>
          <w:rFonts w:ascii="仿宋_GB2312" w:eastAsia="仿宋_GB2312" w:hint="eastAsia"/>
          <w:color w:val="auto"/>
          <w:sz w:val="32"/>
          <w:szCs w:val="32"/>
          <w:lang w:val="en-US" w:eastAsia="zh-CN"/>
          <w:highlight w:val="auto"/>
        </w:rPr>
        <w:t>.</w:t>
      </w:r>
      <w:r>
        <w:rPr>
          <w:rFonts w:ascii="仿宋_GB2312" w:eastAsia="仿宋_GB2312" w:hint="eastAsia"/>
          <w:color w:val="auto"/>
          <w:sz w:val="32"/>
          <w:szCs w:val="32"/>
          <w:highlight w:val="auto"/>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9.</w:t>
      </w:r>
      <w:r>
        <w:rPr>
          <w:rFonts w:ascii="仿宋_GB2312" w:eastAsia="仿宋_GB2312" w:hint="eastAsia"/>
          <w:color w:val="auto"/>
          <w:sz w:val="32"/>
          <w:szCs w:val="32"/>
          <w:highlight w:val="auto"/>
        </w:rPr>
        <w:t>一般公共服务：指</w:t>
      </w:r>
      <w:r>
        <w:rPr>
          <w:rFonts w:ascii="仿宋_GB2312" w:eastAsia="仿宋_GB2312" w:hint="eastAsia"/>
          <w:color w:val="auto"/>
          <w:sz w:val="32"/>
          <w:szCs w:val="32"/>
          <w:lang w:val="en-US" w:eastAsia="zh-CN"/>
          <w:highlight w:val="auto"/>
        </w:rPr>
        <w:t>反映政府提供一般公共服务的支出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10</w:t>
      </w:r>
      <w:r>
        <w:rPr>
          <w:rFonts w:ascii="仿宋_GB2312" w:eastAsia="仿宋_GB2312"/>
          <w:color w:val="auto"/>
          <w:sz w:val="32"/>
          <w:szCs w:val="32"/>
          <w:highlight w:val="auto"/>
        </w:rPr>
        <w:t>.</w:t>
      </w:r>
      <w:r>
        <w:rPr>
          <w:rFonts w:ascii="仿宋_GB2312" w:eastAsia="仿宋_GB2312" w:hint="eastAsia"/>
          <w:color w:val="auto"/>
          <w:sz w:val="32"/>
          <w:szCs w:val="32"/>
          <w:highlight w:val="auto"/>
        </w:rPr>
        <w:t>教育：指</w:t>
      </w:r>
      <w:r>
        <w:rPr>
          <w:rFonts w:ascii="仿宋_GB2312" w:eastAsia="仿宋_GB2312" w:hint="eastAsia"/>
          <w:color w:val="auto"/>
          <w:sz w:val="32"/>
          <w:szCs w:val="32"/>
          <w:lang w:val="en-US" w:eastAsia="zh-CN"/>
          <w:highlight w:val="auto"/>
        </w:rPr>
        <w:t>反映政府教育事务支出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1</w:t>
      </w:r>
      <w:r>
        <w:rPr>
          <w:rFonts w:ascii="仿宋_GB2312" w:eastAsia="仿宋_GB2312" w:hint="eastAsia"/>
          <w:color w:val="auto"/>
          <w:sz w:val="32"/>
          <w:szCs w:val="32"/>
          <w:lang w:val="en-US" w:eastAsia="zh-CN"/>
          <w:highlight w:val="auto"/>
        </w:rPr>
        <w:t>1</w:t>
      </w:r>
      <w:r>
        <w:rPr>
          <w:rFonts w:ascii="仿宋_GB2312" w:eastAsia="仿宋_GB2312"/>
          <w:color w:val="auto"/>
          <w:sz w:val="32"/>
          <w:szCs w:val="32"/>
          <w:highlight w:val="auto"/>
        </w:rPr>
        <w:t>.</w:t>
      </w:r>
      <w:r>
        <w:rPr>
          <w:rFonts w:ascii="仿宋_GB2312" w:eastAsia="仿宋_GB2312" w:hint="eastAsia"/>
          <w:color w:val="auto"/>
          <w:sz w:val="32"/>
          <w:szCs w:val="32"/>
          <w:highlight w:val="auto"/>
        </w:rPr>
        <w:t>科学技术：指</w:t>
      </w:r>
      <w:r>
        <w:rPr>
          <w:rFonts w:ascii="仿宋_GB2312" w:eastAsia="仿宋_GB2312" w:hint="eastAsia"/>
          <w:color w:val="auto"/>
          <w:sz w:val="32"/>
          <w:szCs w:val="32"/>
          <w:lang w:val="en-US" w:eastAsia="zh-CN"/>
          <w:highlight w:val="auto"/>
        </w:rPr>
        <w:t>反映科学技术方面支出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1</w:t>
      </w:r>
      <w:r>
        <w:rPr>
          <w:rFonts w:ascii="仿宋_GB2312" w:eastAsia="仿宋_GB2312" w:hint="eastAsia"/>
          <w:color w:val="auto"/>
          <w:sz w:val="32"/>
          <w:szCs w:val="32"/>
          <w:lang w:val="en-US" w:eastAsia="zh-CN"/>
          <w:highlight w:val="auto"/>
        </w:rPr>
        <w:t>2</w:t>
      </w:r>
      <w:r>
        <w:rPr>
          <w:rFonts w:ascii="仿宋_GB2312" w:eastAsia="仿宋_GB2312"/>
          <w:color w:val="auto"/>
          <w:sz w:val="32"/>
          <w:szCs w:val="32"/>
          <w:highlight w:val="auto"/>
        </w:rPr>
        <w:t>.</w:t>
      </w:r>
      <w:r>
        <w:rPr>
          <w:rFonts w:ascii="仿宋_GB2312" w:eastAsia="仿宋_GB2312" w:hint="eastAsia"/>
          <w:color w:val="auto"/>
          <w:sz w:val="32"/>
          <w:szCs w:val="32"/>
          <w:highlight w:val="auto"/>
        </w:rPr>
        <w:t>社会保障和就业：指</w:t>
      </w:r>
      <w:r>
        <w:rPr>
          <w:rFonts w:ascii="仿宋_GB2312" w:eastAsia="仿宋_GB2312" w:hint="eastAsia"/>
          <w:color w:val="auto"/>
          <w:sz w:val="32"/>
          <w:szCs w:val="32"/>
          <w:lang w:val="en-US" w:eastAsia="zh-CN"/>
          <w:highlight w:val="auto"/>
        </w:rPr>
        <w:t>反映政府在社会保障与就业方面的支出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1</w:t>
      </w:r>
      <w:r>
        <w:rPr>
          <w:rFonts w:ascii="仿宋_GB2312" w:eastAsia="仿宋_GB2312" w:hint="eastAsia"/>
          <w:color w:val="auto"/>
          <w:sz w:val="32"/>
          <w:szCs w:val="32"/>
          <w:lang w:val="en-US" w:eastAsia="zh-CN"/>
          <w:highlight w:val="auto"/>
        </w:rPr>
        <w:t>3</w:t>
      </w:r>
      <w:r>
        <w:rPr>
          <w:rFonts w:ascii="仿宋_GB2312" w:eastAsia="仿宋_GB2312"/>
          <w:color w:val="auto"/>
          <w:sz w:val="32"/>
          <w:szCs w:val="32"/>
          <w:highlight w:val="auto"/>
        </w:rPr>
        <w:t>.</w:t>
      </w:r>
      <w:r>
        <w:rPr>
          <w:rFonts w:ascii="仿宋_GB2312" w:eastAsia="仿宋_GB2312" w:hint="eastAsia"/>
          <w:color w:val="auto"/>
          <w:sz w:val="32"/>
          <w:szCs w:val="32"/>
          <w:lang w:eastAsia="zh-CN"/>
          <w:highlight w:val="auto"/>
        </w:rPr>
        <w:t>卫生健康</w:t>
      </w:r>
      <w:r>
        <w:rPr>
          <w:rFonts w:ascii="仿宋_GB2312" w:eastAsia="仿宋_GB2312" w:hint="eastAsia"/>
          <w:color w:val="auto"/>
          <w:sz w:val="32"/>
          <w:szCs w:val="32"/>
          <w:highlight w:val="auto"/>
        </w:rPr>
        <w:t>：指</w:t>
      </w:r>
      <w:r>
        <w:rPr>
          <w:rFonts w:ascii="仿宋_GB2312" w:eastAsia="仿宋_GB2312" w:hint="eastAsia"/>
          <w:color w:val="auto"/>
          <w:sz w:val="32"/>
          <w:szCs w:val="32"/>
          <w:lang w:val="en-US" w:eastAsia="zh-CN"/>
          <w:highlight w:val="auto"/>
        </w:rPr>
        <w:t>反映政府卫生健康方面的支出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color w:val="auto"/>
          <w:sz w:val="32"/>
          <w:szCs w:val="32"/>
          <w:highlight w:val="auto"/>
        </w:rPr>
        <w:t>1</w:t>
      </w:r>
      <w:r>
        <w:rPr>
          <w:rFonts w:ascii="仿宋_GB2312" w:eastAsia="仿宋_GB2312" w:hint="eastAsia"/>
          <w:color w:val="auto"/>
          <w:sz w:val="32"/>
          <w:szCs w:val="32"/>
          <w:lang w:val="en-US" w:eastAsia="zh-CN"/>
          <w:highlight w:val="auto"/>
        </w:rPr>
        <w:t>4</w:t>
      </w:r>
      <w:r>
        <w:rPr>
          <w:rFonts w:ascii="仿宋_GB2312" w:eastAsia="仿宋_GB2312"/>
          <w:color w:val="auto"/>
          <w:sz w:val="32"/>
          <w:szCs w:val="32"/>
          <w:highlight w:val="auto"/>
        </w:rPr>
        <w:t>.</w:t>
      </w:r>
      <w:r>
        <w:rPr>
          <w:rFonts w:ascii="仿宋_GB2312" w:eastAsia="仿宋_GB2312" w:hint="eastAsia"/>
          <w:color w:val="auto"/>
          <w:sz w:val="32"/>
          <w:szCs w:val="32"/>
          <w:highlight w:val="auto"/>
        </w:rPr>
        <w:t>农林水：指</w:t>
      </w:r>
      <w:r>
        <w:rPr>
          <w:rFonts w:ascii="仿宋_GB2312" w:eastAsia="仿宋_GB2312" w:hint="eastAsia"/>
          <w:color w:val="auto"/>
          <w:sz w:val="32"/>
          <w:szCs w:val="32"/>
          <w:lang w:val="en-US" w:eastAsia="zh-CN"/>
          <w:highlight w:val="auto"/>
        </w:rPr>
        <w:t>反映政府农林水事务支出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w:t>
      </w:r>
      <w:r>
        <w:rPr>
          <w:rFonts w:ascii="仿宋_GB2312" w:eastAsia="仿宋_GB2312"/>
          <w:color w:val="auto"/>
          <w:sz w:val="32"/>
          <w:szCs w:val="32"/>
          <w:highlight w:val="auto"/>
        </w:rPr>
        <w:t>5.</w:t>
      </w:r>
      <w:r>
        <w:rPr>
          <w:rFonts w:ascii="仿宋_GB2312" w:eastAsia="仿宋_GB2312" w:hint="eastAsia"/>
          <w:color w:val="auto"/>
          <w:sz w:val="32"/>
          <w:szCs w:val="32"/>
          <w:highlight w:val="auto"/>
        </w:rPr>
        <w:t>住房保障：指</w:t>
      </w:r>
      <w:r>
        <w:rPr>
          <w:rFonts w:ascii="仿宋_GB2312" w:eastAsia="仿宋_GB2312" w:hint="eastAsia"/>
          <w:color w:val="auto"/>
          <w:sz w:val="32"/>
          <w:szCs w:val="32"/>
          <w:lang w:val="en-US" w:eastAsia="zh-CN"/>
          <w:highlight w:val="auto"/>
        </w:rPr>
        <w:t>反映政府用于住房方面的支出</w:t>
      </w:r>
      <w:r>
        <w:rPr>
          <w:rFonts w:ascii="仿宋_GB2312" w:eastAsia="仿宋_GB2312" w:hint="eastAsia"/>
          <w:color w:val="auto"/>
          <w:sz w:val="32"/>
          <w:szCs w:val="32"/>
          <w:highlight w:val="auto"/>
        </w:rPr>
        <w:t>。</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16</w:t>
      </w:r>
      <w:r>
        <w:rPr>
          <w:rFonts w:ascii="仿宋_GB2312" w:eastAsia="仿宋_GB2312"/>
          <w:color w:val="auto"/>
          <w:sz w:val="32"/>
          <w:szCs w:val="32"/>
          <w:highlight w:val="auto"/>
        </w:rPr>
        <w:t>.</w:t>
      </w:r>
      <w:r>
        <w:rPr>
          <w:rFonts w:ascii="仿宋_GB2312" w:eastAsia="仿宋_GB2312" w:hint="eastAsia"/>
          <w:color w:val="auto"/>
          <w:sz w:val="32"/>
          <w:szCs w:val="32"/>
          <w:highlight w:val="auto"/>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17</w:t>
      </w:r>
      <w:r>
        <w:rPr>
          <w:rFonts w:ascii="仿宋_GB2312" w:eastAsia="仿宋_GB2312"/>
          <w:color w:val="auto"/>
          <w:sz w:val="32"/>
          <w:szCs w:val="32"/>
          <w:highlight w:val="auto"/>
        </w:rPr>
        <w:t>.</w:t>
      </w:r>
      <w:r>
        <w:rPr>
          <w:rFonts w:ascii="仿宋_GB2312" w:eastAsia="仿宋_GB2312" w:hint="eastAsia"/>
          <w:color w:val="auto"/>
          <w:sz w:val="32"/>
          <w:szCs w:val="32"/>
          <w:highlight w:val="auto"/>
        </w:rPr>
        <w:t>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18</w:t>
      </w:r>
      <w:r>
        <w:rPr>
          <w:rFonts w:ascii="仿宋_GB2312" w:eastAsia="仿宋_GB2312"/>
          <w:color w:val="auto"/>
          <w:sz w:val="32"/>
          <w:szCs w:val="32"/>
          <w:highlight w:val="auto"/>
        </w:rPr>
        <w:t>.</w:t>
      </w:r>
      <w:r>
        <w:rPr>
          <w:rFonts w:ascii="仿宋_GB2312" w:eastAsia="仿宋_GB2312" w:hint="eastAsia"/>
          <w:color w:val="auto"/>
          <w:sz w:val="32"/>
          <w:szCs w:val="32"/>
          <w:highlight w:val="auto"/>
        </w:rPr>
        <w:t>经营支出：指事业单位在专业业务活动及其辅助活动之外开展非独立核算经营活动发生的支出。</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19</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jc w:val="both"/>
        <w:textAlignment w:val="auto"/>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20</w:t>
      </w:r>
      <w:r>
        <w:rPr>
          <w:rFonts w:ascii="仿宋_GB2312" w:eastAsia="仿宋_GB2312"/>
          <w:color w:val="auto"/>
          <w:sz w:val="32"/>
          <w:szCs w:val="32"/>
          <w:highlight w:val="auto"/>
        </w:rPr>
        <w:t>.</w:t>
      </w:r>
      <w:r>
        <w:rPr>
          <w:rFonts w:ascii="仿宋_GB2312" w:eastAsia="仿宋_GB2312" w:hint="eastAsia"/>
          <w:color w:val="auto"/>
          <w:sz w:val="32"/>
          <w:szCs w:val="32"/>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eastAsia="黑体" w:hint="eastAsia"/>
          <w:color w:val="auto"/>
          <w:sz w:val="44"/>
          <w:szCs w:val="44"/>
          <w:highlight w:val="auto"/>
        </w:rPr>
      </w:pPr>
      <w:bookmarkStart w:id="61" w:name="_Toc15396614"/>
      <w:bookmarkStart w:id="62" w:name="_Toc15377226"/>
    </w:p>
    <w:p>
      <w:pPr>
        <w:spacing w:line="600" w:lineRule="exact"/>
        <w:jc w:val="center"/>
        <w:outlineLvl w:val="0"/>
        <w:rPr>
          <w:rStyle w:val="1Char"/>
          <w:rFonts w:ascii="黑体" w:eastAsia="黑体" w:hint="eastAsia"/>
          <w:b w:val="0"/>
          <w:color w:val="auto"/>
          <w:lang w:eastAsia="zh-CN"/>
          <w:highlight w:val="auto"/>
        </w:rPr>
      </w:pPr>
      <w:bookmarkEnd w:id="61"/>
      <w:r>
        <w:rPr>
          <w:rFonts w:ascii="黑体" w:eastAsia="黑体" w:hint="eastAsia"/>
          <w:color w:val="auto"/>
          <w:sz w:val="44"/>
          <w:szCs w:val="44"/>
          <w:highlight w:val="auto"/>
        </w:rPr>
        <w:t>第</w:t>
      </w:r>
      <w:r>
        <w:rPr>
          <w:rStyle w:val="1Char"/>
          <w:rFonts w:ascii="黑体" w:eastAsia="黑体" w:hint="eastAsia"/>
          <w:b w:val="0"/>
          <w:color w:val="auto"/>
          <w:highlight w:val="auto"/>
        </w:rPr>
        <w:t>四部分 附件</w:t>
      </w: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黑体" w:eastAsia="黑体" w:cs="黑体" w:hint="eastAsia"/>
          <w:color w:val="auto"/>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黑体" w:eastAsia="黑体" w:cs="黑体" w:hint="eastAsia"/>
          <w:color w:val="auto"/>
          <w:sz w:val="32"/>
          <w:szCs w:val="32"/>
          <w:highlight w:val="auto"/>
        </w:rPr>
      </w:pPr>
      <w:r>
        <w:rPr>
          <w:rFonts w:ascii="黑体" w:eastAsia="黑体" w:cs="黑体" w:hint="eastAsia"/>
          <w:color w:val="auto"/>
          <w:sz w:val="32"/>
          <w:szCs w:val="32"/>
          <w:highlight w:val="auto"/>
        </w:rPr>
        <w:t>附件</w:t>
      </w:r>
    </w:p>
    <w:p>
      <w:pPr>
        <w:pStyle w:val="15"/>
        <w:keepNext w:val="0"/>
        <w:keepLines w:val="0"/>
        <w:pageBreakBefore w:val="0"/>
        <w:widowControl w:val="0"/>
        <w:kinsoku/>
        <w:wordWrap/>
        <w:overflowPunct/>
        <w:topLinePunct w:val="0"/>
        <w:autoSpaceDE/>
        <w:autoSpaceDN/>
        <w:bidi w:val="0"/>
        <w:adjustRightInd/>
        <w:snapToGrid/>
        <w:spacing w:beforeLines="0" w:before="30" w:line="520" w:lineRule="exact"/>
        <w:jc w:val="center"/>
        <w:textAlignment w:val="auto"/>
      </w:pPr>
    </w:p>
    <w:p>
      <w:pPr>
        <w:keepNext w:val="0"/>
        <w:keepLines w:val="0"/>
        <w:pageBreakBefore w:val="0"/>
        <w:widowControl/>
        <w:kinsoku/>
        <w:wordWrap/>
        <w:overflowPunct/>
        <w:topLinePunct w:val="0"/>
        <w:autoSpaceDE/>
        <w:autoSpaceDN/>
        <w:bidi w:val="0"/>
        <w:adjustRightInd/>
        <w:snapToGrid/>
        <w:spacing w:line="700" w:lineRule="exact"/>
        <w:contextualSpacing/>
        <w:jc w:val="center"/>
        <w:textAlignment w:val="auto"/>
        <w:rPr>
          <w:rFonts w:ascii="方正小标宋_GBK" w:eastAsia="方正小标宋_GBK" w:cs="方正小标宋_GBK" w:hint="eastAsia"/>
          <w:b w:val="0"/>
          <w:bCs/>
          <w:color w:val="auto"/>
          <w:sz w:val="44"/>
          <w:szCs w:val="44"/>
          <w:shd w:val="clear" w:color="auto" w:fill="FFFFFF"/>
          <w:highlight w:val="auto"/>
        </w:rPr>
      </w:pPr>
      <w:r>
        <w:rPr>
          <w:rFonts w:ascii="方正小标宋_GBK" w:eastAsia="方正小标宋_GBK" w:cs="方正小标宋_GBK" w:hint="eastAsia"/>
          <w:b w:val="0"/>
          <w:bCs/>
          <w:color w:val="auto"/>
          <w:sz w:val="44"/>
          <w:szCs w:val="44"/>
          <w:shd w:val="clear" w:color="auto" w:fill="FFFFFF"/>
          <w:highlight w:val="auto"/>
        </w:rPr>
        <w:t>20</w:t>
      </w:r>
      <w:r>
        <w:rPr>
          <w:rFonts w:ascii="方正小标宋_GBK" w:eastAsia="方正小标宋_GBK" w:cs="方正小标宋_GBK" w:hint="eastAsia"/>
          <w:b w:val="0"/>
          <w:bCs/>
          <w:color w:val="auto"/>
          <w:sz w:val="44"/>
          <w:szCs w:val="44"/>
          <w:shd w:val="clear" w:color="auto" w:fill="FFFFFF"/>
          <w:lang w:val="en-US" w:eastAsia="zh-CN"/>
          <w:highlight w:val="auto"/>
        </w:rPr>
        <w:t>23</w:t>
      </w:r>
      <w:r>
        <w:rPr>
          <w:rFonts w:ascii="方正小标宋_GBK" w:eastAsia="方正小标宋_GBK" w:cs="方正小标宋_GBK" w:hint="eastAsia"/>
          <w:b w:val="0"/>
          <w:bCs/>
          <w:color w:val="auto"/>
          <w:sz w:val="44"/>
          <w:szCs w:val="44"/>
          <w:shd w:val="clear" w:color="auto" w:fill="FFFFFF"/>
          <w:highlight w:val="auto"/>
        </w:rPr>
        <w:t>年省级部门整体绩效评价报告范本</w:t>
      </w:r>
    </w:p>
    <w:p>
      <w:pPr>
        <w:pStyle w:val="15"/>
        <w:keepNext w:val="0"/>
        <w:keepLines w:val="0"/>
        <w:pageBreakBefore w:val="0"/>
        <w:widowControl w:val="0"/>
        <w:kinsoku/>
        <w:wordWrap/>
        <w:overflowPunct/>
        <w:topLinePunct w:val="0"/>
        <w:autoSpaceDE/>
        <w:autoSpaceDN/>
        <w:bidi w:val="0"/>
        <w:spacing w:beforeLines="0" w:before="30" w:line="560" w:lineRule="exact"/>
        <w:ind w:firstLineChars="200" w:firstLine="600"/>
        <w:jc w:val="both"/>
        <w:textAlignment w:val="auto"/>
      </w:pP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both"/>
        <w:textAlignment w:val="auto"/>
        <w:rPr>
          <w:rFonts w:ascii="黑体" w:eastAsia="黑体" w:cs="黑体" w:hint="eastAsia"/>
          <w:b w:val="0"/>
          <w:bCs w:val="0"/>
          <w:color w:val="auto"/>
          <w:kern w:val="0"/>
          <w:sz w:val="32"/>
          <w:szCs w:val="32"/>
          <w:shd w:val="clear" w:color="auto" w:fill="FFFFFF"/>
          <w:lang w:val="zh-CN"/>
          <w:highlight w:val="auto"/>
        </w:rPr>
      </w:pPr>
      <w:r>
        <w:rPr>
          <w:rFonts w:ascii="黑体" w:eastAsia="黑体" w:cs="黑体" w:hint="eastAsia"/>
          <w:b w:val="0"/>
          <w:bCs w:val="0"/>
          <w:color w:val="auto"/>
          <w:kern w:val="0"/>
          <w:sz w:val="32"/>
          <w:szCs w:val="32"/>
          <w:shd w:val="clear" w:color="auto" w:fill="FFFFFF"/>
          <w:lang w:val="zh-CN" w:eastAsia="zh-CN" w:bidi="ar-SA"/>
        </w:rPr>
        <w:t>一、</w:t>
      </w:r>
      <w:r>
        <w:rPr>
          <w:rFonts w:ascii="黑体" w:eastAsia="黑体" w:cs="黑体" w:hint="eastAsia"/>
          <w:b w:val="0"/>
          <w:bCs w:val="0"/>
          <w:color w:val="auto"/>
          <w:kern w:val="0"/>
          <w:sz w:val="32"/>
          <w:szCs w:val="32"/>
          <w:shd w:val="clear" w:color="auto" w:fill="FFFFFF"/>
          <w:lang w:val="zh-CN"/>
          <w:highlight w:val="auto"/>
        </w:rPr>
        <w:t>部门（单位）基本情况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both"/>
        <w:textAlignment w:val="auto"/>
        <w:rPr>
          <w:rFonts w:ascii="楷体_GB2312" w:eastAsia="楷体_GB2312" w:cs="楷体_GB2312" w:hint="eastAsia"/>
          <w:b/>
          <w:bCs/>
          <w:color w:val="auto"/>
          <w:kern w:val="0"/>
          <w:sz w:val="32"/>
          <w:szCs w:val="32"/>
          <w:shd w:val="clear" w:color="auto" w:fill="FFFFFF"/>
          <w:lang w:val="zh-CN"/>
          <w:highlight w:val="auto"/>
        </w:rPr>
      </w:pPr>
      <w:r>
        <w:rPr>
          <w:rFonts w:ascii="楷体_GB2312" w:eastAsia="楷体_GB2312" w:cs="楷体_GB2312" w:hint="eastAsia"/>
          <w:b/>
          <w:bCs/>
          <w:color w:val="auto"/>
          <w:kern w:val="0"/>
          <w:sz w:val="32"/>
          <w:szCs w:val="32"/>
          <w:shd w:val="clear" w:color="auto" w:fill="FFFFFF"/>
          <w:lang w:val="zh-CN" w:eastAsia="zh-CN" w:bidi="ar-SA"/>
        </w:rPr>
        <w:t>（一）</w:t>
      </w:r>
      <w:r>
        <w:rPr>
          <w:rFonts w:ascii="楷体_GB2312" w:eastAsia="楷体_GB2312" w:cs="楷体_GB2312" w:hint="eastAsia"/>
          <w:b/>
          <w:bCs/>
          <w:color w:val="auto"/>
          <w:kern w:val="0"/>
          <w:sz w:val="32"/>
          <w:szCs w:val="32"/>
          <w:shd w:val="clear" w:color="auto" w:fill="FFFFFF"/>
          <w:lang w:val="zh-CN"/>
          <w:highlight w:val="auto"/>
        </w:rPr>
        <w:t>机构组成</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color w:val="000000"/>
          <w:sz w:val="32"/>
          <w:szCs w:val="32"/>
        </w:rPr>
        <w:t>县</w:t>
      </w:r>
      <w:r>
        <w:rPr>
          <w:rFonts w:ascii="仿宋_GB2312" w:eastAsia="仿宋_GB2312" w:cs="仿宋_GB2312" w:hint="eastAsia"/>
          <w:color w:val="000000"/>
          <w:sz w:val="32"/>
          <w:szCs w:val="32"/>
          <w:lang w:eastAsia="zh-CN"/>
        </w:rPr>
        <w:t>科学技术和农业畜牧局</w:t>
      </w:r>
      <w:r>
        <w:rPr>
          <w:rFonts w:ascii="仿宋_GB2312" w:eastAsia="仿宋_GB2312" w:cs="仿宋_GB2312" w:hint="eastAsia"/>
          <w:color w:val="000000"/>
          <w:sz w:val="32"/>
          <w:szCs w:val="32"/>
        </w:rPr>
        <w:t>下设办公室、农安中心、行政审批法规股、产业发展指导股、农业行政执法大队、农机监理站、动检所、科教站、农技综合站、植保站、经作战、农经站</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计财股等股室。</w:t>
      </w:r>
    </w:p>
    <w:p>
      <w:pPr>
        <w:keepNext w:val="0"/>
        <w:keepLines w:val="0"/>
        <w:pageBreakBefore w:val="0"/>
        <w:widowControl w:val="0"/>
        <w:kinsoku/>
        <w:wordWrap/>
        <w:overflowPunct/>
        <w:topLinePunct w:val="0"/>
        <w:autoSpaceDE/>
        <w:autoSpaceDN/>
        <w:bidi w:val="0"/>
        <w:spacing w:line="560" w:lineRule="exact"/>
        <w:ind w:left="0" w:firstLineChars="200" w:firstLine="640"/>
        <w:jc w:val="both"/>
        <w:textAlignment w:val="auto"/>
        <w:rPr>
          <w:rFonts w:ascii="楷体_GB2312" w:eastAsia="楷体_GB2312" w:cs="楷体_GB2312" w:hint="eastAsia"/>
          <w:b/>
          <w:bCs/>
          <w:color w:val="auto"/>
          <w:kern w:val="0"/>
          <w:sz w:val="32"/>
          <w:szCs w:val="32"/>
          <w:shd w:val="clear" w:color="auto" w:fill="FFFFFF"/>
          <w:lang w:val="zh-CN"/>
          <w:highlight w:val="auto"/>
        </w:rPr>
      </w:pPr>
      <w:r>
        <w:rPr>
          <w:rFonts w:ascii="楷体_GB2312" w:eastAsia="楷体_GB2312" w:cs="楷体_GB2312" w:hint="eastAsia"/>
          <w:b/>
          <w:bCs/>
          <w:color w:val="auto"/>
          <w:kern w:val="0"/>
          <w:sz w:val="32"/>
          <w:szCs w:val="32"/>
          <w:shd w:val="clear" w:color="auto" w:fill="FFFFFF"/>
          <w:lang w:val="zh-CN" w:eastAsia="zh-CN" w:bidi="ar-SA"/>
        </w:rPr>
        <w:t>（二）</w:t>
      </w:r>
      <w:r>
        <w:rPr>
          <w:rFonts w:ascii="楷体_GB2312" w:eastAsia="楷体_GB2312" w:cs="楷体_GB2312" w:hint="eastAsia"/>
          <w:b/>
          <w:bCs/>
          <w:color w:val="auto"/>
          <w:kern w:val="0"/>
          <w:sz w:val="32"/>
          <w:szCs w:val="32"/>
          <w:shd w:val="clear" w:color="auto" w:fill="FFFFFF"/>
          <w:lang w:val="zh-CN"/>
          <w:highlight w:val="auto"/>
        </w:rPr>
        <w:t>机构职能和人员概况</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
          <w:bCs/>
          <w:color w:val="000000"/>
          <w:sz w:val="32"/>
          <w:szCs w:val="32"/>
          <w:lang w:val="en-US" w:eastAsia="zh-CN"/>
        </w:rPr>
      </w:pPr>
      <w:r>
        <w:rPr>
          <w:rFonts w:ascii="仿宋_GB2312" w:eastAsia="仿宋_GB2312" w:cs="仿宋_GB2312" w:hint="eastAsia"/>
          <w:b/>
          <w:bCs/>
          <w:color w:val="000000"/>
          <w:sz w:val="32"/>
          <w:szCs w:val="32"/>
          <w:lang w:val="en-US" w:eastAsia="zh-CN"/>
        </w:rPr>
        <w:t>机构职能：</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color w:val="000000"/>
          <w:sz w:val="32"/>
          <w:szCs w:val="32"/>
        </w:rPr>
        <w:t>1.</w:t>
      </w:r>
      <w:r>
        <w:rPr>
          <w:rFonts w:ascii="仿宋_GB2312" w:eastAsia="仿宋_GB2312" w:cs="仿宋_GB2312" w:hint="eastAsia"/>
          <w:color w:val="000000"/>
          <w:sz w:val="32"/>
          <w:szCs w:val="32"/>
        </w:rPr>
        <w:t>县</w:t>
      </w:r>
      <w:r>
        <w:rPr>
          <w:rFonts w:ascii="仿宋_GB2312" w:eastAsia="仿宋_GB2312" w:cs="仿宋_GB2312" w:hint="eastAsia"/>
          <w:color w:val="000000"/>
          <w:sz w:val="32"/>
          <w:szCs w:val="32"/>
          <w:lang w:eastAsia="zh-CN"/>
        </w:rPr>
        <w:t>科技农牧局</w:t>
      </w:r>
      <w:r>
        <w:rPr>
          <w:rFonts w:ascii="仿宋_GB2312" w:eastAsia="仿宋_GB2312" w:cs="仿宋_GB2312" w:hint="eastAsia"/>
          <w:color w:val="000000"/>
          <w:sz w:val="32"/>
          <w:szCs w:val="32"/>
        </w:rPr>
        <w:t>组织贯彻执行国家、省、州有关种植业、粮食流通管理和农村经济发展工作的方针、政策、</w:t>
      </w:r>
      <w:r>
        <w:rPr>
          <w:rFonts w:ascii="仿宋_GB2312" w:eastAsia="仿宋_GB2312" w:cs="仿宋_GB2312" w:hint="eastAsia"/>
          <w:color w:val="000000"/>
          <w:sz w:val="32"/>
          <w:szCs w:val="32"/>
          <w:lang w:eastAsia="zh-CN"/>
        </w:rPr>
        <w:t>法律法规</w:t>
      </w:r>
      <w:r>
        <w:rPr>
          <w:rFonts w:ascii="仿宋_GB2312" w:eastAsia="仿宋_GB2312" w:cs="仿宋_GB2312" w:hint="eastAsia"/>
          <w:color w:val="000000"/>
          <w:sz w:val="32"/>
          <w:szCs w:val="32"/>
        </w:rPr>
        <w:t>规章；</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color w:val="000000"/>
          <w:sz w:val="32"/>
          <w:szCs w:val="32"/>
        </w:rPr>
        <w:t>2.</w:t>
      </w:r>
      <w:r>
        <w:rPr>
          <w:rFonts w:ascii="仿宋_GB2312" w:eastAsia="仿宋_GB2312" w:cs="仿宋_GB2312" w:hint="eastAsia"/>
          <w:color w:val="000000"/>
          <w:sz w:val="32"/>
          <w:szCs w:val="32"/>
        </w:rPr>
        <w:t>提出全县种植业、粮食流通管理和农村经济发展战略、中长期发展规划，经批准后组织实施</w:t>
      </w:r>
      <w:r>
        <w:rPr>
          <w:rFonts w:ascii="仿宋_GB2312" w:eastAsia="仿宋_GB2312" w:cs="仿宋_GB2312" w:hint="eastAsia"/>
          <w:color w:val="000000"/>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color w:val="000000"/>
          <w:sz w:val="32"/>
          <w:szCs w:val="32"/>
        </w:rPr>
        <w:t>3.</w:t>
      </w:r>
      <w:r>
        <w:rPr>
          <w:rFonts w:ascii="仿宋_GB2312" w:eastAsia="仿宋_GB2312" w:cs="仿宋_GB2312" w:hint="eastAsia"/>
          <w:color w:val="000000"/>
          <w:sz w:val="32"/>
          <w:szCs w:val="32"/>
        </w:rPr>
        <w:t>承担农产品质量安全的监督管理工作；依法开展农作物种子（种苗）和有关肥料的监督管理</w:t>
      </w:r>
      <w:r>
        <w:rPr>
          <w:rFonts w:ascii="仿宋_GB2312" w:eastAsia="仿宋_GB2312" w:cs="仿宋_GB2312" w:hint="eastAsia"/>
          <w:color w:val="000000"/>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color w:val="000000"/>
          <w:sz w:val="32"/>
          <w:szCs w:val="32"/>
        </w:rPr>
        <w:t>4.</w:t>
      </w:r>
      <w:r>
        <w:rPr>
          <w:rFonts w:ascii="仿宋_GB2312" w:eastAsia="仿宋_GB2312" w:cs="仿宋_GB2312" w:hint="eastAsia"/>
          <w:color w:val="000000"/>
          <w:sz w:val="32"/>
          <w:szCs w:val="32"/>
        </w:rPr>
        <w:t>负责农作物重大病虫害防治；</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color w:val="000000"/>
          <w:sz w:val="32"/>
          <w:szCs w:val="32"/>
        </w:rPr>
        <w:t>5.</w:t>
      </w:r>
      <w:r>
        <w:rPr>
          <w:rFonts w:ascii="仿宋_GB2312" w:eastAsia="仿宋_GB2312" w:cs="仿宋_GB2312" w:hint="eastAsia"/>
          <w:color w:val="000000"/>
          <w:sz w:val="32"/>
          <w:szCs w:val="32"/>
        </w:rPr>
        <w:t>承担农业防灾减灾的责任；</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color w:val="000000"/>
          <w:sz w:val="32"/>
          <w:szCs w:val="32"/>
        </w:rPr>
        <w:t>6.</w:t>
      </w:r>
      <w:r>
        <w:rPr>
          <w:rFonts w:ascii="仿宋_GB2312" w:eastAsia="仿宋_GB2312" w:cs="仿宋_GB2312" w:hint="eastAsia"/>
          <w:color w:val="000000"/>
          <w:sz w:val="32"/>
          <w:szCs w:val="32"/>
        </w:rPr>
        <w:t>制定农业生态建设规划并组织实施；</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color w:val="000000"/>
          <w:sz w:val="32"/>
          <w:szCs w:val="32"/>
          <w:lang w:val="zh-CN"/>
        </w:rPr>
      </w:pPr>
      <w:r>
        <w:rPr>
          <w:rFonts w:ascii="仿宋_GB2312" w:eastAsia="仿宋_GB2312" w:cs="仿宋_GB2312" w:hint="eastAsia"/>
          <w:b/>
          <w:bCs/>
          <w:color w:val="000000"/>
          <w:sz w:val="32"/>
          <w:szCs w:val="32"/>
        </w:rPr>
        <w:t>7.</w:t>
      </w:r>
      <w:r>
        <w:rPr>
          <w:rFonts w:ascii="仿宋_GB2312" w:eastAsia="仿宋_GB2312" w:cs="仿宋_GB2312" w:hint="eastAsia"/>
          <w:color w:val="000000"/>
          <w:sz w:val="32"/>
          <w:szCs w:val="32"/>
        </w:rPr>
        <w:t>承办人民政府交办的其他事项。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b/>
          <w:bCs/>
          <w:color w:val="000000"/>
          <w:sz w:val="32"/>
          <w:szCs w:val="32"/>
          <w:lang w:val="en-US" w:eastAsia="zh-CN"/>
        </w:rPr>
        <w:t>人员概况：</w:t>
      </w:r>
      <w:r>
        <w:rPr>
          <w:rFonts w:ascii="仿宋_GB2312" w:eastAsia="仿宋_GB2312" w:cs="仿宋_GB2312" w:hint="eastAsia"/>
          <w:color w:val="000000"/>
          <w:sz w:val="32"/>
          <w:szCs w:val="32"/>
          <w:lang w:val="en-US" w:eastAsia="zh-CN"/>
        </w:rPr>
        <w:t>壤塘县科学技术和农业畜牧局行政人员10人，当年增加2人，参照公务员法管理事业人员参照公务员法管理事业人员19人，当年减少7人。变动原因：参照公务员法管理事业人员1人转为公务员；调入机关党委书记1人，退休2人，调离4人。非参公事业人员83人，当年减少1人。变动原因：调离1人。</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楷体_GB2312" w:eastAsia="楷体_GB2312" w:cs="楷体_GB2312" w:hint="eastAsia"/>
          <w:b/>
          <w:bCs/>
          <w:color w:val="auto"/>
          <w:kern w:val="0"/>
          <w:sz w:val="32"/>
          <w:szCs w:val="32"/>
          <w:shd w:val="clear" w:color="auto" w:fill="FFFFFF"/>
          <w:lang w:val="zh-CN" w:eastAsia="zh-CN" w:bidi="ar-SA"/>
        </w:rPr>
      </w:pPr>
      <w:r>
        <w:rPr>
          <w:rFonts w:ascii="楷体_GB2312" w:eastAsia="楷体_GB2312" w:cs="楷体_GB2312" w:hint="eastAsia"/>
          <w:b/>
          <w:bCs/>
          <w:color w:val="auto"/>
          <w:kern w:val="0"/>
          <w:sz w:val="32"/>
          <w:szCs w:val="32"/>
          <w:shd w:val="clear" w:color="auto" w:fill="FFFFFF"/>
          <w:lang w:val="en-US" w:eastAsia="zh-CN" w:bidi="ar-SA"/>
        </w:rPr>
        <w:t>（三）</w:t>
      </w:r>
      <w:r>
        <w:rPr>
          <w:rFonts w:ascii="楷体_GB2312" w:eastAsia="楷体_GB2312" w:cs="楷体_GB2312" w:hint="eastAsia"/>
          <w:b/>
          <w:bCs/>
          <w:color w:val="auto"/>
          <w:kern w:val="0"/>
          <w:sz w:val="32"/>
          <w:szCs w:val="32"/>
          <w:shd w:val="clear" w:color="auto" w:fill="FFFFFF"/>
          <w:lang w:val="zh-CN" w:eastAsia="zh-CN" w:bidi="ar-SA"/>
        </w:rPr>
        <w:t>年度主要工作任务</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sz w:val="32"/>
          <w:szCs w:val="32"/>
          <w:lang w:eastAsia="zh-CN"/>
        </w:rPr>
      </w:pPr>
      <w:r>
        <w:rPr>
          <w:rFonts w:ascii="仿宋_GB2312" w:eastAsia="仿宋_GB2312" w:cs="仿宋_GB2312" w:hint="eastAsia"/>
          <w:b w:val="0"/>
          <w:bCs w:val="0"/>
          <w:sz w:val="32"/>
          <w:szCs w:val="32"/>
          <w:lang w:val="en-US" w:eastAsia="zh-CN"/>
        </w:rPr>
        <w:t>2022年，共实施项目17个，总投入4295.67万元。其中：新建项目13个，投入资金3352.29万元（其中：农业项目8个，投入资金856.7万元；畜牧项目5个，投入资金2595.525万元）；续建项目4个，投入资金1243.38万元。</w:t>
      </w:r>
      <w:r>
        <w:rPr>
          <w:rFonts w:ascii="仿宋_GB2312" w:eastAsia="仿宋_GB2312" w:cs="仿宋_GB2312" w:hint="eastAsia"/>
          <w:b w:val="0"/>
          <w:bCs w:val="0"/>
          <w:color w:val="000000"/>
          <w:sz w:val="32"/>
          <w:szCs w:val="32"/>
          <w:u w:val="none"/>
          <w:lang w:val="en-US" w:eastAsia="zh-CN"/>
        </w:rPr>
        <w:t>2022</w:t>
      </w:r>
      <w:r>
        <w:rPr>
          <w:rFonts w:ascii="仿宋_GB2312" w:eastAsia="仿宋_GB2312" w:cs="仿宋_GB2312" w:hint="eastAsia"/>
          <w:b w:val="0"/>
          <w:bCs w:val="0"/>
          <w:color w:val="000000"/>
          <w:sz w:val="32"/>
          <w:szCs w:val="32"/>
          <w:u w:val="none"/>
        </w:rPr>
        <w:t>年全县农作物播种</w:t>
      </w:r>
      <w:r>
        <w:rPr>
          <w:rFonts w:ascii="仿宋_GB2312" w:eastAsia="仿宋_GB2312" w:cs="仿宋_GB2312" w:hint="eastAsia"/>
          <w:b w:val="0"/>
          <w:bCs w:val="0"/>
          <w:color w:val="auto"/>
          <w:sz w:val="32"/>
          <w:szCs w:val="32"/>
          <w:u w:val="none"/>
        </w:rPr>
        <w:t>面积</w:t>
      </w:r>
      <w:r>
        <w:rPr>
          <w:rFonts w:ascii="仿宋_GB2312" w:eastAsia="仿宋_GB2312" w:cs="仿宋_GB2312" w:hint="eastAsia"/>
          <w:b w:val="0"/>
          <w:bCs w:val="0"/>
          <w:color w:val="auto"/>
          <w:sz w:val="32"/>
          <w:szCs w:val="32"/>
          <w:u w:val="none"/>
          <w:lang w:val="en-US" w:eastAsia="zh-CN"/>
        </w:rPr>
        <w:t>36506</w:t>
      </w:r>
      <w:r>
        <w:rPr>
          <w:rFonts w:ascii="仿宋_GB2312" w:eastAsia="仿宋_GB2312" w:cs="仿宋_GB2312" w:hint="eastAsia"/>
          <w:b w:val="0"/>
          <w:bCs w:val="0"/>
          <w:color w:val="auto"/>
          <w:sz w:val="32"/>
          <w:szCs w:val="32"/>
          <w:u w:val="none"/>
        </w:rPr>
        <w:t>亩</w:t>
      </w:r>
      <w:r>
        <w:rPr>
          <w:rFonts w:ascii="仿宋_GB2312" w:eastAsia="仿宋_GB2312" w:cs="仿宋_GB2312" w:hint="eastAsia"/>
          <w:b w:val="0"/>
          <w:bCs w:val="0"/>
          <w:color w:val="auto"/>
          <w:sz w:val="32"/>
          <w:szCs w:val="32"/>
          <w:u w:val="none"/>
          <w:lang w:eastAsia="zh-CN"/>
        </w:rPr>
        <w:t>，</w:t>
      </w:r>
      <w:r>
        <w:rPr>
          <w:rFonts w:ascii="仿宋_GB2312" w:eastAsia="仿宋_GB2312" w:cs="仿宋_GB2312" w:hint="eastAsia"/>
          <w:b w:val="0"/>
          <w:bCs w:val="0"/>
          <w:color w:val="auto"/>
          <w:sz w:val="32"/>
          <w:szCs w:val="32"/>
          <w:u w:val="none"/>
        </w:rPr>
        <w:t>较上年</w:t>
      </w:r>
      <w:r>
        <w:rPr>
          <w:rFonts w:ascii="仿宋_GB2312" w:eastAsia="仿宋_GB2312" w:cs="仿宋_GB2312" w:hint="eastAsia"/>
          <w:b w:val="0"/>
          <w:bCs w:val="0"/>
          <w:color w:val="auto"/>
          <w:sz w:val="32"/>
          <w:szCs w:val="32"/>
          <w:u w:val="none"/>
          <w:lang w:eastAsia="zh-CN"/>
        </w:rPr>
        <w:t>增加341</w:t>
      </w:r>
      <w:r>
        <w:rPr>
          <w:rFonts w:ascii="仿宋_GB2312" w:eastAsia="仿宋_GB2312" w:cs="仿宋_GB2312" w:hint="eastAsia"/>
          <w:b w:val="0"/>
          <w:bCs w:val="0"/>
          <w:color w:val="auto"/>
          <w:sz w:val="32"/>
          <w:szCs w:val="32"/>
          <w:u w:val="none"/>
        </w:rPr>
        <w:t>亩</w:t>
      </w:r>
      <w:r>
        <w:rPr>
          <w:rFonts w:ascii="仿宋_GB2312" w:eastAsia="仿宋_GB2312" w:cs="仿宋_GB2312" w:hint="eastAsia"/>
          <w:b w:val="0"/>
          <w:bCs w:val="0"/>
          <w:color w:val="auto"/>
          <w:sz w:val="32"/>
          <w:szCs w:val="32"/>
          <w:u w:val="none"/>
          <w:lang w:eastAsia="zh-CN"/>
        </w:rPr>
        <w:t>，增长0.94</w:t>
      </w:r>
      <w:r>
        <w:rPr>
          <w:rFonts w:ascii="仿宋_GB2312" w:eastAsia="仿宋_GB2312" w:cs="仿宋_GB2312" w:hint="eastAsia"/>
          <w:b w:val="0"/>
          <w:bCs w:val="0"/>
          <w:color w:val="auto"/>
          <w:sz w:val="32"/>
          <w:szCs w:val="32"/>
          <w:u w:val="none"/>
          <w:lang w:val="en-US" w:eastAsia="zh-CN"/>
        </w:rPr>
        <w:t>%</w:t>
      </w:r>
      <w:r>
        <w:rPr>
          <w:rFonts w:ascii="仿宋_GB2312" w:eastAsia="仿宋_GB2312" w:cs="仿宋_GB2312" w:hint="eastAsia"/>
          <w:b w:val="0"/>
          <w:bCs w:val="0"/>
          <w:color w:val="auto"/>
          <w:sz w:val="32"/>
          <w:szCs w:val="32"/>
          <w:u w:val="none"/>
        </w:rPr>
        <w:t>。</w:t>
      </w:r>
      <w:r>
        <w:rPr>
          <w:rFonts w:ascii="仿宋_GB2312" w:eastAsia="仿宋_GB2312" w:cs="仿宋_GB2312" w:hint="eastAsia"/>
          <w:b w:val="0"/>
          <w:bCs w:val="0"/>
          <w:color w:val="auto"/>
          <w:sz w:val="32"/>
          <w:szCs w:val="32"/>
          <w:u w:val="none"/>
          <w:lang w:val="en-US" w:eastAsia="zh-CN"/>
        </w:rPr>
        <w:t>其中：</w:t>
      </w:r>
      <w:r>
        <w:rPr>
          <w:rFonts w:ascii="仿宋_GB2312" w:eastAsia="仿宋_GB2312" w:cs="仿宋_GB2312" w:hint="eastAsia"/>
          <w:b w:val="0"/>
          <w:bCs w:val="0"/>
          <w:color w:val="auto"/>
          <w:sz w:val="32"/>
          <w:szCs w:val="32"/>
          <w:u w:val="none"/>
        </w:rPr>
        <w:t>粮食作物播种面积</w:t>
      </w:r>
      <w:r>
        <w:rPr>
          <w:rFonts w:ascii="仿宋_GB2312" w:eastAsia="仿宋_GB2312" w:cs="仿宋_GB2312" w:hint="eastAsia"/>
          <w:b w:val="0"/>
          <w:bCs w:val="0"/>
          <w:color w:val="auto"/>
          <w:sz w:val="32"/>
          <w:szCs w:val="32"/>
          <w:u w:val="none"/>
          <w:lang w:val="en-US" w:eastAsia="zh-CN"/>
        </w:rPr>
        <w:t>29611</w:t>
      </w:r>
      <w:r>
        <w:rPr>
          <w:rFonts w:ascii="仿宋_GB2312" w:eastAsia="仿宋_GB2312" w:cs="仿宋_GB2312" w:hint="eastAsia"/>
          <w:b w:val="0"/>
          <w:bCs w:val="0"/>
          <w:color w:val="auto"/>
          <w:sz w:val="32"/>
          <w:szCs w:val="32"/>
          <w:u w:val="none"/>
        </w:rPr>
        <w:t>亩</w:t>
      </w:r>
      <w:r>
        <w:rPr>
          <w:rFonts w:ascii="仿宋_GB2312" w:eastAsia="仿宋_GB2312" w:cs="仿宋_GB2312" w:hint="eastAsia"/>
          <w:b w:val="0"/>
          <w:bCs w:val="0"/>
          <w:color w:val="auto"/>
          <w:sz w:val="32"/>
          <w:szCs w:val="32"/>
          <w:u w:val="none"/>
          <w:lang w:val="en-US" w:eastAsia="zh-CN"/>
        </w:rPr>
        <w:t>，</w:t>
      </w:r>
      <w:r>
        <w:rPr>
          <w:rFonts w:ascii="仿宋_GB2312" w:eastAsia="仿宋_GB2312" w:cs="仿宋_GB2312" w:hint="eastAsia"/>
          <w:b w:val="0"/>
          <w:bCs w:val="0"/>
          <w:color w:val="auto"/>
          <w:sz w:val="32"/>
          <w:szCs w:val="32"/>
          <w:u w:val="none"/>
        </w:rPr>
        <w:t>较上年</w:t>
      </w:r>
      <w:r>
        <w:rPr>
          <w:rFonts w:ascii="仿宋_GB2312" w:eastAsia="仿宋_GB2312" w:cs="仿宋_GB2312" w:hint="eastAsia"/>
          <w:b w:val="0"/>
          <w:bCs w:val="0"/>
          <w:color w:val="auto"/>
          <w:sz w:val="32"/>
          <w:szCs w:val="32"/>
          <w:u w:val="none"/>
          <w:lang w:eastAsia="zh-CN"/>
        </w:rPr>
        <w:t>增加</w:t>
      </w:r>
      <w:r>
        <w:rPr>
          <w:rFonts w:ascii="仿宋_GB2312" w:eastAsia="仿宋_GB2312" w:cs="仿宋_GB2312" w:hint="eastAsia"/>
          <w:b w:val="0"/>
          <w:bCs w:val="0"/>
          <w:color w:val="auto"/>
          <w:sz w:val="32"/>
          <w:szCs w:val="32"/>
          <w:u w:val="none"/>
          <w:lang w:val="en-US" w:eastAsia="zh-CN"/>
        </w:rPr>
        <w:t>86</w:t>
      </w:r>
      <w:r>
        <w:rPr>
          <w:rFonts w:ascii="仿宋_GB2312" w:eastAsia="仿宋_GB2312" w:cs="仿宋_GB2312" w:hint="eastAsia"/>
          <w:b w:val="0"/>
          <w:bCs w:val="0"/>
          <w:color w:val="auto"/>
          <w:sz w:val="32"/>
          <w:szCs w:val="32"/>
          <w:u w:val="none"/>
        </w:rPr>
        <w:t>亩</w:t>
      </w:r>
      <w:r>
        <w:rPr>
          <w:rFonts w:ascii="仿宋_GB2312" w:eastAsia="仿宋_GB2312" w:cs="仿宋_GB2312" w:hint="eastAsia"/>
          <w:b w:val="0"/>
          <w:bCs w:val="0"/>
          <w:color w:val="auto"/>
          <w:sz w:val="32"/>
          <w:szCs w:val="32"/>
          <w:u w:val="none"/>
          <w:lang w:eastAsia="zh-CN"/>
        </w:rPr>
        <w:t>；</w:t>
      </w:r>
      <w:r>
        <w:rPr>
          <w:rFonts w:ascii="仿宋_GB2312" w:eastAsia="仿宋_GB2312" w:cs="仿宋_GB2312" w:hint="eastAsia"/>
          <w:color w:val="auto"/>
          <w:sz w:val="32"/>
          <w:szCs w:val="32"/>
          <w:lang w:eastAsia="zh-CN"/>
          <w:highlight w:val="auto"/>
        </w:rPr>
        <w:t>经济作物播种面积</w:t>
      </w:r>
      <w:r>
        <w:rPr>
          <w:rFonts w:ascii="仿宋_GB2312" w:eastAsia="仿宋_GB2312" w:cs="仿宋_GB2312" w:hint="eastAsia"/>
          <w:color w:val="auto"/>
          <w:sz w:val="32"/>
          <w:szCs w:val="32"/>
          <w:lang w:val="en-US" w:eastAsia="zh-CN"/>
          <w:highlight w:val="auto"/>
        </w:rPr>
        <w:t>3532亩</w:t>
      </w:r>
      <w:r>
        <w:rPr>
          <w:rFonts w:ascii="仿宋_GB2312" w:eastAsia="仿宋_GB2312" w:cs="仿宋_GB2312" w:hint="eastAsia"/>
          <w:color w:val="auto"/>
          <w:sz w:val="32"/>
          <w:szCs w:val="32"/>
          <w:lang w:eastAsia="zh-CN"/>
          <w:highlight w:val="auto"/>
        </w:rPr>
        <w:t>，较上年增加</w:t>
      </w:r>
      <w:r>
        <w:rPr>
          <w:rFonts w:ascii="仿宋_GB2312" w:eastAsia="仿宋_GB2312" w:cs="仿宋_GB2312" w:hint="eastAsia"/>
          <w:color w:val="auto"/>
          <w:sz w:val="32"/>
          <w:szCs w:val="32"/>
          <w:lang w:val="en-US" w:eastAsia="zh-CN"/>
          <w:highlight w:val="auto"/>
        </w:rPr>
        <w:t>152亩；</w:t>
      </w:r>
      <w:r>
        <w:rPr>
          <w:rFonts w:ascii="仿宋_GB2312" w:eastAsia="仿宋_GB2312" w:cs="仿宋_GB2312" w:hint="eastAsia"/>
          <w:b w:val="0"/>
          <w:bCs w:val="0"/>
          <w:color w:val="auto"/>
          <w:sz w:val="32"/>
          <w:szCs w:val="32"/>
          <w:u w:val="none"/>
        </w:rPr>
        <w:t>其他农作物播种面积</w:t>
      </w:r>
      <w:r>
        <w:rPr>
          <w:rFonts w:ascii="仿宋_GB2312" w:eastAsia="仿宋_GB2312" w:cs="仿宋_GB2312" w:hint="eastAsia"/>
          <w:b w:val="0"/>
          <w:bCs w:val="0"/>
          <w:color w:val="auto"/>
          <w:sz w:val="32"/>
          <w:szCs w:val="32"/>
          <w:u w:val="none"/>
          <w:lang w:val="en-US" w:eastAsia="zh-CN"/>
        </w:rPr>
        <w:t>3363</w:t>
      </w:r>
      <w:r>
        <w:rPr>
          <w:rFonts w:ascii="仿宋_GB2312" w:eastAsia="仿宋_GB2312" w:cs="仿宋_GB2312" w:hint="eastAsia"/>
          <w:b w:val="0"/>
          <w:bCs w:val="0"/>
          <w:color w:val="auto"/>
          <w:sz w:val="32"/>
          <w:szCs w:val="32"/>
          <w:u w:val="none"/>
        </w:rPr>
        <w:t>亩</w:t>
      </w:r>
      <w:r>
        <w:rPr>
          <w:rFonts w:ascii="仿宋_GB2312" w:eastAsia="仿宋_GB2312" w:cs="仿宋_GB2312" w:hint="eastAsia"/>
          <w:b w:val="0"/>
          <w:bCs w:val="0"/>
          <w:color w:val="auto"/>
          <w:sz w:val="32"/>
          <w:szCs w:val="32"/>
          <w:u w:val="none"/>
          <w:lang w:eastAsia="zh-CN"/>
        </w:rPr>
        <w:t>，</w:t>
      </w:r>
      <w:r>
        <w:rPr>
          <w:rFonts w:ascii="仿宋_GB2312" w:eastAsia="仿宋_GB2312" w:cs="仿宋_GB2312" w:hint="eastAsia"/>
          <w:b w:val="0"/>
          <w:bCs w:val="0"/>
          <w:color w:val="auto"/>
          <w:sz w:val="32"/>
          <w:szCs w:val="32"/>
          <w:u w:val="none"/>
        </w:rPr>
        <w:t>较上年</w:t>
      </w:r>
      <w:r>
        <w:rPr>
          <w:rFonts w:ascii="仿宋_GB2312" w:eastAsia="仿宋_GB2312" w:cs="仿宋_GB2312" w:hint="eastAsia"/>
          <w:b w:val="0"/>
          <w:bCs w:val="0"/>
          <w:color w:val="auto"/>
          <w:sz w:val="32"/>
          <w:szCs w:val="32"/>
          <w:u w:val="none"/>
          <w:lang w:eastAsia="zh-CN"/>
        </w:rPr>
        <w:t>增加</w:t>
      </w:r>
      <w:r>
        <w:rPr>
          <w:rFonts w:ascii="仿宋_GB2312" w:eastAsia="仿宋_GB2312" w:cs="仿宋_GB2312" w:hint="eastAsia"/>
          <w:b w:val="0"/>
          <w:bCs w:val="0"/>
          <w:color w:val="auto"/>
          <w:sz w:val="32"/>
          <w:szCs w:val="32"/>
          <w:u w:val="none"/>
          <w:lang w:val="en-US" w:eastAsia="zh-CN"/>
        </w:rPr>
        <w:t>103</w:t>
      </w:r>
      <w:r>
        <w:rPr>
          <w:rFonts w:ascii="仿宋_GB2312" w:eastAsia="仿宋_GB2312" w:cs="仿宋_GB2312" w:hint="eastAsia"/>
          <w:b w:val="0"/>
          <w:bCs w:val="0"/>
          <w:color w:val="auto"/>
          <w:sz w:val="32"/>
          <w:szCs w:val="32"/>
          <w:u w:val="none"/>
        </w:rPr>
        <w:t>亩。</w:t>
      </w:r>
      <w:r>
        <w:rPr>
          <w:rFonts w:ascii="仿宋_GB2312" w:eastAsia="仿宋_GB2312" w:cs="仿宋_GB2312" w:hint="eastAsia"/>
          <w:sz w:val="32"/>
          <w:szCs w:val="32"/>
        </w:rPr>
        <w:t>我县粮食总</w:t>
      </w:r>
      <w:r>
        <w:rPr>
          <w:rFonts w:ascii="仿宋_GB2312" w:eastAsia="仿宋_GB2312" w:cs="仿宋_GB2312" w:hint="eastAsia"/>
          <w:color w:val="auto"/>
          <w:sz w:val="32"/>
          <w:szCs w:val="32"/>
        </w:rPr>
        <w:t>产</w:t>
      </w:r>
      <w:r>
        <w:rPr>
          <w:rFonts w:ascii="仿宋_GB2312" w:eastAsia="仿宋_GB2312" w:cs="仿宋_GB2312" w:hint="eastAsia"/>
          <w:color w:val="auto"/>
          <w:sz w:val="32"/>
          <w:szCs w:val="32"/>
          <w:lang w:eastAsia="zh-CN"/>
        </w:rPr>
        <w:t>量</w:t>
      </w:r>
      <w:r>
        <w:rPr>
          <w:rFonts w:ascii="仿宋_GB2312" w:eastAsia="仿宋_GB2312" w:cs="仿宋_GB2312" w:hint="eastAsia"/>
          <w:color w:val="auto"/>
          <w:sz w:val="32"/>
          <w:szCs w:val="32"/>
          <w:lang w:val="en-US" w:eastAsia="zh-CN"/>
        </w:rPr>
        <w:t>4211</w:t>
      </w:r>
      <w:r>
        <w:rPr>
          <w:rFonts w:ascii="仿宋_GB2312" w:eastAsia="仿宋_GB2312" w:cs="仿宋_GB2312" w:hint="eastAsia"/>
          <w:color w:val="auto"/>
          <w:sz w:val="32"/>
          <w:szCs w:val="32"/>
        </w:rPr>
        <w:t>吨，较上年</w:t>
      </w:r>
      <w:r>
        <w:rPr>
          <w:rFonts w:ascii="仿宋_GB2312" w:eastAsia="仿宋_GB2312" w:cs="仿宋_GB2312" w:hint="eastAsia"/>
          <w:color w:val="auto"/>
          <w:sz w:val="32"/>
          <w:szCs w:val="32"/>
          <w:lang w:eastAsia="zh-CN"/>
        </w:rPr>
        <w:t>增加34</w:t>
      </w:r>
      <w:r>
        <w:rPr>
          <w:rFonts w:ascii="仿宋_GB2312" w:eastAsia="仿宋_GB2312" w:cs="仿宋_GB2312" w:hint="eastAsia"/>
          <w:color w:val="auto"/>
          <w:sz w:val="32"/>
          <w:szCs w:val="32"/>
        </w:rPr>
        <w:t>吨，增</w:t>
      </w:r>
      <w:r>
        <w:rPr>
          <w:rFonts w:ascii="仿宋_GB2312" w:eastAsia="仿宋_GB2312" w:cs="仿宋_GB2312" w:hint="eastAsia"/>
          <w:color w:val="auto"/>
          <w:sz w:val="32"/>
          <w:szCs w:val="32"/>
          <w:lang w:val="en-US" w:eastAsia="zh-CN"/>
        </w:rPr>
        <w:t>长0.81</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w:t>
      </w:r>
      <w:r>
        <w:rPr>
          <w:rFonts w:ascii="仿宋_GB2312" w:eastAsia="仿宋_GB2312" w:cs="仿宋_GB2312" w:hint="eastAsia"/>
          <w:sz w:val="32"/>
          <w:szCs w:val="32"/>
        </w:rPr>
        <w:t>经济作物产量</w:t>
      </w:r>
      <w:r>
        <w:rPr>
          <w:rFonts w:ascii="仿宋_GB2312" w:eastAsia="仿宋_GB2312" w:cs="仿宋_GB2312" w:hint="eastAsia"/>
          <w:sz w:val="32"/>
          <w:szCs w:val="32"/>
          <w:lang w:val="en-US" w:eastAsia="zh-CN"/>
        </w:rPr>
        <w:t>371.4</w:t>
      </w:r>
      <w:r>
        <w:rPr>
          <w:rFonts w:ascii="仿宋_GB2312" w:eastAsia="仿宋_GB2312" w:cs="仿宋_GB2312" w:hint="eastAsia"/>
          <w:sz w:val="32"/>
          <w:szCs w:val="32"/>
        </w:rPr>
        <w:t>吨</w:t>
      </w:r>
      <w:r>
        <w:rPr>
          <w:rFonts w:ascii="仿宋_GB2312" w:eastAsia="仿宋_GB2312" w:cs="仿宋_GB2312" w:hint="eastAsia"/>
          <w:sz w:val="32"/>
          <w:szCs w:val="32"/>
          <w:lang w:eastAsia="zh-CN"/>
        </w:rPr>
        <w:t>；其他农作物</w:t>
      </w:r>
      <w:r>
        <w:rPr>
          <w:rFonts w:ascii="仿宋_GB2312" w:eastAsia="仿宋_GB2312" w:cs="仿宋_GB2312" w:hint="eastAsia"/>
          <w:sz w:val="32"/>
          <w:szCs w:val="32"/>
        </w:rPr>
        <w:t>产量</w:t>
      </w:r>
      <w:r>
        <w:rPr>
          <w:rFonts w:ascii="仿宋_GB2312" w:eastAsia="仿宋_GB2312" w:cs="仿宋_GB2312" w:hint="eastAsia"/>
          <w:sz w:val="32"/>
          <w:szCs w:val="32"/>
          <w:lang w:val="en-US" w:eastAsia="zh-CN"/>
        </w:rPr>
        <w:t>4519</w:t>
      </w:r>
      <w:r>
        <w:rPr>
          <w:rFonts w:ascii="仿宋_GB2312" w:eastAsia="仿宋_GB2312" w:cs="仿宋_GB2312" w:hint="eastAsia"/>
          <w:sz w:val="32"/>
          <w:szCs w:val="32"/>
        </w:rPr>
        <w:t>吨</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壤塘县2022年农村居民人均可支配收入预计达到16920元，同比增长10.1%。</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楷体_GB2312" w:eastAsia="楷体_GB2312" w:cs="楷体_GB2312" w:hint="eastAsia"/>
          <w:b/>
          <w:bCs/>
          <w:color w:val="auto"/>
          <w:kern w:val="0"/>
          <w:sz w:val="32"/>
          <w:szCs w:val="32"/>
          <w:shd w:val="clear" w:color="auto" w:fill="FFFFFF"/>
          <w:lang w:val="zh-CN" w:eastAsia="zh-CN" w:bidi="ar-SA"/>
        </w:rPr>
      </w:pPr>
      <w:r>
        <w:rPr>
          <w:rFonts w:ascii="楷体_GB2312" w:eastAsia="楷体_GB2312" w:cs="楷体_GB2312" w:hint="eastAsia"/>
          <w:b/>
          <w:bCs/>
          <w:color w:val="auto"/>
          <w:kern w:val="0"/>
          <w:sz w:val="32"/>
          <w:szCs w:val="32"/>
          <w:shd w:val="clear" w:color="auto" w:fill="FFFFFF"/>
          <w:lang w:val="zh-CN" w:eastAsia="zh-CN" w:bidi="ar-SA"/>
        </w:rPr>
        <w:t>（</w:t>
      </w:r>
      <w:r>
        <w:rPr>
          <w:rFonts w:ascii="楷体_GB2312" w:eastAsia="楷体_GB2312" w:cs="楷体_GB2312" w:hint="eastAsia"/>
          <w:b/>
          <w:bCs/>
          <w:color w:val="auto"/>
          <w:kern w:val="0"/>
          <w:sz w:val="32"/>
          <w:szCs w:val="32"/>
          <w:shd w:val="clear" w:color="auto" w:fill="FFFFFF"/>
          <w:lang w:val="en-US" w:eastAsia="zh-CN" w:bidi="ar-SA"/>
        </w:rPr>
        <w:t>四</w:t>
      </w:r>
      <w:r>
        <w:rPr>
          <w:rFonts w:ascii="楷体_GB2312" w:eastAsia="楷体_GB2312" w:cs="楷体_GB2312" w:hint="eastAsia"/>
          <w:b/>
          <w:bCs/>
          <w:color w:val="auto"/>
          <w:kern w:val="0"/>
          <w:sz w:val="32"/>
          <w:szCs w:val="32"/>
          <w:shd w:val="clear" w:color="auto" w:fill="FFFFFF"/>
          <w:lang w:val="zh-CN" w:eastAsia="zh-CN" w:bidi="ar-SA"/>
        </w:rPr>
        <w:t>）部门整体支出绩效目标</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b/>
          <w:bCs/>
          <w:sz w:val="32"/>
          <w:szCs w:val="32"/>
          <w:lang w:val="en-US" w:eastAsia="zh-CN"/>
        </w:rPr>
        <w:t>一是高质量建设“壤巴拉高原双低油菜产业园”。</w:t>
      </w:r>
      <w:r>
        <w:rPr>
          <w:rFonts w:ascii="仿宋_GB2312" w:eastAsia="仿宋_GB2312" w:cs="仿宋_GB2312" w:hint="eastAsia"/>
          <w:sz w:val="32"/>
          <w:szCs w:val="32"/>
          <w:lang w:val="en-US" w:eastAsia="zh-CN"/>
        </w:rPr>
        <w:t>实施</w:t>
      </w:r>
      <w:r>
        <w:rPr>
          <w:rFonts w:ascii="仿宋_GB2312" w:eastAsia="仿宋_GB2312" w:cs="仿宋_GB2312" w:hint="eastAsia"/>
          <w:sz w:val="32"/>
          <w:szCs w:val="32"/>
          <w:lang w:eastAsia="zh-CN"/>
        </w:rPr>
        <w:t>“天府菜油”暨产油大县项目</w:t>
      </w:r>
      <w:r>
        <w:rPr>
          <w:rFonts w:ascii="仿宋_GB2312" w:eastAsia="仿宋_GB2312" w:cs="仿宋_GB2312" w:hint="eastAsia"/>
          <w:sz w:val="32"/>
          <w:szCs w:val="32"/>
          <w:lang w:val="en-US" w:eastAsia="zh-CN"/>
        </w:rPr>
        <w:t>和星级园区奖励资金项目</w:t>
      </w:r>
      <w:r>
        <w:rPr>
          <w:rFonts w:ascii="仿宋_GB2312" w:eastAsia="仿宋_GB2312" w:cs="仿宋_GB2312" w:hint="eastAsia"/>
          <w:sz w:val="32"/>
          <w:szCs w:val="32"/>
          <w:lang w:eastAsia="zh-CN"/>
        </w:rPr>
        <w:t>，以上寨片区为核心区，</w:t>
      </w:r>
      <w:r>
        <w:rPr>
          <w:rFonts w:ascii="仿宋_GB2312" w:eastAsia="仿宋_GB2312" w:cs="仿宋_GB2312" w:hint="eastAsia"/>
          <w:sz w:val="32"/>
          <w:szCs w:val="32"/>
          <w:lang w:val="en-US" w:eastAsia="zh-CN"/>
        </w:rPr>
        <w:t>通过</w:t>
      </w:r>
      <w:r>
        <w:rPr>
          <w:rFonts w:ascii="仿宋_GB2312" w:eastAsia="仿宋_GB2312" w:cs="仿宋_GB2312" w:hint="eastAsia"/>
          <w:sz w:val="32"/>
          <w:szCs w:val="32"/>
          <w:lang w:eastAsia="zh-CN"/>
        </w:rPr>
        <w:t>以“良种统供、农资统配、技术统训、以奖代补、保价回收”为举措，</w:t>
      </w:r>
      <w:r>
        <w:rPr>
          <w:rFonts w:ascii="仿宋_GB2312" w:eastAsia="仿宋_GB2312" w:cs="仿宋_GB2312" w:hint="eastAsia"/>
          <w:sz w:val="32"/>
          <w:szCs w:val="32"/>
          <w:lang w:val="en-US" w:eastAsia="zh-CN"/>
        </w:rPr>
        <w:t>推广</w:t>
      </w:r>
      <w:r>
        <w:rPr>
          <w:rFonts w:ascii="仿宋_GB2312" w:eastAsia="仿宋_GB2312" w:cs="仿宋_GB2312" w:hint="eastAsia"/>
          <w:sz w:val="32"/>
          <w:szCs w:val="32"/>
          <w:lang w:eastAsia="zh-CN"/>
        </w:rPr>
        <w:t>种植双低油菜</w:t>
      </w:r>
      <w:r>
        <w:rPr>
          <w:rFonts w:ascii="仿宋_GB2312" w:eastAsia="仿宋_GB2312" w:cs="仿宋_GB2312" w:hint="eastAsia"/>
          <w:sz w:val="32"/>
          <w:szCs w:val="32"/>
          <w:lang w:val="en-US" w:eastAsia="zh-CN"/>
        </w:rPr>
        <w:t>3000余</w:t>
      </w:r>
      <w:r>
        <w:rPr>
          <w:rFonts w:ascii="仿宋_GB2312" w:eastAsia="仿宋_GB2312" w:cs="仿宋_GB2312" w:hint="eastAsia"/>
          <w:sz w:val="32"/>
          <w:szCs w:val="32"/>
          <w:lang w:eastAsia="zh-CN"/>
        </w:rPr>
        <w:t>亩。高原绿色菜籽油、壤巴拉慧科菜籽仁油等产品获得国家地理标志证明产品和绿色、有机认证；园区内培育有州级龙头企业1家，农民合作社2家，带动农户986户、3940人，吸纳农民工就业10人，以慧科生态农业公司为龙头的产业链开始逐步形成。</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二是积极推进壤巴拉牦牛产业园区建设。</w:t>
      </w:r>
      <w:r>
        <w:rPr>
          <w:rFonts w:ascii="仿宋_GB2312" w:eastAsia="仿宋_GB2312" w:cs="仿宋_GB2312" w:hint="eastAsia"/>
          <w:sz w:val="32"/>
          <w:szCs w:val="32"/>
          <w:lang w:eastAsia="zh-CN"/>
        </w:rPr>
        <w:t>实施2022年人工饲草基地建设及卧圈种草、人工种草、牦牛标准化适度规模养殖、牦牛标准化养殖基地建设、牦牛品种改良、牦牛自繁自育</w:t>
      </w:r>
      <w:r>
        <w:rPr>
          <w:rFonts w:ascii="仿宋_GB2312" w:eastAsia="仿宋_GB2312" w:cs="仿宋_GB2312" w:hint="eastAsia"/>
          <w:sz w:val="32"/>
          <w:szCs w:val="32"/>
          <w:lang w:val="en-US" w:eastAsia="zh-CN"/>
        </w:rPr>
        <w:t>等项目，牦牛标准化养殖厂房、牧道、棚圈等农牧产业基础设施建设进一步夯实。以集体联户牧场等新型经营主体为载体，积极推广牦牛标准化适度规模+科学补饲的“短期育肥”养殖模式；在全县36个改良点（今年新增7个）开展牦牛品种改良工作，优化畜群结构；人工饲草基地建设、畜产品代加工等措施落地落实，传统畜牧业正逐渐向现代畜牧业转型。</w:t>
      </w:r>
      <w:r>
        <w:rPr>
          <w:rFonts w:ascii="仿宋_GB2312" w:eastAsia="仿宋_GB2312" w:cs="仿宋_GB2312" w:hint="eastAsia"/>
          <w:sz w:val="32"/>
          <w:szCs w:val="32"/>
          <w:lang w:eastAsia="zh-CN"/>
        </w:rPr>
        <w:t>现已建成联户牧场29个，</w:t>
      </w:r>
      <w:r>
        <w:rPr>
          <w:rFonts w:ascii="仿宋_GB2312" w:eastAsia="仿宋_GB2312" w:cs="仿宋_GB2312" w:hint="eastAsia"/>
          <w:sz w:val="32"/>
          <w:szCs w:val="32"/>
          <w:lang w:val="en-US" w:eastAsia="zh-CN"/>
        </w:rPr>
        <w:t>家庭牧场49个，</w:t>
      </w:r>
      <w:r>
        <w:rPr>
          <w:rFonts w:ascii="仿宋_GB2312" w:eastAsia="仿宋_GB2312" w:cs="仿宋_GB2312" w:hint="eastAsia"/>
          <w:sz w:val="32"/>
          <w:szCs w:val="32"/>
          <w:lang w:eastAsia="zh-CN"/>
        </w:rPr>
        <w:t>牦牛适度规模标准化养殖场25个，牦牛肉制品加工企业3个，牦牛交易市场1个。</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三是加快推进壤巴拉生态蔬菜产业园建设。</w:t>
      </w:r>
      <w:r>
        <w:rPr>
          <w:rFonts w:ascii="仿宋_GB2312" w:eastAsia="仿宋_GB2312" w:cs="仿宋_GB2312" w:hint="eastAsia"/>
          <w:sz w:val="32"/>
          <w:szCs w:val="32"/>
          <w:lang w:val="en-US" w:eastAsia="zh-CN"/>
        </w:rPr>
        <w:t>蔬菜生产大棚、冷链等基础设施不断完善，以尕多乡为核心区，辐射南木达镇、中壤塘镇、岗木达乡的高原生态蔬菜园区基本形成。目前，种植基地5个，规模流转土地2500余亩，年完成蔬菜种植2800余亩。</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b/>
          <w:bCs/>
          <w:sz w:val="32"/>
          <w:szCs w:val="32"/>
          <w:lang w:val="en-US" w:eastAsia="zh-CN"/>
        </w:rPr>
        <w:t>四是探索推进壤巴拉林下经济产业园建设。</w:t>
      </w:r>
      <w:r>
        <w:rPr>
          <w:rFonts w:ascii="仿宋_GB2312" w:eastAsia="仿宋_GB2312" w:cs="仿宋_GB2312" w:hint="eastAsia"/>
          <w:sz w:val="32"/>
          <w:szCs w:val="32"/>
          <w:lang w:val="en-US" w:eastAsia="zh-CN"/>
        </w:rPr>
        <w:t>积极探索林下经济发展，通过“公司+贫困户+基地+高等院校”模式，先后</w:t>
      </w:r>
      <w:r>
        <w:rPr>
          <w:rFonts w:ascii="仿宋_GB2312" w:eastAsia="仿宋_GB2312" w:cs="仿宋_GB2312" w:hint="eastAsia"/>
          <w:sz w:val="32"/>
          <w:szCs w:val="32"/>
          <w:lang w:eastAsia="zh-CN"/>
        </w:rPr>
        <w:t>在蒲西乡、石里乡进行阿坝中蜂（2700箱）、藏香猪（300只）、藏鸡（1000羽）等畜牧业特色养殖，通过省农林科学院在尕多乡布置俄罗斯沙棘试种试验。壤巴拉中蜂现代农业园区</w:t>
      </w:r>
      <w:r>
        <w:rPr>
          <w:rFonts w:ascii="仿宋_GB2312" w:eastAsia="仿宋_GB2312" w:cs="仿宋_GB2312" w:hint="eastAsia"/>
          <w:sz w:val="32"/>
          <w:szCs w:val="32"/>
          <w:lang w:val="en-US" w:eastAsia="zh-CN"/>
        </w:rPr>
        <w:t>已被认定为</w:t>
      </w:r>
      <w:r>
        <w:rPr>
          <w:rFonts w:ascii="仿宋_GB2312" w:eastAsia="仿宋_GB2312" w:cs="仿宋_GB2312" w:hint="eastAsia"/>
          <w:sz w:val="32"/>
          <w:szCs w:val="32"/>
          <w:lang w:eastAsia="zh-CN"/>
        </w:rPr>
        <w:t>县级现代农业园区。</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sz w:val="32"/>
          <w:szCs w:val="32"/>
          <w:lang w:eastAsia="zh-CN"/>
        </w:rPr>
      </w:pPr>
      <w:r>
        <w:rPr>
          <w:rFonts w:ascii="仿宋_GB2312" w:eastAsia="仿宋_GB2312" w:cs="仿宋_GB2312" w:hint="eastAsia"/>
          <w:b/>
          <w:bCs/>
          <w:sz w:val="32"/>
          <w:szCs w:val="32"/>
          <w:lang w:val="en-US" w:eastAsia="zh-CN"/>
        </w:rPr>
        <w:t>五是加强传统农作物园区建设。</w:t>
      </w:r>
      <w:r>
        <w:rPr>
          <w:rFonts w:ascii="仿宋_GB2312" w:eastAsia="仿宋_GB2312" w:cs="仿宋_GB2312" w:hint="eastAsia"/>
          <w:sz w:val="32"/>
          <w:szCs w:val="32"/>
          <w:lang w:val="en-US" w:eastAsia="zh-CN"/>
        </w:rPr>
        <w:t>实施</w:t>
      </w:r>
      <w:r>
        <w:rPr>
          <w:rFonts w:ascii="仿宋_GB2312" w:eastAsia="仿宋_GB2312" w:cs="仿宋_GB2312" w:hint="eastAsia"/>
          <w:sz w:val="32"/>
          <w:szCs w:val="32"/>
          <w:lang w:eastAsia="zh-CN"/>
        </w:rPr>
        <w:t>马铃薯品种更新更换</w:t>
      </w:r>
      <w:r>
        <w:rPr>
          <w:rFonts w:ascii="仿宋_GB2312" w:eastAsia="仿宋_GB2312" w:cs="仿宋_GB2312" w:hint="eastAsia"/>
          <w:sz w:val="32"/>
          <w:szCs w:val="32"/>
          <w:lang w:val="en-US" w:eastAsia="zh-CN"/>
        </w:rPr>
        <w:t>项目</w:t>
      </w:r>
      <w:r>
        <w:rPr>
          <w:rFonts w:ascii="仿宋_GB2312" w:eastAsia="仿宋_GB2312" w:cs="仿宋_GB2312" w:hint="eastAsia"/>
          <w:sz w:val="32"/>
          <w:szCs w:val="32"/>
          <w:lang w:eastAsia="zh-CN"/>
        </w:rPr>
        <w:t>、青稞品种更新更换</w:t>
      </w:r>
      <w:r>
        <w:rPr>
          <w:rFonts w:ascii="仿宋_GB2312" w:eastAsia="仿宋_GB2312" w:cs="仿宋_GB2312" w:hint="eastAsia"/>
          <w:sz w:val="32"/>
          <w:szCs w:val="32"/>
          <w:lang w:val="en-US" w:eastAsia="zh-CN"/>
        </w:rPr>
        <w:t>项目，推广种植黑青稞2000亩、青薯9号、陇薯10号、马铃薯良种1000亩。</w:t>
      </w:r>
      <w:r>
        <w:rPr>
          <w:rFonts w:ascii="仿宋_GB2312" w:eastAsia="仿宋_GB2312" w:cs="仿宋_GB2312"/>
          <w:sz w:val="32"/>
          <w:szCs w:val="32"/>
          <w:lang w:eastAsia="zh-CN"/>
        </w:rPr>
        <w:t>全县农作物良种覆盖率达到70%以上</w:t>
      </w:r>
      <w:r>
        <w:rPr>
          <w:rFonts w:ascii="仿宋_GB2312" w:eastAsia="仿宋_GB2312" w:cs="仿宋_GB2312" w:hint="eastAsia"/>
          <w:sz w:val="32"/>
          <w:szCs w:val="32"/>
          <w:lang w:eastAsia="zh-CN"/>
        </w:rPr>
        <w:t>。</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六是推进综合执法检查。</w:t>
      </w:r>
      <w:r>
        <w:rPr>
          <w:rFonts w:ascii="仿宋_GB2312" w:eastAsia="仿宋_GB2312" w:cs="仿宋_GB2312" w:hint="eastAsia"/>
          <w:sz w:val="32"/>
          <w:szCs w:val="32"/>
          <w:lang w:val="en-US" w:eastAsia="zh-CN"/>
        </w:rPr>
        <w:t>积极</w:t>
      </w:r>
      <w:r>
        <w:rPr>
          <w:rFonts w:ascii="仿宋_GB2312" w:eastAsia="仿宋_GB2312" w:cs="仿宋_GB2312"/>
          <w:sz w:val="32"/>
          <w:szCs w:val="32"/>
          <w:lang w:val="en-US" w:eastAsia="zh-CN"/>
        </w:rPr>
        <w:t>开展农产品质量安全监管及宣传工作</w:t>
      </w:r>
      <w:r>
        <w:rPr>
          <w:rFonts w:ascii="仿宋_GB2312" w:eastAsia="仿宋_GB2312" w:cs="仿宋_GB2312" w:hint="eastAsia"/>
          <w:sz w:val="32"/>
          <w:szCs w:val="32"/>
          <w:lang w:val="en-US" w:eastAsia="zh-CN"/>
        </w:rPr>
        <w:t>，对蔬菜生产基地农业投入品、生产记录档案进行检查。</w:t>
      </w:r>
      <w:r>
        <w:rPr>
          <w:rFonts w:ascii="仿宋_GB2312" w:eastAsia="仿宋_GB2312" w:cs="仿宋_GB2312"/>
          <w:sz w:val="32"/>
          <w:szCs w:val="32"/>
          <w:lang w:val="en-US" w:eastAsia="zh-CN"/>
        </w:rPr>
        <w:t>检查种植合作社</w:t>
      </w:r>
      <w:r>
        <w:rPr>
          <w:rFonts w:ascii="仿宋_GB2312" w:eastAsia="仿宋_GB2312" w:cs="仿宋_GB2312" w:hint="eastAsia"/>
          <w:sz w:val="32"/>
          <w:szCs w:val="32"/>
          <w:lang w:val="en-US" w:eastAsia="zh-CN"/>
        </w:rPr>
        <w:t>83</w:t>
      </w:r>
      <w:r>
        <w:rPr>
          <w:rFonts w:ascii="仿宋_GB2312" w:eastAsia="仿宋_GB2312" w:cs="仿宋_GB2312"/>
          <w:sz w:val="32"/>
          <w:szCs w:val="32"/>
          <w:lang w:val="en-US" w:eastAsia="zh-CN"/>
        </w:rPr>
        <w:t>家</w:t>
      </w:r>
      <w:r>
        <w:rPr>
          <w:rFonts w:ascii="仿宋_GB2312" w:eastAsia="仿宋_GB2312" w:cs="仿宋_GB2312" w:hint="eastAsia"/>
          <w:sz w:val="32"/>
          <w:szCs w:val="32"/>
          <w:lang w:val="en-US" w:eastAsia="zh-CN"/>
        </w:rPr>
        <w:t>（次）</w:t>
      </w:r>
      <w:r>
        <w:rPr>
          <w:rFonts w:ascii="仿宋_GB2312" w:eastAsia="仿宋_GB2312" w:cs="仿宋_GB2312"/>
          <w:sz w:val="32"/>
          <w:szCs w:val="32"/>
          <w:lang w:val="en-US" w:eastAsia="zh-CN"/>
        </w:rPr>
        <w:t>，出动执法人员</w:t>
      </w:r>
      <w:r>
        <w:rPr>
          <w:rFonts w:ascii="仿宋_GB2312" w:eastAsia="仿宋_GB2312" w:cs="仿宋_GB2312" w:hint="eastAsia"/>
          <w:sz w:val="32"/>
          <w:szCs w:val="32"/>
          <w:lang w:val="en-US" w:eastAsia="zh-CN"/>
        </w:rPr>
        <w:t>130余</w:t>
      </w:r>
      <w:r>
        <w:rPr>
          <w:rFonts w:ascii="仿宋_GB2312" w:eastAsia="仿宋_GB2312" w:cs="仿宋_GB2312"/>
          <w:sz w:val="32"/>
          <w:szCs w:val="32"/>
          <w:lang w:val="en-US" w:eastAsia="zh-CN"/>
        </w:rPr>
        <w:t>人次，发放宣传资料</w:t>
      </w:r>
      <w:r>
        <w:rPr>
          <w:rFonts w:ascii="仿宋_GB2312" w:eastAsia="仿宋_GB2312" w:cs="仿宋_GB2312" w:hint="eastAsia"/>
          <w:sz w:val="32"/>
          <w:szCs w:val="32"/>
          <w:lang w:val="en-US" w:eastAsia="zh-CN"/>
        </w:rPr>
        <w:t>1200</w:t>
      </w:r>
      <w:r>
        <w:rPr>
          <w:rFonts w:ascii="仿宋_GB2312" w:eastAsia="仿宋_GB2312" w:cs="仿宋_GB2312"/>
          <w:sz w:val="32"/>
          <w:szCs w:val="32"/>
          <w:lang w:val="en-US" w:eastAsia="zh-CN"/>
        </w:rPr>
        <w:t>余份</w:t>
      </w:r>
      <w:r>
        <w:rPr>
          <w:rFonts w:ascii="仿宋_GB2312" w:eastAsia="仿宋_GB2312" w:cs="仿宋_GB2312" w:hint="eastAsia"/>
          <w:sz w:val="32"/>
          <w:szCs w:val="32"/>
          <w:lang w:val="en-US" w:eastAsia="zh-CN"/>
        </w:rPr>
        <w:t>。深入乡镇开展农机安全宣传工作15次，</w:t>
      </w:r>
      <w:r>
        <w:rPr>
          <w:rFonts w:ascii="仿宋_GB2312" w:eastAsia="仿宋_GB2312" w:cs="仿宋_GB2312" w:hint="eastAsia"/>
          <w:sz w:val="32"/>
          <w:szCs w:val="32"/>
          <w:lang w:val="zh-CN" w:eastAsia="zh-CN"/>
        </w:rPr>
        <w:t>在各乡镇路口、村机耕道、桥墩、电杆醒目处张贴农机安全标语</w:t>
      </w:r>
      <w:r>
        <w:rPr>
          <w:rFonts w:ascii="仿宋_GB2312" w:eastAsia="仿宋_GB2312" w:cs="仿宋_GB2312" w:hint="eastAsia"/>
          <w:sz w:val="32"/>
          <w:szCs w:val="32"/>
          <w:lang w:val="en-US" w:eastAsia="zh-CN"/>
        </w:rPr>
        <w:t>800余条，</w:t>
      </w:r>
      <w:r>
        <w:rPr>
          <w:rFonts w:ascii="仿宋_GB2312" w:eastAsia="仿宋_GB2312" w:cs="仿宋_GB2312" w:hint="eastAsia"/>
          <w:sz w:val="32"/>
          <w:szCs w:val="32"/>
          <w:lang w:val="zh-CN" w:eastAsia="zh-CN"/>
        </w:rPr>
        <w:t>发放藏汉双语宣传资料</w:t>
      </w:r>
      <w:r>
        <w:rPr>
          <w:rFonts w:ascii="仿宋_GB2312" w:eastAsia="仿宋_GB2312" w:cs="仿宋_GB2312" w:hint="eastAsia"/>
          <w:sz w:val="32"/>
          <w:szCs w:val="32"/>
          <w:lang w:val="en-US" w:eastAsia="zh-CN"/>
        </w:rPr>
        <w:t>1000</w:t>
      </w:r>
      <w:r>
        <w:rPr>
          <w:rFonts w:ascii="仿宋_GB2312" w:eastAsia="仿宋_GB2312" w:cs="仿宋_GB2312" w:hint="eastAsia"/>
          <w:sz w:val="32"/>
          <w:szCs w:val="32"/>
          <w:lang w:val="zh-CN" w:eastAsia="zh-CN"/>
        </w:rPr>
        <w:t>余份。</w:t>
      </w:r>
      <w:r>
        <w:rPr>
          <w:rFonts w:ascii="仿宋_GB2312" w:eastAsia="仿宋_GB2312" w:cs="仿宋_GB2312" w:hint="eastAsia"/>
          <w:sz w:val="32"/>
          <w:szCs w:val="32"/>
          <w:lang w:val="en-US" w:eastAsia="zh-CN"/>
        </w:rPr>
        <w:t>深入宣传农事用火相关知识。</w:t>
      </w:r>
      <w:r>
        <w:rPr>
          <w:rFonts w:ascii="仿宋_GB2312" w:eastAsia="仿宋_GB2312" w:cs="仿宋_GB2312" w:hint="eastAsia"/>
          <w:sz w:val="32"/>
          <w:szCs w:val="32"/>
          <w:lang w:eastAsia="zh-CN"/>
        </w:rPr>
        <w:t>派出人员</w:t>
      </w:r>
      <w:r>
        <w:rPr>
          <w:rFonts w:ascii="仿宋_GB2312" w:eastAsia="仿宋_GB2312" w:cs="仿宋_GB2312" w:hint="eastAsia"/>
          <w:sz w:val="32"/>
          <w:szCs w:val="32"/>
          <w:lang w:val="en-US" w:eastAsia="zh-CN"/>
        </w:rPr>
        <w:t>57</w:t>
      </w:r>
      <w:r>
        <w:rPr>
          <w:rFonts w:ascii="仿宋_GB2312" w:eastAsia="仿宋_GB2312" w:cs="仿宋_GB2312" w:hint="eastAsia"/>
          <w:sz w:val="32"/>
          <w:szCs w:val="32"/>
          <w:lang w:eastAsia="zh-CN"/>
        </w:rPr>
        <w:t>人次，通过张贴宣传海报等方式，深入各个乡镇，走村入户向广大农户宣传秸秆禁烧、农事用火安全、森林防灭火等法律法规。</w:t>
      </w:r>
      <w:r>
        <w:rPr>
          <w:rFonts w:ascii="仿宋_GB2312" w:eastAsia="仿宋_GB2312" w:cs="仿宋_GB2312"/>
          <w:sz w:val="32"/>
          <w:szCs w:val="32"/>
          <w:lang w:eastAsia="zh-CN"/>
        </w:rPr>
        <w:t>开展202</w:t>
      </w:r>
      <w:r>
        <w:rPr>
          <w:rFonts w:ascii="仿宋_GB2312" w:eastAsia="仿宋_GB2312" w:cs="仿宋_GB2312" w:hint="eastAsia"/>
          <w:sz w:val="32"/>
          <w:szCs w:val="32"/>
          <w:lang w:val="en-US" w:eastAsia="zh-CN"/>
        </w:rPr>
        <w:t>2</w:t>
      </w:r>
      <w:r>
        <w:rPr>
          <w:rFonts w:ascii="仿宋_GB2312" w:eastAsia="仿宋_GB2312" w:cs="仿宋_GB2312"/>
          <w:sz w:val="32"/>
          <w:szCs w:val="32"/>
          <w:lang w:eastAsia="zh-CN"/>
        </w:rPr>
        <w:t>年放心农资下乡进村宣传周活动</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农业投入品专项整治等集中行动</w:t>
      </w:r>
      <w:r>
        <w:rPr>
          <w:rFonts w:ascii="仿宋_GB2312" w:eastAsia="仿宋_GB2312" w:cs="仿宋_GB2312" w:hint="eastAsia"/>
          <w:sz w:val="32"/>
          <w:szCs w:val="32"/>
          <w:lang w:eastAsia="zh-CN"/>
        </w:rPr>
        <w:t>，</w:t>
      </w:r>
      <w:r>
        <w:rPr>
          <w:rFonts w:ascii="仿宋_GB2312" w:eastAsia="仿宋_GB2312" w:cs="仿宋_GB2312"/>
          <w:sz w:val="32"/>
          <w:szCs w:val="32"/>
          <w:lang w:val="en-US" w:eastAsia="zh-CN"/>
        </w:rPr>
        <w:t>共摸排检查畜禽养殖合作社3个，蔬菜种植合作社6个，查处农产品安全违法案件3起，处罚人民币</w:t>
      </w:r>
      <w:r>
        <w:rPr>
          <w:rFonts w:ascii="仿宋_GB2312" w:eastAsia="仿宋_GB2312" w:cs="仿宋_GB2312" w:hint="eastAsia"/>
          <w:sz w:val="32"/>
          <w:szCs w:val="32"/>
          <w:lang w:val="en-US" w:eastAsia="zh-CN"/>
        </w:rPr>
        <w:t>8</w:t>
      </w:r>
      <w:r>
        <w:rPr>
          <w:rFonts w:ascii="仿宋_GB2312" w:eastAsia="仿宋_GB2312" w:cs="仿宋_GB2312"/>
          <w:sz w:val="32"/>
          <w:szCs w:val="32"/>
          <w:lang w:val="en-US" w:eastAsia="zh-CN"/>
        </w:rPr>
        <w:t>00元。</w:t>
      </w:r>
      <w:r>
        <w:rPr>
          <w:rFonts w:ascii="仿宋_GB2312" w:eastAsia="仿宋_GB2312" w:cs="仿宋_GB2312" w:hint="eastAsia"/>
          <w:sz w:val="32"/>
          <w:szCs w:val="32"/>
          <w:lang w:val="en-US" w:eastAsia="zh-CN"/>
        </w:rPr>
        <w:t>积极开展“十年禁捕”宣传及专项整治行动。发放宣传资料900余份，与各餐馆、贩卖鱼类销售点签订承诺书60余份。开展专项联合执法行动30余次，出动执法人员69人（次），没收渔获物1公斤。</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黑体" w:eastAsia="黑体" w:cs="黑体" w:hint="eastAsia"/>
          <w:b w:val="0"/>
          <w:bCs w:val="0"/>
          <w:color w:val="auto"/>
          <w:kern w:val="0"/>
          <w:sz w:val="32"/>
          <w:szCs w:val="32"/>
          <w:shd w:val="clear" w:color="auto" w:fill="FFFFFF"/>
          <w:highlight w:val="auto"/>
        </w:rPr>
      </w:pPr>
      <w:bookmarkStart w:id="63" w:name="_GoBack"/>
      <w:bookmarkEnd w:id="63"/>
      <w:r>
        <w:rPr>
          <w:rFonts w:ascii="黑体" w:eastAsia="黑体" w:cs="黑体" w:hint="eastAsia"/>
          <w:b w:val="0"/>
          <w:bCs w:val="0"/>
          <w:color w:val="auto"/>
          <w:kern w:val="0"/>
          <w:sz w:val="32"/>
          <w:szCs w:val="32"/>
          <w:shd w:val="clear" w:color="auto" w:fill="FFFFFF"/>
          <w:highlight w:val="auto"/>
        </w:rPr>
        <w:t>二、</w:t>
      </w:r>
      <w:r>
        <w:rPr>
          <w:rFonts w:ascii="黑体" w:eastAsia="黑体" w:cs="黑体" w:hint="eastAsia"/>
          <w:b w:val="0"/>
          <w:bCs w:val="0"/>
          <w:color w:val="auto"/>
          <w:kern w:val="0"/>
          <w:sz w:val="32"/>
          <w:szCs w:val="32"/>
          <w:shd w:val="clear" w:color="auto" w:fill="FFFFFF"/>
          <w:lang w:eastAsia="zh-CN"/>
          <w:highlight w:val="auto"/>
        </w:rPr>
        <w:t>部门</w:t>
      </w:r>
      <w:r>
        <w:rPr>
          <w:rFonts w:ascii="黑体" w:eastAsia="黑体" w:cs="黑体" w:hint="eastAsia"/>
          <w:b w:val="0"/>
          <w:bCs w:val="0"/>
          <w:color w:val="auto"/>
          <w:kern w:val="0"/>
          <w:sz w:val="32"/>
          <w:szCs w:val="32"/>
          <w:shd w:val="clear" w:color="auto" w:fill="FFFFFF"/>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楷体_GB2312" w:eastAsia="楷体_GB2312" w:cs="楷体_GB2312" w:hint="eastAsia"/>
          <w:b/>
          <w:bCs/>
          <w:color w:val="auto"/>
          <w:kern w:val="0"/>
          <w:sz w:val="32"/>
          <w:szCs w:val="32"/>
          <w:shd w:val="clear" w:color="auto" w:fill="FFFFFF"/>
          <w:lang w:val="zh-CN"/>
          <w:highlight w:val="auto"/>
        </w:rPr>
      </w:pPr>
      <w:r>
        <w:rPr>
          <w:rFonts w:ascii="楷体_GB2312" w:eastAsia="楷体_GB2312" w:cs="楷体_GB2312" w:hint="eastAsia"/>
          <w:b/>
          <w:bCs/>
          <w:color w:val="auto"/>
          <w:kern w:val="0"/>
          <w:sz w:val="32"/>
          <w:szCs w:val="32"/>
          <w:shd w:val="clear" w:color="auto" w:fill="FFFFFF"/>
          <w:lang w:val="zh-CN"/>
          <w:highlight w:val="auto"/>
        </w:rPr>
        <w:t>（一）部门总体收支情况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1.部门总体收入情况</w:t>
      </w:r>
    </w:p>
    <w:p>
      <w:pPr>
        <w:pStyle w:val="15"/>
        <w:ind w:firstLineChars="200" w:firstLine="640"/>
        <w:rPr>
          <w:rFonts w:hint="eastAsia"/>
          <w:lang w:val="en-US" w:eastAsia="zh-CN"/>
        </w:rPr>
      </w:pPr>
      <w:r>
        <w:rPr>
          <w:rFonts w:ascii="仿宋" w:eastAsia="仿宋" w:hint="eastAsia"/>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年度</w:t>
      </w:r>
      <w:r>
        <w:rPr>
          <w:rFonts w:ascii="仿宋_GB2312" w:eastAsia="仿宋_GB2312" w:cs="仿宋_GB2312" w:hint="eastAsia"/>
          <w:b w:val="0"/>
          <w:bCs w:val="0"/>
          <w:color w:val="auto"/>
          <w:kern w:val="0"/>
          <w:sz w:val="32"/>
          <w:szCs w:val="32"/>
          <w:shd w:val="clear" w:color="auto" w:fill="FFFFFF"/>
          <w:lang w:val="en-US" w:eastAsia="zh-CN"/>
          <w:highlight w:val="auto"/>
        </w:rPr>
        <w:t>部门总体</w:t>
      </w:r>
      <w:r>
        <w:rPr>
          <w:rFonts w:ascii="仿宋" w:eastAsia="仿宋" w:hint="eastAsia"/>
          <w:color w:val="auto"/>
          <w:sz w:val="32"/>
          <w:szCs w:val="32"/>
          <w:highlight w:val="auto"/>
        </w:rPr>
        <w:t>收</w:t>
      </w:r>
      <w:r>
        <w:rPr>
          <w:rFonts w:ascii="仿宋" w:eastAsia="仿宋" w:hint="eastAsia"/>
          <w:color w:val="auto"/>
          <w:sz w:val="32"/>
          <w:szCs w:val="32"/>
          <w:lang w:val="en-US" w:eastAsia="zh-CN"/>
          <w:highlight w:val="auto"/>
        </w:rPr>
        <w:t>入</w:t>
      </w:r>
      <w:r>
        <w:rPr>
          <w:rFonts w:ascii="仿宋" w:eastAsia="仿宋" w:hint="eastAsia"/>
          <w:color w:val="auto"/>
          <w:sz w:val="32"/>
          <w:szCs w:val="32"/>
          <w:highlight w:val="auto"/>
        </w:rPr>
        <w:t>总计</w:t>
      </w:r>
      <w:r>
        <w:rPr>
          <w:rFonts w:ascii="仿宋" w:eastAsia="仿宋" w:hint="eastAsia"/>
          <w:color w:val="auto"/>
          <w:sz w:val="32"/>
          <w:szCs w:val="32"/>
          <w:lang w:val="en-US" w:eastAsia="zh-CN"/>
          <w:highlight w:val="auto"/>
        </w:rPr>
        <w:t>5175.10</w:t>
      </w:r>
      <w:r>
        <w:rPr>
          <w:rFonts w:ascii="仿宋" w:eastAsia="仿宋" w:hint="eastAsia"/>
          <w:color w:val="auto"/>
          <w:sz w:val="32"/>
          <w:szCs w:val="32"/>
          <w:highlight w:val="auto"/>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2.部门总体支出情况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val="0"/>
          <w:bCs w:val="0"/>
          <w:color w:val="auto"/>
          <w:kern w:val="0"/>
          <w:sz w:val="32"/>
          <w:szCs w:val="32"/>
          <w:shd w:val="clear" w:color="auto" w:fill="FFFFFF"/>
          <w:lang w:val="en-US" w:eastAsia="zh-CN"/>
          <w:highlight w:val="auto"/>
        </w:rPr>
        <w:t>2022年本年支出合计5175.10万元，其中：基本支出899.46万元，占17.38%；项目支出4275.64万元，占82.62%。</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3.部门总体结转结余情况</w:t>
      </w:r>
    </w:p>
    <w:p>
      <w:pPr>
        <w:spacing w:line="600" w:lineRule="exact"/>
        <w:ind w:firstLineChars="200" w:firstLine="640"/>
        <w:outlineLvl w:val="1"/>
        <w:rPr>
          <w:rFonts w:ascii="仿宋" w:eastAsia="仿宋" w:cs="Times New Roman"/>
          <w:color w:val="auto"/>
          <w:kern w:val="0"/>
          <w:sz w:val="32"/>
          <w:szCs w:val="32"/>
          <w:lang w:val="en-US" w:eastAsia="zh-CN" w:bidi="ar-SA"/>
          <w:highlight w:val="auto"/>
        </w:rPr>
      </w:pPr>
      <w:r>
        <w:rPr>
          <w:rFonts w:ascii="仿宋" w:eastAsia="仿宋" w:cs="Times New Roman" w:hint="eastAsia"/>
          <w:color w:val="auto"/>
          <w:kern w:val="0"/>
          <w:sz w:val="32"/>
          <w:szCs w:val="32"/>
          <w:lang w:val="en-US" w:eastAsia="zh-CN" w:bidi="ar-SA"/>
          <w:highlight w:val="auto"/>
        </w:rPr>
        <w:t>无</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楷体_GB2312" w:eastAsia="楷体_GB2312" w:cs="楷体_GB2312" w:hint="eastAsia"/>
          <w:b/>
          <w:bCs/>
          <w:color w:val="auto"/>
          <w:kern w:val="0"/>
          <w:sz w:val="32"/>
          <w:szCs w:val="32"/>
          <w:shd w:val="clear" w:color="auto" w:fill="FFFFFF"/>
          <w:lang w:val="zh-CN"/>
          <w:highlight w:val="auto"/>
        </w:rPr>
      </w:pPr>
      <w:r>
        <w:rPr>
          <w:rFonts w:ascii="楷体_GB2312" w:eastAsia="楷体_GB2312" w:cs="楷体_GB2312" w:hint="eastAsia"/>
          <w:b/>
          <w:bCs/>
          <w:color w:val="auto"/>
          <w:kern w:val="0"/>
          <w:sz w:val="32"/>
          <w:szCs w:val="32"/>
          <w:shd w:val="clear" w:color="auto" w:fill="FFFFFF"/>
          <w:lang w:val="zh-CN"/>
          <w:highlight w:val="auto"/>
        </w:rPr>
        <w:t>（二）部门财政拨款收支情况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1.部门财政拨款收入情况</w:t>
      </w:r>
    </w:p>
    <w:p>
      <w:pPr>
        <w:pStyle w:val="15"/>
        <w:ind w:firstLineChars="200" w:firstLine="640"/>
        <w:rPr>
          <w:rFonts w:hint="eastAsia"/>
          <w:lang w:val="en-US" w:eastAsia="zh-CN"/>
        </w:rPr>
      </w:pPr>
      <w:r>
        <w:rPr>
          <w:rFonts w:ascii="仿宋" w:eastAsia="仿宋" w:hint="eastAsia"/>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年度</w:t>
      </w:r>
      <w:r>
        <w:rPr>
          <w:rFonts w:ascii="仿宋" w:eastAsia="仿宋" w:hint="eastAsia"/>
          <w:color w:val="auto"/>
          <w:sz w:val="32"/>
          <w:szCs w:val="32"/>
          <w:lang w:val="en-US" w:eastAsia="zh-CN"/>
          <w:highlight w:val="auto"/>
        </w:rPr>
        <w:t>财政拨款</w:t>
      </w:r>
      <w:r>
        <w:rPr>
          <w:rFonts w:ascii="仿宋" w:eastAsia="仿宋" w:hint="eastAsia"/>
          <w:color w:val="auto"/>
          <w:sz w:val="32"/>
          <w:szCs w:val="32"/>
          <w:highlight w:val="auto"/>
        </w:rPr>
        <w:t>收</w:t>
      </w:r>
      <w:r>
        <w:rPr>
          <w:rFonts w:ascii="仿宋" w:eastAsia="仿宋" w:hint="eastAsia"/>
          <w:color w:val="auto"/>
          <w:sz w:val="32"/>
          <w:szCs w:val="32"/>
          <w:lang w:val="en-US" w:eastAsia="zh-CN"/>
          <w:highlight w:val="auto"/>
        </w:rPr>
        <w:t>入</w:t>
      </w:r>
      <w:r>
        <w:rPr>
          <w:rFonts w:ascii="仿宋" w:eastAsia="仿宋" w:hint="eastAsia"/>
          <w:color w:val="auto"/>
          <w:sz w:val="32"/>
          <w:szCs w:val="32"/>
          <w:highlight w:val="auto"/>
        </w:rPr>
        <w:t>总计</w:t>
      </w:r>
      <w:r>
        <w:rPr>
          <w:rFonts w:ascii="仿宋" w:eastAsia="仿宋" w:hint="eastAsia"/>
          <w:color w:val="auto"/>
          <w:sz w:val="32"/>
          <w:szCs w:val="32"/>
          <w:lang w:val="en-US" w:eastAsia="zh-CN"/>
          <w:highlight w:val="auto"/>
        </w:rPr>
        <w:t>4753.63</w:t>
      </w:r>
      <w:r>
        <w:rPr>
          <w:rFonts w:ascii="仿宋" w:eastAsia="仿宋" w:hint="eastAsia"/>
          <w:color w:val="auto"/>
          <w:sz w:val="32"/>
          <w:szCs w:val="32"/>
          <w:highlight w:val="auto"/>
        </w:rPr>
        <w:t>万元。</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2.部门财政拨款支出情况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val="0"/>
          <w:bCs w:val="0"/>
          <w:color w:val="auto"/>
          <w:kern w:val="0"/>
          <w:sz w:val="32"/>
          <w:szCs w:val="32"/>
          <w:shd w:val="clear" w:color="auto" w:fill="FFFFFF"/>
          <w:lang w:val="en-US" w:eastAsia="zh-CN"/>
          <w:highlight w:val="auto"/>
        </w:rPr>
        <w:t>2022年一般公共预算财政拨款支出5175.10万元，主要用于以下方面：</w:t>
      </w:r>
      <w:r>
        <w:rPr>
          <w:rFonts w:ascii="仿宋_GB2312" w:eastAsia="仿宋_GB2312" w:cs="仿宋_GB2312" w:hint="eastAsia"/>
          <w:b/>
          <w:bCs/>
          <w:color w:val="auto"/>
          <w:kern w:val="0"/>
          <w:sz w:val="32"/>
          <w:szCs w:val="32"/>
          <w:shd w:val="clear" w:color="auto" w:fill="FFFFFF"/>
          <w:lang w:val="en-US" w:eastAsia="zh-CN"/>
          <w:highlight w:val="auto"/>
        </w:rPr>
        <w:t>农林水支出</w:t>
      </w:r>
      <w:r>
        <w:rPr>
          <w:rFonts w:ascii="仿宋_GB2312" w:eastAsia="仿宋_GB2312" w:cs="仿宋_GB2312" w:hint="eastAsia"/>
          <w:b w:val="0"/>
          <w:bCs w:val="0"/>
          <w:color w:val="auto"/>
          <w:kern w:val="0"/>
          <w:sz w:val="32"/>
          <w:szCs w:val="32"/>
          <w:shd w:val="clear" w:color="auto" w:fill="FFFFFF"/>
          <w:lang w:val="en-US" w:eastAsia="zh-CN"/>
          <w:highlight w:val="auto"/>
        </w:rPr>
        <w:t>4581.5万元，占88.53%；</w:t>
      </w:r>
      <w:r>
        <w:rPr>
          <w:rFonts w:ascii="仿宋_GB2312" w:eastAsia="仿宋_GB2312" w:cs="仿宋_GB2312" w:hint="eastAsia"/>
          <w:b/>
          <w:bCs/>
          <w:color w:val="auto"/>
          <w:kern w:val="0"/>
          <w:sz w:val="32"/>
          <w:szCs w:val="32"/>
          <w:shd w:val="clear" w:color="auto" w:fill="FFFFFF"/>
          <w:lang w:val="en-US" w:eastAsia="zh-CN"/>
          <w:highlight w:val="auto"/>
        </w:rPr>
        <w:t>科学技术支出</w:t>
      </w:r>
      <w:r>
        <w:rPr>
          <w:rFonts w:ascii="仿宋_GB2312" w:eastAsia="仿宋_GB2312" w:cs="仿宋_GB2312" w:hint="eastAsia"/>
          <w:b w:val="0"/>
          <w:bCs w:val="0"/>
          <w:color w:val="auto"/>
          <w:kern w:val="0"/>
          <w:sz w:val="32"/>
          <w:szCs w:val="32"/>
          <w:shd w:val="clear" w:color="auto" w:fill="FFFFFF"/>
          <w:lang w:val="en-US" w:eastAsia="zh-CN"/>
          <w:highlight w:val="auto"/>
        </w:rPr>
        <w:t>338.54万元，占6.54%；</w:t>
      </w:r>
      <w:r>
        <w:rPr>
          <w:rFonts w:ascii="仿宋_GB2312" w:eastAsia="仿宋_GB2312" w:cs="仿宋_GB2312" w:hint="eastAsia"/>
          <w:b/>
          <w:bCs/>
          <w:color w:val="auto"/>
          <w:kern w:val="0"/>
          <w:sz w:val="32"/>
          <w:szCs w:val="32"/>
          <w:shd w:val="clear" w:color="auto" w:fill="FFFFFF"/>
          <w:lang w:val="en-US" w:eastAsia="zh-CN"/>
          <w:highlight w:val="auto"/>
        </w:rPr>
        <w:t>文化旅游体育与传媒支出</w:t>
      </w:r>
      <w:r>
        <w:rPr>
          <w:rFonts w:ascii="仿宋_GB2312" w:eastAsia="仿宋_GB2312" w:cs="仿宋_GB2312" w:hint="eastAsia"/>
          <w:b w:val="0"/>
          <w:bCs w:val="0"/>
          <w:color w:val="auto"/>
          <w:kern w:val="0"/>
          <w:sz w:val="32"/>
          <w:szCs w:val="32"/>
          <w:shd w:val="clear" w:color="auto" w:fill="FFFFFF"/>
          <w:lang w:val="en-US" w:eastAsia="zh-CN"/>
          <w:highlight w:val="auto"/>
        </w:rPr>
        <w:t>1.05万元，占0.02%；</w:t>
      </w:r>
      <w:r>
        <w:rPr>
          <w:rFonts w:ascii="仿宋_GB2312" w:eastAsia="仿宋_GB2312" w:cs="仿宋_GB2312" w:hint="eastAsia"/>
          <w:b/>
          <w:bCs/>
          <w:color w:val="auto"/>
          <w:kern w:val="0"/>
          <w:sz w:val="32"/>
          <w:szCs w:val="32"/>
          <w:shd w:val="clear" w:color="auto" w:fill="FFFFFF"/>
          <w:lang w:val="en-US" w:eastAsia="zh-CN"/>
          <w:highlight w:val="auto"/>
        </w:rPr>
        <w:t>社会保障和就业支出</w:t>
      </w:r>
      <w:r>
        <w:rPr>
          <w:rFonts w:ascii="仿宋_GB2312" w:eastAsia="仿宋_GB2312" w:cs="仿宋_GB2312" w:hint="eastAsia"/>
          <w:b w:val="0"/>
          <w:bCs w:val="0"/>
          <w:color w:val="auto"/>
          <w:kern w:val="0"/>
          <w:sz w:val="32"/>
          <w:szCs w:val="32"/>
          <w:shd w:val="clear" w:color="auto" w:fill="FFFFFF"/>
          <w:lang w:val="en-US" w:eastAsia="zh-CN"/>
          <w:highlight w:val="auto"/>
        </w:rPr>
        <w:t>137.15万元，占2.65%；</w:t>
      </w:r>
      <w:r>
        <w:rPr>
          <w:rFonts w:ascii="仿宋_GB2312" w:eastAsia="仿宋_GB2312" w:cs="仿宋_GB2312" w:hint="eastAsia"/>
          <w:b/>
          <w:bCs/>
          <w:color w:val="auto"/>
          <w:kern w:val="0"/>
          <w:sz w:val="32"/>
          <w:szCs w:val="32"/>
          <w:shd w:val="clear" w:color="auto" w:fill="FFFFFF"/>
          <w:lang w:val="en-US" w:eastAsia="zh-CN"/>
          <w:highlight w:val="auto"/>
        </w:rPr>
        <w:t>卫生健康支出</w:t>
      </w:r>
      <w:r>
        <w:rPr>
          <w:rFonts w:ascii="仿宋_GB2312" w:eastAsia="仿宋_GB2312" w:cs="仿宋_GB2312" w:hint="eastAsia"/>
          <w:b w:val="0"/>
          <w:bCs w:val="0"/>
          <w:color w:val="auto"/>
          <w:kern w:val="0"/>
          <w:sz w:val="32"/>
          <w:szCs w:val="32"/>
          <w:shd w:val="clear" w:color="auto" w:fill="FFFFFF"/>
          <w:lang w:val="en-US" w:eastAsia="zh-CN"/>
          <w:highlight w:val="auto"/>
        </w:rPr>
        <w:t>68.14万元，占1.32%；</w:t>
      </w:r>
      <w:r>
        <w:rPr>
          <w:rFonts w:ascii="仿宋_GB2312" w:eastAsia="仿宋_GB2312" w:cs="仿宋_GB2312" w:hint="eastAsia"/>
          <w:b/>
          <w:bCs/>
          <w:color w:val="auto"/>
          <w:kern w:val="0"/>
          <w:sz w:val="32"/>
          <w:szCs w:val="32"/>
          <w:shd w:val="clear" w:color="auto" w:fill="FFFFFF"/>
          <w:lang w:val="en-US" w:eastAsia="zh-CN"/>
          <w:highlight w:val="auto"/>
        </w:rPr>
        <w:t>住房保障支出</w:t>
      </w:r>
      <w:r>
        <w:rPr>
          <w:rFonts w:ascii="仿宋_GB2312" w:eastAsia="仿宋_GB2312" w:cs="仿宋_GB2312" w:hint="eastAsia"/>
          <w:b w:val="0"/>
          <w:bCs w:val="0"/>
          <w:color w:val="auto"/>
          <w:kern w:val="0"/>
          <w:sz w:val="32"/>
          <w:szCs w:val="32"/>
          <w:shd w:val="clear" w:color="auto" w:fill="FFFFFF"/>
          <w:lang w:val="en-US" w:eastAsia="zh-CN"/>
          <w:highlight w:val="auto"/>
        </w:rPr>
        <w:t>48.71万元，占0.94%。</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3.部门财政拨款结转结余情况</w:t>
      </w:r>
    </w:p>
    <w:p>
      <w:pPr>
        <w:pStyle w:val="15"/>
        <w:ind w:left="0" w:firstLineChars="200" w:firstLine="640"/>
        <w:rPr>
          <w:rFonts w:ascii="仿宋_GB2312" w:eastAsia="仿宋_GB2312" w:cs="仿宋_GB2312"/>
          <w:b w:val="0"/>
          <w:bCs w:val="0"/>
          <w:color w:val="auto"/>
          <w:kern w:val="0"/>
          <w:sz w:val="32"/>
          <w:szCs w:val="32"/>
          <w:shd w:val="clear" w:color="auto" w:fill="FFFFFF"/>
          <w:lang w:val="en-US" w:eastAsia="zh-CN" w:bidi="ar-SA"/>
          <w:highlight w:val="auto"/>
        </w:rPr>
      </w:pPr>
      <w:r>
        <w:rPr>
          <w:rFonts w:ascii="仿宋_GB2312" w:eastAsia="仿宋_GB2312" w:cs="仿宋_GB2312" w:hint="eastAsia"/>
          <w:b w:val="0"/>
          <w:bCs w:val="0"/>
          <w:color w:val="auto"/>
          <w:kern w:val="0"/>
          <w:sz w:val="32"/>
          <w:szCs w:val="32"/>
          <w:shd w:val="clear" w:color="auto" w:fill="FFFFFF"/>
          <w:lang w:val="en-US" w:eastAsia="zh-CN" w:bidi="ar-SA"/>
          <w:highlight w:val="auto"/>
        </w:rPr>
        <w:t>无</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both"/>
        <w:textAlignment w:val="auto"/>
        <w:rPr>
          <w:rFonts w:ascii="黑体" w:eastAsia="黑体" w:cs="宋体"/>
          <w:color w:val="auto"/>
          <w:kern w:val="0"/>
          <w:sz w:val="32"/>
          <w:szCs w:val="32"/>
          <w:shd w:val="clear" w:color="auto" w:fill="FFFFFF"/>
          <w:highlight w:val="auto"/>
        </w:rPr>
      </w:pPr>
      <w:r>
        <w:rPr>
          <w:rFonts w:ascii="黑体" w:eastAsia="黑体" w:cs="宋体" w:hint="eastAsia"/>
          <w:color w:val="auto"/>
          <w:kern w:val="0"/>
          <w:sz w:val="32"/>
          <w:szCs w:val="32"/>
          <w:shd w:val="clear" w:color="auto" w:fill="FFFFFF"/>
          <w:highlight w:val="auto"/>
        </w:rPr>
        <w:t>三、</w:t>
      </w:r>
      <w:r>
        <w:rPr>
          <w:rFonts w:ascii="黑体" w:eastAsia="黑体" w:cs="宋体" w:hint="eastAsia"/>
          <w:color w:val="auto"/>
          <w:kern w:val="0"/>
          <w:sz w:val="32"/>
          <w:szCs w:val="32"/>
          <w:u w:val="none"/>
          <w:shd w:val="clear" w:color="auto" w:fill="FFFFFF"/>
          <w:highlight w:val="auto"/>
        </w:rPr>
        <w:t>部门整体绩效</w:t>
      </w:r>
      <w:r>
        <w:rPr>
          <w:rFonts w:ascii="黑体" w:eastAsia="黑体" w:cs="宋体" w:hint="eastAsia"/>
          <w:color w:val="auto"/>
          <w:kern w:val="0"/>
          <w:sz w:val="32"/>
          <w:szCs w:val="32"/>
          <w:u w:val="none"/>
          <w:shd w:val="clear" w:color="auto" w:fill="FFFFFF"/>
          <w:lang w:eastAsia="zh-CN"/>
          <w:highlight w:val="auto"/>
        </w:rPr>
        <w:t>分析</w:t>
      </w:r>
    </w:p>
    <w:p>
      <w:pPr>
        <w:keepNext w:val="0"/>
        <w:keepLines w:val="0"/>
        <w:pageBreakBefore w:val="0"/>
        <w:widowControl w:val="0"/>
        <w:kinsoku/>
        <w:wordWrap/>
        <w:overflowPunct/>
        <w:topLinePunct w:val="0"/>
        <w:autoSpaceDE/>
        <w:autoSpaceDN/>
        <w:bidi w:val="0"/>
        <w:snapToGrid w:val="0"/>
        <w:spacing w:line="560" w:lineRule="exact"/>
        <w:ind w:firstLineChars="200" w:firstLine="640"/>
        <w:jc w:val="both"/>
        <w:textAlignment w:val="auto"/>
        <w:rPr>
          <w:rFonts w:ascii="仿宋_GB2312" w:eastAsia="仿宋_GB2312" w:cs="仿宋_GB2312" w:hint="eastAsia"/>
          <w:b w:val="0"/>
          <w:bCs w:val="0"/>
          <w:color w:val="auto"/>
          <w:kern w:val="0"/>
          <w:sz w:val="32"/>
          <w:szCs w:val="32"/>
          <w:shd w:val="clear" w:color="auto" w:fill="FFFFFF"/>
          <w:lang w:val="zh-CN" w:eastAsia="zh-CN"/>
          <w:highlight w:val="auto"/>
        </w:rPr>
      </w:pPr>
      <w:r>
        <w:rPr>
          <w:rFonts w:ascii="楷体_GB2312" w:eastAsia="楷体_GB2312" w:cs="楷体_GB2312" w:hint="eastAsia"/>
          <w:b/>
          <w:bCs/>
          <w:color w:val="auto"/>
          <w:kern w:val="0"/>
          <w:sz w:val="32"/>
          <w:szCs w:val="32"/>
          <w:shd w:val="clear" w:color="auto" w:fill="FFFFFF"/>
          <w:lang w:val="zh-CN"/>
          <w:highlight w:val="auto"/>
        </w:rPr>
        <w:t>（一）部门预算项目绩效分析</w:t>
      </w:r>
    </w:p>
    <w:p>
      <w:pPr>
        <w:keepNext w:val="0"/>
        <w:keepLines w:val="0"/>
        <w:pageBreakBefore w:val="0"/>
        <w:widowControl w:val="0"/>
        <w:kinsoku/>
        <w:wordWrap/>
        <w:overflowPunct/>
        <w:topLinePunct w:val="0"/>
        <w:autoSpaceDE/>
        <w:autoSpaceDN/>
        <w:bidi w:val="0"/>
        <w:snapToGrid w:val="0"/>
        <w:spacing w:line="560" w:lineRule="exact"/>
        <w:ind w:firstLineChars="200" w:firstLine="640"/>
        <w:jc w:val="both"/>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1.人员类项目绩效分析</w:t>
      </w:r>
    </w:p>
    <w:p>
      <w:pPr>
        <w:keepNext w:val="0"/>
        <w:keepLines w:val="0"/>
        <w:pageBreakBefore w:val="0"/>
        <w:widowControl w:val="0"/>
        <w:kinsoku/>
        <w:wordWrap/>
        <w:overflowPunct/>
        <w:topLinePunct w:val="0"/>
        <w:autoSpaceDE/>
        <w:autoSpaceDN/>
        <w:bidi w:val="0"/>
        <w:snapToGrid w:val="0"/>
        <w:spacing w:line="560" w:lineRule="exact"/>
        <w:ind w:firstLineChars="200" w:firstLine="640"/>
        <w:jc w:val="both"/>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val="0"/>
          <w:bCs w:val="0"/>
          <w:color w:val="auto"/>
          <w:kern w:val="0"/>
          <w:sz w:val="32"/>
          <w:szCs w:val="32"/>
          <w:shd w:val="clear" w:color="auto" w:fill="FFFFFF"/>
          <w:lang w:val="en-US" w:eastAsia="zh-CN"/>
          <w:highlight w:val="auto"/>
        </w:rPr>
        <w:t>2022年人员类部门预算是根据单位工作人员的津贴补贴、基本工资、保险、奖金、残保金、遗属补助做出全年的预算资金从而保障职工福利，因2022年度绩效随工资发放故追加指标，按照逐月发放从而完成支付进度、资金支付率100%。</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2.运转类项目绩效分析</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b w:val="0"/>
          <w:bCs w:val="0"/>
          <w:color w:val="auto"/>
          <w:kern w:val="0"/>
          <w:sz w:val="32"/>
          <w:szCs w:val="32"/>
          <w:shd w:val="clear" w:color="auto" w:fill="FFFFFF"/>
          <w:lang w:val="en-US" w:eastAsia="zh-CN"/>
          <w:highlight w:val="auto"/>
        </w:rPr>
      </w:pPr>
      <w:r>
        <w:rPr>
          <w:rFonts w:ascii="仿宋_GB2312" w:eastAsia="仿宋_GB2312" w:cs="仿宋_GB2312" w:hint="eastAsia"/>
          <w:b w:val="0"/>
          <w:bCs w:val="0"/>
          <w:color w:val="auto"/>
          <w:kern w:val="0"/>
          <w:sz w:val="32"/>
          <w:szCs w:val="32"/>
          <w:shd w:val="clear" w:color="auto" w:fill="FFFFFF"/>
          <w:lang w:val="en-US" w:eastAsia="zh-CN"/>
          <w:highlight w:val="auto"/>
        </w:rPr>
        <w:t>2022年公用经费按照每人12000元做预算，年初每人缩减10%，用于办公费、差旅费、电费、印刷费、邮电费等。2022年因项目减少故公用经费支出减少，资金支付率93.29%。</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3.特定目标类项目绩效分析</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w:t>
      </w:r>
      <w:r>
        <w:rPr>
          <w:rFonts w:ascii="仿宋_GB2312" w:eastAsia="仿宋_GB2312" w:cs="仿宋_GB2312" w:hint="eastAsia"/>
          <w:b w:val="0"/>
          <w:bCs w:val="0"/>
          <w:color w:val="auto"/>
          <w:kern w:val="0"/>
          <w:sz w:val="32"/>
          <w:szCs w:val="32"/>
          <w:shd w:val="clear" w:color="auto" w:fill="FFFFFF"/>
          <w:lang w:val="en-US" w:eastAsia="zh-CN"/>
          <w:highlight w:val="auto"/>
        </w:rPr>
        <w:t>壤塘县农产品质量安全项目经费项目。财政拨款1.00万元，支付0.84万元，支付率84%。</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w:t>
      </w:r>
      <w:r>
        <w:rPr>
          <w:rFonts w:ascii="仿宋_GB2312" w:eastAsia="仿宋_GB2312" w:cs="仿宋_GB2312" w:hint="eastAsia"/>
          <w:b w:val="0"/>
          <w:bCs w:val="0"/>
          <w:color w:val="auto"/>
          <w:kern w:val="0"/>
          <w:sz w:val="32"/>
          <w:szCs w:val="32"/>
          <w:shd w:val="clear" w:color="auto" w:fill="FFFFFF"/>
          <w:lang w:val="en-US" w:eastAsia="zh-CN"/>
          <w:highlight w:val="auto"/>
        </w:rPr>
        <w:t>壤塘县乡村振兴农产品质量安全监测检验实验室建设项目。财政拨款11.7万元，支付11.7万元，支付率100%。</w:t>
      </w:r>
    </w:p>
    <w:p>
      <w:pPr>
        <w:keepNext w:val="0"/>
        <w:keepLines w:val="0"/>
        <w:pageBreakBefore w:val="0"/>
        <w:widowControl w:val="0"/>
        <w:kinsoku/>
        <w:wordWrap/>
        <w:overflowPunct/>
        <w:topLinePunct w:val="0"/>
        <w:autoSpaceDE/>
        <w:autoSpaceDN/>
        <w:bidi w:val="0"/>
        <w:spacing w:line="560" w:lineRule="exact"/>
        <w:ind w:firstLineChars="200" w:firstLine="640"/>
        <w:jc w:val="both"/>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（3）</w:t>
      </w:r>
      <w:r>
        <w:rPr>
          <w:rFonts w:ascii="仿宋_GB2312" w:eastAsia="仿宋_GB2312" w:cs="仿宋_GB2312" w:hint="eastAsia"/>
          <w:b w:val="0"/>
          <w:bCs w:val="0"/>
          <w:color w:val="auto"/>
          <w:kern w:val="0"/>
          <w:sz w:val="32"/>
          <w:szCs w:val="32"/>
          <w:shd w:val="clear" w:color="auto" w:fill="FFFFFF"/>
          <w:lang w:val="en-US" w:eastAsia="zh-CN"/>
          <w:highlight w:val="auto"/>
        </w:rPr>
        <w:t>重大传染病防控中央补助资金（第二批棘球蚴病防治）。财政拨款5万元，支付4.22万元，支付率84.4%。</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（4）</w:t>
      </w:r>
      <w:r>
        <w:rPr>
          <w:rFonts w:ascii="仿宋_GB2312" w:eastAsia="仿宋_GB2312" w:cs="仿宋_GB2312" w:hint="eastAsia"/>
          <w:b w:val="0"/>
          <w:bCs w:val="0"/>
          <w:color w:val="auto"/>
          <w:kern w:val="0"/>
          <w:sz w:val="32"/>
          <w:szCs w:val="32"/>
          <w:shd w:val="clear" w:color="auto" w:fill="FFFFFF"/>
          <w:lang w:val="en-US" w:eastAsia="zh-CN"/>
          <w:highlight w:val="auto"/>
        </w:rPr>
        <w:t>2020年中央、省级和州级财政卫生健康专项（第三批）补助资金（重大传染病防治棘球蚴病）。财政拨款9.38万元，支付8.65万元，支付率92.23%。</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（5）</w:t>
      </w:r>
      <w:r>
        <w:rPr>
          <w:rFonts w:ascii="仿宋_GB2312" w:eastAsia="仿宋_GB2312" w:cs="仿宋_GB2312" w:hint="eastAsia"/>
          <w:b w:val="0"/>
          <w:bCs w:val="0"/>
          <w:color w:val="auto"/>
          <w:kern w:val="0"/>
          <w:sz w:val="32"/>
          <w:szCs w:val="32"/>
          <w:shd w:val="clear" w:color="auto" w:fill="FFFFFF"/>
          <w:lang w:val="en-US" w:eastAsia="zh-CN"/>
          <w:highlight w:val="auto"/>
        </w:rPr>
        <w:t>科农局重大动物疫病防控中央卫生健康专项补助资金。财政拨款18.4万元，支付18.4万元，支付率100%。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（6）</w:t>
      </w:r>
      <w:r>
        <w:rPr>
          <w:rFonts w:ascii="仿宋_GB2312" w:eastAsia="仿宋_GB2312" w:cs="仿宋_GB2312" w:hint="eastAsia"/>
          <w:b w:val="0"/>
          <w:bCs w:val="0"/>
          <w:color w:val="auto"/>
          <w:kern w:val="0"/>
          <w:sz w:val="32"/>
          <w:szCs w:val="32"/>
          <w:shd w:val="clear" w:color="auto" w:fill="FFFFFF"/>
          <w:lang w:val="en-US" w:eastAsia="zh-CN"/>
          <w:highlight w:val="auto"/>
        </w:rPr>
        <w:t>中央财政农业生产发展资金（壤塘县农机购置补贴项目）。财政拨款1.41万元，支付1.41万元，支付率100%。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（7）</w:t>
      </w:r>
      <w:r>
        <w:rPr>
          <w:rFonts w:ascii="仿宋_GB2312" w:eastAsia="仿宋_GB2312" w:cs="仿宋_GB2312" w:hint="eastAsia"/>
          <w:b w:val="0"/>
          <w:bCs w:val="0"/>
          <w:color w:val="auto"/>
          <w:kern w:val="0"/>
          <w:sz w:val="32"/>
          <w:szCs w:val="32"/>
          <w:shd w:val="clear" w:color="auto" w:fill="FFFFFF"/>
          <w:lang w:val="en-US" w:eastAsia="zh-CN"/>
          <w:highlight w:val="auto"/>
        </w:rPr>
        <w:t>中央财政农业生产发展资金（壤塘县农机购置补贴项目）。财政拨款9.28万元，支付9.21万元，支付率99.25%。</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（8）</w:t>
      </w:r>
      <w:r>
        <w:rPr>
          <w:rFonts w:ascii="仿宋_GB2312" w:eastAsia="仿宋_GB2312" w:cs="仿宋_GB2312" w:hint="eastAsia"/>
          <w:b w:val="0"/>
          <w:bCs w:val="0"/>
          <w:color w:val="auto"/>
          <w:kern w:val="0"/>
          <w:sz w:val="32"/>
          <w:szCs w:val="32"/>
          <w:shd w:val="clear" w:color="auto" w:fill="FFFFFF"/>
          <w:lang w:val="en-US" w:eastAsia="zh-CN"/>
          <w:highlight w:val="auto"/>
        </w:rPr>
        <w:t>壤塘县2022年人工饲草基地建设及卧圈种草项目。财政拨款51.84万元，支付51.84万元，支付率100%。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（9）</w:t>
      </w:r>
      <w:r>
        <w:rPr>
          <w:rFonts w:ascii="仿宋_GB2312" w:eastAsia="仿宋_GB2312" w:cs="仿宋_GB2312" w:hint="eastAsia"/>
          <w:b w:val="0"/>
          <w:bCs w:val="0"/>
          <w:color w:val="auto"/>
          <w:kern w:val="0"/>
          <w:sz w:val="32"/>
          <w:szCs w:val="32"/>
          <w:shd w:val="clear" w:color="auto" w:fill="FFFFFF"/>
          <w:lang w:val="en-US" w:eastAsia="zh-CN"/>
          <w:highlight w:val="auto"/>
        </w:rPr>
        <w:t>壤塘县2022年中央财政农业生产和水利救灾资金项目，财政拨款73万元，支付0万元，支付率0%。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（10）</w:t>
      </w:r>
      <w:r>
        <w:rPr>
          <w:rFonts w:ascii="仿宋_GB2312" w:eastAsia="仿宋_GB2312" w:cs="仿宋_GB2312" w:hint="eastAsia"/>
          <w:b w:val="0"/>
          <w:bCs w:val="0"/>
          <w:color w:val="auto"/>
          <w:kern w:val="0"/>
          <w:sz w:val="32"/>
          <w:szCs w:val="32"/>
          <w:shd w:val="clear" w:color="auto" w:fill="FFFFFF"/>
          <w:lang w:val="en-US" w:eastAsia="zh-CN"/>
          <w:highlight w:val="auto"/>
        </w:rPr>
        <w:t>2022年中央财政农业资源及生态保护补助资金（草奖），财政拨款2263.33万元，支付2263.33万元，支付率100%。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（11）</w:t>
      </w:r>
      <w:r>
        <w:rPr>
          <w:rFonts w:ascii="仿宋_GB2312" w:eastAsia="仿宋_GB2312" w:cs="仿宋_GB2312" w:hint="eastAsia"/>
          <w:b w:val="0"/>
          <w:bCs w:val="0"/>
          <w:color w:val="auto"/>
          <w:kern w:val="0"/>
          <w:sz w:val="32"/>
          <w:szCs w:val="32"/>
          <w:shd w:val="clear" w:color="auto" w:fill="FFFFFF"/>
          <w:lang w:val="en-US" w:eastAsia="zh-CN"/>
          <w:highlight w:val="auto"/>
        </w:rPr>
        <w:t>农业产业化项目，财政拨款159.65万元，支付159.65万元，支付率100%。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（12）</w:t>
      </w:r>
      <w:r>
        <w:rPr>
          <w:rFonts w:ascii="仿宋_GB2312" w:eastAsia="仿宋_GB2312" w:cs="仿宋_GB2312" w:hint="eastAsia"/>
          <w:b w:val="0"/>
          <w:bCs w:val="0"/>
          <w:color w:val="auto"/>
          <w:kern w:val="0"/>
          <w:sz w:val="32"/>
          <w:szCs w:val="32"/>
          <w:shd w:val="clear" w:color="auto" w:fill="FFFFFF"/>
          <w:lang w:val="en-US" w:eastAsia="zh-CN"/>
          <w:highlight w:val="auto"/>
        </w:rPr>
        <w:t>科农局省级财政乡村振兴共同财政事权转移支付资金，财政拨款60万元，支付60万元，支付率100%。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（13）</w:t>
      </w:r>
      <w:r>
        <w:rPr>
          <w:rFonts w:ascii="仿宋_GB2312" w:eastAsia="仿宋_GB2312" w:cs="仿宋_GB2312" w:hint="eastAsia"/>
          <w:b w:val="0"/>
          <w:bCs w:val="0"/>
          <w:color w:val="auto"/>
          <w:kern w:val="0"/>
          <w:sz w:val="32"/>
          <w:szCs w:val="32"/>
          <w:shd w:val="clear" w:color="auto" w:fill="FFFFFF"/>
          <w:lang w:val="en-US" w:eastAsia="zh-CN"/>
          <w:highlight w:val="auto"/>
        </w:rPr>
        <w:t>阿坝州推进乡村振兴战略实绩考核州级先进县（市）、先进乡镇、示范村州级奖补资金），财政拨款129.93万元，支付129.93万元，支付率100%。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（14）</w:t>
      </w:r>
      <w:r>
        <w:rPr>
          <w:rFonts w:ascii="仿宋_GB2312" w:eastAsia="仿宋_GB2312" w:cs="仿宋_GB2312" w:hint="eastAsia"/>
          <w:b w:val="0"/>
          <w:bCs w:val="0"/>
          <w:color w:val="auto"/>
          <w:kern w:val="0"/>
          <w:sz w:val="32"/>
          <w:szCs w:val="32"/>
          <w:shd w:val="clear" w:color="auto" w:fill="FFFFFF"/>
          <w:lang w:val="en-US" w:eastAsia="zh-CN"/>
          <w:highlight w:val="auto"/>
        </w:rPr>
        <w:t>中央产油大县项目县奖励资金（天府菜油产业融合发展暨产油大县项目），财政拨款150万元，支付106.89万元，支付率71.26%。</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（15）</w:t>
      </w:r>
      <w:r>
        <w:rPr>
          <w:rFonts w:ascii="仿宋_GB2312" w:eastAsia="仿宋_GB2312" w:cs="仿宋_GB2312" w:hint="eastAsia"/>
          <w:b w:val="0"/>
          <w:bCs w:val="0"/>
          <w:color w:val="auto"/>
          <w:kern w:val="0"/>
          <w:sz w:val="32"/>
          <w:szCs w:val="32"/>
          <w:shd w:val="clear" w:color="auto" w:fill="FFFFFF"/>
          <w:lang w:val="en-US" w:eastAsia="zh-CN"/>
          <w:highlight w:val="auto"/>
        </w:rPr>
        <w:t>科农局中央农田建设补助资金。财政拨款155.27万元，支付82.27万元，支付率52.99%。</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（16）</w:t>
      </w:r>
      <w:r>
        <w:rPr>
          <w:rFonts w:ascii="仿宋_GB2312" w:eastAsia="仿宋_GB2312" w:cs="仿宋_GB2312" w:hint="eastAsia"/>
          <w:b w:val="0"/>
          <w:bCs w:val="0"/>
          <w:color w:val="auto"/>
          <w:kern w:val="0"/>
          <w:sz w:val="32"/>
          <w:szCs w:val="32"/>
          <w:shd w:val="clear" w:color="auto" w:fill="FFFFFF"/>
          <w:lang w:val="en-US" w:eastAsia="zh-CN"/>
          <w:highlight w:val="auto"/>
        </w:rPr>
        <w:t>壤塘县马铃薯品种更新更换项目。财政拨款41.55万元，支付41.55万元，支付率100%。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（17）</w:t>
      </w:r>
      <w:r>
        <w:rPr>
          <w:rFonts w:ascii="仿宋_GB2312" w:eastAsia="仿宋_GB2312" w:cs="仿宋_GB2312" w:hint="eastAsia"/>
          <w:b w:val="0"/>
          <w:bCs w:val="0"/>
          <w:color w:val="auto"/>
          <w:kern w:val="0"/>
          <w:sz w:val="32"/>
          <w:szCs w:val="32"/>
          <w:shd w:val="clear" w:color="auto" w:fill="FFFFFF"/>
          <w:lang w:val="en-US" w:eastAsia="zh-CN"/>
          <w:highlight w:val="auto"/>
        </w:rPr>
        <w:t>壤塘县青稞品种更新更换项目。财政拨款27.3万元，支付27.3万元，支付率100%。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（18）</w:t>
      </w:r>
      <w:r>
        <w:rPr>
          <w:rFonts w:ascii="仿宋_GB2312" w:eastAsia="仿宋_GB2312" w:cs="仿宋_GB2312" w:hint="eastAsia"/>
          <w:b w:val="0"/>
          <w:bCs w:val="0"/>
          <w:color w:val="auto"/>
          <w:kern w:val="0"/>
          <w:sz w:val="32"/>
          <w:szCs w:val="32"/>
          <w:shd w:val="clear" w:color="auto" w:fill="FFFFFF"/>
          <w:lang w:val="en-US" w:eastAsia="zh-CN"/>
          <w:highlight w:val="auto"/>
        </w:rPr>
        <w:t>实际种粮农民一次性补贴。财政拨款19万元，支付19万元，支付率100%。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（19）</w:t>
      </w:r>
      <w:r>
        <w:rPr>
          <w:rFonts w:ascii="仿宋_GB2312" w:eastAsia="仿宋_GB2312" w:cs="仿宋_GB2312" w:hint="eastAsia"/>
          <w:b w:val="0"/>
          <w:bCs w:val="0"/>
          <w:color w:val="auto"/>
          <w:kern w:val="0"/>
          <w:sz w:val="32"/>
          <w:szCs w:val="32"/>
          <w:shd w:val="clear" w:color="auto" w:fill="FFFFFF"/>
          <w:lang w:val="en-US" w:eastAsia="zh-CN"/>
          <w:highlight w:val="auto"/>
        </w:rPr>
        <w:t>中央财政农业生产发展资金（耕地地力保护补贴资金）。财政拨款202.26万元，支付202.26万元，支付率100%。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（20）</w:t>
      </w:r>
      <w:r>
        <w:rPr>
          <w:rFonts w:ascii="仿宋_GB2312" w:eastAsia="仿宋_GB2312" w:cs="仿宋_GB2312" w:hint="eastAsia"/>
          <w:b w:val="0"/>
          <w:bCs w:val="0"/>
          <w:color w:val="auto"/>
          <w:kern w:val="0"/>
          <w:sz w:val="32"/>
          <w:szCs w:val="32"/>
          <w:shd w:val="clear" w:color="auto" w:fill="FFFFFF"/>
          <w:lang w:val="en-US" w:eastAsia="zh-CN"/>
          <w:highlight w:val="auto"/>
        </w:rPr>
        <w:t>科农局阿坝州星级现代农业园区州级奖补资金。财政拨款88.12万元，支付80.76万元，支付率91.65%。</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（21）</w:t>
      </w:r>
      <w:r>
        <w:rPr>
          <w:rFonts w:ascii="仿宋_GB2312" w:eastAsia="仿宋_GB2312" w:cs="仿宋_GB2312" w:hint="eastAsia"/>
          <w:b w:val="0"/>
          <w:bCs w:val="0"/>
          <w:color w:val="auto"/>
          <w:kern w:val="0"/>
          <w:sz w:val="32"/>
          <w:szCs w:val="32"/>
          <w:shd w:val="clear" w:color="auto" w:fill="FFFFFF"/>
          <w:lang w:val="en-US" w:eastAsia="zh-CN"/>
          <w:highlight w:val="auto"/>
        </w:rPr>
        <w:t>科农局省级财政现代化农业发展工程共同财政事权转移支付资金。财政拨款93.55万元，支付93.55万元，支付率100%。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（22）</w:t>
      </w:r>
      <w:r>
        <w:rPr>
          <w:rFonts w:ascii="仿宋_GB2312" w:eastAsia="仿宋_GB2312" w:cs="仿宋_GB2312" w:hint="eastAsia"/>
          <w:b w:val="0"/>
          <w:bCs w:val="0"/>
          <w:color w:val="auto"/>
          <w:kern w:val="0"/>
          <w:sz w:val="32"/>
          <w:szCs w:val="32"/>
          <w:shd w:val="clear" w:color="auto" w:fill="FFFFFF"/>
          <w:lang w:val="en-US" w:eastAsia="zh-CN"/>
          <w:highlight w:val="auto"/>
        </w:rPr>
        <w:t>科农局年第一批省级科技计划项目资金（科技扶贫平台建设与运行维护）。财政拨款5.44万元，支付5.44万元，支付率100%。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（23）</w:t>
      </w:r>
      <w:r>
        <w:rPr>
          <w:rFonts w:ascii="仿宋_GB2312" w:eastAsia="仿宋_GB2312" w:cs="仿宋_GB2312" w:hint="eastAsia"/>
          <w:b w:val="0"/>
          <w:bCs w:val="0"/>
          <w:color w:val="auto"/>
          <w:kern w:val="0"/>
          <w:sz w:val="32"/>
          <w:szCs w:val="32"/>
          <w:shd w:val="clear" w:color="auto" w:fill="FFFFFF"/>
          <w:lang w:val="en-US" w:eastAsia="zh-CN"/>
          <w:highlight w:val="auto"/>
        </w:rPr>
        <w:t>2021年第一批省级科技计划项目资金壤塘县小叶羌活种苗繁育关键技术研究与示范（面上项目）。财政拨款9万元，支付9万元，支付率100%。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（24）</w:t>
      </w:r>
      <w:r>
        <w:rPr>
          <w:rFonts w:ascii="仿宋_GB2312" w:eastAsia="仿宋_GB2312" w:cs="仿宋_GB2312" w:hint="eastAsia"/>
          <w:b w:val="0"/>
          <w:bCs w:val="0"/>
          <w:color w:val="auto"/>
          <w:kern w:val="0"/>
          <w:sz w:val="32"/>
          <w:szCs w:val="32"/>
          <w:shd w:val="clear" w:color="auto" w:fill="FFFFFF"/>
          <w:lang w:val="en-US" w:eastAsia="zh-CN"/>
          <w:highlight w:val="auto"/>
        </w:rPr>
        <w:t>2021年第一批省级科技计划项目资金藏区牦牛产业发展技术推广应用助力脱贫项目（面上项目）。财政拨款12万元，支付12万元，支付率100%。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（25）</w:t>
      </w:r>
      <w:r>
        <w:rPr>
          <w:rFonts w:ascii="仿宋_GB2312" w:eastAsia="仿宋_GB2312" w:cs="仿宋_GB2312" w:hint="eastAsia"/>
          <w:b w:val="0"/>
          <w:bCs w:val="0"/>
          <w:color w:val="auto"/>
          <w:kern w:val="0"/>
          <w:sz w:val="32"/>
          <w:szCs w:val="32"/>
          <w:shd w:val="clear" w:color="auto" w:fill="FFFFFF"/>
          <w:lang w:val="en-US" w:eastAsia="zh-CN"/>
          <w:highlight w:val="auto"/>
        </w:rPr>
        <w:t>2021年第一批省级科技计划项目资金微波生香制取高原浓香菜籽油技术研究与集成示范（科技示范村）。财政拨款25.39万元，支付25.39万元，支付率100%。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（26）</w:t>
      </w:r>
      <w:r>
        <w:rPr>
          <w:rFonts w:ascii="仿宋_GB2312" w:eastAsia="仿宋_GB2312" w:cs="仿宋_GB2312" w:hint="eastAsia"/>
          <w:b w:val="0"/>
          <w:bCs w:val="0"/>
          <w:color w:val="auto"/>
          <w:kern w:val="0"/>
          <w:sz w:val="32"/>
          <w:szCs w:val="32"/>
          <w:shd w:val="clear" w:color="auto" w:fill="FFFFFF"/>
          <w:lang w:val="en-US" w:eastAsia="zh-CN"/>
          <w:highlight w:val="auto"/>
        </w:rPr>
        <w:t>2021年第一批省级科技计划项目资金（牦牛标准化养殖技术研究与集成示范）。财政拨款100万元，支付70.96万元，支付率100%。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（27）</w:t>
      </w:r>
      <w:r>
        <w:rPr>
          <w:rFonts w:ascii="仿宋_GB2312" w:eastAsia="仿宋_GB2312" w:cs="仿宋_GB2312" w:hint="eastAsia"/>
          <w:b w:val="0"/>
          <w:bCs w:val="0"/>
          <w:color w:val="auto"/>
          <w:kern w:val="0"/>
          <w:sz w:val="32"/>
          <w:szCs w:val="32"/>
          <w:shd w:val="clear" w:color="auto" w:fill="FFFFFF"/>
          <w:lang w:val="en-US" w:eastAsia="zh-CN"/>
          <w:highlight w:val="auto"/>
        </w:rPr>
        <w:t>科农局省级科技计划项目资金壤塘县布康木达芍药和百合示范种植与技术推广（示范基地）。财政拨款35.91万元，支付35.9万元，支付率100%。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（28）</w:t>
      </w:r>
      <w:r>
        <w:rPr>
          <w:rFonts w:ascii="仿宋_GB2312" w:eastAsia="仿宋_GB2312" w:cs="仿宋_GB2312" w:hint="eastAsia"/>
          <w:b w:val="0"/>
          <w:bCs w:val="0"/>
          <w:color w:val="auto"/>
          <w:kern w:val="0"/>
          <w:sz w:val="32"/>
          <w:szCs w:val="32"/>
          <w:shd w:val="clear" w:color="auto" w:fill="FFFFFF"/>
          <w:lang w:val="en-US" w:eastAsia="zh-CN"/>
          <w:highlight w:val="auto"/>
        </w:rPr>
        <w:t>省级科技计划项目资金（人畜粪便的堆肥化利用研究30万元）。财政拨款30万元，支付30万元，支付率100%。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（29）</w:t>
      </w:r>
      <w:r>
        <w:rPr>
          <w:rFonts w:ascii="仿宋_GB2312" w:eastAsia="仿宋_GB2312" w:cs="仿宋_GB2312" w:hint="eastAsia"/>
          <w:b w:val="0"/>
          <w:bCs w:val="0"/>
          <w:color w:val="auto"/>
          <w:kern w:val="0"/>
          <w:sz w:val="32"/>
          <w:szCs w:val="32"/>
          <w:shd w:val="clear" w:color="auto" w:fill="FFFFFF"/>
          <w:lang w:val="en-US" w:eastAsia="zh-CN"/>
          <w:highlight w:val="auto"/>
        </w:rPr>
        <w:t>科农局中央财政农业生产发展资金。财政拨款20万元，支付20万元，支付率100%。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（30）</w:t>
      </w:r>
      <w:r>
        <w:rPr>
          <w:rFonts w:ascii="仿宋_GB2312" w:eastAsia="仿宋_GB2312" w:cs="仿宋_GB2312" w:hint="eastAsia"/>
          <w:b w:val="0"/>
          <w:bCs w:val="0"/>
          <w:color w:val="auto"/>
          <w:kern w:val="0"/>
          <w:sz w:val="32"/>
          <w:szCs w:val="32"/>
          <w:shd w:val="clear" w:color="auto" w:fill="FFFFFF"/>
          <w:lang w:val="en-US" w:eastAsia="zh-CN"/>
          <w:highlight w:val="auto"/>
        </w:rPr>
        <w:t>尕多蔬菜加工设施建设项目。财政拨款40.44万元，支付32.06万元，支付率79.27%。</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b w:val="0"/>
          <w:bCs w:val="0"/>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en-US" w:eastAsia="zh-CN"/>
          <w:highlight w:val="auto"/>
        </w:rPr>
        <w:t>（31）</w:t>
      </w:r>
      <w:r>
        <w:rPr>
          <w:rFonts w:ascii="仿宋_GB2312" w:eastAsia="仿宋_GB2312" w:cs="仿宋_GB2312" w:hint="eastAsia"/>
          <w:b w:val="0"/>
          <w:bCs w:val="0"/>
          <w:color w:val="auto"/>
          <w:kern w:val="0"/>
          <w:sz w:val="32"/>
          <w:szCs w:val="32"/>
          <w:shd w:val="clear" w:color="auto" w:fill="FFFFFF"/>
          <w:lang w:val="en-US" w:eastAsia="zh-CN"/>
          <w:highlight w:val="auto"/>
        </w:rPr>
        <w:t>科农局阿坝州实施乡村振兴战略工作州级先进县（市）先进乡镇、示范村州奖补资金。财政拨款40万元，支付20万元，支付率50%。</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楷体_GB2312" w:eastAsia="楷体_GB2312" w:cs="楷体_GB2312" w:hint="eastAsia"/>
          <w:b/>
          <w:bCs/>
          <w:kern w:val="0"/>
          <w:sz w:val="32"/>
          <w:szCs w:val="32"/>
          <w:lang w:val="zh-CN" w:eastAsia="zh-CN"/>
        </w:rPr>
      </w:pPr>
      <w:r>
        <w:rPr>
          <w:rFonts w:ascii="楷体_GB2312" w:eastAsia="楷体_GB2312" w:cs="楷体_GB2312" w:hint="eastAsia"/>
          <w:b/>
          <w:bCs/>
          <w:kern w:val="0"/>
          <w:sz w:val="32"/>
          <w:szCs w:val="32"/>
          <w:lang w:val="zh-CN" w:eastAsia="zh-CN"/>
        </w:rPr>
        <w:t>（二）部门整体履职绩效分析</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kern w:val="0"/>
          <w:sz w:val="32"/>
          <w:szCs w:val="32"/>
        </w:rPr>
      </w:pPr>
      <w:r>
        <w:rPr>
          <w:rFonts w:ascii="仿宋_GB2312" w:eastAsia="仿宋_GB2312" w:cs="仿宋_GB2312" w:hint="eastAsia"/>
          <w:b w:val="0"/>
          <w:bCs w:val="0"/>
          <w:color w:val="auto"/>
          <w:kern w:val="0"/>
          <w:sz w:val="32"/>
          <w:szCs w:val="32"/>
          <w:shd w:val="clear" w:color="auto" w:fill="FFFFFF"/>
          <w:lang w:val="en-US" w:eastAsia="zh-CN"/>
          <w:highlight w:val="auto"/>
        </w:rPr>
        <w:t>2022年以来，狠抓工作落实，为实现粮食稳定增产，</w:t>
      </w:r>
      <w:r>
        <w:rPr>
          <w:rFonts w:ascii="Times New Roman" w:eastAsia="仿宋_GB2312" w:cs="Times New Roman" w:hAnsi="Times New Roman" w:hint="eastAsia"/>
          <w:kern w:val="0"/>
          <w:sz w:val="32"/>
          <w:szCs w:val="32"/>
          <w:lang w:val="en-US" w:eastAsia="zh-CN"/>
        </w:rPr>
        <w:t>农业增效，农民增收，春耕备耕工作立足一个“早”字，做到生产计划早安排，技术推广早部署，增产措施早落实，为全年农业生产计划目标的实现打下基础。</w:t>
      </w:r>
      <w:r>
        <w:rPr>
          <w:rFonts w:ascii="Times New Roman" w:eastAsia="仿宋_GB2312" w:cs="Times New Roman" w:hAnsi="Times New Roman"/>
          <w:kern w:val="0"/>
          <w:sz w:val="32"/>
          <w:szCs w:val="32"/>
        </w:rPr>
        <w:t>积极落实中央、省、州各项强农惠农政策，将草原生态保护补助</w:t>
      </w:r>
      <w:r>
        <w:rPr>
          <w:rFonts w:ascii="Times New Roman" w:eastAsia="仿宋_GB2312" w:cs="Times New Roman" w:hAnsi="Times New Roman" w:hint="eastAsia"/>
          <w:kern w:val="0"/>
          <w:sz w:val="32"/>
          <w:szCs w:val="32"/>
          <w:lang w:eastAsia="zh-CN"/>
        </w:rPr>
        <w:t>、</w:t>
      </w:r>
      <w:r>
        <w:rPr>
          <w:rFonts w:ascii="Times New Roman" w:eastAsia="仿宋_GB2312" w:cs="Times New Roman" w:hAnsi="Times New Roman"/>
          <w:kern w:val="0"/>
          <w:sz w:val="32"/>
          <w:szCs w:val="32"/>
        </w:rPr>
        <w:t>农机购置补贴、高原双低油菜补贴、耕地地力保护补贴等资金以“一卡通”的方式直接发放到农牧民手中。坚持把增加农牧民收入作为全局工作的首要任务，不断建立健全促进农牧民增收的工作机制，加强统一领导，明确职责分工，强化服务意识，密切联系群众，力争把促进农牧民增收各项措施落到实处。</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楷体_GB2312" w:eastAsia="楷体_GB2312" w:cs="楷体_GB2312" w:hint="eastAsia"/>
          <w:b/>
          <w:bCs/>
          <w:kern w:val="0"/>
          <w:sz w:val="32"/>
          <w:szCs w:val="32"/>
          <w:lang w:val="zh-CN" w:eastAsia="zh-CN"/>
        </w:rPr>
      </w:pPr>
      <w:r>
        <w:rPr>
          <w:rFonts w:ascii="楷体_GB2312" w:eastAsia="楷体_GB2312" w:cs="楷体_GB2312" w:hint="eastAsia"/>
          <w:b/>
          <w:bCs/>
          <w:kern w:val="0"/>
          <w:sz w:val="32"/>
          <w:szCs w:val="32"/>
          <w:lang w:val="zh-CN" w:eastAsia="zh-CN"/>
        </w:rPr>
        <w:t>（三）结果应用情况</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hint="eastAsia"/>
          <w:kern w:val="0"/>
          <w:sz w:val="32"/>
          <w:szCs w:val="32"/>
          <w:lang w:val="en-US" w:eastAsia="zh-CN"/>
        </w:rPr>
      </w:pPr>
      <w:r>
        <w:rPr>
          <w:rFonts w:ascii="Times New Roman" w:eastAsia="仿宋_GB2312" w:cs="Times New Roman" w:hAnsi="Times New Roman" w:hint="eastAsia"/>
          <w:kern w:val="0"/>
          <w:sz w:val="32"/>
          <w:szCs w:val="32"/>
          <w:lang w:val="en-US" w:eastAsia="zh-CN"/>
        </w:rPr>
        <w:t>壤塘县科学技术和农业畜牧局2022年度部门整体支出较为良好，预算安排</w:t>
      </w:r>
      <w:r>
        <w:rPr>
          <w:rFonts w:eastAsia="仿宋_GB2312" w:cs="Times New Roman" w:hint="eastAsia"/>
          <w:kern w:val="0"/>
          <w:sz w:val="32"/>
          <w:szCs w:val="32"/>
          <w:lang w:val="en-US" w:eastAsia="zh-CN"/>
        </w:rPr>
        <w:t>准确性</w:t>
      </w:r>
      <w:r>
        <w:rPr>
          <w:rFonts w:ascii="Times New Roman" w:eastAsia="仿宋_GB2312" w:cs="Times New Roman" w:hAnsi="Times New Roman" w:hint="eastAsia"/>
          <w:kern w:val="0"/>
          <w:sz w:val="32"/>
          <w:szCs w:val="32"/>
          <w:lang w:val="en-US" w:eastAsia="zh-CN"/>
        </w:rPr>
        <w:t>较为合理，严格按照资金拨付进度完成支付，绩效目标量化，各部门职能职责较为完善，管理制度健全，资金使用合规，财务监控有效，2022年“三公”经费为12.43万元，均为公务用车运行维护费，未超预算；2022年我单位严格按照政府采购程序执行，采购方式、程序规范，政府采购金额265.84万元。2022年固定资产原值1500.05万元，固定资产累计折旧1004.17万元，固定资产净值为495.88万元，固定资产在用率90%，我单位按财政要求及时完成预算、决算、绩效等信息公开工作。</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黑体" w:eastAsia="黑体" w:cs="黑体" w:hint="eastAsia"/>
          <w:color w:val="auto"/>
          <w:kern w:val="0"/>
          <w:sz w:val="32"/>
          <w:szCs w:val="32"/>
          <w:lang w:val="zh-CN"/>
        </w:rPr>
      </w:pPr>
      <w:r>
        <w:rPr>
          <w:rFonts w:ascii="黑体" w:eastAsia="黑体" w:cs="黑体" w:hint="eastAsia"/>
          <w:color w:val="auto"/>
          <w:kern w:val="0"/>
          <w:sz w:val="32"/>
          <w:szCs w:val="32"/>
          <w:lang w:val="zh-CN"/>
        </w:rPr>
        <w:t>四、评价结论及建议</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楷体_GB2312" w:eastAsia="楷体_GB2312" w:cs="楷体_GB2312" w:hint="eastAsia"/>
          <w:b/>
          <w:bCs/>
          <w:color w:val="auto"/>
          <w:kern w:val="0"/>
          <w:sz w:val="32"/>
          <w:szCs w:val="32"/>
          <w:lang w:val="zh-CN"/>
        </w:rPr>
      </w:pPr>
      <w:r>
        <w:rPr>
          <w:rFonts w:ascii="楷体_GB2312" w:eastAsia="楷体_GB2312" w:cs="楷体_GB2312" w:hint="eastAsia"/>
          <w:b/>
          <w:bCs/>
          <w:color w:val="auto"/>
          <w:kern w:val="0"/>
          <w:sz w:val="32"/>
          <w:szCs w:val="32"/>
          <w:lang w:val="zh-CN"/>
        </w:rPr>
        <w:t>（一）评价结论</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hint="eastAsia"/>
          <w:kern w:val="0"/>
          <w:sz w:val="32"/>
          <w:szCs w:val="32"/>
          <w:lang w:val="zh-CN" w:eastAsia="zh-CN"/>
        </w:rPr>
      </w:pPr>
      <w:r>
        <w:rPr>
          <w:rFonts w:ascii="Times New Roman" w:eastAsia="仿宋_GB2312" w:cs="Times New Roman" w:hAnsi="Times New Roman" w:hint="eastAsia"/>
          <w:kern w:val="0"/>
          <w:sz w:val="32"/>
          <w:szCs w:val="32"/>
          <w:lang w:val="en-US" w:eastAsia="zh-CN"/>
        </w:rPr>
        <w:t>壤塘县科学技术和农业畜牧局2022年度部门整体支出较为良好，预算安排</w:t>
      </w:r>
      <w:r>
        <w:rPr>
          <w:rFonts w:eastAsia="仿宋_GB2312" w:cs="Times New Roman" w:hint="eastAsia"/>
          <w:kern w:val="0"/>
          <w:sz w:val="32"/>
          <w:szCs w:val="32"/>
          <w:lang w:val="en-US" w:eastAsia="zh-CN"/>
        </w:rPr>
        <w:t>准确性</w:t>
      </w:r>
      <w:r>
        <w:rPr>
          <w:rFonts w:ascii="Times New Roman" w:eastAsia="仿宋_GB2312" w:cs="Times New Roman" w:hAnsi="Times New Roman" w:hint="eastAsia"/>
          <w:kern w:val="0"/>
          <w:sz w:val="32"/>
          <w:szCs w:val="32"/>
          <w:lang w:val="en-US" w:eastAsia="zh-CN"/>
        </w:rPr>
        <w:t>较为合理，严格按照资金拨付进度完成支付，绩效目标量化，各部门职能职责较为完善，管理制度健全，资金使用合规，财务监控有效。</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楷体_GB2312" w:eastAsia="楷体_GB2312" w:cs="楷体_GB2312" w:hint="eastAsia"/>
          <w:b/>
          <w:bCs/>
          <w:color w:val="auto"/>
          <w:kern w:val="0"/>
          <w:sz w:val="32"/>
          <w:szCs w:val="32"/>
          <w:lang w:val="zh-CN"/>
        </w:rPr>
      </w:pPr>
      <w:r>
        <w:rPr>
          <w:rFonts w:ascii="楷体_GB2312" w:eastAsia="楷体_GB2312" w:cs="楷体_GB2312" w:hint="eastAsia"/>
          <w:b/>
          <w:bCs/>
          <w:color w:val="auto"/>
          <w:kern w:val="0"/>
          <w:sz w:val="32"/>
          <w:szCs w:val="32"/>
          <w:lang w:val="zh-CN"/>
        </w:rPr>
        <w:t>（二）存在问题</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hint="eastAsia"/>
          <w:kern w:val="0"/>
          <w:sz w:val="32"/>
          <w:szCs w:val="32"/>
          <w:lang w:val="zh-CN" w:eastAsia="zh-CN"/>
        </w:rPr>
      </w:pPr>
      <w:r>
        <w:rPr>
          <w:rFonts w:ascii="Times New Roman" w:eastAsia="仿宋_GB2312" w:cs="Times New Roman" w:hAnsi="Times New Roman" w:hint="eastAsia"/>
          <w:b/>
          <w:bCs/>
          <w:kern w:val="0"/>
          <w:sz w:val="32"/>
          <w:szCs w:val="32"/>
          <w:lang w:val="zh-CN" w:eastAsia="zh-CN"/>
        </w:rPr>
        <w:t>一是</w:t>
      </w:r>
      <w:r>
        <w:rPr>
          <w:rFonts w:ascii="Times New Roman" w:eastAsia="仿宋_GB2312" w:cs="Times New Roman" w:hAnsi="Times New Roman" w:hint="eastAsia"/>
          <w:kern w:val="0"/>
          <w:sz w:val="32"/>
          <w:szCs w:val="32"/>
          <w:lang w:val="zh-CN" w:eastAsia="zh-CN"/>
        </w:rPr>
        <w:t>部分项目绩效目标设置不精确、不科学；</w:t>
      </w:r>
      <w:r>
        <w:rPr>
          <w:rFonts w:ascii="Times New Roman" w:eastAsia="仿宋_GB2312" w:cs="Times New Roman" w:hAnsi="Times New Roman" w:hint="eastAsia"/>
          <w:b/>
          <w:bCs/>
          <w:kern w:val="0"/>
          <w:sz w:val="32"/>
          <w:szCs w:val="32"/>
          <w:lang w:val="zh-CN" w:eastAsia="zh-CN"/>
        </w:rPr>
        <w:t>二是</w:t>
      </w:r>
      <w:r>
        <w:rPr>
          <w:rFonts w:ascii="Times New Roman" w:eastAsia="仿宋_GB2312" w:cs="Times New Roman" w:hAnsi="Times New Roman" w:hint="eastAsia"/>
          <w:kern w:val="0"/>
          <w:sz w:val="32"/>
          <w:szCs w:val="32"/>
          <w:lang w:val="zh-CN" w:eastAsia="zh-CN"/>
        </w:rPr>
        <w:t>部分项目预算执行较慢。原因：项目实施单位在组织培训人员方面受到一定影响。</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楷体_GB2312" w:eastAsia="楷体_GB2312" w:cs="楷体_GB2312" w:hint="eastAsia"/>
          <w:b/>
          <w:bCs/>
          <w:color w:val="auto"/>
          <w:kern w:val="0"/>
          <w:sz w:val="32"/>
          <w:szCs w:val="32"/>
          <w:lang w:val="zh-CN"/>
        </w:rPr>
      </w:pPr>
      <w:r>
        <w:rPr>
          <w:rFonts w:ascii="楷体_GB2312" w:eastAsia="楷体_GB2312" w:cs="楷体_GB2312" w:hint="eastAsia"/>
          <w:b/>
          <w:bCs/>
          <w:color w:val="auto"/>
          <w:kern w:val="0"/>
          <w:sz w:val="32"/>
          <w:szCs w:val="32"/>
          <w:lang w:val="zh-CN"/>
        </w:rPr>
        <w:t>（</w:t>
      </w:r>
      <w:r>
        <w:rPr>
          <w:rFonts w:ascii="楷体_GB2312" w:eastAsia="楷体_GB2312" w:cs="楷体_GB2312" w:hint="eastAsia"/>
          <w:b/>
          <w:bCs/>
          <w:color w:val="auto"/>
          <w:kern w:val="0"/>
          <w:sz w:val="32"/>
          <w:szCs w:val="32"/>
          <w:lang w:val="en-US" w:eastAsia="zh-CN"/>
        </w:rPr>
        <w:t>三</w:t>
      </w:r>
      <w:r>
        <w:rPr>
          <w:rFonts w:ascii="楷体_GB2312" w:eastAsia="楷体_GB2312" w:cs="楷体_GB2312" w:hint="eastAsia"/>
          <w:b/>
          <w:bCs/>
          <w:color w:val="auto"/>
          <w:kern w:val="0"/>
          <w:sz w:val="32"/>
          <w:szCs w:val="32"/>
          <w:lang w:val="zh-CN"/>
        </w:rPr>
        <w:t>）改进建议</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hint="eastAsia"/>
          <w:kern w:val="0"/>
          <w:sz w:val="32"/>
          <w:szCs w:val="32"/>
          <w:lang w:val="zh-CN" w:eastAsia="zh-CN"/>
        </w:rPr>
      </w:pPr>
      <w:r>
        <w:rPr>
          <w:rFonts w:ascii="Times New Roman" w:eastAsia="仿宋_GB2312" w:cs="Times New Roman" w:hAnsi="Times New Roman" w:hint="eastAsia"/>
          <w:b/>
          <w:bCs/>
          <w:kern w:val="0"/>
          <w:sz w:val="32"/>
          <w:szCs w:val="32"/>
          <w:lang w:val="zh-CN" w:eastAsia="zh-CN"/>
        </w:rPr>
        <w:t>一是</w:t>
      </w:r>
      <w:r>
        <w:rPr>
          <w:rFonts w:ascii="Times New Roman" w:eastAsia="仿宋_GB2312" w:cs="Times New Roman" w:hAnsi="Times New Roman" w:hint="eastAsia"/>
          <w:kern w:val="0"/>
          <w:sz w:val="32"/>
          <w:szCs w:val="32"/>
          <w:lang w:val="zh-CN" w:eastAsia="zh-CN"/>
        </w:rPr>
        <w:t>强化责任约束，限时落实整改；</w:t>
      </w:r>
      <w:r>
        <w:rPr>
          <w:rFonts w:ascii="Times New Roman" w:eastAsia="仿宋_GB2312" w:cs="Times New Roman" w:hAnsi="Times New Roman" w:hint="eastAsia"/>
          <w:b/>
          <w:bCs/>
          <w:kern w:val="0"/>
          <w:sz w:val="32"/>
          <w:szCs w:val="32"/>
          <w:lang w:val="zh-CN" w:eastAsia="zh-CN"/>
        </w:rPr>
        <w:t>二是</w:t>
      </w:r>
      <w:r>
        <w:rPr>
          <w:rFonts w:ascii="Times New Roman" w:eastAsia="仿宋_GB2312" w:cs="Times New Roman" w:hAnsi="Times New Roman" w:hint="eastAsia"/>
          <w:kern w:val="0"/>
          <w:sz w:val="32"/>
          <w:szCs w:val="32"/>
          <w:lang w:val="zh-CN" w:eastAsia="zh-CN"/>
        </w:rPr>
        <w:t>狠抓关键环节，发挥绩效作用；三是强化结果应用，巩固评价成效。</w:t>
      </w:r>
    </w:p>
    <w:p>
      <w:pPr>
        <w:pStyle w:val="23"/>
        <w:widowControl w:val="0"/>
        <w:autoSpaceDE/>
        <w:autoSpaceDN/>
        <w:jc w:val="center"/>
        <w:rPr>
          <w:rFonts w:ascii="黑体" w:eastAsia="黑体" w:cs="黑体" w:hint="eastAsia"/>
          <w:sz w:val="44"/>
          <w:szCs w:val="44"/>
          <w:lang w:val="en-US" w:eastAsia="zh-CN"/>
        </w:rPr>
      </w:pPr>
    </w:p>
    <w:p>
      <w:pPr>
        <w:pStyle w:val="23"/>
        <w:keepNext w:val="0"/>
        <w:keepLines w:val="0"/>
        <w:pageBreakBefore w:val="0"/>
        <w:widowControl w:val="0"/>
        <w:kinsoku/>
        <w:wordWrap/>
        <w:overflowPunct/>
        <w:topLinePunct w:val="0"/>
        <w:autoSpaceDE/>
        <w:autoSpaceDN/>
        <w:bidi w:val="0"/>
        <w:adjustRightInd/>
        <w:snapToGrid/>
        <w:spacing w:line="700" w:lineRule="exact"/>
        <w:ind w:leftChars="0" w:left="880" w:hangingChars="200" w:hanging="880"/>
        <w:jc w:val="center"/>
        <w:textAlignment w:val="auto"/>
        <w:rPr>
          <w:rFonts w:ascii="方正小标宋_GBK" w:eastAsia="方正小标宋_GBK" w:cs="方正小标宋_GBK" w:hint="eastAsia"/>
          <w:sz w:val="44"/>
          <w:szCs w:val="44"/>
          <w:lang w:val="en-US" w:eastAsia="zh-CN"/>
        </w:rPr>
      </w:pPr>
      <w:r>
        <w:rPr>
          <w:rFonts w:ascii="方正小标宋_GBK" w:eastAsia="方正小标宋_GBK" w:cs="方正小标宋_GBK" w:hint="eastAsia"/>
          <w:kern w:val="2"/>
          <w:sz w:val="44"/>
          <w:szCs w:val="44"/>
          <w:lang w:val="en-US" w:eastAsia="zh-CN" w:bidi="ar-SA"/>
        </w:rPr>
        <w:t xml:space="preserve">第五部分 </w:t>
      </w:r>
      <w:r>
        <w:rPr>
          <w:rFonts w:ascii="方正小标宋_GBK" w:eastAsia="方正小标宋_GBK" w:cs="方正小标宋_GBK" w:hint="eastAsia"/>
          <w:sz w:val="44"/>
          <w:szCs w:val="44"/>
          <w:lang w:val="en-US" w:eastAsia="zh-CN"/>
        </w:rPr>
        <w:t>附表</w:t>
      </w:r>
    </w:p>
    <w:p>
      <w:pPr>
        <w:rPr>
          <w:rFonts w:hint="eastAsia"/>
          <w:lang w:val="en-US" w:eastAsia="zh-CN"/>
        </w:rPr>
      </w:pPr>
    </w:p>
    <w:p>
      <w:pPr>
        <w:rPr>
          <w:rFonts w:ascii="仿宋_GB2312" w:eastAsia="仿宋_GB2312" w:cs="仿宋_GB2312" w:hint="eastAsia"/>
          <w:sz w:val="32"/>
          <w:szCs w:val="32"/>
        </w:rPr>
      </w:pPr>
      <w:bookmarkStart w:id="64" w:name="_Toc15396619"/>
      <w:bookmarkEnd w:id="62"/>
      <w:r>
        <w:rPr>
          <w:rFonts w:ascii="仿宋_GB2312" w:eastAsia="仿宋_GB2312" w:cs="仿宋_GB2312" w:hint="eastAsia"/>
          <w:sz w:val="32"/>
          <w:szCs w:val="32"/>
        </w:rPr>
        <w:t>一、收入支出决算总表</w:t>
      </w:r>
    </w:p>
    <w:p>
      <w:pPr>
        <w:rPr>
          <w:rFonts w:ascii="仿宋_GB2312" w:eastAsia="仿宋_GB2312" w:cs="仿宋_GB2312" w:hint="eastAsia"/>
          <w:sz w:val="32"/>
          <w:szCs w:val="32"/>
        </w:rPr>
      </w:pPr>
      <w:r>
        <w:rPr>
          <w:rFonts w:ascii="仿宋_GB2312" w:eastAsia="仿宋_GB2312" w:cs="仿宋_GB2312" w:hint="eastAsia"/>
          <w:sz w:val="32"/>
          <w:szCs w:val="32"/>
        </w:rPr>
        <w:t>二、收入决算表</w:t>
      </w:r>
    </w:p>
    <w:p>
      <w:pPr>
        <w:rPr>
          <w:rFonts w:ascii="仿宋_GB2312" w:eastAsia="仿宋_GB2312" w:cs="仿宋_GB2312" w:hint="eastAsia"/>
          <w:sz w:val="32"/>
          <w:szCs w:val="32"/>
        </w:rPr>
      </w:pPr>
      <w:r>
        <w:rPr>
          <w:rFonts w:ascii="仿宋_GB2312" w:eastAsia="仿宋_GB2312" w:cs="仿宋_GB2312" w:hint="eastAsia"/>
          <w:sz w:val="32"/>
          <w:szCs w:val="32"/>
        </w:rPr>
        <w:t>三、支出决算表</w:t>
      </w:r>
    </w:p>
    <w:p>
      <w:pPr>
        <w:rPr>
          <w:rFonts w:ascii="仿宋_GB2312" w:eastAsia="仿宋_GB2312" w:cs="仿宋_GB2312" w:hint="eastAsia"/>
          <w:sz w:val="32"/>
          <w:szCs w:val="32"/>
        </w:rPr>
      </w:pPr>
      <w:r>
        <w:rPr>
          <w:rFonts w:ascii="仿宋_GB2312" w:eastAsia="仿宋_GB2312" w:cs="仿宋_GB2312" w:hint="eastAsia"/>
          <w:sz w:val="32"/>
          <w:szCs w:val="32"/>
        </w:rPr>
        <w:t>四、财政拨款收入支出决算总表</w:t>
      </w:r>
    </w:p>
    <w:p>
      <w:pPr>
        <w:rPr>
          <w:rFonts w:ascii="仿宋_GB2312" w:eastAsia="仿宋_GB2312" w:cs="仿宋_GB2312" w:hint="eastAsia"/>
          <w:sz w:val="32"/>
          <w:szCs w:val="32"/>
        </w:rPr>
      </w:pPr>
      <w:r>
        <w:rPr>
          <w:rFonts w:ascii="仿宋_GB2312" w:eastAsia="仿宋_GB2312" w:cs="仿宋_GB2312" w:hint="eastAsia"/>
          <w:sz w:val="32"/>
          <w:szCs w:val="32"/>
        </w:rPr>
        <w:t>五、财政拨款支出决算明细表</w:t>
      </w:r>
    </w:p>
    <w:p>
      <w:pPr>
        <w:rPr>
          <w:rFonts w:ascii="仿宋_GB2312" w:eastAsia="仿宋_GB2312" w:cs="仿宋_GB2312" w:hint="eastAsia"/>
          <w:sz w:val="32"/>
          <w:szCs w:val="32"/>
        </w:rPr>
      </w:pPr>
      <w:r>
        <w:rPr>
          <w:rFonts w:ascii="仿宋_GB2312" w:eastAsia="仿宋_GB2312" w:cs="仿宋_GB2312" w:hint="eastAsia"/>
          <w:sz w:val="32"/>
          <w:szCs w:val="32"/>
        </w:rPr>
        <w:t>六、一般公共预算财政拨款支出决算表</w:t>
      </w:r>
    </w:p>
    <w:p>
      <w:pPr>
        <w:rPr>
          <w:rFonts w:ascii="仿宋_GB2312" w:eastAsia="仿宋_GB2312" w:cs="仿宋_GB2312" w:hint="eastAsia"/>
          <w:sz w:val="32"/>
          <w:szCs w:val="32"/>
        </w:rPr>
      </w:pPr>
      <w:r>
        <w:rPr>
          <w:rFonts w:ascii="仿宋_GB2312" w:eastAsia="仿宋_GB2312" w:cs="仿宋_GB2312" w:hint="eastAsia"/>
          <w:sz w:val="32"/>
          <w:szCs w:val="32"/>
        </w:rPr>
        <w:t>七、一般公共预算财政拨款支出决算明细表</w:t>
      </w:r>
    </w:p>
    <w:p>
      <w:pPr>
        <w:rPr>
          <w:rFonts w:ascii="仿宋_GB2312" w:eastAsia="仿宋_GB2312" w:cs="仿宋_GB2312" w:hint="eastAsia"/>
          <w:sz w:val="32"/>
          <w:szCs w:val="32"/>
        </w:rPr>
      </w:pPr>
      <w:r>
        <w:rPr>
          <w:rFonts w:ascii="仿宋_GB2312" w:eastAsia="仿宋_GB2312" w:cs="仿宋_GB2312" w:hint="eastAsia"/>
          <w:sz w:val="32"/>
          <w:szCs w:val="32"/>
        </w:rPr>
        <w:t>八、一般公共预算财政拨款基本支出决算表</w:t>
      </w:r>
    </w:p>
    <w:p>
      <w:pPr>
        <w:rPr>
          <w:rFonts w:ascii="仿宋_GB2312" w:eastAsia="仿宋_GB2312" w:cs="仿宋_GB2312" w:hint="eastAsia"/>
          <w:sz w:val="32"/>
          <w:szCs w:val="32"/>
        </w:rPr>
      </w:pPr>
      <w:r>
        <w:rPr>
          <w:rFonts w:ascii="仿宋_GB2312" w:eastAsia="仿宋_GB2312" w:cs="仿宋_GB2312" w:hint="eastAsia"/>
          <w:sz w:val="32"/>
          <w:szCs w:val="32"/>
        </w:rPr>
        <w:t>九、一般公共预算财政拨款项目支出决算表</w:t>
      </w:r>
    </w:p>
    <w:p>
      <w:pPr>
        <w:rPr>
          <w:rFonts w:ascii="仿宋_GB2312" w:eastAsia="仿宋_GB2312" w:cs="仿宋_GB2312" w:hint="eastAsia"/>
          <w:sz w:val="32"/>
          <w:szCs w:val="32"/>
        </w:rPr>
      </w:pPr>
      <w:r>
        <w:rPr>
          <w:rFonts w:ascii="仿宋_GB2312" w:eastAsia="仿宋_GB2312" w:cs="仿宋_GB2312" w:hint="eastAsia"/>
          <w:sz w:val="32"/>
          <w:szCs w:val="32"/>
        </w:rPr>
        <w:t>十、政府性基金预算财政拨款收入支出决算表</w:t>
      </w:r>
    </w:p>
    <w:p>
      <w:pPr>
        <w:rPr>
          <w:rFonts w:ascii="仿宋_GB2312" w:eastAsia="仿宋_GB2312" w:cs="仿宋_GB2312" w:hint="eastAsia"/>
          <w:sz w:val="32"/>
          <w:szCs w:val="32"/>
        </w:rPr>
      </w:pPr>
      <w:r>
        <w:rPr>
          <w:rFonts w:ascii="仿宋_GB2312" w:eastAsia="仿宋_GB2312" w:cs="仿宋_GB2312" w:hint="eastAsia"/>
          <w:sz w:val="32"/>
          <w:szCs w:val="32"/>
        </w:rPr>
        <w:t>十一、国有资本经营预算</w:t>
      </w:r>
      <w:r>
        <w:rPr>
          <w:rFonts w:ascii="仿宋_GB2312" w:eastAsia="仿宋_GB2312" w:cs="仿宋_GB2312" w:hint="eastAsia"/>
          <w:sz w:val="32"/>
          <w:szCs w:val="32"/>
          <w:lang w:eastAsia="zh-CN"/>
        </w:rPr>
        <w:t>财政拨款收入</w:t>
      </w:r>
      <w:r>
        <w:rPr>
          <w:rFonts w:ascii="仿宋_GB2312" w:eastAsia="仿宋_GB2312" w:cs="仿宋_GB2312" w:hint="eastAsia"/>
          <w:sz w:val="32"/>
          <w:szCs w:val="32"/>
        </w:rPr>
        <w:t>支出决算表</w:t>
      </w:r>
    </w:p>
    <w:p>
      <w:pPr>
        <w:rPr>
          <w:rFonts w:ascii="仿宋_GB2312" w:eastAsia="仿宋_GB2312" w:cs="仿宋_GB2312" w:hint="eastAsia"/>
          <w:sz w:val="32"/>
          <w:szCs w:val="32"/>
        </w:rPr>
      </w:pPr>
      <w:r>
        <w:rPr>
          <w:rFonts w:ascii="仿宋_GB2312" w:eastAsia="仿宋_GB2312" w:cs="仿宋_GB2312" w:hint="eastAsia"/>
          <w:sz w:val="32"/>
          <w:szCs w:val="32"/>
        </w:rPr>
        <w:t>十二、</w:t>
      </w:r>
      <w:r>
        <w:rPr>
          <w:rFonts w:ascii="仿宋_GB2312" w:eastAsia="仿宋_GB2312" w:cs="仿宋_GB2312" w:hint="eastAsia"/>
          <w:sz w:val="32"/>
          <w:szCs w:val="32"/>
          <w:lang w:eastAsia="zh-CN"/>
        </w:rPr>
        <w:t>国有资本经营预算财政拨款支出决算表</w:t>
      </w:r>
    </w:p>
    <w:p>
      <w:pPr>
        <w:rPr>
          <w:rFonts w:ascii="仿宋_GB2312" w:eastAsia="仿宋_GB2312" w:cs="仿宋_GB2312" w:hint="eastAsia"/>
          <w:sz w:val="32"/>
          <w:szCs w:val="32"/>
          <w:lang w:eastAsia="zh-CN"/>
        </w:rPr>
      </w:pPr>
      <w:r>
        <w:rPr>
          <w:rFonts w:ascii="仿宋_GB2312" w:eastAsia="仿宋_GB2312" w:cs="仿宋_GB2312" w:hint="eastAsia"/>
          <w:sz w:val="32"/>
          <w:szCs w:val="32"/>
        </w:rPr>
        <w:t>十三、</w:t>
      </w:r>
      <w:r>
        <w:rPr>
          <w:rFonts w:ascii="仿宋_GB2312" w:eastAsia="仿宋_GB2312" w:cs="仿宋_GB2312" w:hint="eastAsia"/>
          <w:sz w:val="32"/>
          <w:szCs w:val="32"/>
          <w:lang w:eastAsia="zh-CN"/>
        </w:rPr>
        <w:t>财政拨款“三公”经费支出决算表</w:t>
      </w:r>
    </w:p>
    <w:p>
      <w:pPr>
        <w:rPr>
          <w:rFonts w:hint="eastAsia"/>
        </w:rPr>
      </w:pPr>
    </w:p>
    <w:p>
      <w:pPr>
        <w:rPr>
          <w:rFonts w:hint="eastAsia"/>
          <w:lang w:eastAsia="zh-CN"/>
        </w:rPr>
      </w:pPr>
      <w:bookmarkEnd w:id="64"/>
    </w:p>
    <w:sectPr>
      <w:headerReference w:type="default" r:id="rId2"/>
      <w:footerReference w:type="default" r:id="rId3"/>
      <w:pgSz w:w="11906" w:h="16838"/>
      <w:pgMar w:top="2098" w:right="1474" w:bottom="1984" w:left="1587" w:header="851" w:footer="992" w:gutter="0"/>
      <w:pgNumType w:start="1"/>
      <w:titlePg/>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2010601030101010101"/>
    <w:charset w:val="86"/>
    <w:family w:val="script"/>
    <w:pitch w:val="variable"/>
    <w:sig w:usb0="00000000" w:usb1="00000000" w:usb2="00000000" w:usb3="00000000" w:csb0="00040000" w:csb1="00000000"/>
  </w:font>
  <w:font w:name="宋体">
    <w:panose1 w:val="02010600030101010101"/>
    <w:charset w:val="7A"/>
    <w:family w:val="auto"/>
    <w:pitch w:val="variable"/>
    <w:sig w:usb0="00000003" w:usb1="288F0000" w:usb2="00000006" w:usb3="00000000" w:csb0="00040001" w:csb1="00000000"/>
  </w:font>
  <w:font w:name="方正小标宋_GBK">
    <w:altName w:val="Arial Unicode MS"/>
    <w:panose1 w:val="03000509000000000000"/>
    <w:charset w:val="86"/>
    <w:family w:val="auto"/>
    <w:pitch w:val="variable"/>
    <w:sig w:usb0="00000000" w:usb1="00000000" w:usb2="00000000" w:usb3="00000000" w:csb0="00040000" w:csb1="00000000"/>
  </w:font>
  <w:font w:name="Times New Roman">
    <w:panose1 w:val="02020603050405020304"/>
    <w:charset w:val="86"/>
    <w:family w:val="auto"/>
    <w:pitch w:val="variable"/>
    <w:sig w:usb0="E0002EFF" w:usb1="C000785B"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57445951"/>
    </w:sdtPr>
    <w:sdtContent>
      <w:p>
        <w:pPr>
          <w:pStyle w:val="20"/>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1B5BE29"/>
    <w:multiLevelType w:val="singleLevel"/>
    <w:tmpl w:val="D1B5BE29"/>
    <w:lvl w:ilvl="0">
      <w:start w:val="1"/>
      <w:numFmt w:val="decimal"/>
      <w:lvlRestart w:val="0"/>
      <w:lvlText w:val="%1."/>
      <w:lvlJc w:val="left"/>
      <w:pPr>
        <w:ind w:left="0" w:hanging="0"/>
      </w:pPr>
    </w:lvl>
  </w:abstractNum>
  <w:abstractNum w:abstractNumId="1">
    <w:nsid w:val="A0AB8231"/>
    <w:multiLevelType w:val="singleLevel"/>
    <w:tmpl w:val="A0AB8231"/>
    <w:lvl w:ilvl="0">
      <w:start w:val="1"/>
      <w:numFmt w:val="decimal"/>
      <w:lvlRestart w:val="0"/>
      <w:lvlText w:val="%1."/>
      <w:lvlJc w:val="left"/>
      <w:pPr>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doNotDisplayPageBoundarie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YjM3MTc0ZGY5ZTI0NTE0NzEzMjJkNWVhODczMjcyYj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a heading"/>
    <w:basedOn w:val="0"/>
    <w:next w:val="0"/>
    <w:pPr>
      <w:spacing w:before="120"/>
    </w:pPr>
    <w:rPr>
      <w:rFonts w:ascii="Cambria" w:hAnsi="Cambria"/>
      <w:sz w:val="24"/>
    </w:rPr>
  </w:style>
  <w:style w:type="paragraph" w:styleId="17">
    <w:name w:val="Body Text Indent"/>
    <w:basedOn w:val="0"/>
    <w:pPr>
      <w:spacing w:after="120"/>
      <w:ind w:leftChars="200" w:left="200"/>
    </w:pPr>
    <w:rPr>
      <w:rFonts w:ascii="仿宋_GB2312" w:hAnsi="仿宋_GB2312"/>
      <w:szCs w:val="32"/>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autoSpaceDE/>
      <w:autoSpaceDN/>
      <w:ind w:leftChars="200" w:left="400" w:hangingChars="200" w:hanging="200"/>
      <w:jc w:val="both"/>
    </w:pPr>
    <w:rPr>
      <w:rFonts w:ascii="Calibri" w:eastAsia="宋体" w:cs="Times New Roman" w:hAnsi="Calibri"/>
      <w:kern w:val="2"/>
      <w:sz w:val="21"/>
      <w:lang w:eastAsia="zh-CN"/>
    </w:rPr>
  </w:style>
  <w:style w:type="paragraph" w:styleId="24">
    <w:name w:val="toc 2"/>
    <w:basedOn w:val="0"/>
    <w:next w:val="0"/>
    <w:pPr>
      <w:tabs>
        <w:tab w:val="right" w:leader="dot" w:pos="8296"/>
      </w:tabs>
      <w:ind w:leftChars="200" w:left="200"/>
    </w:pPr>
  </w:style>
  <w:style w:type="paragraph" w:styleId="25">
    <w:name w:val="Normal (Web)"/>
    <w:basedOn w:val="0"/>
    <w:pPr>
      <w:widowControl/>
      <w:spacing w:before="100" w:beforeAutospacing="1" w:after="100" w:afterAutospacing="1"/>
      <w:jc w:val="left"/>
    </w:pPr>
    <w:rPr>
      <w:rFonts w:ascii="宋体" w:cs="宋体"/>
      <w:kern w:val="0"/>
      <w:sz w:val="24"/>
    </w:rPr>
  </w:style>
  <w:style w:type="paragraph" w:styleId="26">
    <w:name w:val="Body Text First Indent 2"/>
    <w:basedOn w:val="17"/>
    <w:pPr>
      <w:ind w:firstLineChars="200" w:firstLine="200"/>
    </w:pPr>
  </w:style>
  <w:style w:type="character" w:styleId="27">
    <w:name w:val="Strong"/>
    <w:basedOn w:val="10"/>
    <w:rPr>
      <w:b/>
    </w:rPr>
  </w:style>
  <w:style w:type="character" w:styleId="28">
    <w:name w:val="Hyperlink"/>
    <w:basedOn w:val="10"/>
    <w:rPr>
      <w:color w:val="0000FF"/>
      <w:u w:val="single"/>
    </w:rPr>
  </w:style>
  <w:style w:type="paragraph" w:customStyle="1" w:styleId="29">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30">
    <w:name w:val="Header Char"/>
    <w:basedOn w:val="10"/>
    <w:rPr>
      <w:rFonts w:ascii="Times New Roman" w:hAnsi="Times New Roman"/>
      <w:sz w:val="18"/>
      <w:szCs w:val="18"/>
    </w:rPr>
  </w:style>
  <w:style w:type="character" w:customStyle="1" w:styleId="31">
    <w:name w:val="Footer Char"/>
    <w:basedOn w:val="10"/>
    <w:rPr>
      <w:rFonts w:ascii="Times New Roman" w:hAnsi="Times New Roman"/>
      <w:sz w:val="18"/>
      <w:szCs w:val="18"/>
    </w:rPr>
  </w:style>
  <w:style w:type="character" w:customStyle="1" w:styleId="32">
    <w:name w:val="Body Text Char"/>
    <w:basedOn w:val="10"/>
    <w:rPr>
      <w:rFonts w:ascii="Times New Roman" w:hAnsi="Times New Roman"/>
      <w:szCs w:val="24"/>
    </w:rPr>
  </w:style>
  <w:style w:type="paragraph" w:customStyle="1" w:styleId="33">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4">
    <w:name w:val="List Paragraph"/>
    <w:basedOn w:val="0"/>
    <w:pPr>
      <w:ind w:firstLineChars="200" w:firstLine="200"/>
    </w:pPr>
  </w:style>
  <w:style w:type="paragraph" w:customStyle="1" w:styleId="35">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6">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7">
    <w:name w:val="四号正文"/>
    <w:basedOn w:val="0"/>
    <w:pPr>
      <w:spacing w:line="360" w:lineRule="auto"/>
    </w:pPr>
    <w:rPr>
      <w:rFonts w:ascii="??" w:eastAsia="宋体" w:hAnsi="??"/>
      <w:color w:val="000000"/>
      <w:kern w:val="0"/>
      <w:sz w:val="28"/>
      <w:szCs w:val="21"/>
      <w:lang w:val="zh-CN" w:eastAsia="zh-CN"/>
    </w:rPr>
  </w:style>
  <w:style w:type="paragraph" w:customStyle="1" w:styleId="38">
    <w:name w:val="正文文本1"/>
    <w:basedOn w:val="0"/>
    <w:pPr>
      <w:spacing w:before="93"/>
    </w:pPr>
    <w:rPr>
      <w:rFonts w:ascii="仿宋_GB2312" w:eastAsia="仿宋_GB2312" w:cs="仿宋_GB2312"/>
      <w:kern w:val="0"/>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chart" Target="charts/chart8.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财政拨款收入总计情况变化表</a:t>
            </a:r>
          </a:p>
        </c:rich>
      </c:tx>
      <c:layout>
        <c:manualLayout>
          <c:xMode val="edge"/>
          <c:yMode val="edge"/>
          <c:x val="0.30833334"/>
          <c:y val="0.010256411"/>
        </c:manualLayout>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2022年度收入总计5175.1万元</c:v>
              </c:pt>
              <c:pt idx="1">
                <c:v>2021年度收入总计8470.19万元</c:v>
              </c:pt>
            </c:strLit>
          </c:cat>
          <c:val>
            <c:numRef>
              <c:f/>
              <c:numCache>
                <c:formatCode>General</c:formatCode>
                <c:ptCount val="2"/>
                <c:pt idx="0">
                  <c:v>5175.1</c:v>
                </c:pt>
                <c:pt idx="1">
                  <c:v>8470.19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支出总计情况变化表</a:t>
            </a:r>
          </a:p>
        </c:rich>
      </c:tx>
      <c:layout>
        <c:manualLayout>
          <c:xMode val="edge"/>
          <c:yMode val="edge"/>
          <c:x val="0.33986112"/>
          <c:y val="0.03828306"/>
        </c:manualLayout>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2022年度支出总计5175.10万元</c:v>
              </c:pt>
              <c:pt idx="1">
                <c:v>2021 年度支出总计8470.19万元</c:v>
              </c:pt>
            </c:strLit>
          </c:cat>
          <c:val>
            <c:numRef>
              <c:f/>
              <c:numCache>
                <c:formatCode>General</c:formatCode>
                <c:ptCount val="2"/>
                <c:pt idx="0">
                  <c:v>5175.1</c:v>
                </c:pt>
                <c:pt idx="1">
                  <c:v>8470.19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2022年本年收入合计4753.63万元</a:t>
            </a:r>
          </a:p>
        </c:rich>
      </c:tx>
      <c:layout>
        <c:manualLayout>
          <c:xMode val="edge"/>
          <c:yMode val="edge"/>
          <c:x val="0.22965278"/>
          <c:y val="0.097222224"/>
        </c:manualLayout>
      </c:layout>
      <c:overlay val="0"/>
      <c:spPr>
        <a:noFill/>
        <a:ln>
          <a:noFill/>
        </a:ln>
      </c:spPr>
    </c:title>
    <c:autoTitleDeleted val="0"/>
    <c:plotArea>
      <c:layout/>
      <c:pieChart>
        <c:varyColors val="1"/>
        <c:ser>
          <c:idx val="0"/>
          <c:order val="0"/>
          <c:tx>
            <c:v>2022年本年收入合计4753.63万元</c:v>
          </c:tx>
          <c:spPr>
            <a:ln>
              <a:noFill/>
            </a:ln>
          </c:spPr>
          <c:dPt>
            <c:idx val="0"/>
            <c:bubble3D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val>
            <c:numRef>
              <c:f/>
              <c:numCache>
                <c:formatCode>General</c:formatCode>
                <c:ptCount val="1"/>
                <c:pt idx="0">
                  <c:v>4753.63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2"/>
              <c:pt idx="0">
                <c:v>基本支出899.46万元</c:v>
              </c:pt>
              <c:pt idx="1">
                <c:v>项目支出4275.64万元</c:v>
              </c:pt>
            </c:strLit>
          </c:cat>
          <c:val>
            <c:numRef>
              <c:f/>
              <c:numCache>
                <c:formatCode>General</c:formatCode>
                <c:ptCount val="2"/>
                <c:pt idx="0">
                  <c:v>899.46</c:v>
                </c:pt>
                <c:pt idx="1">
                  <c:v>4275.64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财政拨款收入总计情况变化表</a:t>
            </a:r>
          </a:p>
        </c:rich>
      </c:tx>
      <c:layout>
        <c:manualLayout>
          <c:xMode val="edge"/>
          <c:yMode val="edge"/>
          <c:x val="0.26833335"/>
          <c:y val="0.0069444445"/>
        </c:manualLayout>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2022年度收入总计4753.63万元</c:v>
              </c:pt>
              <c:pt idx="1">
                <c:v>2021年度收入总计7823.35万元</c:v>
              </c:pt>
            </c:strLit>
          </c:cat>
          <c:val>
            <c:numRef>
              <c:f/>
              <c:numCache>
                <c:formatCode>General</c:formatCode>
                <c:ptCount val="2"/>
                <c:pt idx="0">
                  <c:v>4753.63</c:v>
                </c:pt>
                <c:pt idx="1">
                  <c:v>7823.35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财政拨款支出总计情况变化表</a:t>
            </a:r>
          </a:p>
        </c:rich>
      </c:tx>
      <c:layout>
        <c:manualLayout>
          <c:xMode val="edge"/>
          <c:yMode val="edge"/>
          <c:x val="0.33986112"/>
          <c:y val="0.03828306"/>
        </c:manualLayout>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2022年度支出总计5175.10万元</c:v>
              </c:pt>
              <c:pt idx="1">
                <c:v>2021 年度支出总计8470.19万元</c:v>
              </c:pt>
            </c:strLit>
          </c:cat>
          <c:val>
            <c:numRef>
              <c:f/>
              <c:numCache>
                <c:formatCode>General</c:formatCode>
                <c:ptCount val="2"/>
                <c:pt idx="0">
                  <c:v>5175.1</c:v>
                </c:pt>
                <c:pt idx="1">
                  <c:v>8470.19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一般公共预算财政拨款支出总计情况变化表</a:t>
            </a:r>
          </a:p>
        </c:rich>
      </c:tx>
      <c:layout>
        <c:manualLayout>
          <c:xMode val="edge"/>
          <c:yMode val="edge"/>
          <c:x val="0.15242456"/>
          <c:y val="0.04551198"/>
        </c:manualLayout>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2022年度支出总计5175.10万元</c:v>
              </c:pt>
              <c:pt idx="1">
                <c:v>2021 年度支出总计8470.19万元</c:v>
              </c:pt>
            </c:strLit>
          </c:cat>
          <c:val>
            <c:numRef>
              <c:f/>
              <c:numCache>
                <c:formatCode>General</c:formatCode>
                <c:ptCount val="2"/>
                <c:pt idx="0">
                  <c:v>5175.1</c:v>
                </c:pt>
                <c:pt idx="1">
                  <c:v>8470.19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一般公共预算财政拨款支出决算结构图</a:t>
            </a:r>
          </a:p>
        </c:rich>
      </c:tx>
      <c:layout/>
      <c:overlay val="0"/>
      <c:spPr>
        <a:noFill/>
        <a:ln>
          <a:noFill/>
        </a:ln>
      </c:spPr>
    </c:title>
    <c:autoTitleDeleted val="1"/>
    <c:plotArea>
      <c:layout/>
      <c:pieChart>
        <c:varyColors val="1"/>
        <c:ser>
          <c:idx val="0"/>
          <c:order val="0"/>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6"/>
              <c:pt idx="0">
                <c:v>农林水支出4581.5万元</c:v>
              </c:pt>
              <c:pt idx="1">
                <c:v>科学技术支出338.54万元</c:v>
              </c:pt>
              <c:pt idx="2">
                <c:v>文化旅游体育与传媒支出1.05万元</c:v>
              </c:pt>
              <c:pt idx="3">
                <c:v>社会保障和就业支出137.15万元</c:v>
              </c:pt>
              <c:pt idx="4">
                <c:v>卫生健康支出68.14万元</c:v>
              </c:pt>
              <c:pt idx="5">
                <c:v>住房保障支出48.71万元</c:v>
              </c:pt>
            </c:strLit>
          </c:cat>
          <c:val>
            <c:numRef>
              <c:f/>
              <c:numCache>
                <c:formatCode>General</c:formatCode>
                <c:ptCount val="6"/>
                <c:pt idx="0">
                  <c:v>4581.5</c:v>
                </c:pt>
                <c:pt idx="1">
                  <c:v>338.54</c:v>
                </c:pt>
                <c:pt idx="2">
                  <c:v>1.05</c:v>
                </c:pt>
                <c:pt idx="3">
                  <c:v>137.15</c:v>
                </c:pt>
                <c:pt idx="4">
                  <c:v>68.14</c:v>
                </c:pt>
                <c:pt idx="5">
                  <c:v>48.71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70</TotalTime>
  <Application>Yozo_Office27021597764231179</Application>
  <Pages>62</Pages>
  <Words>26045</Words>
  <Characters>29845</Characters>
  <Lines>1870</Lines>
  <Paragraphs>893</Paragraphs>
  <CharactersWithSpaces>29886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2023-07-31T02:35:00Z</cp:lastPrinted>
  <dcterms:created xsi:type="dcterms:W3CDTF">2020-08-05T01:49:00Z</dcterms:created>
  <dcterms:modified xsi:type="dcterms:W3CDTF">2026-07-29T03:23:00Z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2052-11.1.0.9999</vt:lpwstr>
  </property>
  <property fmtid="{D5CDD505-2E9C-101B-9397-08002B2CF9AE}" pid="3" name="ICV">
    <vt:lpwstr>22CB31B2F8B84CB38838D35C27F02699_12</vt:lpwstr>
  </property>
  <property fmtid="{D5CDD505-2E9C-101B-9397-08002B2CF9AE}" pid="4" name="KSOTemplateDocerSaveRecord">
    <vt:lpwstr>eyJoZGlkIjoiMzM5NDE4NjFjNWJhNzQ1MjZmYTg5ZjFkNDczODdiNmEiLCJ1c2VySWQiOiI0MTkzODAyNjQifQ==</vt:lpwstr>
  </property>
</Properties>
</file>