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425"/>
      <w:bookmarkStart w:id="3" w:name="_Toc15378441"/>
      <w:bookmarkStart w:id="4" w:name="_Toc15377193"/>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96598"/>
      <w:bookmarkStart w:id="8" w:name="_Toc15377426"/>
      <w:bookmarkStart w:id="9" w:name="_Toc15377194"/>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壤塘县民族宗教局</w:t>
      </w:r>
      <w:r>
        <w:rPr>
          <w:rFonts w:hint="eastAsia" w:ascii="方正小标宋简体" w:eastAsia="方正小标宋简体"/>
          <w:sz w:val="72"/>
          <w:szCs w:val="72"/>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22</w:t>
      </w:r>
      <w:r>
        <w:rPr>
          <w:rFonts w:hint="eastAsia" w:hAnsiTheme="minorHAnsi"/>
          <w:b w:val="0"/>
          <w:bCs w:val="0"/>
          <w:sz w:val="24"/>
          <w:szCs w:val="24"/>
        </w:rPr>
        <w:t>日</w:t>
      </w:r>
    </w:p>
    <w:p>
      <w:pPr>
        <w:pStyle w:val="14"/>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5</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5</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5</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5</w:t>
      </w:r>
      <w:r>
        <w:fldChar w:fldCharType="end"/>
      </w:r>
    </w:p>
    <w:p>
      <w:pPr>
        <w:pStyle w:val="17"/>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5</w:t>
      </w:r>
      <w:r>
        <w:fldChar w:fldCharType="end"/>
      </w:r>
    </w:p>
    <w:p>
      <w:pPr>
        <w:pStyle w:val="9"/>
        <w:tabs>
          <w:tab w:val="left" w:pos="840"/>
          <w:tab w:val="right" w:leader="dot" w:pos="8296"/>
        </w:tabs>
        <w:rPr>
          <w:rFonts w:hint="eastAsia" w:hAnsiTheme="minorHAnsi" w:eastAsiaTheme="minorHAnsi" w:cstheme="minorBidi"/>
          <w:i w:val="0"/>
          <w:iCs w:val="0"/>
          <w:sz w:val="21"/>
          <w:szCs w:val="22"/>
          <w:lang w:eastAsia="zh-CN"/>
        </w:rPr>
      </w:pPr>
      <w:r>
        <w:rPr>
          <w:rFonts w:ascii="仿宋" w:hAnsi="仿宋" w:eastAsia="仿宋"/>
          <w:color w:val="000000"/>
        </w:rPr>
        <w:t>1.</w:t>
      </w:r>
      <w:r>
        <w:rPr>
          <w:rFonts w:hAnsiTheme="minorHAnsi" w:eastAsiaTheme="minorEastAsia" w:cstheme="minorBidi"/>
          <w:i w:val="0"/>
          <w:iCs w:val="0"/>
          <w:sz w:val="21"/>
          <w:szCs w:val="22"/>
        </w:rPr>
        <w:tab/>
      </w:r>
      <w:r>
        <w:rPr>
          <w:rFonts w:hint="eastAsia" w:ascii="仿宋" w:hAnsi="仿宋" w:eastAsia="仿宋"/>
          <w:color w:val="000000"/>
          <w:lang w:eastAsia="zh-CN"/>
        </w:rPr>
        <w:t>本部门机构</w:t>
      </w:r>
      <w:r>
        <w:tab/>
      </w:r>
      <w:r>
        <w:rPr>
          <w:rFonts w:hint="eastAsia"/>
          <w:lang w:val="en-US" w:eastAsia="zh-CN"/>
        </w:rPr>
        <w:t>5</w:t>
      </w:r>
    </w:p>
    <w:p>
      <w:pPr>
        <w:pStyle w:val="9"/>
        <w:tabs>
          <w:tab w:val="left" w:pos="840"/>
          <w:tab w:val="right" w:leader="dot" w:pos="8296"/>
        </w:tabs>
        <w:rPr>
          <w:rFonts w:hint="eastAsia" w:hAnsiTheme="minorHAnsi" w:eastAsiaTheme="minorHAnsi" w:cstheme="minorBidi"/>
          <w:i w:val="0"/>
          <w:iCs w:val="0"/>
          <w:sz w:val="21"/>
          <w:szCs w:val="22"/>
          <w:lang w:val="en-US" w:eastAsia="zh-CN"/>
        </w:rPr>
      </w:pPr>
      <w:r>
        <w:rPr>
          <w:rFonts w:ascii="仿宋" w:hAnsi="仿宋" w:eastAsia="仿宋"/>
          <w:color w:val="000000"/>
        </w:rPr>
        <w:t>2.</w:t>
      </w:r>
      <w:r>
        <w:rPr>
          <w:rFonts w:hAnsiTheme="minorHAnsi" w:eastAsiaTheme="minorEastAsia" w:cstheme="minorBidi"/>
          <w:i w:val="0"/>
          <w:iCs w:val="0"/>
          <w:sz w:val="21"/>
          <w:szCs w:val="22"/>
        </w:rPr>
        <w:tab/>
      </w:r>
      <w:r>
        <w:rPr>
          <w:rFonts w:hint="eastAsia" w:ascii="仿宋" w:hAnsi="仿宋" w:eastAsia="仿宋"/>
          <w:color w:val="000000"/>
          <w:lang w:eastAsia="zh-CN"/>
        </w:rPr>
        <w:t>人员情况</w:t>
      </w:r>
      <w:r>
        <w:tab/>
      </w:r>
      <w:r>
        <w:rPr>
          <w:rFonts w:hint="eastAsia"/>
          <w:lang w:val="en-US" w:eastAsia="zh-CN"/>
        </w:rPr>
        <w:t>5</w:t>
      </w:r>
    </w:p>
    <w:p>
      <w:pPr>
        <w:pStyle w:val="14"/>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6</w:t>
      </w:r>
      <w:r>
        <w:fldChar w:fldCharType="end"/>
      </w:r>
    </w:p>
    <w:p>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6</w:t>
      </w:r>
      <w:r>
        <w:fldChar w:fldCharType="end"/>
      </w:r>
    </w:p>
    <w:p>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6</w:t>
      </w:r>
      <w:r>
        <w:fldChar w:fldCharType="end"/>
      </w:r>
    </w:p>
    <w:p>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7</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7</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8</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8</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8</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10</w:t>
      </w:r>
      <w:r>
        <w:fldChar w:fldCharType="end"/>
      </w:r>
    </w:p>
    <w:p>
      <w:pPr>
        <w:pStyle w:val="17"/>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11</w:t>
      </w:r>
      <w:r>
        <w:fldChar w:fldCharType="end"/>
      </w:r>
    </w:p>
    <w:p>
      <w:pPr>
        <w:pStyle w:val="17"/>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11</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11</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12</w:t>
      </w:r>
      <w:r>
        <w:fldChar w:fldCharType="end"/>
      </w:r>
    </w:p>
    <w:p>
      <w:pPr>
        <w:pStyle w:val="17"/>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13</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13</w:t>
      </w:r>
      <w:r>
        <w:fldChar w:fldCharType="end"/>
      </w:r>
    </w:p>
    <w:p>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13</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13</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13</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13</w:t>
      </w:r>
      <w:r>
        <w:fldChar w:fldCharType="end"/>
      </w:r>
    </w:p>
    <w:p>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13</w:t>
      </w:r>
      <w:r>
        <w:fldChar w:fldCharType="end"/>
      </w:r>
    </w:p>
    <w:p>
      <w:pPr>
        <w:pStyle w:val="14"/>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19</w:t>
      </w:r>
      <w:r>
        <w:fldChar w:fldCharType="end"/>
      </w:r>
    </w:p>
    <w:p>
      <w:pPr>
        <w:pStyle w:val="14"/>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21</w:t>
      </w:r>
      <w:r>
        <w:fldChar w:fldCharType="end"/>
      </w:r>
    </w:p>
    <w:p>
      <w:pPr>
        <w:pStyle w:val="14"/>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21</w:t>
      </w:r>
      <w:r>
        <w:fldChar w:fldCharType="end"/>
      </w:r>
    </w:p>
    <w:p>
      <w:pPr>
        <w:pStyle w:val="14"/>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部门2020年部门整体支出绩效评价报告</w:t>
      </w:r>
      <w:r>
        <w:tab/>
      </w:r>
      <w:r>
        <w:fldChar w:fldCharType="begin"/>
      </w:r>
      <w:r>
        <w:instrText xml:space="preserve"> PAGEREF _Toc79163882 \h </w:instrText>
      </w:r>
      <w:r>
        <w:fldChar w:fldCharType="separate"/>
      </w:r>
      <w:r>
        <w:t>21</w:t>
      </w:r>
      <w:r>
        <w:fldChar w:fldCharType="end"/>
      </w:r>
    </w:p>
    <w:p>
      <w:pPr>
        <w:pStyle w:val="14"/>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24</w:t>
      </w:r>
      <w:r>
        <w:fldChar w:fldCharType="end"/>
      </w:r>
    </w:p>
    <w:p>
      <w:pPr>
        <w:pStyle w:val="14"/>
        <w:tabs>
          <w:tab w:val="right" w:leader="dot" w:pos="8296"/>
        </w:tabs>
      </w:pPr>
      <w:r>
        <w:rPr>
          <w:rFonts w:hint="eastAsia" w:ascii="方正小标宋简体" w:hAnsi="黑体" w:eastAsia="方正小标宋简体" w:cs="黑体"/>
          <w:lang w:eastAsia="zh-CN"/>
        </w:rPr>
        <w:t>壤塘县</w:t>
      </w:r>
      <w:r>
        <w:rPr>
          <w:rFonts w:hint="eastAsia" w:ascii="方正小标宋简体" w:hAnsi="黑体" w:eastAsia="方正小标宋简体" w:cs="黑体"/>
          <w:lang w:val="en-US" w:eastAsia="zh-CN"/>
        </w:rPr>
        <w:t>2020年太阳能路灯建设项目</w:t>
      </w:r>
      <w:r>
        <w:rPr>
          <w:rFonts w:ascii="方正小标宋简体" w:hAnsi="黑体" w:eastAsia="方正小标宋简体" w:cs="黑体"/>
        </w:rPr>
        <w:t>绩效评价报告</w:t>
      </w:r>
      <w:r>
        <w:tab/>
      </w:r>
      <w:r>
        <w:fldChar w:fldCharType="begin"/>
      </w:r>
      <w:r>
        <w:instrText xml:space="preserve"> PAGEREF _Toc79163884 \h </w:instrText>
      </w:r>
      <w:r>
        <w:fldChar w:fldCharType="separate"/>
      </w:r>
      <w:r>
        <w:t>24</w:t>
      </w:r>
      <w:r>
        <w:fldChar w:fldCharType="end"/>
      </w:r>
    </w:p>
    <w:p>
      <w:pPr>
        <w:pStyle w:val="14"/>
        <w:tabs>
          <w:tab w:val="right" w:leader="dot" w:pos="8296"/>
        </w:tabs>
        <w:rPr>
          <w:rFonts w:hint="default" w:eastAsiaTheme="minorHAnsi"/>
          <w:lang w:val="en-US" w:eastAsia="zh-CN"/>
        </w:rPr>
      </w:pPr>
      <w:r>
        <w:rPr>
          <w:rFonts w:hint="eastAsia" w:ascii="方正小标宋简体" w:hAnsi="黑体" w:eastAsia="方正小标宋简体" w:cs="黑体"/>
          <w:lang w:eastAsia="zh-CN"/>
        </w:rPr>
        <w:t>壤塘县</w:t>
      </w:r>
      <w:r>
        <w:rPr>
          <w:rFonts w:hint="eastAsia" w:ascii="方正小标宋简体" w:hAnsi="黑体" w:eastAsia="方正小标宋简体" w:cs="黑体"/>
          <w:lang w:val="en-US" w:eastAsia="zh-CN"/>
        </w:rPr>
        <w:t>2020年上壤塘乡贡巴拉卡陶艺传习所建设项目</w:t>
      </w:r>
      <w:r>
        <w:rPr>
          <w:rFonts w:ascii="方正小标宋简体" w:hAnsi="黑体" w:eastAsia="方正小标宋简体" w:cs="黑体"/>
        </w:rPr>
        <w:t>绩效评价报告</w:t>
      </w:r>
      <w:r>
        <w:tab/>
      </w:r>
      <w:r>
        <w:rPr>
          <w:rFonts w:hint="eastAsia"/>
          <w:lang w:val="en-US" w:eastAsia="zh-CN"/>
        </w:rPr>
        <w:t>27</w:t>
      </w:r>
      <w:bookmarkStart w:id="124" w:name="_GoBack"/>
      <w:bookmarkEnd w:id="124"/>
    </w:p>
    <w:p>
      <w:pPr>
        <w:pStyle w:val="14"/>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30</w:t>
      </w:r>
    </w:p>
    <w:p>
      <w:pPr>
        <w:pStyle w:val="17"/>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p>
    <w:p>
      <w:pPr>
        <w:pStyle w:val="17"/>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
          <w:sz w:val="24"/>
        </w:rPr>
      </w:pPr>
      <w:bookmarkStart w:id="12" w:name="_Toc15396599"/>
      <w:bookmarkStart w:id="13" w:name="_Toc15377196"/>
      <w:r>
        <w:rPr>
          <w:rFonts w:ascii="仿宋" w:hAnsi="仿宋" w:eastAsia="仿宋"/>
          <w:b/>
          <w:sz w:val="24"/>
        </w:rPr>
        <w:br w:type="page"/>
      </w:r>
    </w:p>
    <w:p>
      <w:pPr>
        <w:bidi w:val="0"/>
        <w:jc w:val="left"/>
        <w:rPr>
          <w:rFonts w:ascii="Times New Roman" w:hAnsi="Times New Roman" w:eastAsia="宋体" w:cs="Times New Roman"/>
          <w:kern w:val="2"/>
          <w:sz w:val="21"/>
          <w:szCs w:val="24"/>
          <w:lang w:val="en-US" w:eastAsia="zh-CN" w:bidi="ar-SA"/>
        </w:rPr>
      </w:pPr>
    </w:p>
    <w:p>
      <w:pPr>
        <w:pStyle w:val="3"/>
        <w:jc w:val="center"/>
        <w:rPr>
          <w:rStyle w:val="23"/>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bidi w:val="0"/>
      </w:pPr>
      <w:bookmarkStart w:id="16" w:name="_Toc79163602"/>
      <w:bookmarkStart w:id="17" w:name="_Toc79163852"/>
      <w:bookmarkStart w:id="18" w:name="_Toc15396600"/>
      <w:bookmarkStart w:id="19" w:name="_Toc15377197"/>
      <w:r>
        <w:rPr>
          <w:rFonts w:hint="eastAsia"/>
        </w:rPr>
        <w:t>一、基本职能及主要工作</w:t>
      </w:r>
      <w:bookmarkEnd w:id="16"/>
      <w:bookmarkEnd w:id="17"/>
      <w:bookmarkEnd w:id="18"/>
      <w:bookmarkEnd w:id="19"/>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widowControl/>
        <w:spacing w:line="600" w:lineRule="exact"/>
        <w:ind w:left="638" w:leftChars="304" w:firstLine="160" w:firstLineChars="50"/>
        <w:jc w:val="left"/>
        <w:rPr>
          <w:rFonts w:ascii="仿宋_GB2312" w:hAnsi="宋体" w:eastAsia="仿宋_GB2312" w:cs="宋体"/>
          <w:kern w:val="0"/>
          <w:sz w:val="32"/>
          <w:szCs w:val="32"/>
        </w:rPr>
      </w:pPr>
      <w:bookmarkStart w:id="24" w:name="_Toc15378446"/>
      <w:bookmarkStart w:id="25" w:name="_Toc79163604"/>
      <w:bookmarkStart w:id="26" w:name="_Toc15377199"/>
      <w:bookmarkStart w:id="27" w:name="_Toc79163854"/>
      <w:r>
        <w:rPr>
          <w:rFonts w:hint="eastAsia" w:ascii="仿宋_GB2312" w:hAnsi="宋体" w:eastAsia="仿宋_GB2312" w:cs="宋体"/>
          <w:kern w:val="0"/>
          <w:sz w:val="32"/>
          <w:szCs w:val="32"/>
        </w:rPr>
        <w:t>根据 壤府办</w:t>
      </w:r>
      <w:r>
        <w:rPr>
          <w:rFonts w:hint="eastAsia" w:ascii="仿宋_GB2312" w:hAnsi="宋体" w:cs="宋体"/>
          <w:kern w:val="0"/>
          <w:sz w:val="32"/>
          <w:szCs w:val="32"/>
        </w:rPr>
        <w:t>﹝</w:t>
      </w:r>
      <w:r>
        <w:rPr>
          <w:rFonts w:hint="eastAsia" w:ascii="仿宋_GB2312" w:hAnsi="宋体" w:eastAsia="仿宋_GB2312" w:cs="宋体"/>
          <w:kern w:val="0"/>
          <w:sz w:val="32"/>
          <w:szCs w:val="32"/>
        </w:rPr>
        <w:t>2015</w:t>
      </w:r>
      <w:r>
        <w:rPr>
          <w:rFonts w:hint="eastAsia" w:ascii="仿宋_GB2312" w:hAnsi="宋体" w:cs="宋体"/>
          <w:kern w:val="0"/>
          <w:sz w:val="32"/>
          <w:szCs w:val="32"/>
        </w:rPr>
        <w:t>﹞</w:t>
      </w:r>
      <w:r>
        <w:rPr>
          <w:rFonts w:hint="eastAsia" w:ascii="仿宋_GB2312" w:hAnsi="宋体" w:eastAsia="仿宋_GB2312" w:cs="宋体"/>
          <w:kern w:val="0"/>
          <w:sz w:val="32"/>
          <w:szCs w:val="32"/>
        </w:rPr>
        <w:t xml:space="preserve"> 24号 文件规定，主要职责是：1.加强宗教团体依法依规开展活动。</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2.加强宗教事务管理。</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3.依法履行宗教事务管理职责。</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4.规范少数民族语言文字工作。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spacing w:line="560" w:lineRule="exact"/>
        <w:ind w:firstLine="640" w:firstLineChars="200"/>
        <w:rPr>
          <w:rFonts w:hint="eastAsia" w:ascii="仿宋" w:hAnsi="仿宋" w:eastAsia="仿宋"/>
          <w:bCs/>
          <w:color w:val="000000"/>
          <w:sz w:val="32"/>
          <w:szCs w:val="32"/>
        </w:rPr>
      </w:pPr>
      <w:r>
        <w:rPr>
          <w:rFonts w:hint="eastAsia" w:ascii="仿宋_GB2312" w:eastAsia="仿宋_GB2312"/>
          <w:bCs/>
          <w:color w:val="000000"/>
          <w:sz w:val="32"/>
          <w:szCs w:val="32"/>
        </w:rPr>
        <w:t>主要做好宗教工作，加强民族团结及文化交流，</w:t>
      </w:r>
      <w:r>
        <w:rPr>
          <w:rFonts w:hint="eastAsia" w:ascii="仿宋_GB2312" w:eastAsia="仿宋_GB2312"/>
          <w:sz w:val="32"/>
          <w:szCs w:val="32"/>
        </w:rPr>
        <w:t>全面落实寺庙管理责任，加大法制宣传力度，稳步推进法律进寺活动，依法抓好藏传佛教寺庙事务管理，加强民生工程任务，加大项目经费的拨付。</w:t>
      </w:r>
    </w:p>
    <w:p>
      <w:pPr>
        <w:pStyle w:val="4"/>
        <w:numPr>
          <w:ilvl w:val="0"/>
          <w:numId w:val="1"/>
        </w:numPr>
        <w:bidi w:val="0"/>
      </w:pPr>
      <w:bookmarkStart w:id="28" w:name="_Toc15396601"/>
      <w:bookmarkStart w:id="29" w:name="_Toc79163855"/>
      <w:bookmarkStart w:id="30" w:name="_Toc79163605"/>
      <w:bookmarkStart w:id="31" w:name="_Toc15377200"/>
      <w:r>
        <w:rPr>
          <w:rFonts w:hint="eastAsia"/>
        </w:rPr>
        <w:t>机构设置</w:t>
      </w:r>
      <w:bookmarkEnd w:id="28"/>
      <w:bookmarkEnd w:id="29"/>
      <w:bookmarkEnd w:id="30"/>
      <w:bookmarkEnd w:id="31"/>
      <w:r>
        <w:rPr>
          <w:rFonts w:hint="eastAsia"/>
          <w:lang w:val="en-US" w:eastAsia="zh-CN"/>
        </w:rPr>
        <w:t xml:space="preserve">  </w:t>
      </w:r>
    </w:p>
    <w:p>
      <w:pPr>
        <w:pStyle w:val="4"/>
        <w:numPr>
          <w:ilvl w:val="0"/>
          <w:numId w:val="0"/>
        </w:numPr>
        <w:ind w:firstLine="321" w:firstLineChars="100"/>
        <w:rPr>
          <w:rFonts w:hint="default" w:eastAsia="宋体"/>
          <w:lang w:val="en-US" w:eastAsia="zh-CN"/>
        </w:rPr>
      </w:pPr>
      <w:r>
        <w:rPr>
          <w:rFonts w:hint="eastAsia" w:ascii="仿宋_GB2312" w:hAnsi="宋体" w:eastAsia="仿宋_GB2312" w:cs="宋体"/>
          <w:b/>
          <w:kern w:val="0"/>
          <w:sz w:val="32"/>
          <w:szCs w:val="32"/>
        </w:rPr>
        <w:t>1.本部门机构</w:t>
      </w:r>
    </w:p>
    <w:p>
      <w:pPr>
        <w:widowControl/>
        <w:spacing w:line="600" w:lineRule="exact"/>
        <w:ind w:firstLine="320" w:firstLineChars="1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本部门下属二级预算单位0个，其中内设机构0个。</w:t>
      </w:r>
    </w:p>
    <w:p>
      <w:pPr>
        <w:widowControl/>
        <w:spacing w:line="600" w:lineRule="exact"/>
        <w:ind w:firstLine="321" w:firstLineChars="100"/>
        <w:jc w:val="left"/>
        <w:outlineLvl w:val="0"/>
        <w:rPr>
          <w:rFonts w:ascii="仿宋_GB2312" w:hAnsi="宋体" w:eastAsia="仿宋_GB2312" w:cs="宋体"/>
          <w:b/>
          <w:kern w:val="0"/>
          <w:sz w:val="32"/>
          <w:szCs w:val="32"/>
        </w:rPr>
      </w:pPr>
      <w:r>
        <w:rPr>
          <w:rFonts w:hint="eastAsia" w:ascii="仿宋_GB2312" w:hAnsi="宋体" w:eastAsia="仿宋_GB2312" w:cs="宋体"/>
          <w:b/>
          <w:kern w:val="0"/>
          <w:sz w:val="32"/>
          <w:szCs w:val="32"/>
        </w:rPr>
        <w:t>2.人员情况</w:t>
      </w:r>
    </w:p>
    <w:p>
      <w:pPr>
        <w:widowControl/>
        <w:spacing w:line="600" w:lineRule="exact"/>
        <w:ind w:firstLine="320" w:firstLineChars="1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总编制</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名,其中:行政编制13名,事业编制</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名，行政工勤编制 1名。在职人员总数</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 xml:space="preserve">名，其中：行政人员 </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名，行政工勤编制人员 1 名；退休人员4 人；</w:t>
      </w:r>
    </w:p>
    <w:p>
      <w:pPr>
        <w:pStyle w:val="3"/>
        <w:ind w:right="440"/>
        <w:jc w:val="right"/>
        <w:rPr>
          <w:rStyle w:val="23"/>
          <w:rFonts w:ascii="黑体" w:hAnsi="黑体" w:eastAsia="黑体"/>
          <w:b w:val="0"/>
          <w:bCs w:val="0"/>
        </w:rPr>
      </w:pPr>
      <w:bookmarkStart w:id="32" w:name="_Toc79163609"/>
      <w:bookmarkStart w:id="33" w:name="_Toc79163859"/>
      <w:bookmarkStart w:id="34" w:name="_Toc15377204"/>
      <w:bookmarkStart w:id="35" w:name="_Toc15396602"/>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4"/>
        <w:numPr>
          <w:ilvl w:val="0"/>
          <w:numId w:val="2"/>
        </w:numPr>
        <w:bidi w:val="0"/>
      </w:pPr>
      <w:bookmarkStart w:id="36" w:name="_Toc15377205"/>
      <w:bookmarkStart w:id="37" w:name="_Toc79163610"/>
      <w:bookmarkStart w:id="38" w:name="_Toc79163860"/>
      <w:bookmarkStart w:id="39" w:name="_Toc15396603"/>
      <w:r>
        <w:rPr>
          <w:rFonts w:hint="eastAsia"/>
        </w:rPr>
        <w:t>收入支出决算总体情况说明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2809.07</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年相比，收、支总计各减少</w:t>
      </w:r>
      <w:r>
        <w:rPr>
          <w:rFonts w:hint="eastAsia" w:ascii="仿宋" w:hAnsi="仿宋" w:eastAsia="仿宋"/>
          <w:color w:val="000000"/>
          <w:sz w:val="32"/>
          <w:szCs w:val="32"/>
          <w:lang w:val="en-US" w:eastAsia="zh-CN"/>
        </w:rPr>
        <w:t>4172.76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67</w:t>
      </w:r>
      <w:r>
        <w:rPr>
          <w:rFonts w:ascii="仿宋" w:hAnsi="仿宋" w:eastAsia="仿宋"/>
          <w:color w:val="000000"/>
          <w:sz w:val="32"/>
          <w:szCs w:val="32"/>
        </w:rPr>
        <w:t>%</w:t>
      </w:r>
      <w:r>
        <w:rPr>
          <w:rFonts w:hint="eastAsia" w:ascii="仿宋" w:hAnsi="仿宋" w:eastAsia="仿宋"/>
          <w:color w:val="000000"/>
          <w:sz w:val="32"/>
          <w:szCs w:val="32"/>
        </w:rPr>
        <w:t>。主要变动原因是项目减少</w:t>
      </w:r>
      <w:r>
        <w:rPr>
          <w:rFonts w:hint="eastAsia" w:ascii="仿宋" w:hAnsi="仿宋" w:eastAsia="仿宋"/>
          <w:color w:val="000000"/>
          <w:sz w:val="32"/>
          <w:szCs w:val="32"/>
          <w:lang w:eastAsia="zh-CN"/>
        </w:rPr>
        <w:t>。</w:t>
      </w:r>
    </w:p>
    <w:p>
      <w:pPr>
        <w:spacing w:line="600" w:lineRule="exact"/>
        <w:ind w:firstLine="640" w:firstLineChars="200"/>
        <w:jc w:val="left"/>
        <w:rPr>
          <w:rFonts w:ascii="仿宋_GB2312" w:eastAsia="仿宋_GB2312"/>
          <w:color w:val="000000"/>
          <w:sz w:val="32"/>
          <w:szCs w:val="32"/>
        </w:rPr>
      </w:pPr>
      <w:r>
        <w:rPr>
          <w:rFonts w:hint="default" w:ascii="仿宋" w:hAnsi="仿宋" w:eastAsia="仿宋"/>
          <w:color w:val="000000"/>
          <w:sz w:val="32"/>
          <w:szCs w:val="32"/>
          <w:lang w:val="en-US"/>
        </w:rPr>
        <w:drawing>
          <wp:anchor distT="0" distB="0" distL="114300" distR="114300" simplePos="0" relativeHeight="251659264" behindDoc="0" locked="0" layoutInCell="1" allowOverlap="1">
            <wp:simplePos x="0" y="0"/>
            <wp:positionH relativeFrom="column">
              <wp:posOffset>409575</wp:posOffset>
            </wp:positionH>
            <wp:positionV relativeFrom="paragraph">
              <wp:posOffset>366395</wp:posOffset>
            </wp:positionV>
            <wp:extent cx="4953635" cy="2057400"/>
            <wp:effectExtent l="4445" t="4445" r="13970" b="14605"/>
            <wp:wrapSquare wrapText="right"/>
            <wp:docPr id="3" name="Picture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4"/>
        <w:numPr>
          <w:ilvl w:val="0"/>
          <w:numId w:val="2"/>
        </w:numPr>
        <w:bidi w:val="0"/>
        <w:rPr>
          <w:rFonts w:hint="eastAsia"/>
        </w:rPr>
      </w:pPr>
      <w:bookmarkStart w:id="40" w:name="_Toc79163861"/>
      <w:bookmarkStart w:id="41" w:name="_Toc15396604"/>
      <w:bookmarkStart w:id="42" w:name="_Toc15377206"/>
      <w:bookmarkStart w:id="43" w:name="_Toc79163611"/>
      <w:r>
        <w:rPr>
          <w:rFonts w:hint="eastAsia"/>
        </w:rPr>
        <w:t>收入决算情况说明</w:t>
      </w:r>
      <w:bookmarkEnd w:id="40"/>
      <w:bookmarkEnd w:id="41"/>
      <w:bookmarkEnd w:id="42"/>
      <w:bookmarkEnd w:id="43"/>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1600.41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1600.41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60288" behindDoc="0" locked="0" layoutInCell="1" allowOverlap="1">
            <wp:simplePos x="0" y="0"/>
            <wp:positionH relativeFrom="column">
              <wp:posOffset>956945</wp:posOffset>
            </wp:positionH>
            <wp:positionV relativeFrom="paragraph">
              <wp:posOffset>-573405</wp:posOffset>
            </wp:positionV>
            <wp:extent cx="2450465" cy="1971675"/>
            <wp:effectExtent l="4445" t="4445" r="2159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FF0000"/>
          <w:sz w:val="32"/>
          <w:szCs w:val="32"/>
        </w:rPr>
      </w:pPr>
    </w:p>
    <w:p>
      <w:pPr>
        <w:pStyle w:val="4"/>
        <w:numPr>
          <w:ilvl w:val="0"/>
          <w:numId w:val="2"/>
        </w:numPr>
        <w:bidi w:val="0"/>
        <w:rPr>
          <w:rFonts w:hint="eastAsia"/>
        </w:rPr>
      </w:pPr>
      <w:bookmarkStart w:id="44" w:name="_Toc15396605"/>
      <w:bookmarkStart w:id="45" w:name="_Toc79163612"/>
      <w:bookmarkStart w:id="46" w:name="_Toc79163862"/>
      <w:bookmarkStart w:id="47" w:name="_Toc15377207"/>
      <w:r>
        <w:rPr>
          <w:rFonts w:hint="eastAsia"/>
        </w:rPr>
        <w:t>支出决算情况说明</w:t>
      </w:r>
      <w:bookmarkEnd w:id="44"/>
      <w:bookmarkEnd w:id="45"/>
      <w:bookmarkEnd w:id="46"/>
      <w:bookmarkEnd w:id="47"/>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1208.66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248.67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960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1018540</wp:posOffset>
            </wp:positionH>
            <wp:positionV relativeFrom="paragraph">
              <wp:posOffset>41910</wp:posOffset>
            </wp:positionV>
            <wp:extent cx="2875280" cy="2360295"/>
            <wp:effectExtent l="4445" t="4445" r="15875" b="1651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highlight w:val="none"/>
        </w:rPr>
      </w:pPr>
    </w:p>
    <w:p>
      <w:pPr>
        <w:pStyle w:val="34"/>
        <w:numPr>
          <w:ilvl w:val="0"/>
          <w:numId w:val="2"/>
        </w:numPr>
        <w:spacing w:line="600" w:lineRule="exact"/>
        <w:ind w:firstLineChars="0"/>
        <w:outlineLvl w:val="1"/>
        <w:rPr>
          <w:rStyle w:val="24"/>
          <w:rFonts w:hint="eastAsia" w:ascii="黑体" w:hAnsi="黑体" w:eastAsia="黑体"/>
          <w:b w:val="0"/>
          <w:sz w:val="36"/>
          <w:szCs w:val="36"/>
        </w:rPr>
      </w:pPr>
    </w:p>
    <w:p>
      <w:pPr>
        <w:pStyle w:val="4"/>
        <w:numPr>
          <w:ilvl w:val="0"/>
          <w:numId w:val="2"/>
        </w:numPr>
        <w:bidi w:val="0"/>
        <w:rPr>
          <w:rFonts w:hint="eastAsia"/>
        </w:rPr>
      </w:pPr>
      <w:bookmarkStart w:id="48" w:name="_Toc15396606"/>
      <w:bookmarkStart w:id="49" w:name="_Toc15377208"/>
      <w:bookmarkStart w:id="50" w:name="_Toc79163863"/>
      <w:bookmarkStart w:id="51" w:name="_Toc79163613"/>
      <w:r>
        <w:rPr>
          <w:rFonts w:hint="eastAsia"/>
        </w:rPr>
        <w:t>四、财政拨款收入支出决算总体情况说明</w:t>
      </w:r>
      <w:bookmarkEnd w:id="48"/>
      <w:bookmarkEnd w:id="49"/>
      <w:bookmarkEnd w:id="50"/>
      <w:bookmarkEnd w:id="51"/>
    </w:p>
    <w:p>
      <w:pPr>
        <w:spacing w:line="600" w:lineRule="exact"/>
        <w:ind w:firstLine="640" w:firstLineChars="200"/>
        <w:rPr>
          <w:rFonts w:ascii="仿宋" w:hAnsi="仿宋" w:eastAsia="仿宋"/>
          <w:b/>
          <w:color w:val="00B050"/>
          <w:sz w:val="32"/>
          <w:szCs w:val="32"/>
        </w:rPr>
      </w:pPr>
      <w:r>
        <w:rPr>
          <w:rFonts w:hint="eastAsia" w:ascii="黑体" w:eastAsia="黑体"/>
          <w:color w:val="000000"/>
          <w:sz w:val="32"/>
          <w:szCs w:val="32"/>
          <w:lang w:val="en-US" w:eastAsia="zh-CN"/>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2809.07</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年相比，财政拨款收、支总计减少</w:t>
      </w:r>
      <w:r>
        <w:rPr>
          <w:rFonts w:hint="eastAsia" w:ascii="仿宋" w:hAnsi="仿宋" w:eastAsia="仿宋"/>
          <w:color w:val="000000"/>
          <w:sz w:val="32"/>
          <w:szCs w:val="32"/>
          <w:lang w:val="en-US" w:eastAsia="zh-CN"/>
        </w:rPr>
        <w:t>4172.76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67</w:t>
      </w:r>
      <w:r>
        <w:rPr>
          <w:rFonts w:ascii="仿宋" w:hAnsi="仿宋" w:eastAsia="仿宋"/>
          <w:color w:val="000000"/>
          <w:sz w:val="32"/>
          <w:szCs w:val="32"/>
        </w:rPr>
        <w:t>%</w:t>
      </w:r>
      <w:r>
        <w:rPr>
          <w:rFonts w:hint="eastAsia" w:ascii="仿宋" w:hAnsi="仿宋" w:eastAsia="仿宋"/>
          <w:color w:val="000000"/>
          <w:sz w:val="32"/>
          <w:szCs w:val="32"/>
        </w:rPr>
        <w:t>。主要变动原因是项目减少。</w:t>
      </w:r>
    </w:p>
    <w:p>
      <w:pPr>
        <w:spacing w:line="600" w:lineRule="exact"/>
        <w:rPr>
          <w:rFonts w:hint="eastAsia" w:ascii="仿宋" w:hAnsi="仿宋" w:eastAsia="仿宋"/>
          <w:b/>
          <w:color w:val="00B050"/>
          <w:sz w:val="32"/>
          <w:szCs w:val="32"/>
          <w:lang w:eastAsia="zh-CN"/>
        </w:rPr>
      </w:pPr>
    </w:p>
    <w:p>
      <w:pPr>
        <w:spacing w:line="600" w:lineRule="exact"/>
        <w:rPr>
          <w:rFonts w:hint="eastAsia" w:ascii="仿宋" w:hAnsi="仿宋" w:eastAsia="仿宋"/>
          <w:b/>
          <w:color w:val="00B050"/>
          <w:sz w:val="32"/>
          <w:szCs w:val="32"/>
          <w:lang w:eastAsia="zh-CN"/>
        </w:rPr>
      </w:pPr>
    </w:p>
    <w:p>
      <w:pPr>
        <w:spacing w:line="600" w:lineRule="exact"/>
        <w:rPr>
          <w:rFonts w:hint="eastAsia" w:ascii="仿宋" w:hAnsi="仿宋" w:eastAsia="仿宋"/>
          <w:b/>
          <w:color w:val="00B050"/>
          <w:sz w:val="32"/>
          <w:szCs w:val="32"/>
          <w:lang w:eastAsia="zh-CN"/>
        </w:rPr>
      </w:pPr>
    </w:p>
    <w:p>
      <w:pPr>
        <w:spacing w:line="600" w:lineRule="exact"/>
        <w:rPr>
          <w:rFonts w:hint="eastAsia" w:ascii="仿宋" w:hAnsi="仿宋" w:eastAsia="仿宋"/>
          <w:b/>
          <w:color w:val="00B050"/>
          <w:sz w:val="32"/>
          <w:szCs w:val="32"/>
          <w:lang w:eastAsia="zh-CN"/>
        </w:rPr>
      </w:pPr>
    </w:p>
    <w:p>
      <w:pPr>
        <w:spacing w:line="600" w:lineRule="exact"/>
        <w:rPr>
          <w:rFonts w:ascii="仿宋" w:hAnsi="仿宋" w:eastAsia="仿宋"/>
          <w:b/>
          <w:color w:val="00B050"/>
          <w:sz w:val="32"/>
          <w:szCs w:val="32"/>
        </w:rPr>
      </w:pPr>
      <w:r>
        <w:rPr>
          <w:rFonts w:hint="default" w:ascii="仿宋" w:hAnsi="仿宋" w:eastAsia="仿宋"/>
          <w:color w:val="000000"/>
          <w:sz w:val="32"/>
          <w:szCs w:val="32"/>
          <w:lang w:val="en-US"/>
        </w:rPr>
        <w:drawing>
          <wp:anchor distT="0" distB="0" distL="114300" distR="114300" simplePos="0" relativeHeight="251664384" behindDoc="0" locked="0" layoutInCell="1" allowOverlap="1">
            <wp:simplePos x="0" y="0"/>
            <wp:positionH relativeFrom="column">
              <wp:posOffset>128270</wp:posOffset>
            </wp:positionH>
            <wp:positionV relativeFrom="paragraph">
              <wp:posOffset>-254000</wp:posOffset>
            </wp:positionV>
            <wp:extent cx="4871085" cy="1856740"/>
            <wp:effectExtent l="4445" t="4445" r="20320" b="5715"/>
            <wp:wrapSquare wrapText="right"/>
            <wp:docPr id="7" name="Picture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4"/>
        <w:bidi w:val="0"/>
      </w:pPr>
      <w:bookmarkStart w:id="52" w:name="_Toc15377209"/>
      <w:bookmarkStart w:id="53" w:name="_Toc15396607"/>
      <w:bookmarkStart w:id="54" w:name="_Toc79163614"/>
      <w:bookmarkStart w:id="55" w:name="_Toc79163864"/>
      <w:r>
        <w:rPr>
          <w:rFonts w:hint="eastAsia"/>
        </w:rPr>
        <w:t>五</w:t>
      </w:r>
      <w:r>
        <w:rPr>
          <w:rFonts w:hint="eastAsia"/>
          <w:lang w:val="en-US" w:eastAsia="zh-CN"/>
        </w:rPr>
        <w:t>、一般公共预算财政拨款支出决算情况说明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lang w:val="en-US" w:eastAsia="zh-CN"/>
        </w:rPr>
      </w:pPr>
      <w:bookmarkStart w:id="59" w:name="_Toc15377211"/>
      <w:bookmarkStart w:id="60" w:name="_Toc79163616"/>
      <w:bookmarkStart w:id="61" w:name="_Toc79163866"/>
      <w:r>
        <w:rPr>
          <w:rFonts w:hint="default" w:ascii="仿宋" w:hAnsi="仿宋" w:eastAsia="仿宋"/>
          <w:color w:val="000000"/>
          <w:sz w:val="32"/>
          <w:szCs w:val="32"/>
          <w:lang w:val="en-US"/>
        </w:rPr>
        <w:drawing>
          <wp:anchor distT="0" distB="0" distL="114300" distR="114300" simplePos="0" relativeHeight="251665408" behindDoc="0" locked="0" layoutInCell="1" allowOverlap="1">
            <wp:simplePos x="0" y="0"/>
            <wp:positionH relativeFrom="column">
              <wp:posOffset>151765</wp:posOffset>
            </wp:positionH>
            <wp:positionV relativeFrom="paragraph">
              <wp:posOffset>1511935</wp:posOffset>
            </wp:positionV>
            <wp:extent cx="5007610" cy="2407920"/>
            <wp:effectExtent l="5080" t="4445" r="16510" b="6985"/>
            <wp:wrapSquare wrapText="right"/>
            <wp:docPr id="10" name="Picture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eastAsia="仿宋_GB2312"/>
          <w:color w:val="000000"/>
          <w:sz w:val="32"/>
          <w:szCs w:val="32"/>
          <w:lang w:val="en-US" w:eastAsia="zh-CN"/>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1208.67</w:t>
      </w:r>
      <w:r>
        <w:rPr>
          <w:rFonts w:hint="eastAsia" w:ascii="仿宋" w:hAnsi="仿宋" w:eastAsia="仿宋"/>
          <w:color w:val="000000"/>
          <w:sz w:val="32"/>
          <w:szCs w:val="32"/>
        </w:rPr>
        <w:t>万元。与</w:t>
      </w:r>
      <w:r>
        <w:rPr>
          <w:rFonts w:hint="eastAsia" w:ascii="仿宋" w:hAnsi="仿宋" w:eastAsia="仿宋"/>
          <w:color w:val="000000"/>
          <w:sz w:val="32"/>
          <w:szCs w:val="32"/>
          <w:lang w:val="en-US" w:eastAsia="zh-CN"/>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2499.48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48</w:t>
      </w:r>
      <w:r>
        <w:rPr>
          <w:rFonts w:ascii="仿宋" w:hAnsi="仿宋" w:eastAsia="仿宋"/>
          <w:color w:val="000000"/>
          <w:sz w:val="32"/>
          <w:szCs w:val="32"/>
        </w:rPr>
        <w:t>%</w:t>
      </w:r>
      <w:r>
        <w:rPr>
          <w:rFonts w:hint="eastAsia" w:ascii="仿宋" w:hAnsi="仿宋" w:eastAsia="仿宋"/>
          <w:color w:val="000000"/>
          <w:sz w:val="32"/>
          <w:szCs w:val="32"/>
        </w:rPr>
        <w:t>。主要变动原因是项目减少</w:t>
      </w:r>
      <w:r>
        <w:rPr>
          <w:rFonts w:hint="eastAsia" w:ascii="仿宋" w:hAnsi="仿宋" w:eastAsia="仿宋"/>
          <w:color w:val="000000"/>
          <w:sz w:val="32"/>
          <w:szCs w:val="32"/>
          <w:lang w:val="en-US" w:eastAsia="zh-CN"/>
        </w:rPr>
        <w:t>;</w:t>
      </w:r>
    </w:p>
    <w:p>
      <w:pPr>
        <w:spacing w:line="600" w:lineRule="exact"/>
        <w:outlineLvl w:val="2"/>
        <w:rPr>
          <w:rFonts w:hint="eastAsia" w:ascii="仿宋" w:hAnsi="仿宋" w:eastAsia="仿宋"/>
          <w:b/>
          <w:color w:val="000000"/>
          <w:sz w:val="32"/>
          <w:szCs w:val="32"/>
          <w:highlight w:val="yellow"/>
        </w:rPr>
      </w:pPr>
    </w:p>
    <w:p>
      <w:pPr>
        <w:spacing w:line="600" w:lineRule="exact"/>
        <w:outlineLvl w:val="2"/>
        <w:rPr>
          <w:rFonts w:hint="eastAsia" w:ascii="仿宋" w:hAnsi="仿宋" w:eastAsia="仿宋"/>
          <w:b/>
          <w:color w:val="000000"/>
          <w:sz w:val="32"/>
          <w:szCs w:val="32"/>
          <w:highlight w:val="yellow"/>
          <w:lang w:eastAsia="zh-CN"/>
        </w:rPr>
      </w:pPr>
    </w:p>
    <w:p>
      <w:pPr>
        <w:spacing w:line="600" w:lineRule="exact"/>
        <w:outlineLvl w:val="2"/>
        <w:rPr>
          <w:rFonts w:hint="eastAsia" w:ascii="仿宋" w:hAnsi="仿宋" w:eastAsia="仿宋"/>
          <w:b/>
          <w:color w:val="000000"/>
          <w:sz w:val="32"/>
          <w:szCs w:val="32"/>
          <w:highlight w:val="yellow"/>
        </w:rPr>
      </w:pPr>
    </w:p>
    <w:p>
      <w:pPr>
        <w:spacing w:line="600" w:lineRule="exact"/>
        <w:outlineLvl w:val="2"/>
        <w:rPr>
          <w:rFonts w:hint="eastAsia" w:ascii="仿宋" w:hAnsi="仿宋" w:eastAsia="仿宋"/>
          <w:b/>
          <w:color w:val="000000"/>
          <w:sz w:val="32"/>
          <w:szCs w:val="32"/>
          <w:highlight w:val="yellow"/>
        </w:rPr>
      </w:pPr>
    </w:p>
    <w:p>
      <w:pPr>
        <w:spacing w:line="600" w:lineRule="exact"/>
        <w:outlineLvl w:val="2"/>
        <w:rPr>
          <w:rFonts w:hint="eastAsia" w:ascii="仿宋" w:hAnsi="仿宋" w:eastAsia="仿宋"/>
          <w:b/>
          <w:color w:val="000000"/>
          <w:sz w:val="32"/>
          <w:szCs w:val="32"/>
          <w:highlight w:val="yellow"/>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pPr>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lang w:val="en-US" w:eastAsia="zh-CN"/>
        </w:rPr>
        <w:t>2020</w:t>
      </w:r>
      <w:r>
        <w:rPr>
          <w:rFonts w:hint="eastAsia" w:ascii="仿宋" w:hAnsi="仿宋" w:eastAsia="仿宋"/>
          <w:color w:val="000000"/>
          <w:sz w:val="32"/>
          <w:szCs w:val="32"/>
          <w:highlight w:val="none"/>
        </w:rPr>
        <w:t>年一般公共预算财</w:t>
      </w:r>
      <w:r>
        <w:rPr>
          <w:rFonts w:hint="eastAsia" w:ascii="仿宋" w:hAnsi="仿宋" w:eastAsia="仿宋"/>
          <w:color w:val="000000" w:themeColor="text1"/>
          <w:sz w:val="32"/>
          <w:szCs w:val="32"/>
          <w:highlight w:val="none"/>
          <w14:textFill>
            <w14:solidFill>
              <w14:schemeClr w14:val="tx1"/>
            </w14:solidFill>
          </w14:textFill>
        </w:rPr>
        <w:t>政拨款支出</w:t>
      </w:r>
      <w:r>
        <w:rPr>
          <w:rFonts w:hint="eastAsia" w:ascii="仿宋" w:hAnsi="仿宋" w:eastAsia="仿宋"/>
          <w:color w:val="000000" w:themeColor="text1"/>
          <w:sz w:val="32"/>
          <w:szCs w:val="32"/>
          <w:highlight w:val="none"/>
          <w:lang w:val="en-US" w:eastAsia="zh-CN"/>
          <w14:textFill>
            <w14:solidFill>
              <w14:schemeClr w14:val="tx1"/>
            </w14:solidFill>
          </w14:textFill>
        </w:rPr>
        <w:t>1208.67</w:t>
      </w:r>
      <w:r>
        <w:rPr>
          <w:rFonts w:hint="eastAsia" w:ascii="仿宋" w:hAnsi="仿宋" w:eastAsia="仿宋"/>
          <w:color w:val="000000" w:themeColor="text1"/>
          <w:sz w:val="32"/>
          <w:szCs w:val="32"/>
          <w:highlight w:val="none"/>
          <w14:textFill>
            <w14:solidFill>
              <w14:schemeClr w14:val="tx1"/>
            </w14:solidFill>
          </w14:textFill>
        </w:rPr>
        <w:t>万元，主要用于以下方面</w:t>
      </w:r>
      <w:r>
        <w:rPr>
          <w:rFonts w:ascii="仿宋" w:hAnsi="仿宋" w:eastAsia="仿宋"/>
          <w:color w:val="000000" w:themeColor="text1"/>
          <w:sz w:val="32"/>
          <w:szCs w:val="32"/>
          <w:highlight w:val="none"/>
          <w14:textFill>
            <w14:solidFill>
              <w14:schemeClr w14:val="tx1"/>
            </w14:solidFill>
          </w14:textFill>
        </w:rPr>
        <w:t>:</w:t>
      </w:r>
      <w:r>
        <w:rPr>
          <w:rFonts w:hint="eastAsia" w:ascii="仿宋_GB2312" w:eastAsia="仿宋_GB2312"/>
          <w:color w:val="000000"/>
          <w:sz w:val="32"/>
          <w:szCs w:val="32"/>
          <w:highlight w:val="none"/>
        </w:rPr>
        <w:t>社会保障和就业支出</w:t>
      </w:r>
      <w:r>
        <w:rPr>
          <w:rFonts w:hint="eastAsia" w:ascii="仿宋_GB2312" w:eastAsia="仿宋_GB2312"/>
          <w:color w:val="000000"/>
          <w:sz w:val="32"/>
          <w:szCs w:val="32"/>
          <w:highlight w:val="none"/>
          <w:lang w:val="en-US" w:eastAsia="zh-CN"/>
        </w:rPr>
        <w:t>28.14</w:t>
      </w:r>
      <w:r>
        <w:rPr>
          <w:rFonts w:hint="eastAsia" w:ascii="仿宋_GB2312" w:eastAsia="仿宋_GB2312"/>
          <w:color w:val="000000"/>
          <w:sz w:val="32"/>
          <w:szCs w:val="32"/>
          <w:highlight w:val="none"/>
        </w:rPr>
        <w:t>万元，占2%，（其中：</w:t>
      </w:r>
      <w:r>
        <w:rPr>
          <w:rStyle w:val="21"/>
          <w:rFonts w:hint="eastAsia" w:ascii="仿宋" w:hAnsi="仿宋" w:eastAsia="仿宋"/>
          <w:color w:val="000000"/>
          <w:sz w:val="32"/>
          <w:szCs w:val="32"/>
          <w:highlight w:val="none"/>
        </w:rPr>
        <w:t>2080505</w:t>
      </w:r>
      <w:r>
        <w:rPr>
          <w:rStyle w:val="21"/>
          <w:rFonts w:hint="eastAsia" w:ascii="仿宋_GB2312" w:hAnsi="仿宋" w:eastAsia="仿宋_GB2312"/>
          <w:color w:val="000000"/>
          <w:sz w:val="32"/>
          <w:szCs w:val="32"/>
          <w:highlight w:val="none"/>
        </w:rPr>
        <w:t>机关事业单位养老保险缴费</w:t>
      </w:r>
      <w:r>
        <w:rPr>
          <w:rFonts w:hint="eastAsia" w:ascii="仿宋_GB2312" w:eastAsia="仿宋_GB2312"/>
          <w:color w:val="000000"/>
          <w:sz w:val="32"/>
          <w:szCs w:val="32"/>
          <w:highlight w:val="none"/>
        </w:rPr>
        <w:t>支出</w:t>
      </w:r>
      <w:r>
        <w:rPr>
          <w:rFonts w:hint="eastAsia" w:ascii="仿宋_GB2312" w:eastAsia="仿宋_GB2312"/>
          <w:color w:val="000000"/>
          <w:sz w:val="32"/>
          <w:szCs w:val="32"/>
          <w:highlight w:val="none"/>
          <w:lang w:val="en-US" w:eastAsia="zh-CN"/>
        </w:rPr>
        <w:t>19.10</w:t>
      </w:r>
      <w:r>
        <w:rPr>
          <w:rFonts w:hint="eastAsia" w:ascii="仿宋_GB2312" w:eastAsia="仿宋_GB2312"/>
          <w:color w:val="000000"/>
          <w:sz w:val="32"/>
          <w:szCs w:val="32"/>
          <w:highlight w:val="none"/>
        </w:rPr>
        <w:t>万元，</w:t>
      </w:r>
      <w:r>
        <w:rPr>
          <w:rStyle w:val="21"/>
          <w:rFonts w:hint="eastAsia" w:ascii="仿宋" w:hAnsi="仿宋" w:eastAsia="仿宋"/>
          <w:color w:val="000000"/>
          <w:sz w:val="32"/>
          <w:szCs w:val="32"/>
          <w:highlight w:val="none"/>
        </w:rPr>
        <w:t>2080506</w:t>
      </w:r>
      <w:r>
        <w:rPr>
          <w:rStyle w:val="21"/>
          <w:rFonts w:hint="eastAsia" w:ascii="仿宋_GB2312" w:hAnsi="仿宋" w:eastAsia="仿宋_GB2312"/>
          <w:color w:val="000000"/>
          <w:sz w:val="32"/>
          <w:szCs w:val="32"/>
          <w:highlight w:val="none"/>
        </w:rPr>
        <w:t>职业年金缴费</w:t>
      </w:r>
      <w:r>
        <w:rPr>
          <w:rFonts w:hint="eastAsia" w:ascii="仿宋_GB2312" w:eastAsia="仿宋_GB2312"/>
          <w:color w:val="000000"/>
          <w:sz w:val="32"/>
          <w:szCs w:val="32"/>
          <w:highlight w:val="none"/>
        </w:rPr>
        <w:t>支出</w:t>
      </w:r>
      <w:r>
        <w:rPr>
          <w:rFonts w:hint="eastAsia" w:ascii="仿宋_GB2312" w:eastAsia="仿宋_GB2312"/>
          <w:color w:val="000000"/>
          <w:sz w:val="32"/>
          <w:szCs w:val="32"/>
          <w:highlight w:val="none"/>
          <w:lang w:val="en-US" w:eastAsia="zh-CN"/>
        </w:rPr>
        <w:t>9.04</w:t>
      </w:r>
      <w:r>
        <w:rPr>
          <w:rFonts w:hint="eastAsia" w:ascii="仿宋_GB2312" w:eastAsia="仿宋_GB2312"/>
          <w:color w:val="000000"/>
          <w:sz w:val="32"/>
          <w:szCs w:val="32"/>
          <w:highlight w:val="none"/>
        </w:rPr>
        <w:t>万元）；医疗卫生和计划生育支出</w:t>
      </w:r>
      <w:r>
        <w:rPr>
          <w:rFonts w:hint="eastAsia" w:ascii="仿宋_GB2312" w:eastAsia="仿宋_GB2312"/>
          <w:color w:val="000000"/>
          <w:sz w:val="32"/>
          <w:szCs w:val="32"/>
          <w:highlight w:val="none"/>
          <w:lang w:val="en-US" w:eastAsia="zh-CN"/>
        </w:rPr>
        <w:t>10.54</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0.8</w:t>
      </w:r>
      <w:r>
        <w:rPr>
          <w:rFonts w:hint="eastAsia" w:ascii="仿宋_GB2312" w:eastAsia="仿宋_GB2312"/>
          <w:color w:val="000000"/>
          <w:sz w:val="32"/>
          <w:szCs w:val="32"/>
          <w:highlight w:val="none"/>
        </w:rPr>
        <w:t>%，（其中：</w:t>
      </w:r>
      <w:r>
        <w:rPr>
          <w:rStyle w:val="21"/>
          <w:rFonts w:hint="eastAsia" w:ascii="仿宋" w:hAnsi="仿宋" w:eastAsia="仿宋"/>
          <w:color w:val="000000"/>
          <w:sz w:val="32"/>
          <w:szCs w:val="32"/>
          <w:highlight w:val="none"/>
        </w:rPr>
        <w:t>2101101</w:t>
      </w:r>
      <w:r>
        <w:rPr>
          <w:rStyle w:val="21"/>
          <w:rFonts w:hint="eastAsia" w:ascii="仿宋_GB2312" w:hAnsi="仿宋" w:eastAsia="仿宋_GB2312"/>
          <w:color w:val="000000"/>
          <w:sz w:val="32"/>
          <w:szCs w:val="32"/>
          <w:highlight w:val="none"/>
        </w:rPr>
        <w:t>行政单位医疗</w:t>
      </w:r>
      <w:r>
        <w:rPr>
          <w:rStyle w:val="21"/>
          <w:rFonts w:hint="eastAsia" w:ascii="仿宋_GB2312" w:hAnsi="仿宋" w:eastAsia="仿宋_GB2312"/>
          <w:b w:val="0"/>
          <w:color w:val="000000"/>
          <w:sz w:val="32"/>
          <w:szCs w:val="32"/>
          <w:highlight w:val="none"/>
        </w:rPr>
        <w:t>支出</w:t>
      </w:r>
      <w:r>
        <w:rPr>
          <w:rStyle w:val="21"/>
          <w:rFonts w:hint="eastAsia" w:ascii="仿宋_GB2312" w:hAnsi="仿宋" w:eastAsia="仿宋_GB2312"/>
          <w:b w:val="0"/>
          <w:color w:val="000000"/>
          <w:sz w:val="32"/>
          <w:szCs w:val="32"/>
          <w:highlight w:val="none"/>
          <w:lang w:val="en-US" w:eastAsia="zh-CN"/>
        </w:rPr>
        <w:t>10.54</w:t>
      </w:r>
      <w:r>
        <w:rPr>
          <w:rStyle w:val="21"/>
          <w:rFonts w:hint="eastAsia" w:ascii="仿宋_GB2312" w:hAnsi="仿宋" w:eastAsia="仿宋_GB2312"/>
          <w:b w:val="0"/>
          <w:color w:val="000000"/>
          <w:sz w:val="32"/>
          <w:szCs w:val="32"/>
          <w:highlight w:val="none"/>
        </w:rPr>
        <w:t>万元</w:t>
      </w:r>
      <w:r>
        <w:rPr>
          <w:rFonts w:hint="eastAsia" w:ascii="仿宋_GB2312" w:eastAsia="仿宋_GB2312"/>
          <w:color w:val="000000"/>
          <w:sz w:val="32"/>
          <w:szCs w:val="32"/>
          <w:highlight w:val="none"/>
        </w:rPr>
        <w:t>）；一般公共服务支出</w:t>
      </w:r>
      <w:r>
        <w:rPr>
          <w:rFonts w:hint="eastAsia" w:ascii="仿宋_GB2312" w:eastAsia="仿宋_GB2312"/>
          <w:color w:val="000000"/>
          <w:sz w:val="32"/>
          <w:szCs w:val="32"/>
          <w:highlight w:val="none"/>
          <w:lang w:val="en-US" w:eastAsia="zh-CN"/>
        </w:rPr>
        <w:t>606.71</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50</w:t>
      </w:r>
      <w:r>
        <w:rPr>
          <w:rFonts w:hint="eastAsia" w:ascii="仿宋_GB2312" w:eastAsia="仿宋_GB2312"/>
          <w:color w:val="000000"/>
          <w:sz w:val="32"/>
          <w:szCs w:val="32"/>
          <w:highlight w:val="none"/>
        </w:rPr>
        <w:t>%（其中：</w:t>
      </w:r>
      <w:r>
        <w:rPr>
          <w:rStyle w:val="21"/>
          <w:rFonts w:hint="eastAsia" w:ascii="仿宋" w:hAnsi="仿宋" w:eastAsia="仿宋"/>
          <w:color w:val="000000"/>
          <w:sz w:val="32"/>
          <w:szCs w:val="32"/>
          <w:highlight w:val="none"/>
        </w:rPr>
        <w:t>2012304</w:t>
      </w:r>
      <w:r>
        <w:rPr>
          <w:rStyle w:val="21"/>
          <w:rFonts w:hint="eastAsia" w:ascii="仿宋_GB2312" w:hAnsi="仿宋" w:eastAsia="仿宋_GB2312"/>
          <w:color w:val="000000"/>
          <w:sz w:val="32"/>
          <w:szCs w:val="32"/>
          <w:highlight w:val="none"/>
        </w:rPr>
        <w:t>民族工作专项</w:t>
      </w:r>
      <w:r>
        <w:rPr>
          <w:rFonts w:hint="eastAsia" w:ascii="仿宋_GB2312" w:eastAsia="仿宋_GB2312"/>
          <w:color w:val="000000"/>
          <w:sz w:val="32"/>
          <w:szCs w:val="32"/>
          <w:highlight w:val="none"/>
          <w:lang w:val="en-US" w:eastAsia="zh-CN"/>
        </w:rPr>
        <w:t>3.97</w:t>
      </w:r>
      <w:r>
        <w:rPr>
          <w:rFonts w:hint="eastAsia" w:ascii="仿宋_GB2312" w:eastAsia="仿宋_GB2312"/>
          <w:color w:val="000000"/>
          <w:sz w:val="32"/>
          <w:szCs w:val="32"/>
          <w:highlight w:val="none"/>
        </w:rPr>
        <w:t>万元，</w:t>
      </w:r>
      <w:r>
        <w:rPr>
          <w:rStyle w:val="21"/>
          <w:rFonts w:hint="eastAsia" w:ascii="仿宋" w:hAnsi="仿宋" w:eastAsia="仿宋"/>
          <w:color w:val="000000"/>
          <w:sz w:val="32"/>
          <w:szCs w:val="32"/>
          <w:highlight w:val="none"/>
        </w:rPr>
        <w:t>2012399</w:t>
      </w:r>
      <w:r>
        <w:rPr>
          <w:rStyle w:val="21"/>
          <w:rFonts w:hint="eastAsia" w:ascii="仿宋_GB2312" w:hAnsi="仿宋" w:eastAsia="仿宋_GB2312"/>
          <w:color w:val="000000"/>
          <w:sz w:val="32"/>
          <w:szCs w:val="32"/>
          <w:highlight w:val="none"/>
        </w:rPr>
        <w:t>其他民族事务支出</w:t>
      </w:r>
      <w:r>
        <w:rPr>
          <w:rStyle w:val="21"/>
          <w:rFonts w:hint="eastAsia" w:ascii="仿宋_GB2312" w:hAnsi="仿宋" w:eastAsia="仿宋_GB2312"/>
          <w:b w:val="0"/>
          <w:color w:val="000000"/>
          <w:sz w:val="32"/>
          <w:szCs w:val="32"/>
          <w:highlight w:val="none"/>
          <w:lang w:val="en-US" w:eastAsia="zh-CN"/>
        </w:rPr>
        <w:t>340.42</w:t>
      </w:r>
      <w:r>
        <w:rPr>
          <w:rStyle w:val="21"/>
          <w:rFonts w:hint="eastAsia" w:ascii="仿宋_GB2312" w:hAnsi="仿宋" w:eastAsia="仿宋_GB2312"/>
          <w:b w:val="0"/>
          <w:color w:val="000000"/>
          <w:sz w:val="32"/>
          <w:szCs w:val="32"/>
          <w:highlight w:val="none"/>
        </w:rPr>
        <w:t>万元，</w:t>
      </w:r>
      <w:r>
        <w:rPr>
          <w:rStyle w:val="21"/>
          <w:rFonts w:hint="eastAsia" w:ascii="仿宋" w:hAnsi="仿宋" w:eastAsia="仿宋"/>
          <w:color w:val="000000"/>
          <w:sz w:val="32"/>
          <w:szCs w:val="32"/>
          <w:highlight w:val="none"/>
        </w:rPr>
        <w:t>2012</w:t>
      </w:r>
      <w:r>
        <w:rPr>
          <w:rStyle w:val="21"/>
          <w:rFonts w:hint="eastAsia" w:ascii="仿宋" w:hAnsi="仿宋" w:eastAsia="仿宋"/>
          <w:color w:val="000000"/>
          <w:sz w:val="32"/>
          <w:szCs w:val="32"/>
          <w:highlight w:val="none"/>
          <w:lang w:val="en-US" w:eastAsia="zh-CN"/>
        </w:rPr>
        <w:t>3</w:t>
      </w:r>
      <w:r>
        <w:rPr>
          <w:rStyle w:val="21"/>
          <w:rFonts w:hint="eastAsia" w:ascii="仿宋" w:hAnsi="仿宋" w:eastAsia="仿宋"/>
          <w:color w:val="000000"/>
          <w:sz w:val="32"/>
          <w:szCs w:val="32"/>
          <w:highlight w:val="none"/>
        </w:rPr>
        <w:t>01</w:t>
      </w:r>
      <w:r>
        <w:rPr>
          <w:rStyle w:val="21"/>
          <w:rFonts w:hint="eastAsia" w:ascii="仿宋_GB2312" w:hAnsi="仿宋" w:eastAsia="仿宋_GB2312"/>
          <w:color w:val="000000"/>
          <w:sz w:val="32"/>
          <w:szCs w:val="32"/>
          <w:highlight w:val="none"/>
        </w:rPr>
        <w:t>行政运行支出</w:t>
      </w:r>
      <w:r>
        <w:rPr>
          <w:rFonts w:hint="eastAsia" w:ascii="仿宋_GB2312" w:eastAsia="仿宋_GB2312"/>
          <w:color w:val="000000"/>
          <w:sz w:val="32"/>
          <w:szCs w:val="32"/>
          <w:highlight w:val="none"/>
          <w:lang w:val="en-US" w:eastAsia="zh-CN"/>
        </w:rPr>
        <w:t>191.63</w:t>
      </w:r>
      <w:r>
        <w:rPr>
          <w:rFonts w:hint="eastAsia" w:ascii="仿宋_GB2312" w:eastAsia="仿宋_GB2312"/>
          <w:color w:val="000000"/>
          <w:sz w:val="32"/>
          <w:szCs w:val="32"/>
          <w:highlight w:val="none"/>
        </w:rPr>
        <w:t>万元，</w:t>
      </w:r>
      <w:r>
        <w:rPr>
          <w:rStyle w:val="21"/>
          <w:rFonts w:hint="eastAsia" w:ascii="仿宋" w:hAnsi="仿宋" w:eastAsia="仿宋"/>
          <w:color w:val="000000"/>
          <w:sz w:val="32"/>
          <w:szCs w:val="32"/>
          <w:highlight w:val="none"/>
        </w:rPr>
        <w:t>2012</w:t>
      </w:r>
      <w:r>
        <w:rPr>
          <w:rStyle w:val="21"/>
          <w:rFonts w:hint="eastAsia" w:ascii="仿宋" w:hAnsi="仿宋" w:eastAsia="仿宋"/>
          <w:color w:val="000000"/>
          <w:sz w:val="32"/>
          <w:szCs w:val="32"/>
          <w:highlight w:val="none"/>
          <w:lang w:val="en-US" w:eastAsia="zh-CN"/>
        </w:rPr>
        <w:t>3</w:t>
      </w:r>
      <w:r>
        <w:rPr>
          <w:rStyle w:val="21"/>
          <w:rFonts w:hint="eastAsia" w:ascii="仿宋" w:hAnsi="仿宋" w:eastAsia="仿宋"/>
          <w:color w:val="000000"/>
          <w:sz w:val="32"/>
          <w:szCs w:val="32"/>
          <w:highlight w:val="none"/>
        </w:rPr>
        <w:t>02</w:t>
      </w:r>
      <w:r>
        <w:rPr>
          <w:rStyle w:val="21"/>
          <w:rFonts w:hint="eastAsia" w:ascii="仿宋_GB2312" w:hAnsi="仿宋" w:eastAsia="仿宋_GB2312"/>
          <w:color w:val="000000"/>
          <w:sz w:val="32"/>
          <w:szCs w:val="32"/>
          <w:highlight w:val="none"/>
        </w:rPr>
        <w:t>一般行政管理事务</w:t>
      </w:r>
      <w:r>
        <w:rPr>
          <w:rStyle w:val="21"/>
          <w:rFonts w:hint="eastAsia" w:ascii="仿宋_GB2312" w:hAnsi="仿宋" w:eastAsia="仿宋_GB2312"/>
          <w:b w:val="0"/>
          <w:color w:val="000000"/>
          <w:sz w:val="32"/>
          <w:szCs w:val="32"/>
          <w:highlight w:val="none"/>
          <w:lang w:val="en-US" w:eastAsia="zh-CN"/>
        </w:rPr>
        <w:t>20.69</w:t>
      </w:r>
      <w:r>
        <w:rPr>
          <w:rStyle w:val="21"/>
          <w:rFonts w:hint="eastAsia" w:ascii="仿宋_GB2312" w:hAnsi="仿宋" w:eastAsia="仿宋_GB2312"/>
          <w:b w:val="0"/>
          <w:color w:val="000000"/>
          <w:sz w:val="32"/>
          <w:szCs w:val="32"/>
          <w:highlight w:val="none"/>
        </w:rPr>
        <w:t>万元</w:t>
      </w:r>
      <w:r>
        <w:rPr>
          <w:rStyle w:val="21"/>
          <w:rFonts w:hint="eastAsia" w:ascii="仿宋_GB2312" w:hAnsi="仿宋" w:eastAsia="仿宋_GB2312"/>
          <w:color w:val="000000"/>
          <w:sz w:val="32"/>
          <w:szCs w:val="32"/>
          <w:highlight w:val="none"/>
        </w:rPr>
        <w:t>，</w:t>
      </w:r>
      <w:r>
        <w:rPr>
          <w:rStyle w:val="21"/>
          <w:rFonts w:hint="eastAsia" w:ascii="仿宋" w:hAnsi="仿宋" w:eastAsia="仿宋"/>
          <w:color w:val="000000"/>
          <w:sz w:val="32"/>
          <w:szCs w:val="32"/>
          <w:highlight w:val="none"/>
        </w:rPr>
        <w:t>2013499</w:t>
      </w:r>
      <w:r>
        <w:rPr>
          <w:rStyle w:val="21"/>
          <w:rFonts w:hint="eastAsia" w:ascii="仿宋_GB2312" w:hAnsi="仿宋" w:eastAsia="仿宋_GB2312"/>
          <w:color w:val="000000"/>
          <w:sz w:val="32"/>
          <w:szCs w:val="32"/>
          <w:highlight w:val="none"/>
        </w:rPr>
        <w:t>其他统战事务支出</w:t>
      </w:r>
      <w:r>
        <w:rPr>
          <w:rFonts w:hint="eastAsia" w:ascii="仿宋_GB2312" w:eastAsia="仿宋_GB2312"/>
          <w:color w:val="000000"/>
          <w:sz w:val="32"/>
          <w:szCs w:val="32"/>
          <w:highlight w:val="none"/>
          <w:lang w:val="en-US" w:eastAsia="zh-CN"/>
        </w:rPr>
        <w:t>50</w:t>
      </w:r>
      <w:r>
        <w:rPr>
          <w:rFonts w:hint="eastAsia" w:ascii="仿宋_GB2312" w:eastAsia="仿宋_GB2312"/>
          <w:color w:val="000000"/>
          <w:sz w:val="32"/>
          <w:szCs w:val="32"/>
          <w:highlight w:val="none"/>
        </w:rPr>
        <w:t>万元）；住房保障支出</w:t>
      </w:r>
      <w:r>
        <w:rPr>
          <w:rFonts w:hint="eastAsia" w:ascii="仿宋_GB2312" w:eastAsia="仿宋_GB2312"/>
          <w:color w:val="000000"/>
          <w:sz w:val="32"/>
          <w:szCs w:val="32"/>
          <w:highlight w:val="none"/>
          <w:lang w:val="en-US" w:eastAsia="zh-CN"/>
        </w:rPr>
        <w:t>18.36</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1.5</w:t>
      </w:r>
      <w:r>
        <w:rPr>
          <w:rFonts w:hint="eastAsia" w:ascii="仿宋_GB2312" w:eastAsia="仿宋_GB2312"/>
          <w:color w:val="000000"/>
          <w:sz w:val="32"/>
          <w:szCs w:val="32"/>
          <w:highlight w:val="none"/>
        </w:rPr>
        <w:t>%，（其中：</w:t>
      </w:r>
      <w:r>
        <w:rPr>
          <w:rStyle w:val="21"/>
          <w:rFonts w:hint="eastAsia" w:ascii="仿宋" w:hAnsi="仿宋" w:eastAsia="仿宋"/>
          <w:color w:val="000000"/>
          <w:sz w:val="32"/>
          <w:szCs w:val="32"/>
          <w:highlight w:val="none"/>
        </w:rPr>
        <w:t>2210201</w:t>
      </w:r>
      <w:r>
        <w:rPr>
          <w:rStyle w:val="21"/>
          <w:rFonts w:hint="eastAsia" w:ascii="仿宋_GB2312" w:hAnsi="仿宋" w:eastAsia="仿宋_GB2312"/>
          <w:color w:val="000000"/>
          <w:sz w:val="32"/>
          <w:szCs w:val="32"/>
          <w:highlight w:val="none"/>
        </w:rPr>
        <w:t>住房公积金支出</w:t>
      </w:r>
      <w:r>
        <w:rPr>
          <w:rFonts w:hint="eastAsia" w:ascii="仿宋_GB2312" w:eastAsia="仿宋_GB2312"/>
          <w:color w:val="000000"/>
          <w:sz w:val="32"/>
          <w:szCs w:val="32"/>
          <w:highlight w:val="none"/>
          <w:lang w:val="en-US" w:eastAsia="zh-CN"/>
        </w:rPr>
        <w:t>18.36</w:t>
      </w:r>
      <w:r>
        <w:rPr>
          <w:rFonts w:hint="eastAsia" w:ascii="仿宋_GB2312" w:eastAsia="仿宋_GB2312"/>
          <w:color w:val="000000"/>
          <w:sz w:val="32"/>
          <w:szCs w:val="32"/>
          <w:highlight w:val="none"/>
        </w:rPr>
        <w:t>万元）；公共安全支出</w:t>
      </w:r>
      <w:r>
        <w:rPr>
          <w:rFonts w:hint="eastAsia" w:ascii="仿宋_GB2312" w:eastAsia="仿宋_GB2312"/>
          <w:color w:val="000000"/>
          <w:sz w:val="32"/>
          <w:szCs w:val="32"/>
          <w:highlight w:val="none"/>
          <w:lang w:val="en-US" w:eastAsia="zh-CN"/>
        </w:rPr>
        <w:t>83.97</w:t>
      </w:r>
      <w:r>
        <w:rPr>
          <w:rFonts w:hint="eastAsia" w:ascii="仿宋_GB2312" w:eastAsia="仿宋_GB2312"/>
          <w:color w:val="000000"/>
          <w:sz w:val="32"/>
          <w:szCs w:val="32"/>
          <w:highlight w:val="none"/>
        </w:rPr>
        <w:t>万元，占</w:t>
      </w:r>
      <w:r>
        <w:rPr>
          <w:rFonts w:hint="eastAsia" w:ascii="仿宋_GB2312" w:eastAsia="仿宋_GB2312"/>
          <w:color w:val="000000"/>
          <w:sz w:val="32"/>
          <w:szCs w:val="32"/>
          <w:highlight w:val="none"/>
          <w:lang w:val="en-US" w:eastAsia="zh-CN"/>
        </w:rPr>
        <w:t>6</w:t>
      </w:r>
      <w:r>
        <w:rPr>
          <w:rFonts w:hint="eastAsia" w:ascii="仿宋_GB2312" w:eastAsia="仿宋_GB2312"/>
          <w:color w:val="000000"/>
          <w:sz w:val="32"/>
          <w:szCs w:val="32"/>
          <w:highlight w:val="none"/>
        </w:rPr>
        <w:t>%，（其中：</w:t>
      </w:r>
      <w:r>
        <w:rPr>
          <w:rStyle w:val="21"/>
          <w:rFonts w:hint="eastAsia" w:ascii="仿宋" w:hAnsi="仿宋" w:eastAsia="仿宋"/>
          <w:color w:val="000000"/>
          <w:sz w:val="32"/>
          <w:szCs w:val="32"/>
          <w:highlight w:val="none"/>
        </w:rPr>
        <w:t>2049901其他公共安全支出</w:t>
      </w:r>
      <w:r>
        <w:rPr>
          <w:rStyle w:val="21"/>
          <w:rFonts w:hint="eastAsia" w:ascii="仿宋" w:hAnsi="仿宋" w:eastAsia="仿宋"/>
          <w:b w:val="0"/>
          <w:color w:val="000000"/>
          <w:sz w:val="32"/>
          <w:szCs w:val="32"/>
          <w:highlight w:val="none"/>
          <w:lang w:val="en-US" w:eastAsia="zh-CN"/>
        </w:rPr>
        <w:t>83.97</w:t>
      </w:r>
      <w:r>
        <w:rPr>
          <w:rStyle w:val="21"/>
          <w:rFonts w:hint="eastAsia" w:ascii="仿宋" w:hAnsi="仿宋" w:eastAsia="仿宋"/>
          <w:b w:val="0"/>
          <w:color w:val="000000"/>
          <w:sz w:val="32"/>
          <w:szCs w:val="32"/>
          <w:highlight w:val="none"/>
        </w:rPr>
        <w:t>万元</w:t>
      </w:r>
      <w:r>
        <w:rPr>
          <w:rFonts w:hint="eastAsia" w:ascii="仿宋_GB2312" w:eastAsia="仿宋_GB2312"/>
          <w:color w:val="000000"/>
          <w:sz w:val="32"/>
          <w:szCs w:val="32"/>
          <w:highlight w:val="none"/>
        </w:rPr>
        <w:t>）；其他支出</w:t>
      </w:r>
      <w:r>
        <w:rPr>
          <w:rFonts w:hint="eastAsia" w:ascii="仿宋_GB2312" w:eastAsia="仿宋_GB2312"/>
          <w:color w:val="000000"/>
          <w:sz w:val="32"/>
          <w:szCs w:val="32"/>
          <w:highlight w:val="none"/>
          <w:lang w:val="en-US" w:eastAsia="zh-CN"/>
        </w:rPr>
        <w:t>243.16</w:t>
      </w:r>
      <w:r>
        <w:rPr>
          <w:rFonts w:hint="eastAsia" w:ascii="仿宋_GB2312" w:eastAsia="仿宋_GB2312"/>
          <w:color w:val="000000"/>
          <w:sz w:val="32"/>
          <w:szCs w:val="32"/>
          <w:highlight w:val="none"/>
        </w:rPr>
        <w:t>万元，占</w:t>
      </w:r>
      <w:r>
        <w:rPr>
          <w:rFonts w:hint="eastAsia" w:ascii="仿宋_GB2312" w:eastAsia="仿宋_GB2312"/>
          <w:color w:val="000000"/>
          <w:sz w:val="36"/>
          <w:szCs w:val="36"/>
          <w:highlight w:val="none"/>
          <w:lang w:val="en-US" w:eastAsia="zh-CN"/>
        </w:rPr>
        <w:t>20</w:t>
      </w:r>
      <w:r>
        <w:rPr>
          <w:rFonts w:hint="eastAsia" w:ascii="仿宋_GB2312" w:eastAsia="仿宋_GB2312"/>
          <w:color w:val="000000"/>
          <w:sz w:val="32"/>
          <w:szCs w:val="32"/>
          <w:highlight w:val="none"/>
        </w:rPr>
        <w:t>%，（其中：229</w:t>
      </w:r>
      <w:r>
        <w:rPr>
          <w:rStyle w:val="21"/>
          <w:rFonts w:hint="eastAsia" w:ascii="仿宋" w:hAnsi="仿宋" w:eastAsia="仿宋"/>
          <w:color w:val="000000"/>
          <w:sz w:val="32"/>
          <w:szCs w:val="32"/>
          <w:highlight w:val="none"/>
        </w:rPr>
        <w:t>9901其他支出</w:t>
      </w:r>
      <w:r>
        <w:rPr>
          <w:rStyle w:val="21"/>
          <w:rFonts w:hint="eastAsia" w:ascii="仿宋" w:hAnsi="仿宋" w:eastAsia="仿宋"/>
          <w:b w:val="0"/>
          <w:color w:val="000000"/>
          <w:sz w:val="32"/>
          <w:szCs w:val="32"/>
          <w:highlight w:val="none"/>
          <w:lang w:val="en-US" w:eastAsia="zh-CN"/>
        </w:rPr>
        <w:t>243.16</w:t>
      </w:r>
      <w:r>
        <w:rPr>
          <w:rStyle w:val="21"/>
          <w:rFonts w:hint="eastAsia" w:ascii="仿宋" w:hAnsi="仿宋" w:eastAsia="仿宋"/>
          <w:b w:val="0"/>
          <w:color w:val="000000"/>
          <w:sz w:val="32"/>
          <w:szCs w:val="32"/>
          <w:highlight w:val="none"/>
        </w:rPr>
        <w:t>万元</w:t>
      </w:r>
      <w:r>
        <w:rPr>
          <w:rFonts w:hint="eastAsia" w:ascii="仿宋_GB2312" w:eastAsia="仿宋_GB2312"/>
          <w:color w:val="000000"/>
          <w:sz w:val="32"/>
          <w:szCs w:val="32"/>
          <w:highlight w:val="none"/>
        </w:rPr>
        <w:t>）</w:t>
      </w:r>
    </w:p>
    <w:p>
      <w:pPr>
        <w:spacing w:line="60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drawing>
          <wp:anchor distT="0" distB="0" distL="114300" distR="114300" simplePos="0" relativeHeight="251662336" behindDoc="0" locked="0" layoutInCell="1" allowOverlap="1">
            <wp:simplePos x="0" y="0"/>
            <wp:positionH relativeFrom="column">
              <wp:posOffset>227965</wp:posOffset>
            </wp:positionH>
            <wp:positionV relativeFrom="paragraph">
              <wp:posOffset>33020</wp:posOffset>
            </wp:positionV>
            <wp:extent cx="4662805" cy="2792095"/>
            <wp:effectExtent l="4445" t="4445" r="19050" b="2286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highlight w:val="none"/>
        </w:rPr>
      </w:pPr>
    </w:p>
    <w:p>
      <w:pPr>
        <w:spacing w:line="600" w:lineRule="exact"/>
        <w:ind w:firstLine="640" w:firstLineChars="200"/>
        <w:rPr>
          <w:rFonts w:ascii="仿宋" w:hAnsi="仿宋" w:eastAsia="仿宋"/>
          <w:color w:val="000000"/>
          <w:sz w:val="32"/>
          <w:szCs w:val="32"/>
          <w:highlight w:val="none"/>
        </w:rPr>
      </w:pPr>
    </w:p>
    <w:p>
      <w:pPr>
        <w:spacing w:line="600" w:lineRule="exact"/>
        <w:ind w:firstLine="640" w:firstLineChars="200"/>
        <w:rPr>
          <w:rFonts w:ascii="仿宋" w:hAnsi="仿宋" w:eastAsia="仿宋"/>
          <w:color w:val="000000"/>
          <w:sz w:val="32"/>
          <w:szCs w:val="32"/>
          <w:highlight w:val="none"/>
        </w:rPr>
      </w:pPr>
    </w:p>
    <w:p>
      <w:pPr>
        <w:spacing w:line="600" w:lineRule="exact"/>
        <w:ind w:firstLine="640" w:firstLineChars="200"/>
        <w:rPr>
          <w:rFonts w:ascii="仿宋" w:hAnsi="仿宋" w:eastAsia="仿宋"/>
          <w:color w:val="000000"/>
          <w:sz w:val="32"/>
          <w:szCs w:val="32"/>
          <w:highlight w:val="none"/>
        </w:rPr>
      </w:pPr>
    </w:p>
    <w:p>
      <w:pPr>
        <w:spacing w:line="600" w:lineRule="exact"/>
        <w:ind w:firstLine="643" w:firstLineChars="200"/>
        <w:outlineLvl w:val="2"/>
        <w:rPr>
          <w:rFonts w:ascii="仿宋" w:hAnsi="仿宋" w:eastAsia="仿宋"/>
          <w:b/>
          <w:color w:val="000000"/>
          <w:sz w:val="32"/>
          <w:szCs w:val="32"/>
          <w:highlight w:val="none"/>
        </w:rPr>
      </w:pPr>
    </w:p>
    <w:p>
      <w:pPr>
        <w:spacing w:line="600" w:lineRule="exact"/>
        <w:ind w:firstLine="643" w:firstLineChars="200"/>
        <w:outlineLvl w:val="2"/>
        <w:rPr>
          <w:rFonts w:ascii="仿宋" w:hAnsi="仿宋" w:eastAsia="仿宋"/>
          <w:b/>
          <w:color w:val="000000"/>
          <w:sz w:val="32"/>
          <w:szCs w:val="32"/>
          <w:highlight w:val="none"/>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outlineLvl w:val="2"/>
        <w:rPr>
          <w:rFonts w:ascii="仿宋" w:hAnsi="仿宋" w:eastAsia="仿宋"/>
          <w:color w:val="FF0000"/>
          <w:sz w:val="32"/>
          <w:szCs w:val="32"/>
          <w:highlight w:val="none"/>
        </w:rPr>
      </w:pPr>
      <w:bookmarkStart w:id="65" w:name="_Toc15378460"/>
      <w:bookmarkStart w:id="66" w:name="_Toc15377444"/>
      <w:bookmarkStart w:id="67" w:name="_Toc15377213"/>
      <w:r>
        <w:rPr>
          <w:rFonts w:hint="eastAsia" w:ascii="仿宋" w:hAnsi="仿宋" w:eastAsia="仿宋"/>
          <w:b/>
          <w:color w:val="000000" w:themeColor="text1"/>
          <w:sz w:val="32"/>
          <w:szCs w:val="32"/>
          <w:highlight w:val="none"/>
          <w:lang w:val="en-US" w:eastAsia="zh-CN"/>
          <w14:textFill>
            <w14:solidFill>
              <w14:schemeClr w14:val="tx1"/>
            </w14:solidFill>
          </w14:textFill>
        </w:rPr>
        <w:t>2020</w:t>
      </w:r>
      <w:r>
        <w:rPr>
          <w:rFonts w:hint="eastAsia" w:ascii="仿宋" w:hAnsi="仿宋" w:eastAsia="仿宋"/>
          <w:b/>
          <w:color w:val="000000" w:themeColor="text1"/>
          <w:sz w:val="32"/>
          <w:szCs w:val="32"/>
          <w:highlight w:val="none"/>
          <w14:textFill>
            <w14:solidFill>
              <w14:schemeClr w14:val="tx1"/>
            </w14:solidFill>
          </w14:textFill>
        </w:rPr>
        <w:t>年一般公共预算支出决算数为</w:t>
      </w:r>
      <w:r>
        <w:rPr>
          <w:rFonts w:hint="eastAsia" w:ascii="仿宋" w:hAnsi="仿宋" w:eastAsia="仿宋"/>
          <w:bCs/>
          <w:color w:val="000000" w:themeColor="text1"/>
          <w:sz w:val="32"/>
          <w:szCs w:val="32"/>
          <w:highlight w:val="none"/>
          <w:lang w:val="en-US" w:eastAsia="zh-CN"/>
          <w14:textFill>
            <w14:solidFill>
              <w14:schemeClr w14:val="tx1"/>
            </w14:solidFill>
          </w14:textFill>
        </w:rPr>
        <w:t>778.56</w:t>
      </w:r>
      <w:r>
        <w:rPr>
          <w:rFonts w:hint="eastAsia" w:ascii="仿宋" w:hAnsi="仿宋" w:eastAsia="仿宋"/>
          <w:bCs/>
          <w:color w:val="000000" w:themeColor="text1"/>
          <w:sz w:val="32"/>
          <w:szCs w:val="32"/>
          <w:highlight w:val="none"/>
          <w14:textFill>
            <w14:solidFill>
              <w14:schemeClr w14:val="tx1"/>
            </w14:solidFill>
          </w14:textFill>
        </w:rPr>
        <w:t>万元</w:t>
      </w:r>
      <w:r>
        <w:rPr>
          <w:rFonts w:hint="eastAsia" w:ascii="仿宋" w:hAnsi="仿宋" w:eastAsia="仿宋"/>
          <w:color w:val="000000" w:themeColor="text1"/>
          <w:sz w:val="32"/>
          <w:szCs w:val="32"/>
          <w:highlight w:val="none"/>
          <w14:textFill>
            <w14:solidFill>
              <w14:schemeClr w14:val="tx1"/>
            </w14:solidFill>
          </w14:textFill>
        </w:rPr>
        <w:t>，</w:t>
      </w:r>
      <w:r>
        <w:rPr>
          <w:rStyle w:val="21"/>
          <w:rFonts w:hint="eastAsia" w:ascii="仿宋" w:hAnsi="仿宋" w:eastAsia="仿宋"/>
          <w:bCs/>
          <w:color w:val="000000" w:themeColor="text1"/>
          <w:sz w:val="32"/>
          <w:szCs w:val="32"/>
          <w:highlight w:val="none"/>
          <w14:textFill>
            <w14:solidFill>
              <w14:schemeClr w14:val="tx1"/>
            </w14:solidFill>
          </w14:textFill>
        </w:rPr>
        <w:t>完成</w:t>
      </w:r>
      <w:r>
        <w:rPr>
          <w:rStyle w:val="21"/>
          <w:rFonts w:hint="eastAsia" w:ascii="仿宋" w:hAnsi="仿宋" w:eastAsia="仿宋"/>
          <w:bCs/>
          <w:color w:val="000000"/>
          <w:sz w:val="32"/>
          <w:szCs w:val="32"/>
          <w:highlight w:val="none"/>
        </w:rPr>
        <w:t>预算100</w:t>
      </w:r>
      <w:r>
        <w:rPr>
          <w:rStyle w:val="21"/>
          <w:rFonts w:ascii="仿宋" w:hAnsi="仿宋" w:eastAsia="仿宋"/>
          <w:bCs/>
          <w:color w:val="000000"/>
          <w:sz w:val="32"/>
          <w:szCs w:val="32"/>
          <w:highlight w:val="none"/>
        </w:rPr>
        <w:t>%</w:t>
      </w:r>
      <w:r>
        <w:rPr>
          <w:rStyle w:val="21"/>
          <w:rFonts w:hint="eastAsia" w:ascii="仿宋" w:hAnsi="仿宋" w:eastAsia="仿宋"/>
          <w:bCs/>
          <w:color w:val="000000"/>
          <w:sz w:val="32"/>
          <w:szCs w:val="32"/>
          <w:highlight w:val="none"/>
        </w:rPr>
        <w:t>。其中：</w:t>
      </w:r>
      <w:bookmarkEnd w:id="65"/>
      <w:bookmarkEnd w:id="66"/>
      <w:bookmarkEnd w:id="67"/>
    </w:p>
    <w:p>
      <w:pPr>
        <w:spacing w:line="600" w:lineRule="exact"/>
        <w:ind w:firstLine="643" w:firstLineChars="200"/>
        <w:rPr>
          <w:rFonts w:ascii="仿宋" w:hAnsi="仿宋" w:eastAsia="仿宋"/>
          <w:b/>
          <w:color w:val="000000"/>
          <w:sz w:val="32"/>
          <w:szCs w:val="32"/>
          <w:highlight w:val="none"/>
        </w:rPr>
      </w:pPr>
      <w:r>
        <w:rPr>
          <w:rStyle w:val="21"/>
          <w:rFonts w:ascii="仿宋" w:hAnsi="仿宋" w:eastAsia="仿宋"/>
          <w:bCs/>
          <w:color w:val="000000"/>
          <w:sz w:val="32"/>
          <w:szCs w:val="32"/>
          <w:highlight w:val="none"/>
        </w:rPr>
        <w:t>1.</w:t>
      </w:r>
      <w:r>
        <w:rPr>
          <w:rFonts w:hint="eastAsia" w:ascii="仿宋_GB2312" w:eastAsia="仿宋_GB2312"/>
          <w:color w:val="000000"/>
          <w:sz w:val="32"/>
          <w:szCs w:val="32"/>
          <w:highlight w:val="none"/>
        </w:rPr>
        <w:t>一般公共服务支出</w:t>
      </w:r>
      <w:r>
        <w:rPr>
          <w:rFonts w:hint="eastAsia" w:ascii="仿宋_GB2312" w:eastAsia="仿宋_GB2312"/>
          <w:color w:val="000000"/>
          <w:sz w:val="32"/>
          <w:szCs w:val="32"/>
          <w:highlight w:val="none"/>
          <w:lang w:val="en-US" w:eastAsia="zh-CN"/>
        </w:rPr>
        <w:t>394.39</w:t>
      </w:r>
      <w:r>
        <w:rPr>
          <w:rFonts w:hint="eastAsia" w:ascii="仿宋_GB2312" w:eastAsia="仿宋_GB2312"/>
          <w:color w:val="000000"/>
          <w:sz w:val="32"/>
          <w:szCs w:val="32"/>
          <w:highlight w:val="none"/>
        </w:rPr>
        <w:t>万元（其中：</w:t>
      </w:r>
      <w:r>
        <w:rPr>
          <w:rStyle w:val="21"/>
          <w:rFonts w:hint="eastAsia" w:ascii="仿宋" w:hAnsi="仿宋" w:eastAsia="仿宋"/>
          <w:color w:val="000000"/>
          <w:sz w:val="32"/>
          <w:szCs w:val="32"/>
          <w:highlight w:val="none"/>
        </w:rPr>
        <w:t>2012304</w:t>
      </w:r>
      <w:r>
        <w:rPr>
          <w:rStyle w:val="21"/>
          <w:rFonts w:hint="eastAsia" w:ascii="仿宋_GB2312" w:hAnsi="仿宋" w:eastAsia="仿宋_GB2312"/>
          <w:color w:val="000000"/>
          <w:sz w:val="32"/>
          <w:szCs w:val="32"/>
          <w:highlight w:val="none"/>
        </w:rPr>
        <w:t>民族工作专项</w:t>
      </w:r>
      <w:r>
        <w:rPr>
          <w:rFonts w:hint="eastAsia" w:ascii="仿宋_GB2312" w:eastAsia="仿宋_GB2312"/>
          <w:color w:val="000000"/>
          <w:sz w:val="32"/>
          <w:szCs w:val="32"/>
          <w:highlight w:val="none"/>
          <w:lang w:val="en-US" w:eastAsia="zh-CN"/>
        </w:rPr>
        <w:t>3.97</w:t>
      </w:r>
      <w:r>
        <w:rPr>
          <w:rFonts w:hint="eastAsia" w:ascii="仿宋_GB2312" w:eastAsia="仿宋_GB2312"/>
          <w:color w:val="000000"/>
          <w:sz w:val="32"/>
          <w:szCs w:val="32"/>
          <w:highlight w:val="none"/>
        </w:rPr>
        <w:t>万元，</w:t>
      </w:r>
      <w:r>
        <w:rPr>
          <w:rStyle w:val="21"/>
          <w:rFonts w:hint="eastAsia" w:ascii="仿宋" w:hAnsi="仿宋" w:eastAsia="仿宋"/>
          <w:color w:val="000000"/>
          <w:sz w:val="32"/>
          <w:szCs w:val="32"/>
          <w:highlight w:val="none"/>
        </w:rPr>
        <w:t>2012399</w:t>
      </w:r>
      <w:r>
        <w:rPr>
          <w:rStyle w:val="21"/>
          <w:rFonts w:hint="eastAsia" w:ascii="仿宋_GB2312" w:hAnsi="仿宋" w:eastAsia="仿宋_GB2312"/>
          <w:color w:val="000000"/>
          <w:sz w:val="32"/>
          <w:szCs w:val="32"/>
          <w:highlight w:val="none"/>
        </w:rPr>
        <w:t>其他民族事务支出</w:t>
      </w:r>
      <w:r>
        <w:rPr>
          <w:rStyle w:val="21"/>
          <w:rFonts w:hint="eastAsia" w:ascii="仿宋_GB2312" w:hAnsi="仿宋" w:eastAsia="仿宋_GB2312"/>
          <w:b w:val="0"/>
          <w:color w:val="000000"/>
          <w:sz w:val="32"/>
          <w:szCs w:val="32"/>
          <w:highlight w:val="none"/>
          <w:lang w:val="en-US" w:eastAsia="zh-CN"/>
        </w:rPr>
        <w:t>340.42</w:t>
      </w:r>
      <w:r>
        <w:rPr>
          <w:rStyle w:val="21"/>
          <w:rFonts w:hint="eastAsia" w:ascii="仿宋_GB2312" w:hAnsi="仿宋" w:eastAsia="仿宋_GB2312"/>
          <w:b w:val="0"/>
          <w:color w:val="000000"/>
          <w:sz w:val="32"/>
          <w:szCs w:val="32"/>
          <w:highlight w:val="none"/>
        </w:rPr>
        <w:t>万元，</w:t>
      </w:r>
      <w:r>
        <w:rPr>
          <w:rStyle w:val="21"/>
          <w:rFonts w:hint="eastAsia" w:ascii="仿宋" w:hAnsi="仿宋" w:eastAsia="仿宋"/>
          <w:color w:val="000000"/>
          <w:sz w:val="32"/>
          <w:szCs w:val="32"/>
          <w:highlight w:val="none"/>
        </w:rPr>
        <w:t>2013499</w:t>
      </w:r>
      <w:r>
        <w:rPr>
          <w:rStyle w:val="21"/>
          <w:rFonts w:hint="eastAsia" w:ascii="仿宋_GB2312" w:hAnsi="仿宋" w:eastAsia="仿宋_GB2312"/>
          <w:color w:val="000000"/>
          <w:sz w:val="32"/>
          <w:szCs w:val="32"/>
          <w:highlight w:val="none"/>
        </w:rPr>
        <w:t>其他统战事务支出</w:t>
      </w:r>
      <w:r>
        <w:rPr>
          <w:rFonts w:hint="eastAsia" w:ascii="仿宋_GB2312" w:eastAsia="仿宋_GB2312"/>
          <w:color w:val="000000"/>
          <w:sz w:val="32"/>
          <w:szCs w:val="32"/>
          <w:highlight w:val="none"/>
          <w:lang w:val="en-US" w:eastAsia="zh-CN"/>
        </w:rPr>
        <w:t>50</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val="en-US" w:eastAsia="zh-CN"/>
        </w:rPr>
        <w:t>,</w:t>
      </w:r>
      <w:r>
        <w:rPr>
          <w:rStyle w:val="21"/>
          <w:rFonts w:hint="eastAsia" w:ascii="仿宋" w:hAnsi="仿宋" w:eastAsia="仿宋"/>
          <w:b w:val="0"/>
          <w:bCs/>
          <w:color w:val="000000"/>
          <w:sz w:val="32"/>
          <w:szCs w:val="32"/>
          <w:highlight w:val="none"/>
        </w:rPr>
        <w:t>完成预算100</w:t>
      </w:r>
      <w:r>
        <w:rPr>
          <w:rStyle w:val="21"/>
          <w:rFonts w:ascii="仿宋" w:hAnsi="仿宋" w:eastAsia="仿宋"/>
          <w:b w:val="0"/>
          <w:bCs/>
          <w:color w:val="000000"/>
          <w:sz w:val="32"/>
          <w:szCs w:val="32"/>
          <w:highlight w:val="none"/>
        </w:rPr>
        <w:t>%</w:t>
      </w:r>
      <w:r>
        <w:rPr>
          <w:rStyle w:val="21"/>
          <w:rFonts w:hint="eastAsia" w:ascii="仿宋" w:hAnsi="仿宋" w:eastAsia="仿宋"/>
          <w:b w:val="0"/>
          <w:bCs/>
          <w:color w:val="000000"/>
          <w:sz w:val="32"/>
          <w:szCs w:val="32"/>
          <w:highlight w:val="none"/>
        </w:rPr>
        <w:t>。</w:t>
      </w:r>
    </w:p>
    <w:p>
      <w:pPr>
        <w:spacing w:line="600" w:lineRule="exact"/>
        <w:ind w:firstLine="643" w:firstLineChars="200"/>
        <w:rPr>
          <w:rFonts w:ascii="仿宋" w:hAnsi="仿宋" w:eastAsia="仿宋"/>
          <w:b/>
          <w:color w:val="000000"/>
          <w:sz w:val="32"/>
          <w:szCs w:val="32"/>
          <w:highlight w:val="none"/>
        </w:rPr>
      </w:pPr>
      <w:r>
        <w:rPr>
          <w:rStyle w:val="21"/>
          <w:rFonts w:ascii="仿宋" w:hAnsi="仿宋" w:eastAsia="仿宋"/>
          <w:bCs/>
          <w:color w:val="000000"/>
          <w:sz w:val="32"/>
          <w:szCs w:val="32"/>
          <w:highlight w:val="none"/>
        </w:rPr>
        <w:t>2.</w:t>
      </w:r>
      <w:r>
        <w:rPr>
          <w:rFonts w:hint="eastAsia" w:ascii="仿宋_GB2312" w:eastAsia="仿宋_GB2312"/>
          <w:color w:val="000000"/>
          <w:sz w:val="32"/>
          <w:szCs w:val="32"/>
          <w:highlight w:val="none"/>
        </w:rPr>
        <w:t>社会保障和就业支出</w:t>
      </w:r>
      <w:r>
        <w:rPr>
          <w:rFonts w:hint="eastAsia" w:ascii="仿宋_GB2312" w:eastAsia="仿宋_GB2312"/>
          <w:color w:val="000000"/>
          <w:sz w:val="32"/>
          <w:szCs w:val="32"/>
          <w:highlight w:val="none"/>
          <w:lang w:val="en-US" w:eastAsia="zh-CN"/>
        </w:rPr>
        <w:t>28.14</w:t>
      </w:r>
      <w:r>
        <w:rPr>
          <w:rFonts w:hint="eastAsia" w:ascii="仿宋_GB2312" w:eastAsia="仿宋_GB2312"/>
          <w:color w:val="000000"/>
          <w:sz w:val="32"/>
          <w:szCs w:val="32"/>
          <w:highlight w:val="none"/>
        </w:rPr>
        <w:t>万元（其中：</w:t>
      </w:r>
      <w:r>
        <w:rPr>
          <w:rStyle w:val="21"/>
          <w:rFonts w:hint="eastAsia" w:ascii="仿宋" w:hAnsi="仿宋" w:eastAsia="仿宋"/>
          <w:color w:val="000000"/>
          <w:sz w:val="32"/>
          <w:szCs w:val="32"/>
          <w:highlight w:val="none"/>
        </w:rPr>
        <w:t>2080505</w:t>
      </w:r>
      <w:r>
        <w:rPr>
          <w:rStyle w:val="21"/>
          <w:rFonts w:hint="eastAsia" w:ascii="仿宋_GB2312" w:hAnsi="仿宋" w:eastAsia="仿宋_GB2312"/>
          <w:color w:val="000000"/>
          <w:sz w:val="32"/>
          <w:szCs w:val="32"/>
          <w:highlight w:val="none"/>
        </w:rPr>
        <w:t>机关事业单位养老保险缴费</w:t>
      </w:r>
      <w:r>
        <w:rPr>
          <w:rFonts w:hint="eastAsia" w:ascii="仿宋_GB2312" w:eastAsia="仿宋_GB2312"/>
          <w:color w:val="000000"/>
          <w:sz w:val="32"/>
          <w:szCs w:val="32"/>
          <w:highlight w:val="none"/>
        </w:rPr>
        <w:t>支出</w:t>
      </w:r>
      <w:r>
        <w:rPr>
          <w:rFonts w:hint="eastAsia" w:ascii="仿宋_GB2312" w:eastAsia="仿宋_GB2312"/>
          <w:color w:val="000000"/>
          <w:sz w:val="32"/>
          <w:szCs w:val="32"/>
          <w:highlight w:val="none"/>
          <w:lang w:val="en-US" w:eastAsia="zh-CN"/>
        </w:rPr>
        <w:t>19.10</w:t>
      </w:r>
      <w:r>
        <w:rPr>
          <w:rFonts w:hint="eastAsia" w:ascii="仿宋_GB2312" w:eastAsia="仿宋_GB2312"/>
          <w:color w:val="000000"/>
          <w:sz w:val="32"/>
          <w:szCs w:val="32"/>
          <w:highlight w:val="none"/>
        </w:rPr>
        <w:t>万元，</w:t>
      </w:r>
      <w:r>
        <w:rPr>
          <w:rStyle w:val="21"/>
          <w:rFonts w:hint="eastAsia" w:ascii="仿宋" w:hAnsi="仿宋" w:eastAsia="仿宋"/>
          <w:color w:val="000000"/>
          <w:sz w:val="32"/>
          <w:szCs w:val="32"/>
          <w:highlight w:val="none"/>
        </w:rPr>
        <w:t>2080506</w:t>
      </w:r>
      <w:r>
        <w:rPr>
          <w:rStyle w:val="21"/>
          <w:rFonts w:hint="eastAsia" w:ascii="仿宋_GB2312" w:hAnsi="仿宋" w:eastAsia="仿宋_GB2312"/>
          <w:color w:val="000000"/>
          <w:sz w:val="32"/>
          <w:szCs w:val="32"/>
          <w:highlight w:val="none"/>
        </w:rPr>
        <w:t>机关事业单位职业年金缴费</w:t>
      </w:r>
      <w:r>
        <w:rPr>
          <w:rFonts w:hint="eastAsia" w:ascii="仿宋_GB2312" w:eastAsia="仿宋_GB2312"/>
          <w:color w:val="000000"/>
          <w:sz w:val="32"/>
          <w:szCs w:val="32"/>
          <w:highlight w:val="none"/>
        </w:rPr>
        <w:t>支出</w:t>
      </w:r>
      <w:r>
        <w:rPr>
          <w:rFonts w:hint="eastAsia" w:ascii="仿宋_GB2312" w:eastAsia="仿宋_GB2312"/>
          <w:color w:val="000000"/>
          <w:sz w:val="32"/>
          <w:szCs w:val="32"/>
          <w:highlight w:val="none"/>
          <w:lang w:val="en-US" w:eastAsia="zh-CN"/>
        </w:rPr>
        <w:t>9.04</w:t>
      </w:r>
      <w:r>
        <w:rPr>
          <w:rFonts w:hint="eastAsia" w:ascii="仿宋_GB2312" w:eastAsia="仿宋_GB2312"/>
          <w:color w:val="000000"/>
          <w:sz w:val="32"/>
          <w:szCs w:val="32"/>
          <w:highlight w:val="none"/>
        </w:rPr>
        <w:t>万元）</w:t>
      </w:r>
      <w:r>
        <w:rPr>
          <w:rStyle w:val="21"/>
          <w:rFonts w:hint="eastAsia" w:ascii="仿宋" w:hAnsi="仿宋" w:eastAsia="仿宋"/>
          <w:b w:val="0"/>
          <w:bCs/>
          <w:color w:val="000000"/>
          <w:sz w:val="32"/>
          <w:szCs w:val="32"/>
          <w:highlight w:val="none"/>
        </w:rPr>
        <w:t>完成预算100</w:t>
      </w:r>
      <w:r>
        <w:rPr>
          <w:rStyle w:val="21"/>
          <w:rFonts w:ascii="仿宋" w:hAnsi="仿宋" w:eastAsia="仿宋"/>
          <w:b w:val="0"/>
          <w:bCs/>
          <w:color w:val="000000"/>
          <w:sz w:val="32"/>
          <w:szCs w:val="32"/>
          <w:highlight w:val="none"/>
        </w:rPr>
        <w:t>%</w:t>
      </w:r>
      <w:r>
        <w:rPr>
          <w:rStyle w:val="21"/>
          <w:rFonts w:hint="eastAsia" w:ascii="仿宋" w:hAnsi="仿宋" w:eastAsia="仿宋"/>
          <w:b w:val="0"/>
          <w:bCs/>
          <w:color w:val="000000"/>
          <w:sz w:val="32"/>
          <w:szCs w:val="32"/>
          <w:highlight w:val="none"/>
        </w:rPr>
        <w:t>。</w:t>
      </w:r>
    </w:p>
    <w:p>
      <w:pPr>
        <w:spacing w:line="600" w:lineRule="exact"/>
        <w:ind w:firstLine="643" w:firstLineChars="200"/>
        <w:rPr>
          <w:rStyle w:val="21"/>
          <w:rFonts w:ascii="仿宋" w:hAnsi="仿宋" w:eastAsia="仿宋"/>
          <w:b w:val="0"/>
          <w:bCs/>
          <w:color w:val="000000"/>
          <w:sz w:val="32"/>
          <w:szCs w:val="32"/>
          <w:highlight w:val="none"/>
        </w:rPr>
      </w:pPr>
      <w:r>
        <w:rPr>
          <w:rStyle w:val="21"/>
          <w:rFonts w:hint="eastAsia" w:ascii="仿宋" w:hAnsi="仿宋" w:eastAsia="仿宋"/>
          <w:bCs/>
          <w:color w:val="000000"/>
          <w:sz w:val="32"/>
          <w:szCs w:val="32"/>
          <w:highlight w:val="none"/>
        </w:rPr>
        <w:t>3</w:t>
      </w:r>
      <w:r>
        <w:rPr>
          <w:rStyle w:val="21"/>
          <w:rFonts w:ascii="仿宋" w:hAnsi="仿宋" w:eastAsia="仿宋"/>
          <w:bCs/>
          <w:color w:val="000000"/>
          <w:sz w:val="32"/>
          <w:szCs w:val="32"/>
          <w:highlight w:val="none"/>
        </w:rPr>
        <w:t>.</w:t>
      </w:r>
      <w:r>
        <w:rPr>
          <w:rFonts w:hint="eastAsia" w:ascii="仿宋_GB2312" w:eastAsia="仿宋_GB2312"/>
          <w:color w:val="000000"/>
          <w:sz w:val="32"/>
          <w:szCs w:val="32"/>
          <w:highlight w:val="none"/>
        </w:rPr>
        <w:t>医疗卫生和计划生育支出</w:t>
      </w:r>
      <w:r>
        <w:rPr>
          <w:rFonts w:hint="eastAsia" w:ascii="仿宋_GB2312" w:eastAsia="仿宋_GB2312"/>
          <w:color w:val="000000"/>
          <w:sz w:val="32"/>
          <w:szCs w:val="32"/>
          <w:highlight w:val="none"/>
          <w:lang w:val="en-US" w:eastAsia="zh-CN"/>
        </w:rPr>
        <w:t>10.54</w:t>
      </w:r>
      <w:r>
        <w:rPr>
          <w:rFonts w:hint="eastAsia" w:ascii="仿宋_GB2312" w:eastAsia="仿宋_GB2312"/>
          <w:color w:val="000000"/>
          <w:sz w:val="32"/>
          <w:szCs w:val="32"/>
          <w:highlight w:val="none"/>
        </w:rPr>
        <w:t>万元，（其中：</w:t>
      </w:r>
      <w:r>
        <w:rPr>
          <w:rStyle w:val="21"/>
          <w:rFonts w:hint="eastAsia" w:ascii="仿宋" w:hAnsi="仿宋" w:eastAsia="仿宋"/>
          <w:color w:val="000000"/>
          <w:sz w:val="32"/>
          <w:szCs w:val="32"/>
          <w:highlight w:val="none"/>
        </w:rPr>
        <w:t>2101101</w:t>
      </w:r>
      <w:r>
        <w:rPr>
          <w:rStyle w:val="21"/>
          <w:rFonts w:hint="eastAsia" w:ascii="仿宋_GB2312" w:hAnsi="仿宋" w:eastAsia="仿宋_GB2312"/>
          <w:color w:val="000000"/>
          <w:sz w:val="32"/>
          <w:szCs w:val="32"/>
          <w:highlight w:val="none"/>
        </w:rPr>
        <w:t>行政单位医疗</w:t>
      </w:r>
      <w:r>
        <w:rPr>
          <w:rStyle w:val="21"/>
          <w:rFonts w:hint="eastAsia" w:ascii="仿宋_GB2312" w:hAnsi="仿宋" w:eastAsia="仿宋_GB2312"/>
          <w:b w:val="0"/>
          <w:color w:val="000000"/>
          <w:sz w:val="32"/>
          <w:szCs w:val="32"/>
          <w:highlight w:val="none"/>
        </w:rPr>
        <w:t>支出</w:t>
      </w:r>
      <w:r>
        <w:rPr>
          <w:rStyle w:val="21"/>
          <w:rFonts w:hint="eastAsia" w:ascii="仿宋_GB2312" w:hAnsi="仿宋" w:eastAsia="仿宋_GB2312"/>
          <w:b w:val="0"/>
          <w:color w:val="000000"/>
          <w:sz w:val="32"/>
          <w:szCs w:val="32"/>
          <w:highlight w:val="none"/>
          <w:lang w:val="en-US" w:eastAsia="zh-CN"/>
        </w:rPr>
        <w:t>10.54</w:t>
      </w:r>
      <w:r>
        <w:rPr>
          <w:rStyle w:val="21"/>
          <w:rFonts w:hint="eastAsia" w:ascii="仿宋_GB2312" w:hAnsi="仿宋" w:eastAsia="仿宋_GB2312"/>
          <w:b w:val="0"/>
          <w:color w:val="000000"/>
          <w:sz w:val="32"/>
          <w:szCs w:val="32"/>
          <w:highlight w:val="none"/>
        </w:rPr>
        <w:t>万元</w:t>
      </w:r>
      <w:r>
        <w:rPr>
          <w:rFonts w:hint="eastAsia" w:ascii="仿宋_GB2312" w:eastAsia="仿宋_GB2312"/>
          <w:color w:val="000000"/>
          <w:sz w:val="32"/>
          <w:szCs w:val="32"/>
          <w:highlight w:val="none"/>
        </w:rPr>
        <w:t>）</w:t>
      </w:r>
      <w:r>
        <w:rPr>
          <w:rStyle w:val="21"/>
          <w:rFonts w:hint="eastAsia" w:ascii="仿宋" w:hAnsi="仿宋" w:eastAsia="仿宋"/>
          <w:b w:val="0"/>
          <w:bCs/>
          <w:color w:val="000000"/>
          <w:sz w:val="32"/>
          <w:szCs w:val="32"/>
          <w:highlight w:val="none"/>
        </w:rPr>
        <w:t>完成预算100</w:t>
      </w:r>
      <w:r>
        <w:rPr>
          <w:rStyle w:val="21"/>
          <w:rFonts w:ascii="仿宋" w:hAnsi="仿宋" w:eastAsia="仿宋"/>
          <w:b w:val="0"/>
          <w:bCs/>
          <w:color w:val="000000"/>
          <w:sz w:val="32"/>
          <w:szCs w:val="32"/>
          <w:highlight w:val="none"/>
        </w:rPr>
        <w:t>%</w:t>
      </w:r>
      <w:r>
        <w:rPr>
          <w:rStyle w:val="21"/>
          <w:rFonts w:hint="eastAsia" w:ascii="仿宋" w:hAnsi="仿宋" w:eastAsia="仿宋"/>
          <w:b w:val="0"/>
          <w:bCs/>
          <w:color w:val="000000"/>
          <w:sz w:val="32"/>
          <w:szCs w:val="32"/>
          <w:highlight w:val="none"/>
        </w:rPr>
        <w:t>。</w:t>
      </w:r>
    </w:p>
    <w:p>
      <w:pPr>
        <w:spacing w:line="600" w:lineRule="exact"/>
        <w:ind w:firstLine="643" w:firstLineChars="200"/>
        <w:rPr>
          <w:rFonts w:ascii="仿宋_GB2312" w:eastAsia="仿宋_GB2312"/>
          <w:color w:val="000000"/>
          <w:sz w:val="32"/>
          <w:szCs w:val="32"/>
          <w:highlight w:val="none"/>
        </w:rPr>
      </w:pPr>
      <w:r>
        <w:rPr>
          <w:rStyle w:val="21"/>
          <w:rFonts w:hint="eastAsia" w:ascii="仿宋" w:hAnsi="仿宋" w:eastAsia="仿宋"/>
          <w:bCs/>
          <w:color w:val="000000"/>
          <w:sz w:val="32"/>
          <w:szCs w:val="32"/>
          <w:highlight w:val="none"/>
        </w:rPr>
        <w:t>4</w:t>
      </w:r>
      <w:r>
        <w:rPr>
          <w:rStyle w:val="21"/>
          <w:rFonts w:hint="eastAsia" w:ascii="仿宋" w:hAnsi="仿宋" w:eastAsia="仿宋"/>
          <w:bCs/>
          <w:color w:val="000000"/>
          <w:sz w:val="32"/>
          <w:szCs w:val="32"/>
          <w:highlight w:val="none"/>
          <w:lang w:val="en-US" w:eastAsia="zh-CN"/>
        </w:rPr>
        <w:t>.</w:t>
      </w:r>
      <w:r>
        <w:rPr>
          <w:rFonts w:hint="eastAsia" w:ascii="仿宋_GB2312" w:eastAsia="仿宋_GB2312"/>
          <w:color w:val="000000"/>
          <w:sz w:val="32"/>
          <w:szCs w:val="32"/>
          <w:highlight w:val="none"/>
        </w:rPr>
        <w:t>住房保障支出</w:t>
      </w:r>
      <w:r>
        <w:rPr>
          <w:rFonts w:hint="eastAsia" w:ascii="仿宋_GB2312" w:eastAsia="仿宋_GB2312"/>
          <w:color w:val="000000"/>
          <w:sz w:val="32"/>
          <w:szCs w:val="32"/>
          <w:highlight w:val="none"/>
          <w:lang w:val="en-US" w:eastAsia="zh-CN"/>
        </w:rPr>
        <w:t>18.36</w:t>
      </w:r>
      <w:r>
        <w:rPr>
          <w:rFonts w:hint="eastAsia" w:ascii="仿宋_GB2312" w:eastAsia="仿宋_GB2312"/>
          <w:color w:val="000000"/>
          <w:sz w:val="32"/>
          <w:szCs w:val="32"/>
          <w:highlight w:val="none"/>
        </w:rPr>
        <w:t>万元，（其中：</w:t>
      </w:r>
      <w:r>
        <w:rPr>
          <w:rStyle w:val="21"/>
          <w:rFonts w:hint="eastAsia" w:ascii="仿宋" w:hAnsi="仿宋" w:eastAsia="仿宋"/>
          <w:color w:val="000000"/>
          <w:sz w:val="32"/>
          <w:szCs w:val="32"/>
          <w:highlight w:val="none"/>
        </w:rPr>
        <w:t>2210201</w:t>
      </w:r>
      <w:r>
        <w:rPr>
          <w:rStyle w:val="21"/>
          <w:rFonts w:hint="eastAsia" w:ascii="仿宋_GB2312" w:hAnsi="仿宋" w:eastAsia="仿宋_GB2312"/>
          <w:color w:val="000000"/>
          <w:sz w:val="32"/>
          <w:szCs w:val="32"/>
          <w:highlight w:val="none"/>
        </w:rPr>
        <w:t>住房公积金支出</w:t>
      </w:r>
      <w:r>
        <w:rPr>
          <w:rFonts w:hint="eastAsia" w:ascii="仿宋_GB2312" w:eastAsia="仿宋_GB2312"/>
          <w:color w:val="000000"/>
          <w:sz w:val="32"/>
          <w:szCs w:val="32"/>
          <w:highlight w:val="none"/>
          <w:lang w:val="en-US" w:eastAsia="zh-CN"/>
        </w:rPr>
        <w:t>18.36</w:t>
      </w:r>
      <w:r>
        <w:rPr>
          <w:rFonts w:hint="eastAsia" w:ascii="仿宋_GB2312" w:eastAsia="仿宋_GB2312"/>
          <w:color w:val="000000"/>
          <w:sz w:val="32"/>
          <w:szCs w:val="32"/>
          <w:highlight w:val="none"/>
        </w:rPr>
        <w:t>万元）完成预算100%。</w:t>
      </w:r>
    </w:p>
    <w:p>
      <w:pPr>
        <w:spacing w:line="600" w:lineRule="exact"/>
        <w:ind w:firstLine="643" w:firstLineChars="200"/>
        <w:rPr>
          <w:rFonts w:ascii="仿宋_GB2312" w:eastAsia="仿宋_GB2312"/>
          <w:color w:val="000000"/>
          <w:sz w:val="32"/>
          <w:szCs w:val="32"/>
          <w:highlight w:val="none"/>
        </w:rPr>
      </w:pPr>
      <w:r>
        <w:rPr>
          <w:rStyle w:val="21"/>
          <w:rFonts w:hint="eastAsia" w:ascii="仿宋" w:hAnsi="仿宋" w:eastAsia="仿宋"/>
          <w:bCs/>
          <w:color w:val="000000"/>
          <w:sz w:val="32"/>
          <w:szCs w:val="32"/>
          <w:highlight w:val="none"/>
          <w:lang w:val="en-US" w:eastAsia="zh-CN"/>
        </w:rPr>
        <w:t>5</w:t>
      </w:r>
      <w:r>
        <w:rPr>
          <w:rStyle w:val="21"/>
          <w:rFonts w:ascii="仿宋" w:hAnsi="仿宋" w:eastAsia="仿宋"/>
          <w:bCs/>
          <w:color w:val="000000"/>
          <w:sz w:val="32"/>
          <w:szCs w:val="32"/>
          <w:highlight w:val="none"/>
        </w:rPr>
        <w:t>.</w:t>
      </w:r>
      <w:r>
        <w:rPr>
          <w:rFonts w:hint="eastAsia" w:ascii="仿宋_GB2312" w:eastAsia="仿宋_GB2312"/>
          <w:color w:val="000000"/>
          <w:sz w:val="32"/>
          <w:szCs w:val="32"/>
          <w:highlight w:val="none"/>
        </w:rPr>
        <w:t>公共安全支出</w:t>
      </w:r>
      <w:r>
        <w:rPr>
          <w:rFonts w:hint="eastAsia" w:ascii="仿宋_GB2312" w:eastAsia="仿宋_GB2312"/>
          <w:color w:val="000000"/>
          <w:sz w:val="32"/>
          <w:szCs w:val="32"/>
          <w:highlight w:val="none"/>
          <w:lang w:val="en-US" w:eastAsia="zh-CN"/>
        </w:rPr>
        <w:t>83.97</w:t>
      </w:r>
      <w:r>
        <w:rPr>
          <w:rFonts w:hint="eastAsia" w:ascii="仿宋_GB2312" w:eastAsia="仿宋_GB2312"/>
          <w:color w:val="000000"/>
          <w:sz w:val="32"/>
          <w:szCs w:val="32"/>
          <w:highlight w:val="none"/>
        </w:rPr>
        <w:t>万元，（其中：</w:t>
      </w:r>
      <w:r>
        <w:rPr>
          <w:rStyle w:val="21"/>
          <w:rFonts w:hint="eastAsia" w:ascii="仿宋" w:hAnsi="仿宋" w:eastAsia="仿宋"/>
          <w:color w:val="000000"/>
          <w:sz w:val="32"/>
          <w:szCs w:val="32"/>
          <w:highlight w:val="none"/>
        </w:rPr>
        <w:t>2049901其他公共安全支出</w:t>
      </w:r>
      <w:r>
        <w:rPr>
          <w:rStyle w:val="21"/>
          <w:rFonts w:hint="eastAsia" w:ascii="仿宋" w:hAnsi="仿宋" w:eastAsia="仿宋"/>
          <w:b w:val="0"/>
          <w:color w:val="000000"/>
          <w:sz w:val="32"/>
          <w:szCs w:val="32"/>
          <w:highlight w:val="none"/>
          <w:lang w:val="en-US" w:eastAsia="zh-CN"/>
        </w:rPr>
        <w:t>83.97</w:t>
      </w:r>
      <w:r>
        <w:rPr>
          <w:rStyle w:val="21"/>
          <w:rFonts w:hint="eastAsia" w:ascii="仿宋" w:hAnsi="仿宋" w:eastAsia="仿宋"/>
          <w:b w:val="0"/>
          <w:color w:val="000000"/>
          <w:sz w:val="32"/>
          <w:szCs w:val="32"/>
          <w:highlight w:val="none"/>
        </w:rPr>
        <w:t>万元</w:t>
      </w:r>
      <w:r>
        <w:rPr>
          <w:rFonts w:hint="eastAsia" w:ascii="仿宋_GB2312" w:eastAsia="仿宋_GB2312"/>
          <w:color w:val="000000"/>
          <w:sz w:val="32"/>
          <w:szCs w:val="32"/>
          <w:highlight w:val="none"/>
        </w:rPr>
        <w:t>）完成预算100%。</w:t>
      </w:r>
    </w:p>
    <w:p>
      <w:pPr>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highlight w:val="none"/>
          <w:lang w:val="en-US" w:eastAsia="zh-CN"/>
        </w:rPr>
        <w:t>6</w:t>
      </w:r>
      <w:r>
        <w:rPr>
          <w:rStyle w:val="21"/>
          <w:rFonts w:ascii="仿宋" w:hAnsi="仿宋" w:eastAsia="仿宋"/>
          <w:bCs/>
          <w:color w:val="000000"/>
          <w:sz w:val="32"/>
          <w:szCs w:val="32"/>
          <w:highlight w:val="none"/>
        </w:rPr>
        <w:t>.</w:t>
      </w:r>
      <w:r>
        <w:rPr>
          <w:rFonts w:hint="eastAsia" w:ascii="仿宋_GB2312" w:eastAsia="仿宋_GB2312"/>
          <w:color w:val="000000"/>
          <w:sz w:val="32"/>
          <w:szCs w:val="32"/>
          <w:highlight w:val="none"/>
        </w:rPr>
        <w:t>其他支出</w:t>
      </w:r>
      <w:r>
        <w:rPr>
          <w:rFonts w:hint="eastAsia" w:ascii="仿宋_GB2312" w:eastAsia="仿宋_GB2312"/>
          <w:color w:val="000000"/>
          <w:sz w:val="32"/>
          <w:szCs w:val="32"/>
          <w:highlight w:val="none"/>
          <w:lang w:val="en-US" w:eastAsia="zh-CN"/>
        </w:rPr>
        <w:t>243.16</w:t>
      </w:r>
      <w:r>
        <w:rPr>
          <w:rFonts w:hint="eastAsia" w:ascii="仿宋_GB2312" w:eastAsia="仿宋_GB2312"/>
          <w:color w:val="000000"/>
          <w:sz w:val="32"/>
          <w:szCs w:val="32"/>
          <w:highlight w:val="none"/>
        </w:rPr>
        <w:t>万元，（其中：229</w:t>
      </w:r>
      <w:r>
        <w:rPr>
          <w:rStyle w:val="21"/>
          <w:rFonts w:hint="eastAsia" w:ascii="仿宋" w:hAnsi="仿宋" w:eastAsia="仿宋"/>
          <w:color w:val="000000"/>
          <w:sz w:val="32"/>
          <w:szCs w:val="32"/>
          <w:highlight w:val="none"/>
        </w:rPr>
        <w:t>9901其他支出</w:t>
      </w:r>
      <w:r>
        <w:rPr>
          <w:rStyle w:val="21"/>
          <w:rFonts w:hint="eastAsia" w:ascii="仿宋" w:hAnsi="仿宋" w:eastAsia="仿宋"/>
          <w:b w:val="0"/>
          <w:color w:val="000000"/>
          <w:sz w:val="32"/>
          <w:szCs w:val="32"/>
          <w:highlight w:val="none"/>
          <w:lang w:val="en-US" w:eastAsia="zh-CN"/>
        </w:rPr>
        <w:t>243.16</w:t>
      </w:r>
      <w:r>
        <w:rPr>
          <w:rStyle w:val="21"/>
          <w:rFonts w:hint="eastAsia" w:ascii="仿宋" w:hAnsi="仿宋" w:eastAsia="仿宋"/>
          <w:b w:val="0"/>
          <w:color w:val="000000"/>
          <w:sz w:val="32"/>
          <w:szCs w:val="32"/>
          <w:highlight w:val="none"/>
        </w:rPr>
        <w:t>万元</w:t>
      </w:r>
      <w:r>
        <w:rPr>
          <w:rFonts w:hint="eastAsia" w:ascii="仿宋_GB2312" w:eastAsia="仿宋_GB2312"/>
          <w:color w:val="000000"/>
          <w:sz w:val="32"/>
          <w:szCs w:val="32"/>
          <w:highlight w:val="none"/>
        </w:rPr>
        <w:t>）完成预算100%。</w:t>
      </w:r>
    </w:p>
    <w:p>
      <w:pPr>
        <w:pStyle w:val="4"/>
        <w:bidi w:val="0"/>
      </w:pPr>
      <w:bookmarkStart w:id="68" w:name="_Toc79163868"/>
      <w:bookmarkStart w:id="69" w:name="_Toc15396608"/>
      <w:bookmarkStart w:id="70" w:name="_Toc79163618"/>
      <w:bookmarkStart w:id="71" w:name="_Toc15377214"/>
      <w:r>
        <w:rPr>
          <w:rFonts w:hint="eastAsia"/>
        </w:rPr>
        <w:t>六、</w:t>
      </w:r>
      <w:r>
        <w:rPr>
          <w:rFonts w:hint="eastAsia"/>
          <w:lang w:val="en-US" w:eastAsia="zh-CN"/>
        </w:rPr>
        <w:t>一般公共预算财政拨款基本支出决算情况说明</w:t>
      </w:r>
      <w:bookmarkEnd w:id="68"/>
      <w:bookmarkEnd w:id="69"/>
      <w:bookmarkEnd w:id="70"/>
      <w:bookmarkEnd w:id="71"/>
      <w: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highlight w:val="none"/>
          <w:lang w:val="en-US" w:eastAsia="zh-CN"/>
        </w:rPr>
        <w:t>248.67</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highlight w:val="none"/>
          <w:lang w:val="en-US" w:eastAsia="zh-CN"/>
        </w:rPr>
        <w:t>222.58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highlight w:val="none"/>
          <w:lang w:val="en-US" w:eastAsia="zh-CN"/>
        </w:rPr>
        <w:t>26.09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4"/>
        <w:bidi w:val="0"/>
      </w:pPr>
      <w:bookmarkStart w:id="72" w:name="_Toc15377215"/>
      <w:bookmarkStart w:id="73" w:name="_Toc15396609"/>
      <w:bookmarkStart w:id="74" w:name="_Toc79163869"/>
      <w:bookmarkStart w:id="75" w:name="_Toc79163619"/>
      <w:r>
        <w:rPr>
          <w:rFonts w:hint="eastAsia"/>
        </w:rPr>
        <w:t>七、</w:t>
      </w:r>
      <w:r>
        <w:rPr>
          <w:rFonts w:hint="eastAsia"/>
          <w:lang w:val="en-US" w:eastAsia="zh-CN"/>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870"/>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highlight w:val="none"/>
          <w:lang w:val="en-US" w:eastAsia="zh-CN"/>
        </w:rPr>
        <w:t>3.76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highlight w:val="none"/>
          <w:lang w:val="en-US" w:eastAsia="zh-CN"/>
        </w:rPr>
        <w:t>3.76</w:t>
      </w:r>
      <w:r>
        <w:rPr>
          <w:rFonts w:hint="eastAsia" w:ascii="仿宋" w:hAnsi="仿宋" w:eastAsia="仿宋"/>
          <w:color w:val="000000"/>
          <w:sz w:val="32"/>
          <w:szCs w:val="32"/>
        </w:rPr>
        <w:t>万元，占</w:t>
      </w:r>
      <w:r>
        <w:rPr>
          <w:rFonts w:hint="eastAsia" w:ascii="仿宋" w:hAnsi="仿宋" w:eastAsia="仿宋"/>
          <w:color w:val="000000"/>
          <w:sz w:val="32"/>
          <w:szCs w:val="32"/>
          <w:highlight w:val="none"/>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rPr>
          <w:rFonts w:ascii="仿宋" w:hAnsi="仿宋" w:eastAsia="仿宋"/>
          <w:color w:val="000000"/>
          <w:sz w:val="32"/>
          <w:szCs w:val="32"/>
          <w:highlight w:val="none"/>
        </w:rPr>
      </w:pPr>
    </w:p>
    <w:p>
      <w:pPr>
        <w:spacing w:line="600" w:lineRule="exact"/>
        <w:ind w:firstLine="640"/>
        <w:rPr>
          <w:rFonts w:ascii="仿宋" w:hAnsi="仿宋" w:eastAsia="仿宋"/>
          <w:color w:val="000000"/>
          <w:sz w:val="32"/>
          <w:szCs w:val="32"/>
          <w:highlight w:val="none"/>
        </w:rPr>
      </w:pPr>
      <w:r>
        <w:rPr>
          <w:rFonts w:hint="eastAsia" w:ascii="仿宋" w:hAnsi="仿宋" w:eastAsia="仿宋"/>
          <w:color w:val="000000"/>
          <w:sz w:val="32"/>
          <w:szCs w:val="32"/>
          <w:highlight w:val="none"/>
        </w:rPr>
        <w:drawing>
          <wp:anchor distT="0" distB="0" distL="114300" distR="114300" simplePos="0" relativeHeight="251663360" behindDoc="0" locked="0" layoutInCell="1" allowOverlap="1">
            <wp:simplePos x="0" y="0"/>
            <wp:positionH relativeFrom="column">
              <wp:posOffset>1179830</wp:posOffset>
            </wp:positionH>
            <wp:positionV relativeFrom="paragraph">
              <wp:posOffset>282575</wp:posOffset>
            </wp:positionV>
            <wp:extent cx="3189605" cy="1761490"/>
            <wp:effectExtent l="4445" t="4445" r="6350" b="571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highlight w:val="none"/>
        </w:rPr>
      </w:pPr>
    </w:p>
    <w:p>
      <w:pPr>
        <w:spacing w:line="600" w:lineRule="exact"/>
        <w:ind w:firstLine="640"/>
        <w:rPr>
          <w:rFonts w:ascii="仿宋" w:hAnsi="仿宋" w:eastAsia="仿宋"/>
          <w:color w:val="000000"/>
          <w:sz w:val="32"/>
          <w:szCs w:val="32"/>
          <w:highlight w:val="none"/>
        </w:rPr>
      </w:pPr>
    </w:p>
    <w:p>
      <w:pPr>
        <w:spacing w:line="600" w:lineRule="exact"/>
        <w:ind w:firstLine="640"/>
        <w:rPr>
          <w:rFonts w:ascii="仿宋" w:hAnsi="仿宋" w:eastAsia="仿宋"/>
          <w:color w:val="000000"/>
          <w:sz w:val="32"/>
          <w:szCs w:val="32"/>
          <w:highlight w:val="none"/>
        </w:rPr>
      </w:pPr>
    </w:p>
    <w:p>
      <w:pPr>
        <w:spacing w:line="600" w:lineRule="exact"/>
        <w:ind w:firstLine="640"/>
        <w:rPr>
          <w:rFonts w:ascii="仿宋" w:hAnsi="仿宋" w:eastAsia="仿宋"/>
          <w:color w:val="000000"/>
          <w:sz w:val="32"/>
          <w:szCs w:val="32"/>
          <w:highlight w:val="none"/>
        </w:rPr>
      </w:pPr>
    </w:p>
    <w:p>
      <w:pPr>
        <w:spacing w:line="600" w:lineRule="exact"/>
        <w:ind w:firstLine="640"/>
        <w:rPr>
          <w:rFonts w:ascii="仿宋" w:hAnsi="仿宋" w:eastAsia="仿宋"/>
          <w:color w:val="000000"/>
          <w:sz w:val="32"/>
          <w:szCs w:val="32"/>
          <w:highlight w:val="none"/>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highlight w:val="none"/>
          <w:lang w:val="en-US" w:eastAsia="zh-CN"/>
        </w:rPr>
        <w:t>3.76</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highlight w:val="none"/>
        </w:rPr>
        <w:t>公务用车购置及运行维护费支出决算比</w:t>
      </w:r>
      <w:r>
        <w:rPr>
          <w:rFonts w:hint="eastAsia" w:ascii="仿宋_GB2312" w:eastAsia="仿宋_GB2312"/>
          <w:color w:val="000000"/>
          <w:sz w:val="32"/>
          <w:szCs w:val="32"/>
          <w:highlight w:val="none"/>
          <w:lang w:val="en-US" w:eastAsia="zh-CN"/>
        </w:rPr>
        <w:t>2019</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eastAsia="zh-CN"/>
        </w:rPr>
        <w:t>减少了</w:t>
      </w:r>
      <w:r>
        <w:rPr>
          <w:rFonts w:hint="eastAsia" w:ascii="仿宋_GB2312" w:eastAsia="仿宋_GB2312"/>
          <w:color w:val="000000"/>
          <w:sz w:val="32"/>
          <w:szCs w:val="32"/>
          <w:highlight w:val="none"/>
          <w:lang w:val="en-US" w:eastAsia="zh-CN"/>
        </w:rPr>
        <w:t>3.21</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减少</w:t>
      </w:r>
      <w:r>
        <w:rPr>
          <w:rFonts w:hint="eastAsia" w:ascii="仿宋_GB2312" w:eastAsia="仿宋_GB2312"/>
          <w:color w:val="000000"/>
          <w:sz w:val="32"/>
          <w:szCs w:val="32"/>
          <w:highlight w:val="none"/>
        </w:rPr>
        <w:t>主要原因是购买公务用车和下乡工作、出差工作</w:t>
      </w:r>
      <w:r>
        <w:rPr>
          <w:rFonts w:hint="eastAsia" w:ascii="仿宋_GB2312" w:eastAsia="仿宋_GB2312"/>
          <w:color w:val="000000"/>
          <w:sz w:val="32"/>
          <w:szCs w:val="32"/>
          <w:highlight w:val="none"/>
          <w:lang w:eastAsia="zh-CN"/>
        </w:rPr>
        <w:t>减少</w:t>
      </w:r>
      <w:r>
        <w:rPr>
          <w:rFonts w:hint="eastAsia" w:ascii="仿宋_GB2312" w:eastAsia="仿宋_GB2312"/>
          <w:color w:val="000000"/>
          <w:sz w:val="32"/>
          <w:szCs w:val="32"/>
          <w:highlight w:val="none"/>
        </w:rPr>
        <w:t>。</w:t>
      </w:r>
    </w:p>
    <w:p>
      <w:pPr>
        <w:spacing w:line="600" w:lineRule="exact"/>
        <w:ind w:firstLine="640" w:firstLineChars="200"/>
        <w:rPr>
          <w:rFonts w:ascii="仿宋_GB2312" w:eastAsia="仿宋_GB2312"/>
          <w:b/>
          <w:color w:val="000000"/>
          <w:sz w:val="32"/>
          <w:szCs w:val="32"/>
          <w:highlight w:val="none"/>
        </w:rPr>
      </w:pPr>
      <w:r>
        <w:rPr>
          <w:rFonts w:hint="eastAsia" w:ascii="仿宋_GB2312" w:eastAsia="仿宋_GB2312"/>
          <w:color w:val="000000"/>
          <w:sz w:val="32"/>
          <w:szCs w:val="32"/>
          <w:highlight w:val="none"/>
        </w:rPr>
        <w:t>其中：</w:t>
      </w:r>
      <w:r>
        <w:rPr>
          <w:rFonts w:hint="eastAsia" w:ascii="仿宋_GB2312" w:eastAsia="仿宋_GB2312"/>
          <w:b/>
          <w:color w:val="000000"/>
          <w:sz w:val="32"/>
          <w:szCs w:val="32"/>
          <w:highlight w:val="none"/>
        </w:rPr>
        <w:t>公务用车购置支出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w:t>
      </w:r>
    </w:p>
    <w:p>
      <w:pPr>
        <w:spacing w:line="600" w:lineRule="exact"/>
        <w:ind w:firstLine="640"/>
        <w:rPr>
          <w:rFonts w:ascii="仿宋_GB2312" w:eastAsia="仿宋_GB2312"/>
          <w:color w:val="000000"/>
          <w:sz w:val="32"/>
          <w:szCs w:val="32"/>
          <w:highlight w:val="none"/>
        </w:rPr>
      </w:pPr>
      <w:r>
        <w:rPr>
          <w:rFonts w:hint="eastAsia" w:ascii="仿宋_GB2312" w:eastAsia="仿宋_GB2312"/>
          <w:b/>
          <w:color w:val="000000"/>
          <w:sz w:val="32"/>
          <w:szCs w:val="32"/>
          <w:highlight w:val="none"/>
        </w:rPr>
        <w:t>公务用车运行维护费支出</w:t>
      </w:r>
      <w:r>
        <w:rPr>
          <w:rFonts w:hint="eastAsia" w:ascii="仿宋_GB2312" w:eastAsia="仿宋_GB2312"/>
          <w:color w:val="000000"/>
          <w:sz w:val="32"/>
          <w:szCs w:val="32"/>
          <w:highlight w:val="none"/>
          <w:lang w:val="en-US" w:eastAsia="zh-CN"/>
        </w:rPr>
        <w:t>3.76</w:t>
      </w:r>
      <w:r>
        <w:rPr>
          <w:rFonts w:hint="eastAsia" w:ascii="仿宋_GB2312" w:eastAsia="仿宋_GB2312"/>
          <w:color w:val="000000"/>
          <w:sz w:val="32"/>
          <w:szCs w:val="32"/>
          <w:highlight w:val="none"/>
        </w:rPr>
        <w:t>万元。主要用于民宗局下乡，出差所需的公务用车燃料费、维修费、过路过桥费、保险费等支出。</w:t>
      </w:r>
    </w:p>
    <w:p>
      <w:pPr>
        <w:numPr>
          <w:ilvl w:val="0"/>
          <w:numId w:val="3"/>
        </w:numPr>
        <w:spacing w:line="600" w:lineRule="exact"/>
        <w:ind w:firstLine="640"/>
        <w:outlineLvl w:val="1"/>
        <w:rPr>
          <w:rFonts w:hint="eastAsia" w:ascii="仿宋_GB2312" w:eastAsia="仿宋_GB2312"/>
          <w:color w:val="000000"/>
          <w:sz w:val="32"/>
          <w:szCs w:val="32"/>
          <w:lang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82" w:name="_Toc15396610"/>
      <w:bookmarkStart w:id="83" w:name="_Toc15377218"/>
      <w:bookmarkStart w:id="84" w:name="_Toc79163622"/>
      <w:bookmarkStart w:id="85" w:name="_Toc79163872"/>
    </w:p>
    <w:p>
      <w:pPr>
        <w:pStyle w:val="4"/>
        <w:bidi w:val="0"/>
      </w:pPr>
      <w:r>
        <w:rPr>
          <w:rFonts w:hint="eastAsia"/>
        </w:rPr>
        <w:t>八、</w:t>
      </w:r>
      <w:r>
        <w:rPr>
          <w:rFonts w:hint="eastAsia"/>
          <w:lang w:val="en-US" w:eastAsia="zh-CN"/>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4"/>
        <w:bidi w:val="0"/>
        <w:rPr>
          <w:rFonts w:hint="eastAsia"/>
          <w:lang w:val="en-US" w:eastAsia="zh-CN"/>
        </w:rPr>
      </w:pPr>
      <w:bookmarkStart w:id="86" w:name="_Toc15377219"/>
      <w:bookmarkStart w:id="87" w:name="_Toc15396611"/>
      <w:bookmarkStart w:id="88" w:name="_Toc79163623"/>
      <w:bookmarkStart w:id="89" w:name="_Toc79163873"/>
      <w:r>
        <w:rPr>
          <w:rFonts w:hint="eastAsia"/>
          <w:lang w:val="en-US" w:eastAsia="zh-CN"/>
        </w:rPr>
        <w:t>九、国有资本经营预算支出决算情况说明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4"/>
        <w:bidi w:val="0"/>
        <w:rPr>
          <w:rFonts w:hint="eastAsia"/>
          <w:lang w:val="en-US" w:eastAsia="zh-CN"/>
        </w:rPr>
      </w:pPr>
      <w:bookmarkStart w:id="90" w:name="_Toc15396612"/>
      <w:bookmarkStart w:id="91" w:name="_Toc15377221"/>
      <w:bookmarkStart w:id="92" w:name="_Toc79163624"/>
      <w:bookmarkStart w:id="93" w:name="_Toc79163874"/>
      <w:r>
        <w:rPr>
          <w:rFonts w:hint="eastAsia"/>
          <w:lang w:val="en-US" w:eastAsia="zh-CN"/>
        </w:rPr>
        <w:t>十、其他重要事项的情况说明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highlight w:val="none"/>
          <w:lang w:eastAsia="zh-CN"/>
        </w:rPr>
      </w:pPr>
      <w:r>
        <w:rPr>
          <w:rFonts w:ascii="仿宋_GB2312" w:eastAsia="仿宋_GB2312"/>
          <w:color w:val="000000"/>
          <w:sz w:val="32"/>
          <w:szCs w:val="32"/>
          <w:highlight w:val="none"/>
        </w:rPr>
        <w:t>2020</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eastAsia="zh-CN"/>
        </w:rPr>
        <w:t>壤塘县民族宗教局</w:t>
      </w:r>
      <w:r>
        <w:rPr>
          <w:rFonts w:hint="eastAsia" w:ascii="仿宋_GB2312" w:eastAsia="仿宋_GB2312"/>
          <w:color w:val="000000"/>
          <w:sz w:val="32"/>
          <w:szCs w:val="32"/>
          <w:highlight w:val="none"/>
        </w:rPr>
        <w:t>机关运行经费支出</w:t>
      </w:r>
      <w:r>
        <w:rPr>
          <w:rFonts w:hint="eastAsia" w:ascii="仿宋_GB2312" w:eastAsia="仿宋_GB2312"/>
          <w:color w:val="000000"/>
          <w:sz w:val="32"/>
          <w:szCs w:val="32"/>
          <w:highlight w:val="none"/>
          <w:lang w:val="en-US" w:eastAsia="zh-CN"/>
        </w:rPr>
        <w:t>26.09</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val="en-US" w:eastAsia="zh-CN"/>
        </w:rPr>
        <w:t>2019年机关运行经费27.46万元。</w:t>
      </w:r>
      <w:r>
        <w:rPr>
          <w:rFonts w:hint="eastAsia" w:ascii="仿宋_GB2312" w:eastAsia="仿宋_GB2312"/>
          <w:color w:val="000000"/>
          <w:sz w:val="32"/>
          <w:szCs w:val="32"/>
          <w:highlight w:val="none"/>
        </w:rPr>
        <w:t>比</w:t>
      </w:r>
      <w:r>
        <w:rPr>
          <w:rFonts w:ascii="仿宋_GB2312" w:eastAsia="仿宋_GB2312"/>
          <w:color w:val="000000"/>
          <w:sz w:val="32"/>
          <w:szCs w:val="32"/>
          <w:highlight w:val="none"/>
        </w:rPr>
        <w:t>2019</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eastAsia="zh-CN"/>
        </w:rPr>
        <w:t>减少了</w:t>
      </w:r>
      <w:r>
        <w:rPr>
          <w:rFonts w:hint="eastAsia" w:ascii="仿宋_GB2312" w:eastAsia="仿宋_GB2312"/>
          <w:color w:val="000000"/>
          <w:sz w:val="32"/>
          <w:szCs w:val="32"/>
          <w:highlight w:val="none"/>
          <w:lang w:val="en-US" w:eastAsia="zh-CN"/>
        </w:rPr>
        <w:t>1.37</w:t>
      </w:r>
      <w:r>
        <w:rPr>
          <w:rFonts w:hint="eastAsia" w:ascii="仿宋_GB2312" w:eastAsia="仿宋_GB2312"/>
          <w:color w:val="000000"/>
          <w:sz w:val="32"/>
          <w:szCs w:val="32"/>
          <w:highlight w:val="none"/>
        </w:rPr>
        <w:t>万元，</w:t>
      </w:r>
      <w:r>
        <w:rPr>
          <w:rFonts w:hint="eastAsia" w:ascii="仿宋_GB2312" w:eastAsia="仿宋_GB2312"/>
          <w:color w:val="000000"/>
          <w:sz w:val="32"/>
          <w:szCs w:val="32"/>
          <w:highlight w:val="none"/>
          <w:lang w:eastAsia="zh-CN"/>
        </w:rPr>
        <w:t>减少了</w:t>
      </w:r>
      <w:r>
        <w:rPr>
          <w:rFonts w:hint="eastAsia" w:ascii="仿宋_GB2312" w:eastAsia="仿宋_GB2312"/>
          <w:color w:val="000000"/>
          <w:sz w:val="32"/>
          <w:szCs w:val="32"/>
          <w:highlight w:val="none"/>
          <w:lang w:val="en-US" w:eastAsia="zh-CN"/>
        </w:rPr>
        <w:t>5</w:t>
      </w:r>
      <w:r>
        <w:rPr>
          <w:rFonts w:ascii="仿宋_GB2312" w:eastAsia="仿宋_GB2312"/>
          <w:color w:val="000000"/>
          <w:sz w:val="32"/>
          <w:szCs w:val="32"/>
          <w:highlight w:val="none"/>
        </w:rPr>
        <w:t>%</w:t>
      </w:r>
      <w:r>
        <w:rPr>
          <w:rFonts w:hint="eastAsia" w:ascii="仿宋_GB2312" w:eastAsia="仿宋_GB2312"/>
          <w:color w:val="000000"/>
          <w:sz w:val="32"/>
          <w:szCs w:val="32"/>
          <w:highlight w:val="none"/>
        </w:rPr>
        <w:t>。主要原因是</w:t>
      </w:r>
      <w:r>
        <w:rPr>
          <w:rFonts w:hint="eastAsia" w:ascii="仿宋_GB2312" w:eastAsia="仿宋_GB2312"/>
          <w:color w:val="000000"/>
          <w:sz w:val="32"/>
          <w:szCs w:val="32"/>
          <w:highlight w:val="none"/>
          <w:lang w:eastAsia="zh-CN"/>
        </w:rPr>
        <w:t>项目减少。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壤塘县民族宗教局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79163627"/>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rPr>
      </w:pPr>
      <w:bookmarkStart w:id="103" w:name="_Toc79163878"/>
      <w:bookmarkStart w:id="104" w:name="_Toc79163628"/>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w:t>
      </w:r>
      <w:r>
        <w:rPr>
          <w:rFonts w:hint="eastAsia" w:ascii="仿宋_GB2312" w:eastAsia="仿宋_GB2312"/>
          <w:color w:val="000000"/>
          <w:sz w:val="32"/>
          <w:szCs w:val="32"/>
          <w:lang w:eastAsia="zh-CN"/>
        </w:rPr>
        <w:t>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bookmarkEnd w:id="103"/>
      <w:bookmarkEnd w:id="104"/>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根据预算绩效管理要求，壤塘县</w:t>
      </w:r>
      <w:r>
        <w:rPr>
          <w:rFonts w:hint="eastAsia" w:ascii="仿宋_GB2312" w:hAnsi="仿宋_GB2312" w:eastAsia="仿宋_GB2312" w:cs="仿宋_GB2312"/>
          <w:sz w:val="32"/>
          <w:szCs w:val="32"/>
          <w:lang w:eastAsia="zh-CN"/>
        </w:rPr>
        <w:t>民宗局</w:t>
      </w:r>
      <w:r>
        <w:rPr>
          <w:rFonts w:hint="eastAsia" w:ascii="仿宋_GB2312" w:hAnsi="仿宋_GB2312" w:eastAsia="仿宋_GB2312" w:cs="仿宋_GB2312"/>
          <w:sz w:val="32"/>
          <w:szCs w:val="32"/>
        </w:rPr>
        <w:t>在年初预算编制阶段，组织对我</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整体支出开展了预算事前绩效评估，编制了绩效目标，预算执行过程中，开展绩效监控，年终执行完毕后，开展了绩效目标完成情况梳理填报。</w:t>
      </w:r>
    </w:p>
    <w:p>
      <w:pPr>
        <w:spacing w:line="560" w:lineRule="exact"/>
        <w:ind w:firstLine="640" w:firstLineChars="200"/>
        <w:rPr>
          <w:rFonts w:hint="default" w:ascii="仿宋" w:hAnsi="仿宋" w:eastAsia="仿宋" w:cs="楷体_GB2312"/>
          <w:b/>
          <w:bCs/>
          <w:sz w:val="32"/>
          <w:szCs w:val="32"/>
          <w:highlight w:val="none"/>
          <w:lang w:val="en-US"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从评价情况来看：本年预算配置控制较好，财政供养人员控制在预算编制以内，实际在职人员数与编制数相同；“三公”经费支出总额较上年减少；预算执行方面，支出总额控制在预算总额以内，基本支出中财政政策性工资有所追加，本年部门预算未进行预算相关事项的调整；预算资金按规定管理使用，财政拨款支出总体控制较好；预算管理方面，制定了切实有效的内部财务、资产内部管理制度，执行总体较为有效。</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壤塘县</w:t>
      </w:r>
      <w:r>
        <w:rPr>
          <w:rFonts w:hint="eastAsia" w:ascii="仿宋_GB2312" w:hAnsi="仿宋_GB2312" w:eastAsia="仿宋_GB2312" w:cs="仿宋_GB2312"/>
          <w:sz w:val="32"/>
          <w:szCs w:val="32"/>
          <w:lang w:eastAsia="zh-CN"/>
        </w:rPr>
        <w:t>民宗局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年部门决算报表中的项目支出均属于专项工作经费，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年通过“</w:t>
      </w:r>
      <w:r>
        <w:rPr>
          <w:rFonts w:hint="eastAsia" w:eastAsia="仿宋_GB2312"/>
          <w:b w:val="0"/>
          <w:bCs w:val="0"/>
          <w:color w:val="auto"/>
          <w:sz w:val="32"/>
          <w:szCs w:val="32"/>
          <w:lang w:eastAsia="zh-CN"/>
        </w:rPr>
        <w:t>壤塘县2020年太阳能路灯建设项目</w:t>
      </w:r>
      <w:r>
        <w:rPr>
          <w:rFonts w:hint="eastAsia" w:ascii="仿宋_GB2312" w:hAnsi="仿宋_GB2312" w:eastAsia="仿宋_GB2312" w:cs="仿宋_GB2312"/>
          <w:sz w:val="32"/>
          <w:szCs w:val="32"/>
        </w:rPr>
        <w:t>”“</w:t>
      </w:r>
      <w:r>
        <w:rPr>
          <w:rFonts w:hint="eastAsia" w:eastAsia="仿宋_GB2312"/>
          <w:b w:val="0"/>
          <w:bCs w:val="0"/>
          <w:color w:val="auto"/>
          <w:sz w:val="32"/>
          <w:szCs w:val="32"/>
        </w:rPr>
        <w:t>壤塘县上壤塘乡贡巴拉卡陶艺传习所建设项目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资金开展</w:t>
      </w:r>
      <w:r>
        <w:rPr>
          <w:rFonts w:hint="eastAsia" w:ascii="仿宋_GB2312" w:hAnsi="仿宋_GB2312" w:eastAsia="仿宋_GB2312" w:cs="仿宋_GB2312"/>
          <w:sz w:val="32"/>
          <w:szCs w:val="32"/>
        </w:rPr>
        <w:t>项目，保障了我县</w:t>
      </w:r>
      <w:r>
        <w:rPr>
          <w:rFonts w:hint="eastAsia" w:ascii="仿宋_GB2312" w:hAnsi="仿宋_GB2312" w:eastAsia="仿宋_GB2312" w:cs="仿宋_GB2312"/>
          <w:sz w:val="32"/>
          <w:szCs w:val="32"/>
          <w:lang w:eastAsia="zh-CN"/>
        </w:rPr>
        <w:t>民族宗教</w:t>
      </w:r>
      <w:r>
        <w:rPr>
          <w:rFonts w:hint="eastAsia" w:ascii="仿宋_GB2312" w:hAnsi="仿宋_GB2312" w:eastAsia="仿宋_GB2312" w:cs="仿宋_GB2312"/>
          <w:sz w:val="32"/>
          <w:szCs w:val="32"/>
        </w:rPr>
        <w:t>工作的高效开展，</w:t>
      </w:r>
      <w:r>
        <w:rPr>
          <w:rFonts w:hint="eastAsia" w:ascii="仿宋_GB2312" w:hAnsi="仿宋" w:eastAsia="仿宋_GB2312" w:cs="仿宋"/>
          <w:sz w:val="32"/>
          <w:szCs w:val="32"/>
        </w:rPr>
        <w:t>下一步计划：继续开展该项目。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eastAsia="仿宋_GB2312"/>
          <w:color w:val="auto"/>
          <w:w w:val="99"/>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eastAsia="仿宋_GB2312"/>
          <w:b w:val="0"/>
          <w:bCs w:val="0"/>
          <w:color w:val="auto"/>
          <w:sz w:val="32"/>
          <w:szCs w:val="32"/>
          <w:lang w:eastAsia="zh-CN"/>
        </w:rPr>
        <w:t>壤塘县2020年太阳能路灯建设项目</w:t>
      </w:r>
      <w:r>
        <w:rPr>
          <w:rFonts w:hint="eastAsia" w:ascii="仿宋_GB2312" w:hAnsi="仿宋_GB2312" w:eastAsia="仿宋_GB2312" w:cs="仿宋_GB2312"/>
          <w:sz w:val="32"/>
          <w:szCs w:val="32"/>
        </w:rPr>
        <w:t>绩效目标完成情况综述。项目全年预算数</w:t>
      </w:r>
      <w:r>
        <w:rPr>
          <w:rFonts w:hint="eastAsia" w:eastAsia="仿宋_GB2312"/>
          <w:b w:val="0"/>
          <w:bCs w:val="0"/>
          <w:color w:val="auto"/>
          <w:sz w:val="32"/>
          <w:szCs w:val="32"/>
          <w:lang w:val="en-US" w:eastAsia="zh-CN"/>
        </w:rPr>
        <w:t>49.5</w:t>
      </w:r>
      <w:r>
        <w:rPr>
          <w:rFonts w:hint="eastAsia" w:ascii="仿宋_GB2312" w:hAnsi="仿宋_GB2312" w:eastAsia="仿宋_GB2312" w:cs="仿宋_GB2312"/>
          <w:sz w:val="32"/>
          <w:szCs w:val="32"/>
        </w:rPr>
        <w:t>万元，</w:t>
      </w:r>
      <w:r>
        <w:rPr>
          <w:rFonts w:hint="eastAsia" w:eastAsia="仿宋_GB2312"/>
          <w:color w:val="auto"/>
          <w:w w:val="99"/>
          <w:sz w:val="32"/>
          <w:szCs w:val="32"/>
        </w:rPr>
        <w:t>通过</w:t>
      </w:r>
      <w:r>
        <w:rPr>
          <w:rFonts w:hint="eastAsia" w:eastAsia="仿宋_GB2312"/>
          <w:color w:val="auto"/>
          <w:w w:val="99"/>
          <w:sz w:val="32"/>
          <w:szCs w:val="32"/>
          <w:lang w:eastAsia="zh-CN"/>
        </w:rPr>
        <w:t>实施</w:t>
      </w:r>
      <w:r>
        <w:rPr>
          <w:rFonts w:hint="eastAsia" w:eastAsia="仿宋_GB2312"/>
          <w:color w:val="auto"/>
          <w:w w:val="99"/>
          <w:sz w:val="32"/>
          <w:szCs w:val="32"/>
        </w:rPr>
        <w:t>民族地区</w:t>
      </w:r>
      <w:r>
        <w:rPr>
          <w:rFonts w:hint="eastAsia" w:eastAsia="仿宋_GB2312"/>
          <w:b w:val="0"/>
          <w:bCs w:val="0"/>
          <w:color w:val="auto"/>
          <w:sz w:val="32"/>
          <w:szCs w:val="32"/>
        </w:rPr>
        <w:t>村内公共照明工程</w:t>
      </w:r>
      <w:r>
        <w:rPr>
          <w:rFonts w:hint="eastAsia" w:eastAsia="仿宋_GB2312"/>
          <w:color w:val="auto"/>
          <w:w w:val="99"/>
          <w:sz w:val="32"/>
          <w:szCs w:val="32"/>
        </w:rPr>
        <w:t>，极大地改善了当地的交通环境，为农牧民群众的生产、生活和出行带来了便利。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eastAsia="仿宋_GB2312"/>
          <w:bCs/>
          <w:color w:val="auto"/>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eastAsia="仿宋_GB2312"/>
          <w:b w:val="0"/>
          <w:bCs w:val="0"/>
          <w:color w:val="auto"/>
          <w:sz w:val="32"/>
          <w:szCs w:val="32"/>
        </w:rPr>
        <w:t>壤塘县上壤塘乡贡巴拉卡陶艺传习所建设项目</w:t>
      </w:r>
      <w:r>
        <w:rPr>
          <w:rFonts w:hint="eastAsia" w:ascii="仿宋_GB2312" w:hAnsi="仿宋_GB2312" w:eastAsia="仿宋_GB2312" w:cs="仿宋_GB2312"/>
          <w:sz w:val="32"/>
          <w:szCs w:val="32"/>
        </w:rPr>
        <w:t>绩效目标完成情况综述。项目全年预算数</w:t>
      </w:r>
      <w:r>
        <w:rPr>
          <w:rFonts w:hint="eastAsia" w:eastAsia="仿宋_GB2312"/>
          <w:b w:val="0"/>
          <w:bCs w:val="0"/>
          <w:color w:val="auto"/>
          <w:sz w:val="32"/>
          <w:szCs w:val="32"/>
          <w:lang w:val="en-US" w:eastAsia="zh-CN"/>
        </w:rPr>
        <w:t>50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eastAsia="仿宋_GB2312"/>
          <w:b w:val="0"/>
          <w:bCs w:val="0"/>
          <w:color w:val="auto"/>
          <w:sz w:val="32"/>
          <w:szCs w:val="32"/>
          <w:lang w:val="en-US" w:eastAsia="zh-CN"/>
        </w:rPr>
        <w:t>用于建造陶土工坊200㎡，包含电窑室、陶艺研究室，陶土室，库房，</w:t>
      </w:r>
      <w:r>
        <w:rPr>
          <w:rFonts w:hint="eastAsia" w:eastAsia="仿宋_GB2312"/>
          <w:bCs/>
          <w:color w:val="auto"/>
          <w:sz w:val="32"/>
          <w:szCs w:val="32"/>
        </w:rPr>
        <w:t>项目已完工</w:t>
      </w:r>
      <w:r>
        <w:rPr>
          <w:rFonts w:hint="eastAsia" w:eastAsia="仿宋_GB2312"/>
          <w:bCs/>
          <w:color w:val="auto"/>
          <w:sz w:val="32"/>
          <w:szCs w:val="32"/>
          <w:lang w:eastAsia="zh-CN"/>
        </w:rPr>
        <w:t>。</w:t>
      </w:r>
      <w:r>
        <w:rPr>
          <w:rFonts w:hint="eastAsia" w:eastAsia="仿宋_GB2312"/>
          <w:bCs/>
          <w:color w:val="auto"/>
          <w:sz w:val="32"/>
          <w:szCs w:val="32"/>
        </w:rPr>
        <w:t>通过</w:t>
      </w:r>
      <w:r>
        <w:rPr>
          <w:rFonts w:hint="eastAsia" w:eastAsia="仿宋_GB2312"/>
          <w:b w:val="0"/>
          <w:bCs/>
          <w:color w:val="auto"/>
          <w:sz w:val="32"/>
          <w:szCs w:val="32"/>
          <w:lang w:eastAsia="zh-CN"/>
        </w:rPr>
        <w:t>少数民族传统手工艺发展工程工程</w:t>
      </w:r>
      <w:r>
        <w:rPr>
          <w:rFonts w:hint="eastAsia" w:eastAsia="仿宋_GB2312"/>
          <w:bCs/>
          <w:color w:val="auto"/>
          <w:sz w:val="32"/>
          <w:szCs w:val="32"/>
        </w:rPr>
        <w:t>的实施，进一步加强了对民族非物质文化技艺的传承和保护，鼓励和支持传习所文化传承人开展传习活动，使民族传统文化和传统手工艺制作的传承得以弘扬，拓宽了农牧民群众就业增收渠道，推动了少数民族传统手工艺的大发展、大繁荣，增进了民族团结，促进了社会的和谐稳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Pr>
    </w:p>
    <w:p>
      <w:pPr>
        <w:pStyle w:val="2"/>
        <w:rPr>
          <w:rFonts w:ascii="仿宋_GB2312" w:hAnsi="仿宋_GB2312" w:eastAsia="仿宋_GB2312" w:cs="仿宋_GB2312"/>
          <w:sz w:val="32"/>
          <w:szCs w:val="32"/>
        </w:rPr>
      </w:pPr>
    </w:p>
    <w:p/>
    <w:p>
      <w:pPr>
        <w:pStyle w:val="2"/>
      </w:pPr>
    </w:p>
    <w:tbl>
      <w:tblPr>
        <w:tblStyle w:val="19"/>
        <w:tblpPr w:leftFromText="180" w:rightFromText="180" w:vertAnchor="text" w:horzAnchor="page" w:tblpXSpec="center" w:tblpY="423"/>
        <w:tblOverlap w:val="never"/>
        <w:tblW w:w="9882" w:type="dxa"/>
        <w:jc w:val="center"/>
        <w:tblLayout w:type="fixed"/>
        <w:tblCellMar>
          <w:top w:w="0" w:type="dxa"/>
          <w:left w:w="0" w:type="dxa"/>
          <w:bottom w:w="0" w:type="dxa"/>
          <w:right w:w="0" w:type="dxa"/>
        </w:tblCellMar>
      </w:tblPr>
      <w:tblGrid>
        <w:gridCol w:w="331"/>
        <w:gridCol w:w="1364"/>
        <w:gridCol w:w="1023"/>
        <w:gridCol w:w="2387"/>
        <w:gridCol w:w="2389"/>
        <w:gridCol w:w="2388"/>
      </w:tblGrid>
      <w:tr>
        <w:tblPrEx>
          <w:tblCellMar>
            <w:top w:w="0" w:type="dxa"/>
            <w:left w:w="0" w:type="dxa"/>
            <w:bottom w:w="0" w:type="dxa"/>
            <w:right w:w="0" w:type="dxa"/>
          </w:tblCellMar>
        </w:tblPrEx>
        <w:trPr>
          <w:wBefore w:w="58" w:type="dxa"/>
          <w:wAfter w:w="20" w:type="dxa"/>
          <w:trHeight w:val="1259" w:hRule="atLeast"/>
          <w:jc w:val="center"/>
        </w:trPr>
        <w:tc>
          <w:tcPr>
            <w:tcW w:w="9882"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wBefore w:w="58" w:type="dxa"/>
          <w:wAfter w:w="20" w:type="dxa"/>
          <w:trHeight w:val="336" w:hRule="atLeast"/>
          <w:jc w:val="center"/>
        </w:trPr>
        <w:tc>
          <w:tcPr>
            <w:tcW w:w="27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6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bidi="ar"/>
              </w:rPr>
              <w:t>壤塘县2020年太阳能路灯建设项目</w:t>
            </w:r>
          </w:p>
        </w:tc>
      </w:tr>
      <w:tr>
        <w:tblPrEx>
          <w:tblCellMar>
            <w:top w:w="0" w:type="dxa"/>
            <w:left w:w="0" w:type="dxa"/>
            <w:bottom w:w="0" w:type="dxa"/>
            <w:right w:w="0" w:type="dxa"/>
          </w:tblCellMar>
        </w:tblPrEx>
        <w:trPr>
          <w:wBefore w:w="58" w:type="dxa"/>
          <w:wAfter w:w="20" w:type="dxa"/>
          <w:trHeight w:val="336" w:hRule="atLeast"/>
          <w:jc w:val="center"/>
        </w:trPr>
        <w:tc>
          <w:tcPr>
            <w:tcW w:w="27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6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壤塘县民族宗教局</w:t>
            </w:r>
          </w:p>
        </w:tc>
      </w:tr>
      <w:tr>
        <w:tblPrEx>
          <w:tblCellMar>
            <w:top w:w="0" w:type="dxa"/>
            <w:left w:w="0" w:type="dxa"/>
            <w:bottom w:w="0" w:type="dxa"/>
            <w:right w:w="0" w:type="dxa"/>
          </w:tblCellMar>
        </w:tblPrEx>
        <w:trPr>
          <w:wBefore w:w="58" w:type="dxa"/>
          <w:wAfter w:w="20" w:type="dxa"/>
          <w:trHeight w:val="33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49.5</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49.5</w:t>
            </w:r>
          </w:p>
        </w:tc>
      </w:tr>
      <w:tr>
        <w:tblPrEx>
          <w:tblCellMar>
            <w:top w:w="0" w:type="dxa"/>
            <w:left w:w="0" w:type="dxa"/>
            <w:bottom w:w="0" w:type="dxa"/>
            <w:right w:w="0" w:type="dxa"/>
          </w:tblCellMar>
        </w:tblPrEx>
        <w:trPr>
          <w:wBefore w:w="58" w:type="dxa"/>
          <w:wAfter w:w="20" w:type="dxa"/>
          <w:trHeight w:val="33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49.5</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49.5</w:t>
            </w:r>
          </w:p>
        </w:tc>
      </w:tr>
      <w:tr>
        <w:tblPrEx>
          <w:tblCellMar>
            <w:top w:w="0" w:type="dxa"/>
            <w:left w:w="0" w:type="dxa"/>
            <w:bottom w:w="0" w:type="dxa"/>
            <w:right w:w="0" w:type="dxa"/>
          </w:tblCellMar>
        </w:tblPrEx>
        <w:trPr>
          <w:wBefore w:w="58" w:type="dxa"/>
          <w:wAfter w:w="20" w:type="dxa"/>
          <w:trHeight w:val="1841"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wBefore w:w="58" w:type="dxa"/>
          <w:wAfter w:w="20" w:type="dxa"/>
          <w:trHeight w:val="33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wBefore w:w="58" w:type="dxa"/>
          <w:wAfter w:w="20" w:type="dxa"/>
          <w:trHeight w:val="2177"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完成项目</w:t>
            </w:r>
          </w:p>
        </w:tc>
        <w:tc>
          <w:tcPr>
            <w:tcW w:w="47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完成项目</w:t>
            </w:r>
          </w:p>
        </w:tc>
      </w:tr>
      <w:tr>
        <w:tblPrEx>
          <w:tblCellMar>
            <w:top w:w="0" w:type="dxa"/>
            <w:left w:w="0" w:type="dxa"/>
            <w:bottom w:w="0" w:type="dxa"/>
            <w:right w:w="0" w:type="dxa"/>
          </w:tblCellMar>
        </w:tblPrEx>
        <w:trPr>
          <w:wBefore w:w="58" w:type="dxa"/>
          <w:wAfter w:w="20" w:type="dxa"/>
          <w:trHeight w:val="1064" w:hRule="atLeast"/>
          <w:jc w:val="center"/>
        </w:trPr>
        <w:tc>
          <w:tcPr>
            <w:tcW w:w="33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wBefore w:w="58" w:type="dxa"/>
          <w:wAfter w:w="20" w:type="dxa"/>
          <w:trHeight w:val="975" w:hRule="atLeast"/>
          <w:jc w:val="center"/>
        </w:trPr>
        <w:tc>
          <w:tcPr>
            <w:tcW w:w="33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完成项目</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完成项目</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完成项目</w:t>
            </w:r>
          </w:p>
        </w:tc>
      </w:tr>
      <w:tr>
        <w:tblPrEx>
          <w:tblCellMar>
            <w:top w:w="0" w:type="dxa"/>
            <w:left w:w="0" w:type="dxa"/>
            <w:bottom w:w="0" w:type="dxa"/>
            <w:right w:w="0" w:type="dxa"/>
          </w:tblCellMar>
        </w:tblPrEx>
        <w:trPr>
          <w:wBefore w:w="58" w:type="dxa"/>
          <w:wAfter w:w="20" w:type="dxa"/>
          <w:trHeight w:val="1318" w:hRule="atLeast"/>
          <w:jc w:val="center"/>
        </w:trPr>
        <w:tc>
          <w:tcPr>
            <w:tcW w:w="33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满意度指标</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群众满意度</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r>
        <w:tblPrEx>
          <w:tblCellMar>
            <w:top w:w="0" w:type="dxa"/>
            <w:left w:w="0" w:type="dxa"/>
            <w:bottom w:w="0" w:type="dxa"/>
            <w:right w:w="0" w:type="dxa"/>
          </w:tblCellMar>
        </w:tblPrEx>
        <w:trPr>
          <w:wBefore w:w="58" w:type="dxa"/>
          <w:wAfter w:w="20" w:type="dxa"/>
          <w:trHeight w:val="1064" w:hRule="atLeast"/>
          <w:jc w:val="center"/>
        </w:trPr>
        <w:tc>
          <w:tcPr>
            <w:tcW w:w="33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规定时间段完成</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规定时间段完成</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规定时间段完成</w:t>
            </w:r>
          </w:p>
        </w:tc>
      </w:tr>
      <w:tr>
        <w:tblPrEx>
          <w:tblCellMar>
            <w:top w:w="0" w:type="dxa"/>
            <w:left w:w="0" w:type="dxa"/>
            <w:bottom w:w="0" w:type="dxa"/>
            <w:right w:w="0" w:type="dxa"/>
          </w:tblCellMar>
        </w:tblPrEx>
        <w:trPr>
          <w:wBefore w:w="58" w:type="dxa"/>
          <w:wAfter w:w="20" w:type="dxa"/>
          <w:trHeight w:val="1074" w:hRule="atLeast"/>
          <w:jc w:val="center"/>
        </w:trPr>
        <w:tc>
          <w:tcPr>
            <w:tcW w:w="33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wBefore w:w="58" w:type="dxa"/>
          <w:wAfter w:w="20" w:type="dxa"/>
          <w:trHeight w:val="1259" w:hRule="atLeast"/>
          <w:jc w:val="center"/>
        </w:trPr>
        <w:tc>
          <w:tcPr>
            <w:tcW w:w="9882" w:type="dxa"/>
            <w:gridSpan w:val="6"/>
            <w:tcBorders>
              <w:top w:val="nil"/>
              <w:left w:val="nil"/>
              <w:bottom w:val="nil"/>
              <w:right w:val="nil"/>
            </w:tcBorders>
            <w:tcMar>
              <w:top w:w="15" w:type="dxa"/>
              <w:left w:w="15" w:type="dxa"/>
              <w:right w:w="15" w:type="dxa"/>
            </w:tcMar>
            <w:vAlign w:val="center"/>
          </w:tcPr>
          <w:p>
            <w:pPr>
              <w:widowControl/>
              <w:jc w:val="both"/>
              <w:textAlignment w:val="center"/>
              <w:rPr>
                <w:rFonts w:hint="eastAsia" w:ascii="宋体" w:hAnsi="宋体" w:cs="宋体"/>
                <w:b/>
                <w:bCs/>
                <w:color w:val="000000"/>
                <w:kern w:val="0"/>
                <w:sz w:val="36"/>
                <w:szCs w:val="36"/>
                <w:lang w:bidi="ar"/>
              </w:rPr>
            </w:pPr>
          </w:p>
          <w:p>
            <w:pPr>
              <w:widowControl/>
              <w:jc w:val="center"/>
              <w:textAlignment w:val="center"/>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wBefore w:w="58" w:type="dxa"/>
          <w:wAfter w:w="20" w:type="dxa"/>
          <w:trHeight w:val="336" w:hRule="atLeast"/>
          <w:jc w:val="center"/>
        </w:trPr>
        <w:tc>
          <w:tcPr>
            <w:tcW w:w="27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6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b w:val="0"/>
                <w:bCs w:val="0"/>
                <w:color w:val="auto"/>
                <w:sz w:val="32"/>
                <w:szCs w:val="32"/>
              </w:rPr>
              <w:t>壤塘县上壤塘乡贡巴拉卡陶艺传习所建设项目</w:t>
            </w:r>
          </w:p>
        </w:tc>
      </w:tr>
      <w:tr>
        <w:tblPrEx>
          <w:tblCellMar>
            <w:top w:w="0" w:type="dxa"/>
            <w:left w:w="0" w:type="dxa"/>
            <w:bottom w:w="0" w:type="dxa"/>
            <w:right w:w="0" w:type="dxa"/>
          </w:tblCellMar>
        </w:tblPrEx>
        <w:trPr>
          <w:wBefore w:w="58" w:type="dxa"/>
          <w:wAfter w:w="20" w:type="dxa"/>
          <w:trHeight w:val="336" w:hRule="atLeast"/>
          <w:jc w:val="center"/>
        </w:trPr>
        <w:tc>
          <w:tcPr>
            <w:tcW w:w="27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6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壤塘县民族宗教局</w:t>
            </w:r>
          </w:p>
        </w:tc>
      </w:tr>
      <w:tr>
        <w:tblPrEx>
          <w:tblCellMar>
            <w:top w:w="0" w:type="dxa"/>
            <w:left w:w="0" w:type="dxa"/>
            <w:bottom w:w="0" w:type="dxa"/>
            <w:right w:w="0" w:type="dxa"/>
          </w:tblCellMar>
        </w:tblPrEx>
        <w:trPr>
          <w:wBefore w:w="58" w:type="dxa"/>
          <w:wAfter w:w="20" w:type="dxa"/>
          <w:trHeight w:val="33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50</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50</w:t>
            </w:r>
          </w:p>
        </w:tc>
      </w:tr>
      <w:tr>
        <w:tblPrEx>
          <w:tblCellMar>
            <w:top w:w="0" w:type="dxa"/>
            <w:left w:w="0" w:type="dxa"/>
            <w:bottom w:w="0" w:type="dxa"/>
            <w:right w:w="0" w:type="dxa"/>
          </w:tblCellMar>
        </w:tblPrEx>
        <w:trPr>
          <w:wBefore w:w="58" w:type="dxa"/>
          <w:wAfter w:w="20" w:type="dxa"/>
          <w:trHeight w:val="33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50</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50</w:t>
            </w:r>
          </w:p>
        </w:tc>
      </w:tr>
      <w:tr>
        <w:tblPrEx>
          <w:tblCellMar>
            <w:top w:w="0" w:type="dxa"/>
            <w:left w:w="0" w:type="dxa"/>
            <w:bottom w:w="0" w:type="dxa"/>
            <w:right w:w="0" w:type="dxa"/>
          </w:tblCellMar>
        </w:tblPrEx>
        <w:trPr>
          <w:wBefore w:w="58" w:type="dxa"/>
          <w:wAfter w:w="20" w:type="dxa"/>
          <w:trHeight w:val="1841"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wBefore w:w="58" w:type="dxa"/>
          <w:wAfter w:w="20" w:type="dxa"/>
          <w:trHeight w:val="33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wBefore w:w="58" w:type="dxa"/>
          <w:wAfter w:w="20" w:type="dxa"/>
          <w:trHeight w:val="1749"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完成项目</w:t>
            </w:r>
          </w:p>
        </w:tc>
        <w:tc>
          <w:tcPr>
            <w:tcW w:w="47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完成项目</w:t>
            </w:r>
          </w:p>
        </w:tc>
      </w:tr>
      <w:tr>
        <w:tblPrEx>
          <w:tblCellMar>
            <w:top w:w="0" w:type="dxa"/>
            <w:left w:w="0" w:type="dxa"/>
            <w:bottom w:w="0" w:type="dxa"/>
            <w:right w:w="0" w:type="dxa"/>
          </w:tblCellMar>
        </w:tblPrEx>
        <w:trPr>
          <w:wBefore w:w="58" w:type="dxa"/>
          <w:wAfter w:w="20" w:type="dxa"/>
          <w:trHeight w:val="1064" w:hRule="atLeast"/>
          <w:jc w:val="center"/>
        </w:trPr>
        <w:tc>
          <w:tcPr>
            <w:tcW w:w="33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wBefore w:w="58" w:type="dxa"/>
          <w:wAfter w:w="20" w:type="dxa"/>
          <w:trHeight w:val="975" w:hRule="atLeast"/>
          <w:jc w:val="center"/>
        </w:trPr>
        <w:tc>
          <w:tcPr>
            <w:tcW w:w="33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完成项目</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完成项目</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完成项目</w:t>
            </w:r>
          </w:p>
        </w:tc>
      </w:tr>
      <w:tr>
        <w:tblPrEx>
          <w:tblCellMar>
            <w:top w:w="0" w:type="dxa"/>
            <w:left w:w="0" w:type="dxa"/>
            <w:bottom w:w="0" w:type="dxa"/>
            <w:right w:w="0" w:type="dxa"/>
          </w:tblCellMar>
        </w:tblPrEx>
        <w:trPr>
          <w:wBefore w:w="58" w:type="dxa"/>
          <w:wAfter w:w="20" w:type="dxa"/>
          <w:trHeight w:val="860" w:hRule="atLeast"/>
          <w:jc w:val="center"/>
        </w:trPr>
        <w:tc>
          <w:tcPr>
            <w:tcW w:w="33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满意度指标</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群众满意度</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100%</w:t>
            </w:r>
          </w:p>
        </w:tc>
      </w:tr>
      <w:tr>
        <w:tblPrEx>
          <w:tblCellMar>
            <w:top w:w="0" w:type="dxa"/>
            <w:left w:w="0" w:type="dxa"/>
            <w:bottom w:w="0" w:type="dxa"/>
            <w:right w:w="0" w:type="dxa"/>
          </w:tblCellMar>
        </w:tblPrEx>
        <w:trPr>
          <w:wBefore w:w="58" w:type="dxa"/>
          <w:wAfter w:w="20" w:type="dxa"/>
          <w:trHeight w:val="1064" w:hRule="atLeast"/>
          <w:jc w:val="center"/>
        </w:trPr>
        <w:tc>
          <w:tcPr>
            <w:tcW w:w="33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时效指标</w:t>
            </w: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规定时间段完成</w:t>
            </w: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规定时间段完成</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sz w:val="24"/>
              </w:rPr>
              <w:t>规定时间段完成</w:t>
            </w:r>
          </w:p>
        </w:tc>
      </w:tr>
      <w:tr>
        <w:tblPrEx>
          <w:tblCellMar>
            <w:top w:w="0" w:type="dxa"/>
            <w:left w:w="0" w:type="dxa"/>
            <w:bottom w:w="0" w:type="dxa"/>
            <w:right w:w="0" w:type="dxa"/>
          </w:tblCellMar>
        </w:tblPrEx>
        <w:trPr>
          <w:wBefore w:w="58" w:type="dxa"/>
          <w:wAfter w:w="20" w:type="dxa"/>
          <w:trHeight w:val="716" w:hRule="atLeast"/>
          <w:jc w:val="center"/>
        </w:trPr>
        <w:tc>
          <w:tcPr>
            <w:tcW w:w="331"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bl>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本部门按要求对2020年部门整体支出绩效评价情况开展自评，《壤塘县民族宗教局2020年部门整体支出绩效评价报告》见附件。</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本部门自行组织对壤塘县2020年太阳能路灯建设项目</w:t>
      </w:r>
      <w:r>
        <w:rPr>
          <w:rFonts w:hint="eastAsia" w:ascii="仿宋_GB2312" w:hAnsi="仿宋_GB2312" w:eastAsia="仿宋_GB2312" w:cs="仿宋_GB2312"/>
          <w:sz w:val="32"/>
          <w:szCs w:val="32"/>
        </w:rPr>
        <w:t>、壤塘县上壤塘乡贡巴拉卡陶艺传习所建设项目</w:t>
      </w:r>
      <w:r>
        <w:rPr>
          <w:rFonts w:hint="eastAsia" w:ascii="仿宋_GB2312" w:hAnsi="仿宋_GB2312" w:eastAsia="仿宋_GB2312" w:cs="仿宋_GB2312"/>
          <w:sz w:val="32"/>
          <w:szCs w:val="32"/>
          <w:lang w:eastAsia="zh-CN"/>
        </w:rPr>
        <w:t>、壤塘县中壤塘镇查托村移风易俗综合建设项目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2020年太阳能路灯建设</w:t>
      </w:r>
      <w:r>
        <w:rPr>
          <w:rFonts w:hint="eastAsia" w:ascii="仿宋_GB2312" w:hAnsi="仿宋_GB2312" w:eastAsia="仿宋_GB2312" w:cs="仿宋_GB2312"/>
          <w:sz w:val="32"/>
          <w:szCs w:val="32"/>
        </w:rPr>
        <w:t>项目2020年绩效评价报告》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壤塘县上壤塘乡贡巴拉卡陶艺传习所建设项目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w:t>
      </w:r>
      <w:r>
        <w:rPr>
          <w:rFonts w:hint="eastAsia" w:ascii="仿宋_GB2312" w:hAnsi="仿宋_GB2312" w:eastAsia="仿宋_GB2312" w:cs="仿宋_GB2312"/>
          <w:sz w:val="32"/>
          <w:szCs w:val="32"/>
          <w:lang w:eastAsia="zh-CN"/>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numPr>
          <w:ilvl w:val="0"/>
          <w:numId w:val="4"/>
        </w:numPr>
        <w:bidi w:val="0"/>
      </w:pPr>
      <w:bookmarkStart w:id="105" w:name="_Toc79163879"/>
      <w:bookmarkStart w:id="106" w:name="_Toc79163629"/>
      <w:bookmarkStart w:id="107" w:name="_Toc15377225"/>
      <w:bookmarkStart w:id="108" w:name="_Toc15396613"/>
      <w:r>
        <w:rPr>
          <w:rFonts w:hint="eastAsia"/>
        </w:rPr>
        <w:t>名词解释</w:t>
      </w:r>
      <w:bookmarkEnd w:id="105"/>
      <w:bookmarkEnd w:id="106"/>
      <w:bookmarkEnd w:id="107"/>
      <w:bookmarkEnd w:id="108"/>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bookmarkStart w:id="109" w:name="_Toc15377226"/>
      <w:r>
        <w:rPr>
          <w:rFonts w:hint="eastAsia" w:ascii="仿宋_GB2312" w:eastAsia="仿宋_GB2312"/>
          <w:sz w:val="32"/>
          <w:szCs w:val="32"/>
        </w:rPr>
        <w:t>1.财政拨款收入：指单位从同级财政部门取得的财政预算资金。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2.其他收入：指单位取得的除上述收入以外的各项收入。主要是银行存款中的利息收入等。 </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3.年初结转和结余：指以前年度尚未完成、结转到本年按有关规定继续使用的资金。 </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4.结余分配：指事业单位按照事业单位会计制度的规定从非财政补助结余中分配的事业基金和职工福利基金等。</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5、年末结转和结余：指单位按有关规定结转到下年或以后年度继续使用的资金。</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6.社会保障和就业2080505指机关事业单位基本养老保险缴费支出；2080506指机关事业单位职业年金缴费支出。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7.医疗卫生与计划生育2101102指事业单位医疗。</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8.住房保障2210201指住房公积金，主要用于单位职工住房公积金；2210203指购房补贴，主要用于退休干部的住房补贴。</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9.基本支出：指为保障机构正常运转、完成日常工作任务而发生的人员支出和公用支出。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10.项目支出：指在基本支出之外为完成特定行政任务和事业发展目标所发生的支出。 </w:t>
      </w:r>
    </w:p>
    <w:p>
      <w:pPr>
        <w:pStyle w:val="33"/>
        <w:spacing w:line="560" w:lineRule="exact"/>
        <w:ind w:firstLine="640" w:firstLineChars="200"/>
        <w:rPr>
          <w:rFonts w:ascii="仿宋_GB2312" w:eastAsia="仿宋_GB2312"/>
          <w:sz w:val="32"/>
          <w:szCs w:val="32"/>
        </w:rPr>
      </w:pPr>
      <w:r>
        <w:rPr>
          <w:rFonts w:hint="eastAsia" w:ascii="仿宋_GB2312" w:eastAsia="仿宋_GB2312"/>
          <w:sz w:val="32"/>
          <w:szCs w:val="32"/>
        </w:rPr>
        <w:t>11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
        <w:bidi w:val="0"/>
      </w:pPr>
      <w:r>
        <w:br w:type="page"/>
      </w:r>
      <w:bookmarkStart w:id="110" w:name="_Toc15396614"/>
      <w:bookmarkStart w:id="111" w:name="_Toc79163630"/>
      <w:bookmarkStart w:id="112" w:name="_Toc79163880"/>
      <w:r>
        <w:rPr>
          <w:rFonts w:hint="eastAsia"/>
        </w:rPr>
        <w:t>第四部分</w:t>
      </w:r>
      <w:r>
        <w:t xml:space="preserve"> </w:t>
      </w:r>
      <w:r>
        <w:rPr>
          <w:rFonts w:hint="eastAsia"/>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632"/>
      <w:bookmarkStart w:id="116" w:name="_Toc79163882"/>
      <w:r>
        <w:rPr>
          <w:rFonts w:hint="eastAsia" w:ascii="方正小标宋简体" w:hAnsi="黑体" w:eastAsia="方正小标宋简体" w:cs="黑体"/>
          <w:sz w:val="44"/>
          <w:szCs w:val="44"/>
          <w:lang w:eastAsia="zh-CN"/>
        </w:rPr>
        <w:t>壤塘县民族宗教局</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5"/>
      <w:bookmarkEnd w:id="116"/>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我局由办公室、财务室、两资股、宗教股组成。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widowControl/>
        <w:spacing w:line="600" w:lineRule="exact"/>
        <w:ind w:left="638" w:leftChars="304" w:firstLine="160" w:firstLineChars="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 壤府办</w:t>
      </w:r>
      <w:r>
        <w:rPr>
          <w:rFonts w:hint="eastAsia" w:ascii="仿宋_GB2312" w:hAnsi="宋体" w:cs="宋体"/>
          <w:kern w:val="0"/>
          <w:sz w:val="32"/>
          <w:szCs w:val="32"/>
        </w:rPr>
        <w:t>﹝</w:t>
      </w:r>
      <w:r>
        <w:rPr>
          <w:rFonts w:hint="eastAsia" w:ascii="仿宋_GB2312" w:hAnsi="宋体" w:eastAsia="仿宋_GB2312" w:cs="宋体"/>
          <w:kern w:val="0"/>
          <w:sz w:val="32"/>
          <w:szCs w:val="32"/>
        </w:rPr>
        <w:t>2015</w:t>
      </w:r>
      <w:r>
        <w:rPr>
          <w:rFonts w:hint="eastAsia" w:ascii="仿宋_GB2312" w:hAnsi="宋体" w:cs="宋体"/>
          <w:kern w:val="0"/>
          <w:sz w:val="32"/>
          <w:szCs w:val="32"/>
        </w:rPr>
        <w:t>﹞</w:t>
      </w:r>
      <w:r>
        <w:rPr>
          <w:rFonts w:hint="eastAsia" w:ascii="仿宋_GB2312" w:hAnsi="宋体" w:eastAsia="仿宋_GB2312" w:cs="宋体"/>
          <w:kern w:val="0"/>
          <w:sz w:val="32"/>
          <w:szCs w:val="32"/>
        </w:rPr>
        <w:t xml:space="preserve"> 24号 文件规定，主要职责是：1.加强宗教团体依法依规开展活动。</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2.加强宗教事务管理。</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3.依法履行宗教事务管理职责。</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4.规范少数民族语言文字工作。</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widowControl/>
        <w:spacing w:line="600" w:lineRule="exact"/>
        <w:ind w:left="210" w:leftChars="100"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总编制1</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 xml:space="preserve"> 名,其中:行政编制13名,事业编制</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名，行政工勤编制 1名。在职人员总数</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名，其中：行政人员 10名，行政工勤编制人员 1 名；退休人员4 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2020</w:t>
      </w:r>
      <w:r>
        <w:rPr>
          <w:rFonts w:hint="eastAsia" w:ascii="仿宋" w:hAnsi="仿宋" w:eastAsia="仿宋" w:cs="仿宋_GB2312"/>
          <w:sz w:val="32"/>
          <w:szCs w:val="32"/>
        </w:rPr>
        <w:t>年本单位财政拨款收入</w:t>
      </w:r>
      <w:r>
        <w:rPr>
          <w:rFonts w:hint="eastAsia" w:ascii="仿宋" w:hAnsi="仿宋" w:eastAsia="仿宋" w:cs="仿宋_GB2312"/>
          <w:sz w:val="32"/>
          <w:szCs w:val="32"/>
          <w:lang w:val="en-US" w:eastAsia="zh-CN"/>
        </w:rPr>
        <w:t>1600.41</w:t>
      </w:r>
      <w:r>
        <w:rPr>
          <w:rFonts w:hint="eastAsia" w:ascii="仿宋" w:hAnsi="仿宋" w:eastAsia="仿宋" w:cs="仿宋_GB2312"/>
          <w:sz w:val="32"/>
          <w:szCs w:val="32"/>
        </w:rPr>
        <w:t>万元。</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（二）部门财政资金支出情况。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年本单位财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1208.66</w:t>
      </w:r>
      <w:r>
        <w:rPr>
          <w:rFonts w:hint="eastAsia" w:ascii="仿宋" w:hAnsi="仿宋" w:eastAsia="仿宋"/>
          <w:color w:val="000000" w:themeColor="text1"/>
          <w:sz w:val="32"/>
          <w:szCs w:val="32"/>
          <w14:textFill>
            <w14:solidFill>
              <w14:schemeClr w14:val="tx1"/>
            </w14:solidFill>
          </w14:textFill>
        </w:rPr>
        <w:t>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2020</w:t>
      </w:r>
      <w:r>
        <w:rPr>
          <w:rFonts w:hint="eastAsia" w:ascii="仿宋" w:hAnsi="仿宋" w:eastAsia="仿宋" w:cs="仿宋_GB2312"/>
          <w:sz w:val="32"/>
          <w:szCs w:val="32"/>
        </w:rPr>
        <w:t>年，我局按照“扩面增量、整体推进、深化完善、构建体系”的总体目标，严格按照《预算法》等文件要求，完整编制部门整体绩效目标，按时完成报送工作。</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通过对预算编制、预算执行、综合管理、整体效益等方面进行全面分析评价，</w:t>
      </w:r>
      <w:r>
        <w:rPr>
          <w:rFonts w:hint="eastAsia" w:ascii="仿宋" w:hAnsi="仿宋" w:eastAsia="仿宋" w:cs="仿宋_GB2312"/>
          <w:sz w:val="32"/>
          <w:szCs w:val="32"/>
          <w:lang w:val="en-US" w:eastAsia="zh-CN"/>
        </w:rPr>
        <w:t>2020</w:t>
      </w:r>
      <w:r>
        <w:rPr>
          <w:rFonts w:hint="eastAsia" w:ascii="仿宋" w:hAnsi="仿宋" w:eastAsia="仿宋" w:cs="仿宋_GB2312"/>
          <w:sz w:val="32"/>
          <w:szCs w:val="32"/>
        </w:rPr>
        <w:t>年部门整体支出绩效自评得分为</w:t>
      </w:r>
      <w:r>
        <w:rPr>
          <w:rFonts w:hint="eastAsia" w:ascii="仿宋" w:hAnsi="仿宋" w:eastAsia="仿宋" w:cs="仿宋_GB2312"/>
          <w:sz w:val="32"/>
          <w:szCs w:val="32"/>
          <w:highlight w:val="none"/>
          <w:lang w:val="en-US" w:eastAsia="zh-CN"/>
        </w:rPr>
        <w:t>90</w:t>
      </w:r>
      <w:r>
        <w:rPr>
          <w:rFonts w:hint="eastAsia" w:ascii="仿宋" w:hAnsi="仿宋" w:eastAsia="仿宋" w:cs="仿宋_GB2312"/>
          <w:sz w:val="32"/>
          <w:szCs w:val="32"/>
        </w:rPr>
        <w:t>分。将针对评价总结的问题进行整改</w:t>
      </w:r>
      <w:r>
        <w:rPr>
          <w:rFonts w:ascii="仿宋" w:hAnsi="仿宋" w:eastAsia="仿宋" w:cs="仿宋_GB2312"/>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lang w:val="zh-CN"/>
        </w:rPr>
      </w:pPr>
      <w:r>
        <w:rPr>
          <w:rFonts w:hint="eastAsia" w:ascii="仿宋" w:hAnsi="仿宋" w:eastAsia="仿宋" w:cs="仿宋_GB2312"/>
          <w:sz w:val="32"/>
          <w:szCs w:val="32"/>
        </w:rPr>
        <w:t>按照县政府的工作任务要求，结合我局</w:t>
      </w:r>
      <w:r>
        <w:rPr>
          <w:rFonts w:hint="eastAsia" w:ascii="仿宋" w:hAnsi="仿宋" w:eastAsia="仿宋" w:cs="仿宋_GB2312"/>
          <w:sz w:val="32"/>
          <w:szCs w:val="32"/>
          <w:lang w:val="en-US" w:eastAsia="zh-CN"/>
        </w:rPr>
        <w:t>2020</w:t>
      </w:r>
      <w:r>
        <w:rPr>
          <w:rFonts w:hint="eastAsia" w:ascii="仿宋" w:hAnsi="仿宋" w:eastAsia="仿宋" w:cs="仿宋_GB2312"/>
          <w:sz w:val="32"/>
          <w:szCs w:val="32"/>
        </w:rPr>
        <w:t>年度工作开展实际，根据年初工作计划有序开展各项工作，进一步细化工作任务，按照工作计划和要求细致分工，是财政收支预算执行得到了良好的制度保障和实施效果。</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spacing w:line="640" w:lineRule="exact"/>
        <w:ind w:firstLine="525" w:firstLineChars="250"/>
        <w:rPr>
          <w:rFonts w:ascii="仿宋_GB2312" w:eastAsia="仿宋_GB2312"/>
          <w:sz w:val="32"/>
          <w:szCs w:val="32"/>
        </w:rPr>
      </w:pPr>
      <w:r>
        <w:rPr>
          <w:rFonts w:hint="eastAsia"/>
          <w:lang w:val="en-US" w:eastAsia="zh-CN"/>
        </w:rPr>
        <w:t xml:space="preserve">    </w:t>
      </w:r>
      <w:r>
        <w:rPr>
          <w:rFonts w:hint="eastAsia" w:ascii="仿宋_GB2312" w:hAnsi="仿宋_GB2312" w:eastAsia="仿宋_GB2312" w:cs="仿宋_GB2312"/>
          <w:bCs/>
          <w:sz w:val="32"/>
          <w:szCs w:val="32"/>
        </w:rPr>
        <w:t>一是</w:t>
      </w:r>
      <w:r>
        <w:rPr>
          <w:rFonts w:hint="eastAsia" w:ascii="仿宋_GB2312" w:hAnsi="仿宋_GB2312" w:eastAsia="仿宋_GB2312" w:cs="仿宋_GB2312"/>
          <w:sz w:val="32"/>
          <w:szCs w:val="32"/>
        </w:rPr>
        <w:t>项目资金投向多为地处高半山、牧区的贫困村，补助额度有限（二次转运费用高；如桥梁项目前期费用高，需支付地勘、设计、财评、监理/审计等附加费用，无形增加了建设成本，使个别项目资金不足、进展缓慢、难以落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eastAsia="仿宋_GB2312"/>
          <w:sz w:val="32"/>
          <w:szCs w:val="32"/>
        </w:rPr>
        <w:t xml:space="preserve"> </w:t>
      </w:r>
    </w:p>
    <w:p>
      <w:pPr>
        <w:spacing w:line="640" w:lineRule="exact"/>
        <w:ind w:firstLine="796" w:firstLineChars="249"/>
        <w:rPr>
          <w:rFonts w:ascii="仿宋_GB2312" w:hAnsi="仿宋_GB2312" w:eastAsia="仿宋_GB2312" w:cs="仿宋_GB2312"/>
          <w:sz w:val="32"/>
          <w:szCs w:val="32"/>
        </w:rPr>
      </w:pPr>
      <w:r>
        <w:rPr>
          <w:rFonts w:hint="eastAsia" w:ascii="仿宋_GB2312" w:eastAsia="仿宋_GB2312"/>
          <w:bCs/>
          <w:sz w:val="32"/>
          <w:szCs w:val="32"/>
        </w:rPr>
        <w:t>二是</w:t>
      </w:r>
      <w:r>
        <w:rPr>
          <w:rFonts w:hint="eastAsia" w:ascii="仿宋_GB2312" w:hAnsi="仿宋_GB2312" w:eastAsia="仿宋_GB2312" w:cs="仿宋_GB2312"/>
          <w:sz w:val="32"/>
          <w:szCs w:val="32"/>
        </w:rPr>
        <w:t>项目实施中，各级政府部门对项目规范化越来越高，缺乏统一标准。原来两项资金项目大多采用“民办公助”村民一事一议的方式实施，现大多采用“竞争性谈判”“比选”“招投标”等方式实施，程序增加了许多；</w:t>
      </w:r>
    </w:p>
    <w:p>
      <w:pPr>
        <w:spacing w:line="640" w:lineRule="exact"/>
        <w:ind w:firstLine="796" w:firstLineChars="249"/>
        <w:rPr>
          <w:rFonts w:ascii="仿宋_GB2312" w:hAnsi="仿宋_GB2312" w:eastAsia="仿宋_GB2312" w:cs="仿宋_GB2312"/>
          <w:sz w:val="32"/>
          <w:szCs w:val="32"/>
        </w:rPr>
      </w:pPr>
      <w:r>
        <w:rPr>
          <w:rFonts w:hint="eastAsia" w:ascii="仿宋_GB2312" w:hAnsi="仿宋_GB2312" w:eastAsia="仿宋_GB2312" w:cs="仿宋_GB2312"/>
          <w:bCs/>
          <w:sz w:val="32"/>
          <w:szCs w:val="32"/>
        </w:rPr>
        <w:t>三是</w:t>
      </w:r>
      <w:r>
        <w:rPr>
          <w:rFonts w:hint="eastAsia" w:ascii="仿宋_GB2312" w:hAnsi="仿宋_GB2312" w:eastAsia="仿宋_GB2312" w:cs="仿宋_GB2312"/>
          <w:sz w:val="32"/>
          <w:szCs w:val="32"/>
        </w:rPr>
        <w:t>因壤塘急需解决广大牧区及高半山农区的通组道路，所以新建天然泥结碎石道路、牧道较多、涉及需要办理手续较多，如需办理环评、林地征用、牧草征用等手续，延缓了项目实施进度建议明确资金量、项目类型对应实施方式。</w:t>
      </w:r>
    </w:p>
    <w:p>
      <w:pPr>
        <w:pStyle w:val="2"/>
        <w:numPr>
          <w:ilvl w:val="0"/>
          <w:numId w:val="0"/>
        </w:numPr>
        <w:ind w:left="420" w:leftChars="0"/>
        <w:rPr>
          <w:rFonts w:hint="default" w:eastAsia="宋体"/>
          <w:lang w:val="en-US" w:eastAsia="zh-CN"/>
        </w:rPr>
      </w:pP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（三）改进建议。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例如</w:t>
      </w:r>
      <w:r>
        <w:rPr>
          <w:rFonts w:hint="eastAsia" w:ascii="仿宋_GB2312" w:hAnsi="仿宋_GB2312" w:eastAsia="仿宋_GB2312" w:cs="仿宋_GB2312"/>
          <w:sz w:val="32"/>
          <w:szCs w:val="32"/>
        </w:rPr>
        <w:t>通过民族地区移风易俗工程工程的实施</w:t>
      </w:r>
      <w:r>
        <w:rPr>
          <w:rFonts w:hint="eastAsia" w:ascii="仿宋_GB2312" w:hAnsi="仿宋_GB2312" w:eastAsia="仿宋_GB2312" w:cs="仿宋_GB2312"/>
          <w:sz w:val="32"/>
          <w:szCs w:val="32"/>
          <w:lang w:eastAsia="zh-CN"/>
        </w:rPr>
        <w:t>，由于当地农牧民的观念意识落后，要想养成先进文明生活习俗还需将这一项目常态化、持续跟进。</w:t>
      </w: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7" w:name="_Toc79163633"/>
      <w:bookmarkStart w:id="118" w:name="_Toc7916388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ascii="方正小标宋简体" w:hAnsi="黑体" w:eastAsia="方正小标宋简体" w:cs="黑体"/>
          <w:sz w:val="44"/>
          <w:szCs w:val="44"/>
        </w:rPr>
      </w:pPr>
      <w:bookmarkStart w:id="119" w:name="_Toc79163634"/>
      <w:bookmarkStart w:id="120" w:name="_Toc79163884"/>
      <w:r>
        <w:rPr>
          <w:rFonts w:hint="eastAsia" w:ascii="方正小标宋简体" w:hAnsi="黑体" w:eastAsia="方正小标宋简体" w:cs="黑体"/>
          <w:sz w:val="44"/>
          <w:szCs w:val="44"/>
          <w:lang w:eastAsia="zh-CN"/>
        </w:rPr>
        <w:t>壤塘县2020年太阳能路灯建设项目</w:t>
      </w:r>
      <w:r>
        <w:rPr>
          <w:rFonts w:hint="eastAsia" w:ascii="方正小标宋简体" w:hAnsi="黑体" w:eastAsia="方正小标宋简体" w:cs="黑体"/>
          <w:sz w:val="44"/>
          <w:szCs w:val="44"/>
        </w:rPr>
        <w:t>绩效评价报告</w:t>
      </w:r>
      <w:bookmarkEnd w:id="119"/>
      <w:bookmarkEnd w:id="120"/>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spacing w:line="580" w:lineRule="exact"/>
        <w:ind w:firstLine="640" w:firstLineChars="200"/>
        <w:rPr>
          <w:rFonts w:hint="eastAsia" w:ascii="仿宋_GB2312" w:eastAsia="仿宋_GB2312"/>
          <w:sz w:val="32"/>
          <w:szCs w:val="32"/>
        </w:rPr>
      </w:pPr>
      <w:r>
        <w:rPr>
          <w:rFonts w:eastAsia="仿宋_GB2312"/>
          <w:sz w:val="32"/>
          <w:szCs w:val="32"/>
        </w:rPr>
        <w:t>根据《阿坝州民族宗教事务委员会</w:t>
      </w:r>
      <w:r>
        <w:rPr>
          <w:rFonts w:hint="eastAsia" w:eastAsia="仿宋_GB2312"/>
          <w:sz w:val="32"/>
          <w:szCs w:val="32"/>
          <w:lang w:val="en-US" w:eastAsia="zh-CN"/>
        </w:rPr>
        <w:t xml:space="preserve"> </w:t>
      </w:r>
      <w:r>
        <w:rPr>
          <w:rFonts w:eastAsia="仿宋_GB2312"/>
          <w:sz w:val="32"/>
          <w:szCs w:val="32"/>
        </w:rPr>
        <w:t>关于</w:t>
      </w:r>
      <w:r>
        <w:rPr>
          <w:rFonts w:hint="eastAsia" w:eastAsia="仿宋_GB2312"/>
          <w:sz w:val="32"/>
          <w:szCs w:val="32"/>
          <w:lang w:eastAsia="zh-CN"/>
        </w:rPr>
        <w:t>开展两项资金项目绩效评价工作的通知</w:t>
      </w:r>
      <w:r>
        <w:rPr>
          <w:rFonts w:eastAsia="仿宋_GB2312"/>
          <w:sz w:val="32"/>
          <w:szCs w:val="32"/>
        </w:rPr>
        <w:t>》</w:t>
      </w:r>
      <w:r>
        <w:rPr>
          <w:rFonts w:hint="eastAsia" w:ascii="仿宋_GB2312" w:eastAsia="仿宋_GB2312"/>
          <w:sz w:val="32"/>
          <w:szCs w:val="32"/>
        </w:rPr>
        <w:t>（阿州财预〔</w:t>
      </w:r>
      <w:r>
        <w:rPr>
          <w:rFonts w:hint="eastAsia" w:ascii="仿宋_GB2312" w:eastAsia="仿宋_GB2312"/>
          <w:sz w:val="32"/>
          <w:szCs w:val="32"/>
          <w:lang w:val="en-US" w:eastAsia="zh-CN"/>
        </w:rPr>
        <w:t>2020</w:t>
      </w:r>
      <w:r>
        <w:rPr>
          <w:rFonts w:hint="eastAsia" w:ascii="仿宋_GB2312" w:eastAsia="仿宋_GB2312"/>
          <w:sz w:val="32"/>
          <w:szCs w:val="32"/>
        </w:rPr>
        <w:t>〕</w:t>
      </w:r>
      <w:r>
        <w:rPr>
          <w:rFonts w:hint="eastAsia" w:ascii="仿宋_GB2312" w:eastAsia="仿宋_GB2312"/>
          <w:sz w:val="32"/>
          <w:szCs w:val="32"/>
          <w:lang w:val="en-US" w:eastAsia="zh-CN"/>
        </w:rPr>
        <w:t>6</w:t>
      </w:r>
      <w:r>
        <w:rPr>
          <w:rFonts w:hint="eastAsia" w:ascii="仿宋_GB2312" w:eastAsia="仿宋_GB2312"/>
          <w:sz w:val="32"/>
          <w:szCs w:val="32"/>
        </w:rPr>
        <w:t>号）下达</w:t>
      </w:r>
      <w:r>
        <w:rPr>
          <w:rFonts w:hint="eastAsia" w:eastAsia="仿宋_GB2312"/>
          <w:sz w:val="32"/>
          <w:szCs w:val="32"/>
          <w:lang w:eastAsia="zh-CN"/>
        </w:rPr>
        <w:t>壤塘县2020年太阳能路灯建设项目</w:t>
      </w:r>
      <w:r>
        <w:rPr>
          <w:rFonts w:hint="eastAsia" w:ascii="仿宋_GB2312" w:eastAsia="仿宋_GB2312"/>
          <w:sz w:val="32"/>
          <w:szCs w:val="32"/>
        </w:rPr>
        <w:t>，项目补助资金</w:t>
      </w:r>
      <w:r>
        <w:rPr>
          <w:rFonts w:hint="eastAsia" w:ascii="仿宋_GB2312" w:eastAsia="仿宋_GB2312"/>
          <w:sz w:val="32"/>
          <w:szCs w:val="32"/>
          <w:lang w:val="en-US" w:eastAsia="zh-CN"/>
        </w:rPr>
        <w:t>49.5</w:t>
      </w:r>
      <w:r>
        <w:rPr>
          <w:rFonts w:hint="eastAsia" w:ascii="仿宋_GB2312" w:eastAsia="仿宋_GB2312"/>
          <w:sz w:val="32"/>
          <w:szCs w:val="32"/>
        </w:rPr>
        <w:t>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hint="eastAsia" w:eastAsia="仿宋_GB2312"/>
          <w:color w:val="auto"/>
          <w:sz w:val="32"/>
          <w:szCs w:val="32"/>
          <w:lang w:eastAsia="zh-CN"/>
        </w:rPr>
      </w:pPr>
      <w:r>
        <w:rPr>
          <w:rFonts w:hint="eastAsia" w:eastAsia="仿宋_GB2312"/>
          <w:b w:val="0"/>
          <w:bCs w:val="0"/>
          <w:color w:val="auto"/>
          <w:sz w:val="32"/>
          <w:szCs w:val="32"/>
        </w:rPr>
        <w:t>村内公共照明</w:t>
      </w:r>
      <w:r>
        <w:rPr>
          <w:rFonts w:hint="eastAsia" w:eastAsia="仿宋_GB2312"/>
          <w:b w:val="0"/>
          <w:bCs w:val="0"/>
          <w:color w:val="auto"/>
          <w:sz w:val="32"/>
          <w:szCs w:val="32"/>
          <w:lang w:eastAsia="zh-CN"/>
        </w:rPr>
        <w:t>工程：壤塘县2020年太阳能路灯建设项目，补助资金</w:t>
      </w:r>
      <w:r>
        <w:rPr>
          <w:rFonts w:hint="eastAsia" w:eastAsia="仿宋_GB2312"/>
          <w:b w:val="0"/>
          <w:bCs w:val="0"/>
          <w:color w:val="auto"/>
          <w:sz w:val="32"/>
          <w:szCs w:val="32"/>
          <w:lang w:val="en-US" w:eastAsia="zh-CN"/>
        </w:rPr>
        <w:t>49.5万元，用于</w:t>
      </w:r>
      <w:r>
        <w:rPr>
          <w:rFonts w:hint="eastAsia" w:eastAsia="仿宋_GB2312"/>
          <w:color w:val="auto"/>
          <w:sz w:val="32"/>
          <w:szCs w:val="32"/>
        </w:rPr>
        <w:t>购买太阳能路灯110盏，其中中壤塘镇壤塘村50盏，上杜柯乡西穷村30盏，日柯村30盏</w:t>
      </w:r>
      <w:r>
        <w:rPr>
          <w:rFonts w:hint="eastAsia" w:eastAsia="仿宋_GB2312"/>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lang w:val="zh-CN"/>
        </w:rPr>
      </w:pPr>
      <w:r>
        <w:rPr>
          <w:rFonts w:ascii="仿宋_GB2312" w:hAnsi="宋体" w:eastAsia="仿宋_GB2312"/>
          <w:sz w:val="32"/>
          <w:szCs w:val="32"/>
          <w:lang w:val="zh-CN"/>
        </w:rPr>
        <w:t>2</w:t>
      </w:r>
      <w:r>
        <w:rPr>
          <w:rFonts w:hint="eastAsia" w:ascii="仿宋_GB2312" w:hAnsi="宋体" w:eastAsia="仿宋_GB2312"/>
          <w:sz w:val="32"/>
          <w:szCs w:val="32"/>
          <w:lang w:val="zh-CN"/>
        </w:rPr>
        <w:t>．</w:t>
      </w:r>
      <w:r>
        <w:rPr>
          <w:rFonts w:hint="eastAsia" w:eastAsia="仿宋_GB2312"/>
          <w:color w:val="auto"/>
          <w:w w:val="99"/>
          <w:sz w:val="32"/>
          <w:szCs w:val="32"/>
        </w:rPr>
        <w:t>通过</w:t>
      </w:r>
      <w:r>
        <w:rPr>
          <w:rFonts w:hint="eastAsia" w:eastAsia="仿宋_GB2312"/>
          <w:color w:val="auto"/>
          <w:w w:val="99"/>
          <w:sz w:val="32"/>
          <w:szCs w:val="32"/>
          <w:lang w:eastAsia="zh-CN"/>
        </w:rPr>
        <w:t>实施</w:t>
      </w:r>
      <w:r>
        <w:rPr>
          <w:rFonts w:hint="eastAsia" w:eastAsia="仿宋_GB2312"/>
          <w:color w:val="auto"/>
          <w:w w:val="99"/>
          <w:sz w:val="32"/>
          <w:szCs w:val="32"/>
        </w:rPr>
        <w:t>民族地区</w:t>
      </w:r>
      <w:r>
        <w:rPr>
          <w:rFonts w:hint="eastAsia" w:eastAsia="仿宋_GB2312"/>
          <w:b w:val="0"/>
          <w:bCs w:val="0"/>
          <w:color w:val="auto"/>
          <w:sz w:val="32"/>
          <w:szCs w:val="32"/>
        </w:rPr>
        <w:t>村内公共照明工程</w:t>
      </w:r>
      <w:r>
        <w:rPr>
          <w:rFonts w:hint="eastAsia" w:eastAsia="仿宋_GB2312"/>
          <w:color w:val="auto"/>
          <w:w w:val="99"/>
          <w:sz w:val="32"/>
          <w:szCs w:val="32"/>
        </w:rPr>
        <w:t>，极大地改善了当地的交通环境，为农牧民群众的生产、生活和出行带来了便利。</w:t>
      </w:r>
      <w:r>
        <w:rPr>
          <w:rFonts w:hint="eastAsia" w:eastAsia="仿宋_GB2312"/>
          <w:color w:val="auto"/>
          <w:sz w:val="32"/>
          <w:szCs w:val="32"/>
          <w:lang w:eastAsia="zh-CN"/>
        </w:rPr>
        <w:t>目前项目已经完成招投标，中标供应商正在做进场施工前期工作</w:t>
      </w:r>
      <w:r>
        <w:rPr>
          <w:rFonts w:hint="eastAsia" w:eastAsia="仿宋_GB2312"/>
          <w:bCs/>
          <w:color w:val="auto"/>
          <w:sz w:val="32"/>
          <w:szCs w:val="32"/>
          <w:lang w:eastAsia="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spacing w:line="580" w:lineRule="exact"/>
        <w:ind w:firstLine="640" w:firstLineChars="200"/>
        <w:rPr>
          <w:rFonts w:ascii="仿宋_GB2312" w:hAnsi="宋体" w:eastAsia="仿宋_GB2312"/>
          <w:sz w:val="32"/>
          <w:szCs w:val="32"/>
          <w:lang w:val="zh-CN"/>
        </w:rPr>
      </w:pPr>
      <w:r>
        <w:rPr>
          <w:rFonts w:hint="eastAsia" w:ascii="仿宋_GB2312" w:eastAsia="仿宋_GB2312"/>
          <w:sz w:val="32"/>
          <w:szCs w:val="32"/>
        </w:rPr>
        <w:t>本项目年度预算</w:t>
      </w:r>
      <w:r>
        <w:rPr>
          <w:rFonts w:hint="eastAsia" w:ascii="仿宋_GB2312" w:eastAsia="仿宋_GB2312"/>
          <w:sz w:val="32"/>
          <w:szCs w:val="32"/>
          <w:lang w:val="en-US" w:eastAsia="zh-CN"/>
        </w:rPr>
        <w:t>49.5</w:t>
      </w:r>
      <w:r>
        <w:rPr>
          <w:rFonts w:hint="eastAsia" w:ascii="仿宋_GB2312" w:eastAsia="仿宋_GB2312"/>
          <w:sz w:val="32"/>
          <w:szCs w:val="32"/>
        </w:rPr>
        <w:t>万元，实际支出</w:t>
      </w:r>
      <w:r>
        <w:rPr>
          <w:rFonts w:hint="eastAsia" w:ascii="仿宋_GB2312" w:eastAsia="仿宋_GB2312"/>
          <w:sz w:val="32"/>
          <w:szCs w:val="32"/>
          <w:lang w:val="en-US" w:eastAsia="zh-CN"/>
        </w:rPr>
        <w:t>49.5</w:t>
      </w:r>
      <w:r>
        <w:rPr>
          <w:rFonts w:hint="eastAsia" w:ascii="仿宋_GB2312" w:eastAsia="仿宋_GB2312"/>
          <w:sz w:val="32"/>
          <w:szCs w:val="32"/>
        </w:rPr>
        <w:t>万元。项目完成100%，项目的反映良好，具有可持续性。</w:t>
      </w:r>
    </w:p>
    <w:p>
      <w:pPr>
        <w:adjustRightInd w:val="0"/>
        <w:snapToGrid w:val="0"/>
        <w:spacing w:line="600" w:lineRule="exact"/>
        <w:ind w:firstLine="720"/>
        <w:rPr>
          <w:rFonts w:ascii="黑体" w:hAnsi="宋体" w:eastAsia="黑体"/>
          <w:sz w:val="32"/>
          <w:szCs w:val="32"/>
          <w:highlight w:val="none"/>
        </w:rPr>
      </w:pPr>
      <w:r>
        <w:rPr>
          <w:rFonts w:hint="eastAsia" w:ascii="黑体" w:hAnsi="宋体" w:eastAsia="黑体"/>
          <w:sz w:val="32"/>
          <w:szCs w:val="32"/>
          <w:highlight w:val="none"/>
        </w:rPr>
        <w:t>二、项目资金申报及使用情况</w:t>
      </w:r>
    </w:p>
    <w:p>
      <w:pPr>
        <w:spacing w:line="580" w:lineRule="exact"/>
        <w:ind w:firstLine="640" w:firstLineChars="200"/>
        <w:rPr>
          <w:rFonts w:ascii="仿宋" w:hAnsi="仿宋" w:eastAsia="仿宋" w:cs="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是项目实施流程。两资项目一般通过项目申报，项目检查监管、项目总结验收三个流程完成。</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是严格项目计划管理。在项目实施过程中，壤塘县根据省、州下达的项目资金计划，在规定工作日内及时将建设任务和资金计划转到项目实施责任单位，并严格按照规定的项目建设地点、建设规模、建设内容以及投资规模等组织实施</w:t>
      </w:r>
      <w:r>
        <w:rPr>
          <w:rFonts w:hint="eastAsia" w:ascii="仿宋_GB2312" w:eastAsia="仿宋_GB2312"/>
          <w:sz w:val="32"/>
          <w:szCs w:val="32"/>
          <w:lang w:eastAsia="zh-CN"/>
        </w:rPr>
        <w:t>和使用资金。</w:t>
      </w:r>
      <w:r>
        <w:rPr>
          <w:rFonts w:hint="eastAsia" w:ascii="仿宋_GB2312" w:eastAsia="仿宋_GB2312"/>
          <w:sz w:val="32"/>
          <w:szCs w:val="32"/>
        </w:rPr>
        <w:t xml:space="preserve">  </w:t>
      </w:r>
    </w:p>
    <w:p>
      <w:pPr>
        <w:spacing w:line="580" w:lineRule="exact"/>
        <w:ind w:firstLine="640" w:firstLineChars="200"/>
        <w:rPr>
          <w:rFonts w:hint="eastAsia" w:ascii="仿宋_GB2312" w:eastAsia="仿宋_GB2312"/>
          <w:sz w:val="32"/>
          <w:szCs w:val="32"/>
        </w:rPr>
      </w:pPr>
      <w:r>
        <w:rPr>
          <w:rFonts w:hint="eastAsia" w:ascii="仿宋_GB2312" w:eastAsia="仿宋_GB2312"/>
          <w:bCs/>
          <w:sz w:val="32"/>
          <w:szCs w:val="32"/>
          <w:lang w:eastAsia="zh-CN"/>
        </w:rPr>
        <w:t>三</w:t>
      </w:r>
      <w:r>
        <w:rPr>
          <w:rFonts w:hint="eastAsia" w:ascii="仿宋_GB2312" w:eastAsia="仿宋_GB2312"/>
          <w:bCs/>
          <w:sz w:val="32"/>
          <w:szCs w:val="32"/>
        </w:rPr>
        <w:t>是</w:t>
      </w:r>
      <w:r>
        <w:rPr>
          <w:rFonts w:hint="eastAsia" w:ascii="仿宋_GB2312" w:eastAsia="仿宋_GB2312"/>
          <w:sz w:val="32"/>
          <w:szCs w:val="32"/>
        </w:rPr>
        <w:t>规范项目管理程序。项目下达后，我县及时组织项目实施单位在提出可行设计方案和实施方案报县了两资领导小组评审后，经主管部门同意然后下达开工令后组织实施。</w:t>
      </w:r>
    </w:p>
    <w:p>
      <w:pPr>
        <w:adjustRightInd w:val="0"/>
        <w:snapToGrid w:val="0"/>
        <w:spacing w:line="600" w:lineRule="exact"/>
        <w:ind w:firstLine="720"/>
        <w:rPr>
          <w:rFonts w:hint="eastAsia" w:ascii="仿宋_GB2312" w:eastAsia="仿宋_GB2312"/>
          <w:sz w:val="32"/>
          <w:szCs w:val="32"/>
        </w:rPr>
      </w:pPr>
      <w:r>
        <w:rPr>
          <w:rFonts w:hint="eastAsia" w:ascii="仿宋_GB2312" w:eastAsia="仿宋_GB2312"/>
          <w:bCs/>
          <w:sz w:val="32"/>
          <w:szCs w:val="32"/>
          <w:lang w:eastAsia="zh-CN"/>
        </w:rPr>
        <w:t>四</w:t>
      </w:r>
      <w:r>
        <w:rPr>
          <w:rFonts w:hint="eastAsia" w:ascii="仿宋_GB2312" w:eastAsia="仿宋_GB2312"/>
          <w:bCs/>
          <w:sz w:val="32"/>
          <w:szCs w:val="32"/>
        </w:rPr>
        <w:t>是</w:t>
      </w:r>
      <w:r>
        <w:rPr>
          <w:rFonts w:hint="eastAsia" w:ascii="仿宋_GB2312" w:eastAsia="仿宋_GB2312"/>
          <w:sz w:val="32"/>
          <w:szCs w:val="32"/>
        </w:rPr>
        <w:t>按照“公开、透明”的原则，在项目实施地，就项目实施内容、补助资金、实施主体等相关内容进行了为期7天的公示，对群众反映的建议、意见进行认真研究，切实做到了“项目公开、群众认同”。</w:t>
      </w:r>
      <w:r>
        <w:rPr>
          <w:rFonts w:hint="eastAsia" w:ascii="仿宋_GB2312" w:eastAsia="仿宋_GB2312"/>
          <w:bCs/>
          <w:sz w:val="32"/>
          <w:szCs w:val="32"/>
        </w:rPr>
        <w:t>四是</w:t>
      </w:r>
      <w:r>
        <w:rPr>
          <w:rFonts w:hint="eastAsia" w:ascii="仿宋_GB2312" w:eastAsia="仿宋_GB2312"/>
          <w:sz w:val="32"/>
          <w:szCs w:val="32"/>
        </w:rPr>
        <w:t>在项目建设中，我县根据两资项目资金使用规定和特点，采取“村民自建”、“民办公助”、“一事一议”的方式组织实施，充分发挥基层组织的主导作用和群众的主体作用，由乡、村动员项目实施地群众投工投劳，自建基础设施。</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eastAsia="仿宋_GB2312"/>
          <w:sz w:val="32"/>
          <w:szCs w:val="32"/>
          <w:lang w:eastAsia="zh-CN"/>
        </w:rPr>
        <w:t>壤塘县2020年太阳能路灯建设项目</w:t>
      </w:r>
      <w:r>
        <w:rPr>
          <w:rFonts w:hint="eastAsia" w:ascii="仿宋_GB2312" w:hAnsi="宋体" w:eastAsia="仿宋_GB2312"/>
          <w:sz w:val="32"/>
          <w:szCs w:val="32"/>
          <w:lang w:val="zh-CN"/>
        </w:rPr>
        <w:t>实施单位壤塘县民族宗教局财务管理制度健全，严格执行财务管理制度，账务处理及时，会计核算规范。</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三、项目绩效情况</w:t>
      </w:r>
      <w:r>
        <w:rPr>
          <w:rFonts w:ascii="仿宋_GB2312" w:hAnsi="宋体" w:eastAsia="仿宋_GB2312"/>
          <w:sz w:val="32"/>
          <w:szCs w:val="32"/>
          <w:lang w:val="zh-CN"/>
        </w:rPr>
        <w:tab/>
      </w:r>
    </w:p>
    <w:p>
      <w:pPr>
        <w:spacing w:line="580" w:lineRule="exact"/>
        <w:ind w:firstLine="640" w:firstLineChars="200"/>
        <w:rPr>
          <w:rFonts w:hint="eastAsia" w:ascii="仿宋_GB2312" w:eastAsia="仿宋_GB2312"/>
          <w:sz w:val="32"/>
          <w:szCs w:val="32"/>
        </w:rPr>
      </w:pPr>
      <w:r>
        <w:rPr>
          <w:rFonts w:hint="eastAsia" w:eastAsia="仿宋_GB2312"/>
          <w:sz w:val="32"/>
          <w:szCs w:val="32"/>
          <w:lang w:eastAsia="zh-CN"/>
        </w:rPr>
        <w:t>壤塘县2020年太阳能路灯建设项目</w:t>
      </w:r>
      <w:r>
        <w:rPr>
          <w:rFonts w:hint="eastAsia" w:ascii="仿宋_GB2312" w:eastAsia="仿宋_GB2312"/>
          <w:sz w:val="32"/>
          <w:szCs w:val="32"/>
        </w:rPr>
        <w:t>是包括了数量指标、满意度指标、时效指标。该项目各项指标实际完成均达到年初绩效目标。</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lang w:eastAsia="zh-CN"/>
        </w:rPr>
        <w:t>四</w:t>
      </w:r>
      <w:r>
        <w:rPr>
          <w:rFonts w:hint="eastAsia" w:ascii="黑体" w:hAnsi="宋体" w:eastAsia="黑体"/>
          <w:sz w:val="32"/>
          <w:szCs w:val="32"/>
        </w:rPr>
        <w:t>、评价结论及建议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2"/>
        <w:rPr>
          <w:rFonts w:hint="eastAsia" w:eastAsia="仿宋_GB2312"/>
          <w:color w:val="auto"/>
          <w:w w:val="99"/>
          <w:sz w:val="32"/>
          <w:szCs w:val="32"/>
        </w:rPr>
      </w:pPr>
      <w:r>
        <w:rPr>
          <w:rFonts w:hint="eastAsia" w:eastAsia="仿宋_GB2312"/>
          <w:color w:val="auto"/>
          <w:w w:val="99"/>
          <w:sz w:val="32"/>
          <w:szCs w:val="32"/>
        </w:rPr>
        <w:t>通过</w:t>
      </w:r>
      <w:r>
        <w:rPr>
          <w:rFonts w:hint="eastAsia" w:eastAsia="仿宋_GB2312"/>
          <w:color w:val="auto"/>
          <w:w w:val="99"/>
          <w:sz w:val="32"/>
          <w:szCs w:val="32"/>
          <w:lang w:eastAsia="zh-CN"/>
        </w:rPr>
        <w:t>实施</w:t>
      </w:r>
      <w:r>
        <w:rPr>
          <w:rFonts w:hint="eastAsia" w:eastAsia="仿宋_GB2312"/>
          <w:color w:val="auto"/>
          <w:w w:val="99"/>
          <w:sz w:val="32"/>
          <w:szCs w:val="32"/>
        </w:rPr>
        <w:t>民族地区</w:t>
      </w:r>
      <w:r>
        <w:rPr>
          <w:rFonts w:hint="eastAsia" w:eastAsia="仿宋_GB2312"/>
          <w:b w:val="0"/>
          <w:bCs w:val="0"/>
          <w:color w:val="auto"/>
          <w:sz w:val="32"/>
          <w:szCs w:val="32"/>
        </w:rPr>
        <w:t>村内公共照明工程</w:t>
      </w:r>
      <w:r>
        <w:rPr>
          <w:rFonts w:hint="eastAsia" w:eastAsia="仿宋_GB2312"/>
          <w:color w:val="auto"/>
          <w:w w:val="99"/>
          <w:sz w:val="32"/>
          <w:szCs w:val="32"/>
        </w:rPr>
        <w:t>，极大地改善了当地的交通环境，为农牧民群众的生产、生活和出行带来了便利。</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firstLineChars="200"/>
        <w:jc w:val="left"/>
        <w:rPr>
          <w:rFonts w:ascii="仿宋_GB2312" w:eastAsia="仿宋_GB2312"/>
          <w:sz w:val="32"/>
          <w:szCs w:val="32"/>
        </w:rPr>
      </w:pPr>
      <w:r>
        <w:rPr>
          <w:rFonts w:hint="eastAsia" w:ascii="仿宋_GB2312" w:eastAsia="仿宋_GB2312"/>
          <w:sz w:val="32"/>
          <w:szCs w:val="32"/>
        </w:rPr>
        <w:t>累积经验，完善、细化、规范绩效管理，指标的设计可能需要更加的科学性。</w:t>
      </w:r>
    </w:p>
    <w:p>
      <w:pPr>
        <w:widowControl/>
        <w:jc w:val="left"/>
        <w:rPr>
          <w:rStyle w:val="23"/>
          <w:rFonts w:ascii="黑体" w:hAnsi="黑体" w:eastAsia="黑体"/>
          <w:b w:val="0"/>
        </w:rPr>
      </w:pPr>
    </w:p>
    <w:p>
      <w:pPr>
        <w:widowControl/>
        <w:jc w:val="left"/>
        <w:rPr>
          <w:rStyle w:val="23"/>
          <w:rFonts w:ascii="黑体" w:hAnsi="黑体" w:eastAsia="黑体"/>
          <w:b w:val="0"/>
        </w:rPr>
      </w:pPr>
      <w:r>
        <w:rPr>
          <w:rStyle w:val="23"/>
          <w:rFonts w:ascii="黑体" w:hAnsi="黑体" w:eastAsia="黑体"/>
          <w:b w:val="0"/>
        </w:rPr>
        <w:br w:type="page"/>
      </w:r>
    </w:p>
    <w:p>
      <w:pPr>
        <w:spacing w:line="600" w:lineRule="exact"/>
        <w:jc w:val="center"/>
        <w:outlineLvl w:val="0"/>
        <w:rPr>
          <w:rFonts w:ascii="方正小标宋简体" w:hAnsi="黑体" w:eastAsia="方正小标宋简体" w:cs="黑体"/>
          <w:sz w:val="44"/>
          <w:szCs w:val="44"/>
        </w:rPr>
      </w:pPr>
      <w:bookmarkStart w:id="121" w:name="_Toc15396618"/>
      <w:bookmarkStart w:id="122" w:name="_Toc79163635"/>
      <w:bookmarkStart w:id="123" w:name="_Toc79163885"/>
      <w:r>
        <w:rPr>
          <w:rFonts w:hint="eastAsia" w:ascii="方正小标宋简体" w:hAnsi="黑体" w:eastAsia="方正小标宋简体" w:cs="黑体"/>
          <w:sz w:val="44"/>
          <w:szCs w:val="44"/>
        </w:rPr>
        <w:t>2020年壤塘县上壤塘乡贡巴拉卡陶艺传习所建设项目绩效评价报告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spacing w:line="580" w:lineRule="exact"/>
        <w:ind w:firstLine="640" w:firstLineChars="200"/>
        <w:rPr>
          <w:rFonts w:hint="eastAsia" w:ascii="仿宋_GB2312" w:eastAsia="仿宋_GB2312"/>
          <w:sz w:val="32"/>
          <w:szCs w:val="32"/>
        </w:rPr>
      </w:pPr>
      <w:r>
        <w:rPr>
          <w:rFonts w:eastAsia="仿宋_GB2312"/>
          <w:sz w:val="32"/>
          <w:szCs w:val="32"/>
        </w:rPr>
        <w:t>根据《阿坝州民族宗教事务委员会</w:t>
      </w:r>
      <w:r>
        <w:rPr>
          <w:rFonts w:hint="eastAsia" w:eastAsia="仿宋_GB2312"/>
          <w:sz w:val="32"/>
          <w:szCs w:val="32"/>
          <w:lang w:val="en-US" w:eastAsia="zh-CN"/>
        </w:rPr>
        <w:t xml:space="preserve"> </w:t>
      </w:r>
      <w:r>
        <w:rPr>
          <w:rFonts w:eastAsia="仿宋_GB2312"/>
          <w:sz w:val="32"/>
          <w:szCs w:val="32"/>
        </w:rPr>
        <w:t>关于</w:t>
      </w:r>
      <w:r>
        <w:rPr>
          <w:rFonts w:hint="eastAsia" w:eastAsia="仿宋_GB2312"/>
          <w:sz w:val="32"/>
          <w:szCs w:val="32"/>
          <w:lang w:eastAsia="zh-CN"/>
        </w:rPr>
        <w:t>开展两项资金项目绩效评价工作的通知</w:t>
      </w:r>
      <w:r>
        <w:rPr>
          <w:rFonts w:eastAsia="仿宋_GB2312"/>
          <w:sz w:val="32"/>
          <w:szCs w:val="32"/>
        </w:rPr>
        <w:t>》</w:t>
      </w:r>
      <w:r>
        <w:rPr>
          <w:rFonts w:hint="eastAsia" w:ascii="仿宋_GB2312" w:eastAsia="仿宋_GB2312"/>
          <w:sz w:val="32"/>
          <w:szCs w:val="32"/>
        </w:rPr>
        <w:t>下达</w:t>
      </w:r>
      <w:r>
        <w:rPr>
          <w:rFonts w:hint="eastAsia" w:eastAsia="仿宋_GB2312"/>
          <w:b w:val="0"/>
          <w:bCs w:val="0"/>
          <w:color w:val="auto"/>
          <w:sz w:val="32"/>
          <w:szCs w:val="32"/>
        </w:rPr>
        <w:t>壤塘县上壤塘乡贡巴拉卡陶艺传习所建设项目</w:t>
      </w:r>
      <w:r>
        <w:rPr>
          <w:rFonts w:hint="eastAsia" w:ascii="仿宋_GB2312" w:eastAsia="仿宋_GB2312"/>
          <w:sz w:val="32"/>
          <w:szCs w:val="32"/>
        </w:rPr>
        <w:t>，项目补助资金</w:t>
      </w:r>
      <w:r>
        <w:rPr>
          <w:rFonts w:hint="eastAsia" w:ascii="仿宋_GB2312" w:eastAsia="仿宋_GB2312"/>
          <w:sz w:val="32"/>
          <w:szCs w:val="32"/>
          <w:lang w:val="en-US" w:eastAsia="zh-CN"/>
        </w:rPr>
        <w:t>50</w:t>
      </w:r>
      <w:r>
        <w:rPr>
          <w:rFonts w:hint="eastAsia" w:ascii="仿宋_GB2312" w:eastAsia="仿宋_GB2312"/>
          <w:sz w:val="32"/>
          <w:szCs w:val="32"/>
        </w:rPr>
        <w:t>万元。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eastAsia" w:ascii="仿宋_GB2312" w:hAnsi="宋体" w:eastAsia="仿宋_GB2312"/>
          <w:sz w:val="32"/>
          <w:szCs w:val="32"/>
          <w:lang w:val="zh-CN"/>
        </w:rPr>
      </w:pPr>
      <w:r>
        <w:rPr>
          <w:rFonts w:ascii="仿宋_GB2312" w:hAnsi="宋体" w:eastAsia="仿宋_GB2312"/>
          <w:sz w:val="32"/>
          <w:szCs w:val="32"/>
          <w:lang w:val="zh-CN"/>
        </w:rPr>
        <w:t>1</w:t>
      </w:r>
      <w:r>
        <w:rPr>
          <w:rFonts w:hint="eastAsia" w:ascii="仿宋_GB2312" w:hAnsi="宋体" w:eastAsia="仿宋_GB2312"/>
          <w:sz w:val="32"/>
          <w:szCs w:val="32"/>
          <w:lang w:val="zh-CN"/>
        </w:rPr>
        <w:t>．项目主要内容。</w:t>
      </w:r>
    </w:p>
    <w:p>
      <w:pPr>
        <w:pStyle w:val="2"/>
        <w:ind w:left="0" w:leftChars="0" w:firstLine="640" w:firstLineChars="200"/>
        <w:jc w:val="left"/>
        <w:rPr>
          <w:lang w:val="zh-CN"/>
        </w:rPr>
      </w:pPr>
      <w:r>
        <w:rPr>
          <w:rFonts w:hint="eastAsia" w:eastAsia="仿宋_GB2312"/>
          <w:b w:val="0"/>
          <w:bCs w:val="0"/>
          <w:color w:val="auto"/>
          <w:sz w:val="32"/>
          <w:szCs w:val="32"/>
          <w:lang w:val="en-US" w:eastAsia="zh-CN"/>
        </w:rPr>
        <w:t>用于建造陶土工坊200㎡，包含电窑室、陶艺研究室，陶土室，库房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2"/>
        <w:rPr>
          <w:rFonts w:ascii="仿宋_GB2312" w:hAnsi="宋体" w:eastAsia="仿宋_GB2312"/>
          <w:sz w:val="32"/>
          <w:szCs w:val="32"/>
          <w:lang w:val="zh-CN"/>
        </w:rPr>
      </w:pPr>
      <w:r>
        <w:rPr>
          <w:rFonts w:hint="eastAsia" w:eastAsia="仿宋_GB2312"/>
          <w:bCs/>
          <w:color w:val="auto"/>
          <w:sz w:val="32"/>
          <w:szCs w:val="32"/>
          <w:lang w:val="en-US" w:eastAsia="zh-CN"/>
        </w:rPr>
        <w:t>2.</w:t>
      </w:r>
      <w:r>
        <w:rPr>
          <w:rFonts w:hint="eastAsia" w:eastAsia="仿宋_GB2312"/>
          <w:bCs/>
          <w:color w:val="auto"/>
          <w:sz w:val="32"/>
          <w:szCs w:val="32"/>
        </w:rPr>
        <w:t>通过</w:t>
      </w:r>
      <w:r>
        <w:rPr>
          <w:rFonts w:hint="eastAsia" w:eastAsia="仿宋_GB2312"/>
          <w:b w:val="0"/>
          <w:bCs/>
          <w:color w:val="auto"/>
          <w:sz w:val="32"/>
          <w:szCs w:val="32"/>
          <w:lang w:eastAsia="zh-CN"/>
        </w:rPr>
        <w:t>少数民族传统手工艺发展工程工程</w:t>
      </w:r>
      <w:r>
        <w:rPr>
          <w:rFonts w:hint="eastAsia" w:eastAsia="仿宋_GB2312"/>
          <w:bCs/>
          <w:color w:val="auto"/>
          <w:sz w:val="32"/>
          <w:szCs w:val="32"/>
        </w:rPr>
        <w:t>的实施，进一步加强了对民族非物质文化技艺的传承和保护，鼓励和支持传习所文化传承人开展传习活动，使民族传统文化和传统手工艺制作的传承得以弘扬，拓宽了农牧民群众就业增收渠道，推动了少数民族传统手工艺的大发展、大繁荣，增进了民族团结，促进了社会的和谐稳定。</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spacing w:line="580" w:lineRule="exact"/>
        <w:ind w:firstLine="640" w:firstLineChars="200"/>
        <w:rPr>
          <w:rFonts w:ascii="仿宋" w:hAnsi="仿宋" w:eastAsia="仿宋" w:cs="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是项目实施流程。两资项目一般通过项目申报，项目检查监管、项目总结验收三个流程完成。</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是严格项目计划管理。在项目实施过程中，壤塘县根据省、州下达的项目资金计划，在规定工作日内及时将建设任务和资金计划转到项目实施责任单位，并严格按照规定的项目建设地点、建设规模、建设内容以及投资规模等组织实施</w:t>
      </w:r>
      <w:r>
        <w:rPr>
          <w:rFonts w:hint="eastAsia" w:ascii="仿宋_GB2312" w:eastAsia="仿宋_GB2312"/>
          <w:sz w:val="32"/>
          <w:szCs w:val="32"/>
          <w:lang w:eastAsia="zh-CN"/>
        </w:rPr>
        <w:t>和使用资金。</w:t>
      </w:r>
      <w:r>
        <w:rPr>
          <w:rFonts w:hint="eastAsia" w:ascii="仿宋_GB2312" w:eastAsia="仿宋_GB2312"/>
          <w:sz w:val="32"/>
          <w:szCs w:val="32"/>
        </w:rPr>
        <w:t xml:space="preserve">  </w:t>
      </w:r>
    </w:p>
    <w:p>
      <w:pPr>
        <w:spacing w:line="580" w:lineRule="exact"/>
        <w:ind w:firstLine="640" w:firstLineChars="200"/>
        <w:rPr>
          <w:rFonts w:hint="eastAsia" w:ascii="仿宋_GB2312" w:eastAsia="仿宋_GB2312"/>
          <w:sz w:val="32"/>
          <w:szCs w:val="32"/>
        </w:rPr>
      </w:pPr>
      <w:r>
        <w:rPr>
          <w:rFonts w:hint="eastAsia" w:ascii="仿宋_GB2312" w:eastAsia="仿宋_GB2312"/>
          <w:bCs/>
          <w:sz w:val="32"/>
          <w:szCs w:val="32"/>
          <w:lang w:eastAsia="zh-CN"/>
        </w:rPr>
        <w:t>三</w:t>
      </w:r>
      <w:r>
        <w:rPr>
          <w:rFonts w:hint="eastAsia" w:ascii="仿宋_GB2312" w:eastAsia="仿宋_GB2312"/>
          <w:bCs/>
          <w:sz w:val="32"/>
          <w:szCs w:val="32"/>
        </w:rPr>
        <w:t>是</w:t>
      </w:r>
      <w:r>
        <w:rPr>
          <w:rFonts w:hint="eastAsia" w:ascii="仿宋_GB2312" w:eastAsia="仿宋_GB2312"/>
          <w:sz w:val="32"/>
          <w:szCs w:val="32"/>
        </w:rPr>
        <w:t>规范项目管理程序。项目下达后，我县及时组织项目实施单位在提出可行设计方案和实施方案报县了两资领导小组评审后，经主管部门同意然后下达开工令后组织实施。</w:t>
      </w:r>
    </w:p>
    <w:p>
      <w:pPr>
        <w:adjustRightInd w:val="0"/>
        <w:snapToGrid w:val="0"/>
        <w:spacing w:line="600" w:lineRule="exact"/>
        <w:ind w:firstLine="720"/>
        <w:rPr>
          <w:rFonts w:hint="eastAsia" w:ascii="仿宋_GB2312" w:eastAsia="仿宋_GB2312"/>
          <w:sz w:val="32"/>
          <w:szCs w:val="32"/>
        </w:rPr>
      </w:pPr>
      <w:r>
        <w:rPr>
          <w:rFonts w:hint="eastAsia" w:ascii="仿宋_GB2312" w:eastAsia="仿宋_GB2312"/>
          <w:bCs/>
          <w:sz w:val="32"/>
          <w:szCs w:val="32"/>
          <w:lang w:eastAsia="zh-CN"/>
        </w:rPr>
        <w:t>四</w:t>
      </w:r>
      <w:r>
        <w:rPr>
          <w:rFonts w:hint="eastAsia" w:ascii="仿宋_GB2312" w:eastAsia="仿宋_GB2312"/>
          <w:bCs/>
          <w:sz w:val="32"/>
          <w:szCs w:val="32"/>
        </w:rPr>
        <w:t>是</w:t>
      </w:r>
      <w:r>
        <w:rPr>
          <w:rFonts w:hint="eastAsia" w:ascii="仿宋_GB2312" w:eastAsia="仿宋_GB2312"/>
          <w:sz w:val="32"/>
          <w:szCs w:val="32"/>
        </w:rPr>
        <w:t>按照“公开、透明”的原则，在项目实施地，就项目实施内容、补助资金、实施主体等相关内容进行了为期7天的公示，对群众反映的建议、意见进行认真研究，切实做到了“项目公开、群众认同”。</w:t>
      </w:r>
      <w:r>
        <w:rPr>
          <w:rFonts w:hint="eastAsia" w:ascii="仿宋_GB2312" w:eastAsia="仿宋_GB2312"/>
          <w:bCs/>
          <w:sz w:val="32"/>
          <w:szCs w:val="32"/>
        </w:rPr>
        <w:t>四是</w:t>
      </w:r>
      <w:r>
        <w:rPr>
          <w:rFonts w:hint="eastAsia" w:ascii="仿宋_GB2312" w:eastAsia="仿宋_GB2312"/>
          <w:sz w:val="32"/>
          <w:szCs w:val="32"/>
        </w:rPr>
        <w:t>在项目建设中，我县根据两资项目资金使用规定和特点，采取“村民自建”、“民办公助”、“一事一议”的方式组织实施，充分发挥基层组织的主导作用和群众的主体作用，由乡、村动员项目实施地群众投工投劳，自建基础设施。</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960" w:firstLineChars="300"/>
        <w:rPr>
          <w:rFonts w:ascii="仿宋_GB2312" w:hAnsi="宋体" w:eastAsia="仿宋_GB2312"/>
          <w:sz w:val="32"/>
          <w:szCs w:val="32"/>
          <w:lang w:val="zh-CN"/>
        </w:rPr>
      </w:pPr>
      <w:r>
        <w:rPr>
          <w:rFonts w:hint="eastAsia" w:eastAsia="仿宋_GB2312"/>
          <w:b w:val="0"/>
          <w:bCs w:val="0"/>
          <w:color w:val="auto"/>
          <w:sz w:val="32"/>
          <w:szCs w:val="32"/>
        </w:rPr>
        <w:t>壤塘县上壤塘乡贡巴拉卡陶艺传习所建设项目</w:t>
      </w:r>
      <w:r>
        <w:rPr>
          <w:rFonts w:hint="eastAsia" w:ascii="仿宋_GB2312" w:hAnsi="宋体" w:eastAsia="仿宋_GB2312"/>
          <w:sz w:val="32"/>
          <w:szCs w:val="32"/>
          <w:lang w:val="zh-CN"/>
        </w:rPr>
        <w:t>实施单位壤塘县民族宗教局财务管理制度健全，严格执行财务管理制度，账务处理及时，会计核算规范。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lang w:eastAsia="zh-CN"/>
        </w:rPr>
        <w:t>三</w:t>
      </w:r>
      <w:r>
        <w:rPr>
          <w:rFonts w:hint="eastAsia" w:ascii="黑体" w:hAnsi="宋体" w:eastAsia="黑体"/>
          <w:sz w:val="32"/>
          <w:szCs w:val="32"/>
        </w:rPr>
        <w:t>、评价结论及建议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outlineLvl w:val="2"/>
        <w:rPr>
          <w:rFonts w:ascii="仿宋_GB2312" w:hAnsi="宋体" w:eastAsia="仿宋_GB2312"/>
          <w:sz w:val="32"/>
          <w:szCs w:val="32"/>
          <w:lang w:val="zh-CN"/>
        </w:rPr>
      </w:pPr>
      <w:r>
        <w:rPr>
          <w:rFonts w:hint="eastAsia" w:eastAsia="仿宋_GB2312"/>
          <w:bCs/>
          <w:color w:val="auto"/>
          <w:sz w:val="32"/>
          <w:szCs w:val="32"/>
        </w:rPr>
        <w:t>通过</w:t>
      </w:r>
      <w:r>
        <w:rPr>
          <w:rFonts w:hint="eastAsia" w:eastAsia="仿宋_GB2312"/>
          <w:b w:val="0"/>
          <w:bCs/>
          <w:color w:val="auto"/>
          <w:sz w:val="32"/>
          <w:szCs w:val="32"/>
          <w:lang w:eastAsia="zh-CN"/>
        </w:rPr>
        <w:t>少数民族传统手工艺发展工程工程</w:t>
      </w:r>
      <w:r>
        <w:rPr>
          <w:rFonts w:hint="eastAsia" w:eastAsia="仿宋_GB2312"/>
          <w:bCs/>
          <w:color w:val="auto"/>
          <w:sz w:val="32"/>
          <w:szCs w:val="32"/>
        </w:rPr>
        <w:t>的实施，进一步加强了对民族非物质文化技艺的传承和保护，鼓励和支持传习所文化传承人开展传习活动，使民族传统文化和传统手工艺制作的传承得以弘扬，拓宽了农牧民群众就业增收渠道，推动了少数民族传统手工艺的大发展、大繁荣，增进了民族团结，促进了社会的和谐稳定。</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无。</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960" w:firstLineChars="300"/>
        <w:rPr>
          <w:rFonts w:ascii="仿宋_GB2312" w:hAnsi="仿宋_GB2312" w:eastAsia="仿宋_GB2312" w:cs="仿宋_GB2312"/>
          <w:sz w:val="32"/>
          <w:szCs w:val="32"/>
        </w:rPr>
      </w:pPr>
      <w:r>
        <w:rPr>
          <w:rFonts w:hint="eastAsia" w:ascii="仿宋_GB2312" w:eastAsia="仿宋_GB2312"/>
          <w:sz w:val="32"/>
          <w:szCs w:val="32"/>
        </w:rPr>
        <w:t>累积经验，完善、细化、规范绩效管理，指标的设计可能需要更加的科学性。</w:t>
      </w:r>
    </w:p>
    <w:p>
      <w:pPr>
        <w:spacing w:line="600" w:lineRule="exact"/>
        <w:jc w:val="center"/>
        <w:outlineLvl w:val="0"/>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rPr>
          <w:rFonts w:hint="eastAsia" w:ascii="黑体" w:hAnsi="黑体" w:eastAsia="黑体"/>
          <w:color w:val="000000"/>
          <w:sz w:val="44"/>
          <w:szCs w:val="44"/>
        </w:rPr>
      </w:pPr>
    </w:p>
    <w:p>
      <w:pPr>
        <w:spacing w:line="600" w:lineRule="exact"/>
        <w:jc w:val="center"/>
        <w:outlineLvl w:val="0"/>
        <w:rPr>
          <w:rFonts w:hint="eastAsia" w:ascii="仿宋" w:hAnsi="仿宋" w:eastAsia="仿宋"/>
          <w:b w:val="0"/>
          <w:color w:val="000000"/>
        </w:rPr>
      </w:pPr>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p>
    <w:p>
      <w:pPr>
        <w:pStyle w:val="4"/>
        <w:rPr>
          <w:rFonts w:ascii="仿宋" w:hAnsi="仿宋" w:eastAsia="仿宋"/>
          <w:color w:val="000000"/>
        </w:rPr>
      </w:pPr>
      <w:r>
        <w:rPr>
          <w:rFonts w:hint="eastAsia" w:ascii="仿宋" w:hAnsi="仿宋" w:eastAsia="仿宋"/>
          <w:b w:val="0"/>
          <w:color w:val="000000"/>
        </w:rPr>
        <w:t>一、收</w:t>
      </w:r>
      <w:r>
        <w:rPr>
          <w:rStyle w:val="24"/>
          <w:rFonts w:hint="eastAsia" w:ascii="仿宋" w:hAnsi="仿宋" w:eastAsia="仿宋"/>
          <w:b w:val="0"/>
          <w:bCs w:val="0"/>
        </w:rPr>
        <w:t>入支出决算总表</w:t>
      </w:r>
    </w:p>
    <w:p>
      <w:pPr>
        <w:pStyle w:val="4"/>
        <w:rPr>
          <w:rFonts w:ascii="仿宋" w:hAnsi="仿宋" w:eastAsia="仿宋"/>
          <w:color w:val="000000"/>
        </w:rPr>
      </w:pPr>
      <w:r>
        <w:rPr>
          <w:rFonts w:hint="eastAsia" w:ascii="仿宋" w:hAnsi="仿宋" w:eastAsia="仿宋"/>
          <w:b w:val="0"/>
          <w:color w:val="000000"/>
        </w:rPr>
        <w:t>二、收</w:t>
      </w:r>
      <w:r>
        <w:rPr>
          <w:rStyle w:val="24"/>
          <w:rFonts w:hint="eastAsia" w:ascii="仿宋" w:hAnsi="仿宋" w:eastAsia="仿宋"/>
          <w:b w:val="0"/>
          <w:bCs w:val="0"/>
        </w:rPr>
        <w:t>入决算表</w:t>
      </w:r>
    </w:p>
    <w:p>
      <w:pPr>
        <w:pStyle w:val="4"/>
        <w:rPr>
          <w:rFonts w:ascii="仿宋" w:hAnsi="仿宋" w:eastAsia="仿宋"/>
          <w:color w:val="000000"/>
        </w:rPr>
      </w:pPr>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p>
    <w:p>
      <w:pPr>
        <w:pStyle w:val="4"/>
        <w:rPr>
          <w:rFonts w:ascii="仿宋" w:hAnsi="仿宋" w:eastAsia="仿宋"/>
          <w:b w:val="0"/>
          <w:color w:val="000000"/>
        </w:rPr>
      </w:pPr>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p>
    <w:p>
      <w:pPr>
        <w:pStyle w:val="4"/>
        <w:rPr>
          <w:rStyle w:val="24"/>
          <w:rFonts w:ascii="仿宋" w:hAnsi="仿宋" w:eastAsia="仿宋"/>
          <w:b w:val="0"/>
          <w:bCs w:val="0"/>
        </w:rPr>
      </w:pPr>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p>
    <w:p>
      <w:pPr>
        <w:pStyle w:val="4"/>
        <w:rPr>
          <w:rFonts w:ascii="仿宋" w:hAnsi="仿宋" w:eastAsia="仿宋"/>
          <w:color w:val="000000"/>
        </w:rPr>
      </w:pPr>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p>
    <w:p>
      <w:pPr>
        <w:pStyle w:val="4"/>
        <w:rPr>
          <w:rFonts w:ascii="仿宋" w:hAnsi="仿宋" w:eastAsia="仿宋"/>
          <w:color w:val="000000"/>
        </w:rPr>
      </w:pPr>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p>
    <w:p>
      <w:pPr>
        <w:pStyle w:val="4"/>
        <w:rPr>
          <w:rFonts w:ascii="仿宋" w:hAnsi="仿宋" w:eastAsia="仿宋"/>
          <w:color w:val="000000"/>
        </w:rPr>
      </w:pPr>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p>
    <w:p>
      <w:pPr>
        <w:pStyle w:val="4"/>
        <w:rPr>
          <w:rFonts w:ascii="仿宋" w:hAnsi="仿宋" w:eastAsia="仿宋"/>
          <w:color w:val="000000"/>
        </w:rPr>
      </w:pPr>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p>
    <w:p>
      <w:pPr>
        <w:pStyle w:val="4"/>
        <w:rPr>
          <w:rFonts w:ascii="仿宋" w:hAnsi="仿宋" w:eastAsia="仿宋"/>
          <w:color w:val="000000"/>
        </w:rPr>
      </w:pPr>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p>
    <w:p>
      <w:pPr>
        <w:pStyle w:val="4"/>
        <w:rPr>
          <w:rFonts w:ascii="仿宋" w:hAnsi="仿宋" w:eastAsia="仿宋"/>
          <w:color w:val="000000"/>
        </w:rPr>
      </w:pPr>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p>
    <w:p>
      <w:pPr>
        <w:pStyle w:val="4"/>
        <w:rPr>
          <w:rFonts w:ascii="仿宋" w:hAnsi="仿宋" w:eastAsia="仿宋"/>
          <w:color w:val="000000"/>
        </w:rPr>
      </w:pPr>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p>
    <w:p>
      <w:pPr>
        <w:pStyle w:val="4"/>
        <w:rPr>
          <w:rStyle w:val="24"/>
          <w:rFonts w:ascii="仿宋" w:hAnsi="仿宋" w:eastAsia="仿宋"/>
          <w:b w:val="0"/>
          <w:bCs w:val="0"/>
        </w:rPr>
      </w:pPr>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p>
    <w:p>
      <w:pPr>
        <w:pStyle w:val="4"/>
        <w:rPr>
          <w:rStyle w:val="24"/>
          <w:rFonts w:ascii="仿宋" w:hAnsi="仿宋" w:eastAsia="仿宋"/>
          <w:b w:val="0"/>
          <w:bCs w:val="0"/>
        </w:rPr>
      </w:pPr>
      <w:r>
        <w:rPr>
          <w:rStyle w:val="24"/>
          <w:rFonts w:hint="eastAsia" w:ascii="仿宋" w:hAnsi="仿宋" w:eastAsia="仿宋"/>
          <w:b w:val="0"/>
          <w:bCs w:val="0"/>
        </w:rPr>
        <w:t>十四、国有资本经营预算财政拨款支出决算表</w:t>
      </w:r>
      <w:bookmarkEnd w:id="109"/>
      <w:bookmarkEnd w:id="121"/>
      <w:bookmarkEnd w:id="122"/>
      <w:bookmarkEnd w:id="12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B5AF1"/>
    <w:multiLevelType w:val="singleLevel"/>
    <w:tmpl w:val="966B5AF1"/>
    <w:lvl w:ilvl="0" w:tentative="0">
      <w:start w:val="3"/>
      <w:numFmt w:val="decimal"/>
      <w:lvlText w:val="%1."/>
      <w:lvlJc w:val="left"/>
      <w:pPr>
        <w:tabs>
          <w:tab w:val="left" w:pos="312"/>
        </w:tabs>
      </w:p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2728C5F7"/>
    <w:multiLevelType w:val="singleLevel"/>
    <w:tmpl w:val="2728C5F7"/>
    <w:lvl w:ilvl="0" w:tentative="0">
      <w:start w:val="2"/>
      <w:numFmt w:val="chineseCounting"/>
      <w:suff w:val="nothing"/>
      <w:lvlText w:val="%1、"/>
      <w:lvlJc w:val="left"/>
      <w:rPr>
        <w:rFonts w:hint="eastAsia"/>
      </w:rPr>
    </w:lvl>
  </w:abstractNum>
  <w:abstractNum w:abstractNumId="4">
    <w:nsid w:val="605CB38C"/>
    <w:multiLevelType w:val="singleLevel"/>
    <w:tmpl w:val="605CB38C"/>
    <w:lvl w:ilvl="0" w:tentative="0">
      <w:start w:val="2"/>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1C84"/>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EB2C9D"/>
    <w:rsid w:val="03216884"/>
    <w:rsid w:val="05AC361E"/>
    <w:rsid w:val="064D60EB"/>
    <w:rsid w:val="0A2032A3"/>
    <w:rsid w:val="0A4B6AF5"/>
    <w:rsid w:val="0E40201D"/>
    <w:rsid w:val="10C055FF"/>
    <w:rsid w:val="118107EC"/>
    <w:rsid w:val="13574E2A"/>
    <w:rsid w:val="14E2518A"/>
    <w:rsid w:val="167E0AAE"/>
    <w:rsid w:val="16BB723D"/>
    <w:rsid w:val="17D44F96"/>
    <w:rsid w:val="195133EE"/>
    <w:rsid w:val="1ABE227C"/>
    <w:rsid w:val="1D155CEE"/>
    <w:rsid w:val="1D4D60FC"/>
    <w:rsid w:val="1F0A32DA"/>
    <w:rsid w:val="20097916"/>
    <w:rsid w:val="240371BF"/>
    <w:rsid w:val="274A2771"/>
    <w:rsid w:val="29FD04D3"/>
    <w:rsid w:val="2C24450D"/>
    <w:rsid w:val="2C2F77CE"/>
    <w:rsid w:val="2C9D2839"/>
    <w:rsid w:val="319F7F4E"/>
    <w:rsid w:val="326B7F22"/>
    <w:rsid w:val="342720F6"/>
    <w:rsid w:val="3C956F0E"/>
    <w:rsid w:val="3DC867F3"/>
    <w:rsid w:val="412E60A2"/>
    <w:rsid w:val="46F6711F"/>
    <w:rsid w:val="49766AE5"/>
    <w:rsid w:val="4ECE2238"/>
    <w:rsid w:val="4FEE68CE"/>
    <w:rsid w:val="558150C4"/>
    <w:rsid w:val="57242842"/>
    <w:rsid w:val="57671A50"/>
    <w:rsid w:val="5AF67E72"/>
    <w:rsid w:val="5F1E47F1"/>
    <w:rsid w:val="63D4050B"/>
    <w:rsid w:val="67700E1B"/>
    <w:rsid w:val="6A6C13F9"/>
    <w:rsid w:val="6C4A05C8"/>
    <w:rsid w:val="6CEF2B0A"/>
    <w:rsid w:val="72734D90"/>
    <w:rsid w:val="76F15624"/>
    <w:rsid w:val="79496776"/>
    <w:rsid w:val="79C14A63"/>
    <w:rsid w:val="7DA72878"/>
    <w:rsid w:val="7DEB1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4"/>
    <w:qFormat/>
    <w:uiPriority w:val="9"/>
    <w:pPr>
      <w:keepNext/>
      <w:keepLines/>
      <w:spacing w:before="260" w:after="260" w:line="416" w:lineRule="auto"/>
      <w:outlineLvl w:val="1"/>
    </w:pPr>
    <w:rPr>
      <w:rFonts w:ascii="Cambria" w:hAnsi="Cambria" w:eastAsia="黑体"/>
      <w:b/>
      <w:bCs/>
      <w:sz w:val="36"/>
      <w:szCs w:val="32"/>
    </w:rPr>
  </w:style>
  <w:style w:type="paragraph" w:styleId="5">
    <w:name w:val="heading 3"/>
    <w:basedOn w:val="1"/>
    <w:next w:val="1"/>
    <w:link w:val="25"/>
    <w:qFormat/>
    <w:uiPriority w:val="9"/>
    <w:pPr>
      <w:keepNext/>
      <w:keepLines/>
      <w:spacing w:before="260" w:after="260" w:line="416" w:lineRule="auto"/>
      <w:outlineLvl w:val="2"/>
    </w:pPr>
    <w:rPr>
      <w:rFonts w:eastAsia="黑体"/>
      <w:b/>
      <w:bCs/>
      <w:sz w:val="30"/>
      <w:szCs w:val="32"/>
    </w:rPr>
  </w:style>
  <w:style w:type="character" w:default="1" w:styleId="20">
    <w:name w:val="Default Paragraph Font"/>
    <w:semiHidden/>
    <w:unhideWhenUsed/>
    <w:qFormat/>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2"/>
    <w:qFormat/>
    <w:uiPriority w:val="99"/>
    <w:pPr>
      <w:spacing w:beforeLines="30"/>
    </w:pPr>
    <w:rPr>
      <w:rFonts w:ascii="仿宋_GB2312" w:eastAsia="仿宋_GB2312"/>
      <w:kern w:val="0"/>
      <w:sz w:val="24"/>
      <w:szCs w:val="20"/>
      <w:lang w:val="zh-CN" w:eastAsia="zh-CN"/>
    </w:r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7"/>
    <w:semiHidden/>
    <w:unhideWhenUsed/>
    <w:qFormat/>
    <w:uiPriority w:val="99"/>
    <w:rPr>
      <w:sz w:val="18"/>
      <w:szCs w:val="18"/>
    </w:rPr>
  </w:style>
  <w:style w:type="paragraph" w:styleId="12">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3">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字符"/>
    <w:basedOn w:val="20"/>
    <w:link w:val="3"/>
    <w:qFormat/>
    <w:locked/>
    <w:uiPriority w:val="9"/>
    <w:rPr>
      <w:rFonts w:ascii="Times New Roman" w:hAnsi="Times New Roman" w:cs="Times New Roman"/>
      <w:b/>
      <w:bCs/>
      <w:kern w:val="44"/>
      <w:sz w:val="44"/>
      <w:szCs w:val="44"/>
    </w:rPr>
  </w:style>
  <w:style w:type="character" w:customStyle="1" w:styleId="24">
    <w:name w:val="标题 2 字符"/>
    <w:basedOn w:val="20"/>
    <w:link w:val="4"/>
    <w:qFormat/>
    <w:locked/>
    <w:uiPriority w:val="9"/>
    <w:rPr>
      <w:rFonts w:ascii="Cambria" w:hAnsi="Cambria" w:eastAsia="黑体" w:cs="Times New Roman"/>
      <w:b/>
      <w:bCs/>
      <w:kern w:val="2"/>
      <w:sz w:val="36"/>
      <w:szCs w:val="32"/>
    </w:rPr>
  </w:style>
  <w:style w:type="character" w:customStyle="1" w:styleId="25">
    <w:name w:val="标题 3 字符"/>
    <w:basedOn w:val="20"/>
    <w:link w:val="5"/>
    <w:qFormat/>
    <w:locked/>
    <w:uiPriority w:val="9"/>
    <w:rPr>
      <w:rFonts w:ascii="Times New Roman" w:hAnsi="Times New Roman" w:eastAsia="黑体" w:cs="Times New Roman"/>
      <w:b/>
      <w:bCs/>
      <w:kern w:val="2"/>
      <w:sz w:val="30"/>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字符"/>
    <w:basedOn w:val="20"/>
    <w:link w:val="11"/>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字符"/>
    <w:link w:val="13"/>
    <w:semiHidden/>
    <w:qFormat/>
    <w:locked/>
    <w:uiPriority w:val="99"/>
    <w:rPr>
      <w:sz w:val="18"/>
    </w:rPr>
  </w:style>
  <w:style w:type="character" w:customStyle="1" w:styleId="31">
    <w:name w:val="页脚 字符"/>
    <w:link w:val="12"/>
    <w:qFormat/>
    <w:locked/>
    <w:uiPriority w:val="99"/>
    <w:rPr>
      <w:sz w:val="18"/>
    </w:rPr>
  </w:style>
  <w:style w:type="character" w:customStyle="1" w:styleId="32">
    <w:name w:val="正文文本 字符"/>
    <w:link w:val="7"/>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20</a:t>
            </a:r>
            <a:r>
              <a:rPr lang="en-US" altLang="zh-CN"/>
              <a:t>20</a:t>
            </a:r>
            <a:r>
              <a:t>年度收、支变化结构图</a:t>
            </a:r>
          </a:p>
        </c:rich>
      </c:tx>
      <c:layout>
        <c:manualLayout>
          <c:xMode val="edge"/>
          <c:yMode val="edge"/>
          <c:x val="0.24391152816518"/>
          <c:y val="0.0534465803649361"/>
        </c:manualLayout>
      </c:layout>
      <c:overlay val="0"/>
      <c:spPr>
        <a:noFill/>
        <a:ln>
          <a:noFill/>
        </a:ln>
        <a:effectLst/>
      </c:spPr>
    </c:title>
    <c:autoTitleDeleted val="0"/>
    <c:plotArea>
      <c:layout>
        <c:manualLayout>
          <c:layoutTarget val="inner"/>
          <c:xMode val="edge"/>
          <c:yMode val="edge"/>
          <c:x val="0.0820458405266187"/>
          <c:y val="0.199813456794296"/>
          <c:w val="0.64376130198915"/>
          <c:h val="0.651376146788991"/>
        </c:manualLayout>
      </c:layout>
      <c:barChart>
        <c:barDir val="col"/>
        <c:grouping val="clustered"/>
        <c:varyColors val="0"/>
        <c:ser>
          <c:idx val="0"/>
          <c:order val="0"/>
          <c:tx>
            <c:strRef>
              <c:f>Sheet1!$A$2</c:f>
              <c:strCache>
                <c:ptCount val="1"/>
                <c:pt idx="0">
                  <c:v>收支总计</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6981.83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2809.07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Sheet1!$B$1:$C$1</c:f>
              <c:strCache>
                <c:ptCount val="2"/>
                <c:pt idx="0">
                  <c:v>2019年度</c:v>
                </c:pt>
                <c:pt idx="1">
                  <c:v>2020年度</c:v>
                </c:pt>
              </c:strCache>
            </c:strRef>
          </c:cat>
          <c:val>
            <c:numRef>
              <c:f>Sheet1!$B$2:$C$2</c:f>
              <c:numCache>
                <c:formatCode>General</c:formatCode>
                <c:ptCount val="2"/>
                <c:pt idx="0">
                  <c:v>6981.83</c:v>
                </c:pt>
                <c:pt idx="1">
                  <c:v>2809.07</c:v>
                </c:pt>
              </c:numCache>
            </c:numRef>
          </c:val>
        </c:ser>
        <c:dLbls>
          <c:showLegendKey val="0"/>
          <c:showVal val="1"/>
          <c:showCatName val="0"/>
          <c:showSerName val="0"/>
          <c:showPercent val="0"/>
          <c:showBubbleSize val="0"/>
        </c:dLbls>
        <c:gapWidth val="219"/>
        <c:overlap val="-27"/>
        <c:axId val="83198336"/>
        <c:axId val="83199872"/>
      </c:barChart>
      <c:catAx>
        <c:axId val="83198336"/>
        <c:scaling>
          <c:orientation val="minMax"/>
        </c:scaling>
        <c:delete val="0"/>
        <c:axPos val="b"/>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99872"/>
        <c:crosses val="autoZero"/>
        <c:auto val="1"/>
        <c:lblAlgn val="ctr"/>
        <c:lblOffset val="100"/>
        <c:tickLblSkip val="1"/>
        <c:noMultiLvlLbl val="0"/>
      </c:catAx>
      <c:valAx>
        <c:axId val="8319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983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1">
                    <a:lumMod val="65000"/>
                    <a:lumOff val="35000"/>
                  </a:schemeClr>
                </a:solidFill>
                <a:latin typeface="+mn-lt"/>
                <a:ea typeface="+mn-ea"/>
                <a:cs typeface="+mn-cs"/>
              </a:defRPr>
            </a:pPr>
            <a:r>
              <a:t>2020年收入决算图</a:t>
            </a:r>
          </a:p>
        </c:rich>
      </c:tx>
      <c:layout/>
      <c:overlay val="0"/>
      <c:spPr>
        <a:noFill/>
        <a:ln>
          <a:noFill/>
        </a:ln>
        <a:effectLst/>
      </c:spPr>
    </c:title>
    <c:autoTitleDeleted val="0"/>
    <c:plotArea>
      <c:layout/>
      <c:pieChart>
        <c:varyColors val="1"/>
        <c:ser>
          <c:idx val="0"/>
          <c:order val="0"/>
          <c:tx>
            <c:strRef>
              <c:f>Sheet1!$B$1</c:f>
              <c:strCache>
                <c:ptCount val="1"/>
                <c:pt idx="0">
                  <c:v>2020年收入决算图</c:v>
                </c:pt>
              </c:strCache>
            </c:strRef>
          </c:tx>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1600.41</a:t>
                    </a:r>
                  </a:p>
                </c:rich>
              </c:tx>
              <c:dLblPos val="inEnd"/>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一般公共财政拨款收入</c:v>
                </c:pt>
                <c:pt idx="1">
                  <c:v>其他收入</c:v>
                </c:pt>
              </c:strCache>
            </c:strRef>
          </c:cat>
          <c:val>
            <c:numRef>
              <c:f>Sheet1!$B$2:$B$5</c:f>
              <c:numCache>
                <c:formatCode>General</c:formatCode>
                <c:ptCount val="4"/>
                <c:pt idx="0">
                  <c:v>1600.41</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20</a:t>
            </a:r>
            <a:r>
              <a:t>年支出决算图</a:t>
            </a:r>
          </a:p>
        </c:rich>
      </c:tx>
      <c:layout/>
      <c:overlay val="0"/>
      <c:spPr>
        <a:noFill/>
        <a:ln>
          <a:noFill/>
        </a:ln>
        <a:effectLst/>
      </c:spPr>
    </c:title>
    <c:autoTitleDeleted val="0"/>
    <c:plotArea>
      <c:layout/>
      <c:pieChart>
        <c:varyColors val="1"/>
        <c:ser>
          <c:idx val="0"/>
          <c:order val="0"/>
          <c:tx>
            <c:strRef>
              <c:f>Sheet1!$B$1</c:f>
              <c:strCache>
                <c:ptCount val="1"/>
                <c:pt idx="0">
                  <c:v>2020年支出决算图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248.67</c:v>
                </c:pt>
                <c:pt idx="1">
                  <c:v>960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alpha val="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20</a:t>
            </a:r>
            <a:r>
              <a:rPr lang="en-US" altLang="zh-CN"/>
              <a:t>20</a:t>
            </a:r>
            <a:r>
              <a:t>年度财政拨款收入支出结构图</a:t>
            </a:r>
          </a:p>
        </c:rich>
      </c:tx>
      <c:layout>
        <c:manualLayout>
          <c:xMode val="edge"/>
          <c:yMode val="edge"/>
          <c:x val="0.24391152816518"/>
          <c:y val="0.0534465803649361"/>
        </c:manualLayout>
      </c:layout>
      <c:overlay val="0"/>
      <c:spPr>
        <a:noFill/>
        <a:ln>
          <a:noFill/>
        </a:ln>
        <a:effectLst/>
      </c:spPr>
    </c:title>
    <c:autoTitleDeleted val="0"/>
    <c:plotArea>
      <c:layout>
        <c:manualLayout>
          <c:layoutTarget val="inner"/>
          <c:xMode val="edge"/>
          <c:yMode val="edge"/>
          <c:x val="0.0820458405266187"/>
          <c:y val="0.199813456794296"/>
          <c:w val="0.64376130198915"/>
          <c:h val="0.651376146788991"/>
        </c:manualLayout>
      </c:layout>
      <c:barChart>
        <c:barDir val="col"/>
        <c:grouping val="clustered"/>
        <c:varyColors val="0"/>
        <c:ser>
          <c:idx val="0"/>
          <c:order val="0"/>
          <c:tx>
            <c:strRef>
              <c:f>Sheet1!$A$2</c:f>
              <c:strCache>
                <c:ptCount val="1"/>
                <c:pt idx="0">
                  <c:v>财政拨款收入支出</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6981.83</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2809.07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Sheet1!$B$1:$C$1</c:f>
              <c:strCache>
                <c:ptCount val="2"/>
                <c:pt idx="0">
                  <c:v>2019年度</c:v>
                </c:pt>
                <c:pt idx="1">
                  <c:v>2020年度</c:v>
                </c:pt>
              </c:strCache>
            </c:strRef>
          </c:cat>
          <c:val>
            <c:numRef>
              <c:f>Sheet1!$B$2:$C$2</c:f>
              <c:numCache>
                <c:formatCode>General</c:formatCode>
                <c:ptCount val="2"/>
                <c:pt idx="0">
                  <c:v>6981.83</c:v>
                </c:pt>
                <c:pt idx="1">
                  <c:v>2809.07</c:v>
                </c:pt>
              </c:numCache>
            </c:numRef>
          </c:val>
        </c:ser>
        <c:dLbls>
          <c:showLegendKey val="0"/>
          <c:showVal val="1"/>
          <c:showCatName val="0"/>
          <c:showSerName val="0"/>
          <c:showPercent val="0"/>
          <c:showBubbleSize val="0"/>
        </c:dLbls>
        <c:gapWidth val="219"/>
        <c:overlap val="-27"/>
        <c:axId val="83198336"/>
        <c:axId val="83199872"/>
      </c:barChart>
      <c:catAx>
        <c:axId val="83198336"/>
        <c:scaling>
          <c:orientation val="minMax"/>
        </c:scaling>
        <c:delete val="0"/>
        <c:axPos val="b"/>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99872"/>
        <c:crosses val="autoZero"/>
        <c:auto val="1"/>
        <c:lblAlgn val="ctr"/>
        <c:lblOffset val="100"/>
        <c:tickLblSkip val="1"/>
        <c:noMultiLvlLbl val="0"/>
      </c:catAx>
      <c:valAx>
        <c:axId val="8319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98336"/>
        <c:crosses val="autoZero"/>
        <c:crossBetween val="between"/>
      </c:valAx>
      <c:spPr>
        <a:noFill/>
        <a:ln>
          <a:noFill/>
        </a:ln>
        <a:effectLst/>
      </c:spPr>
    </c:plotArea>
    <c:legend>
      <c:legendPos val="b"/>
      <c:layout>
        <c:manualLayout>
          <c:xMode val="edge"/>
          <c:yMode val="edge"/>
          <c:x val="0.746447660018251"/>
          <c:y val="0.661764705882353"/>
          <c:w val="0.24338417416243"/>
          <c:h val="0.14842681258549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一般公共预算财政拨款支出变化结构图</a:t>
            </a:r>
          </a:p>
        </c:rich>
      </c:tx>
      <c:layout>
        <c:manualLayout>
          <c:xMode val="edge"/>
          <c:yMode val="edge"/>
          <c:x val="0.24391152816518"/>
          <c:y val="0.0534465803649361"/>
        </c:manualLayout>
      </c:layout>
      <c:overlay val="0"/>
      <c:spPr>
        <a:noFill/>
        <a:ln>
          <a:noFill/>
        </a:ln>
        <a:effectLst/>
      </c:spPr>
    </c:title>
    <c:autoTitleDeleted val="0"/>
    <c:plotArea>
      <c:layout>
        <c:manualLayout>
          <c:layoutTarget val="inner"/>
          <c:xMode val="edge"/>
          <c:yMode val="edge"/>
          <c:x val="0.0820458405266187"/>
          <c:y val="0.199813456794296"/>
          <c:w val="0.64376130198915"/>
          <c:h val="0.651376146788991"/>
        </c:manualLayout>
      </c:layout>
      <c:barChart>
        <c:barDir val="col"/>
        <c:grouping val="clustered"/>
        <c:varyColors val="0"/>
        <c:ser>
          <c:idx val="0"/>
          <c:order val="0"/>
          <c:tx>
            <c:strRef>
              <c:f>Sheet1!$A$2</c:f>
              <c:strCache>
                <c:ptCount val="1"/>
                <c:pt idx="0">
                  <c:v>一般公共预算财政拨款支出决算</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3708.15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1208.67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Sheet1!$B$1:$C$1</c:f>
              <c:strCache>
                <c:ptCount val="2"/>
                <c:pt idx="0">
                  <c:v>2019年度</c:v>
                </c:pt>
                <c:pt idx="1">
                  <c:v>2020年度</c:v>
                </c:pt>
              </c:strCache>
            </c:strRef>
          </c:cat>
          <c:val>
            <c:numRef>
              <c:f>Sheet1!$B$2:$C$2</c:f>
              <c:numCache>
                <c:formatCode>General</c:formatCode>
                <c:ptCount val="2"/>
                <c:pt idx="0">
                  <c:v>3708.15</c:v>
                </c:pt>
                <c:pt idx="1">
                  <c:v>1208.67</c:v>
                </c:pt>
              </c:numCache>
            </c:numRef>
          </c:val>
        </c:ser>
        <c:dLbls>
          <c:showLegendKey val="0"/>
          <c:showVal val="1"/>
          <c:showCatName val="0"/>
          <c:showSerName val="0"/>
          <c:showPercent val="0"/>
          <c:showBubbleSize val="0"/>
        </c:dLbls>
        <c:gapWidth val="219"/>
        <c:overlap val="-27"/>
        <c:axId val="83198336"/>
        <c:axId val="83199872"/>
      </c:barChart>
      <c:catAx>
        <c:axId val="83198336"/>
        <c:scaling>
          <c:orientation val="minMax"/>
        </c:scaling>
        <c:delete val="0"/>
        <c:axPos val="b"/>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99872"/>
        <c:crosses val="autoZero"/>
        <c:auto val="1"/>
        <c:lblAlgn val="ctr"/>
        <c:lblOffset val="100"/>
        <c:tickLblSkip val="1"/>
        <c:noMultiLvlLbl val="0"/>
      </c:catAx>
      <c:valAx>
        <c:axId val="8319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in"/>
        <c:minorTickMark val="none"/>
        <c:tickLblPos val="nextTo"/>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98336"/>
        <c:crosses val="autoZero"/>
        <c:crossBetween val="between"/>
      </c:valAx>
      <c:spPr>
        <a:noFill/>
        <a:ln>
          <a:noFill/>
        </a:ln>
        <a:effectLst/>
      </c:spPr>
    </c:plotArea>
    <c:legend>
      <c:legendPos val="b"/>
      <c:layout>
        <c:manualLayout>
          <c:xMode val="edge"/>
          <c:yMode val="edge"/>
          <c:x val="0.70035505959929"/>
          <c:y val="0.667721518987342"/>
          <c:w val="0.242962211514076"/>
          <c:h val="0.12315400843881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c:v>
                </c:pt>
                <c:pt idx="1">
                  <c:v>公共安全支出</c:v>
                </c:pt>
                <c:pt idx="2">
                  <c:v>社会保障和就业支出</c:v>
                </c:pt>
                <c:pt idx="3">
                  <c:v>医疗卫生与计划生育支出</c:v>
                </c:pt>
                <c:pt idx="4">
                  <c:v>农林水支出</c:v>
                </c:pt>
                <c:pt idx="5">
                  <c:v>住房保障支出</c:v>
                </c:pt>
                <c:pt idx="6">
                  <c:v>其他支出</c:v>
                </c:pt>
              </c:strCache>
            </c:strRef>
          </c:cat>
          <c:val>
            <c:numRef>
              <c:f>Sheet1!$B$2:$B$8</c:f>
              <c:numCache>
                <c:formatCode>General</c:formatCode>
                <c:ptCount val="7"/>
                <c:pt idx="0">
                  <c:v>606.71</c:v>
                </c:pt>
                <c:pt idx="1">
                  <c:v>83.97</c:v>
                </c:pt>
                <c:pt idx="2">
                  <c:v>28.14</c:v>
                </c:pt>
                <c:pt idx="3">
                  <c:v>10.54</c:v>
                </c:pt>
                <c:pt idx="4">
                  <c:v>0</c:v>
                </c:pt>
                <c:pt idx="5">
                  <c:v>18.36</c:v>
                </c:pt>
                <c:pt idx="6">
                  <c:v>243.16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alpha val="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baseline="0">
              <a:solidFill>
                <a:schemeClr val="tx2"/>
              </a:solidFill>
              <a:latin typeface="+mn-lt"/>
              <a:ea typeface="+mn-ea"/>
              <a:cs typeface="+mn-cs"/>
            </a:defRPr>
          </a:pPr>
        </a:p>
      </c:txPr>
    </c:title>
    <c:autoTitleDeleted val="0"/>
    <c:plotArea>
      <c:layout/>
      <c:pieChart>
        <c:varyColors val="1"/>
        <c:ser>
          <c:idx val="0"/>
          <c:order val="0"/>
          <c:tx>
            <c:strRef>
              <c:f>Sheet1!$B$1</c:f>
              <c:strCache>
                <c:ptCount val="1"/>
                <c:pt idx="0">
                  <c:v>“三公”经费财政拨款决算结构图</c:v>
                </c:pt>
              </c:strCache>
            </c:strRef>
          </c:tx>
          <c:spPr/>
          <c:explosion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公务用车购置及运行费</c:v>
                </c:pt>
                <c:pt idx="1">
                  <c:v>公务接待费</c:v>
                </c:pt>
              </c:strCache>
            </c:strRef>
          </c:cat>
          <c:val>
            <c:numRef>
              <c:f>Sheet1!$B$2:$B$5</c:f>
              <c:numCache>
                <c:formatCode>General</c:formatCode>
                <c:ptCount val="4"/>
                <c:pt idx="0">
                  <c:v>3.76</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5</TotalTime>
  <ScaleCrop>false</ScaleCrop>
  <LinksUpToDate>false</LinksUpToDate>
  <CharactersWithSpaces>10536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2021-07-29T03:56:00Z</cp:lastPrinted>
  <dcterms:modified xsi:type="dcterms:W3CDTF">2021-10-22T08:27:27Z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FE9D03EF0DEE4A92A52600DDF13F89F0</vt:lpwstr>
  </property>
</Properties>
</file>