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96475"/>
      <w:bookmarkStart w:id="3" w:name="_Toc15378441"/>
      <w:bookmarkStart w:id="4" w:name="_Toc15377425"/>
      <w:bookmarkStart w:id="5" w:name="_Toc15377193"/>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7426"/>
      <w:bookmarkStart w:id="9" w:name="_Toc15396598"/>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壤塘县民族宗教局</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rPr>
          <w:rFonts w:ascii="方正小标宋简体" w:hAnsi="宋体" w:eastAsia="方正小标宋简体"/>
          <w:sz w:val="36"/>
          <w:szCs w:val="36"/>
        </w:rPr>
      </w:pPr>
      <w:r>
        <w:rPr>
          <w:rFonts w:hint="eastAsia" w:ascii="宋体" w:hAnsi="宋体" w:cs="仿宋_GB2312"/>
          <w:sz w:val="32"/>
          <w:szCs w:val="32"/>
        </w:rPr>
        <w:t>部门主要负责人审签情况：已审签，同意对外公开</w:t>
      </w: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olor w:val="000000"/>
          <w:sz w:val="48"/>
          <w:szCs w:val="48"/>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20</w:t>
      </w:r>
      <w:r>
        <w:rPr>
          <w:rFonts w:hint="eastAsia" w:hAnsiTheme="minorHAnsi"/>
          <w:b w:val="0"/>
          <w:bCs w:val="0"/>
          <w:sz w:val="24"/>
          <w:szCs w:val="24"/>
        </w:rPr>
        <w:t>日</w:t>
      </w:r>
    </w:p>
    <w:p>
      <w:pPr>
        <w:pStyle w:val="17"/>
        <w:tabs>
          <w:tab w:val="right" w:leader="dot" w:pos="8306"/>
        </w:tabs>
      </w:pPr>
      <w:r>
        <w:rPr>
          <w:rFonts w:ascii="仿宋" w:hAnsi="仿宋" w:eastAsia="仿宋" w:cs="Times New Roman"/>
          <w:b w:val="0"/>
          <w:bCs w:val="0"/>
          <w:caps w:val="0"/>
          <w:smallCaps/>
          <w:kern w:val="2"/>
          <w:sz w:val="20"/>
          <w:szCs w:val="20"/>
          <w:lang w:val="en-US" w:eastAsia="zh-CN" w:bidi="ar-SA"/>
        </w:rPr>
        <w:fldChar w:fldCharType="begin"/>
      </w:r>
      <w:r>
        <w:rPr>
          <w:rFonts w:ascii="仿宋" w:hAnsi="仿宋" w:eastAsia="仿宋" w:cs="Times New Roman"/>
          <w:b w:val="0"/>
          <w:bCs w:val="0"/>
          <w:caps w:val="0"/>
          <w:smallCaps/>
          <w:kern w:val="2"/>
          <w:sz w:val="20"/>
          <w:szCs w:val="20"/>
          <w:lang w:val="en-US" w:eastAsia="zh-CN" w:bidi="ar-SA"/>
        </w:rPr>
        <w:instrText xml:space="preserve"> TOC \o \u </w:instrText>
      </w:r>
      <w:r>
        <w:rPr>
          <w:rFonts w:ascii="仿宋" w:hAnsi="仿宋" w:eastAsia="仿宋" w:cs="Times New Roman"/>
          <w:b w:val="0"/>
          <w:bCs w:val="0"/>
          <w:caps w:val="0"/>
          <w:smallCaps/>
          <w:kern w:val="2"/>
          <w:sz w:val="20"/>
          <w:szCs w:val="20"/>
          <w:lang w:val="en-US" w:eastAsia="zh-CN" w:bidi="ar-SA"/>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_Toc18838 </w:instrText>
      </w:r>
      <w:r>
        <w:fldChar w:fldCharType="separate"/>
      </w:r>
      <w:r>
        <w:t>4</w:t>
      </w:r>
      <w:r>
        <w:fldChar w:fldCharType="end"/>
      </w:r>
    </w:p>
    <w:p>
      <w:pPr>
        <w:pStyle w:val="20"/>
        <w:tabs>
          <w:tab w:val="right" w:leader="dot" w:pos="8306"/>
        </w:tabs>
      </w:pPr>
      <w:r>
        <w:rPr>
          <w:rFonts w:hint="eastAsia"/>
        </w:rPr>
        <w:t>一、</w:t>
      </w:r>
      <w:r>
        <w:rPr>
          <w:rFonts w:hint="eastAsia"/>
          <w:lang w:val="en-US" w:eastAsia="zh-CN"/>
        </w:rPr>
        <w:t>部门职责</w:t>
      </w:r>
      <w:r>
        <w:tab/>
      </w:r>
      <w:r>
        <w:fldChar w:fldCharType="begin"/>
      </w:r>
      <w:r>
        <w:instrText xml:space="preserve"> PAGEREF _Toc4204 </w:instrText>
      </w:r>
      <w:r>
        <w:fldChar w:fldCharType="separate"/>
      </w:r>
      <w:r>
        <w:t>4</w:t>
      </w:r>
      <w:r>
        <w:fldChar w:fldCharType="end"/>
      </w:r>
    </w:p>
    <w:p>
      <w:pPr>
        <w:pStyle w:val="20"/>
        <w:tabs>
          <w:tab w:val="right" w:leader="dot" w:pos="8306"/>
        </w:tabs>
      </w:pPr>
      <w:r>
        <w:rPr>
          <w:rFonts w:hint="eastAsia"/>
          <w:lang w:val="en-US" w:eastAsia="zh-CN"/>
        </w:rPr>
        <w:t>二、</w:t>
      </w:r>
      <w:r>
        <w:rPr>
          <w:rFonts w:hint="eastAsia"/>
        </w:rPr>
        <w:t>机构设置</w:t>
      </w:r>
      <w:r>
        <w:tab/>
      </w:r>
      <w:r>
        <w:fldChar w:fldCharType="begin"/>
      </w:r>
      <w:r>
        <w:instrText xml:space="preserve"> PAGEREF _Toc15981 </w:instrText>
      </w:r>
      <w:r>
        <w:fldChar w:fldCharType="separate"/>
      </w:r>
      <w:r>
        <w:t>4</w:t>
      </w:r>
      <w:r>
        <w:fldChar w:fldCharType="end"/>
      </w:r>
    </w:p>
    <w:p>
      <w:pPr>
        <w:pStyle w:val="17"/>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color w:val="000000"/>
          <w:lang w:val="en-US" w:eastAsia="zh-CN"/>
        </w:rPr>
        <w:t>2022年</w:t>
      </w:r>
      <w:r>
        <w:rPr>
          <w:rFonts w:hint="eastAsia" w:ascii="黑体" w:hAnsi="黑体" w:eastAsia="黑体"/>
          <w:bCs w:val="0"/>
        </w:rPr>
        <w:t>度部门决算情况说明</w:t>
      </w:r>
      <w:r>
        <w:tab/>
      </w:r>
      <w:r>
        <w:fldChar w:fldCharType="begin"/>
      </w:r>
      <w:r>
        <w:instrText xml:space="preserve"> PAGEREF _Toc30287 </w:instrText>
      </w:r>
      <w:r>
        <w:fldChar w:fldCharType="separate"/>
      </w:r>
      <w:r>
        <w:t>5</w:t>
      </w:r>
      <w:r>
        <w:fldChar w:fldCharType="end"/>
      </w:r>
    </w:p>
    <w:p>
      <w:pPr>
        <w:pStyle w:val="20"/>
        <w:tabs>
          <w:tab w:val="right" w:leader="dot" w:pos="8306"/>
        </w:tabs>
      </w:pPr>
      <w:r>
        <w:rPr>
          <w:rFonts w:hint="default" w:cs="Times New Roman"/>
        </w:rPr>
        <w:t xml:space="preserve">一、 </w:t>
      </w:r>
      <w:r>
        <w:rPr>
          <w:rFonts w:hint="eastAsia"/>
        </w:rPr>
        <w:t>收入支出决算总体情况说明</w:t>
      </w:r>
      <w:r>
        <w:tab/>
      </w:r>
      <w:r>
        <w:fldChar w:fldCharType="begin"/>
      </w:r>
      <w:r>
        <w:instrText xml:space="preserve"> PAGEREF _Toc27817 </w:instrText>
      </w:r>
      <w:r>
        <w:fldChar w:fldCharType="separate"/>
      </w:r>
      <w:r>
        <w:t>5</w:t>
      </w:r>
      <w:r>
        <w:fldChar w:fldCharType="end"/>
      </w:r>
    </w:p>
    <w:p>
      <w:pPr>
        <w:pStyle w:val="20"/>
        <w:tabs>
          <w:tab w:val="right" w:leader="dot" w:pos="8306"/>
        </w:tabs>
      </w:pPr>
      <w:r>
        <w:rPr>
          <w:rFonts w:hint="default" w:cs="Times New Roman"/>
        </w:rPr>
        <w:t xml:space="preserve">二、 </w:t>
      </w:r>
      <w:r>
        <w:rPr>
          <w:rFonts w:hint="eastAsia"/>
        </w:rPr>
        <w:t>收入决算情况说明</w:t>
      </w:r>
      <w:r>
        <w:tab/>
      </w:r>
      <w:r>
        <w:fldChar w:fldCharType="begin"/>
      </w:r>
      <w:r>
        <w:instrText xml:space="preserve"> PAGEREF _Toc17546 </w:instrText>
      </w:r>
      <w:r>
        <w:fldChar w:fldCharType="separate"/>
      </w:r>
      <w:r>
        <w:t>6</w:t>
      </w:r>
      <w:r>
        <w:fldChar w:fldCharType="end"/>
      </w:r>
    </w:p>
    <w:p>
      <w:pPr>
        <w:pStyle w:val="20"/>
        <w:tabs>
          <w:tab w:val="right" w:leader="dot" w:pos="8306"/>
        </w:tabs>
      </w:pPr>
      <w:r>
        <w:rPr>
          <w:rFonts w:hint="default" w:cs="Times New Roman"/>
        </w:rPr>
        <w:t xml:space="preserve">三、 </w:t>
      </w:r>
      <w:r>
        <w:rPr>
          <w:rFonts w:hint="eastAsia"/>
        </w:rPr>
        <w:t>支出决算情况说明</w:t>
      </w:r>
      <w:r>
        <w:tab/>
      </w:r>
      <w:r>
        <w:fldChar w:fldCharType="begin"/>
      </w:r>
      <w:r>
        <w:instrText xml:space="preserve"> PAGEREF _Toc3404 </w:instrText>
      </w:r>
      <w:r>
        <w:fldChar w:fldCharType="separate"/>
      </w:r>
      <w:r>
        <w:t>6</w:t>
      </w:r>
      <w:r>
        <w:fldChar w:fldCharType="end"/>
      </w:r>
    </w:p>
    <w:p>
      <w:pPr>
        <w:pStyle w:val="20"/>
        <w:tabs>
          <w:tab w:val="right" w:leader="dot" w:pos="8306"/>
        </w:tabs>
      </w:pPr>
      <w:r>
        <w:rPr>
          <w:rFonts w:hint="eastAsia"/>
        </w:rPr>
        <w:t>四、财政拨款收入支出决算总体情况说明</w:t>
      </w:r>
      <w:r>
        <w:tab/>
      </w:r>
      <w:r>
        <w:fldChar w:fldCharType="begin"/>
      </w:r>
      <w:r>
        <w:instrText xml:space="preserve"> PAGEREF _Toc32328 </w:instrText>
      </w:r>
      <w:r>
        <w:fldChar w:fldCharType="separate"/>
      </w:r>
      <w:r>
        <w:t>7</w:t>
      </w:r>
      <w:r>
        <w:fldChar w:fldCharType="end"/>
      </w:r>
    </w:p>
    <w:p>
      <w:pPr>
        <w:pStyle w:val="20"/>
        <w:tabs>
          <w:tab w:val="right" w:leader="dot" w:pos="8306"/>
        </w:tabs>
      </w:pPr>
      <w:r>
        <w:rPr>
          <w:rFonts w:hint="eastAsia"/>
          <w:lang w:val="en-US" w:eastAsia="zh-CN"/>
        </w:rPr>
        <w:t>五、一般公共预算财政拨款支出决算情况说明</w:t>
      </w:r>
      <w:r>
        <w:tab/>
      </w:r>
      <w:r>
        <w:fldChar w:fldCharType="begin"/>
      </w:r>
      <w:r>
        <w:instrText xml:space="preserve"> PAGEREF _Toc21563 </w:instrText>
      </w:r>
      <w:r>
        <w:fldChar w:fldCharType="separate"/>
      </w:r>
      <w:r>
        <w:t>8</w:t>
      </w:r>
      <w:r>
        <w:fldChar w:fldCharType="end"/>
      </w:r>
    </w:p>
    <w:p>
      <w:pPr>
        <w:pStyle w:val="20"/>
        <w:tabs>
          <w:tab w:val="right" w:leader="dot" w:pos="8306"/>
        </w:tabs>
      </w:pPr>
      <w:r>
        <w:rPr>
          <w:rFonts w:hint="eastAsia"/>
        </w:rPr>
        <w:t>六、</w:t>
      </w:r>
      <w:r>
        <w:rPr>
          <w:rFonts w:hint="eastAsia"/>
          <w:lang w:val="en-US" w:eastAsia="zh-CN"/>
        </w:rPr>
        <w:t>一般公共预算财政拨款基本支出决算情况说明</w:t>
      </w:r>
      <w:r>
        <w:tab/>
      </w:r>
      <w:r>
        <w:fldChar w:fldCharType="begin"/>
      </w:r>
      <w:r>
        <w:instrText xml:space="preserve"> PAGEREF _Toc31 </w:instrText>
      </w:r>
      <w:r>
        <w:fldChar w:fldCharType="separate"/>
      </w:r>
      <w:r>
        <w:t>11</w:t>
      </w:r>
      <w:r>
        <w:fldChar w:fldCharType="end"/>
      </w:r>
    </w:p>
    <w:p>
      <w:pPr>
        <w:pStyle w:val="20"/>
        <w:tabs>
          <w:tab w:val="right" w:leader="dot" w:pos="8306"/>
        </w:tabs>
      </w:pPr>
      <w:r>
        <w:rPr>
          <w:rFonts w:hint="eastAsia"/>
        </w:rPr>
        <w:t>七、</w:t>
      </w:r>
      <w:r>
        <w:rPr>
          <w:rFonts w:hint="eastAsia"/>
          <w:lang w:val="en-US" w:eastAsia="zh-CN"/>
        </w:rPr>
        <w:t>“三公”经费财政拨款支出决算情况说明</w:t>
      </w:r>
      <w:r>
        <w:tab/>
      </w:r>
      <w:r>
        <w:fldChar w:fldCharType="begin"/>
      </w:r>
      <w:r>
        <w:instrText xml:space="preserve"> PAGEREF _Toc23929 </w:instrText>
      </w:r>
      <w:r>
        <w:fldChar w:fldCharType="separate"/>
      </w:r>
      <w:r>
        <w:t>12</w:t>
      </w:r>
      <w:r>
        <w:fldChar w:fldCharType="end"/>
      </w:r>
    </w:p>
    <w:p>
      <w:pPr>
        <w:pStyle w:val="20"/>
        <w:tabs>
          <w:tab w:val="right" w:leader="dot" w:pos="8306"/>
        </w:tabs>
      </w:pPr>
      <w:r>
        <w:rPr>
          <w:rFonts w:hint="eastAsia"/>
        </w:rPr>
        <w:t>八、</w:t>
      </w:r>
      <w:r>
        <w:rPr>
          <w:rFonts w:hint="eastAsia"/>
          <w:lang w:val="en-US" w:eastAsia="zh-CN"/>
        </w:rPr>
        <w:t>政府性基金预算支出决算情况说明</w:t>
      </w:r>
      <w:r>
        <w:tab/>
      </w:r>
      <w:r>
        <w:fldChar w:fldCharType="begin"/>
      </w:r>
      <w:r>
        <w:instrText xml:space="preserve"> PAGEREF _Toc19684 </w:instrText>
      </w:r>
      <w:r>
        <w:fldChar w:fldCharType="separate"/>
      </w:r>
      <w:r>
        <w:t>13</w:t>
      </w:r>
      <w:r>
        <w:fldChar w:fldCharType="end"/>
      </w:r>
    </w:p>
    <w:p>
      <w:pPr>
        <w:pStyle w:val="20"/>
        <w:tabs>
          <w:tab w:val="right" w:leader="dot" w:pos="8306"/>
        </w:tabs>
      </w:pPr>
      <w:r>
        <w:rPr>
          <w:rFonts w:hint="eastAsia"/>
          <w:lang w:val="en-US" w:eastAsia="zh-CN"/>
        </w:rPr>
        <w:t>九、国有资本经营预算支出决算情况说明</w:t>
      </w:r>
      <w:r>
        <w:tab/>
      </w:r>
      <w:r>
        <w:fldChar w:fldCharType="begin"/>
      </w:r>
      <w:r>
        <w:instrText xml:space="preserve"> PAGEREF _Toc27444 </w:instrText>
      </w:r>
      <w:r>
        <w:fldChar w:fldCharType="separate"/>
      </w:r>
      <w:r>
        <w:t>13</w:t>
      </w:r>
      <w:r>
        <w:fldChar w:fldCharType="end"/>
      </w:r>
    </w:p>
    <w:p>
      <w:pPr>
        <w:pStyle w:val="20"/>
        <w:tabs>
          <w:tab w:val="right" w:leader="dot" w:pos="8306"/>
        </w:tabs>
      </w:pPr>
      <w:r>
        <w:rPr>
          <w:rFonts w:hint="eastAsia"/>
          <w:lang w:val="en-US" w:eastAsia="zh-CN"/>
        </w:rPr>
        <w:t>十、其他重要事项的情况说明</w:t>
      </w:r>
      <w:r>
        <w:tab/>
      </w:r>
      <w:r>
        <w:fldChar w:fldCharType="begin"/>
      </w:r>
      <w:r>
        <w:instrText xml:space="preserve"> PAGEREF _Toc23144 </w:instrText>
      </w:r>
      <w:r>
        <w:fldChar w:fldCharType="separate"/>
      </w:r>
      <w:r>
        <w:t>14</w:t>
      </w:r>
      <w:r>
        <w:fldChar w:fldCharType="end"/>
      </w:r>
    </w:p>
    <w:p>
      <w:pPr>
        <w:pStyle w:val="17"/>
        <w:tabs>
          <w:tab w:val="right" w:leader="dot" w:pos="8306"/>
        </w:tabs>
        <w:rPr>
          <w:rFonts w:hint="eastAsia" w:ascii="黑体" w:hAnsi="黑体" w:eastAsia="黑体"/>
          <w:color w:val="000000"/>
          <w:lang w:val="en-US" w:eastAsia="zh-CN"/>
        </w:rPr>
      </w:pPr>
      <w:r>
        <w:rPr>
          <w:rFonts w:hint="eastAsia" w:ascii="黑体" w:hAnsi="黑体" w:eastAsia="黑体"/>
          <w:color w:val="000000"/>
          <w:lang w:val="en-US" w:eastAsia="zh-CN"/>
        </w:rPr>
        <w:t>第三部分  名词解释</w:t>
      </w:r>
      <w:r>
        <w:rPr>
          <w:rFonts w:hint="eastAsia" w:ascii="黑体" w:hAnsi="黑体" w:eastAsia="黑体"/>
          <w:color w:val="000000"/>
          <w:lang w:val="en-US" w:eastAsia="zh-CN"/>
        </w:rPr>
        <w:tab/>
      </w:r>
      <w:r>
        <w:rPr>
          <w:rFonts w:hint="eastAsia" w:ascii="黑体" w:hAnsi="黑体" w:eastAsia="黑体"/>
          <w:color w:val="000000"/>
          <w:lang w:val="en-US" w:eastAsia="zh-CN"/>
        </w:rPr>
        <w:fldChar w:fldCharType="begin"/>
      </w:r>
      <w:r>
        <w:rPr>
          <w:rFonts w:hint="eastAsia" w:ascii="黑体" w:hAnsi="黑体" w:eastAsia="黑体"/>
          <w:color w:val="000000"/>
          <w:lang w:val="en-US" w:eastAsia="zh-CN"/>
        </w:rPr>
        <w:instrText xml:space="preserve"> PAGEREF _Toc7483 </w:instrText>
      </w:r>
      <w:r>
        <w:rPr>
          <w:rFonts w:hint="eastAsia" w:ascii="黑体" w:hAnsi="黑体" w:eastAsia="黑体"/>
          <w:color w:val="000000"/>
          <w:lang w:val="en-US" w:eastAsia="zh-CN"/>
        </w:rPr>
        <w:fldChar w:fldCharType="separate"/>
      </w:r>
      <w:r>
        <w:rPr>
          <w:rFonts w:hint="eastAsia" w:ascii="黑体" w:hAnsi="黑体" w:eastAsia="黑体"/>
          <w:color w:val="000000"/>
          <w:lang w:val="en-US" w:eastAsia="zh-CN"/>
        </w:rPr>
        <w:t>16</w:t>
      </w:r>
      <w:r>
        <w:rPr>
          <w:rFonts w:hint="eastAsia" w:ascii="黑体" w:hAnsi="黑体" w:eastAsia="黑体"/>
          <w:color w:val="000000"/>
          <w:lang w:val="en-US" w:eastAsia="zh-CN"/>
        </w:rPr>
        <w:fldChar w:fldCharType="end"/>
      </w:r>
    </w:p>
    <w:p>
      <w:pPr>
        <w:pStyle w:val="17"/>
        <w:tabs>
          <w:tab w:val="right" w:leader="dot" w:pos="8306"/>
        </w:tabs>
      </w:pPr>
      <w:r>
        <w:rPr>
          <w:rFonts w:hint="eastAsia" w:ascii="黑体" w:hAnsi="黑体" w:eastAsia="黑体"/>
          <w:color w:val="000000"/>
          <w:lang w:val="en-US" w:eastAsia="zh-CN"/>
        </w:rPr>
        <w:t>第四部分 附件</w:t>
      </w:r>
      <w:r>
        <w:tab/>
      </w:r>
      <w:r>
        <w:fldChar w:fldCharType="begin"/>
      </w:r>
      <w:r>
        <w:instrText xml:space="preserve"> PAGEREF _Toc10602 </w:instrText>
      </w:r>
      <w:r>
        <w:fldChar w:fldCharType="separate"/>
      </w:r>
      <w:r>
        <w:t>18</w:t>
      </w:r>
      <w:r>
        <w:fldChar w:fldCharType="end"/>
      </w:r>
    </w:p>
    <w:p>
      <w:pPr>
        <w:pStyle w:val="17"/>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_Toc3834 </w:instrText>
      </w:r>
      <w:r>
        <w:fldChar w:fldCharType="separate"/>
      </w:r>
      <w:r>
        <w:t>28</w:t>
      </w:r>
      <w:r>
        <w:fldChar w:fldCharType="end"/>
      </w:r>
    </w:p>
    <w:p>
      <w:pPr>
        <w:pStyle w:val="20"/>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_Toc29344 </w:instrText>
      </w:r>
      <w:r>
        <w:fldChar w:fldCharType="separate"/>
      </w:r>
      <w:r>
        <w:t>28</w:t>
      </w:r>
      <w:r>
        <w:fldChar w:fldCharType="end"/>
      </w:r>
    </w:p>
    <w:p>
      <w:pPr>
        <w:pStyle w:val="20"/>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_Toc28298 </w:instrText>
      </w:r>
      <w:r>
        <w:fldChar w:fldCharType="separate"/>
      </w:r>
      <w:r>
        <w:t>28</w:t>
      </w:r>
      <w:r>
        <w:fldChar w:fldCharType="end"/>
      </w:r>
    </w:p>
    <w:p>
      <w:pPr>
        <w:pStyle w:val="20"/>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_Toc6187 </w:instrText>
      </w:r>
      <w:r>
        <w:fldChar w:fldCharType="separate"/>
      </w:r>
      <w:r>
        <w:t>28</w:t>
      </w:r>
      <w:r>
        <w:fldChar w:fldCharType="end"/>
      </w:r>
    </w:p>
    <w:p>
      <w:pPr>
        <w:pStyle w:val="20"/>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_Toc19809 </w:instrText>
      </w:r>
      <w:r>
        <w:fldChar w:fldCharType="separate"/>
      </w:r>
      <w:r>
        <w:t>28</w:t>
      </w:r>
      <w:r>
        <w:fldChar w:fldCharType="end"/>
      </w:r>
    </w:p>
    <w:p>
      <w:pPr>
        <w:pStyle w:val="20"/>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_Toc14561 </w:instrText>
      </w:r>
      <w:r>
        <w:fldChar w:fldCharType="separate"/>
      </w:r>
      <w:r>
        <w:t>28</w:t>
      </w:r>
      <w:r>
        <w:fldChar w:fldCharType="end"/>
      </w:r>
    </w:p>
    <w:p>
      <w:pPr>
        <w:pStyle w:val="20"/>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_Toc12454 </w:instrText>
      </w:r>
      <w:r>
        <w:fldChar w:fldCharType="separate"/>
      </w:r>
      <w:r>
        <w:t>28</w:t>
      </w:r>
      <w:r>
        <w:fldChar w:fldCharType="end"/>
      </w:r>
    </w:p>
    <w:p>
      <w:pPr>
        <w:pStyle w:val="20"/>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_Toc18292 </w:instrText>
      </w:r>
      <w:r>
        <w:fldChar w:fldCharType="separate"/>
      </w:r>
      <w:r>
        <w:t>28</w:t>
      </w:r>
      <w:r>
        <w:fldChar w:fldCharType="end"/>
      </w:r>
    </w:p>
    <w:p>
      <w:pPr>
        <w:pStyle w:val="20"/>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_Toc16869 </w:instrText>
      </w:r>
      <w:r>
        <w:fldChar w:fldCharType="separate"/>
      </w:r>
      <w:r>
        <w:t>28</w:t>
      </w:r>
      <w:r>
        <w:fldChar w:fldCharType="end"/>
      </w:r>
    </w:p>
    <w:p>
      <w:pPr>
        <w:pStyle w:val="20"/>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_Toc10868 </w:instrText>
      </w:r>
      <w:r>
        <w:fldChar w:fldCharType="separate"/>
      </w:r>
      <w:r>
        <w:t>28</w:t>
      </w:r>
      <w:r>
        <w:fldChar w:fldCharType="end"/>
      </w:r>
    </w:p>
    <w:p>
      <w:pPr>
        <w:pStyle w:val="20"/>
        <w:tabs>
          <w:tab w:val="right" w:leader="dot" w:pos="8306"/>
        </w:tabs>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_Toc27605 </w:instrText>
      </w:r>
      <w:r>
        <w:fldChar w:fldCharType="separate"/>
      </w:r>
      <w:r>
        <w:t>28</w:t>
      </w:r>
      <w:r>
        <w:fldChar w:fldCharType="end"/>
      </w:r>
    </w:p>
    <w:p>
      <w:pPr>
        <w:pStyle w:val="20"/>
        <w:tabs>
          <w:tab w:val="right" w:leader="dot" w:pos="8306"/>
        </w:tabs>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w:t>
      </w:r>
      <w:r>
        <w:rPr>
          <w:rFonts w:hint="eastAsia" w:ascii="仿宋" w:hAnsi="仿宋" w:eastAsia="仿宋"/>
          <w:color w:val="000000"/>
        </w:rPr>
        <w:t>国</w:t>
      </w:r>
      <w:r>
        <w:rPr>
          <w:rFonts w:hint="eastAsia" w:ascii="仿宋" w:hAnsi="仿宋" w:eastAsia="仿宋"/>
          <w:bCs w:val="0"/>
        </w:rPr>
        <w:t>有资本经营预算财政拨款</w:t>
      </w:r>
      <w:r>
        <w:rPr>
          <w:rFonts w:hint="eastAsia" w:ascii="仿宋" w:hAnsi="仿宋" w:eastAsia="仿宋"/>
          <w:bCs w:val="0"/>
          <w:lang w:val="en-US" w:eastAsia="zh-CN"/>
        </w:rPr>
        <w:t>收入</w:t>
      </w:r>
      <w:r>
        <w:rPr>
          <w:rFonts w:hint="eastAsia" w:ascii="仿宋" w:hAnsi="仿宋" w:eastAsia="仿宋"/>
          <w:bCs w:val="0"/>
        </w:rPr>
        <w:t>支出决算表</w:t>
      </w:r>
      <w:r>
        <w:tab/>
      </w:r>
      <w:r>
        <w:fldChar w:fldCharType="begin"/>
      </w:r>
      <w:r>
        <w:instrText xml:space="preserve"> PAGEREF _Toc28281 </w:instrText>
      </w:r>
      <w:r>
        <w:fldChar w:fldCharType="separate"/>
      </w:r>
      <w:r>
        <w:t>28</w:t>
      </w:r>
      <w:r>
        <w:fldChar w:fldCharType="end"/>
      </w:r>
    </w:p>
    <w:p>
      <w:pPr>
        <w:pStyle w:val="20"/>
        <w:tabs>
          <w:tab w:val="right" w:leader="dot" w:pos="8306"/>
        </w:tabs>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fldChar w:fldCharType="begin"/>
      </w:r>
      <w:r>
        <w:instrText xml:space="preserve"> PAGEREF _Toc10853 </w:instrText>
      </w:r>
      <w:r>
        <w:fldChar w:fldCharType="separate"/>
      </w:r>
      <w:r>
        <w:t>28</w:t>
      </w:r>
      <w:r>
        <w:fldChar w:fldCharType="end"/>
      </w:r>
    </w:p>
    <w:p>
      <w:pPr>
        <w:pStyle w:val="20"/>
        <w:tabs>
          <w:tab w:val="right" w:leader="dot" w:pos="8306"/>
        </w:tabs>
      </w:pPr>
      <w:r>
        <w:rPr>
          <w:rFonts w:hint="eastAsia" w:ascii="仿宋" w:hAnsi="仿宋" w:eastAsia="仿宋"/>
          <w:bCs w:val="0"/>
          <w:lang w:val="en-US" w:eastAsia="zh-CN"/>
        </w:rPr>
        <w:t>十三、</w:t>
      </w:r>
      <w:r>
        <w:rPr>
          <w:rFonts w:hint="eastAsia" w:ascii="仿宋" w:hAnsi="仿宋" w:eastAsia="仿宋"/>
          <w:bCs w:val="0"/>
        </w:rPr>
        <w:t>财政拨款“三公”经费支出决算表</w:t>
      </w:r>
      <w:r>
        <w:tab/>
      </w:r>
      <w:r>
        <w:fldChar w:fldCharType="begin"/>
      </w:r>
      <w:r>
        <w:instrText xml:space="preserve"> PAGEREF _Toc8842 </w:instrText>
      </w:r>
      <w:r>
        <w:fldChar w:fldCharType="separate"/>
      </w:r>
      <w:r>
        <w:t>28</w:t>
      </w:r>
      <w:r>
        <w:fldChar w:fldCharType="end"/>
      </w:r>
    </w:p>
    <w:p>
      <w:pPr>
        <w:rPr>
          <w:rFonts w:ascii="仿宋" w:hAnsi="仿宋" w:eastAsia="仿宋" w:cs="Times New Roman"/>
          <w:b w:val="0"/>
          <w:bCs w:val="0"/>
          <w:caps w:val="0"/>
          <w:smallCaps/>
          <w:kern w:val="2"/>
          <w:sz w:val="20"/>
          <w:szCs w:val="20"/>
          <w:lang w:val="en-US" w:eastAsia="zh-CN" w:bidi="ar-SA"/>
        </w:rPr>
      </w:pPr>
      <w:r>
        <w:rPr>
          <w:rFonts w:ascii="仿宋" w:hAnsi="仿宋" w:eastAsia="仿宋" w:cs="Times New Roman"/>
          <w:bCs w:val="0"/>
          <w:caps w:val="0"/>
          <w:smallCaps/>
          <w:kern w:val="2"/>
          <w:szCs w:val="20"/>
          <w:lang w:val="en-US" w:eastAsia="zh-CN" w:bidi="ar-SA"/>
        </w:rPr>
        <w:fldChar w:fldCharType="end"/>
      </w:r>
    </w:p>
    <w:p>
      <w:pPr>
        <w:widowControl/>
        <w:spacing w:line="440" w:lineRule="exact"/>
        <w:jc w:val="left"/>
        <w:rPr>
          <w:rFonts w:ascii="仿宋" w:hAnsi="仿宋" w:eastAsia="仿宋"/>
          <w:b/>
          <w:sz w:val="24"/>
        </w:rPr>
      </w:pPr>
      <w:bookmarkStart w:id="12" w:name="_Toc15396599"/>
      <w:bookmarkStart w:id="13" w:name="_Toc15377196"/>
      <w:r>
        <w:rPr>
          <w:rFonts w:ascii="仿宋" w:hAnsi="仿宋" w:eastAsia="仿宋"/>
          <w:b/>
          <w:sz w:val="24"/>
        </w:rPr>
        <w:br w:type="page"/>
      </w:r>
    </w:p>
    <w:p>
      <w:pPr>
        <w:bidi w:val="0"/>
        <w:jc w:val="left"/>
        <w:rPr>
          <w:rFonts w:ascii="Times New Roman" w:hAnsi="Times New Roman" w:eastAsia="宋体" w:cs="Times New Roman"/>
          <w:kern w:val="2"/>
          <w:sz w:val="21"/>
          <w:szCs w:val="24"/>
          <w:lang w:val="en-US" w:eastAsia="zh-CN" w:bidi="ar-SA"/>
        </w:rPr>
      </w:pPr>
    </w:p>
    <w:p>
      <w:pPr>
        <w:pStyle w:val="3"/>
        <w:jc w:val="center"/>
        <w:rPr>
          <w:rStyle w:val="26"/>
          <w:rFonts w:ascii="黑体" w:hAnsi="黑体" w:eastAsia="黑体"/>
          <w:b/>
          <w:bCs w:val="0"/>
        </w:rPr>
      </w:pPr>
      <w:bookmarkStart w:id="14" w:name="_Toc18838"/>
      <w:bookmarkStart w:id="15" w:name="_Toc7916360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bidi w:val="0"/>
        <w:rPr>
          <w:rFonts w:hint="default" w:eastAsia="黑体"/>
          <w:lang w:val="en-US" w:eastAsia="zh-CN"/>
        </w:rPr>
      </w:pPr>
      <w:bookmarkStart w:id="16" w:name="_Toc15396600"/>
      <w:bookmarkStart w:id="17" w:name="_Toc79163602"/>
      <w:bookmarkStart w:id="18" w:name="_Toc15377197"/>
      <w:bookmarkStart w:id="19" w:name="_Toc4204"/>
      <w:r>
        <w:rPr>
          <w:rFonts w:hint="eastAsia"/>
        </w:rPr>
        <w:t>一、</w:t>
      </w:r>
      <w:bookmarkEnd w:id="16"/>
      <w:bookmarkEnd w:id="17"/>
      <w:bookmarkEnd w:id="18"/>
      <w:r>
        <w:rPr>
          <w:rFonts w:hint="eastAsia"/>
          <w:lang w:val="en-US" w:eastAsia="zh-CN"/>
        </w:rPr>
        <w:t>部门职责</w:t>
      </w:r>
      <w:bookmarkEnd w:id="19"/>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ascii="仿宋_GB2312" w:hAnsi="宋体" w:eastAsia="仿宋_GB2312" w:cs="宋体"/>
          <w:kern w:val="0"/>
          <w:sz w:val="32"/>
          <w:szCs w:val="32"/>
        </w:rPr>
      </w:pPr>
      <w:bookmarkStart w:id="20" w:name="_Toc15378446"/>
      <w:bookmarkStart w:id="21" w:name="_Toc15377199"/>
      <w:bookmarkStart w:id="22" w:name="_Toc79163604"/>
      <w:r>
        <w:rPr>
          <w:rFonts w:hint="eastAsia" w:ascii="仿宋_GB2312" w:hAnsi="宋体" w:eastAsia="仿宋_GB2312" w:cs="宋体"/>
          <w:kern w:val="0"/>
          <w:sz w:val="32"/>
          <w:szCs w:val="32"/>
        </w:rPr>
        <w:t>1.加强宗教团体依法依规开展活动。</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2.加强宗教事务管理。</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3.依法履行宗教事务管理职责。</w:t>
      </w:r>
    </w:p>
    <w:p>
      <w:pPr>
        <w:widowControl/>
        <w:spacing w:line="600" w:lineRule="exact"/>
        <w:ind w:firstLine="640" w:firstLineChars="200"/>
        <w:jc w:val="left"/>
        <w:rPr>
          <w:rFonts w:hint="eastAsia" w:ascii="仿宋_GB2312" w:eastAsia="仿宋_GB2312"/>
          <w:bCs/>
          <w:color w:val="000000"/>
          <w:sz w:val="32"/>
          <w:szCs w:val="32"/>
        </w:rPr>
      </w:pPr>
      <w:r>
        <w:rPr>
          <w:rFonts w:hint="eastAsia" w:ascii="仿宋_GB2312" w:hAnsi="宋体" w:eastAsia="仿宋_GB2312" w:cs="宋体"/>
          <w:kern w:val="0"/>
          <w:sz w:val="32"/>
          <w:szCs w:val="32"/>
        </w:rPr>
        <w:t>4.规范少数民族语言文字工作。</w:t>
      </w:r>
      <w:bookmarkEnd w:id="20"/>
      <w:bookmarkEnd w:id="21"/>
      <w:bookmarkEnd w:id="22"/>
    </w:p>
    <w:p>
      <w:pPr>
        <w:pStyle w:val="4"/>
        <w:pageBreakBefore w:val="0"/>
        <w:numPr>
          <w:ilvl w:val="0"/>
          <w:numId w:val="1"/>
        </w:numPr>
        <w:kinsoku/>
        <w:wordWrap/>
        <w:overflowPunct/>
        <w:topLinePunct w:val="0"/>
        <w:autoSpaceDE/>
        <w:autoSpaceDN/>
        <w:bidi w:val="0"/>
        <w:adjustRightInd/>
        <w:snapToGrid/>
        <w:spacing w:line="560" w:lineRule="exact"/>
        <w:textAlignment w:val="auto"/>
      </w:pPr>
      <w:bookmarkStart w:id="23" w:name="_Toc79163605"/>
      <w:bookmarkStart w:id="24" w:name="_Toc15981"/>
      <w:bookmarkStart w:id="25" w:name="_Toc15377200"/>
      <w:bookmarkStart w:id="26" w:name="_Toc15396601"/>
      <w:r>
        <w:rPr>
          <w:rFonts w:hint="eastAsia"/>
        </w:rPr>
        <w:t>机构设置</w:t>
      </w:r>
      <w:bookmarkEnd w:id="23"/>
      <w:bookmarkEnd w:id="24"/>
      <w:bookmarkEnd w:id="25"/>
      <w:bookmarkEnd w:id="26"/>
      <w:r>
        <w:rPr>
          <w:rFonts w:hint="eastAsia"/>
          <w:lang w:val="en-US" w:eastAsia="zh-CN"/>
        </w:rPr>
        <w:t xml:space="preserve">  </w:t>
      </w:r>
    </w:p>
    <w:p>
      <w:pPr>
        <w:pageBreakBefore w:val="0"/>
        <w:widowControl/>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宋体" w:eastAsia="仿宋_GB2312" w:cs="宋体"/>
          <w:kern w:val="0"/>
          <w:sz w:val="32"/>
          <w:szCs w:val="32"/>
          <w:lang w:eastAsia="zh-CN"/>
        </w:rPr>
      </w:pPr>
      <w:r>
        <w:rPr>
          <w:rFonts w:hint="eastAsia" w:ascii="仿宋_GB2312" w:hAnsi="Times New Roman" w:eastAsia="仿宋_GB2312" w:cs="Times New Roman"/>
          <w:b w:val="0"/>
          <w:bCs w:val="0"/>
          <w:kern w:val="2"/>
          <w:sz w:val="32"/>
          <w:szCs w:val="32"/>
          <w:lang w:val="en-US" w:eastAsia="zh-CN" w:bidi="ar-SA"/>
        </w:rPr>
        <w:t>本部门下属二级预算单位0个，其中内设机构0个。</w:t>
      </w:r>
    </w:p>
    <w:p>
      <w:pPr>
        <w:rPr>
          <w:rFonts w:hint="eastAsia" w:ascii="仿宋_GB2312" w:hAnsi="宋体" w:eastAsia="仿宋_GB2312" w:cs="宋体"/>
          <w:kern w:val="0"/>
          <w:sz w:val="32"/>
          <w:szCs w:val="32"/>
          <w:lang w:eastAsia="zh-CN"/>
        </w:rPr>
      </w:pPr>
    </w:p>
    <w:p>
      <w:pPr>
        <w:pStyle w:val="2"/>
        <w:rPr>
          <w:rFonts w:hint="eastAsia" w:ascii="仿宋_GB2312" w:hAnsi="宋体" w:eastAsia="仿宋_GB2312" w:cs="宋体"/>
          <w:kern w:val="0"/>
          <w:sz w:val="32"/>
          <w:szCs w:val="32"/>
          <w:lang w:eastAsia="zh-CN"/>
        </w:rPr>
      </w:pPr>
    </w:p>
    <w:p>
      <w:pPr>
        <w:rPr>
          <w:rFonts w:hint="eastAsia" w:ascii="仿宋_GB2312" w:hAnsi="宋体" w:eastAsia="仿宋_GB2312" w:cs="宋体"/>
          <w:kern w:val="0"/>
          <w:sz w:val="32"/>
          <w:szCs w:val="32"/>
          <w:lang w:eastAsia="zh-CN"/>
        </w:rPr>
      </w:pPr>
    </w:p>
    <w:p>
      <w:pPr>
        <w:pStyle w:val="2"/>
        <w:rPr>
          <w:rFonts w:hint="eastAsia" w:ascii="仿宋_GB2312" w:hAnsi="宋体" w:eastAsia="仿宋_GB2312" w:cs="宋体"/>
          <w:kern w:val="0"/>
          <w:sz w:val="32"/>
          <w:szCs w:val="32"/>
          <w:lang w:eastAsia="zh-CN"/>
        </w:rPr>
      </w:pPr>
    </w:p>
    <w:p>
      <w:pPr>
        <w:rPr>
          <w:rFonts w:hint="eastAsia" w:ascii="仿宋_GB2312" w:hAnsi="宋体" w:eastAsia="仿宋_GB2312" w:cs="宋体"/>
          <w:kern w:val="0"/>
          <w:sz w:val="32"/>
          <w:szCs w:val="32"/>
          <w:lang w:eastAsia="zh-CN"/>
        </w:rPr>
      </w:pPr>
    </w:p>
    <w:p>
      <w:pPr>
        <w:pStyle w:val="2"/>
        <w:rPr>
          <w:rFonts w:hint="eastAsia" w:ascii="仿宋_GB2312" w:hAnsi="宋体" w:eastAsia="仿宋_GB2312" w:cs="宋体"/>
          <w:kern w:val="0"/>
          <w:sz w:val="32"/>
          <w:szCs w:val="32"/>
          <w:lang w:eastAsia="zh-CN"/>
        </w:rPr>
      </w:pPr>
    </w:p>
    <w:p>
      <w:pPr>
        <w:rPr>
          <w:rFonts w:hint="eastAsia" w:ascii="仿宋_GB2312" w:hAnsi="宋体" w:eastAsia="仿宋_GB2312" w:cs="宋体"/>
          <w:kern w:val="0"/>
          <w:sz w:val="32"/>
          <w:szCs w:val="32"/>
          <w:lang w:eastAsia="zh-CN"/>
        </w:rPr>
      </w:pPr>
    </w:p>
    <w:p>
      <w:pPr>
        <w:pStyle w:val="2"/>
        <w:rPr>
          <w:rFonts w:hint="eastAsia" w:ascii="仿宋_GB2312" w:hAnsi="宋体" w:eastAsia="仿宋_GB2312" w:cs="宋体"/>
          <w:kern w:val="0"/>
          <w:sz w:val="32"/>
          <w:szCs w:val="32"/>
          <w:lang w:eastAsia="zh-CN"/>
        </w:rPr>
      </w:pPr>
    </w:p>
    <w:p>
      <w:pPr>
        <w:rPr>
          <w:rFonts w:hint="eastAsia"/>
          <w:lang w:eastAsia="zh-CN"/>
        </w:rPr>
      </w:pPr>
    </w:p>
    <w:p>
      <w:pPr>
        <w:pStyle w:val="3"/>
        <w:ind w:right="440"/>
        <w:jc w:val="right"/>
        <w:rPr>
          <w:rStyle w:val="26"/>
          <w:rFonts w:ascii="黑体" w:hAnsi="黑体" w:eastAsia="黑体"/>
          <w:b w:val="0"/>
          <w:bCs w:val="0"/>
        </w:rPr>
      </w:pPr>
      <w:bookmarkStart w:id="27" w:name="_Toc79163609"/>
      <w:bookmarkStart w:id="28" w:name="_Toc30287"/>
      <w:bookmarkStart w:id="29" w:name="_Toc15396602"/>
      <w:bookmarkStart w:id="30" w:name="_Toc15377204"/>
      <w:r>
        <w:rPr>
          <w:rFonts w:hint="eastAsia" w:ascii="黑体" w:hAnsi="黑体" w:eastAsia="黑体"/>
          <w:b w:val="0"/>
          <w:color w:val="000000"/>
        </w:rPr>
        <w:t>第二部分</w:t>
      </w:r>
      <w:r>
        <w:rPr>
          <w:rFonts w:ascii="黑体" w:hAnsi="黑体" w:eastAsia="黑体"/>
          <w:color w:val="000000"/>
        </w:rPr>
        <w:t xml:space="preserve"> </w:t>
      </w:r>
      <w:r>
        <w:rPr>
          <w:rFonts w:hint="eastAsia" w:ascii="黑体" w:hAnsi="黑体" w:eastAsia="黑体"/>
          <w:color w:val="000000"/>
          <w:lang w:val="en-US" w:eastAsia="zh-CN"/>
        </w:rPr>
        <w:t>2022年</w:t>
      </w:r>
      <w:r>
        <w:rPr>
          <w:rStyle w:val="26"/>
          <w:rFonts w:hint="eastAsia" w:ascii="黑体" w:hAnsi="黑体" w:eastAsia="黑体"/>
          <w:b w:val="0"/>
          <w:bCs w:val="0"/>
        </w:rPr>
        <w:t>度部门决算情况说明</w:t>
      </w:r>
      <w:bookmarkEnd w:id="27"/>
      <w:bookmarkEnd w:id="28"/>
      <w:bookmarkEnd w:id="29"/>
      <w:bookmarkEnd w:id="30"/>
    </w:p>
    <w:p/>
    <w:p>
      <w:pPr>
        <w:pStyle w:val="4"/>
        <w:numPr>
          <w:ilvl w:val="0"/>
          <w:numId w:val="2"/>
        </w:numPr>
        <w:bidi w:val="0"/>
      </w:pPr>
      <w:bookmarkStart w:id="31" w:name="_Toc79163610"/>
      <w:bookmarkStart w:id="32" w:name="_Toc15396603"/>
      <w:bookmarkStart w:id="33" w:name="_Toc15377205"/>
      <w:bookmarkStart w:id="34" w:name="_Toc27817"/>
      <w:r>
        <w:rPr>
          <w:rFonts w:hint="eastAsia"/>
        </w:rPr>
        <w:t>收入支出决算总体情况说明</w:t>
      </w:r>
      <w:bookmarkEnd w:id="31"/>
      <w:bookmarkEnd w:id="32"/>
      <w:bookmarkEnd w:id="33"/>
      <w:bookmarkEnd w:id="34"/>
    </w:p>
    <w:p>
      <w:pPr>
        <w:spacing w:line="600" w:lineRule="exact"/>
        <w:ind w:firstLine="640" w:firstLineChars="200"/>
      </w:pPr>
      <w:r>
        <w:rPr>
          <w:rFonts w:hint="eastAsia" w:ascii="仿宋" w:hAnsi="仿宋" w:eastAsia="仿宋"/>
          <w:color w:val="000000"/>
          <w:sz w:val="32"/>
          <w:szCs w:val="32"/>
          <w:lang w:val="en-US" w:eastAsia="zh-CN"/>
        </w:rPr>
        <w:t>2022年</w:t>
      </w:r>
      <w:r>
        <w:rPr>
          <w:rFonts w:hint="eastAsia" w:ascii="仿宋" w:hAnsi="仿宋" w:eastAsia="仿宋"/>
          <w:color w:val="000000"/>
          <w:sz w:val="32"/>
          <w:szCs w:val="32"/>
        </w:rPr>
        <w:t>度收</w:t>
      </w:r>
      <w:r>
        <w:rPr>
          <w:rFonts w:hint="eastAsia" w:ascii="仿宋" w:hAnsi="仿宋" w:eastAsia="仿宋"/>
          <w:color w:val="000000"/>
          <w:sz w:val="32"/>
          <w:szCs w:val="32"/>
          <w:lang w:val="en-US" w:eastAsia="zh-CN"/>
        </w:rPr>
        <w:t>入总计</w:t>
      </w:r>
      <w:r>
        <w:rPr>
          <w:rFonts w:hint="eastAsia" w:ascii="仿宋" w:hAnsi="仿宋" w:eastAsia="仿宋"/>
          <w:color w:val="000000"/>
          <w:sz w:val="32"/>
          <w:szCs w:val="32"/>
          <w:lang w:eastAsia="zh-CN"/>
        </w:rPr>
        <w:t>556.09</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797.77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2021年</w:t>
      </w:r>
      <w:r>
        <w:rPr>
          <w:rFonts w:hint="eastAsia" w:ascii="仿宋" w:hAnsi="仿宋" w:eastAsia="仿宋"/>
          <w:color w:val="000000"/>
          <w:sz w:val="32"/>
          <w:szCs w:val="32"/>
        </w:rPr>
        <w:t>相比，收</w:t>
      </w:r>
      <w:r>
        <w:rPr>
          <w:rFonts w:hint="eastAsia" w:ascii="仿宋" w:hAnsi="仿宋" w:eastAsia="仿宋"/>
          <w:color w:val="000000"/>
          <w:sz w:val="32"/>
          <w:szCs w:val="32"/>
          <w:lang w:val="en-US" w:eastAsia="zh-CN"/>
        </w:rPr>
        <w:t>入总计减少</w:t>
      </w:r>
      <w:r>
        <w:rPr>
          <w:rFonts w:hint="eastAsia" w:ascii="仿宋" w:hAnsi="仿宋" w:eastAsia="仿宋"/>
          <w:color w:val="000000"/>
          <w:sz w:val="32"/>
          <w:szCs w:val="32"/>
          <w:lang w:eastAsia="zh-CN"/>
        </w:rPr>
        <w:t>443.89</w:t>
      </w:r>
      <w:r>
        <w:rPr>
          <w:rFonts w:hint="eastAsia" w:ascii="仿宋" w:hAnsi="仿宋" w:eastAsia="仿宋"/>
          <w:color w:val="000000"/>
          <w:sz w:val="32"/>
          <w:szCs w:val="32"/>
          <w:lang w:val="en-US" w:eastAsia="zh-CN"/>
        </w:rPr>
        <w:t>万元，下降44.39%。</w:t>
      </w:r>
      <w:r>
        <w:rPr>
          <w:rFonts w:hint="eastAsia" w:ascii="仿宋" w:hAnsi="仿宋" w:eastAsia="仿宋"/>
          <w:color w:val="000000"/>
          <w:sz w:val="32"/>
          <w:szCs w:val="32"/>
        </w:rPr>
        <w:t>主要变动原因项目减少，项目资金</w:t>
      </w:r>
      <w:r>
        <w:rPr>
          <w:rFonts w:hint="eastAsia" w:ascii="仿宋" w:hAnsi="仿宋" w:eastAsia="仿宋"/>
          <w:color w:val="000000"/>
          <w:sz w:val="32"/>
          <w:szCs w:val="32"/>
          <w:lang w:val="en-US" w:eastAsia="zh-CN"/>
        </w:rPr>
        <w:t>收入减少</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减少416.48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下降34.30%</w:t>
      </w:r>
      <w:r>
        <w:rPr>
          <w:rFonts w:hint="eastAsia" w:ascii="仿宋" w:hAnsi="仿宋" w:eastAsia="仿宋"/>
          <w:color w:val="000000"/>
          <w:sz w:val="32"/>
          <w:szCs w:val="32"/>
        </w:rPr>
        <w:t>。主要变动原因项目减少，项目资金</w:t>
      </w:r>
      <w:r>
        <w:rPr>
          <w:rFonts w:hint="eastAsia" w:ascii="仿宋" w:hAnsi="仿宋" w:eastAsia="仿宋"/>
          <w:color w:val="000000"/>
          <w:sz w:val="32"/>
          <w:szCs w:val="32"/>
          <w:lang w:val="en-US" w:eastAsia="zh-CN"/>
        </w:rPr>
        <w:t>支出减少</w:t>
      </w:r>
      <w:r>
        <w:rPr>
          <w:rFonts w:hint="eastAsia" w:ascii="仿宋" w:hAnsi="仿宋" w:eastAsia="仿宋"/>
          <w:color w:val="000000"/>
          <w:sz w:val="32"/>
          <w:szCs w:val="32"/>
          <w:lang w:eastAsia="zh-CN"/>
        </w:rPr>
        <w:t>。</w:t>
      </w:r>
    </w:p>
    <w:p>
      <w:pPr>
        <w:jc w:val="center"/>
      </w:pPr>
      <w:r>
        <w:drawing>
          <wp:inline distT="0" distB="0" distL="114300" distR="114300">
            <wp:extent cx="4705350" cy="2113280"/>
            <wp:effectExtent l="4445" t="4445" r="14605" b="1587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pStyle w:val="4"/>
        <w:numPr>
          <w:ilvl w:val="0"/>
          <w:numId w:val="2"/>
        </w:numPr>
        <w:bidi w:val="0"/>
        <w:rPr>
          <w:rFonts w:hint="eastAsia"/>
        </w:rPr>
      </w:pPr>
      <w:bookmarkStart w:id="35" w:name="_Toc17546"/>
      <w:bookmarkStart w:id="36" w:name="_Toc15396604"/>
      <w:bookmarkStart w:id="37" w:name="_Toc79163611"/>
      <w:bookmarkStart w:id="38" w:name="_Toc15377206"/>
      <w:r>
        <w:rPr>
          <w:rFonts w:hint="eastAsia"/>
        </w:rPr>
        <w:t>收入决算情况说明</w:t>
      </w:r>
      <w:bookmarkEnd w:id="35"/>
      <w:bookmarkEnd w:id="36"/>
      <w:bookmarkEnd w:id="37"/>
      <w:bookmarkEnd w:id="38"/>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2022年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556.09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556.09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2"/>
        <w:jc w:val="center"/>
      </w:pPr>
      <w:r>
        <w:drawing>
          <wp:inline distT="0" distB="0" distL="114300" distR="114300">
            <wp:extent cx="4274820" cy="2369185"/>
            <wp:effectExtent l="4445" t="4445" r="6985" b="7620"/>
            <wp:docPr id="145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jc w:val="center"/>
        <w:rPr>
          <w:rFonts w:hint="eastAsia"/>
          <w:lang w:eastAsia="zh-CN"/>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pStyle w:val="4"/>
        <w:numPr>
          <w:ilvl w:val="0"/>
          <w:numId w:val="2"/>
        </w:numPr>
        <w:bidi w:val="0"/>
        <w:rPr>
          <w:rFonts w:hint="eastAsia"/>
        </w:rPr>
      </w:pPr>
      <w:bookmarkStart w:id="39" w:name="_Toc15377207"/>
      <w:bookmarkStart w:id="40" w:name="_Toc79163612"/>
      <w:bookmarkStart w:id="41" w:name="_Toc15396605"/>
      <w:bookmarkStart w:id="42" w:name="_Toc3404"/>
      <w:r>
        <w:rPr>
          <w:rFonts w:hint="eastAsia"/>
        </w:rPr>
        <w:t>支出决算情况说明</w:t>
      </w:r>
      <w:bookmarkEnd w:id="39"/>
      <w:bookmarkEnd w:id="40"/>
      <w:bookmarkEnd w:id="41"/>
      <w:bookmarkEnd w:id="42"/>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2022年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797.77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403.75</w:t>
      </w:r>
      <w:r>
        <w:rPr>
          <w:rFonts w:hint="eastAsia" w:ascii="仿宋" w:hAnsi="仿宋" w:eastAsia="仿宋"/>
          <w:color w:val="000000"/>
          <w:sz w:val="32"/>
          <w:szCs w:val="32"/>
        </w:rPr>
        <w:t>万元，占50.61%；项目支出</w:t>
      </w:r>
      <w:r>
        <w:rPr>
          <w:rFonts w:hint="eastAsia" w:ascii="仿宋" w:hAnsi="仿宋" w:eastAsia="仿宋"/>
          <w:color w:val="000000"/>
          <w:sz w:val="32"/>
          <w:szCs w:val="32"/>
          <w:lang w:val="en-US" w:eastAsia="zh-CN"/>
        </w:rPr>
        <w:t>394.02</w:t>
      </w:r>
      <w:r>
        <w:rPr>
          <w:rFonts w:hint="eastAsia" w:ascii="仿宋" w:hAnsi="仿宋" w:eastAsia="仿宋"/>
          <w:color w:val="000000"/>
          <w:sz w:val="32"/>
          <w:szCs w:val="32"/>
        </w:rPr>
        <w:t>万元，占49.39%</w:t>
      </w:r>
      <w:r>
        <w:rPr>
          <w:rFonts w:hint="eastAsia" w:ascii="仿宋" w:hAnsi="仿宋" w:eastAsia="仿宋"/>
          <w:color w:val="000000"/>
          <w:sz w:val="32"/>
          <w:szCs w:val="32"/>
          <w:lang w:val="en-US" w:eastAsia="zh-CN"/>
        </w:rPr>
        <w:t>。</w:t>
      </w:r>
    </w:p>
    <w:p>
      <w:pPr>
        <w:pStyle w:val="2"/>
      </w:pPr>
      <w:r>
        <w:rPr>
          <w:rFonts w:hint="eastAsia"/>
          <w:lang w:val="en-US" w:eastAsia="zh-CN"/>
        </w:rPr>
        <w:t xml:space="preserve">    </w:t>
      </w:r>
      <w:r>
        <w:drawing>
          <wp:inline distT="0" distB="0" distL="114300" distR="114300">
            <wp:extent cx="4285615" cy="2430145"/>
            <wp:effectExtent l="4445" t="4445" r="15240" b="22860"/>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37"/>
        <w:numPr>
          <w:ilvl w:val="0"/>
          <w:numId w:val="0"/>
        </w:numPr>
        <w:spacing w:line="600" w:lineRule="exact"/>
        <w:ind w:left="640" w:leftChars="0"/>
        <w:outlineLvl w:val="1"/>
        <w:rPr>
          <w:rStyle w:val="27"/>
          <w:rFonts w:hint="eastAsia" w:ascii="黑体" w:hAnsi="黑体" w:eastAsia="黑体"/>
          <w:b w:val="0"/>
          <w:sz w:val="36"/>
          <w:szCs w:val="36"/>
        </w:rPr>
      </w:pPr>
    </w:p>
    <w:p>
      <w:pPr>
        <w:pStyle w:val="4"/>
        <w:numPr>
          <w:ilvl w:val="0"/>
          <w:numId w:val="0"/>
        </w:numPr>
        <w:bidi w:val="0"/>
        <w:ind w:left="640" w:leftChars="0"/>
        <w:rPr>
          <w:rFonts w:hint="eastAsia"/>
        </w:rPr>
      </w:pPr>
      <w:bookmarkStart w:id="43" w:name="_Toc15377208"/>
      <w:bookmarkStart w:id="44" w:name="_Toc79163613"/>
      <w:bookmarkStart w:id="45" w:name="_Toc32328"/>
      <w:bookmarkStart w:id="46" w:name="_Toc15396606"/>
      <w:r>
        <w:rPr>
          <w:rFonts w:hint="eastAsia"/>
        </w:rPr>
        <w:t>四、财政拨款收入支出决算总体情况说明</w:t>
      </w:r>
      <w:bookmarkEnd w:id="43"/>
      <w:bookmarkEnd w:id="44"/>
      <w:bookmarkEnd w:id="45"/>
      <w:bookmarkEnd w:id="46"/>
    </w:p>
    <w:p>
      <w:pPr>
        <w:spacing w:line="600" w:lineRule="exact"/>
        <w:ind w:firstLine="640" w:firstLineChars="200"/>
        <w:rPr>
          <w:rFonts w:hint="eastAsia" w:ascii="仿宋" w:hAnsi="仿宋" w:eastAsia="仿宋"/>
          <w:color w:val="000000"/>
          <w:sz w:val="32"/>
          <w:szCs w:val="32"/>
        </w:rPr>
      </w:pPr>
      <w:r>
        <w:rPr>
          <w:rFonts w:hint="eastAsia" w:ascii="黑体" w:eastAsia="黑体"/>
          <w:color w:val="000000"/>
          <w:sz w:val="32"/>
          <w:szCs w:val="32"/>
          <w:lang w:val="en-US" w:eastAsia="zh-CN"/>
        </w:rPr>
        <w:t>2022年</w:t>
      </w:r>
      <w:r>
        <w:rPr>
          <w:rFonts w:hint="eastAsia" w:ascii="仿宋" w:hAnsi="仿宋" w:eastAsia="仿宋"/>
          <w:color w:val="000000"/>
          <w:sz w:val="32"/>
          <w:szCs w:val="32"/>
        </w:rPr>
        <w:t>财政拨款收</w:t>
      </w:r>
      <w:r>
        <w:rPr>
          <w:rFonts w:hint="eastAsia" w:ascii="仿宋" w:hAnsi="仿宋" w:eastAsia="仿宋"/>
          <w:color w:val="000000"/>
          <w:sz w:val="32"/>
          <w:szCs w:val="32"/>
          <w:lang w:val="en-US" w:eastAsia="zh-CN"/>
        </w:rPr>
        <w:t>入总计556.09万元，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797.77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2021年</w:t>
      </w:r>
      <w:r>
        <w:rPr>
          <w:rFonts w:hint="eastAsia" w:ascii="仿宋" w:hAnsi="仿宋" w:eastAsia="仿宋"/>
          <w:color w:val="000000"/>
          <w:sz w:val="32"/>
          <w:szCs w:val="32"/>
        </w:rPr>
        <w:t>相比，财政拨款</w:t>
      </w:r>
      <w:r>
        <w:rPr>
          <w:rFonts w:hint="eastAsia" w:ascii="仿宋" w:hAnsi="仿宋" w:eastAsia="仿宋"/>
          <w:color w:val="000000"/>
          <w:sz w:val="32"/>
          <w:szCs w:val="32"/>
          <w:lang w:val="en-US" w:eastAsia="zh-CN"/>
        </w:rPr>
        <w:t>收入总计减少443.89万元，下降44.39%。</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5.6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减少0.46%</w:t>
      </w:r>
      <w:r>
        <w:rPr>
          <w:rFonts w:hint="eastAsia" w:ascii="仿宋" w:hAnsi="仿宋" w:eastAsia="仿宋"/>
          <w:color w:val="000000"/>
          <w:sz w:val="32"/>
          <w:szCs w:val="32"/>
        </w:rPr>
        <w:t>。主要变动原因项目减少，</w:t>
      </w:r>
      <w:r>
        <w:rPr>
          <w:rFonts w:hint="eastAsia" w:ascii="仿宋" w:hAnsi="仿宋" w:eastAsia="仿宋"/>
          <w:color w:val="000000"/>
          <w:sz w:val="32"/>
          <w:szCs w:val="32"/>
          <w:lang w:val="en-US" w:eastAsia="zh-CN"/>
        </w:rPr>
        <w:t>导致</w:t>
      </w:r>
      <w:r>
        <w:rPr>
          <w:rFonts w:hint="eastAsia" w:ascii="仿宋" w:hAnsi="仿宋" w:eastAsia="仿宋"/>
          <w:color w:val="000000"/>
          <w:sz w:val="32"/>
          <w:szCs w:val="32"/>
        </w:rPr>
        <w:t>项目资金</w:t>
      </w:r>
      <w:r>
        <w:rPr>
          <w:rFonts w:hint="eastAsia" w:ascii="仿宋" w:hAnsi="仿宋" w:eastAsia="仿宋"/>
          <w:color w:val="000000"/>
          <w:sz w:val="32"/>
          <w:szCs w:val="32"/>
          <w:lang w:val="en-US" w:eastAsia="zh-CN"/>
        </w:rPr>
        <w:t>收支减少</w:t>
      </w:r>
      <w:r>
        <w:rPr>
          <w:rFonts w:hint="eastAsia" w:ascii="仿宋" w:hAnsi="仿宋" w:eastAsia="仿宋"/>
          <w:color w:val="000000"/>
          <w:sz w:val="32"/>
          <w:szCs w:val="32"/>
        </w:rPr>
        <w:t>。</w:t>
      </w:r>
    </w:p>
    <w:p>
      <w:pPr>
        <w:pStyle w:val="2"/>
      </w:pPr>
      <w:r>
        <w:rPr>
          <w:rFonts w:hint="eastAsia"/>
          <w:lang w:val="en-US" w:eastAsia="zh-CN"/>
        </w:rPr>
        <w:t xml:space="preserve">    </w:t>
      </w:r>
      <w:r>
        <w:drawing>
          <wp:inline distT="0" distB="0" distL="114300" distR="114300">
            <wp:extent cx="4378325" cy="2441575"/>
            <wp:effectExtent l="4445" t="4445" r="17780" b="11430"/>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413885" cy="2237740"/>
            <wp:effectExtent l="4445" t="4445" r="20320" b="5715"/>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2"/>
        <w:rPr>
          <w:rFonts w:hint="eastAsia" w:ascii="仿宋" w:hAnsi="仿宋" w:eastAsia="仿宋"/>
          <w:b/>
          <w:color w:val="00B050"/>
          <w:sz w:val="32"/>
          <w:szCs w:val="32"/>
          <w:lang w:eastAsia="zh-CN"/>
        </w:rPr>
      </w:pPr>
    </w:p>
    <w:p>
      <w:pPr>
        <w:pStyle w:val="4"/>
        <w:numPr>
          <w:ilvl w:val="0"/>
          <w:numId w:val="0"/>
        </w:numPr>
        <w:bidi w:val="0"/>
        <w:ind w:left="640" w:leftChars="0"/>
        <w:rPr>
          <w:rFonts w:hint="eastAsia"/>
        </w:rPr>
      </w:pPr>
      <w:bookmarkStart w:id="47" w:name="_Toc15377209"/>
      <w:bookmarkStart w:id="48" w:name="_Toc21563"/>
      <w:bookmarkStart w:id="49" w:name="_Toc15396607"/>
      <w:bookmarkStart w:id="50" w:name="_Toc79163614"/>
      <w:r>
        <w:rPr>
          <w:rFonts w:hint="eastAsia"/>
          <w:lang w:val="en-US" w:eastAsia="zh-CN"/>
        </w:rPr>
        <w:t>五、一般公共预算财政拨款支出决算情况说明</w:t>
      </w:r>
      <w:bookmarkEnd w:id="47"/>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30621"/>
      <w:bookmarkStart w:id="52" w:name="_Toc20542"/>
      <w:bookmarkStart w:id="53" w:name="_Toc79163615"/>
      <w:bookmarkStart w:id="54" w:name="_Toc15377210"/>
      <w:r>
        <w:rPr>
          <w:rFonts w:hint="eastAsia" w:ascii="仿宋" w:hAnsi="仿宋" w:eastAsia="仿宋"/>
          <w:b/>
          <w:color w:val="000000"/>
          <w:sz w:val="32"/>
          <w:szCs w:val="32"/>
        </w:rPr>
        <w:t>（一）一般公共预算财政拨款支出决算总体情况</w:t>
      </w:r>
      <w:bookmarkEnd w:id="51"/>
      <w:bookmarkEnd w:id="52"/>
      <w:bookmarkEnd w:id="53"/>
      <w:bookmarkEnd w:id="54"/>
    </w:p>
    <w:p>
      <w:pPr>
        <w:spacing w:line="600" w:lineRule="exact"/>
        <w:ind w:firstLine="640" w:firstLineChars="200"/>
        <w:rPr>
          <w:rFonts w:hint="default" w:ascii="仿宋" w:hAnsi="仿宋" w:eastAsia="仿宋"/>
          <w:color w:val="000000"/>
          <w:sz w:val="32"/>
          <w:szCs w:val="32"/>
          <w:lang w:val="en-US" w:eastAsia="zh-CN"/>
        </w:rPr>
      </w:pPr>
      <w:bookmarkStart w:id="55" w:name="_Toc15377211"/>
      <w:bookmarkStart w:id="56" w:name="_Toc79163616"/>
      <w:r>
        <w:rPr>
          <w:rFonts w:hint="eastAsia" w:ascii="仿宋_GB2312" w:eastAsia="仿宋_GB2312"/>
          <w:color w:val="000000"/>
          <w:sz w:val="32"/>
          <w:szCs w:val="32"/>
          <w:lang w:val="en-US"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797.77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2021年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减少416.48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下降34.30%</w:t>
      </w:r>
      <w:r>
        <w:rPr>
          <w:rFonts w:hint="eastAsia" w:ascii="仿宋" w:hAnsi="仿宋" w:eastAsia="仿宋"/>
          <w:color w:val="000000"/>
          <w:sz w:val="32"/>
          <w:szCs w:val="32"/>
        </w:rPr>
        <w:t>。主要变动原因项目减少，</w:t>
      </w:r>
      <w:r>
        <w:rPr>
          <w:rFonts w:hint="eastAsia" w:ascii="仿宋" w:hAnsi="仿宋" w:eastAsia="仿宋"/>
          <w:color w:val="000000"/>
          <w:sz w:val="32"/>
          <w:szCs w:val="32"/>
          <w:lang w:val="en-US" w:eastAsia="zh-CN"/>
        </w:rPr>
        <w:t>导致</w:t>
      </w:r>
      <w:r>
        <w:rPr>
          <w:rFonts w:hint="eastAsia" w:ascii="仿宋" w:hAnsi="仿宋" w:eastAsia="仿宋"/>
          <w:color w:val="000000"/>
          <w:sz w:val="32"/>
          <w:szCs w:val="32"/>
        </w:rPr>
        <w:t>项目资金</w:t>
      </w:r>
      <w:r>
        <w:rPr>
          <w:rFonts w:hint="eastAsia" w:ascii="仿宋" w:hAnsi="仿宋" w:eastAsia="仿宋"/>
          <w:color w:val="000000"/>
          <w:sz w:val="32"/>
          <w:szCs w:val="32"/>
          <w:lang w:val="en-US" w:eastAsia="zh-CN"/>
        </w:rPr>
        <w:t>支出减少。</w:t>
      </w:r>
    </w:p>
    <w:p>
      <w:pPr>
        <w:pStyle w:val="2"/>
        <w:jc w:val="left"/>
      </w:pPr>
      <w:r>
        <w:drawing>
          <wp:inline distT="0" distB="0" distL="114300" distR="114300">
            <wp:extent cx="4503420" cy="2508885"/>
            <wp:effectExtent l="4445" t="4445" r="6985" b="2032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ind w:left="0" w:leftChars="0" w:firstLine="0" w:firstLineChars="0"/>
        <w:jc w:val="left"/>
        <w:rPr>
          <w:rFonts w:hint="eastAsia"/>
          <w:lang w:val="en-US" w:eastAsia="zh-CN"/>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柱状图）</w:t>
      </w:r>
    </w:p>
    <w:p>
      <w:pPr>
        <w:spacing w:line="600" w:lineRule="exact"/>
        <w:ind w:firstLine="643" w:firstLineChars="200"/>
        <w:outlineLvl w:val="2"/>
        <w:rPr>
          <w:rFonts w:ascii="仿宋" w:hAnsi="仿宋" w:eastAsia="仿宋"/>
          <w:b/>
          <w:color w:val="000000"/>
          <w:sz w:val="32"/>
          <w:szCs w:val="32"/>
        </w:rPr>
      </w:pPr>
      <w:bookmarkStart w:id="57" w:name="_Toc32247"/>
      <w:bookmarkStart w:id="58" w:name="_Toc7373"/>
      <w:r>
        <w:rPr>
          <w:rFonts w:hint="eastAsia" w:ascii="仿宋" w:hAnsi="仿宋" w:eastAsia="仿宋"/>
          <w:b/>
          <w:color w:val="000000"/>
          <w:sz w:val="32"/>
          <w:szCs w:val="32"/>
        </w:rPr>
        <w:t>（二）一般公共预算财政拨款支出决算结构情况</w:t>
      </w:r>
      <w:bookmarkEnd w:id="55"/>
      <w:bookmarkEnd w:id="56"/>
      <w:bookmarkEnd w:id="57"/>
      <w:bookmarkEnd w:id="58"/>
    </w:p>
    <w:p>
      <w:pPr>
        <w:ind w:firstLine="640" w:firstLineChars="200"/>
        <w:rPr>
          <w:rFonts w:hint="eastAsia" w:ascii="仿宋_GB2312" w:eastAsia="仿宋_GB2312"/>
          <w:color w:val="000000"/>
          <w:sz w:val="32"/>
          <w:szCs w:val="32"/>
          <w:highlight w:val="none"/>
          <w:lang w:eastAsia="zh-CN"/>
        </w:rPr>
      </w:pPr>
      <w:r>
        <w:rPr>
          <w:rFonts w:hint="eastAsia" w:ascii="仿宋" w:hAnsi="仿宋" w:eastAsia="仿宋"/>
          <w:color w:val="000000"/>
          <w:sz w:val="32"/>
          <w:szCs w:val="32"/>
          <w:highlight w:val="none"/>
          <w:lang w:val="en-US" w:eastAsia="zh-CN"/>
        </w:rPr>
        <w:t>2022年</w:t>
      </w:r>
      <w:r>
        <w:rPr>
          <w:rFonts w:hint="eastAsia" w:ascii="仿宋" w:hAnsi="仿宋" w:eastAsia="仿宋"/>
          <w:color w:val="000000"/>
          <w:sz w:val="32"/>
          <w:szCs w:val="32"/>
          <w:highlight w:val="none"/>
        </w:rPr>
        <w:t>一般公共预算财</w:t>
      </w:r>
      <w:r>
        <w:rPr>
          <w:rFonts w:hint="eastAsia" w:ascii="仿宋" w:hAnsi="仿宋" w:eastAsia="仿宋"/>
          <w:color w:val="000000" w:themeColor="text1"/>
          <w:sz w:val="32"/>
          <w:szCs w:val="32"/>
          <w:highlight w:val="none"/>
          <w14:textFill>
            <w14:solidFill>
              <w14:schemeClr w14:val="tx1"/>
            </w14:solidFill>
          </w14:textFill>
        </w:rPr>
        <w:t>政拨款支出</w:t>
      </w:r>
      <w:r>
        <w:rPr>
          <w:rFonts w:hint="eastAsia" w:ascii="仿宋" w:hAnsi="仿宋" w:eastAsia="仿宋"/>
          <w:color w:val="000000" w:themeColor="text1"/>
          <w:sz w:val="32"/>
          <w:szCs w:val="32"/>
          <w:highlight w:val="none"/>
          <w:lang w:val="en-US" w:eastAsia="zh-CN"/>
          <w14:textFill>
            <w14:solidFill>
              <w14:schemeClr w14:val="tx1"/>
            </w14:solidFill>
          </w14:textFill>
        </w:rPr>
        <w:t>797.77</w:t>
      </w:r>
      <w:r>
        <w:rPr>
          <w:rFonts w:hint="eastAsia" w:ascii="仿宋" w:hAnsi="仿宋" w:eastAsia="仿宋"/>
          <w:color w:val="000000" w:themeColor="text1"/>
          <w:sz w:val="32"/>
          <w:szCs w:val="32"/>
          <w:highlight w:val="none"/>
          <w14:textFill>
            <w14:solidFill>
              <w14:schemeClr w14:val="tx1"/>
            </w14:solidFill>
          </w14:textFill>
        </w:rPr>
        <w:t>万元，主要用于以下方面</w:t>
      </w:r>
      <w:r>
        <w:rPr>
          <w:rFonts w:ascii="仿宋" w:hAnsi="仿宋" w:eastAsia="仿宋"/>
          <w:color w:val="000000" w:themeColor="text1"/>
          <w:sz w:val="32"/>
          <w:szCs w:val="32"/>
          <w:highlight w:val="none"/>
          <w14:textFill>
            <w14:solidFill>
              <w14:schemeClr w14:val="tx1"/>
            </w14:solidFill>
          </w14:textFill>
        </w:rPr>
        <w:t>:</w:t>
      </w:r>
      <w:r>
        <w:rPr>
          <w:rFonts w:hint="eastAsia" w:ascii="仿宋_GB2312" w:eastAsia="仿宋_GB2312"/>
          <w:b/>
          <w:bCs/>
          <w:color w:val="000000"/>
          <w:sz w:val="32"/>
          <w:szCs w:val="32"/>
          <w:highlight w:val="none"/>
        </w:rPr>
        <w:t>一般公共服务支出</w:t>
      </w:r>
      <w:r>
        <w:rPr>
          <w:rFonts w:hint="eastAsia" w:ascii="仿宋_GB2312" w:eastAsia="仿宋_GB2312"/>
          <w:color w:val="000000"/>
          <w:sz w:val="32"/>
          <w:szCs w:val="32"/>
          <w:highlight w:val="none"/>
          <w:lang w:val="en-US" w:eastAsia="zh-CN"/>
        </w:rPr>
        <w:t>607.82</w:t>
      </w:r>
      <w:r>
        <w:rPr>
          <w:rFonts w:hint="eastAsia" w:ascii="仿宋_GB2312" w:eastAsia="仿宋_GB2312"/>
          <w:color w:val="000000"/>
          <w:sz w:val="32"/>
          <w:szCs w:val="32"/>
          <w:highlight w:val="none"/>
        </w:rPr>
        <w:t>万元，占76.19%；</w:t>
      </w:r>
      <w:r>
        <w:rPr>
          <w:rFonts w:hint="eastAsia" w:ascii="仿宋_GB2312" w:eastAsia="仿宋_GB2312"/>
          <w:b/>
          <w:bCs/>
          <w:color w:val="000000"/>
          <w:sz w:val="32"/>
          <w:szCs w:val="32"/>
          <w:highlight w:val="none"/>
        </w:rPr>
        <w:t>公共安全支出</w:t>
      </w:r>
      <w:r>
        <w:rPr>
          <w:rFonts w:hint="eastAsia" w:ascii="仿宋_GB2312" w:eastAsia="仿宋_GB2312"/>
          <w:color w:val="000000"/>
          <w:sz w:val="32"/>
          <w:szCs w:val="32"/>
          <w:highlight w:val="none"/>
          <w:lang w:val="en-US" w:eastAsia="zh-CN"/>
        </w:rPr>
        <w:t>76.34</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5.85%</w:t>
      </w:r>
      <w:r>
        <w:rPr>
          <w:rFonts w:hint="eastAsia" w:ascii="仿宋_GB2312" w:eastAsia="仿宋_GB2312"/>
          <w:color w:val="000000"/>
          <w:sz w:val="32"/>
          <w:szCs w:val="32"/>
          <w:highlight w:val="none"/>
        </w:rPr>
        <w:t>；</w:t>
      </w:r>
      <w:r>
        <w:rPr>
          <w:rFonts w:hint="eastAsia" w:ascii="仿宋_GB2312" w:eastAsia="仿宋_GB2312"/>
          <w:b/>
          <w:bCs/>
          <w:color w:val="000000"/>
          <w:sz w:val="32"/>
          <w:szCs w:val="32"/>
          <w:highlight w:val="none"/>
        </w:rPr>
        <w:t>社会保障和就业支出</w:t>
      </w:r>
      <w:r>
        <w:rPr>
          <w:rFonts w:hint="eastAsia" w:ascii="仿宋_GB2312" w:eastAsia="仿宋_GB2312"/>
          <w:color w:val="000000"/>
          <w:sz w:val="32"/>
          <w:szCs w:val="32"/>
          <w:highlight w:val="none"/>
          <w:lang w:val="en-US" w:eastAsia="zh-CN"/>
        </w:rPr>
        <w:t>47.21</w:t>
      </w:r>
      <w:r>
        <w:rPr>
          <w:rFonts w:hint="eastAsia" w:ascii="仿宋_GB2312" w:eastAsia="仿宋_GB2312"/>
          <w:color w:val="000000"/>
          <w:sz w:val="32"/>
          <w:szCs w:val="32"/>
          <w:highlight w:val="none"/>
        </w:rPr>
        <w:t>万元，占5.92%；</w:t>
      </w:r>
      <w:r>
        <w:rPr>
          <w:rFonts w:hint="eastAsia" w:ascii="仿宋_GB2312" w:eastAsia="仿宋_GB2312"/>
          <w:b/>
          <w:bCs/>
          <w:color w:val="000000"/>
          <w:sz w:val="32"/>
          <w:szCs w:val="32"/>
          <w:highlight w:val="none"/>
        </w:rPr>
        <w:t>卫生健康支出</w:t>
      </w:r>
      <w:r>
        <w:rPr>
          <w:rFonts w:hint="eastAsia" w:ascii="仿宋_GB2312" w:eastAsia="仿宋_GB2312"/>
          <w:color w:val="000000"/>
          <w:sz w:val="32"/>
          <w:szCs w:val="32"/>
          <w:highlight w:val="none"/>
          <w:lang w:val="en-US" w:eastAsia="zh-CN"/>
        </w:rPr>
        <w:t>28.13</w:t>
      </w:r>
      <w:r>
        <w:rPr>
          <w:rFonts w:hint="eastAsia" w:ascii="仿宋_GB2312" w:eastAsia="仿宋_GB2312"/>
          <w:color w:val="000000"/>
          <w:sz w:val="32"/>
          <w:szCs w:val="32"/>
          <w:highlight w:val="none"/>
        </w:rPr>
        <w:t>万元，占3.53%</w:t>
      </w:r>
      <w:r>
        <w:rPr>
          <w:rFonts w:hint="eastAsia" w:ascii="仿宋_GB2312" w:eastAsia="仿宋_GB2312"/>
          <w:color w:val="000000"/>
          <w:sz w:val="32"/>
          <w:szCs w:val="32"/>
          <w:highlight w:val="none"/>
          <w:lang w:eastAsia="zh-CN"/>
        </w:rPr>
        <w:t>；</w:t>
      </w:r>
      <w:r>
        <w:rPr>
          <w:rFonts w:hint="eastAsia" w:ascii="仿宋_GB2312" w:eastAsia="仿宋_GB2312"/>
          <w:b/>
          <w:bCs/>
          <w:color w:val="000000"/>
          <w:sz w:val="32"/>
          <w:szCs w:val="32"/>
          <w:highlight w:val="none"/>
        </w:rPr>
        <w:t>农林水支出</w:t>
      </w:r>
      <w:r>
        <w:rPr>
          <w:rFonts w:hint="eastAsia" w:ascii="仿宋_GB2312" w:eastAsia="仿宋_GB2312"/>
          <w:color w:val="000000"/>
          <w:sz w:val="32"/>
          <w:szCs w:val="32"/>
          <w:highlight w:val="none"/>
        </w:rPr>
        <w:t>87.70</w:t>
      </w:r>
      <w:r>
        <w:rPr>
          <w:rFonts w:hint="eastAsia" w:ascii="仿宋_GB2312" w:eastAsia="仿宋_GB2312"/>
          <w:color w:val="000000"/>
          <w:sz w:val="32"/>
          <w:szCs w:val="32"/>
          <w:highlight w:val="none"/>
          <w:lang w:val="en-US" w:eastAsia="zh-CN"/>
        </w:rPr>
        <w:t>万元，</w:t>
      </w:r>
      <w:r>
        <w:rPr>
          <w:rFonts w:hint="eastAsia" w:ascii="仿宋_GB2312" w:eastAsia="仿宋_GB2312"/>
          <w:color w:val="000000"/>
          <w:sz w:val="32"/>
          <w:szCs w:val="32"/>
          <w:highlight w:val="none"/>
        </w:rPr>
        <w:t>占10.99%</w:t>
      </w:r>
      <w:r>
        <w:rPr>
          <w:rFonts w:hint="eastAsia" w:ascii="仿宋_GB2312" w:eastAsia="仿宋_GB2312"/>
          <w:color w:val="000000"/>
          <w:sz w:val="32"/>
          <w:szCs w:val="32"/>
          <w:highlight w:val="none"/>
          <w:lang w:eastAsia="zh-CN"/>
        </w:rPr>
        <w:t>；</w:t>
      </w:r>
      <w:r>
        <w:rPr>
          <w:rFonts w:hint="eastAsia" w:ascii="仿宋_GB2312" w:eastAsia="仿宋_GB2312"/>
          <w:b/>
          <w:bCs/>
          <w:color w:val="000000"/>
          <w:sz w:val="32"/>
          <w:szCs w:val="32"/>
          <w:highlight w:val="none"/>
          <w:lang w:eastAsia="zh-CN"/>
        </w:rPr>
        <w:t>住房保障支出</w:t>
      </w:r>
      <w:r>
        <w:rPr>
          <w:rFonts w:hint="eastAsia" w:ascii="仿宋_GB2312" w:eastAsia="仿宋_GB2312"/>
          <w:color w:val="000000"/>
          <w:sz w:val="32"/>
          <w:szCs w:val="32"/>
          <w:highlight w:val="none"/>
          <w:lang w:eastAsia="zh-CN"/>
        </w:rPr>
        <w:t>26.92</w:t>
      </w:r>
      <w:r>
        <w:rPr>
          <w:rFonts w:hint="eastAsia" w:ascii="仿宋_GB2312" w:eastAsia="仿宋_GB2312"/>
          <w:color w:val="000000"/>
          <w:sz w:val="32"/>
          <w:szCs w:val="32"/>
          <w:highlight w:val="none"/>
          <w:lang w:val="en-US" w:eastAsia="zh-CN"/>
        </w:rPr>
        <w:t>万元，</w:t>
      </w:r>
      <w:r>
        <w:rPr>
          <w:rFonts w:hint="eastAsia" w:ascii="仿宋_GB2312" w:eastAsia="仿宋_GB2312"/>
          <w:color w:val="000000"/>
          <w:sz w:val="32"/>
          <w:szCs w:val="32"/>
          <w:highlight w:val="none"/>
        </w:rPr>
        <w:t>占</w:t>
      </w:r>
      <w:r>
        <w:rPr>
          <w:rFonts w:hint="eastAsia" w:ascii="仿宋_GB2312" w:eastAsia="仿宋_GB2312"/>
          <w:color w:val="000000"/>
          <w:sz w:val="32"/>
          <w:szCs w:val="32"/>
          <w:highlight w:val="none"/>
          <w:lang w:val="en-US" w:eastAsia="zh-CN"/>
        </w:rPr>
        <w:t>3.73%</w:t>
      </w:r>
      <w:r>
        <w:rPr>
          <w:rFonts w:hint="eastAsia" w:ascii="仿宋_GB2312" w:eastAsia="仿宋_GB2312"/>
          <w:color w:val="000000"/>
          <w:sz w:val="32"/>
          <w:szCs w:val="32"/>
          <w:highlight w:val="none"/>
          <w:lang w:eastAsia="zh-CN"/>
        </w:rPr>
        <w:t>。</w:t>
      </w:r>
    </w:p>
    <w:p>
      <w:pPr>
        <w:pStyle w:val="2"/>
      </w:pPr>
      <w:r>
        <w:drawing>
          <wp:inline distT="0" distB="0" distL="114300" distR="114300">
            <wp:extent cx="4326255" cy="2688590"/>
            <wp:effectExtent l="4445" t="4445" r="12700" b="12065"/>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rPr>
          <w:rFonts w:hint="eastAsia"/>
          <w:lang w:val="en-US" w:eastAsia="zh-CN"/>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59" w:name="_Toc14551"/>
      <w:bookmarkStart w:id="60" w:name="_Toc15377212"/>
      <w:bookmarkStart w:id="61" w:name="_Toc8252"/>
      <w:bookmarkStart w:id="62" w:name="_Toc79163617"/>
      <w:r>
        <w:rPr>
          <w:rFonts w:hint="eastAsia" w:ascii="仿宋" w:hAnsi="仿宋" w:eastAsia="仿宋"/>
          <w:b/>
          <w:color w:val="000000"/>
          <w:sz w:val="32"/>
          <w:szCs w:val="32"/>
        </w:rPr>
        <w:t>（三）一般公共预算财政拨款支出决算具体情况</w:t>
      </w:r>
      <w:bookmarkEnd w:id="59"/>
      <w:bookmarkEnd w:id="60"/>
      <w:bookmarkEnd w:id="61"/>
      <w:bookmarkEnd w:id="62"/>
    </w:p>
    <w:p>
      <w:pPr>
        <w:spacing w:line="600" w:lineRule="exact"/>
        <w:ind w:firstLine="643" w:firstLineChars="200"/>
        <w:rPr>
          <w:rFonts w:ascii="仿宋_GB2312" w:eastAsia="仿宋_GB2312"/>
          <w:b/>
          <w:bCs/>
          <w:sz w:val="32"/>
          <w:szCs w:val="32"/>
        </w:rPr>
      </w:pPr>
      <w:bookmarkStart w:id="63" w:name="_Toc15377213"/>
      <w:bookmarkStart w:id="64" w:name="_Toc15377444"/>
      <w:bookmarkStart w:id="65" w:name="_Toc15378460"/>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797.77</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3"/>
      <w:bookmarkEnd w:id="64"/>
      <w:bookmarkEnd w:id="65"/>
    </w:p>
    <w:p>
      <w:pPr>
        <w:spacing w:line="600" w:lineRule="exact"/>
        <w:ind w:firstLine="643" w:firstLineChars="200"/>
        <w:rPr>
          <w:rStyle w:val="24"/>
          <w:rFonts w:hint="eastAsia" w:ascii="仿宋" w:hAnsi="仿宋" w:eastAsia="仿宋"/>
          <w:b w:val="0"/>
          <w:bCs/>
          <w:color w:val="000000"/>
          <w:sz w:val="32"/>
          <w:szCs w:val="32"/>
        </w:rPr>
      </w:pPr>
      <w:r>
        <w:rPr>
          <w:rStyle w:val="24"/>
          <w:rFonts w:ascii="仿宋" w:hAnsi="仿宋" w:eastAsia="仿宋"/>
          <w:bCs/>
          <w:color w:val="000000"/>
          <w:sz w:val="32"/>
          <w:szCs w:val="32"/>
        </w:rPr>
        <w:t>1.</w:t>
      </w:r>
      <w:r>
        <w:rPr>
          <w:rStyle w:val="24"/>
          <w:rFonts w:hint="eastAsia" w:ascii="仿宋" w:hAnsi="仿宋" w:eastAsia="仿宋"/>
          <w:bCs/>
          <w:color w:val="000000"/>
          <w:sz w:val="32"/>
          <w:szCs w:val="32"/>
        </w:rPr>
        <w:t>一般公共服务（201）民族事务（20123）行政运行（2012301）</w:t>
      </w:r>
      <w:r>
        <w:rPr>
          <w:rStyle w:val="24"/>
          <w:rFonts w:hint="eastAsia" w:ascii="仿宋" w:hAnsi="仿宋" w:eastAsia="仿宋"/>
          <w:b w:val="0"/>
          <w:bCs/>
          <w:color w:val="000000"/>
          <w:sz w:val="32"/>
          <w:szCs w:val="32"/>
        </w:rPr>
        <w:t>支出决算为237.10万元，完成预算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2</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一般公共服务（201）民族事务（20123）一般行政管理事务（201230</w:t>
      </w:r>
      <w:r>
        <w:rPr>
          <w:rStyle w:val="24"/>
          <w:rFonts w:hint="eastAsia" w:ascii="仿宋" w:hAnsi="仿宋" w:eastAsia="仿宋"/>
          <w:bCs/>
          <w:color w:val="000000"/>
          <w:sz w:val="32"/>
          <w:szCs w:val="32"/>
          <w:lang w:val="en-US" w:eastAsia="zh-CN"/>
        </w:rPr>
        <w:t>2</w:t>
      </w:r>
      <w:r>
        <w:rPr>
          <w:rStyle w:val="24"/>
          <w:rFonts w:hint="eastAsia" w:ascii="仿宋" w:hAnsi="仿宋" w:eastAsia="仿宋"/>
          <w:bCs/>
          <w:color w:val="000000"/>
          <w:sz w:val="32"/>
          <w:szCs w:val="32"/>
        </w:rPr>
        <w:t>）</w:t>
      </w:r>
      <w:r>
        <w:rPr>
          <w:rStyle w:val="24"/>
          <w:rFonts w:hint="eastAsia" w:ascii="仿宋" w:hAnsi="仿宋" w:eastAsia="仿宋"/>
          <w:b w:val="0"/>
          <w:bCs/>
          <w:color w:val="000000"/>
          <w:sz w:val="32"/>
          <w:szCs w:val="32"/>
        </w:rPr>
        <w:t>支出决算为47.37万元，完成预算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3</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一般公共服务（201）民族事务（20123）民族工作专项（201230</w:t>
      </w:r>
      <w:r>
        <w:rPr>
          <w:rStyle w:val="24"/>
          <w:rFonts w:hint="eastAsia" w:ascii="仿宋" w:hAnsi="仿宋" w:eastAsia="仿宋"/>
          <w:bCs/>
          <w:color w:val="000000"/>
          <w:sz w:val="32"/>
          <w:szCs w:val="32"/>
          <w:lang w:val="en-US" w:eastAsia="zh-CN"/>
        </w:rPr>
        <w:t>4</w:t>
      </w:r>
      <w:r>
        <w:rPr>
          <w:rStyle w:val="24"/>
          <w:rFonts w:hint="eastAsia" w:ascii="仿宋" w:hAnsi="仿宋" w:eastAsia="仿宋"/>
          <w:bCs/>
          <w:color w:val="000000"/>
          <w:sz w:val="32"/>
          <w:szCs w:val="32"/>
        </w:rPr>
        <w:t>）</w:t>
      </w:r>
      <w:r>
        <w:rPr>
          <w:rStyle w:val="24"/>
          <w:rFonts w:hint="eastAsia" w:ascii="仿宋" w:hAnsi="仿宋" w:eastAsia="仿宋"/>
          <w:b w:val="0"/>
          <w:bCs/>
          <w:color w:val="000000"/>
          <w:sz w:val="32"/>
          <w:szCs w:val="32"/>
        </w:rPr>
        <w:t>支出决算为0.37万元，完成预算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Fonts w:hint="eastAsia" w:ascii="仿宋" w:hAnsi="仿宋" w:eastAsia="仿宋"/>
          <w:b/>
          <w:color w:val="000000"/>
          <w:sz w:val="32"/>
          <w:szCs w:val="32"/>
          <w:lang w:eastAsia="zh-CN"/>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一般公共服务（201）民族事务（20123）</w:t>
      </w:r>
      <w:r>
        <w:rPr>
          <w:rStyle w:val="24"/>
          <w:rFonts w:hint="eastAsia" w:ascii="仿宋" w:hAnsi="仿宋" w:eastAsia="仿宋"/>
          <w:bCs/>
          <w:color w:val="000000"/>
          <w:sz w:val="32"/>
          <w:szCs w:val="32"/>
          <w:lang w:val="en-US" w:eastAsia="zh-CN"/>
        </w:rPr>
        <w:t>事业</w:t>
      </w:r>
      <w:r>
        <w:rPr>
          <w:rStyle w:val="24"/>
          <w:rFonts w:hint="eastAsia" w:ascii="仿宋" w:hAnsi="仿宋" w:eastAsia="仿宋"/>
          <w:bCs/>
          <w:color w:val="000000"/>
          <w:sz w:val="32"/>
          <w:szCs w:val="32"/>
        </w:rPr>
        <w:t>运行（20123</w:t>
      </w:r>
      <w:r>
        <w:rPr>
          <w:rStyle w:val="24"/>
          <w:rFonts w:hint="eastAsia" w:ascii="仿宋" w:hAnsi="仿宋" w:eastAsia="仿宋"/>
          <w:bCs/>
          <w:color w:val="000000"/>
          <w:sz w:val="32"/>
          <w:szCs w:val="32"/>
          <w:lang w:val="en-US" w:eastAsia="zh-CN"/>
        </w:rPr>
        <w:t>50</w:t>
      </w:r>
      <w:r>
        <w:rPr>
          <w:rStyle w:val="24"/>
          <w:rFonts w:hint="eastAsia"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支出决算为74.37万元，完成预算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5</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一般公共服务（201）民族事务（20123）</w:t>
      </w:r>
      <w:r>
        <w:rPr>
          <w:rStyle w:val="24"/>
          <w:rFonts w:hint="eastAsia" w:ascii="仿宋" w:hAnsi="仿宋" w:eastAsia="仿宋"/>
          <w:bCs/>
          <w:color w:val="000000"/>
          <w:sz w:val="32"/>
          <w:szCs w:val="32"/>
          <w:lang w:val="en-US" w:eastAsia="zh-CN"/>
        </w:rPr>
        <w:t>其他民族事务支出</w:t>
      </w:r>
      <w:r>
        <w:rPr>
          <w:rStyle w:val="24"/>
          <w:rFonts w:hint="eastAsia" w:ascii="仿宋" w:hAnsi="仿宋" w:eastAsia="仿宋"/>
          <w:bCs/>
          <w:color w:val="000000"/>
          <w:sz w:val="32"/>
          <w:szCs w:val="32"/>
        </w:rPr>
        <w:t>（20123</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支出决算为94.60万元</w:t>
      </w:r>
      <w:r>
        <w:rPr>
          <w:rStyle w:val="24"/>
          <w:rFonts w:hint="eastAsia" w:ascii="仿宋" w:hAnsi="仿宋" w:eastAsia="仿宋"/>
          <w:b w:val="0"/>
          <w:bCs/>
          <w:color w:val="000000"/>
          <w:sz w:val="32"/>
          <w:szCs w:val="32"/>
          <w:lang w:eastAsia="zh-CN"/>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一般公共服务（201）统战事务（2013</w:t>
      </w:r>
      <w:r>
        <w:rPr>
          <w:rStyle w:val="24"/>
          <w:rFonts w:hint="eastAsia" w:ascii="仿宋" w:hAnsi="仿宋" w:eastAsia="仿宋"/>
          <w:bCs/>
          <w:color w:val="000000"/>
          <w:sz w:val="32"/>
          <w:szCs w:val="32"/>
          <w:lang w:val="en-US" w:eastAsia="zh-CN"/>
        </w:rPr>
        <w:t>4</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宗教事务</w:t>
      </w:r>
      <w:r>
        <w:rPr>
          <w:rStyle w:val="24"/>
          <w:rFonts w:hint="eastAsia" w:ascii="仿宋" w:hAnsi="仿宋" w:eastAsia="仿宋"/>
          <w:bCs/>
          <w:color w:val="000000"/>
          <w:sz w:val="32"/>
          <w:szCs w:val="32"/>
        </w:rPr>
        <w:t>（2013404）</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支出决算为99.06万元，完成预算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hint="eastAsia" w:ascii="仿宋" w:hAnsi="仿宋" w:eastAsia="仿宋"/>
          <w:b/>
          <w:color w:val="000000"/>
          <w:sz w:val="32"/>
          <w:szCs w:val="32"/>
          <w:lang w:eastAsia="zh-CN"/>
        </w:rPr>
      </w:pPr>
      <w:r>
        <w:rPr>
          <w:rStyle w:val="24"/>
          <w:rFonts w:hint="eastAsia" w:ascii="仿宋" w:hAnsi="仿宋" w:eastAsia="仿宋"/>
          <w:bCs/>
          <w:color w:val="000000"/>
          <w:sz w:val="32"/>
          <w:szCs w:val="32"/>
          <w:lang w:val="en-US" w:eastAsia="zh-CN"/>
        </w:rPr>
        <w:t>7</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一般公共服务（201）统战事务（2012</w:t>
      </w:r>
      <w:r>
        <w:rPr>
          <w:rStyle w:val="24"/>
          <w:rFonts w:hint="eastAsia" w:ascii="仿宋" w:hAnsi="仿宋" w:eastAsia="仿宋"/>
          <w:bCs/>
          <w:color w:val="000000"/>
          <w:sz w:val="32"/>
          <w:szCs w:val="32"/>
          <w:lang w:val="en-US" w:eastAsia="zh-CN"/>
        </w:rPr>
        <w:t>4</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其他统战事务支出</w:t>
      </w:r>
      <w:r>
        <w:rPr>
          <w:rStyle w:val="24"/>
          <w:rFonts w:hint="eastAsia" w:ascii="仿宋" w:hAnsi="仿宋" w:eastAsia="仿宋"/>
          <w:bCs/>
          <w:color w:val="000000"/>
          <w:sz w:val="32"/>
          <w:szCs w:val="32"/>
        </w:rPr>
        <w:t>（2012</w:t>
      </w:r>
      <w:r>
        <w:rPr>
          <w:rStyle w:val="24"/>
          <w:rFonts w:hint="eastAsia" w:ascii="仿宋" w:hAnsi="仿宋" w:eastAsia="仿宋"/>
          <w:bCs/>
          <w:color w:val="000000"/>
          <w:sz w:val="32"/>
          <w:szCs w:val="32"/>
          <w:lang w:val="en-US" w:eastAsia="zh-CN"/>
        </w:rPr>
        <w:t>499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支出决算为54.94万元，完成预算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8</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w:t>
      </w:r>
      <w:r>
        <w:rPr>
          <w:rStyle w:val="24"/>
          <w:rFonts w:hint="eastAsia" w:ascii="仿宋" w:hAnsi="仿宋" w:eastAsia="仿宋"/>
          <w:bCs/>
          <w:color w:val="000000"/>
          <w:sz w:val="32"/>
          <w:szCs w:val="32"/>
          <w:lang w:val="en-US" w:eastAsia="zh-CN"/>
        </w:rPr>
        <w:t>208</w:t>
      </w:r>
      <w:r>
        <w:rPr>
          <w:rStyle w:val="24"/>
          <w:rFonts w:hint="eastAsia" w:ascii="仿宋" w:hAnsi="仿宋" w:eastAsia="仿宋"/>
          <w:bCs/>
          <w:color w:val="000000"/>
          <w:sz w:val="32"/>
          <w:szCs w:val="32"/>
        </w:rPr>
        <w:t>）行政事业单位养老支出（</w:t>
      </w:r>
      <w:r>
        <w:rPr>
          <w:rStyle w:val="24"/>
          <w:rFonts w:hint="eastAsia" w:ascii="仿宋" w:hAnsi="仿宋" w:eastAsia="仿宋"/>
          <w:bCs/>
          <w:color w:val="000000"/>
          <w:sz w:val="32"/>
          <w:szCs w:val="32"/>
          <w:lang w:val="en-US" w:eastAsia="zh-CN"/>
        </w:rPr>
        <w:t>20805</w:t>
      </w:r>
      <w:r>
        <w:rPr>
          <w:rStyle w:val="24"/>
          <w:rFonts w:hint="eastAsia" w:ascii="仿宋" w:hAnsi="仿宋" w:eastAsia="仿宋"/>
          <w:bCs/>
          <w:color w:val="000000"/>
          <w:sz w:val="32"/>
          <w:szCs w:val="32"/>
        </w:rPr>
        <w:t>）机关事业单位基本养老保险缴费支出（</w:t>
      </w:r>
      <w:r>
        <w:rPr>
          <w:rStyle w:val="24"/>
          <w:rFonts w:hint="eastAsia" w:ascii="仿宋" w:hAnsi="仿宋" w:eastAsia="仿宋"/>
          <w:bCs/>
          <w:color w:val="000000"/>
          <w:sz w:val="32"/>
          <w:szCs w:val="32"/>
          <w:lang w:val="en-US" w:eastAsia="zh-CN"/>
        </w:rPr>
        <w:t>2080505）</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31.47</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9</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w:t>
      </w:r>
      <w:r>
        <w:rPr>
          <w:rStyle w:val="24"/>
          <w:rFonts w:hint="eastAsia" w:ascii="仿宋" w:hAnsi="仿宋" w:eastAsia="仿宋"/>
          <w:bCs/>
          <w:color w:val="000000"/>
          <w:sz w:val="32"/>
          <w:szCs w:val="32"/>
          <w:lang w:val="en-US" w:eastAsia="zh-CN"/>
        </w:rPr>
        <w:t>208</w:t>
      </w:r>
      <w:r>
        <w:rPr>
          <w:rStyle w:val="24"/>
          <w:rFonts w:hint="eastAsia" w:ascii="仿宋" w:hAnsi="仿宋" w:eastAsia="仿宋"/>
          <w:bCs/>
          <w:color w:val="000000"/>
          <w:sz w:val="32"/>
          <w:szCs w:val="32"/>
        </w:rPr>
        <w:t>）行政事业单位养老支出（</w:t>
      </w:r>
      <w:r>
        <w:rPr>
          <w:rStyle w:val="24"/>
          <w:rFonts w:hint="eastAsia" w:ascii="仿宋" w:hAnsi="仿宋" w:eastAsia="仿宋"/>
          <w:bCs/>
          <w:color w:val="000000"/>
          <w:sz w:val="32"/>
          <w:szCs w:val="32"/>
          <w:lang w:val="en-US" w:eastAsia="zh-CN"/>
        </w:rPr>
        <w:t>20805</w:t>
      </w:r>
      <w:r>
        <w:rPr>
          <w:rStyle w:val="24"/>
          <w:rFonts w:hint="eastAsia" w:ascii="仿宋" w:hAnsi="仿宋" w:eastAsia="仿宋"/>
          <w:bCs/>
          <w:color w:val="000000"/>
          <w:sz w:val="32"/>
          <w:szCs w:val="32"/>
        </w:rPr>
        <w:t>）机关事业单位职业年金缴费支出（</w:t>
      </w:r>
      <w:r>
        <w:rPr>
          <w:rStyle w:val="24"/>
          <w:rFonts w:hint="eastAsia" w:ascii="仿宋" w:hAnsi="仿宋" w:eastAsia="仿宋"/>
          <w:bCs/>
          <w:color w:val="000000"/>
          <w:sz w:val="32"/>
          <w:szCs w:val="32"/>
          <w:lang w:val="en-US" w:eastAsia="zh-CN"/>
        </w:rPr>
        <w:t>2080506）：</w:t>
      </w:r>
      <w:r>
        <w:rPr>
          <w:rStyle w:val="24"/>
          <w:rFonts w:hint="eastAsia" w:ascii="仿宋" w:hAnsi="仿宋" w:eastAsia="仿宋"/>
          <w:b w:val="0"/>
          <w:bCs/>
          <w:color w:val="000000"/>
          <w:sz w:val="32"/>
          <w:szCs w:val="32"/>
        </w:rPr>
        <w:t>支出决算为15.74万元</w:t>
      </w:r>
      <w:r>
        <w:rPr>
          <w:rStyle w:val="24"/>
          <w:rFonts w:hint="eastAsia" w:ascii="仿宋" w:hAnsi="仿宋" w:eastAsia="仿宋"/>
          <w:b w:val="0"/>
          <w:bCs/>
          <w:color w:val="000000"/>
          <w:sz w:val="32"/>
          <w:szCs w:val="32"/>
          <w:lang w:eastAsia="zh-CN"/>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10</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）公共卫生（</w:t>
      </w:r>
      <w:r>
        <w:rPr>
          <w:rStyle w:val="24"/>
          <w:rFonts w:hint="eastAsia" w:ascii="仿宋" w:hAnsi="仿宋" w:eastAsia="仿宋"/>
          <w:bCs/>
          <w:color w:val="000000"/>
          <w:sz w:val="32"/>
          <w:szCs w:val="32"/>
          <w:lang w:val="en-US" w:eastAsia="zh-CN"/>
        </w:rPr>
        <w:t>21004</w:t>
      </w:r>
      <w:r>
        <w:rPr>
          <w:rStyle w:val="24"/>
          <w:rFonts w:hint="eastAsia" w:ascii="仿宋" w:hAnsi="仿宋" w:eastAsia="仿宋"/>
          <w:bCs/>
          <w:color w:val="000000"/>
          <w:sz w:val="32"/>
          <w:szCs w:val="32"/>
        </w:rPr>
        <w:t>）重大公共卫生服务（</w:t>
      </w:r>
      <w:r>
        <w:rPr>
          <w:rStyle w:val="24"/>
          <w:rFonts w:hint="eastAsia" w:ascii="仿宋" w:hAnsi="仿宋" w:eastAsia="仿宋"/>
          <w:bCs/>
          <w:color w:val="000000"/>
          <w:sz w:val="32"/>
          <w:szCs w:val="32"/>
          <w:lang w:val="en-US" w:eastAsia="zh-CN"/>
        </w:rPr>
        <w:t>2100409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支出决算为9.98万元，完成预算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hint="eastAsia" w:ascii="仿宋" w:hAnsi="仿宋" w:eastAsia="仿宋"/>
          <w:b/>
          <w:color w:val="000000"/>
          <w:sz w:val="32"/>
          <w:szCs w:val="32"/>
          <w:lang w:eastAsia="zh-CN"/>
        </w:rPr>
      </w:pPr>
      <w:r>
        <w:rPr>
          <w:rStyle w:val="24"/>
          <w:rFonts w:hint="eastAsia" w:ascii="仿宋" w:hAnsi="仿宋" w:eastAsia="仿宋"/>
          <w:bCs/>
          <w:color w:val="000000"/>
          <w:sz w:val="32"/>
          <w:szCs w:val="32"/>
          <w:lang w:val="en-US" w:eastAsia="zh-CN"/>
        </w:rPr>
        <w:t>11</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）行政事业单位医疗（21011）</w:t>
      </w:r>
      <w:r>
        <w:rPr>
          <w:rStyle w:val="24"/>
          <w:rFonts w:hint="eastAsia" w:ascii="仿宋" w:hAnsi="仿宋" w:eastAsia="仿宋"/>
          <w:bCs/>
          <w:color w:val="000000"/>
          <w:sz w:val="32"/>
          <w:szCs w:val="32"/>
          <w:lang w:val="en-US" w:eastAsia="zh-CN"/>
        </w:rPr>
        <w:t>行政单位医疗</w:t>
      </w:r>
      <w:r>
        <w:rPr>
          <w:rStyle w:val="24"/>
          <w:rFonts w:hint="eastAsia" w:ascii="仿宋" w:hAnsi="仿宋" w:eastAsia="仿宋"/>
          <w:bCs/>
          <w:color w:val="000000"/>
          <w:sz w:val="32"/>
          <w:szCs w:val="32"/>
        </w:rPr>
        <w:t>（2101101）</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支出决算为10.69万元，完成预算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12</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）行政事业单位医疗（21011）事业单位医疗（210110</w:t>
      </w:r>
      <w:r>
        <w:rPr>
          <w:rStyle w:val="24"/>
          <w:rFonts w:hint="eastAsia" w:ascii="仿宋" w:hAnsi="仿宋" w:eastAsia="仿宋"/>
          <w:bCs/>
          <w:color w:val="000000"/>
          <w:sz w:val="32"/>
          <w:szCs w:val="32"/>
          <w:lang w:val="en-US" w:eastAsia="zh-CN"/>
        </w:rPr>
        <w:t>2</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3.56</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hint="eastAsia" w:ascii="仿宋" w:hAnsi="仿宋" w:eastAsia="仿宋"/>
          <w:b/>
          <w:color w:val="000000"/>
          <w:sz w:val="32"/>
          <w:szCs w:val="32"/>
          <w:lang w:eastAsia="zh-CN"/>
        </w:rPr>
      </w:pPr>
      <w:r>
        <w:rPr>
          <w:rStyle w:val="24"/>
          <w:rFonts w:hint="eastAsia" w:ascii="仿宋" w:hAnsi="仿宋" w:eastAsia="仿宋"/>
          <w:b/>
          <w:bCs w:val="0"/>
          <w:color w:val="000000"/>
          <w:sz w:val="32"/>
          <w:szCs w:val="32"/>
          <w:lang w:val="en-US" w:eastAsia="zh-CN"/>
        </w:rPr>
        <w:t>13.</w:t>
      </w:r>
      <w:r>
        <w:rPr>
          <w:rStyle w:val="24"/>
          <w:rFonts w:hint="eastAsia" w:ascii="仿宋" w:hAnsi="仿宋" w:eastAsia="仿宋"/>
          <w:bCs/>
          <w:color w:val="000000"/>
          <w:sz w:val="32"/>
          <w:szCs w:val="32"/>
        </w:rPr>
        <w:t>卫生健康（</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）行政事业单位医疗（21011）</w:t>
      </w:r>
      <w:r>
        <w:rPr>
          <w:rStyle w:val="24"/>
          <w:rFonts w:hint="eastAsia" w:ascii="仿宋" w:hAnsi="仿宋" w:eastAsia="仿宋"/>
          <w:bCs/>
          <w:color w:val="000000"/>
          <w:sz w:val="32"/>
          <w:szCs w:val="32"/>
          <w:lang w:val="en-US" w:eastAsia="zh-CN"/>
        </w:rPr>
        <w:t>公务员医疗补助</w:t>
      </w:r>
      <w:r>
        <w:rPr>
          <w:rStyle w:val="24"/>
          <w:rFonts w:hint="eastAsia" w:ascii="仿宋" w:hAnsi="仿宋" w:eastAsia="仿宋"/>
          <w:bCs/>
          <w:color w:val="000000"/>
          <w:sz w:val="32"/>
          <w:szCs w:val="32"/>
        </w:rPr>
        <w:t>（210110</w:t>
      </w:r>
      <w:r>
        <w:rPr>
          <w:rStyle w:val="24"/>
          <w:rFonts w:hint="eastAsia" w:ascii="仿宋" w:hAnsi="仿宋" w:eastAsia="仿宋"/>
          <w:bCs/>
          <w:color w:val="000000"/>
          <w:sz w:val="32"/>
          <w:szCs w:val="32"/>
          <w:lang w:val="en-US" w:eastAsia="zh-CN"/>
        </w:rPr>
        <w:t>3</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支出决算为3.21万元，完成预算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14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）行政事业单位医疗（21011）其他行政事业单位医疗支出（21011</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0.69</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Fonts w:hint="eastAsia" w:ascii="仿宋" w:hAnsi="仿宋" w:eastAsia="仿宋"/>
          <w:b/>
          <w:color w:val="000000"/>
          <w:sz w:val="32"/>
          <w:szCs w:val="32"/>
          <w:lang w:eastAsia="zh-CN"/>
        </w:rPr>
      </w:pPr>
      <w:r>
        <w:rPr>
          <w:rStyle w:val="24"/>
          <w:rFonts w:hint="eastAsia" w:ascii="仿宋" w:hAnsi="仿宋" w:eastAsia="仿宋"/>
          <w:b/>
          <w:bCs w:val="0"/>
          <w:color w:val="000000"/>
          <w:sz w:val="32"/>
          <w:szCs w:val="32"/>
          <w:lang w:val="en-US" w:eastAsia="zh-CN"/>
        </w:rPr>
        <w:t>15.</w:t>
      </w:r>
      <w:r>
        <w:rPr>
          <w:rStyle w:val="24"/>
          <w:rFonts w:hint="eastAsia" w:ascii="仿宋" w:hAnsi="仿宋" w:eastAsia="仿宋"/>
          <w:bCs/>
          <w:color w:val="000000"/>
          <w:sz w:val="32"/>
          <w:szCs w:val="32"/>
        </w:rPr>
        <w:t>农林水支出（</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）巩固脱贫衔接乡村振兴（21305）</w:t>
      </w:r>
      <w:r>
        <w:rPr>
          <w:rStyle w:val="24"/>
          <w:rFonts w:hint="eastAsia" w:ascii="仿宋" w:hAnsi="仿宋" w:eastAsia="仿宋"/>
          <w:bCs/>
          <w:color w:val="000000"/>
          <w:sz w:val="32"/>
          <w:szCs w:val="32"/>
          <w:lang w:val="en-US" w:eastAsia="zh-CN"/>
        </w:rPr>
        <w:t xml:space="preserve">  生产发展</w:t>
      </w:r>
      <w:r>
        <w:rPr>
          <w:rStyle w:val="24"/>
          <w:rFonts w:hint="eastAsia" w:ascii="仿宋" w:hAnsi="仿宋" w:eastAsia="仿宋"/>
          <w:bCs/>
          <w:color w:val="000000"/>
          <w:sz w:val="32"/>
          <w:szCs w:val="32"/>
        </w:rPr>
        <w:t>（2130505</w:t>
      </w:r>
      <w:r>
        <w:rPr>
          <w:rStyle w:val="24"/>
          <w:rFonts w:hint="eastAsia" w:ascii="仿宋" w:hAnsi="仿宋" w:eastAsia="仿宋"/>
          <w:bCs/>
          <w:color w:val="000000"/>
          <w:sz w:val="32"/>
          <w:szCs w:val="32"/>
          <w:lang w:eastAsia="zh-CN"/>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支出决算为19.80万元，完成预算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hint="eastAsia" w:eastAsia="仿宋"/>
          <w:lang w:val="en-US" w:eastAsia="zh-CN"/>
        </w:rPr>
      </w:pPr>
      <w:r>
        <w:rPr>
          <w:rStyle w:val="24"/>
          <w:rFonts w:hint="eastAsia" w:ascii="仿宋" w:hAnsi="仿宋" w:eastAsia="仿宋"/>
          <w:bCs/>
          <w:color w:val="000000"/>
          <w:sz w:val="32"/>
          <w:szCs w:val="32"/>
          <w:lang w:val="en-US" w:eastAsia="zh-CN"/>
        </w:rPr>
        <w:t>16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农林水支出（</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）巩固脱贫衔接乡村振兴（21305）  其他巩固脱贫衔接乡村振兴支出（2130599）</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67.90</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17</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住房保障（</w:t>
      </w:r>
      <w:r>
        <w:rPr>
          <w:rStyle w:val="24"/>
          <w:rFonts w:hint="eastAsia" w:ascii="仿宋" w:hAnsi="仿宋" w:eastAsia="仿宋"/>
          <w:bCs/>
          <w:color w:val="000000"/>
          <w:sz w:val="32"/>
          <w:szCs w:val="32"/>
          <w:lang w:val="en-US" w:eastAsia="zh-CN"/>
        </w:rPr>
        <w:t>221</w:t>
      </w:r>
      <w:r>
        <w:rPr>
          <w:rStyle w:val="24"/>
          <w:rFonts w:hint="eastAsia" w:ascii="仿宋" w:hAnsi="仿宋" w:eastAsia="仿宋"/>
          <w:bCs/>
          <w:color w:val="000000"/>
          <w:sz w:val="32"/>
          <w:szCs w:val="32"/>
        </w:rPr>
        <w:t>）住房改革（</w:t>
      </w:r>
      <w:r>
        <w:rPr>
          <w:rStyle w:val="24"/>
          <w:rFonts w:hint="eastAsia" w:ascii="仿宋" w:hAnsi="仿宋" w:eastAsia="仿宋"/>
          <w:bCs/>
          <w:color w:val="000000"/>
          <w:sz w:val="32"/>
          <w:szCs w:val="32"/>
          <w:lang w:val="en-US" w:eastAsia="zh-CN"/>
        </w:rPr>
        <w:t>22102</w:t>
      </w:r>
      <w:r>
        <w:rPr>
          <w:rStyle w:val="24"/>
          <w:rFonts w:hint="eastAsia" w:ascii="仿宋" w:hAnsi="仿宋" w:eastAsia="仿宋"/>
          <w:bCs/>
          <w:color w:val="000000"/>
          <w:sz w:val="32"/>
          <w:szCs w:val="32"/>
        </w:rPr>
        <w:t>）住房公积金（</w:t>
      </w:r>
      <w:r>
        <w:rPr>
          <w:rStyle w:val="24"/>
          <w:rFonts w:hint="eastAsia" w:ascii="仿宋" w:hAnsi="仿宋" w:eastAsia="仿宋"/>
          <w:bCs/>
          <w:color w:val="000000"/>
          <w:sz w:val="32"/>
          <w:szCs w:val="32"/>
          <w:lang w:val="en-US" w:eastAsia="zh-CN"/>
        </w:rPr>
        <w:t>2210201</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支出决算为26.92万元，完成预算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pStyle w:val="4"/>
        <w:bidi w:val="0"/>
      </w:pPr>
      <w:bookmarkStart w:id="66" w:name="_Toc15377214"/>
      <w:bookmarkStart w:id="67" w:name="_Toc31"/>
      <w:bookmarkStart w:id="68" w:name="_Toc79163618"/>
      <w:bookmarkStart w:id="69" w:name="_Toc15396608"/>
      <w:r>
        <w:rPr>
          <w:rFonts w:hint="eastAsia"/>
        </w:rPr>
        <w:t>六、</w:t>
      </w:r>
      <w:r>
        <w:rPr>
          <w:rFonts w:hint="eastAsia"/>
          <w:lang w:val="en-US" w:eastAsia="zh-CN"/>
        </w:rPr>
        <w:t>一般公共预算财政拨款基本支出决算情况说明</w:t>
      </w:r>
      <w:bookmarkEnd w:id="66"/>
      <w:bookmarkEnd w:id="67"/>
      <w:bookmarkEnd w:id="68"/>
      <w:bookmarkEnd w:id="69"/>
      <w: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highlight w:val="none"/>
          <w:lang w:val="en-US" w:eastAsia="zh-CN"/>
        </w:rPr>
        <w:t>403.75</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highlight w:val="none"/>
          <w:lang w:val="en-US" w:eastAsia="zh-CN"/>
        </w:rPr>
        <w:t>369.07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highlight w:val="none"/>
          <w:lang w:val="en-US" w:eastAsia="zh-CN"/>
        </w:rPr>
        <w:t>34.68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12.33万元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2.72万元</w:t>
      </w:r>
      <w:r>
        <w:rPr>
          <w:rFonts w:hint="eastAsia" w:ascii="仿宋" w:hAnsi="仿宋" w:eastAsia="仿宋"/>
          <w:color w:val="000000"/>
          <w:sz w:val="32"/>
          <w:szCs w:val="32"/>
        </w:rPr>
        <w:t>、咨询费、手续费、水费、电费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0.77万元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0.79万元</w:t>
      </w:r>
      <w:r>
        <w:rPr>
          <w:rFonts w:hint="eastAsia" w:ascii="仿宋" w:hAnsi="仿宋" w:eastAsia="仿宋"/>
          <w:color w:val="000000"/>
          <w:sz w:val="32"/>
          <w:szCs w:val="32"/>
        </w:rPr>
        <w:t>、物业管理费、差旅费</w:t>
      </w:r>
      <w:r>
        <w:rPr>
          <w:rFonts w:hint="eastAsia" w:ascii="仿宋" w:hAnsi="仿宋" w:eastAsia="仿宋"/>
          <w:color w:val="000000"/>
          <w:sz w:val="32"/>
          <w:szCs w:val="32"/>
          <w:lang w:val="en-US" w:eastAsia="zh-CN"/>
        </w:rPr>
        <w:t>9.07万元</w:t>
      </w:r>
      <w:r>
        <w:rPr>
          <w:rFonts w:hint="eastAsia" w:ascii="仿宋" w:hAnsi="仿宋" w:eastAsia="仿宋"/>
          <w:color w:val="000000"/>
          <w:sz w:val="32"/>
          <w:szCs w:val="32"/>
        </w:rPr>
        <w:t>、因公出国（境）费用、维修（护）费、租赁费、会议费、培训费、公务接待费、劳务费</w:t>
      </w:r>
      <w:r>
        <w:rPr>
          <w:rFonts w:hint="eastAsia" w:ascii="仿宋" w:hAnsi="仿宋" w:eastAsia="仿宋"/>
          <w:color w:val="000000"/>
          <w:sz w:val="32"/>
          <w:szCs w:val="32"/>
          <w:lang w:val="en-US" w:eastAsia="zh-CN"/>
        </w:rPr>
        <w:t>0.84万元</w:t>
      </w:r>
      <w:r>
        <w:rPr>
          <w:rFonts w:hint="eastAsia" w:ascii="仿宋" w:hAnsi="仿宋" w:eastAsia="仿宋"/>
          <w:color w:val="000000"/>
          <w:sz w:val="32"/>
          <w:szCs w:val="32"/>
        </w:rPr>
        <w:t>、委托业务费、工会经费、福利费、公务用车运行维护费</w:t>
      </w:r>
      <w:r>
        <w:rPr>
          <w:rFonts w:hint="eastAsia" w:ascii="仿宋" w:hAnsi="仿宋" w:eastAsia="仿宋"/>
          <w:color w:val="000000"/>
          <w:sz w:val="32"/>
          <w:szCs w:val="32"/>
          <w:lang w:val="en-US" w:eastAsia="zh-CN"/>
        </w:rPr>
        <w:t>3.89万元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2.77万元</w:t>
      </w:r>
      <w:r>
        <w:rPr>
          <w:rFonts w:hint="eastAsia" w:ascii="仿宋" w:hAnsi="仿宋" w:eastAsia="仿宋"/>
          <w:color w:val="000000"/>
          <w:sz w:val="32"/>
          <w:szCs w:val="32"/>
        </w:rPr>
        <w:t>、税金及附加费用、其他商品和服务支出、办公设备购置、专用设备购置、信息网络及软件购置更新、其他资本性支出等。</w:t>
      </w:r>
    </w:p>
    <w:p>
      <w:pPr>
        <w:pStyle w:val="4"/>
        <w:bidi w:val="0"/>
      </w:pPr>
      <w:bookmarkStart w:id="70" w:name="_Toc79163619"/>
      <w:bookmarkStart w:id="71" w:name="_Toc15396609"/>
      <w:bookmarkStart w:id="72" w:name="_Toc15377215"/>
      <w:bookmarkStart w:id="73" w:name="_Toc23929"/>
      <w:r>
        <w:rPr>
          <w:rFonts w:hint="eastAsia"/>
        </w:rPr>
        <w:t>七、</w:t>
      </w:r>
      <w:r>
        <w:rPr>
          <w:rFonts w:hint="eastAsia"/>
          <w:lang w:val="en-US" w:eastAsia="zh-CN"/>
        </w:rPr>
        <w:t>“三公”经费财政拨款支出决算情况说明</w:t>
      </w:r>
      <w:bookmarkEnd w:id="70"/>
      <w:bookmarkEnd w:id="71"/>
      <w:bookmarkEnd w:id="72"/>
      <w:bookmarkEnd w:id="73"/>
    </w:p>
    <w:p>
      <w:pPr>
        <w:spacing w:line="600" w:lineRule="exact"/>
        <w:ind w:firstLine="640"/>
        <w:outlineLvl w:val="2"/>
        <w:rPr>
          <w:rFonts w:ascii="仿宋" w:hAnsi="仿宋" w:eastAsia="仿宋"/>
          <w:b/>
          <w:color w:val="000000"/>
          <w:sz w:val="32"/>
          <w:szCs w:val="32"/>
        </w:rPr>
      </w:pPr>
      <w:bookmarkStart w:id="74" w:name="_Toc28969"/>
      <w:bookmarkStart w:id="75" w:name="_Toc79163620"/>
      <w:bookmarkStart w:id="76" w:name="_Toc6918"/>
      <w:bookmarkStart w:id="77" w:name="_Toc15377216"/>
      <w:r>
        <w:rPr>
          <w:rFonts w:hint="eastAsia" w:ascii="仿宋" w:hAnsi="仿宋" w:eastAsia="仿宋"/>
          <w:b/>
          <w:color w:val="000000"/>
          <w:sz w:val="32"/>
          <w:szCs w:val="32"/>
        </w:rPr>
        <w:t>（一）“三公”经费财政拨款支出决算总体情况说明</w:t>
      </w:r>
      <w:bookmarkEnd w:id="74"/>
      <w:bookmarkEnd w:id="75"/>
      <w:bookmarkEnd w:id="76"/>
      <w:bookmarkEnd w:id="7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highlight w:val="none"/>
          <w:lang w:val="en-US" w:eastAsia="zh-CN"/>
        </w:rPr>
        <w:t>3.89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8" w:name="_Toc23039"/>
      <w:bookmarkStart w:id="79" w:name="_Toc21505"/>
      <w:bookmarkStart w:id="80" w:name="_Toc79163621"/>
      <w:bookmarkStart w:id="81" w:name="_Toc15377217"/>
      <w:r>
        <w:rPr>
          <w:rFonts w:hint="eastAsia" w:ascii="仿宋" w:hAnsi="仿宋" w:eastAsia="仿宋"/>
          <w:b/>
          <w:color w:val="000000"/>
          <w:sz w:val="32"/>
          <w:szCs w:val="32"/>
        </w:rPr>
        <w:t>（二）“三公”经费财政拨款支出决算具体情况说明</w:t>
      </w:r>
      <w:bookmarkEnd w:id="78"/>
      <w:bookmarkEnd w:id="79"/>
      <w:bookmarkEnd w:id="80"/>
      <w:bookmarkEnd w:id="81"/>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highlight w:val="none"/>
          <w:lang w:val="en-US" w:eastAsia="zh-CN"/>
        </w:rPr>
        <w:t>3.89</w:t>
      </w:r>
      <w:r>
        <w:rPr>
          <w:rFonts w:hint="eastAsia" w:ascii="仿宋" w:hAnsi="仿宋" w:eastAsia="仿宋"/>
          <w:color w:val="000000"/>
          <w:sz w:val="32"/>
          <w:szCs w:val="32"/>
        </w:rPr>
        <w:t>万元，占</w:t>
      </w:r>
      <w:r>
        <w:rPr>
          <w:rFonts w:hint="eastAsia" w:ascii="仿宋" w:hAnsi="仿宋" w:eastAsia="仿宋"/>
          <w:color w:val="000000"/>
          <w:sz w:val="32"/>
          <w:szCs w:val="32"/>
          <w:highlight w:val="none"/>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pStyle w:val="2"/>
      </w:pPr>
      <w:r>
        <w:rPr>
          <w:rFonts w:hint="eastAsia"/>
          <w:lang w:val="en-US" w:eastAsia="zh-CN"/>
        </w:rPr>
        <w:t xml:space="preserve">   </w:t>
      </w:r>
      <w:r>
        <w:drawing>
          <wp:inline distT="0" distB="0" distL="114300" distR="114300">
            <wp:extent cx="4299585" cy="1927860"/>
            <wp:effectExtent l="4445" t="4445" r="20320" b="10795"/>
            <wp:docPr id="142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widowControl w:val="0"/>
        <w:kinsoku/>
        <w:wordWrap/>
        <w:overflowPunct/>
        <w:topLinePunct w:val="0"/>
        <w:bidi w:val="0"/>
        <w:spacing w:line="560" w:lineRule="exact"/>
        <w:ind w:firstLine="640"/>
        <w:textAlignment w:val="auto"/>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r>
        <w:rPr>
          <w:rFonts w:hint="eastAsia" w:ascii="仿宋" w:hAnsi="仿宋" w:eastAsia="仿宋"/>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highlight w:val="none"/>
          <w:lang w:val="en-US" w:eastAsia="zh-CN"/>
        </w:rPr>
        <w:t>3.89</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highlight w:val="none"/>
        </w:rPr>
        <w:t>公务用车购置及运行维护费支出决算比</w:t>
      </w:r>
      <w:r>
        <w:rPr>
          <w:rFonts w:hint="eastAsia" w:ascii="仿宋_GB2312" w:eastAsia="仿宋_GB2312"/>
          <w:color w:val="000000"/>
          <w:sz w:val="32"/>
          <w:szCs w:val="32"/>
          <w:highlight w:val="none"/>
          <w:lang w:val="en-US" w:eastAsia="zh-CN"/>
        </w:rPr>
        <w:t>2021年总计减少0.23</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,下降</w:t>
      </w:r>
      <w:r>
        <w:rPr>
          <w:rFonts w:hint="eastAsia" w:ascii="仿宋_GB2312" w:eastAsia="仿宋_GB2312"/>
          <w:color w:val="000000"/>
          <w:sz w:val="32"/>
          <w:szCs w:val="32"/>
        </w:rPr>
        <w:t>5.59%</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减少</w:t>
      </w:r>
      <w:r>
        <w:rPr>
          <w:rFonts w:hint="eastAsia" w:ascii="仿宋_GB2312" w:eastAsia="仿宋_GB2312"/>
          <w:color w:val="000000"/>
          <w:sz w:val="32"/>
          <w:szCs w:val="32"/>
          <w:highlight w:val="none"/>
        </w:rPr>
        <w:t>主要原因</w:t>
      </w:r>
      <w:r>
        <w:rPr>
          <w:rFonts w:hint="eastAsia" w:ascii="仿宋_GB2312" w:eastAsia="仿宋_GB2312"/>
          <w:color w:val="000000"/>
          <w:sz w:val="32"/>
          <w:szCs w:val="32"/>
          <w:highlight w:val="none"/>
          <w:lang w:val="en-US" w:eastAsia="zh-CN"/>
        </w:rPr>
        <w:t>厉行节约</w:t>
      </w:r>
      <w:r>
        <w:rPr>
          <w:rFonts w:hint="eastAsia" w:ascii="仿宋_GB2312" w:eastAsia="仿宋_GB2312"/>
          <w:color w:val="000000"/>
          <w:sz w:val="32"/>
          <w:szCs w:val="32"/>
          <w:highlight w:val="none"/>
        </w:rPr>
        <w:t>。</w:t>
      </w:r>
    </w:p>
    <w:p>
      <w:pPr>
        <w:spacing w:line="600" w:lineRule="exact"/>
        <w:ind w:firstLine="640" w:firstLineChars="200"/>
        <w:rPr>
          <w:rFonts w:ascii="仿宋_GB2312" w:eastAsia="仿宋_GB2312"/>
          <w:b/>
          <w:color w:val="000000"/>
          <w:sz w:val="32"/>
          <w:szCs w:val="32"/>
          <w:highlight w:val="none"/>
        </w:rPr>
      </w:pPr>
      <w:r>
        <w:rPr>
          <w:rFonts w:hint="eastAsia" w:ascii="仿宋_GB2312" w:eastAsia="仿宋_GB2312"/>
          <w:color w:val="000000"/>
          <w:sz w:val="32"/>
          <w:szCs w:val="32"/>
          <w:highlight w:val="none"/>
        </w:rPr>
        <w:t>其中：</w:t>
      </w:r>
      <w:r>
        <w:rPr>
          <w:rFonts w:hint="eastAsia" w:ascii="仿宋_GB2312" w:eastAsia="仿宋_GB2312"/>
          <w:b/>
          <w:color w:val="000000"/>
          <w:sz w:val="32"/>
          <w:szCs w:val="32"/>
          <w:highlight w:val="none"/>
        </w:rPr>
        <w:t>公务用车购置支出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p>
    <w:p>
      <w:pPr>
        <w:spacing w:line="600" w:lineRule="exact"/>
        <w:ind w:firstLine="640"/>
        <w:rPr>
          <w:rFonts w:ascii="仿宋_GB2312" w:eastAsia="仿宋_GB2312"/>
          <w:color w:val="000000"/>
          <w:sz w:val="32"/>
          <w:szCs w:val="32"/>
          <w:highlight w:val="none"/>
        </w:rPr>
      </w:pPr>
      <w:r>
        <w:rPr>
          <w:rFonts w:hint="eastAsia" w:ascii="仿宋_GB2312" w:eastAsia="仿宋_GB2312"/>
          <w:b/>
          <w:color w:val="000000"/>
          <w:sz w:val="32"/>
          <w:szCs w:val="32"/>
          <w:highlight w:val="none"/>
        </w:rPr>
        <w:t>公务用车运行维护费支出</w:t>
      </w:r>
      <w:r>
        <w:rPr>
          <w:rFonts w:hint="eastAsia" w:ascii="仿宋" w:hAnsi="仿宋" w:eastAsia="仿宋"/>
          <w:color w:val="000000"/>
          <w:sz w:val="32"/>
          <w:szCs w:val="32"/>
          <w:highlight w:val="none"/>
          <w:lang w:val="en-US" w:eastAsia="zh-CN"/>
        </w:rPr>
        <w:t>3.89</w:t>
      </w:r>
      <w:r>
        <w:rPr>
          <w:rFonts w:hint="eastAsia" w:ascii="仿宋_GB2312" w:eastAsia="仿宋_GB2312"/>
          <w:color w:val="000000"/>
          <w:sz w:val="32"/>
          <w:szCs w:val="32"/>
          <w:highlight w:val="none"/>
        </w:rPr>
        <w:t>万元。主要用于民宗局下乡，出差所需的公务用车燃料费、维修费、过路过桥费、保险费等支出。</w:t>
      </w:r>
    </w:p>
    <w:p>
      <w:pPr>
        <w:numPr>
          <w:ilvl w:val="0"/>
          <w:numId w:val="0"/>
        </w:numPr>
        <w:spacing w:line="600" w:lineRule="exact"/>
        <w:ind w:firstLine="643" w:firstLineChars="200"/>
        <w:outlineLvl w:val="1"/>
        <w:rPr>
          <w:rFonts w:hint="eastAsia" w:ascii="仿宋_GB2312" w:eastAsia="仿宋_GB2312"/>
          <w:color w:val="000000"/>
          <w:sz w:val="32"/>
          <w:szCs w:val="32"/>
          <w:lang w:eastAsia="zh-CN"/>
        </w:rPr>
      </w:pPr>
      <w:bookmarkStart w:id="82" w:name="_Toc15578"/>
      <w:bookmarkStart w:id="83" w:name="_Toc26744"/>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End w:id="82"/>
      <w:bookmarkEnd w:id="83"/>
      <w:bookmarkStart w:id="84" w:name="_Toc15396610"/>
      <w:bookmarkStart w:id="85" w:name="_Toc79163622"/>
      <w:bookmarkStart w:id="86" w:name="_Toc15377218"/>
    </w:p>
    <w:p>
      <w:pPr>
        <w:pStyle w:val="4"/>
        <w:bidi w:val="0"/>
      </w:pPr>
      <w:bookmarkStart w:id="87" w:name="_Toc19684"/>
      <w:r>
        <w:rPr>
          <w:rFonts w:hint="eastAsia"/>
        </w:rPr>
        <w:t>八、</w:t>
      </w:r>
      <w:r>
        <w:rPr>
          <w:rFonts w:hint="eastAsia"/>
          <w:lang w:val="en-US" w:eastAsia="zh-CN"/>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4"/>
        <w:bidi w:val="0"/>
        <w:rPr>
          <w:rFonts w:hint="eastAsia"/>
          <w:lang w:val="en-US" w:eastAsia="zh-CN"/>
        </w:rPr>
      </w:pPr>
      <w:bookmarkStart w:id="88" w:name="_Toc79163623"/>
      <w:bookmarkStart w:id="89" w:name="_Toc15396611"/>
      <w:bookmarkStart w:id="90" w:name="_Toc27444"/>
      <w:bookmarkStart w:id="91" w:name="_Toc15377219"/>
      <w:r>
        <w:rPr>
          <w:rFonts w:hint="eastAsia"/>
          <w:lang w:val="en-US" w:eastAsia="zh-CN"/>
        </w:rPr>
        <w:t>九、国有资本经营预算支出决算情况说明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4"/>
        <w:bidi w:val="0"/>
        <w:rPr>
          <w:rFonts w:hint="eastAsia"/>
          <w:lang w:val="en-US" w:eastAsia="zh-CN"/>
        </w:rPr>
      </w:pPr>
      <w:bookmarkStart w:id="92" w:name="_Toc23144"/>
      <w:bookmarkStart w:id="93" w:name="_Toc15396612"/>
      <w:bookmarkStart w:id="94" w:name="_Toc15377221"/>
      <w:bookmarkStart w:id="95" w:name="_Toc79163624"/>
      <w:r>
        <w:rPr>
          <w:rFonts w:hint="eastAsia"/>
          <w:lang w:val="en-US" w:eastAsia="zh-CN"/>
        </w:rPr>
        <w:t>十、其他重要事项的情况说明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000000"/>
          <w:sz w:val="32"/>
          <w:szCs w:val="32"/>
        </w:rPr>
      </w:pPr>
      <w:bookmarkStart w:id="96" w:name="_Toc16253"/>
      <w:bookmarkStart w:id="97" w:name="_Toc19983"/>
      <w:bookmarkStart w:id="98" w:name="_Toc15377222"/>
      <w:bookmarkStart w:id="99" w:name="_Toc79163625"/>
      <w:r>
        <w:rPr>
          <w:rFonts w:hint="eastAsia" w:ascii="仿宋" w:hAnsi="仿宋" w:eastAsia="仿宋"/>
          <w:b/>
          <w:color w:val="000000"/>
          <w:sz w:val="32"/>
          <w:szCs w:val="32"/>
        </w:rPr>
        <w:t>（一）机关运行经费支出情况</w:t>
      </w:r>
      <w:bookmarkEnd w:id="96"/>
      <w:bookmarkEnd w:id="97"/>
      <w:bookmarkEnd w:id="98"/>
      <w:bookmarkEnd w:id="99"/>
    </w:p>
    <w:p>
      <w:pPr>
        <w:spacing w:line="600" w:lineRule="exact"/>
        <w:ind w:firstLine="640" w:firstLineChars="200"/>
        <w:outlineLvl w:val="9"/>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eastAsia="zh-CN"/>
        </w:rPr>
        <w:t>2022年</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壤塘县民族宗教局</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23.84</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2021年机关运行经费24.93万元。</w:t>
      </w:r>
      <w:r>
        <w:rPr>
          <w:rFonts w:hint="eastAsia" w:ascii="仿宋_GB2312" w:eastAsia="仿宋_GB2312"/>
          <w:color w:val="000000"/>
          <w:sz w:val="32"/>
          <w:szCs w:val="32"/>
          <w:highlight w:val="none"/>
        </w:rPr>
        <w:t>比</w:t>
      </w:r>
      <w:r>
        <w:rPr>
          <w:rFonts w:hint="eastAsia" w:ascii="仿宋_GB2312" w:eastAsia="仿宋_GB2312"/>
          <w:color w:val="000000"/>
          <w:sz w:val="32"/>
          <w:szCs w:val="32"/>
          <w:highlight w:val="none"/>
          <w:lang w:eastAsia="zh-CN"/>
        </w:rPr>
        <w:t>2021年减少1.</w:t>
      </w:r>
      <w:r>
        <w:rPr>
          <w:rFonts w:hint="eastAsia" w:ascii="仿宋_GB2312" w:eastAsia="仿宋_GB2312"/>
          <w:color w:val="000000"/>
          <w:sz w:val="32"/>
          <w:szCs w:val="32"/>
          <w:highlight w:val="none"/>
          <w:lang w:val="en-US" w:eastAsia="zh-CN"/>
        </w:rPr>
        <w:t>09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下降</w:t>
      </w:r>
      <w:r>
        <w:rPr>
          <w:rFonts w:hint="eastAsia" w:ascii="仿宋_GB2312" w:eastAsia="仿宋_GB2312"/>
          <w:color w:val="000000"/>
          <w:sz w:val="32"/>
          <w:szCs w:val="32"/>
          <w:highlight w:val="none"/>
          <w:lang w:eastAsia="zh-CN"/>
        </w:rPr>
        <w:t>4.38%</w:t>
      </w:r>
      <w:r>
        <w:rPr>
          <w:rFonts w:hint="eastAsia" w:ascii="仿宋_GB2312" w:eastAsia="仿宋_GB2312"/>
          <w:color w:val="000000"/>
          <w:sz w:val="32"/>
          <w:szCs w:val="32"/>
          <w:highlight w:val="none"/>
        </w:rPr>
        <w:t>。主要原因</w:t>
      </w:r>
      <w:r>
        <w:rPr>
          <w:rFonts w:hint="eastAsia" w:ascii="仿宋_GB2312" w:eastAsia="仿宋_GB2312"/>
          <w:color w:val="000000"/>
          <w:sz w:val="32"/>
          <w:szCs w:val="32"/>
          <w:highlight w:val="none"/>
          <w:lang w:eastAsia="zh-CN"/>
        </w:rPr>
        <w:t>本着厉行节约，反对浪费的宗旨。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4160"/>
      <w:bookmarkStart w:id="101" w:name="_Toc15377223"/>
      <w:bookmarkStart w:id="102" w:name="_Toc79163626"/>
      <w:bookmarkStart w:id="103" w:name="_Toc32241"/>
      <w:r>
        <w:rPr>
          <w:rFonts w:hint="eastAsia" w:ascii="仿宋" w:hAnsi="仿宋" w:eastAsia="仿宋"/>
          <w:b/>
          <w:color w:val="000000"/>
          <w:sz w:val="32"/>
          <w:szCs w:val="32"/>
        </w:rPr>
        <w:t>（二）政府采购支出情况</w:t>
      </w:r>
      <w:bookmarkEnd w:id="100"/>
      <w:bookmarkEnd w:id="101"/>
      <w:bookmarkEnd w:id="102"/>
      <w:bookmarkEnd w:id="103"/>
    </w:p>
    <w:p>
      <w:pPr>
        <w:spacing w:line="600" w:lineRule="exact"/>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eastAsia="zh-CN"/>
        </w:rPr>
        <w:t>2022年壤塘县民族宗教局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3950"/>
      <w:bookmarkStart w:id="105" w:name="_Toc15377224"/>
      <w:bookmarkStart w:id="106" w:name="_Toc14015"/>
      <w:bookmarkStart w:id="107" w:name="_Toc79163627"/>
      <w:r>
        <w:rPr>
          <w:rFonts w:hint="eastAsia" w:ascii="仿宋" w:hAnsi="仿宋" w:eastAsia="仿宋"/>
          <w:b/>
          <w:color w:val="000000"/>
          <w:sz w:val="32"/>
          <w:szCs w:val="32"/>
        </w:rPr>
        <w:t>（三）国有资产占有使用情况</w:t>
      </w:r>
      <w:bookmarkEnd w:id="104"/>
      <w:bookmarkEnd w:id="105"/>
      <w:bookmarkEnd w:id="106"/>
      <w:bookmarkEnd w:id="107"/>
    </w:p>
    <w:p>
      <w:pPr>
        <w:autoSpaceDE w:val="0"/>
        <w:autoSpaceDN w:val="0"/>
        <w:adjustRightInd w:val="0"/>
        <w:spacing w:line="600" w:lineRule="exact"/>
        <w:ind w:firstLine="640" w:firstLineChars="200"/>
        <w:jc w:val="left"/>
        <w:outlineLvl w:val="9"/>
        <w:rPr>
          <w:rFonts w:hint="eastAsia" w:ascii="仿宋_GB2312" w:eastAsia="仿宋_GB2312"/>
          <w:color w:val="000000"/>
          <w:sz w:val="32"/>
          <w:szCs w:val="32"/>
        </w:rPr>
      </w:pPr>
      <w:bookmarkStart w:id="108" w:name="_Toc79163628"/>
      <w:r>
        <w:rPr>
          <w:rFonts w:hint="eastAsia" w:ascii="仿宋_GB2312" w:eastAsia="仿宋_GB2312"/>
          <w:color w:val="000000"/>
          <w:sz w:val="32"/>
          <w:szCs w:val="32"/>
        </w:rPr>
        <w:t>截</w:t>
      </w:r>
      <w:r>
        <w:rPr>
          <w:rFonts w:hint="eastAsia" w:ascii="仿宋_GB2312" w:eastAsia="仿宋_GB2312"/>
          <w:color w:val="000000"/>
          <w:sz w:val="32"/>
          <w:szCs w:val="32"/>
          <w:lang w:val="en-US" w:eastAsia="zh-CN"/>
        </w:rPr>
        <w:t>止2022年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壤塘县民族宗教局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32519"/>
      <w:bookmarkStart w:id="110" w:name="_Toc10517"/>
      <w:r>
        <w:rPr>
          <w:rFonts w:hint="eastAsia" w:ascii="仿宋" w:hAnsi="仿宋" w:eastAsia="仿宋"/>
          <w:b/>
          <w:color w:val="000000"/>
          <w:sz w:val="32"/>
          <w:szCs w:val="32"/>
        </w:rPr>
        <w:t>（四）预算绩效管理情况。</w:t>
      </w:r>
      <w:bookmarkEnd w:id="108"/>
      <w:bookmarkEnd w:id="109"/>
      <w:bookmarkEnd w:id="110"/>
    </w:p>
    <w:p>
      <w:pPr>
        <w:spacing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2022年</w:t>
      </w:r>
      <w:r>
        <w:rPr>
          <w:rFonts w:hint="eastAsia" w:ascii="仿宋_GB2312" w:hAnsi="仿宋_GB2312" w:eastAsia="仿宋_GB2312" w:cs="仿宋_GB2312"/>
          <w:sz w:val="32"/>
          <w:szCs w:val="32"/>
        </w:rPr>
        <w:t>部门整体支出开展绩效自评，从评价情况来看：本年预算配置控制较好，财政供养人员控制在预算编制以内，实际在职人员数与编制数相同；“三公”经费支出总额较上年减少；预算执行方面，支出总额控制在预算总额以内，基本支出中财政政策性工资有所追加，本年部门预算未进行预算相关事项的调整；预算资金按规定管理使用，财政拨款支出总体控制较好；预算管理方面，制定了切实有效的内部财务、资产内部管理制度，执行总体较为有效。</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numPr>
          <w:ilvl w:val="0"/>
          <w:numId w:val="0"/>
        </w:numPr>
        <w:bidi w:val="0"/>
        <w:jc w:val="center"/>
        <w:rPr>
          <w:rFonts w:ascii="宋体"/>
          <w:b/>
          <w:color w:val="000000"/>
          <w:sz w:val="44"/>
          <w:szCs w:val="44"/>
        </w:rPr>
      </w:pPr>
      <w:bookmarkStart w:id="111" w:name="_Toc79163629"/>
      <w:bookmarkStart w:id="112" w:name="_Toc7483"/>
      <w:bookmarkStart w:id="113" w:name="_Toc15377225"/>
      <w:bookmarkStart w:id="114" w:name="_Toc15396613"/>
      <w:r>
        <w:rPr>
          <w:rFonts w:hint="eastAsia"/>
          <w:lang w:eastAsia="zh-CN"/>
        </w:rPr>
        <w:t>第三部分</w:t>
      </w:r>
      <w:r>
        <w:rPr>
          <w:rFonts w:hint="eastAsia"/>
          <w:lang w:val="en-US" w:eastAsia="zh-CN"/>
        </w:rPr>
        <w:t xml:space="preserve">  </w:t>
      </w:r>
      <w:r>
        <w:rPr>
          <w:rFonts w:hint="eastAsia"/>
        </w:rPr>
        <w:t>名词解释</w:t>
      </w:r>
      <w:bookmarkEnd w:id="111"/>
      <w:bookmarkEnd w:id="112"/>
      <w:bookmarkEnd w:id="113"/>
      <w:bookmarkEnd w:id="114"/>
    </w:p>
    <w:p>
      <w:pPr>
        <w:pStyle w:val="36"/>
        <w:spacing w:line="560" w:lineRule="exact"/>
        <w:ind w:firstLine="640" w:firstLineChars="200"/>
        <w:rPr>
          <w:rFonts w:ascii="仿宋_GB2312" w:eastAsia="仿宋_GB2312"/>
          <w:sz w:val="32"/>
          <w:szCs w:val="32"/>
        </w:rPr>
      </w:pPr>
      <w:bookmarkStart w:id="115" w:name="_Toc15377226"/>
      <w:r>
        <w:rPr>
          <w:rFonts w:hint="eastAsia" w:ascii="仿宋_GB2312" w:eastAsia="仿宋_GB2312"/>
          <w:sz w:val="32"/>
          <w:szCs w:val="32"/>
        </w:rPr>
        <w:t>1.财政拨款收入：指单位从同级财政部门取得的财政预算资金。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2.其他收入：指单位取得的除上述收入以外的各项收入。主要是银行存款中的利息收入等。 </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3.年初结转和结余：指以前年度尚未完成、结转到本年按有关规定继续使用的资金。 </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6.机关事业单位基本养老保险缴费支出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指机关事业单位基本养老保险缴费支出</w:t>
      </w:r>
      <w:r>
        <w:rPr>
          <w:rFonts w:hint="eastAsia" w:ascii="仿宋_GB2312" w:eastAsia="仿宋_GB2312"/>
          <w:color w:val="000000"/>
          <w:sz w:val="32"/>
          <w:szCs w:val="32"/>
          <w:lang w:eastAsia="zh-CN"/>
        </w:rPr>
        <w:t>。</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7.机关事业单位职业年金缴费支出：</w:t>
      </w:r>
      <w:r>
        <w:rPr>
          <w:rFonts w:hint="eastAsia" w:ascii="仿宋_GB2312" w:eastAsia="仿宋_GB2312"/>
          <w:color w:val="000000"/>
          <w:sz w:val="32"/>
          <w:szCs w:val="32"/>
        </w:rPr>
        <w:t>指机关事业单位职业年金缴费支出。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.事业单位医疗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用于</w:t>
      </w:r>
      <w:r>
        <w:rPr>
          <w:rFonts w:hint="eastAsia" w:ascii="仿宋_GB2312" w:eastAsia="仿宋_GB2312"/>
          <w:color w:val="000000"/>
          <w:sz w:val="32"/>
          <w:szCs w:val="32"/>
        </w:rPr>
        <w:t>事业单位医疗</w:t>
      </w:r>
      <w:r>
        <w:rPr>
          <w:rFonts w:hint="eastAsia" w:ascii="仿宋_GB2312" w:eastAsia="仿宋_GB2312"/>
          <w:color w:val="000000"/>
          <w:sz w:val="32"/>
          <w:szCs w:val="32"/>
          <w:lang w:val="en-US" w:eastAsia="zh-CN"/>
        </w:rPr>
        <w:t>的支出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.住房公积金</w:t>
      </w:r>
      <w:r>
        <w:rPr>
          <w:rFonts w:hint="eastAsia" w:ascii="仿宋_GB2312" w:eastAsia="仿宋_GB2312"/>
          <w:color w:val="000000"/>
          <w:sz w:val="32"/>
          <w:szCs w:val="32"/>
          <w:lang w:eastAsia="zh-CN"/>
        </w:rPr>
        <w:t>：</w:t>
      </w:r>
      <w:r>
        <w:rPr>
          <w:rFonts w:hint="eastAsia" w:ascii="仿宋_GB2312" w:eastAsia="仿宋_GB2312"/>
          <w:color w:val="000000"/>
          <w:sz w:val="32"/>
          <w:szCs w:val="32"/>
        </w:rPr>
        <w:t>指住房公积金，主要用于单位职工住房公积金</w:t>
      </w:r>
      <w:r>
        <w:rPr>
          <w:rFonts w:hint="eastAsia" w:ascii="仿宋_GB2312" w:eastAsia="仿宋_GB2312"/>
          <w:color w:val="000000"/>
          <w:sz w:val="32"/>
          <w:szCs w:val="32"/>
          <w:lang w:eastAsia="zh-CN"/>
        </w:rPr>
        <w:t>。</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 xml:space="preserve">.项目支出：指在基本支出之外为完成特定行政任务和事业发展目标所发生的支出。 </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
        <w:bidi w:val="0"/>
        <w:jc w:val="center"/>
      </w:pPr>
      <w:r>
        <w:br w:type="page"/>
      </w:r>
      <w:bookmarkStart w:id="116" w:name="_Toc79163630"/>
      <w:bookmarkStart w:id="117" w:name="_Toc10602"/>
      <w:bookmarkStart w:id="118" w:name="_Toc15396614"/>
      <w:bookmarkStart w:id="119" w:name="_Toc79163885"/>
      <w:bookmarkStart w:id="120" w:name="_Toc79163635"/>
      <w:bookmarkStart w:id="121" w:name="_Toc15396618"/>
      <w:r>
        <w:rPr>
          <w:rFonts w:hint="eastAsia"/>
        </w:rPr>
        <w:t>第四部分</w:t>
      </w:r>
      <w:r>
        <w:t xml:space="preserve"> </w:t>
      </w:r>
      <w:r>
        <w:rPr>
          <w:rFonts w:hint="eastAsia"/>
        </w:rPr>
        <w:t>附件</w:t>
      </w:r>
      <w:bookmarkEnd w:id="116"/>
      <w:bookmarkEnd w:id="117"/>
      <w:bookmarkEnd w:id="118"/>
    </w:p>
    <w:p>
      <w:pPr>
        <w:spacing w:line="600" w:lineRule="exact"/>
        <w:jc w:val="left"/>
        <w:outlineLvl w:val="0"/>
        <w:rPr>
          <w:rFonts w:ascii="方正小标宋简体" w:hAnsi="方正小标宋简体" w:eastAsia="方正小标宋简体" w:cs="方正小标宋简体"/>
          <w:sz w:val="32"/>
          <w:szCs w:val="32"/>
        </w:rPr>
      </w:pPr>
      <w:bookmarkStart w:id="122" w:name="_Toc79163631"/>
      <w:bookmarkStart w:id="123" w:name="_Toc1834"/>
      <w:bookmarkStart w:id="124" w:name="_Toc3938"/>
      <w:r>
        <w:rPr>
          <w:rFonts w:hint="eastAsia" w:ascii="黑体" w:hAnsi="黑体" w:eastAsia="黑体" w:cs="黑体"/>
          <w:sz w:val="32"/>
          <w:szCs w:val="32"/>
        </w:rPr>
        <w:t>附件</w:t>
      </w:r>
      <w:r>
        <w:rPr>
          <w:rFonts w:ascii="黑体" w:hAnsi="黑体" w:eastAsia="黑体" w:cs="黑体"/>
          <w:sz w:val="32"/>
          <w:szCs w:val="32"/>
        </w:rPr>
        <w:t>1</w:t>
      </w:r>
      <w:bookmarkEnd w:id="122"/>
      <w:bookmarkEnd w:id="123"/>
      <w:bookmarkEnd w:id="124"/>
    </w:p>
    <w:p>
      <w:pPr>
        <w:spacing w:line="580" w:lineRule="exact"/>
        <w:jc w:val="center"/>
        <w:rPr>
          <w:rFonts w:ascii="方正小标宋简体" w:hAnsi="方正小标宋简体" w:eastAsia="方正小标宋简体" w:cs="方正小标宋简体"/>
          <w:sz w:val="44"/>
          <w:szCs w:val="44"/>
        </w:rPr>
      </w:pPr>
    </w:p>
    <w:p>
      <w:pPr>
        <w:spacing w:line="360" w:lineRule="auto"/>
        <w:jc w:val="center"/>
        <w:outlineLvl w:val="0"/>
        <w:rPr>
          <w:rFonts w:ascii="宋体" w:hAnsi="宋体" w:cs="宋体"/>
          <w:b/>
          <w:bCs/>
          <w:kern w:val="0"/>
          <w:sz w:val="44"/>
          <w:szCs w:val="44"/>
        </w:rPr>
      </w:pPr>
      <w:r>
        <w:rPr>
          <w:rFonts w:hint="eastAsia" w:ascii="宋体" w:hAnsi="宋体" w:cs="宋体"/>
          <w:b/>
          <w:bCs/>
          <w:kern w:val="0"/>
          <w:sz w:val="44"/>
          <w:szCs w:val="44"/>
        </w:rPr>
        <w:t>壤塘县</w:t>
      </w:r>
      <w:r>
        <w:rPr>
          <w:rFonts w:hint="eastAsia" w:ascii="宋体" w:hAnsi="宋体" w:eastAsia="宋体" w:cs="宋体"/>
          <w:b/>
          <w:bCs/>
          <w:kern w:val="0"/>
          <w:sz w:val="44"/>
          <w:szCs w:val="44"/>
          <w:lang w:eastAsia="zh-CN"/>
        </w:rPr>
        <w:t>民族宗教局</w:t>
      </w: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0" w:firstLineChars="200"/>
        <w:outlineLvl w:val="0"/>
        <w:rPr>
          <w:rFonts w:hint="eastAsia" w:ascii="黑体" w:hAnsi="黑体" w:eastAsia="黑体" w:cs="黑体"/>
          <w:sz w:val="32"/>
          <w:szCs w:val="32"/>
        </w:rPr>
      </w:pPr>
      <w:r>
        <w:rPr>
          <w:rFonts w:hint="eastAsia" w:ascii="黑体" w:hAnsi="黑体" w:eastAsia="黑体" w:cs="黑体"/>
          <w:kern w:val="0"/>
          <w:sz w:val="32"/>
          <w:szCs w:val="32"/>
        </w:rPr>
        <w:t>一、部门（单位）概况</w:t>
      </w:r>
    </w:p>
    <w:p>
      <w:pPr>
        <w:widowControl/>
        <w:adjustRightInd w:val="0"/>
        <w:snapToGrid w:val="0"/>
        <w:spacing w:line="560" w:lineRule="exact"/>
        <w:ind w:firstLine="640" w:firstLineChars="200"/>
        <w:contextualSpacing/>
        <w:jc w:val="left"/>
        <w:outlineLvl w:val="1"/>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（一）机构组成</w:t>
      </w:r>
    </w:p>
    <w:p>
      <w:pPr>
        <w:pageBreakBefore w:val="0"/>
        <w:widowControl/>
        <w:kinsoku/>
        <w:wordWrap/>
        <w:overflowPunct/>
        <w:topLinePunct w:val="0"/>
        <w:autoSpaceDE/>
        <w:autoSpaceDN/>
        <w:bidi w:val="0"/>
        <w:adjustRightInd/>
        <w:snapToGrid/>
        <w:spacing w:line="560" w:lineRule="exact"/>
        <w:ind w:firstLine="320" w:firstLineChars="100"/>
        <w:jc w:val="left"/>
        <w:textAlignment w:val="auto"/>
        <w:rPr>
          <w:rFonts w:hint="eastAsia"/>
          <w:lang w:val="zh-CN"/>
        </w:rPr>
      </w:pPr>
      <w:r>
        <w:rPr>
          <w:rFonts w:hint="eastAsia" w:ascii="仿宋_GB2312" w:hAnsi="Times New Roman" w:eastAsia="仿宋_GB2312" w:cs="Times New Roman"/>
          <w:b w:val="0"/>
          <w:bCs w:val="0"/>
          <w:kern w:val="2"/>
          <w:sz w:val="32"/>
          <w:szCs w:val="32"/>
          <w:lang w:val="en-US" w:eastAsia="zh-CN" w:bidi="ar-SA"/>
        </w:rPr>
        <w:t>本部门下属二级预算单位0个，其中内设机构0个。</w:t>
      </w:r>
      <w:r>
        <w:rPr>
          <w:rFonts w:hint="eastAsia" w:ascii="仿宋_GB2312" w:hAnsi="仿宋_GB2312" w:eastAsia="仿宋_GB2312" w:cs="仿宋_GB2312"/>
          <w:sz w:val="32"/>
          <w:szCs w:val="32"/>
        </w:rPr>
        <w:t>单位负责人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耿多</w:t>
      </w:r>
      <w:r>
        <w:rPr>
          <w:rFonts w:hint="eastAsia" w:ascii="仿宋_GB2312" w:hAnsi="仿宋_GB2312" w:eastAsia="仿宋_GB2312" w:cs="仿宋_GB2312"/>
          <w:sz w:val="32"/>
          <w:szCs w:val="32"/>
        </w:rPr>
        <w:t>。</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b/>
          <w:bCs/>
          <w:sz w:val="32"/>
          <w:szCs w:val="32"/>
        </w:rPr>
      </w:pPr>
      <w:r>
        <w:rPr>
          <w:rFonts w:ascii="仿宋_GB2312" w:hAnsi="宋体" w:eastAsia="仿宋_GB2312" w:cs="仿宋_GB2312"/>
          <w:color w:val="000000"/>
          <w:kern w:val="0"/>
          <w:sz w:val="32"/>
          <w:szCs w:val="32"/>
          <w:shd w:val="clear" w:color="auto" w:fill="FFFFFF"/>
          <w:lang w:bidi="ar"/>
        </w:rPr>
        <w:t>（二）机构职能</w:t>
      </w:r>
    </w:p>
    <w:p>
      <w:pPr>
        <w:pStyle w:val="42"/>
        <w:numPr>
          <w:ilvl w:val="0"/>
          <w:numId w:val="0"/>
        </w:numPr>
        <w:spacing w:before="0" w:line="360" w:lineRule="auto"/>
        <w:ind w:firstLine="960" w:firstLineChars="3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主要职责是：</w:t>
      </w:r>
    </w:p>
    <w:p>
      <w:pPr>
        <w:pStyle w:val="42"/>
        <w:numPr>
          <w:ilvl w:val="0"/>
          <w:numId w:val="3"/>
        </w:numPr>
        <w:spacing w:before="0" w:line="360" w:lineRule="auto"/>
        <w:ind w:firstLine="640" w:firstLineChars="200"/>
        <w:rPr>
          <w:rFonts w:hint="eastAsia" w:hAnsi="宋体" w:cs="宋体"/>
          <w:kern w:val="0"/>
          <w:sz w:val="32"/>
          <w:szCs w:val="32"/>
          <w:lang w:val="en-US" w:eastAsia="zh-CN"/>
        </w:rPr>
      </w:pPr>
      <w:r>
        <w:rPr>
          <w:rFonts w:hint="eastAsia" w:hAnsi="宋体" w:cs="宋体"/>
          <w:kern w:val="0"/>
          <w:sz w:val="32"/>
          <w:szCs w:val="32"/>
          <w:lang w:val="en-US" w:eastAsia="zh-CN"/>
        </w:rPr>
        <w:t>贯彻执行国家有关民族、宗教工作方面的方针、政策和法律、法规、规章，并对执行情况进行督促检查；负责民族、宗教法律法规和政策的宣传教育工作。</w:t>
      </w:r>
    </w:p>
    <w:p>
      <w:pPr>
        <w:pStyle w:val="42"/>
        <w:numPr>
          <w:ilvl w:val="0"/>
          <w:numId w:val="3"/>
        </w:numPr>
        <w:spacing w:before="0" w:line="360" w:lineRule="auto"/>
        <w:ind w:firstLine="640" w:firstLineChars="200"/>
        <w:rPr>
          <w:rFonts w:hAnsi="黑体" w:cs="Times New Roman"/>
          <w:kern w:val="2"/>
          <w:sz w:val="32"/>
          <w:szCs w:val="32"/>
        </w:rPr>
      </w:pPr>
      <w:r>
        <w:rPr>
          <w:rFonts w:hint="eastAsia" w:hAnsi="黑体" w:cs="Times New Roman"/>
          <w:b w:val="0"/>
          <w:bCs w:val="0"/>
          <w:kern w:val="2"/>
          <w:sz w:val="32"/>
          <w:szCs w:val="32"/>
        </w:rPr>
        <w:t>负责调查研究县内民族、宗教情况，提出有关民族宗教工作的政策建议。</w:t>
      </w:r>
    </w:p>
    <w:p>
      <w:pPr>
        <w:pStyle w:val="42"/>
        <w:numPr>
          <w:ilvl w:val="0"/>
          <w:numId w:val="3"/>
        </w:numPr>
        <w:spacing w:before="0" w:line="360" w:lineRule="auto"/>
        <w:ind w:firstLine="640" w:firstLineChars="200"/>
        <w:rPr>
          <w:rFonts w:hAnsi="黑体" w:cs="Times New Roman"/>
          <w:kern w:val="2"/>
          <w:sz w:val="32"/>
          <w:szCs w:val="32"/>
        </w:rPr>
      </w:pPr>
      <w:r>
        <w:rPr>
          <w:rFonts w:hint="eastAsia" w:hAnsi="黑体" w:cs="Times New Roman"/>
          <w:b w:val="0"/>
          <w:bCs w:val="0"/>
          <w:kern w:val="2"/>
          <w:sz w:val="32"/>
          <w:szCs w:val="32"/>
        </w:rPr>
        <w:t>拟定贯彻落实民族工作法律法规的政策措施并组织实施，保障少数民族合法权益；参与民族区域自治制度建设，协调民族区域自治法的贯彻落实。</w:t>
      </w:r>
    </w:p>
    <w:p>
      <w:pPr>
        <w:pStyle w:val="42"/>
        <w:numPr>
          <w:ilvl w:val="0"/>
          <w:numId w:val="3"/>
        </w:numPr>
        <w:spacing w:before="0" w:line="360" w:lineRule="auto"/>
        <w:ind w:firstLine="640" w:firstLineChars="200"/>
        <w:rPr>
          <w:rFonts w:hAnsi="黑体" w:cs="Times New Roman"/>
          <w:kern w:val="2"/>
          <w:sz w:val="32"/>
          <w:szCs w:val="32"/>
        </w:rPr>
      </w:pPr>
      <w:r>
        <w:rPr>
          <w:rFonts w:hint="eastAsia" w:hAnsi="黑体" w:cs="Times New Roman"/>
          <w:b w:val="0"/>
          <w:bCs w:val="0"/>
          <w:kern w:val="2"/>
          <w:sz w:val="32"/>
          <w:szCs w:val="32"/>
        </w:rPr>
        <w:t>协调推动本县有关部门履行民族工作相关职责，建立民族事务服务体系和少数民族事业发展综合评价监测体系，促进民族政策在经济发展和社会事业有关领域的实施、衔接；依法保护少数民族公民的合法权益，协调民族关系；参与协调民族地区社会稳定工作。</w:t>
      </w:r>
    </w:p>
    <w:p>
      <w:pPr>
        <w:pStyle w:val="42"/>
        <w:numPr>
          <w:ilvl w:val="0"/>
          <w:numId w:val="3"/>
        </w:numPr>
        <w:spacing w:before="0" w:line="360" w:lineRule="auto"/>
        <w:ind w:firstLine="640" w:firstLineChars="200"/>
        <w:rPr>
          <w:rFonts w:hint="eastAsia" w:ascii="仿宋_GB2312" w:hAnsi="仿宋_GB2312" w:eastAsia="仿宋_GB2312" w:cs="仿宋_GB2312"/>
          <w:b w:val="0"/>
          <w:bCs w:val="0"/>
          <w:kern w:val="2"/>
          <w:sz w:val="32"/>
          <w:szCs w:val="32"/>
          <w:lang w:val="en-US" w:eastAsia="zh-CN"/>
        </w:rPr>
      </w:pPr>
      <w:r>
        <w:rPr>
          <w:rFonts w:hint="eastAsia" w:hAnsi="黑体" w:cs="Times New Roman"/>
          <w:b w:val="0"/>
          <w:bCs w:val="0"/>
          <w:kern w:val="2"/>
          <w:sz w:val="32"/>
          <w:szCs w:val="32"/>
        </w:rPr>
        <w:t>组织民族政策、民族法律法规和民族基本知识的宣传教育工作；承办国家、省、市、县人民政府民族团结进步表彰活动相关事宜；配合有关部门承办自治县重大庆典、重大民族文化、体育活动等工作；组织、接待少数民族学习、参观、考察等事宜；负责民族成份的识别、恢复和更改工作。</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（三）人员情况</w:t>
      </w:r>
    </w:p>
    <w:p>
      <w:pPr>
        <w:pageBreakBefore w:val="0"/>
        <w:widowControl/>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总编制18名,其中:行政编制13名，事业编制5名，行政工勤编制 1名。在职人员总数18名，其中：行政人员 12名、事业人员5个、行政工勤人员1个；退休人员4 人</w:t>
      </w:r>
      <w:r>
        <w:rPr>
          <w:rFonts w:hint="eastAsia" w:ascii="仿宋_GB2312" w:hAnsi="宋体" w:eastAsia="仿宋_GB2312" w:cs="宋体"/>
          <w:kern w:val="0"/>
          <w:sz w:val="32"/>
          <w:szCs w:val="32"/>
          <w:lang w:eastAsia="zh-CN"/>
        </w:rPr>
        <w:t>。</w:t>
      </w: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lang w:bidi="ar"/>
        </w:rPr>
        <w:t>二、部门财政资金收支情况</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（一）部门财政资金收入情况</w:t>
      </w:r>
    </w:p>
    <w:p>
      <w:pPr>
        <w:pStyle w:val="43"/>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2022年财政下达壤塘县民族宗教局年初预算收入</w:t>
      </w:r>
      <w:r>
        <w:rPr>
          <w:rFonts w:hint="eastAsia" w:ascii="仿宋_GB2312" w:hAnsi="仿宋_GB2312" w:eastAsia="仿宋_GB2312" w:cs="仿宋_GB2312"/>
          <w:color w:val="auto"/>
          <w:sz w:val="32"/>
          <w:szCs w:val="32"/>
          <w:lang w:val="en-US" w:eastAsia="zh-CN"/>
        </w:rPr>
        <w:t>304.40</w:t>
      </w:r>
      <w:r>
        <w:rPr>
          <w:rFonts w:hint="eastAsia" w:ascii="仿宋_GB2312" w:hAnsi="仿宋_GB2312" w:eastAsia="仿宋_GB2312" w:cs="仿宋_GB2312"/>
          <w:color w:val="auto"/>
          <w:sz w:val="32"/>
          <w:szCs w:val="32"/>
          <w:lang w:eastAsia="zh-CN"/>
        </w:rPr>
        <w:t>万元，年初结转和结余241.69</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auto"/>
          <w:sz w:val="32"/>
          <w:szCs w:val="32"/>
          <w:lang w:val="en-US" w:eastAsia="zh-CN"/>
        </w:rPr>
        <w:t>251.68</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sz w:val="32"/>
          <w:szCs w:val="32"/>
          <w:lang w:val="en-US" w:eastAsia="zh-CN"/>
        </w:rPr>
        <w:t>本年度总收入</w:t>
      </w:r>
      <w:r>
        <w:rPr>
          <w:rFonts w:hint="eastAsia" w:ascii="仿宋_GB2312" w:hAnsi="仿宋_GB2312" w:eastAsia="仿宋_GB2312" w:cs="仿宋_GB2312"/>
          <w:color w:val="auto"/>
          <w:sz w:val="32"/>
          <w:szCs w:val="32"/>
          <w:lang w:val="en-US" w:eastAsia="zh-CN"/>
        </w:rPr>
        <w:t>797.77</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sz w:val="32"/>
          <w:szCs w:val="32"/>
        </w:rPr>
      </w:pPr>
      <w:r>
        <w:rPr>
          <w:rFonts w:ascii="仿宋_GB2312" w:hAnsi="宋体" w:eastAsia="仿宋_GB2312" w:cs="仿宋_GB2312"/>
          <w:color w:val="000000"/>
          <w:kern w:val="0"/>
          <w:sz w:val="32"/>
          <w:szCs w:val="32"/>
          <w:shd w:val="clear" w:color="auto" w:fill="FFFFFF"/>
          <w:lang w:bidi="ar"/>
        </w:rPr>
        <w:t>（二）部门财政资金支出情况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2022年壤塘县民族宗教局</w:t>
      </w:r>
      <w:r>
        <w:rPr>
          <w:rFonts w:hint="eastAsia" w:ascii="仿宋_GB2312" w:hAnsi="仿宋_GB2312" w:eastAsia="仿宋_GB2312" w:cs="仿宋_GB2312"/>
          <w:color w:val="auto"/>
          <w:sz w:val="32"/>
          <w:szCs w:val="32"/>
          <w:lang w:val="en-US" w:eastAsia="zh-CN"/>
        </w:rPr>
        <w:t>预</w:t>
      </w:r>
      <w:r>
        <w:rPr>
          <w:rFonts w:hint="eastAsia" w:ascii="仿宋_GB2312" w:hAnsi="仿宋_GB2312" w:eastAsia="仿宋_GB2312" w:cs="仿宋_GB2312"/>
          <w:color w:val="auto"/>
          <w:sz w:val="32"/>
          <w:szCs w:val="32"/>
          <w:lang w:eastAsia="zh-CN"/>
        </w:rPr>
        <w:t>算支出</w:t>
      </w:r>
      <w:r>
        <w:rPr>
          <w:rFonts w:hint="eastAsia" w:ascii="仿宋_GB2312" w:hAnsi="仿宋_GB2312" w:eastAsia="仿宋_GB2312" w:cs="仿宋_GB2312"/>
          <w:color w:val="auto"/>
          <w:sz w:val="32"/>
          <w:szCs w:val="32"/>
          <w:lang w:val="en-US" w:eastAsia="zh-CN"/>
        </w:rPr>
        <w:t>797.77</w:t>
      </w:r>
      <w:r>
        <w:rPr>
          <w:rFonts w:hint="eastAsia" w:ascii="仿宋_GB2312" w:hAnsi="仿宋_GB2312" w:eastAsia="仿宋_GB2312" w:cs="仿宋_GB2312"/>
          <w:color w:val="auto"/>
          <w:sz w:val="32"/>
          <w:szCs w:val="32"/>
          <w:lang w:eastAsia="zh-CN"/>
        </w:rPr>
        <w:t>万元，基本支出</w:t>
      </w:r>
      <w:r>
        <w:rPr>
          <w:rFonts w:hint="eastAsia" w:ascii="仿宋_GB2312" w:hAnsi="仿宋_GB2312" w:eastAsia="仿宋_GB2312" w:cs="仿宋_GB2312"/>
          <w:color w:val="auto"/>
          <w:sz w:val="32"/>
          <w:szCs w:val="32"/>
          <w:lang w:val="en-US" w:eastAsia="zh-CN"/>
        </w:rPr>
        <w:t>403.75</w:t>
      </w:r>
      <w:r>
        <w:rPr>
          <w:rFonts w:hint="eastAsia" w:ascii="仿宋_GB2312" w:hAnsi="仿宋_GB2312" w:eastAsia="仿宋_GB2312" w:cs="仿宋_GB2312"/>
          <w:color w:val="auto"/>
          <w:sz w:val="32"/>
          <w:szCs w:val="32"/>
          <w:lang w:eastAsia="zh-CN"/>
        </w:rPr>
        <w:t>万元，项目支出</w:t>
      </w:r>
      <w:r>
        <w:rPr>
          <w:rFonts w:hint="eastAsia" w:ascii="仿宋_GB2312" w:hAnsi="仿宋_GB2312" w:eastAsia="仿宋_GB2312" w:cs="仿宋_GB2312"/>
          <w:color w:val="auto"/>
          <w:sz w:val="32"/>
          <w:szCs w:val="32"/>
          <w:lang w:val="en-US" w:eastAsia="zh-CN"/>
        </w:rPr>
        <w:t>394.02</w:t>
      </w:r>
      <w:r>
        <w:rPr>
          <w:rFonts w:hint="eastAsia" w:ascii="仿宋_GB2312" w:hAnsi="仿宋_GB2312" w:eastAsia="仿宋_GB2312" w:cs="仿宋_GB2312"/>
          <w:color w:val="auto"/>
          <w:sz w:val="32"/>
          <w:szCs w:val="32"/>
          <w:lang w:eastAsia="zh-CN"/>
        </w:rPr>
        <w:t>万元。</w:t>
      </w: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lang w:bidi="ar"/>
        </w:rPr>
        <w:t>三、部门整体预算绩效管理情况</w:t>
      </w:r>
    </w:p>
    <w:p>
      <w:pPr>
        <w:widowControl/>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（一）部门预算管理</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1、部门绩效目标制定情况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根据预算绩效管理要求，壤塘县</w:t>
      </w:r>
      <w:r>
        <w:rPr>
          <w:rFonts w:hint="eastAsia" w:ascii="仿宋_GB2312" w:hAnsi="黑体" w:eastAsia="仿宋_GB2312" w:cs="Times New Roman"/>
          <w:b w:val="0"/>
          <w:bCs w:val="0"/>
          <w:kern w:val="2"/>
          <w:sz w:val="32"/>
          <w:szCs w:val="32"/>
          <w:lang w:val="en-US" w:eastAsia="zh-CN" w:bidi="ar-SA"/>
        </w:rPr>
        <w:t>民族宗教局</w:t>
      </w:r>
      <w:r>
        <w:rPr>
          <w:rFonts w:hint="eastAsia" w:ascii="仿宋_GB2312" w:hAnsi="仿宋_GB2312" w:eastAsia="仿宋_GB2312" w:cs="仿宋_GB2312"/>
          <w:color w:val="333333"/>
          <w:kern w:val="0"/>
          <w:sz w:val="32"/>
          <w:szCs w:val="32"/>
          <w:shd w:val="clear" w:color="auto" w:fill="FFFFFF"/>
        </w:rPr>
        <w:t>在年初预算编制阶段，组织对</w:t>
      </w:r>
      <w:r>
        <w:rPr>
          <w:rFonts w:hint="eastAsia" w:ascii="仿宋_GB2312" w:hAnsi="仿宋_GB2312" w:eastAsia="仿宋_GB2312" w:cs="仿宋_GB2312"/>
          <w:color w:val="333333"/>
          <w:kern w:val="0"/>
          <w:sz w:val="32"/>
          <w:szCs w:val="32"/>
          <w:shd w:val="clear" w:color="auto" w:fill="FFFFFF"/>
          <w:lang w:val="en-US" w:eastAsia="zh-CN"/>
        </w:rPr>
        <w:t>壤塘县民族宗教局</w:t>
      </w:r>
      <w:r>
        <w:rPr>
          <w:rFonts w:hint="eastAsia" w:ascii="仿宋_GB2312" w:hAnsi="仿宋_GB2312" w:eastAsia="仿宋_GB2312" w:cs="仿宋_GB2312"/>
          <w:color w:val="333333"/>
          <w:kern w:val="0"/>
          <w:sz w:val="32"/>
          <w:szCs w:val="32"/>
          <w:shd w:val="clear" w:color="auto" w:fill="FFFFFF"/>
        </w:rPr>
        <w:t>整体支出开展了预算事前绩效评估，编制了绩效目标，预算执行过程中，开展绩效监控，年终执行完毕后，开展了绩效目标完成情况梳理填报。</w:t>
      </w:r>
    </w:p>
    <w:p>
      <w:pPr>
        <w:widowControl/>
        <w:adjustRightInd w:val="0"/>
        <w:snapToGrid w:val="0"/>
        <w:spacing w:line="560" w:lineRule="exact"/>
        <w:ind w:firstLine="640" w:firstLineChars="200"/>
        <w:contextualSpacing/>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本部门按要求对202</w:t>
      </w:r>
      <w:r>
        <w:rPr>
          <w:rFonts w:ascii="仿宋_GB2312" w:hAnsi="仿宋_GB2312" w:eastAsia="仿宋_GB2312" w:cs="仿宋_GB2312"/>
          <w:color w:val="333333"/>
          <w:kern w:val="0"/>
          <w:sz w:val="32"/>
          <w:szCs w:val="32"/>
          <w:shd w:val="clear" w:color="auto" w:fill="FFFFFF"/>
        </w:rPr>
        <w:t>2</w:t>
      </w:r>
      <w:r>
        <w:rPr>
          <w:rFonts w:hint="eastAsia" w:ascii="仿宋_GB2312" w:hAnsi="仿宋_GB2312" w:eastAsia="仿宋_GB2312" w:cs="仿宋_GB2312"/>
          <w:color w:val="333333"/>
          <w:kern w:val="0"/>
          <w:sz w:val="32"/>
          <w:szCs w:val="32"/>
          <w:shd w:val="clear" w:color="auto" w:fill="FFFFFF"/>
        </w:rPr>
        <w:t>年部门整体支出开展绩效自评，从评价情况来看：本年预算配置控制较好，财政供养人员控制在预算编制以内，实际在职人员数与编制数相同；“三公”经费支出总额较上年减少；预算执行方面，支出总额控制在预算总额以内，基本支出中财政政策性工资有所追加，本年部门预算未进行预算相关事项的调整；预算资金按规定管理使用，财政拨款支出总体控制较好；预算管理方面，制定了切实有效的内部财务、资产内部管理制度，执行总体较为有效。</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2、目标完成情况</w:t>
      </w:r>
    </w:p>
    <w:p>
      <w:pPr>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一是有序推进“一寺一策”依法规范管理工作。按照省、州、县关于“一寺一策”依法规范管理工作安排，以问题为导向，对标“一寺一策”8+N问题整改要求，对辖区寺管会（所）及寺庙开展了4次全面、系统自查自检自评。通过各片区剖析问题根源，制定整治措施，有序推进了我县“一寺一策”依法规范管理工作。全县37座寺庙“一寺一策”阶段性工作取得明显效果，</w:t>
      </w:r>
      <w:r>
        <w:rPr>
          <w:rFonts w:hint="eastAsia" w:ascii="仿宋_GB2312" w:hAnsi="仿宋_GB2312" w:eastAsia="仿宋_GB2312" w:cs="仿宋_GB2312"/>
          <w:kern w:val="0"/>
          <w:sz w:val="32"/>
          <w:szCs w:val="32"/>
          <w:shd w:val="clear" w:color="auto" w:fill="FFFFFF"/>
          <w:lang w:val="en-US" w:eastAsia="zh-CN"/>
        </w:rPr>
        <w:t>截至</w:t>
      </w:r>
      <w:r>
        <w:rPr>
          <w:rFonts w:hint="eastAsia" w:ascii="仿宋_GB2312" w:hAnsi="仿宋_GB2312" w:eastAsia="仿宋_GB2312" w:cs="仿宋_GB2312"/>
          <w:kern w:val="0"/>
          <w:sz w:val="32"/>
          <w:szCs w:val="32"/>
          <w:shd w:val="clear" w:color="auto" w:fill="FFFFFF"/>
        </w:rPr>
        <w:t>目前，已完成10座重点寺庙省级验收；二是全力推进安全生产工作，围绕年初安全生产目标责任指标及整改工作要求，狠抓消防安全、房屋建筑安全、食品安全等工作。严格落实属地管理责任，深入辖区各寺庙开展寺庙安全隐患大排查</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三是扎实开展风险防范隐患排查及整改落实工作。截至目前全县发现各类安全隐患问题共计70</w:t>
      </w:r>
      <w:r>
        <w:rPr>
          <w:rFonts w:hint="eastAsia" w:ascii="仿宋_GB2312" w:hAnsi="仿宋_GB2312" w:eastAsia="仿宋_GB2312" w:cs="仿宋_GB2312"/>
          <w:kern w:val="0"/>
          <w:sz w:val="32"/>
          <w:szCs w:val="32"/>
          <w:shd w:val="clear" w:color="auto" w:fill="FFFFFF"/>
          <w:lang w:val="en-US" w:eastAsia="zh-CN"/>
        </w:rPr>
        <w:t>条</w:t>
      </w:r>
      <w:r>
        <w:rPr>
          <w:rFonts w:hint="eastAsia" w:ascii="仿宋_GB2312" w:hAnsi="仿宋_GB2312" w:eastAsia="仿宋_GB2312" w:cs="仿宋_GB2312"/>
          <w:kern w:val="0"/>
          <w:sz w:val="32"/>
          <w:szCs w:val="32"/>
          <w:shd w:val="clear" w:color="auto" w:fill="FFFFFF"/>
        </w:rPr>
        <w:t>。现已整改完成安全隐患11</w:t>
      </w:r>
      <w:r>
        <w:rPr>
          <w:rFonts w:hint="eastAsia" w:ascii="仿宋_GB2312" w:hAnsi="仿宋_GB2312" w:eastAsia="仿宋_GB2312" w:cs="仿宋_GB2312"/>
          <w:kern w:val="0"/>
          <w:sz w:val="32"/>
          <w:szCs w:val="32"/>
          <w:shd w:val="clear" w:color="auto" w:fill="FFFFFF"/>
          <w:lang w:val="en-US" w:eastAsia="zh-CN"/>
        </w:rPr>
        <w:t>条</w:t>
      </w:r>
      <w:r>
        <w:rPr>
          <w:rFonts w:hint="eastAsia" w:ascii="仿宋_GB2312" w:hAnsi="仿宋_GB2312" w:eastAsia="仿宋_GB2312" w:cs="仿宋_GB2312"/>
          <w:kern w:val="0"/>
          <w:sz w:val="32"/>
          <w:szCs w:val="32"/>
          <w:shd w:val="clear" w:color="auto" w:fill="FFFFFF"/>
        </w:rPr>
        <w:t>、明确整改时间正在整改中23</w:t>
      </w:r>
      <w:r>
        <w:rPr>
          <w:rFonts w:hint="eastAsia" w:ascii="仿宋_GB2312" w:hAnsi="仿宋_GB2312" w:eastAsia="仿宋_GB2312" w:cs="仿宋_GB2312"/>
          <w:kern w:val="0"/>
          <w:sz w:val="32"/>
          <w:szCs w:val="32"/>
          <w:shd w:val="clear" w:color="auto" w:fill="FFFFFF"/>
          <w:lang w:val="en-US" w:eastAsia="zh-CN"/>
        </w:rPr>
        <w:t>条</w:t>
      </w:r>
      <w:r>
        <w:rPr>
          <w:rFonts w:hint="eastAsia" w:ascii="仿宋_GB2312" w:hAnsi="仿宋_GB2312" w:eastAsia="仿宋_GB2312" w:cs="仿宋_GB2312"/>
          <w:kern w:val="0"/>
          <w:sz w:val="32"/>
          <w:szCs w:val="32"/>
          <w:shd w:val="clear" w:color="auto" w:fill="FFFFFF"/>
        </w:rPr>
        <w:t>，还未整改36</w:t>
      </w:r>
      <w:r>
        <w:rPr>
          <w:rFonts w:hint="eastAsia" w:ascii="仿宋_GB2312" w:hAnsi="仿宋_GB2312" w:eastAsia="仿宋_GB2312" w:cs="仿宋_GB2312"/>
          <w:kern w:val="0"/>
          <w:sz w:val="32"/>
          <w:szCs w:val="32"/>
          <w:shd w:val="clear" w:color="auto" w:fill="FFFFFF"/>
          <w:lang w:val="en-US" w:eastAsia="zh-CN"/>
        </w:rPr>
        <w:t>条</w:t>
      </w:r>
      <w:r>
        <w:rPr>
          <w:rFonts w:hint="eastAsia" w:ascii="仿宋_GB2312" w:hAnsi="仿宋_GB2312" w:eastAsia="仿宋_GB2312" w:cs="仿宋_GB2312"/>
          <w:kern w:val="0"/>
          <w:sz w:val="32"/>
          <w:szCs w:val="32"/>
          <w:shd w:val="clear" w:color="auto" w:fill="FFFFFF"/>
        </w:rPr>
        <w:t>、正在积极对接相关</w:t>
      </w:r>
      <w:r>
        <w:rPr>
          <w:rFonts w:hint="eastAsia" w:ascii="仿宋_GB2312" w:hAnsi="仿宋_GB2312" w:eastAsia="仿宋_GB2312" w:cs="仿宋_GB2312"/>
          <w:kern w:val="0"/>
          <w:sz w:val="32"/>
          <w:szCs w:val="32"/>
          <w:shd w:val="clear" w:color="auto" w:fill="FFFFFF"/>
          <w:lang w:val="en-US" w:eastAsia="zh-CN"/>
        </w:rPr>
        <w:t>部门</w:t>
      </w:r>
      <w:r>
        <w:rPr>
          <w:rFonts w:hint="eastAsia" w:ascii="仿宋_GB2312" w:hAnsi="仿宋_GB2312" w:eastAsia="仿宋_GB2312" w:cs="仿宋_GB2312"/>
          <w:kern w:val="0"/>
          <w:sz w:val="32"/>
          <w:szCs w:val="32"/>
          <w:shd w:val="clear" w:color="auto" w:fill="FFFFFF"/>
        </w:rPr>
        <w:t>予以解决。</w:t>
      </w:r>
    </w:p>
    <w:p>
      <w:pPr>
        <w:ind w:firstLine="640" w:firstLineChars="200"/>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3、预算编制情况</w:t>
      </w:r>
    </w:p>
    <w:p>
      <w:pPr>
        <w:pStyle w:val="2"/>
        <w:ind w:left="0" w:leftChars="0"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2022年财政下达壤塘县</w:t>
      </w:r>
      <w:r>
        <w:rPr>
          <w:rFonts w:hint="eastAsia" w:ascii="仿宋_GB2312" w:hAnsi="黑体" w:eastAsia="仿宋_GB2312" w:cs="Times New Roman"/>
          <w:b w:val="0"/>
          <w:bCs w:val="0"/>
          <w:kern w:val="2"/>
          <w:sz w:val="32"/>
          <w:szCs w:val="32"/>
          <w:lang w:val="en-US" w:eastAsia="zh-CN" w:bidi="ar-SA"/>
        </w:rPr>
        <w:t>民族宗教局</w:t>
      </w:r>
      <w:r>
        <w:rPr>
          <w:rFonts w:hint="eastAsia" w:ascii="仿宋_GB2312" w:hAnsi="仿宋_GB2312" w:eastAsia="仿宋_GB2312" w:cs="仿宋_GB2312"/>
          <w:color w:val="000000"/>
          <w:kern w:val="0"/>
          <w:sz w:val="32"/>
          <w:szCs w:val="32"/>
          <w:lang w:val="en-US" w:eastAsia="zh-CN" w:bidi="ar"/>
        </w:rPr>
        <w:t>年初预算入</w:t>
      </w:r>
      <w:r>
        <w:rPr>
          <w:rFonts w:hint="eastAsia" w:ascii="仿宋_GB2312" w:hAnsi="仿宋_GB2312" w:eastAsia="仿宋_GB2312" w:cs="仿宋_GB2312"/>
          <w:color w:val="auto"/>
          <w:sz w:val="32"/>
          <w:szCs w:val="32"/>
          <w:lang w:val="en-US" w:eastAsia="zh-CN"/>
        </w:rPr>
        <w:t>304.40</w:t>
      </w:r>
      <w:r>
        <w:rPr>
          <w:rFonts w:hint="eastAsia" w:ascii="仿宋_GB2312" w:hAnsi="仿宋_GB2312" w:eastAsia="仿宋_GB2312" w:cs="仿宋_GB2312"/>
          <w:color w:val="auto"/>
          <w:sz w:val="32"/>
          <w:szCs w:val="32"/>
          <w:lang w:eastAsia="zh-CN"/>
        </w:rPr>
        <w:t>万元，年初结转和结余241.69</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auto"/>
          <w:sz w:val="32"/>
          <w:szCs w:val="32"/>
          <w:lang w:val="en-US" w:eastAsia="zh-CN"/>
        </w:rPr>
        <w:t>251.68</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；2022全年实际收入共计556.07万元，年末无结转结余，预算编制准确率较高。</w:t>
      </w:r>
      <w:r>
        <w:rPr>
          <w:rFonts w:hint="eastAsia" w:ascii="仿宋_GB2312" w:hAnsi="仿宋_GB2312" w:eastAsia="仿宋_GB2312" w:cs="仿宋_GB2312"/>
          <w:color w:val="000000"/>
          <w:kern w:val="0"/>
          <w:sz w:val="32"/>
          <w:szCs w:val="32"/>
          <w:lang w:bidi="ar"/>
        </w:rPr>
        <w:t>年末无结转结余。严格按照预算编制方案科学合理编制本单位预算，提前做好情况摸底、数据收集、填报绩效目标、细化专项预算，按照人员经费逐人核定编制，公用经费，严格编制“三公”经费预算，压缩公业务费，科学编制项目支出，编制部门预算项目绩效目标，按时完成预算编制报送工作。</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4、执行进度情况</w:t>
      </w:r>
    </w:p>
    <w:p>
      <w:pPr>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2022年财政下达壤塘县</w:t>
      </w:r>
      <w:r>
        <w:rPr>
          <w:rFonts w:hint="eastAsia" w:ascii="仿宋_GB2312" w:hAnsi="黑体" w:eastAsia="仿宋_GB2312" w:cs="Times New Roman"/>
          <w:b w:val="0"/>
          <w:bCs w:val="0"/>
          <w:kern w:val="2"/>
          <w:sz w:val="32"/>
          <w:szCs w:val="32"/>
          <w:lang w:val="en-US" w:eastAsia="zh-CN" w:bidi="ar-SA"/>
        </w:rPr>
        <w:t>民族宗教局</w:t>
      </w:r>
      <w:r>
        <w:rPr>
          <w:rFonts w:hint="eastAsia" w:ascii="仿宋_GB2312" w:hAnsi="仿宋_GB2312" w:eastAsia="仿宋_GB2312" w:cs="仿宋_GB2312"/>
          <w:color w:val="000000"/>
          <w:kern w:val="0"/>
          <w:sz w:val="32"/>
          <w:szCs w:val="32"/>
          <w:lang w:val="en-US" w:eastAsia="zh-CN" w:bidi="ar"/>
        </w:rPr>
        <w:t>年初预算收入</w:t>
      </w:r>
      <w:r>
        <w:rPr>
          <w:rFonts w:hint="eastAsia" w:ascii="仿宋_GB2312" w:hAnsi="仿宋_GB2312" w:eastAsia="仿宋_GB2312" w:cs="仿宋_GB2312"/>
          <w:color w:val="auto"/>
          <w:sz w:val="32"/>
          <w:szCs w:val="32"/>
          <w:lang w:val="en-US" w:eastAsia="zh-CN"/>
        </w:rPr>
        <w:t>304.40</w:t>
      </w:r>
      <w:r>
        <w:rPr>
          <w:rFonts w:hint="eastAsia" w:ascii="仿宋_GB2312" w:hAnsi="仿宋_GB2312" w:eastAsia="仿宋_GB2312" w:cs="仿宋_GB2312"/>
          <w:color w:val="auto"/>
          <w:sz w:val="32"/>
          <w:szCs w:val="32"/>
          <w:lang w:eastAsia="zh-CN"/>
        </w:rPr>
        <w:t>万元，年初结转和结余241.69</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auto"/>
          <w:sz w:val="32"/>
          <w:szCs w:val="32"/>
          <w:lang w:val="en-US" w:eastAsia="zh-CN"/>
        </w:rPr>
        <w:t>251.68</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。年末无结转结余，单位执行进度为100%，达到预期目标。</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5、预算完成情况</w:t>
      </w:r>
    </w:p>
    <w:p>
      <w:pPr>
        <w:widowControl/>
        <w:adjustRightInd w:val="0"/>
        <w:snapToGrid w:val="0"/>
        <w:spacing w:line="560" w:lineRule="exact"/>
        <w:ind w:firstLine="640" w:firstLineChars="200"/>
        <w:contextualSpacing/>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2022年财政下达壤塘县</w:t>
      </w:r>
      <w:r>
        <w:rPr>
          <w:rFonts w:hint="eastAsia" w:ascii="仿宋_GB2312" w:hAnsi="黑体" w:eastAsia="仿宋_GB2312" w:cs="Times New Roman"/>
          <w:b w:val="0"/>
          <w:bCs w:val="0"/>
          <w:kern w:val="2"/>
          <w:sz w:val="32"/>
          <w:szCs w:val="32"/>
          <w:lang w:val="en-US" w:eastAsia="zh-CN" w:bidi="ar-SA"/>
        </w:rPr>
        <w:t>民族宗教局</w:t>
      </w:r>
      <w:r>
        <w:rPr>
          <w:rFonts w:hint="eastAsia" w:ascii="仿宋_GB2312" w:hAnsi="仿宋_GB2312" w:eastAsia="仿宋_GB2312" w:cs="仿宋_GB2312"/>
          <w:color w:val="000000"/>
          <w:kern w:val="0"/>
          <w:sz w:val="32"/>
          <w:szCs w:val="32"/>
          <w:lang w:val="en-US" w:eastAsia="zh-CN" w:bidi="ar"/>
        </w:rPr>
        <w:t>年初预算收入</w:t>
      </w:r>
      <w:r>
        <w:rPr>
          <w:rFonts w:hint="eastAsia" w:ascii="仿宋_GB2312" w:hAnsi="仿宋_GB2312" w:eastAsia="仿宋_GB2312" w:cs="仿宋_GB2312"/>
          <w:color w:val="auto"/>
          <w:sz w:val="32"/>
          <w:szCs w:val="32"/>
          <w:lang w:val="en-US" w:eastAsia="zh-CN"/>
        </w:rPr>
        <w:t>304.40</w:t>
      </w:r>
      <w:r>
        <w:rPr>
          <w:rFonts w:hint="eastAsia" w:ascii="仿宋_GB2312" w:hAnsi="仿宋_GB2312" w:eastAsia="仿宋_GB2312" w:cs="仿宋_GB2312"/>
          <w:color w:val="auto"/>
          <w:sz w:val="32"/>
          <w:szCs w:val="32"/>
          <w:lang w:eastAsia="zh-CN"/>
        </w:rPr>
        <w:t>万元，年初结转和结余241.69</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auto"/>
          <w:sz w:val="32"/>
          <w:szCs w:val="32"/>
          <w:lang w:val="en-US" w:eastAsia="zh-CN"/>
        </w:rPr>
        <w:t>251.68</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。年末无结转结余，单位执行进度为100%，达到预期目标。</w:t>
      </w:r>
    </w:p>
    <w:p>
      <w:pPr>
        <w:pStyle w:val="7"/>
        <w:ind w:firstLine="640" w:firstLineChars="200"/>
        <w:rPr>
          <w:rFonts w:hint="eastAsia"/>
          <w:lang w:val="en-US" w:eastAsia="zh-CN"/>
        </w:rPr>
      </w:pPr>
      <w:r>
        <w:rPr>
          <w:rFonts w:hint="eastAsia" w:ascii="仿宋_GB2312" w:hAnsi="宋体" w:eastAsia="仿宋_GB2312" w:cs="仿宋_GB2312"/>
          <w:color w:val="000000"/>
          <w:kern w:val="0"/>
          <w:sz w:val="32"/>
          <w:szCs w:val="32"/>
          <w:shd w:val="clear" w:color="auto" w:fill="FFFFFF"/>
          <w:lang w:val="en-US" w:eastAsia="zh-CN" w:bidi="ar"/>
        </w:rPr>
        <w:t>6、行政成本</w:t>
      </w:r>
    </w:p>
    <w:p>
      <w:pPr>
        <w:pStyle w:val="42"/>
        <w:spacing w:before="0" w:line="360" w:lineRule="auto"/>
        <w:ind w:firstLine="640" w:firstLineChars="200"/>
        <w:rPr>
          <w:rFonts w:hint="eastAsia" w:hAnsi="黑体"/>
          <w:kern w:val="2"/>
          <w:sz w:val="32"/>
          <w:szCs w:val="32"/>
        </w:rPr>
      </w:pPr>
      <w:r>
        <w:rPr>
          <w:rFonts w:hint="eastAsia" w:hAnsi="黑体"/>
          <w:kern w:val="2"/>
          <w:sz w:val="32"/>
          <w:szCs w:val="32"/>
          <w:lang w:val="en-US" w:eastAsia="zh-CN"/>
        </w:rPr>
        <w:t>壤塘县</w:t>
      </w:r>
      <w:r>
        <w:rPr>
          <w:rFonts w:hint="eastAsia" w:hAnsi="黑体"/>
          <w:kern w:val="2"/>
          <w:sz w:val="32"/>
          <w:szCs w:val="32"/>
          <w:lang w:eastAsia="zh-CN"/>
        </w:rPr>
        <w:t>民族宗教局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3.89</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w:t>
      </w:r>
      <w:r>
        <w:rPr>
          <w:rFonts w:hint="eastAsia" w:hAnsi="黑体"/>
          <w:kern w:val="2"/>
          <w:sz w:val="32"/>
          <w:szCs w:val="32"/>
        </w:rPr>
        <w:t>万元，公务用车购置及运行维护费</w:t>
      </w:r>
      <w:r>
        <w:rPr>
          <w:rFonts w:hint="eastAsia" w:hAnsi="黑体"/>
          <w:kern w:val="2"/>
          <w:sz w:val="32"/>
          <w:szCs w:val="32"/>
          <w:lang w:val="en-US" w:eastAsia="zh-CN"/>
        </w:rPr>
        <w:t>3.89</w:t>
      </w:r>
      <w:r>
        <w:rPr>
          <w:rFonts w:hint="eastAsia" w:hAnsi="黑体"/>
          <w:kern w:val="2"/>
          <w:sz w:val="32"/>
          <w:szCs w:val="32"/>
        </w:rPr>
        <w:t>元。</w:t>
      </w:r>
    </w:p>
    <w:p>
      <w:pPr>
        <w:ind w:firstLine="640" w:firstLineChars="200"/>
        <w:rPr>
          <w:rFonts w:hint="default" w:ascii="仿宋_GB2312" w:hAnsi="宋体" w:eastAsia="仿宋_GB2312" w:cs="仿宋_GB2312"/>
          <w:color w:val="000000"/>
          <w:kern w:val="0"/>
          <w:sz w:val="32"/>
          <w:szCs w:val="32"/>
          <w:shd w:val="clear" w:color="auto" w:fill="FFFFFF"/>
          <w:lang w:val="en-US" w:eastAsia="zh-CN" w:bidi="ar"/>
        </w:rPr>
      </w:pPr>
      <w:r>
        <w:rPr>
          <w:rFonts w:hint="eastAsia" w:ascii="仿宋_GB2312" w:hAnsi="宋体" w:eastAsia="仿宋_GB2312" w:cs="仿宋_GB2312"/>
          <w:color w:val="000000"/>
          <w:kern w:val="0"/>
          <w:sz w:val="32"/>
          <w:szCs w:val="32"/>
          <w:shd w:val="clear" w:color="auto" w:fill="FFFFFF"/>
          <w:lang w:val="en-US" w:eastAsia="zh-CN" w:bidi="ar"/>
        </w:rPr>
        <w:t>7、政府采购</w:t>
      </w:r>
    </w:p>
    <w:p>
      <w:pPr>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壤塘县民族宗教局2022年政府性基金预算拨款安排</w:t>
      </w:r>
      <w:r>
        <w:rPr>
          <w:rFonts w:hint="eastAsia" w:hAnsi="黑体"/>
          <w:kern w:val="2"/>
          <w:sz w:val="32"/>
          <w:szCs w:val="32"/>
        </w:rPr>
        <w:t>预算</w:t>
      </w:r>
      <w:r>
        <w:rPr>
          <w:rFonts w:hint="eastAsia" w:ascii="仿宋_GB2312" w:hAnsi="仿宋_GB2312" w:eastAsia="仿宋_GB2312" w:cs="仿宋_GB2312"/>
          <w:color w:val="000000"/>
          <w:kern w:val="0"/>
          <w:sz w:val="32"/>
          <w:szCs w:val="32"/>
          <w:lang w:val="en-US" w:eastAsia="zh-CN" w:bidi="ar"/>
        </w:rPr>
        <w:t>数0万元。</w:t>
      </w:r>
    </w:p>
    <w:p>
      <w:pPr>
        <w:pStyle w:val="7"/>
        <w:numPr>
          <w:ilvl w:val="0"/>
          <w:numId w:val="4"/>
        </w:numPr>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shd w:val="clear" w:color="auto" w:fill="FFFFFF"/>
          <w:lang w:val="en-US" w:eastAsia="zh-CN" w:bidi="ar"/>
        </w:rPr>
        <w:t>资产管理</w:t>
      </w:r>
      <w:r>
        <w:rPr>
          <w:rFonts w:hint="eastAsia" w:ascii="仿宋_GB2312" w:hAnsi="仿宋_GB2312" w:eastAsia="仿宋_GB2312" w:cs="仿宋_GB2312"/>
          <w:color w:val="000000"/>
          <w:kern w:val="0"/>
          <w:sz w:val="32"/>
          <w:szCs w:val="32"/>
          <w:lang w:val="en-US" w:eastAsia="zh-CN" w:bidi="ar"/>
        </w:rPr>
        <w:t xml:space="preserve"> </w:t>
      </w:r>
    </w:p>
    <w:p>
      <w:pPr>
        <w:pStyle w:val="7"/>
        <w:numPr>
          <w:ilvl w:val="0"/>
          <w:numId w:val="0"/>
        </w:numPr>
        <w:ind w:firstLine="640" w:firstLineChars="200"/>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rPr>
        <w:t>固定</w:t>
      </w:r>
      <w:r>
        <w:rPr>
          <w:rFonts w:hint="eastAsia" w:ascii="仿宋_GB2312" w:hAnsi="仿宋_GB2312" w:eastAsia="仿宋_GB2312" w:cs="仿宋_GB2312"/>
          <w:sz w:val="32"/>
          <w:szCs w:val="32"/>
          <w:lang w:val="en-US" w:eastAsia="zh-CN"/>
        </w:rPr>
        <w:t>管理情况</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壤塘县民族宗教局</w:t>
      </w:r>
      <w:r>
        <w:rPr>
          <w:rFonts w:hint="eastAsia" w:ascii="仿宋_GB2312" w:hAnsi="仿宋_GB2312" w:eastAsia="仿宋_GB2312" w:cs="仿宋_GB2312"/>
          <w:sz w:val="32"/>
          <w:szCs w:val="32"/>
        </w:rPr>
        <w:t>《行政单位资产管理系统》固定资产总计</w:t>
      </w:r>
      <w:r>
        <w:rPr>
          <w:rFonts w:hint="eastAsia" w:ascii="仿宋_GB2312" w:hAnsi="仿宋_GB2312" w:eastAsia="仿宋_GB2312" w:cs="仿宋_GB2312"/>
          <w:sz w:val="32"/>
          <w:szCs w:val="32"/>
          <w:lang w:val="en-US" w:eastAsia="zh-CN"/>
        </w:rPr>
        <w:t>60.52</w:t>
      </w:r>
      <w:r>
        <w:rPr>
          <w:rFonts w:hint="eastAsia" w:ascii="仿宋_GB2312" w:hAnsi="仿宋_GB2312" w:eastAsia="仿宋_GB2312" w:cs="仿宋_GB2312"/>
          <w:sz w:val="32"/>
          <w:szCs w:val="32"/>
        </w:rPr>
        <w:t>万元，在用的固定资产总计</w:t>
      </w:r>
      <w:r>
        <w:rPr>
          <w:rFonts w:hint="eastAsia" w:ascii="仿宋_GB2312" w:hAnsi="仿宋_GB2312" w:eastAsia="仿宋_GB2312" w:cs="仿宋_GB2312"/>
          <w:sz w:val="32"/>
          <w:szCs w:val="32"/>
          <w:lang w:val="en-US" w:eastAsia="zh-CN"/>
        </w:rPr>
        <w:t>60.52</w:t>
      </w:r>
      <w:r>
        <w:rPr>
          <w:rFonts w:hint="eastAsia" w:ascii="仿宋_GB2312" w:hAnsi="仿宋_GB2312" w:eastAsia="仿宋_GB2312" w:cs="仿宋_GB2312"/>
          <w:sz w:val="32"/>
          <w:szCs w:val="32"/>
        </w:rPr>
        <w:t>万元，固定资产在用率达</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bidi="ar"/>
        </w:rPr>
        <w:t xml:space="preserve"> </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仿宋_GB2312"/>
          <w:color w:val="000000"/>
          <w:kern w:val="0"/>
          <w:sz w:val="32"/>
          <w:szCs w:val="32"/>
          <w:shd w:val="clear" w:color="auto" w:fill="FFFFFF"/>
          <w:lang w:val="en-US" w:eastAsia="zh-CN" w:bidi="ar"/>
        </w:rPr>
        <w:t>9</w:t>
      </w:r>
      <w:r>
        <w:rPr>
          <w:rFonts w:ascii="仿宋_GB2312" w:hAnsi="宋体" w:eastAsia="仿宋_GB2312" w:cs="仿宋_GB2312"/>
          <w:color w:val="000000"/>
          <w:kern w:val="0"/>
          <w:sz w:val="32"/>
          <w:szCs w:val="32"/>
          <w:shd w:val="clear" w:color="auto" w:fill="FFFFFF"/>
          <w:lang w:bidi="ar"/>
        </w:rPr>
        <w:t>、违规记录等情况</w:t>
      </w:r>
    </w:p>
    <w:p>
      <w:pPr>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无</w:t>
      </w:r>
      <w:r>
        <w:rPr>
          <w:rFonts w:hint="eastAsia" w:ascii="仿宋_GB2312" w:hAnsi="仿宋_GB2312" w:eastAsia="仿宋_GB2312" w:cs="仿宋_GB2312"/>
          <w:color w:val="000000"/>
          <w:kern w:val="0"/>
          <w:sz w:val="32"/>
          <w:szCs w:val="32"/>
          <w:lang w:val="en-US" w:eastAsia="zh-CN" w:bidi="ar"/>
        </w:rPr>
        <w:t>违规纪录</w:t>
      </w:r>
      <w:r>
        <w:rPr>
          <w:rFonts w:hint="eastAsia" w:ascii="仿宋_GB2312" w:hAnsi="仿宋_GB2312" w:eastAsia="仿宋_GB2312" w:cs="仿宋_GB2312"/>
          <w:color w:val="000000"/>
          <w:kern w:val="0"/>
          <w:sz w:val="32"/>
          <w:szCs w:val="32"/>
          <w:lang w:eastAsia="zh-CN" w:bidi="ar"/>
        </w:rPr>
        <w:t>”</w:t>
      </w: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9"/>
        <w:rPr>
          <w:rFonts w:hint="eastAsia" w:ascii="楷体_GB2312" w:hAnsi="楷体_GB2312" w:eastAsia="楷体_GB2312" w:cs="楷体_GB2312"/>
          <w:b w:val="0"/>
          <w:bCs w:val="0"/>
          <w:kern w:val="0"/>
          <w:sz w:val="32"/>
          <w:szCs w:val="32"/>
        </w:rPr>
      </w:pPr>
      <w:r>
        <w:rPr>
          <w:rFonts w:hint="eastAsia" w:ascii="仿宋_GB2312" w:hAnsi="仿宋_GB2312" w:eastAsia="仿宋_GB2312" w:cs="仿宋_GB2312"/>
          <w:color w:val="000000"/>
          <w:kern w:val="0"/>
          <w:sz w:val="32"/>
          <w:szCs w:val="32"/>
          <w:lang w:val="en-US" w:eastAsia="zh-CN" w:bidi="ar"/>
        </w:rPr>
        <w:t>10、</w:t>
      </w:r>
      <w:r>
        <w:rPr>
          <w:rFonts w:hint="eastAsia" w:ascii="楷体_GB2312" w:hAnsi="楷体_GB2312" w:eastAsia="楷体_GB2312" w:cs="楷体_GB2312"/>
          <w:b w:val="0"/>
          <w:bCs w:val="0"/>
          <w:kern w:val="0"/>
          <w:sz w:val="32"/>
          <w:szCs w:val="32"/>
        </w:rPr>
        <w:t>信息公开</w:t>
      </w:r>
    </w:p>
    <w:p>
      <w:pPr>
        <w:pStyle w:val="7"/>
        <w:ind w:firstLine="640" w:firstLineChars="200"/>
        <w:rPr>
          <w:rFonts w:hint="default" w:eastAsia="仿宋_GB2312"/>
          <w:lang w:val="en-US" w:eastAsia="zh-CN"/>
        </w:rPr>
      </w:pP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val="en-US" w:eastAsia="zh-CN"/>
        </w:rPr>
        <w:t>壤塘县民族宗教局</w:t>
      </w:r>
      <w:r>
        <w:rPr>
          <w:rFonts w:hint="eastAsia" w:ascii="仿宋_GB2312" w:hAnsi="仿宋_GB2312" w:eastAsia="仿宋_GB2312" w:cs="仿宋_GB2312"/>
          <w:sz w:val="32"/>
          <w:szCs w:val="32"/>
        </w:rPr>
        <w:t>已经按财政要求及时完成预算、决算、绩效等信息公开工作，信息公开在</w:t>
      </w:r>
      <w:r>
        <w:rPr>
          <w:rFonts w:hint="eastAsia" w:ascii="仿宋_GB2312" w:hAnsi="仿宋_GB2312" w:eastAsia="仿宋_GB2312" w:cs="仿宋_GB2312"/>
          <w:sz w:val="32"/>
          <w:szCs w:val="32"/>
          <w:lang w:val="en-US" w:eastAsia="zh-CN"/>
        </w:rPr>
        <w:t>壤塘县</w:t>
      </w:r>
      <w:r>
        <w:rPr>
          <w:rFonts w:hint="eastAsia" w:ascii="仿宋_GB2312" w:hAnsi="仿宋_GB2312" w:eastAsia="仿宋_GB2312" w:cs="仿宋_GB2312"/>
          <w:sz w:val="32"/>
          <w:szCs w:val="32"/>
        </w:rPr>
        <w:t>门户网站中。</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（二）结果应用情况</w:t>
      </w:r>
    </w:p>
    <w:p>
      <w:pPr>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w:t>
      </w:r>
      <w:r>
        <w:rPr>
          <w:rFonts w:hint="eastAsia" w:ascii="仿宋_GB2312" w:hAnsi="仿宋_GB2312" w:eastAsia="仿宋_GB2312" w:cs="仿宋_GB2312"/>
          <w:color w:val="000000"/>
          <w:kern w:val="0"/>
          <w:sz w:val="32"/>
          <w:szCs w:val="32"/>
          <w:lang w:val="en-US" w:eastAsia="zh-CN" w:bidi="ar"/>
        </w:rPr>
        <w:t>壤塘县民族宗教局</w:t>
      </w:r>
      <w:r>
        <w:rPr>
          <w:rFonts w:hint="eastAsia" w:ascii="仿宋_GB2312" w:hAnsi="仿宋_GB2312" w:eastAsia="仿宋_GB2312" w:cs="仿宋_GB2312"/>
          <w:color w:val="000000"/>
          <w:kern w:val="0"/>
          <w:sz w:val="32"/>
          <w:szCs w:val="32"/>
          <w:lang w:bidi="ar"/>
        </w:rPr>
        <w:t>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执行财务管理制度，根据年初预算合理安排日常公用经费资金，做到厉行节约、精打细算，把有效的资金用到刀刃上，让财政资金发挥最大的社会及经济效益并保证</w:t>
      </w:r>
      <w:r>
        <w:rPr>
          <w:rFonts w:hint="eastAsia" w:ascii="仿宋_GB2312" w:hAnsi="仿宋_GB2312" w:eastAsia="仿宋_GB2312" w:cs="仿宋_GB2312"/>
          <w:color w:val="000000"/>
          <w:kern w:val="0"/>
          <w:sz w:val="32"/>
          <w:szCs w:val="32"/>
          <w:lang w:val="en-US" w:eastAsia="zh-CN" w:bidi="ar"/>
        </w:rPr>
        <w:t>壤塘县民族宗教局</w:t>
      </w:r>
      <w:r>
        <w:rPr>
          <w:rFonts w:hint="eastAsia" w:ascii="仿宋_GB2312" w:hAnsi="仿宋_GB2312" w:eastAsia="仿宋_GB2312" w:cs="仿宋_GB2312"/>
          <w:color w:val="000000"/>
          <w:kern w:val="0"/>
          <w:sz w:val="32"/>
          <w:szCs w:val="32"/>
          <w:lang w:bidi="ar"/>
        </w:rPr>
        <w:t>各项工作的正常运转。</w:t>
      </w:r>
    </w:p>
    <w:p>
      <w:pPr>
        <w:widowControl/>
        <w:numPr>
          <w:ilvl w:val="0"/>
          <w:numId w:val="5"/>
        </w:numPr>
        <w:adjustRightInd w:val="0"/>
        <w:snapToGrid w:val="0"/>
        <w:spacing w:line="560" w:lineRule="exact"/>
        <w:ind w:firstLine="640" w:firstLineChars="200"/>
        <w:contextualSpacing/>
        <w:jc w:val="left"/>
        <w:rPr>
          <w:rFonts w:hint="eastAsia" w:ascii="黑体" w:hAnsi="宋体" w:eastAsia="黑体" w:cs="黑体"/>
          <w:color w:val="000000"/>
          <w:kern w:val="0"/>
          <w:sz w:val="32"/>
          <w:szCs w:val="32"/>
          <w:shd w:val="clear" w:color="auto" w:fill="FFFFFF"/>
          <w:lang w:bidi="ar"/>
        </w:rPr>
      </w:pPr>
      <w:r>
        <w:rPr>
          <w:rFonts w:hint="eastAsia" w:ascii="黑体" w:hAnsi="宋体" w:eastAsia="黑体" w:cs="黑体"/>
          <w:color w:val="000000"/>
          <w:kern w:val="0"/>
          <w:sz w:val="32"/>
          <w:szCs w:val="32"/>
          <w:shd w:val="clear" w:color="auto" w:fill="FFFFFF"/>
          <w:lang w:bidi="ar"/>
        </w:rPr>
        <w:t>评价结论及建议</w:t>
      </w:r>
    </w:p>
    <w:p>
      <w:pPr>
        <w:widowControl/>
        <w:numPr>
          <w:ilvl w:val="0"/>
          <w:numId w:val="6"/>
        </w:numPr>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评价结论</w:t>
      </w:r>
    </w:p>
    <w:p>
      <w:pPr>
        <w:pStyle w:val="2"/>
        <w:ind w:left="0" w:leftChars="0" w:firstLine="640" w:firstLineChars="20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壤塘县民族宗教局</w:t>
      </w:r>
      <w:r>
        <w:rPr>
          <w:rFonts w:hint="eastAsia" w:ascii="仿宋_GB2312" w:hAnsi="仿宋_GB2312" w:eastAsia="仿宋_GB2312" w:cs="仿宋_GB2312"/>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将继续努力，科学合理编制预决算，进行绩效评价，加强精细管理，完善不足。</w:t>
      </w:r>
      <w:r>
        <w:rPr>
          <w:rFonts w:hint="eastAsia" w:ascii="仿宋_GB2312" w:hAnsi="仿宋_GB2312" w:eastAsia="仿宋_GB2312" w:cs="仿宋_GB2312"/>
          <w:color w:val="000000"/>
          <w:kern w:val="0"/>
          <w:sz w:val="32"/>
          <w:szCs w:val="32"/>
          <w:lang w:bidi="ar"/>
        </w:rPr>
        <w:t>根据《壤塘县</w:t>
      </w:r>
      <w:r>
        <w:rPr>
          <w:rFonts w:ascii="仿宋_GB2312" w:hAnsi="仿宋_GB2312" w:eastAsia="仿宋_GB2312" w:cs="仿宋_GB2312"/>
          <w:color w:val="000000"/>
          <w:kern w:val="0"/>
          <w:sz w:val="32"/>
          <w:szCs w:val="32"/>
          <w:lang w:bidi="ar"/>
        </w:rPr>
        <w:t>202</w:t>
      </w:r>
      <w:r>
        <w:rPr>
          <w:rFonts w:hint="eastAsia" w:ascii="仿宋_GB2312" w:hAnsi="仿宋_GB2312" w:eastAsia="仿宋_GB2312" w:cs="仿宋_GB2312"/>
          <w:color w:val="000000"/>
          <w:kern w:val="0"/>
          <w:sz w:val="32"/>
          <w:szCs w:val="32"/>
          <w:lang w:bidi="ar"/>
        </w:rPr>
        <w:t>2</w:t>
      </w:r>
      <w:r>
        <w:rPr>
          <w:rFonts w:ascii="仿宋_GB2312" w:hAnsi="仿宋_GB2312" w:eastAsia="仿宋_GB2312" w:cs="仿宋_GB2312"/>
          <w:color w:val="000000"/>
          <w:kern w:val="0"/>
          <w:sz w:val="32"/>
          <w:szCs w:val="32"/>
          <w:lang w:bidi="ar"/>
        </w:rPr>
        <w:t>年部门整体支出绩效评价指标体系》评分，得分</w:t>
      </w:r>
      <w:r>
        <w:rPr>
          <w:rFonts w:hint="eastAsia" w:ascii="仿宋_GB2312" w:hAnsi="仿宋_GB2312" w:eastAsia="仿宋_GB2312" w:cs="仿宋_GB2312"/>
          <w:color w:val="000000"/>
          <w:kern w:val="0"/>
          <w:sz w:val="32"/>
          <w:szCs w:val="32"/>
          <w:lang w:val="en-US" w:eastAsia="zh-CN" w:bidi="ar"/>
        </w:rPr>
        <w:t>99</w:t>
      </w:r>
      <w:r>
        <w:rPr>
          <w:rFonts w:ascii="仿宋_GB2312" w:hAnsi="仿宋_GB2312" w:eastAsia="仿宋_GB2312" w:cs="仿宋_GB2312"/>
          <w:color w:val="000000"/>
          <w:kern w:val="0"/>
          <w:sz w:val="32"/>
          <w:szCs w:val="32"/>
          <w:lang w:bidi="ar"/>
        </w:rPr>
        <w:t>分，绩效评价结果优秀。</w:t>
      </w:r>
    </w:p>
    <w:p>
      <w:pPr>
        <w:widowControl/>
        <w:numPr>
          <w:ilvl w:val="0"/>
          <w:numId w:val="6"/>
        </w:numPr>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存在问题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zh-CN" w:bidi="ar"/>
        </w:rPr>
      </w:pPr>
      <w:r>
        <w:rPr>
          <w:rFonts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预算编制前根据年度内单位可预见的工作任务，确定了单位年度预算目标，细化了预算指标，但预算编制的精准性有待进一步提高。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2、</w:t>
      </w:r>
      <w:r>
        <w:rPr>
          <w:rFonts w:hint="eastAsia" w:ascii="仿宋_GB2312" w:hAnsi="仿宋_GB2312" w:eastAsia="仿宋_GB2312" w:cs="仿宋_GB2312"/>
          <w:color w:val="000000"/>
          <w:kern w:val="0"/>
          <w:sz w:val="32"/>
          <w:szCs w:val="32"/>
          <w:lang w:val="zh-CN" w:bidi="ar"/>
        </w:rPr>
        <w:t>是对部门整体支出预算评价工作不够重视，没有把预算财务分析作为常态化工作。</w:t>
      </w:r>
    </w:p>
    <w:p>
      <w:pPr>
        <w:pStyle w:val="7"/>
        <w:ind w:firstLine="640" w:firstLineChars="200"/>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bidi="ar"/>
        </w:rPr>
        <w:t>3、未制定明确的财务监控监督措施。</w:t>
      </w:r>
    </w:p>
    <w:p>
      <w:pPr>
        <w:widowControl/>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（三）改进建议</w:t>
      </w:r>
    </w:p>
    <w:p>
      <w:pPr>
        <w:widowControl/>
        <w:adjustRightInd w:val="0"/>
        <w:snapToGrid w:val="0"/>
        <w:spacing w:line="560" w:lineRule="exact"/>
        <w:ind w:firstLine="640" w:firstLineChars="200"/>
        <w:contextualSpacing/>
        <w:jc w:val="left"/>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1.加强学习，提高思想认识。组织单位财务人员认真学习《</w:t>
      </w:r>
      <w:r>
        <w:rPr>
          <w:rFonts w:hint="eastAsia" w:ascii="仿宋_GB2312" w:hAnsi="仿宋_GB2312" w:eastAsia="仿宋_GB2312" w:cs="仿宋_GB2312"/>
          <w:color w:val="000000"/>
          <w:kern w:val="0"/>
          <w:sz w:val="32"/>
          <w:szCs w:val="32"/>
          <w:lang w:val="en-US" w:eastAsia="zh-CN" w:bidi="ar"/>
        </w:rPr>
        <w:t>中华人民共和国</w:t>
      </w:r>
      <w:r>
        <w:rPr>
          <w:rFonts w:ascii="仿宋_GB2312" w:hAnsi="仿宋_GB2312" w:eastAsia="仿宋_GB2312" w:cs="仿宋_GB2312"/>
          <w:color w:val="000000"/>
          <w:kern w:val="0"/>
          <w:sz w:val="32"/>
          <w:szCs w:val="32"/>
          <w:lang w:bidi="ar"/>
        </w:rPr>
        <w:t>预算法》</w:t>
      </w:r>
      <w:bookmarkStart w:id="161" w:name="_GoBack"/>
      <w:bookmarkEnd w:id="161"/>
      <w:r>
        <w:rPr>
          <w:rFonts w:ascii="仿宋_GB2312" w:hAnsi="仿宋_GB2312" w:eastAsia="仿宋_GB2312" w:cs="仿宋_GB2312"/>
          <w:color w:val="000000"/>
          <w:kern w:val="0"/>
          <w:sz w:val="32"/>
          <w:szCs w:val="32"/>
          <w:lang w:bidi="ar"/>
        </w:rPr>
        <w:t>《项目支出绩效评价》等文件精神及相关法规、制度，提高单位领导对全面预算管理及绩效评价工作的重视程度，增强意识。</w:t>
      </w:r>
    </w:p>
    <w:p>
      <w:pPr>
        <w:widowControl/>
        <w:adjustRightInd w:val="0"/>
        <w:snapToGrid w:val="0"/>
        <w:spacing w:line="560" w:lineRule="exact"/>
        <w:ind w:firstLine="640" w:firstLineChars="200"/>
        <w:contextualSpacing/>
        <w:jc w:val="left"/>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2.提高预算编制的可操作性，强化预算执行约束力，尽量减少预算调整。</w:t>
      </w:r>
    </w:p>
    <w:p>
      <w:pPr>
        <w:pStyle w:val="7"/>
        <w:ind w:firstLine="640" w:firstLineChars="200"/>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bidi="ar"/>
        </w:rPr>
        <w:t>3、明确的财务监控监督措施。</w:t>
      </w:r>
    </w:p>
    <w:p>
      <w:pPr>
        <w:pStyle w:val="7"/>
        <w:ind w:firstLine="420" w:firstLineChars="200"/>
        <w:rPr>
          <w:rFonts w:hint="eastAsia" w:eastAsia="仿宋_GB2312"/>
          <w:lang w:val="en-US" w:eastAsia="zh-CN"/>
        </w:rPr>
      </w:pPr>
    </w:p>
    <w:p>
      <w:pPr>
        <w:pStyle w:val="10"/>
        <w:rPr>
          <w:rFonts w:ascii="仿宋_GB2312" w:hAnsi="仿宋_GB2312" w:eastAsia="仿宋_GB2312" w:cs="仿宋_GB2312"/>
          <w:color w:val="000000"/>
          <w:kern w:val="0"/>
          <w:sz w:val="32"/>
          <w:szCs w:val="32"/>
          <w:lang w:bidi="ar"/>
        </w:rPr>
      </w:pPr>
    </w:p>
    <w:p>
      <w:pPr>
        <w:rPr>
          <w:rFonts w:ascii="仿宋_GB2312" w:hAnsi="仿宋_GB2312" w:eastAsia="仿宋_GB2312" w:cs="仿宋_GB2312"/>
          <w:color w:val="000000"/>
          <w:kern w:val="0"/>
          <w:sz w:val="32"/>
          <w:szCs w:val="32"/>
          <w:lang w:bidi="ar"/>
        </w:rPr>
      </w:pPr>
    </w:p>
    <w:p>
      <w:pPr>
        <w:pStyle w:val="10"/>
        <w:rPr>
          <w:rFonts w:ascii="仿宋_GB2312" w:hAnsi="仿宋_GB2312" w:eastAsia="仿宋_GB2312" w:cs="仿宋_GB2312"/>
          <w:color w:val="000000"/>
          <w:kern w:val="0"/>
          <w:sz w:val="32"/>
          <w:szCs w:val="32"/>
          <w:lang w:bidi="ar"/>
        </w:rPr>
      </w:pPr>
    </w:p>
    <w:p>
      <w:pPr>
        <w:rPr>
          <w:rFonts w:ascii="仿宋_GB2312" w:hAnsi="仿宋_GB2312" w:eastAsia="仿宋_GB2312" w:cs="仿宋_GB2312"/>
          <w:color w:val="000000"/>
          <w:kern w:val="0"/>
          <w:sz w:val="32"/>
          <w:szCs w:val="32"/>
          <w:lang w:bidi="ar"/>
        </w:rPr>
      </w:pPr>
    </w:p>
    <w:p>
      <w:pPr>
        <w:pStyle w:val="10"/>
        <w:rPr>
          <w:rFonts w:ascii="仿宋_GB2312" w:hAnsi="仿宋_GB2312" w:eastAsia="仿宋_GB2312" w:cs="仿宋_GB2312"/>
          <w:color w:val="000000"/>
          <w:kern w:val="0"/>
          <w:sz w:val="32"/>
          <w:szCs w:val="32"/>
          <w:lang w:bidi="ar"/>
        </w:rPr>
      </w:pPr>
    </w:p>
    <w:p/>
    <w:p>
      <w:pPr>
        <w:widowControl/>
        <w:adjustRightInd w:val="0"/>
        <w:snapToGrid w:val="0"/>
        <w:spacing w:line="560" w:lineRule="exact"/>
        <w:ind w:firstLine="640" w:firstLineChars="200"/>
        <w:contextualSpacing/>
        <w:jc w:val="left"/>
        <w:rPr>
          <w:rFonts w:ascii="仿宋_GB2312" w:hAnsi="仿宋_GB2312" w:eastAsia="仿宋_GB2312" w:cs="仿宋_GB2312"/>
          <w:color w:val="000000"/>
          <w:kern w:val="0"/>
          <w:sz w:val="32"/>
          <w:szCs w:val="32"/>
          <w:lang w:val="zh-CN" w:bidi="ar"/>
        </w:rPr>
      </w:pPr>
    </w:p>
    <w:p>
      <w:pPr>
        <w:pStyle w:val="2"/>
        <w:ind w:left="0" w:leftChars="0" w:firstLine="0" w:firstLineChars="0"/>
        <w:rPr>
          <w:rFonts w:hint="eastAsia"/>
        </w:rPr>
      </w:pPr>
    </w:p>
    <w:p>
      <w:pPr>
        <w:pStyle w:val="43"/>
        <w:spacing w:line="360" w:lineRule="auto"/>
        <w:ind w:left="420" w:leftChars="200" w:firstLine="0" w:firstLineChars="0"/>
        <w:rPr>
          <w:rFonts w:hint="eastAsia" w:ascii="仿宋_GB2312" w:hAnsi="仿宋_GB2312" w:eastAsia="仿宋_GB2312" w:cs="仿宋_GB2312"/>
          <w:color w:val="333333"/>
          <w:kern w:val="0"/>
          <w:sz w:val="32"/>
          <w:szCs w:val="32"/>
          <w:shd w:val="clear" w:color="auto" w:fill="FFFFFF"/>
          <w:lang w:bidi="ar"/>
        </w:rPr>
      </w:pPr>
    </w:p>
    <w:p>
      <w:pPr>
        <w:rPr>
          <w:rFonts w:hint="eastAsia" w:ascii="黑体" w:hAnsi="黑体" w:eastAsia="黑体"/>
          <w:color w:val="000000"/>
          <w:sz w:val="44"/>
          <w:szCs w:val="44"/>
        </w:rPr>
      </w:pPr>
    </w:p>
    <w:p>
      <w:pPr>
        <w:pStyle w:val="7"/>
        <w:rPr>
          <w:rFonts w:hint="eastAsia" w:ascii="黑体" w:hAnsi="黑体" w:eastAsia="黑体"/>
          <w:color w:val="000000"/>
          <w:sz w:val="44"/>
          <w:szCs w:val="44"/>
        </w:rPr>
      </w:pPr>
    </w:p>
    <w:p>
      <w:pPr>
        <w:rPr>
          <w:rFonts w:hint="eastAsia"/>
        </w:rPr>
      </w:pPr>
    </w:p>
    <w:p>
      <w:pPr>
        <w:pStyle w:val="2"/>
        <w:rPr>
          <w:rFonts w:hint="eastAsia" w:ascii="黑体" w:hAnsi="黑体" w:eastAsia="黑体"/>
          <w:color w:val="000000"/>
          <w:sz w:val="44"/>
          <w:szCs w:val="44"/>
        </w:rPr>
      </w:pPr>
    </w:p>
    <w:p>
      <w:pPr>
        <w:spacing w:line="600" w:lineRule="exact"/>
        <w:jc w:val="center"/>
        <w:outlineLvl w:val="0"/>
        <w:rPr>
          <w:rFonts w:hint="eastAsia" w:ascii="仿宋" w:hAnsi="仿宋" w:eastAsia="仿宋"/>
          <w:b w:val="0"/>
          <w:color w:val="000000"/>
        </w:rPr>
      </w:pPr>
      <w:bookmarkStart w:id="125" w:name="_Toc3834"/>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25"/>
    </w:p>
    <w:p>
      <w:pPr>
        <w:pStyle w:val="4"/>
        <w:rPr>
          <w:rFonts w:ascii="仿宋" w:hAnsi="仿宋" w:eastAsia="仿宋"/>
          <w:color w:val="000000"/>
        </w:rPr>
      </w:pPr>
      <w:bookmarkStart w:id="126" w:name="_Toc29344"/>
      <w:r>
        <w:rPr>
          <w:rFonts w:hint="eastAsia" w:ascii="仿宋" w:hAnsi="仿宋" w:eastAsia="仿宋"/>
          <w:b w:val="0"/>
          <w:color w:val="000000"/>
        </w:rPr>
        <w:t>一、收</w:t>
      </w:r>
      <w:r>
        <w:rPr>
          <w:rStyle w:val="27"/>
          <w:rFonts w:hint="eastAsia" w:ascii="仿宋" w:hAnsi="仿宋" w:eastAsia="仿宋"/>
          <w:b w:val="0"/>
          <w:bCs w:val="0"/>
        </w:rPr>
        <w:t>入支出决算总表</w:t>
      </w:r>
      <w:bookmarkEnd w:id="126"/>
    </w:p>
    <w:p>
      <w:pPr>
        <w:pStyle w:val="4"/>
        <w:rPr>
          <w:rFonts w:ascii="仿宋" w:hAnsi="仿宋" w:eastAsia="仿宋"/>
          <w:color w:val="000000"/>
        </w:rPr>
      </w:pPr>
      <w:bookmarkStart w:id="127" w:name="_Toc28298"/>
      <w:r>
        <w:rPr>
          <w:rFonts w:hint="eastAsia" w:ascii="仿宋" w:hAnsi="仿宋" w:eastAsia="仿宋"/>
          <w:b w:val="0"/>
          <w:color w:val="000000"/>
        </w:rPr>
        <w:t>二、收</w:t>
      </w:r>
      <w:r>
        <w:rPr>
          <w:rStyle w:val="27"/>
          <w:rFonts w:hint="eastAsia" w:ascii="仿宋" w:hAnsi="仿宋" w:eastAsia="仿宋"/>
          <w:b w:val="0"/>
          <w:bCs w:val="0"/>
        </w:rPr>
        <w:t>入决算表</w:t>
      </w:r>
      <w:bookmarkEnd w:id="127"/>
    </w:p>
    <w:p>
      <w:pPr>
        <w:pStyle w:val="4"/>
        <w:rPr>
          <w:rFonts w:ascii="仿宋" w:hAnsi="仿宋" w:eastAsia="仿宋"/>
          <w:color w:val="000000"/>
        </w:rPr>
      </w:pPr>
      <w:bookmarkStart w:id="128" w:name="_Toc6187"/>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28"/>
    </w:p>
    <w:p>
      <w:pPr>
        <w:pStyle w:val="4"/>
        <w:rPr>
          <w:rFonts w:ascii="仿宋" w:hAnsi="仿宋" w:eastAsia="仿宋"/>
          <w:b w:val="0"/>
          <w:color w:val="000000"/>
        </w:rPr>
      </w:pPr>
      <w:bookmarkStart w:id="129" w:name="_Toc1980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9"/>
    </w:p>
    <w:p>
      <w:pPr>
        <w:pStyle w:val="4"/>
        <w:rPr>
          <w:rStyle w:val="27"/>
          <w:rFonts w:ascii="仿宋" w:hAnsi="仿宋" w:eastAsia="仿宋"/>
          <w:b w:val="0"/>
          <w:bCs w:val="0"/>
        </w:rPr>
      </w:pPr>
      <w:bookmarkStart w:id="130" w:name="_Toc14561"/>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30"/>
    </w:p>
    <w:bookmarkEnd w:id="115"/>
    <w:bookmarkEnd w:id="119"/>
    <w:bookmarkEnd w:id="120"/>
    <w:bookmarkEnd w:id="121"/>
    <w:p>
      <w:pPr>
        <w:pStyle w:val="4"/>
        <w:rPr>
          <w:rFonts w:ascii="仿宋" w:hAnsi="仿宋" w:eastAsia="仿宋"/>
          <w:color w:val="000000"/>
        </w:rPr>
      </w:pPr>
      <w:bookmarkStart w:id="131" w:name="_Toc79163641"/>
      <w:bookmarkStart w:id="132" w:name="_Toc12454"/>
      <w:bookmarkStart w:id="133" w:name="_Toc79163891"/>
      <w:r>
        <w:rPr>
          <w:rStyle w:val="41"/>
          <w:rFonts w:hint="eastAsia" w:ascii="仿宋" w:hAnsi="仿宋" w:eastAsia="仿宋"/>
          <w:b w:val="0"/>
          <w:bCs w:val="0"/>
        </w:rPr>
        <w:t>六、</w:t>
      </w:r>
      <w:r>
        <w:rPr>
          <w:rFonts w:hint="eastAsia" w:ascii="仿宋" w:hAnsi="仿宋" w:eastAsia="仿宋"/>
          <w:b w:val="0"/>
          <w:color w:val="000000"/>
        </w:rPr>
        <w:t>一</w:t>
      </w:r>
      <w:r>
        <w:rPr>
          <w:rStyle w:val="41"/>
          <w:rFonts w:hint="eastAsia" w:ascii="仿宋" w:hAnsi="仿宋" w:eastAsia="仿宋"/>
          <w:b w:val="0"/>
          <w:bCs w:val="0"/>
        </w:rPr>
        <w:t>般公共预算财政拨款支出决算表</w:t>
      </w:r>
      <w:bookmarkEnd w:id="131"/>
      <w:bookmarkEnd w:id="132"/>
      <w:bookmarkEnd w:id="133"/>
    </w:p>
    <w:p>
      <w:pPr>
        <w:pStyle w:val="4"/>
        <w:rPr>
          <w:rFonts w:ascii="仿宋" w:hAnsi="仿宋" w:eastAsia="仿宋"/>
          <w:color w:val="000000"/>
        </w:rPr>
      </w:pPr>
      <w:bookmarkStart w:id="134" w:name="_Toc18292"/>
      <w:bookmarkStart w:id="135" w:name="_Toc79163642"/>
      <w:bookmarkStart w:id="136" w:name="_Toc15396625"/>
      <w:bookmarkStart w:id="137" w:name="_Toc79163892"/>
      <w:r>
        <w:rPr>
          <w:rStyle w:val="41"/>
          <w:rFonts w:hint="eastAsia" w:ascii="仿宋" w:hAnsi="仿宋" w:eastAsia="仿宋"/>
          <w:b w:val="0"/>
          <w:bCs w:val="0"/>
        </w:rPr>
        <w:t>七、</w:t>
      </w:r>
      <w:r>
        <w:rPr>
          <w:rFonts w:hint="eastAsia" w:ascii="仿宋" w:hAnsi="仿宋" w:eastAsia="仿宋"/>
          <w:b w:val="0"/>
          <w:color w:val="000000"/>
        </w:rPr>
        <w:t>一</w:t>
      </w:r>
      <w:r>
        <w:rPr>
          <w:rStyle w:val="41"/>
          <w:rFonts w:hint="eastAsia" w:ascii="仿宋" w:hAnsi="仿宋" w:eastAsia="仿宋"/>
          <w:b w:val="0"/>
          <w:bCs w:val="0"/>
        </w:rPr>
        <w:t>般公共预算财政拨款支出决算明细表</w:t>
      </w:r>
      <w:bookmarkEnd w:id="134"/>
      <w:bookmarkEnd w:id="135"/>
      <w:bookmarkEnd w:id="136"/>
      <w:bookmarkEnd w:id="137"/>
    </w:p>
    <w:p>
      <w:pPr>
        <w:pStyle w:val="4"/>
        <w:rPr>
          <w:rFonts w:ascii="仿宋" w:hAnsi="仿宋" w:eastAsia="仿宋"/>
          <w:color w:val="000000"/>
        </w:rPr>
      </w:pPr>
      <w:bookmarkStart w:id="138" w:name="_Toc79163893"/>
      <w:bookmarkStart w:id="139" w:name="_Toc79163643"/>
      <w:bookmarkStart w:id="140" w:name="_Toc16869"/>
      <w:bookmarkStart w:id="141" w:name="_Toc15396626"/>
      <w:r>
        <w:rPr>
          <w:rStyle w:val="41"/>
          <w:rFonts w:hint="eastAsia" w:ascii="仿宋" w:hAnsi="仿宋" w:eastAsia="仿宋"/>
          <w:b w:val="0"/>
          <w:bCs w:val="0"/>
        </w:rPr>
        <w:t>八、</w:t>
      </w:r>
      <w:r>
        <w:rPr>
          <w:rFonts w:hint="eastAsia" w:ascii="仿宋" w:hAnsi="仿宋" w:eastAsia="仿宋"/>
          <w:b w:val="0"/>
          <w:color w:val="000000"/>
        </w:rPr>
        <w:t>一</w:t>
      </w:r>
      <w:r>
        <w:rPr>
          <w:rStyle w:val="41"/>
          <w:rFonts w:hint="eastAsia" w:ascii="仿宋" w:hAnsi="仿宋" w:eastAsia="仿宋"/>
          <w:b w:val="0"/>
          <w:bCs w:val="0"/>
        </w:rPr>
        <w:t>般公共预算财政拨款基本支出决算表</w:t>
      </w:r>
      <w:bookmarkEnd w:id="138"/>
      <w:bookmarkEnd w:id="139"/>
      <w:bookmarkEnd w:id="140"/>
      <w:bookmarkEnd w:id="141"/>
    </w:p>
    <w:p>
      <w:pPr>
        <w:pStyle w:val="4"/>
        <w:rPr>
          <w:rFonts w:ascii="仿宋" w:hAnsi="仿宋" w:eastAsia="仿宋"/>
          <w:color w:val="000000"/>
        </w:rPr>
      </w:pPr>
      <w:bookmarkStart w:id="142" w:name="_Toc10868"/>
      <w:bookmarkStart w:id="143" w:name="_Toc15396627"/>
      <w:bookmarkStart w:id="144" w:name="_Toc79163644"/>
      <w:bookmarkStart w:id="145" w:name="_Toc79163894"/>
      <w:r>
        <w:rPr>
          <w:rStyle w:val="41"/>
          <w:rFonts w:hint="eastAsia" w:ascii="仿宋" w:hAnsi="仿宋" w:eastAsia="仿宋"/>
          <w:b w:val="0"/>
          <w:bCs w:val="0"/>
        </w:rPr>
        <w:t>九、</w:t>
      </w:r>
      <w:r>
        <w:rPr>
          <w:rFonts w:hint="eastAsia" w:ascii="仿宋" w:hAnsi="仿宋" w:eastAsia="仿宋"/>
          <w:b w:val="0"/>
          <w:color w:val="000000"/>
        </w:rPr>
        <w:t>一</w:t>
      </w:r>
      <w:r>
        <w:rPr>
          <w:rStyle w:val="41"/>
          <w:rFonts w:hint="eastAsia" w:ascii="仿宋" w:hAnsi="仿宋" w:eastAsia="仿宋"/>
          <w:b w:val="0"/>
          <w:bCs w:val="0"/>
        </w:rPr>
        <w:t>般公共预算财政拨款项目支出决算表</w:t>
      </w:r>
      <w:bookmarkEnd w:id="142"/>
      <w:bookmarkEnd w:id="143"/>
      <w:bookmarkEnd w:id="144"/>
      <w:bookmarkEnd w:id="145"/>
    </w:p>
    <w:p>
      <w:pPr>
        <w:pStyle w:val="4"/>
        <w:rPr>
          <w:rFonts w:ascii="仿宋" w:hAnsi="仿宋" w:eastAsia="仿宋"/>
          <w:color w:val="000000"/>
        </w:rPr>
      </w:pPr>
      <w:bookmarkStart w:id="146" w:name="_Toc79163645"/>
      <w:bookmarkStart w:id="147" w:name="_Toc79163895"/>
      <w:bookmarkStart w:id="148" w:name="_Toc15396628"/>
      <w:bookmarkStart w:id="149" w:name="_Toc27605"/>
      <w:r>
        <w:rPr>
          <w:rStyle w:val="41"/>
          <w:rFonts w:hint="eastAsia" w:ascii="仿宋" w:hAnsi="仿宋" w:eastAsia="仿宋"/>
          <w:b w:val="0"/>
          <w:bCs w:val="0"/>
        </w:rPr>
        <w:t>十、</w:t>
      </w:r>
      <w:bookmarkEnd w:id="146"/>
      <w:bookmarkEnd w:id="147"/>
      <w:bookmarkEnd w:id="148"/>
      <w:bookmarkStart w:id="150" w:name="_Toc79163646"/>
      <w:bookmarkStart w:id="151" w:name="_Toc15396629"/>
      <w:r>
        <w:rPr>
          <w:rFonts w:hint="eastAsia" w:ascii="仿宋" w:hAnsi="仿宋" w:eastAsia="仿宋"/>
          <w:b w:val="0"/>
          <w:color w:val="000000"/>
        </w:rPr>
        <w:t>政</w:t>
      </w:r>
      <w:r>
        <w:rPr>
          <w:rStyle w:val="41"/>
          <w:rFonts w:hint="eastAsia" w:ascii="仿宋" w:hAnsi="仿宋" w:eastAsia="仿宋"/>
          <w:b w:val="0"/>
          <w:bCs w:val="0"/>
        </w:rPr>
        <w:t>府性基金预算财政拨款收入支出决算表</w:t>
      </w:r>
      <w:bookmarkEnd w:id="149"/>
      <w:bookmarkEnd w:id="150"/>
      <w:bookmarkEnd w:id="151"/>
    </w:p>
    <w:p>
      <w:pPr>
        <w:pStyle w:val="4"/>
        <w:rPr>
          <w:rStyle w:val="41"/>
          <w:rFonts w:ascii="仿宋" w:hAnsi="仿宋" w:eastAsia="仿宋"/>
          <w:b w:val="0"/>
          <w:bCs w:val="0"/>
        </w:rPr>
      </w:pPr>
      <w:bookmarkStart w:id="152" w:name="_Toc79163897"/>
      <w:bookmarkStart w:id="153" w:name="_Toc15396630"/>
      <w:bookmarkStart w:id="154" w:name="_Toc79163647"/>
      <w:bookmarkStart w:id="155" w:name="_Toc28281"/>
      <w:r>
        <w:rPr>
          <w:rStyle w:val="41"/>
          <w:rFonts w:hint="eastAsia" w:ascii="仿宋" w:hAnsi="仿宋" w:eastAsia="仿宋"/>
          <w:b w:val="0"/>
          <w:bCs w:val="0"/>
        </w:rPr>
        <w:t>十</w:t>
      </w:r>
      <w:bookmarkEnd w:id="152"/>
      <w:bookmarkEnd w:id="153"/>
      <w:bookmarkEnd w:id="154"/>
      <w:bookmarkStart w:id="156" w:name="_Toc15396631"/>
      <w:bookmarkStart w:id="157" w:name="_Toc79163648"/>
      <w:r>
        <w:rPr>
          <w:rStyle w:val="41"/>
          <w:rFonts w:hint="eastAsia" w:ascii="仿宋" w:hAnsi="仿宋" w:eastAsia="仿宋"/>
          <w:b w:val="0"/>
          <w:bCs w:val="0"/>
          <w:lang w:val="en-US" w:eastAsia="zh-CN"/>
        </w:rPr>
        <w:t>一</w:t>
      </w:r>
      <w:r>
        <w:rPr>
          <w:rStyle w:val="41"/>
          <w:rFonts w:hint="eastAsia" w:ascii="仿宋" w:hAnsi="仿宋" w:eastAsia="仿宋"/>
          <w:b w:val="0"/>
          <w:bCs w:val="0"/>
        </w:rPr>
        <w:t>、</w:t>
      </w:r>
      <w:r>
        <w:rPr>
          <w:rFonts w:hint="eastAsia" w:ascii="仿宋" w:hAnsi="仿宋" w:eastAsia="仿宋"/>
          <w:b w:val="0"/>
          <w:color w:val="000000"/>
        </w:rPr>
        <w:t>国</w:t>
      </w:r>
      <w:r>
        <w:rPr>
          <w:rStyle w:val="41"/>
          <w:rFonts w:hint="eastAsia" w:ascii="仿宋" w:hAnsi="仿宋" w:eastAsia="仿宋"/>
          <w:b w:val="0"/>
          <w:bCs w:val="0"/>
        </w:rPr>
        <w:t>有资本经营预算财政拨款</w:t>
      </w:r>
      <w:r>
        <w:rPr>
          <w:rStyle w:val="41"/>
          <w:rFonts w:hint="eastAsia" w:ascii="仿宋" w:hAnsi="仿宋" w:eastAsia="仿宋"/>
          <w:b w:val="0"/>
          <w:bCs w:val="0"/>
          <w:lang w:val="en-US" w:eastAsia="zh-CN"/>
        </w:rPr>
        <w:t>收入</w:t>
      </w:r>
      <w:r>
        <w:rPr>
          <w:rStyle w:val="41"/>
          <w:rFonts w:hint="eastAsia" w:ascii="仿宋" w:hAnsi="仿宋" w:eastAsia="仿宋"/>
          <w:b w:val="0"/>
          <w:bCs w:val="0"/>
        </w:rPr>
        <w:t>支出决算表</w:t>
      </w:r>
      <w:bookmarkEnd w:id="155"/>
      <w:bookmarkEnd w:id="156"/>
      <w:bookmarkEnd w:id="157"/>
    </w:p>
    <w:p>
      <w:pPr>
        <w:pStyle w:val="4"/>
        <w:rPr>
          <w:rStyle w:val="41"/>
          <w:rFonts w:hint="eastAsia" w:ascii="仿宋" w:hAnsi="仿宋" w:eastAsia="仿宋"/>
          <w:b w:val="0"/>
          <w:bCs w:val="0"/>
        </w:rPr>
      </w:pPr>
      <w:bookmarkStart w:id="158" w:name="_Toc10853"/>
      <w:bookmarkStart w:id="159" w:name="_Toc79163649"/>
      <w:r>
        <w:rPr>
          <w:rStyle w:val="41"/>
          <w:rFonts w:hint="eastAsia" w:ascii="仿宋" w:hAnsi="仿宋" w:eastAsia="仿宋"/>
          <w:b w:val="0"/>
          <w:bCs w:val="0"/>
        </w:rPr>
        <w:t>十</w:t>
      </w:r>
      <w:r>
        <w:rPr>
          <w:rStyle w:val="41"/>
          <w:rFonts w:hint="eastAsia" w:ascii="仿宋" w:hAnsi="仿宋" w:eastAsia="仿宋"/>
          <w:b w:val="0"/>
          <w:bCs w:val="0"/>
          <w:lang w:val="en-US" w:eastAsia="zh-CN"/>
        </w:rPr>
        <w:t>二</w:t>
      </w:r>
      <w:r>
        <w:rPr>
          <w:rStyle w:val="41"/>
          <w:rFonts w:hint="eastAsia" w:ascii="仿宋" w:hAnsi="仿宋" w:eastAsia="仿宋"/>
          <w:b w:val="0"/>
          <w:bCs w:val="0"/>
        </w:rPr>
        <w:t>、国有资本经营预算财政拨款支出决算表</w:t>
      </w:r>
      <w:bookmarkEnd w:id="158"/>
      <w:bookmarkEnd w:id="159"/>
    </w:p>
    <w:p>
      <w:pPr>
        <w:rPr>
          <w:rStyle w:val="27"/>
          <w:rFonts w:ascii="仿宋" w:hAnsi="仿宋" w:eastAsia="仿宋"/>
          <w:b w:val="0"/>
          <w:bCs w:val="0"/>
        </w:rPr>
      </w:pPr>
      <w:bookmarkStart w:id="160" w:name="_Toc8842"/>
      <w:r>
        <w:rPr>
          <w:rStyle w:val="41"/>
          <w:rFonts w:hint="eastAsia" w:ascii="仿宋" w:hAnsi="仿宋" w:eastAsia="仿宋"/>
          <w:b w:val="0"/>
          <w:bCs w:val="0"/>
          <w:lang w:val="en-US" w:eastAsia="zh-CN"/>
        </w:rPr>
        <w:t>十三、</w:t>
      </w:r>
      <w:r>
        <w:rPr>
          <w:rStyle w:val="41"/>
          <w:rFonts w:hint="eastAsia" w:ascii="仿宋" w:hAnsi="仿宋" w:eastAsia="仿宋"/>
          <w:b w:val="0"/>
          <w:bCs w:val="0"/>
        </w:rPr>
        <w:t>财政拨款“三公”经费支出决算表</w:t>
      </w:r>
    </w:p>
    <w:bookmarkEnd w:id="160"/>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3</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8537FD"/>
    <w:multiLevelType w:val="singleLevel"/>
    <w:tmpl w:val="CE8537FD"/>
    <w:lvl w:ilvl="0" w:tentative="0">
      <w:start w:val="8"/>
      <w:numFmt w:val="decimal"/>
      <w:suff w:val="nothing"/>
      <w:lvlText w:val="%1、"/>
      <w:lvlJc w:val="left"/>
    </w:lvl>
  </w:abstractNum>
  <w:abstractNum w:abstractNumId="1">
    <w:nsid w:val="06CCE1D5"/>
    <w:multiLevelType w:val="singleLevel"/>
    <w:tmpl w:val="06CCE1D5"/>
    <w:lvl w:ilvl="0" w:tentative="0">
      <w:start w:val="4"/>
      <w:numFmt w:val="chineseCounting"/>
      <w:suff w:val="nothing"/>
      <w:lvlText w:val="%1、"/>
      <w:lvlJc w:val="left"/>
      <w:rPr>
        <w:rFonts w:hint="eastAsia"/>
      </w:rPr>
    </w:lvl>
  </w:abstractNum>
  <w:abstractNum w:abstractNumId="2">
    <w:nsid w:val="1169E95B"/>
    <w:multiLevelType w:val="singleLevel"/>
    <w:tmpl w:val="1169E95B"/>
    <w:lvl w:ilvl="0" w:tentative="0">
      <w:start w:val="1"/>
      <w:numFmt w:val="decimal"/>
      <w:lvlText w:val="%1."/>
      <w:lvlJc w:val="left"/>
      <w:pPr>
        <w:tabs>
          <w:tab w:val="left" w:pos="312"/>
        </w:tabs>
      </w:pPr>
      <w:rPr>
        <w:rFonts w:hint="default" w:ascii="仿宋_GB2312" w:hAnsi="仿宋_GB2312" w:eastAsia="仿宋_GB2312" w:cs="仿宋_GB2312"/>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728C5F7"/>
    <w:multiLevelType w:val="singleLevel"/>
    <w:tmpl w:val="2728C5F7"/>
    <w:lvl w:ilvl="0" w:tentative="0">
      <w:start w:val="2"/>
      <w:numFmt w:val="chineseCounting"/>
      <w:suff w:val="nothing"/>
      <w:lvlText w:val="%1、"/>
      <w:lvlJc w:val="left"/>
      <w:rPr>
        <w:rFonts w:hint="eastAsia"/>
      </w:rPr>
    </w:lvl>
  </w:abstractNum>
  <w:abstractNum w:abstractNumId="5">
    <w:nsid w:val="43BF398C"/>
    <w:multiLevelType w:val="singleLevel"/>
    <w:tmpl w:val="43BF398C"/>
    <w:lvl w:ilvl="0" w:tentative="0">
      <w:start w:val="1"/>
      <w:numFmt w:val="chineseCounting"/>
      <w:suff w:val="nothing"/>
      <w:lvlText w:val="（%1）"/>
      <w:lvlJc w:val="left"/>
      <w:rPr>
        <w:rFonts w:hint="eastAsia"/>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1MjE1MmU3ZGFjNzBiYjA5ZGI4OGNjZTFhZTc3M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1C84"/>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EB2C9D"/>
    <w:rsid w:val="03216884"/>
    <w:rsid w:val="05AC361E"/>
    <w:rsid w:val="05EA2DDC"/>
    <w:rsid w:val="064D60EB"/>
    <w:rsid w:val="06771995"/>
    <w:rsid w:val="09B20815"/>
    <w:rsid w:val="0A2032A3"/>
    <w:rsid w:val="0A391C3C"/>
    <w:rsid w:val="0A4B6AF5"/>
    <w:rsid w:val="0BBF1A9D"/>
    <w:rsid w:val="0E40201D"/>
    <w:rsid w:val="10C055FF"/>
    <w:rsid w:val="1161376A"/>
    <w:rsid w:val="118107EC"/>
    <w:rsid w:val="13574E2A"/>
    <w:rsid w:val="14C5697B"/>
    <w:rsid w:val="14E2518A"/>
    <w:rsid w:val="167E0AAE"/>
    <w:rsid w:val="16AE7835"/>
    <w:rsid w:val="16B01B79"/>
    <w:rsid w:val="16BB723D"/>
    <w:rsid w:val="17262144"/>
    <w:rsid w:val="17980E85"/>
    <w:rsid w:val="17D44F96"/>
    <w:rsid w:val="195133EE"/>
    <w:rsid w:val="1ABE227C"/>
    <w:rsid w:val="1D155CEE"/>
    <w:rsid w:val="1D3764AF"/>
    <w:rsid w:val="1D4D60FC"/>
    <w:rsid w:val="1DFC10BA"/>
    <w:rsid w:val="1E171E3D"/>
    <w:rsid w:val="1F0A32DA"/>
    <w:rsid w:val="20097916"/>
    <w:rsid w:val="218F2DCA"/>
    <w:rsid w:val="224A0302"/>
    <w:rsid w:val="240371BF"/>
    <w:rsid w:val="274A2771"/>
    <w:rsid w:val="28F24C97"/>
    <w:rsid w:val="29FD04D3"/>
    <w:rsid w:val="2C24450D"/>
    <w:rsid w:val="2C2F77CE"/>
    <w:rsid w:val="2C9D2839"/>
    <w:rsid w:val="2E7F325D"/>
    <w:rsid w:val="30963095"/>
    <w:rsid w:val="31085D41"/>
    <w:rsid w:val="319F7F4E"/>
    <w:rsid w:val="326B7F22"/>
    <w:rsid w:val="32BF2D77"/>
    <w:rsid w:val="33E17CF5"/>
    <w:rsid w:val="342720F6"/>
    <w:rsid w:val="384855BD"/>
    <w:rsid w:val="38B8629F"/>
    <w:rsid w:val="3A8321AF"/>
    <w:rsid w:val="3B3217D4"/>
    <w:rsid w:val="3C956F0E"/>
    <w:rsid w:val="3CA010D6"/>
    <w:rsid w:val="3CC52D38"/>
    <w:rsid w:val="3DC867F3"/>
    <w:rsid w:val="400E4B6F"/>
    <w:rsid w:val="40D17AB1"/>
    <w:rsid w:val="412E60A2"/>
    <w:rsid w:val="4135614B"/>
    <w:rsid w:val="41930D67"/>
    <w:rsid w:val="46F6711F"/>
    <w:rsid w:val="49766AE5"/>
    <w:rsid w:val="49F509D5"/>
    <w:rsid w:val="4E41243B"/>
    <w:rsid w:val="4ECE2238"/>
    <w:rsid w:val="4F3500BF"/>
    <w:rsid w:val="4FAE5D64"/>
    <w:rsid w:val="4FEE68CE"/>
    <w:rsid w:val="558150C4"/>
    <w:rsid w:val="560A6532"/>
    <w:rsid w:val="5610657E"/>
    <w:rsid w:val="57242842"/>
    <w:rsid w:val="57671A50"/>
    <w:rsid w:val="57A37CC2"/>
    <w:rsid w:val="57BB615E"/>
    <w:rsid w:val="5AF67E72"/>
    <w:rsid w:val="5C447CC6"/>
    <w:rsid w:val="5D2D2508"/>
    <w:rsid w:val="5F1E47F1"/>
    <w:rsid w:val="5F3538F6"/>
    <w:rsid w:val="63A754BC"/>
    <w:rsid w:val="63D4050B"/>
    <w:rsid w:val="65297A59"/>
    <w:rsid w:val="67700E1B"/>
    <w:rsid w:val="67B3C462"/>
    <w:rsid w:val="6A3716A0"/>
    <w:rsid w:val="6A6C13F9"/>
    <w:rsid w:val="6AB2229E"/>
    <w:rsid w:val="6AB9362D"/>
    <w:rsid w:val="6C4A05C8"/>
    <w:rsid w:val="6CEF2B0A"/>
    <w:rsid w:val="6F7A7103"/>
    <w:rsid w:val="70D45851"/>
    <w:rsid w:val="72734D90"/>
    <w:rsid w:val="73850CCF"/>
    <w:rsid w:val="748739BA"/>
    <w:rsid w:val="76B77DE9"/>
    <w:rsid w:val="76F15624"/>
    <w:rsid w:val="79496776"/>
    <w:rsid w:val="799D236B"/>
    <w:rsid w:val="79C14A63"/>
    <w:rsid w:val="7DA72878"/>
    <w:rsid w:val="7DEB105B"/>
    <w:rsid w:val="7F215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eastAsia="黑体"/>
      <w:b/>
      <w:bCs/>
      <w:sz w:val="36"/>
      <w:szCs w:val="32"/>
    </w:rPr>
  </w:style>
  <w:style w:type="paragraph" w:styleId="5">
    <w:name w:val="heading 3"/>
    <w:basedOn w:val="1"/>
    <w:next w:val="1"/>
    <w:link w:val="28"/>
    <w:qFormat/>
    <w:uiPriority w:val="9"/>
    <w:pPr>
      <w:keepNext/>
      <w:keepLines/>
      <w:spacing w:before="260" w:after="260" w:line="416" w:lineRule="auto"/>
      <w:outlineLvl w:val="2"/>
    </w:pPr>
    <w:rPr>
      <w:rFonts w:eastAsia="黑体"/>
      <w:b/>
      <w:bCs/>
      <w:sz w:val="30"/>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Salutation"/>
    <w:basedOn w:val="1"/>
    <w:next w:val="1"/>
    <w:unhideWhenUsed/>
    <w:qFormat/>
    <w:uiPriority w:val="99"/>
  </w:style>
  <w:style w:type="paragraph" w:styleId="8">
    <w:name w:val="Body Text"/>
    <w:basedOn w:val="1"/>
    <w:link w:val="35"/>
    <w:qFormat/>
    <w:uiPriority w:val="99"/>
    <w:pPr>
      <w:spacing w:beforeLines="30"/>
    </w:pPr>
    <w:rPr>
      <w:rFonts w:ascii="仿宋_GB2312" w:eastAsia="仿宋_GB2312"/>
      <w:kern w:val="0"/>
      <w:sz w:val="24"/>
      <w:szCs w:val="20"/>
      <w:lang w:val="zh-CN" w:eastAsia="zh-CN"/>
    </w:rPr>
  </w:style>
  <w:style w:type="paragraph" w:styleId="9">
    <w:name w:val="Body Text Indent"/>
    <w:basedOn w:val="1"/>
    <w:next w:val="10"/>
    <w:qFormat/>
    <w:uiPriority w:val="0"/>
    <w:pPr>
      <w:spacing w:after="120"/>
      <w:ind w:left="420" w:leftChars="200"/>
    </w:pPr>
  </w:style>
  <w:style w:type="paragraph" w:styleId="10">
    <w:name w:val="Body Text First Indent 2"/>
    <w:basedOn w:val="9"/>
    <w:next w:val="1"/>
    <w:qFormat/>
    <w:uiPriority w:val="0"/>
    <w:rPr>
      <w:rFonts w:ascii="Calibri" w:hAnsi="Calibri" w:eastAsia="宋体" w:cs="Times New Roman"/>
    </w:r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0"/>
    <w:semiHidden/>
    <w:unhideWhenUsed/>
    <w:qFormat/>
    <w:uiPriority w:val="99"/>
    <w:rPr>
      <w:sz w:val="18"/>
      <w:szCs w:val="18"/>
    </w:rPr>
  </w:style>
  <w:style w:type="paragraph" w:styleId="15">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6">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3"/>
    <w:qFormat/>
    <w:locked/>
    <w:uiPriority w:val="9"/>
    <w:rPr>
      <w:rFonts w:ascii="Times New Roman" w:hAnsi="Times New Roman" w:cs="Times New Roman"/>
      <w:b/>
      <w:bCs/>
      <w:kern w:val="44"/>
      <w:sz w:val="44"/>
      <w:szCs w:val="44"/>
    </w:rPr>
  </w:style>
  <w:style w:type="character" w:customStyle="1" w:styleId="27">
    <w:name w:val="标题 2 字符"/>
    <w:basedOn w:val="23"/>
    <w:link w:val="4"/>
    <w:qFormat/>
    <w:locked/>
    <w:uiPriority w:val="9"/>
    <w:rPr>
      <w:rFonts w:ascii="Cambria" w:hAnsi="Cambria" w:eastAsia="黑体" w:cs="Times New Roman"/>
      <w:b/>
      <w:bCs/>
      <w:kern w:val="2"/>
      <w:sz w:val="36"/>
      <w:szCs w:val="32"/>
    </w:rPr>
  </w:style>
  <w:style w:type="character" w:customStyle="1" w:styleId="28">
    <w:name w:val="标题 3 字符"/>
    <w:basedOn w:val="23"/>
    <w:link w:val="5"/>
    <w:qFormat/>
    <w:locked/>
    <w:uiPriority w:val="9"/>
    <w:rPr>
      <w:rFonts w:ascii="Times New Roman" w:hAnsi="Times New Roman" w:eastAsia="黑体" w:cs="Times New Roman"/>
      <w:b/>
      <w:bCs/>
      <w:kern w:val="2"/>
      <w:sz w:val="30"/>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4"/>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6"/>
    <w:semiHidden/>
    <w:qFormat/>
    <w:locked/>
    <w:uiPriority w:val="99"/>
    <w:rPr>
      <w:sz w:val="18"/>
    </w:rPr>
  </w:style>
  <w:style w:type="character" w:customStyle="1" w:styleId="34">
    <w:name w:val="页脚 字符"/>
    <w:link w:val="15"/>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1">
    <w:name w:val="标题 2 Char"/>
    <w:basedOn w:val="23"/>
    <w:link w:val="4"/>
    <w:qFormat/>
    <w:locked/>
    <w:uiPriority w:val="9"/>
    <w:rPr>
      <w:rFonts w:ascii="Cambria" w:hAnsi="Cambria" w:eastAsia="宋体" w:cs="Times New Roman"/>
      <w:b/>
      <w:bCs/>
      <w:kern w:val="2"/>
      <w:sz w:val="32"/>
      <w:szCs w:val="32"/>
    </w:rPr>
  </w:style>
  <w:style w:type="paragraph" w:customStyle="1" w:styleId="42">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3">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20915;&#31639;\2020&#24180;&#20915;&#31639;&#20844;&#24320;&#20998;&#26512;&#22270;&#349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999.98</c:v>
                </c:pt>
                <c:pt idx="1">
                  <c:v>556.09</c:v>
                </c:pt>
              </c:numCache>
            </c:numRef>
          </c:val>
        </c:ser>
        <c:dLbls>
          <c:showLegendKey val="0"/>
          <c:showVal val="0"/>
          <c:showCatName val="0"/>
          <c:showSerName val="0"/>
          <c:showPercent val="0"/>
          <c:showBubbleSize val="0"/>
        </c:dLbls>
        <c:gapWidth val="219"/>
        <c:overlap val="-27"/>
        <c:axId val="394581351"/>
        <c:axId val="486888770"/>
      </c:barChart>
      <c:catAx>
        <c:axId val="39458135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6888770"/>
        <c:crosses val="autoZero"/>
        <c:auto val="1"/>
        <c:lblAlgn val="ctr"/>
        <c:lblOffset val="100"/>
        <c:noMultiLvlLbl val="0"/>
      </c:catAx>
      <c:valAx>
        <c:axId val="48688877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581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1214.25</c:v>
                </c:pt>
                <c:pt idx="1">
                  <c:v>797.77</c:v>
                </c:pt>
              </c:numCache>
            </c:numRef>
          </c:val>
        </c:ser>
        <c:dLbls>
          <c:showLegendKey val="0"/>
          <c:showVal val="0"/>
          <c:showCatName val="0"/>
          <c:showSerName val="0"/>
          <c:showPercent val="0"/>
          <c:showBubbleSize val="0"/>
        </c:dLbls>
        <c:gapWidth val="219"/>
        <c:overlap val="-27"/>
        <c:axId val="436554138"/>
        <c:axId val="447681890"/>
      </c:barChart>
      <c:catAx>
        <c:axId val="4365541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681890"/>
        <c:crosses val="autoZero"/>
        <c:auto val="1"/>
        <c:lblAlgn val="ctr"/>
        <c:lblOffset val="100"/>
        <c:noMultiLvlLbl val="0"/>
      </c:catAx>
      <c:valAx>
        <c:axId val="44768189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55413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16726261422328"/>
          <c:y val="0.0413856529736358"/>
        </c:manualLayout>
      </c:layout>
      <c:overlay val="0"/>
      <c:spPr>
        <a:noFill/>
        <a:ln>
          <a:noFill/>
        </a:ln>
        <a:effectLst/>
      </c:spPr>
    </c:title>
    <c:autoTitleDeleted val="0"/>
    <c:plotArea>
      <c:layout>
        <c:manualLayout>
          <c:layoutTarget val="inner"/>
          <c:xMode val="edge"/>
          <c:yMode val="edge"/>
          <c:x val="0.26627271123655"/>
          <c:y val="0.246044559250888"/>
          <c:w val="0.373081672252602"/>
          <c:h val="0.682918953826284"/>
        </c:manualLayout>
      </c:layout>
      <c:pieChart>
        <c:varyColors val="1"/>
        <c:ser>
          <c:idx val="0"/>
          <c:order val="0"/>
          <c:explosion val="0"/>
          <c:dPt>
            <c:idx val="0"/>
            <c:bubble3D val="0"/>
            <c:explosion val="0"/>
            <c:spPr>
              <a:solidFill>
                <a:schemeClr val="accent1"/>
              </a:solidFill>
              <a:ln w="19050">
                <a:solidFill>
                  <a:schemeClr val="lt1"/>
                </a:solidFill>
              </a:ln>
              <a:effectLst/>
            </c:spPr>
          </c:dPt>
          <c:dLbls>
            <c:delete val="1"/>
          </c:dLbls>
          <c:cat>
            <c:strRef>
              <c:f>'[2020年决算公开分析图表(1).xls]Sheet1'!$C$44</c:f>
              <c:strCache>
                <c:ptCount val="1"/>
                <c:pt idx="0">
                  <c:v>一般公共预算财政拨款收入</c:v>
                </c:pt>
              </c:strCache>
            </c:strRef>
          </c:cat>
          <c:val>
            <c:numRef>
              <c:f>'[2020年决算公开分析图表(1).xls]Sheet1'!$D$44</c:f>
              <c:numCache>
                <c:formatCode>General</c:formatCode>
                <c:ptCount val="1"/>
                <c:pt idx="0">
                  <c:v>2539.01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022"/>
          <c:y val="0.896937070613012"/>
          <c:w val="0.9275"/>
          <c:h val="0.0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403.75</c:v>
                </c:pt>
                <c:pt idx="1">
                  <c:v>394.02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4551656286381"/>
          <c:h val="0.08993817059549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999.98</c:v>
                </c:pt>
                <c:pt idx="1">
                  <c:v>556.09</c:v>
                </c:pt>
              </c:numCache>
            </c:numRef>
          </c:val>
        </c:ser>
        <c:dLbls>
          <c:showLegendKey val="0"/>
          <c:showVal val="0"/>
          <c:showCatName val="0"/>
          <c:showSerName val="0"/>
          <c:showPercent val="0"/>
          <c:showBubbleSize val="0"/>
        </c:dLbls>
        <c:gapWidth val="219"/>
        <c:overlap val="-27"/>
        <c:axId val="813273968"/>
        <c:axId val="402339825"/>
      </c:barChart>
      <c:catAx>
        <c:axId val="8132739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339825"/>
        <c:crosses val="autoZero"/>
        <c:auto val="1"/>
        <c:lblAlgn val="ctr"/>
        <c:lblOffset val="100"/>
        <c:noMultiLvlLbl val="0"/>
      </c:catAx>
      <c:valAx>
        <c:axId val="40233982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327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[决算公开分析图表.xls]Sheet1!$A$104:$B$104</c:f>
              <c:strCache>
                <c:ptCount val="2"/>
                <c:pt idx="0">
                  <c:v>2021年</c:v>
                </c:pt>
                <c:pt idx="1">
                  <c:v>2022年</c:v>
                </c:pt>
              </c:strCache>
            </c:strRef>
          </c:cat>
          <c:val>
            <c:numRef>
              <c:f>[决算公开分析图表.xls]Sheet1!$A$105:$B$105</c:f>
              <c:numCache>
                <c:formatCode>#,##0.00</c:formatCode>
                <c:ptCount val="2"/>
                <c:pt idx="0">
                  <c:v>1214.25</c:v>
                </c:pt>
                <c:pt idx="1">
                  <c:v>797.77</c:v>
                </c:pt>
              </c:numCache>
            </c:numRef>
          </c:val>
        </c:ser>
        <c:dLbls>
          <c:showLegendKey val="0"/>
          <c:showVal val="0"/>
          <c:showCatName val="0"/>
          <c:showSerName val="0"/>
          <c:showPercent val="0"/>
          <c:showBubbleSize val="0"/>
        </c:dLbls>
        <c:gapWidth val="219"/>
        <c:overlap val="-27"/>
        <c:axId val="52614129"/>
        <c:axId val="228691515"/>
      </c:barChart>
      <c:catAx>
        <c:axId val="5261412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691515"/>
        <c:crosses val="autoZero"/>
        <c:auto val="1"/>
        <c:lblAlgn val="ctr"/>
        <c:lblOffset val="100"/>
        <c:noMultiLvlLbl val="0"/>
      </c:catAx>
      <c:valAx>
        <c:axId val="22869151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1412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#,##0.00</c:formatCode>
                <c:ptCount val="2"/>
                <c:pt idx="0">
                  <c:v>1214.25</c:v>
                </c:pt>
                <c:pt idx="1">
                  <c:v>797.77</c:v>
                </c:pt>
              </c:numCache>
            </c:numRef>
          </c:val>
        </c:ser>
        <c:dLbls>
          <c:showLegendKey val="0"/>
          <c:showVal val="0"/>
          <c:showCatName val="0"/>
          <c:showSerName val="0"/>
          <c:showPercent val="0"/>
          <c:showBubbleSize val="0"/>
        </c:dLbls>
        <c:gapWidth val="219"/>
        <c:overlap val="-27"/>
        <c:axId val="176249847"/>
        <c:axId val="910240470"/>
      </c:barChart>
      <c:catAx>
        <c:axId val="17624984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0240470"/>
        <c:crosses val="autoZero"/>
        <c:auto val="1"/>
        <c:lblAlgn val="ctr"/>
        <c:lblOffset val="100"/>
        <c:noMultiLvlLbl val="0"/>
      </c:catAx>
      <c:valAx>
        <c:axId val="91024047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2498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15802075019952"/>
          <c:y val="0.164305349968281"/>
          <c:w val="0.498403830806065"/>
          <c:h val="0.792345104673292"/>
        </c:manualLayout>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Lbls>
            <c:delete val="1"/>
          </c:dLbls>
          <c:cat>
            <c:strRef>
              <c:f>[决算公开分析图表.xls]Sheet1!$C$144:$C$148</c:f>
              <c:strCache>
                <c:ptCount val="5"/>
                <c:pt idx="0">
                  <c:v>一般公共服务支出</c:v>
                </c:pt>
                <c:pt idx="1">
                  <c:v>社会保障和就业支出</c:v>
                </c:pt>
                <c:pt idx="2">
                  <c:v>卫生健康支出</c:v>
                </c:pt>
                <c:pt idx="3">
                  <c:v>农林水支出</c:v>
                </c:pt>
                <c:pt idx="4">
                  <c:v>住房保障支出</c:v>
                </c:pt>
              </c:strCache>
            </c:strRef>
          </c:cat>
          <c:val>
            <c:numRef>
              <c:f>[决算公开分析图表.xls]Sheet1!$D$144:$D$148</c:f>
              <c:numCache>
                <c:formatCode>General</c:formatCode>
                <c:ptCount val="5"/>
                <c:pt idx="0">
                  <c:v>607.82</c:v>
                </c:pt>
                <c:pt idx="1">
                  <c:v>47.21</c:v>
                </c:pt>
                <c:pt idx="2">
                  <c:v>28.13</c:v>
                </c:pt>
                <c:pt idx="3">
                  <c:v>87.7</c:v>
                </c:pt>
                <c:pt idx="4">
                  <c:v>26.92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14964170296473"/>
          <c:y val="0.636029411764706"/>
          <c:w val="0.480820570465084"/>
          <c:h val="0.33412629757785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Lbls>
            <c:dLbl>
              <c:idx val="0"/>
              <c:layout>
                <c:manualLayout>
                  <c:x val="0.306981955633915"/>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22880371661"/>
                      <c:h val="0.196003284971256"/>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'[2020年决算公开分析图表(1).xls]Sheet1'!$A$219</c:f>
              <c:strCache>
                <c:ptCount val="1"/>
                <c:pt idx="0">
                  <c:v>公务用车购置及运行维护费</c:v>
                </c:pt>
              </c:strCache>
            </c:strRef>
          </c:cat>
          <c:val>
            <c:numRef>
              <c:f>'[2020年决算公开分析图表(1).xls]Sheet1'!$B$219</c:f>
              <c:numCache>
                <c:formatCode>General</c:formatCode>
                <c:ptCount val="1"/>
                <c:pt idx="0">
                  <c:v>4.12</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28</Pages>
  <Words>8894</Words>
  <Characters>9840</Characters>
  <Lines>74</Lines>
  <Paragraphs>21</Paragraphs>
  <TotalTime>4</TotalTime>
  <ScaleCrop>false</ScaleCrop>
  <LinksUpToDate>false</LinksUpToDate>
  <CharactersWithSpaces>9927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Lenovo</cp:lastModifiedBy>
  <cp:lastPrinted>2023-10-20T07:46:00Z</cp:lastPrinted>
  <dcterms:modified xsi:type="dcterms:W3CDTF">2026-07-03T03:06:13Z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4CE53B0218AC453AB3D8DADBF9BDFB74</vt:lpwstr>
  </property>
</Properties>
</file>