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bookmarkStart w:id="73" w:name="_GoBack"/>
      <w:bookmarkEnd w:id="73"/>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78441"/>
      <w:bookmarkStart w:id="3" w:name="_Toc15377425"/>
      <w:bookmarkStart w:id="4" w:name="_Toc15377193"/>
      <w:bookmarkStart w:id="5" w:name="_Toc15396597"/>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7426"/>
      <w:bookmarkStart w:id="7" w:name="_Toc15377194"/>
      <w:bookmarkStart w:id="8" w:name="_Toc15396476"/>
      <w:bookmarkStart w:id="9" w:name="_Toc15378442"/>
      <w:bookmarkStart w:id="10" w:name="_Toc15396598"/>
      <w:r>
        <w:rPr>
          <w:rFonts w:hint="eastAsia" w:ascii="方正小标宋简体" w:hAnsi="宋体" w:eastAsia="方正小标宋简体"/>
          <w:color w:val="000000"/>
          <w:sz w:val="72"/>
          <w:szCs w:val="72"/>
        </w:rPr>
        <w:t>四川省</w:t>
      </w:r>
      <w:bookmarkEnd w:id="0"/>
      <w:bookmarkStart w:id="11" w:name="_Toc15306268"/>
      <w:r>
        <w:rPr>
          <w:rFonts w:hint="eastAsia" w:ascii="方正小标宋简体" w:hAnsi="宋体" w:eastAsia="方正小标宋简体"/>
          <w:color w:val="000000"/>
          <w:sz w:val="72"/>
          <w:szCs w:val="72"/>
        </w:rPr>
        <w:t>壤塘县社会救助福利服务中心</w:t>
      </w:r>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adjustRightInd w:val="0"/>
        <w:snapToGrid w:val="0"/>
        <w:spacing w:line="360" w:lineRule="auto"/>
        <w:jc w:val="center"/>
        <w:outlineLvl w:val="0"/>
        <w:rPr>
          <w:rFonts w:ascii="方正小标宋简体" w:hAnsi="宋体" w:eastAsia="方正小标宋简体"/>
          <w:color w:val="000000"/>
          <w:sz w:val="52"/>
          <w:szCs w:val="52"/>
        </w:rPr>
      </w:pPr>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Style w:val="10"/>
      </w:pPr>
      <w:r>
        <w:rPr>
          <w:rFonts w:hint="eastAsia"/>
        </w:rPr>
        <w:t>公开时间：2019年 10 月 21 日</w:t>
      </w:r>
    </w:p>
    <w:p/>
    <w:p>
      <w:pPr>
        <w:pStyle w:val="10"/>
        <w:rPr>
          <w:rFonts w:cstheme="minorBidi"/>
        </w:rPr>
      </w:pPr>
      <w:r>
        <w:fldChar w:fldCharType="begin"/>
      </w:r>
      <w:r>
        <w:instrText xml:space="preserve"> HYPERLINK \l "_Toc15396599" </w:instrText>
      </w:r>
      <w:r>
        <w:fldChar w:fldCharType="separate"/>
      </w:r>
      <w:r>
        <w:rPr>
          <w:rStyle w:val="16"/>
          <w:rFonts w:hint="eastAsia"/>
        </w:rPr>
        <w:t>第一部分部门概况</w:t>
      </w:r>
      <w:r>
        <w:tab/>
      </w:r>
      <w:r>
        <w:rPr>
          <w:rFonts w:hint="eastAsia"/>
        </w:rPr>
        <w:t>4</w:t>
      </w:r>
      <w:r>
        <w:rPr>
          <w:rFonts w:hint="eastAsia"/>
        </w:rPr>
        <w:fldChar w:fldCharType="end"/>
      </w:r>
    </w:p>
    <w:p>
      <w:pPr>
        <w:pStyle w:val="11"/>
        <w:rPr>
          <w:rFonts w:ascii="仿宋" w:hAnsi="仿宋" w:eastAsia="仿宋" w:cstheme="minorBidi"/>
          <w:sz w:val="28"/>
          <w:szCs w:val="28"/>
        </w:rPr>
      </w:pPr>
      <w:r>
        <w:fldChar w:fldCharType="begin"/>
      </w:r>
      <w:r>
        <w:instrText xml:space="preserve"> HYPERLINK \l "_Toc15396600" </w:instrText>
      </w:r>
      <w:r>
        <w:fldChar w:fldCharType="separate"/>
      </w:r>
      <w:r>
        <w:rPr>
          <w:rStyle w:val="16"/>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"_Toc15396601" </w:instrText>
      </w:r>
      <w:r>
        <w:fldChar w:fldCharType="separate"/>
      </w:r>
      <w:r>
        <w:rPr>
          <w:rStyle w:val="16"/>
          <w:rFonts w:hint="eastAsia" w:ascii="仿宋" w:hAnsi="仿宋" w:eastAsia="仿宋"/>
          <w:sz w:val="28"/>
          <w:szCs w:val="28"/>
        </w:rPr>
        <w:t>二、机构设置</w:t>
      </w:r>
      <w:r>
        <w:rPr>
          <w:rFonts w:ascii="仿宋" w:hAnsi="仿宋" w:eastAsia="仿宋"/>
          <w:sz w:val="28"/>
          <w:szCs w:val="28"/>
        </w:rPr>
        <w:tab/>
      </w:r>
      <w:r>
        <w:rPr>
          <w:rFonts w:hint="eastAsia" w:ascii="仿宋" w:hAnsi="仿宋" w:eastAsia="仿宋"/>
          <w:sz w:val="28"/>
          <w:szCs w:val="28"/>
        </w:rPr>
        <w:t>8</w:t>
      </w:r>
      <w:r>
        <w:rPr>
          <w:rFonts w:hint="eastAsia" w:ascii="仿宋" w:hAnsi="仿宋" w:eastAsia="仿宋"/>
          <w:sz w:val="28"/>
          <w:szCs w:val="28"/>
        </w:rPr>
        <w:fldChar w:fldCharType="end"/>
      </w:r>
    </w:p>
    <w:p>
      <w:pPr>
        <w:pStyle w:val="10"/>
      </w:pPr>
      <w:r>
        <w:fldChar w:fldCharType="begin"/>
      </w:r>
      <w:r>
        <w:instrText xml:space="preserve"> HYPERLINK \l "_Toc15396602" </w:instrText>
      </w:r>
      <w:r>
        <w:fldChar w:fldCharType="separate"/>
      </w:r>
      <w:r>
        <w:rPr>
          <w:rStyle w:val="16"/>
          <w:rFonts w:hint="eastAsia"/>
        </w:rPr>
        <w:t>第二部分</w:t>
      </w:r>
      <w:r>
        <w:rPr>
          <w:rStyle w:val="16"/>
        </w:rPr>
        <w:t xml:space="preserve"> 2018</w:t>
      </w:r>
      <w:r>
        <w:rPr>
          <w:rStyle w:val="16"/>
          <w:rFonts w:hint="eastAsia"/>
        </w:rPr>
        <w:t>年度部门决算情况说明</w:t>
      </w:r>
      <w:r>
        <w:tab/>
      </w:r>
      <w:r>
        <w:rPr>
          <w:rFonts w:hint="eastAsia"/>
        </w:rPr>
        <w:t>9</w:t>
      </w:r>
      <w:r>
        <w:rPr>
          <w:rFonts w:hint="eastAsia"/>
        </w:rPr>
        <w:fldChar w:fldCharType="end"/>
      </w:r>
    </w:p>
    <w:p>
      <w:pPr>
        <w:pStyle w:val="11"/>
        <w:rPr>
          <w:rFonts w:ascii="仿宋" w:hAnsi="仿宋" w:eastAsia="仿宋" w:cstheme="minorBidi"/>
          <w:sz w:val="28"/>
          <w:szCs w:val="28"/>
        </w:rPr>
      </w:pPr>
      <w:r>
        <w:fldChar w:fldCharType="begin"/>
      </w:r>
      <w:r>
        <w:instrText xml:space="preserve"> HYPERLINK \l "_Toc15396603" </w:instrText>
      </w:r>
      <w:r>
        <w:fldChar w:fldCharType="separate"/>
      </w:r>
      <w:r>
        <w:rPr>
          <w:rStyle w:val="16"/>
          <w:rFonts w:hint="eastAsia" w:ascii="仿宋" w:hAnsi="仿宋" w:eastAsia="仿宋" w:cstheme="majorBidi"/>
          <w:bCs/>
          <w:sz w:val="28"/>
          <w:szCs w:val="28"/>
        </w:rPr>
        <w:t>一、</w:t>
      </w:r>
      <w:r>
        <w:rPr>
          <w:rStyle w:val="16"/>
          <w:rFonts w:hint="eastAsia" w:ascii="仿宋" w:hAnsi="仿宋" w:eastAsia="仿宋"/>
          <w:sz w:val="28"/>
          <w:szCs w:val="28"/>
        </w:rPr>
        <w:t>收</w:t>
      </w:r>
      <w:r>
        <w:rPr>
          <w:rStyle w:val="16"/>
          <w:rFonts w:hint="eastAsia" w:ascii="仿宋" w:hAnsi="仿宋" w:eastAsia="仿宋" w:cstheme="majorBidi"/>
          <w:bCs/>
          <w:sz w:val="28"/>
          <w:szCs w:val="28"/>
        </w:rPr>
        <w:t>入支出决算总体情况说明</w:t>
      </w:r>
      <w:r>
        <w:rPr>
          <w:rFonts w:ascii="仿宋" w:hAnsi="仿宋" w:eastAsia="仿宋"/>
          <w:sz w:val="28"/>
          <w:szCs w:val="28"/>
        </w:rPr>
        <w:tab/>
      </w:r>
      <w:r>
        <w:rPr>
          <w:rFonts w:hint="eastAsia" w:ascii="仿宋" w:hAnsi="仿宋" w:eastAsia="仿宋"/>
          <w:sz w:val="28"/>
          <w:szCs w:val="28"/>
        </w:rPr>
        <w:t>9</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"_Toc15396604" </w:instrText>
      </w:r>
      <w:r>
        <w:fldChar w:fldCharType="separate"/>
      </w:r>
      <w:r>
        <w:rPr>
          <w:rStyle w:val="16"/>
          <w:rFonts w:hint="eastAsia" w:ascii="仿宋" w:hAnsi="仿宋" w:eastAsia="仿宋" w:cstheme="majorBidi"/>
          <w:bCs/>
          <w:sz w:val="28"/>
          <w:szCs w:val="28"/>
        </w:rPr>
        <w:t>二、</w:t>
      </w:r>
      <w:r>
        <w:rPr>
          <w:rStyle w:val="16"/>
          <w:rFonts w:hint="eastAsia" w:ascii="仿宋" w:hAnsi="仿宋" w:eastAsia="仿宋"/>
          <w:sz w:val="28"/>
          <w:szCs w:val="28"/>
        </w:rPr>
        <w:t>收</w:t>
      </w:r>
      <w:r>
        <w:rPr>
          <w:rStyle w:val="16"/>
          <w:rFonts w:hint="eastAsia" w:ascii="仿宋" w:hAnsi="仿宋" w:eastAsia="仿宋" w:cstheme="majorBidi"/>
          <w:bCs/>
          <w:sz w:val="28"/>
          <w:szCs w:val="28"/>
        </w:rPr>
        <w:t>入决算情况说明</w:t>
      </w:r>
      <w:r>
        <w:rPr>
          <w:rFonts w:ascii="仿宋" w:hAnsi="仿宋" w:eastAsia="仿宋"/>
          <w:sz w:val="28"/>
          <w:szCs w:val="28"/>
        </w:rPr>
        <w:tab/>
      </w:r>
      <w:r>
        <w:rPr>
          <w:rFonts w:hint="eastAsia" w:ascii="仿宋" w:hAnsi="仿宋" w:eastAsia="仿宋"/>
          <w:sz w:val="28"/>
          <w:szCs w:val="28"/>
        </w:rPr>
        <w:t>9</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"_Toc15396605" </w:instrText>
      </w:r>
      <w:r>
        <w:fldChar w:fldCharType="separate"/>
      </w:r>
      <w:r>
        <w:rPr>
          <w:rStyle w:val="16"/>
          <w:rFonts w:hint="eastAsia" w:ascii="仿宋" w:hAnsi="仿宋" w:eastAsia="仿宋" w:cstheme="majorBidi"/>
          <w:bCs/>
          <w:sz w:val="28"/>
          <w:szCs w:val="28"/>
        </w:rPr>
        <w:t>三、</w:t>
      </w:r>
      <w:r>
        <w:rPr>
          <w:rStyle w:val="16"/>
          <w:rFonts w:hint="eastAsia" w:ascii="仿宋" w:hAnsi="仿宋" w:eastAsia="仿宋"/>
          <w:sz w:val="28"/>
          <w:szCs w:val="28"/>
        </w:rPr>
        <w:t>支</w:t>
      </w:r>
      <w:r>
        <w:rPr>
          <w:rStyle w:val="16"/>
          <w:rFonts w:hint="eastAsia" w:ascii="仿宋" w:hAnsi="仿宋" w:eastAsia="仿宋" w:cstheme="majorBidi"/>
          <w:bCs/>
          <w:sz w:val="28"/>
          <w:szCs w:val="28"/>
        </w:rPr>
        <w:t>出决算情况说明</w:t>
      </w:r>
      <w:r>
        <w:rPr>
          <w:rFonts w:ascii="仿宋" w:hAnsi="仿宋" w:eastAsia="仿宋"/>
          <w:sz w:val="28"/>
          <w:szCs w:val="28"/>
        </w:rPr>
        <w:tab/>
      </w:r>
      <w:r>
        <w:rPr>
          <w:rFonts w:hint="eastAsia" w:ascii="仿宋" w:hAnsi="仿宋" w:eastAsia="仿宋"/>
          <w:sz w:val="28"/>
          <w:szCs w:val="28"/>
        </w:rPr>
        <w:t>9</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"_Toc15396606" </w:instrText>
      </w:r>
      <w:r>
        <w:fldChar w:fldCharType="separate"/>
      </w:r>
      <w:r>
        <w:rPr>
          <w:rStyle w:val="16"/>
          <w:rFonts w:hint="eastAsia" w:ascii="仿宋" w:hAnsi="仿宋" w:eastAsia="仿宋"/>
          <w:sz w:val="28"/>
          <w:szCs w:val="28"/>
        </w:rPr>
        <w:t>四、财</w:t>
      </w:r>
      <w:r>
        <w:rPr>
          <w:rStyle w:val="16"/>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hint="eastAsia" w:ascii="仿宋" w:hAnsi="仿宋" w:eastAsia="仿宋"/>
          <w:sz w:val="28"/>
          <w:szCs w:val="28"/>
        </w:rPr>
        <w:t>10</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"_Toc15396607" </w:instrText>
      </w:r>
      <w:r>
        <w:fldChar w:fldCharType="separate"/>
      </w:r>
      <w:r>
        <w:rPr>
          <w:rStyle w:val="16"/>
          <w:rFonts w:hint="eastAsia" w:ascii="仿宋" w:hAnsi="仿宋" w:eastAsia="仿宋"/>
          <w:sz w:val="28"/>
          <w:szCs w:val="28"/>
        </w:rPr>
        <w:t>五、一</w:t>
      </w:r>
      <w:r>
        <w:rPr>
          <w:rStyle w:val="16"/>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hint="eastAsia" w:ascii="仿宋" w:hAnsi="仿宋" w:eastAsia="仿宋"/>
          <w:sz w:val="28"/>
          <w:szCs w:val="28"/>
        </w:rPr>
        <w:t>10</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"_Toc15396608" </w:instrText>
      </w:r>
      <w:r>
        <w:fldChar w:fldCharType="separate"/>
      </w:r>
      <w:r>
        <w:rPr>
          <w:rStyle w:val="16"/>
          <w:rFonts w:hint="eastAsia" w:ascii="仿宋" w:hAnsi="仿宋" w:eastAsia="仿宋"/>
          <w:sz w:val="28"/>
          <w:szCs w:val="28"/>
        </w:rPr>
        <w:t>六、一</w:t>
      </w:r>
      <w:r>
        <w:rPr>
          <w:rStyle w:val="16"/>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hint="eastAsia" w:ascii="仿宋" w:hAnsi="仿宋" w:eastAsia="仿宋"/>
          <w:sz w:val="28"/>
          <w:szCs w:val="28"/>
        </w:rPr>
        <w:t>12</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"_Toc15396609" </w:instrText>
      </w:r>
      <w:r>
        <w:fldChar w:fldCharType="separate"/>
      </w:r>
      <w:r>
        <w:rPr>
          <w:rStyle w:val="16"/>
          <w:rFonts w:hint="eastAsia" w:ascii="仿宋" w:hAnsi="仿宋" w:eastAsia="仿宋"/>
          <w:sz w:val="28"/>
          <w:szCs w:val="28"/>
        </w:rPr>
        <w:t>七、</w:t>
      </w:r>
      <w:r>
        <w:rPr>
          <w:rStyle w:val="16"/>
          <w:rFonts w:ascii="仿宋" w:hAnsi="仿宋" w:eastAsia="仿宋"/>
          <w:sz w:val="28"/>
          <w:szCs w:val="28"/>
        </w:rPr>
        <w:t>“</w:t>
      </w:r>
      <w:r>
        <w:rPr>
          <w:rStyle w:val="16"/>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hint="eastAsia" w:ascii="仿宋" w:hAnsi="仿宋" w:eastAsia="仿宋"/>
          <w:sz w:val="28"/>
          <w:szCs w:val="28"/>
        </w:rPr>
        <w:t>12</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"_Toc15396610" </w:instrText>
      </w:r>
      <w:r>
        <w:fldChar w:fldCharType="separate"/>
      </w:r>
      <w:r>
        <w:rPr>
          <w:rStyle w:val="16"/>
          <w:rFonts w:hint="eastAsia" w:ascii="仿宋" w:hAnsi="仿宋" w:eastAsia="仿宋"/>
          <w:sz w:val="28"/>
          <w:szCs w:val="28"/>
        </w:rPr>
        <w:t>八、</w:t>
      </w:r>
      <w:r>
        <w:rPr>
          <w:rStyle w:val="16"/>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hint="eastAsia" w:ascii="仿宋" w:hAnsi="仿宋" w:eastAsia="仿宋"/>
          <w:sz w:val="28"/>
          <w:szCs w:val="28"/>
        </w:rPr>
        <w:t>14</w:t>
      </w:r>
      <w:r>
        <w:rPr>
          <w:rFonts w:hint="eastAsia" w:ascii="仿宋" w:hAnsi="仿宋" w:eastAsia="仿宋"/>
          <w:sz w:val="28"/>
          <w:szCs w:val="28"/>
        </w:rPr>
        <w:fldChar w:fldCharType="end"/>
      </w:r>
    </w:p>
    <w:p>
      <w:pPr>
        <w:pStyle w:val="11"/>
      </w:pPr>
      <w:r>
        <w:fldChar w:fldCharType="begin"/>
      </w:r>
      <w:r>
        <w:instrText xml:space="preserve"> HYPERLINK \l "_Toc15396611" </w:instrText>
      </w:r>
      <w:r>
        <w:fldChar w:fldCharType="separate"/>
      </w:r>
      <w:r>
        <w:rPr>
          <w:rStyle w:val="16"/>
          <w:rFonts w:hint="eastAsia" w:ascii="仿宋" w:hAnsi="仿宋" w:eastAsia="仿宋" w:cstheme="majorBidi"/>
          <w:bCs/>
          <w:sz w:val="28"/>
          <w:szCs w:val="28"/>
        </w:rPr>
        <w:t>九、</w:t>
      </w:r>
      <w:r>
        <w:rPr>
          <w:rStyle w:val="16"/>
          <w:rFonts w:hint="eastAsia" w:ascii="仿宋" w:hAnsi="仿宋" w:eastAsia="仿宋"/>
          <w:sz w:val="28"/>
          <w:szCs w:val="28"/>
        </w:rPr>
        <w:t xml:space="preserve"> 国</w:t>
      </w:r>
      <w:r>
        <w:rPr>
          <w:rStyle w:val="16"/>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hint="eastAsia" w:ascii="仿宋" w:hAnsi="仿宋" w:eastAsia="仿宋"/>
          <w:sz w:val="28"/>
          <w:szCs w:val="28"/>
        </w:rPr>
        <w:t>14</w:t>
      </w:r>
      <w:r>
        <w:rPr>
          <w:rFonts w:hint="eastAsia" w:ascii="仿宋" w:hAnsi="仿宋" w:eastAsia="仿宋"/>
          <w:sz w:val="28"/>
          <w:szCs w:val="28"/>
        </w:rPr>
        <w:fldChar w:fldCharType="end"/>
      </w:r>
    </w:p>
    <w:p>
      <w:pPr>
        <w:rPr>
          <w:color w:val="000000" w:themeColor="text1"/>
        </w:rPr>
      </w:pPr>
      <w:r>
        <w:rPr>
          <w:rFonts w:hint="eastAsia"/>
        </w:rPr>
        <w:t xml:space="preserve">    </w:t>
      </w:r>
      <w:r>
        <w:rPr>
          <w:rStyle w:val="16"/>
          <w:rFonts w:hint="eastAsia" w:ascii="仿宋" w:hAnsi="仿宋" w:eastAsia="仿宋" w:cstheme="majorBidi"/>
          <w:bCs/>
          <w:color w:val="000000" w:themeColor="text1"/>
          <w:sz w:val="28"/>
          <w:szCs w:val="28"/>
          <w:u w:val="none"/>
        </w:rPr>
        <w:t>十、预算绩效情况说明</w:t>
      </w:r>
      <w:r>
        <w:rPr>
          <w:rStyle w:val="16"/>
          <w:rFonts w:ascii="仿宋" w:hAnsi="仿宋" w:eastAsia="仿宋" w:cstheme="majorBidi"/>
          <w:bCs/>
          <w:color w:val="000000" w:themeColor="text1"/>
          <w:sz w:val="28"/>
          <w:szCs w:val="28"/>
          <w:u w:val="none"/>
        </w:rPr>
        <w:t>…………………………………………</w:t>
      </w:r>
      <w:r>
        <w:rPr>
          <w:rStyle w:val="16"/>
          <w:rFonts w:hint="eastAsia" w:ascii="仿宋" w:hAnsi="仿宋" w:eastAsia="仿宋" w:cstheme="majorBidi"/>
          <w:bCs/>
          <w:color w:val="000000" w:themeColor="text1"/>
          <w:sz w:val="28"/>
          <w:szCs w:val="28"/>
          <w:u w:val="none"/>
        </w:rPr>
        <w:t xml:space="preserve">  14</w:t>
      </w:r>
    </w:p>
    <w:p>
      <w:pPr>
        <w:pStyle w:val="11"/>
        <w:rPr>
          <w:rFonts w:ascii="仿宋" w:hAnsi="仿宋" w:eastAsia="仿宋" w:cstheme="minorBidi"/>
          <w:sz w:val="28"/>
          <w:szCs w:val="28"/>
        </w:rPr>
      </w:pPr>
      <w:r>
        <w:fldChar w:fldCharType="begin"/>
      </w:r>
      <w:r>
        <w:instrText xml:space="preserve"> HYPERLINK \l "_Toc15396612" </w:instrText>
      </w:r>
      <w:r>
        <w:fldChar w:fldCharType="separate"/>
      </w:r>
      <w:r>
        <w:rPr>
          <w:rStyle w:val="16"/>
          <w:rFonts w:hint="eastAsia" w:ascii="仿宋" w:hAnsi="仿宋" w:eastAsia="仿宋"/>
          <w:sz w:val="28"/>
          <w:szCs w:val="28"/>
        </w:rPr>
        <w:t>十</w:t>
      </w:r>
      <w:r>
        <w:rPr>
          <w:rStyle w:val="16"/>
          <w:rFonts w:hint="eastAsia" w:ascii="仿宋" w:hAnsi="仿宋" w:eastAsia="仿宋" w:cstheme="majorBidi"/>
          <w:bCs/>
          <w:sz w:val="28"/>
          <w:szCs w:val="28"/>
        </w:rPr>
        <w:t>一、其他重要事项的情况说明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15</w:t>
      </w:r>
      <w:r>
        <w:rPr>
          <w:rFonts w:ascii="仿宋" w:hAnsi="仿宋" w:eastAsia="仿宋"/>
          <w:sz w:val="28"/>
          <w:szCs w:val="28"/>
        </w:rPr>
        <w:fldChar w:fldCharType="end"/>
      </w:r>
      <w:r>
        <w:rPr>
          <w:rFonts w:ascii="仿宋" w:hAnsi="仿宋" w:eastAsia="仿宋"/>
          <w:sz w:val="28"/>
          <w:szCs w:val="28"/>
        </w:rPr>
        <w:fldChar w:fldCharType="end"/>
      </w:r>
    </w:p>
    <w:p>
      <w:pPr>
        <w:pStyle w:val="10"/>
        <w:rPr>
          <w:rFonts w:cstheme="minorBidi"/>
        </w:rPr>
      </w:pPr>
      <w:r>
        <w:fldChar w:fldCharType="begin"/>
      </w:r>
      <w:r>
        <w:instrText xml:space="preserve"> HYPERLINK \l "_Toc15396613" </w:instrText>
      </w:r>
      <w:r>
        <w:fldChar w:fldCharType="separate"/>
      </w:r>
      <w:r>
        <w:rPr>
          <w:rStyle w:val="16"/>
          <w:rFonts w:hint="eastAsia"/>
          <w:bCs/>
          <w:kern w:val="44"/>
        </w:rPr>
        <w:t>第三部分</w:t>
      </w:r>
      <w:r>
        <w:rPr>
          <w:rStyle w:val="16"/>
          <w:rFonts w:hint="eastAsia"/>
        </w:rPr>
        <w:t xml:space="preserve"> 名</w:t>
      </w:r>
      <w:r>
        <w:rPr>
          <w:rStyle w:val="16"/>
          <w:rFonts w:hint="eastAsia"/>
          <w:bCs/>
          <w:kern w:val="44"/>
        </w:rPr>
        <w:t>词解释</w:t>
      </w:r>
      <w:r>
        <w:tab/>
      </w:r>
      <w:r>
        <w:rPr>
          <w:rFonts w:hint="eastAsia"/>
        </w:rPr>
        <w:t>15</w:t>
      </w:r>
      <w:r>
        <w:rPr>
          <w:rFonts w:hint="eastAsia"/>
        </w:rPr>
        <w:fldChar w:fldCharType="end"/>
      </w:r>
    </w:p>
    <w:p>
      <w:pPr>
        <w:pStyle w:val="10"/>
        <w:rPr>
          <w:rFonts w:cstheme="minorBidi"/>
        </w:rPr>
      </w:pPr>
      <w:r>
        <w:fldChar w:fldCharType="begin"/>
      </w:r>
      <w:r>
        <w:instrText xml:space="preserve"> HYPERLINK \l "_Toc15396614" </w:instrText>
      </w:r>
      <w:r>
        <w:fldChar w:fldCharType="separate"/>
      </w:r>
      <w:r>
        <w:rPr>
          <w:rStyle w:val="16"/>
          <w:rFonts w:hint="eastAsia"/>
        </w:rPr>
        <w:t>第</w:t>
      </w:r>
      <w:r>
        <w:rPr>
          <w:rStyle w:val="16"/>
          <w:rFonts w:hint="eastAsia"/>
          <w:bCs/>
          <w:kern w:val="44"/>
        </w:rPr>
        <w:t>四部分附件</w:t>
      </w:r>
      <w:r>
        <w:tab/>
      </w:r>
      <w:r>
        <w:fldChar w:fldCharType="begin"/>
      </w:r>
      <w:r>
        <w:instrText xml:space="preserve"> PAGEREF _Toc15396614 \h </w:instrText>
      </w:r>
      <w:r>
        <w:fldChar w:fldCharType="separate"/>
      </w:r>
      <w:r>
        <w:t>18</w:t>
      </w:r>
      <w:r>
        <w:fldChar w:fldCharType="end"/>
      </w:r>
      <w:r>
        <w:fldChar w:fldCharType="end"/>
      </w:r>
    </w:p>
    <w:p>
      <w:pPr>
        <w:pStyle w:val="11"/>
        <w:rPr>
          <w:rFonts w:ascii="仿宋" w:hAnsi="仿宋" w:eastAsia="仿宋" w:cstheme="minorBidi"/>
          <w:sz w:val="28"/>
          <w:szCs w:val="28"/>
        </w:rPr>
      </w:pPr>
      <w:r>
        <w:fldChar w:fldCharType="begin"/>
      </w:r>
      <w:r>
        <w:instrText xml:space="preserve"> HYPERLINK \l "_Toc15396615" </w:instrText>
      </w:r>
      <w:r>
        <w:fldChar w:fldCharType="separate"/>
      </w:r>
      <w:r>
        <w:rPr>
          <w:rStyle w:val="16"/>
          <w:rFonts w:hint="eastAsia" w:ascii="仿宋" w:hAnsi="仿宋" w:eastAsia="仿宋"/>
          <w:kern w:val="44"/>
          <w:sz w:val="28"/>
          <w:szCs w:val="28"/>
        </w:rPr>
        <w:t>附件</w:t>
      </w:r>
      <w:r>
        <w:rPr>
          <w:rStyle w:val="16"/>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18</w:t>
      </w:r>
      <w:r>
        <w:rPr>
          <w:rFonts w:ascii="仿宋" w:hAnsi="仿宋" w:eastAsia="仿宋"/>
          <w:sz w:val="28"/>
          <w:szCs w:val="28"/>
        </w:rPr>
        <w:fldChar w:fldCharType="end"/>
      </w:r>
      <w:r>
        <w:rPr>
          <w:rFonts w:ascii="仿宋" w:hAnsi="仿宋" w:eastAsia="仿宋"/>
          <w:sz w:val="28"/>
          <w:szCs w:val="28"/>
        </w:rPr>
        <w:fldChar w:fldCharType="end"/>
      </w:r>
    </w:p>
    <w:p>
      <w:pPr>
        <w:pStyle w:val="10"/>
        <w:rPr>
          <w:rFonts w:cstheme="minorBidi"/>
        </w:rPr>
      </w:pPr>
      <w:r>
        <w:fldChar w:fldCharType="begin"/>
      </w:r>
      <w:r>
        <w:instrText xml:space="preserve"> HYPERLINK \l "_Toc15396618" </w:instrText>
      </w:r>
      <w:r>
        <w:fldChar w:fldCharType="separate"/>
      </w:r>
      <w:r>
        <w:rPr>
          <w:rStyle w:val="16"/>
          <w:rFonts w:hint="eastAsia"/>
        </w:rPr>
        <w:t>第</w:t>
      </w:r>
      <w:r>
        <w:rPr>
          <w:rStyle w:val="16"/>
          <w:rFonts w:hint="eastAsia"/>
          <w:bCs/>
          <w:kern w:val="44"/>
        </w:rPr>
        <w:t>五部分附表</w:t>
      </w:r>
      <w:r>
        <w:tab/>
      </w:r>
      <w:r>
        <w:fldChar w:fldCharType="begin"/>
      </w:r>
      <w:r>
        <w:instrText xml:space="preserve"> PAGEREF _Toc15396618 \h </w:instrText>
      </w:r>
      <w:r>
        <w:fldChar w:fldCharType="separate"/>
      </w:r>
      <w:r>
        <w:t>27</w:t>
      </w:r>
      <w:r>
        <w:fldChar w:fldCharType="end"/>
      </w:r>
      <w:r>
        <w:fldChar w:fldCharType="end"/>
      </w:r>
    </w:p>
    <w:p>
      <w:pPr>
        <w:pStyle w:val="11"/>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6"/>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27</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6"/>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27</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6"/>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27</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6"/>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27</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27</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6"/>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27</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6"/>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27</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6"/>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27</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6"/>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27</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6"/>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27</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6"/>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27</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6"/>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27</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6"/>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27</w:t>
      </w:r>
      <w:r>
        <w:rPr>
          <w:rFonts w:ascii="仿宋" w:hAnsi="仿宋" w:eastAsia="仿宋"/>
          <w:sz w:val="28"/>
          <w:szCs w:val="28"/>
        </w:rPr>
        <w:fldChar w:fldCharType="end"/>
      </w:r>
      <w:r>
        <w:rPr>
          <w:rFonts w:ascii="仿宋" w:hAnsi="仿宋" w:eastAsia="仿宋"/>
          <w:sz w:val="28"/>
          <w:szCs w:val="28"/>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96599"/>
      <w:bookmarkStart w:id="13" w:name="_Toc15377196"/>
      <w:r>
        <w:rPr>
          <w:rFonts w:ascii="黑体" w:hAnsi="黑体" w:eastAsia="黑体"/>
          <w:b/>
        </w:rPr>
        <w:br w:type="page"/>
      </w:r>
    </w:p>
    <w:p>
      <w:pPr>
        <w:pStyle w:val="2"/>
        <w:jc w:val="center"/>
        <w:rPr>
          <w:rFonts w:ascii="黑体" w:hAnsi="黑体" w:eastAsia="黑体"/>
          <w:b w:val="0"/>
        </w:rPr>
      </w:pPr>
      <w:r>
        <w:rPr>
          <w:rFonts w:hint="eastAsia" w:ascii="黑体" w:hAnsi="黑体" w:eastAsia="黑体"/>
          <w:b w:val="0"/>
        </w:rPr>
        <w:t>壤塘县民政局2018年部门决算编制说明</w:t>
      </w:r>
    </w:p>
    <w:p>
      <w:pPr>
        <w:pStyle w:val="2"/>
        <w:jc w:val="center"/>
        <w:rPr>
          <w:rStyle w:val="25"/>
          <w:rFonts w:ascii="黑体" w:hAnsi="黑体" w:eastAsia="黑体"/>
          <w:b/>
          <w:bCs w:val="0"/>
        </w:rPr>
      </w:pPr>
      <w:r>
        <w:rPr>
          <w:rFonts w:hint="eastAsia" w:ascii="黑体" w:hAnsi="黑体" w:eastAsia="黑体"/>
          <w:b w:val="0"/>
        </w:rPr>
        <w:t xml:space="preserve">第一部分 </w:t>
      </w:r>
      <w:r>
        <w:rPr>
          <w:rStyle w:val="25"/>
          <w:rFonts w:hint="eastAsia" w:ascii="黑体" w:hAnsi="黑体" w:eastAsia="黑体"/>
          <w:b w:val="0"/>
          <w:bCs w:val="0"/>
        </w:rPr>
        <w:t>部门概况</w:t>
      </w:r>
      <w:bookmarkEnd w:id="12"/>
      <w:bookmarkEnd w:id="13"/>
    </w:p>
    <w:p>
      <w:pPr>
        <w:pStyle w:val="5"/>
        <w:adjustRightInd w:val="0"/>
        <w:snapToGrid w:val="0"/>
        <w:spacing w:before="93" w:line="600" w:lineRule="exact"/>
        <w:ind w:firstLine="759" w:firstLineChars="210"/>
        <w:rPr>
          <w:color w:val="000000"/>
          <w:sz w:val="36"/>
          <w:szCs w:val="36"/>
        </w:rPr>
      </w:pPr>
      <w:bookmarkStart w:id="14" w:name="_Toc15377197"/>
      <w:bookmarkStart w:id="15" w:name="_Toc15396600"/>
      <w:r>
        <w:rPr>
          <w:rFonts w:hint="eastAsia"/>
          <w:b/>
          <w:bCs/>
          <w:color w:val="000000"/>
          <w:sz w:val="36"/>
          <w:szCs w:val="36"/>
        </w:rPr>
        <w:t>一、基</w:t>
      </w:r>
      <w:r>
        <w:rPr>
          <w:rFonts w:hint="eastAsia"/>
          <w:color w:val="000000"/>
          <w:sz w:val="36"/>
          <w:szCs w:val="36"/>
        </w:rPr>
        <w:t>本职能及主要工作</w:t>
      </w:r>
      <w:bookmarkEnd w:id="14"/>
      <w:bookmarkEnd w:id="15"/>
      <w:bookmarkStart w:id="16" w:name="_Toc15378446"/>
      <w:bookmarkStart w:id="17" w:name="_Toc15377199"/>
    </w:p>
    <w:p>
      <w:pPr>
        <w:pStyle w:val="5"/>
        <w:adjustRightInd w:val="0"/>
        <w:snapToGrid w:val="0"/>
        <w:spacing w:before="93" w:line="600" w:lineRule="exact"/>
        <w:ind w:firstLine="675" w:firstLineChars="210"/>
        <w:rPr>
          <w:b/>
          <w:bCs/>
          <w:color w:val="000000"/>
          <w:sz w:val="32"/>
          <w:szCs w:val="32"/>
        </w:rPr>
      </w:pPr>
      <w:r>
        <w:rPr>
          <w:rFonts w:hint="eastAsia"/>
          <w:b/>
          <w:bCs/>
          <w:color w:val="000000"/>
          <w:sz w:val="32"/>
          <w:szCs w:val="32"/>
        </w:rPr>
        <w:t>（一）主要职能。</w:t>
      </w:r>
    </w:p>
    <w:p>
      <w:pPr>
        <w:ind w:firstLine="480" w:firstLineChars="150"/>
        <w:rPr>
          <w:rFonts w:ascii="仿宋" w:hAnsi="仿宋" w:eastAsia="仿宋" w:cs="楷体_GB2312"/>
          <w:bCs/>
          <w:sz w:val="32"/>
          <w:szCs w:val="32"/>
        </w:rPr>
      </w:pPr>
      <w:r>
        <w:rPr>
          <w:rFonts w:hint="eastAsia" w:ascii="仿宋" w:hAnsi="仿宋" w:eastAsia="仿宋" w:cs="楷体_GB2312"/>
          <w:bCs/>
          <w:sz w:val="32"/>
          <w:szCs w:val="32"/>
        </w:rPr>
        <w:t>1、</w:t>
      </w:r>
      <w:r>
        <w:rPr>
          <w:rFonts w:ascii="仿宋" w:hAnsi="仿宋" w:eastAsia="仿宋" w:cs="楷体_GB2312"/>
          <w:bCs/>
          <w:sz w:val="32"/>
          <w:szCs w:val="32"/>
        </w:rPr>
        <w:t>负责贯彻执行国家、省、州民政相关方针政策和法律法规；制定全县民政工作发展规划、工作计划并组织实施和监督检查；承担政府公布的行政审批事项；负责民政信访和维稳工作；负责全县民政资金的使用、管理和监督工作；负责民政统计管理工作。 </w:t>
      </w:r>
      <w:r>
        <w:rPr>
          <w:rFonts w:ascii="仿宋" w:hAnsi="仿宋" w:eastAsia="仿宋" w:cs="楷体_GB2312"/>
          <w:bCs/>
          <w:sz w:val="32"/>
          <w:szCs w:val="32"/>
        </w:rPr>
        <w:br w:type="textWrapping"/>
      </w:r>
      <w:r>
        <w:rPr>
          <w:rFonts w:ascii="仿宋" w:hAnsi="仿宋" w:eastAsia="仿宋" w:cs="楷体_GB2312"/>
          <w:bCs/>
          <w:sz w:val="32"/>
          <w:szCs w:val="32"/>
        </w:rPr>
        <w:t>　　</w:t>
      </w:r>
      <w:r>
        <w:rPr>
          <w:rFonts w:hint="eastAsia" w:ascii="仿宋" w:hAnsi="仿宋" w:eastAsia="仿宋" w:cs="楷体_GB2312"/>
          <w:bCs/>
          <w:sz w:val="32"/>
          <w:szCs w:val="32"/>
        </w:rPr>
        <w:t>2、</w:t>
      </w:r>
      <w:r>
        <w:rPr>
          <w:rFonts w:ascii="仿宋" w:hAnsi="仿宋" w:eastAsia="仿宋" w:cs="楷体_GB2312"/>
          <w:bCs/>
          <w:sz w:val="32"/>
          <w:szCs w:val="32"/>
        </w:rPr>
        <w:t>负责组织协调全县救灾工作；管理和分配救灾款物，检查监督救灾款物的使用；组织和指导救灾捐赠工作；负责牵头拟订全县社会救助规划、政策和标准，健全城乡社会救助体系；负责城乡居民最低生活保障、五保、医疗救助、临时救助和生活无着人员救助工作；负责精减退职老职工的统计工作，兑现生活困难补助。 </w:t>
      </w:r>
      <w:r>
        <w:rPr>
          <w:rFonts w:ascii="仿宋" w:hAnsi="仿宋" w:eastAsia="仿宋" w:cs="楷体_GB2312"/>
          <w:bCs/>
          <w:sz w:val="32"/>
          <w:szCs w:val="32"/>
        </w:rPr>
        <w:br w:type="textWrapping"/>
      </w:r>
      <w:r>
        <w:rPr>
          <w:rFonts w:ascii="仿宋" w:hAnsi="仿宋" w:eastAsia="仿宋" w:cs="楷体_GB2312"/>
          <w:bCs/>
          <w:sz w:val="32"/>
          <w:szCs w:val="32"/>
        </w:rPr>
        <w:t>　　</w:t>
      </w:r>
      <w:r>
        <w:rPr>
          <w:rFonts w:hint="eastAsia" w:ascii="仿宋" w:hAnsi="仿宋" w:eastAsia="仿宋" w:cs="楷体_GB2312"/>
          <w:bCs/>
          <w:sz w:val="32"/>
          <w:szCs w:val="32"/>
        </w:rPr>
        <w:t xml:space="preserve"> 3、</w:t>
      </w:r>
      <w:r>
        <w:rPr>
          <w:rFonts w:ascii="仿宋" w:hAnsi="仿宋" w:eastAsia="仿宋" w:cs="楷体_GB2312"/>
          <w:bCs/>
          <w:sz w:val="32"/>
          <w:szCs w:val="32"/>
        </w:rPr>
        <w:t>负责全县婚姻登记、儿童收养工作；承担依法对社会团体和民办非企业单位进行登记管理和监督责任；负责敬老院和福利院的建设管理工作；负责拟订全县老龄工作发展规划并组织实施；负责县老龄工作委员会办公室的日常工作。</w:t>
      </w:r>
      <w:r>
        <w:rPr>
          <w:rFonts w:ascii="仿宋" w:hAnsi="仿宋" w:eastAsia="仿宋" w:cs="楷体_GB2312"/>
          <w:bCs/>
          <w:sz w:val="32"/>
          <w:szCs w:val="32"/>
        </w:rPr>
        <w:br w:type="textWrapping"/>
      </w:r>
      <w:r>
        <w:rPr>
          <w:rFonts w:ascii="仿宋" w:hAnsi="仿宋" w:eastAsia="仿宋" w:cs="楷体_GB2312"/>
          <w:bCs/>
          <w:sz w:val="32"/>
          <w:szCs w:val="32"/>
        </w:rPr>
        <w:t>　　</w:t>
      </w:r>
      <w:r>
        <w:rPr>
          <w:rFonts w:hint="eastAsia" w:ascii="仿宋" w:hAnsi="仿宋" w:eastAsia="仿宋" w:cs="楷体_GB2312"/>
          <w:bCs/>
          <w:sz w:val="32"/>
          <w:szCs w:val="32"/>
        </w:rPr>
        <w:t xml:space="preserve"> 4、</w:t>
      </w:r>
      <w:r>
        <w:rPr>
          <w:rFonts w:ascii="仿宋" w:hAnsi="仿宋" w:eastAsia="仿宋" w:cs="楷体_GB2312"/>
          <w:bCs/>
          <w:sz w:val="32"/>
          <w:szCs w:val="32"/>
        </w:rPr>
        <w:t>负责全县各类优抚对象的优待抚恤工作；负责烈士纪念建筑物的建设和管理工作；负责烈士的褒扬工作；组织和指导全县拥军优属工作；负责全县退伍士兵、转业士官、复员干部及退役伤残士兵的接收、安置工作；负责军队离、退休干部和军队无军籍退休职工的接收安置和管理工作。 </w:t>
      </w:r>
      <w:r>
        <w:rPr>
          <w:rFonts w:ascii="仿宋" w:hAnsi="仿宋" w:eastAsia="仿宋" w:cs="楷体_GB2312"/>
          <w:bCs/>
          <w:sz w:val="32"/>
          <w:szCs w:val="32"/>
        </w:rPr>
        <w:br w:type="textWrapping"/>
      </w:r>
      <w:r>
        <w:rPr>
          <w:rFonts w:ascii="仿宋" w:hAnsi="仿宋" w:eastAsia="仿宋" w:cs="楷体_GB2312"/>
          <w:bCs/>
          <w:sz w:val="32"/>
          <w:szCs w:val="32"/>
        </w:rPr>
        <w:t>　　</w:t>
      </w:r>
      <w:r>
        <w:rPr>
          <w:rFonts w:hint="eastAsia" w:ascii="仿宋" w:hAnsi="仿宋" w:eastAsia="仿宋" w:cs="楷体_GB2312"/>
          <w:bCs/>
          <w:sz w:val="32"/>
          <w:szCs w:val="32"/>
        </w:rPr>
        <w:t>5、</w:t>
      </w:r>
      <w:r>
        <w:rPr>
          <w:rFonts w:ascii="仿宋" w:hAnsi="仿宋" w:eastAsia="仿宋" w:cs="楷体_GB2312"/>
          <w:bCs/>
          <w:sz w:val="32"/>
          <w:szCs w:val="32"/>
        </w:rPr>
        <w:t>负责拟订全县城乡基层群众自治建设、社区建设政策并指导实施；指导社区服务体系建设，提出加强和改进城乡基层政权建设的建议，指导村（居）民委员会开展民主选举、民主决策、民主管理和民主监督工作，推动基层民主政治建设。 </w:t>
      </w:r>
      <w:r>
        <w:rPr>
          <w:rFonts w:ascii="仿宋" w:hAnsi="仿宋" w:eastAsia="仿宋" w:cs="楷体_GB2312"/>
          <w:bCs/>
          <w:sz w:val="32"/>
          <w:szCs w:val="32"/>
        </w:rPr>
        <w:br w:type="textWrapping"/>
      </w:r>
      <w:r>
        <w:rPr>
          <w:rFonts w:ascii="仿宋" w:hAnsi="仿宋" w:eastAsia="仿宋" w:cs="楷体_GB2312"/>
          <w:bCs/>
          <w:sz w:val="32"/>
          <w:szCs w:val="32"/>
        </w:rPr>
        <w:t>　　</w:t>
      </w:r>
      <w:r>
        <w:rPr>
          <w:rFonts w:hint="eastAsia" w:ascii="仿宋" w:hAnsi="仿宋" w:eastAsia="仿宋" w:cs="楷体_GB2312"/>
          <w:bCs/>
          <w:sz w:val="32"/>
          <w:szCs w:val="32"/>
        </w:rPr>
        <w:t>6、</w:t>
      </w:r>
      <w:r>
        <w:rPr>
          <w:rFonts w:ascii="仿宋" w:hAnsi="仿宋" w:eastAsia="仿宋" w:cs="楷体_GB2312"/>
          <w:bCs/>
          <w:sz w:val="32"/>
          <w:szCs w:val="32"/>
        </w:rPr>
        <w:t>负责全县行政区划工作，拟定全县行政区划总体规划；负责乡（镇）行政区域的设立、撤销、调整及政府驻地迁移的审核申报工作；负责地名管理工作，贯彻执行地名管理的法规和规章，规范全县地名标志的设置和管理。</w:t>
      </w:r>
      <w:r>
        <w:rPr>
          <w:rFonts w:ascii="仿宋" w:hAnsi="仿宋" w:eastAsia="仿宋" w:cs="楷体_GB2312"/>
          <w:bCs/>
          <w:sz w:val="32"/>
          <w:szCs w:val="32"/>
        </w:rPr>
        <w:br w:type="textWrapping"/>
      </w:r>
      <w:r>
        <w:rPr>
          <w:rFonts w:ascii="仿宋" w:hAnsi="仿宋" w:eastAsia="仿宋" w:cs="楷体_GB2312"/>
          <w:bCs/>
          <w:sz w:val="32"/>
          <w:szCs w:val="32"/>
        </w:rPr>
        <w:t>　　</w:t>
      </w:r>
      <w:r>
        <w:rPr>
          <w:rFonts w:hint="eastAsia" w:ascii="仿宋" w:hAnsi="仿宋" w:eastAsia="仿宋" w:cs="楷体_GB2312"/>
          <w:bCs/>
          <w:sz w:val="32"/>
          <w:szCs w:val="32"/>
        </w:rPr>
        <w:t>7、</w:t>
      </w:r>
      <w:r>
        <w:rPr>
          <w:rFonts w:ascii="仿宋" w:hAnsi="仿宋" w:eastAsia="仿宋" w:cs="楷体_GB2312"/>
          <w:bCs/>
          <w:sz w:val="32"/>
          <w:szCs w:val="32"/>
        </w:rPr>
        <w:t>负责拟订促进慈善事业发展的政策，组织和指导社会捐助工作；负责捐赠资金的管理工作； </w:t>
      </w:r>
      <w:r>
        <w:rPr>
          <w:rFonts w:ascii="仿宋" w:hAnsi="仿宋" w:eastAsia="仿宋" w:cs="楷体_GB2312"/>
          <w:bCs/>
          <w:sz w:val="32"/>
          <w:szCs w:val="32"/>
        </w:rPr>
        <w:br w:type="textWrapping"/>
      </w:r>
      <w:r>
        <w:rPr>
          <w:rFonts w:ascii="仿宋" w:hAnsi="仿宋" w:eastAsia="仿宋" w:cs="楷体_GB2312"/>
          <w:bCs/>
          <w:sz w:val="32"/>
          <w:szCs w:val="32"/>
        </w:rPr>
        <w:t>　　</w:t>
      </w:r>
      <w:r>
        <w:rPr>
          <w:rFonts w:hint="eastAsia" w:ascii="仿宋" w:hAnsi="仿宋" w:eastAsia="仿宋" w:cs="楷体_GB2312"/>
          <w:bCs/>
          <w:sz w:val="32"/>
          <w:szCs w:val="32"/>
        </w:rPr>
        <w:t>8、</w:t>
      </w:r>
      <w:r>
        <w:rPr>
          <w:rFonts w:ascii="仿宋" w:hAnsi="仿宋" w:eastAsia="仿宋" w:cs="楷体_GB2312"/>
          <w:bCs/>
          <w:sz w:val="32"/>
          <w:szCs w:val="32"/>
        </w:rPr>
        <w:t>承办县政府交办的其他事项。</w:t>
      </w:r>
    </w:p>
    <w:bookmarkEnd w:id="16"/>
    <w:bookmarkEnd w:id="17"/>
    <w:p>
      <w:pPr>
        <w:pStyle w:val="5"/>
        <w:adjustRightInd w:val="0"/>
        <w:snapToGrid w:val="0"/>
        <w:spacing w:before="93" w:line="600" w:lineRule="exact"/>
        <w:ind w:firstLine="675" w:firstLineChars="210"/>
        <w:rPr>
          <w:bCs/>
          <w:color w:val="000000"/>
          <w:sz w:val="32"/>
          <w:szCs w:val="32"/>
        </w:rPr>
      </w:pPr>
      <w:bookmarkStart w:id="18" w:name="_Toc15377200"/>
      <w:bookmarkStart w:id="19" w:name="_Toc15396601"/>
      <w:r>
        <w:rPr>
          <w:rFonts w:hint="eastAsia"/>
          <w:b/>
          <w:bCs/>
          <w:color w:val="000000"/>
          <w:sz w:val="32"/>
          <w:szCs w:val="32"/>
        </w:rPr>
        <w:t>（二）2018年重点工作完成情况</w:t>
      </w:r>
      <w:r>
        <w:rPr>
          <w:rFonts w:hint="eastAsia"/>
          <w:bCs/>
          <w:color w:val="000000"/>
          <w:sz w:val="32"/>
          <w:szCs w:val="32"/>
        </w:rPr>
        <w:t>。</w:t>
      </w:r>
    </w:p>
    <w:p>
      <w:pPr>
        <w:spacing w:line="600" w:lineRule="exact"/>
        <w:ind w:firstLine="640" w:firstLineChars="200"/>
        <w:rPr>
          <w:rFonts w:ascii="仿宋" w:hAnsi="仿宋" w:eastAsia="仿宋" w:cs="楷体_GB2312"/>
          <w:bCs/>
          <w:sz w:val="32"/>
          <w:szCs w:val="32"/>
        </w:rPr>
      </w:pPr>
      <w:r>
        <w:rPr>
          <w:rFonts w:hint="eastAsia" w:ascii="仿宋" w:hAnsi="仿宋" w:eastAsia="仿宋" w:cs="楷体_GB2312"/>
          <w:bCs/>
          <w:sz w:val="32"/>
          <w:szCs w:val="32"/>
        </w:rPr>
        <w:t>2018年重点工作任务是：做好敬老院日常管理工作、城乡居民最低生活保障、农村五保、城乡医疗救助、临时救助、生活无着人员救助、自然灾害救助，做好社会福利工作，加大基层组织建设，社会事务工作等。1、2018年不断提升社会救助水平，提高城乡低保、特困供养标准和补助水平，城市低保保障标准260元/人/月；农村低保保障标准150元/人/月；特困供养人员保障标准400元/人/月。1-12月，</w:t>
      </w:r>
      <w:r>
        <w:rPr>
          <w:rFonts w:ascii="仿宋" w:hAnsi="仿宋" w:eastAsia="仿宋" w:cs="楷体_GB2312"/>
          <w:bCs/>
          <w:sz w:val="32"/>
          <w:szCs w:val="32"/>
        </w:rPr>
        <w:t>为</w:t>
      </w:r>
      <w:r>
        <w:rPr>
          <w:rFonts w:hint="eastAsia" w:ascii="仿宋" w:hAnsi="仿宋" w:eastAsia="仿宋" w:cs="楷体_GB2312"/>
          <w:bCs/>
          <w:sz w:val="32"/>
          <w:szCs w:val="32"/>
        </w:rPr>
        <w:t>840</w:t>
      </w:r>
      <w:r>
        <w:rPr>
          <w:rFonts w:ascii="仿宋" w:hAnsi="仿宋" w:eastAsia="仿宋" w:cs="楷体_GB2312"/>
          <w:bCs/>
          <w:sz w:val="32"/>
          <w:szCs w:val="32"/>
        </w:rPr>
        <w:t>名城镇低保发放低保金</w:t>
      </w:r>
      <w:r>
        <w:rPr>
          <w:rFonts w:hint="eastAsia" w:ascii="仿宋" w:hAnsi="仿宋" w:eastAsia="仿宋" w:cs="楷体_GB2312"/>
          <w:bCs/>
          <w:sz w:val="32"/>
          <w:szCs w:val="32"/>
        </w:rPr>
        <w:t>342.58</w:t>
      </w:r>
      <w:r>
        <w:rPr>
          <w:rFonts w:ascii="仿宋" w:hAnsi="仿宋" w:eastAsia="仿宋" w:cs="楷体_GB2312"/>
          <w:bCs/>
          <w:sz w:val="32"/>
          <w:szCs w:val="32"/>
        </w:rPr>
        <w:t>万元;为</w:t>
      </w:r>
      <w:r>
        <w:rPr>
          <w:rFonts w:hint="eastAsia" w:ascii="仿宋" w:hAnsi="仿宋" w:eastAsia="仿宋" w:cs="楷体_GB2312"/>
          <w:bCs/>
          <w:sz w:val="32"/>
          <w:szCs w:val="32"/>
        </w:rPr>
        <w:t>17271</w:t>
      </w:r>
      <w:r>
        <w:rPr>
          <w:rFonts w:ascii="仿宋" w:hAnsi="仿宋" w:eastAsia="仿宋" w:cs="楷体_GB2312"/>
          <w:bCs/>
          <w:sz w:val="32"/>
          <w:szCs w:val="32"/>
        </w:rPr>
        <w:t>名农村低保户发放低保金</w:t>
      </w:r>
      <w:r>
        <w:rPr>
          <w:rFonts w:hint="eastAsia" w:ascii="仿宋" w:hAnsi="仿宋" w:eastAsia="仿宋" w:cs="楷体_GB2312"/>
          <w:bCs/>
          <w:sz w:val="32"/>
          <w:szCs w:val="32"/>
        </w:rPr>
        <w:t>3769.82</w:t>
      </w:r>
      <w:r>
        <w:rPr>
          <w:rFonts w:ascii="仿宋" w:hAnsi="仿宋" w:eastAsia="仿宋" w:cs="楷体_GB2312"/>
          <w:bCs/>
          <w:sz w:val="32"/>
          <w:szCs w:val="32"/>
        </w:rPr>
        <w:t>万元；</w:t>
      </w:r>
      <w:r>
        <w:rPr>
          <w:rFonts w:hint="eastAsia" w:ascii="仿宋" w:hAnsi="仿宋" w:eastAsia="仿宋" w:cs="楷体_GB2312"/>
          <w:bCs/>
          <w:sz w:val="32"/>
          <w:szCs w:val="32"/>
        </w:rPr>
        <w:t>并加强城乡低保规范化建设，健全低保工作程序，完善动态管理机制，规范民主评议程序，落实近亲属备案制度，及时更新低保信息系统，建立健全档案资料，至年底，对现有对象中不符合低保条件的74名违规享受城镇低保人员和26名拥有私家车车辆、30名有商品房违规享受农村低保人员，进行了全数清退，并追缴资金57720元。审批符合城乡低保人员23人，实现了低保动态管理。加强特困供养标准化建设，2018年发放特困人员供养资金1033.15万元；2、加强医疗救助制度化建设，对低保对象等一般贫困户的医疗救助在</w:t>
      </w:r>
      <w:r>
        <w:rPr>
          <w:rFonts w:ascii="仿宋" w:hAnsi="仿宋" w:eastAsia="仿宋" w:cs="楷体_GB2312"/>
          <w:bCs/>
          <w:sz w:val="32"/>
          <w:szCs w:val="32"/>
        </w:rPr>
        <w:t>政策范围内住院自付费用救助比例达到</w:t>
      </w:r>
      <w:r>
        <w:rPr>
          <w:rFonts w:hint="eastAsia" w:ascii="仿宋" w:hAnsi="仿宋" w:eastAsia="仿宋" w:cs="楷体_GB2312"/>
          <w:bCs/>
          <w:sz w:val="32"/>
          <w:szCs w:val="32"/>
        </w:rPr>
        <w:t>了</w:t>
      </w:r>
      <w:r>
        <w:rPr>
          <w:rFonts w:ascii="仿宋" w:hAnsi="仿宋" w:eastAsia="仿宋" w:cs="楷体_GB2312"/>
          <w:bCs/>
          <w:sz w:val="32"/>
          <w:szCs w:val="32"/>
        </w:rPr>
        <w:t>70%，完成目标任务的100%</w:t>
      </w:r>
      <w:r>
        <w:rPr>
          <w:rFonts w:hint="eastAsia" w:ascii="仿宋" w:hAnsi="仿宋" w:eastAsia="仿宋" w:cs="楷体_GB2312"/>
          <w:bCs/>
          <w:sz w:val="32"/>
          <w:szCs w:val="32"/>
        </w:rPr>
        <w:t>；3、加强临时救助程序化建设，在救助操作流程方面，根据急难程度，审批临时救助采取一般程序和紧急程序两种方式，2018年发放临时救助资金32.40万元（其中：临时救助29.25万元，流浪乞讨人员救助3.15万元；4、全面落实双拥暨优抚安置政策， 2018年为4名支前民工发放大米、菜油价值0.59万元；为36名60周岁以上农村籍退役士兵发放生活补助5.51万元；为18名伤残人员发放伤残抚恤金35.48万元；发放义务兵优待金5.84万元；为5名在乡老复员及1名参战退伍军人发放生活补助6.25万元等</w:t>
      </w:r>
      <w:r>
        <w:rPr>
          <w:rFonts w:ascii="仿宋" w:hAnsi="仿宋" w:eastAsia="仿宋" w:cs="楷体_GB2312"/>
          <w:bCs/>
          <w:sz w:val="32"/>
          <w:szCs w:val="32"/>
        </w:rPr>
        <w:t xml:space="preserve"> </w:t>
      </w:r>
      <w:r>
        <w:rPr>
          <w:rFonts w:hint="eastAsia" w:ascii="仿宋" w:hAnsi="仿宋" w:eastAsia="仿宋" w:cs="楷体_GB2312"/>
          <w:bCs/>
          <w:sz w:val="32"/>
          <w:szCs w:val="32"/>
        </w:rPr>
        <w:t>，为2名因公牺牲军人家属发放1至12月抚恤金4.06万元；为6名军队移交政府离退休人员发放1至12月退役安置工资127.17万元等。5、扎实开展救灾救济工作，2018年发放自然灾害生活救助116.55万元。依法推进基层政权和社区建设工作，着眼于提升公共服务水平，民政专项社会事务管理工作得到全面夯实，2</w:t>
      </w:r>
      <w:r>
        <w:rPr>
          <w:rFonts w:ascii="仿宋" w:hAnsi="仿宋" w:eastAsia="仿宋" w:cs="楷体_GB2312"/>
          <w:bCs/>
          <w:sz w:val="32"/>
          <w:szCs w:val="32"/>
        </w:rPr>
        <w:t>01</w:t>
      </w:r>
      <w:r>
        <w:rPr>
          <w:rFonts w:hint="eastAsia" w:ascii="仿宋" w:hAnsi="仿宋" w:eastAsia="仿宋" w:cs="楷体_GB2312"/>
          <w:bCs/>
          <w:sz w:val="32"/>
          <w:szCs w:val="32"/>
        </w:rPr>
        <w:t>8</w:t>
      </w:r>
      <w:r>
        <w:rPr>
          <w:rFonts w:ascii="仿宋" w:hAnsi="仿宋" w:eastAsia="仿宋" w:cs="楷体_GB2312"/>
          <w:bCs/>
          <w:sz w:val="32"/>
          <w:szCs w:val="32"/>
        </w:rPr>
        <w:t>年，</w:t>
      </w:r>
      <w:r>
        <w:rPr>
          <w:rFonts w:hint="eastAsia" w:ascii="仿宋" w:hAnsi="仿宋" w:eastAsia="仿宋" w:cs="楷体_GB2312"/>
          <w:bCs/>
          <w:sz w:val="32"/>
          <w:szCs w:val="32"/>
        </w:rPr>
        <w:t>为全县</w:t>
      </w:r>
      <w:r>
        <w:rPr>
          <w:rFonts w:ascii="仿宋" w:hAnsi="仿宋" w:eastAsia="仿宋" w:cs="楷体_GB2312"/>
          <w:bCs/>
          <w:sz w:val="32"/>
          <w:szCs w:val="32"/>
        </w:rPr>
        <w:t>离任村干部</w:t>
      </w:r>
      <w:r>
        <w:rPr>
          <w:rFonts w:hint="eastAsia" w:ascii="仿宋" w:hAnsi="仿宋" w:eastAsia="仿宋" w:cs="楷体_GB2312"/>
          <w:bCs/>
          <w:sz w:val="32"/>
          <w:szCs w:val="32"/>
        </w:rPr>
        <w:t>136</w:t>
      </w:r>
      <w:r>
        <w:rPr>
          <w:rFonts w:ascii="仿宋" w:hAnsi="仿宋" w:eastAsia="仿宋" w:cs="楷体_GB2312"/>
          <w:bCs/>
          <w:sz w:val="32"/>
          <w:szCs w:val="32"/>
        </w:rPr>
        <w:t>人发放</w:t>
      </w:r>
      <w:r>
        <w:rPr>
          <w:rFonts w:hint="eastAsia" w:ascii="仿宋" w:hAnsi="仿宋" w:eastAsia="仿宋" w:cs="楷体_GB2312"/>
          <w:bCs/>
          <w:sz w:val="32"/>
          <w:szCs w:val="32"/>
        </w:rPr>
        <w:t>离任</w:t>
      </w:r>
      <w:r>
        <w:rPr>
          <w:rFonts w:ascii="仿宋" w:hAnsi="仿宋" w:eastAsia="仿宋" w:cs="楷体_GB2312"/>
          <w:bCs/>
          <w:sz w:val="32"/>
          <w:szCs w:val="32"/>
        </w:rPr>
        <w:t>村干部补助资金共计</w:t>
      </w:r>
      <w:r>
        <w:rPr>
          <w:rFonts w:hint="eastAsia" w:ascii="仿宋" w:hAnsi="仿宋" w:eastAsia="仿宋" w:cs="楷体_GB2312"/>
          <w:bCs/>
          <w:sz w:val="32"/>
          <w:szCs w:val="32"/>
        </w:rPr>
        <w:t>51.45</w:t>
      </w:r>
      <w:r>
        <w:rPr>
          <w:rFonts w:ascii="仿宋" w:hAnsi="仿宋" w:eastAsia="仿宋" w:cs="楷体_GB2312"/>
          <w:bCs/>
          <w:sz w:val="32"/>
          <w:szCs w:val="32"/>
        </w:rPr>
        <w:t>万元。</w:t>
      </w:r>
      <w:r>
        <w:rPr>
          <w:rFonts w:hint="eastAsia" w:ascii="仿宋" w:hAnsi="仿宋" w:eastAsia="仿宋" w:cs="楷体_GB2312"/>
          <w:bCs/>
          <w:sz w:val="32"/>
          <w:szCs w:val="32"/>
        </w:rPr>
        <w:t>6、</w:t>
      </w:r>
      <w:r>
        <w:rPr>
          <w:rFonts w:ascii="仿宋" w:hAnsi="仿宋" w:eastAsia="仿宋" w:cs="楷体_GB2312"/>
          <w:bCs/>
          <w:sz w:val="32"/>
          <w:szCs w:val="32"/>
        </w:rPr>
        <w:t>强化措施全面开展平安边界创建工作</w:t>
      </w:r>
      <w:r>
        <w:rPr>
          <w:rFonts w:hint="eastAsia" w:ascii="仿宋" w:hAnsi="仿宋" w:eastAsia="仿宋" w:cs="楷体_GB2312"/>
          <w:bCs/>
          <w:sz w:val="32"/>
          <w:szCs w:val="32"/>
        </w:rPr>
        <w:t>，2018年</w:t>
      </w:r>
      <w:r>
        <w:rPr>
          <w:rFonts w:ascii="仿宋" w:hAnsi="仿宋" w:eastAsia="仿宋" w:cs="楷体_GB2312"/>
          <w:bCs/>
          <w:sz w:val="32"/>
          <w:szCs w:val="32"/>
        </w:rPr>
        <w:t>全面完成了壤塘县与阿坝县</w:t>
      </w:r>
      <w:r>
        <w:rPr>
          <w:rFonts w:hint="eastAsia" w:ascii="仿宋" w:hAnsi="仿宋" w:eastAsia="仿宋" w:cs="楷体_GB2312"/>
          <w:bCs/>
          <w:sz w:val="32"/>
          <w:szCs w:val="32"/>
        </w:rPr>
        <w:t>（56.5公里）</w:t>
      </w:r>
      <w:r>
        <w:rPr>
          <w:rFonts w:ascii="仿宋" w:hAnsi="仿宋" w:eastAsia="仿宋" w:cs="楷体_GB2312"/>
          <w:bCs/>
          <w:sz w:val="32"/>
          <w:szCs w:val="32"/>
        </w:rPr>
        <w:t>、的行政区域界线联合检查工作，恢复了壤塘县与</w:t>
      </w:r>
      <w:r>
        <w:rPr>
          <w:rFonts w:hint="eastAsia" w:ascii="仿宋" w:hAnsi="仿宋" w:eastAsia="仿宋" w:cs="楷体_GB2312"/>
          <w:bCs/>
          <w:sz w:val="32"/>
          <w:szCs w:val="32"/>
        </w:rPr>
        <w:t>阿坝</w:t>
      </w:r>
      <w:r>
        <w:rPr>
          <w:rFonts w:ascii="仿宋" w:hAnsi="仿宋" w:eastAsia="仿宋" w:cs="楷体_GB2312"/>
          <w:bCs/>
          <w:sz w:val="32"/>
          <w:szCs w:val="32"/>
        </w:rPr>
        <w:t>县被损坏的界桩</w:t>
      </w:r>
      <w:r>
        <w:rPr>
          <w:rFonts w:hint="eastAsia" w:ascii="仿宋" w:hAnsi="仿宋" w:eastAsia="仿宋" w:cs="楷体_GB2312"/>
          <w:bCs/>
          <w:sz w:val="32"/>
          <w:szCs w:val="32"/>
        </w:rPr>
        <w:t>。</w:t>
      </w:r>
      <w:r>
        <w:rPr>
          <w:rFonts w:ascii="仿宋" w:hAnsi="仿宋" w:eastAsia="仿宋" w:cs="楷体_GB2312"/>
          <w:bCs/>
          <w:sz w:val="32"/>
          <w:szCs w:val="32"/>
        </w:rPr>
        <w:t>进一步加强壤塘县与毗邻县边界地区的和谐稳定发展，积极开展了平安边界创建工作</w:t>
      </w:r>
      <w:r>
        <w:rPr>
          <w:rFonts w:hint="eastAsia" w:ascii="仿宋" w:hAnsi="仿宋" w:eastAsia="仿宋" w:cs="楷体_GB2312"/>
          <w:bCs/>
          <w:sz w:val="32"/>
          <w:szCs w:val="32"/>
        </w:rPr>
        <w:t>，</w:t>
      </w:r>
      <w:r>
        <w:rPr>
          <w:rFonts w:ascii="仿宋" w:hAnsi="仿宋" w:eastAsia="仿宋" w:cs="楷体_GB2312"/>
          <w:bCs/>
          <w:sz w:val="32"/>
          <w:szCs w:val="32"/>
        </w:rPr>
        <w:t>健全了各项联席制度</w:t>
      </w:r>
      <w:r>
        <w:rPr>
          <w:rFonts w:hint="eastAsia" w:ascii="仿宋" w:hAnsi="仿宋" w:eastAsia="仿宋" w:cs="楷体_GB2312"/>
          <w:bCs/>
          <w:sz w:val="32"/>
          <w:szCs w:val="32"/>
        </w:rPr>
        <w:t>、</w:t>
      </w:r>
      <w:r>
        <w:rPr>
          <w:rFonts w:ascii="仿宋" w:hAnsi="仿宋" w:eastAsia="仿宋" w:cs="楷体_GB2312"/>
          <w:bCs/>
          <w:sz w:val="32"/>
          <w:szCs w:val="32"/>
        </w:rPr>
        <w:t>大力宣传《行政区域界线管理条例》等法律法规</w:t>
      </w:r>
      <w:r>
        <w:rPr>
          <w:rFonts w:hint="eastAsia" w:ascii="仿宋" w:hAnsi="仿宋" w:eastAsia="仿宋" w:cs="楷体_GB2312"/>
          <w:bCs/>
          <w:sz w:val="32"/>
          <w:szCs w:val="32"/>
        </w:rPr>
        <w:t>、</w:t>
      </w:r>
      <w:r>
        <w:rPr>
          <w:rFonts w:ascii="仿宋" w:hAnsi="仿宋" w:eastAsia="仿宋" w:cs="楷体_GB2312"/>
          <w:bCs/>
          <w:sz w:val="32"/>
          <w:szCs w:val="32"/>
        </w:rPr>
        <w:t>制定了平安边界应急预案</w:t>
      </w:r>
      <w:r>
        <w:rPr>
          <w:rFonts w:hint="eastAsia" w:ascii="仿宋" w:hAnsi="仿宋" w:eastAsia="仿宋" w:cs="楷体_GB2312"/>
          <w:bCs/>
          <w:sz w:val="32"/>
          <w:szCs w:val="32"/>
        </w:rPr>
        <w:t>、</w:t>
      </w:r>
      <w:r>
        <w:rPr>
          <w:rFonts w:ascii="仿宋" w:hAnsi="仿宋" w:eastAsia="仿宋" w:cs="楷体_GB2312"/>
          <w:bCs/>
          <w:sz w:val="32"/>
          <w:szCs w:val="32"/>
        </w:rPr>
        <w:t>与毗邻县签订了合作协议</w:t>
      </w:r>
      <w:r>
        <w:rPr>
          <w:rFonts w:hint="eastAsia" w:ascii="仿宋" w:hAnsi="仿宋" w:eastAsia="仿宋" w:cs="楷体_GB2312"/>
          <w:bCs/>
          <w:sz w:val="32"/>
          <w:szCs w:val="32"/>
        </w:rPr>
        <w:t>、</w:t>
      </w:r>
      <w:r>
        <w:rPr>
          <w:rFonts w:ascii="仿宋" w:hAnsi="仿宋" w:eastAsia="仿宋" w:cs="楷体_GB2312"/>
          <w:bCs/>
          <w:sz w:val="32"/>
          <w:szCs w:val="32"/>
        </w:rPr>
        <w:t>对行政区域界线进行了实地踏勘。</w:t>
      </w:r>
      <w:r>
        <w:rPr>
          <w:rFonts w:hint="eastAsia" w:ascii="仿宋" w:hAnsi="仿宋" w:eastAsia="仿宋" w:cs="楷体_GB2312"/>
          <w:bCs/>
          <w:sz w:val="32"/>
          <w:szCs w:val="32"/>
        </w:rPr>
        <w:t>7、认真落实好了残疾人两项补贴工作，2018年为1024名困难残疾人发放1至12月</w:t>
      </w:r>
      <w:r>
        <w:rPr>
          <w:rFonts w:hint="eastAsia" w:ascii="仿宋" w:hAnsi="仿宋" w:eastAsia="仿宋" w:cs="楷体_GB2312"/>
          <w:bCs/>
          <w:sz w:val="32"/>
          <w:szCs w:val="32"/>
          <w:lang w:eastAsia="zh-CN"/>
        </w:rPr>
        <w:t>困难</w:t>
      </w:r>
      <w:r>
        <w:rPr>
          <w:rFonts w:hint="eastAsia" w:ascii="仿宋" w:hAnsi="仿宋" w:eastAsia="仿宋" w:cs="楷体_GB2312"/>
          <w:bCs/>
          <w:sz w:val="32"/>
          <w:szCs w:val="32"/>
        </w:rPr>
        <w:t>残疾人生活补贴100.75万元，为1132名重度残疾人发放1至12月护理补贴102.73万元；8、认真落实社会福利和老龄优待政策，积极应对人口老龄化，积极落实《阿坝州“十三五”老龄事业发展和养老体系建设规划》。认真落实惠老政策，为全县567名高龄老人发放2018年各类高龄津贴43.92万元。不断加强婚姻登记规范化管理。严格按照《婚姻法》、《婚姻登记条例》，依法开展登记工作。共办理婚姻登记470对（其中结婚登记343对，离婚登记19对，补发结（离）婚108对），办证合格率100%。进行婚前健康检查197对394人（只含新婚和再婚，不包含复婚和年老补办结婚的）。同时，根据《婚姻登记档案管理办法》，及时做好婚姻档案资料的整理归档和安全保管工作；9、加强敬老院日常管理，一是进一步做好敬老院服务质量整治工作，按照省、州有关文件要求和相关会议安排，深入推进养老院服务质量建设专项行动，按照服务质量目标提升115项要求，逐项整改，明确整治管理责任人，夯实责任，确保专项行动的各项部署和措施落到实处。二是加强对敬老院安全检查，完善健全各项安全管理制度等，定期联合消防、工商食药监等相关职能部门，对全县社会救助福利服务中心及各敬老院进行安全生产大检查，重点对消防、食品安全、人员安全检查，对发现的问题，早整改、早解决，将安全隐患消除在萌芽状态。同时加强对敬老院老人进行安全教育活动，提高老人们的安全意识和自我防护能力，着力构建农村敬老院安全管理长效机制。10、</w:t>
      </w:r>
      <w:r>
        <w:rPr>
          <w:rFonts w:ascii="仿宋" w:hAnsi="仿宋" w:eastAsia="仿宋" w:cs="楷体_GB2312"/>
          <w:bCs/>
          <w:sz w:val="32"/>
          <w:szCs w:val="32"/>
        </w:rPr>
        <w:t>实施扶贫帮扶工作</w:t>
      </w:r>
      <w:r>
        <w:rPr>
          <w:rFonts w:hint="eastAsia" w:ascii="仿宋" w:hAnsi="仿宋" w:eastAsia="仿宋" w:cs="楷体_GB2312"/>
          <w:bCs/>
          <w:sz w:val="32"/>
          <w:szCs w:val="32"/>
        </w:rPr>
        <w:t>，</w:t>
      </w:r>
      <w:r>
        <w:rPr>
          <w:rFonts w:ascii="仿宋" w:hAnsi="仿宋" w:eastAsia="仿宋" w:cs="楷体_GB2312"/>
          <w:bCs/>
          <w:sz w:val="32"/>
          <w:szCs w:val="32"/>
        </w:rPr>
        <w:t>按照县委、县政府精准帮扶文件要求，局领导亲自带队深入帮扶村尕多村36余次开展帮扶工作，到村后详细了解贫困户情况、致贫原因并制定了详细的帮扶规划，积极对接项目资金力争2019年尕多村圆满完成脱贫任务</w:t>
      </w:r>
      <w:r>
        <w:rPr>
          <w:rFonts w:hint="eastAsia" w:ascii="仿宋" w:hAnsi="仿宋" w:eastAsia="仿宋" w:cs="楷体_GB2312"/>
          <w:bCs/>
          <w:sz w:val="32"/>
          <w:szCs w:val="32"/>
        </w:rPr>
        <w:t>。</w:t>
      </w:r>
    </w:p>
    <w:p>
      <w:pPr>
        <w:spacing w:line="60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二、机构设置</w:t>
      </w:r>
      <w:bookmarkEnd w:id="18"/>
      <w:bookmarkEnd w:id="19"/>
    </w:p>
    <w:p>
      <w:pPr>
        <w:spacing w:line="600" w:lineRule="exact"/>
        <w:ind w:firstLine="640" w:firstLineChars="200"/>
        <w:rPr>
          <w:rFonts w:ascii="仿宋" w:hAnsi="仿宋" w:eastAsia="仿宋" w:cs="楷体_GB2312"/>
          <w:bCs/>
          <w:sz w:val="32"/>
          <w:szCs w:val="32"/>
        </w:rPr>
      </w:pPr>
      <w:r>
        <w:rPr>
          <w:rFonts w:hint="eastAsia" w:ascii="仿宋" w:hAnsi="仿宋" w:eastAsia="仿宋" w:cs="楷体_GB2312"/>
          <w:bCs/>
          <w:sz w:val="32"/>
          <w:szCs w:val="32"/>
        </w:rPr>
        <w:t>县民政局属于一级预算单位，设4个内设行政股室（办公室 、救灾救助与优抚安置双拥股、社会福利与社会事务股、区划地名与基层政权股）。下设事业机构5个（老龄服务中心，壤塘县低收入家庭认定指导中心，敬老院管理中心，壤塘县社会救助福利服务中心，南木达敬老院、茸木达敬老院、伊里敬老院、中壤塘敬老院）。</w:t>
      </w:r>
      <w:bookmarkStart w:id="20" w:name="_Toc15396602"/>
      <w:bookmarkStart w:id="21" w:name="_Toc15377204"/>
    </w:p>
    <w:p>
      <w:pPr>
        <w:spacing w:line="600" w:lineRule="exact"/>
        <w:ind w:firstLine="723" w:firstLineChars="200"/>
        <w:jc w:val="center"/>
        <w:rPr>
          <w:rFonts w:ascii="仿宋" w:hAnsi="仿宋" w:eastAsia="仿宋" w:cs="楷体_GB2312"/>
          <w:b/>
          <w:bCs/>
          <w:sz w:val="36"/>
          <w:szCs w:val="36"/>
        </w:rPr>
      </w:pPr>
    </w:p>
    <w:p>
      <w:pPr>
        <w:spacing w:line="600" w:lineRule="exact"/>
        <w:ind w:firstLine="883" w:firstLineChars="200"/>
        <w:jc w:val="center"/>
        <w:rPr>
          <w:rFonts w:ascii="仿宋" w:hAnsi="仿宋" w:eastAsia="仿宋" w:cs="楷体_GB2312"/>
          <w:b/>
          <w:bCs/>
          <w:sz w:val="44"/>
          <w:szCs w:val="44"/>
        </w:rPr>
      </w:pPr>
      <w:r>
        <w:rPr>
          <w:rFonts w:hint="eastAsia" w:ascii="仿宋" w:hAnsi="仿宋" w:eastAsia="仿宋" w:cs="楷体_GB2312"/>
          <w:b/>
          <w:bCs/>
          <w:sz w:val="44"/>
          <w:szCs w:val="44"/>
        </w:rPr>
        <w:t>第二部分2018年度部门决算情况说明</w:t>
      </w:r>
      <w:bookmarkEnd w:id="20"/>
      <w:bookmarkEnd w:id="21"/>
    </w:p>
    <w:p>
      <w:pPr>
        <w:spacing w:line="600" w:lineRule="exact"/>
        <w:ind w:firstLine="643" w:firstLineChars="200"/>
        <w:jc w:val="center"/>
        <w:rPr>
          <w:rFonts w:ascii="仿宋" w:hAnsi="仿宋" w:eastAsia="仿宋" w:cs="楷体_GB2312"/>
          <w:b/>
          <w:bCs/>
          <w:sz w:val="32"/>
          <w:szCs w:val="32"/>
        </w:rPr>
      </w:pPr>
      <w:bookmarkStart w:id="22" w:name="_Toc15377205"/>
      <w:bookmarkStart w:id="23" w:name="_Toc15396603"/>
    </w:p>
    <w:p>
      <w:pPr>
        <w:spacing w:line="60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一、收入支出决算总体情况说明</w:t>
      </w:r>
      <w:bookmarkEnd w:id="22"/>
      <w:bookmarkEnd w:id="23"/>
    </w:p>
    <w:p>
      <w:pPr>
        <w:spacing w:line="600" w:lineRule="exact"/>
        <w:ind w:firstLine="640" w:firstLineChars="200"/>
        <w:rPr>
          <w:rFonts w:ascii="仿宋" w:hAnsi="仿宋" w:eastAsia="仿宋" w:cs="楷体_GB2312"/>
          <w:b/>
          <w:bCs/>
          <w:sz w:val="32"/>
          <w:szCs w:val="32"/>
        </w:rPr>
      </w:pPr>
      <w:r>
        <w:rPr>
          <w:rFonts w:hint="eastAsia" w:ascii="仿宋" w:hAnsi="仿宋" w:eastAsia="仿宋" w:cs="楷体_GB2312"/>
          <w:bCs/>
          <w:sz w:val="32"/>
          <w:szCs w:val="32"/>
        </w:rPr>
        <w:t>2018年度收入792.48万元，支出总计1004.99万元。此套报表属于2018年新增，故无法和2017年数据比对</w:t>
      </w:r>
      <w:r>
        <w:rPr>
          <w:rFonts w:hint="eastAsia" w:ascii="仿宋" w:hAnsi="仿宋" w:eastAsia="仿宋" w:cs="楷体_GB2312"/>
          <w:b/>
          <w:bCs/>
          <w:sz w:val="32"/>
          <w:szCs w:val="32"/>
        </w:rPr>
        <w:t>。</w:t>
      </w:r>
    </w:p>
    <w:p>
      <w:pPr>
        <w:spacing w:line="600" w:lineRule="exact"/>
        <w:ind w:firstLine="643" w:firstLineChars="200"/>
        <w:rPr>
          <w:rFonts w:ascii="仿宋" w:hAnsi="仿宋" w:eastAsia="仿宋" w:cs="楷体_GB2312"/>
          <w:b/>
          <w:bCs/>
          <w:sz w:val="32"/>
          <w:szCs w:val="32"/>
        </w:rPr>
      </w:pPr>
      <w:bookmarkStart w:id="24" w:name="_Toc15377206"/>
      <w:bookmarkStart w:id="25" w:name="_Toc15396604"/>
      <w:r>
        <w:rPr>
          <w:rFonts w:hint="eastAsia" w:ascii="仿宋" w:hAnsi="仿宋" w:eastAsia="仿宋" w:cs="楷体_GB2312"/>
          <w:b/>
          <w:bCs/>
          <w:sz w:val="32"/>
          <w:szCs w:val="32"/>
        </w:rPr>
        <w:t>二、收入决算情况说明</w:t>
      </w:r>
      <w:bookmarkEnd w:id="24"/>
      <w:bookmarkEnd w:id="25"/>
    </w:p>
    <w:p>
      <w:pPr>
        <w:spacing w:line="600" w:lineRule="exact"/>
        <w:ind w:firstLine="640" w:firstLineChars="200"/>
        <w:rPr>
          <w:rFonts w:ascii="仿宋" w:hAnsi="仿宋" w:eastAsia="仿宋" w:cs="楷体_GB2312"/>
          <w:bCs/>
          <w:sz w:val="32"/>
          <w:szCs w:val="32"/>
        </w:rPr>
      </w:pPr>
      <w:r>
        <w:rPr>
          <w:rFonts w:ascii="仿宋" w:hAnsi="仿宋" w:eastAsia="仿宋" w:cs="楷体_GB2312"/>
          <w:bCs/>
          <w:sz w:val="32"/>
          <w:szCs w:val="32"/>
        </w:rPr>
        <w:t>201</w:t>
      </w:r>
      <w:r>
        <w:rPr>
          <w:rFonts w:hint="eastAsia" w:ascii="仿宋" w:hAnsi="仿宋" w:eastAsia="仿宋" w:cs="楷体_GB2312"/>
          <w:bCs/>
          <w:sz w:val="32"/>
          <w:szCs w:val="32"/>
        </w:rPr>
        <w:t>8年本年收入合计792.48万元，其中：一般公共预算财政拨款收入792.48万元，占100</w:t>
      </w:r>
      <w:r>
        <w:rPr>
          <w:rFonts w:ascii="仿宋" w:hAnsi="仿宋" w:eastAsia="仿宋" w:cs="楷体_GB2312"/>
          <w:bCs/>
          <w:sz w:val="32"/>
          <w:szCs w:val="32"/>
        </w:rPr>
        <w:t>%</w:t>
      </w:r>
      <w:r>
        <w:rPr>
          <w:rFonts w:hint="eastAsia" w:ascii="仿宋" w:hAnsi="仿宋" w:eastAsia="仿宋" w:cs="楷体_GB2312"/>
          <w:bCs/>
          <w:sz w:val="32"/>
          <w:szCs w:val="32"/>
        </w:rPr>
        <w:t>。</w:t>
      </w:r>
      <w:r>
        <w:rPr>
          <w:rFonts w:ascii="仿宋" w:hAnsi="仿宋" w:eastAsia="仿宋" w:cs="楷体_GB2312"/>
          <w:bCs/>
          <w:sz w:val="32"/>
          <w:szCs w:val="32"/>
        </w:rPr>
        <w:t xml:space="preserve"> </w:t>
      </w:r>
    </w:p>
    <w:p>
      <w:pPr>
        <w:spacing w:line="600" w:lineRule="exact"/>
        <w:ind w:firstLine="640" w:firstLineChars="200"/>
        <w:rPr>
          <w:rFonts w:ascii="仿宋" w:hAnsi="仿宋" w:eastAsia="仿宋" w:cs="楷体_GB2312"/>
          <w:bCs/>
          <w:sz w:val="32"/>
          <w:szCs w:val="32"/>
        </w:rPr>
      </w:pPr>
      <w:r>
        <w:rPr>
          <w:rFonts w:hint="eastAsia" w:ascii="仿宋" w:hAnsi="仿宋" w:eastAsia="仿宋" w:cs="楷体_GB2312"/>
          <w:bCs/>
          <w:sz w:val="32"/>
          <w:szCs w:val="32"/>
        </w:rPr>
        <w:t>（图2：收入决算结构图）</w:t>
      </w:r>
    </w:p>
    <w:tbl>
      <w:tblPr>
        <w:tblStyle w:val="13"/>
        <w:tblW w:w="6100" w:type="dxa"/>
        <w:tblInd w:w="108" w:type="dxa"/>
        <w:tblLayout w:type="autofit"/>
        <w:tblCellMar>
          <w:top w:w="0" w:type="dxa"/>
          <w:left w:w="108" w:type="dxa"/>
          <w:bottom w:w="0" w:type="dxa"/>
          <w:right w:w="108" w:type="dxa"/>
        </w:tblCellMar>
      </w:tblPr>
      <w:tblGrid>
        <w:gridCol w:w="1716"/>
        <w:gridCol w:w="1096"/>
        <w:gridCol w:w="1096"/>
        <w:gridCol w:w="1096"/>
        <w:gridCol w:w="1096"/>
      </w:tblGrid>
      <w:tr>
        <w:tblPrEx>
          <w:tblCellMar>
            <w:top w:w="0" w:type="dxa"/>
            <w:left w:w="108" w:type="dxa"/>
            <w:bottom w:w="0" w:type="dxa"/>
            <w:right w:w="108" w:type="dxa"/>
          </w:tblCellMar>
        </w:tblPrEx>
        <w:trPr>
          <w:trHeight w:val="270" w:hRule="atLeast"/>
        </w:trPr>
        <w:tc>
          <w:tcPr>
            <w:tcW w:w="171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664384" behindDoc="0" locked="0" layoutInCell="1" allowOverlap="1">
                  <wp:simplePos x="0" y="0"/>
                  <wp:positionH relativeFrom="column">
                    <wp:posOffset>826770</wp:posOffset>
                  </wp:positionH>
                  <wp:positionV relativeFrom="paragraph">
                    <wp:posOffset>173990</wp:posOffset>
                  </wp:positionV>
                  <wp:extent cx="2717165" cy="1534795"/>
                  <wp:effectExtent l="19050" t="0" r="26035" b="8255"/>
                  <wp:wrapNone/>
                  <wp:docPr id="1"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tbl>
            <w:tblPr>
              <w:tblStyle w:val="13"/>
              <w:tblW w:w="0" w:type="auto"/>
              <w:tblCellSpacing w:w="0" w:type="dxa"/>
              <w:tblInd w:w="0" w:type="dxa"/>
              <w:tblLayout w:type="autofit"/>
              <w:tblCellMar>
                <w:top w:w="0" w:type="dxa"/>
                <w:left w:w="0" w:type="dxa"/>
                <w:bottom w:w="0" w:type="dxa"/>
                <w:right w:w="0" w:type="dxa"/>
              </w:tblCellMar>
            </w:tblPr>
            <w:tblGrid>
              <w:gridCol w:w="1500"/>
            </w:tblGrid>
            <w:tr>
              <w:tblPrEx>
                <w:tblCellMar>
                  <w:top w:w="0" w:type="dxa"/>
                  <w:left w:w="0" w:type="dxa"/>
                  <w:bottom w:w="0" w:type="dxa"/>
                  <w:right w:w="0" w:type="dxa"/>
                </w:tblCellMar>
              </w:tblPrEx>
              <w:trPr>
                <w:trHeight w:val="270" w:hRule="atLeast"/>
                <w:tblCellSpacing w:w="0" w:type="dxa"/>
              </w:trPr>
              <w:tc>
                <w:tcPr>
                  <w:tcW w:w="150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r>
          </w:tbl>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171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171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405" w:hRule="atLeast"/>
        </w:trPr>
        <w:tc>
          <w:tcPr>
            <w:tcW w:w="171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171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171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171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171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171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r>
    </w:tbl>
    <w:p>
      <w:pPr>
        <w:spacing w:line="600" w:lineRule="exact"/>
        <w:ind w:firstLine="643" w:firstLineChars="200"/>
        <w:rPr>
          <w:rFonts w:ascii="仿宋" w:hAnsi="仿宋" w:eastAsia="仿宋" w:cs="楷体_GB2312"/>
          <w:b/>
          <w:bCs/>
          <w:sz w:val="32"/>
          <w:szCs w:val="32"/>
        </w:rPr>
      </w:pPr>
      <w:bookmarkStart w:id="26" w:name="_Toc15396605"/>
      <w:bookmarkStart w:id="27" w:name="_Toc15377207"/>
      <w:r>
        <w:rPr>
          <w:rFonts w:hint="eastAsia" w:ascii="仿宋" w:hAnsi="仿宋" w:eastAsia="仿宋" w:cs="楷体_GB2312"/>
          <w:b/>
          <w:bCs/>
          <w:sz w:val="32"/>
          <w:szCs w:val="32"/>
        </w:rPr>
        <w:t>三、支出决算情况说明</w:t>
      </w:r>
      <w:bookmarkEnd w:id="26"/>
      <w:bookmarkEnd w:id="27"/>
    </w:p>
    <w:p>
      <w:pPr>
        <w:spacing w:line="600" w:lineRule="exact"/>
        <w:ind w:firstLine="640" w:firstLineChars="200"/>
        <w:rPr>
          <w:rFonts w:ascii="仿宋" w:hAnsi="仿宋" w:eastAsia="仿宋" w:cs="楷体_GB2312"/>
          <w:bCs/>
          <w:sz w:val="32"/>
          <w:szCs w:val="32"/>
        </w:rPr>
      </w:pPr>
      <w:r>
        <w:rPr>
          <w:rFonts w:ascii="仿宋" w:hAnsi="仿宋" w:eastAsia="仿宋" w:cs="楷体_GB2312"/>
          <w:bCs/>
          <w:sz w:val="32"/>
          <w:szCs w:val="32"/>
        </w:rPr>
        <w:t>201</w:t>
      </w:r>
      <w:r>
        <w:rPr>
          <w:rFonts w:hint="eastAsia" w:ascii="仿宋" w:hAnsi="仿宋" w:eastAsia="仿宋" w:cs="楷体_GB2312"/>
          <w:bCs/>
          <w:sz w:val="32"/>
          <w:szCs w:val="32"/>
        </w:rPr>
        <w:t>8年本年支出合计1004.98万元，其中：基本支出1004.98万元，占100</w:t>
      </w:r>
      <w:r>
        <w:rPr>
          <w:rFonts w:ascii="仿宋" w:hAnsi="仿宋" w:eastAsia="仿宋" w:cs="楷体_GB2312"/>
          <w:bCs/>
          <w:sz w:val="32"/>
          <w:szCs w:val="32"/>
        </w:rPr>
        <w:t>%</w:t>
      </w:r>
      <w:r>
        <w:rPr>
          <w:rFonts w:hint="eastAsia" w:ascii="仿宋" w:hAnsi="仿宋" w:eastAsia="仿宋" w:cs="楷体_GB2312"/>
          <w:bCs/>
          <w:sz w:val="32"/>
          <w:szCs w:val="32"/>
        </w:rPr>
        <w:t>。</w:t>
      </w:r>
      <w:r>
        <w:rPr>
          <w:rFonts w:ascii="仿宋" w:hAnsi="仿宋" w:eastAsia="仿宋" w:cs="楷体_GB2312"/>
          <w:bCs/>
          <w:sz w:val="32"/>
          <w:szCs w:val="32"/>
        </w:rPr>
        <w:t xml:space="preserve"> </w:t>
      </w:r>
    </w:p>
    <w:p>
      <w:pPr>
        <w:spacing w:line="600" w:lineRule="exact"/>
        <w:ind w:firstLine="640" w:firstLineChars="200"/>
        <w:rPr>
          <w:rFonts w:ascii="仿宋" w:hAnsi="仿宋" w:eastAsia="仿宋" w:cs="楷体_GB2312"/>
          <w:bCs/>
          <w:sz w:val="32"/>
          <w:szCs w:val="32"/>
        </w:rPr>
      </w:pPr>
    </w:p>
    <w:p>
      <w:pPr>
        <w:spacing w:line="600" w:lineRule="exact"/>
        <w:ind w:firstLine="640" w:firstLineChars="200"/>
        <w:rPr>
          <w:rFonts w:ascii="仿宋" w:hAnsi="仿宋" w:eastAsia="仿宋" w:cs="楷体_GB2312"/>
          <w:bCs/>
          <w:sz w:val="32"/>
          <w:szCs w:val="32"/>
        </w:rPr>
      </w:pPr>
    </w:p>
    <w:p>
      <w:pPr>
        <w:spacing w:line="600" w:lineRule="exact"/>
        <w:ind w:firstLine="640" w:firstLineChars="200"/>
        <w:rPr>
          <w:rFonts w:ascii="仿宋" w:hAnsi="仿宋" w:eastAsia="仿宋" w:cs="楷体_GB2312"/>
          <w:bCs/>
          <w:sz w:val="32"/>
          <w:szCs w:val="32"/>
        </w:rPr>
      </w:pPr>
      <w:r>
        <w:rPr>
          <w:rFonts w:hint="eastAsia" w:ascii="仿宋" w:hAnsi="仿宋" w:eastAsia="仿宋" w:cs="楷体_GB2312"/>
          <w:bCs/>
          <w:sz w:val="32"/>
          <w:szCs w:val="32"/>
        </w:rPr>
        <w:t>（图3：支出决算结构图）</w:t>
      </w:r>
    </w:p>
    <w:tbl>
      <w:tblPr>
        <w:tblStyle w:val="13"/>
        <w:tblW w:w="6100" w:type="dxa"/>
        <w:tblInd w:w="108" w:type="dxa"/>
        <w:tblLayout w:type="autofit"/>
        <w:tblCellMar>
          <w:top w:w="0" w:type="dxa"/>
          <w:left w:w="108" w:type="dxa"/>
          <w:bottom w:w="0" w:type="dxa"/>
          <w:right w:w="108" w:type="dxa"/>
        </w:tblCellMar>
      </w:tblPr>
      <w:tblGrid>
        <w:gridCol w:w="1716"/>
        <w:gridCol w:w="1096"/>
        <w:gridCol w:w="1096"/>
        <w:gridCol w:w="1096"/>
        <w:gridCol w:w="1096"/>
      </w:tblGrid>
      <w:tr>
        <w:tblPrEx>
          <w:tblCellMar>
            <w:top w:w="0" w:type="dxa"/>
            <w:left w:w="108" w:type="dxa"/>
            <w:bottom w:w="0" w:type="dxa"/>
            <w:right w:w="108" w:type="dxa"/>
          </w:tblCellMar>
        </w:tblPrEx>
        <w:trPr>
          <w:trHeight w:val="270" w:hRule="atLeast"/>
        </w:trPr>
        <w:tc>
          <w:tcPr>
            <w:tcW w:w="171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171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666432" behindDoc="0" locked="0" layoutInCell="1" allowOverlap="1">
                  <wp:simplePos x="0" y="0"/>
                  <wp:positionH relativeFrom="column">
                    <wp:posOffset>410845</wp:posOffset>
                  </wp:positionH>
                  <wp:positionV relativeFrom="paragraph">
                    <wp:posOffset>31115</wp:posOffset>
                  </wp:positionV>
                  <wp:extent cx="3763010" cy="2162810"/>
                  <wp:effectExtent l="19050" t="0" r="27940" b="8890"/>
                  <wp:wrapNone/>
                  <wp:docPr id="4"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tbl>
            <w:tblPr>
              <w:tblStyle w:val="13"/>
              <w:tblW w:w="0" w:type="auto"/>
              <w:tblCellSpacing w:w="0" w:type="dxa"/>
              <w:tblInd w:w="0" w:type="dxa"/>
              <w:tblLayout w:type="autofit"/>
              <w:tblCellMar>
                <w:top w:w="0" w:type="dxa"/>
                <w:left w:w="0" w:type="dxa"/>
                <w:bottom w:w="0" w:type="dxa"/>
                <w:right w:w="0" w:type="dxa"/>
              </w:tblCellMar>
            </w:tblPr>
            <w:tblGrid>
              <w:gridCol w:w="1500"/>
            </w:tblGrid>
            <w:tr>
              <w:tblPrEx>
                <w:tblCellMar>
                  <w:top w:w="0" w:type="dxa"/>
                  <w:left w:w="0" w:type="dxa"/>
                  <w:bottom w:w="0" w:type="dxa"/>
                  <w:right w:w="0" w:type="dxa"/>
                </w:tblCellMar>
              </w:tblPrEx>
              <w:trPr>
                <w:trHeight w:val="270" w:hRule="atLeast"/>
                <w:tblCellSpacing w:w="0" w:type="dxa"/>
              </w:trPr>
              <w:tc>
                <w:tcPr>
                  <w:tcW w:w="150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r>
          </w:tbl>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171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171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171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171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171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171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171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r>
    </w:tbl>
    <w:p>
      <w:pPr>
        <w:spacing w:line="600" w:lineRule="exact"/>
        <w:ind w:firstLine="640" w:firstLineChars="200"/>
        <w:outlineLvl w:val="1"/>
        <w:rPr>
          <w:rFonts w:ascii="黑体" w:hAnsi="黑体" w:eastAsia="黑体"/>
          <w:color w:val="000000"/>
          <w:sz w:val="32"/>
          <w:szCs w:val="32"/>
        </w:rPr>
      </w:pPr>
      <w:bookmarkStart w:id="28" w:name="_Toc15396606"/>
      <w:bookmarkStart w:id="29" w:name="_Toc15377208"/>
    </w:p>
    <w:p>
      <w:pPr>
        <w:spacing w:line="600" w:lineRule="exact"/>
        <w:ind w:firstLine="643" w:firstLineChars="200"/>
        <w:rPr>
          <w:rFonts w:ascii="仿宋" w:hAnsi="仿宋" w:eastAsia="仿宋" w:cs="楷体_GB2312"/>
          <w:b/>
          <w:bCs/>
          <w:sz w:val="32"/>
          <w:szCs w:val="32"/>
        </w:rPr>
      </w:pPr>
    </w:p>
    <w:p>
      <w:pPr>
        <w:spacing w:line="60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四、财政拨款收入支出决算总体情况说明</w:t>
      </w:r>
      <w:bookmarkEnd w:id="28"/>
      <w:bookmarkEnd w:id="29"/>
    </w:p>
    <w:p>
      <w:pPr>
        <w:spacing w:line="600" w:lineRule="exact"/>
        <w:ind w:firstLine="640" w:firstLineChars="200"/>
        <w:rPr>
          <w:rFonts w:ascii="仿宋" w:hAnsi="仿宋" w:eastAsia="仿宋" w:cs="楷体_GB2312"/>
          <w:bCs/>
          <w:sz w:val="32"/>
          <w:szCs w:val="32"/>
        </w:rPr>
      </w:pPr>
      <w:r>
        <w:rPr>
          <w:rFonts w:ascii="仿宋" w:hAnsi="仿宋" w:eastAsia="仿宋" w:cs="楷体_GB2312"/>
          <w:bCs/>
          <w:sz w:val="32"/>
          <w:szCs w:val="32"/>
        </w:rPr>
        <w:t>201</w:t>
      </w:r>
      <w:r>
        <w:rPr>
          <w:rFonts w:hint="eastAsia" w:ascii="仿宋" w:hAnsi="仿宋" w:eastAsia="仿宋" w:cs="楷体_GB2312"/>
          <w:bCs/>
          <w:sz w:val="32"/>
          <w:szCs w:val="32"/>
        </w:rPr>
        <w:t>8年财政拨款收入792.48万元、支出总计1004.98万元。此套报表属于2018年新增，故无法和2017年数据比对。</w:t>
      </w:r>
    </w:p>
    <w:p>
      <w:pPr>
        <w:spacing w:line="600" w:lineRule="exact"/>
        <w:ind w:firstLine="643" w:firstLineChars="200"/>
        <w:rPr>
          <w:rFonts w:ascii="仿宋" w:hAnsi="仿宋" w:eastAsia="仿宋" w:cs="楷体_GB2312"/>
          <w:b/>
          <w:bCs/>
          <w:sz w:val="32"/>
          <w:szCs w:val="32"/>
        </w:rPr>
      </w:pPr>
      <w:bookmarkStart w:id="30" w:name="_Toc15377209"/>
      <w:bookmarkStart w:id="31" w:name="_Toc15396607"/>
      <w:r>
        <w:rPr>
          <w:rFonts w:hint="eastAsia" w:ascii="仿宋" w:hAnsi="仿宋" w:eastAsia="仿宋" w:cs="楷体_GB2312"/>
          <w:b/>
          <w:bCs/>
          <w:sz w:val="32"/>
          <w:szCs w:val="32"/>
        </w:rPr>
        <w:t>五、一般公共预算财政拨款支出决算情况说明</w:t>
      </w:r>
      <w:bookmarkEnd w:id="30"/>
      <w:bookmarkEnd w:id="31"/>
    </w:p>
    <w:p>
      <w:pPr>
        <w:spacing w:line="600" w:lineRule="exact"/>
        <w:ind w:firstLine="640" w:firstLineChars="200"/>
        <w:rPr>
          <w:rFonts w:ascii="仿宋" w:hAnsi="仿宋" w:eastAsia="仿宋" w:cs="楷体_GB2312"/>
          <w:bCs/>
          <w:sz w:val="32"/>
          <w:szCs w:val="32"/>
        </w:rPr>
      </w:pPr>
      <w:bookmarkStart w:id="32" w:name="_Toc15377210"/>
      <w:r>
        <w:rPr>
          <w:rFonts w:hint="eastAsia" w:ascii="仿宋" w:hAnsi="仿宋" w:eastAsia="仿宋" w:cs="楷体_GB2312"/>
          <w:bCs/>
          <w:sz w:val="32"/>
          <w:szCs w:val="32"/>
        </w:rPr>
        <w:t>（一）一般公共预算财政拨款支出决算总体情况</w:t>
      </w:r>
      <w:bookmarkEnd w:id="32"/>
    </w:p>
    <w:p>
      <w:pPr>
        <w:spacing w:line="600" w:lineRule="exact"/>
        <w:ind w:firstLine="640" w:firstLineChars="200"/>
        <w:rPr>
          <w:rFonts w:ascii="仿宋" w:hAnsi="仿宋" w:eastAsia="仿宋" w:cs="楷体_GB2312"/>
          <w:bCs/>
          <w:sz w:val="32"/>
          <w:szCs w:val="32"/>
        </w:rPr>
      </w:pPr>
      <w:r>
        <w:rPr>
          <w:rFonts w:ascii="仿宋" w:hAnsi="仿宋" w:eastAsia="仿宋" w:cs="楷体_GB2312"/>
          <w:bCs/>
          <w:sz w:val="32"/>
          <w:szCs w:val="32"/>
        </w:rPr>
        <w:t>201</w:t>
      </w:r>
      <w:r>
        <w:rPr>
          <w:rFonts w:hint="eastAsia" w:ascii="仿宋" w:hAnsi="仿宋" w:eastAsia="仿宋" w:cs="楷体_GB2312"/>
          <w:bCs/>
          <w:sz w:val="32"/>
          <w:szCs w:val="32"/>
        </w:rPr>
        <w:t>8年一般公共预算财政拨款支出1004.98万元，占本年支出合计的100%。此套报表属于2018年新增，故无法和2017年数据比对。</w:t>
      </w:r>
    </w:p>
    <w:p>
      <w:pPr>
        <w:spacing w:line="600" w:lineRule="exact"/>
        <w:ind w:firstLine="640" w:firstLineChars="200"/>
        <w:rPr>
          <w:rFonts w:ascii="仿宋" w:hAnsi="仿宋" w:eastAsia="仿宋" w:cs="楷体_GB2312"/>
          <w:bCs/>
          <w:sz w:val="32"/>
          <w:szCs w:val="32"/>
        </w:rPr>
      </w:pPr>
      <w:bookmarkStart w:id="33" w:name="_Toc15377211"/>
      <w:r>
        <w:rPr>
          <w:rFonts w:hint="eastAsia" w:ascii="仿宋" w:hAnsi="仿宋" w:eastAsia="仿宋" w:cs="楷体_GB2312"/>
          <w:bCs/>
          <w:sz w:val="32"/>
          <w:szCs w:val="32"/>
        </w:rPr>
        <w:t>（二）一般公共预算财政拨款支出决算结构情况</w:t>
      </w:r>
      <w:bookmarkEnd w:id="33"/>
    </w:p>
    <w:p>
      <w:pPr>
        <w:spacing w:line="600" w:lineRule="exact"/>
        <w:ind w:firstLine="640" w:firstLineChars="200"/>
        <w:rPr>
          <w:rFonts w:ascii="仿宋" w:hAnsi="仿宋" w:eastAsia="仿宋" w:cs="楷体_GB2312"/>
          <w:bCs/>
          <w:sz w:val="32"/>
          <w:szCs w:val="32"/>
        </w:rPr>
      </w:pPr>
      <w:r>
        <w:rPr>
          <w:rFonts w:ascii="仿宋" w:hAnsi="仿宋" w:eastAsia="仿宋" w:cs="楷体_GB2312"/>
          <w:bCs/>
          <w:sz w:val="32"/>
          <w:szCs w:val="32"/>
        </w:rPr>
        <w:t>201</w:t>
      </w:r>
      <w:r>
        <w:rPr>
          <w:rFonts w:hint="eastAsia" w:ascii="仿宋" w:hAnsi="仿宋" w:eastAsia="仿宋" w:cs="楷体_GB2312"/>
          <w:bCs/>
          <w:sz w:val="32"/>
          <w:szCs w:val="32"/>
        </w:rPr>
        <w:t>8年一般公共预算财政拨款支出1004.98万元，主要用于以下方面</w:t>
      </w:r>
      <w:r>
        <w:rPr>
          <w:rFonts w:ascii="仿宋" w:hAnsi="仿宋" w:eastAsia="仿宋" w:cs="楷体_GB2312"/>
          <w:bCs/>
          <w:sz w:val="32"/>
          <w:szCs w:val="32"/>
        </w:rPr>
        <w:t>:</w:t>
      </w:r>
      <w:r>
        <w:rPr>
          <w:rFonts w:hint="eastAsia" w:ascii="仿宋" w:hAnsi="仿宋" w:eastAsia="仿宋" w:cs="楷体_GB2312"/>
          <w:bCs/>
          <w:sz w:val="32"/>
          <w:szCs w:val="32"/>
        </w:rPr>
        <w:t>社会保障和就业（类）支出895.36万元，占总支出的89.09</w:t>
      </w:r>
      <w:r>
        <w:rPr>
          <w:rFonts w:ascii="仿宋" w:hAnsi="仿宋" w:eastAsia="仿宋" w:cs="楷体_GB2312"/>
          <w:bCs/>
          <w:sz w:val="32"/>
          <w:szCs w:val="32"/>
        </w:rPr>
        <w:t>%</w:t>
      </w:r>
      <w:r>
        <w:rPr>
          <w:rFonts w:hint="eastAsia" w:ascii="仿宋" w:hAnsi="仿宋" w:eastAsia="仿宋" w:cs="楷体_GB2312"/>
          <w:bCs/>
          <w:sz w:val="32"/>
          <w:szCs w:val="32"/>
        </w:rPr>
        <w:t>；医疗卫生与计划生育（类）支出30.64万</w:t>
      </w:r>
    </w:p>
    <w:p>
      <w:pPr>
        <w:spacing w:line="600" w:lineRule="exact"/>
        <w:rPr>
          <w:rFonts w:ascii="仿宋" w:hAnsi="仿宋" w:eastAsia="仿宋" w:cs="楷体_GB2312"/>
          <w:bCs/>
          <w:sz w:val="32"/>
          <w:szCs w:val="32"/>
        </w:rPr>
      </w:pPr>
      <w:r>
        <w:rPr>
          <w:rFonts w:hint="eastAsia" w:ascii="仿宋" w:hAnsi="仿宋" w:eastAsia="仿宋" w:cs="楷体_GB2312"/>
          <w:bCs/>
          <w:sz w:val="32"/>
          <w:szCs w:val="32"/>
        </w:rPr>
        <w:t>元，占3.05</w:t>
      </w:r>
      <w:r>
        <w:rPr>
          <w:rFonts w:ascii="仿宋" w:hAnsi="仿宋" w:eastAsia="仿宋" w:cs="楷体_GB2312"/>
          <w:bCs/>
          <w:sz w:val="32"/>
          <w:szCs w:val="32"/>
        </w:rPr>
        <w:t>%</w:t>
      </w:r>
      <w:r>
        <w:rPr>
          <w:rFonts w:hint="eastAsia" w:ascii="仿宋" w:hAnsi="仿宋" w:eastAsia="仿宋" w:cs="楷体_GB2312"/>
          <w:bCs/>
          <w:sz w:val="32"/>
          <w:szCs w:val="32"/>
        </w:rPr>
        <w:t>；住房保障支出78.98万元，占7.86</w:t>
      </w:r>
      <w:r>
        <w:rPr>
          <w:rFonts w:ascii="仿宋" w:hAnsi="仿宋" w:eastAsia="仿宋" w:cs="楷体_GB2312"/>
          <w:bCs/>
          <w:sz w:val="32"/>
          <w:szCs w:val="32"/>
        </w:rPr>
        <w:t>%</w:t>
      </w:r>
      <w:r>
        <w:rPr>
          <w:rFonts w:hint="eastAsia" w:ascii="仿宋" w:hAnsi="仿宋" w:eastAsia="仿宋" w:cs="楷体_GB2312"/>
          <w:bCs/>
          <w:sz w:val="32"/>
          <w:szCs w:val="32"/>
        </w:rPr>
        <w:t>。</w:t>
      </w:r>
    </w:p>
    <w:p>
      <w:pPr>
        <w:spacing w:line="600" w:lineRule="exact"/>
        <w:rPr>
          <w:rFonts w:ascii="仿宋" w:hAnsi="仿宋" w:eastAsia="仿宋" w:cs="楷体_GB2312"/>
          <w:bCs/>
          <w:sz w:val="32"/>
          <w:szCs w:val="32"/>
        </w:rPr>
      </w:pPr>
    </w:p>
    <w:p>
      <w:pPr>
        <w:spacing w:line="600" w:lineRule="exact"/>
        <w:rPr>
          <w:rFonts w:ascii="仿宋" w:hAnsi="仿宋" w:eastAsia="仿宋" w:cs="楷体_GB2312"/>
          <w:bCs/>
          <w:sz w:val="32"/>
          <w:szCs w:val="32"/>
        </w:rPr>
      </w:pPr>
      <w:r>
        <w:rPr>
          <w:rFonts w:hint="eastAsia" w:ascii="仿宋" w:hAnsi="仿宋" w:eastAsia="仿宋" w:cs="楷体_GB2312"/>
          <w:bCs/>
          <w:sz w:val="32"/>
          <w:szCs w:val="32"/>
        </w:rPr>
        <w:t>（图6：一般公共预算财政拨款支出决算结构）</w:t>
      </w:r>
    </w:p>
    <w:tbl>
      <w:tblPr>
        <w:tblStyle w:val="13"/>
        <w:tblW w:w="5680" w:type="dxa"/>
        <w:tblInd w:w="108" w:type="dxa"/>
        <w:tblLayout w:type="autofit"/>
        <w:tblCellMar>
          <w:top w:w="0" w:type="dxa"/>
          <w:left w:w="108" w:type="dxa"/>
          <w:bottom w:w="0" w:type="dxa"/>
          <w:right w:w="108" w:type="dxa"/>
        </w:tblCellMar>
      </w:tblPr>
      <w:tblGrid>
        <w:gridCol w:w="1296"/>
        <w:gridCol w:w="1096"/>
        <w:gridCol w:w="1096"/>
        <w:gridCol w:w="1096"/>
        <w:gridCol w:w="1096"/>
      </w:tblGrid>
      <w:tr>
        <w:tblPrEx>
          <w:tblCellMar>
            <w:top w:w="0" w:type="dxa"/>
            <w:left w:w="108" w:type="dxa"/>
            <w:bottom w:w="0" w:type="dxa"/>
            <w:right w:w="108" w:type="dxa"/>
          </w:tblCellMar>
        </w:tblPrEx>
        <w:trPr>
          <w:trHeight w:val="270" w:hRule="atLeast"/>
        </w:trPr>
        <w:tc>
          <w:tcPr>
            <w:tcW w:w="1296" w:type="dxa"/>
            <w:tcBorders>
              <w:top w:val="nil"/>
              <w:left w:val="nil"/>
              <w:bottom w:val="nil"/>
              <w:right w:val="nil"/>
            </w:tcBorders>
            <w:shd w:val="clear" w:color="auto" w:fill="auto"/>
            <w:noWrap/>
            <w:vAlign w:val="center"/>
          </w:tcPr>
          <w:p>
            <w:pPr>
              <w:spacing w:line="600" w:lineRule="exact"/>
              <w:rPr>
                <w:rFonts w:ascii="宋体" w:hAnsi="宋体" w:cs="宋体"/>
                <w:kern w:val="0"/>
                <w:sz w:val="32"/>
                <w:szCs w:val="32"/>
              </w:rPr>
            </w:pPr>
            <w:bookmarkStart w:id="34" w:name="_Toc15377212"/>
            <w:r>
              <w:rPr>
                <w:rFonts w:ascii="宋体" w:hAnsi="宋体" w:cs="宋体"/>
                <w:kern w:val="0"/>
                <w:sz w:val="32"/>
                <w:szCs w:val="32"/>
              </w:rPr>
              <w:drawing>
                <wp:anchor distT="0" distB="0" distL="114300" distR="114300" simplePos="0" relativeHeight="251668480" behindDoc="0" locked="0" layoutInCell="1" allowOverlap="1">
                  <wp:simplePos x="0" y="0"/>
                  <wp:positionH relativeFrom="column">
                    <wp:posOffset>130810</wp:posOffset>
                  </wp:positionH>
                  <wp:positionV relativeFrom="paragraph">
                    <wp:posOffset>269240</wp:posOffset>
                  </wp:positionV>
                  <wp:extent cx="4040505" cy="1985645"/>
                  <wp:effectExtent l="19050" t="0" r="17145" b="0"/>
                  <wp:wrapNone/>
                  <wp:docPr id="6"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ascii="宋体" w:hAnsi="宋体" w:cs="宋体"/>
                <w:kern w:val="0"/>
                <w:sz w:val="32"/>
                <w:szCs w:val="32"/>
              </w:rPr>
            </w:pPr>
          </w:p>
          <w:tbl>
            <w:tblPr>
              <w:tblStyle w:val="13"/>
              <w:tblW w:w="0" w:type="auto"/>
              <w:tblCellSpacing w:w="0" w:type="dxa"/>
              <w:tblInd w:w="0" w:type="dxa"/>
              <w:tblLayout w:type="autofit"/>
              <w:tblCellMar>
                <w:top w:w="0" w:type="dxa"/>
                <w:left w:w="0" w:type="dxa"/>
                <w:bottom w:w="0" w:type="dxa"/>
                <w:right w:w="0" w:type="dxa"/>
              </w:tblCellMar>
            </w:tblPr>
            <w:tblGrid>
              <w:gridCol w:w="1080"/>
            </w:tblGrid>
            <w:tr>
              <w:trPr>
                <w:trHeight w:val="270" w:hRule="atLeast"/>
                <w:tblCellSpacing w:w="0" w:type="dxa"/>
              </w:trPr>
              <w:tc>
                <w:tcPr>
                  <w:tcW w:w="1080" w:type="dxa"/>
                  <w:tcBorders>
                    <w:top w:val="nil"/>
                    <w:left w:val="nil"/>
                    <w:bottom w:val="nil"/>
                    <w:right w:val="nil"/>
                  </w:tcBorders>
                  <w:shd w:val="clear" w:color="auto" w:fill="auto"/>
                  <w:noWrap/>
                  <w:vAlign w:val="center"/>
                </w:tcPr>
                <w:p>
                  <w:pPr>
                    <w:spacing w:line="600" w:lineRule="exact"/>
                    <w:ind w:firstLine="640" w:firstLineChars="200"/>
                    <w:rPr>
                      <w:rFonts w:ascii="宋体" w:hAnsi="宋体" w:cs="宋体"/>
                      <w:kern w:val="0"/>
                      <w:sz w:val="32"/>
                      <w:szCs w:val="32"/>
                    </w:rPr>
                  </w:pPr>
                </w:p>
              </w:tc>
            </w:tr>
          </w:tbl>
          <w:p>
            <w:pPr>
              <w:spacing w:line="600" w:lineRule="exact"/>
              <w:ind w:firstLine="640" w:firstLineChars="200"/>
              <w:rPr>
                <w:rFonts w:ascii="宋体" w:hAnsi="宋体" w:cs="宋体"/>
                <w:kern w:val="0"/>
                <w:sz w:val="32"/>
                <w:szCs w:val="32"/>
              </w:rPr>
            </w:pPr>
          </w:p>
        </w:tc>
        <w:tc>
          <w:tcPr>
            <w:tcW w:w="1096" w:type="dxa"/>
            <w:tcBorders>
              <w:top w:val="nil"/>
              <w:left w:val="nil"/>
              <w:bottom w:val="nil"/>
              <w:right w:val="nil"/>
            </w:tcBorders>
            <w:shd w:val="clear" w:color="auto" w:fill="auto"/>
            <w:noWrap/>
            <w:vAlign w:val="center"/>
          </w:tcPr>
          <w:p>
            <w:pPr>
              <w:spacing w:line="600" w:lineRule="exact"/>
              <w:ind w:firstLine="640" w:firstLineChars="200"/>
              <w:rPr>
                <w:rFonts w:ascii="宋体" w:hAnsi="宋体" w:cs="宋体"/>
                <w:kern w:val="0"/>
                <w:sz w:val="32"/>
                <w:szCs w:val="32"/>
              </w:rPr>
            </w:pPr>
          </w:p>
        </w:tc>
        <w:tc>
          <w:tcPr>
            <w:tcW w:w="1096" w:type="dxa"/>
            <w:tcBorders>
              <w:top w:val="nil"/>
              <w:left w:val="nil"/>
              <w:bottom w:val="nil"/>
              <w:right w:val="nil"/>
            </w:tcBorders>
            <w:shd w:val="clear" w:color="auto" w:fill="auto"/>
            <w:noWrap/>
            <w:vAlign w:val="center"/>
          </w:tcPr>
          <w:p>
            <w:pPr>
              <w:spacing w:line="600" w:lineRule="exact"/>
              <w:ind w:firstLine="640" w:firstLineChars="200"/>
              <w:rPr>
                <w:rFonts w:ascii="宋体" w:hAnsi="宋体" w:cs="宋体"/>
                <w:kern w:val="0"/>
                <w:sz w:val="32"/>
                <w:szCs w:val="32"/>
              </w:rPr>
            </w:pPr>
          </w:p>
        </w:tc>
        <w:tc>
          <w:tcPr>
            <w:tcW w:w="1096" w:type="dxa"/>
            <w:tcBorders>
              <w:top w:val="nil"/>
              <w:left w:val="nil"/>
              <w:bottom w:val="nil"/>
              <w:right w:val="nil"/>
            </w:tcBorders>
            <w:shd w:val="clear" w:color="auto" w:fill="auto"/>
            <w:noWrap/>
            <w:vAlign w:val="center"/>
          </w:tcPr>
          <w:p>
            <w:pPr>
              <w:spacing w:line="600" w:lineRule="exact"/>
              <w:ind w:firstLine="640" w:firstLineChars="200"/>
              <w:rPr>
                <w:rFonts w:ascii="宋体" w:hAnsi="宋体" w:cs="宋体"/>
                <w:kern w:val="0"/>
                <w:sz w:val="32"/>
                <w:szCs w:val="32"/>
              </w:rPr>
            </w:pPr>
          </w:p>
        </w:tc>
        <w:tc>
          <w:tcPr>
            <w:tcW w:w="1096" w:type="dxa"/>
            <w:tcBorders>
              <w:top w:val="nil"/>
              <w:left w:val="nil"/>
              <w:bottom w:val="nil"/>
              <w:right w:val="nil"/>
            </w:tcBorders>
            <w:shd w:val="clear" w:color="auto" w:fill="auto"/>
            <w:noWrap/>
            <w:vAlign w:val="center"/>
          </w:tcPr>
          <w:p>
            <w:pPr>
              <w:spacing w:line="600" w:lineRule="exact"/>
              <w:ind w:firstLine="640" w:firstLineChars="200"/>
              <w:rPr>
                <w:rFonts w:ascii="宋体" w:hAnsi="宋体" w:cs="宋体"/>
                <w:kern w:val="0"/>
                <w:sz w:val="32"/>
                <w:szCs w:val="32"/>
              </w:rPr>
            </w:pPr>
          </w:p>
        </w:tc>
      </w:tr>
      <w:tr>
        <w:tblPrEx>
          <w:tblCellMar>
            <w:top w:w="0" w:type="dxa"/>
            <w:left w:w="108" w:type="dxa"/>
            <w:bottom w:w="0" w:type="dxa"/>
            <w:right w:w="108" w:type="dxa"/>
          </w:tblCellMar>
        </w:tblPrEx>
        <w:trPr>
          <w:trHeight w:val="270" w:hRule="atLeast"/>
        </w:trPr>
        <w:tc>
          <w:tcPr>
            <w:tcW w:w="12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405" w:hRule="atLeast"/>
        </w:trPr>
        <w:tc>
          <w:tcPr>
            <w:tcW w:w="12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405" w:hRule="atLeast"/>
        </w:trPr>
        <w:tc>
          <w:tcPr>
            <w:tcW w:w="12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12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12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12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12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r>
    </w:tbl>
    <w:p>
      <w:pPr>
        <w:spacing w:line="600" w:lineRule="exact"/>
        <w:ind w:firstLine="640" w:firstLineChars="200"/>
        <w:rPr>
          <w:rFonts w:ascii="仿宋" w:hAnsi="仿宋" w:eastAsia="仿宋" w:cs="楷体_GB2312"/>
          <w:bCs/>
          <w:sz w:val="32"/>
          <w:szCs w:val="32"/>
        </w:rPr>
      </w:pPr>
      <w:r>
        <w:rPr>
          <w:rFonts w:hint="eastAsia" w:ascii="仿宋" w:hAnsi="仿宋" w:eastAsia="仿宋" w:cs="楷体_GB2312"/>
          <w:bCs/>
          <w:sz w:val="32"/>
          <w:szCs w:val="32"/>
        </w:rPr>
        <w:t>（三）一般公共预算财政拨款支出决算具体情况</w:t>
      </w:r>
      <w:bookmarkEnd w:id="34"/>
    </w:p>
    <w:p>
      <w:pPr>
        <w:spacing w:line="600" w:lineRule="exact"/>
        <w:ind w:firstLine="640" w:firstLineChars="200"/>
        <w:rPr>
          <w:rFonts w:ascii="仿宋" w:hAnsi="仿宋" w:eastAsia="仿宋" w:cs="楷体_GB2312"/>
          <w:bCs/>
          <w:sz w:val="32"/>
          <w:szCs w:val="32"/>
        </w:rPr>
      </w:pPr>
      <w:bookmarkStart w:id="35" w:name="_Toc15377444"/>
      <w:bookmarkStart w:id="36" w:name="_Toc15378460"/>
      <w:bookmarkStart w:id="37" w:name="_Toc15377213"/>
      <w:r>
        <w:rPr>
          <w:rFonts w:hint="eastAsia" w:ascii="仿宋" w:hAnsi="仿宋" w:eastAsia="仿宋" w:cs="楷体_GB2312"/>
          <w:bCs/>
          <w:sz w:val="32"/>
          <w:szCs w:val="32"/>
        </w:rPr>
        <w:t>2018年一般公共预算支出决算数为1004.98万元，完成预算78.85</w:t>
      </w:r>
      <w:r>
        <w:rPr>
          <w:rFonts w:ascii="仿宋" w:hAnsi="仿宋" w:eastAsia="仿宋" w:cs="楷体_GB2312"/>
          <w:bCs/>
          <w:sz w:val="32"/>
          <w:szCs w:val="32"/>
        </w:rPr>
        <w:t>%</w:t>
      </w:r>
      <w:r>
        <w:rPr>
          <w:rFonts w:hint="eastAsia" w:ascii="仿宋" w:hAnsi="仿宋" w:eastAsia="仿宋" w:cs="楷体_GB2312"/>
          <w:bCs/>
          <w:sz w:val="32"/>
          <w:szCs w:val="32"/>
        </w:rPr>
        <w:t>。其中：</w:t>
      </w:r>
      <w:bookmarkEnd w:id="35"/>
      <w:bookmarkEnd w:id="36"/>
      <w:bookmarkEnd w:id="37"/>
    </w:p>
    <w:p>
      <w:pPr>
        <w:spacing w:line="600" w:lineRule="exact"/>
        <w:ind w:firstLine="640" w:firstLineChars="200"/>
        <w:rPr>
          <w:rFonts w:ascii="仿宋" w:hAnsi="仿宋" w:eastAsia="仿宋" w:cs="楷体_GB2312"/>
          <w:bCs/>
          <w:sz w:val="32"/>
          <w:szCs w:val="32"/>
        </w:rPr>
      </w:pPr>
      <w:r>
        <w:rPr>
          <w:rFonts w:hint="eastAsia" w:ascii="仿宋" w:hAnsi="仿宋" w:eastAsia="仿宋" w:cs="楷体_GB2312"/>
          <w:bCs/>
          <w:sz w:val="32"/>
          <w:szCs w:val="32"/>
        </w:rPr>
        <w:t>1</w:t>
      </w:r>
      <w:r>
        <w:rPr>
          <w:rFonts w:ascii="仿宋" w:hAnsi="仿宋" w:eastAsia="仿宋" w:cs="楷体_GB2312"/>
          <w:bCs/>
          <w:sz w:val="32"/>
          <w:szCs w:val="32"/>
        </w:rPr>
        <w:t>.</w:t>
      </w:r>
      <w:r>
        <w:rPr>
          <w:rFonts w:hint="eastAsia" w:ascii="仿宋" w:hAnsi="仿宋" w:eastAsia="仿宋" w:cs="楷体_GB2312"/>
          <w:bCs/>
          <w:sz w:val="32"/>
          <w:szCs w:val="32"/>
        </w:rPr>
        <w:t>社会保障和就业（类）民政管理事务（款）其他民政管理事务（项）</w:t>
      </w:r>
      <w:r>
        <w:rPr>
          <w:rFonts w:ascii="仿宋" w:hAnsi="仿宋" w:eastAsia="仿宋" w:cs="楷体_GB2312"/>
          <w:bCs/>
          <w:sz w:val="32"/>
          <w:szCs w:val="32"/>
        </w:rPr>
        <w:t>:</w:t>
      </w:r>
      <w:r>
        <w:rPr>
          <w:rFonts w:hint="eastAsia" w:ascii="仿宋" w:hAnsi="仿宋" w:eastAsia="仿宋" w:cs="楷体_GB2312"/>
          <w:bCs/>
          <w:sz w:val="32"/>
          <w:szCs w:val="32"/>
        </w:rPr>
        <w:t>支出决算数为763.37万元，完成预算85</w:t>
      </w:r>
      <w:r>
        <w:rPr>
          <w:rFonts w:ascii="仿宋" w:hAnsi="仿宋" w:eastAsia="仿宋" w:cs="楷体_GB2312"/>
          <w:bCs/>
          <w:sz w:val="32"/>
          <w:szCs w:val="32"/>
        </w:rPr>
        <w:t>%</w:t>
      </w:r>
      <w:r>
        <w:rPr>
          <w:rFonts w:hint="eastAsia" w:ascii="仿宋" w:hAnsi="仿宋" w:eastAsia="仿宋" w:cs="楷体_GB2312"/>
          <w:bCs/>
          <w:sz w:val="32"/>
          <w:szCs w:val="32"/>
        </w:rPr>
        <w:t>，决算数小于预算数的主要原因是决算支出的目标考核奖根据财政要求，调整为财返资金。社会保障和就业（类）行政事业单位离退休（款）机关事业单位基本养老保险缴费支出（项）：支出决算数为94.28万元，根据财政要求，该笔资金调整为财返资金。社会保障和就业（类）行政事业单位离退休（款）机关事业单位职业年金缴费支出（项）37.71元，完成预算数的100%。</w:t>
      </w:r>
    </w:p>
    <w:p>
      <w:pPr>
        <w:spacing w:line="600" w:lineRule="exact"/>
        <w:ind w:firstLine="640" w:firstLineChars="200"/>
        <w:rPr>
          <w:rFonts w:ascii="仿宋" w:hAnsi="仿宋" w:eastAsia="仿宋" w:cs="楷体_GB2312"/>
          <w:bCs/>
          <w:sz w:val="32"/>
          <w:szCs w:val="32"/>
        </w:rPr>
      </w:pPr>
      <w:r>
        <w:rPr>
          <w:rFonts w:hint="eastAsia" w:ascii="仿宋" w:hAnsi="仿宋" w:eastAsia="仿宋" w:cs="楷体_GB2312"/>
          <w:bCs/>
          <w:sz w:val="32"/>
          <w:szCs w:val="32"/>
        </w:rPr>
        <w:t>3</w:t>
      </w:r>
      <w:r>
        <w:rPr>
          <w:rFonts w:ascii="仿宋" w:hAnsi="仿宋" w:eastAsia="仿宋" w:cs="楷体_GB2312"/>
          <w:bCs/>
          <w:sz w:val="32"/>
          <w:szCs w:val="32"/>
        </w:rPr>
        <w:t>.</w:t>
      </w:r>
      <w:r>
        <w:rPr>
          <w:rFonts w:hint="eastAsia" w:ascii="仿宋" w:hAnsi="仿宋" w:eastAsia="仿宋" w:cs="楷体_GB2312"/>
          <w:bCs/>
          <w:sz w:val="32"/>
          <w:szCs w:val="32"/>
        </w:rPr>
        <w:t>医疗卫生与计划生育（类）行政事业单位医疗（款）事业单位医疗（项）</w:t>
      </w:r>
      <w:r>
        <w:rPr>
          <w:rFonts w:ascii="仿宋" w:hAnsi="仿宋" w:eastAsia="仿宋" w:cs="楷体_GB2312"/>
          <w:bCs/>
          <w:sz w:val="32"/>
          <w:szCs w:val="32"/>
        </w:rPr>
        <w:t>:</w:t>
      </w:r>
      <w:r>
        <w:rPr>
          <w:rFonts w:hint="eastAsia" w:ascii="仿宋" w:hAnsi="仿宋" w:eastAsia="仿宋" w:cs="楷体_GB2312"/>
          <w:bCs/>
          <w:sz w:val="32"/>
          <w:szCs w:val="32"/>
        </w:rPr>
        <w:t>支出决算为30.64万元，完成预算100</w:t>
      </w:r>
      <w:r>
        <w:rPr>
          <w:rFonts w:ascii="仿宋" w:hAnsi="仿宋" w:eastAsia="仿宋" w:cs="楷体_GB2312"/>
          <w:bCs/>
          <w:sz w:val="32"/>
          <w:szCs w:val="32"/>
        </w:rPr>
        <w:t>%</w:t>
      </w:r>
      <w:r>
        <w:rPr>
          <w:rFonts w:hint="eastAsia" w:ascii="仿宋" w:hAnsi="仿宋" w:eastAsia="仿宋" w:cs="楷体_GB2312"/>
          <w:bCs/>
          <w:sz w:val="32"/>
          <w:szCs w:val="32"/>
        </w:rPr>
        <w:t>。</w:t>
      </w:r>
    </w:p>
    <w:p>
      <w:pPr>
        <w:spacing w:line="600" w:lineRule="exact"/>
        <w:ind w:firstLine="640" w:firstLineChars="200"/>
        <w:rPr>
          <w:rFonts w:ascii="仿宋" w:hAnsi="仿宋" w:eastAsia="仿宋" w:cs="楷体_GB2312"/>
          <w:bCs/>
          <w:sz w:val="32"/>
          <w:szCs w:val="32"/>
        </w:rPr>
      </w:pPr>
      <w:r>
        <w:rPr>
          <w:rFonts w:hint="eastAsia" w:ascii="仿宋" w:hAnsi="仿宋" w:eastAsia="仿宋" w:cs="楷体_GB2312"/>
          <w:bCs/>
          <w:sz w:val="32"/>
          <w:szCs w:val="32"/>
        </w:rPr>
        <w:t>4、住房保障支出（类）住房改革支出（款）住房公积金（项），支出决算数为78.98元，完成预算数的100%。</w:t>
      </w:r>
      <w:r>
        <w:rPr>
          <w:rFonts w:ascii="仿宋" w:hAnsi="仿宋" w:eastAsia="仿宋" w:cs="楷体_GB2312"/>
          <w:bCs/>
          <w:sz w:val="32"/>
          <w:szCs w:val="32"/>
        </w:rPr>
        <w:t xml:space="preserve"> </w:t>
      </w:r>
    </w:p>
    <w:p>
      <w:pPr>
        <w:spacing w:line="600" w:lineRule="exact"/>
        <w:ind w:firstLine="643" w:firstLineChars="200"/>
        <w:rPr>
          <w:rFonts w:ascii="仿宋" w:hAnsi="仿宋" w:eastAsia="仿宋" w:cs="楷体_GB2312"/>
          <w:b/>
          <w:bCs/>
          <w:sz w:val="32"/>
          <w:szCs w:val="32"/>
        </w:rPr>
      </w:pPr>
      <w:bookmarkStart w:id="38" w:name="_Toc15377214"/>
      <w:bookmarkStart w:id="39" w:name="_Toc15396608"/>
      <w:r>
        <w:rPr>
          <w:rFonts w:hint="eastAsia" w:ascii="仿宋" w:hAnsi="仿宋" w:eastAsia="仿宋" w:cs="楷体_GB2312"/>
          <w:b/>
          <w:bCs/>
          <w:sz w:val="32"/>
          <w:szCs w:val="32"/>
        </w:rPr>
        <w:t>六、一般公共预算财政拨款基本支出决算情况说明</w:t>
      </w:r>
      <w:bookmarkEnd w:id="38"/>
      <w:bookmarkEnd w:id="39"/>
      <w:r>
        <w:rPr>
          <w:rFonts w:ascii="仿宋" w:hAnsi="仿宋" w:eastAsia="仿宋" w:cs="楷体_GB2312"/>
          <w:b/>
          <w:bCs/>
          <w:sz w:val="32"/>
          <w:szCs w:val="32"/>
        </w:rPr>
        <w:tab/>
      </w:r>
    </w:p>
    <w:p>
      <w:pPr>
        <w:spacing w:line="600" w:lineRule="exact"/>
        <w:ind w:firstLine="640" w:firstLineChars="200"/>
        <w:rPr>
          <w:rFonts w:ascii="仿宋" w:hAnsi="仿宋" w:eastAsia="仿宋" w:cs="楷体_GB2312"/>
          <w:bCs/>
          <w:sz w:val="32"/>
          <w:szCs w:val="32"/>
        </w:rPr>
      </w:pPr>
      <w:r>
        <w:rPr>
          <w:rFonts w:ascii="仿宋" w:hAnsi="仿宋" w:eastAsia="仿宋" w:cs="楷体_GB2312"/>
          <w:bCs/>
          <w:sz w:val="32"/>
          <w:szCs w:val="32"/>
        </w:rPr>
        <w:t>201</w:t>
      </w:r>
      <w:r>
        <w:rPr>
          <w:rFonts w:hint="eastAsia" w:ascii="仿宋" w:hAnsi="仿宋" w:eastAsia="仿宋" w:cs="楷体_GB2312"/>
          <w:bCs/>
          <w:sz w:val="32"/>
          <w:szCs w:val="32"/>
        </w:rPr>
        <w:t>8年一般公共预算财政拨款基本支出1004.98万元，其中：</w:t>
      </w:r>
    </w:p>
    <w:p>
      <w:pPr>
        <w:spacing w:line="600" w:lineRule="exact"/>
        <w:ind w:firstLine="640" w:firstLineChars="200"/>
        <w:rPr>
          <w:rFonts w:ascii="仿宋" w:hAnsi="仿宋" w:eastAsia="仿宋" w:cs="楷体_GB2312"/>
          <w:bCs/>
          <w:sz w:val="32"/>
          <w:szCs w:val="32"/>
        </w:rPr>
      </w:pPr>
      <w:r>
        <w:rPr>
          <w:rFonts w:hint="eastAsia" w:ascii="仿宋" w:hAnsi="仿宋" w:eastAsia="仿宋" w:cs="楷体_GB2312"/>
          <w:bCs/>
          <w:sz w:val="32"/>
          <w:szCs w:val="32"/>
        </w:rPr>
        <w:t>人员经费971.09万元，主要包括：基本工资160.02万元、津贴补贴234.21万元、奖金118.23万元、伙食补助费3.29万元、绩效工资194.34万元、机关事业单位基本养老保险缴费94.28万元、职业年金缴费37.71万元、职工基本医疗保险缴费30.64万元、其他社会保障缴费12.00万元、生活补助4.87万元、住房公积金78.98万元、医疗费补助2.52万元等。</w:t>
      </w:r>
      <w:r>
        <w:rPr>
          <w:rFonts w:ascii="仿宋" w:hAnsi="仿宋" w:eastAsia="仿宋" w:cs="楷体_GB2312"/>
          <w:bCs/>
          <w:sz w:val="32"/>
          <w:szCs w:val="32"/>
        </w:rPr>
        <w:br w:type="textWrapping"/>
      </w:r>
      <w:r>
        <w:rPr>
          <w:rFonts w:hint="eastAsia" w:ascii="仿宋" w:hAnsi="仿宋" w:eastAsia="仿宋" w:cs="楷体_GB2312"/>
          <w:bCs/>
          <w:sz w:val="32"/>
          <w:szCs w:val="32"/>
        </w:rPr>
        <w:t>　　公用经费33.90万元，主要包括：办公费10.00万元、印刷费2.00万元、水费0.05万元、电费2.00万元、邮电费1.80万元、物业管理费0.90万元、差旅费13.00万元、维修（护）费0.20万元、租赁费1.50万元、培训费0.10万元、公务接待费0.21万元、劳务费1.20万元、其他商品和服务支出0.94万元。</w:t>
      </w:r>
    </w:p>
    <w:p>
      <w:pPr>
        <w:spacing w:line="600" w:lineRule="exact"/>
        <w:ind w:firstLine="643" w:firstLineChars="200"/>
        <w:rPr>
          <w:rFonts w:ascii="仿宋" w:hAnsi="仿宋" w:eastAsia="仿宋" w:cs="楷体_GB2312"/>
          <w:b/>
          <w:bCs/>
          <w:sz w:val="32"/>
          <w:szCs w:val="32"/>
        </w:rPr>
      </w:pPr>
      <w:bookmarkStart w:id="40" w:name="_Toc15396609"/>
      <w:bookmarkStart w:id="41" w:name="_Toc15377215"/>
      <w:r>
        <w:rPr>
          <w:rFonts w:hint="eastAsia" w:ascii="仿宋" w:hAnsi="仿宋" w:eastAsia="仿宋" w:cs="楷体_GB2312"/>
          <w:b/>
          <w:bCs/>
          <w:sz w:val="32"/>
          <w:szCs w:val="32"/>
        </w:rPr>
        <w:t>七、“三公”经费财政拨款支出决算情况说明</w:t>
      </w:r>
      <w:bookmarkEnd w:id="40"/>
      <w:bookmarkEnd w:id="41"/>
    </w:p>
    <w:p>
      <w:pPr>
        <w:spacing w:line="600" w:lineRule="exact"/>
        <w:ind w:firstLine="640" w:firstLineChars="200"/>
        <w:rPr>
          <w:rFonts w:ascii="仿宋" w:hAnsi="仿宋" w:eastAsia="仿宋" w:cs="楷体_GB2312"/>
          <w:bCs/>
          <w:sz w:val="32"/>
          <w:szCs w:val="32"/>
        </w:rPr>
      </w:pPr>
      <w:bookmarkStart w:id="42" w:name="_Toc15377216"/>
      <w:r>
        <w:rPr>
          <w:rFonts w:hint="eastAsia" w:ascii="仿宋" w:hAnsi="仿宋" w:eastAsia="仿宋" w:cs="楷体_GB2312"/>
          <w:bCs/>
          <w:sz w:val="32"/>
          <w:szCs w:val="32"/>
        </w:rPr>
        <w:t>（一）“三公”经费财政拨款支出决算总体情况说明</w:t>
      </w:r>
      <w:bookmarkEnd w:id="42"/>
    </w:p>
    <w:p>
      <w:pPr>
        <w:spacing w:line="600" w:lineRule="exact"/>
        <w:ind w:firstLine="640" w:firstLineChars="200"/>
        <w:rPr>
          <w:rFonts w:ascii="仿宋" w:hAnsi="仿宋" w:eastAsia="仿宋" w:cs="楷体_GB2312"/>
          <w:bCs/>
          <w:sz w:val="32"/>
          <w:szCs w:val="32"/>
        </w:rPr>
      </w:pPr>
      <w:r>
        <w:rPr>
          <w:rFonts w:ascii="仿宋" w:hAnsi="仿宋" w:eastAsia="仿宋" w:cs="楷体_GB2312"/>
          <w:bCs/>
          <w:sz w:val="32"/>
          <w:szCs w:val="32"/>
        </w:rPr>
        <w:t>201</w:t>
      </w:r>
      <w:r>
        <w:rPr>
          <w:rFonts w:hint="eastAsia" w:ascii="仿宋" w:hAnsi="仿宋" w:eastAsia="仿宋" w:cs="楷体_GB2312"/>
          <w:bCs/>
          <w:sz w:val="32"/>
          <w:szCs w:val="32"/>
        </w:rPr>
        <w:t>8年“三公”经费财政拨款支出决算为0.21万元，完成预算100</w:t>
      </w:r>
      <w:r>
        <w:rPr>
          <w:rFonts w:ascii="仿宋" w:hAnsi="仿宋" w:eastAsia="仿宋" w:cs="楷体_GB2312"/>
          <w:bCs/>
          <w:sz w:val="32"/>
          <w:szCs w:val="32"/>
        </w:rPr>
        <w:t>%</w:t>
      </w:r>
      <w:r>
        <w:rPr>
          <w:rFonts w:hint="eastAsia" w:ascii="仿宋" w:hAnsi="仿宋" w:eastAsia="仿宋" w:cs="楷体_GB2312"/>
          <w:bCs/>
          <w:sz w:val="32"/>
          <w:szCs w:val="32"/>
        </w:rPr>
        <w:t>。</w:t>
      </w:r>
    </w:p>
    <w:p>
      <w:pPr>
        <w:spacing w:line="600" w:lineRule="exact"/>
        <w:ind w:firstLine="640" w:firstLineChars="200"/>
        <w:rPr>
          <w:rFonts w:ascii="仿宋" w:hAnsi="仿宋" w:eastAsia="仿宋" w:cs="楷体_GB2312"/>
          <w:bCs/>
          <w:sz w:val="32"/>
          <w:szCs w:val="32"/>
        </w:rPr>
      </w:pPr>
      <w:bookmarkStart w:id="43" w:name="_Toc15377217"/>
      <w:r>
        <w:rPr>
          <w:rFonts w:hint="eastAsia" w:ascii="仿宋" w:hAnsi="仿宋" w:eastAsia="仿宋" w:cs="楷体_GB2312"/>
          <w:bCs/>
          <w:sz w:val="32"/>
          <w:szCs w:val="32"/>
        </w:rPr>
        <w:t>（二）“三公”经费财政拨款支出决算具体情况说明</w:t>
      </w:r>
      <w:bookmarkEnd w:id="43"/>
    </w:p>
    <w:p>
      <w:pPr>
        <w:spacing w:line="600" w:lineRule="exact"/>
        <w:ind w:firstLine="640" w:firstLineChars="200"/>
        <w:rPr>
          <w:rFonts w:ascii="仿宋" w:hAnsi="仿宋" w:eastAsia="仿宋" w:cs="楷体_GB2312"/>
          <w:bCs/>
          <w:sz w:val="32"/>
          <w:szCs w:val="32"/>
        </w:rPr>
      </w:pPr>
      <w:r>
        <w:rPr>
          <w:rFonts w:ascii="仿宋" w:hAnsi="仿宋" w:eastAsia="仿宋" w:cs="楷体_GB2312"/>
          <w:bCs/>
          <w:sz w:val="32"/>
          <w:szCs w:val="32"/>
        </w:rPr>
        <w:t>201</w:t>
      </w:r>
      <w:r>
        <w:rPr>
          <w:rFonts w:hint="eastAsia" w:ascii="仿宋" w:hAnsi="仿宋" w:eastAsia="仿宋" w:cs="楷体_GB2312"/>
          <w:bCs/>
          <w:sz w:val="32"/>
          <w:szCs w:val="32"/>
        </w:rPr>
        <w:t>8年“三公”经费财政拨款支出决算中，公务接待费支出决算0.21万元，占100</w:t>
      </w:r>
      <w:r>
        <w:rPr>
          <w:rFonts w:ascii="仿宋" w:hAnsi="仿宋" w:eastAsia="仿宋" w:cs="楷体_GB2312"/>
          <w:bCs/>
          <w:sz w:val="32"/>
          <w:szCs w:val="32"/>
        </w:rPr>
        <w:t>%</w:t>
      </w:r>
      <w:r>
        <w:rPr>
          <w:rFonts w:hint="eastAsia" w:ascii="仿宋" w:hAnsi="仿宋" w:eastAsia="仿宋" w:cs="楷体_GB2312"/>
          <w:bCs/>
          <w:sz w:val="32"/>
          <w:szCs w:val="32"/>
        </w:rPr>
        <w:t>。具体情况如下：</w:t>
      </w:r>
    </w:p>
    <w:p>
      <w:pPr>
        <w:spacing w:line="600" w:lineRule="exact"/>
        <w:ind w:firstLine="640" w:firstLineChars="200"/>
        <w:rPr>
          <w:rFonts w:ascii="仿宋" w:hAnsi="仿宋" w:eastAsia="仿宋" w:cs="楷体_GB2312"/>
          <w:bCs/>
          <w:sz w:val="32"/>
          <w:szCs w:val="32"/>
        </w:rPr>
      </w:pPr>
      <w:r>
        <w:rPr>
          <w:rFonts w:hint="eastAsia" w:ascii="仿宋" w:hAnsi="仿宋" w:eastAsia="仿宋" w:cs="楷体_GB2312"/>
          <w:bCs/>
          <w:sz w:val="32"/>
          <w:szCs w:val="32"/>
        </w:rPr>
        <w:t>（图8：“三公”经费财政拨款支出结构）</w:t>
      </w:r>
    </w:p>
    <w:tbl>
      <w:tblPr>
        <w:tblStyle w:val="13"/>
        <w:tblW w:w="4956" w:type="dxa"/>
        <w:tblInd w:w="108" w:type="dxa"/>
        <w:tblLayout w:type="autofit"/>
        <w:tblCellMar>
          <w:top w:w="0" w:type="dxa"/>
          <w:left w:w="108" w:type="dxa"/>
          <w:bottom w:w="0" w:type="dxa"/>
          <w:right w:w="108" w:type="dxa"/>
        </w:tblCellMar>
      </w:tblPr>
      <w:tblGrid>
        <w:gridCol w:w="1716"/>
        <w:gridCol w:w="1080"/>
        <w:gridCol w:w="1080"/>
        <w:gridCol w:w="1080"/>
      </w:tblGrid>
      <w:tr>
        <w:tblPrEx>
          <w:tblCellMar>
            <w:top w:w="0" w:type="dxa"/>
            <w:left w:w="108" w:type="dxa"/>
            <w:bottom w:w="0" w:type="dxa"/>
            <w:right w:w="108" w:type="dxa"/>
          </w:tblCellMar>
        </w:tblPrEx>
        <w:trPr>
          <w:trHeight w:val="270" w:hRule="atLeast"/>
        </w:trPr>
        <w:tc>
          <w:tcPr>
            <w:tcW w:w="171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670528" behindDoc="0" locked="0" layoutInCell="1" allowOverlap="1">
                  <wp:simplePos x="0" y="0"/>
                  <wp:positionH relativeFrom="column">
                    <wp:posOffset>594995</wp:posOffset>
                  </wp:positionH>
                  <wp:positionV relativeFrom="paragraph">
                    <wp:posOffset>112395</wp:posOffset>
                  </wp:positionV>
                  <wp:extent cx="3562985" cy="1651000"/>
                  <wp:effectExtent l="19050" t="0" r="18415" b="6350"/>
                  <wp:wrapNone/>
                  <wp:docPr id="11"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tc>
        <w:tc>
          <w:tcPr>
            <w:tcW w:w="108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171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bl>
            <w:tblPr>
              <w:tblStyle w:val="13"/>
              <w:tblW w:w="0" w:type="auto"/>
              <w:tblCellSpacing w:w="0" w:type="dxa"/>
              <w:tblInd w:w="0" w:type="dxa"/>
              <w:tblLayout w:type="autofit"/>
              <w:tblCellMar>
                <w:top w:w="0" w:type="dxa"/>
                <w:left w:w="0" w:type="dxa"/>
                <w:bottom w:w="0" w:type="dxa"/>
                <w:right w:w="0" w:type="dxa"/>
              </w:tblCellMar>
            </w:tblPr>
            <w:tblGrid>
              <w:gridCol w:w="1500"/>
            </w:tblGrid>
            <w:tr>
              <w:tblPrEx>
                <w:tblCellMar>
                  <w:top w:w="0" w:type="dxa"/>
                  <w:left w:w="0" w:type="dxa"/>
                  <w:bottom w:w="0" w:type="dxa"/>
                  <w:right w:w="0" w:type="dxa"/>
                </w:tblCellMar>
              </w:tblPrEx>
              <w:trPr>
                <w:trHeight w:val="270" w:hRule="atLeast"/>
                <w:tblCellSpacing w:w="0" w:type="dxa"/>
              </w:trPr>
              <w:tc>
                <w:tcPr>
                  <w:tcW w:w="150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r>
          </w:tbl>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480" w:hRule="atLeast"/>
        </w:trPr>
        <w:tc>
          <w:tcPr>
            <w:tcW w:w="171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171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171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171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1716"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r>
    </w:tbl>
    <w:p>
      <w:pPr>
        <w:spacing w:line="600" w:lineRule="exact"/>
        <w:ind w:firstLine="640" w:firstLineChars="200"/>
        <w:rPr>
          <w:rFonts w:ascii="仿宋" w:hAnsi="仿宋" w:eastAsia="仿宋" w:cs="楷体_GB2312"/>
          <w:bCs/>
          <w:sz w:val="32"/>
          <w:szCs w:val="32"/>
        </w:rPr>
      </w:pPr>
    </w:p>
    <w:p>
      <w:pPr>
        <w:spacing w:line="600" w:lineRule="exact"/>
        <w:ind w:firstLine="640" w:firstLineChars="200"/>
        <w:rPr>
          <w:rFonts w:ascii="仿宋" w:hAnsi="仿宋" w:eastAsia="仿宋" w:cs="楷体_GB2312"/>
          <w:bCs/>
          <w:sz w:val="32"/>
          <w:szCs w:val="32"/>
        </w:rPr>
      </w:pPr>
      <w:r>
        <w:rPr>
          <w:rFonts w:hint="eastAsia" w:ascii="仿宋" w:hAnsi="仿宋" w:eastAsia="仿宋" w:cs="楷体_GB2312"/>
          <w:bCs/>
          <w:sz w:val="32"/>
          <w:szCs w:val="32"/>
        </w:rPr>
        <w:t>1、因公出国（境）经费支出0万元，完成预算数的0%。全年安排因公出国（境）团组0次，出国（境）0人。因公出国（境）支出决算比2017年增加/减少0万元，增长/下降）%。主要原因：2018年我单位无因公出国境人员。</w:t>
      </w:r>
    </w:p>
    <w:p>
      <w:pPr>
        <w:spacing w:line="600" w:lineRule="exact"/>
        <w:ind w:firstLine="640" w:firstLineChars="200"/>
        <w:rPr>
          <w:rFonts w:ascii="仿宋" w:hAnsi="仿宋" w:eastAsia="仿宋" w:cs="楷体_GB2312"/>
          <w:bCs/>
          <w:sz w:val="32"/>
          <w:szCs w:val="32"/>
        </w:rPr>
      </w:pPr>
      <w:r>
        <w:rPr>
          <w:rFonts w:hint="eastAsia" w:ascii="仿宋" w:hAnsi="仿宋" w:eastAsia="仿宋" w:cs="楷体_GB2312"/>
          <w:bCs/>
          <w:sz w:val="32"/>
          <w:szCs w:val="32"/>
        </w:rPr>
        <w:t>2</w:t>
      </w:r>
      <w:r>
        <w:rPr>
          <w:rFonts w:ascii="仿宋" w:hAnsi="仿宋" w:eastAsia="仿宋" w:cs="楷体_GB2312"/>
          <w:bCs/>
          <w:sz w:val="32"/>
          <w:szCs w:val="32"/>
        </w:rPr>
        <w:t>.</w:t>
      </w:r>
      <w:r>
        <w:rPr>
          <w:rFonts w:hint="eastAsia" w:ascii="仿宋" w:hAnsi="仿宋" w:eastAsia="仿宋" w:cs="楷体_GB2312"/>
          <w:bCs/>
          <w:sz w:val="32"/>
          <w:szCs w:val="32"/>
        </w:rPr>
        <w:t>公务用车购置及运行维护费支出0万元。</w:t>
      </w:r>
    </w:p>
    <w:p>
      <w:pPr>
        <w:spacing w:line="600" w:lineRule="exact"/>
        <w:ind w:firstLine="640" w:firstLineChars="200"/>
        <w:rPr>
          <w:rFonts w:ascii="仿宋" w:hAnsi="仿宋" w:eastAsia="仿宋" w:cs="楷体_GB2312"/>
          <w:bCs/>
          <w:sz w:val="32"/>
          <w:szCs w:val="32"/>
        </w:rPr>
      </w:pPr>
      <w:r>
        <w:rPr>
          <w:rFonts w:hint="eastAsia" w:ascii="仿宋" w:hAnsi="仿宋" w:eastAsia="仿宋" w:cs="楷体_GB2312"/>
          <w:bCs/>
          <w:sz w:val="32"/>
          <w:szCs w:val="32"/>
        </w:rPr>
        <w:t>其中：公务用车购置支出0万元。全年按规定更新购置公务用车0辆，其中：轿车0辆、金额0万元，越野车0辆、金额0万元，载客汽车0辆、金额0万元。截至</w:t>
      </w:r>
      <w:r>
        <w:rPr>
          <w:rFonts w:ascii="仿宋" w:hAnsi="仿宋" w:eastAsia="仿宋" w:cs="楷体_GB2312"/>
          <w:bCs/>
          <w:sz w:val="32"/>
          <w:szCs w:val="32"/>
        </w:rPr>
        <w:t>201</w:t>
      </w:r>
      <w:r>
        <w:rPr>
          <w:rFonts w:hint="eastAsia" w:ascii="仿宋" w:hAnsi="仿宋" w:eastAsia="仿宋" w:cs="楷体_GB2312"/>
          <w:bCs/>
          <w:sz w:val="32"/>
          <w:szCs w:val="32"/>
        </w:rPr>
        <w:t>8年</w:t>
      </w:r>
      <w:r>
        <w:rPr>
          <w:rFonts w:ascii="仿宋" w:hAnsi="仿宋" w:eastAsia="仿宋" w:cs="楷体_GB2312"/>
          <w:bCs/>
          <w:sz w:val="32"/>
          <w:szCs w:val="32"/>
        </w:rPr>
        <w:t>12</w:t>
      </w:r>
      <w:r>
        <w:rPr>
          <w:rFonts w:hint="eastAsia" w:ascii="仿宋" w:hAnsi="仿宋" w:eastAsia="仿宋" w:cs="楷体_GB2312"/>
          <w:bCs/>
          <w:sz w:val="32"/>
          <w:szCs w:val="32"/>
        </w:rPr>
        <w:t>月底，单位共有公务用车0辆，其中：越野车0辆。</w:t>
      </w:r>
    </w:p>
    <w:p>
      <w:pPr>
        <w:spacing w:line="600" w:lineRule="exact"/>
        <w:ind w:firstLine="640" w:firstLineChars="200"/>
        <w:rPr>
          <w:rFonts w:ascii="仿宋" w:hAnsi="仿宋" w:eastAsia="仿宋" w:cs="楷体_GB2312"/>
          <w:bCs/>
          <w:sz w:val="32"/>
          <w:szCs w:val="32"/>
        </w:rPr>
      </w:pPr>
      <w:r>
        <w:rPr>
          <w:rFonts w:hint="eastAsia" w:ascii="仿宋" w:hAnsi="仿宋" w:eastAsia="仿宋" w:cs="楷体_GB2312"/>
          <w:bCs/>
          <w:sz w:val="32"/>
          <w:szCs w:val="32"/>
        </w:rPr>
        <w:t>公务用车运行维护费支出0万元。主要原因：2018年我单位无公务用车运行维护费。</w:t>
      </w:r>
    </w:p>
    <w:p>
      <w:pPr>
        <w:spacing w:line="600" w:lineRule="exact"/>
        <w:ind w:firstLine="640" w:firstLineChars="200"/>
        <w:rPr>
          <w:rFonts w:ascii="仿宋" w:hAnsi="仿宋" w:eastAsia="仿宋" w:cs="楷体_GB2312"/>
          <w:bCs/>
          <w:sz w:val="32"/>
          <w:szCs w:val="32"/>
        </w:rPr>
      </w:pPr>
      <w:r>
        <w:rPr>
          <w:rFonts w:ascii="仿宋" w:hAnsi="仿宋" w:eastAsia="仿宋" w:cs="楷体_GB2312"/>
          <w:bCs/>
          <w:sz w:val="32"/>
          <w:szCs w:val="32"/>
        </w:rPr>
        <w:t>3.</w:t>
      </w:r>
      <w:r>
        <w:rPr>
          <w:rFonts w:hint="eastAsia" w:ascii="仿宋" w:hAnsi="仿宋" w:eastAsia="仿宋" w:cs="楷体_GB2312"/>
          <w:bCs/>
          <w:sz w:val="32"/>
          <w:szCs w:val="32"/>
        </w:rPr>
        <w:t>公务接待费支出0.21万元，完成预算100</w:t>
      </w:r>
      <w:r>
        <w:rPr>
          <w:rFonts w:ascii="仿宋" w:hAnsi="仿宋" w:eastAsia="仿宋" w:cs="楷体_GB2312"/>
          <w:bCs/>
          <w:sz w:val="32"/>
          <w:szCs w:val="32"/>
        </w:rPr>
        <w:t>%</w:t>
      </w:r>
      <w:r>
        <w:rPr>
          <w:rFonts w:hint="eastAsia" w:ascii="仿宋" w:hAnsi="仿宋" w:eastAsia="仿宋" w:cs="楷体_GB2312"/>
          <w:bCs/>
          <w:sz w:val="32"/>
          <w:szCs w:val="32"/>
        </w:rPr>
        <w:t>。由于2018年部门决算为新增单位，故无法和2017年数据对比。</w:t>
      </w:r>
    </w:p>
    <w:p>
      <w:pPr>
        <w:spacing w:line="600" w:lineRule="exact"/>
        <w:ind w:firstLine="640" w:firstLineChars="200"/>
        <w:rPr>
          <w:rFonts w:ascii="仿宋" w:hAnsi="仿宋" w:eastAsia="仿宋" w:cs="楷体_GB2312"/>
          <w:bCs/>
          <w:sz w:val="32"/>
          <w:szCs w:val="32"/>
        </w:rPr>
      </w:pPr>
      <w:r>
        <w:rPr>
          <w:rFonts w:hint="eastAsia" w:ascii="仿宋" w:hAnsi="仿宋" w:eastAsia="仿宋" w:cs="楷体_GB2312"/>
          <w:bCs/>
          <w:sz w:val="32"/>
          <w:szCs w:val="32"/>
        </w:rPr>
        <w:t>主要用于执行公务、开展业务活动开支的交通费、住宿费、用餐费等。国内公务接待2批次，15人次（不包括陪同人员），共计支出0.1万元，具体内容包括：住宿费0.05万元、餐饮0.16万元。</w:t>
      </w:r>
      <w:bookmarkStart w:id="44" w:name="_Toc15377218"/>
      <w:bookmarkStart w:id="45" w:name="_Toc15396610"/>
    </w:p>
    <w:p>
      <w:pPr>
        <w:spacing w:line="60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八、政府性基金预算支出决算情况说明</w:t>
      </w:r>
      <w:bookmarkEnd w:id="44"/>
      <w:bookmarkEnd w:id="45"/>
    </w:p>
    <w:p>
      <w:pPr>
        <w:spacing w:line="580" w:lineRule="exact"/>
        <w:ind w:firstLine="640" w:firstLineChars="200"/>
        <w:rPr>
          <w:rFonts w:ascii="仿宋" w:hAnsi="仿宋" w:eastAsia="仿宋" w:cs="楷体_GB2312"/>
          <w:b/>
          <w:bCs/>
          <w:sz w:val="32"/>
          <w:szCs w:val="32"/>
        </w:rPr>
      </w:pPr>
      <w:r>
        <w:rPr>
          <w:rFonts w:ascii="仿宋" w:hAnsi="仿宋" w:eastAsia="仿宋" w:cs="楷体_GB2312"/>
          <w:bCs/>
          <w:sz w:val="32"/>
          <w:szCs w:val="32"/>
        </w:rPr>
        <w:t>201</w:t>
      </w:r>
      <w:r>
        <w:rPr>
          <w:rFonts w:hint="eastAsia" w:ascii="仿宋" w:hAnsi="仿宋" w:eastAsia="仿宋" w:cs="楷体_GB2312"/>
          <w:bCs/>
          <w:sz w:val="32"/>
          <w:szCs w:val="32"/>
        </w:rPr>
        <w:t>8年政府性基金预算拨款支出0万元</w:t>
      </w:r>
      <w:r>
        <w:rPr>
          <w:rFonts w:hint="eastAsia" w:ascii="仿宋" w:hAnsi="仿宋" w:eastAsia="仿宋" w:cs="楷体_GB2312"/>
          <w:b/>
          <w:bCs/>
          <w:sz w:val="32"/>
          <w:szCs w:val="32"/>
        </w:rPr>
        <w:t>。</w:t>
      </w:r>
    </w:p>
    <w:p>
      <w:pPr>
        <w:spacing w:line="600" w:lineRule="exact"/>
        <w:ind w:firstLine="643" w:firstLineChars="200"/>
        <w:rPr>
          <w:rFonts w:ascii="仿宋" w:hAnsi="仿宋" w:eastAsia="仿宋" w:cs="楷体_GB2312"/>
          <w:b/>
          <w:bCs/>
          <w:sz w:val="32"/>
          <w:szCs w:val="32"/>
        </w:rPr>
      </w:pPr>
      <w:bookmarkStart w:id="46" w:name="_Toc15377219"/>
      <w:bookmarkStart w:id="47" w:name="_Toc15396611"/>
      <w:r>
        <w:rPr>
          <w:rFonts w:hint="eastAsia" w:ascii="仿宋" w:hAnsi="仿宋" w:eastAsia="仿宋" w:cs="楷体_GB2312"/>
          <w:b/>
          <w:bCs/>
          <w:sz w:val="32"/>
          <w:szCs w:val="32"/>
        </w:rPr>
        <w:t>九、国有资本经营预算支出决算情况说明</w:t>
      </w:r>
      <w:bookmarkEnd w:id="46"/>
      <w:bookmarkEnd w:id="47"/>
    </w:p>
    <w:p>
      <w:pPr>
        <w:spacing w:line="600" w:lineRule="exact"/>
        <w:ind w:firstLine="640" w:firstLineChars="200"/>
        <w:rPr>
          <w:rFonts w:ascii="仿宋" w:hAnsi="仿宋" w:eastAsia="仿宋" w:cs="楷体_GB2312"/>
          <w:bCs/>
          <w:sz w:val="32"/>
          <w:szCs w:val="32"/>
        </w:rPr>
      </w:pPr>
      <w:r>
        <w:rPr>
          <w:rFonts w:ascii="仿宋" w:hAnsi="仿宋" w:eastAsia="仿宋" w:cs="楷体_GB2312"/>
          <w:bCs/>
          <w:sz w:val="32"/>
          <w:szCs w:val="32"/>
        </w:rPr>
        <w:t>201</w:t>
      </w:r>
      <w:r>
        <w:rPr>
          <w:rFonts w:hint="eastAsia" w:ascii="仿宋" w:hAnsi="仿宋" w:eastAsia="仿宋" w:cs="楷体_GB2312"/>
          <w:bCs/>
          <w:sz w:val="32"/>
          <w:szCs w:val="32"/>
        </w:rPr>
        <w:t>8年国有资本经营预算拨款支出0万元。</w:t>
      </w:r>
    </w:p>
    <w:p>
      <w:pPr>
        <w:spacing w:line="600" w:lineRule="exact"/>
        <w:ind w:firstLine="643" w:firstLineChars="200"/>
        <w:rPr>
          <w:rFonts w:ascii="宋体" w:hAnsi="宋体" w:cs="宋体"/>
          <w:b/>
          <w:kern w:val="0"/>
          <w:sz w:val="32"/>
          <w:szCs w:val="32"/>
        </w:rPr>
      </w:pPr>
      <w:r>
        <w:rPr>
          <w:rFonts w:hint="eastAsia" w:ascii="宋体" w:hAnsi="宋体" w:cs="宋体"/>
          <w:b/>
          <w:kern w:val="0"/>
          <w:sz w:val="32"/>
          <w:szCs w:val="32"/>
        </w:rPr>
        <w:t>十、预算绩效情况说明</w:t>
      </w:r>
    </w:p>
    <w:p>
      <w:p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（一）预算绩效管理工作开展情况。</w:t>
      </w:r>
    </w:p>
    <w:p>
      <w:pPr>
        <w:spacing w:line="580" w:lineRule="exact"/>
        <w:ind w:firstLine="640" w:firstLineChars="200"/>
        <w:rPr>
          <w:rFonts w:ascii="仿宋" w:hAnsi="仿宋" w:eastAsia="仿宋" w:cs="楷体_GB2312"/>
          <w:bCs/>
          <w:sz w:val="32"/>
          <w:szCs w:val="32"/>
        </w:rPr>
      </w:pPr>
      <w:r>
        <w:rPr>
          <w:rFonts w:hint="eastAsia" w:ascii="仿宋" w:hAnsi="仿宋" w:eastAsia="仿宋" w:cs="楷体_GB2312"/>
          <w:bCs/>
          <w:sz w:val="32"/>
          <w:szCs w:val="32"/>
        </w:rPr>
        <w:t>根据预算绩效管理要求，本部门（单位）在年初预算编制阶段，组织对0项目开展了预算事前绩效评估，对0个项目编制了绩效目标，预算执行过程中，选取0个项目开展绩效监控，年终执行完毕后，对0个项目开展了绩效目标完成情况梳理填报。</w:t>
      </w:r>
    </w:p>
    <w:p>
      <w:pPr>
        <w:spacing w:line="580" w:lineRule="exact"/>
        <w:ind w:firstLine="640" w:firstLineChars="200"/>
        <w:rPr>
          <w:rFonts w:ascii="仿宋" w:hAnsi="仿宋" w:eastAsia="仿宋" w:cs="楷体_GB2312"/>
          <w:bCs/>
          <w:sz w:val="32"/>
          <w:szCs w:val="32"/>
        </w:rPr>
      </w:pPr>
      <w:r>
        <w:rPr>
          <w:rFonts w:hint="eastAsia" w:ascii="仿宋" w:hAnsi="仿宋" w:eastAsia="仿宋" w:cs="楷体_GB2312"/>
          <w:bCs/>
          <w:sz w:val="32"/>
          <w:szCs w:val="32"/>
        </w:rPr>
        <w:t>本部门按要求对2018年部门整体支出开展绩效自评，从评价情况来看，我局2018年绩效考评良好，从预算到执行、收入和支出、资产管理及预决算公开，都严格按照相关制度进行，全年收支平衡，略有结余，有效的保证了机构正常运转、圆满完成了上级下达的目标任务，取得了较大的经济效益和社会效益。</w:t>
      </w:r>
    </w:p>
    <w:p>
      <w:pPr>
        <w:spacing w:line="580" w:lineRule="exact"/>
        <w:ind w:firstLine="482" w:firstLineChars="150"/>
        <w:rPr>
          <w:rFonts w:ascii="仿宋_GB2312" w:hAnsi="仿宋_GB2312" w:eastAsia="仿宋_GB2312" w:cs="仿宋_GB2312"/>
          <w:sz w:val="32"/>
          <w:szCs w:val="32"/>
        </w:rPr>
      </w:pPr>
      <w:r>
        <w:rPr>
          <w:rFonts w:hint="eastAsia" w:ascii="仿宋" w:hAnsi="仿宋" w:eastAsia="仿宋" w:cs="楷体_GB2312"/>
          <w:b/>
          <w:bCs/>
          <w:sz w:val="32"/>
          <w:szCs w:val="32"/>
        </w:rPr>
        <w:t>（</w:t>
      </w:r>
      <w:r>
        <w:rPr>
          <w:rFonts w:hint="eastAsia" w:ascii="仿宋" w:hAnsi="仿宋" w:eastAsia="仿宋" w:cs="楷体_GB2312"/>
          <w:bCs/>
          <w:sz w:val="32"/>
          <w:szCs w:val="32"/>
        </w:rPr>
        <w:t>二）</w:t>
      </w:r>
      <w:r>
        <w:rPr>
          <w:rFonts w:hint="eastAsia" w:ascii="仿宋" w:hAnsi="仿宋" w:eastAsia="仿宋" w:cs="楷体_GB2312"/>
          <w:b/>
          <w:bCs/>
          <w:sz w:val="32"/>
          <w:szCs w:val="32"/>
        </w:rPr>
        <w:t>项目绩效目标完成情况</w:t>
      </w:r>
      <w:r>
        <w:rPr>
          <w:rFonts w:hint="eastAsia" w:ascii="宋体" w:hAnsi="宋体" w:cs="宋体"/>
          <w:kern w:val="0"/>
          <w:sz w:val="32"/>
          <w:szCs w:val="32"/>
        </w:rPr>
        <w:t>。</w:t>
      </w:r>
      <w:r>
        <w:rPr>
          <w:rFonts w:hint="eastAsia" w:ascii="宋体" w:hAnsi="宋体" w:cs="宋体"/>
          <w:kern w:val="0"/>
          <w:sz w:val="32"/>
          <w:szCs w:val="32"/>
        </w:rPr>
        <w:br w:type="textWrapping"/>
      </w:r>
      <w:r>
        <w:rPr>
          <w:rFonts w:hint="eastAsia" w:ascii="仿宋_GB2312" w:hAnsi="仿宋_GB2312" w:eastAsia="仿宋_GB2312" w:cs="仿宋_GB2312"/>
          <w:sz w:val="32"/>
          <w:szCs w:val="32"/>
        </w:rPr>
        <w:t xml:space="preserve">    2018年此决算报表无项目支出。</w:t>
      </w:r>
    </w:p>
    <w:p>
      <w:pPr>
        <w:spacing w:line="580" w:lineRule="exact"/>
        <w:ind w:firstLine="482" w:firstLineChars="150"/>
        <w:rPr>
          <w:rFonts w:ascii="仿宋" w:hAnsi="仿宋" w:eastAsia="仿宋" w:cs="仿宋_GB2312"/>
          <w:sz w:val="32"/>
          <w:szCs w:val="32"/>
        </w:rPr>
      </w:pPr>
      <w:r>
        <w:rPr>
          <w:rFonts w:hint="eastAsia" w:ascii="仿宋" w:hAnsi="仿宋" w:eastAsia="仿宋" w:cs="楷体_GB2312"/>
          <w:b/>
          <w:bCs/>
          <w:sz w:val="32"/>
          <w:szCs w:val="32"/>
        </w:rPr>
        <w:t>（三）部门开展绩效评价结果。</w:t>
      </w:r>
    </w:p>
    <w:p>
      <w:pPr>
        <w:spacing w:line="580" w:lineRule="exact"/>
        <w:ind w:firstLine="640" w:firstLineChars="200"/>
        <w:rPr>
          <w:rFonts w:ascii="仿宋" w:hAnsi="仿宋" w:eastAsia="仿宋" w:cs="楷体_GB2312"/>
          <w:bCs/>
          <w:sz w:val="32"/>
          <w:szCs w:val="32"/>
        </w:rPr>
      </w:pPr>
      <w:r>
        <w:rPr>
          <w:rFonts w:hint="eastAsia" w:ascii="仿宋" w:hAnsi="仿宋" w:eastAsia="仿宋" w:cs="楷体_GB2312"/>
          <w:bCs/>
          <w:sz w:val="32"/>
          <w:szCs w:val="32"/>
        </w:rPr>
        <w:t>本部门按要求对2018年部门整体支出绩效评价情况开展自评，《壤塘县社会救助福利中心2018年部门整体支出绩效评价报告》见附件1。</w:t>
      </w:r>
    </w:p>
    <w:p>
      <w:pPr>
        <w:spacing w:line="600" w:lineRule="exact"/>
        <w:ind w:firstLine="800" w:firstLineChars="250"/>
        <w:outlineLvl w:val="1"/>
        <w:rPr>
          <w:rStyle w:val="26"/>
          <w:rFonts w:ascii="黑体" w:hAnsi="黑体" w:eastAsia="黑体"/>
        </w:rPr>
      </w:pPr>
      <w:bookmarkStart w:id="48" w:name="_Toc15377221"/>
      <w:bookmarkStart w:id="49" w:name="_Toc15396612"/>
      <w:r>
        <w:rPr>
          <w:rFonts w:hint="eastAsia" w:ascii="黑体" w:hAnsi="黑体" w:eastAsia="黑体"/>
          <w:color w:val="000000"/>
          <w:sz w:val="32"/>
          <w:szCs w:val="32"/>
        </w:rPr>
        <w:t>十</w:t>
      </w:r>
      <w:r>
        <w:rPr>
          <w:rStyle w:val="26"/>
          <w:rFonts w:hint="eastAsia" w:ascii="黑体" w:hAnsi="黑体" w:eastAsia="黑体"/>
        </w:rPr>
        <w:t>一、</w:t>
      </w:r>
      <w:r>
        <w:rPr>
          <w:rStyle w:val="26"/>
          <w:rFonts w:hint="eastAsia" w:ascii="黑体" w:hAnsi="黑体" w:eastAsia="黑体"/>
          <w:b w:val="0"/>
        </w:rPr>
        <w:t>其他重要事项的情况说明</w:t>
      </w:r>
      <w:bookmarkEnd w:id="48"/>
      <w:bookmarkEnd w:id="49"/>
    </w:p>
    <w:p>
      <w:pPr>
        <w:spacing w:line="600" w:lineRule="exact"/>
        <w:ind w:firstLine="643" w:firstLineChars="200"/>
        <w:outlineLvl w:val="2"/>
        <w:rPr>
          <w:rFonts w:ascii="仿宋" w:hAnsi="仿宋" w:eastAsia="仿宋"/>
          <w:color w:val="000000"/>
          <w:sz w:val="32"/>
          <w:szCs w:val="32"/>
        </w:rPr>
      </w:pPr>
      <w:bookmarkStart w:id="50" w:name="_Toc15377222"/>
      <w:r>
        <w:rPr>
          <w:rFonts w:hint="eastAsia" w:ascii="仿宋" w:hAnsi="仿宋" w:eastAsia="仿宋"/>
          <w:b/>
          <w:color w:val="000000"/>
          <w:sz w:val="32"/>
          <w:szCs w:val="32"/>
        </w:rPr>
        <w:t>（一）机关运行经费支出情况</w:t>
      </w:r>
      <w:bookmarkEnd w:id="50"/>
    </w:p>
    <w:p>
      <w:pPr>
        <w:spacing w:line="580" w:lineRule="exact"/>
        <w:ind w:firstLine="640" w:firstLineChars="200"/>
        <w:rPr>
          <w:rFonts w:ascii="仿宋" w:hAnsi="仿宋" w:eastAsia="仿宋" w:cs="楷体_GB2312"/>
          <w:bCs/>
          <w:sz w:val="32"/>
          <w:szCs w:val="32"/>
        </w:rPr>
      </w:pPr>
      <w:r>
        <w:rPr>
          <w:rFonts w:ascii="仿宋" w:hAnsi="仿宋" w:eastAsia="仿宋" w:cs="楷体_GB2312"/>
          <w:bCs/>
          <w:sz w:val="32"/>
          <w:szCs w:val="32"/>
        </w:rPr>
        <w:t>201</w:t>
      </w:r>
      <w:r>
        <w:rPr>
          <w:rFonts w:hint="eastAsia" w:ascii="仿宋" w:hAnsi="仿宋" w:eastAsia="仿宋" w:cs="楷体_GB2312"/>
          <w:bCs/>
          <w:sz w:val="32"/>
          <w:szCs w:val="32"/>
        </w:rPr>
        <w:t>8年，壤塘县民政机关运行经费支出15.91万元，比</w:t>
      </w:r>
      <w:r>
        <w:rPr>
          <w:rFonts w:ascii="仿宋" w:hAnsi="仿宋" w:eastAsia="仿宋" w:cs="楷体_GB2312"/>
          <w:bCs/>
          <w:sz w:val="32"/>
          <w:szCs w:val="32"/>
        </w:rPr>
        <w:t>201</w:t>
      </w:r>
      <w:r>
        <w:rPr>
          <w:rFonts w:hint="eastAsia" w:ascii="仿宋" w:hAnsi="仿宋" w:eastAsia="仿宋" w:cs="楷体_GB2312"/>
          <w:bCs/>
          <w:sz w:val="32"/>
          <w:szCs w:val="32"/>
        </w:rPr>
        <w:t>7年减少47.95万元，下降24.91</w:t>
      </w:r>
      <w:r>
        <w:rPr>
          <w:rFonts w:ascii="仿宋" w:hAnsi="仿宋" w:eastAsia="仿宋" w:cs="楷体_GB2312"/>
          <w:bCs/>
          <w:sz w:val="32"/>
          <w:szCs w:val="32"/>
        </w:rPr>
        <w:t>%</w:t>
      </w:r>
      <w:r>
        <w:rPr>
          <w:rFonts w:hint="eastAsia" w:ascii="仿宋" w:hAnsi="仿宋" w:eastAsia="仿宋" w:cs="楷体_GB2312"/>
          <w:bCs/>
          <w:sz w:val="32"/>
          <w:szCs w:val="32"/>
        </w:rPr>
        <w:t>，主要原因是2017年决算数包含了县社会福利中心和各敬老院决算数据，2018年决算数据只包含了行政机关经费。</w:t>
      </w:r>
    </w:p>
    <w:p>
      <w:pPr>
        <w:spacing w:line="580" w:lineRule="exact"/>
        <w:ind w:firstLine="643" w:firstLineChars="200"/>
        <w:rPr>
          <w:rFonts w:ascii="仿宋" w:hAnsi="仿宋" w:eastAsia="仿宋" w:cs="楷体_GB2312"/>
          <w:b/>
          <w:bCs/>
          <w:sz w:val="32"/>
          <w:szCs w:val="32"/>
        </w:rPr>
      </w:pPr>
      <w:bookmarkStart w:id="51" w:name="_Toc15377223"/>
      <w:r>
        <w:rPr>
          <w:rFonts w:hint="eastAsia" w:ascii="仿宋" w:hAnsi="仿宋" w:eastAsia="仿宋" w:cs="楷体_GB2312"/>
          <w:b/>
          <w:bCs/>
          <w:sz w:val="32"/>
          <w:szCs w:val="32"/>
        </w:rPr>
        <w:t>（二）政府采购支出情况</w:t>
      </w:r>
      <w:bookmarkEnd w:id="51"/>
    </w:p>
    <w:p>
      <w:pPr>
        <w:spacing w:line="580" w:lineRule="exact"/>
        <w:ind w:firstLine="640" w:firstLineChars="200"/>
        <w:rPr>
          <w:rFonts w:ascii="仿宋" w:hAnsi="仿宋" w:eastAsia="仿宋" w:cs="楷体_GB2312"/>
          <w:bCs/>
          <w:sz w:val="32"/>
          <w:szCs w:val="32"/>
        </w:rPr>
      </w:pPr>
      <w:r>
        <w:rPr>
          <w:rFonts w:ascii="仿宋" w:hAnsi="仿宋" w:eastAsia="仿宋" w:cs="楷体_GB2312"/>
          <w:bCs/>
          <w:sz w:val="32"/>
          <w:szCs w:val="32"/>
        </w:rPr>
        <w:t>201</w:t>
      </w:r>
      <w:r>
        <w:rPr>
          <w:rFonts w:hint="eastAsia" w:ascii="仿宋" w:hAnsi="仿宋" w:eastAsia="仿宋" w:cs="楷体_GB2312"/>
          <w:bCs/>
          <w:sz w:val="32"/>
          <w:szCs w:val="32"/>
        </w:rPr>
        <w:t>8年，民政局政府采购支出总额75.98万元，其中：政府采购货物支出75.98万元。主要用于农村日间照料和城镇日间照料、敬老院等设备购置。</w:t>
      </w:r>
    </w:p>
    <w:p>
      <w:pPr>
        <w:spacing w:line="580" w:lineRule="exact"/>
        <w:ind w:firstLine="643" w:firstLineChars="200"/>
        <w:rPr>
          <w:rFonts w:ascii="仿宋" w:hAnsi="仿宋" w:eastAsia="仿宋" w:cs="楷体_GB2312"/>
          <w:b/>
          <w:bCs/>
          <w:sz w:val="32"/>
          <w:szCs w:val="32"/>
        </w:rPr>
      </w:pPr>
      <w:bookmarkStart w:id="52" w:name="_Toc15377224"/>
      <w:r>
        <w:rPr>
          <w:rFonts w:hint="eastAsia" w:ascii="仿宋" w:hAnsi="仿宋" w:eastAsia="仿宋" w:cs="楷体_GB2312"/>
          <w:b/>
          <w:bCs/>
          <w:sz w:val="32"/>
          <w:szCs w:val="32"/>
        </w:rPr>
        <w:t>（三）国有资产占有使用情况</w:t>
      </w:r>
      <w:bookmarkEnd w:id="52"/>
    </w:p>
    <w:p>
      <w:pPr>
        <w:spacing w:line="580" w:lineRule="exact"/>
        <w:ind w:firstLine="640" w:firstLineChars="200"/>
        <w:rPr>
          <w:rFonts w:ascii="仿宋" w:hAnsi="仿宋" w:eastAsia="仿宋" w:cs="楷体_GB2312"/>
          <w:bCs/>
          <w:sz w:val="32"/>
          <w:szCs w:val="32"/>
        </w:rPr>
      </w:pPr>
      <w:r>
        <w:rPr>
          <w:rFonts w:hint="eastAsia" w:ascii="仿宋" w:hAnsi="仿宋" w:eastAsia="仿宋" w:cs="楷体_GB2312"/>
          <w:bCs/>
          <w:sz w:val="32"/>
          <w:szCs w:val="32"/>
        </w:rPr>
        <w:t>截至</w:t>
      </w:r>
      <w:r>
        <w:rPr>
          <w:rFonts w:ascii="仿宋" w:hAnsi="仿宋" w:eastAsia="仿宋" w:cs="楷体_GB2312"/>
          <w:bCs/>
          <w:sz w:val="32"/>
          <w:szCs w:val="32"/>
        </w:rPr>
        <w:t>201</w:t>
      </w:r>
      <w:r>
        <w:rPr>
          <w:rFonts w:hint="eastAsia" w:ascii="仿宋" w:hAnsi="仿宋" w:eastAsia="仿宋" w:cs="楷体_GB2312"/>
          <w:bCs/>
          <w:sz w:val="32"/>
          <w:szCs w:val="32"/>
        </w:rPr>
        <w:t>8年</w:t>
      </w:r>
      <w:r>
        <w:rPr>
          <w:rFonts w:ascii="仿宋" w:hAnsi="仿宋" w:eastAsia="仿宋" w:cs="楷体_GB2312"/>
          <w:bCs/>
          <w:sz w:val="32"/>
          <w:szCs w:val="32"/>
        </w:rPr>
        <w:t>12</w:t>
      </w:r>
      <w:r>
        <w:rPr>
          <w:rFonts w:hint="eastAsia" w:ascii="仿宋" w:hAnsi="仿宋" w:eastAsia="仿宋" w:cs="楷体_GB2312"/>
          <w:bCs/>
          <w:sz w:val="32"/>
          <w:szCs w:val="32"/>
        </w:rPr>
        <w:t>月</w:t>
      </w:r>
      <w:r>
        <w:rPr>
          <w:rFonts w:ascii="仿宋" w:hAnsi="仿宋" w:eastAsia="仿宋" w:cs="楷体_GB2312"/>
          <w:bCs/>
          <w:sz w:val="32"/>
          <w:szCs w:val="32"/>
        </w:rPr>
        <w:t>31</w:t>
      </w:r>
      <w:r>
        <w:rPr>
          <w:rFonts w:hint="eastAsia" w:ascii="仿宋" w:hAnsi="仿宋" w:eastAsia="仿宋" w:cs="楷体_GB2312"/>
          <w:bCs/>
          <w:sz w:val="32"/>
          <w:szCs w:val="32"/>
        </w:rPr>
        <w:t>日，民政局共有车辆2辆，其中一般公务用车2辆；单价</w:t>
      </w:r>
      <w:r>
        <w:rPr>
          <w:rFonts w:ascii="仿宋" w:hAnsi="仿宋" w:eastAsia="仿宋" w:cs="楷体_GB2312"/>
          <w:bCs/>
          <w:sz w:val="32"/>
          <w:szCs w:val="32"/>
        </w:rPr>
        <w:t>50</w:t>
      </w:r>
      <w:r>
        <w:rPr>
          <w:rFonts w:hint="eastAsia" w:ascii="仿宋" w:hAnsi="仿宋" w:eastAsia="仿宋" w:cs="楷体_GB2312"/>
          <w:bCs/>
          <w:sz w:val="32"/>
          <w:szCs w:val="32"/>
        </w:rPr>
        <w:t>万元以上通用设备1套，单价</w:t>
      </w:r>
      <w:r>
        <w:rPr>
          <w:rFonts w:ascii="仿宋" w:hAnsi="仿宋" w:eastAsia="仿宋" w:cs="楷体_GB2312"/>
          <w:bCs/>
          <w:sz w:val="32"/>
          <w:szCs w:val="32"/>
        </w:rPr>
        <w:t>100</w:t>
      </w:r>
      <w:r>
        <w:rPr>
          <w:rFonts w:hint="eastAsia" w:ascii="仿宋" w:hAnsi="仿宋" w:eastAsia="仿宋" w:cs="楷体_GB2312"/>
          <w:bCs/>
          <w:sz w:val="32"/>
          <w:szCs w:val="32"/>
        </w:rPr>
        <w:t>万元以上专用设备0台（套）。</w:t>
      </w:r>
    </w:p>
    <w:p>
      <w:pPr>
        <w:spacing w:line="580" w:lineRule="exact"/>
        <w:ind w:firstLine="640" w:firstLineChars="200"/>
        <w:rPr>
          <w:rFonts w:ascii="仿宋" w:hAnsi="仿宋" w:eastAsia="仿宋" w:cs="楷体_GB2312"/>
          <w:bCs/>
          <w:sz w:val="32"/>
          <w:szCs w:val="32"/>
        </w:rPr>
      </w:pPr>
    </w:p>
    <w:p>
      <w:pPr>
        <w:numPr>
          <w:ilvl w:val="0"/>
          <w:numId w:val="1"/>
        </w:numPr>
        <w:spacing w:line="600" w:lineRule="exact"/>
        <w:ind w:firstLine="663" w:firstLineChars="150"/>
        <w:jc w:val="center"/>
        <w:outlineLvl w:val="0"/>
        <w:rPr>
          <w:rStyle w:val="25"/>
          <w:rFonts w:ascii="黑体" w:hAnsi="黑体" w:eastAsia="黑体"/>
          <w:b w:val="0"/>
        </w:rPr>
      </w:pPr>
      <w:bookmarkStart w:id="53" w:name="_Toc15396613"/>
      <w:bookmarkStart w:id="54" w:name="_Toc15377225"/>
      <w:r>
        <w:rPr>
          <w:rFonts w:hint="eastAsia" w:ascii="黑体" w:hAnsi="黑体" w:eastAsia="黑体"/>
          <w:b/>
          <w:color w:val="000000"/>
          <w:sz w:val="44"/>
          <w:szCs w:val="44"/>
        </w:rPr>
        <w:t>名</w:t>
      </w:r>
      <w:r>
        <w:rPr>
          <w:rStyle w:val="25"/>
          <w:rFonts w:hint="eastAsia" w:ascii="黑体" w:hAnsi="黑体" w:eastAsia="黑体"/>
          <w:b w:val="0"/>
        </w:rPr>
        <w:t>词解释</w:t>
      </w:r>
      <w:bookmarkEnd w:id="53"/>
      <w:bookmarkEnd w:id="54"/>
    </w:p>
    <w:p>
      <w:pPr>
        <w:spacing w:line="600" w:lineRule="exact"/>
        <w:jc w:val="left"/>
        <w:rPr>
          <w:rFonts w:ascii="宋体"/>
          <w:b/>
          <w:color w:val="000000"/>
          <w:sz w:val="44"/>
          <w:szCs w:val="44"/>
        </w:rPr>
      </w:pPr>
    </w:p>
    <w:p>
      <w:pPr>
        <w:spacing w:line="580" w:lineRule="exact"/>
        <w:ind w:firstLine="640" w:firstLineChars="200"/>
        <w:rPr>
          <w:rFonts w:ascii="仿宋" w:hAnsi="仿宋" w:eastAsia="仿宋" w:cs="楷体_GB2312"/>
          <w:bCs/>
          <w:sz w:val="32"/>
          <w:szCs w:val="32"/>
        </w:rPr>
      </w:pPr>
      <w:r>
        <w:rPr>
          <w:rFonts w:ascii="仿宋" w:hAnsi="仿宋" w:eastAsia="仿宋" w:cs="楷体_GB2312"/>
          <w:bCs/>
          <w:sz w:val="32"/>
          <w:szCs w:val="32"/>
        </w:rPr>
        <w:t>1.</w:t>
      </w:r>
      <w:r>
        <w:rPr>
          <w:rFonts w:hint="eastAsia" w:ascii="仿宋" w:hAnsi="仿宋" w:eastAsia="仿宋" w:cs="楷体_GB2312"/>
          <w:bCs/>
          <w:sz w:val="32"/>
          <w:szCs w:val="32"/>
        </w:rPr>
        <w:t>财政拨款收入：指单位从同级财政部门取得的财政预算资金。</w:t>
      </w:r>
    </w:p>
    <w:p>
      <w:pPr>
        <w:spacing w:line="580" w:lineRule="exact"/>
        <w:ind w:firstLine="640" w:firstLineChars="200"/>
        <w:rPr>
          <w:rFonts w:ascii="仿宋" w:hAnsi="仿宋" w:eastAsia="仿宋" w:cs="楷体_GB2312"/>
          <w:bCs/>
          <w:sz w:val="32"/>
          <w:szCs w:val="32"/>
        </w:rPr>
      </w:pPr>
      <w:r>
        <w:rPr>
          <w:rFonts w:ascii="仿宋" w:hAnsi="仿宋" w:eastAsia="仿宋" w:cs="楷体_GB2312"/>
          <w:bCs/>
          <w:sz w:val="32"/>
          <w:szCs w:val="32"/>
        </w:rPr>
        <w:t>2.</w:t>
      </w:r>
      <w:r>
        <w:rPr>
          <w:rFonts w:hint="eastAsia" w:ascii="仿宋" w:hAnsi="仿宋" w:eastAsia="仿宋" w:cs="楷体_GB2312"/>
          <w:bCs/>
          <w:sz w:val="32"/>
          <w:szCs w:val="32"/>
        </w:rPr>
        <w:t>事业收入：指事业单位开展专业业务活动及辅助活动取得的收入。如…（二级预算单位事业收入情况）等。</w:t>
      </w:r>
    </w:p>
    <w:p>
      <w:pPr>
        <w:spacing w:line="580" w:lineRule="exact"/>
        <w:ind w:firstLine="640" w:firstLineChars="200"/>
        <w:rPr>
          <w:rFonts w:ascii="仿宋" w:hAnsi="仿宋" w:eastAsia="仿宋" w:cs="楷体_GB2312"/>
          <w:bCs/>
          <w:sz w:val="32"/>
          <w:szCs w:val="32"/>
        </w:rPr>
      </w:pPr>
      <w:r>
        <w:rPr>
          <w:rFonts w:ascii="仿宋" w:hAnsi="仿宋" w:eastAsia="仿宋" w:cs="楷体_GB2312"/>
          <w:bCs/>
          <w:sz w:val="32"/>
          <w:szCs w:val="32"/>
        </w:rPr>
        <w:t>3.</w:t>
      </w:r>
      <w:r>
        <w:rPr>
          <w:rFonts w:hint="eastAsia" w:ascii="仿宋" w:hAnsi="仿宋" w:eastAsia="仿宋" w:cs="楷体_GB2312"/>
          <w:bCs/>
          <w:sz w:val="32"/>
          <w:szCs w:val="32"/>
        </w:rPr>
        <w:t>经营收入：指事业单位在专业业务活动及其辅助活动之外开展非独立核算经营活动取得的收入。如…（二级预算单位经营收入情况）等。</w:t>
      </w:r>
    </w:p>
    <w:p>
      <w:pPr>
        <w:spacing w:line="580" w:lineRule="exact"/>
        <w:ind w:firstLine="640" w:firstLineChars="200"/>
        <w:rPr>
          <w:rFonts w:ascii="仿宋" w:hAnsi="仿宋" w:eastAsia="仿宋" w:cs="楷体_GB2312"/>
          <w:bCs/>
          <w:sz w:val="32"/>
          <w:szCs w:val="32"/>
        </w:rPr>
      </w:pPr>
      <w:r>
        <w:rPr>
          <w:rFonts w:ascii="仿宋" w:hAnsi="仿宋" w:eastAsia="仿宋" w:cs="楷体_GB2312"/>
          <w:bCs/>
          <w:sz w:val="32"/>
          <w:szCs w:val="32"/>
        </w:rPr>
        <w:t>4.</w:t>
      </w:r>
      <w:r>
        <w:rPr>
          <w:rFonts w:hint="eastAsia" w:ascii="仿宋" w:hAnsi="仿宋" w:eastAsia="仿宋" w:cs="楷体_GB2312"/>
          <w:bCs/>
          <w:sz w:val="32"/>
          <w:szCs w:val="32"/>
        </w:rPr>
        <w:t>其他收入：指单位取得的除上述收入以外的各项收入。主要是…（收入类型）等。</w:t>
      </w:r>
    </w:p>
    <w:p>
      <w:pPr>
        <w:spacing w:line="580" w:lineRule="exact"/>
        <w:ind w:firstLine="640" w:firstLineChars="200"/>
        <w:rPr>
          <w:rFonts w:ascii="仿宋" w:hAnsi="仿宋" w:eastAsia="仿宋" w:cs="楷体_GB2312"/>
          <w:bCs/>
          <w:sz w:val="32"/>
          <w:szCs w:val="32"/>
        </w:rPr>
      </w:pPr>
      <w:r>
        <w:rPr>
          <w:rFonts w:ascii="仿宋" w:hAnsi="仿宋" w:eastAsia="仿宋" w:cs="楷体_GB2312"/>
          <w:bCs/>
          <w:sz w:val="32"/>
          <w:szCs w:val="32"/>
        </w:rPr>
        <w:t>5.</w:t>
      </w:r>
      <w:r>
        <w:rPr>
          <w:rFonts w:hint="eastAsia" w:ascii="仿宋" w:hAnsi="仿宋" w:eastAsia="仿宋" w:cs="楷体_GB2312"/>
          <w:bCs/>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spacing w:line="580" w:lineRule="exact"/>
        <w:ind w:firstLine="640" w:firstLineChars="200"/>
        <w:rPr>
          <w:rFonts w:ascii="仿宋" w:hAnsi="仿宋" w:eastAsia="仿宋" w:cs="楷体_GB2312"/>
          <w:bCs/>
          <w:sz w:val="32"/>
          <w:szCs w:val="32"/>
        </w:rPr>
      </w:pPr>
      <w:r>
        <w:rPr>
          <w:rFonts w:ascii="仿宋" w:hAnsi="仿宋" w:eastAsia="仿宋" w:cs="楷体_GB2312"/>
          <w:bCs/>
          <w:sz w:val="32"/>
          <w:szCs w:val="32"/>
        </w:rPr>
        <w:t>6.</w:t>
      </w:r>
      <w:r>
        <w:rPr>
          <w:rFonts w:hint="eastAsia" w:ascii="仿宋" w:hAnsi="仿宋" w:eastAsia="仿宋" w:cs="楷体_GB2312"/>
          <w:bCs/>
          <w:sz w:val="32"/>
          <w:szCs w:val="32"/>
        </w:rPr>
        <w:t>年初结转和结余：指以前年度尚未完成、结转到本年按有关规定继续使用的资金。</w:t>
      </w:r>
    </w:p>
    <w:p>
      <w:pPr>
        <w:spacing w:line="580" w:lineRule="exact"/>
        <w:ind w:firstLine="640" w:firstLineChars="200"/>
        <w:rPr>
          <w:rFonts w:ascii="仿宋" w:hAnsi="仿宋" w:eastAsia="仿宋" w:cs="楷体_GB2312"/>
          <w:bCs/>
          <w:sz w:val="32"/>
          <w:szCs w:val="32"/>
        </w:rPr>
      </w:pPr>
      <w:r>
        <w:rPr>
          <w:rFonts w:ascii="仿宋" w:hAnsi="仿宋" w:eastAsia="仿宋" w:cs="楷体_GB2312"/>
          <w:bCs/>
          <w:sz w:val="32"/>
          <w:szCs w:val="32"/>
        </w:rPr>
        <w:t>7.</w:t>
      </w:r>
      <w:r>
        <w:rPr>
          <w:rFonts w:hint="eastAsia" w:ascii="仿宋" w:hAnsi="仿宋" w:eastAsia="仿宋" w:cs="楷体_GB2312"/>
          <w:bCs/>
          <w:sz w:val="32"/>
          <w:szCs w:val="32"/>
        </w:rPr>
        <w:t>结余分配：指事业单位按照事业单位会计制度的规定从非财政补助结余中分配的事业基金和职工福利基金等。</w:t>
      </w:r>
    </w:p>
    <w:p>
      <w:pPr>
        <w:spacing w:line="580" w:lineRule="exact"/>
        <w:ind w:firstLine="640" w:firstLineChars="200"/>
        <w:rPr>
          <w:rFonts w:ascii="仿宋" w:hAnsi="仿宋" w:eastAsia="仿宋" w:cs="楷体_GB2312"/>
          <w:bCs/>
          <w:sz w:val="32"/>
          <w:szCs w:val="32"/>
        </w:rPr>
      </w:pPr>
      <w:r>
        <w:rPr>
          <w:rFonts w:ascii="仿宋" w:hAnsi="仿宋" w:eastAsia="仿宋" w:cs="楷体_GB2312"/>
          <w:bCs/>
          <w:sz w:val="32"/>
          <w:szCs w:val="32"/>
        </w:rPr>
        <w:t>8</w:t>
      </w:r>
      <w:r>
        <w:rPr>
          <w:rFonts w:hint="eastAsia" w:ascii="仿宋" w:hAnsi="仿宋" w:eastAsia="仿宋" w:cs="楷体_GB2312"/>
          <w:bCs/>
          <w:sz w:val="32"/>
          <w:szCs w:val="32"/>
        </w:rPr>
        <w:t>、年末结转和结余：指单位按有关规定结转到下年或以后年度继续使用的资金。</w:t>
      </w:r>
    </w:p>
    <w:p>
      <w:pPr>
        <w:spacing w:line="580" w:lineRule="exact"/>
        <w:ind w:firstLine="640" w:firstLineChars="200"/>
        <w:rPr>
          <w:rFonts w:ascii="仿宋" w:hAnsi="仿宋" w:eastAsia="仿宋" w:cs="楷体_GB2312"/>
          <w:bCs/>
          <w:sz w:val="32"/>
          <w:szCs w:val="32"/>
        </w:rPr>
      </w:pPr>
      <w:r>
        <w:rPr>
          <w:rFonts w:hint="eastAsia" w:ascii="仿宋" w:hAnsi="仿宋" w:eastAsia="仿宋" w:cs="楷体_GB2312"/>
          <w:bCs/>
          <w:sz w:val="32"/>
          <w:szCs w:val="32"/>
        </w:rPr>
        <w:t>9、社会保障和就业：</w:t>
      </w:r>
    </w:p>
    <w:p>
      <w:pPr>
        <w:spacing w:line="580" w:lineRule="exact"/>
        <w:ind w:firstLine="640" w:firstLineChars="200"/>
        <w:rPr>
          <w:rFonts w:ascii="仿宋" w:hAnsi="仿宋" w:eastAsia="仿宋" w:cs="楷体_GB2312"/>
          <w:bCs/>
          <w:sz w:val="32"/>
          <w:szCs w:val="32"/>
        </w:rPr>
      </w:pPr>
      <w:r>
        <w:rPr>
          <w:rFonts w:hint="eastAsia" w:ascii="仿宋" w:hAnsi="仿宋" w:eastAsia="仿宋" w:cs="楷体_GB2312"/>
          <w:bCs/>
          <w:sz w:val="32"/>
          <w:szCs w:val="32"/>
        </w:rPr>
        <w:t>（1</w:t>
      </w:r>
      <w:r>
        <w:rPr>
          <w:rFonts w:ascii="仿宋" w:hAnsi="仿宋" w:eastAsia="仿宋" w:cs="楷体_GB2312"/>
          <w:bCs/>
          <w:sz w:val="32"/>
          <w:szCs w:val="32"/>
        </w:rPr>
        <w:t>）</w:t>
      </w:r>
      <w:r>
        <w:rPr>
          <w:rFonts w:hint="eastAsia" w:ascii="仿宋" w:hAnsi="仿宋" w:eastAsia="仿宋" w:cs="楷体_GB2312"/>
          <w:bCs/>
          <w:sz w:val="32"/>
          <w:szCs w:val="32"/>
        </w:rPr>
        <w:t>民政管理事务：2080299</w:t>
      </w:r>
      <w:r>
        <w:rPr>
          <w:rFonts w:hint="eastAsia" w:ascii="仿宋" w:hAnsi="仿宋" w:eastAsia="仿宋" w:cs="楷体_GB2312"/>
          <w:bCs/>
          <w:sz w:val="32"/>
          <w:szCs w:val="32"/>
          <w:lang w:eastAsia="zh-CN"/>
        </w:rPr>
        <w:t>其他</w:t>
      </w:r>
      <w:r>
        <w:rPr>
          <w:rFonts w:hint="eastAsia" w:ascii="仿宋" w:hAnsi="仿宋" w:eastAsia="仿宋" w:cs="楷体_GB2312"/>
          <w:bCs/>
          <w:sz w:val="32"/>
          <w:szCs w:val="32"/>
        </w:rPr>
        <w:t>民政管理事务支出指：反映单位事业人员的基本支出，如工资、机关运行工作经费等支出；</w:t>
      </w:r>
    </w:p>
    <w:p>
      <w:pPr>
        <w:spacing w:line="580" w:lineRule="exact"/>
        <w:ind w:firstLine="640" w:firstLineChars="200"/>
        <w:rPr>
          <w:rFonts w:ascii="仿宋" w:hAnsi="仿宋" w:eastAsia="仿宋" w:cs="楷体_GB2312"/>
          <w:bCs/>
          <w:sz w:val="32"/>
          <w:szCs w:val="32"/>
        </w:rPr>
      </w:pPr>
      <w:r>
        <w:rPr>
          <w:rFonts w:hint="eastAsia" w:ascii="仿宋" w:hAnsi="仿宋" w:eastAsia="仿宋" w:cs="楷体_GB2312"/>
          <w:bCs/>
          <w:sz w:val="32"/>
          <w:szCs w:val="32"/>
        </w:rPr>
        <w:t>（2）行政事业单位离退休：</w:t>
      </w:r>
      <w:r>
        <w:rPr>
          <w:rFonts w:ascii="仿宋" w:hAnsi="仿宋" w:eastAsia="仿宋" w:cs="楷体_GB2312"/>
          <w:bCs/>
          <w:sz w:val="32"/>
          <w:szCs w:val="32"/>
        </w:rPr>
        <w:t>2080505</w:t>
      </w:r>
      <w:r>
        <w:rPr>
          <w:rFonts w:hint="eastAsia" w:ascii="仿宋" w:hAnsi="仿宋" w:eastAsia="仿宋" w:cs="楷体_GB2312"/>
          <w:bCs/>
          <w:sz w:val="32"/>
          <w:szCs w:val="32"/>
        </w:rPr>
        <w:t xml:space="preserve"> 机关事业单位基本养老保险缴费支出指反映机关事业单位实施养老保险制度由单位缴纳的基本养老保险费支出。2080506机关事业单位职业年金缴费支出指：反映机关事业单位 实施养老保险制度由单位缴纳的职业年金支出。</w:t>
      </w:r>
    </w:p>
    <w:p>
      <w:pPr>
        <w:spacing w:line="580" w:lineRule="exact"/>
        <w:ind w:firstLine="640" w:firstLineChars="200"/>
        <w:rPr>
          <w:rFonts w:ascii="仿宋" w:hAnsi="仿宋" w:eastAsia="仿宋" w:cs="楷体_GB2312"/>
          <w:bCs/>
          <w:sz w:val="32"/>
          <w:szCs w:val="32"/>
        </w:rPr>
      </w:pPr>
      <w:r>
        <w:rPr>
          <w:rFonts w:hint="eastAsia" w:ascii="仿宋" w:hAnsi="仿宋" w:eastAsia="仿宋" w:cs="楷体_GB2312"/>
          <w:bCs/>
          <w:sz w:val="32"/>
          <w:szCs w:val="32"/>
        </w:rPr>
        <w:t>10、医疗卫生与计划生育</w:t>
      </w:r>
    </w:p>
    <w:p>
      <w:pPr>
        <w:spacing w:line="580" w:lineRule="exact"/>
        <w:ind w:firstLine="640" w:firstLineChars="200"/>
        <w:rPr>
          <w:rFonts w:ascii="仿宋" w:hAnsi="仿宋" w:eastAsia="仿宋" w:cs="楷体_GB2312"/>
          <w:bCs/>
          <w:sz w:val="32"/>
          <w:szCs w:val="32"/>
        </w:rPr>
      </w:pPr>
      <w:r>
        <w:rPr>
          <w:rFonts w:hint="eastAsia" w:ascii="仿宋" w:hAnsi="仿宋" w:eastAsia="仿宋" w:cs="楷体_GB2312"/>
          <w:bCs/>
          <w:sz w:val="32"/>
          <w:szCs w:val="32"/>
        </w:rPr>
        <w:t>行政事业单位医疗：2101102事业单位医疗财政部门集中安排的行政单位基本医疗保险缴费经费。</w:t>
      </w:r>
    </w:p>
    <w:p>
      <w:pPr>
        <w:spacing w:line="580" w:lineRule="exact"/>
        <w:ind w:firstLine="640" w:firstLineChars="200"/>
        <w:rPr>
          <w:rFonts w:ascii="仿宋" w:hAnsi="仿宋" w:eastAsia="仿宋" w:cs="楷体_GB2312"/>
          <w:bCs/>
          <w:sz w:val="32"/>
          <w:szCs w:val="32"/>
        </w:rPr>
      </w:pPr>
      <w:r>
        <w:rPr>
          <w:rFonts w:hint="eastAsia" w:ascii="仿宋" w:hAnsi="仿宋" w:eastAsia="仿宋" w:cs="楷体_GB2312"/>
          <w:bCs/>
          <w:sz w:val="32"/>
          <w:szCs w:val="32"/>
        </w:rPr>
        <w:t>12、住房保障</w:t>
      </w:r>
    </w:p>
    <w:p>
      <w:pPr>
        <w:spacing w:line="580" w:lineRule="exact"/>
        <w:ind w:firstLine="640" w:firstLineChars="200"/>
        <w:rPr>
          <w:rFonts w:ascii="仿宋" w:hAnsi="仿宋" w:eastAsia="仿宋" w:cs="楷体_GB2312"/>
          <w:bCs/>
          <w:sz w:val="32"/>
          <w:szCs w:val="32"/>
        </w:rPr>
      </w:pPr>
      <w:r>
        <w:rPr>
          <w:rFonts w:hint="eastAsia" w:ascii="仿宋" w:hAnsi="仿宋" w:eastAsia="仿宋" w:cs="楷体_GB2312"/>
          <w:bCs/>
          <w:sz w:val="32"/>
          <w:szCs w:val="32"/>
        </w:rPr>
        <w:t>住房改革支出：2210201住房公积金指：行政事业单位按人力资源和社会保障部、财政部门规定的基本工资和津贴补贴以及规定比例为职工缴纳的住房公积金；2210203购房补贴指单位退休人员购房补贴。</w:t>
      </w:r>
    </w:p>
    <w:p>
      <w:pPr>
        <w:spacing w:line="580" w:lineRule="exact"/>
        <w:ind w:firstLine="640" w:firstLineChars="200"/>
        <w:rPr>
          <w:rFonts w:ascii="仿宋" w:hAnsi="仿宋" w:eastAsia="仿宋" w:cs="楷体_GB2312"/>
          <w:bCs/>
          <w:sz w:val="32"/>
          <w:szCs w:val="32"/>
        </w:rPr>
      </w:pPr>
      <w:r>
        <w:rPr>
          <w:rFonts w:hint="eastAsia" w:ascii="仿宋" w:hAnsi="仿宋" w:eastAsia="仿宋" w:cs="楷体_GB2312"/>
          <w:bCs/>
          <w:sz w:val="32"/>
          <w:szCs w:val="32"/>
        </w:rPr>
        <w:t>14</w:t>
      </w:r>
      <w:r>
        <w:rPr>
          <w:rFonts w:ascii="仿宋" w:hAnsi="仿宋" w:eastAsia="仿宋" w:cs="楷体_GB2312"/>
          <w:bCs/>
          <w:sz w:val="32"/>
          <w:szCs w:val="32"/>
        </w:rPr>
        <w:t>.</w:t>
      </w:r>
      <w:r>
        <w:rPr>
          <w:rFonts w:hint="eastAsia" w:ascii="仿宋" w:hAnsi="仿宋" w:eastAsia="仿宋" w:cs="楷体_GB2312"/>
          <w:bCs/>
          <w:sz w:val="32"/>
          <w:szCs w:val="32"/>
        </w:rPr>
        <w:t>基本支出：指为保障机构正常运转、完成日常工作任务而发生的人员支出和公用支出。</w:t>
      </w:r>
    </w:p>
    <w:p>
      <w:pPr>
        <w:spacing w:line="580" w:lineRule="exact"/>
        <w:ind w:firstLine="640" w:firstLineChars="200"/>
        <w:rPr>
          <w:rFonts w:ascii="仿宋" w:hAnsi="仿宋" w:eastAsia="仿宋" w:cs="楷体_GB2312"/>
          <w:bCs/>
          <w:sz w:val="32"/>
          <w:szCs w:val="32"/>
        </w:rPr>
      </w:pPr>
      <w:r>
        <w:rPr>
          <w:rFonts w:hint="eastAsia" w:ascii="仿宋" w:hAnsi="仿宋" w:eastAsia="仿宋" w:cs="楷体_GB2312"/>
          <w:bCs/>
          <w:sz w:val="32"/>
          <w:szCs w:val="32"/>
        </w:rPr>
        <w:t>15</w:t>
      </w:r>
      <w:r>
        <w:rPr>
          <w:rFonts w:ascii="仿宋" w:hAnsi="仿宋" w:eastAsia="仿宋" w:cs="楷体_GB2312"/>
          <w:bCs/>
          <w:sz w:val="32"/>
          <w:szCs w:val="32"/>
        </w:rPr>
        <w:t>.</w:t>
      </w:r>
      <w:r>
        <w:rPr>
          <w:rFonts w:hint="eastAsia" w:ascii="仿宋" w:hAnsi="仿宋" w:eastAsia="仿宋" w:cs="楷体_GB2312"/>
          <w:bCs/>
          <w:sz w:val="32"/>
          <w:szCs w:val="32"/>
        </w:rPr>
        <w:t>项目支出：指在基本支出之外为完成特定行政任务和事业发展目标所发生的支出。</w:t>
      </w:r>
    </w:p>
    <w:p>
      <w:pPr>
        <w:spacing w:line="580" w:lineRule="exact"/>
        <w:ind w:firstLine="640" w:firstLineChars="200"/>
        <w:rPr>
          <w:rFonts w:ascii="仿宋" w:hAnsi="仿宋" w:eastAsia="仿宋" w:cs="楷体_GB2312"/>
          <w:bCs/>
          <w:sz w:val="32"/>
          <w:szCs w:val="32"/>
        </w:rPr>
      </w:pPr>
      <w:r>
        <w:rPr>
          <w:rFonts w:hint="eastAsia" w:ascii="仿宋" w:hAnsi="仿宋" w:eastAsia="仿宋" w:cs="楷体_GB2312"/>
          <w:bCs/>
          <w:sz w:val="32"/>
          <w:szCs w:val="32"/>
        </w:rPr>
        <w:t>16</w:t>
      </w:r>
      <w:r>
        <w:rPr>
          <w:rFonts w:ascii="仿宋" w:hAnsi="仿宋" w:eastAsia="仿宋" w:cs="楷体_GB2312"/>
          <w:bCs/>
          <w:sz w:val="32"/>
          <w:szCs w:val="32"/>
        </w:rPr>
        <w:t>.</w:t>
      </w:r>
      <w:r>
        <w:rPr>
          <w:rFonts w:hint="eastAsia" w:ascii="仿宋" w:hAnsi="仿宋" w:eastAsia="仿宋" w:cs="楷体_GB2312"/>
          <w:bCs/>
          <w:sz w:val="32"/>
          <w:szCs w:val="32"/>
        </w:rPr>
        <w:t>经营支出：指事业单位在专业业务活动及其辅助活动之外开展非独立核算经营活动发生的支出。</w:t>
      </w:r>
    </w:p>
    <w:p>
      <w:pPr>
        <w:spacing w:line="580" w:lineRule="exact"/>
        <w:ind w:firstLine="640" w:firstLineChars="200"/>
        <w:rPr>
          <w:rFonts w:ascii="仿宋" w:hAnsi="仿宋" w:eastAsia="仿宋" w:cs="楷体_GB2312"/>
          <w:bCs/>
          <w:sz w:val="32"/>
          <w:szCs w:val="32"/>
        </w:rPr>
      </w:pPr>
      <w:r>
        <w:rPr>
          <w:rFonts w:hint="eastAsia" w:ascii="仿宋" w:hAnsi="仿宋" w:eastAsia="仿宋" w:cs="楷体_GB2312"/>
          <w:bCs/>
          <w:sz w:val="32"/>
          <w:szCs w:val="32"/>
        </w:rPr>
        <w:t>17</w:t>
      </w:r>
      <w:r>
        <w:rPr>
          <w:rFonts w:ascii="仿宋" w:hAnsi="仿宋" w:eastAsia="仿宋" w:cs="楷体_GB2312"/>
          <w:bCs/>
          <w:sz w:val="32"/>
          <w:szCs w:val="32"/>
        </w:rPr>
        <w:t>.</w:t>
      </w:r>
      <w:r>
        <w:rPr>
          <w:rFonts w:hint="eastAsia" w:ascii="仿宋" w:hAnsi="仿宋" w:eastAsia="仿宋" w:cs="楷体_GB2312"/>
          <w:bCs/>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80" w:lineRule="exact"/>
        <w:ind w:firstLine="640" w:firstLineChars="200"/>
        <w:rPr>
          <w:rFonts w:ascii="仿宋" w:hAnsi="仿宋" w:eastAsia="仿宋" w:cs="楷体_GB2312"/>
          <w:bCs/>
          <w:sz w:val="32"/>
          <w:szCs w:val="32"/>
        </w:rPr>
      </w:pPr>
      <w:r>
        <w:rPr>
          <w:rFonts w:hint="eastAsia" w:ascii="仿宋" w:hAnsi="仿宋" w:eastAsia="仿宋" w:cs="楷体_GB2312"/>
          <w:bCs/>
          <w:sz w:val="32"/>
          <w:szCs w:val="32"/>
        </w:rPr>
        <w:t>18</w:t>
      </w:r>
      <w:r>
        <w:rPr>
          <w:rFonts w:ascii="仿宋" w:hAnsi="仿宋" w:eastAsia="仿宋" w:cs="楷体_GB2312"/>
          <w:bCs/>
          <w:sz w:val="32"/>
          <w:szCs w:val="32"/>
        </w:rPr>
        <w:t>.</w:t>
      </w:r>
      <w:r>
        <w:rPr>
          <w:rFonts w:hint="eastAsia" w:ascii="仿宋" w:hAnsi="仿宋" w:eastAsia="仿宋" w:cs="楷体_GB2312"/>
          <w:bCs/>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3"/>
        <w:spacing w:line="560" w:lineRule="exact"/>
        <w:ind w:firstLine="640" w:firstLineChars="200"/>
        <w:rPr>
          <w:rFonts w:ascii="仿宋_GB2312" w:eastAsia="仿宋_GB2312" w:cs="黑体"/>
          <w:sz w:val="32"/>
          <w:szCs w:val="32"/>
        </w:rPr>
      </w:pPr>
    </w:p>
    <w:p>
      <w:pPr>
        <w:spacing w:line="600" w:lineRule="exact"/>
        <w:jc w:val="center"/>
        <w:outlineLvl w:val="0"/>
        <w:rPr>
          <w:rStyle w:val="25"/>
          <w:rFonts w:ascii="黑体" w:hAnsi="黑体" w:eastAsia="黑体"/>
          <w:b w:val="0"/>
        </w:rPr>
      </w:pPr>
      <w:bookmarkStart w:id="55" w:name="_Toc15396614"/>
      <w:bookmarkStart w:id="56" w:name="_Toc15377226"/>
      <w:r>
        <w:rPr>
          <w:rFonts w:hint="eastAsia" w:ascii="黑体" w:hAnsi="黑体" w:eastAsia="黑体"/>
          <w:color w:val="000000"/>
          <w:sz w:val="44"/>
          <w:szCs w:val="44"/>
        </w:rPr>
        <w:t>第</w:t>
      </w:r>
      <w:r>
        <w:rPr>
          <w:rStyle w:val="25"/>
          <w:rFonts w:hint="eastAsia" w:ascii="黑体" w:hAnsi="黑体" w:eastAsia="黑体"/>
          <w:b w:val="0"/>
        </w:rPr>
        <w:t>四部分 附件</w:t>
      </w:r>
      <w:bookmarkEnd w:id="55"/>
    </w:p>
    <w:p>
      <w:pPr>
        <w:spacing w:line="600" w:lineRule="exact"/>
        <w:jc w:val="center"/>
        <w:outlineLvl w:val="0"/>
        <w:rPr>
          <w:rStyle w:val="25"/>
        </w:rPr>
      </w:pPr>
    </w:p>
    <w:p>
      <w:pPr>
        <w:pStyle w:val="3"/>
        <w:rPr>
          <w:rStyle w:val="25"/>
          <w:rFonts w:ascii="仿宋" w:hAnsi="仿宋" w:eastAsia="仿宋"/>
          <w:b w:val="0"/>
          <w:bCs w:val="0"/>
          <w:sz w:val="32"/>
          <w:szCs w:val="32"/>
        </w:rPr>
      </w:pPr>
      <w:bookmarkStart w:id="57" w:name="_Toc15396615"/>
      <w:r>
        <w:rPr>
          <w:rStyle w:val="25"/>
          <w:rFonts w:hint="eastAsia" w:ascii="仿宋" w:hAnsi="仿宋" w:eastAsia="仿宋"/>
          <w:b w:val="0"/>
          <w:bCs w:val="0"/>
          <w:sz w:val="32"/>
          <w:szCs w:val="32"/>
        </w:rPr>
        <w:t>附件1</w:t>
      </w:r>
      <w:bookmarkEnd w:id="57"/>
    </w:p>
    <w:p>
      <w:pPr>
        <w:spacing w:line="600" w:lineRule="exact"/>
        <w:jc w:val="center"/>
        <w:outlineLvl w:val="0"/>
        <w:rPr>
          <w:rFonts w:ascii="黑体" w:hAnsi="黑体" w:eastAsia="黑体" w:cs="方正小标宋简体"/>
          <w:sz w:val="36"/>
          <w:szCs w:val="36"/>
        </w:rPr>
      </w:pPr>
      <w:bookmarkStart w:id="58" w:name="_Toc15396616"/>
      <w:r>
        <w:rPr>
          <w:rFonts w:hint="eastAsia" w:ascii="黑体" w:hAnsi="黑体" w:eastAsia="黑体" w:cs="方正小标宋简体"/>
          <w:sz w:val="36"/>
          <w:szCs w:val="36"/>
        </w:rPr>
        <w:t>壤塘县社会救助福利服务中心2018年</w:t>
      </w:r>
    </w:p>
    <w:p>
      <w:pPr>
        <w:spacing w:line="600" w:lineRule="exact"/>
        <w:jc w:val="center"/>
        <w:outlineLvl w:val="0"/>
        <w:rPr>
          <w:rFonts w:ascii="黑体" w:hAnsi="黑体" w:eastAsia="黑体" w:cs="方正小标宋简体"/>
          <w:sz w:val="36"/>
          <w:szCs w:val="36"/>
        </w:rPr>
      </w:pPr>
      <w:r>
        <w:rPr>
          <w:rFonts w:hint="eastAsia" w:ascii="黑体" w:hAnsi="黑体" w:eastAsia="黑体" w:cs="方正小标宋简体"/>
          <w:sz w:val="36"/>
          <w:szCs w:val="36"/>
        </w:rPr>
        <w:t>部门整体支出绩效评价报告</w:t>
      </w:r>
      <w:bookmarkEnd w:id="58"/>
    </w:p>
    <w:p>
      <w:pPr>
        <w:spacing w:line="580" w:lineRule="exact"/>
        <w:ind w:firstLine="640" w:firstLineChars="200"/>
        <w:rPr>
          <w:rFonts w:ascii="黑体" w:hAnsi="黑体" w:eastAsia="黑体" w:cs="黑体"/>
          <w:sz w:val="32"/>
          <w:szCs w:val="32"/>
        </w:rPr>
      </w:pP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一、部门（单位）概况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（一）机构组成。</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县民政局属于一级预算单位，设4个内设行政股室（办公室 、救灾救助与优抚安置双拥股、社会福利与社会事务股、区划地名与基层政权股）。下设事业机构5个（老龄服务中心，壤塘县低收入家庭认定指导中心，敬老院管理中心，壤塘县社会救助福利服务中心，南木达敬老院、茸木达敬老院、伊里敬老院、中壤塘敬老院）</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（二）机构职能。</w:t>
      </w:r>
    </w:p>
    <w:p>
      <w:pPr>
        <w:adjustRightInd w:val="0"/>
        <w:snapToGrid w:val="0"/>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办公室（行政审批股）。负责综合协调和处理政务及机关日常管理工作；拟定机关管理制度并组织实施；负责会务组织、公文处理、政务信息、政务公开、政务督办、效能建设、机要档案、安全保密、综合治理、信访、维稳、组织人事、法治宣传、财务和资产、后勤管理、考核、任免、调配、奖惩等机关日常工作。负责局机关行政、事业经费的预决算和管理、监督工作；负责全局事业发展计划和统计管理工作；承担政府公布的行政审批事项。完成领导交办的各项工作。</w:t>
      </w:r>
    </w:p>
    <w:p>
      <w:pPr>
        <w:adjustRightInd w:val="0"/>
        <w:snapToGrid w:val="0"/>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二）社会福利与社会事务股（挂壤塘县流浪乞讨人员救助站牌子）。负责全县婚姻登记管理、殡葬管理、儿童收养登记和收容遣送，宣传贯彻国家有关法律法规并监督实施；负责全县社会团体和民办非企业单位的成立、变更、注销登记管理和年度检查工作；依法进行监督检查和行政处罚；负责老年人、残疾人、孤儿等特殊困难群众社团福利救济法律、法规的贯彻实施；拟订我县社会福利发展规划和各类福利机构标准及管理规范，并组织实施和监督检查；拟订政府对福利单位的资助办法；牵头拟订社会福利企业的认定标准和扶持保护政策并监督实施；审批社会福利企业和民办社会福利机构；负责社会福利有奖募捐资金资助项目的申请、评审工作；负责社工人才队伍和相关志愿者队伍建设、管理工作。完成领导交办的各项工作。 </w:t>
      </w:r>
    </w:p>
    <w:p>
      <w:pPr>
        <w:adjustRightInd w:val="0"/>
        <w:snapToGrid w:val="0"/>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救灾救助与优抚安置双拥股（挂壤塘县双拥领导小组办公室牌子）。负责与相关部门组织拟订防灾减灾规划并组织实施；负责组织、协调救灾工作和自然灾害救助应急体系建设；负责救灾物资的储备和款物的管理分配并监督检查使用情况；承办灾情信息核查、上报等工作；会同有关部门组织协调紧急转移安置灾民、农村灾民毁损房屋恢复重建补助和灾民生产救助；负责拟订促进慈善事业发展的政策，组织和指导社会捐助工作；负责捐赠资金的管理工作；负责城乡居民最低生活保障、五保、医疗救助、临时救助和流浪乞讨人员的救助工作；负责“三无”人员、贫困农牧民、受灾受困人员、部队官兵、公安干警的救助慰问工作;负责精减退职老职工的统计工作，兑现生活困难补助；负责城乡生活无着流浪乞讨人员的救助工作；协助州救助站做好流浪乞讨人员的救助管理工作。负责各类优抚对象的优待抚恤工作；承办革命烈士褒扬工作；指导烈士纪念建筑物的管理工作；拟订地方性拥军优属政策并监督实施；组织和指导拥军优属活动；负责全县军队（含武警）离退休干部、无军籍退休职工的接收安置、服务管理工作；负责退伍义务兵、转业志愿兵和复员干部的接收安置；指导军地两用人才开发使用和军地共育人才协调服务工作。完成领导交办的各项工作。</w:t>
      </w:r>
    </w:p>
    <w:p>
      <w:pPr>
        <w:adjustRightInd w:val="0"/>
        <w:snapToGrid w:val="0"/>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四）区划地名与基层政权股。负责提出行政区划、地名管理、行政区域界线管理总体方案和体制改革建议；负责行政区域的设立、撤销调整及政府驻地迁移和行政区划名称的审核申报；推行城乡地名标牌国家标准，规范、管理全县地名标志的设置；开展实施地名工作，组织地名调查；组织、协调和县、乡（镇）行政区域界线的勘定；负责勘界成果地名普查资料汇总、整理及报批工作；负责勘界资料档案管理。负责拟订全县城乡基层群众自治建设和社区建设政策并指导实施；研究提出加强和改进全县基层政权建设的意见和建议；指导村（居）民委员会民主选举、民主决策、民主管理和民主监督工作，推动村（居）民自治和基层民主政治建设；指导组织城乡社区建设和服务管理工作；负责组织基层群众自治组织和社区管理人员的培训。完成领导交办的各项工作。</w:t>
      </w:r>
    </w:p>
    <w:p>
      <w:pPr>
        <w:adjustRightInd w:val="0"/>
        <w:snapToGrid w:val="0"/>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县民政局下设事业机构5个。  </w:t>
      </w:r>
    </w:p>
    <w:p>
      <w:pPr>
        <w:adjustRightInd w:val="0"/>
        <w:snapToGrid w:val="0"/>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老龄服务中心。为县民政局下属股级事业单位，主要职责：办理县老龄工作委员会决定的事项；研究提出本县老龄工作发展的方针政策和法规，拟定实施方案；督促、检查老龄委员会决定事项的落实情况并综合上报；负责各成员单位的联系、协调上报；开展调查研究，收集、整理全县老龄工作的有关情况和信息，总结推广先进经验；开展人口老龄化问题的调研，开展老龄问题战略地位的宣传等活动；指导全县敬老工作，开展敬老活动，组织敬老评比表彰活动；办理老年优待证等相关工作；负责县老龄工作委员会办公室的日常工作。完成领导交办的各项工作。</w:t>
      </w:r>
    </w:p>
    <w:p>
      <w:pPr>
        <w:adjustRightInd w:val="0"/>
        <w:snapToGrid w:val="0"/>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壤塘县低收入家庭认定指导中心。为县民政局下属股级事业单位。主要职责：负责对申请城乡低保等政府救助和社会救助的城乡居民家庭收入和财产情况进行信息核对；负责全县低收入家庭经济状况核对信息数据库的建立、维护、查询、交流等工作；负责全县救助对象的数据统计和动态分析；负责指导各乡镇开展低收入家庭经济状况认定工作；会同有关部门，制定与城乡低保有关的配套优惠政策；负责本县低保信息网络建设和管理；负责城乡居民最低生活保障审核、审批工作；对最低生活保障资金的使用和管理情况进行督查；负责城乡特困群众临时性救济的审核、审批工作；负责全县农村特困群众医疗救助审核、审批工作；负责全县农村特困户救助的审核、审批工作。完成领导交办的各项工作。</w:t>
      </w:r>
    </w:p>
    <w:p>
      <w:pPr>
        <w:adjustRightInd w:val="0"/>
        <w:snapToGrid w:val="0"/>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三）敬老院管理中心。为县民政局下属股级事业单位，主要职责：贯彻执行党的路线、方针、政策，遵守国家法律法规和社会福利政策；认真贯彻《农村五保供养工作条例》；负责敬老院发展规划，指导敬老院建设管理和集中供养工作；指导敬老院建立健全各项规章制度工作；监督指导敬老院负责人和工作人员的工作，对他们工作进行的考核考评工作，维护供养人员的合法权益，保障敬老院管理健康、有序发展。完成领导交办的各项工作。  </w:t>
      </w:r>
    </w:p>
    <w:p>
      <w:pPr>
        <w:adjustRightInd w:val="0"/>
        <w:snapToGrid w:val="0"/>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四）中壤塘敬老院、南木达敬老院、伊里敬老院、茸木达敬老院。为县民政局下属股级事业单位，主要职责：贯彻执行国家有关五保供养工作的方针、政策和法律法规；组织制定院内的各项规章制度和发展规划；组织发展经济、不断提高供养人员的生活水平；认真履行职责，建立岗位责任制，实行目标管理、考核，维护供养人员的合法权益；承办县民政局交办的其他事项。 </w:t>
      </w:r>
    </w:p>
    <w:p>
      <w:pPr>
        <w:adjustRightInd w:val="0"/>
        <w:snapToGrid w:val="0"/>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五）壤塘县社会救助福利服务中心（挂壤塘县儿童福利服务指导中心牌子）为县民政局管理的副科级事业单位，主要职责：贯彻执行国家有关五保供养工作的方针、政策和法律法规；组织制定院内的各项规章制度和发展规划；组织发展经济、不断提高供养人员的生活水平；认真履行职责，建立岗位责任制，实行目标管理、考核，维护供养人员的合法权益；承办县民政局交办的其他事项。 </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（三）人员概况。</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总编制72名,其中:行政编制8名,事业编制64名，在职人员总数71 名，其中：行政人员6名，行政工勤4名，其他事业人员61名；离休人员1人，退休人员8人。</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二、部门财政资金收支情况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（一）部门财政资金收入情况。</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2018年部门财政资金收入792.48万元，其中社会保障和就业支出收入645.14万元，行政事业单位离退休收入37.71万元，医疗卫生与计划生育支出收入为30.64万元，住房保障支出78.98万元。</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（二）部门财政资金支出情况。</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2018年部门财政资金支出1004.98万元，其中社会保障和就业支出895.36万元，</w:t>
      </w:r>
      <w:r>
        <w:rPr>
          <w:rFonts w:hint="eastAsia" w:ascii="仿宋" w:hAnsi="仿宋" w:eastAsia="仿宋" w:cs="仿宋_GB2312"/>
          <w:sz w:val="32"/>
          <w:szCs w:val="32"/>
          <w:lang w:eastAsia="zh-CN"/>
        </w:rPr>
        <w:t>行政</w:t>
      </w:r>
      <w:r>
        <w:rPr>
          <w:rFonts w:hint="eastAsia" w:ascii="仿宋" w:hAnsi="仿宋" w:eastAsia="仿宋" w:cs="仿宋_GB2312"/>
          <w:sz w:val="32"/>
          <w:szCs w:val="32"/>
        </w:rPr>
        <w:t>事业单位离退休支出131.99万元，医疗卫生与计划生育支出30.64万元，住房保障支出78.98万元。</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三、部门整体预算绩效管理情况（根据适用指标体系进行调整）</w:t>
      </w:r>
    </w:p>
    <w:p>
      <w:pPr>
        <w:spacing w:line="580" w:lineRule="exact"/>
        <w:ind w:firstLine="643" w:firstLineChars="200"/>
        <w:rPr>
          <w:rFonts w:ascii="仿宋" w:hAnsi="仿宋" w:eastAsia="仿宋" w:cs="仿宋_GB2312"/>
          <w:b/>
          <w:sz w:val="32"/>
          <w:szCs w:val="32"/>
        </w:rPr>
      </w:pPr>
      <w:r>
        <w:rPr>
          <w:rFonts w:ascii="仿宋" w:hAnsi="仿宋" w:eastAsia="仿宋" w:cs="仿宋_GB2312"/>
          <w:b/>
          <w:sz w:val="32"/>
          <w:szCs w:val="32"/>
        </w:rPr>
        <w:t>（一）部门预算管理。</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2017年我局预算编制严格按照财政局《关于编制2018年部门预算通知》相关精神，认真学习《预算法》及其实施条例等预算编制的法律、法规，掌握预算编制的相关政策，及时与县编办、县人事部门核对人员编制 、实有人数、工资、车辆等相关信息，准确编制部门预算，将单位预算收入全部门纳入预算管理，全面完整的反映部门真实收入情况 ，基本支出预算包括人员经费和公用经费，采取人员经费按2017年10月工资为标准核算，公用经费按县级部门定额标准人均0.70万元测算，尽量做到数据测算的准确性、合理性，并明确支出范围、用途，预算完成情况良好，无违规记录等情况。</w:t>
      </w:r>
    </w:p>
    <w:p>
      <w:pPr>
        <w:spacing w:line="580" w:lineRule="exact"/>
        <w:ind w:firstLine="643" w:firstLineChars="200"/>
        <w:rPr>
          <w:rFonts w:ascii="仿宋" w:hAnsi="仿宋" w:eastAsia="仿宋" w:cs="仿宋_GB2312"/>
          <w:b/>
          <w:sz w:val="32"/>
          <w:szCs w:val="32"/>
        </w:rPr>
      </w:pPr>
      <w:r>
        <w:rPr>
          <w:rFonts w:ascii="仿宋" w:hAnsi="仿宋" w:eastAsia="仿宋" w:cs="仿宋_GB2312"/>
          <w:b/>
          <w:sz w:val="32"/>
          <w:szCs w:val="32"/>
        </w:rPr>
        <w:t>（二）专项预算管理。</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2018年无专项经费。</w:t>
      </w:r>
    </w:p>
    <w:p>
      <w:pPr>
        <w:spacing w:line="580" w:lineRule="exact"/>
        <w:ind w:firstLine="643" w:firstLineChars="200"/>
        <w:rPr>
          <w:rFonts w:ascii="仿宋" w:hAnsi="仿宋" w:eastAsia="仿宋" w:cs="仿宋_GB2312"/>
          <w:b/>
          <w:sz w:val="32"/>
          <w:szCs w:val="32"/>
        </w:rPr>
      </w:pPr>
      <w:r>
        <w:rPr>
          <w:rFonts w:ascii="仿宋" w:hAnsi="仿宋" w:eastAsia="仿宋" w:cs="仿宋_GB2312"/>
          <w:b/>
          <w:sz w:val="32"/>
          <w:szCs w:val="32"/>
        </w:rPr>
        <w:t>（三）结果应用情况。</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2018年，我局严格按照工作进度执行预算，按时足额发放职工工资，社保缴费等，以节约为本，严格控制公用经费支出，严格执行中央八项规定，加强公务接待、公务用车规范管理。2018年工资福利支出963.70万元，商品和服务支出33.90万元，对个人和家庭补助支出7.39万元。做到预算程度</w:t>
      </w:r>
      <w:r>
        <w:rPr>
          <w:rFonts w:ascii="仿宋" w:hAnsi="仿宋" w:eastAsia="仿宋" w:cs="仿宋_GB2312"/>
          <w:sz w:val="32"/>
          <w:szCs w:val="32"/>
        </w:rPr>
        <w:t>严密、规划合理、结果符合、分配科学、预算绩效目标完成</w:t>
      </w:r>
      <w:r>
        <w:rPr>
          <w:rFonts w:hint="eastAsia" w:ascii="仿宋" w:hAnsi="仿宋" w:eastAsia="仿宋" w:cs="仿宋_GB2312"/>
          <w:sz w:val="32"/>
          <w:szCs w:val="32"/>
        </w:rPr>
        <w:t>率达95%以上，确保了全年目标任务圆满完成。</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四、评价结论及建议</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（一）评价结论。</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2018年我局绩效考评良好，从预算到执行、收入和支出、资产管理及预决算公开，都严格按照相关制度进行，全年收支平衡，有效的保证了机关运转、圆满的完成了上级下达的目标任务，取得了较大的经济效益和社会效益。</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（二）存在问题。</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1、绩效意识比较薄弱。尽管我局将部门预算编制纳入绩效管理的理念引入到实际工作中，但对预算绩效管理仍缺乏足够重视，一直把部门预算的分配情况和数据编制视为重点，但结预算数据的支出绩效评价上不予关注和重视。只重视资金项目的申报，忽视项目资金所产生的社会效益。</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2、缺乏绩效评价的管理方案。目前我局部门预算绩效评价仍需改进，需建立更加完善的绩效评价依据及体系。</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3、评价分析不够全面。</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4、</w:t>
      </w:r>
      <w:r>
        <w:rPr>
          <w:rFonts w:ascii="仿宋" w:hAnsi="仿宋" w:eastAsia="仿宋" w:cs="仿宋_GB2312"/>
          <w:sz w:val="32"/>
          <w:szCs w:val="32"/>
        </w:rPr>
        <w:t>预算监督机制不健全</w:t>
      </w:r>
      <w:r>
        <w:rPr>
          <w:rFonts w:hint="eastAsia" w:ascii="仿宋" w:hAnsi="仿宋" w:eastAsia="仿宋" w:cs="仿宋_GB2312"/>
          <w:sz w:val="32"/>
          <w:szCs w:val="32"/>
        </w:rPr>
        <w:t>。</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5、缺乏相关的绩效考评业务知识培训。</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（三）改进建议。</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1、建立相关的机制来了解各股室资金的需求，通过调查、结果分析，对不同的股室进行不同的资金安排，做到部门预算明确化。并对资金流向进行监督、追踪，定期进行检查，利用有限的资金去做多有益的事情。</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建立完善的绩效评价管理方案。我局应建立一个适合本单位的绩效评价体系以及管理模式，有效的避免因方法不对导致的一些错误，在预算管理上，我们还需借鉴好的方法，更需不断的创新，在选择方法上，要注意可操作性。我们应对不同的任务采取适合的绩效管理方式，在具体预算管理时，应根据重要事件进行评价，可起到很好的效果。</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3、财政部门应对相关人员进行专业的绩效考评知识培训，让我们能清晰了解、掌握预算绩效管理业务知识，更好的运用到实际工作和管理上去。</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4、加强预算编制管理，</w:t>
      </w:r>
      <w:r>
        <w:rPr>
          <w:rFonts w:ascii="仿宋" w:hAnsi="仿宋" w:eastAsia="仿宋" w:cs="仿宋_GB2312"/>
          <w:sz w:val="32"/>
          <w:szCs w:val="32"/>
        </w:rPr>
        <w:t>加强预算执行分析，提高运行效率和使用效益</w:t>
      </w:r>
      <w:r>
        <w:rPr>
          <w:rFonts w:hint="eastAsia" w:ascii="仿宋" w:hAnsi="仿宋" w:eastAsia="仿宋" w:cs="仿宋_GB2312"/>
          <w:sz w:val="32"/>
          <w:szCs w:val="32"/>
        </w:rPr>
        <w:t>，</w:t>
      </w:r>
      <w:r>
        <w:rPr>
          <w:rFonts w:ascii="仿宋" w:hAnsi="仿宋" w:eastAsia="仿宋" w:cs="仿宋_GB2312"/>
          <w:sz w:val="32"/>
          <w:szCs w:val="32"/>
        </w:rPr>
        <w:t>牢牢把握预算执行分析工作真实性、及时性和全面性的要求，及时跟踪预算执行动态变化过程，重点研究预算执行过程中出现的各种问题，强化预算执行全过程的管理，提供详实准确的预算执行数据，并准确预测预算收支的发展趋势，进一步提高财政预算的管理和决策水平。</w:t>
      </w:r>
    </w:p>
    <w:p>
      <w:pPr>
        <w:spacing w:line="580" w:lineRule="exact"/>
        <w:ind w:firstLine="640" w:firstLineChars="200"/>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spacing w:line="600" w:lineRule="exact"/>
        <w:jc w:val="center"/>
        <w:outlineLvl w:val="0"/>
        <w:rPr>
          <w:rStyle w:val="25"/>
          <w:rFonts w:ascii="黑体" w:hAnsi="黑体" w:eastAsia="黑体"/>
          <w:b w:val="0"/>
        </w:rPr>
      </w:pPr>
      <w:bookmarkStart w:id="59" w:name="_Toc15396618"/>
      <w:r>
        <w:rPr>
          <w:rFonts w:hint="eastAsia" w:ascii="黑体" w:hAnsi="黑体" w:eastAsia="黑体"/>
          <w:color w:val="000000"/>
          <w:sz w:val="44"/>
          <w:szCs w:val="44"/>
        </w:rPr>
        <w:t>第</w:t>
      </w:r>
      <w:r>
        <w:rPr>
          <w:rStyle w:val="25"/>
          <w:rFonts w:hint="eastAsia" w:ascii="黑体" w:hAnsi="黑体" w:eastAsia="黑体"/>
          <w:b w:val="0"/>
        </w:rPr>
        <w:t>五部分 附表</w:t>
      </w:r>
      <w:bookmarkEnd w:id="56"/>
      <w:bookmarkEnd w:id="59"/>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60" w:name="_Toc15396619"/>
      <w:r>
        <w:rPr>
          <w:rFonts w:hint="eastAsia" w:ascii="仿宋" w:hAnsi="仿宋" w:eastAsia="仿宋"/>
          <w:b w:val="0"/>
          <w:color w:val="000000"/>
        </w:rPr>
        <w:t>一、收</w:t>
      </w:r>
      <w:r>
        <w:rPr>
          <w:rStyle w:val="26"/>
          <w:rFonts w:hint="eastAsia" w:ascii="仿宋" w:hAnsi="仿宋" w:eastAsia="仿宋"/>
          <w:b w:val="0"/>
          <w:bCs w:val="0"/>
        </w:rPr>
        <w:t>入支出决算总表</w:t>
      </w:r>
      <w:bookmarkEnd w:id="60"/>
    </w:p>
    <w:p>
      <w:pPr>
        <w:pStyle w:val="3"/>
        <w:rPr>
          <w:rFonts w:ascii="仿宋" w:hAnsi="仿宋" w:eastAsia="仿宋"/>
          <w:color w:val="000000"/>
        </w:rPr>
      </w:pPr>
      <w:bookmarkStart w:id="61" w:name="_Toc15396620"/>
      <w:r>
        <w:rPr>
          <w:rFonts w:hint="eastAsia" w:ascii="仿宋" w:hAnsi="仿宋" w:eastAsia="仿宋"/>
          <w:b w:val="0"/>
          <w:color w:val="000000"/>
        </w:rPr>
        <w:t>二、收</w:t>
      </w:r>
      <w:r>
        <w:rPr>
          <w:rStyle w:val="26"/>
          <w:rFonts w:hint="eastAsia" w:ascii="仿宋" w:hAnsi="仿宋" w:eastAsia="仿宋"/>
          <w:b w:val="0"/>
          <w:bCs w:val="0"/>
        </w:rPr>
        <w:t>入总表</w:t>
      </w:r>
      <w:bookmarkEnd w:id="61"/>
    </w:p>
    <w:p>
      <w:pPr>
        <w:pStyle w:val="3"/>
        <w:rPr>
          <w:rFonts w:ascii="仿宋" w:hAnsi="仿宋" w:eastAsia="仿宋"/>
          <w:color w:val="000000"/>
        </w:rPr>
      </w:pPr>
      <w:bookmarkStart w:id="62" w:name="_Toc15396621"/>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出总表</w:t>
      </w:r>
      <w:bookmarkEnd w:id="62"/>
    </w:p>
    <w:p>
      <w:pPr>
        <w:pStyle w:val="3"/>
        <w:rPr>
          <w:rFonts w:ascii="仿宋" w:hAnsi="仿宋" w:eastAsia="仿宋"/>
          <w:b w:val="0"/>
          <w:color w:val="000000"/>
        </w:rPr>
      </w:pPr>
      <w:bookmarkStart w:id="63" w:name="_Toc15396622"/>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63"/>
    </w:p>
    <w:p>
      <w:pPr>
        <w:pStyle w:val="3"/>
        <w:rPr>
          <w:rFonts w:ascii="仿宋" w:hAnsi="仿宋" w:eastAsia="仿宋"/>
          <w:color w:val="000000"/>
        </w:rPr>
      </w:pPr>
      <w:bookmarkStart w:id="64" w:name="_Toc15396623"/>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政拨款支出决算明细表（政府经济分类科目）</w:t>
      </w:r>
      <w:bookmarkEnd w:id="64"/>
    </w:p>
    <w:p>
      <w:pPr>
        <w:pStyle w:val="3"/>
        <w:rPr>
          <w:rFonts w:ascii="仿宋" w:hAnsi="仿宋" w:eastAsia="仿宋"/>
          <w:color w:val="000000"/>
        </w:rPr>
      </w:pPr>
      <w:bookmarkStart w:id="65" w:name="_Toc15396624"/>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65"/>
    </w:p>
    <w:p>
      <w:pPr>
        <w:pStyle w:val="3"/>
        <w:rPr>
          <w:rFonts w:ascii="仿宋" w:hAnsi="仿宋" w:eastAsia="仿宋"/>
          <w:color w:val="000000"/>
        </w:rPr>
      </w:pPr>
      <w:bookmarkStart w:id="66" w:name="_Toc15396625"/>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66"/>
    </w:p>
    <w:p>
      <w:pPr>
        <w:pStyle w:val="3"/>
        <w:rPr>
          <w:rFonts w:ascii="仿宋" w:hAnsi="仿宋" w:eastAsia="仿宋"/>
          <w:color w:val="000000"/>
        </w:rPr>
      </w:pPr>
      <w:bookmarkStart w:id="67" w:name="_Toc15396626"/>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67"/>
    </w:p>
    <w:p>
      <w:pPr>
        <w:pStyle w:val="3"/>
        <w:rPr>
          <w:rFonts w:ascii="仿宋" w:hAnsi="仿宋" w:eastAsia="仿宋"/>
          <w:color w:val="000000"/>
        </w:rPr>
      </w:pPr>
      <w:bookmarkStart w:id="68" w:name="_Toc15396627"/>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68"/>
    </w:p>
    <w:p>
      <w:pPr>
        <w:pStyle w:val="3"/>
        <w:rPr>
          <w:rFonts w:ascii="仿宋" w:hAnsi="仿宋" w:eastAsia="仿宋"/>
          <w:color w:val="000000"/>
        </w:rPr>
      </w:pPr>
      <w:bookmarkStart w:id="69" w:name="_Toc15396628"/>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69"/>
    </w:p>
    <w:p>
      <w:pPr>
        <w:pStyle w:val="3"/>
        <w:rPr>
          <w:rFonts w:ascii="仿宋" w:hAnsi="仿宋" w:eastAsia="仿宋"/>
          <w:color w:val="000000"/>
        </w:rPr>
      </w:pPr>
      <w:bookmarkStart w:id="70" w:name="_Toc15396629"/>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70"/>
    </w:p>
    <w:p>
      <w:pPr>
        <w:pStyle w:val="3"/>
        <w:rPr>
          <w:rFonts w:ascii="仿宋" w:hAnsi="仿宋" w:eastAsia="仿宋"/>
          <w:color w:val="000000"/>
        </w:rPr>
      </w:pPr>
      <w:bookmarkStart w:id="71" w:name="_Toc15396630"/>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71"/>
    </w:p>
    <w:p>
      <w:pPr>
        <w:pStyle w:val="3"/>
        <w:rPr>
          <w:rFonts w:ascii="仿宋" w:hAnsi="仿宋" w:eastAsia="仿宋"/>
          <w:color w:val="000000" w:themeColor="text1"/>
        </w:rPr>
      </w:pPr>
      <w:bookmarkStart w:id="72" w:name="_Toc15396631"/>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有资本经营预算支出决算表</w:t>
      </w:r>
      <w:bookmarkEnd w:id="7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docPartObj>
        <w:docPartGallery w:val="AutoText"/>
      </w:docPartObj>
    </w:sdtPr>
    <w:sdtContent>
      <w:p>
        <w:pPr>
          <w:pStyle w:val="8"/>
          <w:jc w:val="center"/>
        </w:pPr>
        <w:r>
          <w:fldChar w:fldCharType="begin"/>
        </w:r>
        <w:r>
          <w:instrText xml:space="preserve">PAGE   \* MERGEFORMAT</w:instrText>
        </w:r>
        <w:r>
          <w:fldChar w:fldCharType="separate"/>
        </w:r>
        <w:r>
          <w:rPr>
            <w:lang w:val="zh-CN"/>
          </w:rPr>
          <w:t>13</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2FA047D"/>
    <w:multiLevelType w:val="singleLevel"/>
    <w:tmpl w:val="E2FA047D"/>
    <w:lvl w:ilvl="0" w:tentative="0">
      <w:start w:val="3"/>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14483"/>
    <w:rsid w:val="000222C6"/>
    <w:rsid w:val="0002549F"/>
    <w:rsid w:val="00031FBF"/>
    <w:rsid w:val="000321A8"/>
    <w:rsid w:val="000428A8"/>
    <w:rsid w:val="00062518"/>
    <w:rsid w:val="0006487A"/>
    <w:rsid w:val="00065C3C"/>
    <w:rsid w:val="00065F8F"/>
    <w:rsid w:val="00066BB7"/>
    <w:rsid w:val="00070FEA"/>
    <w:rsid w:val="000768F2"/>
    <w:rsid w:val="000839DC"/>
    <w:rsid w:val="0009184B"/>
    <w:rsid w:val="00093BA8"/>
    <w:rsid w:val="00094BE5"/>
    <w:rsid w:val="0009593C"/>
    <w:rsid w:val="000A7558"/>
    <w:rsid w:val="000B047F"/>
    <w:rsid w:val="000B132B"/>
    <w:rsid w:val="000B5923"/>
    <w:rsid w:val="000B5A48"/>
    <w:rsid w:val="000B6FF3"/>
    <w:rsid w:val="000C2BD8"/>
    <w:rsid w:val="000C3467"/>
    <w:rsid w:val="000C3CA6"/>
    <w:rsid w:val="000D1267"/>
    <w:rsid w:val="000D1D50"/>
    <w:rsid w:val="000D5782"/>
    <w:rsid w:val="000E2769"/>
    <w:rsid w:val="000E6613"/>
    <w:rsid w:val="000E7119"/>
    <w:rsid w:val="00114E9B"/>
    <w:rsid w:val="0011674A"/>
    <w:rsid w:val="00132E25"/>
    <w:rsid w:val="00133435"/>
    <w:rsid w:val="00140A5E"/>
    <w:rsid w:val="0014729F"/>
    <w:rsid w:val="00150794"/>
    <w:rsid w:val="00157BAB"/>
    <w:rsid w:val="001650EC"/>
    <w:rsid w:val="001654D1"/>
    <w:rsid w:val="0017097B"/>
    <w:rsid w:val="0018106D"/>
    <w:rsid w:val="001877A7"/>
    <w:rsid w:val="00190346"/>
    <w:rsid w:val="00190F6D"/>
    <w:rsid w:val="00191536"/>
    <w:rsid w:val="00194E8F"/>
    <w:rsid w:val="00195B6F"/>
    <w:rsid w:val="00196448"/>
    <w:rsid w:val="00196687"/>
    <w:rsid w:val="001A43D9"/>
    <w:rsid w:val="001A72E4"/>
    <w:rsid w:val="001B6E6D"/>
    <w:rsid w:val="001C0962"/>
    <w:rsid w:val="001C20F7"/>
    <w:rsid w:val="001D7531"/>
    <w:rsid w:val="001E4DA5"/>
    <w:rsid w:val="001E737D"/>
    <w:rsid w:val="001F0592"/>
    <w:rsid w:val="001F554F"/>
    <w:rsid w:val="001F63A5"/>
    <w:rsid w:val="001F7506"/>
    <w:rsid w:val="002006CD"/>
    <w:rsid w:val="00201737"/>
    <w:rsid w:val="00202B36"/>
    <w:rsid w:val="00204B7A"/>
    <w:rsid w:val="0021101A"/>
    <w:rsid w:val="00220192"/>
    <w:rsid w:val="00220536"/>
    <w:rsid w:val="00235629"/>
    <w:rsid w:val="00244BF7"/>
    <w:rsid w:val="00256974"/>
    <w:rsid w:val="0025733F"/>
    <w:rsid w:val="002605A9"/>
    <w:rsid w:val="00260C38"/>
    <w:rsid w:val="002616C0"/>
    <w:rsid w:val="002662AA"/>
    <w:rsid w:val="00275549"/>
    <w:rsid w:val="0027714B"/>
    <w:rsid w:val="00280496"/>
    <w:rsid w:val="00283C67"/>
    <w:rsid w:val="00285338"/>
    <w:rsid w:val="00291860"/>
    <w:rsid w:val="00295495"/>
    <w:rsid w:val="002A026E"/>
    <w:rsid w:val="002A537F"/>
    <w:rsid w:val="002A604A"/>
    <w:rsid w:val="002B2613"/>
    <w:rsid w:val="002C7CD1"/>
    <w:rsid w:val="002C7CD3"/>
    <w:rsid w:val="002F1818"/>
    <w:rsid w:val="002F567B"/>
    <w:rsid w:val="002F6F2F"/>
    <w:rsid w:val="00303928"/>
    <w:rsid w:val="00313ED6"/>
    <w:rsid w:val="003216A9"/>
    <w:rsid w:val="00341618"/>
    <w:rsid w:val="00346E7E"/>
    <w:rsid w:val="00351792"/>
    <w:rsid w:val="003568E9"/>
    <w:rsid w:val="00356E22"/>
    <w:rsid w:val="0037013F"/>
    <w:rsid w:val="00376D71"/>
    <w:rsid w:val="00380C92"/>
    <w:rsid w:val="00382DF8"/>
    <w:rsid w:val="0039001A"/>
    <w:rsid w:val="003A484F"/>
    <w:rsid w:val="003B0BE0"/>
    <w:rsid w:val="003B0C1B"/>
    <w:rsid w:val="003B5298"/>
    <w:rsid w:val="003B688C"/>
    <w:rsid w:val="003C0291"/>
    <w:rsid w:val="003C0DCE"/>
    <w:rsid w:val="003C39AE"/>
    <w:rsid w:val="003C4F17"/>
    <w:rsid w:val="003C7B60"/>
    <w:rsid w:val="003D144B"/>
    <w:rsid w:val="003D1FB2"/>
    <w:rsid w:val="003D66DA"/>
    <w:rsid w:val="003E1310"/>
    <w:rsid w:val="003E58F2"/>
    <w:rsid w:val="003E6F55"/>
    <w:rsid w:val="003F516D"/>
    <w:rsid w:val="00406254"/>
    <w:rsid w:val="004223DE"/>
    <w:rsid w:val="00430984"/>
    <w:rsid w:val="004310D2"/>
    <w:rsid w:val="00434489"/>
    <w:rsid w:val="00434D58"/>
    <w:rsid w:val="00436997"/>
    <w:rsid w:val="00437085"/>
    <w:rsid w:val="00443880"/>
    <w:rsid w:val="004464F4"/>
    <w:rsid w:val="0045493B"/>
    <w:rsid w:val="00460C4C"/>
    <w:rsid w:val="004616ED"/>
    <w:rsid w:val="004679B0"/>
    <w:rsid w:val="00471401"/>
    <w:rsid w:val="00472F46"/>
    <w:rsid w:val="00473F31"/>
    <w:rsid w:val="0048263A"/>
    <w:rsid w:val="00487E5D"/>
    <w:rsid w:val="00492D65"/>
    <w:rsid w:val="0049721F"/>
    <w:rsid w:val="004A41E8"/>
    <w:rsid w:val="004A711F"/>
    <w:rsid w:val="004B199D"/>
    <w:rsid w:val="004B394D"/>
    <w:rsid w:val="004B4690"/>
    <w:rsid w:val="004B481D"/>
    <w:rsid w:val="004D1AAA"/>
    <w:rsid w:val="004D24AD"/>
    <w:rsid w:val="004E0A2D"/>
    <w:rsid w:val="004E206B"/>
    <w:rsid w:val="004E6DF7"/>
    <w:rsid w:val="004F0FBD"/>
    <w:rsid w:val="004F3C4C"/>
    <w:rsid w:val="00501492"/>
    <w:rsid w:val="00501C8E"/>
    <w:rsid w:val="00505A47"/>
    <w:rsid w:val="00512FDA"/>
    <w:rsid w:val="00520DA0"/>
    <w:rsid w:val="00522363"/>
    <w:rsid w:val="0052586D"/>
    <w:rsid w:val="00533D0E"/>
    <w:rsid w:val="00543101"/>
    <w:rsid w:val="005454C1"/>
    <w:rsid w:val="00561028"/>
    <w:rsid w:val="005664BB"/>
    <w:rsid w:val="0057481D"/>
    <w:rsid w:val="00581314"/>
    <w:rsid w:val="0058486E"/>
    <w:rsid w:val="005C014C"/>
    <w:rsid w:val="005D1C8B"/>
    <w:rsid w:val="005D5CED"/>
    <w:rsid w:val="005F1A4C"/>
    <w:rsid w:val="005F2198"/>
    <w:rsid w:val="005F7C6F"/>
    <w:rsid w:val="00605688"/>
    <w:rsid w:val="006070AF"/>
    <w:rsid w:val="00607E6C"/>
    <w:rsid w:val="006101B1"/>
    <w:rsid w:val="00614AA3"/>
    <w:rsid w:val="00614E44"/>
    <w:rsid w:val="00622830"/>
    <w:rsid w:val="00630AEF"/>
    <w:rsid w:val="006325F8"/>
    <w:rsid w:val="006343D0"/>
    <w:rsid w:val="00634C9A"/>
    <w:rsid w:val="00637F55"/>
    <w:rsid w:val="006440E4"/>
    <w:rsid w:val="0064777E"/>
    <w:rsid w:val="0066343B"/>
    <w:rsid w:val="00664777"/>
    <w:rsid w:val="00666667"/>
    <w:rsid w:val="006708F5"/>
    <w:rsid w:val="00671DFE"/>
    <w:rsid w:val="00672385"/>
    <w:rsid w:val="006740D6"/>
    <w:rsid w:val="006748A4"/>
    <w:rsid w:val="00683E73"/>
    <w:rsid w:val="006862E4"/>
    <w:rsid w:val="006901C9"/>
    <w:rsid w:val="006A02E8"/>
    <w:rsid w:val="006A1409"/>
    <w:rsid w:val="006A3141"/>
    <w:rsid w:val="006A3903"/>
    <w:rsid w:val="006A5E34"/>
    <w:rsid w:val="006B2422"/>
    <w:rsid w:val="006B2B9A"/>
    <w:rsid w:val="006B7776"/>
    <w:rsid w:val="006C1937"/>
    <w:rsid w:val="006D13B4"/>
    <w:rsid w:val="006F020C"/>
    <w:rsid w:val="00711F97"/>
    <w:rsid w:val="007127B7"/>
    <w:rsid w:val="0071466D"/>
    <w:rsid w:val="007416B6"/>
    <w:rsid w:val="007417CE"/>
    <w:rsid w:val="00746B03"/>
    <w:rsid w:val="00746F48"/>
    <w:rsid w:val="0075404D"/>
    <w:rsid w:val="0076182A"/>
    <w:rsid w:val="007647EE"/>
    <w:rsid w:val="00767B7E"/>
    <w:rsid w:val="007770C3"/>
    <w:rsid w:val="00784D24"/>
    <w:rsid w:val="00785064"/>
    <w:rsid w:val="00785FBA"/>
    <w:rsid w:val="00786E4A"/>
    <w:rsid w:val="007875EB"/>
    <w:rsid w:val="007922C1"/>
    <w:rsid w:val="0079426B"/>
    <w:rsid w:val="007A3720"/>
    <w:rsid w:val="007B0931"/>
    <w:rsid w:val="007D149A"/>
    <w:rsid w:val="007D312A"/>
    <w:rsid w:val="007D3F19"/>
    <w:rsid w:val="007E23B0"/>
    <w:rsid w:val="007F1991"/>
    <w:rsid w:val="007F2C2F"/>
    <w:rsid w:val="007F55FC"/>
    <w:rsid w:val="007F5665"/>
    <w:rsid w:val="00800112"/>
    <w:rsid w:val="0081624E"/>
    <w:rsid w:val="008253BB"/>
    <w:rsid w:val="00827C51"/>
    <w:rsid w:val="00835098"/>
    <w:rsid w:val="0083706E"/>
    <w:rsid w:val="008423A5"/>
    <w:rsid w:val="008465FA"/>
    <w:rsid w:val="00850625"/>
    <w:rsid w:val="00853718"/>
    <w:rsid w:val="00855221"/>
    <w:rsid w:val="00860645"/>
    <w:rsid w:val="0086406A"/>
    <w:rsid w:val="0086436A"/>
    <w:rsid w:val="00871EA9"/>
    <w:rsid w:val="00871F71"/>
    <w:rsid w:val="00876045"/>
    <w:rsid w:val="00881C4C"/>
    <w:rsid w:val="00885AF4"/>
    <w:rsid w:val="0089036A"/>
    <w:rsid w:val="00890AA5"/>
    <w:rsid w:val="00891E34"/>
    <w:rsid w:val="00892C0D"/>
    <w:rsid w:val="008939CD"/>
    <w:rsid w:val="00896169"/>
    <w:rsid w:val="008B768C"/>
    <w:rsid w:val="008C0B9B"/>
    <w:rsid w:val="008C4DB1"/>
    <w:rsid w:val="008C4EAF"/>
    <w:rsid w:val="008C5176"/>
    <w:rsid w:val="008C7FD0"/>
    <w:rsid w:val="008D6F05"/>
    <w:rsid w:val="008E1DE7"/>
    <w:rsid w:val="008E707C"/>
    <w:rsid w:val="008F2198"/>
    <w:rsid w:val="008F2BD4"/>
    <w:rsid w:val="00900B08"/>
    <w:rsid w:val="00902155"/>
    <w:rsid w:val="00902FA3"/>
    <w:rsid w:val="0090390F"/>
    <w:rsid w:val="00905F92"/>
    <w:rsid w:val="00923564"/>
    <w:rsid w:val="0092392E"/>
    <w:rsid w:val="009315F9"/>
    <w:rsid w:val="00932534"/>
    <w:rsid w:val="0093374E"/>
    <w:rsid w:val="00934E68"/>
    <w:rsid w:val="00946945"/>
    <w:rsid w:val="00950249"/>
    <w:rsid w:val="00951248"/>
    <w:rsid w:val="0095152F"/>
    <w:rsid w:val="00954C49"/>
    <w:rsid w:val="00964506"/>
    <w:rsid w:val="0097099F"/>
    <w:rsid w:val="00971385"/>
    <w:rsid w:val="00971997"/>
    <w:rsid w:val="00971FFC"/>
    <w:rsid w:val="00977888"/>
    <w:rsid w:val="0098660A"/>
    <w:rsid w:val="009931C3"/>
    <w:rsid w:val="009A3DC9"/>
    <w:rsid w:val="009B2C43"/>
    <w:rsid w:val="009B4EAE"/>
    <w:rsid w:val="009B7573"/>
    <w:rsid w:val="009C04A0"/>
    <w:rsid w:val="009C22F4"/>
    <w:rsid w:val="009C2E98"/>
    <w:rsid w:val="009C5DF5"/>
    <w:rsid w:val="009D3447"/>
    <w:rsid w:val="009D4711"/>
    <w:rsid w:val="009F10E5"/>
    <w:rsid w:val="009F1185"/>
    <w:rsid w:val="009F18CD"/>
    <w:rsid w:val="009F2435"/>
    <w:rsid w:val="009F2A13"/>
    <w:rsid w:val="009F524D"/>
    <w:rsid w:val="00A03651"/>
    <w:rsid w:val="00A04EB0"/>
    <w:rsid w:val="00A13CC1"/>
    <w:rsid w:val="00A16847"/>
    <w:rsid w:val="00A237D8"/>
    <w:rsid w:val="00A268C4"/>
    <w:rsid w:val="00A307CD"/>
    <w:rsid w:val="00A40A00"/>
    <w:rsid w:val="00A4142F"/>
    <w:rsid w:val="00A51380"/>
    <w:rsid w:val="00A56DF2"/>
    <w:rsid w:val="00A61059"/>
    <w:rsid w:val="00A62FFC"/>
    <w:rsid w:val="00A67AB5"/>
    <w:rsid w:val="00A84585"/>
    <w:rsid w:val="00A86338"/>
    <w:rsid w:val="00A90FB8"/>
    <w:rsid w:val="00A91760"/>
    <w:rsid w:val="00A92A25"/>
    <w:rsid w:val="00A93B00"/>
    <w:rsid w:val="00A93C21"/>
    <w:rsid w:val="00AA7546"/>
    <w:rsid w:val="00AB3F0E"/>
    <w:rsid w:val="00AB62D7"/>
    <w:rsid w:val="00AC3C6A"/>
    <w:rsid w:val="00AC666C"/>
    <w:rsid w:val="00AD5620"/>
    <w:rsid w:val="00AD7C1B"/>
    <w:rsid w:val="00AE16BA"/>
    <w:rsid w:val="00AE1EBE"/>
    <w:rsid w:val="00AE5666"/>
    <w:rsid w:val="00AF7C2E"/>
    <w:rsid w:val="00B03C9D"/>
    <w:rsid w:val="00B060AE"/>
    <w:rsid w:val="00B10517"/>
    <w:rsid w:val="00B14E76"/>
    <w:rsid w:val="00B161B8"/>
    <w:rsid w:val="00B2048C"/>
    <w:rsid w:val="00B310B9"/>
    <w:rsid w:val="00B340DE"/>
    <w:rsid w:val="00B35896"/>
    <w:rsid w:val="00B35F3F"/>
    <w:rsid w:val="00B36CBB"/>
    <w:rsid w:val="00B425E0"/>
    <w:rsid w:val="00B42E49"/>
    <w:rsid w:val="00B440AA"/>
    <w:rsid w:val="00B44B70"/>
    <w:rsid w:val="00B53C56"/>
    <w:rsid w:val="00B60DA4"/>
    <w:rsid w:val="00B61061"/>
    <w:rsid w:val="00B649E0"/>
    <w:rsid w:val="00B74897"/>
    <w:rsid w:val="00B77EA6"/>
    <w:rsid w:val="00B81598"/>
    <w:rsid w:val="00B82D13"/>
    <w:rsid w:val="00B84167"/>
    <w:rsid w:val="00B841F1"/>
    <w:rsid w:val="00B905FE"/>
    <w:rsid w:val="00B944D6"/>
    <w:rsid w:val="00B96D33"/>
    <w:rsid w:val="00BA0B7D"/>
    <w:rsid w:val="00BB4DF0"/>
    <w:rsid w:val="00BC289F"/>
    <w:rsid w:val="00BC5361"/>
    <w:rsid w:val="00BC5460"/>
    <w:rsid w:val="00BC6B50"/>
    <w:rsid w:val="00BD0E25"/>
    <w:rsid w:val="00BD2C28"/>
    <w:rsid w:val="00BF5BD6"/>
    <w:rsid w:val="00C01865"/>
    <w:rsid w:val="00C03E31"/>
    <w:rsid w:val="00C066E3"/>
    <w:rsid w:val="00C223EF"/>
    <w:rsid w:val="00C23E5E"/>
    <w:rsid w:val="00C24419"/>
    <w:rsid w:val="00C2563C"/>
    <w:rsid w:val="00C25AAF"/>
    <w:rsid w:val="00C33E72"/>
    <w:rsid w:val="00C34793"/>
    <w:rsid w:val="00C354B2"/>
    <w:rsid w:val="00C35554"/>
    <w:rsid w:val="00C42709"/>
    <w:rsid w:val="00C5033F"/>
    <w:rsid w:val="00C50B1C"/>
    <w:rsid w:val="00C533CC"/>
    <w:rsid w:val="00C533F9"/>
    <w:rsid w:val="00C54056"/>
    <w:rsid w:val="00C54CCA"/>
    <w:rsid w:val="00C5751C"/>
    <w:rsid w:val="00C61BFC"/>
    <w:rsid w:val="00C62B85"/>
    <w:rsid w:val="00C65438"/>
    <w:rsid w:val="00C73348"/>
    <w:rsid w:val="00C81B6A"/>
    <w:rsid w:val="00C91CBB"/>
    <w:rsid w:val="00CC09B6"/>
    <w:rsid w:val="00CC666F"/>
    <w:rsid w:val="00CC66AF"/>
    <w:rsid w:val="00CD1E3F"/>
    <w:rsid w:val="00CE44F6"/>
    <w:rsid w:val="00CE49DA"/>
    <w:rsid w:val="00CE7B61"/>
    <w:rsid w:val="00CF250E"/>
    <w:rsid w:val="00D00095"/>
    <w:rsid w:val="00D01FE7"/>
    <w:rsid w:val="00D026B2"/>
    <w:rsid w:val="00D02E07"/>
    <w:rsid w:val="00D174D1"/>
    <w:rsid w:val="00D20620"/>
    <w:rsid w:val="00D22CC0"/>
    <w:rsid w:val="00D26091"/>
    <w:rsid w:val="00D27E26"/>
    <w:rsid w:val="00D3000A"/>
    <w:rsid w:val="00D32658"/>
    <w:rsid w:val="00D34E7C"/>
    <w:rsid w:val="00D35489"/>
    <w:rsid w:val="00D41B6E"/>
    <w:rsid w:val="00D453B6"/>
    <w:rsid w:val="00D51276"/>
    <w:rsid w:val="00D56B3D"/>
    <w:rsid w:val="00D56DA2"/>
    <w:rsid w:val="00D7035F"/>
    <w:rsid w:val="00D96D52"/>
    <w:rsid w:val="00D97872"/>
    <w:rsid w:val="00DA65AC"/>
    <w:rsid w:val="00DB1235"/>
    <w:rsid w:val="00DB1913"/>
    <w:rsid w:val="00DB2B3E"/>
    <w:rsid w:val="00DC410D"/>
    <w:rsid w:val="00DC68CA"/>
    <w:rsid w:val="00DC7CBA"/>
    <w:rsid w:val="00DD580D"/>
    <w:rsid w:val="00DD73B7"/>
    <w:rsid w:val="00DE5247"/>
    <w:rsid w:val="00DF28BC"/>
    <w:rsid w:val="00DF34B9"/>
    <w:rsid w:val="00E01053"/>
    <w:rsid w:val="00E07ACF"/>
    <w:rsid w:val="00E15EA8"/>
    <w:rsid w:val="00E24C23"/>
    <w:rsid w:val="00E331A1"/>
    <w:rsid w:val="00E33202"/>
    <w:rsid w:val="00E336A9"/>
    <w:rsid w:val="00E50624"/>
    <w:rsid w:val="00E568DF"/>
    <w:rsid w:val="00E62952"/>
    <w:rsid w:val="00E64269"/>
    <w:rsid w:val="00E72B35"/>
    <w:rsid w:val="00E73094"/>
    <w:rsid w:val="00E750D2"/>
    <w:rsid w:val="00E754D6"/>
    <w:rsid w:val="00E81A9B"/>
    <w:rsid w:val="00E82267"/>
    <w:rsid w:val="00E90B1A"/>
    <w:rsid w:val="00E94738"/>
    <w:rsid w:val="00E95BD3"/>
    <w:rsid w:val="00EA010F"/>
    <w:rsid w:val="00EA06B6"/>
    <w:rsid w:val="00EB7F1F"/>
    <w:rsid w:val="00ED1B63"/>
    <w:rsid w:val="00ED3C1F"/>
    <w:rsid w:val="00ED4085"/>
    <w:rsid w:val="00ED420E"/>
    <w:rsid w:val="00ED7754"/>
    <w:rsid w:val="00EE05B9"/>
    <w:rsid w:val="00EE2F57"/>
    <w:rsid w:val="00EF4C34"/>
    <w:rsid w:val="00EF4FAD"/>
    <w:rsid w:val="00EF77C6"/>
    <w:rsid w:val="00F037F1"/>
    <w:rsid w:val="00F03A94"/>
    <w:rsid w:val="00F05438"/>
    <w:rsid w:val="00F07901"/>
    <w:rsid w:val="00F1361C"/>
    <w:rsid w:val="00F160C7"/>
    <w:rsid w:val="00F36D8F"/>
    <w:rsid w:val="00F417B1"/>
    <w:rsid w:val="00F4454C"/>
    <w:rsid w:val="00F602DF"/>
    <w:rsid w:val="00F61B31"/>
    <w:rsid w:val="00F6469A"/>
    <w:rsid w:val="00F65A5B"/>
    <w:rsid w:val="00F7083C"/>
    <w:rsid w:val="00F81FD9"/>
    <w:rsid w:val="00F841AA"/>
    <w:rsid w:val="00F857BC"/>
    <w:rsid w:val="00FA23E8"/>
    <w:rsid w:val="00FC13D5"/>
    <w:rsid w:val="00FC3339"/>
    <w:rsid w:val="00FC6F3E"/>
    <w:rsid w:val="00FD3CC1"/>
    <w:rsid w:val="00FF1139"/>
    <w:rsid w:val="00FF1E02"/>
    <w:rsid w:val="00FF30B4"/>
    <w:rsid w:val="10C055FF"/>
    <w:rsid w:val="16BB723D"/>
    <w:rsid w:val="240371BF"/>
    <w:rsid w:val="29FD04D3"/>
    <w:rsid w:val="319F7F4E"/>
    <w:rsid w:val="4CFE0781"/>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semiHidden/>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rPr>
  </w:style>
  <w:style w:type="character" w:customStyle="1" w:styleId="17">
    <w:name w:val="Header Char"/>
    <w:basedOn w:val="14"/>
    <w:semiHidden/>
    <w:uiPriority w:val="99"/>
    <w:rPr>
      <w:rFonts w:ascii="Times New Roman" w:hAnsi="Times New Roman"/>
      <w:sz w:val="18"/>
      <w:szCs w:val="18"/>
    </w:rPr>
  </w:style>
  <w:style w:type="character" w:customStyle="1" w:styleId="18">
    <w:name w:val="页眉 Char"/>
    <w:link w:val="9"/>
    <w:semiHidden/>
    <w:locked/>
    <w:uiPriority w:val="99"/>
    <w:rPr>
      <w:sz w:val="18"/>
    </w:rPr>
  </w:style>
  <w:style w:type="character" w:customStyle="1" w:styleId="19">
    <w:name w:val="Footer Char"/>
    <w:basedOn w:val="14"/>
    <w:semiHidden/>
    <w:uiPriority w:val="99"/>
    <w:rPr>
      <w:rFonts w:ascii="Times New Roman" w:hAnsi="Times New Roman"/>
      <w:sz w:val="18"/>
      <w:szCs w:val="18"/>
    </w:rPr>
  </w:style>
  <w:style w:type="character" w:customStyle="1" w:styleId="20">
    <w:name w:val="页脚 Char"/>
    <w:link w:val="8"/>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Char"/>
    <w:link w:val="5"/>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4"/>
    <w:link w:val="2"/>
    <w:qFormat/>
    <w:uiPriority w:val="9"/>
    <w:rPr>
      <w:rFonts w:ascii="Times New Roman" w:hAnsi="Times New Roman"/>
      <w:b/>
      <w:bCs/>
      <w:kern w:val="44"/>
      <w:sz w:val="44"/>
      <w:szCs w:val="44"/>
    </w:rPr>
  </w:style>
  <w:style w:type="character" w:customStyle="1" w:styleId="26">
    <w:name w:val="标题 2 Char"/>
    <w:basedOn w:val="14"/>
    <w:link w:val="3"/>
    <w:qFormat/>
    <w:uiPriority w:val="9"/>
    <w:rPr>
      <w:rFonts w:asciiTheme="majorHAnsi" w:hAnsiTheme="majorHAnsi" w:eastAsiaTheme="majorEastAsia" w:cstheme="majorBidi"/>
      <w:b/>
      <w:bCs/>
      <w:kern w:val="2"/>
      <w:sz w:val="32"/>
      <w:szCs w:val="32"/>
    </w:rPr>
  </w:style>
  <w:style w:type="paragraph" w:customStyle="1" w:styleId="27">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8">
    <w:name w:val="批注框文本 Char"/>
    <w:basedOn w:val="14"/>
    <w:link w:val="7"/>
    <w:semiHidden/>
    <w:uiPriority w:val="99"/>
    <w:rPr>
      <w:rFonts w:ascii="Times New Roman" w:hAnsi="Times New Roman"/>
      <w:kern w:val="2"/>
      <w:sz w:val="18"/>
      <w:szCs w:val="18"/>
    </w:rPr>
  </w:style>
  <w:style w:type="character" w:customStyle="1" w:styleId="29">
    <w:name w:val="标题 3 Char"/>
    <w:basedOn w:val="14"/>
    <w:link w:val="4"/>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Book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istrator\Desktop\Book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istrator\Desktop\Book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istrator\Desktop\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Lbls>
            <c:delete val="1"/>
          </c:dLbls>
          <c:cat>
            <c:strRef>
              <c:f>Sheet1!$A$70:$B$70</c:f>
              <c:strCache>
                <c:ptCount val="2"/>
                <c:pt idx="0">
                  <c:v>一般公共预算财政拨款收入</c:v>
                </c:pt>
                <c:pt idx="1">
                  <c:v>政府性基金预算财政拨款收入</c:v>
                </c:pt>
              </c:strCache>
            </c:strRef>
          </c:cat>
          <c:val>
            <c:numRef>
              <c:f>Sheet1!$A$71:$B$71</c:f>
              <c:numCache>
                <c:formatCode>General</c:formatCode>
                <c:ptCount val="2"/>
                <c:pt idx="0">
                  <c:v>792.48</c:v>
                </c:pt>
                <c:pt idx="1">
                  <c:v>0</c:v>
                </c:pt>
              </c:numCache>
            </c:numRef>
          </c:val>
        </c:ser>
        <c:dLbls>
          <c:showLegendKey val="0"/>
          <c:showVal val="0"/>
          <c:showCatName val="0"/>
          <c:showSerName val="0"/>
          <c:showPercent val="0"/>
          <c:showBubbleSize val="0"/>
          <c:showLeaderLines val="1"/>
        </c:dLbls>
        <c:firstSliceAng val="15"/>
      </c:pieChart>
      <c:spPr>
        <a:no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25"/>
          <c:dPt>
            <c:idx val="0"/>
            <c:bubble3D val="0"/>
          </c:dPt>
          <c:dPt>
            <c:idx val="1"/>
            <c:bubble3D val="0"/>
          </c:dPt>
          <c:dLbls>
            <c:delete val="1"/>
          </c:dLbls>
          <c:cat>
            <c:strRef>
              <c:f>Sheet1!$A$80:$B$80</c:f>
              <c:strCache>
                <c:ptCount val="2"/>
                <c:pt idx="0">
                  <c:v>基本支出</c:v>
                </c:pt>
                <c:pt idx="1">
                  <c:v>项目支出</c:v>
                </c:pt>
              </c:strCache>
            </c:strRef>
          </c:cat>
          <c:val>
            <c:numRef>
              <c:f>Sheet1!$A$81:$B$81</c:f>
              <c:numCache>
                <c:formatCode>General</c:formatCode>
                <c:ptCount val="2"/>
                <c:pt idx="0">
                  <c:v>1004.98</c:v>
                </c:pt>
                <c:pt idx="1">
                  <c:v>0</c:v>
                </c:pt>
              </c:numCache>
            </c:numRef>
          </c:val>
        </c:ser>
        <c:dLbls>
          <c:showLegendKey val="0"/>
          <c:showVal val="0"/>
          <c:showCatName val="0"/>
          <c:showSerName val="0"/>
          <c:showPercent val="0"/>
          <c:showBubbleSize val="0"/>
          <c:showLeaderLines val="1"/>
        </c:dLbls>
        <c:firstSliceAng val="15"/>
      </c:pieChart>
      <c:spPr>
        <a:no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Pt>
            <c:idx val="2"/>
            <c:bubble3D val="0"/>
          </c:dPt>
          <c:dLbls>
            <c:delete val="1"/>
          </c:dLbls>
          <c:cat>
            <c:strRef>
              <c:f>Sheet1!$A$96:$C$96</c:f>
              <c:strCache>
                <c:ptCount val="3"/>
                <c:pt idx="0">
                  <c:v>社会保障和就业（类）支出</c:v>
                </c:pt>
                <c:pt idx="1">
                  <c:v>医疗卫生与计划生育（类）支出</c:v>
                </c:pt>
                <c:pt idx="2">
                  <c:v>住房保障支出</c:v>
                </c:pt>
              </c:strCache>
            </c:strRef>
          </c:cat>
          <c:val>
            <c:numRef>
              <c:f>Sheet1!$A$97:$C$97</c:f>
              <c:numCache>
                <c:formatCode>General</c:formatCode>
                <c:ptCount val="3"/>
                <c:pt idx="0">
                  <c:v>895.36</c:v>
                </c:pt>
                <c:pt idx="1">
                  <c:v>30.64</c:v>
                </c:pt>
                <c:pt idx="2">
                  <c:v>78.98</c:v>
                </c:pt>
              </c:numCache>
            </c:numRef>
          </c:val>
        </c:ser>
        <c:dLbls>
          <c:showLegendKey val="0"/>
          <c:showVal val="0"/>
          <c:showCatName val="0"/>
          <c:showSerName val="0"/>
          <c:showPercent val="0"/>
          <c:showBubbleSize val="0"/>
          <c:showLeaderLines val="1"/>
        </c:dLbls>
        <c:firstSliceAng val="15"/>
      </c:pieChart>
      <c:spPr>
        <a:no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25"/>
          <c:dPt>
            <c:idx val="0"/>
            <c:bubble3D val="0"/>
          </c:dPt>
          <c:dPt>
            <c:idx val="1"/>
            <c:bubble3D val="0"/>
          </c:dPt>
          <c:dLbls>
            <c:delete val="1"/>
          </c:dLbls>
          <c:cat>
            <c:strRef>
              <c:f>Sheet1!$A$100:$B$100</c:f>
              <c:strCache>
                <c:ptCount val="2"/>
                <c:pt idx="0">
                  <c:v>公务接待费支出</c:v>
                </c:pt>
                <c:pt idx="1">
                  <c:v>公务用车运行维护费</c:v>
                </c:pt>
              </c:strCache>
            </c:strRef>
          </c:cat>
          <c:val>
            <c:numRef>
              <c:f>Sheet1!$A$101:$B$101</c:f>
              <c:numCache>
                <c:formatCode>General</c:formatCode>
                <c:ptCount val="2"/>
                <c:pt idx="0">
                  <c:v>0.21</c:v>
                </c:pt>
                <c:pt idx="1">
                  <c:v>0</c:v>
                </c:pt>
              </c:numCache>
            </c:numRef>
          </c:val>
        </c:ser>
        <c:dLbls>
          <c:showLegendKey val="0"/>
          <c:showVal val="0"/>
          <c:showCatName val="0"/>
          <c:showSerName val="0"/>
          <c:showPercent val="0"/>
          <c:showBubbleSize val="0"/>
          <c:showLeaderLines val="1"/>
        </c:dLbls>
        <c:firstSliceAng val="15"/>
      </c:pieChart>
      <c:spPr>
        <a:no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DF1E00-7BFF-44EA-9FA4-D0356DA23B66}">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27</Pages>
  <Words>11203</Words>
  <Characters>2755</Characters>
  <Lines>22</Lines>
  <Paragraphs>27</Paragraphs>
  <TotalTime>1303</TotalTime>
  <ScaleCrop>false</ScaleCrop>
  <LinksUpToDate>false</LinksUpToDate>
  <CharactersWithSpaces>13931</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陶淑群 </cp:lastModifiedBy>
  <cp:lastPrinted>2019-10-21T07:57:00Z</cp:lastPrinted>
  <dcterms:modified xsi:type="dcterms:W3CDTF">2021-02-27T08:35:01Z</dcterms:modified>
  <dc:title>四川省***</dc:title>
  <cp:revision>219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