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560" w:lineRule="exact"/>
        <w:jc w:val="center"/>
        <w:rPr>
          <w:rFonts w:ascii="方正小标宋_GBK" w:hAnsi="方正小标宋_GBK" w:eastAsia="方正小标宋_GBK" w:cs="方正小标宋_GBK"/>
          <w:sz w:val="52"/>
          <w:szCs w:val="52"/>
        </w:rPr>
      </w:pPr>
      <w:bookmarkStart w:id="1" w:name="_Toc15377193"/>
      <w:bookmarkStart w:id="2" w:name="_Toc15396475"/>
      <w:bookmarkStart w:id="3" w:name="_Toc15377425"/>
      <w:bookmarkStart w:id="4" w:name="_Toc15378441"/>
      <w:bookmarkStart w:id="5" w:name="_Toc15396597"/>
      <w:r>
        <w:rPr>
          <w:rFonts w:hint="eastAsia" w:ascii="方正小标宋_GBK" w:hAnsi="方正小标宋_GBK" w:eastAsia="方正小标宋_GBK" w:cs="方正小标宋_GBK"/>
          <w:sz w:val="52"/>
          <w:szCs w:val="52"/>
        </w:rPr>
        <w:t>2020年度</w:t>
      </w:r>
      <w:bookmarkEnd w:id="1"/>
      <w:bookmarkEnd w:id="2"/>
      <w:bookmarkEnd w:id="3"/>
      <w:bookmarkEnd w:id="4"/>
      <w:bookmarkEnd w:id="5"/>
      <w:bookmarkStart w:id="6" w:name="_Toc15377426"/>
      <w:bookmarkStart w:id="7" w:name="_Toc15378442"/>
      <w:bookmarkStart w:id="8" w:name="_Toc15396476"/>
      <w:bookmarkStart w:id="9" w:name="_Toc15377194"/>
      <w:bookmarkStart w:id="10" w:name="_Toc15396598"/>
      <w:r>
        <w:rPr>
          <w:rFonts w:hint="eastAsia" w:ascii="方正小标宋_GBK" w:hAnsi="方正小标宋_GBK" w:eastAsia="方正小标宋_GBK" w:cs="方正小标宋_GBK"/>
          <w:sz w:val="52"/>
          <w:szCs w:val="52"/>
        </w:rPr>
        <w:t>四川省阿坝</w:t>
      </w:r>
      <w:bookmarkEnd w:id="0"/>
      <w:bookmarkStart w:id="11" w:name="_Toc15306268"/>
      <w:r>
        <w:rPr>
          <w:rFonts w:hint="eastAsia" w:ascii="方正小标宋_GBK" w:hAnsi="方正小标宋_GBK" w:eastAsia="方正小标宋_GBK" w:cs="方正小标宋_GBK"/>
          <w:sz w:val="52"/>
          <w:szCs w:val="52"/>
        </w:rPr>
        <w:t>州</w:t>
      </w:r>
    </w:p>
    <w:p>
      <w:pPr>
        <w:spacing w:line="560" w:lineRule="exact"/>
        <w:jc w:val="center"/>
        <w:rPr>
          <w:rFonts w:ascii="方正小标宋_GBK" w:hAnsi="方正小标宋_GBK" w:eastAsia="方正小标宋_GBK" w:cs="方正小标宋_GBK"/>
          <w:sz w:val="52"/>
          <w:szCs w:val="52"/>
        </w:rPr>
      </w:pPr>
      <w:r>
        <w:rPr>
          <w:rFonts w:hint="eastAsia" w:ascii="方正小标宋_GBK" w:hAnsi="方正小标宋_GBK" w:eastAsia="方正小标宋_GBK" w:cs="方正小标宋_GBK"/>
          <w:sz w:val="52"/>
          <w:szCs w:val="52"/>
        </w:rPr>
        <w:t xml:space="preserve"> 壤塘县社会救助福利服务中心</w:t>
      </w:r>
    </w:p>
    <w:p>
      <w:pPr>
        <w:spacing w:line="560" w:lineRule="exact"/>
        <w:jc w:val="center"/>
        <w:rPr>
          <w:rFonts w:ascii="方正小标宋_GBK" w:hAnsi="方正小标宋_GBK" w:eastAsia="方正小标宋_GBK" w:cs="方正小标宋_GBK"/>
          <w:sz w:val="52"/>
          <w:szCs w:val="52"/>
        </w:rPr>
      </w:pPr>
      <w:r>
        <w:rPr>
          <w:rFonts w:hint="eastAsia" w:ascii="方正小标宋_GBK" w:hAnsi="方正小标宋_GBK" w:eastAsia="方正小标宋_GBK" w:cs="方正小标宋_GBK"/>
          <w:sz w:val="52"/>
          <w:szCs w:val="52"/>
        </w:rPr>
        <w:t>部门决算</w:t>
      </w:r>
      <w:bookmarkEnd w:id="6"/>
      <w:bookmarkEnd w:id="7"/>
      <w:bookmarkEnd w:id="8"/>
      <w:bookmarkEnd w:id="9"/>
      <w:bookmarkEnd w:id="10"/>
      <w:bookmarkEnd w:id="11"/>
    </w:p>
    <w:p>
      <w:pPr>
        <w:jc w:val="center"/>
        <w:rPr>
          <w:rFonts w:ascii="方正小标宋简体" w:eastAsia="方正小标宋简体"/>
          <w:sz w:val="52"/>
          <w:szCs w:val="52"/>
        </w:rPr>
      </w:pPr>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保密审查情况：已审查，内容审定</w:t>
      </w:r>
    </w:p>
    <w:p>
      <w:pPr>
        <w:autoSpaceDE w:val="0"/>
        <w:autoSpaceDN w:val="0"/>
        <w:adjustRightInd w:val="0"/>
        <w:ind w:left="420" w:left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部门主要负责人审签情况：已审签，同意对外公开</w:t>
      </w: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3"/>
        <w:jc w:val="center"/>
        <w:rPr>
          <w:rFonts w:hint="default" w:hAnsiTheme="minorHAnsi" w:eastAsiaTheme="minorHAnsi"/>
          <w:b w:val="0"/>
          <w:bCs w:val="0"/>
          <w:sz w:val="24"/>
          <w:szCs w:val="24"/>
          <w:lang w:val="en-US" w:eastAsia="zh-CN"/>
        </w:rPr>
      </w:pPr>
      <w:r>
        <w:rPr>
          <w:rFonts w:hint="eastAsia" w:hAnsiTheme="minorHAnsi"/>
          <w:b w:val="0"/>
          <w:bCs w:val="0"/>
          <w:sz w:val="24"/>
          <w:szCs w:val="24"/>
        </w:rPr>
        <w:t>公开时间：2021年</w:t>
      </w:r>
      <w:r>
        <w:rPr>
          <w:rFonts w:hint="eastAsia" w:hAnsiTheme="minorHAnsi"/>
          <w:b w:val="0"/>
          <w:bCs w:val="0"/>
          <w:sz w:val="24"/>
          <w:szCs w:val="24"/>
          <w:lang w:val="en-US" w:eastAsia="zh-CN"/>
        </w:rPr>
        <w:t>10月</w:t>
      </w:r>
    </w:p>
    <w:p>
      <w:pPr>
        <w:pStyle w:val="13"/>
        <w:tabs>
          <w:tab w:val="right" w:leader="dot" w:pos="8296"/>
        </w:tabs>
        <w:rPr>
          <w:rFonts w:ascii="方正小标宋简体" w:hAnsi="黑体" w:eastAsia="方正小标宋简体" w:cs="黑体"/>
        </w:rPr>
      </w:pPr>
      <w:r>
        <w:rPr>
          <w:rFonts w:ascii="方正小标宋简体" w:hAnsi="黑体" w:eastAsia="方正小标宋简体" w:cs="黑体"/>
        </w:rPr>
        <w:fldChar w:fldCharType="begin"/>
      </w:r>
      <w:r>
        <w:rPr>
          <w:rFonts w:ascii="方正小标宋简体" w:hAnsi="黑体" w:eastAsia="方正小标宋简体" w:cs="黑体"/>
        </w:rPr>
        <w:instrText xml:space="preserve"> TOC \o \u </w:instrText>
      </w:r>
      <w:r>
        <w:rPr>
          <w:rFonts w:ascii="方正小标宋简体" w:hAnsi="黑体" w:eastAsia="方正小标宋简体" w:cs="黑体"/>
        </w:rPr>
        <w:fldChar w:fldCharType="separate"/>
      </w:r>
      <w:r>
        <w:rPr>
          <w:rFonts w:ascii="方正小标宋简体" w:hAnsi="黑体" w:eastAsia="方正小标宋简体" w:cs="黑体"/>
        </w:rPr>
        <w:t>第一部分 部门概况</w:t>
      </w:r>
      <w:r>
        <w:rPr>
          <w:rFonts w:ascii="方正小标宋简体" w:hAnsi="黑体" w:eastAsia="方正小标宋简体" w:cs="黑体"/>
        </w:rPr>
        <w:tab/>
      </w:r>
      <w:r>
        <w:rPr>
          <w:rFonts w:ascii="方正小标宋简体" w:hAnsi="黑体" w:eastAsia="方正小标宋简体" w:cs="黑体"/>
        </w:rPr>
        <w:fldChar w:fldCharType="begin"/>
      </w:r>
      <w:r>
        <w:rPr>
          <w:rFonts w:ascii="方正小标宋简体" w:hAnsi="黑体" w:eastAsia="方正小标宋简体" w:cs="黑体"/>
        </w:rPr>
        <w:instrText xml:space="preserve"> PAGEREF _Toc79163851 \h </w:instrText>
      </w:r>
      <w:r>
        <w:rPr>
          <w:rFonts w:ascii="方正小标宋简体" w:hAnsi="黑体" w:eastAsia="方正小标宋简体" w:cs="黑体"/>
        </w:rPr>
        <w:fldChar w:fldCharType="separate"/>
      </w:r>
      <w:r>
        <w:rPr>
          <w:rFonts w:ascii="方正小标宋简体" w:hAnsi="黑体" w:eastAsia="方正小标宋简体" w:cs="黑体"/>
        </w:rPr>
        <w:t>4</w:t>
      </w:r>
      <w:r>
        <w:rPr>
          <w:rFonts w:ascii="方正小标宋简体" w:hAnsi="黑体" w:eastAsia="方正小标宋简体" w:cs="黑体"/>
        </w:rPr>
        <w:fldChar w:fldCharType="end"/>
      </w:r>
    </w:p>
    <w:p>
      <w:pPr>
        <w:pStyle w:val="16"/>
        <w:tabs>
          <w:tab w:val="right" w:leader="dot" w:pos="8296"/>
        </w:tabs>
        <w:ind w:left="0"/>
        <w:rPr>
          <w:rFonts w:ascii="方正小标宋简体" w:hAnsi="黑体" w:eastAsia="方正小标宋简体" w:cs="黑体"/>
          <w:b/>
          <w:bCs/>
          <w:caps/>
          <w:smallCaps w:val="0"/>
        </w:rPr>
      </w:pPr>
      <w:r>
        <w:rPr>
          <w:rFonts w:ascii="方正小标宋简体" w:hAnsi="黑体" w:eastAsia="方正小标宋简体" w:cs="黑体"/>
          <w:b/>
          <w:bCs/>
          <w:caps/>
          <w:smallCaps w:val="0"/>
        </w:rPr>
        <w:t>一、基本职能及主要工作</w:t>
      </w:r>
      <w:r>
        <w:rPr>
          <w:rFonts w:ascii="方正小标宋简体" w:hAnsi="黑体" w:eastAsia="方正小标宋简体" w:cs="黑体"/>
          <w:b/>
          <w:bCs/>
          <w:caps/>
          <w:smallCaps w:val="0"/>
        </w:rPr>
        <w:tab/>
      </w:r>
      <w:r>
        <w:rPr>
          <w:rFonts w:ascii="方正小标宋简体" w:hAnsi="黑体" w:eastAsia="方正小标宋简体" w:cs="黑体"/>
          <w:b/>
          <w:bCs/>
          <w:caps/>
          <w:smallCaps w:val="0"/>
        </w:rPr>
        <w:fldChar w:fldCharType="begin"/>
      </w:r>
      <w:r>
        <w:rPr>
          <w:rFonts w:ascii="方正小标宋简体" w:hAnsi="黑体" w:eastAsia="方正小标宋简体" w:cs="黑体"/>
          <w:b/>
          <w:bCs/>
          <w:caps/>
          <w:smallCaps w:val="0"/>
        </w:rPr>
        <w:instrText xml:space="preserve"> PAGEREF _Toc79163852 \h </w:instrText>
      </w:r>
      <w:r>
        <w:rPr>
          <w:rFonts w:ascii="方正小标宋简体" w:hAnsi="黑体" w:eastAsia="方正小标宋简体" w:cs="黑体"/>
          <w:b/>
          <w:bCs/>
          <w:caps/>
          <w:smallCaps w:val="0"/>
        </w:rPr>
        <w:fldChar w:fldCharType="separate"/>
      </w:r>
      <w:r>
        <w:rPr>
          <w:rFonts w:ascii="方正小标宋简体" w:hAnsi="黑体" w:eastAsia="方正小标宋简体" w:cs="黑体"/>
          <w:b/>
          <w:bCs/>
          <w:caps/>
          <w:smallCaps w:val="0"/>
        </w:rPr>
        <w:t>4</w:t>
      </w:r>
      <w:r>
        <w:rPr>
          <w:rFonts w:ascii="方正小标宋简体" w:hAnsi="黑体" w:eastAsia="方正小标宋简体" w:cs="黑体"/>
          <w:b/>
          <w:bCs/>
          <w:caps/>
          <w:smallCaps w:val="0"/>
        </w:rPr>
        <w:fldChar w:fldCharType="end"/>
      </w:r>
    </w:p>
    <w:p>
      <w:pPr>
        <w:pStyle w:val="8"/>
        <w:tabs>
          <w:tab w:val="right" w:leader="dot" w:pos="8296"/>
        </w:tabs>
        <w:ind w:left="0"/>
        <w:rPr>
          <w:rFonts w:hint="eastAsia" w:ascii="方正小标宋简体" w:hAnsi="黑体" w:eastAsia="方正小标宋简体" w:cs="黑体"/>
          <w:b/>
          <w:bCs/>
          <w:i w:val="0"/>
          <w:iCs w:val="0"/>
          <w:caps/>
          <w:lang w:val="en-US" w:eastAsia="zh-CN"/>
        </w:rPr>
      </w:pPr>
      <w:r>
        <w:rPr>
          <w:rFonts w:ascii="方正小标宋简体" w:hAnsi="黑体" w:eastAsia="方正小标宋简体" w:cs="黑体"/>
          <w:b/>
          <w:bCs/>
          <w:i w:val="0"/>
          <w:iCs w:val="0"/>
          <w:caps/>
        </w:rPr>
        <w:t>（一）主要职能</w:t>
      </w:r>
      <w:r>
        <w:rPr>
          <w:rFonts w:ascii="方正小标宋简体" w:hAnsi="黑体" w:eastAsia="方正小标宋简体" w:cs="黑体"/>
          <w:b/>
          <w:bCs/>
          <w:i w:val="0"/>
          <w:iCs w:val="0"/>
          <w:caps/>
        </w:rPr>
        <w:tab/>
      </w:r>
      <w:r>
        <w:rPr>
          <w:rFonts w:hint="eastAsia" w:ascii="方正小标宋简体" w:hAnsi="黑体" w:eastAsia="方正小标宋简体" w:cs="黑体"/>
          <w:b/>
          <w:bCs/>
          <w:i w:val="0"/>
          <w:iCs w:val="0"/>
          <w:caps/>
          <w:lang w:val="en-US" w:eastAsia="zh-CN"/>
        </w:rPr>
        <w:t>4</w:t>
      </w:r>
    </w:p>
    <w:p>
      <w:pPr>
        <w:pStyle w:val="8"/>
        <w:tabs>
          <w:tab w:val="right" w:leader="dot" w:pos="8296"/>
        </w:tabs>
        <w:ind w:left="0"/>
        <w:rPr>
          <w:rFonts w:hint="eastAsia" w:ascii="方正小标宋简体" w:hAnsi="黑体" w:eastAsia="方正小标宋简体" w:cs="黑体"/>
          <w:b/>
          <w:bCs/>
          <w:i w:val="0"/>
          <w:iCs w:val="0"/>
          <w:caps/>
          <w:lang w:val="en-US" w:eastAsia="zh-CN"/>
        </w:rPr>
      </w:pPr>
      <w:r>
        <w:rPr>
          <w:rFonts w:ascii="方正小标宋简体" w:hAnsi="黑体" w:eastAsia="方正小标宋简体" w:cs="黑体"/>
          <w:b/>
          <w:bCs/>
          <w:i w:val="0"/>
          <w:iCs w:val="0"/>
          <w:caps/>
        </w:rPr>
        <w:t>（二）2020年重点工作完成情况</w:t>
      </w:r>
      <w:r>
        <w:rPr>
          <w:rFonts w:ascii="方正小标宋简体" w:hAnsi="黑体" w:eastAsia="方正小标宋简体" w:cs="黑体"/>
          <w:b/>
          <w:bCs/>
          <w:i w:val="0"/>
          <w:iCs w:val="0"/>
          <w:caps/>
        </w:rPr>
        <w:tab/>
      </w:r>
      <w:r>
        <w:rPr>
          <w:rFonts w:hint="eastAsia" w:ascii="方正小标宋简体" w:hAnsi="黑体" w:eastAsia="方正小标宋简体" w:cs="黑体"/>
          <w:b/>
          <w:bCs/>
          <w:i w:val="0"/>
          <w:iCs w:val="0"/>
          <w:caps/>
          <w:lang w:val="en-US" w:eastAsia="zh-CN"/>
        </w:rPr>
        <w:t>6</w:t>
      </w:r>
    </w:p>
    <w:p>
      <w:pPr>
        <w:pStyle w:val="16"/>
        <w:tabs>
          <w:tab w:val="right" w:leader="dot" w:pos="8296"/>
        </w:tabs>
        <w:ind w:left="0"/>
        <w:rPr>
          <w:rFonts w:hint="eastAsia" w:ascii="方正小标宋简体" w:hAnsi="黑体" w:eastAsia="方正小标宋简体" w:cs="黑体"/>
          <w:b/>
          <w:bCs/>
          <w:caps/>
          <w:smallCaps w:val="0"/>
          <w:lang w:val="en-US" w:eastAsia="zh-CN"/>
        </w:rPr>
      </w:pPr>
      <w:r>
        <w:rPr>
          <w:rFonts w:ascii="方正小标宋简体" w:hAnsi="黑体" w:eastAsia="方正小标宋简体" w:cs="黑体"/>
          <w:b/>
          <w:bCs/>
          <w:caps/>
          <w:smallCaps w:val="0"/>
        </w:rPr>
        <w:t>二、机构设置</w:t>
      </w:r>
      <w:r>
        <w:rPr>
          <w:rFonts w:ascii="方正小标宋简体" w:hAnsi="黑体" w:eastAsia="方正小标宋简体" w:cs="黑体"/>
          <w:b/>
          <w:bCs/>
          <w:caps/>
          <w:smallCaps w:val="0"/>
        </w:rPr>
        <w:tab/>
      </w:r>
      <w:r>
        <w:rPr>
          <w:rFonts w:hint="eastAsia" w:ascii="方正小标宋简体" w:hAnsi="黑体" w:eastAsia="方正小标宋简体" w:cs="黑体"/>
          <w:b/>
          <w:bCs/>
          <w:caps/>
          <w:smallCaps w:val="0"/>
          <w:lang w:val="en-US" w:eastAsia="zh-CN"/>
        </w:rPr>
        <w:t>7</w:t>
      </w:r>
    </w:p>
    <w:p>
      <w:pPr>
        <w:pStyle w:val="13"/>
        <w:tabs>
          <w:tab w:val="right" w:leader="dot" w:pos="8296"/>
        </w:tabs>
        <w:rPr>
          <w:rFonts w:hint="eastAsia" w:ascii="方正小标宋简体" w:hAnsi="黑体" w:eastAsia="方正小标宋简体" w:cs="黑体"/>
          <w:lang w:val="en-US" w:eastAsia="zh-CN"/>
        </w:rPr>
      </w:pPr>
      <w:r>
        <w:rPr>
          <w:rFonts w:ascii="方正小标宋简体" w:hAnsi="黑体" w:eastAsia="方正小标宋简体" w:cs="黑体"/>
        </w:rPr>
        <w:t>第二部分 2020年度部门决算情况说明</w:t>
      </w:r>
      <w:r>
        <w:rPr>
          <w:rFonts w:ascii="方正小标宋简体" w:hAnsi="黑体" w:eastAsia="方正小标宋简体" w:cs="黑体"/>
        </w:rPr>
        <w:tab/>
      </w:r>
      <w:r>
        <w:rPr>
          <w:rFonts w:hint="eastAsia" w:ascii="方正小标宋简体" w:hAnsi="黑体" w:eastAsia="方正小标宋简体" w:cs="黑体"/>
          <w:lang w:val="en-US" w:eastAsia="zh-CN"/>
        </w:rPr>
        <w:t>7</w:t>
      </w:r>
    </w:p>
    <w:p>
      <w:pPr>
        <w:pStyle w:val="16"/>
        <w:tabs>
          <w:tab w:val="left" w:pos="840"/>
          <w:tab w:val="right" w:leader="dot" w:pos="8296"/>
        </w:tabs>
        <w:ind w:left="0"/>
        <w:rPr>
          <w:rFonts w:hint="eastAsia" w:ascii="方正小标宋简体" w:hAnsi="黑体" w:eastAsia="方正小标宋简体" w:cs="黑体"/>
          <w:b/>
          <w:bCs/>
          <w:caps/>
          <w:smallCaps w:val="0"/>
          <w:lang w:val="en-US" w:eastAsia="zh-CN"/>
        </w:rPr>
      </w:pPr>
      <w:r>
        <w:rPr>
          <w:rFonts w:ascii="方正小标宋简体" w:hAnsi="黑体" w:eastAsia="方正小标宋简体" w:cs="黑体"/>
          <w:b/>
          <w:bCs/>
          <w:caps/>
          <w:smallCaps w:val="0"/>
        </w:rPr>
        <w:t>一、收入支出决算总体情况说明</w:t>
      </w:r>
      <w:r>
        <w:rPr>
          <w:rFonts w:ascii="方正小标宋简体" w:hAnsi="黑体" w:eastAsia="方正小标宋简体" w:cs="黑体"/>
          <w:b/>
          <w:bCs/>
          <w:caps/>
          <w:smallCaps w:val="0"/>
        </w:rPr>
        <w:tab/>
      </w:r>
      <w:r>
        <w:rPr>
          <w:rFonts w:hint="eastAsia" w:ascii="方正小标宋简体" w:hAnsi="黑体" w:eastAsia="方正小标宋简体" w:cs="黑体"/>
          <w:b/>
          <w:bCs/>
          <w:caps/>
          <w:smallCaps w:val="0"/>
          <w:lang w:val="en-US" w:eastAsia="zh-CN"/>
        </w:rPr>
        <w:t>7</w:t>
      </w:r>
    </w:p>
    <w:p>
      <w:pPr>
        <w:pStyle w:val="16"/>
        <w:tabs>
          <w:tab w:val="left" w:pos="840"/>
          <w:tab w:val="right" w:leader="dot" w:pos="8296"/>
        </w:tabs>
        <w:ind w:left="0"/>
        <w:rPr>
          <w:rFonts w:ascii="方正小标宋简体" w:hAnsi="黑体" w:eastAsia="方正小标宋简体" w:cs="黑体"/>
          <w:b/>
          <w:bCs/>
          <w:caps/>
          <w:smallCaps w:val="0"/>
        </w:rPr>
      </w:pPr>
      <w:r>
        <w:rPr>
          <w:rFonts w:ascii="方正小标宋简体" w:hAnsi="黑体" w:eastAsia="方正小标宋简体" w:cs="黑体"/>
          <w:b/>
          <w:bCs/>
          <w:caps/>
          <w:smallCaps w:val="0"/>
        </w:rPr>
        <w:t>二、收入决算情况说明</w:t>
      </w:r>
      <w:r>
        <w:rPr>
          <w:rFonts w:ascii="方正小标宋简体" w:hAnsi="黑体" w:eastAsia="方正小标宋简体" w:cs="黑体"/>
          <w:b/>
          <w:bCs/>
          <w:caps/>
          <w:smallCaps w:val="0"/>
        </w:rPr>
        <w:tab/>
      </w:r>
      <w:r>
        <w:rPr>
          <w:rFonts w:hint="eastAsia" w:ascii="方正小标宋简体" w:hAnsi="黑体" w:eastAsia="方正小标宋简体" w:cs="黑体"/>
          <w:b/>
          <w:bCs/>
          <w:caps/>
          <w:smallCaps w:val="0"/>
        </w:rPr>
        <w:t>8</w:t>
      </w:r>
    </w:p>
    <w:p>
      <w:pPr>
        <w:pStyle w:val="16"/>
        <w:tabs>
          <w:tab w:val="left" w:pos="840"/>
          <w:tab w:val="right" w:leader="dot" w:pos="8296"/>
        </w:tabs>
        <w:ind w:left="0"/>
        <w:rPr>
          <w:rFonts w:hint="eastAsia" w:ascii="方正小标宋简体" w:hAnsi="黑体" w:eastAsia="方正小标宋简体" w:cs="黑体"/>
          <w:b/>
          <w:bCs/>
          <w:caps/>
          <w:smallCaps w:val="0"/>
          <w:lang w:val="en-US" w:eastAsia="zh-CN"/>
        </w:rPr>
      </w:pPr>
      <w:r>
        <w:rPr>
          <w:rFonts w:ascii="方正小标宋简体" w:hAnsi="黑体" w:eastAsia="方正小标宋简体" w:cs="黑体"/>
          <w:b/>
          <w:bCs/>
          <w:caps/>
          <w:smallCaps w:val="0"/>
        </w:rPr>
        <w:t>三、支出决算情况说明</w:t>
      </w:r>
      <w:r>
        <w:rPr>
          <w:rFonts w:ascii="方正小标宋简体" w:hAnsi="黑体" w:eastAsia="方正小标宋简体" w:cs="黑体"/>
          <w:b/>
          <w:bCs/>
          <w:caps/>
          <w:smallCaps w:val="0"/>
        </w:rPr>
        <w:tab/>
      </w:r>
      <w:r>
        <w:rPr>
          <w:rFonts w:hint="eastAsia" w:ascii="方正小标宋简体" w:hAnsi="黑体" w:eastAsia="方正小标宋简体" w:cs="黑体"/>
          <w:b/>
          <w:bCs/>
          <w:caps/>
          <w:smallCaps w:val="0"/>
          <w:lang w:val="en-US" w:eastAsia="zh-CN"/>
        </w:rPr>
        <w:t>9</w:t>
      </w:r>
    </w:p>
    <w:p>
      <w:pPr>
        <w:pStyle w:val="16"/>
        <w:tabs>
          <w:tab w:val="right" w:leader="dot" w:pos="8296"/>
        </w:tabs>
        <w:ind w:left="0"/>
        <w:rPr>
          <w:rFonts w:hint="eastAsia" w:ascii="方正小标宋简体" w:hAnsi="黑体" w:eastAsia="方正小标宋简体" w:cs="黑体"/>
          <w:b/>
          <w:bCs/>
          <w:caps/>
          <w:smallCaps w:val="0"/>
          <w:lang w:val="en-US" w:eastAsia="zh-CN"/>
        </w:rPr>
      </w:pPr>
      <w:r>
        <w:rPr>
          <w:rFonts w:ascii="方正小标宋简体" w:hAnsi="黑体" w:eastAsia="方正小标宋简体" w:cs="黑体"/>
          <w:b/>
          <w:bCs/>
          <w:caps/>
          <w:smallCaps w:val="0"/>
        </w:rPr>
        <w:t>四、财政拨款收入支出决算总体情况说明</w:t>
      </w:r>
      <w:r>
        <w:rPr>
          <w:rFonts w:ascii="方正小标宋简体" w:hAnsi="黑体" w:eastAsia="方正小标宋简体" w:cs="黑体"/>
          <w:b/>
          <w:bCs/>
          <w:caps/>
          <w:smallCaps w:val="0"/>
        </w:rPr>
        <w:tab/>
      </w:r>
      <w:r>
        <w:rPr>
          <w:rFonts w:hint="eastAsia" w:ascii="方正小标宋简体" w:hAnsi="黑体" w:eastAsia="方正小标宋简体" w:cs="黑体"/>
          <w:b/>
          <w:bCs/>
          <w:caps/>
          <w:smallCaps w:val="0"/>
          <w:lang w:val="en-US" w:eastAsia="zh-CN"/>
        </w:rPr>
        <w:t>9</w:t>
      </w:r>
    </w:p>
    <w:p>
      <w:pPr>
        <w:pStyle w:val="16"/>
        <w:tabs>
          <w:tab w:val="right" w:leader="dot" w:pos="8296"/>
        </w:tabs>
        <w:ind w:left="0"/>
        <w:rPr>
          <w:rFonts w:hint="eastAsia" w:ascii="方正小标宋简体" w:hAnsi="黑体" w:eastAsia="方正小标宋简体" w:cs="黑体"/>
          <w:b/>
          <w:bCs/>
          <w:caps/>
          <w:smallCaps w:val="0"/>
          <w:lang w:val="en-US" w:eastAsia="zh-CN"/>
        </w:rPr>
      </w:pPr>
      <w:r>
        <w:rPr>
          <w:rFonts w:ascii="方正小标宋简体" w:hAnsi="黑体" w:eastAsia="方正小标宋简体" w:cs="黑体"/>
          <w:b/>
          <w:bCs/>
          <w:caps/>
          <w:smallCaps w:val="0"/>
        </w:rPr>
        <w:t>五、一般公共预算财政拨款支出决算情况说明</w:t>
      </w:r>
      <w:r>
        <w:rPr>
          <w:rFonts w:ascii="方正小标宋简体" w:hAnsi="黑体" w:eastAsia="方正小标宋简体" w:cs="黑体"/>
          <w:b/>
          <w:bCs/>
          <w:caps/>
          <w:smallCaps w:val="0"/>
        </w:rPr>
        <w:tab/>
      </w:r>
      <w:r>
        <w:rPr>
          <w:rFonts w:hint="eastAsia" w:ascii="方正小标宋简体" w:hAnsi="黑体" w:eastAsia="方正小标宋简体" w:cs="黑体"/>
          <w:b/>
          <w:bCs/>
          <w:caps/>
          <w:smallCaps w:val="0"/>
        </w:rPr>
        <w:t>1</w:t>
      </w:r>
      <w:r>
        <w:rPr>
          <w:rFonts w:hint="eastAsia" w:ascii="方正小标宋简体" w:hAnsi="黑体" w:eastAsia="方正小标宋简体" w:cs="黑体"/>
          <w:b/>
          <w:bCs/>
          <w:caps/>
          <w:smallCaps w:val="0"/>
          <w:lang w:val="en-US" w:eastAsia="zh-CN"/>
        </w:rPr>
        <w:t>0</w:t>
      </w:r>
    </w:p>
    <w:p>
      <w:pPr>
        <w:pStyle w:val="8"/>
        <w:tabs>
          <w:tab w:val="right" w:leader="dot" w:pos="8296"/>
        </w:tabs>
        <w:ind w:left="0"/>
        <w:rPr>
          <w:rFonts w:hint="eastAsia" w:ascii="方正小标宋简体" w:hAnsi="黑体" w:eastAsia="方正小标宋简体" w:cs="黑体"/>
          <w:b/>
          <w:bCs/>
          <w:i w:val="0"/>
          <w:iCs w:val="0"/>
          <w:caps/>
          <w:lang w:val="en-US" w:eastAsia="zh-CN"/>
        </w:rPr>
      </w:pPr>
      <w:r>
        <w:rPr>
          <w:rFonts w:ascii="方正小标宋简体" w:hAnsi="黑体" w:eastAsia="方正小标宋简体" w:cs="黑体"/>
          <w:b/>
          <w:bCs/>
          <w:i w:val="0"/>
          <w:iCs w:val="0"/>
          <w:caps/>
        </w:rPr>
        <w:t>（一）一般公共预算财政拨款支出决算总体情况</w:t>
      </w:r>
      <w:r>
        <w:rPr>
          <w:rFonts w:ascii="方正小标宋简体" w:hAnsi="黑体" w:eastAsia="方正小标宋简体" w:cs="黑体"/>
          <w:b/>
          <w:bCs/>
          <w:i w:val="0"/>
          <w:iCs w:val="0"/>
          <w:caps/>
        </w:rPr>
        <w:tab/>
      </w:r>
      <w:r>
        <w:rPr>
          <w:rFonts w:hint="eastAsia" w:ascii="方正小标宋简体" w:hAnsi="黑体" w:eastAsia="方正小标宋简体" w:cs="黑体"/>
          <w:b/>
          <w:bCs/>
          <w:i w:val="0"/>
          <w:iCs w:val="0"/>
          <w:caps/>
        </w:rPr>
        <w:t>1</w:t>
      </w:r>
      <w:r>
        <w:rPr>
          <w:rFonts w:hint="eastAsia" w:ascii="方正小标宋简体" w:hAnsi="黑体" w:eastAsia="方正小标宋简体" w:cs="黑体"/>
          <w:b/>
          <w:bCs/>
          <w:i w:val="0"/>
          <w:iCs w:val="0"/>
          <w:caps/>
          <w:lang w:val="en-US" w:eastAsia="zh-CN"/>
        </w:rPr>
        <w:t>0</w:t>
      </w:r>
    </w:p>
    <w:p>
      <w:pPr>
        <w:pStyle w:val="8"/>
        <w:tabs>
          <w:tab w:val="right" w:leader="dot" w:pos="8296"/>
        </w:tabs>
        <w:ind w:left="0"/>
        <w:rPr>
          <w:rFonts w:hint="eastAsia" w:ascii="方正小标宋简体" w:hAnsi="黑体" w:eastAsia="方正小标宋简体" w:cs="黑体"/>
          <w:b/>
          <w:bCs/>
          <w:i w:val="0"/>
          <w:iCs w:val="0"/>
          <w:caps/>
          <w:lang w:val="en-US" w:eastAsia="zh-CN"/>
        </w:rPr>
      </w:pPr>
      <w:r>
        <w:rPr>
          <w:rFonts w:ascii="方正小标宋简体" w:hAnsi="黑体" w:eastAsia="方正小标宋简体" w:cs="黑体"/>
          <w:b/>
          <w:bCs/>
          <w:i w:val="0"/>
          <w:iCs w:val="0"/>
          <w:caps/>
        </w:rPr>
        <w:t>（二）一般公共预算财政拨款支出决算结构情况</w:t>
      </w:r>
      <w:r>
        <w:rPr>
          <w:rFonts w:ascii="方正小标宋简体" w:hAnsi="黑体" w:eastAsia="方正小标宋简体" w:cs="黑体"/>
          <w:b/>
          <w:bCs/>
          <w:i w:val="0"/>
          <w:iCs w:val="0"/>
          <w:caps/>
        </w:rPr>
        <w:tab/>
      </w:r>
      <w:r>
        <w:rPr>
          <w:rFonts w:hint="eastAsia" w:ascii="方正小标宋简体" w:hAnsi="黑体" w:eastAsia="方正小标宋简体" w:cs="黑体"/>
          <w:b/>
          <w:bCs/>
          <w:i w:val="0"/>
          <w:iCs w:val="0"/>
          <w:caps/>
        </w:rPr>
        <w:t>1</w:t>
      </w:r>
      <w:r>
        <w:rPr>
          <w:rFonts w:hint="eastAsia" w:ascii="方正小标宋简体" w:hAnsi="黑体" w:eastAsia="方正小标宋简体" w:cs="黑体"/>
          <w:b/>
          <w:bCs/>
          <w:i w:val="0"/>
          <w:iCs w:val="0"/>
          <w:caps/>
          <w:lang w:val="en-US" w:eastAsia="zh-CN"/>
        </w:rPr>
        <w:t>1</w:t>
      </w:r>
    </w:p>
    <w:p>
      <w:pPr>
        <w:pStyle w:val="8"/>
        <w:tabs>
          <w:tab w:val="right" w:leader="dot" w:pos="8296"/>
        </w:tabs>
        <w:ind w:left="0"/>
        <w:rPr>
          <w:rFonts w:hint="eastAsia" w:ascii="方正小标宋简体" w:hAnsi="黑体" w:eastAsia="方正小标宋简体" w:cs="黑体"/>
          <w:b/>
          <w:bCs/>
          <w:i w:val="0"/>
          <w:iCs w:val="0"/>
          <w:caps/>
          <w:lang w:val="en-US" w:eastAsia="zh-CN"/>
        </w:rPr>
      </w:pPr>
      <w:r>
        <w:rPr>
          <w:rFonts w:ascii="方正小标宋简体" w:hAnsi="黑体" w:eastAsia="方正小标宋简体" w:cs="黑体"/>
          <w:b/>
          <w:bCs/>
          <w:i w:val="0"/>
          <w:iCs w:val="0"/>
          <w:caps/>
        </w:rPr>
        <w:t>（三）一般公共预算财政拨款支出决算具体情况</w:t>
      </w:r>
      <w:r>
        <w:rPr>
          <w:rFonts w:ascii="方正小标宋简体" w:hAnsi="黑体" w:eastAsia="方正小标宋简体" w:cs="黑体"/>
          <w:b/>
          <w:bCs/>
          <w:i w:val="0"/>
          <w:iCs w:val="0"/>
          <w:caps/>
        </w:rPr>
        <w:tab/>
      </w:r>
      <w:r>
        <w:rPr>
          <w:rFonts w:hint="eastAsia" w:ascii="方正小标宋简体" w:hAnsi="黑体" w:eastAsia="方正小标宋简体" w:cs="黑体"/>
          <w:b/>
          <w:bCs/>
          <w:i w:val="0"/>
          <w:iCs w:val="0"/>
          <w:caps/>
        </w:rPr>
        <w:t>1</w:t>
      </w:r>
      <w:r>
        <w:rPr>
          <w:rFonts w:hint="eastAsia" w:ascii="方正小标宋简体" w:hAnsi="黑体" w:eastAsia="方正小标宋简体" w:cs="黑体"/>
          <w:b/>
          <w:bCs/>
          <w:i w:val="0"/>
          <w:iCs w:val="0"/>
          <w:caps/>
          <w:lang w:val="en-US" w:eastAsia="zh-CN"/>
        </w:rPr>
        <w:t>1</w:t>
      </w:r>
    </w:p>
    <w:p>
      <w:pPr>
        <w:pStyle w:val="16"/>
        <w:tabs>
          <w:tab w:val="right" w:leader="dot" w:pos="8296"/>
        </w:tabs>
        <w:ind w:left="0"/>
        <w:rPr>
          <w:rFonts w:hint="eastAsia" w:ascii="方正小标宋简体" w:hAnsi="黑体" w:eastAsia="方正小标宋简体" w:cs="黑体"/>
          <w:b/>
          <w:bCs/>
          <w:caps/>
          <w:smallCaps w:val="0"/>
          <w:lang w:val="en-US" w:eastAsia="zh-CN"/>
        </w:rPr>
      </w:pPr>
      <w:r>
        <w:rPr>
          <w:rFonts w:ascii="方正小标宋简体" w:hAnsi="黑体" w:eastAsia="方正小标宋简体" w:cs="黑体"/>
          <w:b/>
          <w:bCs/>
          <w:caps/>
          <w:smallCaps w:val="0"/>
        </w:rPr>
        <w:t>六、一般公共预算财政拨款基本支出决算情况说明</w:t>
      </w:r>
      <w:r>
        <w:rPr>
          <w:rFonts w:ascii="方正小标宋简体" w:hAnsi="黑体" w:eastAsia="方正小标宋简体" w:cs="黑体"/>
          <w:b/>
          <w:bCs/>
          <w:caps/>
          <w:smallCaps w:val="0"/>
        </w:rPr>
        <w:tab/>
      </w:r>
      <w:r>
        <w:rPr>
          <w:rFonts w:hint="eastAsia" w:ascii="方正小标宋简体" w:hAnsi="黑体" w:eastAsia="方正小标宋简体" w:cs="黑体"/>
          <w:b/>
          <w:bCs/>
          <w:caps/>
          <w:smallCaps w:val="0"/>
        </w:rPr>
        <w:t>1</w:t>
      </w:r>
      <w:r>
        <w:rPr>
          <w:rFonts w:hint="eastAsia" w:ascii="方正小标宋简体" w:hAnsi="黑体" w:eastAsia="方正小标宋简体" w:cs="黑体"/>
          <w:b/>
          <w:bCs/>
          <w:caps/>
          <w:smallCaps w:val="0"/>
          <w:lang w:val="en-US" w:eastAsia="zh-CN"/>
        </w:rPr>
        <w:t>2</w:t>
      </w:r>
    </w:p>
    <w:p>
      <w:pPr>
        <w:pStyle w:val="16"/>
        <w:tabs>
          <w:tab w:val="right" w:leader="dot" w:pos="8296"/>
        </w:tabs>
        <w:ind w:left="0"/>
        <w:rPr>
          <w:rFonts w:hint="eastAsia" w:ascii="方正小标宋简体" w:hAnsi="黑体" w:eastAsia="方正小标宋简体" w:cs="黑体"/>
          <w:b/>
          <w:bCs/>
          <w:caps/>
          <w:smallCaps w:val="0"/>
          <w:lang w:val="en-US" w:eastAsia="zh-CN"/>
        </w:rPr>
      </w:pPr>
      <w:r>
        <w:rPr>
          <w:rFonts w:ascii="方正小标宋简体" w:hAnsi="黑体" w:eastAsia="方正小标宋简体" w:cs="黑体"/>
          <w:b/>
          <w:bCs/>
          <w:caps/>
          <w:smallCaps w:val="0"/>
        </w:rPr>
        <w:t>七</w:t>
      </w:r>
      <w:r>
        <w:rPr>
          <w:rFonts w:hint="eastAsia" w:ascii="方正小标宋简体" w:hAnsi="黑体" w:eastAsia="方正小标宋简体" w:cs="黑体"/>
          <w:b/>
          <w:bCs/>
          <w:caps/>
          <w:smallCaps w:val="0"/>
          <w:lang w:eastAsia="zh-CN"/>
        </w:rPr>
        <w:t>、“</w:t>
      </w:r>
      <w:r>
        <w:rPr>
          <w:rFonts w:ascii="方正小标宋简体" w:hAnsi="黑体" w:eastAsia="方正小标宋简体" w:cs="黑体"/>
          <w:b/>
          <w:bCs/>
          <w:caps/>
          <w:smallCaps w:val="0"/>
        </w:rPr>
        <w:t>三公”经费财政拨款支出决算情况说明</w:t>
      </w:r>
      <w:r>
        <w:rPr>
          <w:rFonts w:ascii="方正小标宋简体" w:hAnsi="黑体" w:eastAsia="方正小标宋简体" w:cs="黑体"/>
          <w:b/>
          <w:bCs/>
          <w:caps/>
          <w:smallCaps w:val="0"/>
        </w:rPr>
        <w:tab/>
      </w:r>
      <w:r>
        <w:rPr>
          <w:rFonts w:hint="eastAsia" w:ascii="方正小标宋简体" w:hAnsi="黑体" w:eastAsia="方正小标宋简体" w:cs="黑体"/>
          <w:b/>
          <w:bCs/>
          <w:caps/>
          <w:smallCaps w:val="0"/>
        </w:rPr>
        <w:t>1</w:t>
      </w:r>
      <w:r>
        <w:rPr>
          <w:rFonts w:hint="eastAsia" w:ascii="方正小标宋简体" w:hAnsi="黑体" w:eastAsia="方正小标宋简体" w:cs="黑体"/>
          <w:b/>
          <w:bCs/>
          <w:caps/>
          <w:smallCaps w:val="0"/>
          <w:lang w:val="en-US" w:eastAsia="zh-CN"/>
        </w:rPr>
        <w:t>2</w:t>
      </w:r>
    </w:p>
    <w:p>
      <w:pPr>
        <w:pStyle w:val="8"/>
        <w:tabs>
          <w:tab w:val="right" w:leader="dot" w:pos="8296"/>
        </w:tabs>
        <w:ind w:left="0"/>
        <w:rPr>
          <w:rFonts w:hint="eastAsia" w:ascii="方正小标宋简体" w:hAnsi="黑体" w:eastAsia="方正小标宋简体" w:cs="黑体"/>
          <w:b/>
          <w:bCs/>
          <w:i w:val="0"/>
          <w:iCs w:val="0"/>
          <w:caps/>
          <w:lang w:val="en-US" w:eastAsia="zh-CN"/>
        </w:rPr>
      </w:pPr>
      <w:r>
        <w:rPr>
          <w:rFonts w:ascii="方正小标宋简体" w:hAnsi="黑体" w:eastAsia="方正小标宋简体" w:cs="黑体"/>
          <w:b/>
          <w:bCs/>
          <w:i w:val="0"/>
          <w:iCs w:val="0"/>
          <w:caps/>
        </w:rPr>
        <w:t>（一）“三公”经费财政拨款支出决算总体情况说明</w:t>
      </w:r>
      <w:r>
        <w:rPr>
          <w:rFonts w:ascii="方正小标宋简体" w:hAnsi="黑体" w:eastAsia="方正小标宋简体" w:cs="黑体"/>
          <w:b/>
          <w:bCs/>
          <w:i w:val="0"/>
          <w:iCs w:val="0"/>
          <w:caps/>
        </w:rPr>
        <w:tab/>
      </w:r>
      <w:r>
        <w:rPr>
          <w:rFonts w:hint="eastAsia" w:ascii="方正小标宋简体" w:hAnsi="黑体" w:eastAsia="方正小标宋简体" w:cs="黑体"/>
          <w:b/>
          <w:bCs/>
          <w:i w:val="0"/>
          <w:iCs w:val="0"/>
          <w:caps/>
        </w:rPr>
        <w:t>1</w:t>
      </w:r>
      <w:r>
        <w:rPr>
          <w:rFonts w:hint="eastAsia" w:ascii="方正小标宋简体" w:hAnsi="黑体" w:eastAsia="方正小标宋简体" w:cs="黑体"/>
          <w:b/>
          <w:bCs/>
          <w:i w:val="0"/>
          <w:iCs w:val="0"/>
          <w:caps/>
          <w:lang w:val="en-US" w:eastAsia="zh-CN"/>
        </w:rPr>
        <w:t>2</w:t>
      </w:r>
    </w:p>
    <w:p>
      <w:pPr>
        <w:pStyle w:val="8"/>
        <w:tabs>
          <w:tab w:val="right" w:leader="dot" w:pos="8296"/>
        </w:tabs>
        <w:ind w:left="0"/>
        <w:rPr>
          <w:rFonts w:hint="eastAsia" w:ascii="方正小标宋简体" w:hAnsi="黑体" w:eastAsia="方正小标宋简体" w:cs="黑体"/>
          <w:b/>
          <w:bCs/>
          <w:i w:val="0"/>
          <w:iCs w:val="0"/>
          <w:caps/>
          <w:lang w:val="en-US" w:eastAsia="zh-CN"/>
        </w:rPr>
      </w:pPr>
      <w:r>
        <w:rPr>
          <w:rFonts w:ascii="方正小标宋简体" w:hAnsi="黑体" w:eastAsia="方正小标宋简体" w:cs="黑体"/>
          <w:b/>
          <w:bCs/>
          <w:i w:val="0"/>
          <w:iCs w:val="0"/>
          <w:caps/>
        </w:rPr>
        <w:t>（二）“三公”经费财政拨款支出决算具体情况说明</w:t>
      </w:r>
      <w:r>
        <w:rPr>
          <w:rFonts w:ascii="方正小标宋简体" w:hAnsi="黑体" w:eastAsia="方正小标宋简体" w:cs="黑体"/>
          <w:b/>
          <w:bCs/>
          <w:i w:val="0"/>
          <w:iCs w:val="0"/>
          <w:caps/>
        </w:rPr>
        <w:tab/>
      </w:r>
      <w:r>
        <w:rPr>
          <w:rFonts w:hint="eastAsia" w:ascii="方正小标宋简体" w:hAnsi="黑体" w:eastAsia="方正小标宋简体" w:cs="黑体"/>
          <w:b/>
          <w:bCs/>
          <w:i w:val="0"/>
          <w:iCs w:val="0"/>
          <w:caps/>
        </w:rPr>
        <w:t>1</w:t>
      </w:r>
      <w:r>
        <w:rPr>
          <w:rFonts w:hint="eastAsia" w:ascii="方正小标宋简体" w:hAnsi="黑体" w:eastAsia="方正小标宋简体" w:cs="黑体"/>
          <w:b/>
          <w:bCs/>
          <w:i w:val="0"/>
          <w:iCs w:val="0"/>
          <w:caps/>
          <w:lang w:val="en-US" w:eastAsia="zh-CN"/>
        </w:rPr>
        <w:t>2</w:t>
      </w:r>
    </w:p>
    <w:p>
      <w:pPr>
        <w:pStyle w:val="16"/>
        <w:tabs>
          <w:tab w:val="right" w:leader="dot" w:pos="8296"/>
        </w:tabs>
        <w:ind w:left="0"/>
        <w:rPr>
          <w:rFonts w:hint="eastAsia" w:ascii="方正小标宋简体" w:hAnsi="黑体" w:eastAsia="方正小标宋简体" w:cs="黑体"/>
          <w:b/>
          <w:bCs/>
          <w:caps/>
          <w:smallCaps w:val="0"/>
          <w:lang w:val="en-US" w:eastAsia="zh-CN"/>
        </w:rPr>
      </w:pPr>
      <w:r>
        <w:rPr>
          <w:rFonts w:ascii="方正小标宋简体" w:hAnsi="黑体" w:eastAsia="方正小标宋简体" w:cs="黑体"/>
          <w:b/>
          <w:bCs/>
          <w:caps/>
          <w:smallCaps w:val="0"/>
        </w:rPr>
        <w:t>八、政府性基金预算支出决算情况说明</w:t>
      </w:r>
      <w:r>
        <w:rPr>
          <w:rFonts w:ascii="方正小标宋简体" w:hAnsi="黑体" w:eastAsia="方正小标宋简体" w:cs="黑体"/>
          <w:b/>
          <w:bCs/>
          <w:caps/>
          <w:smallCaps w:val="0"/>
        </w:rPr>
        <w:tab/>
      </w:r>
      <w:r>
        <w:rPr>
          <w:rFonts w:hint="eastAsia" w:ascii="方正小标宋简体" w:hAnsi="黑体" w:eastAsia="方正小标宋简体" w:cs="黑体"/>
          <w:b/>
          <w:bCs/>
          <w:caps/>
          <w:smallCaps w:val="0"/>
        </w:rPr>
        <w:t>1</w:t>
      </w:r>
      <w:r>
        <w:rPr>
          <w:rFonts w:hint="eastAsia" w:ascii="方正小标宋简体" w:hAnsi="黑体" w:eastAsia="方正小标宋简体" w:cs="黑体"/>
          <w:b/>
          <w:bCs/>
          <w:caps/>
          <w:smallCaps w:val="0"/>
          <w:lang w:val="en-US" w:eastAsia="zh-CN"/>
        </w:rPr>
        <w:t>3</w:t>
      </w:r>
    </w:p>
    <w:p>
      <w:pPr>
        <w:pStyle w:val="16"/>
        <w:tabs>
          <w:tab w:val="right" w:leader="dot" w:pos="8296"/>
        </w:tabs>
        <w:ind w:left="0"/>
        <w:rPr>
          <w:rFonts w:hint="eastAsia" w:ascii="方正小标宋简体" w:hAnsi="黑体" w:eastAsia="方正小标宋简体" w:cs="黑体"/>
          <w:b/>
          <w:bCs/>
          <w:caps/>
          <w:smallCaps w:val="0"/>
          <w:lang w:val="en-US" w:eastAsia="zh-CN"/>
        </w:rPr>
      </w:pPr>
      <w:r>
        <w:rPr>
          <w:rFonts w:ascii="方正小标宋简体" w:hAnsi="黑体" w:eastAsia="方正小标宋简体" w:cs="黑体"/>
          <w:b/>
          <w:bCs/>
          <w:caps/>
          <w:smallCaps w:val="0"/>
        </w:rPr>
        <w:t>九、国有资本经营预算支出决算情况说明</w:t>
      </w:r>
      <w:r>
        <w:rPr>
          <w:rFonts w:ascii="方正小标宋简体" w:hAnsi="黑体" w:eastAsia="方正小标宋简体" w:cs="黑体"/>
          <w:b/>
          <w:bCs/>
          <w:caps/>
          <w:smallCaps w:val="0"/>
        </w:rPr>
        <w:tab/>
      </w:r>
      <w:r>
        <w:rPr>
          <w:rFonts w:hint="eastAsia" w:ascii="方正小标宋简体" w:hAnsi="黑体" w:eastAsia="方正小标宋简体" w:cs="黑体"/>
          <w:b/>
          <w:bCs/>
          <w:caps/>
          <w:smallCaps w:val="0"/>
        </w:rPr>
        <w:t>1</w:t>
      </w:r>
      <w:r>
        <w:rPr>
          <w:rFonts w:hint="eastAsia" w:ascii="方正小标宋简体" w:hAnsi="黑体" w:eastAsia="方正小标宋简体" w:cs="黑体"/>
          <w:b/>
          <w:bCs/>
          <w:caps/>
          <w:smallCaps w:val="0"/>
          <w:lang w:val="en-US" w:eastAsia="zh-CN"/>
        </w:rPr>
        <w:t>3</w:t>
      </w:r>
    </w:p>
    <w:p>
      <w:pPr>
        <w:pStyle w:val="16"/>
        <w:tabs>
          <w:tab w:val="right" w:leader="dot" w:pos="8296"/>
        </w:tabs>
        <w:ind w:left="0"/>
        <w:rPr>
          <w:rFonts w:hint="eastAsia" w:ascii="方正小标宋简体" w:hAnsi="黑体" w:eastAsia="方正小标宋简体" w:cs="黑体"/>
          <w:b/>
          <w:bCs/>
          <w:caps/>
          <w:smallCaps w:val="0"/>
          <w:lang w:val="en-US" w:eastAsia="zh-CN"/>
        </w:rPr>
      </w:pPr>
      <w:r>
        <w:rPr>
          <w:rFonts w:ascii="方正小标宋简体" w:hAnsi="黑体" w:eastAsia="方正小标宋简体" w:cs="黑体"/>
          <w:b/>
          <w:bCs/>
          <w:caps/>
          <w:smallCaps w:val="0"/>
        </w:rPr>
        <w:t>十、其他重要事项的情况说明</w:t>
      </w:r>
      <w:r>
        <w:rPr>
          <w:rFonts w:ascii="方正小标宋简体" w:hAnsi="黑体" w:eastAsia="方正小标宋简体" w:cs="黑体"/>
          <w:b/>
          <w:bCs/>
          <w:caps/>
          <w:smallCaps w:val="0"/>
        </w:rPr>
        <w:tab/>
      </w:r>
      <w:r>
        <w:rPr>
          <w:rFonts w:hint="eastAsia" w:ascii="方正小标宋简体" w:hAnsi="黑体" w:eastAsia="方正小标宋简体" w:cs="黑体"/>
          <w:b/>
          <w:bCs/>
          <w:caps/>
          <w:smallCaps w:val="0"/>
        </w:rPr>
        <w:t>1</w:t>
      </w:r>
      <w:r>
        <w:rPr>
          <w:rFonts w:hint="eastAsia" w:ascii="方正小标宋简体" w:hAnsi="黑体" w:eastAsia="方正小标宋简体" w:cs="黑体"/>
          <w:b/>
          <w:bCs/>
          <w:caps/>
          <w:smallCaps w:val="0"/>
          <w:lang w:val="en-US" w:eastAsia="zh-CN"/>
        </w:rPr>
        <w:t>4</w:t>
      </w:r>
    </w:p>
    <w:p>
      <w:pPr>
        <w:pStyle w:val="8"/>
        <w:tabs>
          <w:tab w:val="right" w:leader="dot" w:pos="8296"/>
        </w:tabs>
        <w:ind w:left="0"/>
        <w:rPr>
          <w:rFonts w:hint="eastAsia" w:ascii="方正小标宋简体" w:hAnsi="黑体" w:eastAsia="方正小标宋简体" w:cs="黑体"/>
          <w:b/>
          <w:bCs/>
          <w:i w:val="0"/>
          <w:iCs w:val="0"/>
          <w:caps/>
          <w:lang w:val="en-US" w:eastAsia="zh-CN"/>
        </w:rPr>
      </w:pPr>
      <w:r>
        <w:rPr>
          <w:rFonts w:ascii="方正小标宋简体" w:hAnsi="黑体" w:eastAsia="方正小标宋简体" w:cs="黑体"/>
          <w:b/>
          <w:bCs/>
          <w:i w:val="0"/>
          <w:iCs w:val="0"/>
          <w:caps/>
        </w:rPr>
        <w:t>（一）机关运行经费支出情况</w:t>
      </w:r>
      <w:r>
        <w:rPr>
          <w:rFonts w:ascii="方正小标宋简体" w:hAnsi="黑体" w:eastAsia="方正小标宋简体" w:cs="黑体"/>
          <w:b/>
          <w:bCs/>
          <w:i w:val="0"/>
          <w:iCs w:val="0"/>
          <w:caps/>
        </w:rPr>
        <w:tab/>
      </w:r>
      <w:r>
        <w:rPr>
          <w:rFonts w:hint="eastAsia" w:ascii="方正小标宋简体" w:hAnsi="黑体" w:eastAsia="方正小标宋简体" w:cs="黑体"/>
          <w:b/>
          <w:bCs/>
          <w:i w:val="0"/>
          <w:iCs w:val="0"/>
          <w:caps/>
        </w:rPr>
        <w:t>1</w:t>
      </w:r>
      <w:r>
        <w:rPr>
          <w:rFonts w:hint="eastAsia" w:ascii="方正小标宋简体" w:hAnsi="黑体" w:eastAsia="方正小标宋简体" w:cs="黑体"/>
          <w:b/>
          <w:bCs/>
          <w:i w:val="0"/>
          <w:iCs w:val="0"/>
          <w:caps/>
          <w:lang w:val="en-US" w:eastAsia="zh-CN"/>
        </w:rPr>
        <w:t>4</w:t>
      </w:r>
    </w:p>
    <w:p>
      <w:pPr>
        <w:pStyle w:val="8"/>
        <w:tabs>
          <w:tab w:val="right" w:leader="dot" w:pos="8296"/>
        </w:tabs>
        <w:ind w:left="0"/>
        <w:rPr>
          <w:rFonts w:hint="eastAsia" w:ascii="方正小标宋简体" w:hAnsi="黑体" w:eastAsia="方正小标宋简体" w:cs="黑体"/>
          <w:b/>
          <w:bCs/>
          <w:i w:val="0"/>
          <w:iCs w:val="0"/>
          <w:caps/>
          <w:lang w:val="en-US" w:eastAsia="zh-CN"/>
        </w:rPr>
      </w:pPr>
      <w:r>
        <w:rPr>
          <w:rFonts w:ascii="方正小标宋简体" w:hAnsi="黑体" w:eastAsia="方正小标宋简体" w:cs="黑体"/>
          <w:b/>
          <w:bCs/>
          <w:i w:val="0"/>
          <w:iCs w:val="0"/>
          <w:caps/>
        </w:rPr>
        <w:t>（二）政府采购支出情况</w:t>
      </w:r>
      <w:r>
        <w:rPr>
          <w:rFonts w:ascii="方正小标宋简体" w:hAnsi="黑体" w:eastAsia="方正小标宋简体" w:cs="黑体"/>
          <w:b/>
          <w:bCs/>
          <w:i w:val="0"/>
          <w:iCs w:val="0"/>
          <w:caps/>
        </w:rPr>
        <w:tab/>
      </w:r>
      <w:r>
        <w:rPr>
          <w:rFonts w:hint="eastAsia" w:ascii="方正小标宋简体" w:hAnsi="黑体" w:eastAsia="方正小标宋简体" w:cs="黑体"/>
          <w:b/>
          <w:bCs/>
          <w:i w:val="0"/>
          <w:iCs w:val="0"/>
          <w:caps/>
        </w:rPr>
        <w:t>1</w:t>
      </w:r>
      <w:r>
        <w:rPr>
          <w:rFonts w:hint="eastAsia" w:ascii="方正小标宋简体" w:hAnsi="黑体" w:eastAsia="方正小标宋简体" w:cs="黑体"/>
          <w:b/>
          <w:bCs/>
          <w:i w:val="0"/>
          <w:iCs w:val="0"/>
          <w:caps/>
          <w:lang w:val="en-US" w:eastAsia="zh-CN"/>
        </w:rPr>
        <w:t>4</w:t>
      </w:r>
    </w:p>
    <w:p>
      <w:pPr>
        <w:pStyle w:val="8"/>
        <w:tabs>
          <w:tab w:val="right" w:leader="dot" w:pos="8296"/>
        </w:tabs>
        <w:ind w:left="0"/>
        <w:rPr>
          <w:rFonts w:hint="eastAsia" w:ascii="方正小标宋简体" w:hAnsi="黑体" w:eastAsia="方正小标宋简体" w:cs="黑体"/>
          <w:b/>
          <w:bCs/>
          <w:iCs w:val="0"/>
          <w:caps/>
          <w:lang w:val="en-US" w:eastAsia="zh-CN"/>
        </w:rPr>
      </w:pPr>
      <w:r>
        <w:rPr>
          <w:rFonts w:ascii="方正小标宋简体" w:hAnsi="黑体" w:eastAsia="方正小标宋简体" w:cs="黑体"/>
          <w:b/>
          <w:bCs/>
          <w:iCs w:val="0"/>
          <w:caps/>
        </w:rPr>
        <w:t>（三）国有资产占有使用情况</w:t>
      </w:r>
      <w:r>
        <w:rPr>
          <w:rFonts w:ascii="方正小标宋简体" w:hAnsi="黑体" w:eastAsia="方正小标宋简体" w:cs="黑体"/>
          <w:b/>
          <w:bCs/>
          <w:iCs w:val="0"/>
          <w:caps/>
        </w:rPr>
        <w:tab/>
      </w:r>
      <w:r>
        <w:rPr>
          <w:rFonts w:hint="eastAsia" w:ascii="方正小标宋简体" w:hAnsi="黑体" w:eastAsia="方正小标宋简体" w:cs="黑体"/>
          <w:b/>
          <w:bCs/>
          <w:iCs w:val="0"/>
          <w:caps/>
        </w:rPr>
        <w:t>1</w:t>
      </w:r>
      <w:r>
        <w:rPr>
          <w:rFonts w:hint="eastAsia" w:ascii="方正小标宋简体" w:hAnsi="黑体" w:eastAsia="方正小标宋简体" w:cs="黑体"/>
          <w:b/>
          <w:bCs/>
          <w:iCs w:val="0"/>
          <w:caps/>
          <w:lang w:val="en-US" w:eastAsia="zh-CN"/>
        </w:rPr>
        <w:t>4</w:t>
      </w:r>
    </w:p>
    <w:p>
      <w:pPr>
        <w:pStyle w:val="8"/>
        <w:tabs>
          <w:tab w:val="right" w:leader="dot" w:pos="8296"/>
        </w:tabs>
        <w:ind w:left="0"/>
        <w:rPr>
          <w:rFonts w:hint="eastAsia" w:ascii="方正小标宋简体" w:hAnsi="黑体" w:eastAsia="方正小标宋简体" w:cs="黑体"/>
          <w:b/>
          <w:bCs/>
          <w:i w:val="0"/>
          <w:iCs w:val="0"/>
          <w:caps/>
          <w:lang w:val="en-US" w:eastAsia="zh-CN"/>
        </w:rPr>
      </w:pPr>
      <w:r>
        <w:rPr>
          <w:rFonts w:ascii="方正小标宋简体" w:hAnsi="黑体" w:eastAsia="方正小标宋简体" w:cs="黑体"/>
          <w:b/>
          <w:bCs/>
          <w:i w:val="0"/>
          <w:iCs w:val="0"/>
          <w:caps/>
        </w:rPr>
        <w:t>（四）预算绩效管理情况</w:t>
      </w:r>
      <w:r>
        <w:rPr>
          <w:rFonts w:ascii="方正小标宋简体" w:hAnsi="黑体" w:eastAsia="方正小标宋简体" w:cs="黑体"/>
          <w:b/>
          <w:bCs/>
          <w:i w:val="0"/>
          <w:iCs w:val="0"/>
          <w:caps/>
        </w:rPr>
        <w:tab/>
      </w:r>
      <w:r>
        <w:rPr>
          <w:rFonts w:hint="eastAsia" w:ascii="方正小标宋简体" w:hAnsi="黑体" w:eastAsia="方正小标宋简体" w:cs="黑体"/>
          <w:b/>
          <w:bCs/>
          <w:i w:val="0"/>
          <w:iCs w:val="0"/>
          <w:caps/>
        </w:rPr>
        <w:t>1</w:t>
      </w:r>
      <w:r>
        <w:rPr>
          <w:rFonts w:hint="eastAsia" w:ascii="方正小标宋简体" w:hAnsi="黑体" w:eastAsia="方正小标宋简体" w:cs="黑体"/>
          <w:b/>
          <w:bCs/>
          <w:i w:val="0"/>
          <w:iCs w:val="0"/>
          <w:caps/>
          <w:lang w:val="en-US" w:eastAsia="zh-CN"/>
        </w:rPr>
        <w:t>4</w:t>
      </w:r>
    </w:p>
    <w:p>
      <w:pPr>
        <w:pStyle w:val="13"/>
        <w:tabs>
          <w:tab w:val="right" w:leader="dot" w:pos="8296"/>
        </w:tabs>
        <w:rPr>
          <w:rFonts w:hint="eastAsia" w:ascii="方正小标宋简体" w:hAnsi="黑体" w:eastAsia="方正小标宋简体" w:cs="黑体"/>
          <w:lang w:val="en-US" w:eastAsia="zh-CN"/>
        </w:rPr>
      </w:pPr>
      <w:r>
        <w:rPr>
          <w:rFonts w:ascii="方正小标宋简体" w:hAnsi="黑体" w:eastAsia="方正小标宋简体" w:cs="黑体"/>
        </w:rPr>
        <w:t>第三部分 名词解释</w:t>
      </w:r>
      <w:r>
        <w:rPr>
          <w:rFonts w:ascii="方正小标宋简体" w:hAnsi="黑体" w:eastAsia="方正小标宋简体" w:cs="黑体"/>
        </w:rPr>
        <w:tab/>
      </w:r>
      <w:r>
        <w:rPr>
          <w:rFonts w:hint="eastAsia" w:ascii="方正小标宋简体" w:hAnsi="黑体" w:eastAsia="方正小标宋简体" w:cs="黑体"/>
        </w:rPr>
        <w:t>1</w:t>
      </w:r>
      <w:r>
        <w:rPr>
          <w:rFonts w:hint="eastAsia" w:ascii="方正小标宋简体" w:hAnsi="黑体" w:eastAsia="方正小标宋简体" w:cs="黑体"/>
          <w:lang w:val="en-US" w:eastAsia="zh-CN"/>
        </w:rPr>
        <w:t>5</w:t>
      </w:r>
    </w:p>
    <w:p>
      <w:pPr>
        <w:pStyle w:val="13"/>
        <w:tabs>
          <w:tab w:val="right" w:leader="dot" w:pos="8296"/>
        </w:tabs>
        <w:rPr>
          <w:rFonts w:hint="eastAsia" w:ascii="方正小标宋简体" w:hAnsi="黑体" w:eastAsia="方正小标宋简体" w:cs="黑体"/>
          <w:lang w:val="en-US" w:eastAsia="zh-CN"/>
        </w:rPr>
      </w:pPr>
      <w:r>
        <w:rPr>
          <w:rFonts w:ascii="方正小标宋简体" w:hAnsi="黑体" w:eastAsia="方正小标宋简体" w:cs="黑体"/>
        </w:rPr>
        <w:t>第四部分 附件</w:t>
      </w:r>
      <w:r>
        <w:rPr>
          <w:rFonts w:ascii="方正小标宋简体" w:hAnsi="黑体" w:eastAsia="方正小标宋简体" w:cs="黑体"/>
        </w:rPr>
        <w:tab/>
      </w:r>
      <w:r>
        <w:rPr>
          <w:rFonts w:hint="eastAsia" w:ascii="方正小标宋简体" w:hAnsi="黑体" w:eastAsia="方正小标宋简体" w:cs="黑体"/>
        </w:rPr>
        <w:t>1</w:t>
      </w:r>
      <w:r>
        <w:rPr>
          <w:rFonts w:hint="eastAsia" w:ascii="方正小标宋简体" w:hAnsi="黑体" w:eastAsia="方正小标宋简体" w:cs="黑体"/>
          <w:lang w:val="en-US" w:eastAsia="zh-CN"/>
        </w:rPr>
        <w:t>8</w:t>
      </w:r>
    </w:p>
    <w:p>
      <w:pPr>
        <w:pStyle w:val="13"/>
        <w:tabs>
          <w:tab w:val="right" w:leader="dot" w:pos="8296"/>
        </w:tabs>
        <w:rPr>
          <w:rFonts w:hint="eastAsia" w:ascii="方正小标宋简体" w:hAnsi="黑体" w:eastAsia="方正小标宋简体" w:cs="黑体"/>
          <w:lang w:val="en-US" w:eastAsia="zh-CN"/>
        </w:rPr>
      </w:pPr>
      <w:r>
        <w:rPr>
          <w:rFonts w:ascii="方正小标宋简体" w:hAnsi="黑体" w:eastAsia="方正小标宋简体" w:cs="黑体"/>
        </w:rPr>
        <w:t>附件1</w:t>
      </w:r>
      <w:r>
        <w:rPr>
          <w:rFonts w:ascii="方正小标宋简体" w:hAnsi="黑体" w:eastAsia="方正小标宋简体" w:cs="黑体"/>
        </w:rPr>
        <w:tab/>
      </w:r>
      <w:r>
        <w:rPr>
          <w:rFonts w:hint="eastAsia" w:ascii="方正小标宋简体" w:hAnsi="黑体" w:eastAsia="方正小标宋简体" w:cs="黑体"/>
        </w:rPr>
        <w:t>1</w:t>
      </w:r>
      <w:r>
        <w:rPr>
          <w:rFonts w:hint="eastAsia" w:ascii="方正小标宋简体" w:hAnsi="黑体" w:eastAsia="方正小标宋简体" w:cs="黑体"/>
          <w:lang w:val="en-US" w:eastAsia="zh-CN"/>
        </w:rPr>
        <w:t>8</w:t>
      </w:r>
    </w:p>
    <w:p>
      <w:pPr>
        <w:pStyle w:val="13"/>
        <w:tabs>
          <w:tab w:val="right" w:leader="dot" w:pos="8296"/>
        </w:tabs>
        <w:rPr>
          <w:rFonts w:hint="eastAsia" w:ascii="方正小标宋简体" w:hAnsi="黑体" w:eastAsia="方正小标宋简体" w:cs="黑体"/>
          <w:lang w:val="en-US" w:eastAsia="zh-CN"/>
        </w:rPr>
      </w:pPr>
      <w:r>
        <w:rPr>
          <w:rFonts w:hint="eastAsia" w:ascii="方正小标宋简体" w:hAnsi="黑体" w:eastAsia="方正小标宋简体" w:cs="黑体"/>
        </w:rPr>
        <w:t>壤塘县社会救助福利中心</w:t>
      </w:r>
      <w:r>
        <w:rPr>
          <w:rFonts w:ascii="方正小标宋简体" w:hAnsi="黑体" w:eastAsia="方正小标宋简体" w:cs="黑体"/>
        </w:rPr>
        <w:t>2020年部门整体支出绩效评价报告</w:t>
      </w:r>
      <w:r>
        <w:rPr>
          <w:rFonts w:ascii="方正小标宋简体" w:hAnsi="黑体" w:eastAsia="方正小标宋简体" w:cs="黑体"/>
        </w:rPr>
        <w:tab/>
      </w:r>
      <w:r>
        <w:rPr>
          <w:rFonts w:hint="eastAsia" w:ascii="方正小标宋简体" w:hAnsi="黑体" w:eastAsia="方正小标宋简体" w:cs="黑体"/>
        </w:rPr>
        <w:t>1</w:t>
      </w:r>
      <w:r>
        <w:rPr>
          <w:rFonts w:hint="eastAsia" w:ascii="方正小标宋简体" w:hAnsi="黑体" w:eastAsia="方正小标宋简体" w:cs="黑体"/>
          <w:lang w:val="en-US" w:eastAsia="zh-CN"/>
        </w:rPr>
        <w:t>8</w:t>
      </w:r>
    </w:p>
    <w:p>
      <w:pPr>
        <w:pStyle w:val="13"/>
        <w:tabs>
          <w:tab w:val="right" w:leader="dot" w:pos="8296"/>
        </w:tabs>
        <w:rPr>
          <w:rFonts w:hint="eastAsia" w:ascii="方正小标宋简体" w:hAnsi="黑体" w:eastAsia="方正小标宋简体" w:cs="黑体"/>
          <w:lang w:val="en-US" w:eastAsia="zh-CN"/>
        </w:rPr>
      </w:pPr>
      <w:r>
        <w:rPr>
          <w:rFonts w:ascii="方正小标宋简体" w:hAnsi="黑体" w:eastAsia="方正小标宋简体" w:cs="黑体"/>
        </w:rPr>
        <w:t>第五部分 附表</w:t>
      </w:r>
      <w:r>
        <w:rPr>
          <w:rFonts w:ascii="方正小标宋简体" w:hAnsi="黑体" w:eastAsia="方正小标宋简体" w:cs="黑体"/>
        </w:rPr>
        <w:tab/>
      </w:r>
      <w:r>
        <w:rPr>
          <w:rFonts w:hint="eastAsia" w:ascii="方正小标宋简体" w:hAnsi="黑体" w:eastAsia="方正小标宋简体" w:cs="黑体"/>
        </w:rPr>
        <w:t>2</w:t>
      </w:r>
      <w:r>
        <w:rPr>
          <w:rFonts w:hint="eastAsia" w:ascii="方正小标宋简体" w:hAnsi="黑体" w:eastAsia="方正小标宋简体" w:cs="黑体"/>
          <w:lang w:val="en-US" w:eastAsia="zh-CN"/>
        </w:rPr>
        <w:t>4</w:t>
      </w:r>
    </w:p>
    <w:p>
      <w:pPr>
        <w:pStyle w:val="16"/>
        <w:tabs>
          <w:tab w:val="right" w:leader="dot" w:pos="8296"/>
        </w:tabs>
        <w:ind w:left="0"/>
        <w:rPr>
          <w:rFonts w:hint="eastAsia" w:ascii="方正小标宋简体" w:hAnsi="黑体" w:eastAsia="方正小标宋简体" w:cs="黑体"/>
          <w:b/>
          <w:bCs/>
          <w:caps/>
          <w:smallCaps w:val="0"/>
          <w:lang w:val="en-US" w:eastAsia="zh-CN"/>
        </w:rPr>
      </w:pPr>
      <w:r>
        <w:rPr>
          <w:rFonts w:ascii="方正小标宋简体" w:hAnsi="黑体" w:eastAsia="方正小标宋简体" w:cs="黑体"/>
          <w:b/>
          <w:bCs/>
          <w:caps/>
          <w:smallCaps w:val="0"/>
        </w:rPr>
        <w:t>一、收入支出决算总表</w:t>
      </w:r>
      <w:r>
        <w:rPr>
          <w:rFonts w:ascii="方正小标宋简体" w:hAnsi="黑体" w:eastAsia="方正小标宋简体" w:cs="黑体"/>
          <w:b/>
          <w:bCs/>
          <w:caps/>
          <w:smallCaps w:val="0"/>
        </w:rPr>
        <w:tab/>
      </w:r>
      <w:r>
        <w:rPr>
          <w:rFonts w:hint="eastAsia" w:ascii="方正小标宋简体" w:hAnsi="黑体" w:eastAsia="方正小标宋简体" w:cs="黑体"/>
          <w:b/>
          <w:bCs/>
          <w:caps/>
          <w:smallCaps w:val="0"/>
        </w:rPr>
        <w:t>2</w:t>
      </w:r>
      <w:r>
        <w:rPr>
          <w:rFonts w:hint="eastAsia" w:ascii="方正小标宋简体" w:hAnsi="黑体" w:eastAsia="方正小标宋简体" w:cs="黑体"/>
          <w:b/>
          <w:bCs/>
          <w:caps/>
          <w:smallCaps w:val="0"/>
          <w:lang w:val="en-US" w:eastAsia="zh-CN"/>
        </w:rPr>
        <w:t>4</w:t>
      </w:r>
    </w:p>
    <w:p>
      <w:pPr>
        <w:pStyle w:val="16"/>
        <w:tabs>
          <w:tab w:val="right" w:leader="dot" w:pos="8296"/>
        </w:tabs>
        <w:ind w:left="0"/>
        <w:rPr>
          <w:rFonts w:hint="eastAsia" w:ascii="方正小标宋简体" w:hAnsi="黑体" w:eastAsia="方正小标宋简体" w:cs="黑体"/>
          <w:b/>
          <w:bCs/>
          <w:caps/>
          <w:smallCaps w:val="0"/>
          <w:lang w:val="en-US" w:eastAsia="zh-CN"/>
        </w:rPr>
      </w:pPr>
      <w:r>
        <w:rPr>
          <w:rFonts w:ascii="方正小标宋简体" w:hAnsi="黑体" w:eastAsia="方正小标宋简体" w:cs="黑体"/>
          <w:b/>
          <w:bCs/>
          <w:caps/>
          <w:smallCaps w:val="0"/>
        </w:rPr>
        <w:t>二、收入决算表</w:t>
      </w:r>
      <w:r>
        <w:rPr>
          <w:rFonts w:ascii="方正小标宋简体" w:hAnsi="黑体" w:eastAsia="方正小标宋简体" w:cs="黑体"/>
          <w:b/>
          <w:bCs/>
          <w:caps/>
          <w:smallCaps w:val="0"/>
        </w:rPr>
        <w:tab/>
      </w:r>
      <w:r>
        <w:rPr>
          <w:rFonts w:hint="eastAsia" w:ascii="方正小标宋简体" w:hAnsi="黑体" w:eastAsia="方正小标宋简体" w:cs="黑体"/>
          <w:b/>
          <w:bCs/>
          <w:caps/>
          <w:smallCaps w:val="0"/>
        </w:rPr>
        <w:t>2</w:t>
      </w:r>
      <w:r>
        <w:rPr>
          <w:rFonts w:hint="eastAsia" w:ascii="方正小标宋简体" w:hAnsi="黑体" w:eastAsia="方正小标宋简体" w:cs="黑体"/>
          <w:b/>
          <w:bCs/>
          <w:caps/>
          <w:smallCaps w:val="0"/>
          <w:lang w:val="en-US" w:eastAsia="zh-CN"/>
        </w:rPr>
        <w:t>4</w:t>
      </w:r>
    </w:p>
    <w:p>
      <w:pPr>
        <w:pStyle w:val="16"/>
        <w:tabs>
          <w:tab w:val="right" w:leader="dot" w:pos="8296"/>
        </w:tabs>
        <w:ind w:left="0"/>
        <w:rPr>
          <w:rFonts w:hint="eastAsia" w:ascii="方正小标宋简体" w:hAnsi="黑体" w:eastAsia="方正小标宋简体" w:cs="黑体"/>
          <w:b/>
          <w:bCs/>
          <w:caps/>
          <w:smallCaps w:val="0"/>
          <w:lang w:val="en-US" w:eastAsia="zh-CN"/>
        </w:rPr>
      </w:pPr>
      <w:r>
        <w:rPr>
          <w:rFonts w:ascii="方正小标宋简体" w:hAnsi="黑体" w:eastAsia="方正小标宋简体" w:cs="黑体"/>
          <w:b/>
          <w:bCs/>
          <w:caps/>
          <w:smallCaps w:val="0"/>
        </w:rPr>
        <w:t>三、支出决算表</w:t>
      </w:r>
      <w:r>
        <w:rPr>
          <w:rFonts w:ascii="方正小标宋简体" w:hAnsi="黑体" w:eastAsia="方正小标宋简体" w:cs="黑体"/>
          <w:b/>
          <w:bCs/>
          <w:caps/>
          <w:smallCaps w:val="0"/>
        </w:rPr>
        <w:tab/>
      </w:r>
      <w:r>
        <w:rPr>
          <w:rFonts w:hint="eastAsia" w:ascii="方正小标宋简体" w:hAnsi="黑体" w:eastAsia="方正小标宋简体" w:cs="黑体"/>
          <w:b/>
          <w:bCs/>
          <w:caps/>
          <w:smallCaps w:val="0"/>
        </w:rPr>
        <w:t>2</w:t>
      </w:r>
      <w:r>
        <w:rPr>
          <w:rFonts w:hint="eastAsia" w:ascii="方正小标宋简体" w:hAnsi="黑体" w:eastAsia="方正小标宋简体" w:cs="黑体"/>
          <w:b/>
          <w:bCs/>
          <w:caps/>
          <w:smallCaps w:val="0"/>
          <w:lang w:val="en-US" w:eastAsia="zh-CN"/>
        </w:rPr>
        <w:t>4</w:t>
      </w:r>
    </w:p>
    <w:p>
      <w:pPr>
        <w:pStyle w:val="16"/>
        <w:tabs>
          <w:tab w:val="right" w:leader="dot" w:pos="8296"/>
        </w:tabs>
        <w:ind w:left="0"/>
        <w:rPr>
          <w:rFonts w:hint="eastAsia" w:ascii="方正小标宋简体" w:hAnsi="黑体" w:eastAsia="方正小标宋简体" w:cs="黑体"/>
          <w:b/>
          <w:bCs/>
          <w:caps/>
          <w:smallCaps w:val="0"/>
          <w:lang w:val="en-US" w:eastAsia="zh-CN"/>
        </w:rPr>
      </w:pPr>
      <w:r>
        <w:rPr>
          <w:rFonts w:ascii="方正小标宋简体" w:hAnsi="黑体" w:eastAsia="方正小标宋简体" w:cs="黑体"/>
          <w:b/>
          <w:bCs/>
          <w:caps/>
          <w:smallCaps w:val="0"/>
        </w:rPr>
        <w:t>四、财政拨款收入支出决算总表</w:t>
      </w:r>
      <w:r>
        <w:rPr>
          <w:rFonts w:ascii="方正小标宋简体" w:hAnsi="黑体" w:eastAsia="方正小标宋简体" w:cs="黑体"/>
          <w:b/>
          <w:bCs/>
          <w:caps/>
          <w:smallCaps w:val="0"/>
        </w:rPr>
        <w:tab/>
      </w:r>
      <w:r>
        <w:rPr>
          <w:rFonts w:hint="eastAsia" w:ascii="方正小标宋简体" w:hAnsi="黑体" w:eastAsia="方正小标宋简体" w:cs="黑体"/>
          <w:b/>
          <w:bCs/>
          <w:caps/>
          <w:smallCaps w:val="0"/>
        </w:rPr>
        <w:t>2</w:t>
      </w:r>
      <w:r>
        <w:rPr>
          <w:rFonts w:hint="eastAsia" w:ascii="方正小标宋简体" w:hAnsi="黑体" w:eastAsia="方正小标宋简体" w:cs="黑体"/>
          <w:b/>
          <w:bCs/>
          <w:caps/>
          <w:smallCaps w:val="0"/>
          <w:lang w:val="en-US" w:eastAsia="zh-CN"/>
        </w:rPr>
        <w:t>4</w:t>
      </w:r>
    </w:p>
    <w:p>
      <w:pPr>
        <w:pStyle w:val="16"/>
        <w:tabs>
          <w:tab w:val="right" w:leader="dot" w:pos="8296"/>
        </w:tabs>
        <w:ind w:left="0"/>
        <w:rPr>
          <w:rFonts w:hint="eastAsia" w:ascii="方正小标宋简体" w:hAnsi="黑体" w:eastAsia="方正小标宋简体" w:cs="黑体"/>
          <w:b/>
          <w:bCs/>
          <w:caps/>
          <w:smallCaps w:val="0"/>
          <w:lang w:val="en-US" w:eastAsia="zh-CN"/>
        </w:rPr>
      </w:pPr>
      <w:r>
        <w:rPr>
          <w:rFonts w:ascii="方正小标宋简体" w:hAnsi="黑体" w:eastAsia="方正小标宋简体" w:cs="黑体"/>
          <w:b/>
          <w:bCs/>
          <w:caps/>
          <w:smallCaps w:val="0"/>
        </w:rPr>
        <w:t>五、财政拨款支出决算明细表</w:t>
      </w:r>
      <w:r>
        <w:rPr>
          <w:rFonts w:ascii="方正小标宋简体" w:hAnsi="黑体" w:eastAsia="方正小标宋简体" w:cs="黑体"/>
          <w:b/>
          <w:bCs/>
          <w:caps/>
          <w:smallCaps w:val="0"/>
        </w:rPr>
        <w:tab/>
      </w:r>
      <w:r>
        <w:rPr>
          <w:rFonts w:hint="eastAsia" w:ascii="方正小标宋简体" w:hAnsi="黑体" w:eastAsia="方正小标宋简体" w:cs="黑体"/>
          <w:b/>
          <w:bCs/>
          <w:caps/>
          <w:smallCaps w:val="0"/>
        </w:rPr>
        <w:t>2</w:t>
      </w:r>
      <w:r>
        <w:rPr>
          <w:rFonts w:hint="eastAsia" w:ascii="方正小标宋简体" w:hAnsi="黑体" w:eastAsia="方正小标宋简体" w:cs="黑体"/>
          <w:b/>
          <w:bCs/>
          <w:caps/>
          <w:smallCaps w:val="0"/>
          <w:lang w:val="en-US" w:eastAsia="zh-CN"/>
        </w:rPr>
        <w:t>4</w:t>
      </w:r>
    </w:p>
    <w:p>
      <w:pPr>
        <w:pStyle w:val="16"/>
        <w:tabs>
          <w:tab w:val="right" w:leader="dot" w:pos="8296"/>
        </w:tabs>
        <w:ind w:left="0"/>
        <w:rPr>
          <w:rFonts w:hint="eastAsia" w:ascii="方正小标宋简体" w:hAnsi="黑体" w:eastAsia="方正小标宋简体" w:cs="黑体"/>
          <w:b/>
          <w:bCs/>
          <w:caps/>
          <w:smallCaps w:val="0"/>
          <w:lang w:val="en-US" w:eastAsia="zh-CN"/>
        </w:rPr>
      </w:pPr>
      <w:r>
        <w:rPr>
          <w:rFonts w:ascii="方正小标宋简体" w:hAnsi="黑体" w:eastAsia="方正小标宋简体" w:cs="黑体"/>
          <w:b/>
          <w:bCs/>
          <w:caps/>
          <w:smallCaps w:val="0"/>
        </w:rPr>
        <w:t>六、一般公共预算财政拨款支出决算表</w:t>
      </w:r>
      <w:r>
        <w:rPr>
          <w:rFonts w:ascii="方正小标宋简体" w:hAnsi="黑体" w:eastAsia="方正小标宋简体" w:cs="黑体"/>
          <w:b/>
          <w:bCs/>
          <w:caps/>
          <w:smallCaps w:val="0"/>
        </w:rPr>
        <w:tab/>
      </w:r>
      <w:r>
        <w:rPr>
          <w:rFonts w:hint="eastAsia" w:ascii="方正小标宋简体" w:hAnsi="黑体" w:eastAsia="方正小标宋简体" w:cs="黑体"/>
          <w:b/>
          <w:bCs/>
          <w:caps/>
          <w:smallCaps w:val="0"/>
        </w:rPr>
        <w:t>2</w:t>
      </w:r>
      <w:r>
        <w:rPr>
          <w:rFonts w:hint="eastAsia" w:ascii="方正小标宋简体" w:hAnsi="黑体" w:eastAsia="方正小标宋简体" w:cs="黑体"/>
          <w:b/>
          <w:bCs/>
          <w:caps/>
          <w:smallCaps w:val="0"/>
          <w:lang w:val="en-US" w:eastAsia="zh-CN"/>
        </w:rPr>
        <w:t>4</w:t>
      </w:r>
    </w:p>
    <w:p>
      <w:pPr>
        <w:pStyle w:val="16"/>
        <w:tabs>
          <w:tab w:val="right" w:leader="dot" w:pos="8296"/>
        </w:tabs>
        <w:ind w:left="0"/>
        <w:rPr>
          <w:rFonts w:hint="eastAsia" w:ascii="方正小标宋简体" w:hAnsi="黑体" w:eastAsia="方正小标宋简体" w:cs="黑体"/>
          <w:b/>
          <w:bCs/>
          <w:caps/>
          <w:smallCaps w:val="0"/>
          <w:lang w:val="en-US" w:eastAsia="zh-CN"/>
        </w:rPr>
      </w:pPr>
      <w:r>
        <w:rPr>
          <w:rFonts w:ascii="方正小标宋简体" w:hAnsi="黑体" w:eastAsia="方正小标宋简体" w:cs="黑体"/>
          <w:b/>
          <w:bCs/>
          <w:caps/>
          <w:smallCaps w:val="0"/>
        </w:rPr>
        <w:t>七、一般公共预算财政拨款支出决算明细表</w:t>
      </w:r>
      <w:r>
        <w:rPr>
          <w:rFonts w:ascii="方正小标宋简体" w:hAnsi="黑体" w:eastAsia="方正小标宋简体" w:cs="黑体"/>
          <w:b/>
          <w:bCs/>
          <w:caps/>
          <w:smallCaps w:val="0"/>
        </w:rPr>
        <w:tab/>
      </w:r>
      <w:r>
        <w:rPr>
          <w:rFonts w:hint="eastAsia" w:ascii="方正小标宋简体" w:hAnsi="黑体" w:eastAsia="方正小标宋简体" w:cs="黑体"/>
          <w:b/>
          <w:bCs/>
          <w:caps/>
          <w:smallCaps w:val="0"/>
        </w:rPr>
        <w:t>2</w:t>
      </w:r>
      <w:r>
        <w:rPr>
          <w:rFonts w:hint="eastAsia" w:ascii="方正小标宋简体" w:hAnsi="黑体" w:eastAsia="方正小标宋简体" w:cs="黑体"/>
          <w:b/>
          <w:bCs/>
          <w:caps/>
          <w:smallCaps w:val="0"/>
          <w:lang w:val="en-US" w:eastAsia="zh-CN"/>
        </w:rPr>
        <w:t>4</w:t>
      </w:r>
    </w:p>
    <w:p>
      <w:pPr>
        <w:pStyle w:val="16"/>
        <w:tabs>
          <w:tab w:val="right" w:leader="dot" w:pos="8296"/>
        </w:tabs>
        <w:ind w:left="0"/>
        <w:rPr>
          <w:rFonts w:hint="eastAsia" w:ascii="方正小标宋简体" w:hAnsi="黑体" w:eastAsia="方正小标宋简体" w:cs="黑体"/>
          <w:b/>
          <w:bCs/>
          <w:caps/>
          <w:smallCaps w:val="0"/>
          <w:lang w:val="en-US" w:eastAsia="zh-CN"/>
        </w:rPr>
      </w:pPr>
      <w:r>
        <w:rPr>
          <w:rFonts w:ascii="方正小标宋简体" w:hAnsi="黑体" w:eastAsia="方正小标宋简体" w:cs="黑体"/>
          <w:b/>
          <w:bCs/>
          <w:caps/>
          <w:smallCaps w:val="0"/>
        </w:rPr>
        <w:t>八、一般公共预算财政拨款基本支出决算表</w:t>
      </w:r>
      <w:r>
        <w:rPr>
          <w:rFonts w:ascii="方正小标宋简体" w:hAnsi="黑体" w:eastAsia="方正小标宋简体" w:cs="黑体"/>
          <w:b/>
          <w:bCs/>
          <w:caps/>
          <w:smallCaps w:val="0"/>
        </w:rPr>
        <w:tab/>
      </w:r>
      <w:r>
        <w:rPr>
          <w:rFonts w:hint="eastAsia" w:ascii="方正小标宋简体" w:hAnsi="黑体" w:eastAsia="方正小标宋简体" w:cs="黑体"/>
          <w:b/>
          <w:bCs/>
          <w:caps/>
          <w:smallCaps w:val="0"/>
        </w:rPr>
        <w:t>2</w:t>
      </w:r>
      <w:r>
        <w:rPr>
          <w:rFonts w:hint="eastAsia" w:ascii="方正小标宋简体" w:hAnsi="黑体" w:eastAsia="方正小标宋简体" w:cs="黑体"/>
          <w:b/>
          <w:bCs/>
          <w:caps/>
          <w:smallCaps w:val="0"/>
          <w:lang w:val="en-US" w:eastAsia="zh-CN"/>
        </w:rPr>
        <w:t>4</w:t>
      </w:r>
    </w:p>
    <w:p>
      <w:pPr>
        <w:pStyle w:val="16"/>
        <w:tabs>
          <w:tab w:val="right" w:leader="dot" w:pos="8296"/>
        </w:tabs>
        <w:ind w:left="0"/>
        <w:rPr>
          <w:rFonts w:hint="eastAsia" w:ascii="方正小标宋简体" w:hAnsi="黑体" w:eastAsia="方正小标宋简体" w:cs="黑体"/>
          <w:b/>
          <w:bCs/>
          <w:caps/>
          <w:smallCaps w:val="0"/>
          <w:lang w:val="en-US" w:eastAsia="zh-CN"/>
        </w:rPr>
      </w:pPr>
      <w:r>
        <w:rPr>
          <w:rFonts w:ascii="方正小标宋简体" w:hAnsi="黑体" w:eastAsia="方正小标宋简体" w:cs="黑体"/>
          <w:b/>
          <w:bCs/>
          <w:caps/>
          <w:smallCaps w:val="0"/>
        </w:rPr>
        <w:t>九、一般公共预算财政拨款项目支出决算表</w:t>
      </w:r>
      <w:r>
        <w:rPr>
          <w:rFonts w:ascii="方正小标宋简体" w:hAnsi="黑体" w:eastAsia="方正小标宋简体" w:cs="黑体"/>
          <w:b/>
          <w:bCs/>
          <w:caps/>
          <w:smallCaps w:val="0"/>
        </w:rPr>
        <w:tab/>
      </w:r>
      <w:r>
        <w:rPr>
          <w:rFonts w:hint="eastAsia" w:ascii="方正小标宋简体" w:hAnsi="黑体" w:eastAsia="方正小标宋简体" w:cs="黑体"/>
          <w:b/>
          <w:bCs/>
          <w:caps/>
          <w:smallCaps w:val="0"/>
        </w:rPr>
        <w:t>2</w:t>
      </w:r>
      <w:r>
        <w:rPr>
          <w:rFonts w:hint="eastAsia" w:ascii="方正小标宋简体" w:hAnsi="黑体" w:eastAsia="方正小标宋简体" w:cs="黑体"/>
          <w:b/>
          <w:bCs/>
          <w:caps/>
          <w:smallCaps w:val="0"/>
          <w:lang w:val="en-US" w:eastAsia="zh-CN"/>
        </w:rPr>
        <w:t>4</w:t>
      </w:r>
    </w:p>
    <w:p>
      <w:pPr>
        <w:pStyle w:val="16"/>
        <w:tabs>
          <w:tab w:val="right" w:leader="dot" w:pos="8296"/>
        </w:tabs>
        <w:ind w:left="0"/>
        <w:rPr>
          <w:rFonts w:hint="eastAsia" w:ascii="方正小标宋简体" w:hAnsi="黑体" w:eastAsia="方正小标宋简体" w:cs="黑体"/>
          <w:b/>
          <w:bCs/>
          <w:caps/>
          <w:smallCaps w:val="0"/>
          <w:lang w:val="en-US" w:eastAsia="zh-CN"/>
        </w:rPr>
      </w:pPr>
      <w:r>
        <w:rPr>
          <w:rFonts w:ascii="方正小标宋简体" w:hAnsi="黑体" w:eastAsia="方正小标宋简体" w:cs="黑体"/>
          <w:b/>
          <w:bCs/>
          <w:caps/>
          <w:smallCaps w:val="0"/>
        </w:rPr>
        <w:t>十、一般公共预算财政拨款“三公”经费支出决算表</w:t>
      </w:r>
      <w:r>
        <w:rPr>
          <w:rFonts w:ascii="方正小标宋简体" w:hAnsi="黑体" w:eastAsia="方正小标宋简体" w:cs="黑体"/>
          <w:b/>
          <w:bCs/>
          <w:caps/>
          <w:smallCaps w:val="0"/>
        </w:rPr>
        <w:tab/>
      </w:r>
      <w:r>
        <w:rPr>
          <w:rFonts w:hint="eastAsia" w:ascii="方正小标宋简体" w:hAnsi="黑体" w:eastAsia="方正小标宋简体" w:cs="黑体"/>
          <w:b/>
          <w:bCs/>
          <w:caps/>
          <w:smallCaps w:val="0"/>
        </w:rPr>
        <w:t>2</w:t>
      </w:r>
      <w:r>
        <w:rPr>
          <w:rFonts w:hint="eastAsia" w:ascii="方正小标宋简体" w:hAnsi="黑体" w:eastAsia="方正小标宋简体" w:cs="黑体"/>
          <w:b/>
          <w:bCs/>
          <w:caps/>
          <w:smallCaps w:val="0"/>
          <w:lang w:val="en-US" w:eastAsia="zh-CN"/>
        </w:rPr>
        <w:t>4</w:t>
      </w:r>
    </w:p>
    <w:p>
      <w:pPr>
        <w:pStyle w:val="16"/>
        <w:tabs>
          <w:tab w:val="right" w:leader="dot" w:pos="8296"/>
        </w:tabs>
        <w:rPr>
          <w:rFonts w:hint="eastAsia" w:ascii="方正小标宋简体" w:hAnsi="黑体" w:eastAsia="方正小标宋简体" w:cs="黑体"/>
          <w:b/>
          <w:bCs/>
          <w:caps/>
          <w:smallCaps w:val="0"/>
          <w:lang w:val="en-US" w:eastAsia="zh-CN"/>
        </w:rPr>
      </w:pPr>
      <w:r>
        <w:rPr>
          <w:rFonts w:ascii="方正小标宋简体" w:hAnsi="黑体" w:eastAsia="方正小标宋简体" w:cs="黑体"/>
          <w:b/>
          <w:bCs/>
          <w:caps/>
          <w:smallCaps w:val="0"/>
        </w:rPr>
        <w:t>十一、政府性基金预算财政拨款收入支出决算表</w:t>
      </w:r>
      <w:r>
        <w:rPr>
          <w:rFonts w:ascii="方正小标宋简体" w:hAnsi="黑体" w:eastAsia="方正小标宋简体" w:cs="黑体"/>
          <w:b/>
          <w:bCs/>
          <w:caps/>
          <w:smallCaps w:val="0"/>
        </w:rPr>
        <w:tab/>
      </w:r>
      <w:r>
        <w:rPr>
          <w:rFonts w:hint="eastAsia" w:ascii="方正小标宋简体" w:hAnsi="黑体" w:eastAsia="方正小标宋简体" w:cs="黑体"/>
          <w:b/>
          <w:bCs/>
          <w:caps/>
          <w:smallCaps w:val="0"/>
        </w:rPr>
        <w:t>2</w:t>
      </w:r>
      <w:r>
        <w:rPr>
          <w:rFonts w:hint="eastAsia" w:ascii="方正小标宋简体" w:hAnsi="黑体" w:eastAsia="方正小标宋简体" w:cs="黑体"/>
          <w:b/>
          <w:bCs/>
          <w:caps/>
          <w:smallCaps w:val="0"/>
          <w:lang w:val="en-US" w:eastAsia="zh-CN"/>
        </w:rPr>
        <w:t>4</w:t>
      </w:r>
    </w:p>
    <w:p>
      <w:pPr>
        <w:pStyle w:val="16"/>
        <w:tabs>
          <w:tab w:val="right" w:leader="dot" w:pos="8296"/>
        </w:tabs>
        <w:rPr>
          <w:rFonts w:hint="eastAsia" w:ascii="方正小标宋简体" w:hAnsi="黑体" w:eastAsia="方正小标宋简体" w:cs="黑体"/>
          <w:b/>
          <w:bCs/>
          <w:caps/>
          <w:smallCaps w:val="0"/>
          <w:lang w:val="en-US" w:eastAsia="zh-CN"/>
        </w:rPr>
      </w:pPr>
      <w:r>
        <w:rPr>
          <w:rFonts w:ascii="方正小标宋简体" w:hAnsi="黑体" w:eastAsia="方正小标宋简体" w:cs="黑体"/>
          <w:b/>
          <w:bCs/>
          <w:caps/>
          <w:smallCaps w:val="0"/>
        </w:rPr>
        <w:t>十二、政府性基金预算财政拨款“三公”经费支出决算表</w:t>
      </w:r>
      <w:r>
        <w:rPr>
          <w:rFonts w:ascii="方正小标宋简体" w:hAnsi="黑体" w:eastAsia="方正小标宋简体" w:cs="黑体"/>
          <w:b/>
          <w:bCs/>
          <w:caps/>
          <w:smallCaps w:val="0"/>
        </w:rPr>
        <w:tab/>
      </w:r>
      <w:r>
        <w:rPr>
          <w:rFonts w:hint="eastAsia" w:ascii="方正小标宋简体" w:hAnsi="黑体" w:eastAsia="方正小标宋简体" w:cs="黑体"/>
          <w:b/>
          <w:bCs/>
          <w:caps/>
          <w:smallCaps w:val="0"/>
        </w:rPr>
        <w:t>2</w:t>
      </w:r>
      <w:r>
        <w:rPr>
          <w:rFonts w:hint="eastAsia" w:ascii="方正小标宋简体" w:hAnsi="黑体" w:eastAsia="方正小标宋简体" w:cs="黑体"/>
          <w:b/>
          <w:bCs/>
          <w:caps/>
          <w:smallCaps w:val="0"/>
          <w:lang w:val="en-US" w:eastAsia="zh-CN"/>
        </w:rPr>
        <w:t>4</w:t>
      </w:r>
    </w:p>
    <w:p>
      <w:pPr>
        <w:pStyle w:val="16"/>
        <w:tabs>
          <w:tab w:val="right" w:leader="dot" w:pos="8296"/>
        </w:tabs>
        <w:rPr>
          <w:rFonts w:hint="eastAsia" w:ascii="方正小标宋简体" w:hAnsi="黑体" w:eastAsia="方正小标宋简体" w:cs="黑体"/>
          <w:b/>
          <w:bCs/>
          <w:caps/>
          <w:smallCaps w:val="0"/>
          <w:lang w:val="en-US" w:eastAsia="zh-CN"/>
        </w:rPr>
      </w:pPr>
      <w:r>
        <w:rPr>
          <w:rFonts w:ascii="方正小标宋简体" w:hAnsi="黑体" w:eastAsia="方正小标宋简体" w:cs="黑体"/>
          <w:b/>
          <w:bCs/>
          <w:caps/>
          <w:smallCaps w:val="0"/>
        </w:rPr>
        <w:t>十三、国有资本经营预算财政拨款</w:t>
      </w:r>
      <w:r>
        <w:rPr>
          <w:rFonts w:hint="eastAsia" w:ascii="方正小标宋简体" w:hAnsi="黑体" w:eastAsia="方正小标宋简体" w:cs="黑体"/>
          <w:b/>
          <w:bCs/>
          <w:caps/>
          <w:smallCaps w:val="0"/>
        </w:rPr>
        <w:t>收入</w:t>
      </w:r>
      <w:r>
        <w:rPr>
          <w:rFonts w:ascii="方正小标宋简体" w:hAnsi="黑体" w:eastAsia="方正小标宋简体" w:cs="黑体"/>
          <w:b/>
          <w:bCs/>
          <w:caps/>
          <w:smallCaps w:val="0"/>
        </w:rPr>
        <w:t>支出决算表</w:t>
      </w:r>
      <w:r>
        <w:rPr>
          <w:rFonts w:ascii="方正小标宋简体" w:hAnsi="黑体" w:eastAsia="方正小标宋简体" w:cs="黑体"/>
          <w:b/>
          <w:bCs/>
          <w:caps/>
          <w:smallCaps w:val="0"/>
        </w:rPr>
        <w:tab/>
      </w:r>
      <w:r>
        <w:rPr>
          <w:rFonts w:hint="eastAsia" w:ascii="方正小标宋简体" w:hAnsi="黑体" w:eastAsia="方正小标宋简体" w:cs="黑体"/>
          <w:b/>
          <w:bCs/>
          <w:caps/>
          <w:smallCaps w:val="0"/>
        </w:rPr>
        <w:t>2</w:t>
      </w:r>
      <w:r>
        <w:rPr>
          <w:rFonts w:hint="eastAsia" w:ascii="方正小标宋简体" w:hAnsi="黑体" w:eastAsia="方正小标宋简体" w:cs="黑体"/>
          <w:b/>
          <w:bCs/>
          <w:caps/>
          <w:smallCaps w:val="0"/>
          <w:lang w:val="en-US" w:eastAsia="zh-CN"/>
        </w:rPr>
        <w:t>4</w:t>
      </w:r>
    </w:p>
    <w:p>
      <w:pPr>
        <w:pStyle w:val="16"/>
        <w:tabs>
          <w:tab w:val="right" w:leader="dot" w:pos="8296"/>
        </w:tabs>
        <w:rPr>
          <w:rFonts w:hint="eastAsia" w:ascii="方正小标宋简体" w:hAnsi="黑体" w:eastAsia="方正小标宋简体" w:cs="黑体"/>
          <w:b/>
          <w:bCs/>
          <w:caps/>
          <w:smallCaps w:val="0"/>
          <w:lang w:val="en-US" w:eastAsia="zh-CN"/>
        </w:rPr>
      </w:pPr>
      <w:r>
        <w:rPr>
          <w:rFonts w:ascii="方正小标宋简体" w:hAnsi="黑体" w:eastAsia="方正小标宋简体" w:cs="黑体"/>
          <w:b/>
          <w:bCs/>
          <w:caps/>
          <w:smallCaps w:val="0"/>
        </w:rPr>
        <w:t>十四、国有资本经营预算财政拨款支出决算表</w:t>
      </w:r>
      <w:r>
        <w:rPr>
          <w:rFonts w:ascii="方正小标宋简体" w:hAnsi="黑体" w:eastAsia="方正小标宋简体" w:cs="黑体"/>
          <w:b/>
          <w:bCs/>
          <w:caps/>
          <w:smallCaps w:val="0"/>
        </w:rPr>
        <w:tab/>
      </w:r>
      <w:r>
        <w:rPr>
          <w:rFonts w:hint="eastAsia" w:ascii="方正小标宋简体" w:hAnsi="黑体" w:eastAsia="方正小标宋简体" w:cs="黑体"/>
          <w:b/>
          <w:bCs/>
          <w:caps/>
          <w:smallCaps w:val="0"/>
        </w:rPr>
        <w:t>2</w:t>
      </w:r>
      <w:r>
        <w:rPr>
          <w:rFonts w:hint="eastAsia" w:ascii="方正小标宋简体" w:hAnsi="黑体" w:eastAsia="方正小标宋简体" w:cs="黑体"/>
          <w:b/>
          <w:bCs/>
          <w:caps/>
          <w:smallCaps w:val="0"/>
          <w:lang w:val="en-US" w:eastAsia="zh-CN"/>
        </w:rPr>
        <w:t>4</w:t>
      </w:r>
    </w:p>
    <w:p>
      <w:pPr>
        <w:rPr>
          <w:rFonts w:ascii="方正小标宋简体" w:hAnsi="黑体" w:eastAsia="方正小标宋简体" w:cs="黑体"/>
          <w:b/>
          <w:bCs/>
          <w:caps/>
          <w:sz w:val="20"/>
          <w:szCs w:val="20"/>
        </w:rPr>
      </w:pPr>
      <w:r>
        <w:rPr>
          <w:rFonts w:ascii="方正小标宋简体" w:hAnsi="黑体" w:eastAsia="方正小标宋简体" w:cs="黑体"/>
          <w:b/>
          <w:bCs/>
          <w:caps/>
          <w:sz w:val="20"/>
          <w:szCs w:val="20"/>
        </w:rPr>
        <w:fldChar w:fldCharType="end"/>
      </w:r>
    </w:p>
    <w:p>
      <w:pPr>
        <w:widowControl/>
        <w:adjustRightInd w:val="0"/>
        <w:snapToGrid w:val="0"/>
        <w:spacing w:line="440" w:lineRule="exact"/>
        <w:ind w:firstLine="1104" w:firstLineChars="550"/>
        <w:jc w:val="left"/>
        <w:rPr>
          <w:rFonts w:ascii="方正小标宋简体" w:hAnsi="黑体" w:eastAsia="方正小标宋简体" w:cs="黑体"/>
          <w:b/>
          <w:bCs/>
          <w:caps/>
          <w:sz w:val="20"/>
          <w:szCs w:val="20"/>
        </w:rPr>
      </w:pPr>
    </w:p>
    <w:p>
      <w:pPr>
        <w:widowControl/>
        <w:spacing w:line="440" w:lineRule="exact"/>
        <w:jc w:val="left"/>
        <w:rPr>
          <w:rFonts w:ascii="方正小标宋简体" w:hAnsi="黑体" w:eastAsia="方正小标宋简体" w:cs="黑体"/>
          <w:b/>
          <w:bCs/>
          <w:caps/>
          <w:sz w:val="20"/>
          <w:szCs w:val="20"/>
        </w:rPr>
      </w:pPr>
      <w:bookmarkStart w:id="12" w:name="_Toc15377196"/>
      <w:bookmarkStart w:id="13" w:name="_Toc15396599"/>
      <w:r>
        <w:rPr>
          <w:rFonts w:ascii="方正小标宋简体" w:hAnsi="黑体" w:eastAsia="方正小标宋简体" w:cs="黑体"/>
          <w:b/>
          <w:bCs/>
          <w:caps/>
          <w:sz w:val="20"/>
          <w:szCs w:val="20"/>
        </w:rPr>
        <w:br w:type="page"/>
      </w:r>
    </w:p>
    <w:p>
      <w:pPr>
        <w:pStyle w:val="2"/>
        <w:jc w:val="center"/>
        <w:rPr>
          <w:rStyle w:val="22"/>
          <w:rFonts w:ascii="方正小标宋_GBK" w:hAnsi="方正小标宋_GBK" w:eastAsia="方正小标宋_GBK" w:cs="方正小标宋_GBK"/>
          <w:b/>
          <w:bCs w:val="0"/>
        </w:rPr>
      </w:pPr>
      <w:bookmarkStart w:id="14" w:name="_Toc79163851"/>
      <w:bookmarkStart w:id="15" w:name="_Toc79163601"/>
      <w:r>
        <w:rPr>
          <w:rFonts w:hint="eastAsia" w:ascii="方正小标宋_GBK" w:hAnsi="方正小标宋_GBK" w:eastAsia="方正小标宋_GBK" w:cs="方正小标宋_GBK"/>
          <w:b w:val="0"/>
        </w:rPr>
        <w:t xml:space="preserve">第一部分 </w:t>
      </w:r>
      <w:r>
        <w:rPr>
          <w:rStyle w:val="22"/>
          <w:rFonts w:hint="eastAsia" w:ascii="方正小标宋_GBK" w:hAnsi="方正小标宋_GBK" w:eastAsia="方正小标宋_GBK" w:cs="方正小标宋_GBK"/>
          <w:b w:val="0"/>
          <w:bCs w:val="0"/>
        </w:rPr>
        <w:t>部门概况</w:t>
      </w:r>
      <w:bookmarkEnd w:id="12"/>
      <w:bookmarkEnd w:id="13"/>
      <w:bookmarkEnd w:id="14"/>
      <w:bookmarkEnd w:id="15"/>
    </w:p>
    <w:p>
      <w:pPr>
        <w:widowControl/>
        <w:jc w:val="left"/>
        <w:rPr>
          <w:rFonts w:ascii="黑体" w:eastAsia="黑体"/>
          <w:color w:val="000000"/>
          <w:sz w:val="32"/>
          <w:szCs w:val="32"/>
        </w:rPr>
      </w:pPr>
    </w:p>
    <w:p>
      <w:pPr>
        <w:pStyle w:val="3"/>
        <w:spacing w:before="0" w:after="0" w:line="560" w:lineRule="exact"/>
        <w:ind w:firstLine="640" w:firstLineChars="200"/>
        <w:rPr>
          <w:rFonts w:ascii="仿宋" w:hAnsi="仿宋" w:eastAsia="仿宋"/>
          <w:b w:val="0"/>
          <w:bCs w:val="0"/>
        </w:rPr>
      </w:pPr>
      <w:bookmarkStart w:id="16" w:name="_Toc79163602"/>
      <w:bookmarkStart w:id="17" w:name="_Toc15396600"/>
      <w:bookmarkStart w:id="18" w:name="_Toc79163852"/>
      <w:bookmarkStart w:id="19" w:name="_Toc15377197"/>
      <w:r>
        <w:rPr>
          <w:rFonts w:hint="eastAsia" w:ascii="黑体" w:hAnsi="黑体" w:eastAsia="黑体"/>
          <w:b w:val="0"/>
          <w:color w:val="000000"/>
        </w:rPr>
        <w:t>一、基</w:t>
      </w:r>
      <w:r>
        <w:rPr>
          <w:rStyle w:val="23"/>
          <w:rFonts w:hint="eastAsia" w:ascii="黑体" w:hAnsi="黑体" w:eastAsia="黑体"/>
          <w:b w:val="0"/>
          <w:bCs w:val="0"/>
        </w:rPr>
        <w:t>本职能及主要工作</w:t>
      </w:r>
      <w:bookmarkEnd w:id="16"/>
      <w:bookmarkEnd w:id="17"/>
      <w:bookmarkEnd w:id="18"/>
      <w:bookmarkEnd w:id="19"/>
      <w:bookmarkStart w:id="20" w:name="_Toc15377198"/>
      <w:bookmarkStart w:id="21" w:name="_Toc15378445"/>
    </w:p>
    <w:bookmarkEnd w:id="20"/>
    <w:bookmarkEnd w:id="21"/>
    <w:p>
      <w:pPr>
        <w:pStyle w:val="3"/>
        <w:spacing w:before="0" w:after="0" w:line="560" w:lineRule="exact"/>
        <w:ind w:firstLine="643" w:firstLineChars="200"/>
        <w:rPr>
          <w:rFonts w:ascii="楷体_GB2312" w:hAnsi="楷体_GB2312" w:eastAsia="楷体_GB2312" w:cs="楷体_GB2312"/>
          <w:color w:val="000000"/>
        </w:rPr>
      </w:pPr>
      <w:bookmarkStart w:id="22" w:name="_Toc79163604"/>
      <w:bookmarkStart w:id="23" w:name="_Toc79163854"/>
      <w:bookmarkStart w:id="24" w:name="_Toc15377199"/>
      <w:bookmarkStart w:id="25" w:name="_Toc15378446"/>
      <w:r>
        <w:rPr>
          <w:rFonts w:hint="eastAsia" w:ascii="楷体_GB2312" w:hAnsi="楷体_GB2312" w:eastAsia="楷体_GB2312" w:cs="楷体_GB2312"/>
          <w:color w:val="000000"/>
        </w:rPr>
        <w:t>（一）主要职能（职能参照省政府批准的三定方案）</w:t>
      </w:r>
    </w:p>
    <w:p>
      <w:pPr>
        <w:spacing w:line="560" w:lineRule="exact"/>
        <w:rPr>
          <w:rFonts w:ascii="仿宋_GB2312" w:hAnsi="仿宋_GB2312" w:eastAsia="仿宋_GB2312" w:cs="仿宋_GB2312"/>
          <w:sz w:val="32"/>
          <w:szCs w:val="32"/>
        </w:rPr>
      </w:pPr>
      <w:r>
        <w:rPr>
          <w:rFonts w:hint="eastAsia"/>
        </w:rPr>
        <w:t xml:space="preserve">   </w:t>
      </w:r>
      <w:r>
        <w:rPr>
          <w:rFonts w:hint="eastAsia" w:ascii="宋体" w:hAnsi="宋体" w:cs="黑体"/>
          <w:sz w:val="32"/>
          <w:szCs w:val="32"/>
        </w:rPr>
        <w:t xml:space="preserve"> </w:t>
      </w:r>
      <w:r>
        <w:rPr>
          <w:rFonts w:hint="eastAsia" w:ascii="仿宋_GB2312" w:hAnsi="仿宋_GB2312" w:eastAsia="仿宋_GB2312" w:cs="仿宋_GB2312"/>
          <w:sz w:val="32"/>
          <w:szCs w:val="32"/>
        </w:rPr>
        <w:t xml:space="preserve">县低收入家庭认定指导中心为县民政局下属公益一类事业单位，机构规格为股级，核定事业编制5名，设中心主任1名（股级）。                                                                                                                                                                        </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县低收入家庭认定指导中心主要职能职责:负责对申请城乡低保等政府救助和社会救助的城乡居民家庭收入和财产情况进行信息核对;负责全县低收入家庭经济状况核对信息数据库的建立、维护、查询、交流等工作;负责全县救助对象的数据统计和动态分析;负责指导各乡镇开展低收入家庭经济状况认定工作;会同有关部门</w:t>
      </w:r>
      <w:r>
        <w:rPr>
          <w:rFonts w:hint="eastAsia" w:ascii="仿宋_GB2312" w:hAnsi="仿宋_GB2312" w:eastAsia="仿宋_GB2312" w:cs="仿宋_GB2312"/>
          <w:sz w:val="32"/>
          <w:szCs w:val="32"/>
          <w:lang w:eastAsia="zh-CN"/>
        </w:rPr>
        <w:t>，</w:t>
      </w:r>
      <w:bookmarkStart w:id="118" w:name="_GoBack"/>
      <w:bookmarkEnd w:id="118"/>
      <w:r>
        <w:rPr>
          <w:rFonts w:hint="eastAsia" w:ascii="仿宋_GB2312" w:hAnsi="仿宋_GB2312" w:eastAsia="仿宋_GB2312" w:cs="仿宋_GB2312"/>
          <w:sz w:val="32"/>
          <w:szCs w:val="32"/>
        </w:rPr>
        <w:t>制定与城乡低保有关的配套优惠政策;负责本县低保信息网络建设和管理;负责城乡居民最低生活保障审核、审批工作;对最低生活保障资金的使用和管理情况进行督查;负责城乡特困群众临时性救济的审核、审批工作;负责全县农村特困群众医疗救助审核、审批工作;负责全县农村特困户救助的审核、审批工作。完成领导交办的其他工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成立敬老院服务中心。为县民政局下属公益一类事业单位，机构规格为股级，核定事业编制4名，设中心主任1名（股级）。</w:t>
      </w:r>
    </w:p>
    <w:p>
      <w:pPr>
        <w:pStyle w:val="6"/>
        <w:adjustRightInd w:val="0"/>
        <w:snapToGrid w:val="0"/>
        <w:spacing w:beforeLines="0" w:line="560" w:lineRule="exact"/>
        <w:ind w:firstLine="672" w:firstLineChars="210"/>
        <w:outlineLvl w:val="2"/>
        <w:rPr>
          <w:rFonts w:hAnsi="仿宋_GB2312" w:cs="仿宋_GB2312"/>
          <w:kern w:val="2"/>
          <w:sz w:val="32"/>
          <w:szCs w:val="32"/>
        </w:rPr>
      </w:pPr>
      <w:r>
        <w:rPr>
          <w:rFonts w:hint="eastAsia" w:hAnsi="仿宋_GB2312" w:cs="仿宋_GB2312"/>
          <w:kern w:val="2"/>
          <w:sz w:val="32"/>
          <w:szCs w:val="32"/>
        </w:rPr>
        <w:t>敬老院服务中心主要职能职责:贯彻执行党的路线、方针、政策，遵守国家法律法规和社会福利政策;认真贯彻《农村五保供养工作条例》;负责敬老院发展规划，指导敬老院建设管理和集中供养工作;指导敬老院建立健全各项规章制度工作;监督指导敬老院负责人和工作人员的工作，并对其进行考核考评，维护供养人员的合法权益，保障敬老院管理健康、有序发展。完成领导交办的其他工作。</w:t>
      </w:r>
    </w:p>
    <w:p>
      <w:pPr>
        <w:pStyle w:val="6"/>
        <w:adjustRightInd w:val="0"/>
        <w:snapToGrid w:val="0"/>
        <w:spacing w:beforeLines="0" w:line="560" w:lineRule="exact"/>
        <w:ind w:firstLine="672" w:firstLineChars="210"/>
        <w:outlineLvl w:val="2"/>
        <w:rPr>
          <w:rFonts w:hAnsi="仿宋_GB2312" w:cs="仿宋_GB2312"/>
          <w:kern w:val="2"/>
          <w:sz w:val="32"/>
          <w:szCs w:val="32"/>
        </w:rPr>
      </w:pPr>
      <w:r>
        <w:rPr>
          <w:rFonts w:hint="eastAsia" w:hAnsi="仿宋_GB2312" w:cs="仿宋_GB2312"/>
          <w:kern w:val="2"/>
          <w:sz w:val="32"/>
          <w:szCs w:val="32"/>
        </w:rPr>
        <w:t>(三)中壤塘敬老院、南木达敬老院、伊里敬老院、茸木</w:t>
      </w:r>
      <w:r>
        <w:rPr>
          <w:rFonts w:hint="eastAsia" w:hAnsi="仿宋_GB2312" w:cs="仿宋_GB2312"/>
          <w:kern w:val="2"/>
          <w:sz w:val="32"/>
          <w:szCs w:val="32"/>
        </w:rPr>
        <w:cr/>
      </w:r>
      <w:r>
        <w:rPr>
          <w:rFonts w:hint="eastAsia" w:hAnsi="仿宋_GB2312" w:cs="仿宋_GB2312"/>
          <w:kern w:val="2"/>
          <w:sz w:val="32"/>
          <w:szCs w:val="32"/>
        </w:rPr>
        <w:t>达敬老院、尕多敬老院。为县民政局下属公益一类事业单位，</w:t>
      </w:r>
      <w:r>
        <w:rPr>
          <w:rFonts w:hint="eastAsia" w:hAnsi="仿宋_GB2312" w:cs="仿宋_GB2312"/>
          <w:kern w:val="2"/>
          <w:sz w:val="32"/>
          <w:szCs w:val="32"/>
        </w:rPr>
        <w:cr/>
      </w:r>
      <w:r>
        <w:rPr>
          <w:rFonts w:hint="eastAsia" w:hAnsi="仿宋_GB2312" w:cs="仿宋_GB2312"/>
          <w:kern w:val="2"/>
          <w:sz w:val="32"/>
          <w:szCs w:val="32"/>
        </w:rPr>
        <w:t>机构规格为股级，核定事业编制41名(中壤塘敬老院7名、南木达敬老院9名、伊里敬老院6名、茸木达敬老院8名、尕多敬老院11名)，各设院长1名(股级)。</w:t>
      </w:r>
    </w:p>
    <w:p>
      <w:pPr>
        <w:pStyle w:val="6"/>
        <w:adjustRightInd w:val="0"/>
        <w:snapToGrid w:val="0"/>
        <w:spacing w:beforeLines="0" w:line="560" w:lineRule="exact"/>
        <w:ind w:firstLine="672" w:firstLineChars="210"/>
        <w:outlineLvl w:val="2"/>
        <w:rPr>
          <w:rFonts w:hAnsi="仿宋_GB2312" w:cs="仿宋_GB2312"/>
          <w:kern w:val="2"/>
          <w:sz w:val="32"/>
          <w:szCs w:val="32"/>
        </w:rPr>
      </w:pPr>
      <w:r>
        <w:rPr>
          <w:rFonts w:hint="eastAsia" w:hAnsi="仿宋_GB2312" w:cs="仿宋_GB2312"/>
          <w:kern w:val="2"/>
          <w:sz w:val="32"/>
          <w:szCs w:val="32"/>
        </w:rPr>
        <w:t>敬老院主要职能职责:贯彻执行国家有关五保供养工作的方针、政策和法律法规;组织制定院内的各项规章制度和发展规划;组织发展经济、不断提高供养人员的生活水平;认真履行职责，建立岗位责任制，实行目标管理、考核，维护供养人员的合法权益。完成领导交办的其他工作。</w:t>
      </w:r>
    </w:p>
    <w:p>
      <w:pPr>
        <w:pStyle w:val="6"/>
        <w:adjustRightInd w:val="0"/>
        <w:snapToGrid w:val="0"/>
        <w:spacing w:beforeLines="0" w:line="560" w:lineRule="exact"/>
        <w:ind w:firstLine="672" w:firstLineChars="210"/>
        <w:outlineLvl w:val="2"/>
        <w:rPr>
          <w:rFonts w:hAnsi="仿宋_GB2312" w:cs="仿宋_GB2312"/>
          <w:kern w:val="2"/>
          <w:sz w:val="32"/>
          <w:szCs w:val="32"/>
        </w:rPr>
      </w:pPr>
      <w:r>
        <w:rPr>
          <w:rFonts w:hint="eastAsia" w:hAnsi="仿宋_GB2312" w:cs="仿宋_GB2312"/>
          <w:kern w:val="2"/>
          <w:sz w:val="32"/>
          <w:szCs w:val="32"/>
        </w:rPr>
        <w:t>(四)壤塘县社会救助福利服务中心(挂壤塘县儿童福利</w:t>
      </w:r>
      <w:r>
        <w:rPr>
          <w:rFonts w:hint="eastAsia" w:hAnsi="仿宋_GB2312" w:cs="仿宋_GB2312"/>
          <w:kern w:val="2"/>
          <w:sz w:val="32"/>
          <w:szCs w:val="32"/>
        </w:rPr>
        <w:cr/>
      </w:r>
      <w:r>
        <w:rPr>
          <w:rFonts w:hint="eastAsia" w:hAnsi="仿宋_GB2312" w:cs="仿宋_GB2312"/>
          <w:kern w:val="2"/>
          <w:sz w:val="32"/>
          <w:szCs w:val="32"/>
        </w:rPr>
        <w:t>服务指导中心牌子)。为县民政局下属公益一类事业单位，机构规格为副科级，核定事业编制14名，设中心主任1名(副科)。县社会救助福利服务中心主要职能职责:主要是为中心救助对象的衣、食、住、行服务，执行国家救助福利政策，不断提高服务水平，体现党和政府对弱势群体的关心和重视;在中心内定期组织学习有关文件精神，让他们每天收看新闻，集体组织救助对象看电视，让他们了解我国改革开放以来日新月异的变化，了解国际国内的重大事件，了解国家政策，不断充实他们的精神生活。完成领导交办的其他工作。</w:t>
      </w:r>
    </w:p>
    <w:p>
      <w:pPr>
        <w:pStyle w:val="6"/>
        <w:adjustRightInd w:val="0"/>
        <w:snapToGrid w:val="0"/>
        <w:spacing w:beforeLines="0" w:line="560" w:lineRule="exact"/>
        <w:ind w:firstLine="675" w:firstLineChars="210"/>
        <w:outlineLvl w:val="2"/>
        <w:rPr>
          <w:rFonts w:hAnsi="仿宋_GB2312" w:cs="仿宋_GB2312"/>
          <w:b/>
          <w:color w:val="000000"/>
          <w:sz w:val="32"/>
          <w:szCs w:val="32"/>
        </w:rPr>
      </w:pPr>
      <w:r>
        <w:rPr>
          <w:rFonts w:hint="eastAsia" w:hAnsi="仿宋_GB2312" w:cs="仿宋_GB2312"/>
          <w:b/>
          <w:color w:val="000000"/>
          <w:sz w:val="32"/>
          <w:szCs w:val="32"/>
        </w:rPr>
        <w:t>（二）2020年重点工作完成情况</w:t>
      </w:r>
      <w:bookmarkEnd w:id="22"/>
      <w:bookmarkEnd w:id="23"/>
      <w:bookmarkEnd w:id="24"/>
      <w:bookmarkEnd w:id="25"/>
    </w:p>
    <w:p>
      <w:pPr>
        <w:spacing w:line="560" w:lineRule="exact"/>
        <w:ind w:firstLine="643" w:firstLineChars="200"/>
        <w:jc w:val="left"/>
        <w:rPr>
          <w:rFonts w:ascii="仿宋_GB2312" w:hAnsi="仿宋_GB2312" w:eastAsia="仿宋_GB2312" w:cs="仿宋_GB2312"/>
          <w:sz w:val="32"/>
          <w:szCs w:val="32"/>
        </w:rPr>
      </w:pP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2020年为符合政策的农村低保15989人员发放农村低保金3825.2万元，农村低保人均月补助达180元；为符合政策城市低保人员 413人发放城镇低保金152.4万元，城镇低保人均月补助达300元，按照“应保尽保、应退尽退”低保政策切实加强城乡低保专项清理，清理清退不符合政策人员1108名。</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社会救助水平不断提升，全年共救助困难群众226人次，解决临时救助资金27.87万元；为全县18名孤儿和6名无人抚养事实孤儿发放生活补助资金28.50万元；为1193名分散农村特困供养人员和240名集中供养特困人员发放生活补助1596.29万元，使困难群众基本生活得到了保障，并促进了社会救助政策体系更加完善、管理制度更加健全、服务质量明显提升，群众满意度显著提高。</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持续加大残疾人救助保障力度。全年为1245名困难残疾人发放生活补贴资金144.23万元；为1063名重度残疾人发放生活护理补贴资金111.48万元，使残疾人权益得到更好保障，进一步完善了社会保障制度体系。四是抓细抓好养老服务工作，全年为80岁以上644名老人发放高龄津贴68.54万元；完成了2750名居家养老服对象审核任务；对全县6所农村敬老院（含康复村）进行消防设施设备采购、外墙粉刷、门窗折换、天棚吊顶、院内地坪、旱厕新建、线路改造等服务质量提升维修改造项目，使老年人幸福指数和满意度不断提高。并根据财政要求，每年都及时对单位预决算数据和绩效信息在政府门户网进行了公开。</w:t>
      </w:r>
    </w:p>
    <w:p>
      <w:pPr>
        <w:pStyle w:val="3"/>
        <w:spacing w:before="0" w:line="560" w:lineRule="exact"/>
        <w:ind w:firstLine="640" w:firstLineChars="200"/>
        <w:rPr>
          <w:rStyle w:val="23"/>
          <w:b w:val="0"/>
          <w:bCs w:val="0"/>
        </w:rPr>
      </w:pPr>
      <w:bookmarkStart w:id="26" w:name="_Toc79163855"/>
      <w:bookmarkStart w:id="27" w:name="_Toc79163605"/>
      <w:bookmarkStart w:id="28" w:name="_Toc15377200"/>
      <w:bookmarkStart w:id="29" w:name="_Toc15396601"/>
      <w:r>
        <w:rPr>
          <w:rFonts w:hint="eastAsia" w:ascii="黑体" w:eastAsia="黑体"/>
          <w:b w:val="0"/>
          <w:color w:val="000000"/>
        </w:rPr>
        <w:t>二、</w:t>
      </w:r>
      <w:r>
        <w:rPr>
          <w:rFonts w:hint="eastAsia" w:ascii="黑体" w:hAnsi="黑体" w:eastAsia="黑体"/>
          <w:b w:val="0"/>
          <w:color w:val="000000"/>
        </w:rPr>
        <w:t>机</w:t>
      </w:r>
      <w:r>
        <w:rPr>
          <w:rStyle w:val="23"/>
          <w:rFonts w:hint="eastAsia" w:ascii="黑体" w:hAnsi="黑体" w:eastAsia="黑体"/>
          <w:b w:val="0"/>
          <w:bCs w:val="0"/>
        </w:rPr>
        <w:t>构设置</w:t>
      </w:r>
      <w:bookmarkEnd w:id="26"/>
      <w:bookmarkEnd w:id="27"/>
      <w:bookmarkEnd w:id="28"/>
      <w:bookmarkEnd w:id="29"/>
    </w:p>
    <w:p>
      <w:pPr>
        <w:spacing w:line="560" w:lineRule="exact"/>
        <w:ind w:firstLine="640" w:firstLineChars="200"/>
        <w:rPr>
          <w:rFonts w:ascii="仿宋_GB2312" w:hAnsi="仿宋_GB2312" w:eastAsia="仿宋_GB2312" w:cs="仿宋_GB2312"/>
          <w:sz w:val="32"/>
          <w:szCs w:val="32"/>
        </w:rPr>
      </w:pPr>
      <w:bookmarkStart w:id="30" w:name="_Toc79163859"/>
      <w:bookmarkStart w:id="31" w:name="_Toc79163609"/>
      <w:bookmarkStart w:id="32" w:name="_Toc15377204"/>
      <w:bookmarkStart w:id="33" w:name="_Toc15396602"/>
      <w:r>
        <w:rPr>
          <w:rFonts w:hint="eastAsia" w:ascii="仿宋_GB2312" w:hAnsi="仿宋_GB2312" w:eastAsia="仿宋_GB2312" w:cs="仿宋_GB2312"/>
          <w:sz w:val="32"/>
          <w:szCs w:val="32"/>
        </w:rPr>
        <w:t>壤塘县民政局属于一级预算单位，设4个行政股室（即办公室、社会福利与社会事务股、社会救助股（挂壤塘县流浪乞讨人员救助站牌子）、区划地名与基层政权股）。下设事业机构4个（低收入家庭认定指导中心，敬老院服务中心，中壤塘敬老院、南木达敬老院、伊里敬老院、茸木达敬老院、尕多敬老院，壤塘县社会救助福利服务中心（挂壤塘县儿童福利服务指导中心牌子）。</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壤塘县民政局下属二级单位0个，其中行政单位0个，参照公务员法管理的事业单位0个，其他事业单位0个。</w:t>
      </w:r>
    </w:p>
    <w:p>
      <w:pPr>
        <w:pStyle w:val="6"/>
        <w:adjustRightInd w:val="0"/>
        <w:snapToGrid w:val="0"/>
        <w:spacing w:beforeLines="0" w:line="560" w:lineRule="exact"/>
        <w:ind w:firstLine="640" w:firstLineChars="200"/>
        <w:rPr>
          <w:rFonts w:hAnsi="仿宋_GB2312" w:cs="仿宋_GB2312"/>
          <w:kern w:val="2"/>
          <w:sz w:val="32"/>
          <w:szCs w:val="32"/>
        </w:rPr>
      </w:pPr>
      <w:bookmarkStart w:id="34" w:name="_Toc15377432"/>
      <w:bookmarkStart w:id="35" w:name="_Toc15378448"/>
      <w:bookmarkStart w:id="36" w:name="_Toc15377201"/>
      <w:bookmarkStart w:id="37" w:name="_Toc15306275"/>
      <w:r>
        <w:rPr>
          <w:rFonts w:hint="eastAsia" w:hAnsi="仿宋_GB2312" w:cs="仿宋_GB2312"/>
          <w:kern w:val="2"/>
          <w:sz w:val="32"/>
          <w:szCs w:val="32"/>
          <w:lang w:val="en-US"/>
        </w:rPr>
        <w:t>纳入壤塘县民政局2020年度部门决算编制范围的二                                 级预算单位包括：</w:t>
      </w:r>
    </w:p>
    <w:p>
      <w:pPr>
        <w:pStyle w:val="6"/>
        <w:adjustRightInd w:val="0"/>
        <w:snapToGrid w:val="0"/>
        <w:spacing w:beforeLines="0" w:line="560" w:lineRule="exact"/>
        <w:ind w:firstLine="640" w:firstLineChars="200"/>
        <w:outlineLvl w:val="2"/>
        <w:rPr>
          <w:rFonts w:hAnsi="仿宋_GB2312" w:cs="仿宋_GB2312"/>
          <w:kern w:val="2"/>
          <w:sz w:val="32"/>
          <w:szCs w:val="32"/>
        </w:rPr>
      </w:pPr>
      <w:r>
        <w:rPr>
          <w:rFonts w:hint="eastAsia" w:hAnsi="仿宋_GB2312" w:cs="仿宋_GB2312"/>
          <w:kern w:val="2"/>
          <w:sz w:val="32"/>
          <w:szCs w:val="32"/>
          <w:lang w:val="en-US"/>
        </w:rPr>
        <w:t>无</w:t>
      </w:r>
    </w:p>
    <w:bookmarkEnd w:id="34"/>
    <w:bookmarkEnd w:id="35"/>
    <w:bookmarkEnd w:id="36"/>
    <w:bookmarkEnd w:id="37"/>
    <w:p>
      <w:pPr>
        <w:pStyle w:val="2"/>
        <w:ind w:right="440"/>
        <w:jc w:val="right"/>
        <w:rPr>
          <w:rStyle w:val="22"/>
          <w:rFonts w:ascii="方正小标宋_GBK" w:hAnsi="方正小标宋_GBK" w:eastAsia="方正小标宋_GBK" w:cs="方正小标宋_GBK"/>
          <w:b w:val="0"/>
          <w:bCs w:val="0"/>
        </w:rPr>
      </w:pPr>
      <w:r>
        <w:rPr>
          <w:rFonts w:hint="eastAsia" w:ascii="方正小标宋_GBK" w:hAnsi="方正小标宋_GBK" w:eastAsia="方正小标宋_GBK" w:cs="方正小标宋_GBK"/>
          <w:b w:val="0"/>
          <w:color w:val="000000"/>
        </w:rPr>
        <w:t>第二部分</w:t>
      </w:r>
      <w:r>
        <w:rPr>
          <w:rFonts w:hint="eastAsia" w:ascii="方正小标宋_GBK" w:hAnsi="方正小标宋_GBK" w:eastAsia="方正小标宋_GBK" w:cs="方正小标宋_GBK"/>
          <w:color w:val="000000"/>
        </w:rPr>
        <w:t xml:space="preserve"> </w:t>
      </w:r>
      <w:r>
        <w:rPr>
          <w:rStyle w:val="22"/>
          <w:rFonts w:hint="eastAsia" w:ascii="方正小标宋_GBK" w:hAnsi="方正小标宋_GBK" w:eastAsia="方正小标宋_GBK" w:cs="方正小标宋_GBK"/>
          <w:b w:val="0"/>
          <w:bCs w:val="0"/>
        </w:rPr>
        <w:t>2020年度部门决算情况说明</w:t>
      </w:r>
      <w:bookmarkEnd w:id="30"/>
      <w:bookmarkEnd w:id="31"/>
      <w:bookmarkEnd w:id="32"/>
      <w:bookmarkEnd w:id="33"/>
    </w:p>
    <w:p/>
    <w:p>
      <w:pPr>
        <w:pStyle w:val="33"/>
        <w:numPr>
          <w:ilvl w:val="0"/>
          <w:numId w:val="1"/>
        </w:numPr>
        <w:spacing w:line="600" w:lineRule="exact"/>
        <w:ind w:firstLineChars="0"/>
        <w:outlineLvl w:val="1"/>
        <w:rPr>
          <w:rStyle w:val="23"/>
          <w:rFonts w:ascii="黑体" w:hAnsi="黑体" w:eastAsia="黑体"/>
          <w:b w:val="0"/>
        </w:rPr>
      </w:pPr>
      <w:bookmarkStart w:id="38" w:name="_Toc15396603"/>
      <w:bookmarkStart w:id="39" w:name="_Toc15377205"/>
      <w:bookmarkStart w:id="40" w:name="_Toc79163610"/>
      <w:bookmarkStart w:id="41" w:name="_Toc79163860"/>
      <w:r>
        <w:rPr>
          <w:rFonts w:hint="eastAsia" w:ascii="黑体" w:hAnsi="黑体" w:eastAsia="黑体"/>
          <w:color w:val="000000"/>
          <w:sz w:val="32"/>
          <w:szCs w:val="32"/>
        </w:rPr>
        <w:t>收</w:t>
      </w:r>
      <w:r>
        <w:rPr>
          <w:rStyle w:val="23"/>
          <w:rFonts w:hint="eastAsia" w:ascii="黑体" w:hAnsi="黑体" w:eastAsia="黑体"/>
          <w:b w:val="0"/>
        </w:rPr>
        <w:t>入支出决算总体情况说明</w:t>
      </w:r>
      <w:bookmarkEnd w:id="38"/>
      <w:bookmarkEnd w:id="39"/>
      <w:bookmarkEnd w:id="40"/>
      <w:bookmarkEnd w:id="41"/>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年度收入总计1021.91万元、支出总计1021.91万元。与</w:t>
      </w:r>
      <w:r>
        <w:rPr>
          <w:rFonts w:ascii="仿宋" w:hAnsi="仿宋" w:eastAsia="仿宋"/>
          <w:color w:val="000000"/>
          <w:sz w:val="32"/>
          <w:szCs w:val="32"/>
        </w:rPr>
        <w:t>2019</w:t>
      </w:r>
      <w:r>
        <w:rPr>
          <w:rFonts w:hint="eastAsia" w:ascii="仿宋" w:hAnsi="仿宋" w:eastAsia="仿宋"/>
          <w:color w:val="000000"/>
          <w:sz w:val="32"/>
          <w:szCs w:val="32"/>
        </w:rPr>
        <w:t>年相比，收入减少67.55万元、下降6.2</w:t>
      </w:r>
      <w:r>
        <w:rPr>
          <w:rFonts w:ascii="仿宋" w:hAnsi="仿宋" w:eastAsia="仿宋"/>
          <w:color w:val="000000"/>
          <w:sz w:val="32"/>
          <w:szCs w:val="32"/>
        </w:rPr>
        <w:t>%</w:t>
      </w:r>
      <w:r>
        <w:rPr>
          <w:rFonts w:hint="eastAsia" w:ascii="仿宋" w:hAnsi="仿宋" w:eastAsia="仿宋"/>
          <w:color w:val="000000"/>
          <w:sz w:val="32"/>
          <w:szCs w:val="32"/>
        </w:rPr>
        <w:t>；支总计减少67.55万元，下降6.2</w:t>
      </w:r>
      <w:r>
        <w:rPr>
          <w:rFonts w:ascii="仿宋" w:hAnsi="仿宋" w:eastAsia="仿宋"/>
          <w:color w:val="000000"/>
          <w:sz w:val="32"/>
          <w:szCs w:val="32"/>
        </w:rPr>
        <w:t>%</w:t>
      </w:r>
      <w:r>
        <w:rPr>
          <w:rFonts w:hint="eastAsia" w:ascii="仿宋" w:hAnsi="仿宋" w:eastAsia="仿宋"/>
          <w:color w:val="000000"/>
          <w:sz w:val="32"/>
          <w:szCs w:val="32"/>
        </w:rPr>
        <w:t>。主要变动原因是2020年人员减少3人，其中调出外县1 人，县内调动2人。</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tbl>
      <w:tblPr>
        <w:tblStyle w:val="18"/>
        <w:tblW w:w="7040" w:type="dxa"/>
        <w:tblInd w:w="108" w:type="dxa"/>
        <w:tblLayout w:type="fixed"/>
        <w:tblCellMar>
          <w:top w:w="0" w:type="dxa"/>
          <w:left w:w="108" w:type="dxa"/>
          <w:bottom w:w="0" w:type="dxa"/>
          <w:right w:w="108" w:type="dxa"/>
        </w:tblCellMar>
      </w:tblPr>
      <w:tblGrid>
        <w:gridCol w:w="2656"/>
        <w:gridCol w:w="1096"/>
        <w:gridCol w:w="1096"/>
        <w:gridCol w:w="1096"/>
        <w:gridCol w:w="1096"/>
      </w:tblGrid>
      <w:tr>
        <w:tblPrEx>
          <w:tblCellMar>
            <w:top w:w="0" w:type="dxa"/>
            <w:left w:w="108" w:type="dxa"/>
            <w:bottom w:w="0" w:type="dxa"/>
            <w:right w:w="108" w:type="dxa"/>
          </w:tblCellMar>
        </w:tblPrEx>
        <w:trPr>
          <w:trHeight w:val="270" w:hRule="atLeast"/>
        </w:trPr>
        <w:tc>
          <w:tcPr>
            <w:tcW w:w="26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p>
            <w:pPr>
              <w:widowControl/>
              <w:jc w:val="left"/>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659264" behindDoc="0" locked="0" layoutInCell="1" allowOverlap="1">
                  <wp:simplePos x="0" y="0"/>
                  <wp:positionH relativeFrom="column">
                    <wp:posOffset>763270</wp:posOffset>
                  </wp:positionH>
                  <wp:positionV relativeFrom="paragraph">
                    <wp:posOffset>20320</wp:posOffset>
                  </wp:positionV>
                  <wp:extent cx="3617595" cy="2059305"/>
                  <wp:effectExtent l="19050" t="0" r="20955" b="0"/>
                  <wp:wrapNone/>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tbl>
            <w:tblPr>
              <w:tblStyle w:val="18"/>
              <w:tblW w:w="2440" w:type="dxa"/>
              <w:tblCellSpacing w:w="0" w:type="dxa"/>
              <w:tblInd w:w="0" w:type="dxa"/>
              <w:tblLayout w:type="fixed"/>
              <w:tblCellMar>
                <w:top w:w="0" w:type="dxa"/>
                <w:left w:w="0" w:type="dxa"/>
                <w:bottom w:w="0" w:type="dxa"/>
                <w:right w:w="0" w:type="dxa"/>
              </w:tblCellMar>
            </w:tblPr>
            <w:tblGrid>
              <w:gridCol w:w="2440"/>
            </w:tblGrid>
            <w:tr>
              <w:tblPrEx>
                <w:tblCellMar>
                  <w:top w:w="0" w:type="dxa"/>
                  <w:left w:w="0" w:type="dxa"/>
                  <w:bottom w:w="0" w:type="dxa"/>
                  <w:right w:w="0" w:type="dxa"/>
                </w:tblCellMar>
              </w:tblPrEx>
              <w:trPr>
                <w:trHeight w:val="270" w:hRule="atLeast"/>
                <w:tblCellSpacing w:w="0" w:type="dxa"/>
              </w:trPr>
              <w:tc>
                <w:tcPr>
                  <w:tcW w:w="244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bl>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26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26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26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26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26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26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26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26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26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26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bl>
    <w:p>
      <w:pPr>
        <w:pStyle w:val="33"/>
        <w:numPr>
          <w:ilvl w:val="0"/>
          <w:numId w:val="1"/>
        </w:numPr>
        <w:spacing w:line="600" w:lineRule="exact"/>
        <w:ind w:firstLineChars="0"/>
        <w:outlineLvl w:val="1"/>
        <w:rPr>
          <w:rStyle w:val="23"/>
          <w:rFonts w:ascii="黑体" w:hAnsi="黑体" w:eastAsia="黑体"/>
          <w:b w:val="0"/>
        </w:rPr>
      </w:pPr>
      <w:bookmarkStart w:id="42" w:name="_Toc15396604"/>
      <w:bookmarkStart w:id="43" w:name="_Toc15377206"/>
      <w:bookmarkStart w:id="44" w:name="_Toc79163611"/>
      <w:bookmarkStart w:id="45" w:name="_Toc79163861"/>
      <w:r>
        <w:rPr>
          <w:rFonts w:hint="eastAsia" w:ascii="黑体" w:hAnsi="黑体" w:eastAsia="黑体"/>
          <w:color w:val="000000"/>
          <w:sz w:val="32"/>
          <w:szCs w:val="32"/>
        </w:rPr>
        <w:t>收</w:t>
      </w:r>
      <w:r>
        <w:rPr>
          <w:rStyle w:val="23"/>
          <w:rFonts w:hint="eastAsia" w:ascii="黑体" w:hAnsi="黑体" w:eastAsia="黑体"/>
          <w:b w:val="0"/>
        </w:rPr>
        <w:t>入决算情况说明</w:t>
      </w:r>
      <w:bookmarkEnd w:id="42"/>
      <w:bookmarkEnd w:id="43"/>
      <w:bookmarkEnd w:id="44"/>
      <w:bookmarkEnd w:id="45"/>
    </w:p>
    <w:p>
      <w:pPr>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年本年收入合计1021.91万元，其中：一般公共预算财政拨款收入1021.91万元，占100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；上级补助收入0万元，占0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tbl>
      <w:tblPr>
        <w:tblStyle w:val="18"/>
        <w:tblW w:w="7092" w:type="dxa"/>
        <w:tblInd w:w="108" w:type="dxa"/>
        <w:tblLayout w:type="fixed"/>
        <w:tblCellMar>
          <w:top w:w="0" w:type="dxa"/>
          <w:left w:w="108" w:type="dxa"/>
          <w:bottom w:w="0" w:type="dxa"/>
          <w:right w:w="108" w:type="dxa"/>
        </w:tblCellMar>
      </w:tblPr>
      <w:tblGrid>
        <w:gridCol w:w="4696"/>
        <w:gridCol w:w="2396"/>
      </w:tblGrid>
      <w:tr>
        <w:tblPrEx>
          <w:tblCellMar>
            <w:top w:w="0" w:type="dxa"/>
            <w:left w:w="108" w:type="dxa"/>
            <w:bottom w:w="0" w:type="dxa"/>
            <w:right w:w="108" w:type="dxa"/>
          </w:tblCellMar>
        </w:tblPrEx>
        <w:trPr>
          <w:trHeight w:val="270" w:hRule="atLeast"/>
        </w:trPr>
        <w:tc>
          <w:tcPr>
            <w:tcW w:w="46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23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46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660288" behindDoc="0" locked="0" layoutInCell="1" allowOverlap="1">
                  <wp:simplePos x="0" y="0"/>
                  <wp:positionH relativeFrom="column">
                    <wp:posOffset>230505</wp:posOffset>
                  </wp:positionH>
                  <wp:positionV relativeFrom="paragraph">
                    <wp:posOffset>-3810</wp:posOffset>
                  </wp:positionV>
                  <wp:extent cx="4107180" cy="2167255"/>
                  <wp:effectExtent l="19050" t="0" r="26670" b="4445"/>
                  <wp:wrapNone/>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tbl>
            <w:tblPr>
              <w:tblStyle w:val="18"/>
              <w:tblW w:w="4480" w:type="dxa"/>
              <w:tblCellSpacing w:w="0" w:type="dxa"/>
              <w:tblInd w:w="0" w:type="dxa"/>
              <w:tblLayout w:type="fixed"/>
              <w:tblCellMar>
                <w:top w:w="0" w:type="dxa"/>
                <w:left w:w="0" w:type="dxa"/>
                <w:bottom w:w="0" w:type="dxa"/>
                <w:right w:w="0" w:type="dxa"/>
              </w:tblCellMar>
            </w:tblPr>
            <w:tblGrid>
              <w:gridCol w:w="4480"/>
            </w:tblGrid>
            <w:tr>
              <w:tblPrEx>
                <w:tblCellMar>
                  <w:top w:w="0" w:type="dxa"/>
                  <w:left w:w="0" w:type="dxa"/>
                  <w:bottom w:w="0" w:type="dxa"/>
                  <w:right w:w="0" w:type="dxa"/>
                </w:tblCellMar>
              </w:tblPrEx>
              <w:trPr>
                <w:trHeight w:val="270" w:hRule="atLeast"/>
                <w:tblCellSpacing w:w="0" w:type="dxa"/>
              </w:trPr>
              <w:tc>
                <w:tcPr>
                  <w:tcW w:w="44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bl>
          <w:p>
            <w:pPr>
              <w:widowControl/>
              <w:jc w:val="left"/>
              <w:rPr>
                <w:rFonts w:ascii="宋体" w:hAnsi="宋体" w:cs="宋体"/>
                <w:color w:val="000000"/>
                <w:kern w:val="0"/>
                <w:sz w:val="22"/>
                <w:szCs w:val="22"/>
              </w:rPr>
            </w:pPr>
          </w:p>
        </w:tc>
        <w:tc>
          <w:tcPr>
            <w:tcW w:w="23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46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23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46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23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46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23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46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23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46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23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46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23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46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23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46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23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46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23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46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p>
            <w:pPr>
              <w:widowControl/>
              <w:jc w:val="left"/>
              <w:rPr>
                <w:rFonts w:ascii="宋体" w:hAnsi="宋体" w:cs="宋体"/>
                <w:color w:val="000000"/>
                <w:kern w:val="0"/>
                <w:sz w:val="22"/>
                <w:szCs w:val="22"/>
              </w:rPr>
            </w:pPr>
          </w:p>
          <w:p>
            <w:pPr>
              <w:widowControl/>
              <w:jc w:val="left"/>
              <w:rPr>
                <w:rFonts w:ascii="宋体" w:hAnsi="宋体" w:cs="宋体"/>
                <w:color w:val="000000"/>
                <w:kern w:val="0"/>
                <w:sz w:val="22"/>
                <w:szCs w:val="22"/>
              </w:rPr>
            </w:pPr>
          </w:p>
          <w:p>
            <w:pPr>
              <w:widowControl/>
              <w:jc w:val="left"/>
              <w:rPr>
                <w:rFonts w:ascii="宋体" w:hAnsi="宋体" w:cs="宋体"/>
                <w:color w:val="000000"/>
                <w:kern w:val="0"/>
                <w:sz w:val="22"/>
                <w:szCs w:val="22"/>
              </w:rPr>
            </w:pPr>
          </w:p>
        </w:tc>
        <w:tc>
          <w:tcPr>
            <w:tcW w:w="23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bl>
    <w:p>
      <w:pPr>
        <w:pStyle w:val="33"/>
        <w:numPr>
          <w:ilvl w:val="0"/>
          <w:numId w:val="1"/>
        </w:numPr>
        <w:spacing w:line="600" w:lineRule="exact"/>
        <w:ind w:firstLineChars="0"/>
        <w:outlineLvl w:val="1"/>
        <w:rPr>
          <w:rStyle w:val="23"/>
          <w:rFonts w:ascii="黑体" w:hAnsi="黑体" w:eastAsia="黑体"/>
          <w:b w:val="0"/>
        </w:rPr>
      </w:pPr>
      <w:bookmarkStart w:id="46" w:name="_Toc15396605"/>
      <w:bookmarkStart w:id="47" w:name="_Toc15377207"/>
      <w:bookmarkStart w:id="48" w:name="_Toc79163612"/>
      <w:bookmarkStart w:id="49" w:name="_Toc79163862"/>
      <w:r>
        <w:rPr>
          <w:rFonts w:hint="eastAsia" w:ascii="黑体" w:hAnsi="黑体" w:eastAsia="黑体"/>
          <w:color w:val="000000"/>
          <w:sz w:val="32"/>
          <w:szCs w:val="32"/>
        </w:rPr>
        <w:t>支</w:t>
      </w:r>
      <w:r>
        <w:rPr>
          <w:rStyle w:val="23"/>
          <w:rFonts w:hint="eastAsia" w:ascii="黑体" w:hAnsi="黑体" w:eastAsia="黑体"/>
          <w:b w:val="0"/>
        </w:rPr>
        <w:t>出决算情况说明</w:t>
      </w:r>
      <w:bookmarkEnd w:id="46"/>
      <w:bookmarkEnd w:id="47"/>
      <w:bookmarkEnd w:id="48"/>
      <w:bookmarkEnd w:id="49"/>
    </w:p>
    <w:p>
      <w:pPr>
        <w:spacing w:line="560" w:lineRule="exact"/>
        <w:ind w:firstLine="640" w:firstLineChars="200"/>
        <w:rPr>
          <w:rFonts w:ascii="仿宋_GB2312" w:eastAsia="仿宋_GB2312"/>
          <w:sz w:val="32"/>
          <w:szCs w:val="32"/>
        </w:rPr>
      </w:pPr>
      <w:r>
        <w:rPr>
          <w:rFonts w:ascii="仿宋_GB2312" w:eastAsia="仿宋_GB2312"/>
          <w:sz w:val="32"/>
          <w:szCs w:val="32"/>
        </w:rPr>
        <w:t>2020</w:t>
      </w:r>
      <w:r>
        <w:rPr>
          <w:rFonts w:hint="eastAsia" w:ascii="仿宋_GB2312" w:eastAsia="仿宋_GB2312"/>
          <w:sz w:val="32"/>
          <w:szCs w:val="32"/>
        </w:rPr>
        <w:t>年本年支出合计1021.91万元，其中：基本支出1021.91万元，占100</w:t>
      </w:r>
      <w:r>
        <w:rPr>
          <w:rFonts w:ascii="仿宋_GB2312" w:eastAsia="仿宋_GB2312"/>
          <w:sz w:val="32"/>
          <w:szCs w:val="32"/>
        </w:rPr>
        <w:t>%</w:t>
      </w:r>
      <w:r>
        <w:rPr>
          <w:rFonts w:hint="eastAsia" w:ascii="仿宋_GB2312" w:eastAsia="仿宋_GB2312"/>
          <w:sz w:val="32"/>
          <w:szCs w:val="32"/>
        </w:rPr>
        <w:t>；项目支出0万元，占0</w:t>
      </w:r>
      <w:r>
        <w:rPr>
          <w:rFonts w:ascii="仿宋_GB2312" w:eastAsia="仿宋_GB2312"/>
          <w:sz w:val="32"/>
          <w:szCs w:val="32"/>
        </w:rPr>
        <w:t>%</w:t>
      </w:r>
      <w:r>
        <w:rPr>
          <w:rFonts w:hint="eastAsia" w:ascii="仿宋_GB2312" w:eastAsia="仿宋_GB2312"/>
          <w:sz w:val="32"/>
          <w:szCs w:val="32"/>
        </w:rPr>
        <w:t>；上缴上级支出0万元，占0</w:t>
      </w:r>
      <w:r>
        <w:rPr>
          <w:rFonts w:ascii="仿宋_GB2312" w:eastAsia="仿宋_GB2312"/>
          <w:sz w:val="32"/>
          <w:szCs w:val="32"/>
        </w:rPr>
        <w:t>%</w:t>
      </w:r>
      <w:r>
        <w:rPr>
          <w:rFonts w:hint="eastAsia" w:ascii="仿宋_GB2312" w:eastAsia="仿宋_GB2312"/>
          <w:sz w:val="32"/>
          <w:szCs w:val="32"/>
        </w:rPr>
        <w:t>；经营支出0万元，占0</w:t>
      </w:r>
      <w:r>
        <w:rPr>
          <w:rFonts w:ascii="仿宋_GB2312" w:eastAsia="仿宋_GB2312"/>
          <w:sz w:val="32"/>
          <w:szCs w:val="32"/>
        </w:rPr>
        <w:t>%</w:t>
      </w:r>
      <w:r>
        <w:rPr>
          <w:rFonts w:hint="eastAsia" w:ascii="仿宋_GB2312" w:eastAsia="仿宋_GB2312"/>
          <w:sz w:val="32"/>
          <w:szCs w:val="32"/>
        </w:rPr>
        <w:t>；对附属单位补助支出0万元，占0</w:t>
      </w:r>
      <w:r>
        <w:rPr>
          <w:rFonts w:ascii="仿宋_GB2312" w:eastAsia="仿宋_GB2312"/>
          <w:sz w:val="32"/>
          <w:szCs w:val="32"/>
        </w:rPr>
        <w:t>%</w:t>
      </w:r>
      <w:r>
        <w:rPr>
          <w:rFonts w:hint="eastAsia" w:ascii="仿宋_GB2312" w:eastAsia="仿宋_GB2312"/>
          <w:sz w:val="32"/>
          <w:szCs w:val="32"/>
        </w:rPr>
        <w:t>。</w: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tbl>
      <w:tblPr>
        <w:tblStyle w:val="18"/>
        <w:tblW w:w="7872" w:type="dxa"/>
        <w:tblInd w:w="108" w:type="dxa"/>
        <w:tblLayout w:type="fixed"/>
        <w:tblCellMar>
          <w:top w:w="0" w:type="dxa"/>
          <w:left w:w="108" w:type="dxa"/>
          <w:bottom w:w="0" w:type="dxa"/>
          <w:right w:w="108" w:type="dxa"/>
        </w:tblCellMar>
      </w:tblPr>
      <w:tblGrid>
        <w:gridCol w:w="1296"/>
        <w:gridCol w:w="1096"/>
        <w:gridCol w:w="1096"/>
        <w:gridCol w:w="1096"/>
        <w:gridCol w:w="1096"/>
        <w:gridCol w:w="1096"/>
        <w:gridCol w:w="1096"/>
      </w:tblGrid>
      <w:tr>
        <w:trPr>
          <w:trHeight w:val="270" w:hRule="atLeast"/>
        </w:trPr>
        <w:tc>
          <w:tcPr>
            <w:tcW w:w="12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bl>
            <w:tblPr>
              <w:tblStyle w:val="18"/>
              <w:tblW w:w="1080" w:type="dxa"/>
              <w:tblCellSpacing w:w="0" w:type="dxa"/>
              <w:tblInd w:w="0" w:type="dxa"/>
              <w:tblLayout w:type="fixed"/>
              <w:tblCellMar>
                <w:top w:w="0" w:type="dxa"/>
                <w:left w:w="0" w:type="dxa"/>
                <w:bottom w:w="0" w:type="dxa"/>
                <w:right w:w="0" w:type="dxa"/>
              </w:tblCellMar>
            </w:tblPr>
            <w:tblGrid>
              <w:gridCol w:w="1080"/>
            </w:tblGrid>
            <w:tr>
              <w:tblPrEx>
                <w:tblCellMar>
                  <w:top w:w="0" w:type="dxa"/>
                  <w:left w:w="0" w:type="dxa"/>
                  <w:bottom w:w="0" w:type="dxa"/>
                  <w:right w:w="0" w:type="dxa"/>
                </w:tblCellMar>
              </w:tblPrEx>
              <w:trPr>
                <w:trHeight w:val="270" w:hRule="atLeast"/>
                <w:tblCellSpacing w:w="0" w:type="dxa"/>
              </w:trPr>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bl>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12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661312" behindDoc="0" locked="0" layoutInCell="1" allowOverlap="1">
                  <wp:simplePos x="0" y="0"/>
                  <wp:positionH relativeFrom="column">
                    <wp:posOffset>127000</wp:posOffset>
                  </wp:positionH>
                  <wp:positionV relativeFrom="paragraph">
                    <wp:posOffset>35560</wp:posOffset>
                  </wp:positionV>
                  <wp:extent cx="4290695" cy="2520315"/>
                  <wp:effectExtent l="19050" t="0" r="14605" b="0"/>
                  <wp:wrapNone/>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12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12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12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12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12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12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12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12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12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12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12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bl>
    <w:p>
      <w:pPr>
        <w:spacing w:line="560" w:lineRule="exact"/>
        <w:ind w:firstLine="640" w:firstLineChars="200"/>
        <w:outlineLvl w:val="1"/>
        <w:rPr>
          <w:rFonts w:ascii="黑体" w:hAnsi="黑体" w:eastAsia="黑体"/>
          <w:color w:val="000000"/>
          <w:sz w:val="32"/>
          <w:szCs w:val="32"/>
        </w:rPr>
      </w:pPr>
      <w:bookmarkStart w:id="50" w:name="_Toc15396606"/>
      <w:bookmarkStart w:id="51" w:name="_Toc15377208"/>
      <w:bookmarkStart w:id="52" w:name="_Toc79163863"/>
      <w:bookmarkStart w:id="53" w:name="_Toc79163613"/>
    </w:p>
    <w:p>
      <w:pPr>
        <w:spacing w:line="560" w:lineRule="exact"/>
        <w:ind w:firstLine="640" w:firstLineChars="200"/>
        <w:outlineLvl w:val="1"/>
        <w:rPr>
          <w:rFonts w:ascii="黑体" w:hAnsi="黑体" w:eastAsia="黑体"/>
          <w:color w:val="000000"/>
          <w:sz w:val="32"/>
          <w:szCs w:val="32"/>
        </w:rPr>
      </w:pPr>
    </w:p>
    <w:p>
      <w:pPr>
        <w:spacing w:line="560" w:lineRule="exact"/>
        <w:ind w:firstLine="640" w:firstLineChars="200"/>
        <w:outlineLvl w:val="1"/>
        <w:rPr>
          <w:rStyle w:val="23"/>
          <w:rFonts w:ascii="黑体" w:hAnsi="黑体" w:eastAsia="黑体"/>
          <w:b w:val="0"/>
        </w:rPr>
      </w:pPr>
      <w:r>
        <w:rPr>
          <w:rFonts w:hint="eastAsia" w:ascii="黑体" w:hAnsi="黑体" w:eastAsia="黑体"/>
          <w:color w:val="000000"/>
          <w:sz w:val="32"/>
          <w:szCs w:val="32"/>
        </w:rPr>
        <w:t>四、财</w:t>
      </w:r>
      <w:r>
        <w:rPr>
          <w:rStyle w:val="23"/>
          <w:rFonts w:hint="eastAsia" w:ascii="黑体" w:hAnsi="黑体" w:eastAsia="黑体"/>
          <w:b w:val="0"/>
        </w:rPr>
        <w:t>政拨款收入支出决算总体情况说明</w:t>
      </w:r>
      <w:bookmarkEnd w:id="50"/>
      <w:bookmarkEnd w:id="51"/>
      <w:bookmarkEnd w:id="52"/>
      <w:bookmarkEnd w:id="53"/>
    </w:p>
    <w:p>
      <w:pPr>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年度收入总计1021.91万元、支出总计1021.91万元。与</w:t>
      </w:r>
      <w:r>
        <w:rPr>
          <w:rFonts w:ascii="仿宋" w:hAnsi="仿宋" w:eastAsia="仿宋"/>
          <w:color w:val="000000"/>
          <w:sz w:val="32"/>
          <w:szCs w:val="32"/>
        </w:rPr>
        <w:t>2019</w:t>
      </w:r>
      <w:r>
        <w:rPr>
          <w:rFonts w:hint="eastAsia" w:ascii="仿宋" w:hAnsi="仿宋" w:eastAsia="仿宋"/>
          <w:color w:val="000000"/>
          <w:sz w:val="32"/>
          <w:szCs w:val="32"/>
        </w:rPr>
        <w:t>年相比，收入减少67.55万元、下降6.2</w:t>
      </w:r>
      <w:r>
        <w:rPr>
          <w:rFonts w:ascii="仿宋" w:hAnsi="仿宋" w:eastAsia="仿宋"/>
          <w:color w:val="000000"/>
          <w:sz w:val="32"/>
          <w:szCs w:val="32"/>
        </w:rPr>
        <w:t>%</w:t>
      </w:r>
      <w:r>
        <w:rPr>
          <w:rFonts w:hint="eastAsia" w:ascii="仿宋" w:hAnsi="仿宋" w:eastAsia="仿宋"/>
          <w:color w:val="000000"/>
          <w:sz w:val="32"/>
          <w:szCs w:val="32"/>
        </w:rPr>
        <w:t>；支总计减少67.55万元，下降6.2</w:t>
      </w:r>
      <w:r>
        <w:rPr>
          <w:rFonts w:ascii="仿宋" w:hAnsi="仿宋" w:eastAsia="仿宋"/>
          <w:color w:val="000000"/>
          <w:sz w:val="32"/>
          <w:szCs w:val="32"/>
        </w:rPr>
        <w:t>%</w:t>
      </w:r>
      <w:r>
        <w:rPr>
          <w:rFonts w:hint="eastAsia" w:ascii="仿宋" w:hAnsi="仿宋" w:eastAsia="仿宋"/>
          <w:color w:val="000000"/>
          <w:sz w:val="32"/>
          <w:szCs w:val="32"/>
        </w:rPr>
        <w:t>。主要变动原因是2020年人员减少3人，其中调出外县1 人，县内调动2人。</w:t>
      </w:r>
    </w:p>
    <w:p>
      <w:pPr>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tbl>
      <w:tblPr>
        <w:tblStyle w:val="18"/>
        <w:tblW w:w="7776" w:type="dxa"/>
        <w:tblInd w:w="108" w:type="dxa"/>
        <w:tblLayout w:type="fixed"/>
        <w:tblCellMar>
          <w:top w:w="0" w:type="dxa"/>
          <w:left w:w="108" w:type="dxa"/>
          <w:bottom w:w="0" w:type="dxa"/>
          <w:right w:w="108" w:type="dxa"/>
        </w:tblCellMar>
      </w:tblPr>
      <w:tblGrid>
        <w:gridCol w:w="1296"/>
        <w:gridCol w:w="1080"/>
        <w:gridCol w:w="1080"/>
        <w:gridCol w:w="1080"/>
        <w:gridCol w:w="1080"/>
        <w:gridCol w:w="1080"/>
        <w:gridCol w:w="1080"/>
      </w:tblGrid>
      <w:tr>
        <w:trPr>
          <w:trHeight w:val="270" w:hRule="atLeast"/>
        </w:trPr>
        <w:tc>
          <w:tcPr>
            <w:tcW w:w="12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p>
            <w:pPr>
              <w:widowControl/>
              <w:jc w:val="left"/>
              <w:rPr>
                <w:rFonts w:ascii="宋体" w:hAnsi="宋体" w:cs="宋体"/>
                <w:color w:val="000000"/>
                <w:kern w:val="0"/>
                <w:sz w:val="22"/>
                <w:szCs w:val="22"/>
              </w:rPr>
            </w:pPr>
          </w:p>
          <w:p>
            <w:pPr>
              <w:widowControl/>
              <w:jc w:val="left"/>
              <w:rPr>
                <w:rFonts w:ascii="宋体" w:hAnsi="宋体" w:cs="宋体"/>
                <w:color w:val="000000"/>
                <w:kern w:val="0"/>
                <w:sz w:val="22"/>
                <w:szCs w:val="22"/>
              </w:rPr>
            </w:pPr>
          </w:p>
          <w:p>
            <w:pPr>
              <w:widowControl/>
              <w:jc w:val="left"/>
              <w:rPr>
                <w:rFonts w:ascii="宋体" w:hAnsi="宋体" w:cs="宋体"/>
                <w:color w:val="000000"/>
                <w:kern w:val="0"/>
                <w:sz w:val="22"/>
                <w:szCs w:val="22"/>
              </w:rPr>
            </w:pPr>
          </w:p>
          <w:p>
            <w:pPr>
              <w:widowControl/>
              <w:jc w:val="left"/>
              <w:rPr>
                <w:rFonts w:ascii="宋体" w:hAnsi="宋体" w:cs="宋体"/>
                <w:color w:val="000000"/>
                <w:kern w:val="0"/>
                <w:sz w:val="22"/>
                <w:szCs w:val="22"/>
              </w:rPr>
            </w:pPr>
          </w:p>
          <w:p>
            <w:pPr>
              <w:widowControl/>
              <w:jc w:val="left"/>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662336" behindDoc="0" locked="0" layoutInCell="1" allowOverlap="1">
                  <wp:simplePos x="0" y="0"/>
                  <wp:positionH relativeFrom="column">
                    <wp:posOffset>127000</wp:posOffset>
                  </wp:positionH>
                  <wp:positionV relativeFrom="paragraph">
                    <wp:posOffset>60960</wp:posOffset>
                  </wp:positionV>
                  <wp:extent cx="4576445" cy="2242185"/>
                  <wp:effectExtent l="19050" t="0" r="14605" b="5715"/>
                  <wp:wrapNone/>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12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bl>
            <w:tblPr>
              <w:tblStyle w:val="18"/>
              <w:tblW w:w="1080" w:type="dxa"/>
              <w:tblCellSpacing w:w="0" w:type="dxa"/>
              <w:tblInd w:w="0" w:type="dxa"/>
              <w:tblLayout w:type="fixed"/>
              <w:tblCellMar>
                <w:top w:w="0" w:type="dxa"/>
                <w:left w:w="0" w:type="dxa"/>
                <w:bottom w:w="0" w:type="dxa"/>
                <w:right w:w="0" w:type="dxa"/>
              </w:tblCellMar>
            </w:tblPr>
            <w:tblGrid>
              <w:gridCol w:w="1080"/>
            </w:tblGrid>
            <w:tr>
              <w:trPr>
                <w:trHeight w:val="270" w:hRule="atLeast"/>
                <w:tblCellSpacing w:w="0" w:type="dxa"/>
              </w:trPr>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bl>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12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12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405" w:hRule="atLeast"/>
        </w:trPr>
        <w:tc>
          <w:tcPr>
            <w:tcW w:w="12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405" w:hRule="atLeast"/>
        </w:trPr>
        <w:tc>
          <w:tcPr>
            <w:tcW w:w="12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12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12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12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12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12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bl>
    <w:p>
      <w:pPr>
        <w:spacing w:line="560" w:lineRule="exact"/>
        <w:ind w:firstLine="640" w:firstLineChars="200"/>
        <w:outlineLvl w:val="1"/>
        <w:rPr>
          <w:rStyle w:val="23"/>
          <w:rFonts w:ascii="黑体" w:hAnsi="黑体" w:eastAsia="黑体"/>
          <w:b w:val="0"/>
        </w:rPr>
      </w:pPr>
      <w:bookmarkStart w:id="54" w:name="_Toc15377209"/>
      <w:bookmarkStart w:id="55" w:name="_Toc15396607"/>
      <w:bookmarkStart w:id="56" w:name="_Toc79163614"/>
      <w:bookmarkStart w:id="57" w:name="_Toc7916386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3"/>
          <w:rFonts w:hint="eastAsia" w:ascii="黑体" w:hAnsi="黑体" w:eastAsia="黑体"/>
          <w:b w:val="0"/>
        </w:rPr>
        <w:t>般公共预算财政拨款支出决算情况说明</w:t>
      </w:r>
      <w:bookmarkEnd w:id="54"/>
      <w:bookmarkEnd w:id="55"/>
      <w:bookmarkEnd w:id="56"/>
      <w:bookmarkEnd w:id="57"/>
    </w:p>
    <w:p>
      <w:pPr>
        <w:spacing w:line="560" w:lineRule="exact"/>
        <w:ind w:firstLine="643" w:firstLineChars="200"/>
        <w:outlineLvl w:val="2"/>
        <w:rPr>
          <w:rFonts w:ascii="仿宋" w:hAnsi="仿宋" w:eastAsia="仿宋"/>
          <w:b/>
          <w:color w:val="000000"/>
          <w:sz w:val="32"/>
          <w:szCs w:val="32"/>
        </w:rPr>
      </w:pPr>
      <w:bookmarkStart w:id="58" w:name="_Toc15377210"/>
      <w:bookmarkStart w:id="59" w:name="_Toc79163615"/>
      <w:bookmarkStart w:id="60" w:name="_Toc79163865"/>
      <w:r>
        <w:rPr>
          <w:rFonts w:hint="eastAsia" w:ascii="仿宋" w:hAnsi="仿宋" w:eastAsia="仿宋"/>
          <w:b/>
          <w:color w:val="000000"/>
          <w:sz w:val="32"/>
          <w:szCs w:val="32"/>
        </w:rPr>
        <w:t>（一）一般公共预算财政拨款支出决算总体情况</w:t>
      </w:r>
      <w:bookmarkEnd w:id="58"/>
      <w:bookmarkEnd w:id="59"/>
      <w:bookmarkEnd w:id="60"/>
    </w:p>
    <w:p>
      <w:pPr>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年一般公共预算财政拨款支出1021.91万元，占本年支出合计的100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年相比，一般公共预算财政拨减少67.55万元，增长</w:t>
      </w:r>
      <w:r>
        <w:rPr>
          <w:rFonts w:ascii="仿宋" w:hAnsi="仿宋" w:eastAsia="仿宋"/>
          <w:color w:val="000000"/>
          <w:sz w:val="32"/>
          <w:szCs w:val="32"/>
        </w:rPr>
        <w:t>/</w:t>
      </w:r>
      <w:r>
        <w:rPr>
          <w:rFonts w:hint="eastAsia" w:ascii="仿宋" w:hAnsi="仿宋" w:eastAsia="仿宋"/>
          <w:color w:val="000000"/>
          <w:sz w:val="32"/>
          <w:szCs w:val="32"/>
        </w:rPr>
        <w:t>下降6.2</w:t>
      </w:r>
      <w:r>
        <w:rPr>
          <w:rFonts w:ascii="仿宋" w:hAnsi="仿宋" w:eastAsia="仿宋"/>
          <w:color w:val="000000"/>
          <w:sz w:val="32"/>
          <w:szCs w:val="32"/>
        </w:rPr>
        <w:t>%</w:t>
      </w:r>
      <w:r>
        <w:rPr>
          <w:rFonts w:hint="eastAsia" w:ascii="仿宋" w:hAnsi="仿宋" w:eastAsia="仿宋"/>
          <w:color w:val="000000"/>
          <w:sz w:val="32"/>
          <w:szCs w:val="32"/>
        </w:rPr>
        <w:t>。主要变动原因是2020年人员减少3人，其中调出外县1 人，县内调动2人。</w:t>
      </w:r>
    </w:p>
    <w:p>
      <w:pPr>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tbl>
      <w:tblPr>
        <w:tblStyle w:val="18"/>
        <w:tblW w:w="7092" w:type="dxa"/>
        <w:tblInd w:w="108" w:type="dxa"/>
        <w:tblLayout w:type="fixed"/>
        <w:tblCellMar>
          <w:top w:w="0" w:type="dxa"/>
          <w:left w:w="108" w:type="dxa"/>
          <w:bottom w:w="0" w:type="dxa"/>
          <w:right w:w="108" w:type="dxa"/>
        </w:tblCellMar>
      </w:tblPr>
      <w:tblGrid>
        <w:gridCol w:w="4696"/>
        <w:gridCol w:w="2396"/>
      </w:tblGrid>
      <w:tr>
        <w:trPr>
          <w:trHeight w:val="270" w:hRule="atLeast"/>
        </w:trPr>
        <w:tc>
          <w:tcPr>
            <w:tcW w:w="46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663360" behindDoc="0" locked="0" layoutInCell="1" allowOverlap="1">
                  <wp:simplePos x="0" y="0"/>
                  <wp:positionH relativeFrom="column">
                    <wp:posOffset>469265</wp:posOffset>
                  </wp:positionH>
                  <wp:positionV relativeFrom="paragraph">
                    <wp:posOffset>12065</wp:posOffset>
                  </wp:positionV>
                  <wp:extent cx="4105910" cy="2337435"/>
                  <wp:effectExtent l="19050" t="0" r="27940" b="5715"/>
                  <wp:wrapNone/>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widowControl/>
              <w:jc w:val="left"/>
              <w:rPr>
                <w:rFonts w:ascii="宋体" w:hAnsi="宋体" w:cs="宋体"/>
                <w:color w:val="000000"/>
                <w:kern w:val="0"/>
                <w:sz w:val="22"/>
                <w:szCs w:val="22"/>
              </w:rPr>
            </w:pPr>
          </w:p>
          <w:tbl>
            <w:tblPr>
              <w:tblStyle w:val="18"/>
              <w:tblW w:w="4480" w:type="dxa"/>
              <w:tblCellSpacing w:w="0" w:type="dxa"/>
              <w:tblInd w:w="0" w:type="dxa"/>
              <w:tblLayout w:type="fixed"/>
              <w:tblCellMar>
                <w:top w:w="0" w:type="dxa"/>
                <w:left w:w="0" w:type="dxa"/>
                <w:bottom w:w="0" w:type="dxa"/>
                <w:right w:w="0" w:type="dxa"/>
              </w:tblCellMar>
            </w:tblPr>
            <w:tblGrid>
              <w:gridCol w:w="4480"/>
            </w:tblGrid>
            <w:tr>
              <w:trPr>
                <w:trHeight w:val="270" w:hRule="atLeast"/>
                <w:tblCellSpacing w:w="0" w:type="dxa"/>
              </w:trPr>
              <w:tc>
                <w:tcPr>
                  <w:tcW w:w="44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bl>
          <w:p>
            <w:pPr>
              <w:widowControl/>
              <w:jc w:val="left"/>
              <w:rPr>
                <w:rFonts w:ascii="宋体" w:hAnsi="宋体" w:cs="宋体"/>
                <w:color w:val="000000"/>
                <w:kern w:val="0"/>
                <w:sz w:val="22"/>
                <w:szCs w:val="22"/>
              </w:rPr>
            </w:pPr>
          </w:p>
        </w:tc>
        <w:tc>
          <w:tcPr>
            <w:tcW w:w="23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46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23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46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23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46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23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rPr>
          <w:trHeight w:val="270" w:hRule="atLeast"/>
        </w:trPr>
        <w:tc>
          <w:tcPr>
            <w:tcW w:w="46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23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rPr>
          <w:trHeight w:val="270" w:hRule="atLeast"/>
        </w:trPr>
        <w:tc>
          <w:tcPr>
            <w:tcW w:w="46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23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rPr>
          <w:trHeight w:val="270" w:hRule="atLeast"/>
        </w:trPr>
        <w:tc>
          <w:tcPr>
            <w:tcW w:w="46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23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rPr>
          <w:trHeight w:val="270" w:hRule="atLeast"/>
        </w:trPr>
        <w:tc>
          <w:tcPr>
            <w:tcW w:w="46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23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rPr>
          <w:trHeight w:val="270" w:hRule="atLeast"/>
        </w:trPr>
        <w:tc>
          <w:tcPr>
            <w:tcW w:w="46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23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rPr>
          <w:trHeight w:val="270" w:hRule="atLeast"/>
        </w:trPr>
        <w:tc>
          <w:tcPr>
            <w:tcW w:w="46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23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rPr>
          <w:trHeight w:val="270" w:hRule="atLeast"/>
        </w:trPr>
        <w:tc>
          <w:tcPr>
            <w:tcW w:w="46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23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bl>
    <w:p>
      <w:pPr>
        <w:spacing w:line="560" w:lineRule="exact"/>
        <w:ind w:firstLine="643" w:firstLineChars="200"/>
        <w:outlineLvl w:val="2"/>
        <w:rPr>
          <w:rFonts w:ascii="仿宋" w:hAnsi="仿宋" w:eastAsia="仿宋"/>
          <w:b/>
          <w:color w:val="000000"/>
          <w:sz w:val="32"/>
          <w:szCs w:val="32"/>
        </w:rPr>
      </w:pPr>
      <w:bookmarkStart w:id="61" w:name="_Toc15377211"/>
      <w:bookmarkStart w:id="62" w:name="_Toc79163616"/>
      <w:bookmarkStart w:id="63" w:name="_Toc79163866"/>
    </w:p>
    <w:p>
      <w:pPr>
        <w:spacing w:line="56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61"/>
      <w:bookmarkEnd w:id="62"/>
      <w:bookmarkEnd w:id="63"/>
    </w:p>
    <w:p>
      <w:pPr>
        <w:spacing w:line="560" w:lineRule="exact"/>
        <w:ind w:firstLine="640"/>
        <w:rPr>
          <w:rFonts w:ascii="仿宋" w:hAnsi="仿宋" w:eastAsia="仿宋"/>
          <w:b/>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年一般公共预算财政拨款支出1021.91万元，主要用于以下方面</w:t>
      </w:r>
      <w:r>
        <w:rPr>
          <w:rFonts w:ascii="仿宋" w:hAnsi="仿宋" w:eastAsia="仿宋"/>
          <w:color w:val="000000"/>
          <w:sz w:val="32"/>
          <w:szCs w:val="32"/>
        </w:rPr>
        <w:t>:</w:t>
      </w:r>
      <w:r>
        <w:rPr>
          <w:rFonts w:hint="eastAsia" w:ascii="仿宋" w:hAnsi="仿宋" w:eastAsia="仿宋"/>
          <w:b/>
          <w:color w:val="000000"/>
          <w:sz w:val="32"/>
          <w:szCs w:val="32"/>
        </w:rPr>
        <w:t>社会保障和就业（类）</w:t>
      </w:r>
      <w:r>
        <w:rPr>
          <w:rFonts w:hint="eastAsia" w:ascii="仿宋" w:hAnsi="仿宋" w:eastAsia="仿宋"/>
          <w:color w:val="000000"/>
          <w:sz w:val="32"/>
          <w:szCs w:val="32"/>
        </w:rPr>
        <w:t>支出897.08万元，占87.78</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hint="eastAsia" w:ascii="仿宋" w:hAnsi="仿宋" w:eastAsia="仿宋"/>
          <w:color w:val="000000"/>
          <w:sz w:val="32"/>
          <w:szCs w:val="32"/>
        </w:rPr>
        <w:t>42.37万元，占4.15</w:t>
      </w:r>
      <w:r>
        <w:rPr>
          <w:rFonts w:ascii="仿宋" w:hAnsi="仿宋" w:eastAsia="仿宋"/>
          <w:color w:val="000000"/>
          <w:sz w:val="32"/>
          <w:szCs w:val="32"/>
        </w:rPr>
        <w:t>%</w:t>
      </w:r>
      <w:r>
        <w:rPr>
          <w:rFonts w:hint="eastAsia" w:ascii="仿宋" w:hAnsi="仿宋" w:eastAsia="仿宋"/>
          <w:color w:val="000000"/>
          <w:sz w:val="32"/>
          <w:szCs w:val="32"/>
        </w:rPr>
        <w:t>；住房保障支出82.46万元，占8.07</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（罗列全部功能分类科目，至类级。）</w:t>
      </w:r>
    </w:p>
    <w:p>
      <w:pPr>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tbl>
      <w:tblPr>
        <w:tblStyle w:val="18"/>
        <w:tblW w:w="8796" w:type="dxa"/>
        <w:tblInd w:w="108" w:type="dxa"/>
        <w:tblLayout w:type="fixed"/>
        <w:tblCellMar>
          <w:top w:w="0" w:type="dxa"/>
          <w:left w:w="108" w:type="dxa"/>
          <w:bottom w:w="0" w:type="dxa"/>
          <w:right w:w="108" w:type="dxa"/>
        </w:tblCellMar>
      </w:tblPr>
      <w:tblGrid>
        <w:gridCol w:w="2656"/>
        <w:gridCol w:w="1756"/>
        <w:gridCol w:w="1096"/>
        <w:gridCol w:w="1096"/>
        <w:gridCol w:w="1096"/>
        <w:gridCol w:w="1096"/>
      </w:tblGrid>
      <w:tr>
        <w:trPr>
          <w:trHeight w:val="270" w:hRule="atLeast"/>
        </w:trPr>
        <w:tc>
          <w:tcPr>
            <w:tcW w:w="26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7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26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664384" behindDoc="0" locked="0" layoutInCell="1" allowOverlap="1">
                  <wp:simplePos x="0" y="0"/>
                  <wp:positionH relativeFrom="column">
                    <wp:posOffset>619760</wp:posOffset>
                  </wp:positionH>
                  <wp:positionV relativeFrom="paragraph">
                    <wp:posOffset>43815</wp:posOffset>
                  </wp:positionV>
                  <wp:extent cx="4337685" cy="2520315"/>
                  <wp:effectExtent l="19050" t="0" r="24765" b="0"/>
                  <wp:wrapNone/>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tbl>
            <w:tblPr>
              <w:tblStyle w:val="18"/>
              <w:tblW w:w="2440" w:type="dxa"/>
              <w:tblCellSpacing w:w="0" w:type="dxa"/>
              <w:tblInd w:w="0" w:type="dxa"/>
              <w:tblLayout w:type="fixed"/>
              <w:tblCellMar>
                <w:top w:w="0" w:type="dxa"/>
                <w:left w:w="0" w:type="dxa"/>
                <w:bottom w:w="0" w:type="dxa"/>
                <w:right w:w="0" w:type="dxa"/>
              </w:tblCellMar>
            </w:tblPr>
            <w:tblGrid>
              <w:gridCol w:w="2440"/>
            </w:tblGrid>
            <w:tr>
              <w:trPr>
                <w:trHeight w:val="270" w:hRule="atLeast"/>
                <w:tblCellSpacing w:w="0" w:type="dxa"/>
              </w:trPr>
              <w:tc>
                <w:tcPr>
                  <w:tcW w:w="244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bl>
          <w:p>
            <w:pPr>
              <w:widowControl/>
              <w:jc w:val="left"/>
              <w:rPr>
                <w:rFonts w:ascii="宋体" w:hAnsi="宋体" w:cs="宋体"/>
                <w:color w:val="000000"/>
                <w:kern w:val="0"/>
                <w:sz w:val="22"/>
                <w:szCs w:val="22"/>
              </w:rPr>
            </w:pPr>
          </w:p>
        </w:tc>
        <w:tc>
          <w:tcPr>
            <w:tcW w:w="17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270" w:hRule="atLeast"/>
        </w:trPr>
        <w:tc>
          <w:tcPr>
            <w:tcW w:w="26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7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405" w:hRule="atLeast"/>
        </w:trPr>
        <w:tc>
          <w:tcPr>
            <w:tcW w:w="26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7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rPr>
          <w:trHeight w:val="405" w:hRule="atLeast"/>
        </w:trPr>
        <w:tc>
          <w:tcPr>
            <w:tcW w:w="26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7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rPr>
          <w:trHeight w:val="270" w:hRule="atLeast"/>
        </w:trPr>
        <w:tc>
          <w:tcPr>
            <w:tcW w:w="26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7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rPr>
          <w:trHeight w:val="270" w:hRule="atLeast"/>
        </w:trPr>
        <w:tc>
          <w:tcPr>
            <w:tcW w:w="26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7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rPr>
          <w:trHeight w:val="270" w:hRule="atLeast"/>
        </w:trPr>
        <w:tc>
          <w:tcPr>
            <w:tcW w:w="26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7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rPr>
          <w:trHeight w:val="270" w:hRule="atLeast"/>
        </w:trPr>
        <w:tc>
          <w:tcPr>
            <w:tcW w:w="26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7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rPr>
          <w:trHeight w:val="270" w:hRule="atLeast"/>
        </w:trPr>
        <w:tc>
          <w:tcPr>
            <w:tcW w:w="26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7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rPr>
          <w:trHeight w:val="270" w:hRule="atLeast"/>
        </w:trPr>
        <w:tc>
          <w:tcPr>
            <w:tcW w:w="26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7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rPr>
          <w:trHeight w:val="270" w:hRule="atLeast"/>
        </w:trPr>
        <w:tc>
          <w:tcPr>
            <w:tcW w:w="26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7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rPr>
          <w:trHeight w:val="270" w:hRule="atLeast"/>
        </w:trPr>
        <w:tc>
          <w:tcPr>
            <w:tcW w:w="26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7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rPr>
          <w:trHeight w:val="270" w:hRule="atLeast"/>
        </w:trPr>
        <w:tc>
          <w:tcPr>
            <w:tcW w:w="26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7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rPr>
          <w:trHeight w:val="270" w:hRule="atLeast"/>
        </w:trPr>
        <w:tc>
          <w:tcPr>
            <w:tcW w:w="26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7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rPr>
          <w:trHeight w:val="270" w:hRule="atLeast"/>
        </w:trPr>
        <w:tc>
          <w:tcPr>
            <w:tcW w:w="26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7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bl>
    <w:p>
      <w:pPr>
        <w:spacing w:line="560" w:lineRule="exact"/>
        <w:ind w:firstLine="643" w:firstLineChars="200"/>
        <w:outlineLvl w:val="2"/>
        <w:rPr>
          <w:rFonts w:ascii="仿宋" w:hAnsi="仿宋" w:eastAsia="仿宋"/>
          <w:b/>
          <w:color w:val="000000"/>
          <w:sz w:val="32"/>
          <w:szCs w:val="32"/>
        </w:rPr>
      </w:pPr>
      <w:bookmarkStart w:id="64" w:name="_Toc15377212"/>
      <w:bookmarkStart w:id="65" w:name="_Toc79163617"/>
      <w:bookmarkStart w:id="66" w:name="_Toc79163867"/>
      <w:r>
        <w:rPr>
          <w:rFonts w:hint="eastAsia" w:ascii="仿宋" w:hAnsi="仿宋" w:eastAsia="仿宋"/>
          <w:b/>
          <w:color w:val="000000"/>
          <w:sz w:val="32"/>
          <w:szCs w:val="32"/>
        </w:rPr>
        <w:t>（三）一般公共预算财政拨款支出决算具体情况</w:t>
      </w:r>
      <w:bookmarkEnd w:id="64"/>
      <w:bookmarkEnd w:id="65"/>
      <w:bookmarkEnd w:id="66"/>
    </w:p>
    <w:p>
      <w:pPr>
        <w:spacing w:line="560" w:lineRule="exact"/>
        <w:ind w:firstLine="643" w:firstLineChars="200"/>
        <w:rPr>
          <w:rFonts w:ascii="仿宋_GB2312" w:eastAsia="仿宋_GB2312"/>
          <w:b/>
          <w:bCs/>
          <w:sz w:val="32"/>
          <w:szCs w:val="32"/>
        </w:rPr>
      </w:pPr>
      <w:bookmarkStart w:id="67" w:name="_Toc15377213"/>
      <w:bookmarkStart w:id="68" w:name="_Toc15378460"/>
      <w:bookmarkStart w:id="69" w:name="_Toc15377444"/>
      <w:r>
        <w:rPr>
          <w:rFonts w:ascii="仿宋_GB2312" w:eastAsia="仿宋_GB2312"/>
          <w:b/>
          <w:bCs/>
          <w:sz w:val="32"/>
          <w:szCs w:val="32"/>
        </w:rPr>
        <w:t>2020</w:t>
      </w:r>
      <w:r>
        <w:rPr>
          <w:rFonts w:hint="eastAsia" w:ascii="仿宋_GB2312" w:eastAsia="仿宋_GB2312"/>
          <w:b/>
          <w:bCs/>
          <w:sz w:val="32"/>
          <w:szCs w:val="32"/>
        </w:rPr>
        <w:t>年一般公共预算支出决算数为</w:t>
      </w:r>
      <w:r>
        <w:rPr>
          <w:rFonts w:hint="eastAsia" w:ascii="仿宋" w:hAnsi="仿宋" w:eastAsia="仿宋"/>
          <w:color w:val="000000"/>
          <w:sz w:val="32"/>
          <w:szCs w:val="32"/>
        </w:rPr>
        <w:t>1021.91万元</w:t>
      </w:r>
      <w:r>
        <w:rPr>
          <w:rFonts w:hint="eastAsia" w:ascii="仿宋_GB2312" w:eastAsia="仿宋_GB2312"/>
          <w:b/>
          <w:bCs/>
          <w:sz w:val="32"/>
          <w:szCs w:val="32"/>
        </w:rPr>
        <w:t>，完成预算100</w:t>
      </w:r>
      <w:r>
        <w:rPr>
          <w:rFonts w:ascii="仿宋_GB2312" w:eastAsia="仿宋_GB2312"/>
          <w:b/>
          <w:bCs/>
          <w:sz w:val="32"/>
          <w:szCs w:val="32"/>
        </w:rPr>
        <w:t>%</w:t>
      </w:r>
      <w:r>
        <w:rPr>
          <w:rFonts w:hint="eastAsia" w:ascii="仿宋_GB2312" w:eastAsia="仿宋_GB2312"/>
          <w:b/>
          <w:bCs/>
          <w:sz w:val="32"/>
          <w:szCs w:val="32"/>
        </w:rPr>
        <w:t>。其中：</w:t>
      </w:r>
      <w:bookmarkEnd w:id="67"/>
      <w:bookmarkEnd w:id="68"/>
      <w:bookmarkEnd w:id="69"/>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1.社会保障和就业（类）行政事业单位养老支出（款）机关事业单位基本养老保险缴费支出（项）: 支出决算为70.32万元，完成预算的100%。</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社会保障和就业（类）行政事业单位养老支出（款）机关事业单位职业年金险缴费支出（项）: 支出决算为35.16万元，完成预算的100%。</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2.卫生健康支出（类）行政事业单位医疗（款）事业单位医疗（项）:支出决算为42.37万元，完成预算100%。</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3.住房保障支出（类）住房改革支出（款）住房公积金（项）：支出决算数为82.46万元，完成预算数的100%。</w:t>
      </w:r>
    </w:p>
    <w:p>
      <w:pPr>
        <w:tabs>
          <w:tab w:val="right" w:pos="8306"/>
        </w:tabs>
        <w:spacing w:line="560" w:lineRule="exact"/>
        <w:ind w:firstLine="640"/>
        <w:outlineLvl w:val="1"/>
        <w:rPr>
          <w:rStyle w:val="23"/>
        </w:rPr>
      </w:pPr>
      <w:bookmarkStart w:id="70" w:name="_Toc15396608"/>
      <w:bookmarkStart w:id="71" w:name="_Toc15377214"/>
      <w:bookmarkStart w:id="72" w:name="_Toc79163618"/>
      <w:bookmarkStart w:id="73" w:name="_Toc7916386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3"/>
          <w:rFonts w:hint="eastAsia" w:ascii="黑体" w:hAnsi="黑体" w:eastAsia="黑体"/>
          <w:b w:val="0"/>
        </w:rPr>
        <w:t>般公共预算财政拨款基本支出决算情况说明</w:t>
      </w:r>
      <w:bookmarkEnd w:id="70"/>
      <w:bookmarkEnd w:id="71"/>
      <w:bookmarkEnd w:id="72"/>
      <w:bookmarkEnd w:id="73"/>
      <w:r>
        <w:rPr>
          <w:rStyle w:val="23"/>
          <w:rFonts w:ascii="黑体" w:hAnsi="黑体" w:eastAsia="黑体"/>
          <w:b w:val="0"/>
        </w:rPr>
        <w:tab/>
      </w:r>
    </w:p>
    <w:p>
      <w:pPr>
        <w:spacing w:line="560" w:lineRule="exact"/>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年一般公共预算财政拨款基本支出1021.91万元，其中：</w:t>
      </w:r>
    </w:p>
    <w:p>
      <w:pPr>
        <w:spacing w:line="560" w:lineRule="exact"/>
        <w:ind w:firstLine="645"/>
        <w:rPr>
          <w:rFonts w:ascii="仿宋" w:hAnsi="仿宋" w:eastAsia="仿宋"/>
          <w:color w:val="000000"/>
          <w:sz w:val="32"/>
          <w:szCs w:val="32"/>
        </w:rPr>
      </w:pPr>
      <w:r>
        <w:rPr>
          <w:rFonts w:hint="eastAsia" w:ascii="仿宋" w:hAnsi="仿宋" w:eastAsia="仿宋"/>
          <w:color w:val="000000"/>
          <w:sz w:val="32"/>
          <w:szCs w:val="32"/>
        </w:rPr>
        <w:t>人员经费989.01万元，主要包括：基本工资、津贴补贴、奖金、绩效工资、机关事业单位基本养老保险缴费、职业年金缴费、其他社会保障缴费、其他工资福利支出、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32.90万元，主要包括：办公费、印刷费、咨询费、手续费、水费、电费、邮电费、取暖费、物业管理费、差旅费、维修（护）费、租赁费、公务接待费、劳务费、委托业务费、工会经费、福利费、公务用车运行维护费、其他商品和服务支出等。</w:t>
      </w:r>
    </w:p>
    <w:p>
      <w:pPr>
        <w:spacing w:line="600" w:lineRule="exact"/>
        <w:ind w:firstLine="640"/>
        <w:outlineLvl w:val="1"/>
        <w:rPr>
          <w:rStyle w:val="23"/>
          <w:rFonts w:ascii="黑体" w:hAnsi="黑体" w:eastAsia="黑体"/>
          <w:b w:val="0"/>
        </w:rPr>
      </w:pPr>
      <w:bookmarkStart w:id="74" w:name="_Toc15396609"/>
      <w:bookmarkStart w:id="75" w:name="_Toc15377215"/>
      <w:bookmarkStart w:id="76" w:name="_Toc79163619"/>
      <w:bookmarkStart w:id="77" w:name="_Toc79163869"/>
      <w:r>
        <w:rPr>
          <w:rFonts w:hint="eastAsia" w:ascii="黑体" w:eastAsia="黑体"/>
          <w:color w:val="000000"/>
          <w:sz w:val="32"/>
          <w:szCs w:val="32"/>
        </w:rPr>
        <w:t>七、</w:t>
      </w:r>
      <w:r>
        <w:rPr>
          <w:rStyle w:val="23"/>
          <w:rFonts w:hint="eastAsia" w:ascii="黑体" w:hAnsi="黑体" w:eastAsia="黑体"/>
        </w:rPr>
        <w:t>“</w:t>
      </w:r>
      <w:r>
        <w:rPr>
          <w:rStyle w:val="23"/>
          <w:rFonts w:hint="eastAsia" w:ascii="黑体" w:hAnsi="黑体" w:eastAsia="黑体"/>
          <w:b w:val="0"/>
        </w:rPr>
        <w:t>三公”经费财政拨款支出决算情况说明</w:t>
      </w:r>
      <w:bookmarkEnd w:id="74"/>
      <w:bookmarkEnd w:id="75"/>
      <w:bookmarkEnd w:id="76"/>
      <w:bookmarkEnd w:id="77"/>
    </w:p>
    <w:p>
      <w:pPr>
        <w:spacing w:line="600" w:lineRule="exact"/>
        <w:ind w:firstLine="640"/>
        <w:outlineLvl w:val="2"/>
        <w:rPr>
          <w:rFonts w:ascii="仿宋" w:hAnsi="仿宋" w:eastAsia="仿宋"/>
          <w:b/>
          <w:color w:val="000000"/>
          <w:sz w:val="32"/>
          <w:szCs w:val="32"/>
        </w:rPr>
      </w:pPr>
      <w:bookmarkStart w:id="78" w:name="_Toc15377216"/>
      <w:bookmarkStart w:id="79" w:name="_Toc79163620"/>
      <w:bookmarkStart w:id="80" w:name="_Toc79163870"/>
      <w:r>
        <w:rPr>
          <w:rFonts w:hint="eastAsia" w:ascii="仿宋" w:hAnsi="仿宋" w:eastAsia="仿宋"/>
          <w:b/>
          <w:color w:val="000000"/>
          <w:sz w:val="32"/>
          <w:szCs w:val="32"/>
        </w:rPr>
        <w:t>（一）“三公”经费财政拨款支出决算总体情况说明</w:t>
      </w:r>
      <w:bookmarkEnd w:id="78"/>
      <w:bookmarkEnd w:id="79"/>
      <w:bookmarkEnd w:id="80"/>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年“三公”经费财政拨款支出决算为0万元，完成预算0</w:t>
      </w:r>
      <w:r>
        <w:rPr>
          <w:rFonts w:ascii="仿宋" w:hAnsi="仿宋" w:eastAsia="仿宋"/>
          <w:color w:val="000000"/>
          <w:sz w:val="32"/>
          <w:szCs w:val="32"/>
        </w:rPr>
        <w:t>%</w:t>
      </w:r>
      <w:r>
        <w:rPr>
          <w:rFonts w:hint="eastAsia" w:ascii="仿宋" w:hAnsi="仿宋" w:eastAsia="仿宋"/>
          <w:color w:val="000000"/>
          <w:sz w:val="32"/>
          <w:szCs w:val="32"/>
        </w:rPr>
        <w:t>，决算数小于预算数（或与预算数持平）的主要原因是2020年三公经费在民政局行政单位决算报表中反映。</w:t>
      </w:r>
    </w:p>
    <w:p>
      <w:pPr>
        <w:spacing w:line="600" w:lineRule="exact"/>
        <w:ind w:firstLine="640"/>
        <w:outlineLvl w:val="2"/>
        <w:rPr>
          <w:rFonts w:ascii="仿宋" w:hAnsi="仿宋" w:eastAsia="仿宋"/>
          <w:b/>
          <w:color w:val="000000"/>
          <w:sz w:val="32"/>
          <w:szCs w:val="32"/>
        </w:rPr>
      </w:pPr>
      <w:bookmarkStart w:id="81" w:name="_Toc15377217"/>
      <w:bookmarkStart w:id="82" w:name="_Toc79163621"/>
      <w:bookmarkStart w:id="83" w:name="_Toc79163871"/>
      <w:r>
        <w:rPr>
          <w:rFonts w:hint="eastAsia" w:ascii="仿宋" w:hAnsi="仿宋" w:eastAsia="仿宋"/>
          <w:b/>
          <w:color w:val="000000"/>
          <w:sz w:val="32"/>
          <w:szCs w:val="32"/>
        </w:rPr>
        <w:t>（二）“三公”经费财政拨款支出决算具体情况说明</w:t>
      </w:r>
      <w:bookmarkEnd w:id="81"/>
      <w:bookmarkEnd w:id="82"/>
      <w:bookmarkEnd w:id="83"/>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；公务用车购置及运行维护费支出决算0万元，占0</w:t>
      </w:r>
      <w:r>
        <w:rPr>
          <w:rFonts w:ascii="仿宋" w:hAnsi="仿宋" w:eastAsia="仿宋"/>
          <w:color w:val="000000"/>
          <w:sz w:val="32"/>
          <w:szCs w:val="32"/>
        </w:rPr>
        <w:t>%</w:t>
      </w:r>
      <w:r>
        <w:rPr>
          <w:rFonts w:hint="eastAsia" w:ascii="仿宋" w:hAnsi="仿宋" w:eastAsia="仿宋"/>
          <w:color w:val="000000"/>
          <w:sz w:val="32"/>
          <w:szCs w:val="32"/>
        </w:rPr>
        <w:t>；公务接待费支出决算0万元，占0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20"/>
          <w:rFonts w:hint="eastAsia" w:ascii="仿宋" w:hAnsi="仿宋" w:eastAsia="仿宋"/>
          <w:b w:val="0"/>
          <w:bCs/>
          <w:color w:val="000000"/>
          <w:sz w:val="32"/>
          <w:szCs w:val="32"/>
        </w:rPr>
        <w:t>完成预算0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全年安排因公出国（境）团组0次，出国（境）0人。因公出国（境）支出决算比</w:t>
      </w:r>
      <w:r>
        <w:rPr>
          <w:rFonts w:ascii="仿宋_GB2312" w:eastAsia="仿宋_GB2312"/>
          <w:color w:val="000000"/>
          <w:sz w:val="32"/>
          <w:szCs w:val="32"/>
        </w:rPr>
        <w:t>2018</w:t>
      </w:r>
      <w:r>
        <w:rPr>
          <w:rFonts w:hint="eastAsia" w:ascii="仿宋_GB2312" w:eastAsia="仿宋_GB2312"/>
          <w:color w:val="000000"/>
          <w:sz w:val="32"/>
          <w:szCs w:val="32"/>
        </w:rPr>
        <w:t>年增加</w:t>
      </w:r>
      <w:r>
        <w:rPr>
          <w:rFonts w:ascii="仿宋_GB2312" w:eastAsia="仿宋_GB2312"/>
          <w:color w:val="000000"/>
          <w:sz w:val="32"/>
          <w:szCs w:val="32"/>
        </w:rPr>
        <w:t>/</w:t>
      </w:r>
      <w:r>
        <w:rPr>
          <w:rFonts w:hint="eastAsia" w:ascii="仿宋_GB2312" w:eastAsia="仿宋_GB2312"/>
          <w:color w:val="000000"/>
          <w:sz w:val="32"/>
          <w:szCs w:val="32"/>
        </w:rPr>
        <w:t>减少0万元，增长</w:t>
      </w:r>
      <w:r>
        <w:rPr>
          <w:rFonts w:ascii="仿宋_GB2312" w:eastAsia="仿宋_GB2312"/>
          <w:color w:val="000000"/>
          <w:sz w:val="32"/>
          <w:szCs w:val="32"/>
        </w:rPr>
        <w:t>/</w:t>
      </w:r>
      <w:r>
        <w:rPr>
          <w:rFonts w:hint="eastAsia" w:ascii="仿宋_GB2312" w:eastAsia="仿宋_GB2312"/>
          <w:color w:val="000000"/>
          <w:sz w:val="32"/>
          <w:szCs w:val="32"/>
        </w:rPr>
        <w:t>下降0</w:t>
      </w:r>
      <w:r>
        <w:rPr>
          <w:rFonts w:ascii="仿宋_GB2312" w:eastAsia="仿宋_GB2312"/>
          <w:color w:val="000000"/>
          <w:sz w:val="32"/>
          <w:szCs w:val="32"/>
        </w:rPr>
        <w:t>%</w:t>
      </w:r>
      <w:r>
        <w:rPr>
          <w:rFonts w:hint="eastAsia" w:ascii="仿宋_GB2312" w:eastAsia="仿宋_GB2312"/>
          <w:color w:val="000000"/>
          <w:sz w:val="32"/>
          <w:szCs w:val="32"/>
        </w:rPr>
        <w:t>。主要原因是</w:t>
      </w:r>
      <w:r>
        <w:rPr>
          <w:rStyle w:val="20"/>
          <w:rFonts w:hint="eastAsia" w:ascii="仿宋_GB2312" w:hAnsi="仿宋_GB2312" w:eastAsia="仿宋_GB2312" w:cs="仿宋_GB2312"/>
          <w:bCs/>
          <w:color w:val="000000"/>
          <w:sz w:val="32"/>
          <w:szCs w:val="32"/>
        </w:rPr>
        <w:t>2020年我单位无因公出国境人员</w:t>
      </w:r>
      <w:r>
        <w:rPr>
          <w:rFonts w:hint="eastAsia" w:ascii="仿宋_GB2312" w:eastAsia="仿宋_GB2312"/>
          <w:color w:val="000000"/>
          <w:sz w:val="32"/>
          <w:szCs w:val="32"/>
        </w:rPr>
        <w:t>。</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0万元</w:t>
      </w:r>
      <w:r>
        <w:rPr>
          <w:rFonts w:ascii="仿宋_GB2312" w:eastAsia="仿宋_GB2312"/>
          <w:color w:val="000000"/>
          <w:sz w:val="32"/>
          <w:szCs w:val="32"/>
        </w:rPr>
        <w:t>,</w:t>
      </w:r>
      <w:r>
        <w:rPr>
          <w:rStyle w:val="20"/>
          <w:rFonts w:hint="eastAsia" w:ascii="仿宋" w:hAnsi="仿宋" w:eastAsia="仿宋"/>
          <w:b w:val="0"/>
          <w:bCs/>
          <w:color w:val="000000"/>
          <w:sz w:val="32"/>
          <w:szCs w:val="32"/>
        </w:rPr>
        <w:t>完成预算0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9年增加</w:t>
      </w:r>
      <w:r>
        <w:rPr>
          <w:rFonts w:ascii="仿宋_GB2312" w:eastAsia="仿宋_GB2312"/>
          <w:color w:val="000000"/>
          <w:sz w:val="32"/>
          <w:szCs w:val="32"/>
        </w:rPr>
        <w:t>/</w:t>
      </w:r>
      <w:r>
        <w:rPr>
          <w:rFonts w:hint="eastAsia" w:ascii="仿宋_GB2312" w:eastAsia="仿宋_GB2312"/>
          <w:color w:val="000000"/>
          <w:sz w:val="32"/>
          <w:szCs w:val="32"/>
        </w:rPr>
        <w:t>减少0万元，增长</w:t>
      </w:r>
      <w:r>
        <w:rPr>
          <w:rFonts w:ascii="仿宋_GB2312" w:eastAsia="仿宋_GB2312"/>
          <w:color w:val="000000"/>
          <w:sz w:val="32"/>
          <w:szCs w:val="32"/>
        </w:rPr>
        <w:t>/</w:t>
      </w:r>
      <w:r>
        <w:rPr>
          <w:rFonts w:hint="eastAsia" w:ascii="仿宋_GB2312" w:eastAsia="仿宋_GB2312"/>
          <w:color w:val="000000"/>
          <w:sz w:val="32"/>
          <w:szCs w:val="32"/>
        </w:rPr>
        <w:t>下降0</w:t>
      </w:r>
      <w:r>
        <w:rPr>
          <w:rFonts w:ascii="仿宋_GB2312" w:eastAsia="仿宋_GB2312"/>
          <w:color w:val="000000"/>
          <w:sz w:val="32"/>
          <w:szCs w:val="32"/>
        </w:rPr>
        <w:t>%</w:t>
      </w:r>
      <w:r>
        <w:rPr>
          <w:rFonts w:hint="eastAsia" w:ascii="仿宋_GB2312" w:eastAsia="仿宋_GB2312"/>
          <w:color w:val="000000"/>
          <w:sz w:val="32"/>
          <w:szCs w:val="32"/>
        </w:rPr>
        <w:t>。主要原因是2020年小车运行维护费全在民政行政决算报表中反映。</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0万元。全年按规定更新购置公务用车0辆，其中：轿车0辆、金额0万元，越野车0辆、金额0万元，载客汽车0辆、金额0万元。截至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月底，单位共有公务用车0辆，其中：轿车0辆、越野车0辆、载客汽车0辆。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0万元。</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0元，</w:t>
      </w:r>
      <w:r>
        <w:rPr>
          <w:rStyle w:val="20"/>
          <w:rFonts w:hint="eastAsia" w:ascii="仿宋" w:hAnsi="仿宋" w:eastAsia="仿宋"/>
          <w:b w:val="0"/>
          <w:bCs/>
          <w:color w:val="000000"/>
          <w:sz w:val="32"/>
          <w:szCs w:val="32"/>
        </w:rPr>
        <w:t>完成预算0</w:t>
      </w:r>
      <w:r>
        <w:rPr>
          <w:rStyle w:val="20"/>
          <w:rFonts w:ascii="仿宋" w:hAnsi="仿宋" w:eastAsia="仿宋"/>
          <w:b w:val="0"/>
          <w:bCs/>
          <w:color w:val="000000"/>
          <w:sz w:val="32"/>
          <w:szCs w:val="32"/>
        </w:rPr>
        <w:t>%</w:t>
      </w:r>
      <w:r>
        <w:rPr>
          <w:rStyle w:val="20"/>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2019</w:t>
      </w:r>
      <w:r>
        <w:rPr>
          <w:rFonts w:hint="eastAsia" w:ascii="仿宋_GB2312" w:eastAsia="仿宋_GB2312"/>
          <w:color w:val="000000"/>
          <w:sz w:val="32"/>
          <w:szCs w:val="32"/>
        </w:rPr>
        <w:t>年减少0.21万元，下降100</w:t>
      </w:r>
      <w:r>
        <w:rPr>
          <w:rFonts w:ascii="仿宋_GB2312" w:eastAsia="仿宋_GB2312"/>
          <w:color w:val="000000"/>
          <w:sz w:val="32"/>
          <w:szCs w:val="32"/>
        </w:rPr>
        <w:t>%</w:t>
      </w:r>
      <w:r>
        <w:rPr>
          <w:rFonts w:hint="eastAsia" w:ascii="仿宋_GB2312" w:eastAsia="仿宋_GB2312"/>
          <w:color w:val="000000"/>
          <w:sz w:val="32"/>
          <w:szCs w:val="32"/>
        </w:rPr>
        <w:t>。主要原因是2020年公务接待全在民政行政决算报表中反映。</w:t>
      </w:r>
    </w:p>
    <w:p>
      <w:pPr>
        <w:spacing w:line="600" w:lineRule="exact"/>
        <w:ind w:firstLine="640"/>
        <w:outlineLvl w:val="1"/>
        <w:rPr>
          <w:rStyle w:val="23"/>
          <w:rFonts w:ascii="黑体" w:hAnsi="黑体" w:eastAsia="黑体"/>
        </w:rPr>
      </w:pPr>
      <w:bookmarkStart w:id="84" w:name="_Toc15377218"/>
      <w:bookmarkStart w:id="85" w:name="_Toc79163622"/>
      <w:bookmarkStart w:id="86" w:name="_Toc15396610"/>
      <w:bookmarkStart w:id="87" w:name="_Toc79163872"/>
      <w:r>
        <w:rPr>
          <w:rFonts w:hint="eastAsia" w:ascii="黑体" w:eastAsia="黑体"/>
          <w:color w:val="000000"/>
          <w:sz w:val="32"/>
          <w:szCs w:val="32"/>
        </w:rPr>
        <w:t>八、</w:t>
      </w:r>
      <w:r>
        <w:rPr>
          <w:rStyle w:val="23"/>
          <w:rFonts w:hint="eastAsia" w:ascii="黑体" w:hAnsi="黑体" w:eastAsia="黑体"/>
          <w:b w:val="0"/>
        </w:rPr>
        <w:t>政府性基金预算支出决算情况说明</w:t>
      </w:r>
      <w:bookmarkEnd w:id="84"/>
      <w:bookmarkEnd w:id="85"/>
      <w:bookmarkEnd w:id="86"/>
      <w:bookmarkEnd w:id="8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年政府性基金预算拨款支出0万元。</w:t>
      </w:r>
    </w:p>
    <w:p>
      <w:pPr>
        <w:numPr>
          <w:ilvl w:val="0"/>
          <w:numId w:val="2"/>
        </w:numPr>
        <w:spacing w:line="600" w:lineRule="exact"/>
        <w:ind w:firstLine="640"/>
        <w:outlineLvl w:val="1"/>
        <w:rPr>
          <w:rStyle w:val="23"/>
          <w:rFonts w:ascii="黑体" w:hAnsi="黑体" w:eastAsia="黑体"/>
          <w:b w:val="0"/>
        </w:rPr>
      </w:pPr>
      <w:bookmarkStart w:id="88" w:name="_Toc15377219"/>
      <w:bookmarkStart w:id="89" w:name="_Toc15396611"/>
      <w:bookmarkStart w:id="90" w:name="_Toc79163623"/>
      <w:bookmarkStart w:id="91" w:name="_Toc79163873"/>
      <w:r>
        <w:rPr>
          <w:rStyle w:val="23"/>
          <w:rFonts w:hint="eastAsia" w:ascii="黑体" w:hAnsi="黑体" w:eastAsia="黑体"/>
          <w:b w:val="0"/>
        </w:rPr>
        <w:t>国有资本经营预算支出决算情况说明</w:t>
      </w:r>
      <w:bookmarkEnd w:id="88"/>
      <w:bookmarkEnd w:id="89"/>
      <w:bookmarkEnd w:id="90"/>
      <w:bookmarkEnd w:id="91"/>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年国有资本经营预算拨款支出0万元。</w:t>
      </w:r>
    </w:p>
    <w:p>
      <w:pPr>
        <w:spacing w:line="600" w:lineRule="exact"/>
        <w:ind w:firstLine="800" w:firstLineChars="250"/>
        <w:outlineLvl w:val="1"/>
        <w:rPr>
          <w:rStyle w:val="23"/>
          <w:rFonts w:ascii="黑体" w:hAnsi="黑体" w:eastAsia="黑体"/>
        </w:rPr>
      </w:pPr>
      <w:bookmarkStart w:id="92" w:name="_Toc79163874"/>
      <w:bookmarkStart w:id="93" w:name="_Toc79163624"/>
      <w:bookmarkStart w:id="94" w:name="_Toc15377221"/>
      <w:bookmarkStart w:id="95" w:name="_Toc15396612"/>
      <w:r>
        <w:rPr>
          <w:rFonts w:hint="eastAsia" w:ascii="黑体" w:hAnsi="黑体" w:eastAsia="黑体"/>
          <w:color w:val="000000"/>
          <w:sz w:val="32"/>
          <w:szCs w:val="32"/>
        </w:rPr>
        <w:t>十</w:t>
      </w:r>
      <w:r>
        <w:rPr>
          <w:rStyle w:val="23"/>
          <w:rFonts w:hint="eastAsia" w:ascii="黑体" w:hAnsi="黑体" w:eastAsia="黑体"/>
        </w:rPr>
        <w:t>、</w:t>
      </w:r>
      <w:r>
        <w:rPr>
          <w:rStyle w:val="23"/>
          <w:rFonts w:hint="eastAsia" w:ascii="黑体" w:hAnsi="黑体" w:eastAsia="黑体"/>
          <w:b w:val="0"/>
        </w:rPr>
        <w:t>其他重要事项的情况说明</w:t>
      </w:r>
      <w:bookmarkEnd w:id="92"/>
      <w:bookmarkEnd w:id="93"/>
      <w:bookmarkEnd w:id="94"/>
      <w:bookmarkEnd w:id="95"/>
    </w:p>
    <w:p>
      <w:pPr>
        <w:spacing w:line="600" w:lineRule="exact"/>
        <w:ind w:firstLine="643" w:firstLineChars="200"/>
        <w:outlineLvl w:val="2"/>
        <w:rPr>
          <w:rFonts w:ascii="仿宋" w:hAnsi="仿宋" w:eastAsia="仿宋"/>
          <w:color w:val="000000"/>
          <w:sz w:val="32"/>
          <w:szCs w:val="32"/>
        </w:rPr>
      </w:pPr>
      <w:bookmarkStart w:id="96" w:name="_Toc15377222"/>
      <w:bookmarkStart w:id="97" w:name="_Toc79163625"/>
      <w:bookmarkStart w:id="98" w:name="_Toc79163875"/>
      <w:r>
        <w:rPr>
          <w:rFonts w:hint="eastAsia" w:ascii="仿宋" w:hAnsi="仿宋" w:eastAsia="仿宋"/>
          <w:b/>
          <w:color w:val="000000"/>
          <w:sz w:val="32"/>
          <w:szCs w:val="32"/>
        </w:rPr>
        <w:t>（一）机关运行经费支出情况</w:t>
      </w:r>
      <w:bookmarkEnd w:id="96"/>
      <w:bookmarkEnd w:id="97"/>
      <w:bookmarkEnd w:id="98"/>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年，机关运行经费支出0万元，与</w:t>
      </w:r>
      <w:r>
        <w:rPr>
          <w:rFonts w:ascii="仿宋_GB2312" w:eastAsia="仿宋_GB2312"/>
          <w:color w:val="000000"/>
          <w:sz w:val="32"/>
          <w:szCs w:val="32"/>
        </w:rPr>
        <w:t>2019</w:t>
      </w:r>
      <w:r>
        <w:rPr>
          <w:rFonts w:hint="eastAsia" w:ascii="仿宋_GB2312" w:eastAsia="仿宋_GB2312"/>
          <w:color w:val="000000"/>
          <w:sz w:val="32"/>
          <w:szCs w:val="32"/>
        </w:rPr>
        <w:t>年决算数持平。</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9" w:name="_Toc79163626"/>
      <w:bookmarkStart w:id="100" w:name="_Toc15377223"/>
      <w:bookmarkStart w:id="101" w:name="_Toc79163876"/>
      <w:r>
        <w:rPr>
          <w:rFonts w:hint="eastAsia" w:ascii="仿宋" w:hAnsi="仿宋" w:eastAsia="仿宋"/>
          <w:b/>
          <w:color w:val="000000"/>
          <w:sz w:val="32"/>
          <w:szCs w:val="32"/>
        </w:rPr>
        <w:t>（二）政府采购支出情况</w:t>
      </w:r>
      <w:bookmarkEnd w:id="99"/>
      <w:bookmarkEnd w:id="100"/>
      <w:bookmarkEnd w:id="101"/>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年，县社会救助福利中心政府采购支出总额0万元，其中：政府采购货物支出0万元、政府采购工程支出0万元、政府采购服务支出0万元。授予中小企业合同金额0万元，占政府采购支出总额的0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，其中：授予小微企业合同金额0万元，占政府采购支出总额的0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2" w:name="_Toc79163627"/>
      <w:bookmarkStart w:id="103" w:name="_Toc15377224"/>
      <w:bookmarkStart w:id="104" w:name="_Toc79163877"/>
      <w:r>
        <w:rPr>
          <w:rFonts w:hint="eastAsia" w:ascii="仿宋" w:hAnsi="仿宋" w:eastAsia="仿宋"/>
          <w:b/>
          <w:color w:val="000000"/>
          <w:sz w:val="32"/>
          <w:szCs w:val="32"/>
        </w:rPr>
        <w:t>（三）国有资产占有使用情况</w:t>
      </w:r>
      <w:bookmarkEnd w:id="102"/>
      <w:bookmarkEnd w:id="103"/>
      <w:bookmarkEnd w:id="104"/>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日，县社会救助福利中心共有车辆0辆，其中：主要领导干部用车0辆、机要通信用车0辆、应急保障用车0辆、其他用车0辆，单价</w:t>
      </w:r>
      <w:r>
        <w:rPr>
          <w:rFonts w:ascii="仿宋_GB2312" w:eastAsia="仿宋_GB2312"/>
          <w:color w:val="000000"/>
          <w:sz w:val="32"/>
          <w:szCs w:val="32"/>
        </w:rPr>
        <w:t>50</w:t>
      </w:r>
      <w:r>
        <w:rPr>
          <w:rFonts w:hint="eastAsia" w:ascii="仿宋_GB2312" w:eastAsia="仿宋_GB2312"/>
          <w:color w:val="000000"/>
          <w:sz w:val="32"/>
          <w:szCs w:val="32"/>
        </w:rPr>
        <w:t>万元以上通用设备0台（套），单价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万元以上专用设备0台（套）。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5" w:name="_Toc79163628"/>
      <w:bookmarkStart w:id="106" w:name="_Toc79163878"/>
      <w:r>
        <w:rPr>
          <w:rFonts w:hint="eastAsia" w:ascii="仿宋" w:hAnsi="仿宋" w:eastAsia="仿宋"/>
          <w:b/>
          <w:color w:val="000000"/>
          <w:sz w:val="32"/>
          <w:szCs w:val="32"/>
        </w:rPr>
        <w:t>（四）预算绩效管理情况</w:t>
      </w:r>
      <w:bookmarkEnd w:id="105"/>
      <w:bookmarkEnd w:id="106"/>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0项目（项目名称）开展了预算事前绩效评估，对0个项目编制了绩效目标，预算执行过程中，选取0个项目开展绩效监控，年终执行完毕后，对0个项目开展了绩效目标完成情况自评。</w:t>
      </w:r>
    </w:p>
    <w:p>
      <w:pPr>
        <w:spacing w:line="58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本部门按要求对2020年部门整体支出开展绩效自评，从评价情况来看，我局2020年绩效考评良好，从预算到执行、收入和支出、资产管理及预决算公开，都严格按照相关制度进行，全年收支平衡，并有效的保证了机构正常运转、圆满完成了上级下达的目标任务，取得了较大的经济效益和社会效益。</w:t>
      </w:r>
    </w:p>
    <w:p>
      <w:pPr>
        <w:spacing w:line="580" w:lineRule="exact"/>
        <w:ind w:firstLine="640" w:firstLineChars="200"/>
        <w:rPr>
          <w:rFonts w:ascii="仿宋_GB2312" w:hAnsi="仿宋_GB2312" w:eastAsia="仿宋_GB2312" w:cs="仿宋_GB2312"/>
          <w:sz w:val="32"/>
          <w:szCs w:val="32"/>
        </w:rPr>
      </w:pPr>
      <w:r>
        <w:rPr>
          <w:rFonts w:ascii="楷体_GB2312" w:hAnsi="楷体_GB2312" w:eastAsia="楷体_GB2312" w:cs="楷体_GB2312"/>
          <w:sz w:val="32"/>
          <w:szCs w:val="32"/>
        </w:rPr>
        <w:t>1.</w:t>
      </w:r>
      <w:r>
        <w:rPr>
          <w:rFonts w:hint="eastAsia" w:ascii="楷体_GB2312" w:hAnsi="楷体_GB2312" w:eastAsia="楷体_GB2312" w:cs="楷体_GB2312"/>
          <w:sz w:val="32"/>
          <w:szCs w:val="32"/>
        </w:rPr>
        <w:t>项目绩效目标完成情况。</w:t>
      </w:r>
      <w:r>
        <w:rPr>
          <w:rFonts w:ascii="楷体_GB2312" w:hAnsi="楷体_GB2312" w:eastAsia="楷体_GB2312" w:cs="楷体_GB2312"/>
          <w:sz w:val="32"/>
          <w:szCs w:val="32"/>
        </w:rPr>
        <w:br w:type="textWrapping"/>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xml:space="preserve">  2020年此决算表中无项目支出。</w:t>
      </w:r>
    </w:p>
    <w:p>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年部门整体支出绩效评价情况开展自评，《县社会救助福利服务中心部门</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spacing w:line="600" w:lineRule="exact"/>
        <w:outlineLvl w:val="0"/>
        <w:rPr>
          <w:rStyle w:val="22"/>
          <w:rFonts w:ascii="黑体" w:hAnsi="黑体" w:eastAsia="黑体"/>
          <w:b w:val="0"/>
        </w:rPr>
      </w:pPr>
    </w:p>
    <w:p>
      <w:pPr>
        <w:spacing w:line="600" w:lineRule="exact"/>
        <w:ind w:firstLine="1760" w:firstLineChars="400"/>
        <w:outlineLvl w:val="0"/>
        <w:rPr>
          <w:rStyle w:val="22"/>
          <w:rFonts w:ascii="方正小标宋_GBK" w:hAnsi="方正小标宋_GBK" w:eastAsia="方正小标宋_GBK" w:cs="方正小标宋_GBK"/>
          <w:b w:val="0"/>
        </w:rPr>
      </w:pPr>
      <w:r>
        <w:rPr>
          <w:rStyle w:val="22"/>
          <w:rFonts w:hint="eastAsia" w:ascii="方正小标宋_GBK" w:hAnsi="方正小标宋_GBK" w:eastAsia="方正小标宋_GBK" w:cs="方正小标宋_GBK"/>
          <w:b w:val="0"/>
        </w:rPr>
        <w:t>第三部分   名词解释</w:t>
      </w:r>
    </w:p>
    <w:p>
      <w:pPr>
        <w:spacing w:line="600" w:lineRule="exact"/>
        <w:jc w:val="left"/>
        <w:rPr>
          <w:rFonts w:ascii="宋体"/>
          <w:b/>
          <w:color w:val="000000"/>
          <w:sz w:val="44"/>
          <w:szCs w:val="44"/>
        </w:rPr>
      </w:pPr>
    </w:p>
    <w:p>
      <w:pPr>
        <w:pStyle w:val="32"/>
        <w:spacing w:line="560" w:lineRule="exact"/>
        <w:ind w:firstLine="640" w:firstLineChars="200"/>
        <w:rPr>
          <w:rFonts w:ascii="仿宋_GB2312" w:hAnsi="仿宋_GB2312" w:eastAsia="仿宋_GB2312" w:cs="仿宋_GB2312"/>
          <w:sz w:val="32"/>
          <w:szCs w:val="32"/>
        </w:rPr>
      </w:pPr>
      <w:bookmarkStart w:id="107" w:name="_Toc15377226"/>
      <w:r>
        <w:rPr>
          <w:rFonts w:hint="eastAsia" w:ascii="仿宋_GB2312" w:hAnsi="仿宋_GB2312" w:eastAsia="仿宋_GB2312" w:cs="仿宋_GB2312"/>
          <w:sz w:val="32"/>
          <w:szCs w:val="32"/>
        </w:rPr>
        <w:t>1.财政拨款收入：指单位从同级财政部门取得的财政预算资金。</w:t>
      </w:r>
    </w:p>
    <w:p>
      <w:pPr>
        <w:pStyle w:val="32"/>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2.事业收入：指事业单位开展专业业务活动及辅助活动取得的收入。</w:t>
      </w:r>
    </w:p>
    <w:p>
      <w:pPr>
        <w:pStyle w:val="32"/>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3.经营收入：指事业单位在专业业务活动及其辅助活动之外开展非独立核算经营活动取得的收入。</w:t>
      </w:r>
    </w:p>
    <w:p>
      <w:pPr>
        <w:pStyle w:val="32"/>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4.其他收入：指单位取得的除上述收入以外的各项收入。主要是。 </w:t>
      </w:r>
    </w:p>
    <w:p>
      <w:pPr>
        <w:pStyle w:val="32"/>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32"/>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6.年初结转和结余：指以前年度尚未完成、结转到本年按有关规定继续使用的资金。 </w:t>
      </w:r>
    </w:p>
    <w:p>
      <w:pPr>
        <w:pStyle w:val="32"/>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7.结余分配：指事业单位按照事业单位会计制度的规定从非财政补助结余中分配的事业基金和职工福利基金等。</w:t>
      </w:r>
    </w:p>
    <w:p>
      <w:pPr>
        <w:pStyle w:val="32"/>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8、年末结转和结余：指单位按有关规定结转到下年或以后年度继续使用的资金。</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9、社会保障和就业：</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（1）社会福利：2081005社会福利事业单位支出指：反映单位事业人员的基本支出，如基本工资、津补贴、绩效工资、其他社会保障续费、机关运行工作经费等支出；</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（2）行政事业单位离退休：2080505 机关事业单位基本养老保险缴费支出指反映机关事业单位实施养老保险制度由单位缴纳的基本养老保险费支出。2080506机关事业单位职业年金缴费支出指：反映机关事业单位 实施养老保险制度由单位缴纳的职业年金支出。</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10、医疗卫生与计划生育</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行政事业单位医疗：2101102事业单位医疗财政部门集中安排的行政单位基本医疗保险缴费经费。</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11、住房保障</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住房改革支出：2210201住房公积金指：行政事业单位按人力资源和社会保障部、财政部门规定的基本工资和津贴补贴以及规定比例为职工缴纳的住房公积金；2210203购房补贴指单位退休人员购房补贴。</w:t>
      </w:r>
    </w:p>
    <w:p>
      <w:pPr>
        <w:spacing w:line="56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12.基本支出：指为保障机构正常运转、完成日常工作任务而发生的人员支出和公用支出。</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13.项目支出：指在基本支出之外为完成特定行政任务和事业发展目标所发生的支出。 </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14.经营支出：指事业单位在专业业务活动及其辅助活动之外开展非独立核算经营活动发生的支出。</w:t>
      </w:r>
    </w:p>
    <w:p>
      <w:pPr>
        <w:pStyle w:val="32"/>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15.“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2"/>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15.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2640" w:firstLineChars="600"/>
        <w:outlineLvl w:val="0"/>
        <w:rPr>
          <w:rFonts w:ascii="黑体" w:hAnsi="黑体" w:eastAsia="黑体"/>
          <w:color w:val="000000"/>
          <w:sz w:val="44"/>
          <w:szCs w:val="44"/>
        </w:rPr>
      </w:pPr>
    </w:p>
    <w:p>
      <w:pPr>
        <w:spacing w:line="600" w:lineRule="exact"/>
        <w:jc w:val="center"/>
        <w:outlineLvl w:val="0"/>
        <w:rPr>
          <w:rStyle w:val="22"/>
          <w:rFonts w:ascii="方正小标宋_GBK" w:hAnsi="方正小标宋_GBK" w:eastAsia="方正小标宋_GBK" w:cs="方正小标宋_GBK"/>
          <w:b w:val="0"/>
        </w:rPr>
      </w:pPr>
      <w:r>
        <w:rPr>
          <w:rFonts w:ascii="宋体"/>
          <w:b/>
          <w:color w:val="000000"/>
          <w:sz w:val="44"/>
          <w:szCs w:val="44"/>
        </w:rPr>
        <w:br w:type="page"/>
      </w:r>
      <w:bookmarkStart w:id="108" w:name="_Toc15396614"/>
      <w:bookmarkStart w:id="109" w:name="_Toc79163630"/>
      <w:bookmarkStart w:id="110" w:name="_Toc79163880"/>
      <w:r>
        <w:rPr>
          <w:rFonts w:hint="eastAsia" w:ascii="方正小标宋_GBK" w:hAnsi="方正小标宋_GBK" w:eastAsia="方正小标宋_GBK" w:cs="方正小标宋_GBK"/>
          <w:color w:val="000000"/>
          <w:sz w:val="44"/>
          <w:szCs w:val="44"/>
        </w:rPr>
        <w:t>第</w:t>
      </w:r>
      <w:r>
        <w:rPr>
          <w:rStyle w:val="22"/>
          <w:rFonts w:hint="eastAsia" w:ascii="方正小标宋_GBK" w:hAnsi="方正小标宋_GBK" w:eastAsia="方正小标宋_GBK" w:cs="方正小标宋_GBK"/>
          <w:b w:val="0"/>
        </w:rPr>
        <w:t>四部分 附件</w:t>
      </w:r>
      <w:bookmarkEnd w:id="108"/>
      <w:bookmarkEnd w:id="109"/>
      <w:bookmarkEnd w:id="110"/>
    </w:p>
    <w:p>
      <w:pPr>
        <w:spacing w:line="600" w:lineRule="exact"/>
        <w:jc w:val="left"/>
        <w:outlineLvl w:val="0"/>
        <w:rPr>
          <w:rFonts w:ascii="方正小标宋简体" w:hAnsi="方正小标宋简体" w:eastAsia="方正小标宋简体" w:cs="方正小标宋简体"/>
          <w:sz w:val="32"/>
          <w:szCs w:val="32"/>
        </w:rPr>
      </w:pPr>
      <w:bookmarkStart w:id="111" w:name="_Toc79163881"/>
      <w:bookmarkStart w:id="112" w:name="_Toc79163631"/>
      <w:r>
        <w:rPr>
          <w:rFonts w:hint="eastAsia" w:ascii="黑体" w:hAnsi="黑体" w:eastAsia="黑体" w:cs="黑体"/>
          <w:sz w:val="32"/>
          <w:szCs w:val="32"/>
        </w:rPr>
        <w:t>附件</w:t>
      </w:r>
      <w:r>
        <w:rPr>
          <w:rFonts w:ascii="黑体" w:hAnsi="黑体" w:eastAsia="黑体" w:cs="黑体"/>
          <w:sz w:val="32"/>
          <w:szCs w:val="32"/>
        </w:rPr>
        <w:t>1</w:t>
      </w:r>
      <w:bookmarkEnd w:id="111"/>
      <w:bookmarkEnd w:id="112"/>
    </w:p>
    <w:p>
      <w:pPr>
        <w:spacing w:line="580" w:lineRule="exact"/>
        <w:jc w:val="center"/>
        <w:rPr>
          <w:rFonts w:ascii="方正小标宋简体" w:hAnsi="方正小标宋简体" w:eastAsia="方正小标宋简体" w:cs="方正小标宋简体"/>
          <w:sz w:val="44"/>
          <w:szCs w:val="44"/>
        </w:rPr>
      </w:pPr>
    </w:p>
    <w:p>
      <w:pPr>
        <w:spacing w:line="600" w:lineRule="exact"/>
        <w:jc w:val="center"/>
        <w:outlineLvl w:val="0"/>
        <w:rPr>
          <w:rFonts w:ascii="方正小标宋简体" w:hAnsi="黑体" w:eastAsia="方正小标宋简体" w:cs="黑体"/>
          <w:sz w:val="44"/>
          <w:szCs w:val="44"/>
        </w:rPr>
      </w:pPr>
      <w:bookmarkStart w:id="113" w:name="_Toc79163632"/>
      <w:bookmarkStart w:id="114" w:name="_Toc79163882"/>
      <w:r>
        <w:rPr>
          <w:rFonts w:hint="eastAsia" w:ascii="方正小标宋简体" w:hAnsi="黑体" w:eastAsia="方正小标宋简体" w:cs="黑体"/>
          <w:sz w:val="44"/>
          <w:szCs w:val="44"/>
        </w:rPr>
        <w:t>县社会救助福利中心</w:t>
      </w:r>
    </w:p>
    <w:p>
      <w:pPr>
        <w:spacing w:line="600" w:lineRule="exact"/>
        <w:jc w:val="center"/>
        <w:outlineLvl w:val="0"/>
        <w:rPr>
          <w:rFonts w:ascii="方正小标宋简体" w:hAnsi="黑体" w:eastAsia="方正小标宋简体" w:cs="黑体"/>
          <w:sz w:val="44"/>
          <w:szCs w:val="44"/>
        </w:rPr>
      </w:pPr>
      <w:r>
        <w:rPr>
          <w:rFonts w:ascii="方正小标宋简体" w:hAnsi="黑体" w:eastAsia="方正小标宋简体" w:cs="黑体"/>
          <w:sz w:val="44"/>
          <w:szCs w:val="44"/>
        </w:rPr>
        <w:t>2020</w:t>
      </w:r>
      <w:r>
        <w:rPr>
          <w:rFonts w:hint="eastAsia" w:ascii="方正小标宋简体" w:hAnsi="黑体" w:eastAsia="方正小标宋简体" w:cs="黑体"/>
          <w:sz w:val="44"/>
          <w:szCs w:val="44"/>
        </w:rPr>
        <w:t>年部门整体支出绩效评价报告</w:t>
      </w:r>
      <w:bookmarkEnd w:id="113"/>
      <w:bookmarkEnd w:id="114"/>
    </w:p>
    <w:p>
      <w:pPr>
        <w:widowControl/>
        <w:adjustRightInd w:val="0"/>
        <w:snapToGrid w:val="0"/>
        <w:spacing w:line="580" w:lineRule="exact"/>
        <w:ind w:firstLine="640" w:firstLineChars="200"/>
        <w:contextualSpacing/>
        <w:jc w:val="left"/>
        <w:rPr>
          <w:rFonts w:ascii="仿宋_GB2312" w:hAnsi="宋体" w:eastAsia="仿宋_GB2312"/>
          <w:sz w:val="32"/>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县民政局属于一级预算单位，设4个内设行政股室（即办公室（行政审批股）、社会福利与社会事务股、区划地名与基层政权股社会救助股）。下设事业机构5个（老龄服务中心，壤塘县低收入家庭认定指导中心，敬老院管理中心，壤塘县社会救助福利服务中心，南木达敬老院、茸木达敬老院、伊里敬老院、中壤塘敬老院）。</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（二）机构职能</w:t>
      </w:r>
    </w:p>
    <w:p>
      <w:pPr>
        <w:widowControl/>
        <w:spacing w:line="600" w:lineRule="exact"/>
        <w:ind w:firstLine="803" w:firstLineChars="250"/>
        <w:jc w:val="left"/>
        <w:rPr>
          <w:rFonts w:ascii="楷体_GB2312" w:hAnsi="楷体_GB2312" w:eastAsia="楷体_GB2312" w:cs="楷体_GB2312"/>
          <w:kern w:val="0"/>
          <w:sz w:val="32"/>
          <w:szCs w:val="32"/>
        </w:rPr>
      </w:pPr>
      <w:r>
        <w:rPr>
          <w:rFonts w:hint="eastAsia" w:ascii="楷体_GB2312" w:hAnsi="楷体_GB2312" w:eastAsia="楷体_GB2312" w:cs="楷体_GB2312"/>
          <w:b/>
          <w:kern w:val="0"/>
          <w:sz w:val="32"/>
          <w:szCs w:val="32"/>
        </w:rPr>
        <w:t>根据三定方案文件规定，主要职能是</w:t>
      </w:r>
      <w:r>
        <w:rPr>
          <w:rFonts w:hint="eastAsia" w:ascii="楷体_GB2312" w:hAnsi="楷体_GB2312" w:eastAsia="楷体_GB2312" w:cs="楷体_GB2312"/>
          <w:kern w:val="0"/>
          <w:sz w:val="32"/>
          <w:szCs w:val="32"/>
        </w:rPr>
        <w:t>：</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县低收入家庭认定指导中心主要职能职责:负责对申请城乡低保等政府救助和社会救助的城乡居民家庭收入和财产情况进行信息核对;负责全县低收入家庭经济状况核对信息数据库的建立、维护、查询、交流等工作;负责全县救助对象的数据统计和动态分析;负责指导各乡镇开展低收入家庭经济状况认定工作;会同有关部门，制定与城乡低保有关的配套优惠政策;负责本县低保信息网络建设和管理;负责城乡居民最低生活保障审核、审批工作;对最低生活保障资金的使用和管理情况进行督查;负责城乡特困群众临时性救济的审核、审批工作;负责全县农村特困群众医疗救助审核、审批工作;负责全县农村特困户救助的审核、审批工作。完成领导交办的其他工作。</w:t>
      </w:r>
    </w:p>
    <w:p>
      <w:pPr>
        <w:pStyle w:val="6"/>
        <w:adjustRightInd w:val="0"/>
        <w:snapToGrid w:val="0"/>
        <w:spacing w:before="93" w:line="600" w:lineRule="exact"/>
        <w:ind w:firstLine="672" w:firstLineChars="210"/>
        <w:outlineLvl w:val="2"/>
        <w:rPr>
          <w:rFonts w:hAnsi="仿宋_GB2312" w:cs="仿宋_GB2312"/>
          <w:kern w:val="2"/>
          <w:sz w:val="32"/>
          <w:szCs w:val="32"/>
        </w:rPr>
      </w:pPr>
      <w:r>
        <w:rPr>
          <w:rFonts w:hint="eastAsia" w:hAnsi="仿宋_GB2312" w:cs="仿宋_GB2312"/>
          <w:kern w:val="2"/>
          <w:sz w:val="32"/>
          <w:szCs w:val="32"/>
        </w:rPr>
        <w:t>敬老院服务中心主要职能职责:贯彻执行党的路线、方针、政策，遵守国家法律法规和社会福利政策;认真贯彻《农村五保供养工作条例》;负责敬老院发展规划，指导敬老院建设管理和集中供养工作;指导敬老院建立健全各项规章制度工作;监督指导敬老院负责人和工作人员的工作，并对其进行考核考评，维护供养人员的合法权益，保障敬老院管理健康、有序发展。完成领导交办的其他工作。</w:t>
      </w:r>
    </w:p>
    <w:p>
      <w:pPr>
        <w:pStyle w:val="6"/>
        <w:adjustRightInd w:val="0"/>
        <w:snapToGrid w:val="0"/>
        <w:spacing w:before="93" w:line="600" w:lineRule="exact"/>
        <w:ind w:firstLine="640" w:firstLineChars="200"/>
        <w:outlineLvl w:val="2"/>
        <w:rPr>
          <w:rFonts w:hAnsi="仿宋_GB2312" w:cs="仿宋_GB2312"/>
          <w:kern w:val="2"/>
          <w:sz w:val="32"/>
          <w:szCs w:val="32"/>
        </w:rPr>
      </w:pPr>
      <w:r>
        <w:rPr>
          <w:rFonts w:hint="eastAsia" w:hAnsi="仿宋_GB2312" w:cs="仿宋_GB2312"/>
          <w:kern w:val="2"/>
          <w:sz w:val="32"/>
          <w:szCs w:val="32"/>
        </w:rPr>
        <w:t>敬老院主要职能职责:贯彻执行国家有关五保供养工作的方针、政策和法律法规;组织制定院内的各项规章制度和发展规划;组织发展经济、不断提高供养人员的生活水平;认真履行职责，建立岗位责任制，实行目标管理、考核，维护供养人员的合法权益。完成领导交办的其他工作。</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rPr>
      </w:pPr>
      <w:r>
        <w:rPr>
          <w:rFonts w:hint="eastAsia" w:ascii="仿宋_GB2312" w:hAnsi="仿宋_GB2312" w:eastAsia="仿宋_GB2312" w:cs="仿宋_GB2312"/>
          <w:sz w:val="32"/>
          <w:szCs w:val="32"/>
        </w:rPr>
        <w:t>县社会救助福利服务中心主要职能职责:主要是为中心救助对象的衣、食、住、行服务，执行国家救助福利政策，不断提高服务水平，体现党和政府对弱势群体的关心和重视;在中心内定期组织学习有关文件精神，让他们每天收看新闻，集体组织救助对象看电视，让他们了解我国改革开放以来日新月异的变化，了解国际国内的重大事件，了解国家政策，不断充实他们的精神生活。完成领导交办的其他工作。</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（三）人员概况。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sz w:val="32"/>
          <w:szCs w:val="32"/>
        </w:rPr>
        <w:t>壤塘县民政局编制数72人，其中：行政编制8人、全额事业编制64人。实有人数76人，其中：在职人数67人,离休人员1人，退休人员8人。</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pPr>
        <w:widowControl/>
        <w:adjustRightInd w:val="0"/>
        <w:snapToGrid w:val="0"/>
        <w:spacing w:line="580" w:lineRule="exact"/>
        <w:ind w:firstLine="640" w:firstLineChars="200"/>
        <w:contextualSpacing/>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2020年财政资金收入1021.91万元，其中一般公共预算财政拨款收入1021.91万元</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（二）部门财政资金支出情况</w:t>
      </w:r>
    </w:p>
    <w:p>
      <w:pPr>
        <w:widowControl/>
        <w:adjustRightInd w:val="0"/>
        <w:snapToGrid w:val="0"/>
        <w:spacing w:line="580" w:lineRule="exact"/>
        <w:ind w:firstLine="640" w:firstLineChars="200"/>
        <w:contextualSpacing/>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2020年部门财政资金支出1021.91万元，其中基本支出1021.91万元。</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kern w:val="0"/>
          <w:sz w:val="32"/>
          <w:szCs w:val="32"/>
        </w:rPr>
        <w:t>基本支出包括工资福利支出975.94万元，商品与服务支出32.90万元，对个人和家庭的补助13.07万元。</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包括部门绩效目标制定、目标实现、预算编制准确、支出控制、预算动态调整、执行进度、预算完成情况和违规记录等情况。</w:t>
      </w:r>
    </w:p>
    <w:p>
      <w:pPr>
        <w:widowControl/>
        <w:adjustRightInd w:val="0"/>
        <w:snapToGrid w:val="0"/>
        <w:spacing w:line="580" w:lineRule="exact"/>
        <w:ind w:firstLine="640" w:firstLineChars="200"/>
        <w:contextualSpacing/>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2019年我单位预算编制严格按照财政局《关于编制2020年部门预算通知》相关精神，认真学习《预算法》及其实施条例等预算编制的法律、法规，掌握预算编制的相关政策，及时与县编办、县人事部门核对人员编制 、实有人数、工资、车辆等相关信息，准确编制部门预算，将单位预算收入全部门纳入预算管理，全面完整的反映部门真实收入情况 ，基本支出预算包括人员经费和公用经费，采取人员经费按2019年10月工资为标准核算，公用经费按县级部门定额标准人均0.70万元测算。项目资金预算，先由各业务股室对来年需要县级配套资金按上级专项计划和上年预算支出和完成情况进行充分论证、可行性分析和绩效评估后来测算需县级财政配套经费，由财务室负责汇编部门预算,2020年预算完成较好,无违规记录等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包括绩效自评公开、评价结果整改和应用结果反馈等情况。</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2020年，我单位严格按照工作进度执行预算，按时足额发放职工工资，以节约为本，严格控制公用经费支出，严格执行中央八项规定，加强公务接待、公务用车规范管理。项目资金支出：严格按资金用途支付相关费用，严格执行绩效评价和项目进度分析，提高了资金的使用效率，使困难群体基本生活得到了保障，促进了社会经济发展和和谐稳定，受益群众满意度达90%以上。完成了重点项目工作，一是2020年为符合政策的农村低保15989人员发放农村低保金3825.2万元，农村低保人均月补助达180元；为符合政策城市低保人员 413人发放城镇低保金152.4万元，城镇低保人均月补助达300元，按照“应保尽保、应退尽退”低保政策切实加强城乡低保专项清理，清理清退不符合政策人员1108名。二是社会救助水平不断提升，全年共救助困难群众226人次，解决临时救助资金27.87万元；为全县18名孤儿和6名无人抚养事实孤儿发放生活补助资金28.50万元；为1193名分散农村特困供养人员和240名集中供养特困人员发放生活补助1596.29万元，使困难群众基本生活得到了保障，并促进了社会救助政策体系更加完善、管理制度更加健全、服务质量明显提升，群众满意度显著提高。三是持续加大残疾人救助保障力度。全年为1245名困难残疾人发放生活补贴资金144.23万元；为1063名重度残疾人发放生活护理补贴资金111.48万元，使残疾人权益得到更好保障，进一步完善了社会保障制度体系。四是抓细抓好养老服务工作，全年为80岁以上644名老人发放高龄津贴68.54万元；完成了2750名居家养老服对象审核任务；对全县6所农村敬老院（含康复村）进行消防设施设备采购、外墙粉刷、门窗折换、天棚吊顶、院内地坪、旱厕新建、线路改造等服务质量提升维修改造项目，使老年人幸福指数和满意度不断提高。并根据财政要求，每年都及时对单位预决算数据和绩效信息在政府门户网进行了公开。</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2020年县级、州级对我单位部分项目资金也进行了绩效考评。总体来说，2019年我单位绩效考评较好，从预算到执行、收入和支出、资产管理及预决算公开，都严格按照相关制度进行，全年收支平衡，略有结余，有效的保证了机构运转、圆满完成了上级下达的目标任务，取得了较大的经济效益和社会效益，也得到了政府部门的认可和社会保障对象的认可。</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（二）存在问题</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绩效意识仍比较薄弱。尽管我单位将部门预算编制纳入绩效管理的理念引入到实际工作中，但对预算绩效管理仍缺乏足够重视，一直把部门预算的分配情况和数据编制视为重点，但在预算数据的支出绩效评价上关注和重视还不够。</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2、评价分析还不够全面。</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3、缺乏相关的绩效考评业务知识。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4、民政资金发放政策宣传力度不够，部分群众对政策不够了解。</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（三）改进建议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1、建立完善的绩效评价管理方案。</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建立相关的机制来了解各股室资金的需求，通过调查、结果分析，对不同的股室进行不同的资金安排，做到部门预算明确化并对资金流向进行监督、追踪，定期进行检查，利用有限的资金去做更多有益的事情。</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3、财政部门应多组织专业的绩效考评知识培训，让我们能清晰了解、掌握预算绩效管理业务知识，更好的运用到实际工作和管理上去。</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加强和完善预算编制管理和预算执行分析，提高运行效率和使用效益，牢牢把握预算执行分析工作真实性、及时性和全面性，及时跟踪预算执行动态变化过程，重点研究预算执行过程中出现的各种问题，强化预算执行全过程的管理，提供详实准确的预算执行数据，并准确预测预算收支的发展趋势，进一步提高财政预算的管理和决策水平。</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5、加大民政资金宣传力度，确保保障对象政策知晓率、覆盖率达100%。</w:t>
      </w:r>
      <w:bookmarkStart w:id="115" w:name="_Toc15396618"/>
      <w:bookmarkStart w:id="116" w:name="_Toc79163885"/>
      <w:bookmarkStart w:id="117" w:name="_Toc79163635"/>
    </w:p>
    <w:bookmarkEnd w:id="107"/>
    <w:bookmarkEnd w:id="115"/>
    <w:bookmarkEnd w:id="116"/>
    <w:bookmarkEnd w:id="117"/>
    <w:p>
      <w:pPr>
        <w:spacing w:line="600" w:lineRule="exact"/>
        <w:jc w:val="center"/>
        <w:outlineLvl w:val="0"/>
        <w:rPr>
          <w:rFonts w:ascii="方正小标宋_GBK" w:hAnsi="方正小标宋_GBK" w:eastAsia="方正小标宋_GBK" w:cs="方正小标宋_GBK"/>
          <w:color w:val="000000"/>
          <w:sz w:val="44"/>
          <w:szCs w:val="44"/>
        </w:rPr>
      </w:pPr>
    </w:p>
    <w:p>
      <w:pPr>
        <w:spacing w:line="600" w:lineRule="exact"/>
        <w:jc w:val="center"/>
        <w:outlineLvl w:val="0"/>
        <w:rPr>
          <w:rStyle w:val="22"/>
          <w:rFonts w:ascii="方正小标宋_GBK" w:hAnsi="方正小标宋_GBK" w:eastAsia="方正小标宋_GBK" w:cs="方正小标宋_GBK"/>
          <w:b w:val="0"/>
        </w:rPr>
      </w:pPr>
      <w:r>
        <w:rPr>
          <w:rFonts w:hint="eastAsia" w:ascii="方正小标宋_GBK" w:hAnsi="方正小标宋_GBK" w:eastAsia="方正小标宋_GBK" w:cs="方正小标宋_GBK"/>
          <w:color w:val="000000"/>
          <w:sz w:val="44"/>
          <w:szCs w:val="44"/>
        </w:rPr>
        <w:t>第</w:t>
      </w:r>
      <w:r>
        <w:rPr>
          <w:rStyle w:val="22"/>
          <w:rFonts w:hint="eastAsia" w:ascii="方正小标宋_GBK" w:hAnsi="方正小标宋_GBK" w:eastAsia="方正小标宋_GBK" w:cs="方正小标宋_GBK"/>
          <w:b w:val="0"/>
        </w:rPr>
        <w:t>五部分 附表</w:t>
      </w:r>
    </w:p>
    <w:p>
      <w:pPr>
        <w:spacing w:line="600" w:lineRule="exact"/>
        <w:outlineLvl w:val="0"/>
        <w:rPr>
          <w:rStyle w:val="22"/>
          <w:rFonts w:ascii="黑体" w:hAnsi="黑体" w:eastAsia="黑体"/>
          <w:b w:val="0"/>
        </w:rPr>
      </w:pPr>
    </w:p>
    <w:p>
      <w:pPr>
        <w:spacing w:line="560" w:lineRule="exact"/>
        <w:outlineLvl w:val="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一、收入支出决算总表</w:t>
      </w:r>
    </w:p>
    <w:p>
      <w:pPr>
        <w:spacing w:line="560" w:lineRule="exact"/>
        <w:outlineLvl w:val="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二、收入决算表</w:t>
      </w:r>
    </w:p>
    <w:p>
      <w:pPr>
        <w:spacing w:line="560" w:lineRule="exact"/>
        <w:outlineLvl w:val="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三、支出决算表</w:t>
      </w:r>
    </w:p>
    <w:p>
      <w:pPr>
        <w:spacing w:line="560" w:lineRule="exact"/>
        <w:outlineLvl w:val="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四、财政拨款收入支出决算总表</w:t>
      </w:r>
    </w:p>
    <w:p>
      <w:pPr>
        <w:spacing w:line="560" w:lineRule="exact"/>
        <w:outlineLvl w:val="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五、财政拨款支出决算明细表</w:t>
      </w:r>
    </w:p>
    <w:p>
      <w:pPr>
        <w:spacing w:line="560" w:lineRule="exact"/>
        <w:outlineLvl w:val="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六、一般公共预算财政拨款支出决算表</w:t>
      </w:r>
    </w:p>
    <w:p>
      <w:pPr>
        <w:spacing w:line="560" w:lineRule="exact"/>
        <w:outlineLvl w:val="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七、一般公共预算财政拨款支出决算明细表</w:t>
      </w:r>
    </w:p>
    <w:p>
      <w:pPr>
        <w:spacing w:line="560" w:lineRule="exact"/>
        <w:outlineLvl w:val="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八、一般公共预算财政拨款基本支出决算表</w:t>
      </w:r>
    </w:p>
    <w:p>
      <w:pPr>
        <w:spacing w:line="560" w:lineRule="exact"/>
        <w:outlineLvl w:val="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九、一般公共预算财政拨款项目支出决算表</w:t>
      </w:r>
    </w:p>
    <w:p>
      <w:pPr>
        <w:spacing w:line="560" w:lineRule="exact"/>
        <w:outlineLvl w:val="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十、一般公共预算财政拨款“三公”经费支出决算表</w:t>
      </w:r>
    </w:p>
    <w:p>
      <w:pPr>
        <w:spacing w:line="560" w:lineRule="exact"/>
        <w:outlineLvl w:val="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十一、政府性基金预算财政拨款收入支出决算表</w:t>
      </w:r>
    </w:p>
    <w:p>
      <w:pPr>
        <w:spacing w:line="560" w:lineRule="exact"/>
        <w:outlineLvl w:val="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十二、政府性基金预算财政拨款“三公”经费支出决算表</w:t>
      </w:r>
    </w:p>
    <w:p>
      <w:pPr>
        <w:spacing w:line="560" w:lineRule="exact"/>
        <w:outlineLvl w:val="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十三、国有资本经营预算支出决算表</w:t>
      </w:r>
    </w:p>
    <w:p>
      <w:pPr>
        <w:widowControl/>
        <w:spacing w:line="560" w:lineRule="exact"/>
        <w:jc w:val="left"/>
        <w:rPr>
          <w:rStyle w:val="22"/>
          <w:rFonts w:ascii="仿宋_GB2312" w:hAnsi="仿宋_GB2312" w:eastAsia="仿宋_GB2312" w:cs="仿宋_GB2312"/>
          <w:b w:val="0"/>
          <w:sz w:val="32"/>
          <w:szCs w:val="32"/>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等线">
    <w:altName w:val="Arial Unicode MS"/>
    <w:panose1 w:val="00000000000000000000"/>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等线 Light">
    <w:altName w:val="宋体"/>
    <w:panose1 w:val="00000000000000000000"/>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等线">
    <w:altName w:val="Arial Unicode M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t>23</w:t>
    </w:r>
    <w: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468DB"/>
    <w:rsid w:val="0006487A"/>
    <w:rsid w:val="00065F8F"/>
    <w:rsid w:val="00070A43"/>
    <w:rsid w:val="000768F2"/>
    <w:rsid w:val="000865B9"/>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0470D"/>
    <w:rsid w:val="00114E9B"/>
    <w:rsid w:val="00115301"/>
    <w:rsid w:val="001319E1"/>
    <w:rsid w:val="00142216"/>
    <w:rsid w:val="00144D6A"/>
    <w:rsid w:val="0014729F"/>
    <w:rsid w:val="00157BAB"/>
    <w:rsid w:val="001654D1"/>
    <w:rsid w:val="00174518"/>
    <w:rsid w:val="0017536D"/>
    <w:rsid w:val="0018106D"/>
    <w:rsid w:val="001877A7"/>
    <w:rsid w:val="00191536"/>
    <w:rsid w:val="00196687"/>
    <w:rsid w:val="001A1F91"/>
    <w:rsid w:val="001A5ECF"/>
    <w:rsid w:val="001C0962"/>
    <w:rsid w:val="001D199E"/>
    <w:rsid w:val="001D7531"/>
    <w:rsid w:val="001E737D"/>
    <w:rsid w:val="001F0592"/>
    <w:rsid w:val="001F7506"/>
    <w:rsid w:val="002006CD"/>
    <w:rsid w:val="00202B36"/>
    <w:rsid w:val="00204B7A"/>
    <w:rsid w:val="00204CDE"/>
    <w:rsid w:val="002071C7"/>
    <w:rsid w:val="0021101A"/>
    <w:rsid w:val="00220536"/>
    <w:rsid w:val="002343F6"/>
    <w:rsid w:val="00235629"/>
    <w:rsid w:val="00246A17"/>
    <w:rsid w:val="00250755"/>
    <w:rsid w:val="00256262"/>
    <w:rsid w:val="00260C38"/>
    <w:rsid w:val="002616C0"/>
    <w:rsid w:val="00265372"/>
    <w:rsid w:val="002662AA"/>
    <w:rsid w:val="0027224D"/>
    <w:rsid w:val="00280496"/>
    <w:rsid w:val="00285FC5"/>
    <w:rsid w:val="00294DC9"/>
    <w:rsid w:val="00295495"/>
    <w:rsid w:val="002A27F5"/>
    <w:rsid w:val="002A31DE"/>
    <w:rsid w:val="002B2613"/>
    <w:rsid w:val="002D4280"/>
    <w:rsid w:val="002D6D05"/>
    <w:rsid w:val="002F0BE0"/>
    <w:rsid w:val="002F1446"/>
    <w:rsid w:val="002F1818"/>
    <w:rsid w:val="002F567B"/>
    <w:rsid w:val="00307BE4"/>
    <w:rsid w:val="003216A9"/>
    <w:rsid w:val="0032634E"/>
    <w:rsid w:val="00335A74"/>
    <w:rsid w:val="0036561B"/>
    <w:rsid w:val="0037013F"/>
    <w:rsid w:val="00380C92"/>
    <w:rsid w:val="00395D8E"/>
    <w:rsid w:val="003A484F"/>
    <w:rsid w:val="003A4883"/>
    <w:rsid w:val="003B0BE0"/>
    <w:rsid w:val="003B0C1B"/>
    <w:rsid w:val="003B688C"/>
    <w:rsid w:val="003C0291"/>
    <w:rsid w:val="003C39AE"/>
    <w:rsid w:val="003C44BB"/>
    <w:rsid w:val="003C7B60"/>
    <w:rsid w:val="003D0C0F"/>
    <w:rsid w:val="003D1155"/>
    <w:rsid w:val="003D1FB2"/>
    <w:rsid w:val="003D66DA"/>
    <w:rsid w:val="003E1310"/>
    <w:rsid w:val="003E6F55"/>
    <w:rsid w:val="003E6FE4"/>
    <w:rsid w:val="0040486C"/>
    <w:rsid w:val="00406254"/>
    <w:rsid w:val="004223DE"/>
    <w:rsid w:val="00434489"/>
    <w:rsid w:val="00437085"/>
    <w:rsid w:val="00442FC4"/>
    <w:rsid w:val="00443880"/>
    <w:rsid w:val="00445607"/>
    <w:rsid w:val="004464F4"/>
    <w:rsid w:val="00471401"/>
    <w:rsid w:val="00473F31"/>
    <w:rsid w:val="0048263A"/>
    <w:rsid w:val="00487E5D"/>
    <w:rsid w:val="004A711F"/>
    <w:rsid w:val="004B199D"/>
    <w:rsid w:val="004B4690"/>
    <w:rsid w:val="004D05B2"/>
    <w:rsid w:val="004D1DAF"/>
    <w:rsid w:val="004D5479"/>
    <w:rsid w:val="004D63C1"/>
    <w:rsid w:val="004E0A2D"/>
    <w:rsid w:val="004E206B"/>
    <w:rsid w:val="004E6DF7"/>
    <w:rsid w:val="004F0FBD"/>
    <w:rsid w:val="00505A47"/>
    <w:rsid w:val="00512FDA"/>
    <w:rsid w:val="00520DA0"/>
    <w:rsid w:val="005269A7"/>
    <w:rsid w:val="005269D7"/>
    <w:rsid w:val="00531D89"/>
    <w:rsid w:val="005664BB"/>
    <w:rsid w:val="00566FFA"/>
    <w:rsid w:val="0057481D"/>
    <w:rsid w:val="00582B38"/>
    <w:rsid w:val="00584116"/>
    <w:rsid w:val="0058486E"/>
    <w:rsid w:val="00585B33"/>
    <w:rsid w:val="0059014D"/>
    <w:rsid w:val="005B5C64"/>
    <w:rsid w:val="005C5337"/>
    <w:rsid w:val="005C6BD0"/>
    <w:rsid w:val="005D1C8B"/>
    <w:rsid w:val="005D468D"/>
    <w:rsid w:val="005D5900"/>
    <w:rsid w:val="005D5CED"/>
    <w:rsid w:val="005D743E"/>
    <w:rsid w:val="005F1A4C"/>
    <w:rsid w:val="00605688"/>
    <w:rsid w:val="006070AF"/>
    <w:rsid w:val="00607B47"/>
    <w:rsid w:val="00607E6C"/>
    <w:rsid w:val="006101B1"/>
    <w:rsid w:val="00614E44"/>
    <w:rsid w:val="0062270A"/>
    <w:rsid w:val="00622830"/>
    <w:rsid w:val="00623DA0"/>
    <w:rsid w:val="00630AEF"/>
    <w:rsid w:val="006325F8"/>
    <w:rsid w:val="00633463"/>
    <w:rsid w:val="00634C9A"/>
    <w:rsid w:val="006440E4"/>
    <w:rsid w:val="006459E3"/>
    <w:rsid w:val="00645F81"/>
    <w:rsid w:val="0066343B"/>
    <w:rsid w:val="00664777"/>
    <w:rsid w:val="006748A4"/>
    <w:rsid w:val="00681A31"/>
    <w:rsid w:val="00683E73"/>
    <w:rsid w:val="006845A0"/>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27EF"/>
    <w:rsid w:val="00885AF4"/>
    <w:rsid w:val="00892977"/>
    <w:rsid w:val="008939CD"/>
    <w:rsid w:val="008B01A8"/>
    <w:rsid w:val="008B50F4"/>
    <w:rsid w:val="008B768C"/>
    <w:rsid w:val="008C4DB1"/>
    <w:rsid w:val="008C4EAF"/>
    <w:rsid w:val="008C5176"/>
    <w:rsid w:val="008C7FD0"/>
    <w:rsid w:val="008D437F"/>
    <w:rsid w:val="008E1DE7"/>
    <w:rsid w:val="008E707C"/>
    <w:rsid w:val="00900B08"/>
    <w:rsid w:val="00902155"/>
    <w:rsid w:val="00902769"/>
    <w:rsid w:val="00902FA3"/>
    <w:rsid w:val="009115E1"/>
    <w:rsid w:val="00916010"/>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A1467"/>
    <w:rsid w:val="009A301F"/>
    <w:rsid w:val="009B2C43"/>
    <w:rsid w:val="009B4EAE"/>
    <w:rsid w:val="009B7573"/>
    <w:rsid w:val="009C22F4"/>
    <w:rsid w:val="009C2A4B"/>
    <w:rsid w:val="009C2E98"/>
    <w:rsid w:val="009C7D2B"/>
    <w:rsid w:val="009D3447"/>
    <w:rsid w:val="009D4711"/>
    <w:rsid w:val="009E162F"/>
    <w:rsid w:val="009F1185"/>
    <w:rsid w:val="009F18CD"/>
    <w:rsid w:val="009F2A13"/>
    <w:rsid w:val="009F7527"/>
    <w:rsid w:val="00A04EB0"/>
    <w:rsid w:val="00A0625A"/>
    <w:rsid w:val="00A13CC1"/>
    <w:rsid w:val="00A16847"/>
    <w:rsid w:val="00A237D8"/>
    <w:rsid w:val="00A258F7"/>
    <w:rsid w:val="00A268C4"/>
    <w:rsid w:val="00A307CD"/>
    <w:rsid w:val="00A331C8"/>
    <w:rsid w:val="00A40A00"/>
    <w:rsid w:val="00A4142F"/>
    <w:rsid w:val="00A422EB"/>
    <w:rsid w:val="00A45BB7"/>
    <w:rsid w:val="00A460EB"/>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AF42D7"/>
    <w:rsid w:val="00B011E4"/>
    <w:rsid w:val="00B03C9D"/>
    <w:rsid w:val="00B060AE"/>
    <w:rsid w:val="00B10517"/>
    <w:rsid w:val="00B14E76"/>
    <w:rsid w:val="00B161B8"/>
    <w:rsid w:val="00B2048C"/>
    <w:rsid w:val="00B2555C"/>
    <w:rsid w:val="00B310B9"/>
    <w:rsid w:val="00B35F3F"/>
    <w:rsid w:val="00B36CBB"/>
    <w:rsid w:val="00B425E0"/>
    <w:rsid w:val="00B43950"/>
    <w:rsid w:val="00B440AA"/>
    <w:rsid w:val="00B44B70"/>
    <w:rsid w:val="00B528B5"/>
    <w:rsid w:val="00B53C56"/>
    <w:rsid w:val="00B55D38"/>
    <w:rsid w:val="00B57DAF"/>
    <w:rsid w:val="00B77EA6"/>
    <w:rsid w:val="00B81598"/>
    <w:rsid w:val="00B841F1"/>
    <w:rsid w:val="00B90E4E"/>
    <w:rsid w:val="00B944D6"/>
    <w:rsid w:val="00B965DC"/>
    <w:rsid w:val="00BA05D9"/>
    <w:rsid w:val="00BB4DF0"/>
    <w:rsid w:val="00BC289F"/>
    <w:rsid w:val="00BC2D50"/>
    <w:rsid w:val="00BC5361"/>
    <w:rsid w:val="00BC5460"/>
    <w:rsid w:val="00BC6B50"/>
    <w:rsid w:val="00BD0E25"/>
    <w:rsid w:val="00BF5BD6"/>
    <w:rsid w:val="00C03E31"/>
    <w:rsid w:val="00C10626"/>
    <w:rsid w:val="00C33E72"/>
    <w:rsid w:val="00C354B2"/>
    <w:rsid w:val="00C35554"/>
    <w:rsid w:val="00C42709"/>
    <w:rsid w:val="00C533CC"/>
    <w:rsid w:val="00C5751C"/>
    <w:rsid w:val="00C61BFC"/>
    <w:rsid w:val="00C62B85"/>
    <w:rsid w:val="00C65438"/>
    <w:rsid w:val="00C815D0"/>
    <w:rsid w:val="00C87FD8"/>
    <w:rsid w:val="00C91381"/>
    <w:rsid w:val="00C91CBB"/>
    <w:rsid w:val="00CB0D2E"/>
    <w:rsid w:val="00CB4E70"/>
    <w:rsid w:val="00CB5732"/>
    <w:rsid w:val="00CC09B6"/>
    <w:rsid w:val="00CC666F"/>
    <w:rsid w:val="00CD1E3F"/>
    <w:rsid w:val="00CE44F6"/>
    <w:rsid w:val="00CE49DA"/>
    <w:rsid w:val="00CE7B61"/>
    <w:rsid w:val="00D00095"/>
    <w:rsid w:val="00D114F0"/>
    <w:rsid w:val="00D12E85"/>
    <w:rsid w:val="00D20620"/>
    <w:rsid w:val="00D254F7"/>
    <w:rsid w:val="00D26091"/>
    <w:rsid w:val="00D2685C"/>
    <w:rsid w:val="00D27DB4"/>
    <w:rsid w:val="00D34E7C"/>
    <w:rsid w:val="00D35489"/>
    <w:rsid w:val="00D36AFE"/>
    <w:rsid w:val="00D51276"/>
    <w:rsid w:val="00D7035F"/>
    <w:rsid w:val="00D81BCC"/>
    <w:rsid w:val="00D86138"/>
    <w:rsid w:val="00D90299"/>
    <w:rsid w:val="00DA634F"/>
    <w:rsid w:val="00DA65AC"/>
    <w:rsid w:val="00DB1913"/>
    <w:rsid w:val="00DC410D"/>
    <w:rsid w:val="00DC5A81"/>
    <w:rsid w:val="00DC68CA"/>
    <w:rsid w:val="00DC74B0"/>
    <w:rsid w:val="00DC7CBA"/>
    <w:rsid w:val="00DD73B7"/>
    <w:rsid w:val="00DE03D4"/>
    <w:rsid w:val="00DF28BC"/>
    <w:rsid w:val="00DF34B9"/>
    <w:rsid w:val="00E01053"/>
    <w:rsid w:val="00E07ACF"/>
    <w:rsid w:val="00E32CAD"/>
    <w:rsid w:val="00E331A1"/>
    <w:rsid w:val="00E33202"/>
    <w:rsid w:val="00E336A9"/>
    <w:rsid w:val="00E3676F"/>
    <w:rsid w:val="00E4684A"/>
    <w:rsid w:val="00E472B1"/>
    <w:rsid w:val="00E50624"/>
    <w:rsid w:val="00E568DF"/>
    <w:rsid w:val="00E64269"/>
    <w:rsid w:val="00E70975"/>
    <w:rsid w:val="00E82267"/>
    <w:rsid w:val="00E83D2B"/>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24F6"/>
    <w:rsid w:val="00F3275B"/>
    <w:rsid w:val="00F3623E"/>
    <w:rsid w:val="00F36D8F"/>
    <w:rsid w:val="00F417B1"/>
    <w:rsid w:val="00F45853"/>
    <w:rsid w:val="00F602DF"/>
    <w:rsid w:val="00F71A16"/>
    <w:rsid w:val="00F754A1"/>
    <w:rsid w:val="00F80733"/>
    <w:rsid w:val="00F81FD9"/>
    <w:rsid w:val="00F841AA"/>
    <w:rsid w:val="00F84A94"/>
    <w:rsid w:val="00F87E96"/>
    <w:rsid w:val="00FA23E8"/>
    <w:rsid w:val="00FB4B2D"/>
    <w:rsid w:val="00FC4ABF"/>
    <w:rsid w:val="00FD3CC1"/>
    <w:rsid w:val="00FF1E02"/>
    <w:rsid w:val="00FF30B4"/>
    <w:rsid w:val="0A2032A3"/>
    <w:rsid w:val="0B333DE8"/>
    <w:rsid w:val="0DD644CE"/>
    <w:rsid w:val="0E786B27"/>
    <w:rsid w:val="10C055FF"/>
    <w:rsid w:val="118107EC"/>
    <w:rsid w:val="140611C4"/>
    <w:rsid w:val="16BB723D"/>
    <w:rsid w:val="1AAE412B"/>
    <w:rsid w:val="1D155CEE"/>
    <w:rsid w:val="20F52F64"/>
    <w:rsid w:val="22086108"/>
    <w:rsid w:val="240371BF"/>
    <w:rsid w:val="266A2776"/>
    <w:rsid w:val="29FD04D3"/>
    <w:rsid w:val="2DA8326E"/>
    <w:rsid w:val="314A69E7"/>
    <w:rsid w:val="319F7F4E"/>
    <w:rsid w:val="31FA04E7"/>
    <w:rsid w:val="326B7F22"/>
    <w:rsid w:val="37636DE9"/>
    <w:rsid w:val="39D202FC"/>
    <w:rsid w:val="3D785372"/>
    <w:rsid w:val="4AC52754"/>
    <w:rsid w:val="4C871F97"/>
    <w:rsid w:val="4ECE2238"/>
    <w:rsid w:val="5017613A"/>
    <w:rsid w:val="58910C69"/>
    <w:rsid w:val="5F07749F"/>
    <w:rsid w:val="622251E2"/>
    <w:rsid w:val="68C03F7B"/>
    <w:rsid w:val="6C4A05C8"/>
    <w:rsid w:val="6C6D5D2C"/>
    <w:rsid w:val="72734D90"/>
    <w:rsid w:val="7D4F04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semiHidden="0" w:name="toc 4"/>
    <w:lsdException w:qFormat="1" w:uiPriority="39" w:semiHidden="0" w:name="toc 5"/>
    <w:lsdException w:uiPriority="39" w:semiHidden="0" w:name="toc 6"/>
    <w:lsdException w:qFormat="1" w:uiPriority="39" w:semiHidden="0" w:name="toc 7"/>
    <w:lsdException w:uiPriority="39" w:semiHidden="0" w:name="toc 8"/>
    <w:lsdException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3"/>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24"/>
    <w:qFormat/>
    <w:uiPriority w:val="9"/>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1260"/>
      <w:jc w:val="left"/>
    </w:pPr>
    <w:rPr>
      <w:rFonts w:asciiTheme="minorHAnsi" w:eastAsiaTheme="minorHAnsi"/>
      <w:sz w:val="18"/>
      <w:szCs w:val="18"/>
    </w:rPr>
  </w:style>
  <w:style w:type="paragraph" w:styleId="6">
    <w:name w:val="Body Text"/>
    <w:basedOn w:val="1"/>
    <w:link w:val="31"/>
    <w:qFormat/>
    <w:uiPriority w:val="99"/>
    <w:pPr>
      <w:spacing w:beforeLines="30"/>
    </w:pPr>
    <w:rPr>
      <w:rFonts w:ascii="仿宋_GB2312" w:eastAsia="仿宋_GB2312"/>
      <w:kern w:val="0"/>
      <w:sz w:val="24"/>
      <w:szCs w:val="20"/>
      <w:lang w:val="zh-CN"/>
    </w:rPr>
  </w:style>
  <w:style w:type="paragraph" w:styleId="7">
    <w:name w:val="toc 5"/>
    <w:basedOn w:val="1"/>
    <w:next w:val="1"/>
    <w:unhideWhenUsed/>
    <w:qFormat/>
    <w:uiPriority w:val="39"/>
    <w:pPr>
      <w:ind w:left="840"/>
      <w:jc w:val="left"/>
    </w:pPr>
    <w:rPr>
      <w:rFonts w:asciiTheme="minorHAnsi" w:eastAsiaTheme="minorHAnsi"/>
      <w:sz w:val="18"/>
      <w:szCs w:val="18"/>
    </w:rPr>
  </w:style>
  <w:style w:type="paragraph" w:styleId="8">
    <w:name w:val="toc 3"/>
    <w:basedOn w:val="1"/>
    <w:next w:val="1"/>
    <w:unhideWhenUsed/>
    <w:qFormat/>
    <w:uiPriority w:val="39"/>
    <w:pPr>
      <w:ind w:left="420"/>
      <w:jc w:val="left"/>
    </w:pPr>
    <w:rPr>
      <w:rFonts w:asciiTheme="minorHAnsi" w:eastAsiaTheme="minorHAnsi"/>
      <w:i/>
      <w:iCs/>
      <w:sz w:val="20"/>
      <w:szCs w:val="20"/>
    </w:rPr>
  </w:style>
  <w:style w:type="paragraph" w:styleId="9">
    <w:name w:val="toc 8"/>
    <w:basedOn w:val="1"/>
    <w:next w:val="1"/>
    <w:unhideWhenUsed/>
    <w:uiPriority w:val="39"/>
    <w:pPr>
      <w:ind w:left="1470"/>
      <w:jc w:val="left"/>
    </w:pPr>
    <w:rPr>
      <w:rFonts w:asciiTheme="minorHAnsi" w:eastAsiaTheme="minorHAnsi"/>
      <w:sz w:val="18"/>
      <w:szCs w:val="18"/>
    </w:rPr>
  </w:style>
  <w:style w:type="paragraph" w:styleId="10">
    <w:name w:val="Balloon Text"/>
    <w:basedOn w:val="1"/>
    <w:link w:val="26"/>
    <w:semiHidden/>
    <w:unhideWhenUsed/>
    <w:qFormat/>
    <w:uiPriority w:val="99"/>
    <w:rPr>
      <w:sz w:val="18"/>
      <w:szCs w:val="18"/>
    </w:rPr>
  </w:style>
  <w:style w:type="paragraph" w:styleId="11">
    <w:name w:val="footer"/>
    <w:basedOn w:val="1"/>
    <w:link w:val="30"/>
    <w:qFormat/>
    <w:uiPriority w:val="99"/>
    <w:pPr>
      <w:tabs>
        <w:tab w:val="center" w:pos="4153"/>
        <w:tab w:val="right" w:pos="8306"/>
      </w:tabs>
      <w:snapToGrid w:val="0"/>
      <w:jc w:val="left"/>
    </w:pPr>
    <w:rPr>
      <w:rFonts w:ascii="Calibri" w:hAnsi="Calibri"/>
      <w:kern w:val="0"/>
      <w:sz w:val="18"/>
      <w:szCs w:val="20"/>
      <w:lang w:val="zh-CN"/>
    </w:rPr>
  </w:style>
  <w:style w:type="paragraph" w:styleId="12">
    <w:name w:val="header"/>
    <w:basedOn w:val="1"/>
    <w:link w:val="29"/>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3">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4">
    <w:name w:val="toc 4"/>
    <w:basedOn w:val="1"/>
    <w:next w:val="1"/>
    <w:unhideWhenUsed/>
    <w:uiPriority w:val="39"/>
    <w:pPr>
      <w:ind w:left="630"/>
      <w:jc w:val="left"/>
    </w:pPr>
    <w:rPr>
      <w:rFonts w:asciiTheme="minorHAnsi" w:eastAsiaTheme="minorHAnsi"/>
      <w:sz w:val="18"/>
      <w:szCs w:val="18"/>
    </w:rPr>
  </w:style>
  <w:style w:type="paragraph" w:styleId="15">
    <w:name w:val="toc 6"/>
    <w:basedOn w:val="1"/>
    <w:next w:val="1"/>
    <w:unhideWhenUsed/>
    <w:uiPriority w:val="39"/>
    <w:pPr>
      <w:ind w:left="1050"/>
      <w:jc w:val="left"/>
    </w:pPr>
    <w:rPr>
      <w:rFonts w:asciiTheme="minorHAnsi" w:eastAsiaTheme="minorHAnsi"/>
      <w:sz w:val="18"/>
      <w:szCs w:val="18"/>
    </w:rPr>
  </w:style>
  <w:style w:type="paragraph" w:styleId="16">
    <w:name w:val="toc 2"/>
    <w:basedOn w:val="1"/>
    <w:next w:val="1"/>
    <w:unhideWhenUsed/>
    <w:qFormat/>
    <w:uiPriority w:val="39"/>
    <w:pPr>
      <w:ind w:left="210"/>
      <w:jc w:val="left"/>
    </w:pPr>
    <w:rPr>
      <w:rFonts w:asciiTheme="minorHAnsi" w:eastAsiaTheme="minorHAnsi"/>
      <w:smallCaps/>
      <w:sz w:val="20"/>
      <w:szCs w:val="20"/>
    </w:rPr>
  </w:style>
  <w:style w:type="paragraph" w:styleId="17">
    <w:name w:val="toc 9"/>
    <w:basedOn w:val="1"/>
    <w:next w:val="1"/>
    <w:unhideWhenUsed/>
    <w:uiPriority w:val="39"/>
    <w:pPr>
      <w:ind w:left="1680"/>
      <w:jc w:val="left"/>
    </w:pPr>
    <w:rPr>
      <w:rFonts w:asciiTheme="minorHAnsi" w:eastAsiaTheme="minorHAnsi"/>
      <w:sz w:val="18"/>
      <w:szCs w:val="18"/>
    </w:rPr>
  </w:style>
  <w:style w:type="character" w:styleId="20">
    <w:name w:val="Strong"/>
    <w:basedOn w:val="19"/>
    <w:qFormat/>
    <w:uiPriority w:val="99"/>
    <w:rPr>
      <w:rFonts w:cs="Times New Roman"/>
      <w:b/>
    </w:rPr>
  </w:style>
  <w:style w:type="character" w:styleId="21">
    <w:name w:val="Hyperlink"/>
    <w:basedOn w:val="19"/>
    <w:unhideWhenUsed/>
    <w:qFormat/>
    <w:uiPriority w:val="99"/>
    <w:rPr>
      <w:rFonts w:cs="Times New Roman"/>
      <w:color w:val="0000FF"/>
      <w:u w:val="single"/>
    </w:rPr>
  </w:style>
  <w:style w:type="character" w:customStyle="1" w:styleId="22">
    <w:name w:val="标题 1 Char"/>
    <w:basedOn w:val="19"/>
    <w:link w:val="2"/>
    <w:qFormat/>
    <w:locked/>
    <w:uiPriority w:val="9"/>
    <w:rPr>
      <w:rFonts w:ascii="Times New Roman" w:hAnsi="Times New Roman" w:cs="Times New Roman"/>
      <w:b/>
      <w:bCs/>
      <w:kern w:val="44"/>
      <w:sz w:val="44"/>
      <w:szCs w:val="44"/>
    </w:rPr>
  </w:style>
  <w:style w:type="character" w:customStyle="1" w:styleId="23">
    <w:name w:val="标题 2 Char"/>
    <w:basedOn w:val="19"/>
    <w:link w:val="3"/>
    <w:qFormat/>
    <w:locked/>
    <w:uiPriority w:val="9"/>
    <w:rPr>
      <w:rFonts w:ascii="Cambria" w:hAnsi="Cambria" w:eastAsia="宋体" w:cs="Times New Roman"/>
      <w:b/>
      <w:bCs/>
      <w:kern w:val="2"/>
      <w:sz w:val="32"/>
      <w:szCs w:val="32"/>
    </w:rPr>
  </w:style>
  <w:style w:type="character" w:customStyle="1" w:styleId="24">
    <w:name w:val="标题 3 Char"/>
    <w:basedOn w:val="19"/>
    <w:link w:val="4"/>
    <w:qFormat/>
    <w:locked/>
    <w:uiPriority w:val="9"/>
    <w:rPr>
      <w:rFonts w:ascii="Times New Roman" w:hAnsi="Times New Roman" w:cs="Times New Roman"/>
      <w:b/>
      <w:bCs/>
      <w:kern w:val="2"/>
      <w:sz w:val="32"/>
      <w:szCs w:val="32"/>
    </w:rPr>
  </w:style>
  <w:style w:type="character" w:customStyle="1" w:styleId="25">
    <w:name w:val="Body Text Char"/>
    <w:basedOn w:val="19"/>
    <w:semiHidden/>
    <w:qFormat/>
    <w:uiPriority w:val="99"/>
    <w:rPr>
      <w:rFonts w:ascii="Times New Roman" w:hAnsi="Times New Roman" w:cs="Times New Roman"/>
      <w:sz w:val="24"/>
      <w:szCs w:val="24"/>
    </w:rPr>
  </w:style>
  <w:style w:type="character" w:customStyle="1" w:styleId="26">
    <w:name w:val="批注框文本 Char"/>
    <w:basedOn w:val="19"/>
    <w:link w:val="10"/>
    <w:semiHidden/>
    <w:qFormat/>
    <w:locked/>
    <w:uiPriority w:val="99"/>
    <w:rPr>
      <w:rFonts w:ascii="Times New Roman" w:hAnsi="Times New Roman" w:cs="Times New Roman"/>
      <w:kern w:val="2"/>
      <w:sz w:val="18"/>
      <w:szCs w:val="18"/>
    </w:rPr>
  </w:style>
  <w:style w:type="character" w:customStyle="1" w:styleId="27">
    <w:name w:val="Footer Char"/>
    <w:basedOn w:val="19"/>
    <w:semiHidden/>
    <w:qFormat/>
    <w:uiPriority w:val="99"/>
    <w:rPr>
      <w:rFonts w:ascii="Times New Roman" w:hAnsi="Times New Roman" w:cs="Times New Roman"/>
      <w:sz w:val="18"/>
      <w:szCs w:val="18"/>
    </w:rPr>
  </w:style>
  <w:style w:type="character" w:customStyle="1" w:styleId="28">
    <w:name w:val="Header Char"/>
    <w:basedOn w:val="19"/>
    <w:semiHidden/>
    <w:qFormat/>
    <w:uiPriority w:val="99"/>
    <w:rPr>
      <w:rFonts w:ascii="Times New Roman" w:hAnsi="Times New Roman" w:cs="Times New Roman"/>
      <w:sz w:val="18"/>
      <w:szCs w:val="18"/>
    </w:rPr>
  </w:style>
  <w:style w:type="character" w:customStyle="1" w:styleId="29">
    <w:name w:val="页眉 Char"/>
    <w:link w:val="12"/>
    <w:semiHidden/>
    <w:qFormat/>
    <w:locked/>
    <w:uiPriority w:val="99"/>
    <w:rPr>
      <w:sz w:val="18"/>
    </w:rPr>
  </w:style>
  <w:style w:type="character" w:customStyle="1" w:styleId="30">
    <w:name w:val="页脚 Char"/>
    <w:link w:val="11"/>
    <w:qFormat/>
    <w:locked/>
    <w:uiPriority w:val="99"/>
    <w:rPr>
      <w:sz w:val="18"/>
    </w:rPr>
  </w:style>
  <w:style w:type="character" w:customStyle="1" w:styleId="31">
    <w:name w:val="正文文本 Char"/>
    <w:link w:val="6"/>
    <w:qFormat/>
    <w:locked/>
    <w:uiPriority w:val="99"/>
    <w:rPr>
      <w:rFonts w:ascii="仿宋_GB2312" w:hAnsi="Times New Roman" w:eastAsia="仿宋_GB2312"/>
      <w:sz w:val="24"/>
    </w:rPr>
  </w:style>
  <w:style w:type="paragraph" w:customStyle="1" w:styleId="3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3">
    <w:name w:val="列表段落1"/>
    <w:basedOn w:val="1"/>
    <w:qFormat/>
    <w:uiPriority w:val="34"/>
    <w:pPr>
      <w:ind w:firstLine="420" w:firstLineChars="200"/>
    </w:pPr>
  </w:style>
  <w:style w:type="paragraph" w:customStyle="1" w:styleId="34">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5">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6">
    <w:name w:val="TOC 标题2"/>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496" w:themeColor="accent1" w:themeShade="BF"/>
      <w:kern w:val="0"/>
      <w:sz w:val="32"/>
      <w:szCs w:val="32"/>
    </w:rPr>
  </w:style>
  <w:style w:type="paragraph" w:styleId="37">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dLbls>
            <c:delete val="1"/>
          </c:dLbls>
          <c:cat>
            <c:strRef>
              <c:f>Sheet1!$A$1:$D$1</c:f>
              <c:strCache>
                <c:ptCount val="4"/>
                <c:pt idx="0">
                  <c:v>2019年总收入</c:v>
                </c:pt>
                <c:pt idx="1">
                  <c:v>2020年总收入</c:v>
                </c:pt>
                <c:pt idx="2">
                  <c:v>2019年总支出</c:v>
                </c:pt>
                <c:pt idx="3">
                  <c:v>2020年总支出</c:v>
                </c:pt>
              </c:strCache>
            </c:strRef>
          </c:cat>
          <c:val>
            <c:numRef>
              <c:f>Sheet1!$A$2:$D$2</c:f>
              <c:numCache>
                <c:formatCode>General</c:formatCode>
                <c:ptCount val="4"/>
                <c:pt idx="0">
                  <c:v>1089.46</c:v>
                </c:pt>
                <c:pt idx="1">
                  <c:v>1021.91</c:v>
                </c:pt>
                <c:pt idx="2">
                  <c:v>1089.46</c:v>
                </c:pt>
                <c:pt idx="3">
                  <c:v>1021.91</c:v>
                </c:pt>
              </c:numCache>
            </c:numRef>
          </c:val>
        </c:ser>
        <c:ser>
          <c:idx val="1"/>
          <c:order val="1"/>
          <c:invertIfNegative val="0"/>
          <c:dLbls>
            <c:delete val="1"/>
          </c:dLbls>
          <c:cat>
            <c:strRef>
              <c:f>Sheet1!$A$1:$D$1</c:f>
              <c:strCache>
                <c:ptCount val="4"/>
                <c:pt idx="0">
                  <c:v>2019年总收入</c:v>
                </c:pt>
                <c:pt idx="1">
                  <c:v>2020年总收入</c:v>
                </c:pt>
                <c:pt idx="2">
                  <c:v>2019年总支出</c:v>
                </c:pt>
                <c:pt idx="3">
                  <c:v>2020年总支出</c:v>
                </c:pt>
              </c:strCache>
            </c:strRef>
          </c:cat>
          <c:val>
            <c:numRef>
              <c:f>Sheet1!$A$3:$D$3</c:f>
              <c:numCache>
                <c:formatCode>General</c:formatCode>
                <c:ptCount val="4"/>
              </c:numCache>
            </c:numRef>
          </c:val>
        </c:ser>
        <c:ser>
          <c:idx val="2"/>
          <c:order val="2"/>
          <c:invertIfNegative val="0"/>
          <c:dLbls>
            <c:delete val="1"/>
          </c:dLbls>
          <c:cat>
            <c:strRef>
              <c:f>Sheet1!$A$1:$D$1</c:f>
              <c:strCache>
                <c:ptCount val="4"/>
                <c:pt idx="0">
                  <c:v>2019年总收入</c:v>
                </c:pt>
                <c:pt idx="1">
                  <c:v>2020年总收入</c:v>
                </c:pt>
                <c:pt idx="2">
                  <c:v>2019年总支出</c:v>
                </c:pt>
                <c:pt idx="3">
                  <c:v>2020年总支出</c:v>
                </c:pt>
              </c:strCache>
            </c:strRef>
          </c:cat>
          <c:val>
            <c:numRef>
              <c:f>Sheet1!$A$4:$D$4</c:f>
              <c:numCache>
                <c:formatCode>General</c:formatCode>
                <c:ptCount val="4"/>
              </c:numCache>
            </c:numRef>
          </c:val>
        </c:ser>
        <c:dLbls>
          <c:showLegendKey val="0"/>
          <c:showVal val="0"/>
          <c:showCatName val="0"/>
          <c:showSerName val="0"/>
          <c:showPercent val="0"/>
          <c:showBubbleSize val="0"/>
        </c:dLbls>
        <c:gapWidth val="150"/>
        <c:axId val="111261952"/>
        <c:axId val="111313280"/>
      </c:barChart>
      <c:catAx>
        <c:axId val="111261952"/>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1313280"/>
        <c:crosses val="autoZero"/>
        <c:auto val="1"/>
        <c:lblAlgn val="ctr"/>
        <c:lblOffset val="100"/>
        <c:noMultiLvlLbl val="0"/>
      </c:catAx>
      <c:valAx>
        <c:axId val="11131328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1261952"/>
        <c:crosses val="autoZero"/>
        <c:crossBetween val="between"/>
      </c:valAx>
      <c:spPr>
        <a:solidFill>
          <a:schemeClr val="bg1"/>
        </a:solid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dPt>
          <c:dPt>
            <c:idx val="1"/>
            <c:bubble3D val="0"/>
          </c:dPt>
          <c:dPt>
            <c:idx val="2"/>
            <c:bubble3D val="0"/>
          </c:dPt>
          <c:dPt>
            <c:idx val="3"/>
            <c:bubble3D val="0"/>
          </c:dPt>
          <c:dPt>
            <c:idx val="4"/>
            <c:bubble3D val="0"/>
          </c:dPt>
          <c:dPt>
            <c:idx val="5"/>
            <c:bubble3D val="0"/>
          </c:dPt>
          <c:dLbls>
            <c:delete val="1"/>
          </c:dLbls>
          <c:cat>
            <c:strRef>
              <c:f>Sheet1!$A$17:$F$17</c:f>
              <c:strCache>
                <c:ptCount val="6"/>
                <c:pt idx="0">
                  <c:v>一般公共预算财政拨款收入</c:v>
                </c:pt>
                <c:pt idx="1">
                  <c:v>政府性基金预算财政拨款收入</c:v>
                </c:pt>
                <c:pt idx="2">
                  <c:v>上级补助收入</c:v>
                </c:pt>
                <c:pt idx="3">
                  <c:v>事业收入</c:v>
                </c:pt>
                <c:pt idx="4">
                  <c:v>经营收入</c:v>
                </c:pt>
                <c:pt idx="5">
                  <c:v>其他收入</c:v>
                </c:pt>
              </c:strCache>
            </c:strRef>
          </c:cat>
          <c:val>
            <c:numRef>
              <c:f>Sheet1!$A$18:$F$18</c:f>
              <c:numCache>
                <c:formatCode>General</c:formatCode>
                <c:ptCount val="6"/>
                <c:pt idx="0">
                  <c:v>1021.91</c:v>
                </c:pt>
                <c:pt idx="1">
                  <c:v>0</c:v>
                </c:pt>
                <c:pt idx="2">
                  <c:v>0</c:v>
                </c:pt>
                <c:pt idx="3">
                  <c:v>0</c:v>
                </c:pt>
                <c:pt idx="4">
                  <c:v>0</c:v>
                </c:pt>
                <c:pt idx="5">
                  <c:v>0</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25"/>
          <c:dPt>
            <c:idx val="0"/>
            <c:bubble3D val="0"/>
          </c:dPt>
          <c:dPt>
            <c:idx val="1"/>
            <c:bubble3D val="0"/>
          </c:dPt>
          <c:dPt>
            <c:idx val="2"/>
            <c:bubble3D val="0"/>
          </c:dPt>
          <c:dPt>
            <c:idx val="3"/>
            <c:bubble3D val="0"/>
          </c:dPt>
          <c:dLbls>
            <c:delete val="1"/>
          </c:dLbls>
          <c:cat>
            <c:strRef>
              <c:f>Sheet1!$A$21:$D$21</c:f>
              <c:strCache>
                <c:ptCount val="4"/>
                <c:pt idx="0">
                  <c:v>基本支出</c:v>
                </c:pt>
                <c:pt idx="1">
                  <c:v>项目支出</c:v>
                </c:pt>
                <c:pt idx="2">
                  <c:v>上缴上级支出</c:v>
                </c:pt>
                <c:pt idx="3">
                  <c:v>经营支出</c:v>
                </c:pt>
              </c:strCache>
            </c:strRef>
          </c:cat>
          <c:val>
            <c:numRef>
              <c:f>Sheet1!$A$22:$D$22</c:f>
              <c:numCache>
                <c:formatCode>General</c:formatCode>
                <c:ptCount val="4"/>
                <c:pt idx="0">
                  <c:v>1021.91</c:v>
                </c:pt>
              </c:numCache>
            </c:numRef>
          </c:val>
        </c:ser>
        <c:ser>
          <c:idx val="1"/>
          <c:order val="1"/>
          <c:explosion val="25"/>
          <c:dPt>
            <c:idx val="0"/>
            <c:bubble3D val="0"/>
          </c:dPt>
          <c:dPt>
            <c:idx val="1"/>
            <c:bubble3D val="0"/>
          </c:dPt>
          <c:dPt>
            <c:idx val="2"/>
            <c:bubble3D val="0"/>
          </c:dPt>
          <c:dPt>
            <c:idx val="3"/>
            <c:bubble3D val="0"/>
          </c:dPt>
          <c:dLbls>
            <c:delete val="1"/>
          </c:dLbls>
          <c:cat>
            <c:strRef>
              <c:f>Sheet1!$A$21:$D$21</c:f>
              <c:strCache>
                <c:ptCount val="4"/>
                <c:pt idx="0">
                  <c:v>基本支出</c:v>
                </c:pt>
                <c:pt idx="1">
                  <c:v>项目支出</c:v>
                </c:pt>
                <c:pt idx="2">
                  <c:v>上缴上级支出</c:v>
                </c:pt>
                <c:pt idx="3">
                  <c:v>经营支出</c:v>
                </c:pt>
              </c:strCache>
            </c:strRef>
          </c:cat>
          <c:val>
            <c:numRef>
              <c:f>Sheet1!$A$23:$D$23</c:f>
              <c:numCache>
                <c:formatCode>General</c:formatCode>
                <c:ptCount val="4"/>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dLbls>
            <c:delete val="1"/>
          </c:dLbls>
          <c:cat>
            <c:strRef>
              <c:f>Sheet1!$A$26:$D$26</c:f>
              <c:strCache>
                <c:ptCount val="4"/>
                <c:pt idx="0">
                  <c:v>2019年收入总计</c:v>
                </c:pt>
                <c:pt idx="1">
                  <c:v>2020年收入总计</c:v>
                </c:pt>
                <c:pt idx="2">
                  <c:v>2019年支出总计</c:v>
                </c:pt>
                <c:pt idx="3">
                  <c:v>2020年支出总计</c:v>
                </c:pt>
              </c:strCache>
            </c:strRef>
          </c:cat>
          <c:val>
            <c:numRef>
              <c:f>Sheet1!$A$27:$D$27</c:f>
              <c:numCache>
                <c:formatCode>General</c:formatCode>
                <c:ptCount val="4"/>
                <c:pt idx="0">
                  <c:v>1089.46</c:v>
                </c:pt>
                <c:pt idx="1">
                  <c:v>1021.91</c:v>
                </c:pt>
                <c:pt idx="2">
                  <c:v>1089.46</c:v>
                </c:pt>
                <c:pt idx="3">
                  <c:v>1021.91</c:v>
                </c:pt>
              </c:numCache>
            </c:numRef>
          </c:val>
        </c:ser>
        <c:ser>
          <c:idx val="1"/>
          <c:order val="1"/>
          <c:invertIfNegative val="0"/>
          <c:dLbls>
            <c:delete val="1"/>
          </c:dLbls>
          <c:cat>
            <c:strRef>
              <c:f>Sheet1!$A$26:$D$26</c:f>
              <c:strCache>
                <c:ptCount val="4"/>
                <c:pt idx="0">
                  <c:v>2019年收入总计</c:v>
                </c:pt>
                <c:pt idx="1">
                  <c:v>2020年收入总计</c:v>
                </c:pt>
                <c:pt idx="2">
                  <c:v>2019年支出总计</c:v>
                </c:pt>
                <c:pt idx="3">
                  <c:v>2020年支出总计</c:v>
                </c:pt>
              </c:strCache>
            </c:strRef>
          </c:cat>
          <c:val>
            <c:numRef>
              <c:f>Sheet1!$A$28:$D$28</c:f>
              <c:numCache>
                <c:formatCode>General</c:formatCode>
                <c:ptCount val="4"/>
              </c:numCache>
            </c:numRef>
          </c:val>
        </c:ser>
        <c:dLbls>
          <c:showLegendKey val="0"/>
          <c:showVal val="0"/>
          <c:showCatName val="0"/>
          <c:showSerName val="0"/>
          <c:showPercent val="0"/>
          <c:showBubbleSize val="0"/>
        </c:dLbls>
        <c:gapWidth val="150"/>
        <c:axId val="111495808"/>
        <c:axId val="111505792"/>
      </c:barChart>
      <c:catAx>
        <c:axId val="111495808"/>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1505792"/>
        <c:crosses val="autoZero"/>
        <c:auto val="1"/>
        <c:lblAlgn val="ctr"/>
        <c:lblOffset val="100"/>
        <c:noMultiLvlLbl val="0"/>
      </c:catAx>
      <c:valAx>
        <c:axId val="11150579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1495808"/>
        <c:crosses val="autoZero"/>
        <c:crossBetween val="between"/>
      </c:valAx>
      <c:spPr>
        <a:solidFill>
          <a:schemeClr val="bg1"/>
        </a:solid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invertIfNegative val="0"/>
          <c:dLbls>
            <c:delete val="1"/>
          </c:dLbls>
          <c:cat>
            <c:strRef>
              <c:f>Sheet1!$A$31:$B$31</c:f>
              <c:strCache>
                <c:ptCount val="2"/>
                <c:pt idx="0">
                  <c:v>2019一般公共预算财政拨款支出</c:v>
                </c:pt>
                <c:pt idx="1">
                  <c:v>2020一般公共预算财政拨款支出</c:v>
                </c:pt>
              </c:strCache>
            </c:strRef>
          </c:cat>
          <c:val>
            <c:numRef>
              <c:f>Sheet1!$A$32:$B$32</c:f>
              <c:numCache>
                <c:formatCode>General</c:formatCode>
                <c:ptCount val="2"/>
                <c:pt idx="0">
                  <c:v>1089.46</c:v>
                </c:pt>
                <c:pt idx="1">
                  <c:v>1021.91</c:v>
                </c:pt>
              </c:numCache>
            </c:numRef>
          </c:val>
        </c:ser>
        <c:ser>
          <c:idx val="1"/>
          <c:order val="1"/>
          <c:invertIfNegative val="0"/>
          <c:dLbls>
            <c:delete val="1"/>
          </c:dLbls>
          <c:cat>
            <c:strRef>
              <c:f>Sheet1!$A$31:$B$31</c:f>
              <c:strCache>
                <c:ptCount val="2"/>
                <c:pt idx="0">
                  <c:v>2019一般公共预算财政拨款支出</c:v>
                </c:pt>
                <c:pt idx="1">
                  <c:v>2020一般公共预算财政拨款支出</c:v>
                </c:pt>
              </c:strCache>
            </c:strRef>
          </c:cat>
          <c:val>
            <c:numRef>
              <c:f>Sheet1!$A$33:$B$33</c:f>
              <c:numCache>
                <c:formatCode>General</c:formatCode>
                <c:ptCount val="2"/>
              </c:numCache>
            </c:numRef>
          </c:val>
        </c:ser>
        <c:dLbls>
          <c:showLegendKey val="0"/>
          <c:showVal val="0"/>
          <c:showCatName val="0"/>
          <c:showSerName val="0"/>
          <c:showPercent val="0"/>
          <c:showBubbleSize val="0"/>
        </c:dLbls>
        <c:gapWidth val="150"/>
        <c:overlap val="100"/>
        <c:axId val="111513984"/>
        <c:axId val="111515520"/>
      </c:barChart>
      <c:catAx>
        <c:axId val="111513984"/>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1515520"/>
        <c:crosses val="autoZero"/>
        <c:auto val="1"/>
        <c:lblAlgn val="ctr"/>
        <c:lblOffset val="100"/>
        <c:noMultiLvlLbl val="0"/>
      </c:catAx>
      <c:valAx>
        <c:axId val="111515520"/>
        <c:scaling>
          <c:orientation val="minMax"/>
        </c:scaling>
        <c:delete val="0"/>
        <c:axPos val="l"/>
        <c:majorGridlines/>
        <c:numFmt formatCode="0%"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1513984"/>
        <c:crosses val="autoZero"/>
        <c:crossBetween val="between"/>
      </c:valAx>
      <c:spPr>
        <a:solidFill>
          <a:schemeClr val="bg1"/>
        </a:solid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dPt>
          <c:dPt>
            <c:idx val="1"/>
            <c:bubble3D val="0"/>
          </c:dPt>
          <c:dPt>
            <c:idx val="2"/>
            <c:bubble3D val="0"/>
          </c:dPt>
          <c:dLbls>
            <c:delete val="1"/>
          </c:dLbls>
          <c:cat>
            <c:strRef>
              <c:f>Sheet1!$A$36:$C$36</c:f>
              <c:strCache>
                <c:ptCount val="3"/>
                <c:pt idx="0">
                  <c:v>社会保障和就业（类）支出</c:v>
                </c:pt>
                <c:pt idx="1">
                  <c:v>卫生健康支出</c:v>
                </c:pt>
                <c:pt idx="2">
                  <c:v>住房保障支出</c:v>
                </c:pt>
              </c:strCache>
            </c:strRef>
          </c:cat>
          <c:val>
            <c:numRef>
              <c:f>Sheet1!$A$37:$C$37</c:f>
              <c:numCache>
                <c:formatCode>General</c:formatCode>
                <c:ptCount val="3"/>
                <c:pt idx="0">
                  <c:v>897.08</c:v>
                </c:pt>
                <c:pt idx="1">
                  <c:v>42.37</c:v>
                </c:pt>
                <c:pt idx="2">
                  <c:v>82.46</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7E16B63-20C8-41C4-B51D-F9A4DE54D6D8}">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25</Pages>
  <Words>1718</Words>
  <Characters>9797</Characters>
  <Lines>81</Lines>
  <Paragraphs>22</Paragraphs>
  <TotalTime>261</TotalTime>
  <ScaleCrop>false</ScaleCrop>
  <LinksUpToDate>false</LinksUpToDate>
  <CharactersWithSpaces>11493</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Administrator</cp:lastModifiedBy>
  <cp:lastPrinted>2021-10-21T06:51:00Z</cp:lastPrinted>
  <dcterms:modified xsi:type="dcterms:W3CDTF">2021-10-21T08:08:38Z</dcterms:modified>
  <dc:title>阿坝州部门决算说明</dc:title>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60B02156A395400BB8A8E2439A58344A</vt:lpwstr>
  </property>
</Properties>
</file>