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spacing w:line="560" w:lineRule="exact"/>
        <w:jc w:val="center"/>
        <w:rPr>
          <w:rFonts w:ascii="方正小标宋_GBK" w:hAnsi="方正小标宋_GBK" w:eastAsia="方正小标宋_GBK" w:cs="方正小标宋_GBK"/>
          <w:sz w:val="52"/>
          <w:szCs w:val="52"/>
        </w:rPr>
      </w:pPr>
      <w:bookmarkStart w:id="1" w:name="_Toc15396475"/>
      <w:bookmarkStart w:id="2" w:name="_Toc15378441"/>
      <w:bookmarkStart w:id="3" w:name="_Toc15396597"/>
      <w:bookmarkStart w:id="4" w:name="_Toc15377425"/>
      <w:bookmarkStart w:id="5" w:name="_Toc15377193"/>
      <w:r>
        <w:rPr>
          <w:rFonts w:hint="eastAsia" w:ascii="方正小标宋_GBK" w:hAnsi="方正小标宋_GBK" w:eastAsia="方正小标宋_GBK" w:cs="方正小标宋_GBK"/>
          <w:sz w:val="52"/>
          <w:szCs w:val="52"/>
        </w:rPr>
        <w:t>202</w:t>
      </w:r>
      <w:r>
        <w:rPr>
          <w:rFonts w:hint="eastAsia" w:ascii="方正小标宋_GBK" w:hAnsi="方正小标宋_GBK" w:eastAsia="方正小标宋_GBK" w:cs="方正小标宋_GBK"/>
          <w:sz w:val="52"/>
          <w:szCs w:val="52"/>
          <w:lang w:val="en-US" w:eastAsia="zh-CN"/>
        </w:rPr>
        <w:t>1</w:t>
      </w:r>
      <w:r>
        <w:rPr>
          <w:rFonts w:hint="eastAsia" w:ascii="方正小标宋_GBK" w:hAnsi="方正小标宋_GBK" w:eastAsia="方正小标宋_GBK" w:cs="方正小标宋_GBK"/>
          <w:sz w:val="52"/>
          <w:szCs w:val="52"/>
        </w:rPr>
        <w:t>年度</w:t>
      </w:r>
      <w:bookmarkEnd w:id="1"/>
      <w:bookmarkEnd w:id="2"/>
      <w:bookmarkEnd w:id="3"/>
      <w:bookmarkEnd w:id="4"/>
      <w:bookmarkEnd w:id="5"/>
      <w:bookmarkStart w:id="6" w:name="_Toc15377426"/>
      <w:bookmarkStart w:id="7" w:name="_Toc15396598"/>
      <w:bookmarkStart w:id="8" w:name="_Toc15396476"/>
      <w:bookmarkStart w:id="9" w:name="_Toc15378442"/>
      <w:bookmarkStart w:id="10" w:name="_Toc15377194"/>
      <w:r>
        <w:rPr>
          <w:rFonts w:hint="eastAsia" w:ascii="方正小标宋_GBK" w:hAnsi="方正小标宋_GBK" w:eastAsia="方正小标宋_GBK" w:cs="方正小标宋_GBK"/>
          <w:sz w:val="52"/>
          <w:szCs w:val="52"/>
        </w:rPr>
        <w:t>四川省阿坝</w:t>
      </w:r>
      <w:bookmarkStart w:id="11" w:name="_Toc15306268"/>
      <w:r>
        <w:rPr>
          <w:rFonts w:hint="eastAsia" w:ascii="方正小标宋_GBK" w:hAnsi="方正小标宋_GBK" w:eastAsia="方正小标宋_GBK" w:cs="方正小标宋_GBK"/>
          <w:sz w:val="52"/>
          <w:szCs w:val="52"/>
        </w:rPr>
        <w:t>州</w:t>
      </w:r>
    </w:p>
    <w:p>
      <w:pPr>
        <w:spacing w:line="560" w:lineRule="exact"/>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 xml:space="preserve"> 壤塘县社会救助福利服务中心</w:t>
      </w:r>
    </w:p>
    <w:p>
      <w:pPr>
        <w:spacing w:line="560" w:lineRule="exact"/>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保密审查情况：已审查，内容审定</w:t>
      </w:r>
    </w:p>
    <w:p>
      <w:pPr>
        <w:autoSpaceDE w:val="0"/>
        <w:autoSpaceDN w:val="0"/>
        <w:adjustRightInd w:val="0"/>
        <w:ind w:left="420" w:left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6"/>
        <w:jc w:val="center"/>
        <w:rPr>
          <w:rFonts w:hAnsiTheme="minorHAnsi"/>
          <w:b w:val="0"/>
          <w:bCs w:val="0"/>
          <w:sz w:val="24"/>
          <w:szCs w:val="24"/>
        </w:rPr>
      </w:pPr>
      <w:r>
        <w:rPr>
          <w:rFonts w:hint="eastAsia" w:hAnsiTheme="minorHAnsi"/>
          <w:b w:val="0"/>
          <w:bCs w:val="0"/>
          <w:sz w:val="24"/>
          <w:szCs w:val="24"/>
        </w:rPr>
        <w:t xml:space="preserve">公开时间：2022年 </w:t>
      </w:r>
      <w:r>
        <w:rPr>
          <w:rFonts w:hint="eastAsia" w:hAnsiTheme="minorHAnsi"/>
          <w:b w:val="0"/>
          <w:bCs w:val="0"/>
          <w:sz w:val="24"/>
          <w:szCs w:val="24"/>
          <w:lang w:val="en-US" w:eastAsia="zh-CN"/>
        </w:rPr>
        <w:t>10</w:t>
      </w:r>
      <w:r>
        <w:rPr>
          <w:rFonts w:hint="eastAsia" w:hAnsiTheme="minorHAnsi"/>
          <w:b w:val="0"/>
          <w:bCs w:val="0"/>
          <w:sz w:val="24"/>
          <w:szCs w:val="24"/>
        </w:rPr>
        <w:t xml:space="preserve">月 </w:t>
      </w:r>
      <w:r>
        <w:rPr>
          <w:rFonts w:hint="eastAsia" w:hAnsiTheme="minorHAnsi"/>
          <w:b w:val="0"/>
          <w:bCs w:val="0"/>
          <w:sz w:val="24"/>
          <w:szCs w:val="24"/>
          <w:lang w:val="en-US" w:eastAsia="zh-CN"/>
        </w:rPr>
        <w:t>16</w:t>
      </w:r>
      <w:r>
        <w:rPr>
          <w:rFonts w:hint="eastAsia" w:hAnsiTheme="minorHAnsi"/>
          <w:b w:val="0"/>
          <w:bCs w:val="0"/>
          <w:sz w:val="24"/>
          <w:szCs w:val="24"/>
        </w:rPr>
        <w:t>日</w:t>
      </w:r>
    </w:p>
    <w:p>
      <w:pPr>
        <w:pStyle w:val="16"/>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11"/>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（一）主要职能。</w:t>
      </w:r>
      <w:r>
        <w:tab/>
      </w:r>
      <w:r>
        <w:rPr>
          <w:rFonts w:hint="eastAsia"/>
          <w:lang w:val="en-US" w:eastAsia="zh-CN"/>
        </w:rPr>
        <w:t>4</w:t>
      </w:r>
    </w:p>
    <w:p>
      <w:pPr>
        <w:pStyle w:val="11"/>
        <w:tabs>
          <w:tab w:val="right" w:leader="dot" w:pos="8296"/>
        </w:tabs>
        <w:rPr>
          <w:rFonts w:hint="eastAsia" w:hAnsiTheme="minorHAnsi" w:eastAsiaTheme="minorHAnsi" w:cstheme="minorBidi"/>
          <w:i w:val="0"/>
          <w:iCs w:val="0"/>
          <w:sz w:val="21"/>
          <w:szCs w:val="22"/>
          <w:lang w:eastAsia="zh-CN"/>
        </w:rPr>
      </w:pPr>
      <w:r>
        <w:rPr>
          <w:rFonts w:ascii="仿宋" w:hAnsi="仿宋" w:eastAsia="仿宋"/>
          <w:bCs/>
          <w:color w:val="000000"/>
        </w:rPr>
        <w:t>（二）202</w:t>
      </w:r>
      <w:r>
        <w:rPr>
          <w:rFonts w:hint="eastAsia" w:ascii="仿宋" w:hAnsi="仿宋" w:eastAsia="仿宋"/>
          <w:bCs/>
          <w:color w:val="000000"/>
        </w:rPr>
        <w:t>1</w:t>
      </w:r>
      <w:r>
        <w:rPr>
          <w:rFonts w:ascii="仿宋" w:hAnsi="仿宋" w:eastAsia="仿宋"/>
          <w:bCs/>
          <w:color w:val="000000"/>
        </w:rPr>
        <w:t>年重点工作完成情况。</w:t>
      </w:r>
      <w:r>
        <w:tab/>
      </w:r>
      <w:r>
        <w:rPr>
          <w:rFonts w:hint="eastAsia"/>
          <w:lang w:val="en-US" w:eastAsia="zh-CN"/>
        </w:rPr>
        <w:t>6</w:t>
      </w:r>
    </w:p>
    <w:p>
      <w:pPr>
        <w:pStyle w:val="19"/>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9</w:t>
      </w:r>
    </w:p>
    <w:p>
      <w:pPr>
        <w:pStyle w:val="16"/>
        <w:tabs>
          <w:tab w:val="right" w:leader="dot" w:pos="8296"/>
        </w:tabs>
        <w:rPr>
          <w:rFonts w:hint="eastAsia" w:hAnsiTheme="minorHAnsi" w:eastAsiaTheme="minorHAnsi" w:cstheme="minorBidi"/>
          <w:b w:val="0"/>
          <w:bCs w:val="0"/>
          <w:caps w:val="0"/>
          <w:sz w:val="21"/>
          <w:szCs w:val="22"/>
          <w:lang w:val="en-US" w:eastAsia="zh-CN"/>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rPr>
        <w:t>1</w:t>
      </w:r>
      <w:r>
        <w:rPr>
          <w:rFonts w:ascii="黑体" w:hAnsi="黑体" w:eastAsia="黑体"/>
          <w:b w:val="0"/>
          <w:bCs w:val="0"/>
        </w:rPr>
        <w:t>年度部门决算情况说明</w:t>
      </w:r>
      <w:r>
        <w:tab/>
      </w:r>
      <w:r>
        <w:rPr>
          <w:rFonts w:hint="eastAsia"/>
          <w:lang w:val="en-US" w:eastAsia="zh-CN"/>
        </w:rPr>
        <w:t>10</w:t>
      </w:r>
    </w:p>
    <w:p>
      <w:pPr>
        <w:pStyle w:val="19"/>
        <w:tabs>
          <w:tab w:val="left" w:pos="840"/>
          <w:tab w:val="right" w:leader="dot" w:pos="8296"/>
        </w:tabs>
        <w:rPr>
          <w:rFonts w:hint="eastAsia" w:hAnsiTheme="minorHAnsi" w:eastAsiaTheme="minorHAnsi" w:cstheme="minorBidi"/>
          <w:smallCaps w:val="0"/>
          <w:sz w:val="21"/>
          <w:szCs w:val="22"/>
          <w:lang w:val="en-US" w:eastAsia="zh-CN"/>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10</w:t>
      </w:r>
    </w:p>
    <w:p>
      <w:pPr>
        <w:pStyle w:val="19"/>
        <w:tabs>
          <w:tab w:val="left" w:pos="840"/>
          <w:tab w:val="right" w:leader="dot" w:pos="8296"/>
        </w:tabs>
        <w:rPr>
          <w:rFonts w:hint="eastAsia" w:hAnsiTheme="minorHAnsi" w:eastAsiaTheme="minorHAnsi" w:cstheme="minorBidi"/>
          <w:smallCaps w:val="0"/>
          <w:sz w:val="21"/>
          <w:szCs w:val="22"/>
          <w:lang w:val="en-US" w:eastAsia="zh-CN"/>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10</w:t>
      </w:r>
    </w:p>
    <w:p>
      <w:pPr>
        <w:pStyle w:val="19"/>
        <w:tabs>
          <w:tab w:val="left" w:pos="840"/>
          <w:tab w:val="right" w:leader="dot" w:pos="8296"/>
        </w:tabs>
        <w:rPr>
          <w:rFonts w:hint="eastAsia" w:hAnsiTheme="minorHAnsi" w:eastAsiaTheme="minorHAnsi" w:cstheme="minorBidi"/>
          <w:smallCaps w:val="0"/>
          <w:sz w:val="21"/>
          <w:szCs w:val="22"/>
          <w:lang w:val="en-US" w:eastAsia="zh-CN"/>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11</w:t>
      </w:r>
    </w:p>
    <w:p>
      <w:pPr>
        <w:pStyle w:val="19"/>
        <w:tabs>
          <w:tab w:val="right" w:leader="dot" w:pos="8296"/>
        </w:tabs>
        <w:rPr>
          <w:rFonts w:hint="eastAsia" w:hAnsiTheme="minorHAnsi" w:eastAsiaTheme="minorHAnsi" w:cstheme="minorBidi"/>
          <w:smallCaps w:val="0"/>
          <w:sz w:val="21"/>
          <w:szCs w:val="22"/>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11</w:t>
      </w:r>
    </w:p>
    <w:p>
      <w:pPr>
        <w:pStyle w:val="19"/>
        <w:tabs>
          <w:tab w:val="right" w:leader="dot" w:pos="8296"/>
        </w:tabs>
        <w:rPr>
          <w:rFonts w:hint="eastAsia" w:hAnsiTheme="minorHAnsi" w:eastAsiaTheme="minorHAnsi" w:cstheme="minorBidi"/>
          <w:smallCaps w:val="0"/>
          <w:sz w:val="21"/>
          <w:szCs w:val="22"/>
          <w:lang w:val="en-US" w:eastAsia="zh-CN"/>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12</w:t>
      </w:r>
    </w:p>
    <w:p>
      <w:pPr>
        <w:pStyle w:val="11"/>
        <w:tabs>
          <w:tab w:val="right" w:leader="dot" w:pos="8296"/>
        </w:tabs>
        <w:rPr>
          <w:rFonts w:hint="eastAsia" w:hAnsiTheme="minorHAnsi" w:eastAsiaTheme="minorHAnsi" w:cstheme="minorBidi"/>
          <w:i w:val="0"/>
          <w:iCs w:val="0"/>
          <w:sz w:val="21"/>
          <w:szCs w:val="22"/>
          <w:lang w:val="en-US" w:eastAsia="zh-CN"/>
        </w:rPr>
      </w:pPr>
      <w:r>
        <w:rPr>
          <w:rFonts w:ascii="仿宋" w:hAnsi="仿宋" w:eastAsia="仿宋"/>
          <w:b/>
          <w:color w:val="000000"/>
        </w:rPr>
        <w:t>（一）一般公共预算财政拨款支出决算总体情况</w:t>
      </w:r>
      <w:r>
        <w:tab/>
      </w:r>
      <w:r>
        <w:rPr>
          <w:rFonts w:hint="eastAsia"/>
          <w:lang w:val="en-US" w:eastAsia="zh-CN"/>
        </w:rPr>
        <w:t>12</w:t>
      </w:r>
    </w:p>
    <w:p>
      <w:pPr>
        <w:pStyle w:val="11"/>
        <w:tabs>
          <w:tab w:val="right" w:leader="dot" w:pos="8296"/>
        </w:tabs>
        <w:rPr>
          <w:rFonts w:hint="eastAsia" w:hAnsiTheme="minorHAnsi" w:eastAsiaTheme="minorHAnsi" w:cstheme="minorBidi"/>
          <w:i w:val="0"/>
          <w:iCs w:val="0"/>
          <w:sz w:val="21"/>
          <w:szCs w:val="22"/>
          <w:lang w:val="en-US" w:eastAsia="zh-CN"/>
        </w:rPr>
      </w:pPr>
      <w:r>
        <w:rPr>
          <w:rFonts w:ascii="仿宋" w:hAnsi="仿宋" w:eastAsia="仿宋"/>
          <w:b/>
          <w:color w:val="000000"/>
        </w:rPr>
        <w:t>（二）一般公共预算财政拨款支出决算结构情况</w:t>
      </w:r>
      <w:r>
        <w:tab/>
      </w:r>
      <w:r>
        <w:rPr>
          <w:rFonts w:hint="eastAsia"/>
          <w:lang w:val="en-US" w:eastAsia="zh-CN"/>
        </w:rPr>
        <w:t>13</w:t>
      </w:r>
    </w:p>
    <w:p>
      <w:pPr>
        <w:pStyle w:val="11"/>
        <w:tabs>
          <w:tab w:val="right" w:leader="dot" w:pos="8296"/>
        </w:tabs>
        <w:rPr>
          <w:rFonts w:hint="eastAsia" w:hAnsiTheme="minorHAnsi" w:eastAsiaTheme="minorHAnsi" w:cstheme="minorBidi"/>
          <w:i w:val="0"/>
          <w:iCs w:val="0"/>
          <w:sz w:val="21"/>
          <w:szCs w:val="22"/>
          <w:lang w:val="en-US" w:eastAsia="zh-CN"/>
        </w:rPr>
      </w:pPr>
      <w:r>
        <w:rPr>
          <w:rFonts w:ascii="仿宋" w:hAnsi="仿宋" w:eastAsia="仿宋"/>
          <w:b/>
          <w:color w:val="000000"/>
        </w:rPr>
        <w:t>（三）一般公共预算财政拨款支出决算具体情况</w:t>
      </w:r>
      <w:r>
        <w:tab/>
      </w:r>
      <w:r>
        <w:rPr>
          <w:rFonts w:hint="eastAsia"/>
          <w:lang w:val="en-US" w:eastAsia="zh-CN"/>
        </w:rPr>
        <w:t>13</w:t>
      </w:r>
    </w:p>
    <w:p>
      <w:pPr>
        <w:pStyle w:val="19"/>
        <w:tabs>
          <w:tab w:val="right" w:leader="dot" w:pos="8296"/>
        </w:tabs>
        <w:rPr>
          <w:rFonts w:hint="eastAsia" w:hAnsiTheme="minorHAnsi" w:eastAsiaTheme="minorHAnsi" w:cstheme="minorBidi"/>
          <w:smallCaps w:val="0"/>
          <w:sz w:val="21"/>
          <w:szCs w:val="22"/>
          <w:lang w:val="en-US" w:eastAsia="zh-CN"/>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14</w:t>
      </w:r>
    </w:p>
    <w:p>
      <w:pPr>
        <w:pStyle w:val="19"/>
        <w:tabs>
          <w:tab w:val="right" w:leader="dot" w:pos="8296"/>
        </w:tabs>
        <w:rPr>
          <w:rFonts w:hint="eastAsia" w:hAnsiTheme="minorHAnsi" w:eastAsiaTheme="minorHAnsi" w:cstheme="minorBidi"/>
          <w:smallCaps w:val="0"/>
          <w:sz w:val="21"/>
          <w:szCs w:val="22"/>
          <w:lang w:val="en-US" w:eastAsia="zh-CN"/>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15</w:t>
      </w:r>
    </w:p>
    <w:p>
      <w:pPr>
        <w:pStyle w:val="11"/>
        <w:tabs>
          <w:tab w:val="right" w:leader="dot" w:pos="8296"/>
        </w:tabs>
        <w:rPr>
          <w:rFonts w:hint="eastAsia" w:hAnsiTheme="minorHAnsi" w:eastAsiaTheme="minorHAnsi" w:cstheme="minorBidi"/>
          <w:i w:val="0"/>
          <w:iCs w:val="0"/>
          <w:sz w:val="21"/>
          <w:szCs w:val="22"/>
          <w:lang w:val="en-US" w:eastAsia="zh-CN"/>
        </w:rPr>
      </w:pPr>
      <w:r>
        <w:rPr>
          <w:rFonts w:ascii="仿宋" w:hAnsi="仿宋" w:eastAsia="仿宋"/>
          <w:b/>
          <w:color w:val="000000"/>
        </w:rPr>
        <w:t>（一）“三公”经费财政拨款支出决算总体情况说明</w:t>
      </w:r>
      <w:r>
        <w:tab/>
      </w:r>
      <w:r>
        <w:rPr>
          <w:rFonts w:hint="eastAsia"/>
          <w:lang w:val="en-US" w:eastAsia="zh-CN"/>
        </w:rPr>
        <w:t>15</w:t>
      </w:r>
    </w:p>
    <w:p>
      <w:pPr>
        <w:pStyle w:val="11"/>
        <w:tabs>
          <w:tab w:val="right" w:leader="dot" w:pos="8296"/>
        </w:tabs>
        <w:rPr>
          <w:rFonts w:hint="eastAsia" w:hAnsiTheme="minorHAnsi" w:eastAsiaTheme="minorHAnsi" w:cstheme="minorBidi"/>
          <w:i w:val="0"/>
          <w:iCs w:val="0"/>
          <w:sz w:val="21"/>
          <w:szCs w:val="22"/>
          <w:lang w:val="en-US" w:eastAsia="zh-CN"/>
        </w:rPr>
      </w:pPr>
      <w:r>
        <w:rPr>
          <w:rFonts w:ascii="仿宋" w:hAnsi="仿宋" w:eastAsia="仿宋"/>
          <w:b/>
          <w:color w:val="000000"/>
        </w:rPr>
        <w:t>（二）“三公”经费财政拨款支出决算具体情况说明</w:t>
      </w:r>
      <w:r>
        <w:tab/>
      </w:r>
      <w:r>
        <w:rPr>
          <w:rFonts w:hint="eastAsia"/>
          <w:lang w:val="en-US" w:eastAsia="zh-CN"/>
        </w:rPr>
        <w:t>15</w:t>
      </w:r>
    </w:p>
    <w:p>
      <w:pPr>
        <w:pStyle w:val="19"/>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17</w:t>
      </w:r>
      <w:r>
        <w:fldChar w:fldCharType="end"/>
      </w:r>
    </w:p>
    <w:p>
      <w:pPr>
        <w:pStyle w:val="19"/>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17</w:t>
      </w:r>
      <w:r>
        <w:fldChar w:fldCharType="end"/>
      </w:r>
    </w:p>
    <w:p>
      <w:pPr>
        <w:pStyle w:val="19"/>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17</w:t>
      </w:r>
      <w:r>
        <w:fldChar w:fldCharType="end"/>
      </w:r>
    </w:p>
    <w:p>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17</w:t>
      </w:r>
      <w:r>
        <w:fldChar w:fldCharType="end"/>
      </w:r>
    </w:p>
    <w:p>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17</w:t>
      </w:r>
      <w:r>
        <w:fldChar w:fldCharType="end"/>
      </w:r>
    </w:p>
    <w:p>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17</w:t>
      </w:r>
      <w:r>
        <w:fldChar w:fldCharType="end"/>
      </w:r>
    </w:p>
    <w:p>
      <w:pPr>
        <w:pStyle w:val="11"/>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18</w:t>
      </w:r>
      <w:r>
        <w:fldChar w:fldCharType="end"/>
      </w:r>
    </w:p>
    <w:p>
      <w:pPr>
        <w:pStyle w:val="16"/>
        <w:tabs>
          <w:tab w:val="right" w:leader="dot" w:pos="8296"/>
        </w:tabs>
        <w:rPr>
          <w:rFonts w:hint="eastAsia" w:hAnsiTheme="minorHAnsi" w:eastAsiaTheme="minorHAnsi" w:cstheme="minorBidi"/>
          <w:b w:val="0"/>
          <w:bCs w:val="0"/>
          <w:caps w:val="0"/>
          <w:sz w:val="21"/>
          <w:szCs w:val="22"/>
          <w:lang w:val="en-US" w:eastAsia="zh-CN"/>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20</w:t>
      </w:r>
    </w:p>
    <w:p>
      <w:pPr>
        <w:pStyle w:val="16"/>
        <w:tabs>
          <w:tab w:val="right" w:leader="dot" w:pos="8296"/>
        </w:tabs>
        <w:rPr>
          <w:rFonts w:hint="eastAsia"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23</w:t>
      </w:r>
    </w:p>
    <w:p>
      <w:pPr>
        <w:pStyle w:val="16"/>
        <w:tabs>
          <w:tab w:val="right" w:leader="dot" w:pos="8296"/>
        </w:tabs>
        <w:rPr>
          <w:rFonts w:hint="eastAsia" w:hAnsiTheme="minorHAnsi" w:eastAsiaTheme="minorHAnsi" w:cstheme="minorBidi"/>
          <w:b w:val="0"/>
          <w:bCs w:val="0"/>
          <w:caps w:val="0"/>
          <w:sz w:val="21"/>
          <w:szCs w:val="22"/>
          <w:lang w:val="en-US" w:eastAsia="zh-CN"/>
        </w:rPr>
      </w:pPr>
      <w:r>
        <w:rPr>
          <w:rFonts w:ascii="黑体" w:hAnsi="黑体" w:eastAsia="黑体" w:cs="黑体"/>
        </w:rPr>
        <w:t>附件1</w:t>
      </w:r>
      <w:r>
        <w:tab/>
      </w:r>
      <w:r>
        <w:rPr>
          <w:rFonts w:hint="eastAsia"/>
          <w:lang w:val="en-US" w:eastAsia="zh-CN"/>
        </w:rPr>
        <w:t>23</w:t>
      </w:r>
    </w:p>
    <w:p>
      <w:pPr>
        <w:pStyle w:val="16"/>
        <w:tabs>
          <w:tab w:val="right" w:leader="dot" w:pos="8296"/>
        </w:tabs>
        <w:rPr>
          <w:rFonts w:hint="eastAsia"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val="en-US" w:eastAsia="zh-CN"/>
        </w:rPr>
        <w:t>壤塘县社会救助福利服务中心</w:t>
      </w:r>
      <w:r>
        <w:rPr>
          <w:rFonts w:ascii="方正小标宋简体" w:hAnsi="黑体" w:eastAsia="方正小标宋简体" w:cs="黑体"/>
        </w:rPr>
        <w:t>202</w:t>
      </w:r>
      <w:r>
        <w:rPr>
          <w:rFonts w:hint="eastAsia" w:ascii="方正小标宋简体" w:hAnsi="黑体" w:eastAsia="方正小标宋简体" w:cs="黑体"/>
        </w:rPr>
        <w:t>1</w:t>
      </w:r>
      <w:r>
        <w:rPr>
          <w:rFonts w:ascii="方正小标宋简体" w:hAnsi="黑体" w:eastAsia="方正小标宋简体" w:cs="黑体"/>
        </w:rPr>
        <w:t>年部门整体支出绩效评价报告</w:t>
      </w:r>
      <w:r>
        <w:tab/>
      </w:r>
      <w:r>
        <w:rPr>
          <w:rFonts w:hint="eastAsia"/>
          <w:lang w:val="en-US" w:eastAsia="zh-CN"/>
        </w:rPr>
        <w:t>23</w:t>
      </w:r>
    </w:p>
    <w:p>
      <w:pPr>
        <w:pStyle w:val="16"/>
        <w:tabs>
          <w:tab w:val="right" w:leader="dot" w:pos="8296"/>
        </w:tabs>
        <w:rPr>
          <w:rFonts w:hint="eastAsia"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color w:val="000000"/>
        </w:rPr>
        <w:t>一、收</w:t>
      </w:r>
      <w:r>
        <w:rPr>
          <w:rFonts w:ascii="仿宋" w:hAnsi="仿宋" w:eastAsia="仿宋"/>
        </w:rPr>
        <w:t>入支出决算总表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color w:val="000000"/>
        </w:rPr>
        <w:t>二、收</w:t>
      </w:r>
      <w:r>
        <w:rPr>
          <w:rFonts w:ascii="仿宋" w:hAnsi="仿宋" w:eastAsia="仿宋"/>
        </w:rPr>
        <w:t>入决算表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rPr>
          <w:rFonts w:hint="eastAsia"/>
          <w:lang w:val="en-US" w:eastAsia="zh-CN"/>
        </w:rPr>
        <w:t>32</w:t>
      </w:r>
    </w:p>
    <w:p>
      <w:pPr>
        <w:pStyle w:val="19"/>
        <w:tabs>
          <w:tab w:val="right" w:leader="dot" w:pos="8296"/>
        </w:tabs>
        <w:rPr>
          <w:rFonts w:hint="eastAsia"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32</w:t>
      </w:r>
    </w:p>
    <w:p>
      <w:r>
        <w:rPr>
          <w:rFonts w:asciiTheme="minorHAnsi" w:eastAsiaTheme="minorHAnsi"/>
          <w:b/>
          <w:bCs/>
          <w:caps/>
          <w:sz w:val="20"/>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pageBreakBefore w:val="0"/>
        <w:kinsoku/>
        <w:wordWrap/>
        <w:overflowPunct/>
        <w:topLinePunct w:val="0"/>
        <w:autoSpaceDE/>
        <w:autoSpaceDN/>
        <w:bidi w:val="0"/>
        <w:spacing w:before="0" w:after="0" w:line="560" w:lineRule="exact"/>
        <w:jc w:val="center"/>
        <w:textAlignment w:val="auto"/>
        <w:rPr>
          <w:rFonts w:hint="eastAsia" w:ascii="黑体" w:hAnsi="黑体" w:eastAsia="黑体"/>
          <w:b w:val="0"/>
        </w:rPr>
      </w:pPr>
      <w:bookmarkStart w:id="14" w:name="_Toc79163851"/>
      <w:bookmarkStart w:id="15" w:name="_Toc79163601"/>
      <w:r>
        <w:rPr>
          <w:rFonts w:hint="eastAsia" w:ascii="黑体" w:hAnsi="黑体" w:eastAsia="黑体"/>
          <w:b w:val="0"/>
        </w:rPr>
        <w:t>第一部分 部门概况</w:t>
      </w:r>
      <w:bookmarkEnd w:id="12"/>
      <w:bookmarkEnd w:id="13"/>
      <w:bookmarkEnd w:id="14"/>
      <w:bookmarkEnd w:id="15"/>
    </w:p>
    <w:p>
      <w:pPr>
        <w:widowControl/>
        <w:jc w:val="left"/>
        <w:rPr>
          <w:rFonts w:ascii="黑体" w:eastAsia="黑体"/>
          <w:color w:val="000000"/>
          <w:sz w:val="32"/>
          <w:szCs w:val="32"/>
        </w:rPr>
      </w:pPr>
    </w:p>
    <w:p>
      <w:pPr>
        <w:pStyle w:val="5"/>
        <w:pageBreakBefore w:val="0"/>
        <w:widowControl w:val="0"/>
        <w:kinsoku/>
        <w:wordWrap/>
        <w:overflowPunct/>
        <w:topLinePunct w:val="0"/>
        <w:autoSpaceDE/>
        <w:autoSpaceDN/>
        <w:bidi w:val="0"/>
        <w:spacing w:before="0" w:after="0" w:line="560" w:lineRule="exact"/>
        <w:ind w:firstLine="640" w:firstLineChars="200"/>
        <w:textAlignment w:val="auto"/>
        <w:rPr>
          <w:rStyle w:val="26"/>
          <w:rFonts w:ascii="仿宋" w:hAnsi="仿宋" w:eastAsia="仿宋"/>
          <w:b w:val="0"/>
          <w:bCs w:val="0"/>
        </w:rPr>
      </w:pPr>
      <w:bookmarkStart w:id="16" w:name="_Toc15396600"/>
      <w:bookmarkStart w:id="17" w:name="_Toc79163602"/>
      <w:bookmarkStart w:id="18" w:name="_Toc15377197"/>
      <w:bookmarkStart w:id="19" w:name="_Toc79163852"/>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5"/>
        <w:pageBreakBefore w:val="0"/>
        <w:widowControl w:val="0"/>
        <w:kinsoku/>
        <w:wordWrap/>
        <w:overflowPunct/>
        <w:topLinePunct w:val="0"/>
        <w:autoSpaceDE/>
        <w:autoSpaceDN/>
        <w:bidi w:val="0"/>
        <w:spacing w:before="0" w:after="0" w:line="560" w:lineRule="exact"/>
        <w:ind w:firstLine="643" w:firstLineChars="200"/>
        <w:textAlignment w:val="auto"/>
        <w:rPr>
          <w:rFonts w:ascii="楷体_GB2312" w:hAnsi="楷体_GB2312" w:eastAsia="楷体_GB2312" w:cs="楷体_GB2312"/>
          <w:color w:val="000000"/>
        </w:rPr>
      </w:pPr>
      <w:bookmarkStart w:id="20" w:name="_Toc15378446"/>
      <w:bookmarkStart w:id="21" w:name="_Toc79163604"/>
      <w:bookmarkStart w:id="22" w:name="_Toc79163854"/>
      <w:bookmarkStart w:id="23" w:name="_Toc15377199"/>
      <w:r>
        <w:rPr>
          <w:rFonts w:hint="eastAsia" w:ascii="楷体_GB2312" w:hAnsi="楷体_GB2312" w:eastAsia="楷体_GB2312" w:cs="楷体_GB2312"/>
          <w:color w:val="000000"/>
        </w:rPr>
        <w:t>（一）主要职能（职能参照省政府批准的三定方案</w:t>
      </w:r>
      <w:bookmarkStart w:id="157" w:name="_GoBack"/>
      <w:bookmarkEnd w:id="157"/>
      <w:r>
        <w:rPr>
          <w:rFonts w:hint="eastAsia" w:ascii="楷体_GB2312" w:hAnsi="楷体_GB2312" w:eastAsia="楷体_GB2312" w:cs="楷体_GB2312"/>
          <w:color w:val="000000"/>
        </w:rPr>
        <w:t>）</w:t>
      </w:r>
    </w:p>
    <w:p>
      <w:pPr>
        <w:pageBreakBefore w:val="0"/>
        <w:widowControl w:val="0"/>
        <w:kinsoku/>
        <w:wordWrap/>
        <w:overflowPunct/>
        <w:topLinePunct w:val="0"/>
        <w:autoSpaceDE/>
        <w:autoSpaceDN/>
        <w:bidi w:val="0"/>
        <w:spacing w:line="560" w:lineRule="exact"/>
        <w:textAlignment w:val="auto"/>
        <w:rPr>
          <w:rFonts w:ascii="仿宋_GB2312" w:hAnsi="仿宋_GB2312" w:eastAsia="仿宋_GB2312" w:cs="仿宋_GB2312"/>
          <w:sz w:val="32"/>
          <w:szCs w:val="32"/>
        </w:rPr>
      </w:pPr>
      <w:r>
        <w:rPr>
          <w:rFonts w:hint="eastAsia"/>
        </w:rPr>
        <w:t xml:space="preserve">  </w:t>
      </w:r>
      <w:r>
        <w:rPr>
          <w:rFonts w:hint="eastAsia" w:ascii="Times New Roman" w:hAnsi="Times New Roman" w:eastAsia="仿宋_GB2312" w:cs="Times New Roman"/>
          <w:sz w:val="32"/>
          <w:szCs w:val="32"/>
        </w:rPr>
        <w:t xml:space="preserve">  县低收入家庭认定指导中心为县民政局下属公益一类事业单位，机构规格为股级，核定事业编制5名，设中心主任1名（股级）。                  </w:t>
      </w:r>
      <w:r>
        <w:rPr>
          <w:rFonts w:hint="eastAsia" w:ascii="仿宋_GB2312" w:hAnsi="仿宋_GB2312" w:eastAsia="仿宋_GB2312" w:cs="仿宋_GB2312"/>
          <w:sz w:val="32"/>
          <w:szCs w:val="32"/>
        </w:rPr>
        <w:t xml:space="preserve">                                                                                                                                                      </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县低收入家庭认定指导中心主要职能职责:负责对申请城乡低保等政府救助和社会救助的城乡居民家庭收入和财产情况进行信息核对;负责全县低收入家庭经济状况核对信息数据库的建立、维护、查询、交流等工作;负责全县救助对象的数据统计和动态分析;负责指导各乡镇开展低收入家庭经济状况认定工作;会同有关部门，制定与城乡低保有关的配套优惠政策;负责本县低保信息网络建设和管理;负责城乡居民最低生活保障审核、审批工作;对最低生活保障资金的使用和管理情况进行督查;负责城乡特困群众临时性救济的审核、审批工作;负责全县农村特困群众医疗救助审核、审批工作;负责全县农村特困户救助的审核、审批工作。完成领导交办的其他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成立敬老院服务中心。为县民政局下属公益一类事业单位，机构规格为股级，核定事业编制4名，设中心主任1名（股级）。</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敬老院服务中心主要职能职责:贯彻执行党的路线、方针、政策，遵守国家法律法规和社会福利政策;认真贯彻《农村五保供养工作条例》;负责敬老院发展规划，指导敬老院建设管理和集中供养工作;指导敬老院建立健全各项规章制度工作;监督指导敬老院负责人和工作人员的工作，并对其进行考核考评，维护供养人员的合法权益，保障敬老院管理健康、有序发展。完成领导交办的其他工作。</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w:t>
      </w:r>
      <w:r>
        <w:rPr>
          <w:rFonts w:hint="eastAsia" w:ascii="Times New Roman" w:hAnsi="Times New Roman" w:eastAsia="仿宋_GB2312" w:cs="Times New Roman"/>
          <w:sz w:val="32"/>
          <w:szCs w:val="32"/>
        </w:rPr>
        <w:t>中壤塘敬老院、南木达敬老院、伊里敬老院、茸木达敬老院、尕多敬老院。为县民政局下属公益一类事业单位，机构规格为股级，核定事业编制41名(中壤塘敬老院7名、南木达敬老院9名、伊里敬老院6名、茸木达敬老院8名、尕多敬老院11名)，各设院长1名(股级)。</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敬老院主要职能职责:贯彻执行国家有关五保供养工作的方针、政策和法律法规;组织制定院内的各项规章制度和发展规划;组织发展经济、不断提高供养人员的生活水平;认真履行职责，建立岗位责任制，实行目标管理、考核，维护供养人员的合法权益。完成领导交办的其他工作。</w:t>
      </w:r>
    </w:p>
    <w:p>
      <w:pPr>
        <w:pStyle w:val="3"/>
        <w:keepNext w:val="0"/>
        <w:keepLines w:val="0"/>
        <w:pageBreakBefore w:val="0"/>
        <w:widowControl w:val="0"/>
        <w:numPr>
          <w:ilvl w:val="0"/>
          <w:numId w:val="0"/>
        </w:numPr>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hAnsi="仿宋_GB2312" w:cs="仿宋_GB2312"/>
          <w:kern w:val="2"/>
          <w:sz w:val="32"/>
          <w:szCs w:val="32"/>
        </w:rPr>
      </w:pPr>
      <w:r>
        <w:rPr>
          <w:rFonts w:hint="eastAsia" w:ascii="Times New Roman" w:hAnsi="Times New Roman" w:eastAsia="仿宋_GB2312" w:cs="Times New Roman"/>
          <w:kern w:val="2"/>
          <w:sz w:val="32"/>
          <w:szCs w:val="32"/>
          <w:lang w:val="en-US" w:eastAsia="zh-CN" w:bidi="ar-SA"/>
        </w:rPr>
        <w:t>（四）壤塘县社会救助福利服务中心(挂壤塘县儿童福利服务指导中心牌子)。为县民政局下属公益一类事业单位，机构规格为副科级，核定事业编制14名，设中心主任1名(副科)。县社会救助福利服务中心主要职能职责:主要是为中心救助对象的衣、食、住、行服务，执行国家救助福利政策，不断提高服务水平，体现党和政府对弱势群体的关心和重视;在中心内定期组织学习有关文件精神，让他们每天收看新闻，集体组织救助对象看电视，让他们了解我国改革开放以来日新月异的变化，了解国际国内的重大事件，了解国家政策，不断充实他们的精神生活。完成领导交办的其他工作。</w:t>
      </w:r>
    </w:p>
    <w:p>
      <w:pPr>
        <w:pStyle w:val="5"/>
        <w:pageBreakBefore w:val="0"/>
        <w:widowControl w:val="0"/>
        <w:kinsoku/>
        <w:wordWrap/>
        <w:overflowPunct/>
        <w:topLinePunct w:val="0"/>
        <w:autoSpaceDE/>
        <w:autoSpaceDN/>
        <w:bidi w:val="0"/>
        <w:spacing w:before="0" w:after="0" w:line="560" w:lineRule="exact"/>
        <w:ind w:firstLine="643" w:firstLineChars="200"/>
        <w:textAlignment w:val="auto"/>
        <w:rPr>
          <w:rFonts w:hint="eastAsia" w:ascii="楷体_GB2312" w:hAnsi="楷体_GB2312" w:eastAsia="楷体_GB2312" w:cs="楷体_GB2312"/>
          <w:color w:val="000000"/>
        </w:rPr>
      </w:pPr>
      <w:r>
        <w:rPr>
          <w:rFonts w:hint="eastAsia" w:ascii="楷体_GB2312" w:hAnsi="楷体_GB2312" w:eastAsia="楷体_GB2312" w:cs="楷体_GB2312"/>
          <w:color w:val="000000"/>
        </w:rPr>
        <w:t>（二）2021年重点工作完成情况。</w:t>
      </w:r>
      <w:bookmarkEnd w:id="20"/>
      <w:bookmarkEnd w:id="21"/>
      <w:bookmarkEnd w:id="22"/>
      <w:bookmarkEnd w:id="23"/>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一、完善社会救助体系，提升民生保障水平。截止12月，为城乡低保对象8067户16013人发放低保补助金3727.8万元；为1222名困难残疾人发放生活补贴资金148.68万元，为1203名重度残疾人发放护理补贴资金110.744万元；为全县18名孤儿发放生活补贴资金19.17万元，为12名事实无人抚养儿童发放生活补助资金8.64万元；为1135名分散特困人员供养对象发放生活补助1095.91万元，为175名集中特困人员供养对象按照每人每月不低于600元的标准进行供养救助，将符合条件的特殊困难群众及时纳入保障范围，实施动态化管理和保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二、稳步推进养老机构建设，提升养老服务水平。抓细抓实养老机构管理安全运行，分步实施6所农村敬老院适老化改造，着力构建以居家养老为基础，社区养老为依托，机构养老为补充的养老服务体系，稳步推动养老院服务质量建设提升；1-12月累计为80岁以上673名老人发放高龄津贴70.64万元；为全县2902名居家养老对象，提供“助餐、助医、助卫”服务；支出集中特困供养丧葬费0.93万元；做好疫情防控、消防、食品、森林草原防灭火、防汛、核酸检测等常态化安全生产工作，并适时开展“回头看”，使老年人幸福指数和满意度不断提高。</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三、健全临时救助机制，提升落实救助水平。及时解决好困难群众因病、因灾、因学、因突发事件导致家庭经济困难的，涉及11个乡镇317人次困难群众，解决临时救助资金23.21万元，促进了临时救助机制更加完善、管理制度更加健全、服务质量明显提升，群众满意度显著提高。</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四、抓好村（居）换届，提升基层自治能力。全县辖11个乡（镇），51个行政村，2个社区居委会，自2020年12月全面展开十一届村（居）委员会换届选举工作，至2021年3月底圆满完成，依法选举产生新一届村委会班子成员总计187人，其中妇女干部59人，占村委会干部总数的31.55%，村（居）委会主任53人，实行“一肩挑”的有52人，“一肩挑”比例达98.1%，确保换届工作顺利推进；完成更新53个村（居）干部赋码系统信息；全年为182名离任村干部发放生活补助资金66.85万元；深化平安创建，和炉霍县、道孚县、班玛县开展第四轮行政区域界线联合检查，共同维护好壤炉道班边界成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五、聚焦两项改革“后半篇”文章工作，持续释放改革红利。以群众满意为标尺，聚焦改革“后半篇”文章的重点任务，成立了专项领导小组，印发《壤塘县乡镇行政区划和村级建制调整改革“后半篇”文章实施方案1+26+1专项工作方案》，推进重点工作任务105项，实施重点项目53项，召开5次两项改革“后半篇”文章专项工作推进会，全覆盖调研摸排11个乡（镇），切实把“后半篇”文章同乡村振兴、农业农村、农村基层治理、维护社会稳定等工作相结合，形成各级各部门紧密配合、联动发力，齐抓共管、条块结合的良好工作格局，有序推进两项改革“后半篇”文章工作。</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六、健全养老服务网络，优化养老服务设施布局。建设具备服务辐射功能的示范性农村区域养老服务中心，以提高集中特困入住率、整治安全隐患点治理，大力推动养老服务“供水、供暖、医疗、交通”供给结构，不断优化的“1+2+4”的养老发展模式，将尕多敬老院、伊里敬老院合并到社会救助福利服务中心，持续提升养老服务质量建设为目标。</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七、立足县情实际，统筹规划县域片区划分。将县域内区域划分工作同“十四五”规划、乡村振兴、县委“155”战略规划，以及建设“美丽幸福壤巴拉家园”阶段目标和“川甘青结合部区域强县”远景目标有机结合，将全县划分了4个乡镇级片区设4个中心镇，17个村级片区设21个中心村，以乡村振兴为统揽，贯彻落实“一家人、一条心、一盘棋、一起拼”壤塘精神。</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sz w:val="32"/>
          <w:szCs w:val="32"/>
        </w:rPr>
      </w:pPr>
      <w:r>
        <w:rPr>
          <w:rFonts w:hint="eastAsia" w:ascii="Times New Roman" w:hAnsi="Times New Roman" w:eastAsia="仿宋_GB2312" w:cs="Times New Roman"/>
          <w:kern w:val="2"/>
          <w:sz w:val="32"/>
          <w:szCs w:val="32"/>
          <w:lang w:val="en-US" w:eastAsia="zh-CN" w:bidi="ar-SA"/>
        </w:rPr>
        <w:t>八、加强社会事务管理和社会慈善工作。全年办理婚姻登记479对；开展慈善“情暖万家”慰问困难群众专项活动，慰问金8000元；发放慈善波斯登羽绒服348件，惠及特困、低保、残疾等困难群众；积极对接开展慈善福彩帮困助学4人；常态化开展流浪乞讨救助36人次；SOS阿坝州儿童福利救助孤儿4人；整合资金20万元开展困境儿童“快乐同行”项目；对全县14个社会组织年检率达95%；加强基层村务公开，引导藏区殡葬移风易俗，倡导文明祭祀，狠抓殡葬改革力度，大力宣传文明绿色殡葬，督导乡镇做好特殊群体（痴、呆、聋、哑、精神病）监督管理工作，积极引导社会各方面参与慈善扶贫的积极性，不断探索完善对口帮扶的长效机</w:t>
      </w:r>
      <w:r>
        <w:rPr>
          <w:rFonts w:hint="eastAsia" w:ascii="仿宋_GB2312" w:eastAsia="仿宋_GB2312"/>
          <w:sz w:val="32"/>
          <w:szCs w:val="32"/>
        </w:rPr>
        <w:t>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九、奋力完成民生项目目标任务。一是整合资金475万元，推进壤塘县特困人员供养设施（敬老院）提升改造项目，该项目已完工待审计，资金拨付率达80%。二是整合资金39.38万元，推进南木达镇南塘村活动室维修改造项目，该项目正在财评。三是整合资金66.4万元，对上杜柯乡日科村、蒲西乡卡龙村、中壤塘伊根门多村、蒲西乡伊里村、茸木达德萨村日间照料中心项目进行维修采购，该项目已完工。</w:t>
      </w:r>
    </w:p>
    <w:p>
      <w:pPr>
        <w:pStyle w:val="5"/>
        <w:pageBreakBefore w:val="0"/>
        <w:kinsoku/>
        <w:wordWrap/>
        <w:overflowPunct/>
        <w:topLinePunct w:val="0"/>
        <w:autoSpaceDE/>
        <w:autoSpaceDN/>
        <w:bidi w:val="0"/>
        <w:adjustRightInd/>
        <w:snapToGrid/>
        <w:spacing w:before="0" w:after="0" w:line="560" w:lineRule="exact"/>
        <w:ind w:firstLine="640" w:firstLineChars="200"/>
        <w:textAlignment w:val="auto"/>
        <w:rPr>
          <w:rStyle w:val="26"/>
          <w:rFonts w:hint="eastAsia" w:ascii="黑体" w:hAnsi="黑体" w:eastAsia="黑体"/>
          <w:b w:val="0"/>
          <w:bCs w:val="0"/>
        </w:rPr>
      </w:pPr>
      <w:bookmarkStart w:id="24" w:name="_Toc15396601"/>
      <w:bookmarkStart w:id="25" w:name="_Toc79163855"/>
      <w:bookmarkStart w:id="26" w:name="_Toc79163605"/>
      <w:bookmarkStart w:id="27"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4"/>
      <w:bookmarkEnd w:id="25"/>
      <w:bookmarkEnd w:id="26"/>
      <w:bookmarkEnd w:id="27"/>
    </w:p>
    <w:p>
      <w:pPr>
        <w:pStyle w:val="5"/>
        <w:pageBreakBefore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壤塘县民政局属于一级预算单位，设4个行政股室（即办公室、社会福利与社会事务股、社会救助股（挂壤塘县流浪乞讨人员救助站牌子）、区划地名与基层政权股）。下设事业机构4个（低收入家庭认定指导中心，敬老院服务中心，中壤塘敬老院、南木达敬老院、、茸木达敬老院、尕多敬老院，壤塘县社会救助福利服务中心（挂壤塘县儿童福利服务指导中心牌子）。</w:t>
      </w:r>
    </w:p>
    <w:p>
      <w:pPr>
        <w:pStyle w:val="5"/>
        <w:pageBreakBefore w:val="0"/>
        <w:widowControl w:val="0"/>
        <w:kinsoku/>
        <w:wordWrap/>
        <w:overflowPunct/>
        <w:topLinePunct w:val="0"/>
        <w:autoSpaceDE/>
        <w:autoSpaceDN/>
        <w:bidi w:val="0"/>
        <w:adjustRightInd/>
        <w:snapToGrid/>
        <w:spacing w:before="0" w:after="0"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壤塘县民政局下属二级单位0个，其中行政单位0个，参照公务员法管理的事业单位0个，其他事业单位0个。</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纳入壤塘县民政局2021年度部门决算编制范围的二级预算单位0个。</w:t>
      </w:r>
    </w:p>
    <w:p>
      <w:pPr>
        <w:pageBreakBefore w:val="0"/>
        <w:widowControl/>
        <w:kinsoku/>
        <w:wordWrap/>
        <w:overflowPunct/>
        <w:topLinePunct w:val="0"/>
        <w:autoSpaceDE/>
        <w:autoSpaceDN/>
        <w:bidi w:val="0"/>
        <w:adjustRightInd/>
        <w:snapToGrid/>
        <w:spacing w:line="560" w:lineRule="exact"/>
        <w:jc w:val="left"/>
        <w:textAlignment w:val="auto"/>
        <w:rPr>
          <w:rFonts w:ascii="仿宋" w:hAnsi="仿宋" w:eastAsia="仿宋"/>
          <w:color w:val="000000"/>
          <w:kern w:val="0"/>
          <w:sz w:val="32"/>
          <w:szCs w:val="32"/>
        </w:rPr>
      </w:pPr>
      <w:r>
        <w:rPr>
          <w:rFonts w:ascii="仿宋" w:hAnsi="仿宋" w:eastAsia="仿宋"/>
          <w:color w:val="000000"/>
          <w:sz w:val="32"/>
          <w:szCs w:val="32"/>
        </w:rPr>
        <w:br w:type="page"/>
      </w:r>
    </w:p>
    <w:p>
      <w:pPr>
        <w:pStyle w:val="4"/>
        <w:ind w:right="440"/>
        <w:jc w:val="right"/>
        <w:rPr>
          <w:rStyle w:val="25"/>
          <w:rFonts w:ascii="黑体" w:hAnsi="黑体" w:eastAsia="黑体"/>
          <w:b w:val="0"/>
          <w:bCs w:val="0"/>
        </w:rPr>
      </w:pPr>
      <w:bookmarkStart w:id="28" w:name="_Toc15377204"/>
      <w:bookmarkStart w:id="29" w:name="_Toc15396602"/>
      <w:bookmarkStart w:id="30" w:name="_Toc79163609"/>
      <w:bookmarkStart w:id="31" w:name="_Toc79163859"/>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w:t>
      </w:r>
      <w:r>
        <w:rPr>
          <w:rStyle w:val="25"/>
          <w:rFonts w:hint="eastAsia" w:ascii="黑体" w:hAnsi="黑体" w:eastAsia="黑体"/>
          <w:b w:val="0"/>
          <w:bCs w:val="0"/>
        </w:rPr>
        <w:t>1年度部门决算情况说明</w:t>
      </w:r>
      <w:bookmarkEnd w:id="28"/>
      <w:bookmarkEnd w:id="29"/>
      <w:bookmarkEnd w:id="30"/>
      <w:bookmarkEnd w:id="31"/>
    </w:p>
    <w:p/>
    <w:p>
      <w:pPr>
        <w:pStyle w:val="36"/>
        <w:numPr>
          <w:ilvl w:val="0"/>
          <w:numId w:val="1"/>
        </w:numPr>
        <w:spacing w:line="600" w:lineRule="exact"/>
        <w:ind w:firstLineChars="0"/>
        <w:outlineLvl w:val="1"/>
        <w:rPr>
          <w:rStyle w:val="26"/>
          <w:rFonts w:ascii="黑体" w:hAnsi="黑体" w:eastAsia="黑体"/>
          <w:b w:val="0"/>
        </w:rPr>
      </w:pPr>
      <w:bookmarkStart w:id="32" w:name="_Toc79163860"/>
      <w:bookmarkStart w:id="33" w:name="_Toc15396603"/>
      <w:bookmarkStart w:id="34" w:name="_Toc79163610"/>
      <w:bookmarkStart w:id="3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2"/>
      <w:bookmarkEnd w:id="33"/>
      <w:bookmarkEnd w:id="34"/>
      <w:bookmarkEnd w:id="35"/>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度收入总计1131.94万元、支出总计1213.56万元。与2020年相比，收入增加110.03万元、增加10%；支总计增加191.65万元，增加16%。主要变动原因一是2021年新增人员5人（其中：新招事业人员4名，县外调进人员1名），调出外县3名；二是工资较上年增加，例如每年都要增加事业人员薪级工资和高海拨工资。</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（图1：收、支决算总计变动情况图）（柱状图）</w:t>
      </w:r>
    </w:p>
    <w:p>
      <w:pPr>
        <w:pStyle w:val="9"/>
        <w:ind w:left="0" w:leftChars="0" w:firstLine="0" w:firstLineChars="0"/>
        <w:rPr>
          <w:rFonts w:hint="default" w:ascii="Arial" w:hAnsi="Arial" w:eastAsia="宋体" w:cs="Arial"/>
          <w:i w:val="0"/>
          <w:color w:val="000000"/>
          <w:kern w:val="0"/>
          <w:sz w:val="20"/>
          <w:szCs w:val="20"/>
          <w:u w:val="none"/>
          <w:lang w:val="en-US" w:eastAsia="zh-CN" w:bidi="ar"/>
        </w:rPr>
      </w:pPr>
      <w:r>
        <w:rPr>
          <w:rFonts w:hint="default" w:ascii="Arial" w:hAnsi="Arial" w:eastAsia="宋体" w:cs="Arial"/>
          <w:i w:val="0"/>
          <w:color w:val="000000"/>
          <w:kern w:val="0"/>
          <w:sz w:val="20"/>
          <w:szCs w:val="20"/>
          <w:u w:val="none"/>
          <w:lang w:val="en-US" w:eastAsia="zh-CN" w:bidi="ar"/>
        </w:rPr>
        <w:drawing>
          <wp:inline distT="0" distB="0" distL="114300" distR="114300">
            <wp:extent cx="4132580" cy="2553970"/>
            <wp:effectExtent l="0" t="0" r="1270" b="17780"/>
            <wp:docPr id="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56"/>
                    <pic:cNvPicPr>
                      <a:picLocks noChangeAspect="1"/>
                    </pic:cNvPicPr>
                  </pic:nvPicPr>
                  <pic:blipFill>
                    <a:blip r:embed="rId6"/>
                    <a:stretch>
                      <a:fillRect/>
                    </a:stretch>
                  </pic:blipFill>
                  <pic:spPr>
                    <a:xfrm>
                      <a:off x="0" y="0"/>
                      <a:ext cx="4132580" cy="2553970"/>
                    </a:xfrm>
                    <a:prstGeom prst="rect">
                      <a:avLst/>
                    </a:prstGeom>
                    <a:noFill/>
                    <a:ln w="9525">
                      <a:noFill/>
                    </a:ln>
                  </pic:spPr>
                </pic:pic>
              </a:graphicData>
            </a:graphic>
          </wp:inline>
        </w:drawing>
      </w:r>
    </w:p>
    <w:p>
      <w:pPr>
        <w:pStyle w:val="9"/>
        <w:ind w:left="0" w:leftChars="0" w:firstLine="0" w:firstLineChars="0"/>
        <w:rPr>
          <w:rFonts w:hint="default" w:ascii="Arial" w:hAnsi="Arial" w:eastAsia="宋体" w:cs="Arial"/>
          <w:i w:val="0"/>
          <w:color w:val="000000"/>
          <w:kern w:val="0"/>
          <w:sz w:val="20"/>
          <w:szCs w:val="20"/>
          <w:u w:val="none"/>
          <w:lang w:val="en-US" w:eastAsia="zh-CN" w:bidi="ar"/>
        </w:rPr>
      </w:pPr>
    </w:p>
    <w:p>
      <w:pPr>
        <w:pStyle w:val="36"/>
        <w:numPr>
          <w:ilvl w:val="0"/>
          <w:numId w:val="1"/>
        </w:numPr>
        <w:spacing w:line="600" w:lineRule="exact"/>
        <w:ind w:firstLineChars="0"/>
        <w:outlineLvl w:val="1"/>
        <w:rPr>
          <w:rStyle w:val="26"/>
          <w:rFonts w:ascii="黑体" w:hAnsi="黑体" w:eastAsia="黑体"/>
          <w:b w:val="0"/>
        </w:rPr>
      </w:pPr>
      <w:bookmarkStart w:id="36" w:name="_Toc15377206"/>
      <w:bookmarkStart w:id="37" w:name="_Toc15396604"/>
      <w:bookmarkStart w:id="38" w:name="_Toc79163861"/>
      <w:bookmarkStart w:id="39" w:name="_Toc79163611"/>
      <w:r>
        <w:rPr>
          <w:rFonts w:hint="eastAsia" w:ascii="黑体" w:hAnsi="黑体" w:eastAsia="黑体"/>
          <w:color w:val="000000"/>
          <w:sz w:val="32"/>
          <w:szCs w:val="32"/>
        </w:rPr>
        <w:t>收</w:t>
      </w:r>
      <w:r>
        <w:rPr>
          <w:rStyle w:val="26"/>
          <w:rFonts w:hint="eastAsia" w:ascii="黑体" w:hAnsi="黑体" w:eastAsia="黑体"/>
          <w:b w:val="0"/>
        </w:rPr>
        <w:t>入决算情况说明</w:t>
      </w:r>
      <w:bookmarkEnd w:id="36"/>
      <w:bookmarkEnd w:id="37"/>
      <w:bookmarkEnd w:id="38"/>
      <w:bookmarkEnd w:id="39"/>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本年收入合计1131.94万元，其中：一般公共预算财政拨款收入1131.94万元，占100%；政府性基金预算财政拨款收入0万元，占0%；上级补助收入0万元，占0%；事业收入0万元，占0%；经营收入0万元，占0%；附属单位上缴收入0万元，占0%；其他收入0万元，占0%。</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（图2：收入决算结构图）（饼状图）</w:t>
      </w:r>
    </w:p>
    <w:p>
      <w:pPr>
        <w:pStyle w:val="9"/>
        <w:rPr>
          <w:rFonts w:hint="eastAsia" w:ascii="仿宋" w:hAnsi="仿宋" w:eastAsia="仿宋"/>
          <w:color w:val="000000"/>
          <w:sz w:val="32"/>
          <w:szCs w:val="32"/>
        </w:rPr>
      </w:pPr>
      <w:r>
        <w:rPr>
          <w:rFonts w:ascii="宋体" w:hAnsi="宋体" w:cs="宋体"/>
          <w:color w:val="000000"/>
          <w:kern w:val="0"/>
          <w:sz w:val="22"/>
          <w:szCs w:val="22"/>
        </w:rPr>
        <w:drawing>
          <wp:anchor distT="0" distB="0" distL="114300" distR="114300" simplePos="0" relativeHeight="251659264" behindDoc="0" locked="0" layoutInCell="1" allowOverlap="1">
            <wp:simplePos x="0" y="0"/>
            <wp:positionH relativeFrom="column">
              <wp:posOffset>674370</wp:posOffset>
            </wp:positionH>
            <wp:positionV relativeFrom="paragraph">
              <wp:posOffset>90170</wp:posOffset>
            </wp:positionV>
            <wp:extent cx="4107180" cy="2167255"/>
            <wp:effectExtent l="4445" t="4445" r="22225" b="19050"/>
            <wp:wrapNone/>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9"/>
        <w:rPr>
          <w:rFonts w:hint="eastAsia" w:ascii="仿宋" w:hAnsi="仿宋" w:eastAsia="仿宋"/>
          <w:color w:val="000000"/>
          <w:sz w:val="32"/>
          <w:szCs w:val="32"/>
        </w:rPr>
      </w:pPr>
    </w:p>
    <w:p>
      <w:pPr>
        <w:pStyle w:val="9"/>
        <w:rPr>
          <w:rFonts w:hint="eastAsia" w:ascii="仿宋" w:hAnsi="仿宋" w:eastAsia="仿宋"/>
          <w:color w:val="000000"/>
          <w:sz w:val="32"/>
          <w:szCs w:val="32"/>
        </w:rPr>
      </w:pPr>
    </w:p>
    <w:p>
      <w:pPr>
        <w:pStyle w:val="9"/>
        <w:rPr>
          <w:rFonts w:hint="eastAsia" w:ascii="仿宋" w:hAnsi="仿宋" w:eastAsia="仿宋"/>
          <w:color w:val="000000"/>
          <w:sz w:val="32"/>
          <w:szCs w:val="32"/>
        </w:rPr>
      </w:pPr>
    </w:p>
    <w:p>
      <w:pPr>
        <w:pStyle w:val="9"/>
        <w:rPr>
          <w:rFonts w:hint="eastAsia" w:ascii="仿宋" w:hAnsi="仿宋" w:eastAsia="仿宋"/>
          <w:color w:val="000000"/>
          <w:sz w:val="32"/>
          <w:szCs w:val="32"/>
        </w:rPr>
      </w:pPr>
    </w:p>
    <w:p>
      <w:pPr>
        <w:spacing w:line="600" w:lineRule="exact"/>
        <w:ind w:firstLine="640" w:firstLineChars="200"/>
        <w:rPr>
          <w:rFonts w:ascii="仿宋_GB2312" w:eastAsia="仿宋_GB2312"/>
          <w:color w:val="FF0000"/>
          <w:sz w:val="32"/>
          <w:szCs w:val="32"/>
        </w:rPr>
      </w:pPr>
    </w:p>
    <w:p>
      <w:pPr>
        <w:pStyle w:val="36"/>
        <w:numPr>
          <w:ilvl w:val="0"/>
          <w:numId w:val="1"/>
        </w:numPr>
        <w:spacing w:line="600" w:lineRule="exact"/>
        <w:ind w:firstLineChars="0"/>
        <w:outlineLvl w:val="1"/>
        <w:rPr>
          <w:rStyle w:val="26"/>
          <w:rFonts w:ascii="黑体" w:hAnsi="黑体" w:eastAsia="黑体"/>
          <w:b w:val="0"/>
        </w:rPr>
      </w:pPr>
      <w:bookmarkStart w:id="40" w:name="_Toc15396605"/>
      <w:bookmarkStart w:id="41" w:name="_Toc15377207"/>
      <w:bookmarkStart w:id="42" w:name="_Toc79163862"/>
      <w:bookmarkStart w:id="43" w:name="_Toc79163612"/>
      <w:r>
        <w:rPr>
          <w:rFonts w:hint="eastAsia" w:ascii="黑体" w:hAnsi="黑体" w:eastAsia="黑体"/>
          <w:color w:val="000000"/>
          <w:sz w:val="32"/>
          <w:szCs w:val="32"/>
        </w:rPr>
        <w:t>支</w:t>
      </w:r>
      <w:r>
        <w:rPr>
          <w:rStyle w:val="26"/>
          <w:rFonts w:hint="eastAsia" w:ascii="黑体" w:hAnsi="黑体" w:eastAsia="黑体"/>
          <w:b w:val="0"/>
        </w:rPr>
        <w:t>出决算情况说明</w:t>
      </w:r>
      <w:bookmarkEnd w:id="40"/>
      <w:bookmarkEnd w:id="41"/>
      <w:bookmarkEnd w:id="42"/>
      <w:bookmarkEnd w:id="43"/>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2021年本年支出合计1213.56万元，其中：基本支出1213.56万元，占100%；项目支出0万元，占0%；上缴上级支出0万元，占0%；经营支出0万元，占0%；对附属单位补助支出0万元，占0%。</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（图3：支出决算结构图）（饼状图）</w:t>
      </w:r>
    </w:p>
    <w:p>
      <w:pPr>
        <w:pStyle w:val="9"/>
      </w:pPr>
      <w:r>
        <w:rPr>
          <w:rFonts w:ascii="宋体" w:hAnsi="宋体" w:cs="宋体"/>
          <w:color w:val="000000"/>
          <w:kern w:val="0"/>
          <w:sz w:val="22"/>
          <w:szCs w:val="22"/>
        </w:rPr>
        <w:drawing>
          <wp:anchor distT="0" distB="0" distL="114300" distR="114300" simplePos="0" relativeHeight="251660288" behindDoc="0" locked="0" layoutInCell="1" allowOverlap="1">
            <wp:simplePos x="0" y="0"/>
            <wp:positionH relativeFrom="column">
              <wp:posOffset>415290</wp:posOffset>
            </wp:positionH>
            <wp:positionV relativeFrom="paragraph">
              <wp:posOffset>373380</wp:posOffset>
            </wp:positionV>
            <wp:extent cx="4554220" cy="2292985"/>
            <wp:effectExtent l="5080" t="4445" r="12700" b="7620"/>
            <wp:wrapNone/>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tbl>
      <w:tblPr>
        <w:tblStyle w:val="24"/>
        <w:tblW w:w="7872" w:type="dxa"/>
        <w:tblInd w:w="108" w:type="dxa"/>
        <w:tblLayout w:type="fixed"/>
        <w:tblCellMar>
          <w:top w:w="0" w:type="dxa"/>
          <w:left w:w="108" w:type="dxa"/>
          <w:bottom w:w="0" w:type="dxa"/>
          <w:right w:w="108" w:type="dxa"/>
        </w:tblCellMar>
      </w:tblPr>
      <w:tblGrid>
        <w:gridCol w:w="1296"/>
        <w:gridCol w:w="1096"/>
        <w:gridCol w:w="1096"/>
        <w:gridCol w:w="1096"/>
        <w:gridCol w:w="1096"/>
        <w:gridCol w:w="1096"/>
        <w:gridCol w:w="1096"/>
      </w:tblGrid>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bl>
            <w:tblPr>
              <w:tblStyle w:val="24"/>
              <w:tblW w:w="1080" w:type="dxa"/>
              <w:tblCellSpacing w:w="0" w:type="dxa"/>
              <w:tblInd w:w="0" w:type="dxa"/>
              <w:tblLayout w:type="fixed"/>
              <w:tblCellMar>
                <w:top w:w="0" w:type="dxa"/>
                <w:left w:w="0" w:type="dxa"/>
                <w:bottom w:w="0" w:type="dxa"/>
                <w:right w:w="0" w:type="dxa"/>
              </w:tblCellMar>
            </w:tblPr>
            <w:tblGrid>
              <w:gridCol w:w="1080"/>
            </w:tblGrid>
            <w:tr>
              <w:tblPrEx>
                <w:tblLayout w:type="fixed"/>
                <w:tblCellMar>
                  <w:top w:w="0" w:type="dxa"/>
                  <w:left w:w="0" w:type="dxa"/>
                  <w:bottom w:w="0" w:type="dxa"/>
                  <w:right w:w="0" w:type="dxa"/>
                </w:tblCellMar>
              </w:tblPrEx>
              <w:trPr>
                <w:trHeight w:val="270" w:hRule="atLeast"/>
                <w:tblCellSpacing w:w="0" w:type="dxa"/>
              </w:trPr>
              <w:tc>
                <w:tcPr>
                  <w:tcW w:w="108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12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spacing w:line="600" w:lineRule="exact"/>
        <w:ind w:firstLine="640" w:firstLineChars="200"/>
        <w:outlineLvl w:val="1"/>
        <w:rPr>
          <w:rStyle w:val="26"/>
          <w:rFonts w:ascii="黑体" w:hAnsi="黑体" w:eastAsia="黑体"/>
          <w:b w:val="0"/>
        </w:rPr>
      </w:pPr>
      <w:bookmarkStart w:id="44" w:name="_Toc79163863"/>
      <w:bookmarkStart w:id="45" w:name="_Toc79163613"/>
      <w:bookmarkStart w:id="46" w:name="_Toc15396606"/>
      <w:bookmarkStart w:id="47" w:name="_Toc15377208"/>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4"/>
      <w:bookmarkEnd w:id="45"/>
      <w:bookmarkEnd w:id="46"/>
      <w:bookmarkEnd w:id="47"/>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财政拨款收入1131.94万元、支总计1213.56万元。与2020年相比，收入增加110.03万元、增加10%；支总计增加191.65万元，增加16%。主要变动原因：一是2021年新增人员事业人员5人名（其中：新招事业人员4名，县外调进人员1名），调出外县3名；二是工资较上年增加，例如每年都要增加事业人员薪级工资和高海拨工资。</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（图4：财政拨款收、支决算总计变动情况）（柱状图）</w:t>
      </w:r>
    </w:p>
    <w:tbl>
      <w:tblPr>
        <w:tblStyle w:val="24"/>
        <w:tblW w:w="7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7139"/>
        <w:gridCol w:w="286"/>
        <w:gridCol w:w="42"/>
        <w:gridCol w:w="42"/>
        <w:gridCol w:w="42"/>
        <w:gridCol w:w="42"/>
        <w:gridCol w:w="42"/>
        <w:gridCol w:w="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56" w:hRule="atLeast"/>
        </w:trPr>
        <w:tc>
          <w:tcPr>
            <w:tcW w:w="7139" w:type="dxa"/>
            <w:shd w:val="clear" w:color="auto" w:fill="auto"/>
            <w:vAlign w:val="bottom"/>
          </w:tcPr>
          <w:p>
            <w:pPr>
              <w:rPr>
                <w:rFonts w:hint="eastAsia" w:ascii="Arial" w:hAnsi="Arial" w:cs="Arial"/>
                <w:i w:val="0"/>
                <w:color w:val="000000"/>
                <w:sz w:val="20"/>
                <w:szCs w:val="20"/>
                <w:u w:val="none"/>
              </w:rPr>
            </w:pPr>
          </w:p>
        </w:tc>
        <w:tc>
          <w:tcPr>
            <w:tcW w:w="286" w:type="dxa"/>
            <w:shd w:val="clear" w:color="auto" w:fill="auto"/>
            <w:vAlign w:val="bottom"/>
          </w:tcPr>
          <w:p>
            <w:pPr>
              <w:rPr>
                <w:rFonts w:hint="default" w:ascii="Arial" w:hAnsi="Arial" w:cs="Arial"/>
                <w:i w:val="0"/>
                <w:color w:val="000000"/>
                <w:sz w:val="20"/>
                <w:szCs w:val="20"/>
                <w:u w:val="none"/>
              </w:rPr>
            </w:pPr>
          </w:p>
        </w:tc>
        <w:tc>
          <w:tcPr>
            <w:tcW w:w="42" w:type="dxa"/>
            <w:shd w:val="clear" w:color="auto" w:fill="auto"/>
            <w:vAlign w:val="bottom"/>
          </w:tcPr>
          <w:p>
            <w:pPr>
              <w:rPr>
                <w:rFonts w:hint="default" w:ascii="Arial" w:hAnsi="Arial" w:cs="Arial"/>
                <w:i w:val="0"/>
                <w:color w:val="000000"/>
                <w:sz w:val="20"/>
                <w:szCs w:val="20"/>
                <w:u w:val="none"/>
              </w:rPr>
            </w:pPr>
          </w:p>
        </w:tc>
        <w:tc>
          <w:tcPr>
            <w:tcW w:w="42" w:type="dxa"/>
            <w:shd w:val="clear" w:color="auto" w:fill="auto"/>
            <w:vAlign w:val="bottom"/>
          </w:tcPr>
          <w:p>
            <w:pPr>
              <w:rPr>
                <w:rFonts w:hint="default" w:ascii="Arial" w:hAnsi="Arial" w:cs="Arial"/>
                <w:i w:val="0"/>
                <w:color w:val="000000"/>
                <w:sz w:val="20"/>
                <w:szCs w:val="20"/>
                <w:u w:val="none"/>
              </w:rPr>
            </w:pPr>
          </w:p>
        </w:tc>
        <w:tc>
          <w:tcPr>
            <w:tcW w:w="42" w:type="dxa"/>
            <w:shd w:val="clear" w:color="auto" w:fill="auto"/>
            <w:vAlign w:val="bottom"/>
          </w:tcPr>
          <w:p>
            <w:pPr>
              <w:rPr>
                <w:rFonts w:hint="default" w:ascii="Arial" w:hAnsi="Arial" w:cs="Arial"/>
                <w:i w:val="0"/>
                <w:color w:val="000000"/>
                <w:sz w:val="20"/>
                <w:szCs w:val="20"/>
                <w:u w:val="none"/>
              </w:rPr>
            </w:pPr>
          </w:p>
        </w:tc>
        <w:tc>
          <w:tcPr>
            <w:tcW w:w="42" w:type="dxa"/>
            <w:shd w:val="clear" w:color="auto" w:fill="auto"/>
            <w:vAlign w:val="bottom"/>
          </w:tcPr>
          <w:p>
            <w:pPr>
              <w:rPr>
                <w:rFonts w:hint="default" w:ascii="Arial" w:hAnsi="Arial" w:cs="Arial"/>
                <w:i w:val="0"/>
                <w:color w:val="000000"/>
                <w:sz w:val="20"/>
                <w:szCs w:val="20"/>
                <w:u w:val="none"/>
              </w:rPr>
            </w:pPr>
          </w:p>
        </w:tc>
        <w:tc>
          <w:tcPr>
            <w:tcW w:w="42" w:type="dxa"/>
            <w:shd w:val="clear" w:color="auto" w:fill="auto"/>
            <w:vAlign w:val="bottom"/>
          </w:tcPr>
          <w:p>
            <w:pPr>
              <w:rPr>
                <w:rFonts w:hint="default" w:ascii="Arial" w:hAnsi="Arial" w:cs="Arial"/>
                <w:i w:val="0"/>
                <w:color w:val="000000"/>
                <w:sz w:val="20"/>
                <w:szCs w:val="20"/>
                <w:u w:val="none"/>
              </w:rPr>
            </w:pPr>
          </w:p>
        </w:tc>
        <w:tc>
          <w:tcPr>
            <w:tcW w:w="42" w:type="dxa"/>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56" w:hRule="atLeast"/>
        </w:trPr>
        <w:tc>
          <w:tcPr>
            <w:tcW w:w="7139" w:type="dxa"/>
            <w:shd w:val="clear" w:color="auto" w:fill="auto"/>
            <w:vAlign w:val="bottom"/>
          </w:tcPr>
          <w:p>
            <w:pPr>
              <w:keepNext w:val="0"/>
              <w:keepLines w:val="0"/>
              <w:widowControl/>
              <w:suppressLineNumbers w:val="0"/>
              <w:jc w:val="left"/>
              <w:textAlignment w:val="bottom"/>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drawing>
                <wp:inline distT="0" distB="0" distL="114300" distR="114300">
                  <wp:extent cx="3962400" cy="2447925"/>
                  <wp:effectExtent l="0" t="0" r="0" b="9525"/>
                  <wp:docPr id="7"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56"/>
                          <pic:cNvPicPr>
                            <a:picLocks noChangeAspect="1"/>
                          </pic:cNvPicPr>
                        </pic:nvPicPr>
                        <pic:blipFill>
                          <a:blip r:embed="rId9"/>
                          <a:stretch>
                            <a:fillRect/>
                          </a:stretch>
                        </pic:blipFill>
                        <pic:spPr>
                          <a:xfrm>
                            <a:off x="0" y="0"/>
                            <a:ext cx="3962400" cy="2447925"/>
                          </a:xfrm>
                          <a:prstGeom prst="rect">
                            <a:avLst/>
                          </a:prstGeom>
                          <a:noFill/>
                          <a:ln w="9525">
                            <a:noFill/>
                          </a:ln>
                        </pic:spPr>
                      </pic:pic>
                    </a:graphicData>
                  </a:graphic>
                </wp:inline>
              </w:drawing>
            </w:r>
          </w:p>
        </w:tc>
        <w:tc>
          <w:tcPr>
            <w:tcW w:w="286" w:type="dxa"/>
            <w:shd w:val="clear" w:color="auto" w:fill="auto"/>
            <w:vAlign w:val="bottom"/>
          </w:tcPr>
          <w:p>
            <w:pPr>
              <w:rPr>
                <w:rFonts w:hint="default" w:ascii="Arial" w:hAnsi="Arial" w:cs="Arial"/>
                <w:i w:val="0"/>
                <w:color w:val="000000"/>
                <w:sz w:val="20"/>
                <w:szCs w:val="20"/>
                <w:u w:val="none"/>
              </w:rPr>
            </w:pPr>
          </w:p>
        </w:tc>
        <w:tc>
          <w:tcPr>
            <w:tcW w:w="42" w:type="dxa"/>
            <w:shd w:val="clear" w:color="auto" w:fill="auto"/>
            <w:vAlign w:val="bottom"/>
          </w:tcPr>
          <w:p>
            <w:pPr>
              <w:rPr>
                <w:rFonts w:hint="default" w:ascii="Arial" w:hAnsi="Arial" w:cs="Arial"/>
                <w:i w:val="0"/>
                <w:color w:val="000000"/>
                <w:sz w:val="20"/>
                <w:szCs w:val="20"/>
                <w:u w:val="none"/>
              </w:rPr>
            </w:pPr>
          </w:p>
        </w:tc>
        <w:tc>
          <w:tcPr>
            <w:tcW w:w="42" w:type="dxa"/>
            <w:shd w:val="clear" w:color="auto" w:fill="auto"/>
            <w:vAlign w:val="bottom"/>
          </w:tcPr>
          <w:p>
            <w:pPr>
              <w:rPr>
                <w:rFonts w:hint="default" w:ascii="Arial" w:hAnsi="Arial" w:cs="Arial"/>
                <w:i w:val="0"/>
                <w:color w:val="000000"/>
                <w:sz w:val="20"/>
                <w:szCs w:val="20"/>
                <w:u w:val="none"/>
              </w:rPr>
            </w:pPr>
          </w:p>
        </w:tc>
        <w:tc>
          <w:tcPr>
            <w:tcW w:w="42" w:type="dxa"/>
            <w:shd w:val="clear" w:color="auto" w:fill="auto"/>
            <w:vAlign w:val="bottom"/>
          </w:tcPr>
          <w:p>
            <w:pPr>
              <w:rPr>
                <w:rFonts w:hint="default" w:ascii="Arial" w:hAnsi="Arial" w:cs="Arial"/>
                <w:i w:val="0"/>
                <w:color w:val="000000"/>
                <w:sz w:val="20"/>
                <w:szCs w:val="20"/>
                <w:u w:val="none"/>
              </w:rPr>
            </w:pPr>
          </w:p>
        </w:tc>
        <w:tc>
          <w:tcPr>
            <w:tcW w:w="42" w:type="dxa"/>
            <w:shd w:val="clear" w:color="auto" w:fill="auto"/>
            <w:vAlign w:val="bottom"/>
          </w:tcPr>
          <w:p>
            <w:pPr>
              <w:rPr>
                <w:rFonts w:hint="default" w:ascii="Arial" w:hAnsi="Arial" w:cs="Arial"/>
                <w:i w:val="0"/>
                <w:color w:val="000000"/>
                <w:sz w:val="20"/>
                <w:szCs w:val="20"/>
                <w:u w:val="none"/>
              </w:rPr>
            </w:pPr>
          </w:p>
        </w:tc>
        <w:tc>
          <w:tcPr>
            <w:tcW w:w="42" w:type="dxa"/>
            <w:shd w:val="clear" w:color="auto" w:fill="auto"/>
            <w:vAlign w:val="bottom"/>
          </w:tcPr>
          <w:p>
            <w:pPr>
              <w:rPr>
                <w:rFonts w:hint="default" w:ascii="Arial" w:hAnsi="Arial" w:cs="Arial"/>
                <w:i w:val="0"/>
                <w:color w:val="000000"/>
                <w:sz w:val="20"/>
                <w:szCs w:val="20"/>
                <w:u w:val="none"/>
              </w:rPr>
            </w:pPr>
          </w:p>
        </w:tc>
        <w:tc>
          <w:tcPr>
            <w:tcW w:w="42" w:type="dxa"/>
            <w:shd w:val="clear" w:color="auto" w:fill="auto"/>
            <w:vAlign w:val="bottom"/>
          </w:tcPr>
          <w:p>
            <w:pPr>
              <w:rPr>
                <w:rFonts w:hint="default" w:ascii="Arial" w:hAnsi="Arial" w:cs="Arial"/>
                <w:i w:val="0"/>
                <w:color w:val="000000"/>
                <w:sz w:val="20"/>
                <w:szCs w:val="20"/>
                <w:u w:val="none"/>
              </w:rPr>
            </w:pPr>
          </w:p>
        </w:tc>
      </w:tr>
    </w:tbl>
    <w:p>
      <w:pPr>
        <w:spacing w:line="600" w:lineRule="exact"/>
        <w:ind w:firstLine="640" w:firstLineChars="200"/>
        <w:outlineLvl w:val="1"/>
        <w:rPr>
          <w:rStyle w:val="26"/>
          <w:rFonts w:ascii="黑体" w:hAnsi="黑体" w:eastAsia="黑体"/>
          <w:b w:val="0"/>
        </w:rPr>
      </w:pPr>
      <w:bookmarkStart w:id="48" w:name="_Toc79163614"/>
      <w:bookmarkStart w:id="49" w:name="_Toc79163864"/>
      <w:bookmarkStart w:id="50" w:name="_Toc15396607"/>
      <w:bookmarkStart w:id="5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48"/>
      <w:bookmarkEnd w:id="49"/>
      <w:bookmarkEnd w:id="50"/>
      <w:bookmarkEnd w:id="51"/>
    </w:p>
    <w:p>
      <w:pPr>
        <w:spacing w:line="600" w:lineRule="exact"/>
        <w:ind w:firstLine="643" w:firstLineChars="200"/>
        <w:outlineLvl w:val="2"/>
        <w:rPr>
          <w:rFonts w:hint="eastAsia" w:ascii="仿宋_GB2312" w:hAnsi="仿宋_GB2312" w:eastAsia="仿宋_GB2312" w:cs="仿宋_GB2312"/>
          <w:b/>
          <w:color w:val="000000"/>
          <w:sz w:val="32"/>
          <w:szCs w:val="32"/>
        </w:rPr>
      </w:pPr>
      <w:bookmarkStart w:id="52" w:name="_Toc15377210"/>
      <w:bookmarkStart w:id="53" w:name="_Toc79163615"/>
      <w:bookmarkStart w:id="54" w:name="_Toc79163865"/>
      <w:r>
        <w:rPr>
          <w:rFonts w:hint="eastAsia" w:ascii="仿宋_GB2312" w:hAnsi="仿宋_GB2312" w:eastAsia="仿宋_GB2312" w:cs="仿宋_GB2312"/>
          <w:b/>
          <w:color w:val="000000"/>
          <w:sz w:val="32"/>
          <w:szCs w:val="32"/>
        </w:rPr>
        <w:t>（一）一般公共预算财政拨款支出决算总体情况</w:t>
      </w:r>
      <w:bookmarkEnd w:id="52"/>
      <w:bookmarkEnd w:id="53"/>
      <w:bookmarkEnd w:id="54"/>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一般公共预算财政拨款支出1213.56万元，占本年支出合计的100%。与2020年相比，一般公共预算财政拨款增加110.03万元、增加10%。主要变动原因：一是2021年新增人员事业人员5人名（其中：新招事业人员4名，县外调进人员1名），调出外县3名；二是工资较上年增加，例如每年都要增加事业人员薪级工资和高海拨工资。</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（图5：一般公共预算财政拨款支出决算变动情况）（柱状图）</w:t>
      </w:r>
    </w:p>
    <w:p>
      <w:pPr>
        <w:pStyle w:val="9"/>
      </w:pPr>
      <w:r>
        <w:drawing>
          <wp:inline distT="0" distB="0" distL="114300" distR="114300">
            <wp:extent cx="4038600" cy="1980565"/>
            <wp:effectExtent l="4445" t="4445" r="14605" b="15240"/>
            <wp:docPr id="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Times New Roman" w:hAnsi="Times New Roman" w:eastAsia="仿宋_GB2312" w:cs="Times New Roman"/>
          <w:b/>
          <w:bCs/>
          <w:kern w:val="2"/>
          <w:sz w:val="32"/>
          <w:szCs w:val="32"/>
          <w:lang w:val="en-US" w:eastAsia="zh-CN" w:bidi="ar-SA"/>
        </w:rPr>
      </w:pPr>
      <w:bookmarkStart w:id="55" w:name="_Toc79163616"/>
      <w:bookmarkStart w:id="56" w:name="_Toc15377211"/>
      <w:bookmarkStart w:id="57" w:name="_Toc79163866"/>
      <w:r>
        <w:rPr>
          <w:rFonts w:hint="eastAsia" w:ascii="Times New Roman" w:hAnsi="Times New Roman" w:eastAsia="仿宋_GB2312" w:cs="Times New Roman"/>
          <w:b/>
          <w:bCs/>
          <w:kern w:val="2"/>
          <w:sz w:val="32"/>
          <w:szCs w:val="32"/>
          <w:lang w:val="en-US" w:eastAsia="zh-CN" w:bidi="ar-SA"/>
        </w:rPr>
        <w:t>（二）一般公共预算财政拨款支出决算结构情况</w:t>
      </w:r>
      <w:bookmarkEnd w:id="55"/>
      <w:bookmarkEnd w:id="56"/>
      <w:bookmarkEnd w:id="57"/>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一般公共预算财政拨款支出1213.56万元，主要用于以下方面:社会保障和就业（类）支出1077.24万元，占88.77%；卫生健康支出50.85万元，占4.19%；住房保障支出85.47万元，占7.04%。（罗列全部功能分类科目，至类级。）</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（图6：一般公共预算财政拨款支出决算结构）（饼状图）</w:t>
      </w:r>
    </w:p>
    <w:tbl>
      <w:tblPr>
        <w:tblStyle w:val="24"/>
        <w:tblW w:w="8796" w:type="dxa"/>
        <w:tblInd w:w="108" w:type="dxa"/>
        <w:tblLayout w:type="fixed"/>
        <w:tblCellMar>
          <w:top w:w="0" w:type="dxa"/>
          <w:left w:w="108" w:type="dxa"/>
          <w:bottom w:w="0" w:type="dxa"/>
          <w:right w:w="108" w:type="dxa"/>
        </w:tblCellMar>
      </w:tblPr>
      <w:tblGrid>
        <w:gridCol w:w="2656"/>
        <w:gridCol w:w="1756"/>
        <w:gridCol w:w="1096"/>
        <w:gridCol w:w="1096"/>
        <w:gridCol w:w="1096"/>
        <w:gridCol w:w="1096"/>
      </w:tblGrid>
      <w:tr>
        <w:tblPrEx>
          <w:tblLayout w:type="fixed"/>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r>
              <w:rPr>
                <w:rFonts w:ascii="宋体" w:hAnsi="宋体" w:cs="宋体"/>
                <w:color w:val="000000"/>
                <w:kern w:val="0"/>
                <w:sz w:val="22"/>
                <w:szCs w:val="22"/>
              </w:rPr>
              <w:drawing>
                <wp:anchor distT="0" distB="0" distL="114300" distR="114300" simplePos="0" relativeHeight="251661312" behindDoc="0" locked="0" layoutInCell="1" allowOverlap="1">
                  <wp:simplePos x="0" y="0"/>
                  <wp:positionH relativeFrom="column">
                    <wp:posOffset>553720</wp:posOffset>
                  </wp:positionH>
                  <wp:positionV relativeFrom="paragraph">
                    <wp:posOffset>87630</wp:posOffset>
                  </wp:positionV>
                  <wp:extent cx="4337685" cy="2074545"/>
                  <wp:effectExtent l="4445" t="4445" r="20320" b="16510"/>
                  <wp:wrapNone/>
                  <wp:docPr id="10"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bl>
            <w:tblPr>
              <w:tblStyle w:val="24"/>
              <w:tblW w:w="2440" w:type="dxa"/>
              <w:tblCellSpacing w:w="0" w:type="dxa"/>
              <w:tblInd w:w="0" w:type="dxa"/>
              <w:tblLayout w:type="fixed"/>
              <w:tblCellMar>
                <w:top w:w="0" w:type="dxa"/>
                <w:left w:w="0" w:type="dxa"/>
                <w:bottom w:w="0" w:type="dxa"/>
                <w:right w:w="0" w:type="dxa"/>
              </w:tblCellMar>
            </w:tblPr>
            <w:tblGrid>
              <w:gridCol w:w="2440"/>
            </w:tblGrid>
            <w:tr>
              <w:tblPrEx>
                <w:tblLayout w:type="fixed"/>
                <w:tblCellMar>
                  <w:top w:w="0" w:type="dxa"/>
                  <w:left w:w="0" w:type="dxa"/>
                  <w:bottom w:w="0" w:type="dxa"/>
                  <w:right w:w="0" w:type="dxa"/>
                </w:tblCellMar>
              </w:tblPrEx>
              <w:trPr>
                <w:trHeight w:val="270" w:hRule="atLeast"/>
                <w:tblCellSpacing w:w="0" w:type="dxa"/>
              </w:trPr>
              <w:tc>
                <w:tcPr>
                  <w:tcW w:w="2440"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270" w:hRule="atLeast"/>
        </w:trPr>
        <w:tc>
          <w:tcPr>
            <w:tcW w:w="26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75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c>
          <w:tcPr>
            <w:tcW w:w="1096" w:type="dxa"/>
            <w:tcBorders>
              <w:top w:val="nil"/>
              <w:left w:val="nil"/>
              <w:bottom w:val="nil"/>
              <w:right w:val="nil"/>
            </w:tcBorders>
            <w:shd w:val="clear" w:color="auto" w:fill="auto"/>
            <w:vAlign w:val="center"/>
          </w:tcPr>
          <w:p>
            <w:pPr>
              <w:widowControl/>
              <w:jc w:val="left"/>
              <w:rPr>
                <w:rFonts w:ascii="宋体" w:hAnsi="宋体" w:cs="宋体"/>
                <w:color w:val="000000"/>
                <w:kern w:val="0"/>
                <w:sz w:val="22"/>
                <w:szCs w:val="22"/>
              </w:rPr>
            </w:pPr>
          </w:p>
        </w:tc>
      </w:tr>
    </w:tbl>
    <w:p>
      <w:pPr>
        <w:spacing w:line="600" w:lineRule="exact"/>
        <w:ind w:firstLine="640" w:firstLineChars="200"/>
        <w:rPr>
          <w:rFonts w:ascii="仿宋" w:hAnsi="仿宋" w:eastAsia="仿宋"/>
          <w:color w:val="000000"/>
          <w:sz w:val="32"/>
          <w:szCs w:val="32"/>
        </w:rPr>
      </w:pPr>
    </w:p>
    <w:p>
      <w:pPr>
        <w:spacing w:line="600" w:lineRule="exact"/>
        <w:ind w:firstLine="321" w:firstLineChars="100"/>
        <w:outlineLvl w:val="2"/>
        <w:rPr>
          <w:rFonts w:hint="eastAsia" w:ascii="仿宋_GB2312" w:hAnsi="仿宋_GB2312" w:eastAsia="仿宋_GB2312" w:cs="仿宋_GB2312"/>
          <w:b/>
          <w:color w:val="000000"/>
          <w:sz w:val="32"/>
          <w:szCs w:val="32"/>
        </w:rPr>
      </w:pPr>
      <w:bookmarkStart w:id="58" w:name="_Toc79163617"/>
      <w:bookmarkStart w:id="59" w:name="_Toc79163867"/>
      <w:bookmarkStart w:id="60" w:name="_Toc15377212"/>
      <w:r>
        <w:rPr>
          <w:rFonts w:hint="eastAsia" w:ascii="仿宋_GB2312" w:hAnsi="仿宋_GB2312" w:eastAsia="仿宋_GB2312" w:cs="仿宋_GB2312"/>
          <w:b/>
          <w:color w:val="000000"/>
          <w:sz w:val="32"/>
          <w:szCs w:val="32"/>
        </w:rPr>
        <w:t>（三）一般公共预算财政拨款支出决算具体情况</w:t>
      </w:r>
      <w:bookmarkEnd w:id="58"/>
      <w:bookmarkEnd w:id="59"/>
      <w:bookmarkEnd w:id="60"/>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bookmarkStart w:id="61" w:name="_Toc15377213"/>
      <w:bookmarkStart w:id="62" w:name="_Toc15377444"/>
      <w:bookmarkStart w:id="63" w:name="_Toc15378460"/>
      <w:r>
        <w:rPr>
          <w:rFonts w:hint="eastAsia" w:ascii="Times New Roman" w:hAnsi="Times New Roman" w:eastAsia="仿宋_GB2312" w:cs="Times New Roman"/>
          <w:b w:val="0"/>
          <w:bCs w:val="0"/>
          <w:kern w:val="2"/>
          <w:sz w:val="32"/>
          <w:szCs w:val="32"/>
          <w:lang w:val="en-US" w:eastAsia="zh-CN" w:bidi="ar-SA"/>
        </w:rPr>
        <w:t>2021年一般公共预算支出决算数为1213.56，完成预算100%。其中：</w:t>
      </w:r>
      <w:bookmarkEnd w:id="61"/>
      <w:bookmarkEnd w:id="62"/>
      <w:bookmarkEnd w:id="63"/>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1.社会保障和就业（类）行政事业单位养老支出（款）机关事业单位基本养老保险缴费支出（项）: 支出决算为70.32万元，完成预算的107%。</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2.社会保障和就业（类）行政事业单位养老支出（款）机关事业单位基本养老保险缴费支出（项）: 支出决算为78.58万元，完成预算的100%。</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社会保障和就业（类）行政事业单位养老支出（款）机关事业单位职业年金险缴费支出（项）: 支出决算为39.71万元，完成预算的100%。</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社会保障和就业（类）社会福利（款）社会福利事业单位（项）：支出决算数为958.95万元，完成预算数的109%。</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2.卫生健康支出（类）行政事业单位医疗（款）事业单位医疗（项）:支出决算为39.65万元，完成预算100%。</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卫生健康支出（类）行政事业单位医疗（款）其他行政事业单位医疗支出（项）:支出决算为11.2万元，完成预算100%。</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3.住房保障支出（类）住房改革支出（款）住房公积金（项）：支出决算数为85.47万元，完成预算数的100%。</w:t>
      </w:r>
    </w:p>
    <w:p>
      <w:pPr>
        <w:tabs>
          <w:tab w:val="right" w:pos="8306"/>
        </w:tabs>
        <w:spacing w:line="600" w:lineRule="exact"/>
        <w:ind w:firstLine="640"/>
        <w:outlineLvl w:val="1"/>
        <w:rPr>
          <w:rStyle w:val="26"/>
        </w:rPr>
      </w:pPr>
      <w:bookmarkStart w:id="64" w:name="_Toc79163618"/>
      <w:bookmarkStart w:id="65" w:name="_Toc79163868"/>
      <w:bookmarkStart w:id="66" w:name="_Toc15396608"/>
      <w:bookmarkStart w:id="6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4"/>
      <w:bookmarkEnd w:id="65"/>
      <w:bookmarkEnd w:id="66"/>
      <w:bookmarkEnd w:id="67"/>
      <w:r>
        <w:rPr>
          <w:rStyle w:val="26"/>
          <w:rFonts w:ascii="黑体" w:hAnsi="黑体" w:eastAsia="黑体"/>
          <w:b w:val="0"/>
        </w:rPr>
        <w:tab/>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2021年一般公共预算财政拨款基本支出1213.56万元，其中：</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人员经费1156.47万元，主要包括：基本工资160.26万元、津贴补贴222.97万元、奖金265.38万元、绩效工资210.71万元、机关事业单位基本养老保险缴费78.58万元、</w:t>
      </w:r>
      <w:r>
        <w:rPr>
          <w:rFonts w:hint="eastAsia" w:ascii="仿宋" w:hAnsi="仿宋" w:eastAsia="仿宋"/>
          <w:color w:val="000000"/>
          <w:sz w:val="32"/>
          <w:szCs w:val="32"/>
        </w:rPr>
        <w:t>职业年</w:t>
      </w:r>
      <w:r>
        <w:rPr>
          <w:rFonts w:hint="eastAsia" w:ascii="Times New Roman" w:hAnsi="Times New Roman" w:eastAsia="仿宋_GB2312" w:cs="Times New Roman"/>
          <w:b w:val="0"/>
          <w:bCs w:val="0"/>
          <w:kern w:val="2"/>
          <w:sz w:val="32"/>
          <w:szCs w:val="32"/>
          <w:lang w:val="en-US" w:eastAsia="zh-CN" w:bidi="ar-SA"/>
        </w:rPr>
        <w:t>金缴费39.71万元、职工基本医疗保险缴费39.65万元、公务员医疗补助11.20万元、其他社会保障缴费12.44万元、住房公积金85.47万元、生活补助23.48万元、医疗费补助6.62万元、奖励金0.01万元等。</w:t>
      </w:r>
      <w:r>
        <w:rPr>
          <w:rFonts w:hint="eastAsia" w:ascii="Times New Roman" w:hAnsi="Times New Roman" w:eastAsia="仿宋_GB2312" w:cs="Times New Roman"/>
          <w:b w:val="0"/>
          <w:bCs w:val="0"/>
          <w:kern w:val="2"/>
          <w:sz w:val="32"/>
          <w:szCs w:val="32"/>
          <w:lang w:val="en-US" w:eastAsia="zh-CN" w:bidi="ar-SA"/>
        </w:rPr>
        <w:br w:type="textWrapping"/>
      </w:r>
      <w:r>
        <w:rPr>
          <w:rFonts w:hint="eastAsia" w:ascii="Times New Roman" w:hAnsi="Times New Roman" w:eastAsia="仿宋_GB2312" w:cs="Times New Roman"/>
          <w:b w:val="0"/>
          <w:bCs w:val="0"/>
          <w:kern w:val="2"/>
          <w:sz w:val="32"/>
          <w:szCs w:val="32"/>
          <w:lang w:val="en-US" w:eastAsia="zh-CN" w:bidi="ar-SA"/>
        </w:rPr>
        <w:t>　　日常公用经费57.09万元，主要包括：办公费18.74万元、印刷费8.00万元、水费0.04万元、电费2.5万元、邮电费0.58万元、物业管理费0.91万元、差旅费18.23万元、维修（护）费1.38万元、租赁费1.56万元、公务接待费0.45万元、劳务费4.60万元、委托业务费0.10万元等。</w:t>
      </w:r>
    </w:p>
    <w:p>
      <w:pPr>
        <w:spacing w:line="600" w:lineRule="exact"/>
        <w:ind w:firstLine="640"/>
        <w:outlineLvl w:val="1"/>
        <w:rPr>
          <w:rStyle w:val="26"/>
          <w:rFonts w:ascii="黑体" w:hAnsi="黑体" w:eastAsia="黑体"/>
          <w:b w:val="0"/>
        </w:rPr>
      </w:pPr>
      <w:bookmarkStart w:id="68" w:name="_Toc15396609"/>
      <w:bookmarkStart w:id="69" w:name="_Toc79163619"/>
      <w:bookmarkStart w:id="70" w:name="_Toc79163869"/>
      <w:bookmarkStart w:id="71"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68"/>
      <w:bookmarkEnd w:id="69"/>
      <w:bookmarkEnd w:id="70"/>
      <w:bookmarkEnd w:id="71"/>
    </w:p>
    <w:p>
      <w:pPr>
        <w:spacing w:line="600" w:lineRule="exact"/>
        <w:ind w:firstLine="640"/>
        <w:outlineLvl w:val="2"/>
        <w:rPr>
          <w:rFonts w:hint="eastAsia" w:ascii="仿宋_GB2312" w:hAnsi="仿宋_GB2312" w:eastAsia="仿宋_GB2312" w:cs="仿宋_GB2312"/>
          <w:b/>
          <w:color w:val="000000"/>
          <w:sz w:val="32"/>
          <w:szCs w:val="32"/>
        </w:rPr>
      </w:pPr>
      <w:bookmarkStart w:id="72" w:name="_Toc79163870"/>
      <w:bookmarkStart w:id="73" w:name="_Toc79163620"/>
      <w:bookmarkStart w:id="74" w:name="_Toc15377216"/>
      <w:r>
        <w:rPr>
          <w:rFonts w:hint="eastAsia" w:ascii="仿宋_GB2312" w:hAnsi="仿宋_GB2312" w:eastAsia="仿宋_GB2312" w:cs="仿宋_GB2312"/>
          <w:b/>
          <w:color w:val="000000"/>
          <w:sz w:val="32"/>
          <w:szCs w:val="32"/>
        </w:rPr>
        <w:t>（一）“三公”经费财政拨款支出决算总体情况说明</w:t>
      </w:r>
      <w:bookmarkEnd w:id="72"/>
      <w:bookmarkEnd w:id="73"/>
      <w:bookmarkEnd w:id="74"/>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2021年“三公”经费财政拨款支出决算为0.4484万元，完成预算100%，决算数大于预算数的主要原因是2021年三公经费在民政局行政单位决算报表中反映。</w:t>
      </w:r>
    </w:p>
    <w:p>
      <w:pPr>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Times New Roman" w:hAnsi="Times New Roman" w:eastAsia="仿宋_GB2312" w:cs="Times New Roman"/>
          <w:b/>
          <w:bCs/>
          <w:kern w:val="2"/>
          <w:sz w:val="32"/>
          <w:szCs w:val="32"/>
          <w:lang w:val="en-US" w:eastAsia="zh-CN" w:bidi="ar-SA"/>
        </w:rPr>
      </w:pPr>
      <w:bookmarkStart w:id="75" w:name="_Toc15377217"/>
      <w:bookmarkStart w:id="76" w:name="_Toc79163871"/>
      <w:bookmarkStart w:id="77" w:name="_Toc79163621"/>
      <w:r>
        <w:rPr>
          <w:rFonts w:hint="eastAsia" w:ascii="Times New Roman" w:hAnsi="Times New Roman" w:eastAsia="仿宋_GB2312" w:cs="Times New Roman"/>
          <w:b/>
          <w:bCs/>
          <w:kern w:val="2"/>
          <w:sz w:val="32"/>
          <w:szCs w:val="32"/>
          <w:lang w:val="en-US" w:eastAsia="zh-CN" w:bidi="ar-SA"/>
        </w:rPr>
        <w:t>（二）“三公”经费财政拨款支出决算具体情况说明</w:t>
      </w:r>
      <w:bookmarkEnd w:id="75"/>
      <w:bookmarkEnd w:id="76"/>
      <w:bookmarkEnd w:id="77"/>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2021年“三公”经费财政拨款支出决算中，因公出国（境）费支出决算0万元，占0%；公务用车购置及运行维护费支出决算0万元，占0%；公务接待费支出决算0.4484万元，占100%。具体情况如下：</w:t>
      </w:r>
    </w:p>
    <w:p>
      <w:pPr>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（图7：“三公”经费财政拨款支出结构）（饼状图）</w:t>
      </w:r>
    </w:p>
    <w:tbl>
      <w:tblPr>
        <w:tblStyle w:val="24"/>
        <w:tblW w:w="71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6"/>
        <w:gridCol w:w="36"/>
        <w:gridCol w:w="6962"/>
        <w:gridCol w:w="36"/>
        <w:gridCol w:w="36"/>
        <w:gridCol w:w="36"/>
        <w:gridCol w:w="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56" w:hRule="atLeast"/>
        </w:trPr>
        <w:tc>
          <w:tcPr>
            <w:tcW w:w="36" w:type="dxa"/>
            <w:shd w:val="clear" w:color="auto" w:fill="auto"/>
            <w:vAlign w:val="bottom"/>
          </w:tcPr>
          <w:p>
            <w:pPr>
              <w:rPr>
                <w:rFonts w:hint="eastAsia" w:ascii="Arial" w:hAnsi="Arial" w:cs="Arial"/>
                <w:i w:val="0"/>
                <w:color w:val="000000"/>
                <w:sz w:val="20"/>
                <w:szCs w:val="20"/>
                <w:u w:val="none"/>
              </w:rPr>
            </w:pPr>
          </w:p>
        </w:tc>
        <w:tc>
          <w:tcPr>
            <w:tcW w:w="36" w:type="dxa"/>
            <w:shd w:val="clear" w:color="auto" w:fill="auto"/>
            <w:vAlign w:val="bottom"/>
          </w:tcPr>
          <w:p>
            <w:pPr>
              <w:rPr>
                <w:rFonts w:hint="default" w:ascii="Arial" w:hAnsi="Arial" w:cs="Arial"/>
                <w:i w:val="0"/>
                <w:color w:val="000000"/>
                <w:sz w:val="20"/>
                <w:szCs w:val="20"/>
                <w:u w:val="none"/>
              </w:rPr>
            </w:pPr>
          </w:p>
        </w:tc>
        <w:tc>
          <w:tcPr>
            <w:tcW w:w="6962" w:type="dxa"/>
            <w:shd w:val="clear" w:color="auto" w:fill="auto"/>
            <w:vAlign w:val="bottom"/>
          </w:tcPr>
          <w:p>
            <w:pPr>
              <w:rPr>
                <w:rFonts w:hint="default" w:ascii="Arial" w:hAnsi="Arial" w:cs="Arial"/>
                <w:i w:val="0"/>
                <w:color w:val="000000"/>
                <w:sz w:val="20"/>
                <w:szCs w:val="20"/>
                <w:u w:val="none"/>
              </w:rPr>
            </w:pPr>
          </w:p>
        </w:tc>
        <w:tc>
          <w:tcPr>
            <w:tcW w:w="36" w:type="dxa"/>
            <w:shd w:val="clear" w:color="auto" w:fill="auto"/>
            <w:vAlign w:val="bottom"/>
          </w:tcPr>
          <w:p>
            <w:pPr>
              <w:rPr>
                <w:rFonts w:hint="default" w:ascii="Arial" w:hAnsi="Arial" w:cs="Arial"/>
                <w:i w:val="0"/>
                <w:color w:val="000000"/>
                <w:sz w:val="20"/>
                <w:szCs w:val="20"/>
                <w:u w:val="none"/>
              </w:rPr>
            </w:pPr>
          </w:p>
        </w:tc>
        <w:tc>
          <w:tcPr>
            <w:tcW w:w="36" w:type="dxa"/>
            <w:shd w:val="clear" w:color="auto" w:fill="auto"/>
            <w:vAlign w:val="bottom"/>
          </w:tcPr>
          <w:p>
            <w:pPr>
              <w:rPr>
                <w:rFonts w:hint="default" w:ascii="Arial" w:hAnsi="Arial" w:cs="Arial"/>
                <w:i w:val="0"/>
                <w:color w:val="000000"/>
                <w:sz w:val="20"/>
                <w:szCs w:val="20"/>
                <w:u w:val="none"/>
              </w:rPr>
            </w:pPr>
          </w:p>
        </w:tc>
        <w:tc>
          <w:tcPr>
            <w:tcW w:w="36" w:type="dxa"/>
            <w:shd w:val="clear" w:color="auto" w:fill="auto"/>
            <w:vAlign w:val="bottom"/>
          </w:tcPr>
          <w:p>
            <w:pPr>
              <w:rPr>
                <w:rFonts w:hint="default" w:ascii="Arial" w:hAnsi="Arial" w:cs="Arial"/>
                <w:i w:val="0"/>
                <w:color w:val="000000"/>
                <w:sz w:val="20"/>
                <w:szCs w:val="20"/>
                <w:u w:val="none"/>
              </w:rPr>
            </w:pPr>
          </w:p>
        </w:tc>
        <w:tc>
          <w:tcPr>
            <w:tcW w:w="36" w:type="dxa"/>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10" w:hRule="atLeast"/>
        </w:trPr>
        <w:tc>
          <w:tcPr>
            <w:tcW w:w="36" w:type="dxa"/>
            <w:shd w:val="clear" w:color="auto" w:fill="auto"/>
            <w:vAlign w:val="bottom"/>
          </w:tcPr>
          <w:p>
            <w:pPr>
              <w:keepNext w:val="0"/>
              <w:keepLines w:val="0"/>
              <w:widowControl/>
              <w:suppressLineNumbers w:val="0"/>
              <w:jc w:val="left"/>
              <w:textAlignment w:val="bottom"/>
              <w:rPr>
                <w:rFonts w:hint="default" w:ascii="Arial" w:hAnsi="Arial" w:cs="Arial"/>
                <w:i w:val="0"/>
                <w:color w:val="000000"/>
                <w:sz w:val="20"/>
                <w:szCs w:val="20"/>
                <w:u w:val="none"/>
              </w:rPr>
            </w:pPr>
          </w:p>
        </w:tc>
        <w:tc>
          <w:tcPr>
            <w:tcW w:w="36" w:type="dxa"/>
            <w:shd w:val="clear" w:color="auto" w:fill="auto"/>
            <w:vAlign w:val="bottom"/>
          </w:tcPr>
          <w:p>
            <w:pPr>
              <w:rPr>
                <w:rFonts w:hint="default" w:ascii="Arial" w:hAnsi="Arial" w:cs="Arial"/>
                <w:i w:val="0"/>
                <w:color w:val="000000"/>
                <w:sz w:val="20"/>
                <w:szCs w:val="20"/>
                <w:u w:val="none"/>
              </w:rPr>
            </w:pPr>
          </w:p>
        </w:tc>
        <w:tc>
          <w:tcPr>
            <w:tcW w:w="6962" w:type="dxa"/>
            <w:shd w:val="clear" w:color="auto" w:fill="auto"/>
            <w:vAlign w:val="bottom"/>
          </w:tcPr>
          <w:p>
            <w:pPr>
              <w:rPr>
                <w:rFonts w:hint="default" w:ascii="Arial" w:hAnsi="Arial" w:cs="Arial"/>
                <w:i w:val="0"/>
                <w:color w:val="000000"/>
                <w:sz w:val="20"/>
                <w:szCs w:val="20"/>
                <w:u w:val="none"/>
              </w:rPr>
            </w:pPr>
            <w:r>
              <w:rPr>
                <w:rFonts w:hint="default" w:ascii="Arial" w:hAnsi="Arial" w:eastAsia="宋体" w:cs="Arial"/>
                <w:i w:val="0"/>
                <w:color w:val="000000"/>
                <w:kern w:val="0"/>
                <w:sz w:val="20"/>
                <w:szCs w:val="20"/>
                <w:u w:val="none"/>
                <w:lang w:val="en-US" w:eastAsia="zh-CN" w:bidi="ar"/>
              </w:rPr>
              <w:drawing>
                <wp:inline distT="0" distB="0" distL="114300" distR="114300">
                  <wp:extent cx="4396105" cy="2181225"/>
                  <wp:effectExtent l="0" t="0" r="4445" b="9525"/>
                  <wp:docPr id="11"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descr="IMG_256"/>
                          <pic:cNvPicPr>
                            <a:picLocks noChangeAspect="1"/>
                          </pic:cNvPicPr>
                        </pic:nvPicPr>
                        <pic:blipFill>
                          <a:blip r:embed="rId12"/>
                          <a:stretch>
                            <a:fillRect/>
                          </a:stretch>
                        </pic:blipFill>
                        <pic:spPr>
                          <a:xfrm>
                            <a:off x="0" y="0"/>
                            <a:ext cx="4396105" cy="2181225"/>
                          </a:xfrm>
                          <a:prstGeom prst="rect">
                            <a:avLst/>
                          </a:prstGeom>
                          <a:noFill/>
                          <a:ln w="9525">
                            <a:noFill/>
                          </a:ln>
                        </pic:spPr>
                      </pic:pic>
                    </a:graphicData>
                  </a:graphic>
                </wp:inline>
              </w:drawing>
            </w:r>
          </w:p>
        </w:tc>
        <w:tc>
          <w:tcPr>
            <w:tcW w:w="36" w:type="dxa"/>
            <w:shd w:val="clear" w:color="auto" w:fill="auto"/>
            <w:vAlign w:val="bottom"/>
          </w:tcPr>
          <w:p>
            <w:pPr>
              <w:rPr>
                <w:rFonts w:hint="default" w:ascii="Arial" w:hAnsi="Arial" w:cs="Arial"/>
                <w:i w:val="0"/>
                <w:color w:val="000000"/>
                <w:sz w:val="20"/>
                <w:szCs w:val="20"/>
                <w:u w:val="none"/>
              </w:rPr>
            </w:pPr>
          </w:p>
        </w:tc>
        <w:tc>
          <w:tcPr>
            <w:tcW w:w="36" w:type="dxa"/>
            <w:shd w:val="clear" w:color="auto" w:fill="auto"/>
            <w:vAlign w:val="bottom"/>
          </w:tcPr>
          <w:p>
            <w:pPr>
              <w:rPr>
                <w:rFonts w:hint="default" w:ascii="Arial" w:hAnsi="Arial" w:cs="Arial"/>
                <w:i w:val="0"/>
                <w:color w:val="000000"/>
                <w:sz w:val="20"/>
                <w:szCs w:val="20"/>
                <w:u w:val="none"/>
              </w:rPr>
            </w:pPr>
          </w:p>
        </w:tc>
        <w:tc>
          <w:tcPr>
            <w:tcW w:w="36" w:type="dxa"/>
            <w:shd w:val="clear" w:color="auto" w:fill="auto"/>
            <w:vAlign w:val="bottom"/>
          </w:tcPr>
          <w:p>
            <w:pPr>
              <w:rPr>
                <w:rFonts w:hint="default" w:ascii="Arial" w:hAnsi="Arial" w:cs="Arial"/>
                <w:i w:val="0"/>
                <w:color w:val="000000"/>
                <w:sz w:val="20"/>
                <w:szCs w:val="20"/>
                <w:u w:val="none"/>
              </w:rPr>
            </w:pPr>
          </w:p>
        </w:tc>
        <w:tc>
          <w:tcPr>
            <w:tcW w:w="36" w:type="dxa"/>
            <w:shd w:val="clear" w:color="auto" w:fill="auto"/>
            <w:vAlign w:val="bottom"/>
          </w:tcPr>
          <w:p>
            <w:pPr>
              <w:rPr>
                <w:rFonts w:hint="default" w:ascii="Arial" w:hAnsi="Arial" w:cs="Arial"/>
                <w:i w:val="0"/>
                <w:color w:val="000000"/>
                <w:sz w:val="20"/>
                <w:szCs w:val="20"/>
                <w:u w:val="none"/>
              </w:rPr>
            </w:pPr>
          </w:p>
        </w:tc>
      </w:tr>
    </w:tbl>
    <w:p>
      <w:pPr>
        <w:spacing w:line="600" w:lineRule="exact"/>
        <w:ind w:firstLine="643" w:firstLineChars="200"/>
        <w:rPr>
          <w:rFonts w:hint="eastAsia" w:ascii="Times New Roman" w:hAnsi="Times New Roman" w:eastAsia="仿宋_GB2312" w:cs="Times New Roman"/>
          <w:b w:val="0"/>
          <w:bCs w:val="0"/>
          <w:kern w:val="2"/>
          <w:sz w:val="32"/>
          <w:szCs w:val="32"/>
          <w:lang w:val="en-US" w:eastAsia="zh-CN" w:bidi="ar-SA"/>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Times New Roman" w:hAnsi="Times New Roman" w:eastAsia="仿宋_GB2312" w:cs="Times New Roman"/>
          <w:b w:val="0"/>
          <w:bCs w:val="0"/>
          <w:kern w:val="2"/>
          <w:sz w:val="32"/>
          <w:szCs w:val="32"/>
          <w:lang w:val="en-US" w:eastAsia="zh-CN" w:bidi="ar-SA"/>
        </w:rPr>
        <w:t>0万元，完成预算0%。全年安排因公出国（境）团组0次，出国（境）0人。主要原因是：2021年无因公出国（境）支出。</w:t>
      </w:r>
    </w:p>
    <w:p>
      <w:pPr>
        <w:spacing w:line="600" w:lineRule="exact"/>
        <w:ind w:firstLine="640"/>
        <w:rPr>
          <w:rFonts w:hint="eastAsia" w:ascii="Times New Roman" w:hAnsi="Times New Roman" w:eastAsia="仿宋_GB2312" w:cs="Times New Roman"/>
          <w:b w:val="0"/>
          <w:bCs w:val="0"/>
          <w:kern w:val="2"/>
          <w:sz w:val="32"/>
          <w:szCs w:val="32"/>
          <w:lang w:val="en-US" w:eastAsia="zh-CN" w:bidi="ar-SA"/>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Times New Roman" w:hAnsi="Times New Roman" w:eastAsia="仿宋_GB2312" w:cs="Times New Roman"/>
          <w:b w:val="0"/>
          <w:bCs w:val="0"/>
          <w:kern w:val="2"/>
          <w:sz w:val="32"/>
          <w:szCs w:val="32"/>
          <w:lang w:val="en-US" w:eastAsia="zh-CN" w:bidi="ar-SA"/>
        </w:rPr>
        <w:t>0万元,完成预算0%。公务用车购置及运行维护费支出决算比2020年增加/减少0万元，增长/下降0%。主要原因是2021年小车运行维护费全在民政行政决算报表中反映。</w:t>
      </w:r>
    </w:p>
    <w:p>
      <w:pPr>
        <w:spacing w:line="600" w:lineRule="exact"/>
        <w:ind w:firstLine="640" w:firstLineChars="200"/>
        <w:rPr>
          <w:rFonts w:hint="eastAsia" w:ascii="Times New Roman" w:hAnsi="Times New Roman" w:eastAsia="仿宋_GB2312" w:cs="Times New Roman"/>
          <w:b w:val="0"/>
          <w:bCs w:val="0"/>
          <w:kern w:val="2"/>
          <w:sz w:val="32"/>
          <w:szCs w:val="32"/>
          <w:lang w:val="en-US" w:eastAsia="zh-CN" w:bidi="ar-SA"/>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Times New Roman" w:hAnsi="Times New Roman" w:eastAsia="仿宋_GB2312" w:cs="Times New Roman"/>
          <w:b w:val="0"/>
          <w:bCs w:val="0"/>
          <w:kern w:val="2"/>
          <w:sz w:val="32"/>
          <w:szCs w:val="32"/>
          <w:lang w:val="en-US" w:eastAsia="zh-CN" w:bidi="ar-SA"/>
        </w:rPr>
        <w:t>0万元。全年按规定更新购置公务用车0辆，其中：轿车0辆、金额0万元，越野车0辆、金额0万元，载客汽车0辆、金额0万元0。截至2021年12月底，单位共有公务用车0辆，其中：轿车0辆、越野车0辆、载客汽车0辆。</w:t>
      </w:r>
    </w:p>
    <w:p>
      <w:pPr>
        <w:spacing w:line="600" w:lineRule="exact"/>
        <w:ind w:firstLine="640"/>
        <w:rPr>
          <w:rFonts w:hint="eastAsia" w:ascii="Times New Roman" w:hAnsi="Times New Roman" w:eastAsia="仿宋_GB2312" w:cs="Times New Roman"/>
          <w:b w:val="0"/>
          <w:bCs w:val="0"/>
          <w:kern w:val="2"/>
          <w:sz w:val="32"/>
          <w:szCs w:val="32"/>
          <w:lang w:val="en-US" w:eastAsia="zh-CN" w:bidi="ar-SA"/>
        </w:rPr>
      </w:pPr>
      <w:r>
        <w:rPr>
          <w:rFonts w:hint="eastAsia" w:ascii="仿宋_GB2312" w:eastAsia="仿宋_GB2312"/>
          <w:b/>
          <w:color w:val="000000"/>
          <w:sz w:val="32"/>
          <w:szCs w:val="32"/>
        </w:rPr>
        <w:t>公务用车运行维护费支出</w:t>
      </w:r>
      <w:r>
        <w:rPr>
          <w:rFonts w:hint="eastAsia" w:ascii="Times New Roman" w:hAnsi="Times New Roman" w:eastAsia="仿宋_GB2312" w:cs="Times New Roman"/>
          <w:b w:val="0"/>
          <w:bCs w:val="0"/>
          <w:kern w:val="2"/>
          <w:sz w:val="32"/>
          <w:szCs w:val="32"/>
          <w:lang w:val="en-US" w:eastAsia="zh-CN" w:bidi="ar-SA"/>
        </w:rPr>
        <w:t>0万元。</w:t>
      </w:r>
    </w:p>
    <w:p>
      <w:pPr>
        <w:keepNext w:val="0"/>
        <w:keepLines w:val="0"/>
        <w:pageBreakBefore w:val="0"/>
        <w:widowControl w:val="0"/>
        <w:kinsoku/>
        <w:wordWrap/>
        <w:overflowPunct/>
        <w:topLinePunct w:val="0"/>
        <w:bidi w:val="0"/>
        <w:snapToGrid/>
        <w:spacing w:line="560" w:lineRule="exact"/>
        <w:ind w:firstLine="640"/>
        <w:textAlignment w:val="auto"/>
        <w:rPr>
          <w:rFonts w:hint="eastAsia" w:ascii="Times New Roman" w:hAnsi="Times New Roman" w:eastAsia="仿宋_GB2312" w:cs="Times New Roman"/>
          <w:b w:val="0"/>
          <w:bCs w:val="0"/>
          <w:kern w:val="2"/>
          <w:sz w:val="32"/>
          <w:szCs w:val="32"/>
          <w:lang w:val="en-US" w:eastAsia="zh-CN" w:bidi="ar-SA"/>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Times New Roman" w:hAnsi="Times New Roman" w:eastAsia="仿宋_GB2312" w:cs="Times New Roman"/>
          <w:b w:val="0"/>
          <w:bCs w:val="0"/>
          <w:kern w:val="2"/>
          <w:sz w:val="32"/>
          <w:szCs w:val="32"/>
          <w:lang w:val="en-US" w:eastAsia="zh-CN" w:bidi="ar-SA"/>
        </w:rPr>
        <w:t>0.4484万元，完成预算100%。公务接待费支出决算比2020年增加0.4484万元，增长100%。主要原因是主要原因是2020年公务接待全在民政行政决算报表中反映。其中：</w:t>
      </w:r>
    </w:p>
    <w:p>
      <w:pPr>
        <w:keepNext w:val="0"/>
        <w:keepLines w:val="0"/>
        <w:pageBreakBefore w:val="0"/>
        <w:widowControl w:val="0"/>
        <w:kinsoku/>
        <w:wordWrap/>
        <w:overflowPunct/>
        <w:topLinePunct w:val="0"/>
        <w:bidi w:val="0"/>
        <w:snapToGrid/>
        <w:spacing w:line="560" w:lineRule="exact"/>
        <w:ind w:firstLine="64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仿宋" w:hAnsi="仿宋" w:eastAsia="仿宋"/>
          <w:b/>
          <w:color w:val="000000"/>
          <w:sz w:val="32"/>
          <w:szCs w:val="32"/>
        </w:rPr>
        <w:t>国内公务接待支出</w:t>
      </w:r>
      <w:r>
        <w:rPr>
          <w:rFonts w:hint="eastAsia" w:ascii="Times New Roman" w:hAnsi="Times New Roman" w:eastAsia="仿宋_GB2312" w:cs="Times New Roman"/>
          <w:b w:val="0"/>
          <w:bCs w:val="0"/>
          <w:kern w:val="2"/>
          <w:sz w:val="32"/>
          <w:szCs w:val="32"/>
          <w:lang w:val="en-US" w:eastAsia="zh-CN" w:bidi="ar-SA"/>
        </w:rPr>
        <w:t>0.4484万元，主要用于执行公务、开展业务活动开支的交通费、住宿费、用餐费等。国内公务接待2批次，54人次（不包括陪同人员），共计支出0.4484万元，具体内容包括：餐饮0.4484万元。</w:t>
      </w:r>
    </w:p>
    <w:p>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仿宋" w:hAnsi="仿宋" w:eastAsia="仿宋"/>
          <w:b/>
          <w:color w:val="000000"/>
          <w:sz w:val="32"/>
          <w:szCs w:val="32"/>
        </w:rPr>
        <w:t>外事接待支出</w:t>
      </w:r>
      <w:r>
        <w:rPr>
          <w:rFonts w:hint="eastAsia" w:ascii="Times New Roman" w:hAnsi="Times New Roman" w:eastAsia="仿宋_GB2312" w:cs="Times New Roman"/>
          <w:b w:val="0"/>
          <w:bCs w:val="0"/>
          <w:kern w:val="2"/>
          <w:sz w:val="32"/>
          <w:szCs w:val="32"/>
          <w:lang w:val="en-US" w:eastAsia="zh-CN" w:bidi="ar-SA"/>
        </w:rPr>
        <w:t>0万元，外事接待0批次，0人，共计支出0万元。</w:t>
      </w:r>
    </w:p>
    <w:p>
      <w:pPr>
        <w:keepNext w:val="0"/>
        <w:keepLines w:val="0"/>
        <w:pageBreakBefore w:val="0"/>
        <w:widowControl w:val="0"/>
        <w:kinsoku/>
        <w:wordWrap/>
        <w:overflowPunct/>
        <w:topLinePunct w:val="0"/>
        <w:bidi w:val="0"/>
        <w:snapToGrid/>
        <w:spacing w:line="560" w:lineRule="exact"/>
        <w:ind w:firstLine="640" w:firstLineChars="200"/>
        <w:textAlignment w:val="auto"/>
        <w:outlineLvl w:val="1"/>
        <w:rPr>
          <w:rStyle w:val="26"/>
          <w:rFonts w:ascii="黑体" w:hAnsi="黑体" w:eastAsia="黑体"/>
        </w:rPr>
      </w:pPr>
      <w:bookmarkStart w:id="78" w:name="_Toc15377218"/>
      <w:bookmarkStart w:id="79" w:name="_Toc15396610"/>
      <w:bookmarkStart w:id="80" w:name="_Toc79163622"/>
      <w:bookmarkStart w:id="81" w:name="_Toc79163872"/>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78"/>
      <w:bookmarkEnd w:id="79"/>
      <w:bookmarkEnd w:id="80"/>
      <w:bookmarkEnd w:id="81"/>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2021年政府性基金预算拨款支出0万元。</w:t>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outlineLvl w:val="1"/>
        <w:rPr>
          <w:rStyle w:val="26"/>
          <w:rFonts w:ascii="黑体" w:hAnsi="黑体" w:eastAsia="黑体"/>
          <w:b w:val="0"/>
        </w:rPr>
      </w:pPr>
      <w:bookmarkStart w:id="82" w:name="_Toc15396611"/>
      <w:bookmarkStart w:id="83" w:name="_Toc15377219"/>
      <w:bookmarkStart w:id="84" w:name="_Toc79163623"/>
      <w:bookmarkStart w:id="85" w:name="_Toc79163873"/>
      <w:r>
        <w:rPr>
          <w:rStyle w:val="26"/>
          <w:rFonts w:hint="eastAsia" w:ascii="黑体" w:hAnsi="黑体" w:eastAsia="黑体"/>
          <w:b w:val="0"/>
          <w:lang w:eastAsia="zh-CN"/>
        </w:rPr>
        <w:t>九、</w:t>
      </w:r>
      <w:r>
        <w:rPr>
          <w:rStyle w:val="26"/>
          <w:rFonts w:hint="eastAsia" w:ascii="黑体" w:hAnsi="黑体" w:eastAsia="黑体"/>
          <w:b w:val="0"/>
        </w:rPr>
        <w:t>国有资本经营预算支出决算情况说明</w:t>
      </w:r>
      <w:bookmarkEnd w:id="82"/>
      <w:bookmarkEnd w:id="83"/>
      <w:bookmarkEnd w:id="84"/>
      <w:bookmarkEnd w:id="85"/>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2021年国有资本经营预算拨款支出0万元。</w:t>
      </w:r>
    </w:p>
    <w:p>
      <w:pPr>
        <w:keepNext w:val="0"/>
        <w:keepLines w:val="0"/>
        <w:pageBreakBefore w:val="0"/>
        <w:widowControl w:val="0"/>
        <w:kinsoku/>
        <w:wordWrap/>
        <w:overflowPunct/>
        <w:topLinePunct w:val="0"/>
        <w:bidi w:val="0"/>
        <w:snapToGrid/>
        <w:spacing w:line="560" w:lineRule="exact"/>
        <w:ind w:firstLine="640" w:firstLineChars="200"/>
        <w:textAlignment w:val="auto"/>
        <w:outlineLvl w:val="1"/>
        <w:rPr>
          <w:rStyle w:val="26"/>
          <w:rFonts w:ascii="黑体" w:hAnsi="黑体" w:eastAsia="黑体"/>
        </w:rPr>
      </w:pPr>
      <w:bookmarkStart w:id="86" w:name="_Toc79163874"/>
      <w:bookmarkStart w:id="87" w:name="_Toc15396612"/>
      <w:bookmarkStart w:id="88" w:name="_Toc79163624"/>
      <w:bookmarkStart w:id="89"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86"/>
      <w:bookmarkEnd w:id="87"/>
      <w:bookmarkEnd w:id="88"/>
      <w:bookmarkEnd w:id="89"/>
    </w:p>
    <w:p>
      <w:pPr>
        <w:keepNext w:val="0"/>
        <w:keepLines w:val="0"/>
        <w:pageBreakBefore w:val="0"/>
        <w:widowControl w:val="0"/>
        <w:kinsoku/>
        <w:wordWrap/>
        <w:overflowPunct/>
        <w:topLinePunct w:val="0"/>
        <w:bidi w:val="0"/>
        <w:snapToGrid/>
        <w:spacing w:line="560" w:lineRule="exact"/>
        <w:ind w:firstLine="643" w:firstLineChars="200"/>
        <w:textAlignment w:val="auto"/>
        <w:outlineLvl w:val="2"/>
        <w:rPr>
          <w:rFonts w:hint="eastAsia" w:ascii="仿宋_GB2312" w:hAnsi="仿宋_GB2312" w:eastAsia="仿宋_GB2312" w:cs="仿宋_GB2312"/>
          <w:color w:val="000000"/>
          <w:sz w:val="32"/>
          <w:szCs w:val="32"/>
        </w:rPr>
      </w:pPr>
      <w:bookmarkStart w:id="90" w:name="_Toc79163625"/>
      <w:bookmarkStart w:id="91" w:name="_Toc15377222"/>
      <w:bookmarkStart w:id="92" w:name="_Toc79163875"/>
      <w:r>
        <w:rPr>
          <w:rFonts w:hint="eastAsia" w:ascii="仿宋_GB2312" w:hAnsi="仿宋_GB2312" w:eastAsia="仿宋_GB2312" w:cs="仿宋_GB2312"/>
          <w:b/>
          <w:color w:val="000000"/>
          <w:sz w:val="32"/>
          <w:szCs w:val="32"/>
        </w:rPr>
        <w:t>（一）机关运行经费支出情况</w:t>
      </w:r>
      <w:bookmarkEnd w:id="90"/>
      <w:bookmarkEnd w:id="91"/>
      <w:bookmarkEnd w:id="92"/>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2021年，机关运行经费支出0万元，与2020年决算数持平。</w:t>
      </w:r>
    </w:p>
    <w:p>
      <w:pPr>
        <w:keepNext w:val="0"/>
        <w:keepLines w:val="0"/>
        <w:pageBreakBefore w:val="0"/>
        <w:widowControl w:val="0"/>
        <w:kinsoku/>
        <w:wordWrap/>
        <w:overflowPunct/>
        <w:topLinePunct w:val="0"/>
        <w:bidi w:val="0"/>
        <w:snapToGrid/>
        <w:spacing w:line="560" w:lineRule="exact"/>
        <w:ind w:firstLine="643" w:firstLineChars="200"/>
        <w:textAlignment w:val="auto"/>
        <w:outlineLvl w:val="2"/>
        <w:rPr>
          <w:rFonts w:hint="eastAsia" w:ascii="仿宋_GB2312" w:hAnsi="仿宋_GB2312" w:eastAsia="仿宋_GB2312" w:cs="仿宋_GB2312"/>
          <w:b/>
          <w:color w:val="000000"/>
          <w:sz w:val="32"/>
          <w:szCs w:val="32"/>
        </w:rPr>
      </w:pPr>
      <w:bookmarkStart w:id="93" w:name="_Toc79163626"/>
      <w:bookmarkStart w:id="94" w:name="_Toc15377223"/>
      <w:bookmarkStart w:id="95" w:name="_Toc79163876"/>
      <w:r>
        <w:rPr>
          <w:rFonts w:hint="eastAsia" w:ascii="仿宋_GB2312" w:hAnsi="仿宋_GB2312" w:eastAsia="仿宋_GB2312" w:cs="仿宋_GB2312"/>
          <w:b/>
          <w:color w:val="000000"/>
          <w:sz w:val="32"/>
          <w:szCs w:val="32"/>
        </w:rPr>
        <w:t>（二）政府采购支出情况</w:t>
      </w:r>
      <w:bookmarkEnd w:id="93"/>
      <w:bookmarkEnd w:id="94"/>
      <w:bookmarkEnd w:id="95"/>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2021年，县社会救助福利服务中心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keepNext w:val="0"/>
        <w:keepLines w:val="0"/>
        <w:pageBreakBefore w:val="0"/>
        <w:widowControl w:val="0"/>
        <w:kinsoku/>
        <w:wordWrap/>
        <w:overflowPunct/>
        <w:topLinePunct w:val="0"/>
        <w:bidi w:val="0"/>
        <w:snapToGrid/>
        <w:spacing w:line="560" w:lineRule="exact"/>
        <w:ind w:firstLine="643" w:firstLineChars="200"/>
        <w:textAlignment w:val="auto"/>
        <w:outlineLvl w:val="2"/>
        <w:rPr>
          <w:rFonts w:hint="eastAsia" w:ascii="仿宋_GB2312" w:hAnsi="仿宋_GB2312" w:eastAsia="仿宋_GB2312" w:cs="仿宋_GB2312"/>
          <w:b/>
          <w:color w:val="000000"/>
          <w:sz w:val="32"/>
          <w:szCs w:val="32"/>
        </w:rPr>
      </w:pPr>
      <w:bookmarkStart w:id="96" w:name="_Toc79163877"/>
      <w:bookmarkStart w:id="97" w:name="_Toc15377224"/>
      <w:bookmarkStart w:id="98" w:name="_Toc79163627"/>
      <w:r>
        <w:rPr>
          <w:rFonts w:hint="eastAsia" w:ascii="仿宋_GB2312" w:hAnsi="仿宋_GB2312" w:eastAsia="仿宋_GB2312" w:cs="仿宋_GB2312"/>
          <w:b/>
          <w:color w:val="000000"/>
          <w:sz w:val="32"/>
          <w:szCs w:val="32"/>
        </w:rPr>
        <w:t>（三）国有资产占有使用情况</w:t>
      </w:r>
      <w:bookmarkEnd w:id="96"/>
      <w:bookmarkEnd w:id="97"/>
      <w:bookmarkEnd w:id="98"/>
    </w:p>
    <w:p>
      <w:pPr>
        <w:autoSpaceDE w:val="0"/>
        <w:autoSpaceDN w:val="0"/>
        <w:adjustRightInd w:val="0"/>
        <w:spacing w:line="600" w:lineRule="exact"/>
        <w:ind w:firstLine="640" w:firstLineChars="200"/>
        <w:jc w:val="left"/>
        <w:outlineLvl w:val="2"/>
        <w:rPr>
          <w:rFonts w:hint="eastAsia" w:ascii="仿宋_GB2312" w:eastAsia="仿宋_GB2312"/>
          <w:color w:val="000000"/>
          <w:sz w:val="32"/>
          <w:szCs w:val="32"/>
        </w:rPr>
      </w:pPr>
      <w:r>
        <w:rPr>
          <w:rFonts w:hint="eastAsia" w:ascii="Times New Roman" w:hAnsi="Times New Roman" w:eastAsia="仿宋_GB2312" w:cs="Times New Roman"/>
          <w:b w:val="0"/>
          <w:bCs w:val="0"/>
          <w:kern w:val="2"/>
          <w:sz w:val="32"/>
          <w:szCs w:val="32"/>
          <w:lang w:val="en-US" w:eastAsia="zh-CN" w:bidi="ar-SA"/>
        </w:rPr>
        <w:t>截至2021年12月31日，县社会救助福利服务中心共有车辆0辆，其中：主要领导干部用车0辆、机要通信用车0辆、应急保障用车0辆、其他用车0辆，单价50万元以上通用设备0台（套），单价100万元以上专用设备0台（套）。</w:t>
      </w:r>
    </w:p>
    <w:p>
      <w:pPr>
        <w:keepNext w:val="0"/>
        <w:keepLines w:val="0"/>
        <w:pageBreakBefore w:val="0"/>
        <w:widowControl w:val="0"/>
        <w:kinsoku/>
        <w:wordWrap/>
        <w:overflowPunct/>
        <w:topLinePunct w:val="0"/>
        <w:bidi w:val="0"/>
        <w:snapToGrid/>
        <w:spacing w:line="560" w:lineRule="exact"/>
        <w:ind w:firstLine="643" w:firstLineChars="200"/>
        <w:textAlignment w:val="auto"/>
        <w:outlineLvl w:val="2"/>
        <w:rPr>
          <w:rFonts w:hint="eastAsia" w:ascii="仿宋_GB2312" w:hAnsi="仿宋_GB2312" w:eastAsia="仿宋_GB2312" w:cs="仿宋_GB2312"/>
          <w:b/>
          <w:color w:val="000000"/>
          <w:sz w:val="32"/>
          <w:szCs w:val="32"/>
        </w:rPr>
      </w:pPr>
      <w:bookmarkStart w:id="99" w:name="_Toc79163878"/>
      <w:bookmarkStart w:id="100" w:name="_Toc79163628"/>
      <w:r>
        <w:rPr>
          <w:rFonts w:hint="eastAsia" w:ascii="仿宋_GB2312" w:hAnsi="仿宋_GB2312" w:eastAsia="仿宋_GB2312" w:cs="仿宋_GB2312"/>
          <w:b/>
          <w:color w:val="000000"/>
          <w:sz w:val="32"/>
          <w:szCs w:val="32"/>
        </w:rPr>
        <w:t>（四）预算绩效管理情况</w:t>
      </w:r>
      <w:bookmarkEnd w:id="99"/>
      <w:bookmarkEnd w:id="100"/>
    </w:p>
    <w:p>
      <w:pPr>
        <w:autoSpaceDE w:val="0"/>
        <w:autoSpaceDN w:val="0"/>
        <w:adjustRightInd w:val="0"/>
        <w:spacing w:line="600" w:lineRule="exact"/>
        <w:ind w:firstLine="640" w:firstLineChars="200"/>
        <w:jc w:val="left"/>
        <w:outlineLvl w:val="2"/>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根据预算绩效管理要求，本部门（单位）在年初预算编制阶段，组织对困难群众救助（即：儿童福利、</w:t>
      </w:r>
      <w:r>
        <w:rPr>
          <w:rFonts w:hint="eastAsia" w:ascii="Times New Roman" w:hAnsi="Times New Roman" w:eastAsia="仿宋_GB2312" w:cs="Times New Roman"/>
          <w:b w:val="0"/>
          <w:bCs w:val="0"/>
          <w:kern w:val="2"/>
          <w:sz w:val="32"/>
          <w:szCs w:val="32"/>
          <w:lang w:val="zh-CN" w:eastAsia="zh-CN" w:bidi="ar-SA"/>
        </w:rPr>
        <w:t>特困人员救助、临时救助</w:t>
      </w:r>
      <w:r>
        <w:rPr>
          <w:rFonts w:hint="eastAsia" w:ascii="Times New Roman" w:hAnsi="Times New Roman" w:eastAsia="仿宋_GB2312" w:cs="Times New Roman"/>
          <w:b w:val="0"/>
          <w:bCs w:val="0"/>
          <w:kern w:val="2"/>
          <w:sz w:val="32"/>
          <w:szCs w:val="32"/>
          <w:lang w:val="en-US" w:eastAsia="zh-CN" w:bidi="ar-SA"/>
        </w:rPr>
        <w:t>）、高龄津贴（包含80至89岁老人、90至99岁老人、100岁老人）、重度残疾人护理补贴、困难残疾人生活补助、居家养老服务体系、城市农村日间照料资金、特困人员供养资金开展了预算事前绩效评估，对8个项目编制了绩效目标，预算执行过程中，选取困难残疾人生活补贴、重度残疾人护理补贴、困难群众救助（即：儿童福利、</w:t>
      </w:r>
      <w:r>
        <w:rPr>
          <w:rFonts w:hint="eastAsia" w:ascii="Times New Roman" w:hAnsi="Times New Roman" w:eastAsia="仿宋_GB2312" w:cs="Times New Roman"/>
          <w:b w:val="0"/>
          <w:bCs w:val="0"/>
          <w:kern w:val="2"/>
          <w:sz w:val="32"/>
          <w:szCs w:val="32"/>
          <w:lang w:val="zh-CN" w:eastAsia="zh-CN" w:bidi="ar-SA"/>
        </w:rPr>
        <w:t>特困人员救助、临时救助）</w:t>
      </w:r>
      <w:r>
        <w:rPr>
          <w:rFonts w:hint="eastAsia" w:ascii="Times New Roman" w:hAnsi="Times New Roman" w:eastAsia="仿宋_GB2312" w:cs="Times New Roman"/>
          <w:b w:val="0"/>
          <w:bCs w:val="0"/>
          <w:kern w:val="2"/>
          <w:sz w:val="32"/>
          <w:szCs w:val="32"/>
          <w:lang w:val="en-US" w:eastAsia="zh-CN" w:bidi="ar-SA"/>
        </w:rPr>
        <w:t>、高龄津贴等5个项目开展绩效监控，年终执行完毕后，对4个项目开展了绩效目标完成情况自评。</w:t>
      </w:r>
    </w:p>
    <w:p>
      <w:pPr>
        <w:autoSpaceDE w:val="0"/>
        <w:autoSpaceDN w:val="0"/>
        <w:adjustRightInd w:val="0"/>
        <w:spacing w:line="600" w:lineRule="exact"/>
        <w:ind w:firstLine="640" w:firstLineChars="200"/>
        <w:jc w:val="left"/>
        <w:outlineLvl w:val="2"/>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本部门按要求对2021年部门整体支出开展绩效自评，从评价情况来看一是提高了资金的使用效率；二是规范了财务管理；三是项目申报条件合规，项目实施进度明确；四是受益人员政策知晓率提高；五是确保了年度绩效目标如期实现；六是提高党的执政能力和巩固党的执政基础，促进经济发展和社会进步，实现物质文明、政治文明和精神文明协调发展。本部门还自行组织了4个项目绩效评价，从评价情况来看规范了财务管理，提高了资金的使用效率，项目实施合格，资金拨付按进度进行，受益人员满意度和政策知晓率提高，强化了预算执行全过程的管理，提供详实准确的预算执行数据，能较为准确预测预算收支的发展趋势提供了有力的支撑。</w:t>
      </w:r>
    </w:p>
    <w:p>
      <w:pPr>
        <w:autoSpaceDE w:val="0"/>
        <w:autoSpaceDN w:val="0"/>
        <w:adjustRightInd w:val="0"/>
        <w:spacing w:line="600" w:lineRule="exact"/>
        <w:ind w:firstLine="643" w:firstLineChars="200"/>
        <w:jc w:val="left"/>
        <w:outlineLvl w:val="2"/>
        <w:rPr>
          <w:rFonts w:hint="eastAsia" w:ascii="Times New Roman" w:hAnsi="Times New Roman" w:eastAsia="仿宋_GB2312" w:cs="Times New Roman"/>
          <w:b/>
          <w:bCs/>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1.项目绩效目标完成情况。</w:t>
      </w:r>
    </w:p>
    <w:p>
      <w:pPr>
        <w:autoSpaceDE w:val="0"/>
        <w:autoSpaceDN w:val="0"/>
        <w:adjustRightInd w:val="0"/>
        <w:spacing w:line="600" w:lineRule="exact"/>
        <w:ind w:firstLine="640" w:firstLineChars="200"/>
        <w:jc w:val="left"/>
        <w:outlineLvl w:val="2"/>
        <w:rPr>
          <w:rFonts w:hint="eastAsia" w:ascii="Times New Roman" w:hAnsi="Times New Roman" w:eastAsia="仿宋_GB2312" w:cs="Times New Roman"/>
          <w:b w:val="0"/>
          <w:bCs w:val="0"/>
          <w:kern w:val="2"/>
          <w:sz w:val="32"/>
          <w:szCs w:val="32"/>
          <w:lang w:val="en-US" w:eastAsia="zh-CN" w:bidi="ar-SA"/>
        </w:rPr>
      </w:pPr>
      <w:r>
        <w:rPr>
          <w:rFonts w:hint="eastAsia" w:ascii="Times New Roman" w:hAnsi="Times New Roman" w:eastAsia="仿宋_GB2312" w:cs="Times New Roman"/>
          <w:b w:val="0"/>
          <w:bCs w:val="0"/>
          <w:kern w:val="2"/>
          <w:sz w:val="32"/>
          <w:szCs w:val="32"/>
          <w:lang w:val="en-US" w:eastAsia="zh-CN" w:bidi="ar-SA"/>
        </w:rPr>
        <w:t xml:space="preserve">2021年此决算表中无项目支出，项目支出在民政行政决算报表中体现。 </w:t>
      </w:r>
    </w:p>
    <w:p>
      <w:pPr>
        <w:autoSpaceDE w:val="0"/>
        <w:autoSpaceDN w:val="0"/>
        <w:adjustRightInd w:val="0"/>
        <w:spacing w:line="600" w:lineRule="exact"/>
        <w:ind w:firstLine="643" w:firstLineChars="200"/>
        <w:jc w:val="left"/>
        <w:outlineLvl w:val="2"/>
        <w:rPr>
          <w:rFonts w:hint="eastAsia" w:ascii="Times New Roman" w:hAnsi="Times New Roman" w:eastAsia="仿宋_GB2312" w:cs="Times New Roman"/>
          <w:b/>
          <w:bCs/>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2.部门绩效评价结果。</w:t>
      </w:r>
    </w:p>
    <w:p>
      <w:pPr>
        <w:autoSpaceDE w:val="0"/>
        <w:autoSpaceDN w:val="0"/>
        <w:adjustRightInd w:val="0"/>
        <w:spacing w:line="600" w:lineRule="exact"/>
        <w:ind w:firstLine="640" w:firstLineChars="200"/>
        <w:jc w:val="left"/>
        <w:outlineLvl w:val="2"/>
        <w:rPr>
          <w:rFonts w:ascii="仿宋_GB2312" w:eastAsia="仿宋_GB2312"/>
          <w:b/>
          <w:color w:val="000000"/>
          <w:sz w:val="32"/>
          <w:szCs w:val="32"/>
        </w:rPr>
      </w:pPr>
      <w:r>
        <w:rPr>
          <w:rFonts w:hint="eastAsia" w:ascii="Times New Roman" w:hAnsi="Times New Roman" w:eastAsia="仿宋_GB2312" w:cs="Times New Roman"/>
          <w:b w:val="0"/>
          <w:bCs w:val="0"/>
          <w:kern w:val="2"/>
          <w:sz w:val="32"/>
          <w:szCs w:val="32"/>
          <w:lang w:val="en-US" w:eastAsia="zh-CN" w:bidi="ar-SA"/>
        </w:rPr>
        <w:t>本部门按要求对2021年部门整体支出绩效评价情况开展自评，《县社会救助福利服务中心部门2020年部门整体支出绩效评价报告》见附件（附件1）。</w:t>
      </w:r>
      <w:r>
        <w:rPr>
          <w:rFonts w:ascii="仿宋_GB2312" w:eastAsia="仿宋_GB2312"/>
          <w:b/>
          <w:color w:val="000000"/>
          <w:sz w:val="32"/>
          <w:szCs w:val="32"/>
        </w:rPr>
        <w:br w:type="page"/>
      </w:r>
    </w:p>
    <w:p>
      <w:pPr>
        <w:numPr>
          <w:ilvl w:val="0"/>
          <w:numId w:val="2"/>
        </w:numPr>
        <w:spacing w:line="600" w:lineRule="exact"/>
        <w:ind w:firstLine="660" w:firstLineChars="150"/>
        <w:jc w:val="center"/>
        <w:outlineLvl w:val="0"/>
        <w:rPr>
          <w:rStyle w:val="25"/>
          <w:rFonts w:ascii="黑体" w:hAnsi="黑体" w:eastAsia="黑体"/>
          <w:b w:val="0"/>
        </w:rPr>
      </w:pPr>
      <w:bookmarkStart w:id="101" w:name="_Toc15396613"/>
      <w:bookmarkStart w:id="102" w:name="_Toc79163629"/>
      <w:bookmarkStart w:id="103" w:name="_Toc15377225"/>
      <w:bookmarkStart w:id="104" w:name="_Toc79163879"/>
      <w:r>
        <w:rPr>
          <w:rFonts w:hint="eastAsia" w:ascii="黑体" w:hAnsi="黑体" w:eastAsia="黑体"/>
          <w:color w:val="000000"/>
          <w:sz w:val="44"/>
          <w:szCs w:val="44"/>
        </w:rPr>
        <w:t>名</w:t>
      </w:r>
      <w:r>
        <w:rPr>
          <w:rStyle w:val="25"/>
          <w:rFonts w:hint="eastAsia" w:ascii="黑体" w:hAnsi="黑体" w:eastAsia="黑体"/>
          <w:b w:val="0"/>
        </w:rPr>
        <w:t>词解释</w:t>
      </w:r>
      <w:bookmarkEnd w:id="101"/>
      <w:bookmarkEnd w:id="102"/>
      <w:bookmarkEnd w:id="103"/>
      <w:bookmarkEnd w:id="104"/>
    </w:p>
    <w:p>
      <w:pPr>
        <w:spacing w:line="600" w:lineRule="exact"/>
        <w:jc w:val="left"/>
        <w:rPr>
          <w:rFonts w:ascii="宋体"/>
          <w:b/>
          <w:color w:val="000000"/>
          <w:sz w:val="44"/>
          <w:szCs w:val="44"/>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1.财政拨款收入：指单位从同级财政部门取得的财政预算资金。</w:t>
      </w: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2.事业收入：指事业单位开展专业业务活动及辅助活动取得的收入。</w:t>
      </w: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3.经营收入：指事业单位在专业业务活动及其辅助活动之外开展非独立核算经营活动取得的收入。</w:t>
      </w: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 xml:space="preserve">4.其他收入：指单位取得的除上述收入以外的各项收入。主要是。 </w:t>
      </w: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 xml:space="preserve">6.年初结转和结余：指以前年度尚未完成、结转到本年按有关规定继续使用的资金。 </w:t>
      </w: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7.结余分配：指事业单位按照事业单位会计制度的规定从非财政补助结余中分配的事业基金和职工福利基金等。</w:t>
      </w: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8、年末结转和结余：指单位按有关规定结转到下年或以后年度继续使用的资金。</w:t>
      </w:r>
    </w:p>
    <w:p>
      <w:pPr>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9、社会保障和就业：</w:t>
      </w:r>
    </w:p>
    <w:p>
      <w:pPr>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（1）社会福利：2081005社会福利事业单位支出指：反映单位事业人员的基本支出，如基本工资、津补贴、绩效工资、其他社会保障续费、机关运行工作经费等支出；</w:t>
      </w:r>
    </w:p>
    <w:p>
      <w:pPr>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（2）行政事业单位离退休：2080505 机关事业单位基本养老保险缴费支出指反映机关事业单位实施养老保险制度由单位缴纳的基本养老保险费支出。2080506机关事业单位职业年金缴费支出指：反映机关事业单位 实施养老保险制度由单位缴纳的职业年金支出。</w:t>
      </w:r>
    </w:p>
    <w:p>
      <w:pPr>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10、医疗卫生与计划生育</w:t>
      </w:r>
    </w:p>
    <w:p>
      <w:pPr>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行政事业单位医疗：2101102事业单位医疗财政部门集中安排的行政单位基本医疗保险缴费经费。</w:t>
      </w:r>
    </w:p>
    <w:p>
      <w:pPr>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11、住房保障</w:t>
      </w:r>
    </w:p>
    <w:p>
      <w:pPr>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住房改革支出：2210201住房公积金指：行政事业单位按人力资源和社会保障部、财政部门规定的基本工资和津贴补贴以及规定比例为职工缴纳的住房公积金；2210203购房补贴指单位退休人员购房补贴。</w:t>
      </w:r>
    </w:p>
    <w:p>
      <w:pPr>
        <w:spacing w:line="560" w:lineRule="exact"/>
        <w:ind w:firstLine="64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12.基本支出：指为保障机构正常运转、完成日常工作任务而发生的人员支出和公用支出。</w:t>
      </w:r>
    </w:p>
    <w:p>
      <w:pPr>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 xml:space="preserve">13.项目支出：指在基本支出之外为完成特定行政任务和事业发展目标所发生的支出。 </w:t>
      </w:r>
    </w:p>
    <w:p>
      <w:pPr>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14.经营支出：指事业单位在专业业务活动及其辅助活动之外开展非独立核算经营活动发生的支出。</w:t>
      </w: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15.“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pStyle w:val="35"/>
        <w:spacing w:line="560" w:lineRule="exact"/>
        <w:ind w:firstLine="640" w:firstLineChars="200"/>
        <w:rPr>
          <w:rFonts w:hint="eastAsia" w:ascii="Times New Roman" w:hAnsi="Times New Roman" w:eastAsia="仿宋_GB2312" w:cs="Times New Roman"/>
          <w:b w:val="0"/>
          <w:bCs w:val="0"/>
          <w:color w:val="auto"/>
          <w:kern w:val="2"/>
          <w:sz w:val="32"/>
          <w:szCs w:val="32"/>
          <w:lang w:val="en-US" w:eastAsia="zh-CN" w:bidi="ar-SA"/>
        </w:rPr>
      </w:pPr>
    </w:p>
    <w:p>
      <w:pPr>
        <w:numPr>
          <w:ilvl w:val="0"/>
          <w:numId w:val="2"/>
        </w:numPr>
        <w:spacing w:line="600" w:lineRule="exact"/>
        <w:ind w:firstLine="660" w:firstLineChars="150"/>
        <w:jc w:val="center"/>
        <w:outlineLvl w:val="0"/>
        <w:rPr>
          <w:rFonts w:hint="eastAsia" w:ascii="黑体" w:hAnsi="黑体" w:eastAsia="黑体"/>
          <w:color w:val="000000"/>
          <w:sz w:val="44"/>
          <w:szCs w:val="44"/>
          <w:lang w:val="en-US" w:eastAsia="zh-CN"/>
        </w:rPr>
      </w:pPr>
      <w:bookmarkStart w:id="105" w:name="_Toc79163630"/>
      <w:bookmarkStart w:id="106" w:name="_Toc79163880"/>
      <w:bookmarkStart w:id="107" w:name="_Toc15396614"/>
      <w:bookmarkStart w:id="108" w:name="_Toc15377226"/>
      <w:r>
        <w:rPr>
          <w:rFonts w:hint="eastAsia" w:ascii="黑体" w:hAnsi="黑体" w:eastAsia="黑体"/>
          <w:color w:val="000000"/>
          <w:sz w:val="44"/>
          <w:szCs w:val="44"/>
          <w:lang w:val="en-US" w:eastAsia="zh-CN"/>
        </w:rPr>
        <w:t xml:space="preserve"> 附件</w:t>
      </w:r>
      <w:bookmarkEnd w:id="105"/>
      <w:bookmarkEnd w:id="106"/>
      <w:bookmarkEnd w:id="107"/>
    </w:p>
    <w:p>
      <w:pPr>
        <w:spacing w:line="600" w:lineRule="exact"/>
        <w:jc w:val="left"/>
        <w:outlineLvl w:val="0"/>
        <w:rPr>
          <w:rFonts w:hint="eastAsia" w:ascii="Times New Roman" w:hAnsi="Times New Roman" w:eastAsia="仿宋_GB2312" w:cs="Times New Roman"/>
          <w:b w:val="0"/>
          <w:bCs w:val="0"/>
          <w:color w:val="auto"/>
          <w:kern w:val="2"/>
          <w:sz w:val="32"/>
          <w:szCs w:val="32"/>
          <w:lang w:val="en-US" w:eastAsia="zh-CN" w:bidi="ar-SA"/>
        </w:rPr>
      </w:pPr>
      <w:bookmarkStart w:id="109" w:name="_Toc79163881"/>
      <w:bookmarkStart w:id="110" w:name="_Toc79163631"/>
      <w:r>
        <w:rPr>
          <w:rFonts w:hint="eastAsia" w:ascii="Times New Roman" w:hAnsi="Times New Roman" w:eastAsia="仿宋_GB2312" w:cs="Times New Roman"/>
          <w:b w:val="0"/>
          <w:bCs w:val="0"/>
          <w:color w:val="auto"/>
          <w:kern w:val="2"/>
          <w:sz w:val="32"/>
          <w:szCs w:val="32"/>
          <w:lang w:val="en-US" w:eastAsia="zh-CN" w:bidi="ar-SA"/>
        </w:rPr>
        <w:t>附件1</w:t>
      </w:r>
      <w:bookmarkEnd w:id="109"/>
      <w:bookmarkEnd w:id="110"/>
    </w:p>
    <w:p>
      <w:pPr>
        <w:spacing w:line="580" w:lineRule="exact"/>
        <w:jc w:val="center"/>
        <w:rPr>
          <w:rFonts w:hint="eastAsia" w:ascii="Times New Roman" w:hAnsi="Times New Roman" w:eastAsia="仿宋_GB2312" w:cs="Times New Roman"/>
          <w:b w:val="0"/>
          <w:bCs w:val="0"/>
          <w:color w:val="auto"/>
          <w:kern w:val="2"/>
          <w:sz w:val="32"/>
          <w:szCs w:val="32"/>
          <w:lang w:val="en-US" w:eastAsia="zh-CN" w:bidi="ar-SA"/>
        </w:rPr>
      </w:pPr>
    </w:p>
    <w:p>
      <w:pPr>
        <w:spacing w:line="600" w:lineRule="exact"/>
        <w:jc w:val="center"/>
        <w:outlineLvl w:val="0"/>
        <w:rPr>
          <w:rFonts w:ascii="方正小标宋简体" w:hAnsi="黑体" w:eastAsia="方正小标宋简体" w:cs="黑体"/>
          <w:sz w:val="44"/>
          <w:szCs w:val="44"/>
        </w:rPr>
      </w:pPr>
      <w:bookmarkStart w:id="111" w:name="_Toc79163882"/>
      <w:bookmarkStart w:id="112" w:name="_Toc79163632"/>
      <w:r>
        <w:rPr>
          <w:rFonts w:hint="eastAsia" w:ascii="方正小标宋简体" w:hAnsi="黑体" w:eastAsia="方正小标宋简体" w:cs="黑体"/>
          <w:sz w:val="44"/>
          <w:szCs w:val="44"/>
        </w:rPr>
        <w:t>县社会救助福利中心</w:t>
      </w:r>
    </w:p>
    <w:p>
      <w:pPr>
        <w:spacing w:line="600" w:lineRule="exact"/>
        <w:jc w:val="center"/>
        <w:outlineLvl w:val="0"/>
        <w:rPr>
          <w:rFonts w:ascii="方正小标宋简体" w:hAnsi="黑体" w:eastAsia="方正小标宋简体" w:cs="黑体"/>
          <w:sz w:val="44"/>
          <w:szCs w:val="44"/>
        </w:rPr>
      </w:pP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1</w:t>
      </w:r>
      <w:r>
        <w:rPr>
          <w:rFonts w:hint="eastAsia" w:ascii="方正小标宋简体" w:hAnsi="黑体" w:eastAsia="方正小标宋简体" w:cs="黑体"/>
          <w:sz w:val="44"/>
          <w:szCs w:val="44"/>
        </w:rPr>
        <w:t>年部门整体支出绩效评价报告</w:t>
      </w:r>
      <w:bookmarkEnd w:id="111"/>
      <w:bookmarkEnd w:id="112"/>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（一）机构组成。</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壤塘县民政局属于一级预算单位，设4个行政股室（即办公室、社会福利与社会事务股、社会救助股（挂壤塘县流浪乞讨人员救助站牌子）、区划地名与基层政权股）。下设事业机构4个（低收入家庭认定指导中心，敬老院服务中心，中壤塘敬老院、南木达敬老院、、茸木达敬老院、尕多敬老院，壤塘县社会救助福利服务中心（挂壤塘县儿童福利服务指导中心牌子）。</w:t>
      </w:r>
    </w:p>
    <w:p>
      <w:pPr>
        <w:pStyle w:val="5"/>
        <w:pageBreakBefore w:val="0"/>
        <w:numPr>
          <w:ilvl w:val="0"/>
          <w:numId w:val="3"/>
        </w:numPr>
        <w:kinsoku/>
        <w:wordWrap/>
        <w:overflowPunct/>
        <w:topLinePunct w:val="0"/>
        <w:autoSpaceDE/>
        <w:autoSpaceDN/>
        <w:bidi w:val="0"/>
        <w:spacing w:before="0" w:after="0" w:line="560" w:lineRule="exact"/>
        <w:ind w:firstLine="643" w:firstLineChars="200"/>
        <w:textAlignment w:val="auto"/>
        <w:rPr>
          <w:rFonts w:ascii="楷体_GB2312" w:hAnsi="楷体_GB2312" w:eastAsia="楷体_GB2312" w:cs="楷体_GB2312"/>
          <w:kern w:val="0"/>
          <w:sz w:val="32"/>
          <w:szCs w:val="32"/>
        </w:rPr>
      </w:pPr>
      <w:r>
        <w:rPr>
          <w:rFonts w:hint="eastAsia" w:ascii="仿宋_GB2312" w:hAnsi="宋体" w:eastAsia="仿宋_GB2312" w:cs="宋体"/>
          <w:color w:val="000000"/>
          <w:kern w:val="0"/>
          <w:sz w:val="32"/>
          <w:szCs w:val="32"/>
          <w:shd w:val="clear" w:color="auto" w:fill="FFFFFF"/>
          <w:lang w:val="zh-CN"/>
        </w:rPr>
        <w:t>机构职能。</w:t>
      </w:r>
    </w:p>
    <w:p>
      <w:pPr>
        <w:pStyle w:val="5"/>
        <w:pageBreakBefore w:val="0"/>
        <w:numPr>
          <w:ilvl w:val="0"/>
          <w:numId w:val="0"/>
        </w:numPr>
        <w:kinsoku/>
        <w:wordWrap/>
        <w:overflowPunct/>
        <w:topLinePunct w:val="0"/>
        <w:autoSpaceDE/>
        <w:autoSpaceDN/>
        <w:bidi w:val="0"/>
        <w:spacing w:before="0" w:after="0" w:line="560" w:lineRule="exact"/>
        <w:ind w:firstLine="643" w:firstLineChars="200"/>
        <w:textAlignment w:val="auto"/>
        <w:rPr>
          <w:rFonts w:ascii="楷体_GB2312" w:hAnsi="楷体_GB2312" w:eastAsia="楷体_GB2312" w:cs="楷体_GB2312"/>
          <w:kern w:val="0"/>
          <w:sz w:val="32"/>
          <w:szCs w:val="32"/>
        </w:rPr>
      </w:pPr>
      <w:r>
        <w:rPr>
          <w:rFonts w:hint="eastAsia" w:ascii="楷体_GB2312" w:hAnsi="楷体_GB2312" w:eastAsia="楷体_GB2312" w:cs="楷体_GB2312"/>
          <w:b/>
          <w:kern w:val="0"/>
          <w:sz w:val="32"/>
          <w:szCs w:val="32"/>
        </w:rPr>
        <w:t>根据三定方案文件规定，主要职能是</w:t>
      </w:r>
      <w:r>
        <w:rPr>
          <w:rFonts w:hint="eastAsia" w:ascii="楷体_GB2312" w:hAnsi="楷体_GB2312" w:eastAsia="楷体_GB2312" w:cs="楷体_GB2312"/>
          <w:kern w:val="0"/>
          <w:sz w:val="32"/>
          <w:szCs w:val="32"/>
        </w:rPr>
        <w:t>：</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县低收入家庭认定指导中心主要职能职责:负责对申请城乡低保等政府救助和社会救助的城乡居民家庭收入和财产情况进行信息核对;负责全县低收入家庭经济状况核对信息数据库的建立、维护、查询、交流等工作;负责全县救助对象的数据统计和动态分析;负责指导各乡镇开展低收入家庭经济状况认定工作;会同有关部门，制定与城乡低保有关的配套优惠政策;负责本县低保信息网络建设和管理;负责城乡居民最低生活保障审核、审批工作;对最低生活保障资金的使用和管理情况进行督查;负责城乡特困群众临时性救济的审核、审批工作;负责全县农村特困群众医疗救助审核、审批工作;负责全县农村特困户救助的审核、审批工作。完成领导交办的其他工作。</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敬老院服务中心主要职能职责:贯彻执行党的路线、方针、政策，遵守国家法律法规和社会福利政策;认真贯彻《农村五保供养工作条例》;负责敬老院发展规划，指导敬老院建设管理和集中供养工作;指导敬老院建立健全各项规章制度工作;监督指导敬老院负责人和工作人员的工作，并对其进行考核考评，维护供养人员的合法权益，保障敬老院管理健康、有序发展。完成领导交办的其他工作。</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敬老院主要职能职责:贯彻执行国家有关五保供养工作的方针、政策和法律法规;组织制定院内的各项规章制度和发展规划;组织发展经济、不断提高供养人员的生活水平;认真履行职责，建立岗位责任制，实行目标管理、考核，维护供养人员的合法权益。完成领导交办的其他工作。</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县社会救助福利服务中心主要职能职责:主要是为中心救助对象的衣、食、住、行服务，执行国家救助福利政策，不断提高服务水平，体现党和政府对弱势群体的关心和重视;在中心内定期组织学习有关文件精神，让他们每天收看新闻，集体组织救助对象看电视，让他们了解我国改革开放以来日新月异的变化，了解国际国内的重大事件，了解国家政策，不断充实他们的精神生活。完成领导交办的其他工作。</w:t>
      </w:r>
    </w:p>
    <w:p>
      <w:pPr>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hint="eastAsia" w:ascii="Times New Roman" w:hAnsi="Times New Roman" w:eastAsia="仿宋_GB2312" w:cs="Times New Roman"/>
          <w:b/>
          <w:bCs/>
          <w:color w:val="auto"/>
          <w:kern w:val="2"/>
          <w:sz w:val="32"/>
          <w:szCs w:val="32"/>
          <w:lang w:val="zh-CN" w:eastAsia="zh-CN" w:bidi="ar-SA"/>
        </w:rPr>
      </w:pPr>
      <w:r>
        <w:rPr>
          <w:rFonts w:hint="eastAsia" w:ascii="Times New Roman" w:hAnsi="Times New Roman" w:eastAsia="仿宋_GB2312" w:cs="Times New Roman"/>
          <w:b/>
          <w:bCs/>
          <w:color w:val="auto"/>
          <w:kern w:val="2"/>
          <w:sz w:val="32"/>
          <w:szCs w:val="32"/>
          <w:lang w:val="zh-CN" w:eastAsia="zh-CN" w:bidi="ar-SA"/>
        </w:rPr>
        <w:t>（三）人员概况。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壤塘县民政局编制数72人，其中：行政编制8人、全额事业编制64人。年末在职人数68人，其中行政8人，事业人员60人。</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（一）部门财政资金收入情况。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2021年财政资金收入1131.94万元，其中一般公共预算财政拨款收入1131.94万元</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部门财政资金支出情况。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2021年部门财政资金支出1213.56万元，其中基本支出1213.56万元。</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en-US" w:eastAsia="zh-CN" w:bidi="ar-SA"/>
        </w:rPr>
        <w:t>基本支出包括工资福利支出1126.37万元，商品与服务支出57.09万元，对个人和家庭的补助30.10万元。</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（一）部门预算管理。</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kern w:val="2"/>
          <w:sz w:val="32"/>
          <w:szCs w:val="32"/>
          <w:lang w:val="en-US" w:eastAsia="zh-CN" w:bidi="ar-SA"/>
        </w:rPr>
        <w:t>2020年10月我单位预算编制严格按照财政局《关于编制2021年部门预算通知》相关精神，认真学习《预算法》及其实施条例等预算编制的法律、法规，掌握预算编制的相关政策，及时与县编办、县人事部门核对人员编制 、实有人数、工资、车辆等相关信息，准确编制部门预算，将单位预算收入全部门纳入预算管理，全面完整的反映部门真实收入情况 ，基本支出预算包括人员经费和公用经费，采取人员经费按2020年10月工资为标准核算，公用经费按县级部门定额标准人均1.2万元测算。项目资金预算，先由各业务股室对来年需要县级配套资金按上级专项计划和上年预算支出和完成情况进行充分论证、可行性分析和绩效评估后来测算需县级财政配套经费，由财务室负责汇编部门预算,2021年预算完成较好,无违规记录等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（二）结果应用情况。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2021年，我单位严格按照工作进度执行预算，按时足额发放职工工资，以节约为本，严格控制公用经费支出，严格执行中央八项规定，加强公务接待、公务用车规范管理。项目资金支出：严格按资金用途支付相关费用，严格执行绩效评价和项目进度分析，提高了资金的使用效率，使困难群体基本生活得到了保障，促进了社会经济发展和和谐稳定，受益群众满意度达90%以上。完成了重点项目工作，一是2021年为符合政策的农村低保15615人员发放农村低保金3614.81万元，农村低保人均月补助达192元；为符合政策城市低保人员 393人发放城镇低保金155.62万元，城镇低保人均月补助达330元。二是社会救助水平不断提升，全年共救助困难群众226人次，解决临时救助资金27.86万元；为全县18名孤儿和12名无人抚养事实孤儿发放生活补助资金27.81万元；为1135名分散农村特困供养人员和15名城市集中供养特困人员发放生活补助1290.61万元，使困难群众基本生活得到了保障，并促进了社会救助政策体系更加完善、管理制度更加健全、服务质量明显提升，群众满意度显著提高。三是持续加大残疾人救助保障力度。全年为1222名困难残疾人发放生活补贴资金148.68万元；为1203名重度残疾人发放生活护理补贴资金110.</w:t>
      </w:r>
      <w:r>
        <w:rPr>
          <w:rFonts w:hint="eastAsia" w:ascii="Times New Roman" w:hAnsi="Times New Roman" w:eastAsia="仿宋_GB2312" w:cs="Times New Roman"/>
          <w:b w:val="0"/>
          <w:bCs w:val="0"/>
          <w:color w:val="auto"/>
          <w:kern w:val="2"/>
          <w:sz w:val="32"/>
          <w:szCs w:val="32"/>
          <w:lang w:val="en-US" w:eastAsia="zh-CN" w:bidi="ar-SA"/>
        </w:rPr>
        <w:t>63</w:t>
      </w:r>
      <w:r>
        <w:rPr>
          <w:rFonts w:hint="eastAsia" w:ascii="Times New Roman" w:hAnsi="Times New Roman" w:eastAsia="仿宋_GB2312" w:cs="Times New Roman"/>
          <w:b w:val="0"/>
          <w:bCs w:val="0"/>
          <w:color w:val="auto"/>
          <w:kern w:val="2"/>
          <w:sz w:val="32"/>
          <w:szCs w:val="32"/>
          <w:lang w:val="zh-CN" w:eastAsia="zh-CN" w:bidi="ar-SA"/>
        </w:rPr>
        <w:t>万元，使残疾人权益得到更好保障，进一步完善了社会保障制度体系。四是抓细抓好养老服务工作，全年为80岁以上 675名老人发放高龄津贴</w:t>
      </w:r>
      <w:r>
        <w:rPr>
          <w:rFonts w:hint="eastAsia" w:ascii="Times New Roman" w:hAnsi="Times New Roman" w:eastAsia="仿宋_GB2312" w:cs="Times New Roman"/>
          <w:b w:val="0"/>
          <w:bCs w:val="0"/>
          <w:color w:val="auto"/>
          <w:kern w:val="2"/>
          <w:sz w:val="32"/>
          <w:szCs w:val="32"/>
          <w:lang w:val="en-US" w:eastAsia="zh-CN" w:bidi="ar-SA"/>
        </w:rPr>
        <w:t>70.65</w:t>
      </w:r>
      <w:r>
        <w:rPr>
          <w:rFonts w:hint="eastAsia" w:ascii="Times New Roman" w:hAnsi="Times New Roman" w:eastAsia="仿宋_GB2312" w:cs="Times New Roman"/>
          <w:b w:val="0"/>
          <w:bCs w:val="0"/>
          <w:color w:val="auto"/>
          <w:kern w:val="2"/>
          <w:sz w:val="32"/>
          <w:szCs w:val="32"/>
          <w:lang w:val="zh-CN" w:eastAsia="zh-CN" w:bidi="ar-SA"/>
        </w:rPr>
        <w:t>万元；对全县6所农村敬老院（含康复村）进行消防设施设备采购、外墙粉刷、门窗折换、天棚吊顶、院内地坪、旱厕新建、线路改造等服务质量提升维修改造项目，使老年人幸福指数和满意度不断提高。并根据财政要求，每年都及时对单位预决算数据和绩效信息在政府门户网进行了公开。</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2021年县级、州级对我单位部分项目资金也进行了绩效考评。总体来说，2021年我单位绩效考评较好，从预算到执行、收入和支出、资产管理及预决算公开，都严格按照相关制度进行，全年收支平衡，略有结余，有效的保证了机构运转、圆满完成了上级下达的目标任务，取得了较大的经济效益和社会效益，也得到了政府部门的认可和社会保障对象的认可，自评得分93.5分。具体评分标准如下：</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1、从预算管理指标情况看，预算执行较准确，执行进度严格按预算管理执行，部分资金支付进度缓慢，分值为10分，自评得分10分。</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b w:val="0"/>
          <w:bCs w:val="0"/>
          <w:color w:val="auto"/>
          <w:kern w:val="2"/>
          <w:sz w:val="32"/>
          <w:szCs w:val="32"/>
          <w:lang w:val="zh-CN" w:eastAsia="zh-CN" w:bidi="ar-SA"/>
        </w:rPr>
      </w:pPr>
      <w:r>
        <w:rPr>
          <w:rFonts w:hint="eastAsia" w:ascii="Times New Roman" w:hAnsi="Times New Roman" w:eastAsia="仿宋_GB2312" w:cs="Times New Roman"/>
          <w:b w:val="0"/>
          <w:bCs w:val="0"/>
          <w:color w:val="auto"/>
          <w:kern w:val="2"/>
          <w:sz w:val="32"/>
          <w:szCs w:val="32"/>
          <w:lang w:val="zh-CN" w:eastAsia="zh-CN" w:bidi="ar-SA"/>
        </w:rPr>
        <w:t>2、从目标管理情况看，2021年部门预算目标填报均按要求编制专项资金绩效目标，填报内容规范，专项内项目、专项基金设定的绩效目标与部门职能职责一致，与绩效目标匹配，专项类项目、专项资金根据资金使用用途设定了相应的质量指标、成本指标、效益指标等分值为10分，单位自评得分9.5分。</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3、从部门管理情况来看:</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基础管理：①2015年起我局就修定了《壤塘县民政局机关管理制度》，该管理制度中包括会议制定、学习制度、工作制度、请销假制度、后勤保障制度、财经管理制度、党风廉政建设制度，近年来又逐步完善了专项资金管理、资产管理、票据管理、厉行节约管理措施等规章制度，并于2021年又制定了壤塘县民政局机关事业单位工作人员管理办法和民政局目标管理考核办法等。年底时以《2021年壤塘县民政局目标管理考核办法》对机关股室、县社会福利服务中心及敬老院进行考核。总的来说我单位积极履职，强化管理，较好的完成了年度工作目标。通过加强预算收支管理，不断建立健全内部管理制度，梳理内部管理流程，部门整体支出管理水平得到提升。②年度支出的所有资金均由县财政局国库支付，支出符合国家财经法规和财务管理制度规定以及有关专项资金管理办法的规定；资金拨付有完整的审批程序和手续；资金使用无截留、挤占、挪用、虚列支出等情况 ；③制定了相应的财务监控监督措施， 执行监控监督措施执行力度不够，有待进一步加强。分值4分，自评得分3分。</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行政成本：2021年 “三公经费”预算数为12.47万元，部门决算数为12.47万元，完成预算数的100%，无超预算现象,分值1分，自评得分1分。</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政府采购：2021年我单位政府采购项目均按相关程序进行，所有程序合规、合法。满分1分，单位自评得分1分。。</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资产管理：我单位资产由办公室统一分配管理，建立了资产管理台账，资产在用率达95%以上，分值为2分，自评得分2分。</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信息公开：2021年部门预算和决算根据财政相关要求，在预算、决算批复后规定的工作日及时在政府门户网上进行公开，公开数据合法、真实，满分2分，单位自评得分2分。</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（4）从履职效能看（重点任务完成情况看）</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重点任务一：困难群众救助项目（即：特困人员救助、临时救助、儿童福利）绩效目标完成情况综述。项目全年预算数1241.14万元，执行数为1371.24万元，超额完成预算数。通过项目实施，保障1144名特困人员和18名孤儿和12名无人抚养事实孤儿、167名临时救助对象基本生活和保障了困难群众因突发性、临时性造成的生活困难，能有效、及时的给予救助，提高困难群众的生活水平，促进了社会和谐稳定，取得了较好的社会效益和经济效益。分值为30分，自评得分28分。</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重点任务二：困难残疾生活补助项目绩效目标完成情况综述。项目全年预算数</w:t>
      </w:r>
      <w:r>
        <w:rPr>
          <w:rFonts w:hint="eastAsia" w:ascii="Times New Roman" w:hAnsi="Times New Roman" w:eastAsia="仿宋_GB2312" w:cs="Times New Roman"/>
          <w:kern w:val="2"/>
          <w:sz w:val="32"/>
          <w:szCs w:val="32"/>
          <w:lang w:val="en-US" w:eastAsia="zh-CN" w:bidi="ar-SA"/>
        </w:rPr>
        <w:t>148.68</w:t>
      </w:r>
      <w:r>
        <w:rPr>
          <w:rFonts w:hint="eastAsia" w:ascii="Times New Roman" w:hAnsi="Times New Roman" w:eastAsia="仿宋_GB2312" w:cs="Times New Roman"/>
          <w:kern w:val="2"/>
          <w:sz w:val="32"/>
          <w:szCs w:val="32"/>
          <w:lang w:val="zh-CN" w:eastAsia="zh-CN" w:bidi="ar-SA"/>
        </w:rPr>
        <w:t>万元，执行数为</w:t>
      </w:r>
      <w:r>
        <w:rPr>
          <w:rFonts w:hint="eastAsia" w:ascii="Times New Roman" w:hAnsi="Times New Roman" w:eastAsia="仿宋_GB2312" w:cs="Times New Roman"/>
          <w:kern w:val="2"/>
          <w:sz w:val="32"/>
          <w:szCs w:val="32"/>
          <w:lang w:val="en-US" w:eastAsia="zh-CN" w:bidi="ar-SA"/>
        </w:rPr>
        <w:t>148.68</w:t>
      </w:r>
      <w:r>
        <w:rPr>
          <w:rFonts w:hint="eastAsia" w:ascii="Times New Roman" w:hAnsi="Times New Roman" w:eastAsia="仿宋_GB2312" w:cs="Times New Roman"/>
          <w:kern w:val="2"/>
          <w:sz w:val="32"/>
          <w:szCs w:val="32"/>
          <w:lang w:val="zh-CN" w:eastAsia="zh-CN" w:bidi="ar-SA"/>
        </w:rPr>
        <w:t>万元，完成预算的100%。通过项目实施，保障我县困难残疾人补贴制度顺利实施，确保了1222名困难残疾人每月按时足额享受到国家政策，提高了他们的生活质量水平，也充分体现了党和政府对弱势群体的关心，促进了社会和谐稳定。该项目分值为</w:t>
      </w:r>
      <w:r>
        <w:rPr>
          <w:rFonts w:hint="eastAsia" w:ascii="Times New Roman" w:hAnsi="Times New Roman" w:eastAsia="仿宋_GB2312" w:cs="Times New Roman"/>
          <w:kern w:val="2"/>
          <w:sz w:val="32"/>
          <w:szCs w:val="32"/>
          <w:lang w:val="en-US" w:eastAsia="zh-CN" w:bidi="ar-SA"/>
        </w:rPr>
        <w:t>15</w:t>
      </w:r>
      <w:r>
        <w:rPr>
          <w:rFonts w:hint="eastAsia" w:ascii="Times New Roman" w:hAnsi="Times New Roman" w:eastAsia="仿宋_GB2312" w:cs="Times New Roman"/>
          <w:kern w:val="2"/>
          <w:sz w:val="32"/>
          <w:szCs w:val="32"/>
          <w:lang w:val="zh-CN" w:eastAsia="zh-CN" w:bidi="ar-SA"/>
        </w:rPr>
        <w:t>分，自评得分</w:t>
      </w:r>
      <w:r>
        <w:rPr>
          <w:rFonts w:hint="eastAsia" w:ascii="Times New Roman" w:hAnsi="Times New Roman" w:eastAsia="仿宋_GB2312" w:cs="Times New Roman"/>
          <w:kern w:val="2"/>
          <w:sz w:val="32"/>
          <w:szCs w:val="32"/>
          <w:lang w:val="en-US" w:eastAsia="zh-CN" w:bidi="ar-SA"/>
        </w:rPr>
        <w:t>14</w:t>
      </w:r>
      <w:r>
        <w:rPr>
          <w:rFonts w:hint="eastAsia" w:ascii="Times New Roman" w:hAnsi="Times New Roman" w:eastAsia="仿宋_GB2312" w:cs="Times New Roman"/>
          <w:kern w:val="2"/>
          <w:sz w:val="32"/>
          <w:szCs w:val="32"/>
          <w:lang w:val="zh-CN" w:eastAsia="zh-CN" w:bidi="ar-SA"/>
        </w:rPr>
        <w:t>分。</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重点任务三：重度残疾人护理补贴项目绩效目标完成情况综述。项目全年预算数</w:t>
      </w:r>
      <w:r>
        <w:rPr>
          <w:rFonts w:hint="eastAsia" w:ascii="Times New Roman" w:hAnsi="Times New Roman" w:eastAsia="仿宋_GB2312" w:cs="Times New Roman"/>
          <w:kern w:val="2"/>
          <w:sz w:val="32"/>
          <w:szCs w:val="32"/>
          <w:lang w:val="en-US" w:eastAsia="zh-CN" w:bidi="ar-SA"/>
        </w:rPr>
        <w:t>100.55</w:t>
      </w:r>
      <w:r>
        <w:rPr>
          <w:rFonts w:hint="eastAsia" w:ascii="Times New Roman" w:hAnsi="Times New Roman" w:eastAsia="仿宋_GB2312" w:cs="Times New Roman"/>
          <w:kern w:val="2"/>
          <w:sz w:val="32"/>
          <w:szCs w:val="32"/>
          <w:lang w:val="zh-CN" w:eastAsia="zh-CN" w:bidi="ar-SA"/>
        </w:rPr>
        <w:t>万元，执行数为</w:t>
      </w:r>
      <w:r>
        <w:rPr>
          <w:rFonts w:hint="eastAsia" w:ascii="Times New Roman" w:hAnsi="Times New Roman" w:eastAsia="仿宋_GB2312" w:cs="Times New Roman"/>
          <w:kern w:val="2"/>
          <w:sz w:val="32"/>
          <w:szCs w:val="32"/>
          <w:lang w:val="en-US" w:eastAsia="zh-CN" w:bidi="ar-SA"/>
        </w:rPr>
        <w:t>110.63</w:t>
      </w:r>
      <w:r>
        <w:rPr>
          <w:rFonts w:hint="eastAsia" w:ascii="Times New Roman" w:hAnsi="Times New Roman" w:eastAsia="仿宋_GB2312" w:cs="Times New Roman"/>
          <w:kern w:val="2"/>
          <w:sz w:val="32"/>
          <w:szCs w:val="32"/>
          <w:lang w:val="zh-CN" w:eastAsia="zh-CN" w:bidi="ar-SA"/>
        </w:rPr>
        <w:t>万元，完成预算的</w:t>
      </w:r>
      <w:r>
        <w:rPr>
          <w:rFonts w:hint="eastAsia" w:ascii="Times New Roman" w:hAnsi="Times New Roman" w:eastAsia="仿宋_GB2312" w:cs="Times New Roman"/>
          <w:kern w:val="2"/>
          <w:sz w:val="32"/>
          <w:szCs w:val="32"/>
          <w:lang w:val="en-US" w:eastAsia="zh-CN" w:bidi="ar-SA"/>
        </w:rPr>
        <w:t>110</w:t>
      </w:r>
      <w:r>
        <w:rPr>
          <w:rFonts w:hint="eastAsia" w:ascii="Times New Roman" w:hAnsi="Times New Roman" w:eastAsia="仿宋_GB2312" w:cs="Times New Roman"/>
          <w:kern w:val="2"/>
          <w:sz w:val="32"/>
          <w:szCs w:val="32"/>
          <w:lang w:val="zh-CN" w:eastAsia="zh-CN" w:bidi="ar-SA"/>
        </w:rPr>
        <w:t>%。通过项目实施，保障我县困难残疾人补贴制度顺利实施，确保了1203名重度残疾人每月按时足额享受到国家政策，提高了他们的生活质量水平，也充分体现了党和政府对弱势群体的关心，促进了社会和谐稳定。该项目分值为15分，自评得分13分。（具体评分细项见下表）</w:t>
      </w:r>
    </w:p>
    <w:p>
      <w:pPr>
        <w:pStyle w:val="3"/>
        <w:keepNext w:val="0"/>
        <w:keepLines w:val="0"/>
        <w:pageBreakBefore w:val="0"/>
        <w:kinsoku/>
        <w:wordWrap/>
        <w:overflowPunct/>
        <w:topLinePunct w:val="0"/>
        <w:autoSpaceDE/>
        <w:autoSpaceDN/>
        <w:bidi w:val="0"/>
        <w:spacing w:beforeLines="0" w:line="560" w:lineRule="exact"/>
        <w:ind w:leftChars="0"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重点任务四：高龄津贴项目绩效目标完成情况综述。项目全年预算数</w:t>
      </w:r>
      <w:r>
        <w:rPr>
          <w:rFonts w:hint="eastAsia" w:ascii="Times New Roman" w:hAnsi="Times New Roman" w:eastAsia="仿宋_GB2312" w:cs="Times New Roman"/>
          <w:kern w:val="2"/>
          <w:sz w:val="32"/>
          <w:szCs w:val="32"/>
          <w:lang w:val="en-US" w:eastAsia="zh-CN" w:bidi="ar-SA"/>
        </w:rPr>
        <w:t>70.65</w:t>
      </w:r>
      <w:r>
        <w:rPr>
          <w:rFonts w:hint="eastAsia" w:ascii="Times New Roman" w:hAnsi="Times New Roman" w:eastAsia="仿宋_GB2312" w:cs="Times New Roman"/>
          <w:kern w:val="2"/>
          <w:sz w:val="32"/>
          <w:szCs w:val="32"/>
          <w:lang w:val="zh-CN" w:eastAsia="zh-CN" w:bidi="ar-SA"/>
        </w:rPr>
        <w:t>万元，执行数为</w:t>
      </w:r>
      <w:r>
        <w:rPr>
          <w:rFonts w:hint="eastAsia" w:ascii="Times New Roman" w:hAnsi="Times New Roman" w:eastAsia="仿宋_GB2312" w:cs="Times New Roman"/>
          <w:kern w:val="2"/>
          <w:sz w:val="32"/>
          <w:szCs w:val="32"/>
          <w:lang w:val="en-US" w:eastAsia="zh-CN" w:bidi="ar-SA"/>
        </w:rPr>
        <w:t>70.62</w:t>
      </w:r>
      <w:r>
        <w:rPr>
          <w:rFonts w:hint="eastAsia" w:ascii="Times New Roman" w:hAnsi="Times New Roman" w:eastAsia="仿宋_GB2312" w:cs="Times New Roman"/>
          <w:kern w:val="2"/>
          <w:sz w:val="32"/>
          <w:szCs w:val="32"/>
          <w:lang w:val="zh-CN" w:eastAsia="zh-CN" w:bidi="ar-SA"/>
        </w:rPr>
        <w:t>万元，超额完成预算。通过项目实施，保障我县80至89岁老人、90至99岁老人、100岁老人高龄津贴补助顺利实施，确保了675名高龄老人每月按时足额享受到国家政策，提高了他们的生活质量水平，也充分体现了党和政府对高龄老人的关心关爱之情，让他们老有所养、老有所乐，老有所医，也促进了社会和谐稳定。该项目分值为10分，自评得分10分。</w:t>
      </w:r>
    </w:p>
    <w:p>
      <w:pPr>
        <w:pageBreakBefore w:val="0"/>
        <w:widowControl/>
        <w:numPr>
          <w:ilvl w:val="0"/>
          <w:numId w:val="4"/>
        </w:numPr>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1、绩效意识比较薄弱。尽管我单位将部门预算编制纳入绩效管理的理念引入到实际工作中，但对预算绩效管理仍缺乏足够重视，一直把部门预算的分配情况和数据编制视为重点，但在预算数据的支出绩效评价上不予关注和重视。只重视资金项目的申报，忽视项目资金所产生的社会效益。</w:t>
      </w: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2、缺乏绩效评价的管理方案。目前我单位部门预算绩效评价仍需改进，需建立更加完善的绩效评价依据及体系。</w:t>
      </w: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3、评价分析还不够全面。</w:t>
      </w: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4、预算监督机制不够健全。</w:t>
      </w: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5、缺乏相关的绩效考评业务知识。</w:t>
      </w: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6、民政资金发放政策宣传力度不够，部分群众对政策不够了解。</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1、建立完善的绩效评价管理方案。</w:t>
      </w: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2、建立相关的机制来了解各股室资金的需求，通过调查、结果分析，对不同的股室进行不同的资金安排，做到部门预算明确化并对资金流向进行监督、追踪，定期进行检查，利用有限的资金去做更多有益的事情。</w:t>
      </w: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3、财政部门应对相关人员进行专业的绩效考评知识培训，让我们能清晰了解、掌握预算绩效管理业务知识，更好的运用到实际工作和管理上去。</w:t>
      </w: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4、加强和完善预算编制管理和预算执行分析，提高运行效率和使用效益，牢牢把握预算执行分析工作真实性、及时性和全面性，及时跟踪预算执行动态变化过程，重点研究预算执行过程中出现的各种问题，强化预算执行全过程的管理，提供详实准确的预算执行数据，并准确预测预算收支的发展趋势，进一步提高财政预算的管理和决策水平。</w:t>
      </w: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5、加大民政资金宣传力度，确保保障对象政策知晓率、覆盖率达100%。</w:t>
      </w:r>
    </w:p>
    <w:p>
      <w:pPr>
        <w:pageBreakBefore w:val="0"/>
        <w:widowControl w:val="0"/>
        <w:kinsoku/>
        <w:wordWrap/>
        <w:overflowPunct/>
        <w:topLinePunct w:val="0"/>
        <w:autoSpaceDE/>
        <w:autoSpaceDN/>
        <w:bidi w:val="0"/>
        <w:adjustRightInd/>
        <w:snapToGrid/>
        <w:spacing w:line="560" w:lineRule="exact"/>
        <w:jc w:val="both"/>
        <w:textAlignment w:val="auto"/>
        <w:outlineLvl w:val="0"/>
        <w:rPr>
          <w:rFonts w:hint="eastAsia" w:ascii="黑体" w:hAnsi="黑体" w:eastAsia="黑体"/>
          <w:color w:val="000000"/>
          <w:sz w:val="44"/>
          <w:szCs w:val="44"/>
        </w:rPr>
      </w:pPr>
      <w:bookmarkStart w:id="113" w:name="_Toc79163635"/>
      <w:bookmarkStart w:id="114" w:name="_Toc15396618"/>
      <w:bookmarkStart w:id="115" w:name="_Toc79163885"/>
    </w:p>
    <w:p>
      <w:pPr>
        <w:pageBreakBefore w:val="0"/>
        <w:widowControl w:val="0"/>
        <w:kinsoku/>
        <w:wordWrap/>
        <w:overflowPunct/>
        <w:topLinePunct w:val="0"/>
        <w:autoSpaceDE/>
        <w:autoSpaceDN/>
        <w:bidi w:val="0"/>
        <w:adjustRightInd/>
        <w:snapToGrid/>
        <w:spacing w:line="560" w:lineRule="exact"/>
        <w:ind w:firstLine="2640" w:firstLineChars="600"/>
        <w:jc w:val="both"/>
        <w:textAlignment w:val="auto"/>
        <w:outlineLvl w:val="0"/>
        <w:rPr>
          <w:rStyle w:val="25"/>
          <w:rFonts w:hint="eastAsia"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08"/>
      <w:bookmarkEnd w:id="113"/>
      <w:bookmarkEnd w:id="114"/>
      <w:bookmarkEnd w:id="115"/>
      <w:bookmarkStart w:id="116" w:name="_Toc79163636"/>
      <w:bookmarkStart w:id="117" w:name="_Toc15396619"/>
      <w:bookmarkStart w:id="118" w:name="_Toc79163886"/>
    </w:p>
    <w:p>
      <w:pPr>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0"/>
        <w:rPr>
          <w:rStyle w:val="26"/>
          <w:rFonts w:hint="eastAsia" w:ascii="仿宋" w:hAnsi="仿宋" w:eastAsia="仿宋" w:cs="Times New Roman"/>
          <w:b w:val="0"/>
          <w:bCs w:val="0"/>
        </w:rPr>
      </w:pPr>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一、收入支出决算总表</w:t>
      </w:r>
      <w:bookmarkEnd w:id="116"/>
      <w:bookmarkEnd w:id="117"/>
      <w:bookmarkEnd w:id="118"/>
      <w:bookmarkStart w:id="119" w:name="_Toc79163887"/>
      <w:bookmarkStart w:id="120" w:name="_Toc79163637"/>
      <w:bookmarkStart w:id="121" w:name="_Toc15396620"/>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二、收入决算表</w:t>
      </w:r>
      <w:bookmarkEnd w:id="119"/>
      <w:bookmarkEnd w:id="120"/>
      <w:bookmarkEnd w:id="121"/>
      <w:bookmarkStart w:id="122" w:name="_Toc79163638"/>
      <w:bookmarkStart w:id="123" w:name="_Toc79163888"/>
      <w:bookmarkStart w:id="124" w:name="_Toc15396621"/>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三、支出决算表</w:t>
      </w:r>
      <w:bookmarkEnd w:id="122"/>
      <w:bookmarkEnd w:id="123"/>
      <w:bookmarkEnd w:id="124"/>
      <w:bookmarkStart w:id="125" w:name="_Toc79163889"/>
      <w:bookmarkStart w:id="126" w:name="_Toc79163639"/>
      <w:bookmarkStart w:id="127" w:name="_Toc15396622"/>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r>
        <w:rPr>
          <w:rFonts w:hint="eastAsia" w:ascii="Times New Roman" w:hAnsi="Times New Roman" w:eastAsia="仿宋_GB2312" w:cs="Times New Roman"/>
          <w:kern w:val="2"/>
          <w:sz w:val="32"/>
          <w:szCs w:val="32"/>
          <w:lang w:val="zh-CN" w:eastAsia="zh-CN" w:bidi="ar-SA"/>
        </w:rPr>
        <w:t>四、财政拨款收入支出决算总表</w:t>
      </w:r>
      <w:bookmarkEnd w:id="125"/>
      <w:bookmarkEnd w:id="126"/>
      <w:bookmarkEnd w:id="127"/>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bookmarkStart w:id="128" w:name="_Toc79163890"/>
      <w:bookmarkStart w:id="129" w:name="_Toc79163640"/>
      <w:bookmarkStart w:id="130" w:name="_Toc15396623"/>
      <w:r>
        <w:rPr>
          <w:rFonts w:hint="eastAsia" w:ascii="Times New Roman" w:hAnsi="Times New Roman" w:eastAsia="仿宋_GB2312" w:cs="Times New Roman"/>
          <w:kern w:val="2"/>
          <w:sz w:val="32"/>
          <w:szCs w:val="32"/>
          <w:lang w:val="zh-CN" w:eastAsia="zh-CN" w:bidi="ar-SA"/>
        </w:rPr>
        <w:t>五、财政拨款支出决算明细表</w:t>
      </w:r>
      <w:bookmarkEnd w:id="128"/>
      <w:bookmarkEnd w:id="129"/>
      <w:bookmarkEnd w:id="130"/>
      <w:bookmarkStart w:id="131" w:name="_Toc15396624"/>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bookmarkStart w:id="132" w:name="_Toc79163641"/>
      <w:bookmarkStart w:id="133" w:name="_Toc79163891"/>
      <w:r>
        <w:rPr>
          <w:rFonts w:hint="eastAsia" w:ascii="Times New Roman" w:hAnsi="Times New Roman" w:eastAsia="仿宋_GB2312" w:cs="Times New Roman"/>
          <w:kern w:val="2"/>
          <w:sz w:val="32"/>
          <w:szCs w:val="32"/>
          <w:lang w:val="zh-CN" w:eastAsia="zh-CN" w:bidi="ar-SA"/>
        </w:rPr>
        <w:t>六、一般公共预算财政拨款支出决算表</w:t>
      </w:r>
      <w:bookmarkEnd w:id="131"/>
      <w:bookmarkEnd w:id="132"/>
      <w:bookmarkEnd w:id="133"/>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bookmarkStart w:id="134" w:name="_Toc15396625"/>
      <w:bookmarkStart w:id="135" w:name="_Toc79163892"/>
      <w:bookmarkStart w:id="136" w:name="_Toc79163642"/>
      <w:r>
        <w:rPr>
          <w:rFonts w:hint="eastAsia" w:ascii="Times New Roman" w:hAnsi="Times New Roman" w:eastAsia="仿宋_GB2312" w:cs="Times New Roman"/>
          <w:kern w:val="2"/>
          <w:sz w:val="32"/>
          <w:szCs w:val="32"/>
          <w:lang w:val="zh-CN" w:eastAsia="zh-CN" w:bidi="ar-SA"/>
        </w:rPr>
        <w:t>七、一般公共预算财政拨款支出决算明细表</w:t>
      </w:r>
      <w:bookmarkEnd w:id="134"/>
      <w:bookmarkEnd w:id="135"/>
      <w:bookmarkEnd w:id="136"/>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bookmarkStart w:id="137" w:name="_Toc79163893"/>
      <w:bookmarkStart w:id="138" w:name="_Toc79163643"/>
      <w:bookmarkStart w:id="139" w:name="_Toc15396626"/>
      <w:r>
        <w:rPr>
          <w:rFonts w:hint="eastAsia" w:ascii="Times New Roman" w:hAnsi="Times New Roman" w:eastAsia="仿宋_GB2312" w:cs="Times New Roman"/>
          <w:kern w:val="2"/>
          <w:sz w:val="32"/>
          <w:szCs w:val="32"/>
          <w:lang w:val="zh-CN" w:eastAsia="zh-CN" w:bidi="ar-SA"/>
        </w:rPr>
        <w:t>八、一般公共预算财政拨款基本支出决算表</w:t>
      </w:r>
      <w:bookmarkEnd w:id="137"/>
      <w:bookmarkEnd w:id="138"/>
      <w:bookmarkEnd w:id="139"/>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bookmarkStart w:id="140" w:name="_Toc15396627"/>
      <w:bookmarkStart w:id="141" w:name="_Toc79163894"/>
      <w:bookmarkStart w:id="142" w:name="_Toc79163644"/>
      <w:r>
        <w:rPr>
          <w:rFonts w:hint="eastAsia" w:ascii="Times New Roman" w:hAnsi="Times New Roman" w:eastAsia="仿宋_GB2312" w:cs="Times New Roman"/>
          <w:kern w:val="2"/>
          <w:sz w:val="32"/>
          <w:szCs w:val="32"/>
          <w:lang w:val="zh-CN" w:eastAsia="zh-CN" w:bidi="ar-SA"/>
        </w:rPr>
        <w:t>九、一般公共预算财政拨款项目支出决算表</w:t>
      </w:r>
      <w:bookmarkEnd w:id="140"/>
      <w:bookmarkEnd w:id="141"/>
      <w:bookmarkEnd w:id="142"/>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bookmarkStart w:id="143" w:name="_Toc79163895"/>
      <w:bookmarkStart w:id="144" w:name="_Toc79163645"/>
      <w:bookmarkStart w:id="145" w:name="_Toc15396628"/>
      <w:r>
        <w:rPr>
          <w:rFonts w:hint="eastAsia" w:ascii="Times New Roman" w:hAnsi="Times New Roman" w:eastAsia="仿宋_GB2312" w:cs="Times New Roman"/>
          <w:kern w:val="2"/>
          <w:sz w:val="32"/>
          <w:szCs w:val="32"/>
          <w:lang w:val="zh-CN" w:eastAsia="zh-CN" w:bidi="ar-SA"/>
        </w:rPr>
        <w:t>十、一般公共预算财政拨款“三公”经费支出决算表</w:t>
      </w:r>
      <w:bookmarkEnd w:id="143"/>
      <w:bookmarkEnd w:id="144"/>
      <w:bookmarkEnd w:id="145"/>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bookmarkStart w:id="146" w:name="_Toc79163646"/>
      <w:bookmarkStart w:id="147" w:name="_Toc15396629"/>
      <w:bookmarkStart w:id="148" w:name="_Toc79163896"/>
      <w:r>
        <w:rPr>
          <w:rFonts w:hint="eastAsia" w:ascii="Times New Roman" w:hAnsi="Times New Roman" w:eastAsia="仿宋_GB2312" w:cs="Times New Roman"/>
          <w:kern w:val="2"/>
          <w:sz w:val="32"/>
          <w:szCs w:val="32"/>
          <w:lang w:val="zh-CN" w:eastAsia="zh-CN" w:bidi="ar-SA"/>
        </w:rPr>
        <w:t>十一、政府性基金预算财政拨款收入支出决算表</w:t>
      </w:r>
      <w:bookmarkEnd w:id="146"/>
      <w:bookmarkEnd w:id="147"/>
      <w:bookmarkEnd w:id="148"/>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bookmarkStart w:id="149" w:name="_Toc79163647"/>
      <w:bookmarkStart w:id="150" w:name="_Toc79163897"/>
      <w:bookmarkStart w:id="151" w:name="_Toc15396630"/>
      <w:r>
        <w:rPr>
          <w:rFonts w:hint="eastAsia" w:ascii="Times New Roman" w:hAnsi="Times New Roman" w:eastAsia="仿宋_GB2312" w:cs="Times New Roman"/>
          <w:kern w:val="2"/>
          <w:sz w:val="32"/>
          <w:szCs w:val="32"/>
          <w:lang w:val="zh-CN" w:eastAsia="zh-CN" w:bidi="ar-SA"/>
        </w:rPr>
        <w:t>十二、政府性基金预算财政拨款“三公”经费支出决算表</w:t>
      </w:r>
      <w:bookmarkEnd w:id="149"/>
      <w:bookmarkEnd w:id="150"/>
      <w:bookmarkEnd w:id="151"/>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bookmarkStart w:id="152" w:name="_Toc79163648"/>
      <w:bookmarkStart w:id="153" w:name="_Toc15396631"/>
      <w:bookmarkStart w:id="154" w:name="_Toc79163898"/>
      <w:r>
        <w:rPr>
          <w:rFonts w:hint="eastAsia" w:ascii="Times New Roman" w:hAnsi="Times New Roman" w:eastAsia="仿宋_GB2312" w:cs="Times New Roman"/>
          <w:kern w:val="2"/>
          <w:sz w:val="32"/>
          <w:szCs w:val="32"/>
          <w:lang w:val="zh-CN" w:eastAsia="zh-CN" w:bidi="ar-SA"/>
        </w:rPr>
        <w:t>十三、国有资本经营预算财政拨款支出决算表</w:t>
      </w:r>
      <w:bookmarkEnd w:id="152"/>
      <w:bookmarkEnd w:id="153"/>
      <w:bookmarkEnd w:id="154"/>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lang w:val="zh-CN" w:eastAsia="zh-CN" w:bidi="ar-SA"/>
        </w:rPr>
      </w:pPr>
      <w:bookmarkStart w:id="155" w:name="_Toc79163649"/>
      <w:bookmarkStart w:id="156" w:name="_Toc79163899"/>
      <w:r>
        <w:rPr>
          <w:rFonts w:hint="eastAsia" w:ascii="Times New Roman" w:hAnsi="Times New Roman" w:eastAsia="仿宋_GB2312" w:cs="Times New Roman"/>
          <w:kern w:val="2"/>
          <w:sz w:val="32"/>
          <w:szCs w:val="32"/>
          <w:lang w:val="zh-CN" w:eastAsia="zh-CN" w:bidi="ar-SA"/>
        </w:rPr>
        <w:t>十四、国有资本经营预算财政拨款支出决算表</w:t>
      </w:r>
      <w:bookmarkEnd w:id="155"/>
      <w:bookmarkEnd w:id="15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t>25</w:t>
    </w:r>
    <w:r>
      <w:fldChar w:fldCharType="end"/>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291BABD"/>
    <w:multiLevelType w:val="singleLevel"/>
    <w:tmpl w:val="D291BABD"/>
    <w:lvl w:ilvl="0" w:tentative="0">
      <w:start w:val="2"/>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22D18678"/>
    <w:multiLevelType w:val="singleLevel"/>
    <w:tmpl w:val="22D18678"/>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2ZjOWYzNTZhMzVkNjQzY2U0MmI0YWJlYzQ5ZWM3ZTA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2C6FA6"/>
    <w:rsid w:val="01404100"/>
    <w:rsid w:val="03B34AF1"/>
    <w:rsid w:val="04186C82"/>
    <w:rsid w:val="0A2032A3"/>
    <w:rsid w:val="0A51781A"/>
    <w:rsid w:val="0CBC3B9C"/>
    <w:rsid w:val="0DE8475A"/>
    <w:rsid w:val="0F234645"/>
    <w:rsid w:val="10C055FF"/>
    <w:rsid w:val="10F011C2"/>
    <w:rsid w:val="118107EC"/>
    <w:rsid w:val="137B196B"/>
    <w:rsid w:val="16BB723D"/>
    <w:rsid w:val="176B11D5"/>
    <w:rsid w:val="17D15CD2"/>
    <w:rsid w:val="192D5EEA"/>
    <w:rsid w:val="1CDE6C4C"/>
    <w:rsid w:val="1D155CEE"/>
    <w:rsid w:val="1D76657F"/>
    <w:rsid w:val="1E2A4E7B"/>
    <w:rsid w:val="240371BF"/>
    <w:rsid w:val="26BF1D50"/>
    <w:rsid w:val="28F91A07"/>
    <w:rsid w:val="29FD04D3"/>
    <w:rsid w:val="2B05028A"/>
    <w:rsid w:val="2B921A4E"/>
    <w:rsid w:val="2CF501DA"/>
    <w:rsid w:val="2DAD1E92"/>
    <w:rsid w:val="2E1F7CE6"/>
    <w:rsid w:val="319F7F4E"/>
    <w:rsid w:val="326B7F22"/>
    <w:rsid w:val="348A02B0"/>
    <w:rsid w:val="35C43421"/>
    <w:rsid w:val="360D7448"/>
    <w:rsid w:val="392D5E77"/>
    <w:rsid w:val="3B4C7594"/>
    <w:rsid w:val="3CCA3A90"/>
    <w:rsid w:val="3DA23107"/>
    <w:rsid w:val="4D5E7508"/>
    <w:rsid w:val="4ECE2238"/>
    <w:rsid w:val="4F226452"/>
    <w:rsid w:val="54E10F14"/>
    <w:rsid w:val="56124C36"/>
    <w:rsid w:val="5BB6420E"/>
    <w:rsid w:val="5C0A4B1D"/>
    <w:rsid w:val="5F5F1C9D"/>
    <w:rsid w:val="61960EA7"/>
    <w:rsid w:val="619D125D"/>
    <w:rsid w:val="62AC3022"/>
    <w:rsid w:val="62F15104"/>
    <w:rsid w:val="63A36D2A"/>
    <w:rsid w:val="64A61585"/>
    <w:rsid w:val="651F23AB"/>
    <w:rsid w:val="694F77C1"/>
    <w:rsid w:val="6AE04F15"/>
    <w:rsid w:val="6C4A05C8"/>
    <w:rsid w:val="7162418D"/>
    <w:rsid w:val="72734D90"/>
    <w:rsid w:val="72AA2770"/>
    <w:rsid w:val="73422BAB"/>
    <w:rsid w:val="766E71EA"/>
    <w:rsid w:val="77EE7CE0"/>
    <w:rsid w:val="7CA123AC"/>
    <w:rsid w:val="7D1E4B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semiHidden="0" w:name="toc 4"/>
    <w:lsdException w:qFormat="1" w:uiPriority="39" w:semiHidden="0" w:name="toc 5"/>
    <w:lsdException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rPr>
  </w:style>
  <w:style w:type="paragraph" w:styleId="3">
    <w:name w:val="Body Text"/>
    <w:basedOn w:val="1"/>
    <w:link w:val="34"/>
    <w:qFormat/>
    <w:uiPriority w:val="99"/>
    <w:pPr>
      <w:spacing w:beforeLines="30"/>
    </w:pPr>
    <w:rPr>
      <w:rFonts w:ascii="仿宋_GB2312" w:eastAsia="仿宋_GB2312"/>
      <w:kern w:val="0"/>
      <w:sz w:val="24"/>
      <w:szCs w:val="20"/>
      <w:lang w:val="zh-CN"/>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Indent"/>
    <w:basedOn w:val="1"/>
    <w:next w:val="9"/>
    <w:qFormat/>
    <w:uiPriority w:val="0"/>
    <w:pPr>
      <w:spacing w:line="560" w:lineRule="atLeast"/>
      <w:ind w:firstLine="640" w:firstLineChars="200"/>
    </w:pPr>
    <w:rPr>
      <w:rFonts w:ascii="仿宋_GB2312" w:eastAsia="仿宋_GB2312"/>
      <w:sz w:val="32"/>
    </w:rPr>
  </w:style>
  <w:style w:type="paragraph" w:styleId="9">
    <w:name w:val="Body Text First Indent 2"/>
    <w:basedOn w:val="8"/>
    <w:qFormat/>
    <w:uiPriority w:val="0"/>
    <w:pPr>
      <w:ind w:firstLine="420" w:firstLineChars="200"/>
    </w:p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29"/>
    <w:semiHidden/>
    <w:unhideWhenUsed/>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uiPriority w:val="39"/>
    <w:pPr>
      <w:ind w:left="630"/>
      <w:jc w:val="left"/>
    </w:pPr>
    <w:rPr>
      <w:rFonts w:asciiTheme="minorHAnsi" w:eastAsiaTheme="minorHAnsi"/>
      <w:sz w:val="18"/>
      <w:szCs w:val="18"/>
    </w:rPr>
  </w:style>
  <w:style w:type="paragraph" w:styleId="18">
    <w:name w:val="toc 6"/>
    <w:basedOn w:val="1"/>
    <w:next w:val="1"/>
    <w:unhideWhenUsed/>
    <w:uiPriority w:val="39"/>
    <w:pPr>
      <w:ind w:left="1050"/>
      <w:jc w:val="left"/>
    </w:pPr>
    <w:rPr>
      <w:rFonts w:asciiTheme="minorHAnsi" w:eastAsiaTheme="minorHAnsi"/>
      <w:sz w:val="18"/>
      <w:szCs w:val="18"/>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2">
    <w:name w:val="Strong"/>
    <w:basedOn w:val="21"/>
    <w:qFormat/>
    <w:uiPriority w:val="99"/>
    <w:rPr>
      <w:rFonts w:cs="Times New Roman"/>
      <w:b/>
    </w:rPr>
  </w:style>
  <w:style w:type="character" w:styleId="23">
    <w:name w:val="Hyperlink"/>
    <w:basedOn w:val="21"/>
    <w:unhideWhenUsed/>
    <w:qFormat/>
    <w:uiPriority w:val="99"/>
    <w:rPr>
      <w:rFonts w:cs="Times New Roman"/>
      <w:color w:val="0000FF"/>
      <w:u w:val="single"/>
    </w:rPr>
  </w:style>
  <w:style w:type="character" w:customStyle="1" w:styleId="25">
    <w:name w:val="标题 1 Char"/>
    <w:basedOn w:val="21"/>
    <w:link w:val="4"/>
    <w:qFormat/>
    <w:locked/>
    <w:uiPriority w:val="9"/>
    <w:rPr>
      <w:rFonts w:ascii="Times New Roman" w:hAnsi="Times New Roman" w:cs="Times New Roman"/>
      <w:b/>
      <w:bCs/>
      <w:kern w:val="44"/>
      <w:sz w:val="44"/>
      <w:szCs w:val="44"/>
    </w:rPr>
  </w:style>
  <w:style w:type="character" w:customStyle="1" w:styleId="26">
    <w:name w:val="标题 2 Char"/>
    <w:basedOn w:val="21"/>
    <w:link w:val="5"/>
    <w:qFormat/>
    <w:locked/>
    <w:uiPriority w:val="9"/>
    <w:rPr>
      <w:rFonts w:ascii="Cambria" w:hAnsi="Cambria" w:eastAsia="宋体" w:cs="Times New Roman"/>
      <w:b/>
      <w:bCs/>
      <w:kern w:val="2"/>
      <w:sz w:val="32"/>
      <w:szCs w:val="32"/>
    </w:rPr>
  </w:style>
  <w:style w:type="character" w:customStyle="1" w:styleId="27">
    <w:name w:val="标题 3 Char"/>
    <w:basedOn w:val="21"/>
    <w:link w:val="6"/>
    <w:qFormat/>
    <w:locked/>
    <w:uiPriority w:val="9"/>
    <w:rPr>
      <w:rFonts w:ascii="Times New Roman" w:hAnsi="Times New Roman" w:cs="Times New Roman"/>
      <w:b/>
      <w:bCs/>
      <w:kern w:val="2"/>
      <w:sz w:val="32"/>
      <w:szCs w:val="32"/>
    </w:rPr>
  </w:style>
  <w:style w:type="character" w:customStyle="1" w:styleId="28">
    <w:name w:val="Body Text Char"/>
    <w:basedOn w:val="21"/>
    <w:semiHidden/>
    <w:qFormat/>
    <w:uiPriority w:val="99"/>
    <w:rPr>
      <w:rFonts w:ascii="Times New Roman" w:hAnsi="Times New Roman" w:cs="Times New Roman"/>
      <w:sz w:val="24"/>
      <w:szCs w:val="24"/>
    </w:rPr>
  </w:style>
  <w:style w:type="character" w:customStyle="1" w:styleId="29">
    <w:name w:val="批注框文本 Char"/>
    <w:basedOn w:val="21"/>
    <w:link w:val="13"/>
    <w:semiHidden/>
    <w:qFormat/>
    <w:locked/>
    <w:uiPriority w:val="99"/>
    <w:rPr>
      <w:rFonts w:ascii="Times New Roman" w:hAnsi="Times New Roman" w:cs="Times New Roman"/>
      <w:kern w:val="2"/>
      <w:sz w:val="18"/>
      <w:szCs w:val="18"/>
    </w:rPr>
  </w:style>
  <w:style w:type="character" w:customStyle="1" w:styleId="30">
    <w:name w:val="Footer Char"/>
    <w:basedOn w:val="21"/>
    <w:semiHidden/>
    <w:qFormat/>
    <w:uiPriority w:val="99"/>
    <w:rPr>
      <w:rFonts w:ascii="Times New Roman" w:hAnsi="Times New Roman" w:cs="Times New Roman"/>
      <w:sz w:val="18"/>
      <w:szCs w:val="18"/>
    </w:rPr>
  </w:style>
  <w:style w:type="character" w:customStyle="1" w:styleId="31">
    <w:name w:val="Header Char"/>
    <w:basedOn w:val="21"/>
    <w:semiHidden/>
    <w:qFormat/>
    <w:uiPriority w:val="99"/>
    <w:rPr>
      <w:rFonts w:ascii="Times New Roman" w:hAnsi="Times New Roman" w:cs="Times New Roman"/>
      <w:sz w:val="18"/>
      <w:szCs w:val="18"/>
    </w:rPr>
  </w:style>
  <w:style w:type="character" w:customStyle="1" w:styleId="32">
    <w:name w:val="页眉 Char"/>
    <w:link w:val="15"/>
    <w:semiHidden/>
    <w:qFormat/>
    <w:locked/>
    <w:uiPriority w:val="99"/>
    <w:rPr>
      <w:sz w:val="18"/>
    </w:rPr>
  </w:style>
  <w:style w:type="character" w:customStyle="1" w:styleId="33">
    <w:name w:val="页脚 Char"/>
    <w:link w:val="14"/>
    <w:qFormat/>
    <w:locked/>
    <w:uiPriority w:val="99"/>
    <w:rPr>
      <w:sz w:val="18"/>
    </w:rPr>
  </w:style>
  <w:style w:type="character" w:customStyle="1" w:styleId="34">
    <w:name w:val="正文文本 Char"/>
    <w:link w:val="3"/>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2021&#24180;&#24037;&#36164;.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Lbls>
            <c:delete val="1"/>
          </c:dLbls>
          <c:cat>
            <c:strRef>
              <c:f>Sheet1!$A$17:$F$17</c:f>
              <c:strCache>
                <c:ptCount val="6"/>
                <c:pt idx="0">
                  <c:v>一般公共预算财政拨款收入</c:v>
                </c:pt>
                <c:pt idx="1">
                  <c:v>政府性基金预算财政拨款收入</c:v>
                </c:pt>
                <c:pt idx="2">
                  <c:v>上级补助收入</c:v>
                </c:pt>
                <c:pt idx="3">
                  <c:v>事业收入</c:v>
                </c:pt>
                <c:pt idx="4">
                  <c:v>经营收入</c:v>
                </c:pt>
                <c:pt idx="5">
                  <c:v>其他收入</c:v>
                </c:pt>
              </c:strCache>
            </c:strRef>
          </c:cat>
          <c:val>
            <c:numRef>
              <c:f>Sheet1!$A$18:$F$18</c:f>
              <c:numCache>
                <c:formatCode>General</c:formatCode>
                <c:ptCount val="6"/>
                <c:pt idx="0">
                  <c:v>1021.91</c:v>
                </c:pt>
                <c:pt idx="1">
                  <c:v>0</c:v>
                </c:pt>
                <c:pt idx="2">
                  <c:v>0</c:v>
                </c:pt>
                <c:pt idx="3">
                  <c:v>0</c:v>
                </c:pt>
                <c:pt idx="4">
                  <c:v>0</c:v>
                </c:pt>
                <c:pt idx="5">
                  <c:v>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66357452071738"/>
          <c:y val="0.0937591561675945"/>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Pt>
            <c:idx val="0"/>
            <c:bubble3D val="0"/>
          </c:dPt>
          <c:dPt>
            <c:idx val="1"/>
            <c:bubble3D val="0"/>
          </c:dPt>
          <c:dPt>
            <c:idx val="2"/>
            <c:bubble3D val="0"/>
          </c:dPt>
          <c:dPt>
            <c:idx val="3"/>
            <c:bubble3D val="0"/>
          </c:dPt>
          <c:dLbls>
            <c:delete val="1"/>
          </c:dLbls>
          <c:cat>
            <c:strRef>
              <c:f>Sheet1!$A$21:$D$21</c:f>
              <c:strCache>
                <c:ptCount val="4"/>
                <c:pt idx="0">
                  <c:v>基本支出</c:v>
                </c:pt>
                <c:pt idx="1">
                  <c:v>项目支出</c:v>
                </c:pt>
                <c:pt idx="2">
                  <c:v>上缴上级支出</c:v>
                </c:pt>
                <c:pt idx="3">
                  <c:v>经营支出</c:v>
                </c:pt>
              </c:strCache>
            </c:strRef>
          </c:cat>
          <c:val>
            <c:numRef>
              <c:f>Sheet1!$A$22:$D$22</c:f>
              <c:numCache>
                <c:formatCode>General</c:formatCode>
                <c:ptCount val="4"/>
                <c:pt idx="0">
                  <c:v>1021.91</c:v>
                </c:pt>
              </c:numCache>
            </c:numRef>
          </c:val>
        </c:ser>
        <c:ser>
          <c:idx val="1"/>
          <c:order val="1"/>
          <c:explosion val="25"/>
          <c:dPt>
            <c:idx val="0"/>
            <c:bubble3D val="0"/>
          </c:dPt>
          <c:dPt>
            <c:idx val="1"/>
            <c:bubble3D val="0"/>
          </c:dPt>
          <c:dPt>
            <c:idx val="2"/>
            <c:bubble3D val="0"/>
          </c:dPt>
          <c:dPt>
            <c:idx val="3"/>
            <c:bubble3D val="0"/>
          </c:dPt>
          <c:dLbls>
            <c:delete val="1"/>
          </c:dLbls>
          <c:cat>
            <c:strRef>
              <c:f>Sheet1!$A$21:$D$21</c:f>
              <c:strCache>
                <c:ptCount val="4"/>
                <c:pt idx="0">
                  <c:v>基本支出</c:v>
                </c:pt>
                <c:pt idx="1">
                  <c:v>项目支出</c:v>
                </c:pt>
                <c:pt idx="2">
                  <c:v>上缴上级支出</c:v>
                </c:pt>
                <c:pt idx="3">
                  <c:v>经营支出</c:v>
                </c:pt>
              </c:strCache>
            </c:strRef>
          </c:cat>
          <c:val>
            <c:numRef>
              <c:f>Sheet1!$A$23:$D$23</c:f>
              <c:numCache>
                <c:formatCode>General</c:formatCode>
                <c:ptCount val="4"/>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10555555555556"/>
          <c:y val="0.22037037037037"/>
          <c:w val="0.88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[2021年工资.xls]Sheet1!$A$24:$B$24</c:f>
              <c:strCache>
                <c:ptCount val="2"/>
                <c:pt idx="0">
                  <c:v>2020年一般公共财政拨款支出</c:v>
                </c:pt>
                <c:pt idx="1">
                  <c:v>2021年一般公共财政拨款支出</c:v>
                </c:pt>
              </c:strCache>
            </c:strRef>
          </c:cat>
          <c:val>
            <c:numRef>
              <c:f>[2021年工资.xls]Sheet1!$A$25:$B$25</c:f>
              <c:numCache>
                <c:formatCode>General</c:formatCode>
                <c:ptCount val="2"/>
                <c:pt idx="0">
                  <c:v>1021.91</c:v>
                </c:pt>
                <c:pt idx="1">
                  <c:v>1213.56</c:v>
                </c:pt>
              </c:numCache>
            </c:numRef>
          </c:val>
        </c:ser>
        <c:dLbls>
          <c:showLegendKey val="0"/>
          <c:showVal val="0"/>
          <c:showCatName val="0"/>
          <c:showSerName val="0"/>
          <c:showPercent val="0"/>
          <c:showBubbleSize val="0"/>
        </c:dLbls>
        <c:gapWidth val="219"/>
        <c:overlap val="-27"/>
        <c:axId val="461791886"/>
        <c:axId val="951393862"/>
      </c:barChart>
      <c:catAx>
        <c:axId val="4617918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1393862"/>
        <c:crosses val="autoZero"/>
        <c:auto val="1"/>
        <c:lblAlgn val="ctr"/>
        <c:lblOffset val="100"/>
        <c:noMultiLvlLbl val="0"/>
      </c:catAx>
      <c:valAx>
        <c:axId val="95139386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179188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Lbls>
            <c:delete val="1"/>
          </c:dLbls>
          <c:cat>
            <c:strRef>
              <c:f>Sheet1!$A$36:$C$36</c:f>
              <c:strCache>
                <c:ptCount val="3"/>
                <c:pt idx="0">
                  <c:v>社会保障和就业（类）支出</c:v>
                </c:pt>
                <c:pt idx="1">
                  <c:v>卫生健康支出</c:v>
                </c:pt>
                <c:pt idx="2">
                  <c:v>住房保障支出</c:v>
                </c:pt>
              </c:strCache>
            </c:strRef>
          </c:cat>
          <c:val>
            <c:numRef>
              <c:f>Sheet1!$A$37:$C$37</c:f>
              <c:numCache>
                <c:formatCode>General</c:formatCode>
                <c:ptCount val="3"/>
                <c:pt idx="0">
                  <c:v>897.08</c:v>
                </c:pt>
                <c:pt idx="1">
                  <c:v>42.37</c:v>
                </c:pt>
                <c:pt idx="2">
                  <c:v>82.46</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13483</Words>
  <Characters>14502</Characters>
  <Lines>74</Lines>
  <Paragraphs>21</Paragraphs>
  <TotalTime>26</TotalTime>
  <ScaleCrop>false</ScaleCrop>
  <LinksUpToDate>false</LinksUpToDate>
  <CharactersWithSpaces>14762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Lenovo</cp:lastModifiedBy>
  <cp:lastPrinted>2022-10-19T02:55:12Z</cp:lastPrinted>
  <dcterms:modified xsi:type="dcterms:W3CDTF">2022-10-19T03:05:13Z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ICV">
    <vt:lpwstr>53F6F4FFD7DC4A3889A51E6055AE2E2F</vt:lpwstr>
  </property>
</Properties>
</file>