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82EAF">
      <w:pPr>
        <w:spacing w:line="600" w:lineRule="exact"/>
        <w:jc w:val="center"/>
        <w:outlineLvl w:val="0"/>
        <w:rPr>
          <w:rFonts w:ascii="方正小标宋简体" w:hAnsi="宋体" w:eastAsia="方正小标宋简体"/>
          <w:sz w:val="72"/>
          <w:szCs w:val="72"/>
        </w:rPr>
      </w:pPr>
      <w:bookmarkStart w:id="0" w:name="_Toc15378441"/>
      <w:bookmarkStart w:id="1" w:name="_Toc15396475"/>
      <w:bookmarkStart w:id="2" w:name="_Toc15377425"/>
      <w:bookmarkStart w:id="3" w:name="_Toc15377193"/>
      <w:bookmarkStart w:id="4" w:name="_Toc15396597"/>
      <w:bookmarkStart w:id="5" w:name="_Toc15306267"/>
    </w:p>
    <w:p w14:paraId="7BBB528F">
      <w:pPr>
        <w:spacing w:line="600" w:lineRule="exact"/>
        <w:jc w:val="center"/>
        <w:outlineLvl w:val="0"/>
        <w:rPr>
          <w:rFonts w:ascii="方正小标宋简体" w:hAnsi="宋体" w:eastAsia="方正小标宋简体"/>
          <w:sz w:val="72"/>
          <w:szCs w:val="72"/>
        </w:rPr>
      </w:pPr>
    </w:p>
    <w:p w14:paraId="648FF2EE">
      <w:pPr>
        <w:spacing w:line="600" w:lineRule="exact"/>
        <w:jc w:val="center"/>
        <w:outlineLvl w:val="0"/>
        <w:rPr>
          <w:rFonts w:ascii="方正小标宋简体" w:hAnsi="宋体" w:eastAsia="方正小标宋简体"/>
          <w:sz w:val="72"/>
          <w:szCs w:val="72"/>
        </w:rPr>
      </w:pPr>
    </w:p>
    <w:p w14:paraId="247D5FF7">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2022年度</w:t>
      </w:r>
      <w:bookmarkEnd w:id="0"/>
      <w:bookmarkEnd w:id="1"/>
      <w:bookmarkEnd w:id="2"/>
      <w:bookmarkEnd w:id="3"/>
      <w:bookmarkEnd w:id="4"/>
    </w:p>
    <w:p w14:paraId="0539D8D7">
      <w:pPr>
        <w:jc w:val="center"/>
        <w:rPr>
          <w:rFonts w:hint="eastAsia" w:ascii="方正小标宋简体" w:eastAsia="方正小标宋简体"/>
          <w:sz w:val="72"/>
          <w:szCs w:val="72"/>
        </w:rPr>
      </w:pPr>
      <w:bookmarkStart w:id="6" w:name="_Toc15396598"/>
      <w:bookmarkStart w:id="7" w:name="_Toc15377194"/>
      <w:bookmarkStart w:id="8" w:name="_Toc15377426"/>
      <w:bookmarkStart w:id="9" w:name="_Toc15378442"/>
      <w:bookmarkStart w:id="10" w:name="_Toc15396476"/>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eastAsia="方正小标宋简体"/>
          <w:sz w:val="72"/>
          <w:szCs w:val="72"/>
        </w:rPr>
        <w:t>阿坝州</w:t>
      </w:r>
    </w:p>
    <w:p w14:paraId="59B5D56F">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eastAsia="方正小标宋简体"/>
          <w:sz w:val="72"/>
          <w:szCs w:val="72"/>
        </w:rPr>
        <w:t>壤塘县</w:t>
      </w:r>
      <w:r>
        <w:rPr>
          <w:rFonts w:hint="eastAsia" w:ascii="方正小标宋简体" w:eastAsia="方正小标宋简体"/>
          <w:sz w:val="72"/>
          <w:szCs w:val="72"/>
          <w:lang w:val="en-US" w:eastAsia="zh-CN"/>
        </w:rPr>
        <w:t>民政局</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14:paraId="134EAA58">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1D7BE4D3">
      <w:pPr>
        <w:widowControl/>
        <w:jc w:val="center"/>
        <w:rPr>
          <w:rFonts w:ascii="黑体" w:hAnsi="黑体" w:eastAsia="黑体" w:cstheme="minorBidi"/>
          <w:sz w:val="28"/>
          <w:szCs w:val="28"/>
        </w:rPr>
      </w:pPr>
    </w:p>
    <w:p w14:paraId="6F4173E6">
      <w:pPr>
        <w:pStyle w:val="13"/>
      </w:pPr>
      <w:r>
        <w:rPr>
          <w:rFonts w:hint="eastAsia"/>
        </w:rPr>
        <w:t>公开时间：2023年8月25日</w:t>
      </w:r>
    </w:p>
    <w:p w14:paraId="151E4D23"/>
    <w:p w14:paraId="227FF362">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115E3213">
      <w:pPr>
        <w:pStyle w:val="14"/>
        <w:adjustRightInd w:val="0"/>
        <w:snapToGrid w:val="0"/>
        <w:spacing w:line="440" w:lineRule="exact"/>
        <w:jc w:val="left"/>
        <w:rPr>
          <w:rFonts w:ascii="仿宋" w:hAnsi="仿宋" w:eastAsia="仿宋"/>
          <w:sz w:val="24"/>
        </w:rPr>
      </w:pPr>
      <w:r>
        <w:rPr>
          <w:rFonts w:hint="eastAsia"/>
          <w:sz w:val="24"/>
        </w:rPr>
        <w:t>一、部门职责</w:t>
      </w:r>
    </w:p>
    <w:p w14:paraId="52319171">
      <w:pPr>
        <w:pStyle w:val="14"/>
        <w:adjustRightInd w:val="0"/>
        <w:snapToGrid w:val="0"/>
        <w:spacing w:line="440" w:lineRule="exact"/>
        <w:jc w:val="left"/>
        <w:rPr>
          <w:rFonts w:ascii="仿宋" w:hAnsi="仿宋" w:eastAsia="仿宋" w:cstheme="minorBidi"/>
          <w:sz w:val="24"/>
        </w:rPr>
      </w:pPr>
      <w:r>
        <w:rPr>
          <w:rFonts w:hint="eastAsia"/>
          <w:sz w:val="24"/>
        </w:rPr>
        <w:t>二、机构设置</w:t>
      </w:r>
    </w:p>
    <w:p w14:paraId="619182B0">
      <w:pPr>
        <w:pStyle w:val="13"/>
        <w:adjustRightInd w:val="0"/>
        <w:snapToGrid w:val="0"/>
        <w:spacing w:before="0" w:line="440" w:lineRule="exact"/>
        <w:jc w:val="left"/>
        <w:rPr>
          <w:sz w:val="24"/>
          <w:szCs w:val="24"/>
        </w:rPr>
      </w:pPr>
      <w:r>
        <w:rPr>
          <w:rFonts w:hint="eastAsia"/>
          <w:sz w:val="24"/>
        </w:rPr>
        <w:t>第二部分 2022年度部门决算情况说明</w:t>
      </w:r>
    </w:p>
    <w:p w14:paraId="17D9165D">
      <w:pPr>
        <w:pStyle w:val="14"/>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4C68A0DC">
      <w:pPr>
        <w:pStyle w:val="14"/>
        <w:adjustRightInd w:val="0"/>
        <w:snapToGrid w:val="0"/>
        <w:spacing w:line="440" w:lineRule="exact"/>
        <w:jc w:val="left"/>
        <w:rPr>
          <w:rFonts w:ascii="仿宋" w:hAnsi="仿宋" w:eastAsia="仿宋" w:cstheme="minorBidi"/>
          <w:sz w:val="24"/>
        </w:rPr>
      </w:pPr>
      <w:r>
        <w:rPr>
          <w:rFonts w:hint="eastAsia"/>
          <w:sz w:val="24"/>
        </w:rPr>
        <w:t>二、收入决算情况说明</w:t>
      </w:r>
    </w:p>
    <w:p w14:paraId="67896F6D">
      <w:pPr>
        <w:pStyle w:val="14"/>
        <w:adjustRightInd w:val="0"/>
        <w:snapToGrid w:val="0"/>
        <w:spacing w:line="440" w:lineRule="exact"/>
        <w:jc w:val="left"/>
        <w:rPr>
          <w:rFonts w:ascii="仿宋" w:hAnsi="仿宋" w:eastAsia="仿宋" w:cstheme="minorBidi"/>
          <w:sz w:val="24"/>
        </w:rPr>
      </w:pPr>
      <w:r>
        <w:rPr>
          <w:rFonts w:hint="eastAsia"/>
          <w:sz w:val="24"/>
        </w:rPr>
        <w:t>三、支出决算情况说明</w:t>
      </w:r>
    </w:p>
    <w:p w14:paraId="533E968D">
      <w:pPr>
        <w:pStyle w:val="14"/>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10F2C79F">
      <w:pPr>
        <w:pStyle w:val="14"/>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253C6332">
      <w:pPr>
        <w:pStyle w:val="14"/>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63793478">
      <w:pPr>
        <w:pStyle w:val="14"/>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p>
    <w:p w14:paraId="0E234100">
      <w:pPr>
        <w:pStyle w:val="14"/>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07A9650A">
      <w:pPr>
        <w:pStyle w:val="14"/>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p>
    <w:p w14:paraId="0BD06086">
      <w:pPr>
        <w:adjustRightInd w:val="0"/>
        <w:snapToGrid w:val="0"/>
        <w:spacing w:line="440" w:lineRule="exact"/>
        <w:ind w:firstLine="420" w:firstLineChars="175"/>
        <w:jc w:val="left"/>
        <w:rPr>
          <w:rFonts w:asciiTheme="minorEastAsia" w:hAnsiTheme="minorEastAsia" w:eastAsiaTheme="minorEastAsia" w:cstheme="minorEastAsia"/>
          <w:sz w:val="24"/>
        </w:rPr>
      </w:pPr>
      <w:r>
        <w:rPr>
          <w:rStyle w:val="18"/>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p>
    <w:p w14:paraId="27B6A73B">
      <w:pPr>
        <w:pStyle w:val="13"/>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31AD5C4F">
      <w:pPr>
        <w:pStyle w:val="13"/>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75B6BD1B">
      <w:pPr>
        <w:pStyle w:val="13"/>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158EBFD5">
      <w:pPr>
        <w:pStyle w:val="14"/>
        <w:adjustRightInd w:val="0"/>
        <w:snapToGrid w:val="0"/>
        <w:spacing w:line="440" w:lineRule="exact"/>
        <w:jc w:val="left"/>
        <w:rPr>
          <w:sz w:val="24"/>
        </w:rPr>
      </w:pPr>
      <w:r>
        <w:rPr>
          <w:rFonts w:hint="eastAsia"/>
          <w:sz w:val="24"/>
        </w:rPr>
        <w:t>一、收入支出决算总表</w:t>
      </w:r>
    </w:p>
    <w:p w14:paraId="6905E7A9">
      <w:pPr>
        <w:pStyle w:val="14"/>
        <w:adjustRightInd w:val="0"/>
        <w:snapToGrid w:val="0"/>
        <w:spacing w:line="440" w:lineRule="exact"/>
        <w:jc w:val="left"/>
        <w:rPr>
          <w:sz w:val="24"/>
        </w:rPr>
      </w:pPr>
      <w:r>
        <w:rPr>
          <w:rFonts w:hint="eastAsia"/>
          <w:sz w:val="24"/>
        </w:rPr>
        <w:t>二、收入决算表</w:t>
      </w:r>
    </w:p>
    <w:p w14:paraId="24CFA1B7">
      <w:pPr>
        <w:pStyle w:val="14"/>
        <w:adjustRightInd w:val="0"/>
        <w:snapToGrid w:val="0"/>
        <w:spacing w:line="440" w:lineRule="exact"/>
        <w:jc w:val="left"/>
        <w:rPr>
          <w:sz w:val="24"/>
        </w:rPr>
      </w:pPr>
      <w:r>
        <w:rPr>
          <w:rFonts w:hint="eastAsia"/>
          <w:sz w:val="24"/>
        </w:rPr>
        <w:t>三、支出决算表</w:t>
      </w:r>
    </w:p>
    <w:p w14:paraId="498F34CB">
      <w:pPr>
        <w:pStyle w:val="14"/>
        <w:adjustRightInd w:val="0"/>
        <w:snapToGrid w:val="0"/>
        <w:spacing w:line="440" w:lineRule="exact"/>
        <w:jc w:val="left"/>
        <w:rPr>
          <w:sz w:val="24"/>
        </w:rPr>
      </w:pPr>
      <w:r>
        <w:rPr>
          <w:rFonts w:hint="eastAsia"/>
          <w:sz w:val="24"/>
        </w:rPr>
        <w:t>四、财政拨款收入支出决算总表</w:t>
      </w:r>
    </w:p>
    <w:p w14:paraId="0AE72BB0">
      <w:pPr>
        <w:pStyle w:val="14"/>
        <w:adjustRightInd w:val="0"/>
        <w:snapToGrid w:val="0"/>
        <w:spacing w:line="440" w:lineRule="exact"/>
        <w:jc w:val="left"/>
        <w:rPr>
          <w:sz w:val="24"/>
        </w:rPr>
      </w:pPr>
      <w:r>
        <w:rPr>
          <w:rFonts w:hint="eastAsia"/>
          <w:sz w:val="24"/>
        </w:rPr>
        <w:t>五、财政拨款支出决算明细表</w:t>
      </w:r>
    </w:p>
    <w:p w14:paraId="485A18FA">
      <w:pPr>
        <w:pStyle w:val="14"/>
        <w:adjustRightInd w:val="0"/>
        <w:snapToGrid w:val="0"/>
        <w:spacing w:line="440" w:lineRule="exact"/>
        <w:jc w:val="left"/>
        <w:rPr>
          <w:sz w:val="24"/>
        </w:rPr>
      </w:pPr>
      <w:r>
        <w:rPr>
          <w:rFonts w:hint="eastAsia"/>
          <w:sz w:val="24"/>
        </w:rPr>
        <w:t>六、一般公共预算财政拨款支出决算表</w:t>
      </w:r>
    </w:p>
    <w:p w14:paraId="396A09FD">
      <w:pPr>
        <w:pStyle w:val="14"/>
        <w:adjustRightInd w:val="0"/>
        <w:snapToGrid w:val="0"/>
        <w:spacing w:line="440" w:lineRule="exact"/>
        <w:jc w:val="left"/>
        <w:rPr>
          <w:sz w:val="24"/>
        </w:rPr>
      </w:pPr>
      <w:r>
        <w:rPr>
          <w:rFonts w:hint="eastAsia"/>
          <w:sz w:val="24"/>
        </w:rPr>
        <w:t>七、一般公共预算财政拨款支出决算明细表</w:t>
      </w:r>
    </w:p>
    <w:p w14:paraId="3D42A3CD">
      <w:pPr>
        <w:pStyle w:val="14"/>
        <w:adjustRightInd w:val="0"/>
        <w:snapToGrid w:val="0"/>
        <w:spacing w:line="440" w:lineRule="exact"/>
        <w:jc w:val="left"/>
        <w:rPr>
          <w:sz w:val="24"/>
        </w:rPr>
      </w:pPr>
      <w:r>
        <w:rPr>
          <w:rFonts w:hint="eastAsia"/>
          <w:sz w:val="24"/>
        </w:rPr>
        <w:t>八、一般公共预算财政拨款基本支出决算明细表</w:t>
      </w:r>
    </w:p>
    <w:p w14:paraId="5C19F4C1">
      <w:pPr>
        <w:pStyle w:val="14"/>
        <w:adjustRightInd w:val="0"/>
        <w:snapToGrid w:val="0"/>
        <w:spacing w:line="440" w:lineRule="exact"/>
        <w:jc w:val="left"/>
        <w:rPr>
          <w:sz w:val="24"/>
        </w:rPr>
      </w:pPr>
      <w:r>
        <w:rPr>
          <w:rFonts w:hint="eastAsia"/>
          <w:sz w:val="24"/>
        </w:rPr>
        <w:t>九、一般公共预算财政拨款项目支出决算表</w:t>
      </w:r>
    </w:p>
    <w:p w14:paraId="4B1DACE0">
      <w:pPr>
        <w:pStyle w:val="14"/>
        <w:adjustRightInd w:val="0"/>
        <w:snapToGrid w:val="0"/>
        <w:spacing w:line="440" w:lineRule="exact"/>
        <w:jc w:val="left"/>
        <w:rPr>
          <w:sz w:val="24"/>
        </w:rPr>
      </w:pPr>
      <w:r>
        <w:rPr>
          <w:rFonts w:hint="eastAsia"/>
          <w:sz w:val="24"/>
        </w:rPr>
        <w:t>十、政府性基金预算财政拨款收入支出决算表</w:t>
      </w:r>
    </w:p>
    <w:p w14:paraId="32AFB426">
      <w:pPr>
        <w:pStyle w:val="14"/>
        <w:adjustRightInd w:val="0"/>
        <w:snapToGrid w:val="0"/>
        <w:spacing w:line="440" w:lineRule="exact"/>
        <w:jc w:val="left"/>
        <w:rPr>
          <w:sz w:val="24"/>
        </w:rPr>
      </w:pPr>
      <w:r>
        <w:rPr>
          <w:rFonts w:hint="eastAsia"/>
          <w:sz w:val="24"/>
        </w:rPr>
        <w:t>十一、国有资本经营预算财政拨款收入支出决算表</w:t>
      </w:r>
    </w:p>
    <w:p w14:paraId="1AD72C6C">
      <w:pPr>
        <w:pStyle w:val="14"/>
        <w:adjustRightInd w:val="0"/>
        <w:snapToGrid w:val="0"/>
        <w:spacing w:line="440" w:lineRule="exact"/>
        <w:jc w:val="left"/>
        <w:rPr>
          <w:sz w:val="24"/>
        </w:rPr>
      </w:pPr>
      <w:r>
        <w:rPr>
          <w:rFonts w:hint="eastAsia"/>
          <w:sz w:val="24"/>
        </w:rPr>
        <w:t>十二、国有资本经营预算财政拨款支出决算表</w:t>
      </w:r>
    </w:p>
    <w:p w14:paraId="733F2F94">
      <w:pPr>
        <w:pStyle w:val="14"/>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14:paraId="6602299A">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7DFCBECC">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60417C21">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14:paraId="7A8674A5">
      <w:pPr>
        <w:widowControl/>
        <w:jc w:val="left"/>
        <w:rPr>
          <w:rFonts w:ascii="黑体" w:eastAsia="黑体"/>
          <w:sz w:val="32"/>
          <w:szCs w:val="32"/>
        </w:rPr>
      </w:pPr>
    </w:p>
    <w:p w14:paraId="5555AA1D">
      <w:pPr>
        <w:pStyle w:val="5"/>
        <w:numPr>
          <w:ilvl w:val="0"/>
          <w:numId w:val="1"/>
        </w:numPr>
        <w:rPr>
          <w:rFonts w:hint="eastAsia" w:ascii="黑体" w:hAnsi="黑体" w:eastAsia="黑体"/>
          <w:b w:val="0"/>
        </w:rPr>
      </w:pPr>
      <w:r>
        <w:rPr>
          <w:rFonts w:hint="eastAsia" w:ascii="黑体" w:hAnsi="黑体" w:eastAsia="黑体"/>
          <w:b w:val="0"/>
        </w:rPr>
        <w:t>部门职责</w:t>
      </w:r>
    </w:p>
    <w:p w14:paraId="59903C94">
      <w:pPr>
        <w:pageBreakBefore w:val="0"/>
        <w:widowControl/>
        <w:kinsoku/>
        <w:wordWrap/>
        <w:overflowPunct/>
        <w:topLinePunct w:val="0"/>
        <w:autoSpaceDE/>
        <w:autoSpaceDN/>
        <w:bidi w:val="0"/>
        <w:adjustRightInd/>
        <w:snapToGrid/>
        <w:spacing w:line="560" w:lineRule="exact"/>
        <w:ind w:firstLine="482" w:firstLineChars="150"/>
        <w:jc w:val="left"/>
        <w:textAlignment w:val="auto"/>
        <w:rPr>
          <w:rFonts w:ascii="楷体_GB2312" w:hAnsi="楷体_GB2312" w:eastAsia="楷体_GB2312" w:cs="楷体_GB2312"/>
          <w:kern w:val="0"/>
          <w:sz w:val="32"/>
          <w:szCs w:val="32"/>
        </w:rPr>
      </w:pPr>
      <w:r>
        <w:rPr>
          <w:rFonts w:hint="eastAsia" w:ascii="楷体_GB2312" w:hAnsi="楷体_GB2312" w:eastAsia="楷体_GB2312" w:cs="楷体_GB2312"/>
          <w:b/>
          <w:kern w:val="0"/>
          <w:sz w:val="32"/>
          <w:szCs w:val="32"/>
        </w:rPr>
        <w:t>根据三定方案文件规定，主要职责</w:t>
      </w:r>
      <w:r>
        <w:rPr>
          <w:rFonts w:hint="eastAsia" w:ascii="楷体_GB2312" w:hAnsi="楷体_GB2312" w:eastAsia="楷体_GB2312" w:cs="楷体_GB2312"/>
          <w:b/>
          <w:kern w:val="0"/>
          <w:sz w:val="32"/>
          <w:szCs w:val="32"/>
          <w:lang w:eastAsia="zh-CN"/>
        </w:rPr>
        <w:t>，</w:t>
      </w:r>
      <w:r>
        <w:rPr>
          <w:rFonts w:hint="eastAsia" w:ascii="楷体_GB2312" w:hAnsi="楷体_GB2312" w:eastAsia="楷体_GB2312" w:cs="楷体_GB2312"/>
          <w:kern w:val="0"/>
          <w:sz w:val="32"/>
          <w:szCs w:val="32"/>
        </w:rPr>
        <w:t>：</w:t>
      </w:r>
    </w:p>
    <w:p w14:paraId="34B4F65D">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负责贯彻执行国家、省、州民政相关方针政策和法律法规；制定全县民政工作发展规划、工作计划并组织实施和监督检查；承担政府公布的行政审批事项；负责民政信访和维稳工作；负责全县民政资金的使用、管理和监督工作；负责民政统计管理工作。</w:t>
      </w:r>
    </w:p>
    <w:p w14:paraId="29F79E5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负责</w:t>
      </w:r>
      <w:r>
        <w:rPr>
          <w:rFonts w:hint="eastAsia" w:ascii="Times New Roman" w:hAnsi="Times New Roman" w:eastAsia="仿宋_GB2312" w:cs="Times New Roman"/>
          <w:sz w:val="32"/>
          <w:szCs w:val="32"/>
        </w:rPr>
        <w:t>拟订</w:t>
      </w:r>
      <w:r>
        <w:rPr>
          <w:rFonts w:hint="eastAsia" w:ascii="Times New Roman" w:hAnsi="Times New Roman" w:eastAsia="仿宋_GB2312" w:cs="Times New Roman"/>
          <w:sz w:val="32"/>
          <w:szCs w:val="32"/>
          <w:lang w:eastAsia="zh-CN"/>
        </w:rPr>
        <w:t>全县</w:t>
      </w:r>
      <w:r>
        <w:rPr>
          <w:rFonts w:hint="eastAsia" w:ascii="Times New Roman" w:hAnsi="Times New Roman" w:eastAsia="仿宋_GB2312" w:cs="Times New Roman"/>
          <w:sz w:val="32"/>
          <w:szCs w:val="32"/>
        </w:rPr>
        <w:t>社会救助规划、政策和标准，统筹推进社会救助体系建设，负责城乡居民最低生活保障、特困人员救助供养、</w:t>
      </w:r>
      <w:r>
        <w:rPr>
          <w:rFonts w:hint="eastAsia" w:ascii="Times New Roman" w:hAnsi="Times New Roman" w:eastAsia="仿宋_GB2312" w:cs="Times New Roman"/>
          <w:sz w:val="32"/>
          <w:szCs w:val="32"/>
          <w:lang w:eastAsia="zh-CN"/>
        </w:rPr>
        <w:t>残疾人两项补贴、孤儿、事实无人抚养儿童、</w:t>
      </w:r>
      <w:r>
        <w:rPr>
          <w:rFonts w:hint="eastAsia" w:ascii="Times New Roman" w:hAnsi="Times New Roman" w:eastAsia="仿宋_GB2312" w:cs="Times New Roman"/>
          <w:sz w:val="32"/>
          <w:szCs w:val="32"/>
        </w:rPr>
        <w:t>临时救助、生活无着流浪乞讨人员救助工作。</w:t>
      </w:r>
    </w:p>
    <w:p w14:paraId="2730B8C5">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统筹推进、督促指导、监督管理养老服务工作，拟订养老服务体系建设规划、政策、标准并组织施，承担老年人福利和特殊因难老年人救助工作，协调推进农村留守老年人关爱服务工作，承担城乡老年社会组织管理工作。</w:t>
      </w:r>
    </w:p>
    <w:p w14:paraId="288CEC58">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负责全县婚姻登记、殡葬管理政策、促进慈善事业发展、指导社会捐助、协助监督福利彩票销售工作，负责管理使用本级福利彩票公益金；拟订农村留守儿童关爱服务体系和困境儿童保障制度；承担依法对社会团体和民办非企业单位进行登记管理和监督责任；依法对社会组织进行登记管理和执法监督。</w:t>
      </w:r>
    </w:p>
    <w:p w14:paraId="2DA0A484">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负责拟订行政区划管理政策和行政区域界线、地名管理办法，负责全县乡镇以上行政区划的设立、命名、撤销、变更和政府驻地迁移审核上报工作，组织并指导全县行政区域界线的勘定、管理工作，调处行政区域边界争议，负责地名管理工作。</w:t>
      </w:r>
    </w:p>
    <w:p w14:paraId="47E9DEA4">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负责拟订全县城乡基层群众自治建设、社区建设政策并指导实施；指导社区服务体系建设，提出加强和改进城乡基层政权建设的建议，指导村（居）民委员会开展民主选举、民主决策、民主管理和民主监督工作，推动基层民主政治建设。</w:t>
      </w:r>
    </w:p>
    <w:p w14:paraId="4DC7E0CA">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拟订社会工作、志愿服务政策和标准，会同有关部门推进社会工作人才队位建设和志愿者队建设；依法依规负责社会福利、养老服务、救助管理、殡葬服务机构安全生产监督管理工作。负责职责范围内的意识形态、职业健康、审批服务便民化工作。</w:t>
      </w:r>
    </w:p>
    <w:p w14:paraId="0FB966E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8、完成县委、县政府交办的其他任务。</w:t>
      </w:r>
    </w:p>
    <w:p w14:paraId="4549D3D9">
      <w:pPr>
        <w:numPr>
          <w:ilvl w:val="0"/>
          <w:numId w:val="0"/>
        </w:numPr>
      </w:pPr>
    </w:p>
    <w:p w14:paraId="10DE29F3">
      <w:pPr>
        <w:pStyle w:val="5"/>
        <w:rPr>
          <w:rStyle w:val="29"/>
          <w:b w:val="0"/>
          <w:bCs w:val="0"/>
        </w:rPr>
      </w:pPr>
      <w:bookmarkStart w:id="14" w:name="_Toc15396601"/>
      <w:bookmarkStart w:id="15" w:name="_Toc15377200"/>
      <w:r>
        <w:rPr>
          <w:rFonts w:hint="eastAsia" w:ascii="黑体" w:eastAsia="黑体"/>
          <w:b w:val="0"/>
        </w:rPr>
        <w:t>二、</w:t>
      </w:r>
      <w:r>
        <w:rPr>
          <w:rFonts w:hint="eastAsia" w:ascii="黑体" w:hAnsi="黑体" w:eastAsia="黑体"/>
          <w:b w:val="0"/>
        </w:rPr>
        <w:t>机</w:t>
      </w:r>
      <w:r>
        <w:rPr>
          <w:rStyle w:val="29"/>
          <w:rFonts w:hint="eastAsia" w:ascii="黑体" w:hAnsi="黑体" w:eastAsia="黑体"/>
          <w:b w:val="0"/>
          <w:bCs w:val="0"/>
        </w:rPr>
        <w:t>构设置</w:t>
      </w:r>
      <w:bookmarkEnd w:id="14"/>
      <w:bookmarkEnd w:id="15"/>
    </w:p>
    <w:p w14:paraId="21504AA2">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壤塘县民政局属于一级预算单位，设4个行政股室（即办公室、社会福利与社会事务股、社会救助股（挂壤塘县流浪乞讨人员救助站牌子）、区划地名与基层政权股）。下设事业机构4个（低收入家庭认定指导中心，敬老院服务中心，中壤塘敬老院、南木达敬老院、、茸木达敬老院、尕多敬老院，壤塘县社会救助福利服务中心（挂壤塘县儿童福利服务指导中心牌子）。</w:t>
      </w:r>
    </w:p>
    <w:p w14:paraId="14149EA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壤塘县民政局下属二级单位0个，其中行政单位0个，参照公务员法管理的事业单位0个，其他事业单位0个。</w:t>
      </w:r>
    </w:p>
    <w:p w14:paraId="0ED57875">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纳入壤塘县民政局2021年度部门决算编制范围的二级预算单位0个。</w:t>
      </w:r>
    </w:p>
    <w:p w14:paraId="0D1262BB">
      <w:pPr>
        <w:widowControl/>
        <w:jc w:val="left"/>
        <w:rPr>
          <w:rFonts w:ascii="仿宋" w:hAnsi="仿宋" w:eastAsia="仿宋"/>
          <w:kern w:val="0"/>
          <w:sz w:val="32"/>
          <w:szCs w:val="32"/>
        </w:rPr>
      </w:pPr>
      <w:r>
        <w:rPr>
          <w:rFonts w:ascii="仿宋" w:hAnsi="仿宋" w:eastAsia="仿宋"/>
          <w:sz w:val="32"/>
          <w:szCs w:val="32"/>
        </w:rPr>
        <w:br w:type="page"/>
      </w:r>
    </w:p>
    <w:p w14:paraId="05A00FF9">
      <w:pPr>
        <w:pStyle w:val="4"/>
        <w:ind w:right="440"/>
        <w:jc w:val="center"/>
        <w:rPr>
          <w:rStyle w:val="28"/>
          <w:rFonts w:ascii="黑体" w:hAnsi="黑体" w:eastAsia="黑体"/>
          <w:b w:val="0"/>
          <w:bCs/>
        </w:rPr>
      </w:pPr>
      <w:bookmarkStart w:id="16" w:name="_Toc15396602"/>
      <w:bookmarkStart w:id="17" w:name="_Toc15377204"/>
      <w:r>
        <w:rPr>
          <w:rFonts w:hint="eastAsia" w:ascii="黑体" w:hAnsi="黑体" w:eastAsia="黑体"/>
          <w:b w:val="0"/>
        </w:rPr>
        <w:t>第二部分 2022年度</w:t>
      </w:r>
      <w:r>
        <w:rPr>
          <w:rStyle w:val="28"/>
          <w:rFonts w:hint="eastAsia" w:ascii="黑体" w:hAnsi="黑体" w:eastAsia="黑体"/>
          <w:b w:val="0"/>
          <w:bCs/>
        </w:rPr>
        <w:t>部门决算情况说明</w:t>
      </w:r>
      <w:bookmarkEnd w:id="16"/>
      <w:bookmarkEnd w:id="17"/>
    </w:p>
    <w:p w14:paraId="314525BD"/>
    <w:p w14:paraId="2782FFC7">
      <w:pPr>
        <w:pStyle w:val="27"/>
        <w:numPr>
          <w:ilvl w:val="0"/>
          <w:numId w:val="2"/>
        </w:numPr>
        <w:spacing w:line="600" w:lineRule="exact"/>
        <w:ind w:firstLineChars="0"/>
        <w:outlineLvl w:val="1"/>
        <w:rPr>
          <w:rStyle w:val="29"/>
          <w:rFonts w:ascii="黑体" w:hAnsi="黑体" w:eastAsia="黑体"/>
          <w:b w:val="0"/>
        </w:rPr>
      </w:pPr>
      <w:bookmarkStart w:id="18" w:name="_Toc15377205"/>
      <w:bookmarkStart w:id="19" w:name="_Toc15396603"/>
      <w:r>
        <w:rPr>
          <w:rFonts w:hint="eastAsia" w:ascii="黑体" w:hAnsi="黑体" w:eastAsia="黑体"/>
          <w:sz w:val="32"/>
          <w:szCs w:val="32"/>
        </w:rPr>
        <w:t>收</w:t>
      </w:r>
      <w:r>
        <w:rPr>
          <w:rStyle w:val="29"/>
          <w:rFonts w:hint="eastAsia" w:ascii="黑体" w:hAnsi="黑体" w:eastAsia="黑体"/>
          <w:b w:val="0"/>
        </w:rPr>
        <w:t>入支出决算总体情况说明</w:t>
      </w:r>
      <w:bookmarkEnd w:id="18"/>
      <w:bookmarkEnd w:id="19"/>
    </w:p>
    <w:p w14:paraId="11746697">
      <w:pPr>
        <w:snapToGrid w:val="0"/>
        <w:spacing w:line="520" w:lineRule="exact"/>
        <w:ind w:firstLine="640" w:firstLineChars="200"/>
        <w:rPr>
          <w:rFonts w:hint="eastAsia" w:cs="宋体" w:asciiTheme="minorEastAsia" w:hAnsiTheme="minorEastAsia"/>
          <w:kern w:val="0"/>
          <w:sz w:val="32"/>
          <w:szCs w:val="32"/>
          <w:lang w:val="en-US" w:eastAsia="zh-CN"/>
        </w:rPr>
      </w:pPr>
      <w:r>
        <w:rPr>
          <w:rFonts w:hint="eastAsia" w:ascii="仿宋" w:hAnsi="仿宋" w:eastAsia="仿宋"/>
          <w:sz w:val="32"/>
          <w:szCs w:val="32"/>
        </w:rPr>
        <w:t>2022年度收</w:t>
      </w:r>
      <w:r>
        <w:rPr>
          <w:rFonts w:hint="eastAsia" w:ascii="仿宋" w:hAnsi="仿宋" w:eastAsia="仿宋"/>
          <w:sz w:val="32"/>
          <w:szCs w:val="32"/>
          <w:lang w:val="en-US" w:eastAsia="zh-CN"/>
        </w:rPr>
        <w:t>入</w:t>
      </w:r>
      <w:r>
        <w:rPr>
          <w:rFonts w:hint="eastAsia" w:ascii="仿宋" w:hAnsi="仿宋" w:eastAsia="仿宋"/>
          <w:sz w:val="32"/>
          <w:szCs w:val="32"/>
        </w:rPr>
        <w:t>总计</w:t>
      </w:r>
      <w:r>
        <w:rPr>
          <w:rFonts w:hint="eastAsia" w:ascii="仿宋" w:hAnsi="仿宋" w:eastAsia="仿宋"/>
          <w:sz w:val="32"/>
          <w:szCs w:val="32"/>
          <w:lang w:val="en-US" w:eastAsia="zh-CN"/>
        </w:rPr>
        <w:t>6291.45</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支出总计6515.7万元。</w:t>
      </w:r>
      <w:r>
        <w:rPr>
          <w:rFonts w:hint="eastAsia" w:ascii="仿宋" w:hAnsi="仿宋" w:eastAsia="仿宋"/>
          <w:sz w:val="32"/>
          <w:szCs w:val="32"/>
        </w:rPr>
        <w:t>与2021年相比，</w:t>
      </w:r>
      <w:r>
        <w:rPr>
          <w:rFonts w:hint="eastAsia" w:ascii="仿宋" w:hAnsi="仿宋" w:eastAsia="仿宋"/>
          <w:sz w:val="32"/>
          <w:szCs w:val="32"/>
          <w:lang w:val="en-US" w:eastAsia="zh-CN"/>
        </w:rPr>
        <w:t>收入增加4274.85万元，上升212%，支出增加3888.71万元，上升148%。收、支增长</w:t>
      </w:r>
      <w:r>
        <w:rPr>
          <w:rFonts w:hint="eastAsia" w:ascii="仿宋" w:hAnsi="仿宋" w:eastAsia="仿宋"/>
          <w:sz w:val="32"/>
          <w:szCs w:val="32"/>
        </w:rPr>
        <w:t>主要变动原因</w:t>
      </w:r>
      <w:r>
        <w:rPr>
          <w:rFonts w:hint="eastAsia" w:ascii="仿宋" w:hAnsi="仿宋" w:eastAsia="仿宋"/>
          <w:sz w:val="32"/>
          <w:szCs w:val="32"/>
          <w:lang w:eastAsia="zh-CN"/>
        </w:rPr>
        <w:t>：</w:t>
      </w:r>
      <w:r>
        <w:rPr>
          <w:rFonts w:hint="eastAsia" w:cs="宋体" w:asciiTheme="minorEastAsia" w:hAnsiTheme="minorEastAsia"/>
          <w:kern w:val="0"/>
          <w:sz w:val="32"/>
          <w:szCs w:val="32"/>
          <w:lang w:val="en-US" w:eastAsia="zh-CN"/>
        </w:rPr>
        <w:t>一，新增城乡低保资金；二，</w:t>
      </w:r>
      <w:r>
        <w:rPr>
          <w:rFonts w:hint="eastAsia" w:cs="宋体" w:asciiTheme="minorEastAsia" w:hAnsiTheme="minorEastAsia"/>
          <w:kern w:val="0"/>
          <w:sz w:val="32"/>
          <w:szCs w:val="32"/>
        </w:rPr>
        <w:t>职工目标考核奖纳入年初预算</w:t>
      </w:r>
      <w:r>
        <w:rPr>
          <w:rFonts w:hint="eastAsia" w:cs="宋体" w:asciiTheme="minorEastAsia" w:hAnsiTheme="minorEastAsia"/>
          <w:kern w:val="0"/>
          <w:sz w:val="32"/>
          <w:szCs w:val="32"/>
          <w:lang w:eastAsia="zh-CN"/>
        </w:rPr>
        <w:t>。</w:t>
      </w:r>
    </w:p>
    <w:p w14:paraId="590919FC">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22794727">
      <w:pPr>
        <w:spacing w:line="600" w:lineRule="exact"/>
        <w:ind w:firstLine="640" w:firstLineChars="200"/>
        <w:jc w:val="left"/>
        <w:rPr>
          <w:rFonts w:hint="eastAsia" w:ascii="仿宋_GB2312" w:eastAsia="仿宋_GB2312"/>
          <w:sz w:val="32"/>
          <w:szCs w:val="32"/>
          <w:lang w:eastAsia="zh-CN"/>
        </w:rPr>
      </w:pPr>
      <w:r>
        <w:rPr>
          <w:rFonts w:hint="eastAsia" w:ascii="仿宋_GB2312" w:eastAsia="仿宋_GB2312"/>
          <w:sz w:val="32"/>
          <w:szCs w:val="32"/>
          <w:lang w:eastAsia="zh-CN"/>
        </w:rPr>
        <w:drawing>
          <wp:anchor distT="0" distB="0" distL="114300" distR="114300" simplePos="0" relativeHeight="251659264" behindDoc="0" locked="0" layoutInCell="1" allowOverlap="1">
            <wp:simplePos x="0" y="0"/>
            <wp:positionH relativeFrom="column">
              <wp:posOffset>34290</wp:posOffset>
            </wp:positionH>
            <wp:positionV relativeFrom="paragraph">
              <wp:posOffset>217805</wp:posOffset>
            </wp:positionV>
            <wp:extent cx="5369560" cy="2657475"/>
            <wp:effectExtent l="4445" t="5080" r="17145" b="444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C8FDA43">
      <w:pPr>
        <w:pStyle w:val="8"/>
        <w:rPr>
          <w:rFonts w:hint="eastAsia" w:ascii="仿宋_GB2312" w:eastAsia="仿宋_GB2312"/>
          <w:sz w:val="32"/>
          <w:szCs w:val="32"/>
          <w:lang w:eastAsia="zh-CN"/>
        </w:rPr>
      </w:pPr>
    </w:p>
    <w:p w14:paraId="0F9C1EDB">
      <w:pPr>
        <w:rPr>
          <w:rFonts w:hint="eastAsia" w:ascii="仿宋_GB2312" w:eastAsia="仿宋_GB2312"/>
          <w:sz w:val="32"/>
          <w:szCs w:val="32"/>
          <w:lang w:eastAsia="zh-CN"/>
        </w:rPr>
      </w:pPr>
    </w:p>
    <w:p w14:paraId="2F81A1CA">
      <w:pPr>
        <w:pStyle w:val="8"/>
        <w:rPr>
          <w:rFonts w:hint="eastAsia" w:ascii="仿宋_GB2312" w:eastAsia="仿宋_GB2312"/>
          <w:sz w:val="32"/>
          <w:szCs w:val="32"/>
          <w:lang w:eastAsia="zh-CN"/>
        </w:rPr>
      </w:pPr>
    </w:p>
    <w:p w14:paraId="3AC12CE4">
      <w:pPr>
        <w:rPr>
          <w:rFonts w:hint="eastAsia" w:ascii="仿宋_GB2312" w:eastAsia="仿宋_GB2312"/>
          <w:sz w:val="32"/>
          <w:szCs w:val="32"/>
          <w:lang w:eastAsia="zh-CN"/>
        </w:rPr>
      </w:pPr>
    </w:p>
    <w:p w14:paraId="36499F84">
      <w:pPr>
        <w:pStyle w:val="8"/>
        <w:rPr>
          <w:rFonts w:hint="eastAsia" w:ascii="仿宋_GB2312" w:eastAsia="仿宋_GB2312"/>
          <w:sz w:val="32"/>
          <w:szCs w:val="32"/>
          <w:lang w:eastAsia="zh-CN"/>
        </w:rPr>
      </w:pPr>
    </w:p>
    <w:p w14:paraId="153B8FB5">
      <w:pPr>
        <w:rPr>
          <w:rFonts w:hint="eastAsia" w:ascii="仿宋_GB2312" w:eastAsia="仿宋_GB2312"/>
          <w:sz w:val="32"/>
          <w:szCs w:val="32"/>
          <w:lang w:eastAsia="zh-CN"/>
        </w:rPr>
      </w:pPr>
    </w:p>
    <w:p w14:paraId="708D89C7">
      <w:pPr>
        <w:pStyle w:val="8"/>
        <w:rPr>
          <w:rFonts w:hint="eastAsia"/>
          <w:lang w:eastAsia="zh-CN"/>
        </w:rPr>
      </w:pPr>
    </w:p>
    <w:p w14:paraId="40DF5D0A">
      <w:pPr>
        <w:pStyle w:val="8"/>
        <w:rPr>
          <w:rFonts w:hint="eastAsia"/>
          <w:lang w:eastAsia="zh-CN"/>
        </w:rPr>
      </w:pPr>
    </w:p>
    <w:p w14:paraId="6956DFE3">
      <w:pPr>
        <w:pStyle w:val="27"/>
        <w:numPr>
          <w:ilvl w:val="0"/>
          <w:numId w:val="2"/>
        </w:numPr>
        <w:spacing w:line="600" w:lineRule="exact"/>
        <w:ind w:firstLineChars="0"/>
        <w:outlineLvl w:val="1"/>
        <w:rPr>
          <w:rStyle w:val="29"/>
          <w:rFonts w:ascii="黑体" w:hAnsi="黑体" w:eastAsia="黑体"/>
          <w:b w:val="0"/>
        </w:rPr>
      </w:pPr>
      <w:bookmarkStart w:id="20" w:name="_Toc15396604"/>
      <w:bookmarkStart w:id="21" w:name="_Toc15377206"/>
      <w:r>
        <w:rPr>
          <w:rFonts w:hint="eastAsia" w:ascii="黑体" w:hAnsi="黑体" w:eastAsia="黑体"/>
          <w:sz w:val="32"/>
          <w:szCs w:val="32"/>
        </w:rPr>
        <w:t>收</w:t>
      </w:r>
      <w:r>
        <w:rPr>
          <w:rStyle w:val="29"/>
          <w:rFonts w:hint="eastAsia" w:ascii="黑体" w:hAnsi="黑体" w:eastAsia="黑体"/>
          <w:b w:val="0"/>
        </w:rPr>
        <w:t>入决算情况说明</w:t>
      </w:r>
      <w:bookmarkEnd w:id="20"/>
      <w:bookmarkEnd w:id="21"/>
    </w:p>
    <w:p w14:paraId="4D773594">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22年本年收入合计</w:t>
      </w:r>
      <w:r>
        <w:rPr>
          <w:rFonts w:hint="eastAsia" w:ascii="仿宋" w:hAnsi="仿宋" w:eastAsia="仿宋"/>
          <w:sz w:val="32"/>
          <w:szCs w:val="32"/>
          <w:lang w:val="en-US" w:eastAsia="zh-CN"/>
        </w:rPr>
        <w:t>6291.45</w:t>
      </w:r>
      <w:r>
        <w:rPr>
          <w:rFonts w:hint="eastAsia" w:ascii="仿宋" w:hAnsi="仿宋" w:eastAsia="仿宋"/>
          <w:sz w:val="32"/>
          <w:szCs w:val="32"/>
        </w:rPr>
        <w:t>万元，其中：一般公共预算财政拨款收入</w:t>
      </w:r>
      <w:r>
        <w:rPr>
          <w:rFonts w:hint="eastAsia" w:ascii="仿宋" w:hAnsi="仿宋" w:eastAsia="仿宋"/>
          <w:sz w:val="32"/>
          <w:szCs w:val="32"/>
          <w:lang w:val="en-US" w:eastAsia="zh-CN"/>
        </w:rPr>
        <w:t>6243.33</w:t>
      </w:r>
      <w:r>
        <w:rPr>
          <w:rFonts w:hint="eastAsia" w:ascii="仿宋" w:hAnsi="仿宋" w:eastAsia="仿宋"/>
          <w:sz w:val="32"/>
          <w:szCs w:val="32"/>
        </w:rPr>
        <w:t>万元，占</w:t>
      </w:r>
      <w:r>
        <w:rPr>
          <w:rFonts w:hint="eastAsia" w:ascii="仿宋" w:hAnsi="仿宋" w:eastAsia="仿宋"/>
          <w:sz w:val="32"/>
          <w:szCs w:val="32"/>
          <w:lang w:val="en-US" w:eastAsia="zh-CN"/>
        </w:rPr>
        <w:t>99.24</w:t>
      </w:r>
      <w:r>
        <w:rPr>
          <w:rFonts w:ascii="仿宋" w:hAnsi="仿宋" w:eastAsia="仿宋"/>
          <w:sz w:val="32"/>
          <w:szCs w:val="32"/>
        </w:rPr>
        <w:t>%</w:t>
      </w:r>
      <w:r>
        <w:rPr>
          <w:rFonts w:hint="eastAsia" w:ascii="仿宋" w:hAnsi="仿宋" w:eastAsia="仿宋"/>
          <w:sz w:val="32"/>
          <w:szCs w:val="32"/>
        </w:rPr>
        <w:t>；政府性基金预算财政拨款收入</w:t>
      </w:r>
      <w:r>
        <w:rPr>
          <w:rFonts w:hint="eastAsia" w:ascii="仿宋" w:hAnsi="仿宋" w:eastAsia="仿宋"/>
          <w:sz w:val="32"/>
          <w:szCs w:val="32"/>
          <w:lang w:val="en-US" w:eastAsia="zh-CN"/>
        </w:rPr>
        <w:t>48.12</w:t>
      </w:r>
      <w:r>
        <w:rPr>
          <w:rFonts w:hint="eastAsia" w:ascii="仿宋" w:hAnsi="仿宋" w:eastAsia="仿宋"/>
          <w:sz w:val="32"/>
          <w:szCs w:val="32"/>
        </w:rPr>
        <w:t>万元，占</w:t>
      </w:r>
      <w:r>
        <w:rPr>
          <w:rFonts w:hint="eastAsia" w:ascii="仿宋" w:hAnsi="仿宋" w:eastAsia="仿宋"/>
          <w:sz w:val="32"/>
          <w:szCs w:val="32"/>
          <w:lang w:val="en-US" w:eastAsia="zh-CN"/>
        </w:rPr>
        <w:t>0.76</w:t>
      </w:r>
      <w:r>
        <w:rPr>
          <w:rFonts w:ascii="仿宋" w:hAnsi="仿宋" w:eastAsia="仿宋"/>
          <w:sz w:val="32"/>
          <w:szCs w:val="32"/>
        </w:rPr>
        <w:t>%</w:t>
      </w:r>
      <w:r>
        <w:rPr>
          <w:rFonts w:hint="eastAsia" w:ascii="仿宋" w:hAnsi="仿宋" w:eastAsia="仿宋"/>
          <w:sz w:val="32"/>
          <w:szCs w:val="32"/>
        </w:rPr>
        <w:t>；国有资本经营预算财政拨款收入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；上级补助收入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；事业收入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；经营收入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；附属单位上缴收入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；其他收入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p>
    <w:p w14:paraId="5FDE3AA2">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14:paraId="328B4B43">
      <w:pPr>
        <w:spacing w:line="600" w:lineRule="exact"/>
        <w:ind w:firstLine="640" w:firstLineChars="200"/>
        <w:outlineLvl w:val="1"/>
        <w:rPr>
          <w:rFonts w:ascii="仿宋" w:hAnsi="仿宋" w:eastAsia="仿宋"/>
          <w:sz w:val="32"/>
          <w:szCs w:val="32"/>
        </w:rPr>
      </w:pPr>
    </w:p>
    <w:p w14:paraId="3F0072F5">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14:paraId="6C0E246C">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drawing>
          <wp:anchor distT="0" distB="0" distL="114300" distR="114300" simplePos="0" relativeHeight="251660288" behindDoc="0" locked="0" layoutInCell="1" allowOverlap="1">
            <wp:simplePos x="0" y="0"/>
            <wp:positionH relativeFrom="column">
              <wp:posOffset>13335</wp:posOffset>
            </wp:positionH>
            <wp:positionV relativeFrom="paragraph">
              <wp:posOffset>340995</wp:posOffset>
            </wp:positionV>
            <wp:extent cx="5134610" cy="2585085"/>
            <wp:effectExtent l="4445" t="4445" r="23495" b="2032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48FE3A05">
      <w:pPr>
        <w:pStyle w:val="8"/>
        <w:rPr>
          <w:rFonts w:ascii="仿宋_GB2312" w:eastAsia="仿宋_GB2312"/>
          <w:sz w:val="32"/>
          <w:szCs w:val="32"/>
        </w:rPr>
      </w:pPr>
    </w:p>
    <w:p w14:paraId="1EE0DA93">
      <w:pPr>
        <w:rPr>
          <w:rFonts w:hint="eastAsia" w:ascii="仿宋_GB2312" w:eastAsia="仿宋_GB2312"/>
          <w:sz w:val="32"/>
          <w:szCs w:val="32"/>
          <w:lang w:eastAsia="zh-CN"/>
        </w:rPr>
      </w:pPr>
    </w:p>
    <w:p w14:paraId="0FC2FFD3">
      <w:pPr>
        <w:pStyle w:val="8"/>
        <w:rPr>
          <w:rFonts w:ascii="仿宋_GB2312" w:eastAsia="仿宋_GB2312"/>
          <w:sz w:val="32"/>
          <w:szCs w:val="32"/>
        </w:rPr>
      </w:pPr>
    </w:p>
    <w:p w14:paraId="138999C5">
      <w:pPr>
        <w:rPr>
          <w:rFonts w:ascii="仿宋_GB2312" w:eastAsia="仿宋_GB2312"/>
          <w:sz w:val="32"/>
          <w:szCs w:val="32"/>
        </w:rPr>
      </w:pPr>
    </w:p>
    <w:p w14:paraId="4F3AD351">
      <w:pPr>
        <w:pStyle w:val="8"/>
        <w:rPr>
          <w:rFonts w:ascii="仿宋_GB2312" w:eastAsia="仿宋_GB2312"/>
          <w:sz w:val="32"/>
          <w:szCs w:val="32"/>
        </w:rPr>
      </w:pPr>
    </w:p>
    <w:p w14:paraId="64B5864F">
      <w:pPr>
        <w:rPr>
          <w:rFonts w:ascii="仿宋_GB2312" w:eastAsia="仿宋_GB2312"/>
          <w:sz w:val="32"/>
          <w:szCs w:val="32"/>
        </w:rPr>
      </w:pPr>
    </w:p>
    <w:p w14:paraId="6537AA2B">
      <w:pPr>
        <w:pStyle w:val="8"/>
      </w:pPr>
    </w:p>
    <w:p w14:paraId="543B9FC3">
      <w:pPr>
        <w:pStyle w:val="27"/>
        <w:numPr>
          <w:ilvl w:val="0"/>
          <w:numId w:val="2"/>
        </w:numPr>
        <w:spacing w:line="600" w:lineRule="exact"/>
        <w:ind w:firstLineChars="0"/>
        <w:outlineLvl w:val="1"/>
        <w:rPr>
          <w:rStyle w:val="29"/>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29"/>
          <w:rFonts w:hint="eastAsia" w:ascii="黑体" w:hAnsi="黑体" w:eastAsia="黑体"/>
          <w:b w:val="0"/>
        </w:rPr>
        <w:t>出决算情况说明</w:t>
      </w:r>
      <w:bookmarkEnd w:id="22"/>
      <w:bookmarkEnd w:id="23"/>
    </w:p>
    <w:p w14:paraId="72F72AD7">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22年本年支出合计</w:t>
      </w:r>
      <w:r>
        <w:rPr>
          <w:rFonts w:hint="eastAsia" w:ascii="仿宋" w:hAnsi="仿宋" w:eastAsia="仿宋"/>
          <w:sz w:val="32"/>
          <w:szCs w:val="32"/>
          <w:lang w:val="en-US" w:eastAsia="zh-CN"/>
        </w:rPr>
        <w:t>6515.7</w:t>
      </w:r>
      <w:r>
        <w:rPr>
          <w:rFonts w:hint="eastAsia" w:ascii="仿宋" w:hAnsi="仿宋" w:eastAsia="仿宋"/>
          <w:sz w:val="32"/>
          <w:szCs w:val="32"/>
        </w:rPr>
        <w:t>万元，其中：基本支出</w:t>
      </w:r>
      <w:r>
        <w:rPr>
          <w:rFonts w:hint="eastAsia" w:ascii="仿宋" w:hAnsi="仿宋" w:eastAsia="仿宋"/>
          <w:sz w:val="32"/>
          <w:szCs w:val="32"/>
          <w:lang w:val="en-US" w:eastAsia="zh-CN"/>
        </w:rPr>
        <w:t>362.67</w:t>
      </w:r>
      <w:r>
        <w:rPr>
          <w:rFonts w:hint="eastAsia" w:ascii="仿宋" w:hAnsi="仿宋" w:eastAsia="仿宋"/>
          <w:sz w:val="32"/>
          <w:szCs w:val="32"/>
        </w:rPr>
        <w:t>万元，占</w:t>
      </w:r>
      <w:r>
        <w:rPr>
          <w:rFonts w:hint="eastAsia" w:ascii="仿宋" w:hAnsi="仿宋" w:eastAsia="仿宋"/>
          <w:sz w:val="32"/>
          <w:szCs w:val="32"/>
          <w:lang w:val="en-US" w:eastAsia="zh-CN"/>
        </w:rPr>
        <w:t>5.57</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sz w:val="32"/>
          <w:szCs w:val="32"/>
          <w:lang w:val="en-US" w:eastAsia="zh-CN"/>
        </w:rPr>
        <w:t>6153.03</w:t>
      </w:r>
      <w:r>
        <w:rPr>
          <w:rFonts w:hint="eastAsia" w:ascii="仿宋" w:hAnsi="仿宋" w:eastAsia="仿宋"/>
          <w:sz w:val="32"/>
          <w:szCs w:val="32"/>
        </w:rPr>
        <w:t>万元，占</w:t>
      </w:r>
      <w:r>
        <w:rPr>
          <w:rFonts w:hint="eastAsia" w:ascii="仿宋" w:hAnsi="仿宋" w:eastAsia="仿宋"/>
          <w:sz w:val="32"/>
          <w:szCs w:val="32"/>
          <w:lang w:val="en-US" w:eastAsia="zh-CN"/>
        </w:rPr>
        <w:t>94.43</w:t>
      </w:r>
      <w:r>
        <w:rPr>
          <w:rFonts w:ascii="仿宋" w:hAnsi="仿宋" w:eastAsia="仿宋"/>
          <w:sz w:val="32"/>
          <w:szCs w:val="32"/>
        </w:rPr>
        <w:t>%</w:t>
      </w:r>
      <w:r>
        <w:rPr>
          <w:rFonts w:hint="eastAsia" w:ascii="仿宋" w:hAnsi="仿宋" w:eastAsia="仿宋"/>
          <w:sz w:val="32"/>
          <w:szCs w:val="32"/>
        </w:rPr>
        <w:t>；上缴上级支出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；经营支出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；对附属单位补助支出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p>
    <w:p w14:paraId="5E9C76FA">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p>
    <w:p w14:paraId="5A3B3D78">
      <w:pPr>
        <w:spacing w:line="600" w:lineRule="exact"/>
        <w:ind w:firstLine="640"/>
        <w:rPr>
          <w:rFonts w:ascii="仿宋" w:hAnsi="仿宋" w:eastAsia="仿宋"/>
          <w:sz w:val="32"/>
          <w:szCs w:val="32"/>
          <w:shd w:val="pct10" w:color="auto" w:fill="FFFFFF"/>
        </w:rPr>
      </w:pPr>
    </w:p>
    <w:p w14:paraId="1A54A162">
      <w:pPr>
        <w:spacing w:line="600" w:lineRule="exact"/>
        <w:ind w:firstLine="640" w:firstLineChars="200"/>
        <w:rPr>
          <w:rFonts w:ascii="仿宋" w:hAnsi="仿宋" w:eastAsia="仿宋"/>
          <w:sz w:val="32"/>
          <w:szCs w:val="32"/>
        </w:rPr>
      </w:pPr>
      <w:r>
        <w:rPr>
          <w:rFonts w:hint="eastAsia" w:ascii="仿宋_GB2312" w:eastAsia="仿宋_GB2312"/>
          <w:sz w:val="32"/>
          <w:szCs w:val="32"/>
          <w:lang w:eastAsia="zh-CN"/>
        </w:rPr>
        <w:drawing>
          <wp:anchor distT="0" distB="0" distL="114300" distR="114300" simplePos="0" relativeHeight="251661312" behindDoc="0" locked="0" layoutInCell="1" allowOverlap="1">
            <wp:simplePos x="0" y="0"/>
            <wp:positionH relativeFrom="column">
              <wp:posOffset>93345</wp:posOffset>
            </wp:positionH>
            <wp:positionV relativeFrom="paragraph">
              <wp:posOffset>100330</wp:posOffset>
            </wp:positionV>
            <wp:extent cx="5360670" cy="3012440"/>
            <wp:effectExtent l="4445" t="4445" r="6985" b="1206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sz w:val="32"/>
          <w:szCs w:val="32"/>
        </w:rPr>
        <w:t>（图3：支出决算结构图）（饼状图）</w:t>
      </w:r>
    </w:p>
    <w:p w14:paraId="46FB55B2">
      <w:pPr>
        <w:spacing w:line="600" w:lineRule="exact"/>
        <w:ind w:firstLine="640" w:firstLineChars="200"/>
        <w:rPr>
          <w:rFonts w:hint="eastAsia" w:ascii="仿宋_GB2312" w:eastAsia="仿宋_GB2312"/>
          <w:sz w:val="32"/>
          <w:szCs w:val="32"/>
          <w:lang w:eastAsia="zh-CN"/>
        </w:rPr>
      </w:pPr>
    </w:p>
    <w:p w14:paraId="68590178">
      <w:pPr>
        <w:spacing w:line="600" w:lineRule="exact"/>
        <w:ind w:firstLine="640" w:firstLineChars="200"/>
        <w:outlineLvl w:val="1"/>
        <w:rPr>
          <w:rFonts w:hint="eastAsia" w:ascii="黑体" w:hAnsi="黑体" w:eastAsia="黑体"/>
          <w:sz w:val="32"/>
          <w:szCs w:val="32"/>
        </w:rPr>
      </w:pPr>
      <w:bookmarkStart w:id="24" w:name="_Toc15396606"/>
      <w:bookmarkStart w:id="25" w:name="_Toc15377208"/>
    </w:p>
    <w:p w14:paraId="407DD5BE">
      <w:pPr>
        <w:spacing w:line="600" w:lineRule="exact"/>
        <w:ind w:firstLine="640" w:firstLineChars="200"/>
        <w:outlineLvl w:val="1"/>
        <w:rPr>
          <w:rFonts w:hint="eastAsia" w:ascii="黑体" w:hAnsi="黑体" w:eastAsia="黑体"/>
          <w:sz w:val="32"/>
          <w:szCs w:val="32"/>
        </w:rPr>
      </w:pPr>
    </w:p>
    <w:p w14:paraId="73097A6B">
      <w:pPr>
        <w:spacing w:line="600" w:lineRule="exact"/>
        <w:ind w:firstLine="640" w:firstLineChars="200"/>
        <w:outlineLvl w:val="1"/>
        <w:rPr>
          <w:rFonts w:hint="eastAsia" w:ascii="黑体" w:hAnsi="黑体" w:eastAsia="黑体"/>
          <w:sz w:val="32"/>
          <w:szCs w:val="32"/>
        </w:rPr>
      </w:pPr>
    </w:p>
    <w:p w14:paraId="67291A59">
      <w:pPr>
        <w:spacing w:line="600" w:lineRule="exact"/>
        <w:ind w:firstLine="640" w:firstLineChars="200"/>
        <w:outlineLvl w:val="1"/>
        <w:rPr>
          <w:rFonts w:hint="eastAsia" w:ascii="黑体" w:hAnsi="黑体" w:eastAsia="黑体"/>
          <w:sz w:val="32"/>
          <w:szCs w:val="32"/>
        </w:rPr>
      </w:pPr>
    </w:p>
    <w:p w14:paraId="05985BFF">
      <w:pPr>
        <w:spacing w:line="600" w:lineRule="exact"/>
        <w:ind w:firstLine="640" w:firstLineChars="200"/>
        <w:outlineLvl w:val="1"/>
        <w:rPr>
          <w:rFonts w:hint="eastAsia" w:ascii="黑体" w:hAnsi="黑体" w:eastAsia="黑体"/>
          <w:sz w:val="32"/>
          <w:szCs w:val="32"/>
        </w:rPr>
      </w:pPr>
    </w:p>
    <w:p w14:paraId="331318EC">
      <w:pPr>
        <w:spacing w:line="600" w:lineRule="exact"/>
        <w:ind w:firstLine="640" w:firstLineChars="200"/>
        <w:outlineLvl w:val="1"/>
        <w:rPr>
          <w:rFonts w:hint="eastAsia" w:ascii="黑体" w:hAnsi="黑体" w:eastAsia="黑体"/>
          <w:sz w:val="32"/>
          <w:szCs w:val="32"/>
        </w:rPr>
      </w:pPr>
    </w:p>
    <w:p w14:paraId="67B0D977">
      <w:pPr>
        <w:spacing w:line="600" w:lineRule="exact"/>
        <w:ind w:firstLine="640" w:firstLineChars="200"/>
        <w:outlineLvl w:val="1"/>
        <w:rPr>
          <w:rFonts w:hint="eastAsia" w:ascii="黑体" w:hAnsi="黑体" w:eastAsia="黑体"/>
          <w:sz w:val="32"/>
          <w:szCs w:val="32"/>
        </w:rPr>
      </w:pPr>
    </w:p>
    <w:p w14:paraId="4F2048A4">
      <w:pPr>
        <w:spacing w:line="600" w:lineRule="exact"/>
        <w:ind w:firstLine="640" w:firstLineChars="200"/>
        <w:outlineLvl w:val="1"/>
        <w:rPr>
          <w:rFonts w:hint="eastAsia" w:ascii="黑体" w:hAnsi="黑体" w:eastAsia="黑体"/>
          <w:sz w:val="32"/>
          <w:szCs w:val="32"/>
        </w:rPr>
      </w:pPr>
    </w:p>
    <w:p w14:paraId="12A8DC83">
      <w:pPr>
        <w:spacing w:line="600" w:lineRule="exact"/>
        <w:ind w:firstLine="640" w:firstLineChars="200"/>
        <w:outlineLvl w:val="1"/>
        <w:rPr>
          <w:rStyle w:val="29"/>
          <w:rFonts w:ascii="黑体" w:hAnsi="黑体" w:eastAsia="黑体"/>
          <w:b w:val="0"/>
        </w:rPr>
      </w:pPr>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4"/>
      <w:bookmarkEnd w:id="25"/>
    </w:p>
    <w:p w14:paraId="76EC46F0">
      <w:pPr>
        <w:snapToGrid w:val="0"/>
        <w:spacing w:line="520" w:lineRule="exact"/>
        <w:ind w:firstLine="640" w:firstLineChars="200"/>
        <w:rPr>
          <w:rFonts w:hint="eastAsia" w:cs="宋体" w:asciiTheme="minorEastAsia" w:hAnsiTheme="minorEastAsia"/>
          <w:kern w:val="0"/>
          <w:sz w:val="32"/>
          <w:szCs w:val="32"/>
          <w:lang w:val="en-US" w:eastAsia="zh-CN"/>
        </w:rPr>
      </w:pPr>
      <w:r>
        <w:rPr>
          <w:rFonts w:hint="eastAsia" w:ascii="仿宋" w:hAnsi="仿宋" w:eastAsia="仿宋"/>
          <w:sz w:val="32"/>
          <w:szCs w:val="32"/>
        </w:rPr>
        <w:t>2022年度收</w:t>
      </w:r>
      <w:r>
        <w:rPr>
          <w:rFonts w:hint="eastAsia" w:ascii="仿宋" w:hAnsi="仿宋" w:eastAsia="仿宋"/>
          <w:sz w:val="32"/>
          <w:szCs w:val="32"/>
          <w:lang w:val="en-US" w:eastAsia="zh-CN"/>
        </w:rPr>
        <w:t>入</w:t>
      </w:r>
      <w:r>
        <w:rPr>
          <w:rFonts w:hint="eastAsia" w:ascii="仿宋" w:hAnsi="仿宋" w:eastAsia="仿宋"/>
          <w:sz w:val="32"/>
          <w:szCs w:val="32"/>
        </w:rPr>
        <w:t>总计</w:t>
      </w:r>
      <w:r>
        <w:rPr>
          <w:rFonts w:hint="eastAsia" w:ascii="仿宋" w:hAnsi="仿宋" w:eastAsia="仿宋"/>
          <w:sz w:val="32"/>
          <w:szCs w:val="32"/>
          <w:lang w:val="en-US" w:eastAsia="zh-CN"/>
        </w:rPr>
        <w:t>6291.45</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支出总计6515.7万元。</w:t>
      </w:r>
      <w:r>
        <w:rPr>
          <w:rFonts w:hint="eastAsia" w:ascii="仿宋" w:hAnsi="仿宋" w:eastAsia="仿宋"/>
          <w:sz w:val="32"/>
          <w:szCs w:val="32"/>
        </w:rPr>
        <w:t>与2021年相比，</w:t>
      </w:r>
      <w:r>
        <w:rPr>
          <w:rFonts w:hint="eastAsia" w:ascii="仿宋" w:hAnsi="仿宋" w:eastAsia="仿宋"/>
          <w:sz w:val="32"/>
          <w:szCs w:val="32"/>
          <w:lang w:val="en-US" w:eastAsia="zh-CN"/>
        </w:rPr>
        <w:t>收入增加4274.85万元，上升212%，支出增加3888.71万元，上升148%。收、支增长</w:t>
      </w:r>
      <w:r>
        <w:rPr>
          <w:rFonts w:hint="eastAsia" w:ascii="仿宋" w:hAnsi="仿宋" w:eastAsia="仿宋"/>
          <w:sz w:val="32"/>
          <w:szCs w:val="32"/>
        </w:rPr>
        <w:t>主要变动原因</w:t>
      </w:r>
      <w:r>
        <w:rPr>
          <w:rFonts w:hint="eastAsia" w:ascii="仿宋" w:hAnsi="仿宋" w:eastAsia="仿宋"/>
          <w:sz w:val="32"/>
          <w:szCs w:val="32"/>
          <w:lang w:eastAsia="zh-CN"/>
        </w:rPr>
        <w:t>：</w:t>
      </w:r>
      <w:r>
        <w:rPr>
          <w:rFonts w:hint="eastAsia" w:cs="宋体" w:asciiTheme="minorEastAsia" w:hAnsiTheme="minorEastAsia"/>
          <w:kern w:val="0"/>
          <w:sz w:val="32"/>
          <w:szCs w:val="32"/>
          <w:lang w:val="en-US" w:eastAsia="zh-CN"/>
        </w:rPr>
        <w:t>一，新增城乡低保资金；二，</w:t>
      </w:r>
      <w:r>
        <w:rPr>
          <w:rFonts w:hint="eastAsia" w:cs="宋体" w:asciiTheme="minorEastAsia" w:hAnsiTheme="minorEastAsia"/>
          <w:kern w:val="0"/>
          <w:sz w:val="32"/>
          <w:szCs w:val="32"/>
        </w:rPr>
        <w:t>职工目标考核奖纳入年初预算</w:t>
      </w:r>
      <w:r>
        <w:rPr>
          <w:rFonts w:hint="eastAsia" w:cs="宋体" w:asciiTheme="minorEastAsia" w:hAnsiTheme="minorEastAsia"/>
          <w:kern w:val="0"/>
          <w:sz w:val="32"/>
          <w:szCs w:val="32"/>
          <w:lang w:eastAsia="zh-CN"/>
        </w:rPr>
        <w:t>。</w:t>
      </w:r>
    </w:p>
    <w:p w14:paraId="130101A4">
      <w:pPr>
        <w:spacing w:line="600" w:lineRule="exact"/>
        <w:ind w:firstLine="640"/>
        <w:rPr>
          <w:rFonts w:ascii="仿宋" w:hAnsi="仿宋" w:eastAsia="仿宋"/>
          <w:sz w:val="32"/>
          <w:szCs w:val="32"/>
        </w:rPr>
      </w:pPr>
    </w:p>
    <w:p w14:paraId="69AF7F3B">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16B27EE9">
      <w:pPr>
        <w:spacing w:line="600" w:lineRule="exact"/>
        <w:rPr>
          <w:rFonts w:ascii="仿宋" w:hAnsi="仿宋" w:eastAsia="仿宋"/>
          <w:sz w:val="32"/>
          <w:szCs w:val="32"/>
        </w:rPr>
      </w:pPr>
    </w:p>
    <w:p w14:paraId="64F13222">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4543720B">
      <w:pPr>
        <w:spacing w:line="600" w:lineRule="exact"/>
        <w:ind w:firstLine="640"/>
        <w:rPr>
          <w:rFonts w:ascii="仿宋" w:hAnsi="仿宋" w:eastAsia="仿宋"/>
          <w:b/>
          <w:sz w:val="32"/>
          <w:szCs w:val="32"/>
        </w:rPr>
      </w:pPr>
    </w:p>
    <w:p w14:paraId="21024FE6">
      <w:pPr>
        <w:pStyle w:val="8"/>
        <w:rPr>
          <w:rFonts w:ascii="仿宋" w:hAnsi="仿宋" w:eastAsia="仿宋"/>
          <w:b/>
          <w:sz w:val="32"/>
          <w:szCs w:val="32"/>
        </w:rPr>
      </w:pPr>
    </w:p>
    <w:p w14:paraId="3AFCEFD2">
      <w:pPr>
        <w:rPr>
          <w:rFonts w:ascii="仿宋" w:hAnsi="仿宋" w:eastAsia="仿宋"/>
          <w:b/>
          <w:sz w:val="32"/>
          <w:szCs w:val="32"/>
        </w:rPr>
      </w:pPr>
    </w:p>
    <w:p w14:paraId="3A7E4572">
      <w:pPr>
        <w:pStyle w:val="8"/>
        <w:rPr>
          <w:rFonts w:ascii="仿宋" w:hAnsi="仿宋" w:eastAsia="仿宋"/>
          <w:b/>
          <w:sz w:val="32"/>
          <w:szCs w:val="32"/>
        </w:rPr>
      </w:pPr>
      <w:r>
        <w:rPr>
          <w:rFonts w:hint="eastAsia" w:ascii="仿宋_GB2312" w:eastAsia="仿宋_GB2312"/>
          <w:sz w:val="32"/>
          <w:szCs w:val="32"/>
          <w:lang w:eastAsia="zh-CN"/>
        </w:rPr>
        <w:drawing>
          <wp:anchor distT="0" distB="0" distL="114300" distR="114300" simplePos="0" relativeHeight="251662336" behindDoc="0" locked="0" layoutInCell="1" allowOverlap="1">
            <wp:simplePos x="0" y="0"/>
            <wp:positionH relativeFrom="column">
              <wp:posOffset>-72390</wp:posOffset>
            </wp:positionH>
            <wp:positionV relativeFrom="paragraph">
              <wp:posOffset>201295</wp:posOffset>
            </wp:positionV>
            <wp:extent cx="5369560" cy="2657475"/>
            <wp:effectExtent l="4445" t="5080" r="17145" b="444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5C410B8">
      <w:pPr>
        <w:rPr>
          <w:rFonts w:ascii="仿宋" w:hAnsi="仿宋" w:eastAsia="仿宋"/>
          <w:b/>
          <w:sz w:val="32"/>
          <w:szCs w:val="32"/>
        </w:rPr>
      </w:pPr>
    </w:p>
    <w:p w14:paraId="36E1818E">
      <w:pPr>
        <w:pStyle w:val="8"/>
        <w:rPr>
          <w:rFonts w:ascii="仿宋" w:hAnsi="仿宋" w:eastAsia="仿宋"/>
          <w:b/>
          <w:sz w:val="32"/>
          <w:szCs w:val="32"/>
        </w:rPr>
      </w:pPr>
    </w:p>
    <w:p w14:paraId="372C0D04">
      <w:pPr>
        <w:rPr>
          <w:rFonts w:ascii="仿宋" w:hAnsi="仿宋" w:eastAsia="仿宋"/>
          <w:b/>
          <w:sz w:val="32"/>
          <w:szCs w:val="32"/>
        </w:rPr>
      </w:pPr>
    </w:p>
    <w:p w14:paraId="7743DCD2">
      <w:pPr>
        <w:pStyle w:val="8"/>
        <w:rPr>
          <w:rFonts w:ascii="仿宋" w:hAnsi="仿宋" w:eastAsia="仿宋"/>
          <w:b/>
          <w:sz w:val="32"/>
          <w:szCs w:val="32"/>
        </w:rPr>
      </w:pPr>
    </w:p>
    <w:p w14:paraId="307B3725">
      <w:pPr>
        <w:rPr>
          <w:rFonts w:ascii="仿宋" w:hAnsi="仿宋" w:eastAsia="仿宋"/>
          <w:b/>
          <w:sz w:val="32"/>
          <w:szCs w:val="32"/>
        </w:rPr>
      </w:pPr>
    </w:p>
    <w:p w14:paraId="6B91855B">
      <w:pPr>
        <w:pStyle w:val="8"/>
      </w:pPr>
    </w:p>
    <w:p w14:paraId="6AC1CFE5">
      <w:pPr>
        <w:spacing w:line="600" w:lineRule="exact"/>
        <w:ind w:firstLine="640" w:firstLineChars="200"/>
        <w:outlineLvl w:val="1"/>
        <w:rPr>
          <w:rStyle w:val="29"/>
          <w:rFonts w:ascii="黑体" w:hAnsi="黑体" w:eastAsia="黑体"/>
          <w:b w:val="0"/>
        </w:rPr>
      </w:pPr>
      <w:bookmarkStart w:id="26" w:name="_Toc15396607"/>
      <w:bookmarkStart w:id="27" w:name="_Toc15377209"/>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6"/>
      <w:bookmarkEnd w:id="27"/>
    </w:p>
    <w:p w14:paraId="1EDA604F">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542B5808">
      <w:pPr>
        <w:spacing w:line="600" w:lineRule="exact"/>
        <w:ind w:firstLine="640" w:firstLineChars="200"/>
        <w:rPr>
          <w:rFonts w:hint="default" w:ascii="仿宋" w:hAnsi="仿宋" w:eastAsia="仿宋"/>
          <w:sz w:val="32"/>
          <w:szCs w:val="32"/>
          <w:lang w:val="en-US"/>
        </w:rPr>
      </w:pPr>
      <w:r>
        <w:rPr>
          <w:rFonts w:ascii="仿宋" w:hAnsi="仿宋" w:eastAsia="仿宋"/>
          <w:sz w:val="32"/>
          <w:szCs w:val="32"/>
        </w:rPr>
        <w:t>20</w:t>
      </w:r>
      <w:r>
        <w:rPr>
          <w:rFonts w:hint="eastAsia" w:ascii="仿宋" w:hAnsi="仿宋" w:eastAsia="仿宋"/>
          <w:sz w:val="32"/>
          <w:szCs w:val="32"/>
        </w:rPr>
        <w:t>22年一般公共预算财政拨款支出</w:t>
      </w:r>
      <w:r>
        <w:rPr>
          <w:rFonts w:hint="eastAsia" w:ascii="仿宋" w:hAnsi="仿宋" w:eastAsia="仿宋"/>
          <w:sz w:val="32"/>
          <w:szCs w:val="32"/>
          <w:lang w:val="en-US" w:eastAsia="zh-CN"/>
        </w:rPr>
        <w:t>6467.58</w:t>
      </w:r>
      <w:r>
        <w:rPr>
          <w:rFonts w:hint="eastAsia" w:ascii="仿宋" w:hAnsi="仿宋" w:eastAsia="仿宋"/>
          <w:sz w:val="32"/>
          <w:szCs w:val="32"/>
        </w:rPr>
        <w:t>万元，占本年支出合计的</w:t>
      </w:r>
      <w:r>
        <w:rPr>
          <w:rFonts w:hint="eastAsia" w:ascii="仿宋" w:hAnsi="仿宋" w:eastAsia="仿宋"/>
          <w:sz w:val="32"/>
          <w:szCs w:val="32"/>
          <w:lang w:val="en-US" w:eastAsia="zh-CN"/>
        </w:rPr>
        <w:t>99.26</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21年相比，一般公共预算财政拨款支出增加</w:t>
      </w:r>
      <w:r>
        <w:rPr>
          <w:rFonts w:hint="eastAsia" w:ascii="仿宋" w:hAnsi="仿宋" w:eastAsia="仿宋"/>
          <w:sz w:val="32"/>
          <w:szCs w:val="32"/>
          <w:lang w:val="en-US" w:eastAsia="zh-CN"/>
        </w:rPr>
        <w:t>3961.66</w:t>
      </w:r>
      <w:r>
        <w:rPr>
          <w:rFonts w:hint="eastAsia" w:ascii="仿宋" w:hAnsi="仿宋" w:eastAsia="仿宋"/>
          <w:sz w:val="32"/>
          <w:szCs w:val="32"/>
        </w:rPr>
        <w:t>万元，增长</w:t>
      </w:r>
      <w:r>
        <w:rPr>
          <w:rFonts w:hint="eastAsia" w:ascii="仿宋" w:hAnsi="仿宋" w:eastAsia="仿宋"/>
          <w:sz w:val="32"/>
          <w:szCs w:val="32"/>
          <w:lang w:val="en-US" w:eastAsia="zh-CN"/>
        </w:rPr>
        <w:t>158.1</w:t>
      </w:r>
      <w:r>
        <w:rPr>
          <w:rFonts w:ascii="仿宋" w:hAnsi="仿宋" w:eastAsia="仿宋"/>
          <w:sz w:val="32"/>
          <w:szCs w:val="32"/>
        </w:rPr>
        <w:t>%</w:t>
      </w:r>
      <w:r>
        <w:rPr>
          <w:rFonts w:hint="eastAsia" w:ascii="仿宋" w:hAnsi="仿宋" w:eastAsia="仿宋"/>
          <w:sz w:val="32"/>
          <w:szCs w:val="32"/>
        </w:rPr>
        <w:t>。主要变动原因</w:t>
      </w:r>
      <w:r>
        <w:rPr>
          <w:rFonts w:hint="eastAsia" w:cs="宋体" w:asciiTheme="minorEastAsia" w:hAnsiTheme="minorEastAsia"/>
          <w:kern w:val="0"/>
          <w:sz w:val="32"/>
          <w:szCs w:val="32"/>
          <w:lang w:val="en-US" w:eastAsia="zh-CN"/>
        </w:rPr>
        <w:t>一，新增城乡低保资金；二，</w:t>
      </w:r>
      <w:r>
        <w:rPr>
          <w:rFonts w:hint="eastAsia" w:cs="宋体" w:asciiTheme="minorEastAsia" w:hAnsiTheme="minorEastAsia"/>
          <w:kern w:val="0"/>
          <w:sz w:val="32"/>
          <w:szCs w:val="32"/>
        </w:rPr>
        <w:t>职工目标考核奖纳入年初预算</w:t>
      </w:r>
      <w:r>
        <w:rPr>
          <w:rFonts w:hint="eastAsia" w:cs="宋体" w:asciiTheme="minorEastAsia" w:hAnsiTheme="minorEastAsia"/>
          <w:kern w:val="0"/>
          <w:sz w:val="32"/>
          <w:szCs w:val="32"/>
          <w:lang w:eastAsia="zh-CN"/>
        </w:rPr>
        <w:t>。</w:t>
      </w:r>
      <w:r>
        <w:rPr>
          <w:rFonts w:hint="eastAsia" w:cs="宋体" w:asciiTheme="minorEastAsia" w:hAnsiTheme="minorEastAsia"/>
          <w:kern w:val="0"/>
          <w:sz w:val="32"/>
          <w:szCs w:val="32"/>
          <w:lang w:val="en-US" w:eastAsia="zh-CN"/>
        </w:rPr>
        <w:t>救济费5221.81万元较上年增加了3865.58万元。</w:t>
      </w:r>
    </w:p>
    <w:p w14:paraId="64C382E6">
      <w:pPr>
        <w:spacing w:line="600" w:lineRule="exact"/>
        <w:ind w:firstLine="640" w:firstLineChars="200"/>
        <w:outlineLvl w:val="1"/>
        <w:rPr>
          <w:rFonts w:ascii="仿宋" w:hAnsi="仿宋" w:eastAsia="仿宋"/>
          <w:sz w:val="32"/>
          <w:szCs w:val="32"/>
        </w:rPr>
      </w:pPr>
    </w:p>
    <w:p w14:paraId="0C377FDC">
      <w:pPr>
        <w:spacing w:line="600" w:lineRule="exact"/>
        <w:ind w:firstLine="640" w:firstLineChars="200"/>
        <w:rPr>
          <w:rFonts w:ascii="仿宋" w:hAnsi="仿宋" w:eastAsia="仿宋"/>
          <w:sz w:val="32"/>
          <w:szCs w:val="32"/>
        </w:rPr>
      </w:pPr>
    </w:p>
    <w:p w14:paraId="1B509846">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drawing>
          <wp:anchor distT="0" distB="0" distL="114300" distR="114300" simplePos="0" relativeHeight="251663360" behindDoc="0" locked="0" layoutInCell="1" allowOverlap="1">
            <wp:simplePos x="0" y="0"/>
            <wp:positionH relativeFrom="column">
              <wp:posOffset>978535</wp:posOffset>
            </wp:positionH>
            <wp:positionV relativeFrom="paragraph">
              <wp:posOffset>683895</wp:posOffset>
            </wp:positionV>
            <wp:extent cx="4171950" cy="2077085"/>
            <wp:effectExtent l="5080" t="4445" r="13970" b="1397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sz w:val="32"/>
          <w:szCs w:val="32"/>
        </w:rPr>
        <w:t>（图5：一般公共预算财政拨款支出决算变动情况）（柱状图）</w:t>
      </w:r>
    </w:p>
    <w:p w14:paraId="014EEA03">
      <w:pPr>
        <w:spacing w:line="600" w:lineRule="exact"/>
        <w:ind w:firstLine="640" w:firstLineChars="200"/>
        <w:rPr>
          <w:rFonts w:ascii="仿宋" w:hAnsi="仿宋" w:eastAsia="仿宋"/>
          <w:sz w:val="32"/>
          <w:szCs w:val="32"/>
        </w:rPr>
      </w:pPr>
    </w:p>
    <w:p w14:paraId="687DF7A2">
      <w:pPr>
        <w:pStyle w:val="8"/>
        <w:rPr>
          <w:rFonts w:hint="eastAsia" w:ascii="仿宋" w:hAnsi="仿宋" w:eastAsia="仿宋"/>
          <w:sz w:val="32"/>
          <w:szCs w:val="32"/>
          <w:lang w:eastAsia="zh-CN"/>
        </w:rPr>
      </w:pPr>
    </w:p>
    <w:p w14:paraId="000FB73D">
      <w:pPr>
        <w:rPr>
          <w:rFonts w:ascii="仿宋" w:hAnsi="仿宋" w:eastAsia="仿宋"/>
          <w:sz w:val="32"/>
          <w:szCs w:val="32"/>
        </w:rPr>
      </w:pPr>
    </w:p>
    <w:p w14:paraId="00EECEBF">
      <w:pPr>
        <w:pStyle w:val="8"/>
        <w:rPr>
          <w:rFonts w:ascii="仿宋" w:hAnsi="仿宋" w:eastAsia="仿宋"/>
          <w:sz w:val="32"/>
          <w:szCs w:val="32"/>
        </w:rPr>
      </w:pPr>
    </w:p>
    <w:p w14:paraId="14AECAB3">
      <w:pPr>
        <w:rPr>
          <w:rFonts w:ascii="仿宋" w:hAnsi="仿宋" w:eastAsia="仿宋"/>
          <w:sz w:val="32"/>
          <w:szCs w:val="32"/>
        </w:rPr>
      </w:pPr>
    </w:p>
    <w:p w14:paraId="740E5A3C">
      <w:pPr>
        <w:pStyle w:val="8"/>
      </w:pPr>
    </w:p>
    <w:p w14:paraId="0839B07F">
      <w:pPr>
        <w:spacing w:line="600"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3DC13941">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w:t>
      </w:r>
      <w:r>
        <w:rPr>
          <w:rFonts w:hint="eastAsia" w:ascii="仿宋" w:hAnsi="仿宋" w:eastAsia="仿宋"/>
          <w:sz w:val="32"/>
          <w:szCs w:val="32"/>
          <w:lang w:val="en-US" w:eastAsia="zh-CN"/>
        </w:rPr>
        <w:t>6467.58</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6194.25</w:t>
      </w:r>
      <w:r>
        <w:rPr>
          <w:rFonts w:hint="eastAsia" w:ascii="仿宋" w:hAnsi="仿宋" w:eastAsia="仿宋"/>
          <w:sz w:val="32"/>
          <w:szCs w:val="32"/>
        </w:rPr>
        <w:t>万元，占</w:t>
      </w:r>
      <w:r>
        <w:rPr>
          <w:rFonts w:hint="eastAsia" w:ascii="仿宋" w:hAnsi="仿宋" w:eastAsia="仿宋"/>
          <w:sz w:val="32"/>
          <w:szCs w:val="32"/>
          <w:lang w:val="en-US" w:eastAsia="zh-CN"/>
        </w:rPr>
        <w:t>95.77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9.97</w:t>
      </w:r>
      <w:r>
        <w:rPr>
          <w:rFonts w:hint="eastAsia" w:ascii="仿宋" w:hAnsi="仿宋" w:eastAsia="仿宋"/>
          <w:sz w:val="32"/>
          <w:szCs w:val="32"/>
        </w:rPr>
        <w:t>万元，占</w:t>
      </w:r>
      <w:r>
        <w:rPr>
          <w:rFonts w:hint="eastAsia" w:ascii="仿宋" w:hAnsi="仿宋" w:eastAsia="仿宋"/>
          <w:sz w:val="32"/>
          <w:szCs w:val="32"/>
          <w:lang w:val="en-US" w:eastAsia="zh-CN"/>
        </w:rPr>
        <w:t>0.15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13.74</w:t>
      </w:r>
      <w:r>
        <w:rPr>
          <w:rFonts w:hint="eastAsia" w:ascii="仿宋" w:hAnsi="仿宋" w:eastAsia="仿宋"/>
          <w:sz w:val="32"/>
          <w:szCs w:val="32"/>
        </w:rPr>
        <w:t>万元，占</w:t>
      </w:r>
      <w:r>
        <w:rPr>
          <w:rFonts w:hint="eastAsia" w:ascii="仿宋" w:hAnsi="仿宋" w:eastAsia="仿宋"/>
          <w:sz w:val="32"/>
          <w:szCs w:val="32"/>
          <w:lang w:val="en-US" w:eastAsia="zh-CN"/>
        </w:rPr>
        <w:t>0.21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val="en-US" w:eastAsia="zh-CN"/>
        </w:rPr>
        <w:t>农林水支出69.62万元，占1.08%；其他支出228.12万元，占3.53%</w:t>
      </w:r>
      <w:r>
        <w:rPr>
          <w:rFonts w:hint="eastAsia" w:ascii="仿宋" w:hAnsi="仿宋" w:eastAsia="仿宋"/>
          <w:sz w:val="32"/>
          <w:szCs w:val="32"/>
        </w:rPr>
        <w:t>。</w:t>
      </w:r>
    </w:p>
    <w:p w14:paraId="44638610">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（注：数据来源于财决01-1表，仅罗列本部门涉及的全部功能分类科目，至类级。）</w:t>
      </w:r>
    </w:p>
    <w:p w14:paraId="55CCF366">
      <w:pPr>
        <w:spacing w:line="600" w:lineRule="exact"/>
        <w:ind w:firstLine="640"/>
        <w:rPr>
          <w:rFonts w:ascii="仿宋" w:hAnsi="仿宋" w:eastAsia="仿宋"/>
          <w:sz w:val="32"/>
          <w:szCs w:val="32"/>
        </w:rPr>
      </w:pPr>
      <w:r>
        <w:rPr>
          <w:rFonts w:hint="eastAsia" w:ascii="仿宋" w:hAnsi="仿宋" w:eastAsia="仿宋"/>
          <w:sz w:val="32"/>
          <w:szCs w:val="32"/>
          <w:lang w:eastAsia="zh-CN"/>
        </w:rPr>
        <w:drawing>
          <wp:anchor distT="0" distB="0" distL="114300" distR="114300" simplePos="0" relativeHeight="251664384" behindDoc="0" locked="0" layoutInCell="1" allowOverlap="1">
            <wp:simplePos x="0" y="0"/>
            <wp:positionH relativeFrom="column">
              <wp:posOffset>114935</wp:posOffset>
            </wp:positionH>
            <wp:positionV relativeFrom="paragraph">
              <wp:posOffset>270510</wp:posOffset>
            </wp:positionV>
            <wp:extent cx="5016500" cy="3709670"/>
            <wp:effectExtent l="4445" t="4445" r="8255" b="1968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D319203">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2EAE71FE">
      <w:pPr>
        <w:spacing w:line="600" w:lineRule="exact"/>
        <w:ind w:firstLine="640" w:firstLineChars="200"/>
        <w:rPr>
          <w:rFonts w:ascii="仿宋" w:hAnsi="仿宋" w:eastAsia="仿宋"/>
          <w:sz w:val="32"/>
          <w:szCs w:val="32"/>
        </w:rPr>
      </w:pPr>
    </w:p>
    <w:p w14:paraId="200CE08A">
      <w:pPr>
        <w:pStyle w:val="8"/>
        <w:rPr>
          <w:rFonts w:hint="eastAsia" w:ascii="仿宋" w:hAnsi="仿宋" w:eastAsia="仿宋"/>
          <w:sz w:val="32"/>
          <w:szCs w:val="32"/>
          <w:lang w:eastAsia="zh-CN"/>
        </w:rPr>
      </w:pPr>
    </w:p>
    <w:p w14:paraId="0AE1389A">
      <w:pPr>
        <w:rPr>
          <w:rFonts w:ascii="仿宋" w:hAnsi="仿宋" w:eastAsia="仿宋"/>
          <w:sz w:val="32"/>
          <w:szCs w:val="32"/>
        </w:rPr>
      </w:pPr>
    </w:p>
    <w:p w14:paraId="7F101818">
      <w:pPr>
        <w:pStyle w:val="8"/>
        <w:rPr>
          <w:rFonts w:ascii="仿宋" w:hAnsi="仿宋" w:eastAsia="仿宋"/>
          <w:sz w:val="32"/>
          <w:szCs w:val="32"/>
        </w:rPr>
      </w:pPr>
    </w:p>
    <w:p w14:paraId="5F282E31">
      <w:pPr>
        <w:rPr>
          <w:rFonts w:ascii="仿宋" w:hAnsi="仿宋" w:eastAsia="仿宋"/>
          <w:sz w:val="32"/>
          <w:szCs w:val="32"/>
        </w:rPr>
      </w:pPr>
    </w:p>
    <w:p w14:paraId="60749804">
      <w:pPr>
        <w:pStyle w:val="8"/>
        <w:rPr>
          <w:rFonts w:ascii="仿宋" w:hAnsi="仿宋" w:eastAsia="仿宋"/>
          <w:sz w:val="32"/>
          <w:szCs w:val="32"/>
        </w:rPr>
      </w:pPr>
    </w:p>
    <w:p w14:paraId="1E6B327B">
      <w:pPr>
        <w:rPr>
          <w:rFonts w:ascii="仿宋" w:hAnsi="仿宋" w:eastAsia="仿宋"/>
          <w:sz w:val="32"/>
          <w:szCs w:val="32"/>
        </w:rPr>
      </w:pPr>
    </w:p>
    <w:p w14:paraId="6A7E3B6F">
      <w:pPr>
        <w:pStyle w:val="8"/>
      </w:pPr>
    </w:p>
    <w:p w14:paraId="314EEBF1">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3694A23A">
      <w:pPr>
        <w:spacing w:line="600" w:lineRule="exact"/>
        <w:ind w:firstLine="643" w:firstLineChars="200"/>
        <w:outlineLvl w:val="2"/>
        <w:rPr>
          <w:rFonts w:ascii="仿宋" w:hAnsi="仿宋" w:eastAsia="仿宋"/>
          <w:sz w:val="32"/>
          <w:szCs w:val="32"/>
        </w:rPr>
      </w:pPr>
      <w:bookmarkStart w:id="31" w:name="_Toc15378460"/>
      <w:bookmarkStart w:id="32" w:name="_Toc15377444"/>
      <w:bookmarkStart w:id="33" w:name="_Toc15377213"/>
      <w:r>
        <w:rPr>
          <w:rFonts w:hint="eastAsia" w:ascii="仿宋" w:hAnsi="仿宋" w:eastAsia="仿宋"/>
          <w:b/>
          <w:sz w:val="32"/>
          <w:szCs w:val="32"/>
        </w:rPr>
        <w:t>2022年一般公共预算支出决算数为</w:t>
      </w:r>
      <w:r>
        <w:rPr>
          <w:rFonts w:hint="eastAsia" w:ascii="仿宋" w:hAnsi="仿宋" w:eastAsia="仿宋"/>
          <w:b/>
          <w:sz w:val="32"/>
          <w:szCs w:val="32"/>
          <w:lang w:val="en-US" w:eastAsia="zh-CN"/>
        </w:rPr>
        <w:t>6467.58</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103.59</w:t>
      </w:r>
      <w:r>
        <w:rPr>
          <w:rStyle w:val="17"/>
          <w:rFonts w:ascii="仿宋" w:hAnsi="仿宋" w:eastAsia="仿宋"/>
          <w:bCs/>
          <w:sz w:val="32"/>
          <w:szCs w:val="32"/>
        </w:rPr>
        <w:t>%</w:t>
      </w:r>
      <w:r>
        <w:rPr>
          <w:rStyle w:val="17"/>
          <w:rFonts w:hint="eastAsia" w:ascii="仿宋" w:hAnsi="仿宋" w:eastAsia="仿宋"/>
          <w:bCs/>
          <w:sz w:val="32"/>
          <w:szCs w:val="32"/>
        </w:rPr>
        <w:t>。其中：</w:t>
      </w:r>
      <w:bookmarkEnd w:id="31"/>
      <w:bookmarkEnd w:id="32"/>
      <w:bookmarkEnd w:id="33"/>
    </w:p>
    <w:p w14:paraId="4FCBCC90">
      <w:pPr>
        <w:spacing w:line="600" w:lineRule="exact"/>
        <w:ind w:firstLine="964" w:firstLineChars="300"/>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民政管理事务</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行政运行</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297.99</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125.1</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大于</w:t>
      </w:r>
      <w:r>
        <w:rPr>
          <w:rStyle w:val="17"/>
          <w:rFonts w:hint="eastAsia" w:ascii="仿宋" w:hAnsi="仿宋" w:eastAsia="仿宋"/>
          <w:b w:val="0"/>
          <w:bCs/>
          <w:sz w:val="32"/>
          <w:szCs w:val="32"/>
        </w:rPr>
        <w:t>预算数的主要原因</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lang w:val="en-US" w:eastAsia="zh-CN"/>
        </w:rPr>
        <w:t>59.78万元为往年结余资金</w:t>
      </w:r>
      <w:r>
        <w:rPr>
          <w:rStyle w:val="17"/>
          <w:rFonts w:hint="eastAsia" w:ascii="仿宋" w:hAnsi="仿宋" w:eastAsia="仿宋"/>
          <w:b w:val="0"/>
          <w:bCs/>
          <w:sz w:val="32"/>
          <w:szCs w:val="32"/>
        </w:rPr>
        <w:t>。</w:t>
      </w:r>
    </w:p>
    <w:p w14:paraId="31914E5F">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民政管理事务</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一般行政管理事务（项）：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116.52</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141.41</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大于</w:t>
      </w:r>
      <w:r>
        <w:rPr>
          <w:rStyle w:val="17"/>
          <w:rFonts w:hint="eastAsia" w:ascii="仿宋" w:hAnsi="仿宋" w:eastAsia="仿宋"/>
          <w:b w:val="0"/>
          <w:bCs/>
          <w:sz w:val="32"/>
          <w:szCs w:val="32"/>
        </w:rPr>
        <w:t>预算数的主要原因</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lang w:val="en-US" w:eastAsia="zh-CN"/>
        </w:rPr>
        <w:t>34.12万元为往年结余资金</w:t>
      </w:r>
      <w:r>
        <w:rPr>
          <w:rStyle w:val="17"/>
          <w:rFonts w:hint="eastAsia" w:ascii="仿宋" w:hAnsi="仿宋" w:eastAsia="仿宋"/>
          <w:b w:val="0"/>
          <w:bCs/>
          <w:sz w:val="32"/>
          <w:szCs w:val="32"/>
        </w:rPr>
        <w:t>。</w:t>
      </w:r>
    </w:p>
    <w:p w14:paraId="2934496A">
      <w:pPr>
        <w:pStyle w:val="8"/>
        <w:rPr>
          <w:rStyle w:val="17"/>
          <w:rFonts w:hint="eastAsia" w:ascii="仿宋" w:hAnsi="仿宋" w:eastAsia="仿宋"/>
          <w:b w:val="0"/>
          <w:bCs/>
          <w:sz w:val="32"/>
          <w:szCs w:val="32"/>
          <w:lang w:val="en-US" w:eastAsia="zh-CN"/>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民政管理事务</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其他民政管理事务支出（项）：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31.21</w:t>
      </w:r>
      <w:r>
        <w:rPr>
          <w:rStyle w:val="17"/>
          <w:rFonts w:hint="eastAsia" w:ascii="仿宋" w:hAnsi="仿宋" w:eastAsia="仿宋"/>
          <w:b w:val="0"/>
          <w:bCs/>
          <w:sz w:val="32"/>
          <w:szCs w:val="32"/>
        </w:rPr>
        <w:t>万元</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大于</w:t>
      </w:r>
      <w:r>
        <w:rPr>
          <w:rStyle w:val="17"/>
          <w:rFonts w:hint="eastAsia" w:ascii="仿宋" w:hAnsi="仿宋" w:eastAsia="仿宋"/>
          <w:b w:val="0"/>
          <w:bCs/>
          <w:sz w:val="32"/>
          <w:szCs w:val="32"/>
        </w:rPr>
        <w:t>预算数的主要原因</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lang w:val="en-US" w:eastAsia="zh-CN"/>
        </w:rPr>
        <w:t>该资金31.21万元均为往年结余资金。</w:t>
      </w:r>
    </w:p>
    <w:p w14:paraId="463F43FF">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行政事业单位养老支出</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机关事业单位基本养老保险缴费支出（项）：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14.2</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09950FBC">
      <w:pPr>
        <w:ind w:firstLine="1285" w:firstLineChars="400"/>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行政事业单位养老支出</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机关事业单位职业年金缴费支出（项）：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7.1</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086BC15C">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抚恤</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死亡抚恤（项）：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51.54</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11106EDB">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社会福利</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儿童福利（项）：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19.66</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02CBE898">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社会福利</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老年福利（项）：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77.29</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75C13A83">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社会福利</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养老服务（项）：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43.05</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130.18</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大于</w:t>
      </w:r>
      <w:r>
        <w:rPr>
          <w:rStyle w:val="17"/>
          <w:rFonts w:hint="eastAsia" w:ascii="仿宋" w:hAnsi="仿宋" w:eastAsia="仿宋"/>
          <w:b w:val="0"/>
          <w:bCs/>
          <w:sz w:val="32"/>
          <w:szCs w:val="32"/>
        </w:rPr>
        <w:t>预算数</w:t>
      </w:r>
      <w:r>
        <w:rPr>
          <w:rStyle w:val="17"/>
          <w:rFonts w:hint="eastAsia" w:ascii="仿宋" w:hAnsi="仿宋" w:eastAsia="仿宋"/>
          <w:b w:val="0"/>
          <w:bCs/>
          <w:sz w:val="32"/>
          <w:szCs w:val="32"/>
          <w:lang w:val="en-US" w:eastAsia="zh-CN"/>
        </w:rPr>
        <w:t>的主要原因，9.98万元为往年结余资金</w:t>
      </w:r>
      <w:r>
        <w:rPr>
          <w:rStyle w:val="17"/>
          <w:rFonts w:hint="eastAsia" w:ascii="仿宋" w:hAnsi="仿宋" w:eastAsia="仿宋"/>
          <w:b w:val="0"/>
          <w:bCs/>
          <w:sz w:val="32"/>
          <w:szCs w:val="32"/>
        </w:rPr>
        <w:t>。</w:t>
      </w:r>
    </w:p>
    <w:p w14:paraId="57C03D27">
      <w:pPr>
        <w:pStyle w:val="8"/>
        <w:rPr>
          <w:rStyle w:val="17"/>
          <w:rFonts w:hint="eastAsia" w:ascii="仿宋" w:hAnsi="仿宋" w:eastAsia="仿宋"/>
          <w:b w:val="0"/>
          <w:bCs/>
          <w:sz w:val="32"/>
          <w:szCs w:val="32"/>
          <w:lang w:val="en-US" w:eastAsia="zh-CN"/>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社会福利</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其他社会福利支出（项）：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23.11</w:t>
      </w:r>
      <w:r>
        <w:rPr>
          <w:rStyle w:val="17"/>
          <w:rFonts w:hint="eastAsia" w:ascii="仿宋" w:hAnsi="仿宋" w:eastAsia="仿宋"/>
          <w:b w:val="0"/>
          <w:bCs/>
          <w:sz w:val="32"/>
          <w:szCs w:val="32"/>
        </w:rPr>
        <w:t>万元，决算数</w:t>
      </w:r>
      <w:r>
        <w:rPr>
          <w:rStyle w:val="17"/>
          <w:rFonts w:hint="eastAsia" w:ascii="仿宋" w:hAnsi="仿宋" w:eastAsia="仿宋"/>
          <w:b w:val="0"/>
          <w:bCs/>
          <w:sz w:val="32"/>
          <w:szCs w:val="32"/>
          <w:lang w:val="en-US" w:eastAsia="zh-CN"/>
        </w:rPr>
        <w:t>大于</w:t>
      </w:r>
      <w:r>
        <w:rPr>
          <w:rStyle w:val="17"/>
          <w:rFonts w:hint="eastAsia" w:ascii="仿宋" w:hAnsi="仿宋" w:eastAsia="仿宋"/>
          <w:b w:val="0"/>
          <w:bCs/>
          <w:sz w:val="32"/>
          <w:szCs w:val="32"/>
        </w:rPr>
        <w:t>预算数的主要原因</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lang w:val="en-US" w:eastAsia="zh-CN"/>
        </w:rPr>
        <w:t>该资金23.11万元均为往年结余资金。</w:t>
      </w:r>
    </w:p>
    <w:p w14:paraId="376D5E22">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残疾人事业</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残疾人生活和护理补贴（项）：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186.93</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64A9D8AD">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残疾人事业</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其他残疾人事业支出（项）：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53</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1AB13911">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最低生活保障</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城市最低生活保障金支出（项）：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139.71</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7DD25A32">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最低生活保障</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农村最低生活保障金支出（项）：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3678.28</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68A10E2A">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临时救助</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临时救助支出（项）：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94.98</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4DDB50C3">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临时救助</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流浪乞讨人员救助支出（项）：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12</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02A69B8E">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特困人员救助供养</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城市特困人员救助供养支出（项）：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10.13</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61E28513">
      <w:pPr>
        <w:pStyle w:val="8"/>
        <w:rPr>
          <w:rStyle w:val="17"/>
          <w:rFonts w:hint="eastAsia" w:ascii="仿宋" w:hAnsi="仿宋" w:eastAsia="仿宋"/>
          <w:b w:val="0"/>
          <w:bCs/>
          <w:sz w:val="32"/>
          <w:szCs w:val="32"/>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特困人员救助供养</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农村特困人员救助供养支出（项）：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1225.43</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等于</w:t>
      </w:r>
      <w:r>
        <w:rPr>
          <w:rStyle w:val="17"/>
          <w:rFonts w:hint="eastAsia" w:ascii="仿宋" w:hAnsi="仿宋" w:eastAsia="仿宋"/>
          <w:b w:val="0"/>
          <w:bCs/>
          <w:sz w:val="32"/>
          <w:szCs w:val="32"/>
        </w:rPr>
        <w:t>预算数。</w:t>
      </w:r>
    </w:p>
    <w:p w14:paraId="46B63B30">
      <w:pPr>
        <w:pStyle w:val="8"/>
        <w:rPr>
          <w:rFonts w:hint="default"/>
          <w:lang w:val="en-US"/>
        </w:rPr>
      </w:pP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其他社会保障和就业支出</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其他社会保障和就业支出（项）：</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112.11</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243.4</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val="en-US" w:eastAsia="zh-CN"/>
        </w:rPr>
        <w:t>大</w:t>
      </w:r>
      <w:r>
        <w:rPr>
          <w:rStyle w:val="17"/>
          <w:rFonts w:hint="eastAsia" w:ascii="仿宋" w:hAnsi="仿宋" w:eastAsia="仿宋"/>
          <w:b w:val="0"/>
          <w:bCs/>
          <w:sz w:val="32"/>
          <w:szCs w:val="32"/>
        </w:rPr>
        <w:t>预算数</w:t>
      </w:r>
      <w:r>
        <w:rPr>
          <w:rStyle w:val="17"/>
          <w:rFonts w:hint="eastAsia" w:ascii="仿宋" w:hAnsi="仿宋" w:eastAsia="仿宋"/>
          <w:b w:val="0"/>
          <w:bCs/>
          <w:sz w:val="32"/>
          <w:szCs w:val="32"/>
          <w:lang w:val="en-US" w:eastAsia="zh-CN"/>
        </w:rPr>
        <w:t>的主要原因，66.05万元为往年结余资金。</w:t>
      </w:r>
    </w:p>
    <w:p w14:paraId="391F35DF">
      <w:pPr>
        <w:ind w:firstLine="840" w:firstLineChars="400"/>
        <w:rPr>
          <w:rFonts w:hint="eastAsia"/>
        </w:rPr>
      </w:pPr>
    </w:p>
    <w:p w14:paraId="55E99D2E">
      <w:pPr>
        <w:numPr>
          <w:ilvl w:val="0"/>
          <w:numId w:val="0"/>
        </w:numPr>
        <w:spacing w:line="600" w:lineRule="exact"/>
        <w:ind w:firstLine="1285" w:firstLineChars="400"/>
        <w:rPr>
          <w:rFonts w:hint="eastAsia" w:ascii="仿宋" w:hAnsi="仿宋" w:eastAsia="仿宋"/>
          <w:b/>
          <w:sz w:val="32"/>
          <w:szCs w:val="32"/>
          <w:lang w:eastAsia="zh-CN"/>
        </w:rPr>
      </w:pPr>
      <w:r>
        <w:rPr>
          <w:rFonts w:hint="eastAsia" w:ascii="仿宋" w:hAnsi="仿宋" w:eastAsia="仿宋"/>
          <w:b/>
          <w:bCs/>
          <w:sz w:val="32"/>
          <w:szCs w:val="32"/>
        </w:rPr>
        <w:t>卫生健康</w:t>
      </w:r>
      <w:r>
        <w:rPr>
          <w:rStyle w:val="17"/>
          <w:rFonts w:hint="eastAsia" w:ascii="仿宋" w:hAnsi="仿宋" w:eastAsia="仿宋"/>
          <w:bCs/>
          <w:sz w:val="32"/>
          <w:szCs w:val="32"/>
        </w:rPr>
        <w:t>（类）</w:t>
      </w:r>
      <w:r>
        <w:rPr>
          <w:rStyle w:val="17"/>
          <w:rFonts w:hint="eastAsia" w:ascii="仿宋" w:hAnsi="仿宋" w:eastAsia="仿宋"/>
          <w:bCs/>
          <w:sz w:val="32"/>
          <w:szCs w:val="32"/>
          <w:lang w:val="en-US" w:eastAsia="zh-CN"/>
        </w:rPr>
        <w:t>行政事业单位医疗</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行政单位医疗</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7.48</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r>
        <w:rPr>
          <w:rStyle w:val="17"/>
          <w:rFonts w:hint="eastAsia" w:ascii="仿宋" w:hAnsi="仿宋" w:eastAsia="仿宋"/>
          <w:b w:val="0"/>
          <w:bCs/>
          <w:sz w:val="32"/>
          <w:szCs w:val="32"/>
          <w:lang w:eastAsia="zh-CN"/>
        </w:rPr>
        <w:t>。</w:t>
      </w:r>
    </w:p>
    <w:p w14:paraId="26EB5A3A">
      <w:pPr>
        <w:numPr>
          <w:ilvl w:val="0"/>
          <w:numId w:val="0"/>
        </w:numPr>
        <w:spacing w:line="600" w:lineRule="exact"/>
        <w:ind w:firstLine="1285" w:firstLineChars="400"/>
        <w:rPr>
          <w:rStyle w:val="17"/>
          <w:rFonts w:hint="eastAsia" w:ascii="仿宋" w:hAnsi="仿宋" w:eastAsia="仿宋"/>
          <w:b w:val="0"/>
          <w:bCs/>
          <w:sz w:val="32"/>
          <w:szCs w:val="32"/>
          <w:lang w:eastAsia="zh-CN"/>
        </w:rPr>
      </w:pPr>
      <w:r>
        <w:rPr>
          <w:rFonts w:hint="eastAsia" w:ascii="仿宋" w:hAnsi="仿宋" w:eastAsia="仿宋"/>
          <w:b/>
          <w:bCs/>
          <w:sz w:val="32"/>
          <w:szCs w:val="32"/>
        </w:rPr>
        <w:t>卫生健康</w:t>
      </w:r>
      <w:r>
        <w:rPr>
          <w:rFonts w:hint="eastAsia" w:ascii="仿宋" w:hAnsi="仿宋" w:eastAsia="仿宋"/>
          <w:b/>
          <w:bCs/>
          <w:sz w:val="32"/>
          <w:szCs w:val="32"/>
          <w:lang w:val="en-US" w:eastAsia="zh-CN"/>
        </w:rPr>
        <w:t>支出</w:t>
      </w:r>
      <w:r>
        <w:rPr>
          <w:rStyle w:val="17"/>
          <w:rFonts w:hint="eastAsia" w:ascii="仿宋" w:hAnsi="仿宋" w:eastAsia="仿宋"/>
          <w:bCs/>
          <w:sz w:val="32"/>
          <w:szCs w:val="32"/>
        </w:rPr>
        <w:t>（类）</w:t>
      </w:r>
      <w:r>
        <w:rPr>
          <w:rStyle w:val="17"/>
          <w:rFonts w:hint="eastAsia" w:ascii="仿宋" w:hAnsi="仿宋" w:eastAsia="仿宋"/>
          <w:bCs/>
          <w:sz w:val="32"/>
          <w:szCs w:val="32"/>
          <w:lang w:val="en-US" w:eastAsia="zh-CN"/>
        </w:rPr>
        <w:t>行政事业单位医疗</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公务员医疗补助</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2.49</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r>
        <w:rPr>
          <w:rStyle w:val="17"/>
          <w:rFonts w:hint="eastAsia" w:ascii="仿宋" w:hAnsi="仿宋" w:eastAsia="仿宋"/>
          <w:b w:val="0"/>
          <w:bCs/>
          <w:sz w:val="32"/>
          <w:szCs w:val="32"/>
          <w:lang w:eastAsia="zh-CN"/>
        </w:rPr>
        <w:t>。</w:t>
      </w:r>
    </w:p>
    <w:p w14:paraId="3EAB021F">
      <w:pPr>
        <w:numPr>
          <w:ilvl w:val="0"/>
          <w:numId w:val="0"/>
        </w:numPr>
        <w:spacing w:line="600" w:lineRule="exact"/>
        <w:ind w:firstLine="1285" w:firstLineChars="400"/>
        <w:rPr>
          <w:rStyle w:val="17"/>
          <w:rFonts w:hint="eastAsia" w:ascii="仿宋" w:hAnsi="仿宋" w:eastAsia="仿宋"/>
          <w:b w:val="0"/>
          <w:bCs/>
          <w:sz w:val="32"/>
          <w:szCs w:val="32"/>
          <w:lang w:eastAsia="zh-CN"/>
        </w:rPr>
      </w:pPr>
      <w:r>
        <w:rPr>
          <w:rFonts w:hint="eastAsia" w:ascii="仿宋" w:hAnsi="仿宋" w:eastAsia="仿宋"/>
          <w:b/>
          <w:bCs/>
          <w:sz w:val="32"/>
          <w:szCs w:val="32"/>
          <w:lang w:val="en-US" w:eastAsia="zh-CN"/>
        </w:rPr>
        <w:t>农林水支出</w:t>
      </w:r>
      <w:r>
        <w:rPr>
          <w:rStyle w:val="17"/>
          <w:rFonts w:hint="eastAsia" w:ascii="仿宋" w:hAnsi="仿宋" w:eastAsia="仿宋"/>
          <w:bCs/>
          <w:sz w:val="32"/>
          <w:szCs w:val="32"/>
        </w:rPr>
        <w:t>（类）</w:t>
      </w:r>
      <w:r>
        <w:rPr>
          <w:rStyle w:val="17"/>
          <w:rFonts w:hint="eastAsia" w:ascii="仿宋" w:hAnsi="仿宋" w:eastAsia="仿宋"/>
          <w:bCs/>
          <w:sz w:val="32"/>
          <w:szCs w:val="32"/>
          <w:lang w:val="en-US" w:eastAsia="zh-CN"/>
        </w:rPr>
        <w:t>农村综合改革</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对村民委员会和村党支部的补助</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69.62</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r>
        <w:rPr>
          <w:rStyle w:val="17"/>
          <w:rFonts w:hint="eastAsia" w:ascii="仿宋" w:hAnsi="仿宋" w:eastAsia="仿宋"/>
          <w:b w:val="0"/>
          <w:bCs/>
          <w:sz w:val="32"/>
          <w:szCs w:val="32"/>
          <w:lang w:eastAsia="zh-CN"/>
        </w:rPr>
        <w:t>。</w:t>
      </w:r>
    </w:p>
    <w:p w14:paraId="3488FA1B">
      <w:pPr>
        <w:numPr>
          <w:ilvl w:val="0"/>
          <w:numId w:val="0"/>
        </w:numPr>
        <w:spacing w:line="600" w:lineRule="exact"/>
        <w:ind w:firstLine="1285" w:firstLineChars="400"/>
        <w:rPr>
          <w:rStyle w:val="17"/>
          <w:rFonts w:hint="eastAsia" w:ascii="仿宋" w:hAnsi="仿宋" w:eastAsia="仿宋"/>
          <w:b w:val="0"/>
          <w:bCs/>
          <w:sz w:val="32"/>
          <w:szCs w:val="32"/>
          <w:lang w:eastAsia="zh-CN"/>
        </w:rPr>
      </w:pPr>
      <w:r>
        <w:rPr>
          <w:rFonts w:hint="eastAsia" w:ascii="仿宋" w:hAnsi="仿宋" w:eastAsia="仿宋"/>
          <w:b/>
          <w:bCs/>
          <w:sz w:val="32"/>
          <w:szCs w:val="32"/>
          <w:lang w:val="en-US" w:eastAsia="zh-CN"/>
        </w:rPr>
        <w:t>住房保障支出</w:t>
      </w:r>
      <w:r>
        <w:rPr>
          <w:rStyle w:val="17"/>
          <w:rFonts w:hint="eastAsia" w:ascii="仿宋" w:hAnsi="仿宋" w:eastAsia="仿宋"/>
          <w:bCs/>
          <w:sz w:val="32"/>
          <w:szCs w:val="32"/>
        </w:rPr>
        <w:t>（类）</w:t>
      </w:r>
      <w:r>
        <w:rPr>
          <w:rStyle w:val="17"/>
          <w:rFonts w:hint="eastAsia" w:ascii="仿宋" w:hAnsi="仿宋" w:eastAsia="仿宋"/>
          <w:bCs/>
          <w:sz w:val="32"/>
          <w:szCs w:val="32"/>
          <w:lang w:val="en-US" w:eastAsia="zh-CN"/>
        </w:rPr>
        <w:t>住房改革支出</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住房公积金</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13.5</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r>
        <w:rPr>
          <w:rStyle w:val="17"/>
          <w:rFonts w:hint="eastAsia" w:ascii="仿宋" w:hAnsi="仿宋" w:eastAsia="仿宋"/>
          <w:b w:val="0"/>
          <w:bCs/>
          <w:sz w:val="32"/>
          <w:szCs w:val="32"/>
          <w:lang w:eastAsia="zh-CN"/>
        </w:rPr>
        <w:t>。</w:t>
      </w:r>
    </w:p>
    <w:p w14:paraId="3BA9E376">
      <w:pPr>
        <w:numPr>
          <w:ilvl w:val="0"/>
          <w:numId w:val="0"/>
        </w:numPr>
        <w:spacing w:line="600" w:lineRule="exact"/>
        <w:ind w:firstLine="1285" w:firstLineChars="400"/>
        <w:rPr>
          <w:rStyle w:val="17"/>
          <w:rFonts w:hint="eastAsia" w:ascii="仿宋" w:hAnsi="仿宋" w:eastAsia="仿宋"/>
          <w:b w:val="0"/>
          <w:bCs/>
          <w:sz w:val="32"/>
          <w:szCs w:val="32"/>
          <w:lang w:eastAsia="zh-CN"/>
        </w:rPr>
      </w:pPr>
      <w:r>
        <w:rPr>
          <w:rFonts w:hint="eastAsia" w:ascii="仿宋" w:hAnsi="仿宋" w:eastAsia="仿宋"/>
          <w:b/>
          <w:bCs/>
          <w:sz w:val="32"/>
          <w:szCs w:val="32"/>
          <w:lang w:val="en-US" w:eastAsia="zh-CN"/>
        </w:rPr>
        <w:t>住房保障支出</w:t>
      </w:r>
      <w:r>
        <w:rPr>
          <w:rStyle w:val="17"/>
          <w:rFonts w:hint="eastAsia" w:ascii="仿宋" w:hAnsi="仿宋" w:eastAsia="仿宋"/>
          <w:bCs/>
          <w:sz w:val="32"/>
          <w:szCs w:val="32"/>
        </w:rPr>
        <w:t>（类）</w:t>
      </w:r>
      <w:r>
        <w:rPr>
          <w:rStyle w:val="17"/>
          <w:rFonts w:hint="eastAsia" w:ascii="仿宋" w:hAnsi="仿宋" w:eastAsia="仿宋"/>
          <w:bCs/>
          <w:sz w:val="32"/>
          <w:szCs w:val="32"/>
          <w:lang w:val="en-US" w:eastAsia="zh-CN"/>
        </w:rPr>
        <w:t>住房改革支出</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购房补贴</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0.24</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r>
        <w:rPr>
          <w:rStyle w:val="17"/>
          <w:rFonts w:hint="eastAsia" w:ascii="仿宋" w:hAnsi="仿宋" w:eastAsia="仿宋"/>
          <w:b w:val="0"/>
          <w:bCs/>
          <w:sz w:val="32"/>
          <w:szCs w:val="32"/>
          <w:lang w:eastAsia="zh-CN"/>
        </w:rPr>
        <w:t>。</w:t>
      </w:r>
    </w:p>
    <w:p w14:paraId="4CAFA8F3">
      <w:pPr>
        <w:numPr>
          <w:ilvl w:val="0"/>
          <w:numId w:val="0"/>
        </w:numPr>
        <w:spacing w:line="600" w:lineRule="exact"/>
        <w:ind w:firstLine="1285" w:firstLineChars="400"/>
        <w:rPr>
          <w:rStyle w:val="17"/>
          <w:rFonts w:hint="eastAsia" w:ascii="仿宋" w:hAnsi="仿宋" w:eastAsia="仿宋"/>
          <w:b w:val="0"/>
          <w:bCs/>
          <w:sz w:val="32"/>
          <w:szCs w:val="32"/>
          <w:lang w:eastAsia="zh-CN"/>
        </w:rPr>
      </w:pPr>
      <w:r>
        <w:rPr>
          <w:rFonts w:hint="eastAsia" w:ascii="仿宋" w:hAnsi="仿宋" w:eastAsia="仿宋"/>
          <w:b/>
          <w:bCs/>
          <w:sz w:val="32"/>
          <w:szCs w:val="32"/>
          <w:lang w:val="en-US" w:eastAsia="zh-CN"/>
        </w:rPr>
        <w:t>其他支出</w:t>
      </w:r>
      <w:r>
        <w:rPr>
          <w:rStyle w:val="17"/>
          <w:rFonts w:hint="eastAsia" w:ascii="仿宋" w:hAnsi="仿宋" w:eastAsia="仿宋"/>
          <w:bCs/>
          <w:sz w:val="32"/>
          <w:szCs w:val="32"/>
        </w:rPr>
        <w:t>（类）</w:t>
      </w:r>
      <w:r>
        <w:rPr>
          <w:rStyle w:val="17"/>
          <w:rFonts w:hint="eastAsia" w:ascii="仿宋" w:hAnsi="仿宋" w:eastAsia="仿宋"/>
          <w:bCs/>
          <w:sz w:val="32"/>
          <w:szCs w:val="32"/>
          <w:lang w:val="en-US" w:eastAsia="zh-CN"/>
        </w:rPr>
        <w:t>其他支出</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其他支出</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180</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r>
        <w:rPr>
          <w:rStyle w:val="17"/>
          <w:rFonts w:hint="eastAsia" w:ascii="仿宋" w:hAnsi="仿宋" w:eastAsia="仿宋"/>
          <w:b w:val="0"/>
          <w:bCs/>
          <w:sz w:val="32"/>
          <w:szCs w:val="32"/>
          <w:lang w:eastAsia="zh-CN"/>
        </w:rPr>
        <w:t>。</w:t>
      </w:r>
    </w:p>
    <w:p w14:paraId="65EA081D">
      <w:pPr>
        <w:pStyle w:val="8"/>
        <w:rPr>
          <w:rFonts w:hint="eastAsia"/>
          <w:lang w:eastAsia="zh-CN"/>
        </w:rPr>
      </w:pPr>
    </w:p>
    <w:p w14:paraId="5E591B83">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1-1表和财决08表，仅罗列本部门涉及的全部功能分类科目，至项级。上述“预算”口径为全年预算数。增减变动原因为决算数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14:paraId="4EA30F2D">
      <w:pPr>
        <w:spacing w:line="600" w:lineRule="exact"/>
        <w:ind w:firstLine="640"/>
        <w:rPr>
          <w:rFonts w:ascii="仿宋" w:hAnsi="仿宋" w:eastAsia="仿宋"/>
          <w:b/>
          <w:sz w:val="32"/>
          <w:szCs w:val="32"/>
        </w:rPr>
      </w:pPr>
    </w:p>
    <w:p w14:paraId="519E258B">
      <w:pPr>
        <w:tabs>
          <w:tab w:val="right" w:pos="8306"/>
        </w:tabs>
        <w:spacing w:line="600" w:lineRule="exact"/>
        <w:ind w:firstLine="640"/>
        <w:outlineLvl w:val="1"/>
        <w:rPr>
          <w:rStyle w:val="29"/>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4"/>
      <w:bookmarkEnd w:id="35"/>
      <w:r>
        <w:rPr>
          <w:rStyle w:val="29"/>
          <w:rFonts w:ascii="黑体" w:hAnsi="黑体" w:eastAsia="黑体"/>
          <w:b w:val="0"/>
        </w:rPr>
        <w:tab/>
      </w:r>
    </w:p>
    <w:p w14:paraId="05404FB1">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22年一般公共预算财政拨款基本支出</w:t>
      </w:r>
      <w:r>
        <w:rPr>
          <w:rFonts w:hint="eastAsia" w:ascii="仿宋" w:hAnsi="仿宋" w:eastAsia="仿宋"/>
          <w:sz w:val="32"/>
          <w:szCs w:val="32"/>
          <w:lang w:val="en-US" w:eastAsia="zh-CN"/>
        </w:rPr>
        <w:t>362.67</w:t>
      </w:r>
      <w:r>
        <w:rPr>
          <w:rFonts w:hint="eastAsia" w:ascii="仿宋" w:hAnsi="仿宋" w:eastAsia="仿宋"/>
          <w:sz w:val="32"/>
          <w:szCs w:val="32"/>
        </w:rPr>
        <w:t>万元，其中：</w:t>
      </w:r>
    </w:p>
    <w:p w14:paraId="6EBE1AAF">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sz w:val="32"/>
          <w:szCs w:val="32"/>
          <w:lang w:val="en-US" w:eastAsia="zh-CN"/>
        </w:rPr>
        <w:t>351.14</w:t>
      </w:r>
      <w:r>
        <w:rPr>
          <w:rFonts w:hint="eastAsia" w:ascii="仿宋" w:hAnsi="仿宋" w:eastAsia="仿宋"/>
          <w:sz w:val="32"/>
          <w:szCs w:val="32"/>
        </w:rPr>
        <w:t>万元，主要包括：基本工资</w:t>
      </w:r>
      <w:r>
        <w:rPr>
          <w:rFonts w:hint="eastAsia" w:ascii="仿宋" w:hAnsi="仿宋" w:eastAsia="仿宋"/>
          <w:sz w:val="32"/>
          <w:szCs w:val="32"/>
          <w:lang w:val="en-US" w:eastAsia="zh-CN"/>
        </w:rPr>
        <w:t>36.72万元</w:t>
      </w:r>
      <w:r>
        <w:rPr>
          <w:rFonts w:hint="eastAsia" w:ascii="仿宋" w:hAnsi="仿宋" w:eastAsia="仿宋"/>
          <w:sz w:val="32"/>
          <w:szCs w:val="32"/>
        </w:rPr>
        <w:t>、津贴补贴</w:t>
      </w:r>
      <w:r>
        <w:rPr>
          <w:rFonts w:hint="eastAsia" w:ascii="仿宋" w:hAnsi="仿宋" w:eastAsia="仿宋"/>
          <w:sz w:val="32"/>
          <w:szCs w:val="32"/>
          <w:lang w:val="en-US" w:eastAsia="zh-CN"/>
        </w:rPr>
        <w:t>56.54万元</w:t>
      </w:r>
      <w:r>
        <w:rPr>
          <w:rFonts w:hint="eastAsia" w:ascii="仿宋" w:hAnsi="仿宋" w:eastAsia="仿宋"/>
          <w:sz w:val="32"/>
          <w:szCs w:val="32"/>
        </w:rPr>
        <w:t>、奖金</w:t>
      </w:r>
      <w:r>
        <w:rPr>
          <w:rFonts w:hint="eastAsia" w:ascii="仿宋" w:hAnsi="仿宋" w:eastAsia="仿宋"/>
          <w:sz w:val="32"/>
          <w:szCs w:val="32"/>
          <w:lang w:val="en-US" w:eastAsia="zh-CN"/>
        </w:rPr>
        <w:t>91.72万元</w:t>
      </w:r>
      <w:r>
        <w:rPr>
          <w:rFonts w:hint="eastAsia" w:ascii="仿宋" w:hAnsi="仿宋" w:eastAsia="仿宋"/>
          <w:sz w:val="32"/>
          <w:szCs w:val="32"/>
        </w:rPr>
        <w:t>、机关事业单位基本养老保险缴费</w:t>
      </w:r>
      <w:r>
        <w:rPr>
          <w:rFonts w:hint="eastAsia" w:ascii="仿宋" w:hAnsi="仿宋" w:eastAsia="仿宋"/>
          <w:sz w:val="32"/>
          <w:szCs w:val="32"/>
          <w:lang w:val="en-US" w:eastAsia="zh-CN"/>
        </w:rPr>
        <w:t>14.2万元</w:t>
      </w:r>
      <w:r>
        <w:rPr>
          <w:rFonts w:hint="eastAsia" w:ascii="仿宋" w:hAnsi="仿宋" w:eastAsia="仿宋"/>
          <w:sz w:val="32"/>
          <w:szCs w:val="32"/>
        </w:rPr>
        <w:t>、职业年金缴费</w:t>
      </w:r>
      <w:r>
        <w:rPr>
          <w:rFonts w:hint="eastAsia" w:ascii="仿宋" w:hAnsi="仿宋" w:eastAsia="仿宋"/>
          <w:sz w:val="32"/>
          <w:szCs w:val="32"/>
          <w:lang w:val="en-US" w:eastAsia="zh-CN"/>
        </w:rPr>
        <w:t>7.1万元</w:t>
      </w:r>
      <w:r>
        <w:rPr>
          <w:rFonts w:hint="eastAsia" w:ascii="仿宋" w:hAnsi="仿宋" w:eastAsia="仿宋"/>
          <w:sz w:val="32"/>
          <w:szCs w:val="32"/>
        </w:rPr>
        <w:t>、</w:t>
      </w:r>
      <w:r>
        <w:rPr>
          <w:rFonts w:hint="eastAsia" w:ascii="仿宋" w:hAnsi="仿宋" w:eastAsia="仿宋"/>
          <w:sz w:val="32"/>
          <w:szCs w:val="32"/>
          <w:lang w:val="en-US" w:eastAsia="zh-CN"/>
        </w:rPr>
        <w:t>职工基本医疗保险缴费7.48万元、公务员医疗补助缴费2.49万元、</w:t>
      </w:r>
      <w:r>
        <w:rPr>
          <w:rFonts w:hint="eastAsia" w:ascii="仿宋" w:hAnsi="仿宋" w:eastAsia="仿宋"/>
          <w:sz w:val="32"/>
          <w:szCs w:val="32"/>
        </w:rPr>
        <w:t>其他社会保障缴费</w:t>
      </w:r>
      <w:r>
        <w:rPr>
          <w:rFonts w:hint="eastAsia" w:ascii="仿宋" w:hAnsi="仿宋" w:eastAsia="仿宋"/>
          <w:sz w:val="32"/>
          <w:szCs w:val="32"/>
          <w:lang w:val="en-US" w:eastAsia="zh-CN"/>
        </w:rPr>
        <w:t>1.82万元</w:t>
      </w:r>
      <w:r>
        <w:rPr>
          <w:rFonts w:hint="eastAsia" w:ascii="仿宋" w:hAnsi="仿宋" w:eastAsia="仿宋"/>
          <w:sz w:val="32"/>
          <w:szCs w:val="32"/>
        </w:rPr>
        <w:t>、其他工资福利支出</w:t>
      </w:r>
      <w:r>
        <w:rPr>
          <w:rFonts w:hint="eastAsia" w:ascii="仿宋" w:hAnsi="仿宋" w:eastAsia="仿宋"/>
          <w:sz w:val="32"/>
          <w:szCs w:val="32"/>
          <w:lang w:val="en-US" w:eastAsia="zh-CN"/>
        </w:rPr>
        <w:t>66.71万元</w:t>
      </w:r>
      <w:r>
        <w:rPr>
          <w:rFonts w:hint="eastAsia" w:ascii="仿宋" w:hAnsi="仿宋" w:eastAsia="仿宋"/>
          <w:sz w:val="32"/>
          <w:szCs w:val="32"/>
        </w:rPr>
        <w:t>、离休费</w:t>
      </w:r>
      <w:r>
        <w:rPr>
          <w:rFonts w:hint="eastAsia" w:ascii="仿宋" w:hAnsi="仿宋" w:eastAsia="仿宋"/>
          <w:sz w:val="32"/>
          <w:szCs w:val="32"/>
          <w:lang w:val="en-US" w:eastAsia="zh-CN"/>
        </w:rPr>
        <w:t>10.25万元</w:t>
      </w:r>
      <w:r>
        <w:rPr>
          <w:rFonts w:hint="eastAsia" w:ascii="仿宋" w:hAnsi="仿宋" w:eastAsia="仿宋"/>
          <w:sz w:val="32"/>
          <w:szCs w:val="32"/>
        </w:rPr>
        <w:t>、抚恤金</w:t>
      </w:r>
      <w:r>
        <w:rPr>
          <w:rFonts w:hint="eastAsia" w:ascii="仿宋" w:hAnsi="仿宋" w:eastAsia="仿宋"/>
          <w:sz w:val="32"/>
          <w:szCs w:val="32"/>
          <w:lang w:val="en-US" w:eastAsia="zh-CN"/>
        </w:rPr>
        <w:t>19.66万元</w:t>
      </w:r>
      <w:r>
        <w:rPr>
          <w:rFonts w:hint="eastAsia" w:ascii="仿宋" w:hAnsi="仿宋" w:eastAsia="仿宋"/>
          <w:sz w:val="32"/>
          <w:szCs w:val="32"/>
        </w:rPr>
        <w:t>、生活补助</w:t>
      </w:r>
      <w:r>
        <w:rPr>
          <w:rFonts w:hint="eastAsia" w:ascii="仿宋" w:hAnsi="仿宋" w:eastAsia="仿宋"/>
          <w:sz w:val="32"/>
          <w:szCs w:val="32"/>
          <w:lang w:val="en-US" w:eastAsia="zh-CN"/>
        </w:rPr>
        <w:t>21.35万元</w:t>
      </w:r>
      <w:r>
        <w:rPr>
          <w:rFonts w:hint="eastAsia" w:ascii="仿宋" w:hAnsi="仿宋" w:eastAsia="仿宋"/>
          <w:sz w:val="32"/>
          <w:szCs w:val="32"/>
        </w:rPr>
        <w:t>、医疗费补助</w:t>
      </w:r>
      <w:r>
        <w:rPr>
          <w:rFonts w:hint="eastAsia" w:ascii="仿宋" w:hAnsi="仿宋" w:eastAsia="仿宋"/>
          <w:sz w:val="32"/>
          <w:szCs w:val="32"/>
          <w:lang w:val="en-US" w:eastAsia="zh-CN"/>
        </w:rPr>
        <w:t>1.6万元</w:t>
      </w:r>
      <w:r>
        <w:rPr>
          <w:rFonts w:hint="eastAsia" w:ascii="仿宋" w:hAnsi="仿宋" w:eastAsia="仿宋"/>
          <w:sz w:val="32"/>
          <w:szCs w:val="32"/>
        </w:rPr>
        <w:t>、奖励金</w:t>
      </w:r>
      <w:r>
        <w:rPr>
          <w:rFonts w:hint="eastAsia" w:ascii="仿宋" w:hAnsi="仿宋" w:eastAsia="仿宋"/>
          <w:sz w:val="32"/>
          <w:szCs w:val="32"/>
          <w:lang w:val="en-US" w:eastAsia="zh-CN"/>
        </w:rPr>
        <w:t>0.006万元</w:t>
      </w:r>
      <w:r>
        <w:rPr>
          <w:rFonts w:hint="eastAsia" w:ascii="仿宋" w:hAnsi="仿宋" w:eastAsia="仿宋"/>
          <w:sz w:val="32"/>
          <w:szCs w:val="32"/>
        </w:rPr>
        <w:t>、住房公积金</w:t>
      </w:r>
      <w:r>
        <w:rPr>
          <w:rFonts w:hint="eastAsia" w:ascii="仿宋" w:hAnsi="仿宋" w:eastAsia="仿宋"/>
          <w:sz w:val="32"/>
          <w:szCs w:val="32"/>
          <w:lang w:val="en-US" w:eastAsia="zh-CN"/>
        </w:rPr>
        <w:t>13.5万元</w:t>
      </w:r>
      <w:r>
        <w:rPr>
          <w:rFonts w:hint="eastAsia" w:ascii="仿宋" w:hAnsi="仿宋" w:eastAsia="仿宋"/>
          <w:sz w:val="32"/>
          <w:szCs w:val="32"/>
          <w:lang w:eastAsia="zh-CN"/>
        </w:rPr>
        <w:t>。</w:t>
      </w:r>
      <w:r>
        <w:rPr>
          <w:rFonts w:ascii="仿宋" w:hAnsi="仿宋" w:eastAsia="仿宋"/>
          <w:sz w:val="32"/>
          <w:szCs w:val="32"/>
        </w:rPr>
        <w:br w:type="textWrapping"/>
      </w:r>
      <w:r>
        <w:rPr>
          <w:rFonts w:hint="eastAsia" w:ascii="仿宋" w:hAnsi="仿宋" w:eastAsia="仿宋"/>
          <w:sz w:val="32"/>
          <w:szCs w:val="32"/>
        </w:rPr>
        <w:t>　　公用经费</w:t>
      </w:r>
      <w:r>
        <w:rPr>
          <w:rFonts w:hint="eastAsia" w:ascii="仿宋" w:hAnsi="仿宋" w:eastAsia="仿宋"/>
          <w:sz w:val="32"/>
          <w:szCs w:val="32"/>
          <w:lang w:val="en-US" w:eastAsia="zh-CN"/>
        </w:rPr>
        <w:t>11.52</w:t>
      </w:r>
      <w:r>
        <w:rPr>
          <w:rFonts w:hint="eastAsia" w:ascii="仿宋" w:hAnsi="仿宋" w:eastAsia="仿宋"/>
          <w:sz w:val="32"/>
          <w:szCs w:val="32"/>
        </w:rPr>
        <w:t>万元，主要包括：办公费</w:t>
      </w:r>
      <w:r>
        <w:rPr>
          <w:rFonts w:hint="eastAsia" w:ascii="仿宋" w:hAnsi="仿宋" w:eastAsia="仿宋"/>
          <w:sz w:val="32"/>
          <w:szCs w:val="32"/>
          <w:lang w:val="en-US" w:eastAsia="zh-CN"/>
        </w:rPr>
        <w:t>0.25万元</w:t>
      </w:r>
      <w:r>
        <w:rPr>
          <w:rFonts w:hint="eastAsia" w:ascii="仿宋" w:hAnsi="仿宋" w:eastAsia="仿宋"/>
          <w:sz w:val="32"/>
          <w:szCs w:val="32"/>
        </w:rPr>
        <w:t>、差旅费</w:t>
      </w:r>
      <w:r>
        <w:rPr>
          <w:rFonts w:hint="eastAsia" w:ascii="仿宋" w:hAnsi="仿宋" w:eastAsia="仿宋"/>
          <w:sz w:val="32"/>
          <w:szCs w:val="32"/>
          <w:lang w:val="en-US" w:eastAsia="zh-CN"/>
        </w:rPr>
        <w:t>0.3万元</w:t>
      </w:r>
      <w:r>
        <w:rPr>
          <w:rFonts w:hint="eastAsia" w:ascii="仿宋" w:hAnsi="仿宋" w:eastAsia="仿宋"/>
          <w:sz w:val="32"/>
          <w:szCs w:val="32"/>
        </w:rPr>
        <w:t>、公务用车运行维护费</w:t>
      </w:r>
      <w:r>
        <w:rPr>
          <w:rFonts w:hint="eastAsia" w:ascii="仿宋" w:hAnsi="仿宋" w:eastAsia="仿宋"/>
          <w:sz w:val="32"/>
          <w:szCs w:val="32"/>
          <w:lang w:val="en-US" w:eastAsia="zh-CN"/>
        </w:rPr>
        <w:t>10.97万元</w:t>
      </w:r>
      <w:r>
        <w:rPr>
          <w:rFonts w:hint="eastAsia" w:ascii="仿宋" w:hAnsi="仿宋" w:eastAsia="仿宋"/>
          <w:sz w:val="32"/>
          <w:szCs w:val="32"/>
        </w:rPr>
        <w:t>。</w:t>
      </w:r>
    </w:p>
    <w:p w14:paraId="3609808B">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7表和财决08-1表，仅罗列本部门实际支出涉及的经济分类科目。）</w:t>
      </w:r>
    </w:p>
    <w:p w14:paraId="1911CB9B">
      <w:pPr>
        <w:spacing w:line="600" w:lineRule="exact"/>
        <w:ind w:firstLine="640"/>
        <w:rPr>
          <w:rFonts w:ascii="仿宋" w:hAnsi="仿宋" w:eastAsia="仿宋"/>
          <w:b/>
          <w:sz w:val="32"/>
          <w:szCs w:val="32"/>
        </w:rPr>
      </w:pPr>
    </w:p>
    <w:p w14:paraId="58CEE5D8">
      <w:pPr>
        <w:spacing w:line="600" w:lineRule="exact"/>
        <w:ind w:firstLine="640"/>
        <w:outlineLvl w:val="1"/>
        <w:rPr>
          <w:rStyle w:val="29"/>
          <w:rFonts w:ascii="黑体" w:hAnsi="黑体" w:eastAsia="黑体"/>
          <w:b w:val="0"/>
        </w:rPr>
      </w:pPr>
      <w:bookmarkStart w:id="36" w:name="_Toc15396609"/>
      <w:bookmarkStart w:id="37" w:name="_Toc15377215"/>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6"/>
      <w:bookmarkEnd w:id="37"/>
    </w:p>
    <w:p w14:paraId="28AC3868">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52D942D3">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22年“三公”经费财政拨款支出决算为</w:t>
      </w:r>
      <w:r>
        <w:rPr>
          <w:rFonts w:hint="eastAsia" w:ascii="仿宋" w:hAnsi="仿宋" w:eastAsia="仿宋"/>
          <w:sz w:val="32"/>
          <w:szCs w:val="32"/>
          <w:lang w:val="en-US" w:eastAsia="zh-CN"/>
        </w:rPr>
        <w:t>10.97</w:t>
      </w:r>
      <w:r>
        <w:rPr>
          <w:rFonts w:hint="eastAsia" w:ascii="仿宋" w:hAnsi="仿宋" w:eastAsia="仿宋"/>
          <w:sz w:val="32"/>
          <w:szCs w:val="32"/>
        </w:rPr>
        <w:t>万元，完成预算</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，较上年减少</w:t>
      </w:r>
      <w:r>
        <w:rPr>
          <w:rFonts w:hint="eastAsia" w:ascii="仿宋" w:hAnsi="仿宋" w:eastAsia="仿宋"/>
          <w:sz w:val="32"/>
          <w:szCs w:val="32"/>
          <w:lang w:val="en-US" w:eastAsia="zh-CN"/>
        </w:rPr>
        <w:t>1.05</w:t>
      </w:r>
      <w:r>
        <w:rPr>
          <w:rFonts w:hint="eastAsia" w:ascii="仿宋" w:hAnsi="仿宋" w:eastAsia="仿宋"/>
          <w:sz w:val="32"/>
          <w:szCs w:val="32"/>
        </w:rPr>
        <w:t>万元，下降</w:t>
      </w:r>
      <w:r>
        <w:rPr>
          <w:rFonts w:hint="eastAsia" w:ascii="仿宋" w:hAnsi="仿宋" w:eastAsia="仿宋"/>
          <w:sz w:val="32"/>
          <w:szCs w:val="32"/>
          <w:lang w:val="en-US" w:eastAsia="zh-CN"/>
        </w:rPr>
        <w:t>8.74</w:t>
      </w:r>
      <w:r>
        <w:rPr>
          <w:rFonts w:hint="eastAsia" w:ascii="仿宋" w:hAnsi="仿宋" w:eastAsia="仿宋"/>
          <w:sz w:val="32"/>
          <w:szCs w:val="32"/>
        </w:rPr>
        <w:t>%。决算数小于预算数（或与预算数持平）的主要原因</w:t>
      </w:r>
      <w:r>
        <w:rPr>
          <w:rFonts w:hint="eastAsia" w:ascii="仿宋" w:hAnsi="仿宋" w:eastAsia="仿宋"/>
          <w:sz w:val="32"/>
          <w:szCs w:val="32"/>
          <w:lang w:eastAsia="zh-CN"/>
        </w:rPr>
        <w:t>，</w:t>
      </w:r>
      <w:r>
        <w:rPr>
          <w:rFonts w:hint="eastAsia" w:ascii="仿宋" w:hAnsi="仿宋" w:eastAsia="仿宋"/>
          <w:sz w:val="32"/>
          <w:szCs w:val="32"/>
          <w:lang w:val="en-US" w:eastAsia="zh-CN"/>
        </w:rPr>
        <w:t>2022年公务用车运行维护费较上年减少1万元</w:t>
      </w:r>
      <w:r>
        <w:rPr>
          <w:rFonts w:hint="eastAsia" w:ascii="仿宋" w:hAnsi="仿宋" w:eastAsia="仿宋"/>
          <w:sz w:val="32"/>
          <w:szCs w:val="32"/>
        </w:rPr>
        <w:t>。</w:t>
      </w:r>
    </w:p>
    <w:p w14:paraId="2F5F9990">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37E04E90">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14:paraId="136EAF27">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22年“三公”经费财政拨款支出决算中，因公出国（境）费支出决算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ascii="仿宋" w:hAnsi="仿宋" w:eastAsia="仿宋"/>
          <w:sz w:val="32"/>
          <w:szCs w:val="32"/>
          <w:lang w:val="en-US" w:eastAsia="zh-CN"/>
        </w:rPr>
        <w:t>10.97</w:t>
      </w:r>
      <w:r>
        <w:rPr>
          <w:rFonts w:hint="eastAsia" w:ascii="仿宋" w:hAnsi="仿宋" w:eastAsia="仿宋"/>
          <w:sz w:val="32"/>
          <w:szCs w:val="32"/>
        </w:rPr>
        <w:t>万元，占</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。具体情况如下：</w:t>
      </w:r>
    </w:p>
    <w:p w14:paraId="0C435D33">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14:paraId="7B0B8325">
      <w:pPr>
        <w:pStyle w:val="8"/>
        <w:rPr>
          <w:rFonts w:hint="eastAsia" w:ascii="仿宋" w:hAnsi="仿宋" w:eastAsia="仿宋"/>
          <w:sz w:val="32"/>
          <w:szCs w:val="32"/>
        </w:rPr>
      </w:pPr>
      <w:r>
        <w:rPr>
          <w:rFonts w:hint="eastAsia" w:ascii="仿宋" w:hAnsi="仿宋" w:eastAsia="仿宋"/>
          <w:sz w:val="32"/>
          <w:szCs w:val="32"/>
          <w:lang w:eastAsia="zh-CN"/>
        </w:rPr>
        <w:drawing>
          <wp:anchor distT="0" distB="0" distL="114300" distR="114300" simplePos="0" relativeHeight="251665408" behindDoc="0" locked="0" layoutInCell="1" allowOverlap="1">
            <wp:simplePos x="0" y="0"/>
            <wp:positionH relativeFrom="column">
              <wp:posOffset>314325</wp:posOffset>
            </wp:positionH>
            <wp:positionV relativeFrom="paragraph">
              <wp:posOffset>143510</wp:posOffset>
            </wp:positionV>
            <wp:extent cx="4834890" cy="2993390"/>
            <wp:effectExtent l="4445" t="4445" r="18415" b="1206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2E81520">
      <w:pPr>
        <w:rPr>
          <w:rFonts w:hint="eastAsia" w:ascii="仿宋" w:hAnsi="仿宋" w:eastAsia="仿宋"/>
          <w:sz w:val="32"/>
          <w:szCs w:val="32"/>
          <w:lang w:eastAsia="zh-CN"/>
        </w:rPr>
      </w:pPr>
    </w:p>
    <w:p w14:paraId="2C01CCF0">
      <w:pPr>
        <w:pStyle w:val="8"/>
        <w:rPr>
          <w:rFonts w:hint="eastAsia" w:ascii="仿宋" w:hAnsi="仿宋" w:eastAsia="仿宋"/>
          <w:sz w:val="32"/>
          <w:szCs w:val="32"/>
        </w:rPr>
      </w:pPr>
    </w:p>
    <w:p w14:paraId="064A7403">
      <w:pPr>
        <w:rPr>
          <w:rFonts w:hint="eastAsia" w:ascii="仿宋" w:hAnsi="仿宋" w:eastAsia="仿宋"/>
          <w:sz w:val="32"/>
          <w:szCs w:val="32"/>
        </w:rPr>
      </w:pPr>
    </w:p>
    <w:p w14:paraId="64E980CF">
      <w:pPr>
        <w:pStyle w:val="8"/>
        <w:rPr>
          <w:rFonts w:hint="eastAsia" w:ascii="仿宋" w:hAnsi="仿宋" w:eastAsia="仿宋"/>
          <w:sz w:val="32"/>
          <w:szCs w:val="32"/>
        </w:rPr>
      </w:pPr>
    </w:p>
    <w:p w14:paraId="34B06B83">
      <w:pPr>
        <w:rPr>
          <w:rFonts w:hint="eastAsia" w:ascii="仿宋" w:hAnsi="仿宋" w:eastAsia="仿宋"/>
          <w:sz w:val="32"/>
          <w:szCs w:val="32"/>
        </w:rPr>
      </w:pPr>
    </w:p>
    <w:p w14:paraId="49F5E45A">
      <w:pPr>
        <w:pStyle w:val="8"/>
      </w:pPr>
    </w:p>
    <w:p w14:paraId="66310C24">
      <w:pPr>
        <w:spacing w:line="600" w:lineRule="exact"/>
        <w:ind w:firstLine="640"/>
        <w:rPr>
          <w:rFonts w:ascii="仿宋_GB2312" w:eastAsia="仿宋_GB2312"/>
          <w:b/>
          <w:sz w:val="32"/>
          <w:szCs w:val="32"/>
        </w:rPr>
      </w:pPr>
    </w:p>
    <w:p w14:paraId="207B29A8">
      <w:pPr>
        <w:spacing w:line="600" w:lineRule="exact"/>
        <w:ind w:firstLine="640"/>
        <w:rPr>
          <w:rFonts w:ascii="仿宋_GB2312" w:eastAsia="仿宋_GB2312"/>
          <w:b/>
          <w:sz w:val="32"/>
          <w:szCs w:val="32"/>
        </w:rPr>
      </w:pPr>
    </w:p>
    <w:p w14:paraId="46B7E5F8">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hint="eastAsia" w:ascii="仿宋" w:hAnsi="仿宋" w:eastAsia="仿宋"/>
          <w:b w:val="0"/>
          <w:bCs/>
          <w:sz w:val="32"/>
          <w:szCs w:val="32"/>
          <w:lang w:val="en-US" w:eastAsia="zh-CN"/>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hint="eastAsia" w:ascii="仿宋_GB2312" w:eastAsia="仿宋_GB2312"/>
          <w:sz w:val="32"/>
          <w:szCs w:val="32"/>
          <w:lang w:val="en-US" w:eastAsia="zh-CN"/>
        </w:rPr>
        <w:t>等于</w:t>
      </w:r>
      <w:r>
        <w:rPr>
          <w:rFonts w:ascii="仿宋_GB2312" w:eastAsia="仿宋_GB2312"/>
          <w:sz w:val="32"/>
          <w:szCs w:val="32"/>
        </w:rPr>
        <w:t>20</w:t>
      </w:r>
      <w:r>
        <w:rPr>
          <w:rFonts w:hint="eastAsia" w:ascii="仿宋_GB2312" w:eastAsia="仿宋_GB2312"/>
          <w:sz w:val="32"/>
          <w:szCs w:val="32"/>
        </w:rPr>
        <w:t>21年。</w:t>
      </w:r>
    </w:p>
    <w:p w14:paraId="2EABFBEA">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14:paraId="3D74EAFD">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10.97</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21年减少</w:t>
      </w:r>
      <w:r>
        <w:rPr>
          <w:rFonts w:hint="eastAsia" w:ascii="仿宋_GB2312" w:eastAsia="仿宋_GB2312"/>
          <w:sz w:val="32"/>
          <w:szCs w:val="32"/>
          <w:lang w:val="en-US" w:eastAsia="zh-CN"/>
        </w:rPr>
        <w:t>1</w:t>
      </w:r>
      <w:r>
        <w:rPr>
          <w:rFonts w:hint="eastAsia" w:ascii="仿宋_GB2312" w:eastAsia="仿宋_GB2312"/>
          <w:sz w:val="32"/>
          <w:szCs w:val="32"/>
        </w:rPr>
        <w:t>万元，下降</w:t>
      </w:r>
      <w:r>
        <w:rPr>
          <w:rFonts w:hint="eastAsia" w:ascii="仿宋_GB2312" w:eastAsia="仿宋_GB2312"/>
          <w:sz w:val="32"/>
          <w:szCs w:val="32"/>
          <w:lang w:val="en-US" w:eastAsia="zh-CN"/>
        </w:rPr>
        <w:t>8.35</w:t>
      </w:r>
      <w:r>
        <w:rPr>
          <w:rFonts w:ascii="仿宋_GB2312" w:eastAsia="仿宋_GB2312"/>
          <w:sz w:val="32"/>
          <w:szCs w:val="32"/>
        </w:rPr>
        <w:t>%</w:t>
      </w:r>
      <w:r>
        <w:rPr>
          <w:rFonts w:hint="eastAsia" w:ascii="仿宋_GB2312" w:eastAsia="仿宋_GB2312"/>
          <w:sz w:val="32"/>
          <w:szCs w:val="32"/>
        </w:rPr>
        <w:t>。主要原因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本年公车使用频率较上年减少，本着资源节约，缩减成本的原则尽量对无需用车的情况进行整改</w:t>
      </w:r>
      <w:r>
        <w:rPr>
          <w:rFonts w:hint="eastAsia" w:ascii="仿宋_GB2312" w:eastAsia="仿宋_GB2312"/>
          <w:sz w:val="32"/>
          <w:szCs w:val="32"/>
        </w:rPr>
        <w:t>。</w:t>
      </w:r>
    </w:p>
    <w:p w14:paraId="7495B749">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207CDF97">
      <w:pPr>
        <w:spacing w:line="600" w:lineRule="exact"/>
        <w:ind w:firstLine="640"/>
        <w:rPr>
          <w:rFonts w:hint="eastAsia" w:ascii="Times New Roman" w:hAnsi="Times New Roman" w:eastAsia="仿宋_GB2312" w:cs="Times New Roman"/>
          <w:sz w:val="32"/>
          <w:szCs w:val="32"/>
          <w:lang w:val="en-US" w:eastAsia="zh-CN"/>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10.97</w:t>
      </w:r>
      <w:r>
        <w:rPr>
          <w:rFonts w:hint="eastAsia" w:ascii="仿宋_GB2312" w:eastAsia="仿宋_GB2312"/>
          <w:sz w:val="32"/>
          <w:szCs w:val="32"/>
        </w:rPr>
        <w:t>万元。</w:t>
      </w:r>
      <w:r>
        <w:rPr>
          <w:rFonts w:hint="eastAsia" w:ascii="Times New Roman" w:hAnsi="Times New Roman" w:eastAsia="仿宋_GB2312" w:cs="Times New Roman"/>
          <w:sz w:val="32"/>
          <w:szCs w:val="32"/>
          <w:lang w:val="en-US" w:eastAsia="zh-CN"/>
        </w:rPr>
        <w:t>主要用于低保、五保入户核查清理、敬老院管理、基层政权和社区建设、村活动室项目建设等日常工作开展所需的公务用车燃料费、维修费、过路过桥费、保险费等支出等所需的公务用车燃料费、维修费、过路过桥费、保险费等支出。</w:t>
      </w:r>
    </w:p>
    <w:p w14:paraId="07CCB794">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hint="eastAsia" w:ascii="仿宋" w:hAnsi="仿宋" w:eastAsia="仿宋"/>
          <w:b w:val="0"/>
          <w:bCs/>
          <w:sz w:val="32"/>
          <w:szCs w:val="32"/>
          <w:lang w:val="en-US" w:eastAsia="zh-CN"/>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21年减少</w:t>
      </w:r>
      <w:r>
        <w:rPr>
          <w:rFonts w:hint="eastAsia" w:ascii="仿宋_GB2312" w:eastAsia="仿宋_GB2312"/>
          <w:sz w:val="32"/>
          <w:szCs w:val="32"/>
          <w:lang w:val="en-US" w:eastAsia="zh-CN"/>
        </w:rPr>
        <w:t>0.05</w:t>
      </w:r>
      <w:r>
        <w:rPr>
          <w:rFonts w:hint="eastAsia" w:ascii="仿宋_GB2312" w:eastAsia="仿宋_GB2312"/>
          <w:sz w:val="32"/>
          <w:szCs w:val="32"/>
        </w:rPr>
        <w:t>万元，下降</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2022年度公务接待费支出未从本套表中列支</w:t>
      </w:r>
      <w:r>
        <w:rPr>
          <w:rFonts w:hint="eastAsia" w:ascii="仿宋_GB2312" w:eastAsia="仿宋_GB2312"/>
          <w:sz w:val="32"/>
          <w:szCs w:val="32"/>
        </w:rPr>
        <w:t>。其中：</w:t>
      </w:r>
    </w:p>
    <w:p w14:paraId="089AF537">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lang w:val="en-US" w:eastAsia="zh-CN"/>
        </w:rPr>
        <w:t>0</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万元，具体内容包括：（接待具体项目、金额）。</w:t>
      </w:r>
    </w:p>
    <w:p w14:paraId="13A91D4D">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lang w:val="en-US" w:eastAsia="zh-CN"/>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229A097F">
      <w:pPr>
        <w:spacing w:line="600" w:lineRule="exact"/>
        <w:ind w:firstLine="640"/>
        <w:outlineLvl w:val="1"/>
        <w:rPr>
          <w:rFonts w:ascii="黑体" w:eastAsia="黑体"/>
          <w:sz w:val="32"/>
          <w:szCs w:val="32"/>
        </w:rPr>
      </w:pPr>
      <w:bookmarkStart w:id="40" w:name="_Toc15396610"/>
      <w:bookmarkStart w:id="41" w:name="_Toc15377218"/>
    </w:p>
    <w:p w14:paraId="09D6FF83">
      <w:pPr>
        <w:spacing w:line="600" w:lineRule="exact"/>
        <w:ind w:firstLine="64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0"/>
      <w:bookmarkEnd w:id="41"/>
    </w:p>
    <w:p w14:paraId="4C4AB3A5">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48.12</w:t>
      </w:r>
      <w:r>
        <w:rPr>
          <w:rFonts w:hint="eastAsia" w:ascii="仿宋_GB2312" w:eastAsia="仿宋_GB2312"/>
          <w:sz w:val="32"/>
          <w:szCs w:val="32"/>
        </w:rPr>
        <w:t>万元。</w:t>
      </w:r>
      <w:r>
        <w:rPr>
          <w:rFonts w:hint="eastAsia" w:ascii="仿宋_GB2312" w:eastAsia="仿宋_GB2312"/>
          <w:sz w:val="32"/>
          <w:szCs w:val="32"/>
          <w:lang w:val="en-US" w:eastAsia="zh-CN"/>
        </w:rPr>
        <w:t>其中用于社会福利的彩票公益金支出为48.12万元。</w:t>
      </w:r>
    </w:p>
    <w:p w14:paraId="6B9C8E45">
      <w:pPr>
        <w:numPr>
          <w:ilvl w:val="0"/>
          <w:numId w:val="3"/>
        </w:numPr>
        <w:spacing w:line="600" w:lineRule="exact"/>
        <w:ind w:firstLine="640"/>
        <w:outlineLvl w:val="1"/>
        <w:rPr>
          <w:rStyle w:val="29"/>
          <w:rFonts w:ascii="黑体" w:hAnsi="黑体" w:eastAsia="黑体"/>
          <w:b w:val="0"/>
        </w:rPr>
      </w:pPr>
      <w:bookmarkStart w:id="42" w:name="_Toc15377219"/>
      <w:bookmarkStart w:id="43" w:name="_Toc15396611"/>
      <w:r>
        <w:rPr>
          <w:rStyle w:val="29"/>
          <w:rFonts w:hint="eastAsia" w:ascii="黑体" w:hAnsi="黑体" w:eastAsia="黑体"/>
          <w:b w:val="0"/>
        </w:rPr>
        <w:t>国有资本经营预算支出决算情况说明</w:t>
      </w:r>
      <w:bookmarkEnd w:id="42"/>
      <w:bookmarkEnd w:id="43"/>
    </w:p>
    <w:p w14:paraId="68BD38D0">
      <w:pPr>
        <w:spacing w:line="600" w:lineRule="exact"/>
        <w:ind w:firstLine="640"/>
        <w:rPr>
          <w:rFonts w:ascii="方正小标宋简体" w:hAns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61B15D68">
      <w:pPr>
        <w:numPr>
          <w:ilvl w:val="0"/>
          <w:numId w:val="3"/>
        </w:numPr>
        <w:spacing w:line="600" w:lineRule="exact"/>
        <w:ind w:firstLine="640"/>
        <w:outlineLvl w:val="1"/>
        <w:rPr>
          <w:rStyle w:val="29"/>
          <w:rFonts w:ascii="黑体" w:hAnsi="黑体" w:eastAsia="黑体"/>
          <w:b w:val="0"/>
        </w:rPr>
      </w:pPr>
      <w:bookmarkStart w:id="44" w:name="_Toc15396612"/>
      <w:bookmarkStart w:id="45" w:name="_Toc15377221"/>
      <w:r>
        <w:rPr>
          <w:rStyle w:val="29"/>
          <w:rFonts w:hint="eastAsia" w:ascii="黑体" w:hAnsi="黑体" w:eastAsia="黑体"/>
          <w:b w:val="0"/>
        </w:rPr>
        <w:t>其他重要事项的情况说明</w:t>
      </w:r>
      <w:bookmarkEnd w:id="44"/>
      <w:bookmarkEnd w:id="45"/>
    </w:p>
    <w:p w14:paraId="7B12AB45">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14:paraId="2A040D09">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val="en-US" w:eastAsia="zh-CN"/>
        </w:rPr>
        <w:t>民政局</w:t>
      </w:r>
      <w:r>
        <w:rPr>
          <w:rFonts w:hint="eastAsia" w:ascii="仿宋_GB2312" w:eastAsia="仿宋_GB2312"/>
          <w:sz w:val="32"/>
          <w:szCs w:val="32"/>
        </w:rPr>
        <w:t>机关运行经费支出</w:t>
      </w:r>
      <w:r>
        <w:rPr>
          <w:rFonts w:hint="eastAsia" w:ascii="仿宋_GB2312" w:eastAsia="仿宋_GB2312"/>
          <w:sz w:val="32"/>
          <w:szCs w:val="32"/>
          <w:lang w:val="en-US" w:eastAsia="zh-CN"/>
        </w:rPr>
        <w:t>11.52</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21年减少</w:t>
      </w:r>
      <w:r>
        <w:rPr>
          <w:rFonts w:hint="eastAsia" w:ascii="仿宋_GB2312" w:eastAsia="仿宋_GB2312"/>
          <w:sz w:val="32"/>
          <w:szCs w:val="32"/>
          <w:lang w:val="en-US" w:eastAsia="zh-CN"/>
        </w:rPr>
        <w:t>0.83</w:t>
      </w:r>
      <w:r>
        <w:rPr>
          <w:rFonts w:hint="eastAsia" w:ascii="仿宋_GB2312" w:eastAsia="仿宋_GB2312"/>
          <w:sz w:val="32"/>
          <w:szCs w:val="32"/>
        </w:rPr>
        <w:t>万元，下降</w:t>
      </w:r>
      <w:r>
        <w:rPr>
          <w:rFonts w:hint="eastAsia" w:ascii="仿宋_GB2312" w:eastAsia="仿宋_GB2312"/>
          <w:sz w:val="32"/>
          <w:szCs w:val="32"/>
          <w:lang w:val="en-US" w:eastAsia="zh-CN"/>
        </w:rPr>
        <w:t>6.72</w:t>
      </w:r>
      <w:r>
        <w:rPr>
          <w:rFonts w:ascii="仿宋_GB2312" w:eastAsia="仿宋_GB2312"/>
          <w:sz w:val="32"/>
          <w:szCs w:val="32"/>
        </w:rPr>
        <w:t>%</w:t>
      </w:r>
      <w:r>
        <w:rPr>
          <w:rFonts w:hint="eastAsia" w:ascii="仿宋_GB2312" w:eastAsia="仿宋_GB2312"/>
          <w:sz w:val="32"/>
          <w:szCs w:val="32"/>
        </w:rPr>
        <w:t>。</w:t>
      </w:r>
      <w:r>
        <w:rPr>
          <w:rFonts w:hint="eastAsia" w:ascii="Times New Roman" w:hAnsi="Times New Roman" w:eastAsia="仿宋_GB2312" w:cs="Times New Roman"/>
          <w:kern w:val="2"/>
          <w:sz w:val="32"/>
          <w:szCs w:val="32"/>
          <w:lang w:val="en-US" w:eastAsia="zh-CN" w:bidi="ar-SA"/>
        </w:rPr>
        <w:t>主要原因</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小车运行维护费较上年减少1万元</w:t>
      </w:r>
      <w:r>
        <w:rPr>
          <w:rFonts w:hint="eastAsia" w:ascii="仿宋_GB2312" w:eastAsia="仿宋_GB2312"/>
          <w:sz w:val="32"/>
          <w:szCs w:val="32"/>
        </w:rPr>
        <w:t>。</w:t>
      </w:r>
    </w:p>
    <w:p w14:paraId="6C287376">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0E6654B7">
      <w:pPr>
        <w:autoSpaceDE w:val="0"/>
        <w:autoSpaceDN w:val="0"/>
        <w:adjustRightInd w:val="0"/>
        <w:spacing w:line="600" w:lineRule="exact"/>
        <w:ind w:firstLine="643" w:firstLineChars="2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13B368A3">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val="en-US" w:eastAsia="zh-CN"/>
        </w:rPr>
        <w:t>民政局</w:t>
      </w:r>
      <w:r>
        <w:rPr>
          <w:rFonts w:hint="eastAsia" w:ascii="仿宋_GB2312" w:eastAsia="仿宋_GB2312"/>
          <w:sz w:val="32"/>
          <w:szCs w:val="32"/>
        </w:rPr>
        <w:t>政府采购支出总额</w:t>
      </w:r>
      <w:r>
        <w:rPr>
          <w:rFonts w:hint="eastAsia" w:ascii="仿宋_GB2312" w:eastAsia="仿宋_GB2312"/>
          <w:sz w:val="32"/>
          <w:szCs w:val="32"/>
          <w:lang w:val="en-US" w:eastAsia="zh-CN"/>
        </w:rPr>
        <w:t>427.03</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56.33</w:t>
      </w:r>
      <w:r>
        <w:rPr>
          <w:rFonts w:hint="eastAsia" w:ascii="仿宋_GB2312" w:eastAsia="仿宋_GB2312"/>
          <w:sz w:val="32"/>
          <w:szCs w:val="32"/>
        </w:rPr>
        <w:t>万元、政府采购工程支出</w:t>
      </w:r>
      <w:r>
        <w:rPr>
          <w:rFonts w:hint="eastAsia" w:ascii="仿宋_GB2312" w:eastAsia="仿宋_GB2312"/>
          <w:sz w:val="32"/>
          <w:szCs w:val="32"/>
          <w:lang w:val="en-US" w:eastAsia="zh-CN"/>
        </w:rPr>
        <w:t>362.45</w:t>
      </w:r>
      <w:r>
        <w:rPr>
          <w:rFonts w:hint="eastAsia" w:ascii="仿宋_GB2312" w:eastAsia="仿宋_GB2312"/>
          <w:sz w:val="32"/>
          <w:szCs w:val="32"/>
        </w:rPr>
        <w:t>万元、政府采购服务支出</w:t>
      </w:r>
      <w:r>
        <w:rPr>
          <w:rFonts w:hint="eastAsia" w:ascii="仿宋_GB2312" w:eastAsia="仿宋_GB2312"/>
          <w:sz w:val="32"/>
          <w:szCs w:val="32"/>
          <w:lang w:val="en-US" w:eastAsia="zh-CN"/>
        </w:rPr>
        <w:t>8.25</w:t>
      </w:r>
      <w:r>
        <w:rPr>
          <w:rFonts w:hint="eastAsia" w:ascii="仿宋_GB2312" w:eastAsia="仿宋_GB2312"/>
          <w:sz w:val="32"/>
          <w:szCs w:val="32"/>
        </w:rPr>
        <w:t>万元。</w:t>
      </w:r>
      <w:r>
        <w:rPr>
          <w:rFonts w:hint="eastAsia" w:ascii="Times New Roman" w:hAnsi="Times New Roman" w:eastAsia="仿宋_GB2312" w:cs="Times New Roman"/>
          <w:kern w:val="2"/>
          <w:sz w:val="32"/>
          <w:szCs w:val="32"/>
          <w:lang w:val="en-US" w:eastAsia="zh-CN" w:bidi="ar-SA"/>
        </w:rPr>
        <w:t>主要用于（主要包括敬老院蔬菜、肉类、日杂用品、调味品、设备采购、居家养老购买服务、敬老院提升改造等）。</w:t>
      </w:r>
      <w:r>
        <w:rPr>
          <w:rFonts w:hint="eastAsia" w:ascii="仿宋_GB2312" w:eastAsia="仿宋_GB2312"/>
          <w:sz w:val="32"/>
          <w:szCs w:val="32"/>
        </w:rPr>
        <w:t>授予中小企业合同金额</w:t>
      </w:r>
      <w:r>
        <w:rPr>
          <w:rFonts w:hint="eastAsia" w:ascii="仿宋_GB2312" w:eastAsia="仿宋_GB2312"/>
          <w:sz w:val="32"/>
          <w:szCs w:val="32"/>
          <w:lang w:val="en-US" w:eastAsia="zh-CN"/>
        </w:rPr>
        <w:t>15.25</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3.57</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15.25</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3.57</w:t>
      </w:r>
      <w:r>
        <w:rPr>
          <w:rFonts w:ascii="仿宋_GB2312" w:eastAsia="仿宋_GB2312"/>
          <w:sz w:val="32"/>
          <w:szCs w:val="32"/>
        </w:rPr>
        <w:t>%</w:t>
      </w:r>
      <w:r>
        <w:rPr>
          <w:rFonts w:hint="eastAsia" w:ascii="仿宋_GB2312" w:eastAsia="仿宋_GB2312"/>
          <w:sz w:val="32"/>
          <w:szCs w:val="32"/>
        </w:rPr>
        <w:t>。</w:t>
      </w:r>
    </w:p>
    <w:p w14:paraId="6E5B3D2F">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40C69813">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14:paraId="70F0084D">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民政局</w:t>
      </w:r>
      <w:r>
        <w:rPr>
          <w:rFonts w:hint="eastAsia" w:ascii="仿宋_GB2312" w:eastAsia="仿宋_GB2312"/>
          <w:sz w:val="32"/>
          <w:szCs w:val="32"/>
        </w:rPr>
        <w:t>共有车辆</w:t>
      </w:r>
      <w:r>
        <w:rPr>
          <w:rFonts w:hint="eastAsia" w:ascii="仿宋_GB2312" w:eastAsia="仿宋_GB2312"/>
          <w:sz w:val="32"/>
          <w:szCs w:val="32"/>
          <w:lang w:val="en-US" w:eastAsia="zh-CN"/>
        </w:rPr>
        <w:t>1</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1</w:t>
      </w:r>
      <w:r>
        <w:rPr>
          <w:rFonts w:hint="eastAsia" w:ascii="仿宋_GB2312" w:eastAsia="仿宋_GB2312"/>
          <w:sz w:val="32"/>
          <w:szCs w:val="32"/>
        </w:rPr>
        <w:t>辆，</w:t>
      </w:r>
      <w:r>
        <w:rPr>
          <w:rFonts w:hint="eastAsia" w:ascii="Times New Roman" w:hAnsi="Times New Roman" w:eastAsia="仿宋_GB2312" w:cs="Times New Roman"/>
          <w:kern w:val="2"/>
          <w:sz w:val="32"/>
          <w:szCs w:val="32"/>
          <w:lang w:val="en-US" w:eastAsia="zh-CN" w:bidi="ar-SA"/>
        </w:rPr>
        <w:t>其他用车主要</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用于单位用于低保、五保入户核查清理、敬老院管理、基层政权和社区建设、村活动室项目建设等日常工作开展用车</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14:paraId="35B6A012">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0D8C0DB0">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17A82252">
      <w:pPr>
        <w:keepNext w:val="0"/>
        <w:keepLines w:val="0"/>
        <w:pageBreakBefore w:val="0"/>
        <w:kinsoku/>
        <w:wordWrap/>
        <w:overflowPunct/>
        <w:topLinePunct w:val="0"/>
        <w:bidi w:val="0"/>
        <w:snapToGrid/>
        <w:spacing w:afterAutospacing="0"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根据预算绩效管理要求，本部门在2022年度预算编制阶段，</w:t>
      </w:r>
      <w:r>
        <w:rPr>
          <w:rFonts w:hint="eastAsia" w:ascii="Times New Roman" w:hAnsi="Times New Roman" w:eastAsia="仿宋_GB2312" w:cs="Times New Roman"/>
          <w:kern w:val="2"/>
          <w:sz w:val="32"/>
          <w:szCs w:val="32"/>
          <w:lang w:val="en-US" w:eastAsia="zh-CN" w:bidi="ar-SA"/>
        </w:rPr>
        <w:t>组织对困难群众救助（即：儿童福利、</w:t>
      </w:r>
      <w:r>
        <w:rPr>
          <w:rFonts w:hint="eastAsia" w:ascii="Times New Roman" w:hAnsi="Times New Roman" w:eastAsia="仿宋_GB2312" w:cs="Times New Roman"/>
          <w:kern w:val="2"/>
          <w:sz w:val="32"/>
          <w:szCs w:val="32"/>
          <w:lang w:val="zh-CN" w:eastAsia="zh-CN" w:bidi="ar-SA"/>
        </w:rPr>
        <w:t>特困人员救助、临时救助</w:t>
      </w:r>
      <w:r>
        <w:rPr>
          <w:rFonts w:hint="eastAsia" w:ascii="Times New Roman" w:hAnsi="Times New Roman" w:eastAsia="仿宋_GB2312" w:cs="Times New Roman"/>
          <w:kern w:val="2"/>
          <w:sz w:val="32"/>
          <w:szCs w:val="32"/>
          <w:lang w:val="en-US" w:eastAsia="zh-CN" w:bidi="ar-SA"/>
        </w:rPr>
        <w:t>）、高龄津贴（包含80至89岁老人、90至99岁老人、100岁老人）、重度残疾人护理补贴、困难残疾人生活补助、居家养老服务体系、城市农村日间照料资金、特困人员供养资金开展了预算事前绩效评估，对8个项目编制了绩效目标，预算执行过程中，选取困难残疾人生活补贴、重度残疾人护理补贴、困难群众救助（即：儿童福利、</w:t>
      </w:r>
      <w:r>
        <w:rPr>
          <w:rFonts w:hint="eastAsia" w:ascii="Times New Roman" w:hAnsi="Times New Roman" w:eastAsia="仿宋_GB2312" w:cs="Times New Roman"/>
          <w:kern w:val="2"/>
          <w:sz w:val="32"/>
          <w:szCs w:val="32"/>
          <w:lang w:val="zh-CN" w:eastAsia="zh-CN" w:bidi="ar-SA"/>
        </w:rPr>
        <w:t>特困人员救助、临时救助）</w:t>
      </w:r>
      <w:r>
        <w:rPr>
          <w:rFonts w:hint="eastAsia" w:ascii="Times New Roman" w:hAnsi="Times New Roman" w:eastAsia="仿宋_GB2312" w:cs="Times New Roman"/>
          <w:kern w:val="2"/>
          <w:sz w:val="32"/>
          <w:szCs w:val="32"/>
          <w:lang w:val="en-US" w:eastAsia="zh-CN" w:bidi="ar-SA"/>
        </w:rPr>
        <w:t>、高龄津贴等5个项目开展绩效监控，年终执行完毕后，对4个项目开展了绩效目标完成情况自评。</w:t>
      </w:r>
    </w:p>
    <w:p w14:paraId="205A78DD">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本部门按要求对2022年部门整体支出开展绩效自评，从评价情况来看一</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提高了资金的使用效率；二</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规范了财务管理；三</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项目申报条件合规，项目实施进度明确；四</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受益人员政策知晓率提高；五</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确保了年度绩效目标如期实现；本部门还自行组织了4个项目绩效评价，从评价情况来看规范了财务管理，提高了资金的使用效率，项目实施合格，资金拨付按进度进行，受益人员满意度和政策知晓率提高，强化了预算执行全过程的管理，提供详实准确的预算执行数据，能较为准确预测预算收支的发展趋势提供了有力的支撑。</w:t>
      </w:r>
    </w:p>
    <w:p w14:paraId="1CC35E47">
      <w:pPr>
        <w:spacing w:line="360" w:lineRule="auto"/>
        <w:ind w:firstLine="640" w:firstLineChars="200"/>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1．概述项目绩效目标完成情况。</w:t>
      </w:r>
    </w:p>
    <w:p w14:paraId="1301E589">
      <w:pPr>
        <w:spacing w:line="360" w:lineRule="auto"/>
        <w:ind w:firstLine="640" w:firstLineChars="200"/>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年初预算编制时，根据预算绩效管理要求我单位对高龄津贴、重度残疾人护理补贴、困难残疾人生活补助、居家养老服务体系、临时救助、儿童福利制定了绩效目标，预算执行过程中，选取部分项目开展绩效监控，年终执行完毕后，对部分项目开展了绩效目标完成情况梳理填报。一，2022年为符合政策的城乡低保7754户15407人员发放低保金4201.94万元，实现“应保尽保、应退尽退”低保政策；二，持续加大残疾人救助保障力度，为1187名困难残疾人发放生活补贴资金142.58万元，为994名重度残疾人发放护理补贴资金97.35万元，使残疾人权益得到更好保障，进一步完善了社会保障制度体系；三，社会救助水平不断提升，为全县17名孤儿发放生活补贴资金25.32万元，为21名事实无人抚养儿童发放生活补助资金27.9万元；为1084名分散特困人员供养对象发放生活补助803.42万元，为161名集中特困人员供养对象按照每人每月不低于600元的标准进行供养救助，将符合条件的特殊困难群众及时纳入保障范围，困难群众基本生活得到了保障，并促进了社会救助政策体系更加完善、管理制度更加健全、服务质量明显提升，群众满意度显著提高。四，抓细抓好养老服务工作，稳步推进养老机构建设，提升养老服务水平。抓细抓实养老机构管理安全运行，分步实施6所农村敬老院适老化改造，着力构建以居家养老为基础，社区养老为依托，机构养老为补充的养老服务体系，稳步推动养老院服务质量建设提升；1-12月累计为80岁以上727名老人发放高龄津贴75.461万元；为全县2750名居家养老对象，提供“助餐、助医、助卫”服务；全年为176名离任村干部发放生活补贴资金69.617万元。</w:t>
      </w:r>
    </w:p>
    <w:p w14:paraId="4F70F735">
      <w:pPr>
        <w:spacing w:line="360" w:lineRule="auto"/>
        <w:ind w:firstLine="640" w:firstLineChars="200"/>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2．概述本单位整体支出绩效目标实现情况（如有）。</w:t>
      </w:r>
    </w:p>
    <w:p w14:paraId="27D5ADFB">
      <w:pPr>
        <w:spacing w:line="360" w:lineRule="auto"/>
        <w:ind w:firstLine="640" w:firstLineChars="200"/>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根据预算绩效管理要求，本部门（单位）在年初预算编制阶段，组织对高龄津贴、重度残疾人护理补贴、困难残疾人生活补助、居家养老服务体系、临时救助、儿童福利、城市农村日间照料资金、特困人员护理照料费、特困人员供养资金开展了预算事前绩效评估,2022年县级、州级对我单位部分项目资金也进行了绩效考评。总体来说，2022年我单位绩效考评较好，从预算到执行、收入到支出、资产管理及预决算公开，都严格按照相关制度进行，全年收支平衡，略有结余，有效的保证了机构运转、圆满完成了上级下达的目标任务，取得了较大的经济效益和社会效益，也得到了政府部门的认可和社会保障对象的认可。</w:t>
      </w:r>
    </w:p>
    <w:p w14:paraId="6A58291F">
      <w:pPr>
        <w:widowControl/>
        <w:ind w:firstLine="643" w:firstLineChars="200"/>
        <w:jc w:val="left"/>
        <w:rPr>
          <w:rFonts w:ascii="仿宋_GB2312" w:eastAsia="仿宋_GB2312"/>
          <w:b/>
          <w:sz w:val="32"/>
          <w:szCs w:val="32"/>
        </w:rPr>
      </w:pPr>
      <w:r>
        <w:rPr>
          <w:rFonts w:ascii="仿宋_GB2312" w:eastAsia="仿宋_GB2312"/>
          <w:b/>
          <w:sz w:val="32"/>
          <w:szCs w:val="32"/>
        </w:rPr>
        <w:br w:type="page"/>
      </w:r>
    </w:p>
    <w:tbl>
      <w:tblPr>
        <w:tblStyle w:val="15"/>
        <w:tblpPr w:leftFromText="180" w:rightFromText="180" w:vertAnchor="text" w:horzAnchor="page" w:tblpXSpec="center" w:tblpY="423"/>
        <w:tblOverlap w:val="never"/>
        <w:tblW w:w="9831" w:type="dxa"/>
        <w:tblInd w:w="0" w:type="dxa"/>
        <w:tblLayout w:type="fixed"/>
        <w:tblCellMar>
          <w:top w:w="0" w:type="dxa"/>
          <w:left w:w="0" w:type="dxa"/>
          <w:bottom w:w="0" w:type="dxa"/>
          <w:right w:w="0" w:type="dxa"/>
        </w:tblCellMar>
      </w:tblPr>
      <w:tblGrid>
        <w:gridCol w:w="385"/>
        <w:gridCol w:w="1349"/>
        <w:gridCol w:w="1012"/>
        <w:gridCol w:w="2361"/>
        <w:gridCol w:w="2363"/>
        <w:gridCol w:w="2361"/>
      </w:tblGrid>
      <w:tr w14:paraId="5AD93B36">
        <w:tblPrEx>
          <w:tblCellMar>
            <w:top w:w="0" w:type="dxa"/>
            <w:left w:w="0" w:type="dxa"/>
            <w:bottom w:w="0" w:type="dxa"/>
            <w:right w:w="0" w:type="dxa"/>
          </w:tblCellMar>
        </w:tblPrEx>
        <w:trPr>
          <w:trHeight w:val="1390" w:hRule="atLeast"/>
        </w:trPr>
        <w:tc>
          <w:tcPr>
            <w:tcW w:w="9831" w:type="dxa"/>
            <w:gridSpan w:val="6"/>
            <w:tcMar>
              <w:top w:w="15" w:type="dxa"/>
              <w:left w:w="15" w:type="dxa"/>
              <w:bottom w:w="0" w:type="dxa"/>
              <w:right w:w="15" w:type="dxa"/>
            </w:tcMar>
            <w:vAlign w:val="center"/>
          </w:tcPr>
          <w:p w14:paraId="18AF42BF">
            <w:pPr>
              <w:pStyle w:val="27"/>
              <w:widowControl/>
              <w:spacing w:line="560" w:lineRule="exact"/>
              <w:ind w:left="3086" w:leftChars="784" w:hanging="1440" w:hangingChars="400"/>
              <w:textAlignment w:val="center"/>
              <w:rPr>
                <w:rFonts w:ascii="方正小标宋简体" w:hAnsi="宋体" w:eastAsia="方正小标宋简体" w:cs="宋体"/>
                <w:sz w:val="36"/>
                <w:szCs w:val="36"/>
              </w:rPr>
            </w:pPr>
            <w:r>
              <w:rPr>
                <w:rFonts w:hint="eastAsia" w:ascii="方正小标宋_GBK" w:hAnsi="方正小标宋_GBK" w:eastAsia="方正小标宋_GBK" w:cs="方正小标宋_GBK"/>
                <w:bCs/>
                <w:kern w:val="0"/>
                <w:sz w:val="36"/>
                <w:szCs w:val="36"/>
              </w:rPr>
              <w:t>项目支出绩效目标完成情况表</w:t>
            </w:r>
            <w:r>
              <w:rPr>
                <w:rFonts w:hint="eastAsia" w:ascii="方正小标宋_GBK" w:hAnsi="方正小标宋_GBK" w:eastAsia="方正小标宋_GBK" w:cs="方正小标宋_GBK"/>
                <w:b/>
                <w:bCs/>
                <w:kern w:val="0"/>
                <w:sz w:val="36"/>
                <w:szCs w:val="36"/>
              </w:rPr>
              <w:br w:type="textWrapping"/>
            </w:r>
            <w:r>
              <w:rPr>
                <w:rFonts w:hint="eastAsia" w:ascii="方正小标宋_GBK" w:hAnsi="方正小标宋_GBK" w:eastAsia="方正小标宋_GBK" w:cs="方正小标宋_GBK"/>
                <w:kern w:val="0"/>
                <w:sz w:val="30"/>
                <w:szCs w:val="30"/>
              </w:rPr>
              <w:t>(2022年度)</w:t>
            </w:r>
          </w:p>
        </w:tc>
      </w:tr>
      <w:tr w14:paraId="5254AB58">
        <w:tblPrEx>
          <w:tblCellMar>
            <w:top w:w="0" w:type="dxa"/>
            <w:left w:w="0" w:type="dxa"/>
            <w:bottom w:w="0" w:type="dxa"/>
            <w:right w:w="0" w:type="dxa"/>
          </w:tblCellMar>
        </w:tblPrEx>
        <w:trPr>
          <w:trHeight w:val="371" w:hRule="atLeast"/>
        </w:trPr>
        <w:tc>
          <w:tcPr>
            <w:tcW w:w="274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9BDFF9">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项目名称</w:t>
            </w:r>
          </w:p>
        </w:tc>
        <w:tc>
          <w:tcPr>
            <w:tcW w:w="708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313370">
            <w:pPr>
              <w:widowControl/>
              <w:spacing w:line="560" w:lineRule="exact"/>
              <w:jc w:val="center"/>
              <w:textAlignment w:val="center"/>
              <w:rPr>
                <w:rFonts w:ascii="仿宋_GB2312" w:hAnsi="仿宋_GB2312" w:cs="仿宋_GB2312"/>
                <w:sz w:val="24"/>
              </w:rPr>
            </w:pPr>
            <w:r>
              <w:rPr>
                <w:rFonts w:hint="eastAsia" w:ascii="仿宋_GB2312" w:hAnsi="仿宋_GB2312" w:cs="仿宋_GB2312"/>
                <w:sz w:val="24"/>
              </w:rPr>
              <w:t>高龄津贴</w:t>
            </w:r>
          </w:p>
        </w:tc>
      </w:tr>
      <w:tr w14:paraId="26888B70">
        <w:tblPrEx>
          <w:tblCellMar>
            <w:top w:w="0" w:type="dxa"/>
            <w:left w:w="0" w:type="dxa"/>
            <w:bottom w:w="0" w:type="dxa"/>
            <w:right w:w="0" w:type="dxa"/>
          </w:tblCellMar>
        </w:tblPrEx>
        <w:trPr>
          <w:trHeight w:val="371" w:hRule="atLeast"/>
        </w:trPr>
        <w:tc>
          <w:tcPr>
            <w:tcW w:w="274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43DA03">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预算单位</w:t>
            </w:r>
          </w:p>
        </w:tc>
        <w:tc>
          <w:tcPr>
            <w:tcW w:w="708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041C49">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壤塘县民政局</w:t>
            </w:r>
          </w:p>
        </w:tc>
      </w:tr>
      <w:tr w14:paraId="6A2F7BBF">
        <w:tblPrEx>
          <w:tblCellMar>
            <w:top w:w="0" w:type="dxa"/>
            <w:left w:w="0" w:type="dxa"/>
            <w:bottom w:w="0" w:type="dxa"/>
            <w:right w:w="0" w:type="dxa"/>
          </w:tblCellMar>
        </w:tblPrEx>
        <w:trPr>
          <w:trHeight w:val="371" w:hRule="atLeast"/>
        </w:trPr>
        <w:tc>
          <w:tcPr>
            <w:tcW w:w="38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BA67F3">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预算执行情况(万元)</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509184">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预算数:</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950193">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75.36万元</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41B06F">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执行数:</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C8635A">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75.36万元</w:t>
            </w:r>
          </w:p>
        </w:tc>
      </w:tr>
      <w:tr w14:paraId="464997EA">
        <w:tblPrEx>
          <w:tblCellMar>
            <w:top w:w="0" w:type="dxa"/>
            <w:left w:w="0" w:type="dxa"/>
            <w:bottom w:w="0" w:type="dxa"/>
            <w:right w:w="0" w:type="dxa"/>
          </w:tblCellMar>
        </w:tblPrEx>
        <w:trPr>
          <w:trHeight w:val="371" w:hRule="atLeast"/>
        </w:trPr>
        <w:tc>
          <w:tcPr>
            <w:tcW w:w="385" w:type="dxa"/>
            <w:vMerge w:val="continue"/>
            <w:tcBorders>
              <w:top w:val="single" w:color="000000" w:sz="4" w:space="0"/>
              <w:left w:val="single" w:color="000000" w:sz="4" w:space="0"/>
              <w:bottom w:val="single" w:color="000000" w:sz="4" w:space="0"/>
              <w:right w:val="single" w:color="000000" w:sz="4" w:space="0"/>
            </w:tcBorders>
            <w:vAlign w:val="center"/>
          </w:tcPr>
          <w:p w14:paraId="12419AB0">
            <w:pPr>
              <w:widowControl/>
              <w:spacing w:line="560" w:lineRule="exact"/>
              <w:jc w:val="center"/>
              <w:textAlignment w:val="center"/>
              <w:rPr>
                <w:rFonts w:ascii="仿宋_GB2312" w:hAnsi="仿宋_GB2312" w:cs="仿宋_GB2312"/>
                <w:sz w:val="15"/>
                <w:szCs w:val="15"/>
              </w:rPr>
            </w:pP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9014D9">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其中-财政拨款:</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27EDBC">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75.36万元</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853BC2">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其中-财政拨款:</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54F3E5">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75.36万元</w:t>
            </w:r>
          </w:p>
        </w:tc>
      </w:tr>
      <w:tr w14:paraId="0A5A45E3">
        <w:tblPrEx>
          <w:tblCellMar>
            <w:top w:w="0" w:type="dxa"/>
            <w:left w:w="0" w:type="dxa"/>
            <w:bottom w:w="0" w:type="dxa"/>
            <w:right w:w="0" w:type="dxa"/>
          </w:tblCellMar>
        </w:tblPrEx>
        <w:trPr>
          <w:trHeight w:val="2366" w:hRule="atLeast"/>
        </w:trPr>
        <w:tc>
          <w:tcPr>
            <w:tcW w:w="385" w:type="dxa"/>
            <w:vMerge w:val="continue"/>
            <w:tcBorders>
              <w:top w:val="single" w:color="000000" w:sz="4" w:space="0"/>
              <w:left w:val="single" w:color="000000" w:sz="4" w:space="0"/>
              <w:bottom w:val="single" w:color="000000" w:sz="4" w:space="0"/>
              <w:right w:val="single" w:color="000000" w:sz="4" w:space="0"/>
            </w:tcBorders>
            <w:vAlign w:val="center"/>
          </w:tcPr>
          <w:p w14:paraId="3EC9FBDF">
            <w:pPr>
              <w:widowControl/>
              <w:spacing w:line="560" w:lineRule="exact"/>
              <w:jc w:val="center"/>
              <w:textAlignment w:val="center"/>
              <w:rPr>
                <w:rFonts w:ascii="仿宋_GB2312" w:hAnsi="仿宋_GB2312" w:cs="仿宋_GB2312"/>
                <w:sz w:val="15"/>
                <w:szCs w:val="15"/>
              </w:rPr>
            </w:pP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146E1C">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其它资金:</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41AD8D">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0</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99AA89">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其它资金:</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B5DEEC">
            <w:pPr>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0</w:t>
            </w:r>
          </w:p>
        </w:tc>
      </w:tr>
      <w:tr w14:paraId="5169BC3C">
        <w:tblPrEx>
          <w:tblCellMar>
            <w:top w:w="0" w:type="dxa"/>
            <w:left w:w="0" w:type="dxa"/>
            <w:bottom w:w="0" w:type="dxa"/>
            <w:right w:w="0" w:type="dxa"/>
          </w:tblCellMar>
        </w:tblPrEx>
        <w:trPr>
          <w:trHeight w:val="371" w:hRule="atLeast"/>
        </w:trPr>
        <w:tc>
          <w:tcPr>
            <w:tcW w:w="38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8C2C6C">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年度目标完成情况</w:t>
            </w:r>
          </w:p>
        </w:tc>
        <w:tc>
          <w:tcPr>
            <w:tcW w:w="472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33E10F">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预期目标</w:t>
            </w:r>
          </w:p>
        </w:tc>
        <w:tc>
          <w:tcPr>
            <w:tcW w:w="47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754DBF">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实际完成目标</w:t>
            </w:r>
          </w:p>
        </w:tc>
      </w:tr>
      <w:tr w14:paraId="4FA9CD0E">
        <w:tblPrEx>
          <w:tblCellMar>
            <w:top w:w="0" w:type="dxa"/>
            <w:left w:w="0" w:type="dxa"/>
            <w:bottom w:w="0" w:type="dxa"/>
            <w:right w:w="0" w:type="dxa"/>
          </w:tblCellMar>
        </w:tblPrEx>
        <w:trPr>
          <w:trHeight w:val="3216" w:hRule="atLeast"/>
        </w:trPr>
        <w:tc>
          <w:tcPr>
            <w:tcW w:w="385" w:type="dxa"/>
            <w:vMerge w:val="continue"/>
            <w:tcBorders>
              <w:top w:val="single" w:color="000000" w:sz="4" w:space="0"/>
              <w:left w:val="single" w:color="000000" w:sz="4" w:space="0"/>
              <w:bottom w:val="single" w:color="000000" w:sz="4" w:space="0"/>
              <w:right w:val="single" w:color="000000" w:sz="4" w:space="0"/>
            </w:tcBorders>
            <w:vAlign w:val="center"/>
          </w:tcPr>
          <w:p w14:paraId="1EC3A86D">
            <w:pPr>
              <w:widowControl/>
              <w:spacing w:line="560" w:lineRule="exact"/>
              <w:jc w:val="center"/>
              <w:rPr>
                <w:rFonts w:ascii="仿宋_GB2312" w:hAnsi="仿宋_GB2312" w:cs="仿宋_GB2312"/>
                <w:sz w:val="15"/>
                <w:szCs w:val="15"/>
              </w:rPr>
            </w:pPr>
          </w:p>
        </w:tc>
        <w:tc>
          <w:tcPr>
            <w:tcW w:w="472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CB226E">
            <w:pPr>
              <w:widowControl/>
              <w:spacing w:line="560" w:lineRule="exact"/>
              <w:jc w:val="left"/>
              <w:textAlignment w:val="center"/>
              <w:rPr>
                <w:rFonts w:ascii="仿宋_GB2312" w:hAnsi="仿宋_GB2312" w:cs="仿宋_GB2312"/>
                <w:sz w:val="15"/>
                <w:szCs w:val="15"/>
              </w:rPr>
            </w:pPr>
            <w:r>
              <w:rPr>
                <w:rFonts w:hint="eastAsia" w:ascii="仿宋_GB2312" w:hAnsi="仿宋_GB2312" w:cs="仿宋_GB2312"/>
                <w:sz w:val="15"/>
                <w:szCs w:val="15"/>
              </w:rPr>
              <w:t xml:space="preserve">     为我县户口满80至89岁老人按月标准80元/人发放高龄津贴、为90至99岁老人按月标准150元/人、100岁老人按月标准400元/人发放高龄补贴，为老人家庭提供更高标准的生活服务保障，极大提升他们的生活水平。</w:t>
            </w:r>
          </w:p>
        </w:tc>
        <w:tc>
          <w:tcPr>
            <w:tcW w:w="47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FC5668">
            <w:pPr>
              <w:widowControl/>
              <w:spacing w:line="560" w:lineRule="exact"/>
              <w:ind w:firstLine="375" w:firstLineChars="250"/>
              <w:jc w:val="left"/>
              <w:textAlignment w:val="center"/>
              <w:rPr>
                <w:rFonts w:ascii="仿宋_GB2312" w:hAnsi="仿宋_GB2312" w:cs="仿宋_GB2312"/>
                <w:sz w:val="15"/>
                <w:szCs w:val="15"/>
              </w:rPr>
            </w:pPr>
            <w:r>
              <w:rPr>
                <w:rFonts w:hint="eastAsia" w:ascii="仿宋_GB2312" w:hAnsi="仿宋_GB2312" w:cs="仿宋_GB2312"/>
                <w:sz w:val="15"/>
                <w:szCs w:val="15"/>
              </w:rPr>
              <w:t>2022年我局按季度为全县642名80至89岁按月标准80元/人发放高龄津贴、为81名90至99岁按月标准150元/人，为4名100岁老人按月标准400元/人发放高龄津贴，共计发放高龄津贴75.36万元，超预算发放，资金的发放不仅提高了他们的生活水平。</w:t>
            </w:r>
          </w:p>
        </w:tc>
      </w:tr>
      <w:tr w14:paraId="64E30AB8">
        <w:tblPrEx>
          <w:tblCellMar>
            <w:top w:w="0" w:type="dxa"/>
            <w:left w:w="0" w:type="dxa"/>
            <w:bottom w:w="0" w:type="dxa"/>
            <w:right w:w="0" w:type="dxa"/>
          </w:tblCellMar>
        </w:tblPrEx>
        <w:trPr>
          <w:trHeight w:val="1401" w:hRule="atLeast"/>
        </w:trPr>
        <w:tc>
          <w:tcPr>
            <w:tcW w:w="38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3BBD68BB">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绩效指标完成情况</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26F9B8">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kern w:val="0"/>
                <w:sz w:val="15"/>
                <w:szCs w:val="15"/>
              </w:rPr>
              <w:t>一级指标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C1223A">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kern w:val="0"/>
                <w:sz w:val="15"/>
                <w:szCs w:val="15"/>
              </w:rPr>
              <w:t>二级指标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31419F">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kern w:val="0"/>
                <w:sz w:val="15"/>
                <w:szCs w:val="15"/>
              </w:rPr>
              <w:t>三级指标</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B59EE3">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kern w:val="0"/>
                <w:sz w:val="15"/>
                <w:szCs w:val="15"/>
              </w:rPr>
              <w:t>预期指标值(包含数字及文字描述)</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F7EBFB">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kern w:val="0"/>
                <w:sz w:val="15"/>
                <w:szCs w:val="15"/>
              </w:rPr>
              <w:t>实际完成指标值(包含数字及文字描述)</w:t>
            </w:r>
          </w:p>
        </w:tc>
      </w:tr>
      <w:tr w14:paraId="5123CACB">
        <w:tblPrEx>
          <w:tblCellMar>
            <w:top w:w="0" w:type="dxa"/>
            <w:left w:w="0" w:type="dxa"/>
            <w:bottom w:w="0" w:type="dxa"/>
            <w:right w:w="0" w:type="dxa"/>
          </w:tblCellMar>
        </w:tblPrEx>
        <w:trPr>
          <w:trHeight w:val="1281" w:hRule="atLeast"/>
        </w:trPr>
        <w:tc>
          <w:tcPr>
            <w:tcW w:w="385" w:type="dxa"/>
            <w:vMerge w:val="continue"/>
            <w:tcBorders>
              <w:left w:val="single" w:color="000000" w:sz="4" w:space="0"/>
              <w:right w:val="single" w:color="000000" w:sz="4" w:space="0"/>
            </w:tcBorders>
            <w:vAlign w:val="center"/>
          </w:tcPr>
          <w:p w14:paraId="0B3AD59F">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6ED910">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项目完成指标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12AC2E">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质量指标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362E54">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对符合政策的高龄老人享受政府的覆盖率</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60375F">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100%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331E83">
            <w:pPr>
              <w:widowControl/>
              <w:spacing w:line="560" w:lineRule="exact"/>
              <w:ind w:firstLine="225" w:firstLineChars="150"/>
              <w:jc w:val="left"/>
              <w:textAlignment w:val="center"/>
              <w:rPr>
                <w:rFonts w:ascii="仿宋_GB2312" w:hAnsi="仿宋_GB2312" w:cs="仿宋_GB2312"/>
                <w:kern w:val="0"/>
                <w:sz w:val="15"/>
                <w:szCs w:val="15"/>
              </w:rPr>
            </w:pPr>
            <w:r>
              <w:rPr>
                <w:rFonts w:hint="eastAsia" w:ascii="仿宋_GB2312" w:hAnsi="仿宋_GB2312" w:cs="仿宋_GB2312"/>
                <w:kern w:val="0"/>
                <w:sz w:val="15"/>
                <w:szCs w:val="15"/>
              </w:rPr>
              <w:t>2022年对我县户口</w:t>
            </w:r>
            <w:r>
              <w:rPr>
                <w:rFonts w:hint="eastAsia" w:ascii="仿宋_GB2312" w:hAnsi="仿宋_GB2312" w:cs="仿宋_GB2312"/>
                <w:sz w:val="15"/>
                <w:szCs w:val="15"/>
              </w:rPr>
              <w:t>满80至89岁老人、为90至99岁老人、100岁老人按月标准发放高龄补贴，</w:t>
            </w:r>
            <w:r>
              <w:rPr>
                <w:rFonts w:hint="eastAsia" w:ascii="仿宋_GB2312" w:hAnsi="仿宋_GB2312" w:cs="仿宋_GB2312"/>
                <w:kern w:val="0"/>
                <w:sz w:val="15"/>
                <w:szCs w:val="15"/>
              </w:rPr>
              <w:t>政策覆盖率达95%以上。</w:t>
            </w:r>
          </w:p>
        </w:tc>
      </w:tr>
      <w:tr w14:paraId="351A20B8">
        <w:tblPrEx>
          <w:tblCellMar>
            <w:top w:w="0" w:type="dxa"/>
            <w:left w:w="0" w:type="dxa"/>
            <w:bottom w:w="0" w:type="dxa"/>
            <w:right w:w="0" w:type="dxa"/>
          </w:tblCellMar>
        </w:tblPrEx>
        <w:trPr>
          <w:trHeight w:val="1281" w:hRule="atLeast"/>
        </w:trPr>
        <w:tc>
          <w:tcPr>
            <w:tcW w:w="385" w:type="dxa"/>
            <w:vMerge w:val="continue"/>
            <w:tcBorders>
              <w:left w:val="single" w:color="000000" w:sz="4" w:space="0"/>
              <w:right w:val="single" w:color="000000" w:sz="4" w:space="0"/>
            </w:tcBorders>
            <w:vAlign w:val="center"/>
          </w:tcPr>
          <w:p w14:paraId="597D315D">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FBB5FF">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项目完成指标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C62592">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数量指标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8F169B">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高龄老人补贴保障人数达标率</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62B8AE">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100%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86533F">
            <w:pPr>
              <w:widowControl/>
              <w:spacing w:line="560" w:lineRule="exact"/>
              <w:ind w:firstLine="300" w:firstLineChars="200"/>
              <w:jc w:val="left"/>
              <w:textAlignment w:val="center"/>
              <w:rPr>
                <w:rFonts w:ascii="仿宋_GB2312" w:hAnsi="仿宋_GB2312" w:cs="仿宋_GB2312"/>
                <w:kern w:val="0"/>
                <w:sz w:val="15"/>
                <w:szCs w:val="15"/>
              </w:rPr>
            </w:pPr>
            <w:r>
              <w:rPr>
                <w:rFonts w:hint="eastAsia" w:ascii="仿宋_GB2312" w:hAnsi="仿宋_GB2312" w:cs="仿宋_GB2312"/>
                <w:kern w:val="0"/>
                <w:sz w:val="15"/>
                <w:szCs w:val="15"/>
              </w:rPr>
              <w:t>2022年我县为727名高龄老人人发放高龄津贴75.36万元，人数达标率95%以上。</w:t>
            </w:r>
          </w:p>
        </w:tc>
      </w:tr>
      <w:tr w14:paraId="0459ABAE">
        <w:tblPrEx>
          <w:tblCellMar>
            <w:top w:w="0" w:type="dxa"/>
            <w:left w:w="0" w:type="dxa"/>
            <w:bottom w:w="0" w:type="dxa"/>
            <w:right w:w="0" w:type="dxa"/>
          </w:tblCellMar>
        </w:tblPrEx>
        <w:trPr>
          <w:trHeight w:val="1281" w:hRule="atLeast"/>
        </w:trPr>
        <w:tc>
          <w:tcPr>
            <w:tcW w:w="385" w:type="dxa"/>
            <w:vMerge w:val="continue"/>
            <w:tcBorders>
              <w:left w:val="single" w:color="000000" w:sz="4" w:space="0"/>
              <w:right w:val="single" w:color="000000" w:sz="4" w:space="0"/>
            </w:tcBorders>
            <w:vAlign w:val="center"/>
          </w:tcPr>
          <w:p w14:paraId="57E5D286">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7599D1">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项目完成指标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97724D">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时效指标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FFE60D">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资金发放</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211D40">
            <w:pPr>
              <w:widowControl/>
              <w:spacing w:line="560" w:lineRule="exact"/>
              <w:ind w:firstLine="450" w:firstLineChars="300"/>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及时率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1351F0">
            <w:pPr>
              <w:widowControl/>
              <w:spacing w:line="560" w:lineRule="exact"/>
              <w:ind w:firstLine="225" w:firstLineChars="150"/>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2022年民政救助资金均按季度发放</w:t>
            </w:r>
          </w:p>
        </w:tc>
      </w:tr>
      <w:tr w14:paraId="507E5CD5">
        <w:tblPrEx>
          <w:tblCellMar>
            <w:top w:w="0" w:type="dxa"/>
            <w:left w:w="0" w:type="dxa"/>
            <w:bottom w:w="0" w:type="dxa"/>
            <w:right w:w="0" w:type="dxa"/>
          </w:tblCellMar>
        </w:tblPrEx>
        <w:trPr>
          <w:trHeight w:val="1281" w:hRule="atLeast"/>
        </w:trPr>
        <w:tc>
          <w:tcPr>
            <w:tcW w:w="385" w:type="dxa"/>
            <w:vMerge w:val="continue"/>
            <w:tcBorders>
              <w:left w:val="single" w:color="000000" w:sz="4" w:space="0"/>
              <w:right w:val="single" w:color="000000" w:sz="4" w:space="0"/>
            </w:tcBorders>
            <w:vAlign w:val="center"/>
          </w:tcPr>
          <w:p w14:paraId="60C5E748">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D88D5">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项目完成指标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577E45">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成本指标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0AE1E1">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补贴标准</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6AD344">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80-89岁：80元/人/月</w:t>
            </w:r>
          </w:p>
          <w:p w14:paraId="6F56B4C1">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 xml:space="preserve"> 90-99岁：150元/人/月</w:t>
            </w:r>
          </w:p>
          <w:p w14:paraId="19A202CE">
            <w:pPr>
              <w:widowControl/>
              <w:spacing w:line="560" w:lineRule="exact"/>
              <w:textAlignment w:val="center"/>
              <w:rPr>
                <w:rFonts w:ascii="仿宋_GB2312" w:hAnsi="仿宋_GB2312" w:cs="仿宋_GB2312"/>
                <w:kern w:val="0"/>
                <w:sz w:val="15"/>
                <w:szCs w:val="15"/>
              </w:rPr>
            </w:pPr>
            <w:r>
              <w:rPr>
                <w:rFonts w:hint="eastAsia" w:ascii="仿宋_GB2312" w:hAnsi="仿宋_GB2312" w:cs="仿宋_GB2312"/>
                <w:kern w:val="0"/>
                <w:sz w:val="15"/>
                <w:szCs w:val="15"/>
              </w:rPr>
              <w:t xml:space="preserve">      100岁：400元/人/月</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FAAE18">
            <w:pPr>
              <w:widowControl/>
              <w:spacing w:line="560" w:lineRule="exact"/>
              <w:jc w:val="left"/>
              <w:textAlignment w:val="center"/>
              <w:rPr>
                <w:rFonts w:ascii="仿宋_GB2312" w:hAnsi="仿宋_GB2312" w:cs="仿宋_GB2312"/>
                <w:kern w:val="0"/>
                <w:sz w:val="15"/>
                <w:szCs w:val="15"/>
              </w:rPr>
            </w:pPr>
            <w:r>
              <w:rPr>
                <w:rFonts w:hint="eastAsia" w:ascii="仿宋_GB2312" w:hAnsi="仿宋_GB2312" w:cs="仿宋_GB2312"/>
                <w:kern w:val="0"/>
                <w:sz w:val="15"/>
                <w:szCs w:val="15"/>
              </w:rPr>
              <w:t xml:space="preserve">   2022年我局均按政策、按标准为727名高龄老人发放生活补助，标准达标率100%。</w:t>
            </w:r>
          </w:p>
        </w:tc>
      </w:tr>
      <w:tr w14:paraId="3E35C9BE">
        <w:tblPrEx>
          <w:tblCellMar>
            <w:top w:w="0" w:type="dxa"/>
            <w:left w:w="0" w:type="dxa"/>
            <w:bottom w:w="0" w:type="dxa"/>
            <w:right w:w="0" w:type="dxa"/>
          </w:tblCellMar>
        </w:tblPrEx>
        <w:trPr>
          <w:trHeight w:val="1281" w:hRule="atLeast"/>
        </w:trPr>
        <w:tc>
          <w:tcPr>
            <w:tcW w:w="385" w:type="dxa"/>
            <w:tcBorders>
              <w:left w:val="single" w:color="000000" w:sz="4" w:space="0"/>
              <w:right w:val="single" w:color="000000" w:sz="4" w:space="0"/>
            </w:tcBorders>
            <w:vAlign w:val="center"/>
          </w:tcPr>
          <w:p w14:paraId="380B7F33">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90754E">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效益指标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4D56A0">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社会效益指标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2964A1">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政策知晓率</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587EDE">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≥85%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9C963B">
            <w:pPr>
              <w:widowControl/>
              <w:spacing w:line="560" w:lineRule="exact"/>
              <w:ind w:firstLine="300" w:firstLineChars="200"/>
              <w:jc w:val="left"/>
              <w:textAlignment w:val="center"/>
              <w:rPr>
                <w:rFonts w:ascii="仿宋_GB2312" w:hAnsi="仿宋_GB2312" w:cs="仿宋_GB2312"/>
                <w:kern w:val="0"/>
                <w:sz w:val="15"/>
                <w:szCs w:val="15"/>
              </w:rPr>
            </w:pPr>
            <w:r>
              <w:rPr>
                <w:rFonts w:hint="eastAsia" w:ascii="仿宋_GB2312" w:hAnsi="仿宋_GB2312" w:cs="仿宋_GB2312"/>
                <w:kern w:val="0"/>
                <w:sz w:val="15"/>
                <w:szCs w:val="15"/>
              </w:rPr>
              <w:t>各乡镇通过政策宣传和资金发放公示，群众政策知晓率达80%以上。也存在个别高龄老人因不清楚高龄老人补贴这一项政策而没有按期申报，故导致没有及时享受到高龄补贴现象。</w:t>
            </w:r>
          </w:p>
        </w:tc>
      </w:tr>
      <w:tr w14:paraId="1404E7C0">
        <w:tblPrEx>
          <w:tblCellMar>
            <w:top w:w="0" w:type="dxa"/>
            <w:left w:w="0" w:type="dxa"/>
            <w:bottom w:w="0" w:type="dxa"/>
            <w:right w:w="0" w:type="dxa"/>
          </w:tblCellMar>
        </w:tblPrEx>
        <w:trPr>
          <w:trHeight w:val="1281" w:hRule="atLeast"/>
        </w:trPr>
        <w:tc>
          <w:tcPr>
            <w:tcW w:w="385" w:type="dxa"/>
            <w:tcBorders>
              <w:left w:val="single" w:color="000000" w:sz="4" w:space="0"/>
              <w:right w:val="single" w:color="000000" w:sz="4" w:space="0"/>
            </w:tcBorders>
            <w:vAlign w:val="center"/>
          </w:tcPr>
          <w:p w14:paraId="2E75DBF3">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7C3233">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满意度指标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6BDFE5">
            <w:pPr>
              <w:spacing w:line="560" w:lineRule="exact"/>
              <w:jc w:val="center"/>
              <w:rPr>
                <w:rFonts w:ascii="仿宋_GB2312" w:hAnsi="仿宋_GB2312" w:cs="仿宋_GB2312"/>
                <w:kern w:val="0"/>
                <w:sz w:val="15"/>
                <w:szCs w:val="15"/>
              </w:rPr>
            </w:pPr>
            <w:r>
              <w:rPr>
                <w:rFonts w:hint="eastAsia" w:ascii="仿宋_GB2312" w:hAnsi="仿宋_GB2312" w:cs="仿宋_GB2312"/>
                <w:kern w:val="0"/>
                <w:sz w:val="15"/>
                <w:szCs w:val="15"/>
              </w:rPr>
              <w:t>服务对象满意度指标</w:t>
            </w:r>
          </w:p>
          <w:p w14:paraId="4B453D2A">
            <w:pPr>
              <w:widowControl/>
              <w:spacing w:line="560" w:lineRule="exact"/>
              <w:jc w:val="center"/>
              <w:textAlignment w:val="center"/>
              <w:rPr>
                <w:rFonts w:ascii="仿宋_GB2312" w:hAnsi="仿宋_GB2312" w:cs="仿宋_GB2312"/>
                <w:kern w:val="0"/>
                <w:sz w:val="15"/>
                <w:szCs w:val="15"/>
              </w:rPr>
            </w:pP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04142A">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受助对象满意度</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A7CD34">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≥95%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B48BB2">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通过政策宣传，资金发放，受助对象满意度达90%以上。</w:t>
            </w:r>
          </w:p>
        </w:tc>
      </w:tr>
    </w:tbl>
    <w:p w14:paraId="4FBE62C1">
      <w:pPr>
        <w:spacing w:line="560" w:lineRule="exact"/>
        <w:rPr>
          <w:rFonts w:ascii="仿宋_GB2312" w:hAnsi="仿宋_GB2312" w:cs="仿宋_GB2312"/>
          <w:kern w:val="0"/>
          <w:sz w:val="24"/>
        </w:rPr>
      </w:pPr>
    </w:p>
    <w:tbl>
      <w:tblPr>
        <w:tblStyle w:val="15"/>
        <w:tblpPr w:leftFromText="180" w:rightFromText="180" w:vertAnchor="text" w:horzAnchor="page" w:tblpXSpec="center" w:tblpY="423"/>
        <w:tblOverlap w:val="never"/>
        <w:tblW w:w="9831" w:type="dxa"/>
        <w:tblInd w:w="0" w:type="dxa"/>
        <w:tblLayout w:type="fixed"/>
        <w:tblCellMar>
          <w:top w:w="0" w:type="dxa"/>
          <w:left w:w="0" w:type="dxa"/>
          <w:bottom w:w="0" w:type="dxa"/>
          <w:right w:w="0" w:type="dxa"/>
        </w:tblCellMar>
      </w:tblPr>
      <w:tblGrid>
        <w:gridCol w:w="385"/>
        <w:gridCol w:w="1349"/>
        <w:gridCol w:w="1012"/>
        <w:gridCol w:w="2361"/>
        <w:gridCol w:w="2363"/>
        <w:gridCol w:w="2361"/>
      </w:tblGrid>
      <w:tr w14:paraId="39BD1326">
        <w:tblPrEx>
          <w:tblCellMar>
            <w:top w:w="0" w:type="dxa"/>
            <w:left w:w="0" w:type="dxa"/>
            <w:bottom w:w="0" w:type="dxa"/>
            <w:right w:w="0" w:type="dxa"/>
          </w:tblCellMar>
        </w:tblPrEx>
        <w:trPr>
          <w:trHeight w:val="1390" w:hRule="atLeast"/>
        </w:trPr>
        <w:tc>
          <w:tcPr>
            <w:tcW w:w="9831" w:type="dxa"/>
            <w:gridSpan w:val="6"/>
            <w:tcMar>
              <w:top w:w="15" w:type="dxa"/>
              <w:left w:w="15" w:type="dxa"/>
              <w:bottom w:w="0" w:type="dxa"/>
              <w:right w:w="15" w:type="dxa"/>
            </w:tcMar>
            <w:vAlign w:val="center"/>
          </w:tcPr>
          <w:p w14:paraId="1C83062F">
            <w:pPr>
              <w:pStyle w:val="27"/>
              <w:widowControl/>
              <w:spacing w:line="560" w:lineRule="exact"/>
              <w:ind w:left="3086" w:leftChars="784" w:hanging="1440" w:hangingChars="400"/>
              <w:textAlignment w:val="center"/>
              <w:rPr>
                <w:rFonts w:ascii="方正小标宋简体" w:hAnsi="宋体" w:eastAsia="方正小标宋简体" w:cs="宋体"/>
                <w:sz w:val="36"/>
                <w:szCs w:val="36"/>
              </w:rPr>
            </w:pPr>
            <w:r>
              <w:rPr>
                <w:rFonts w:hint="eastAsia" w:ascii="方正小标宋_GBK" w:hAnsi="方正小标宋_GBK" w:eastAsia="方正小标宋_GBK" w:cs="方正小标宋_GBK"/>
                <w:bCs/>
                <w:kern w:val="0"/>
                <w:sz w:val="36"/>
                <w:szCs w:val="36"/>
              </w:rPr>
              <w:t>项目支出绩效目标完成情况表</w:t>
            </w:r>
            <w:r>
              <w:rPr>
                <w:rFonts w:hint="eastAsia" w:ascii="方正小标宋_GBK" w:hAnsi="方正小标宋_GBK" w:eastAsia="方正小标宋_GBK" w:cs="方正小标宋_GBK"/>
                <w:b/>
                <w:bCs/>
                <w:kern w:val="0"/>
                <w:sz w:val="36"/>
                <w:szCs w:val="36"/>
              </w:rPr>
              <w:br w:type="textWrapping"/>
            </w:r>
            <w:r>
              <w:rPr>
                <w:rFonts w:hint="eastAsia" w:ascii="方正小标宋_GBK" w:hAnsi="方正小标宋_GBK" w:eastAsia="方正小标宋_GBK" w:cs="方正小标宋_GBK"/>
                <w:kern w:val="0"/>
                <w:sz w:val="30"/>
                <w:szCs w:val="30"/>
              </w:rPr>
              <w:t>(2022年度)</w:t>
            </w:r>
          </w:p>
        </w:tc>
      </w:tr>
      <w:tr w14:paraId="44E09A4B">
        <w:tblPrEx>
          <w:tblCellMar>
            <w:top w:w="0" w:type="dxa"/>
            <w:left w:w="0" w:type="dxa"/>
            <w:bottom w:w="0" w:type="dxa"/>
            <w:right w:w="0" w:type="dxa"/>
          </w:tblCellMar>
        </w:tblPrEx>
        <w:trPr>
          <w:trHeight w:val="371" w:hRule="atLeast"/>
        </w:trPr>
        <w:tc>
          <w:tcPr>
            <w:tcW w:w="274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874ACA">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项目名称</w:t>
            </w:r>
          </w:p>
        </w:tc>
        <w:tc>
          <w:tcPr>
            <w:tcW w:w="708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DEBB1F">
            <w:pPr>
              <w:widowControl/>
              <w:spacing w:line="560" w:lineRule="exact"/>
              <w:jc w:val="center"/>
              <w:textAlignment w:val="center"/>
              <w:rPr>
                <w:rFonts w:ascii="仿宋_GB2312" w:hAnsi="仿宋_GB2312" w:cs="仿宋_GB2312"/>
                <w:sz w:val="24"/>
              </w:rPr>
            </w:pPr>
            <w:r>
              <w:rPr>
                <w:rFonts w:hint="eastAsia" w:ascii="仿宋_GB2312" w:hAnsi="仿宋_GB2312" w:cs="仿宋_GB2312"/>
                <w:sz w:val="24"/>
              </w:rPr>
              <w:t>居家养老购买服务</w:t>
            </w:r>
          </w:p>
        </w:tc>
      </w:tr>
      <w:tr w14:paraId="316F99B4">
        <w:tblPrEx>
          <w:tblCellMar>
            <w:top w:w="0" w:type="dxa"/>
            <w:left w:w="0" w:type="dxa"/>
            <w:bottom w:w="0" w:type="dxa"/>
            <w:right w:w="0" w:type="dxa"/>
          </w:tblCellMar>
        </w:tblPrEx>
        <w:trPr>
          <w:trHeight w:val="371" w:hRule="atLeast"/>
        </w:trPr>
        <w:tc>
          <w:tcPr>
            <w:tcW w:w="274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1604CD">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预算单位</w:t>
            </w:r>
          </w:p>
        </w:tc>
        <w:tc>
          <w:tcPr>
            <w:tcW w:w="708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BF08AA">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壤塘县民政局</w:t>
            </w:r>
          </w:p>
        </w:tc>
      </w:tr>
      <w:tr w14:paraId="3975F1F2">
        <w:tblPrEx>
          <w:tblCellMar>
            <w:top w:w="0" w:type="dxa"/>
            <w:left w:w="0" w:type="dxa"/>
            <w:bottom w:w="0" w:type="dxa"/>
            <w:right w:w="0" w:type="dxa"/>
          </w:tblCellMar>
        </w:tblPrEx>
        <w:trPr>
          <w:trHeight w:val="371" w:hRule="atLeast"/>
        </w:trPr>
        <w:tc>
          <w:tcPr>
            <w:tcW w:w="38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063892">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预算执行情况(万元)</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4134CD">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预算数:</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E19C3F">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82.5万元</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9BC2FC">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执行数:</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9BDB8D">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19.94万元</w:t>
            </w:r>
          </w:p>
        </w:tc>
      </w:tr>
      <w:tr w14:paraId="0BE98307">
        <w:tblPrEx>
          <w:tblCellMar>
            <w:top w:w="0" w:type="dxa"/>
            <w:left w:w="0" w:type="dxa"/>
            <w:bottom w:w="0" w:type="dxa"/>
            <w:right w:w="0" w:type="dxa"/>
          </w:tblCellMar>
        </w:tblPrEx>
        <w:trPr>
          <w:trHeight w:val="371" w:hRule="atLeast"/>
        </w:trPr>
        <w:tc>
          <w:tcPr>
            <w:tcW w:w="385" w:type="dxa"/>
            <w:vMerge w:val="continue"/>
            <w:tcBorders>
              <w:top w:val="single" w:color="000000" w:sz="4" w:space="0"/>
              <w:left w:val="single" w:color="000000" w:sz="4" w:space="0"/>
              <w:bottom w:val="single" w:color="000000" w:sz="4" w:space="0"/>
              <w:right w:val="single" w:color="000000" w:sz="4" w:space="0"/>
            </w:tcBorders>
            <w:vAlign w:val="center"/>
          </w:tcPr>
          <w:p w14:paraId="03441870">
            <w:pPr>
              <w:widowControl/>
              <w:spacing w:line="560" w:lineRule="exact"/>
              <w:jc w:val="center"/>
              <w:textAlignment w:val="center"/>
              <w:rPr>
                <w:rFonts w:ascii="仿宋_GB2312" w:hAnsi="仿宋_GB2312" w:cs="仿宋_GB2312"/>
                <w:sz w:val="15"/>
                <w:szCs w:val="15"/>
              </w:rPr>
            </w:pP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6A6098">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其中-财政拨款:</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79453D">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82.5万元</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F75AA2">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其中-财政拨款:</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6B7EBC">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19.94万元</w:t>
            </w:r>
          </w:p>
        </w:tc>
      </w:tr>
      <w:tr w14:paraId="68B95BEE">
        <w:tblPrEx>
          <w:tblCellMar>
            <w:top w:w="0" w:type="dxa"/>
            <w:left w:w="0" w:type="dxa"/>
            <w:bottom w:w="0" w:type="dxa"/>
            <w:right w:w="0" w:type="dxa"/>
          </w:tblCellMar>
        </w:tblPrEx>
        <w:trPr>
          <w:trHeight w:val="1579" w:hRule="atLeast"/>
        </w:trPr>
        <w:tc>
          <w:tcPr>
            <w:tcW w:w="385" w:type="dxa"/>
            <w:vMerge w:val="continue"/>
            <w:tcBorders>
              <w:top w:val="single" w:color="000000" w:sz="4" w:space="0"/>
              <w:left w:val="single" w:color="000000" w:sz="4" w:space="0"/>
              <w:bottom w:val="single" w:color="000000" w:sz="4" w:space="0"/>
              <w:right w:val="single" w:color="000000" w:sz="4" w:space="0"/>
            </w:tcBorders>
            <w:vAlign w:val="center"/>
          </w:tcPr>
          <w:p w14:paraId="0B8DEC70">
            <w:pPr>
              <w:widowControl/>
              <w:spacing w:line="560" w:lineRule="exact"/>
              <w:jc w:val="center"/>
              <w:textAlignment w:val="center"/>
              <w:rPr>
                <w:rFonts w:ascii="仿宋_GB2312" w:hAnsi="仿宋_GB2312" w:cs="仿宋_GB2312"/>
                <w:sz w:val="15"/>
                <w:szCs w:val="15"/>
              </w:rPr>
            </w:pP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A118AB">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其它资金:</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EC1052">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0</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C8C1FF">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其它资金:</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85FE9C">
            <w:pPr>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0</w:t>
            </w:r>
          </w:p>
        </w:tc>
      </w:tr>
      <w:tr w14:paraId="55A4FD55">
        <w:tblPrEx>
          <w:tblCellMar>
            <w:top w:w="0" w:type="dxa"/>
            <w:left w:w="0" w:type="dxa"/>
            <w:bottom w:w="0" w:type="dxa"/>
            <w:right w:w="0" w:type="dxa"/>
          </w:tblCellMar>
        </w:tblPrEx>
        <w:trPr>
          <w:trHeight w:val="371" w:hRule="atLeast"/>
        </w:trPr>
        <w:tc>
          <w:tcPr>
            <w:tcW w:w="38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61950B">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年度目标完成情况</w:t>
            </w:r>
          </w:p>
        </w:tc>
        <w:tc>
          <w:tcPr>
            <w:tcW w:w="472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56DA7E">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预期目标</w:t>
            </w:r>
          </w:p>
        </w:tc>
        <w:tc>
          <w:tcPr>
            <w:tcW w:w="47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A141F3">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实际完成目标</w:t>
            </w:r>
          </w:p>
        </w:tc>
      </w:tr>
      <w:tr w14:paraId="3A776C6C">
        <w:tblPrEx>
          <w:tblCellMar>
            <w:top w:w="0" w:type="dxa"/>
            <w:left w:w="0" w:type="dxa"/>
            <w:bottom w:w="0" w:type="dxa"/>
            <w:right w:w="0" w:type="dxa"/>
          </w:tblCellMar>
        </w:tblPrEx>
        <w:trPr>
          <w:trHeight w:val="2738" w:hRule="atLeast"/>
        </w:trPr>
        <w:tc>
          <w:tcPr>
            <w:tcW w:w="385" w:type="dxa"/>
            <w:vMerge w:val="continue"/>
            <w:tcBorders>
              <w:top w:val="single" w:color="000000" w:sz="4" w:space="0"/>
              <w:left w:val="single" w:color="000000" w:sz="4" w:space="0"/>
              <w:bottom w:val="single" w:color="000000" w:sz="4" w:space="0"/>
              <w:right w:val="single" w:color="000000" w:sz="4" w:space="0"/>
            </w:tcBorders>
            <w:vAlign w:val="center"/>
          </w:tcPr>
          <w:p w14:paraId="6069D9A0">
            <w:pPr>
              <w:widowControl/>
              <w:spacing w:line="560" w:lineRule="exact"/>
              <w:jc w:val="center"/>
              <w:rPr>
                <w:rFonts w:ascii="仿宋_GB2312" w:hAnsi="仿宋_GB2312" w:cs="仿宋_GB2312"/>
                <w:sz w:val="15"/>
                <w:szCs w:val="15"/>
              </w:rPr>
            </w:pPr>
          </w:p>
        </w:tc>
        <w:tc>
          <w:tcPr>
            <w:tcW w:w="472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7B4479">
            <w:pPr>
              <w:widowControl/>
              <w:spacing w:line="560" w:lineRule="exact"/>
              <w:jc w:val="left"/>
              <w:textAlignment w:val="center"/>
              <w:rPr>
                <w:rFonts w:ascii="仿宋_GB2312" w:hAnsi="仿宋_GB2312" w:cs="仿宋_GB2312"/>
                <w:sz w:val="15"/>
                <w:szCs w:val="15"/>
              </w:rPr>
            </w:pPr>
            <w:r>
              <w:rPr>
                <w:rFonts w:hint="eastAsia" w:ascii="仿宋_GB2312" w:hAnsi="仿宋_GB2312" w:cs="仿宋_GB2312"/>
                <w:sz w:val="15"/>
                <w:szCs w:val="15"/>
              </w:rPr>
              <w:t xml:space="preserve">     对全县2750人进行服务，服务次数为4次服务内容包括洗脚、送餐、打扫房间、洗被褥等由服务对象选择内容，改善老人生活质量。</w:t>
            </w:r>
          </w:p>
        </w:tc>
        <w:tc>
          <w:tcPr>
            <w:tcW w:w="47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3061FE">
            <w:pPr>
              <w:widowControl/>
              <w:spacing w:line="560" w:lineRule="exact"/>
              <w:ind w:firstLine="375" w:firstLineChars="250"/>
              <w:jc w:val="left"/>
              <w:textAlignment w:val="center"/>
              <w:rPr>
                <w:rFonts w:ascii="仿宋_GB2312" w:hAnsi="仿宋_GB2312" w:cs="仿宋_GB2312"/>
                <w:sz w:val="15"/>
                <w:szCs w:val="15"/>
              </w:rPr>
            </w:pPr>
            <w:r>
              <w:rPr>
                <w:rFonts w:hint="eastAsia" w:ascii="仿宋_GB2312" w:hAnsi="仿宋_GB2312" w:cs="仿宋_GB2312"/>
                <w:sz w:val="15"/>
                <w:szCs w:val="15"/>
              </w:rPr>
              <w:t>对照预定进度计划，说明项目实际完成进度。如未按期完成，应说明原因。（该项目严格按照工期要求在2022年7月开工，在2023年7月完工，总工期在1年之内（服务次数为4次），目前还在服务期中。</w:t>
            </w:r>
          </w:p>
        </w:tc>
      </w:tr>
      <w:tr w14:paraId="6C0F6EDE">
        <w:tblPrEx>
          <w:tblCellMar>
            <w:top w:w="0" w:type="dxa"/>
            <w:left w:w="0" w:type="dxa"/>
            <w:bottom w:w="0" w:type="dxa"/>
            <w:right w:w="0" w:type="dxa"/>
          </w:tblCellMar>
        </w:tblPrEx>
        <w:trPr>
          <w:trHeight w:val="1401" w:hRule="atLeast"/>
        </w:trPr>
        <w:tc>
          <w:tcPr>
            <w:tcW w:w="38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2778E857">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sz w:val="15"/>
                <w:szCs w:val="15"/>
              </w:rPr>
              <w:t>绩效指标完成情况</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0765F2">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kern w:val="0"/>
                <w:sz w:val="15"/>
                <w:szCs w:val="15"/>
              </w:rPr>
              <w:t>一级指标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9680FA">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kern w:val="0"/>
                <w:sz w:val="15"/>
                <w:szCs w:val="15"/>
              </w:rPr>
              <w:t>二级指标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A0CADF">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kern w:val="0"/>
                <w:sz w:val="15"/>
                <w:szCs w:val="15"/>
              </w:rPr>
              <w:t>三级指标</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3C4FFF">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kern w:val="0"/>
                <w:sz w:val="15"/>
                <w:szCs w:val="15"/>
              </w:rPr>
              <w:t>预期指标值(包含数字及文字描述)</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E82971">
            <w:pPr>
              <w:widowControl/>
              <w:spacing w:line="560" w:lineRule="exact"/>
              <w:jc w:val="center"/>
              <w:textAlignment w:val="center"/>
              <w:rPr>
                <w:rFonts w:ascii="仿宋_GB2312" w:hAnsi="仿宋_GB2312" w:cs="仿宋_GB2312"/>
                <w:sz w:val="15"/>
                <w:szCs w:val="15"/>
              </w:rPr>
            </w:pPr>
            <w:r>
              <w:rPr>
                <w:rFonts w:hint="eastAsia" w:ascii="仿宋_GB2312" w:hAnsi="仿宋_GB2312" w:cs="仿宋_GB2312"/>
                <w:kern w:val="0"/>
                <w:sz w:val="15"/>
                <w:szCs w:val="15"/>
              </w:rPr>
              <w:t>实际完成指标值(包含数字及文字描述)</w:t>
            </w:r>
          </w:p>
        </w:tc>
      </w:tr>
      <w:tr w14:paraId="4D65E2DC">
        <w:tblPrEx>
          <w:tblCellMar>
            <w:top w:w="0" w:type="dxa"/>
            <w:left w:w="0" w:type="dxa"/>
            <w:bottom w:w="0" w:type="dxa"/>
            <w:right w:w="0" w:type="dxa"/>
          </w:tblCellMar>
        </w:tblPrEx>
        <w:trPr>
          <w:trHeight w:val="1281" w:hRule="atLeast"/>
        </w:trPr>
        <w:tc>
          <w:tcPr>
            <w:tcW w:w="385" w:type="dxa"/>
            <w:vMerge w:val="continue"/>
            <w:tcBorders>
              <w:left w:val="single" w:color="000000" w:sz="4" w:space="0"/>
              <w:right w:val="single" w:color="000000" w:sz="4" w:space="0"/>
            </w:tcBorders>
            <w:vAlign w:val="center"/>
          </w:tcPr>
          <w:p w14:paraId="4270E7C3">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9AF807">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项目完成指标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3F4C22">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质量指标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D1E8D8">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对符合政策的特困老人享受政策的覆盖率</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DF771F">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100%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8DE0D6">
            <w:pPr>
              <w:widowControl/>
              <w:spacing w:line="560" w:lineRule="exact"/>
              <w:ind w:firstLine="225" w:firstLineChars="150"/>
              <w:jc w:val="left"/>
              <w:textAlignment w:val="center"/>
              <w:rPr>
                <w:rFonts w:ascii="仿宋_GB2312" w:hAnsi="仿宋_GB2312" w:cs="仿宋_GB2312"/>
                <w:kern w:val="0"/>
                <w:sz w:val="15"/>
                <w:szCs w:val="15"/>
              </w:rPr>
            </w:pPr>
            <w:r>
              <w:rPr>
                <w:rFonts w:hint="eastAsia" w:ascii="仿宋_GB2312" w:hAnsi="仿宋_GB2312" w:cs="仿宋_GB2312"/>
                <w:kern w:val="0"/>
                <w:sz w:val="15"/>
                <w:szCs w:val="15"/>
              </w:rPr>
              <w:t>2022年对我县特困</w:t>
            </w:r>
            <w:r>
              <w:rPr>
                <w:rFonts w:hint="eastAsia" w:ascii="仿宋_GB2312" w:hAnsi="仿宋_GB2312" w:cs="仿宋_GB2312"/>
                <w:sz w:val="15"/>
                <w:szCs w:val="15"/>
              </w:rPr>
              <w:t>老人根据2750人进行服务，政策覆盖率达98</w:t>
            </w:r>
            <w:r>
              <w:rPr>
                <w:rFonts w:hint="eastAsia" w:ascii="仿宋_GB2312" w:hAnsi="仿宋_GB2312" w:cs="仿宋_GB2312"/>
                <w:sz w:val="15"/>
                <w:szCs w:val="15"/>
              </w:rPr>
              <w:br w:type="textWrapping"/>
            </w:r>
            <w:r>
              <w:rPr>
                <w:rFonts w:hint="eastAsia" w:ascii="仿宋_GB2312" w:hAnsi="仿宋_GB2312" w:cs="仿宋_GB2312"/>
                <w:sz w:val="15"/>
                <w:szCs w:val="15"/>
              </w:rPr>
              <w:t>%以上。</w:t>
            </w:r>
          </w:p>
        </w:tc>
      </w:tr>
      <w:tr w14:paraId="26845DBE">
        <w:tblPrEx>
          <w:tblCellMar>
            <w:top w:w="0" w:type="dxa"/>
            <w:left w:w="0" w:type="dxa"/>
            <w:bottom w:w="0" w:type="dxa"/>
            <w:right w:w="0" w:type="dxa"/>
          </w:tblCellMar>
        </w:tblPrEx>
        <w:trPr>
          <w:trHeight w:val="1281" w:hRule="atLeast"/>
        </w:trPr>
        <w:tc>
          <w:tcPr>
            <w:tcW w:w="385" w:type="dxa"/>
            <w:vMerge w:val="continue"/>
            <w:tcBorders>
              <w:left w:val="single" w:color="000000" w:sz="4" w:space="0"/>
              <w:right w:val="single" w:color="000000" w:sz="4" w:space="0"/>
            </w:tcBorders>
            <w:vAlign w:val="center"/>
          </w:tcPr>
          <w:p w14:paraId="72847D58">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64CCE4">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项目完成指标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A567BB">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数量指标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BB15F1">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特困老人补贴保障人数达标率</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FB57FA">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100%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BBB156">
            <w:pPr>
              <w:widowControl/>
              <w:spacing w:line="560" w:lineRule="exact"/>
              <w:ind w:firstLine="300" w:firstLineChars="200"/>
              <w:jc w:val="left"/>
              <w:textAlignment w:val="center"/>
              <w:rPr>
                <w:rFonts w:ascii="仿宋_GB2312" w:hAnsi="仿宋_GB2312" w:cs="仿宋_GB2312"/>
                <w:kern w:val="0"/>
                <w:sz w:val="15"/>
                <w:szCs w:val="15"/>
              </w:rPr>
            </w:pPr>
            <w:r>
              <w:rPr>
                <w:rFonts w:hint="eastAsia" w:ascii="仿宋_GB2312" w:hAnsi="仿宋_GB2312" w:cs="仿宋_GB2312"/>
                <w:kern w:val="0"/>
                <w:sz w:val="15"/>
                <w:szCs w:val="15"/>
              </w:rPr>
              <w:t>我县特困老人共计2750人，按300/人标准进行服务</w:t>
            </w:r>
          </w:p>
        </w:tc>
      </w:tr>
      <w:tr w14:paraId="402FEBEF">
        <w:tblPrEx>
          <w:tblCellMar>
            <w:top w:w="0" w:type="dxa"/>
            <w:left w:w="0" w:type="dxa"/>
            <w:bottom w:w="0" w:type="dxa"/>
            <w:right w:w="0" w:type="dxa"/>
          </w:tblCellMar>
        </w:tblPrEx>
        <w:trPr>
          <w:trHeight w:val="1281" w:hRule="atLeast"/>
        </w:trPr>
        <w:tc>
          <w:tcPr>
            <w:tcW w:w="385" w:type="dxa"/>
            <w:vMerge w:val="continue"/>
            <w:tcBorders>
              <w:left w:val="single" w:color="000000" w:sz="4" w:space="0"/>
              <w:right w:val="single" w:color="000000" w:sz="4" w:space="0"/>
            </w:tcBorders>
            <w:vAlign w:val="center"/>
          </w:tcPr>
          <w:p w14:paraId="666280E1">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45A2DC">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项目完成指标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4E4BA6">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时效指标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2CFB22">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资金发放</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1893CE">
            <w:pPr>
              <w:widowControl/>
              <w:spacing w:line="560" w:lineRule="exact"/>
              <w:ind w:firstLine="450" w:firstLineChars="300"/>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及时率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69A701">
            <w:pPr>
              <w:widowControl/>
              <w:spacing w:line="560" w:lineRule="exact"/>
              <w:ind w:firstLine="225" w:firstLineChars="150"/>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2022年居家养老购买服务次数为4次。一季度一次，服务年限为一年。</w:t>
            </w:r>
          </w:p>
        </w:tc>
      </w:tr>
      <w:tr w14:paraId="495A284B">
        <w:tblPrEx>
          <w:tblCellMar>
            <w:top w:w="0" w:type="dxa"/>
            <w:left w:w="0" w:type="dxa"/>
            <w:bottom w:w="0" w:type="dxa"/>
            <w:right w:w="0" w:type="dxa"/>
          </w:tblCellMar>
        </w:tblPrEx>
        <w:trPr>
          <w:trHeight w:val="1281" w:hRule="atLeast"/>
        </w:trPr>
        <w:tc>
          <w:tcPr>
            <w:tcW w:w="385" w:type="dxa"/>
            <w:vMerge w:val="continue"/>
            <w:tcBorders>
              <w:left w:val="single" w:color="000000" w:sz="4" w:space="0"/>
              <w:right w:val="single" w:color="000000" w:sz="4" w:space="0"/>
            </w:tcBorders>
            <w:vAlign w:val="center"/>
          </w:tcPr>
          <w:p w14:paraId="3CB0FF9B">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A2850F">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项目完成指标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868792">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成本指标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B519E7">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补贴标准</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4EED96">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300元/人</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6E3E41">
            <w:pPr>
              <w:widowControl/>
              <w:spacing w:line="560" w:lineRule="exact"/>
              <w:jc w:val="left"/>
              <w:textAlignment w:val="center"/>
              <w:rPr>
                <w:rFonts w:ascii="仿宋_GB2312" w:hAnsi="仿宋_GB2312" w:cs="仿宋_GB2312"/>
                <w:kern w:val="0"/>
                <w:sz w:val="15"/>
                <w:szCs w:val="15"/>
              </w:rPr>
            </w:pPr>
            <w:r>
              <w:rPr>
                <w:rFonts w:hint="eastAsia" w:ascii="仿宋_GB2312" w:hAnsi="仿宋_GB2312" w:cs="仿宋_GB2312"/>
                <w:kern w:val="0"/>
                <w:sz w:val="15"/>
                <w:szCs w:val="15"/>
              </w:rPr>
              <w:t xml:space="preserve"> 我县特困老人共计2750人，按300/人标准进行服务</w:t>
            </w:r>
          </w:p>
        </w:tc>
      </w:tr>
      <w:tr w14:paraId="397C355F">
        <w:tblPrEx>
          <w:tblCellMar>
            <w:top w:w="0" w:type="dxa"/>
            <w:left w:w="0" w:type="dxa"/>
            <w:bottom w:w="0" w:type="dxa"/>
            <w:right w:w="0" w:type="dxa"/>
          </w:tblCellMar>
        </w:tblPrEx>
        <w:trPr>
          <w:trHeight w:val="1281" w:hRule="atLeast"/>
        </w:trPr>
        <w:tc>
          <w:tcPr>
            <w:tcW w:w="385" w:type="dxa"/>
            <w:tcBorders>
              <w:left w:val="single" w:color="000000" w:sz="4" w:space="0"/>
              <w:right w:val="single" w:color="000000" w:sz="4" w:space="0"/>
            </w:tcBorders>
            <w:vAlign w:val="center"/>
          </w:tcPr>
          <w:p w14:paraId="71DA7577">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F0F72F">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效益指标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EAF461">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社会效益指标</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F7F9DD">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政策知晓率</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2C0CB1">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≥85%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54E0F7">
            <w:pPr>
              <w:widowControl/>
              <w:spacing w:line="560" w:lineRule="exact"/>
              <w:ind w:firstLine="300" w:firstLineChars="200"/>
              <w:jc w:val="left"/>
              <w:textAlignment w:val="center"/>
              <w:rPr>
                <w:rFonts w:ascii="仿宋_GB2312" w:hAnsi="仿宋_GB2312" w:cs="仿宋_GB2312"/>
                <w:kern w:val="0"/>
                <w:sz w:val="15"/>
                <w:szCs w:val="15"/>
              </w:rPr>
            </w:pPr>
            <w:r>
              <w:rPr>
                <w:rFonts w:hint="eastAsia" w:ascii="仿宋_GB2312" w:hAnsi="仿宋_GB2312" w:cs="仿宋_GB2312"/>
                <w:kern w:val="0"/>
                <w:sz w:val="15"/>
                <w:szCs w:val="15"/>
              </w:rPr>
              <w:t>各乡镇通过政策宣传和资金发放公示，群众政策知晓率达80%以上。也存在个别高龄老人因不清楚高龄老人补贴这一项政策而没有按期申报，故导致没有及时享受到高龄补贴现象。</w:t>
            </w:r>
          </w:p>
        </w:tc>
      </w:tr>
      <w:tr w14:paraId="6F556676">
        <w:tblPrEx>
          <w:tblCellMar>
            <w:top w:w="0" w:type="dxa"/>
            <w:left w:w="0" w:type="dxa"/>
            <w:bottom w:w="0" w:type="dxa"/>
            <w:right w:w="0" w:type="dxa"/>
          </w:tblCellMar>
        </w:tblPrEx>
        <w:trPr>
          <w:trHeight w:val="1281" w:hRule="atLeast"/>
        </w:trPr>
        <w:tc>
          <w:tcPr>
            <w:tcW w:w="385" w:type="dxa"/>
            <w:tcBorders>
              <w:left w:val="single" w:color="000000" w:sz="4" w:space="0"/>
              <w:right w:val="single" w:color="000000" w:sz="4" w:space="0"/>
            </w:tcBorders>
            <w:vAlign w:val="center"/>
          </w:tcPr>
          <w:p w14:paraId="2830AD7F">
            <w:pPr>
              <w:widowControl/>
              <w:spacing w:line="560" w:lineRule="exact"/>
              <w:jc w:val="center"/>
              <w:rPr>
                <w:rFonts w:ascii="仿宋_GB2312" w:hAnsi="仿宋_GB2312" w:cs="仿宋_GB2312"/>
                <w:kern w:val="0"/>
                <w:sz w:val="15"/>
                <w:szCs w:val="15"/>
              </w:rPr>
            </w:pP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055E66">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满意度指标</w:t>
            </w:r>
          </w:p>
        </w:tc>
        <w:tc>
          <w:tcPr>
            <w:tcW w:w="10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080011">
            <w:pPr>
              <w:spacing w:line="560" w:lineRule="exact"/>
              <w:jc w:val="center"/>
              <w:rPr>
                <w:rFonts w:ascii="仿宋_GB2312" w:hAnsi="仿宋_GB2312" w:cs="仿宋_GB2312"/>
                <w:kern w:val="0"/>
                <w:sz w:val="15"/>
                <w:szCs w:val="15"/>
              </w:rPr>
            </w:pPr>
            <w:r>
              <w:rPr>
                <w:rFonts w:hint="eastAsia" w:ascii="仿宋_GB2312" w:hAnsi="仿宋_GB2312" w:cs="仿宋_GB2312"/>
                <w:kern w:val="0"/>
                <w:sz w:val="15"/>
                <w:szCs w:val="15"/>
              </w:rPr>
              <w:t>服务对象满意度指标</w:t>
            </w:r>
          </w:p>
          <w:p w14:paraId="3BE5298E">
            <w:pPr>
              <w:widowControl/>
              <w:spacing w:line="560" w:lineRule="exact"/>
              <w:jc w:val="center"/>
              <w:textAlignment w:val="center"/>
              <w:rPr>
                <w:rFonts w:ascii="仿宋_GB2312" w:hAnsi="仿宋_GB2312" w:cs="仿宋_GB2312"/>
                <w:kern w:val="0"/>
                <w:sz w:val="15"/>
                <w:szCs w:val="15"/>
              </w:rPr>
            </w:pP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1F868F">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受助对象满意度</w:t>
            </w:r>
          </w:p>
        </w:tc>
        <w:tc>
          <w:tcPr>
            <w:tcW w:w="23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5D50B6">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≥95%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70AA96">
            <w:pPr>
              <w:widowControl/>
              <w:spacing w:line="560" w:lineRule="exact"/>
              <w:jc w:val="center"/>
              <w:textAlignment w:val="center"/>
              <w:rPr>
                <w:rFonts w:ascii="仿宋_GB2312" w:hAnsi="仿宋_GB2312" w:cs="仿宋_GB2312"/>
                <w:kern w:val="0"/>
                <w:sz w:val="15"/>
                <w:szCs w:val="15"/>
              </w:rPr>
            </w:pPr>
            <w:r>
              <w:rPr>
                <w:rFonts w:hint="eastAsia" w:ascii="仿宋_GB2312" w:hAnsi="仿宋_GB2312" w:cs="仿宋_GB2312"/>
                <w:kern w:val="0"/>
                <w:sz w:val="15"/>
                <w:szCs w:val="15"/>
              </w:rPr>
              <w:t>通过政策宣传，资金发放，受助对象满意度达95%以上。</w:t>
            </w:r>
          </w:p>
        </w:tc>
      </w:tr>
    </w:tbl>
    <w:p w14:paraId="3CB35264">
      <w:pPr>
        <w:widowControl/>
        <w:ind w:firstLine="643" w:firstLineChars="200"/>
        <w:jc w:val="left"/>
        <w:rPr>
          <w:rFonts w:ascii="仿宋_GB2312" w:eastAsia="仿宋_GB2312"/>
          <w:b/>
          <w:sz w:val="32"/>
          <w:szCs w:val="32"/>
        </w:rPr>
      </w:pPr>
    </w:p>
    <w:p w14:paraId="4F595F57">
      <w:pPr>
        <w:numPr>
          <w:ilvl w:val="0"/>
          <w:numId w:val="4"/>
        </w:numPr>
        <w:spacing w:line="600" w:lineRule="exact"/>
        <w:ind w:firstLine="660" w:firstLineChars="150"/>
        <w:jc w:val="center"/>
        <w:outlineLvl w:val="0"/>
        <w:rPr>
          <w:rStyle w:val="28"/>
          <w:rFonts w:ascii="黑体" w:hAnsi="黑体" w:eastAsia="黑体"/>
          <w:b w:val="0"/>
        </w:rPr>
      </w:pPr>
      <w:bookmarkStart w:id="49" w:name="_Toc15377225"/>
      <w:bookmarkStart w:id="50" w:name="_Toc15396613"/>
      <w:r>
        <w:rPr>
          <w:rFonts w:hint="eastAsia" w:ascii="黑体" w:hAnsi="黑体" w:eastAsia="黑体"/>
          <w:sz w:val="44"/>
          <w:szCs w:val="44"/>
        </w:rPr>
        <w:t>名</w:t>
      </w:r>
      <w:r>
        <w:rPr>
          <w:rStyle w:val="28"/>
          <w:rFonts w:hint="eastAsia" w:ascii="黑体" w:hAnsi="黑体" w:eastAsia="黑体"/>
          <w:b w:val="0"/>
        </w:rPr>
        <w:t>词解释</w:t>
      </w:r>
      <w:bookmarkEnd w:id="49"/>
      <w:bookmarkEnd w:id="50"/>
    </w:p>
    <w:p w14:paraId="1622FC82">
      <w:pPr>
        <w:spacing w:line="600" w:lineRule="exact"/>
        <w:jc w:val="left"/>
        <w:rPr>
          <w:rFonts w:ascii="宋体"/>
          <w:b/>
          <w:sz w:val="44"/>
          <w:szCs w:val="44"/>
        </w:rPr>
      </w:pPr>
    </w:p>
    <w:p w14:paraId="4B1FBECA">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1.财政拨款收入：指单位从同级财政部门取得的财政预算资金。</w:t>
      </w:r>
    </w:p>
    <w:p w14:paraId="73F29FBC">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2.事业收入：指事业单位开展专业业务活动及辅助活动取得的收入。</w:t>
      </w:r>
    </w:p>
    <w:p w14:paraId="0DB35D4C">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3.经营收入：指事业单位在专业业务活动及其辅助活动之外开展非独立核算经营活动取得的收入。</w:t>
      </w:r>
    </w:p>
    <w:p w14:paraId="18D7B104">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4.其他收入：指单位取得的除上述收入以外的各项收入。主要</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 xml:space="preserve">利息收入等。 </w:t>
      </w:r>
    </w:p>
    <w:p w14:paraId="0BCCE692">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7B92A0A7">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6.年初结转和结余：指以前年度尚未完成、结转到本年按有关规定继续使用的资金。 </w:t>
      </w:r>
    </w:p>
    <w:p w14:paraId="053B331E">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7.结余分配：指事业单位按照事业单位会计制度的规定从非财政补助结余中分配的事业基金和职工福利基金等。</w:t>
      </w:r>
    </w:p>
    <w:p w14:paraId="05984C8E">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8.年末结转和结余：指单位按有关规定结转到下年或以后年度继续使用的资金。</w:t>
      </w:r>
    </w:p>
    <w:p w14:paraId="21FB36B0">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9.一般公共服务（类）其他一般公共服务支出（款）其他一般公共服务支出（项）：指基层社区服务站及乡镇综合服务设施建设项目支出。</w:t>
      </w:r>
    </w:p>
    <w:p w14:paraId="0498102D">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10.社会保障和就业（类）民政管理事务（款）行政运行（项）：指反映单位的基本支出，如工资、机关运行工作经费等支出；社会保障和就业（类）民政管理事务（款）行政区划和地名管理（项）指反映行政区划界线勘定、维护、以及行政区划和地名管理方面支出；社会保障和就业（类）民政管理事务（款）基层政权和社区管理（项）指反映开展村民自治、村务公开等基层政权和社区建议设工作的支出；                        （1）社会保障和就业（类）民政管理事务（款）其他民政管理事务支出（项）指反映民政部门接待来访、法制建设、政策宣传方面的支出，以及开展优抚安置、救灾减灾、社会救助、社会福利、婚姻登记、社会事务、信息化建设等专项业务的支出。</w:t>
      </w:r>
    </w:p>
    <w:p w14:paraId="0A4FB4E5">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（2）社会保障和就业（类）抚恤（款）</w:t>
      </w:r>
      <w:r>
        <w:rPr>
          <w:rFonts w:hint="eastAsia" w:ascii="Times New Roman" w:hAnsi="Times New Roman" w:eastAsia="仿宋_GB2312" w:cs="Times New Roman"/>
          <w:kern w:val="2"/>
          <w:sz w:val="32"/>
          <w:szCs w:val="32"/>
          <w:lang w:val="en-US" w:eastAsia="zh-CN" w:bidi="ar-SA"/>
        </w:rPr>
        <w:tab/>
      </w:r>
      <w:r>
        <w:rPr>
          <w:rFonts w:hint="eastAsia" w:ascii="Times New Roman" w:hAnsi="Times New Roman" w:eastAsia="仿宋_GB2312" w:cs="Times New Roman"/>
          <w:kern w:val="2"/>
          <w:sz w:val="32"/>
          <w:szCs w:val="32"/>
          <w:lang w:val="en-US" w:eastAsia="zh-CN" w:bidi="ar-SA"/>
        </w:rPr>
        <w:t>死亡抚恤（项）指单位职工死亡发放一次性抚恤金方面的支出。</w:t>
      </w:r>
    </w:p>
    <w:p w14:paraId="6467CCB9">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社会保障和就业（类）社会福利(款)儿童福利（项）指用于反映对儿童提供福利方面支出；社会保障和就业（类）社会福利(款)老年福利（项）指反映对老年人提供福利方面支出；社会保障和就业（类）社会福利(款)社会福利事业单位（项）指反映民政部门举办的社会福利事业单位的支出，以及对集体社会福利事业单位的补助；社会保障和就业（类）社会福利(款)养服务支出（项）指用于在养老服务方面补助支出；社会福利(款)其他社会福利支出（项）指用于的居家养老支出和敬老院维修改造支出等。</w:t>
      </w:r>
    </w:p>
    <w:p w14:paraId="34630908">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（5）社会保障和就业（类）残疾人事业（款）残疾人就业和扶贫（项）残疾人生活和护理补贴（项）指用于残疾人两项补贴支出 ，即困难残疾生活补助和重度残疾人护理补贴。</w:t>
      </w:r>
    </w:p>
    <w:p w14:paraId="74475825">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社会保障和就业（类）临时救助（款）：临时救助支出（项）指用于生活困难居民的临时救助等支出；社会保障和就业（类）临时救助（款）：流浪乞讨人员救助支出(项)指：用于生活无着落的流浪乞讨人员的救助支出和救助管理机构的运转支出。</w:t>
      </w:r>
    </w:p>
    <w:p w14:paraId="307124AD">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7）社会保障和就业（类）特困人员供养（款）城市特困人员供养支出（项）指反映城市特困人员救助供养支出；社会保障和就业（类）特困人员供养（款）农村特困人员供养支出（项）指反映农村特困人员救助供养支出。</w:t>
      </w:r>
    </w:p>
    <w:p w14:paraId="7F8B8461">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11.卫生健康支出（类）行政事业单位医疗（款）行政单位医疗（项）：指反映财政部门安排的行政单位（包括实行公务员事业单位,下同）。基本医疗保险缴费经费，未参加医疗保险的行政单位的公费医疗经费，按国家规定享受离休人员、红军老战士待遇人员的医疗经费。卫生健康支出（类）行政事业单位医疗（款）事业单位医疗（项）：指反映财政部门安排的事业基本医疗保险缴费经费，未参加医疗保险的事业单位的公费医疗经费，按国家规定享受离休人员待遇的医疗经费。</w:t>
      </w:r>
    </w:p>
    <w:p w14:paraId="218D4138">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12.农林水支出（类）扶贫（款）农村基础设施建设（项）和农林水支出（类）扶贫（款）农村基础设施建设（项）和农林水支出（类）扶贫（款）农村基础设施建设（项）和农林水支出（类）扶贫（款）其他扶贫扶贫支出（项）均指用于村办公场所和村活动阵地建设方面支出。</w:t>
      </w:r>
    </w:p>
    <w:p w14:paraId="58CCA8CE">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13.农林水支出（类）农村综合改革（款）对村民委员会和村党支部的补助（项）指用于离任村干部生活补助支出。</w:t>
      </w:r>
    </w:p>
    <w:p w14:paraId="3CCCE79F">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14.其他支出（类）彩票公益金安排的支出（款）用于社会福利的彩票公益金支出（项）：指反映用于社会福利和社会救助的彩票公益金支出。</w:t>
      </w:r>
    </w:p>
    <w:p w14:paraId="7C519C5F">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15.基本支出：指为保障机构正常运转、完成日常工作任务而发生的人员支出和公用支出。</w:t>
      </w:r>
    </w:p>
    <w:p w14:paraId="1CC81013">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16.项目支出：指在基本支出之外为完成特定行政任务和事业发展目标所发生的支出。 </w:t>
      </w:r>
    </w:p>
    <w:p w14:paraId="5453AC03">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CF130CD">
      <w:pPr>
        <w:keepNext w:val="0"/>
        <w:keepLines w:val="0"/>
        <w:pageBreakBefore w:val="0"/>
        <w:kinsoku/>
        <w:wordWrap/>
        <w:overflowPunct/>
        <w:topLinePunct w:val="0"/>
        <w:bidi w:val="0"/>
        <w:snapToGrid/>
        <w:spacing w:afterAutospacing="0"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4D1996A">
      <w:pPr>
        <w:pStyle w:val="26"/>
        <w:spacing w:line="560" w:lineRule="exact"/>
        <w:ind w:firstLine="640" w:firstLineChars="200"/>
        <w:rPr>
          <w:rFonts w:ascii="仿宋_GB2312" w:eastAsia="仿宋_GB2312" w:cs="黑体"/>
          <w:color w:val="auto"/>
          <w:sz w:val="32"/>
          <w:szCs w:val="32"/>
        </w:rPr>
      </w:pPr>
    </w:p>
    <w:p w14:paraId="5F4E055E">
      <w:pPr>
        <w:ind w:firstLine="643" w:firstLineChars="200"/>
        <w:rPr>
          <w:rFonts w:ascii="仿宋" w:hAnsi="仿宋" w:eastAsia="仿宋"/>
          <w:b/>
          <w:sz w:val="32"/>
          <w:szCs w:val="32"/>
        </w:rPr>
      </w:pPr>
      <w:r>
        <w:rPr>
          <w:rFonts w:hint="eastAsia" w:ascii="仿宋" w:hAnsi="仿宋" w:eastAsia="仿宋"/>
          <w:b/>
          <w:sz w:val="32"/>
          <w:szCs w:val="32"/>
        </w:rPr>
        <w:t>（名词解释部分请根据各部门实际列支情况罗列，并根据本部门职责职能增减名词解释内容。）</w:t>
      </w:r>
    </w:p>
    <w:p w14:paraId="2309551E">
      <w:pPr>
        <w:spacing w:line="600" w:lineRule="exact"/>
        <w:jc w:val="center"/>
        <w:outlineLvl w:val="0"/>
        <w:rPr>
          <w:rFonts w:ascii="宋体"/>
          <w:b/>
          <w:sz w:val="44"/>
          <w:szCs w:val="44"/>
        </w:rPr>
      </w:pPr>
      <w:bookmarkStart w:id="51" w:name="_Toc15377226"/>
    </w:p>
    <w:p w14:paraId="61D7D823">
      <w:pPr>
        <w:bidi w:val="0"/>
        <w:jc w:val="left"/>
        <w:rPr>
          <w:rFonts w:ascii="宋体"/>
          <w:b/>
          <w:sz w:val="44"/>
          <w:szCs w:val="44"/>
        </w:rPr>
      </w:pPr>
    </w:p>
    <w:p w14:paraId="65389A99">
      <w:pPr>
        <w:bidi w:val="0"/>
        <w:rPr>
          <w:rFonts w:ascii="宋体"/>
          <w:b/>
          <w:sz w:val="44"/>
          <w:szCs w:val="44"/>
        </w:rPr>
      </w:pPr>
    </w:p>
    <w:p w14:paraId="23411494">
      <w:pPr>
        <w:bidi w:val="0"/>
        <w:jc w:val="center"/>
        <w:rPr>
          <w:rStyle w:val="28"/>
          <w:rFonts w:ascii="黑体" w:hAnsi="黑体" w:eastAsia="黑体"/>
          <w:b w:val="0"/>
        </w:rPr>
      </w:pPr>
      <w:bookmarkStart w:id="52" w:name="_Toc15396614"/>
      <w:r>
        <w:rPr>
          <w:rFonts w:hint="eastAsia" w:ascii="黑体" w:hAnsi="黑体" w:eastAsia="黑体"/>
          <w:sz w:val="44"/>
          <w:szCs w:val="44"/>
        </w:rPr>
        <w:t>第</w:t>
      </w:r>
      <w:r>
        <w:rPr>
          <w:rStyle w:val="28"/>
          <w:rFonts w:hint="eastAsia" w:ascii="黑体" w:hAnsi="黑体" w:eastAsia="黑体"/>
          <w:b w:val="0"/>
        </w:rPr>
        <w:t>四部分 附件</w:t>
      </w:r>
      <w:bookmarkEnd w:id="52"/>
    </w:p>
    <w:p w14:paraId="0BB55564">
      <w:pPr>
        <w:spacing w:line="572" w:lineRule="exact"/>
        <w:jc w:val="left"/>
        <w:outlineLvl w:val="0"/>
        <w:rPr>
          <w:rFonts w:ascii="方正小标宋简体" w:hAnsi="方正小标宋简体" w:eastAsia="方正小标宋简体" w:cs="方正小标宋简体"/>
          <w:sz w:val="44"/>
          <w:szCs w:val="44"/>
        </w:rPr>
      </w:pPr>
      <w:r>
        <w:rPr>
          <w:rFonts w:hint="eastAsia" w:ascii="黑体" w:hAnsi="黑体" w:eastAsia="黑体" w:cs="黑体"/>
          <w:sz w:val="32"/>
          <w:szCs w:val="32"/>
        </w:rPr>
        <w:t>附件</w:t>
      </w:r>
    </w:p>
    <w:p w14:paraId="466EAFA5">
      <w:pPr>
        <w:widowControl/>
        <w:spacing w:line="560" w:lineRule="exact"/>
        <w:contextualSpacing/>
        <w:jc w:val="center"/>
        <w:rPr>
          <w:rFonts w:ascii="宋体" w:hAnsi="宋体"/>
          <w:b/>
          <w:sz w:val="32"/>
          <w:szCs w:val="32"/>
          <w:shd w:val="clear" w:color="auto" w:fill="FFFFFF"/>
        </w:rPr>
      </w:pPr>
      <w:r>
        <w:rPr>
          <w:rFonts w:hint="eastAsia" w:ascii="宋体" w:hAnsi="宋体"/>
          <w:b/>
          <w:sz w:val="32"/>
          <w:szCs w:val="32"/>
          <w:shd w:val="clear" w:color="auto" w:fill="FFFFFF"/>
        </w:rPr>
        <w:t>2023年省级部门整体绩效评价报告范本</w:t>
      </w:r>
    </w:p>
    <w:p w14:paraId="4388C498">
      <w:pPr>
        <w:widowControl/>
        <w:spacing w:line="560" w:lineRule="exact"/>
        <w:contextualSpacing/>
        <w:jc w:val="cente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（报告范围包括机关和下属单位）</w:t>
      </w:r>
    </w:p>
    <w:p w14:paraId="76D55E44">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p>
    <w:p w14:paraId="287A68F3">
      <w:pPr>
        <w:widowControl/>
        <w:numPr>
          <w:ilvl w:val="0"/>
          <w:numId w:val="5"/>
        </w:numPr>
        <w:adjustRightInd w:val="0"/>
        <w:snapToGrid w:val="0"/>
        <w:spacing w:line="560" w:lineRule="exact"/>
        <w:ind w:firstLine="640" w:firstLineChars="200"/>
        <w:contextualSpacing/>
        <w:jc w:val="left"/>
        <w:rPr>
          <w:rFonts w:ascii="仿宋_GB2312" w:hAnsi="宋体" w:cs="宋体"/>
          <w:color w:val="000000"/>
          <w:kern w:val="0"/>
          <w:szCs w:val="32"/>
          <w:shd w:val="clear" w:color="auto" w:fill="FFFFFF"/>
          <w:lang w:val="zh-CN"/>
        </w:rPr>
      </w:pPr>
      <w:r>
        <w:rPr>
          <w:rFonts w:hint="eastAsia" w:ascii="黑体" w:hAnsi="宋体" w:eastAsia="黑体" w:cs="宋体"/>
          <w:kern w:val="0"/>
          <w:sz w:val="32"/>
          <w:szCs w:val="32"/>
          <w:shd w:val="clear" w:color="auto" w:fill="FFFFFF"/>
          <w:lang w:val="zh-CN"/>
        </w:rPr>
        <w:t>部门（单位）基本情况</w:t>
      </w:r>
    </w:p>
    <w:p w14:paraId="33076C90">
      <w:pPr>
        <w:widowControl/>
        <w:adjustRightInd w:val="0"/>
        <w:snapToGrid w:val="0"/>
        <w:spacing w:line="560" w:lineRule="exact"/>
        <w:ind w:firstLine="420" w:firstLineChars="200"/>
        <w:contextualSpacing/>
        <w:jc w:val="left"/>
        <w:rPr>
          <w:rFonts w:ascii="仿宋_GB2312" w:hAnsi="宋体"/>
          <w:sz w:val="30"/>
          <w:szCs w:val="30"/>
          <w:lang w:val="zh-CN"/>
        </w:rPr>
      </w:pPr>
      <w:r>
        <w:rPr>
          <w:rFonts w:hint="eastAsia" w:ascii="仿宋_GB2312" w:hAnsi="宋体" w:cs="宋体"/>
          <w:color w:val="000000"/>
          <w:kern w:val="0"/>
          <w:szCs w:val="32"/>
          <w:shd w:val="clear" w:color="auto" w:fill="FFFFFF"/>
          <w:lang w:val="zh-CN"/>
        </w:rPr>
        <w:t>（一）机构组成</w:t>
      </w:r>
    </w:p>
    <w:p w14:paraId="387A6728">
      <w:pPr>
        <w:spacing w:line="560" w:lineRule="exact"/>
        <w:ind w:firstLine="600" w:firstLineChars="200"/>
        <w:rPr>
          <w:rFonts w:ascii="仿宋_GB2312" w:hAnsi="宋体"/>
          <w:sz w:val="30"/>
          <w:szCs w:val="30"/>
          <w:lang w:val="zh-CN"/>
        </w:rPr>
      </w:pPr>
      <w:r>
        <w:rPr>
          <w:rFonts w:hint="eastAsia" w:ascii="仿宋_GB2312" w:hAnsi="宋体"/>
          <w:sz w:val="30"/>
          <w:szCs w:val="30"/>
        </w:rPr>
        <w:t>壤塘县民政局属于一级预算单位，与上年一样外设4内设个行政股室（办公室、社会福利与社会事务股、社会救助股（ 挂壤塘县流浪乞讨人员救助站牌子）、区划地名与基层政权股）。 下设事业机构4个（ 壤塘县低收入家庭认定指导中心，敬老院服务中心，南木达敬老院、茸木达敬老院、中壤塘敬老院壤、塘县社会救助福利服务中心（ 挂壤塘县儿童福利服务指导中心牌子））。</w:t>
      </w:r>
    </w:p>
    <w:p w14:paraId="4D820782">
      <w:pPr>
        <w:spacing w:line="560" w:lineRule="exact"/>
        <w:ind w:firstLine="600" w:firstLineChars="200"/>
        <w:rPr>
          <w:rFonts w:ascii="仿宋_GB2312" w:hAnsi="宋体"/>
          <w:sz w:val="30"/>
          <w:szCs w:val="30"/>
          <w:lang w:val="zh-CN"/>
        </w:rPr>
      </w:pPr>
      <w:r>
        <w:rPr>
          <w:rFonts w:hint="eastAsia" w:ascii="仿宋_GB2312" w:hAnsi="宋体"/>
          <w:sz w:val="30"/>
          <w:szCs w:val="30"/>
          <w:lang w:val="zh-CN"/>
        </w:rPr>
        <w:t>（二）机构职能</w:t>
      </w:r>
    </w:p>
    <w:p w14:paraId="6561A152">
      <w:pPr>
        <w:spacing w:line="560" w:lineRule="exact"/>
        <w:ind w:firstLine="600" w:firstLineChars="200"/>
        <w:rPr>
          <w:rFonts w:ascii="仿宋_GB2312" w:hAnsi="宋体"/>
          <w:sz w:val="30"/>
          <w:szCs w:val="30"/>
          <w:lang w:val="zh-CN"/>
        </w:rPr>
      </w:pPr>
      <w:r>
        <w:rPr>
          <w:rFonts w:hint="eastAsia" w:ascii="仿宋_GB2312" w:hAnsi="宋体"/>
          <w:sz w:val="30"/>
          <w:szCs w:val="30"/>
          <w:lang w:val="zh-CN"/>
        </w:rPr>
        <w:t>根据三定方案文件规定，主要职能，：</w:t>
      </w:r>
    </w:p>
    <w:p w14:paraId="61D34FA3">
      <w:pPr>
        <w:adjustRightInd w:val="0"/>
        <w:snapToGrid w:val="0"/>
        <w:spacing w:line="560" w:lineRule="exact"/>
        <w:ind w:firstLine="420" w:firstLineChars="200"/>
        <w:rPr>
          <w:rFonts w:ascii="仿宋_GB2312"/>
          <w:szCs w:val="32"/>
        </w:rPr>
      </w:pPr>
      <w:r>
        <w:rPr>
          <w:rFonts w:hint="eastAsia" w:ascii="仿宋_GB2312" w:hAnsi="仿宋_GB2312" w:cs="仿宋_GB2312"/>
          <w:szCs w:val="32"/>
        </w:rPr>
        <w:t>1、</w:t>
      </w:r>
      <w:r>
        <w:rPr>
          <w:rFonts w:hint="eastAsia" w:ascii="仿宋_GB2312"/>
          <w:szCs w:val="32"/>
        </w:rPr>
        <w:t>负责贯彻执行国家、省、州民政相关方针政策和法律法规；制定全县民政工作发展规划、工作计划并组织实施和监督检查；承担政府公布的行政审批事项；负责民政信访和维稳工作；负责全县民政资金的使用、管理和监督工作；负责民政统计管理工作。</w:t>
      </w:r>
    </w:p>
    <w:p w14:paraId="3908FA27">
      <w:pPr>
        <w:spacing w:line="560" w:lineRule="atLeast"/>
        <w:ind w:firstLine="420" w:firstLineChars="200"/>
        <w:rPr>
          <w:rFonts w:ascii="仿宋_GB2312" w:hAnsi="仿宋_GB2312" w:cs="仿宋_GB2312"/>
          <w:szCs w:val="32"/>
        </w:rPr>
      </w:pPr>
      <w:r>
        <w:rPr>
          <w:rFonts w:hint="eastAsia" w:ascii="仿宋_GB2312" w:hAnsi="仿宋_GB2312" w:cs="仿宋_GB2312"/>
          <w:szCs w:val="32"/>
        </w:rPr>
        <w:t>2、负责拟订全县社会救助规划、政策和标准，统筹推进社会救助体系建设，负责城乡居民最低生活保障、特困人员救助供养、残疾人两项补贴、孤儿、事实无人抚养儿童、临时救助、生活无着流浪乞讨人员救助工作。</w:t>
      </w:r>
    </w:p>
    <w:p w14:paraId="0C2C8124">
      <w:pPr>
        <w:spacing w:line="560" w:lineRule="atLeast"/>
        <w:ind w:firstLine="420" w:firstLineChars="200"/>
        <w:rPr>
          <w:rFonts w:ascii="仿宋_GB2312" w:hAnsi="仿宋_GB2312" w:cs="仿宋_GB2312"/>
          <w:szCs w:val="32"/>
        </w:rPr>
      </w:pPr>
      <w:r>
        <w:rPr>
          <w:rFonts w:hint="eastAsia" w:ascii="仿宋_GB2312" w:hAnsi="仿宋_GB2312" w:cs="仿宋_GB2312"/>
          <w:szCs w:val="32"/>
        </w:rPr>
        <w:t>3、统筹推进、督促指导、监督管理养老服务工作，拟订养老服务体系建设规划、政策、标准并组织施，承担老年人福利和特殊因难老年人救助工作，协调推进农村留守老年人关爱服务工作，承担城乡老年社会组织管理工作。</w:t>
      </w:r>
    </w:p>
    <w:p w14:paraId="2E7AB74A">
      <w:pPr>
        <w:spacing w:line="560" w:lineRule="atLeast"/>
        <w:ind w:firstLine="420" w:firstLineChars="200"/>
        <w:rPr>
          <w:rFonts w:ascii="仿宋_GB2312" w:hAnsi="仿宋_GB2312" w:cs="仿宋_GB2312"/>
          <w:szCs w:val="32"/>
        </w:rPr>
      </w:pPr>
      <w:r>
        <w:rPr>
          <w:rFonts w:hint="eastAsia" w:ascii="仿宋_GB2312"/>
          <w:szCs w:val="32"/>
        </w:rPr>
        <w:t>4、负责全县婚姻登记、</w:t>
      </w:r>
      <w:r>
        <w:rPr>
          <w:rFonts w:hint="eastAsia" w:ascii="仿宋_GB2312" w:hAnsi="仿宋_GB2312" w:cs="仿宋_GB2312"/>
          <w:szCs w:val="32"/>
        </w:rPr>
        <w:t>殡葬管理政策、促进慈善事业发展、指导社会捐助、协助监督福利彩票销售工作，负责管理使用本级福利彩票公益金；拟订农村留守儿童关爱服务体系和困境儿童保障制度；</w:t>
      </w:r>
      <w:r>
        <w:rPr>
          <w:rFonts w:hint="eastAsia" w:ascii="仿宋_GB2312"/>
          <w:szCs w:val="32"/>
        </w:rPr>
        <w:t>承担依法对社会团体和民办非企业单位进行登记管理和监督责任；</w:t>
      </w:r>
      <w:r>
        <w:rPr>
          <w:rFonts w:hint="eastAsia" w:ascii="仿宋_GB2312" w:hAnsi="仿宋_GB2312" w:cs="仿宋_GB2312"/>
          <w:szCs w:val="32"/>
        </w:rPr>
        <w:t>依法对社会组织进行登记管理和执法监督。</w:t>
      </w:r>
    </w:p>
    <w:p w14:paraId="1505288D">
      <w:pPr>
        <w:spacing w:line="560" w:lineRule="atLeast"/>
        <w:ind w:firstLine="420" w:firstLineChars="200"/>
        <w:rPr>
          <w:rFonts w:ascii="仿宋_GB2312" w:hAnsi="仿宋_GB2312" w:cs="仿宋_GB2312"/>
          <w:szCs w:val="32"/>
        </w:rPr>
      </w:pPr>
      <w:r>
        <w:rPr>
          <w:rFonts w:hint="eastAsia" w:ascii="仿宋_GB2312" w:hAnsi="仿宋_GB2312" w:cs="仿宋_GB2312"/>
          <w:szCs w:val="32"/>
        </w:rPr>
        <w:t>5、负责拟订行政区划管理政策和行政区域界线、地名管理办法，负责全县乡镇以上行政区划的设立、命名、撤销、变更和政府驻地迁移审核上报工作，组织并指导全县行政区域界线的勘定、管理工作，调处行政区域边界争议，负责地名管理工作。</w:t>
      </w:r>
    </w:p>
    <w:p w14:paraId="4CE2B6EA">
      <w:pPr>
        <w:adjustRightInd w:val="0"/>
        <w:snapToGrid w:val="0"/>
        <w:spacing w:line="560" w:lineRule="exact"/>
        <w:ind w:firstLine="420" w:firstLineChars="200"/>
        <w:rPr>
          <w:rFonts w:ascii="仿宋_GB2312"/>
          <w:szCs w:val="32"/>
        </w:rPr>
      </w:pPr>
      <w:r>
        <w:rPr>
          <w:rFonts w:hint="eastAsia" w:ascii="仿宋_GB2312"/>
          <w:szCs w:val="32"/>
        </w:rPr>
        <w:t>6、负责拟订全县城乡基层群众自治建设、社区建设政策并指导实施；指导社区服务体系建设，提出加强和改进城乡基层政权建设的建议，指导村（居）民委员会开展民主选举、民主决策、民主管理和民主监督工作，推动基层民主政治建设。</w:t>
      </w:r>
    </w:p>
    <w:p w14:paraId="4F94A4DB">
      <w:pPr>
        <w:spacing w:line="560" w:lineRule="atLeast"/>
        <w:ind w:firstLine="420" w:firstLineChars="200"/>
        <w:rPr>
          <w:rFonts w:ascii="仿宋_GB2312" w:hAnsi="仿宋_GB2312" w:cs="仿宋_GB2312"/>
          <w:szCs w:val="32"/>
        </w:rPr>
      </w:pPr>
      <w:r>
        <w:rPr>
          <w:rFonts w:hint="eastAsia" w:ascii="仿宋_GB2312" w:hAnsi="仿宋_GB2312" w:cs="仿宋_GB2312"/>
          <w:szCs w:val="32"/>
        </w:rPr>
        <w:t>7、拟订社会工作、志愿服务政策和标准，会同有关部门推进社会工作人才队位建设和志愿者队建设；依法依规负责社会福利、养老服务、救助管理、殡葬服务机构安全生产监督管理工作。负责职责范围内的意识形态、职业健康、审批服务便民化工作。</w:t>
      </w:r>
    </w:p>
    <w:p w14:paraId="6F992AAD">
      <w:pPr>
        <w:spacing w:line="560" w:lineRule="atLeast"/>
        <w:ind w:firstLine="420" w:firstLineChars="200"/>
        <w:rPr>
          <w:rFonts w:ascii="仿宋_GB2312" w:hAnsi="仿宋_GB2312" w:cs="仿宋_GB2312"/>
          <w:szCs w:val="32"/>
        </w:rPr>
      </w:pPr>
      <w:r>
        <w:rPr>
          <w:rFonts w:hint="eastAsia" w:ascii="仿宋_GB2312" w:hAnsi="仿宋_GB2312" w:cs="仿宋_GB2312"/>
          <w:szCs w:val="32"/>
        </w:rPr>
        <w:t>8、完成县委、县政府交办的其他任务。</w:t>
      </w:r>
    </w:p>
    <w:p w14:paraId="5E328962">
      <w:pPr>
        <w:spacing w:line="560" w:lineRule="exact"/>
        <w:ind w:firstLine="300" w:firstLineChars="100"/>
        <w:jc w:val="left"/>
        <w:rPr>
          <w:rFonts w:ascii="仿宋_GB2312" w:hAnsi="宋体"/>
          <w:sz w:val="30"/>
          <w:szCs w:val="30"/>
          <w:lang w:val="zh-CN"/>
        </w:rPr>
      </w:pPr>
      <w:r>
        <w:rPr>
          <w:rFonts w:hint="eastAsia" w:ascii="仿宋_GB2312" w:hAnsi="宋体"/>
          <w:sz w:val="30"/>
          <w:szCs w:val="30"/>
          <w:lang w:val="zh-CN"/>
        </w:rPr>
        <w:t>（三）人员概况</w:t>
      </w:r>
    </w:p>
    <w:p w14:paraId="0C7BDD85">
      <w:pPr>
        <w:spacing w:line="360" w:lineRule="auto"/>
        <w:ind w:firstLine="420" w:firstLineChars="200"/>
        <w:rPr>
          <w:rFonts w:ascii="仿宋_GB2312"/>
          <w:szCs w:val="32"/>
        </w:rPr>
      </w:pPr>
      <w:r>
        <w:rPr>
          <w:rFonts w:hint="eastAsia" w:ascii="仿宋_GB2312"/>
          <w:szCs w:val="32"/>
        </w:rPr>
        <w:t>总编制72名,其中:行政编制8名,事业编制64名，在职人员总数66名，其中：行政人员4名，行政工勤3名，其他事业人员59名；离休人员1人，退休人员10人。</w:t>
      </w:r>
    </w:p>
    <w:p w14:paraId="0FA07AC3">
      <w:pPr>
        <w:spacing w:line="360" w:lineRule="auto"/>
        <w:ind w:firstLine="420" w:firstLineChars="200"/>
        <w:rPr>
          <w:rFonts w:ascii="宋体" w:hAnsi="宋体"/>
          <w:szCs w:val="32"/>
        </w:rPr>
      </w:pPr>
      <w:r>
        <w:rPr>
          <w:rFonts w:hint="eastAsia" w:ascii="仿宋_GB2312"/>
          <w:szCs w:val="32"/>
        </w:rPr>
        <w:t>2022年较上年减少2人，原因为：2022年，调离外县3人，县内调动3人。2022年新进人员4人，均为新招事业单位工作人员4人。</w:t>
      </w:r>
      <w:r>
        <w:rPr>
          <w:rFonts w:ascii="宋体" w:hAnsi="宋体"/>
          <w:szCs w:val="32"/>
        </w:rPr>
        <w:t xml:space="preserve"> </w:t>
      </w:r>
    </w:p>
    <w:p w14:paraId="4A57F1D9">
      <w:pPr>
        <w:widowControl/>
        <w:adjustRightInd w:val="0"/>
        <w:snapToGrid w:val="0"/>
        <w:spacing w:line="560" w:lineRule="exact"/>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二、部门财政资金收支情况</w:t>
      </w:r>
    </w:p>
    <w:p w14:paraId="604126A0">
      <w:pPr>
        <w:widowControl/>
        <w:adjustRightInd w:val="0"/>
        <w:snapToGrid w:val="0"/>
        <w:spacing w:line="560" w:lineRule="exact"/>
        <w:ind w:firstLine="420" w:firstLineChars="200"/>
        <w:contextualSpacing/>
        <w:jc w:val="left"/>
        <w:rPr>
          <w:rFonts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（一）部门财政资金收入情况</w:t>
      </w:r>
    </w:p>
    <w:p w14:paraId="6B3D72C9">
      <w:pPr>
        <w:spacing w:line="560" w:lineRule="exact"/>
        <w:ind w:firstLine="600" w:firstLineChars="200"/>
        <w:jc w:val="left"/>
        <w:rPr>
          <w:rFonts w:ascii="仿宋_GB2312" w:hAnsi="宋体"/>
          <w:sz w:val="30"/>
          <w:szCs w:val="30"/>
        </w:rPr>
      </w:pPr>
      <w:r>
        <w:rPr>
          <w:rFonts w:hint="eastAsia" w:ascii="仿宋_GB2312" w:hAnsi="宋体"/>
          <w:sz w:val="30"/>
          <w:szCs w:val="30"/>
        </w:rPr>
        <w:t>2022年年初预算数2483.37万元，其中一般公共预算财政拨款收入为2483.37万元。2022年部门财政资金收入7480.57万元，其中一般公共预算财政拨款收入为7435.45万元，政府性基金预算财政拨款收入为48.12万元。上年结余资金232.08万元。收入共计7712.65万元。</w:t>
      </w:r>
    </w:p>
    <w:p w14:paraId="4668139B">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（二）部门财政资金支出情况</w:t>
      </w:r>
    </w:p>
    <w:p w14:paraId="5A8C52BE">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202</w:t>
      </w:r>
      <w:r>
        <w:rPr>
          <w:rFonts w:hint="eastAsia" w:ascii="仿宋_GB2312" w:hAnsi="宋体"/>
          <w:sz w:val="30"/>
          <w:szCs w:val="30"/>
        </w:rPr>
        <w:t>2</w:t>
      </w:r>
      <w:r>
        <w:rPr>
          <w:rFonts w:hint="eastAsia" w:ascii="仿宋_GB2312" w:hAnsi="宋体"/>
          <w:sz w:val="30"/>
          <w:szCs w:val="30"/>
          <w:lang w:val="zh-CN"/>
        </w:rPr>
        <w:t>年部门财政资金支出</w:t>
      </w:r>
      <w:r>
        <w:rPr>
          <w:rFonts w:hint="eastAsia" w:ascii="仿宋_GB2312" w:hAnsi="宋体"/>
          <w:sz w:val="30"/>
          <w:szCs w:val="30"/>
        </w:rPr>
        <w:t>7712.65</w:t>
      </w:r>
      <w:r>
        <w:rPr>
          <w:rFonts w:hint="eastAsia" w:ascii="仿宋_GB2312" w:hAnsi="宋体"/>
          <w:sz w:val="30"/>
          <w:szCs w:val="30"/>
          <w:lang w:val="zh-CN"/>
        </w:rPr>
        <w:t>万元，其中基本支出</w:t>
      </w:r>
      <w:r>
        <w:rPr>
          <w:rFonts w:hint="eastAsia" w:ascii="仿宋_GB2312" w:hAnsi="宋体"/>
          <w:sz w:val="30"/>
          <w:szCs w:val="30"/>
        </w:rPr>
        <w:t>1559.62</w:t>
      </w:r>
      <w:r>
        <w:rPr>
          <w:rFonts w:hint="eastAsia" w:ascii="仿宋_GB2312" w:hAnsi="宋体"/>
          <w:sz w:val="30"/>
          <w:szCs w:val="30"/>
          <w:lang w:val="zh-CN"/>
        </w:rPr>
        <w:t>万元，项目支出</w:t>
      </w:r>
      <w:r>
        <w:rPr>
          <w:rFonts w:hint="eastAsia" w:ascii="仿宋_GB2312" w:hAnsi="宋体"/>
          <w:sz w:val="30"/>
          <w:szCs w:val="30"/>
        </w:rPr>
        <w:t>6153.03</w:t>
      </w:r>
      <w:r>
        <w:rPr>
          <w:rFonts w:hint="eastAsia" w:ascii="仿宋_GB2312" w:hAnsi="宋体"/>
          <w:sz w:val="30"/>
          <w:szCs w:val="30"/>
          <w:lang w:val="zh-CN"/>
        </w:rPr>
        <w:t>万元。</w:t>
      </w:r>
    </w:p>
    <w:p w14:paraId="20D7F214">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基本支</w:t>
      </w:r>
      <w:r>
        <w:rPr>
          <w:rFonts w:hint="eastAsia" w:ascii="仿宋_GB2312" w:hAnsi="宋体"/>
          <w:sz w:val="30"/>
          <w:szCs w:val="30"/>
        </w:rPr>
        <w:t>1559.62</w:t>
      </w:r>
      <w:r>
        <w:rPr>
          <w:rFonts w:hint="eastAsia" w:ascii="仿宋_GB2312" w:hAnsi="宋体"/>
          <w:sz w:val="30"/>
          <w:szCs w:val="30"/>
          <w:lang w:val="zh-CN"/>
        </w:rPr>
        <w:t>万元，主要</w:t>
      </w:r>
      <w:r>
        <w:rPr>
          <w:rFonts w:hint="eastAsia" w:ascii="仿宋_GB2312" w:hAnsi="宋体"/>
          <w:sz w:val="30"/>
          <w:szCs w:val="30"/>
        </w:rPr>
        <w:t>行政运行297.99万元，社会福利事业单位（事业人员工资等）909.57</w:t>
      </w:r>
      <w:r>
        <w:rPr>
          <w:rFonts w:hint="eastAsia" w:ascii="仿宋_GB2312" w:hAnsi="宋体"/>
          <w:sz w:val="30"/>
          <w:szCs w:val="30"/>
          <w:lang w:val="zh-CN"/>
        </w:rPr>
        <w:t>万元，</w:t>
      </w:r>
      <w:r>
        <w:rPr>
          <w:rFonts w:hint="eastAsia" w:ascii="仿宋_GB2312" w:hAnsi="宋体"/>
          <w:sz w:val="30"/>
          <w:szCs w:val="30"/>
        </w:rPr>
        <w:t>机关事业单位基本养老保险缴费支出109.84</w:t>
      </w:r>
      <w:r>
        <w:rPr>
          <w:rFonts w:hint="eastAsia" w:ascii="仿宋_GB2312" w:hAnsi="宋体"/>
          <w:sz w:val="30"/>
          <w:szCs w:val="30"/>
          <w:lang w:val="zh-CN"/>
        </w:rPr>
        <w:t>万元，</w:t>
      </w:r>
      <w:r>
        <w:rPr>
          <w:rFonts w:hint="eastAsia" w:ascii="仿宋_GB2312" w:hAnsi="宋体"/>
          <w:sz w:val="30"/>
          <w:szCs w:val="30"/>
        </w:rPr>
        <w:t>机关事业单位职业年金缴费支出54.92万元，行政单位医疗7.48万元，事业单位医疗45.99万元，公务员医疗2.5万元，住房公积金100.6万元购房补贴0.24万元</w:t>
      </w:r>
      <w:r>
        <w:rPr>
          <w:rFonts w:hint="eastAsia" w:ascii="仿宋_GB2312" w:hAnsi="宋体"/>
          <w:sz w:val="30"/>
          <w:szCs w:val="30"/>
          <w:lang w:val="zh-CN"/>
        </w:rPr>
        <w:t>。</w:t>
      </w:r>
    </w:p>
    <w:p w14:paraId="37EC57C6">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项目支出</w:t>
      </w:r>
      <w:r>
        <w:rPr>
          <w:rFonts w:hint="eastAsia" w:ascii="仿宋_GB2312" w:hAnsi="宋体"/>
          <w:sz w:val="30"/>
          <w:szCs w:val="30"/>
        </w:rPr>
        <w:t>6153.03</w:t>
      </w:r>
      <w:r>
        <w:rPr>
          <w:rFonts w:hint="eastAsia" w:ascii="仿宋_GB2312" w:hAnsi="宋体"/>
          <w:sz w:val="30"/>
          <w:szCs w:val="30"/>
          <w:lang w:val="zh-CN"/>
        </w:rPr>
        <w:t>万元，主要</w:t>
      </w:r>
      <w:r>
        <w:rPr>
          <w:rFonts w:hint="eastAsia" w:ascii="仿宋_GB2312" w:hAnsi="宋体"/>
          <w:sz w:val="30"/>
          <w:szCs w:val="30"/>
        </w:rPr>
        <w:t>用于一般行政管理事务支出116.52万元，其他民政管理事务支出31.2万元，儿童福利51.54万元，老年福利77.29万元，养老服务43.05万元，其他社会福利支出23.11万元，残疾人生活和护理补贴186.93万元，其他残疾人事业支出53万元，城市最低生活保障支出139.71万元，农村最低生活保障金支出3678.28万元，临时救助支出94.98万元，流浪乞讨人员救助支出12万元，城市特困人员救助供养支出10.13万元，农村特困人员救助供养支出1225.43万元，其他社会保障和就业支出112.11万元，对村民委员会和村党支部的补助69.62万元，用于社会福利的彩票公益金支出48.12万元，其他扶贫支出180万元。</w:t>
      </w:r>
    </w:p>
    <w:p w14:paraId="1D427DCD">
      <w:pPr>
        <w:widowControl/>
        <w:adjustRightInd w:val="0"/>
        <w:snapToGrid w:val="0"/>
        <w:spacing w:line="560" w:lineRule="exact"/>
        <w:ind w:firstLine="420" w:firstLineChars="200"/>
        <w:contextualSpacing/>
        <w:jc w:val="left"/>
        <w:rPr>
          <w:rFonts w:ascii="仿宋_GB2312" w:hAnsi="宋体" w:cs="宋体"/>
          <w:color w:val="000000"/>
          <w:kern w:val="0"/>
          <w:szCs w:val="32"/>
          <w:shd w:val="clear" w:color="auto" w:fill="FFFFFF"/>
          <w:lang w:val="zh-CN"/>
        </w:rPr>
      </w:pPr>
    </w:p>
    <w:p w14:paraId="2A0EDD83">
      <w:pPr>
        <w:widowControl/>
        <w:adjustRightInd w:val="0"/>
        <w:snapToGrid w:val="0"/>
        <w:spacing w:line="560" w:lineRule="exact"/>
        <w:ind w:firstLine="42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三、部门整体预算绩效管理情况</w:t>
      </w:r>
    </w:p>
    <w:p w14:paraId="173303E2">
      <w:pPr>
        <w:widowControl/>
        <w:adjustRightInd w:val="0"/>
        <w:snapToGrid w:val="0"/>
        <w:spacing w:line="560" w:lineRule="exact"/>
        <w:ind w:firstLine="420" w:firstLineChars="200"/>
        <w:contextualSpacing/>
        <w:jc w:val="left"/>
        <w:rPr>
          <w:rFonts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（一）部门预算管理</w:t>
      </w:r>
    </w:p>
    <w:p w14:paraId="20922732">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1、20</w:t>
      </w:r>
      <w:r>
        <w:rPr>
          <w:rFonts w:hint="eastAsia" w:ascii="仿宋_GB2312" w:hAnsi="宋体"/>
          <w:sz w:val="30"/>
          <w:szCs w:val="30"/>
        </w:rPr>
        <w:t>2</w:t>
      </w:r>
      <w:r>
        <w:rPr>
          <w:rFonts w:hint="eastAsia" w:ascii="仿宋_GB2312" w:hAnsi="宋体"/>
          <w:sz w:val="30"/>
          <w:szCs w:val="30"/>
          <w:lang w:val="en-US" w:eastAsia="zh-CN"/>
        </w:rPr>
        <w:t>2</w:t>
      </w:r>
      <w:r>
        <w:rPr>
          <w:rFonts w:hint="eastAsia" w:ascii="仿宋_GB2312" w:hAnsi="宋体"/>
          <w:sz w:val="30"/>
          <w:szCs w:val="30"/>
          <w:lang w:val="zh-CN"/>
        </w:rPr>
        <w:t>年我单位预算编制严格按照财政局《关于编制202</w:t>
      </w:r>
      <w:r>
        <w:rPr>
          <w:rFonts w:hint="eastAsia" w:ascii="仿宋_GB2312" w:hAnsi="宋体"/>
          <w:sz w:val="30"/>
          <w:szCs w:val="30"/>
        </w:rPr>
        <w:t>2</w:t>
      </w:r>
      <w:r>
        <w:rPr>
          <w:rFonts w:hint="eastAsia" w:ascii="仿宋_GB2312" w:hAnsi="宋体"/>
          <w:sz w:val="30"/>
          <w:szCs w:val="30"/>
          <w:lang w:val="zh-CN"/>
        </w:rPr>
        <w:t>年部门预算通知》相关精神，认真学习法律、法规，掌握预算编制的相关政策，及时与县编办、县人社部门核对人员编制 、实有人数、工资、车辆等相关信息，准确编制部门预算，将单位预算收入全部门纳入预算管理，全面完整的反映部门真实收入情况，其中：基本支出预算包括人员经费（即职工工资、住房公积金、养老保险、职业年金等社会保障缴费）和公用经费，根据县财政要求202</w:t>
      </w:r>
      <w:r>
        <w:rPr>
          <w:rFonts w:hint="eastAsia" w:ascii="仿宋_GB2312" w:hAnsi="宋体"/>
          <w:sz w:val="30"/>
          <w:szCs w:val="30"/>
        </w:rPr>
        <w:t>2</w:t>
      </w:r>
      <w:r>
        <w:rPr>
          <w:rFonts w:hint="eastAsia" w:ascii="仿宋_GB2312" w:hAnsi="宋体"/>
          <w:sz w:val="30"/>
          <w:szCs w:val="30"/>
          <w:lang w:val="zh-CN"/>
        </w:rPr>
        <w:t>年人员经费预算均按</w:t>
      </w:r>
      <w:r>
        <w:rPr>
          <w:rFonts w:hint="eastAsia" w:ascii="仿宋_GB2312" w:hAnsi="宋体"/>
          <w:sz w:val="30"/>
          <w:szCs w:val="30"/>
        </w:rPr>
        <w:t>202</w:t>
      </w:r>
      <w:r>
        <w:rPr>
          <w:rFonts w:hint="eastAsia" w:ascii="仿宋_GB2312" w:hAnsi="宋体"/>
          <w:sz w:val="30"/>
          <w:szCs w:val="30"/>
          <w:lang w:val="en-US" w:eastAsia="zh-CN"/>
        </w:rPr>
        <w:t>2</w:t>
      </w:r>
      <w:r>
        <w:rPr>
          <w:rFonts w:hint="eastAsia" w:ascii="仿宋_GB2312" w:hAnsi="宋体"/>
          <w:sz w:val="30"/>
          <w:szCs w:val="30"/>
          <w:lang w:val="zh-CN"/>
        </w:rPr>
        <w:t>年10月工资为标准核算，公用经费按县级部门定额标准人均</w:t>
      </w:r>
      <w:r>
        <w:rPr>
          <w:rFonts w:hint="eastAsia" w:ascii="仿宋_GB2312" w:hAnsi="宋体"/>
          <w:sz w:val="30"/>
          <w:szCs w:val="30"/>
        </w:rPr>
        <w:t>1.2</w:t>
      </w:r>
      <w:r>
        <w:rPr>
          <w:rFonts w:hint="eastAsia" w:ascii="仿宋_GB2312" w:hAnsi="宋体"/>
          <w:sz w:val="30"/>
          <w:szCs w:val="30"/>
          <w:lang w:val="zh-CN"/>
        </w:rPr>
        <w:t>万元测算。项目资金预算，先由各业务股室对来年需要县级配套资金按上级专项计划和上年预算支出和目标完成情况进行充分论证、可行性分析和绩效评估后来测算需县级财政配套经费后报财务室，由财务室负责汇总汇编202</w:t>
      </w:r>
      <w:r>
        <w:rPr>
          <w:rFonts w:hint="eastAsia" w:ascii="仿宋_GB2312" w:hAnsi="宋体"/>
          <w:sz w:val="30"/>
          <w:szCs w:val="30"/>
        </w:rPr>
        <w:t>2</w:t>
      </w:r>
      <w:r>
        <w:rPr>
          <w:rFonts w:hint="eastAsia" w:ascii="仿宋_GB2312" w:hAnsi="宋体"/>
          <w:sz w:val="30"/>
          <w:szCs w:val="30"/>
          <w:lang w:val="zh-CN"/>
        </w:rPr>
        <w:t>年部门预算并上报县财政局，项目预算尽量做到了数据测算的准确和合理性，并明确支出范围和用途。202</w:t>
      </w:r>
      <w:r>
        <w:rPr>
          <w:rFonts w:hint="eastAsia" w:ascii="仿宋_GB2312" w:hAnsi="宋体"/>
          <w:sz w:val="30"/>
          <w:szCs w:val="30"/>
        </w:rPr>
        <w:t>2</w:t>
      </w:r>
      <w:r>
        <w:rPr>
          <w:rFonts w:hint="eastAsia" w:ascii="仿宋_GB2312" w:hAnsi="宋体"/>
          <w:sz w:val="30"/>
          <w:szCs w:val="30"/>
          <w:lang w:val="zh-CN"/>
        </w:rPr>
        <w:t>年度我单位部门预算数为</w:t>
      </w:r>
      <w:r>
        <w:rPr>
          <w:rFonts w:hint="eastAsia" w:ascii="仿宋_GB2312" w:hAnsi="宋体"/>
          <w:sz w:val="30"/>
          <w:szCs w:val="30"/>
        </w:rPr>
        <w:t>2483.37</w:t>
      </w:r>
      <w:r>
        <w:rPr>
          <w:rFonts w:hint="eastAsia" w:ascii="仿宋_GB2312" w:hAnsi="宋体"/>
          <w:sz w:val="30"/>
          <w:szCs w:val="30"/>
          <w:lang w:val="zh-CN"/>
        </w:rPr>
        <w:t>万元，202</w:t>
      </w:r>
      <w:r>
        <w:rPr>
          <w:rFonts w:hint="eastAsia" w:ascii="仿宋_GB2312" w:hAnsi="宋体"/>
          <w:sz w:val="30"/>
          <w:szCs w:val="30"/>
        </w:rPr>
        <w:t>2</w:t>
      </w:r>
      <w:r>
        <w:rPr>
          <w:rFonts w:hint="eastAsia" w:ascii="仿宋_GB2312" w:hAnsi="宋体"/>
          <w:sz w:val="30"/>
          <w:szCs w:val="30"/>
          <w:lang w:val="zh-CN"/>
        </w:rPr>
        <w:t>年调整预算数为</w:t>
      </w:r>
      <w:r>
        <w:rPr>
          <w:rFonts w:hint="eastAsia" w:ascii="仿宋_GB2312" w:hAnsi="宋体"/>
          <w:sz w:val="30"/>
          <w:szCs w:val="30"/>
        </w:rPr>
        <w:t>7432.45</w:t>
      </w:r>
      <w:r>
        <w:rPr>
          <w:rFonts w:hint="eastAsia" w:ascii="仿宋_GB2312" w:hAnsi="宋体"/>
          <w:sz w:val="30"/>
          <w:szCs w:val="30"/>
          <w:lang w:val="zh-CN"/>
        </w:rPr>
        <w:t>万元；决算支出数为</w:t>
      </w:r>
      <w:r>
        <w:rPr>
          <w:rFonts w:hint="eastAsia" w:ascii="仿宋_GB2312" w:hAnsi="宋体"/>
          <w:sz w:val="30"/>
          <w:szCs w:val="30"/>
        </w:rPr>
        <w:t>7712.65</w:t>
      </w:r>
      <w:r>
        <w:rPr>
          <w:rFonts w:hint="eastAsia" w:ascii="仿宋_GB2312" w:hAnsi="宋体"/>
          <w:sz w:val="30"/>
          <w:szCs w:val="30"/>
          <w:lang w:val="zh-CN"/>
        </w:rPr>
        <w:t>万元，202</w:t>
      </w:r>
      <w:r>
        <w:rPr>
          <w:rFonts w:hint="eastAsia" w:ascii="仿宋_GB2312" w:hAnsi="宋体"/>
          <w:sz w:val="30"/>
          <w:szCs w:val="30"/>
        </w:rPr>
        <w:t>2</w:t>
      </w:r>
      <w:r>
        <w:rPr>
          <w:rFonts w:hint="eastAsia" w:ascii="仿宋_GB2312" w:hAnsi="宋体"/>
          <w:sz w:val="30"/>
          <w:szCs w:val="30"/>
          <w:lang w:val="zh-CN"/>
        </w:rPr>
        <w:t>年根据预算绩效管理要求，本部门（单位）在年初预算编制阶段，组织对高龄津贴、重度残疾人护理补贴、困难残疾人生活补助、居家养老服务体系、临时救助、儿童福利、城市农村日间照料资金、特困人员护理照料费、特困人员供养资金开展了预算事前绩效评估，确保了202</w:t>
      </w:r>
      <w:r>
        <w:rPr>
          <w:rFonts w:hint="eastAsia" w:ascii="仿宋_GB2312" w:hAnsi="宋体"/>
          <w:sz w:val="30"/>
          <w:szCs w:val="30"/>
        </w:rPr>
        <w:t>2</w:t>
      </w:r>
      <w:r>
        <w:rPr>
          <w:rFonts w:hint="eastAsia" w:ascii="仿宋_GB2312" w:hAnsi="宋体"/>
          <w:sz w:val="30"/>
          <w:szCs w:val="30"/>
          <w:lang w:val="zh-CN"/>
        </w:rPr>
        <w:t>年我单位各项预算资金使用与预算程度结果基本相符、分配合理，严格预算管理，202</w:t>
      </w:r>
      <w:r>
        <w:rPr>
          <w:rFonts w:hint="eastAsia" w:ascii="仿宋_GB2312" w:hAnsi="宋体"/>
          <w:sz w:val="30"/>
          <w:szCs w:val="30"/>
        </w:rPr>
        <w:t>2</w:t>
      </w:r>
      <w:r>
        <w:rPr>
          <w:rFonts w:hint="eastAsia" w:ascii="仿宋_GB2312" w:hAnsi="宋体"/>
          <w:sz w:val="30"/>
          <w:szCs w:val="30"/>
          <w:lang w:val="zh-CN"/>
        </w:rPr>
        <w:t>年项目资金使用均严格按照资金性质和用途使用，无超范围、超用途现象，总的来说202</w:t>
      </w:r>
      <w:r>
        <w:rPr>
          <w:rFonts w:hint="eastAsia" w:ascii="仿宋_GB2312" w:hAnsi="宋体"/>
          <w:sz w:val="30"/>
          <w:szCs w:val="30"/>
        </w:rPr>
        <w:t>2</w:t>
      </w:r>
      <w:r>
        <w:rPr>
          <w:rFonts w:hint="eastAsia" w:ascii="仿宋_GB2312" w:hAnsi="宋体"/>
          <w:sz w:val="30"/>
          <w:szCs w:val="30"/>
          <w:lang w:val="zh-CN"/>
        </w:rPr>
        <w:t>年预算目标制定合理,目标完成情况较好，预算编制准确，规划合理，无违规记录等情况。</w:t>
      </w:r>
    </w:p>
    <w:p w14:paraId="092E4099">
      <w:pPr>
        <w:widowControl/>
        <w:adjustRightInd w:val="0"/>
        <w:snapToGrid w:val="0"/>
        <w:spacing w:line="560" w:lineRule="exact"/>
        <w:ind w:firstLine="420" w:firstLineChars="200"/>
        <w:contextualSpacing/>
        <w:jc w:val="left"/>
        <w:rPr>
          <w:rFonts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（二）结果应用情况</w:t>
      </w:r>
    </w:p>
    <w:p w14:paraId="50626067">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包括部门自评质量、绩效目标公开和自评公开、评价结果整改和应用结果反馈等情况。</w:t>
      </w:r>
    </w:p>
    <w:p w14:paraId="34D69CEC">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202</w:t>
      </w:r>
      <w:r>
        <w:rPr>
          <w:rFonts w:hint="eastAsia" w:ascii="仿宋_GB2312" w:hAnsi="宋体"/>
          <w:sz w:val="30"/>
          <w:szCs w:val="30"/>
        </w:rPr>
        <w:t>2</w:t>
      </w:r>
      <w:r>
        <w:rPr>
          <w:rFonts w:hint="eastAsia" w:ascii="仿宋_GB2312" w:hAnsi="宋体"/>
          <w:sz w:val="30"/>
          <w:szCs w:val="30"/>
          <w:lang w:val="zh-CN"/>
        </w:rPr>
        <w:t>年，我单位严格按照工作进度执行预算，按时足额发放职工工资，以节约为本，严格控制公用经费支出，加强公务接待、公务用车规范管理。项目资金支出：严格按资金用途支付相关费用，严格执行绩效评价和项目进度分析，提高了资金的使用效率，使困难群体基本生活得到了保障，促进了社会经济发展和和谐稳定，受益群众满意度达90%以上。完成了重点项目工作，一，202</w:t>
      </w:r>
      <w:r>
        <w:rPr>
          <w:rFonts w:hint="eastAsia" w:ascii="仿宋_GB2312" w:hAnsi="宋体"/>
          <w:sz w:val="30"/>
          <w:szCs w:val="30"/>
        </w:rPr>
        <w:t>2</w:t>
      </w:r>
      <w:r>
        <w:rPr>
          <w:rFonts w:hint="eastAsia" w:ascii="仿宋_GB2312" w:hAnsi="宋体"/>
          <w:sz w:val="30"/>
          <w:szCs w:val="30"/>
          <w:lang w:val="zh-CN"/>
        </w:rPr>
        <w:t>年为符合政策的农村低保</w:t>
      </w:r>
      <w:r>
        <w:rPr>
          <w:rFonts w:hint="eastAsia" w:ascii="仿宋_GB2312" w:hAnsi="宋体"/>
          <w:sz w:val="30"/>
          <w:szCs w:val="30"/>
        </w:rPr>
        <w:t>7754户15407</w:t>
      </w:r>
      <w:r>
        <w:rPr>
          <w:rFonts w:hint="eastAsia" w:ascii="仿宋_GB2312" w:hAnsi="宋体"/>
          <w:sz w:val="30"/>
          <w:szCs w:val="30"/>
          <w:lang w:val="zh-CN"/>
        </w:rPr>
        <w:t>人员发放农村低保</w:t>
      </w:r>
      <w:r>
        <w:rPr>
          <w:rFonts w:hint="eastAsia" w:ascii="仿宋_GB2312" w:hAnsi="宋体"/>
          <w:sz w:val="30"/>
          <w:szCs w:val="30"/>
        </w:rPr>
        <w:t>4201.94</w:t>
      </w:r>
      <w:r>
        <w:rPr>
          <w:rFonts w:hint="eastAsia" w:ascii="仿宋_GB2312" w:hAnsi="宋体"/>
          <w:sz w:val="30"/>
          <w:szCs w:val="30"/>
          <w:lang w:val="zh-CN"/>
        </w:rPr>
        <w:t>万元，农村低保人均月补助达</w:t>
      </w:r>
      <w:r>
        <w:rPr>
          <w:rFonts w:hint="eastAsia" w:ascii="仿宋_GB2312" w:hAnsi="宋体"/>
          <w:sz w:val="30"/>
          <w:szCs w:val="30"/>
        </w:rPr>
        <w:t>226</w:t>
      </w:r>
      <w:r>
        <w:rPr>
          <w:rFonts w:hint="eastAsia" w:ascii="仿宋_GB2312" w:hAnsi="宋体"/>
          <w:sz w:val="30"/>
          <w:szCs w:val="30"/>
          <w:lang w:val="zh-CN"/>
        </w:rPr>
        <w:t xml:space="preserve">元；为符合政策城市低保人员 </w:t>
      </w:r>
      <w:r>
        <w:rPr>
          <w:rFonts w:hint="eastAsia" w:ascii="仿宋_GB2312" w:hAnsi="宋体"/>
          <w:sz w:val="30"/>
          <w:szCs w:val="30"/>
        </w:rPr>
        <w:t>367</w:t>
      </w:r>
      <w:r>
        <w:rPr>
          <w:rFonts w:hint="eastAsia" w:ascii="仿宋_GB2312" w:hAnsi="宋体"/>
          <w:sz w:val="30"/>
          <w:szCs w:val="30"/>
          <w:lang w:val="zh-CN"/>
        </w:rPr>
        <w:t>人发放城镇低保金</w:t>
      </w:r>
      <w:r>
        <w:rPr>
          <w:rFonts w:hint="eastAsia" w:ascii="仿宋_GB2312" w:hAnsi="宋体"/>
          <w:sz w:val="30"/>
          <w:szCs w:val="30"/>
        </w:rPr>
        <w:t>139.71</w:t>
      </w:r>
      <w:r>
        <w:rPr>
          <w:rFonts w:hint="eastAsia" w:ascii="仿宋_GB2312" w:hAnsi="宋体"/>
          <w:sz w:val="30"/>
          <w:szCs w:val="30"/>
          <w:lang w:val="zh-CN"/>
        </w:rPr>
        <w:t>万元，城镇低保人均月补助达3</w:t>
      </w:r>
      <w:r>
        <w:rPr>
          <w:rFonts w:hint="eastAsia" w:ascii="仿宋_GB2312" w:hAnsi="宋体"/>
          <w:sz w:val="30"/>
          <w:szCs w:val="30"/>
        </w:rPr>
        <w:t>55</w:t>
      </w:r>
      <w:r>
        <w:rPr>
          <w:rFonts w:hint="eastAsia" w:ascii="仿宋_GB2312" w:hAnsi="宋体"/>
          <w:sz w:val="30"/>
          <w:szCs w:val="30"/>
          <w:lang w:val="zh-CN"/>
        </w:rPr>
        <w:t>元。二，社会救助水平不断提升，全年共救助困难群众</w:t>
      </w:r>
      <w:r>
        <w:rPr>
          <w:rFonts w:hint="eastAsia" w:ascii="仿宋_GB2312" w:hAnsi="宋体"/>
          <w:sz w:val="30"/>
          <w:szCs w:val="30"/>
        </w:rPr>
        <w:t>64户344</w:t>
      </w:r>
      <w:r>
        <w:rPr>
          <w:rFonts w:hint="eastAsia" w:ascii="仿宋_GB2312" w:hAnsi="宋体"/>
          <w:sz w:val="30"/>
          <w:szCs w:val="30"/>
          <w:lang w:val="zh-CN"/>
        </w:rPr>
        <w:t>人次，解决临时救助资金</w:t>
      </w:r>
      <w:r>
        <w:rPr>
          <w:rFonts w:hint="eastAsia" w:ascii="仿宋_GB2312" w:hAnsi="宋体"/>
          <w:sz w:val="30"/>
          <w:szCs w:val="30"/>
        </w:rPr>
        <w:t>33.53</w:t>
      </w:r>
      <w:r>
        <w:rPr>
          <w:rFonts w:hint="eastAsia" w:ascii="仿宋_GB2312" w:hAnsi="宋体"/>
          <w:sz w:val="30"/>
          <w:szCs w:val="30"/>
          <w:lang w:val="zh-CN"/>
        </w:rPr>
        <w:t>万元；</w:t>
      </w:r>
      <w:r>
        <w:rPr>
          <w:rFonts w:hint="eastAsia" w:ascii="仿宋_GB2312" w:hAnsi="宋体"/>
          <w:color w:val="000000" w:themeColor="text1"/>
          <w:sz w:val="30"/>
          <w:szCs w:val="30"/>
          <w:lang w:val="zh-CN"/>
          <w14:textFill>
            <w14:solidFill>
              <w14:schemeClr w14:val="tx1"/>
            </w14:solidFill>
          </w14:textFill>
        </w:rPr>
        <w:t>为全县1</w:t>
      </w:r>
      <w:r>
        <w:rPr>
          <w:rFonts w:hint="eastAsia" w:ascii="仿宋_GB2312" w:hAnsi="宋体"/>
          <w:color w:val="000000" w:themeColor="text1"/>
          <w:sz w:val="30"/>
          <w:szCs w:val="30"/>
          <w14:textFill>
            <w14:solidFill>
              <w14:schemeClr w14:val="tx1"/>
            </w14:solidFill>
          </w14:textFill>
        </w:rPr>
        <w:t>7</w:t>
      </w:r>
      <w:r>
        <w:rPr>
          <w:rFonts w:hint="eastAsia" w:ascii="仿宋_GB2312" w:hAnsi="宋体"/>
          <w:color w:val="000000" w:themeColor="text1"/>
          <w:sz w:val="30"/>
          <w:szCs w:val="30"/>
          <w:lang w:val="zh-CN"/>
          <w14:textFill>
            <w14:solidFill>
              <w14:schemeClr w14:val="tx1"/>
            </w14:solidFill>
          </w14:textFill>
        </w:rPr>
        <w:t>名孤儿和</w:t>
      </w:r>
      <w:r>
        <w:rPr>
          <w:rFonts w:hint="eastAsia" w:ascii="仿宋_GB2312" w:hAnsi="宋体"/>
          <w:color w:val="000000" w:themeColor="text1"/>
          <w:sz w:val="30"/>
          <w:szCs w:val="30"/>
          <w14:textFill>
            <w14:solidFill>
              <w14:schemeClr w14:val="tx1"/>
            </w14:solidFill>
          </w14:textFill>
        </w:rPr>
        <w:t>21</w:t>
      </w:r>
      <w:r>
        <w:rPr>
          <w:rFonts w:hint="eastAsia" w:ascii="仿宋_GB2312" w:hAnsi="宋体"/>
          <w:color w:val="000000" w:themeColor="text1"/>
          <w:sz w:val="30"/>
          <w:szCs w:val="30"/>
          <w:lang w:val="zh-CN"/>
          <w14:textFill>
            <w14:solidFill>
              <w14:schemeClr w14:val="tx1"/>
            </w14:solidFill>
          </w14:textFill>
        </w:rPr>
        <w:t>名无人抚养事实孤儿发放生活补助资金</w:t>
      </w:r>
      <w:r>
        <w:rPr>
          <w:rFonts w:hint="eastAsia" w:ascii="仿宋_GB2312" w:hAnsi="宋体"/>
          <w:color w:val="000000" w:themeColor="text1"/>
          <w:sz w:val="30"/>
          <w:szCs w:val="30"/>
          <w14:textFill>
            <w14:solidFill>
              <w14:schemeClr w14:val="tx1"/>
            </w14:solidFill>
          </w14:textFill>
        </w:rPr>
        <w:t>53.22</w:t>
      </w:r>
      <w:r>
        <w:rPr>
          <w:rFonts w:hint="eastAsia" w:ascii="仿宋_GB2312" w:hAnsi="宋体"/>
          <w:color w:val="000000" w:themeColor="text1"/>
          <w:sz w:val="30"/>
          <w:szCs w:val="30"/>
          <w:lang w:val="zh-CN"/>
          <w14:textFill>
            <w14:solidFill>
              <w14:schemeClr w14:val="tx1"/>
            </w14:solidFill>
          </w14:textFill>
        </w:rPr>
        <w:t>万元；</w:t>
      </w:r>
      <w:r>
        <w:rPr>
          <w:rFonts w:hint="eastAsia" w:ascii="仿宋_GB2312" w:hAnsi="宋体"/>
          <w:sz w:val="30"/>
          <w:szCs w:val="30"/>
          <w:lang w:val="zh-CN"/>
        </w:rPr>
        <w:t>为</w:t>
      </w:r>
      <w:r>
        <w:rPr>
          <w:rFonts w:hint="eastAsia" w:ascii="仿宋_GB2312" w:hAnsi="宋体"/>
          <w:sz w:val="30"/>
          <w:szCs w:val="30"/>
        </w:rPr>
        <w:t>1084</w:t>
      </w:r>
      <w:r>
        <w:rPr>
          <w:rFonts w:hint="eastAsia" w:ascii="仿宋_GB2312" w:hAnsi="宋体"/>
          <w:sz w:val="30"/>
          <w:szCs w:val="30"/>
          <w:lang w:val="zh-CN"/>
        </w:rPr>
        <w:t>名分散农村特困供养人员和集中供养特困人员</w:t>
      </w:r>
      <w:r>
        <w:rPr>
          <w:rFonts w:hint="eastAsia" w:ascii="仿宋_GB2312" w:hAnsi="宋体"/>
          <w:sz w:val="30"/>
          <w:szCs w:val="30"/>
        </w:rPr>
        <w:t>160人</w:t>
      </w:r>
      <w:r>
        <w:rPr>
          <w:rFonts w:hint="eastAsia" w:ascii="仿宋_GB2312" w:hAnsi="宋体"/>
          <w:sz w:val="30"/>
          <w:szCs w:val="30"/>
          <w:lang w:val="zh-CN"/>
        </w:rPr>
        <w:t>发放生活补助</w:t>
      </w:r>
      <w:r>
        <w:rPr>
          <w:rFonts w:hint="eastAsia" w:ascii="仿宋_GB2312" w:hAnsi="宋体"/>
          <w:sz w:val="30"/>
          <w:szCs w:val="30"/>
        </w:rPr>
        <w:t>1235.56</w:t>
      </w:r>
      <w:r>
        <w:rPr>
          <w:rFonts w:hint="eastAsia" w:ascii="仿宋_GB2312" w:hAnsi="宋体"/>
          <w:sz w:val="30"/>
          <w:szCs w:val="30"/>
          <w:lang w:val="zh-CN"/>
        </w:rPr>
        <w:t>万元，使困难群众基本生活得到了保障，并促进了社会救助政策体系更加完善、管理制度更加健全、服务质量明显提升，群众满意度显著提高。三，持续加大残疾人救助保障力度。全年为</w:t>
      </w:r>
      <w:r>
        <w:rPr>
          <w:rFonts w:hint="eastAsia" w:ascii="仿宋_GB2312" w:hAnsi="宋体"/>
          <w:sz w:val="30"/>
          <w:szCs w:val="30"/>
        </w:rPr>
        <w:t>1187</w:t>
      </w:r>
      <w:r>
        <w:rPr>
          <w:rFonts w:hint="eastAsia" w:ascii="仿宋_GB2312" w:hAnsi="宋体"/>
          <w:sz w:val="30"/>
          <w:szCs w:val="30"/>
          <w:lang w:val="zh-CN"/>
        </w:rPr>
        <w:t>名困难残疾人发放生活补贴资金</w:t>
      </w:r>
      <w:r>
        <w:rPr>
          <w:rFonts w:hint="eastAsia" w:ascii="仿宋_GB2312" w:hAnsi="宋体"/>
          <w:sz w:val="30"/>
          <w:szCs w:val="30"/>
        </w:rPr>
        <w:t>142.58</w:t>
      </w:r>
      <w:r>
        <w:rPr>
          <w:rFonts w:hint="eastAsia" w:ascii="仿宋_GB2312" w:hAnsi="宋体"/>
          <w:sz w:val="30"/>
          <w:szCs w:val="30"/>
          <w:lang w:val="zh-CN"/>
        </w:rPr>
        <w:t>万元；为</w:t>
      </w:r>
      <w:r>
        <w:rPr>
          <w:rFonts w:hint="eastAsia" w:ascii="仿宋_GB2312" w:hAnsi="宋体"/>
          <w:sz w:val="30"/>
          <w:szCs w:val="30"/>
        </w:rPr>
        <w:t>994</w:t>
      </w:r>
      <w:r>
        <w:rPr>
          <w:rFonts w:hint="eastAsia" w:ascii="仿宋_GB2312" w:hAnsi="宋体"/>
          <w:sz w:val="30"/>
          <w:szCs w:val="30"/>
          <w:lang w:val="zh-CN"/>
        </w:rPr>
        <w:t>名重度残疾人发放生活护理补贴资金</w:t>
      </w:r>
      <w:r>
        <w:rPr>
          <w:rFonts w:hint="eastAsia" w:ascii="仿宋_GB2312" w:hAnsi="宋体"/>
          <w:sz w:val="30"/>
          <w:szCs w:val="30"/>
        </w:rPr>
        <w:t>97.35</w:t>
      </w:r>
      <w:r>
        <w:rPr>
          <w:rFonts w:hint="eastAsia" w:ascii="仿宋_GB2312" w:hAnsi="宋体"/>
          <w:sz w:val="30"/>
          <w:szCs w:val="30"/>
          <w:lang w:val="zh-CN"/>
        </w:rPr>
        <w:t>万元，使残疾人权益得到更好保障，进一步完善了社会保障制度体系。四，抓细抓好养老服务工作，全年为80岁以上</w:t>
      </w:r>
      <w:r>
        <w:rPr>
          <w:rFonts w:hint="eastAsia" w:ascii="仿宋_GB2312" w:hAnsi="宋体"/>
          <w:sz w:val="30"/>
          <w:szCs w:val="30"/>
        </w:rPr>
        <w:t xml:space="preserve"> 727</w:t>
      </w:r>
      <w:r>
        <w:rPr>
          <w:rFonts w:hint="eastAsia" w:ascii="仿宋_GB2312" w:hAnsi="宋体"/>
          <w:sz w:val="30"/>
          <w:szCs w:val="30"/>
          <w:lang w:val="zh-CN"/>
        </w:rPr>
        <w:t>名老人发放高龄津贴</w:t>
      </w:r>
      <w:r>
        <w:rPr>
          <w:rFonts w:hint="eastAsia" w:ascii="仿宋_GB2312" w:hAnsi="宋体"/>
          <w:sz w:val="30"/>
          <w:szCs w:val="30"/>
        </w:rPr>
        <w:t>75.361</w:t>
      </w:r>
      <w:r>
        <w:rPr>
          <w:rFonts w:hint="eastAsia" w:ascii="仿宋_GB2312" w:hAnsi="宋体"/>
          <w:sz w:val="30"/>
          <w:szCs w:val="30"/>
          <w:lang w:val="zh-CN"/>
        </w:rPr>
        <w:t>万元；对全县</w:t>
      </w:r>
      <w:r>
        <w:rPr>
          <w:rFonts w:hint="eastAsia" w:ascii="仿宋_GB2312" w:hAnsi="宋体"/>
          <w:sz w:val="30"/>
          <w:szCs w:val="30"/>
        </w:rPr>
        <w:t>4</w:t>
      </w:r>
      <w:r>
        <w:rPr>
          <w:rFonts w:hint="eastAsia" w:ascii="仿宋_GB2312" w:hAnsi="宋体"/>
          <w:sz w:val="30"/>
          <w:szCs w:val="30"/>
          <w:lang w:val="zh-CN"/>
        </w:rPr>
        <w:t>所农村敬老院（含康复村）进行消防设施设备采购、外墙粉刷、门窗折换、天棚吊顶、院内地坪、旱厕新建、线路改造等服务质量提升维修改造项目，使老年人幸福指数和满意度不断提高。并根据财政要求，每年都及时对单位预决算数据和绩效信息在政府门户网进行了公开。</w:t>
      </w:r>
    </w:p>
    <w:p w14:paraId="1CD77B52">
      <w:pPr>
        <w:widowControl/>
        <w:adjustRightInd w:val="0"/>
        <w:snapToGrid w:val="0"/>
        <w:spacing w:line="560" w:lineRule="exact"/>
        <w:ind w:firstLine="420" w:firstLineChars="200"/>
        <w:contextualSpacing/>
        <w:jc w:val="left"/>
        <w:rPr>
          <w:rFonts w:ascii="仿宋_GB2312" w:hAnsi="宋体" w:cs="宋体"/>
          <w:color w:val="000000"/>
          <w:kern w:val="0"/>
          <w:szCs w:val="32"/>
          <w:shd w:val="clear" w:color="auto" w:fill="FFFFFF"/>
          <w:lang w:val="zh-CN"/>
        </w:rPr>
      </w:pPr>
    </w:p>
    <w:p w14:paraId="7FAB3F86">
      <w:pPr>
        <w:widowControl/>
        <w:adjustRightInd w:val="0"/>
        <w:snapToGrid w:val="0"/>
        <w:spacing w:line="560" w:lineRule="exact"/>
        <w:ind w:firstLine="42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四、评价结论及建议</w:t>
      </w:r>
    </w:p>
    <w:p w14:paraId="78A3FF50">
      <w:pPr>
        <w:widowControl/>
        <w:adjustRightInd w:val="0"/>
        <w:snapToGrid w:val="0"/>
        <w:spacing w:line="560" w:lineRule="exact"/>
        <w:ind w:firstLine="420" w:firstLineChars="200"/>
        <w:contextualSpacing/>
        <w:jc w:val="left"/>
        <w:rPr>
          <w:rFonts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（一）评价结论</w:t>
      </w:r>
    </w:p>
    <w:p w14:paraId="7BD5B83D">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202</w:t>
      </w:r>
      <w:r>
        <w:rPr>
          <w:rFonts w:hint="eastAsia" w:ascii="仿宋_GB2312" w:hAnsi="宋体"/>
          <w:sz w:val="30"/>
          <w:szCs w:val="30"/>
        </w:rPr>
        <w:t>2</w:t>
      </w:r>
      <w:r>
        <w:rPr>
          <w:rFonts w:hint="eastAsia" w:ascii="仿宋_GB2312" w:hAnsi="宋体"/>
          <w:sz w:val="30"/>
          <w:szCs w:val="30"/>
          <w:lang w:val="zh-CN"/>
        </w:rPr>
        <w:t>年县级、州级对我单位部分项目资金也进行了绩效考评。总体来说，202</w:t>
      </w:r>
      <w:r>
        <w:rPr>
          <w:rFonts w:hint="eastAsia" w:ascii="仿宋_GB2312" w:hAnsi="宋体"/>
          <w:sz w:val="30"/>
          <w:szCs w:val="30"/>
        </w:rPr>
        <w:t>2</w:t>
      </w:r>
      <w:r>
        <w:rPr>
          <w:rFonts w:hint="eastAsia" w:ascii="仿宋_GB2312" w:hAnsi="宋体"/>
          <w:sz w:val="30"/>
          <w:szCs w:val="30"/>
          <w:lang w:val="zh-CN"/>
        </w:rPr>
        <w:t>年我单位绩效考评较好，从预算到执行、收入和支出、资产管理及预决算公开，都严格按照相关制度进行，全年收支平衡，略有结余，有效的保证了机构运转、圆满完成了上级下达的目标任务，取得了较大的经济效益和社会效益，也得到了政府部门的认可和社会保障对象的认可，自评得分9</w:t>
      </w:r>
      <w:r>
        <w:rPr>
          <w:rFonts w:hint="eastAsia" w:ascii="仿宋_GB2312" w:hAnsi="宋体"/>
          <w:sz w:val="30"/>
          <w:szCs w:val="30"/>
        </w:rPr>
        <w:t>4.5</w:t>
      </w:r>
      <w:r>
        <w:rPr>
          <w:rFonts w:hint="eastAsia" w:ascii="仿宋_GB2312" w:hAnsi="宋体"/>
          <w:sz w:val="30"/>
          <w:szCs w:val="30"/>
          <w:lang w:val="zh-CN"/>
        </w:rPr>
        <w:t>分。具体评分标准如下：</w:t>
      </w:r>
    </w:p>
    <w:p w14:paraId="36296932">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1、从预算管理指标情况看，预算执行较准确，执行进度严格按预算管理执行，部分资金支付进度缓慢，分值为10分，自评得分</w:t>
      </w:r>
      <w:r>
        <w:rPr>
          <w:rFonts w:hint="eastAsia" w:ascii="仿宋_GB2312" w:hAnsi="宋体"/>
          <w:sz w:val="30"/>
          <w:szCs w:val="30"/>
        </w:rPr>
        <w:t>8.5</w:t>
      </w:r>
      <w:r>
        <w:rPr>
          <w:rFonts w:hint="eastAsia" w:ascii="仿宋_GB2312" w:hAnsi="宋体"/>
          <w:sz w:val="30"/>
          <w:szCs w:val="30"/>
          <w:lang w:val="zh-CN"/>
        </w:rPr>
        <w:t>分。</w:t>
      </w:r>
    </w:p>
    <w:p w14:paraId="670BBDF1">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2、从目标管理情况看，</w:t>
      </w:r>
      <w:r>
        <w:rPr>
          <w:rFonts w:hint="eastAsia" w:ascii="仿宋_GB2312" w:hAnsi="宋体"/>
          <w:sz w:val="30"/>
          <w:szCs w:val="30"/>
        </w:rPr>
        <w:t>2022</w:t>
      </w:r>
      <w:r>
        <w:rPr>
          <w:rFonts w:hint="eastAsia" w:ascii="仿宋_GB2312" w:hAnsi="宋体"/>
          <w:sz w:val="30"/>
          <w:szCs w:val="30"/>
          <w:lang w:val="zh-CN"/>
        </w:rPr>
        <w:t>年部门预算目标填报均按要求编制专项资金绩效目标，填报内容规范，专项内项目、专项基金设定的绩效目标与部门职能职责一致，与绩效目标匹配，专项类项目、专项资金根据资金使用用途设定了相应的质量指标、成本指标、效益指标等分值为</w:t>
      </w:r>
      <w:r>
        <w:rPr>
          <w:rFonts w:hint="eastAsia" w:ascii="仿宋_GB2312" w:hAnsi="宋体"/>
          <w:sz w:val="30"/>
          <w:szCs w:val="30"/>
        </w:rPr>
        <w:t>10</w:t>
      </w:r>
      <w:r>
        <w:rPr>
          <w:rFonts w:hint="eastAsia" w:ascii="仿宋_GB2312" w:hAnsi="宋体"/>
          <w:sz w:val="30"/>
          <w:szCs w:val="30"/>
          <w:lang w:val="zh-CN"/>
        </w:rPr>
        <w:t>分，单位自评得分</w:t>
      </w:r>
      <w:r>
        <w:rPr>
          <w:rFonts w:hint="eastAsia" w:ascii="仿宋_GB2312" w:hAnsi="宋体"/>
          <w:sz w:val="30"/>
          <w:szCs w:val="30"/>
        </w:rPr>
        <w:t>8.5</w:t>
      </w:r>
      <w:r>
        <w:rPr>
          <w:rFonts w:hint="eastAsia" w:ascii="仿宋_GB2312" w:hAnsi="宋体"/>
          <w:sz w:val="30"/>
          <w:szCs w:val="30"/>
          <w:lang w:val="zh-CN"/>
        </w:rPr>
        <w:t>分。</w:t>
      </w:r>
    </w:p>
    <w:p w14:paraId="043309B1">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3、从部门管理情况来看:</w:t>
      </w:r>
    </w:p>
    <w:p w14:paraId="38244958">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基础管理：①2015年起我局就修定了《壤塘县民政局机关管理制度》，该管理制度中包括会议制定、学习制度、工作制度、请销假制度、后勤保障制度、财经管理制度、党风廉政建设制度，近年来又逐步完善了专项资金管理、资产管理、票据管理、厉行节约管理措施等规章制度，并于20</w:t>
      </w:r>
      <w:r>
        <w:rPr>
          <w:rFonts w:hint="eastAsia" w:ascii="仿宋_GB2312" w:hAnsi="宋体"/>
          <w:sz w:val="30"/>
          <w:szCs w:val="30"/>
        </w:rPr>
        <w:t>22</w:t>
      </w:r>
      <w:r>
        <w:rPr>
          <w:rFonts w:hint="eastAsia" w:ascii="仿宋_GB2312" w:hAnsi="宋体"/>
          <w:sz w:val="30"/>
          <w:szCs w:val="30"/>
          <w:lang w:val="zh-CN"/>
        </w:rPr>
        <w:t>年又制定了壤塘县民政局机关事业单位工作人员管理办法和民政局目标管理考核办法等。年底时以《20</w:t>
      </w:r>
      <w:r>
        <w:rPr>
          <w:rFonts w:hint="eastAsia" w:ascii="仿宋_GB2312" w:hAnsi="宋体"/>
          <w:sz w:val="30"/>
          <w:szCs w:val="30"/>
        </w:rPr>
        <w:t>22</w:t>
      </w:r>
      <w:r>
        <w:rPr>
          <w:rFonts w:hint="eastAsia" w:ascii="仿宋_GB2312" w:hAnsi="宋体"/>
          <w:sz w:val="30"/>
          <w:szCs w:val="30"/>
          <w:lang w:val="zh-CN"/>
        </w:rPr>
        <w:t>年壤塘县民政局目标管理考核办法》对机关股室、县社会福利服务中心及敬老院进行考核。总的来说我单位积极履职，强化管理，较好的完成了年度工作目标。通过加强预算收支管理，不断建立健全内部管理制度，梳理内部管理流程，部门整体支出管理水平得到提升。②年度支出的所有资金均由县财政局国库支付，支出符合国家财经法规和财务管理制度规定以及有关专项资金管理办法的规定；资金拨付有完整的审批程序和手续；资金使用无截留、挤占、挪用、虚列支出等情况 ；③制定了相应的财务监控监督措施， 执行监控监督措施执行力度不够，有待进一步加强。分值</w:t>
      </w:r>
      <w:r>
        <w:rPr>
          <w:rFonts w:hint="eastAsia" w:ascii="仿宋_GB2312" w:hAnsi="宋体"/>
          <w:sz w:val="30"/>
          <w:szCs w:val="30"/>
        </w:rPr>
        <w:t>4</w:t>
      </w:r>
      <w:r>
        <w:rPr>
          <w:rFonts w:hint="eastAsia" w:ascii="仿宋_GB2312" w:hAnsi="宋体"/>
          <w:sz w:val="30"/>
          <w:szCs w:val="30"/>
          <w:lang w:val="zh-CN"/>
        </w:rPr>
        <w:t>分，自评得分</w:t>
      </w:r>
      <w:r>
        <w:rPr>
          <w:rFonts w:hint="eastAsia" w:ascii="仿宋_GB2312" w:hAnsi="宋体"/>
          <w:sz w:val="30"/>
          <w:szCs w:val="30"/>
        </w:rPr>
        <w:t>3</w:t>
      </w:r>
      <w:r>
        <w:rPr>
          <w:rFonts w:hint="eastAsia" w:ascii="仿宋_GB2312" w:hAnsi="宋体"/>
          <w:sz w:val="30"/>
          <w:szCs w:val="30"/>
          <w:lang w:val="zh-CN"/>
        </w:rPr>
        <w:t>分。</w:t>
      </w:r>
    </w:p>
    <w:p w14:paraId="5F600F7D">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行政成本：202</w:t>
      </w:r>
      <w:r>
        <w:rPr>
          <w:rFonts w:hint="eastAsia" w:ascii="仿宋_GB2312" w:hAnsi="宋体"/>
          <w:sz w:val="30"/>
          <w:szCs w:val="30"/>
        </w:rPr>
        <w:t>2</w:t>
      </w:r>
      <w:r>
        <w:rPr>
          <w:rFonts w:hint="eastAsia" w:ascii="仿宋_GB2312" w:hAnsi="宋体"/>
          <w:sz w:val="30"/>
          <w:szCs w:val="30"/>
          <w:lang w:val="zh-CN"/>
        </w:rPr>
        <w:t>年“三公”经费预算数为</w:t>
      </w:r>
      <w:r>
        <w:rPr>
          <w:rFonts w:hint="eastAsia" w:ascii="仿宋_GB2312" w:hAnsi="宋体"/>
          <w:sz w:val="30"/>
          <w:szCs w:val="30"/>
        </w:rPr>
        <w:t>11.32</w:t>
      </w:r>
      <w:r>
        <w:rPr>
          <w:rFonts w:hint="eastAsia" w:ascii="仿宋_GB2312" w:hAnsi="宋体"/>
          <w:sz w:val="30"/>
          <w:szCs w:val="30"/>
          <w:lang w:val="zh-CN"/>
        </w:rPr>
        <w:t>万元，部门决算数为</w:t>
      </w:r>
      <w:r>
        <w:rPr>
          <w:rFonts w:hint="eastAsia" w:ascii="仿宋_GB2312" w:hAnsi="宋体"/>
          <w:sz w:val="30"/>
          <w:szCs w:val="30"/>
        </w:rPr>
        <w:t>11.32</w:t>
      </w:r>
      <w:r>
        <w:rPr>
          <w:rFonts w:hint="eastAsia" w:ascii="仿宋_GB2312" w:hAnsi="宋体"/>
          <w:sz w:val="30"/>
          <w:szCs w:val="30"/>
          <w:lang w:val="zh-CN"/>
        </w:rPr>
        <w:t>万元，完成预算数的100%，无超预算现象,分值</w:t>
      </w:r>
      <w:r>
        <w:rPr>
          <w:rFonts w:hint="eastAsia" w:ascii="仿宋_GB2312" w:hAnsi="宋体"/>
          <w:sz w:val="30"/>
          <w:szCs w:val="30"/>
        </w:rPr>
        <w:t>1</w:t>
      </w:r>
      <w:r>
        <w:rPr>
          <w:rFonts w:hint="eastAsia" w:ascii="仿宋_GB2312" w:hAnsi="宋体"/>
          <w:sz w:val="30"/>
          <w:szCs w:val="30"/>
          <w:lang w:val="zh-CN"/>
        </w:rPr>
        <w:t>分，自评得分</w:t>
      </w:r>
      <w:r>
        <w:rPr>
          <w:rFonts w:hint="eastAsia" w:ascii="仿宋_GB2312" w:hAnsi="宋体"/>
          <w:sz w:val="30"/>
          <w:szCs w:val="30"/>
        </w:rPr>
        <w:t>1</w:t>
      </w:r>
      <w:r>
        <w:rPr>
          <w:rFonts w:hint="eastAsia" w:ascii="仿宋_GB2312" w:hAnsi="宋体"/>
          <w:sz w:val="30"/>
          <w:szCs w:val="30"/>
          <w:lang w:val="zh-CN"/>
        </w:rPr>
        <w:t>分。</w:t>
      </w:r>
    </w:p>
    <w:p w14:paraId="6726337B">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政府采购：202</w:t>
      </w:r>
      <w:r>
        <w:rPr>
          <w:rFonts w:hint="eastAsia" w:ascii="仿宋_GB2312" w:hAnsi="宋体"/>
          <w:sz w:val="30"/>
          <w:szCs w:val="30"/>
        </w:rPr>
        <w:t>2</w:t>
      </w:r>
      <w:r>
        <w:rPr>
          <w:rFonts w:hint="eastAsia" w:ascii="仿宋_GB2312" w:hAnsi="宋体"/>
          <w:sz w:val="30"/>
          <w:szCs w:val="30"/>
          <w:lang w:val="zh-CN"/>
        </w:rPr>
        <w:t>年我单位政府采购项目均按相关程序进行，所有程序合规、合法。满分1分，单位自评得分1分。。</w:t>
      </w:r>
    </w:p>
    <w:p w14:paraId="0214D8E3">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资产管理：我单位资产由办公室统一分配管理，建立了资产管理台账，资产在用率达95%以上，分值为2分，自评得分2分。</w:t>
      </w:r>
    </w:p>
    <w:p w14:paraId="3F861AE3">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信息公开：202</w:t>
      </w:r>
      <w:r>
        <w:rPr>
          <w:rFonts w:hint="eastAsia" w:ascii="仿宋_GB2312" w:hAnsi="宋体"/>
          <w:sz w:val="30"/>
          <w:szCs w:val="30"/>
        </w:rPr>
        <w:t>2</w:t>
      </w:r>
      <w:r>
        <w:rPr>
          <w:rFonts w:hint="eastAsia" w:ascii="仿宋_GB2312" w:hAnsi="宋体"/>
          <w:sz w:val="30"/>
          <w:szCs w:val="30"/>
          <w:lang w:val="zh-CN"/>
        </w:rPr>
        <w:t>年部门预算和决算根据财政相关要求，在预算、决算批复后规定的工作日及时在政府门户网上进行公开，公开数据合法、真实，满分</w:t>
      </w:r>
      <w:r>
        <w:rPr>
          <w:rFonts w:hint="eastAsia" w:ascii="仿宋_GB2312" w:hAnsi="宋体"/>
          <w:sz w:val="30"/>
          <w:szCs w:val="30"/>
        </w:rPr>
        <w:t>2</w:t>
      </w:r>
      <w:r>
        <w:rPr>
          <w:rFonts w:hint="eastAsia" w:ascii="仿宋_GB2312" w:hAnsi="宋体"/>
          <w:sz w:val="30"/>
          <w:szCs w:val="30"/>
          <w:lang w:val="zh-CN"/>
        </w:rPr>
        <w:t>分，单位自评得分2分。</w:t>
      </w:r>
    </w:p>
    <w:p w14:paraId="1E414CCA">
      <w:pPr>
        <w:spacing w:line="560" w:lineRule="exact"/>
        <w:ind w:firstLine="600" w:firstLineChars="200"/>
        <w:jc w:val="left"/>
        <w:rPr>
          <w:rFonts w:ascii="仿宋_GB2312" w:hAnsi="宋体"/>
          <w:sz w:val="30"/>
          <w:szCs w:val="30"/>
          <w:lang w:val="zh-CN"/>
        </w:rPr>
      </w:pPr>
    </w:p>
    <w:p w14:paraId="5DF21CAD">
      <w:pPr>
        <w:spacing w:line="560" w:lineRule="exact"/>
        <w:ind w:firstLine="600" w:firstLineChars="200"/>
        <w:jc w:val="left"/>
        <w:rPr>
          <w:rFonts w:ascii="仿宋_GB2312" w:hAnsi="宋体"/>
          <w:sz w:val="30"/>
          <w:szCs w:val="30"/>
          <w:lang w:val="zh-CN"/>
        </w:rPr>
      </w:pPr>
      <w:r>
        <w:rPr>
          <w:rFonts w:hint="eastAsia" w:ascii="仿宋_GB2312" w:hAnsi="宋体"/>
          <w:sz w:val="30"/>
          <w:szCs w:val="30"/>
          <w:lang w:val="zh-CN"/>
        </w:rPr>
        <w:t>（4）从履职效能看（重点任务完成情况看）</w:t>
      </w:r>
    </w:p>
    <w:p w14:paraId="78D6556E">
      <w:pPr>
        <w:pStyle w:val="3"/>
        <w:spacing w:before="93"/>
        <w:rPr>
          <w:rFonts w:hAnsi="宋体" w:cs="宋体"/>
          <w:sz w:val="32"/>
          <w:szCs w:val="32"/>
          <w:shd w:val="clear" w:color="auto" w:fill="FFFFFF"/>
          <w:lang w:val="zh-CN"/>
        </w:rPr>
      </w:pPr>
      <w:r>
        <w:rPr>
          <w:rFonts w:hint="eastAsia" w:ascii="仿宋_GB2312" w:hAnsi="宋体"/>
          <w:sz w:val="30"/>
          <w:szCs w:val="30"/>
          <w:lang w:val="zh-CN"/>
        </w:rPr>
        <w:t>重点任务一：困难群众救助项目（即：</w:t>
      </w:r>
      <w:r>
        <w:rPr>
          <w:rFonts w:hint="eastAsia" w:ascii="仿宋_GB2312" w:hAnsi="宋体"/>
          <w:sz w:val="30"/>
          <w:szCs w:val="30"/>
        </w:rPr>
        <w:t>城乡低保、</w:t>
      </w:r>
      <w:r>
        <w:rPr>
          <w:rFonts w:hint="eastAsia" w:ascii="仿宋_GB2312" w:hAnsi="宋体"/>
          <w:sz w:val="30"/>
          <w:szCs w:val="30"/>
          <w:lang w:val="zh-CN"/>
        </w:rPr>
        <w:t>特困人员救助、临时救助、儿童福利）绩效目标完成情况综述。项目全年预算数</w:t>
      </w:r>
      <w:r>
        <w:rPr>
          <w:rFonts w:hint="eastAsia" w:ascii="仿宋_GB2312" w:hAnsi="宋体"/>
          <w:sz w:val="30"/>
          <w:szCs w:val="30"/>
        </w:rPr>
        <w:t>1266.22</w:t>
      </w:r>
      <w:r>
        <w:rPr>
          <w:rFonts w:hint="eastAsia" w:ascii="仿宋_GB2312" w:hAnsi="宋体"/>
          <w:sz w:val="30"/>
          <w:szCs w:val="30"/>
          <w:lang w:val="zh-CN"/>
        </w:rPr>
        <w:t>万元，执行数为</w:t>
      </w:r>
      <w:r>
        <w:rPr>
          <w:rFonts w:hint="eastAsia" w:ascii="仿宋_GB2312" w:hAnsi="宋体"/>
          <w:sz w:val="30"/>
          <w:szCs w:val="30"/>
        </w:rPr>
        <w:t>5872.08</w:t>
      </w:r>
      <w:r>
        <w:rPr>
          <w:rFonts w:hint="eastAsia" w:ascii="仿宋_GB2312" w:hAnsi="宋体"/>
          <w:sz w:val="30"/>
          <w:szCs w:val="30"/>
          <w:lang w:val="zh-CN"/>
        </w:rPr>
        <w:t>万元，</w:t>
      </w:r>
      <w:r>
        <w:rPr>
          <w:rFonts w:hint="eastAsia" w:ascii="仿宋_GB2312" w:hAnsi="宋体"/>
          <w:sz w:val="30"/>
          <w:szCs w:val="30"/>
        </w:rPr>
        <w:t>超额完成预算数</w:t>
      </w:r>
      <w:r>
        <w:rPr>
          <w:rFonts w:hint="eastAsia" w:ascii="仿宋_GB2312" w:hAnsi="宋体"/>
          <w:sz w:val="30"/>
          <w:szCs w:val="30"/>
          <w:lang w:val="zh-CN"/>
        </w:rPr>
        <w:t>。通过项目实施，保障</w:t>
      </w:r>
      <w:r>
        <w:rPr>
          <w:rFonts w:hint="eastAsia" w:ascii="仿宋_GB2312" w:hAnsi="宋体"/>
          <w:sz w:val="30"/>
          <w:szCs w:val="30"/>
        </w:rPr>
        <w:t>1244</w:t>
      </w:r>
      <w:r>
        <w:rPr>
          <w:rFonts w:hint="eastAsia" w:ascii="仿宋_GB2312" w:hAnsi="宋体"/>
          <w:sz w:val="30"/>
          <w:szCs w:val="30"/>
          <w:lang w:val="zh-CN"/>
        </w:rPr>
        <w:t>名特困人员和</w:t>
      </w:r>
      <w:r>
        <w:rPr>
          <w:rFonts w:hint="eastAsia" w:ascii="仿宋_GB2312" w:hAnsi="宋体"/>
          <w:color w:val="000000" w:themeColor="text1"/>
          <w:sz w:val="30"/>
          <w:szCs w:val="30"/>
          <w:lang w:val="zh-CN"/>
          <w14:textFill>
            <w14:solidFill>
              <w14:schemeClr w14:val="tx1"/>
            </w14:solidFill>
          </w14:textFill>
        </w:rPr>
        <w:t>1</w:t>
      </w:r>
      <w:r>
        <w:rPr>
          <w:rFonts w:hint="eastAsia" w:ascii="仿宋_GB2312" w:hAnsi="宋体"/>
          <w:color w:val="000000" w:themeColor="text1"/>
          <w:sz w:val="30"/>
          <w:szCs w:val="30"/>
          <w14:textFill>
            <w14:solidFill>
              <w14:schemeClr w14:val="tx1"/>
            </w14:solidFill>
          </w14:textFill>
        </w:rPr>
        <w:t>7</w:t>
      </w:r>
      <w:r>
        <w:rPr>
          <w:rFonts w:hint="eastAsia" w:ascii="仿宋_GB2312" w:hAnsi="宋体"/>
          <w:color w:val="000000" w:themeColor="text1"/>
          <w:sz w:val="30"/>
          <w:szCs w:val="30"/>
          <w:lang w:val="zh-CN"/>
          <w14:textFill>
            <w14:solidFill>
              <w14:schemeClr w14:val="tx1"/>
            </w14:solidFill>
          </w14:textFill>
        </w:rPr>
        <w:t>名孤儿和</w:t>
      </w:r>
      <w:r>
        <w:rPr>
          <w:rFonts w:hint="eastAsia" w:ascii="仿宋_GB2312" w:hAnsi="宋体"/>
          <w:color w:val="000000" w:themeColor="text1"/>
          <w:sz w:val="30"/>
          <w:szCs w:val="30"/>
          <w14:textFill>
            <w14:solidFill>
              <w14:schemeClr w14:val="tx1"/>
            </w14:solidFill>
          </w14:textFill>
        </w:rPr>
        <w:t>21</w:t>
      </w:r>
      <w:r>
        <w:rPr>
          <w:rFonts w:hint="eastAsia" w:ascii="仿宋_GB2312" w:hAnsi="宋体"/>
          <w:sz w:val="30"/>
          <w:szCs w:val="30"/>
          <w:lang w:val="zh-CN"/>
        </w:rPr>
        <w:t>名无人抚养事实孤儿、</w:t>
      </w:r>
      <w:r>
        <w:rPr>
          <w:rFonts w:hint="eastAsia" w:ascii="仿宋_GB2312" w:hAnsi="宋体"/>
          <w:sz w:val="30"/>
          <w:szCs w:val="30"/>
        </w:rPr>
        <w:t>344</w:t>
      </w:r>
      <w:r>
        <w:rPr>
          <w:rFonts w:hint="eastAsia" w:ascii="仿宋_GB2312" w:hAnsi="宋体"/>
          <w:sz w:val="30"/>
          <w:szCs w:val="30"/>
          <w:lang w:val="zh-CN"/>
        </w:rPr>
        <w:t>名临时救助对象基本生活和保障了困难群众因突发性、临时性造成的生活困难，能有效、及时的给予救助，提高困难群众的生活水平，促进了社会和谐稳定，取得了较好的社会效益和经济效益。分值为</w:t>
      </w:r>
      <w:r>
        <w:rPr>
          <w:rFonts w:hint="eastAsia" w:ascii="仿宋_GB2312" w:hAnsi="宋体"/>
          <w:sz w:val="30"/>
          <w:szCs w:val="30"/>
        </w:rPr>
        <w:t>12</w:t>
      </w:r>
      <w:r>
        <w:rPr>
          <w:rFonts w:hint="eastAsia" w:ascii="仿宋_GB2312" w:hAnsi="宋体"/>
          <w:sz w:val="30"/>
          <w:szCs w:val="30"/>
          <w:lang w:val="zh-CN"/>
        </w:rPr>
        <w:t>分，自评得分</w:t>
      </w:r>
      <w:r>
        <w:rPr>
          <w:rFonts w:hint="eastAsia" w:ascii="仿宋_GB2312" w:hAnsi="宋体"/>
          <w:sz w:val="30"/>
          <w:szCs w:val="30"/>
        </w:rPr>
        <w:t>11.5</w:t>
      </w:r>
      <w:r>
        <w:rPr>
          <w:rFonts w:hint="eastAsia" w:ascii="仿宋_GB2312" w:hAnsi="宋体"/>
          <w:sz w:val="30"/>
          <w:szCs w:val="30"/>
          <w:lang w:val="zh-CN"/>
        </w:rPr>
        <w:t>分。</w:t>
      </w:r>
    </w:p>
    <w:p w14:paraId="650D17B4">
      <w:pPr>
        <w:pStyle w:val="3"/>
        <w:spacing w:before="93"/>
        <w:rPr>
          <w:sz w:val="32"/>
          <w:szCs w:val="32"/>
        </w:rPr>
      </w:pPr>
      <w:r>
        <w:rPr>
          <w:rFonts w:hint="eastAsia" w:hAnsi="宋体" w:cs="宋体"/>
          <w:sz w:val="32"/>
          <w:szCs w:val="32"/>
          <w:shd w:val="clear" w:color="auto" w:fill="FFFFFF"/>
          <w:lang w:val="zh-CN"/>
        </w:rPr>
        <w:t>附件</w:t>
      </w:r>
      <w:r>
        <w:rPr>
          <w:rFonts w:hint="eastAsia" w:hAnsi="宋体" w:cs="宋体"/>
          <w:sz w:val="32"/>
          <w:szCs w:val="32"/>
          <w:shd w:val="clear" w:color="auto" w:fill="FFFFFF"/>
        </w:rPr>
        <w:t>2</w:t>
      </w:r>
    </w:p>
    <w:p w14:paraId="61BE72E9">
      <w:pPr>
        <w:spacing w:line="600" w:lineRule="exact"/>
        <w:jc w:val="center"/>
        <w:outlineLvl w:val="0"/>
        <w:rPr>
          <w:rFonts w:hint="eastAsia" w:ascii="方正小标宋简体" w:hAnsi="黑体" w:eastAsia="方正小标宋简体" w:cs="黑体"/>
          <w:sz w:val="44"/>
          <w:szCs w:val="44"/>
          <w:lang w:val="en-US" w:eastAsia="zh-CN"/>
        </w:rPr>
      </w:pPr>
      <w:bookmarkStart w:id="53" w:name="_Toc79163634"/>
      <w:bookmarkStart w:id="54" w:name="_Toc79163884"/>
      <w:r>
        <w:rPr>
          <w:rFonts w:hint="eastAsia" w:ascii="方正小标宋简体" w:hAnsi="黑体" w:eastAsia="方正小标宋简体" w:cs="黑体"/>
          <w:sz w:val="44"/>
          <w:szCs w:val="44"/>
          <w:lang w:val="en-US" w:eastAsia="zh-CN"/>
        </w:rPr>
        <w:t>困难残疾人生活补助</w:t>
      </w:r>
    </w:p>
    <w:p w14:paraId="476FA6B8">
      <w:pPr>
        <w:spacing w:line="600" w:lineRule="exact"/>
        <w:jc w:val="center"/>
        <w:outlineLvl w:val="0"/>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2</w:t>
      </w:r>
      <w:r>
        <w:rPr>
          <w:rFonts w:hint="eastAsia" w:ascii="方正小标宋简体" w:hAnsi="黑体" w:eastAsia="方正小标宋简体" w:cs="黑体"/>
          <w:sz w:val="44"/>
          <w:szCs w:val="44"/>
        </w:rPr>
        <w:t>年绩效评价报告</w:t>
      </w:r>
      <w:bookmarkEnd w:id="53"/>
      <w:bookmarkEnd w:id="54"/>
    </w:p>
    <w:p w14:paraId="171DDC6E">
      <w:pPr>
        <w:spacing w:line="600" w:lineRule="exact"/>
        <w:jc w:val="center"/>
        <w:outlineLvl w:val="0"/>
        <w:rPr>
          <w:rFonts w:hint="eastAsia" w:ascii="方正小标宋简体" w:hAnsi="黑体" w:eastAsia="方正小标宋简体" w:cs="黑体"/>
          <w:sz w:val="44"/>
          <w:szCs w:val="44"/>
          <w:lang w:val="zh-CN"/>
        </w:rPr>
      </w:pPr>
    </w:p>
    <w:p w14:paraId="7EBFE76F">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27632E34">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377D951C">
      <w:pPr>
        <w:adjustRightInd w:val="0"/>
        <w:snapToGrid w:val="0"/>
        <w:spacing w:line="600" w:lineRule="exact"/>
        <w:ind w:firstLine="72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1．说明项目主管部门（单位）在该项目管理中的职能。</w:t>
      </w:r>
    </w:p>
    <w:p w14:paraId="77734577">
      <w:pPr>
        <w:adjustRightInd w:val="0"/>
        <w:snapToGrid w:val="0"/>
        <w:spacing w:line="600" w:lineRule="exact"/>
        <w:ind w:firstLine="72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县民政局属于困难残疾人生活补贴资金主管单位，负责贯彻执行国家、省州关于民政工作的法律法规和方针政策，并负责资金的管理、发放。</w:t>
      </w:r>
    </w:p>
    <w:p w14:paraId="5E45A95F">
      <w:pPr>
        <w:numPr>
          <w:ilvl w:val="0"/>
          <w:numId w:val="0"/>
        </w:numPr>
        <w:adjustRightInd w:val="0"/>
        <w:snapToGrid w:val="0"/>
        <w:spacing w:line="600" w:lineRule="exact"/>
        <w:ind w:left="640" w:leftChars="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zh-CN" w:eastAsia="zh-CN" w:bidi="ar-SA"/>
        </w:rPr>
        <w:t>项目立项、资金申报的依据。</w:t>
      </w:r>
    </w:p>
    <w:p w14:paraId="3FF0CEB2">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目资金立项、申报根据中央、省、州有关文件规定，项目资金申报应符合下列条件：</w:t>
      </w:r>
    </w:p>
    <w:p w14:paraId="71158A44">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补贴对象为持有第二代残疾人证的四川省户籍低保对象。补贴标准2016年按每人每月60元执行，2017-2020 年每年提高10元，到2020年达到每人每月100元。</w:t>
      </w:r>
    </w:p>
    <w:p w14:paraId="21A9F3EF">
      <w:pPr>
        <w:numPr>
          <w:ilvl w:val="0"/>
          <w:numId w:val="0"/>
        </w:numPr>
        <w:adjustRightInd w:val="0"/>
        <w:snapToGrid w:val="0"/>
        <w:spacing w:line="60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zh-CN" w:eastAsia="zh-CN" w:bidi="ar-SA"/>
        </w:rPr>
        <w:t>资金管理办法制定情况，资金支持具体项目的条件、范围与支持方式概况。</w:t>
      </w:r>
    </w:p>
    <w:p w14:paraId="6E591D90">
      <w:pPr>
        <w:adjustRightInd w:val="0"/>
        <w:snapToGrid w:val="0"/>
        <w:spacing w:line="600" w:lineRule="exact"/>
        <w:ind w:firstLine="720"/>
        <w:rPr>
          <w:lang w:val="zh-CN"/>
        </w:rPr>
      </w:pPr>
      <w:r>
        <w:rPr>
          <w:rFonts w:hint="eastAsia" w:ascii="Times New Roman" w:hAnsi="Times New Roman" w:eastAsia="仿宋_GB2312" w:cs="Times New Roman"/>
          <w:kern w:val="2"/>
          <w:sz w:val="32"/>
          <w:szCs w:val="32"/>
          <w:lang w:val="zh-CN" w:eastAsia="zh-CN" w:bidi="ar-SA"/>
        </w:rPr>
        <w:t>为加强和规范民政专项资金的管理和使用，确保资金安全运行，提高资金使用效益，充分发挥民政专项资金在民政事业中的作用，根据《城市居民最低生活保障条例》、《农村居民最低生活保障工作条例》、《五保供养条例》、等有关文件，结合我县实际，制定民政专项资金管理办法。</w:t>
      </w:r>
    </w:p>
    <w:p w14:paraId="38AAF829">
      <w:pPr>
        <w:numPr>
          <w:ilvl w:val="0"/>
          <w:numId w:val="0"/>
        </w:numPr>
        <w:adjustRightInd w:val="0"/>
        <w:snapToGrid w:val="0"/>
        <w:spacing w:line="600" w:lineRule="exact"/>
        <w:ind w:left="640" w:leftChars="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4.</w:t>
      </w:r>
      <w:r>
        <w:rPr>
          <w:rFonts w:hint="eastAsia" w:ascii="仿宋_GB2312" w:hAnsi="宋体" w:eastAsia="仿宋_GB2312"/>
          <w:sz w:val="32"/>
          <w:szCs w:val="32"/>
          <w:lang w:val="zh-CN"/>
        </w:rPr>
        <w:t>资金分配的原则及考虑因素。</w:t>
      </w:r>
    </w:p>
    <w:p w14:paraId="733D9B81">
      <w:pPr>
        <w:spacing w:line="56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zh-CN" w:eastAsia="zh-CN" w:bidi="ar-SA"/>
        </w:rPr>
        <w:t>资金分配的原则及考虑因素：资金分配按照困难残疾人补贴人数、标准纳入地方财政预算安排，其中省财政按40%总体补助水平对三州和扩权县给予补助，</w:t>
      </w:r>
      <w:r>
        <w:rPr>
          <w:rFonts w:hint="eastAsia" w:ascii="Times New Roman" w:hAnsi="Times New Roman" w:eastAsia="仿宋_GB2312" w:cs="Times New Roman"/>
          <w:kern w:val="2"/>
          <w:sz w:val="32"/>
          <w:szCs w:val="32"/>
          <w:lang w:val="en-US" w:eastAsia="zh-CN" w:bidi="ar-SA"/>
        </w:rPr>
        <w:t>剩下60%中州级财政配套40%，县级财政配套60%。</w:t>
      </w:r>
    </w:p>
    <w:p w14:paraId="36DC73AD">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3AC86989">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zh-CN" w:eastAsia="zh-CN" w:bidi="ar-SA"/>
        </w:rPr>
        <w:t>项目主要内容。</w:t>
      </w:r>
    </w:p>
    <w:p w14:paraId="54967FE2">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对全县持有第二代残疾人证的四川省户籍低保对象，按每人每月100元标准发放困难残疾人生活补贴。</w:t>
      </w:r>
    </w:p>
    <w:p w14:paraId="6DB6D88D">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zh-CN" w:eastAsia="zh-CN" w:bidi="ar-SA"/>
        </w:rPr>
        <w:t>项目应实现的具体绩效目标，包括目标的量化、细化情况以及项目实施进度计划等。</w:t>
      </w:r>
    </w:p>
    <w:p w14:paraId="095292BA">
      <w:pPr>
        <w:spacing w:line="56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项目实现的具体绩效目标</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为全县在册的</w:t>
      </w:r>
      <w:r>
        <w:rPr>
          <w:rFonts w:hint="eastAsia" w:eastAsia="仿宋_GB2312" w:cs="Times New Roman"/>
          <w:kern w:val="2"/>
          <w:sz w:val="32"/>
          <w:szCs w:val="32"/>
          <w:lang w:val="en-US" w:eastAsia="zh-CN" w:bidi="ar-SA"/>
        </w:rPr>
        <w:t>1187</w:t>
      </w:r>
      <w:r>
        <w:rPr>
          <w:rFonts w:hint="eastAsia" w:ascii="Times New Roman" w:hAnsi="Times New Roman" w:eastAsia="仿宋_GB2312" w:cs="Times New Roman"/>
          <w:kern w:val="2"/>
          <w:sz w:val="32"/>
          <w:szCs w:val="32"/>
          <w:lang w:val="en-US" w:eastAsia="zh-CN" w:bidi="ar-SA"/>
        </w:rPr>
        <w:t>名残疾人按季度发放困难残疾人生活补贴。</w:t>
      </w:r>
    </w:p>
    <w:p w14:paraId="201342F5">
      <w:pPr>
        <w:spacing w:line="56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发放标准根据川民发〔2015〕195号文件精神，补贴标准从2016年按每人每月60元执行，2017年至2020年每年提高10元，2020年资金提高至每人每人100元。 </w:t>
      </w:r>
    </w:p>
    <w:p w14:paraId="1A4E8AE3">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zh-CN" w:eastAsia="zh-CN" w:bidi="ar-SA"/>
        </w:rPr>
        <w:t>分析评价申报内容</w:t>
      </w:r>
      <w:r>
        <w:rPr>
          <w:rFonts w:hint="eastAsia"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否与实际相符，申报目标</w:t>
      </w:r>
      <w:r>
        <w:rPr>
          <w:rFonts w:hint="eastAsia"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否合理可行。</w:t>
      </w:r>
    </w:p>
    <w:p w14:paraId="775A779A">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根据年度目标任务完成情况看，项目申报与实际相符，合理可行</w:t>
      </w:r>
      <w:r>
        <w:rPr>
          <w:rFonts w:hint="eastAsia" w:ascii="Times New Roman" w:hAnsi="Times New Roman" w:eastAsia="仿宋_GB2312" w:cs="Times New Roman"/>
          <w:kern w:val="2"/>
          <w:sz w:val="32"/>
          <w:szCs w:val="32"/>
          <w:lang w:val="zh-CN" w:eastAsia="zh-CN" w:bidi="ar-SA"/>
        </w:rPr>
        <w:t>。</w:t>
      </w:r>
    </w:p>
    <w:p w14:paraId="1F739679">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5730AADA">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说明项目绩效自评采用的组织实施步骤及方法。</w:t>
      </w:r>
    </w:p>
    <w:p w14:paraId="41D2F626">
      <w:pPr>
        <w:spacing w:line="56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否建立相关制度和专项资金管理办法，</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否明确资金类别、使用范围和标准、申报审批及拨付程序等。</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否擅自扩大支出范围，提高支出标准。</w:t>
      </w:r>
    </w:p>
    <w:p w14:paraId="3E593D06">
      <w:pPr>
        <w:spacing w:line="56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否加强资金管理，规范操作程序。</w:t>
      </w:r>
    </w:p>
    <w:p w14:paraId="6ABBB89F">
      <w:pPr>
        <w:spacing w:line="56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否组织申报、审批及资金发放。困难残疾人生活补贴资金</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否通过“一卡通”形式发放。</w:t>
      </w:r>
    </w:p>
    <w:p w14:paraId="5FE0A171">
      <w:pPr>
        <w:spacing w:line="56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否开展监督检查，保障对象</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否做到应保尽保、应退尽退。</w:t>
      </w:r>
    </w:p>
    <w:p w14:paraId="6310DBFB">
      <w:pPr>
        <w:adjustRightInd w:val="0"/>
        <w:snapToGrid w:val="0"/>
        <w:spacing w:line="600" w:lineRule="exact"/>
        <w:ind w:firstLine="960" w:firstLineChars="300"/>
        <w:rPr>
          <w:rFonts w:ascii="黑体" w:hAnsi="宋体" w:eastAsia="黑体"/>
          <w:sz w:val="32"/>
          <w:szCs w:val="32"/>
        </w:rPr>
      </w:pPr>
      <w:r>
        <w:rPr>
          <w:rFonts w:hint="eastAsia" w:ascii="黑体" w:hAnsi="宋体" w:eastAsia="黑体"/>
          <w:sz w:val="32"/>
          <w:szCs w:val="32"/>
        </w:rPr>
        <w:t>二、项目资金申报及使用情况</w:t>
      </w:r>
    </w:p>
    <w:p w14:paraId="38A6D5FE">
      <w:pPr>
        <w:spacing w:line="560" w:lineRule="exact"/>
        <w:ind w:firstLine="643" w:firstLineChars="200"/>
        <w:rPr>
          <w:rFonts w:hint="eastAsia" w:ascii="Times New Roman" w:hAnsi="Times New Roman" w:eastAsia="仿宋_GB2312" w:cs="Times New Roman"/>
          <w:b/>
          <w:bCs/>
          <w:kern w:val="2"/>
          <w:sz w:val="32"/>
          <w:szCs w:val="32"/>
          <w:lang w:val="zh-CN" w:eastAsia="zh-CN" w:bidi="ar-SA"/>
        </w:rPr>
      </w:pPr>
      <w:r>
        <w:rPr>
          <w:rFonts w:hint="eastAsia" w:ascii="Times New Roman" w:hAnsi="Times New Roman" w:eastAsia="仿宋_GB2312" w:cs="Times New Roman"/>
          <w:b/>
          <w:bCs/>
          <w:kern w:val="2"/>
          <w:sz w:val="32"/>
          <w:szCs w:val="32"/>
          <w:lang w:val="zh-CN" w:eastAsia="zh-CN" w:bidi="ar-SA"/>
        </w:rPr>
        <w:t>（一）项目资金申报及批复情况。</w:t>
      </w:r>
    </w:p>
    <w:p w14:paraId="4F4E6DE6">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说明项目资金申报、批复及预算调整等程序的相关情况。</w:t>
      </w:r>
    </w:p>
    <w:p w14:paraId="0E56D50B">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说明项目资金申报、批复及预算调整等程序的相关情况。</w:t>
      </w:r>
    </w:p>
    <w:p w14:paraId="4D41BD41">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项目资金申报</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根据上级有关文件规定发放标准及我县困难残疾在册人数预算申报。并根据壤财〔202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w:t>
      </w:r>
      <w:r>
        <w:rPr>
          <w:rFonts w:hint="eastAsia"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号壤塘县财政局关于批复202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年部门预算的通知，下达我局困难残疾人生活补贴资金</w:t>
      </w:r>
      <w:r>
        <w:rPr>
          <w:rFonts w:hint="eastAsia" w:eastAsia="仿宋_GB2312" w:cs="Times New Roman"/>
          <w:kern w:val="2"/>
          <w:sz w:val="32"/>
          <w:szCs w:val="32"/>
          <w:lang w:val="en-US" w:eastAsia="zh-CN" w:bidi="ar-SA"/>
        </w:rPr>
        <w:t>52.88</w:t>
      </w:r>
      <w:r>
        <w:rPr>
          <w:rFonts w:hint="eastAsia" w:ascii="Times New Roman" w:hAnsi="Times New Roman" w:eastAsia="仿宋_GB2312" w:cs="Times New Roman"/>
          <w:kern w:val="2"/>
          <w:sz w:val="32"/>
          <w:szCs w:val="32"/>
          <w:lang w:val="en-US" w:eastAsia="zh-CN" w:bidi="ar-SA"/>
        </w:rPr>
        <w:t>万元，上级下达资金</w:t>
      </w:r>
      <w:r>
        <w:rPr>
          <w:rFonts w:hint="eastAsia" w:eastAsia="仿宋_GB2312" w:cs="Times New Roman"/>
          <w:kern w:val="2"/>
          <w:sz w:val="32"/>
          <w:szCs w:val="32"/>
          <w:lang w:val="en-US" w:eastAsia="zh-CN" w:bidi="ar-SA"/>
        </w:rPr>
        <w:t>89.70</w:t>
      </w:r>
      <w:r>
        <w:rPr>
          <w:rFonts w:hint="eastAsia" w:ascii="Times New Roman" w:hAnsi="Times New Roman" w:eastAsia="仿宋_GB2312" w:cs="Times New Roman"/>
          <w:kern w:val="2"/>
          <w:sz w:val="32"/>
          <w:szCs w:val="32"/>
          <w:lang w:val="en-US" w:eastAsia="zh-CN" w:bidi="ar-SA"/>
        </w:rPr>
        <w:t>万元。</w:t>
      </w:r>
    </w:p>
    <w:p w14:paraId="38A112D4">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741CD636">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1．资金计划。</w:t>
      </w:r>
    </w:p>
    <w:p w14:paraId="57A64A52">
      <w:pPr>
        <w:spacing w:line="56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年部门预算时按202</w:t>
      </w:r>
      <w:r>
        <w:rPr>
          <w:rFonts w:hint="eastAsia"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年底在册困难群众人数计算，月标准为100元计算，计划全年共需资金</w:t>
      </w:r>
      <w:r>
        <w:rPr>
          <w:rFonts w:hint="eastAsia" w:eastAsia="仿宋_GB2312" w:cs="Times New Roman"/>
          <w:kern w:val="2"/>
          <w:sz w:val="32"/>
          <w:szCs w:val="32"/>
          <w:lang w:val="en-US" w:eastAsia="zh-CN" w:bidi="ar-SA"/>
        </w:rPr>
        <w:t>142.58</w:t>
      </w:r>
      <w:r>
        <w:rPr>
          <w:rFonts w:hint="eastAsia" w:ascii="Times New Roman" w:hAnsi="Times New Roman" w:eastAsia="仿宋_GB2312" w:cs="Times New Roman"/>
          <w:kern w:val="2"/>
          <w:sz w:val="32"/>
          <w:szCs w:val="32"/>
          <w:lang w:val="en-US" w:eastAsia="zh-CN" w:bidi="ar-SA"/>
        </w:rPr>
        <w:t>万元，其中上级补助</w:t>
      </w:r>
      <w:r>
        <w:rPr>
          <w:rFonts w:hint="eastAsia" w:eastAsia="仿宋_GB2312" w:cs="Times New Roman"/>
          <w:kern w:val="2"/>
          <w:sz w:val="32"/>
          <w:szCs w:val="32"/>
          <w:lang w:val="en-US" w:eastAsia="zh-CN" w:bidi="ar-SA"/>
        </w:rPr>
        <w:t>89.70</w:t>
      </w:r>
      <w:r>
        <w:rPr>
          <w:rFonts w:hint="eastAsia" w:ascii="Times New Roman" w:hAnsi="Times New Roman" w:eastAsia="仿宋_GB2312" w:cs="Times New Roman"/>
          <w:kern w:val="2"/>
          <w:sz w:val="32"/>
          <w:szCs w:val="32"/>
          <w:lang w:val="en-US" w:eastAsia="zh-CN" w:bidi="ar-SA"/>
        </w:rPr>
        <w:t>万元，县级预算资金</w:t>
      </w:r>
      <w:r>
        <w:rPr>
          <w:rFonts w:hint="eastAsia" w:eastAsia="仿宋_GB2312" w:cs="Times New Roman"/>
          <w:kern w:val="2"/>
          <w:sz w:val="32"/>
          <w:szCs w:val="32"/>
          <w:lang w:val="en-US" w:eastAsia="zh-CN" w:bidi="ar-SA"/>
        </w:rPr>
        <w:t>52.88</w:t>
      </w:r>
      <w:r>
        <w:rPr>
          <w:rFonts w:hint="eastAsia" w:ascii="Times New Roman" w:hAnsi="Times New Roman" w:eastAsia="仿宋_GB2312" w:cs="Times New Roman"/>
          <w:kern w:val="2"/>
          <w:sz w:val="32"/>
          <w:szCs w:val="32"/>
          <w:lang w:val="en-US" w:eastAsia="zh-CN" w:bidi="ar-SA"/>
        </w:rPr>
        <w:t>万元。</w:t>
      </w:r>
    </w:p>
    <w:p w14:paraId="63185F0B">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zh-CN" w:eastAsia="zh-CN" w:bidi="ar-SA"/>
        </w:rPr>
        <w:t>资金到位。</w:t>
      </w:r>
    </w:p>
    <w:p w14:paraId="59EDA199">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年实际到位残疾人生活补贴资金</w:t>
      </w:r>
      <w:r>
        <w:rPr>
          <w:rFonts w:hint="eastAsia" w:eastAsia="仿宋_GB2312" w:cs="Times New Roman"/>
          <w:kern w:val="2"/>
          <w:sz w:val="32"/>
          <w:szCs w:val="32"/>
          <w:lang w:val="en-US" w:eastAsia="zh-CN" w:bidi="ar-SA"/>
        </w:rPr>
        <w:t>142.58</w:t>
      </w:r>
      <w:r>
        <w:rPr>
          <w:rFonts w:hint="eastAsia" w:ascii="Times New Roman" w:hAnsi="Times New Roman" w:eastAsia="仿宋_GB2312" w:cs="Times New Roman"/>
          <w:kern w:val="2"/>
          <w:sz w:val="32"/>
          <w:szCs w:val="32"/>
          <w:lang w:val="en-US" w:eastAsia="zh-CN" w:bidi="ar-SA"/>
        </w:rPr>
        <w:t xml:space="preserve">万元，其中省级配套资金到位 </w:t>
      </w:r>
      <w:r>
        <w:rPr>
          <w:rFonts w:hint="eastAsia" w:eastAsia="仿宋_GB2312" w:cs="Times New Roman"/>
          <w:kern w:val="2"/>
          <w:sz w:val="32"/>
          <w:szCs w:val="32"/>
          <w:lang w:val="en-US" w:eastAsia="zh-CN" w:bidi="ar-SA"/>
        </w:rPr>
        <w:t>56.7</w:t>
      </w:r>
      <w:r>
        <w:rPr>
          <w:rFonts w:hint="eastAsia" w:ascii="Times New Roman" w:hAnsi="Times New Roman" w:eastAsia="仿宋_GB2312" w:cs="Times New Roman"/>
          <w:kern w:val="2"/>
          <w:sz w:val="32"/>
          <w:szCs w:val="32"/>
          <w:lang w:val="en-US" w:eastAsia="zh-CN" w:bidi="ar-SA"/>
        </w:rPr>
        <w:t xml:space="preserve"> 万元，州级配套资金到位</w:t>
      </w:r>
      <w:r>
        <w:rPr>
          <w:rFonts w:hint="eastAsia" w:eastAsia="仿宋_GB2312" w:cs="Times New Roman"/>
          <w:kern w:val="2"/>
          <w:sz w:val="32"/>
          <w:szCs w:val="32"/>
          <w:lang w:val="en-US" w:eastAsia="zh-CN" w:bidi="ar-SA"/>
        </w:rPr>
        <w:t>33</w:t>
      </w:r>
      <w:r>
        <w:rPr>
          <w:rFonts w:hint="eastAsia" w:ascii="Times New Roman" w:hAnsi="Times New Roman" w:eastAsia="仿宋_GB2312" w:cs="Times New Roman"/>
          <w:kern w:val="2"/>
          <w:sz w:val="32"/>
          <w:szCs w:val="32"/>
          <w:lang w:val="en-US" w:eastAsia="zh-CN" w:bidi="ar-SA"/>
        </w:rPr>
        <w:t xml:space="preserve"> 万元，县级配套资金到位</w:t>
      </w:r>
      <w:r>
        <w:rPr>
          <w:rFonts w:hint="eastAsia" w:eastAsia="仿宋_GB2312" w:cs="Times New Roman"/>
          <w:kern w:val="2"/>
          <w:sz w:val="32"/>
          <w:szCs w:val="32"/>
          <w:lang w:val="en-US" w:eastAsia="zh-CN" w:bidi="ar-SA"/>
        </w:rPr>
        <w:t>52.88</w:t>
      </w:r>
      <w:r>
        <w:rPr>
          <w:rFonts w:hint="eastAsia" w:ascii="Times New Roman" w:hAnsi="Times New Roman" w:eastAsia="仿宋_GB2312" w:cs="Times New Roman"/>
          <w:kern w:val="2"/>
          <w:sz w:val="32"/>
          <w:szCs w:val="32"/>
          <w:lang w:val="en-US" w:eastAsia="zh-CN" w:bidi="ar-SA"/>
        </w:rPr>
        <w:t>万元。</w:t>
      </w:r>
    </w:p>
    <w:p w14:paraId="01B61176">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zh-CN" w:eastAsia="zh-CN" w:bidi="ar-SA"/>
        </w:rPr>
        <w:t>资金使用。</w:t>
      </w:r>
    </w:p>
    <w:p w14:paraId="527D1C83">
      <w:pPr>
        <w:spacing w:line="560" w:lineRule="exact"/>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困难残疾人资金属动态管理，应保尽保，应退尽退。202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年我局为</w:t>
      </w:r>
      <w:r>
        <w:rPr>
          <w:rFonts w:hint="eastAsia" w:eastAsia="仿宋_GB2312" w:cs="Times New Roman"/>
          <w:kern w:val="2"/>
          <w:sz w:val="32"/>
          <w:szCs w:val="32"/>
          <w:lang w:val="en-US" w:eastAsia="zh-CN" w:bidi="ar-SA"/>
        </w:rPr>
        <w:t>1187</w:t>
      </w:r>
      <w:r>
        <w:rPr>
          <w:rFonts w:hint="eastAsia" w:ascii="Times New Roman" w:hAnsi="Times New Roman" w:eastAsia="仿宋_GB2312" w:cs="Times New Roman"/>
          <w:kern w:val="2"/>
          <w:sz w:val="32"/>
          <w:szCs w:val="32"/>
          <w:lang w:val="en-US" w:eastAsia="zh-CN" w:bidi="ar-SA"/>
        </w:rPr>
        <w:t>名符合政策困难残疾人发放生活补贴</w:t>
      </w:r>
      <w:r>
        <w:rPr>
          <w:rFonts w:hint="eastAsia" w:eastAsia="仿宋_GB2312" w:cs="Times New Roman"/>
          <w:kern w:val="2"/>
          <w:sz w:val="32"/>
          <w:szCs w:val="32"/>
          <w:lang w:val="en-US" w:eastAsia="zh-CN" w:bidi="ar-SA"/>
        </w:rPr>
        <w:t>142.58</w:t>
      </w:r>
      <w:r>
        <w:rPr>
          <w:rFonts w:hint="eastAsia" w:ascii="Times New Roman" w:hAnsi="Times New Roman" w:eastAsia="仿宋_GB2312" w:cs="Times New Roman"/>
          <w:kern w:val="2"/>
          <w:sz w:val="32"/>
          <w:szCs w:val="32"/>
          <w:lang w:val="en-US" w:eastAsia="zh-CN" w:bidi="ar-SA"/>
        </w:rPr>
        <w:t>万元，支付率达100%。资金支付按季度及时发放，支付依据合格，均严格按照资金用途和使用范围执行，无不合规，超标准发放现象，与预算相符。</w:t>
      </w:r>
    </w:p>
    <w:p w14:paraId="21D825EB">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57659A00">
      <w:pPr>
        <w:spacing w:line="560" w:lineRule="exact"/>
        <w:ind w:firstLine="800" w:firstLineChars="25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按照项目的工作要求，建立了完善财务管理制度，规范了资金的管理和使用范围，资金运行规范，专款专用，资金的拨付使用也有完整的审批过程和手续，财政专项资金使用的规范性和安全性有保障</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单位财务会计根据本单位实际发生的业务事项及时进行会计核算，填制会计凭证、登记会计帐簿，编制会计报表，保证了每笔业务的真实性、合法性。</w:t>
      </w:r>
    </w:p>
    <w:p w14:paraId="73108309">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792D6DBD">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14:paraId="5469382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14:paraId="6635136C">
      <w:pPr>
        <w:adjustRightInd w:val="0"/>
        <w:snapToGrid w:val="0"/>
        <w:spacing w:line="600" w:lineRule="exact"/>
        <w:ind w:firstLine="72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1、建立相关制度，明确了相关责任，提高资金使用效率，并制定了民政专项资金管理办法，明确了资金类别、使用范围和标准、申报审批及拨付程序等。要求不得擅自扩大支出范围，提高支出标准。</w:t>
      </w:r>
    </w:p>
    <w:p w14:paraId="6ED1B15C">
      <w:pPr>
        <w:widowControl/>
        <w:shd w:val="clear" w:color="auto" w:fill="FFFFFF"/>
        <w:spacing w:line="600" w:lineRule="atLeast"/>
        <w:ind w:firstLine="64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000000"/>
          <w:kern w:val="0"/>
          <w:sz w:val="32"/>
          <w:szCs w:val="32"/>
        </w:rPr>
        <w:t>2、加强资金管理，规范操作程序。组织相关人员开展业务培训，重点培训救助系统使用、救助对象申报审批及资金拨付程序，并明确纪律要求。</w:t>
      </w:r>
    </w:p>
    <w:p w14:paraId="3FD6B640">
      <w:pPr>
        <w:widowControl/>
        <w:shd w:val="clear" w:color="auto" w:fill="FFFFFF"/>
        <w:spacing w:line="600" w:lineRule="atLeas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3、组织申报、审批及资金发放。</w:t>
      </w:r>
    </w:p>
    <w:p w14:paraId="719D3659">
      <w:pPr>
        <w:widowControl/>
        <w:shd w:val="clear" w:color="auto" w:fill="FFFFFF"/>
        <w:spacing w:line="600" w:lineRule="atLeas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自愿申请。残疾人两项补贴由残疾人向户籍所在地街道办事处或乡镇政府受理窗口提交书面申请。残疾人的法定监护人，法定赡养、抚养、扶养义务人，所在村民(居民)委员会或其他委托人可以代为办理申请事宜。申请残疾人两项补贴应持有第二代中华人民共和国残疾人证，并提交相关证明材料。</w:t>
      </w:r>
    </w:p>
    <w:p w14:paraId="1F31EC43">
      <w:pPr>
        <w:widowControl/>
        <w:shd w:val="clear" w:color="auto" w:fill="FFFFFF"/>
        <w:spacing w:line="600" w:lineRule="atLeas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逐级审核。街道办事处或乡镇政府依托社会救助、社会服务“一门受理、协同办理”机制，受理残疾人两项补贴申请并进行初审。困难残疾人生活补贴初审合格材料报县级残联审核，县级残联审核后报县级民政部门审定，县级民政部门审定合格后，在乡镇(街道)进行公示，公示无异议的，</w:t>
      </w:r>
    </w:p>
    <w:p w14:paraId="4F3194FD">
      <w:pPr>
        <w:widowControl/>
        <w:shd w:val="clear" w:color="auto" w:fill="FFFFFF"/>
        <w:spacing w:line="600" w:lineRule="atLeas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报县财政部门申请资金。</w:t>
      </w:r>
    </w:p>
    <w:p w14:paraId="071A4627">
      <w:pPr>
        <w:widowControl/>
        <w:shd w:val="clear" w:color="auto" w:fill="FFFFFF"/>
        <w:spacing w:line="600"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补贴发放。补贴资格审定合格的残疾人自递交申请当月计发补贴。残疾人两项补贴按季发放,原则上实行社会化发放，困难残疾人生活补贴初审合格材料报县级残联审核，县级残联审核后报县级民政部门审定，县民政局审定无误后在乡镇(街道)进行公示，公示无异议的，资金发放通过“一卡通”形式发放至困难残疾人社会保障卡中。</w:t>
      </w:r>
    </w:p>
    <w:p w14:paraId="5EAC2C05">
      <w:pPr>
        <w:widowControl/>
        <w:shd w:val="clear" w:color="auto" w:fill="FFFFFF"/>
        <w:spacing w:line="600" w:lineRule="atLeast"/>
        <w:ind w:firstLine="640"/>
        <w:rPr>
          <w:rFonts w:hint="eastAsia" w:ascii="楷体_GB2312" w:hAnsi="宋体" w:eastAsia="楷体_GB2312"/>
          <w:b/>
          <w:sz w:val="32"/>
          <w:szCs w:val="32"/>
          <w:lang w:val="zh-CN"/>
        </w:rPr>
      </w:pPr>
      <w:r>
        <w:rPr>
          <w:rFonts w:hint="eastAsia" w:ascii="仿宋_GB2312" w:hAnsi="仿宋_GB2312" w:eastAsia="仿宋_GB2312" w:cs="仿宋_GB2312"/>
          <w:color w:val="000000"/>
          <w:kern w:val="0"/>
          <w:sz w:val="32"/>
          <w:szCs w:val="32"/>
        </w:rPr>
        <w:t>4、开展监督检查，成立由局长任组长，分管领导及相关业务股室人员为成员的残疾人两项资金专项监督检查领导小组，制定了社会救助领域专项监督检查工作方案，定期或不定期对全县各乡镇开展监督检查，对不符合条件的对象及时予以清退，基本做到应保尽保，应退尽退。</w:t>
      </w:r>
    </w:p>
    <w:p w14:paraId="59A68295">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14:paraId="3104AF8E">
      <w:pPr>
        <w:widowControl/>
        <w:shd w:val="clear" w:color="auto" w:fill="FFFFFF"/>
        <w:spacing w:line="600" w:lineRule="atLeast"/>
        <w:ind w:firstLine="640"/>
        <w:rPr>
          <w:rFonts w:hint="eastAsia"/>
          <w:lang w:val="zh-CN"/>
        </w:rPr>
      </w:pPr>
      <w:r>
        <w:rPr>
          <w:rFonts w:hint="eastAsia" w:ascii="仿宋_GB2312" w:hAnsi="仿宋_GB2312" w:eastAsia="仿宋_GB2312" w:cs="仿宋_GB2312"/>
          <w:color w:val="000000"/>
          <w:kern w:val="0"/>
          <w:sz w:val="32"/>
          <w:szCs w:val="32"/>
        </w:rPr>
        <w:t>根</w:t>
      </w:r>
      <w:r>
        <w:rPr>
          <w:rFonts w:hint="eastAsia" w:ascii="Times New Roman" w:hAnsi="Times New Roman" w:eastAsia="仿宋_GB2312" w:cs="Times New Roman"/>
          <w:kern w:val="2"/>
          <w:sz w:val="32"/>
          <w:szCs w:val="32"/>
          <w:lang w:val="en-US" w:eastAsia="zh-CN" w:bidi="ar-SA"/>
        </w:rPr>
        <w:t>据川民发〔2015〕195号文件</w:t>
      </w:r>
      <w:r>
        <w:rPr>
          <w:rFonts w:hint="eastAsia" w:ascii="仿宋_GB2312" w:hAnsi="仿宋_GB2312" w:eastAsia="仿宋_GB2312" w:cs="仿宋_GB2312"/>
          <w:color w:val="000000"/>
          <w:kern w:val="0"/>
          <w:sz w:val="32"/>
          <w:szCs w:val="32"/>
        </w:rPr>
        <w:t>精神，补贴标准按行现政策执行，资金分配标准达标，科学、合理。在本人自愿申请，逐级审核后，乡镇人民政府将困难残疾人生活补贴初审合格材料报县级残联审核，县残联核后交由县民民政审定，县民政局审定合格后，在乡镇(街道)进行公示，公示无异议后由民政部门申请拨付资金，资金通过“一卡通”形式按季度发放至保障对象社会保障卡中。</w:t>
      </w:r>
    </w:p>
    <w:p w14:paraId="24FAA0E0">
      <w:pPr>
        <w:numPr>
          <w:ilvl w:val="0"/>
          <w:numId w:val="6"/>
        </w:numPr>
        <w:adjustRightInd w:val="0"/>
        <w:snapToGrid w:val="0"/>
        <w:spacing w:line="600" w:lineRule="exact"/>
        <w:ind w:left="0" w:leftChars="0"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14:paraId="26B0979C">
      <w:pPr>
        <w:adjustRightInd w:val="0"/>
        <w:snapToGrid w:val="0"/>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有关规定，我局民政专项资金管理实行领导责任制。按局领导班子成员职责分工，各专项资金管理由分管业务领导负主要责任，项目分管业股室人员负直接责任，项目实施主要由各项目股室负责具体实施。对项目的申报、审批、实施、验收进行全程管理监督，并遵循统一调控、专款专用、权责分明、公开透明的原则，各项项目资金严格按照资金用途切实管理、使用好，杜绝项目资金被贪污、挪用、挤占、滥用的现象发生，提高了资金的使用效率。</w:t>
      </w:r>
    </w:p>
    <w:p w14:paraId="47C461F4">
      <w:pPr>
        <w:numPr>
          <w:ilvl w:val="0"/>
          <w:numId w:val="0"/>
        </w:numPr>
        <w:adjustRightInd w:val="0"/>
        <w:snapToGrid w:val="0"/>
        <w:spacing w:line="600" w:lineRule="exact"/>
        <w:ind w:firstLine="640" w:firstLineChars="20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14:paraId="3BF7962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635FA751">
      <w:pPr>
        <w:widowControl/>
        <w:shd w:val="clear" w:color="auto" w:fill="FFFFFF"/>
        <w:spacing w:line="600" w:lineRule="atLeast"/>
        <w:ind w:firstLine="64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年为</w:t>
      </w:r>
      <w:r>
        <w:rPr>
          <w:rFonts w:hint="eastAsia" w:eastAsia="仿宋_GB2312" w:cs="Times New Roman"/>
          <w:kern w:val="2"/>
          <w:sz w:val="32"/>
          <w:szCs w:val="32"/>
          <w:lang w:val="en-US" w:eastAsia="zh-CN" w:bidi="ar-SA"/>
        </w:rPr>
        <w:t>1187</w:t>
      </w:r>
      <w:r>
        <w:rPr>
          <w:rFonts w:hint="eastAsia" w:ascii="Times New Roman" w:hAnsi="Times New Roman" w:eastAsia="仿宋_GB2312" w:cs="Times New Roman"/>
          <w:kern w:val="2"/>
          <w:sz w:val="32"/>
          <w:szCs w:val="32"/>
          <w:lang w:val="en-US" w:eastAsia="zh-CN" w:bidi="ar-SA"/>
        </w:rPr>
        <w:t>名困难残疾人发放生活补贴资金</w:t>
      </w:r>
      <w:r>
        <w:rPr>
          <w:rFonts w:hint="eastAsia" w:eastAsia="仿宋_GB2312" w:cs="Times New Roman"/>
          <w:kern w:val="2"/>
          <w:sz w:val="32"/>
          <w:szCs w:val="32"/>
          <w:lang w:val="en-US" w:eastAsia="zh-CN" w:bidi="ar-SA"/>
        </w:rPr>
        <w:t>142.58</w:t>
      </w:r>
      <w:r>
        <w:rPr>
          <w:rFonts w:hint="eastAsia" w:ascii="Times New Roman" w:hAnsi="Times New Roman" w:eastAsia="仿宋_GB2312" w:cs="Times New Roman"/>
          <w:kern w:val="2"/>
          <w:sz w:val="32"/>
          <w:szCs w:val="32"/>
          <w:lang w:val="en-US" w:eastAsia="zh-CN" w:bidi="ar-SA"/>
        </w:rPr>
        <w:t>万元，完成率达100%，与年初预算相比，完成预算数的100%以上。从数量上看，符合政策的困难残疾人大部分都享受了这一政策，保障率达95%以上，年初预算目标基本实现。从质量上看，困难残疾人生活补贴资金有明确的资金申报、发放和监督管理规定，生活补贴发放均按资金用途和使用范围发放，发放标准按上级政策规定标准标准发放，无超标准和超范围现象。从时效上看，困难残疾人生活补贴资金均按季度及时兑现。 从成本上分析，确保了各项资金绩效目标的完成，提高了残疾人的生活水平</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 xml:space="preserve"> </w:t>
      </w:r>
    </w:p>
    <w:p w14:paraId="654F730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078BBB89">
      <w:pPr>
        <w:adjustRightInd w:val="0"/>
        <w:snapToGrid w:val="0"/>
        <w:spacing w:line="600" w:lineRule="exact"/>
        <w:ind w:firstLine="720"/>
        <w:rPr>
          <w:rFonts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从经济交效上看</w:t>
      </w:r>
      <w:r>
        <w:rPr>
          <w:rFonts w:hint="eastAsia" w:ascii="仿宋_GB2312" w:hAnsi="仿宋_GB2312" w:eastAsia="仿宋_GB2312" w:cs="仿宋_GB2312"/>
          <w:color w:val="000000"/>
          <w:kern w:val="0"/>
          <w:sz w:val="32"/>
          <w:szCs w:val="32"/>
        </w:rPr>
        <w:t>：建立困难残疾人生活补贴制度</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在一定程度上减轻重度残疾人生活负担，还提高了他们的生活水平，项目开展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可性的、必要的。</w:t>
      </w:r>
    </w:p>
    <w:p w14:paraId="7D6C8ACB">
      <w:pPr>
        <w:adjustRightInd w:val="0"/>
        <w:snapToGrid w:val="0"/>
        <w:spacing w:line="600" w:lineRule="exact"/>
        <w:ind w:firstLine="720"/>
        <w:rPr>
          <w:rFonts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从社会效益上看：</w:t>
      </w:r>
      <w:r>
        <w:rPr>
          <w:rFonts w:hint="eastAsia" w:ascii="仿宋_GB2312" w:hAnsi="仿宋_GB2312" w:eastAsia="仿宋_GB2312" w:cs="仿宋_GB2312"/>
          <w:color w:val="000000"/>
          <w:kern w:val="0"/>
          <w:sz w:val="32"/>
          <w:szCs w:val="32"/>
        </w:rPr>
        <w:t>维护了社会稳定，促进了社会和谐。困难群众大多为“老弱病残幼”，他们生活在社会的最底层，一旦遇到生活困难，基本没有任何经济来源，完全靠政府救助。因此，实施好困难群众救助，能有效解决弱势群众生存问题，平衡社会矛盾。</w:t>
      </w:r>
    </w:p>
    <w:p w14:paraId="7D154D49">
      <w:pPr>
        <w:adjustRightInd w:val="0"/>
        <w:snapToGrid w:val="0"/>
        <w:spacing w:line="600" w:lineRule="exact"/>
        <w:ind w:firstLine="720"/>
        <w:rPr>
          <w:rFonts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从</w:t>
      </w:r>
      <w:r>
        <w:rPr>
          <w:rFonts w:hint="eastAsia" w:ascii="仿宋_GB2312" w:hAnsi="仿宋_GB2312" w:eastAsia="仿宋_GB2312" w:cs="仿宋_GB2312"/>
          <w:b/>
          <w:sz w:val="32"/>
          <w:szCs w:val="32"/>
          <w:lang w:val="zh-CN"/>
        </w:rPr>
        <w:t>可持续效益上看：</w:t>
      </w:r>
      <w:r>
        <w:rPr>
          <w:rFonts w:hint="eastAsia" w:ascii="仿宋_GB2312" w:hAnsi="仿宋_GB2312" w:eastAsia="仿宋_GB2312" w:cs="仿宋_GB2312"/>
          <w:sz w:val="32"/>
          <w:szCs w:val="32"/>
          <w:lang w:val="zh-CN"/>
        </w:rPr>
        <w:t>困难残疾人保障制度进一步完善。</w:t>
      </w:r>
    </w:p>
    <w:p w14:paraId="0A46CF13">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从满意度指标上看</w:t>
      </w:r>
      <w:r>
        <w:rPr>
          <w:rFonts w:hint="eastAsia" w:ascii="仿宋_GB2312" w:hAnsi="仿宋_GB2312" w:eastAsia="仿宋_GB2312" w:cs="仿宋_GB2312"/>
          <w:color w:val="000000"/>
          <w:kern w:val="0"/>
          <w:sz w:val="32"/>
          <w:szCs w:val="32"/>
        </w:rPr>
        <w:t>：通过调查走访，困难群众对社会救助工作基本满意，群众满意度达9</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%以上。</w:t>
      </w:r>
    </w:p>
    <w:p w14:paraId="704EE199">
      <w:pPr>
        <w:adjustRightInd w:val="0"/>
        <w:snapToGrid w:val="0"/>
        <w:spacing w:line="600" w:lineRule="exact"/>
        <w:ind w:firstLine="640" w:firstLineChars="200"/>
        <w:rPr>
          <w:rFonts w:ascii="黑体" w:hAnsi="宋体" w:eastAsia="黑体"/>
          <w:sz w:val="32"/>
          <w:szCs w:val="32"/>
        </w:rPr>
      </w:pPr>
      <w:r>
        <w:rPr>
          <w:rFonts w:hint="eastAsia" w:ascii="黑体" w:hAnsi="宋体" w:eastAsia="黑体"/>
          <w:sz w:val="32"/>
          <w:szCs w:val="32"/>
        </w:rPr>
        <w:t>五、评价结论及建议</w:t>
      </w:r>
    </w:p>
    <w:p w14:paraId="50FDC88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610F4B8B">
      <w:pPr>
        <w:widowControl/>
        <w:shd w:val="clear" w:color="auto" w:fill="FFFFFF"/>
        <w:spacing w:line="600" w:lineRule="atLeast"/>
        <w:ind w:firstLine="64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年为</w:t>
      </w:r>
      <w:r>
        <w:rPr>
          <w:rFonts w:hint="eastAsia" w:eastAsia="仿宋_GB2312" w:cs="Times New Roman"/>
          <w:kern w:val="2"/>
          <w:sz w:val="32"/>
          <w:szCs w:val="32"/>
          <w:lang w:val="en-US" w:eastAsia="zh-CN" w:bidi="ar-SA"/>
        </w:rPr>
        <w:t>1187</w:t>
      </w:r>
      <w:r>
        <w:rPr>
          <w:rFonts w:hint="eastAsia" w:ascii="Times New Roman" w:hAnsi="Times New Roman" w:eastAsia="仿宋_GB2312" w:cs="Times New Roman"/>
          <w:kern w:val="2"/>
          <w:sz w:val="32"/>
          <w:szCs w:val="32"/>
          <w:lang w:val="en-US" w:eastAsia="zh-CN" w:bidi="ar-SA"/>
        </w:rPr>
        <w:t>名困难残疾人生活补贴</w:t>
      </w:r>
      <w:r>
        <w:rPr>
          <w:rFonts w:hint="eastAsia" w:eastAsia="仿宋_GB2312" w:cs="Times New Roman"/>
          <w:kern w:val="2"/>
          <w:sz w:val="32"/>
          <w:szCs w:val="32"/>
          <w:lang w:val="en-US" w:eastAsia="zh-CN" w:bidi="ar-SA"/>
        </w:rPr>
        <w:t>142.58</w:t>
      </w:r>
      <w:r>
        <w:rPr>
          <w:rFonts w:hint="eastAsia" w:ascii="Times New Roman" w:hAnsi="Times New Roman" w:eastAsia="仿宋_GB2312" w:cs="Times New Roman"/>
          <w:kern w:val="2"/>
          <w:sz w:val="32"/>
          <w:szCs w:val="32"/>
          <w:lang w:val="en-US" w:eastAsia="zh-CN" w:bidi="ar-SA"/>
        </w:rPr>
        <w:t>万元，从整体绩效上看：在项目执行过程中，严格实行专款专用，强化资金使用，完善了资金使用程序，项目管理合规，申报合理，与实施相符，项目的实施在一定程度上减轻重度残疾人生活负担，还提高了他们的生活水平，也体现了党和政府对弱势群体的关爱之情，还产生了良好的社会效益和经济效益，促进了社会的发展，从总的绩效评价来看，项目开展</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可性的、必要的，绩效目标设置明确、合理。</w:t>
      </w:r>
    </w:p>
    <w:p w14:paraId="0EDD8589">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5AEE3D62">
      <w:pPr>
        <w:widowControl/>
        <w:shd w:val="clear" w:color="auto" w:fill="FFFFFF"/>
        <w:spacing w:line="600" w:lineRule="atLeast"/>
        <w:ind w:firstLine="64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从2019年 “一卡通”实行以来，因我县困难群众文化素质偏低，对社会保障卡认识不足、不够重视，换卡、掉卡现象依然存在，导致每月资金打卡失败的现象</w:t>
      </w:r>
      <w:r>
        <w:rPr>
          <w:rFonts w:hint="eastAsia" w:ascii="Times New Roman" w:hAnsi="Times New Roman" w:eastAsia="仿宋_GB2312" w:cs="Times New Roman"/>
          <w:kern w:val="2"/>
          <w:sz w:val="32"/>
          <w:szCs w:val="32"/>
          <w:lang w:val="en-US" w:eastAsia="zh-CN" w:bidi="ar-SA"/>
        </w:rPr>
        <w:t>虽较上年有所好转，但</w:t>
      </w:r>
      <w:r>
        <w:rPr>
          <w:rFonts w:hint="eastAsia" w:ascii="Times New Roman" w:hAnsi="Times New Roman" w:eastAsia="仿宋_GB2312" w:cs="Times New Roman"/>
          <w:kern w:val="2"/>
          <w:sz w:val="32"/>
          <w:szCs w:val="32"/>
          <w:lang w:val="zh-CN" w:eastAsia="zh-CN" w:bidi="ar-SA"/>
        </w:rPr>
        <w:t>仍然</w:t>
      </w:r>
      <w:r>
        <w:rPr>
          <w:rFonts w:hint="eastAsia" w:ascii="Times New Roman" w:hAnsi="Times New Roman" w:eastAsia="仿宋_GB2312" w:cs="Times New Roman"/>
          <w:kern w:val="2"/>
          <w:sz w:val="32"/>
          <w:szCs w:val="32"/>
          <w:lang w:val="en-US" w:eastAsia="zh-CN" w:bidi="ar-SA"/>
        </w:rPr>
        <w:t>存在</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一</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从2019年 “一卡通”实行以来，因我县困难群众文化素质偏低，对社会保障卡认识不足、不够重视，换卡、掉卡现象依然存在，导致每月资金打卡失败的现象</w:t>
      </w:r>
      <w:r>
        <w:rPr>
          <w:rFonts w:hint="eastAsia" w:ascii="Times New Roman" w:hAnsi="Times New Roman" w:eastAsia="仿宋_GB2312" w:cs="Times New Roman"/>
          <w:kern w:val="2"/>
          <w:sz w:val="32"/>
          <w:szCs w:val="32"/>
          <w:lang w:val="en-US" w:eastAsia="zh-CN" w:bidi="ar-SA"/>
        </w:rPr>
        <w:t>虽较上年有所好转，但</w:t>
      </w:r>
      <w:r>
        <w:rPr>
          <w:rFonts w:hint="eastAsia" w:ascii="Times New Roman" w:hAnsi="Times New Roman" w:eastAsia="仿宋_GB2312" w:cs="Times New Roman"/>
          <w:kern w:val="2"/>
          <w:sz w:val="32"/>
          <w:szCs w:val="32"/>
          <w:lang w:val="zh-CN" w:eastAsia="zh-CN" w:bidi="ar-SA"/>
        </w:rPr>
        <w:t>仍然</w:t>
      </w:r>
      <w:r>
        <w:rPr>
          <w:rFonts w:hint="eastAsia" w:ascii="Times New Roman" w:hAnsi="Times New Roman" w:eastAsia="仿宋_GB2312" w:cs="Times New Roman"/>
          <w:kern w:val="2"/>
          <w:sz w:val="32"/>
          <w:szCs w:val="32"/>
          <w:lang w:val="en-US" w:eastAsia="zh-CN" w:bidi="ar-SA"/>
        </w:rPr>
        <w:t>存在</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二</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无相关经费支持，工作开展难度大。</w:t>
      </w:r>
    </w:p>
    <w:p w14:paraId="39A70FE9">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6F2B27D1">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针对项目自评中发现的问题，提出下一步改进完善的意见及有关政策性建议。</w:t>
      </w:r>
    </w:p>
    <w:p w14:paraId="0F8CCA03">
      <w:p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加大对困难群众政策宣传，特别</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“一卡通政策”的宣传，提高困难群众资金在广大群众中的认知度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力争困难群众打卡失败现象清零。</w:t>
      </w:r>
    </w:p>
    <w:p w14:paraId="3BF94F11">
      <w:pPr>
        <w:adjustRightInd w:val="0"/>
        <w:snapToGrid w:val="0"/>
        <w:spacing w:line="6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建立健全工作保障机制，建议增加一定比例的工作人员，并为基层适当安排一定的工作经费，确保基层有人做事，有钱做事。</w:t>
      </w:r>
    </w:p>
    <w:p w14:paraId="198E39A8">
      <w:pPr>
        <w:spacing w:line="600" w:lineRule="exact"/>
        <w:jc w:val="center"/>
        <w:rPr>
          <w:rFonts w:hint="eastAsia" w:ascii="方正小标宋_GBK" w:hAnsi="方正小标宋_GBK" w:eastAsia="方正小标宋_GBK" w:cs="方正小标宋_GBK"/>
          <w:color w:val="000000"/>
          <w:kern w:val="0"/>
          <w:sz w:val="44"/>
          <w:szCs w:val="44"/>
        </w:rPr>
      </w:pPr>
    </w:p>
    <w:p w14:paraId="52B2AA53">
      <w:pPr>
        <w:spacing w:line="600" w:lineRule="exact"/>
        <w:jc w:val="center"/>
        <w:rPr>
          <w:rFonts w:hint="eastAsia" w:ascii="方正小标宋_GBK" w:hAnsi="方正小标宋_GBK" w:eastAsia="方正小标宋_GBK" w:cs="方正小标宋_GBK"/>
          <w:color w:val="000000"/>
          <w:kern w:val="0"/>
          <w:sz w:val="44"/>
          <w:szCs w:val="44"/>
        </w:rPr>
      </w:pPr>
    </w:p>
    <w:p w14:paraId="311F1677">
      <w:pPr>
        <w:spacing w:line="600" w:lineRule="exact"/>
        <w:jc w:val="center"/>
        <w:rPr>
          <w:rFonts w:hint="eastAsia" w:ascii="方正小标宋_GBK" w:hAnsi="方正小标宋_GBK" w:eastAsia="方正小标宋_GBK" w:cs="方正小标宋_GBK"/>
          <w:color w:val="000000"/>
          <w:kern w:val="0"/>
          <w:sz w:val="44"/>
          <w:szCs w:val="44"/>
        </w:rPr>
      </w:pPr>
    </w:p>
    <w:p w14:paraId="0BF4A303">
      <w:pPr>
        <w:spacing w:line="600" w:lineRule="exact"/>
        <w:jc w:val="center"/>
        <w:rPr>
          <w:rFonts w:ascii="方正小标宋_GBK" w:hAnsi="方正小标宋_GBK" w:eastAsia="方正小标宋_GBK" w:cs="方正小标宋_GBK"/>
          <w:color w:val="000000"/>
          <w:kern w:val="0"/>
          <w:sz w:val="44"/>
          <w:szCs w:val="44"/>
        </w:rPr>
      </w:pPr>
      <w:r>
        <w:rPr>
          <w:rFonts w:hint="eastAsia" w:ascii="方正小标宋_GBK" w:hAnsi="方正小标宋_GBK" w:eastAsia="方正小标宋_GBK" w:cs="方正小标宋_GBK"/>
          <w:color w:val="000000"/>
          <w:kern w:val="0"/>
          <w:sz w:val="44"/>
          <w:szCs w:val="44"/>
        </w:rPr>
        <w:t>重度残疾人护理补贴</w:t>
      </w:r>
    </w:p>
    <w:p w14:paraId="1193F472">
      <w:pPr>
        <w:spacing w:line="600" w:lineRule="exact"/>
        <w:jc w:val="center"/>
        <w:rPr>
          <w:rFonts w:ascii="方正小标宋_GBK" w:hAnsi="方正小标宋_GBK" w:eastAsia="方正小标宋_GBK" w:cs="方正小标宋_GBK"/>
          <w:color w:val="000000"/>
          <w:kern w:val="0"/>
          <w:sz w:val="44"/>
          <w:szCs w:val="44"/>
          <w:lang w:val="zh-CN"/>
        </w:rPr>
      </w:pPr>
      <w:r>
        <w:rPr>
          <w:rFonts w:hint="eastAsia" w:ascii="方正小标宋_GBK" w:hAnsi="方正小标宋_GBK" w:eastAsia="方正小标宋_GBK" w:cs="方正小标宋_GBK"/>
          <w:color w:val="000000"/>
          <w:kern w:val="0"/>
          <w:sz w:val="44"/>
          <w:szCs w:val="44"/>
        </w:rPr>
        <w:t>202</w:t>
      </w:r>
      <w:r>
        <w:rPr>
          <w:rFonts w:hint="eastAsia" w:ascii="方正小标宋_GBK" w:hAnsi="方正小标宋_GBK" w:eastAsia="方正小标宋_GBK" w:cs="方正小标宋_GBK"/>
          <w:color w:val="000000"/>
          <w:kern w:val="0"/>
          <w:sz w:val="44"/>
          <w:szCs w:val="44"/>
          <w:lang w:val="en-US" w:eastAsia="zh-CN"/>
        </w:rPr>
        <w:t>2</w:t>
      </w:r>
      <w:r>
        <w:rPr>
          <w:rFonts w:hint="eastAsia" w:ascii="方正小标宋_GBK" w:hAnsi="方正小标宋_GBK" w:eastAsia="方正小标宋_GBK" w:cs="方正小标宋_GBK"/>
          <w:color w:val="000000"/>
          <w:kern w:val="0"/>
          <w:sz w:val="44"/>
          <w:szCs w:val="44"/>
        </w:rPr>
        <w:t>年</w:t>
      </w:r>
      <w:r>
        <w:rPr>
          <w:rFonts w:hint="eastAsia" w:ascii="方正小标宋_GBK" w:hAnsi="方正小标宋_GBK" w:eastAsia="方正小标宋_GBK" w:cs="方正小标宋_GBK"/>
          <w:color w:val="000000"/>
          <w:kern w:val="0"/>
          <w:sz w:val="44"/>
          <w:szCs w:val="44"/>
          <w:lang w:val="zh-CN"/>
        </w:rPr>
        <w:t>绩效评价报告</w:t>
      </w:r>
    </w:p>
    <w:p w14:paraId="29F54A08">
      <w:pPr>
        <w:spacing w:line="600" w:lineRule="exact"/>
        <w:rPr>
          <w:rFonts w:ascii="宋体" w:hAnsi="宋体"/>
          <w:sz w:val="32"/>
          <w:szCs w:val="32"/>
          <w:lang w:val="zh-CN"/>
        </w:rPr>
      </w:pPr>
    </w:p>
    <w:p w14:paraId="4567034D">
      <w:pPr>
        <w:adjustRightInd w:val="0"/>
        <w:snapToGrid w:val="0"/>
        <w:spacing w:line="600" w:lineRule="exact"/>
        <w:ind w:firstLine="72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49F3D870">
      <w:pPr>
        <w:adjustRightInd w:val="0"/>
        <w:snapToGrid w:val="0"/>
        <w:spacing w:line="60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14:paraId="4E0D7509">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说明项目主管部门（单位）在该项目管理中的职能。</w:t>
      </w:r>
    </w:p>
    <w:p w14:paraId="35ED200A">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县民政局属于困难群众救助资金主管单位，负责贯彻执行国家、省州关于民政工作的法律法规和方针政策，并负责资金的管理、发放。</w:t>
      </w:r>
    </w:p>
    <w:p w14:paraId="41939C47">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sz w:val="32"/>
          <w:szCs w:val="32"/>
          <w:lang w:val="zh-CN"/>
        </w:rPr>
        <w:t>项目立项、资金申报的依据。</w:t>
      </w:r>
    </w:p>
    <w:p w14:paraId="21DD999D">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项目资金立项、申报根据中央、省、州有关文件规定，项目资金申报应符合下列条件：</w:t>
      </w:r>
    </w:p>
    <w:p w14:paraId="33D069EB">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对持有二代残疾证、残疾等级为一级和二级的残疾人发放</w:t>
      </w:r>
      <w:r>
        <w:rPr>
          <w:rFonts w:hint="eastAsia" w:ascii="Times New Roman" w:hAnsi="Times New Roman" w:eastAsia="仿宋_GB2312" w:cs="Times New Roman"/>
          <w:kern w:val="2"/>
          <w:sz w:val="32"/>
          <w:szCs w:val="32"/>
          <w:lang w:val="en-US" w:eastAsia="zh-CN" w:bidi="ar-SA"/>
        </w:rPr>
        <w:t>护理补贴，补贴标准按现行政策执行，即：对一级重度残疾人按每人每月不低100元的标准给予护理补贴，对二级重度残疾人按每人每月不低于70元的标准给予护理补贴。</w:t>
      </w:r>
    </w:p>
    <w:p w14:paraId="4F1204A4">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资金管理办法制定情况，资金支持具体项目的条件、范围与支持方式概况。</w:t>
      </w:r>
    </w:p>
    <w:p w14:paraId="390658E4">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为加强和规范民政专项资金的管理和使用，确保资金安全运行，提高资金使用效益，充分发挥民政专项资金在民政事业中的作用，根据《城市居民最低生活保障条例》《农村居民最低生活保障工作条例》《五保供养条例》等有关文件，结合我县实际，制定民政专项资金管理办法。</w:t>
      </w:r>
    </w:p>
    <w:p w14:paraId="4EA77245">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资金分配的原则及考虑因素。</w:t>
      </w:r>
    </w:p>
    <w:p w14:paraId="52B316FD">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资金分配的原则及考虑因素：资金分配按照重度残疾人补贴人数、标准纳入地方财政预算安排，其中省财政按</w:t>
      </w:r>
      <w:r>
        <w:rPr>
          <w:rFonts w:hint="eastAsia" w:ascii="仿宋_GB2312" w:hAnsi="仿宋_GB2312" w:eastAsia="仿宋_GB2312" w:cs="仿宋_GB2312"/>
          <w:sz w:val="32"/>
          <w:szCs w:val="32"/>
          <w:lang w:val="en-US" w:eastAsia="zh-CN"/>
        </w:rPr>
        <w:t>49.55</w:t>
      </w:r>
      <w:r>
        <w:rPr>
          <w:rFonts w:hint="eastAsia" w:ascii="仿宋_GB2312" w:hAnsi="仿宋_GB2312" w:eastAsia="仿宋_GB2312" w:cs="仿宋_GB2312"/>
          <w:sz w:val="32"/>
          <w:szCs w:val="32"/>
        </w:rPr>
        <w:t>%总体补助水平对三州和扩权县给予补助。</w:t>
      </w:r>
    </w:p>
    <w:p w14:paraId="11569A06">
      <w:pPr>
        <w:adjustRightInd w:val="0"/>
        <w:snapToGrid w:val="0"/>
        <w:spacing w:line="600" w:lineRule="exact"/>
        <w:ind w:firstLine="7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（二）项目绩效目标</w:t>
      </w:r>
    </w:p>
    <w:p w14:paraId="6E99DFD8">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项目主要内容。</w:t>
      </w:r>
    </w:p>
    <w:p w14:paraId="16C25C27">
      <w:pPr>
        <w:adjustRightInd w:val="0"/>
        <w:snapToGrid w:val="0"/>
        <w:spacing w:line="600" w:lineRule="exact"/>
        <w:ind w:firstLine="720"/>
        <w:rPr>
          <w:rFonts w:hint="eastAsia"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sz w:val="32"/>
          <w:szCs w:val="32"/>
        </w:rPr>
        <w:t>对全县持有二代残疾证、残疾等级为一级和二级的残疾人发放护理补贴，补贴标准按现行政策执行，即：对一级重</w:t>
      </w:r>
      <w:r>
        <w:rPr>
          <w:rFonts w:hint="eastAsia" w:ascii="Times New Roman" w:hAnsi="Times New Roman" w:eastAsia="仿宋_GB2312" w:cs="Times New Roman"/>
          <w:kern w:val="2"/>
          <w:sz w:val="32"/>
          <w:szCs w:val="32"/>
          <w:lang w:val="en-US" w:eastAsia="zh-CN" w:bidi="ar-SA"/>
        </w:rPr>
        <w:t>度残疾人按每人每月不低100元的标准给予护理补贴，对二级重度残疾人按每人每月不低于70元的标准给予护理补贴。</w:t>
      </w:r>
    </w:p>
    <w:p w14:paraId="6FD7C401">
      <w:pPr>
        <w:adjustRightInd w:val="0"/>
        <w:snapToGrid w:val="0"/>
        <w:spacing w:line="600" w:lineRule="exact"/>
        <w:ind w:firstLine="72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项目应实现的具体绩效目标，包括目标的量化、细化情况以及项目实施进度计划等。</w:t>
      </w:r>
    </w:p>
    <w:p w14:paraId="4E34C85C">
      <w:pPr>
        <w:adjustRightInd w:val="0"/>
        <w:snapToGrid w:val="0"/>
        <w:spacing w:line="600" w:lineRule="exact"/>
        <w:ind w:firstLine="72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为全县在册的</w:t>
      </w:r>
      <w:r>
        <w:rPr>
          <w:rFonts w:hint="eastAsia" w:eastAsia="仿宋_GB2312" w:cs="Times New Roman"/>
          <w:kern w:val="2"/>
          <w:sz w:val="32"/>
          <w:szCs w:val="32"/>
          <w:lang w:val="en-US" w:eastAsia="zh-CN" w:bidi="ar-SA"/>
        </w:rPr>
        <w:t>994</w:t>
      </w:r>
      <w:r>
        <w:rPr>
          <w:rFonts w:hint="eastAsia" w:ascii="Times New Roman" w:hAnsi="Times New Roman" w:eastAsia="仿宋_GB2312" w:cs="Times New Roman"/>
          <w:kern w:val="2"/>
          <w:sz w:val="32"/>
          <w:szCs w:val="32"/>
          <w:lang w:val="en-US" w:eastAsia="zh-CN" w:bidi="ar-SA"/>
        </w:rPr>
        <w:t>名残疾人按季度发放重度残疾人护理补贴，对一级重度残疾人按每人每月不低100元的标准给予护理补贴，对二级重度残疾人按每人每月不低于70元的标准给予护理补贴。</w:t>
      </w:r>
    </w:p>
    <w:p w14:paraId="5DC45DB5">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分析评价申报内容，否与实际相符，申报目标，否合理可行。</w:t>
      </w:r>
    </w:p>
    <w:p w14:paraId="0E5C3C26">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rPr>
        <w:t>项目申报与实际相符，合理可行</w:t>
      </w:r>
      <w:r>
        <w:rPr>
          <w:rFonts w:hint="eastAsia" w:ascii="仿宋_GB2312" w:hAnsi="仿宋_GB2312" w:eastAsia="仿宋_GB2312" w:cs="仿宋_GB2312"/>
          <w:sz w:val="32"/>
          <w:szCs w:val="32"/>
          <w:lang w:val="zh-CN"/>
        </w:rPr>
        <w:t>。</w:t>
      </w:r>
    </w:p>
    <w:p w14:paraId="0117E592">
      <w:pPr>
        <w:adjustRightInd w:val="0"/>
        <w:snapToGrid w:val="0"/>
        <w:spacing w:line="60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14:paraId="1F5FDB0D">
      <w:pPr>
        <w:adjustRightInd w:val="0"/>
        <w:snapToGrid w:val="0"/>
        <w:spacing w:line="600" w:lineRule="exact"/>
        <w:ind w:firstLine="72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否建立相关制度和专项资金管理办法，</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否明确资金类别、使用范围和标准、申报审批及拨付程序等。</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否擅自扩大支出范围，提高支出标准。</w:t>
      </w:r>
    </w:p>
    <w:p w14:paraId="4CCE4F5C">
      <w:pPr>
        <w:adjustRightInd w:val="0"/>
        <w:snapToGrid w:val="0"/>
        <w:spacing w:line="600" w:lineRule="exact"/>
        <w:ind w:firstLine="72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否加强资金管理，规范操作程序。</w:t>
      </w:r>
    </w:p>
    <w:p w14:paraId="68CB17E0">
      <w:pPr>
        <w:adjustRightInd w:val="0"/>
        <w:snapToGrid w:val="0"/>
        <w:spacing w:line="600" w:lineRule="exact"/>
        <w:ind w:firstLine="72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否组织申报、审批及资金发放。重度残疾人护理补贴资金</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否通过“一卡通”形式发放。</w:t>
      </w:r>
    </w:p>
    <w:p w14:paraId="464FBD5A">
      <w:pPr>
        <w:adjustRightInd w:val="0"/>
        <w:snapToGrid w:val="0"/>
        <w:spacing w:line="600" w:lineRule="exact"/>
        <w:ind w:firstLine="72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否开展监督检查，保障对象</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否做到应保尽保、应退尽退。</w:t>
      </w:r>
    </w:p>
    <w:p w14:paraId="588857E4">
      <w:pPr>
        <w:adjustRightInd w:val="0"/>
        <w:snapToGrid w:val="0"/>
        <w:spacing w:line="600" w:lineRule="exact"/>
        <w:ind w:firstLine="800" w:firstLineChars="250"/>
        <w:rPr>
          <w:rFonts w:hint="eastAsia" w:ascii="黑体" w:hAnsi="黑体" w:eastAsia="黑体" w:cs="黑体"/>
          <w:sz w:val="32"/>
          <w:szCs w:val="32"/>
        </w:rPr>
      </w:pPr>
      <w:r>
        <w:rPr>
          <w:rFonts w:hint="eastAsia" w:ascii="黑体" w:hAnsi="黑体" w:eastAsia="黑体" w:cs="黑体"/>
          <w:sz w:val="32"/>
          <w:szCs w:val="32"/>
        </w:rPr>
        <w:t>二、项目资金申报及使用情况</w:t>
      </w:r>
    </w:p>
    <w:p w14:paraId="27CCB6C4">
      <w:pPr>
        <w:adjustRightInd w:val="0"/>
        <w:snapToGrid w:val="0"/>
        <w:spacing w:line="60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14:paraId="1CBA2ED9">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说明项目资金申报、批复及预算调整等程序的相关情况。</w:t>
      </w:r>
    </w:p>
    <w:p w14:paraId="505DC03B">
      <w:pPr>
        <w:adjustRightInd w:val="0"/>
        <w:snapToGrid w:val="0"/>
        <w:spacing w:line="600" w:lineRule="exact"/>
        <w:ind w:firstLine="72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项目资金申报</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根据上级有关文件规定发放标准及我县重度残疾人护理补贴在册人数进行预算申报。并根据壤财〔202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w:t>
      </w:r>
      <w:r>
        <w:rPr>
          <w:rFonts w:hint="eastAsia"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号壤塘县财政局关于批复202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年部门预算的通知，下达我局重度残疾人护理补贴资金</w:t>
      </w:r>
      <w:r>
        <w:rPr>
          <w:rFonts w:hint="eastAsia" w:eastAsia="仿宋_GB2312" w:cs="Times New Roman"/>
          <w:kern w:val="2"/>
          <w:sz w:val="32"/>
          <w:szCs w:val="32"/>
          <w:lang w:val="en-US" w:eastAsia="zh-CN" w:bidi="ar-SA"/>
        </w:rPr>
        <w:t>24.62</w:t>
      </w:r>
      <w:r>
        <w:rPr>
          <w:rFonts w:hint="eastAsia" w:ascii="Times New Roman" w:hAnsi="Times New Roman" w:eastAsia="仿宋_GB2312" w:cs="Times New Roman"/>
          <w:kern w:val="2"/>
          <w:sz w:val="32"/>
          <w:szCs w:val="32"/>
          <w:lang w:val="en-US" w:eastAsia="zh-CN" w:bidi="ar-SA"/>
        </w:rPr>
        <w:t>万元万元，上级配套资金</w:t>
      </w:r>
      <w:r>
        <w:rPr>
          <w:rFonts w:hint="eastAsia" w:eastAsia="仿宋_GB2312" w:cs="Times New Roman"/>
          <w:kern w:val="2"/>
          <w:sz w:val="32"/>
          <w:szCs w:val="32"/>
          <w:lang w:val="en-US" w:eastAsia="zh-CN" w:bidi="ar-SA"/>
        </w:rPr>
        <w:t>72.73</w:t>
      </w:r>
      <w:r>
        <w:rPr>
          <w:rFonts w:hint="eastAsia" w:ascii="Times New Roman" w:hAnsi="Times New Roman" w:eastAsia="仿宋_GB2312" w:cs="Times New Roman"/>
          <w:kern w:val="2"/>
          <w:sz w:val="32"/>
          <w:szCs w:val="32"/>
          <w:lang w:val="en-US" w:eastAsia="zh-CN" w:bidi="ar-SA"/>
        </w:rPr>
        <w:t>万元。</w:t>
      </w:r>
    </w:p>
    <w:p w14:paraId="18DDB2DA">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（二）资金计划、到位及使用情况（可用表格形式反映）</w:t>
      </w:r>
    </w:p>
    <w:p w14:paraId="45264D25">
      <w:pPr>
        <w:adjustRightInd w:val="0"/>
        <w:snapToGrid w:val="0"/>
        <w:spacing w:line="600" w:lineRule="exact"/>
        <w:ind w:firstLine="72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资金计划。</w:t>
      </w:r>
    </w:p>
    <w:p w14:paraId="7ED15944">
      <w:pPr>
        <w:adjustRightInd w:val="0"/>
        <w:snapToGrid w:val="0"/>
        <w:spacing w:line="600" w:lineRule="exact"/>
        <w:ind w:firstLine="72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年年初预计计划资金</w:t>
      </w:r>
      <w:r>
        <w:rPr>
          <w:rFonts w:hint="eastAsia" w:eastAsia="仿宋_GB2312" w:cs="Times New Roman"/>
          <w:kern w:val="2"/>
          <w:sz w:val="32"/>
          <w:szCs w:val="32"/>
          <w:lang w:val="en-US" w:eastAsia="zh-CN" w:bidi="ar-SA"/>
        </w:rPr>
        <w:t>97.35</w:t>
      </w:r>
      <w:r>
        <w:rPr>
          <w:rFonts w:hint="eastAsia" w:ascii="Times New Roman" w:hAnsi="Times New Roman" w:eastAsia="仿宋_GB2312" w:cs="Times New Roman"/>
          <w:kern w:val="2"/>
          <w:sz w:val="32"/>
          <w:szCs w:val="32"/>
          <w:lang w:val="en-US" w:eastAsia="zh-CN" w:bidi="ar-SA"/>
        </w:rPr>
        <w:t>万元，其中上级补助</w:t>
      </w:r>
      <w:r>
        <w:rPr>
          <w:rFonts w:hint="eastAsia" w:eastAsia="仿宋_GB2312" w:cs="Times New Roman"/>
          <w:kern w:val="2"/>
          <w:sz w:val="32"/>
          <w:szCs w:val="32"/>
          <w:lang w:val="en-US" w:eastAsia="zh-CN" w:bidi="ar-SA"/>
        </w:rPr>
        <w:t>72.73</w:t>
      </w:r>
      <w:r>
        <w:rPr>
          <w:rFonts w:hint="eastAsia" w:ascii="Times New Roman" w:hAnsi="Times New Roman" w:eastAsia="仿宋_GB2312" w:cs="Times New Roman"/>
          <w:kern w:val="2"/>
          <w:sz w:val="32"/>
          <w:szCs w:val="32"/>
          <w:lang w:val="en-US" w:eastAsia="zh-CN" w:bidi="ar-SA"/>
        </w:rPr>
        <w:t>万元，县级预算资金</w:t>
      </w:r>
      <w:r>
        <w:rPr>
          <w:rFonts w:hint="eastAsia" w:eastAsia="仿宋_GB2312" w:cs="Times New Roman"/>
          <w:kern w:val="2"/>
          <w:sz w:val="32"/>
          <w:szCs w:val="32"/>
          <w:lang w:val="en-US" w:eastAsia="zh-CN" w:bidi="ar-SA"/>
        </w:rPr>
        <w:t>24.62</w:t>
      </w:r>
      <w:r>
        <w:rPr>
          <w:rFonts w:hint="eastAsia" w:ascii="Times New Roman" w:hAnsi="Times New Roman" w:eastAsia="仿宋_GB2312" w:cs="Times New Roman"/>
          <w:kern w:val="2"/>
          <w:sz w:val="32"/>
          <w:szCs w:val="32"/>
          <w:lang w:val="en-US" w:eastAsia="zh-CN" w:bidi="ar-SA"/>
        </w:rPr>
        <w:t>万元。</w:t>
      </w:r>
    </w:p>
    <w:p w14:paraId="006A2ECF">
      <w:pPr>
        <w:adjustRightInd w:val="0"/>
        <w:snapToGrid w:val="0"/>
        <w:spacing w:line="600" w:lineRule="exact"/>
        <w:ind w:firstLine="72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资金到位。</w:t>
      </w:r>
    </w:p>
    <w:p w14:paraId="67FC064A">
      <w:pPr>
        <w:adjustRightInd w:val="0"/>
        <w:snapToGrid w:val="0"/>
        <w:spacing w:line="600" w:lineRule="exact"/>
        <w:ind w:firstLine="72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年到位重度残疾人护理补贴资金</w:t>
      </w:r>
      <w:r>
        <w:rPr>
          <w:rFonts w:hint="eastAsia" w:eastAsia="仿宋_GB2312" w:cs="Times New Roman"/>
          <w:kern w:val="2"/>
          <w:sz w:val="32"/>
          <w:szCs w:val="32"/>
          <w:lang w:val="en-US" w:eastAsia="zh-CN" w:bidi="ar-SA"/>
        </w:rPr>
        <w:t>97.35</w:t>
      </w:r>
      <w:r>
        <w:rPr>
          <w:rFonts w:hint="eastAsia" w:ascii="Times New Roman" w:hAnsi="Times New Roman" w:eastAsia="仿宋_GB2312" w:cs="Times New Roman"/>
          <w:kern w:val="2"/>
          <w:sz w:val="32"/>
          <w:szCs w:val="32"/>
          <w:lang w:val="en-US" w:eastAsia="zh-CN" w:bidi="ar-SA"/>
        </w:rPr>
        <w:t>万元，其中省级配套资金到位</w:t>
      </w:r>
      <w:r>
        <w:rPr>
          <w:rFonts w:hint="eastAsia" w:eastAsia="仿宋_GB2312" w:cs="Times New Roman"/>
          <w:kern w:val="2"/>
          <w:sz w:val="32"/>
          <w:szCs w:val="32"/>
          <w:lang w:val="en-US" w:eastAsia="zh-CN" w:bidi="ar-SA"/>
        </w:rPr>
        <w:t>48.73</w:t>
      </w:r>
      <w:r>
        <w:rPr>
          <w:rFonts w:hint="eastAsia" w:ascii="Times New Roman" w:hAnsi="Times New Roman" w:eastAsia="仿宋_GB2312" w:cs="Times New Roman"/>
          <w:kern w:val="2"/>
          <w:sz w:val="32"/>
          <w:szCs w:val="32"/>
          <w:lang w:val="en-US" w:eastAsia="zh-CN" w:bidi="ar-SA"/>
        </w:rPr>
        <w:t>万元、州级配套资金到位</w:t>
      </w:r>
      <w:r>
        <w:rPr>
          <w:rFonts w:hint="eastAsia" w:eastAsia="仿宋_GB2312" w:cs="Times New Roman"/>
          <w:kern w:val="2"/>
          <w:sz w:val="32"/>
          <w:szCs w:val="32"/>
          <w:lang w:val="en-US" w:eastAsia="zh-CN" w:bidi="ar-SA"/>
        </w:rPr>
        <w:t>24</w:t>
      </w:r>
      <w:r>
        <w:rPr>
          <w:rFonts w:hint="eastAsia" w:ascii="Times New Roman" w:hAnsi="Times New Roman" w:eastAsia="仿宋_GB2312" w:cs="Times New Roman"/>
          <w:kern w:val="2"/>
          <w:sz w:val="32"/>
          <w:szCs w:val="32"/>
          <w:lang w:val="en-US" w:eastAsia="zh-CN" w:bidi="ar-SA"/>
        </w:rPr>
        <w:t>万元、县级配套资金到位</w:t>
      </w:r>
      <w:r>
        <w:rPr>
          <w:rFonts w:hint="eastAsia" w:eastAsia="仿宋_GB2312" w:cs="Times New Roman"/>
          <w:kern w:val="2"/>
          <w:sz w:val="32"/>
          <w:szCs w:val="32"/>
          <w:lang w:val="en-US" w:eastAsia="zh-CN" w:bidi="ar-SA"/>
        </w:rPr>
        <w:t>24.62</w:t>
      </w:r>
      <w:r>
        <w:rPr>
          <w:rFonts w:hint="eastAsia" w:ascii="Times New Roman" w:hAnsi="Times New Roman" w:eastAsia="仿宋_GB2312" w:cs="Times New Roman"/>
          <w:kern w:val="2"/>
          <w:sz w:val="32"/>
          <w:szCs w:val="32"/>
          <w:lang w:val="en-US" w:eastAsia="zh-CN" w:bidi="ar-SA"/>
        </w:rPr>
        <w:t>万元。</w:t>
      </w:r>
    </w:p>
    <w:p w14:paraId="6E4E516D">
      <w:pPr>
        <w:adjustRightInd w:val="0"/>
        <w:snapToGrid w:val="0"/>
        <w:spacing w:line="600" w:lineRule="exact"/>
        <w:ind w:firstLine="72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3</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资金使用。</w:t>
      </w:r>
    </w:p>
    <w:p w14:paraId="43A67809">
      <w:pPr>
        <w:adjustRightInd w:val="0"/>
        <w:snapToGrid w:val="0"/>
        <w:spacing w:line="600" w:lineRule="exact"/>
        <w:ind w:firstLine="72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年为</w:t>
      </w:r>
      <w:r>
        <w:rPr>
          <w:rFonts w:hint="eastAsia" w:eastAsia="仿宋_GB2312" w:cs="Times New Roman"/>
          <w:kern w:val="2"/>
          <w:sz w:val="32"/>
          <w:szCs w:val="32"/>
          <w:lang w:val="en-US" w:eastAsia="zh-CN" w:bidi="ar-SA"/>
        </w:rPr>
        <w:t>994</w:t>
      </w:r>
      <w:r>
        <w:rPr>
          <w:rFonts w:hint="eastAsia" w:ascii="Times New Roman" w:hAnsi="Times New Roman" w:eastAsia="仿宋_GB2312" w:cs="Times New Roman"/>
          <w:kern w:val="2"/>
          <w:sz w:val="32"/>
          <w:szCs w:val="32"/>
          <w:lang w:val="en-US" w:eastAsia="zh-CN" w:bidi="ar-SA"/>
        </w:rPr>
        <w:t>人重度残疾人发放护理补贴</w:t>
      </w:r>
      <w:r>
        <w:rPr>
          <w:rFonts w:hint="eastAsia" w:eastAsia="仿宋_GB2312" w:cs="Times New Roman"/>
          <w:kern w:val="2"/>
          <w:sz w:val="32"/>
          <w:szCs w:val="32"/>
          <w:lang w:val="en-US" w:eastAsia="zh-CN" w:bidi="ar-SA"/>
        </w:rPr>
        <w:t>97.35</w:t>
      </w:r>
      <w:r>
        <w:rPr>
          <w:rFonts w:hint="eastAsia" w:ascii="Times New Roman" w:hAnsi="Times New Roman" w:eastAsia="仿宋_GB2312" w:cs="Times New Roman"/>
          <w:kern w:val="2"/>
          <w:sz w:val="32"/>
          <w:szCs w:val="32"/>
          <w:lang w:val="en-US" w:eastAsia="zh-CN" w:bidi="ar-SA"/>
        </w:rPr>
        <w:t>万元，支付率达100%。资金支付按季度及时发放，支付依据合格，均严格按照资金用途和使用范围执行，无不合规，超标准发放现象，与预算相符。</w:t>
      </w:r>
    </w:p>
    <w:p w14:paraId="42BA5B91">
      <w:pPr>
        <w:pStyle w:val="27"/>
        <w:numPr>
          <w:ilvl w:val="0"/>
          <w:numId w:val="0"/>
        </w:numPr>
        <w:adjustRightInd w:val="0"/>
        <w:snapToGrid w:val="0"/>
        <w:spacing w:line="600" w:lineRule="exact"/>
        <w:ind w:left="720" w:leftChars="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14:paraId="08ACC1B3">
      <w:pPr>
        <w:spacing w:line="560" w:lineRule="exact"/>
        <w:ind w:firstLine="800" w:firstLineChars="25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按照项目的工作要求，建立了完善财务管理制度，规范了资金的管理和使用范围，资金运行规范，专款专用，资金的拨付使用也有完整的审批过程和手续，财政专项资金使用的规范性和安全性有保障</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单位财务会计根据本单位实际发生的业务事项及时进行会计核算，填制会计凭证、登记会计帐簿，编制会计报表，保证了每笔业务的真实性、合法性。</w:t>
      </w:r>
    </w:p>
    <w:p w14:paraId="1D3D8C8B">
      <w:pPr>
        <w:adjustRightInd w:val="0"/>
        <w:snapToGrid w:val="0"/>
        <w:spacing w:line="600" w:lineRule="exact"/>
        <w:ind w:firstLine="800" w:firstLineChars="250"/>
        <w:rPr>
          <w:rFonts w:hint="eastAsia" w:ascii="黑体" w:hAnsi="黑体" w:eastAsia="黑体" w:cs="黑体"/>
          <w:sz w:val="32"/>
          <w:szCs w:val="32"/>
        </w:rPr>
      </w:pPr>
      <w:r>
        <w:rPr>
          <w:rFonts w:hint="eastAsia" w:ascii="黑体" w:hAnsi="黑体" w:eastAsia="黑体" w:cs="黑体"/>
          <w:sz w:val="32"/>
          <w:szCs w:val="32"/>
        </w:rPr>
        <w:t>三、项目实施及管理情况</w:t>
      </w:r>
    </w:p>
    <w:p w14:paraId="47C89C1D">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结合项目组织实施管理办法，重点围绕以下内容进行分析评价，并对自评中发现的问题分析说明。</w:t>
      </w:r>
    </w:p>
    <w:p w14:paraId="752310A8">
      <w:pPr>
        <w:pStyle w:val="27"/>
        <w:numPr>
          <w:ilvl w:val="0"/>
          <w:numId w:val="0"/>
        </w:numPr>
        <w:adjustRightInd w:val="0"/>
        <w:snapToGrid w:val="0"/>
        <w:spacing w:line="600" w:lineRule="exact"/>
        <w:ind w:left="720" w:leftChars="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14:paraId="6D04DFB3">
      <w:pPr>
        <w:adjustRightInd w:val="0"/>
        <w:snapToGrid w:val="0"/>
        <w:spacing w:line="6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1、建立相关制度，明确了相关责任，提高资金使用效率，并制定了民政专项资金管理办法，明确了资金类别、使用范围和标准、申报审批及拨付程序等。要求不得擅自扩大支出范围，提高支出标准。</w:t>
      </w:r>
    </w:p>
    <w:p w14:paraId="24E5A3FA">
      <w:pPr>
        <w:widowControl/>
        <w:shd w:val="clear" w:color="auto" w:fill="FFFFFF"/>
        <w:spacing w:line="600" w:lineRule="atLeast"/>
        <w:ind w:firstLine="64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000000"/>
          <w:kern w:val="0"/>
          <w:sz w:val="32"/>
          <w:szCs w:val="32"/>
        </w:rPr>
        <w:t>2、加强资金管理，规范操作程序。组织相关人员开展业务培训，重点培训救助系统使用、救助对象申报审批及资金拨付程序，并明确纪律要求。</w:t>
      </w:r>
    </w:p>
    <w:p w14:paraId="4512E1D8">
      <w:pPr>
        <w:widowControl/>
        <w:shd w:val="clear" w:color="auto" w:fill="FFFFFF"/>
        <w:spacing w:line="600" w:lineRule="atLeas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3、组织申报、审批及资金发放。</w:t>
      </w:r>
    </w:p>
    <w:p w14:paraId="796F59DE">
      <w:pPr>
        <w:widowControl/>
        <w:shd w:val="clear" w:color="auto" w:fill="FFFFFF"/>
        <w:spacing w:line="600" w:lineRule="atLeas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自愿申请。残疾人两项补贴由残疾人向户籍所在地街道办事处或乡镇政府受理窗口提交书面申请。残疾人的法定监护人，法定赡养、抚养、扶养义务人，所在村民(居民)委员会或其他委托人可以代为办理申请事宜。申请残疾人两项补贴应持有第二代中华人民共和国残疾人证，并提交相关证明材料。</w:t>
      </w:r>
    </w:p>
    <w:p w14:paraId="3610DB45">
      <w:pPr>
        <w:widowControl/>
        <w:shd w:val="clear" w:color="auto" w:fill="FFFFFF"/>
        <w:spacing w:line="600" w:lineRule="atLeas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逐级审核。街道办事处或乡镇政府依托社会救助、社会服务“一门受理、协同办理”机制，受理残疾人两项补贴申请并进行初审。重度残疾人护理补贴初审合格材料报县级残联审定，县级残联审定合格后，在乡镇(街道)进行公示，公示无异议的，报同级财政部门申请拨付资金;困难残疾人生活补贴初审合格材料报县级残联审核，县级残联审核后报县级民政部门审定，县级民政部门审定合格后，在乡镇(街道)进行公示，公示无异议的，报县民政部门负责向县财政申请拨付资金。</w:t>
      </w:r>
    </w:p>
    <w:p w14:paraId="3E71A107">
      <w:pPr>
        <w:widowControl/>
        <w:shd w:val="clear" w:color="auto" w:fill="FFFFFF"/>
        <w:spacing w:line="600" w:lineRule="atLeas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补贴发放。补贴资格审定合格的残疾人自递交申请当月计发补贴。残疾人两项补贴按季发放,原则上实行社会化发放，乡镇提供的材料名单由县残联审核无误后交由县级民政部门通过“一卡通”形式发放至重度残疾人社会保障卡中。</w:t>
      </w:r>
    </w:p>
    <w:p w14:paraId="57F7052E">
      <w:pPr>
        <w:widowControl/>
        <w:shd w:val="clear" w:color="auto" w:fill="FFFFFF"/>
        <w:spacing w:line="600" w:lineRule="atLeas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开展监督检查，成立由局长任组长，分管领导及相关业务股室人员为成员的残疾人两项资金专项监督检查领导小组，制定了社会救助领域专项监督检查工作方案，定期或不定期对全县各乡镇开展监督检查，对不符合条件的对象及时予以清退，基本做到应保尽保，应退尽退。</w:t>
      </w:r>
    </w:p>
    <w:p w14:paraId="054F72A8">
      <w:pPr>
        <w:adjustRightInd w:val="0"/>
        <w:snapToGrid w:val="0"/>
        <w:spacing w:line="600" w:lineRule="exact"/>
        <w:ind w:firstLine="482" w:firstLineChars="15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（二）项目管理情况</w:t>
      </w:r>
    </w:p>
    <w:p w14:paraId="65CCA421">
      <w:pPr>
        <w:widowControl/>
        <w:shd w:val="clear" w:color="auto" w:fill="FFFFFF"/>
        <w:spacing w:line="600" w:lineRule="atLeast"/>
        <w:ind w:firstLine="640"/>
        <w:rPr>
          <w:rFonts w:ascii="仿宋_GB2312" w:hAnsi="仿宋_GB2312" w:eastAsia="仿宋_GB2312" w:cs="仿宋_GB2312"/>
          <w:color w:val="333333"/>
          <w:kern w:val="0"/>
          <w:sz w:val="32"/>
          <w:szCs w:val="32"/>
        </w:rPr>
      </w:pPr>
      <w:r>
        <w:rPr>
          <w:rFonts w:hint="eastAsia" w:ascii="Times New Roman" w:hAnsi="Times New Roman" w:eastAsia="仿宋_GB2312" w:cs="Times New Roman"/>
          <w:kern w:val="2"/>
          <w:sz w:val="32"/>
          <w:szCs w:val="32"/>
          <w:lang w:val="zh-CN" w:eastAsia="zh-CN" w:bidi="ar-SA"/>
        </w:rPr>
        <w:t>根据川民发〔2015〕195号文件精神，补贴标准按行现政策执行，资金分配标准达标，科学、合理。在本人自愿申请，逐级审核后，乡镇人民政府将重度残疾人护理补贴初审</w:t>
      </w:r>
      <w:r>
        <w:rPr>
          <w:rFonts w:hint="eastAsia" w:ascii="仿宋_GB2312" w:hAnsi="仿宋_GB2312" w:eastAsia="仿宋_GB2312" w:cs="仿宋_GB2312"/>
          <w:color w:val="000000"/>
          <w:kern w:val="0"/>
          <w:sz w:val="32"/>
          <w:szCs w:val="32"/>
        </w:rPr>
        <w:t>合格材料报县级残联审定，县级残联审定合格后，在乡镇(街道)进行公示，公示无异议的，报县民政部门申请拨付资金，资金通过“一卡通”形式按季度发放至保障对象社会保障卡中。</w:t>
      </w:r>
    </w:p>
    <w:p w14:paraId="49F55FE3">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（三）项目监管情况。</w:t>
      </w:r>
      <w:r>
        <w:rPr>
          <w:rFonts w:hint="eastAsia" w:ascii="仿宋_GB2312" w:hAnsi="仿宋_GB2312" w:eastAsia="仿宋_GB2312" w:cs="仿宋_GB2312"/>
          <w:sz w:val="32"/>
          <w:szCs w:val="32"/>
          <w:lang w:val="zh-CN"/>
        </w:rPr>
        <w:t>说明项目主管部门为加强项目管理所采取的监管手段、监管程序、监管工作开展情况及实现的效果等。</w:t>
      </w:r>
    </w:p>
    <w:p w14:paraId="4ACBA2FF">
      <w:pPr>
        <w:adjustRightInd w:val="0"/>
        <w:snapToGrid w:val="0"/>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有关规定，我局民政专项资金管理实行领导责任制。按局领导班子成员职责分工，各专项资金管理由分管业务领导负主要责任，项目分管业股室人员负直接责任，项目实施主要由各项目股室负责具体实施。对项目的申报、审批、实施、验收进行全程管理监督，并遵循统一调控、专款专用、权责分明、公开透明的原则，各项项目资金严格按照资金用途切实管理、使用好，杜绝项目资金被贪污、挪用、挤占、滥用的现象发生，提高了资金的使用效率。</w:t>
      </w:r>
    </w:p>
    <w:p w14:paraId="5E7EC3AB">
      <w:pPr>
        <w:adjustRightInd w:val="0"/>
        <w:snapToGrid w:val="0"/>
        <w:spacing w:line="600" w:lineRule="exact"/>
        <w:ind w:firstLine="720"/>
        <w:rPr>
          <w:rFonts w:ascii="仿宋_GB2312" w:hAnsi="仿宋_GB2312" w:eastAsia="仿宋_GB2312" w:cs="仿宋_GB2312"/>
          <w:sz w:val="32"/>
          <w:szCs w:val="32"/>
          <w:lang w:val="zh-CN"/>
        </w:rPr>
      </w:pPr>
      <w:r>
        <w:rPr>
          <w:rFonts w:hint="eastAsia" w:ascii="黑体" w:hAnsi="黑体" w:eastAsia="黑体" w:cs="黑体"/>
          <w:sz w:val="32"/>
          <w:szCs w:val="32"/>
        </w:rPr>
        <w:t>四、项目绩效情况</w:t>
      </w:r>
      <w:r>
        <w:rPr>
          <w:rFonts w:hint="eastAsia" w:ascii="仿宋_GB2312" w:hAnsi="仿宋_GB2312" w:eastAsia="仿宋_GB2312" w:cs="仿宋_GB2312"/>
          <w:sz w:val="32"/>
          <w:szCs w:val="32"/>
          <w:lang w:val="zh-CN"/>
        </w:rPr>
        <w:tab/>
      </w:r>
    </w:p>
    <w:p w14:paraId="15487299">
      <w:pPr>
        <w:adjustRightInd w:val="0"/>
        <w:snapToGrid w:val="0"/>
        <w:spacing w:line="60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14:paraId="2BC587B5">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包括项目完成数量、质量、时效、成本等情况，对照项目计划完成目标，对截止评价时点的任务量完成、质量标准、进度计划、成本控制目标的实现程度进行评价，并进行分析说明。</w:t>
      </w:r>
    </w:p>
    <w:p w14:paraId="5ACD9562">
      <w:pPr>
        <w:widowControl/>
        <w:shd w:val="clear" w:color="auto" w:fill="FFFFFF"/>
        <w:spacing w:line="600" w:lineRule="atLeast"/>
        <w:ind w:firstLine="64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zh-CN" w:eastAsia="zh-CN" w:bidi="ar-SA"/>
        </w:rPr>
        <w:t>年为符合政策的</w:t>
      </w:r>
      <w:r>
        <w:rPr>
          <w:rFonts w:hint="eastAsia" w:eastAsia="仿宋_GB2312" w:cs="Times New Roman"/>
          <w:kern w:val="2"/>
          <w:sz w:val="32"/>
          <w:szCs w:val="32"/>
          <w:lang w:val="en-US" w:eastAsia="zh-CN" w:bidi="ar-SA"/>
        </w:rPr>
        <w:t>994</w:t>
      </w:r>
      <w:r>
        <w:rPr>
          <w:rFonts w:hint="eastAsia" w:ascii="Times New Roman" w:hAnsi="Times New Roman" w:eastAsia="仿宋_GB2312" w:cs="Times New Roman"/>
          <w:kern w:val="2"/>
          <w:sz w:val="32"/>
          <w:szCs w:val="32"/>
          <w:lang w:val="zh-CN" w:eastAsia="zh-CN" w:bidi="ar-SA"/>
        </w:rPr>
        <w:t>名重度残疾人发放重度护理补贴资金</w:t>
      </w:r>
      <w:r>
        <w:rPr>
          <w:rFonts w:hint="eastAsia" w:eastAsia="仿宋_GB2312" w:cs="Times New Roman"/>
          <w:kern w:val="2"/>
          <w:sz w:val="32"/>
          <w:szCs w:val="32"/>
          <w:lang w:val="en-US" w:eastAsia="zh-CN" w:bidi="ar-SA"/>
        </w:rPr>
        <w:t>97.35</w:t>
      </w:r>
      <w:r>
        <w:rPr>
          <w:rFonts w:hint="eastAsia" w:ascii="Times New Roman" w:hAnsi="Times New Roman" w:eastAsia="仿宋_GB2312" w:cs="Times New Roman"/>
          <w:kern w:val="2"/>
          <w:sz w:val="32"/>
          <w:szCs w:val="32"/>
          <w:lang w:val="zh-CN" w:eastAsia="zh-CN" w:bidi="ar-SA"/>
        </w:rPr>
        <w:t>万元，完成率达</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%，与年初预算相比，完成预算数的</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%。从数量上看，符合政策的重度残疾人大部分都享受了这一政策，保障率达</w:t>
      </w:r>
      <w:r>
        <w:rPr>
          <w:rFonts w:hint="eastAsia" w:ascii="Times New Roman" w:hAnsi="Times New Roman" w:eastAsia="仿宋_GB2312" w:cs="Times New Roman"/>
          <w:kern w:val="2"/>
          <w:sz w:val="32"/>
          <w:szCs w:val="32"/>
          <w:lang w:val="en-US" w:eastAsia="zh-CN" w:bidi="ar-SA"/>
        </w:rPr>
        <w:t>95</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以上</w:t>
      </w:r>
      <w:r>
        <w:rPr>
          <w:rFonts w:hint="eastAsia" w:ascii="Times New Roman" w:hAnsi="Times New Roman" w:eastAsia="仿宋_GB2312" w:cs="Times New Roman"/>
          <w:kern w:val="2"/>
          <w:sz w:val="32"/>
          <w:szCs w:val="32"/>
          <w:lang w:val="zh-CN" w:eastAsia="zh-CN" w:bidi="ar-SA"/>
        </w:rPr>
        <w:t>，年初预算目标基本实现。从质量上看，重度残疾人护理补贴资金有明确的资金申报、发放和监督管理规定，护理补贴发放均按资金用途和使用范围发放，发放标准按上级政策规定标准标准发放，无超标准和超范围现象。从时效上看，重度残疾的护理补贴资金均按季度及时兑现。 从成本上分析，确保了各项资金绩效目标的完成，提高了残疾人的生活水平，也体现了党和政府对弱势群体的关爱之情，还产生了良好的社会效益和经济效益 。</w:t>
      </w:r>
    </w:p>
    <w:p w14:paraId="72B61FBF">
      <w:pPr>
        <w:adjustRightInd w:val="0"/>
        <w:snapToGrid w:val="0"/>
        <w:spacing w:line="600" w:lineRule="exact"/>
        <w:ind w:firstLine="72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b/>
          <w:sz w:val="32"/>
          <w:szCs w:val="32"/>
          <w:lang w:val="zh-CN"/>
        </w:rPr>
        <w:t>（二）项目效益情况</w:t>
      </w:r>
      <w:r>
        <w:rPr>
          <w:rFonts w:hint="eastAsia" w:ascii="仿宋_GB2312" w:hAnsi="仿宋_GB2312" w:eastAsia="仿宋_GB2312" w:cs="仿宋_GB2312"/>
          <w:color w:val="000000"/>
          <w:kern w:val="0"/>
          <w:sz w:val="32"/>
          <w:szCs w:val="32"/>
        </w:rPr>
        <w:t xml:space="preserve">                                                                                                                                                                                                                                                                                                               </w:t>
      </w:r>
    </w:p>
    <w:p w14:paraId="1B59A171">
      <w:pPr>
        <w:adjustRightInd w:val="0"/>
        <w:snapToGrid w:val="0"/>
        <w:spacing w:line="600" w:lineRule="exact"/>
        <w:ind w:firstLine="72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sz w:val="32"/>
          <w:szCs w:val="32"/>
          <w:lang w:val="zh-CN"/>
        </w:rPr>
        <w:t>从项目经济效益、社会效益、生态效益、可持续效益以及服务对象满意度等方面对项目效益进行全面分析评价。</w:t>
      </w:r>
      <w:r>
        <w:rPr>
          <w:rFonts w:hint="eastAsia" w:ascii="仿宋_GB2312" w:hAnsi="仿宋_GB2312" w:eastAsia="仿宋_GB2312" w:cs="仿宋_GB2312"/>
          <w:color w:val="000000"/>
          <w:kern w:val="0"/>
          <w:sz w:val="32"/>
          <w:szCs w:val="32"/>
        </w:rPr>
        <w:t>建立重度残疾人护理补贴制度</w:t>
      </w:r>
      <w:r>
        <w:rPr>
          <w:rFonts w:hint="eastAsia" w:ascii="仿宋_GB2312" w:hAnsi="仿宋_GB2312" w:eastAsia="仿宋_GB2312" w:cs="仿宋_GB2312"/>
          <w:color w:val="000000"/>
          <w:kern w:val="0"/>
          <w:sz w:val="32"/>
          <w:szCs w:val="32"/>
          <w:lang w:eastAsia="zh-CN"/>
        </w:rPr>
        <w:t>。</w:t>
      </w:r>
    </w:p>
    <w:p w14:paraId="4C5D507E">
      <w:pPr>
        <w:adjustRightInd w:val="0"/>
        <w:snapToGrid w:val="0"/>
        <w:spacing w:line="600" w:lineRule="exact"/>
        <w:ind w:firstLine="720"/>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一</w:t>
      </w:r>
      <w:r>
        <w:rPr>
          <w:rFonts w:hint="eastAsia" w:ascii="仿宋_GB2312" w:hAnsi="仿宋_GB2312" w:eastAsia="仿宋_GB2312" w:cs="仿宋_GB2312"/>
          <w:b/>
          <w:bCs/>
          <w:color w:val="000000"/>
          <w:kern w:val="0"/>
          <w:sz w:val="32"/>
          <w:szCs w:val="32"/>
          <w:lang w:eastAsia="zh-CN"/>
        </w:rPr>
        <w:t>，</w:t>
      </w:r>
      <w:r>
        <w:rPr>
          <w:rFonts w:hint="eastAsia" w:ascii="仿宋_GB2312" w:hAnsi="仿宋_GB2312" w:eastAsia="仿宋_GB2312" w:cs="仿宋_GB2312"/>
          <w:color w:val="000000"/>
          <w:kern w:val="0"/>
          <w:sz w:val="32"/>
          <w:szCs w:val="32"/>
        </w:rPr>
        <w:t>在一定程度上减轻重度残疾人生活负担，还提高了他们的生活水平，项目开展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可性的、必要的。</w:t>
      </w:r>
    </w:p>
    <w:p w14:paraId="1773AB9A">
      <w:pPr>
        <w:adjustRightInd w:val="0"/>
        <w:snapToGrid w:val="0"/>
        <w:spacing w:line="600" w:lineRule="exact"/>
        <w:ind w:firstLine="720"/>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二</w:t>
      </w:r>
      <w:r>
        <w:rPr>
          <w:rFonts w:hint="eastAsia" w:ascii="仿宋_GB2312" w:hAnsi="仿宋_GB2312" w:eastAsia="仿宋_GB2312" w:cs="仿宋_GB2312"/>
          <w:b/>
          <w:bCs/>
          <w:color w:val="000000"/>
          <w:kern w:val="0"/>
          <w:sz w:val="32"/>
          <w:szCs w:val="32"/>
          <w:lang w:eastAsia="zh-CN"/>
        </w:rPr>
        <w:t>，</w:t>
      </w:r>
      <w:r>
        <w:rPr>
          <w:rFonts w:hint="eastAsia" w:ascii="仿宋_GB2312" w:hAnsi="仿宋_GB2312" w:eastAsia="仿宋_GB2312" w:cs="仿宋_GB2312"/>
          <w:color w:val="000000"/>
          <w:kern w:val="0"/>
          <w:sz w:val="32"/>
          <w:szCs w:val="32"/>
        </w:rPr>
        <w:t>促进了社会和谐。困难群众大多为“老弱病残幼”，他们生活在社会的最底层，一旦遇到生活困难，基本没有任何经济来源，完全靠政府救助。因此，实施好困难群众救助，能有效解决弱势群众生存问题，平衡社会矛盾，维护社会稳定，巩固党的执政基础。</w:t>
      </w:r>
    </w:p>
    <w:p w14:paraId="35343426">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三</w:t>
      </w:r>
      <w:r>
        <w:rPr>
          <w:rFonts w:hint="eastAsia" w:ascii="仿宋_GB2312" w:hAnsi="仿宋_GB2312" w:eastAsia="仿宋_GB2312" w:cs="仿宋_GB2312"/>
          <w:b/>
          <w:bCs/>
          <w:color w:val="000000"/>
          <w:kern w:val="0"/>
          <w:sz w:val="32"/>
          <w:szCs w:val="32"/>
          <w:lang w:eastAsia="zh-CN"/>
        </w:rPr>
        <w:t>，</w:t>
      </w:r>
      <w:r>
        <w:rPr>
          <w:rFonts w:hint="eastAsia" w:ascii="仿宋_GB2312" w:hAnsi="仿宋_GB2312" w:eastAsia="仿宋_GB2312" w:cs="仿宋_GB2312"/>
          <w:color w:val="000000"/>
          <w:kern w:val="0"/>
          <w:sz w:val="32"/>
          <w:szCs w:val="32"/>
        </w:rPr>
        <w:t>通过调查走访，困难群众对社会救助工作基本满意，对党和政府的关怀深表感谢，群众满意度达9</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%以上。</w:t>
      </w:r>
    </w:p>
    <w:p w14:paraId="2D0D186E">
      <w:pPr>
        <w:adjustRightInd w:val="0"/>
        <w:snapToGrid w:val="0"/>
        <w:spacing w:line="600" w:lineRule="exact"/>
        <w:ind w:firstLine="720"/>
        <w:rPr>
          <w:rFonts w:hint="eastAsia" w:ascii="黑体" w:hAnsi="黑体" w:eastAsia="黑体" w:cs="黑体"/>
          <w:sz w:val="32"/>
          <w:szCs w:val="32"/>
        </w:rPr>
      </w:pPr>
      <w:r>
        <w:rPr>
          <w:rFonts w:hint="eastAsia" w:ascii="黑体" w:hAnsi="黑体" w:eastAsia="黑体" w:cs="黑体"/>
          <w:sz w:val="32"/>
          <w:szCs w:val="32"/>
        </w:rPr>
        <w:t>五、评价结论及建议</w:t>
      </w:r>
    </w:p>
    <w:p w14:paraId="59E0305C">
      <w:pPr>
        <w:adjustRightInd w:val="0"/>
        <w:snapToGrid w:val="0"/>
        <w:spacing w:line="60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14:paraId="1A3E927F">
      <w:pPr>
        <w:widowControl/>
        <w:shd w:val="clear" w:color="auto" w:fill="FFFFFF"/>
        <w:spacing w:line="600" w:lineRule="atLeast"/>
        <w:ind w:firstLine="64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结合项目自身特点、评价重点及管理办法等要求，围绕专项项目支出绩效评价指标体系对项目进行总体评价。</w:t>
      </w:r>
    </w:p>
    <w:p w14:paraId="200DC058">
      <w:pPr>
        <w:widowControl/>
        <w:shd w:val="clear" w:color="auto" w:fill="FFFFFF"/>
        <w:spacing w:line="600" w:lineRule="atLeast"/>
        <w:ind w:firstLine="64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zh-CN" w:eastAsia="zh-CN" w:bidi="ar-SA"/>
        </w:rPr>
        <w:t>年为</w:t>
      </w:r>
      <w:r>
        <w:rPr>
          <w:rFonts w:hint="eastAsia" w:eastAsia="仿宋_GB2312" w:cs="Times New Roman"/>
          <w:kern w:val="2"/>
          <w:sz w:val="32"/>
          <w:szCs w:val="32"/>
          <w:lang w:val="en-US" w:eastAsia="zh-CN" w:bidi="ar-SA"/>
        </w:rPr>
        <w:t>994</w:t>
      </w:r>
      <w:r>
        <w:rPr>
          <w:rFonts w:hint="eastAsia" w:ascii="Times New Roman" w:hAnsi="Times New Roman" w:eastAsia="仿宋_GB2312" w:cs="Times New Roman"/>
          <w:kern w:val="2"/>
          <w:sz w:val="32"/>
          <w:szCs w:val="32"/>
          <w:lang w:val="zh-CN" w:eastAsia="zh-CN" w:bidi="ar-SA"/>
        </w:rPr>
        <w:t>名重度残疾人发放了重度残疾人护理补贴</w:t>
      </w:r>
      <w:r>
        <w:rPr>
          <w:rFonts w:hint="eastAsia" w:eastAsia="仿宋_GB2312" w:cs="Times New Roman"/>
          <w:kern w:val="2"/>
          <w:sz w:val="32"/>
          <w:szCs w:val="32"/>
          <w:lang w:val="en-US" w:eastAsia="zh-CN" w:bidi="ar-SA"/>
        </w:rPr>
        <w:t>24.62</w:t>
      </w:r>
      <w:r>
        <w:rPr>
          <w:rFonts w:hint="eastAsia" w:ascii="Times New Roman" w:hAnsi="Times New Roman" w:eastAsia="仿宋_GB2312" w:cs="Times New Roman"/>
          <w:kern w:val="2"/>
          <w:sz w:val="32"/>
          <w:szCs w:val="32"/>
          <w:lang w:val="zh-CN" w:eastAsia="zh-CN" w:bidi="ar-SA"/>
        </w:rPr>
        <w:t>万元，从整体绩效上看：在项目执行过程中，严格实行专款专用，强化资金使用，完善了资金使用程序，项目管理合规，申报合理，与实施相符，项目的实施在一定程度上减轻重度残疾人生活负担，还提高了他们的生活水平，也体现了党和政府对弱势群体的关爱之情，还产生了良好的社会效益和经济效益，促进了社会的发展，从总的绩效评价来看，项目开展</w:t>
      </w:r>
      <w:r>
        <w:rPr>
          <w:rFonts w:hint="eastAsia"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可性的、必要的，绩效目标设置明确、合理，自评分值100分的话，自评得分90分以上。</w:t>
      </w:r>
    </w:p>
    <w:p w14:paraId="2713EFB3">
      <w:pPr>
        <w:adjustRightInd w:val="0"/>
        <w:snapToGrid w:val="0"/>
        <w:spacing w:line="60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14:paraId="47D47101">
      <w:pPr>
        <w:widowControl/>
        <w:shd w:val="clear" w:color="auto" w:fill="FFFFFF"/>
        <w:spacing w:line="600" w:lineRule="atLeast"/>
        <w:ind w:firstLine="64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从2019年 “一卡通”实行以来，因我县困难群众文化素质偏低，对社会保障卡认识不足、不够重视，换卡、掉卡现象依然存在，导致每月资金打卡失败的现象</w:t>
      </w:r>
      <w:r>
        <w:rPr>
          <w:rFonts w:hint="eastAsia" w:ascii="Times New Roman" w:hAnsi="Times New Roman" w:eastAsia="仿宋_GB2312" w:cs="Times New Roman"/>
          <w:kern w:val="2"/>
          <w:sz w:val="32"/>
          <w:szCs w:val="32"/>
          <w:lang w:val="en-US" w:eastAsia="zh-CN" w:bidi="ar-SA"/>
        </w:rPr>
        <w:t>虽较上年有所好转，但</w:t>
      </w:r>
      <w:r>
        <w:rPr>
          <w:rFonts w:hint="eastAsia" w:ascii="Times New Roman" w:hAnsi="Times New Roman" w:eastAsia="仿宋_GB2312" w:cs="Times New Roman"/>
          <w:kern w:val="2"/>
          <w:sz w:val="32"/>
          <w:szCs w:val="32"/>
          <w:lang w:val="zh-CN" w:eastAsia="zh-CN" w:bidi="ar-SA"/>
        </w:rPr>
        <w:t>仍然</w:t>
      </w:r>
      <w:r>
        <w:rPr>
          <w:rFonts w:hint="eastAsia" w:ascii="Times New Roman" w:hAnsi="Times New Roman" w:eastAsia="仿宋_GB2312" w:cs="Times New Roman"/>
          <w:kern w:val="2"/>
          <w:sz w:val="32"/>
          <w:szCs w:val="32"/>
          <w:lang w:val="en-US" w:eastAsia="zh-CN" w:bidi="ar-SA"/>
        </w:rPr>
        <w:t>存在</w:t>
      </w:r>
      <w:r>
        <w:rPr>
          <w:rFonts w:hint="eastAsia" w:ascii="Times New Roman" w:hAnsi="Times New Roman" w:eastAsia="仿宋_GB2312" w:cs="Times New Roman"/>
          <w:kern w:val="2"/>
          <w:sz w:val="32"/>
          <w:szCs w:val="32"/>
          <w:lang w:val="zh-CN" w:eastAsia="zh-CN" w:bidi="ar-SA"/>
        </w:rPr>
        <w:t>；二</w:t>
      </w:r>
      <w:r>
        <w:rPr>
          <w:rFonts w:hint="eastAsia"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无相关经费支持，工作开展难度大。</w:t>
      </w:r>
    </w:p>
    <w:p w14:paraId="4EBBF14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4E56A8B3">
      <w:pPr>
        <w:widowControl/>
        <w:shd w:val="clear" w:color="auto" w:fill="FFFFFF"/>
        <w:spacing w:line="600" w:lineRule="atLeast"/>
        <w:ind w:firstLine="64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针对项目自评中发现的问题，提出下一步改进完善的意见及有关政策性建议。</w:t>
      </w:r>
    </w:p>
    <w:p w14:paraId="2DFDBB99">
      <w:pPr>
        <w:widowControl/>
        <w:shd w:val="clear" w:color="auto" w:fill="FFFFFF"/>
        <w:spacing w:line="600" w:lineRule="atLeast"/>
        <w:ind w:firstLine="64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zh-CN" w:eastAsia="zh-CN" w:bidi="ar-SA"/>
        </w:rPr>
        <w:t>一</w:t>
      </w:r>
      <w:r>
        <w:rPr>
          <w:rFonts w:hint="eastAsia"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加大对困难群众政策宣传，特别</w:t>
      </w:r>
      <w:r>
        <w:rPr>
          <w:rFonts w:hint="eastAsia"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“一卡通政策”的宣传，提高困难群众资金在广大群众中的认知度，</w:t>
      </w:r>
      <w:r>
        <w:rPr>
          <w:rFonts w:hint="eastAsia" w:ascii="Times New Roman" w:hAnsi="Times New Roman" w:eastAsia="仿宋_GB2312" w:cs="Times New Roman"/>
          <w:kern w:val="2"/>
          <w:sz w:val="32"/>
          <w:szCs w:val="32"/>
          <w:lang w:val="en-US" w:eastAsia="zh-CN" w:bidi="ar-SA"/>
        </w:rPr>
        <w:t>力争困难群众打卡失败现象清零。</w:t>
      </w:r>
    </w:p>
    <w:p w14:paraId="5D25D383">
      <w:pPr>
        <w:widowControl/>
        <w:shd w:val="clear" w:color="auto" w:fill="FFFFFF"/>
        <w:spacing w:line="600" w:lineRule="atLeast"/>
        <w:ind w:firstLine="64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二</w:t>
      </w:r>
      <w:r>
        <w:rPr>
          <w:rFonts w:hint="eastAsia"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建立健全工作保障机制，建议增加一定比例的工作人员，并为基层适当安排一定的工作经费，确保基层有人做事，有钱做事。</w:t>
      </w:r>
      <w:bookmarkStart w:id="69" w:name="_GoBack"/>
      <w:bookmarkEnd w:id="69"/>
    </w:p>
    <w:p w14:paraId="0D1A9761">
      <w:pPr>
        <w:spacing w:line="580" w:lineRule="exact"/>
        <w:rPr>
          <w:rStyle w:val="28"/>
          <w:rFonts w:ascii="黑体" w:hAnsi="黑体" w:eastAsia="黑体"/>
          <w:b w:val="0"/>
        </w:rPr>
      </w:pPr>
    </w:p>
    <w:p w14:paraId="3BE52DEE">
      <w:pPr>
        <w:widowControl/>
        <w:jc w:val="left"/>
        <w:rPr>
          <w:rStyle w:val="28"/>
          <w:rFonts w:ascii="黑体" w:hAnsi="黑体" w:eastAsia="黑体"/>
          <w:b w:val="0"/>
        </w:rPr>
      </w:pPr>
      <w:r>
        <w:rPr>
          <w:rStyle w:val="28"/>
          <w:rFonts w:ascii="黑体" w:hAnsi="黑体" w:eastAsia="黑体"/>
          <w:b w:val="0"/>
        </w:rPr>
        <w:br w:type="page"/>
      </w:r>
    </w:p>
    <w:p w14:paraId="111EA3B3">
      <w:pPr>
        <w:spacing w:line="600" w:lineRule="exact"/>
        <w:jc w:val="center"/>
        <w:outlineLvl w:val="0"/>
        <w:rPr>
          <w:rFonts w:ascii="仿宋" w:hAnsi="仿宋" w:eastAsia="仿宋"/>
        </w:rPr>
      </w:pPr>
      <w:bookmarkStart w:id="55" w:name="_Toc15396618"/>
      <w:r>
        <w:rPr>
          <w:rFonts w:hint="eastAsia" w:ascii="黑体" w:hAnsi="黑体" w:eastAsia="黑体"/>
          <w:sz w:val="44"/>
          <w:szCs w:val="44"/>
        </w:rPr>
        <w:t>第</w:t>
      </w:r>
      <w:r>
        <w:rPr>
          <w:rStyle w:val="28"/>
          <w:rFonts w:hint="eastAsia" w:ascii="黑体" w:hAnsi="黑体" w:eastAsia="黑体"/>
          <w:b w:val="0"/>
        </w:rPr>
        <w:t>五部分 附表</w:t>
      </w:r>
      <w:bookmarkEnd w:id="51"/>
      <w:bookmarkEnd w:id="55"/>
      <w:bookmarkStart w:id="56" w:name="_Toc15396619"/>
    </w:p>
    <w:p w14:paraId="12801CA9">
      <w:pPr>
        <w:pStyle w:val="5"/>
        <w:rPr>
          <w:rFonts w:ascii="仿宋" w:hAnsi="仿宋" w:eastAsia="仿宋"/>
        </w:rPr>
      </w:pPr>
      <w:r>
        <w:rPr>
          <w:rFonts w:hint="eastAsia" w:ascii="仿宋" w:hAnsi="仿宋" w:eastAsia="仿宋"/>
          <w:b w:val="0"/>
        </w:rPr>
        <w:t>一、收</w:t>
      </w:r>
      <w:r>
        <w:rPr>
          <w:rStyle w:val="29"/>
          <w:rFonts w:hint="eastAsia" w:ascii="仿宋" w:hAnsi="仿宋" w:eastAsia="仿宋"/>
          <w:b w:val="0"/>
          <w:bCs w:val="0"/>
        </w:rPr>
        <w:t>入支出决算总表</w:t>
      </w:r>
      <w:bookmarkEnd w:id="56"/>
    </w:p>
    <w:p w14:paraId="550223E8">
      <w:pPr>
        <w:pStyle w:val="5"/>
        <w:rPr>
          <w:rFonts w:ascii="仿宋" w:hAnsi="仿宋" w:eastAsia="仿宋"/>
        </w:rPr>
      </w:pPr>
      <w:bookmarkStart w:id="57" w:name="_Toc15396620"/>
      <w:r>
        <w:rPr>
          <w:rFonts w:hint="eastAsia" w:ascii="仿宋" w:hAnsi="仿宋" w:eastAsia="仿宋"/>
          <w:b w:val="0"/>
        </w:rPr>
        <w:t>二、收</w:t>
      </w:r>
      <w:r>
        <w:rPr>
          <w:rStyle w:val="29"/>
          <w:rFonts w:hint="eastAsia" w:ascii="仿宋" w:hAnsi="仿宋" w:eastAsia="仿宋"/>
          <w:b w:val="0"/>
          <w:bCs w:val="0"/>
        </w:rPr>
        <w:t>入决算表</w:t>
      </w:r>
      <w:bookmarkEnd w:id="57"/>
    </w:p>
    <w:p w14:paraId="67218BF4">
      <w:pPr>
        <w:pStyle w:val="5"/>
        <w:rPr>
          <w:rFonts w:ascii="仿宋" w:hAnsi="仿宋" w:eastAsia="仿宋"/>
        </w:rPr>
      </w:pPr>
      <w:bookmarkStart w:id="58" w:name="_Toc15396621"/>
      <w:r>
        <w:rPr>
          <w:rStyle w:val="29"/>
          <w:rFonts w:hint="eastAsia" w:ascii="仿宋" w:hAnsi="仿宋" w:eastAsia="仿宋"/>
          <w:b w:val="0"/>
          <w:bCs w:val="0"/>
        </w:rPr>
        <w:t>三、</w:t>
      </w:r>
      <w:r>
        <w:rPr>
          <w:rFonts w:hint="eastAsia" w:ascii="仿宋" w:hAnsi="仿宋" w:eastAsia="仿宋"/>
          <w:b w:val="0"/>
        </w:rPr>
        <w:t>支</w:t>
      </w:r>
      <w:r>
        <w:rPr>
          <w:rStyle w:val="29"/>
          <w:rFonts w:hint="eastAsia" w:ascii="仿宋" w:hAnsi="仿宋" w:eastAsia="仿宋"/>
          <w:b w:val="0"/>
          <w:bCs w:val="0"/>
        </w:rPr>
        <w:t>出决算表</w:t>
      </w:r>
      <w:bookmarkEnd w:id="58"/>
    </w:p>
    <w:p w14:paraId="06257924">
      <w:pPr>
        <w:pStyle w:val="5"/>
        <w:rPr>
          <w:rFonts w:ascii="仿宋" w:hAnsi="仿宋" w:eastAsia="仿宋"/>
          <w:b w:val="0"/>
        </w:rPr>
      </w:pPr>
      <w:bookmarkStart w:id="59" w:name="_Toc15396622"/>
      <w:r>
        <w:rPr>
          <w:rStyle w:val="29"/>
          <w:rFonts w:hint="eastAsia" w:ascii="仿宋" w:hAnsi="仿宋" w:eastAsia="仿宋"/>
          <w:b w:val="0"/>
          <w:bCs w:val="0"/>
        </w:rPr>
        <w:t>四、</w:t>
      </w:r>
      <w:r>
        <w:rPr>
          <w:rFonts w:hint="eastAsia" w:ascii="仿宋" w:hAnsi="仿宋" w:eastAsia="仿宋"/>
          <w:b w:val="0"/>
        </w:rPr>
        <w:t>财</w:t>
      </w:r>
      <w:r>
        <w:rPr>
          <w:rStyle w:val="29"/>
          <w:rFonts w:hint="eastAsia" w:ascii="仿宋" w:hAnsi="仿宋" w:eastAsia="仿宋"/>
          <w:b w:val="0"/>
          <w:bCs w:val="0"/>
        </w:rPr>
        <w:t>政拨款收入支出决算总表</w:t>
      </w:r>
      <w:bookmarkEnd w:id="59"/>
    </w:p>
    <w:p w14:paraId="5F74075F">
      <w:pPr>
        <w:pStyle w:val="5"/>
        <w:rPr>
          <w:rStyle w:val="29"/>
          <w:rFonts w:ascii="仿宋" w:hAnsi="仿宋" w:eastAsia="仿宋"/>
          <w:b w:val="0"/>
          <w:bCs w:val="0"/>
        </w:rPr>
      </w:pPr>
      <w:bookmarkStart w:id="60" w:name="_Toc15396623"/>
      <w:r>
        <w:rPr>
          <w:rStyle w:val="29"/>
          <w:rFonts w:hint="eastAsia" w:ascii="仿宋" w:hAnsi="仿宋" w:eastAsia="仿宋"/>
          <w:b w:val="0"/>
          <w:bCs w:val="0"/>
        </w:rPr>
        <w:t>五、</w:t>
      </w:r>
      <w:r>
        <w:rPr>
          <w:rFonts w:hint="eastAsia" w:ascii="仿宋" w:hAnsi="仿宋" w:eastAsia="仿宋"/>
          <w:b w:val="0"/>
        </w:rPr>
        <w:t>财</w:t>
      </w:r>
      <w:r>
        <w:rPr>
          <w:rStyle w:val="29"/>
          <w:rFonts w:hint="eastAsia" w:ascii="仿宋" w:hAnsi="仿宋" w:eastAsia="仿宋"/>
          <w:b w:val="0"/>
          <w:bCs w:val="0"/>
        </w:rPr>
        <w:t>政拨款支出决算明细表</w:t>
      </w:r>
      <w:bookmarkEnd w:id="60"/>
      <w:bookmarkStart w:id="61" w:name="_Toc15396624"/>
    </w:p>
    <w:p w14:paraId="2AEEA2F0">
      <w:pPr>
        <w:pStyle w:val="5"/>
        <w:rPr>
          <w:rFonts w:ascii="仿宋" w:hAnsi="仿宋" w:eastAsia="仿宋"/>
        </w:rPr>
      </w:pPr>
      <w:r>
        <w:rPr>
          <w:rStyle w:val="29"/>
          <w:rFonts w:hint="eastAsia" w:ascii="仿宋" w:hAnsi="仿宋" w:eastAsia="仿宋"/>
          <w:b w:val="0"/>
          <w:bCs w:val="0"/>
        </w:rPr>
        <w:t>六、</w:t>
      </w:r>
      <w:r>
        <w:rPr>
          <w:rFonts w:hint="eastAsia" w:ascii="仿宋" w:hAnsi="仿宋" w:eastAsia="仿宋"/>
          <w:b w:val="0"/>
        </w:rPr>
        <w:t>一</w:t>
      </w:r>
      <w:r>
        <w:rPr>
          <w:rStyle w:val="29"/>
          <w:rFonts w:hint="eastAsia" w:ascii="仿宋" w:hAnsi="仿宋" w:eastAsia="仿宋"/>
          <w:b w:val="0"/>
          <w:bCs w:val="0"/>
        </w:rPr>
        <w:t>般公共预算财政拨款支出决算表</w:t>
      </w:r>
      <w:bookmarkEnd w:id="61"/>
    </w:p>
    <w:p w14:paraId="6B751D1C">
      <w:pPr>
        <w:pStyle w:val="5"/>
        <w:rPr>
          <w:rFonts w:ascii="仿宋" w:hAnsi="仿宋" w:eastAsia="仿宋"/>
        </w:rPr>
      </w:pPr>
      <w:bookmarkStart w:id="62" w:name="_Toc15396625"/>
      <w:r>
        <w:rPr>
          <w:rStyle w:val="29"/>
          <w:rFonts w:hint="eastAsia" w:ascii="仿宋" w:hAnsi="仿宋" w:eastAsia="仿宋"/>
          <w:b w:val="0"/>
          <w:bCs w:val="0"/>
        </w:rPr>
        <w:t>七、</w:t>
      </w:r>
      <w:r>
        <w:rPr>
          <w:rFonts w:hint="eastAsia" w:ascii="仿宋" w:hAnsi="仿宋" w:eastAsia="仿宋"/>
          <w:b w:val="0"/>
        </w:rPr>
        <w:t>一</w:t>
      </w:r>
      <w:r>
        <w:rPr>
          <w:rStyle w:val="29"/>
          <w:rFonts w:hint="eastAsia" w:ascii="仿宋" w:hAnsi="仿宋" w:eastAsia="仿宋"/>
          <w:b w:val="0"/>
          <w:bCs w:val="0"/>
        </w:rPr>
        <w:t>般公共预算财政拨款支出决算明细表</w:t>
      </w:r>
      <w:bookmarkEnd w:id="62"/>
    </w:p>
    <w:p w14:paraId="0A60F9F9">
      <w:pPr>
        <w:pStyle w:val="5"/>
        <w:rPr>
          <w:rFonts w:ascii="仿宋" w:hAnsi="仿宋" w:eastAsia="仿宋"/>
        </w:rPr>
      </w:pPr>
      <w:bookmarkStart w:id="63" w:name="_Toc15396626"/>
      <w:r>
        <w:rPr>
          <w:rStyle w:val="29"/>
          <w:rFonts w:hint="eastAsia" w:ascii="仿宋" w:hAnsi="仿宋" w:eastAsia="仿宋"/>
          <w:b w:val="0"/>
          <w:bCs w:val="0"/>
        </w:rPr>
        <w:t>八、</w:t>
      </w:r>
      <w:r>
        <w:rPr>
          <w:rFonts w:hint="eastAsia" w:ascii="仿宋" w:hAnsi="仿宋" w:eastAsia="仿宋"/>
          <w:b w:val="0"/>
        </w:rPr>
        <w:t>一</w:t>
      </w:r>
      <w:r>
        <w:rPr>
          <w:rStyle w:val="29"/>
          <w:rFonts w:hint="eastAsia" w:ascii="仿宋" w:hAnsi="仿宋" w:eastAsia="仿宋"/>
          <w:b w:val="0"/>
          <w:bCs w:val="0"/>
        </w:rPr>
        <w:t>般公共预算财政拨款基本支出决算表</w:t>
      </w:r>
      <w:bookmarkEnd w:id="63"/>
    </w:p>
    <w:p w14:paraId="78558ECC">
      <w:pPr>
        <w:pStyle w:val="5"/>
        <w:rPr>
          <w:rFonts w:ascii="仿宋" w:hAnsi="仿宋" w:eastAsia="仿宋"/>
        </w:rPr>
      </w:pPr>
      <w:bookmarkStart w:id="64" w:name="_Toc15396627"/>
      <w:r>
        <w:rPr>
          <w:rStyle w:val="29"/>
          <w:rFonts w:hint="eastAsia" w:ascii="仿宋" w:hAnsi="仿宋" w:eastAsia="仿宋"/>
          <w:b w:val="0"/>
          <w:bCs w:val="0"/>
        </w:rPr>
        <w:t>九、</w:t>
      </w:r>
      <w:r>
        <w:rPr>
          <w:rFonts w:hint="eastAsia" w:ascii="仿宋" w:hAnsi="仿宋" w:eastAsia="仿宋"/>
          <w:b w:val="0"/>
        </w:rPr>
        <w:t>一</w:t>
      </w:r>
      <w:r>
        <w:rPr>
          <w:rStyle w:val="29"/>
          <w:rFonts w:hint="eastAsia" w:ascii="仿宋" w:hAnsi="仿宋" w:eastAsia="仿宋"/>
          <w:b w:val="0"/>
          <w:bCs w:val="0"/>
        </w:rPr>
        <w:t>般公共预算财政拨款项目支出决算表</w:t>
      </w:r>
      <w:bookmarkEnd w:id="64"/>
    </w:p>
    <w:p w14:paraId="520B2091">
      <w:pPr>
        <w:pStyle w:val="5"/>
        <w:rPr>
          <w:rFonts w:ascii="仿宋" w:hAnsi="仿宋" w:eastAsia="仿宋"/>
        </w:rPr>
      </w:pPr>
      <w:bookmarkStart w:id="65" w:name="_Toc15396628"/>
      <w:r>
        <w:rPr>
          <w:rStyle w:val="29"/>
          <w:rFonts w:hint="eastAsia" w:ascii="仿宋" w:hAnsi="仿宋" w:eastAsia="仿宋"/>
          <w:b w:val="0"/>
          <w:bCs w:val="0"/>
        </w:rPr>
        <w:t>十、</w:t>
      </w:r>
      <w:bookmarkEnd w:id="65"/>
      <w:r>
        <w:rPr>
          <w:rFonts w:hint="eastAsia" w:ascii="仿宋" w:hAnsi="仿宋" w:eastAsia="仿宋"/>
          <w:b w:val="0"/>
        </w:rPr>
        <w:t>政</w:t>
      </w:r>
      <w:r>
        <w:rPr>
          <w:rStyle w:val="29"/>
          <w:rFonts w:hint="eastAsia" w:ascii="仿宋" w:hAnsi="仿宋" w:eastAsia="仿宋"/>
          <w:b w:val="0"/>
          <w:bCs w:val="0"/>
        </w:rPr>
        <w:t>府性基金预算财政拨款收入支出决算表</w:t>
      </w:r>
    </w:p>
    <w:p w14:paraId="264C43DA">
      <w:pPr>
        <w:pStyle w:val="5"/>
        <w:rPr>
          <w:rFonts w:ascii="仿宋" w:hAnsi="仿宋" w:eastAsia="仿宋"/>
        </w:rPr>
      </w:pPr>
      <w:bookmarkStart w:id="66" w:name="_Toc15396629"/>
      <w:r>
        <w:rPr>
          <w:rStyle w:val="29"/>
          <w:rFonts w:hint="eastAsia" w:ascii="仿宋" w:hAnsi="仿宋" w:eastAsia="仿宋"/>
          <w:b w:val="0"/>
          <w:bCs w:val="0"/>
        </w:rPr>
        <w:t>十一、</w:t>
      </w:r>
      <w:bookmarkEnd w:id="66"/>
      <w:r>
        <w:rPr>
          <w:rFonts w:hint="eastAsia" w:ascii="仿宋" w:hAnsi="仿宋" w:eastAsia="仿宋"/>
          <w:b w:val="0"/>
        </w:rPr>
        <w:t>国</w:t>
      </w:r>
      <w:r>
        <w:rPr>
          <w:rStyle w:val="29"/>
          <w:rFonts w:hint="eastAsia" w:ascii="仿宋" w:hAnsi="仿宋" w:eastAsia="仿宋"/>
          <w:b w:val="0"/>
          <w:bCs w:val="0"/>
        </w:rPr>
        <w:t>有资本经营预算财政拨款收入支出决算表</w:t>
      </w:r>
    </w:p>
    <w:p w14:paraId="049B285C">
      <w:pPr>
        <w:pStyle w:val="5"/>
        <w:rPr>
          <w:rFonts w:ascii="仿宋" w:hAnsi="仿宋" w:eastAsia="仿宋"/>
        </w:rPr>
      </w:pPr>
      <w:bookmarkStart w:id="67" w:name="_Toc15396630"/>
      <w:r>
        <w:rPr>
          <w:rStyle w:val="29"/>
          <w:rFonts w:hint="eastAsia" w:ascii="仿宋" w:hAnsi="仿宋" w:eastAsia="仿宋"/>
          <w:b w:val="0"/>
          <w:bCs w:val="0"/>
        </w:rPr>
        <w:t>十二、</w:t>
      </w:r>
      <w:bookmarkEnd w:id="67"/>
      <w:r>
        <w:rPr>
          <w:rStyle w:val="29"/>
          <w:rFonts w:hint="eastAsia" w:ascii="仿宋" w:hAnsi="仿宋" w:eastAsia="仿宋"/>
          <w:b w:val="0"/>
          <w:bCs w:val="0"/>
        </w:rPr>
        <w:t>国有资本经营预算财政拨款支出决算表</w:t>
      </w:r>
    </w:p>
    <w:p w14:paraId="17646B0D">
      <w:pPr>
        <w:pStyle w:val="5"/>
        <w:rPr>
          <w:rFonts w:eastAsia="仿宋"/>
        </w:rPr>
      </w:pPr>
      <w:bookmarkStart w:id="68" w:name="_Toc15396631"/>
      <w:r>
        <w:rPr>
          <w:rStyle w:val="29"/>
          <w:rFonts w:hint="eastAsia" w:ascii="仿宋" w:hAnsi="仿宋" w:eastAsia="仿宋"/>
          <w:b w:val="0"/>
          <w:bCs w:val="0"/>
        </w:rPr>
        <w:t>十三、</w:t>
      </w:r>
      <w:bookmarkEnd w:id="68"/>
      <w:r>
        <w:rPr>
          <w:rStyle w:val="29"/>
          <w:rFonts w:hint="eastAsia" w:ascii="仿宋" w:hAnsi="仿宋"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247BA3-5694-4389-9016-BA166972B3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33E8FD3C-F51E-4115-AC97-549796BD5825}"/>
  </w:font>
  <w:font w:name="仿宋_GB2312">
    <w:altName w:val="仿宋"/>
    <w:panose1 w:val="02010609030101010101"/>
    <w:charset w:val="86"/>
    <w:family w:val="modern"/>
    <w:pitch w:val="default"/>
    <w:sig w:usb0="00000000" w:usb1="00000000" w:usb2="00000000" w:usb3="00000000" w:csb0="00040000" w:csb1="00000000"/>
    <w:embedRegular r:id="rId3" w:fontKey="{52C6F90E-2142-4C10-A92F-B527EEED0909}"/>
  </w:font>
  <w:font w:name="仿宋">
    <w:panose1 w:val="02010609060101010101"/>
    <w:charset w:val="86"/>
    <w:family w:val="modern"/>
    <w:pitch w:val="default"/>
    <w:sig w:usb0="800002BF" w:usb1="38CF7CFA" w:usb2="00000016" w:usb3="00000000" w:csb0="00040001" w:csb1="00000000"/>
    <w:embedRegular r:id="rId4" w:fontKey="{E8BC5874-F32E-45A2-950F-B9FEE1D270AE}"/>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embedRegular r:id="rId5" w:fontKey="{72D5A1AD-E204-449D-AEA3-00F8FC528B46}"/>
  </w:font>
  <w:font w:name="楷体_GB2312">
    <w:altName w:val="楷体"/>
    <w:panose1 w:val="02010609030101010101"/>
    <w:charset w:val="86"/>
    <w:family w:val="auto"/>
    <w:pitch w:val="default"/>
    <w:sig w:usb0="00000000" w:usb1="00000000" w:usb2="00000000" w:usb3="00000000" w:csb0="00040000" w:csb1="00000000"/>
    <w:embedRegular r:id="rId6" w:fontKey="{0FA405C0-858E-4133-9B32-38A84EF4D167}"/>
  </w:font>
  <w:font w:name="方正小标宋_GBK">
    <w:altName w:val="微软雅黑"/>
    <w:panose1 w:val="03000509000000000000"/>
    <w:charset w:val="86"/>
    <w:family w:val="auto"/>
    <w:pitch w:val="default"/>
    <w:sig w:usb0="00000000" w:usb1="00000000" w:usb2="00000000" w:usb3="00000000" w:csb0="00040000" w:csb1="00000000"/>
    <w:embedRegular r:id="rId7" w:fontKey="{0C73CBF3-DC9E-4EAE-A7F6-D69826867B22}"/>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0FDBFC7">
        <w:pPr>
          <w:pStyle w:val="11"/>
          <w:jc w:val="center"/>
        </w:pPr>
        <w:r>
          <w:fldChar w:fldCharType="begin"/>
        </w:r>
        <w:r>
          <w:instrText xml:space="preserve">PAGE   \* MERGEFORMAT</w:instrText>
        </w:r>
        <w:r>
          <w:fldChar w:fldCharType="separate"/>
        </w:r>
        <w:r>
          <w:rPr>
            <w:lang w:val="zh-CN"/>
          </w:rPr>
          <w:t>2</w:t>
        </w:r>
        <w:r>
          <w:fldChar w:fldCharType="end"/>
        </w:r>
      </w:p>
    </w:sdtContent>
  </w:sdt>
  <w:p w14:paraId="194647F8">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7F41A">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21D2B2"/>
    <w:multiLevelType w:val="singleLevel"/>
    <w:tmpl w:val="B421D2B2"/>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A3C13A"/>
    <w:multiLevelType w:val="singleLevel"/>
    <w:tmpl w:val="E2A3C13A"/>
    <w:lvl w:ilvl="0" w:tentative="0">
      <w:start w:val="2"/>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FFF674BC"/>
    <w:multiLevelType w:val="singleLevel"/>
    <w:tmpl w:val="FFF674BC"/>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06B6"/>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4B40"/>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43E91"/>
    <w:rsid w:val="066E0107"/>
    <w:rsid w:val="07996F6E"/>
    <w:rsid w:val="08C972AA"/>
    <w:rsid w:val="0A2032A3"/>
    <w:rsid w:val="0D330E17"/>
    <w:rsid w:val="0F98263C"/>
    <w:rsid w:val="101860EC"/>
    <w:rsid w:val="10C055FF"/>
    <w:rsid w:val="118107EC"/>
    <w:rsid w:val="131F6E0F"/>
    <w:rsid w:val="13D50BC4"/>
    <w:rsid w:val="15D049DC"/>
    <w:rsid w:val="16BB723D"/>
    <w:rsid w:val="1BE8440E"/>
    <w:rsid w:val="1D155CEE"/>
    <w:rsid w:val="1EF95861"/>
    <w:rsid w:val="1FF35744"/>
    <w:rsid w:val="23860B96"/>
    <w:rsid w:val="240371BF"/>
    <w:rsid w:val="25CF3CBA"/>
    <w:rsid w:val="29FD04D3"/>
    <w:rsid w:val="2C8A61B5"/>
    <w:rsid w:val="2DF04E50"/>
    <w:rsid w:val="2F040D46"/>
    <w:rsid w:val="300E44B6"/>
    <w:rsid w:val="319F7F4E"/>
    <w:rsid w:val="3304709D"/>
    <w:rsid w:val="35E9785E"/>
    <w:rsid w:val="36AA5135"/>
    <w:rsid w:val="376D39B2"/>
    <w:rsid w:val="37E16F03"/>
    <w:rsid w:val="38D469F0"/>
    <w:rsid w:val="3B9E2D5F"/>
    <w:rsid w:val="3D98207C"/>
    <w:rsid w:val="3E78745D"/>
    <w:rsid w:val="3EB36364"/>
    <w:rsid w:val="44E268DA"/>
    <w:rsid w:val="4A627F82"/>
    <w:rsid w:val="4B0E749A"/>
    <w:rsid w:val="4B4F25DA"/>
    <w:rsid w:val="4BE068DB"/>
    <w:rsid w:val="4D577224"/>
    <w:rsid w:val="4EAB630A"/>
    <w:rsid w:val="4ECE2238"/>
    <w:rsid w:val="4FB3346A"/>
    <w:rsid w:val="51376B77"/>
    <w:rsid w:val="537E6D0A"/>
    <w:rsid w:val="55E1178D"/>
    <w:rsid w:val="5AF92295"/>
    <w:rsid w:val="5B07207B"/>
    <w:rsid w:val="5CD71FC4"/>
    <w:rsid w:val="5D222B7F"/>
    <w:rsid w:val="66E80EC9"/>
    <w:rsid w:val="6C4A05C8"/>
    <w:rsid w:val="6E7E3605"/>
    <w:rsid w:val="6FA875AB"/>
    <w:rsid w:val="6FF5CC65"/>
    <w:rsid w:val="715C0E4B"/>
    <w:rsid w:val="71E70C5E"/>
    <w:rsid w:val="72734D90"/>
    <w:rsid w:val="728034F7"/>
    <w:rsid w:val="73AD73D5"/>
    <w:rsid w:val="73B6EB34"/>
    <w:rsid w:val="744731E5"/>
    <w:rsid w:val="76E3355F"/>
    <w:rsid w:val="778769C8"/>
    <w:rsid w:val="79EE5BA4"/>
    <w:rsid w:val="7A894339"/>
    <w:rsid w:val="7EEF11D3"/>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rPr>
  </w:style>
  <w:style w:type="paragraph" w:styleId="3">
    <w:name w:val="Body Text"/>
    <w:basedOn w:val="1"/>
    <w:link w:val="25"/>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3"/>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744560075685903"/>
          <c:y val="0.185663082437276"/>
          <c:w val="0.899526963103122"/>
          <c:h val="0.593643966547192"/>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2021年财政拨款收入</c:v>
                </c:pt>
                <c:pt idx="1">
                  <c:v>2022年财政拨款收入</c:v>
                </c:pt>
                <c:pt idx="2">
                  <c:v>2021年财政拨款支出</c:v>
                </c:pt>
                <c:pt idx="3">
                  <c:v>2022年财政拨款支出</c:v>
                </c:pt>
              </c:strCache>
            </c:strRef>
          </c:cat>
          <c:val>
            <c:numRef>
              <c:f>Sheet1!$B$2:$B$5</c:f>
              <c:numCache>
                <c:formatCode>General</c:formatCode>
                <c:ptCount val="4"/>
                <c:pt idx="0">
                  <c:v>2016.6</c:v>
                </c:pt>
                <c:pt idx="1">
                  <c:v>6291.45</c:v>
                </c:pt>
                <c:pt idx="2">
                  <c:v>2626.99</c:v>
                </c:pt>
                <c:pt idx="3">
                  <c:v>6515.7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Sheet1!$A$2:$A$5</c:f>
              <c:strCache>
                <c:ptCount val="4"/>
                <c:pt idx="0">
                  <c:v>2021年财政拨款收入</c:v>
                </c:pt>
                <c:pt idx="1">
                  <c:v>2022年财政拨款收入</c:v>
                </c:pt>
                <c:pt idx="2">
                  <c:v>2021年财政拨款支出</c:v>
                </c:pt>
                <c:pt idx="3">
                  <c:v>2022年财政拨款支出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4"/>
                <c:pt idx="0">
                  <c:v>2021年财政拨款收入</c:v>
                </c:pt>
                <c:pt idx="1">
                  <c:v>2022年财政拨款收入</c:v>
                </c:pt>
                <c:pt idx="2">
                  <c:v>2021年财政拨款支出</c:v>
                </c:pt>
                <c:pt idx="3">
                  <c:v>2022年财政拨款支出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2451298"/>
        <c:axId val="973239206"/>
      </c:barChart>
      <c:catAx>
        <c:axId val="61245129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3239206"/>
        <c:crosses val="autoZero"/>
        <c:auto val="1"/>
        <c:lblAlgn val="ctr"/>
        <c:lblOffset val="100"/>
        <c:noMultiLvlLbl val="0"/>
      </c:catAx>
      <c:valAx>
        <c:axId val="9732392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2451298"/>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5a447e2-151e-4746-8fec-bb939987cbb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182035801445873"/>
                  <c:y val="-0.24683856802147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0232246133073"/>
                  <c:y val="0.001564256999381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strCache>
            </c:strRef>
          </c:cat>
          <c:val>
            <c:numRef>
              <c:f>Sheet1!$B$2:$B$5</c:f>
              <c:numCache>
                <c:formatCode>General</c:formatCode>
                <c:ptCount val="4"/>
                <c:pt idx="0">
                  <c:v>6243.33</c:v>
                </c:pt>
                <c:pt idx="1">
                  <c:v>48.12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manualLayout>
          <c:xMode val="edge"/>
          <c:yMode val="edge"/>
          <c:x val="0.158112787534009"/>
          <c:y val="0.8924097273397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fa21818-79e6-4f97-a521-89d16f71c6c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83125"/>
          <c:y val="0.129333333333333"/>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896541858282668"/>
                  <c:y val="0.00599713390016967"/>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07675906183369"/>
                      <c:h val="0.0786256323777403"/>
                    </c:manualLayout>
                  </c15:layout>
                </c:ext>
              </c:extLst>
            </c:dLbl>
            <c:dLbl>
              <c:idx val="1"/>
              <c:layout>
                <c:manualLayout>
                  <c:x val="0.0458988900618682"/>
                  <c:y val="-0.209229682589644"/>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91305377872542"/>
                      <c:h val="0.140809443507589"/>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362.67</c:v>
                </c:pt>
                <c:pt idx="1">
                  <c:v>6153.03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41c5114-4675-431f-8d7c-cdda2236057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744560075685903"/>
          <c:y val="0.185663082437276"/>
          <c:w val="0.899526963103122"/>
          <c:h val="0.593643966547192"/>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2021年财政拨款收入</c:v>
                </c:pt>
                <c:pt idx="1">
                  <c:v>2022年财政拨款收入</c:v>
                </c:pt>
                <c:pt idx="2">
                  <c:v>2021年财政拨款支出</c:v>
                </c:pt>
                <c:pt idx="3">
                  <c:v>2022年财政拨款支出</c:v>
                </c:pt>
              </c:strCache>
            </c:strRef>
          </c:cat>
          <c:val>
            <c:numRef>
              <c:f>Sheet1!$B$2:$B$5</c:f>
              <c:numCache>
                <c:formatCode>General</c:formatCode>
                <c:ptCount val="4"/>
                <c:pt idx="0">
                  <c:v>2016.6</c:v>
                </c:pt>
                <c:pt idx="1">
                  <c:v>6291.45</c:v>
                </c:pt>
                <c:pt idx="2">
                  <c:v>2626.99</c:v>
                </c:pt>
                <c:pt idx="3">
                  <c:v>6515.7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Sheet1!$A$2:$A$5</c:f>
              <c:strCache>
                <c:ptCount val="4"/>
                <c:pt idx="0">
                  <c:v>2021年财政拨款收入</c:v>
                </c:pt>
                <c:pt idx="1">
                  <c:v>2022年财政拨款收入</c:v>
                </c:pt>
                <c:pt idx="2">
                  <c:v>2021年财政拨款支出</c:v>
                </c:pt>
                <c:pt idx="3">
                  <c:v>2022年财政拨款支出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4"/>
                <c:pt idx="0">
                  <c:v>2021年财政拨款收入</c:v>
                </c:pt>
                <c:pt idx="1">
                  <c:v>2022年财政拨款收入</c:v>
                </c:pt>
                <c:pt idx="2">
                  <c:v>2021年财政拨款支出</c:v>
                </c:pt>
                <c:pt idx="3">
                  <c:v>2022年财政拨款支出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2451298"/>
        <c:axId val="973239206"/>
      </c:barChart>
      <c:catAx>
        <c:axId val="61245129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3239206"/>
        <c:crosses val="autoZero"/>
        <c:auto val="1"/>
        <c:lblAlgn val="ctr"/>
        <c:lblOffset val="100"/>
        <c:noMultiLvlLbl val="0"/>
      </c:catAx>
      <c:valAx>
        <c:axId val="9732392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2451298"/>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5b24793-8cd6-43bd-bbb1-3587a9f54e5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2021年一般公共预算财政拨款支出</c:v>
                </c:pt>
                <c:pt idx="1">
                  <c:v>2022年一般公共预算财政拨款支出</c:v>
                </c:pt>
              </c:strCache>
            </c:strRef>
          </c:cat>
          <c:val>
            <c:numRef>
              <c:f>Sheet1!$B$2:$B$5</c:f>
              <c:numCache>
                <c:formatCode>General</c:formatCode>
                <c:ptCount val="4"/>
                <c:pt idx="0">
                  <c:v>2505.92</c:v>
                </c:pt>
                <c:pt idx="1">
                  <c:v>6467.58</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2021年一般公共预算财政拨款支出</c:v>
                </c:pt>
                <c:pt idx="1">
                  <c:v>2022年一般公共预算财政拨款支出</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2021年一般公共预算财政拨款支出</c:v>
                </c:pt>
                <c:pt idx="1">
                  <c:v>2022年一般公共预算财政拨款支出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506531"/>
        <c:axId val="369270417"/>
      </c:barChart>
      <c:catAx>
        <c:axId val="22050653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9270417"/>
        <c:crosses val="autoZero"/>
        <c:auto val="1"/>
        <c:lblAlgn val="ctr"/>
        <c:lblOffset val="100"/>
        <c:noMultiLvlLbl val="0"/>
      </c:catAx>
      <c:valAx>
        <c:axId val="36927041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506531"/>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452478839177751"/>
          <c:y val="0.8645577395577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f34b24a-4d43-43bd-ba09-841a71263cf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c:v>
                </c:pt>
              </c:strCache>
            </c:strRef>
          </c:tx>
          <c:spPr>
            <a:ln w="19050">
              <a:solidFill>
                <a:schemeClr val="bg1"/>
              </a:solidFill>
            </a:ln>
          </c:spPr>
          <c:explosion val="0"/>
          <c:dPt>
            <c:idx val="0"/>
            <c:bubble3D val="0"/>
            <c:spPr>
              <a:solidFill>
                <a:schemeClr val="accent1"/>
              </a:solidFill>
              <a:ln w="19050">
                <a:solidFill>
                  <a:schemeClr val="bg1"/>
                </a:solidFill>
              </a:ln>
              <a:effectLst/>
            </c:spPr>
          </c:dPt>
          <c:dPt>
            <c:idx val="1"/>
            <c:bubble3D val="0"/>
            <c:spPr>
              <a:solidFill>
                <a:schemeClr val="accent2"/>
              </a:solidFill>
              <a:ln w="19050">
                <a:solidFill>
                  <a:srgbClr val="C00000"/>
                </a:solidFill>
              </a:ln>
              <a:effectLst/>
            </c:spPr>
          </c:dPt>
          <c:dPt>
            <c:idx val="2"/>
            <c:bubble3D val="0"/>
            <c:spPr>
              <a:solidFill>
                <a:srgbClr val="FFFF00"/>
              </a:solidFill>
              <a:ln w="19050">
                <a:solidFill>
                  <a:srgbClr val="FFFF00"/>
                </a:solidFill>
              </a:ln>
              <a:effectLst/>
            </c:spPr>
          </c:dPt>
          <c:dPt>
            <c:idx val="3"/>
            <c:bubble3D val="0"/>
            <c:spPr>
              <a:solidFill>
                <a:schemeClr val="accent4"/>
              </a:solidFill>
              <a:ln w="19050">
                <a:solidFill>
                  <a:srgbClr val="7030A0"/>
                </a:solidFill>
              </a:ln>
              <a:effectLst/>
            </c:spPr>
          </c:dPt>
          <c:dPt>
            <c:idx val="4"/>
            <c:bubble3D val="0"/>
            <c:spPr>
              <a:solidFill>
                <a:schemeClr val="accent5"/>
              </a:solidFill>
              <a:ln w="19050">
                <a:solidFill>
                  <a:srgbClr val="00B0F0"/>
                </a:solidFill>
              </a:ln>
              <a:effectLst/>
            </c:spPr>
          </c:dPt>
          <c:dLbls>
            <c:delete val="1"/>
          </c:dLbls>
          <c:cat>
            <c:strRef>
              <c:f>Sheet1!$A$2:$A$6</c:f>
              <c:strCache>
                <c:ptCount val="5"/>
                <c:pt idx="0">
                  <c:v>社会保障和就业支出</c:v>
                </c:pt>
                <c:pt idx="1">
                  <c:v>卫生健康支出</c:v>
                </c:pt>
                <c:pt idx="2">
                  <c:v>住房保障支出</c:v>
                </c:pt>
                <c:pt idx="3">
                  <c:v>农林水支出</c:v>
                </c:pt>
                <c:pt idx="4">
                  <c:v>其他支出</c:v>
                </c:pt>
              </c:strCache>
            </c:strRef>
          </c:cat>
          <c:val>
            <c:numRef>
              <c:f>Sheet1!$B$2:$B$6</c:f>
              <c:numCache>
                <c:formatCode>General</c:formatCode>
                <c:ptCount val="5"/>
                <c:pt idx="0">
                  <c:v>6194.25</c:v>
                </c:pt>
                <c:pt idx="1">
                  <c:v>9.97</c:v>
                </c:pt>
                <c:pt idx="2">
                  <c:v>13.74</c:v>
                </c:pt>
                <c:pt idx="3">
                  <c:v>69.62</c:v>
                </c:pt>
                <c:pt idx="4">
                  <c:v>5.12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779a336-6cae-4806-8f0a-302e335ca9a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因公出国（境）经费支出</c:v>
                </c:pt>
                <c:pt idx="1">
                  <c:v>公务用车运行维护支出</c:v>
                </c:pt>
                <c:pt idx="2">
                  <c:v>公务接待费支出</c:v>
                </c:pt>
              </c:strCache>
            </c:strRef>
          </c:cat>
          <c:val>
            <c:numRef>
              <c:f>Sheet1!$B$2:$B$4</c:f>
              <c:numCache>
                <c:formatCode>General</c:formatCode>
                <c:ptCount val="3"/>
                <c:pt idx="0">
                  <c:v>0</c:v>
                </c:pt>
                <c:pt idx="1">
                  <c:v>10.97</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4a02f9a-81de-4fca-b5fd-588500101ad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56</Pages>
  <Words>8198</Words>
  <Characters>9101</Characters>
  <Lines>6</Lines>
  <Paragraphs>16</Paragraphs>
  <TotalTime>18</TotalTime>
  <ScaleCrop>false</ScaleCrop>
  <LinksUpToDate>false</LinksUpToDate>
  <CharactersWithSpaces>9128</CharactersWithSpaces>
  <Application>WPS Office_12.1.0.26895_F1E327BC-269C-435d-A152-05C5408002CA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2023-10-11T02:05:00Z</dcterms:created>
  <dc:creator>曹颖</dc:creator>
  <cp:lastModifiedBy>幸运草</cp:lastModifiedBy>
  <cp:lastPrinted>2023-07-31T02:35:00Z</cp:lastPrinted>
  <dcterms:modified xsi:type="dcterms:W3CDTF">2026-07-31T03:25:42Z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eyJoZGlkIjoiMjFjZDUyOTMyYWE5NDBlMzFkNjdiM2Y1ZDg4Y2Q4M2EiLCJ1c2VySWQiOiIyNzIwOTQ3NjIifQ==</vt:lpwstr>
  </property>
  <property fmtid="{D5CDD505-2E9C-101B-9397-08002B2CF9AE}" pid="4" name="ICV">
    <vt:lpwstr>C1EDECE7678F4CB2B4B86E10A820B172_12</vt:lpwstr>
  </property>
</Properties>
</file>