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79CFA">
      <w:pPr>
        <w:spacing w:line="600" w:lineRule="exact"/>
        <w:jc w:val="center"/>
        <w:outlineLvl w:val="0"/>
        <w:rPr>
          <w:rFonts w:ascii="方正小标宋简体" w:hAnsi="宋体" w:eastAsia="方正小标宋简体"/>
          <w:sz w:val="72"/>
          <w:szCs w:val="72"/>
        </w:rPr>
      </w:pPr>
      <w:bookmarkStart w:id="0" w:name="_Toc15377425"/>
      <w:bookmarkStart w:id="1" w:name="_Toc15396475"/>
      <w:bookmarkStart w:id="2" w:name="_Toc15378441"/>
      <w:bookmarkStart w:id="3" w:name="_Toc15396597"/>
      <w:bookmarkStart w:id="4" w:name="_Toc15377193"/>
      <w:bookmarkStart w:id="5" w:name="_Toc15306267"/>
    </w:p>
    <w:p w14:paraId="2D7A8148">
      <w:pPr>
        <w:spacing w:line="600" w:lineRule="exact"/>
        <w:jc w:val="center"/>
        <w:outlineLvl w:val="0"/>
        <w:rPr>
          <w:rFonts w:ascii="方正小标宋简体" w:hAnsi="宋体" w:eastAsia="方正小标宋简体"/>
          <w:sz w:val="72"/>
          <w:szCs w:val="72"/>
        </w:rPr>
      </w:pPr>
    </w:p>
    <w:p w14:paraId="37A2F7CC">
      <w:pPr>
        <w:spacing w:line="600" w:lineRule="exact"/>
        <w:jc w:val="center"/>
        <w:outlineLvl w:val="0"/>
        <w:rPr>
          <w:rFonts w:ascii="方正小标宋简体" w:hAnsi="宋体" w:eastAsia="方正小标宋简体"/>
          <w:sz w:val="72"/>
          <w:szCs w:val="72"/>
        </w:rPr>
      </w:pPr>
    </w:p>
    <w:p w14:paraId="23CF76EF">
      <w:pPr>
        <w:adjustRightInd w:val="0"/>
        <w:snapToGrid w:val="0"/>
        <w:spacing w:line="360" w:lineRule="auto"/>
        <w:jc w:val="center"/>
        <w:outlineLvl w:val="0"/>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2022年度</w:t>
      </w:r>
      <w:bookmarkEnd w:id="0"/>
      <w:bookmarkEnd w:id="1"/>
      <w:bookmarkEnd w:id="2"/>
      <w:bookmarkEnd w:id="3"/>
      <w:bookmarkEnd w:id="4"/>
    </w:p>
    <w:p w14:paraId="27904D2A">
      <w:pPr>
        <w:adjustRightInd w:val="0"/>
        <w:snapToGrid w:val="0"/>
        <w:spacing w:line="360" w:lineRule="auto"/>
        <w:jc w:val="center"/>
        <w:outlineLvl w:val="0"/>
        <w:rPr>
          <w:rFonts w:hint="eastAsia" w:ascii="方正小标宋简体" w:hAnsi="方正小标宋简体" w:eastAsia="方正小标宋简体" w:cs="方正小标宋简体"/>
          <w:sz w:val="52"/>
          <w:szCs w:val="52"/>
        </w:rPr>
      </w:pPr>
      <w:bookmarkStart w:id="6" w:name="_Toc15396476"/>
      <w:bookmarkStart w:id="7" w:name="_Toc15396598"/>
      <w:bookmarkStart w:id="8" w:name="_Toc15378442"/>
      <w:bookmarkStart w:id="9" w:name="_Toc15377426"/>
      <w:bookmarkStart w:id="10" w:name="_Toc15377194"/>
      <w:r>
        <w:rPr>
          <w:rFonts w:hint="eastAsia" w:ascii="方正小标宋简体" w:hAnsi="方正小标宋简体" w:eastAsia="方正小标宋简体" w:cs="方正小标宋简体"/>
          <w:sz w:val="52"/>
          <w:szCs w:val="52"/>
        </w:rPr>
        <w:t>四川省</w:t>
      </w:r>
      <w:bookmarkEnd w:id="5"/>
      <w:bookmarkStart w:id="11" w:name="_Toc15306268"/>
      <w:r>
        <w:rPr>
          <w:rFonts w:hint="eastAsia" w:ascii="方正小标宋简体" w:hAnsi="方正小标宋简体" w:eastAsia="方正小标宋简体" w:cs="方正小标宋简体"/>
          <w:sz w:val="52"/>
          <w:szCs w:val="52"/>
        </w:rPr>
        <w:t>阿坝州壤塘县社会救助福利中心</w:t>
      </w:r>
    </w:p>
    <w:p w14:paraId="208D7621">
      <w:pPr>
        <w:adjustRightInd w:val="0"/>
        <w:snapToGrid w:val="0"/>
        <w:spacing w:line="360" w:lineRule="auto"/>
        <w:jc w:val="center"/>
        <w:outlineLvl w:val="0"/>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部门决算</w:t>
      </w:r>
      <w:bookmarkEnd w:id="6"/>
      <w:bookmarkEnd w:id="7"/>
      <w:bookmarkEnd w:id="8"/>
      <w:bookmarkEnd w:id="9"/>
      <w:bookmarkEnd w:id="10"/>
      <w:bookmarkEnd w:id="11"/>
    </w:p>
    <w:p w14:paraId="48AAE227">
      <w:pPr>
        <w:widowControl/>
        <w:jc w:val="center"/>
        <w:rPr>
          <w:rFonts w:hint="eastAsia" w:ascii="仿宋_GB2312" w:hAnsi="仿宋_GB2312" w:eastAsia="仿宋_GB2312" w:cs="仿宋_GB2312"/>
          <w:sz w:val="32"/>
          <w:szCs w:val="32"/>
        </w:rPr>
      </w:pPr>
      <w:r>
        <w:rPr>
          <w:rFonts w:ascii="方正小标宋简体" w:hAnsi="宋体" w:eastAsia="方正小标宋简体"/>
          <w:sz w:val="36"/>
          <w:szCs w:val="36"/>
        </w:rPr>
        <w:br w:type="page"/>
      </w:r>
      <w:r>
        <w:rPr>
          <w:rFonts w:hint="eastAsia" w:ascii="仿宋_GB2312" w:hAnsi="仿宋_GB2312" w:eastAsia="仿宋_GB2312" w:cs="仿宋_GB2312"/>
          <w:sz w:val="32"/>
          <w:szCs w:val="32"/>
        </w:rPr>
        <w:t>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录</w:t>
      </w:r>
    </w:p>
    <w:p w14:paraId="65AEF763">
      <w:pPr>
        <w:widowControl/>
        <w:jc w:val="center"/>
        <w:rPr>
          <w:rFonts w:hint="eastAsia" w:ascii="仿宋_GB2312" w:hAnsi="仿宋_GB2312" w:eastAsia="仿宋_GB2312" w:cs="仿宋_GB2312"/>
          <w:sz w:val="32"/>
          <w:szCs w:val="32"/>
        </w:rPr>
      </w:pPr>
    </w:p>
    <w:p w14:paraId="0AE15BDB">
      <w:pPr>
        <w:pStyle w:val="1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公开时间：2023年10月23日</w:t>
      </w:r>
    </w:p>
    <w:p w14:paraId="02E8D871">
      <w:pPr>
        <w:pStyle w:val="13"/>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p>
    <w:p w14:paraId="79C7349A">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268D1924">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27C0BAE6">
      <w:pPr>
        <w:pStyle w:val="13"/>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 2022年度部门决算情况说明</w:t>
      </w:r>
    </w:p>
    <w:p w14:paraId="58451AF5">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46FA688E">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68968A70">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14:paraId="459353B6">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14:paraId="034BB50E">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14:paraId="330A81C1">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14:paraId="78A3EB72">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七、财政拨款“三公”经费支出决算情况说明</w:t>
      </w:r>
    </w:p>
    <w:p w14:paraId="0862B46E">
      <w:pPr>
        <w:pStyle w:val="14"/>
        <w:adjustRightInd w:val="0"/>
        <w:snapToGrid w:val="0"/>
        <w:spacing w:line="44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14:paraId="6FC1AF74">
      <w:pPr>
        <w:pStyle w:val="14"/>
        <w:adjustRightInd w:val="0"/>
        <w:snapToGrid w:val="0"/>
        <w:spacing w:line="440" w:lineRule="exact"/>
        <w:ind w:leftChars="0"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p>
    <w:p w14:paraId="6D4FFA9F">
      <w:pPr>
        <w:adjustRightInd w:val="0"/>
        <w:snapToGrid w:val="0"/>
        <w:spacing w:line="440" w:lineRule="exact"/>
        <w:ind w:firstLine="640" w:firstLineChars="200"/>
        <w:jc w:val="left"/>
        <w:rPr>
          <w:rFonts w:hint="eastAsia" w:ascii="仿宋_GB2312" w:hAnsi="仿宋_GB2312" w:eastAsia="仿宋_GB2312" w:cs="仿宋_GB2312"/>
          <w:sz w:val="32"/>
          <w:szCs w:val="32"/>
        </w:rPr>
      </w:pPr>
      <w:r>
        <w:rPr>
          <w:rStyle w:val="18"/>
          <w:rFonts w:hint="eastAsia" w:ascii="仿宋_GB2312" w:hAnsi="仿宋_GB2312" w:eastAsia="仿宋_GB2312" w:cs="仿宋_GB2312"/>
          <w:color w:val="auto"/>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p>
    <w:p w14:paraId="78A05AB1">
      <w:pPr>
        <w:pStyle w:val="13"/>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p>
    <w:p w14:paraId="72C4159B">
      <w:pPr>
        <w:pStyle w:val="13"/>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p>
    <w:p w14:paraId="25B60BA2">
      <w:pPr>
        <w:pStyle w:val="13"/>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14:paraId="6B2BC811">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56064136">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5E24B461">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06583C00">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76DCB2B1">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0F695CF1">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08722FD7">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36713F24">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八、一般公共预算财政拨款基本支出决算明细表</w:t>
      </w:r>
    </w:p>
    <w:p w14:paraId="3F6586B9">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6CF1828F">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十、政府性基金预算财政拨款收入支出决算表</w:t>
      </w:r>
    </w:p>
    <w:p w14:paraId="7FECCD7A">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十一、国有资本经营预算财政拨款收入支出决算表</w:t>
      </w:r>
    </w:p>
    <w:p w14:paraId="64F78CE1">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十二、国有资本经营预算财政拨款支出决算表</w:t>
      </w:r>
    </w:p>
    <w:p w14:paraId="4A910F63">
      <w:pPr>
        <w:pStyle w:val="14"/>
        <w:adjustRightInd w:val="0"/>
        <w:snapToGrid w:val="0"/>
        <w:spacing w:line="440" w:lineRule="exac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十三、财政拨款“三公”经费支出决算表</w:t>
      </w:r>
    </w:p>
    <w:p w14:paraId="34181C64">
      <w:pPr>
        <w:widowControl/>
        <w:adjustRightInd w:val="0"/>
        <w:snapToGrid w:val="0"/>
        <w:spacing w:line="440" w:lineRule="exact"/>
        <w:ind w:firstLine="1760" w:firstLineChars="5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(注：请部门根据实际注明页码)</w:t>
      </w:r>
    </w:p>
    <w:p w14:paraId="3B21E098">
      <w:pPr>
        <w:widowControl/>
        <w:spacing w:line="440" w:lineRule="exact"/>
        <w:jc w:val="left"/>
        <w:rPr>
          <w:rFonts w:hint="eastAsia" w:ascii="仿宋_GB2312" w:hAnsi="仿宋_GB2312" w:eastAsia="仿宋_GB2312" w:cs="仿宋_GB2312"/>
          <w:bCs/>
          <w:kern w:val="44"/>
          <w:sz w:val="32"/>
          <w:szCs w:val="32"/>
        </w:rPr>
      </w:pPr>
      <w:bookmarkStart w:id="12" w:name="_Toc15396599"/>
      <w:bookmarkStart w:id="13" w:name="_Toc15377196"/>
      <w:r>
        <w:rPr>
          <w:rFonts w:hint="eastAsia" w:ascii="仿宋_GB2312" w:hAnsi="仿宋_GB2312" w:eastAsia="仿宋_GB2312" w:cs="仿宋_GB2312"/>
          <w:b/>
          <w:sz w:val="32"/>
          <w:szCs w:val="32"/>
        </w:rPr>
        <w:br w:type="page"/>
      </w:r>
    </w:p>
    <w:p w14:paraId="47F69566">
      <w:pPr>
        <w:pStyle w:val="4"/>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sz w:val="44"/>
          <w:szCs w:val="44"/>
        </w:rPr>
        <w:t xml:space="preserve">第一部分 </w:t>
      </w:r>
      <w:r>
        <w:rPr>
          <w:rStyle w:val="28"/>
          <w:rFonts w:hint="eastAsia" w:ascii="方正小标宋简体" w:hAnsi="方正小标宋简体" w:eastAsia="方正小标宋简体" w:cs="方正小标宋简体"/>
          <w:b w:val="0"/>
          <w:bCs w:val="0"/>
          <w:sz w:val="44"/>
          <w:szCs w:val="44"/>
        </w:rPr>
        <w:t>部门概况</w:t>
      </w:r>
      <w:bookmarkEnd w:id="12"/>
      <w:bookmarkEnd w:id="13"/>
    </w:p>
    <w:p w14:paraId="51EABE48">
      <w:pPr>
        <w:pStyle w:val="5"/>
        <w:numPr>
          <w:ilvl w:val="0"/>
          <w:numId w:val="1"/>
        </w:numPr>
        <w:spacing w:before="0" w:after="0" w:line="560" w:lineRule="exact"/>
        <w:ind w:firstLine="640" w:firstLineChars="200"/>
        <w:rPr>
          <w:rFonts w:ascii="黑体" w:hAnsi="黑体" w:eastAsia="黑体"/>
          <w:b w:val="0"/>
        </w:rPr>
      </w:pPr>
      <w:r>
        <w:rPr>
          <w:rFonts w:hint="eastAsia" w:ascii="黑体" w:hAnsi="黑体" w:eastAsia="黑体"/>
          <w:b w:val="0"/>
        </w:rPr>
        <w:t>部门职责</w:t>
      </w:r>
    </w:p>
    <w:p w14:paraId="0D7AFD8E">
      <w:pPr>
        <w:pStyle w:val="3"/>
        <w:numPr>
          <w:numId w:val="0"/>
        </w:numPr>
        <w:adjustRightInd w:val="0"/>
        <w:snapToGrid w:val="0"/>
        <w:spacing w:beforeLines="0" w:line="560" w:lineRule="exact"/>
        <w:ind w:firstLine="640" w:firstLineChars="200"/>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县社会救助福利服务中心主要职能职责:主要</w:t>
      </w:r>
      <w:r>
        <w:rPr>
          <w:rFonts w:hint="eastAsia" w:hAnsi="仿宋_GB2312" w:cs="仿宋_GB2312"/>
          <w:kern w:val="2"/>
          <w:sz w:val="32"/>
          <w:szCs w:val="32"/>
          <w:lang w:eastAsia="zh-CN"/>
        </w:rPr>
        <w:t>，</w:t>
      </w:r>
      <w:r>
        <w:rPr>
          <w:rFonts w:hint="eastAsia" w:ascii="仿宋_GB2312" w:hAnsi="仿宋_GB2312" w:eastAsia="仿宋_GB2312" w:cs="仿宋_GB2312"/>
          <w:kern w:val="2"/>
          <w:sz w:val="32"/>
          <w:szCs w:val="32"/>
        </w:rPr>
        <w:t>为中心救助对象的衣、食、住、行服务，执行国家救助福利政策，不断提高服务水平，体现党和政府对弱势群体的关心和重视。</w:t>
      </w:r>
      <w:bookmarkStart w:id="14" w:name="_Toc15396601"/>
      <w:bookmarkStart w:id="15" w:name="_Toc15377200"/>
    </w:p>
    <w:p w14:paraId="32E8FB80">
      <w:pPr>
        <w:pStyle w:val="3"/>
        <w:numPr>
          <w:ilvl w:val="0"/>
          <w:numId w:val="1"/>
        </w:numPr>
        <w:adjustRightInd w:val="0"/>
        <w:snapToGrid w:val="0"/>
        <w:spacing w:beforeLines="0" w:line="560" w:lineRule="exact"/>
        <w:ind w:left="0" w:leftChars="0" w:firstLine="600" w:firstLineChars="200"/>
        <w:outlineLvl w:val="2"/>
        <w:rPr>
          <w:rStyle w:val="29"/>
          <w:rFonts w:hint="eastAsia" w:ascii="黑体" w:hAnsi="黑体" w:eastAsia="黑体"/>
          <w:b w:val="0"/>
          <w:bCs w:val="0"/>
        </w:rPr>
      </w:pPr>
      <w:r>
        <w:rPr>
          <w:rFonts w:hint="eastAsia" w:ascii="黑体" w:hAnsi="黑体" w:eastAsia="黑体"/>
          <w:b w:val="0"/>
        </w:rPr>
        <w:t>机</w:t>
      </w:r>
      <w:r>
        <w:rPr>
          <w:rStyle w:val="29"/>
          <w:rFonts w:hint="eastAsia" w:ascii="黑体" w:hAnsi="黑体" w:eastAsia="黑体"/>
          <w:b w:val="0"/>
          <w:bCs w:val="0"/>
        </w:rPr>
        <w:t>构设置</w:t>
      </w:r>
      <w:bookmarkEnd w:id="14"/>
      <w:bookmarkEnd w:id="15"/>
    </w:p>
    <w:p w14:paraId="3E9A56A9">
      <w:pPr>
        <w:pStyle w:val="3"/>
        <w:numPr>
          <w:ilvl w:val="0"/>
          <w:numId w:val="0"/>
        </w:numPr>
        <w:adjustRightInd w:val="0"/>
        <w:snapToGrid w:val="0"/>
        <w:spacing w:beforeLines="0" w:line="560" w:lineRule="exact"/>
        <w:ind w:firstLine="600" w:firstLineChars="200"/>
        <w:outlineLvl w:val="2"/>
        <w:rPr>
          <w:rFonts w:ascii="Times New Roman" w:hAnsi="Times New Roman" w:eastAsia="仿宋_GB2312" w:cs="Times New Roman"/>
          <w:b w:val="0"/>
          <w:bCs w:val="0"/>
        </w:rPr>
      </w:pPr>
      <w:r>
        <w:rPr>
          <w:rFonts w:hint="eastAsia" w:ascii="Times New Roman" w:hAnsi="Times New Roman" w:eastAsia="仿宋_GB2312" w:cs="Times New Roman"/>
          <w:b w:val="0"/>
          <w:bCs w:val="0"/>
        </w:rPr>
        <w:t>壤塘县民政局属于一级预算单位，设4个行政股室（即办公室、社会福利与社会事务股、社会救助股（挂壤塘县流浪乞讨人员救助站牌子）、区划地名与基层政权股）。下设事业机构4个（低收入家庭认定指导中心，敬老院服务中心，中壤塘敬老院、南木达敬老院、、茸木达敬老院、尕多敬老院，壤塘县社会救助福利服务中心（挂壤塘县儿童福利服务指导中心牌子）。</w:t>
      </w:r>
    </w:p>
    <w:p w14:paraId="6A35806D">
      <w:pPr>
        <w:pStyle w:val="5"/>
        <w:spacing w:before="0" w:after="0" w:line="560" w:lineRule="exact"/>
        <w:ind w:firstLine="640" w:firstLineChars="200"/>
        <w:rPr>
          <w:rFonts w:ascii="Times New Roman" w:hAnsi="Times New Roman" w:eastAsia="仿宋_GB2312" w:cs="Times New Roman"/>
          <w:b w:val="0"/>
          <w:bCs w:val="0"/>
        </w:rPr>
      </w:pPr>
      <w:r>
        <w:rPr>
          <w:rFonts w:hint="eastAsia" w:ascii="Times New Roman" w:hAnsi="Times New Roman" w:eastAsia="仿宋_GB2312" w:cs="Times New Roman"/>
          <w:b w:val="0"/>
          <w:bCs w:val="0"/>
        </w:rPr>
        <w:t>壤塘县民政局下属二级单位0个，其中行政单位0个，参照公务员法管理的事业单位0个，其他事业单位0个。</w:t>
      </w:r>
    </w:p>
    <w:p w14:paraId="7680A68F">
      <w:pPr>
        <w:spacing w:line="560" w:lineRule="exact"/>
        <w:ind w:firstLine="640" w:firstLineChars="200"/>
        <w:rPr>
          <w:rFonts w:eastAsia="仿宋_GB2312"/>
          <w:sz w:val="32"/>
          <w:szCs w:val="32"/>
        </w:rPr>
      </w:pPr>
      <w:r>
        <w:rPr>
          <w:rFonts w:hint="eastAsia" w:eastAsia="仿宋_GB2312"/>
          <w:sz w:val="32"/>
          <w:szCs w:val="32"/>
        </w:rPr>
        <w:t>纳入壤塘县民政局2021年度部门决算编制范围的二级预算单位0个。</w:t>
      </w:r>
    </w:p>
    <w:p w14:paraId="18FEB3D2">
      <w:pPr>
        <w:widowControl/>
        <w:jc w:val="left"/>
        <w:rPr>
          <w:rFonts w:ascii="仿宋" w:hAnsi="仿宋" w:eastAsia="仿宋"/>
          <w:kern w:val="0"/>
          <w:sz w:val="32"/>
          <w:szCs w:val="32"/>
        </w:rPr>
      </w:pPr>
      <w:r>
        <w:rPr>
          <w:rFonts w:ascii="仿宋" w:hAnsi="仿宋" w:eastAsia="仿宋"/>
          <w:sz w:val="32"/>
          <w:szCs w:val="32"/>
        </w:rPr>
        <w:br w:type="page"/>
      </w:r>
    </w:p>
    <w:p w14:paraId="445FAC6D">
      <w:pPr>
        <w:pStyle w:val="4"/>
        <w:ind w:right="440"/>
        <w:jc w:val="center"/>
      </w:pPr>
      <w:bookmarkStart w:id="16" w:name="_Toc15396602"/>
      <w:bookmarkStart w:id="17" w:name="_Toc15377204"/>
      <w:r>
        <w:rPr>
          <w:rFonts w:hint="eastAsia" w:ascii="方正小标宋简体" w:hAnsi="方正小标宋简体" w:eastAsia="方正小标宋简体" w:cs="方正小标宋简体"/>
          <w:b w:val="0"/>
          <w:sz w:val="44"/>
          <w:szCs w:val="44"/>
        </w:rPr>
        <w:t>第二部分 2022年度</w:t>
      </w:r>
      <w:r>
        <w:rPr>
          <w:rStyle w:val="28"/>
          <w:rFonts w:hint="eastAsia" w:ascii="方正小标宋简体" w:hAnsi="方正小标宋简体" w:eastAsia="方正小标宋简体" w:cs="方正小标宋简体"/>
          <w:b w:val="0"/>
          <w:bCs/>
          <w:sz w:val="44"/>
          <w:szCs w:val="44"/>
        </w:rPr>
        <w:t>部门决算情况说明</w:t>
      </w:r>
      <w:bookmarkEnd w:id="16"/>
      <w:bookmarkEnd w:id="17"/>
    </w:p>
    <w:p w14:paraId="6CDA62C4">
      <w:pPr>
        <w:pStyle w:val="27"/>
        <w:numPr>
          <w:ilvl w:val="0"/>
          <w:numId w:val="2"/>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74FE409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2022年度收入总计1189.12万元，支出总计1196.95万元。与2021年相比，收入增加57.18万元，增长5.05%；支出总计减少16.61万元，下降1.36%。主要变动原因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2022年较上年减少2人，原因为：2022年，调离外县3人，县内调动3人。2022年新进人员4人，均为新招事业单位工作人员4人。</w:t>
      </w:r>
    </w:p>
    <w:p w14:paraId="432EA5AD">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52A8FBB7">
      <w:pPr>
        <w:pStyle w:val="2"/>
        <w:rPr>
          <w:rFonts w:ascii="仿宋" w:hAnsi="仿宋" w:eastAsia="仿宋"/>
          <w:sz w:val="32"/>
          <w:szCs w:val="32"/>
        </w:rPr>
      </w:pPr>
    </w:p>
    <w:p w14:paraId="6F677A5F">
      <w:pPr>
        <w:pStyle w:val="3"/>
        <w:spacing w:before="93"/>
      </w:pPr>
      <w:r>
        <w:rPr>
          <w:rFonts w:hint="eastAsia"/>
          <w:sz w:val="32"/>
          <w:szCs w:val="32"/>
        </w:rPr>
        <w:drawing>
          <wp:anchor distT="0" distB="0" distL="114300" distR="114300" simplePos="0" relativeHeight="251659264" behindDoc="0" locked="0" layoutInCell="1" allowOverlap="1">
            <wp:simplePos x="0" y="0"/>
            <wp:positionH relativeFrom="column">
              <wp:posOffset>274320</wp:posOffset>
            </wp:positionH>
            <wp:positionV relativeFrom="paragraph">
              <wp:posOffset>193040</wp:posOffset>
            </wp:positionV>
            <wp:extent cx="4862830" cy="2684780"/>
            <wp:effectExtent l="5080" t="5080" r="8890" b="1524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BFD0278">
      <w:pPr>
        <w:spacing w:line="600" w:lineRule="exact"/>
        <w:ind w:firstLine="640" w:firstLineChars="200"/>
        <w:jc w:val="left"/>
        <w:rPr>
          <w:rFonts w:ascii="仿宋_GB2312" w:eastAsia="仿宋_GB2312"/>
          <w:sz w:val="32"/>
          <w:szCs w:val="32"/>
        </w:rPr>
      </w:pPr>
    </w:p>
    <w:p w14:paraId="35080C2E">
      <w:pPr>
        <w:pStyle w:val="2"/>
        <w:rPr>
          <w:rFonts w:ascii="仿宋_GB2312" w:eastAsia="仿宋_GB2312"/>
          <w:sz w:val="32"/>
          <w:szCs w:val="32"/>
        </w:rPr>
      </w:pPr>
    </w:p>
    <w:p w14:paraId="0A05A231">
      <w:pPr>
        <w:pStyle w:val="3"/>
        <w:spacing w:before="93"/>
        <w:rPr>
          <w:sz w:val="32"/>
          <w:szCs w:val="32"/>
        </w:rPr>
      </w:pPr>
    </w:p>
    <w:p w14:paraId="78A86E70">
      <w:pPr>
        <w:pStyle w:val="3"/>
        <w:spacing w:before="93"/>
        <w:rPr>
          <w:sz w:val="32"/>
          <w:szCs w:val="32"/>
        </w:rPr>
      </w:pPr>
    </w:p>
    <w:p w14:paraId="14D02D45">
      <w:pPr>
        <w:pStyle w:val="3"/>
        <w:spacing w:before="93"/>
        <w:rPr>
          <w:sz w:val="32"/>
          <w:szCs w:val="32"/>
        </w:rPr>
      </w:pPr>
    </w:p>
    <w:p w14:paraId="2DECF61F">
      <w:pPr>
        <w:pStyle w:val="3"/>
        <w:spacing w:before="93"/>
        <w:rPr>
          <w:sz w:val="32"/>
          <w:szCs w:val="32"/>
        </w:rPr>
      </w:pPr>
    </w:p>
    <w:p w14:paraId="2F464E53">
      <w:pPr>
        <w:pStyle w:val="27"/>
        <w:numPr>
          <w:ilvl w:val="0"/>
          <w:numId w:val="2"/>
        </w:numPr>
        <w:spacing w:line="600" w:lineRule="exact"/>
        <w:ind w:firstLineChars="0"/>
        <w:outlineLvl w:val="1"/>
        <w:rPr>
          <w:rStyle w:val="29"/>
          <w:rFonts w:ascii="黑体" w:hAnsi="黑体" w:eastAsia="黑体"/>
          <w:b w:val="0"/>
        </w:rPr>
      </w:pPr>
      <w:bookmarkStart w:id="20" w:name="_Toc15377206"/>
      <w:bookmarkStart w:id="21" w:name="_Toc15396604"/>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3C11A320">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1189.12万元，其中：一般公共预算财政拨款收入1189.12万元，占100%；政府性基金预算财政拨款收入0万元，占0%；国有资本经营预算财政拨款收入0万元，占0%；上级补助收入0万元，占0%；事业收入0万元，占0%；经营收入0万元，占0%；附属单位上缴收入0万元，占0%；其他收入0万元，占0%。</w:t>
      </w:r>
    </w:p>
    <w:p w14:paraId="73CF218A">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37114788">
      <w:pPr>
        <w:spacing w:line="600" w:lineRule="exact"/>
        <w:ind w:firstLine="640" w:firstLineChars="200"/>
        <w:outlineLvl w:val="1"/>
        <w:rPr>
          <w:rFonts w:ascii="仿宋" w:hAnsi="仿宋" w:eastAsia="仿宋"/>
          <w:sz w:val="32"/>
          <w:szCs w:val="32"/>
        </w:rPr>
      </w:pPr>
    </w:p>
    <w:p w14:paraId="3F3179C9">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70A079BA">
      <w:pPr>
        <w:spacing w:line="6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0288" behindDoc="0" locked="0" layoutInCell="1" allowOverlap="1">
            <wp:simplePos x="0" y="0"/>
            <wp:positionH relativeFrom="column">
              <wp:posOffset>2540</wp:posOffset>
            </wp:positionH>
            <wp:positionV relativeFrom="paragraph">
              <wp:posOffset>90170</wp:posOffset>
            </wp:positionV>
            <wp:extent cx="5260975" cy="3084830"/>
            <wp:effectExtent l="4445" t="4445" r="11430" b="1587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18C61CD">
      <w:pPr>
        <w:pStyle w:val="2"/>
        <w:rPr>
          <w:rFonts w:ascii="仿宋_GB2312" w:eastAsia="仿宋_GB2312"/>
          <w:sz w:val="32"/>
          <w:szCs w:val="32"/>
        </w:rPr>
      </w:pPr>
    </w:p>
    <w:p w14:paraId="193EFA13">
      <w:pPr>
        <w:pStyle w:val="3"/>
        <w:spacing w:before="93"/>
        <w:rPr>
          <w:sz w:val="32"/>
          <w:szCs w:val="32"/>
        </w:rPr>
      </w:pPr>
    </w:p>
    <w:p w14:paraId="3714BB05">
      <w:pPr>
        <w:pStyle w:val="3"/>
        <w:spacing w:before="93"/>
        <w:rPr>
          <w:sz w:val="32"/>
          <w:szCs w:val="32"/>
        </w:rPr>
      </w:pPr>
    </w:p>
    <w:p w14:paraId="28DC75ED">
      <w:pPr>
        <w:pStyle w:val="3"/>
        <w:spacing w:before="93"/>
        <w:rPr>
          <w:sz w:val="32"/>
          <w:szCs w:val="32"/>
        </w:rPr>
      </w:pPr>
    </w:p>
    <w:p w14:paraId="1170E661">
      <w:pPr>
        <w:pStyle w:val="3"/>
        <w:spacing w:before="93"/>
        <w:rPr>
          <w:sz w:val="32"/>
          <w:szCs w:val="32"/>
        </w:rPr>
      </w:pPr>
    </w:p>
    <w:p w14:paraId="48D5F526">
      <w:pPr>
        <w:pStyle w:val="3"/>
        <w:spacing w:before="93"/>
        <w:rPr>
          <w:sz w:val="32"/>
          <w:szCs w:val="32"/>
        </w:rPr>
      </w:pPr>
    </w:p>
    <w:p w14:paraId="7D2E4D32">
      <w:pPr>
        <w:pStyle w:val="3"/>
        <w:spacing w:before="93"/>
        <w:rPr>
          <w:sz w:val="32"/>
          <w:szCs w:val="32"/>
        </w:rPr>
      </w:pPr>
    </w:p>
    <w:p w14:paraId="60BBD44B">
      <w:pPr>
        <w:pStyle w:val="27"/>
        <w:numPr>
          <w:ilvl w:val="0"/>
          <w:numId w:val="0"/>
        </w:numPr>
        <w:spacing w:line="600" w:lineRule="exact"/>
        <w:ind w:left="640" w:leftChars="0"/>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lang w:eastAsia="zh-CN"/>
        </w:rPr>
        <w:t>三、</w:t>
      </w:r>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44519F00">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22年本年支出合计1196.95万元，其中：基本支出1196.95万元，占100</w:t>
      </w:r>
      <w:r>
        <w:rPr>
          <w:rFonts w:ascii="仿宋" w:hAnsi="仿宋" w:eastAsia="仿宋"/>
          <w:sz w:val="32"/>
          <w:szCs w:val="32"/>
        </w:rPr>
        <w:t>%</w:t>
      </w:r>
      <w:r>
        <w:rPr>
          <w:rFonts w:hint="eastAsia" w:ascii="仿宋" w:hAnsi="仿宋" w:eastAsia="仿宋"/>
          <w:sz w:val="32"/>
          <w:szCs w:val="32"/>
        </w:rPr>
        <w:t>；项目支出0万元，占0</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14:paraId="762852E5">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200F3DBC">
      <w:pPr>
        <w:spacing w:line="600" w:lineRule="exact"/>
        <w:ind w:firstLine="640"/>
        <w:rPr>
          <w:rFonts w:ascii="仿宋" w:hAnsi="仿宋" w:eastAsia="仿宋"/>
          <w:sz w:val="32"/>
          <w:szCs w:val="32"/>
          <w:shd w:val="pct10" w:color="auto" w:fill="FFFFFF"/>
        </w:rPr>
      </w:pPr>
    </w:p>
    <w:p w14:paraId="5E5B7CEE">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00FAD9DE">
      <w:pPr>
        <w:pStyle w:val="2"/>
        <w:rPr>
          <w:rFonts w:ascii="仿宋" w:hAnsi="仿宋" w:eastAsia="仿宋"/>
          <w:sz w:val="32"/>
          <w:szCs w:val="32"/>
        </w:rPr>
      </w:pPr>
    </w:p>
    <w:p w14:paraId="08729352">
      <w:pPr>
        <w:pStyle w:val="3"/>
        <w:spacing w:before="93"/>
        <w:rPr>
          <w:rFonts w:ascii="仿宋" w:hAnsi="仿宋" w:eastAsia="仿宋"/>
          <w:sz w:val="32"/>
          <w:szCs w:val="32"/>
        </w:rPr>
      </w:pPr>
      <w:r>
        <w:rPr>
          <w:rFonts w:hint="eastAsia" w:ascii="仿宋" w:hAnsi="仿宋" w:eastAsia="仿宋"/>
          <w:sz w:val="32"/>
          <w:szCs w:val="32"/>
        </w:rPr>
        <w:drawing>
          <wp:anchor distT="0" distB="0" distL="114300" distR="114300" simplePos="0" relativeHeight="251661312" behindDoc="0" locked="0" layoutInCell="1" allowOverlap="1">
            <wp:simplePos x="0" y="0"/>
            <wp:positionH relativeFrom="column">
              <wp:posOffset>671195</wp:posOffset>
            </wp:positionH>
            <wp:positionV relativeFrom="paragraph">
              <wp:posOffset>80645</wp:posOffset>
            </wp:positionV>
            <wp:extent cx="4580890" cy="1612900"/>
            <wp:effectExtent l="4445" t="4445" r="5715" b="2095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8AD2331">
      <w:pPr>
        <w:spacing w:line="600" w:lineRule="exact"/>
        <w:rPr>
          <w:rFonts w:ascii="仿宋_GB2312" w:eastAsia="仿宋_GB2312"/>
          <w:sz w:val="32"/>
          <w:szCs w:val="32"/>
        </w:rPr>
      </w:pPr>
    </w:p>
    <w:p w14:paraId="3880B026">
      <w:pPr>
        <w:spacing w:line="600" w:lineRule="exact"/>
        <w:ind w:firstLine="640" w:firstLineChars="200"/>
        <w:outlineLvl w:val="1"/>
        <w:rPr>
          <w:rStyle w:val="29"/>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35808F3C">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22年财政拨款收入总计1189.12万元，支出总计1196.95万元。与</w:t>
      </w:r>
      <w:r>
        <w:rPr>
          <w:rFonts w:ascii="仿宋" w:hAnsi="仿宋" w:eastAsia="仿宋"/>
          <w:sz w:val="32"/>
          <w:szCs w:val="32"/>
        </w:rPr>
        <w:t>20</w:t>
      </w:r>
      <w:r>
        <w:rPr>
          <w:rFonts w:hint="eastAsia" w:ascii="仿宋" w:hAnsi="仿宋" w:eastAsia="仿宋"/>
          <w:sz w:val="32"/>
          <w:szCs w:val="32"/>
        </w:rPr>
        <w:t>21年相比，财政拨款收入增加57.18万元，增加了5.52%，支出总计各减少16.61万元，下降1.36</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w:t>
      </w:r>
      <w:r>
        <w:rPr>
          <w:rFonts w:hint="eastAsia" w:ascii="仿宋_GB2312" w:eastAsia="仿宋_GB2312"/>
          <w:sz w:val="32"/>
          <w:szCs w:val="32"/>
        </w:rPr>
        <w:t>2022年较上年减少2人，原因为：2022年，调离外县3人，县内调动3人。2022年新进人员4人，均为新招事业单位工作人员4人。</w:t>
      </w:r>
    </w:p>
    <w:p w14:paraId="6059EA19">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6E5B56D6">
      <w:pPr>
        <w:spacing w:line="600" w:lineRule="exact"/>
        <w:rPr>
          <w:rFonts w:ascii="仿宋" w:hAnsi="仿宋" w:eastAsia="仿宋"/>
          <w:sz w:val="32"/>
          <w:szCs w:val="32"/>
        </w:rPr>
      </w:pPr>
    </w:p>
    <w:p w14:paraId="1482C95E">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73E7FD19">
      <w:pPr>
        <w:pStyle w:val="2"/>
        <w:rPr>
          <w:rFonts w:ascii="仿宋" w:hAnsi="仿宋" w:eastAsia="仿宋"/>
          <w:sz w:val="32"/>
          <w:szCs w:val="32"/>
        </w:rPr>
      </w:pPr>
    </w:p>
    <w:p w14:paraId="7730ABBD">
      <w:pPr>
        <w:pStyle w:val="3"/>
        <w:spacing w:before="93"/>
        <w:rPr>
          <w:rFonts w:ascii="仿宋" w:hAnsi="仿宋" w:eastAsia="仿宋"/>
          <w:sz w:val="32"/>
          <w:szCs w:val="32"/>
        </w:rPr>
      </w:pPr>
      <w:r>
        <w:rPr>
          <w:rFonts w:hint="eastAsia"/>
          <w:sz w:val="32"/>
          <w:szCs w:val="32"/>
        </w:rPr>
        <w:drawing>
          <wp:anchor distT="0" distB="0" distL="114300" distR="114300" simplePos="0" relativeHeight="251662336" behindDoc="0" locked="0" layoutInCell="1" allowOverlap="1">
            <wp:simplePos x="0" y="0"/>
            <wp:positionH relativeFrom="column">
              <wp:posOffset>118745</wp:posOffset>
            </wp:positionH>
            <wp:positionV relativeFrom="paragraph">
              <wp:posOffset>191770</wp:posOffset>
            </wp:positionV>
            <wp:extent cx="4971415" cy="2839085"/>
            <wp:effectExtent l="5080" t="4445" r="14605" b="1397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1040850">
      <w:pPr>
        <w:pStyle w:val="3"/>
        <w:spacing w:before="93"/>
        <w:rPr>
          <w:rFonts w:ascii="仿宋" w:hAnsi="仿宋" w:eastAsia="仿宋"/>
          <w:sz w:val="32"/>
          <w:szCs w:val="32"/>
        </w:rPr>
      </w:pPr>
    </w:p>
    <w:p w14:paraId="41E20F44">
      <w:pPr>
        <w:pStyle w:val="3"/>
        <w:spacing w:before="93"/>
        <w:rPr>
          <w:rFonts w:ascii="仿宋" w:hAnsi="仿宋" w:eastAsia="仿宋"/>
          <w:sz w:val="32"/>
          <w:szCs w:val="32"/>
        </w:rPr>
      </w:pPr>
    </w:p>
    <w:p w14:paraId="1A40DBC9">
      <w:pPr>
        <w:pStyle w:val="3"/>
        <w:spacing w:before="93"/>
        <w:rPr>
          <w:rFonts w:ascii="仿宋" w:hAnsi="仿宋" w:eastAsia="仿宋"/>
          <w:sz w:val="32"/>
          <w:szCs w:val="32"/>
        </w:rPr>
      </w:pPr>
    </w:p>
    <w:p w14:paraId="6889EEAD">
      <w:pPr>
        <w:pStyle w:val="3"/>
        <w:spacing w:before="93"/>
        <w:rPr>
          <w:rFonts w:ascii="仿宋" w:hAnsi="仿宋" w:eastAsia="仿宋"/>
          <w:sz w:val="32"/>
          <w:szCs w:val="32"/>
        </w:rPr>
      </w:pPr>
    </w:p>
    <w:p w14:paraId="5429B0E3">
      <w:pPr>
        <w:pStyle w:val="3"/>
        <w:spacing w:before="93"/>
        <w:rPr>
          <w:rFonts w:ascii="仿宋" w:hAnsi="仿宋" w:eastAsia="仿宋"/>
          <w:sz w:val="32"/>
          <w:szCs w:val="32"/>
        </w:rPr>
      </w:pPr>
    </w:p>
    <w:p w14:paraId="0FB19197">
      <w:pPr>
        <w:spacing w:line="600" w:lineRule="exact"/>
        <w:rPr>
          <w:rFonts w:ascii="仿宋" w:hAnsi="仿宋" w:eastAsia="仿宋"/>
          <w:b/>
          <w:sz w:val="32"/>
          <w:szCs w:val="32"/>
        </w:rPr>
      </w:pPr>
    </w:p>
    <w:p w14:paraId="4FE4D61E">
      <w:pPr>
        <w:spacing w:line="600" w:lineRule="exact"/>
        <w:ind w:firstLine="640" w:firstLineChars="200"/>
        <w:outlineLvl w:val="1"/>
        <w:rPr>
          <w:rStyle w:val="29"/>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03DBFEC6">
      <w:pPr>
        <w:spacing w:line="600" w:lineRule="exact"/>
        <w:ind w:firstLine="643" w:firstLineChars="200"/>
        <w:outlineLvl w:val="2"/>
        <w:rPr>
          <w:rFonts w:hint="eastAsia" w:ascii="楷体_GB2312" w:hAnsi="楷体_GB2312" w:eastAsia="楷体_GB2312" w:cs="楷体_GB2312"/>
          <w:b/>
          <w:sz w:val="32"/>
          <w:szCs w:val="32"/>
        </w:rPr>
      </w:pPr>
      <w:bookmarkStart w:id="28" w:name="_Toc15377210"/>
      <w:r>
        <w:rPr>
          <w:rFonts w:hint="eastAsia" w:ascii="楷体_GB2312" w:hAnsi="楷体_GB2312" w:eastAsia="楷体_GB2312" w:cs="楷体_GB2312"/>
          <w:b/>
          <w:sz w:val="32"/>
          <w:szCs w:val="32"/>
        </w:rPr>
        <w:t>（一）一般公共预算财政拨款支出决算总体情况</w:t>
      </w:r>
      <w:bookmarkEnd w:id="28"/>
    </w:p>
    <w:p w14:paraId="58DB8EF6">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22年一般公共预算财政拨款支出1196.95万元，占本年支出合计的100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21年相比，一般公共预算财政拨款支出减少16.61万元，下降1.36</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w:t>
      </w:r>
      <w:r>
        <w:rPr>
          <w:rFonts w:hint="eastAsia" w:ascii="仿宋_GB2312" w:eastAsia="仿宋_GB2312"/>
          <w:sz w:val="32"/>
          <w:szCs w:val="32"/>
        </w:rPr>
        <w:t>2022年较上年减少2人，原因为：2022年，调离外县3人，县内调动3人。2022年新进人员4人，均为新招事业单位工作人员4人。</w:t>
      </w:r>
    </w:p>
    <w:p w14:paraId="67BD1BBC">
      <w:pPr>
        <w:spacing w:line="600" w:lineRule="exact"/>
        <w:ind w:firstLine="640" w:firstLineChars="200"/>
        <w:rPr>
          <w:rFonts w:ascii="仿宋" w:hAnsi="仿宋" w:eastAsia="仿宋"/>
          <w:b/>
          <w:sz w:val="32"/>
          <w:szCs w:val="32"/>
        </w:rPr>
      </w:pPr>
      <w:r>
        <w:rPr>
          <w:rFonts w:hint="eastAsia" w:ascii="仿宋" w:hAnsi="仿宋" w:eastAsia="仿宋"/>
          <w:sz w:val="32"/>
          <w:szCs w:val="32"/>
        </w:rPr>
        <w:t>（图5：一般公共预算财政拨款支出决算变动情况）（柱状图）</w:t>
      </w:r>
      <w:bookmarkStart w:id="29" w:name="_Toc15377211"/>
    </w:p>
    <w:p w14:paraId="2F4104F1">
      <w:pPr>
        <w:spacing w:line="600" w:lineRule="exact"/>
        <w:ind w:firstLine="640" w:firstLineChars="200"/>
        <w:outlineLvl w:val="2"/>
        <w:rPr>
          <w:rFonts w:ascii="仿宋" w:hAnsi="仿宋" w:eastAsia="仿宋"/>
          <w:b/>
          <w:sz w:val="32"/>
          <w:szCs w:val="32"/>
        </w:rPr>
      </w:pPr>
      <w:r>
        <w:rPr>
          <w:rFonts w:hint="eastAsia" w:ascii="仿宋" w:hAnsi="仿宋" w:eastAsia="仿宋"/>
          <w:sz w:val="32"/>
          <w:szCs w:val="32"/>
        </w:rPr>
        <w:drawing>
          <wp:anchor distT="0" distB="0" distL="114300" distR="114300" simplePos="0" relativeHeight="251663360" behindDoc="0" locked="0" layoutInCell="1" allowOverlap="1">
            <wp:simplePos x="0" y="0"/>
            <wp:positionH relativeFrom="column">
              <wp:posOffset>213360</wp:posOffset>
            </wp:positionH>
            <wp:positionV relativeFrom="paragraph">
              <wp:posOffset>207645</wp:posOffset>
            </wp:positionV>
            <wp:extent cx="5198745" cy="1985645"/>
            <wp:effectExtent l="4445" t="4445" r="16510" b="1016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DEC5EDD">
      <w:pPr>
        <w:spacing w:line="600" w:lineRule="exact"/>
        <w:ind w:firstLine="643" w:firstLineChars="200"/>
        <w:outlineLvl w:val="2"/>
        <w:rPr>
          <w:rFonts w:ascii="仿宋" w:hAnsi="仿宋" w:eastAsia="仿宋"/>
          <w:b/>
          <w:sz w:val="32"/>
          <w:szCs w:val="32"/>
        </w:rPr>
      </w:pPr>
    </w:p>
    <w:p w14:paraId="4AD6A568">
      <w:pPr>
        <w:spacing w:line="600" w:lineRule="exact"/>
        <w:ind w:firstLine="643" w:firstLineChars="200"/>
        <w:outlineLvl w:val="2"/>
        <w:rPr>
          <w:rFonts w:ascii="仿宋" w:hAnsi="仿宋" w:eastAsia="仿宋"/>
          <w:b/>
          <w:sz w:val="32"/>
          <w:szCs w:val="32"/>
        </w:rPr>
      </w:pPr>
    </w:p>
    <w:p w14:paraId="3BCE93A8">
      <w:pPr>
        <w:spacing w:line="600" w:lineRule="exact"/>
        <w:ind w:firstLine="643" w:firstLineChars="200"/>
        <w:outlineLvl w:val="2"/>
        <w:rPr>
          <w:rFonts w:ascii="仿宋" w:hAnsi="仿宋" w:eastAsia="仿宋"/>
          <w:b/>
          <w:sz w:val="32"/>
          <w:szCs w:val="32"/>
        </w:rPr>
      </w:pPr>
    </w:p>
    <w:p w14:paraId="69801A7B">
      <w:pPr>
        <w:spacing w:line="600" w:lineRule="exact"/>
        <w:ind w:firstLine="643" w:firstLineChars="200"/>
        <w:outlineLvl w:val="2"/>
        <w:rPr>
          <w:rFonts w:ascii="仿宋" w:hAnsi="仿宋" w:eastAsia="仿宋"/>
          <w:b/>
          <w:sz w:val="32"/>
          <w:szCs w:val="32"/>
        </w:rPr>
      </w:pPr>
    </w:p>
    <w:p w14:paraId="2876A276">
      <w:pPr>
        <w:spacing w:line="600" w:lineRule="exact"/>
        <w:ind w:firstLine="643" w:firstLineChars="200"/>
        <w:outlineLvl w:val="2"/>
        <w:rPr>
          <w:rFonts w:ascii="仿宋" w:hAnsi="仿宋" w:eastAsia="仿宋"/>
          <w:b/>
          <w:sz w:val="32"/>
          <w:szCs w:val="32"/>
        </w:rPr>
      </w:pPr>
    </w:p>
    <w:p w14:paraId="46D25851">
      <w:pPr>
        <w:spacing w:line="600" w:lineRule="exact"/>
        <w:ind w:firstLine="643" w:firstLineChars="200"/>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（二）一般公共预算财政拨款支出决算结构情况</w:t>
      </w:r>
      <w:bookmarkEnd w:id="29"/>
    </w:p>
    <w:p w14:paraId="1B19679A">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22年一般公共预算财政拨款支出1196.95万元，主要用于以下方面</w:t>
      </w:r>
      <w:r>
        <w:rPr>
          <w:rFonts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1053.03万元，占87.98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56.82万元，占4.75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87.11万元，占7.28</w:t>
      </w:r>
      <w:r>
        <w:rPr>
          <w:rFonts w:ascii="仿宋" w:hAnsi="仿宋" w:eastAsia="仿宋"/>
          <w:sz w:val="32"/>
          <w:szCs w:val="32"/>
        </w:rPr>
        <w:t>%</w:t>
      </w:r>
      <w:r>
        <w:rPr>
          <w:rFonts w:hint="eastAsia" w:ascii="仿宋" w:hAnsi="仿宋" w:eastAsia="仿宋"/>
          <w:sz w:val="32"/>
          <w:szCs w:val="32"/>
        </w:rPr>
        <w:t>。</w:t>
      </w:r>
    </w:p>
    <w:p w14:paraId="79395D3D">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1C285D99">
      <w:pPr>
        <w:spacing w:line="600" w:lineRule="exact"/>
        <w:ind w:firstLine="640"/>
        <w:rPr>
          <w:rFonts w:ascii="仿宋" w:hAnsi="仿宋" w:eastAsia="仿宋"/>
          <w:sz w:val="32"/>
          <w:szCs w:val="32"/>
        </w:rPr>
      </w:pPr>
    </w:p>
    <w:p w14:paraId="7220E9B9">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3A3A470B">
      <w:pPr>
        <w:pStyle w:val="2"/>
        <w:rPr>
          <w:rFonts w:ascii="仿宋" w:hAnsi="仿宋" w:eastAsia="仿宋"/>
          <w:sz w:val="32"/>
          <w:szCs w:val="32"/>
        </w:rPr>
      </w:pPr>
      <w:r>
        <w:rPr>
          <w:rFonts w:hint="eastAsia" w:ascii="仿宋" w:hAnsi="仿宋" w:eastAsia="仿宋"/>
          <w:sz w:val="32"/>
          <w:szCs w:val="32"/>
        </w:rPr>
        <w:drawing>
          <wp:anchor distT="0" distB="0" distL="114300" distR="114300" simplePos="0" relativeHeight="251664384" behindDoc="0" locked="0" layoutInCell="1" allowOverlap="1">
            <wp:simplePos x="0" y="0"/>
            <wp:positionH relativeFrom="column">
              <wp:posOffset>267335</wp:posOffset>
            </wp:positionH>
            <wp:positionV relativeFrom="paragraph">
              <wp:posOffset>125095</wp:posOffset>
            </wp:positionV>
            <wp:extent cx="4970780" cy="2976245"/>
            <wp:effectExtent l="4445" t="4445" r="15875" b="1016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F288B49">
      <w:pPr>
        <w:pStyle w:val="3"/>
        <w:spacing w:before="93"/>
        <w:rPr>
          <w:rFonts w:ascii="仿宋" w:hAnsi="仿宋" w:eastAsia="仿宋"/>
          <w:sz w:val="32"/>
          <w:szCs w:val="32"/>
        </w:rPr>
      </w:pPr>
    </w:p>
    <w:p w14:paraId="450C87D2">
      <w:pPr>
        <w:pStyle w:val="3"/>
        <w:spacing w:before="93"/>
        <w:rPr>
          <w:rFonts w:ascii="仿宋" w:hAnsi="仿宋" w:eastAsia="仿宋"/>
          <w:sz w:val="32"/>
          <w:szCs w:val="32"/>
        </w:rPr>
      </w:pPr>
    </w:p>
    <w:p w14:paraId="5320081D">
      <w:pPr>
        <w:pStyle w:val="3"/>
        <w:spacing w:before="93"/>
        <w:rPr>
          <w:rFonts w:ascii="仿宋" w:hAnsi="仿宋" w:eastAsia="仿宋"/>
          <w:sz w:val="32"/>
          <w:szCs w:val="32"/>
        </w:rPr>
      </w:pPr>
    </w:p>
    <w:p w14:paraId="3F2AB31D">
      <w:pPr>
        <w:spacing w:line="600" w:lineRule="exact"/>
        <w:rPr>
          <w:rFonts w:ascii="仿宋" w:hAnsi="仿宋" w:eastAsia="仿宋"/>
          <w:sz w:val="32"/>
          <w:szCs w:val="32"/>
        </w:rPr>
      </w:pPr>
    </w:p>
    <w:p w14:paraId="7DE642B8">
      <w:pPr>
        <w:spacing w:line="600" w:lineRule="exact"/>
        <w:ind w:firstLine="643" w:firstLineChars="200"/>
        <w:outlineLvl w:val="2"/>
        <w:rPr>
          <w:rFonts w:hint="eastAsia" w:ascii="楷体_GB2312" w:hAnsi="楷体_GB2312" w:eastAsia="楷体_GB2312" w:cs="楷体_GB2312"/>
          <w:b/>
          <w:bCs w:val="0"/>
          <w:sz w:val="32"/>
          <w:szCs w:val="32"/>
        </w:rPr>
      </w:pPr>
      <w:bookmarkStart w:id="30" w:name="_Toc15377212"/>
      <w:r>
        <w:rPr>
          <w:rFonts w:hint="eastAsia" w:ascii="楷体_GB2312" w:hAnsi="楷体_GB2312" w:eastAsia="楷体_GB2312" w:cs="楷体_GB2312"/>
          <w:b/>
          <w:bCs w:val="0"/>
          <w:sz w:val="32"/>
          <w:szCs w:val="32"/>
        </w:rPr>
        <w:t>（三）一般公共预算财政拨款支出决算具体情况</w:t>
      </w:r>
      <w:bookmarkEnd w:id="30"/>
    </w:p>
    <w:p w14:paraId="2D0390BA">
      <w:pPr>
        <w:spacing w:line="600" w:lineRule="exact"/>
        <w:ind w:firstLine="643" w:firstLineChars="200"/>
        <w:outlineLvl w:val="2"/>
        <w:rPr>
          <w:rFonts w:ascii="仿宋" w:hAnsi="仿宋" w:eastAsia="仿宋"/>
          <w:sz w:val="32"/>
          <w:szCs w:val="32"/>
        </w:rPr>
      </w:pPr>
      <w:bookmarkStart w:id="31" w:name="_Toc15377444"/>
      <w:bookmarkStart w:id="32" w:name="_Toc15377213"/>
      <w:bookmarkStart w:id="33" w:name="_Toc15378460"/>
      <w:r>
        <w:rPr>
          <w:rFonts w:hint="eastAsia" w:ascii="仿宋" w:hAnsi="仿宋" w:eastAsia="仿宋"/>
          <w:b/>
          <w:sz w:val="32"/>
          <w:szCs w:val="32"/>
        </w:rPr>
        <w:t>2022年一般公共预算支出决算数为</w:t>
      </w:r>
      <w:r>
        <w:rPr>
          <w:rFonts w:ascii="仿宋" w:hAnsi="仿宋" w:eastAsia="仿宋"/>
          <w:b/>
          <w:sz w:val="32"/>
          <w:szCs w:val="32"/>
        </w:rPr>
        <w:t>**</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14:paraId="1FFDB3D7">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1</w:t>
      </w:r>
      <w:r>
        <w:rPr>
          <w:rStyle w:val="17"/>
          <w:rFonts w:ascii="仿宋" w:hAnsi="仿宋" w:eastAsia="仿宋"/>
          <w:bCs/>
          <w:sz w:val="32"/>
          <w:szCs w:val="32"/>
        </w:rPr>
        <w:t>.</w:t>
      </w:r>
      <w:r>
        <w:rPr>
          <w:rStyle w:val="17"/>
          <w:rFonts w:hint="eastAsia" w:ascii="仿宋" w:hAnsi="仿宋" w:eastAsia="仿宋"/>
          <w:bCs/>
          <w:sz w:val="32"/>
          <w:szCs w:val="32"/>
        </w:rPr>
        <w:t>社会保障和就业（类）行政事业单位养老支出（款）机关事业单位基本养老保险缴费支出（项）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支出决算为95.64万元，完成预算100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2F58DA53">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社会保障和就业（类）行政事业单位养老支出（款）机关事业单位职业年金缴费支出（项）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支出决算为47.82万元，完成预算100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138CEA57">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rPr>
        <w:t>社会保障和就业（类）社会福利（款）社会福利事业单位（项）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支出决算为909.57万元，完成预算100.87</w:t>
      </w:r>
      <w:r>
        <w:rPr>
          <w:rStyle w:val="17"/>
          <w:rFonts w:ascii="仿宋" w:hAnsi="仿宋" w:eastAsia="仿宋"/>
          <w:b w:val="0"/>
          <w:bCs/>
          <w:sz w:val="32"/>
          <w:szCs w:val="32"/>
        </w:rPr>
        <w:t>%</w:t>
      </w:r>
      <w:r>
        <w:rPr>
          <w:rStyle w:val="17"/>
          <w:rFonts w:hint="eastAsia" w:ascii="仿宋" w:hAnsi="仿宋" w:eastAsia="仿宋"/>
          <w:b w:val="0"/>
          <w:bCs/>
          <w:sz w:val="32"/>
          <w:szCs w:val="32"/>
        </w:rPr>
        <w:t>，决算数大于预算数的主要原因为7.83万元为往年结余资金。</w:t>
      </w:r>
    </w:p>
    <w:p w14:paraId="54B18A18">
      <w:pPr>
        <w:spacing w:line="600" w:lineRule="exact"/>
        <w:ind w:firstLine="643" w:firstLineChars="200"/>
        <w:rPr>
          <w:rFonts w:ascii="仿宋" w:hAnsi="仿宋" w:eastAsia="仿宋"/>
          <w:b/>
          <w:sz w:val="32"/>
          <w:szCs w:val="32"/>
        </w:rPr>
      </w:pPr>
      <w:r>
        <w:rPr>
          <w:rFonts w:hint="eastAsia" w:ascii="仿宋" w:hAnsi="仿宋" w:eastAsia="仿宋"/>
          <w:b/>
          <w:bCs/>
          <w:sz w:val="32"/>
          <w:szCs w:val="32"/>
        </w:rPr>
        <w:t>2.卫生健康</w:t>
      </w:r>
      <w:r>
        <w:rPr>
          <w:rStyle w:val="17"/>
          <w:rFonts w:hint="eastAsia" w:ascii="仿宋" w:hAnsi="仿宋" w:eastAsia="仿宋"/>
          <w:bCs/>
          <w:sz w:val="32"/>
          <w:szCs w:val="32"/>
        </w:rPr>
        <w:t>（类）行政事业单位医疗（款）事业单位医疗（项）</w:t>
      </w:r>
      <w:r>
        <w:rPr>
          <w:rStyle w:val="17"/>
          <w:rFonts w:ascii="仿宋" w:hAnsi="仿宋" w:eastAsia="仿宋"/>
          <w:bCs/>
          <w:sz w:val="32"/>
          <w:szCs w:val="32"/>
        </w:rPr>
        <w:t>:</w:t>
      </w:r>
      <w:r>
        <w:rPr>
          <w:rStyle w:val="17"/>
          <w:rFonts w:hint="eastAsia" w:ascii="仿宋" w:hAnsi="仿宋" w:eastAsia="仿宋"/>
          <w:b w:val="0"/>
          <w:bCs/>
          <w:sz w:val="32"/>
          <w:szCs w:val="32"/>
        </w:rPr>
        <w:t>支出决算为56.82万元，完成预算100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54BFB067">
      <w:pPr>
        <w:spacing w:line="600" w:lineRule="exact"/>
        <w:ind w:firstLine="964" w:firstLineChars="300"/>
        <w:rPr>
          <w:rStyle w:val="17"/>
          <w:rFonts w:ascii="仿宋" w:hAnsi="仿宋" w:eastAsia="仿宋"/>
          <w:b w:val="0"/>
          <w:bCs/>
          <w:sz w:val="32"/>
          <w:szCs w:val="32"/>
        </w:rPr>
      </w:pPr>
      <w:r>
        <w:rPr>
          <w:rFonts w:hint="eastAsia" w:ascii="仿宋" w:hAnsi="仿宋" w:eastAsia="仿宋"/>
          <w:b/>
          <w:bCs/>
          <w:sz w:val="32"/>
          <w:szCs w:val="32"/>
        </w:rPr>
        <w:t>卫生健康</w:t>
      </w:r>
      <w:r>
        <w:rPr>
          <w:rStyle w:val="17"/>
          <w:rFonts w:hint="eastAsia" w:ascii="仿宋" w:hAnsi="仿宋" w:eastAsia="仿宋"/>
          <w:bCs/>
          <w:sz w:val="32"/>
          <w:szCs w:val="32"/>
        </w:rPr>
        <w:t>（类）行政事业单位医疗（款）其他行政事业单位医疗支出（项）</w:t>
      </w:r>
      <w:r>
        <w:rPr>
          <w:rStyle w:val="17"/>
          <w:rFonts w:ascii="仿宋" w:hAnsi="仿宋" w:eastAsia="仿宋"/>
          <w:bCs/>
          <w:sz w:val="32"/>
          <w:szCs w:val="32"/>
        </w:rPr>
        <w:t>:</w:t>
      </w:r>
      <w:r>
        <w:rPr>
          <w:rStyle w:val="17"/>
          <w:rFonts w:hint="eastAsia" w:ascii="仿宋" w:hAnsi="仿宋" w:eastAsia="仿宋"/>
          <w:b w:val="0"/>
          <w:bCs/>
          <w:sz w:val="32"/>
          <w:szCs w:val="32"/>
        </w:rPr>
        <w:t>支出决算为10.83万元，完成预算100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53784781">
      <w:pPr>
        <w:spacing w:line="600" w:lineRule="exact"/>
        <w:ind w:firstLine="643" w:firstLineChars="200"/>
        <w:rPr>
          <w:rFonts w:ascii="仿宋" w:hAnsi="仿宋" w:eastAsia="仿宋"/>
          <w:b/>
          <w:sz w:val="32"/>
          <w:szCs w:val="32"/>
        </w:rPr>
      </w:pPr>
      <w:r>
        <w:rPr>
          <w:rFonts w:hint="eastAsia" w:ascii="仿宋" w:hAnsi="仿宋" w:eastAsia="仿宋"/>
          <w:b/>
          <w:bCs/>
          <w:sz w:val="32"/>
          <w:szCs w:val="32"/>
        </w:rPr>
        <w:t>3.住房保障支出</w:t>
      </w:r>
      <w:r>
        <w:rPr>
          <w:rStyle w:val="17"/>
          <w:rFonts w:hint="eastAsia" w:ascii="仿宋" w:hAnsi="仿宋" w:eastAsia="仿宋"/>
          <w:bCs/>
          <w:sz w:val="32"/>
          <w:szCs w:val="32"/>
        </w:rPr>
        <w:t>（类）住房改革支出（款）住房公积金（项）</w:t>
      </w:r>
      <w:r>
        <w:rPr>
          <w:rStyle w:val="17"/>
          <w:rFonts w:ascii="仿宋" w:hAnsi="仿宋" w:eastAsia="仿宋"/>
          <w:bCs/>
          <w:sz w:val="32"/>
          <w:szCs w:val="32"/>
        </w:rPr>
        <w:t>:</w:t>
      </w:r>
      <w:r>
        <w:rPr>
          <w:rStyle w:val="17"/>
          <w:rFonts w:hint="eastAsia" w:ascii="仿宋" w:hAnsi="仿宋" w:eastAsia="仿宋"/>
          <w:b w:val="0"/>
          <w:bCs/>
          <w:sz w:val="32"/>
          <w:szCs w:val="32"/>
        </w:rPr>
        <w:t>支出决算为87.11万元，完成预算100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2F8ABE00">
      <w:pPr>
        <w:spacing w:line="600" w:lineRule="exact"/>
        <w:ind w:firstLine="643" w:firstLineChars="200"/>
        <w:rPr>
          <w:rFonts w:hint="eastAsia" w:ascii="仿宋" w:hAnsi="仿宋" w:eastAsia="仿宋"/>
          <w:b/>
          <w:sz w:val="32"/>
          <w:szCs w:val="32"/>
        </w:rPr>
      </w:pPr>
    </w:p>
    <w:p w14:paraId="0A481CB8">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390C06E0">
      <w:pPr>
        <w:tabs>
          <w:tab w:val="right" w:pos="8306"/>
        </w:tabs>
        <w:spacing w:line="600" w:lineRule="exact"/>
        <w:ind w:firstLine="640"/>
        <w:outlineLvl w:val="1"/>
        <w:rPr>
          <w:rStyle w:val="29"/>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14:paraId="39DA6FBC">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2022年一般公共预算财政拨款基本支出1196.95万元，其中：</w:t>
      </w:r>
    </w:p>
    <w:p w14:paraId="26EFA4F9">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1196.95万元，主要包括：基本工资185.62万元、津贴补贴209.3万元、奖金273.39万元、绩效工资168.44万元、机关事业单位基本养老保险缴费95.64万元、职业年金缴费47.82万元、职工基本医疗保险缴费45.99万元、其他社会保障缴费11.52万元、住房公积金87.11万元、医疗费10.83万元、医疗费补助7.83万元、奖励金0.006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公用经费53.47万元，主要包括：办公费22.24万元、印刷费3.34万元、水费0.04万元、电费2.47万元、邮电费1.06万元、物业管理费1.26万元、差旅费15.2万元、维修（护）费5.47万元、公务接待费0.35万元、劳务费2.03万元。</w:t>
      </w:r>
    </w:p>
    <w:p w14:paraId="6AD8C368">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28A5079C">
      <w:pPr>
        <w:spacing w:line="600" w:lineRule="exact"/>
        <w:ind w:firstLine="640"/>
        <w:rPr>
          <w:rFonts w:ascii="仿宋" w:hAnsi="仿宋" w:eastAsia="仿宋"/>
          <w:b/>
          <w:sz w:val="32"/>
          <w:szCs w:val="32"/>
        </w:rPr>
      </w:pPr>
    </w:p>
    <w:p w14:paraId="10B8EC87">
      <w:pPr>
        <w:spacing w:line="600" w:lineRule="exact"/>
        <w:ind w:firstLine="640"/>
        <w:outlineLvl w:val="1"/>
        <w:rPr>
          <w:rStyle w:val="29"/>
          <w:rFonts w:ascii="黑体" w:hAnsi="黑体" w:eastAsia="黑体"/>
          <w:b w:val="0"/>
        </w:rPr>
      </w:pPr>
      <w:bookmarkStart w:id="36" w:name="_Toc15377215"/>
      <w:bookmarkStart w:id="37"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14:paraId="71AFFD33">
      <w:pPr>
        <w:spacing w:line="600" w:lineRule="exact"/>
        <w:ind w:firstLine="640"/>
        <w:outlineLvl w:val="2"/>
        <w:rPr>
          <w:rFonts w:hint="eastAsia" w:ascii="楷体_GB2312" w:hAnsi="楷体_GB2312" w:eastAsia="楷体_GB2312" w:cs="楷体_GB2312"/>
          <w:b/>
          <w:sz w:val="32"/>
          <w:szCs w:val="32"/>
        </w:rPr>
      </w:pPr>
      <w:bookmarkStart w:id="38" w:name="_Toc15377216"/>
      <w:r>
        <w:rPr>
          <w:rFonts w:hint="eastAsia" w:ascii="楷体_GB2312" w:hAnsi="楷体_GB2312" w:eastAsia="楷体_GB2312" w:cs="楷体_GB2312"/>
          <w:b/>
          <w:sz w:val="32"/>
          <w:szCs w:val="32"/>
        </w:rPr>
        <w:t>（一）“三公”经费财政拨款支出决算总体情况说明</w:t>
      </w:r>
      <w:bookmarkEnd w:id="38"/>
    </w:p>
    <w:p w14:paraId="2A58804A">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22年“三公”经费财政拨款支出决算为0.35万元，完成预算100</w:t>
      </w:r>
      <w:r>
        <w:rPr>
          <w:rFonts w:ascii="仿宋" w:hAnsi="仿宋" w:eastAsia="仿宋"/>
          <w:sz w:val="32"/>
          <w:szCs w:val="32"/>
        </w:rPr>
        <w:t>%</w:t>
      </w:r>
      <w:r>
        <w:rPr>
          <w:rFonts w:hint="eastAsia" w:ascii="仿宋" w:hAnsi="仿宋" w:eastAsia="仿宋"/>
          <w:sz w:val="32"/>
          <w:szCs w:val="32"/>
        </w:rPr>
        <w:t>，较上年减少0.1万元，下降22.22%。决算数预算数持平。</w:t>
      </w:r>
    </w:p>
    <w:p w14:paraId="52C795A2">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2CA65AD1">
      <w:pPr>
        <w:spacing w:line="600" w:lineRule="exact"/>
        <w:ind w:firstLine="640"/>
        <w:outlineLvl w:val="2"/>
        <w:rPr>
          <w:rFonts w:hint="eastAsia" w:ascii="楷体_GB2312" w:hAnsi="楷体_GB2312" w:eastAsia="楷体_GB2312" w:cs="楷体_GB2312"/>
          <w:b/>
          <w:sz w:val="32"/>
          <w:szCs w:val="32"/>
        </w:rPr>
      </w:pPr>
      <w:bookmarkStart w:id="39" w:name="_Toc15377217"/>
      <w:r>
        <w:rPr>
          <w:rFonts w:hint="eastAsia" w:ascii="楷体_GB2312" w:hAnsi="楷体_GB2312" w:eastAsia="楷体_GB2312" w:cs="楷体_GB2312"/>
          <w:b/>
          <w:sz w:val="32"/>
          <w:szCs w:val="32"/>
        </w:rPr>
        <w:t>（二）“三公”经费财政拨款支出决算具体情况说明</w:t>
      </w:r>
      <w:bookmarkEnd w:id="39"/>
    </w:p>
    <w:p w14:paraId="07DD1189">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；公务用车购置及运行维护费支出决算0万元，占0</w:t>
      </w:r>
      <w:r>
        <w:rPr>
          <w:rFonts w:ascii="仿宋" w:hAnsi="仿宋" w:eastAsia="仿宋"/>
          <w:sz w:val="32"/>
          <w:szCs w:val="32"/>
        </w:rPr>
        <w:t>%</w:t>
      </w:r>
      <w:r>
        <w:rPr>
          <w:rFonts w:hint="eastAsia" w:ascii="仿宋" w:hAnsi="仿宋" w:eastAsia="仿宋"/>
          <w:sz w:val="32"/>
          <w:szCs w:val="32"/>
        </w:rPr>
        <w:t>；公务接待费支出决算0.35万元，占100</w:t>
      </w:r>
      <w:r>
        <w:rPr>
          <w:rFonts w:ascii="仿宋" w:hAnsi="仿宋" w:eastAsia="仿宋"/>
          <w:sz w:val="32"/>
          <w:szCs w:val="32"/>
        </w:rPr>
        <w:t>%</w:t>
      </w:r>
      <w:r>
        <w:rPr>
          <w:rFonts w:hint="eastAsia" w:ascii="仿宋" w:hAnsi="仿宋" w:eastAsia="仿宋"/>
          <w:sz w:val="32"/>
          <w:szCs w:val="32"/>
        </w:rPr>
        <w:t>。具体情况如下：</w:t>
      </w:r>
    </w:p>
    <w:p w14:paraId="1A43C99F">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735C65C5">
      <w:pPr>
        <w:pStyle w:val="2"/>
        <w:rPr>
          <w:rFonts w:ascii="仿宋" w:hAnsi="仿宋" w:eastAsia="仿宋"/>
          <w:sz w:val="32"/>
          <w:szCs w:val="32"/>
        </w:rPr>
      </w:pPr>
      <w:r>
        <w:rPr>
          <w:rFonts w:hint="eastAsia" w:ascii="仿宋" w:hAnsi="仿宋" w:eastAsia="仿宋"/>
          <w:sz w:val="32"/>
          <w:szCs w:val="32"/>
        </w:rPr>
        <w:drawing>
          <wp:anchor distT="0" distB="0" distL="114300" distR="114300" simplePos="0" relativeHeight="251665408" behindDoc="0" locked="0" layoutInCell="1" allowOverlap="1">
            <wp:simplePos x="0" y="0"/>
            <wp:positionH relativeFrom="column">
              <wp:posOffset>149225</wp:posOffset>
            </wp:positionH>
            <wp:positionV relativeFrom="paragraph">
              <wp:posOffset>233680</wp:posOffset>
            </wp:positionV>
            <wp:extent cx="4999355" cy="2712720"/>
            <wp:effectExtent l="4445" t="4445" r="6350" b="698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A33EFC2">
      <w:pPr>
        <w:pStyle w:val="3"/>
        <w:spacing w:before="93"/>
        <w:rPr>
          <w:rFonts w:ascii="仿宋" w:hAnsi="仿宋" w:eastAsia="仿宋"/>
          <w:sz w:val="32"/>
          <w:szCs w:val="32"/>
        </w:rPr>
      </w:pPr>
    </w:p>
    <w:p w14:paraId="0C195D1E">
      <w:pPr>
        <w:pStyle w:val="3"/>
        <w:spacing w:before="93"/>
        <w:rPr>
          <w:rFonts w:ascii="仿宋" w:hAnsi="仿宋" w:eastAsia="仿宋"/>
          <w:sz w:val="32"/>
          <w:szCs w:val="32"/>
        </w:rPr>
      </w:pPr>
    </w:p>
    <w:p w14:paraId="7BBBDCAF">
      <w:pPr>
        <w:pStyle w:val="3"/>
        <w:spacing w:before="93"/>
        <w:rPr>
          <w:rFonts w:ascii="仿宋" w:hAnsi="仿宋" w:eastAsia="仿宋"/>
          <w:sz w:val="32"/>
          <w:szCs w:val="32"/>
        </w:rPr>
      </w:pPr>
    </w:p>
    <w:p w14:paraId="51354931">
      <w:pPr>
        <w:pStyle w:val="3"/>
        <w:spacing w:before="93"/>
        <w:rPr>
          <w:rFonts w:ascii="仿宋" w:hAnsi="仿宋" w:eastAsia="仿宋"/>
          <w:sz w:val="32"/>
          <w:szCs w:val="32"/>
        </w:rPr>
      </w:pPr>
    </w:p>
    <w:p w14:paraId="20C3FBDA">
      <w:pPr>
        <w:pStyle w:val="3"/>
        <w:spacing w:before="93"/>
        <w:rPr>
          <w:rFonts w:ascii="仿宋" w:hAnsi="仿宋" w:eastAsia="仿宋"/>
          <w:sz w:val="32"/>
          <w:szCs w:val="32"/>
        </w:rPr>
      </w:pPr>
    </w:p>
    <w:p w14:paraId="2137F587">
      <w:pPr>
        <w:pStyle w:val="3"/>
        <w:spacing w:before="93"/>
        <w:rPr>
          <w:rFonts w:ascii="仿宋" w:hAnsi="仿宋" w:eastAsia="仿宋"/>
          <w:sz w:val="32"/>
          <w:szCs w:val="32"/>
        </w:rPr>
      </w:pPr>
    </w:p>
    <w:p w14:paraId="51F29195">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因公出国（境）经费支出0</w:t>
      </w:r>
      <w:r>
        <w:rPr>
          <w:rFonts w:hint="eastAsia" w:ascii="仿宋_GB2312" w:eastAsia="仿宋_GB2312"/>
          <w:sz w:val="32"/>
          <w:szCs w:val="32"/>
        </w:rPr>
        <w:t>万元，</w:t>
      </w:r>
      <w:r>
        <w:rPr>
          <w:rStyle w:val="17"/>
          <w:rFonts w:hint="eastAsia" w:ascii="仿宋" w:hAnsi="仿宋" w:eastAsia="仿宋"/>
          <w:b w:val="0"/>
          <w:bCs/>
          <w:sz w:val="32"/>
          <w:szCs w:val="32"/>
        </w:rPr>
        <w:t>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w:t>
      </w:r>
      <w:r>
        <w:rPr>
          <w:rFonts w:ascii="仿宋_GB2312" w:eastAsia="仿宋_GB2312"/>
          <w:sz w:val="32"/>
          <w:szCs w:val="32"/>
        </w:rPr>
        <w:t>20</w:t>
      </w:r>
      <w:r>
        <w:rPr>
          <w:rFonts w:hint="eastAsia" w:ascii="仿宋_GB2312" w:eastAsia="仿宋_GB2312"/>
          <w:sz w:val="32"/>
          <w:szCs w:val="32"/>
        </w:rPr>
        <w:t>21年持平。2022年无因公出国（境）支出。</w:t>
      </w:r>
    </w:p>
    <w:p w14:paraId="175E0629">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0万元,</w:t>
      </w:r>
      <w:r>
        <w:rPr>
          <w:rStyle w:val="17"/>
          <w:rFonts w:hint="eastAsia" w:ascii="仿宋" w:hAnsi="仿宋" w:eastAsia="仿宋"/>
          <w:b w:val="0"/>
          <w:bCs/>
          <w:sz w:val="32"/>
          <w:szCs w:val="32"/>
        </w:rPr>
        <w:t>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w:t>
      </w:r>
      <w:r>
        <w:rPr>
          <w:rFonts w:hint="eastAsia" w:ascii="仿宋_GB2312" w:eastAsia="仿宋_GB2312"/>
          <w:sz w:val="32"/>
          <w:szCs w:val="32"/>
        </w:rPr>
        <w:t>2022年小车运行维护费全在民政行政决算表中反映。</w:t>
      </w:r>
    </w:p>
    <w:p w14:paraId="5D5C7992">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月底，单位共有公务用车0辆，其中：轿车0辆、越野车0辆、载客汽车0辆。</w:t>
      </w:r>
    </w:p>
    <w:p w14:paraId="364ED225">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0万元。</w:t>
      </w:r>
    </w:p>
    <w:p w14:paraId="0B7D17FE">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0.35万元，</w:t>
      </w:r>
      <w:r>
        <w:rPr>
          <w:rStyle w:val="17"/>
          <w:rFonts w:hint="eastAsia" w:ascii="仿宋" w:hAnsi="仿宋" w:eastAsia="仿宋"/>
          <w:b w:val="0"/>
          <w:bCs/>
          <w:sz w:val="32"/>
          <w:szCs w:val="32"/>
        </w:rPr>
        <w:t>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21年减少0.1万元，下降22.22</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w:t>
      </w:r>
      <w:r>
        <w:rPr>
          <w:rFonts w:hint="eastAsia" w:ascii="仿宋_GB2312" w:eastAsia="仿宋_GB2312"/>
          <w:sz w:val="32"/>
          <w:szCs w:val="32"/>
        </w:rPr>
        <w:t>2022年公务接待人次较上年减少。其中：</w:t>
      </w:r>
    </w:p>
    <w:p w14:paraId="60F6BEE6">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0.35</w:t>
      </w:r>
      <w:r>
        <w:rPr>
          <w:rFonts w:hint="eastAsia" w:ascii="仿宋_GB2312" w:eastAsia="仿宋_GB2312"/>
          <w:sz w:val="32"/>
          <w:szCs w:val="32"/>
        </w:rPr>
        <w:t>万元，主要用于执行公务、开展业务活动开支的交通费、住宿费、用餐费等。国内公务接待1批次，11人次（不包括陪同人员），共计支出0.35万元，具体内容包括：用餐费0.35万元。</w:t>
      </w:r>
    </w:p>
    <w:p w14:paraId="0F1B8997">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万元，外事接待0批次，0人次（不包括陪同人员），共计支出0万元。</w:t>
      </w:r>
    </w:p>
    <w:p w14:paraId="55534CC6">
      <w:pPr>
        <w:spacing w:line="600" w:lineRule="exact"/>
        <w:ind w:firstLine="640"/>
        <w:outlineLvl w:val="1"/>
        <w:rPr>
          <w:rFonts w:ascii="黑体" w:eastAsia="黑体"/>
          <w:sz w:val="32"/>
          <w:szCs w:val="32"/>
        </w:rPr>
      </w:pPr>
      <w:bookmarkStart w:id="40" w:name="_Toc15396610"/>
      <w:bookmarkStart w:id="41" w:name="_Toc15377218"/>
    </w:p>
    <w:p w14:paraId="298D72AD">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14:paraId="3F9B020B">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14:paraId="5A2084D6">
      <w:pPr>
        <w:spacing w:line="600" w:lineRule="exact"/>
        <w:rPr>
          <w:rFonts w:ascii="仿宋_GB2312" w:eastAsia="仿宋_GB2312"/>
          <w:sz w:val="32"/>
          <w:szCs w:val="32"/>
        </w:rPr>
      </w:pPr>
    </w:p>
    <w:p w14:paraId="7DEB2B42">
      <w:pPr>
        <w:numPr>
          <w:ilvl w:val="0"/>
          <w:numId w:val="3"/>
        </w:numPr>
        <w:spacing w:line="600" w:lineRule="exact"/>
        <w:ind w:firstLine="640"/>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14:paraId="07B3545F">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14:paraId="3708B9EC">
      <w:pPr>
        <w:spacing w:line="580" w:lineRule="exact"/>
        <w:jc w:val="center"/>
        <w:rPr>
          <w:rFonts w:ascii="方正小标宋简体" w:hAnsi="方正小标宋简体" w:eastAsia="方正小标宋简体" w:cs="方正小标宋简体"/>
          <w:sz w:val="44"/>
          <w:szCs w:val="44"/>
        </w:rPr>
      </w:pPr>
    </w:p>
    <w:p w14:paraId="6CB4EA7A">
      <w:pPr>
        <w:numPr>
          <w:ilvl w:val="0"/>
          <w:numId w:val="3"/>
        </w:numPr>
        <w:spacing w:line="600" w:lineRule="exact"/>
        <w:ind w:firstLine="640"/>
        <w:outlineLvl w:val="1"/>
        <w:rPr>
          <w:rStyle w:val="29"/>
          <w:rFonts w:ascii="黑体" w:hAnsi="黑体" w:eastAsia="黑体"/>
          <w:b w:val="0"/>
        </w:rPr>
      </w:pPr>
      <w:bookmarkStart w:id="44" w:name="_Toc15396612"/>
      <w:bookmarkStart w:id="45" w:name="_Toc15377221"/>
      <w:r>
        <w:rPr>
          <w:rStyle w:val="29"/>
          <w:rFonts w:hint="eastAsia" w:ascii="黑体" w:hAnsi="黑体" w:eastAsia="黑体"/>
          <w:b w:val="0"/>
        </w:rPr>
        <w:t>其他重要事项的情况说明</w:t>
      </w:r>
      <w:bookmarkEnd w:id="44"/>
      <w:bookmarkEnd w:id="45"/>
    </w:p>
    <w:p w14:paraId="545E7943">
      <w:pPr>
        <w:spacing w:line="600" w:lineRule="exact"/>
        <w:ind w:firstLine="643" w:firstLineChars="200"/>
        <w:outlineLvl w:val="2"/>
        <w:rPr>
          <w:rFonts w:hint="eastAsia" w:ascii="楷体_GB2312" w:hAnsi="楷体_GB2312" w:eastAsia="楷体_GB2312" w:cs="楷体_GB2312"/>
          <w:sz w:val="32"/>
          <w:szCs w:val="32"/>
        </w:rPr>
      </w:pPr>
      <w:bookmarkStart w:id="46" w:name="_Toc15377222"/>
      <w:r>
        <w:rPr>
          <w:rFonts w:hint="eastAsia" w:ascii="楷体_GB2312" w:hAnsi="楷体_GB2312" w:eastAsia="楷体_GB2312" w:cs="楷体_GB2312"/>
          <w:b/>
          <w:sz w:val="32"/>
          <w:szCs w:val="32"/>
        </w:rPr>
        <w:t>（一）机关运行经费支出情况</w:t>
      </w:r>
      <w:bookmarkEnd w:id="46"/>
    </w:p>
    <w:p w14:paraId="39C36F6F">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22年，机关运行经费支出0万元，比</w:t>
      </w:r>
      <w:r>
        <w:rPr>
          <w:rFonts w:ascii="仿宋_GB2312" w:eastAsia="仿宋_GB2312"/>
          <w:sz w:val="32"/>
          <w:szCs w:val="32"/>
        </w:rPr>
        <w:t>20</w:t>
      </w:r>
      <w:r>
        <w:rPr>
          <w:rFonts w:hint="eastAsia" w:ascii="仿宋_GB2312" w:eastAsia="仿宋_GB2312"/>
          <w:sz w:val="32"/>
          <w:szCs w:val="32"/>
        </w:rPr>
        <w:t>21年增加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rPr>
        <w:t>21年决算数持平）。</w:t>
      </w:r>
    </w:p>
    <w:p w14:paraId="7D042EC6">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1352A83B">
      <w:pPr>
        <w:autoSpaceDE w:val="0"/>
        <w:autoSpaceDN w:val="0"/>
        <w:adjustRightInd w:val="0"/>
        <w:spacing w:line="600" w:lineRule="exact"/>
        <w:ind w:firstLine="643" w:firstLineChars="200"/>
        <w:jc w:val="left"/>
        <w:outlineLvl w:val="2"/>
        <w:rPr>
          <w:rFonts w:hint="eastAsia" w:ascii="楷体_GB2312" w:hAnsi="楷体_GB2312" w:eastAsia="楷体_GB2312" w:cs="楷体_GB2312"/>
          <w:b/>
          <w:sz w:val="32"/>
          <w:szCs w:val="32"/>
        </w:rPr>
      </w:pPr>
      <w:bookmarkStart w:id="47" w:name="_Toc15377223"/>
      <w:r>
        <w:rPr>
          <w:rFonts w:hint="eastAsia" w:ascii="楷体_GB2312" w:hAnsi="楷体_GB2312" w:eastAsia="楷体_GB2312" w:cs="楷体_GB2312"/>
          <w:b/>
          <w:sz w:val="32"/>
          <w:szCs w:val="32"/>
        </w:rPr>
        <w:t>（二）政府采购支出情况</w:t>
      </w:r>
      <w:bookmarkEnd w:id="47"/>
    </w:p>
    <w:p w14:paraId="10E10E7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县社会救助福利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0B5D683B">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2DAC39F">
      <w:pPr>
        <w:autoSpaceDE w:val="0"/>
        <w:autoSpaceDN w:val="0"/>
        <w:adjustRightInd w:val="0"/>
        <w:spacing w:line="600" w:lineRule="exact"/>
        <w:ind w:firstLine="643" w:firstLineChars="200"/>
        <w:jc w:val="left"/>
        <w:outlineLvl w:val="2"/>
        <w:rPr>
          <w:rFonts w:hint="eastAsia" w:ascii="楷体_GB2312" w:hAnsi="楷体_GB2312" w:eastAsia="楷体_GB2312" w:cs="楷体_GB2312"/>
          <w:b/>
          <w:sz w:val="32"/>
          <w:szCs w:val="32"/>
        </w:rPr>
      </w:pPr>
      <w:bookmarkStart w:id="48" w:name="_Toc15377224"/>
      <w:r>
        <w:rPr>
          <w:rFonts w:hint="eastAsia" w:ascii="楷体_GB2312" w:hAnsi="楷体_GB2312" w:eastAsia="楷体_GB2312" w:cs="楷体_GB2312"/>
          <w:b/>
          <w:sz w:val="32"/>
          <w:szCs w:val="32"/>
        </w:rPr>
        <w:t>（三）国有资产占有使用情况</w:t>
      </w:r>
      <w:bookmarkEnd w:id="48"/>
    </w:p>
    <w:p w14:paraId="1A52FB99">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eastAsia="仿宋_GB2312"/>
          <w:sz w:val="32"/>
          <w:szCs w:val="32"/>
        </w:rPr>
        <w:t>县社会救助福利服务中心</w:t>
      </w:r>
      <w:r>
        <w:rPr>
          <w:rFonts w:hint="eastAsia" w:ascii="仿宋_GB2312" w:eastAsia="仿宋_GB2312"/>
          <w:sz w:val="32"/>
          <w:szCs w:val="32"/>
        </w:rPr>
        <w:t>共有车辆0辆，其中：主要领导干部用车0辆、机要通信用车0辆、应急保障用车0辆、其他用车0辆。单价</w:t>
      </w:r>
      <w:r>
        <w:rPr>
          <w:rFonts w:ascii="仿宋_GB2312" w:eastAsia="仿宋_GB2312"/>
          <w:sz w:val="32"/>
          <w:szCs w:val="32"/>
        </w:rPr>
        <w:t>100</w:t>
      </w:r>
      <w:r>
        <w:rPr>
          <w:rFonts w:hint="eastAsia" w:ascii="仿宋_GB2312" w:eastAsia="仿宋_GB2312"/>
          <w:sz w:val="32"/>
          <w:szCs w:val="32"/>
        </w:rPr>
        <w:t>万元以上专用设备0台（套）。</w:t>
      </w:r>
    </w:p>
    <w:p w14:paraId="7D8C74E1">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517093C4">
      <w:pPr>
        <w:autoSpaceDE w:val="0"/>
        <w:autoSpaceDN w:val="0"/>
        <w:adjustRightInd w:val="0"/>
        <w:spacing w:line="600" w:lineRule="exact"/>
        <w:ind w:firstLine="643" w:firstLineChars="200"/>
        <w:jc w:val="left"/>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（四）预算绩效管理情况</w:t>
      </w:r>
    </w:p>
    <w:p w14:paraId="6066A56F">
      <w:pPr>
        <w:autoSpaceDE w:val="0"/>
        <w:autoSpaceDN w:val="0"/>
        <w:adjustRightInd w:val="0"/>
        <w:spacing w:line="600" w:lineRule="exact"/>
        <w:ind w:firstLine="640" w:firstLineChars="20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根据预算绩效管理要求，本部门（单位）在年初预算编制阶段，组织对困难群众救助（即：儿童福利、</w:t>
      </w:r>
      <w:r>
        <w:rPr>
          <w:rFonts w:hint="eastAsia" w:ascii="仿宋_GB2312" w:hAnsi="仿宋_GB2312" w:eastAsia="仿宋_GB2312" w:cs="仿宋_GB2312"/>
          <w:sz w:val="32"/>
          <w:szCs w:val="32"/>
          <w:lang w:val="zh-CN"/>
        </w:rPr>
        <w:t>特困人员救助、临时救助</w:t>
      </w:r>
      <w:r>
        <w:rPr>
          <w:rFonts w:hint="eastAsia" w:ascii="仿宋_GB2312" w:hAnsi="仿宋_GB2312" w:eastAsia="仿宋_GB2312" w:cs="仿宋_GB2312"/>
          <w:sz w:val="32"/>
          <w:szCs w:val="32"/>
        </w:rPr>
        <w:t>）、高龄津贴（包含80至89岁老人、90至99岁老人、100岁老人）、重度残疾人护理补贴、困难残疾人生活补助、居家养老服务体系、城市农村日间照料资金、特困人员供养资金开展了预算事前绩效评估，对8个项目编制了绩效目标，预算执行过程中，选取困难残疾人生活补贴、重度残疾人护理补贴、困难群众救助（即：儿童福利、</w:t>
      </w:r>
      <w:r>
        <w:rPr>
          <w:rFonts w:hint="eastAsia" w:ascii="仿宋_GB2312" w:hAnsi="仿宋_GB2312" w:eastAsia="仿宋_GB2312" w:cs="仿宋_GB2312"/>
          <w:sz w:val="32"/>
          <w:szCs w:val="32"/>
          <w:lang w:val="zh-CN"/>
        </w:rPr>
        <w:t>特困人员救助、临时救助）</w:t>
      </w:r>
      <w:r>
        <w:rPr>
          <w:rFonts w:hint="eastAsia" w:ascii="仿宋_GB2312" w:hAnsi="仿宋_GB2312" w:eastAsia="仿宋_GB2312" w:cs="仿宋_GB2312"/>
          <w:sz w:val="32"/>
          <w:szCs w:val="32"/>
        </w:rPr>
        <w:t>、高龄津贴等5个项目开展绩效监控，年终执行完毕后，对4个项目开展了绩效目标完成情况自评。</w:t>
      </w:r>
    </w:p>
    <w:p w14:paraId="2628344A">
      <w:pPr>
        <w:autoSpaceDE w:val="0"/>
        <w:autoSpaceDN w:val="0"/>
        <w:adjustRightInd w:val="0"/>
        <w:spacing w:line="600" w:lineRule="exact"/>
        <w:ind w:firstLine="640" w:firstLineChars="20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本部门按要求对2022年部门整体支出开展绩效自评，从评价情况来看一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提高了资金的使用效率；二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规范了财务管理；三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项目申报条件合规，项目实施进度明确；四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受益人员政策知晓率提高；五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确保了年度绩效目标如期实现；六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党的执政能力和巩固党的执政基础，促进经济发展和社会进步，实现物质文明、政治文明和精神文明协调发展。本部门还自行组织了4个项目绩效评价，从评价情况来看规范了财务管理，提高了资金的使用效率，项目实施合格，资金拨付按进度进行，受益人员满意度和政策知晓率提高，强化了预算执行全过程的管理，提供详实准确的预算执行数据，能较为准确预测预算收支的发展趋势提供了有力的支撑。</w:t>
      </w:r>
    </w:p>
    <w:p w14:paraId="094FFAEE">
      <w:pPr>
        <w:widowControl/>
        <w:ind w:firstLine="643" w:firstLineChars="200"/>
        <w:jc w:val="left"/>
        <w:rPr>
          <w:rFonts w:ascii="仿宋_GB2312" w:eastAsia="仿宋_GB2312"/>
          <w:b/>
          <w:sz w:val="32"/>
          <w:szCs w:val="32"/>
        </w:rPr>
      </w:pPr>
      <w:r>
        <w:rPr>
          <w:rFonts w:ascii="仿宋_GB2312" w:eastAsia="仿宋_GB2312"/>
          <w:b/>
          <w:sz w:val="32"/>
          <w:szCs w:val="32"/>
        </w:rPr>
        <w:br w:type="page"/>
      </w:r>
    </w:p>
    <w:p w14:paraId="5D0C482F">
      <w:pPr>
        <w:numPr>
          <w:ilvl w:val="0"/>
          <w:numId w:val="4"/>
        </w:numPr>
        <w:spacing w:line="600" w:lineRule="exact"/>
        <w:ind w:firstLine="660" w:firstLineChars="150"/>
        <w:jc w:val="center"/>
        <w:outlineLvl w:val="0"/>
        <w:rPr>
          <w:rStyle w:val="28"/>
          <w:rFonts w:ascii="黑体" w:hAnsi="黑体" w:eastAsia="黑体"/>
          <w:b w:val="0"/>
        </w:rPr>
      </w:pPr>
      <w:bookmarkStart w:id="49" w:name="_Toc15377225"/>
      <w:bookmarkStart w:id="50" w:name="_Toc15396613"/>
      <w:r>
        <w:rPr>
          <w:rFonts w:hint="eastAsia" w:ascii="黑体" w:hAnsi="黑体" w:eastAsia="黑体"/>
          <w:sz w:val="44"/>
          <w:szCs w:val="44"/>
        </w:rPr>
        <w:t>名</w:t>
      </w:r>
      <w:r>
        <w:rPr>
          <w:rStyle w:val="28"/>
          <w:rFonts w:hint="eastAsia" w:ascii="黑体" w:hAnsi="黑体" w:eastAsia="黑体"/>
          <w:b w:val="0"/>
        </w:rPr>
        <w:t>词解释</w:t>
      </w:r>
      <w:bookmarkEnd w:id="49"/>
      <w:bookmarkEnd w:id="50"/>
    </w:p>
    <w:p w14:paraId="555D2277">
      <w:pPr>
        <w:spacing w:line="600" w:lineRule="exact"/>
        <w:jc w:val="left"/>
        <w:rPr>
          <w:rFonts w:ascii="宋体"/>
          <w:b/>
          <w:sz w:val="44"/>
          <w:szCs w:val="44"/>
        </w:rPr>
      </w:pPr>
    </w:p>
    <w:p w14:paraId="2C58BDAE">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1.财政拨款收入：指单位从同级财政部门取得的财政预算资金。</w:t>
      </w:r>
    </w:p>
    <w:p w14:paraId="482F9D98">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2.事业收入：指事业单位开展专业业务活动及辅助活动取得的收入。</w:t>
      </w:r>
    </w:p>
    <w:p w14:paraId="16CDC3C5">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3.经营收入：指事业单位在专业业务活动及其辅助活动之外开展非独立核算经营活动取得的收入。</w:t>
      </w:r>
    </w:p>
    <w:p w14:paraId="533C8717">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4.其他收入：指单位取得的除上述收入以外的各项收入。主要</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 xml:space="preserve">。 </w:t>
      </w:r>
    </w:p>
    <w:p w14:paraId="3A253539">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79B0707E">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6.年初结转和结余：指以前年度尚未完成、结转到本年按有关规定继续使用的资金。 </w:t>
      </w:r>
    </w:p>
    <w:p w14:paraId="11613247">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7.结余分配：指事业单位按照事业单位会计制度的规定从非财政补助结余中分配的事业基金和职工福利基金等。</w:t>
      </w:r>
    </w:p>
    <w:p w14:paraId="6BE69D22">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8、年末结转和结余：指单位按有关规定结转到下年或以后年度继续使用的资金。</w:t>
      </w:r>
    </w:p>
    <w:p w14:paraId="42B8394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9、社会保障和就业：</w:t>
      </w:r>
    </w:p>
    <w:p w14:paraId="70561AF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（1）社会福利：2081005社会福利事业单位支出指：反映单位事业人员的基本支出，如基本工资、津补贴、绩效工资、其他社会保障续费、机关运行工作经费等支出；</w:t>
      </w:r>
    </w:p>
    <w:p w14:paraId="785F5ED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（2）行政事业单位离退休：2080505 机关事业单位基本养老保险缴费支出指反映机关事业单位实施养老保险制度由单位缴纳的基本养老保险费支出。2080506机关事业单位职业年金缴费支出指：反映机关事业单位 实施养老保险制度由单位缴纳的职业年金支出。</w:t>
      </w:r>
    </w:p>
    <w:p w14:paraId="1A75DF3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w:t>
      </w:r>
    </w:p>
    <w:p w14:paraId="2D6F379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行政事业单位医疗：2101102事业单位医疗财政部门集中安排的行政单位基本医疗保险缴费经费。</w:t>
      </w:r>
    </w:p>
    <w:p w14:paraId="7695BC0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11、住房保障</w:t>
      </w:r>
    </w:p>
    <w:p w14:paraId="02513A6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住房改革支出：2210201住房公积金指：行政事业单位按人力资源和社会保障部、财政部门规定的基本工资和津贴补贴以及规定比例为职工缴纳的住房公积金；2210203购房补贴指单位退休人员购房补贴。</w:t>
      </w:r>
    </w:p>
    <w:p w14:paraId="7894A84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12.基本支出：指为保障机构正常运转、完成日常工作任务而发生的人员支出和公用支出。</w:t>
      </w:r>
    </w:p>
    <w:p w14:paraId="005C975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13.项目支出：指在基本支出之外为完成特定行政任务和事业发展目标所发生的支出。 </w:t>
      </w:r>
    </w:p>
    <w:p w14:paraId="2C835A7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14.经营支出：指事业单位在专业业务活动及其辅助活动之外开展非独立核算经营活动发生的支出。</w:t>
      </w:r>
    </w:p>
    <w:p w14:paraId="20A007FF">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15F480">
      <w:pPr>
        <w:pStyle w:val="26"/>
        <w:spacing w:line="56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C9017A">
      <w:pPr>
        <w:pStyle w:val="26"/>
        <w:spacing w:line="560" w:lineRule="exact"/>
        <w:ind w:firstLine="640" w:firstLineChars="200"/>
        <w:rPr>
          <w:rFonts w:hint="eastAsia" w:ascii="仿宋_GB2312" w:hAnsi="仿宋_GB2312" w:eastAsia="仿宋_GB2312" w:cs="仿宋_GB2312"/>
          <w:color w:val="auto"/>
          <w:kern w:val="2"/>
          <w:sz w:val="32"/>
          <w:szCs w:val="32"/>
        </w:rPr>
      </w:pPr>
    </w:p>
    <w:p w14:paraId="77C99BFA">
      <w:pPr>
        <w:pStyle w:val="26"/>
        <w:spacing w:line="560" w:lineRule="exact"/>
        <w:ind w:firstLine="640" w:firstLineChars="200"/>
        <w:rPr>
          <w:rFonts w:ascii="Times New Roman" w:hAnsi="Times New Roman" w:eastAsia="仿宋_GB2312" w:cs="Times New Roman"/>
          <w:color w:val="auto"/>
          <w:kern w:val="2"/>
          <w:sz w:val="32"/>
          <w:szCs w:val="32"/>
        </w:rPr>
      </w:pPr>
    </w:p>
    <w:p w14:paraId="72A2047B">
      <w:pPr>
        <w:pStyle w:val="26"/>
        <w:spacing w:line="560" w:lineRule="exact"/>
        <w:ind w:firstLine="640" w:firstLineChars="200"/>
        <w:rPr>
          <w:rFonts w:ascii="Times New Roman" w:hAnsi="Times New Roman" w:eastAsia="仿宋_GB2312" w:cs="Times New Roman"/>
          <w:color w:val="auto"/>
          <w:kern w:val="2"/>
          <w:sz w:val="32"/>
          <w:szCs w:val="32"/>
        </w:rPr>
      </w:pPr>
    </w:p>
    <w:p w14:paraId="3F8992E6">
      <w:pPr>
        <w:spacing w:line="600" w:lineRule="exact"/>
        <w:jc w:val="center"/>
        <w:outlineLvl w:val="0"/>
        <w:rPr>
          <w:rFonts w:ascii="黑体" w:hAnsi="黑体" w:eastAsia="黑体"/>
          <w:sz w:val="44"/>
          <w:szCs w:val="44"/>
        </w:rPr>
      </w:pPr>
      <w:bookmarkStart w:id="51" w:name="_Toc15396614"/>
      <w:bookmarkStart w:id="52" w:name="_Toc15377226"/>
    </w:p>
    <w:p w14:paraId="3E107563">
      <w:pPr>
        <w:spacing w:line="600" w:lineRule="exact"/>
        <w:jc w:val="center"/>
        <w:outlineLvl w:val="0"/>
        <w:rPr>
          <w:rFonts w:ascii="黑体" w:hAnsi="黑体" w:eastAsia="黑体"/>
          <w:sz w:val="44"/>
          <w:szCs w:val="44"/>
        </w:rPr>
      </w:pPr>
    </w:p>
    <w:p w14:paraId="3FBA6C74">
      <w:pPr>
        <w:spacing w:line="600" w:lineRule="exact"/>
        <w:jc w:val="center"/>
        <w:outlineLvl w:val="0"/>
        <w:rPr>
          <w:rFonts w:ascii="黑体" w:hAnsi="黑体" w:eastAsia="黑体"/>
          <w:sz w:val="44"/>
          <w:szCs w:val="44"/>
        </w:rPr>
      </w:pPr>
    </w:p>
    <w:p w14:paraId="2A3B349F">
      <w:pPr>
        <w:spacing w:line="600" w:lineRule="exact"/>
        <w:jc w:val="center"/>
        <w:outlineLvl w:val="0"/>
        <w:rPr>
          <w:rFonts w:ascii="黑体" w:hAnsi="黑体" w:eastAsia="黑体"/>
          <w:sz w:val="44"/>
          <w:szCs w:val="44"/>
        </w:rPr>
      </w:pPr>
    </w:p>
    <w:p w14:paraId="7CD2564E">
      <w:pPr>
        <w:spacing w:line="600" w:lineRule="exact"/>
        <w:jc w:val="center"/>
        <w:outlineLvl w:val="0"/>
        <w:rPr>
          <w:rFonts w:ascii="黑体" w:hAnsi="黑体" w:eastAsia="黑体"/>
          <w:sz w:val="44"/>
          <w:szCs w:val="44"/>
        </w:rPr>
      </w:pPr>
    </w:p>
    <w:p w14:paraId="27E42956">
      <w:pPr>
        <w:spacing w:line="600" w:lineRule="exact"/>
        <w:jc w:val="center"/>
        <w:outlineLvl w:val="0"/>
        <w:rPr>
          <w:rFonts w:ascii="黑体" w:hAnsi="黑体" w:eastAsia="黑体"/>
          <w:sz w:val="44"/>
          <w:szCs w:val="44"/>
        </w:rPr>
      </w:pPr>
    </w:p>
    <w:p w14:paraId="6C666DB8">
      <w:pPr>
        <w:spacing w:line="600" w:lineRule="exact"/>
        <w:jc w:val="center"/>
        <w:outlineLvl w:val="0"/>
        <w:rPr>
          <w:rFonts w:ascii="黑体" w:hAnsi="黑体" w:eastAsia="黑体"/>
          <w:sz w:val="44"/>
          <w:szCs w:val="44"/>
        </w:rPr>
      </w:pPr>
    </w:p>
    <w:p w14:paraId="0F6AA3B4">
      <w:pPr>
        <w:spacing w:line="600" w:lineRule="exact"/>
        <w:jc w:val="center"/>
        <w:outlineLvl w:val="0"/>
        <w:rPr>
          <w:rFonts w:ascii="黑体" w:hAnsi="黑体" w:eastAsia="黑体"/>
          <w:sz w:val="44"/>
          <w:szCs w:val="44"/>
        </w:rPr>
      </w:pPr>
    </w:p>
    <w:p w14:paraId="423B8279">
      <w:pPr>
        <w:spacing w:line="600" w:lineRule="exact"/>
        <w:jc w:val="center"/>
        <w:outlineLvl w:val="0"/>
        <w:rPr>
          <w:rFonts w:ascii="黑体" w:hAnsi="黑体" w:eastAsia="黑体"/>
          <w:sz w:val="44"/>
          <w:szCs w:val="44"/>
        </w:rPr>
      </w:pPr>
    </w:p>
    <w:p w14:paraId="1BD13E18">
      <w:pPr>
        <w:spacing w:line="600" w:lineRule="exact"/>
        <w:jc w:val="center"/>
        <w:outlineLvl w:val="0"/>
        <w:rPr>
          <w:rFonts w:ascii="黑体" w:hAnsi="黑体" w:eastAsia="黑体"/>
          <w:sz w:val="44"/>
          <w:szCs w:val="44"/>
        </w:rPr>
      </w:pPr>
    </w:p>
    <w:p w14:paraId="4B5A68F6">
      <w:pPr>
        <w:pStyle w:val="2"/>
        <w:rPr>
          <w:rFonts w:ascii="黑体" w:hAnsi="黑体" w:eastAsia="黑体"/>
          <w:sz w:val="44"/>
          <w:szCs w:val="44"/>
        </w:rPr>
      </w:pPr>
    </w:p>
    <w:p w14:paraId="7492ACF2">
      <w:pPr>
        <w:pStyle w:val="3"/>
        <w:rPr>
          <w:rFonts w:ascii="黑体" w:hAnsi="黑体" w:eastAsia="黑体"/>
          <w:sz w:val="44"/>
          <w:szCs w:val="44"/>
        </w:rPr>
      </w:pPr>
    </w:p>
    <w:p w14:paraId="146CB6BF">
      <w:pPr>
        <w:pStyle w:val="3"/>
        <w:rPr>
          <w:rFonts w:ascii="黑体" w:hAnsi="黑体" w:eastAsia="黑体"/>
          <w:sz w:val="44"/>
          <w:szCs w:val="44"/>
        </w:rPr>
      </w:pPr>
    </w:p>
    <w:p w14:paraId="56FE0BF8">
      <w:pPr>
        <w:spacing w:line="600" w:lineRule="exact"/>
        <w:jc w:val="center"/>
        <w:outlineLvl w:val="0"/>
        <w:rPr>
          <w:rFonts w:ascii="黑体" w:hAnsi="黑体" w:eastAsia="黑体"/>
          <w:sz w:val="44"/>
          <w:szCs w:val="44"/>
        </w:rPr>
      </w:pPr>
    </w:p>
    <w:p w14:paraId="3CB44FFE">
      <w:pPr>
        <w:spacing w:line="600" w:lineRule="exact"/>
        <w:jc w:val="center"/>
        <w:outlineLvl w:val="0"/>
        <w:rPr>
          <w:rFonts w:hint="eastAsia" w:ascii="黑体" w:hAnsi="黑体" w:eastAsia="黑体"/>
          <w:sz w:val="44"/>
          <w:szCs w:val="44"/>
        </w:rPr>
      </w:pPr>
    </w:p>
    <w:p w14:paraId="30B003AB">
      <w:pPr>
        <w:pStyle w:val="2"/>
        <w:rPr>
          <w:rFonts w:hint="eastAsia" w:ascii="黑体" w:hAnsi="黑体" w:eastAsia="黑体"/>
          <w:sz w:val="44"/>
          <w:szCs w:val="44"/>
        </w:rPr>
      </w:pPr>
    </w:p>
    <w:p w14:paraId="1A40B9FB">
      <w:pPr>
        <w:pStyle w:val="3"/>
        <w:rPr>
          <w:rFonts w:hint="eastAsia"/>
        </w:rPr>
      </w:pPr>
    </w:p>
    <w:p w14:paraId="5D8E3968">
      <w:pPr>
        <w:spacing w:line="600" w:lineRule="exact"/>
        <w:jc w:val="center"/>
        <w:outlineLvl w:val="0"/>
        <w:rPr>
          <w:rFonts w:hint="eastAsia" w:ascii="黑体" w:hAnsi="黑体" w:eastAsia="黑体"/>
          <w:sz w:val="44"/>
          <w:szCs w:val="44"/>
        </w:rPr>
      </w:pPr>
    </w:p>
    <w:p w14:paraId="4099B512">
      <w:pPr>
        <w:spacing w:line="600" w:lineRule="exact"/>
        <w:jc w:val="center"/>
        <w:outlineLvl w:val="0"/>
        <w:rPr>
          <w:rFonts w:hint="eastAsia" w:ascii="黑体" w:hAnsi="黑体" w:eastAsia="黑体"/>
          <w:sz w:val="44"/>
          <w:szCs w:val="44"/>
        </w:rPr>
      </w:pPr>
    </w:p>
    <w:p w14:paraId="17CBAE1A">
      <w:pPr>
        <w:spacing w:line="600" w:lineRule="exact"/>
        <w:jc w:val="center"/>
        <w:outlineLvl w:val="0"/>
        <w:rPr>
          <w:rFonts w:hint="eastAsia" w:ascii="黑体" w:hAnsi="黑体" w:eastAsia="黑体"/>
          <w:sz w:val="44"/>
          <w:szCs w:val="44"/>
        </w:rPr>
      </w:pPr>
    </w:p>
    <w:p w14:paraId="5A316057">
      <w:pPr>
        <w:spacing w:line="600" w:lineRule="exact"/>
        <w:jc w:val="center"/>
        <w:outlineLvl w:val="0"/>
        <w:rPr>
          <w:rStyle w:val="28"/>
          <w:rFonts w:hint="eastAsia" w:ascii="方正小标宋简体" w:hAnsi="方正小标宋简体" w:eastAsia="方正小标宋简体" w:cs="方正小标宋简体"/>
          <w:b w:val="0"/>
          <w:sz w:val="52"/>
          <w:szCs w:val="52"/>
        </w:rPr>
      </w:pPr>
      <w:r>
        <w:rPr>
          <w:rFonts w:hint="eastAsia" w:ascii="方正小标宋简体" w:hAnsi="方正小标宋简体" w:eastAsia="方正小标宋简体" w:cs="方正小标宋简体"/>
          <w:sz w:val="52"/>
          <w:szCs w:val="52"/>
        </w:rPr>
        <w:t>第</w:t>
      </w:r>
      <w:r>
        <w:rPr>
          <w:rStyle w:val="28"/>
          <w:rFonts w:hint="eastAsia" w:ascii="方正小标宋简体" w:hAnsi="方正小标宋简体" w:eastAsia="方正小标宋简体" w:cs="方正小标宋简体"/>
          <w:b w:val="0"/>
          <w:sz w:val="52"/>
          <w:szCs w:val="52"/>
        </w:rPr>
        <w:t>四部分 附件</w:t>
      </w:r>
      <w:bookmarkEnd w:id="51"/>
    </w:p>
    <w:p w14:paraId="5C4DEE8B">
      <w:pPr>
        <w:spacing w:line="572" w:lineRule="exact"/>
        <w:jc w:val="left"/>
        <w:outlineLvl w:val="0"/>
        <w:rPr>
          <w:rFonts w:hint="eastAsia" w:ascii="黑体" w:hAnsi="黑体" w:eastAsia="黑体" w:cs="黑体"/>
          <w:sz w:val="32"/>
          <w:szCs w:val="32"/>
        </w:rPr>
      </w:pPr>
    </w:p>
    <w:p w14:paraId="4AD355BB">
      <w:pPr>
        <w:spacing w:line="572" w:lineRule="exact"/>
        <w:jc w:val="left"/>
        <w:outlineLvl w:val="0"/>
        <w:rPr>
          <w:rFonts w:hint="eastAsia" w:ascii="黑体" w:hAnsi="黑体" w:eastAsia="黑体" w:cs="黑体"/>
          <w:sz w:val="32"/>
          <w:szCs w:val="32"/>
        </w:rPr>
      </w:pPr>
    </w:p>
    <w:p w14:paraId="233221BC">
      <w:pPr>
        <w:spacing w:line="572" w:lineRule="exact"/>
        <w:jc w:val="left"/>
        <w:outlineLvl w:val="0"/>
        <w:rPr>
          <w:rFonts w:hint="eastAsia" w:ascii="黑体" w:hAnsi="黑体" w:eastAsia="黑体" w:cs="黑体"/>
          <w:sz w:val="32"/>
          <w:szCs w:val="32"/>
        </w:rPr>
      </w:pPr>
    </w:p>
    <w:p w14:paraId="44D2B8CE">
      <w:pPr>
        <w:spacing w:line="572" w:lineRule="exact"/>
        <w:jc w:val="left"/>
        <w:outlineLvl w:val="0"/>
        <w:rPr>
          <w:rFonts w:hint="eastAsia" w:ascii="黑体" w:hAnsi="黑体" w:eastAsia="黑体" w:cs="黑体"/>
          <w:sz w:val="32"/>
          <w:szCs w:val="32"/>
        </w:rPr>
      </w:pPr>
    </w:p>
    <w:p w14:paraId="653F0229">
      <w:pPr>
        <w:spacing w:line="572" w:lineRule="exact"/>
        <w:jc w:val="left"/>
        <w:outlineLvl w:val="0"/>
        <w:rPr>
          <w:rFonts w:hint="eastAsia" w:ascii="黑体" w:hAnsi="黑体" w:eastAsia="黑体" w:cs="黑体"/>
          <w:sz w:val="32"/>
          <w:szCs w:val="32"/>
        </w:rPr>
      </w:pPr>
    </w:p>
    <w:p w14:paraId="61D80798">
      <w:pPr>
        <w:spacing w:line="572" w:lineRule="exact"/>
        <w:jc w:val="left"/>
        <w:outlineLvl w:val="0"/>
        <w:rPr>
          <w:rFonts w:hint="eastAsia" w:ascii="黑体" w:hAnsi="黑体" w:eastAsia="黑体" w:cs="黑体"/>
          <w:sz w:val="32"/>
          <w:szCs w:val="32"/>
        </w:rPr>
      </w:pPr>
    </w:p>
    <w:p w14:paraId="1774CBB4">
      <w:pPr>
        <w:spacing w:line="572" w:lineRule="exact"/>
        <w:jc w:val="left"/>
        <w:outlineLvl w:val="0"/>
        <w:rPr>
          <w:rFonts w:hint="eastAsia" w:ascii="黑体" w:hAnsi="黑体" w:eastAsia="黑体" w:cs="黑体"/>
          <w:sz w:val="32"/>
          <w:szCs w:val="32"/>
        </w:rPr>
      </w:pPr>
    </w:p>
    <w:p w14:paraId="65E999FB">
      <w:pPr>
        <w:spacing w:line="572" w:lineRule="exact"/>
        <w:jc w:val="left"/>
        <w:outlineLvl w:val="0"/>
        <w:rPr>
          <w:rFonts w:hint="eastAsia" w:ascii="黑体" w:hAnsi="黑体" w:eastAsia="黑体" w:cs="黑体"/>
          <w:sz w:val="32"/>
          <w:szCs w:val="32"/>
        </w:rPr>
      </w:pPr>
    </w:p>
    <w:p w14:paraId="53F63A3D">
      <w:pPr>
        <w:spacing w:line="572" w:lineRule="exact"/>
        <w:jc w:val="left"/>
        <w:outlineLvl w:val="0"/>
        <w:rPr>
          <w:rFonts w:hint="eastAsia" w:ascii="黑体" w:hAnsi="黑体" w:eastAsia="黑体" w:cs="黑体"/>
          <w:sz w:val="32"/>
          <w:szCs w:val="32"/>
        </w:rPr>
      </w:pPr>
    </w:p>
    <w:p w14:paraId="7857A9BF">
      <w:pPr>
        <w:spacing w:line="572" w:lineRule="exact"/>
        <w:jc w:val="left"/>
        <w:outlineLvl w:val="0"/>
        <w:rPr>
          <w:rFonts w:hint="eastAsia" w:ascii="黑体" w:hAnsi="黑体" w:eastAsia="黑体" w:cs="黑体"/>
          <w:sz w:val="32"/>
          <w:szCs w:val="32"/>
        </w:rPr>
      </w:pPr>
    </w:p>
    <w:p w14:paraId="6835C521">
      <w:pPr>
        <w:spacing w:line="572" w:lineRule="exact"/>
        <w:jc w:val="left"/>
        <w:outlineLvl w:val="0"/>
        <w:rPr>
          <w:rFonts w:hint="eastAsia" w:ascii="黑体" w:hAnsi="黑体" w:eastAsia="黑体" w:cs="黑体"/>
          <w:sz w:val="32"/>
          <w:szCs w:val="32"/>
        </w:rPr>
      </w:pPr>
    </w:p>
    <w:p w14:paraId="2E31AA0E">
      <w:pPr>
        <w:spacing w:line="572" w:lineRule="exact"/>
        <w:jc w:val="left"/>
        <w:outlineLvl w:val="0"/>
        <w:rPr>
          <w:rFonts w:hint="eastAsia" w:ascii="黑体" w:hAnsi="黑体" w:eastAsia="黑体" w:cs="黑体"/>
          <w:sz w:val="32"/>
          <w:szCs w:val="32"/>
        </w:rPr>
      </w:pPr>
    </w:p>
    <w:p w14:paraId="4384FC73">
      <w:pPr>
        <w:spacing w:line="572" w:lineRule="exact"/>
        <w:jc w:val="left"/>
        <w:outlineLvl w:val="0"/>
        <w:rPr>
          <w:rFonts w:hint="eastAsia" w:ascii="黑体" w:hAnsi="黑体" w:eastAsia="黑体" w:cs="黑体"/>
          <w:sz w:val="32"/>
          <w:szCs w:val="32"/>
        </w:rPr>
      </w:pPr>
    </w:p>
    <w:p w14:paraId="7C082D9D">
      <w:pPr>
        <w:spacing w:line="572" w:lineRule="exact"/>
        <w:jc w:val="left"/>
        <w:outlineLvl w:val="0"/>
        <w:rPr>
          <w:rFonts w:hint="eastAsia" w:ascii="黑体" w:hAnsi="黑体" w:eastAsia="黑体" w:cs="黑体"/>
          <w:sz w:val="32"/>
          <w:szCs w:val="32"/>
        </w:rPr>
      </w:pPr>
    </w:p>
    <w:p w14:paraId="3993638D">
      <w:pPr>
        <w:spacing w:line="572" w:lineRule="exact"/>
        <w:jc w:val="left"/>
        <w:outlineLvl w:val="0"/>
        <w:rPr>
          <w:rFonts w:hint="eastAsia" w:ascii="黑体" w:hAnsi="黑体" w:eastAsia="黑体" w:cs="黑体"/>
          <w:sz w:val="32"/>
          <w:szCs w:val="32"/>
        </w:rPr>
      </w:pPr>
    </w:p>
    <w:p w14:paraId="1566C727">
      <w:pPr>
        <w:spacing w:line="572" w:lineRule="exact"/>
        <w:jc w:val="left"/>
        <w:outlineLvl w:val="0"/>
        <w:rPr>
          <w:rFonts w:hint="eastAsia" w:ascii="黑体" w:hAnsi="黑体" w:eastAsia="黑体" w:cs="黑体"/>
          <w:sz w:val="32"/>
          <w:szCs w:val="32"/>
        </w:rPr>
      </w:pPr>
    </w:p>
    <w:p w14:paraId="6BF80F32">
      <w:pPr>
        <w:spacing w:line="572"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p>
    <w:p w14:paraId="0251E381">
      <w:pPr>
        <w:spacing w:line="600" w:lineRule="exact"/>
        <w:jc w:val="center"/>
        <w:outlineLvl w:val="0"/>
        <w:rPr>
          <w:rFonts w:hint="eastAsia" w:ascii="方正小标宋简体" w:hAnsi="方正小标宋简体" w:eastAsia="方正小标宋简体" w:cs="方正小标宋简体"/>
          <w:sz w:val="44"/>
          <w:szCs w:val="44"/>
        </w:rPr>
      </w:pPr>
      <w:bookmarkStart w:id="53" w:name="_Toc79163882"/>
      <w:bookmarkStart w:id="54" w:name="_Toc79163632"/>
      <w:r>
        <w:rPr>
          <w:rFonts w:hint="eastAsia" w:ascii="方正小标宋简体" w:hAnsi="方正小标宋简体" w:eastAsia="方正小标宋简体" w:cs="方正小标宋简体"/>
          <w:sz w:val="44"/>
          <w:szCs w:val="44"/>
        </w:rPr>
        <w:t>县社会救助福利中心</w:t>
      </w:r>
    </w:p>
    <w:p w14:paraId="21CF5656">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2022年部门整体支出绩效评价报告</w:t>
      </w:r>
      <w:bookmarkEnd w:id="53"/>
      <w:bookmarkEnd w:id="54"/>
    </w:p>
    <w:p w14:paraId="202D5561">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14:paraId="2BF40C4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14:paraId="23195BE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14:paraId="00EBD6A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壤塘县民政局属于一级预算单位，与上年一样外设4内设个行政股室（办公室、社会福利与社会事务股、社会救助股（ 挂壤塘县流浪乞讨人员救助站牌子）、区划地名与基层政权股）。 下设事业机构4个（ 壤塘县低收入家庭认定指导中心，敬老院服务中心，南木达敬老院、茸木达敬老院、中壤塘敬老院壤、塘县社会救助福利服务中心（ 挂壤塘县儿童福利服务指导中心牌子）。</w:t>
      </w:r>
    </w:p>
    <w:p w14:paraId="6FDA4D8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（二）机构职能</w:t>
      </w:r>
    </w:p>
    <w:p w14:paraId="6450FCB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根据三定方案文件规定，主要职能，：</w:t>
      </w:r>
    </w:p>
    <w:p w14:paraId="5C4BEAD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贯彻执行国家、省、州民政相关方针政策和法律法规；制定全县民政工作发展规划、工作计划并组织实施和监督检查；承担政府公布的行政审批事项；负责民政信访和维稳工作；负责全县民政资金的使用、管理和监督工作；负责民政统计管理工作。</w:t>
      </w:r>
    </w:p>
    <w:p w14:paraId="31E3350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拟订全县社会救助规划、政策和标准，统筹推进社会救助体系建设，负责城乡居民最低生活保障、特困人员救助供养、残疾人两项补贴、孤儿、事实无人抚养儿童、临时救助、生活无着流浪乞讨人员救助工作。</w:t>
      </w:r>
    </w:p>
    <w:p w14:paraId="0AB6A30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统筹推进、督促指导、监督管理养老服务工作，拟订养老服务体系建设规划、政策、标准并组织施，承担老年人福利和特殊因难老年人救助工作，协调推进农村留守老年人关爱服务工作，承担城乡老年社会组织管理工作。</w:t>
      </w:r>
    </w:p>
    <w:p w14:paraId="783B76B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婚姻登记、殡葬管理政策、促进慈善事业发展、指导社会捐助、协助监督福利彩票销售工作，负责管理使用本级福利彩票公益金；拟订农村留守儿童关爱服务体系和困境儿童保障制度；承担依法对社会团体和民办非企业单位进行登记管理和监督责任；依法对社会组织进行登记管理和执法监督。</w:t>
      </w:r>
    </w:p>
    <w:p w14:paraId="2263C92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拟订行政区划管理政策和行政区域界线、地名管理办法，负责全县乡镇以上行政区划的设立、命名、撤销、变更和政府驻地迁移审核上报工作，组织并指导全县行政区域界线的勘定、管理工作，调处行政区域边界争议，负责地名管理工作。</w:t>
      </w:r>
    </w:p>
    <w:p w14:paraId="77242FB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拟订全县城乡基层群众自治建设、社区建设政策并指导实施；指导社区服务体系建设，提出加强和改进城乡基层政权建设的建议，指导村（居）民委员会开展民主选举、民主决策、民主管理和民主监督工作，推动基层民主政治建设。</w:t>
      </w:r>
    </w:p>
    <w:p w14:paraId="7EB3B1E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拟订社会工作、志愿服务政策和标准，会同有关部门推进社会工作人才队位建设和志愿者队建设；依法依规负责社会福利、养老服务、救助管理、殡葬服务机构安全生产监督管理工作。负责职责范围内的意识形态、职业健康、审批服务便民化工作。</w:t>
      </w:r>
    </w:p>
    <w:p w14:paraId="5D3F8B8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8、完成县委、县政府交办的其他任务。</w:t>
      </w:r>
    </w:p>
    <w:p w14:paraId="2F0F083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（三）人员概况</w:t>
      </w:r>
    </w:p>
    <w:p w14:paraId="1A8B5C4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总编制72名,其中:行政编制8名,事业编制64名，在职人员总数66名，其中：行政人员4名，行政工勤3名，其他事业人员59名；离休人员1人，退休人员10人。</w:t>
      </w:r>
    </w:p>
    <w:p w14:paraId="2C491F3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2022年较上年减少2人，原因为：2022年，调离外县3人，县内调动3人。2022年新进人员4人，均为新招事业单位工作人员4人。 </w:t>
      </w:r>
    </w:p>
    <w:p w14:paraId="0077EA5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14:paraId="50F81C6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14:paraId="6DF03BC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年初预算数2483.37万元，其中一般公共预算财政拨款收入为2483.37万元。2022年部门财政资金收入7480.57万元，其中一般公共预算财政拨款收入为7435.45万元，政府性基金预算财政拨款收入为48.12万元。上年结余资金232.08万元。收入共计7712.65万元。</w:t>
      </w:r>
    </w:p>
    <w:p w14:paraId="63AC1408">
      <w:pPr>
        <w:keepNext w:val="0"/>
        <w:keepLines w:val="0"/>
        <w:pageBreakBefore w:val="0"/>
        <w:kinsoku/>
        <w:wordWrap/>
        <w:overflowPunct/>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（二）部门财政资金支出情况</w:t>
      </w:r>
    </w:p>
    <w:p w14:paraId="79AEF336">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年部门财政资金支出</w:t>
      </w:r>
      <w:r>
        <w:rPr>
          <w:rFonts w:hint="eastAsia" w:ascii="仿宋_GB2312" w:hAnsi="仿宋_GB2312" w:eastAsia="仿宋_GB2312" w:cs="仿宋_GB2312"/>
          <w:sz w:val="32"/>
          <w:szCs w:val="32"/>
        </w:rPr>
        <w:t>7712.65</w:t>
      </w:r>
      <w:r>
        <w:rPr>
          <w:rFonts w:hint="eastAsia" w:ascii="仿宋_GB2312" w:hAnsi="仿宋_GB2312" w:eastAsia="仿宋_GB2312" w:cs="仿宋_GB2312"/>
          <w:sz w:val="32"/>
          <w:szCs w:val="32"/>
          <w:lang w:val="zh-CN"/>
        </w:rPr>
        <w:t>万元，其中基本支出</w:t>
      </w:r>
      <w:r>
        <w:rPr>
          <w:rFonts w:hint="eastAsia" w:ascii="仿宋_GB2312" w:hAnsi="仿宋_GB2312" w:eastAsia="仿宋_GB2312" w:cs="仿宋_GB2312"/>
          <w:sz w:val="32"/>
          <w:szCs w:val="32"/>
        </w:rPr>
        <w:t>1559.62</w:t>
      </w:r>
      <w:r>
        <w:rPr>
          <w:rFonts w:hint="eastAsia" w:ascii="仿宋_GB2312" w:hAnsi="仿宋_GB2312" w:eastAsia="仿宋_GB2312" w:cs="仿宋_GB2312"/>
          <w:sz w:val="32"/>
          <w:szCs w:val="32"/>
          <w:lang w:val="zh-CN"/>
        </w:rPr>
        <w:t>万元，项目支出</w:t>
      </w:r>
      <w:r>
        <w:rPr>
          <w:rFonts w:hint="eastAsia" w:ascii="仿宋_GB2312" w:hAnsi="仿宋_GB2312" w:eastAsia="仿宋_GB2312" w:cs="仿宋_GB2312"/>
          <w:sz w:val="32"/>
          <w:szCs w:val="32"/>
        </w:rPr>
        <w:t>6153.03</w:t>
      </w:r>
      <w:r>
        <w:rPr>
          <w:rFonts w:hint="eastAsia" w:ascii="仿宋_GB2312" w:hAnsi="仿宋_GB2312" w:eastAsia="仿宋_GB2312" w:cs="仿宋_GB2312"/>
          <w:sz w:val="32"/>
          <w:szCs w:val="32"/>
          <w:lang w:val="zh-CN"/>
        </w:rPr>
        <w:t>万元。</w:t>
      </w:r>
    </w:p>
    <w:p w14:paraId="468D0DC9">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基本支出</w:t>
      </w:r>
      <w:r>
        <w:rPr>
          <w:rFonts w:hint="eastAsia" w:ascii="仿宋_GB2312" w:hAnsi="仿宋_GB2312" w:eastAsia="仿宋_GB2312" w:cs="仿宋_GB2312"/>
          <w:sz w:val="32"/>
          <w:szCs w:val="32"/>
        </w:rPr>
        <w:t>1559.62</w:t>
      </w:r>
      <w:r>
        <w:rPr>
          <w:rFonts w:hint="eastAsia" w:ascii="仿宋_GB2312" w:hAnsi="仿宋_GB2312" w:eastAsia="仿宋_GB2312" w:cs="仿宋_GB2312"/>
          <w:sz w:val="32"/>
          <w:szCs w:val="32"/>
          <w:lang w:val="zh-CN"/>
        </w:rPr>
        <w:t>万元，主要</w:t>
      </w:r>
      <w:r>
        <w:rPr>
          <w:rFonts w:hint="eastAsia" w:ascii="仿宋_GB2312" w:hAnsi="仿宋_GB2312" w:eastAsia="仿宋_GB2312" w:cs="仿宋_GB2312"/>
          <w:sz w:val="32"/>
          <w:szCs w:val="32"/>
        </w:rPr>
        <w:t>行政运行297.99万元，社会福利事业单位（事业人员工资等）909.57</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机关事业单位基本养老保险缴费支出109.84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机关事业单位职业年金缴费支出54.92万元，行政单位医疗7.48万元，事业单位医疗45.99万元，公务员医疗2.5万元，住房公积金100.6万元购房补贴0.24万元</w:t>
      </w:r>
      <w:r>
        <w:rPr>
          <w:rFonts w:hint="eastAsia" w:ascii="仿宋_GB2312" w:hAnsi="仿宋_GB2312" w:eastAsia="仿宋_GB2312" w:cs="仿宋_GB2312"/>
          <w:sz w:val="32"/>
          <w:szCs w:val="32"/>
          <w:lang w:val="zh-CN"/>
        </w:rPr>
        <w:t>。</w:t>
      </w:r>
    </w:p>
    <w:p w14:paraId="3E490291">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val="zh-CN"/>
        </w:rPr>
        <w:t>项目支出</w:t>
      </w:r>
      <w:r>
        <w:rPr>
          <w:rFonts w:hint="eastAsia" w:ascii="仿宋_GB2312" w:hAnsi="仿宋_GB2312" w:eastAsia="仿宋_GB2312" w:cs="仿宋_GB2312"/>
          <w:sz w:val="32"/>
          <w:szCs w:val="32"/>
        </w:rPr>
        <w:t>6153.03</w:t>
      </w:r>
      <w:r>
        <w:rPr>
          <w:rFonts w:hint="eastAsia" w:ascii="仿宋_GB2312" w:hAnsi="仿宋_GB2312" w:eastAsia="仿宋_GB2312" w:cs="仿宋_GB2312"/>
          <w:sz w:val="32"/>
          <w:szCs w:val="32"/>
          <w:lang w:val="zh-CN"/>
        </w:rPr>
        <w:t>万元，主要</w:t>
      </w:r>
      <w:r>
        <w:rPr>
          <w:rFonts w:hint="eastAsia" w:ascii="仿宋_GB2312" w:hAnsi="仿宋_GB2312" w:eastAsia="仿宋_GB2312" w:cs="仿宋_GB2312"/>
          <w:sz w:val="32"/>
          <w:szCs w:val="32"/>
        </w:rPr>
        <w:t>用于一般行政管理事务支出116.52万元，其他民政管理事务支出31.2万元，儿童福利51.54万元，老年福利77.29万元，养老服务43.05万元，其他社会福利支出23.11万元，残疾人生活和护理补贴186.93万元，其他残疾人事业支出53万元，城市最低生活保障支出139.71万元，农村最低生活保障金支出3678.28万元，临时救助支出94.98万元，流浪乞讨人员救助支出12万元，城市特困人员救助供养支出10.13万元，农村特困人员救助供养支出1225.43万元，其他社会保障和就业支出112.11万元，对村民委员会和村党支部的补助69.62万元，用于社会福利的彩票公益金支出48.12万元，其他扶贫支出180万元。</w:t>
      </w:r>
    </w:p>
    <w:p w14:paraId="7C23237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14:paraId="137CF8C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14:paraId="2FD52B0C">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年我单位预算编制严格按照财政局《关于编制202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年部门预算通知》相关精神，认真学习财务相关及其实施条例等预算编制的法律、法规，掌握预算编制的相关政策，及时与县编办、县人社部门核对人员编制 、实有人数、工资、车辆等相关信息，准确编制部门预算，将单位预算收入全部门纳入预算管理，全面完整的反映部门真实收入情况，其中：基本支出预算包括人员经费（即职工工资、住房公积金、养老保险、职业年金等社会保障缴费）和公用经费，根据县财政要求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年人员经费预算均按</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val="zh-CN"/>
        </w:rPr>
        <w:t>年10月工资为标准核算，公用经费按县级部门定额标准人均</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万元测算。项目资金预算，先由各业务股室对来年需要县级配套资金按上级专项计划和上年预算支出和目标完成情况进行充分论证、可行性分析和绩效评估后来测算需县级财政配套经费后报财务室，由财务室负责汇总汇编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年部门预算并上报县财政局，项目预算尽量做到了数据测算的准确和合理性，并明确支出范围和用途。202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年度我单位部门预算数为</w:t>
      </w:r>
      <w:r>
        <w:rPr>
          <w:rFonts w:hint="eastAsia" w:ascii="仿宋_GB2312" w:hAnsi="仿宋_GB2312" w:eastAsia="仿宋_GB2312" w:cs="仿宋_GB2312"/>
          <w:sz w:val="32"/>
          <w:szCs w:val="32"/>
        </w:rPr>
        <w:t>2483.37</w:t>
      </w:r>
      <w:r>
        <w:rPr>
          <w:rFonts w:hint="eastAsia" w:ascii="仿宋_GB2312" w:hAnsi="仿宋_GB2312" w:eastAsia="仿宋_GB2312" w:cs="仿宋_GB2312"/>
          <w:sz w:val="32"/>
          <w:szCs w:val="32"/>
          <w:lang w:val="zh-CN"/>
        </w:rPr>
        <w:t>万元，202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年调整预算数为</w:t>
      </w:r>
      <w:r>
        <w:rPr>
          <w:rFonts w:hint="eastAsia" w:ascii="仿宋_GB2312" w:hAnsi="仿宋_GB2312" w:eastAsia="仿宋_GB2312" w:cs="仿宋_GB2312"/>
          <w:sz w:val="32"/>
          <w:szCs w:val="32"/>
        </w:rPr>
        <w:t>7432.45</w:t>
      </w:r>
      <w:r>
        <w:rPr>
          <w:rFonts w:hint="eastAsia" w:ascii="仿宋_GB2312" w:hAnsi="仿宋_GB2312" w:eastAsia="仿宋_GB2312" w:cs="仿宋_GB2312"/>
          <w:sz w:val="32"/>
          <w:szCs w:val="32"/>
          <w:lang w:val="zh-CN"/>
        </w:rPr>
        <w:t>万元；决算支出数为</w:t>
      </w:r>
      <w:r>
        <w:rPr>
          <w:rFonts w:hint="eastAsia" w:ascii="仿宋_GB2312" w:hAnsi="仿宋_GB2312" w:eastAsia="仿宋_GB2312" w:cs="仿宋_GB2312"/>
          <w:sz w:val="32"/>
          <w:szCs w:val="32"/>
        </w:rPr>
        <w:t>7712.65</w:t>
      </w:r>
      <w:r>
        <w:rPr>
          <w:rFonts w:hint="eastAsia" w:ascii="仿宋_GB2312" w:hAnsi="仿宋_GB2312" w:eastAsia="仿宋_GB2312" w:cs="仿宋_GB2312"/>
          <w:sz w:val="32"/>
          <w:szCs w:val="32"/>
          <w:lang w:val="zh-CN"/>
        </w:rPr>
        <w:t>万元，202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根据预算绩效管理要求，本部门（单位）在年初预算编制阶段，组织对高龄津贴、重度残疾人护理补贴、困难残疾人生活补助、居家养老服务体系、临时救助、儿童福利、城市农村日间照料资金、特困人员护理照料费、特困人员供养资金开展了预算事前绩效评估，确保了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年我单位各项预算资金使用与预算程度结果基本相符、分配合理，严格预算管理，202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年项目资金使用均严格按照资金性质和用途使用，无超范围、超用途现象，总的来说202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年预算目标制定合理,目标完成情况较好，预算编制准确，规划合理，无违规记录等情况。</w:t>
      </w:r>
    </w:p>
    <w:p w14:paraId="20BDFEA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（二）结果应用情况</w:t>
      </w:r>
    </w:p>
    <w:p w14:paraId="0A8FC00F">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包括部门自评质量、绩效目标公开和自评公开、评价结果整改和应用结果反馈等情况。</w:t>
      </w:r>
    </w:p>
    <w:p w14:paraId="1E35C310">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我单位严格按照工作进度执行预算，按时足额发放职工工资，以节约为本，严格控制公用经费支出，加强公务接待、公务用车规范管理。项目资金支出：严格按资金用途支付相关费用，严格执行绩效评价和项目进度分析，提高了资金的使用效率，使困难群体基本生活得到了保障，促进了社会经济发展和和谐稳定，受益群众满意度达90%以上。完成了重点项目工作，一，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年为符合政策的农村低保</w:t>
      </w:r>
      <w:r>
        <w:rPr>
          <w:rFonts w:hint="eastAsia" w:ascii="仿宋_GB2312" w:hAnsi="仿宋_GB2312" w:eastAsia="仿宋_GB2312" w:cs="仿宋_GB2312"/>
          <w:sz w:val="32"/>
          <w:szCs w:val="32"/>
        </w:rPr>
        <w:t>7754户15407</w:t>
      </w:r>
      <w:r>
        <w:rPr>
          <w:rFonts w:hint="eastAsia" w:ascii="仿宋_GB2312" w:hAnsi="仿宋_GB2312" w:eastAsia="仿宋_GB2312" w:cs="仿宋_GB2312"/>
          <w:sz w:val="32"/>
          <w:szCs w:val="32"/>
          <w:lang w:val="zh-CN"/>
        </w:rPr>
        <w:t>人员发放农村低保</w:t>
      </w:r>
      <w:r>
        <w:rPr>
          <w:rFonts w:hint="eastAsia" w:ascii="仿宋_GB2312" w:hAnsi="仿宋_GB2312" w:eastAsia="仿宋_GB2312" w:cs="仿宋_GB2312"/>
          <w:sz w:val="32"/>
          <w:szCs w:val="32"/>
        </w:rPr>
        <w:t>4201.94</w:t>
      </w:r>
      <w:r>
        <w:rPr>
          <w:rFonts w:hint="eastAsia" w:ascii="仿宋_GB2312" w:hAnsi="仿宋_GB2312" w:eastAsia="仿宋_GB2312" w:cs="仿宋_GB2312"/>
          <w:sz w:val="32"/>
          <w:szCs w:val="32"/>
          <w:lang w:val="zh-CN"/>
        </w:rPr>
        <w:t>万元，农村低保人均月补助达</w:t>
      </w:r>
      <w:r>
        <w:rPr>
          <w:rFonts w:hint="eastAsia" w:ascii="仿宋_GB2312" w:hAnsi="仿宋_GB2312" w:eastAsia="仿宋_GB2312" w:cs="仿宋_GB2312"/>
          <w:sz w:val="32"/>
          <w:szCs w:val="32"/>
        </w:rPr>
        <w:t>226</w:t>
      </w:r>
      <w:r>
        <w:rPr>
          <w:rFonts w:hint="eastAsia" w:ascii="仿宋_GB2312" w:hAnsi="仿宋_GB2312" w:eastAsia="仿宋_GB2312" w:cs="仿宋_GB2312"/>
          <w:sz w:val="32"/>
          <w:szCs w:val="32"/>
          <w:lang w:val="zh-CN"/>
        </w:rPr>
        <w:t xml:space="preserve">元；为符合政策城市低保人员 </w:t>
      </w:r>
      <w:r>
        <w:rPr>
          <w:rFonts w:hint="eastAsia" w:ascii="仿宋_GB2312" w:hAnsi="仿宋_GB2312" w:eastAsia="仿宋_GB2312" w:cs="仿宋_GB2312"/>
          <w:sz w:val="32"/>
          <w:szCs w:val="32"/>
        </w:rPr>
        <w:t>367</w:t>
      </w:r>
      <w:r>
        <w:rPr>
          <w:rFonts w:hint="eastAsia" w:ascii="仿宋_GB2312" w:hAnsi="仿宋_GB2312" w:eastAsia="仿宋_GB2312" w:cs="仿宋_GB2312"/>
          <w:sz w:val="32"/>
          <w:szCs w:val="32"/>
          <w:lang w:val="zh-CN"/>
        </w:rPr>
        <w:t>人发放城镇低保金</w:t>
      </w:r>
      <w:r>
        <w:rPr>
          <w:rFonts w:hint="eastAsia" w:ascii="仿宋_GB2312" w:hAnsi="仿宋_GB2312" w:eastAsia="仿宋_GB2312" w:cs="仿宋_GB2312"/>
          <w:sz w:val="32"/>
          <w:szCs w:val="32"/>
        </w:rPr>
        <w:t>139.71</w:t>
      </w:r>
      <w:r>
        <w:rPr>
          <w:rFonts w:hint="eastAsia" w:ascii="仿宋_GB2312" w:hAnsi="仿宋_GB2312" w:eastAsia="仿宋_GB2312" w:cs="仿宋_GB2312"/>
          <w:sz w:val="32"/>
          <w:szCs w:val="32"/>
          <w:lang w:val="zh-CN"/>
        </w:rPr>
        <w:t>万元，城镇低保人均月补助达3</w:t>
      </w:r>
      <w:r>
        <w:rPr>
          <w:rFonts w:hint="eastAsia" w:ascii="仿宋_GB2312" w:hAnsi="仿宋_GB2312" w:eastAsia="仿宋_GB2312" w:cs="仿宋_GB2312"/>
          <w:sz w:val="32"/>
          <w:szCs w:val="32"/>
        </w:rPr>
        <w:t>55</w:t>
      </w:r>
      <w:r>
        <w:rPr>
          <w:rFonts w:hint="eastAsia" w:ascii="仿宋_GB2312" w:hAnsi="仿宋_GB2312" w:eastAsia="仿宋_GB2312" w:cs="仿宋_GB2312"/>
          <w:sz w:val="32"/>
          <w:szCs w:val="32"/>
          <w:lang w:val="zh-CN"/>
        </w:rPr>
        <w:t>元。二，社会救助水平不断提升，全年共救助困难群众</w:t>
      </w:r>
      <w:r>
        <w:rPr>
          <w:rFonts w:hint="eastAsia" w:ascii="仿宋_GB2312" w:hAnsi="仿宋_GB2312" w:eastAsia="仿宋_GB2312" w:cs="仿宋_GB2312"/>
          <w:sz w:val="32"/>
          <w:szCs w:val="32"/>
        </w:rPr>
        <w:t>64户344</w:t>
      </w:r>
      <w:r>
        <w:rPr>
          <w:rFonts w:hint="eastAsia" w:ascii="仿宋_GB2312" w:hAnsi="仿宋_GB2312" w:eastAsia="仿宋_GB2312" w:cs="仿宋_GB2312"/>
          <w:sz w:val="32"/>
          <w:szCs w:val="32"/>
          <w:lang w:val="zh-CN"/>
        </w:rPr>
        <w:t>人次，解决临时救助资金</w:t>
      </w:r>
      <w:r>
        <w:rPr>
          <w:rFonts w:hint="eastAsia" w:ascii="仿宋_GB2312" w:hAnsi="仿宋_GB2312" w:eastAsia="仿宋_GB2312" w:cs="仿宋_GB2312"/>
          <w:sz w:val="32"/>
          <w:szCs w:val="32"/>
        </w:rPr>
        <w:t>33.53</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000000" w:themeColor="text1"/>
          <w:sz w:val="32"/>
          <w:szCs w:val="32"/>
          <w:lang w:val="zh-CN"/>
        </w:rPr>
        <w:t>为全县1</w:t>
      </w:r>
      <w:r>
        <w:rPr>
          <w:rFonts w:hint="eastAsia"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lang w:val="zh-CN"/>
        </w:rPr>
        <w:t>名孤儿和</w:t>
      </w:r>
      <w:r>
        <w:rPr>
          <w:rFonts w:hint="eastAsia" w:ascii="仿宋_GB2312" w:hAnsi="仿宋_GB2312" w:eastAsia="仿宋_GB2312" w:cs="仿宋_GB2312"/>
          <w:color w:val="000000" w:themeColor="text1"/>
          <w:sz w:val="32"/>
          <w:szCs w:val="32"/>
        </w:rPr>
        <w:t>21</w:t>
      </w:r>
      <w:r>
        <w:rPr>
          <w:rFonts w:hint="eastAsia" w:ascii="仿宋_GB2312" w:hAnsi="仿宋_GB2312" w:eastAsia="仿宋_GB2312" w:cs="仿宋_GB2312"/>
          <w:color w:val="000000" w:themeColor="text1"/>
          <w:sz w:val="32"/>
          <w:szCs w:val="32"/>
          <w:lang w:val="zh-CN"/>
        </w:rPr>
        <w:t>名无人抚养事实孤儿发放生活补助资金</w:t>
      </w:r>
      <w:r>
        <w:rPr>
          <w:rFonts w:hint="eastAsia" w:ascii="仿宋_GB2312" w:hAnsi="仿宋_GB2312" w:eastAsia="仿宋_GB2312" w:cs="仿宋_GB2312"/>
          <w:color w:val="000000" w:themeColor="text1"/>
          <w:sz w:val="32"/>
          <w:szCs w:val="32"/>
        </w:rPr>
        <w:t>53.22</w:t>
      </w:r>
      <w:r>
        <w:rPr>
          <w:rFonts w:hint="eastAsia" w:ascii="仿宋_GB2312" w:hAnsi="仿宋_GB2312" w:eastAsia="仿宋_GB2312" w:cs="仿宋_GB2312"/>
          <w:color w:val="000000" w:themeColor="text1"/>
          <w:sz w:val="32"/>
          <w:szCs w:val="32"/>
          <w:lang w:val="zh-CN"/>
        </w:rPr>
        <w:t>万元；</w:t>
      </w:r>
      <w:r>
        <w:rPr>
          <w:rFonts w:hint="eastAsia" w:ascii="仿宋_GB2312" w:hAnsi="仿宋_GB2312" w:eastAsia="仿宋_GB2312" w:cs="仿宋_GB2312"/>
          <w:sz w:val="32"/>
          <w:szCs w:val="32"/>
          <w:lang w:val="zh-CN"/>
        </w:rPr>
        <w:t>为</w:t>
      </w:r>
      <w:r>
        <w:rPr>
          <w:rFonts w:hint="eastAsia" w:ascii="仿宋_GB2312" w:hAnsi="仿宋_GB2312" w:eastAsia="仿宋_GB2312" w:cs="仿宋_GB2312"/>
          <w:sz w:val="32"/>
          <w:szCs w:val="32"/>
        </w:rPr>
        <w:t>1084</w:t>
      </w:r>
      <w:r>
        <w:rPr>
          <w:rFonts w:hint="eastAsia" w:ascii="仿宋_GB2312" w:hAnsi="仿宋_GB2312" w:eastAsia="仿宋_GB2312" w:cs="仿宋_GB2312"/>
          <w:sz w:val="32"/>
          <w:szCs w:val="32"/>
          <w:lang w:val="zh-CN"/>
        </w:rPr>
        <w:t>名分散农村特困供养人员和集中供养特困人员</w:t>
      </w:r>
      <w:r>
        <w:rPr>
          <w:rFonts w:hint="eastAsia" w:ascii="仿宋_GB2312" w:hAnsi="仿宋_GB2312" w:eastAsia="仿宋_GB2312" w:cs="仿宋_GB2312"/>
          <w:sz w:val="32"/>
          <w:szCs w:val="32"/>
        </w:rPr>
        <w:t>160人</w:t>
      </w:r>
      <w:r>
        <w:rPr>
          <w:rFonts w:hint="eastAsia" w:ascii="仿宋_GB2312" w:hAnsi="仿宋_GB2312" w:eastAsia="仿宋_GB2312" w:cs="仿宋_GB2312"/>
          <w:sz w:val="32"/>
          <w:szCs w:val="32"/>
          <w:lang w:val="zh-CN"/>
        </w:rPr>
        <w:t>发放生活补助</w:t>
      </w:r>
      <w:r>
        <w:rPr>
          <w:rFonts w:hint="eastAsia" w:ascii="仿宋_GB2312" w:hAnsi="仿宋_GB2312" w:eastAsia="仿宋_GB2312" w:cs="仿宋_GB2312"/>
          <w:sz w:val="32"/>
          <w:szCs w:val="32"/>
        </w:rPr>
        <w:t>1235.56</w:t>
      </w:r>
      <w:r>
        <w:rPr>
          <w:rFonts w:hint="eastAsia" w:ascii="仿宋_GB2312" w:hAnsi="仿宋_GB2312" w:eastAsia="仿宋_GB2312" w:cs="仿宋_GB2312"/>
          <w:sz w:val="32"/>
          <w:szCs w:val="32"/>
          <w:lang w:val="zh-CN"/>
        </w:rPr>
        <w:t>万元，使困难群众基本生活得到了保障，并促进了社会救助政策体系更加完善、管理制度更加健全、服务质量明显提升，群众满意度显著提高。三，持续加大残疾人救助保障力度。全年为</w:t>
      </w:r>
      <w:r>
        <w:rPr>
          <w:rFonts w:hint="eastAsia" w:ascii="仿宋_GB2312" w:hAnsi="仿宋_GB2312" w:eastAsia="仿宋_GB2312" w:cs="仿宋_GB2312"/>
          <w:sz w:val="32"/>
          <w:szCs w:val="32"/>
        </w:rPr>
        <w:t>1187</w:t>
      </w:r>
      <w:r>
        <w:rPr>
          <w:rFonts w:hint="eastAsia" w:ascii="仿宋_GB2312" w:hAnsi="仿宋_GB2312" w:eastAsia="仿宋_GB2312" w:cs="仿宋_GB2312"/>
          <w:sz w:val="32"/>
          <w:szCs w:val="32"/>
          <w:lang w:val="zh-CN"/>
        </w:rPr>
        <w:t>名困难残疾人发放生活补贴资金</w:t>
      </w:r>
      <w:r>
        <w:rPr>
          <w:rFonts w:hint="eastAsia" w:ascii="仿宋_GB2312" w:hAnsi="仿宋_GB2312" w:eastAsia="仿宋_GB2312" w:cs="仿宋_GB2312"/>
          <w:sz w:val="32"/>
          <w:szCs w:val="32"/>
        </w:rPr>
        <w:t>142.58</w:t>
      </w:r>
      <w:r>
        <w:rPr>
          <w:rFonts w:hint="eastAsia" w:ascii="仿宋_GB2312" w:hAnsi="仿宋_GB2312" w:eastAsia="仿宋_GB2312" w:cs="仿宋_GB2312"/>
          <w:sz w:val="32"/>
          <w:szCs w:val="32"/>
          <w:lang w:val="zh-CN"/>
        </w:rPr>
        <w:t>万元；为</w:t>
      </w:r>
      <w:r>
        <w:rPr>
          <w:rFonts w:hint="eastAsia" w:ascii="仿宋_GB2312" w:hAnsi="仿宋_GB2312" w:eastAsia="仿宋_GB2312" w:cs="仿宋_GB2312"/>
          <w:sz w:val="32"/>
          <w:szCs w:val="32"/>
        </w:rPr>
        <w:t>994</w:t>
      </w:r>
      <w:r>
        <w:rPr>
          <w:rFonts w:hint="eastAsia" w:ascii="仿宋_GB2312" w:hAnsi="仿宋_GB2312" w:eastAsia="仿宋_GB2312" w:cs="仿宋_GB2312"/>
          <w:sz w:val="32"/>
          <w:szCs w:val="32"/>
          <w:lang w:val="zh-CN"/>
        </w:rPr>
        <w:t>名重度残疾人发放生活护理补贴资金</w:t>
      </w:r>
      <w:r>
        <w:rPr>
          <w:rFonts w:hint="eastAsia" w:ascii="仿宋_GB2312" w:hAnsi="仿宋_GB2312" w:eastAsia="仿宋_GB2312" w:cs="仿宋_GB2312"/>
          <w:sz w:val="32"/>
          <w:szCs w:val="32"/>
        </w:rPr>
        <w:t>97.35</w:t>
      </w:r>
      <w:r>
        <w:rPr>
          <w:rFonts w:hint="eastAsia" w:ascii="仿宋_GB2312" w:hAnsi="仿宋_GB2312" w:eastAsia="仿宋_GB2312" w:cs="仿宋_GB2312"/>
          <w:sz w:val="32"/>
          <w:szCs w:val="32"/>
          <w:lang w:val="zh-CN"/>
        </w:rPr>
        <w:t>万元，使残疾人权益得到更好保障，进一步完善了社会保障制度体系。四，抓细抓好养老服务工作，全年为80岁以上</w:t>
      </w:r>
      <w:r>
        <w:rPr>
          <w:rFonts w:hint="eastAsia" w:ascii="仿宋_GB2312" w:hAnsi="仿宋_GB2312" w:eastAsia="仿宋_GB2312" w:cs="仿宋_GB2312"/>
          <w:sz w:val="32"/>
          <w:szCs w:val="32"/>
        </w:rPr>
        <w:t xml:space="preserve"> 727</w:t>
      </w:r>
      <w:r>
        <w:rPr>
          <w:rFonts w:hint="eastAsia" w:ascii="仿宋_GB2312" w:hAnsi="仿宋_GB2312" w:eastAsia="仿宋_GB2312" w:cs="仿宋_GB2312"/>
          <w:sz w:val="32"/>
          <w:szCs w:val="32"/>
          <w:lang w:val="zh-CN"/>
        </w:rPr>
        <w:t>名老人发放高龄津贴</w:t>
      </w:r>
      <w:r>
        <w:rPr>
          <w:rFonts w:hint="eastAsia" w:ascii="仿宋_GB2312" w:hAnsi="仿宋_GB2312" w:eastAsia="仿宋_GB2312" w:cs="仿宋_GB2312"/>
          <w:sz w:val="32"/>
          <w:szCs w:val="32"/>
        </w:rPr>
        <w:t>75.361</w:t>
      </w:r>
      <w:r>
        <w:rPr>
          <w:rFonts w:hint="eastAsia" w:ascii="仿宋_GB2312" w:hAnsi="仿宋_GB2312" w:eastAsia="仿宋_GB2312" w:cs="仿宋_GB2312"/>
          <w:sz w:val="32"/>
          <w:szCs w:val="32"/>
          <w:lang w:val="zh-CN"/>
        </w:rPr>
        <w:t>万元；对全县</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所农村敬老院（含康复村）进行</w:t>
      </w:r>
      <w:bookmarkStart w:id="69" w:name="_GoBack"/>
      <w:bookmarkEnd w:id="69"/>
      <w:r>
        <w:rPr>
          <w:rFonts w:hint="eastAsia" w:ascii="仿宋_GB2312" w:hAnsi="仿宋_GB2312" w:eastAsia="仿宋_GB2312" w:cs="仿宋_GB2312"/>
          <w:sz w:val="32"/>
          <w:szCs w:val="32"/>
          <w:lang w:val="zh-CN"/>
        </w:rPr>
        <w:t>服务质量提升维修改造项目，使老年人幸福指数和满意度不断提高。并根据财政要求，每年都及时对单位预决算数据和绩效信息在政府门户网进行了公开。</w:t>
      </w:r>
    </w:p>
    <w:p w14:paraId="4601BAB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14:paraId="38835F3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14:paraId="432D041C">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年县级、州级对我单位部分项目资金也进行了绩效考评。总体来说，202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我单位绩效考评较好，从预算到执行、收入和支出、资产管理及预决算公开，都严格按照相关制度进行，全年收支平衡，略有结余，有效的保证了机构运转、圆满完成了上级下达的目标任务，取得了较大的经济效益和社会效益，也得到了政府部门的认可和社会保障对象的认可，自评得分9</w:t>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lang w:val="zh-CN"/>
        </w:rPr>
        <w:t>分。具体评分标准如下：</w:t>
      </w:r>
    </w:p>
    <w:p w14:paraId="557553DE">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1、从预算管理指标情况看，预算执行较准确，执行进度严格按预算管理执行，部分资金支付进度缓慢，分值为10分，自评得分</w:t>
      </w:r>
      <w:r>
        <w:rPr>
          <w:rFonts w:hint="eastAsia" w:ascii="仿宋_GB2312" w:hAnsi="仿宋_GB2312" w:eastAsia="仿宋_GB2312" w:cs="仿宋_GB2312"/>
          <w:sz w:val="32"/>
          <w:szCs w:val="32"/>
        </w:rPr>
        <w:t>8.5</w:t>
      </w:r>
      <w:r>
        <w:rPr>
          <w:rFonts w:hint="eastAsia" w:ascii="仿宋_GB2312" w:hAnsi="仿宋_GB2312" w:eastAsia="仿宋_GB2312" w:cs="仿宋_GB2312"/>
          <w:sz w:val="32"/>
          <w:szCs w:val="32"/>
          <w:lang w:val="zh-CN"/>
        </w:rPr>
        <w:t>分。</w:t>
      </w:r>
    </w:p>
    <w:p w14:paraId="1A00BBCB">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2、从目标管理情况看，</w:t>
      </w:r>
      <w:r>
        <w:rPr>
          <w:rFonts w:hint="eastAsia" w:ascii="仿宋_GB2312" w:hAnsi="仿宋_GB2312" w:eastAsia="仿宋_GB2312" w:cs="仿宋_GB2312"/>
          <w:sz w:val="32"/>
          <w:szCs w:val="32"/>
        </w:rPr>
        <w:t>2022</w:t>
      </w:r>
      <w:r>
        <w:rPr>
          <w:rFonts w:hint="eastAsia" w:ascii="仿宋_GB2312" w:hAnsi="仿宋_GB2312" w:eastAsia="仿宋_GB2312" w:cs="仿宋_GB2312"/>
          <w:sz w:val="32"/>
          <w:szCs w:val="32"/>
          <w:lang w:val="zh-CN"/>
        </w:rPr>
        <w:t>年部门预算目标填报均按要求编制专项资金绩效目标，填报内容规范，专项内项目、专项基金设定的绩效目标与部门职能职责一致，与绩效目标匹配，专项类项目、专项资金根据资金使用用途设定了相应的质量指标、成本指标、效益指标等分值为</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分，单位自评得分</w:t>
      </w:r>
      <w:r>
        <w:rPr>
          <w:rFonts w:hint="eastAsia" w:ascii="仿宋_GB2312" w:hAnsi="仿宋_GB2312" w:eastAsia="仿宋_GB2312" w:cs="仿宋_GB2312"/>
          <w:sz w:val="32"/>
          <w:szCs w:val="32"/>
        </w:rPr>
        <w:t>8.5</w:t>
      </w:r>
      <w:r>
        <w:rPr>
          <w:rFonts w:hint="eastAsia" w:ascii="仿宋_GB2312" w:hAnsi="仿宋_GB2312" w:eastAsia="仿宋_GB2312" w:cs="仿宋_GB2312"/>
          <w:sz w:val="32"/>
          <w:szCs w:val="32"/>
          <w:lang w:val="zh-CN"/>
        </w:rPr>
        <w:t>分。</w:t>
      </w:r>
    </w:p>
    <w:p w14:paraId="4605871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z w:val="32"/>
          <w:szCs w:val="32"/>
          <w:lang w:val="zh-CN"/>
        </w:rPr>
        <w:t>3、从部门管理情况来看，</w:t>
      </w:r>
      <w:r>
        <w:rPr>
          <w:rFonts w:hint="eastAsia" w:ascii="仿宋_GB2312" w:hAnsi="仿宋_GB2312" w:eastAsia="仿宋_GB2312" w:cs="仿宋_GB2312"/>
          <w:sz w:val="32"/>
          <w:szCs w:val="32"/>
          <w:lang w:val="zh-CN"/>
        </w:rPr>
        <w:t>基础管理：①2015年起我局就修定了《壤塘县民政局机关管理制度》，该管理制度中包括会议制定、学习制度、工作制度、请销假制度、后勤保障制度、财经管理制度、党风廉政建设制度，近年来又逐步完善了专项资金管理、资产管理、票据管理、厉行节约管理措施等规章制度，并于20</w:t>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val="zh-CN"/>
        </w:rPr>
        <w:t>年又制定了壤塘县民政局机关事业单位工作人员管理办法和民政局目标管理考核办法等。年底时以《20</w:t>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val="zh-CN"/>
        </w:rPr>
        <w:t>年壤塘县民政局目标管理考核办法》对机关股室、县社会福利服务中心及敬老院进行考核。总的来说我单位积极履职，强化管理，较好的完成了年度工作目标。通过加强预算收支管理，不断建立健全内部管理制度，梳理内部管理流程，部门整体支出管理水平得到提升。②年度支出的所有资金均由县财政局国库支付，支出符合国家财经法规和财务管理制度规定以及有关专项资金管理办法的规定；资金拨付有完整的审批程序和手续；资金使用无截留、挤占、挪用、虚列支出等情况 ；③制定了相应的财务监控监督措施， 执行监控监督措施执行力度不够，有待进一步加强。分值</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分，自评得分</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分。</w:t>
      </w:r>
    </w:p>
    <w:p w14:paraId="0F16BFC2">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行政成本：202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 “三公”经费预算数为</w:t>
      </w:r>
      <w:r>
        <w:rPr>
          <w:rFonts w:hint="eastAsia" w:ascii="仿宋_GB2312" w:hAnsi="仿宋_GB2312" w:eastAsia="仿宋_GB2312" w:cs="仿宋_GB2312"/>
          <w:sz w:val="32"/>
          <w:szCs w:val="32"/>
        </w:rPr>
        <w:t>11.32</w:t>
      </w:r>
      <w:r>
        <w:rPr>
          <w:rFonts w:hint="eastAsia" w:ascii="仿宋_GB2312" w:hAnsi="仿宋_GB2312" w:eastAsia="仿宋_GB2312" w:cs="仿宋_GB2312"/>
          <w:sz w:val="32"/>
          <w:szCs w:val="32"/>
          <w:lang w:val="zh-CN"/>
        </w:rPr>
        <w:t>万元，部门决算数为</w:t>
      </w:r>
      <w:r>
        <w:rPr>
          <w:rFonts w:hint="eastAsia" w:ascii="仿宋_GB2312" w:hAnsi="仿宋_GB2312" w:eastAsia="仿宋_GB2312" w:cs="仿宋_GB2312"/>
          <w:sz w:val="32"/>
          <w:szCs w:val="32"/>
        </w:rPr>
        <w:t>11.32</w:t>
      </w:r>
      <w:r>
        <w:rPr>
          <w:rFonts w:hint="eastAsia" w:ascii="仿宋_GB2312" w:hAnsi="仿宋_GB2312" w:eastAsia="仿宋_GB2312" w:cs="仿宋_GB2312"/>
          <w:sz w:val="32"/>
          <w:szCs w:val="32"/>
          <w:lang w:val="zh-CN"/>
        </w:rPr>
        <w:t>万元，完成预算数的100%，无超预算现象,分值</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分，自评得分</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分。</w:t>
      </w:r>
    </w:p>
    <w:p w14:paraId="4F6D7501">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政府采购：202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年我单位政府采购项目均按相关程序进行，所有程序合规、合法。满分1分，单位自评得分1分。</w:t>
      </w:r>
    </w:p>
    <w:p w14:paraId="65E197C2">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资产管理：我单位资产由办公室统一分配管理，建立了资产管理台账，资产在用率达95%以上，分值为2分，自评得分2分。</w:t>
      </w:r>
    </w:p>
    <w:p w14:paraId="332B9891">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信息公开：202</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年部门预算和决算根据财政相关要求，在预算、决算批复后规定的工作日及时在政府门户网上进行公开，公开数据合法、真实，满分</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分，单位自评得分2分。</w:t>
      </w:r>
    </w:p>
    <w:p w14:paraId="7D88998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（4）从履职效能看（重点任务完成情况看）</w:t>
      </w:r>
    </w:p>
    <w:p w14:paraId="2E4482F7">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重点任务一：困难群众救助项目（即：</w:t>
      </w:r>
      <w:r>
        <w:rPr>
          <w:rFonts w:hint="eastAsia" w:ascii="仿宋_GB2312" w:hAnsi="仿宋_GB2312" w:eastAsia="仿宋_GB2312" w:cs="仿宋_GB2312"/>
          <w:sz w:val="32"/>
          <w:szCs w:val="32"/>
        </w:rPr>
        <w:t>城乡低保、</w:t>
      </w:r>
      <w:r>
        <w:rPr>
          <w:rFonts w:hint="eastAsia" w:ascii="仿宋_GB2312" w:hAnsi="仿宋_GB2312" w:eastAsia="仿宋_GB2312" w:cs="仿宋_GB2312"/>
          <w:sz w:val="32"/>
          <w:szCs w:val="32"/>
          <w:lang w:val="zh-CN"/>
        </w:rPr>
        <w:t>特困人员救助、临时救助、儿童福利）绩效目标完成情况综述。项目全年预算数</w:t>
      </w:r>
      <w:r>
        <w:rPr>
          <w:rFonts w:hint="eastAsia" w:ascii="仿宋_GB2312" w:hAnsi="仿宋_GB2312" w:eastAsia="仿宋_GB2312" w:cs="仿宋_GB2312"/>
          <w:sz w:val="32"/>
          <w:szCs w:val="32"/>
        </w:rPr>
        <w:t>1266.22</w:t>
      </w:r>
      <w:r>
        <w:rPr>
          <w:rFonts w:hint="eastAsia" w:ascii="仿宋_GB2312" w:hAnsi="仿宋_GB2312" w:eastAsia="仿宋_GB2312" w:cs="仿宋_GB2312"/>
          <w:sz w:val="32"/>
          <w:szCs w:val="32"/>
          <w:lang w:val="zh-CN"/>
        </w:rPr>
        <w:t>万元，执行数为</w:t>
      </w:r>
      <w:r>
        <w:rPr>
          <w:rFonts w:hint="eastAsia" w:ascii="仿宋_GB2312" w:hAnsi="仿宋_GB2312" w:eastAsia="仿宋_GB2312" w:cs="仿宋_GB2312"/>
          <w:sz w:val="32"/>
          <w:szCs w:val="32"/>
        </w:rPr>
        <w:t>5872.08</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超额完成预算数</w:t>
      </w:r>
      <w:r>
        <w:rPr>
          <w:rFonts w:hint="eastAsia" w:ascii="仿宋_GB2312" w:hAnsi="仿宋_GB2312" w:eastAsia="仿宋_GB2312" w:cs="仿宋_GB2312"/>
          <w:sz w:val="32"/>
          <w:szCs w:val="32"/>
          <w:lang w:val="zh-CN"/>
        </w:rPr>
        <w:t>。通过项目实施，保障</w:t>
      </w:r>
      <w:r>
        <w:rPr>
          <w:rFonts w:hint="eastAsia" w:ascii="仿宋_GB2312" w:hAnsi="仿宋_GB2312" w:eastAsia="仿宋_GB2312" w:cs="仿宋_GB2312"/>
          <w:sz w:val="32"/>
          <w:szCs w:val="32"/>
        </w:rPr>
        <w:t>1244</w:t>
      </w:r>
      <w:r>
        <w:rPr>
          <w:rFonts w:hint="eastAsia" w:ascii="仿宋_GB2312" w:hAnsi="仿宋_GB2312" w:eastAsia="仿宋_GB2312" w:cs="仿宋_GB2312"/>
          <w:sz w:val="32"/>
          <w:szCs w:val="32"/>
          <w:lang w:val="zh-CN"/>
        </w:rPr>
        <w:t>名特困人员和</w:t>
      </w:r>
      <w:r>
        <w:rPr>
          <w:rFonts w:hint="eastAsia" w:ascii="仿宋_GB2312" w:hAnsi="仿宋_GB2312" w:eastAsia="仿宋_GB2312" w:cs="仿宋_GB2312"/>
          <w:color w:val="000000" w:themeColor="text1"/>
          <w:sz w:val="32"/>
          <w:szCs w:val="32"/>
          <w:lang w:val="zh-CN"/>
        </w:rPr>
        <w:t>1</w:t>
      </w:r>
      <w:r>
        <w:rPr>
          <w:rFonts w:hint="eastAsia"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lang w:val="zh-CN"/>
        </w:rPr>
        <w:t>名孤儿和</w:t>
      </w:r>
      <w:r>
        <w:rPr>
          <w:rFonts w:hint="eastAsia" w:ascii="仿宋_GB2312" w:hAnsi="仿宋_GB2312" w:eastAsia="仿宋_GB2312" w:cs="仿宋_GB2312"/>
          <w:color w:val="000000" w:themeColor="text1"/>
          <w:sz w:val="32"/>
          <w:szCs w:val="32"/>
        </w:rPr>
        <w:t>21</w:t>
      </w:r>
      <w:r>
        <w:rPr>
          <w:rFonts w:hint="eastAsia" w:ascii="仿宋_GB2312" w:hAnsi="仿宋_GB2312" w:eastAsia="仿宋_GB2312" w:cs="仿宋_GB2312"/>
          <w:sz w:val="32"/>
          <w:szCs w:val="32"/>
          <w:lang w:val="zh-CN"/>
        </w:rPr>
        <w:t>名无人抚养事实孤儿、</w:t>
      </w:r>
      <w:r>
        <w:rPr>
          <w:rFonts w:hint="eastAsia" w:ascii="仿宋_GB2312" w:hAnsi="仿宋_GB2312" w:eastAsia="仿宋_GB2312" w:cs="仿宋_GB2312"/>
          <w:sz w:val="32"/>
          <w:szCs w:val="32"/>
        </w:rPr>
        <w:t>344</w:t>
      </w:r>
      <w:r>
        <w:rPr>
          <w:rFonts w:hint="eastAsia" w:ascii="仿宋_GB2312" w:hAnsi="仿宋_GB2312" w:eastAsia="仿宋_GB2312" w:cs="仿宋_GB2312"/>
          <w:sz w:val="32"/>
          <w:szCs w:val="32"/>
          <w:lang w:val="zh-CN"/>
        </w:rPr>
        <w:t>名临时救助对象基本生活和保障了困难群众因突发性、临时性造成的生活困难，能有效、及时的给予救助，提高困难群众的生活水平，促进了社会和谐稳定，取得了较好的社会效益和经济效益。分值为</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分，自评得分</w:t>
      </w:r>
      <w:r>
        <w:rPr>
          <w:rFonts w:hint="eastAsia" w:ascii="仿宋_GB2312" w:hAnsi="仿宋_GB2312" w:eastAsia="仿宋_GB2312" w:cs="仿宋_GB2312"/>
          <w:sz w:val="32"/>
          <w:szCs w:val="32"/>
        </w:rPr>
        <w:t>11.5</w:t>
      </w:r>
      <w:r>
        <w:rPr>
          <w:rFonts w:hint="eastAsia" w:ascii="仿宋_GB2312" w:hAnsi="仿宋_GB2312" w:eastAsia="仿宋_GB2312" w:cs="仿宋_GB2312"/>
          <w:sz w:val="32"/>
          <w:szCs w:val="32"/>
          <w:lang w:val="zh-CN"/>
        </w:rPr>
        <w:t>分。</w:t>
      </w:r>
    </w:p>
    <w:p w14:paraId="028CB022">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（二）存在问题</w:t>
      </w:r>
    </w:p>
    <w:p w14:paraId="28E08D1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绩效意识比较薄弱。尽管我单位将部门预算编制纳入绩效管理的理念引入到实际工作中，但对预算绩效管理仍缺乏足够重视，一直把部门预算的分配情况和数据编制视为重点，但在预算数据的支出绩效评价上不予关注和重视。只重视资金项目的申报，忽视项目资金所产生的社会效益。</w:t>
      </w:r>
    </w:p>
    <w:p w14:paraId="1352AA6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2、缺乏绩效评价的管理方案。目前我单位部门预算绩效评价仍需改进，需建立更加完善的绩效评价依据及体系。</w:t>
      </w:r>
    </w:p>
    <w:p w14:paraId="1CA1C64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3、评价分析还不够全面。</w:t>
      </w:r>
    </w:p>
    <w:p w14:paraId="76CFB82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4、预算监督机制不够健全。</w:t>
      </w:r>
    </w:p>
    <w:p w14:paraId="0D0EF59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5、缺乏相关的绩效考评业务知识。</w:t>
      </w:r>
    </w:p>
    <w:p w14:paraId="28888DF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6、民政资金发放政策宣传力度不够，部分群众对政策不够了解。</w:t>
      </w:r>
    </w:p>
    <w:p w14:paraId="2A55FED9">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（三）改进建议</w:t>
      </w:r>
    </w:p>
    <w:p w14:paraId="5208DC6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1、建立完善的绩效评价管理方案。</w:t>
      </w:r>
    </w:p>
    <w:p w14:paraId="31F10C6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建立相关的机制来了解各股室资金的需求，通过调查、结果分析，对不同的股室进行不同的资金安排，做到部门预算明确化并对资金流向进行监督、追踪，定期进行检查，利用有限的资金去做更多有益的事情。</w:t>
      </w:r>
    </w:p>
    <w:p w14:paraId="0AFB34E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3、财政部门应对相关人员进行专业的绩效考评知识培训，让我们能清晰了解、掌握预算绩效管理业务知识，更好的运用到实际工作和管理上去。</w:t>
      </w:r>
    </w:p>
    <w:p w14:paraId="5C68D14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4、加强和完善预算编制管理和预算执行分析，提高运行效率和使用效益，牢牢把握预算执行分析工作真实性、及时性和全</w:t>
      </w:r>
      <w:r>
        <w:rPr>
          <w:rFonts w:hint="eastAsia" w:ascii="仿宋_GB2312" w:hAnsi="仿宋_GB2312" w:eastAsia="仿宋_GB2312" w:cs="仿宋_GB2312"/>
          <w:kern w:val="0"/>
          <w:sz w:val="32"/>
          <w:szCs w:val="32"/>
          <w:shd w:val="clear" w:color="auto" w:fill="FFFFFF"/>
          <w:lang w:val="zh-CN"/>
        </w:rPr>
        <w:t>面性，及</w:t>
      </w:r>
      <w:r>
        <w:rPr>
          <w:rFonts w:hint="eastAsia" w:ascii="仿宋_GB2312" w:hAnsi="仿宋_GB2312" w:eastAsia="仿宋_GB2312" w:cs="仿宋_GB2312"/>
          <w:sz w:val="32"/>
          <w:szCs w:val="32"/>
          <w:lang w:val="zh-CN"/>
        </w:rPr>
        <w:t>时跟踪预算执行动态变化过程，重点研究预算执行过程中出现的各种问题，强化预算执行全过程的管理，提供详实准确的预算执行数据，并准确预测预算收支的发展趋势，进一步提高财政预算的管理和决策水平。</w:t>
      </w:r>
    </w:p>
    <w:p w14:paraId="113F7EA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5、加大民政资金宣传力度，确保保障对象政策知晓率、覆盖率达100%。</w:t>
      </w:r>
    </w:p>
    <w:p w14:paraId="2899888C">
      <w:pPr>
        <w:rPr>
          <w:lang w:val="zh-CN"/>
        </w:rPr>
      </w:pPr>
    </w:p>
    <w:p w14:paraId="01586F53">
      <w:pPr>
        <w:pStyle w:val="3"/>
        <w:spacing w:before="93"/>
        <w:rPr>
          <w:rFonts w:hAnsi="宋体" w:cs="宋体"/>
          <w:sz w:val="32"/>
          <w:szCs w:val="32"/>
          <w:shd w:val="clear" w:color="auto" w:fill="FFFFFF"/>
          <w:lang w:val="zh-CN"/>
        </w:rPr>
      </w:pPr>
    </w:p>
    <w:p w14:paraId="12DA6726">
      <w:pPr>
        <w:pStyle w:val="3"/>
        <w:spacing w:before="93"/>
        <w:rPr>
          <w:rFonts w:hAnsi="宋体" w:cs="宋体"/>
          <w:sz w:val="32"/>
          <w:szCs w:val="32"/>
          <w:shd w:val="clear" w:color="auto" w:fill="FFFFFF"/>
          <w:lang w:val="zh-CN"/>
        </w:rPr>
      </w:pPr>
    </w:p>
    <w:p w14:paraId="491CE662">
      <w:pPr>
        <w:pStyle w:val="3"/>
        <w:spacing w:before="93"/>
        <w:rPr>
          <w:rFonts w:hAnsi="宋体" w:cs="宋体"/>
          <w:sz w:val="32"/>
          <w:szCs w:val="32"/>
          <w:shd w:val="clear" w:color="auto" w:fill="FFFFFF"/>
          <w:lang w:val="zh-CN"/>
        </w:rPr>
      </w:pPr>
    </w:p>
    <w:p w14:paraId="1BE2C1C7">
      <w:pPr>
        <w:pStyle w:val="3"/>
        <w:spacing w:before="93"/>
        <w:rPr>
          <w:rFonts w:hAnsi="宋体" w:cs="宋体"/>
          <w:sz w:val="32"/>
          <w:szCs w:val="32"/>
          <w:shd w:val="clear" w:color="auto" w:fill="FFFFFF"/>
          <w:lang w:val="zh-CN"/>
        </w:rPr>
      </w:pPr>
    </w:p>
    <w:p w14:paraId="2F92AB65">
      <w:pPr>
        <w:pStyle w:val="3"/>
        <w:spacing w:before="93"/>
        <w:rPr>
          <w:rFonts w:hAnsi="宋体" w:cs="宋体"/>
          <w:sz w:val="32"/>
          <w:szCs w:val="32"/>
          <w:shd w:val="clear" w:color="auto" w:fill="FFFFFF"/>
          <w:lang w:val="zh-CN"/>
        </w:rPr>
      </w:pPr>
    </w:p>
    <w:p w14:paraId="1E4DBF16">
      <w:pPr>
        <w:pStyle w:val="3"/>
        <w:spacing w:before="93"/>
        <w:rPr>
          <w:rFonts w:hAnsi="宋体" w:cs="宋体"/>
          <w:sz w:val="32"/>
          <w:szCs w:val="32"/>
          <w:shd w:val="clear" w:color="auto" w:fill="FFFFFF"/>
          <w:lang w:val="zh-CN"/>
        </w:rPr>
      </w:pPr>
    </w:p>
    <w:p w14:paraId="7E42858C">
      <w:pPr>
        <w:pStyle w:val="3"/>
        <w:spacing w:before="93"/>
        <w:rPr>
          <w:rFonts w:hAnsi="宋体" w:cs="宋体"/>
          <w:sz w:val="32"/>
          <w:szCs w:val="32"/>
          <w:shd w:val="clear" w:color="auto" w:fill="FFFFFF"/>
          <w:lang w:val="zh-CN"/>
        </w:rPr>
      </w:pPr>
    </w:p>
    <w:p w14:paraId="047F213A">
      <w:pPr>
        <w:pStyle w:val="3"/>
        <w:spacing w:before="93"/>
        <w:rPr>
          <w:rFonts w:hAnsi="宋体" w:cs="宋体"/>
          <w:sz w:val="32"/>
          <w:szCs w:val="32"/>
          <w:shd w:val="clear" w:color="auto" w:fill="FFFFFF"/>
          <w:lang w:val="zh-CN"/>
        </w:rPr>
      </w:pPr>
    </w:p>
    <w:p w14:paraId="298311B2">
      <w:pPr>
        <w:pStyle w:val="3"/>
        <w:spacing w:before="93"/>
        <w:rPr>
          <w:rFonts w:hAnsi="宋体" w:cs="宋体"/>
          <w:sz w:val="32"/>
          <w:szCs w:val="32"/>
          <w:shd w:val="clear" w:color="auto" w:fill="FFFFFF"/>
          <w:lang w:val="zh-CN"/>
        </w:rPr>
      </w:pPr>
    </w:p>
    <w:p w14:paraId="0538B4DC">
      <w:pPr>
        <w:pStyle w:val="3"/>
        <w:spacing w:before="93"/>
        <w:rPr>
          <w:rFonts w:hAnsi="宋体" w:cs="宋体"/>
          <w:sz w:val="32"/>
          <w:szCs w:val="32"/>
          <w:shd w:val="clear" w:color="auto" w:fill="FFFFFF"/>
          <w:lang w:val="zh-CN"/>
        </w:rPr>
      </w:pPr>
    </w:p>
    <w:p w14:paraId="63F16C82">
      <w:pPr>
        <w:spacing w:line="600" w:lineRule="exact"/>
        <w:jc w:val="center"/>
        <w:outlineLvl w:val="0"/>
        <w:rPr>
          <w:rFonts w:ascii="仿宋" w:hAnsi="仿宋" w:eastAsia="仿宋"/>
          <w:sz w:val="52"/>
          <w:szCs w:val="52"/>
        </w:rPr>
      </w:pPr>
      <w:bookmarkStart w:id="55" w:name="_Toc15396618"/>
      <w:r>
        <w:rPr>
          <w:rFonts w:hint="eastAsia" w:ascii="黑体" w:hAnsi="黑体" w:eastAsia="黑体"/>
          <w:sz w:val="52"/>
          <w:szCs w:val="52"/>
        </w:rPr>
        <w:t>第</w:t>
      </w:r>
      <w:r>
        <w:rPr>
          <w:rStyle w:val="28"/>
          <w:rFonts w:hint="eastAsia" w:ascii="黑体" w:hAnsi="黑体" w:eastAsia="黑体"/>
          <w:b w:val="0"/>
          <w:sz w:val="52"/>
          <w:szCs w:val="52"/>
        </w:rPr>
        <w:t>五部分 附表</w:t>
      </w:r>
      <w:bookmarkEnd w:id="52"/>
      <w:bookmarkEnd w:id="55"/>
      <w:bookmarkStart w:id="56" w:name="_Toc15396619"/>
    </w:p>
    <w:p w14:paraId="4B904BE9">
      <w:pPr>
        <w:pStyle w:val="5"/>
        <w:ind w:firstLine="640" w:firstLineChars="200"/>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56"/>
    </w:p>
    <w:p w14:paraId="56561CB5">
      <w:pPr>
        <w:pStyle w:val="5"/>
        <w:ind w:firstLine="640" w:firstLineChars="200"/>
        <w:rPr>
          <w:rFonts w:ascii="仿宋" w:hAnsi="仿宋" w:eastAsia="仿宋"/>
        </w:rPr>
      </w:pPr>
      <w:bookmarkStart w:id="57" w:name="_Toc15396620"/>
      <w:r>
        <w:rPr>
          <w:rFonts w:hint="eastAsia" w:ascii="仿宋" w:hAnsi="仿宋" w:eastAsia="仿宋"/>
          <w:b w:val="0"/>
        </w:rPr>
        <w:t>二、收</w:t>
      </w:r>
      <w:r>
        <w:rPr>
          <w:rStyle w:val="29"/>
          <w:rFonts w:hint="eastAsia" w:ascii="仿宋" w:hAnsi="仿宋" w:eastAsia="仿宋"/>
          <w:b w:val="0"/>
          <w:bCs w:val="0"/>
        </w:rPr>
        <w:t>入决算表</w:t>
      </w:r>
      <w:bookmarkEnd w:id="57"/>
    </w:p>
    <w:p w14:paraId="353095DE">
      <w:pPr>
        <w:pStyle w:val="5"/>
        <w:ind w:firstLine="640" w:firstLineChars="200"/>
        <w:rPr>
          <w:rFonts w:ascii="仿宋" w:hAnsi="仿宋" w:eastAsia="仿宋"/>
        </w:rPr>
      </w:pPr>
      <w:bookmarkStart w:id="58"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58"/>
    </w:p>
    <w:p w14:paraId="1AF2E50E">
      <w:pPr>
        <w:pStyle w:val="5"/>
        <w:ind w:firstLine="640" w:firstLineChars="200"/>
        <w:rPr>
          <w:rFonts w:ascii="仿宋" w:hAnsi="仿宋" w:eastAsia="仿宋"/>
          <w:b w:val="0"/>
        </w:rPr>
      </w:pPr>
      <w:bookmarkStart w:id="59"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59"/>
    </w:p>
    <w:p w14:paraId="70BAD7F7">
      <w:pPr>
        <w:pStyle w:val="5"/>
        <w:ind w:firstLine="640" w:firstLineChars="200"/>
        <w:rPr>
          <w:rStyle w:val="29"/>
          <w:rFonts w:ascii="仿宋" w:hAnsi="仿宋" w:eastAsia="仿宋"/>
          <w:b w:val="0"/>
          <w:bCs w:val="0"/>
        </w:rPr>
      </w:pPr>
      <w:bookmarkStart w:id="60"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60"/>
      <w:bookmarkStart w:id="61" w:name="_Toc15396624"/>
    </w:p>
    <w:p w14:paraId="5DD59D22">
      <w:pPr>
        <w:pStyle w:val="5"/>
        <w:ind w:firstLine="640" w:firstLineChars="200"/>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1"/>
    </w:p>
    <w:p w14:paraId="489CBC32">
      <w:pPr>
        <w:pStyle w:val="5"/>
        <w:ind w:firstLine="640" w:firstLineChars="200"/>
        <w:rPr>
          <w:rFonts w:ascii="仿宋" w:hAnsi="仿宋" w:eastAsia="仿宋"/>
        </w:rPr>
      </w:pPr>
      <w:bookmarkStart w:id="62"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2"/>
    </w:p>
    <w:p w14:paraId="56A04D88">
      <w:pPr>
        <w:pStyle w:val="5"/>
        <w:ind w:firstLine="640" w:firstLineChars="200"/>
        <w:rPr>
          <w:rFonts w:ascii="仿宋" w:hAnsi="仿宋" w:eastAsia="仿宋"/>
        </w:rPr>
      </w:pPr>
      <w:bookmarkStart w:id="63"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3"/>
    </w:p>
    <w:p w14:paraId="53043D65">
      <w:pPr>
        <w:pStyle w:val="5"/>
        <w:ind w:firstLine="640" w:firstLineChars="200"/>
        <w:rPr>
          <w:rFonts w:ascii="仿宋" w:hAnsi="仿宋" w:eastAsia="仿宋"/>
        </w:rPr>
      </w:pPr>
      <w:bookmarkStart w:id="64"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64"/>
    </w:p>
    <w:p w14:paraId="76343D3B">
      <w:pPr>
        <w:pStyle w:val="5"/>
        <w:ind w:firstLine="640" w:firstLineChars="200"/>
        <w:rPr>
          <w:rFonts w:ascii="仿宋" w:hAnsi="仿宋" w:eastAsia="仿宋"/>
        </w:rPr>
      </w:pPr>
      <w:bookmarkStart w:id="65" w:name="_Toc15396628"/>
      <w:r>
        <w:rPr>
          <w:rStyle w:val="29"/>
          <w:rFonts w:hint="eastAsia" w:ascii="仿宋" w:hAnsi="仿宋" w:eastAsia="仿宋"/>
          <w:b w:val="0"/>
          <w:bCs w:val="0"/>
        </w:rPr>
        <w:t>十、</w:t>
      </w:r>
      <w:bookmarkEnd w:id="65"/>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13E57401">
      <w:pPr>
        <w:pStyle w:val="5"/>
        <w:ind w:firstLine="640" w:firstLineChars="200"/>
        <w:rPr>
          <w:rFonts w:ascii="仿宋" w:hAnsi="仿宋" w:eastAsia="仿宋"/>
        </w:rPr>
      </w:pPr>
      <w:bookmarkStart w:id="66" w:name="_Toc15396629"/>
      <w:r>
        <w:rPr>
          <w:rStyle w:val="29"/>
          <w:rFonts w:hint="eastAsia" w:ascii="仿宋" w:hAnsi="仿宋" w:eastAsia="仿宋"/>
          <w:b w:val="0"/>
          <w:bCs w:val="0"/>
        </w:rPr>
        <w:t>十一、</w:t>
      </w:r>
      <w:bookmarkEnd w:id="66"/>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760AF77C">
      <w:pPr>
        <w:pStyle w:val="5"/>
        <w:ind w:firstLine="640" w:firstLineChars="200"/>
        <w:rPr>
          <w:rFonts w:ascii="仿宋" w:hAnsi="仿宋" w:eastAsia="仿宋"/>
        </w:rPr>
      </w:pPr>
      <w:bookmarkStart w:id="67" w:name="_Toc15396630"/>
      <w:r>
        <w:rPr>
          <w:rStyle w:val="29"/>
          <w:rFonts w:hint="eastAsia" w:ascii="仿宋" w:hAnsi="仿宋" w:eastAsia="仿宋"/>
          <w:b w:val="0"/>
          <w:bCs w:val="0"/>
        </w:rPr>
        <w:t>十二、</w:t>
      </w:r>
      <w:bookmarkEnd w:id="67"/>
      <w:r>
        <w:rPr>
          <w:rStyle w:val="29"/>
          <w:rFonts w:hint="eastAsia" w:ascii="仿宋" w:hAnsi="仿宋" w:eastAsia="仿宋"/>
          <w:b w:val="0"/>
          <w:bCs w:val="0"/>
        </w:rPr>
        <w:t>国有资本经营预算财政拨款支出决算表</w:t>
      </w:r>
    </w:p>
    <w:p w14:paraId="1F402FC2">
      <w:pPr>
        <w:pStyle w:val="5"/>
        <w:ind w:firstLine="640" w:firstLineChars="200"/>
        <w:rPr>
          <w:rFonts w:eastAsia="仿宋"/>
        </w:rPr>
      </w:pPr>
      <w:bookmarkStart w:id="68" w:name="_Toc15396631"/>
      <w:r>
        <w:rPr>
          <w:rStyle w:val="29"/>
          <w:rFonts w:hint="eastAsia" w:ascii="仿宋" w:hAnsi="仿宋" w:eastAsia="仿宋"/>
          <w:b w:val="0"/>
          <w:bCs w:val="0"/>
        </w:rPr>
        <w:t>十三、</w:t>
      </w:r>
      <w:bookmarkEnd w:id="68"/>
      <w:r>
        <w:rPr>
          <w:rStyle w:val="29"/>
          <w:rFonts w:hint="eastAsia" w:ascii="仿宋" w:hAnsi="仿宋" w:eastAsia="仿宋"/>
          <w:b w:val="0"/>
          <w:bCs w:val="0"/>
        </w:rPr>
        <w:t>财政拨款“三公”经费支出决算表</w:t>
      </w:r>
    </w:p>
    <w:sectPr>
      <w:headerReference r:id="rId3" w:type="default"/>
      <w:footerReference r:id="rId4" w:type="default"/>
      <w:pgSz w:w="11906" w:h="16838"/>
      <w:pgMar w:top="1440" w:right="1236" w:bottom="1440" w:left="1236"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D36AE48">
        <w:pPr>
          <w:pStyle w:val="11"/>
          <w:jc w:val="center"/>
        </w:pPr>
        <w:r>
          <w:fldChar w:fldCharType="begin"/>
        </w:r>
        <w:r>
          <w:instrText xml:space="preserve">PAGE   \* MERGEFORMAT</w:instrText>
        </w:r>
        <w:r>
          <w:fldChar w:fldCharType="separate"/>
        </w:r>
        <w:r>
          <w:rPr>
            <w:lang w:val="zh-CN"/>
          </w:rPr>
          <w:t>2</w:t>
        </w:r>
        <w:r>
          <w:fldChar w:fldCharType="end"/>
        </w:r>
      </w:p>
    </w:sdtContent>
  </w:sdt>
  <w:p w14:paraId="4C6ADA4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70B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F69D16C"/>
    <w:multiLevelType w:val="singleLevel"/>
    <w:tmpl w:val="EF69D16C"/>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JiM2NhYWQ4MmNjZDhhNTQwNGI4YTE5MzdhYTNiOW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06B6"/>
    <w:rsid w:val="007808EF"/>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368C"/>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4B40"/>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F07F0"/>
    <w:rsid w:val="015975B8"/>
    <w:rsid w:val="02143E91"/>
    <w:rsid w:val="06550E15"/>
    <w:rsid w:val="066E0107"/>
    <w:rsid w:val="07996F6E"/>
    <w:rsid w:val="07EC0C40"/>
    <w:rsid w:val="0A2032A3"/>
    <w:rsid w:val="0F98263C"/>
    <w:rsid w:val="101860EC"/>
    <w:rsid w:val="10C055FF"/>
    <w:rsid w:val="118107EC"/>
    <w:rsid w:val="13D50BC4"/>
    <w:rsid w:val="16BB723D"/>
    <w:rsid w:val="16FA7463"/>
    <w:rsid w:val="1BE8440E"/>
    <w:rsid w:val="1C1461AC"/>
    <w:rsid w:val="1D155CEE"/>
    <w:rsid w:val="1EF95861"/>
    <w:rsid w:val="1FF35744"/>
    <w:rsid w:val="23860B96"/>
    <w:rsid w:val="240371BF"/>
    <w:rsid w:val="29FD04D3"/>
    <w:rsid w:val="2C8A61B5"/>
    <w:rsid w:val="2DD83AC8"/>
    <w:rsid w:val="2DF04E50"/>
    <w:rsid w:val="2ECE562C"/>
    <w:rsid w:val="2F040D46"/>
    <w:rsid w:val="300E44B6"/>
    <w:rsid w:val="31157ECB"/>
    <w:rsid w:val="319F7F4E"/>
    <w:rsid w:val="3304709D"/>
    <w:rsid w:val="36AA5135"/>
    <w:rsid w:val="376D39B2"/>
    <w:rsid w:val="37E16F03"/>
    <w:rsid w:val="38D469F0"/>
    <w:rsid w:val="3CB01B4D"/>
    <w:rsid w:val="3D98207C"/>
    <w:rsid w:val="3E78745D"/>
    <w:rsid w:val="418304D5"/>
    <w:rsid w:val="439815FE"/>
    <w:rsid w:val="44E268DA"/>
    <w:rsid w:val="4A627F82"/>
    <w:rsid w:val="4B0E749A"/>
    <w:rsid w:val="4B4F25DA"/>
    <w:rsid w:val="4BE068DB"/>
    <w:rsid w:val="4D577224"/>
    <w:rsid w:val="4EAB630A"/>
    <w:rsid w:val="4ECE2238"/>
    <w:rsid w:val="4FB3346A"/>
    <w:rsid w:val="537E6D0A"/>
    <w:rsid w:val="5AF92295"/>
    <w:rsid w:val="5CD71FC4"/>
    <w:rsid w:val="5F9C1774"/>
    <w:rsid w:val="6797552A"/>
    <w:rsid w:val="6C4A05C8"/>
    <w:rsid w:val="6C5A3640"/>
    <w:rsid w:val="6E115974"/>
    <w:rsid w:val="6E7E3605"/>
    <w:rsid w:val="6FF5CC65"/>
    <w:rsid w:val="715C0E4B"/>
    <w:rsid w:val="72734D90"/>
    <w:rsid w:val="73AD73D5"/>
    <w:rsid w:val="73B6EB34"/>
    <w:rsid w:val="73FE5892"/>
    <w:rsid w:val="744731E5"/>
    <w:rsid w:val="76E3355F"/>
    <w:rsid w:val="778769C8"/>
    <w:rsid w:val="79EE5BA4"/>
    <w:rsid w:val="7A894339"/>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rPr>
  </w:style>
  <w:style w:type="paragraph" w:styleId="3">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3"/>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Sheet1!$A$2:$A$5</c:f>
              <c:strCache>
                <c:ptCount val="4"/>
                <c:pt idx="0">
                  <c:v>2021年收入总计</c:v>
                </c:pt>
                <c:pt idx="1">
                  <c:v>2022年收入总计</c:v>
                </c:pt>
                <c:pt idx="2">
                  <c:v>2021年支出总计</c:v>
                </c:pt>
                <c:pt idx="3">
                  <c:v>2022年支出总计</c:v>
                </c:pt>
              </c:strCache>
            </c:strRef>
          </c:cat>
          <c:val>
            <c:numRef>
              <c:f>Sheet1!$B$2:$B$5</c:f>
              <c:numCache>
                <c:formatCode>General</c:formatCode>
                <c:ptCount val="4"/>
                <c:pt idx="0">
                  <c:v>1131.94</c:v>
                </c:pt>
                <c:pt idx="1">
                  <c:v>1189.12</c:v>
                </c:pt>
                <c:pt idx="2">
                  <c:v>1213.56</c:v>
                </c:pt>
                <c:pt idx="3">
                  <c:v>1196.95</c:v>
                </c:pt>
              </c:numCache>
            </c:numRef>
          </c:val>
        </c:ser>
        <c:dLbls>
          <c:showLegendKey val="0"/>
          <c:showVal val="0"/>
          <c:showCatName val="0"/>
          <c:showSerName val="0"/>
          <c:showPercent val="0"/>
          <c:showBubbleSize val="0"/>
        </c:dLbls>
        <c:gapWidth val="219"/>
        <c:overlap val="-27"/>
        <c:axId val="102322560"/>
        <c:axId val="102324096"/>
      </c:barChart>
      <c:catAx>
        <c:axId val="1023225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324096"/>
        <c:crosses val="autoZero"/>
        <c:auto val="1"/>
        <c:lblAlgn val="ctr"/>
        <c:lblOffset val="100"/>
        <c:noMultiLvlLbl val="0"/>
      </c:catAx>
      <c:valAx>
        <c:axId val="10232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3225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8ae423a-bf10-4538-b274-7742091607a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1189.12</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556427278213639"/>
          <c:y val="0.721490325236723"/>
          <c:w val="0.842607121303561"/>
          <c:h val="0.26121860848085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c8a7e45-7db4-4b85-a637-02082562015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1196.95</c:v>
                </c:pt>
                <c:pt idx="1">
                  <c:v>0</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cfa7106-34a4-42ae-9373-3aec17060cc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Sheet1!$A$2:$A$5</c:f>
              <c:strCache>
                <c:ptCount val="4"/>
                <c:pt idx="0">
                  <c:v>2021年收入总计</c:v>
                </c:pt>
                <c:pt idx="1">
                  <c:v>2022年收入总计</c:v>
                </c:pt>
                <c:pt idx="2">
                  <c:v>2021年支出总计</c:v>
                </c:pt>
                <c:pt idx="3">
                  <c:v>2022年支出总计</c:v>
                </c:pt>
              </c:strCache>
            </c:strRef>
          </c:cat>
          <c:val>
            <c:numRef>
              <c:f>Sheet1!$B$2:$B$5</c:f>
              <c:numCache>
                <c:formatCode>General</c:formatCode>
                <c:ptCount val="4"/>
                <c:pt idx="0">
                  <c:v>1131.94</c:v>
                </c:pt>
                <c:pt idx="1">
                  <c:v>1189.12</c:v>
                </c:pt>
                <c:pt idx="2">
                  <c:v>1213.56</c:v>
                </c:pt>
                <c:pt idx="3">
                  <c:v>1196.95</c:v>
                </c:pt>
              </c:numCache>
            </c:numRef>
          </c:val>
        </c:ser>
        <c:dLbls>
          <c:showLegendKey val="0"/>
          <c:showVal val="0"/>
          <c:showCatName val="0"/>
          <c:showSerName val="0"/>
          <c:showPercent val="0"/>
          <c:showBubbleSize val="0"/>
        </c:dLbls>
        <c:gapWidth val="219"/>
        <c:overlap val="-27"/>
        <c:axId val="102537856"/>
        <c:axId val="102859136"/>
      </c:barChart>
      <c:catAx>
        <c:axId val="1025378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859136"/>
        <c:crosses val="autoZero"/>
        <c:auto val="1"/>
        <c:lblAlgn val="ctr"/>
        <c:lblOffset val="100"/>
        <c:noMultiLvlLbl val="0"/>
      </c:catAx>
      <c:valAx>
        <c:axId val="10285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5378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7de4ff-c1b2-4c31-a98c-4cefeadfe33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3522657872237"/>
          <c:y val="0.146786056923569"/>
          <c:w val="0.896225723708318"/>
          <c:h val="0.629485129517109"/>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2021年一般公共财政拨款支出</c:v>
                </c:pt>
                <c:pt idx="1">
                  <c:v>2022年一般公共财政拨款支出</c:v>
                </c:pt>
              </c:strCache>
            </c:strRef>
          </c:cat>
          <c:val>
            <c:numRef>
              <c:f>Sheet1!$B$2:$B$3</c:f>
              <c:numCache>
                <c:formatCode>General</c:formatCode>
                <c:ptCount val="2"/>
                <c:pt idx="0">
                  <c:v>1213.56</c:v>
                </c:pt>
                <c:pt idx="1">
                  <c:v>1196.95</c:v>
                </c:pt>
              </c:numCache>
            </c:numRef>
          </c:val>
        </c:ser>
        <c:dLbls>
          <c:showLegendKey val="0"/>
          <c:showVal val="0"/>
          <c:showCatName val="0"/>
          <c:showSerName val="0"/>
          <c:showPercent val="0"/>
          <c:showBubbleSize val="0"/>
        </c:dLbls>
        <c:gapWidth val="219"/>
        <c:overlap val="-27"/>
        <c:axId val="102965632"/>
        <c:axId val="102967168"/>
      </c:barChart>
      <c:catAx>
        <c:axId val="1029656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967168"/>
        <c:crosses val="autoZero"/>
        <c:auto val="1"/>
        <c:lblAlgn val="ctr"/>
        <c:lblOffset val="100"/>
        <c:noMultiLvlLbl val="0"/>
      </c:catAx>
      <c:valAx>
        <c:axId val="10296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9656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d9c0ec-9ec2-4476-b177-457e465b5b4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卫生健康支出</c:v>
                </c:pt>
                <c:pt idx="2">
                  <c:v>住房保障支出</c:v>
                </c:pt>
              </c:strCache>
            </c:strRef>
          </c:cat>
          <c:val>
            <c:numRef>
              <c:f>Sheet1!$B$2:$B$5</c:f>
              <c:numCache>
                <c:formatCode>General</c:formatCode>
                <c:ptCount val="4"/>
                <c:pt idx="0">
                  <c:v>1053.03</c:v>
                </c:pt>
                <c:pt idx="1">
                  <c:v>56.82</c:v>
                </c:pt>
                <c:pt idx="2">
                  <c:v>87.11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36c72dd-c752-4963-8df4-53db3fbd7b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f161becd-10e6-45f7-8d97-017ac2f82e7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3370</Words>
  <Characters>3661</Characters>
  <Lines>12</Lines>
  <Paragraphs>26</Paragraphs>
  <TotalTime>90</TotalTime>
  <ScaleCrop>false</ScaleCrop>
  <LinksUpToDate>false</LinksUpToDate>
  <CharactersWithSpaces>3847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2023-10-11T02:05:00Z</dcterms:created>
  <dc:creator>曹颖</dc:creator>
  <cp:lastModifiedBy>幸运草</cp:lastModifiedBy>
  <cp:lastPrinted>2023-07-31T02:35:00Z</cp:lastPrinted>
  <dcterms:modified xsi:type="dcterms:W3CDTF">2026-07-31T03:11:49Z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AFC51EBE8784462AA36146BE50B9C697_12</vt:lpwstr>
  </property>
  <property fmtid="{D5CDD505-2E9C-101B-9397-08002B2CF9AE}" pid="4" name="KSOTemplateDocerSaveRecord">
    <vt:lpwstr>eyJoZGlkIjoiMjFjZDUyOTMyYWE5NDBlMzFkNjdiM2Y1ZDg4Y2Q4M2EiLCJ1c2VySWQiOiIyNzIwOTQ3NjIifQ==</vt:lpwstr>
  </property>
</Properties>
</file>