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0" w:name="_Toc15306267"/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  <w:bookmarkStart w:id="1" w:name="_Toc15396597"/>
      <w:bookmarkStart w:id="2" w:name="_Toc15377193"/>
      <w:bookmarkStart w:id="3" w:name="_Toc15378441"/>
      <w:bookmarkStart w:id="4" w:name="_Toc15377425"/>
      <w:bookmarkStart w:id="5" w:name="_Toc15396475"/>
      <w:r>
        <w:rPr>
          <w:rFonts w:ascii="黑体" w:hAnsi="黑体" w:eastAsia="黑体"/>
          <w:sz w:val="72"/>
          <w:szCs w:val="72"/>
        </w:rPr>
        <w:t>202</w:t>
      </w:r>
      <w:r>
        <w:rPr>
          <w:rFonts w:hint="eastAsia" w:ascii="黑体" w:hAnsi="黑体" w:eastAsia="黑体"/>
          <w:sz w:val="72"/>
          <w:szCs w:val="72"/>
          <w:lang w:val="en-US" w:eastAsia="zh-CN"/>
        </w:rPr>
        <w:t>1</w:t>
      </w:r>
      <w:r>
        <w:rPr>
          <w:rFonts w:hint="eastAsia" w:ascii="黑体" w:hAnsi="黑体" w:eastAsia="黑体"/>
          <w:sz w:val="72"/>
          <w:szCs w:val="72"/>
        </w:rPr>
        <w:t>年度</w:t>
      </w:r>
      <w:bookmarkEnd w:id="1"/>
      <w:bookmarkEnd w:id="2"/>
      <w:bookmarkEnd w:id="3"/>
      <w:bookmarkEnd w:id="4"/>
      <w:bookmarkEnd w:id="5"/>
    </w:p>
    <w:p>
      <w:pPr>
        <w:jc w:val="center"/>
        <w:rPr>
          <w:rFonts w:ascii="方正小标宋简体" w:eastAsia="方正小标宋简体"/>
          <w:sz w:val="72"/>
          <w:szCs w:val="72"/>
        </w:rPr>
      </w:pPr>
      <w:bookmarkStart w:id="6" w:name="_Toc15396476"/>
      <w:bookmarkStart w:id="7" w:name="_Toc15378442"/>
      <w:bookmarkStart w:id="8" w:name="_Toc15377426"/>
      <w:bookmarkStart w:id="9" w:name="_Toc15396598"/>
      <w:bookmarkStart w:id="10" w:name="_Toc15377194"/>
      <w:r>
        <w:rPr>
          <w:rFonts w:hint="eastAsia" w:ascii="方正小标宋简体" w:eastAsia="方正小标宋简体"/>
          <w:sz w:val="72"/>
          <w:szCs w:val="72"/>
        </w:rPr>
        <w:t>四川省阿坝州</w:t>
      </w:r>
      <w:bookmarkEnd w:id="0"/>
      <w:bookmarkStart w:id="11" w:name="_Toc15306268"/>
      <w:r>
        <w:rPr>
          <w:rFonts w:hint="eastAsia" w:ascii="方正小标宋简体" w:eastAsia="方正小标宋简体"/>
          <w:sz w:val="72"/>
          <w:szCs w:val="72"/>
          <w:lang w:val="en-US" w:eastAsia="zh-CN"/>
        </w:rPr>
        <w:t>壤塘县公证处</w:t>
      </w:r>
      <w:r>
        <w:rPr>
          <w:rFonts w:hint="eastAsia" w:ascii="方正小标宋简体" w:eastAsia="方正小标宋简体"/>
          <w:sz w:val="72"/>
          <w:szCs w:val="72"/>
        </w:rPr>
        <w:t>部门决算</w:t>
      </w:r>
      <w:bookmarkEnd w:id="6"/>
      <w:bookmarkEnd w:id="7"/>
      <w:bookmarkEnd w:id="8"/>
      <w:bookmarkEnd w:id="9"/>
      <w:bookmarkEnd w:id="10"/>
      <w:bookmarkEnd w:id="11"/>
    </w:p>
    <w:p>
      <w:pPr>
        <w:widowControl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保密审查情况：已审查，内容审定</w:t>
      </w:r>
    </w:p>
    <w:p>
      <w:pPr>
        <w:autoSpaceDE w:val="0"/>
        <w:autoSpaceDN w:val="0"/>
        <w:adjustRightInd w:val="0"/>
        <w:ind w:left="420" w:leftChars="200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部门主要负责人审签情况：已审签，同意对外公开</w:t>
      </w:r>
    </w:p>
    <w:p>
      <w:pPr>
        <w:widowControl/>
        <w:jc w:val="center"/>
        <w:rPr>
          <w:rFonts w:ascii="黑体" w:hAnsi="黑体" w:eastAsia="黑体"/>
          <w:color w:val="000000"/>
          <w:sz w:val="48"/>
          <w:szCs w:val="48"/>
        </w:rPr>
      </w:pPr>
      <w:r>
        <w:rPr>
          <w:rFonts w:ascii="方正小标宋简体" w:hAnsi="宋体" w:eastAsia="方正小标宋简体"/>
          <w:sz w:val="36"/>
          <w:szCs w:val="36"/>
        </w:rPr>
        <w:br w:type="page"/>
      </w: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</w:p>
    <w:p>
      <w:pPr>
        <w:pStyle w:val="17"/>
        <w:jc w:val="center"/>
        <w:rPr>
          <w:rFonts w:hAnsiTheme="minorHAnsi"/>
          <w:b w:val="0"/>
          <w:bCs w:val="0"/>
          <w:sz w:val="24"/>
          <w:szCs w:val="24"/>
        </w:rPr>
      </w:pPr>
      <w:r>
        <w:rPr>
          <w:rFonts w:hint="eastAsia" w:hAnsiTheme="minorHAnsi"/>
          <w:b w:val="0"/>
          <w:bCs w:val="0"/>
          <w:sz w:val="24"/>
          <w:szCs w:val="24"/>
        </w:rPr>
        <w:t>公开时间：202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hAnsiTheme="minorHAnsi"/>
          <w:b w:val="0"/>
          <w:bCs w:val="0"/>
          <w:sz w:val="24"/>
          <w:szCs w:val="24"/>
        </w:rPr>
        <w:t>年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hAnsiTheme="minorHAnsi"/>
          <w:b w:val="0"/>
          <w:bCs w:val="0"/>
          <w:sz w:val="24"/>
          <w:szCs w:val="24"/>
        </w:rPr>
        <w:t xml:space="preserve"> 月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21</w:t>
      </w:r>
      <w:r>
        <w:rPr>
          <w:rFonts w:hint="eastAsia" w:hAnsiTheme="minorHAnsi"/>
          <w:b w:val="0"/>
          <w:bCs w:val="0"/>
          <w:sz w:val="24"/>
          <w:szCs w:val="24"/>
        </w:rPr>
        <w:t xml:space="preserve"> 日</w:t>
      </w:r>
    </w:p>
    <w:p>
      <w:pPr>
        <w:pStyle w:val="17"/>
        <w:tabs>
          <w:tab w:val="right" w:leader="dot" w:pos="8306"/>
        </w:tabs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\u </w:instrText>
      </w:r>
      <w:r>
        <w:rPr>
          <w:b w:val="0"/>
          <w:bCs w:val="0"/>
          <w:caps w:val="0"/>
        </w:rPr>
        <w:fldChar w:fldCharType="separate"/>
      </w:r>
      <w:r>
        <w:rPr>
          <w:rFonts w:hint="eastAsia" w:ascii="黑体" w:hAnsi="黑体" w:eastAsia="黑体"/>
        </w:rPr>
        <w:t>第一部分</w:t>
      </w:r>
      <w:r>
        <w:rPr>
          <w:rFonts w:ascii="黑体" w:hAnsi="黑体" w:eastAsia="黑体"/>
        </w:rPr>
        <w:t xml:space="preserve"> </w:t>
      </w:r>
      <w:r>
        <w:rPr>
          <w:rFonts w:hint="eastAsia" w:ascii="黑体" w:hAnsi="黑体" w:eastAsia="黑体"/>
          <w:bCs w:val="0"/>
        </w:rPr>
        <w:t>部门概况</w:t>
      </w:r>
      <w:r>
        <w:tab/>
      </w:r>
      <w:r>
        <w:fldChar w:fldCharType="begin"/>
      </w:r>
      <w:r>
        <w:instrText xml:space="preserve"> PAGEREF _Toc18912 \h </w:instrText>
      </w:r>
      <w:r>
        <w:fldChar w:fldCharType="separate"/>
      </w:r>
      <w:r>
        <w:t>3</w:t>
      </w:r>
      <w: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hint="eastAsia" w:ascii="黑体" w:hAnsi="黑体" w:eastAsia="黑体"/>
          <w:color w:val="000000"/>
        </w:rPr>
        <w:t>一、基</w:t>
      </w:r>
      <w:r>
        <w:rPr>
          <w:rFonts w:hint="eastAsia" w:ascii="黑体" w:hAnsi="黑体" w:eastAsia="黑体"/>
          <w:bCs w:val="0"/>
        </w:rPr>
        <w:t>本职能及主要工作</w:t>
      </w:r>
      <w:r>
        <w:tab/>
      </w:r>
      <w:r>
        <w:fldChar w:fldCharType="begin"/>
      </w:r>
      <w:r>
        <w:instrText xml:space="preserve"> PAGEREF _Toc829 \h </w:instrText>
      </w:r>
      <w:r>
        <w:fldChar w:fldCharType="separate"/>
      </w:r>
      <w:r>
        <w:t>3</w:t>
      </w:r>
      <w: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hint="eastAsia" w:ascii="黑体" w:eastAsia="黑体"/>
          <w:color w:val="000000"/>
        </w:rPr>
        <w:t>二、</w:t>
      </w:r>
      <w:r>
        <w:rPr>
          <w:rFonts w:hint="eastAsia" w:ascii="黑体" w:hAnsi="黑体" w:eastAsia="黑体"/>
          <w:color w:val="000000"/>
        </w:rPr>
        <w:t>机</w:t>
      </w:r>
      <w:r>
        <w:rPr>
          <w:rFonts w:hint="eastAsia" w:ascii="黑体" w:hAnsi="黑体" w:eastAsia="黑体"/>
          <w:bCs w:val="0"/>
        </w:rPr>
        <w:t>构设置</w:t>
      </w:r>
      <w:r>
        <w:tab/>
      </w:r>
      <w:r>
        <w:fldChar w:fldCharType="begin"/>
      </w:r>
      <w:r>
        <w:instrText xml:space="preserve"> PAGEREF _Toc24510 \h </w:instrText>
      </w:r>
      <w:r>
        <w:fldChar w:fldCharType="separate"/>
      </w:r>
      <w:r>
        <w:t>3</w:t>
      </w:r>
      <w: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黑体" w:hAnsi="黑体" w:eastAsia="黑体"/>
          <w:color w:val="000000"/>
        </w:rPr>
        <w:t>第二部分</w:t>
      </w:r>
      <w:r>
        <w:rPr>
          <w:rFonts w:ascii="黑体" w:hAnsi="黑体" w:eastAsia="黑体"/>
          <w:color w:val="000000"/>
        </w:rPr>
        <w:t xml:space="preserve"> </w:t>
      </w:r>
      <w:r>
        <w:rPr>
          <w:rFonts w:ascii="黑体" w:hAnsi="黑体" w:eastAsia="黑体"/>
          <w:bCs w:val="0"/>
        </w:rPr>
        <w:t>202</w:t>
      </w:r>
      <w:r>
        <w:rPr>
          <w:rFonts w:hint="eastAsia" w:ascii="黑体" w:hAnsi="黑体" w:eastAsia="黑体"/>
          <w:bCs w:val="0"/>
          <w:lang w:val="en-US" w:eastAsia="zh-CN"/>
        </w:rPr>
        <w:t>1</w:t>
      </w:r>
      <w:r>
        <w:rPr>
          <w:rFonts w:hint="eastAsia" w:ascii="黑体" w:hAnsi="黑体" w:eastAsia="黑体"/>
          <w:bCs w:val="0"/>
        </w:rPr>
        <w:t>年度部门决算情况说明</w:t>
      </w:r>
      <w:r>
        <w:tab/>
      </w:r>
      <w:r>
        <w:fldChar w:fldCharType="begin"/>
      </w:r>
      <w:r>
        <w:instrText xml:space="preserve"> PAGEREF _Toc26274 \h </w:instrText>
      </w:r>
      <w:r>
        <w:fldChar w:fldCharType="separate"/>
      </w:r>
      <w:r>
        <w:t>4</w:t>
      </w:r>
      <w: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hint="default" w:ascii="黑体" w:hAnsi="黑体" w:eastAsia="黑体" w:cs="Times New Roman"/>
        </w:rPr>
        <w:t xml:space="preserve">一、 </w:t>
      </w:r>
      <w:r>
        <w:rPr>
          <w:rFonts w:hint="eastAsia" w:ascii="黑体" w:hAnsi="黑体" w:eastAsia="黑体"/>
          <w:color w:val="000000"/>
          <w:szCs w:val="32"/>
        </w:rPr>
        <w:t>收</w:t>
      </w:r>
      <w:r>
        <w:rPr>
          <w:rFonts w:hint="eastAsia" w:ascii="黑体" w:hAnsi="黑体" w:eastAsia="黑体"/>
        </w:rPr>
        <w:t>入支出决算总体情况说明</w:t>
      </w:r>
      <w:r>
        <w:tab/>
      </w:r>
      <w:r>
        <w:fldChar w:fldCharType="begin"/>
      </w:r>
      <w:r>
        <w:instrText xml:space="preserve"> PAGEREF _Toc6699 \h </w:instrText>
      </w:r>
      <w:r>
        <w:fldChar w:fldCharType="separate"/>
      </w:r>
      <w:r>
        <w:t>4</w:t>
      </w:r>
      <w: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hint="default" w:ascii="黑体" w:hAnsi="黑体" w:eastAsia="黑体" w:cs="Times New Roman"/>
        </w:rPr>
        <w:t xml:space="preserve">二、 </w:t>
      </w:r>
      <w:r>
        <w:rPr>
          <w:rFonts w:hint="eastAsia" w:ascii="黑体" w:hAnsi="黑体" w:eastAsia="黑体"/>
          <w:color w:val="000000"/>
          <w:szCs w:val="32"/>
        </w:rPr>
        <w:t>收</w:t>
      </w:r>
      <w:r>
        <w:rPr>
          <w:rFonts w:hint="eastAsia" w:ascii="黑体" w:hAnsi="黑体" w:eastAsia="黑体"/>
        </w:rPr>
        <w:t>入决算情况说明</w:t>
      </w:r>
      <w:r>
        <w:tab/>
      </w:r>
      <w:r>
        <w:fldChar w:fldCharType="begin"/>
      </w:r>
      <w:r>
        <w:instrText xml:space="preserve"> PAGEREF _Toc3742 \h </w:instrText>
      </w:r>
      <w:r>
        <w:fldChar w:fldCharType="separate"/>
      </w:r>
      <w:r>
        <w:t>5</w:t>
      </w:r>
      <w:r>
        <w:fldChar w:fldCharType="end"/>
      </w:r>
      <w:bookmarkStart w:id="44" w:name="_GoBack"/>
      <w:bookmarkEnd w:id="44"/>
    </w:p>
    <w:p>
      <w:pPr>
        <w:pStyle w:val="17"/>
        <w:tabs>
          <w:tab w:val="right" w:leader="dot" w:pos="8306"/>
        </w:tabs>
      </w:pPr>
      <w:r>
        <w:rPr>
          <w:rFonts w:hint="eastAsia" w:ascii="黑体" w:hAnsi="黑体" w:eastAsia="黑体" w:cs="Times New Roman"/>
          <w:color w:val="000000"/>
          <w:szCs w:val="44"/>
        </w:rPr>
        <w:t xml:space="preserve">第三部分 </w:t>
      </w:r>
      <w:r>
        <w:rPr>
          <w:rFonts w:hint="eastAsia" w:ascii="黑体" w:hAnsi="黑体" w:eastAsia="黑体"/>
          <w:color w:val="000000"/>
          <w:szCs w:val="44"/>
        </w:rPr>
        <w:t>分名词解释</w:t>
      </w:r>
      <w:r>
        <w:tab/>
      </w:r>
      <w:r>
        <w:fldChar w:fldCharType="begin"/>
      </w:r>
      <w:r>
        <w:instrText xml:space="preserve"> PAGEREF _Toc3342 \h </w:instrText>
      </w:r>
      <w:r>
        <w:fldChar w:fldCharType="separate"/>
      </w:r>
      <w:r>
        <w:t>11</w:t>
      </w:r>
      <w: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黑体" w:hAnsi="黑体" w:eastAsia="黑体" w:cs="Times New Roman"/>
          <w:color w:val="000000"/>
          <w:szCs w:val="44"/>
        </w:rPr>
        <w:t xml:space="preserve">第四部分 </w:t>
      </w:r>
      <w:r>
        <w:rPr>
          <w:rFonts w:hint="eastAsia" w:ascii="黑体" w:hAnsi="黑体" w:eastAsia="黑体"/>
          <w:color w:val="000000"/>
          <w:szCs w:val="44"/>
        </w:rPr>
        <w:t>分附表</w:t>
      </w:r>
      <w:r>
        <w:tab/>
      </w:r>
      <w:r>
        <w:fldChar w:fldCharType="begin"/>
      </w:r>
      <w:r>
        <w:instrText xml:space="preserve"> PAGEREF _Toc9110 \h </w:instrText>
      </w:r>
      <w:r>
        <w:fldChar w:fldCharType="separate"/>
      </w:r>
      <w:r>
        <w:t>13</w:t>
      </w:r>
      <w:r>
        <w:fldChar w:fldCharType="end"/>
      </w:r>
    </w:p>
    <w:p>
      <w:r>
        <w:rPr>
          <w:rFonts w:asciiTheme="minorHAnsi" w:eastAsiaTheme="minorHAnsi"/>
          <w:bCs/>
          <w:caps/>
          <w:szCs w:val="20"/>
        </w:rPr>
        <w:fldChar w:fldCharType="end"/>
      </w:r>
    </w:p>
    <w:p>
      <w:pPr>
        <w:pStyle w:val="3"/>
        <w:jc w:val="center"/>
        <w:rPr>
          <w:rFonts w:hint="eastAsia" w:ascii="黑体" w:hAnsi="黑体" w:eastAsia="黑体"/>
          <w:b w:val="0"/>
        </w:rPr>
      </w:pPr>
      <w:bookmarkStart w:id="12" w:name="_Toc15396599"/>
      <w:bookmarkStart w:id="13" w:name="_Toc15377196"/>
      <w:bookmarkStart w:id="14" w:name="_Toc79163601"/>
    </w:p>
    <w:p>
      <w:pPr>
        <w:pStyle w:val="3"/>
        <w:jc w:val="center"/>
        <w:rPr>
          <w:rFonts w:hint="eastAsia" w:ascii="黑体" w:hAnsi="黑体" w:eastAsia="黑体"/>
          <w:b w:val="0"/>
        </w:rPr>
      </w:pPr>
    </w:p>
    <w:p>
      <w:pPr>
        <w:pStyle w:val="3"/>
        <w:jc w:val="center"/>
        <w:rPr>
          <w:rFonts w:hint="eastAsia" w:ascii="黑体" w:hAnsi="黑体" w:eastAsia="黑体"/>
          <w:b w:val="0"/>
        </w:rPr>
      </w:pPr>
    </w:p>
    <w:p>
      <w:pPr>
        <w:pStyle w:val="3"/>
        <w:jc w:val="center"/>
        <w:rPr>
          <w:rFonts w:hint="eastAsia" w:ascii="黑体" w:hAnsi="黑体" w:eastAsia="黑体"/>
          <w:b w:val="0"/>
        </w:rPr>
      </w:pPr>
    </w:p>
    <w:p>
      <w:pPr>
        <w:pStyle w:val="3"/>
        <w:jc w:val="center"/>
        <w:rPr>
          <w:rFonts w:hint="eastAsia" w:ascii="黑体" w:hAnsi="黑体" w:eastAsia="黑体"/>
          <w:b w:val="0"/>
        </w:rPr>
      </w:pPr>
    </w:p>
    <w:p>
      <w:pPr>
        <w:pStyle w:val="3"/>
        <w:jc w:val="center"/>
        <w:rPr>
          <w:rFonts w:hint="eastAsia" w:ascii="黑体" w:hAnsi="黑体" w:eastAsia="黑体"/>
          <w:b w:val="0"/>
        </w:rPr>
      </w:pPr>
    </w:p>
    <w:p>
      <w:pPr>
        <w:rPr>
          <w:rFonts w:hint="eastAsia" w:ascii="黑体" w:hAnsi="黑体" w:eastAsia="黑体"/>
          <w:b w:val="0"/>
        </w:rPr>
      </w:pPr>
    </w:p>
    <w:p>
      <w:pPr>
        <w:pStyle w:val="9"/>
        <w:rPr>
          <w:rFonts w:hint="eastAsia"/>
        </w:rPr>
      </w:pPr>
    </w:p>
    <w:bookmarkEnd w:id="12"/>
    <w:bookmarkEnd w:id="13"/>
    <w:bookmarkEnd w:id="14"/>
    <w:p>
      <w:pPr>
        <w:widowControl/>
        <w:jc w:val="left"/>
        <w:rPr>
          <w:rFonts w:ascii="黑体" w:eastAsia="黑体"/>
          <w:color w:val="000000"/>
          <w:sz w:val="32"/>
          <w:szCs w:val="32"/>
        </w:rPr>
      </w:pPr>
    </w:p>
    <w:p>
      <w:pPr>
        <w:pStyle w:val="3"/>
        <w:jc w:val="center"/>
        <w:rPr>
          <w:rFonts w:hint="eastAsia" w:ascii="黑体" w:hAnsi="黑体" w:eastAsia="黑体"/>
          <w:b w:val="0"/>
          <w:color w:val="000000"/>
        </w:rPr>
      </w:pPr>
      <w:bookmarkStart w:id="15" w:name="_Toc18912"/>
      <w:bookmarkStart w:id="16" w:name="_Toc79163602"/>
      <w:bookmarkStart w:id="17" w:name="_Toc15377197"/>
      <w:bookmarkStart w:id="18" w:name="_Toc15396600"/>
      <w:r>
        <w:rPr>
          <w:rFonts w:hint="eastAsia" w:ascii="黑体" w:hAnsi="黑体" w:eastAsia="黑体"/>
          <w:b w:val="0"/>
        </w:rPr>
        <w:t>第一部分</w:t>
      </w:r>
      <w:r>
        <w:rPr>
          <w:rFonts w:ascii="黑体" w:hAnsi="黑体" w:eastAsia="黑体"/>
          <w:b w:val="0"/>
        </w:rPr>
        <w:t xml:space="preserve"> </w:t>
      </w:r>
      <w:r>
        <w:rPr>
          <w:rStyle w:val="26"/>
          <w:rFonts w:hint="eastAsia" w:ascii="黑体" w:hAnsi="黑体" w:eastAsia="黑体"/>
          <w:b w:val="0"/>
          <w:bCs w:val="0"/>
        </w:rPr>
        <w:t>部门概况</w:t>
      </w:r>
      <w:bookmarkEnd w:id="15"/>
    </w:p>
    <w:p>
      <w:pPr>
        <w:pStyle w:val="4"/>
        <w:rPr>
          <w:rStyle w:val="27"/>
          <w:rFonts w:ascii="仿宋" w:hAnsi="仿宋" w:eastAsia="仿宋"/>
          <w:b w:val="0"/>
          <w:bCs w:val="0"/>
        </w:rPr>
      </w:pPr>
      <w:bookmarkStart w:id="19" w:name="_Toc829"/>
      <w:r>
        <w:rPr>
          <w:rFonts w:hint="eastAsia" w:ascii="黑体" w:hAnsi="黑体" w:eastAsia="黑体"/>
          <w:b w:val="0"/>
          <w:color w:val="000000"/>
        </w:rPr>
        <w:t>一、基</w:t>
      </w:r>
      <w:r>
        <w:rPr>
          <w:rStyle w:val="27"/>
          <w:rFonts w:hint="eastAsia" w:ascii="黑体" w:hAnsi="黑体" w:eastAsia="黑体"/>
          <w:b w:val="0"/>
          <w:bCs w:val="0"/>
        </w:rPr>
        <w:t>本职能及主要工作</w:t>
      </w:r>
      <w:bookmarkEnd w:id="16"/>
      <w:bookmarkEnd w:id="17"/>
      <w:bookmarkEnd w:id="18"/>
      <w:bookmarkEnd w:id="19"/>
    </w:p>
    <w:p>
      <w:pPr>
        <w:pStyle w:val="7"/>
        <w:adjustRightInd w:val="0"/>
        <w:snapToGrid w:val="0"/>
        <w:spacing w:before="93" w:line="600" w:lineRule="exact"/>
        <w:ind w:firstLine="672" w:firstLineChars="210"/>
        <w:outlineLvl w:val="9"/>
        <w:rPr>
          <w:rFonts w:ascii="仿宋" w:hAnsi="仿宋" w:eastAsia="仿宋"/>
          <w:bCs/>
          <w:color w:val="000000"/>
          <w:sz w:val="32"/>
          <w:szCs w:val="32"/>
        </w:rPr>
      </w:pPr>
      <w:bookmarkStart w:id="20" w:name="_Toc79163603"/>
      <w:bookmarkStart w:id="21" w:name="_Toc15378445"/>
      <w:bookmarkStart w:id="22" w:name="_Toc15377198"/>
      <w:r>
        <w:rPr>
          <w:rFonts w:hint="eastAsia" w:ascii="仿宋" w:hAnsi="仿宋" w:eastAsia="仿宋"/>
          <w:bCs/>
          <w:color w:val="000000"/>
          <w:sz w:val="32"/>
          <w:szCs w:val="32"/>
        </w:rPr>
        <w:t>（一）主要职能。</w:t>
      </w:r>
      <w:bookmarkEnd w:id="20"/>
    </w:p>
    <w:bookmarkEnd w:id="21"/>
    <w:bookmarkEnd w:id="22"/>
    <w:p>
      <w:pPr>
        <w:pStyle w:val="7"/>
        <w:adjustRightInd w:val="0"/>
        <w:snapToGrid w:val="0"/>
        <w:spacing w:before="93" w:line="600" w:lineRule="exact"/>
        <w:ind w:firstLine="640" w:firstLineChars="200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23" w:name="_Toc79163604"/>
      <w:bookmarkStart w:id="24" w:name="_Toc15378446"/>
      <w:bookmarkStart w:id="25" w:name="_Toc15377199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1.负责我县公证机构及公证业务工作的职责；</w:t>
      </w:r>
    </w:p>
    <w:p>
      <w:pPr>
        <w:pStyle w:val="7"/>
        <w:adjustRightInd w:val="0"/>
        <w:snapToGrid w:val="0"/>
        <w:spacing w:before="93" w:line="600" w:lineRule="exact"/>
        <w:ind w:firstLine="640" w:firstLineChars="200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2.承办州司法局交办的公证机构及公证业务工作；</w:t>
      </w:r>
    </w:p>
    <w:p>
      <w:pPr>
        <w:pStyle w:val="7"/>
        <w:adjustRightInd w:val="0"/>
        <w:snapToGrid w:val="0"/>
        <w:spacing w:before="93" w:line="600" w:lineRule="exact"/>
        <w:ind w:firstLine="640" w:firstLineChars="200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3.承办县司法局交办的其他事项。</w:t>
      </w:r>
    </w:p>
    <w:p>
      <w:pPr>
        <w:pStyle w:val="7"/>
        <w:adjustRightInd w:val="0"/>
        <w:snapToGrid w:val="0"/>
        <w:spacing w:before="93" w:line="600" w:lineRule="exact"/>
        <w:ind w:firstLine="640" w:firstLineChars="200"/>
        <w:outlineLvl w:val="9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（二）</w:t>
      </w:r>
      <w:r>
        <w:rPr>
          <w:rFonts w:ascii="仿宋" w:hAnsi="仿宋" w:eastAsia="仿宋"/>
          <w:bCs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年重点工作完成情况。</w:t>
      </w:r>
      <w:bookmarkEnd w:id="23"/>
      <w:bookmarkEnd w:id="24"/>
      <w:bookmarkEnd w:id="25"/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</w:pPr>
      <w:bookmarkStart w:id="26" w:name="_Toc79163605"/>
      <w:bookmarkStart w:id="27" w:name="_Toc15396601"/>
      <w:bookmarkStart w:id="28" w:name="_Toc1537720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受理公证事项103件，办结103件（其中委托公证70件、法定继承公证3件、声明公证15件、协议公证1件、遗嘱公证1件、赠与公证1件、小额继承公证12件），业务收费28690元（全部上缴财政）。解答法律咨询160余人(次)，免费代写公证法律文书65件，公证法律援助减免收费2200元，避免群众损失79501.58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4"/>
        <w:rPr>
          <w:rStyle w:val="27"/>
          <w:b w:val="0"/>
          <w:bCs w:val="0"/>
        </w:rPr>
      </w:pPr>
      <w:bookmarkStart w:id="29" w:name="_Toc24510"/>
      <w:r>
        <w:rPr>
          <w:rFonts w:hint="eastAsia" w:ascii="黑体" w:eastAsia="黑体"/>
          <w:b w:val="0"/>
          <w:color w:val="000000"/>
        </w:rPr>
        <w:t>二、</w:t>
      </w:r>
      <w:r>
        <w:rPr>
          <w:rFonts w:hint="eastAsia" w:ascii="黑体" w:hAnsi="黑体" w:eastAsia="黑体"/>
          <w:b w:val="0"/>
          <w:color w:val="000000"/>
        </w:rPr>
        <w:t>机</w:t>
      </w:r>
      <w:r>
        <w:rPr>
          <w:rStyle w:val="27"/>
          <w:rFonts w:hint="eastAsia" w:ascii="黑体" w:hAnsi="黑体" w:eastAsia="黑体"/>
          <w:b w:val="0"/>
          <w:bCs w:val="0"/>
        </w:rPr>
        <w:t>构设置</w:t>
      </w:r>
      <w:bookmarkEnd w:id="26"/>
      <w:bookmarkEnd w:id="27"/>
      <w:bookmarkEnd w:id="28"/>
      <w:bookmarkEnd w:id="29"/>
    </w:p>
    <w:p>
      <w:pPr>
        <w:ind w:firstLine="800" w:firstLineChars="250"/>
        <w:outlineLvl w:val="9"/>
        <w:rPr>
          <w:rFonts w:hint="eastAsia" w:ascii="仿宋" w:hAnsi="仿宋" w:eastAsia="仿宋"/>
          <w:sz w:val="32"/>
          <w:szCs w:val="32"/>
        </w:rPr>
      </w:pPr>
      <w:bookmarkStart w:id="30" w:name="_Toc15396602"/>
      <w:bookmarkStart w:id="31" w:name="_Toc79163609"/>
      <w:bookmarkStart w:id="32" w:name="_Toc15377204"/>
      <w:r>
        <w:rPr>
          <w:rFonts w:hint="eastAsia" w:ascii="仿宋" w:hAnsi="仿宋" w:eastAsia="仿宋"/>
          <w:sz w:val="32"/>
          <w:szCs w:val="32"/>
        </w:rPr>
        <w:t>壤塘县公证处属壤塘县司法局二级决算单位，是县司法局的下属事业单位，其中事业单位1个，事业人员9人。</w:t>
      </w:r>
    </w:p>
    <w:p>
      <w:pPr>
        <w:pStyle w:val="9"/>
        <w:outlineLvl w:val="9"/>
        <w:rPr>
          <w:rFonts w:hint="eastAsia" w:ascii="仿宋" w:hAnsi="仿宋" w:eastAsia="仿宋"/>
          <w:sz w:val="32"/>
          <w:szCs w:val="32"/>
        </w:rPr>
      </w:pPr>
    </w:p>
    <w:p>
      <w:pPr>
        <w:pStyle w:val="9"/>
        <w:rPr>
          <w:rFonts w:hint="eastAsia" w:ascii="仿宋" w:hAnsi="仿宋" w:eastAsia="仿宋"/>
          <w:sz w:val="32"/>
          <w:szCs w:val="32"/>
        </w:rPr>
      </w:pPr>
    </w:p>
    <w:p>
      <w:pPr>
        <w:pStyle w:val="9"/>
        <w:rPr>
          <w:rFonts w:hint="eastAsia" w:ascii="仿宋" w:hAnsi="仿宋" w:eastAsia="仿宋"/>
          <w:sz w:val="32"/>
          <w:szCs w:val="32"/>
        </w:rPr>
      </w:pPr>
    </w:p>
    <w:p>
      <w:pPr>
        <w:pStyle w:val="3"/>
        <w:ind w:right="440"/>
        <w:jc w:val="right"/>
        <w:rPr>
          <w:rStyle w:val="26"/>
          <w:rFonts w:ascii="黑体" w:hAnsi="黑体" w:eastAsia="黑体"/>
          <w:b w:val="0"/>
          <w:bCs w:val="0"/>
        </w:rPr>
      </w:pPr>
      <w:bookmarkStart w:id="33" w:name="_Toc26274"/>
      <w:r>
        <w:rPr>
          <w:rFonts w:hint="eastAsia" w:ascii="黑体" w:hAnsi="黑体" w:eastAsia="黑体"/>
          <w:b w:val="0"/>
          <w:color w:val="000000"/>
        </w:rPr>
        <w:t>第二部分</w:t>
      </w:r>
      <w:r>
        <w:rPr>
          <w:rFonts w:ascii="黑体" w:hAnsi="黑体" w:eastAsia="黑体"/>
          <w:color w:val="000000"/>
        </w:rPr>
        <w:t xml:space="preserve"> </w:t>
      </w:r>
      <w:r>
        <w:rPr>
          <w:rStyle w:val="26"/>
          <w:rFonts w:ascii="黑体" w:hAnsi="黑体" w:eastAsia="黑体"/>
          <w:b w:val="0"/>
          <w:bCs w:val="0"/>
        </w:rPr>
        <w:t>202</w:t>
      </w:r>
      <w:r>
        <w:rPr>
          <w:rStyle w:val="26"/>
          <w:rFonts w:hint="eastAsia" w:ascii="黑体" w:hAnsi="黑体" w:eastAsia="黑体"/>
          <w:b w:val="0"/>
          <w:bCs w:val="0"/>
          <w:lang w:val="en-US" w:eastAsia="zh-CN"/>
        </w:rPr>
        <w:t>1</w:t>
      </w:r>
      <w:r>
        <w:rPr>
          <w:rStyle w:val="26"/>
          <w:rFonts w:hint="eastAsia" w:ascii="黑体" w:hAnsi="黑体" w:eastAsia="黑体"/>
          <w:b w:val="0"/>
          <w:bCs w:val="0"/>
        </w:rPr>
        <w:t>年度部门决算情况说明</w:t>
      </w:r>
      <w:bookmarkEnd w:id="30"/>
      <w:bookmarkEnd w:id="31"/>
      <w:bookmarkEnd w:id="32"/>
      <w:bookmarkEnd w:id="33"/>
    </w:p>
    <w:p/>
    <w:p>
      <w:pPr>
        <w:pStyle w:val="37"/>
        <w:numPr>
          <w:ilvl w:val="0"/>
          <w:numId w:val="1"/>
        </w:numPr>
        <w:spacing w:line="600" w:lineRule="exact"/>
        <w:ind w:firstLineChars="0"/>
        <w:outlineLvl w:val="1"/>
        <w:rPr>
          <w:rStyle w:val="27"/>
          <w:rFonts w:ascii="黑体" w:hAnsi="黑体" w:eastAsia="黑体"/>
          <w:b w:val="0"/>
        </w:rPr>
      </w:pPr>
      <w:bookmarkStart w:id="34" w:name="_Toc15396603"/>
      <w:bookmarkStart w:id="35" w:name="_Toc79163610"/>
      <w:bookmarkStart w:id="36" w:name="_Toc15377205"/>
      <w:bookmarkStart w:id="37" w:name="_Toc6699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7"/>
          <w:rFonts w:hint="eastAsia" w:ascii="黑体" w:hAnsi="黑体" w:eastAsia="黑体"/>
          <w:b w:val="0"/>
        </w:rPr>
        <w:t>入支出决算总体情况说明</w:t>
      </w:r>
      <w:bookmarkEnd w:id="34"/>
      <w:bookmarkEnd w:id="35"/>
      <w:bookmarkEnd w:id="36"/>
      <w:bookmarkEnd w:id="37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2021年度收入总计116.64万元，支出总计116.64万元。与2020年相比，收入总计减少17.94万元，减少13.33%；支出总计减少17.94万元，减少13.33%。主要变动原因是年底目标奖比上年数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、住房公积金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。</w:t>
      </w:r>
    </w:p>
    <w:p>
      <w:pPr>
        <w:pStyle w:val="9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321810" cy="2650490"/>
            <wp:effectExtent l="4445" t="4445" r="17145" b="12065"/>
            <wp:docPr id="148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pStyle w:val="9"/>
        <w:jc w:val="both"/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4363085" cy="2637155"/>
            <wp:effectExtent l="4445" t="4445" r="13970" b="6350"/>
            <wp:docPr id="1476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9"/>
        <w:jc w:val="both"/>
      </w:pPr>
    </w:p>
    <w:p>
      <w:pPr>
        <w:pStyle w:val="9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outlineLvl w:val="9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：收、支决算总计变动情况图）</w:t>
      </w:r>
    </w:p>
    <w:p>
      <w:pPr>
        <w:pStyle w:val="37"/>
        <w:numPr>
          <w:ilvl w:val="0"/>
          <w:numId w:val="1"/>
        </w:numPr>
        <w:spacing w:line="600" w:lineRule="exact"/>
        <w:ind w:firstLineChars="0"/>
        <w:outlineLvl w:val="1"/>
        <w:rPr>
          <w:rStyle w:val="27"/>
          <w:rFonts w:ascii="黑体" w:hAnsi="黑体" w:eastAsia="黑体"/>
          <w:b w:val="0"/>
        </w:rPr>
      </w:pPr>
      <w:bookmarkStart w:id="38" w:name="_Toc15377206"/>
      <w:bookmarkStart w:id="39" w:name="_Toc79163611"/>
      <w:bookmarkStart w:id="40" w:name="_Toc15396604"/>
      <w:bookmarkStart w:id="41" w:name="_Toc3742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7"/>
          <w:rFonts w:hint="eastAsia" w:ascii="黑体" w:hAnsi="黑体" w:eastAsia="黑体"/>
          <w:b w:val="0"/>
        </w:rPr>
        <w:t>入决算情况说明</w:t>
      </w:r>
      <w:bookmarkEnd w:id="38"/>
      <w:bookmarkEnd w:id="39"/>
      <w:bookmarkEnd w:id="40"/>
      <w:bookmarkEnd w:id="41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年本年支出合计116.64万元，其中：基本支出116.64万元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占100%；项目支出0万元;上缴上级支出0万元；经营支出0万元；对附属单位补助支出0万元。</w:t>
      </w:r>
    </w:p>
    <w:p>
      <w:pPr>
        <w:pStyle w:val="2"/>
        <w:jc w:val="center"/>
        <w:rPr>
          <w:rFonts w:hint="eastAsia"/>
        </w:rPr>
      </w:pPr>
      <w:r>
        <w:drawing>
          <wp:inline distT="0" distB="0" distL="114300" distR="114300">
            <wp:extent cx="4048760" cy="2530475"/>
            <wp:effectExtent l="4445" t="4445" r="23495" b="17780"/>
            <wp:docPr id="1484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spacing w:line="600" w:lineRule="exact"/>
        <w:ind w:firstLine="1280" w:firstLineChars="400"/>
        <w:outlineLvl w:val="9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（图3：支出决算结构图）（饼状图）</w:t>
      </w:r>
    </w:p>
    <w:p>
      <w:pPr>
        <w:pStyle w:val="4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34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三、支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出决算情况说明</w:t>
      </w:r>
    </w:p>
    <w:p>
      <w:pPr>
        <w:pStyle w:val="4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仿宋" w:hAnsi="仿宋" w:eastAsia="仿宋" w:cs="Times New Roman"/>
          <w:color w:val="000000"/>
          <w:kern w:val="2"/>
          <w:sz w:val="32"/>
          <w:szCs w:val="32"/>
          <w:u w:val="none"/>
          <w:shd w:val="clear"/>
          <w:lang w:val="en-US" w:eastAsia="zh-CN" w:bidi="ar-SA"/>
        </w:rPr>
        <w:t>2021年本年支出合计116.64万元，其中：基本支出116.64万元，占100%；项目支出0万元;上缴上级支出0万元；经营支出0万元；对附属单位补助支出0万元。</w:t>
      </w:r>
    </w:p>
    <w:p>
      <w:pPr>
        <w:pStyle w:val="4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Times New Roman"/>
          <w:color w:val="000000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760730</wp:posOffset>
            </wp:positionH>
            <wp:positionV relativeFrom="paragraph">
              <wp:posOffset>92075</wp:posOffset>
            </wp:positionV>
            <wp:extent cx="4044315" cy="2298700"/>
            <wp:effectExtent l="4445" t="4445" r="8890" b="20955"/>
            <wp:wrapTight wrapText="bothSides">
              <wp:wrapPolygon>
                <wp:start x="-24" y="-42"/>
                <wp:lineTo x="-24" y="21439"/>
                <wp:lineTo x="21546" y="21439"/>
                <wp:lineTo x="21546" y="-42"/>
                <wp:lineTo x="-24" y="-42"/>
              </wp:wrapPolygon>
            </wp:wrapTight>
            <wp:docPr id="1477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>
      <w:pPr>
        <w:pStyle w:val="4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kern w:val="2"/>
          <w:sz w:val="32"/>
          <w:szCs w:val="32"/>
          <w:u w:val="none"/>
          <w:shd w:val="clear"/>
          <w:lang w:val="en-US" w:eastAsia="zh-CN" w:bidi="ar-SA"/>
        </w:rPr>
      </w:pPr>
    </w:p>
    <w:p>
      <w:pPr>
        <w:pStyle w:val="4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kern w:val="2"/>
          <w:sz w:val="32"/>
          <w:szCs w:val="32"/>
          <w:u w:val="none"/>
          <w:shd w:val="clear"/>
          <w:lang w:val="en-US" w:eastAsia="zh-CN" w:bidi="ar-SA"/>
        </w:rPr>
      </w:pPr>
    </w:p>
    <w:p>
      <w:pPr>
        <w:pStyle w:val="4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/>
        <w:jc w:val="both"/>
        <w:textAlignment w:val="auto"/>
        <w:rPr>
          <w:rFonts w:hint="eastAsia" w:ascii="仿宋" w:hAnsi="仿宋" w:eastAsia="仿宋" w:cs="Times New Roman"/>
          <w:color w:val="000000"/>
          <w:kern w:val="2"/>
          <w:sz w:val="32"/>
          <w:szCs w:val="32"/>
          <w:u w:val="none"/>
          <w:shd w:val="clear"/>
          <w:lang w:val="en-US" w:eastAsia="zh-CN" w:bidi="ar-SA"/>
        </w:rPr>
      </w:pPr>
    </w:p>
    <w:p>
      <w:pPr>
        <w:pStyle w:val="4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4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jc w:val="left"/>
        <w:outlineLvl w:val="9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决算结构图）（饼状图）</w:t>
      </w:r>
    </w:p>
    <w:p>
      <w:pPr>
        <w:pStyle w:val="4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34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四、财政拨款收入支出决算总体情况说明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年财政拨款收入总计116.64万元，财政拨款支出总计116.64万元。与20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年相比，财政拨款收入总计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17.94万元，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13.33%，财政拨款支出总计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17.94万元，减少13.33%。主要变动原因是年底目标奖比上年数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、住房公积金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等。</w:t>
      </w:r>
    </w:p>
    <w:p>
      <w:pPr>
        <w:pStyle w:val="2"/>
        <w:jc w:val="center"/>
        <w:rPr>
          <w:rFonts w:hint="eastAsia"/>
        </w:rPr>
      </w:pPr>
      <w:r>
        <w:drawing>
          <wp:inline distT="0" distB="0" distL="114300" distR="114300">
            <wp:extent cx="3916680" cy="2259330"/>
            <wp:effectExtent l="4445" t="4445" r="22225" b="22225"/>
            <wp:docPr id="1479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spacing w:line="600" w:lineRule="exact"/>
        <w:ind w:firstLine="1280" w:firstLineChars="4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（图4：财政拨款收入支出决算总计变动情况图）（柱状图）</w:t>
      </w:r>
    </w:p>
    <w:p>
      <w:pPr>
        <w:pStyle w:val="4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34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一般公共预算财政拨款支出决算情况说明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（一）一般公共预算财政拨款支出决算总体情况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年一般公共预算财政拨款支出116.64万元，占本年支出合计的100%。与20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年相比，一般公共预算财政拨款减少17.94万元，减少13.33%。主要变动原因是年底目标奖比上年数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、住房公积金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color w:val="000000"/>
          <w:sz w:val="32"/>
          <w:szCs w:val="32"/>
        </w:rPr>
        <w:t>等。</w:t>
      </w:r>
    </w:p>
    <w:p>
      <w:pPr>
        <w:pStyle w:val="2"/>
        <w:jc w:val="center"/>
        <w:rPr>
          <w:rFonts w:hint="eastAsia"/>
        </w:rPr>
      </w:pPr>
      <w:r>
        <w:drawing>
          <wp:inline distT="0" distB="0" distL="114300" distR="114300">
            <wp:extent cx="4015740" cy="2352040"/>
            <wp:effectExtent l="5080" t="4445" r="17780" b="5715"/>
            <wp:docPr id="1480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（图5：一般公共预算财政拨款支出决算变动情况）（柱状图）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（二）一般公共预算财政拨款支出决算结构情况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年一般公共预算财政拨款支出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116.64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万元，主要用于以下方面：公共安全支出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91.71</w:t>
      </w:r>
      <w:r>
        <w:rPr>
          <w:rFonts w:hint="eastAsia" w:ascii="仿宋" w:hAnsi="仿宋" w:eastAsia="仿宋"/>
          <w:color w:val="000000"/>
          <w:sz w:val="32"/>
          <w:szCs w:val="32"/>
        </w:rPr>
        <w:t>元，占78.63%；社会保障和就业支出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11.76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万元，占10.08%;卫生健康支出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万元，占4.29%；住房保障支出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8.17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万元，占7.00%。</w:t>
      </w:r>
    </w:p>
    <w:p>
      <w:pPr>
        <w:pStyle w:val="2"/>
        <w:jc w:val="center"/>
        <w:rPr>
          <w:rFonts w:hint="eastAsia"/>
        </w:rPr>
      </w:pPr>
      <w:r>
        <w:drawing>
          <wp:inline distT="0" distB="0" distL="114300" distR="114300">
            <wp:extent cx="3952875" cy="2425065"/>
            <wp:effectExtent l="4445" t="5080" r="5080" b="8255"/>
            <wp:docPr id="1482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（图6： —般公共预算财政拨款支出决算结构）（饼状图）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（三）</w:t>
      </w: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ab/>
      </w: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一般公共预算财政拨款支出决算具体情况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年一般公共预算支出决算数为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116.64</w:t>
      </w:r>
      <w:r>
        <w:rPr>
          <w:rFonts w:hint="eastAsia" w:ascii="仿宋" w:hAnsi="仿宋" w:eastAsia="仿宋"/>
          <w:color w:val="000000"/>
          <w:sz w:val="32"/>
          <w:szCs w:val="32"/>
        </w:rPr>
        <w:t>万元,完成预算100%。 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1.公共安全司法204（类）06（款）50（项）：支出决算为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91.71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万元，完成预算100%。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2.社会保障和就业208（类）05（款）05（项）: 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7.84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万元，完成预算100%。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社会保障和就业208（类）05（款）0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</w:rPr>
        <w:t>（项）: 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3.92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万元，完成预算100%。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.卫生健康210（类）11（款）0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（项）:支出决算为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3.9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万元，完成预算100%。</w:t>
      </w:r>
    </w:p>
    <w:p>
      <w:pPr>
        <w:pStyle w:val="2"/>
        <w:rPr>
          <w:rFonts w:hint="eastAsia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color w:val="000000"/>
          <w:sz w:val="32"/>
          <w:szCs w:val="32"/>
        </w:rPr>
        <w:t>卫生健康210（类）11（款）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99</w:t>
      </w:r>
      <w:r>
        <w:rPr>
          <w:rFonts w:hint="eastAsia" w:ascii="仿宋" w:hAnsi="仿宋" w:eastAsia="仿宋"/>
          <w:color w:val="000000"/>
          <w:sz w:val="32"/>
          <w:szCs w:val="32"/>
        </w:rPr>
        <w:t>（项）:支出决算为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1.1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万元，完成预算100%。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</w:rPr>
        <w:t>.住房保障221（类）02（款）01（项）: 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8.17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万元，完成预算100%。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六、一般公共预算财政拨款基本支出决算情况说明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年一般公共预算财政拨款基本支出134.58万元，其中：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人员经费109.44万元，主要包括：基本工资、津贴补贴、奖 金、伙食补助费、绩效工资、机关事业单位基本养老保险缴 费、职业年金缴费、其他社会保障缴费、其他工资福利支出、生活补助、医疗费补助、奖励金、 住房公积金、其他对个人和家庭的补助支出等。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日常公用经费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7.2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万元，主要包括：办公费、水费、电费、邮电费、差旅费、维修（护）费、劳务费、公务用车运行维护费等。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七、“三公”经费财政拨款支出决算情况说明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（一）</w:t>
      </w: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ab/>
      </w: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“三公”经费财政拨款支出决算总体情况说明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年壤塘县公证处未产生“三公”经费支出，主要原因是壤塘县公证处是壤塘县司法局的下属事业单位，未单独预算。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（二）</w:t>
      </w: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ab/>
      </w: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“三公”经费财政拨款支出决算具体情况说明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年壤塘县公证处未产生“三公”经费支出，主要原因是壤塘县公证处是壤塘县司法局的下属事业单位，未单独预算。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1.因公出国（境）经费支出0万元。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2.公务用车购置及运行维护费支出0万元。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3.公务接待费支出0万元。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八、政府性基金预算支出决算情况说明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年政府性基金预算拨款支出0万元。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九、国有资本经营预算支出决算情况说明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2020年国有资本经营预算拨款支出0万元。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十、其他重要事项的情况说明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（一）机关运行经费支出情况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年，公证处机关运行经费支出未产生，主要原因是与年初在司法局做预算，公证处未单独预算。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（二）政府采购支出情况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年壤塘县公证处政府采购支出总额0万元。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（三）国有资产占有使用情况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壤塘县公证处是县司法局下属单位，没有单独执法执勤用车。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（四）预算绩效管理情况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由于壤塘县公证处年初是在壤塘县司法局做预算，因此未单独做预算，也未单独做预算绩效，部门整体支出绩效评价在司法局做。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1.项目绩效目标完成情况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由于壤塘县公证处年初是在壤塘县司法局做预算，因此未单独做预算，也未单独做预算绩效，部门整体支出绩效评价在司法局做。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2.部门绩效评价结果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由于壤塘县公证处年初是在壤塘县司法局做预算，因此未单独做预算，也未单独做预算绩效，部门整体支出绩效评价在司法局做。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numPr>
          <w:ilvl w:val="0"/>
          <w:numId w:val="2"/>
        </w:numPr>
        <w:spacing w:line="600" w:lineRule="exact"/>
        <w:ind w:firstLine="660" w:firstLineChars="150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  <w:bookmarkStart w:id="42" w:name="_Toc3342"/>
      <w:r>
        <w:rPr>
          <w:rFonts w:hint="eastAsia" w:ascii="黑体" w:hAnsi="黑体" w:eastAsia="黑体"/>
          <w:color w:val="000000"/>
          <w:sz w:val="44"/>
          <w:szCs w:val="44"/>
        </w:rPr>
        <w:t>分名词解释</w:t>
      </w:r>
      <w:bookmarkEnd w:id="42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1.财政拨款收入：指单位从同级财政部门取得的财政预算资金。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2.事业收入：指事业单位开展专业业务活动及辅助活动取得的收入。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3.年初结转和结余：指以前年度尚未完成、结转到本年 按有关规定继续使用的资金。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4.结余分配：指事业单位按照会计制度规定缴纳的所得 税、提取的专用结余以及转入非财政拨款结余的金额等。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5.年末结转和结余：指单位按有关规定结转到下年或 以后年度继续使用的资金。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6.公共安全204（类）06（款）：指保障机构正常运转、完成日常工作任务的支出。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（1）事业运行204（类）06（款）50（项）: 指用于机构日常工作运转的支出。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7.社会保障和就业208（类）：指用于社会保险和就业方面的支出。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（1）机关事业单位基本养老保险208（类）05（款）05（项）: 指用于机构职工基本养老保险支出。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（2）机关事业单位职业年金208（类）05（款）06（项）: 指用于机构职工职业年金支出。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8.医疗卫生与计划生育210（类）11（款）01（项）：指用于医疗卫生与计划生育方面的支出。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9.住房保障221（类）：指用于住房方面的支出。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(1)住房公积金221（类）02（款）01（项）:指用于机构职工住房公积金支出。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10.基本支出：指为保障机构正常运转、完成日常工作 任务而发生的人员支出和公用支出。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11.项目支出：指在基本支出之外为完成特定行政任务 和事业发展目标所发生的支出。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12.“三公”经费：指部门用财政拨款安排的因公出国出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 车辆购置税）及租用费、燃料费、维修费、过路过桥费、保险费等支出；公务接待费反映单位按规定开支的各类公务接待（含外宾接待）支出。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13.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</w:p>
    <w:p>
      <w:pPr>
        <w:spacing w:line="600" w:lineRule="exact"/>
        <w:ind w:firstLine="1280" w:firstLineChars="4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numPr>
          <w:ilvl w:val="0"/>
          <w:numId w:val="2"/>
        </w:numPr>
        <w:spacing w:line="600" w:lineRule="exact"/>
        <w:ind w:firstLine="660" w:firstLineChars="150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  <w:bookmarkStart w:id="43" w:name="_Toc9110"/>
      <w:r>
        <w:rPr>
          <w:rFonts w:hint="eastAsia" w:ascii="黑体" w:hAnsi="黑体" w:eastAsia="黑体"/>
          <w:color w:val="000000"/>
          <w:sz w:val="44"/>
          <w:szCs w:val="44"/>
        </w:rPr>
        <w:t>分附表</w:t>
      </w:r>
      <w:bookmarkEnd w:id="43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一、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收入支出决算总表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二、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收入决算表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三、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四、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财政拨款收入支出决算总表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五、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财政拨款支出决算明细表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六、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一般公共预算财政拨款支出决算表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七、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一般公共预算财政拨款支出决算明细表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八、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一般公共预算财政拨款基本支出决算表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九、</w:t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ab/>
      </w: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一般公共预算财政拨款项目支出决算表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十、一般公共预算财政拨款“三公”经费支出决算表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十一、政府性基金预算财政拨款收入支出决算表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十二、政府性基金预算财政拨款“三公”经费支出决算表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十三、国有资本经营预算财政拨款支出决算表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</w:pPr>
      <w:r>
        <w:rPr>
          <w:rFonts w:hint="eastAsia" w:ascii="仿宋" w:hAnsi="仿宋" w:eastAsia="仿宋"/>
          <w:color w:val="000000"/>
          <w:sz w:val="32"/>
          <w:szCs w:val="32"/>
          <w:lang w:val="zh-TW" w:eastAsia="zh-TW"/>
        </w:rPr>
        <w:t>十四、国有资本经营预算财政拨款支出决算表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rPr>
        <w:rFonts w:hint="eastAsia" w:cs="Times New Roman"/>
      </w:rPr>
    </w:lvl>
  </w:abstractNum>
  <w:abstractNum w:abstractNumId="1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1C"/>
    <w:rsid w:val="000222C6"/>
    <w:rsid w:val="0002549F"/>
    <w:rsid w:val="000468DB"/>
    <w:rsid w:val="0006487A"/>
    <w:rsid w:val="00065F8F"/>
    <w:rsid w:val="00070A43"/>
    <w:rsid w:val="000768F2"/>
    <w:rsid w:val="0009184B"/>
    <w:rsid w:val="00094236"/>
    <w:rsid w:val="0009593C"/>
    <w:rsid w:val="00097322"/>
    <w:rsid w:val="000A6A92"/>
    <w:rsid w:val="000B047F"/>
    <w:rsid w:val="000B5923"/>
    <w:rsid w:val="000B5A48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15301"/>
    <w:rsid w:val="001319E1"/>
    <w:rsid w:val="00142216"/>
    <w:rsid w:val="00144D6A"/>
    <w:rsid w:val="0014729F"/>
    <w:rsid w:val="00157BAB"/>
    <w:rsid w:val="001654D1"/>
    <w:rsid w:val="00174518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04CDE"/>
    <w:rsid w:val="0021101A"/>
    <w:rsid w:val="00220536"/>
    <w:rsid w:val="00235629"/>
    <w:rsid w:val="00256262"/>
    <w:rsid w:val="00260C38"/>
    <w:rsid w:val="002616C0"/>
    <w:rsid w:val="00265372"/>
    <w:rsid w:val="002662AA"/>
    <w:rsid w:val="0027224D"/>
    <w:rsid w:val="00280496"/>
    <w:rsid w:val="00294DC9"/>
    <w:rsid w:val="00295495"/>
    <w:rsid w:val="002A31DE"/>
    <w:rsid w:val="002B2613"/>
    <w:rsid w:val="002D6D05"/>
    <w:rsid w:val="002F1818"/>
    <w:rsid w:val="002F567B"/>
    <w:rsid w:val="003216A9"/>
    <w:rsid w:val="00335A74"/>
    <w:rsid w:val="0036561B"/>
    <w:rsid w:val="0037013F"/>
    <w:rsid w:val="00380C92"/>
    <w:rsid w:val="003A484F"/>
    <w:rsid w:val="003A4883"/>
    <w:rsid w:val="003B0BE0"/>
    <w:rsid w:val="003B0C1B"/>
    <w:rsid w:val="003B688C"/>
    <w:rsid w:val="003C0291"/>
    <w:rsid w:val="003C39AE"/>
    <w:rsid w:val="003C7B60"/>
    <w:rsid w:val="003D0C0F"/>
    <w:rsid w:val="003D1FB2"/>
    <w:rsid w:val="003D66DA"/>
    <w:rsid w:val="003E1310"/>
    <w:rsid w:val="003E6F55"/>
    <w:rsid w:val="003E6FE4"/>
    <w:rsid w:val="00406254"/>
    <w:rsid w:val="004223DE"/>
    <w:rsid w:val="00434489"/>
    <w:rsid w:val="00437085"/>
    <w:rsid w:val="00443880"/>
    <w:rsid w:val="00445607"/>
    <w:rsid w:val="004464F4"/>
    <w:rsid w:val="00471401"/>
    <w:rsid w:val="00473F31"/>
    <w:rsid w:val="0048263A"/>
    <w:rsid w:val="00487E5D"/>
    <w:rsid w:val="004A711F"/>
    <w:rsid w:val="004B199D"/>
    <w:rsid w:val="004B4690"/>
    <w:rsid w:val="004D5479"/>
    <w:rsid w:val="004E0A2D"/>
    <w:rsid w:val="004E206B"/>
    <w:rsid w:val="004E6DF7"/>
    <w:rsid w:val="004F0FBD"/>
    <w:rsid w:val="00505A47"/>
    <w:rsid w:val="00512FDA"/>
    <w:rsid w:val="00520DA0"/>
    <w:rsid w:val="005269A7"/>
    <w:rsid w:val="005269D7"/>
    <w:rsid w:val="005664BB"/>
    <w:rsid w:val="00566FFA"/>
    <w:rsid w:val="0057481D"/>
    <w:rsid w:val="0058486E"/>
    <w:rsid w:val="00585B33"/>
    <w:rsid w:val="0059014D"/>
    <w:rsid w:val="005B5C64"/>
    <w:rsid w:val="005C5337"/>
    <w:rsid w:val="005C6BD0"/>
    <w:rsid w:val="005D1C8B"/>
    <w:rsid w:val="005D468D"/>
    <w:rsid w:val="005D5CED"/>
    <w:rsid w:val="005F1A4C"/>
    <w:rsid w:val="00605688"/>
    <w:rsid w:val="006070AF"/>
    <w:rsid w:val="00607E6C"/>
    <w:rsid w:val="006101B1"/>
    <w:rsid w:val="00614E44"/>
    <w:rsid w:val="0062270A"/>
    <w:rsid w:val="00622830"/>
    <w:rsid w:val="00623DA0"/>
    <w:rsid w:val="00630AEF"/>
    <w:rsid w:val="006325F8"/>
    <w:rsid w:val="00633463"/>
    <w:rsid w:val="00634C9A"/>
    <w:rsid w:val="006440E4"/>
    <w:rsid w:val="00645F81"/>
    <w:rsid w:val="0066343B"/>
    <w:rsid w:val="00664777"/>
    <w:rsid w:val="006748A4"/>
    <w:rsid w:val="00681A31"/>
    <w:rsid w:val="00683E73"/>
    <w:rsid w:val="006A3141"/>
    <w:rsid w:val="006A5E34"/>
    <w:rsid w:val="006B2422"/>
    <w:rsid w:val="006B2B9A"/>
    <w:rsid w:val="006C1937"/>
    <w:rsid w:val="006F020C"/>
    <w:rsid w:val="007127B7"/>
    <w:rsid w:val="0071798E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1682"/>
    <w:rsid w:val="007D312A"/>
    <w:rsid w:val="007D3F19"/>
    <w:rsid w:val="007E23B0"/>
    <w:rsid w:val="007E23E5"/>
    <w:rsid w:val="007F1991"/>
    <w:rsid w:val="007F2C2F"/>
    <w:rsid w:val="007F55FC"/>
    <w:rsid w:val="007F5665"/>
    <w:rsid w:val="00800112"/>
    <w:rsid w:val="00813348"/>
    <w:rsid w:val="008253BB"/>
    <w:rsid w:val="0083706E"/>
    <w:rsid w:val="008408F6"/>
    <w:rsid w:val="008423A5"/>
    <w:rsid w:val="00850625"/>
    <w:rsid w:val="00853718"/>
    <w:rsid w:val="00855221"/>
    <w:rsid w:val="00860645"/>
    <w:rsid w:val="00871F71"/>
    <w:rsid w:val="00872FD8"/>
    <w:rsid w:val="00885AF4"/>
    <w:rsid w:val="00892977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33499"/>
    <w:rsid w:val="009334D8"/>
    <w:rsid w:val="00935C98"/>
    <w:rsid w:val="00946945"/>
    <w:rsid w:val="00951248"/>
    <w:rsid w:val="0095152F"/>
    <w:rsid w:val="00954C49"/>
    <w:rsid w:val="00955E37"/>
    <w:rsid w:val="00962656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A4B"/>
    <w:rsid w:val="009C2E98"/>
    <w:rsid w:val="009D3447"/>
    <w:rsid w:val="009D4711"/>
    <w:rsid w:val="009F1185"/>
    <w:rsid w:val="009F18CD"/>
    <w:rsid w:val="009F2A13"/>
    <w:rsid w:val="009F7527"/>
    <w:rsid w:val="00A04EB0"/>
    <w:rsid w:val="00A13CC1"/>
    <w:rsid w:val="00A16847"/>
    <w:rsid w:val="00A237D8"/>
    <w:rsid w:val="00A268C4"/>
    <w:rsid w:val="00A307CD"/>
    <w:rsid w:val="00A331C8"/>
    <w:rsid w:val="00A40A00"/>
    <w:rsid w:val="00A4142F"/>
    <w:rsid w:val="00A422EB"/>
    <w:rsid w:val="00A45BB7"/>
    <w:rsid w:val="00A56DF2"/>
    <w:rsid w:val="00A56E6E"/>
    <w:rsid w:val="00A67AB5"/>
    <w:rsid w:val="00A733B2"/>
    <w:rsid w:val="00A741C2"/>
    <w:rsid w:val="00A91760"/>
    <w:rsid w:val="00A93B00"/>
    <w:rsid w:val="00A93C21"/>
    <w:rsid w:val="00AB64C9"/>
    <w:rsid w:val="00AC3C6A"/>
    <w:rsid w:val="00AD5620"/>
    <w:rsid w:val="00AD656B"/>
    <w:rsid w:val="00AD7C1B"/>
    <w:rsid w:val="00AE16BA"/>
    <w:rsid w:val="00AE1EBE"/>
    <w:rsid w:val="00B011E4"/>
    <w:rsid w:val="00B03C9D"/>
    <w:rsid w:val="00B060AE"/>
    <w:rsid w:val="00B10517"/>
    <w:rsid w:val="00B14E76"/>
    <w:rsid w:val="00B161B8"/>
    <w:rsid w:val="00B2048C"/>
    <w:rsid w:val="00B310B9"/>
    <w:rsid w:val="00B35F3F"/>
    <w:rsid w:val="00B36CBB"/>
    <w:rsid w:val="00B425E0"/>
    <w:rsid w:val="00B440AA"/>
    <w:rsid w:val="00B44B70"/>
    <w:rsid w:val="00B53C56"/>
    <w:rsid w:val="00B57DAF"/>
    <w:rsid w:val="00B77EA6"/>
    <w:rsid w:val="00B81598"/>
    <w:rsid w:val="00B841F1"/>
    <w:rsid w:val="00B90E4E"/>
    <w:rsid w:val="00B944D6"/>
    <w:rsid w:val="00B965DC"/>
    <w:rsid w:val="00BB4DF0"/>
    <w:rsid w:val="00BC289F"/>
    <w:rsid w:val="00BC2D50"/>
    <w:rsid w:val="00BC5361"/>
    <w:rsid w:val="00BC5460"/>
    <w:rsid w:val="00BC6B50"/>
    <w:rsid w:val="00BD0E25"/>
    <w:rsid w:val="00BF5BD6"/>
    <w:rsid w:val="00C03E31"/>
    <w:rsid w:val="00C33E72"/>
    <w:rsid w:val="00C354B2"/>
    <w:rsid w:val="00C35554"/>
    <w:rsid w:val="00C42709"/>
    <w:rsid w:val="00C533CC"/>
    <w:rsid w:val="00C5751C"/>
    <w:rsid w:val="00C61BFC"/>
    <w:rsid w:val="00C62B85"/>
    <w:rsid w:val="00C65438"/>
    <w:rsid w:val="00C87FD8"/>
    <w:rsid w:val="00C91381"/>
    <w:rsid w:val="00C91CBB"/>
    <w:rsid w:val="00CB4E70"/>
    <w:rsid w:val="00CC09B6"/>
    <w:rsid w:val="00CC666F"/>
    <w:rsid w:val="00CD1E3F"/>
    <w:rsid w:val="00CE44F6"/>
    <w:rsid w:val="00CE49DA"/>
    <w:rsid w:val="00CE7B61"/>
    <w:rsid w:val="00D00095"/>
    <w:rsid w:val="00D114F0"/>
    <w:rsid w:val="00D20620"/>
    <w:rsid w:val="00D254F7"/>
    <w:rsid w:val="00D26091"/>
    <w:rsid w:val="00D2685C"/>
    <w:rsid w:val="00D34E7C"/>
    <w:rsid w:val="00D35489"/>
    <w:rsid w:val="00D36AFE"/>
    <w:rsid w:val="00D51276"/>
    <w:rsid w:val="00D7035F"/>
    <w:rsid w:val="00DA634F"/>
    <w:rsid w:val="00DA65AC"/>
    <w:rsid w:val="00DB1913"/>
    <w:rsid w:val="00DC410D"/>
    <w:rsid w:val="00DC5A81"/>
    <w:rsid w:val="00DC68CA"/>
    <w:rsid w:val="00DC74B0"/>
    <w:rsid w:val="00DC7CBA"/>
    <w:rsid w:val="00DD73B7"/>
    <w:rsid w:val="00DF28BC"/>
    <w:rsid w:val="00DF34B9"/>
    <w:rsid w:val="00E01053"/>
    <w:rsid w:val="00E07ACF"/>
    <w:rsid w:val="00E32CAD"/>
    <w:rsid w:val="00E331A1"/>
    <w:rsid w:val="00E33202"/>
    <w:rsid w:val="00E336A9"/>
    <w:rsid w:val="00E472B1"/>
    <w:rsid w:val="00E50624"/>
    <w:rsid w:val="00E568DF"/>
    <w:rsid w:val="00E64269"/>
    <w:rsid w:val="00E70975"/>
    <w:rsid w:val="00E82267"/>
    <w:rsid w:val="00E853CE"/>
    <w:rsid w:val="00E867B6"/>
    <w:rsid w:val="00EA010F"/>
    <w:rsid w:val="00ED1B63"/>
    <w:rsid w:val="00ED3C1F"/>
    <w:rsid w:val="00ED4085"/>
    <w:rsid w:val="00ED420E"/>
    <w:rsid w:val="00ED6FBE"/>
    <w:rsid w:val="00EE2F57"/>
    <w:rsid w:val="00EF4C34"/>
    <w:rsid w:val="00EF60EF"/>
    <w:rsid w:val="00EF77C6"/>
    <w:rsid w:val="00F05438"/>
    <w:rsid w:val="00F1361C"/>
    <w:rsid w:val="00F156F0"/>
    <w:rsid w:val="00F160C7"/>
    <w:rsid w:val="00F2408F"/>
    <w:rsid w:val="00F240E9"/>
    <w:rsid w:val="00F36D8F"/>
    <w:rsid w:val="00F417B1"/>
    <w:rsid w:val="00F45853"/>
    <w:rsid w:val="00F602DF"/>
    <w:rsid w:val="00F754A1"/>
    <w:rsid w:val="00F81FD9"/>
    <w:rsid w:val="00F841AA"/>
    <w:rsid w:val="00F84A94"/>
    <w:rsid w:val="00F87E96"/>
    <w:rsid w:val="00FA23E8"/>
    <w:rsid w:val="00FD3CC1"/>
    <w:rsid w:val="00FF1E02"/>
    <w:rsid w:val="00FF30B4"/>
    <w:rsid w:val="01F91FA2"/>
    <w:rsid w:val="0A2032A3"/>
    <w:rsid w:val="0A7C3105"/>
    <w:rsid w:val="0D0962DF"/>
    <w:rsid w:val="0D7F23D2"/>
    <w:rsid w:val="0FB32109"/>
    <w:rsid w:val="10C055FF"/>
    <w:rsid w:val="118107EC"/>
    <w:rsid w:val="12401524"/>
    <w:rsid w:val="15CD01EF"/>
    <w:rsid w:val="16BB723D"/>
    <w:rsid w:val="18621476"/>
    <w:rsid w:val="195864D4"/>
    <w:rsid w:val="1D155CEE"/>
    <w:rsid w:val="1DB57BF2"/>
    <w:rsid w:val="240371BF"/>
    <w:rsid w:val="26A304C8"/>
    <w:rsid w:val="291F2C34"/>
    <w:rsid w:val="29FD04D3"/>
    <w:rsid w:val="2E4F3A42"/>
    <w:rsid w:val="319F7F4E"/>
    <w:rsid w:val="326B7F22"/>
    <w:rsid w:val="399D552C"/>
    <w:rsid w:val="3C660363"/>
    <w:rsid w:val="46BA1A23"/>
    <w:rsid w:val="4E480507"/>
    <w:rsid w:val="4ECE2238"/>
    <w:rsid w:val="505235A3"/>
    <w:rsid w:val="54E3759A"/>
    <w:rsid w:val="5A5D362D"/>
    <w:rsid w:val="5A6D04B0"/>
    <w:rsid w:val="5C5225BC"/>
    <w:rsid w:val="6247367F"/>
    <w:rsid w:val="63016E3B"/>
    <w:rsid w:val="69B52513"/>
    <w:rsid w:val="6C4A05C8"/>
    <w:rsid w:val="70717DFE"/>
    <w:rsid w:val="709F2CA0"/>
    <w:rsid w:val="72734D90"/>
    <w:rsid w:val="7595199F"/>
    <w:rsid w:val="77E213EF"/>
    <w:rsid w:val="7E25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7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link w:val="28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6">
    <w:name w:val="toc 7"/>
    <w:basedOn w:val="1"/>
    <w:next w:val="1"/>
    <w:unhideWhenUsed/>
    <w:qFormat/>
    <w:uiPriority w:val="39"/>
    <w:pPr>
      <w:ind w:left="1260"/>
      <w:jc w:val="left"/>
    </w:pPr>
    <w:rPr>
      <w:rFonts w:asciiTheme="minorHAnsi" w:eastAsiaTheme="minorHAnsi"/>
      <w:sz w:val="18"/>
      <w:szCs w:val="18"/>
    </w:rPr>
  </w:style>
  <w:style w:type="paragraph" w:styleId="7">
    <w:name w:val="Body Text"/>
    <w:basedOn w:val="1"/>
    <w:link w:val="35"/>
    <w:qFormat/>
    <w:uiPriority w:val="99"/>
    <w:pPr>
      <w:spacing w:beforeLines="30"/>
    </w:pPr>
    <w:rPr>
      <w:rFonts w:ascii="仿宋_GB2312" w:eastAsia="仿宋_GB2312"/>
      <w:kern w:val="0"/>
      <w:sz w:val="24"/>
      <w:szCs w:val="20"/>
      <w:lang w:val="zh-CN" w:eastAsia="zh-CN"/>
    </w:rPr>
  </w:style>
  <w:style w:type="paragraph" w:styleId="8">
    <w:name w:val="Body Text Indent"/>
    <w:basedOn w:val="1"/>
    <w:next w:val="9"/>
    <w:qFormat/>
    <w:uiPriority w:val="0"/>
    <w:pPr>
      <w:spacing w:line="560" w:lineRule="atLeast"/>
      <w:ind w:firstLine="640" w:firstLineChars="200"/>
    </w:pPr>
    <w:rPr>
      <w:rFonts w:ascii="仿宋_GB2312" w:hAnsi="Times New Roman" w:eastAsia="仿宋_GB2312" w:cs="Times New Roman"/>
      <w:sz w:val="32"/>
    </w:rPr>
  </w:style>
  <w:style w:type="paragraph" w:styleId="9">
    <w:name w:val="Body Text First Indent 2"/>
    <w:basedOn w:val="8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10">
    <w:name w:val="toc 5"/>
    <w:basedOn w:val="1"/>
    <w:next w:val="1"/>
    <w:unhideWhenUsed/>
    <w:qFormat/>
    <w:uiPriority w:val="39"/>
    <w:pPr>
      <w:ind w:left="840"/>
      <w:jc w:val="left"/>
    </w:pPr>
    <w:rPr>
      <w:rFonts w:asciiTheme="minorHAnsi" w:eastAsiaTheme="minorHAnsi"/>
      <w:sz w:val="18"/>
      <w:szCs w:val="18"/>
    </w:rPr>
  </w:style>
  <w:style w:type="paragraph" w:styleId="11">
    <w:name w:val="toc 3"/>
    <w:basedOn w:val="1"/>
    <w:next w:val="1"/>
    <w:unhideWhenUsed/>
    <w:qFormat/>
    <w:uiPriority w:val="39"/>
    <w:pPr>
      <w:ind w:left="420"/>
      <w:jc w:val="left"/>
    </w:pPr>
    <w:rPr>
      <w:rFonts w:asciiTheme="minorHAnsi" w:eastAsiaTheme="minorHAnsi"/>
      <w:i/>
      <w:iCs/>
      <w:sz w:val="20"/>
      <w:szCs w:val="20"/>
    </w:rPr>
  </w:style>
  <w:style w:type="paragraph" w:styleId="1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3">
    <w:name w:val="toc 8"/>
    <w:basedOn w:val="1"/>
    <w:next w:val="1"/>
    <w:unhideWhenUsed/>
    <w:qFormat/>
    <w:uiPriority w:val="39"/>
    <w:pPr>
      <w:ind w:left="1470"/>
      <w:jc w:val="left"/>
    </w:pPr>
    <w:rPr>
      <w:rFonts w:asciiTheme="minorHAnsi" w:eastAsiaTheme="minorHAnsi"/>
      <w:sz w:val="18"/>
      <w:szCs w:val="18"/>
    </w:rPr>
  </w:style>
  <w:style w:type="paragraph" w:styleId="14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  <w:lang w:val="zh-CN" w:eastAsia="zh-CN"/>
    </w:rPr>
  </w:style>
  <w:style w:type="paragraph" w:styleId="16">
    <w:name w:val="header"/>
    <w:basedOn w:val="1"/>
    <w:link w:val="3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  <w:lang w:val="zh-CN" w:eastAsia="zh-CN"/>
    </w:rPr>
  </w:style>
  <w:style w:type="paragraph" w:styleId="17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18">
    <w:name w:val="toc 4"/>
    <w:basedOn w:val="1"/>
    <w:next w:val="1"/>
    <w:unhideWhenUsed/>
    <w:qFormat/>
    <w:uiPriority w:val="39"/>
    <w:pPr>
      <w:ind w:left="630"/>
      <w:jc w:val="left"/>
    </w:pPr>
    <w:rPr>
      <w:rFonts w:asciiTheme="minorHAnsi" w:eastAsiaTheme="minorHAnsi"/>
      <w:sz w:val="18"/>
      <w:szCs w:val="18"/>
    </w:rPr>
  </w:style>
  <w:style w:type="paragraph" w:styleId="19">
    <w:name w:val="toc 6"/>
    <w:basedOn w:val="1"/>
    <w:next w:val="1"/>
    <w:unhideWhenUsed/>
    <w:qFormat/>
    <w:uiPriority w:val="39"/>
    <w:pPr>
      <w:ind w:left="1050"/>
      <w:jc w:val="left"/>
    </w:pPr>
    <w:rPr>
      <w:rFonts w:asciiTheme="minorHAnsi" w:eastAsiaTheme="minorHAnsi"/>
      <w:sz w:val="18"/>
      <w:szCs w:val="18"/>
    </w:rPr>
  </w:style>
  <w:style w:type="paragraph" w:styleId="20">
    <w:name w:val="toc 2"/>
    <w:basedOn w:val="1"/>
    <w:next w:val="1"/>
    <w:unhideWhenUsed/>
    <w:qFormat/>
    <w:uiPriority w:val="39"/>
    <w:pPr>
      <w:ind w:left="210"/>
      <w:jc w:val="left"/>
    </w:pPr>
    <w:rPr>
      <w:rFonts w:asciiTheme="minorHAnsi" w:eastAsiaTheme="minorHAnsi"/>
      <w:smallCaps/>
      <w:sz w:val="20"/>
      <w:szCs w:val="20"/>
    </w:rPr>
  </w:style>
  <w:style w:type="paragraph" w:styleId="21">
    <w:name w:val="toc 9"/>
    <w:basedOn w:val="1"/>
    <w:next w:val="1"/>
    <w:unhideWhenUsed/>
    <w:qFormat/>
    <w:uiPriority w:val="39"/>
    <w:pPr>
      <w:ind w:left="1680"/>
      <w:jc w:val="left"/>
    </w:pPr>
    <w:rPr>
      <w:rFonts w:asciiTheme="minorHAnsi" w:eastAsiaTheme="minorHAnsi"/>
      <w:sz w:val="18"/>
      <w:szCs w:val="18"/>
    </w:rPr>
  </w:style>
  <w:style w:type="character" w:styleId="24">
    <w:name w:val="Strong"/>
    <w:basedOn w:val="23"/>
    <w:qFormat/>
    <w:uiPriority w:val="99"/>
    <w:rPr>
      <w:rFonts w:cs="Times New Roman"/>
      <w:b/>
    </w:rPr>
  </w:style>
  <w:style w:type="character" w:styleId="25">
    <w:name w:val="Hyperlink"/>
    <w:basedOn w:val="23"/>
    <w:unhideWhenUsed/>
    <w:qFormat/>
    <w:uiPriority w:val="99"/>
    <w:rPr>
      <w:rFonts w:cs="Times New Roman"/>
      <w:color w:val="0000FF"/>
      <w:u w:val="single"/>
    </w:rPr>
  </w:style>
  <w:style w:type="character" w:customStyle="1" w:styleId="26">
    <w:name w:val="标题 1 字符"/>
    <w:basedOn w:val="23"/>
    <w:link w:val="3"/>
    <w:qFormat/>
    <w:locked/>
    <w:uiPriority w:val="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7">
    <w:name w:val="标题 2 字符"/>
    <w:basedOn w:val="23"/>
    <w:link w:val="4"/>
    <w:qFormat/>
    <w:locked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8">
    <w:name w:val="标题 3 字符"/>
    <w:basedOn w:val="23"/>
    <w:link w:val="5"/>
    <w:qFormat/>
    <w:locked/>
    <w:uiPriority w:val="9"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29">
    <w:name w:val="Body Text Char"/>
    <w:basedOn w:val="23"/>
    <w:semiHidden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批注框文本 字符"/>
    <w:basedOn w:val="23"/>
    <w:link w:val="14"/>
    <w:semiHidden/>
    <w:qFormat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31">
    <w:name w:val="Footer Char"/>
    <w:basedOn w:val="2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32">
    <w:name w:val="Header Char"/>
    <w:basedOn w:val="2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33">
    <w:name w:val="页眉 字符"/>
    <w:link w:val="16"/>
    <w:semiHidden/>
    <w:qFormat/>
    <w:locked/>
    <w:uiPriority w:val="99"/>
    <w:rPr>
      <w:sz w:val="18"/>
    </w:rPr>
  </w:style>
  <w:style w:type="character" w:customStyle="1" w:styleId="34">
    <w:name w:val="页脚 字符"/>
    <w:link w:val="15"/>
    <w:qFormat/>
    <w:locked/>
    <w:uiPriority w:val="99"/>
    <w:rPr>
      <w:sz w:val="18"/>
    </w:rPr>
  </w:style>
  <w:style w:type="character" w:customStyle="1" w:styleId="35">
    <w:name w:val="正文文本 字符"/>
    <w:link w:val="7"/>
    <w:qFormat/>
    <w:locked/>
    <w:uiPriority w:val="99"/>
    <w:rPr>
      <w:rFonts w:ascii="仿宋_GB2312" w:hAnsi="Times New Roman" w:eastAsia="仿宋_GB2312"/>
      <w:sz w:val="24"/>
    </w:rPr>
  </w:style>
  <w:style w:type="paragraph" w:customStyle="1" w:styleId="3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customStyle="1" w:styleId="37">
    <w:name w:val="列表段落1"/>
    <w:basedOn w:val="1"/>
    <w:qFormat/>
    <w:uiPriority w:val="34"/>
    <w:pPr>
      <w:ind w:firstLine="420" w:firstLineChars="200"/>
    </w:pPr>
  </w:style>
  <w:style w:type="paragraph" w:customStyle="1" w:styleId="38">
    <w:name w:val="TOC 标题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9">
    <w:name w:val="TOC Heading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40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41">
    <w:name w:val="Heading 1 Char"/>
    <w:basedOn w:val="23"/>
    <w:link w:val="3"/>
    <w:qFormat/>
    <w:locked/>
    <w:uiPriority w:val="99"/>
    <w:rPr>
      <w:rFonts w:cs="Times New Roman"/>
      <w:b/>
      <w:bCs/>
      <w:kern w:val="44"/>
      <w:sz w:val="44"/>
      <w:szCs w:val="4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after="240" w:line="425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chart" Target="charts/chart7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20915;&#31639;\2020&#24180;&#20915;&#31639;&#20844;&#24320;&#20998;&#26512;&#22270;&#34920;(1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20915;&#31639;\2020&#24180;&#20915;&#31639;&#20844;&#24320;&#20998;&#26512;&#22270;&#34920;(1)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2.xml"/><Relationship Id="rId1" Type="http://schemas.openxmlformats.org/officeDocument/2006/relationships/oleObject" Target="file:///C:\Users\1\Desktop\&#20915;&#31639;\2020&#24180;&#20915;&#31639;&#20844;&#24320;&#20998;&#26512;&#22270;&#34920;(1)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1.xml"/><Relationship Id="rId1" Type="http://schemas.openxmlformats.org/officeDocument/2006/relationships/oleObject" Target="file:///C:\Users\1\Desktop\&#20915;&#31639;\2020&#24180;&#20915;&#31639;&#20844;&#24320;&#20998;&#26512;&#22270;&#34920;(1)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20915;&#31639;\2020&#24180;&#20915;&#31639;&#20844;&#24320;&#20998;&#26512;&#22270;&#34920;(1)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20915;&#31639;\2020&#24180;&#20915;&#31639;&#20844;&#24320;&#20998;&#26512;&#22270;&#34920;(1)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20915;&#31639;\2020&#24180;&#20915;&#31639;&#20844;&#24320;&#20998;&#26512;&#22270;&#34920;(1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收入决算总计变动情况图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88333333333333"/>
          <c:y val="0.22037037037037"/>
          <c:w val="0.844222222222222"/>
          <c:h val="0.71166666666666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'[2020年决算公开分析图表(1).xls]Sheet1'!$A$3:$B$3</c:f>
              <c:strCache>
                <c:ptCount val="2"/>
                <c:pt idx="0">
                  <c:v>2020年</c:v>
                </c:pt>
                <c:pt idx="1">
                  <c:v>2021年</c:v>
                </c:pt>
              </c:strCache>
            </c:strRef>
          </c:cat>
          <c:val>
            <c:numRef>
              <c:f>'[2020年决算公开分析图表(1).xls]Sheet1'!$A$4:$B$4</c:f>
              <c:numCache>
                <c:formatCode>#,##0.00</c:formatCode>
                <c:ptCount val="2"/>
                <c:pt idx="0">
                  <c:v>134.58</c:v>
                </c:pt>
                <c:pt idx="1">
                  <c:v>116.64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7711969"/>
        <c:axId val="509662423"/>
      </c:barChart>
      <c:catAx>
        <c:axId val="32771196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09662423"/>
        <c:crosses val="autoZero"/>
        <c:auto val="1"/>
        <c:lblAlgn val="ctr"/>
        <c:lblOffset val="100"/>
        <c:noMultiLvlLbl val="0"/>
      </c:catAx>
      <c:valAx>
        <c:axId val="509662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2771196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支出决算总计变动情况图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3902659813525"/>
          <c:y val="0.161387631975868"/>
          <c:w val="0.87096098455093"/>
          <c:h val="0.73160956690368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'[2020年决算公开分析图表(1).xls]Sheet1'!$A$24:$B$24</c:f>
              <c:strCache>
                <c:ptCount val="2"/>
                <c:pt idx="0">
                  <c:v>2020年</c:v>
                </c:pt>
                <c:pt idx="1">
                  <c:v>2021年</c:v>
                </c:pt>
              </c:strCache>
            </c:strRef>
          </c:cat>
          <c:val>
            <c:numRef>
              <c:f>'[2020年决算公开分析图表(1).xls]Sheet1'!$A$25:$B$25</c:f>
              <c:numCache>
                <c:formatCode>#,##0.00</c:formatCode>
                <c:ptCount val="2"/>
                <c:pt idx="0">
                  <c:v>134.58</c:v>
                </c:pt>
                <c:pt idx="1">
                  <c:v>116.64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0717460"/>
        <c:axId val="903206555"/>
      </c:barChart>
      <c:catAx>
        <c:axId val="1407174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03206555"/>
        <c:crosses val="autoZero"/>
        <c:auto val="1"/>
        <c:lblAlgn val="ctr"/>
        <c:lblOffset val="100"/>
        <c:noMultiLvlLbl val="0"/>
      </c:catAx>
      <c:valAx>
        <c:axId val="9032065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407174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t>收入决算结构图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explosion val="0"/>
            <c:spPr>
              <a:solidFill>
                <a:srgbClr val="5B9BD5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1"/>
            <c:bubble3D val="0"/>
            <c:explosion val="0"/>
            <c:spPr>
              <a:solidFill>
                <a:srgbClr val="ED7D31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2"/>
            <c:bubble3D val="0"/>
            <c:explosion val="0"/>
            <c:spPr>
              <a:solidFill>
                <a:srgbClr val="A5A5A5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3"/>
            <c:bubble3D val="0"/>
            <c:explosion val="0"/>
            <c:spPr>
              <a:solidFill>
                <a:srgbClr val="FFC000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4"/>
            <c:bubble3D val="0"/>
            <c:explosion val="0"/>
            <c:spPr>
              <a:solidFill>
                <a:srgbClr val="4472C4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5"/>
            <c:bubble3D val="0"/>
            <c:explosion val="0"/>
          </c:dPt>
          <c:dLbls>
            <c:numFmt formatCode="General" sourceLinked="1"/>
            <c:spPr>
              <a:noFill/>
              <a:ln w="3175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000000">
                          <a:alpha val="100000"/>
                        </a:srgbClr>
                      </a:solidFill>
                      <a:prstDash val="solid"/>
                      <a:round/>
                    </a:ln>
                  </c:spPr>
                </c15:leaderLines>
              </c:ext>
            </c:extLst>
          </c:dLbls>
          <c:cat>
            <c:strRef>
              <c:f>'[2020年决算公开分析图表(1).xls]Sheet1'!$C$49:$C$54</c:f>
              <c:strCache>
                <c:ptCount val="6"/>
                <c:pt idx="0">
                  <c:v>一般公共预算财政拨款</c:v>
                </c:pt>
                <c:pt idx="1">
                  <c:v>政府性基金预算财政拨款</c:v>
                </c:pt>
                <c:pt idx="2">
                  <c:v>上级补助</c:v>
                </c:pt>
                <c:pt idx="3">
                  <c:v>事业</c:v>
                </c:pt>
                <c:pt idx="4">
                  <c:v>经营</c:v>
                </c:pt>
                <c:pt idx="5">
                  <c:v>其他</c:v>
                </c:pt>
              </c:strCache>
            </c:strRef>
          </c:cat>
          <c:val>
            <c:numRef>
              <c:f>'[2020年决算公开分析图表(1).xls]Sheet1'!$D$49:$D$54</c:f>
              <c:numCache>
                <c:formatCode>#,##0.00</c:formatCode>
                <c:ptCount val="6"/>
                <c:pt idx="0">
                  <c:v>116.64</c:v>
                </c:pt>
                <c:pt idx="1" c:formatCode="General">
                  <c:v>0</c:v>
                </c:pt>
                <c:pt idx="2" c:formatCode="General">
                  <c:v>0</c:v>
                </c:pt>
                <c:pt idx="3" c:formatCode="General">
                  <c:v>0</c:v>
                </c:pt>
                <c:pt idx="4" c: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t>支出决算结构图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explosion val="0"/>
            <c:spPr>
              <a:solidFill>
                <a:srgbClr val="5B9BD5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1"/>
            <c:bubble3D val="0"/>
            <c:explosion val="0"/>
            <c:spPr>
              <a:solidFill>
                <a:srgbClr val="ED7D31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2"/>
            <c:bubble3D val="0"/>
            <c:explosion val="0"/>
            <c:spPr>
              <a:solidFill>
                <a:srgbClr val="A5A5A5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3"/>
            <c:bubble3D val="0"/>
            <c:explosion val="0"/>
            <c:spPr>
              <a:solidFill>
                <a:srgbClr val="FFC000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4"/>
            <c:bubble3D val="0"/>
            <c:explosion val="0"/>
            <c:spPr>
              <a:solidFill>
                <a:srgbClr val="4472C4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'[2020年决算公开分析图表(1).xls]Sheet1'!$C$80:$C$84</c:f>
              <c:strCache>
                <c:ptCount val="5"/>
                <c:pt idx="0">
                  <c:v>基本支出</c:v>
                </c:pt>
                <c:pt idx="1">
                  <c:v>项目支出</c:v>
                </c:pt>
                <c:pt idx="2">
                  <c:v>上缴上级支出</c:v>
                </c:pt>
                <c:pt idx="3">
                  <c:v>经营支出</c:v>
                </c:pt>
                <c:pt idx="4">
                  <c:v>对附属单位补助支出</c:v>
                </c:pt>
              </c:strCache>
            </c:strRef>
          </c:cat>
          <c:val>
            <c:numRef>
              <c:f>'[2020年决算公开分析图表(1).xls]Sheet1'!$D$80:$D$84</c:f>
              <c:numCache>
                <c:formatCode>#,##0.00</c:formatCode>
                <c:ptCount val="5"/>
                <c:pt idx="0">
                  <c:v>116.64</c:v>
                </c:pt>
                <c:pt idx="1">
                  <c:v>0</c:v>
                </c:pt>
                <c:pt idx="2" c:formatCode="General">
                  <c:v>0</c:v>
                </c:pt>
                <c:pt idx="3" c:formatCode="General">
                  <c:v>0</c:v>
                </c:pt>
                <c:pt idx="4" c: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财政拨款支出总计变动表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'[2020年决算公开分析图表(1).xls]Sheet1'!$A$137:$B$137</c:f>
              <c:strCache>
                <c:ptCount val="2"/>
                <c:pt idx="0">
                  <c:v>2020年</c:v>
                </c:pt>
                <c:pt idx="1">
                  <c:v>2021年</c:v>
                </c:pt>
              </c:strCache>
            </c:strRef>
          </c:cat>
          <c:val>
            <c:numRef>
              <c:f>'[2020年决算公开分析图表(1).xls]Sheet1'!$A$138:$B$138</c:f>
              <c:numCache>
                <c:formatCode>#,##0.00</c:formatCode>
                <c:ptCount val="2"/>
                <c:pt idx="0">
                  <c:v>134.58</c:v>
                </c:pt>
                <c:pt idx="1" c:formatCode="General">
                  <c:v>116.64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0934245"/>
        <c:axId val="465650445"/>
      </c:barChart>
      <c:catAx>
        <c:axId val="37093424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5650445"/>
        <c:crosses val="autoZero"/>
        <c:auto val="1"/>
        <c:lblAlgn val="ctr"/>
        <c:lblOffset val="100"/>
        <c:noMultiLvlLbl val="0"/>
      </c:catAx>
      <c:valAx>
        <c:axId val="46565044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7093424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一般公共预算财政拨款支出决算变动情况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>
        <c:manualLayout>
          <c:xMode val="edge"/>
          <c:yMode val="edge"/>
          <c:x val="0.111757022278886"/>
          <c:y val="0.024619119579344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58544689334367"/>
          <c:y val="0.255962378233121"/>
          <c:w val="0.915981836305239"/>
          <c:h val="0.58159220691971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'[2020年决算公开分析图表(1).xls]Sheet1'!$A$161:$B$161</c:f>
              <c:strCache>
                <c:ptCount val="2"/>
                <c:pt idx="0">
                  <c:v>2020年</c:v>
                </c:pt>
                <c:pt idx="1">
                  <c:v>2021年</c:v>
                </c:pt>
              </c:strCache>
            </c:strRef>
          </c:cat>
          <c:val>
            <c:numRef>
              <c:f>'[2020年决算公开分析图表(1).xls]Sheet1'!$A$162:$B$162</c:f>
              <c:numCache>
                <c:formatCode>#,##0.00</c:formatCode>
                <c:ptCount val="2"/>
                <c:pt idx="0">
                  <c:v>134.58</c:v>
                </c:pt>
                <c:pt idx="1" c:formatCode="General">
                  <c:v>116.64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3562954"/>
        <c:axId val="496635461"/>
      </c:barChart>
      <c:catAx>
        <c:axId val="63356295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96635461"/>
        <c:crosses val="autoZero"/>
        <c:auto val="1"/>
        <c:lblAlgn val="ctr"/>
        <c:lblOffset val="100"/>
        <c:noMultiLvlLbl val="0"/>
      </c:catAx>
      <c:valAx>
        <c:axId val="49663546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3356295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一般公共预算财政拨款支出决算结构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explosion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explosion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explosion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'[2020年决算公开分析图表(1).xls]Sheet1'!$C$185:$C$188</c:f>
              <c:strCache>
                <c:ptCount val="4"/>
                <c:pt idx="0">
                  <c:v>公共安全支出</c:v>
                </c:pt>
                <c:pt idx="1">
                  <c:v>社会保障和就业支出</c:v>
                </c:pt>
                <c:pt idx="2">
                  <c:v>卫生健康支出</c:v>
                </c:pt>
                <c:pt idx="3">
                  <c:v>住房保障支出</c:v>
                </c:pt>
              </c:strCache>
            </c:strRef>
          </c:cat>
          <c:val>
            <c:numRef>
              <c:f>'[2020年决算公开分析图表(1).xls]Sheet1'!$D$185:$D$188</c:f>
              <c:numCache>
                <c:formatCode>General</c:formatCode>
                <c:ptCount val="4"/>
                <c:pt idx="0">
                  <c:v>91.71</c:v>
                </c:pt>
                <c:pt idx="1">
                  <c:v>11.76</c:v>
                </c:pt>
                <c:pt idx="2">
                  <c:v>5</c:v>
                </c:pt>
                <c:pt idx="3">
                  <c:v>8.17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CAE55-CD1B-4B4A-B759-66D9AAD605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四川省财政厅</Company>
  <Pages>24</Pages>
  <Words>1575</Words>
  <Characters>8982</Characters>
  <Lines>74</Lines>
  <Paragraphs>21</Paragraphs>
  <TotalTime>1</TotalTime>
  <ScaleCrop>false</ScaleCrop>
  <LinksUpToDate>false</LinksUpToDate>
  <CharactersWithSpaces>10536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2021-08-06T09:38:00Z</dcterms:created>
  <dc:creator>曹颖</dc:creator>
  <cp:lastModifiedBy>1</cp:lastModifiedBy>
  <cp:lastPrinted>2021-07-29T03:56:00Z</cp:lastPrinted>
  <dcterms:modified xsi:type="dcterms:W3CDTF">2022-10-21T03:34:55Z</dcterms:modified>
  <dc:title>阿坝州部门决算说明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2286B753B09749D1A83758D6D0CD0570</vt:lpwstr>
  </property>
</Properties>
</file>