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3E2076">
      <w:pPr>
        <w:rPr>
          <w:rFonts w:ascii="黑体" w:hAnsi="黑体" w:eastAsia="黑体" w:cs="Times New Roman"/>
          <w:sz w:val="32"/>
          <w:szCs w:val="32"/>
        </w:rPr>
      </w:pPr>
    </w:p>
    <w:p w14:paraId="1FFD51AA">
      <w:pPr>
        <w:rPr>
          <w:rFonts w:ascii="黑体" w:hAnsi="黑体" w:eastAsia="黑体" w:cs="Times New Roman"/>
          <w:sz w:val="44"/>
          <w:szCs w:val="44"/>
        </w:rPr>
      </w:pPr>
    </w:p>
    <w:p w14:paraId="21240CF4">
      <w:pPr>
        <w:rPr>
          <w:rFonts w:ascii="黑体" w:hAnsi="黑体" w:eastAsia="黑体" w:cs="Times New Roman"/>
          <w:sz w:val="44"/>
          <w:szCs w:val="44"/>
        </w:rPr>
      </w:pPr>
    </w:p>
    <w:p w14:paraId="33A70FCA">
      <w:pPr>
        <w:rPr>
          <w:rFonts w:ascii="黑体" w:hAnsi="黑体" w:eastAsia="黑体" w:cs="Times New Roman"/>
          <w:sz w:val="44"/>
          <w:szCs w:val="44"/>
        </w:rPr>
      </w:pPr>
    </w:p>
    <w:p w14:paraId="799AC0ED">
      <w:pPr>
        <w:rPr>
          <w:rFonts w:ascii="黑体" w:hAnsi="黑体" w:eastAsia="黑体" w:cs="Times New Roman"/>
          <w:sz w:val="44"/>
          <w:szCs w:val="44"/>
        </w:rPr>
      </w:pPr>
    </w:p>
    <w:p w14:paraId="752E8F77">
      <w:pPr>
        <w:jc w:val="center"/>
        <w:rPr>
          <w:rFonts w:hint="eastAsia" w:ascii="黑体" w:hAnsi="黑体" w:eastAsia="黑体" w:cs="黑体"/>
          <w:sz w:val="52"/>
          <w:szCs w:val="52"/>
          <w:lang w:eastAsia="zh-CN"/>
        </w:rPr>
      </w:pPr>
      <w:r>
        <w:rPr>
          <w:rFonts w:hint="eastAsia" w:ascii="黑体" w:hAnsi="黑体" w:eastAsia="黑体" w:cs="黑体"/>
          <w:sz w:val="52"/>
          <w:szCs w:val="52"/>
        </w:rPr>
        <w:t>壤塘县</w:t>
      </w:r>
      <w:r>
        <w:rPr>
          <w:rFonts w:hint="eastAsia" w:ascii="黑体" w:hAnsi="黑体" w:eastAsia="黑体" w:cs="黑体"/>
          <w:sz w:val="52"/>
          <w:szCs w:val="52"/>
          <w:lang w:eastAsia="zh-CN"/>
        </w:rPr>
        <w:t>财政局</w:t>
      </w:r>
    </w:p>
    <w:p w14:paraId="57C5C1D8">
      <w:pPr>
        <w:jc w:val="center"/>
        <w:rPr>
          <w:rFonts w:ascii="黑体" w:hAnsi="黑体" w:eastAsia="黑体" w:cs="Times New Roman"/>
          <w:sz w:val="72"/>
          <w:szCs w:val="72"/>
        </w:rPr>
      </w:pPr>
      <w:r>
        <w:rPr>
          <w:rFonts w:ascii="黑体" w:hAnsi="黑体" w:eastAsia="黑体" w:cs="黑体"/>
          <w:sz w:val="72"/>
          <w:szCs w:val="72"/>
        </w:rPr>
        <w:t>202</w:t>
      </w:r>
      <w:r>
        <w:rPr>
          <w:rFonts w:hint="eastAsia" w:ascii="黑体" w:hAnsi="黑体" w:eastAsia="黑体" w:cs="黑体"/>
          <w:sz w:val="72"/>
          <w:szCs w:val="72"/>
          <w:lang w:val="en-US" w:eastAsia="zh-CN"/>
        </w:rPr>
        <w:t>2</w:t>
      </w:r>
      <w:r>
        <w:rPr>
          <w:rFonts w:ascii="黑体" w:hAnsi="黑体" w:eastAsia="黑体" w:cs="黑体"/>
          <w:sz w:val="72"/>
          <w:szCs w:val="72"/>
        </w:rPr>
        <w:t>年</w:t>
      </w:r>
      <w:r>
        <w:rPr>
          <w:rFonts w:hint="eastAsia" w:ascii="黑体" w:hAnsi="黑体" w:eastAsia="黑体" w:cs="黑体"/>
          <w:sz w:val="72"/>
          <w:szCs w:val="72"/>
        </w:rPr>
        <w:t>部门预算</w:t>
      </w:r>
    </w:p>
    <w:p w14:paraId="38C20AF7">
      <w:pPr>
        <w:jc w:val="center"/>
        <w:rPr>
          <w:rFonts w:ascii="黑体" w:hAnsi="黑体" w:eastAsia="黑体" w:cs="Times New Roman"/>
          <w:sz w:val="44"/>
          <w:szCs w:val="44"/>
        </w:rPr>
      </w:pPr>
    </w:p>
    <w:p w14:paraId="2BB2A804">
      <w:pPr>
        <w:jc w:val="center"/>
        <w:rPr>
          <w:rFonts w:ascii="黑体" w:hAnsi="黑体" w:eastAsia="黑体" w:cs="Times New Roman"/>
          <w:sz w:val="44"/>
          <w:szCs w:val="44"/>
        </w:rPr>
      </w:pPr>
    </w:p>
    <w:p w14:paraId="2B7DFB15">
      <w:pPr>
        <w:jc w:val="center"/>
        <w:rPr>
          <w:rFonts w:ascii="黑体" w:hAnsi="黑体" w:eastAsia="黑体" w:cs="Times New Roman"/>
          <w:sz w:val="44"/>
          <w:szCs w:val="44"/>
        </w:rPr>
      </w:pPr>
    </w:p>
    <w:p w14:paraId="4444653E">
      <w:pPr>
        <w:jc w:val="center"/>
        <w:rPr>
          <w:rFonts w:ascii="黑体" w:hAnsi="黑体" w:eastAsia="黑体" w:cs="Times New Roman"/>
          <w:sz w:val="44"/>
          <w:szCs w:val="44"/>
        </w:rPr>
      </w:pPr>
    </w:p>
    <w:p w14:paraId="613B1310">
      <w:pPr>
        <w:jc w:val="center"/>
        <w:rPr>
          <w:rFonts w:ascii="黑体" w:hAnsi="黑体" w:eastAsia="黑体" w:cs="Times New Roman"/>
          <w:sz w:val="44"/>
          <w:szCs w:val="44"/>
        </w:rPr>
      </w:pPr>
    </w:p>
    <w:p w14:paraId="1E2DE7D4">
      <w:pPr>
        <w:jc w:val="center"/>
        <w:rPr>
          <w:rFonts w:ascii="黑体" w:hAnsi="黑体" w:eastAsia="黑体" w:cs="Times New Roman"/>
          <w:sz w:val="44"/>
          <w:szCs w:val="44"/>
        </w:rPr>
      </w:pPr>
    </w:p>
    <w:p w14:paraId="6D930C73">
      <w:pPr>
        <w:jc w:val="center"/>
        <w:rPr>
          <w:rFonts w:ascii="黑体" w:hAnsi="黑体" w:eastAsia="黑体" w:cs="Times New Roman"/>
          <w:sz w:val="44"/>
          <w:szCs w:val="44"/>
        </w:rPr>
      </w:pPr>
    </w:p>
    <w:p w14:paraId="54E418DB">
      <w:pPr>
        <w:jc w:val="center"/>
        <w:rPr>
          <w:rFonts w:ascii="黑体" w:hAnsi="黑体" w:eastAsia="黑体" w:cs="Times New Roman"/>
          <w:sz w:val="44"/>
          <w:szCs w:val="44"/>
        </w:rPr>
      </w:pPr>
    </w:p>
    <w:p w14:paraId="0EC3DC37">
      <w:pPr>
        <w:jc w:val="center"/>
        <w:rPr>
          <w:rFonts w:ascii="黑体" w:hAnsi="黑体" w:eastAsia="黑体" w:cs="Times New Roman"/>
          <w:sz w:val="44"/>
          <w:szCs w:val="44"/>
        </w:rPr>
      </w:pPr>
    </w:p>
    <w:p w14:paraId="6BDA92BA">
      <w:pPr>
        <w:jc w:val="center"/>
        <w:rPr>
          <w:rFonts w:ascii="黑体" w:hAnsi="黑体" w:eastAsia="黑体" w:cs="Times New Roman"/>
          <w:sz w:val="44"/>
          <w:szCs w:val="44"/>
        </w:rPr>
      </w:pPr>
    </w:p>
    <w:p w14:paraId="2CDF6C8C">
      <w:pPr>
        <w:jc w:val="center"/>
        <w:rPr>
          <w:rFonts w:ascii="黑体" w:hAnsi="黑体" w:eastAsia="黑体" w:cs="Times New Roman"/>
          <w:sz w:val="52"/>
          <w:szCs w:val="52"/>
        </w:rPr>
      </w:pPr>
      <w:r>
        <w:rPr>
          <w:rFonts w:hint="eastAsia" w:ascii="黑体" w:hAnsi="黑体" w:eastAsia="黑体" w:cs="黑体"/>
          <w:sz w:val="52"/>
          <w:szCs w:val="52"/>
        </w:rPr>
        <w:t>202</w:t>
      </w:r>
      <w:r>
        <w:rPr>
          <w:rFonts w:hint="eastAsia" w:ascii="黑体" w:hAnsi="黑体" w:eastAsia="黑体" w:cs="黑体"/>
          <w:sz w:val="52"/>
          <w:szCs w:val="52"/>
          <w:lang w:val="en-US" w:eastAsia="zh-CN"/>
        </w:rPr>
        <w:t>2</w:t>
      </w:r>
      <w:r>
        <w:rPr>
          <w:rFonts w:hint="eastAsia" w:ascii="黑体" w:hAnsi="黑体" w:eastAsia="黑体" w:cs="黑体"/>
          <w:sz w:val="52"/>
          <w:szCs w:val="52"/>
        </w:rPr>
        <w:t>年</w:t>
      </w:r>
      <w:r>
        <w:rPr>
          <w:rFonts w:hint="eastAsia" w:ascii="黑体" w:hAnsi="黑体" w:eastAsia="黑体" w:cs="黑体"/>
          <w:sz w:val="52"/>
          <w:szCs w:val="52"/>
          <w:lang w:val="en-US" w:eastAsia="zh-CN"/>
        </w:rPr>
        <w:t>1</w:t>
      </w:r>
      <w:r>
        <w:rPr>
          <w:rFonts w:hint="eastAsia" w:ascii="黑体" w:hAnsi="黑体" w:eastAsia="黑体" w:cs="黑体"/>
          <w:sz w:val="52"/>
          <w:szCs w:val="52"/>
        </w:rPr>
        <w:t>月</w:t>
      </w:r>
      <w:r>
        <w:rPr>
          <w:rFonts w:hint="eastAsia" w:ascii="黑体" w:hAnsi="黑体" w:eastAsia="黑体" w:cs="黑体"/>
          <w:sz w:val="52"/>
          <w:szCs w:val="52"/>
          <w:lang w:val="en-US" w:eastAsia="zh-CN"/>
        </w:rPr>
        <w:t>20</w:t>
      </w:r>
      <w:r>
        <w:rPr>
          <w:rFonts w:hint="eastAsia" w:ascii="黑体" w:hAnsi="黑体" w:eastAsia="黑体" w:cs="黑体"/>
          <w:sz w:val="52"/>
          <w:szCs w:val="52"/>
        </w:rPr>
        <w:t>日</w:t>
      </w:r>
    </w:p>
    <w:p w14:paraId="2BF29D75">
      <w:pPr>
        <w:rPr>
          <w:rFonts w:ascii="黑体" w:hAnsi="黑体" w:eastAsia="黑体" w:cs="Times New Roman"/>
          <w:sz w:val="44"/>
          <w:szCs w:val="44"/>
        </w:rPr>
      </w:pPr>
    </w:p>
    <w:p w14:paraId="16A9DC68">
      <w:pPr>
        <w:rPr>
          <w:rFonts w:ascii="黑体" w:hAnsi="黑体" w:eastAsia="黑体" w:cs="Times New Roman"/>
          <w:sz w:val="44"/>
          <w:szCs w:val="44"/>
        </w:rPr>
      </w:pPr>
    </w:p>
    <w:p w14:paraId="0D8817F6">
      <w:pPr>
        <w:jc w:val="center"/>
        <w:rPr>
          <w:rFonts w:ascii="黑体" w:hAnsi="黑体" w:eastAsia="黑体" w:cs="Times New Roman"/>
          <w:sz w:val="52"/>
          <w:szCs w:val="52"/>
        </w:rPr>
      </w:pPr>
      <w:r>
        <w:rPr>
          <w:rFonts w:hint="eastAsia" w:ascii="黑体" w:hAnsi="黑体" w:eastAsia="黑体" w:cs="黑体"/>
          <w:sz w:val="52"/>
          <w:szCs w:val="52"/>
        </w:rPr>
        <w:t>目</w:t>
      </w:r>
      <w:r>
        <w:rPr>
          <w:rFonts w:ascii="黑体" w:hAnsi="黑体" w:eastAsia="黑体" w:cs="黑体"/>
          <w:sz w:val="52"/>
          <w:szCs w:val="52"/>
        </w:rPr>
        <w:t xml:space="preserve"> </w:t>
      </w:r>
      <w:r>
        <w:rPr>
          <w:rFonts w:hint="eastAsia" w:ascii="黑体" w:hAnsi="黑体" w:eastAsia="黑体" w:cs="黑体"/>
          <w:sz w:val="52"/>
          <w:szCs w:val="52"/>
        </w:rPr>
        <w:t>录</w:t>
      </w:r>
    </w:p>
    <w:p w14:paraId="41D92918">
      <w:pPr>
        <w:ind w:firstLine="3080" w:firstLineChars="700"/>
        <w:rPr>
          <w:rFonts w:ascii="黑体" w:hAnsi="黑体" w:eastAsia="黑体" w:cs="Times New Roman"/>
          <w:sz w:val="44"/>
          <w:szCs w:val="44"/>
        </w:rPr>
      </w:pPr>
    </w:p>
    <w:p w14:paraId="0EA672F2">
      <w:pPr>
        <w:pStyle w:val="17"/>
        <w:numPr>
          <w:ilvl w:val="0"/>
          <w:numId w:val="1"/>
        </w:numPr>
        <w:ind w:firstLineChars="0"/>
        <w:rPr>
          <w:rFonts w:ascii="黑体" w:hAnsi="黑体" w:eastAsia="黑体" w:cs="Times New Roman"/>
          <w:sz w:val="32"/>
          <w:szCs w:val="32"/>
        </w:rPr>
      </w:pPr>
      <w:r>
        <w:rPr>
          <w:rFonts w:hint="eastAsia" w:ascii="黑体" w:hAnsi="黑体" w:eastAsia="黑体" w:cs="黑体"/>
          <w:sz w:val="32"/>
          <w:szCs w:val="32"/>
        </w:rPr>
        <w:t>基本职能及主要工作</w:t>
      </w:r>
    </w:p>
    <w:p w14:paraId="23478BEF">
      <w:pPr>
        <w:rPr>
          <w:rFonts w:ascii="仿宋_GB2312" w:hAnsi="黑体" w:eastAsia="仿宋_GB2312" w:cs="Times New Roman"/>
          <w:sz w:val="32"/>
          <w:szCs w:val="32"/>
        </w:rPr>
      </w:pPr>
      <w:r>
        <w:rPr>
          <w:rFonts w:hint="eastAsia" w:ascii="仿宋_GB2312" w:hAnsi="黑体" w:eastAsia="仿宋_GB2312" w:cs="仿宋_GB2312"/>
          <w:sz w:val="32"/>
          <w:szCs w:val="32"/>
        </w:rPr>
        <w:t>（一）部门职能简介</w:t>
      </w:r>
    </w:p>
    <w:p w14:paraId="014181D5">
      <w:pPr>
        <w:rPr>
          <w:rFonts w:ascii="仿宋_GB2312" w:hAnsi="黑体" w:eastAsia="仿宋_GB2312" w:cs="Times New Roman"/>
          <w:sz w:val="32"/>
          <w:szCs w:val="32"/>
        </w:rPr>
      </w:pPr>
      <w:r>
        <w:rPr>
          <w:rFonts w:hint="eastAsia" w:ascii="仿宋_GB2312" w:hAnsi="黑体" w:eastAsia="仿宋_GB2312" w:cs="仿宋_GB2312"/>
          <w:sz w:val="32"/>
          <w:szCs w:val="32"/>
        </w:rPr>
        <w:t>（二）</w:t>
      </w:r>
      <w:r>
        <w:rPr>
          <w:rFonts w:ascii="仿宋_GB2312" w:hAnsi="黑体" w:eastAsia="仿宋_GB2312" w:cs="仿宋_GB2312"/>
          <w:sz w:val="32"/>
          <w:szCs w:val="32"/>
        </w:rPr>
        <w:t>202</w:t>
      </w:r>
      <w:r>
        <w:rPr>
          <w:rFonts w:hint="eastAsia" w:ascii="仿宋_GB2312" w:hAnsi="黑体" w:eastAsia="仿宋_GB2312" w:cs="仿宋_GB2312"/>
          <w:sz w:val="32"/>
          <w:szCs w:val="32"/>
          <w:lang w:val="en-US" w:eastAsia="zh-CN"/>
        </w:rPr>
        <w:t>2</w:t>
      </w:r>
      <w:r>
        <w:rPr>
          <w:rFonts w:ascii="仿宋_GB2312" w:hAnsi="黑体" w:eastAsia="仿宋_GB2312" w:cs="仿宋_GB2312"/>
          <w:sz w:val="32"/>
          <w:szCs w:val="32"/>
        </w:rPr>
        <w:t>年</w:t>
      </w:r>
      <w:r>
        <w:rPr>
          <w:rFonts w:hint="eastAsia" w:ascii="仿宋_GB2312" w:hAnsi="黑体" w:eastAsia="仿宋_GB2312" w:cs="仿宋_GB2312"/>
          <w:sz w:val="32"/>
          <w:szCs w:val="32"/>
        </w:rPr>
        <w:t>重点工作</w:t>
      </w:r>
    </w:p>
    <w:p w14:paraId="4B1F8A1F">
      <w:pPr>
        <w:rPr>
          <w:rFonts w:ascii="黑体" w:hAnsi="黑体" w:eastAsia="黑体" w:cs="Times New Roman"/>
          <w:sz w:val="32"/>
          <w:szCs w:val="32"/>
        </w:rPr>
      </w:pPr>
      <w:r>
        <w:rPr>
          <w:rFonts w:hint="eastAsia" w:ascii="黑体" w:hAnsi="黑体" w:eastAsia="黑体" w:cs="黑体"/>
          <w:sz w:val="32"/>
          <w:szCs w:val="32"/>
        </w:rPr>
        <w:t>二、部门预算单位构成</w:t>
      </w:r>
    </w:p>
    <w:p w14:paraId="7DF54EDC">
      <w:pPr>
        <w:rPr>
          <w:rFonts w:ascii="黑体" w:hAnsi="黑体" w:eastAsia="黑体" w:cs="Times New Roman"/>
          <w:sz w:val="32"/>
          <w:szCs w:val="32"/>
        </w:rPr>
      </w:pPr>
      <w:r>
        <w:rPr>
          <w:rFonts w:hint="eastAsia" w:ascii="黑体" w:hAnsi="黑体" w:eastAsia="黑体" w:cs="黑体"/>
          <w:sz w:val="32"/>
          <w:szCs w:val="32"/>
        </w:rPr>
        <w:t>三、收支预算情况说明</w:t>
      </w:r>
    </w:p>
    <w:p w14:paraId="337B6644">
      <w:pPr>
        <w:rPr>
          <w:rFonts w:ascii="仿宋_GB2312" w:hAnsi="黑体" w:eastAsia="仿宋_GB2312" w:cs="Times New Roman"/>
          <w:sz w:val="32"/>
          <w:szCs w:val="32"/>
        </w:rPr>
      </w:pPr>
      <w:r>
        <w:rPr>
          <w:rFonts w:hint="eastAsia" w:ascii="黑体" w:hAnsi="黑体" w:eastAsia="黑体" w:cs="黑体"/>
          <w:sz w:val="32"/>
          <w:szCs w:val="32"/>
        </w:rPr>
        <w:t>（</w:t>
      </w:r>
      <w:r>
        <w:rPr>
          <w:rFonts w:hint="eastAsia" w:ascii="仿宋_GB2312" w:hAnsi="黑体" w:eastAsia="仿宋_GB2312" w:cs="仿宋_GB2312"/>
          <w:sz w:val="32"/>
          <w:szCs w:val="32"/>
        </w:rPr>
        <w:t>一）收入预算情况</w:t>
      </w:r>
    </w:p>
    <w:p w14:paraId="293F1DC8">
      <w:pPr>
        <w:rPr>
          <w:rFonts w:ascii="仿宋_GB2312" w:hAnsi="黑体" w:eastAsia="仿宋_GB2312" w:cs="Times New Roman"/>
          <w:sz w:val="32"/>
          <w:szCs w:val="32"/>
        </w:rPr>
      </w:pPr>
      <w:r>
        <w:rPr>
          <w:rFonts w:hint="eastAsia" w:ascii="仿宋_GB2312" w:hAnsi="黑体" w:eastAsia="仿宋_GB2312" w:cs="仿宋_GB2312"/>
          <w:sz w:val="32"/>
          <w:szCs w:val="32"/>
        </w:rPr>
        <w:t>（二）支出预算情况</w:t>
      </w:r>
    </w:p>
    <w:p w14:paraId="6ACBF4D4">
      <w:pPr>
        <w:rPr>
          <w:rFonts w:ascii="黑体" w:hAnsi="黑体" w:eastAsia="黑体" w:cs="Times New Roman"/>
          <w:sz w:val="32"/>
          <w:szCs w:val="32"/>
        </w:rPr>
      </w:pPr>
      <w:r>
        <w:rPr>
          <w:rFonts w:hint="eastAsia" w:ascii="黑体" w:hAnsi="黑体" w:eastAsia="黑体" w:cs="黑体"/>
          <w:sz w:val="32"/>
          <w:szCs w:val="32"/>
        </w:rPr>
        <w:t>四、财政拨款收支预算情况说明</w:t>
      </w:r>
    </w:p>
    <w:p w14:paraId="474F0164">
      <w:pPr>
        <w:rPr>
          <w:rFonts w:ascii="黑体" w:hAnsi="黑体" w:eastAsia="黑体" w:cs="Times New Roman"/>
          <w:sz w:val="32"/>
          <w:szCs w:val="32"/>
        </w:rPr>
      </w:pPr>
      <w:r>
        <w:rPr>
          <w:rFonts w:hint="eastAsia" w:ascii="黑体" w:hAnsi="黑体" w:eastAsia="黑体" w:cs="黑体"/>
          <w:sz w:val="32"/>
          <w:szCs w:val="32"/>
        </w:rPr>
        <w:t>五、一般公共预算当年拨款情况说明</w:t>
      </w:r>
    </w:p>
    <w:p w14:paraId="015A6AC1">
      <w:pPr>
        <w:rPr>
          <w:rFonts w:ascii="仿宋_GB2312" w:hAnsi="黑体" w:eastAsia="仿宋_GB2312" w:cs="仿宋_GB2312"/>
          <w:sz w:val="32"/>
          <w:szCs w:val="32"/>
        </w:rPr>
      </w:pPr>
      <w:r>
        <w:rPr>
          <w:rFonts w:hint="eastAsia" w:ascii="仿宋_GB2312" w:hAnsi="黑体" w:eastAsia="仿宋_GB2312" w:cs="仿宋_GB2312"/>
          <w:sz w:val="32"/>
          <w:szCs w:val="32"/>
        </w:rPr>
        <w:t>（一）一般公共预算当年拨款规模变化情况</w:t>
      </w:r>
    </w:p>
    <w:p w14:paraId="0DA0CF99">
      <w:pPr>
        <w:rPr>
          <w:rFonts w:ascii="仿宋_GB2312" w:hAnsi="黑体" w:eastAsia="仿宋_GB2312" w:cs="仿宋_GB2312"/>
          <w:sz w:val="32"/>
          <w:szCs w:val="32"/>
        </w:rPr>
      </w:pPr>
      <w:r>
        <w:rPr>
          <w:rFonts w:hint="eastAsia" w:ascii="仿宋_GB2312" w:hAnsi="黑体" w:eastAsia="仿宋_GB2312" w:cs="仿宋_GB2312"/>
          <w:sz w:val="32"/>
          <w:szCs w:val="32"/>
        </w:rPr>
        <w:t>（二）一般公共预算当年拨款结构情况</w:t>
      </w:r>
    </w:p>
    <w:p w14:paraId="2A7B707A">
      <w:pPr>
        <w:rPr>
          <w:rFonts w:ascii="仿宋_GB2312" w:hAnsi="黑体" w:eastAsia="仿宋_GB2312" w:cs="仿宋_GB2312"/>
          <w:sz w:val="32"/>
          <w:szCs w:val="32"/>
        </w:rPr>
      </w:pPr>
      <w:r>
        <w:rPr>
          <w:rFonts w:hint="eastAsia" w:ascii="仿宋_GB2312" w:hAnsi="黑体" w:eastAsia="仿宋_GB2312" w:cs="仿宋_GB2312"/>
          <w:sz w:val="32"/>
          <w:szCs w:val="32"/>
        </w:rPr>
        <w:t>（三）一般公共预算当年拨款具体使用情况</w:t>
      </w:r>
    </w:p>
    <w:p w14:paraId="2B309F7D">
      <w:pPr>
        <w:rPr>
          <w:rFonts w:ascii="黑体" w:hAnsi="黑体" w:eastAsia="黑体" w:cs="黑体"/>
          <w:sz w:val="32"/>
          <w:szCs w:val="32"/>
        </w:rPr>
      </w:pPr>
      <w:r>
        <w:rPr>
          <w:rFonts w:hint="eastAsia" w:ascii="黑体" w:hAnsi="黑体" w:eastAsia="黑体" w:cs="黑体"/>
          <w:sz w:val="32"/>
          <w:szCs w:val="32"/>
        </w:rPr>
        <w:t>六、一般公共预算基本支出情况说明</w:t>
      </w:r>
    </w:p>
    <w:p w14:paraId="0BBF5F22">
      <w:pPr>
        <w:rPr>
          <w:rFonts w:ascii="黑体" w:hAnsi="黑体" w:eastAsia="黑体" w:cs="黑体"/>
          <w:sz w:val="32"/>
          <w:szCs w:val="32"/>
        </w:rPr>
      </w:pPr>
      <w:r>
        <w:rPr>
          <w:rFonts w:hint="eastAsia" w:ascii="黑体" w:hAnsi="黑体" w:eastAsia="黑体" w:cs="黑体"/>
          <w:sz w:val="32"/>
          <w:szCs w:val="32"/>
        </w:rPr>
        <w:t>七、“三公”经费财政拨款预算安排情况说明</w:t>
      </w:r>
    </w:p>
    <w:p w14:paraId="5C449DA6">
      <w:pPr>
        <w:rPr>
          <w:rFonts w:ascii="黑体" w:hAnsi="黑体" w:eastAsia="黑体" w:cs="黑体"/>
          <w:sz w:val="32"/>
          <w:szCs w:val="32"/>
        </w:rPr>
      </w:pPr>
      <w:r>
        <w:rPr>
          <w:rFonts w:hint="eastAsia" w:ascii="黑体" w:hAnsi="黑体" w:eastAsia="黑体" w:cs="黑体"/>
          <w:sz w:val="32"/>
          <w:szCs w:val="32"/>
        </w:rPr>
        <w:t>八、政府性基金预算支出情况说明</w:t>
      </w:r>
    </w:p>
    <w:p w14:paraId="7CEE1E4E">
      <w:pPr>
        <w:rPr>
          <w:rFonts w:ascii="黑体" w:hAnsi="黑体" w:eastAsia="黑体" w:cs="黑体"/>
          <w:sz w:val="32"/>
          <w:szCs w:val="32"/>
        </w:rPr>
      </w:pPr>
      <w:r>
        <w:rPr>
          <w:rFonts w:hint="eastAsia" w:ascii="黑体" w:hAnsi="黑体" w:eastAsia="黑体" w:cs="黑体"/>
          <w:sz w:val="32"/>
          <w:szCs w:val="32"/>
        </w:rPr>
        <w:t>九、其他重要事项的情况说明</w:t>
      </w:r>
    </w:p>
    <w:p w14:paraId="4BDA52D1">
      <w:pPr>
        <w:rPr>
          <w:rFonts w:ascii="黑体" w:hAnsi="黑体" w:eastAsia="黑体" w:cs="Times New Roman"/>
          <w:sz w:val="32"/>
          <w:szCs w:val="32"/>
        </w:rPr>
      </w:pPr>
      <w:r>
        <w:rPr>
          <w:rFonts w:hint="eastAsia" w:ascii="黑体" w:hAnsi="黑体" w:eastAsia="黑体" w:cs="黑体"/>
          <w:sz w:val="32"/>
          <w:szCs w:val="32"/>
        </w:rPr>
        <w:t>十、名称解释</w:t>
      </w:r>
    </w:p>
    <w:p w14:paraId="15A358A8">
      <w:pPr>
        <w:widowControl/>
        <w:shd w:val="clear" w:color="auto" w:fill="FFFFFF"/>
        <w:spacing w:before="100" w:beforeAutospacing="1" w:after="100" w:afterAutospacing="1" w:line="290" w:lineRule="atLeast"/>
        <w:ind w:right="300"/>
        <w:jc w:val="left"/>
        <w:rPr>
          <w:rFonts w:ascii="??" w:hAnsi="??" w:cs="??"/>
          <w:kern w:val="0"/>
          <w:sz w:val="12"/>
          <w:szCs w:val="12"/>
        </w:rPr>
      </w:pPr>
    </w:p>
    <w:p w14:paraId="75DE88D8">
      <w:pPr>
        <w:pStyle w:val="6"/>
        <w:rPr>
          <w:rFonts w:ascii="??" w:hAnsi="??" w:cs="??"/>
          <w:kern w:val="0"/>
          <w:sz w:val="12"/>
          <w:szCs w:val="12"/>
        </w:rPr>
      </w:pPr>
    </w:p>
    <w:p w14:paraId="2CDB5A7A"/>
    <w:p w14:paraId="19FA778C">
      <w:pPr>
        <w:pStyle w:val="15"/>
        <w:keepNext w:val="0"/>
        <w:keepLines w:val="0"/>
        <w:pageBreakBefore w:val="0"/>
        <w:numPr>
          <w:ilvl w:val="0"/>
          <w:numId w:val="2"/>
        </w:numPr>
        <w:kinsoku/>
        <w:wordWrap/>
        <w:overflowPunct/>
        <w:topLinePunct w:val="0"/>
        <w:autoSpaceDE/>
        <w:autoSpaceDN/>
        <w:bidi w:val="0"/>
        <w:spacing w:before="0" w:line="560" w:lineRule="exact"/>
        <w:ind w:firstLine="640" w:firstLineChars="200"/>
        <w:textAlignment w:val="auto"/>
        <w:outlineLvl w:val="0"/>
        <w:rPr>
          <w:rFonts w:hint="eastAsia" w:ascii="黑体" w:hAnsi="黑体" w:eastAsia="黑体" w:cs="黑体"/>
          <w:kern w:val="2"/>
          <w:sz w:val="32"/>
          <w:szCs w:val="32"/>
        </w:rPr>
      </w:pPr>
      <w:r>
        <w:rPr>
          <w:rFonts w:hint="eastAsia" w:ascii="黑体" w:hAnsi="黑体" w:eastAsia="黑体" w:cs="黑体"/>
          <w:kern w:val="2"/>
          <w:sz w:val="32"/>
          <w:szCs w:val="32"/>
        </w:rPr>
        <w:t>基本职能及主要工作</w:t>
      </w:r>
    </w:p>
    <w:p w14:paraId="4E98C7D2">
      <w:pPr>
        <w:keepNext w:val="0"/>
        <w:keepLines w:val="0"/>
        <w:pageBreakBefore w:val="0"/>
        <w:widowControl w:val="0"/>
        <w:kinsoku/>
        <w:wordWrap/>
        <w:topLinePunct w:val="0"/>
        <w:autoSpaceDE/>
        <w:autoSpaceDN/>
        <w:bidi w:val="0"/>
        <w:spacing w:line="560" w:lineRule="exact"/>
        <w:ind w:firstLine="643" w:firstLineChars="200"/>
        <w:textAlignment w:val="auto"/>
        <w:rPr>
          <w:rFonts w:hint="eastAsia" w:ascii="方正楷体_GBK" w:hAnsi="方正楷体_GBK" w:eastAsia="方正楷体_GBK" w:cs="方正楷体_GBK"/>
          <w:b/>
          <w:bCs/>
          <w:color w:val="auto"/>
          <w:sz w:val="32"/>
          <w:szCs w:val="32"/>
        </w:rPr>
      </w:pPr>
      <w:r>
        <w:rPr>
          <w:rFonts w:hint="eastAsia" w:ascii="方正楷体_GBK" w:hAnsi="方正楷体_GBK" w:eastAsia="方正楷体_GBK" w:cs="方正楷体_GBK"/>
          <w:b/>
          <w:bCs/>
          <w:color w:val="auto"/>
          <w:sz w:val="32"/>
          <w:szCs w:val="32"/>
        </w:rPr>
        <w:t>（一）部门职能简介</w:t>
      </w:r>
    </w:p>
    <w:p w14:paraId="793E2233">
      <w:pPr>
        <w:keepNext w:val="0"/>
        <w:keepLines w:val="0"/>
        <w:pageBreakBefore w:val="0"/>
        <w:widowControl w:val="0"/>
        <w:kinsoku/>
        <w:wordWrap/>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1、贯彻执行国家预算、税收、财务、会计等有关政策、法规、法令、规章制度，指导乡镇财政工作；拟定全县财政预算、地方税收、财务会计管理等有关制度，并监督执行。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2、贯彻执行财政分配政策和财政改革；参与宏观经济分析预测和全县重大宏观经济政策的制定；提出运用财税政策实施宏观经济调控和综合平衡全县财力的建议；制定构建地方公共财政体系的政策、制度。</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3、拟订全县财政、税收发展战略和中长期财政计划；汇编全县年度财政预（决）算，受县人民政府委托向县人民代表大会报告全县预算草案和预算执行情况，批复部门年度预算；执行县人大批准的县级财政预算，组织、监督县级和乡镇预算的执行；管理和监督全县各项财政收支，负责财政资金的调度和拨付。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4、组织拟订全县国库管理制度、国库集中收付制度，指导和监督国库业务；管理全县财政资金和财政专户，管理有关政府性基金，审查汇编财务收支计划和决算。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5、负责管理国有资产，组织实施国有资产清产核资、产权界定和登记；负责国有资产管理的统计、分析、转让和处置等工作。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6、监督社会保障资金和就业及医疗卫生财务管理制度的落实，拟订相关财务管理制度，负责全县财政社会保障支出；负责拟订政府采购制度，监督管理全县政府采购工作。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7、贯彻实施国家、省、州对农业投入的法规，加强对农业投入的管理工作，管理县级财政支农资金。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8、组织实施财政总预算会计制度和单位预算会计制度，监督会计规章制度的执行，指导全县会计工作，会同有关部门组织实施会计从业资格证、会计专业技术职务资格的考务工作，管理全县会计电算化工作。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9、负责管理全县财政性收入，加强非税收入管理；对地方金融机构财务进行监管；负责彩票管理工作；负责国债资金的监管工作。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10、负责办理和监督财政性资金支出、政府性投资项目的财政拨款；负责投资评审管理工作，参与拟订政府性建设投资的有关政策；负责有关政策性补贴和专项储备资金财务管理工作。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11、制定全县财政干部教育培训规划，组织财务人员培训；负责财政信息和财政宣传工作。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12、承担县委县政府公布的有关行政审批事项。 </w:t>
      </w:r>
    </w:p>
    <w:p w14:paraId="2879F920">
      <w:pPr>
        <w:pStyle w:val="15"/>
        <w:keepNext w:val="0"/>
        <w:keepLines w:val="0"/>
        <w:pageBreakBefore w:val="0"/>
        <w:kinsoku/>
        <w:wordWrap/>
        <w:overflowPunct/>
        <w:topLinePunct w:val="0"/>
        <w:autoSpaceDE/>
        <w:autoSpaceDN/>
        <w:bidi w:val="0"/>
        <w:spacing w:before="0" w:line="560" w:lineRule="exact"/>
        <w:ind w:firstLine="640" w:firstLineChars="200"/>
        <w:textAlignment w:val="auto"/>
        <w:rPr>
          <w:rFonts w:ascii="楷体_GB2312" w:hAnsi="黑体" w:eastAsia="楷体_GB2312" w:cs="楷体_GB2312"/>
          <w:b/>
          <w:bCs/>
          <w:color w:val="FF0000"/>
          <w:kern w:val="2"/>
          <w:sz w:val="32"/>
          <w:szCs w:val="32"/>
        </w:rPr>
      </w:pPr>
      <w:r>
        <w:rPr>
          <w:rFonts w:hint="eastAsia" w:ascii="仿宋_GB2312" w:hAnsi="仿宋_GB2312" w:eastAsia="仿宋_GB2312" w:cs="仿宋_GB2312"/>
          <w:sz w:val="32"/>
          <w:szCs w:val="32"/>
        </w:rPr>
        <w:t>13、承办县委县政府和上级财政部门交办的其他事项。</w:t>
      </w:r>
      <w:r>
        <w:rPr>
          <w:rFonts w:hint="eastAsia" w:ascii="楷体_GB2312" w:hAnsi="黑体" w:eastAsia="楷体_GB2312" w:cs="楷体_GB2312"/>
          <w:b/>
          <w:bCs/>
          <w:color w:val="auto"/>
          <w:kern w:val="2"/>
          <w:sz w:val="32"/>
          <w:szCs w:val="32"/>
        </w:rPr>
        <w:t>（二）壤塘县</w:t>
      </w:r>
      <w:r>
        <w:rPr>
          <w:rFonts w:hint="eastAsia" w:ascii="楷体_GB2312" w:hAnsi="黑体" w:eastAsia="楷体_GB2312" w:cs="楷体_GB2312"/>
          <w:b/>
          <w:bCs/>
          <w:color w:val="auto"/>
          <w:kern w:val="2"/>
          <w:sz w:val="32"/>
          <w:szCs w:val="32"/>
          <w:lang w:eastAsia="zh-CN"/>
        </w:rPr>
        <w:t>财政局</w:t>
      </w:r>
      <w:r>
        <w:rPr>
          <w:rFonts w:ascii="楷体_GB2312" w:hAnsi="黑体" w:eastAsia="楷体_GB2312" w:cs="楷体_GB2312"/>
          <w:b/>
          <w:bCs/>
          <w:color w:val="auto"/>
          <w:kern w:val="2"/>
          <w:sz w:val="32"/>
          <w:szCs w:val="32"/>
        </w:rPr>
        <w:t>20</w:t>
      </w:r>
      <w:r>
        <w:rPr>
          <w:rFonts w:hint="eastAsia" w:ascii="楷体_GB2312" w:hAnsi="黑体" w:eastAsia="楷体_GB2312" w:cs="楷体_GB2312"/>
          <w:b/>
          <w:bCs/>
          <w:color w:val="auto"/>
          <w:kern w:val="2"/>
          <w:sz w:val="32"/>
          <w:szCs w:val="32"/>
        </w:rPr>
        <w:t>2</w:t>
      </w:r>
      <w:r>
        <w:rPr>
          <w:rFonts w:hint="eastAsia" w:ascii="楷体_GB2312" w:hAnsi="黑体" w:eastAsia="楷体_GB2312" w:cs="楷体_GB2312"/>
          <w:b/>
          <w:bCs/>
          <w:color w:val="auto"/>
          <w:kern w:val="2"/>
          <w:sz w:val="32"/>
          <w:szCs w:val="32"/>
          <w:lang w:val="en-US" w:eastAsia="zh-CN"/>
        </w:rPr>
        <w:t>2</w:t>
      </w:r>
      <w:r>
        <w:rPr>
          <w:rFonts w:ascii="楷体_GB2312" w:hAnsi="黑体" w:eastAsia="楷体_GB2312" w:cs="楷体_GB2312"/>
          <w:b/>
          <w:bCs/>
          <w:color w:val="auto"/>
          <w:kern w:val="2"/>
          <w:sz w:val="32"/>
          <w:szCs w:val="32"/>
        </w:rPr>
        <w:t>年</w:t>
      </w:r>
      <w:r>
        <w:rPr>
          <w:rFonts w:hint="eastAsia" w:ascii="楷体_GB2312" w:hAnsi="黑体" w:eastAsia="楷体_GB2312" w:cs="楷体_GB2312"/>
          <w:b/>
          <w:bCs/>
          <w:color w:val="auto"/>
          <w:kern w:val="2"/>
          <w:sz w:val="32"/>
          <w:szCs w:val="32"/>
        </w:rPr>
        <w:t>重点工作</w:t>
      </w:r>
    </w:p>
    <w:p w14:paraId="63789EC3">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2022</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年壤塘县财政局仍将围绕县委、县政府决策部署，继续在</w:t>
      </w:r>
      <w:r>
        <w:rPr>
          <w:rFonts w:ascii="Times New Roman" w:hAnsi="Times New Roman" w:eastAsia="方正仿宋_GBK" w:cs="Times New Roman"/>
          <w:sz w:val="32"/>
          <w:szCs w:val="32"/>
          <w:lang w:val="zh-CN"/>
        </w:rPr>
        <w:t>根据县委确定的202</w:t>
      </w:r>
      <w:r>
        <w:rPr>
          <w:rFonts w:hint="eastAsia" w:ascii="Times New Roman" w:hAnsi="Times New Roman" w:eastAsia="方正仿宋_GBK" w:cs="Times New Roman"/>
          <w:sz w:val="32"/>
          <w:szCs w:val="32"/>
          <w:lang w:val="en-US" w:eastAsia="zh-CN"/>
        </w:rPr>
        <w:t>2</w:t>
      </w:r>
      <w:r>
        <w:rPr>
          <w:rFonts w:ascii="Times New Roman" w:hAnsi="Times New Roman" w:eastAsia="方正仿宋_GBK" w:cs="Times New Roman"/>
          <w:sz w:val="32"/>
          <w:szCs w:val="32"/>
          <w:lang w:val="zh-CN"/>
        </w:rPr>
        <w:t>年经济社会发展预期目标和重点任务，坚持贯彻从严从紧编制预算的总体要求和新发展理念，坚决兜牢“三保”支出底线，重点保障民生、乡村振兴等支出。</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现将具体工作计划如下：</w:t>
      </w:r>
    </w:p>
    <w:p w14:paraId="3AD1330A">
      <w:pPr>
        <w:keepNext w:val="0"/>
        <w:keepLines w:val="0"/>
        <w:pageBreakBefore w:val="0"/>
        <w:widowControl w:val="0"/>
        <w:kinsoku/>
        <w:wordWrap/>
        <w:overflowPunct w:val="0"/>
        <w:topLinePunct w:val="0"/>
        <w:autoSpaceDE/>
        <w:autoSpaceDN/>
        <w:bidi w:val="0"/>
        <w:spacing w:line="560" w:lineRule="exact"/>
        <w:ind w:firstLine="643" w:firstLineChars="200"/>
        <w:textAlignment w:val="auto"/>
        <w:rPr>
          <w:rFonts w:ascii="Times New Roman" w:hAnsi="Times New Roman" w:eastAsia="楷体_GB2312" w:cs="Times New Roman"/>
          <w:b/>
          <w:bCs/>
          <w:sz w:val="32"/>
          <w:szCs w:val="32"/>
        </w:rPr>
      </w:pPr>
      <w:r>
        <w:rPr>
          <w:rFonts w:hint="eastAsia" w:ascii="Times New Roman" w:hAnsi="Times New Roman" w:eastAsia="方正楷体_GBK" w:cs="Times New Roman"/>
          <w:b/>
          <w:bCs/>
          <w:sz w:val="32"/>
          <w:szCs w:val="32"/>
          <w:lang w:val="en-US" w:eastAsia="zh-CN"/>
        </w:rPr>
        <w:t>1、</w:t>
      </w:r>
      <w:r>
        <w:rPr>
          <w:rFonts w:ascii="Times New Roman" w:hAnsi="Times New Roman" w:eastAsia="方正楷体_GBK" w:cs="Times New Roman"/>
          <w:b/>
          <w:bCs/>
          <w:sz w:val="32"/>
          <w:szCs w:val="32"/>
        </w:rPr>
        <w:t>狠抓收入征管，优化收支结构</w:t>
      </w:r>
    </w:p>
    <w:p w14:paraId="72FD4115">
      <w:pPr>
        <w:keepNext w:val="0"/>
        <w:keepLines w:val="0"/>
        <w:pageBreakBefore w:val="0"/>
        <w:widowControl w:val="0"/>
        <w:kinsoku/>
        <w:wordWrap/>
        <w:overflowPunct w:val="0"/>
        <w:topLinePunct w:val="0"/>
        <w:autoSpaceDE/>
        <w:autoSpaceDN/>
        <w:bidi w:val="0"/>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方正仿宋_GBK" w:cs="Times New Roman"/>
          <w:sz w:val="32"/>
          <w:szCs w:val="32"/>
          <w:lang w:val="zh-CN"/>
        </w:rPr>
        <w:t>坚持开源与节流并重，加强对收入的组织，优化收支结构，着力支持改善民生等重点支出。</w:t>
      </w:r>
      <w:r>
        <w:rPr>
          <w:rFonts w:ascii="Times New Roman" w:hAnsi="Times New Roman" w:eastAsia="方正仿宋_GBK" w:cs="Times New Roman"/>
          <w:b/>
          <w:bCs/>
          <w:sz w:val="32"/>
          <w:szCs w:val="32"/>
          <w:lang w:val="zh-CN"/>
        </w:rPr>
        <w:t>一是</w:t>
      </w:r>
      <w:r>
        <w:rPr>
          <w:rFonts w:ascii="Times New Roman" w:hAnsi="Times New Roman" w:eastAsia="方正仿宋_GBK" w:cs="Times New Roman"/>
          <w:sz w:val="32"/>
          <w:szCs w:val="32"/>
          <w:lang w:val="zh-CN"/>
        </w:rPr>
        <w:t>强化收入组织，确保按时完成202</w:t>
      </w:r>
      <w:r>
        <w:rPr>
          <w:rFonts w:hint="eastAsia" w:ascii="Times New Roman" w:hAnsi="Times New Roman" w:eastAsia="方正仿宋_GBK" w:cs="Times New Roman"/>
          <w:sz w:val="32"/>
          <w:szCs w:val="32"/>
          <w:lang w:val="en-US" w:eastAsia="zh-CN"/>
        </w:rPr>
        <w:t>2</w:t>
      </w:r>
      <w:r>
        <w:rPr>
          <w:rFonts w:ascii="Times New Roman" w:hAnsi="Times New Roman" w:eastAsia="方正仿宋_GBK" w:cs="Times New Roman"/>
          <w:sz w:val="32"/>
          <w:szCs w:val="32"/>
          <w:lang w:val="zh-CN"/>
        </w:rPr>
        <w:t>年收入目标任务。</w:t>
      </w:r>
      <w:r>
        <w:rPr>
          <w:rFonts w:ascii="Times New Roman" w:hAnsi="Times New Roman" w:eastAsia="方正仿宋_GBK" w:cs="Times New Roman"/>
          <w:b/>
          <w:bCs/>
          <w:sz w:val="32"/>
          <w:szCs w:val="32"/>
          <w:lang w:val="zh-CN"/>
        </w:rPr>
        <w:t>二是</w:t>
      </w:r>
      <w:r>
        <w:rPr>
          <w:rFonts w:ascii="Times New Roman" w:hAnsi="Times New Roman" w:eastAsia="方正仿宋_GBK" w:cs="Times New Roman"/>
          <w:sz w:val="32"/>
          <w:szCs w:val="32"/>
          <w:lang w:val="zh-CN"/>
        </w:rPr>
        <w:t>优化支出结构，继续压减一般性支出，严控非必要支出，及时清理收回低效无效、闲置沉淀、结转结余项目资金用于保障重点领域、重点项目、重点民生支出，提高财政资源配置效率。</w:t>
      </w:r>
    </w:p>
    <w:p w14:paraId="6502B6B9">
      <w:pPr>
        <w:pStyle w:val="2"/>
        <w:keepNext w:val="0"/>
        <w:keepLines w:val="0"/>
        <w:pageBreakBefore w:val="0"/>
        <w:widowControl w:val="0"/>
        <w:kinsoku/>
        <w:wordWrap/>
        <w:overflowPunct w:val="0"/>
        <w:topLinePunct w:val="0"/>
        <w:autoSpaceDE/>
        <w:autoSpaceDN/>
        <w:bidi w:val="0"/>
        <w:spacing w:line="560" w:lineRule="exact"/>
        <w:ind w:firstLine="643" w:firstLineChars="200"/>
        <w:textAlignment w:val="auto"/>
        <w:rPr>
          <w:rFonts w:ascii="Times New Roman" w:hAnsi="Times New Roman" w:eastAsia="楷体_GB2312" w:cs="Times New Roman"/>
          <w:b/>
          <w:bCs/>
          <w:color w:val="333333"/>
          <w:spacing w:val="2"/>
          <w:sz w:val="32"/>
          <w:szCs w:val="32"/>
          <w:shd w:val="clear" w:color="auto" w:fill="FFFFFF"/>
        </w:rPr>
      </w:pPr>
      <w:r>
        <w:rPr>
          <w:rFonts w:hint="eastAsia" w:ascii="Times New Roman" w:hAnsi="Times New Roman" w:eastAsia="方正楷体_GBK" w:cs="Times New Roman"/>
          <w:b/>
          <w:bCs/>
          <w:sz w:val="32"/>
          <w:szCs w:val="32"/>
          <w:lang w:val="en-US" w:eastAsia="zh-CN"/>
        </w:rPr>
        <w:t>2、</w:t>
      </w:r>
      <w:r>
        <w:rPr>
          <w:rFonts w:ascii="Times New Roman" w:hAnsi="Times New Roman" w:eastAsia="方正楷体_GBK" w:cs="Times New Roman"/>
          <w:b/>
          <w:bCs/>
          <w:sz w:val="32"/>
          <w:szCs w:val="32"/>
        </w:rPr>
        <w:t>狠抓项目申报，积极筹措资金</w:t>
      </w:r>
    </w:p>
    <w:p w14:paraId="779BF278">
      <w:pPr>
        <w:pStyle w:val="2"/>
        <w:keepNext w:val="0"/>
        <w:keepLines w:val="0"/>
        <w:pageBreakBefore w:val="0"/>
        <w:widowControl w:val="0"/>
        <w:kinsoku/>
        <w:wordWrap/>
        <w:overflowPunct w:val="0"/>
        <w:topLinePunct w:val="0"/>
        <w:autoSpaceDE/>
        <w:autoSpaceDN/>
        <w:bidi w:val="0"/>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方正仿宋_GBK" w:cs="Times New Roman"/>
          <w:sz w:val="32"/>
          <w:szCs w:val="32"/>
          <w:lang w:val="zh-CN"/>
        </w:rPr>
        <w:t>积极争取上级财政资金。加强与省、州财政部门的密切联系，争取重点领域资金支持，配合县发改、各行业主管部门加强项目储备，加大向上申报项目力度，争取更多的上级资金支持我县重点项目建设</w:t>
      </w:r>
      <w:r>
        <w:rPr>
          <w:rFonts w:hint="eastAsia" w:ascii="Times New Roman" w:hAnsi="Times New Roman" w:eastAsia="方正仿宋_GBK" w:cs="Times New Roman"/>
          <w:sz w:val="32"/>
          <w:szCs w:val="32"/>
          <w:lang w:val="zh-CN"/>
        </w:rPr>
        <w:t>。</w:t>
      </w:r>
    </w:p>
    <w:p w14:paraId="0216E8D9">
      <w:pPr>
        <w:pStyle w:val="2"/>
        <w:keepNext w:val="0"/>
        <w:keepLines w:val="0"/>
        <w:pageBreakBefore w:val="0"/>
        <w:widowControl w:val="0"/>
        <w:kinsoku/>
        <w:wordWrap/>
        <w:overflowPunct w:val="0"/>
        <w:topLinePunct w:val="0"/>
        <w:autoSpaceDE/>
        <w:autoSpaceDN/>
        <w:bidi w:val="0"/>
        <w:spacing w:line="560" w:lineRule="exact"/>
        <w:ind w:firstLine="643" w:firstLineChars="200"/>
        <w:textAlignment w:val="auto"/>
        <w:rPr>
          <w:rFonts w:ascii="Times New Roman" w:hAnsi="Times New Roman" w:eastAsia="楷体_GB2312" w:cs="Times New Roman"/>
          <w:b/>
          <w:bCs/>
          <w:color w:val="333333"/>
          <w:spacing w:val="2"/>
          <w:sz w:val="32"/>
          <w:szCs w:val="32"/>
          <w:shd w:val="clear" w:color="auto" w:fill="FFFFFF"/>
        </w:rPr>
      </w:pPr>
      <w:r>
        <w:rPr>
          <w:rFonts w:hint="eastAsia" w:ascii="Times New Roman" w:hAnsi="Times New Roman" w:eastAsia="方正楷体_GBK" w:cs="Times New Roman"/>
          <w:b/>
          <w:bCs/>
          <w:sz w:val="32"/>
          <w:szCs w:val="32"/>
          <w:lang w:val="en-US" w:eastAsia="zh-CN"/>
        </w:rPr>
        <w:t>3、</w:t>
      </w:r>
      <w:r>
        <w:rPr>
          <w:rFonts w:ascii="Times New Roman" w:hAnsi="Times New Roman" w:eastAsia="方正楷体_GBK" w:cs="Times New Roman"/>
          <w:b/>
          <w:bCs/>
          <w:sz w:val="32"/>
          <w:szCs w:val="32"/>
        </w:rPr>
        <w:t>狠抓财政监管，提升财政质效</w:t>
      </w:r>
    </w:p>
    <w:p w14:paraId="7B41E62F">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方正仿宋_GBK" w:cs="Times New Roman"/>
          <w:sz w:val="32"/>
          <w:szCs w:val="32"/>
          <w:lang w:val="zh-CN"/>
        </w:rPr>
        <w:t>以财会监督为抓手，以内控建设为切入点，打通梗阻瓶颈，推动人大监督、财会监督、审计监督、巡查监督等协调联动，规范财政资金使用管理，促进全县经济稳定健康运行。</w:t>
      </w:r>
      <w:r>
        <w:rPr>
          <w:rFonts w:ascii="Times New Roman" w:hAnsi="Times New Roman" w:eastAsia="方正仿宋_GBK" w:cs="Times New Roman"/>
          <w:b/>
          <w:bCs/>
          <w:sz w:val="32"/>
          <w:szCs w:val="32"/>
          <w:lang w:val="zh-CN"/>
        </w:rPr>
        <w:t>一是</w:t>
      </w:r>
      <w:r>
        <w:rPr>
          <w:rFonts w:ascii="Times New Roman" w:hAnsi="Times New Roman" w:eastAsia="方正仿宋_GBK" w:cs="Times New Roman"/>
          <w:sz w:val="32"/>
          <w:szCs w:val="32"/>
          <w:lang w:val="zh-CN"/>
        </w:rPr>
        <w:t>严格执行《预算法》《会计法》等财经法规，加大财会监督力度，强化对预算单位的财务监管，健全内部监督约束机制，规范财政行政执法行为。</w:t>
      </w:r>
      <w:r>
        <w:rPr>
          <w:rFonts w:ascii="Times New Roman" w:hAnsi="Times New Roman" w:eastAsia="方正仿宋_GBK" w:cs="Times New Roman"/>
          <w:b/>
          <w:bCs/>
          <w:sz w:val="32"/>
          <w:szCs w:val="32"/>
          <w:lang w:val="zh-CN"/>
        </w:rPr>
        <w:t>二是</w:t>
      </w:r>
      <w:r>
        <w:rPr>
          <w:rFonts w:ascii="Times New Roman" w:hAnsi="Times New Roman" w:eastAsia="方正仿宋_GBK" w:cs="Times New Roman"/>
          <w:sz w:val="32"/>
          <w:szCs w:val="32"/>
          <w:lang w:val="zh-CN"/>
        </w:rPr>
        <w:t>全面推进依法理财，自觉接受人大对预算的监督审查，实行“双监控”模式，依托预算管理一体化系统，做好资金动态监控，加强预算绩效管理，指导各预算单位规范资金使用。</w:t>
      </w:r>
      <w:r>
        <w:rPr>
          <w:rFonts w:ascii="Times New Roman" w:hAnsi="Times New Roman" w:eastAsia="方正仿宋_GBK" w:cs="Times New Roman"/>
          <w:b/>
          <w:bCs/>
          <w:sz w:val="32"/>
          <w:szCs w:val="32"/>
          <w:lang w:val="zh-CN"/>
        </w:rPr>
        <w:t>三是</w:t>
      </w:r>
      <w:r>
        <w:rPr>
          <w:rFonts w:ascii="Times New Roman" w:hAnsi="Times New Roman" w:eastAsia="方正仿宋_GBK" w:cs="Times New Roman"/>
          <w:sz w:val="32"/>
          <w:szCs w:val="32"/>
          <w:lang w:val="zh-CN"/>
        </w:rPr>
        <w:t>开展财会普法宣传教育活动，推进建设节约型财政，全面落实政府过紧日子的相关要求。</w:t>
      </w:r>
      <w:r>
        <w:rPr>
          <w:rFonts w:ascii="Times New Roman" w:hAnsi="Times New Roman" w:eastAsia="方正仿宋_GBK" w:cs="Times New Roman"/>
          <w:b/>
          <w:bCs/>
          <w:sz w:val="32"/>
          <w:szCs w:val="32"/>
          <w:lang w:val="zh-CN"/>
        </w:rPr>
        <w:t>四是</w:t>
      </w:r>
      <w:r>
        <w:rPr>
          <w:rFonts w:ascii="Times New Roman" w:hAnsi="Times New Roman" w:eastAsia="方正仿宋_GBK" w:cs="Times New Roman"/>
          <w:sz w:val="32"/>
          <w:szCs w:val="32"/>
          <w:lang w:val="zh-CN"/>
        </w:rPr>
        <w:t>强化国有资产监管体制，进一步完善国有资产管理制度建设，加强对国有企业的监管力度，优化国有企业经营方式，推动县域经济发展。</w:t>
      </w:r>
    </w:p>
    <w:p w14:paraId="4B604974">
      <w:pPr>
        <w:keepNext w:val="0"/>
        <w:keepLines w:val="0"/>
        <w:pageBreakBefore w:val="0"/>
        <w:widowControl w:val="0"/>
        <w:kinsoku/>
        <w:wordWrap/>
        <w:overflowPunct w:val="0"/>
        <w:topLinePunct w:val="0"/>
        <w:autoSpaceDE/>
        <w:autoSpaceDN/>
        <w:bidi w:val="0"/>
        <w:adjustRightInd w:val="0"/>
        <w:snapToGrid w:val="0"/>
        <w:spacing w:line="560" w:lineRule="exact"/>
        <w:ind w:firstLine="643" w:firstLineChars="200"/>
        <w:textAlignment w:val="auto"/>
        <w:rPr>
          <w:rFonts w:ascii="Times New Roman" w:hAnsi="Times New Roman" w:eastAsia="楷体_GB2312" w:cs="Times New Roman"/>
          <w:b/>
          <w:sz w:val="32"/>
          <w:szCs w:val="32"/>
        </w:rPr>
      </w:pPr>
      <w:r>
        <w:rPr>
          <w:rFonts w:hint="eastAsia" w:ascii="Times New Roman" w:hAnsi="Times New Roman" w:eastAsia="方正楷体_GBK" w:cs="Times New Roman"/>
          <w:b/>
          <w:bCs/>
          <w:sz w:val="32"/>
          <w:szCs w:val="32"/>
          <w:lang w:val="en-US" w:eastAsia="zh-CN"/>
        </w:rPr>
        <w:t>4、</w:t>
      </w:r>
      <w:r>
        <w:rPr>
          <w:rFonts w:ascii="Times New Roman" w:hAnsi="Times New Roman" w:eastAsia="方正楷体_GBK" w:cs="Times New Roman"/>
          <w:b/>
          <w:bCs/>
          <w:sz w:val="32"/>
          <w:szCs w:val="32"/>
        </w:rPr>
        <w:t>狠抓债务管理，防范债务风险</w:t>
      </w:r>
    </w:p>
    <w:p w14:paraId="658A5ED8">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方正仿宋_GBK" w:cs="Times New Roman"/>
          <w:sz w:val="32"/>
          <w:szCs w:val="32"/>
          <w:lang w:val="zh-CN"/>
        </w:rPr>
        <w:t>建立规范的地方政府举债融资机制，切实履行偿债责任，加强对政府性债务的动态监控，坚决杜绝违法违规融资行为，同时加大财政暂付款和部门拖欠中小企业欠款消化力度，加强债务风险源头管控和政府投资项目立项前财政承受能力和债务风险评估，守住债务风险底线。</w:t>
      </w:r>
    </w:p>
    <w:p w14:paraId="421B872D">
      <w:pPr>
        <w:pStyle w:val="2"/>
        <w:keepNext w:val="0"/>
        <w:keepLines w:val="0"/>
        <w:pageBreakBefore w:val="0"/>
        <w:widowControl w:val="0"/>
        <w:kinsoku/>
        <w:wordWrap/>
        <w:overflowPunct w:val="0"/>
        <w:topLinePunct w:val="0"/>
        <w:autoSpaceDE/>
        <w:autoSpaceDN/>
        <w:bidi w:val="0"/>
        <w:spacing w:line="560" w:lineRule="exact"/>
        <w:ind w:firstLine="643" w:firstLineChars="200"/>
        <w:textAlignment w:val="auto"/>
        <w:rPr>
          <w:rFonts w:ascii="Times New Roman" w:hAnsi="Times New Roman" w:eastAsia="楷体_GB2312" w:cs="Times New Roman"/>
          <w:b/>
          <w:bCs/>
          <w:sz w:val="32"/>
          <w:szCs w:val="32"/>
        </w:rPr>
      </w:pPr>
      <w:r>
        <w:rPr>
          <w:rFonts w:hint="eastAsia" w:ascii="Times New Roman" w:hAnsi="Times New Roman" w:eastAsia="方正楷体_GBK" w:cs="Times New Roman"/>
          <w:b/>
          <w:bCs/>
          <w:sz w:val="32"/>
          <w:szCs w:val="32"/>
          <w:lang w:val="en-US" w:eastAsia="zh-CN"/>
        </w:rPr>
        <w:t>5、</w:t>
      </w:r>
      <w:r>
        <w:rPr>
          <w:rFonts w:ascii="Times New Roman" w:hAnsi="Times New Roman" w:eastAsia="方正楷体_GBK" w:cs="Times New Roman"/>
          <w:b/>
          <w:bCs/>
          <w:sz w:val="32"/>
          <w:szCs w:val="32"/>
        </w:rPr>
        <w:t>狠抓工作效能，增强管理水平</w:t>
      </w:r>
    </w:p>
    <w:p w14:paraId="5A51029E">
      <w:pPr>
        <w:pStyle w:val="15"/>
        <w:keepNext w:val="0"/>
        <w:keepLines w:val="0"/>
        <w:pageBreakBefore w:val="0"/>
        <w:kinsoku/>
        <w:wordWrap/>
        <w:overflowPunct/>
        <w:topLinePunct w:val="0"/>
        <w:autoSpaceDE/>
        <w:autoSpaceDN/>
        <w:bidi w:val="0"/>
        <w:spacing w:before="0" w:line="560" w:lineRule="exact"/>
        <w:ind w:firstLine="640" w:firstLineChars="200"/>
        <w:textAlignment w:val="auto"/>
        <w:rPr>
          <w:rFonts w:ascii="Times New Roman" w:hAnsi="Times New Roman" w:eastAsia="方正仿宋_GBK" w:cs="Times New Roman"/>
          <w:sz w:val="32"/>
          <w:szCs w:val="32"/>
          <w:lang w:val="zh-CN"/>
        </w:rPr>
      </w:pPr>
      <w:r>
        <w:rPr>
          <w:rFonts w:ascii="Times New Roman" w:hAnsi="Times New Roman" w:eastAsia="方正仿宋_GBK" w:cs="Times New Roman"/>
          <w:sz w:val="32"/>
          <w:szCs w:val="32"/>
          <w:lang w:val="zh-CN"/>
        </w:rPr>
        <w:t>多举措推进财政管理改革，努力提高财政工作质效。</w:t>
      </w:r>
      <w:r>
        <w:rPr>
          <w:rFonts w:ascii="Times New Roman" w:hAnsi="Times New Roman" w:eastAsia="方正仿宋_GBK" w:cs="Times New Roman"/>
          <w:b/>
          <w:bCs/>
          <w:sz w:val="32"/>
          <w:szCs w:val="32"/>
          <w:lang w:val="zh-CN"/>
        </w:rPr>
        <w:t>一是</w:t>
      </w:r>
      <w:r>
        <w:rPr>
          <w:rFonts w:ascii="Times New Roman" w:hAnsi="Times New Roman" w:eastAsia="方正仿宋_GBK" w:cs="Times New Roman"/>
          <w:sz w:val="32"/>
          <w:szCs w:val="32"/>
          <w:lang w:val="zh-CN"/>
        </w:rPr>
        <w:t>按照健全公共财政体制的要求，注重制度创新，逐步优化理财水平。继续深化预算管理制度改革，进一步提高预算编制的完整性、科学性、公开性和透明度。同时扩大项目支出绩效考评范围，强化绩效监督，实行重大项目资金使用问责制和责任追究制。</w:t>
      </w:r>
      <w:r>
        <w:rPr>
          <w:rFonts w:ascii="Times New Roman" w:hAnsi="Times New Roman" w:eastAsia="方正仿宋_GBK" w:cs="Times New Roman"/>
          <w:b/>
          <w:bCs/>
          <w:sz w:val="32"/>
          <w:szCs w:val="32"/>
          <w:lang w:val="zh-CN"/>
        </w:rPr>
        <w:t>二是</w:t>
      </w:r>
      <w:r>
        <w:rPr>
          <w:rFonts w:ascii="Times New Roman" w:hAnsi="Times New Roman" w:eastAsia="方正仿宋_GBK" w:cs="Times New Roman"/>
          <w:sz w:val="32"/>
          <w:szCs w:val="32"/>
          <w:lang w:val="zh-CN"/>
        </w:rPr>
        <w:t>加强行政事业单位资产管理，推进各项财政基础管理工作改革创新。</w:t>
      </w:r>
      <w:r>
        <w:rPr>
          <w:rFonts w:ascii="Times New Roman" w:hAnsi="Times New Roman" w:eastAsia="方正仿宋_GBK" w:cs="Times New Roman"/>
          <w:b/>
          <w:bCs/>
          <w:sz w:val="32"/>
          <w:szCs w:val="32"/>
          <w:lang w:val="zh-CN"/>
        </w:rPr>
        <w:t>三是</w:t>
      </w:r>
      <w:r>
        <w:rPr>
          <w:rFonts w:ascii="Times New Roman" w:hAnsi="Times New Roman" w:eastAsia="方正仿宋_GBK" w:cs="Times New Roman"/>
          <w:sz w:val="32"/>
          <w:szCs w:val="32"/>
          <w:lang w:val="zh-CN"/>
        </w:rPr>
        <w:t>加大对财政人员管理力度，加强干部培训教育，提升财政干部的学习创新能力，增强财政部门的创造力、凝聚力和战斗力，不断提高财政队伍综合素质。</w:t>
      </w:r>
      <w:r>
        <w:rPr>
          <w:rFonts w:ascii="Times New Roman" w:hAnsi="Times New Roman" w:eastAsia="方正仿宋_GBK" w:cs="Times New Roman"/>
          <w:b/>
          <w:bCs/>
          <w:sz w:val="32"/>
          <w:szCs w:val="32"/>
          <w:lang w:val="zh-CN"/>
        </w:rPr>
        <w:t>四是</w:t>
      </w:r>
      <w:r>
        <w:rPr>
          <w:rFonts w:ascii="Times New Roman" w:hAnsi="Times New Roman" w:eastAsia="方正仿宋_GBK" w:cs="Times New Roman"/>
          <w:sz w:val="32"/>
          <w:szCs w:val="32"/>
          <w:lang w:val="zh-CN"/>
        </w:rPr>
        <w:t>加强财政系统精神文明创建、党风廉政建设和政风建设，狠抓工作落实，切实打造服务型财政。</w:t>
      </w:r>
    </w:p>
    <w:p w14:paraId="3BA9393B">
      <w:pPr>
        <w:pStyle w:val="15"/>
        <w:keepNext w:val="0"/>
        <w:keepLines w:val="0"/>
        <w:pageBreakBefore w:val="0"/>
        <w:numPr>
          <w:ilvl w:val="0"/>
          <w:numId w:val="2"/>
        </w:numPr>
        <w:kinsoku/>
        <w:wordWrap/>
        <w:overflowPunct/>
        <w:topLinePunct w:val="0"/>
        <w:autoSpaceDE/>
        <w:autoSpaceDN/>
        <w:bidi w:val="0"/>
        <w:spacing w:before="0" w:line="560" w:lineRule="exact"/>
        <w:ind w:left="0" w:leftChars="0" w:firstLine="640" w:firstLineChars="200"/>
        <w:textAlignment w:val="auto"/>
        <w:rPr>
          <w:rFonts w:hint="eastAsia" w:ascii="黑体" w:hAnsi="黑体" w:eastAsia="黑体" w:cs="黑体"/>
          <w:kern w:val="2"/>
          <w:sz w:val="32"/>
          <w:szCs w:val="32"/>
        </w:rPr>
      </w:pPr>
      <w:r>
        <w:rPr>
          <w:rFonts w:hint="eastAsia" w:ascii="黑体" w:hAnsi="黑体" w:eastAsia="黑体" w:cs="黑体"/>
          <w:kern w:val="2"/>
          <w:sz w:val="32"/>
          <w:szCs w:val="32"/>
        </w:rPr>
        <w:t>部门预算单位构成</w:t>
      </w:r>
    </w:p>
    <w:p w14:paraId="07004B4E">
      <w:pPr>
        <w:pStyle w:val="18"/>
        <w:keepNext w:val="0"/>
        <w:keepLines w:val="0"/>
        <w:pageBreakBefore w:val="0"/>
        <w:widowControl w:val="0"/>
        <w:kinsoku/>
        <w:wordWrap/>
        <w:topLinePunct w:val="0"/>
        <w:autoSpaceDE/>
        <w:autoSpaceDN/>
        <w:bidi w:val="0"/>
        <w:spacing w:line="560" w:lineRule="exact"/>
        <w:ind w:firstLine="640" w:firstLineChars="200"/>
        <w:textAlignment w:val="auto"/>
        <w:rPr>
          <w:rFonts w:hAnsi="黑体" w:cs="Times New Roman"/>
          <w:kern w:val="2"/>
          <w:sz w:val="32"/>
          <w:szCs w:val="32"/>
        </w:rPr>
      </w:pPr>
      <w:r>
        <w:rPr>
          <w:rFonts w:hint="eastAsia" w:ascii="仿宋_GB2312" w:hAnsi="仿宋_GB2312" w:eastAsia="仿宋_GB2312" w:cs="仿宋_GB2312"/>
          <w:color w:val="auto"/>
          <w:sz w:val="32"/>
          <w:szCs w:val="32"/>
        </w:rPr>
        <w:t>壤塘县财政局属一级预算单位，下属二级预算单位</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个</w:t>
      </w:r>
      <w:r>
        <w:rPr>
          <w:rFonts w:hint="eastAsia" w:ascii="仿宋_GB2312" w:hAnsi="仿宋_GB2312" w:eastAsia="仿宋_GB2312" w:cs="仿宋_GB2312"/>
          <w:color w:val="auto"/>
          <w:sz w:val="32"/>
          <w:szCs w:val="32"/>
          <w:lang w:eastAsia="zh-CN"/>
        </w:rPr>
        <w:t>。</w:t>
      </w:r>
    </w:p>
    <w:p w14:paraId="4F4E6411">
      <w:pPr>
        <w:pStyle w:val="15"/>
        <w:keepNext w:val="0"/>
        <w:keepLines w:val="0"/>
        <w:pageBreakBefore w:val="0"/>
        <w:numPr>
          <w:ilvl w:val="0"/>
          <w:numId w:val="2"/>
        </w:numPr>
        <w:kinsoku/>
        <w:wordWrap/>
        <w:overflowPunct/>
        <w:topLinePunct w:val="0"/>
        <w:autoSpaceDE/>
        <w:autoSpaceDN/>
        <w:bidi w:val="0"/>
        <w:spacing w:before="0" w:line="560" w:lineRule="exact"/>
        <w:ind w:left="0" w:leftChars="0" w:firstLine="640" w:firstLineChars="200"/>
        <w:textAlignment w:val="auto"/>
        <w:rPr>
          <w:rFonts w:hint="eastAsia" w:ascii="黑体" w:hAnsi="黑体" w:eastAsia="黑体" w:cs="黑体"/>
          <w:kern w:val="2"/>
          <w:sz w:val="32"/>
          <w:szCs w:val="32"/>
        </w:rPr>
      </w:pPr>
      <w:r>
        <w:rPr>
          <w:rFonts w:hint="eastAsia" w:ascii="黑体" w:hAnsi="黑体" w:eastAsia="黑体" w:cs="黑体"/>
          <w:kern w:val="2"/>
          <w:sz w:val="32"/>
          <w:szCs w:val="32"/>
        </w:rPr>
        <w:t>收支预算情况说明</w:t>
      </w:r>
    </w:p>
    <w:p w14:paraId="038330BF">
      <w:pPr>
        <w:pStyle w:val="15"/>
        <w:keepNext w:val="0"/>
        <w:keepLines w:val="0"/>
        <w:pageBreakBefore w:val="0"/>
        <w:numPr>
          <w:ilvl w:val="0"/>
          <w:numId w:val="0"/>
        </w:numPr>
        <w:kinsoku/>
        <w:wordWrap/>
        <w:overflowPunct/>
        <w:topLinePunct w:val="0"/>
        <w:autoSpaceDE/>
        <w:autoSpaceDN/>
        <w:bidi w:val="0"/>
        <w:spacing w:before="0" w:line="560" w:lineRule="exact"/>
        <w:ind w:firstLine="640" w:firstLineChars="200"/>
        <w:textAlignment w:val="auto"/>
        <w:rPr>
          <w:rFonts w:hint="eastAsia" w:hAnsi="黑体" w:eastAsia="仿宋_GB2312"/>
          <w:kern w:val="2"/>
          <w:sz w:val="32"/>
          <w:szCs w:val="32"/>
          <w:lang w:eastAsia="zh-CN"/>
        </w:rPr>
      </w:pPr>
      <w:r>
        <w:rPr>
          <w:rFonts w:hint="eastAsia" w:hAnsi="黑体"/>
          <w:kern w:val="2"/>
          <w:sz w:val="32"/>
          <w:szCs w:val="32"/>
        </w:rPr>
        <w:t>按照综合预算的原则，壤塘</w:t>
      </w:r>
      <w:r>
        <w:rPr>
          <w:rFonts w:hint="eastAsia"/>
          <w:color w:val="000000"/>
          <w:sz w:val="32"/>
          <w:szCs w:val="32"/>
        </w:rPr>
        <w:t>县</w:t>
      </w:r>
      <w:r>
        <w:rPr>
          <w:rFonts w:hint="eastAsia"/>
          <w:color w:val="000000"/>
          <w:sz w:val="32"/>
          <w:szCs w:val="32"/>
          <w:lang w:eastAsia="zh-CN"/>
        </w:rPr>
        <w:t>财政局</w:t>
      </w:r>
      <w:r>
        <w:rPr>
          <w:rFonts w:hint="eastAsia" w:hAnsi="黑体"/>
          <w:kern w:val="2"/>
          <w:sz w:val="32"/>
          <w:szCs w:val="32"/>
        </w:rPr>
        <w:t>所有收入和支出均纳入部门预算管理。收入包括：一般公共预算拨款收入</w:t>
      </w:r>
      <w:r>
        <w:rPr>
          <w:rFonts w:hint="eastAsia" w:hAnsi="黑体" w:cs="Times New Roman"/>
          <w:kern w:val="2"/>
          <w:sz w:val="32"/>
          <w:szCs w:val="32"/>
          <w:lang w:val="en-US" w:eastAsia="zh-CN"/>
        </w:rPr>
        <w:t>663.97</w:t>
      </w:r>
      <w:r>
        <w:rPr>
          <w:rFonts w:hint="eastAsia" w:hAnsi="黑体"/>
          <w:kern w:val="2"/>
          <w:sz w:val="32"/>
          <w:szCs w:val="32"/>
        </w:rPr>
        <w:t>万元；支出包括：社会保障和就业支出</w:t>
      </w:r>
      <w:r>
        <w:rPr>
          <w:rFonts w:hint="eastAsia" w:hAnsi="黑体" w:cs="Times New Roman"/>
          <w:kern w:val="2"/>
          <w:sz w:val="32"/>
          <w:szCs w:val="32"/>
          <w:lang w:val="en-US" w:eastAsia="zh-CN"/>
        </w:rPr>
        <w:t>93.59</w:t>
      </w:r>
      <w:r>
        <w:rPr>
          <w:rFonts w:hint="eastAsia" w:hAnsi="黑体"/>
          <w:kern w:val="2"/>
          <w:sz w:val="32"/>
          <w:szCs w:val="32"/>
        </w:rPr>
        <w:t>万元，卫生健康支出</w:t>
      </w:r>
      <w:r>
        <w:rPr>
          <w:rFonts w:hint="eastAsia" w:hAnsi="黑体"/>
          <w:kern w:val="2"/>
          <w:sz w:val="32"/>
          <w:szCs w:val="32"/>
          <w:lang w:val="en-US" w:eastAsia="zh-CN"/>
        </w:rPr>
        <w:t>37.35</w:t>
      </w:r>
      <w:r>
        <w:rPr>
          <w:rFonts w:hint="eastAsia" w:hAnsi="黑体"/>
          <w:kern w:val="2"/>
          <w:sz w:val="32"/>
          <w:szCs w:val="32"/>
        </w:rPr>
        <w:t>万元，住房保障支出</w:t>
      </w:r>
      <w:r>
        <w:rPr>
          <w:rFonts w:hint="eastAsia" w:hAnsi="黑体" w:cs="Times New Roman"/>
          <w:kern w:val="2"/>
          <w:sz w:val="32"/>
          <w:szCs w:val="32"/>
          <w:lang w:val="en-US" w:eastAsia="zh-CN"/>
        </w:rPr>
        <w:t>61.94</w:t>
      </w:r>
      <w:r>
        <w:rPr>
          <w:rFonts w:hint="eastAsia" w:hAnsi="黑体"/>
          <w:kern w:val="2"/>
          <w:sz w:val="32"/>
          <w:szCs w:val="32"/>
        </w:rPr>
        <w:t>万元，一般公共服务支出</w:t>
      </w:r>
      <w:r>
        <w:rPr>
          <w:rFonts w:hint="eastAsia" w:hAnsi="黑体"/>
          <w:kern w:val="2"/>
          <w:sz w:val="32"/>
          <w:szCs w:val="32"/>
          <w:lang w:val="en-US" w:eastAsia="zh-CN"/>
        </w:rPr>
        <w:t>471.09</w:t>
      </w:r>
      <w:r>
        <w:rPr>
          <w:rFonts w:hint="eastAsia" w:hAnsi="黑体"/>
          <w:kern w:val="2"/>
          <w:sz w:val="32"/>
          <w:szCs w:val="32"/>
        </w:rPr>
        <w:t>万元。</w:t>
      </w:r>
    </w:p>
    <w:p w14:paraId="7EC67CD1">
      <w:pPr>
        <w:pStyle w:val="15"/>
        <w:keepNext w:val="0"/>
        <w:keepLines w:val="0"/>
        <w:pageBreakBefore w:val="0"/>
        <w:kinsoku/>
        <w:wordWrap/>
        <w:overflowPunct/>
        <w:topLinePunct w:val="0"/>
        <w:autoSpaceDE/>
        <w:autoSpaceDN/>
        <w:bidi w:val="0"/>
        <w:spacing w:before="0" w:line="560" w:lineRule="exact"/>
        <w:ind w:firstLine="643" w:firstLineChars="200"/>
        <w:textAlignment w:val="auto"/>
        <w:rPr>
          <w:rFonts w:ascii="楷体_GB2312" w:hAnsi="黑体" w:eastAsia="楷体_GB2312" w:cs="楷体_GB2312"/>
          <w:b/>
          <w:bCs/>
          <w:kern w:val="2"/>
          <w:sz w:val="32"/>
          <w:szCs w:val="32"/>
        </w:rPr>
      </w:pPr>
      <w:r>
        <w:rPr>
          <w:rFonts w:hint="eastAsia" w:ascii="楷体_GB2312" w:hAnsi="黑体" w:eastAsia="楷体_GB2312" w:cs="楷体_GB2312"/>
          <w:b/>
          <w:bCs/>
          <w:kern w:val="2"/>
          <w:sz w:val="32"/>
          <w:szCs w:val="32"/>
        </w:rPr>
        <w:t>（一）收入预算情况</w:t>
      </w:r>
    </w:p>
    <w:p w14:paraId="473FEA5D">
      <w:pPr>
        <w:pStyle w:val="15"/>
        <w:keepNext w:val="0"/>
        <w:keepLines w:val="0"/>
        <w:pageBreakBefore w:val="0"/>
        <w:kinsoku/>
        <w:wordWrap/>
        <w:overflowPunct/>
        <w:topLinePunct w:val="0"/>
        <w:autoSpaceDE/>
        <w:autoSpaceDN/>
        <w:bidi w:val="0"/>
        <w:spacing w:before="0" w:line="560" w:lineRule="exact"/>
        <w:ind w:firstLine="640" w:firstLineChars="200"/>
        <w:textAlignment w:val="auto"/>
        <w:rPr>
          <w:rFonts w:hAnsi="黑体"/>
          <w:kern w:val="2"/>
          <w:sz w:val="32"/>
          <w:szCs w:val="32"/>
        </w:rPr>
      </w:pPr>
      <w:r>
        <w:rPr>
          <w:rFonts w:hint="eastAsia" w:hAnsi="黑体"/>
          <w:kern w:val="2"/>
          <w:sz w:val="32"/>
          <w:szCs w:val="32"/>
          <w:lang w:eastAsia="zh-CN"/>
        </w:rPr>
        <w:t>壤塘县财政局</w:t>
      </w:r>
      <w:r>
        <w:rPr>
          <w:rFonts w:hAnsi="黑体"/>
          <w:kern w:val="2"/>
          <w:sz w:val="32"/>
          <w:szCs w:val="32"/>
        </w:rPr>
        <w:t>202</w:t>
      </w:r>
      <w:r>
        <w:rPr>
          <w:rFonts w:hint="eastAsia" w:hAnsi="黑体"/>
          <w:kern w:val="2"/>
          <w:sz w:val="32"/>
          <w:szCs w:val="32"/>
          <w:lang w:val="en-US" w:eastAsia="zh-CN"/>
        </w:rPr>
        <w:t>2</w:t>
      </w:r>
      <w:r>
        <w:rPr>
          <w:rFonts w:hAnsi="黑体"/>
          <w:kern w:val="2"/>
          <w:sz w:val="32"/>
          <w:szCs w:val="32"/>
        </w:rPr>
        <w:t>年</w:t>
      </w:r>
      <w:r>
        <w:rPr>
          <w:rFonts w:hint="eastAsia" w:hAnsi="黑体"/>
          <w:kern w:val="2"/>
          <w:sz w:val="32"/>
          <w:szCs w:val="32"/>
        </w:rPr>
        <w:t>收入预算</w:t>
      </w:r>
      <w:r>
        <w:rPr>
          <w:rFonts w:hint="eastAsia" w:hAnsi="黑体" w:cs="Times New Roman"/>
          <w:kern w:val="2"/>
          <w:sz w:val="32"/>
          <w:szCs w:val="32"/>
          <w:lang w:val="en-US" w:eastAsia="zh-CN"/>
        </w:rPr>
        <w:t>663.97</w:t>
      </w:r>
      <w:r>
        <w:rPr>
          <w:rFonts w:hint="eastAsia" w:hAnsi="黑体"/>
          <w:kern w:val="2"/>
          <w:sz w:val="32"/>
          <w:szCs w:val="32"/>
        </w:rPr>
        <w:t>万元，其中：一般公共预算拨款收入</w:t>
      </w:r>
      <w:r>
        <w:rPr>
          <w:rFonts w:hint="eastAsia" w:hAnsi="黑体" w:cs="Times New Roman"/>
          <w:kern w:val="2"/>
          <w:sz w:val="32"/>
          <w:szCs w:val="32"/>
          <w:lang w:val="en-US" w:eastAsia="zh-CN"/>
        </w:rPr>
        <w:t>663.97</w:t>
      </w:r>
      <w:r>
        <w:rPr>
          <w:rFonts w:hint="eastAsia" w:hAnsi="黑体"/>
          <w:kern w:val="2"/>
          <w:sz w:val="32"/>
          <w:szCs w:val="32"/>
        </w:rPr>
        <w:t>万元，占</w:t>
      </w:r>
      <w:r>
        <w:rPr>
          <w:rFonts w:hAnsi="黑体" w:cs="Times New Roman"/>
          <w:kern w:val="2"/>
          <w:sz w:val="32"/>
          <w:szCs w:val="32"/>
        </w:rPr>
        <w:t>100</w:t>
      </w:r>
      <w:r>
        <w:rPr>
          <w:rFonts w:hAnsi="黑体"/>
          <w:kern w:val="2"/>
          <w:sz w:val="32"/>
          <w:szCs w:val="32"/>
        </w:rPr>
        <w:t>%</w:t>
      </w:r>
      <w:r>
        <w:rPr>
          <w:rFonts w:hint="eastAsia" w:hAnsi="黑体"/>
          <w:kern w:val="2"/>
          <w:sz w:val="32"/>
          <w:szCs w:val="32"/>
        </w:rPr>
        <w:t>。</w:t>
      </w:r>
    </w:p>
    <w:p w14:paraId="32BC149E">
      <w:pPr>
        <w:pStyle w:val="15"/>
        <w:keepNext w:val="0"/>
        <w:keepLines w:val="0"/>
        <w:pageBreakBefore w:val="0"/>
        <w:kinsoku/>
        <w:wordWrap/>
        <w:overflowPunct/>
        <w:topLinePunct w:val="0"/>
        <w:autoSpaceDE/>
        <w:autoSpaceDN/>
        <w:bidi w:val="0"/>
        <w:spacing w:before="0" w:line="560" w:lineRule="exact"/>
        <w:ind w:firstLine="643" w:firstLineChars="200"/>
        <w:textAlignment w:val="auto"/>
        <w:rPr>
          <w:rFonts w:ascii="楷体_GB2312" w:hAnsi="黑体" w:eastAsia="楷体_GB2312" w:cs="楷体_GB2312"/>
          <w:b/>
          <w:bCs/>
          <w:kern w:val="2"/>
          <w:sz w:val="32"/>
          <w:szCs w:val="32"/>
        </w:rPr>
      </w:pPr>
      <w:r>
        <w:rPr>
          <w:rFonts w:hint="eastAsia" w:ascii="楷体_GB2312" w:hAnsi="黑体" w:eastAsia="楷体_GB2312" w:cs="楷体_GB2312"/>
          <w:b/>
          <w:bCs/>
          <w:kern w:val="2"/>
          <w:sz w:val="32"/>
          <w:szCs w:val="32"/>
        </w:rPr>
        <w:t>（二）支出预算情况</w:t>
      </w:r>
    </w:p>
    <w:p w14:paraId="4CB3A458">
      <w:pPr>
        <w:pStyle w:val="15"/>
        <w:keepNext w:val="0"/>
        <w:keepLines w:val="0"/>
        <w:pageBreakBefore w:val="0"/>
        <w:kinsoku/>
        <w:wordWrap/>
        <w:overflowPunct/>
        <w:topLinePunct w:val="0"/>
        <w:autoSpaceDE/>
        <w:autoSpaceDN/>
        <w:bidi w:val="0"/>
        <w:spacing w:before="0" w:line="560" w:lineRule="exact"/>
        <w:ind w:firstLine="640" w:firstLineChars="200"/>
        <w:textAlignment w:val="auto"/>
        <w:rPr>
          <w:rFonts w:hAnsi="黑体" w:cs="Times New Roman"/>
          <w:kern w:val="2"/>
          <w:sz w:val="32"/>
          <w:szCs w:val="32"/>
        </w:rPr>
      </w:pPr>
      <w:r>
        <w:rPr>
          <w:rFonts w:hint="eastAsia" w:hAnsi="黑体"/>
          <w:kern w:val="2"/>
          <w:sz w:val="32"/>
          <w:szCs w:val="32"/>
          <w:lang w:eastAsia="zh-CN"/>
        </w:rPr>
        <w:t>壤塘县财政局</w:t>
      </w:r>
      <w:r>
        <w:rPr>
          <w:rFonts w:hAnsi="黑体"/>
          <w:kern w:val="2"/>
          <w:sz w:val="32"/>
          <w:szCs w:val="32"/>
        </w:rPr>
        <w:t>202</w:t>
      </w:r>
      <w:r>
        <w:rPr>
          <w:rFonts w:hint="eastAsia" w:hAnsi="黑体"/>
          <w:kern w:val="2"/>
          <w:sz w:val="32"/>
          <w:szCs w:val="32"/>
          <w:lang w:val="en-US" w:eastAsia="zh-CN"/>
        </w:rPr>
        <w:t>2</w:t>
      </w:r>
      <w:r>
        <w:rPr>
          <w:rFonts w:hAnsi="黑体"/>
          <w:kern w:val="2"/>
          <w:sz w:val="32"/>
          <w:szCs w:val="32"/>
        </w:rPr>
        <w:t>年</w:t>
      </w:r>
      <w:r>
        <w:rPr>
          <w:rFonts w:hint="eastAsia" w:hAnsi="黑体"/>
          <w:kern w:val="2"/>
          <w:sz w:val="32"/>
          <w:szCs w:val="32"/>
        </w:rPr>
        <w:t>支出预算</w:t>
      </w:r>
      <w:r>
        <w:rPr>
          <w:rFonts w:hint="eastAsia" w:hAnsi="黑体" w:cs="Times New Roman"/>
          <w:kern w:val="2"/>
          <w:sz w:val="32"/>
          <w:szCs w:val="32"/>
          <w:lang w:val="en-US" w:eastAsia="zh-CN"/>
        </w:rPr>
        <w:t>993.97</w:t>
      </w:r>
      <w:r>
        <w:rPr>
          <w:rFonts w:hint="eastAsia" w:hAnsi="黑体"/>
          <w:kern w:val="2"/>
          <w:sz w:val="32"/>
          <w:szCs w:val="32"/>
        </w:rPr>
        <w:t>万元，其中：基本支出</w:t>
      </w:r>
      <w:r>
        <w:rPr>
          <w:rFonts w:hint="eastAsia" w:hAnsi="黑体" w:cs="Times New Roman"/>
          <w:kern w:val="2"/>
          <w:sz w:val="32"/>
          <w:szCs w:val="32"/>
          <w:lang w:val="en-US" w:eastAsia="zh-CN"/>
        </w:rPr>
        <w:t>663.97</w:t>
      </w:r>
      <w:r>
        <w:rPr>
          <w:rFonts w:hint="eastAsia" w:hAnsi="黑体"/>
          <w:kern w:val="2"/>
          <w:sz w:val="32"/>
          <w:szCs w:val="32"/>
        </w:rPr>
        <w:t>万元，占</w:t>
      </w:r>
      <w:r>
        <w:rPr>
          <w:rFonts w:hint="eastAsia" w:hAnsi="黑体" w:cs="Times New Roman"/>
          <w:kern w:val="2"/>
          <w:sz w:val="32"/>
          <w:szCs w:val="32"/>
          <w:lang w:val="en-US" w:eastAsia="zh-CN"/>
        </w:rPr>
        <w:t>100</w:t>
      </w:r>
      <w:r>
        <w:rPr>
          <w:rFonts w:hAnsi="黑体"/>
          <w:kern w:val="2"/>
          <w:sz w:val="32"/>
          <w:szCs w:val="32"/>
        </w:rPr>
        <w:t>%</w:t>
      </w:r>
      <w:r>
        <w:rPr>
          <w:rFonts w:hint="eastAsia" w:hAnsi="黑体"/>
          <w:kern w:val="2"/>
          <w:sz w:val="32"/>
          <w:szCs w:val="32"/>
        </w:rPr>
        <w:t>；项目支出</w:t>
      </w:r>
      <w:r>
        <w:rPr>
          <w:rFonts w:hint="eastAsia" w:hAnsi="黑体" w:cs="Times New Roman"/>
          <w:kern w:val="2"/>
          <w:sz w:val="32"/>
          <w:szCs w:val="32"/>
          <w:lang w:val="en-US" w:eastAsia="zh-CN"/>
        </w:rPr>
        <w:t>0</w:t>
      </w:r>
      <w:r>
        <w:rPr>
          <w:rFonts w:hint="eastAsia" w:hAnsi="黑体"/>
          <w:kern w:val="2"/>
          <w:sz w:val="32"/>
          <w:szCs w:val="32"/>
        </w:rPr>
        <w:t>万元，占</w:t>
      </w:r>
      <w:r>
        <w:rPr>
          <w:rFonts w:hint="eastAsia" w:hAnsi="黑体" w:cs="Times New Roman"/>
          <w:kern w:val="2"/>
          <w:sz w:val="32"/>
          <w:szCs w:val="32"/>
          <w:lang w:val="en-US" w:eastAsia="zh-CN"/>
        </w:rPr>
        <w:t>0</w:t>
      </w:r>
      <w:r>
        <w:rPr>
          <w:rFonts w:hAnsi="黑体"/>
          <w:kern w:val="2"/>
          <w:sz w:val="32"/>
          <w:szCs w:val="32"/>
        </w:rPr>
        <w:t>%</w:t>
      </w:r>
      <w:r>
        <w:rPr>
          <w:rFonts w:hint="eastAsia" w:hAnsi="黑体"/>
          <w:kern w:val="2"/>
          <w:sz w:val="32"/>
          <w:szCs w:val="32"/>
        </w:rPr>
        <w:t>。</w:t>
      </w:r>
    </w:p>
    <w:p w14:paraId="6AFA4FCB">
      <w:pPr>
        <w:pStyle w:val="15"/>
        <w:keepNext w:val="0"/>
        <w:keepLines w:val="0"/>
        <w:pageBreakBefore w:val="0"/>
        <w:kinsoku/>
        <w:wordWrap/>
        <w:overflowPunct/>
        <w:topLinePunct w:val="0"/>
        <w:autoSpaceDE/>
        <w:autoSpaceDN/>
        <w:bidi w:val="0"/>
        <w:spacing w:before="0" w:line="560" w:lineRule="exact"/>
        <w:ind w:firstLine="640" w:firstLineChars="200"/>
        <w:textAlignment w:val="auto"/>
        <w:rPr>
          <w:rFonts w:ascii="黑体" w:hAnsi="黑体" w:eastAsia="黑体" w:cs="黑体"/>
          <w:kern w:val="2"/>
          <w:sz w:val="32"/>
          <w:szCs w:val="32"/>
        </w:rPr>
      </w:pPr>
      <w:r>
        <w:rPr>
          <w:rFonts w:hint="eastAsia" w:ascii="黑体" w:hAnsi="黑体" w:eastAsia="黑体" w:cs="黑体"/>
          <w:kern w:val="2"/>
          <w:sz w:val="32"/>
          <w:szCs w:val="32"/>
        </w:rPr>
        <w:t>四、财政拨款收支预算情况说明</w:t>
      </w:r>
    </w:p>
    <w:p w14:paraId="58EAA73B">
      <w:pPr>
        <w:pStyle w:val="15"/>
        <w:keepNext w:val="0"/>
        <w:keepLines w:val="0"/>
        <w:pageBreakBefore w:val="0"/>
        <w:kinsoku/>
        <w:wordWrap/>
        <w:overflowPunct/>
        <w:topLinePunct w:val="0"/>
        <w:autoSpaceDE/>
        <w:autoSpaceDN/>
        <w:bidi w:val="0"/>
        <w:spacing w:before="0" w:line="560" w:lineRule="exact"/>
        <w:ind w:firstLine="640" w:firstLineChars="200"/>
        <w:textAlignment w:val="auto"/>
        <w:rPr>
          <w:rFonts w:hint="eastAsia" w:hAnsi="黑体"/>
          <w:kern w:val="2"/>
          <w:sz w:val="32"/>
          <w:szCs w:val="32"/>
        </w:rPr>
      </w:pPr>
      <w:r>
        <w:rPr>
          <w:rFonts w:hint="eastAsia" w:hAnsi="黑体"/>
          <w:kern w:val="2"/>
          <w:sz w:val="32"/>
          <w:szCs w:val="32"/>
          <w:lang w:eastAsia="zh-CN"/>
        </w:rPr>
        <w:t>壤塘县财政局</w:t>
      </w:r>
      <w:r>
        <w:rPr>
          <w:rFonts w:hAnsi="黑体"/>
          <w:kern w:val="2"/>
          <w:sz w:val="32"/>
          <w:szCs w:val="32"/>
        </w:rPr>
        <w:t>202</w:t>
      </w:r>
      <w:r>
        <w:rPr>
          <w:rFonts w:hint="eastAsia" w:hAnsi="黑体"/>
          <w:kern w:val="2"/>
          <w:sz w:val="32"/>
          <w:szCs w:val="32"/>
          <w:lang w:val="en-US" w:eastAsia="zh-CN"/>
        </w:rPr>
        <w:t>2</w:t>
      </w:r>
      <w:r>
        <w:rPr>
          <w:rFonts w:hAnsi="黑体"/>
          <w:kern w:val="2"/>
          <w:sz w:val="32"/>
          <w:szCs w:val="32"/>
        </w:rPr>
        <w:t>年</w:t>
      </w:r>
      <w:r>
        <w:rPr>
          <w:rFonts w:hint="eastAsia" w:hAnsi="黑体"/>
          <w:kern w:val="2"/>
          <w:sz w:val="32"/>
          <w:szCs w:val="32"/>
        </w:rPr>
        <w:t>财政拨款收支总预算</w:t>
      </w:r>
      <w:r>
        <w:rPr>
          <w:rFonts w:hint="eastAsia" w:hAnsi="黑体" w:cs="Times New Roman"/>
          <w:kern w:val="2"/>
          <w:sz w:val="32"/>
          <w:szCs w:val="32"/>
          <w:lang w:val="en-US" w:eastAsia="zh-CN"/>
        </w:rPr>
        <w:t>663.97</w:t>
      </w:r>
      <w:r>
        <w:rPr>
          <w:rFonts w:hint="eastAsia" w:hAnsi="黑体"/>
          <w:kern w:val="2"/>
          <w:sz w:val="32"/>
          <w:szCs w:val="32"/>
        </w:rPr>
        <w:t>万元</w:t>
      </w:r>
      <w:r>
        <w:rPr>
          <w:rFonts w:hint="eastAsia" w:hAnsi="黑体"/>
          <w:kern w:val="2"/>
          <w:sz w:val="32"/>
          <w:szCs w:val="32"/>
          <w:lang w:eastAsia="zh-CN"/>
        </w:rPr>
        <w:t>，</w:t>
      </w:r>
      <w:r>
        <w:rPr>
          <w:rFonts w:hint="eastAsia" w:hAnsi="黑体"/>
          <w:kern w:val="2"/>
          <w:sz w:val="32"/>
          <w:szCs w:val="32"/>
        </w:rPr>
        <w:t>收入包括：本年一般公共预算拨款收入</w:t>
      </w:r>
      <w:r>
        <w:rPr>
          <w:rFonts w:hint="eastAsia" w:hAnsi="黑体"/>
          <w:kern w:val="2"/>
          <w:sz w:val="32"/>
          <w:szCs w:val="32"/>
          <w:lang w:val="en-US" w:eastAsia="zh-CN"/>
        </w:rPr>
        <w:t>663.97</w:t>
      </w:r>
      <w:r>
        <w:rPr>
          <w:rFonts w:hint="eastAsia" w:hAnsi="黑体"/>
          <w:kern w:val="2"/>
          <w:sz w:val="32"/>
          <w:szCs w:val="32"/>
        </w:rPr>
        <w:t>万元；支出包括：社会保障和就业支出</w:t>
      </w:r>
      <w:r>
        <w:rPr>
          <w:rFonts w:hint="eastAsia" w:hAnsi="黑体" w:cs="Times New Roman"/>
          <w:kern w:val="2"/>
          <w:sz w:val="32"/>
          <w:szCs w:val="32"/>
          <w:lang w:val="en-US" w:eastAsia="zh-CN"/>
        </w:rPr>
        <w:t>93.59</w:t>
      </w:r>
      <w:r>
        <w:rPr>
          <w:rFonts w:hint="eastAsia" w:hAnsi="黑体"/>
          <w:kern w:val="2"/>
          <w:sz w:val="32"/>
          <w:szCs w:val="32"/>
        </w:rPr>
        <w:t>万元，卫生健康支出</w:t>
      </w:r>
      <w:r>
        <w:rPr>
          <w:rFonts w:hint="eastAsia" w:hAnsi="黑体"/>
          <w:kern w:val="2"/>
          <w:sz w:val="32"/>
          <w:szCs w:val="32"/>
          <w:lang w:val="en-US" w:eastAsia="zh-CN"/>
        </w:rPr>
        <w:t>37.35</w:t>
      </w:r>
      <w:r>
        <w:rPr>
          <w:rFonts w:hint="eastAsia" w:hAnsi="黑体"/>
          <w:kern w:val="2"/>
          <w:sz w:val="32"/>
          <w:szCs w:val="32"/>
        </w:rPr>
        <w:t>万元，住房保障支出</w:t>
      </w:r>
      <w:r>
        <w:rPr>
          <w:rFonts w:hint="eastAsia" w:hAnsi="黑体" w:cs="Times New Roman"/>
          <w:kern w:val="2"/>
          <w:sz w:val="32"/>
          <w:szCs w:val="32"/>
          <w:lang w:val="en-US" w:eastAsia="zh-CN"/>
        </w:rPr>
        <w:t>61.94</w:t>
      </w:r>
      <w:r>
        <w:rPr>
          <w:rFonts w:hint="eastAsia" w:hAnsi="黑体"/>
          <w:kern w:val="2"/>
          <w:sz w:val="32"/>
          <w:szCs w:val="32"/>
        </w:rPr>
        <w:t>万元，一般公共服务支出</w:t>
      </w:r>
      <w:r>
        <w:rPr>
          <w:rFonts w:hint="eastAsia" w:hAnsi="黑体"/>
          <w:kern w:val="2"/>
          <w:sz w:val="32"/>
          <w:szCs w:val="32"/>
          <w:lang w:val="en-US" w:eastAsia="zh-CN"/>
        </w:rPr>
        <w:t>471.09</w:t>
      </w:r>
      <w:r>
        <w:rPr>
          <w:rFonts w:hint="eastAsia" w:hAnsi="黑体"/>
          <w:kern w:val="2"/>
          <w:sz w:val="32"/>
          <w:szCs w:val="32"/>
        </w:rPr>
        <w:t>万元。</w:t>
      </w:r>
    </w:p>
    <w:p w14:paraId="61C0C9AE">
      <w:pPr>
        <w:pStyle w:val="15"/>
        <w:keepNext w:val="0"/>
        <w:keepLines w:val="0"/>
        <w:pageBreakBefore w:val="0"/>
        <w:kinsoku/>
        <w:wordWrap/>
        <w:overflowPunct/>
        <w:topLinePunct w:val="0"/>
        <w:autoSpaceDE/>
        <w:autoSpaceDN/>
        <w:bidi w:val="0"/>
        <w:spacing w:before="0" w:line="560" w:lineRule="exact"/>
        <w:ind w:firstLine="640" w:firstLineChars="200"/>
        <w:textAlignment w:val="auto"/>
        <w:rPr>
          <w:rFonts w:ascii="黑体" w:hAnsi="黑体" w:eastAsia="黑体" w:cs="黑体"/>
          <w:kern w:val="2"/>
          <w:sz w:val="32"/>
          <w:szCs w:val="32"/>
        </w:rPr>
      </w:pPr>
      <w:r>
        <w:rPr>
          <w:rFonts w:hint="eastAsia" w:ascii="黑体" w:hAnsi="黑体" w:eastAsia="黑体" w:cs="黑体"/>
          <w:kern w:val="2"/>
          <w:sz w:val="32"/>
          <w:szCs w:val="32"/>
        </w:rPr>
        <w:t>五、一般公共预算当年拨款情况说明</w:t>
      </w:r>
    </w:p>
    <w:p w14:paraId="43DAEA03">
      <w:pPr>
        <w:pStyle w:val="15"/>
        <w:keepNext w:val="0"/>
        <w:keepLines w:val="0"/>
        <w:pageBreakBefore w:val="0"/>
        <w:kinsoku/>
        <w:wordWrap/>
        <w:overflowPunct/>
        <w:topLinePunct w:val="0"/>
        <w:autoSpaceDE/>
        <w:autoSpaceDN/>
        <w:bidi w:val="0"/>
        <w:spacing w:before="0" w:line="560" w:lineRule="exact"/>
        <w:ind w:firstLine="643" w:firstLineChars="200"/>
        <w:textAlignment w:val="auto"/>
        <w:rPr>
          <w:rFonts w:hAnsi="黑体" w:cs="Times New Roman"/>
          <w:kern w:val="2"/>
          <w:sz w:val="32"/>
          <w:szCs w:val="32"/>
        </w:rPr>
      </w:pPr>
      <w:r>
        <w:rPr>
          <w:rFonts w:hint="eastAsia" w:ascii="楷体_GB2312" w:hAnsi="黑体" w:eastAsia="楷体_GB2312" w:cs="楷体_GB2312"/>
          <w:b/>
          <w:bCs/>
          <w:kern w:val="2"/>
          <w:sz w:val="32"/>
          <w:szCs w:val="32"/>
        </w:rPr>
        <w:t>（一）一般公共预算当年拨款规模变化情况</w:t>
      </w:r>
    </w:p>
    <w:p w14:paraId="38CF50CF">
      <w:pPr>
        <w:pStyle w:val="15"/>
        <w:keepNext w:val="0"/>
        <w:keepLines w:val="0"/>
        <w:pageBreakBefore w:val="0"/>
        <w:kinsoku/>
        <w:wordWrap/>
        <w:overflowPunct/>
        <w:topLinePunct w:val="0"/>
        <w:autoSpaceDE/>
        <w:autoSpaceDN/>
        <w:bidi w:val="0"/>
        <w:spacing w:before="0" w:line="560" w:lineRule="exact"/>
        <w:ind w:firstLine="640" w:firstLineChars="200"/>
        <w:textAlignment w:val="auto"/>
        <w:rPr>
          <w:rFonts w:hAnsi="黑体"/>
          <w:kern w:val="2"/>
          <w:sz w:val="32"/>
          <w:szCs w:val="32"/>
        </w:rPr>
      </w:pPr>
      <w:r>
        <w:rPr>
          <w:rFonts w:hint="eastAsia" w:hAnsi="黑体"/>
          <w:kern w:val="2"/>
          <w:sz w:val="32"/>
          <w:szCs w:val="32"/>
          <w:lang w:eastAsia="zh-CN"/>
        </w:rPr>
        <w:t>壤塘县财政局</w:t>
      </w:r>
      <w:r>
        <w:rPr>
          <w:rFonts w:hAnsi="黑体"/>
          <w:kern w:val="2"/>
          <w:sz w:val="32"/>
          <w:szCs w:val="32"/>
        </w:rPr>
        <w:t>202</w:t>
      </w:r>
      <w:r>
        <w:rPr>
          <w:rFonts w:hint="eastAsia" w:hAnsi="黑体"/>
          <w:kern w:val="2"/>
          <w:sz w:val="32"/>
          <w:szCs w:val="32"/>
          <w:lang w:val="en-US" w:eastAsia="zh-CN"/>
        </w:rPr>
        <w:t>2</w:t>
      </w:r>
      <w:r>
        <w:rPr>
          <w:rFonts w:hAnsi="黑体"/>
          <w:kern w:val="2"/>
          <w:sz w:val="32"/>
          <w:szCs w:val="32"/>
        </w:rPr>
        <w:t>年</w:t>
      </w:r>
      <w:r>
        <w:rPr>
          <w:rFonts w:hint="eastAsia" w:hAnsi="黑体"/>
          <w:kern w:val="2"/>
          <w:sz w:val="32"/>
          <w:szCs w:val="32"/>
        </w:rPr>
        <w:t>一般公共预算当年拨款</w:t>
      </w:r>
      <w:r>
        <w:rPr>
          <w:rFonts w:hint="eastAsia" w:hAnsi="黑体"/>
          <w:kern w:val="2"/>
          <w:sz w:val="32"/>
          <w:szCs w:val="32"/>
          <w:lang w:val="en-US" w:eastAsia="zh-CN"/>
        </w:rPr>
        <w:t>663.97</w:t>
      </w:r>
      <w:r>
        <w:rPr>
          <w:rFonts w:hint="eastAsia" w:hAnsi="黑体"/>
          <w:kern w:val="2"/>
          <w:sz w:val="32"/>
          <w:szCs w:val="32"/>
        </w:rPr>
        <w:t>万元</w:t>
      </w:r>
      <w:r>
        <w:rPr>
          <w:rFonts w:hint="eastAsia" w:hAnsi="黑体"/>
          <w:color w:val="auto"/>
          <w:kern w:val="2"/>
          <w:sz w:val="32"/>
          <w:szCs w:val="32"/>
        </w:rPr>
        <w:t>。</w:t>
      </w:r>
    </w:p>
    <w:p w14:paraId="2195E5B4">
      <w:pPr>
        <w:pStyle w:val="15"/>
        <w:keepNext w:val="0"/>
        <w:keepLines w:val="0"/>
        <w:pageBreakBefore w:val="0"/>
        <w:kinsoku/>
        <w:wordWrap/>
        <w:overflowPunct/>
        <w:topLinePunct w:val="0"/>
        <w:autoSpaceDE/>
        <w:autoSpaceDN/>
        <w:bidi w:val="0"/>
        <w:spacing w:before="0" w:line="560" w:lineRule="exact"/>
        <w:ind w:firstLine="643" w:firstLineChars="200"/>
        <w:textAlignment w:val="auto"/>
        <w:rPr>
          <w:rFonts w:ascii="楷体_GB2312" w:hAnsi="黑体" w:eastAsia="楷体_GB2312" w:cs="楷体_GB2312"/>
          <w:b/>
          <w:bCs/>
          <w:kern w:val="2"/>
          <w:sz w:val="32"/>
          <w:szCs w:val="32"/>
        </w:rPr>
      </w:pPr>
      <w:r>
        <w:rPr>
          <w:rFonts w:hint="eastAsia" w:ascii="楷体_GB2312" w:hAnsi="黑体" w:eastAsia="楷体_GB2312" w:cs="楷体_GB2312"/>
          <w:b/>
          <w:bCs/>
          <w:kern w:val="2"/>
          <w:sz w:val="32"/>
          <w:szCs w:val="32"/>
        </w:rPr>
        <w:t>（二）一般公共预算当年拨款结构情况</w:t>
      </w:r>
    </w:p>
    <w:p w14:paraId="0AF5DD4C">
      <w:pPr>
        <w:pStyle w:val="15"/>
        <w:keepNext w:val="0"/>
        <w:keepLines w:val="0"/>
        <w:pageBreakBefore w:val="0"/>
        <w:kinsoku/>
        <w:wordWrap/>
        <w:overflowPunct/>
        <w:topLinePunct w:val="0"/>
        <w:autoSpaceDE/>
        <w:autoSpaceDN/>
        <w:bidi w:val="0"/>
        <w:spacing w:before="0" w:line="560" w:lineRule="exact"/>
        <w:ind w:firstLine="640" w:firstLineChars="200"/>
        <w:textAlignment w:val="auto"/>
        <w:rPr>
          <w:rFonts w:hint="default" w:hAnsi="黑体" w:eastAsia="仿宋_GB2312"/>
          <w:kern w:val="2"/>
          <w:sz w:val="32"/>
          <w:szCs w:val="32"/>
          <w:lang w:val="en-US" w:eastAsia="zh-CN"/>
        </w:rPr>
      </w:pPr>
      <w:r>
        <w:rPr>
          <w:rFonts w:hint="eastAsia" w:hAnsi="黑体"/>
          <w:kern w:val="2"/>
          <w:sz w:val="32"/>
          <w:szCs w:val="32"/>
        </w:rPr>
        <w:t>社会保障和就业支出</w:t>
      </w:r>
      <w:r>
        <w:rPr>
          <w:rFonts w:hint="eastAsia" w:hAnsi="黑体" w:cs="Times New Roman"/>
          <w:kern w:val="2"/>
          <w:sz w:val="32"/>
          <w:szCs w:val="32"/>
          <w:lang w:val="en-US" w:eastAsia="zh-CN"/>
        </w:rPr>
        <w:t>93.59</w:t>
      </w:r>
      <w:r>
        <w:rPr>
          <w:rFonts w:hint="eastAsia" w:hAnsi="黑体"/>
          <w:kern w:val="2"/>
          <w:sz w:val="32"/>
          <w:szCs w:val="32"/>
        </w:rPr>
        <w:t>万元，占14.</w:t>
      </w:r>
      <w:r>
        <w:rPr>
          <w:rFonts w:hint="eastAsia" w:hAnsi="黑体"/>
          <w:kern w:val="2"/>
          <w:sz w:val="32"/>
          <w:szCs w:val="32"/>
          <w:lang w:val="en-US" w:eastAsia="zh-CN"/>
        </w:rPr>
        <w:t>10</w:t>
      </w:r>
      <w:r>
        <w:rPr>
          <w:rFonts w:hint="eastAsia" w:hAnsi="黑体"/>
          <w:kern w:val="2"/>
          <w:sz w:val="32"/>
          <w:szCs w:val="32"/>
        </w:rPr>
        <w:t>%；卫生健康支出</w:t>
      </w:r>
      <w:r>
        <w:rPr>
          <w:rFonts w:hint="eastAsia" w:hAnsi="黑体"/>
          <w:kern w:val="2"/>
          <w:sz w:val="32"/>
          <w:szCs w:val="32"/>
          <w:lang w:val="en-US" w:eastAsia="zh-CN"/>
        </w:rPr>
        <w:t>37.35</w:t>
      </w:r>
      <w:r>
        <w:rPr>
          <w:rFonts w:hint="eastAsia" w:hAnsi="黑体"/>
          <w:kern w:val="2"/>
          <w:sz w:val="32"/>
          <w:szCs w:val="32"/>
        </w:rPr>
        <w:t>万元，占</w:t>
      </w:r>
      <w:r>
        <w:rPr>
          <w:rFonts w:hint="eastAsia" w:hAnsi="黑体"/>
          <w:kern w:val="2"/>
          <w:sz w:val="32"/>
          <w:szCs w:val="32"/>
          <w:lang w:val="en-US" w:eastAsia="zh-CN"/>
        </w:rPr>
        <w:t>5.63</w:t>
      </w:r>
      <w:r>
        <w:rPr>
          <w:rFonts w:hint="eastAsia" w:hAnsi="黑体"/>
          <w:kern w:val="2"/>
          <w:sz w:val="32"/>
          <w:szCs w:val="32"/>
        </w:rPr>
        <w:t>%；住房保障支出</w:t>
      </w:r>
      <w:r>
        <w:rPr>
          <w:rFonts w:hint="eastAsia" w:hAnsi="黑体" w:cs="Times New Roman"/>
          <w:kern w:val="2"/>
          <w:sz w:val="32"/>
          <w:szCs w:val="32"/>
          <w:lang w:val="en-US" w:eastAsia="zh-CN"/>
        </w:rPr>
        <w:t>61.94</w:t>
      </w:r>
      <w:r>
        <w:rPr>
          <w:rFonts w:hint="eastAsia" w:hAnsi="黑体"/>
          <w:kern w:val="2"/>
          <w:sz w:val="32"/>
          <w:szCs w:val="32"/>
        </w:rPr>
        <w:t>万元，占9.</w:t>
      </w:r>
      <w:r>
        <w:rPr>
          <w:rFonts w:hint="eastAsia" w:hAnsi="黑体"/>
          <w:kern w:val="2"/>
          <w:sz w:val="32"/>
          <w:szCs w:val="32"/>
          <w:lang w:val="en-US" w:eastAsia="zh-CN"/>
        </w:rPr>
        <w:t>33</w:t>
      </w:r>
      <w:r>
        <w:rPr>
          <w:rFonts w:hint="eastAsia" w:hAnsi="黑体"/>
          <w:kern w:val="2"/>
          <w:sz w:val="32"/>
          <w:szCs w:val="32"/>
        </w:rPr>
        <w:t>%</w:t>
      </w:r>
      <w:r>
        <w:rPr>
          <w:rFonts w:hint="eastAsia" w:hAnsi="黑体"/>
          <w:kern w:val="2"/>
          <w:sz w:val="32"/>
          <w:szCs w:val="32"/>
          <w:lang w:eastAsia="zh-CN"/>
        </w:rPr>
        <w:t>；</w:t>
      </w:r>
      <w:r>
        <w:rPr>
          <w:rFonts w:hint="eastAsia" w:hAnsi="黑体"/>
          <w:kern w:val="2"/>
          <w:sz w:val="32"/>
          <w:szCs w:val="32"/>
        </w:rPr>
        <w:t>一般公共服务支出</w:t>
      </w:r>
      <w:r>
        <w:rPr>
          <w:rFonts w:hint="eastAsia" w:hAnsi="黑体"/>
          <w:kern w:val="2"/>
          <w:sz w:val="32"/>
          <w:szCs w:val="32"/>
          <w:lang w:val="en-US" w:eastAsia="zh-CN"/>
        </w:rPr>
        <w:t>471.09</w:t>
      </w:r>
      <w:r>
        <w:rPr>
          <w:rFonts w:hint="eastAsia" w:hAnsi="黑体"/>
          <w:kern w:val="2"/>
          <w:sz w:val="32"/>
          <w:szCs w:val="32"/>
        </w:rPr>
        <w:t>万元</w:t>
      </w:r>
      <w:r>
        <w:rPr>
          <w:rFonts w:hint="eastAsia" w:hAnsi="黑体"/>
          <w:kern w:val="2"/>
          <w:sz w:val="32"/>
          <w:szCs w:val="32"/>
          <w:lang w:eastAsia="zh-CN"/>
        </w:rPr>
        <w:t>，占比</w:t>
      </w:r>
      <w:r>
        <w:rPr>
          <w:rFonts w:hint="eastAsia" w:hAnsi="黑体"/>
          <w:kern w:val="2"/>
          <w:sz w:val="32"/>
          <w:szCs w:val="32"/>
          <w:lang w:val="en-US" w:eastAsia="zh-CN"/>
        </w:rPr>
        <w:t>70.95%。</w:t>
      </w:r>
    </w:p>
    <w:p w14:paraId="3057D7A5">
      <w:pPr>
        <w:pStyle w:val="15"/>
        <w:keepNext w:val="0"/>
        <w:keepLines w:val="0"/>
        <w:pageBreakBefore w:val="0"/>
        <w:kinsoku/>
        <w:wordWrap/>
        <w:overflowPunct/>
        <w:topLinePunct w:val="0"/>
        <w:autoSpaceDE/>
        <w:autoSpaceDN/>
        <w:bidi w:val="0"/>
        <w:spacing w:before="0" w:line="560" w:lineRule="exact"/>
        <w:ind w:firstLine="643" w:firstLineChars="200"/>
        <w:textAlignment w:val="auto"/>
        <w:rPr>
          <w:rFonts w:ascii="楷体_GB2312" w:hAnsi="黑体" w:eastAsia="楷体_GB2312" w:cs="楷体_GB2312"/>
          <w:b/>
          <w:bCs/>
          <w:kern w:val="2"/>
          <w:sz w:val="32"/>
          <w:szCs w:val="32"/>
        </w:rPr>
      </w:pPr>
      <w:r>
        <w:rPr>
          <w:rFonts w:hint="eastAsia" w:ascii="楷体_GB2312" w:hAnsi="黑体" w:eastAsia="楷体_GB2312" w:cs="楷体_GB2312"/>
          <w:b/>
          <w:bCs/>
          <w:kern w:val="2"/>
          <w:sz w:val="32"/>
          <w:szCs w:val="32"/>
        </w:rPr>
        <w:t>（三）一般公共预算当年拨款具体使用情况</w:t>
      </w:r>
    </w:p>
    <w:p w14:paraId="5E300A4E">
      <w:pPr>
        <w:keepNext w:val="0"/>
        <w:keepLines w:val="0"/>
        <w:pageBreakBefore w:val="0"/>
        <w:widowControl w:val="0"/>
        <w:kinsoku/>
        <w:wordWrap/>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1.201（类）06（款）01（项）行政运行2022年预算数为354.20万元，主要用于:行政人员工资、和单位日常费用。</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2.201（类）06（款）50（项）事业运行2022年预算数为116.90万元，主要用于:事业人员工资、和单位日常费用。</w:t>
      </w:r>
    </w:p>
    <w:p w14:paraId="25409FE9">
      <w:pPr>
        <w:keepNext w:val="0"/>
        <w:keepLines w:val="0"/>
        <w:pageBreakBefore w:val="0"/>
        <w:widowControl w:val="0"/>
        <w:kinsoku/>
        <w:wordWrap/>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3.208（类）05（款）05（项）机关事业单位基本养老保险缴费支出2022年预算数为62.40万元，主要用于:</w:t>
      </w:r>
      <w:r>
        <w:rPr>
          <w:rFonts w:hint="eastAsia" w:ascii="仿宋_GB2312" w:hAnsi="仿宋_GB2312" w:eastAsia="仿宋_GB2312" w:cs="仿宋_GB2312"/>
          <w:sz w:val="32"/>
          <w:szCs w:val="32"/>
        </w:rPr>
        <w:t>机关事业单位养老保险支出。</w:t>
      </w:r>
    </w:p>
    <w:p w14:paraId="2C1B67FA">
      <w:pPr>
        <w:pStyle w:val="15"/>
        <w:keepNext w:val="0"/>
        <w:keepLines w:val="0"/>
        <w:pageBreakBefore w:val="0"/>
        <w:widowControl w:val="0"/>
        <w:kinsoku/>
        <w:wordWrap/>
        <w:topLinePunct w:val="0"/>
        <w:autoSpaceDE/>
        <w:autoSpaceDN/>
        <w:bidi w:val="0"/>
        <w:spacing w:before="0" w:line="560" w:lineRule="exact"/>
        <w:ind w:firstLine="640" w:firstLineChars="200"/>
        <w:textAlignment w:val="auto"/>
        <w:rPr>
          <w:rFonts w:hint="eastAsia" w:ascii="仿宋_GB2312" w:hAnsi="仿宋_GB2312" w:eastAsia="仿宋_GB2312" w:cs="仿宋_GB2312"/>
          <w:kern w:val="2"/>
          <w:sz w:val="32"/>
          <w:szCs w:val="32"/>
        </w:rPr>
      </w:pPr>
      <w:r>
        <w:rPr>
          <w:rFonts w:hint="eastAsia" w:cs="仿宋_GB2312"/>
          <w:kern w:val="2"/>
          <w:sz w:val="32"/>
          <w:szCs w:val="32"/>
          <w:lang w:val="en-US" w:eastAsia="zh-CN"/>
        </w:rPr>
        <w:t>4</w:t>
      </w:r>
      <w:r>
        <w:rPr>
          <w:rFonts w:hint="eastAsia" w:ascii="仿宋_GB2312" w:hAnsi="仿宋_GB2312" w:eastAsia="仿宋_GB2312" w:cs="仿宋_GB2312"/>
          <w:kern w:val="2"/>
          <w:sz w:val="32"/>
          <w:szCs w:val="32"/>
          <w:lang w:val="en-US" w:eastAsia="zh-CN"/>
        </w:rPr>
        <w:t>.</w:t>
      </w:r>
      <w:r>
        <w:rPr>
          <w:rFonts w:hint="eastAsia" w:ascii="仿宋_GB2312" w:hAnsi="仿宋_GB2312" w:eastAsia="仿宋_GB2312" w:cs="仿宋_GB2312"/>
          <w:sz w:val="32"/>
          <w:szCs w:val="32"/>
          <w:lang w:val="en-US" w:eastAsia="zh-CN"/>
        </w:rPr>
        <w:t>208（类）05（款）06（项）</w:t>
      </w:r>
      <w:r>
        <w:rPr>
          <w:rFonts w:hint="eastAsia" w:ascii="仿宋_GB2312" w:hAnsi="仿宋_GB2312" w:eastAsia="仿宋_GB2312" w:cs="仿宋_GB2312"/>
          <w:kern w:val="2"/>
          <w:sz w:val="32"/>
          <w:szCs w:val="32"/>
          <w:lang w:val="en-US" w:eastAsia="zh-CN" w:bidi="ar-SA"/>
        </w:rPr>
        <w:t>机关事业单位职业年金缴费支出202</w:t>
      </w:r>
      <w:r>
        <w:rPr>
          <w:rFonts w:hint="eastAsia" w:cs="仿宋_GB2312"/>
          <w:kern w:val="2"/>
          <w:sz w:val="32"/>
          <w:szCs w:val="32"/>
          <w:lang w:val="en-US" w:eastAsia="zh-CN" w:bidi="ar-SA"/>
        </w:rPr>
        <w:t>2</w:t>
      </w:r>
      <w:r>
        <w:rPr>
          <w:rFonts w:hint="eastAsia" w:ascii="仿宋_GB2312" w:hAnsi="仿宋_GB2312" w:eastAsia="仿宋_GB2312" w:cs="仿宋_GB2312"/>
          <w:kern w:val="2"/>
          <w:sz w:val="32"/>
          <w:szCs w:val="32"/>
          <w:lang w:val="en-US" w:eastAsia="zh-CN" w:bidi="ar-SA"/>
        </w:rPr>
        <w:t>年预算数为</w:t>
      </w:r>
      <w:r>
        <w:rPr>
          <w:rFonts w:hint="eastAsia" w:cs="仿宋_GB2312"/>
          <w:kern w:val="2"/>
          <w:sz w:val="32"/>
          <w:szCs w:val="32"/>
          <w:lang w:val="en-US" w:eastAsia="zh-CN" w:bidi="ar-SA"/>
        </w:rPr>
        <w:t>31.20</w:t>
      </w:r>
      <w:r>
        <w:rPr>
          <w:rFonts w:hint="eastAsia" w:ascii="仿宋_GB2312" w:hAnsi="仿宋_GB2312" w:eastAsia="仿宋_GB2312" w:cs="仿宋_GB2312"/>
          <w:kern w:val="2"/>
          <w:sz w:val="32"/>
          <w:szCs w:val="32"/>
          <w:lang w:val="en-US" w:eastAsia="zh-CN" w:bidi="ar-SA"/>
        </w:rPr>
        <w:t>万元，主</w:t>
      </w:r>
      <w:r>
        <w:rPr>
          <w:rFonts w:hint="eastAsia" w:ascii="仿宋_GB2312" w:hAnsi="仿宋_GB2312" w:eastAsia="仿宋_GB2312" w:cs="仿宋_GB2312"/>
          <w:sz w:val="32"/>
          <w:szCs w:val="32"/>
          <w:lang w:val="en-US" w:eastAsia="zh-CN"/>
        </w:rPr>
        <w:t>要用于:</w:t>
      </w:r>
      <w:r>
        <w:rPr>
          <w:rFonts w:hint="eastAsia" w:ascii="仿宋_GB2312" w:hAnsi="仿宋_GB2312" w:eastAsia="仿宋_GB2312" w:cs="仿宋_GB2312"/>
          <w:kern w:val="2"/>
          <w:sz w:val="32"/>
          <w:szCs w:val="32"/>
          <w:lang w:val="en-US" w:eastAsia="zh-CN" w:bidi="ar-SA"/>
        </w:rPr>
        <w:t>机关事业单位职业年金缴费支出</w:t>
      </w:r>
      <w:r>
        <w:rPr>
          <w:rFonts w:hint="eastAsia" w:ascii="仿宋_GB2312" w:hAnsi="仿宋_GB2312" w:eastAsia="仿宋_GB2312" w:cs="仿宋_GB2312"/>
          <w:sz w:val="32"/>
          <w:szCs w:val="32"/>
        </w:rPr>
        <w:t>。</w:t>
      </w:r>
    </w:p>
    <w:p w14:paraId="3EE7F7EE">
      <w:pPr>
        <w:pStyle w:val="15"/>
        <w:keepNext w:val="0"/>
        <w:keepLines w:val="0"/>
        <w:pageBreakBefore w:val="0"/>
        <w:widowControl w:val="0"/>
        <w:kinsoku/>
        <w:wordWrap/>
        <w:topLinePunct w:val="0"/>
        <w:autoSpaceDE/>
        <w:autoSpaceDN/>
        <w:bidi w:val="0"/>
        <w:spacing w:before="0" w:line="560" w:lineRule="exact"/>
        <w:ind w:firstLine="640" w:firstLineChars="200"/>
        <w:textAlignment w:val="auto"/>
        <w:rPr>
          <w:rFonts w:hint="eastAsia" w:ascii="仿宋_GB2312" w:hAnsi="仿宋_GB2312" w:eastAsia="仿宋_GB2312" w:cs="仿宋_GB2312"/>
          <w:sz w:val="32"/>
          <w:szCs w:val="32"/>
        </w:rPr>
      </w:pPr>
      <w:r>
        <w:rPr>
          <w:rFonts w:hint="eastAsia" w:cs="仿宋_GB2312"/>
          <w:kern w:val="2"/>
          <w:sz w:val="32"/>
          <w:szCs w:val="32"/>
          <w:lang w:val="en-US" w:eastAsia="zh-CN"/>
        </w:rPr>
        <w:t>5</w:t>
      </w:r>
      <w:r>
        <w:rPr>
          <w:rFonts w:hint="eastAsia" w:ascii="仿宋_GB2312" w:hAnsi="仿宋_GB2312" w:eastAsia="仿宋_GB2312" w:cs="仿宋_GB2312"/>
          <w:kern w:val="2"/>
          <w:sz w:val="32"/>
          <w:szCs w:val="32"/>
          <w:lang w:val="en-US" w:eastAsia="zh-CN"/>
        </w:rPr>
        <w:t>.</w:t>
      </w:r>
      <w:r>
        <w:rPr>
          <w:rFonts w:hint="eastAsia" w:ascii="仿宋_GB2312" w:hAnsi="仿宋_GB2312" w:eastAsia="仿宋_GB2312" w:cs="仿宋_GB2312"/>
          <w:sz w:val="32"/>
          <w:szCs w:val="32"/>
          <w:lang w:val="en-US" w:eastAsia="zh-CN"/>
        </w:rPr>
        <w:t>210（类）11（款）01（项</w:t>
      </w:r>
      <w:r>
        <w:rPr>
          <w:rFonts w:hint="eastAsia" w:ascii="仿宋_GB2312" w:hAnsi="仿宋_GB2312" w:eastAsia="仿宋_GB2312" w:cs="仿宋_GB2312"/>
          <w:kern w:val="2"/>
          <w:sz w:val="32"/>
          <w:szCs w:val="32"/>
          <w:lang w:val="en-US" w:eastAsia="zh-CN" w:bidi="ar-SA"/>
        </w:rPr>
        <w:t>）行政单位医疗202</w:t>
      </w:r>
      <w:r>
        <w:rPr>
          <w:rFonts w:hint="eastAsia" w:cs="仿宋_GB2312"/>
          <w:kern w:val="2"/>
          <w:sz w:val="32"/>
          <w:szCs w:val="32"/>
          <w:lang w:val="en-US" w:eastAsia="zh-CN" w:bidi="ar-SA"/>
        </w:rPr>
        <w:t>2</w:t>
      </w:r>
      <w:r>
        <w:rPr>
          <w:rFonts w:hint="eastAsia" w:ascii="仿宋_GB2312" w:hAnsi="仿宋_GB2312" w:eastAsia="仿宋_GB2312" w:cs="仿宋_GB2312"/>
          <w:kern w:val="2"/>
          <w:sz w:val="32"/>
          <w:szCs w:val="32"/>
          <w:lang w:val="en-US" w:eastAsia="zh-CN" w:bidi="ar-SA"/>
        </w:rPr>
        <w:t>年预算数为</w:t>
      </w:r>
      <w:r>
        <w:rPr>
          <w:rFonts w:hint="eastAsia" w:cs="仿宋_GB2312"/>
          <w:kern w:val="2"/>
          <w:sz w:val="32"/>
          <w:szCs w:val="32"/>
          <w:lang w:val="en-US" w:eastAsia="zh-CN" w:bidi="ar-SA"/>
        </w:rPr>
        <w:t>20.37</w:t>
      </w:r>
      <w:r>
        <w:rPr>
          <w:rFonts w:hint="eastAsia" w:ascii="仿宋_GB2312" w:hAnsi="仿宋_GB2312" w:eastAsia="仿宋_GB2312" w:cs="仿宋_GB2312"/>
          <w:kern w:val="2"/>
          <w:sz w:val="32"/>
          <w:szCs w:val="32"/>
          <w:lang w:val="en-US" w:eastAsia="zh-CN" w:bidi="ar-SA"/>
        </w:rPr>
        <w:t>万元，主</w:t>
      </w:r>
      <w:r>
        <w:rPr>
          <w:rFonts w:hint="eastAsia" w:ascii="仿宋_GB2312" w:hAnsi="仿宋_GB2312" w:eastAsia="仿宋_GB2312" w:cs="仿宋_GB2312"/>
          <w:sz w:val="32"/>
          <w:szCs w:val="32"/>
          <w:lang w:val="en-US" w:eastAsia="zh-CN"/>
        </w:rPr>
        <w:t>要用于:</w:t>
      </w:r>
      <w:r>
        <w:rPr>
          <w:rFonts w:hint="eastAsia" w:ascii="仿宋_GB2312" w:hAnsi="仿宋_GB2312" w:eastAsia="仿宋_GB2312" w:cs="仿宋_GB2312"/>
          <w:sz w:val="32"/>
          <w:szCs w:val="32"/>
        </w:rPr>
        <w:t>行政单位医疗支出。</w:t>
      </w:r>
    </w:p>
    <w:p w14:paraId="5D478073">
      <w:pPr>
        <w:pStyle w:val="15"/>
        <w:keepNext w:val="0"/>
        <w:keepLines w:val="0"/>
        <w:pageBreakBefore w:val="0"/>
        <w:widowControl w:val="0"/>
        <w:kinsoku/>
        <w:wordWrap/>
        <w:topLinePunct w:val="0"/>
        <w:autoSpaceDE/>
        <w:autoSpaceDN/>
        <w:bidi w:val="0"/>
        <w:spacing w:before="0" w:line="560" w:lineRule="exact"/>
        <w:ind w:firstLine="640" w:firstLineChars="200"/>
        <w:textAlignment w:val="auto"/>
        <w:rPr>
          <w:rFonts w:hint="eastAsia" w:ascii="仿宋_GB2312" w:hAnsi="仿宋_GB2312" w:eastAsia="仿宋_GB2312" w:cs="仿宋_GB2312"/>
          <w:sz w:val="32"/>
          <w:szCs w:val="32"/>
        </w:rPr>
      </w:pPr>
      <w:r>
        <w:rPr>
          <w:rFonts w:hint="eastAsia" w:cs="仿宋_GB2312"/>
          <w:sz w:val="32"/>
          <w:szCs w:val="32"/>
          <w:lang w:val="en-US" w:eastAsia="zh-CN"/>
        </w:rPr>
        <w:t>6</w:t>
      </w:r>
      <w:r>
        <w:rPr>
          <w:rFonts w:hint="eastAsia" w:ascii="仿宋_GB2312" w:hAnsi="仿宋_GB2312" w:eastAsia="仿宋_GB2312" w:cs="仿宋_GB2312"/>
          <w:sz w:val="32"/>
          <w:szCs w:val="32"/>
          <w:lang w:val="en-US" w:eastAsia="zh-CN"/>
        </w:rPr>
        <w:t>.210（类）11（款）0</w:t>
      </w:r>
      <w:r>
        <w:rPr>
          <w:rFonts w:hint="eastAsia" w:cs="仿宋_GB2312"/>
          <w:sz w:val="32"/>
          <w:szCs w:val="32"/>
          <w:lang w:val="en-US" w:eastAsia="zh-CN"/>
        </w:rPr>
        <w:t>2</w:t>
      </w:r>
      <w:r>
        <w:rPr>
          <w:rFonts w:hint="eastAsia" w:ascii="仿宋_GB2312" w:hAnsi="仿宋_GB2312" w:eastAsia="仿宋_GB2312" w:cs="仿宋_GB2312"/>
          <w:sz w:val="32"/>
          <w:szCs w:val="32"/>
          <w:lang w:val="en-US" w:eastAsia="zh-CN"/>
        </w:rPr>
        <w:t>（项）</w:t>
      </w:r>
      <w:r>
        <w:rPr>
          <w:rFonts w:hint="eastAsia" w:cs="仿宋_GB2312"/>
          <w:sz w:val="32"/>
          <w:szCs w:val="32"/>
          <w:lang w:val="en-US" w:eastAsia="zh-CN"/>
        </w:rPr>
        <w:t>事业</w:t>
      </w:r>
      <w:bookmarkStart w:id="0" w:name="_GoBack"/>
      <w:bookmarkEnd w:id="0"/>
      <w:r>
        <w:rPr>
          <w:rFonts w:hint="eastAsia" w:ascii="仿宋_GB2312" w:hAnsi="仿宋_GB2312" w:eastAsia="仿宋_GB2312" w:cs="仿宋_GB2312"/>
          <w:kern w:val="2"/>
          <w:sz w:val="32"/>
          <w:szCs w:val="32"/>
          <w:lang w:val="en-US" w:eastAsia="zh-CN" w:bidi="ar-SA"/>
        </w:rPr>
        <w:t>单位医疗202</w:t>
      </w:r>
      <w:r>
        <w:rPr>
          <w:rFonts w:hint="eastAsia" w:cs="仿宋_GB2312"/>
          <w:kern w:val="2"/>
          <w:sz w:val="32"/>
          <w:szCs w:val="32"/>
          <w:lang w:val="en-US" w:eastAsia="zh-CN" w:bidi="ar-SA"/>
        </w:rPr>
        <w:t>2</w:t>
      </w:r>
      <w:r>
        <w:rPr>
          <w:rFonts w:hint="eastAsia" w:ascii="仿宋_GB2312" w:hAnsi="仿宋_GB2312" w:eastAsia="仿宋_GB2312" w:cs="仿宋_GB2312"/>
          <w:kern w:val="2"/>
          <w:sz w:val="32"/>
          <w:szCs w:val="32"/>
          <w:lang w:val="en-US" w:eastAsia="zh-CN" w:bidi="ar-SA"/>
        </w:rPr>
        <w:t>年预算数为</w:t>
      </w:r>
      <w:r>
        <w:rPr>
          <w:rFonts w:hint="eastAsia" w:cs="仿宋_GB2312"/>
          <w:kern w:val="2"/>
          <w:sz w:val="32"/>
          <w:szCs w:val="32"/>
          <w:lang w:val="en-US" w:eastAsia="zh-CN" w:bidi="ar-SA"/>
        </w:rPr>
        <w:t>6.93</w:t>
      </w:r>
      <w:r>
        <w:rPr>
          <w:rFonts w:hint="eastAsia" w:ascii="仿宋_GB2312" w:hAnsi="仿宋_GB2312" w:eastAsia="仿宋_GB2312" w:cs="仿宋_GB2312"/>
          <w:kern w:val="2"/>
          <w:sz w:val="32"/>
          <w:szCs w:val="32"/>
          <w:lang w:val="en-US" w:eastAsia="zh-CN" w:bidi="ar-SA"/>
        </w:rPr>
        <w:t>万元，主</w:t>
      </w:r>
      <w:r>
        <w:rPr>
          <w:rFonts w:hint="eastAsia" w:ascii="仿宋_GB2312" w:hAnsi="仿宋_GB2312" w:eastAsia="仿宋_GB2312" w:cs="仿宋_GB2312"/>
          <w:sz w:val="32"/>
          <w:szCs w:val="32"/>
          <w:lang w:val="en-US" w:eastAsia="zh-CN"/>
        </w:rPr>
        <w:t>要用于:</w:t>
      </w:r>
      <w:r>
        <w:rPr>
          <w:rFonts w:hint="eastAsia" w:cs="仿宋_GB2312"/>
          <w:sz w:val="32"/>
          <w:szCs w:val="32"/>
          <w:lang w:val="en-US" w:eastAsia="zh-CN"/>
        </w:rPr>
        <w:t>事业</w:t>
      </w:r>
      <w:r>
        <w:rPr>
          <w:rFonts w:hint="eastAsia" w:ascii="仿宋_GB2312" w:hAnsi="仿宋_GB2312" w:eastAsia="仿宋_GB2312" w:cs="仿宋_GB2312"/>
          <w:sz w:val="32"/>
          <w:szCs w:val="32"/>
        </w:rPr>
        <w:t>单位医疗支出。</w:t>
      </w:r>
    </w:p>
    <w:p w14:paraId="532BD576">
      <w:pPr>
        <w:pStyle w:val="15"/>
        <w:keepNext w:val="0"/>
        <w:keepLines w:val="0"/>
        <w:pageBreakBefore w:val="0"/>
        <w:widowControl w:val="0"/>
        <w:kinsoku/>
        <w:wordWrap/>
        <w:topLinePunct w:val="0"/>
        <w:autoSpaceDE/>
        <w:autoSpaceDN/>
        <w:bidi w:val="0"/>
        <w:spacing w:before="0" w:line="560" w:lineRule="exact"/>
        <w:ind w:firstLine="640" w:firstLineChars="200"/>
        <w:textAlignment w:val="auto"/>
        <w:rPr>
          <w:rFonts w:hint="eastAsia" w:ascii="仿宋_GB2312" w:hAnsi="仿宋_GB2312" w:eastAsia="仿宋_GB2312" w:cs="仿宋_GB2312"/>
          <w:sz w:val="32"/>
          <w:szCs w:val="32"/>
        </w:rPr>
      </w:pPr>
      <w:r>
        <w:rPr>
          <w:rFonts w:hint="eastAsia" w:cs="仿宋_GB2312"/>
          <w:sz w:val="32"/>
          <w:szCs w:val="32"/>
          <w:lang w:val="en-US" w:eastAsia="zh-CN"/>
        </w:rPr>
        <w:t>7</w:t>
      </w:r>
      <w:r>
        <w:rPr>
          <w:rFonts w:hint="eastAsia" w:ascii="仿宋_GB2312" w:hAnsi="仿宋_GB2312" w:eastAsia="仿宋_GB2312" w:cs="仿宋_GB2312"/>
          <w:sz w:val="32"/>
          <w:szCs w:val="32"/>
          <w:lang w:val="en-US" w:eastAsia="zh-CN"/>
        </w:rPr>
        <w:t>.210（类）11（款）0</w:t>
      </w:r>
      <w:r>
        <w:rPr>
          <w:rFonts w:hint="eastAsia" w:cs="仿宋_GB2312"/>
          <w:sz w:val="32"/>
          <w:szCs w:val="32"/>
          <w:lang w:val="en-US" w:eastAsia="zh-CN"/>
        </w:rPr>
        <w:t>3</w:t>
      </w:r>
      <w:r>
        <w:rPr>
          <w:rFonts w:hint="eastAsia" w:ascii="仿宋_GB2312" w:hAnsi="仿宋_GB2312" w:eastAsia="仿宋_GB2312" w:cs="仿宋_GB2312"/>
          <w:sz w:val="32"/>
          <w:szCs w:val="32"/>
          <w:lang w:val="en-US" w:eastAsia="zh-CN"/>
        </w:rPr>
        <w:t>（项）</w:t>
      </w:r>
      <w:r>
        <w:rPr>
          <w:rFonts w:hint="eastAsia" w:ascii="仿宋_GB2312" w:hAnsi="仿宋_GB2312" w:eastAsia="仿宋_GB2312" w:cs="仿宋_GB2312"/>
          <w:kern w:val="2"/>
          <w:sz w:val="32"/>
          <w:szCs w:val="32"/>
          <w:lang w:val="en-US" w:eastAsia="zh-CN" w:bidi="ar-SA"/>
        </w:rPr>
        <w:t>公务员医疗补助202</w:t>
      </w:r>
      <w:r>
        <w:rPr>
          <w:rFonts w:hint="eastAsia" w:cs="仿宋_GB2312"/>
          <w:kern w:val="2"/>
          <w:sz w:val="32"/>
          <w:szCs w:val="32"/>
          <w:lang w:val="en-US" w:eastAsia="zh-CN" w:bidi="ar-SA"/>
        </w:rPr>
        <w:t>2</w:t>
      </w:r>
      <w:r>
        <w:rPr>
          <w:rFonts w:hint="eastAsia" w:ascii="仿宋_GB2312" w:hAnsi="仿宋_GB2312" w:eastAsia="仿宋_GB2312" w:cs="仿宋_GB2312"/>
          <w:kern w:val="2"/>
          <w:sz w:val="32"/>
          <w:szCs w:val="32"/>
          <w:lang w:val="en-US" w:eastAsia="zh-CN" w:bidi="ar-SA"/>
        </w:rPr>
        <w:t>年预算数为</w:t>
      </w:r>
      <w:r>
        <w:rPr>
          <w:rFonts w:hint="eastAsia" w:cs="仿宋_GB2312"/>
          <w:kern w:val="2"/>
          <w:sz w:val="32"/>
          <w:szCs w:val="32"/>
          <w:lang w:val="en-US" w:eastAsia="zh-CN" w:bidi="ar-SA"/>
        </w:rPr>
        <w:t>7.86</w:t>
      </w:r>
      <w:r>
        <w:rPr>
          <w:rFonts w:hint="eastAsia" w:ascii="仿宋_GB2312" w:hAnsi="仿宋_GB2312" w:eastAsia="仿宋_GB2312" w:cs="仿宋_GB2312"/>
          <w:kern w:val="2"/>
          <w:sz w:val="32"/>
          <w:szCs w:val="32"/>
          <w:lang w:val="en-US" w:eastAsia="zh-CN" w:bidi="ar-SA"/>
        </w:rPr>
        <w:t>万元，主</w:t>
      </w:r>
      <w:r>
        <w:rPr>
          <w:rFonts w:hint="eastAsia" w:ascii="仿宋_GB2312" w:hAnsi="仿宋_GB2312" w:eastAsia="仿宋_GB2312" w:cs="仿宋_GB2312"/>
          <w:sz w:val="32"/>
          <w:szCs w:val="32"/>
          <w:lang w:val="en-US" w:eastAsia="zh-CN"/>
        </w:rPr>
        <w:t>要用于:</w:t>
      </w:r>
      <w:r>
        <w:rPr>
          <w:rFonts w:hint="eastAsia" w:ascii="仿宋_GB2312" w:hAnsi="仿宋_GB2312" w:eastAsia="仿宋_GB2312" w:cs="仿宋_GB2312"/>
          <w:kern w:val="2"/>
          <w:sz w:val="32"/>
          <w:szCs w:val="32"/>
          <w:lang w:val="en-US" w:eastAsia="zh-CN" w:bidi="ar-SA"/>
        </w:rPr>
        <w:t>公务员医疗补助</w:t>
      </w:r>
      <w:r>
        <w:rPr>
          <w:rFonts w:hint="eastAsia" w:ascii="仿宋_GB2312" w:hAnsi="仿宋_GB2312" w:eastAsia="仿宋_GB2312" w:cs="仿宋_GB2312"/>
          <w:sz w:val="32"/>
          <w:szCs w:val="32"/>
        </w:rPr>
        <w:t>支出。</w:t>
      </w:r>
    </w:p>
    <w:p w14:paraId="2233F537">
      <w:pPr>
        <w:pStyle w:val="15"/>
        <w:keepNext w:val="0"/>
        <w:keepLines w:val="0"/>
        <w:pageBreakBefore w:val="0"/>
        <w:widowControl w:val="0"/>
        <w:kinsoku/>
        <w:wordWrap/>
        <w:topLinePunct w:val="0"/>
        <w:autoSpaceDE/>
        <w:autoSpaceDN/>
        <w:bidi w:val="0"/>
        <w:spacing w:before="0" w:line="560" w:lineRule="exact"/>
        <w:ind w:firstLine="640" w:firstLineChars="200"/>
        <w:textAlignment w:val="auto"/>
        <w:rPr>
          <w:rFonts w:hint="eastAsia" w:cs="仿宋_GB2312"/>
          <w:b/>
          <w:bCs/>
          <w:sz w:val="32"/>
          <w:szCs w:val="32"/>
          <w:lang w:val="en-US" w:eastAsia="zh-CN"/>
        </w:rPr>
      </w:pPr>
      <w:r>
        <w:rPr>
          <w:rFonts w:hint="eastAsia" w:cs="仿宋_GB2312"/>
          <w:sz w:val="32"/>
          <w:szCs w:val="32"/>
          <w:lang w:val="en-US" w:eastAsia="zh-CN"/>
        </w:rPr>
        <w:t>8</w:t>
      </w:r>
      <w:r>
        <w:rPr>
          <w:rFonts w:hint="eastAsia" w:ascii="仿宋_GB2312" w:hAnsi="仿宋_GB2312" w:eastAsia="仿宋_GB2312" w:cs="仿宋_GB2312"/>
          <w:sz w:val="32"/>
          <w:szCs w:val="32"/>
          <w:lang w:val="en-US" w:eastAsia="zh-CN"/>
        </w:rPr>
        <w:t>.210（类）11（款）</w:t>
      </w:r>
      <w:r>
        <w:rPr>
          <w:rFonts w:hint="eastAsia" w:cs="仿宋_GB2312"/>
          <w:sz w:val="32"/>
          <w:szCs w:val="32"/>
          <w:lang w:val="en-US" w:eastAsia="zh-CN"/>
        </w:rPr>
        <w:t>99</w:t>
      </w:r>
      <w:r>
        <w:rPr>
          <w:rFonts w:hint="eastAsia" w:ascii="仿宋_GB2312" w:hAnsi="仿宋_GB2312" w:eastAsia="仿宋_GB2312" w:cs="仿宋_GB2312"/>
          <w:sz w:val="32"/>
          <w:szCs w:val="32"/>
          <w:lang w:val="en-US" w:eastAsia="zh-CN"/>
        </w:rPr>
        <w:t>（项）其他行政事业单位医疗支出</w:t>
      </w:r>
      <w:r>
        <w:rPr>
          <w:rFonts w:hint="eastAsia" w:ascii="仿宋_GB2312" w:hAnsi="仿宋_GB2312" w:eastAsia="仿宋_GB2312" w:cs="仿宋_GB2312"/>
          <w:kern w:val="2"/>
          <w:sz w:val="32"/>
          <w:szCs w:val="32"/>
          <w:lang w:val="en-US" w:eastAsia="zh-CN" w:bidi="ar-SA"/>
        </w:rPr>
        <w:t>202</w:t>
      </w:r>
      <w:r>
        <w:rPr>
          <w:rFonts w:hint="eastAsia" w:cs="仿宋_GB2312"/>
          <w:kern w:val="2"/>
          <w:sz w:val="32"/>
          <w:szCs w:val="32"/>
          <w:lang w:val="en-US" w:eastAsia="zh-CN" w:bidi="ar-SA"/>
        </w:rPr>
        <w:t>2</w:t>
      </w:r>
      <w:r>
        <w:rPr>
          <w:rFonts w:hint="eastAsia" w:ascii="仿宋_GB2312" w:hAnsi="仿宋_GB2312" w:eastAsia="仿宋_GB2312" w:cs="仿宋_GB2312"/>
          <w:kern w:val="2"/>
          <w:sz w:val="32"/>
          <w:szCs w:val="32"/>
          <w:lang w:val="en-US" w:eastAsia="zh-CN" w:bidi="ar-SA"/>
        </w:rPr>
        <w:t>年预算数为</w:t>
      </w:r>
      <w:r>
        <w:rPr>
          <w:rFonts w:hint="eastAsia" w:cs="仿宋_GB2312"/>
          <w:kern w:val="2"/>
          <w:sz w:val="32"/>
          <w:szCs w:val="32"/>
          <w:lang w:val="en-US" w:eastAsia="zh-CN" w:bidi="ar-SA"/>
        </w:rPr>
        <w:t>2.19</w:t>
      </w:r>
      <w:r>
        <w:rPr>
          <w:rFonts w:hint="eastAsia" w:ascii="仿宋_GB2312" w:hAnsi="仿宋_GB2312" w:eastAsia="仿宋_GB2312" w:cs="仿宋_GB2312"/>
          <w:kern w:val="2"/>
          <w:sz w:val="32"/>
          <w:szCs w:val="32"/>
          <w:lang w:val="en-US" w:eastAsia="zh-CN" w:bidi="ar-SA"/>
        </w:rPr>
        <w:t>万元，主</w:t>
      </w:r>
      <w:r>
        <w:rPr>
          <w:rFonts w:hint="eastAsia" w:ascii="仿宋_GB2312" w:hAnsi="仿宋_GB2312" w:eastAsia="仿宋_GB2312" w:cs="仿宋_GB2312"/>
          <w:sz w:val="32"/>
          <w:szCs w:val="32"/>
          <w:lang w:val="en-US" w:eastAsia="zh-CN"/>
        </w:rPr>
        <w:t>要用于:</w:t>
      </w:r>
      <w:r>
        <w:rPr>
          <w:rFonts w:hint="eastAsia" w:cs="仿宋_GB2312"/>
          <w:sz w:val="32"/>
          <w:szCs w:val="32"/>
          <w:lang w:val="en-US" w:eastAsia="zh-CN"/>
        </w:rPr>
        <w:t>其他医疗支出。</w:t>
      </w:r>
    </w:p>
    <w:p w14:paraId="3E6CFCF7">
      <w:pPr>
        <w:pStyle w:val="15"/>
        <w:keepNext w:val="0"/>
        <w:keepLines w:val="0"/>
        <w:pageBreakBefore w:val="0"/>
        <w:widowControl w:val="0"/>
        <w:kinsoku/>
        <w:wordWrap/>
        <w:topLinePunct w:val="0"/>
        <w:autoSpaceDE/>
        <w:autoSpaceDN/>
        <w:bidi w:val="0"/>
        <w:spacing w:before="0" w:line="560" w:lineRule="exact"/>
        <w:ind w:firstLine="640" w:firstLineChars="200"/>
        <w:textAlignment w:val="auto"/>
        <w:rPr>
          <w:rFonts w:hint="eastAsia" w:ascii="仿宋_GB2312" w:hAnsi="仿宋_GB2312" w:eastAsia="仿宋_GB2312" w:cs="仿宋_GB2312"/>
          <w:sz w:val="32"/>
          <w:szCs w:val="32"/>
        </w:rPr>
      </w:pPr>
      <w:r>
        <w:rPr>
          <w:rFonts w:hint="eastAsia" w:cs="仿宋_GB2312"/>
          <w:sz w:val="32"/>
          <w:szCs w:val="32"/>
          <w:lang w:val="en-US" w:eastAsia="zh-CN"/>
        </w:rPr>
        <w:t>9</w:t>
      </w:r>
      <w:r>
        <w:rPr>
          <w:rFonts w:hint="eastAsia" w:ascii="仿宋_GB2312" w:hAnsi="仿宋_GB2312" w:eastAsia="仿宋_GB2312" w:cs="仿宋_GB2312"/>
          <w:sz w:val="32"/>
          <w:szCs w:val="32"/>
          <w:lang w:val="en-US" w:eastAsia="zh-CN"/>
        </w:rPr>
        <w:t>.221（类）02（款）01（项）</w:t>
      </w:r>
      <w:r>
        <w:rPr>
          <w:rFonts w:hint="eastAsia" w:ascii="仿宋_GB2312" w:hAnsi="仿宋_GB2312" w:eastAsia="仿宋_GB2312" w:cs="仿宋_GB2312"/>
          <w:kern w:val="2"/>
          <w:sz w:val="32"/>
          <w:szCs w:val="32"/>
          <w:lang w:val="en-US" w:eastAsia="zh-CN" w:bidi="ar-SA"/>
        </w:rPr>
        <w:t>住房公积金202</w:t>
      </w:r>
      <w:r>
        <w:rPr>
          <w:rFonts w:hint="eastAsia" w:cs="仿宋_GB2312"/>
          <w:kern w:val="2"/>
          <w:sz w:val="32"/>
          <w:szCs w:val="32"/>
          <w:lang w:val="en-US" w:eastAsia="zh-CN" w:bidi="ar-SA"/>
        </w:rPr>
        <w:t>2</w:t>
      </w:r>
      <w:r>
        <w:rPr>
          <w:rFonts w:hint="eastAsia" w:ascii="仿宋_GB2312" w:hAnsi="仿宋_GB2312" w:eastAsia="仿宋_GB2312" w:cs="仿宋_GB2312"/>
          <w:kern w:val="2"/>
          <w:sz w:val="32"/>
          <w:szCs w:val="32"/>
          <w:lang w:val="en-US" w:eastAsia="zh-CN" w:bidi="ar-SA"/>
        </w:rPr>
        <w:t>年预算数为</w:t>
      </w:r>
      <w:r>
        <w:rPr>
          <w:rFonts w:hint="eastAsia" w:cs="仿宋_GB2312"/>
          <w:kern w:val="2"/>
          <w:sz w:val="32"/>
          <w:szCs w:val="32"/>
          <w:lang w:val="en-US" w:eastAsia="zh-CN" w:bidi="ar-SA"/>
        </w:rPr>
        <w:t>62.94</w:t>
      </w:r>
      <w:r>
        <w:rPr>
          <w:rFonts w:hint="eastAsia" w:ascii="仿宋_GB2312" w:hAnsi="仿宋_GB2312" w:eastAsia="仿宋_GB2312" w:cs="仿宋_GB2312"/>
          <w:kern w:val="2"/>
          <w:sz w:val="32"/>
          <w:szCs w:val="32"/>
          <w:lang w:val="en-US" w:eastAsia="zh-CN" w:bidi="ar-SA"/>
        </w:rPr>
        <w:t>万元，主</w:t>
      </w:r>
      <w:r>
        <w:rPr>
          <w:rFonts w:hint="eastAsia" w:ascii="仿宋_GB2312" w:hAnsi="仿宋_GB2312" w:eastAsia="仿宋_GB2312" w:cs="仿宋_GB2312"/>
          <w:sz w:val="32"/>
          <w:szCs w:val="32"/>
          <w:lang w:val="en-US" w:eastAsia="zh-CN"/>
        </w:rPr>
        <w:t>要用于:</w:t>
      </w:r>
      <w:r>
        <w:rPr>
          <w:rFonts w:hint="eastAsia" w:ascii="仿宋_GB2312" w:hAnsi="仿宋_GB2312" w:eastAsia="仿宋_GB2312" w:cs="仿宋_GB2312"/>
          <w:kern w:val="2"/>
          <w:sz w:val="32"/>
          <w:szCs w:val="32"/>
          <w:lang w:val="en-US" w:eastAsia="zh-CN" w:bidi="ar-SA"/>
        </w:rPr>
        <w:t>住房公积金</w:t>
      </w:r>
      <w:r>
        <w:rPr>
          <w:rFonts w:hint="eastAsia" w:ascii="仿宋_GB2312" w:hAnsi="仿宋_GB2312" w:eastAsia="仿宋_GB2312" w:cs="仿宋_GB2312"/>
          <w:sz w:val="32"/>
          <w:szCs w:val="32"/>
        </w:rPr>
        <w:t>支出。</w:t>
      </w:r>
    </w:p>
    <w:p w14:paraId="054BA5B2">
      <w:pPr>
        <w:pStyle w:val="15"/>
        <w:keepNext w:val="0"/>
        <w:keepLines w:val="0"/>
        <w:pageBreakBefore w:val="0"/>
        <w:kinsoku/>
        <w:wordWrap/>
        <w:overflowPunct/>
        <w:topLinePunct w:val="0"/>
        <w:autoSpaceDE/>
        <w:autoSpaceDN/>
        <w:bidi w:val="0"/>
        <w:spacing w:before="0" w:line="560" w:lineRule="exact"/>
        <w:ind w:firstLine="640" w:firstLineChars="200"/>
        <w:textAlignment w:val="auto"/>
        <w:rPr>
          <w:rFonts w:ascii="黑体" w:hAnsi="黑体" w:eastAsia="黑体" w:cs="黑体"/>
          <w:kern w:val="2"/>
          <w:sz w:val="32"/>
          <w:szCs w:val="32"/>
        </w:rPr>
      </w:pPr>
      <w:r>
        <w:rPr>
          <w:rFonts w:hint="eastAsia" w:ascii="黑体" w:hAnsi="黑体" w:eastAsia="黑体" w:cs="黑体"/>
          <w:kern w:val="2"/>
          <w:sz w:val="32"/>
          <w:szCs w:val="32"/>
        </w:rPr>
        <w:t>六、一般公共预算基本支出情况说明</w:t>
      </w:r>
    </w:p>
    <w:p w14:paraId="0455EFC5">
      <w:pPr>
        <w:pStyle w:val="15"/>
        <w:keepNext w:val="0"/>
        <w:keepLines w:val="0"/>
        <w:pageBreakBefore w:val="0"/>
        <w:tabs>
          <w:tab w:val="left" w:pos="720"/>
        </w:tabs>
        <w:kinsoku/>
        <w:wordWrap/>
        <w:overflowPunct/>
        <w:topLinePunct w:val="0"/>
        <w:autoSpaceDE/>
        <w:autoSpaceDN/>
        <w:bidi w:val="0"/>
        <w:spacing w:before="0" w:line="560" w:lineRule="exact"/>
        <w:ind w:firstLine="640" w:firstLineChars="200"/>
        <w:textAlignment w:val="auto"/>
        <w:rPr>
          <w:rFonts w:hint="default" w:hAnsi="黑体" w:cs="Times New Roman"/>
          <w:kern w:val="2"/>
          <w:sz w:val="32"/>
          <w:szCs w:val="32"/>
          <w:lang w:val="en-US"/>
        </w:rPr>
      </w:pPr>
      <w:r>
        <w:rPr>
          <w:rFonts w:hint="eastAsia" w:hAnsi="黑体"/>
          <w:kern w:val="2"/>
          <w:sz w:val="32"/>
          <w:szCs w:val="32"/>
          <w:lang w:eastAsia="zh-CN"/>
        </w:rPr>
        <w:t>壤塘县财政局</w:t>
      </w:r>
      <w:r>
        <w:rPr>
          <w:rFonts w:hAnsi="黑体"/>
          <w:kern w:val="2"/>
          <w:sz w:val="32"/>
          <w:szCs w:val="32"/>
        </w:rPr>
        <w:t>202</w:t>
      </w:r>
      <w:r>
        <w:rPr>
          <w:rFonts w:hint="eastAsia" w:hAnsi="黑体"/>
          <w:kern w:val="2"/>
          <w:sz w:val="32"/>
          <w:szCs w:val="32"/>
          <w:lang w:val="en-US" w:eastAsia="zh-CN"/>
        </w:rPr>
        <w:t>2</w:t>
      </w:r>
      <w:r>
        <w:rPr>
          <w:rFonts w:hAnsi="黑体"/>
          <w:kern w:val="2"/>
          <w:sz w:val="32"/>
          <w:szCs w:val="32"/>
        </w:rPr>
        <w:t>年</w:t>
      </w:r>
      <w:r>
        <w:rPr>
          <w:rFonts w:hint="eastAsia" w:hAnsi="黑体"/>
          <w:kern w:val="2"/>
          <w:sz w:val="32"/>
          <w:szCs w:val="32"/>
        </w:rPr>
        <w:t>一般公共预算基本支出</w:t>
      </w:r>
      <w:r>
        <w:rPr>
          <w:rFonts w:hint="eastAsia" w:hAnsi="黑体"/>
          <w:kern w:val="2"/>
          <w:sz w:val="32"/>
          <w:szCs w:val="32"/>
          <w:lang w:val="en-US" w:eastAsia="zh-CN"/>
        </w:rPr>
        <w:t>598.58</w:t>
      </w:r>
      <w:r>
        <w:rPr>
          <w:rFonts w:hint="eastAsia" w:hAnsi="黑体"/>
          <w:kern w:val="2"/>
          <w:sz w:val="32"/>
          <w:szCs w:val="32"/>
        </w:rPr>
        <w:t>万元，其中：人员经费</w:t>
      </w:r>
      <w:r>
        <w:rPr>
          <w:rFonts w:hint="eastAsia" w:hAnsi="黑体"/>
          <w:kern w:val="2"/>
          <w:sz w:val="32"/>
          <w:szCs w:val="32"/>
          <w:lang w:val="en-US" w:eastAsia="zh-CN"/>
        </w:rPr>
        <w:t>598.58</w:t>
      </w:r>
      <w:r>
        <w:rPr>
          <w:rFonts w:hint="eastAsia" w:hAnsi="黑体"/>
          <w:kern w:val="2"/>
          <w:sz w:val="32"/>
          <w:szCs w:val="32"/>
        </w:rPr>
        <w:t>万元，主要包括：基本工资</w:t>
      </w:r>
      <w:r>
        <w:rPr>
          <w:rFonts w:hint="eastAsia" w:hAnsi="黑体"/>
          <w:kern w:val="2"/>
          <w:sz w:val="32"/>
          <w:szCs w:val="32"/>
          <w:lang w:val="en-US" w:eastAsia="zh-CN"/>
        </w:rPr>
        <w:t>137.27</w:t>
      </w:r>
      <w:r>
        <w:rPr>
          <w:rFonts w:hint="eastAsia" w:hAnsi="黑体"/>
          <w:kern w:val="2"/>
          <w:sz w:val="32"/>
          <w:szCs w:val="32"/>
        </w:rPr>
        <w:t>万元、津贴补贴</w:t>
      </w:r>
      <w:r>
        <w:rPr>
          <w:rFonts w:hint="eastAsia" w:hAnsi="黑体"/>
          <w:kern w:val="2"/>
          <w:sz w:val="32"/>
          <w:szCs w:val="32"/>
          <w:lang w:val="en-US" w:eastAsia="zh-CN"/>
        </w:rPr>
        <w:t>208.66</w:t>
      </w:r>
      <w:r>
        <w:rPr>
          <w:rFonts w:hint="eastAsia" w:hAnsi="黑体"/>
          <w:kern w:val="2"/>
          <w:sz w:val="32"/>
          <w:szCs w:val="32"/>
        </w:rPr>
        <w:t>万元、奖金</w:t>
      </w:r>
      <w:r>
        <w:rPr>
          <w:rFonts w:hint="eastAsia" w:hAnsi="黑体"/>
          <w:kern w:val="2"/>
          <w:sz w:val="32"/>
          <w:szCs w:val="32"/>
          <w:lang w:val="en-US" w:eastAsia="zh-CN"/>
        </w:rPr>
        <w:t>11.44</w:t>
      </w:r>
      <w:r>
        <w:rPr>
          <w:rFonts w:hint="eastAsia" w:hAnsi="黑体"/>
          <w:kern w:val="2"/>
          <w:sz w:val="32"/>
          <w:szCs w:val="32"/>
        </w:rPr>
        <w:t>万元、绩效工资</w:t>
      </w:r>
      <w:r>
        <w:rPr>
          <w:rFonts w:hint="eastAsia" w:hAnsi="黑体"/>
          <w:kern w:val="2"/>
          <w:sz w:val="32"/>
          <w:szCs w:val="32"/>
          <w:lang w:val="en-US" w:eastAsia="zh-CN"/>
        </w:rPr>
        <w:t>35.74万元，</w:t>
      </w:r>
      <w:r>
        <w:rPr>
          <w:rFonts w:hint="eastAsia" w:hAnsi="黑体"/>
          <w:kern w:val="2"/>
          <w:sz w:val="32"/>
          <w:szCs w:val="32"/>
        </w:rPr>
        <w:t>机关事业单位基本养老保险缴费</w:t>
      </w:r>
      <w:r>
        <w:rPr>
          <w:rFonts w:hint="eastAsia" w:hAnsi="黑体"/>
          <w:kern w:val="2"/>
          <w:sz w:val="32"/>
          <w:szCs w:val="32"/>
          <w:lang w:val="en-US" w:eastAsia="zh-CN"/>
        </w:rPr>
        <w:t>62.40</w:t>
      </w:r>
      <w:r>
        <w:rPr>
          <w:rFonts w:hint="eastAsia" w:hAnsi="黑体"/>
          <w:kern w:val="2"/>
          <w:sz w:val="32"/>
          <w:szCs w:val="32"/>
        </w:rPr>
        <w:t>万元、职业年金缴费</w:t>
      </w:r>
      <w:r>
        <w:rPr>
          <w:rFonts w:hint="eastAsia" w:hAnsi="黑体"/>
          <w:kern w:val="2"/>
          <w:sz w:val="32"/>
          <w:szCs w:val="32"/>
          <w:lang w:val="en-US" w:eastAsia="zh-CN"/>
        </w:rPr>
        <w:t>31.20</w:t>
      </w:r>
      <w:r>
        <w:rPr>
          <w:rFonts w:hint="eastAsia" w:hAnsi="黑体"/>
          <w:kern w:val="2"/>
          <w:sz w:val="32"/>
          <w:szCs w:val="32"/>
        </w:rPr>
        <w:t>万元、职工基本医疗保险缴费</w:t>
      </w:r>
      <w:r>
        <w:rPr>
          <w:rFonts w:hint="eastAsia" w:hAnsi="黑体"/>
          <w:kern w:val="2"/>
          <w:sz w:val="32"/>
          <w:szCs w:val="32"/>
          <w:lang w:val="en-US" w:eastAsia="zh-CN"/>
        </w:rPr>
        <w:t>27.30</w:t>
      </w:r>
      <w:r>
        <w:rPr>
          <w:rFonts w:hint="eastAsia" w:hAnsi="黑体"/>
          <w:kern w:val="2"/>
          <w:sz w:val="32"/>
          <w:szCs w:val="32"/>
        </w:rPr>
        <w:t>万元、公务员医疗补助</w:t>
      </w:r>
      <w:r>
        <w:rPr>
          <w:rFonts w:hint="eastAsia" w:hAnsi="黑体"/>
          <w:kern w:val="2"/>
          <w:sz w:val="32"/>
          <w:szCs w:val="32"/>
          <w:lang w:val="en-US" w:eastAsia="zh-CN"/>
        </w:rPr>
        <w:t>10.05</w:t>
      </w:r>
      <w:r>
        <w:rPr>
          <w:rFonts w:hint="eastAsia" w:hAnsi="黑体"/>
          <w:kern w:val="2"/>
          <w:sz w:val="32"/>
          <w:szCs w:val="32"/>
        </w:rPr>
        <w:t>万元、其他社会保障缴费</w:t>
      </w:r>
      <w:r>
        <w:rPr>
          <w:rFonts w:hint="eastAsia" w:hAnsi="黑体"/>
          <w:kern w:val="2"/>
          <w:sz w:val="32"/>
          <w:szCs w:val="32"/>
          <w:lang w:val="en-US" w:eastAsia="zh-CN"/>
        </w:rPr>
        <w:t>7.79</w:t>
      </w:r>
      <w:r>
        <w:rPr>
          <w:rFonts w:hint="eastAsia" w:hAnsi="黑体"/>
          <w:kern w:val="2"/>
          <w:sz w:val="32"/>
          <w:szCs w:val="32"/>
        </w:rPr>
        <w:t>万元、住房公积金</w:t>
      </w:r>
      <w:r>
        <w:rPr>
          <w:rFonts w:hint="eastAsia" w:hAnsi="黑体"/>
          <w:kern w:val="2"/>
          <w:sz w:val="32"/>
          <w:szCs w:val="32"/>
          <w:lang w:val="en-US" w:eastAsia="zh-CN"/>
        </w:rPr>
        <w:t>61.94</w:t>
      </w:r>
      <w:r>
        <w:rPr>
          <w:rFonts w:hint="eastAsia" w:hAnsi="黑体"/>
          <w:kern w:val="2"/>
          <w:sz w:val="32"/>
          <w:szCs w:val="32"/>
        </w:rPr>
        <w:t>万元</w:t>
      </w:r>
      <w:r>
        <w:rPr>
          <w:rFonts w:hint="eastAsia" w:hAnsi="黑体"/>
          <w:kern w:val="2"/>
          <w:sz w:val="32"/>
          <w:szCs w:val="32"/>
          <w:lang w:eastAsia="zh-CN"/>
        </w:rPr>
        <w:t>，其他工资福利支出</w:t>
      </w:r>
      <w:r>
        <w:rPr>
          <w:rFonts w:hint="eastAsia" w:hAnsi="黑体"/>
          <w:kern w:val="2"/>
          <w:sz w:val="32"/>
          <w:szCs w:val="32"/>
          <w:lang w:val="en-US" w:eastAsia="zh-CN"/>
        </w:rPr>
        <w:t>4.80万元</w:t>
      </w:r>
      <w:r>
        <w:rPr>
          <w:rFonts w:hint="eastAsia" w:hAnsi="黑体"/>
          <w:kern w:val="2"/>
          <w:sz w:val="32"/>
          <w:szCs w:val="32"/>
        </w:rPr>
        <w:t>。</w:t>
      </w:r>
      <w:r>
        <w:rPr>
          <w:rFonts w:hint="eastAsia" w:hAnsi="黑体"/>
          <w:kern w:val="2"/>
          <w:sz w:val="32"/>
          <w:szCs w:val="32"/>
          <w:lang w:eastAsia="zh-CN"/>
        </w:rPr>
        <w:t>商品和服务支出</w:t>
      </w:r>
      <w:r>
        <w:rPr>
          <w:rFonts w:hint="eastAsia" w:hAnsi="黑体"/>
          <w:kern w:val="2"/>
          <w:sz w:val="32"/>
          <w:szCs w:val="32"/>
          <w:lang w:val="en-US" w:eastAsia="zh-CN"/>
        </w:rPr>
        <w:t>62.66</w:t>
      </w:r>
      <w:r>
        <w:rPr>
          <w:rFonts w:hint="eastAsia" w:hAnsi="黑体"/>
          <w:kern w:val="2"/>
          <w:sz w:val="32"/>
          <w:szCs w:val="32"/>
        </w:rPr>
        <w:t>万元，主要包括：办公费</w:t>
      </w:r>
      <w:r>
        <w:rPr>
          <w:rFonts w:hint="eastAsia" w:hAnsi="黑体"/>
          <w:kern w:val="2"/>
          <w:sz w:val="32"/>
          <w:szCs w:val="32"/>
          <w:lang w:val="en-US" w:eastAsia="zh-CN"/>
        </w:rPr>
        <w:t>8.00</w:t>
      </w:r>
      <w:r>
        <w:rPr>
          <w:rFonts w:hint="eastAsia" w:hAnsi="黑体"/>
          <w:kern w:val="2"/>
          <w:sz w:val="32"/>
          <w:szCs w:val="32"/>
        </w:rPr>
        <w:t>万元、印刷费</w:t>
      </w:r>
      <w:r>
        <w:rPr>
          <w:rFonts w:hint="eastAsia" w:hAnsi="黑体"/>
          <w:kern w:val="2"/>
          <w:sz w:val="32"/>
          <w:szCs w:val="32"/>
          <w:lang w:val="en-US" w:eastAsia="zh-CN"/>
        </w:rPr>
        <w:t>5.00</w:t>
      </w:r>
      <w:r>
        <w:rPr>
          <w:rFonts w:hint="eastAsia" w:hAnsi="黑体"/>
          <w:kern w:val="2"/>
          <w:sz w:val="32"/>
          <w:szCs w:val="32"/>
        </w:rPr>
        <w:t>万元、</w:t>
      </w:r>
      <w:r>
        <w:rPr>
          <w:rFonts w:hint="eastAsia" w:hAnsi="黑体"/>
          <w:kern w:val="2"/>
          <w:sz w:val="32"/>
          <w:szCs w:val="32"/>
          <w:lang w:eastAsia="zh-CN"/>
        </w:rPr>
        <w:t>水费</w:t>
      </w:r>
      <w:r>
        <w:rPr>
          <w:rFonts w:hint="eastAsia" w:hAnsi="黑体"/>
          <w:kern w:val="2"/>
          <w:sz w:val="32"/>
          <w:szCs w:val="32"/>
          <w:lang w:val="en-US" w:eastAsia="zh-CN"/>
        </w:rPr>
        <w:t>1.00万元、</w:t>
      </w:r>
      <w:r>
        <w:rPr>
          <w:rFonts w:hint="eastAsia" w:hAnsi="黑体"/>
          <w:kern w:val="2"/>
          <w:sz w:val="32"/>
          <w:szCs w:val="32"/>
        </w:rPr>
        <w:t>电费</w:t>
      </w:r>
      <w:r>
        <w:rPr>
          <w:rFonts w:hint="eastAsia" w:hAnsi="黑体"/>
          <w:kern w:val="2"/>
          <w:sz w:val="32"/>
          <w:szCs w:val="32"/>
          <w:lang w:val="en-US" w:eastAsia="zh-CN"/>
        </w:rPr>
        <w:t>1.50</w:t>
      </w:r>
      <w:r>
        <w:rPr>
          <w:rFonts w:hint="eastAsia" w:hAnsi="黑体"/>
          <w:kern w:val="2"/>
          <w:sz w:val="32"/>
          <w:szCs w:val="32"/>
        </w:rPr>
        <w:t>万元、</w:t>
      </w:r>
      <w:r>
        <w:rPr>
          <w:rFonts w:hint="eastAsia" w:hAnsi="黑体"/>
          <w:kern w:val="2"/>
          <w:sz w:val="32"/>
          <w:szCs w:val="32"/>
          <w:lang w:eastAsia="zh-CN"/>
        </w:rPr>
        <w:t>取暖费</w:t>
      </w:r>
      <w:r>
        <w:rPr>
          <w:rFonts w:hint="eastAsia" w:hAnsi="黑体"/>
          <w:kern w:val="2"/>
          <w:sz w:val="32"/>
          <w:szCs w:val="32"/>
          <w:lang w:val="en-US" w:eastAsia="zh-CN"/>
        </w:rPr>
        <w:t>0.50万元、物业管理费0.50万元、</w:t>
      </w:r>
      <w:r>
        <w:rPr>
          <w:rFonts w:hint="eastAsia" w:hAnsi="黑体"/>
          <w:kern w:val="2"/>
          <w:sz w:val="32"/>
          <w:szCs w:val="32"/>
          <w:lang w:val="en-US" w:eastAsia="zh-CN"/>
        </w:rPr>
        <w:tab/>
      </w:r>
      <w:r>
        <w:rPr>
          <w:rFonts w:hint="eastAsia" w:hAnsi="黑体"/>
          <w:kern w:val="2"/>
          <w:sz w:val="32"/>
          <w:szCs w:val="32"/>
          <w:lang w:val="en-US" w:eastAsia="zh-CN"/>
        </w:rPr>
        <w:t>差旅费25.00万元、维修（护）费4.60万元、公务接待费0.20万元、劳务费0.50万元、工会经费7.86万元、公务用车运行维护费8.00万元。对个人和家庭的补助2.73万元，其中生活补助2.69万元、奖励金0.04万元。</w:t>
      </w:r>
    </w:p>
    <w:p w14:paraId="46D7CF17">
      <w:pPr>
        <w:pStyle w:val="15"/>
        <w:keepNext w:val="0"/>
        <w:keepLines w:val="0"/>
        <w:pageBreakBefore w:val="0"/>
        <w:kinsoku/>
        <w:wordWrap/>
        <w:overflowPunct/>
        <w:topLinePunct w:val="0"/>
        <w:autoSpaceDE/>
        <w:autoSpaceDN/>
        <w:bidi w:val="0"/>
        <w:spacing w:before="0" w:line="560" w:lineRule="exact"/>
        <w:ind w:firstLine="640" w:firstLineChars="200"/>
        <w:textAlignment w:val="auto"/>
        <w:rPr>
          <w:rFonts w:ascii="??" w:hAnsi="??" w:eastAsia="宋体" w:cs="Times New Roman"/>
          <w:sz w:val="16"/>
          <w:szCs w:val="16"/>
        </w:rPr>
      </w:pPr>
      <w:r>
        <w:rPr>
          <w:rFonts w:hint="eastAsia" w:ascii="黑体" w:hAnsi="黑体" w:eastAsia="黑体" w:cs="黑体"/>
          <w:kern w:val="2"/>
          <w:sz w:val="32"/>
          <w:szCs w:val="32"/>
        </w:rPr>
        <w:t>七、</w:t>
      </w:r>
      <w:r>
        <w:rPr>
          <w:rFonts w:ascii="黑体" w:hAnsi="黑体" w:eastAsia="黑体" w:cs="Times New Roman"/>
          <w:kern w:val="2"/>
          <w:sz w:val="32"/>
          <w:szCs w:val="32"/>
        </w:rPr>
        <w:t>“</w:t>
      </w:r>
      <w:r>
        <w:rPr>
          <w:rFonts w:hint="eastAsia" w:ascii="黑体" w:hAnsi="黑体" w:eastAsia="黑体" w:cs="黑体"/>
          <w:kern w:val="2"/>
          <w:sz w:val="32"/>
          <w:szCs w:val="32"/>
        </w:rPr>
        <w:t>三公</w:t>
      </w:r>
      <w:r>
        <w:rPr>
          <w:rFonts w:ascii="黑体" w:hAnsi="黑体" w:eastAsia="黑体" w:cs="Times New Roman"/>
          <w:kern w:val="2"/>
          <w:sz w:val="32"/>
          <w:szCs w:val="32"/>
        </w:rPr>
        <w:t>”</w:t>
      </w:r>
      <w:r>
        <w:rPr>
          <w:rFonts w:hint="eastAsia" w:ascii="黑体" w:hAnsi="黑体" w:eastAsia="黑体" w:cs="黑体"/>
          <w:kern w:val="2"/>
          <w:sz w:val="32"/>
          <w:szCs w:val="32"/>
        </w:rPr>
        <w:t>经费财政拨款预算安排情况说明</w:t>
      </w:r>
    </w:p>
    <w:p w14:paraId="5CB3D805">
      <w:pPr>
        <w:pStyle w:val="15"/>
        <w:keepNext w:val="0"/>
        <w:keepLines w:val="0"/>
        <w:pageBreakBefore w:val="0"/>
        <w:kinsoku/>
        <w:wordWrap/>
        <w:overflowPunct/>
        <w:topLinePunct w:val="0"/>
        <w:autoSpaceDE/>
        <w:autoSpaceDN/>
        <w:bidi w:val="0"/>
        <w:spacing w:before="0" w:line="560" w:lineRule="exact"/>
        <w:ind w:firstLine="640" w:firstLineChars="200"/>
        <w:textAlignment w:val="auto"/>
        <w:rPr>
          <w:rFonts w:hAnsi="黑体"/>
          <w:kern w:val="2"/>
          <w:sz w:val="32"/>
          <w:szCs w:val="32"/>
        </w:rPr>
      </w:pPr>
      <w:r>
        <w:rPr>
          <w:rFonts w:hint="eastAsia" w:hAnsi="黑体"/>
          <w:kern w:val="2"/>
          <w:sz w:val="32"/>
          <w:szCs w:val="32"/>
          <w:lang w:eastAsia="zh-CN"/>
        </w:rPr>
        <w:t>壤塘县财政局</w:t>
      </w:r>
      <w:r>
        <w:rPr>
          <w:rFonts w:hAnsi="黑体"/>
          <w:kern w:val="2"/>
          <w:sz w:val="32"/>
          <w:szCs w:val="32"/>
        </w:rPr>
        <w:t>202</w:t>
      </w:r>
      <w:r>
        <w:rPr>
          <w:rFonts w:hint="eastAsia" w:hAnsi="黑体"/>
          <w:kern w:val="2"/>
          <w:sz w:val="32"/>
          <w:szCs w:val="32"/>
          <w:lang w:val="en-US" w:eastAsia="zh-CN"/>
        </w:rPr>
        <w:t>2</w:t>
      </w:r>
      <w:r>
        <w:rPr>
          <w:rFonts w:hAnsi="黑体"/>
          <w:kern w:val="2"/>
          <w:sz w:val="32"/>
          <w:szCs w:val="32"/>
        </w:rPr>
        <w:t>年</w:t>
      </w:r>
      <w:r>
        <w:rPr>
          <w:rFonts w:hAnsi="黑体" w:cs="Times New Roman"/>
          <w:kern w:val="2"/>
          <w:sz w:val="32"/>
          <w:szCs w:val="32"/>
        </w:rPr>
        <w:t>“</w:t>
      </w:r>
      <w:r>
        <w:rPr>
          <w:rFonts w:hint="eastAsia" w:hAnsi="黑体"/>
          <w:kern w:val="2"/>
          <w:sz w:val="32"/>
          <w:szCs w:val="32"/>
        </w:rPr>
        <w:t>三公</w:t>
      </w:r>
      <w:r>
        <w:rPr>
          <w:rFonts w:hAnsi="黑体" w:cs="Times New Roman"/>
          <w:kern w:val="2"/>
          <w:sz w:val="32"/>
          <w:szCs w:val="32"/>
        </w:rPr>
        <w:t>”</w:t>
      </w:r>
      <w:r>
        <w:rPr>
          <w:rFonts w:hint="eastAsia" w:hAnsi="黑体"/>
          <w:kern w:val="2"/>
          <w:sz w:val="32"/>
          <w:szCs w:val="32"/>
        </w:rPr>
        <w:t>经费财政拨款预算数</w:t>
      </w:r>
      <w:r>
        <w:rPr>
          <w:rFonts w:hint="eastAsia" w:hAnsi="黑体"/>
          <w:kern w:val="2"/>
          <w:sz w:val="32"/>
          <w:szCs w:val="32"/>
          <w:lang w:val="en-US" w:eastAsia="zh-CN"/>
        </w:rPr>
        <w:t>8.00</w:t>
      </w:r>
      <w:r>
        <w:rPr>
          <w:rFonts w:hint="eastAsia" w:hAnsi="黑体"/>
          <w:kern w:val="2"/>
          <w:sz w:val="32"/>
          <w:szCs w:val="32"/>
        </w:rPr>
        <w:t>万元，其中：因公出国（境）费用</w:t>
      </w:r>
      <w:r>
        <w:rPr>
          <w:rFonts w:hint="eastAsia" w:hAnsi="黑体"/>
          <w:kern w:val="2"/>
          <w:sz w:val="32"/>
          <w:szCs w:val="32"/>
          <w:lang w:val="en-US" w:eastAsia="zh-CN"/>
        </w:rPr>
        <w:t>0万元，</w:t>
      </w:r>
      <w:r>
        <w:rPr>
          <w:rFonts w:hint="eastAsia" w:hAnsi="黑体"/>
          <w:kern w:val="2"/>
          <w:sz w:val="32"/>
          <w:szCs w:val="32"/>
        </w:rPr>
        <w:t>公务接待费0.</w:t>
      </w:r>
      <w:r>
        <w:rPr>
          <w:rFonts w:hint="eastAsia" w:hAnsi="黑体"/>
          <w:kern w:val="2"/>
          <w:sz w:val="32"/>
          <w:szCs w:val="32"/>
          <w:lang w:val="en-US" w:eastAsia="zh-CN"/>
        </w:rPr>
        <w:t>0</w:t>
      </w:r>
      <w:r>
        <w:rPr>
          <w:rFonts w:hint="eastAsia" w:hAnsi="黑体"/>
          <w:kern w:val="2"/>
          <w:sz w:val="32"/>
          <w:szCs w:val="32"/>
        </w:rPr>
        <w:t>万元，公务用车运行维护费</w:t>
      </w:r>
      <w:r>
        <w:rPr>
          <w:rFonts w:hint="eastAsia" w:hAnsi="黑体"/>
          <w:kern w:val="2"/>
          <w:sz w:val="32"/>
          <w:szCs w:val="32"/>
          <w:lang w:val="en-US" w:eastAsia="zh-CN"/>
        </w:rPr>
        <w:t>8.00</w:t>
      </w:r>
      <w:r>
        <w:rPr>
          <w:rFonts w:hint="eastAsia" w:hAnsi="黑体"/>
          <w:kern w:val="2"/>
          <w:sz w:val="32"/>
          <w:szCs w:val="32"/>
        </w:rPr>
        <w:t>万元。</w:t>
      </w:r>
    </w:p>
    <w:p w14:paraId="6C1BE0E7">
      <w:pPr>
        <w:pStyle w:val="15"/>
        <w:keepNext w:val="0"/>
        <w:keepLines w:val="0"/>
        <w:pageBreakBefore w:val="0"/>
        <w:kinsoku/>
        <w:wordWrap/>
        <w:overflowPunct/>
        <w:topLinePunct w:val="0"/>
        <w:autoSpaceDE/>
        <w:autoSpaceDN/>
        <w:bidi w:val="0"/>
        <w:spacing w:before="0" w:line="560" w:lineRule="exact"/>
        <w:ind w:firstLine="640" w:firstLineChars="200"/>
        <w:textAlignment w:val="auto"/>
        <w:rPr>
          <w:rFonts w:ascii="黑体" w:hAnsi="黑体" w:eastAsia="黑体" w:cs="黑体"/>
          <w:kern w:val="2"/>
          <w:sz w:val="32"/>
          <w:szCs w:val="32"/>
        </w:rPr>
      </w:pPr>
      <w:r>
        <w:rPr>
          <w:rFonts w:hint="eastAsia" w:ascii="黑体" w:hAnsi="黑体" w:eastAsia="黑体" w:cs="黑体"/>
          <w:kern w:val="2"/>
          <w:sz w:val="32"/>
          <w:szCs w:val="32"/>
        </w:rPr>
        <w:t>八、政府性基金预算支出情况说明</w:t>
      </w:r>
    </w:p>
    <w:p w14:paraId="6E6DB95C">
      <w:pPr>
        <w:pStyle w:val="15"/>
        <w:keepNext w:val="0"/>
        <w:keepLines w:val="0"/>
        <w:pageBreakBefore w:val="0"/>
        <w:kinsoku/>
        <w:wordWrap/>
        <w:overflowPunct/>
        <w:topLinePunct w:val="0"/>
        <w:autoSpaceDE/>
        <w:autoSpaceDN/>
        <w:bidi w:val="0"/>
        <w:spacing w:before="0" w:line="560" w:lineRule="exact"/>
        <w:ind w:firstLine="640" w:firstLineChars="200"/>
        <w:textAlignment w:val="auto"/>
        <w:rPr>
          <w:rFonts w:hAnsi="黑体"/>
          <w:kern w:val="2"/>
          <w:sz w:val="32"/>
          <w:szCs w:val="32"/>
        </w:rPr>
      </w:pPr>
      <w:r>
        <w:rPr>
          <w:rFonts w:hint="eastAsia" w:hAnsi="黑体"/>
          <w:kern w:val="2"/>
          <w:sz w:val="32"/>
          <w:szCs w:val="32"/>
          <w:lang w:eastAsia="zh-CN"/>
        </w:rPr>
        <w:t>壤塘县财政局</w:t>
      </w:r>
      <w:r>
        <w:rPr>
          <w:rFonts w:hAnsi="黑体"/>
          <w:kern w:val="2"/>
          <w:sz w:val="32"/>
          <w:szCs w:val="32"/>
        </w:rPr>
        <w:t>202</w:t>
      </w:r>
      <w:r>
        <w:rPr>
          <w:rFonts w:hint="eastAsia" w:hAnsi="黑体"/>
          <w:kern w:val="2"/>
          <w:sz w:val="32"/>
          <w:szCs w:val="32"/>
          <w:lang w:val="en-US" w:eastAsia="zh-CN"/>
        </w:rPr>
        <w:t>2</w:t>
      </w:r>
      <w:r>
        <w:rPr>
          <w:rFonts w:hAnsi="黑体"/>
          <w:kern w:val="2"/>
          <w:sz w:val="32"/>
          <w:szCs w:val="32"/>
        </w:rPr>
        <w:t>年</w:t>
      </w:r>
      <w:r>
        <w:rPr>
          <w:rFonts w:hint="eastAsia" w:hAnsi="黑体"/>
          <w:kern w:val="2"/>
          <w:sz w:val="32"/>
          <w:szCs w:val="32"/>
        </w:rPr>
        <w:t>无政府性基金预算拨款安排。</w:t>
      </w:r>
    </w:p>
    <w:p w14:paraId="657B4755">
      <w:pPr>
        <w:pStyle w:val="15"/>
        <w:keepNext w:val="0"/>
        <w:keepLines w:val="0"/>
        <w:pageBreakBefore w:val="0"/>
        <w:kinsoku/>
        <w:wordWrap/>
        <w:overflowPunct/>
        <w:topLinePunct w:val="0"/>
        <w:autoSpaceDE/>
        <w:autoSpaceDN/>
        <w:bidi w:val="0"/>
        <w:spacing w:before="0" w:line="560" w:lineRule="exact"/>
        <w:ind w:firstLine="640" w:firstLineChars="200"/>
        <w:textAlignment w:val="auto"/>
        <w:rPr>
          <w:rFonts w:ascii="黑体" w:hAnsi="黑体" w:eastAsia="黑体" w:cs="黑体"/>
          <w:kern w:val="2"/>
          <w:sz w:val="32"/>
          <w:szCs w:val="32"/>
        </w:rPr>
      </w:pPr>
      <w:r>
        <w:rPr>
          <w:rFonts w:hint="eastAsia" w:ascii="黑体" w:hAnsi="黑体" w:eastAsia="黑体" w:cs="黑体"/>
          <w:kern w:val="2"/>
          <w:sz w:val="32"/>
          <w:szCs w:val="32"/>
        </w:rPr>
        <w:t>九、其他重要事项的情况说明</w:t>
      </w:r>
    </w:p>
    <w:p w14:paraId="2DDF2476">
      <w:pPr>
        <w:pStyle w:val="15"/>
        <w:keepNext w:val="0"/>
        <w:keepLines w:val="0"/>
        <w:pageBreakBefore w:val="0"/>
        <w:kinsoku/>
        <w:wordWrap/>
        <w:overflowPunct/>
        <w:topLinePunct w:val="0"/>
        <w:autoSpaceDE/>
        <w:autoSpaceDN/>
        <w:bidi w:val="0"/>
        <w:spacing w:before="0" w:line="560" w:lineRule="exact"/>
        <w:ind w:firstLine="643" w:firstLineChars="200"/>
        <w:textAlignment w:val="auto"/>
        <w:rPr>
          <w:rFonts w:ascii="楷体_GB2312" w:hAnsi="黑体" w:eastAsia="楷体_GB2312" w:cs="楷体_GB2312"/>
          <w:b/>
          <w:bCs/>
          <w:kern w:val="2"/>
          <w:sz w:val="32"/>
          <w:szCs w:val="32"/>
        </w:rPr>
      </w:pPr>
      <w:r>
        <w:rPr>
          <w:rFonts w:hint="eastAsia" w:ascii="楷体_GB2312" w:hAnsi="黑体" w:eastAsia="楷体_GB2312" w:cs="楷体_GB2312"/>
          <w:b/>
          <w:bCs/>
          <w:kern w:val="2"/>
          <w:sz w:val="32"/>
          <w:szCs w:val="32"/>
        </w:rPr>
        <w:t>（一）机关运行经费</w:t>
      </w:r>
    </w:p>
    <w:p w14:paraId="161A2B89">
      <w:pPr>
        <w:pStyle w:val="15"/>
        <w:keepNext w:val="0"/>
        <w:keepLines w:val="0"/>
        <w:pageBreakBefore w:val="0"/>
        <w:kinsoku/>
        <w:wordWrap/>
        <w:overflowPunct/>
        <w:topLinePunct w:val="0"/>
        <w:autoSpaceDE/>
        <w:autoSpaceDN/>
        <w:bidi w:val="0"/>
        <w:spacing w:before="0" w:line="560" w:lineRule="exact"/>
        <w:ind w:firstLine="640" w:firstLineChars="200"/>
        <w:textAlignment w:val="auto"/>
        <w:rPr>
          <w:rFonts w:hint="eastAsia" w:hAnsi="黑体" w:eastAsia="仿宋_GB2312"/>
          <w:kern w:val="2"/>
          <w:sz w:val="32"/>
          <w:szCs w:val="32"/>
          <w:lang w:eastAsia="zh-CN"/>
        </w:rPr>
      </w:pPr>
      <w:r>
        <w:rPr>
          <w:rFonts w:hint="eastAsia" w:hAnsi="黑体"/>
          <w:kern w:val="2"/>
          <w:sz w:val="32"/>
          <w:szCs w:val="32"/>
          <w:lang w:eastAsia="zh-CN"/>
        </w:rPr>
        <w:t>壤塘县财政局</w:t>
      </w:r>
      <w:r>
        <w:rPr>
          <w:rFonts w:hAnsi="黑体"/>
          <w:kern w:val="2"/>
          <w:sz w:val="32"/>
          <w:szCs w:val="32"/>
        </w:rPr>
        <w:t>202</w:t>
      </w:r>
      <w:r>
        <w:rPr>
          <w:rFonts w:hint="eastAsia" w:hAnsi="黑体"/>
          <w:kern w:val="2"/>
          <w:sz w:val="32"/>
          <w:szCs w:val="32"/>
          <w:lang w:val="en-US" w:eastAsia="zh-CN"/>
        </w:rPr>
        <w:t>2</w:t>
      </w:r>
      <w:r>
        <w:rPr>
          <w:rFonts w:hAnsi="黑体"/>
          <w:kern w:val="2"/>
          <w:sz w:val="32"/>
          <w:szCs w:val="32"/>
        </w:rPr>
        <w:t>年</w:t>
      </w:r>
      <w:r>
        <w:rPr>
          <w:rFonts w:hint="eastAsia" w:hAnsi="黑体"/>
          <w:color w:val="auto"/>
          <w:kern w:val="2"/>
          <w:sz w:val="32"/>
          <w:szCs w:val="32"/>
        </w:rPr>
        <w:t>机关运行经费</w:t>
      </w:r>
      <w:r>
        <w:rPr>
          <w:rFonts w:hint="eastAsia" w:hAnsi="黑体"/>
          <w:kern w:val="2"/>
          <w:sz w:val="32"/>
          <w:szCs w:val="32"/>
        </w:rPr>
        <w:t>财政拨款预算为</w:t>
      </w:r>
      <w:r>
        <w:rPr>
          <w:rFonts w:hint="eastAsia" w:hAnsi="黑体"/>
          <w:kern w:val="2"/>
          <w:sz w:val="32"/>
          <w:szCs w:val="32"/>
          <w:lang w:val="en-US" w:eastAsia="zh-CN"/>
        </w:rPr>
        <w:t>15.86</w:t>
      </w:r>
      <w:r>
        <w:rPr>
          <w:rFonts w:hint="eastAsia" w:hAnsi="黑体"/>
          <w:kern w:val="2"/>
          <w:sz w:val="32"/>
          <w:szCs w:val="32"/>
        </w:rPr>
        <w:t>万元</w:t>
      </w:r>
      <w:r>
        <w:rPr>
          <w:rFonts w:hint="eastAsia" w:hAnsi="黑体"/>
          <w:kern w:val="2"/>
          <w:sz w:val="32"/>
          <w:szCs w:val="32"/>
          <w:lang w:eastAsia="zh-CN"/>
        </w:rPr>
        <w:t>。</w:t>
      </w:r>
    </w:p>
    <w:p w14:paraId="2F9688C2">
      <w:pPr>
        <w:pStyle w:val="15"/>
        <w:keepNext w:val="0"/>
        <w:keepLines w:val="0"/>
        <w:pageBreakBefore w:val="0"/>
        <w:kinsoku/>
        <w:wordWrap/>
        <w:overflowPunct/>
        <w:topLinePunct w:val="0"/>
        <w:autoSpaceDE/>
        <w:autoSpaceDN/>
        <w:bidi w:val="0"/>
        <w:spacing w:before="0" w:line="560" w:lineRule="exact"/>
        <w:ind w:firstLine="643" w:firstLineChars="200"/>
        <w:textAlignment w:val="auto"/>
        <w:rPr>
          <w:rFonts w:ascii="楷体_GB2312" w:hAnsi="黑体" w:eastAsia="楷体_GB2312" w:cs="Times New Roman"/>
          <w:b/>
          <w:bCs/>
          <w:kern w:val="2"/>
          <w:sz w:val="32"/>
          <w:szCs w:val="32"/>
        </w:rPr>
      </w:pPr>
      <w:r>
        <w:rPr>
          <w:rFonts w:hint="eastAsia" w:ascii="楷体_GB2312" w:hAnsi="黑体" w:eastAsia="楷体_GB2312" w:cs="楷体_GB2312"/>
          <w:b/>
          <w:bCs/>
          <w:kern w:val="2"/>
          <w:sz w:val="32"/>
          <w:szCs w:val="32"/>
        </w:rPr>
        <w:t>（二）政府采购情况</w:t>
      </w:r>
    </w:p>
    <w:p w14:paraId="2EE23A4D">
      <w:pPr>
        <w:pStyle w:val="15"/>
        <w:keepNext w:val="0"/>
        <w:keepLines w:val="0"/>
        <w:pageBreakBefore w:val="0"/>
        <w:kinsoku/>
        <w:wordWrap/>
        <w:overflowPunct/>
        <w:topLinePunct w:val="0"/>
        <w:autoSpaceDE/>
        <w:autoSpaceDN/>
        <w:bidi w:val="0"/>
        <w:spacing w:before="0" w:line="560" w:lineRule="exact"/>
        <w:ind w:firstLine="640" w:firstLineChars="200"/>
        <w:textAlignment w:val="auto"/>
        <w:rPr>
          <w:rFonts w:hAnsi="黑体"/>
          <w:kern w:val="2"/>
          <w:sz w:val="32"/>
          <w:szCs w:val="32"/>
        </w:rPr>
      </w:pPr>
      <w:r>
        <w:rPr>
          <w:rFonts w:hint="eastAsia" w:hAnsi="黑体"/>
          <w:kern w:val="2"/>
          <w:sz w:val="32"/>
          <w:szCs w:val="32"/>
          <w:lang w:eastAsia="zh-CN"/>
        </w:rPr>
        <w:t>壤塘县财政局</w:t>
      </w:r>
      <w:r>
        <w:rPr>
          <w:rFonts w:hAnsi="黑体"/>
          <w:kern w:val="2"/>
          <w:sz w:val="32"/>
          <w:szCs w:val="32"/>
        </w:rPr>
        <w:t>202</w:t>
      </w:r>
      <w:r>
        <w:rPr>
          <w:rFonts w:hint="eastAsia" w:hAnsi="黑体"/>
          <w:kern w:val="2"/>
          <w:sz w:val="32"/>
          <w:szCs w:val="32"/>
          <w:lang w:val="en-US" w:eastAsia="zh-CN"/>
        </w:rPr>
        <w:t>2</w:t>
      </w:r>
      <w:r>
        <w:rPr>
          <w:rFonts w:hAnsi="黑体"/>
          <w:kern w:val="2"/>
          <w:sz w:val="32"/>
          <w:szCs w:val="32"/>
        </w:rPr>
        <w:t>年</w:t>
      </w:r>
      <w:r>
        <w:rPr>
          <w:rFonts w:hint="eastAsia" w:hAnsi="黑体"/>
          <w:kern w:val="2"/>
          <w:sz w:val="32"/>
          <w:szCs w:val="32"/>
        </w:rPr>
        <w:t>未安排政府采购预算。</w:t>
      </w:r>
    </w:p>
    <w:p w14:paraId="62747185">
      <w:pPr>
        <w:pStyle w:val="15"/>
        <w:keepNext w:val="0"/>
        <w:keepLines w:val="0"/>
        <w:pageBreakBefore w:val="0"/>
        <w:numPr>
          <w:ilvl w:val="0"/>
          <w:numId w:val="0"/>
        </w:numPr>
        <w:kinsoku/>
        <w:wordWrap/>
        <w:overflowPunct/>
        <w:topLinePunct w:val="0"/>
        <w:autoSpaceDE/>
        <w:autoSpaceDN/>
        <w:bidi w:val="0"/>
        <w:spacing w:before="0" w:line="560" w:lineRule="exact"/>
        <w:ind w:firstLine="643" w:firstLineChars="200"/>
        <w:textAlignment w:val="auto"/>
        <w:rPr>
          <w:rFonts w:hint="eastAsia" w:ascii="仿宋_GB2312" w:hAnsi="仿宋_GB2312" w:eastAsia="仿宋_GB2312" w:cs="仿宋_GB2312"/>
          <w:b/>
          <w:bCs/>
          <w:kern w:val="2"/>
          <w:sz w:val="32"/>
          <w:szCs w:val="32"/>
          <w:lang w:val="en-US" w:eastAsia="zh-CN"/>
        </w:rPr>
      </w:pPr>
      <w:r>
        <w:rPr>
          <w:rFonts w:hint="eastAsia" w:ascii="楷体_GB2312" w:hAnsi="黑体" w:eastAsia="楷体_GB2312" w:cs="楷体_GB2312"/>
          <w:b/>
          <w:bCs/>
          <w:kern w:val="2"/>
          <w:sz w:val="32"/>
          <w:szCs w:val="32"/>
          <w:lang w:eastAsia="zh-CN"/>
        </w:rPr>
        <w:t>（三）</w:t>
      </w:r>
      <w:r>
        <w:rPr>
          <w:rFonts w:hint="eastAsia" w:ascii="楷体_GB2312" w:hAnsi="黑体" w:eastAsia="楷体_GB2312" w:cs="楷体_GB2312"/>
          <w:b/>
          <w:bCs/>
          <w:kern w:val="2"/>
          <w:sz w:val="32"/>
          <w:szCs w:val="32"/>
        </w:rPr>
        <w:t>国有资产占有使用情况</w:t>
      </w:r>
    </w:p>
    <w:p w14:paraId="2D2F13D6">
      <w:pPr>
        <w:pStyle w:val="15"/>
        <w:keepNext w:val="0"/>
        <w:keepLines w:val="0"/>
        <w:pageBreakBefore w:val="0"/>
        <w:widowControl w:val="0"/>
        <w:numPr>
          <w:ilvl w:val="0"/>
          <w:numId w:val="0"/>
        </w:numPr>
        <w:kinsoku/>
        <w:wordWrap/>
        <w:overflowPunct/>
        <w:topLinePunct w:val="0"/>
        <w:autoSpaceDE/>
        <w:autoSpaceDN/>
        <w:bidi w:val="0"/>
        <w:adjustRightInd/>
        <w:snapToGrid/>
        <w:spacing w:before="0"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rPr>
      </w:pPr>
      <w:r>
        <w:rPr>
          <w:rFonts w:hint="eastAsia" w:ascii="仿宋_GB2312" w:hAnsi="仿宋_GB2312" w:eastAsia="仿宋_GB2312" w:cs="仿宋_GB2312"/>
          <w:b w:val="0"/>
          <w:bCs w:val="0"/>
          <w:kern w:val="2"/>
          <w:sz w:val="32"/>
          <w:szCs w:val="32"/>
          <w:lang w:val="en-US" w:eastAsia="zh-CN"/>
        </w:rPr>
        <w:t>无</w:t>
      </w:r>
      <w:r>
        <w:rPr>
          <w:rFonts w:hint="eastAsia" w:cs="仿宋_GB2312"/>
          <w:b w:val="0"/>
          <w:bCs w:val="0"/>
          <w:kern w:val="2"/>
          <w:sz w:val="32"/>
          <w:szCs w:val="32"/>
          <w:lang w:val="en-US" w:eastAsia="zh-CN"/>
        </w:rPr>
        <w:t>。</w:t>
      </w:r>
    </w:p>
    <w:p w14:paraId="491BB74B">
      <w:pPr>
        <w:pStyle w:val="15"/>
        <w:keepNext w:val="0"/>
        <w:keepLines w:val="0"/>
        <w:pageBreakBefore w:val="0"/>
        <w:kinsoku/>
        <w:wordWrap/>
        <w:overflowPunct/>
        <w:topLinePunct w:val="0"/>
        <w:autoSpaceDE/>
        <w:autoSpaceDN/>
        <w:bidi w:val="0"/>
        <w:spacing w:before="0" w:line="560" w:lineRule="exact"/>
        <w:ind w:firstLine="643" w:firstLineChars="200"/>
        <w:textAlignment w:val="auto"/>
        <w:rPr>
          <w:rFonts w:ascii="楷体_GB2312" w:hAnsi="黑体" w:eastAsia="楷体_GB2312" w:cs="楷体_GB2312"/>
          <w:b/>
          <w:bCs/>
          <w:kern w:val="2"/>
          <w:sz w:val="32"/>
          <w:szCs w:val="32"/>
        </w:rPr>
      </w:pPr>
      <w:r>
        <w:rPr>
          <w:rFonts w:hint="eastAsia" w:ascii="楷体_GB2312" w:hAnsi="黑体" w:eastAsia="楷体_GB2312" w:cs="楷体_GB2312"/>
          <w:b/>
          <w:bCs/>
          <w:kern w:val="2"/>
          <w:sz w:val="32"/>
          <w:szCs w:val="32"/>
        </w:rPr>
        <w:t>（四）绩效目标设置情况</w:t>
      </w:r>
    </w:p>
    <w:p w14:paraId="08165F57">
      <w:pPr>
        <w:pStyle w:val="15"/>
        <w:keepNext w:val="0"/>
        <w:keepLines w:val="0"/>
        <w:pageBreakBefore w:val="0"/>
        <w:kinsoku/>
        <w:wordWrap/>
        <w:overflowPunct/>
        <w:topLinePunct w:val="0"/>
        <w:autoSpaceDE/>
        <w:autoSpaceDN/>
        <w:bidi w:val="0"/>
        <w:spacing w:before="0" w:line="560" w:lineRule="exact"/>
        <w:ind w:firstLine="640" w:firstLineChars="200"/>
        <w:textAlignment w:val="auto"/>
        <w:rPr>
          <w:rFonts w:hAnsi="黑体"/>
          <w:kern w:val="2"/>
          <w:sz w:val="32"/>
          <w:szCs w:val="32"/>
        </w:rPr>
      </w:pPr>
      <w:r>
        <w:rPr>
          <w:rFonts w:hAnsi="黑体"/>
          <w:kern w:val="2"/>
          <w:sz w:val="32"/>
          <w:szCs w:val="32"/>
        </w:rPr>
        <w:t>202</w:t>
      </w:r>
      <w:r>
        <w:rPr>
          <w:rFonts w:hint="eastAsia" w:hAnsi="黑体"/>
          <w:kern w:val="2"/>
          <w:sz w:val="32"/>
          <w:szCs w:val="32"/>
          <w:lang w:val="en-US" w:eastAsia="zh-CN"/>
        </w:rPr>
        <w:t>2</w:t>
      </w:r>
      <w:r>
        <w:rPr>
          <w:rFonts w:hAnsi="黑体"/>
          <w:kern w:val="2"/>
          <w:sz w:val="32"/>
          <w:szCs w:val="32"/>
        </w:rPr>
        <w:t>年</w:t>
      </w:r>
      <w:r>
        <w:rPr>
          <w:rFonts w:hint="eastAsia" w:hAnsi="黑体"/>
          <w:kern w:val="2"/>
          <w:sz w:val="32"/>
          <w:szCs w:val="32"/>
          <w:lang w:eastAsia="zh-CN"/>
        </w:rPr>
        <w:t>壤塘县财政局</w:t>
      </w:r>
      <w:r>
        <w:rPr>
          <w:rFonts w:hint="eastAsia" w:hAnsi="黑体"/>
          <w:kern w:val="2"/>
          <w:sz w:val="32"/>
          <w:szCs w:val="32"/>
        </w:rPr>
        <w:t>通用项目和专用项目均按要求实行绩效目标管理，涉及一般公共预算当年拨款</w:t>
      </w:r>
      <w:r>
        <w:rPr>
          <w:rFonts w:hint="eastAsia" w:hAnsi="黑体"/>
          <w:kern w:val="2"/>
          <w:sz w:val="32"/>
          <w:szCs w:val="32"/>
          <w:lang w:val="en-US" w:eastAsia="zh-CN"/>
        </w:rPr>
        <w:t>663.97</w:t>
      </w:r>
      <w:r>
        <w:rPr>
          <w:rFonts w:hint="eastAsia" w:hAnsi="黑体"/>
          <w:kern w:val="2"/>
          <w:sz w:val="32"/>
          <w:szCs w:val="32"/>
        </w:rPr>
        <w:t>万元。</w:t>
      </w:r>
    </w:p>
    <w:p w14:paraId="0B47BBCC">
      <w:pPr>
        <w:pStyle w:val="15"/>
        <w:keepNext w:val="0"/>
        <w:keepLines w:val="0"/>
        <w:pageBreakBefore w:val="0"/>
        <w:kinsoku/>
        <w:wordWrap/>
        <w:overflowPunct/>
        <w:topLinePunct w:val="0"/>
        <w:autoSpaceDE/>
        <w:autoSpaceDN/>
        <w:bidi w:val="0"/>
        <w:spacing w:before="0" w:line="560" w:lineRule="exact"/>
        <w:ind w:firstLine="640" w:firstLineChars="200"/>
        <w:textAlignment w:val="auto"/>
        <w:rPr>
          <w:rFonts w:ascii="??" w:hAnsi="??" w:eastAsia="宋体" w:cs="Times New Roman"/>
          <w:sz w:val="16"/>
          <w:szCs w:val="16"/>
        </w:rPr>
      </w:pPr>
      <w:r>
        <w:rPr>
          <w:rFonts w:hint="eastAsia" w:ascii="黑体" w:hAnsi="黑体" w:eastAsia="黑体" w:cs="黑体"/>
          <w:kern w:val="2"/>
          <w:sz w:val="32"/>
          <w:szCs w:val="32"/>
        </w:rPr>
        <w:t>十、名词解释</w:t>
      </w:r>
    </w:p>
    <w:p w14:paraId="571B3EE9">
      <w:pPr>
        <w:pStyle w:val="15"/>
        <w:keepNext w:val="0"/>
        <w:keepLines w:val="0"/>
        <w:pageBreakBefore w:val="0"/>
        <w:kinsoku/>
        <w:wordWrap/>
        <w:overflowPunct/>
        <w:topLinePunct w:val="0"/>
        <w:autoSpaceDE/>
        <w:autoSpaceDN/>
        <w:bidi w:val="0"/>
        <w:spacing w:before="0" w:line="560" w:lineRule="exact"/>
        <w:ind w:firstLine="643" w:firstLineChars="200"/>
        <w:textAlignment w:val="auto"/>
        <w:rPr>
          <w:rFonts w:hAnsi="黑体"/>
          <w:kern w:val="2"/>
          <w:sz w:val="32"/>
          <w:szCs w:val="32"/>
        </w:rPr>
      </w:pPr>
      <w:r>
        <w:rPr>
          <w:rFonts w:hint="eastAsia" w:hAnsi="黑体"/>
          <w:b/>
          <w:bCs/>
          <w:kern w:val="2"/>
          <w:sz w:val="32"/>
          <w:szCs w:val="32"/>
        </w:rPr>
        <w:t>（一）财政拨款收入：</w:t>
      </w:r>
      <w:r>
        <w:rPr>
          <w:rFonts w:hint="eastAsia" w:hAnsi="黑体"/>
          <w:kern w:val="2"/>
          <w:sz w:val="32"/>
          <w:szCs w:val="32"/>
        </w:rPr>
        <w:t>指由财政拨款形成的部门收入。按现行管理制度，部门预算中反映的财政拨款仅包括一般公共预算拨款和政府性基金预算拨款。</w:t>
      </w:r>
    </w:p>
    <w:p w14:paraId="13FFB311">
      <w:pPr>
        <w:pStyle w:val="15"/>
        <w:keepNext w:val="0"/>
        <w:keepLines w:val="0"/>
        <w:pageBreakBefore w:val="0"/>
        <w:kinsoku/>
        <w:wordWrap/>
        <w:overflowPunct/>
        <w:topLinePunct w:val="0"/>
        <w:autoSpaceDE/>
        <w:autoSpaceDN/>
        <w:bidi w:val="0"/>
        <w:spacing w:before="0" w:line="560" w:lineRule="exact"/>
        <w:ind w:firstLine="643" w:firstLineChars="200"/>
        <w:textAlignment w:val="auto"/>
        <w:rPr>
          <w:rFonts w:hAnsi="黑体"/>
          <w:kern w:val="2"/>
          <w:sz w:val="32"/>
          <w:szCs w:val="32"/>
        </w:rPr>
      </w:pPr>
      <w:r>
        <w:rPr>
          <w:rFonts w:hint="eastAsia" w:hAnsi="黑体"/>
          <w:b/>
          <w:bCs/>
          <w:kern w:val="2"/>
          <w:sz w:val="32"/>
          <w:szCs w:val="32"/>
        </w:rPr>
        <w:t>（二）事业收入：</w:t>
      </w:r>
      <w:r>
        <w:rPr>
          <w:rFonts w:hint="eastAsia" w:hAnsi="黑体"/>
          <w:kern w:val="2"/>
          <w:sz w:val="32"/>
          <w:szCs w:val="32"/>
        </w:rPr>
        <w:t>指所属事业单位开展专业业务活动及辅助活动所取得的收入。</w:t>
      </w:r>
    </w:p>
    <w:p w14:paraId="18BBDFD8">
      <w:pPr>
        <w:pStyle w:val="15"/>
        <w:keepNext w:val="0"/>
        <w:keepLines w:val="0"/>
        <w:pageBreakBefore w:val="0"/>
        <w:kinsoku/>
        <w:wordWrap/>
        <w:overflowPunct/>
        <w:topLinePunct w:val="0"/>
        <w:autoSpaceDE/>
        <w:autoSpaceDN/>
        <w:bidi w:val="0"/>
        <w:spacing w:before="0" w:line="560" w:lineRule="exact"/>
        <w:ind w:firstLine="643" w:firstLineChars="200"/>
        <w:textAlignment w:val="auto"/>
        <w:rPr>
          <w:rFonts w:hAnsi="黑体"/>
          <w:kern w:val="2"/>
          <w:sz w:val="32"/>
          <w:szCs w:val="32"/>
        </w:rPr>
      </w:pPr>
      <w:r>
        <w:rPr>
          <w:rFonts w:hint="eastAsia" w:hAnsi="黑体"/>
          <w:b/>
          <w:bCs/>
          <w:kern w:val="2"/>
          <w:sz w:val="32"/>
          <w:szCs w:val="32"/>
        </w:rPr>
        <w:t>（三）事业单位经营收入：</w:t>
      </w:r>
      <w:r>
        <w:rPr>
          <w:rFonts w:hint="eastAsia" w:hAnsi="黑体"/>
          <w:kern w:val="2"/>
          <w:sz w:val="32"/>
          <w:szCs w:val="32"/>
        </w:rPr>
        <w:t>指所属事业单位在专业业务活动及其辅助活动之外开展非独立核算经营活动取得的收入。</w:t>
      </w:r>
    </w:p>
    <w:p w14:paraId="136D3F01">
      <w:pPr>
        <w:pStyle w:val="15"/>
        <w:keepNext w:val="0"/>
        <w:keepLines w:val="0"/>
        <w:pageBreakBefore w:val="0"/>
        <w:kinsoku/>
        <w:wordWrap/>
        <w:overflowPunct/>
        <w:topLinePunct w:val="0"/>
        <w:autoSpaceDE/>
        <w:autoSpaceDN/>
        <w:bidi w:val="0"/>
        <w:spacing w:before="0" w:line="560" w:lineRule="exact"/>
        <w:ind w:firstLine="643" w:firstLineChars="200"/>
        <w:textAlignment w:val="auto"/>
        <w:rPr>
          <w:rFonts w:hAnsi="黑体"/>
          <w:kern w:val="2"/>
          <w:sz w:val="32"/>
          <w:szCs w:val="32"/>
        </w:rPr>
      </w:pPr>
      <w:r>
        <w:rPr>
          <w:rFonts w:hint="eastAsia" w:hAnsi="黑体"/>
          <w:b/>
          <w:bCs/>
          <w:kern w:val="2"/>
          <w:sz w:val="32"/>
          <w:szCs w:val="32"/>
        </w:rPr>
        <w:t>（四）其他收入：</w:t>
      </w:r>
      <w:r>
        <w:rPr>
          <w:rFonts w:hint="eastAsia" w:hAnsi="黑体"/>
          <w:kern w:val="2"/>
          <w:sz w:val="32"/>
          <w:szCs w:val="32"/>
        </w:rPr>
        <w:t>指除上述</w:t>
      </w:r>
      <w:r>
        <w:rPr>
          <w:rFonts w:hAnsi="黑体" w:cs="Times New Roman"/>
          <w:kern w:val="2"/>
          <w:sz w:val="32"/>
          <w:szCs w:val="32"/>
        </w:rPr>
        <w:t>“</w:t>
      </w:r>
      <w:r>
        <w:rPr>
          <w:rFonts w:hint="eastAsia" w:hAnsi="黑体"/>
          <w:kern w:val="2"/>
          <w:sz w:val="32"/>
          <w:szCs w:val="32"/>
        </w:rPr>
        <w:t>财政拨款收入</w:t>
      </w:r>
      <w:r>
        <w:rPr>
          <w:rFonts w:hAnsi="黑体" w:cs="Times New Roman"/>
          <w:kern w:val="2"/>
          <w:sz w:val="32"/>
          <w:szCs w:val="32"/>
        </w:rPr>
        <w:t>”</w:t>
      </w:r>
      <w:r>
        <w:rPr>
          <w:rFonts w:hint="eastAsia" w:hAnsi="黑体"/>
          <w:kern w:val="2"/>
          <w:sz w:val="32"/>
          <w:szCs w:val="32"/>
        </w:rPr>
        <w:t>、</w:t>
      </w:r>
      <w:r>
        <w:rPr>
          <w:rFonts w:hAnsi="黑体" w:cs="Times New Roman"/>
          <w:kern w:val="2"/>
          <w:sz w:val="32"/>
          <w:szCs w:val="32"/>
        </w:rPr>
        <w:t>“</w:t>
      </w:r>
      <w:r>
        <w:rPr>
          <w:rFonts w:hint="eastAsia" w:hAnsi="黑体"/>
          <w:kern w:val="2"/>
          <w:sz w:val="32"/>
          <w:szCs w:val="32"/>
        </w:rPr>
        <w:t>事业收入</w:t>
      </w:r>
      <w:r>
        <w:rPr>
          <w:rFonts w:hAnsi="黑体" w:cs="Times New Roman"/>
          <w:kern w:val="2"/>
          <w:sz w:val="32"/>
          <w:szCs w:val="32"/>
        </w:rPr>
        <w:t>”</w:t>
      </w:r>
      <w:r>
        <w:rPr>
          <w:rFonts w:hint="eastAsia" w:hAnsi="黑体"/>
          <w:kern w:val="2"/>
          <w:sz w:val="32"/>
          <w:szCs w:val="32"/>
        </w:rPr>
        <w:t>、</w:t>
      </w:r>
      <w:r>
        <w:rPr>
          <w:rFonts w:hAnsi="黑体" w:cs="Times New Roman"/>
          <w:kern w:val="2"/>
          <w:sz w:val="32"/>
          <w:szCs w:val="32"/>
        </w:rPr>
        <w:t>“</w:t>
      </w:r>
      <w:r>
        <w:rPr>
          <w:rFonts w:hint="eastAsia" w:hAnsi="黑体"/>
          <w:kern w:val="2"/>
          <w:sz w:val="32"/>
          <w:szCs w:val="32"/>
        </w:rPr>
        <w:t>事业单位经营收入</w:t>
      </w:r>
      <w:r>
        <w:rPr>
          <w:rFonts w:hAnsi="黑体" w:cs="Times New Roman"/>
          <w:kern w:val="2"/>
          <w:sz w:val="32"/>
          <w:szCs w:val="32"/>
        </w:rPr>
        <w:t>”</w:t>
      </w:r>
      <w:r>
        <w:rPr>
          <w:rFonts w:hint="eastAsia" w:hAnsi="黑体"/>
          <w:kern w:val="2"/>
          <w:sz w:val="32"/>
          <w:szCs w:val="32"/>
        </w:rPr>
        <w:t>等以外的收入，主要是所属行政事业单位按规定动用的售房收入、存款利息收入等。</w:t>
      </w:r>
    </w:p>
    <w:p w14:paraId="70B94847">
      <w:pPr>
        <w:pStyle w:val="15"/>
        <w:keepNext w:val="0"/>
        <w:keepLines w:val="0"/>
        <w:pageBreakBefore w:val="0"/>
        <w:kinsoku/>
        <w:wordWrap/>
        <w:overflowPunct/>
        <w:topLinePunct w:val="0"/>
        <w:autoSpaceDE/>
        <w:autoSpaceDN/>
        <w:bidi w:val="0"/>
        <w:spacing w:before="0" w:line="560" w:lineRule="exact"/>
        <w:ind w:firstLine="643" w:firstLineChars="200"/>
        <w:textAlignment w:val="auto"/>
        <w:rPr>
          <w:rFonts w:hAnsi="黑体"/>
          <w:kern w:val="2"/>
          <w:sz w:val="32"/>
          <w:szCs w:val="32"/>
        </w:rPr>
      </w:pPr>
      <w:r>
        <w:rPr>
          <w:rFonts w:hint="eastAsia" w:hAnsi="黑体"/>
          <w:b/>
          <w:bCs/>
          <w:kern w:val="2"/>
          <w:sz w:val="32"/>
          <w:szCs w:val="32"/>
        </w:rPr>
        <w:t>（五）用事业基金弥补收支差额：</w:t>
      </w:r>
      <w:r>
        <w:rPr>
          <w:rFonts w:hint="eastAsia" w:hAnsi="黑体"/>
          <w:kern w:val="2"/>
          <w:sz w:val="32"/>
          <w:szCs w:val="32"/>
        </w:rPr>
        <w:t>指所属事业单位在预计用当年的</w:t>
      </w:r>
      <w:r>
        <w:rPr>
          <w:rFonts w:hAnsi="黑体" w:cs="Times New Roman"/>
          <w:kern w:val="2"/>
          <w:sz w:val="32"/>
          <w:szCs w:val="32"/>
        </w:rPr>
        <w:t>“</w:t>
      </w:r>
      <w:r>
        <w:rPr>
          <w:rFonts w:hint="eastAsia" w:hAnsi="黑体"/>
          <w:kern w:val="2"/>
          <w:sz w:val="32"/>
          <w:szCs w:val="32"/>
        </w:rPr>
        <w:t>财政拨款收入</w:t>
      </w:r>
      <w:r>
        <w:rPr>
          <w:rFonts w:hAnsi="黑体" w:cs="Times New Roman"/>
          <w:kern w:val="2"/>
          <w:sz w:val="32"/>
          <w:szCs w:val="32"/>
        </w:rPr>
        <w:t>”</w:t>
      </w:r>
      <w:r>
        <w:rPr>
          <w:rFonts w:hint="eastAsia" w:hAnsi="黑体"/>
          <w:kern w:val="2"/>
          <w:sz w:val="32"/>
          <w:szCs w:val="32"/>
        </w:rPr>
        <w:t>、</w:t>
      </w:r>
      <w:r>
        <w:rPr>
          <w:rFonts w:hAnsi="黑体" w:cs="Times New Roman"/>
          <w:kern w:val="2"/>
          <w:sz w:val="32"/>
          <w:szCs w:val="32"/>
        </w:rPr>
        <w:t>“</w:t>
      </w:r>
      <w:r>
        <w:rPr>
          <w:rFonts w:hint="eastAsia" w:hAnsi="黑体"/>
          <w:kern w:val="2"/>
          <w:sz w:val="32"/>
          <w:szCs w:val="32"/>
        </w:rPr>
        <w:t>事业收入</w:t>
      </w:r>
      <w:r>
        <w:rPr>
          <w:rFonts w:hAnsi="黑体" w:cs="Times New Roman"/>
          <w:kern w:val="2"/>
          <w:sz w:val="32"/>
          <w:szCs w:val="32"/>
        </w:rPr>
        <w:t>”</w:t>
      </w:r>
      <w:r>
        <w:rPr>
          <w:rFonts w:hint="eastAsia" w:hAnsi="黑体"/>
          <w:kern w:val="2"/>
          <w:sz w:val="32"/>
          <w:szCs w:val="32"/>
        </w:rPr>
        <w:t>、</w:t>
      </w:r>
      <w:r>
        <w:rPr>
          <w:rFonts w:hAnsi="黑体" w:cs="Times New Roman"/>
          <w:kern w:val="2"/>
          <w:sz w:val="32"/>
          <w:szCs w:val="32"/>
        </w:rPr>
        <w:t>“</w:t>
      </w:r>
      <w:r>
        <w:rPr>
          <w:rFonts w:hint="eastAsia" w:hAnsi="黑体"/>
          <w:kern w:val="2"/>
          <w:sz w:val="32"/>
          <w:szCs w:val="32"/>
        </w:rPr>
        <w:t>事业单位经营收入</w:t>
      </w:r>
      <w:r>
        <w:rPr>
          <w:rFonts w:hAnsi="黑体" w:cs="Times New Roman"/>
          <w:kern w:val="2"/>
          <w:sz w:val="32"/>
          <w:szCs w:val="32"/>
        </w:rPr>
        <w:t>”</w:t>
      </w:r>
      <w:r>
        <w:rPr>
          <w:rFonts w:hint="eastAsia" w:hAnsi="黑体"/>
          <w:kern w:val="2"/>
          <w:sz w:val="32"/>
          <w:szCs w:val="32"/>
        </w:rPr>
        <w:t>、</w:t>
      </w:r>
      <w:r>
        <w:rPr>
          <w:rFonts w:hAnsi="黑体" w:cs="Times New Roman"/>
          <w:kern w:val="2"/>
          <w:sz w:val="32"/>
          <w:szCs w:val="32"/>
        </w:rPr>
        <w:t>“</w:t>
      </w:r>
      <w:r>
        <w:rPr>
          <w:rFonts w:hint="eastAsia" w:hAnsi="黑体"/>
          <w:kern w:val="2"/>
          <w:sz w:val="32"/>
          <w:szCs w:val="32"/>
        </w:rPr>
        <w:t>其他收入</w:t>
      </w:r>
      <w:r>
        <w:rPr>
          <w:rFonts w:hAnsi="黑体" w:cs="Times New Roman"/>
          <w:kern w:val="2"/>
          <w:sz w:val="32"/>
          <w:szCs w:val="32"/>
        </w:rPr>
        <w:t>”</w:t>
      </w:r>
      <w:r>
        <w:rPr>
          <w:rFonts w:hint="eastAsia" w:hAnsi="黑体"/>
          <w:kern w:val="2"/>
          <w:sz w:val="32"/>
          <w:szCs w:val="32"/>
        </w:rPr>
        <w:t>不足以安排当年支出的情况下，使用以前年度积累的事业基金弥补本年度收支缺口的资金。</w:t>
      </w:r>
    </w:p>
    <w:p w14:paraId="79E1216E">
      <w:pPr>
        <w:pStyle w:val="15"/>
        <w:keepNext w:val="0"/>
        <w:keepLines w:val="0"/>
        <w:pageBreakBefore w:val="0"/>
        <w:kinsoku/>
        <w:wordWrap/>
        <w:overflowPunct/>
        <w:topLinePunct w:val="0"/>
        <w:autoSpaceDE/>
        <w:autoSpaceDN/>
        <w:bidi w:val="0"/>
        <w:spacing w:before="0" w:line="560" w:lineRule="exact"/>
        <w:ind w:firstLine="643" w:firstLineChars="200"/>
        <w:textAlignment w:val="auto"/>
        <w:rPr>
          <w:rFonts w:hAnsi="黑体" w:cs="Times New Roman"/>
          <w:kern w:val="2"/>
          <w:sz w:val="32"/>
          <w:szCs w:val="32"/>
        </w:rPr>
      </w:pPr>
      <w:r>
        <w:rPr>
          <w:rFonts w:hint="eastAsia" w:hAnsi="黑体"/>
          <w:b/>
          <w:bCs/>
          <w:kern w:val="2"/>
          <w:sz w:val="32"/>
          <w:szCs w:val="32"/>
        </w:rPr>
        <w:t>（六）上年结转：</w:t>
      </w:r>
      <w:r>
        <w:rPr>
          <w:rFonts w:hint="eastAsia" w:hAnsi="黑体"/>
          <w:kern w:val="2"/>
          <w:sz w:val="32"/>
          <w:szCs w:val="32"/>
        </w:rPr>
        <w:t>指所属行政事业单位以前年度尚未完成、结转至本年按原规定用途继续使用的资金和以前年度已完成项目剩余资金经批准用于新用途使用的资金。</w:t>
      </w:r>
    </w:p>
    <w:p w14:paraId="109C0916">
      <w:pPr>
        <w:keepNext w:val="0"/>
        <w:keepLines w:val="0"/>
        <w:pageBreakBefore w:val="0"/>
        <w:kinsoku/>
        <w:wordWrap/>
        <w:overflowPunct/>
        <w:topLinePunct w:val="0"/>
        <w:autoSpaceDE/>
        <w:autoSpaceDN/>
        <w:bidi w:val="0"/>
        <w:spacing w:line="560" w:lineRule="exact"/>
        <w:ind w:firstLine="640" w:firstLineChars="200"/>
        <w:textAlignment w:val="auto"/>
        <w:rPr>
          <w:rFonts w:ascii="仿宋_GB2312" w:hAnsi="黑体" w:eastAsia="仿宋_GB2312" w:cs="Times New Roman"/>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等线">
    <w:altName w:val="Noto Sans CJK SC"/>
    <w:panose1 w:val="02010600030101010101"/>
    <w:charset w:val="86"/>
    <w:family w:val="auto"/>
    <w:pitch w:val="default"/>
    <w:sig w:usb0="00000000" w:usb1="00000000" w:usb2="00000016" w:usb3="00000000" w:csb0="0004000F" w:csb1="00000000"/>
  </w:font>
  <w:font w:name="Noto Sans CJK SC">
    <w:panose1 w:val="020B0500000000000000"/>
    <w:charset w:val="86"/>
    <w:family w:val="auto"/>
    <w:pitch w:val="default"/>
    <w:sig w:usb0="30000003" w:usb1="2BDF3C10" w:usb2="00000016" w:usb3="00000000" w:csb0="602E0107"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
    <w:altName w:val="汉仪叶叶相思体简"/>
    <w:panose1 w:val="00000000000000000000"/>
    <w:charset w:val="00"/>
    <w:family w:val="roman"/>
    <w:pitch w:val="default"/>
    <w:sig w:usb0="00000000" w:usb1="00000000" w:usb2="00000000" w:usb3="00000000" w:csb0="00000001" w:csb1="00000000"/>
  </w:font>
  <w:font w:name="汉仪叶叶相思体简">
    <w:panose1 w:val="02010509060101010101"/>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F27FE7"/>
    <w:multiLevelType w:val="multilevel"/>
    <w:tmpl w:val="28F27FE7"/>
    <w:lvl w:ilvl="0" w:tentative="0">
      <w:start w:val="1"/>
      <w:numFmt w:val="japaneseCounting"/>
      <w:lvlText w:val="%1、"/>
      <w:lvlJc w:val="left"/>
      <w:pPr>
        <w:ind w:left="880" w:hanging="8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129B29A"/>
    <w:multiLevelType w:val="singleLevel"/>
    <w:tmpl w:val="4129B29A"/>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854"/>
    <w:rsid w:val="00013F89"/>
    <w:rsid w:val="00085137"/>
    <w:rsid w:val="00092049"/>
    <w:rsid w:val="00097A74"/>
    <w:rsid w:val="0010091B"/>
    <w:rsid w:val="00114D56"/>
    <w:rsid w:val="00255D9A"/>
    <w:rsid w:val="00260082"/>
    <w:rsid w:val="002D5F48"/>
    <w:rsid w:val="00317D47"/>
    <w:rsid w:val="00352854"/>
    <w:rsid w:val="0036094C"/>
    <w:rsid w:val="003762A5"/>
    <w:rsid w:val="003D7B56"/>
    <w:rsid w:val="00405039"/>
    <w:rsid w:val="00471829"/>
    <w:rsid w:val="0047755A"/>
    <w:rsid w:val="00484AEB"/>
    <w:rsid w:val="004A17D7"/>
    <w:rsid w:val="004F177A"/>
    <w:rsid w:val="004F55B1"/>
    <w:rsid w:val="0050530E"/>
    <w:rsid w:val="00523AD8"/>
    <w:rsid w:val="00527A2C"/>
    <w:rsid w:val="00541CE8"/>
    <w:rsid w:val="00556281"/>
    <w:rsid w:val="005E5C01"/>
    <w:rsid w:val="00621612"/>
    <w:rsid w:val="00643A51"/>
    <w:rsid w:val="00681CB7"/>
    <w:rsid w:val="006B5A90"/>
    <w:rsid w:val="00700A68"/>
    <w:rsid w:val="00746EF0"/>
    <w:rsid w:val="007B3677"/>
    <w:rsid w:val="007C7CD1"/>
    <w:rsid w:val="00804603"/>
    <w:rsid w:val="00825013"/>
    <w:rsid w:val="008A5FB8"/>
    <w:rsid w:val="008F63EB"/>
    <w:rsid w:val="00911620"/>
    <w:rsid w:val="0093727E"/>
    <w:rsid w:val="0095666B"/>
    <w:rsid w:val="00981A87"/>
    <w:rsid w:val="00987B5A"/>
    <w:rsid w:val="009A09E2"/>
    <w:rsid w:val="009A7871"/>
    <w:rsid w:val="009C5F76"/>
    <w:rsid w:val="009F17B5"/>
    <w:rsid w:val="00A55379"/>
    <w:rsid w:val="00B713B0"/>
    <w:rsid w:val="00BB1BBF"/>
    <w:rsid w:val="00BE644B"/>
    <w:rsid w:val="00C0348B"/>
    <w:rsid w:val="00C37478"/>
    <w:rsid w:val="00C451EA"/>
    <w:rsid w:val="00C8183B"/>
    <w:rsid w:val="00D44AFA"/>
    <w:rsid w:val="00E86257"/>
    <w:rsid w:val="00E91AC9"/>
    <w:rsid w:val="00EA7BD5"/>
    <w:rsid w:val="00EB283B"/>
    <w:rsid w:val="00EB6F15"/>
    <w:rsid w:val="00EF71D0"/>
    <w:rsid w:val="00F743F0"/>
    <w:rsid w:val="00F806C0"/>
    <w:rsid w:val="00F80C32"/>
    <w:rsid w:val="00F90685"/>
    <w:rsid w:val="00FF11B9"/>
    <w:rsid w:val="00FF4B91"/>
    <w:rsid w:val="041B5DF4"/>
    <w:rsid w:val="0E6C0E80"/>
    <w:rsid w:val="0EDF5040"/>
    <w:rsid w:val="112F5B47"/>
    <w:rsid w:val="209F6280"/>
    <w:rsid w:val="250003FC"/>
    <w:rsid w:val="257F0085"/>
    <w:rsid w:val="280D1C94"/>
    <w:rsid w:val="2C873457"/>
    <w:rsid w:val="35A95619"/>
    <w:rsid w:val="36F87933"/>
    <w:rsid w:val="3A755FCF"/>
    <w:rsid w:val="3BF96095"/>
    <w:rsid w:val="527745EA"/>
    <w:rsid w:val="561D378D"/>
    <w:rsid w:val="64D545B9"/>
    <w:rsid w:val="67D73A1B"/>
    <w:rsid w:val="6BF32B6E"/>
    <w:rsid w:val="6DB79ACA"/>
    <w:rsid w:val="6FBFD267"/>
    <w:rsid w:val="6FFF4F8B"/>
    <w:rsid w:val="71A77C57"/>
    <w:rsid w:val="74A6049C"/>
    <w:rsid w:val="7CC738D5"/>
    <w:rsid w:val="7E5A1D1B"/>
    <w:rsid w:val="A7D59F68"/>
    <w:rsid w:val="EF8F529D"/>
    <w:rsid w:val="FB8FB72C"/>
    <w:rsid w:val="FFFE6D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0" w:semiHidden="0" w:name="header"/>
    <w:lsdException w:qFormat="1" w:unhideWhenUsed="0" w:uiPriority="99" w:name="footer"/>
    <w:lsdException w:uiPriority="99" w:name="index heading"/>
    <w:lsdException w:qFormat="1" w:uiPriority="0" w:name="caption" w:locked="1"/>
    <w:lsdException w:qFormat="1" w:unhideWhenUsed="0"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qFormat="1" w:unhideWhenUsed="0" w:uiPriority="0" w:semiHidden="0"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99"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Salutation"/>
    <w:basedOn w:val="1"/>
    <w:next w:val="1"/>
    <w:qFormat/>
    <w:uiPriority w:val="0"/>
  </w:style>
  <w:style w:type="paragraph" w:styleId="3">
    <w:name w:val="Body Text Indent"/>
    <w:basedOn w:val="1"/>
    <w:link w:val="19"/>
    <w:semiHidden/>
    <w:unhideWhenUsed/>
    <w:qFormat/>
    <w:uiPriority w:val="99"/>
    <w:pPr>
      <w:spacing w:after="120"/>
      <w:ind w:left="420" w:leftChars="200"/>
    </w:pPr>
  </w:style>
  <w:style w:type="paragraph" w:styleId="4">
    <w:name w:val="footer"/>
    <w:basedOn w:val="1"/>
    <w:link w:val="14"/>
    <w:semiHidden/>
    <w:qFormat/>
    <w:uiPriority w:val="99"/>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table of figures"/>
    <w:basedOn w:val="1"/>
    <w:next w:val="1"/>
    <w:qFormat/>
    <w:uiPriority w:val="99"/>
    <w:pPr>
      <w:ind w:left="200" w:leftChars="200" w:hanging="200" w:hangingChars="200"/>
    </w:pPr>
  </w:style>
  <w:style w:type="paragraph" w:styleId="7">
    <w:name w:val="Normal (Web)"/>
    <w:basedOn w:val="1"/>
    <w:qFormat/>
    <w:uiPriority w:val="99"/>
    <w:pPr>
      <w:spacing w:beforeAutospacing="1" w:afterAutospacing="1"/>
      <w:jc w:val="left"/>
    </w:pPr>
    <w:rPr>
      <w:rFonts w:cs="Times New Roman" w:asciiTheme="minorHAnsi" w:hAnsiTheme="minorHAnsi" w:eastAsiaTheme="minorEastAsia"/>
      <w:kern w:val="0"/>
      <w:sz w:val="24"/>
      <w:szCs w:val="24"/>
    </w:rPr>
  </w:style>
  <w:style w:type="paragraph" w:styleId="8">
    <w:name w:val="Body Text First Indent 2"/>
    <w:basedOn w:val="3"/>
    <w:link w:val="20"/>
    <w:qFormat/>
    <w:uiPriority w:val="0"/>
    <w:pPr>
      <w:tabs>
        <w:tab w:val="left" w:pos="960"/>
      </w:tabs>
      <w:spacing w:after="0" w:line="540" w:lineRule="exact"/>
      <w:ind w:left="0" w:leftChars="0" w:firstLine="420" w:firstLineChars="200"/>
    </w:pPr>
    <w:rPr>
      <w:rFonts w:ascii="Times New Roman" w:hAnsi="Times New Roman" w:cs="Times New Roman"/>
      <w:sz w:val="32"/>
      <w:szCs w:val="32"/>
    </w:rPr>
  </w:style>
  <w:style w:type="character" w:styleId="11">
    <w:name w:val="Strong"/>
    <w:basedOn w:val="10"/>
    <w:qFormat/>
    <w:locked/>
    <w:uiPriority w:val="0"/>
    <w:rPr>
      <w:b/>
    </w:rPr>
  </w:style>
  <w:style w:type="character" w:styleId="12">
    <w:name w:val="Emphasis"/>
    <w:basedOn w:val="10"/>
    <w:qFormat/>
    <w:uiPriority w:val="99"/>
  </w:style>
  <w:style w:type="character" w:customStyle="1" w:styleId="13">
    <w:name w:val="页眉 字符"/>
    <w:basedOn w:val="10"/>
    <w:link w:val="5"/>
    <w:qFormat/>
    <w:locked/>
    <w:uiPriority w:val="0"/>
    <w:rPr>
      <w:sz w:val="18"/>
      <w:szCs w:val="18"/>
    </w:rPr>
  </w:style>
  <w:style w:type="character" w:customStyle="1" w:styleId="14">
    <w:name w:val="页脚 字符"/>
    <w:basedOn w:val="10"/>
    <w:link w:val="4"/>
    <w:semiHidden/>
    <w:qFormat/>
    <w:locked/>
    <w:uiPriority w:val="99"/>
    <w:rPr>
      <w:sz w:val="18"/>
      <w:szCs w:val="18"/>
    </w:rPr>
  </w:style>
  <w:style w:type="paragraph" w:customStyle="1" w:styleId="15">
    <w:name w:val="正文文本1"/>
    <w:basedOn w:val="1"/>
    <w:qFormat/>
    <w:uiPriority w:val="99"/>
    <w:pPr>
      <w:spacing w:before="93"/>
    </w:pPr>
    <w:rPr>
      <w:rFonts w:ascii="仿宋_GB2312" w:hAnsi="仿宋_GB2312" w:eastAsia="仿宋_GB2312" w:cs="仿宋_GB2312"/>
      <w:kern w:val="0"/>
      <w:sz w:val="30"/>
      <w:szCs w:val="30"/>
    </w:rPr>
  </w:style>
  <w:style w:type="character" w:customStyle="1" w:styleId="16">
    <w:name w:val="默认段落字体1"/>
    <w:qFormat/>
    <w:uiPriority w:val="99"/>
    <w:rPr>
      <w:sz w:val="22"/>
      <w:szCs w:val="22"/>
    </w:rPr>
  </w:style>
  <w:style w:type="paragraph" w:customStyle="1" w:styleId="17">
    <w:name w:val="列出段落1"/>
    <w:basedOn w:val="1"/>
    <w:qFormat/>
    <w:uiPriority w:val="99"/>
    <w:pPr>
      <w:ind w:firstLine="420" w:firstLineChars="200"/>
    </w:pPr>
  </w:style>
  <w:style w:type="paragraph" w:styleId="18">
    <w:name w:val="List Paragraph"/>
    <w:basedOn w:val="1"/>
    <w:qFormat/>
    <w:uiPriority w:val="34"/>
    <w:pPr>
      <w:ind w:firstLine="420" w:firstLineChars="200"/>
    </w:pPr>
  </w:style>
  <w:style w:type="character" w:customStyle="1" w:styleId="19">
    <w:name w:val="正文文本缩进 字符"/>
    <w:basedOn w:val="10"/>
    <w:link w:val="3"/>
    <w:semiHidden/>
    <w:qFormat/>
    <w:uiPriority w:val="99"/>
    <w:rPr>
      <w:rFonts w:cs="Calibri"/>
      <w:kern w:val="2"/>
      <w:sz w:val="21"/>
      <w:szCs w:val="21"/>
    </w:rPr>
  </w:style>
  <w:style w:type="character" w:customStyle="1" w:styleId="20">
    <w:name w:val="正文首行缩进 2 字符"/>
    <w:basedOn w:val="19"/>
    <w:link w:val="8"/>
    <w:qFormat/>
    <w:uiPriority w:val="0"/>
    <w:rPr>
      <w:rFonts w:ascii="Times New Roman" w:hAnsi="Times New Roman" w:cs="Calibri"/>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10</Pages>
  <Words>588</Words>
  <Characters>3353</Characters>
  <Lines>27</Lines>
  <Paragraphs>7</Paragraphs>
  <TotalTime>13</TotalTime>
  <ScaleCrop>false</ScaleCrop>
  <LinksUpToDate>false</LinksUpToDate>
  <CharactersWithSpaces>3934</CharactersWithSpaces>
  <Application>WPS Office_12.1.2.24720_F1E327BC-269C-435d-A152-05C5408002CA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2021-04-16T22:08:00Z</dcterms:created>
  <dc:creator>薛永萍</dc:creator>
  <cp:lastModifiedBy>huswei</cp:lastModifiedBy>
  <cp:lastPrinted>2021-04-21T14:57:00Z</cp:lastPrinted>
  <dcterms:modified xsi:type="dcterms:W3CDTF">2026-09-21T06:11:26Z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2052-12.1.2.24720</vt:lpwstr>
  </property>
  <property fmtid="{D5CDD505-2E9C-101B-9397-08002B2CF9AE}" pid="3" name="ICV">
    <vt:lpwstr>369A3A96C5E04A6088F0DE00644D9806</vt:lpwstr>
  </property>
</Properties>
</file>