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jc w:val="center"/>
        <w:rPr>
          <w:rFonts w:hint="eastAsia" w:ascii="黑体" w:hAnsi="黑体" w:eastAsia="黑体"/>
          <w:sz w:val="72"/>
          <w:szCs w:val="72"/>
        </w:rPr>
      </w:pPr>
      <w:bookmarkStart w:id="1" w:name="_Toc15396597"/>
      <w:bookmarkStart w:id="2" w:name="_Toc15377425"/>
      <w:bookmarkStart w:id="3" w:name="_Toc15378441"/>
      <w:bookmarkStart w:id="4" w:name="_Toc15396475"/>
      <w:bookmarkStart w:id="5" w:name="_Toc15377193"/>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bookmarkStart w:id="6" w:name="_Toc15378442"/>
      <w:bookmarkStart w:id="7" w:name="_Toc15396598"/>
      <w:bookmarkStart w:id="8" w:name="_Toc15377426"/>
      <w:bookmarkStart w:id="9" w:name="_Toc15377194"/>
      <w:bookmarkStart w:id="10" w:name="_Toc15396476"/>
    </w:p>
    <w:p>
      <w:pPr>
        <w:jc w:val="center"/>
        <w:rPr>
          <w:rFonts w:ascii="方正小标宋简体" w:eastAsia="方正小标宋简体"/>
          <w:sz w:val="72"/>
          <w:szCs w:val="72"/>
        </w:rPr>
      </w:pPr>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rPr>
        <w:t>财政局决算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bookmarkStart w:id="238" w:name="_GoBack"/>
      <w:bookmarkEnd w:id="238"/>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公开时间：2022年10月22日</w:t>
      </w:r>
    </w:p>
    <w:p>
      <w:pPr>
        <w:spacing w:before="0" w:beforeLines="0" w:after="0" w:afterLines="0" w:line="240" w:lineRule="auto"/>
        <w:ind w:left="0" w:leftChars="0" w:right="0" w:rightChars="0" w:firstLine="0" w:firstLineChars="0"/>
        <w:jc w:val="center"/>
      </w:pPr>
      <w:r>
        <w:rPr>
          <w:b w:val="0"/>
          <w:bCs w:val="0"/>
          <w:caps w:val="0"/>
        </w:rPr>
        <w:fldChar w:fldCharType="begin"/>
      </w:r>
      <w:r>
        <w:rPr>
          <w:b w:val="0"/>
          <w:bCs w:val="0"/>
          <w:caps w:val="0"/>
        </w:rPr>
        <w:instrText xml:space="preserve"> TOC \o \u </w:instrText>
      </w:r>
      <w:r>
        <w:rPr>
          <w:b w:val="0"/>
          <w:bCs w:val="0"/>
          <w:caps w:val="0"/>
        </w:rPr>
        <w:fldChar w:fldCharType="separate"/>
      </w:r>
    </w:p>
    <w:sdt>
      <w:sdtPr>
        <w:rPr>
          <w:rFonts w:ascii="宋体" w:hAnsi="宋体" w:eastAsia="宋体" w:cs="Times New Roman"/>
          <w:kern w:val="2"/>
          <w:sz w:val="21"/>
          <w:szCs w:val="24"/>
          <w:lang w:val="en-US" w:eastAsia="zh-CN" w:bidi="ar-SA"/>
        </w:rPr>
        <w:id w:val="147455665"/>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pStyle w:val="15"/>
            <w:tabs>
              <w:tab w:val="right" w:leader="dot" w:pos="8296"/>
            </w:tabs>
            <w:outlineLvl w:val="9"/>
          </w:pPr>
        </w:p>
        <w:p>
          <w:pPr>
            <w:pStyle w:val="41"/>
            <w:tabs>
              <w:tab w:val="right" w:leader="dot" w:pos="8306"/>
            </w:tabs>
          </w:pPr>
          <w:r>
            <w:fldChar w:fldCharType="begin"/>
          </w:r>
          <w:r>
            <w:instrText xml:space="preserve">TOC \o "1-3" \h \u </w:instrText>
          </w:r>
          <w:r>
            <w:fldChar w:fldCharType="separate"/>
          </w:r>
          <w:r>
            <w:fldChar w:fldCharType="begin"/>
          </w:r>
          <w:r>
            <w:instrText xml:space="preserve"> HYPERLINK \l _Toc19617 </w:instrText>
          </w:r>
          <w: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_Toc19617 \h </w:instrText>
          </w:r>
          <w:r>
            <w:fldChar w:fldCharType="separate"/>
          </w:r>
          <w:r>
            <w:t>4</w:t>
          </w:r>
          <w:r>
            <w:fldChar w:fldCharType="end"/>
          </w:r>
          <w:r>
            <w:fldChar w:fldCharType="end"/>
          </w:r>
        </w:p>
        <w:p>
          <w:pPr>
            <w:pStyle w:val="42"/>
            <w:tabs>
              <w:tab w:val="right" w:leader="dot" w:pos="8306"/>
            </w:tabs>
          </w:pPr>
          <w:r>
            <w:fldChar w:fldCharType="begin"/>
          </w:r>
          <w:r>
            <w:instrText xml:space="preserve"> HYPERLINK \l _Toc11115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_Toc11115 \h </w:instrText>
          </w:r>
          <w:r>
            <w:fldChar w:fldCharType="separate"/>
          </w:r>
          <w:r>
            <w:t>4</w:t>
          </w:r>
          <w:r>
            <w:fldChar w:fldCharType="end"/>
          </w:r>
          <w:r>
            <w:fldChar w:fldCharType="end"/>
          </w:r>
        </w:p>
        <w:p>
          <w:pPr>
            <w:pStyle w:val="43"/>
            <w:tabs>
              <w:tab w:val="right" w:leader="dot" w:pos="8306"/>
            </w:tabs>
          </w:pPr>
          <w:r>
            <w:fldChar w:fldCharType="begin"/>
          </w:r>
          <w:r>
            <w:instrText xml:space="preserve"> HYPERLINK \l _Toc4985 </w:instrText>
          </w:r>
          <w:r>
            <w:fldChar w:fldCharType="separate"/>
          </w:r>
          <w:r>
            <w:rPr>
              <w:rFonts w:hint="eastAsia" w:ascii="仿宋" w:hAnsi="仿宋" w:eastAsia="仿宋"/>
              <w:bCs/>
              <w:szCs w:val="32"/>
            </w:rPr>
            <w:t>（一）主要职能。</w:t>
          </w:r>
          <w:r>
            <w:tab/>
          </w:r>
          <w:r>
            <w:fldChar w:fldCharType="begin"/>
          </w:r>
          <w:r>
            <w:instrText xml:space="preserve"> PAGEREF _Toc4985 \h </w:instrText>
          </w:r>
          <w:r>
            <w:fldChar w:fldCharType="separate"/>
          </w:r>
          <w:r>
            <w:t>4</w:t>
          </w:r>
          <w:r>
            <w:fldChar w:fldCharType="end"/>
          </w:r>
          <w:r>
            <w:fldChar w:fldCharType="end"/>
          </w:r>
        </w:p>
        <w:p>
          <w:pPr>
            <w:pStyle w:val="43"/>
            <w:tabs>
              <w:tab w:val="right" w:leader="dot" w:pos="8306"/>
            </w:tabs>
          </w:pPr>
          <w:r>
            <w:fldChar w:fldCharType="begin"/>
          </w:r>
          <w:r>
            <w:instrText xml:space="preserve"> HYPERLINK \l _Toc3514 </w:instrText>
          </w:r>
          <w:r>
            <w:fldChar w:fldCharType="separate"/>
          </w:r>
          <w:r>
            <w:rPr>
              <w:rFonts w:hint="eastAsia" w:ascii="仿宋" w:hAnsi="仿宋" w:eastAsia="仿宋"/>
              <w:bCs/>
              <w:szCs w:val="32"/>
            </w:rPr>
            <w:t>（二）</w:t>
          </w:r>
          <w:r>
            <w:rPr>
              <w:rFonts w:ascii="仿宋" w:hAnsi="仿宋" w:eastAsia="仿宋"/>
              <w:bCs/>
              <w:szCs w:val="32"/>
            </w:rPr>
            <w:t>202</w:t>
          </w:r>
          <w:r>
            <w:rPr>
              <w:rFonts w:hint="eastAsia" w:ascii="仿宋" w:hAnsi="仿宋" w:eastAsia="仿宋"/>
              <w:bCs/>
              <w:szCs w:val="32"/>
            </w:rPr>
            <w:t>1年重点工作完成情况。</w:t>
          </w:r>
          <w:r>
            <w:tab/>
          </w:r>
          <w:r>
            <w:fldChar w:fldCharType="begin"/>
          </w:r>
          <w:r>
            <w:instrText xml:space="preserve"> PAGEREF _Toc3514 \h </w:instrText>
          </w:r>
          <w:r>
            <w:fldChar w:fldCharType="separate"/>
          </w:r>
          <w:r>
            <w:t>5</w:t>
          </w:r>
          <w:r>
            <w:fldChar w:fldCharType="end"/>
          </w:r>
          <w:r>
            <w:fldChar w:fldCharType="end"/>
          </w:r>
        </w:p>
        <w:p>
          <w:pPr>
            <w:pStyle w:val="42"/>
            <w:tabs>
              <w:tab w:val="right" w:leader="dot" w:pos="8306"/>
            </w:tabs>
          </w:pPr>
          <w:r>
            <w:fldChar w:fldCharType="begin"/>
          </w:r>
          <w:r>
            <w:instrText xml:space="preserve"> HYPERLINK \l _Toc2214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_Toc2214 \h </w:instrText>
          </w:r>
          <w:r>
            <w:fldChar w:fldCharType="separate"/>
          </w:r>
          <w:r>
            <w:t>8</w:t>
          </w:r>
          <w:r>
            <w:fldChar w:fldCharType="end"/>
          </w:r>
          <w:r>
            <w:fldChar w:fldCharType="end"/>
          </w:r>
        </w:p>
        <w:p>
          <w:pPr>
            <w:pStyle w:val="43"/>
            <w:tabs>
              <w:tab w:val="right" w:leader="dot" w:pos="8306"/>
            </w:tabs>
          </w:pPr>
          <w:r>
            <w:fldChar w:fldCharType="begin"/>
          </w:r>
          <w:r>
            <w:instrText xml:space="preserve"> HYPERLINK \l _Toc6154 </w:instrText>
          </w:r>
          <w:r>
            <w:fldChar w:fldCharType="separate"/>
          </w:r>
          <w:r>
            <w:rPr>
              <w:rFonts w:hint="default" w:ascii="仿宋" w:hAnsi="仿宋" w:eastAsia="仿宋" w:cs="Times New Roman"/>
              <w:szCs w:val="32"/>
            </w:rPr>
            <w:t xml:space="preserve">1. </w:t>
          </w:r>
          <w:r>
            <w:rPr>
              <w:rFonts w:hint="eastAsia" w:ascii="仿宋" w:hAnsi="仿宋" w:eastAsia="仿宋"/>
              <w:szCs w:val="32"/>
            </w:rPr>
            <w:t>四川省阿坝州壤塘县财政局机关</w:t>
          </w:r>
          <w:r>
            <w:tab/>
          </w:r>
          <w:r>
            <w:fldChar w:fldCharType="begin"/>
          </w:r>
          <w:r>
            <w:instrText xml:space="preserve"> PAGEREF _Toc6154 \h </w:instrText>
          </w:r>
          <w:r>
            <w:fldChar w:fldCharType="separate"/>
          </w:r>
          <w:r>
            <w:t>9</w:t>
          </w:r>
          <w:r>
            <w:fldChar w:fldCharType="end"/>
          </w:r>
          <w:r>
            <w:fldChar w:fldCharType="end"/>
          </w:r>
        </w:p>
        <w:p>
          <w:pPr>
            <w:pStyle w:val="41"/>
            <w:tabs>
              <w:tab w:val="right" w:leader="dot" w:pos="8306"/>
            </w:tabs>
          </w:pPr>
          <w:r>
            <w:fldChar w:fldCharType="begin"/>
          </w:r>
          <w:r>
            <w:instrText xml:space="preserve"> HYPERLINK \l _Toc29144 </w:instrText>
          </w:r>
          <w:r>
            <w:fldChar w:fldCharType="separate"/>
          </w:r>
          <w:r>
            <w:rPr>
              <w:rFonts w:hint="eastAsia" w:ascii="黑体" w:hAnsi="黑体" w:eastAsia="黑体"/>
            </w:rPr>
            <w:t>第二部分</w:t>
          </w:r>
          <w:r>
            <w:rPr>
              <w:rFonts w:ascii="黑体" w:hAnsi="黑体" w:eastAsia="黑体"/>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_Toc29144 \h </w:instrText>
          </w:r>
          <w:r>
            <w:fldChar w:fldCharType="separate"/>
          </w:r>
          <w:r>
            <w:t>10</w:t>
          </w:r>
          <w:r>
            <w:fldChar w:fldCharType="end"/>
          </w:r>
          <w:r>
            <w:fldChar w:fldCharType="end"/>
          </w:r>
        </w:p>
        <w:p>
          <w:pPr>
            <w:pStyle w:val="42"/>
            <w:tabs>
              <w:tab w:val="right" w:leader="dot" w:pos="8306"/>
            </w:tabs>
          </w:pPr>
          <w:r>
            <w:fldChar w:fldCharType="begin"/>
          </w:r>
          <w:r>
            <w:instrText xml:space="preserve"> HYPERLINK \l _Toc29488 </w:instrText>
          </w:r>
          <w:r>
            <w:fldChar w:fldCharType="separate"/>
          </w:r>
          <w:r>
            <w:rPr>
              <w:rFonts w:hint="default" w:ascii="黑体" w:hAnsi="黑体" w:eastAsia="黑体" w:cs="Times New Roman"/>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_Toc29488 \h </w:instrText>
          </w:r>
          <w:r>
            <w:fldChar w:fldCharType="separate"/>
          </w:r>
          <w:r>
            <w:t>10</w:t>
          </w:r>
          <w:r>
            <w:fldChar w:fldCharType="end"/>
          </w:r>
          <w:r>
            <w:fldChar w:fldCharType="end"/>
          </w:r>
        </w:p>
        <w:p>
          <w:pPr>
            <w:pStyle w:val="42"/>
            <w:tabs>
              <w:tab w:val="right" w:leader="dot" w:pos="8306"/>
            </w:tabs>
          </w:pPr>
          <w:r>
            <w:fldChar w:fldCharType="begin"/>
          </w:r>
          <w:r>
            <w:instrText xml:space="preserve"> HYPERLINK \l _Toc3792 </w:instrText>
          </w:r>
          <w:r>
            <w:fldChar w:fldCharType="separate"/>
          </w:r>
          <w:r>
            <w:rPr>
              <w:rFonts w:hint="default" w:ascii="黑体" w:hAnsi="黑体" w:eastAsia="黑体" w:cs="Times New Roman"/>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_Toc3792 \h </w:instrText>
          </w:r>
          <w:r>
            <w:fldChar w:fldCharType="separate"/>
          </w:r>
          <w:r>
            <w:t>11</w:t>
          </w:r>
          <w:r>
            <w:fldChar w:fldCharType="end"/>
          </w:r>
          <w:r>
            <w:fldChar w:fldCharType="end"/>
          </w:r>
        </w:p>
        <w:p>
          <w:pPr>
            <w:pStyle w:val="42"/>
            <w:tabs>
              <w:tab w:val="right" w:leader="dot" w:pos="8306"/>
            </w:tabs>
          </w:pPr>
          <w:r>
            <w:fldChar w:fldCharType="begin"/>
          </w:r>
          <w:r>
            <w:instrText xml:space="preserve"> HYPERLINK \l _Toc14628 </w:instrText>
          </w:r>
          <w:r>
            <w:fldChar w:fldCharType="separate"/>
          </w:r>
          <w:r>
            <w:rPr>
              <w:rFonts w:hint="default" w:ascii="黑体" w:hAnsi="黑体" w:eastAsia="黑体" w:cs="Times New Roman"/>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_Toc14628 \h </w:instrText>
          </w:r>
          <w:r>
            <w:fldChar w:fldCharType="separate"/>
          </w:r>
          <w:r>
            <w:t>12</w:t>
          </w:r>
          <w:r>
            <w:fldChar w:fldCharType="end"/>
          </w:r>
          <w:r>
            <w:fldChar w:fldCharType="end"/>
          </w:r>
        </w:p>
        <w:p>
          <w:pPr>
            <w:pStyle w:val="42"/>
            <w:tabs>
              <w:tab w:val="right" w:leader="dot" w:pos="8306"/>
            </w:tabs>
          </w:pPr>
          <w:r>
            <w:fldChar w:fldCharType="begin"/>
          </w:r>
          <w:r>
            <w:instrText xml:space="preserve"> HYPERLINK \l _Toc28157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_Toc28157 \h </w:instrText>
          </w:r>
          <w:r>
            <w:fldChar w:fldCharType="separate"/>
          </w:r>
          <w:r>
            <w:t>12</w:t>
          </w:r>
          <w:r>
            <w:fldChar w:fldCharType="end"/>
          </w:r>
          <w:r>
            <w:fldChar w:fldCharType="end"/>
          </w:r>
        </w:p>
        <w:p>
          <w:pPr>
            <w:pStyle w:val="42"/>
            <w:tabs>
              <w:tab w:val="right" w:leader="dot" w:pos="8306"/>
            </w:tabs>
          </w:pPr>
          <w:r>
            <w:fldChar w:fldCharType="begin"/>
          </w:r>
          <w:r>
            <w:instrText xml:space="preserve"> HYPERLINK \l _Toc29096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_Toc29096 \h </w:instrText>
          </w:r>
          <w:r>
            <w:fldChar w:fldCharType="separate"/>
          </w:r>
          <w:r>
            <w:t>13</w:t>
          </w:r>
          <w:r>
            <w:fldChar w:fldCharType="end"/>
          </w:r>
          <w:r>
            <w:fldChar w:fldCharType="end"/>
          </w:r>
        </w:p>
        <w:p>
          <w:pPr>
            <w:pStyle w:val="43"/>
            <w:tabs>
              <w:tab w:val="right" w:leader="dot" w:pos="8306"/>
            </w:tabs>
          </w:pPr>
          <w:r>
            <w:fldChar w:fldCharType="begin"/>
          </w:r>
          <w:r>
            <w:instrText xml:space="preserve"> HYPERLINK \l _Toc1784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_Toc1784 \h </w:instrText>
          </w:r>
          <w:r>
            <w:fldChar w:fldCharType="separate"/>
          </w:r>
          <w:r>
            <w:t>13</w:t>
          </w:r>
          <w:r>
            <w:fldChar w:fldCharType="end"/>
          </w:r>
          <w:r>
            <w:fldChar w:fldCharType="end"/>
          </w:r>
        </w:p>
        <w:p>
          <w:pPr>
            <w:pStyle w:val="43"/>
            <w:tabs>
              <w:tab w:val="right" w:leader="dot" w:pos="8306"/>
            </w:tabs>
          </w:pPr>
          <w:r>
            <w:fldChar w:fldCharType="begin"/>
          </w:r>
          <w:r>
            <w:instrText xml:space="preserve"> HYPERLINK \l _Toc4420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_Toc4420 \h </w:instrText>
          </w:r>
          <w:r>
            <w:fldChar w:fldCharType="separate"/>
          </w:r>
          <w:r>
            <w:t>14</w:t>
          </w:r>
          <w:r>
            <w:fldChar w:fldCharType="end"/>
          </w:r>
          <w:r>
            <w:fldChar w:fldCharType="end"/>
          </w:r>
        </w:p>
        <w:p>
          <w:pPr>
            <w:pStyle w:val="43"/>
            <w:tabs>
              <w:tab w:val="right" w:leader="dot" w:pos="8306"/>
            </w:tabs>
          </w:pPr>
          <w:r>
            <w:fldChar w:fldCharType="begin"/>
          </w:r>
          <w:r>
            <w:instrText xml:space="preserve"> HYPERLINK \l _Toc21018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_Toc21018 \h </w:instrText>
          </w:r>
          <w:r>
            <w:fldChar w:fldCharType="separate"/>
          </w:r>
          <w:r>
            <w:t>15</w:t>
          </w:r>
          <w:r>
            <w:fldChar w:fldCharType="end"/>
          </w:r>
          <w:r>
            <w:fldChar w:fldCharType="end"/>
          </w:r>
        </w:p>
        <w:p>
          <w:pPr>
            <w:pStyle w:val="42"/>
            <w:tabs>
              <w:tab w:val="right" w:leader="dot" w:pos="8306"/>
            </w:tabs>
          </w:pPr>
          <w:r>
            <w:fldChar w:fldCharType="begin"/>
          </w:r>
          <w:r>
            <w:instrText xml:space="preserve"> HYPERLINK \l _Toc29980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_Toc29980 \h </w:instrText>
          </w:r>
          <w:r>
            <w:fldChar w:fldCharType="separate"/>
          </w:r>
          <w:r>
            <w:t>17</w:t>
          </w:r>
          <w:r>
            <w:fldChar w:fldCharType="end"/>
          </w:r>
          <w:r>
            <w:fldChar w:fldCharType="end"/>
          </w:r>
        </w:p>
        <w:p>
          <w:pPr>
            <w:pStyle w:val="42"/>
            <w:tabs>
              <w:tab w:val="right" w:leader="dot" w:pos="8306"/>
            </w:tabs>
          </w:pPr>
          <w:r>
            <w:fldChar w:fldCharType="begin"/>
          </w:r>
          <w:r>
            <w:instrText xml:space="preserve"> HYPERLINK \l _Toc3449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_Toc3449 \h </w:instrText>
          </w:r>
          <w:r>
            <w:fldChar w:fldCharType="separate"/>
          </w:r>
          <w:r>
            <w:t>18</w:t>
          </w:r>
          <w:r>
            <w:fldChar w:fldCharType="end"/>
          </w:r>
          <w:r>
            <w:fldChar w:fldCharType="end"/>
          </w:r>
        </w:p>
        <w:p>
          <w:pPr>
            <w:pStyle w:val="43"/>
            <w:tabs>
              <w:tab w:val="right" w:leader="dot" w:pos="8306"/>
            </w:tabs>
          </w:pPr>
          <w:r>
            <w:fldChar w:fldCharType="begin"/>
          </w:r>
          <w:r>
            <w:instrText xml:space="preserve"> HYPERLINK \l _Toc27236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_Toc27236 \h </w:instrText>
          </w:r>
          <w:r>
            <w:fldChar w:fldCharType="separate"/>
          </w:r>
          <w:r>
            <w:t>18</w:t>
          </w:r>
          <w:r>
            <w:fldChar w:fldCharType="end"/>
          </w:r>
          <w:r>
            <w:fldChar w:fldCharType="end"/>
          </w:r>
        </w:p>
        <w:p>
          <w:pPr>
            <w:pStyle w:val="43"/>
            <w:tabs>
              <w:tab w:val="right" w:leader="dot" w:pos="8306"/>
            </w:tabs>
          </w:pPr>
          <w:r>
            <w:fldChar w:fldCharType="begin"/>
          </w:r>
          <w:r>
            <w:instrText xml:space="preserve"> HYPERLINK \l _Toc8975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_Toc8975 \h </w:instrText>
          </w:r>
          <w:r>
            <w:fldChar w:fldCharType="separate"/>
          </w:r>
          <w:r>
            <w:t>18</w:t>
          </w:r>
          <w:r>
            <w:fldChar w:fldCharType="end"/>
          </w:r>
          <w:r>
            <w:fldChar w:fldCharType="end"/>
          </w:r>
        </w:p>
        <w:p>
          <w:pPr>
            <w:pStyle w:val="42"/>
            <w:tabs>
              <w:tab w:val="right" w:leader="dot" w:pos="8306"/>
            </w:tabs>
          </w:pPr>
          <w:r>
            <w:fldChar w:fldCharType="begin"/>
          </w:r>
          <w:r>
            <w:instrText xml:space="preserve"> HYPERLINK \l _Toc1660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_Toc1660 \h </w:instrText>
          </w:r>
          <w:r>
            <w:fldChar w:fldCharType="separate"/>
          </w:r>
          <w:r>
            <w:t>20</w:t>
          </w:r>
          <w:r>
            <w:fldChar w:fldCharType="end"/>
          </w:r>
          <w:r>
            <w:fldChar w:fldCharType="end"/>
          </w:r>
        </w:p>
        <w:p>
          <w:pPr>
            <w:pStyle w:val="42"/>
            <w:tabs>
              <w:tab w:val="right" w:leader="dot" w:pos="8306"/>
            </w:tabs>
          </w:pPr>
          <w:r>
            <w:fldChar w:fldCharType="begin"/>
          </w:r>
          <w:r>
            <w:instrText xml:space="preserve"> HYPERLINK \l _Toc218 </w:instrText>
          </w:r>
          <w:r>
            <w:fldChar w:fldCharType="separate"/>
          </w: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_Toc218 \h </w:instrText>
          </w:r>
          <w:r>
            <w:fldChar w:fldCharType="separate"/>
          </w:r>
          <w:r>
            <w:t>20</w:t>
          </w:r>
          <w:r>
            <w:fldChar w:fldCharType="end"/>
          </w:r>
          <w:r>
            <w:fldChar w:fldCharType="end"/>
          </w:r>
        </w:p>
        <w:p>
          <w:pPr>
            <w:pStyle w:val="42"/>
            <w:tabs>
              <w:tab w:val="right" w:leader="dot" w:pos="8306"/>
            </w:tabs>
          </w:pPr>
          <w:r>
            <w:fldChar w:fldCharType="begin"/>
          </w:r>
          <w:r>
            <w:instrText xml:space="preserve"> HYPERLINK \l _Toc32003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_Toc32003 \h </w:instrText>
          </w:r>
          <w:r>
            <w:fldChar w:fldCharType="separate"/>
          </w:r>
          <w:r>
            <w:t>20</w:t>
          </w:r>
          <w:r>
            <w:fldChar w:fldCharType="end"/>
          </w:r>
          <w:r>
            <w:fldChar w:fldCharType="end"/>
          </w:r>
        </w:p>
        <w:p>
          <w:pPr>
            <w:pStyle w:val="43"/>
            <w:tabs>
              <w:tab w:val="right" w:leader="dot" w:pos="8306"/>
            </w:tabs>
          </w:pPr>
          <w:r>
            <w:fldChar w:fldCharType="begin"/>
          </w:r>
          <w:r>
            <w:instrText xml:space="preserve"> HYPERLINK \l _Toc31537 </w:instrText>
          </w:r>
          <w:r>
            <w:fldChar w:fldCharType="separate"/>
          </w:r>
          <w:r>
            <w:rPr>
              <w:rFonts w:hint="eastAsia" w:ascii="仿宋" w:hAnsi="仿宋" w:eastAsia="仿宋"/>
              <w:szCs w:val="32"/>
            </w:rPr>
            <w:t>（一）机关运行经费支出情况</w:t>
          </w:r>
          <w:r>
            <w:tab/>
          </w:r>
          <w:r>
            <w:fldChar w:fldCharType="begin"/>
          </w:r>
          <w:r>
            <w:instrText xml:space="preserve"> PAGEREF _Toc31537 \h </w:instrText>
          </w:r>
          <w:r>
            <w:fldChar w:fldCharType="separate"/>
          </w:r>
          <w:r>
            <w:t>20</w:t>
          </w:r>
          <w:r>
            <w:fldChar w:fldCharType="end"/>
          </w:r>
          <w:r>
            <w:fldChar w:fldCharType="end"/>
          </w:r>
        </w:p>
        <w:p>
          <w:pPr>
            <w:pStyle w:val="43"/>
            <w:tabs>
              <w:tab w:val="right" w:leader="dot" w:pos="8306"/>
            </w:tabs>
          </w:pPr>
          <w:r>
            <w:fldChar w:fldCharType="begin"/>
          </w:r>
          <w:r>
            <w:instrText xml:space="preserve"> HYPERLINK \l _Toc19291 </w:instrText>
          </w:r>
          <w:r>
            <w:fldChar w:fldCharType="separate"/>
          </w:r>
          <w:r>
            <w:rPr>
              <w:rFonts w:hint="eastAsia" w:ascii="仿宋" w:hAnsi="仿宋" w:eastAsia="仿宋"/>
              <w:szCs w:val="32"/>
            </w:rPr>
            <w:t>（二）政府采购支出情况</w:t>
          </w:r>
          <w:r>
            <w:tab/>
          </w:r>
          <w:r>
            <w:fldChar w:fldCharType="begin"/>
          </w:r>
          <w:r>
            <w:instrText xml:space="preserve"> PAGEREF _Toc19291 \h </w:instrText>
          </w:r>
          <w:r>
            <w:fldChar w:fldCharType="separate"/>
          </w:r>
          <w:r>
            <w:t>20</w:t>
          </w:r>
          <w:r>
            <w:fldChar w:fldCharType="end"/>
          </w:r>
          <w:r>
            <w:fldChar w:fldCharType="end"/>
          </w:r>
        </w:p>
        <w:p>
          <w:pPr>
            <w:pStyle w:val="43"/>
            <w:tabs>
              <w:tab w:val="right" w:leader="dot" w:pos="8306"/>
            </w:tabs>
          </w:pPr>
          <w:r>
            <w:fldChar w:fldCharType="begin"/>
          </w:r>
          <w:r>
            <w:instrText xml:space="preserve"> HYPERLINK \l _Toc21165 </w:instrText>
          </w:r>
          <w:r>
            <w:fldChar w:fldCharType="separate"/>
          </w:r>
          <w:r>
            <w:rPr>
              <w:rFonts w:hint="eastAsia" w:ascii="仿宋" w:hAnsi="仿宋" w:eastAsia="仿宋"/>
              <w:szCs w:val="32"/>
            </w:rPr>
            <w:t>（三）国有资产占有使用情况</w:t>
          </w:r>
          <w:r>
            <w:tab/>
          </w:r>
          <w:r>
            <w:fldChar w:fldCharType="begin"/>
          </w:r>
          <w:r>
            <w:instrText xml:space="preserve"> PAGEREF _Toc21165 \h </w:instrText>
          </w:r>
          <w:r>
            <w:fldChar w:fldCharType="separate"/>
          </w:r>
          <w:r>
            <w:t>21</w:t>
          </w:r>
          <w:r>
            <w:fldChar w:fldCharType="end"/>
          </w:r>
          <w:r>
            <w:fldChar w:fldCharType="end"/>
          </w:r>
        </w:p>
        <w:p>
          <w:pPr>
            <w:pStyle w:val="43"/>
            <w:tabs>
              <w:tab w:val="right" w:leader="dot" w:pos="8306"/>
            </w:tabs>
          </w:pPr>
          <w:r>
            <w:fldChar w:fldCharType="begin"/>
          </w:r>
          <w:r>
            <w:instrText xml:space="preserve"> HYPERLINK \l _Toc3447 </w:instrText>
          </w:r>
          <w:r>
            <w:fldChar w:fldCharType="separate"/>
          </w:r>
          <w:r>
            <w:rPr>
              <w:rFonts w:hint="eastAsia" w:ascii="仿宋" w:hAnsi="仿宋" w:eastAsia="仿宋"/>
              <w:szCs w:val="32"/>
            </w:rPr>
            <w:t>（四）预算绩效管理情况。</w:t>
          </w:r>
          <w:r>
            <w:tab/>
          </w:r>
          <w:r>
            <w:fldChar w:fldCharType="begin"/>
          </w:r>
          <w:r>
            <w:instrText xml:space="preserve"> PAGEREF _Toc3447 \h </w:instrText>
          </w:r>
          <w:r>
            <w:fldChar w:fldCharType="separate"/>
          </w:r>
          <w:r>
            <w:t>21</w:t>
          </w:r>
          <w:r>
            <w:fldChar w:fldCharType="end"/>
          </w:r>
          <w:r>
            <w:fldChar w:fldCharType="end"/>
          </w:r>
        </w:p>
        <w:p>
          <w:pPr>
            <w:pStyle w:val="41"/>
            <w:tabs>
              <w:tab w:val="right" w:leader="dot" w:pos="8306"/>
            </w:tabs>
          </w:pPr>
          <w:r>
            <w:fldChar w:fldCharType="begin"/>
          </w:r>
          <w:r>
            <w:instrText xml:space="preserve"> HYPERLINK \l _Toc586 </w:instrText>
          </w:r>
          <w:r>
            <w:fldChar w:fldCharType="separate"/>
          </w:r>
          <w:r>
            <w:rPr>
              <w:rFonts w:hint="eastAsia" w:ascii="黑体" w:hAnsi="黑体" w:eastAsia="黑体" w:cs="Times New Roman"/>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_Toc586 \h </w:instrText>
          </w:r>
          <w:r>
            <w:fldChar w:fldCharType="separate"/>
          </w:r>
          <w:r>
            <w:t>32</w:t>
          </w:r>
          <w:r>
            <w:fldChar w:fldCharType="end"/>
          </w:r>
          <w:r>
            <w:fldChar w:fldCharType="end"/>
          </w:r>
        </w:p>
        <w:p>
          <w:pPr>
            <w:pStyle w:val="42"/>
            <w:tabs>
              <w:tab w:val="right" w:leader="dot" w:pos="8306"/>
            </w:tabs>
          </w:pPr>
          <w:r>
            <w:fldChar w:fldCharType="begin"/>
          </w:r>
          <w:r>
            <w:instrText xml:space="preserve"> HYPERLINK \l _Toc11753 </w:instrText>
          </w:r>
          <w:r>
            <w:fldChar w:fldCharType="separate"/>
          </w:r>
          <w:r>
            <w:rPr>
              <w:rFonts w:ascii="仿宋_GB2312" w:eastAsia="仿宋_GB2312"/>
              <w:szCs w:val="32"/>
            </w:rPr>
            <w:t>1.</w:t>
          </w:r>
          <w:r>
            <w:rPr>
              <w:rFonts w:hint="eastAsia" w:ascii="仿宋_GB2312" w:eastAsia="仿宋_GB2312"/>
              <w:szCs w:val="32"/>
            </w:rPr>
            <w:t>财政拨款收入：指单位从同级财政部门取得的财政预算资金。</w:t>
          </w:r>
          <w:r>
            <w:tab/>
          </w:r>
          <w:r>
            <w:fldChar w:fldCharType="begin"/>
          </w:r>
          <w:r>
            <w:instrText xml:space="preserve"> PAGEREF _Toc11753 \h </w:instrText>
          </w:r>
          <w:r>
            <w:fldChar w:fldCharType="separate"/>
          </w:r>
          <w:r>
            <w:t>32</w:t>
          </w:r>
          <w:r>
            <w:fldChar w:fldCharType="end"/>
          </w:r>
          <w:r>
            <w:fldChar w:fldCharType="end"/>
          </w:r>
        </w:p>
        <w:p>
          <w:pPr>
            <w:pStyle w:val="41"/>
            <w:tabs>
              <w:tab w:val="right" w:leader="dot" w:pos="8306"/>
            </w:tabs>
          </w:pPr>
          <w:r>
            <w:fldChar w:fldCharType="begin"/>
          </w:r>
          <w:r>
            <w:instrText xml:space="preserve"> HYPERLINK \l _Toc24502 </w:instrText>
          </w:r>
          <w:r>
            <w:fldChar w:fldCharType="separate"/>
          </w:r>
          <w:r>
            <w:rPr>
              <w:rFonts w:hint="eastAsia" w:ascii="黑体" w:hAnsi="黑体" w:eastAsia="黑体"/>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_Toc24502 \h </w:instrText>
          </w:r>
          <w:r>
            <w:fldChar w:fldCharType="separate"/>
          </w:r>
          <w:r>
            <w:t>37</w:t>
          </w:r>
          <w:r>
            <w:fldChar w:fldCharType="end"/>
          </w:r>
          <w:r>
            <w:fldChar w:fldCharType="end"/>
          </w:r>
        </w:p>
        <w:p>
          <w:pPr>
            <w:pStyle w:val="42"/>
            <w:tabs>
              <w:tab w:val="right" w:leader="dot" w:pos="8306"/>
            </w:tabs>
          </w:pPr>
          <w:r>
            <w:fldChar w:fldCharType="begin"/>
          </w:r>
          <w:r>
            <w:instrText xml:space="preserve"> HYPERLINK \l _Toc29573 </w:instrText>
          </w:r>
          <w:r>
            <w:fldChar w:fldCharType="separate"/>
          </w: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_Toc29573 \h </w:instrText>
          </w:r>
          <w:r>
            <w:fldChar w:fldCharType="separate"/>
          </w:r>
          <w:r>
            <w:t>37</w:t>
          </w:r>
          <w:r>
            <w:fldChar w:fldCharType="end"/>
          </w:r>
          <w:r>
            <w:fldChar w:fldCharType="end"/>
          </w:r>
        </w:p>
        <w:p>
          <w:pPr>
            <w:pStyle w:val="41"/>
            <w:tabs>
              <w:tab w:val="right" w:leader="dot" w:pos="8306"/>
            </w:tabs>
          </w:pPr>
          <w:r>
            <w:fldChar w:fldCharType="begin"/>
          </w:r>
          <w:r>
            <w:instrText xml:space="preserve"> HYPERLINK \l _Toc9954 </w:instrText>
          </w:r>
          <w:r>
            <w:fldChar w:fldCharType="separate"/>
          </w:r>
          <w:r>
            <w:rPr>
              <w:rFonts w:hint="eastAsia" w:ascii="方正小标宋简体" w:hAnsi="黑体" w:eastAsia="方正小标宋简体" w:cs="黑体"/>
              <w:szCs w:val="44"/>
            </w:rPr>
            <w:t>壤塘县财政局</w:t>
          </w:r>
          <w:r>
            <w:tab/>
          </w:r>
          <w:r>
            <w:fldChar w:fldCharType="begin"/>
          </w:r>
          <w:r>
            <w:instrText xml:space="preserve"> PAGEREF _Toc9954 \h </w:instrText>
          </w:r>
          <w:r>
            <w:fldChar w:fldCharType="separate"/>
          </w:r>
          <w:r>
            <w:t>37</w:t>
          </w:r>
          <w:r>
            <w:fldChar w:fldCharType="end"/>
          </w:r>
          <w:r>
            <w:fldChar w:fldCharType="end"/>
          </w:r>
        </w:p>
        <w:p>
          <w:pPr>
            <w:pStyle w:val="41"/>
            <w:tabs>
              <w:tab w:val="right" w:leader="dot" w:pos="8306"/>
            </w:tabs>
          </w:pPr>
          <w:r>
            <w:fldChar w:fldCharType="begin"/>
          </w:r>
          <w:r>
            <w:instrText xml:space="preserve"> HYPERLINK \l _Toc16673 </w:instrText>
          </w:r>
          <w:r>
            <w:fldChar w:fldCharType="separate"/>
          </w:r>
          <w:r>
            <w:rPr>
              <w:rFonts w:hint="eastAsia" w:ascii="方正小标宋简体" w:hAnsi="黑体" w:eastAsia="方正小标宋简体" w:cs="黑体"/>
              <w:szCs w:val="44"/>
            </w:rPr>
            <w:t>部门</w:t>
          </w:r>
          <w:r>
            <w:rPr>
              <w:rFonts w:ascii="方正小标宋简体" w:hAnsi="黑体" w:eastAsia="方正小标宋简体" w:cs="黑体"/>
              <w:szCs w:val="44"/>
            </w:rPr>
            <w:t>202</w:t>
          </w:r>
          <w:r>
            <w:rPr>
              <w:rFonts w:hint="eastAsia" w:ascii="方正小标宋简体" w:hAnsi="黑体" w:eastAsia="方正小标宋简体" w:cs="黑体"/>
              <w:szCs w:val="44"/>
            </w:rPr>
            <w:t>1年部门整体支出绩效评价报告</w:t>
          </w:r>
          <w:r>
            <w:tab/>
          </w:r>
          <w:r>
            <w:fldChar w:fldCharType="begin"/>
          </w:r>
          <w:r>
            <w:instrText xml:space="preserve"> PAGEREF _Toc16673 \h </w:instrText>
          </w:r>
          <w:r>
            <w:fldChar w:fldCharType="separate"/>
          </w:r>
          <w:r>
            <w:t>37</w:t>
          </w:r>
          <w:r>
            <w:fldChar w:fldCharType="end"/>
          </w:r>
          <w:r>
            <w:fldChar w:fldCharType="end"/>
          </w:r>
        </w:p>
        <w:p>
          <w:pPr>
            <w:pStyle w:val="42"/>
            <w:tabs>
              <w:tab w:val="right" w:leader="dot" w:pos="8306"/>
            </w:tabs>
          </w:pPr>
          <w:r>
            <w:fldChar w:fldCharType="begin"/>
          </w:r>
          <w:r>
            <w:instrText xml:space="preserve"> HYPERLINK \l _Toc4944 </w:instrText>
          </w:r>
          <w:r>
            <w:fldChar w:fldCharType="separate"/>
          </w:r>
          <w:r>
            <w:rPr>
              <w:rFonts w:hint="eastAsia" w:ascii="黑体" w:hAnsi="宋体" w:eastAsia="黑体" w:cs="宋体"/>
              <w:kern w:val="0"/>
              <w:szCs w:val="32"/>
              <w:shd w:val="clear" w:color="auto" w:fill="FFFFFF"/>
            </w:rPr>
            <w:t>一、</w:t>
          </w:r>
          <w:r>
            <w:rPr>
              <w:rFonts w:hint="eastAsia" w:ascii="黑体" w:hAnsi="宋体" w:eastAsia="黑体" w:cs="宋体"/>
              <w:kern w:val="0"/>
              <w:szCs w:val="32"/>
              <w:shd w:val="clear" w:color="auto" w:fill="FFFFFF"/>
              <w:lang w:val="zh-CN"/>
            </w:rPr>
            <w:t>部门（单位）概况</w:t>
          </w:r>
          <w:r>
            <w:tab/>
          </w:r>
          <w:r>
            <w:fldChar w:fldCharType="begin"/>
          </w:r>
          <w:r>
            <w:instrText xml:space="preserve"> PAGEREF _Toc4944 \h </w:instrText>
          </w:r>
          <w:r>
            <w:fldChar w:fldCharType="separate"/>
          </w:r>
          <w:r>
            <w:t>37</w:t>
          </w:r>
          <w:r>
            <w:fldChar w:fldCharType="end"/>
          </w:r>
          <w:r>
            <w:fldChar w:fldCharType="end"/>
          </w:r>
        </w:p>
        <w:p>
          <w:pPr>
            <w:pStyle w:val="43"/>
            <w:tabs>
              <w:tab w:val="right" w:leader="dot" w:pos="8306"/>
            </w:tabs>
          </w:pPr>
          <w:r>
            <w:fldChar w:fldCharType="begin"/>
          </w:r>
          <w:r>
            <w:instrText xml:space="preserve"> HYPERLINK \l _Toc16431 </w:instrText>
          </w:r>
          <w:r>
            <w:fldChar w:fldCharType="separate"/>
          </w:r>
          <w:r>
            <w:rPr>
              <w:rFonts w:hint="eastAsia" w:ascii="仿宋_GB2312" w:hAnsi="宋体" w:eastAsia="仿宋_GB2312" w:cs="宋体"/>
              <w:kern w:val="0"/>
              <w:szCs w:val="32"/>
              <w:shd w:val="clear" w:color="auto" w:fill="FFFFFF"/>
              <w:lang w:val="zh-CN"/>
            </w:rPr>
            <w:t>（一）机构组成。</w:t>
          </w:r>
          <w:r>
            <w:tab/>
          </w:r>
          <w:r>
            <w:fldChar w:fldCharType="begin"/>
          </w:r>
          <w:r>
            <w:instrText xml:space="preserve"> PAGEREF _Toc16431 \h </w:instrText>
          </w:r>
          <w:r>
            <w:fldChar w:fldCharType="separate"/>
          </w:r>
          <w:r>
            <w:t>37</w:t>
          </w:r>
          <w:r>
            <w:fldChar w:fldCharType="end"/>
          </w:r>
          <w:r>
            <w:fldChar w:fldCharType="end"/>
          </w:r>
        </w:p>
        <w:p>
          <w:pPr>
            <w:pStyle w:val="43"/>
            <w:tabs>
              <w:tab w:val="right" w:leader="dot" w:pos="8306"/>
            </w:tabs>
          </w:pPr>
          <w:r>
            <w:fldChar w:fldCharType="begin"/>
          </w:r>
          <w:r>
            <w:instrText xml:space="preserve"> HYPERLINK \l _Toc31933 </w:instrText>
          </w:r>
          <w:r>
            <w:fldChar w:fldCharType="separate"/>
          </w:r>
          <w:r>
            <w:rPr>
              <w:rFonts w:hint="eastAsia" w:ascii="仿宋_GB2312" w:hAnsi="宋体" w:eastAsia="仿宋_GB2312" w:cs="宋体"/>
              <w:kern w:val="0"/>
              <w:szCs w:val="32"/>
              <w:shd w:val="clear" w:color="auto" w:fill="FFFFFF"/>
              <w:lang w:val="zh-CN"/>
            </w:rPr>
            <w:t>（二）机构职能。</w:t>
          </w:r>
          <w:r>
            <w:tab/>
          </w:r>
          <w:r>
            <w:fldChar w:fldCharType="begin"/>
          </w:r>
          <w:r>
            <w:instrText xml:space="preserve"> PAGEREF _Toc31933 \h </w:instrText>
          </w:r>
          <w:r>
            <w:fldChar w:fldCharType="separate"/>
          </w:r>
          <w:r>
            <w:t>37</w:t>
          </w:r>
          <w:r>
            <w:fldChar w:fldCharType="end"/>
          </w:r>
          <w:r>
            <w:fldChar w:fldCharType="end"/>
          </w:r>
        </w:p>
        <w:p>
          <w:pPr>
            <w:pStyle w:val="43"/>
            <w:tabs>
              <w:tab w:val="right" w:leader="dot" w:pos="8306"/>
            </w:tabs>
          </w:pPr>
          <w:r>
            <w:fldChar w:fldCharType="begin"/>
          </w:r>
          <w:r>
            <w:instrText xml:space="preserve"> HYPERLINK \l _Toc13635 </w:instrText>
          </w:r>
          <w:r>
            <w:fldChar w:fldCharType="separate"/>
          </w:r>
          <w:r>
            <w:rPr>
              <w:rFonts w:hint="eastAsia" w:ascii="仿宋_GB2312" w:hAnsi="宋体" w:eastAsia="仿宋_GB2312" w:cs="宋体"/>
              <w:kern w:val="0"/>
              <w:szCs w:val="32"/>
              <w:shd w:val="clear" w:color="auto" w:fill="FFFFFF"/>
              <w:lang w:val="zh-CN"/>
            </w:rPr>
            <w:t>（三）人员概况。</w:t>
          </w:r>
          <w:r>
            <w:tab/>
          </w:r>
          <w:r>
            <w:fldChar w:fldCharType="begin"/>
          </w:r>
          <w:r>
            <w:instrText xml:space="preserve"> PAGEREF _Toc13635 \h </w:instrText>
          </w:r>
          <w:r>
            <w:fldChar w:fldCharType="separate"/>
          </w:r>
          <w:r>
            <w:t>40</w:t>
          </w:r>
          <w:r>
            <w:fldChar w:fldCharType="end"/>
          </w:r>
          <w:r>
            <w:fldChar w:fldCharType="end"/>
          </w:r>
        </w:p>
        <w:p>
          <w:pPr>
            <w:pStyle w:val="42"/>
            <w:tabs>
              <w:tab w:val="right" w:leader="dot" w:pos="8306"/>
            </w:tabs>
          </w:pPr>
          <w:r>
            <w:fldChar w:fldCharType="begin"/>
          </w:r>
          <w:r>
            <w:instrText xml:space="preserve"> HYPERLINK \l _Toc23053 </w:instrText>
          </w:r>
          <w:r>
            <w:fldChar w:fldCharType="separate"/>
          </w:r>
          <w:r>
            <w:rPr>
              <w:rFonts w:hint="eastAsia" w:ascii="黑体" w:hAnsi="宋体" w:eastAsia="黑体" w:cs="宋体"/>
              <w:kern w:val="0"/>
              <w:szCs w:val="32"/>
              <w:shd w:val="clear" w:color="auto" w:fill="FFFFFF"/>
            </w:rPr>
            <w:t>二、部门财政资金收支情况</w:t>
          </w:r>
          <w:r>
            <w:tab/>
          </w:r>
          <w:r>
            <w:fldChar w:fldCharType="begin"/>
          </w:r>
          <w:r>
            <w:instrText xml:space="preserve"> PAGEREF _Toc23053 \h </w:instrText>
          </w:r>
          <w:r>
            <w:fldChar w:fldCharType="separate"/>
          </w:r>
          <w:r>
            <w:t>40</w:t>
          </w:r>
          <w:r>
            <w:fldChar w:fldCharType="end"/>
          </w:r>
          <w:r>
            <w:fldChar w:fldCharType="end"/>
          </w:r>
        </w:p>
        <w:p>
          <w:pPr>
            <w:pStyle w:val="43"/>
            <w:tabs>
              <w:tab w:val="right" w:leader="dot" w:pos="8306"/>
            </w:tabs>
          </w:pPr>
          <w:r>
            <w:fldChar w:fldCharType="begin"/>
          </w:r>
          <w:r>
            <w:instrText xml:space="preserve"> HYPERLINK \l _Toc30157 </w:instrText>
          </w:r>
          <w:r>
            <w:fldChar w:fldCharType="separate"/>
          </w:r>
          <w:r>
            <w:rPr>
              <w:rFonts w:hint="eastAsia" w:ascii="仿宋_GB2312" w:hAnsi="宋体" w:eastAsia="仿宋_GB2312" w:cs="宋体"/>
              <w:kern w:val="0"/>
              <w:szCs w:val="32"/>
              <w:shd w:val="clear" w:color="auto" w:fill="FFFFFF"/>
              <w:lang w:val="zh-CN"/>
            </w:rPr>
            <w:t>（一）部门财政资金收入情况。</w:t>
          </w:r>
          <w:r>
            <w:tab/>
          </w:r>
          <w:r>
            <w:fldChar w:fldCharType="begin"/>
          </w:r>
          <w:r>
            <w:instrText xml:space="preserve"> PAGEREF _Toc30157 \h </w:instrText>
          </w:r>
          <w:r>
            <w:fldChar w:fldCharType="separate"/>
          </w:r>
          <w:r>
            <w:t>40</w:t>
          </w:r>
          <w:r>
            <w:fldChar w:fldCharType="end"/>
          </w:r>
          <w:r>
            <w:fldChar w:fldCharType="end"/>
          </w:r>
        </w:p>
        <w:p>
          <w:pPr>
            <w:pStyle w:val="43"/>
            <w:tabs>
              <w:tab w:val="right" w:leader="dot" w:pos="8306"/>
            </w:tabs>
          </w:pPr>
          <w:r>
            <w:fldChar w:fldCharType="begin"/>
          </w:r>
          <w:r>
            <w:instrText xml:space="preserve"> HYPERLINK \l _Toc25765 </w:instrText>
          </w:r>
          <w:r>
            <w:fldChar w:fldCharType="separate"/>
          </w:r>
          <w:r>
            <w:rPr>
              <w:rFonts w:hint="eastAsia" w:ascii="仿宋_GB2312" w:hAnsi="宋体" w:eastAsia="仿宋_GB2312" w:cs="宋体"/>
              <w:kern w:val="0"/>
              <w:szCs w:val="32"/>
              <w:shd w:val="clear" w:color="auto" w:fill="FFFFFF"/>
              <w:lang w:val="zh-CN"/>
            </w:rPr>
            <w:t>（二）部门财政资金支出情况。</w:t>
          </w:r>
          <w:r>
            <w:tab/>
          </w:r>
          <w:r>
            <w:fldChar w:fldCharType="begin"/>
          </w:r>
          <w:r>
            <w:instrText xml:space="preserve"> PAGEREF _Toc25765 \h </w:instrText>
          </w:r>
          <w:r>
            <w:fldChar w:fldCharType="separate"/>
          </w:r>
          <w:r>
            <w:t>40</w:t>
          </w:r>
          <w:r>
            <w:fldChar w:fldCharType="end"/>
          </w:r>
          <w:r>
            <w:fldChar w:fldCharType="end"/>
          </w:r>
        </w:p>
        <w:p>
          <w:pPr>
            <w:pStyle w:val="42"/>
            <w:tabs>
              <w:tab w:val="right" w:leader="dot" w:pos="8306"/>
            </w:tabs>
          </w:pPr>
          <w:r>
            <w:fldChar w:fldCharType="begin"/>
          </w:r>
          <w:r>
            <w:instrText xml:space="preserve"> HYPERLINK \l _Toc28805 </w:instrText>
          </w:r>
          <w:r>
            <w:fldChar w:fldCharType="separate"/>
          </w:r>
          <w:r>
            <w:rPr>
              <w:rFonts w:hint="eastAsia" w:ascii="黑体" w:hAnsi="宋体" w:eastAsia="黑体" w:cs="宋体"/>
              <w:kern w:val="0"/>
              <w:szCs w:val="32"/>
              <w:shd w:val="clear" w:color="auto" w:fill="FFFFFF"/>
            </w:rPr>
            <w:t>三、部门整体预算绩效管理情况</w:t>
          </w:r>
          <w:r>
            <w:tab/>
          </w:r>
          <w:r>
            <w:fldChar w:fldCharType="begin"/>
          </w:r>
          <w:r>
            <w:instrText xml:space="preserve"> PAGEREF _Toc28805 \h </w:instrText>
          </w:r>
          <w:r>
            <w:fldChar w:fldCharType="separate"/>
          </w:r>
          <w:r>
            <w:t>41</w:t>
          </w:r>
          <w:r>
            <w:fldChar w:fldCharType="end"/>
          </w:r>
          <w:r>
            <w:fldChar w:fldCharType="end"/>
          </w:r>
        </w:p>
        <w:p>
          <w:pPr>
            <w:pStyle w:val="43"/>
            <w:tabs>
              <w:tab w:val="right" w:leader="dot" w:pos="8306"/>
            </w:tabs>
          </w:pPr>
          <w:r>
            <w:fldChar w:fldCharType="begin"/>
          </w:r>
          <w:r>
            <w:instrText xml:space="preserve"> HYPERLINK \l _Toc10141 </w:instrText>
          </w:r>
          <w:r>
            <w:fldChar w:fldCharType="separate"/>
          </w:r>
          <w:r>
            <w:rPr>
              <w:rFonts w:hint="eastAsia" w:ascii="仿宋" w:hAnsi="仿宋" w:eastAsia="仿宋"/>
              <w:szCs w:val="32"/>
            </w:rPr>
            <w:t>（一）部门预算管理</w:t>
          </w:r>
          <w:r>
            <w:tab/>
          </w:r>
          <w:r>
            <w:fldChar w:fldCharType="begin"/>
          </w:r>
          <w:r>
            <w:instrText xml:space="preserve"> PAGEREF _Toc10141 \h </w:instrText>
          </w:r>
          <w:r>
            <w:fldChar w:fldCharType="separate"/>
          </w:r>
          <w:r>
            <w:t>41</w:t>
          </w:r>
          <w:r>
            <w:fldChar w:fldCharType="end"/>
          </w:r>
          <w:r>
            <w:fldChar w:fldCharType="end"/>
          </w:r>
        </w:p>
        <w:p>
          <w:pPr>
            <w:pStyle w:val="43"/>
            <w:tabs>
              <w:tab w:val="right" w:leader="dot" w:pos="8306"/>
            </w:tabs>
          </w:pPr>
          <w:r>
            <w:fldChar w:fldCharType="begin"/>
          </w:r>
          <w:r>
            <w:instrText xml:space="preserve"> HYPERLINK \l _Toc1631 </w:instrText>
          </w:r>
          <w:r>
            <w:fldChar w:fldCharType="separate"/>
          </w:r>
          <w:r>
            <w:rPr>
              <w:rFonts w:hint="eastAsia" w:ascii="仿宋" w:hAnsi="仿宋" w:eastAsia="仿宋"/>
              <w:szCs w:val="32"/>
            </w:rPr>
            <w:t>（二）结果应用情况</w:t>
          </w:r>
          <w:r>
            <w:tab/>
          </w:r>
          <w:r>
            <w:fldChar w:fldCharType="begin"/>
          </w:r>
          <w:r>
            <w:instrText xml:space="preserve"> PAGEREF _Toc1631 \h </w:instrText>
          </w:r>
          <w:r>
            <w:fldChar w:fldCharType="separate"/>
          </w:r>
          <w:r>
            <w:t>41</w:t>
          </w:r>
          <w:r>
            <w:fldChar w:fldCharType="end"/>
          </w:r>
          <w:r>
            <w:fldChar w:fldCharType="end"/>
          </w:r>
        </w:p>
        <w:p>
          <w:pPr>
            <w:pStyle w:val="42"/>
            <w:tabs>
              <w:tab w:val="right" w:leader="dot" w:pos="8306"/>
            </w:tabs>
          </w:pPr>
          <w:r>
            <w:fldChar w:fldCharType="begin"/>
          </w:r>
          <w:r>
            <w:instrText xml:space="preserve"> HYPERLINK \l _Toc24938 </w:instrText>
          </w:r>
          <w:r>
            <w:fldChar w:fldCharType="separate"/>
          </w:r>
          <w:r>
            <w:rPr>
              <w:rFonts w:hint="eastAsia" w:ascii="黑体" w:hAnsi="宋体" w:eastAsia="黑体" w:cs="宋体"/>
              <w:kern w:val="0"/>
              <w:szCs w:val="32"/>
              <w:shd w:val="clear" w:color="auto" w:fill="FFFFFF"/>
            </w:rPr>
            <w:t>四、评价结论及建议</w:t>
          </w:r>
          <w:r>
            <w:tab/>
          </w:r>
          <w:r>
            <w:fldChar w:fldCharType="begin"/>
          </w:r>
          <w:r>
            <w:instrText xml:space="preserve"> PAGEREF _Toc24938 \h </w:instrText>
          </w:r>
          <w:r>
            <w:fldChar w:fldCharType="separate"/>
          </w:r>
          <w:r>
            <w:t>42</w:t>
          </w:r>
          <w:r>
            <w:fldChar w:fldCharType="end"/>
          </w:r>
          <w:r>
            <w:fldChar w:fldCharType="end"/>
          </w:r>
        </w:p>
        <w:p>
          <w:pPr>
            <w:pStyle w:val="43"/>
            <w:tabs>
              <w:tab w:val="right" w:leader="dot" w:pos="8306"/>
            </w:tabs>
          </w:pPr>
          <w:r>
            <w:fldChar w:fldCharType="begin"/>
          </w:r>
          <w:r>
            <w:instrText xml:space="preserve"> HYPERLINK \l _Toc8197 </w:instrText>
          </w:r>
          <w:r>
            <w:fldChar w:fldCharType="separate"/>
          </w:r>
          <w:r>
            <w:rPr>
              <w:rFonts w:hint="eastAsia" w:ascii="仿宋_GB2312" w:eastAsia="仿宋_GB2312"/>
              <w:szCs w:val="32"/>
            </w:rPr>
            <w:t>(一)、评价结论</w:t>
          </w:r>
          <w:r>
            <w:tab/>
          </w:r>
          <w:r>
            <w:fldChar w:fldCharType="begin"/>
          </w:r>
          <w:r>
            <w:instrText xml:space="preserve"> PAGEREF _Toc8197 \h </w:instrText>
          </w:r>
          <w:r>
            <w:fldChar w:fldCharType="separate"/>
          </w:r>
          <w:r>
            <w:t>42</w:t>
          </w:r>
          <w:r>
            <w:fldChar w:fldCharType="end"/>
          </w:r>
          <w:r>
            <w:fldChar w:fldCharType="end"/>
          </w:r>
        </w:p>
        <w:p>
          <w:pPr>
            <w:pStyle w:val="43"/>
            <w:tabs>
              <w:tab w:val="right" w:leader="dot" w:pos="8306"/>
            </w:tabs>
          </w:pPr>
          <w:r>
            <w:fldChar w:fldCharType="begin"/>
          </w:r>
          <w:r>
            <w:instrText xml:space="preserve"> HYPERLINK \l _Toc5105 </w:instrText>
          </w:r>
          <w:r>
            <w:fldChar w:fldCharType="separate"/>
          </w:r>
          <w:r>
            <w:rPr>
              <w:rFonts w:hint="eastAsia" w:ascii="仿宋_GB2312" w:eastAsia="仿宋_GB2312"/>
              <w:szCs w:val="32"/>
            </w:rPr>
            <w:t>（二）、存在问题</w:t>
          </w:r>
          <w:r>
            <w:tab/>
          </w:r>
          <w:r>
            <w:fldChar w:fldCharType="begin"/>
          </w:r>
          <w:r>
            <w:instrText xml:space="preserve"> PAGEREF _Toc5105 \h </w:instrText>
          </w:r>
          <w:r>
            <w:fldChar w:fldCharType="separate"/>
          </w:r>
          <w:r>
            <w:t>43</w:t>
          </w:r>
          <w:r>
            <w:fldChar w:fldCharType="end"/>
          </w:r>
          <w:r>
            <w:fldChar w:fldCharType="end"/>
          </w:r>
        </w:p>
        <w:p>
          <w:pPr>
            <w:pStyle w:val="43"/>
            <w:tabs>
              <w:tab w:val="right" w:leader="dot" w:pos="8306"/>
            </w:tabs>
          </w:pPr>
          <w:r>
            <w:fldChar w:fldCharType="begin"/>
          </w:r>
          <w:r>
            <w:instrText xml:space="preserve"> HYPERLINK \l _Toc3106 </w:instrText>
          </w:r>
          <w:r>
            <w:fldChar w:fldCharType="separate"/>
          </w:r>
          <w:r>
            <w:rPr>
              <w:rFonts w:hint="eastAsia" w:ascii="仿宋_GB2312" w:eastAsia="仿宋_GB2312"/>
              <w:szCs w:val="32"/>
            </w:rPr>
            <w:t>（三）、改进建议</w:t>
          </w:r>
          <w:r>
            <w:tab/>
          </w:r>
          <w:r>
            <w:fldChar w:fldCharType="begin"/>
          </w:r>
          <w:r>
            <w:instrText xml:space="preserve"> PAGEREF _Toc3106 \h </w:instrText>
          </w:r>
          <w:r>
            <w:fldChar w:fldCharType="separate"/>
          </w:r>
          <w:r>
            <w:t>43</w:t>
          </w:r>
          <w:r>
            <w:fldChar w:fldCharType="end"/>
          </w:r>
          <w:r>
            <w:fldChar w:fldCharType="end"/>
          </w:r>
        </w:p>
        <w:p>
          <w:pPr>
            <w:pStyle w:val="42"/>
            <w:tabs>
              <w:tab w:val="right" w:leader="dot" w:pos="8306"/>
            </w:tabs>
          </w:pPr>
          <w:r>
            <w:fldChar w:fldCharType="begin"/>
          </w:r>
          <w:r>
            <w:instrText xml:space="preserve"> HYPERLINK \l _Toc15910 </w:instrText>
          </w:r>
          <w:r>
            <w:fldChar w:fldCharType="separate"/>
          </w:r>
          <w:r>
            <w:rPr>
              <w:rFonts w:hint="eastAsia" w:ascii="黑体" w:hAnsi="黑体" w:eastAsia="黑体" w:cs="黑体"/>
              <w:szCs w:val="32"/>
            </w:rPr>
            <w:t>附件</w:t>
          </w:r>
          <w:r>
            <w:rPr>
              <w:rFonts w:ascii="黑体" w:hAnsi="黑体" w:eastAsia="黑体" w:cs="黑体"/>
              <w:szCs w:val="32"/>
            </w:rPr>
            <w:t>2</w:t>
          </w:r>
          <w:r>
            <w:tab/>
          </w:r>
          <w:r>
            <w:fldChar w:fldCharType="begin"/>
          </w:r>
          <w:r>
            <w:instrText xml:space="preserve"> PAGEREF _Toc15910 \h </w:instrText>
          </w:r>
          <w:r>
            <w:fldChar w:fldCharType="separate"/>
          </w:r>
          <w:r>
            <w:t>44</w:t>
          </w:r>
          <w:r>
            <w:fldChar w:fldCharType="end"/>
          </w:r>
          <w:r>
            <w:fldChar w:fldCharType="end"/>
          </w:r>
        </w:p>
        <w:p>
          <w:pPr>
            <w:pStyle w:val="42"/>
            <w:tabs>
              <w:tab w:val="right" w:leader="dot" w:pos="8306"/>
            </w:tabs>
          </w:pPr>
          <w:r>
            <w:fldChar w:fldCharType="begin"/>
          </w:r>
          <w:r>
            <w:instrText xml:space="preserve"> HYPERLINK \l _Toc21763 </w:instrText>
          </w:r>
          <w:r>
            <w:fldChar w:fldCharType="separate"/>
          </w:r>
          <w:r>
            <w:rPr>
              <w:rFonts w:hint="eastAsia" w:ascii="黑体" w:hAnsi="黑体" w:eastAsia="黑体" w:cs="??_GB2312"/>
              <w:szCs w:val="32"/>
            </w:rPr>
            <w:t>一、评价工作开展及项目情况</w:t>
          </w:r>
          <w:r>
            <w:tab/>
          </w:r>
          <w:r>
            <w:fldChar w:fldCharType="begin"/>
          </w:r>
          <w:r>
            <w:instrText xml:space="preserve"> PAGEREF _Toc21763 \h </w:instrText>
          </w:r>
          <w:r>
            <w:fldChar w:fldCharType="separate"/>
          </w:r>
          <w:r>
            <w:t>44</w:t>
          </w:r>
          <w:r>
            <w:fldChar w:fldCharType="end"/>
          </w:r>
          <w:r>
            <w:fldChar w:fldCharType="end"/>
          </w:r>
        </w:p>
        <w:p>
          <w:pPr>
            <w:pStyle w:val="42"/>
            <w:tabs>
              <w:tab w:val="right" w:leader="dot" w:pos="8306"/>
            </w:tabs>
          </w:pPr>
          <w:r>
            <w:fldChar w:fldCharType="begin"/>
          </w:r>
          <w:r>
            <w:instrText xml:space="preserve"> HYPERLINK \l _Toc21407 </w:instrText>
          </w:r>
          <w:r>
            <w:fldChar w:fldCharType="separate"/>
          </w:r>
          <w:r>
            <w:rPr>
              <w:rFonts w:hint="eastAsia" w:ascii="黑体" w:hAnsi="黑体" w:eastAsia="黑体" w:cs="??_GB2312"/>
              <w:szCs w:val="32"/>
            </w:rPr>
            <w:t>二、评价结论及绩效分析</w:t>
          </w:r>
          <w:r>
            <w:tab/>
          </w:r>
          <w:r>
            <w:fldChar w:fldCharType="begin"/>
          </w:r>
          <w:r>
            <w:instrText xml:space="preserve"> PAGEREF _Toc21407 \h </w:instrText>
          </w:r>
          <w:r>
            <w:fldChar w:fldCharType="separate"/>
          </w:r>
          <w:r>
            <w:t>44</w:t>
          </w:r>
          <w:r>
            <w:fldChar w:fldCharType="end"/>
          </w:r>
          <w:r>
            <w:fldChar w:fldCharType="end"/>
          </w:r>
        </w:p>
        <w:p>
          <w:pPr>
            <w:pStyle w:val="43"/>
            <w:tabs>
              <w:tab w:val="right" w:leader="dot" w:pos="8306"/>
            </w:tabs>
          </w:pPr>
          <w:r>
            <w:fldChar w:fldCharType="begin"/>
          </w:r>
          <w:r>
            <w:instrText xml:space="preserve"> HYPERLINK \l _Toc28769 </w:instrText>
          </w:r>
          <w:r>
            <w:fldChar w:fldCharType="separate"/>
          </w:r>
          <w:r>
            <w:rPr>
              <w:rFonts w:hint="eastAsia" w:ascii="楷体_GB2312" w:hAnsi="仿宋" w:eastAsia="楷体_GB2312" w:cs="??_GB2312"/>
              <w:szCs w:val="32"/>
            </w:rPr>
            <w:t>（一）评价结论</w:t>
          </w:r>
          <w:r>
            <w:tab/>
          </w:r>
          <w:r>
            <w:fldChar w:fldCharType="begin"/>
          </w:r>
          <w:r>
            <w:instrText xml:space="preserve"> PAGEREF _Toc28769 \h </w:instrText>
          </w:r>
          <w:r>
            <w:fldChar w:fldCharType="separate"/>
          </w:r>
          <w:r>
            <w:t>44</w:t>
          </w:r>
          <w:r>
            <w:fldChar w:fldCharType="end"/>
          </w:r>
          <w:r>
            <w:fldChar w:fldCharType="end"/>
          </w:r>
        </w:p>
        <w:p>
          <w:pPr>
            <w:pStyle w:val="43"/>
            <w:tabs>
              <w:tab w:val="right" w:leader="dot" w:pos="8306"/>
            </w:tabs>
          </w:pPr>
          <w:r>
            <w:fldChar w:fldCharType="begin"/>
          </w:r>
          <w:r>
            <w:instrText xml:space="preserve"> HYPERLINK \l _Toc27077 </w:instrText>
          </w:r>
          <w:r>
            <w:fldChar w:fldCharType="separate"/>
          </w:r>
          <w:r>
            <w:rPr>
              <w:rFonts w:hint="eastAsia" w:ascii="楷体_GB2312" w:hAnsi="仿宋" w:eastAsia="楷体_GB2312" w:cs="??_GB2312"/>
              <w:szCs w:val="32"/>
            </w:rPr>
            <w:t>（二）绩效分析</w:t>
          </w:r>
          <w:r>
            <w:tab/>
          </w:r>
          <w:r>
            <w:fldChar w:fldCharType="begin"/>
          </w:r>
          <w:r>
            <w:instrText xml:space="preserve"> PAGEREF _Toc27077 \h </w:instrText>
          </w:r>
          <w:r>
            <w:fldChar w:fldCharType="separate"/>
          </w:r>
          <w:r>
            <w:t>44</w:t>
          </w:r>
          <w:r>
            <w:fldChar w:fldCharType="end"/>
          </w:r>
          <w:r>
            <w:fldChar w:fldCharType="end"/>
          </w:r>
        </w:p>
        <w:p>
          <w:pPr>
            <w:pStyle w:val="42"/>
            <w:tabs>
              <w:tab w:val="right" w:leader="dot" w:pos="8306"/>
            </w:tabs>
          </w:pPr>
          <w:r>
            <w:fldChar w:fldCharType="begin"/>
          </w:r>
          <w:r>
            <w:instrText xml:space="preserve"> HYPERLINK \l _Toc589 </w:instrText>
          </w:r>
          <w:r>
            <w:fldChar w:fldCharType="separate"/>
          </w:r>
          <w:r>
            <w:rPr>
              <w:rFonts w:hint="eastAsia" w:ascii="黑体" w:hAnsi="黑体" w:eastAsia="黑体" w:cs="??_GB2312"/>
              <w:szCs w:val="32"/>
            </w:rPr>
            <w:t>三、存在主要问题</w:t>
          </w:r>
          <w:r>
            <w:tab/>
          </w:r>
          <w:r>
            <w:fldChar w:fldCharType="begin"/>
          </w:r>
          <w:r>
            <w:instrText xml:space="preserve"> PAGEREF _Toc589 \h </w:instrText>
          </w:r>
          <w:r>
            <w:fldChar w:fldCharType="separate"/>
          </w:r>
          <w:r>
            <w:t>45</w:t>
          </w:r>
          <w:r>
            <w:fldChar w:fldCharType="end"/>
          </w:r>
          <w:r>
            <w:fldChar w:fldCharType="end"/>
          </w:r>
        </w:p>
        <w:p>
          <w:pPr>
            <w:pStyle w:val="42"/>
            <w:tabs>
              <w:tab w:val="right" w:leader="dot" w:pos="8306"/>
            </w:tabs>
          </w:pPr>
          <w:r>
            <w:fldChar w:fldCharType="begin"/>
          </w:r>
          <w:r>
            <w:instrText xml:space="preserve"> HYPERLINK \l _Toc3977 </w:instrText>
          </w:r>
          <w:r>
            <w:fldChar w:fldCharType="separate"/>
          </w:r>
          <w:r>
            <w:rPr>
              <w:rFonts w:hint="eastAsia" w:ascii="黑体" w:hAnsi="黑体" w:eastAsia="黑体" w:cs="??_GB2312"/>
              <w:szCs w:val="32"/>
            </w:rPr>
            <w:t>四、相关建议</w:t>
          </w:r>
          <w:r>
            <w:tab/>
          </w:r>
          <w:r>
            <w:fldChar w:fldCharType="begin"/>
          </w:r>
          <w:r>
            <w:instrText xml:space="preserve"> PAGEREF _Toc3977 \h </w:instrText>
          </w:r>
          <w:r>
            <w:fldChar w:fldCharType="separate"/>
          </w:r>
          <w:r>
            <w:t>45</w:t>
          </w:r>
          <w:r>
            <w:fldChar w:fldCharType="end"/>
          </w:r>
          <w:r>
            <w:fldChar w:fldCharType="end"/>
          </w:r>
        </w:p>
        <w:p>
          <w:pPr>
            <w:pStyle w:val="41"/>
            <w:tabs>
              <w:tab w:val="right" w:leader="dot" w:pos="8306"/>
            </w:tabs>
          </w:pPr>
          <w:r>
            <w:fldChar w:fldCharType="begin"/>
          </w:r>
          <w:r>
            <w:instrText xml:space="preserve"> HYPERLINK \l _Toc29838 </w:instrText>
          </w:r>
          <w:r>
            <w:fldChar w:fldCharType="separate"/>
          </w:r>
          <w:r>
            <w:rPr>
              <w:rFonts w:hint="eastAsia" w:ascii="黑体" w:hAnsi="黑体" w:eastAsia="黑体"/>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_Toc29838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_Toc11205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_Toc11205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_Toc28154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_Toc28154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_Toc24506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_Toc24506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_Toc20881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_Toc20881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_Toc5691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_Toc5691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_Toc27483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_Toc27483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_Toc28048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_Toc28048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_Toc24928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_Toc24928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_Toc22807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_Toc22807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_Toc28975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_Toc28975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_Toc288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_Toc288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_Toc1744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_Toc1744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_Toc23208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有资本经营预算财政拨款支出决算表</w:t>
          </w:r>
          <w:r>
            <w:tab/>
          </w:r>
          <w:r>
            <w:fldChar w:fldCharType="begin"/>
          </w:r>
          <w:r>
            <w:instrText xml:space="preserve"> PAGEREF _Toc23208 \h </w:instrText>
          </w:r>
          <w:r>
            <w:fldChar w:fldCharType="separate"/>
          </w:r>
          <w:r>
            <w:t>47</w:t>
          </w:r>
          <w:r>
            <w:fldChar w:fldCharType="end"/>
          </w:r>
          <w:r>
            <w:fldChar w:fldCharType="end"/>
          </w:r>
        </w:p>
        <w:p>
          <w:pPr>
            <w:pStyle w:val="42"/>
            <w:tabs>
              <w:tab w:val="right" w:leader="dot" w:pos="8306"/>
            </w:tabs>
          </w:pPr>
          <w:r>
            <w:fldChar w:fldCharType="begin"/>
          </w:r>
          <w:r>
            <w:instrText xml:space="preserve"> HYPERLINK \l _Toc24598 </w:instrText>
          </w:r>
          <w:r>
            <w:fldChar w:fldCharType="separate"/>
          </w:r>
          <w:r>
            <w:rPr>
              <w:rFonts w:hint="eastAsia" w:ascii="仿宋" w:hAnsi="仿宋" w:eastAsia="仿宋"/>
              <w:bCs w:val="0"/>
            </w:rPr>
            <w:t>十四、国有资本经营预算财政拨款支出决算表</w:t>
          </w:r>
          <w:r>
            <w:tab/>
          </w:r>
          <w:r>
            <w:fldChar w:fldCharType="begin"/>
          </w:r>
          <w:r>
            <w:instrText xml:space="preserve"> PAGEREF _Toc24598 \h </w:instrText>
          </w:r>
          <w:r>
            <w:fldChar w:fldCharType="separate"/>
          </w:r>
          <w:r>
            <w:t>47</w:t>
          </w:r>
          <w:r>
            <w:fldChar w:fldCharType="end"/>
          </w:r>
          <w:r>
            <w:fldChar w:fldCharType="end"/>
          </w:r>
        </w:p>
        <w:p>
          <w:r>
            <w:fldChar w:fldCharType="end"/>
          </w:r>
        </w:p>
      </w:sdtContent>
    </w:sdt>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5"/>
          <w:rFonts w:ascii="黑体" w:hAnsi="黑体" w:eastAsia="黑体"/>
          <w:b/>
          <w:bCs w:val="0"/>
        </w:rPr>
      </w:pPr>
      <w:bookmarkStart w:id="14" w:name="_Toc79163851"/>
      <w:bookmarkStart w:id="15" w:name="_Toc79163601"/>
      <w:bookmarkStart w:id="16" w:name="_Toc19617"/>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bookmarkEnd w:id="16"/>
    </w:p>
    <w:p>
      <w:pPr>
        <w:widowControl/>
        <w:jc w:val="left"/>
        <w:rPr>
          <w:rFonts w:ascii="黑体" w:eastAsia="黑体"/>
          <w:color w:val="000000"/>
          <w:sz w:val="32"/>
          <w:szCs w:val="32"/>
        </w:rPr>
      </w:pPr>
    </w:p>
    <w:p>
      <w:pPr>
        <w:pStyle w:val="4"/>
        <w:rPr>
          <w:rStyle w:val="26"/>
          <w:rFonts w:ascii="仿宋" w:hAnsi="仿宋" w:eastAsia="仿宋"/>
          <w:b w:val="0"/>
          <w:bCs w:val="0"/>
        </w:rPr>
      </w:pPr>
      <w:bookmarkStart w:id="17" w:name="_Toc79163852"/>
      <w:bookmarkStart w:id="18" w:name="_Toc15396600"/>
      <w:bookmarkStart w:id="19" w:name="_Toc15377197"/>
      <w:bookmarkStart w:id="20" w:name="_Toc79163602"/>
      <w:bookmarkStart w:id="21" w:name="_Toc11115"/>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7"/>
      <w:bookmarkEnd w:id="18"/>
      <w:bookmarkEnd w:id="19"/>
      <w:bookmarkEnd w:id="20"/>
      <w:bookmarkEnd w:id="21"/>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2" w:name="_Toc4985"/>
      <w:bookmarkStart w:id="23" w:name="_Toc79163853"/>
      <w:bookmarkStart w:id="24" w:name="_Toc79163603"/>
      <w:bookmarkStart w:id="25" w:name="_Toc15377198"/>
      <w:bookmarkStart w:id="26" w:name="_Toc15378445"/>
      <w:r>
        <w:rPr>
          <w:rFonts w:hint="eastAsia" w:ascii="仿宋" w:hAnsi="仿宋" w:eastAsia="仿宋"/>
          <w:bCs/>
          <w:color w:val="000000"/>
          <w:sz w:val="32"/>
          <w:szCs w:val="32"/>
        </w:rPr>
        <w:t>（一）主要职能。</w:t>
      </w:r>
      <w:bookmarkEnd w:id="22"/>
      <w:bookmarkEnd w:id="23"/>
      <w:bookmarkEnd w:id="24"/>
    </w:p>
    <w:bookmarkEnd w:id="25"/>
    <w:bookmarkEnd w:id="26"/>
    <w:p>
      <w:pPr>
        <w:spacing w:line="560" w:lineRule="exact"/>
        <w:ind w:firstLine="480" w:firstLineChars="150"/>
        <w:rPr>
          <w:rFonts w:hint="eastAsia" w:ascii="仿宋" w:hAnsi="仿宋" w:eastAsia="仿宋" w:cs="仿宋"/>
          <w:sz w:val="32"/>
          <w:szCs w:val="32"/>
          <w:lang w:eastAsia="zh-CN"/>
        </w:rPr>
      </w:pPr>
      <w:bookmarkStart w:id="27" w:name="_Toc79163604"/>
      <w:bookmarkStart w:id="28" w:name="_Toc15377199"/>
      <w:bookmarkStart w:id="29" w:name="_Toc15378446"/>
      <w:bookmarkStart w:id="30" w:name="_Toc79163854"/>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）贯彻执行国家预算、税收、财务、会计等有关政策、法规、法令、规章制度，指导乡镇财政工作；拟定全县财政预算、地方税收、财务会计管理等有关制度，并监督执行。</w:t>
      </w:r>
    </w:p>
    <w:p>
      <w:pPr>
        <w:spacing w:line="560" w:lineRule="exact"/>
        <w:ind w:firstLine="480" w:firstLineChars="150"/>
        <w:rPr>
          <w:rFonts w:hint="eastAsia" w:ascii="仿宋" w:hAnsi="仿宋" w:eastAsia="仿宋" w:cs="仿宋"/>
          <w:sz w:val="32"/>
          <w:szCs w:val="32"/>
          <w:lang w:eastAsia="zh-CN"/>
        </w:rPr>
      </w:pPr>
      <w:r>
        <w:rPr>
          <w:rFonts w:hint="eastAsia" w:ascii="仿宋" w:hAnsi="仿宋" w:eastAsia="仿宋" w:cs="仿宋"/>
          <w:sz w:val="32"/>
          <w:szCs w:val="32"/>
        </w:rPr>
        <w:t>　</w:t>
      </w: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）贯彻执行财政分配政策和财政改革；参与宏观经济分析预测和全县重大宏观经济政策的制定；提出运用财税政策实施宏观经济调控和综合平衡全县财力的建议；制定构建地方公共财政体系的政策、制度。</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拟订全县财政、税收发展战略和中长期财政计划；汇编全县年度财政预（决）算，受县人民政府委托向县人民代表大会报告全县预算草案和预算执行情况，批复部门年度预算；执行县人大批准的县级财政预算，组织、监督县级和乡镇预算的执行；管理和监督全县各项财政收支，负责财政资金的调度和拨付。</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）组织拟订全县国库管理制度、国库集中收付制度，指导和监督国库业务；管理全县财政资金和财政专户，管理有关政府性基金，审查汇编财务收支计划和决算。</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5</w:t>
      </w:r>
      <w:r>
        <w:rPr>
          <w:rFonts w:hint="eastAsia" w:ascii="仿宋" w:hAnsi="仿宋" w:eastAsia="仿宋" w:cs="仿宋"/>
          <w:sz w:val="32"/>
          <w:szCs w:val="32"/>
        </w:rPr>
        <w:t>）负责管理国有资产，组织实施国有资产清产核资、产权界定和登记；负责国有资产管理的统计、分析、转让和处置等工作。</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6</w:t>
      </w:r>
      <w:r>
        <w:rPr>
          <w:rFonts w:hint="eastAsia" w:ascii="仿宋" w:hAnsi="仿宋" w:eastAsia="仿宋" w:cs="仿宋"/>
          <w:sz w:val="32"/>
          <w:szCs w:val="32"/>
        </w:rPr>
        <w:t>）监督社会保障资金和就业及医疗卫生财务管理制度的落实，拟订相关财务管理制度，负责全县财政社会保障支出；负责拟订政府采购制度，监督管理全县政府采购工作。</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7</w:t>
      </w:r>
      <w:r>
        <w:rPr>
          <w:rFonts w:hint="eastAsia" w:ascii="仿宋" w:hAnsi="仿宋" w:eastAsia="仿宋" w:cs="仿宋"/>
          <w:sz w:val="32"/>
          <w:szCs w:val="32"/>
        </w:rPr>
        <w:t>）贯彻实施国家、省、州对农业投入的法规，加强对农业投入的管理工作，管理县级财政支农资金。</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8</w:t>
      </w:r>
      <w:r>
        <w:rPr>
          <w:rFonts w:hint="eastAsia" w:ascii="仿宋" w:hAnsi="仿宋" w:eastAsia="仿宋" w:cs="仿宋"/>
          <w:sz w:val="32"/>
          <w:szCs w:val="32"/>
        </w:rPr>
        <w:t>）组织实施财政总预算会计制度和单位预算会计制度，监督会计规章制度的执行，指导全县会计工作，会同有关部门组织实施会计从业资格证、会计专业技术职务资格的考务工作，管理全县会计电算化工作。</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9</w:t>
      </w:r>
      <w:r>
        <w:rPr>
          <w:rFonts w:hint="eastAsia" w:ascii="仿宋" w:hAnsi="仿宋" w:eastAsia="仿宋" w:cs="仿宋"/>
          <w:sz w:val="32"/>
          <w:szCs w:val="32"/>
        </w:rPr>
        <w:t>）负责管理全县财政性收入，加强非税收入管理；对地方金融机构财务进行监管；负责彩票管理工作；负责国债资金的监管工作。</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10</w:t>
      </w:r>
      <w:r>
        <w:rPr>
          <w:rFonts w:hint="eastAsia" w:ascii="仿宋" w:hAnsi="仿宋" w:eastAsia="仿宋" w:cs="仿宋"/>
          <w:sz w:val="32"/>
          <w:szCs w:val="32"/>
        </w:rPr>
        <w:t>）负责办理和监督财政性资金支出、政府性投资项目的财政拨款；负责投资评审管理工作，参与拟订政府性建设投资的有关政策；负责有关政策性补贴和专项储备资金财务管理工作。</w:t>
      </w:r>
    </w:p>
    <w:p>
      <w:pPr>
        <w:spacing w:line="560" w:lineRule="exact"/>
        <w:ind w:firstLine="480" w:firstLineChars="150"/>
        <w:rPr>
          <w:rFonts w:hint="eastAsia" w:ascii="仿宋" w:hAnsi="仿宋" w:eastAsia="仿宋" w:cs="仿宋"/>
          <w:sz w:val="32"/>
          <w:szCs w:val="32"/>
          <w:lang w:eastAsia="zh-CN"/>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11</w:t>
      </w:r>
      <w:r>
        <w:rPr>
          <w:rFonts w:hint="eastAsia" w:ascii="仿宋" w:hAnsi="仿宋" w:eastAsia="仿宋" w:cs="仿宋"/>
          <w:sz w:val="32"/>
          <w:szCs w:val="32"/>
        </w:rPr>
        <w:t>）制定全县财政干部教育培训规划，组织财务人员培训；负责财政信息和财政宣传工作。</w:t>
      </w:r>
    </w:p>
    <w:p>
      <w:pPr>
        <w:spacing w:line="560" w:lineRule="exact"/>
        <w:ind w:firstLine="480" w:firstLineChars="150"/>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12</w:t>
      </w:r>
      <w:r>
        <w:rPr>
          <w:rFonts w:hint="eastAsia" w:ascii="仿宋" w:hAnsi="仿宋" w:eastAsia="仿宋" w:cs="仿宋"/>
          <w:sz w:val="32"/>
          <w:szCs w:val="32"/>
        </w:rPr>
        <w:t>）承担县政府公布的有关行政审批事项。</w:t>
      </w:r>
    </w:p>
    <w:p>
      <w:pPr>
        <w:snapToGrid w:val="0"/>
        <w:spacing w:line="520" w:lineRule="exact"/>
        <w:rPr>
          <w:rFonts w:ascii="仿宋" w:hAnsi="仿宋" w:eastAsia="仿宋" w:cs="仿宋"/>
          <w:sz w:val="32"/>
          <w:szCs w:val="32"/>
        </w:rPr>
      </w:pPr>
      <w:r>
        <w:t xml:space="preserve">    </w:t>
      </w:r>
      <w:r>
        <w:rPr>
          <w:rFonts w:hint="eastAsia"/>
        </w:rPr>
        <w:t xml:space="preserve"> </w:t>
      </w:r>
      <w:r>
        <w:rPr>
          <w:rFonts w:hint="eastAsia" w:ascii="仿宋" w:hAnsi="仿宋" w:eastAsia="仿宋" w:cs="仿宋"/>
          <w:sz w:val="32"/>
          <w:szCs w:val="32"/>
        </w:rPr>
        <w:t>（</w:t>
      </w:r>
      <w:r>
        <w:rPr>
          <w:rFonts w:ascii="仿宋" w:hAnsi="仿宋" w:eastAsia="仿宋" w:cs="仿宋"/>
          <w:sz w:val="32"/>
          <w:szCs w:val="32"/>
        </w:rPr>
        <w:t>13</w:t>
      </w:r>
      <w:r>
        <w:rPr>
          <w:rFonts w:hint="eastAsia" w:ascii="仿宋" w:hAnsi="仿宋" w:eastAsia="仿宋" w:cs="仿宋"/>
          <w:sz w:val="32"/>
          <w:szCs w:val="32"/>
        </w:rPr>
        <w:t>）承办县委</w:t>
      </w:r>
      <w:r>
        <w:rPr>
          <w:rFonts w:hint="eastAsia" w:ascii="仿宋" w:hAnsi="仿宋" w:eastAsia="仿宋" w:cs="仿宋"/>
          <w:sz w:val="32"/>
          <w:szCs w:val="32"/>
          <w:lang w:eastAsia="zh-CN"/>
        </w:rPr>
        <w:t>县</w:t>
      </w:r>
      <w:r>
        <w:rPr>
          <w:rFonts w:hint="eastAsia" w:ascii="仿宋" w:hAnsi="仿宋" w:eastAsia="仿宋" w:cs="仿宋"/>
          <w:sz w:val="32"/>
          <w:szCs w:val="32"/>
        </w:rPr>
        <w:t>政府和上级财政部门交办的其他事项。</w:t>
      </w:r>
    </w:p>
    <w:p>
      <w:pPr>
        <w:spacing w:line="560" w:lineRule="exact"/>
        <w:ind w:firstLine="640" w:firstLineChars="200"/>
        <w:outlineLvl w:val="2"/>
        <w:rPr>
          <w:rFonts w:ascii="仿宋" w:hAnsi="仿宋" w:eastAsia="仿宋"/>
          <w:bCs/>
          <w:color w:val="000000"/>
          <w:sz w:val="32"/>
          <w:szCs w:val="32"/>
        </w:rPr>
      </w:pPr>
      <w:bookmarkStart w:id="31" w:name="_Toc351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7"/>
      <w:bookmarkEnd w:id="28"/>
      <w:bookmarkEnd w:id="29"/>
      <w:bookmarkEnd w:id="30"/>
      <w:bookmarkEnd w:id="31"/>
    </w:p>
    <w:p>
      <w:pPr>
        <w:spacing w:line="560" w:lineRule="exact"/>
        <w:ind w:firstLine="642" w:firstLineChars="200"/>
        <w:rPr>
          <w:rFonts w:ascii="仿宋_GB2312" w:hAnsi="仿宋_GB2312" w:eastAsia="仿宋_GB2312" w:cs="仿宋_GB2312"/>
          <w:sz w:val="32"/>
          <w:szCs w:val="32"/>
        </w:rPr>
      </w:pPr>
      <w:r>
        <w:rPr>
          <w:rFonts w:ascii="楷体_GB2312" w:hAnsi="楷体" w:eastAsia="楷体_GB2312"/>
          <w:b/>
          <w:sz w:val="32"/>
          <w:szCs w:val="32"/>
        </w:rPr>
        <w:t>1.</w:t>
      </w:r>
      <w:r>
        <w:rPr>
          <w:rFonts w:hint="eastAsia" w:ascii="楷体_GB2312" w:hAnsi="楷体_GB2312" w:eastAsia="楷体_GB2312" w:cs="楷体_GB2312"/>
          <w:b/>
          <w:sz w:val="32"/>
          <w:szCs w:val="32"/>
        </w:rPr>
        <w:t>做好资金盘活，增加可用财力</w:t>
      </w:r>
      <w:r>
        <w:rPr>
          <w:rFonts w:hint="eastAsia" w:ascii="楷体_GB2312" w:hAnsi="楷体" w:eastAsia="楷体_GB2312"/>
          <w:b/>
          <w:sz w:val="32"/>
          <w:szCs w:val="32"/>
        </w:rPr>
        <w:t>。</w:t>
      </w:r>
      <w:r>
        <w:rPr>
          <w:rFonts w:hint="eastAsia" w:ascii="仿宋_GB2312" w:hAnsi="仿宋_GB2312" w:eastAsia="仿宋_GB2312" w:cs="仿宋_GB2312"/>
          <w:sz w:val="32"/>
          <w:szCs w:val="32"/>
        </w:rPr>
        <w:t>2021年我县共计收回部门预算存量资金40936.69万元，按原用途使用27935.82万元，收回再安排13000.87万元。根据相关资金管理办法，围绕2021年中心工作任务，我局会同相关部门制定了资金分配方案，将资金落实到了具体项目和实施单位，提高了资金使用效益。</w:t>
      </w:r>
    </w:p>
    <w:p>
      <w:pPr>
        <w:spacing w:line="560" w:lineRule="exact"/>
        <w:ind w:firstLine="627" w:firstLineChars="196"/>
        <w:rPr>
          <w:rFonts w:ascii="仿宋_GB2312" w:eastAsia="仿宋_GB2312"/>
          <w:sz w:val="32"/>
          <w:szCs w:val="32"/>
        </w:rPr>
      </w:pPr>
      <w:r>
        <w:rPr>
          <w:rFonts w:hint="eastAsia" w:ascii="仿宋_GB2312" w:hAnsi="仿宋_GB2312" w:eastAsia="仿宋_GB2312" w:cs="仿宋_GB2312"/>
          <w:kern w:val="0"/>
          <w:sz w:val="32"/>
          <w:szCs w:val="32"/>
        </w:rPr>
        <w:t>有效推进预算管理一体化系统建设，完成了2021年预算复盘工作，积极开展了2022年预算编制工作。截</w:t>
      </w:r>
      <w:r>
        <w:rPr>
          <w:rFonts w:hint="eastAsia" w:ascii="仿宋_GB2312" w:hAnsi="仿宋_GB2312" w:eastAsia="仿宋_GB2312" w:cs="仿宋_GB2312"/>
          <w:kern w:val="0"/>
          <w:sz w:val="32"/>
          <w:szCs w:val="32"/>
          <w:lang w:eastAsia="zh-CN"/>
        </w:rPr>
        <w:t>至</w:t>
      </w:r>
      <w:r>
        <w:rPr>
          <w:rFonts w:hint="eastAsia" w:ascii="仿宋_GB2312" w:hAnsi="仿宋_GB2312" w:eastAsia="仿宋_GB2312" w:cs="仿宋_GB2312"/>
          <w:kern w:val="0"/>
          <w:sz w:val="32"/>
          <w:szCs w:val="32"/>
        </w:rPr>
        <w:t>10月底，2022年部门预算基础信息报送率已达100%，部门预算编制“一上”已基本完成，正在抓紧核实相关预算数据。</w:t>
      </w:r>
    </w:p>
    <w:p>
      <w:pPr>
        <w:pStyle w:val="18"/>
        <w:spacing w:line="560" w:lineRule="exact"/>
        <w:ind w:left="0" w:leftChars="0" w:firstLine="642" w:firstLineChars="200"/>
        <w:rPr>
          <w:rFonts w:ascii="仿宋_GB2312" w:eastAsia="仿宋_GB2312"/>
          <w:b/>
          <w:kern w:val="0"/>
          <w:sz w:val="32"/>
          <w:szCs w:val="32"/>
        </w:rPr>
      </w:pPr>
      <w:r>
        <w:rPr>
          <w:rFonts w:ascii="楷体_GB2312" w:hAnsi="楷体" w:eastAsia="楷体_GB2312"/>
          <w:b/>
          <w:sz w:val="32"/>
          <w:szCs w:val="32"/>
        </w:rPr>
        <w:t>2.</w:t>
      </w:r>
      <w:r>
        <w:rPr>
          <w:rFonts w:hint="eastAsia" w:ascii="楷体_GB2312" w:hAnsi="楷体_GB2312" w:eastAsia="楷体_GB2312" w:cs="楷体_GB2312"/>
          <w:b/>
          <w:sz w:val="32"/>
          <w:szCs w:val="32"/>
        </w:rPr>
        <w:t>扎实做好疫情防控财政保障工作</w:t>
      </w:r>
      <w:r>
        <w:rPr>
          <w:rFonts w:hint="eastAsia" w:ascii="楷体_GB2312" w:hAnsi="楷体" w:eastAsia="楷体_GB2312"/>
          <w:b/>
          <w:sz w:val="32"/>
          <w:szCs w:val="32"/>
        </w:rPr>
        <w:t>。</w:t>
      </w:r>
      <w:r>
        <w:rPr>
          <w:rFonts w:hint="eastAsia" w:ascii="仿宋_GB2312" w:hAnsi="仿宋_GB2312" w:eastAsia="仿宋_GB2312" w:cs="仿宋_GB2312"/>
          <w:bCs/>
          <w:sz w:val="32"/>
          <w:szCs w:val="32"/>
        </w:rPr>
        <w:t>针对疫情的严峻形势，我局认真贯彻习近平总书记对疫情防控的重要指示精神，积极落实省、州、县委县政府和上级财政部门的有关要求，充分有效发挥财政部门职能作用，扎实做好疫情防控财政保障工作。</w:t>
      </w: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切实提高政治站位，把疫情防控工作作为当前的头等政治任务来抓；</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强化资金保障，根据我县疫情防控需要，想尽办法保障疫情防控资金全面到位，今年共筹措疫情防控资金374万元；</w:t>
      </w:r>
      <w:r>
        <w:rPr>
          <w:rFonts w:hint="eastAsia" w:ascii="仿宋_GB2312" w:hAnsi="仿宋_GB2312" w:eastAsia="仿宋_GB2312" w:cs="仿宋_GB2312"/>
          <w:b/>
          <w:sz w:val="32"/>
          <w:szCs w:val="32"/>
        </w:rPr>
        <w:t>三是</w:t>
      </w:r>
      <w:r>
        <w:rPr>
          <w:rFonts w:hint="eastAsia" w:ascii="仿宋_GB2312" w:hAnsi="仿宋_GB2312" w:eastAsia="仿宋_GB2312" w:cs="仿宋_GB2312"/>
          <w:bCs/>
          <w:sz w:val="32"/>
          <w:szCs w:val="32"/>
        </w:rPr>
        <w:t>强化人员防控，全面履行工作职责，严格按照疫情防控工作领导小组安排，及时对全体干部职工进行活动轨迹排查，单位返壤人员信息实行一日一报工作制度。</w:t>
      </w:r>
    </w:p>
    <w:p>
      <w:pPr>
        <w:spacing w:line="560" w:lineRule="exact"/>
        <w:ind w:firstLine="642"/>
        <w:rPr>
          <w:rFonts w:ascii="仿宋_GB2312" w:eastAsia="仿宋_GB2312"/>
          <w:sz w:val="32"/>
          <w:szCs w:val="32"/>
        </w:rPr>
      </w:pPr>
      <w:r>
        <w:rPr>
          <w:rFonts w:ascii="楷体_GB2312" w:hAnsi="楷体" w:eastAsia="楷体_GB2312"/>
          <w:b/>
          <w:sz w:val="32"/>
          <w:szCs w:val="32"/>
        </w:rPr>
        <w:t>3.</w:t>
      </w:r>
      <w:r>
        <w:rPr>
          <w:rFonts w:hint="eastAsia" w:ascii="楷体_GB2312" w:hAnsi="楷体_GB2312" w:eastAsia="楷体_GB2312" w:cs="楷体_GB2312"/>
          <w:b/>
          <w:sz w:val="32"/>
          <w:szCs w:val="32"/>
        </w:rPr>
        <w:t>做好巩固脱贫攻坚成果同乡村振兴有效衔接工</w:t>
      </w:r>
      <w:r>
        <w:rPr>
          <w:rFonts w:hint="eastAsia" w:ascii="仿宋_GB2312" w:hAnsi="仿宋_GB2312" w:eastAsia="仿宋_GB2312" w:cs="仿宋_GB2312"/>
          <w:b/>
          <w:sz w:val="32"/>
          <w:szCs w:val="32"/>
        </w:rPr>
        <w:t>作</w:t>
      </w:r>
      <w:r>
        <w:rPr>
          <w:rFonts w:hint="eastAsia" w:ascii="楷体_GB2312" w:hAnsi="楷体" w:eastAsia="楷体_GB2312"/>
          <w:b/>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加大财政专项衔接资金投入。</w:t>
      </w:r>
      <w:r>
        <w:rPr>
          <w:rFonts w:hint="eastAsia" w:ascii="仿宋_GB2312" w:hAnsi="仿宋_GB2312" w:eastAsia="仿宋_GB2312" w:cs="仿宋_GB2312"/>
          <w:color w:val="333333"/>
          <w:sz w:val="32"/>
          <w:szCs w:val="32"/>
        </w:rPr>
        <w:t>根据全县巩固脱贫攻坚成果同乡村振兴有效衔接工作需要和财力情况，逐年增加衔接资金规模，</w:t>
      </w:r>
      <w:r>
        <w:rPr>
          <w:rFonts w:hint="eastAsia" w:ascii="仿宋_GB2312" w:hAnsi="仿宋_GB2312" w:eastAsia="仿宋_GB2312" w:cs="仿宋_GB2312"/>
          <w:sz w:val="32"/>
          <w:szCs w:val="32"/>
        </w:rPr>
        <w:t>推动全县新增财力、可用财力优先安排用于乡村振兴工作。截至目前已收到上级财政专项衔接资金16486万元，行业资金3361.5万元，县级安排衔接资金1400万元，土地出让收入10万元，共计21257.5万元。到位资金按规定已全部下达到项目实施单位；</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大财政涉农资金整合力度。全年共统筹整合各类财政涉农资金19632.0332万元，共计实施146个项目。对纳入整合的财政涉农资金及时与资金主管部门进行沟通对接，并向项目实施单位下达资金文件，对资金的支出方向、项目管理和资金支付进度提出了明确要求；</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加大乡村振兴项目资金支出进度。我局协同相关部门，要求相关项目实施单位加快工程施工进度，及时拨付资金，全面确保完成100%的资金支出进度年度目标任务；</w:t>
      </w:r>
      <w:r>
        <w:rPr>
          <w:rFonts w:hint="eastAsia" w:ascii="仿宋_GB2312" w:hAnsi="仿宋_GB2312" w:eastAsia="仿宋_GB2312" w:cs="仿宋_GB2312"/>
          <w:b/>
          <w:bCs/>
          <w:sz w:val="32"/>
          <w:szCs w:val="32"/>
        </w:rPr>
        <w:t>四是</w:t>
      </w:r>
      <w:r>
        <w:rPr>
          <w:rFonts w:hint="eastAsia" w:ascii="仿宋_GB2312" w:hAnsi="仿宋_GB2312" w:eastAsia="仿宋_GB2312" w:cs="仿宋_GB2312"/>
          <w:color w:val="000000"/>
          <w:sz w:val="32"/>
          <w:szCs w:val="32"/>
        </w:rPr>
        <w:t>大力支持就业扶贫。安排资金40万元，用于新型职业农民培训和基层农技推广体系建设。千方百计帮助农牧民增收，安排1020万元用于11个乡镇自建项目建设，实现脱贫户就地就近就业，增加贫困群众收入，防止脱贫户返贫；</w:t>
      </w:r>
      <w:r>
        <w:rPr>
          <w:rFonts w:hint="eastAsia" w:ascii="仿宋_GB2312" w:hAnsi="仿宋_GB2312" w:eastAsia="仿宋_GB2312" w:cs="仿宋_GB2312"/>
          <w:b/>
          <w:bCs/>
          <w:color w:val="000000"/>
          <w:sz w:val="32"/>
          <w:szCs w:val="32"/>
        </w:rPr>
        <w:t>五是</w:t>
      </w:r>
      <w:r>
        <w:rPr>
          <w:rFonts w:hint="eastAsia" w:ascii="仿宋_GB2312" w:hAnsi="仿宋_GB2312" w:eastAsia="仿宋_GB2312" w:cs="仿宋_GB2312"/>
          <w:color w:val="000000"/>
          <w:sz w:val="32"/>
          <w:szCs w:val="32"/>
        </w:rPr>
        <w:t>继续发挥四项扶贫基金作用。按照基金管理办法要求，及时筹资470万元，保障基金适当规模。</w:t>
      </w:r>
    </w:p>
    <w:p>
      <w:pPr>
        <w:spacing w:line="560" w:lineRule="exact"/>
        <w:ind w:firstLine="642" w:firstLineChars="200"/>
        <w:rPr>
          <w:rFonts w:ascii="仿宋_GB2312" w:hAnsi="仿宋_GB2312" w:eastAsia="仿宋_GB2312" w:cs="仿宋_GB2312"/>
          <w:sz w:val="32"/>
          <w:szCs w:val="32"/>
        </w:rPr>
      </w:pPr>
      <w:r>
        <w:rPr>
          <w:rFonts w:ascii="楷体_GB2312" w:hAnsi="楷体" w:eastAsia="楷体_GB2312"/>
          <w:b/>
          <w:sz w:val="32"/>
          <w:szCs w:val="32"/>
        </w:rPr>
        <w:t>4.</w:t>
      </w:r>
      <w:r>
        <w:rPr>
          <w:rFonts w:hint="eastAsia" w:ascii="楷体_GB2312" w:hAnsi="楷体_GB2312" w:eastAsia="楷体_GB2312" w:cs="楷体_GB2312"/>
          <w:b/>
          <w:sz w:val="32"/>
          <w:szCs w:val="32"/>
        </w:rPr>
        <w:t>深化改革，不断推进财政创新力度</w:t>
      </w:r>
      <w:r>
        <w:rPr>
          <w:rFonts w:hint="eastAsia" w:ascii="楷体_GB2312" w:hAnsi="楷体" w:eastAsia="楷体_GB2312"/>
          <w:b/>
          <w:sz w:val="32"/>
          <w:szCs w:val="32"/>
        </w:rPr>
        <w:t>。</w:t>
      </w:r>
      <w:r>
        <w:rPr>
          <w:rFonts w:hint="eastAsia" w:ascii="仿宋_GB2312" w:hAnsi="仿宋_GB2312" w:eastAsia="仿宋_GB2312" w:cs="仿宋_GB2312"/>
          <w:kern w:val="0"/>
          <w:sz w:val="32"/>
          <w:szCs w:val="32"/>
        </w:rPr>
        <w:t>有效推进预算管理一体化系统建设，进一步提高预算编制的科学化和精准化水平，完善县本级和预算单位的预决算公开制度，细化预算公开内容和项目。</w:t>
      </w:r>
      <w:r>
        <w:rPr>
          <w:rFonts w:hint="eastAsia" w:ascii="仿宋_GB2312" w:hAnsi="仿宋_GB2312" w:eastAsia="仿宋_GB2312" w:cs="仿宋_GB2312"/>
          <w:sz w:val="32"/>
          <w:szCs w:val="32"/>
        </w:rPr>
        <w:t>积极推行公务卡强制结算制度，将公务卡与动态监控实施办法相结合，做好公务卡的宣传和推广工作，切实减少公务支出中的现金提取和使用，强化公务卡风险管理，重点防范信用风险。</w:t>
      </w:r>
    </w:p>
    <w:p>
      <w:pPr>
        <w:spacing w:line="560" w:lineRule="exact"/>
        <w:ind w:firstLine="642" w:firstLineChars="200"/>
        <w:rPr>
          <w:rFonts w:ascii="仿宋_GB2312" w:hAnsi="仿宋_GB2312" w:eastAsia="仿宋_GB2312" w:cs="仿宋_GB2312"/>
          <w:sz w:val="32"/>
          <w:szCs w:val="32"/>
        </w:rPr>
      </w:pPr>
      <w:r>
        <w:rPr>
          <w:rFonts w:hint="eastAsia" w:ascii="楷体_GB2312" w:hAnsi="楷体" w:eastAsia="楷体_GB2312"/>
          <w:b/>
          <w:sz w:val="32"/>
          <w:szCs w:val="32"/>
        </w:rPr>
        <w:t>5</w:t>
      </w:r>
      <w:r>
        <w:rPr>
          <w:rFonts w:ascii="楷体_GB2312" w:hAnsi="楷体" w:eastAsia="楷体_GB2312"/>
          <w:b/>
          <w:sz w:val="32"/>
          <w:szCs w:val="32"/>
        </w:rPr>
        <w:t>.</w:t>
      </w:r>
      <w:r>
        <w:rPr>
          <w:rFonts w:hint="eastAsia" w:ascii="楷体_GB2312" w:hAnsi="楷体_GB2312" w:eastAsia="楷体_GB2312" w:cs="楷体_GB2312"/>
          <w:b/>
          <w:sz w:val="32"/>
          <w:szCs w:val="32"/>
        </w:rPr>
        <w:t>充分发挥财政投资评审职能。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充分发挥财政投资评审职能，截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2021年11月12日共完成政府投资项目预算评审361个。送审金额78478.85万元，评审金额73870.43，审减金额4608.42万元，审减率为5.87%。备案政府采购计划181个，备案金额 30074.60万元，政府采购合同备案143个。督促指导全县75个预算单位建立健全了政府采购内控制度，对32个预算单位的内控制度建设进行了现场指导。完成了对15个单位2020年度的45个采购项目绩效检查。地方政府采购信息统计中，已完成资金支付的项目预算金额为1727.04万元，实际支付金额1682.88万元，节约资金44.17万元。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2021年11月12日，我县贫困地区农副产品采购预留份额为273.2万元，已完成170.74万元。按省州要求全面开展了政府采购领域突出问题专项治理工作，共计80个预算单位对2017年1月-2021年8月以来开展的政府采购活动进行了自查自纠，并在壤塘县人民政府门户网站上开通了对外征集线索渠道，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目前，我县没有收到政府采购活动相关举报。</w:t>
      </w:r>
    </w:p>
    <w:p>
      <w:pPr>
        <w:pStyle w:val="7"/>
        <w:rPr>
          <w:rFonts w:ascii="仿宋" w:hAnsi="仿宋" w:eastAsia="仿宋" w:cs="仿宋"/>
          <w:sz w:val="32"/>
          <w:szCs w:val="32"/>
        </w:rPr>
      </w:pPr>
    </w:p>
    <w:p>
      <w:pPr>
        <w:pStyle w:val="4"/>
        <w:rPr>
          <w:rStyle w:val="26"/>
          <w:b w:val="0"/>
          <w:bCs w:val="0"/>
        </w:rPr>
      </w:pPr>
      <w:bookmarkStart w:id="32" w:name="_Toc15377200"/>
      <w:bookmarkStart w:id="33" w:name="_Toc79163605"/>
      <w:bookmarkStart w:id="34" w:name="_Toc15396601"/>
      <w:bookmarkStart w:id="35" w:name="_Toc2214"/>
      <w:bookmarkStart w:id="36" w:name="_Toc7916385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32"/>
      <w:bookmarkEnd w:id="33"/>
      <w:bookmarkEnd w:id="34"/>
      <w:bookmarkEnd w:id="35"/>
      <w:bookmarkEnd w:id="36"/>
    </w:p>
    <w:p>
      <w:pPr>
        <w:ind w:firstLine="800" w:firstLineChars="250"/>
        <w:rPr>
          <w:rFonts w:ascii="仿宋" w:hAnsi="仿宋" w:eastAsia="仿宋"/>
          <w:sz w:val="32"/>
          <w:szCs w:val="32"/>
        </w:rPr>
      </w:pPr>
      <w:r>
        <w:rPr>
          <w:rFonts w:hint="eastAsia" w:ascii="仿宋" w:hAnsi="仿宋" w:eastAsia="仿宋"/>
          <w:sz w:val="32"/>
          <w:szCs w:val="32"/>
        </w:rPr>
        <w:t>壤塘县财政局下属二级单位0个，其中行政单位0个，参照公务员法管理的事业单位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pStyle w:val="8"/>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sz w:val="32"/>
          <w:szCs w:val="32"/>
        </w:rPr>
        <w:t>壤塘县财政局</w:t>
      </w:r>
      <w:r>
        <w:rPr>
          <w:rFonts w:ascii="仿宋" w:hAnsi="仿宋" w:eastAsia="仿宋"/>
          <w:color w:val="000000"/>
          <w:sz w:val="32"/>
          <w:szCs w:val="32"/>
        </w:rPr>
        <w:t>202</w:t>
      </w:r>
      <w:r>
        <w:rPr>
          <w:rFonts w:hint="eastAsia" w:ascii="仿宋" w:hAnsi="仿宋" w:eastAsia="仿宋"/>
          <w:color w:val="000000"/>
          <w:sz w:val="32"/>
          <w:szCs w:val="32"/>
        </w:rPr>
        <w:t>1年度部门决算编制范围的二级预算单位包括：</w:t>
      </w:r>
    </w:p>
    <w:p>
      <w:pPr>
        <w:pStyle w:val="8"/>
        <w:numPr>
          <w:ilvl w:val="0"/>
          <w:numId w:val="1"/>
        </w:numPr>
        <w:adjustRightInd w:val="0"/>
        <w:snapToGrid w:val="0"/>
        <w:spacing w:before="93" w:line="600" w:lineRule="exact"/>
        <w:outlineLvl w:val="2"/>
        <w:rPr>
          <w:rFonts w:ascii="仿宋" w:hAnsi="仿宋" w:eastAsia="仿宋"/>
          <w:color w:val="000000"/>
          <w:sz w:val="32"/>
          <w:szCs w:val="32"/>
        </w:rPr>
      </w:pPr>
      <w:bookmarkStart w:id="37" w:name="_Toc6154"/>
      <w:bookmarkStart w:id="38" w:name="_Toc15377433"/>
      <w:bookmarkStart w:id="39" w:name="_Toc15377202"/>
      <w:bookmarkStart w:id="40" w:name="_Toc15378449"/>
      <w:bookmarkStart w:id="41" w:name="_Toc79163857"/>
      <w:bookmarkStart w:id="42" w:name="_Toc79163607"/>
      <w:bookmarkStart w:id="43" w:name="_Toc15306276"/>
      <w:r>
        <w:rPr>
          <w:rFonts w:hint="eastAsia" w:ascii="仿宋" w:hAnsi="仿宋" w:eastAsia="仿宋"/>
          <w:sz w:val="32"/>
          <w:szCs w:val="32"/>
        </w:rPr>
        <w:t>四川省阿坝州壤塘县财政局机关</w:t>
      </w:r>
      <w:bookmarkEnd w:id="37"/>
    </w:p>
    <w:bookmarkEnd w:id="38"/>
    <w:bookmarkEnd w:id="39"/>
    <w:bookmarkEnd w:id="40"/>
    <w:bookmarkEnd w:id="41"/>
    <w:bookmarkEnd w:id="42"/>
    <w:bookmarkEnd w:id="43"/>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5"/>
          <w:rFonts w:ascii="黑体" w:hAnsi="黑体" w:eastAsia="黑体"/>
          <w:b w:val="0"/>
          <w:bCs w:val="0"/>
        </w:rPr>
      </w:pPr>
      <w:bookmarkStart w:id="44" w:name="_Toc15377204"/>
      <w:bookmarkStart w:id="45" w:name="_Toc79163609"/>
      <w:bookmarkStart w:id="46" w:name="_Toc29144"/>
      <w:bookmarkStart w:id="47" w:name="_Toc79163859"/>
      <w:bookmarkStart w:id="48" w:name="_Toc15396602"/>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44"/>
      <w:bookmarkEnd w:id="45"/>
      <w:bookmarkEnd w:id="46"/>
      <w:bookmarkEnd w:id="47"/>
      <w:bookmarkEnd w:id="48"/>
    </w:p>
    <w:p/>
    <w:p>
      <w:pPr>
        <w:pStyle w:val="36"/>
        <w:numPr>
          <w:ilvl w:val="0"/>
          <w:numId w:val="2"/>
        </w:numPr>
        <w:spacing w:line="600" w:lineRule="exact"/>
        <w:ind w:firstLineChars="0"/>
        <w:outlineLvl w:val="1"/>
        <w:rPr>
          <w:rStyle w:val="26"/>
          <w:rFonts w:ascii="黑体" w:hAnsi="黑体" w:eastAsia="黑体"/>
          <w:b w:val="0"/>
        </w:rPr>
      </w:pPr>
      <w:bookmarkStart w:id="49" w:name="_Toc79163860"/>
      <w:bookmarkStart w:id="50" w:name="_Toc15396603"/>
      <w:bookmarkStart w:id="51" w:name="_Toc79163610"/>
      <w:bookmarkStart w:id="52" w:name="_Toc29488"/>
      <w:bookmarkStart w:id="53"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49"/>
      <w:bookmarkEnd w:id="50"/>
      <w:bookmarkEnd w:id="51"/>
      <w:bookmarkEnd w:id="52"/>
      <w:bookmarkEnd w:id="5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2021年度收入总计1090.31万元。与</w:t>
      </w:r>
      <w:r>
        <w:rPr>
          <w:rFonts w:ascii="仿宋" w:hAnsi="仿宋" w:eastAsia="仿宋"/>
          <w:color w:val="000000"/>
          <w:sz w:val="32"/>
          <w:szCs w:val="32"/>
        </w:rPr>
        <w:t>20</w:t>
      </w:r>
      <w:r>
        <w:rPr>
          <w:rFonts w:hint="eastAsia" w:ascii="仿宋" w:hAnsi="仿宋" w:eastAsia="仿宋"/>
          <w:color w:val="000000"/>
          <w:sz w:val="32"/>
          <w:szCs w:val="32"/>
        </w:rPr>
        <w:t>20年相比，收入总计减少23.66万元，下降2.12</w:t>
      </w:r>
      <w:r>
        <w:rPr>
          <w:rFonts w:ascii="仿宋" w:hAnsi="仿宋" w:eastAsia="仿宋"/>
          <w:color w:val="000000"/>
          <w:sz w:val="32"/>
          <w:szCs w:val="32"/>
        </w:rPr>
        <w:t>%</w:t>
      </w:r>
      <w:r>
        <w:rPr>
          <w:rFonts w:hint="eastAsia" w:ascii="仿宋" w:hAnsi="仿宋" w:eastAsia="仿宋"/>
          <w:color w:val="000000"/>
          <w:sz w:val="32"/>
          <w:szCs w:val="32"/>
        </w:rPr>
        <w:t>。主要变动原因是单位新增人员减少，单位运行费用减少。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2021年度支出总计</w:t>
      </w:r>
      <w:r>
        <w:rPr>
          <w:rFonts w:ascii="仿宋" w:hAnsi="仿宋" w:eastAsia="仿宋"/>
          <w:color w:val="000000"/>
          <w:sz w:val="32"/>
          <w:szCs w:val="32"/>
        </w:rPr>
        <w:t>1305.46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20年相比，支出总计减少9.38万元，下降0.71</w:t>
      </w:r>
      <w:r>
        <w:rPr>
          <w:rFonts w:ascii="仿宋" w:hAnsi="仿宋" w:eastAsia="仿宋"/>
          <w:color w:val="000000"/>
          <w:sz w:val="32"/>
          <w:szCs w:val="32"/>
        </w:rPr>
        <w:t>%</w:t>
      </w:r>
      <w:r>
        <w:rPr>
          <w:rFonts w:hint="eastAsia" w:ascii="仿宋" w:hAnsi="仿宋" w:eastAsia="仿宋"/>
          <w:color w:val="000000"/>
          <w:sz w:val="32"/>
          <w:szCs w:val="32"/>
        </w:rPr>
        <w:t>。主要变动原因是单位新增人员减少，单位运行费用减少。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 w:hAnsi="仿宋" w:eastAsia="仿宋"/>
          <w:color w:val="000000"/>
          <w:sz w:val="32"/>
          <w:szCs w:val="32"/>
        </w:rPr>
      </w:pPr>
    </w:p>
    <w:p>
      <w:pPr>
        <w:spacing w:line="600" w:lineRule="exact"/>
        <w:ind w:firstLine="1600" w:firstLineChars="500"/>
        <w:jc w:val="left"/>
        <w:rPr>
          <w:rFonts w:ascii="仿宋_GB2312" w:eastAsia="仿宋_GB2312"/>
          <w:color w:val="000000"/>
          <w:sz w:val="32"/>
          <w:szCs w:val="32"/>
        </w:rPr>
      </w:pPr>
      <w:r>
        <w:rPr>
          <w:rFonts w:hint="eastAsia" w:ascii="仿宋" w:hAnsi="仿宋" w:eastAsia="仿宋"/>
          <w:color w:val="000000"/>
          <w:sz w:val="32"/>
          <w:szCs w:val="32"/>
        </w:rPr>
        <w:t>2021年收、支决算变动情况</w:t>
      </w:r>
    </w:p>
    <w:p>
      <w:pPr>
        <w:pStyle w:val="2"/>
        <w:ind w:firstLine="640"/>
      </w:pPr>
    </w:p>
    <w:p>
      <w:pPr>
        <w:pStyle w:val="2"/>
        <w:ind w:firstLine="640"/>
      </w:pPr>
      <w:r>
        <w:drawing>
          <wp:inline distT="0" distB="0" distL="0" distR="0">
            <wp:extent cx="4572000" cy="2743200"/>
            <wp:effectExtent l="19050" t="0" r="1905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ind w:firstLine="640"/>
      </w:pPr>
    </w:p>
    <w:p>
      <w:pPr>
        <w:pStyle w:val="2"/>
        <w:ind w:firstLine="640"/>
      </w:pPr>
    </w:p>
    <w:p>
      <w:pPr>
        <w:pStyle w:val="36"/>
        <w:numPr>
          <w:ilvl w:val="0"/>
          <w:numId w:val="2"/>
        </w:numPr>
        <w:spacing w:line="600" w:lineRule="exact"/>
        <w:ind w:firstLineChars="0"/>
        <w:outlineLvl w:val="1"/>
        <w:rPr>
          <w:rStyle w:val="26"/>
          <w:rFonts w:ascii="黑体" w:hAnsi="黑体" w:eastAsia="黑体"/>
          <w:b w:val="0"/>
        </w:rPr>
      </w:pPr>
      <w:bookmarkStart w:id="54" w:name="_Toc15377206"/>
      <w:bookmarkStart w:id="55" w:name="_Toc15396604"/>
      <w:bookmarkStart w:id="56" w:name="_Toc79163861"/>
      <w:bookmarkStart w:id="57" w:name="_Toc3792"/>
      <w:bookmarkStart w:id="58" w:name="_Toc79163611"/>
      <w:r>
        <w:rPr>
          <w:rFonts w:hint="eastAsia" w:ascii="黑体" w:hAnsi="黑体" w:eastAsia="黑体"/>
          <w:color w:val="000000"/>
          <w:sz w:val="32"/>
          <w:szCs w:val="32"/>
        </w:rPr>
        <w:t>收</w:t>
      </w:r>
      <w:r>
        <w:rPr>
          <w:rStyle w:val="26"/>
          <w:rFonts w:hint="eastAsia" w:ascii="黑体" w:hAnsi="黑体" w:eastAsia="黑体"/>
          <w:b w:val="0"/>
        </w:rPr>
        <w:t>入决算情况说明</w:t>
      </w:r>
      <w:bookmarkEnd w:id="54"/>
      <w:bookmarkEnd w:id="55"/>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w:t>
      </w:r>
      <w:r>
        <w:rPr>
          <w:rFonts w:ascii="仿宋" w:hAnsi="仿宋" w:eastAsia="仿宋"/>
          <w:color w:val="000000"/>
          <w:sz w:val="32"/>
          <w:szCs w:val="32"/>
        </w:rPr>
        <w:t>1090.31</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1090.31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
        <w:ind w:firstLine="640"/>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
        <w:ind w:firstLine="640"/>
      </w:pPr>
    </w:p>
    <w:p>
      <w:pPr>
        <w:pStyle w:val="2"/>
        <w:ind w:firstLine="2560" w:firstLineChars="800"/>
        <w:rPr>
          <w:rFonts w:ascii="仿宋" w:hAnsi="仿宋" w:eastAsia="仿宋"/>
          <w:color w:val="000000"/>
        </w:rPr>
      </w:pPr>
      <w:r>
        <w:rPr>
          <w:rFonts w:hint="eastAsia" w:ascii="仿宋" w:hAnsi="仿宋" w:eastAsia="仿宋"/>
          <w:color w:val="000000"/>
        </w:rPr>
        <w:t>2021年收入决算情况</w:t>
      </w:r>
    </w:p>
    <w:p>
      <w:pPr>
        <w:pStyle w:val="2"/>
        <w:ind w:firstLine="419" w:firstLineChars="131"/>
      </w:pPr>
    </w:p>
    <w:p>
      <w:pPr>
        <w:pStyle w:val="2"/>
        <w:ind w:firstLine="419" w:firstLineChars="131"/>
      </w:pPr>
    </w:p>
    <w:p>
      <w:pPr>
        <w:pStyle w:val="2"/>
        <w:ind w:firstLine="640"/>
      </w:pPr>
      <w:r>
        <w:drawing>
          <wp:inline distT="0" distB="0" distL="0" distR="0">
            <wp:extent cx="4572000" cy="274320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ind w:firstLine="640"/>
      </w:pPr>
    </w:p>
    <w:p>
      <w:pPr>
        <w:pStyle w:val="2"/>
        <w:ind w:firstLine="640"/>
      </w:pPr>
    </w:p>
    <w:p>
      <w:pPr>
        <w:spacing w:line="600" w:lineRule="exact"/>
        <w:ind w:firstLine="640" w:firstLineChars="200"/>
        <w:rPr>
          <w:rFonts w:ascii="仿宋_GB2312" w:eastAsia="仿宋_GB2312"/>
          <w:color w:val="FF0000"/>
          <w:sz w:val="32"/>
          <w:szCs w:val="32"/>
        </w:rPr>
      </w:pPr>
    </w:p>
    <w:p>
      <w:pPr>
        <w:pStyle w:val="36"/>
        <w:numPr>
          <w:ilvl w:val="0"/>
          <w:numId w:val="2"/>
        </w:numPr>
        <w:spacing w:line="600" w:lineRule="exact"/>
        <w:ind w:firstLineChars="0"/>
        <w:outlineLvl w:val="1"/>
        <w:rPr>
          <w:rStyle w:val="26"/>
          <w:rFonts w:ascii="黑体" w:hAnsi="黑体" w:eastAsia="黑体"/>
          <w:b w:val="0"/>
        </w:rPr>
      </w:pPr>
      <w:bookmarkStart w:id="59" w:name="_Toc14628"/>
      <w:bookmarkStart w:id="60" w:name="_Toc79163612"/>
      <w:bookmarkStart w:id="61" w:name="_Toc79163862"/>
      <w:bookmarkStart w:id="62" w:name="_Toc15377207"/>
      <w:bookmarkStart w:id="63"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59"/>
      <w:bookmarkEnd w:id="60"/>
      <w:bookmarkEnd w:id="61"/>
      <w:bookmarkEnd w:id="62"/>
      <w:bookmarkEnd w:id="63"/>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w:t>
      </w:r>
      <w:r>
        <w:rPr>
          <w:rFonts w:ascii="仿宋_GB2312" w:eastAsia="仿宋_GB2312"/>
          <w:sz w:val="32"/>
          <w:szCs w:val="32"/>
        </w:rPr>
        <w:t>1305.46</w:t>
      </w:r>
      <w:r>
        <w:rPr>
          <w:rFonts w:hint="eastAsia" w:ascii="仿宋_GB2312" w:eastAsia="仿宋_GB2312"/>
          <w:sz w:val="32"/>
          <w:szCs w:val="32"/>
        </w:rPr>
        <w:t>万元，其中：基本支出</w:t>
      </w:r>
      <w:r>
        <w:rPr>
          <w:rFonts w:ascii="仿宋_GB2312" w:eastAsia="仿宋_GB2312"/>
          <w:sz w:val="32"/>
          <w:szCs w:val="32"/>
        </w:rPr>
        <w:t>899.52</w:t>
      </w:r>
      <w:r>
        <w:rPr>
          <w:rFonts w:hint="eastAsia" w:ascii="仿宋_GB2312" w:eastAsia="仿宋_GB2312"/>
          <w:sz w:val="32"/>
          <w:szCs w:val="32"/>
        </w:rPr>
        <w:t>万元，占68.90</w:t>
      </w:r>
      <w:r>
        <w:rPr>
          <w:rFonts w:ascii="仿宋_GB2312" w:eastAsia="仿宋_GB2312"/>
          <w:sz w:val="32"/>
          <w:szCs w:val="32"/>
        </w:rPr>
        <w:t>%</w:t>
      </w:r>
      <w:r>
        <w:rPr>
          <w:rFonts w:hint="eastAsia" w:ascii="仿宋_GB2312" w:eastAsia="仿宋_GB2312"/>
          <w:sz w:val="32"/>
          <w:szCs w:val="32"/>
        </w:rPr>
        <w:t>；项目支出</w:t>
      </w:r>
      <w:r>
        <w:rPr>
          <w:rFonts w:ascii="仿宋_GB2312" w:eastAsia="仿宋_GB2312"/>
          <w:sz w:val="32"/>
          <w:szCs w:val="32"/>
        </w:rPr>
        <w:t>405.94</w:t>
      </w:r>
      <w:r>
        <w:rPr>
          <w:rFonts w:hint="eastAsia" w:ascii="仿宋_GB2312" w:eastAsia="仿宋_GB2312"/>
          <w:sz w:val="32"/>
          <w:szCs w:val="32"/>
        </w:rPr>
        <w:t>万元，占31.10</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pPr>
        <w:pStyle w:val="2"/>
        <w:ind w:firstLine="640"/>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2"/>
        <w:ind w:firstLine="640"/>
      </w:pPr>
    </w:p>
    <w:p>
      <w:pPr>
        <w:pStyle w:val="2"/>
        <w:ind w:firstLine="2560" w:firstLineChars="800"/>
        <w:rPr>
          <w:rFonts w:ascii="仿宋" w:hAnsi="仿宋" w:eastAsia="仿宋"/>
          <w:color w:val="000000"/>
        </w:rPr>
      </w:pPr>
      <w:r>
        <w:rPr>
          <w:rFonts w:hint="eastAsia" w:ascii="仿宋" w:hAnsi="仿宋" w:eastAsia="仿宋"/>
          <w:color w:val="000000"/>
        </w:rPr>
        <w:t>2021年收入决算情况</w:t>
      </w:r>
    </w:p>
    <w:p>
      <w:pPr>
        <w:pStyle w:val="2"/>
        <w:ind w:firstLine="640"/>
      </w:pPr>
    </w:p>
    <w:p>
      <w:pPr>
        <w:pStyle w:val="2"/>
        <w:ind w:firstLine="640"/>
      </w:pPr>
    </w:p>
    <w:p>
      <w:pPr>
        <w:pStyle w:val="2"/>
        <w:ind w:firstLine="640"/>
      </w:pPr>
      <w:r>
        <w:drawing>
          <wp:inline distT="0" distB="0" distL="0" distR="0">
            <wp:extent cx="4572000" cy="2743200"/>
            <wp:effectExtent l="19050" t="0" r="1905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64" w:name="_Toc79163863"/>
      <w:bookmarkStart w:id="65" w:name="_Toc28157"/>
      <w:bookmarkStart w:id="66" w:name="_Toc15396606"/>
      <w:bookmarkStart w:id="67" w:name="_Toc15377208"/>
      <w:bookmarkStart w:id="68"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64"/>
      <w:bookmarkEnd w:id="65"/>
      <w:bookmarkEnd w:id="66"/>
      <w:bookmarkEnd w:id="67"/>
      <w:bookmarkEnd w:id="6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2021年度收入总计1090.31万元。与</w:t>
      </w:r>
      <w:r>
        <w:rPr>
          <w:rFonts w:ascii="仿宋" w:hAnsi="仿宋" w:eastAsia="仿宋"/>
          <w:color w:val="000000"/>
          <w:sz w:val="32"/>
          <w:szCs w:val="32"/>
        </w:rPr>
        <w:t>20</w:t>
      </w:r>
      <w:r>
        <w:rPr>
          <w:rFonts w:hint="eastAsia" w:ascii="仿宋" w:hAnsi="仿宋" w:eastAsia="仿宋"/>
          <w:color w:val="000000"/>
          <w:sz w:val="32"/>
          <w:szCs w:val="32"/>
        </w:rPr>
        <w:t>20年相比，收入总计减少23.66万元，下降2.12</w:t>
      </w:r>
      <w:r>
        <w:rPr>
          <w:rFonts w:ascii="仿宋" w:hAnsi="仿宋" w:eastAsia="仿宋"/>
          <w:color w:val="000000"/>
          <w:sz w:val="32"/>
          <w:szCs w:val="32"/>
        </w:rPr>
        <w:t>%</w:t>
      </w:r>
      <w:r>
        <w:rPr>
          <w:rFonts w:hint="eastAsia" w:ascii="仿宋" w:hAnsi="仿宋" w:eastAsia="仿宋"/>
          <w:color w:val="000000"/>
          <w:sz w:val="32"/>
          <w:szCs w:val="32"/>
        </w:rPr>
        <w:t>。主要变动原因是单位新增人员减少，单位运行费用减少。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2021年度支出总计</w:t>
      </w:r>
      <w:r>
        <w:rPr>
          <w:rFonts w:ascii="仿宋" w:hAnsi="仿宋" w:eastAsia="仿宋"/>
          <w:color w:val="000000"/>
          <w:sz w:val="32"/>
          <w:szCs w:val="32"/>
        </w:rPr>
        <w:t>1305.46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20年相比，支出总计减少9.38万元，下降0.71</w:t>
      </w:r>
      <w:r>
        <w:rPr>
          <w:rFonts w:ascii="仿宋" w:hAnsi="仿宋" w:eastAsia="仿宋"/>
          <w:color w:val="000000"/>
          <w:sz w:val="32"/>
          <w:szCs w:val="32"/>
        </w:rPr>
        <w:t>%</w:t>
      </w:r>
      <w:r>
        <w:rPr>
          <w:rFonts w:hint="eastAsia" w:ascii="仿宋" w:hAnsi="仿宋" w:eastAsia="仿宋"/>
          <w:color w:val="000000"/>
          <w:sz w:val="32"/>
          <w:szCs w:val="32"/>
        </w:rPr>
        <w:t>。主要变动原因是单位新增人员减少，单位运行费用减少。</w:t>
      </w:r>
    </w:p>
    <w:p>
      <w:pPr>
        <w:pStyle w:val="2"/>
        <w:ind w:firstLine="640"/>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Style w:val="2"/>
        <w:ind w:firstLine="640"/>
      </w:pPr>
    </w:p>
    <w:p>
      <w:pPr>
        <w:spacing w:line="600" w:lineRule="exact"/>
        <w:ind w:firstLine="1440" w:firstLineChars="450"/>
        <w:rPr>
          <w:rFonts w:ascii="仿宋" w:hAnsi="仿宋" w:eastAsia="仿宋"/>
          <w:color w:val="000000"/>
          <w:sz w:val="32"/>
          <w:szCs w:val="32"/>
        </w:rPr>
      </w:pPr>
      <w:r>
        <w:rPr>
          <w:rFonts w:hint="eastAsia" w:ascii="仿宋" w:hAnsi="仿宋" w:eastAsia="仿宋"/>
          <w:color w:val="000000"/>
          <w:sz w:val="32"/>
          <w:szCs w:val="32"/>
        </w:rPr>
        <w:t>2021年财政拨款收、支决算总计变动情况</w:t>
      </w:r>
    </w:p>
    <w:p>
      <w:pPr>
        <w:pStyle w:val="2"/>
        <w:ind w:firstLine="640"/>
      </w:pPr>
    </w:p>
    <w:p>
      <w:pPr>
        <w:pStyle w:val="2"/>
        <w:ind w:firstLine="640"/>
      </w:pPr>
      <w:r>
        <w:drawing>
          <wp:inline distT="0" distB="0" distL="0" distR="0">
            <wp:extent cx="5274310" cy="2481580"/>
            <wp:effectExtent l="19050" t="0" r="21590" b="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ind w:firstLine="640"/>
      </w:pPr>
    </w:p>
    <w:p>
      <w:pPr>
        <w:spacing w:line="600" w:lineRule="exact"/>
        <w:ind w:firstLine="640" w:firstLineChars="200"/>
        <w:outlineLvl w:val="1"/>
        <w:rPr>
          <w:rStyle w:val="26"/>
          <w:rFonts w:ascii="黑体" w:hAnsi="黑体" w:eastAsia="黑体"/>
          <w:b w:val="0"/>
        </w:rPr>
      </w:pPr>
      <w:bookmarkStart w:id="69" w:name="_Toc79163614"/>
      <w:bookmarkStart w:id="70" w:name="_Toc15377209"/>
      <w:bookmarkStart w:id="71" w:name="_Toc29096"/>
      <w:bookmarkStart w:id="72" w:name="_Toc15396607"/>
      <w:bookmarkStart w:id="73"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69"/>
      <w:bookmarkEnd w:id="70"/>
      <w:bookmarkEnd w:id="71"/>
      <w:bookmarkEnd w:id="72"/>
      <w:bookmarkEnd w:id="73"/>
    </w:p>
    <w:p>
      <w:pPr>
        <w:spacing w:line="600" w:lineRule="exact"/>
        <w:ind w:firstLine="642" w:firstLineChars="200"/>
        <w:outlineLvl w:val="2"/>
        <w:rPr>
          <w:rFonts w:ascii="仿宋" w:hAnsi="仿宋" w:eastAsia="仿宋"/>
          <w:b/>
          <w:color w:val="000000"/>
          <w:sz w:val="32"/>
          <w:szCs w:val="32"/>
        </w:rPr>
      </w:pPr>
      <w:bookmarkStart w:id="74" w:name="_Toc79163615"/>
      <w:bookmarkStart w:id="75" w:name="_Toc79163865"/>
      <w:bookmarkStart w:id="76" w:name="_Toc1784"/>
      <w:bookmarkStart w:id="77" w:name="_Toc15377210"/>
      <w:r>
        <w:rPr>
          <w:rFonts w:hint="eastAsia" w:ascii="仿宋" w:hAnsi="仿宋" w:eastAsia="仿宋"/>
          <w:b/>
          <w:color w:val="000000"/>
          <w:sz w:val="32"/>
          <w:szCs w:val="32"/>
        </w:rPr>
        <w:t>（一）一般公共预算财政拨款支出决算总体情况</w:t>
      </w:r>
      <w:bookmarkEnd w:id="74"/>
      <w:bookmarkEnd w:id="75"/>
      <w:bookmarkEnd w:id="76"/>
      <w:bookmarkEnd w:id="7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ascii="仿宋" w:hAnsi="仿宋" w:eastAsia="仿宋"/>
          <w:color w:val="000000"/>
          <w:sz w:val="32"/>
          <w:szCs w:val="32"/>
        </w:rPr>
        <w:t>1142.64</w:t>
      </w:r>
      <w:r>
        <w:rPr>
          <w:rFonts w:hint="eastAsia" w:ascii="仿宋" w:hAnsi="仿宋" w:eastAsia="仿宋"/>
          <w:color w:val="000000"/>
          <w:sz w:val="32"/>
          <w:szCs w:val="32"/>
        </w:rPr>
        <w:t>万元，占本年支出合计的85.94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20年相比，一般公共预算财政拨款减少20.68万元，下降1.81</w:t>
      </w:r>
      <w:r>
        <w:rPr>
          <w:rFonts w:ascii="仿宋" w:hAnsi="仿宋" w:eastAsia="仿宋"/>
          <w:color w:val="000000"/>
          <w:sz w:val="32"/>
          <w:szCs w:val="32"/>
        </w:rPr>
        <w:t>%</w:t>
      </w:r>
      <w:r>
        <w:rPr>
          <w:rFonts w:hint="eastAsia" w:ascii="仿宋" w:hAnsi="仿宋" w:eastAsia="仿宋"/>
          <w:color w:val="000000"/>
          <w:sz w:val="32"/>
          <w:szCs w:val="32"/>
        </w:rPr>
        <w:t>。主要变动原因是单位招收人员减少，单位运行费用减少。</w:t>
      </w: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2"/>
        <w:ind w:firstLine="640"/>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2021年一般公共预算财政拨款支出决算变动情况</w:t>
      </w:r>
    </w:p>
    <w:p>
      <w:pPr>
        <w:pStyle w:val="2"/>
        <w:ind w:firstLine="640"/>
      </w:pPr>
    </w:p>
    <w:p>
      <w:pPr>
        <w:pStyle w:val="2"/>
        <w:ind w:firstLine="640"/>
      </w:pPr>
    </w:p>
    <w:p>
      <w:pPr>
        <w:pStyle w:val="2"/>
        <w:ind w:firstLine="640"/>
      </w:pPr>
      <w:r>
        <w:drawing>
          <wp:inline distT="0" distB="0" distL="0" distR="0">
            <wp:extent cx="4572000" cy="2743200"/>
            <wp:effectExtent l="19050" t="0" r="1905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640"/>
      </w:pPr>
    </w:p>
    <w:p>
      <w:pPr>
        <w:pStyle w:val="2"/>
        <w:ind w:firstLine="640"/>
      </w:pPr>
    </w:p>
    <w:p>
      <w:pPr>
        <w:pStyle w:val="2"/>
        <w:ind w:firstLine="640"/>
      </w:pPr>
    </w:p>
    <w:p>
      <w:pPr>
        <w:pStyle w:val="2"/>
        <w:ind w:firstLine="640"/>
      </w:pPr>
    </w:p>
    <w:p>
      <w:pPr>
        <w:spacing w:line="600" w:lineRule="exact"/>
        <w:ind w:firstLine="642" w:firstLineChars="200"/>
        <w:outlineLvl w:val="2"/>
        <w:rPr>
          <w:rFonts w:ascii="仿宋" w:hAnsi="仿宋" w:eastAsia="仿宋"/>
          <w:b/>
          <w:color w:val="000000"/>
          <w:sz w:val="32"/>
          <w:szCs w:val="32"/>
        </w:rPr>
      </w:pPr>
      <w:bookmarkStart w:id="78" w:name="_Toc4420"/>
      <w:bookmarkStart w:id="79" w:name="_Toc15377211"/>
      <w:bookmarkStart w:id="80" w:name="_Toc79163616"/>
      <w:bookmarkStart w:id="81" w:name="_Toc79163866"/>
      <w:r>
        <w:rPr>
          <w:rFonts w:hint="eastAsia" w:ascii="仿宋" w:hAnsi="仿宋" w:eastAsia="仿宋"/>
          <w:b/>
          <w:color w:val="000000"/>
          <w:sz w:val="32"/>
          <w:szCs w:val="32"/>
        </w:rPr>
        <w:t>（二）一般公共预算财政拨款支出决算结构情况</w:t>
      </w:r>
      <w:bookmarkEnd w:id="78"/>
      <w:bookmarkEnd w:id="79"/>
      <w:bookmarkEnd w:id="80"/>
      <w:bookmarkEnd w:id="8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1年一般公共预算财政拨款支出1305.46万元，主要用于以下方面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支出1121.96万元，占85.94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rPr>
        <w:t>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文化旅游体育与传媒（类）支出0万元，占0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支出86.57万元，占6.63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37.75万元，占2.89</w:t>
      </w:r>
      <w:r>
        <w:rPr>
          <w:rFonts w:ascii="仿宋" w:hAnsi="仿宋" w:eastAsia="仿宋"/>
          <w:color w:val="000000"/>
          <w:sz w:val="32"/>
          <w:szCs w:val="32"/>
        </w:rPr>
        <w:t>%</w:t>
      </w:r>
      <w:r>
        <w:rPr>
          <w:rFonts w:hint="eastAsia" w:ascii="仿宋" w:hAnsi="仿宋" w:eastAsia="仿宋"/>
          <w:color w:val="000000"/>
          <w:sz w:val="32"/>
          <w:szCs w:val="32"/>
        </w:rPr>
        <w:t>；住房保障支出59.19万元，占4.53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Calibri" w:hAnsi="Calibri"/>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Style w:val="2"/>
        <w:ind w:firstLine="640"/>
      </w:pPr>
    </w:p>
    <w:p>
      <w:pPr>
        <w:pStyle w:val="2"/>
        <w:ind w:firstLine="640"/>
      </w:pPr>
    </w:p>
    <w:p>
      <w:pPr>
        <w:pStyle w:val="2"/>
        <w:ind w:firstLine="640"/>
      </w:pPr>
      <w:r>
        <w:drawing>
          <wp:inline distT="0" distB="0" distL="0" distR="0">
            <wp:extent cx="4572000" cy="2743200"/>
            <wp:effectExtent l="19050" t="0" r="1905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ind w:firstLine="640"/>
      </w:pPr>
    </w:p>
    <w:p>
      <w:pPr>
        <w:pStyle w:val="2"/>
        <w:ind w:firstLine="640"/>
      </w:pPr>
    </w:p>
    <w:p>
      <w:pPr>
        <w:pStyle w:val="2"/>
        <w:ind w:firstLine="0" w:firstLineChars="0"/>
      </w:pPr>
    </w:p>
    <w:p>
      <w:pPr>
        <w:pStyle w:val="2"/>
        <w:ind w:firstLine="0" w:firstLineChars="0"/>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82" w:name="_Toc79163867"/>
      <w:bookmarkStart w:id="83" w:name="_Toc79163617"/>
      <w:bookmarkStart w:id="84" w:name="_Toc21018"/>
      <w:bookmarkStart w:id="85" w:name="_Toc15377212"/>
      <w:r>
        <w:rPr>
          <w:rFonts w:hint="eastAsia" w:ascii="仿宋" w:hAnsi="仿宋" w:eastAsia="仿宋"/>
          <w:b/>
          <w:color w:val="000000"/>
          <w:sz w:val="32"/>
          <w:szCs w:val="32"/>
        </w:rPr>
        <w:t>（三）一般公共预算财政拨款支出决算具体情况</w:t>
      </w:r>
      <w:bookmarkEnd w:id="82"/>
      <w:bookmarkEnd w:id="83"/>
      <w:bookmarkEnd w:id="84"/>
      <w:bookmarkEnd w:id="85"/>
    </w:p>
    <w:p>
      <w:pPr>
        <w:spacing w:line="600" w:lineRule="exact"/>
        <w:ind w:firstLine="642" w:firstLineChars="200"/>
        <w:rPr>
          <w:rFonts w:ascii="仿宋_GB2312" w:eastAsia="仿宋_GB2312"/>
          <w:b/>
          <w:bCs/>
          <w:sz w:val="32"/>
          <w:szCs w:val="32"/>
        </w:rPr>
      </w:pPr>
      <w:bookmarkStart w:id="86" w:name="_Toc15378460"/>
      <w:bookmarkStart w:id="87" w:name="_Toc15377213"/>
      <w:bookmarkStart w:id="88" w:name="_Toc15377444"/>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ascii="仿宋_GB2312" w:eastAsia="仿宋_GB2312"/>
          <w:b/>
          <w:bCs/>
          <w:sz w:val="32"/>
          <w:szCs w:val="32"/>
        </w:rPr>
        <w:t>1305.46</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86"/>
      <w:bookmarkEnd w:id="87"/>
      <w:bookmarkEnd w:id="88"/>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一般公共服务（类）</w:t>
      </w:r>
      <w:r>
        <w:rPr>
          <w:rFonts w:hint="eastAsia" w:ascii="仿宋" w:eastAsia="仿宋"/>
          <w:b/>
          <w:sz w:val="32"/>
          <w:szCs w:val="32"/>
        </w:rPr>
        <w:t>财政事务</w:t>
      </w:r>
      <w:r>
        <w:rPr>
          <w:rStyle w:val="23"/>
          <w:rFonts w:hint="eastAsia" w:ascii="仿宋" w:hAnsi="仿宋" w:eastAsia="仿宋"/>
          <w:bCs/>
          <w:color w:val="000000"/>
          <w:sz w:val="32"/>
          <w:szCs w:val="32"/>
        </w:rPr>
        <w:t>（款）</w:t>
      </w:r>
      <w:r>
        <w:rPr>
          <w:rFonts w:hint="eastAsia" w:ascii="仿宋" w:eastAsia="仿宋"/>
          <w:b/>
          <w:sz w:val="32"/>
          <w:szCs w:val="32"/>
        </w:rPr>
        <w:t>行政运行</w:t>
      </w:r>
      <w:r>
        <w:rPr>
          <w:rStyle w:val="23"/>
          <w:rFonts w:hint="eastAsia" w:ascii="仿宋" w:hAnsi="仿宋" w:eastAsia="仿宋"/>
          <w:bCs/>
          <w:color w:val="000000"/>
          <w:sz w:val="32"/>
          <w:szCs w:val="32"/>
        </w:rPr>
        <w:t>（项）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ascii="仿宋" w:hAnsi="仿宋" w:eastAsia="仿宋"/>
          <w:b w:val="0"/>
          <w:bCs/>
          <w:color w:val="000000"/>
          <w:sz w:val="32"/>
          <w:szCs w:val="32"/>
        </w:rPr>
        <w:t>716.02</w:t>
      </w:r>
      <w:r>
        <w:rPr>
          <w:rStyle w:val="23"/>
          <w:rFonts w:hint="eastAsia" w:ascii="仿宋" w:hAnsi="仿宋" w:eastAsia="仿宋"/>
          <w:b w:val="0"/>
          <w:bCs/>
          <w:color w:val="000000"/>
          <w:sz w:val="32"/>
          <w:szCs w:val="32"/>
        </w:rPr>
        <w:t>万元，完成预算100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r>
        <w:rPr>
          <w:rStyle w:val="23"/>
          <w:rFonts w:hint="eastAsia" w:ascii="仿宋" w:hAnsi="仿宋" w:eastAsia="仿宋"/>
          <w:b w:val="0"/>
          <w:bCs/>
          <w:color w:val="000000"/>
          <w:sz w:val="32"/>
          <w:szCs w:val="32"/>
        </w:rPr>
        <w:t>。</w:t>
      </w:r>
    </w:p>
    <w:p>
      <w:pPr>
        <w:spacing w:line="576"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2</w:t>
      </w:r>
      <w:r>
        <w:rPr>
          <w:rStyle w:val="23"/>
          <w:rFonts w:ascii="仿宋" w:hAnsi="仿宋" w:eastAsia="仿宋"/>
          <w:bCs/>
          <w:color w:val="000000"/>
          <w:sz w:val="32"/>
          <w:szCs w:val="32"/>
        </w:rPr>
        <w:t>.</w:t>
      </w:r>
      <w:r>
        <w:rPr>
          <w:rFonts w:ascii="仿宋" w:eastAsia="仿宋"/>
          <w:b/>
          <w:sz w:val="32"/>
          <w:szCs w:val="32"/>
        </w:rPr>
        <w:t xml:space="preserve"> </w:t>
      </w:r>
      <w:r>
        <w:rPr>
          <w:rFonts w:hint="eastAsia" w:ascii="仿宋" w:eastAsia="仿宋"/>
          <w:b/>
          <w:sz w:val="32"/>
          <w:szCs w:val="32"/>
        </w:rPr>
        <w:t>一般公共服务（类）财政事务（款）一般行政管理事务（项）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Fonts w:ascii="仿宋" w:hAnsi="仿宋" w:eastAsia="仿宋"/>
          <w:color w:val="000000"/>
          <w:sz w:val="32"/>
          <w:szCs w:val="32"/>
        </w:rPr>
        <w:t>14.3</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3</w:t>
      </w:r>
      <w:r>
        <w:rPr>
          <w:rStyle w:val="23"/>
          <w:rFonts w:ascii="仿宋" w:hAnsi="仿宋" w:eastAsia="仿宋"/>
          <w:bCs/>
          <w:color w:val="000000"/>
          <w:sz w:val="32"/>
          <w:szCs w:val="32"/>
        </w:rPr>
        <w:t>.</w:t>
      </w:r>
      <w:r>
        <w:rPr>
          <w:rFonts w:ascii="仿宋" w:eastAsia="仿宋"/>
          <w:b/>
          <w:sz w:val="32"/>
          <w:szCs w:val="32"/>
        </w:rPr>
        <w:t xml:space="preserve"> </w:t>
      </w:r>
      <w:r>
        <w:rPr>
          <w:rFonts w:hint="eastAsia" w:ascii="仿宋" w:eastAsia="仿宋"/>
          <w:b/>
          <w:sz w:val="32"/>
          <w:szCs w:val="32"/>
        </w:rPr>
        <w:t>一般公共服务（类）财政事务（款）预算改革业务（项）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Fonts w:ascii="仿宋" w:hAnsi="仿宋" w:eastAsia="仿宋"/>
          <w:color w:val="000000"/>
          <w:sz w:val="32"/>
          <w:szCs w:val="32"/>
        </w:rPr>
        <w:t>9.08</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Fonts w:ascii="仿宋_GB2312" w:hAnsi="仿宋" w:eastAsia="仿宋_GB2312"/>
          <w:bCs/>
          <w:color w:val="000000"/>
          <w:sz w:val="32"/>
          <w:szCs w:val="32"/>
        </w:rPr>
      </w:pPr>
      <w:r>
        <w:rPr>
          <w:rStyle w:val="23"/>
          <w:rFonts w:hint="eastAsia" w:ascii="仿宋" w:hAnsi="仿宋" w:eastAsia="仿宋"/>
          <w:bCs/>
          <w:color w:val="000000"/>
          <w:sz w:val="32"/>
          <w:szCs w:val="32"/>
        </w:rPr>
        <w:t>4</w:t>
      </w:r>
      <w:r>
        <w:rPr>
          <w:rStyle w:val="23"/>
          <w:rFonts w:ascii="仿宋" w:hAnsi="仿宋" w:eastAsia="仿宋"/>
          <w:bCs/>
          <w:color w:val="000000"/>
          <w:sz w:val="32"/>
          <w:szCs w:val="32"/>
        </w:rPr>
        <w:t>.</w:t>
      </w:r>
      <w:r>
        <w:rPr>
          <w:rFonts w:ascii="仿宋" w:eastAsia="仿宋"/>
          <w:b/>
          <w:sz w:val="32"/>
          <w:szCs w:val="32"/>
        </w:rPr>
        <w:t xml:space="preserve"> </w:t>
      </w:r>
      <w:r>
        <w:rPr>
          <w:rFonts w:hint="eastAsia" w:ascii="仿宋" w:eastAsia="仿宋"/>
          <w:b/>
          <w:sz w:val="32"/>
          <w:szCs w:val="32"/>
        </w:rPr>
        <w:t>一般公共服务（类）财政事务（款）财政国库业务务（项）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Fonts w:ascii="仿宋" w:hAnsi="仿宋" w:eastAsia="仿宋"/>
          <w:color w:val="000000"/>
          <w:sz w:val="32"/>
          <w:szCs w:val="32"/>
        </w:rPr>
        <w:t>24.12</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5</w:t>
      </w:r>
      <w:r>
        <w:rPr>
          <w:rStyle w:val="23"/>
          <w:rFonts w:ascii="仿宋" w:hAnsi="仿宋" w:eastAsia="仿宋"/>
          <w:bCs/>
          <w:color w:val="000000"/>
          <w:sz w:val="32"/>
          <w:szCs w:val="32"/>
        </w:rPr>
        <w:t>.</w:t>
      </w:r>
      <w:r>
        <w:rPr>
          <w:rFonts w:ascii="仿宋" w:eastAsia="仿宋"/>
          <w:b/>
          <w:sz w:val="32"/>
          <w:szCs w:val="32"/>
        </w:rPr>
        <w:t xml:space="preserve"> </w:t>
      </w:r>
      <w:r>
        <w:rPr>
          <w:rFonts w:hint="eastAsia" w:ascii="仿宋" w:eastAsia="仿宋"/>
          <w:b/>
          <w:sz w:val="32"/>
          <w:szCs w:val="32"/>
        </w:rPr>
        <w:t>一般公共服务（类）财政事务（款）信息化建设（项）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Fonts w:ascii="仿宋" w:hAnsi="仿宋" w:eastAsia="仿宋"/>
          <w:color w:val="000000"/>
          <w:sz w:val="32"/>
          <w:szCs w:val="32"/>
        </w:rPr>
        <w:t>48.07</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6</w:t>
      </w:r>
      <w:r>
        <w:rPr>
          <w:rStyle w:val="23"/>
          <w:rFonts w:ascii="仿宋" w:hAnsi="仿宋" w:eastAsia="仿宋"/>
          <w:bCs/>
          <w:color w:val="000000"/>
          <w:sz w:val="32"/>
          <w:szCs w:val="32"/>
        </w:rPr>
        <w:t>.</w:t>
      </w:r>
      <w:r>
        <w:rPr>
          <w:rFonts w:ascii="仿宋" w:eastAsia="仿宋"/>
          <w:b/>
          <w:sz w:val="32"/>
          <w:szCs w:val="32"/>
        </w:rPr>
        <w:t xml:space="preserve"> </w:t>
      </w:r>
      <w:r>
        <w:rPr>
          <w:rFonts w:hint="eastAsia" w:ascii="仿宋" w:eastAsia="仿宋"/>
          <w:b/>
          <w:sz w:val="32"/>
          <w:szCs w:val="32"/>
        </w:rPr>
        <w:t>一般公共服务（类）财政事务（款）财政委托业务支出（项）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Fonts w:ascii="仿宋" w:hAnsi="仿宋" w:eastAsia="仿宋"/>
          <w:color w:val="000000"/>
          <w:sz w:val="32"/>
          <w:szCs w:val="32"/>
        </w:rPr>
        <w:t>310.37</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7</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社会保障和就业（类）行政事业单位离退休（款）机关事业单位基本养老保险缴费支出（项）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ascii="仿宋" w:hAnsi="仿宋" w:eastAsia="仿宋"/>
          <w:b w:val="0"/>
          <w:bCs/>
          <w:color w:val="000000"/>
          <w:sz w:val="32"/>
          <w:szCs w:val="32"/>
        </w:rPr>
        <w:t>57.71</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8</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社会保障和就业（类）行政事业单位离退休（款）机关事业单位职业年金缴费支出（项）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ascii="仿宋" w:hAnsi="仿宋" w:eastAsia="仿宋"/>
          <w:b w:val="0"/>
          <w:bCs/>
          <w:color w:val="000000"/>
          <w:sz w:val="32"/>
          <w:szCs w:val="32"/>
        </w:rPr>
        <w:t>28.86</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600" w:lineRule="exact"/>
        <w:ind w:firstLine="642" w:firstLineChars="200"/>
        <w:rPr>
          <w:rStyle w:val="23"/>
          <w:rFonts w:ascii="仿宋_GB2312" w:hAnsi="仿宋" w:eastAsia="仿宋_GB2312"/>
          <w:b w:val="0"/>
          <w:bCs/>
          <w:color w:val="000000"/>
          <w:sz w:val="32"/>
          <w:szCs w:val="32"/>
        </w:rPr>
      </w:pPr>
      <w:r>
        <w:rPr>
          <w:rStyle w:val="23"/>
          <w:rFonts w:hint="eastAsia" w:ascii="仿宋" w:hAnsi="仿宋" w:eastAsia="仿宋"/>
          <w:bCs/>
          <w:color w:val="000000"/>
          <w:sz w:val="32"/>
          <w:szCs w:val="32"/>
        </w:rPr>
        <w:t>9</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（类）行政事业单位医疗（款）行政单位医疗（项）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ascii="仿宋" w:hAnsi="仿宋" w:eastAsia="仿宋"/>
          <w:b w:val="0"/>
          <w:bCs/>
          <w:color w:val="000000"/>
          <w:sz w:val="32"/>
          <w:szCs w:val="32"/>
        </w:rPr>
        <w:t>29.53</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600" w:lineRule="exact"/>
        <w:ind w:firstLine="642" w:firstLineChars="200"/>
        <w:rPr>
          <w:rFonts w:ascii="仿宋_GB2312" w:hAnsi="仿宋" w:eastAsia="仿宋_GB2312"/>
          <w:bCs/>
          <w:color w:val="000000"/>
          <w:sz w:val="32"/>
          <w:szCs w:val="32"/>
        </w:rPr>
      </w:pPr>
      <w:r>
        <w:rPr>
          <w:rStyle w:val="23"/>
          <w:rFonts w:ascii="仿宋" w:hAnsi="仿宋" w:eastAsia="仿宋"/>
          <w:bCs/>
          <w:color w:val="000000"/>
          <w:sz w:val="32"/>
          <w:szCs w:val="32"/>
        </w:rPr>
        <w:t>10.</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（类）公务员医疗补助（款）行政单位医疗（项）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ascii="仿宋" w:hAnsi="仿宋" w:eastAsia="仿宋"/>
          <w:b w:val="0"/>
          <w:bCs/>
          <w:color w:val="000000"/>
          <w:sz w:val="32"/>
          <w:szCs w:val="32"/>
        </w:rPr>
        <w:t>8.22</w:t>
      </w:r>
      <w:r>
        <w:rPr>
          <w:rStyle w:val="23"/>
          <w:rFonts w:hint="eastAsia" w:ascii="仿宋" w:hAnsi="仿宋" w:eastAsia="仿宋"/>
          <w:b w:val="0"/>
          <w:bCs/>
          <w:color w:val="000000"/>
          <w:sz w:val="32"/>
          <w:szCs w:val="32"/>
        </w:rPr>
        <w:t>万元，完成预算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Fonts w:ascii="仿宋" w:eastAsia="仿宋"/>
          <w:b/>
          <w:sz w:val="32"/>
          <w:szCs w:val="32"/>
        </w:rPr>
        <w:t>11.</w:t>
      </w:r>
      <w:r>
        <w:rPr>
          <w:rFonts w:hint="eastAsia" w:ascii="仿宋" w:eastAsia="仿宋"/>
          <w:b/>
          <w:sz w:val="32"/>
          <w:szCs w:val="32"/>
        </w:rPr>
        <w:t>住房保障支出（类）住房改革支出（款）住房公积金（项）</w:t>
      </w:r>
      <w:r>
        <w:rPr>
          <w:rFonts w:ascii="仿宋" w:eastAsia="仿宋"/>
          <w:b/>
          <w:sz w:val="32"/>
          <w:szCs w:val="32"/>
        </w:rPr>
        <w:t>:</w:t>
      </w:r>
      <w:r>
        <w:rPr>
          <w:rFonts w:hint="eastAsia" w:ascii="仿宋" w:eastAsia="仿宋"/>
          <w:sz w:val="32"/>
          <w:szCs w:val="32"/>
        </w:rPr>
        <w:t>支出决算为</w:t>
      </w:r>
      <w:r>
        <w:rPr>
          <w:rFonts w:ascii="仿宋" w:eastAsia="仿宋"/>
          <w:sz w:val="32"/>
          <w:szCs w:val="32"/>
        </w:rPr>
        <w:t>56.3</w:t>
      </w:r>
      <w:r>
        <w:rPr>
          <w:rFonts w:hint="eastAsia" w:ascii="仿宋" w:eastAsia="仿宋"/>
          <w:sz w:val="32"/>
          <w:szCs w:val="32"/>
        </w:rPr>
        <w:t>万元，</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576" w:lineRule="exact"/>
        <w:ind w:firstLine="642" w:firstLineChars="200"/>
        <w:rPr>
          <w:rStyle w:val="23"/>
          <w:rFonts w:ascii="仿宋_GB2312" w:hAnsi="仿宋" w:eastAsia="仿宋_GB2312"/>
          <w:b w:val="0"/>
          <w:bCs/>
          <w:color w:val="000000"/>
          <w:sz w:val="32"/>
          <w:szCs w:val="32"/>
        </w:rPr>
      </w:pPr>
      <w:r>
        <w:rPr>
          <w:rFonts w:ascii="仿宋" w:eastAsia="仿宋"/>
          <w:b/>
          <w:sz w:val="32"/>
          <w:szCs w:val="32"/>
        </w:rPr>
        <w:t>12.</w:t>
      </w:r>
      <w:r>
        <w:rPr>
          <w:rFonts w:hint="eastAsia" w:ascii="仿宋" w:eastAsia="仿宋"/>
          <w:b/>
          <w:sz w:val="32"/>
          <w:szCs w:val="32"/>
        </w:rPr>
        <w:t>住房保障支出（类）住房改革支出（款）购房补贴（项）</w:t>
      </w:r>
      <w:r>
        <w:rPr>
          <w:rFonts w:ascii="仿宋" w:eastAsia="仿宋"/>
          <w:b/>
          <w:sz w:val="32"/>
          <w:szCs w:val="32"/>
        </w:rPr>
        <w:t>:</w:t>
      </w:r>
      <w:r>
        <w:rPr>
          <w:rFonts w:hint="eastAsia" w:ascii="仿宋" w:eastAsia="仿宋"/>
          <w:sz w:val="32"/>
          <w:szCs w:val="32"/>
        </w:rPr>
        <w:t>支出决算为</w:t>
      </w:r>
      <w:r>
        <w:rPr>
          <w:rFonts w:ascii="仿宋" w:eastAsia="仿宋"/>
          <w:sz w:val="32"/>
          <w:szCs w:val="32"/>
        </w:rPr>
        <w:t>2.89</w:t>
      </w:r>
      <w:r>
        <w:rPr>
          <w:rFonts w:hint="eastAsia" w:ascii="仿宋" w:eastAsia="仿宋"/>
          <w:sz w:val="32"/>
          <w:szCs w:val="32"/>
        </w:rPr>
        <w:t>万元，</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w:t>
      </w:r>
      <w:r>
        <w:rPr>
          <w:rStyle w:val="23"/>
          <w:rFonts w:hint="eastAsia" w:ascii="仿宋_GB2312" w:hAnsi="仿宋" w:eastAsia="仿宋_GB2312"/>
          <w:b w:val="0"/>
          <w:bCs/>
          <w:color w:val="000000"/>
          <w:sz w:val="32"/>
          <w:szCs w:val="32"/>
        </w:rPr>
        <w:t>决算数与预算数持平。</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89" w:name="_Toc15377214"/>
      <w:bookmarkStart w:id="90" w:name="_Toc29980"/>
      <w:bookmarkStart w:id="91" w:name="_Toc79163618"/>
      <w:bookmarkStart w:id="92" w:name="_Toc79163868"/>
      <w:bookmarkStart w:id="9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89"/>
      <w:bookmarkEnd w:id="90"/>
      <w:bookmarkEnd w:id="91"/>
      <w:bookmarkEnd w:id="92"/>
      <w:bookmarkEnd w:id="93"/>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1年一般公共预算财政拨款基本支出1121.96万元，其中：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人员经费830.49万元，主要包括：基本工资</w:t>
      </w:r>
      <w:r>
        <w:rPr>
          <w:rFonts w:ascii="仿宋" w:hAnsi="仿宋" w:eastAsia="仿宋"/>
          <w:color w:val="000000"/>
          <w:sz w:val="32"/>
          <w:szCs w:val="32"/>
        </w:rPr>
        <w:t>131.47</w:t>
      </w:r>
      <w:r>
        <w:rPr>
          <w:rFonts w:hint="eastAsia" w:ascii="仿宋" w:hAnsi="仿宋" w:eastAsia="仿宋"/>
          <w:color w:val="000000"/>
          <w:sz w:val="32"/>
          <w:szCs w:val="32"/>
        </w:rPr>
        <w:t>万元、津贴补贴</w:t>
      </w:r>
      <w:r>
        <w:rPr>
          <w:rFonts w:ascii="仿宋" w:hAnsi="仿宋" w:eastAsia="仿宋"/>
          <w:color w:val="000000"/>
          <w:sz w:val="32"/>
          <w:szCs w:val="32"/>
        </w:rPr>
        <w:t>240.27</w:t>
      </w:r>
      <w:r>
        <w:rPr>
          <w:rFonts w:hint="eastAsia" w:ascii="仿宋" w:hAnsi="仿宋" w:eastAsia="仿宋"/>
          <w:color w:val="000000"/>
          <w:sz w:val="32"/>
          <w:szCs w:val="32"/>
        </w:rPr>
        <w:t>万元、奖金</w:t>
      </w:r>
      <w:r>
        <w:rPr>
          <w:rFonts w:ascii="仿宋" w:hAnsi="仿宋" w:eastAsia="仿宋"/>
          <w:color w:val="000000"/>
          <w:sz w:val="32"/>
          <w:szCs w:val="32"/>
        </w:rPr>
        <w:t>201.13</w:t>
      </w:r>
      <w:r>
        <w:rPr>
          <w:rFonts w:hint="eastAsia" w:ascii="仿宋" w:hAnsi="仿宋" w:eastAsia="仿宋"/>
          <w:color w:val="000000"/>
          <w:sz w:val="32"/>
          <w:szCs w:val="32"/>
        </w:rPr>
        <w:t>万元、伙食补助费、绩效工资、机关事业单位基本养老保险缴费</w:t>
      </w:r>
      <w:r>
        <w:rPr>
          <w:rFonts w:ascii="仿宋" w:hAnsi="仿宋" w:eastAsia="仿宋"/>
          <w:color w:val="000000"/>
          <w:sz w:val="32"/>
          <w:szCs w:val="32"/>
        </w:rPr>
        <w:t>57.71</w:t>
      </w:r>
      <w:r>
        <w:rPr>
          <w:rFonts w:hint="eastAsia" w:ascii="仿宋" w:hAnsi="仿宋" w:eastAsia="仿宋"/>
          <w:color w:val="000000"/>
          <w:sz w:val="32"/>
          <w:szCs w:val="32"/>
        </w:rPr>
        <w:t>万元、职业年金缴费</w:t>
      </w:r>
      <w:r>
        <w:rPr>
          <w:rFonts w:ascii="仿宋" w:hAnsi="仿宋" w:eastAsia="仿宋"/>
          <w:color w:val="000000"/>
          <w:sz w:val="32"/>
          <w:szCs w:val="32"/>
        </w:rPr>
        <w:t>28.86</w:t>
      </w:r>
      <w:r>
        <w:rPr>
          <w:rFonts w:hint="eastAsia" w:ascii="仿宋" w:hAnsi="仿宋" w:eastAsia="仿宋"/>
          <w:color w:val="000000"/>
          <w:sz w:val="32"/>
          <w:szCs w:val="32"/>
        </w:rPr>
        <w:t>万元、其他社会保障缴费</w:t>
      </w:r>
      <w:r>
        <w:rPr>
          <w:rFonts w:ascii="仿宋" w:hAnsi="仿宋" w:eastAsia="仿宋"/>
          <w:color w:val="000000"/>
          <w:sz w:val="32"/>
          <w:szCs w:val="32"/>
        </w:rPr>
        <w:t>10.62</w:t>
      </w:r>
      <w:r>
        <w:rPr>
          <w:rFonts w:hint="eastAsia" w:ascii="仿宋" w:hAnsi="仿宋" w:eastAsia="仿宋"/>
          <w:color w:val="000000"/>
          <w:sz w:val="32"/>
          <w:szCs w:val="32"/>
        </w:rPr>
        <w:t>万元、公务员医疗补助缴费</w:t>
      </w:r>
      <w:r>
        <w:rPr>
          <w:rFonts w:ascii="仿宋" w:hAnsi="仿宋" w:eastAsia="仿宋"/>
          <w:color w:val="000000"/>
          <w:sz w:val="32"/>
          <w:szCs w:val="32"/>
        </w:rPr>
        <w:t>8.22</w:t>
      </w:r>
      <w:r>
        <w:rPr>
          <w:rFonts w:hint="eastAsia" w:ascii="仿宋" w:hAnsi="仿宋" w:eastAsia="仿宋"/>
          <w:color w:val="000000"/>
          <w:sz w:val="32"/>
          <w:szCs w:val="32"/>
        </w:rPr>
        <w:t>万元、其他工资福利支出、离休费、退休费、抚恤金、生活补助</w:t>
      </w:r>
      <w:r>
        <w:rPr>
          <w:rFonts w:ascii="仿宋" w:hAnsi="仿宋" w:eastAsia="仿宋"/>
          <w:color w:val="000000"/>
          <w:sz w:val="32"/>
          <w:szCs w:val="32"/>
        </w:rPr>
        <w:t>61.14</w:t>
      </w:r>
      <w:r>
        <w:rPr>
          <w:rFonts w:hint="eastAsia" w:ascii="仿宋" w:hAnsi="仿宋" w:eastAsia="仿宋"/>
          <w:color w:val="000000"/>
          <w:sz w:val="32"/>
          <w:szCs w:val="32"/>
        </w:rPr>
        <w:t>万元、职工基本医疗保险缴费</w:t>
      </w:r>
      <w:r>
        <w:rPr>
          <w:rFonts w:ascii="仿宋" w:hAnsi="仿宋" w:eastAsia="仿宋"/>
          <w:color w:val="000000"/>
          <w:sz w:val="32"/>
          <w:szCs w:val="32"/>
        </w:rPr>
        <w:t>29.53</w:t>
      </w:r>
      <w:r>
        <w:rPr>
          <w:rFonts w:hint="eastAsia" w:ascii="仿宋" w:hAnsi="仿宋" w:eastAsia="仿宋"/>
          <w:color w:val="000000"/>
          <w:sz w:val="32"/>
          <w:szCs w:val="32"/>
        </w:rPr>
        <w:t>万元、奖励金</w:t>
      </w:r>
      <w:r>
        <w:rPr>
          <w:rFonts w:ascii="仿宋" w:hAnsi="仿宋" w:eastAsia="仿宋"/>
          <w:color w:val="000000"/>
          <w:sz w:val="32"/>
          <w:szCs w:val="32"/>
        </w:rPr>
        <w:t>0.04</w:t>
      </w:r>
      <w:r>
        <w:rPr>
          <w:rFonts w:hint="eastAsia" w:ascii="仿宋" w:hAnsi="仿宋" w:eastAsia="仿宋"/>
          <w:color w:val="000000"/>
          <w:sz w:val="32"/>
          <w:szCs w:val="32"/>
        </w:rPr>
        <w:t>万元、住房公积金</w:t>
      </w:r>
      <w:r>
        <w:rPr>
          <w:rFonts w:ascii="仿宋" w:hAnsi="仿宋" w:eastAsia="仿宋"/>
          <w:color w:val="000000"/>
          <w:sz w:val="32"/>
          <w:szCs w:val="32"/>
        </w:rPr>
        <w:t>56.3</w:t>
      </w:r>
      <w:r>
        <w:rPr>
          <w:rFonts w:hint="eastAsia" w:ascii="仿宋" w:hAnsi="仿宋" w:eastAsia="仿宋"/>
          <w:color w:val="000000"/>
          <w:sz w:val="32"/>
          <w:szCs w:val="32"/>
        </w:rPr>
        <w:t>万元、医疗费补助</w:t>
      </w:r>
      <w:r>
        <w:rPr>
          <w:rFonts w:ascii="仿宋" w:hAnsi="仿宋" w:eastAsia="仿宋"/>
          <w:color w:val="000000"/>
          <w:sz w:val="32"/>
          <w:szCs w:val="32"/>
        </w:rPr>
        <w:t>5.2</w:t>
      </w:r>
      <w:r>
        <w:rPr>
          <w:rFonts w:hint="eastAsia" w:ascii="仿宋" w:hAnsi="仿宋" w:eastAsia="仿宋"/>
          <w:color w:val="000000"/>
          <w:sz w:val="32"/>
          <w:szCs w:val="32"/>
        </w:rPr>
        <w:t>万元、其他对个人和家庭的补助支出等。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日常公用经费</w:t>
      </w:r>
      <w:r>
        <w:rPr>
          <w:rFonts w:ascii="仿宋" w:hAnsi="仿宋" w:eastAsia="仿宋"/>
          <w:color w:val="000000"/>
          <w:sz w:val="32"/>
          <w:szCs w:val="32"/>
        </w:rPr>
        <w:t>68.65</w:t>
      </w:r>
      <w:r>
        <w:rPr>
          <w:rFonts w:hint="eastAsia" w:ascii="仿宋" w:hAnsi="仿宋" w:eastAsia="仿宋"/>
          <w:color w:val="000000"/>
          <w:sz w:val="32"/>
          <w:szCs w:val="32"/>
        </w:rPr>
        <w:t>万元，主要包括：办公费</w:t>
      </w:r>
      <w:r>
        <w:rPr>
          <w:rFonts w:ascii="仿宋" w:hAnsi="仿宋" w:eastAsia="仿宋"/>
          <w:color w:val="000000"/>
          <w:sz w:val="32"/>
          <w:szCs w:val="32"/>
        </w:rPr>
        <w:t>12.48</w:t>
      </w:r>
      <w:r>
        <w:rPr>
          <w:rFonts w:hint="eastAsia" w:ascii="仿宋" w:hAnsi="仿宋" w:eastAsia="仿宋"/>
          <w:color w:val="000000"/>
          <w:sz w:val="32"/>
          <w:szCs w:val="32"/>
        </w:rPr>
        <w:t>万元、印刷费</w:t>
      </w:r>
      <w:r>
        <w:rPr>
          <w:rFonts w:ascii="仿宋" w:hAnsi="仿宋" w:eastAsia="仿宋"/>
          <w:color w:val="000000"/>
          <w:sz w:val="32"/>
          <w:szCs w:val="32"/>
        </w:rPr>
        <w:t>3.19</w:t>
      </w:r>
      <w:r>
        <w:rPr>
          <w:rFonts w:hint="eastAsia" w:ascii="仿宋" w:hAnsi="仿宋" w:eastAsia="仿宋"/>
          <w:color w:val="000000"/>
          <w:sz w:val="32"/>
          <w:szCs w:val="32"/>
        </w:rPr>
        <w:t>万元、咨询费、手续费、水费</w:t>
      </w:r>
      <w:r>
        <w:rPr>
          <w:rFonts w:ascii="仿宋" w:hAnsi="仿宋" w:eastAsia="仿宋"/>
          <w:color w:val="000000"/>
          <w:sz w:val="32"/>
          <w:szCs w:val="32"/>
        </w:rPr>
        <w:t>0.52</w:t>
      </w:r>
      <w:r>
        <w:rPr>
          <w:rFonts w:hint="eastAsia" w:ascii="仿宋" w:hAnsi="仿宋" w:eastAsia="仿宋"/>
          <w:color w:val="000000"/>
          <w:sz w:val="32"/>
          <w:szCs w:val="32"/>
        </w:rPr>
        <w:t>万元、电费</w:t>
      </w:r>
      <w:r>
        <w:rPr>
          <w:rFonts w:ascii="仿宋" w:hAnsi="仿宋" w:eastAsia="仿宋"/>
          <w:color w:val="000000"/>
          <w:sz w:val="32"/>
          <w:szCs w:val="32"/>
        </w:rPr>
        <w:t>5.23</w:t>
      </w:r>
      <w:r>
        <w:rPr>
          <w:rFonts w:hint="eastAsia" w:ascii="仿宋" w:hAnsi="仿宋" w:eastAsia="仿宋"/>
          <w:color w:val="000000"/>
          <w:sz w:val="32"/>
          <w:szCs w:val="32"/>
        </w:rPr>
        <w:t>万元、邮电费、取暖费、物业管理费、差旅费</w:t>
      </w:r>
      <w:r>
        <w:rPr>
          <w:rFonts w:ascii="仿宋" w:hAnsi="仿宋" w:eastAsia="仿宋"/>
          <w:color w:val="000000"/>
          <w:sz w:val="32"/>
          <w:szCs w:val="32"/>
        </w:rPr>
        <w:t>20.37</w:t>
      </w:r>
      <w:r>
        <w:rPr>
          <w:rFonts w:hint="eastAsia" w:ascii="仿宋" w:hAnsi="仿宋" w:eastAsia="仿宋"/>
          <w:color w:val="000000"/>
          <w:sz w:val="32"/>
          <w:szCs w:val="32"/>
        </w:rPr>
        <w:t>万元、因公出国（境）费用、维修（护）费</w:t>
      </w:r>
      <w:r>
        <w:rPr>
          <w:rFonts w:ascii="仿宋" w:hAnsi="仿宋" w:eastAsia="仿宋"/>
          <w:color w:val="000000"/>
          <w:sz w:val="32"/>
          <w:szCs w:val="32"/>
        </w:rPr>
        <w:t>1.31</w:t>
      </w:r>
      <w:r>
        <w:rPr>
          <w:rFonts w:hint="eastAsia" w:ascii="仿宋" w:hAnsi="仿宋" w:eastAsia="仿宋"/>
          <w:color w:val="000000"/>
          <w:sz w:val="32"/>
          <w:szCs w:val="32"/>
        </w:rPr>
        <w:t>万元、租赁费、会议费、培训费、公务接待费、劳务费</w:t>
      </w:r>
      <w:r>
        <w:rPr>
          <w:rFonts w:ascii="仿宋" w:hAnsi="仿宋" w:eastAsia="仿宋"/>
          <w:color w:val="000000"/>
          <w:sz w:val="32"/>
          <w:szCs w:val="32"/>
        </w:rPr>
        <w:t>17.52</w:t>
      </w:r>
      <w:r>
        <w:rPr>
          <w:rFonts w:hint="eastAsia" w:ascii="仿宋" w:hAnsi="仿宋" w:eastAsia="仿宋"/>
          <w:color w:val="000000"/>
          <w:sz w:val="32"/>
          <w:szCs w:val="32"/>
        </w:rPr>
        <w:t>万元、委托业务费</w:t>
      </w:r>
      <w:r>
        <w:rPr>
          <w:rFonts w:ascii="仿宋" w:hAnsi="仿宋" w:eastAsia="仿宋"/>
          <w:color w:val="000000"/>
          <w:sz w:val="32"/>
          <w:szCs w:val="32"/>
        </w:rPr>
        <w:t>0.2</w:t>
      </w:r>
      <w:r>
        <w:rPr>
          <w:rFonts w:hint="eastAsia" w:ascii="仿宋" w:hAnsi="仿宋" w:eastAsia="仿宋"/>
          <w:color w:val="000000"/>
          <w:sz w:val="32"/>
          <w:szCs w:val="32"/>
        </w:rPr>
        <w:t>万元、工会经费、福利费、公务用车运行维护费</w:t>
      </w:r>
      <w:r>
        <w:rPr>
          <w:rFonts w:ascii="仿宋" w:hAnsi="仿宋" w:eastAsia="仿宋"/>
          <w:color w:val="000000"/>
          <w:sz w:val="32"/>
          <w:szCs w:val="32"/>
        </w:rPr>
        <w:t>7.83</w:t>
      </w:r>
      <w:r>
        <w:rPr>
          <w:rFonts w:hint="eastAsia" w:ascii="仿宋" w:hAnsi="仿宋" w:eastAsia="仿宋"/>
          <w:color w:val="000000"/>
          <w:sz w:val="32"/>
          <w:szCs w:val="32"/>
        </w:rPr>
        <w:t>万元、其他交通费、税金及附加费用、其他商品和服务支出、办公设备购置、专用设备购置、信息网络及软件购置更新、其他资本性支出等。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6"/>
          <w:rFonts w:ascii="黑体" w:hAnsi="黑体" w:eastAsia="黑体"/>
          <w:b w:val="0"/>
        </w:rPr>
      </w:pPr>
      <w:bookmarkStart w:id="94" w:name="_Toc79163619"/>
      <w:bookmarkStart w:id="95" w:name="_Toc79163869"/>
      <w:bookmarkStart w:id="96" w:name="_Toc3449"/>
      <w:bookmarkStart w:id="97" w:name="_Toc15396609"/>
      <w:bookmarkStart w:id="98"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94"/>
      <w:bookmarkEnd w:id="95"/>
      <w:bookmarkEnd w:id="96"/>
      <w:bookmarkEnd w:id="97"/>
      <w:bookmarkEnd w:id="98"/>
    </w:p>
    <w:p>
      <w:pPr>
        <w:spacing w:line="600" w:lineRule="exact"/>
        <w:ind w:firstLine="640"/>
        <w:outlineLvl w:val="2"/>
        <w:rPr>
          <w:rFonts w:ascii="仿宋" w:hAnsi="仿宋" w:eastAsia="仿宋"/>
          <w:b/>
          <w:color w:val="000000"/>
          <w:sz w:val="32"/>
          <w:szCs w:val="32"/>
        </w:rPr>
      </w:pPr>
      <w:bookmarkStart w:id="99" w:name="_Toc15377216"/>
      <w:bookmarkStart w:id="100" w:name="_Toc79163870"/>
      <w:bookmarkStart w:id="101" w:name="_Toc79163620"/>
      <w:bookmarkStart w:id="102" w:name="_Toc27236"/>
      <w:r>
        <w:rPr>
          <w:rFonts w:hint="eastAsia" w:ascii="仿宋" w:hAnsi="仿宋" w:eastAsia="仿宋"/>
          <w:b/>
          <w:color w:val="000000"/>
          <w:sz w:val="32"/>
          <w:szCs w:val="32"/>
        </w:rPr>
        <w:t>（一）“三公”经费财政拨款支出决算总体情况说明</w:t>
      </w:r>
      <w:bookmarkEnd w:id="99"/>
      <w:bookmarkEnd w:id="100"/>
      <w:bookmarkEnd w:id="101"/>
      <w:bookmarkEnd w:id="10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1年“三公”经费财政拨款支出决算为10.44万元，完成预算100</w:t>
      </w:r>
      <w:r>
        <w:rPr>
          <w:rFonts w:ascii="仿宋" w:hAnsi="仿宋" w:eastAsia="仿宋"/>
          <w:color w:val="000000"/>
          <w:sz w:val="32"/>
          <w:szCs w:val="32"/>
        </w:rPr>
        <w:t>%</w:t>
      </w:r>
      <w:r>
        <w:rPr>
          <w:rFonts w:hint="eastAsia" w:ascii="仿宋" w:hAnsi="仿宋" w:eastAsia="仿宋"/>
          <w:color w:val="000000"/>
          <w:sz w:val="32"/>
          <w:szCs w:val="32"/>
        </w:rPr>
        <w:t>，决算数预算数持平。</w:t>
      </w:r>
    </w:p>
    <w:p>
      <w:pPr>
        <w:spacing w:line="600" w:lineRule="exact"/>
        <w:ind w:firstLine="640"/>
        <w:outlineLvl w:val="2"/>
        <w:rPr>
          <w:rFonts w:ascii="仿宋" w:hAnsi="仿宋" w:eastAsia="仿宋"/>
          <w:b/>
          <w:color w:val="000000"/>
          <w:sz w:val="32"/>
          <w:szCs w:val="32"/>
        </w:rPr>
      </w:pPr>
      <w:bookmarkStart w:id="103" w:name="_Toc79163621"/>
      <w:bookmarkStart w:id="104" w:name="_Toc8975"/>
      <w:bookmarkStart w:id="105" w:name="_Toc79163871"/>
      <w:bookmarkStart w:id="106" w:name="_Toc15377217"/>
      <w:r>
        <w:rPr>
          <w:rFonts w:hint="eastAsia" w:ascii="仿宋" w:hAnsi="仿宋" w:eastAsia="仿宋"/>
          <w:b/>
          <w:color w:val="000000"/>
          <w:sz w:val="32"/>
          <w:szCs w:val="32"/>
        </w:rPr>
        <w:t>（二）“三公”经费财政拨款支出决算具体情况说明</w:t>
      </w:r>
      <w:bookmarkEnd w:id="103"/>
      <w:bookmarkEnd w:id="104"/>
      <w:bookmarkEnd w:id="105"/>
      <w:bookmarkEnd w:id="10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；公务用车购置及运行维护费支出决算10.44万元，占100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ind w:firstLine="640"/>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2"/>
        <w:ind w:firstLine="640"/>
      </w:pPr>
    </w:p>
    <w:p>
      <w:pPr>
        <w:pStyle w:val="2"/>
        <w:ind w:firstLine="640"/>
      </w:pPr>
    </w:p>
    <w:p>
      <w:pPr>
        <w:pStyle w:val="2"/>
        <w:ind w:firstLine="640"/>
      </w:pPr>
    </w:p>
    <w:p>
      <w:pPr>
        <w:pStyle w:val="2"/>
        <w:ind w:firstLine="1920" w:firstLineChars="600"/>
        <w:rPr>
          <w:rFonts w:ascii="仿宋" w:hAnsi="仿宋" w:eastAsia="仿宋"/>
          <w:color w:val="000000"/>
        </w:rPr>
      </w:pPr>
      <w:r>
        <w:rPr>
          <w:rFonts w:hint="eastAsia" w:ascii="仿宋" w:hAnsi="仿宋" w:eastAsia="仿宋"/>
          <w:color w:val="000000"/>
        </w:rPr>
        <w:t>2021年三公经费财政拨款支出情况</w:t>
      </w:r>
    </w:p>
    <w:p>
      <w:pPr>
        <w:pStyle w:val="2"/>
        <w:ind w:firstLine="1600" w:firstLineChars="500"/>
      </w:pPr>
    </w:p>
    <w:p>
      <w:pPr>
        <w:pStyle w:val="2"/>
        <w:ind w:firstLine="640"/>
      </w:pPr>
    </w:p>
    <w:p>
      <w:pPr>
        <w:pStyle w:val="2"/>
        <w:ind w:firstLine="640"/>
      </w:pPr>
      <w:r>
        <w:drawing>
          <wp:inline distT="0" distB="0" distL="0" distR="0">
            <wp:extent cx="4572000" cy="2743200"/>
            <wp:effectExtent l="19050" t="0" r="1905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ind w:firstLine="640"/>
      </w:pPr>
    </w:p>
    <w:p>
      <w:pPr>
        <w:pStyle w:val="2"/>
        <w:ind w:firstLine="640"/>
      </w:pP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23"/>
          <w:rFonts w:hint="eastAsia" w:ascii="仿宋" w:hAnsi="仿宋" w:eastAsia="仿宋"/>
          <w:b w:val="0"/>
          <w:bCs/>
          <w:color w:val="000000"/>
          <w:sz w:val="32"/>
          <w:szCs w:val="32"/>
        </w:rPr>
        <w:t>完成预算0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10.44万元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20年减少49.86万元，降低82.69</w:t>
      </w:r>
      <w:r>
        <w:rPr>
          <w:rFonts w:ascii="仿宋_GB2312" w:eastAsia="仿宋_GB2312"/>
          <w:color w:val="000000"/>
          <w:sz w:val="32"/>
          <w:szCs w:val="32"/>
        </w:rPr>
        <w:t>%</w:t>
      </w:r>
      <w:r>
        <w:rPr>
          <w:rFonts w:hint="eastAsia" w:ascii="仿宋_GB2312" w:eastAsia="仿宋_GB2312"/>
          <w:color w:val="000000"/>
          <w:sz w:val="32"/>
          <w:szCs w:val="32"/>
        </w:rPr>
        <w:t>。主要原因是2020年无公务用车购置。</w:t>
      </w:r>
    </w:p>
    <w:p>
      <w:pPr>
        <w:spacing w:line="600" w:lineRule="exact"/>
        <w:ind w:firstLine="642" w:firstLineChars="200"/>
        <w:rPr>
          <w:rFonts w:ascii="仿宋_GB2312" w:eastAsia="仿宋_GB2312"/>
          <w:b/>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10.44万元。截至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月底，单位共有公务用车2辆，其中：轿车0辆、越野车2辆、载客汽车0辆。</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主要用于主要用于</w:t>
      </w:r>
      <w:r>
        <w:rPr>
          <w:rFonts w:hint="eastAsia" w:ascii="仿宋" w:hAnsi="仿宋" w:eastAsia="仿宋"/>
          <w:color w:val="000000"/>
          <w:sz w:val="32"/>
          <w:szCs w:val="32"/>
        </w:rPr>
        <w:t>下乡、出差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Style w:val="23"/>
          <w:rFonts w:ascii="仿宋" w:hAnsi="仿宋" w:eastAsia="仿宋"/>
          <w:b w:val="0"/>
          <w:bCs/>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3"/>
          <w:rFonts w:hint="eastAsia" w:ascii="仿宋" w:hAnsi="仿宋" w:eastAsia="仿宋"/>
          <w:b w:val="0"/>
          <w:bCs/>
          <w:color w:val="000000"/>
          <w:sz w:val="32"/>
          <w:szCs w:val="32"/>
        </w:rPr>
        <w:t>完成预算0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万元。国内公务接待0批次，0人次（不包括陪同人员），共计支出0万元。</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6"/>
          <w:rFonts w:ascii="黑体" w:hAnsi="黑体" w:eastAsia="黑体"/>
        </w:rPr>
      </w:pPr>
      <w:bookmarkStart w:id="107" w:name="_Toc79163872"/>
      <w:bookmarkStart w:id="108" w:name="_Toc1660"/>
      <w:bookmarkStart w:id="109" w:name="_Toc79163622"/>
      <w:bookmarkStart w:id="110" w:name="_Toc15377218"/>
      <w:bookmarkStart w:id="111"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107"/>
      <w:bookmarkEnd w:id="108"/>
      <w:bookmarkEnd w:id="109"/>
      <w:bookmarkEnd w:id="110"/>
      <w:bookmarkEnd w:id="11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1年政府性基金预算拨款支出0万元。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6"/>
          <w:rFonts w:ascii="黑体" w:hAnsi="黑体" w:eastAsia="黑体"/>
          <w:b w:val="0"/>
        </w:rPr>
      </w:pPr>
      <w:bookmarkStart w:id="112" w:name="_Toc79163623"/>
      <w:bookmarkStart w:id="113" w:name="_Toc79163873"/>
      <w:bookmarkStart w:id="114" w:name="_Toc15377219"/>
      <w:bookmarkStart w:id="115" w:name="_Toc15396611"/>
      <w:bookmarkStart w:id="116" w:name="_Toc218"/>
      <w:r>
        <w:rPr>
          <w:rStyle w:val="26"/>
          <w:rFonts w:hint="eastAsia" w:ascii="黑体" w:hAnsi="黑体" w:eastAsia="黑体"/>
          <w:b w:val="0"/>
        </w:rPr>
        <w:t>国有资本经营预算支出决算情况说明</w:t>
      </w:r>
      <w:bookmarkEnd w:id="112"/>
      <w:bookmarkEnd w:id="113"/>
      <w:bookmarkEnd w:id="114"/>
      <w:bookmarkEnd w:id="115"/>
      <w:bookmarkEnd w:id="11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117" w:name="_Toc32003"/>
      <w:bookmarkStart w:id="118" w:name="_Toc79163624"/>
      <w:bookmarkStart w:id="119" w:name="_Toc79163874"/>
      <w:bookmarkStart w:id="120" w:name="_Toc15377221"/>
      <w:bookmarkStart w:id="121"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117"/>
      <w:bookmarkEnd w:id="118"/>
      <w:bookmarkEnd w:id="119"/>
      <w:bookmarkEnd w:id="120"/>
      <w:bookmarkEnd w:id="121"/>
    </w:p>
    <w:p>
      <w:pPr>
        <w:spacing w:line="600" w:lineRule="exact"/>
        <w:ind w:firstLine="642" w:firstLineChars="200"/>
        <w:outlineLvl w:val="2"/>
        <w:rPr>
          <w:rFonts w:ascii="仿宋" w:hAnsi="仿宋" w:eastAsia="仿宋"/>
          <w:color w:val="000000"/>
          <w:sz w:val="32"/>
          <w:szCs w:val="32"/>
        </w:rPr>
      </w:pPr>
      <w:bookmarkStart w:id="122" w:name="_Toc79163625"/>
      <w:bookmarkStart w:id="123" w:name="_Toc79163875"/>
      <w:bookmarkStart w:id="124" w:name="_Toc15377222"/>
      <w:bookmarkStart w:id="125" w:name="_Toc31537"/>
      <w:r>
        <w:rPr>
          <w:rFonts w:hint="eastAsia" w:ascii="仿宋" w:hAnsi="仿宋" w:eastAsia="仿宋"/>
          <w:b/>
          <w:color w:val="000000"/>
          <w:sz w:val="32"/>
          <w:szCs w:val="32"/>
        </w:rPr>
        <w:t>（一）机关运行经费支出情况</w:t>
      </w:r>
      <w:bookmarkEnd w:id="122"/>
      <w:bookmarkEnd w:id="123"/>
      <w:bookmarkEnd w:id="124"/>
      <w:bookmarkEnd w:id="125"/>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1年，壤塘县财政局机关运行经费支出69.04万元，比</w:t>
      </w:r>
      <w:r>
        <w:rPr>
          <w:rFonts w:ascii="仿宋_GB2312" w:eastAsia="仿宋_GB2312"/>
          <w:color w:val="000000"/>
          <w:sz w:val="32"/>
          <w:szCs w:val="32"/>
        </w:rPr>
        <w:t>20</w:t>
      </w:r>
      <w:r>
        <w:rPr>
          <w:rFonts w:hint="eastAsia" w:ascii="仿宋_GB2312" w:eastAsia="仿宋_GB2312"/>
          <w:color w:val="000000"/>
          <w:sz w:val="32"/>
          <w:szCs w:val="32"/>
        </w:rPr>
        <w:t>20年减少33.22万元，降低32.49</w:t>
      </w:r>
      <w:r>
        <w:rPr>
          <w:rFonts w:ascii="仿宋_GB2312" w:eastAsia="仿宋_GB2312"/>
          <w:color w:val="000000"/>
          <w:sz w:val="32"/>
          <w:szCs w:val="32"/>
        </w:rPr>
        <w:t>%</w:t>
      </w:r>
      <w:r>
        <w:rPr>
          <w:rFonts w:hint="eastAsia" w:ascii="仿宋_GB2312" w:eastAsia="仿宋_GB2312"/>
          <w:color w:val="000000"/>
          <w:sz w:val="32"/>
          <w:szCs w:val="32"/>
        </w:rPr>
        <w:t>。主要原因是人员减少。</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26" w:name="_Toc79163876"/>
      <w:bookmarkStart w:id="127" w:name="_Toc15377223"/>
      <w:bookmarkStart w:id="128" w:name="_Toc79163626"/>
      <w:bookmarkStart w:id="129" w:name="_Toc19291"/>
      <w:r>
        <w:rPr>
          <w:rFonts w:hint="eastAsia" w:ascii="仿宋" w:hAnsi="仿宋" w:eastAsia="仿宋"/>
          <w:b/>
          <w:color w:val="000000"/>
          <w:sz w:val="32"/>
          <w:szCs w:val="32"/>
        </w:rPr>
        <w:t>（二）政府采购支出情况</w:t>
      </w:r>
      <w:bookmarkEnd w:id="126"/>
      <w:bookmarkEnd w:id="127"/>
      <w:bookmarkEnd w:id="128"/>
      <w:bookmarkEnd w:id="12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壤塘县财政局政府采购支出总额0.39万元，其中：政府采购货物支出0.39万元。主要用于办公设备的采购等。授予中小企业合同金额0.39万元，占政府采购支出总额的100%，其中：授予小微企业合同金额0.39万元，占政府采购支出总额的100%。</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30" w:name="_Toc79163627"/>
      <w:bookmarkStart w:id="131" w:name="_Toc79163877"/>
      <w:bookmarkStart w:id="132" w:name="_Toc15377224"/>
      <w:bookmarkStart w:id="133" w:name="_Toc21165"/>
      <w:r>
        <w:rPr>
          <w:rFonts w:hint="eastAsia" w:ascii="仿宋" w:hAnsi="仿宋" w:eastAsia="仿宋"/>
          <w:b/>
          <w:color w:val="000000"/>
          <w:sz w:val="32"/>
          <w:szCs w:val="32"/>
        </w:rPr>
        <w:t>（三）国有资产占有使用情况</w:t>
      </w:r>
      <w:bookmarkEnd w:id="130"/>
      <w:bookmarkEnd w:id="131"/>
      <w:bookmarkEnd w:id="132"/>
      <w:bookmarkEnd w:id="13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日，壤塘县财政局共有车辆2辆，其中：主要领导干部用车0辆、机要通信用车0辆、应急保障用车0辆、其他用车2辆，其他用车主要是</w:t>
      </w:r>
      <w:r>
        <w:rPr>
          <w:rFonts w:hint="eastAsia" w:ascii="仿宋" w:hAnsi="仿宋" w:eastAsia="仿宋"/>
          <w:color w:val="000000"/>
          <w:sz w:val="32"/>
          <w:szCs w:val="32"/>
        </w:rPr>
        <w:t>下乡、出差</w:t>
      </w:r>
      <w:r>
        <w:rPr>
          <w:rFonts w:hint="eastAsia" w:ascii="仿宋_GB2312" w:eastAsia="仿宋_GB2312"/>
          <w:color w:val="000000"/>
          <w:sz w:val="32"/>
          <w:szCs w:val="32"/>
        </w:rPr>
        <w:t>等所需的公务用车燃料费、维修费、过路过桥费、保险费等支出。单价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34" w:name="_Toc3447"/>
      <w:bookmarkStart w:id="135" w:name="_Toc79163628"/>
      <w:bookmarkStart w:id="136" w:name="_Toc79163878"/>
      <w:r>
        <w:rPr>
          <w:rFonts w:hint="eastAsia" w:ascii="仿宋" w:hAnsi="仿宋" w:eastAsia="仿宋"/>
          <w:b/>
          <w:color w:val="000000"/>
          <w:sz w:val="32"/>
          <w:szCs w:val="32"/>
        </w:rPr>
        <w:t>（四）预算绩效管理情况。</w:t>
      </w:r>
      <w:bookmarkEnd w:id="134"/>
      <w:bookmarkEnd w:id="135"/>
      <w:bookmarkEnd w:id="136"/>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bookmarkStart w:id="137" w:name="_Hlk20645308"/>
      <w:r>
        <w:rPr>
          <w:rFonts w:hint="eastAsia" w:ascii="仿宋_GB2312" w:hAnsi="仿宋" w:eastAsia="仿宋_GB2312"/>
          <w:color w:val="000000"/>
          <w:sz w:val="32"/>
          <w:szCs w:val="32"/>
        </w:rPr>
        <w:t>“一般行政管理事务”“ 预算改革业务”“财政国库业务”</w:t>
      </w:r>
      <w:bookmarkEnd w:id="137"/>
      <w:r>
        <w:rPr>
          <w:rFonts w:hint="eastAsia" w:ascii="仿宋_GB2312" w:hAnsi="仿宋" w:eastAsia="仿宋_GB2312"/>
          <w:color w:val="000000"/>
          <w:sz w:val="32"/>
          <w:szCs w:val="32"/>
        </w:rPr>
        <w:t>、“信息化建设”“财政委托业务支出”</w:t>
      </w:r>
      <w:r>
        <w:rPr>
          <w:rFonts w:hint="eastAsia" w:ascii="仿宋_GB2312" w:hAnsi="仿宋_GB2312" w:eastAsia="仿宋_GB2312" w:cs="仿宋_GB2312"/>
          <w:sz w:val="32"/>
          <w:szCs w:val="32"/>
        </w:rPr>
        <w:t>项目开展了预算事前绩效评估，对5个项目编制了绩效目标，预算执行过程中，选取5个项目开展绩效监控，年终执行完毕后，对5个项目开展了绩效目标完成情况自评。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我局的部门预算编制规范、准确，各项经费全部纳入预案安排，整体部门支出绩效较好，资金使用效率较高，有效保障了部门的正常运转和专项工作开展。严格执行“八项规定”，压缩“三公经费”开支较上年度有所降低。整体发挥的社会效益明显，服务对象满意度高。自行组织了1个项目支出绩效评价，整体部门支出绩效较好，资金使用效率较高。</w:t>
      </w:r>
    </w:p>
    <w:p>
      <w:pPr>
        <w:numPr>
          <w:ilvl w:val="0"/>
          <w:numId w:val="4"/>
        </w:num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1年度部门决算中反映</w:t>
      </w:r>
      <w:r>
        <w:rPr>
          <w:rFonts w:hint="eastAsia" w:ascii="仿宋_GB2312" w:hAnsi="仿宋" w:eastAsia="仿宋_GB2312"/>
          <w:color w:val="000000"/>
          <w:sz w:val="32"/>
          <w:szCs w:val="32"/>
        </w:rPr>
        <w:t>“一般行政管理事务” “财政国库业务”、“信息化建设”“财政委托业务支出” “ 预算改革业务”</w:t>
      </w:r>
      <w:r>
        <w:rPr>
          <w:rFonts w:hint="eastAsia" w:ascii="仿宋_GB2312" w:hAnsi="仿宋_GB2312" w:eastAsia="仿宋_GB2312" w:cs="仿宋_GB2312"/>
          <w:sz w:val="32"/>
          <w:szCs w:val="32"/>
        </w:rPr>
        <w:t>等5项目绩效目标实际完成情况。</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 行政管理费用项目绩效目标完成情况综述。项目全年预算数14.3万元，执行数为14.3万元，完成预算的100%。通过项目实施，进一步完善我局行政管理费用的使用情况。</w:t>
      </w:r>
    </w:p>
    <w:p>
      <w:pPr>
        <w:tabs>
          <w:tab w:val="left" w:pos="-1677"/>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）财政国库业务项目绩效目标完成情况综述。项目全年预算数24.12万元，执行数为24.12万元，完成预算的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。通过项目实施，提高我县公共财政新体制框架的建立，加强资金监管，提高财政资金使用效率。</w:t>
      </w:r>
    </w:p>
    <w:p>
      <w:pPr>
        <w:tabs>
          <w:tab w:val="left" w:pos="-1677"/>
          <w:tab w:val="left" w:pos="312"/>
        </w:tabs>
        <w:spacing w:line="580" w:lineRule="exact"/>
        <w:ind w:firstLine="480" w:firstLineChars="150"/>
        <w:rPr>
          <w:rFonts w:ascii="仿宋_GB2312" w:hAnsi="仿宋" w:eastAsia="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 w:eastAsia="仿宋_GB2312"/>
          <w:color w:val="000000"/>
          <w:sz w:val="32"/>
          <w:szCs w:val="32"/>
        </w:rPr>
        <w:t>信息化建设项目绩效目标完成情况综述。项目全年预算数48.07万元，执行数为48.07万元，完成预算的</w:t>
      </w:r>
      <w:r>
        <w:rPr>
          <w:rFonts w:ascii="仿宋_GB2312" w:hAnsi="仿宋" w:eastAsia="仿宋_GB2312"/>
          <w:color w:val="000000"/>
          <w:sz w:val="32"/>
          <w:szCs w:val="32"/>
        </w:rPr>
        <w:t>100%</w:t>
      </w:r>
      <w:r>
        <w:rPr>
          <w:rFonts w:hint="eastAsia" w:ascii="仿宋_GB2312" w:hAnsi="仿宋" w:eastAsia="仿宋_GB2312"/>
          <w:color w:val="000000"/>
          <w:sz w:val="32"/>
          <w:szCs w:val="32"/>
        </w:rPr>
        <w:t>。通过项目健全完善管理机制，全面确保全县财政系统信息系统顺利运行和我县财政工作的正常开展。</w:t>
      </w:r>
    </w:p>
    <w:p>
      <w:pPr>
        <w:tabs>
          <w:tab w:val="left" w:pos="-1677"/>
          <w:tab w:val="left" w:pos="312"/>
        </w:tabs>
        <w:spacing w:line="580" w:lineRule="exact"/>
        <w:ind w:firstLine="480" w:firstLineChars="150"/>
        <w:rPr>
          <w:rFonts w:ascii="仿宋_GB2312" w:hAnsi="仿宋_GB2312" w:eastAsia="仿宋_GB2312" w:cs="仿宋_GB2312"/>
          <w:sz w:val="32"/>
          <w:szCs w:val="32"/>
        </w:rPr>
      </w:pPr>
      <w:bookmarkStart w:id="138" w:name="_Hlk20646122"/>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hint="eastAsia" w:ascii="仿宋_GB2312" w:hAnsi="仿宋" w:eastAsia="仿宋_GB2312"/>
          <w:color w:val="000000"/>
          <w:sz w:val="32"/>
          <w:szCs w:val="32"/>
        </w:rPr>
        <w:t>财政委托业务支出项目绩效目标完成情况综述。项目全年预算数310.37万元，执行数为310.37万元，完成预算的</w:t>
      </w:r>
      <w:r>
        <w:rPr>
          <w:rFonts w:ascii="仿宋_GB2312" w:hAnsi="仿宋" w:eastAsia="仿宋_GB2312"/>
          <w:color w:val="000000"/>
          <w:sz w:val="32"/>
          <w:szCs w:val="32"/>
        </w:rPr>
        <w:t>100%</w:t>
      </w:r>
      <w:r>
        <w:rPr>
          <w:rFonts w:hint="eastAsia" w:ascii="仿宋_GB2312" w:hAnsi="仿宋" w:eastAsia="仿宋_GB2312"/>
          <w:color w:val="000000"/>
          <w:sz w:val="32"/>
          <w:szCs w:val="32"/>
        </w:rPr>
        <w:t>。通过项目加强财政资金监督力度、完善财政资金使用制度、树立财政资金监督意识、创新了财政资金管理方式。</w:t>
      </w:r>
      <w:bookmarkEnd w:id="138"/>
    </w:p>
    <w:p>
      <w:pPr>
        <w:tabs>
          <w:tab w:val="left" w:pos="-1677"/>
          <w:tab w:val="left" w:pos="312"/>
        </w:tabs>
        <w:spacing w:line="580" w:lineRule="exact"/>
        <w:ind w:firstLine="480" w:firstLineChars="150"/>
        <w:rPr>
          <w:rFonts w:ascii="仿宋_GB2312" w:hAnsi="仿宋" w:eastAsia="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hint="eastAsia" w:ascii="仿宋_GB2312" w:hAnsi="仿宋" w:eastAsia="仿宋_GB2312"/>
          <w:color w:val="000000"/>
          <w:sz w:val="32"/>
          <w:szCs w:val="32"/>
        </w:rPr>
        <w:t>预算改革业务项目绩效目标完成情况综述。项目全年预算数9.08万元，执行数为9.08万元，完成预算的100</w:t>
      </w:r>
      <w:r>
        <w:rPr>
          <w:rFonts w:ascii="仿宋_GB2312" w:hAnsi="仿宋" w:eastAsia="仿宋_GB2312"/>
          <w:color w:val="000000"/>
          <w:sz w:val="32"/>
          <w:szCs w:val="32"/>
        </w:rPr>
        <w:t>%</w:t>
      </w:r>
      <w:r>
        <w:rPr>
          <w:rFonts w:hint="eastAsia" w:ascii="仿宋_GB2312" w:hAnsi="仿宋" w:eastAsia="仿宋_GB2312"/>
          <w:color w:val="000000"/>
          <w:sz w:val="32"/>
          <w:szCs w:val="32"/>
        </w:rPr>
        <w:t>。通过项目</w:t>
      </w:r>
      <w:r>
        <w:rPr>
          <w:rFonts w:hint="eastAsia" w:ascii="仿宋_GB2312" w:hAnsi="仿宋_GB2312" w:eastAsia="仿宋_GB2312" w:cs="仿宋_GB2312"/>
          <w:kern w:val="0"/>
          <w:sz w:val="32"/>
          <w:szCs w:val="32"/>
        </w:rPr>
        <w:t>有效推进预算管理一体化系统建设，进一步提高预算编制的科学化和精准化水平，完善县本级和预算单位的预决算公开制度，细化预算公开内容和项目</w:t>
      </w:r>
      <w:r>
        <w:rPr>
          <w:rFonts w:hint="eastAsia" w:ascii="仿宋_GB2312" w:hAnsi="仿宋" w:eastAsia="仿宋_GB2312"/>
          <w:color w:val="000000"/>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spacing w:line="580" w:lineRule="exact"/>
        <w:ind w:left="630"/>
        <w:rPr>
          <w:rFonts w:ascii="仿宋_GB2312" w:hAnsi="仿宋_GB2312" w:eastAsia="仿宋_GB2312" w:cs="仿宋_GB2312"/>
          <w:sz w:val="32"/>
          <w:szCs w:val="32"/>
        </w:rPr>
      </w:pPr>
    </w:p>
    <w:p>
      <w:pPr>
        <w:pStyle w:val="2"/>
        <w:ind w:firstLine="640"/>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项目绩效目标完成情况表1</w:t>
            </w:r>
          </w:p>
          <w:p>
            <w:pPr>
              <w:widowControl/>
              <w:jc w:val="center"/>
              <w:textAlignment w:val="center"/>
              <w:rPr>
                <w:rFonts w:ascii="宋体" w:cs="宋体"/>
                <w:color w:val="000000"/>
                <w:sz w:val="36"/>
                <w:szCs w:val="36"/>
              </w:rPr>
            </w:pPr>
            <w:r>
              <w:rPr>
                <w:rFonts w:ascii="宋体" w:hAnsi="宋体" w:cs="宋体"/>
                <w:color w:val="000000"/>
                <w:kern w:val="0"/>
                <w:sz w:val="36"/>
                <w:szCs w:val="36"/>
              </w:rPr>
              <w:t>(202</w:t>
            </w:r>
            <w:r>
              <w:rPr>
                <w:rFonts w:hint="eastAsia" w:ascii="宋体" w:hAnsi="宋体" w:cs="宋体"/>
                <w:color w:val="000000"/>
                <w:kern w:val="0"/>
                <w:sz w:val="36"/>
                <w:szCs w:val="36"/>
              </w:rPr>
              <w:t>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行政管理费用</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壤塘县财政局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14.3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14.3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14.3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14.3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加强行政管理费用使用情况</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行政管理费用使用更加合理</w:t>
            </w:r>
          </w:p>
        </w:tc>
      </w:tr>
      <w:tr>
        <w:tblPrEx>
          <w:tblCellMar>
            <w:top w:w="0" w:type="dxa"/>
            <w:left w:w="0" w:type="dxa"/>
            <w:bottom w:w="0" w:type="dxa"/>
            <w:right w:w="0" w:type="dxa"/>
          </w:tblCellMar>
        </w:tblPrEx>
        <w:trPr>
          <w:trHeight w:val="1042" w:hRule="atLeast"/>
          <w:jc w:val="center"/>
        </w:trPr>
        <w:tc>
          <w:tcPr>
            <w:tcW w:w="390"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全年工作进度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已于</w:t>
            </w:r>
            <w:r>
              <w:rPr>
                <w:rFonts w:ascii="宋体" w:cs="宋体"/>
                <w:color w:val="000000"/>
                <w:sz w:val="24"/>
              </w:rPr>
              <w:t>20</w:t>
            </w:r>
            <w:r>
              <w:rPr>
                <w:rFonts w:hint="eastAsia" w:ascii="宋体" w:cs="宋体"/>
                <w:color w:val="000000"/>
                <w:sz w:val="24"/>
              </w:rPr>
              <w:t>21年</w:t>
            </w:r>
            <w:r>
              <w:rPr>
                <w:rFonts w:ascii="宋体" w:cs="宋体"/>
                <w:color w:val="000000"/>
                <w:sz w:val="24"/>
              </w:rPr>
              <w:t>12</w:t>
            </w:r>
            <w:r>
              <w:rPr>
                <w:rFonts w:hint="eastAsia" w:ascii="宋体" w:cs="宋体"/>
                <w:color w:val="000000"/>
                <w:sz w:val="24"/>
              </w:rPr>
              <w:t>月</w:t>
            </w:r>
            <w:r>
              <w:rPr>
                <w:rFonts w:ascii="宋体" w:cs="宋体"/>
                <w:color w:val="000000"/>
                <w:sz w:val="24"/>
              </w:rPr>
              <w:t>31</w:t>
            </w:r>
            <w:r>
              <w:rPr>
                <w:rFonts w:hint="eastAsia" w:ascii="宋体" w:cs="宋体"/>
                <w:color w:val="000000"/>
                <w:sz w:val="24"/>
              </w:rPr>
              <w:t>日全面完成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已于</w:t>
            </w:r>
            <w:r>
              <w:rPr>
                <w:rFonts w:ascii="宋体" w:cs="宋体"/>
                <w:color w:val="000000"/>
                <w:sz w:val="24"/>
              </w:rPr>
              <w:t>20</w:t>
            </w:r>
            <w:r>
              <w:rPr>
                <w:rFonts w:hint="eastAsia" w:ascii="宋体" w:cs="宋体"/>
                <w:color w:val="000000"/>
                <w:sz w:val="24"/>
              </w:rPr>
              <w:t>21年</w:t>
            </w:r>
            <w:r>
              <w:rPr>
                <w:rFonts w:ascii="宋体" w:cs="宋体"/>
                <w:color w:val="000000"/>
                <w:sz w:val="24"/>
              </w:rPr>
              <w:t>12</w:t>
            </w:r>
            <w:r>
              <w:rPr>
                <w:rFonts w:hint="eastAsia" w:ascii="宋体" w:cs="宋体"/>
                <w:color w:val="000000"/>
                <w:sz w:val="24"/>
              </w:rPr>
              <w:t>月</w:t>
            </w:r>
            <w:r>
              <w:rPr>
                <w:rFonts w:ascii="宋体" w:cs="宋体"/>
                <w:color w:val="000000"/>
                <w:sz w:val="24"/>
              </w:rPr>
              <w:t>31</w:t>
            </w:r>
            <w:r>
              <w:rPr>
                <w:rFonts w:hint="eastAsia" w:ascii="宋体" w:cs="宋体"/>
                <w:color w:val="000000"/>
                <w:sz w:val="24"/>
              </w:rPr>
              <w:t>日全面完成</w:t>
            </w:r>
          </w:p>
        </w:tc>
      </w:tr>
      <w:tr>
        <w:tblPrEx>
          <w:tblCellMar>
            <w:top w:w="0" w:type="dxa"/>
            <w:left w:w="0" w:type="dxa"/>
            <w:bottom w:w="0" w:type="dxa"/>
            <w:right w:w="0" w:type="dxa"/>
          </w:tblCellMar>
        </w:tblPrEx>
        <w:trPr>
          <w:trHeight w:val="1297"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服务对象满意度程度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服务对象满意度较高</w:t>
            </w:r>
          </w:p>
        </w:tc>
      </w:tr>
      <w:tr>
        <w:tblPrEx>
          <w:tblCellMar>
            <w:top w:w="0" w:type="dxa"/>
            <w:left w:w="0" w:type="dxa"/>
            <w:bottom w:w="0" w:type="dxa"/>
            <w:right w:w="0" w:type="dxa"/>
          </w:tblCellMar>
        </w:tblPrEx>
        <w:trPr>
          <w:trHeight w:val="1042"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21年全年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加强行政管理费用使用情况</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行政管理费用使用更加合理</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pStyle w:val="2"/>
        <w:ind w:firstLine="0" w:firstLineChars="0"/>
        <w:rPr>
          <w:rFonts w:ascii="仿宋_GB2312" w:hAnsi="仿宋_GB2312" w:eastAsia="仿宋_GB2312" w:cs="仿宋_GB2312"/>
        </w:rPr>
      </w:pPr>
    </w:p>
    <w:p>
      <w:pPr>
        <w:pStyle w:val="2"/>
        <w:ind w:firstLine="0" w:firstLineChars="0"/>
      </w:pPr>
    </w:p>
    <w:tbl>
      <w:tblPr>
        <w:tblStyle w:val="2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40"/>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r>
              <w:rPr>
                <w:rFonts w:ascii="黑体" w:hAnsi="黑体" w:eastAsia="黑体" w:cs="宋体"/>
                <w:bCs/>
                <w:color w:val="000000"/>
                <w:kern w:val="0"/>
                <w:sz w:val="36"/>
                <w:szCs w:val="36"/>
              </w:rPr>
              <w:t>2</w:t>
            </w:r>
          </w:p>
          <w:p>
            <w:pPr>
              <w:pStyle w:val="40"/>
              <w:widowControl/>
              <w:ind w:left="4173" w:leftChars="1310" w:hanging="1422" w:hangingChars="395"/>
              <w:textAlignment w:val="center"/>
              <w:rPr>
                <w:rFonts w:ascii="宋体" w:cs="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财政国库业务</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壤塘县财政局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24.12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24.12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24.12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24.12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强化财政支出管理、提高财政资金使用效益、强化资金安全运行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强化财政支出管理、提高财政资金使用效益、强化资金安全运行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规范财政资金国库管理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规范财政资金国库管理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规范财政资金国库管理</w:t>
            </w:r>
          </w:p>
        </w:tc>
      </w:tr>
      <w:tr>
        <w:tblPrEx>
          <w:tblCellMar>
            <w:top w:w="0" w:type="dxa"/>
            <w:left w:w="0" w:type="dxa"/>
            <w:bottom w:w="0" w:type="dxa"/>
            <w:right w:w="0" w:type="dxa"/>
          </w:tblCellMar>
        </w:tblPrEx>
        <w:trPr>
          <w:trHeight w:val="12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财政支出管理效益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sz w:val="24"/>
              </w:rPr>
              <w:t>强化财政支出管理、提高财政资金使用效益、强化资金安全运行。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强化财政支出管理、提高财政资金使用效益、强化资金安全运行。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21年全年情况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21年年度内完成财政国库业务监督管理工作。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21年年度内完成财政国库业务监督管理工作。</w:t>
            </w:r>
          </w:p>
        </w:tc>
      </w:tr>
    </w:tbl>
    <w:p>
      <w:pPr>
        <w:spacing w:line="580" w:lineRule="exact"/>
        <w:rPr>
          <w:rFonts w:ascii="仿宋" w:hAnsi="仿宋" w:eastAsia="仿宋" w:cs="??_GB2312"/>
          <w:sz w:val="32"/>
          <w:szCs w:val="32"/>
        </w:rPr>
      </w:pPr>
    </w:p>
    <w:p>
      <w:pPr>
        <w:spacing w:line="580" w:lineRule="exact"/>
        <w:rPr>
          <w:rFonts w:ascii="仿宋" w:hAnsi="仿宋" w:eastAsia="仿宋" w:cs="??_GB2312"/>
          <w:sz w:val="32"/>
          <w:szCs w:val="32"/>
        </w:rPr>
      </w:pPr>
    </w:p>
    <w:p>
      <w:pPr>
        <w:pStyle w:val="2"/>
        <w:ind w:firstLine="640"/>
      </w:pPr>
    </w:p>
    <w:tbl>
      <w:tblPr>
        <w:tblStyle w:val="2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40"/>
              <w:widowControl/>
              <w:ind w:firstLine="0" w:firstLineChars="0"/>
              <w:textAlignment w:val="center"/>
              <w:rPr>
                <w:rFonts w:ascii="黑体" w:hAnsi="黑体" w:eastAsia="黑体" w:cs="宋体"/>
                <w:bCs/>
                <w:color w:val="000000"/>
                <w:kern w:val="0"/>
                <w:sz w:val="36"/>
                <w:szCs w:val="36"/>
              </w:rPr>
            </w:pPr>
          </w:p>
          <w:p>
            <w:pPr>
              <w:pStyle w:val="40"/>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r>
              <w:rPr>
                <w:rFonts w:ascii="黑体" w:hAnsi="黑体" w:eastAsia="黑体" w:cs="宋体"/>
                <w:bCs/>
                <w:color w:val="000000"/>
                <w:kern w:val="0"/>
                <w:sz w:val="36"/>
                <w:szCs w:val="36"/>
              </w:rPr>
              <w:t>3</w:t>
            </w:r>
          </w:p>
          <w:p>
            <w:pPr>
              <w:pStyle w:val="40"/>
              <w:widowControl/>
              <w:ind w:left="4170" w:leftChars="1823" w:hanging="342" w:hangingChars="95"/>
              <w:textAlignment w:val="center"/>
              <w:rPr>
                <w:rFonts w:ascii="宋体" w:cs="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信息化建设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壤塘县财政局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48.07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48.07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48.07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48.07</w:t>
            </w:r>
          </w:p>
        </w:tc>
      </w:tr>
      <w:tr>
        <w:trPr>
          <w:trHeight w:val="107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用于信息系统维护费及资产管理各项清查服务费，致力于健全完善财政系统管理机制，全面加强信息化工作。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用于信息系统维护费及资产管理各项清查服务费，致力于健全完善财政系统管理机制，全面加强信息化工作。</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2</w:t>
            </w:r>
            <w:r>
              <w:rPr>
                <w:rFonts w:hint="eastAsia" w:ascii="宋体" w:hAnsi="宋体" w:cs="宋体"/>
                <w:color w:val="000000"/>
                <w:sz w:val="24"/>
              </w:rPr>
              <w:t>021年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21年年度内完成信息化管理工作。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21年年度内完成信息化管理工作。</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财政工作的正常开展情况</w:t>
            </w:r>
          </w:p>
          <w:p>
            <w:pPr>
              <w:widowControl/>
              <w:ind w:firstLine="480" w:firstLineChars="200"/>
              <w:jc w:val="left"/>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确保了财政信息系统顺利运行和我县财政工作的正常开展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确保了财政信息系统顺利运行和我县财政工作的正常开展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信息化建设产生的效益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通过信息化建设，加强了财政信息化建设，使财政管理制度刚性化，达到实时监控、硬性约束的目的，可以持续推进财政管理规范化和促进财政管理创新，可以持续提升财政部门对各级预算单位的服务水平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通过信息化建设，加强了财政信息化建设，使财政管理制度刚性化，达到实时监控、硬性约束的目的，可以持续推进财政管理规范化和促进财政管理创新，可以持续提升财政部门对各级预算单位的服务水平</w:t>
            </w:r>
          </w:p>
        </w:tc>
      </w:tr>
    </w:tbl>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rPr>
          <w:rFonts w:ascii="楷体_GB2312" w:hAnsi="楷体_GB2312" w:eastAsia="楷体_GB2312" w:cs="楷体_GB2312"/>
          <w:sz w:val="32"/>
          <w:szCs w:val="32"/>
        </w:rPr>
      </w:pPr>
    </w:p>
    <w:tbl>
      <w:tblPr>
        <w:tblStyle w:val="2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40"/>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r>
              <w:rPr>
                <w:rFonts w:ascii="黑体" w:hAnsi="黑体" w:eastAsia="黑体" w:cs="宋体"/>
                <w:bCs/>
                <w:color w:val="000000"/>
                <w:kern w:val="0"/>
                <w:sz w:val="36"/>
                <w:szCs w:val="36"/>
              </w:rPr>
              <w:t>4</w:t>
            </w:r>
          </w:p>
          <w:p>
            <w:pPr>
              <w:pStyle w:val="40"/>
              <w:widowControl/>
              <w:ind w:left="4170" w:leftChars="1823" w:hanging="342" w:hangingChars="95"/>
              <w:textAlignment w:val="center"/>
              <w:rPr>
                <w:rFonts w:ascii="宋体" w:cs="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财政委托业务支出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壤塘县财政局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310.37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310.37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310.37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310.37</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深化预算监督，提高监督效果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深化预算监督，提高监督效果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cs="宋体"/>
                <w:color w:val="000000"/>
                <w:sz w:val="24"/>
              </w:rPr>
              <w:t>财评代理记账等费用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s="宋体"/>
                <w:color w:val="000000"/>
                <w:sz w:val="24"/>
              </w:rPr>
            </w:pPr>
            <w:r>
              <w:rPr>
                <w:rFonts w:ascii="宋体" w:cs="宋体"/>
                <w:color w:val="000000"/>
                <w:sz w:val="24"/>
              </w:rPr>
              <w:t>20</w:t>
            </w:r>
            <w:r>
              <w:rPr>
                <w:rFonts w:hint="eastAsia" w:ascii="宋体" w:cs="宋体"/>
                <w:color w:val="000000"/>
                <w:sz w:val="24"/>
              </w:rPr>
              <w:t>21年全年财评费用、2021年代理记账费用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ascii="宋体" w:cs="宋体"/>
                <w:color w:val="000000"/>
                <w:sz w:val="24"/>
              </w:rPr>
              <w:t>20</w:t>
            </w:r>
            <w:r>
              <w:rPr>
                <w:rFonts w:hint="eastAsia" w:ascii="宋体" w:cs="宋体"/>
                <w:color w:val="000000"/>
                <w:sz w:val="24"/>
              </w:rPr>
              <w:t>21年全年财评费用、2021年代理记账费用</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完成工作及时性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及时完成</w:t>
            </w:r>
            <w:r>
              <w:rPr>
                <w:rFonts w:ascii="宋体" w:hAnsi="宋体" w:cs="宋体"/>
                <w:color w:val="000000"/>
                <w:sz w:val="24"/>
              </w:rPr>
              <w:t>20</w:t>
            </w:r>
            <w:r>
              <w:rPr>
                <w:rFonts w:hint="eastAsia" w:ascii="宋体" w:hAnsi="宋体" w:cs="宋体"/>
                <w:color w:val="000000"/>
                <w:sz w:val="24"/>
              </w:rPr>
              <w:t>21年度内完成各项财政资金绩效考评和财评工作、代理记账。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及时完成</w:t>
            </w:r>
            <w:r>
              <w:rPr>
                <w:rFonts w:ascii="宋体" w:hAnsi="宋体" w:cs="宋体"/>
                <w:color w:val="000000"/>
                <w:sz w:val="24"/>
              </w:rPr>
              <w:t>20</w:t>
            </w:r>
            <w:r>
              <w:rPr>
                <w:rFonts w:hint="eastAsia" w:ascii="宋体" w:hAnsi="宋体" w:cs="宋体"/>
                <w:color w:val="000000"/>
                <w:sz w:val="24"/>
              </w:rPr>
              <w:t>21年度内完成各项财政资金绩效考评和财评工作、代理记账。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可持续发展指标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可持续发展效益</w:t>
            </w:r>
          </w:p>
          <w:p>
            <w:pPr>
              <w:widowControl/>
              <w:ind w:firstLine="480" w:firstLineChars="200"/>
              <w:jc w:val="left"/>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提高了预算监督的有效性、提高资金管理水平、提高资金使用绩效。提升了财政支出绩效管理的规范性。</w:t>
            </w:r>
          </w:p>
          <w:p>
            <w:pPr>
              <w:widowControl/>
              <w:ind w:firstLine="480" w:firstLineChars="200"/>
              <w:jc w:val="left"/>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提高了预算监督的有效性、提高资金管理水平、提高资金使用绩效。提升了财政支出绩效管理的规范性。</w:t>
            </w:r>
          </w:p>
          <w:p>
            <w:pPr>
              <w:widowControl/>
              <w:ind w:firstLine="480" w:firstLineChars="200"/>
              <w:jc w:val="left"/>
              <w:textAlignment w:val="center"/>
              <w:rPr>
                <w:rFonts w:ascii="宋体" w:cs="宋体"/>
                <w:color w:val="000000"/>
                <w:sz w:val="24"/>
              </w:rPr>
            </w:pPr>
          </w:p>
        </w:tc>
      </w:tr>
    </w:tbl>
    <w:p>
      <w:pPr>
        <w:spacing w:line="580" w:lineRule="exact"/>
        <w:ind w:left="630"/>
        <w:rPr>
          <w:rFonts w:ascii="楷体_GB2312" w:hAnsi="楷体_GB2312" w:eastAsia="楷体_GB2312" w:cs="楷体_GB2312"/>
          <w:sz w:val="32"/>
          <w:szCs w:val="32"/>
        </w:rPr>
      </w:pPr>
    </w:p>
    <w:p>
      <w:pPr>
        <w:rPr>
          <w:rFonts w:ascii="Calibri" w:hAnsi="Calibri"/>
        </w:rPr>
      </w:pPr>
    </w:p>
    <w:tbl>
      <w:tblPr>
        <w:tblStyle w:val="21"/>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40"/>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r>
              <w:rPr>
                <w:rFonts w:ascii="黑体" w:hAnsi="黑体" w:eastAsia="黑体" w:cs="宋体"/>
                <w:bCs/>
                <w:color w:val="000000"/>
                <w:kern w:val="0"/>
                <w:sz w:val="36"/>
                <w:szCs w:val="36"/>
              </w:rPr>
              <w:t>5</w:t>
            </w:r>
          </w:p>
          <w:p>
            <w:pPr>
              <w:pStyle w:val="40"/>
              <w:widowControl/>
              <w:ind w:left="4170" w:leftChars="1823" w:hanging="342" w:hangingChars="95"/>
              <w:textAlignment w:val="center"/>
              <w:rPr>
                <w:rFonts w:ascii="宋体" w:cs="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rPr>
              <w:t>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预算改革业务</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壤塘县财政局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9.08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9.08</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w:t>
            </w:r>
            <w:r>
              <w:rPr>
                <w:rFonts w:hint="eastAsia" w:ascii="宋体" w:hAnsi="宋体" w:cs="宋体"/>
                <w:color w:val="000000"/>
                <w:kern w:val="0"/>
                <w:sz w:val="24"/>
                <w:lang w:eastAsia="zh-CN"/>
              </w:rPr>
              <w:t>他</w:t>
            </w:r>
            <w:r>
              <w:rPr>
                <w:rFonts w:hint="eastAsia" w:ascii="宋体" w:hAnsi="宋体" w:cs="宋体"/>
                <w:color w:val="000000"/>
                <w:kern w:val="0"/>
                <w:sz w:val="24"/>
              </w:rPr>
              <w:t>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推进预算管理一体化系统建设</w:t>
            </w:r>
          </w:p>
          <w:p>
            <w:pPr>
              <w:widowControl/>
              <w:ind w:firstLine="480" w:firstLineChars="200"/>
              <w:jc w:val="left"/>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使预算管理一体化系统建设更加完善，提高了水平</w:t>
            </w:r>
          </w:p>
          <w:p>
            <w:pPr>
              <w:widowControl/>
              <w:jc w:val="left"/>
              <w:textAlignment w:val="center"/>
              <w:rPr>
                <w:rFonts w:ascii="宋体" w:cs="宋体"/>
                <w:color w:val="000000"/>
                <w:sz w:val="24"/>
              </w:rPr>
            </w:pP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ascii="宋体" w:hAnsi="宋体" w:cs="宋体"/>
                <w:color w:val="000000"/>
                <w:sz w:val="24"/>
              </w:rPr>
              <w:t>20</w:t>
            </w:r>
            <w:r>
              <w:rPr>
                <w:rFonts w:hint="eastAsia" w:ascii="宋体" w:hAnsi="宋体" w:cs="宋体"/>
                <w:color w:val="000000"/>
                <w:sz w:val="24"/>
              </w:rPr>
              <w:t>21年全年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预算管理一体化系统建设更加完善，完善预决算公开制度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预算管理一体化系统建设更加完善，完善预决算公开制度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cs="宋体"/>
                <w:color w:val="000000"/>
                <w:sz w:val="24"/>
              </w:rPr>
              <w:t>服务满比例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840" w:firstLineChars="350"/>
              <w:jc w:val="left"/>
              <w:textAlignment w:val="center"/>
              <w:rPr>
                <w:rFonts w:ascii="宋体" w:cs="宋体"/>
                <w:color w:val="000000"/>
                <w:sz w:val="24"/>
              </w:rPr>
            </w:pPr>
            <w:r>
              <w:rPr>
                <w:rFonts w:hint="eastAsia" w:ascii="宋体" w:cs="宋体"/>
                <w:color w:val="000000"/>
                <w:sz w:val="24"/>
              </w:rPr>
              <w:t>97</w:t>
            </w:r>
            <w:r>
              <w:rPr>
                <w:rFonts w:asci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840" w:firstLineChars="350"/>
              <w:jc w:val="left"/>
              <w:textAlignment w:val="center"/>
              <w:rPr>
                <w:rFonts w:ascii="宋体" w:cs="宋体"/>
                <w:color w:val="000000"/>
                <w:sz w:val="24"/>
              </w:rPr>
            </w:pPr>
            <w:r>
              <w:rPr>
                <w:rFonts w:hint="eastAsia" w:ascii="宋体" w:cs="宋体"/>
                <w:color w:val="000000"/>
                <w:sz w:val="24"/>
              </w:rPr>
              <w:t>97</w:t>
            </w:r>
            <w:r>
              <w:rPr>
                <w:rFonts w:ascii="宋体" w:cs="宋体"/>
                <w:color w:val="000000"/>
                <w:sz w:val="24"/>
              </w:rPr>
              <w:t>%</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cs="宋体"/>
                <w:color w:val="000000"/>
                <w:sz w:val="24"/>
              </w:rPr>
            </w:pPr>
            <w:r>
              <w:rPr>
                <w:rFonts w:hint="eastAsia" w:ascii="宋体" w:hAnsi="宋体" w:cs="宋体"/>
                <w:color w:val="000000"/>
                <w:sz w:val="24"/>
              </w:rPr>
              <w:t>一体化使用情况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预算管理一体化系统细化了预算公开内容和项目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s="宋体"/>
                <w:color w:val="000000"/>
                <w:sz w:val="24"/>
              </w:rPr>
            </w:pPr>
            <w:r>
              <w:rPr>
                <w:rFonts w:hint="eastAsia" w:ascii="宋体" w:hAnsi="宋体" w:cs="宋体"/>
                <w:color w:val="000000"/>
                <w:sz w:val="24"/>
              </w:rPr>
              <w:t>预算管理一体化系统细化了预算公开内容和项目</w:t>
            </w:r>
          </w:p>
        </w:tc>
      </w:tr>
    </w:tbl>
    <w:p>
      <w:pPr>
        <w:spacing w:line="580" w:lineRule="exact"/>
        <w:rPr>
          <w:rFonts w:ascii="仿宋_GB2312" w:hAnsi="仿宋_GB2312" w:eastAsia="仿宋_GB2312" w:cs="仿宋_GB2312"/>
          <w:sz w:val="32"/>
          <w:szCs w:val="32"/>
        </w:rPr>
      </w:pPr>
    </w:p>
    <w:p>
      <w:pPr>
        <w:pStyle w:val="2"/>
        <w:ind w:firstLine="640"/>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1年部门整体支出绩效评价情况开展自评，《壤塘县财政局部门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本部门自行组织对“金财网网络维护费用”项目开展了绩效评价，《金财网网络维护费用项目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5"/>
          <w:rFonts w:ascii="黑体" w:hAnsi="黑体" w:eastAsia="黑体"/>
          <w:b w:val="0"/>
        </w:rPr>
      </w:pPr>
      <w:bookmarkStart w:id="139" w:name="_Toc79163879"/>
      <w:bookmarkStart w:id="140" w:name="_Toc15396613"/>
      <w:bookmarkStart w:id="141" w:name="_Toc586"/>
      <w:bookmarkStart w:id="142" w:name="_Toc79163629"/>
      <w:bookmarkStart w:id="143"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139"/>
      <w:bookmarkEnd w:id="140"/>
      <w:bookmarkEnd w:id="141"/>
      <w:bookmarkEnd w:id="142"/>
      <w:bookmarkEnd w:id="143"/>
    </w:p>
    <w:p>
      <w:pPr>
        <w:spacing w:line="600" w:lineRule="exact"/>
        <w:jc w:val="left"/>
        <w:rPr>
          <w:rFonts w:ascii="宋体"/>
          <w:b/>
          <w:color w:val="000000"/>
          <w:sz w:val="44"/>
          <w:szCs w:val="44"/>
        </w:rPr>
      </w:pPr>
    </w:p>
    <w:p>
      <w:pPr>
        <w:pStyle w:val="35"/>
        <w:spacing w:line="560" w:lineRule="exact"/>
        <w:ind w:firstLine="640" w:firstLineChars="200"/>
        <w:outlineLvl w:val="1"/>
        <w:rPr>
          <w:rFonts w:ascii="仿宋_GB2312" w:eastAsia="仿宋_GB2312"/>
          <w:sz w:val="32"/>
          <w:szCs w:val="32"/>
        </w:rPr>
      </w:pPr>
      <w:bookmarkStart w:id="144" w:name="_Toc11753"/>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bookmarkEnd w:id="144"/>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其他收入：指单位取得的除上述收入以外的各项收入。主要是利息收入等。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年初结转和结余：指以前年度尚未完成、结转到本年按有关规定继续使用的资金。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一般公共服务（类）财政事务（款）行政运行（项）：指反映行政单位的基本支出。</w:t>
      </w:r>
    </w:p>
    <w:p>
      <w:pPr>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一般公共服务（类）财政事务（款）一般行政管理事务（项）：反映行政单位未单独设置项级科目的其他项目支出。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一般公共服务（类）财政事务（款）预算改革业务（项）</w:t>
      </w:r>
      <w:r>
        <w:rPr>
          <w:rFonts w:ascii="仿宋_GB2312" w:eastAsia="仿宋_GB2312"/>
          <w:color w:val="000000"/>
          <w:sz w:val="32"/>
          <w:szCs w:val="32"/>
        </w:rPr>
        <w:t xml:space="preserve">: </w:t>
      </w:r>
      <w:r>
        <w:rPr>
          <w:rFonts w:hint="eastAsia" w:ascii="仿宋_GB2312" w:eastAsia="仿宋_GB2312"/>
          <w:color w:val="000000"/>
          <w:sz w:val="32"/>
          <w:szCs w:val="32"/>
        </w:rPr>
        <w:t>反映财政部门用于预算改革方面的支出。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一般公共服务（类）财政事务（款）财政国库业务（项）</w:t>
      </w:r>
      <w:r>
        <w:rPr>
          <w:rFonts w:ascii="仿宋_GB2312" w:eastAsia="仿宋_GB2312"/>
          <w:color w:val="000000"/>
          <w:sz w:val="32"/>
          <w:szCs w:val="32"/>
        </w:rPr>
        <w:t xml:space="preserve">: </w:t>
      </w:r>
      <w:r>
        <w:rPr>
          <w:rFonts w:hint="eastAsia" w:ascii="仿宋_GB2312" w:eastAsia="仿宋_GB2312"/>
          <w:color w:val="000000"/>
          <w:sz w:val="32"/>
          <w:szCs w:val="32"/>
        </w:rPr>
        <w:t>反映财政部门用于国库集中收付业务方面的支出。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一般公共服务（类）财政事务（款）信息化建设（项）</w:t>
      </w:r>
      <w:r>
        <w:rPr>
          <w:rFonts w:ascii="仿宋_GB2312" w:eastAsia="仿宋_GB2312"/>
          <w:color w:val="000000"/>
          <w:sz w:val="32"/>
          <w:szCs w:val="32"/>
        </w:rPr>
        <w:t xml:space="preserve">: </w:t>
      </w:r>
      <w:r>
        <w:rPr>
          <w:rFonts w:hint="eastAsia" w:ascii="仿宋_GB2312" w:eastAsia="仿宋_GB2312"/>
          <w:color w:val="000000"/>
          <w:sz w:val="32"/>
          <w:szCs w:val="32"/>
        </w:rPr>
        <w:t>反映财政部门用于“金财工程”等信息化建设</w:t>
      </w:r>
      <w:r>
        <w:rPr>
          <w:rFonts w:ascii="仿宋_GB2312" w:eastAsia="仿宋_GB2312"/>
          <w:color w:val="000000"/>
          <w:sz w:val="32"/>
          <w:szCs w:val="32"/>
        </w:rPr>
        <w:t xml:space="preserve"> </w:t>
      </w:r>
      <w:r>
        <w:rPr>
          <w:rFonts w:hint="eastAsia" w:ascii="仿宋_GB2312" w:eastAsia="仿宋_GB2312"/>
          <w:color w:val="000000"/>
          <w:sz w:val="32"/>
          <w:szCs w:val="32"/>
        </w:rPr>
        <w:t>方面的支出。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社会保障和就业（类）行政事业单位离退休（款）机关事业单位基本养老保险缴费支出（项）：反映机关事业单位实施养老保险制度由单位缴纳的基本养老保险费支出。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社会保障和就业（类）行政事业单位离退休（款）机关事业单位职业年金缴费支出（项）</w:t>
      </w:r>
      <w:r>
        <w:rPr>
          <w:rFonts w:ascii="仿宋_GB2312" w:eastAsia="仿宋_GB2312"/>
          <w:color w:val="000000"/>
          <w:sz w:val="32"/>
          <w:szCs w:val="32"/>
        </w:rPr>
        <w:t xml:space="preserve">: </w:t>
      </w:r>
      <w:r>
        <w:rPr>
          <w:rFonts w:hint="eastAsia" w:ascii="仿宋_GB2312" w:eastAsia="仿宋_GB2312"/>
          <w:color w:val="000000"/>
          <w:sz w:val="32"/>
          <w:szCs w:val="32"/>
        </w:rPr>
        <w:t>反映机关事业单位实施养老保险制度由单位实际缴纳的职业年金支出。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医疗卫生与计划生育（类）行政事业单位医疗（款）行政单位医疗（项）</w:t>
      </w:r>
      <w:r>
        <w:rPr>
          <w:rFonts w:ascii="仿宋_GB2312" w:eastAsia="仿宋_GB2312"/>
          <w:color w:val="000000"/>
          <w:sz w:val="32"/>
          <w:szCs w:val="32"/>
        </w:rPr>
        <w:t xml:space="preserve">: </w:t>
      </w:r>
      <w:r>
        <w:rPr>
          <w:rFonts w:hint="eastAsia" w:ascii="仿宋_GB2312" w:eastAsia="仿宋_GB2312"/>
          <w:color w:val="000000"/>
          <w:sz w:val="32"/>
          <w:szCs w:val="32"/>
        </w:rPr>
        <w:t>反映财政部门集中安排的行政单位基本医疗保险缴费经费，未参加医疗保险的行政单位的公费医疗经费，按国家规定享受离休人员待遇的医疗经费。</w:t>
      </w:r>
    </w:p>
    <w:p>
      <w:pPr>
        <w:ind w:firstLine="640" w:firstLineChars="200"/>
        <w:rPr>
          <w:rFonts w:ascii="仿宋_GB2312" w:eastAsia="仿宋_GB2312"/>
          <w:b/>
          <w:color w:val="000000"/>
          <w:sz w:val="32"/>
          <w:szCs w:val="32"/>
        </w:rPr>
      </w:pPr>
      <w:r>
        <w:rPr>
          <w:rFonts w:ascii="仿宋_GB2312" w:eastAsia="仿宋_GB2312"/>
          <w:bCs/>
          <w:color w:val="000000"/>
          <w:sz w:val="32"/>
          <w:szCs w:val="32"/>
        </w:rPr>
        <w:t>13.</w:t>
      </w:r>
      <w:r>
        <w:rPr>
          <w:rFonts w:hint="eastAsia" w:ascii="仿宋_GB2312" w:eastAsia="仿宋_GB2312"/>
          <w:bCs/>
          <w:color w:val="000000"/>
          <w:sz w:val="32"/>
          <w:szCs w:val="32"/>
        </w:rPr>
        <w:t>医疗卫生与计划生育（类）行政事业单位（款）公务员医疗补助（项）</w:t>
      </w:r>
      <w:r>
        <w:rPr>
          <w:rFonts w:hint="eastAsia" w:ascii="仿宋_GB2312" w:eastAsia="仿宋_GB2312"/>
          <w:b/>
          <w:color w:val="000000"/>
          <w:sz w:val="32"/>
          <w:szCs w:val="32"/>
        </w:rPr>
        <w:t>：</w:t>
      </w:r>
      <w:r>
        <w:rPr>
          <w:rFonts w:hint="eastAsia" w:ascii="仿宋_GB2312" w:eastAsia="仿宋_GB2312"/>
          <w:color w:val="000000"/>
          <w:sz w:val="32"/>
          <w:szCs w:val="32"/>
        </w:rPr>
        <w:t>指财政部门集中安排的公务员医疗补助经费</w:t>
      </w:r>
      <w:r>
        <w:rPr>
          <w:rFonts w:hint="eastAsia" w:ascii="仿宋_GB2312" w:eastAsia="仿宋_GB2312"/>
          <w:b/>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 xml:space="preserve">: </w:t>
      </w:r>
      <w:r>
        <w:rPr>
          <w:rFonts w:hint="eastAsia" w:ascii="仿宋_GB2312" w:eastAsia="仿宋_GB2312"/>
          <w:color w:val="000000"/>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17.</w:t>
      </w:r>
      <w:r>
        <w:rPr>
          <w:rFonts w:hint="eastAsia" w:ascii="仿宋_GB2312" w:hAnsi="Calibri" w:eastAsia="仿宋_GB2312" w:cs="仿宋"/>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18.</w:t>
      </w:r>
      <w:r>
        <w:rPr>
          <w:rFonts w:hint="eastAsia" w:ascii="仿宋_GB2312" w:hAnsi="Calibri" w:eastAsia="仿宋_GB2312" w:cs="仿宋"/>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642"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5"/>
          <w:rFonts w:ascii="黑体" w:hAnsi="黑体" w:eastAsia="黑体"/>
          <w:b w:val="0"/>
        </w:rPr>
      </w:pPr>
      <w:bookmarkStart w:id="145" w:name="_Toc15377226"/>
      <w:r>
        <w:rPr>
          <w:rFonts w:ascii="宋体"/>
          <w:b/>
          <w:color w:val="000000"/>
          <w:sz w:val="44"/>
          <w:szCs w:val="44"/>
        </w:rPr>
        <w:br w:type="page"/>
      </w:r>
      <w:bookmarkStart w:id="146" w:name="_Toc79163630"/>
      <w:bookmarkStart w:id="147" w:name="_Toc24502"/>
      <w:bookmarkStart w:id="148" w:name="_Toc15396614"/>
      <w:bookmarkStart w:id="149" w:name="_Toc79163880"/>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46"/>
      <w:bookmarkEnd w:id="147"/>
      <w:bookmarkEnd w:id="148"/>
      <w:bookmarkEnd w:id="149"/>
    </w:p>
    <w:p>
      <w:pPr>
        <w:spacing w:line="600" w:lineRule="exact"/>
        <w:jc w:val="left"/>
        <w:outlineLvl w:val="1"/>
        <w:rPr>
          <w:rFonts w:ascii="方正小标宋简体" w:hAnsi="方正小标宋简体" w:eastAsia="方正小标宋简体" w:cs="方正小标宋简体"/>
          <w:sz w:val="32"/>
          <w:szCs w:val="32"/>
        </w:rPr>
      </w:pPr>
      <w:bookmarkStart w:id="150" w:name="_Toc29573"/>
      <w:bookmarkStart w:id="151" w:name="_Toc79163881"/>
      <w:bookmarkStart w:id="152" w:name="_Toc79163631"/>
      <w:r>
        <w:rPr>
          <w:rFonts w:hint="eastAsia" w:ascii="黑体" w:hAnsi="黑体" w:eastAsia="黑体" w:cs="黑体"/>
          <w:sz w:val="32"/>
          <w:szCs w:val="32"/>
        </w:rPr>
        <w:t>附件</w:t>
      </w:r>
      <w:r>
        <w:rPr>
          <w:rFonts w:ascii="黑体" w:hAnsi="黑体" w:eastAsia="黑体" w:cs="黑体"/>
          <w:sz w:val="32"/>
          <w:szCs w:val="32"/>
        </w:rPr>
        <w:t>1</w:t>
      </w:r>
      <w:bookmarkEnd w:id="150"/>
      <w:bookmarkEnd w:id="151"/>
      <w:bookmarkEnd w:id="15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53" w:name="_Toc9954"/>
      <w:bookmarkStart w:id="154" w:name="_Toc79163632"/>
      <w:bookmarkStart w:id="155" w:name="_Toc79163882"/>
      <w:bookmarkStart w:id="156" w:name="_Toc15396618"/>
      <w:bookmarkStart w:id="157" w:name="_Toc79163885"/>
      <w:bookmarkStart w:id="158" w:name="_Toc79163635"/>
      <w:r>
        <w:rPr>
          <w:rFonts w:hint="eastAsia" w:ascii="方正小标宋简体" w:hAnsi="黑体" w:eastAsia="方正小标宋简体" w:cs="黑体"/>
          <w:sz w:val="44"/>
          <w:szCs w:val="44"/>
        </w:rPr>
        <w:t>壤塘县财政局</w:t>
      </w:r>
      <w:bookmarkEnd w:id="153"/>
    </w:p>
    <w:p>
      <w:pPr>
        <w:spacing w:line="600" w:lineRule="exact"/>
        <w:jc w:val="center"/>
        <w:outlineLvl w:val="0"/>
        <w:rPr>
          <w:rFonts w:ascii="方正小标宋简体" w:hAnsi="黑体" w:eastAsia="方正小标宋简体" w:cs="黑体"/>
          <w:sz w:val="44"/>
          <w:szCs w:val="44"/>
        </w:rPr>
      </w:pPr>
      <w:bookmarkStart w:id="159" w:name="_Toc16673"/>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rPr>
        <w:t>1年部门整体支出绩效评价报告</w:t>
      </w:r>
      <w:bookmarkEnd w:id="154"/>
      <w:bookmarkEnd w:id="155"/>
      <w:bookmarkEnd w:id="159"/>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lang w:val="zh-CN"/>
        </w:rPr>
      </w:pPr>
      <w:bookmarkStart w:id="160" w:name="_Toc4944"/>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160"/>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61" w:name="_Toc16431"/>
      <w:r>
        <w:rPr>
          <w:rFonts w:hint="eastAsia" w:ascii="仿宋_GB2312" w:hAnsi="宋体" w:eastAsia="仿宋_GB2312" w:cs="宋体"/>
          <w:color w:val="000000"/>
          <w:kern w:val="0"/>
          <w:sz w:val="32"/>
          <w:szCs w:val="32"/>
          <w:shd w:val="clear" w:color="auto" w:fill="FFFFFF"/>
          <w:lang w:val="zh-CN"/>
        </w:rPr>
        <w:t>（一）机构组成。</w:t>
      </w:r>
      <w:bookmarkEnd w:id="161"/>
    </w:p>
    <w:p>
      <w:pPr>
        <w:spacing w:line="600" w:lineRule="exact"/>
        <w:ind w:firstLine="732" w:firstLineChars="229"/>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sz w:val="32"/>
          <w:szCs w:val="32"/>
        </w:rPr>
        <w:t>壤塘县财政局属行政机构一级预算单位。内设行政机构</w:t>
      </w:r>
      <w:r>
        <w:rPr>
          <w:rFonts w:ascii="仿宋_GB2312" w:eastAsia="仿宋_GB2312"/>
          <w:color w:val="000000"/>
          <w:sz w:val="32"/>
          <w:szCs w:val="32"/>
        </w:rPr>
        <w:t>8</w:t>
      </w:r>
      <w:r>
        <w:rPr>
          <w:rFonts w:hint="eastAsia" w:ascii="仿宋_GB2312" w:eastAsia="仿宋_GB2312"/>
          <w:color w:val="000000"/>
          <w:sz w:val="32"/>
          <w:szCs w:val="32"/>
        </w:rPr>
        <w:t>个，机构组成：办公室、预算股、国库股</w:t>
      </w:r>
      <w:r>
        <w:rPr>
          <w:rFonts w:ascii="仿宋_GB2312" w:eastAsia="仿宋_GB2312"/>
          <w:color w:val="000000"/>
          <w:sz w:val="32"/>
          <w:szCs w:val="32"/>
        </w:rPr>
        <w:t>(</w:t>
      </w:r>
      <w:r>
        <w:rPr>
          <w:rFonts w:hint="eastAsia" w:ascii="仿宋_GB2312" w:eastAsia="仿宋_GB2312"/>
          <w:color w:val="000000"/>
          <w:sz w:val="32"/>
          <w:szCs w:val="32"/>
        </w:rPr>
        <w:t>政府采购监督管理股</w:t>
      </w:r>
      <w:r>
        <w:rPr>
          <w:rFonts w:ascii="仿宋_GB2312" w:eastAsia="仿宋_GB2312"/>
          <w:color w:val="000000"/>
          <w:sz w:val="32"/>
          <w:szCs w:val="32"/>
        </w:rPr>
        <w:t>)</w:t>
      </w:r>
      <w:r>
        <w:rPr>
          <w:rFonts w:hint="eastAsia" w:ascii="仿宋_GB2312" w:eastAsia="仿宋_GB2312"/>
          <w:color w:val="000000"/>
          <w:sz w:val="32"/>
          <w:szCs w:val="32"/>
        </w:rPr>
        <w:t>、企业和经济建设股、行政政法股、农业农村和投资管理股、社会保障和科教文卫股、财政监督与绩效管理股（行政审批股）；事业机构</w:t>
      </w:r>
      <w:r>
        <w:rPr>
          <w:rFonts w:ascii="仿宋_GB2312" w:eastAsia="仿宋_GB2312"/>
          <w:color w:val="000000"/>
          <w:sz w:val="32"/>
          <w:szCs w:val="32"/>
        </w:rPr>
        <w:t>5</w:t>
      </w:r>
      <w:r>
        <w:rPr>
          <w:rFonts w:hint="eastAsia" w:ascii="仿宋_GB2312" w:eastAsia="仿宋_GB2312"/>
          <w:color w:val="000000"/>
          <w:sz w:val="32"/>
          <w:szCs w:val="32"/>
        </w:rPr>
        <w:t>个，财政评审中心、财政绩效评价中心、国有资产经营公司、政府采购监督管理中心、财政国库集中支付中心。</w:t>
      </w:r>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62" w:name="_Toc31933"/>
      <w:r>
        <w:rPr>
          <w:rFonts w:hint="eastAsia" w:ascii="仿宋_GB2312" w:hAnsi="宋体" w:eastAsia="仿宋_GB2312" w:cs="宋体"/>
          <w:color w:val="000000"/>
          <w:kern w:val="0"/>
          <w:sz w:val="32"/>
          <w:szCs w:val="32"/>
          <w:shd w:val="clear" w:color="auto" w:fill="FFFFFF"/>
          <w:lang w:val="zh-CN"/>
        </w:rPr>
        <w:t>（二）机构职能。</w:t>
      </w:r>
      <w:bookmarkEnd w:id="16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拟定和执行壤塘县财政、税收的发展战略、方针及中、长期财政规划；执行财政分配政策和分级财政管理体制参与宏观经济分析预测和全县重大宏观经济措施的制定；提出运用财税政策实施宏观经济调控和综合平衡全县财力的建议；制定构建地方公共财政体系的制度；指导全县财政工作。</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贯彻执行国家财政、税收的方针政策和法律、法规，研究、拟定全县财政、国有资产、财务、会计等规章制度，并组织实施。</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管理全县财政收支；依据《预算法》编制年度县级预算草案和决算，组织执行年度财政预算；受县政府委托，向县人大报告全县及县本级财政预算及其执行情况，向全县人大常委会报告决算；拟定财政税收收入计划；管理县级各项财政收入、预算外资金（包括政府性基金和行政事业性收费）、社会保障资金及财政专户；负责全县罚没物资管理、监督工作；制定和规范各项财政收支管理的具体办法，组织财政性资金的综合平衡。</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根据国家税收法律、法规或授权，联系、协调国税、地税等部门的税政业务工作；监督各类税收减免和有关税款退库事项。</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管理县级财政公共支出；贯彻执行《事业单位财务制度》、《行政单位财务制度》；拟定全县行政、事业单位财务管理制度和对各种财政资金的管理监督办法；负责拟定国家授权的政府采购管理制度和监督；制定需要全县统一的有关开支标准；执行并实施基本建设财务管理制度。</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贯彻执行社会保障资金财务管理制度；管理县政府的社会保障支出；组织实施对社会保障资金使用的财政监督。</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草拟全县国有资产管理改革方案、规章制度、管理办法；负责核定企业国有资本，监管国有资本变动；组织清产核资和国有资产权属界定、办理产权登记及国有资产转让，监缴国有资产收益；负责国有资产产权纠纷调处。负责公共资源、国有资产的统计、分析；指导资产评估业务，负责资产评估项目的合规性审核；组织国有资本营运绩效评价，监管国有资本保值增值。</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管理和监督财政性经济发展支出、县级财政安排的农业支出，基本建设支出、城市维护建设支出、技术改造支出、科技支出、县级投资项目的财政拨款，分配各种专项资金；管理农业综合开发、国债转贷等有偿使用资金。</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组织执行国家颁布的企业财务制度和国家与企业的分配政策；管理我县境内的县属企业国有资产和财务。</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草拟和执行政府债务管理的规章制度和管理办法；管理政府主权债务；负责世界银行贷款的管理监督，管理彩票市场，按规定管理彩票基金。</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管理全县会计工作；贯彻实施《会计法》等法律、法规及分行业的会计制度；拟定和实施国家统一会计制度的有关具体办法和补充规定；负责全县会计系列专业技术职务任职资格的考评工作，负责全县会计人员从业资格和管理及业务培训，组织实施会计人员专业知识的继续教育；受理会计人员信访；指导和监督会计电算化；负责会计委派工作；指导和监管社会审计、会计、资产评估、财务咨询等社会中介机构；组织清理整顿经济鉴证类中介机构。负责财政集中支付和部分单位统一核算业务。</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负责全县财政监督检查工作，拟定财政监督的规章制度；监督财税方针政策、法律法规的执行，检查财政收支管理中重大问题；提出加强财政管理的建议；依法查处违反财经纪律的行为。</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制定财政职工教育规划；组织财政业务培训和人才培养，提高干部队伍素质；负责财政信息和财政宣传工作；指导财政系统抓好精神文明建设和廉政建设，做好财政系统干部职工的思想政治工作。</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承担县政府公布的有关行政审批事项。</w:t>
      </w:r>
    </w:p>
    <w:p>
      <w:pPr>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15.</w:t>
      </w:r>
      <w:r>
        <w:rPr>
          <w:rFonts w:hint="eastAsia" w:ascii="仿宋_GB2312" w:eastAsia="仿宋_GB2312"/>
          <w:color w:val="000000"/>
          <w:sz w:val="32"/>
          <w:szCs w:val="32"/>
        </w:rPr>
        <w:t>承担县政府交办的其他事项。</w:t>
      </w:r>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63" w:name="_Toc13635"/>
      <w:r>
        <w:rPr>
          <w:rFonts w:hint="eastAsia" w:ascii="仿宋_GB2312" w:hAnsi="宋体" w:eastAsia="仿宋_GB2312" w:cs="宋体"/>
          <w:color w:val="000000"/>
          <w:kern w:val="0"/>
          <w:sz w:val="32"/>
          <w:szCs w:val="32"/>
          <w:shd w:val="clear" w:color="auto" w:fill="FFFFFF"/>
          <w:lang w:val="zh-CN"/>
        </w:rPr>
        <w:t>（三）人员概况。</w:t>
      </w:r>
      <w:bookmarkEnd w:id="163"/>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20</w:t>
      </w:r>
      <w:r>
        <w:rPr>
          <w:rFonts w:hint="eastAsia" w:ascii="仿宋_GB2312" w:eastAsia="仿宋_GB2312"/>
          <w:color w:val="000000"/>
          <w:sz w:val="32"/>
          <w:szCs w:val="32"/>
        </w:rPr>
        <w:t>21年总编制</w:t>
      </w:r>
      <w:r>
        <w:rPr>
          <w:rFonts w:ascii="仿宋_GB2312" w:eastAsia="仿宋_GB2312"/>
          <w:color w:val="000000"/>
          <w:sz w:val="32"/>
          <w:szCs w:val="32"/>
        </w:rPr>
        <w:t>44</w:t>
      </w:r>
      <w:r>
        <w:rPr>
          <w:rFonts w:hint="eastAsia" w:ascii="仿宋_GB2312" w:eastAsia="仿宋_GB2312"/>
          <w:color w:val="000000"/>
          <w:sz w:val="32"/>
          <w:szCs w:val="32"/>
        </w:rPr>
        <w:t>名</w:t>
      </w:r>
      <w:r>
        <w:rPr>
          <w:rFonts w:ascii="仿宋_GB2312" w:eastAsia="仿宋_GB2312"/>
          <w:color w:val="000000"/>
          <w:sz w:val="32"/>
          <w:szCs w:val="32"/>
        </w:rPr>
        <w:t>,</w:t>
      </w:r>
      <w:r>
        <w:rPr>
          <w:rFonts w:hint="eastAsia" w:ascii="仿宋_GB2312" w:eastAsia="仿宋_GB2312"/>
          <w:color w:val="000000"/>
          <w:sz w:val="32"/>
          <w:szCs w:val="32"/>
        </w:rPr>
        <w:t>其中</w:t>
      </w:r>
      <w:r>
        <w:rPr>
          <w:rFonts w:ascii="仿宋_GB2312" w:eastAsia="仿宋_GB2312"/>
          <w:color w:val="000000"/>
          <w:sz w:val="32"/>
          <w:szCs w:val="32"/>
        </w:rPr>
        <w:t>:</w:t>
      </w:r>
      <w:r>
        <w:rPr>
          <w:rFonts w:hint="eastAsia" w:ascii="仿宋_GB2312" w:eastAsia="仿宋_GB2312"/>
          <w:color w:val="000000"/>
          <w:sz w:val="32"/>
          <w:szCs w:val="32"/>
        </w:rPr>
        <w:t>行政编制</w:t>
      </w:r>
      <w:r>
        <w:rPr>
          <w:rFonts w:ascii="仿宋_GB2312" w:eastAsia="仿宋_GB2312"/>
          <w:color w:val="000000"/>
          <w:sz w:val="32"/>
          <w:szCs w:val="32"/>
        </w:rPr>
        <w:t>11</w:t>
      </w:r>
      <w:r>
        <w:rPr>
          <w:rFonts w:hint="eastAsia" w:ascii="仿宋_GB2312" w:eastAsia="仿宋_GB2312"/>
          <w:color w:val="000000"/>
          <w:sz w:val="32"/>
          <w:szCs w:val="32"/>
        </w:rPr>
        <w:t>名</w:t>
      </w:r>
      <w:r>
        <w:rPr>
          <w:rFonts w:ascii="仿宋_GB2312" w:eastAsia="仿宋_GB2312"/>
          <w:color w:val="000000"/>
          <w:sz w:val="32"/>
          <w:szCs w:val="32"/>
        </w:rPr>
        <w:t>,</w:t>
      </w:r>
      <w:r>
        <w:rPr>
          <w:rFonts w:hint="eastAsia" w:ascii="仿宋_GB2312" w:eastAsia="仿宋_GB2312"/>
          <w:color w:val="000000"/>
          <w:sz w:val="32"/>
          <w:szCs w:val="32"/>
        </w:rPr>
        <w:t>事业编制（含参公编制）</w:t>
      </w:r>
      <w:r>
        <w:rPr>
          <w:rFonts w:ascii="仿宋_GB2312" w:eastAsia="仿宋_GB2312"/>
          <w:color w:val="000000"/>
          <w:sz w:val="32"/>
          <w:szCs w:val="32"/>
        </w:rPr>
        <w:t>31</w:t>
      </w:r>
      <w:r>
        <w:rPr>
          <w:rFonts w:hint="eastAsia" w:ascii="仿宋_GB2312" w:eastAsia="仿宋_GB2312"/>
          <w:color w:val="000000"/>
          <w:sz w:val="32"/>
          <w:szCs w:val="32"/>
        </w:rPr>
        <w:t>名，行政工勤编制</w:t>
      </w:r>
      <w:r>
        <w:rPr>
          <w:rFonts w:ascii="仿宋_GB2312" w:eastAsia="仿宋_GB2312"/>
          <w:color w:val="000000"/>
          <w:sz w:val="32"/>
          <w:szCs w:val="32"/>
        </w:rPr>
        <w:t>2</w:t>
      </w:r>
      <w:r>
        <w:rPr>
          <w:rFonts w:hint="eastAsia" w:ascii="仿宋_GB2312" w:eastAsia="仿宋_GB2312"/>
          <w:color w:val="000000"/>
          <w:sz w:val="32"/>
          <w:szCs w:val="32"/>
        </w:rPr>
        <w:t>名。在职人员总数42名，其中：行政人员9名，行政工勤</w:t>
      </w:r>
      <w:r>
        <w:rPr>
          <w:rFonts w:ascii="仿宋_GB2312" w:eastAsia="仿宋_GB2312"/>
          <w:color w:val="000000"/>
          <w:sz w:val="32"/>
          <w:szCs w:val="32"/>
        </w:rPr>
        <w:t>2</w:t>
      </w:r>
      <w:r>
        <w:rPr>
          <w:rFonts w:hint="eastAsia" w:ascii="仿宋_GB2312" w:eastAsia="仿宋_GB2312"/>
          <w:color w:val="000000"/>
          <w:sz w:val="32"/>
          <w:szCs w:val="32"/>
        </w:rPr>
        <w:t>名，事业人员（含参公人员）31名。</w:t>
      </w:r>
      <w:r>
        <w:rPr>
          <w:rFonts w:ascii="仿宋_GB2312" w:eastAsia="仿宋_GB2312"/>
          <w:color w:val="000000"/>
          <w:sz w:val="32"/>
          <w:szCs w:val="32"/>
        </w:rPr>
        <w:t xml:space="preserve"> </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164" w:name="_Toc23053"/>
      <w:r>
        <w:rPr>
          <w:rFonts w:hint="eastAsia" w:ascii="黑体" w:hAnsi="宋体" w:eastAsia="黑体" w:cs="宋体"/>
          <w:color w:val="000000"/>
          <w:kern w:val="0"/>
          <w:sz w:val="32"/>
          <w:szCs w:val="32"/>
          <w:shd w:val="clear" w:color="auto" w:fill="FFFFFF"/>
        </w:rPr>
        <w:t>二、部门财政资金收支情况</w:t>
      </w:r>
      <w:bookmarkEnd w:id="164"/>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65" w:name="_Toc30157"/>
      <w:r>
        <w:rPr>
          <w:rFonts w:hint="eastAsia" w:ascii="仿宋_GB2312" w:hAnsi="宋体" w:eastAsia="仿宋_GB2312" w:cs="宋体"/>
          <w:color w:val="000000"/>
          <w:kern w:val="0"/>
          <w:sz w:val="32"/>
          <w:szCs w:val="32"/>
          <w:shd w:val="clear" w:color="auto" w:fill="FFFFFF"/>
          <w:lang w:val="zh-CN"/>
        </w:rPr>
        <w:t>（一）部门财政资金收入情况。</w:t>
      </w:r>
      <w:bookmarkEnd w:id="16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2021年度收入总计1090.31万元。与</w:t>
      </w:r>
      <w:r>
        <w:rPr>
          <w:rFonts w:ascii="仿宋" w:hAnsi="仿宋" w:eastAsia="仿宋"/>
          <w:color w:val="000000"/>
          <w:sz w:val="32"/>
          <w:szCs w:val="32"/>
        </w:rPr>
        <w:t>20</w:t>
      </w:r>
      <w:r>
        <w:rPr>
          <w:rFonts w:hint="eastAsia" w:ascii="仿宋" w:hAnsi="仿宋" w:eastAsia="仿宋"/>
          <w:color w:val="000000"/>
          <w:sz w:val="32"/>
          <w:szCs w:val="32"/>
        </w:rPr>
        <w:t>20年相比，收入总计减少23.66万元，下降2.12</w:t>
      </w:r>
      <w:r>
        <w:rPr>
          <w:rFonts w:ascii="仿宋" w:hAnsi="仿宋" w:eastAsia="仿宋"/>
          <w:color w:val="000000"/>
          <w:sz w:val="32"/>
          <w:szCs w:val="32"/>
        </w:rPr>
        <w:t>%</w:t>
      </w:r>
      <w:r>
        <w:rPr>
          <w:rFonts w:hint="eastAsia" w:ascii="仿宋" w:hAnsi="仿宋" w:eastAsia="仿宋"/>
          <w:color w:val="000000"/>
          <w:sz w:val="32"/>
          <w:szCs w:val="32"/>
        </w:rPr>
        <w:t>。主要变动原因是单位新增人员减少，单位运行费用减少。</w:t>
      </w:r>
    </w:p>
    <w:p>
      <w:pPr>
        <w:widowControl/>
        <w:adjustRightInd w:val="0"/>
        <w:snapToGrid w:val="0"/>
        <w:spacing w:line="580" w:lineRule="exact"/>
        <w:ind w:firstLine="640" w:firstLineChars="200"/>
        <w:contextualSpacing/>
        <w:jc w:val="left"/>
        <w:outlineLvl w:val="2"/>
        <w:rPr>
          <w:rFonts w:ascii="仿宋_GB2312" w:hAnsi="宋体" w:eastAsia="仿宋_GB2312" w:cs="宋体"/>
          <w:color w:val="000000"/>
          <w:kern w:val="0"/>
          <w:sz w:val="32"/>
          <w:szCs w:val="32"/>
          <w:shd w:val="clear" w:color="auto" w:fill="FFFFFF"/>
          <w:lang w:val="zh-CN"/>
        </w:rPr>
      </w:pPr>
      <w:bookmarkStart w:id="166" w:name="_Toc25765"/>
      <w:r>
        <w:rPr>
          <w:rFonts w:hint="eastAsia" w:ascii="仿宋_GB2312" w:hAnsi="宋体" w:eastAsia="仿宋_GB2312" w:cs="宋体"/>
          <w:color w:val="000000"/>
          <w:kern w:val="0"/>
          <w:sz w:val="32"/>
          <w:szCs w:val="32"/>
          <w:shd w:val="clear" w:color="auto" w:fill="FFFFFF"/>
          <w:lang w:val="zh-CN"/>
        </w:rPr>
        <w:t>（二）部门财政资金支出情况。</w:t>
      </w:r>
      <w:bookmarkEnd w:id="166"/>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2021年度支出总计</w:t>
      </w:r>
      <w:r>
        <w:rPr>
          <w:rFonts w:ascii="仿宋" w:hAnsi="仿宋" w:eastAsia="仿宋"/>
          <w:color w:val="000000"/>
          <w:sz w:val="32"/>
          <w:szCs w:val="32"/>
        </w:rPr>
        <w:t>1305.46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20年相比，支出总计减少9.38万元，下降0.71</w:t>
      </w:r>
      <w:r>
        <w:rPr>
          <w:rFonts w:ascii="仿宋" w:hAnsi="仿宋" w:eastAsia="仿宋"/>
          <w:color w:val="000000"/>
          <w:sz w:val="32"/>
          <w:szCs w:val="32"/>
        </w:rPr>
        <w:t>%</w:t>
      </w:r>
      <w:r>
        <w:rPr>
          <w:rFonts w:hint="eastAsia" w:ascii="仿宋" w:hAnsi="仿宋" w:eastAsia="仿宋"/>
          <w:color w:val="000000"/>
          <w:sz w:val="32"/>
          <w:szCs w:val="32"/>
        </w:rPr>
        <w:t>。主要变动原因是单位新增人员减少，单位运行费用减少。</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167" w:name="_Toc28805"/>
      <w:r>
        <w:rPr>
          <w:rFonts w:hint="eastAsia" w:ascii="黑体" w:hAnsi="宋体" w:eastAsia="黑体" w:cs="宋体"/>
          <w:color w:val="000000"/>
          <w:kern w:val="0"/>
          <w:sz w:val="32"/>
          <w:szCs w:val="32"/>
          <w:shd w:val="clear" w:color="auto" w:fill="FFFFFF"/>
        </w:rPr>
        <w:t>三、部门整体预算绩效管理情况</w:t>
      </w:r>
      <w:bookmarkEnd w:id="167"/>
    </w:p>
    <w:p>
      <w:pPr>
        <w:spacing w:line="600" w:lineRule="exact"/>
        <w:ind w:firstLine="640"/>
        <w:outlineLvl w:val="2"/>
        <w:rPr>
          <w:rFonts w:hint="eastAsia" w:ascii="仿宋" w:hAnsi="仿宋" w:eastAsia="仿宋"/>
          <w:color w:val="000000"/>
          <w:sz w:val="32"/>
          <w:szCs w:val="32"/>
        </w:rPr>
      </w:pPr>
      <w:bookmarkStart w:id="168" w:name="_Toc10141"/>
      <w:r>
        <w:rPr>
          <w:rFonts w:hint="eastAsia" w:ascii="仿宋" w:hAnsi="仿宋" w:eastAsia="仿宋"/>
          <w:color w:val="000000"/>
          <w:sz w:val="32"/>
          <w:szCs w:val="32"/>
        </w:rPr>
        <w:t>（一）部门预算管理</w:t>
      </w:r>
      <w:bookmarkEnd w:id="16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我局在部门预决算编制工作中，认真按照2021年壤塘县财政预、决算工作会议、文件的要求，结合单位实际情况，及时做好年度财务处理工作，认真编制部门预算。我局按照预算支出数进行预算数安排支出。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为确保机关运转有序，我局根据本单位实际，合理编制单位预算，统筹安排、节约使用各项资金，保障单位正常运转的资金需要，同时建立、健全内部财务管理制度，对单位财务管理进行控制和监督，保障了机关运转和履行各项职能职责。</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我局认真贯彻落实党的十八大精神，严格执行中央“八项规定”、省委省政府十项规定，本着厉行节约、反对铺张浪费，杜绝违反党风廉政建设的有关规定，进一步规范公务用车、公务接待、公款出差学习的管理，严格控制“三公经费”支出，我局制定了相关“三公经费”管理内控制度。</w:t>
      </w:r>
    </w:p>
    <w:p>
      <w:pPr>
        <w:spacing w:line="600" w:lineRule="exact"/>
        <w:ind w:firstLine="640"/>
        <w:outlineLvl w:val="2"/>
        <w:rPr>
          <w:rFonts w:ascii="仿宋" w:hAnsi="仿宋" w:eastAsia="仿宋"/>
          <w:color w:val="000000"/>
          <w:sz w:val="32"/>
          <w:szCs w:val="32"/>
        </w:rPr>
      </w:pPr>
      <w:bookmarkStart w:id="169" w:name="_Toc1631"/>
      <w:r>
        <w:rPr>
          <w:rFonts w:hint="eastAsia" w:ascii="仿宋" w:hAnsi="仿宋" w:eastAsia="仿宋"/>
          <w:color w:val="000000"/>
          <w:sz w:val="32"/>
          <w:szCs w:val="32"/>
        </w:rPr>
        <w:t>（二）结果应用情况</w:t>
      </w:r>
      <w:bookmarkEnd w:id="169"/>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行政管理费用项目绩效目标完成情况综述。项目全年预算数14.3万元，执行数为14.3万元，完成预算的100%。通过项目实施，进一步完善我局行政管理费用的使用情况。</w:t>
      </w:r>
    </w:p>
    <w:p>
      <w:pPr>
        <w:tabs>
          <w:tab w:val="left" w:pos="-1677"/>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财政国库业务项目绩效目标完成情况综述。项目全年预算数24.12万元，执行数为24.12万元，完成预算的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。通过项目实施，提高我县公共财政新体制框架的建立，加强资金监管，提高财政资金使用效率。</w:t>
      </w:r>
    </w:p>
    <w:p>
      <w:pPr>
        <w:tabs>
          <w:tab w:val="left" w:pos="-1677"/>
          <w:tab w:val="left" w:pos="312"/>
        </w:tabs>
        <w:spacing w:line="58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信息化建设项目绩效目标完成情况综述。项目全年预算数48.07万元，执行数为48.07万元，完成预算的</w:t>
      </w:r>
      <w:r>
        <w:rPr>
          <w:rFonts w:ascii="仿宋_GB2312" w:hAnsi="仿宋" w:eastAsia="仿宋_GB2312"/>
          <w:color w:val="000000"/>
          <w:sz w:val="32"/>
          <w:szCs w:val="32"/>
        </w:rPr>
        <w:t>100%</w:t>
      </w:r>
      <w:r>
        <w:rPr>
          <w:rFonts w:hint="eastAsia" w:ascii="仿宋_GB2312" w:hAnsi="仿宋" w:eastAsia="仿宋_GB2312"/>
          <w:color w:val="000000"/>
          <w:sz w:val="32"/>
          <w:szCs w:val="32"/>
        </w:rPr>
        <w:t>。通过项目健全完善管理机制，全面确保全县财政系统信息系统顺利运行和我县财政工作的正常开展。</w:t>
      </w:r>
    </w:p>
    <w:p>
      <w:pPr>
        <w:tabs>
          <w:tab w:val="left" w:pos="-1677"/>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 w:eastAsia="仿宋_GB2312"/>
          <w:color w:val="000000"/>
          <w:sz w:val="32"/>
          <w:szCs w:val="32"/>
        </w:rPr>
        <w:t>财政委托业务支出项目绩效目标完成情况综述。项目全年预算数310.37万元，执行数为310.37万元，完成预算的</w:t>
      </w:r>
      <w:r>
        <w:rPr>
          <w:rFonts w:ascii="仿宋_GB2312" w:hAnsi="仿宋" w:eastAsia="仿宋_GB2312"/>
          <w:color w:val="000000"/>
          <w:sz w:val="32"/>
          <w:szCs w:val="32"/>
        </w:rPr>
        <w:t>100%</w:t>
      </w:r>
      <w:r>
        <w:rPr>
          <w:rFonts w:hint="eastAsia" w:ascii="仿宋_GB2312" w:hAnsi="仿宋" w:eastAsia="仿宋_GB2312"/>
          <w:color w:val="000000"/>
          <w:sz w:val="32"/>
          <w:szCs w:val="32"/>
        </w:rPr>
        <w:t>。通过项目加强财政资金监督力度、完善财政资金使用制度、树立财政资金监督意识、创新了财政资金管理方式。</w:t>
      </w:r>
    </w:p>
    <w:p>
      <w:pPr>
        <w:tabs>
          <w:tab w:val="left" w:pos="-1677"/>
          <w:tab w:val="left" w:pos="312"/>
        </w:tabs>
        <w:spacing w:line="58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预算改革业务项目绩效目标完成情况综述。项目全年预算数9.08万元，执行数为9.08万元，完成预算的100</w:t>
      </w:r>
      <w:r>
        <w:rPr>
          <w:rFonts w:ascii="仿宋_GB2312" w:hAnsi="仿宋" w:eastAsia="仿宋_GB2312"/>
          <w:color w:val="000000"/>
          <w:sz w:val="32"/>
          <w:szCs w:val="32"/>
        </w:rPr>
        <w:t>%</w:t>
      </w:r>
      <w:r>
        <w:rPr>
          <w:rFonts w:hint="eastAsia" w:ascii="仿宋_GB2312" w:hAnsi="仿宋" w:eastAsia="仿宋_GB2312"/>
          <w:color w:val="000000"/>
          <w:sz w:val="32"/>
          <w:szCs w:val="32"/>
        </w:rPr>
        <w:t>。通过项目</w:t>
      </w:r>
      <w:r>
        <w:rPr>
          <w:rFonts w:hint="eastAsia" w:ascii="仿宋_GB2312" w:hAnsi="仿宋_GB2312" w:eastAsia="仿宋_GB2312" w:cs="仿宋_GB2312"/>
          <w:kern w:val="0"/>
          <w:sz w:val="32"/>
          <w:szCs w:val="32"/>
        </w:rPr>
        <w:t>有效推进预算管理一体化系统建设，进一步提高预算编制的科学化和精准化水平，完善县本级和预算单位的预决算公开制度，细化预算公开内容和项目</w:t>
      </w:r>
      <w:r>
        <w:rPr>
          <w:rFonts w:hint="eastAsia" w:ascii="仿宋_GB2312" w:hAnsi="仿宋"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我单位有完整的财务管理制度，财务工作开展规范有序，财务报账流程清晰规范。绩效管理、决算组织、编报、审核情况良好。                  </w:t>
      </w:r>
    </w:p>
    <w:p>
      <w:pPr>
        <w:widowControl/>
        <w:adjustRightInd w:val="0"/>
        <w:snapToGrid w:val="0"/>
        <w:spacing w:line="580" w:lineRule="exact"/>
        <w:ind w:firstLine="320" w:firstLineChars="100"/>
        <w:contextualSpacing/>
        <w:jc w:val="left"/>
        <w:outlineLvl w:val="1"/>
        <w:rPr>
          <w:rFonts w:ascii="黑体" w:hAnsi="宋体" w:eastAsia="黑体" w:cs="宋体"/>
          <w:color w:val="000000"/>
          <w:kern w:val="0"/>
          <w:sz w:val="32"/>
          <w:szCs w:val="32"/>
          <w:shd w:val="clear" w:color="auto" w:fill="FFFFFF"/>
        </w:rPr>
      </w:pPr>
      <w:bookmarkStart w:id="170" w:name="_Toc24938"/>
      <w:r>
        <w:rPr>
          <w:rFonts w:hint="eastAsia" w:ascii="黑体" w:hAnsi="宋体" w:eastAsia="黑体" w:cs="宋体"/>
          <w:color w:val="000000"/>
          <w:kern w:val="0"/>
          <w:sz w:val="32"/>
          <w:szCs w:val="32"/>
          <w:shd w:val="clear" w:color="auto" w:fill="FFFFFF"/>
        </w:rPr>
        <w:t>四、评价结论及建议</w:t>
      </w:r>
      <w:bookmarkEnd w:id="170"/>
    </w:p>
    <w:p>
      <w:pPr>
        <w:spacing w:line="600" w:lineRule="exact"/>
        <w:ind w:firstLine="640" w:firstLineChars="200"/>
        <w:outlineLvl w:val="2"/>
        <w:rPr>
          <w:rFonts w:ascii="仿宋_GB2312" w:eastAsia="仿宋_GB2312"/>
          <w:color w:val="000000"/>
          <w:sz w:val="32"/>
          <w:szCs w:val="32"/>
        </w:rPr>
      </w:pPr>
      <w:bookmarkStart w:id="171" w:name="_Toc8197"/>
      <w:r>
        <w:rPr>
          <w:rFonts w:hint="eastAsia" w:ascii="仿宋_GB2312" w:eastAsia="仿宋_GB2312"/>
          <w:color w:val="000000"/>
          <w:sz w:val="32"/>
          <w:szCs w:val="32"/>
        </w:rPr>
        <w:t>(一)、评价结论</w:t>
      </w:r>
      <w:bookmarkEnd w:id="171"/>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我局的部门预算编制规范、准确，各项经费全部纳入预案安排，整体部门支出绩效较好，资金使用效率较高，有效保障了部门的正常运转和专项工作开展。严格执行“八项规定”整体发挥的社会效益明显，服务对象满意度高。</w:t>
      </w:r>
    </w:p>
    <w:p>
      <w:pPr>
        <w:spacing w:line="600" w:lineRule="exact"/>
        <w:ind w:firstLine="640" w:firstLineChars="200"/>
        <w:outlineLvl w:val="2"/>
        <w:rPr>
          <w:rFonts w:ascii="仿宋_GB2312" w:eastAsia="仿宋_GB2312"/>
          <w:color w:val="000000"/>
          <w:sz w:val="32"/>
          <w:szCs w:val="32"/>
        </w:rPr>
      </w:pPr>
      <w:bookmarkStart w:id="172" w:name="_Toc5105"/>
      <w:r>
        <w:rPr>
          <w:rFonts w:hint="eastAsia" w:ascii="仿宋_GB2312" w:eastAsia="仿宋_GB2312"/>
          <w:color w:val="000000"/>
          <w:sz w:val="32"/>
          <w:szCs w:val="32"/>
        </w:rPr>
        <w:t>（二）、存在问题</w:t>
      </w:r>
      <w:bookmarkEnd w:id="17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经费分解及费用控制有待进一步细化，绩效管理水平有待进一步提高。</w:t>
      </w:r>
    </w:p>
    <w:p>
      <w:pPr>
        <w:spacing w:line="600" w:lineRule="exact"/>
        <w:ind w:firstLine="640" w:firstLineChars="200"/>
        <w:outlineLvl w:val="2"/>
        <w:rPr>
          <w:rFonts w:ascii="仿宋_GB2312" w:eastAsia="仿宋_GB2312"/>
          <w:color w:val="000000"/>
          <w:sz w:val="32"/>
          <w:szCs w:val="32"/>
        </w:rPr>
      </w:pPr>
      <w:bookmarkStart w:id="173" w:name="_Toc3106"/>
      <w:r>
        <w:rPr>
          <w:rFonts w:hint="eastAsia" w:ascii="仿宋_GB2312" w:eastAsia="仿宋_GB2312"/>
          <w:color w:val="000000"/>
          <w:sz w:val="32"/>
          <w:szCs w:val="32"/>
        </w:rPr>
        <w:t>（三）、改进建议</w:t>
      </w:r>
      <w:bookmarkEnd w:id="17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按时完成预决算编制，在执行过程中有计划进行资金申报、使用，完善资金管理及内部控制制度，确保资金安全，做到账款、账表、账实相符。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spacing w:line="600" w:lineRule="exact"/>
        <w:jc w:val="left"/>
        <w:outlineLvl w:val="9"/>
        <w:rPr>
          <w:rFonts w:ascii="黑体" w:hAnsi="黑体" w:eastAsia="黑体" w:cs="黑体"/>
          <w:sz w:val="32"/>
          <w:szCs w:val="32"/>
        </w:rPr>
      </w:pPr>
    </w:p>
    <w:p>
      <w:pPr>
        <w:pStyle w:val="2"/>
      </w:pPr>
    </w:p>
    <w:p>
      <w:pPr>
        <w:spacing w:line="600" w:lineRule="exact"/>
        <w:jc w:val="left"/>
        <w:outlineLvl w:val="9"/>
        <w:rPr>
          <w:rFonts w:hint="eastAsia" w:ascii="黑体" w:hAnsi="黑体" w:eastAsia="黑体" w:cs="黑体"/>
          <w:sz w:val="32"/>
          <w:szCs w:val="32"/>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pPr>
    </w:p>
    <w:p>
      <w:pPr>
        <w:spacing w:line="600" w:lineRule="exact"/>
        <w:jc w:val="left"/>
        <w:outlineLvl w:val="1"/>
        <w:rPr>
          <w:rFonts w:ascii="黑体" w:hAnsi="黑体" w:eastAsia="黑体" w:cs="黑体"/>
          <w:sz w:val="32"/>
          <w:szCs w:val="32"/>
        </w:rPr>
      </w:pPr>
      <w:bookmarkStart w:id="174" w:name="_Toc15910"/>
      <w:r>
        <w:rPr>
          <w:rFonts w:hint="eastAsia" w:ascii="黑体" w:hAnsi="黑体" w:eastAsia="黑体" w:cs="黑体"/>
          <w:sz w:val="32"/>
          <w:szCs w:val="32"/>
        </w:rPr>
        <w:t>附件</w:t>
      </w:r>
      <w:r>
        <w:rPr>
          <w:rFonts w:ascii="黑体" w:hAnsi="黑体" w:eastAsia="黑体" w:cs="黑体"/>
          <w:sz w:val="32"/>
          <w:szCs w:val="32"/>
        </w:rPr>
        <w:t>2</w:t>
      </w:r>
      <w:bookmarkEnd w:id="174"/>
    </w:p>
    <w:p>
      <w:pPr>
        <w:spacing w:line="580" w:lineRule="exact"/>
        <w:jc w:val="center"/>
        <w:rPr>
          <w:rFonts w:ascii="方正小标宋_GBK" w:hAnsi="黑体" w:eastAsia="方正小标宋_GBK" w:cs="方正小标宋简体"/>
          <w:sz w:val="44"/>
          <w:szCs w:val="44"/>
        </w:rPr>
      </w:pPr>
      <w:r>
        <w:rPr>
          <w:rFonts w:hint="eastAsia" w:ascii="方正小标宋_GBK" w:hAnsi="黑体" w:eastAsia="方正小标宋_GBK" w:cs="方正小标宋简体"/>
          <w:sz w:val="44"/>
          <w:szCs w:val="44"/>
        </w:rPr>
        <w:t>金财网网络维护费用项目</w:t>
      </w:r>
    </w:p>
    <w:p>
      <w:pPr>
        <w:spacing w:line="580" w:lineRule="exact"/>
        <w:jc w:val="center"/>
        <w:rPr>
          <w:rFonts w:ascii="方正小标宋_GBK" w:hAnsi="黑体" w:eastAsia="方正小标宋_GBK" w:cs="方正小标宋简体"/>
          <w:sz w:val="44"/>
          <w:szCs w:val="44"/>
        </w:rPr>
      </w:pPr>
      <w:r>
        <w:rPr>
          <w:rFonts w:hint="eastAsia" w:ascii="方正小标宋_GBK" w:hAnsi="黑体" w:eastAsia="方正小标宋_GBK" w:cs="方正小标宋简体"/>
          <w:sz w:val="44"/>
          <w:szCs w:val="44"/>
        </w:rPr>
        <w:t>2021年绩效评价报告</w:t>
      </w:r>
    </w:p>
    <w:p>
      <w:pPr>
        <w:spacing w:line="580" w:lineRule="exact"/>
        <w:ind w:firstLine="640" w:firstLineChars="200"/>
        <w:rPr>
          <w:rFonts w:ascii="??_GB2312" w:hAnsi="??_GB2312" w:cs="??_GB2312"/>
          <w:sz w:val="32"/>
          <w:szCs w:val="32"/>
        </w:rPr>
      </w:pPr>
    </w:p>
    <w:p>
      <w:pPr>
        <w:spacing w:line="580" w:lineRule="exact"/>
        <w:ind w:firstLine="640" w:firstLineChars="200"/>
        <w:outlineLvl w:val="1"/>
        <w:rPr>
          <w:rFonts w:ascii="黑体" w:hAnsi="黑体" w:eastAsia="黑体" w:cs="??_GB2312"/>
          <w:sz w:val="32"/>
          <w:szCs w:val="32"/>
        </w:rPr>
      </w:pPr>
      <w:bookmarkStart w:id="175" w:name="_Toc21763"/>
      <w:r>
        <w:rPr>
          <w:rFonts w:hint="eastAsia" w:ascii="黑体" w:hAnsi="黑体" w:eastAsia="黑体" w:cs="??_GB2312"/>
          <w:sz w:val="32"/>
          <w:szCs w:val="32"/>
        </w:rPr>
        <w:t>一、评价工作开展及项目情况</w:t>
      </w:r>
      <w:bookmarkEnd w:id="175"/>
    </w:p>
    <w:p>
      <w:pPr>
        <w:ind w:firstLine="640" w:firstLineChars="200"/>
        <w:rPr>
          <w:rFonts w:ascii="仿宋" w:hAnsi="仿宋" w:eastAsia="仿宋" w:cs="??_GB2312"/>
          <w:sz w:val="32"/>
          <w:szCs w:val="32"/>
        </w:rPr>
      </w:pPr>
      <w:r>
        <w:rPr>
          <w:rFonts w:hint="eastAsia" w:ascii="仿宋" w:hAnsi="仿宋" w:eastAsia="仿宋" w:cs="??_GB2312"/>
          <w:sz w:val="32"/>
          <w:szCs w:val="32"/>
        </w:rPr>
        <w:t>信息化建设遵循先进性与实用性相结合的原则，以提高财政精细化工作水平为目标，以突出业务应用为前提。主要围绕做好金财网运行维护工作为主，取得了良好效果，确保了财政信息系统顺利运行和我县财政工作的正常开展。</w:t>
      </w:r>
    </w:p>
    <w:p>
      <w:pPr>
        <w:spacing w:line="580" w:lineRule="exact"/>
        <w:ind w:firstLine="640" w:firstLineChars="200"/>
        <w:outlineLvl w:val="1"/>
        <w:rPr>
          <w:rFonts w:ascii="黑体" w:hAnsi="黑体" w:eastAsia="黑体" w:cs="??_GB2312"/>
          <w:sz w:val="32"/>
          <w:szCs w:val="32"/>
        </w:rPr>
      </w:pPr>
      <w:bookmarkStart w:id="176" w:name="_Toc21407"/>
      <w:r>
        <w:rPr>
          <w:rFonts w:hint="eastAsia" w:ascii="黑体" w:hAnsi="黑体" w:eastAsia="黑体" w:cs="??_GB2312"/>
          <w:sz w:val="32"/>
          <w:szCs w:val="32"/>
        </w:rPr>
        <w:t>二、评价结论及绩效分析</w:t>
      </w:r>
      <w:bookmarkEnd w:id="176"/>
    </w:p>
    <w:p>
      <w:pPr>
        <w:spacing w:line="580" w:lineRule="exact"/>
        <w:ind w:firstLine="642" w:firstLineChars="200"/>
        <w:outlineLvl w:val="2"/>
        <w:rPr>
          <w:rFonts w:ascii="楷体_GB2312" w:hAnsi="仿宋" w:eastAsia="楷体_GB2312" w:cs="??_GB2312"/>
          <w:b/>
          <w:sz w:val="32"/>
          <w:szCs w:val="32"/>
        </w:rPr>
      </w:pPr>
      <w:bookmarkStart w:id="177" w:name="_Toc28769"/>
      <w:r>
        <w:rPr>
          <w:rFonts w:hint="eastAsia" w:ascii="楷体_GB2312" w:hAnsi="仿宋" w:eastAsia="楷体_GB2312" w:cs="??_GB2312"/>
          <w:b/>
          <w:sz w:val="32"/>
          <w:szCs w:val="32"/>
        </w:rPr>
        <w:t>（一）评价结论</w:t>
      </w:r>
      <w:bookmarkEnd w:id="177"/>
    </w:p>
    <w:p>
      <w:pPr>
        <w:ind w:firstLine="640" w:firstLineChars="200"/>
        <w:rPr>
          <w:rFonts w:ascii="仿宋" w:hAnsi="仿宋" w:eastAsia="仿宋" w:cs="??_GB2312"/>
          <w:sz w:val="32"/>
          <w:szCs w:val="32"/>
        </w:rPr>
      </w:pPr>
      <w:r>
        <w:rPr>
          <w:rFonts w:hint="eastAsia" w:ascii="仿宋" w:hAnsi="仿宋" w:eastAsia="仿宋" w:cs="??_GB2312"/>
          <w:sz w:val="32"/>
          <w:szCs w:val="32"/>
        </w:rPr>
        <w:t>通过项目健全完善管理机制，根据财政工作、技术运营维护合同。全过程监控财政资金的运行情况，提高财政资金的运行效率与使用效益。完整地记录财政收支数据，避免财政部门重复建设，节约建设和运行维护资金。促进财政基础工作更加规范，财政管理不断加强，财政工作效率和运行质量不断提高的同时，也反过来推动了财政干部自身业务素质的不断提高，使信息技术运用与财政业务运作相互结合，相互促进，相互提高，形成了良性循环。</w:t>
      </w:r>
    </w:p>
    <w:p>
      <w:pPr>
        <w:spacing w:line="580" w:lineRule="exact"/>
        <w:ind w:firstLine="642" w:firstLineChars="200"/>
        <w:outlineLvl w:val="2"/>
        <w:rPr>
          <w:rFonts w:ascii="楷体_GB2312" w:hAnsi="仿宋" w:eastAsia="楷体_GB2312" w:cs="??_GB2312"/>
          <w:b/>
          <w:sz w:val="32"/>
          <w:szCs w:val="32"/>
        </w:rPr>
      </w:pPr>
      <w:bookmarkStart w:id="178" w:name="_Toc27077"/>
      <w:r>
        <w:rPr>
          <w:rFonts w:hint="eastAsia" w:ascii="楷体_GB2312" w:hAnsi="仿宋" w:eastAsia="楷体_GB2312" w:cs="??_GB2312"/>
          <w:b/>
          <w:sz w:val="32"/>
          <w:szCs w:val="32"/>
        </w:rPr>
        <w:t>（二）绩效分析</w:t>
      </w:r>
      <w:bookmarkEnd w:id="178"/>
    </w:p>
    <w:p>
      <w:pPr>
        <w:spacing w:line="580" w:lineRule="exact"/>
        <w:ind w:firstLine="640" w:firstLineChars="200"/>
        <w:rPr>
          <w:rFonts w:ascii="仿宋" w:hAnsi="仿宋" w:eastAsia="仿宋" w:cs="??_GB2312"/>
          <w:sz w:val="32"/>
          <w:szCs w:val="32"/>
        </w:rPr>
      </w:pPr>
      <w:r>
        <w:rPr>
          <w:rFonts w:ascii="仿宋" w:hAnsi="仿宋" w:eastAsia="仿宋" w:cs="??_GB2312"/>
          <w:sz w:val="32"/>
          <w:szCs w:val="32"/>
        </w:rPr>
        <w:t>1.</w:t>
      </w:r>
      <w:r>
        <w:rPr>
          <w:rFonts w:hint="eastAsia" w:ascii="仿宋" w:hAnsi="仿宋" w:eastAsia="仿宋" w:cs="??_GB2312"/>
          <w:sz w:val="32"/>
          <w:szCs w:val="32"/>
        </w:rPr>
        <w:t>项目决策</w:t>
      </w:r>
    </w:p>
    <w:p>
      <w:pPr>
        <w:ind w:firstLine="640" w:firstLineChars="200"/>
        <w:rPr>
          <w:rFonts w:ascii="仿宋" w:hAnsi="仿宋" w:eastAsia="仿宋" w:cs="??_GB2312"/>
          <w:sz w:val="32"/>
          <w:szCs w:val="32"/>
        </w:rPr>
      </w:pPr>
      <w:r>
        <w:rPr>
          <w:rFonts w:hint="eastAsia" w:ascii="仿宋" w:hAnsi="仿宋" w:eastAsia="仿宋" w:cs="??_GB2312"/>
          <w:sz w:val="32"/>
          <w:szCs w:val="32"/>
        </w:rPr>
        <w:t>项目决策方面，我局根据主要职责和当前重点工作，按照年初预算安排，依法依规、合理决策项目的目标和内容。在项目管理方面，我局严格按照财务管理制度，分级审核经费支出，不合理的支出不予批准。通过金财网建设，加强了财政信息化建设，使财政管理制度刚性化，达到实时监控、硬性约束的目的，可以持续推进财政管理规范化和促进财政管理创新，可以持续提升财政部门对各级预算单位的服务水平。</w:t>
      </w:r>
    </w:p>
    <w:p>
      <w:pPr>
        <w:spacing w:line="580" w:lineRule="exact"/>
        <w:ind w:firstLine="640" w:firstLineChars="200"/>
        <w:rPr>
          <w:rFonts w:ascii="仿宋" w:hAnsi="仿宋" w:eastAsia="仿宋" w:cs="??_GB2312"/>
          <w:sz w:val="32"/>
          <w:szCs w:val="32"/>
        </w:rPr>
      </w:pPr>
      <w:r>
        <w:rPr>
          <w:rFonts w:ascii="仿宋" w:hAnsi="仿宋" w:eastAsia="仿宋" w:cs="??_GB2312"/>
          <w:sz w:val="32"/>
          <w:szCs w:val="32"/>
        </w:rPr>
        <w:t>2.</w:t>
      </w:r>
      <w:r>
        <w:rPr>
          <w:rFonts w:hint="eastAsia" w:ascii="仿宋" w:hAnsi="仿宋" w:eastAsia="仿宋" w:cs="??_GB2312"/>
          <w:sz w:val="32"/>
          <w:szCs w:val="32"/>
        </w:rPr>
        <w:t>项目管理</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立项规范，按照规定的程序设立，符合相关要求；目标合理，符合本单位的职能任务；项目预期目标结合实际和年度工作要求，指标明确；预算资金到位，保证了项目进度。其</w:t>
      </w:r>
      <w:r>
        <w:rPr>
          <w:rFonts w:hint="eastAsia" w:ascii="仿宋" w:hAnsi="仿宋" w:eastAsia="仿宋" w:cs="??_GB2312"/>
          <w:sz w:val="32"/>
          <w:szCs w:val="32"/>
          <w:lang w:eastAsia="zh-CN"/>
        </w:rPr>
        <w:t>他</w:t>
      </w:r>
      <w:r>
        <w:rPr>
          <w:rFonts w:hint="eastAsia" w:ascii="仿宋" w:hAnsi="仿宋" w:eastAsia="仿宋" w:cs="??_GB2312"/>
          <w:sz w:val="32"/>
          <w:szCs w:val="32"/>
        </w:rPr>
        <w:t>方面与实际匹配。业务部门按相关的管理制度进行，遵守相关法律法规和业务管理规定；项目支出手续完备，及时收集有关资料并归档；及时落实有关工作，确保工作顺利进行。财务部门管理规范，制度健全，监督规范使用资金，无截留、挤占、挪用。</w:t>
      </w:r>
    </w:p>
    <w:p>
      <w:pPr>
        <w:spacing w:line="580" w:lineRule="exact"/>
        <w:ind w:firstLine="640" w:firstLineChars="200"/>
        <w:rPr>
          <w:rFonts w:ascii="仿宋" w:hAnsi="仿宋" w:eastAsia="仿宋" w:cs="??_GB2312"/>
          <w:sz w:val="32"/>
          <w:szCs w:val="32"/>
        </w:rPr>
      </w:pPr>
      <w:r>
        <w:rPr>
          <w:rFonts w:ascii="仿宋" w:hAnsi="仿宋" w:eastAsia="仿宋" w:cs="??_GB2312"/>
          <w:sz w:val="32"/>
          <w:szCs w:val="32"/>
        </w:rPr>
        <w:t>3.</w:t>
      </w:r>
      <w:r>
        <w:rPr>
          <w:rFonts w:hint="eastAsia" w:ascii="仿宋" w:hAnsi="仿宋" w:eastAsia="仿宋" w:cs="??_GB2312"/>
          <w:sz w:val="32"/>
          <w:szCs w:val="32"/>
        </w:rPr>
        <w:t>项目绩效</w:t>
      </w:r>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“金财网网络维护费用”项目在编制绩效目标时包括了质量指标、可持续影响指标、时效指标。该项目各项指标实际完成均达到年初绩效目标。</w:t>
      </w:r>
    </w:p>
    <w:p>
      <w:pPr>
        <w:spacing w:line="580" w:lineRule="exact"/>
        <w:ind w:firstLine="640" w:firstLineChars="200"/>
        <w:outlineLvl w:val="1"/>
        <w:rPr>
          <w:rFonts w:ascii="黑体" w:hAnsi="黑体" w:eastAsia="黑体" w:cs="??_GB2312"/>
          <w:sz w:val="32"/>
          <w:szCs w:val="32"/>
        </w:rPr>
      </w:pPr>
      <w:bookmarkStart w:id="179" w:name="_Toc589"/>
      <w:bookmarkStart w:id="180" w:name="_Hlk20664076"/>
      <w:r>
        <w:rPr>
          <w:rFonts w:hint="eastAsia" w:ascii="黑体" w:hAnsi="黑体" w:eastAsia="黑体" w:cs="??_GB2312"/>
          <w:sz w:val="32"/>
          <w:szCs w:val="32"/>
        </w:rPr>
        <w:t>三、存在主要问题</w:t>
      </w:r>
      <w:bookmarkEnd w:id="179"/>
    </w:p>
    <w:p>
      <w:pPr>
        <w:spacing w:line="580" w:lineRule="exact"/>
        <w:ind w:firstLine="640" w:firstLineChars="200"/>
        <w:rPr>
          <w:rFonts w:ascii="仿宋" w:hAnsi="仿宋" w:eastAsia="仿宋" w:cs="??_GB2312"/>
          <w:sz w:val="32"/>
          <w:szCs w:val="32"/>
        </w:rPr>
      </w:pPr>
      <w:r>
        <w:rPr>
          <w:rFonts w:hint="eastAsia" w:ascii="仿宋" w:hAnsi="仿宋" w:eastAsia="仿宋" w:cs="??_GB2312"/>
          <w:sz w:val="32"/>
          <w:szCs w:val="32"/>
        </w:rPr>
        <w:t>本次评价由我局自行完成，没有专家指导，评价不太专业，有些评价指标有待进一步的探讨和完善。</w:t>
      </w:r>
    </w:p>
    <w:p>
      <w:pPr>
        <w:spacing w:line="580" w:lineRule="exact"/>
        <w:ind w:firstLine="640" w:firstLineChars="200"/>
        <w:outlineLvl w:val="1"/>
        <w:rPr>
          <w:rFonts w:ascii="黑体" w:hAnsi="黑体" w:eastAsia="黑体" w:cs="??_GB2312"/>
          <w:sz w:val="32"/>
          <w:szCs w:val="32"/>
        </w:rPr>
      </w:pPr>
      <w:bookmarkStart w:id="181" w:name="_Toc3977"/>
      <w:r>
        <w:rPr>
          <w:rFonts w:hint="eastAsia" w:ascii="黑体" w:hAnsi="黑体" w:eastAsia="黑体" w:cs="??_GB2312"/>
          <w:sz w:val="32"/>
          <w:szCs w:val="32"/>
        </w:rPr>
        <w:t>四、相关建议</w:t>
      </w:r>
      <w:bookmarkEnd w:id="181"/>
    </w:p>
    <w:p>
      <w:pPr>
        <w:spacing w:line="580" w:lineRule="exact"/>
        <w:ind w:firstLine="640" w:firstLineChars="200"/>
        <w:rPr>
          <w:rFonts w:ascii="仿宋" w:hAnsi="仿宋" w:eastAsia="仿宋" w:cs="??_GB2312"/>
          <w:sz w:val="32"/>
          <w:szCs w:val="32"/>
        </w:rPr>
      </w:pPr>
      <w:r>
        <w:rPr>
          <w:rFonts w:ascii="仿宋" w:hAnsi="仿宋" w:eastAsia="仿宋" w:cs="??_GB2312"/>
          <w:sz w:val="32"/>
          <w:szCs w:val="32"/>
        </w:rPr>
        <w:t>1.</w:t>
      </w:r>
      <w:r>
        <w:rPr>
          <w:rFonts w:hint="eastAsia" w:ascii="仿宋" w:hAnsi="仿宋" w:eastAsia="仿宋" w:cs="??_GB2312"/>
          <w:sz w:val="32"/>
          <w:szCs w:val="32"/>
        </w:rPr>
        <w:t>细化部门预算编制，强化预算执行控制与监督。</w:t>
      </w:r>
    </w:p>
    <w:p>
      <w:pPr>
        <w:spacing w:line="580" w:lineRule="exact"/>
        <w:ind w:firstLine="640" w:firstLineChars="200"/>
        <w:rPr>
          <w:rFonts w:ascii="仿宋" w:hAnsi="仿宋" w:eastAsia="仿宋" w:cs="??_GB2312"/>
          <w:sz w:val="32"/>
          <w:szCs w:val="32"/>
        </w:rPr>
      </w:pPr>
      <w:r>
        <w:rPr>
          <w:rFonts w:ascii="仿宋" w:hAnsi="仿宋" w:eastAsia="仿宋" w:cs="??_GB2312"/>
          <w:sz w:val="32"/>
          <w:szCs w:val="32"/>
        </w:rPr>
        <w:t>2.</w:t>
      </w:r>
      <w:r>
        <w:rPr>
          <w:rFonts w:hint="eastAsia" w:ascii="仿宋" w:hAnsi="仿宋" w:eastAsia="仿宋" w:cs="??_GB2312"/>
          <w:sz w:val="32"/>
          <w:szCs w:val="32"/>
        </w:rPr>
        <w:t>加强预算绩效目标和指标管理，提高相关性、规范性和可行性。</w:t>
      </w:r>
    </w:p>
    <w:p>
      <w:pPr>
        <w:spacing w:line="580" w:lineRule="exact"/>
        <w:ind w:firstLine="640" w:firstLineChars="200"/>
        <w:rPr>
          <w:rStyle w:val="25"/>
          <w:rFonts w:ascii="仿宋" w:hAnsi="仿宋" w:eastAsia="仿宋" w:cs="??_GB2312"/>
          <w:b w:val="0"/>
          <w:bCs w:val="0"/>
          <w:sz w:val="32"/>
          <w:szCs w:val="32"/>
        </w:rPr>
      </w:pPr>
      <w:r>
        <w:rPr>
          <w:rFonts w:ascii="仿宋" w:hAnsi="仿宋" w:eastAsia="仿宋" w:cs="??_GB2312"/>
          <w:sz w:val="32"/>
          <w:szCs w:val="32"/>
        </w:rPr>
        <w:t>3.</w:t>
      </w:r>
      <w:r>
        <w:rPr>
          <w:rFonts w:hint="eastAsia" w:ascii="仿宋" w:hAnsi="仿宋" w:eastAsia="仿宋" w:cs="??_GB2312"/>
          <w:sz w:val="32"/>
          <w:szCs w:val="32"/>
        </w:rPr>
        <w:t>推进自身改革，以监督合力推动财政信息化工作再上新台阶。</w:t>
      </w:r>
    </w:p>
    <w:bookmarkEnd w:id="180"/>
    <w:p>
      <w:pPr>
        <w:widowControl/>
        <w:jc w:val="left"/>
        <w:rPr>
          <w:rStyle w:val="25"/>
          <w:rFonts w:ascii="黑体" w:hAnsi="黑体" w:eastAsia="黑体"/>
          <w:b w:val="0"/>
        </w:rPr>
      </w:pPr>
    </w:p>
    <w:p>
      <w:pPr>
        <w:widowControl/>
        <w:jc w:val="left"/>
        <w:rPr>
          <w:rStyle w:val="25"/>
          <w:rFonts w:ascii="黑体" w:hAnsi="黑体" w:eastAsia="黑体"/>
          <w:b w:val="0"/>
        </w:rPr>
      </w:pPr>
    </w:p>
    <w:p>
      <w:pPr>
        <w:widowControl/>
        <w:jc w:val="left"/>
        <w:rPr>
          <w:rStyle w:val="25"/>
          <w:rFonts w:ascii="黑体" w:hAnsi="黑体" w:eastAsia="黑体"/>
          <w:b w:val="0"/>
        </w:rPr>
      </w:pPr>
    </w:p>
    <w:p>
      <w:pPr>
        <w:spacing w:line="600" w:lineRule="exact"/>
        <w:jc w:val="left"/>
        <w:outlineLvl w:val="9"/>
        <w:rPr>
          <w:rFonts w:hint="eastAsia" w:ascii="黑体" w:hAnsi="黑体" w:eastAsia="黑体" w:cs="黑体"/>
          <w:sz w:val="32"/>
          <w:szCs w:val="32"/>
        </w:rPr>
      </w:pPr>
    </w:p>
    <w:p>
      <w:pPr>
        <w:pStyle w:val="2"/>
        <w:ind w:firstLine="640"/>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spacing w:line="600" w:lineRule="exact"/>
        <w:jc w:val="center"/>
        <w:outlineLvl w:val="9"/>
        <w:rPr>
          <w:rFonts w:hint="eastAsia" w:ascii="黑体" w:hAnsi="黑体" w:eastAsia="黑体" w:cs="黑体"/>
          <w:sz w:val="32"/>
          <w:szCs w:val="32"/>
        </w:rPr>
      </w:pPr>
    </w:p>
    <w:p>
      <w:pPr>
        <w:spacing w:line="600" w:lineRule="exact"/>
        <w:jc w:val="center"/>
        <w:outlineLvl w:val="0"/>
        <w:rPr>
          <w:rStyle w:val="25"/>
          <w:rFonts w:ascii="黑体" w:hAnsi="黑体" w:eastAsia="黑体"/>
          <w:b w:val="0"/>
        </w:rPr>
      </w:pPr>
      <w:bookmarkStart w:id="182" w:name="_Toc29838"/>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45"/>
      <w:bookmarkEnd w:id="156"/>
      <w:bookmarkEnd w:id="157"/>
      <w:bookmarkEnd w:id="158"/>
      <w:bookmarkEnd w:id="182"/>
    </w:p>
    <w:p>
      <w:pPr>
        <w:pStyle w:val="4"/>
        <w:rPr>
          <w:rFonts w:ascii="仿宋" w:hAnsi="仿宋" w:eastAsia="仿宋"/>
          <w:color w:val="000000"/>
        </w:rPr>
      </w:pPr>
      <w:bookmarkStart w:id="183" w:name="_Toc11205"/>
      <w:bookmarkStart w:id="184" w:name="_Toc15396619"/>
      <w:bookmarkStart w:id="185" w:name="_Toc79163886"/>
      <w:bookmarkStart w:id="186" w:name="_Toc79163636"/>
      <w:r>
        <w:rPr>
          <w:rFonts w:hint="eastAsia" w:ascii="仿宋" w:hAnsi="仿宋" w:eastAsia="仿宋"/>
          <w:b w:val="0"/>
          <w:color w:val="000000"/>
        </w:rPr>
        <w:t>一、收</w:t>
      </w:r>
      <w:r>
        <w:rPr>
          <w:rStyle w:val="26"/>
          <w:rFonts w:hint="eastAsia" w:ascii="仿宋" w:hAnsi="仿宋" w:eastAsia="仿宋"/>
          <w:b w:val="0"/>
          <w:bCs w:val="0"/>
        </w:rPr>
        <w:t>入支出决算总表</w:t>
      </w:r>
      <w:bookmarkEnd w:id="183"/>
      <w:bookmarkEnd w:id="184"/>
      <w:bookmarkEnd w:id="185"/>
      <w:bookmarkEnd w:id="186"/>
    </w:p>
    <w:p>
      <w:pPr>
        <w:pStyle w:val="4"/>
        <w:rPr>
          <w:rFonts w:ascii="仿宋" w:hAnsi="仿宋" w:eastAsia="仿宋"/>
          <w:color w:val="000000"/>
        </w:rPr>
      </w:pPr>
      <w:bookmarkStart w:id="187" w:name="_Toc28154"/>
      <w:bookmarkStart w:id="188" w:name="_Toc79163637"/>
      <w:bookmarkStart w:id="189" w:name="_Toc79163887"/>
      <w:bookmarkStart w:id="190"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187"/>
      <w:bookmarkEnd w:id="188"/>
      <w:bookmarkEnd w:id="189"/>
      <w:bookmarkEnd w:id="190"/>
    </w:p>
    <w:p>
      <w:pPr>
        <w:pStyle w:val="4"/>
        <w:rPr>
          <w:rFonts w:ascii="仿宋" w:hAnsi="仿宋" w:eastAsia="仿宋"/>
          <w:color w:val="000000"/>
        </w:rPr>
      </w:pPr>
      <w:bookmarkStart w:id="191" w:name="_Toc24506"/>
      <w:bookmarkStart w:id="192" w:name="_Toc15396621"/>
      <w:bookmarkStart w:id="193" w:name="_Toc79163888"/>
      <w:bookmarkStart w:id="194"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91"/>
      <w:bookmarkEnd w:id="192"/>
      <w:bookmarkEnd w:id="193"/>
      <w:bookmarkEnd w:id="194"/>
    </w:p>
    <w:p>
      <w:pPr>
        <w:pStyle w:val="4"/>
        <w:rPr>
          <w:rFonts w:ascii="仿宋" w:hAnsi="仿宋" w:eastAsia="仿宋"/>
          <w:b w:val="0"/>
          <w:color w:val="000000"/>
        </w:rPr>
      </w:pPr>
      <w:bookmarkStart w:id="195" w:name="_Toc79163639"/>
      <w:bookmarkStart w:id="196" w:name="_Toc79163889"/>
      <w:bookmarkStart w:id="197" w:name="_Toc20881"/>
      <w:bookmarkStart w:id="198"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95"/>
      <w:bookmarkEnd w:id="196"/>
      <w:bookmarkEnd w:id="197"/>
      <w:bookmarkEnd w:id="198"/>
    </w:p>
    <w:p>
      <w:pPr>
        <w:pStyle w:val="4"/>
        <w:rPr>
          <w:rStyle w:val="26"/>
          <w:rFonts w:ascii="仿宋" w:hAnsi="仿宋" w:eastAsia="仿宋"/>
          <w:b w:val="0"/>
          <w:bCs w:val="0"/>
        </w:rPr>
      </w:pPr>
      <w:bookmarkStart w:id="199" w:name="_Toc79163640"/>
      <w:bookmarkStart w:id="200" w:name="_Toc5691"/>
      <w:bookmarkStart w:id="201" w:name="_Toc79163890"/>
      <w:bookmarkStart w:id="202"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99"/>
      <w:bookmarkEnd w:id="200"/>
      <w:bookmarkEnd w:id="201"/>
      <w:bookmarkEnd w:id="202"/>
      <w:bookmarkStart w:id="203" w:name="_Toc15396624"/>
    </w:p>
    <w:p>
      <w:pPr>
        <w:pStyle w:val="4"/>
        <w:rPr>
          <w:rFonts w:ascii="仿宋" w:hAnsi="仿宋" w:eastAsia="仿宋"/>
          <w:color w:val="000000"/>
        </w:rPr>
      </w:pPr>
      <w:bookmarkStart w:id="204" w:name="_Toc27483"/>
      <w:bookmarkStart w:id="205" w:name="_Toc79163641"/>
      <w:bookmarkStart w:id="206" w:name="_Toc7916389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203"/>
      <w:bookmarkEnd w:id="204"/>
      <w:bookmarkEnd w:id="205"/>
      <w:bookmarkEnd w:id="206"/>
    </w:p>
    <w:p>
      <w:pPr>
        <w:pStyle w:val="4"/>
        <w:rPr>
          <w:rFonts w:ascii="仿宋" w:hAnsi="仿宋" w:eastAsia="仿宋"/>
          <w:color w:val="000000"/>
        </w:rPr>
      </w:pPr>
      <w:bookmarkStart w:id="207" w:name="_Toc79163642"/>
      <w:bookmarkStart w:id="208" w:name="_Toc15396625"/>
      <w:bookmarkStart w:id="209" w:name="_Toc79163892"/>
      <w:bookmarkStart w:id="210" w:name="_Toc28048"/>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207"/>
      <w:bookmarkEnd w:id="208"/>
      <w:bookmarkEnd w:id="209"/>
      <w:bookmarkEnd w:id="210"/>
    </w:p>
    <w:p>
      <w:pPr>
        <w:pStyle w:val="4"/>
        <w:rPr>
          <w:rFonts w:ascii="仿宋" w:hAnsi="仿宋" w:eastAsia="仿宋"/>
          <w:color w:val="000000"/>
        </w:rPr>
      </w:pPr>
      <w:bookmarkStart w:id="211" w:name="_Toc79163643"/>
      <w:bookmarkStart w:id="212" w:name="_Toc79163893"/>
      <w:bookmarkStart w:id="213" w:name="_Toc15396626"/>
      <w:bookmarkStart w:id="214" w:name="_Toc24928"/>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211"/>
      <w:bookmarkEnd w:id="212"/>
      <w:bookmarkEnd w:id="213"/>
      <w:bookmarkEnd w:id="214"/>
    </w:p>
    <w:p>
      <w:pPr>
        <w:pStyle w:val="4"/>
        <w:rPr>
          <w:rFonts w:ascii="仿宋" w:hAnsi="仿宋" w:eastAsia="仿宋"/>
          <w:color w:val="000000"/>
        </w:rPr>
      </w:pPr>
      <w:bookmarkStart w:id="215" w:name="_Toc79163644"/>
      <w:bookmarkStart w:id="216" w:name="_Toc79163894"/>
      <w:bookmarkStart w:id="217" w:name="_Toc15396627"/>
      <w:bookmarkStart w:id="218" w:name="_Toc2280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215"/>
      <w:bookmarkEnd w:id="216"/>
      <w:bookmarkEnd w:id="217"/>
      <w:bookmarkEnd w:id="218"/>
    </w:p>
    <w:p>
      <w:pPr>
        <w:pStyle w:val="4"/>
        <w:rPr>
          <w:rFonts w:ascii="仿宋" w:hAnsi="仿宋" w:eastAsia="仿宋"/>
          <w:color w:val="000000"/>
        </w:rPr>
      </w:pPr>
      <w:bookmarkStart w:id="219" w:name="_Toc15396628"/>
      <w:bookmarkStart w:id="220" w:name="_Toc28975"/>
      <w:bookmarkStart w:id="221" w:name="_Toc79163895"/>
      <w:bookmarkStart w:id="222" w:name="_Toc7916364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219"/>
      <w:bookmarkEnd w:id="220"/>
      <w:bookmarkEnd w:id="221"/>
      <w:bookmarkEnd w:id="222"/>
    </w:p>
    <w:p>
      <w:pPr>
        <w:pStyle w:val="4"/>
        <w:rPr>
          <w:rFonts w:ascii="仿宋" w:hAnsi="仿宋" w:eastAsia="仿宋"/>
          <w:color w:val="000000"/>
        </w:rPr>
      </w:pPr>
      <w:bookmarkStart w:id="223" w:name="_Toc79163896"/>
      <w:bookmarkStart w:id="224" w:name="_Toc288"/>
      <w:bookmarkStart w:id="225" w:name="_Toc15396629"/>
      <w:bookmarkStart w:id="226"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223"/>
      <w:bookmarkEnd w:id="224"/>
      <w:bookmarkEnd w:id="225"/>
      <w:bookmarkEnd w:id="226"/>
    </w:p>
    <w:p>
      <w:pPr>
        <w:pStyle w:val="4"/>
        <w:rPr>
          <w:rFonts w:ascii="仿宋" w:hAnsi="仿宋" w:eastAsia="仿宋"/>
          <w:color w:val="000000"/>
        </w:rPr>
      </w:pPr>
      <w:bookmarkStart w:id="227" w:name="_Toc79163647"/>
      <w:bookmarkStart w:id="228" w:name="_Toc1744"/>
      <w:bookmarkStart w:id="229" w:name="_Toc15396630"/>
      <w:bookmarkStart w:id="230"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227"/>
      <w:bookmarkEnd w:id="228"/>
      <w:bookmarkEnd w:id="229"/>
      <w:bookmarkEnd w:id="230"/>
    </w:p>
    <w:p>
      <w:pPr>
        <w:pStyle w:val="4"/>
        <w:rPr>
          <w:rStyle w:val="26"/>
          <w:rFonts w:ascii="仿宋" w:hAnsi="仿宋" w:eastAsia="仿宋"/>
          <w:b w:val="0"/>
          <w:bCs w:val="0"/>
        </w:rPr>
      </w:pPr>
      <w:bookmarkStart w:id="231" w:name="_Toc15396631"/>
      <w:bookmarkStart w:id="232" w:name="_Toc23208"/>
      <w:bookmarkStart w:id="233" w:name="_Toc79163898"/>
      <w:bookmarkStart w:id="234" w:name="_Toc7916364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231"/>
      <w:bookmarkEnd w:id="232"/>
      <w:bookmarkEnd w:id="233"/>
      <w:bookmarkEnd w:id="234"/>
    </w:p>
    <w:p>
      <w:pPr>
        <w:pStyle w:val="4"/>
        <w:rPr>
          <w:rStyle w:val="26"/>
          <w:rFonts w:ascii="仿宋" w:hAnsi="仿宋" w:eastAsia="仿宋"/>
          <w:b w:val="0"/>
          <w:bCs w:val="0"/>
        </w:rPr>
      </w:pPr>
      <w:bookmarkStart w:id="235" w:name="_Toc24598"/>
      <w:bookmarkStart w:id="236" w:name="_Toc79163649"/>
      <w:bookmarkStart w:id="237" w:name="_Toc79163899"/>
      <w:r>
        <w:rPr>
          <w:rStyle w:val="26"/>
          <w:rFonts w:hint="eastAsia" w:ascii="仿宋" w:hAnsi="仿宋" w:eastAsia="仿宋"/>
          <w:b w:val="0"/>
          <w:bCs w:val="0"/>
        </w:rPr>
        <w:t>十四、国有资本经营预算财政拨款支出决算表</w:t>
      </w:r>
      <w:bookmarkEnd w:id="235"/>
      <w:bookmarkEnd w:id="236"/>
      <w:bookmarkEnd w:id="23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9A267"/>
    <w:multiLevelType w:val="singleLevel"/>
    <w:tmpl w:val="A169A267"/>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ZiM2ZkODI0OWIxNGNmMzA1MWIxNzM0N2U1NDA2ZDEifQ=="/>
  </w:docVars>
  <w:rsids>
    <w:rsidRoot w:val="00F1361C"/>
    <w:rsid w:val="00003A80"/>
    <w:rsid w:val="0001639E"/>
    <w:rsid w:val="000222C6"/>
    <w:rsid w:val="0002549F"/>
    <w:rsid w:val="00037382"/>
    <w:rsid w:val="000468DB"/>
    <w:rsid w:val="000604B6"/>
    <w:rsid w:val="00063DDF"/>
    <w:rsid w:val="0006487A"/>
    <w:rsid w:val="00065F8F"/>
    <w:rsid w:val="00070A43"/>
    <w:rsid w:val="000768F2"/>
    <w:rsid w:val="0009184B"/>
    <w:rsid w:val="00094236"/>
    <w:rsid w:val="0009593C"/>
    <w:rsid w:val="00097322"/>
    <w:rsid w:val="000A11DA"/>
    <w:rsid w:val="000A6A92"/>
    <w:rsid w:val="000B047F"/>
    <w:rsid w:val="000B5923"/>
    <w:rsid w:val="000B5A48"/>
    <w:rsid w:val="000B6FF3"/>
    <w:rsid w:val="000C3467"/>
    <w:rsid w:val="000C3CA6"/>
    <w:rsid w:val="000D1267"/>
    <w:rsid w:val="000D1D50"/>
    <w:rsid w:val="000D5782"/>
    <w:rsid w:val="000E6613"/>
    <w:rsid w:val="000E7119"/>
    <w:rsid w:val="000E77A0"/>
    <w:rsid w:val="00112C51"/>
    <w:rsid w:val="00114E9B"/>
    <w:rsid w:val="00115301"/>
    <w:rsid w:val="001169D1"/>
    <w:rsid w:val="001319E1"/>
    <w:rsid w:val="00142216"/>
    <w:rsid w:val="00144D6A"/>
    <w:rsid w:val="0014729F"/>
    <w:rsid w:val="00157BAB"/>
    <w:rsid w:val="001654D1"/>
    <w:rsid w:val="00174518"/>
    <w:rsid w:val="0018106D"/>
    <w:rsid w:val="001877A7"/>
    <w:rsid w:val="00191536"/>
    <w:rsid w:val="00196687"/>
    <w:rsid w:val="001A59D7"/>
    <w:rsid w:val="001C0962"/>
    <w:rsid w:val="001D7531"/>
    <w:rsid w:val="001E737D"/>
    <w:rsid w:val="001F00A2"/>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0BE1"/>
    <w:rsid w:val="0027224D"/>
    <w:rsid w:val="00280496"/>
    <w:rsid w:val="00294DC9"/>
    <w:rsid w:val="00295495"/>
    <w:rsid w:val="002A31DE"/>
    <w:rsid w:val="002B2613"/>
    <w:rsid w:val="002D6D05"/>
    <w:rsid w:val="002F1818"/>
    <w:rsid w:val="002F567B"/>
    <w:rsid w:val="0031135C"/>
    <w:rsid w:val="003216A9"/>
    <w:rsid w:val="00335A74"/>
    <w:rsid w:val="0036561B"/>
    <w:rsid w:val="0037013F"/>
    <w:rsid w:val="00380C92"/>
    <w:rsid w:val="00384D87"/>
    <w:rsid w:val="00394E7F"/>
    <w:rsid w:val="003A22E5"/>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4F4C78"/>
    <w:rsid w:val="00505A47"/>
    <w:rsid w:val="00512FDA"/>
    <w:rsid w:val="00520DA0"/>
    <w:rsid w:val="005269A7"/>
    <w:rsid w:val="005269D7"/>
    <w:rsid w:val="005664BB"/>
    <w:rsid w:val="00566FFA"/>
    <w:rsid w:val="0057481D"/>
    <w:rsid w:val="00582401"/>
    <w:rsid w:val="0058486E"/>
    <w:rsid w:val="00585B33"/>
    <w:rsid w:val="0059014D"/>
    <w:rsid w:val="00591408"/>
    <w:rsid w:val="005A4C1C"/>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47EC9"/>
    <w:rsid w:val="0065271A"/>
    <w:rsid w:val="00653855"/>
    <w:rsid w:val="0066343B"/>
    <w:rsid w:val="00664777"/>
    <w:rsid w:val="006748A4"/>
    <w:rsid w:val="00681A31"/>
    <w:rsid w:val="00683E73"/>
    <w:rsid w:val="006A3141"/>
    <w:rsid w:val="006A5787"/>
    <w:rsid w:val="006A5E34"/>
    <w:rsid w:val="006B2422"/>
    <w:rsid w:val="006B2B9A"/>
    <w:rsid w:val="006C1937"/>
    <w:rsid w:val="006D241D"/>
    <w:rsid w:val="006E2684"/>
    <w:rsid w:val="006F020C"/>
    <w:rsid w:val="00704E9F"/>
    <w:rsid w:val="007127B7"/>
    <w:rsid w:val="0071798E"/>
    <w:rsid w:val="007416B6"/>
    <w:rsid w:val="00744998"/>
    <w:rsid w:val="00746F48"/>
    <w:rsid w:val="0075404D"/>
    <w:rsid w:val="0076182A"/>
    <w:rsid w:val="00767B7E"/>
    <w:rsid w:val="007770C3"/>
    <w:rsid w:val="00784D24"/>
    <w:rsid w:val="00785FBA"/>
    <w:rsid w:val="00786E4A"/>
    <w:rsid w:val="007875EB"/>
    <w:rsid w:val="00791918"/>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46E23"/>
    <w:rsid w:val="00850625"/>
    <w:rsid w:val="00853718"/>
    <w:rsid w:val="00855221"/>
    <w:rsid w:val="00860645"/>
    <w:rsid w:val="008632E0"/>
    <w:rsid w:val="00871F71"/>
    <w:rsid w:val="00872FD8"/>
    <w:rsid w:val="0088027D"/>
    <w:rsid w:val="008847EB"/>
    <w:rsid w:val="00885AF4"/>
    <w:rsid w:val="00892977"/>
    <w:rsid w:val="008939CD"/>
    <w:rsid w:val="008B768C"/>
    <w:rsid w:val="008B7811"/>
    <w:rsid w:val="008C4DB1"/>
    <w:rsid w:val="008C4EAF"/>
    <w:rsid w:val="008C5176"/>
    <w:rsid w:val="008C7FD0"/>
    <w:rsid w:val="008E1DE7"/>
    <w:rsid w:val="008E707C"/>
    <w:rsid w:val="00900B08"/>
    <w:rsid w:val="00902155"/>
    <w:rsid w:val="00902FA3"/>
    <w:rsid w:val="00923564"/>
    <w:rsid w:val="0092392E"/>
    <w:rsid w:val="009315F9"/>
    <w:rsid w:val="00932AB8"/>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2306"/>
    <w:rsid w:val="00A237D8"/>
    <w:rsid w:val="00A24097"/>
    <w:rsid w:val="00A268C4"/>
    <w:rsid w:val="00A307CD"/>
    <w:rsid w:val="00A331C8"/>
    <w:rsid w:val="00A40A00"/>
    <w:rsid w:val="00A4142F"/>
    <w:rsid w:val="00A422EB"/>
    <w:rsid w:val="00A429A3"/>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0697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66307"/>
    <w:rsid w:val="00B77EA6"/>
    <w:rsid w:val="00B81598"/>
    <w:rsid w:val="00B841F1"/>
    <w:rsid w:val="00B84D0C"/>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74AC"/>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37984"/>
    <w:rsid w:val="00D509B4"/>
    <w:rsid w:val="00D51276"/>
    <w:rsid w:val="00D54009"/>
    <w:rsid w:val="00D614B6"/>
    <w:rsid w:val="00D7035F"/>
    <w:rsid w:val="00D70B55"/>
    <w:rsid w:val="00D72BE1"/>
    <w:rsid w:val="00DA62DD"/>
    <w:rsid w:val="00DA634F"/>
    <w:rsid w:val="00DA65AC"/>
    <w:rsid w:val="00DB1913"/>
    <w:rsid w:val="00DC410D"/>
    <w:rsid w:val="00DC5A81"/>
    <w:rsid w:val="00DC68CA"/>
    <w:rsid w:val="00DC74B0"/>
    <w:rsid w:val="00DC7CBA"/>
    <w:rsid w:val="00DD73B7"/>
    <w:rsid w:val="00DE13FC"/>
    <w:rsid w:val="00DF1C39"/>
    <w:rsid w:val="00DF28BC"/>
    <w:rsid w:val="00DF34B9"/>
    <w:rsid w:val="00E01053"/>
    <w:rsid w:val="00E07ACF"/>
    <w:rsid w:val="00E32CAD"/>
    <w:rsid w:val="00E331A1"/>
    <w:rsid w:val="00E33202"/>
    <w:rsid w:val="00E336A9"/>
    <w:rsid w:val="00E443D5"/>
    <w:rsid w:val="00E472B1"/>
    <w:rsid w:val="00E50624"/>
    <w:rsid w:val="00E568DF"/>
    <w:rsid w:val="00E64269"/>
    <w:rsid w:val="00E70975"/>
    <w:rsid w:val="00E82267"/>
    <w:rsid w:val="00E853CE"/>
    <w:rsid w:val="00E867B6"/>
    <w:rsid w:val="00E90A50"/>
    <w:rsid w:val="00EA010F"/>
    <w:rsid w:val="00ED0F65"/>
    <w:rsid w:val="00ED1B63"/>
    <w:rsid w:val="00ED39C0"/>
    <w:rsid w:val="00ED3C1F"/>
    <w:rsid w:val="00ED4085"/>
    <w:rsid w:val="00ED420E"/>
    <w:rsid w:val="00ED6FBE"/>
    <w:rsid w:val="00ED7AB1"/>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0397"/>
    <w:rsid w:val="00F81FD9"/>
    <w:rsid w:val="00F841AA"/>
    <w:rsid w:val="00F84A94"/>
    <w:rsid w:val="00F87E96"/>
    <w:rsid w:val="00F952C9"/>
    <w:rsid w:val="00FA11EA"/>
    <w:rsid w:val="00FA23E8"/>
    <w:rsid w:val="00FD3CC1"/>
    <w:rsid w:val="00FF1E02"/>
    <w:rsid w:val="00FF30B4"/>
    <w:rsid w:val="0A2032A3"/>
    <w:rsid w:val="0EC817E1"/>
    <w:rsid w:val="10C055FF"/>
    <w:rsid w:val="118107EC"/>
    <w:rsid w:val="11F56D91"/>
    <w:rsid w:val="13CB3A86"/>
    <w:rsid w:val="16BB723D"/>
    <w:rsid w:val="19017DC9"/>
    <w:rsid w:val="1D155CEE"/>
    <w:rsid w:val="223343E6"/>
    <w:rsid w:val="240371BF"/>
    <w:rsid w:val="27475541"/>
    <w:rsid w:val="29FD04D3"/>
    <w:rsid w:val="2E9077CD"/>
    <w:rsid w:val="2FAA0D63"/>
    <w:rsid w:val="319F7F4E"/>
    <w:rsid w:val="326B7F22"/>
    <w:rsid w:val="33921D05"/>
    <w:rsid w:val="34DA50FB"/>
    <w:rsid w:val="36064819"/>
    <w:rsid w:val="3FD00372"/>
    <w:rsid w:val="49310D3E"/>
    <w:rsid w:val="4C9F663F"/>
    <w:rsid w:val="4E031912"/>
    <w:rsid w:val="4ECE2238"/>
    <w:rsid w:val="52A35472"/>
    <w:rsid w:val="57CC0FC7"/>
    <w:rsid w:val="618E553F"/>
    <w:rsid w:val="63241DD6"/>
    <w:rsid w:val="69833542"/>
    <w:rsid w:val="6B8D6867"/>
    <w:rsid w:val="6BDBF140"/>
    <w:rsid w:val="6C4A05C8"/>
    <w:rsid w:val="72734D90"/>
    <w:rsid w:val="765406E0"/>
    <w:rsid w:val="771F6D6D"/>
    <w:rsid w:val="7F2F3A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sz w:val="32"/>
      <w:szCs w:val="32"/>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Salutation"/>
    <w:basedOn w:val="1"/>
    <w:next w:val="1"/>
    <w:unhideWhenUsed/>
    <w:qFormat/>
    <w:uiPriority w:val="99"/>
  </w:style>
  <w:style w:type="paragraph" w:styleId="8">
    <w:name w:val="Body Text"/>
    <w:basedOn w:val="1"/>
    <w:link w:val="34"/>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ind w:left="200" w:leftChars="200" w:hanging="200" w:hangingChars="200"/>
    </w:p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3"/>
    <w:qFormat/>
    <w:locked/>
    <w:uiPriority w:val="99"/>
    <w:rPr>
      <w:rFonts w:ascii="Times New Roman" w:hAnsi="Times New Roman" w:cs="Times New Roman"/>
      <w:b/>
      <w:bCs/>
      <w:kern w:val="44"/>
      <w:sz w:val="44"/>
      <w:szCs w:val="44"/>
    </w:rPr>
  </w:style>
  <w:style w:type="character" w:customStyle="1" w:styleId="26">
    <w:name w:val="标题 2 Char"/>
    <w:basedOn w:val="22"/>
    <w:link w:val="4"/>
    <w:qFormat/>
    <w:locked/>
    <w:uiPriority w:val="99"/>
    <w:rPr>
      <w:rFonts w:ascii="Cambria" w:hAnsi="Cambria" w:eastAsia="宋体" w:cs="Times New Roman"/>
      <w:b/>
      <w:bCs/>
      <w:kern w:val="2"/>
      <w:sz w:val="32"/>
      <w:szCs w:val="32"/>
    </w:rPr>
  </w:style>
  <w:style w:type="character" w:customStyle="1" w:styleId="27">
    <w:name w:val="标题 3 Char"/>
    <w:basedOn w:val="22"/>
    <w:link w:val="5"/>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4"/>
    <w:semiHidden/>
    <w:qFormat/>
    <w:locked/>
    <w:uiPriority w:val="99"/>
    <w:rPr>
      <w:sz w:val="18"/>
    </w:rPr>
  </w:style>
  <w:style w:type="character" w:customStyle="1" w:styleId="33">
    <w:name w:val="页脚 Char"/>
    <w:link w:val="13"/>
    <w:qFormat/>
    <w:locked/>
    <w:uiPriority w:val="99"/>
    <w:rPr>
      <w:sz w:val="18"/>
    </w:rPr>
  </w:style>
  <w:style w:type="character" w:customStyle="1" w:styleId="34">
    <w:name w:val="正文文本 Char"/>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40">
    <w:name w:val="List Paragraph"/>
    <w:basedOn w:val="1"/>
    <w:qFormat/>
    <w:uiPriority w:val="99"/>
    <w:pPr>
      <w:ind w:firstLine="420" w:firstLineChars="200"/>
    </w:p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5745;&#31639;2021&#20915;&#316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Sheet2!$B$4</c:f>
              <c:strCache>
                <c:ptCount val="1"/>
                <c:pt idx="0">
                  <c:v>2020年</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Sheet2!$C$3:$D$3</c:f>
              <c:strCache>
                <c:ptCount val="2"/>
                <c:pt idx="0">
                  <c:v>收入</c:v>
                </c:pt>
                <c:pt idx="1">
                  <c:v>支出</c:v>
                </c:pt>
              </c:strCache>
            </c:strRef>
          </c:cat>
          <c:val>
            <c:numRef>
              <c:f>Sheet2!$C$4:$D$4</c:f>
              <c:numCache>
                <c:formatCode>General</c:formatCode>
                <c:ptCount val="2"/>
                <c:pt idx="0">
                  <c:v>1113.97</c:v>
                </c:pt>
                <c:pt idx="1">
                  <c:v>1314.84</c:v>
                </c:pt>
              </c:numCache>
            </c:numRef>
          </c:val>
        </c:ser>
        <c:ser>
          <c:idx val="1"/>
          <c:order val="1"/>
          <c:tx>
            <c:strRef>
              <c:f>Sheet2!$B$5</c:f>
              <c:strCache>
                <c:ptCount val="1"/>
                <c:pt idx="0">
                  <c:v>2021年</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Sheet2!$C$3:$D$3</c:f>
              <c:strCache>
                <c:ptCount val="2"/>
                <c:pt idx="0">
                  <c:v>收入</c:v>
                </c:pt>
                <c:pt idx="1">
                  <c:v>支出</c:v>
                </c:pt>
              </c:strCache>
            </c:strRef>
          </c:cat>
          <c:val>
            <c:numRef>
              <c:f>Sheet2!$C$5:$D$5</c:f>
              <c:numCache>
                <c:formatCode>General</c:formatCode>
                <c:ptCount val="2"/>
                <c:pt idx="0">
                  <c:v>1090.31</c:v>
                </c:pt>
                <c:pt idx="1">
                  <c:v>1305.46</c:v>
                </c:pt>
              </c:numCache>
            </c:numRef>
          </c:val>
        </c:ser>
        <c:dLbls>
          <c:showLegendKey val="false"/>
          <c:showVal val="true"/>
          <c:showCatName val="false"/>
          <c:showSerName val="false"/>
          <c:showPercent val="false"/>
          <c:showBubbleSize val="false"/>
        </c:dLbls>
        <c:gapWidth val="150"/>
        <c:axId val="82146432"/>
        <c:axId val="82147968"/>
      </c:barChart>
      <c:catAx>
        <c:axId val="82146432"/>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2147968"/>
        <c:crosses val="autoZero"/>
        <c:auto val="true"/>
        <c:lblAlgn val="ctr"/>
        <c:lblOffset val="100"/>
        <c:noMultiLvlLbl val="false"/>
      </c:catAx>
      <c:valAx>
        <c:axId val="82147968"/>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2146432"/>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txPr>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p>
      </c:txPr>
    </c:title>
    <c:autoTitleDeleted val="false"/>
    <c:plotArea>
      <c:layout/>
      <c:pieChart>
        <c:varyColors val="true"/>
        <c:ser>
          <c:idx val="0"/>
          <c:order val="0"/>
          <c:tx>
            <c:strRef>
              <c:f>Sheet2!$C$36</c:f>
              <c:strCache>
                <c:ptCount val="1"/>
                <c:pt idx="0">
                  <c:v>一般公共预算财政拨款收入</c:v>
                </c:pt>
              </c:strCache>
            </c:strRef>
          </c:tx>
          <c:explosion val="0"/>
          <c:dPt>
            <c:idx val="0"/>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val>
            <c:numRef>
              <c:f>Sheet2!$D$36</c:f>
              <c:numCache>
                <c:formatCode>General</c:formatCode>
                <c:ptCount val="1"/>
                <c:pt idx="0">
                  <c:v>1090.31</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explosion val="0"/>
          <c:dPt>
            <c:idx val="0"/>
            <c:bubble3D val="false"/>
          </c:dPt>
          <c:dPt>
            <c:idx val="1"/>
            <c:bubble3D val="false"/>
          </c:dPt>
          <c:dLbls>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Sheet2!$C$62:$C$63</c:f>
              <c:strCache>
                <c:ptCount val="2"/>
                <c:pt idx="0">
                  <c:v>基本支出</c:v>
                </c:pt>
                <c:pt idx="1">
                  <c:v>项目支出</c:v>
                </c:pt>
              </c:strCache>
            </c:strRef>
          </c:cat>
          <c:val>
            <c:numRef>
              <c:f>Sheet2!$D$62:$D$63</c:f>
              <c:numCache>
                <c:formatCode>General</c:formatCode>
                <c:ptCount val="2"/>
                <c:pt idx="0">
                  <c:v>899.52</c:v>
                </c:pt>
                <c:pt idx="1">
                  <c:v>405.94</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Sheet2!$B$4</c:f>
              <c:strCache>
                <c:ptCount val="1"/>
                <c:pt idx="0">
                  <c:v>2020年</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Sheet2!$C$3:$D$3</c:f>
              <c:strCache>
                <c:ptCount val="2"/>
                <c:pt idx="0">
                  <c:v>收入</c:v>
                </c:pt>
                <c:pt idx="1">
                  <c:v>支出</c:v>
                </c:pt>
              </c:strCache>
            </c:strRef>
          </c:cat>
          <c:val>
            <c:numRef>
              <c:f>Sheet2!$C$4:$D$4</c:f>
              <c:numCache>
                <c:formatCode>General</c:formatCode>
                <c:ptCount val="2"/>
                <c:pt idx="0">
                  <c:v>1113.97</c:v>
                </c:pt>
                <c:pt idx="1">
                  <c:v>1314.84</c:v>
                </c:pt>
              </c:numCache>
            </c:numRef>
          </c:val>
        </c:ser>
        <c:ser>
          <c:idx val="1"/>
          <c:order val="1"/>
          <c:tx>
            <c:strRef>
              <c:f>Sheet2!$B$5</c:f>
              <c:strCache>
                <c:ptCount val="1"/>
                <c:pt idx="0">
                  <c:v>2021年</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Sheet2!$C$3:$D$3</c:f>
              <c:strCache>
                <c:ptCount val="2"/>
                <c:pt idx="0">
                  <c:v>收入</c:v>
                </c:pt>
                <c:pt idx="1">
                  <c:v>支出</c:v>
                </c:pt>
              </c:strCache>
            </c:strRef>
          </c:cat>
          <c:val>
            <c:numRef>
              <c:f>Sheet2!$C$5:$D$5</c:f>
              <c:numCache>
                <c:formatCode>General</c:formatCode>
                <c:ptCount val="2"/>
                <c:pt idx="0">
                  <c:v>1090.31</c:v>
                </c:pt>
                <c:pt idx="1">
                  <c:v>1305.46</c:v>
                </c:pt>
              </c:numCache>
            </c:numRef>
          </c:val>
        </c:ser>
        <c:dLbls>
          <c:showLegendKey val="false"/>
          <c:showVal val="true"/>
          <c:showCatName val="false"/>
          <c:showSerName val="false"/>
          <c:showPercent val="false"/>
          <c:showBubbleSize val="false"/>
        </c:dLbls>
        <c:gapWidth val="150"/>
        <c:axId val="87376256"/>
        <c:axId val="87377792"/>
      </c:barChart>
      <c:catAx>
        <c:axId val="87376256"/>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7377792"/>
        <c:crosses val="autoZero"/>
        <c:auto val="true"/>
        <c:lblAlgn val="ctr"/>
        <c:lblOffset val="100"/>
        <c:noMultiLvlLbl val="false"/>
      </c:catAx>
      <c:valAx>
        <c:axId val="87377792"/>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7376256"/>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Sheet2!$B$87:$B$88</c:f>
              <c:strCache>
                <c:ptCount val="2"/>
                <c:pt idx="0">
                  <c:v>2020年</c:v>
                </c:pt>
                <c:pt idx="1">
                  <c:v>2021年</c:v>
                </c:pt>
              </c:strCache>
            </c:strRef>
          </c:cat>
          <c:val>
            <c:numRef>
              <c:f>Sheet2!$C$87:$C$88</c:f>
              <c:numCache>
                <c:formatCode>General</c:formatCode>
                <c:ptCount val="2"/>
                <c:pt idx="0">
                  <c:v>1142.64</c:v>
                </c:pt>
                <c:pt idx="1">
                  <c:v>1121.96</c:v>
                </c:pt>
              </c:numCache>
            </c:numRef>
          </c:val>
        </c:ser>
        <c:dLbls>
          <c:showLegendKey val="false"/>
          <c:showVal val="true"/>
          <c:showCatName val="false"/>
          <c:showSerName val="false"/>
          <c:showPercent val="false"/>
          <c:showBubbleSize val="false"/>
        </c:dLbls>
        <c:gapWidth val="150"/>
        <c:axId val="87406080"/>
        <c:axId val="87407616"/>
      </c:barChart>
      <c:catAx>
        <c:axId val="87406080"/>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7407616"/>
        <c:crosses val="autoZero"/>
        <c:auto val="true"/>
        <c:lblAlgn val="ctr"/>
        <c:lblOffset val="100"/>
        <c:noMultiLvlLbl val="false"/>
      </c:catAx>
      <c:valAx>
        <c:axId val="8740761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7406080"/>
        <c:crosses val="autoZero"/>
        <c:crossBetween val="between"/>
      </c:valAx>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explosion val="0"/>
          <c:dPt>
            <c:idx val="0"/>
            <c:bubble3D val="false"/>
          </c:dPt>
          <c:dPt>
            <c:idx val="1"/>
            <c:bubble3D val="false"/>
          </c:dPt>
          <c:dPt>
            <c:idx val="2"/>
            <c:bubble3D val="false"/>
          </c:dPt>
          <c:dPt>
            <c:idx val="3"/>
            <c:bubble3D val="false"/>
          </c:dPt>
          <c:dLbls>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Sheet2!$B$114:$B$117</c:f>
              <c:strCache>
                <c:ptCount val="4"/>
                <c:pt idx="0">
                  <c:v>一般公共服务支出</c:v>
                </c:pt>
                <c:pt idx="1">
                  <c:v>社会保障和就业支出</c:v>
                </c:pt>
                <c:pt idx="2">
                  <c:v>卫生健康支出</c:v>
                </c:pt>
                <c:pt idx="3">
                  <c:v>住房保障支出</c:v>
                </c:pt>
              </c:strCache>
            </c:strRef>
          </c:cat>
          <c:val>
            <c:numRef>
              <c:f>Sheet2!$C$114:$C$117</c:f>
              <c:numCache>
                <c:formatCode>General</c:formatCode>
                <c:ptCount val="4"/>
                <c:pt idx="0">
                  <c:v>1121.96</c:v>
                </c:pt>
                <c:pt idx="1">
                  <c:v>86.57</c:v>
                </c:pt>
                <c:pt idx="2">
                  <c:v>37.75</c:v>
                </c:pt>
                <c:pt idx="3">
                  <c:v>59.19</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explosion val="0"/>
          <c:dPt>
            <c:idx val="0"/>
            <c:bubble3D val="false"/>
          </c:dPt>
          <c:dPt>
            <c:idx val="1"/>
            <c:bubble3D val="false"/>
          </c:dPt>
          <c:dPt>
            <c:idx val="2"/>
            <c:bubble3D val="false"/>
          </c:dPt>
          <c:dLbls>
            <c:dLbl>
              <c:idx val="0"/>
              <c:layout>
                <c:manualLayout>
                  <c:x val="-0.0465505249343832"/>
                  <c:y val="0.00106773111694372"/>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2"/>
              <c:layout>
                <c:manualLayout>
                  <c:x val="0.0656022528433946"/>
                  <c:y val="-0.00164771070282881"/>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Sheet2!$B$145:$B$147</c:f>
              <c:strCache>
                <c:ptCount val="3"/>
                <c:pt idx="0">
                  <c:v>因公出国（境）费</c:v>
                </c:pt>
                <c:pt idx="1">
                  <c:v>公务用车购置及运行维护费</c:v>
                </c:pt>
                <c:pt idx="2">
                  <c:v>公务接待费</c:v>
                </c:pt>
              </c:strCache>
            </c:strRef>
          </c:cat>
          <c:val>
            <c:numRef>
              <c:f>Sheet2!$C$145:$C$147</c:f>
              <c:numCache>
                <c:formatCode>General</c:formatCode>
                <c:ptCount val="3"/>
                <c:pt idx="0">
                  <c:v>0</c:v>
                </c:pt>
                <c:pt idx="1">
                  <c:v>10.44</c:v>
                </c:pt>
                <c:pt idx="2">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15970</Words>
  <Characters>17181</Characters>
  <Lines>29</Lines>
  <Paragraphs>38</Paragraphs>
  <TotalTime>16</TotalTime>
  <ScaleCrop>false</ScaleCrop>
  <LinksUpToDate>false</LinksUpToDate>
  <CharactersWithSpaces>17481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2022-10-22T09:34:00Z</dcterms:created>
  <dc:creator>曹颖</dc:creator>
  <cp:lastModifiedBy>ʚ小 画月牙 ིྀɞ</cp:lastModifiedBy>
  <cp:lastPrinted>2021-07-29T11:56:00Z</cp:lastPrinted>
  <dcterms:modified xsi:type="dcterms:W3CDTF">2022-10-22T15:13:36Z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9ACAC75634DD4078BA99FA181FD187C9</vt:lpwstr>
  </property>
</Properties>
</file>