
<file path=[Content_Types].xml><?xml version="1.0" encoding="utf-8"?>
<Types xmlns="http://schemas.openxmlformats.org/package/2006/content-types">
  <Default Extension="xlsx" ContentType="application/vnd.openxmlformats-officedocument.spreadsheetml.shee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9"/>
        <w:rPr>
          <w:rFonts w:hint="default" w:ascii="Times New Roman" w:hAnsi="Times New Roman" w:eastAsia="方正小标宋简体" w:cs="Times New Roman"/>
          <w:color w:val="auto"/>
          <w:sz w:val="72"/>
          <w:szCs w:val="72"/>
          <w:highlight w:val="none"/>
        </w:rPr>
      </w:pPr>
      <w:bookmarkStart w:id="143" w:name="_GoBack"/>
      <w:bookmarkEnd w:id="143"/>
      <w:bookmarkStart w:id="0" w:name="_Toc15396475"/>
      <w:bookmarkStart w:id="1" w:name="_Toc15378441"/>
      <w:bookmarkStart w:id="2" w:name="_Toc15396597"/>
      <w:bookmarkStart w:id="3" w:name="_Toc15377193"/>
      <w:bookmarkStart w:id="4" w:name="_Toc15377425"/>
      <w:bookmarkStart w:id="5" w:name="_Toc15306267"/>
    </w:p>
    <w:p>
      <w:pPr>
        <w:spacing w:line="600" w:lineRule="exact"/>
        <w:jc w:val="center"/>
        <w:outlineLvl w:val="9"/>
        <w:rPr>
          <w:rFonts w:hint="default" w:ascii="Times New Roman" w:hAnsi="Times New Roman" w:eastAsia="方正小标宋简体" w:cs="Times New Roman"/>
          <w:color w:val="auto"/>
          <w:sz w:val="72"/>
          <w:szCs w:val="72"/>
          <w:highlight w:val="none"/>
        </w:rPr>
      </w:pPr>
    </w:p>
    <w:p>
      <w:pPr>
        <w:spacing w:line="600" w:lineRule="exact"/>
        <w:jc w:val="center"/>
        <w:outlineLvl w:val="9"/>
        <w:rPr>
          <w:rFonts w:hint="default" w:ascii="Times New Roman" w:hAnsi="Times New Roman" w:eastAsia="方正小标宋简体" w:cs="Times New Roman"/>
          <w:color w:val="auto"/>
          <w:sz w:val="72"/>
          <w:szCs w:val="72"/>
          <w:highlight w:val="none"/>
        </w:rPr>
      </w:pPr>
    </w:p>
    <w:p>
      <w:pPr>
        <w:adjustRightInd w:val="0"/>
        <w:snapToGrid w:val="0"/>
        <w:spacing w:line="360" w:lineRule="auto"/>
        <w:jc w:val="center"/>
        <w:outlineLvl w:val="0"/>
        <w:rPr>
          <w:rFonts w:hint="default" w:ascii="Times New Roman" w:hAnsi="Times New Roman" w:eastAsia="方正小标宋简体" w:cs="Times New Roman"/>
          <w:color w:val="auto"/>
          <w:sz w:val="72"/>
          <w:szCs w:val="72"/>
          <w:highlight w:val="none"/>
        </w:rPr>
      </w:pPr>
      <w:bookmarkStart w:id="6" w:name="_Toc441583181"/>
      <w:bookmarkStart w:id="7" w:name="_Toc2078129877"/>
      <w:r>
        <w:rPr>
          <w:rFonts w:hint="default" w:ascii="Times New Roman" w:hAnsi="Times New Roman" w:eastAsia="方正小标宋简体" w:cs="Times New Roman"/>
          <w:color w:val="auto"/>
          <w:sz w:val="72"/>
          <w:szCs w:val="72"/>
          <w:highlight w:val="none"/>
        </w:rPr>
        <w:t>20</w:t>
      </w:r>
      <w:r>
        <w:rPr>
          <w:rFonts w:hint="default" w:ascii="Times New Roman" w:hAnsi="Times New Roman" w:eastAsia="方正小标宋简体" w:cs="Times New Roman"/>
          <w:color w:val="auto"/>
          <w:sz w:val="72"/>
          <w:szCs w:val="72"/>
          <w:highlight w:val="none"/>
          <w:lang w:val="en-US" w:eastAsia="zh-CN"/>
        </w:rPr>
        <w:t>22</w:t>
      </w:r>
      <w:r>
        <w:rPr>
          <w:rFonts w:hint="default" w:ascii="Times New Roman" w:hAnsi="Times New Roman" w:eastAsia="方正小标宋简体" w:cs="Times New Roman"/>
          <w:color w:val="auto"/>
          <w:sz w:val="72"/>
          <w:szCs w:val="72"/>
          <w:highlight w:val="none"/>
        </w:rPr>
        <w:t>年度</w:t>
      </w:r>
      <w:bookmarkEnd w:id="0"/>
      <w:bookmarkEnd w:id="1"/>
      <w:bookmarkEnd w:id="2"/>
      <w:bookmarkEnd w:id="3"/>
      <w:bookmarkEnd w:id="4"/>
      <w:bookmarkEnd w:id="6"/>
      <w:bookmarkEnd w:id="7"/>
    </w:p>
    <w:p>
      <w:pPr>
        <w:adjustRightInd w:val="0"/>
        <w:snapToGrid w:val="0"/>
        <w:spacing w:line="360" w:lineRule="auto"/>
        <w:jc w:val="center"/>
        <w:outlineLvl w:val="0"/>
        <w:rPr>
          <w:rFonts w:hint="default" w:ascii="Times New Roman" w:hAnsi="Times New Roman" w:eastAsia="方正小标宋简体" w:cs="Times New Roman"/>
          <w:color w:val="auto"/>
          <w:sz w:val="72"/>
          <w:szCs w:val="72"/>
          <w:highlight w:val="none"/>
          <w:lang w:val="en-US" w:eastAsia="zh-CN"/>
        </w:rPr>
      </w:pPr>
      <w:bookmarkStart w:id="8" w:name="_Toc1685569278"/>
      <w:bookmarkStart w:id="9" w:name="_Toc590164087"/>
      <w:bookmarkStart w:id="10" w:name="_Toc15377426"/>
      <w:bookmarkStart w:id="11" w:name="_Toc15377194"/>
      <w:bookmarkStart w:id="12" w:name="_Toc15396476"/>
      <w:bookmarkStart w:id="13" w:name="_Toc15396598"/>
      <w:bookmarkStart w:id="14" w:name="_Toc15378442"/>
      <w:r>
        <w:rPr>
          <w:rFonts w:hint="default" w:ascii="Times New Roman" w:hAnsi="Times New Roman" w:eastAsia="方正小标宋简体" w:cs="Times New Roman"/>
          <w:color w:val="auto"/>
          <w:sz w:val="72"/>
          <w:szCs w:val="72"/>
          <w:highlight w:val="none"/>
        </w:rPr>
        <w:t>四川省</w:t>
      </w:r>
      <w:bookmarkEnd w:id="5"/>
      <w:bookmarkStart w:id="15" w:name="_Toc15306268"/>
      <w:r>
        <w:rPr>
          <w:rFonts w:hint="default" w:ascii="Times New Roman" w:hAnsi="Times New Roman" w:eastAsia="方正小标宋简体" w:cs="Times New Roman"/>
          <w:color w:val="auto"/>
          <w:sz w:val="72"/>
          <w:szCs w:val="72"/>
          <w:highlight w:val="none"/>
          <w:lang w:eastAsia="zh-CN"/>
        </w:rPr>
        <w:t>壤塘县财政局</w:t>
      </w:r>
      <w:bookmarkEnd w:id="8"/>
      <w:bookmarkEnd w:id="9"/>
    </w:p>
    <w:p>
      <w:pPr>
        <w:adjustRightInd w:val="0"/>
        <w:snapToGrid w:val="0"/>
        <w:spacing w:line="360" w:lineRule="auto"/>
        <w:jc w:val="center"/>
        <w:outlineLvl w:val="0"/>
        <w:rPr>
          <w:rFonts w:hint="default" w:ascii="Times New Roman" w:hAnsi="Times New Roman" w:eastAsia="方正小标宋简体" w:cs="Times New Roman"/>
          <w:color w:val="auto"/>
          <w:sz w:val="72"/>
          <w:szCs w:val="72"/>
          <w:highlight w:val="none"/>
        </w:rPr>
      </w:pPr>
      <w:bookmarkStart w:id="16" w:name="_Toc755395234"/>
      <w:bookmarkStart w:id="17" w:name="_Toc1213715870"/>
      <w:r>
        <w:rPr>
          <w:rFonts w:hint="default" w:ascii="Times New Roman" w:hAnsi="Times New Roman" w:eastAsia="方正小标宋简体" w:cs="Times New Roman"/>
          <w:color w:val="auto"/>
          <w:sz w:val="72"/>
          <w:szCs w:val="72"/>
          <w:highlight w:val="none"/>
        </w:rPr>
        <w:t>部门决算</w:t>
      </w:r>
      <w:bookmarkEnd w:id="10"/>
      <w:bookmarkEnd w:id="11"/>
      <w:bookmarkEnd w:id="12"/>
      <w:bookmarkEnd w:id="13"/>
      <w:bookmarkEnd w:id="14"/>
      <w:bookmarkEnd w:id="15"/>
      <w:bookmarkEnd w:id="16"/>
      <w:bookmarkEnd w:id="17"/>
    </w:p>
    <w:p>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方正小标宋简体" w:cs="Times New Roman"/>
          <w:color w:val="auto"/>
          <w:sz w:val="36"/>
          <w:szCs w:val="36"/>
          <w:highlight w:val="none"/>
        </w:rPr>
        <w:br w:type="page"/>
      </w:r>
      <w:r>
        <w:rPr>
          <w:rFonts w:hint="default" w:ascii="Times New Roman" w:hAnsi="Times New Roman" w:eastAsia="黑体" w:cs="Times New Roman"/>
          <w:color w:val="auto"/>
          <w:sz w:val="48"/>
          <w:szCs w:val="48"/>
          <w:highlight w:val="none"/>
        </w:rPr>
        <w:t>目录</w:t>
      </w:r>
    </w:p>
    <w:p>
      <w:pPr>
        <w:widowControl/>
        <w:jc w:val="center"/>
        <w:rPr>
          <w:rFonts w:hint="default" w:ascii="Times New Roman" w:hAnsi="Times New Roman" w:eastAsia="黑体" w:cs="Times New Roman"/>
          <w:color w:val="auto"/>
          <w:sz w:val="28"/>
          <w:szCs w:val="28"/>
          <w:highlight w:val="none"/>
        </w:rPr>
      </w:pPr>
    </w:p>
    <w:p>
      <w:pPr>
        <w:pStyle w:val="11"/>
        <w:rPr>
          <w:rFonts w:hint="default" w:ascii="Times New Roman" w:hAnsi="Times New Roman" w:cs="Times New Roman"/>
          <w:color w:val="auto"/>
          <w:highlight w:val="none"/>
        </w:rPr>
      </w:pPr>
      <w:r>
        <w:rPr>
          <w:rFonts w:hint="default" w:ascii="Times New Roman" w:hAnsi="Times New Roman" w:cs="Times New Roman"/>
          <w:color w:val="auto"/>
          <w:highlight w:val="none"/>
        </w:rPr>
        <w:t>公开时间：20</w:t>
      </w:r>
      <w:r>
        <w:rPr>
          <w:rFonts w:hint="default" w:ascii="Times New Roman" w:hAnsi="Times New Roman" w:cs="Times New Roman"/>
          <w:color w:val="auto"/>
          <w:highlight w:val="none"/>
          <w:lang w:val="en-US" w:eastAsia="zh-CN"/>
        </w:rPr>
        <w:t>23</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rPr>
        <w:t>月</w:t>
      </w:r>
      <w:r>
        <w:rPr>
          <w:rFonts w:hint="eastAsia" w:ascii="Times New Roman" w:hAnsi="Times New Roman" w:cs="Times New Roman"/>
          <w:color w:val="auto"/>
          <w:highlight w:val="none"/>
          <w:lang w:val="en-US" w:eastAsia="zh-CN"/>
        </w:rPr>
        <w:t>20</w:t>
      </w:r>
      <w:r>
        <w:rPr>
          <w:rFonts w:hint="default" w:ascii="Times New Roman" w:hAnsi="Times New Roman" w:cs="Times New Roman"/>
          <w:color w:val="auto"/>
          <w:highlight w:val="none"/>
        </w:rPr>
        <w:t>日</w:t>
      </w:r>
    </w:p>
    <w:sdt>
      <w:sdtPr>
        <w:rPr>
          <w:rFonts w:ascii="宋体" w:hAnsi="宋体" w:eastAsia="宋体" w:cs="Times New Roman"/>
          <w:kern w:val="2"/>
          <w:sz w:val="21"/>
          <w:szCs w:val="24"/>
          <w:lang w:val="en-US" w:eastAsia="zh-CN" w:bidi="ar-SA"/>
        </w:rPr>
        <w:id w:val="616431725"/>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pPr>
            <w:spacing w:before="0" w:beforeLines="0" w:after="0" w:afterLines="0" w:line="240" w:lineRule="auto"/>
            <w:ind w:right="0" w:rightChars="0"/>
            <w:jc w:val="center"/>
          </w:pPr>
          <w:r>
            <w:fldChar w:fldCharType="begin"/>
          </w:r>
          <w:r>
            <w:instrText xml:space="preserve">TOC \o "1-3" \h \u </w:instrText>
          </w:r>
          <w:r>
            <w:fldChar w:fldCharType="separate"/>
          </w:r>
        </w:p>
        <w:p>
          <w:pPr>
            <w:pStyle w:val="11"/>
            <w:adjustRightInd w:val="0"/>
            <w:snapToGrid w:val="0"/>
            <w:spacing w:before="0" w:line="440" w:lineRule="exact"/>
            <w:jc w:val="left"/>
          </w:pPr>
          <w:r>
            <w:fldChar w:fldCharType="begin"/>
          </w:r>
          <w:r>
            <w:instrText xml:space="preserve"> HYPERLINK \l _Toc767617981 </w:instrText>
          </w:r>
          <w:r>
            <w:fldChar w:fldCharType="separate"/>
          </w:r>
          <w:r>
            <w:rPr>
              <w:rFonts w:hint="eastAsia"/>
              <w:color w:val="auto"/>
              <w:sz w:val="24"/>
              <w:highlight w:val="none"/>
            </w:rPr>
            <w:t>第一部分</w:t>
          </w:r>
          <w:r>
            <w:rPr>
              <w:color w:val="auto"/>
              <w:sz w:val="24"/>
              <w:highlight w:val="none"/>
            </w:rPr>
            <w:t xml:space="preserve"> </w:t>
          </w:r>
          <w:r>
            <w:rPr>
              <w:rFonts w:hint="eastAsia"/>
              <w:color w:val="auto"/>
              <w:sz w:val="24"/>
              <w:highlight w:val="none"/>
            </w:rPr>
            <w:t>部门概况</w:t>
          </w:r>
          <w:r>
            <w:rPr>
              <w:rFonts w:hint="eastAsia"/>
              <w:color w:val="auto"/>
              <w:sz w:val="24"/>
              <w:highlight w:val="none"/>
              <w:lang w:val="en-US" w:eastAsia="zh-CN"/>
            </w:rPr>
            <w:t>...................................................</w:t>
          </w:r>
          <w:r>
            <w:rPr>
              <w:rFonts w:hint="eastAsia"/>
              <w:sz w:val="24"/>
              <w:szCs w:val="24"/>
              <w:lang w:val="en-US" w:eastAsia="zh-CN"/>
            </w:rPr>
            <w:t>3</w:t>
          </w:r>
          <w:r>
            <w:fldChar w:fldCharType="end"/>
          </w:r>
        </w:p>
        <w:p>
          <w:pPr>
            <w:pStyle w:val="36"/>
            <w:tabs>
              <w:tab w:val="right" w:leader="dot" w:pos="8306"/>
            </w:tabs>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_Toc11726068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eastAsia" w:ascii="Times New Roman" w:hAnsi="Times New Roman" w:eastAsia="宋体" w:cs="Times New Roman"/>
              <w:color w:val="auto"/>
              <w:kern w:val="2"/>
              <w:sz w:val="24"/>
              <w:szCs w:val="24"/>
              <w:highlight w:val="none"/>
              <w:lang w:val="en-US" w:eastAsia="zh-CN" w:bidi="ar-SA"/>
            </w:rPr>
            <w:t>一、</w:t>
          </w:r>
          <w:r>
            <w:rPr>
              <w:rFonts w:hint="default" w:ascii="Times New Roman" w:hAnsi="Times New Roman" w:eastAsia="宋体" w:cs="Times New Roman"/>
              <w:color w:val="auto"/>
              <w:kern w:val="2"/>
              <w:sz w:val="24"/>
              <w:szCs w:val="24"/>
              <w:highlight w:val="none"/>
              <w:lang w:val="en-US" w:eastAsia="zh-CN" w:bidi="ar-SA"/>
            </w:rPr>
            <w:t>部门职责</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p>
        <w:p>
          <w:pPr>
            <w:pStyle w:val="36"/>
            <w:tabs>
              <w:tab w:val="right" w:leader="dot" w:pos="8306"/>
            </w:tabs>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_Toc1834887455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二、机构设置</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5</w:t>
          </w:r>
          <w:r>
            <w:rPr>
              <w:rFonts w:hint="eastAsia" w:ascii="Times New Roman" w:hAnsi="Times New Roman" w:eastAsia="宋体" w:cs="Times New Roman"/>
              <w:color w:val="auto"/>
              <w:kern w:val="2"/>
              <w:sz w:val="24"/>
              <w:szCs w:val="24"/>
              <w:highlight w:val="none"/>
              <w:lang w:val="en-US" w:eastAsia="zh-CN" w:bidi="ar-SA"/>
            </w:rPr>
            <w:fldChar w:fldCharType="end"/>
          </w:r>
        </w:p>
        <w:p>
          <w:pPr>
            <w:pStyle w:val="35"/>
            <w:tabs>
              <w:tab w:val="right" w:leader="dot" w:pos="8306"/>
            </w:tabs>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_Toc112134286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第二部分 2022年度部门决算情况说明</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5</w:t>
          </w:r>
          <w:r>
            <w:rPr>
              <w:rFonts w:hint="eastAsia" w:ascii="Times New Roman" w:hAnsi="Times New Roman" w:eastAsia="宋体" w:cs="Times New Roman"/>
              <w:color w:val="auto"/>
              <w:kern w:val="2"/>
              <w:sz w:val="24"/>
              <w:szCs w:val="24"/>
              <w:highlight w:val="none"/>
              <w:lang w:val="en-US" w:eastAsia="zh-CN" w:bidi="ar-SA"/>
            </w:rPr>
            <w:fldChar w:fldCharType="end"/>
          </w:r>
        </w:p>
        <w:p>
          <w:pPr>
            <w:pStyle w:val="36"/>
            <w:tabs>
              <w:tab w:val="right" w:leader="dot" w:pos="8306"/>
            </w:tabs>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_Toc83822681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一、 收入支出决算总体情况说明</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5</w:t>
          </w:r>
          <w:r>
            <w:rPr>
              <w:rFonts w:hint="eastAsia" w:ascii="Times New Roman" w:hAnsi="Times New Roman" w:eastAsia="宋体" w:cs="Times New Roman"/>
              <w:color w:val="auto"/>
              <w:kern w:val="2"/>
              <w:sz w:val="24"/>
              <w:szCs w:val="24"/>
              <w:highlight w:val="none"/>
              <w:lang w:val="en-US" w:eastAsia="zh-CN" w:bidi="ar-SA"/>
            </w:rPr>
            <w:fldChar w:fldCharType="end"/>
          </w:r>
        </w:p>
        <w:p>
          <w:pPr>
            <w:pStyle w:val="36"/>
            <w:tabs>
              <w:tab w:val="right" w:leader="dot" w:pos="8306"/>
            </w:tabs>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_Toc726053010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二、 收入决算情况说明</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5</w:t>
          </w:r>
          <w:r>
            <w:rPr>
              <w:rFonts w:hint="eastAsia" w:ascii="Times New Roman" w:hAnsi="Times New Roman" w:eastAsia="宋体" w:cs="Times New Roman"/>
              <w:color w:val="auto"/>
              <w:kern w:val="2"/>
              <w:sz w:val="24"/>
              <w:szCs w:val="24"/>
              <w:highlight w:val="none"/>
              <w:lang w:val="en-US" w:eastAsia="zh-CN" w:bidi="ar-SA"/>
            </w:rPr>
            <w:fldChar w:fldCharType="end"/>
          </w:r>
        </w:p>
        <w:p>
          <w:pPr>
            <w:pStyle w:val="36"/>
            <w:tabs>
              <w:tab w:val="right" w:leader="dot" w:pos="8306"/>
            </w:tabs>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_Toc651109812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三、 支出决算情况说明</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6</w:t>
          </w:r>
          <w:r>
            <w:rPr>
              <w:rFonts w:hint="eastAsia" w:ascii="Times New Roman" w:hAnsi="Times New Roman" w:eastAsia="宋体" w:cs="Times New Roman"/>
              <w:color w:val="auto"/>
              <w:kern w:val="2"/>
              <w:sz w:val="24"/>
              <w:szCs w:val="24"/>
              <w:highlight w:val="none"/>
              <w:lang w:val="en-US" w:eastAsia="zh-CN" w:bidi="ar-SA"/>
            </w:rPr>
            <w:fldChar w:fldCharType="end"/>
          </w:r>
        </w:p>
        <w:p>
          <w:pPr>
            <w:pStyle w:val="36"/>
            <w:tabs>
              <w:tab w:val="right" w:leader="dot" w:pos="8306"/>
            </w:tabs>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_Toc734978379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四、财政拨款收入支出决算总体情况说明</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6</w:t>
          </w:r>
          <w:r>
            <w:rPr>
              <w:rFonts w:hint="eastAsia" w:ascii="Times New Roman" w:hAnsi="Times New Roman" w:eastAsia="宋体" w:cs="Times New Roman"/>
              <w:color w:val="auto"/>
              <w:kern w:val="2"/>
              <w:sz w:val="24"/>
              <w:szCs w:val="24"/>
              <w:highlight w:val="none"/>
              <w:lang w:val="en-US" w:eastAsia="zh-CN" w:bidi="ar-SA"/>
            </w:rPr>
            <w:fldChar w:fldCharType="end"/>
          </w:r>
        </w:p>
        <w:p>
          <w:pPr>
            <w:pStyle w:val="36"/>
            <w:tabs>
              <w:tab w:val="right" w:leader="dot" w:pos="8306"/>
            </w:tabs>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_Toc1364560137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五、一般公共预算财政拨款支出决算情况说明</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7</w:t>
          </w:r>
          <w:r>
            <w:rPr>
              <w:rFonts w:hint="eastAsia" w:ascii="Times New Roman" w:hAnsi="Times New Roman" w:eastAsia="宋体" w:cs="Times New Roman"/>
              <w:color w:val="auto"/>
              <w:kern w:val="2"/>
              <w:sz w:val="24"/>
              <w:szCs w:val="24"/>
              <w:highlight w:val="none"/>
              <w:lang w:val="en-US" w:eastAsia="zh-CN" w:bidi="ar-SA"/>
            </w:rPr>
            <w:fldChar w:fldCharType="end"/>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_Toc222304501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六、一般公共预算财政拨款基本支出决算情况说明</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1</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0</w:t>
          </w:r>
        </w:p>
        <w:p>
          <w:pPr>
            <w:pStyle w:val="36"/>
            <w:tabs>
              <w:tab w:val="right" w:leader="dot" w:pos="8306"/>
            </w:tabs>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_Toc953521647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七、财政拨款“三公”经费支出决算情况说明</w:t>
          </w:r>
          <w:r>
            <w:rPr>
              <w:rFonts w:hint="eastAsia" w:ascii="Times New Roman" w:hAnsi="Times New Roman" w:eastAsia="宋体" w:cs="Times New Roman"/>
              <w:color w:val="auto"/>
              <w:kern w:val="2"/>
              <w:sz w:val="24"/>
              <w:szCs w:val="24"/>
              <w:highlight w:val="none"/>
              <w:lang w:val="en-US" w:eastAsia="zh-CN" w:bidi="ar-SA"/>
            </w:rPr>
            <w:tab/>
          </w: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PAGEREF _Toc953521647 \h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eastAsia" w:ascii="Times New Roman" w:hAnsi="Times New Roman" w:eastAsia="宋体" w:cs="Times New Roman"/>
              <w:color w:val="auto"/>
              <w:kern w:val="2"/>
              <w:sz w:val="24"/>
              <w:szCs w:val="24"/>
              <w:highlight w:val="none"/>
              <w:lang w:val="en-US" w:eastAsia="zh-CN" w:bidi="ar-SA"/>
            </w:rPr>
            <w:t>11</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ascii="Times New Roman" w:hAnsi="Times New Roman" w:eastAsia="宋体" w:cs="Times New Roman"/>
              <w:color w:val="auto"/>
              <w:kern w:val="2"/>
              <w:sz w:val="24"/>
              <w:szCs w:val="24"/>
              <w:highlight w:val="none"/>
              <w:lang w:val="en-US" w:eastAsia="zh-CN" w:bidi="ar-SA"/>
            </w:rPr>
            <w:fldChar w:fldCharType="end"/>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_Toc1186533643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八、政府性基金预算支出决算情况说明</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1</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2</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_Toc1152009067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eastAsia" w:ascii="Times New Roman" w:hAnsi="Times New Roman" w:eastAsia="宋体" w:cs="Times New Roman"/>
              <w:color w:val="auto"/>
              <w:kern w:val="2"/>
              <w:sz w:val="24"/>
              <w:szCs w:val="24"/>
              <w:highlight w:val="none"/>
              <w:lang w:val="en-US" w:eastAsia="zh-CN" w:bidi="ar-SA"/>
            </w:rPr>
            <w:t>九、</w:t>
          </w:r>
          <w:r>
            <w:rPr>
              <w:rFonts w:hint="default" w:ascii="Times New Roman" w:hAnsi="Times New Roman" w:eastAsia="宋体" w:cs="Times New Roman"/>
              <w:color w:val="auto"/>
              <w:kern w:val="2"/>
              <w:sz w:val="24"/>
              <w:szCs w:val="24"/>
              <w:highlight w:val="none"/>
              <w:lang w:val="en-US" w:eastAsia="zh-CN" w:bidi="ar-SA"/>
            </w:rPr>
            <w:t>国有资本经营预算支出决算情况说明</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1</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2</w:t>
          </w:r>
        </w:p>
        <w:p>
          <w:pPr>
            <w:pStyle w:val="36"/>
            <w:tabs>
              <w:tab w:val="right" w:leader="dot" w:pos="8306"/>
            </w:tabs>
            <w:rPr>
              <w:rFonts w:hint="default"/>
              <w:lang w:val="en-US"/>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_Toc241971580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eastAsia" w:ascii="Times New Roman" w:hAnsi="Times New Roman" w:eastAsia="宋体" w:cs="Times New Roman"/>
              <w:color w:val="auto"/>
              <w:kern w:val="2"/>
              <w:sz w:val="24"/>
              <w:szCs w:val="24"/>
              <w:highlight w:val="none"/>
              <w:lang w:val="en-US" w:eastAsia="zh-CN" w:bidi="ar-SA"/>
            </w:rPr>
            <w:t>十、</w:t>
          </w:r>
          <w:r>
            <w:rPr>
              <w:rFonts w:hint="default" w:ascii="Times New Roman" w:hAnsi="Times New Roman" w:eastAsia="宋体" w:cs="Times New Roman"/>
              <w:color w:val="auto"/>
              <w:kern w:val="2"/>
              <w:sz w:val="24"/>
              <w:szCs w:val="24"/>
              <w:highlight w:val="none"/>
              <w:lang w:val="en-US" w:eastAsia="zh-CN" w:bidi="ar-SA"/>
            </w:rPr>
            <w:t>其他重要事项的情况说明</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1</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3</w:t>
          </w:r>
        </w:p>
        <w:p>
          <w:pPr>
            <w:pStyle w:val="35"/>
            <w:tabs>
              <w:tab w:val="right" w:leader="dot" w:pos="8306"/>
            </w:tabs>
            <w:rPr>
              <w:rFonts w:hint="default" w:ascii="仿宋" w:hAnsi="仿宋" w:eastAsia="仿宋" w:cs="Times New Roman"/>
              <w:color w:val="auto"/>
              <w:kern w:val="2"/>
              <w:sz w:val="24"/>
              <w:szCs w:val="28"/>
              <w:highlight w:val="none"/>
              <w:lang w:val="en-US" w:eastAsia="zh-CN" w:bidi="ar-SA"/>
            </w:rPr>
          </w:pPr>
          <w:r>
            <w:rPr>
              <w:rFonts w:hint="default" w:ascii="仿宋" w:hAnsi="仿宋" w:eastAsia="仿宋" w:cs="Times New Roman"/>
              <w:color w:val="auto"/>
              <w:kern w:val="2"/>
              <w:sz w:val="24"/>
              <w:szCs w:val="28"/>
              <w:highlight w:val="none"/>
              <w:lang w:val="en-US" w:eastAsia="zh-CN" w:bidi="ar-SA"/>
            </w:rPr>
            <w:fldChar w:fldCharType="begin"/>
          </w:r>
          <w:r>
            <w:rPr>
              <w:rFonts w:hint="default" w:ascii="仿宋" w:hAnsi="仿宋" w:eastAsia="仿宋" w:cs="Times New Roman"/>
              <w:color w:val="auto"/>
              <w:kern w:val="2"/>
              <w:sz w:val="24"/>
              <w:szCs w:val="28"/>
              <w:highlight w:val="none"/>
              <w:lang w:val="en-US" w:eastAsia="zh-CN" w:bidi="ar-SA"/>
            </w:rPr>
            <w:instrText xml:space="preserve"> HYPERLINK \l _Toc72452455 </w:instrText>
          </w:r>
          <w:r>
            <w:rPr>
              <w:rFonts w:hint="default" w:ascii="仿宋" w:hAnsi="仿宋" w:eastAsia="仿宋" w:cs="Times New Roman"/>
              <w:color w:val="auto"/>
              <w:kern w:val="2"/>
              <w:sz w:val="24"/>
              <w:szCs w:val="28"/>
              <w:highlight w:val="none"/>
              <w:lang w:val="en-US" w:eastAsia="zh-CN" w:bidi="ar-SA"/>
            </w:rPr>
            <w:fldChar w:fldCharType="separate"/>
          </w:r>
          <w:r>
            <w:rPr>
              <w:rFonts w:hint="eastAsia" w:ascii="仿宋" w:hAnsi="仿宋" w:eastAsia="仿宋" w:cs="Times New Roman"/>
              <w:color w:val="auto"/>
              <w:kern w:val="2"/>
              <w:sz w:val="24"/>
              <w:szCs w:val="28"/>
              <w:highlight w:val="none"/>
              <w:lang w:val="en-US" w:eastAsia="zh-CN" w:bidi="ar-SA"/>
            </w:rPr>
            <w:t xml:space="preserve">第三部分 </w:t>
          </w:r>
          <w:r>
            <w:rPr>
              <w:rFonts w:hint="default" w:ascii="仿宋" w:hAnsi="仿宋" w:eastAsia="仿宋" w:cs="Times New Roman"/>
              <w:color w:val="auto"/>
              <w:kern w:val="2"/>
              <w:sz w:val="24"/>
              <w:szCs w:val="28"/>
              <w:highlight w:val="none"/>
              <w:lang w:val="en-US" w:eastAsia="zh-CN" w:bidi="ar-SA"/>
            </w:rPr>
            <w:t>名词解释</w:t>
          </w:r>
          <w:r>
            <w:rPr>
              <w:rFonts w:hint="default" w:ascii="仿宋" w:hAnsi="仿宋" w:eastAsia="仿宋" w:cs="Times New Roman"/>
              <w:color w:val="auto"/>
              <w:kern w:val="2"/>
              <w:sz w:val="24"/>
              <w:szCs w:val="28"/>
              <w:highlight w:val="none"/>
              <w:lang w:val="en-US" w:eastAsia="zh-CN" w:bidi="ar-SA"/>
            </w:rPr>
            <w:tab/>
          </w:r>
          <w:r>
            <w:rPr>
              <w:rFonts w:hint="eastAsia" w:ascii="仿宋" w:hAnsi="仿宋" w:eastAsia="仿宋" w:cs="Times New Roman"/>
              <w:color w:val="auto"/>
              <w:kern w:val="2"/>
              <w:sz w:val="24"/>
              <w:szCs w:val="28"/>
              <w:highlight w:val="none"/>
              <w:lang w:val="en-US" w:eastAsia="zh-CN" w:bidi="ar-SA"/>
            </w:rPr>
            <w:t>1</w:t>
          </w:r>
          <w:r>
            <w:rPr>
              <w:rFonts w:hint="default" w:ascii="仿宋" w:hAnsi="仿宋" w:eastAsia="仿宋" w:cs="Times New Roman"/>
              <w:color w:val="auto"/>
              <w:kern w:val="2"/>
              <w:sz w:val="24"/>
              <w:szCs w:val="28"/>
              <w:highlight w:val="none"/>
              <w:lang w:val="en-US" w:eastAsia="zh-CN" w:bidi="ar-SA"/>
            </w:rPr>
            <w:fldChar w:fldCharType="end"/>
          </w:r>
          <w:r>
            <w:rPr>
              <w:rFonts w:hint="eastAsia" w:ascii="仿宋" w:hAnsi="仿宋" w:eastAsia="仿宋" w:cs="Times New Roman"/>
              <w:color w:val="auto"/>
              <w:kern w:val="2"/>
              <w:sz w:val="24"/>
              <w:szCs w:val="28"/>
              <w:highlight w:val="none"/>
              <w:lang w:val="en-US" w:eastAsia="zh-CN" w:bidi="ar-SA"/>
            </w:rPr>
            <w:t>5</w:t>
          </w:r>
        </w:p>
        <w:p>
          <w:pPr>
            <w:pStyle w:val="35"/>
            <w:tabs>
              <w:tab w:val="right" w:leader="dot" w:pos="8306"/>
            </w:tabs>
            <w:rPr>
              <w:rFonts w:hint="default" w:ascii="仿宋" w:hAnsi="仿宋" w:eastAsia="仿宋" w:cs="Times New Roman"/>
              <w:color w:val="auto"/>
              <w:kern w:val="2"/>
              <w:sz w:val="24"/>
              <w:szCs w:val="28"/>
              <w:highlight w:val="none"/>
              <w:lang w:val="en-US" w:eastAsia="zh-CN" w:bidi="ar-SA"/>
            </w:rPr>
          </w:pPr>
          <w:r>
            <w:rPr>
              <w:rFonts w:hint="default" w:ascii="仿宋" w:hAnsi="仿宋" w:eastAsia="仿宋" w:cs="Times New Roman"/>
              <w:color w:val="auto"/>
              <w:kern w:val="2"/>
              <w:sz w:val="24"/>
              <w:szCs w:val="28"/>
              <w:highlight w:val="none"/>
              <w:lang w:val="en-US" w:eastAsia="zh-CN" w:bidi="ar-SA"/>
            </w:rPr>
            <w:fldChar w:fldCharType="begin"/>
          </w:r>
          <w:r>
            <w:rPr>
              <w:rFonts w:hint="default" w:ascii="仿宋" w:hAnsi="仿宋" w:eastAsia="仿宋" w:cs="Times New Roman"/>
              <w:color w:val="auto"/>
              <w:kern w:val="2"/>
              <w:sz w:val="24"/>
              <w:szCs w:val="28"/>
              <w:highlight w:val="none"/>
              <w:lang w:val="en-US" w:eastAsia="zh-CN" w:bidi="ar-SA"/>
            </w:rPr>
            <w:instrText xml:space="preserve"> HYPERLINK \l _Toc266996571 </w:instrText>
          </w:r>
          <w:r>
            <w:rPr>
              <w:rFonts w:hint="default" w:ascii="仿宋" w:hAnsi="仿宋" w:eastAsia="仿宋" w:cs="Times New Roman"/>
              <w:color w:val="auto"/>
              <w:kern w:val="2"/>
              <w:sz w:val="24"/>
              <w:szCs w:val="28"/>
              <w:highlight w:val="none"/>
              <w:lang w:val="en-US" w:eastAsia="zh-CN" w:bidi="ar-SA"/>
            </w:rPr>
            <w:fldChar w:fldCharType="separate"/>
          </w:r>
          <w:r>
            <w:rPr>
              <w:rFonts w:hint="default" w:ascii="仿宋" w:hAnsi="仿宋" w:eastAsia="仿宋" w:cs="Times New Roman"/>
              <w:color w:val="auto"/>
              <w:kern w:val="2"/>
              <w:sz w:val="24"/>
              <w:szCs w:val="28"/>
              <w:highlight w:val="none"/>
              <w:lang w:val="en-US" w:eastAsia="zh-CN" w:bidi="ar-SA"/>
            </w:rPr>
            <w:t>第四部分 附件</w:t>
          </w:r>
          <w:r>
            <w:rPr>
              <w:rFonts w:hint="default" w:ascii="仿宋" w:hAnsi="仿宋" w:eastAsia="仿宋" w:cs="Times New Roman"/>
              <w:color w:val="auto"/>
              <w:kern w:val="2"/>
              <w:sz w:val="24"/>
              <w:szCs w:val="28"/>
              <w:highlight w:val="none"/>
              <w:lang w:val="en-US" w:eastAsia="zh-CN" w:bidi="ar-SA"/>
            </w:rPr>
            <w:tab/>
          </w:r>
          <w:r>
            <w:rPr>
              <w:rFonts w:hint="eastAsia" w:ascii="仿宋" w:hAnsi="仿宋" w:eastAsia="仿宋" w:cs="Times New Roman"/>
              <w:color w:val="auto"/>
              <w:kern w:val="2"/>
              <w:sz w:val="24"/>
              <w:szCs w:val="28"/>
              <w:highlight w:val="none"/>
              <w:lang w:val="en-US" w:eastAsia="zh-CN" w:bidi="ar-SA"/>
            </w:rPr>
            <w:t>1</w:t>
          </w:r>
          <w:r>
            <w:rPr>
              <w:rFonts w:hint="default" w:ascii="仿宋" w:hAnsi="仿宋" w:eastAsia="仿宋" w:cs="Times New Roman"/>
              <w:color w:val="auto"/>
              <w:kern w:val="2"/>
              <w:sz w:val="24"/>
              <w:szCs w:val="28"/>
              <w:highlight w:val="none"/>
              <w:lang w:val="en-US" w:eastAsia="zh-CN" w:bidi="ar-SA"/>
            </w:rPr>
            <w:fldChar w:fldCharType="end"/>
          </w:r>
          <w:r>
            <w:rPr>
              <w:rFonts w:hint="eastAsia" w:ascii="Times New Roman" w:hAnsi="Times New Roman" w:eastAsia="宋体" w:cs="Times New Roman"/>
              <w:color w:val="auto"/>
              <w:kern w:val="2"/>
              <w:sz w:val="24"/>
              <w:szCs w:val="24"/>
              <w:highlight w:val="none"/>
              <w:lang w:val="en-US" w:eastAsia="zh-CN" w:bidi="ar-SA"/>
            </w:rPr>
            <w:t>8</w:t>
          </w:r>
        </w:p>
        <w:p>
          <w:pPr>
            <w:pStyle w:val="35"/>
            <w:tabs>
              <w:tab w:val="right" w:leader="dot" w:pos="8306"/>
            </w:tabs>
            <w:rPr>
              <w:rFonts w:hint="default"/>
              <w:lang w:val="en-US"/>
            </w:rPr>
          </w:pPr>
          <w:r>
            <w:rPr>
              <w:rFonts w:hint="default" w:ascii="仿宋" w:hAnsi="仿宋" w:eastAsia="仿宋" w:cs="Times New Roman"/>
              <w:color w:val="auto"/>
              <w:kern w:val="2"/>
              <w:sz w:val="24"/>
              <w:szCs w:val="28"/>
              <w:highlight w:val="none"/>
              <w:lang w:val="en-US" w:eastAsia="zh-CN" w:bidi="ar-SA"/>
            </w:rPr>
            <w:fldChar w:fldCharType="begin"/>
          </w:r>
          <w:r>
            <w:rPr>
              <w:rFonts w:hint="default" w:ascii="仿宋" w:hAnsi="仿宋" w:eastAsia="仿宋" w:cs="Times New Roman"/>
              <w:color w:val="auto"/>
              <w:kern w:val="2"/>
              <w:sz w:val="24"/>
              <w:szCs w:val="28"/>
              <w:highlight w:val="none"/>
              <w:lang w:val="en-US" w:eastAsia="zh-CN" w:bidi="ar-SA"/>
            </w:rPr>
            <w:instrText xml:space="preserve"> HYPERLINK \l _Toc165755857 </w:instrText>
          </w:r>
          <w:r>
            <w:rPr>
              <w:rFonts w:hint="default" w:ascii="仿宋" w:hAnsi="仿宋" w:eastAsia="仿宋" w:cs="Times New Roman"/>
              <w:color w:val="auto"/>
              <w:kern w:val="2"/>
              <w:sz w:val="24"/>
              <w:szCs w:val="28"/>
              <w:highlight w:val="none"/>
              <w:lang w:val="en-US" w:eastAsia="zh-CN" w:bidi="ar-SA"/>
            </w:rPr>
            <w:fldChar w:fldCharType="separate"/>
          </w:r>
          <w:r>
            <w:rPr>
              <w:rFonts w:hint="default" w:ascii="仿宋" w:hAnsi="仿宋" w:eastAsia="仿宋" w:cs="Times New Roman"/>
              <w:color w:val="auto"/>
              <w:kern w:val="2"/>
              <w:sz w:val="24"/>
              <w:szCs w:val="28"/>
              <w:highlight w:val="none"/>
              <w:lang w:val="en-US" w:eastAsia="zh-CN" w:bidi="ar-SA"/>
            </w:rPr>
            <w:t>第五部分 附表</w:t>
          </w:r>
          <w:r>
            <w:rPr>
              <w:rFonts w:hint="default" w:ascii="仿宋" w:hAnsi="仿宋" w:eastAsia="仿宋" w:cs="Times New Roman"/>
              <w:color w:val="auto"/>
              <w:kern w:val="2"/>
              <w:sz w:val="24"/>
              <w:szCs w:val="28"/>
              <w:highlight w:val="none"/>
              <w:lang w:val="en-US" w:eastAsia="zh-CN" w:bidi="ar-SA"/>
            </w:rPr>
            <w:tab/>
          </w:r>
          <w:r>
            <w:rPr>
              <w:rFonts w:hint="eastAsia" w:ascii="仿宋" w:hAnsi="仿宋" w:eastAsia="仿宋" w:cs="Times New Roman"/>
              <w:color w:val="auto"/>
              <w:kern w:val="2"/>
              <w:sz w:val="24"/>
              <w:szCs w:val="28"/>
              <w:highlight w:val="none"/>
              <w:lang w:val="en-US" w:eastAsia="zh-CN" w:bidi="ar-SA"/>
            </w:rPr>
            <w:t>3</w:t>
          </w:r>
          <w:r>
            <w:rPr>
              <w:rFonts w:hint="default" w:ascii="仿宋" w:hAnsi="仿宋" w:eastAsia="仿宋" w:cs="Times New Roman"/>
              <w:color w:val="auto"/>
              <w:kern w:val="2"/>
              <w:sz w:val="24"/>
              <w:szCs w:val="28"/>
              <w:highlight w:val="none"/>
              <w:lang w:val="en-US" w:eastAsia="zh-CN" w:bidi="ar-SA"/>
            </w:rPr>
            <w:fldChar w:fldCharType="end"/>
          </w:r>
          <w:r>
            <w:rPr>
              <w:rFonts w:hint="eastAsia" w:ascii="仿宋" w:hAnsi="仿宋" w:eastAsia="仿宋" w:cs="Times New Roman"/>
              <w:color w:val="auto"/>
              <w:kern w:val="2"/>
              <w:sz w:val="24"/>
              <w:szCs w:val="28"/>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_Toc1036446362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一、收入支出决算总表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_Toc448209913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二、收入决算表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_Toc1317764924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三、支出决算表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_Toc1278417942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四、财政拨款收入支出决算总表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_Toc592304021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五、财政拨款支出决算明细表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_Toc1711584710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六、一般公共预算财政拨款支出决算表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_Toc1807513824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七、一般公共预算财政拨款支出决算明细表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_Toc190911917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八、一般公共预算财政拨款基本支出决算表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_Toc1784037165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九、一般公共预算财政拨款项目支出决算表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_Toc2074510395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十、政府性基金预算财政拨款收入支出决算表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_Toc1508213076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十一、国有资本经营预算财政拨款收入支出决算表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_Toc1787135850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十二、国有资本经营预算财政拨款支出决算表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pStyle w:val="36"/>
            <w:tabs>
              <w:tab w:val="right" w:leader="dot" w:pos="8306"/>
            </w:tabs>
            <w:rPr>
              <w:rFonts w:hint="default"/>
              <w:lang w:val="en-US"/>
            </w:rPr>
          </w:pPr>
          <w:r>
            <w:rPr>
              <w:rFonts w:hint="eastAsia" w:ascii="Times New Roman" w:hAnsi="Times New Roman" w:eastAsia="宋体" w:cs="Times New Roman"/>
              <w:color w:val="auto"/>
              <w:kern w:val="2"/>
              <w:sz w:val="24"/>
              <w:szCs w:val="24"/>
              <w:highlight w:val="none"/>
              <w:lang w:val="en-US" w:eastAsia="zh-CN" w:bidi="ar-SA"/>
            </w:rPr>
            <w:fldChar w:fldCharType="begin"/>
          </w:r>
          <w:r>
            <w:rPr>
              <w:rFonts w:hint="eastAsia" w:ascii="Times New Roman" w:hAnsi="Times New Roman" w:eastAsia="宋体" w:cs="Times New Roman"/>
              <w:color w:val="auto"/>
              <w:kern w:val="2"/>
              <w:sz w:val="24"/>
              <w:szCs w:val="24"/>
              <w:highlight w:val="none"/>
              <w:lang w:val="en-US" w:eastAsia="zh-CN" w:bidi="ar-SA"/>
            </w:rPr>
            <w:instrText xml:space="preserve"> HYPERLINK \l _Toc784187406 </w:instrText>
          </w:r>
          <w:r>
            <w:rPr>
              <w:rFonts w:hint="eastAsia"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zh-CN" w:eastAsia="zh-CN" w:bidi="ar-SA"/>
            </w:rPr>
            <w:t>十三、财政拨款“三公”经费支出决算表</w:t>
          </w:r>
          <w:r>
            <w:rPr>
              <w:rFonts w:hint="eastAsia" w:ascii="Times New Roman" w:hAnsi="Times New Roman" w:eastAsia="宋体" w:cs="Times New Roman"/>
              <w:color w:val="auto"/>
              <w:kern w:val="2"/>
              <w:sz w:val="24"/>
              <w:szCs w:val="24"/>
              <w:highlight w:val="none"/>
              <w:lang w:val="en-US" w:eastAsia="zh-CN" w:bidi="ar-SA"/>
            </w:rPr>
            <w:tab/>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fldChar w:fldCharType="end"/>
          </w:r>
          <w:r>
            <w:rPr>
              <w:rFonts w:hint="eastAsia" w:cs="Times New Roman"/>
              <w:color w:val="auto"/>
              <w:kern w:val="2"/>
              <w:sz w:val="24"/>
              <w:szCs w:val="24"/>
              <w:highlight w:val="none"/>
              <w:lang w:val="en-US" w:eastAsia="zh-CN" w:bidi="ar-SA"/>
            </w:rPr>
            <w:t>4</w:t>
          </w:r>
        </w:p>
        <w:p>
          <w:pPr>
            <w:rPr>
              <w:rFonts w:hint="default" w:ascii="Times New Roman" w:hAnsi="Times New Roman" w:eastAsia="仿宋" w:cs="Times New Roman"/>
              <w:bCs/>
              <w:color w:val="auto"/>
              <w:kern w:val="44"/>
              <w:sz w:val="24"/>
              <w:highlight w:val="none"/>
            </w:rPr>
          </w:pPr>
          <w:r>
            <w:fldChar w:fldCharType="end"/>
          </w:r>
          <w:bookmarkStart w:id="18" w:name="_Toc15396599"/>
          <w:bookmarkStart w:id="19" w:name="_Toc15377196"/>
        </w:p>
      </w:sdtContent>
    </w:sdt>
    <w:p>
      <w:pPr>
        <w:pStyle w:val="2"/>
        <w:keepNext/>
        <w:keepLines/>
        <w:pageBreakBefore w:val="0"/>
        <w:widowControl w:val="0"/>
        <w:kinsoku/>
        <w:wordWrap/>
        <w:overflowPunct/>
        <w:topLinePunct w:val="0"/>
        <w:autoSpaceDE/>
        <w:autoSpaceDN/>
        <w:bidi w:val="0"/>
        <w:adjustRightInd/>
        <w:snapToGrid/>
        <w:spacing w:line="560" w:lineRule="exact"/>
        <w:jc w:val="center"/>
        <w:textAlignment w:val="auto"/>
        <w:rPr>
          <w:rStyle w:val="28"/>
          <w:rFonts w:hint="default" w:ascii="Times New Roman" w:hAnsi="Times New Roman" w:eastAsia="黑体" w:cs="Times New Roman"/>
          <w:b/>
          <w:bCs w:val="0"/>
          <w:color w:val="auto"/>
          <w:highlight w:val="none"/>
        </w:rPr>
      </w:pPr>
      <w:bookmarkStart w:id="20" w:name="_Toc767617981"/>
      <w:bookmarkStart w:id="21" w:name="_Toc1808444425"/>
      <w:r>
        <w:rPr>
          <w:rFonts w:hint="default" w:ascii="Times New Roman" w:hAnsi="Times New Roman" w:eastAsia="黑体" w:cs="Times New Roman"/>
          <w:b w:val="0"/>
          <w:color w:val="auto"/>
          <w:highlight w:val="none"/>
        </w:rPr>
        <w:t xml:space="preserve">第一部分 </w:t>
      </w:r>
      <w:r>
        <w:rPr>
          <w:rStyle w:val="28"/>
          <w:rFonts w:hint="default" w:ascii="Times New Roman" w:hAnsi="Times New Roman" w:eastAsia="黑体" w:cs="Times New Roman"/>
          <w:b w:val="0"/>
          <w:bCs w:val="0"/>
          <w:color w:val="auto"/>
          <w:highlight w:val="none"/>
        </w:rPr>
        <w:t>部门概况</w:t>
      </w:r>
      <w:bookmarkEnd w:id="18"/>
      <w:bookmarkEnd w:id="19"/>
      <w:bookmarkEnd w:id="20"/>
      <w:bookmarkEnd w:id="21"/>
    </w:p>
    <w:p>
      <w:pPr>
        <w:pageBreakBefore w:val="0"/>
        <w:widowControl/>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color w:val="auto"/>
          <w:sz w:val="32"/>
          <w:szCs w:val="32"/>
          <w:highlight w:val="none"/>
        </w:rPr>
      </w:pPr>
    </w:p>
    <w:p>
      <w:pPr>
        <w:pStyle w:val="3"/>
        <w:pageBreakBefore w:val="0"/>
        <w:numPr>
          <w:ilvl w:val="0"/>
          <w:numId w:val="1"/>
        </w:numPr>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color w:val="auto"/>
          <w:highlight w:val="none"/>
          <w:lang w:eastAsia="zh-CN"/>
        </w:rPr>
      </w:pPr>
      <w:bookmarkStart w:id="22" w:name="_Toc11726068"/>
      <w:r>
        <w:rPr>
          <w:rFonts w:hint="default" w:ascii="Times New Roman" w:hAnsi="Times New Roman" w:eastAsia="黑体" w:cs="Times New Roman"/>
          <w:b w:val="0"/>
          <w:color w:val="auto"/>
          <w:highlight w:val="none"/>
          <w:lang w:eastAsia="zh-CN"/>
        </w:rPr>
        <w:t>部门职责</w:t>
      </w:r>
      <w:bookmarkEnd w:id="22"/>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（1）贯彻执行国家预算、税收、财务、会计等有关政策、法规、法令、规章制度，指导乡镇财政工作；拟定全县财政预算、地方税收、财务会计管理等有关制度，并监督执行。</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（2）贯彻执行财政分配政策和财政改革；参与宏观经济分析预测和全县重大宏观经济政策的制定；提出运用财税政策实施宏观经济调控和综合平衡全县财力的建议；制定构建地方公共财政体系的政策、制度。</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3）拟订全县财政、税收发展战略和中长期财政计划；汇编全县年度财政预（决）算，受县人民政府委托向县人民代表大会报告全县预算草案和预算执行情况，批复部门年度预算；执行县人大批准的县级财政预算，组织、监督县级和乡镇预算的执行；管理和监督全县各项财政收支，负责财政资金的调度和拨付。</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（4）组织拟订全县国库管理制度、国库集中收付制度，指导和监督国库业务；管理全县财政资金和财政专户，管理有关政府性基金，审查汇编财务收支计划和决算。</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（5）负责管理国有资产，组织实施国有资产清产核资、产权界定和登记；负责国有资产管理的统计、分析、转让和处置等工作。</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color w:val="auto"/>
          <w:sz w:val="32"/>
          <w:szCs w:val="32"/>
          <w:lang w:val="en-US" w:eastAsia="zh-CN"/>
        </w:rPr>
        <w:t>6）监督社会保障资金和就业及医疗卫生财务管理制度的落实，拟订相关财务管理制度，负责全县财政社会保障支出；负责拟订政府采购制度，监督管理全县政府采购工作。</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（7）贯彻实施国家、省、州对农业投入的法规，加强对农业投入的管理工作，管理县级财政支农资金。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（8）组织实施财政总预算会计制度和单位预算会计制度，监督会计规章制度的执行，指导全县会计工作，会同有关部门组织实施会计专业技术职务资格的考务工作，管理全县会计电算化工作。</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（9）负责管理全县财政性收入，加强非税收入管理；对地方金融机构财务进行监管；负责国债资金的监管工作。</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（10）负责办理和监督财政性资金支出、政府性投资项目的财政拨款；负责投资评审管理工作，参与拟订政府性建设投资的有关政策；负责有关政策性补贴和专项储备资金财务管理工作。</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（11）制定全县财政干部教育培训规划，组织财务人员培训；负责财政信息和财政宣传工作。</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（12）承担县政府公布的有关行政审批事项。</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（13）承办县委县政府和上级财政部门交办的其他事项。</w:t>
      </w:r>
    </w:p>
    <w:p>
      <w:pPr>
        <w:pStyle w:val="3"/>
        <w:pageBreakBefore w:val="0"/>
        <w:kinsoku/>
        <w:wordWrap/>
        <w:overflowPunct/>
        <w:topLinePunct w:val="0"/>
        <w:bidi w:val="0"/>
        <w:spacing w:line="560" w:lineRule="exact"/>
        <w:textAlignment w:val="auto"/>
        <w:rPr>
          <w:rStyle w:val="29"/>
          <w:rFonts w:hint="default" w:ascii="Times New Roman" w:hAnsi="Times New Roman" w:cs="Times New Roman"/>
          <w:b w:val="0"/>
          <w:bCs w:val="0"/>
          <w:color w:val="auto"/>
          <w:highlight w:val="none"/>
        </w:rPr>
      </w:pPr>
      <w:bookmarkStart w:id="23" w:name="_Toc1834887455"/>
      <w:bookmarkStart w:id="24" w:name="_Toc15377200"/>
      <w:bookmarkStart w:id="25" w:name="_Toc15396601"/>
      <w:r>
        <w:rPr>
          <w:rFonts w:hint="default" w:ascii="Times New Roman" w:hAnsi="Times New Roman" w:eastAsia="黑体" w:cs="Times New Roman"/>
          <w:b w:val="0"/>
          <w:color w:val="auto"/>
          <w:highlight w:val="none"/>
        </w:rPr>
        <w:t>二、机</w:t>
      </w:r>
      <w:r>
        <w:rPr>
          <w:rStyle w:val="29"/>
          <w:rFonts w:hint="default" w:ascii="Times New Roman" w:hAnsi="Times New Roman" w:eastAsia="黑体" w:cs="Times New Roman"/>
          <w:b w:val="0"/>
          <w:bCs w:val="0"/>
          <w:color w:val="auto"/>
          <w:highlight w:val="none"/>
        </w:rPr>
        <w:t>构设置</w:t>
      </w:r>
      <w:bookmarkEnd w:id="23"/>
      <w:bookmarkEnd w:id="24"/>
      <w:bookmarkEnd w:id="25"/>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bookmarkStart w:id="26" w:name="_Toc15377204"/>
      <w:bookmarkStart w:id="27" w:name="_Toc15396602"/>
      <w:r>
        <w:rPr>
          <w:rFonts w:hint="default" w:ascii="Times New Roman" w:hAnsi="Times New Roman" w:eastAsia="仿宋_GB2312" w:cs="Times New Roman"/>
          <w:color w:val="auto"/>
          <w:sz w:val="32"/>
          <w:szCs w:val="32"/>
          <w:lang w:val="en-US" w:eastAsia="zh-CN"/>
        </w:rPr>
        <w:t>壤塘县财政局下属二级单位0个，其中行政单位0个，参照公务员法管理的事业单位0个，其他事业单位0个。</w:t>
      </w:r>
    </w:p>
    <w:p>
      <w:pPr>
        <w:pStyle w:val="2"/>
        <w:pageBreakBefore w:val="0"/>
        <w:kinsoku/>
        <w:wordWrap/>
        <w:overflowPunct/>
        <w:topLinePunct w:val="0"/>
        <w:bidi w:val="0"/>
        <w:spacing w:line="560" w:lineRule="exact"/>
        <w:ind w:right="440"/>
        <w:jc w:val="center"/>
        <w:textAlignment w:val="auto"/>
        <w:rPr>
          <w:rFonts w:hint="default" w:ascii="Times New Roman" w:hAnsi="Times New Roman" w:cs="Times New Roman"/>
          <w:color w:val="auto"/>
          <w:highlight w:val="none"/>
        </w:rPr>
      </w:pPr>
      <w:bookmarkStart w:id="28" w:name="_Toc70396972"/>
      <w:bookmarkStart w:id="29" w:name="_Toc112134286"/>
      <w:r>
        <w:rPr>
          <w:rFonts w:hint="default" w:ascii="Times New Roman" w:hAnsi="Times New Roman" w:eastAsia="黑体" w:cs="Times New Roman"/>
          <w:b w:val="0"/>
          <w:bCs/>
          <w:color w:val="auto"/>
          <w:highlight w:val="none"/>
        </w:rPr>
        <w:t xml:space="preserve">第二部分 </w:t>
      </w:r>
      <w:r>
        <w:rPr>
          <w:rFonts w:hint="default" w:ascii="Times New Roman" w:hAnsi="Times New Roman" w:eastAsia="黑体" w:cs="Times New Roman"/>
          <w:b w:val="0"/>
          <w:bCs/>
          <w:color w:val="auto"/>
          <w:highlight w:val="none"/>
          <w:lang w:val="en-US" w:eastAsia="zh-CN"/>
        </w:rPr>
        <w:t>2022年度</w:t>
      </w:r>
      <w:r>
        <w:rPr>
          <w:rStyle w:val="28"/>
          <w:rFonts w:hint="default" w:ascii="Times New Roman" w:hAnsi="Times New Roman" w:eastAsia="黑体" w:cs="Times New Roman"/>
          <w:b w:val="0"/>
          <w:bCs/>
          <w:color w:val="auto"/>
          <w:highlight w:val="none"/>
        </w:rPr>
        <w:t>部门决算情况说明</w:t>
      </w:r>
      <w:bookmarkEnd w:id="26"/>
      <w:bookmarkEnd w:id="27"/>
      <w:bookmarkEnd w:id="28"/>
      <w:bookmarkEnd w:id="29"/>
    </w:p>
    <w:p>
      <w:pPr>
        <w:pStyle w:val="27"/>
        <w:pageBreakBefore w:val="0"/>
        <w:numPr>
          <w:ilvl w:val="0"/>
          <w:numId w:val="2"/>
        </w:numPr>
        <w:kinsoku/>
        <w:wordWrap/>
        <w:overflowPunct/>
        <w:topLinePunct w:val="0"/>
        <w:bidi w:val="0"/>
        <w:spacing w:line="560" w:lineRule="exact"/>
        <w:ind w:firstLineChars="0"/>
        <w:textAlignment w:val="auto"/>
        <w:outlineLvl w:val="1"/>
        <w:rPr>
          <w:rStyle w:val="29"/>
          <w:rFonts w:hint="default" w:ascii="Times New Roman" w:hAnsi="Times New Roman" w:eastAsia="黑体" w:cs="Times New Roman"/>
          <w:b w:val="0"/>
          <w:color w:val="auto"/>
          <w:highlight w:val="none"/>
        </w:rPr>
      </w:pPr>
      <w:bookmarkStart w:id="30" w:name="_Toc83822681"/>
      <w:bookmarkStart w:id="31" w:name="_Toc15396603"/>
      <w:bookmarkStart w:id="32" w:name="_Toc15377205"/>
      <w:r>
        <w:rPr>
          <w:rFonts w:hint="default" w:ascii="Times New Roman" w:hAnsi="Times New Roman" w:eastAsia="黑体" w:cs="Times New Roman"/>
          <w:color w:val="auto"/>
          <w:sz w:val="32"/>
          <w:szCs w:val="32"/>
          <w:highlight w:val="none"/>
        </w:rPr>
        <w:t>收</w:t>
      </w:r>
      <w:r>
        <w:rPr>
          <w:rStyle w:val="29"/>
          <w:rFonts w:hint="default" w:ascii="Times New Roman" w:hAnsi="Times New Roman" w:eastAsia="黑体" w:cs="Times New Roman"/>
          <w:b w:val="0"/>
          <w:color w:val="auto"/>
          <w:highlight w:val="none"/>
        </w:rPr>
        <w:t>入支出决算总体情况说明</w:t>
      </w:r>
      <w:bookmarkEnd w:id="30"/>
      <w:bookmarkEnd w:id="31"/>
      <w:bookmarkEnd w:id="32"/>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2022年度收入总计1059.76万元。与2021年相比，收入总计减少</w:t>
      </w:r>
      <w:r>
        <w:rPr>
          <w:rFonts w:hint="eastAsia" w:eastAsia="仿宋_GB2312" w:cs="Times New Roman"/>
          <w:color w:val="auto"/>
          <w:sz w:val="32"/>
          <w:szCs w:val="32"/>
          <w:lang w:val="en-US" w:eastAsia="zh-CN"/>
        </w:rPr>
        <w:t>30.55</w:t>
      </w:r>
      <w:r>
        <w:rPr>
          <w:rFonts w:hint="default" w:ascii="Times New Roman" w:hAnsi="Times New Roman" w:eastAsia="仿宋_GB2312" w:cs="Times New Roman"/>
          <w:color w:val="auto"/>
          <w:sz w:val="32"/>
          <w:szCs w:val="32"/>
          <w:lang w:val="en-US" w:eastAsia="zh-CN"/>
        </w:rPr>
        <w:t>万元，下降</w:t>
      </w:r>
      <w:r>
        <w:rPr>
          <w:rFonts w:hint="eastAsia" w:eastAsia="仿宋_GB2312" w:cs="Times New Roman"/>
          <w:color w:val="auto"/>
          <w:sz w:val="32"/>
          <w:szCs w:val="32"/>
          <w:lang w:val="en-US" w:eastAsia="zh-CN"/>
        </w:rPr>
        <w:t>0.03</w:t>
      </w:r>
      <w:r>
        <w:rPr>
          <w:rFonts w:hint="default" w:ascii="Times New Roman" w:hAnsi="Times New Roman" w:eastAsia="仿宋_GB2312" w:cs="Times New Roman"/>
          <w:color w:val="auto"/>
          <w:sz w:val="32"/>
          <w:szCs w:val="32"/>
          <w:lang w:val="en-US" w:eastAsia="zh-CN"/>
        </w:rPr>
        <w:t>%。主要变动原因是单位人员减少，单位运行费用减少。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2022年度支出总计1302.36万元。与2021年相比，支出总计减少3.1万元，下降0.002%。主要变动原因是单位人员减少，单位运行费用减少。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drawing>
          <wp:anchor distT="0" distB="0" distL="114300" distR="114300" simplePos="0" relativeHeight="251660288" behindDoc="0" locked="0" layoutInCell="1" allowOverlap="1">
            <wp:simplePos x="0" y="0"/>
            <wp:positionH relativeFrom="column">
              <wp:posOffset>258445</wp:posOffset>
            </wp:positionH>
            <wp:positionV relativeFrom="paragraph">
              <wp:posOffset>71120</wp:posOffset>
            </wp:positionV>
            <wp:extent cx="4860925" cy="2457450"/>
            <wp:effectExtent l="4445" t="4445" r="11430" b="1460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default" w:ascii="Times New Roman" w:hAnsi="Times New Roman" w:eastAsia="仿宋_GB2312" w:cs="Times New Roman"/>
          <w:color w:val="auto"/>
          <w:sz w:val="32"/>
          <w:szCs w:val="32"/>
          <w:lang w:val="en-US" w:eastAsia="zh-CN"/>
        </w:rPr>
        <w:t>（图1：收、支决算总计变动情况图）（柱状图）</w:t>
      </w:r>
    </w:p>
    <w:p>
      <w:pPr>
        <w:pStyle w:val="27"/>
        <w:pageBreakBefore w:val="0"/>
        <w:numPr>
          <w:ilvl w:val="0"/>
          <w:numId w:val="2"/>
        </w:numPr>
        <w:kinsoku/>
        <w:wordWrap/>
        <w:overflowPunct/>
        <w:topLinePunct w:val="0"/>
        <w:bidi w:val="0"/>
        <w:spacing w:line="560" w:lineRule="exact"/>
        <w:ind w:firstLineChars="0"/>
        <w:textAlignment w:val="auto"/>
        <w:outlineLvl w:val="1"/>
        <w:rPr>
          <w:rStyle w:val="29"/>
          <w:rFonts w:hint="default" w:ascii="Times New Roman" w:hAnsi="Times New Roman" w:eastAsia="黑体" w:cs="Times New Roman"/>
          <w:b w:val="0"/>
          <w:color w:val="auto"/>
          <w:highlight w:val="none"/>
        </w:rPr>
      </w:pPr>
      <w:bookmarkStart w:id="33" w:name="_Toc726053010"/>
      <w:bookmarkStart w:id="34" w:name="_Toc15396604"/>
      <w:bookmarkStart w:id="35" w:name="_Toc15377206"/>
      <w:r>
        <w:rPr>
          <w:rFonts w:hint="default" w:ascii="Times New Roman" w:hAnsi="Times New Roman" w:eastAsia="黑体" w:cs="Times New Roman"/>
          <w:color w:val="auto"/>
          <w:sz w:val="32"/>
          <w:szCs w:val="32"/>
          <w:highlight w:val="none"/>
        </w:rPr>
        <w:t>收</w:t>
      </w:r>
      <w:r>
        <w:rPr>
          <w:rStyle w:val="29"/>
          <w:rFonts w:hint="default" w:ascii="Times New Roman" w:hAnsi="Times New Roman" w:eastAsia="黑体" w:cs="Times New Roman"/>
          <w:b w:val="0"/>
          <w:color w:val="auto"/>
          <w:highlight w:val="none"/>
        </w:rPr>
        <w:t>入决算情况说明</w:t>
      </w:r>
      <w:bookmarkEnd w:id="33"/>
      <w:bookmarkEnd w:id="34"/>
      <w:bookmarkEnd w:id="35"/>
    </w:p>
    <w:p>
      <w:pPr>
        <w:keepNext w:val="0"/>
        <w:keepLines w:val="0"/>
        <w:pageBreakBefore w:val="0"/>
        <w:widowControl w:val="0"/>
        <w:kinsoku/>
        <w:wordWrap/>
        <w:overflowPunct/>
        <w:topLinePunct w:val="0"/>
        <w:autoSpaceDE/>
        <w:autoSpaceDN/>
        <w:bidi w:val="0"/>
        <w:spacing w:beforeLines="0" w:afterLines="0" w:line="560" w:lineRule="exact"/>
        <w:ind w:firstLine="42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rPr>
        <w:drawing>
          <wp:anchor distT="0" distB="0" distL="0" distR="0" simplePos="0" relativeHeight="251665408" behindDoc="0" locked="0" layoutInCell="1" allowOverlap="1">
            <wp:simplePos x="0" y="0"/>
            <wp:positionH relativeFrom="column">
              <wp:posOffset>534670</wp:posOffset>
            </wp:positionH>
            <wp:positionV relativeFrom="paragraph">
              <wp:posOffset>882015</wp:posOffset>
            </wp:positionV>
            <wp:extent cx="4572000" cy="2743200"/>
            <wp:effectExtent l="4445" t="4445" r="14605" b="1460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default" w:ascii="Times New Roman" w:hAnsi="Times New Roman" w:eastAsia="仿宋_GB2312" w:cs="Times New Roman"/>
          <w:color w:val="auto"/>
          <w:sz w:val="32"/>
          <w:szCs w:val="32"/>
          <w:lang w:val="en-US" w:eastAsia="zh-CN"/>
        </w:rPr>
        <w:t>2022年本年收入合计1059.76万元，其中：一般公共预算财政拨款收入1059.76万元，占100%。</w:t>
      </w:r>
    </w:p>
    <w:p>
      <w:pPr>
        <w:pStyle w:val="18"/>
        <w:pageBreakBefore w:val="0"/>
        <w:kinsoku/>
        <w:wordWrap/>
        <w:overflowPunct/>
        <w:topLinePunct w:val="0"/>
        <w:bidi w:val="0"/>
        <w:spacing w:line="560" w:lineRule="exact"/>
        <w:textAlignment w:val="auto"/>
        <w:rPr>
          <w:rFonts w:hint="default" w:ascii="Times New Roman" w:hAnsi="Times New Roman" w:eastAsia="仿宋" w:cs="Times New Roman"/>
          <w:color w:val="auto"/>
          <w:sz w:val="32"/>
          <w:szCs w:val="32"/>
          <w:highlight w:val="none"/>
        </w:rPr>
      </w:pPr>
    </w:p>
    <w:p>
      <w:pPr>
        <w:keepNext w:val="0"/>
        <w:keepLines w:val="0"/>
        <w:pageBreakBefore w:val="0"/>
        <w:widowControl w:val="0"/>
        <w:kinsoku/>
        <w:wordWrap/>
        <w:overflowPunct/>
        <w:topLinePunct w:val="0"/>
        <w:autoSpaceDE/>
        <w:autoSpaceDN/>
        <w:bidi w:val="0"/>
        <w:spacing w:beforeLines="0" w:afterLines="0" w:line="560" w:lineRule="exact"/>
        <w:ind w:firstLine="1600" w:firstLineChars="5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（图2：收入决算结构图）（饼状图）</w:t>
      </w:r>
    </w:p>
    <w:p>
      <w:pPr>
        <w:pStyle w:val="27"/>
        <w:pageBreakBefore w:val="0"/>
        <w:numPr>
          <w:ilvl w:val="0"/>
          <w:numId w:val="2"/>
        </w:numPr>
        <w:kinsoku/>
        <w:wordWrap/>
        <w:overflowPunct/>
        <w:topLinePunct w:val="0"/>
        <w:bidi w:val="0"/>
        <w:spacing w:line="560" w:lineRule="exact"/>
        <w:ind w:firstLineChars="0"/>
        <w:textAlignment w:val="auto"/>
        <w:outlineLvl w:val="1"/>
        <w:rPr>
          <w:rStyle w:val="29"/>
          <w:rFonts w:hint="default" w:ascii="Times New Roman" w:hAnsi="Times New Roman" w:eastAsia="黑体" w:cs="Times New Roman"/>
          <w:b w:val="0"/>
          <w:color w:val="auto"/>
          <w:highlight w:val="none"/>
        </w:rPr>
      </w:pPr>
      <w:bookmarkStart w:id="36" w:name="_Toc651109812"/>
      <w:bookmarkStart w:id="37" w:name="_Toc15377207"/>
      <w:bookmarkStart w:id="38" w:name="_Toc15396605"/>
      <w:r>
        <w:rPr>
          <w:rFonts w:hint="default" w:ascii="Times New Roman" w:hAnsi="Times New Roman" w:eastAsia="黑体" w:cs="Times New Roman"/>
          <w:color w:val="auto"/>
          <w:sz w:val="32"/>
          <w:szCs w:val="32"/>
          <w:highlight w:val="none"/>
        </w:rPr>
        <w:t>支</w:t>
      </w:r>
      <w:r>
        <w:rPr>
          <w:rStyle w:val="29"/>
          <w:rFonts w:hint="default" w:ascii="Times New Roman" w:hAnsi="Times New Roman" w:eastAsia="黑体" w:cs="Times New Roman"/>
          <w:b w:val="0"/>
          <w:color w:val="auto"/>
          <w:highlight w:val="none"/>
        </w:rPr>
        <w:t>出决算情况说明</w:t>
      </w:r>
      <w:bookmarkEnd w:id="36"/>
      <w:bookmarkEnd w:id="37"/>
      <w:bookmarkEnd w:id="38"/>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2022年本年支出合计1302.36万元，其中：基本支出928.71万元，占71.31%；项目支出373.66万元，占28.69%。</w:t>
      </w:r>
    </w:p>
    <w:p>
      <w:pPr>
        <w:pStyle w:val="18"/>
        <w:pageBreakBefore w:val="0"/>
        <w:kinsoku/>
        <w:wordWrap/>
        <w:overflowPunct/>
        <w:topLinePunct w:val="0"/>
        <w:bidi w:val="0"/>
        <w:spacing w:line="560" w:lineRule="exact"/>
        <w:textAlignment w:val="auto"/>
        <w:rPr>
          <w:rFonts w:hint="default" w:ascii="Times New Roman" w:hAnsi="Times New Roman" w:eastAsia="仿宋" w:cs="Times New Roman"/>
          <w:color w:val="auto"/>
          <w:sz w:val="32"/>
          <w:szCs w:val="32"/>
          <w:highlight w:val="none"/>
          <w:shd w:val="pct10" w:color="auto" w:fill="FFFFFF"/>
          <w:lang w:eastAsia="zh-CN"/>
        </w:rPr>
      </w:pPr>
      <w:r>
        <w:rPr>
          <w:rFonts w:hint="default" w:ascii="Times New Roman" w:hAnsi="Times New Roman" w:eastAsia="仿宋" w:cs="Times New Roman"/>
          <w:color w:val="auto"/>
          <w:sz w:val="32"/>
          <w:szCs w:val="32"/>
          <w:highlight w:val="none"/>
          <w:shd w:val="pct10" w:color="auto" w:fill="FFFFFF"/>
          <w:lang w:eastAsia="zh-CN"/>
        </w:rPr>
        <w:drawing>
          <wp:anchor distT="0" distB="0" distL="114300" distR="114300" simplePos="0" relativeHeight="251666432" behindDoc="0" locked="0" layoutInCell="1" allowOverlap="1">
            <wp:simplePos x="0" y="0"/>
            <wp:positionH relativeFrom="column">
              <wp:posOffset>925195</wp:posOffset>
            </wp:positionH>
            <wp:positionV relativeFrom="paragraph">
              <wp:posOffset>335280</wp:posOffset>
            </wp:positionV>
            <wp:extent cx="3709670" cy="1867535"/>
            <wp:effectExtent l="4445" t="4445" r="19685" b="1397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keepNext w:val="0"/>
        <w:keepLines w:val="0"/>
        <w:pageBreakBefore w:val="0"/>
        <w:widowControl w:val="0"/>
        <w:kinsoku/>
        <w:wordWrap/>
        <w:overflowPunct/>
        <w:topLinePunct w:val="0"/>
        <w:autoSpaceDE/>
        <w:autoSpaceDN/>
        <w:bidi w:val="0"/>
        <w:spacing w:beforeLines="0" w:afterLines="0" w:line="560" w:lineRule="exact"/>
        <w:ind w:firstLine="1600" w:firstLineChars="5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lang w:val="en-US" w:eastAsia="zh-CN"/>
        </w:rPr>
        <w:t>（图3：支出决算结构图）（饼状图）</w:t>
      </w:r>
    </w:p>
    <w:p>
      <w:pPr>
        <w:pageBreakBefore w:val="0"/>
        <w:kinsoku/>
        <w:wordWrap/>
        <w:overflowPunct/>
        <w:topLinePunct w:val="0"/>
        <w:bidi w:val="0"/>
        <w:spacing w:line="56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39" w:name="_Toc734978379"/>
      <w:bookmarkStart w:id="40" w:name="_Toc15396606"/>
      <w:bookmarkStart w:id="41" w:name="_Toc15377208"/>
      <w:r>
        <w:rPr>
          <w:rFonts w:hint="default" w:ascii="Times New Roman" w:hAnsi="Times New Roman" w:eastAsia="黑体" w:cs="Times New Roman"/>
          <w:color w:val="auto"/>
          <w:sz w:val="32"/>
          <w:szCs w:val="32"/>
          <w:highlight w:val="none"/>
        </w:rPr>
        <w:t>四、财</w:t>
      </w:r>
      <w:r>
        <w:rPr>
          <w:rStyle w:val="29"/>
          <w:rFonts w:hint="default" w:ascii="Times New Roman" w:hAnsi="Times New Roman" w:eastAsia="黑体" w:cs="Times New Roman"/>
          <w:b w:val="0"/>
          <w:color w:val="auto"/>
          <w:highlight w:val="none"/>
        </w:rPr>
        <w:t>政拨款收入支出决算总体情况说明</w:t>
      </w:r>
      <w:bookmarkEnd w:id="39"/>
      <w:bookmarkEnd w:id="40"/>
      <w:bookmarkEnd w:id="41"/>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2022年度财政拨款收入总计1059.76万元。与2021年相比，收入总计减少30.55万元，下降0.03%。主要变动原因是单位人员减少，单位运行费用减少。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2022年度财政拨款支出总计1088.74万元。与2021年相比，支出总计减少33.22万元，下降0.003%。主要变动原因是单位人员减少，单位运行费用减少。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drawing>
          <wp:anchor distT="0" distB="0" distL="114300" distR="114300" simplePos="0" relativeHeight="251659264" behindDoc="0" locked="0" layoutInCell="1" allowOverlap="1">
            <wp:simplePos x="0" y="0"/>
            <wp:positionH relativeFrom="column">
              <wp:posOffset>128270</wp:posOffset>
            </wp:positionH>
            <wp:positionV relativeFrom="paragraph">
              <wp:posOffset>185420</wp:posOffset>
            </wp:positionV>
            <wp:extent cx="5080000" cy="3810000"/>
            <wp:effectExtent l="4445" t="4445" r="20955" b="1460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default" w:ascii="Times New Roman" w:hAnsi="Times New Roman" w:eastAsia="仿宋_GB2312" w:cs="Times New Roman"/>
          <w:color w:val="auto"/>
          <w:sz w:val="32"/>
          <w:szCs w:val="32"/>
          <w:lang w:val="en-US" w:eastAsia="zh-CN"/>
        </w:rPr>
        <w:t>（图4：财政拨款收、支决算总计变动情况）（柱状图）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42" w:name="_Toc15377209"/>
      <w:bookmarkStart w:id="43" w:name="_Toc15396607"/>
      <w:bookmarkStart w:id="44" w:name="_Toc1364560137"/>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般公共预算财政拨款支出决算情况说明</w:t>
      </w:r>
      <w:bookmarkEnd w:id="42"/>
      <w:bookmarkEnd w:id="43"/>
      <w:bookmarkEnd w:id="44"/>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2"/>
        <w:rPr>
          <w:rFonts w:hint="default" w:ascii="Times New Roman" w:hAnsi="Times New Roman" w:eastAsia="仿宋" w:cs="Times New Roman"/>
          <w:b/>
          <w:color w:val="auto"/>
          <w:sz w:val="32"/>
          <w:szCs w:val="32"/>
          <w:highlight w:val="none"/>
        </w:rPr>
      </w:pPr>
      <w:bookmarkStart w:id="45" w:name="_Toc1837849571"/>
      <w:bookmarkStart w:id="46" w:name="_Toc15377210"/>
      <w:r>
        <w:rPr>
          <w:rFonts w:hint="default" w:ascii="Times New Roman" w:hAnsi="Times New Roman" w:eastAsia="仿宋" w:cs="Times New Roman"/>
          <w:b/>
          <w:color w:val="auto"/>
          <w:sz w:val="32"/>
          <w:szCs w:val="32"/>
          <w:highlight w:val="none"/>
        </w:rPr>
        <w:t>（一）一般公共预算财政拨款支出决算总体情况</w:t>
      </w:r>
      <w:bookmarkEnd w:id="45"/>
      <w:bookmarkEnd w:id="46"/>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2022年一般公共预算财政拨款支出1302.36万元，占本年支出合计的100%。与2021年相比，一般公共预算财政拨款支出减少3.1万元，下降</w:t>
      </w:r>
      <w:r>
        <w:rPr>
          <w:rFonts w:hint="eastAsia" w:eastAsia="仿宋_GB2312" w:cs="Times New Roman"/>
          <w:color w:val="auto"/>
          <w:sz w:val="32"/>
          <w:szCs w:val="32"/>
          <w:lang w:val="en-US" w:eastAsia="zh-CN"/>
        </w:rPr>
        <w:t>0.03</w:t>
      </w:r>
      <w:r>
        <w:rPr>
          <w:rFonts w:hint="default" w:ascii="Times New Roman" w:hAnsi="Times New Roman" w:eastAsia="仿宋_GB2312" w:cs="Times New Roman"/>
          <w:color w:val="auto"/>
          <w:sz w:val="32"/>
          <w:szCs w:val="32"/>
          <w:lang w:val="en-US" w:eastAsia="zh-CN"/>
        </w:rPr>
        <w:t>%。主要变动原因是单位招收人员减少，单位运行费用减少。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drawing>
          <wp:anchor distT="0" distB="0" distL="114300" distR="114300" simplePos="0" relativeHeight="251661312" behindDoc="0" locked="0" layoutInCell="1" allowOverlap="1">
            <wp:simplePos x="0" y="0"/>
            <wp:positionH relativeFrom="column">
              <wp:posOffset>344170</wp:posOffset>
            </wp:positionH>
            <wp:positionV relativeFrom="paragraph">
              <wp:posOffset>42545</wp:posOffset>
            </wp:positionV>
            <wp:extent cx="5080000" cy="3810000"/>
            <wp:effectExtent l="4445" t="4445" r="20955" b="14605"/>
            <wp:wrapSquare wrapText="bothSides"/>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default" w:ascii="Times New Roman" w:hAnsi="Times New Roman" w:eastAsia="仿宋_GB2312" w:cs="Times New Roman"/>
          <w:color w:val="auto"/>
          <w:sz w:val="32"/>
          <w:szCs w:val="32"/>
          <w:lang w:val="en-US" w:eastAsia="zh-CN"/>
        </w:rPr>
        <w:t>（图5：一般公共预算财政拨款支出决算变动情况）（柱状图）</w:t>
      </w:r>
    </w:p>
    <w:p>
      <w:pPr>
        <w:pageBreakBefore w:val="0"/>
        <w:kinsoku/>
        <w:wordWrap/>
        <w:overflowPunct/>
        <w:topLinePunct w:val="0"/>
        <w:bidi w:val="0"/>
        <w:spacing w:line="560" w:lineRule="exact"/>
        <w:ind w:firstLine="642" w:firstLineChars="200"/>
        <w:textAlignment w:val="auto"/>
        <w:outlineLvl w:val="2"/>
        <w:rPr>
          <w:rFonts w:hint="default" w:ascii="Times New Roman" w:hAnsi="Times New Roman" w:eastAsia="仿宋" w:cs="Times New Roman"/>
          <w:b/>
          <w:color w:val="auto"/>
          <w:sz w:val="32"/>
          <w:szCs w:val="32"/>
          <w:highlight w:val="none"/>
        </w:rPr>
      </w:pPr>
      <w:bookmarkStart w:id="47" w:name="_Toc1958450497"/>
      <w:bookmarkStart w:id="48" w:name="_Toc15377211"/>
      <w:r>
        <w:rPr>
          <w:rFonts w:hint="default" w:ascii="Times New Roman" w:hAnsi="Times New Roman" w:eastAsia="仿宋" w:cs="Times New Roman"/>
          <w:b/>
          <w:color w:val="auto"/>
          <w:sz w:val="32"/>
          <w:szCs w:val="32"/>
          <w:highlight w:val="none"/>
        </w:rPr>
        <w:t>（二）一般公共预算财政拨款支出决算结构情况</w:t>
      </w:r>
      <w:bookmarkEnd w:id="47"/>
      <w:bookmarkEnd w:id="48"/>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2022年一般公共预算财政拨款支出1302.36万元，主要用于以下方面:一般公共服务支出1088.74万元，占83.60%；社会保障和就业支出108.47万元，占8.33%；卫生健康支出42.63万元，占3.27%；住房保障支出62.53万元，占4.8%。</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drawing>
          <wp:anchor distT="0" distB="0" distL="114300" distR="114300" simplePos="0" relativeHeight="251662336" behindDoc="0" locked="0" layoutInCell="1" allowOverlap="1">
            <wp:simplePos x="0" y="0"/>
            <wp:positionH relativeFrom="column">
              <wp:posOffset>424815</wp:posOffset>
            </wp:positionH>
            <wp:positionV relativeFrom="paragraph">
              <wp:posOffset>207645</wp:posOffset>
            </wp:positionV>
            <wp:extent cx="4585335" cy="3162300"/>
            <wp:effectExtent l="4445" t="4445" r="20320" b="1460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default" w:ascii="Times New Roman" w:hAnsi="Times New Roman" w:eastAsia="仿宋_GB2312" w:cs="Times New Roman"/>
          <w:color w:val="auto"/>
          <w:sz w:val="32"/>
          <w:szCs w:val="32"/>
          <w:lang w:val="en-US" w:eastAsia="zh-CN"/>
        </w:rPr>
        <w:t xml:space="preserve">   （图6：一般公共预算财政拨款支出决算结构）（饼状图）</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outlineLvl w:val="2"/>
        <w:rPr>
          <w:rFonts w:hint="default" w:ascii="Times New Roman" w:hAnsi="Times New Roman" w:eastAsia="仿宋_GB2312" w:cs="Times New Roman"/>
          <w:color w:val="auto"/>
          <w:sz w:val="32"/>
          <w:szCs w:val="32"/>
          <w:lang w:val="en-US" w:eastAsia="zh-CN"/>
        </w:rPr>
      </w:pPr>
      <w:bookmarkStart w:id="49" w:name="_Toc535991689"/>
      <w:bookmarkStart w:id="50" w:name="_Toc15377212"/>
      <w:r>
        <w:rPr>
          <w:rFonts w:hint="default" w:ascii="Times New Roman" w:hAnsi="Times New Roman" w:eastAsia="仿宋_GB2312" w:cs="Times New Roman"/>
          <w:color w:val="auto"/>
          <w:sz w:val="32"/>
          <w:szCs w:val="32"/>
          <w:lang w:val="en-US" w:eastAsia="zh-CN"/>
        </w:rPr>
        <w:t>（三）一般公共预算财政拨款支出决算具体情况</w:t>
      </w:r>
      <w:bookmarkEnd w:id="49"/>
      <w:bookmarkEnd w:id="50"/>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bookmarkStart w:id="51" w:name="_Toc15378460"/>
      <w:bookmarkStart w:id="52" w:name="_Toc15377444"/>
      <w:bookmarkStart w:id="53" w:name="_Toc15377213"/>
      <w:r>
        <w:rPr>
          <w:rFonts w:hint="default" w:ascii="Times New Roman" w:hAnsi="Times New Roman" w:eastAsia="仿宋_GB2312" w:cs="Times New Roman"/>
          <w:color w:val="auto"/>
          <w:sz w:val="32"/>
          <w:szCs w:val="32"/>
          <w:lang w:val="en-US" w:eastAsia="zh-CN"/>
        </w:rPr>
        <w:t>2022年一般公共预算支出决算数为1088.74，完成预算100%。其中：</w:t>
      </w:r>
      <w:bookmarkEnd w:id="51"/>
      <w:bookmarkEnd w:id="52"/>
      <w:bookmarkEnd w:id="53"/>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1.一般公共服务（类）财政事务（款）行政运行（项）: 支出决算为554.66万元，完成预算100%；一般公共服务（类）财政事务（款）财政国库业务（项）:支出决算为24.83万元，完成预算100%；一般公共服务（类）财政事务（款）信息化建设（项）:支出决算为51.73万元，完成预算100%；一般公共服务（类）财政事务（款）财政委托业务支出（项）:支出决算为297.1万元，完成预算100%；一般公共服务（类）财政事务（款）事业运行（项）：支出决算为160.42万元，完成预算100%；。</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2.社会保障和就业（类）社会保障和就业支出（款）机关事业单位基本养老保险缴费支出（项）: 支出决算为72.37万元，完成预算100%；社会保障和就业（类）社会保障和就业支出（款）机关事业单位职业年金缴费支出（项）: 支出决算为36.1万元，完成预算100%。</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卫生健康（类）行政事业单位医疗（款）行政单位医疗（项）:支出决算为25.15万元，完成预算100%；卫生健康（类）行政事业单位医疗（款）事业单位医疗（项）:支出决算为7.45万元，完成预算100%；卫生健康（类）行政事业单位医疗（款）公务员医疗补助（项）:支出决算为7.57万元，完成预算100%；卫生健康（类）行政事业单位医疗（款）其他行政事业单位医疗支出（项）:支出决算为2.45万元，完成预算100%。</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4.住房保障支出（类）住房改革支出（款）住房公积金（项）:支出决算为62.53万元，完成预算100%</w:t>
      </w:r>
      <w:r>
        <w:rPr>
          <w:rFonts w:hint="eastAsia" w:eastAsia="仿宋_GB2312" w:cs="Times New Roman"/>
          <w:color w:val="auto"/>
          <w:sz w:val="32"/>
          <w:szCs w:val="32"/>
          <w:lang w:val="en-US" w:eastAsia="zh-CN"/>
        </w:rPr>
        <w:t>。</w:t>
      </w:r>
    </w:p>
    <w:p>
      <w:pPr>
        <w:pageBreakBefore w:val="0"/>
        <w:tabs>
          <w:tab w:val="right" w:pos="8306"/>
        </w:tabs>
        <w:kinsoku/>
        <w:wordWrap/>
        <w:overflowPunct/>
        <w:topLinePunct w:val="0"/>
        <w:bidi w:val="0"/>
        <w:spacing w:line="560" w:lineRule="exact"/>
        <w:ind w:firstLine="640"/>
        <w:textAlignment w:val="auto"/>
        <w:outlineLvl w:val="1"/>
        <w:rPr>
          <w:rStyle w:val="29"/>
          <w:rFonts w:hint="default" w:ascii="Times New Roman" w:hAnsi="Times New Roman" w:cs="Times New Roman"/>
          <w:color w:val="auto"/>
          <w:highlight w:val="none"/>
        </w:rPr>
      </w:pPr>
      <w:bookmarkStart w:id="54" w:name="_Toc15396608"/>
      <w:bookmarkStart w:id="55" w:name="_Toc15377214"/>
      <w:bookmarkStart w:id="56" w:name="_Toc222304501"/>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般公共预算财政拨款基本支出决算情况说明</w:t>
      </w:r>
      <w:bookmarkEnd w:id="54"/>
      <w:bookmarkEnd w:id="55"/>
      <w:bookmarkEnd w:id="56"/>
      <w:r>
        <w:rPr>
          <w:rStyle w:val="29"/>
          <w:rFonts w:hint="default" w:ascii="Times New Roman" w:hAnsi="Times New Roman" w:eastAsia="黑体" w:cs="Times New Roman"/>
          <w:b w:val="0"/>
          <w:color w:val="auto"/>
          <w:highlight w:val="none"/>
        </w:rPr>
        <w:tab/>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2022年一般公共预算财政拨款基本支出928.71万元，其中：</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人员经费</w:t>
      </w:r>
      <w:r>
        <w:rPr>
          <w:rFonts w:hint="eastAsia" w:eastAsia="仿宋_GB2312" w:cs="Times New Roman"/>
          <w:color w:val="auto"/>
          <w:sz w:val="32"/>
          <w:szCs w:val="32"/>
          <w:lang w:val="en-US" w:eastAsia="zh-CN"/>
        </w:rPr>
        <w:t>874.50</w:t>
      </w:r>
      <w:r>
        <w:rPr>
          <w:rFonts w:hint="default" w:ascii="Times New Roman" w:hAnsi="Times New Roman" w:eastAsia="仿宋_GB2312" w:cs="Times New Roman"/>
          <w:color w:val="auto"/>
          <w:sz w:val="32"/>
          <w:szCs w:val="32"/>
          <w:lang w:val="en-US" w:eastAsia="zh-CN"/>
        </w:rPr>
        <w:t>万元，主要包括：基本工资、津贴补贴、奖金、绩效工资、机关事业单位基本养老保险缴费、职业年金缴费、其他社会保障缴费、其他工资福利支出、生活补助、医疗费补助、奖励金、住房公积金等。</w:t>
      </w:r>
      <w:r>
        <w:rPr>
          <w:rFonts w:hint="default" w:ascii="Times New Roman" w:hAnsi="Times New Roman" w:eastAsia="仿宋_GB2312" w:cs="Times New Roman"/>
          <w:color w:val="auto"/>
          <w:sz w:val="32"/>
          <w:szCs w:val="32"/>
          <w:lang w:val="en-US" w:eastAsia="zh-CN"/>
        </w:rPr>
        <w:br w:type="textWrapping"/>
      </w:r>
      <w:r>
        <w:rPr>
          <w:rFonts w:hint="default" w:ascii="Times New Roman" w:hAnsi="Times New Roman" w:eastAsia="仿宋_GB2312" w:cs="Times New Roman"/>
          <w:color w:val="auto"/>
          <w:sz w:val="32"/>
          <w:szCs w:val="32"/>
          <w:lang w:val="en-US" w:eastAsia="zh-CN"/>
        </w:rPr>
        <w:t>　　公用经费54.21万元，主要包括：办公费、印刷费、水费、电费、物业管理费、差旅费、维修（护）费、劳务费、公务用车运行维护费等。</w:t>
      </w:r>
    </w:p>
    <w:p>
      <w:pPr>
        <w:pageBreakBefore w:val="0"/>
        <w:kinsoku/>
        <w:wordWrap/>
        <w:overflowPunct/>
        <w:topLinePunct w:val="0"/>
        <w:bidi w:val="0"/>
        <w:spacing w:line="560" w:lineRule="exact"/>
        <w:ind w:firstLine="640"/>
        <w:textAlignment w:val="auto"/>
        <w:outlineLvl w:val="1"/>
        <w:rPr>
          <w:rStyle w:val="29"/>
          <w:rFonts w:hint="default" w:ascii="Times New Roman" w:hAnsi="Times New Roman" w:eastAsia="黑体" w:cs="Times New Roman"/>
          <w:b w:val="0"/>
          <w:color w:val="auto"/>
          <w:highlight w:val="none"/>
        </w:rPr>
      </w:pPr>
      <w:bookmarkStart w:id="57" w:name="_Toc15396609"/>
      <w:bookmarkStart w:id="58" w:name="_Toc953521647"/>
      <w:bookmarkStart w:id="59" w:name="_Toc15377215"/>
      <w:r>
        <w:rPr>
          <w:rFonts w:hint="default" w:ascii="Times New Roman" w:hAnsi="Times New Roman" w:eastAsia="黑体" w:cs="Times New Roman"/>
          <w:color w:val="auto"/>
          <w:sz w:val="32"/>
          <w:szCs w:val="32"/>
          <w:highlight w:val="none"/>
        </w:rPr>
        <w:t>七、</w:t>
      </w:r>
      <w:r>
        <w:rPr>
          <w:rStyle w:val="29"/>
          <w:rFonts w:hint="default" w:ascii="Times New Roman" w:hAnsi="Times New Roman" w:eastAsia="黑体" w:cs="Times New Roman"/>
          <w:b w:val="0"/>
          <w:color w:val="auto"/>
          <w:highlight w:val="none"/>
        </w:rPr>
        <w:t>财政拨款</w:t>
      </w:r>
      <w:r>
        <w:rPr>
          <w:rStyle w:val="29"/>
          <w:rFonts w:hint="default" w:ascii="Times New Roman" w:hAnsi="Times New Roman" w:eastAsia="黑体" w:cs="Times New Roman"/>
          <w:color w:val="auto"/>
          <w:highlight w:val="none"/>
        </w:rPr>
        <w:t>“</w:t>
      </w:r>
      <w:r>
        <w:rPr>
          <w:rStyle w:val="29"/>
          <w:rFonts w:hint="default" w:ascii="Times New Roman" w:hAnsi="Times New Roman" w:eastAsia="黑体" w:cs="Times New Roman"/>
          <w:b w:val="0"/>
          <w:color w:val="auto"/>
          <w:highlight w:val="none"/>
        </w:rPr>
        <w:t>三公”经费支出决算情况说明</w:t>
      </w:r>
      <w:bookmarkEnd w:id="57"/>
      <w:bookmarkEnd w:id="58"/>
      <w:bookmarkEnd w:id="59"/>
    </w:p>
    <w:p>
      <w:pPr>
        <w:pageBreakBefore w:val="0"/>
        <w:kinsoku/>
        <w:wordWrap/>
        <w:overflowPunct/>
        <w:topLinePunct w:val="0"/>
        <w:bidi w:val="0"/>
        <w:spacing w:line="560" w:lineRule="exact"/>
        <w:ind w:firstLine="640"/>
        <w:textAlignment w:val="auto"/>
        <w:outlineLvl w:val="2"/>
        <w:rPr>
          <w:rFonts w:hint="default" w:ascii="Times New Roman" w:hAnsi="Times New Roman" w:eastAsia="仿宋" w:cs="Times New Roman"/>
          <w:b/>
          <w:color w:val="auto"/>
          <w:sz w:val="32"/>
          <w:szCs w:val="32"/>
          <w:highlight w:val="none"/>
        </w:rPr>
      </w:pPr>
      <w:bookmarkStart w:id="60" w:name="_Toc1350499694"/>
      <w:bookmarkStart w:id="61" w:name="_Toc15377216"/>
      <w:r>
        <w:rPr>
          <w:rFonts w:hint="default" w:ascii="Times New Roman" w:hAnsi="Times New Roman" w:eastAsia="仿宋" w:cs="Times New Roman"/>
          <w:b/>
          <w:color w:val="auto"/>
          <w:sz w:val="32"/>
          <w:szCs w:val="32"/>
          <w:highlight w:val="none"/>
        </w:rPr>
        <w:t>（一）“三公”经费财政拨款支出决算总体情况说明</w:t>
      </w:r>
      <w:bookmarkEnd w:id="60"/>
      <w:bookmarkEnd w:id="61"/>
    </w:p>
    <w:p>
      <w:pPr>
        <w:keepNext w:val="0"/>
        <w:keepLines w:val="0"/>
        <w:pageBreakBefore w:val="0"/>
        <w:widowControl w:val="0"/>
        <w:kinsoku/>
        <w:wordWrap/>
        <w:overflowPunct/>
        <w:topLinePunct w:val="0"/>
        <w:autoSpaceDE/>
        <w:autoSpaceDN/>
        <w:bidi w:val="0"/>
        <w:spacing w:beforeLines="0" w:afterLines="0" w:line="560" w:lineRule="exact"/>
        <w:ind w:firstLine="42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rPr>
        <w:drawing>
          <wp:anchor distT="0" distB="0" distL="0" distR="0" simplePos="0" relativeHeight="251664384" behindDoc="0" locked="0" layoutInCell="1" allowOverlap="1">
            <wp:simplePos x="0" y="0"/>
            <wp:positionH relativeFrom="column">
              <wp:posOffset>444500</wp:posOffset>
            </wp:positionH>
            <wp:positionV relativeFrom="paragraph">
              <wp:posOffset>3088005</wp:posOffset>
            </wp:positionV>
            <wp:extent cx="4572000" cy="2743200"/>
            <wp:effectExtent l="19050" t="0" r="19050" b="0"/>
            <wp:wrapSquare wrapText="bothSides"/>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default" w:ascii="Times New Roman" w:hAnsi="Times New Roman" w:eastAsia="仿宋_GB2312" w:cs="Times New Roman"/>
          <w:color w:val="auto"/>
          <w:sz w:val="32"/>
          <w:szCs w:val="32"/>
          <w:lang w:val="en-US" w:eastAsia="zh-CN"/>
        </w:rPr>
        <w:t>2022年“三公”经费财政拨款支出决算为6.39万元，完成预算100%，较上年减少4.05万元，下降0.39%。</w:t>
      </w:r>
    </w:p>
    <w:p>
      <w:pPr>
        <w:pageBreakBefore w:val="0"/>
        <w:kinsoku/>
        <w:wordWrap/>
        <w:overflowPunct/>
        <w:topLinePunct w:val="0"/>
        <w:bidi w:val="0"/>
        <w:spacing w:line="560" w:lineRule="exact"/>
        <w:ind w:firstLine="640"/>
        <w:textAlignment w:val="auto"/>
        <w:outlineLvl w:val="2"/>
        <w:rPr>
          <w:rFonts w:hint="default" w:ascii="Times New Roman" w:hAnsi="Times New Roman" w:eastAsia="仿宋" w:cs="Times New Roman"/>
          <w:b/>
          <w:color w:val="auto"/>
          <w:sz w:val="32"/>
          <w:szCs w:val="32"/>
          <w:highlight w:val="none"/>
        </w:rPr>
      </w:pPr>
      <w:bookmarkStart w:id="62" w:name="_Toc1815184759"/>
      <w:bookmarkStart w:id="63" w:name="_Toc15377217"/>
      <w:r>
        <w:rPr>
          <w:rFonts w:hint="default" w:ascii="Times New Roman" w:hAnsi="Times New Roman" w:eastAsia="仿宋" w:cs="Times New Roman"/>
          <w:b/>
          <w:color w:val="auto"/>
          <w:sz w:val="32"/>
          <w:szCs w:val="32"/>
          <w:highlight w:val="none"/>
        </w:rPr>
        <w:t>（二）“三公”经费财政拨款支出决算具体情况说明</w:t>
      </w:r>
      <w:bookmarkEnd w:id="62"/>
      <w:bookmarkEnd w:id="63"/>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2022年“三公”经费财政拨款支出决算中，因公出国（境）费支出决算0万元，占0%；公务用车购置及运行维护费支出决算6.39万元，占0%；公务接待费支出决算0万元，占0%。具体情况如下：</w:t>
      </w:r>
    </w:p>
    <w:p>
      <w:pPr>
        <w:pStyle w:val="18"/>
        <w:pageBreakBefore w:val="0"/>
        <w:kinsoku/>
        <w:wordWrap/>
        <w:overflowPunct/>
        <w:topLinePunct w:val="0"/>
        <w:bidi w:val="0"/>
        <w:spacing w:line="56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（图7：“三公”经费财政拨款支出结构）（饼状图）</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1.因公出国（境）经费支出0万元，完成预算0%。全年安排因公出国（境）团组0次，出国（境）0人。因公出国（境）支出决算比2021年增加/减少0万元，增长/下降0%。</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2.公务用车购置及运行维护费支出6.39万元,完成预算100%。公务用车购置及运行维护费支出决算比2021年减少4.05万元，下降0.39%。</w:t>
      </w:r>
      <w:r>
        <w:rPr>
          <w:rFonts w:hint="eastAsia" w:eastAsia="仿宋_GB2312" w:cs="Times New Roman"/>
          <w:color w:val="auto"/>
          <w:sz w:val="32"/>
          <w:szCs w:val="32"/>
          <w:lang w:val="en-US" w:eastAsia="zh-CN"/>
        </w:rPr>
        <w:t>下降的</w:t>
      </w:r>
      <w:r>
        <w:rPr>
          <w:rFonts w:hint="default" w:ascii="Times New Roman" w:hAnsi="Times New Roman" w:eastAsia="仿宋_GB2312" w:cs="Times New Roman"/>
          <w:color w:val="auto"/>
          <w:sz w:val="32"/>
          <w:szCs w:val="32"/>
          <w:lang w:val="en-US" w:eastAsia="zh-CN"/>
        </w:rPr>
        <w:t>主要原因是认真贯彻落实中央八项规定精神和厉行节约的要求，从严控制“三公”等经费开支，导致公务用车运行维护费、办公费等有所减少。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其中：公务用车购置支出0万元。全年按规定更新购置公务用车0辆，其中：轿车0辆、金额0万元，越野车0辆、金额0万元，载客汽车0辆、金额0万元。截至2022年12月底，单位共有公务用车2辆，其中：轿车0辆、越野车2辆、载客汽车0辆。</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公务用车运行维护费支出6.39万元。主要用于财政日常工作下乡、出差等所需的公务用车燃料费、维修费、过路过桥费、保险费等支出。</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3.公务接待费支出0万元，完成预算0%。公务接待费支出决算比2021年增加/减少0万元，增长/下降0%。其中：</w:t>
      </w:r>
    </w:p>
    <w:p>
      <w:pPr>
        <w:keepNext w:val="0"/>
        <w:keepLines w:val="0"/>
        <w:pageBreakBefore w:val="0"/>
        <w:widowControl w:val="0"/>
        <w:kinsoku/>
        <w:wordWrap/>
        <w:overflowPunct/>
        <w:topLinePunct w:val="0"/>
        <w:autoSpaceDE/>
        <w:autoSpaceDN/>
        <w:bidi w:val="0"/>
        <w:spacing w:beforeLines="0" w:afterLines="0" w:line="560" w:lineRule="exact"/>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国内公务接待支出0万元。外事接待支出0万元，共计支出0万元。</w:t>
      </w:r>
      <w:bookmarkStart w:id="64" w:name="_Toc15396610"/>
      <w:bookmarkStart w:id="65" w:name="_Toc15377218"/>
    </w:p>
    <w:p>
      <w:pPr>
        <w:pageBreakBefore w:val="0"/>
        <w:kinsoku/>
        <w:wordWrap/>
        <w:overflowPunct/>
        <w:topLinePunct w:val="0"/>
        <w:bidi w:val="0"/>
        <w:spacing w:line="560" w:lineRule="exact"/>
        <w:ind w:firstLine="640" w:firstLineChars="200"/>
        <w:textAlignment w:val="auto"/>
        <w:outlineLvl w:val="1"/>
        <w:rPr>
          <w:rStyle w:val="29"/>
          <w:rFonts w:hint="default" w:ascii="Times New Roman" w:hAnsi="Times New Roman" w:eastAsia="黑体" w:cs="Times New Roman"/>
          <w:color w:val="auto"/>
          <w:highlight w:val="none"/>
        </w:rPr>
      </w:pPr>
      <w:bookmarkStart w:id="66" w:name="_Toc1186533643"/>
      <w:r>
        <w:rPr>
          <w:rFonts w:hint="default" w:ascii="Times New Roman" w:hAnsi="Times New Roman" w:eastAsia="黑体" w:cs="Times New Roman"/>
          <w:color w:val="auto"/>
          <w:sz w:val="32"/>
          <w:szCs w:val="32"/>
          <w:highlight w:val="none"/>
        </w:rPr>
        <w:t>八、</w:t>
      </w:r>
      <w:r>
        <w:rPr>
          <w:rStyle w:val="29"/>
          <w:rFonts w:hint="default" w:ascii="Times New Roman" w:hAnsi="Times New Roman" w:eastAsia="黑体" w:cs="Times New Roman"/>
          <w:b w:val="0"/>
          <w:color w:val="auto"/>
          <w:highlight w:val="none"/>
        </w:rPr>
        <w:t>政府性基金预算支出决算情况说明</w:t>
      </w:r>
      <w:bookmarkEnd w:id="64"/>
      <w:bookmarkEnd w:id="65"/>
      <w:bookmarkEnd w:id="66"/>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2022年政府性基金预算财政拨款支出0万元。</w:t>
      </w:r>
    </w:p>
    <w:p>
      <w:pPr>
        <w:pageBreakBefore w:val="0"/>
        <w:numPr>
          <w:ilvl w:val="0"/>
          <w:numId w:val="0"/>
        </w:numPr>
        <w:kinsoku/>
        <w:wordWrap/>
        <w:overflowPunct/>
        <w:topLinePunct w:val="0"/>
        <w:bidi w:val="0"/>
        <w:spacing w:line="56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67" w:name="_Toc15396611"/>
      <w:bookmarkStart w:id="68" w:name="_Toc15377219"/>
      <w:bookmarkStart w:id="69" w:name="_Toc1152009067"/>
      <w:r>
        <w:rPr>
          <w:rStyle w:val="29"/>
          <w:rFonts w:hint="eastAsia" w:ascii="Times New Roman" w:hAnsi="Times New Roman" w:eastAsia="黑体" w:cs="Times New Roman"/>
          <w:b w:val="0"/>
          <w:color w:val="auto"/>
          <w:highlight w:val="none"/>
          <w:lang w:eastAsia="zh-CN"/>
        </w:rPr>
        <w:t>九、</w:t>
      </w:r>
      <w:r>
        <w:rPr>
          <w:rStyle w:val="29"/>
          <w:rFonts w:hint="default" w:ascii="Times New Roman" w:hAnsi="Times New Roman" w:eastAsia="黑体" w:cs="Times New Roman"/>
          <w:b w:val="0"/>
          <w:color w:val="auto"/>
          <w:highlight w:val="none"/>
        </w:rPr>
        <w:t>国有资本经营预算支出决算情况说明</w:t>
      </w:r>
      <w:bookmarkEnd w:id="67"/>
      <w:bookmarkEnd w:id="68"/>
      <w:bookmarkEnd w:id="69"/>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2022年国有资本经营预算财政拨款支出0万元。</w:t>
      </w:r>
    </w:p>
    <w:p>
      <w:pPr>
        <w:pageBreakBefore w:val="0"/>
        <w:numPr>
          <w:ilvl w:val="0"/>
          <w:numId w:val="0"/>
        </w:numPr>
        <w:kinsoku/>
        <w:wordWrap/>
        <w:overflowPunct/>
        <w:topLinePunct w:val="0"/>
        <w:bidi w:val="0"/>
        <w:spacing w:line="56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70" w:name="_Toc15396612"/>
      <w:bookmarkStart w:id="71" w:name="_Toc15377221"/>
      <w:bookmarkStart w:id="72" w:name="_Toc241971580"/>
      <w:r>
        <w:rPr>
          <w:rStyle w:val="29"/>
          <w:rFonts w:hint="eastAsia" w:ascii="Times New Roman" w:hAnsi="Times New Roman" w:eastAsia="黑体" w:cs="Times New Roman"/>
          <w:b w:val="0"/>
          <w:color w:val="auto"/>
          <w:highlight w:val="none"/>
          <w:lang w:eastAsia="zh-CN"/>
        </w:rPr>
        <w:t>十、</w:t>
      </w:r>
      <w:r>
        <w:rPr>
          <w:rStyle w:val="29"/>
          <w:rFonts w:hint="default" w:ascii="Times New Roman" w:hAnsi="Times New Roman" w:eastAsia="黑体" w:cs="Times New Roman"/>
          <w:b w:val="0"/>
          <w:color w:val="auto"/>
          <w:highlight w:val="none"/>
        </w:rPr>
        <w:t>其他重要事项的情况说明</w:t>
      </w:r>
      <w:bookmarkEnd w:id="70"/>
      <w:bookmarkEnd w:id="71"/>
      <w:bookmarkEnd w:id="72"/>
    </w:p>
    <w:p>
      <w:pPr>
        <w:pageBreakBefore w:val="0"/>
        <w:kinsoku/>
        <w:wordWrap/>
        <w:overflowPunct/>
        <w:topLinePunct w:val="0"/>
        <w:bidi w:val="0"/>
        <w:spacing w:line="560" w:lineRule="exact"/>
        <w:ind w:firstLine="642" w:firstLineChars="200"/>
        <w:textAlignment w:val="auto"/>
        <w:outlineLvl w:val="2"/>
        <w:rPr>
          <w:rFonts w:hint="default" w:ascii="Times New Roman" w:hAnsi="Times New Roman" w:eastAsia="仿宋" w:cs="Times New Roman"/>
          <w:color w:val="auto"/>
          <w:sz w:val="32"/>
          <w:szCs w:val="32"/>
          <w:highlight w:val="none"/>
        </w:rPr>
      </w:pPr>
      <w:bookmarkStart w:id="73" w:name="_Toc15377222"/>
      <w:bookmarkStart w:id="74" w:name="_Toc144094107"/>
      <w:r>
        <w:rPr>
          <w:rFonts w:hint="default" w:ascii="Times New Roman" w:hAnsi="Times New Roman" w:eastAsia="仿宋" w:cs="Times New Roman"/>
          <w:b/>
          <w:color w:val="auto"/>
          <w:sz w:val="32"/>
          <w:szCs w:val="32"/>
          <w:highlight w:val="none"/>
        </w:rPr>
        <w:t>（一）机关运行经费支出情况</w:t>
      </w:r>
      <w:bookmarkEnd w:id="73"/>
      <w:bookmarkEnd w:id="74"/>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壤塘县财政局机关运行经费支出49.72万元，比2021年减少22.32万元，下降0.32%，主要原因是认真贯彻落实中央八项规定精神和厉行节约的要求，从严控制“三公”等经费开支，导致公务用车运行维护费、办公费等有所减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outlineLvl w:val="2"/>
        <w:rPr>
          <w:rFonts w:hint="default" w:ascii="Times New Roman" w:hAnsi="Times New Roman" w:eastAsia="仿宋_GB2312" w:cs="Times New Roman"/>
          <w:color w:val="auto"/>
          <w:sz w:val="32"/>
          <w:szCs w:val="32"/>
          <w:lang w:val="en-US" w:eastAsia="zh-CN"/>
        </w:rPr>
      </w:pPr>
      <w:bookmarkStart w:id="75" w:name="_Toc393819786"/>
      <w:bookmarkStart w:id="76" w:name="_Toc15377223"/>
      <w:r>
        <w:rPr>
          <w:rFonts w:hint="default" w:ascii="Times New Roman" w:hAnsi="Times New Roman" w:eastAsia="仿宋_GB2312" w:cs="Times New Roman"/>
          <w:color w:val="auto"/>
          <w:sz w:val="32"/>
          <w:szCs w:val="32"/>
          <w:lang w:val="en-US" w:eastAsia="zh-CN"/>
        </w:rPr>
        <w:t>（二）政府采购支出情况</w:t>
      </w:r>
      <w:bookmarkEnd w:id="75"/>
      <w:bookmarkEnd w:id="76"/>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2022年，壤塘县财政局政府采购支出总额0万元。</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outlineLvl w:val="2"/>
        <w:rPr>
          <w:rFonts w:hint="default" w:ascii="Times New Roman" w:hAnsi="Times New Roman" w:eastAsia="仿宋_GB2312" w:cs="Times New Roman"/>
          <w:color w:val="auto"/>
          <w:sz w:val="32"/>
          <w:szCs w:val="32"/>
          <w:lang w:val="en-US" w:eastAsia="zh-CN"/>
        </w:rPr>
      </w:pPr>
      <w:bookmarkStart w:id="77" w:name="_Toc15377224"/>
      <w:bookmarkStart w:id="78" w:name="_Toc529095882"/>
      <w:r>
        <w:rPr>
          <w:rFonts w:hint="default" w:ascii="Times New Roman" w:hAnsi="Times New Roman" w:eastAsia="仿宋_GB2312" w:cs="Times New Roman"/>
          <w:color w:val="auto"/>
          <w:sz w:val="32"/>
          <w:szCs w:val="32"/>
          <w:lang w:val="en-US" w:eastAsia="zh-CN"/>
        </w:rPr>
        <w:t>（三）国有资产占有使用情况</w:t>
      </w:r>
      <w:bookmarkEnd w:id="77"/>
      <w:bookmarkEnd w:id="78"/>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截至2022年12月31日，壤塘县财政局共有车辆2辆，其中：其他用车2辆，其他用车主要是用于下乡、出差等。单价100万元以上专用设备0台（套）。</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outlineLvl w:val="2"/>
        <w:rPr>
          <w:rFonts w:hint="default" w:ascii="Times New Roman" w:hAnsi="Times New Roman" w:eastAsia="仿宋_GB2312" w:cs="Times New Roman"/>
          <w:color w:val="auto"/>
          <w:sz w:val="32"/>
          <w:szCs w:val="32"/>
          <w:highlight w:val="none"/>
          <w:lang w:val="en-US" w:eastAsia="zh-CN"/>
        </w:rPr>
      </w:pPr>
      <w:bookmarkStart w:id="79" w:name="_Toc1746091544"/>
      <w:r>
        <w:rPr>
          <w:rFonts w:hint="default" w:ascii="Times New Roman" w:hAnsi="Times New Roman" w:eastAsia="仿宋_GB2312" w:cs="Times New Roman"/>
          <w:color w:val="auto"/>
          <w:sz w:val="32"/>
          <w:szCs w:val="32"/>
          <w:highlight w:val="none"/>
          <w:lang w:val="en-US" w:eastAsia="zh-CN"/>
        </w:rPr>
        <w:t>（四）预算绩效管理情况</w:t>
      </w:r>
      <w:bookmarkEnd w:id="79"/>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根据预算绩效管理要求，本部门在2022年度预算编制阶段，组织对</w:t>
      </w:r>
      <w:r>
        <w:rPr>
          <w:rFonts w:hint="eastAsia" w:eastAsia="仿宋_GB2312" w:cs="Times New Roman"/>
          <w:color w:val="auto"/>
          <w:sz w:val="32"/>
          <w:szCs w:val="32"/>
          <w:highlight w:val="none"/>
          <w:lang w:val="en-US" w:eastAsia="zh-CN"/>
        </w:rPr>
        <w:t>财政局预算一体化系统初始化工作服务资金</w:t>
      </w:r>
      <w:r>
        <w:rPr>
          <w:rFonts w:hint="default" w:ascii="Times New Roman" w:hAnsi="Times New Roman" w:eastAsia="仿宋_GB2312" w:cs="Times New Roman"/>
          <w:color w:val="auto"/>
          <w:sz w:val="32"/>
          <w:szCs w:val="32"/>
          <w:highlight w:val="none"/>
          <w:lang w:val="en-US" w:eastAsia="zh-CN"/>
        </w:rPr>
        <w:t>项目（项目名称）等</w:t>
      </w: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个项目开展了预算事前绩效评估，对</w:t>
      </w: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个项目编制了绩效目标，预算执行过程中，选取</w:t>
      </w: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个项目开展绩效监控。</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组织对2022年度一般公共预算、政府性基金预算、国有资本经营预算、社会保险基金预算以及资本资产、债券资金等全面开展绩效自评，形成</w:t>
      </w:r>
      <w:r>
        <w:rPr>
          <w:rFonts w:hint="eastAsia" w:eastAsia="仿宋_GB2312" w:cs="Times New Roman"/>
          <w:color w:val="auto"/>
          <w:sz w:val="32"/>
          <w:szCs w:val="32"/>
          <w:highlight w:val="none"/>
          <w:lang w:val="en-US" w:eastAsia="zh-CN"/>
        </w:rPr>
        <w:t>壤塘县财政局</w:t>
      </w:r>
      <w:r>
        <w:rPr>
          <w:rFonts w:hint="default" w:ascii="Times New Roman" w:hAnsi="Times New Roman" w:eastAsia="仿宋_GB2312" w:cs="Times New Roman"/>
          <w:color w:val="auto"/>
          <w:sz w:val="32"/>
          <w:szCs w:val="32"/>
          <w:highlight w:val="none"/>
          <w:lang w:val="en-US" w:eastAsia="zh-CN"/>
        </w:rPr>
        <w:t>部门整体（含部门预算项目）绩效自评报告，其中，</w:t>
      </w:r>
      <w:r>
        <w:rPr>
          <w:rFonts w:hint="eastAsia" w:eastAsia="仿宋_GB2312" w:cs="Times New Roman"/>
          <w:color w:val="auto"/>
          <w:sz w:val="32"/>
          <w:szCs w:val="32"/>
          <w:highlight w:val="none"/>
          <w:lang w:val="en-US" w:eastAsia="zh-CN"/>
        </w:rPr>
        <w:t>壤塘县财政局</w:t>
      </w:r>
      <w:r>
        <w:rPr>
          <w:rFonts w:hint="default" w:ascii="Times New Roman" w:hAnsi="Times New Roman" w:eastAsia="仿宋_GB2312" w:cs="Times New Roman"/>
          <w:color w:val="auto"/>
          <w:sz w:val="32"/>
          <w:szCs w:val="32"/>
          <w:highlight w:val="none"/>
          <w:lang w:val="en-US" w:eastAsia="zh-CN"/>
        </w:rPr>
        <w:t>部门整体（含部门预算项目）绩效自评得分为</w:t>
      </w:r>
      <w:r>
        <w:rPr>
          <w:rFonts w:hint="eastAsia" w:eastAsia="仿宋_GB2312" w:cs="Times New Roman"/>
          <w:color w:val="auto"/>
          <w:sz w:val="32"/>
          <w:szCs w:val="32"/>
          <w:highlight w:val="none"/>
          <w:lang w:val="en-US" w:eastAsia="zh-CN"/>
        </w:rPr>
        <w:t>99</w:t>
      </w:r>
      <w:r>
        <w:rPr>
          <w:rFonts w:hint="default" w:ascii="Times New Roman" w:hAnsi="Times New Roman" w:eastAsia="仿宋_GB2312" w:cs="Times New Roman"/>
          <w:color w:val="auto"/>
          <w:sz w:val="32"/>
          <w:szCs w:val="32"/>
          <w:highlight w:val="none"/>
          <w:lang w:val="en-US" w:eastAsia="zh-CN"/>
        </w:rPr>
        <w:t>分。</w:t>
      </w:r>
      <w:r>
        <w:rPr>
          <w:rFonts w:hint="default" w:ascii="Times New Roman" w:hAnsi="Times New Roman" w:eastAsia="仿宋_GB2312" w:cs="Times New Roman"/>
          <w:b/>
          <w:color w:val="auto"/>
          <w:sz w:val="32"/>
          <w:szCs w:val="32"/>
          <w:highlight w:val="none"/>
        </w:rPr>
        <w:br w:type="page"/>
      </w:r>
    </w:p>
    <w:p>
      <w:pPr>
        <w:pageBreakBefore w:val="0"/>
        <w:numPr>
          <w:ilvl w:val="0"/>
          <w:numId w:val="3"/>
        </w:numPr>
        <w:kinsoku/>
        <w:wordWrap/>
        <w:overflowPunct/>
        <w:topLinePunct w:val="0"/>
        <w:bidi w:val="0"/>
        <w:spacing w:line="560" w:lineRule="exact"/>
        <w:ind w:firstLine="660" w:firstLineChars="150"/>
        <w:jc w:val="center"/>
        <w:textAlignment w:val="auto"/>
        <w:outlineLvl w:val="0"/>
        <w:rPr>
          <w:rStyle w:val="28"/>
          <w:rFonts w:hint="default" w:ascii="Times New Roman" w:hAnsi="Times New Roman" w:eastAsia="黑体" w:cs="Times New Roman"/>
          <w:b w:val="0"/>
          <w:color w:val="auto"/>
          <w:highlight w:val="none"/>
        </w:rPr>
      </w:pPr>
      <w:bookmarkStart w:id="80" w:name="_Toc72452455"/>
      <w:bookmarkStart w:id="81" w:name="_Toc15377225"/>
      <w:bookmarkStart w:id="82" w:name="_Toc15396613"/>
      <w:bookmarkStart w:id="83" w:name="_Toc2090202192"/>
      <w:r>
        <w:rPr>
          <w:rFonts w:hint="default" w:ascii="Times New Roman" w:hAnsi="Times New Roman" w:eastAsia="黑体" w:cs="Times New Roman"/>
          <w:color w:val="auto"/>
          <w:sz w:val="44"/>
          <w:szCs w:val="44"/>
          <w:highlight w:val="none"/>
        </w:rPr>
        <w:t>名</w:t>
      </w:r>
      <w:r>
        <w:rPr>
          <w:rStyle w:val="28"/>
          <w:rFonts w:hint="default" w:ascii="Times New Roman" w:hAnsi="Times New Roman" w:eastAsia="黑体" w:cs="Times New Roman"/>
          <w:b w:val="0"/>
          <w:color w:val="auto"/>
          <w:highlight w:val="none"/>
        </w:rPr>
        <w:t>词解释</w:t>
      </w:r>
      <w:bookmarkEnd w:id="80"/>
      <w:bookmarkEnd w:id="81"/>
      <w:bookmarkEnd w:id="82"/>
      <w:bookmarkEnd w:id="83"/>
    </w:p>
    <w:p>
      <w:pPr>
        <w:pageBreakBefore w:val="0"/>
        <w:kinsoku/>
        <w:wordWrap/>
        <w:overflowPunct/>
        <w:topLinePunct w:val="0"/>
        <w:bidi w:val="0"/>
        <w:spacing w:line="560" w:lineRule="exact"/>
        <w:jc w:val="left"/>
        <w:textAlignment w:val="auto"/>
        <w:rPr>
          <w:rFonts w:hint="default" w:ascii="Times New Roman" w:hAnsi="Times New Roman" w:cs="Times New Roman"/>
          <w:b/>
          <w:color w:val="auto"/>
          <w:sz w:val="44"/>
          <w:szCs w:val="44"/>
          <w:highlight w:val="none"/>
        </w:rPr>
      </w:pPr>
    </w:p>
    <w:p>
      <w:pPr>
        <w:pStyle w:val="26"/>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1.财政拨款收入：指单位从同级财政部门取得的财政预算资金。</w:t>
      </w:r>
    </w:p>
    <w:p>
      <w:pPr>
        <w:pStyle w:val="26"/>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2.事业收入：指事业单位开展专业业务活动及辅助活动取得的收入。</w:t>
      </w:r>
    </w:p>
    <w:p>
      <w:pPr>
        <w:pStyle w:val="26"/>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3.经营收入：指事业单位在专业业务活动及其辅助活动之外开展非独立核算经营活动取得的收入。</w:t>
      </w:r>
    </w:p>
    <w:p>
      <w:pPr>
        <w:pStyle w:val="26"/>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4.其他收入：指单位取得的除上述收入以外的各项收入。 </w:t>
      </w:r>
    </w:p>
    <w:p>
      <w:pPr>
        <w:pStyle w:val="26"/>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5.使用非财政拨款结余：指事业单位使用以前年度积累的非财政拨款结余弥补当年收支差额的金额。 </w:t>
      </w:r>
    </w:p>
    <w:p>
      <w:pPr>
        <w:pStyle w:val="26"/>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6.年初结转和结余：指以前年度尚未完成、结转到本年按有关规定继续使用的资金。 </w:t>
      </w:r>
    </w:p>
    <w:p>
      <w:pPr>
        <w:pStyle w:val="26"/>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7.结余分配：指事业单位按照会计制度规定缴纳的所得税、提取的专用结余以及转入非财政拨款结余的金额等。</w:t>
      </w:r>
    </w:p>
    <w:p>
      <w:pPr>
        <w:pStyle w:val="26"/>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8.年末结转和结余：指单位按有关规定结转到下年或以后年度继续使用的资金。</w:t>
      </w:r>
    </w:p>
    <w:p>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9.一般公共服务（类）财政事务（款）信息化建设（项）: 反映财政部门用于“金财工程”等信息化建设 方面的支出。   </w:t>
      </w:r>
    </w:p>
    <w:p>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10.社会保障和就业（类）行政事业单位离退休（款）机关事业单位基本养老保险缴费支出（项）：反映机关事业单位实施养老保险制度由单位缴纳的基本养老保险费支出。</w:t>
      </w:r>
    </w:p>
    <w:p>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11.社会保障和就业（类）行政事业单位离退休（款）机关事业单位职业年金缴费支出（项）: 反映机关事业单位实施养老保险制度由单位实际缴纳的职业年金支出。</w:t>
      </w:r>
    </w:p>
    <w:p>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12.医疗卫生与计划生育（类）行政事业单位医疗（款）行政单位医疗（项）: 反映财政部门集中安排的行政单位基本医疗保险缴费经费，未参加医疗保险的行政单位的公费医疗经费，按国家规定享受离休人员待遇的医疗经费。</w:t>
      </w:r>
    </w:p>
    <w:p>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13.医疗卫生与计划生育（类）行政事业单位（款）公务员医疗补助（项）：指财政部门集中安排的公务员医疗补助经费。</w:t>
      </w:r>
    </w:p>
    <w:p>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14.住房保障支出（类）住房改革支出（款）住房公积金（项）: 反映行政事业单位按人力资源和社会保障部、财政部规定的基本工资和津贴补贴以及规定比例为职工缴纳的住房公积金。</w:t>
      </w:r>
    </w:p>
    <w:p>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15.基本支出：指为保障机构正常运转、完成日常工作任务而发生的人员支出和公用支出。</w:t>
      </w:r>
    </w:p>
    <w:p>
      <w:pPr>
        <w:pageBreakBefore w:val="0"/>
        <w:kinsoku/>
        <w:wordWrap/>
        <w:overflowPunct/>
        <w:topLinePunct w:val="0"/>
        <w:bidi w:val="0"/>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16.项目支出：指在基本支出之外为完成特定行政任务和事业发展目标所发生的支出。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kinsoku/>
        <w:wordWrap/>
        <w:overflowPunct/>
        <w:topLinePunct w:val="0"/>
        <w:bidi w:val="0"/>
        <w:spacing w:line="560" w:lineRule="exact"/>
        <w:jc w:val="center"/>
        <w:textAlignment w:val="auto"/>
        <w:outlineLvl w:val="0"/>
      </w:pPr>
      <w:r>
        <w:rPr>
          <w:rFonts w:hint="default" w:ascii="Times New Roman" w:hAnsi="Times New Roman" w:cs="Times New Roman"/>
          <w:b/>
          <w:color w:val="auto"/>
          <w:sz w:val="44"/>
          <w:szCs w:val="44"/>
          <w:highlight w:val="none"/>
        </w:rPr>
        <w:br w:type="page"/>
      </w:r>
      <w:bookmarkStart w:id="84" w:name="_Toc15396614"/>
      <w:bookmarkStart w:id="85" w:name="_Toc266996571"/>
      <w:bookmarkStart w:id="86" w:name="_Toc61282118"/>
      <w:r>
        <w:rPr>
          <w:rFonts w:hint="default" w:ascii="Times New Roman" w:hAnsi="Times New Roman" w:eastAsia="黑体" w:cs="Times New Roman"/>
          <w:color w:val="auto"/>
          <w:sz w:val="44"/>
          <w:szCs w:val="44"/>
          <w:highlight w:val="none"/>
        </w:rPr>
        <w:t>第</w:t>
      </w:r>
      <w:r>
        <w:rPr>
          <w:rStyle w:val="28"/>
          <w:rFonts w:hint="default" w:ascii="Times New Roman" w:hAnsi="Times New Roman" w:eastAsia="黑体" w:cs="Times New Roman"/>
          <w:b w:val="0"/>
          <w:color w:val="auto"/>
          <w:highlight w:val="none"/>
        </w:rPr>
        <w:t>四部分 附件</w:t>
      </w:r>
      <w:bookmarkEnd w:id="84"/>
      <w:bookmarkEnd w:id="85"/>
      <w:bookmarkEnd w:id="86"/>
      <w:sdt>
        <w:sdtPr>
          <w:rPr>
            <w:rFonts w:ascii="宋体" w:hAnsi="宋体" w:eastAsia="宋体" w:cs="Times New Roman"/>
            <w:kern w:val="2"/>
            <w:sz w:val="21"/>
            <w:szCs w:val="24"/>
            <w:lang w:val="en-US" w:eastAsia="zh-CN" w:bidi="ar-SA"/>
          </w:rPr>
          <w:id w:val="43965495"/>
          <w:showingPlcHdr/>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sdt>
    </w:p>
    <w:p>
      <w:pPr>
        <w:keepNext w:val="0"/>
        <w:keepLines w:val="0"/>
        <w:pageBreakBefore w:val="0"/>
        <w:widowControl/>
        <w:kinsoku/>
        <w:wordWrap/>
        <w:overflowPunct/>
        <w:topLinePunct w:val="0"/>
        <w:autoSpaceDE/>
        <w:autoSpaceDN/>
        <w:bidi w:val="0"/>
        <w:spacing w:line="560" w:lineRule="exact"/>
        <w:contextualSpacing/>
        <w:jc w:val="center"/>
        <w:textAlignment w:val="auto"/>
        <w:outlineLvl w:val="0"/>
        <w:rPr>
          <w:rFonts w:hint="default" w:ascii="Times New Roman" w:hAnsi="Times New Roman" w:eastAsia="黑体" w:cs="Times New Roman"/>
          <w:color w:val="auto"/>
          <w:kern w:val="0"/>
          <w:sz w:val="32"/>
          <w:szCs w:val="32"/>
          <w:highlight w:val="none"/>
          <w:shd w:val="clear" w:color="auto" w:fill="FFFFFF"/>
        </w:rPr>
      </w:pPr>
      <w:bookmarkStart w:id="87" w:name="_Toc1317301159"/>
      <w:bookmarkStart w:id="88" w:name="_Toc728481106"/>
      <w:r>
        <w:rPr>
          <w:rFonts w:hint="eastAsia" w:cs="Times New Roman"/>
          <w:b/>
          <w:color w:val="auto"/>
          <w:sz w:val="32"/>
          <w:szCs w:val="32"/>
          <w:highlight w:val="none"/>
          <w:shd w:val="clear" w:color="auto" w:fill="FFFFFF"/>
          <w:lang w:eastAsia="zh-CN"/>
        </w:rPr>
        <w:t>壤塘县财政局</w:t>
      </w:r>
      <w:r>
        <w:rPr>
          <w:rFonts w:hint="default" w:ascii="Times New Roman" w:hAnsi="Times New Roman" w:eastAsia="宋体" w:cs="Times New Roman"/>
          <w:b/>
          <w:color w:val="auto"/>
          <w:sz w:val="32"/>
          <w:szCs w:val="32"/>
          <w:highlight w:val="none"/>
          <w:shd w:val="clear" w:color="auto" w:fill="FFFFFF"/>
        </w:rPr>
        <w:t>20</w:t>
      </w:r>
      <w:r>
        <w:rPr>
          <w:rFonts w:hint="default" w:ascii="Times New Roman" w:hAnsi="Times New Roman" w:eastAsia="宋体" w:cs="Times New Roman"/>
          <w:b/>
          <w:color w:val="auto"/>
          <w:sz w:val="32"/>
          <w:szCs w:val="32"/>
          <w:highlight w:val="none"/>
          <w:shd w:val="clear" w:color="auto" w:fill="FFFFFF"/>
          <w:lang w:val="en-US" w:eastAsia="zh-CN"/>
        </w:rPr>
        <w:t>2</w:t>
      </w:r>
      <w:r>
        <w:rPr>
          <w:rFonts w:hint="eastAsia" w:cs="Times New Roman"/>
          <w:b/>
          <w:color w:val="auto"/>
          <w:sz w:val="32"/>
          <w:szCs w:val="32"/>
          <w:highlight w:val="none"/>
          <w:shd w:val="clear" w:color="auto" w:fill="FFFFFF"/>
          <w:lang w:val="en-US" w:eastAsia="zh-CN"/>
        </w:rPr>
        <w:t>2</w:t>
      </w:r>
      <w:r>
        <w:rPr>
          <w:rFonts w:hint="default" w:ascii="Times New Roman" w:hAnsi="Times New Roman" w:eastAsia="宋体" w:cs="Times New Roman"/>
          <w:b/>
          <w:color w:val="auto"/>
          <w:sz w:val="32"/>
          <w:szCs w:val="32"/>
          <w:highlight w:val="none"/>
          <w:shd w:val="clear" w:color="auto" w:fill="FFFFFF"/>
        </w:rPr>
        <w:t>年部门整体绩效评价报告</w:t>
      </w:r>
      <w:bookmarkEnd w:id="87"/>
      <w:bookmarkEnd w:id="88"/>
    </w:p>
    <w:p>
      <w:pPr>
        <w:keepNext w:val="0"/>
        <w:keepLines w:val="0"/>
        <w:pageBreakBefore w:val="0"/>
        <w:widowControl/>
        <w:numPr>
          <w:ilvl w:val="0"/>
          <w:numId w:val="4"/>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1"/>
        <w:rPr>
          <w:rFonts w:hint="default" w:ascii="Times New Roman" w:hAnsi="Times New Roman" w:eastAsia="黑体" w:cs="Times New Roman"/>
          <w:color w:val="auto"/>
          <w:kern w:val="0"/>
          <w:sz w:val="32"/>
          <w:szCs w:val="32"/>
          <w:highlight w:val="none"/>
          <w:shd w:val="clear" w:color="auto" w:fill="FFFFFF"/>
          <w:lang w:val="zh-CN"/>
        </w:rPr>
      </w:pPr>
      <w:bookmarkStart w:id="89" w:name="_Toc387108063"/>
      <w:bookmarkStart w:id="90" w:name="_Toc3098684"/>
      <w:r>
        <w:rPr>
          <w:rFonts w:hint="default" w:ascii="Times New Roman" w:hAnsi="Times New Roman" w:eastAsia="黑体" w:cs="Times New Roman"/>
          <w:color w:val="auto"/>
          <w:kern w:val="0"/>
          <w:sz w:val="32"/>
          <w:szCs w:val="32"/>
          <w:highlight w:val="none"/>
          <w:shd w:val="clear" w:color="auto" w:fill="FFFFFF"/>
          <w:lang w:val="zh-CN"/>
        </w:rPr>
        <w:t>部门（单位）基本情况</w:t>
      </w:r>
      <w:bookmarkEnd w:id="89"/>
      <w:bookmarkEnd w:id="90"/>
    </w:p>
    <w:p>
      <w:pPr>
        <w:keepNext w:val="0"/>
        <w:keepLines w:val="0"/>
        <w:pageBreakBefore w:val="0"/>
        <w:widowControl/>
        <w:numPr>
          <w:ilvl w:val="0"/>
          <w:numId w:val="5"/>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91" w:name="_Toc857160658"/>
      <w:r>
        <w:rPr>
          <w:rFonts w:hint="default" w:ascii="Times New Roman" w:hAnsi="Times New Roman" w:eastAsia="楷体_GB2312" w:cs="Times New Roman"/>
          <w:b/>
          <w:bCs/>
          <w:color w:val="auto"/>
          <w:kern w:val="0"/>
          <w:sz w:val="32"/>
          <w:szCs w:val="32"/>
          <w:highlight w:val="none"/>
          <w:shd w:val="clear" w:color="auto" w:fill="FFFFFF"/>
          <w:lang w:val="zh-CN"/>
        </w:rPr>
        <w:t>机构组成。</w:t>
      </w:r>
      <w:bookmarkEnd w:id="91"/>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en-US" w:eastAsia="zh-CN"/>
        </w:rPr>
        <w:t>壤塘县财政局属行政机构一级预算单位。内设行政机构8个，机构组成：办公室、预算股、国库股(政府采购监督管理股)、企业和经济建设股、行政政法股、农业农村和投资管理股、社会保障和科教文卫股、财政监督与绩效管理股（行政审批股）；事业机构5个，财政评审中心、财政绩效评价中心、国有资产经营公司、政府采购监督管理中心、财政国库集中支付中心。</w:t>
      </w:r>
    </w:p>
    <w:p>
      <w:pPr>
        <w:keepNext w:val="0"/>
        <w:keepLines w:val="0"/>
        <w:pageBreakBefore w:val="0"/>
        <w:widowControl/>
        <w:numPr>
          <w:ilvl w:val="0"/>
          <w:numId w:val="5"/>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92" w:name="_Toc2072696394"/>
      <w:r>
        <w:rPr>
          <w:rFonts w:hint="default" w:ascii="Times New Roman" w:hAnsi="Times New Roman" w:eastAsia="楷体_GB2312" w:cs="Times New Roman"/>
          <w:b/>
          <w:bCs/>
          <w:color w:val="auto"/>
          <w:kern w:val="0"/>
          <w:sz w:val="32"/>
          <w:szCs w:val="32"/>
          <w:highlight w:val="none"/>
          <w:shd w:val="clear" w:color="auto" w:fill="FFFFFF"/>
          <w:lang w:val="zh-CN"/>
        </w:rPr>
        <w:t>机构职能和人员概况。</w:t>
      </w:r>
      <w:bookmarkEnd w:id="92"/>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zh-CN" w:eastAsia="zh-CN"/>
        </w:rPr>
      </w:pPr>
      <w:bookmarkStart w:id="93" w:name="_Toc31933"/>
      <w:r>
        <w:rPr>
          <w:rFonts w:hint="default" w:ascii="Times New Roman" w:hAnsi="Times New Roman" w:eastAsia="仿宋_GB2312" w:cs="Times New Roman"/>
          <w:color w:val="auto"/>
          <w:sz w:val="32"/>
          <w:szCs w:val="32"/>
          <w:lang w:val="zh-CN" w:eastAsia="zh-CN"/>
        </w:rPr>
        <w:t>机构职能。</w:t>
      </w:r>
      <w:bookmarkEnd w:id="93"/>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拟定和执行壤塘县财政、税收的发展战略、方针及中、长期财政规划；执行财政分配政策和分级财政管理体制参与宏观经济分析预测和全县重大宏观经济措施的制定；提出运用财税政策实施宏观经济调控和综合平衡全县财力的建议；制定构建地方公共财政体系的制度；指导全县财政工作。</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2.贯彻执行国家财政、税收的方针政策和法律、法规，研究、拟定全县财政、国有资产、财务、会计等规章制度，并组织实施。</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管理全县财政收支；依据《预算法》编制年度县级预算草案和决算，组织执行年度财政预算；受县政府委托，向县人大报告全县及县本级财政预算及其执行情况，向全县人大常委会报告决算；拟定财政税收收入计划；管理县级各项财政收入、预算外资金（包括政府性基金和行政事业性收费）、社会保障资金及财政专户；负责全县罚没物资管理、监督工作；制定和规范各项财政收支管理的具体办法，组织财政性资金的综合平衡。</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4.根据国家税收法律、法规或授权，联系、协调国税、地税等部门的税政业务工作；监督各类税收减免和有关税款退库事项。</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管理县级财政公共支出；贯彻执行《事业单位财务制度》、《行政单位财务制度》；拟定全县行政、事业单位财务管理制度和对各种财政资金的管理监督办法；负责拟定国家授权的政府采购管理制度和监督；制定需要全县统一的有关开支标准；执行并实施基本建设财务管理制度。</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6.贯彻执行社会保障资金财务管理制度；管理县政府的社会保障支出；组织实施对社会保障资金使用的财政监督。</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7.草拟全县国有资产管理改革方案、规章制度、管理办法；负责核定企业国有资本，监管国有资本变动；组织清产核资和国有资产权属界定、办理产权登记及国有资产转让，监缴国有资产收益；负责国有资产产权纠纷调处。负责公共资源、国有资产的统计、分析；指导资产评估业务，负责资产评估项目的合规性审核；组织国有资本营运绩效评价，监管国有资本保值增值。</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8.管理和监督财政性经济发展支出、县级财政安排的农业支出，基本建设支出、城市维护建设支出、技术改造支出、科技支出、县级投资项目的财政拨款，分配各种专项资金；管理农业综合开发、国债转贷等有偿使用资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9.组织执行国家颁布的企业财务制度和国家与企业的分配政策；管理我县境内的县属企业国有资产和财务。</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10.草拟和执行政府债务管理的规章制度和管理办法；管理政府主权债务；负责世界银行贷款的管理监督，管理彩票市场，按规定管理彩票基金。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管理全县会计工作；贯彻实施《会计法》等法律、法规及分行业的会计制度；拟定和实施国家统一会计制度的有关具体办法和补充规定；负责全县会计系列专业技术职务任职资格的考评工作，负责全县会计人员从业资格和管理及业务培训，组织实施会计人员专业知识的继续教育；受理会计人员信访；指导和监督会计电算化；负责会计委派工作；指导和监管社会审计、会计、资产评估、财务咨询等社会中介机构；组织清理整顿经济鉴证类中介机构。负责财政集中支付和部分单位统一核算业务。</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auto"/>
          <w:sz w:val="32"/>
          <w:szCs w:val="32"/>
          <w:lang w:val="en-US" w:eastAsia="zh-CN"/>
        </w:rPr>
        <w:t>12.负责全县财政监督检查工作，拟定财政监督的规章制度；监督财税方针政策、法律法规的执行，检查财政收支管理中重大问题；提出加强财政管理的建议；依法查处违反财经纪律的行为。</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13.制定财政职工教育规划；组织财政业务培训和人才培养，提高干部队伍素质；负责财政信息和财政宣传工作；指导财政系统抓好精神文明建设和廉政建设，做好财政系统干部职工的思想政治工作。</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14.承担县政府公布的有关行政审批事项。</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15.承担县政府交办的其他事项。</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人员概况</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color w:val="auto"/>
          <w:sz w:val="32"/>
          <w:szCs w:val="32"/>
          <w:highlight w:val="yellow"/>
          <w:lang w:val="zh-CN" w:eastAsia="zh-CN"/>
        </w:rPr>
      </w:pPr>
      <w:r>
        <w:rPr>
          <w:rFonts w:hint="default"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en-US" w:eastAsia="zh-CN"/>
        </w:rPr>
        <w:t>年总编制44名,其中:行政编制10名,事业编制（含参公编制）32名，行政工勤编制2名。</w:t>
      </w:r>
      <w:r>
        <w:rPr>
          <w:rFonts w:hint="default" w:ascii="Times New Roman" w:hAnsi="Times New Roman" w:eastAsia="仿宋_GB2312" w:cs="Times New Roman"/>
          <w:color w:val="000000"/>
          <w:sz w:val="32"/>
          <w:szCs w:val="32"/>
          <w:highlight w:val="none"/>
        </w:rPr>
        <w:t>2022年</w:t>
      </w:r>
      <w:r>
        <w:rPr>
          <w:rFonts w:hint="default" w:ascii="Times New Roman" w:hAnsi="Times New Roman" w:eastAsia="仿宋_GB2312" w:cs="Times New Roman"/>
          <w:color w:val="000000"/>
          <w:sz w:val="32"/>
          <w:szCs w:val="32"/>
        </w:rPr>
        <w:t>在职人数44名其中：行政人员10名，参照公务员法管理事业人员19名，非参公事业人员15名</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遗属人员4名，退休人员13名。</w:t>
      </w:r>
    </w:p>
    <w:p>
      <w:pPr>
        <w:keepNext w:val="0"/>
        <w:keepLines w:val="0"/>
        <w:pageBreakBefore w:val="0"/>
        <w:widowControl/>
        <w:numPr>
          <w:ilvl w:val="0"/>
          <w:numId w:val="5"/>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94" w:name="_Toc1961627941"/>
      <w:r>
        <w:rPr>
          <w:rFonts w:hint="default" w:ascii="Times New Roman" w:hAnsi="Times New Roman" w:eastAsia="楷体_GB2312" w:cs="Times New Roman"/>
          <w:b/>
          <w:bCs/>
          <w:color w:val="auto"/>
          <w:kern w:val="0"/>
          <w:sz w:val="32"/>
          <w:szCs w:val="32"/>
          <w:highlight w:val="none"/>
          <w:shd w:val="clear" w:color="auto" w:fill="FFFFFF"/>
          <w:lang w:val="zh-CN"/>
        </w:rPr>
        <w:t>年度主要工作任务。</w:t>
      </w:r>
      <w:bookmarkEnd w:id="94"/>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eastAsia="zh-CN"/>
        </w:rPr>
        <w:t>县政府财政工作全面</w:t>
      </w:r>
      <w:r>
        <w:rPr>
          <w:rFonts w:hint="default" w:ascii="Times New Roman" w:hAnsi="Times New Roman" w:eastAsia="仿宋_GB2312" w:cs="Times New Roman"/>
          <w:color w:val="auto"/>
          <w:sz w:val="32"/>
          <w:szCs w:val="32"/>
        </w:rPr>
        <w:t>贯彻落实</w:t>
      </w:r>
      <w:r>
        <w:rPr>
          <w:rFonts w:hint="default" w:ascii="Times New Roman" w:hAnsi="Times New Roman" w:eastAsia="仿宋_GB2312" w:cs="Times New Roman"/>
          <w:color w:val="auto"/>
          <w:sz w:val="32"/>
          <w:szCs w:val="32"/>
          <w:lang w:val="en-US" w:eastAsia="zh-CN"/>
        </w:rPr>
        <w:t>壤</w:t>
      </w:r>
      <w:r>
        <w:rPr>
          <w:rFonts w:hint="default" w:ascii="Times New Roman" w:hAnsi="Times New Roman" w:eastAsia="仿宋_GB2312" w:cs="Times New Roman"/>
          <w:color w:val="auto"/>
          <w:sz w:val="32"/>
          <w:szCs w:val="32"/>
          <w:highlight w:val="none"/>
          <w:lang w:val="en-US" w:eastAsia="zh-CN"/>
        </w:rPr>
        <w:t>塘</w:t>
      </w:r>
      <w:r>
        <w:rPr>
          <w:rFonts w:hint="default" w:ascii="Times New Roman" w:hAnsi="Times New Roman" w:eastAsia="仿宋_GB2312" w:cs="Times New Roman"/>
          <w:color w:val="auto"/>
          <w:sz w:val="32"/>
          <w:szCs w:val="32"/>
          <w:highlight w:val="none"/>
        </w:rPr>
        <w:t>县第十</w:t>
      </w:r>
      <w:r>
        <w:rPr>
          <w:rFonts w:hint="default" w:ascii="Times New Roman" w:hAnsi="Times New Roman" w:eastAsia="仿宋_GB2312" w:cs="Times New Roman"/>
          <w:color w:val="auto"/>
          <w:sz w:val="32"/>
          <w:szCs w:val="32"/>
          <w:highlight w:val="none"/>
          <w:lang w:val="en-US" w:eastAsia="zh-CN"/>
        </w:rPr>
        <w:t>五</w:t>
      </w:r>
      <w:r>
        <w:rPr>
          <w:rFonts w:hint="default" w:ascii="Times New Roman" w:hAnsi="Times New Roman" w:eastAsia="仿宋_GB2312" w:cs="Times New Roman"/>
          <w:color w:val="auto"/>
          <w:sz w:val="32"/>
          <w:szCs w:val="32"/>
          <w:highlight w:val="none"/>
        </w:rPr>
        <w:t>届人大第</w:t>
      </w:r>
      <w:r>
        <w:rPr>
          <w:rFonts w:hint="default" w:ascii="Times New Roman" w:hAnsi="Times New Roman" w:eastAsia="仿宋_GB2312" w:cs="Times New Roman"/>
          <w:color w:val="auto"/>
          <w:sz w:val="32"/>
          <w:szCs w:val="32"/>
          <w:highlight w:val="none"/>
          <w:lang w:val="en-US" w:eastAsia="zh-CN"/>
        </w:rPr>
        <w:t>一</w:t>
      </w:r>
      <w:r>
        <w:rPr>
          <w:rFonts w:hint="default" w:ascii="Times New Roman" w:hAnsi="Times New Roman" w:eastAsia="仿宋_GB2312" w:cs="Times New Roman"/>
          <w:color w:val="auto"/>
          <w:sz w:val="32"/>
          <w:szCs w:val="32"/>
          <w:highlight w:val="none"/>
        </w:rPr>
        <w:t>次会议有关决议及县人大财政经济委员会的审查</w:t>
      </w:r>
      <w:r>
        <w:rPr>
          <w:rFonts w:hint="default" w:ascii="Times New Roman" w:hAnsi="Times New Roman" w:eastAsia="仿宋_GB2312" w:cs="Times New Roman"/>
          <w:color w:val="auto"/>
          <w:sz w:val="32"/>
          <w:szCs w:val="32"/>
        </w:rPr>
        <w:t>意见，主动接受人大监督，全面贯彻《</w:t>
      </w:r>
      <w:r>
        <w:rPr>
          <w:rFonts w:hint="default" w:ascii="Times New Roman" w:hAnsi="Times New Roman" w:eastAsia="仿宋_GB2312" w:cs="Times New Roman"/>
          <w:color w:val="auto"/>
          <w:sz w:val="32"/>
          <w:szCs w:val="32"/>
          <w:lang w:eastAsia="zh-CN"/>
        </w:rPr>
        <w:t>中华人民共和国</w:t>
      </w:r>
      <w:r>
        <w:rPr>
          <w:rFonts w:hint="default" w:ascii="Times New Roman" w:hAnsi="Times New Roman" w:eastAsia="仿宋_GB2312" w:cs="Times New Roman"/>
          <w:color w:val="auto"/>
          <w:sz w:val="32"/>
          <w:szCs w:val="32"/>
        </w:rPr>
        <w:t>预算法》及其实施条例，充分发挥财政职能，全力保障县委决策部署落地落实。</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bCs/>
          <w:color w:val="auto"/>
          <w:sz w:val="32"/>
          <w:szCs w:val="32"/>
        </w:rPr>
        <w:t>（一）</w:t>
      </w:r>
      <w:r>
        <w:rPr>
          <w:rFonts w:hint="default" w:ascii="Times New Roman" w:hAnsi="Times New Roman" w:eastAsia="楷体_GB2312" w:cs="Times New Roman"/>
          <w:b/>
          <w:bCs/>
          <w:color w:val="auto"/>
          <w:sz w:val="32"/>
          <w:szCs w:val="32"/>
          <w:lang w:eastAsia="zh-CN"/>
        </w:rPr>
        <w:t>克服</w:t>
      </w:r>
      <w:r>
        <w:rPr>
          <w:rFonts w:hint="default" w:ascii="Times New Roman" w:hAnsi="Times New Roman" w:eastAsia="楷体_GB2312" w:cs="Times New Roman"/>
          <w:b/>
          <w:bCs/>
          <w:color w:val="auto"/>
          <w:sz w:val="32"/>
          <w:szCs w:val="32"/>
          <w:lang w:val="en-US" w:eastAsia="zh-CN"/>
        </w:rPr>
        <w:t>经济下行压力</w:t>
      </w: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eastAsia="zh-CN"/>
        </w:rPr>
        <w:t>多措并举挖潜增收</w:t>
      </w:r>
      <w:r>
        <w:rPr>
          <w:rFonts w:hint="default" w:ascii="Times New Roman" w:hAnsi="Times New Roman" w:eastAsia="楷体_GB2312" w:cs="Times New Roman"/>
          <w:b/>
          <w:bCs/>
          <w:color w:val="auto"/>
          <w:sz w:val="32"/>
          <w:szCs w:val="32"/>
        </w:rPr>
        <w:t>。</w:t>
      </w:r>
      <w:r>
        <w:rPr>
          <w:rFonts w:hint="default" w:ascii="Times New Roman" w:hAnsi="Times New Roman" w:eastAsia="仿宋_GB2312" w:cs="Times New Roman"/>
          <w:color w:val="auto"/>
          <w:sz w:val="32"/>
          <w:szCs w:val="32"/>
          <w:lang w:val="en-US" w:eastAsia="zh-CN"/>
        </w:rPr>
        <w:t>2022年县政府财政工作积极应对新冠疫情冲击、减税降费（留抵退税）政策等带来的影响，始终坚持目标导向，牢固树立财政组织收入的大局意识、担当意识、责任意识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强化收入变化分析研判和狠抓重点税源征管，多措并举加大重点行业、重点企业、重点税源监控管理力度，提高对相关企业监控分析的准确性和实效性，实时掌握税源增减变化趋势。把“保任务、稳增长”放在更加突出的位置，努力克服困难，依法依规组织财政收入，</w:t>
      </w:r>
      <w:r>
        <w:rPr>
          <w:rFonts w:hint="default" w:ascii="Times New Roman" w:hAnsi="Times New Roman" w:eastAsia="仿宋_GB2312" w:cs="Times New Roman"/>
          <w:color w:val="auto"/>
          <w:sz w:val="32"/>
          <w:szCs w:val="32"/>
        </w:rPr>
        <w:t>确保收入及时足额收缴入库</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圆满完成了目标任务。</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rPr>
        <w:t>（二）</w:t>
      </w:r>
      <w:r>
        <w:rPr>
          <w:rFonts w:hint="default" w:ascii="Times New Roman" w:hAnsi="Times New Roman" w:eastAsia="楷体_GB2312" w:cs="Times New Roman"/>
          <w:b/>
          <w:bCs/>
          <w:color w:val="auto"/>
          <w:sz w:val="32"/>
          <w:szCs w:val="32"/>
          <w:highlight w:val="none"/>
          <w:lang w:val="en-US" w:eastAsia="zh-CN"/>
        </w:rPr>
        <w:t>强化财政资源统筹，有效保障重点支出</w:t>
      </w:r>
      <w:r>
        <w:rPr>
          <w:rFonts w:hint="default" w:ascii="Times New Roman" w:hAnsi="Times New Roman" w:eastAsia="仿宋_GB2312" w:cs="Times New Roman"/>
          <w:color w:val="auto"/>
          <w:sz w:val="32"/>
          <w:szCs w:val="32"/>
          <w:highlight w:val="none"/>
          <w:lang w:eastAsia="zh-CN"/>
        </w:rPr>
        <w:t>。今年财政保障能力面临严峻挑战，县政府财政积极应对，从严执行政府“过紧日子”系列举措，多管齐下开源节流，紧紧聚焦财政资源，持续用力盘活财政存量、用好增量，高效统筹自身财力和上级转移支付，强化预算绩效管理，切实提高资源配置使用效率，确保“三保”支出，中央、省、州和县委、县政府重大决策部署落到实处</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b/>
          <w:bCs/>
          <w:color w:val="auto"/>
          <w:sz w:val="32"/>
          <w:szCs w:val="32"/>
          <w:lang w:val="en-US" w:eastAsia="zh-CN"/>
        </w:rPr>
        <w:t>一是全面实施助企纾困</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pacing w:val="8"/>
          <w:sz w:val="32"/>
          <w:szCs w:val="32"/>
          <w:shd w:val="clear" w:color="auto" w:fill="FFFFFF"/>
        </w:rPr>
        <w:t>进一步加大增值税留抵退税政策力度，雪中送炭帮企业渡难关。着力稳市场主体稳就业，按照上级财税优惠政策按月全额退还增量留抵税额、一次性全额退还存量留抵税额</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zh-CN" w:eastAsia="zh-CN"/>
        </w:rPr>
        <w:t>2022年我县企业“留抵退税”规模达</w:t>
      </w:r>
      <w:r>
        <w:rPr>
          <w:rFonts w:hint="default" w:ascii="Times New Roman" w:hAnsi="Times New Roman" w:eastAsia="仿宋_GB2312" w:cs="Times New Roman"/>
          <w:color w:val="auto"/>
          <w:sz w:val="32"/>
          <w:szCs w:val="32"/>
          <w:highlight w:val="none"/>
          <w:lang w:val="en-US" w:eastAsia="zh-CN"/>
        </w:rPr>
        <w:t>104</w:t>
      </w:r>
      <w:r>
        <w:rPr>
          <w:rFonts w:hint="default" w:ascii="Times New Roman" w:hAnsi="Times New Roman" w:eastAsia="仿宋_GB2312" w:cs="Times New Roman"/>
          <w:color w:val="auto"/>
          <w:sz w:val="32"/>
          <w:szCs w:val="32"/>
          <w:highlight w:val="none"/>
          <w:lang w:val="zh-CN" w:eastAsia="zh-CN"/>
        </w:rPr>
        <w:t>万元，其中县级收入承担企业“留抵退税”</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lang w:val="zh-CN" w:eastAsia="zh-CN"/>
        </w:rPr>
        <w:t>万元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bCs/>
          <w:color w:val="auto"/>
          <w:sz w:val="32"/>
          <w:szCs w:val="32"/>
          <w:highlight w:val="none"/>
          <w:lang w:val="en-US" w:eastAsia="zh-CN"/>
        </w:rPr>
        <w:t>二是全力支持防灾救灾和疫情防控。</w:t>
      </w:r>
      <w:r>
        <w:rPr>
          <w:rFonts w:hint="default" w:ascii="Times New Roman" w:hAnsi="Times New Roman" w:eastAsia="仿宋_GB2312" w:cs="Times New Roman"/>
          <w:color w:val="auto"/>
          <w:sz w:val="32"/>
          <w:szCs w:val="32"/>
          <w:highlight w:val="none"/>
          <w:lang w:eastAsia="zh-CN"/>
        </w:rPr>
        <w:t>下达马尔康“</w:t>
      </w:r>
      <w:r>
        <w:rPr>
          <w:rFonts w:hint="default" w:ascii="Times New Roman" w:hAnsi="Times New Roman" w:eastAsia="仿宋_GB2312" w:cs="Times New Roman"/>
          <w:color w:val="auto"/>
          <w:sz w:val="32"/>
          <w:szCs w:val="32"/>
          <w:highlight w:val="none"/>
          <w:lang w:val="en-US" w:eastAsia="zh-CN"/>
        </w:rPr>
        <w:t>6·10</w:t>
      </w:r>
      <w:r>
        <w:rPr>
          <w:rFonts w:hint="default" w:ascii="Times New Roman" w:hAnsi="Times New Roman" w:eastAsia="仿宋_GB2312" w:cs="Times New Roman"/>
          <w:color w:val="auto"/>
          <w:sz w:val="32"/>
          <w:szCs w:val="32"/>
          <w:highlight w:val="none"/>
          <w:lang w:eastAsia="zh-CN"/>
        </w:rPr>
        <w:t>”地震救灾资金</w:t>
      </w:r>
      <w:r>
        <w:rPr>
          <w:rFonts w:hint="default" w:ascii="Times New Roman" w:hAnsi="Times New Roman" w:eastAsia="仿宋_GB2312" w:cs="Times New Roman"/>
          <w:color w:val="auto"/>
          <w:sz w:val="32"/>
          <w:szCs w:val="32"/>
          <w:highlight w:val="none"/>
          <w:lang w:val="en-US" w:eastAsia="zh-CN"/>
        </w:rPr>
        <w:t>1532</w:t>
      </w:r>
      <w:r>
        <w:rPr>
          <w:rFonts w:hint="default" w:ascii="Times New Roman" w:hAnsi="Times New Roman" w:eastAsia="仿宋_GB2312" w:cs="Times New Roman"/>
          <w:color w:val="auto"/>
          <w:sz w:val="32"/>
          <w:szCs w:val="32"/>
          <w:highlight w:val="none"/>
          <w:lang w:eastAsia="zh-CN"/>
        </w:rPr>
        <w:t>万元，保障受灾群众基本生活、过渡安置及农房重建维修加固等救灾工作顺利开展；投入资金</w:t>
      </w:r>
      <w:r>
        <w:rPr>
          <w:rFonts w:hint="default" w:ascii="Times New Roman" w:hAnsi="Times New Roman" w:eastAsia="仿宋_GB2312" w:cs="Times New Roman"/>
          <w:color w:val="auto"/>
          <w:sz w:val="32"/>
          <w:szCs w:val="32"/>
          <w:highlight w:val="none"/>
          <w:lang w:val="en-US" w:eastAsia="zh-CN"/>
        </w:rPr>
        <w:t>824</w:t>
      </w:r>
      <w:r>
        <w:rPr>
          <w:rFonts w:hint="default" w:ascii="Times New Roman" w:hAnsi="Times New Roman" w:eastAsia="仿宋_GB2312" w:cs="Times New Roman"/>
          <w:color w:val="auto"/>
          <w:sz w:val="32"/>
          <w:szCs w:val="32"/>
          <w:highlight w:val="none"/>
          <w:lang w:eastAsia="zh-CN"/>
        </w:rPr>
        <w:t>万元，有效保障我县“</w:t>
      </w:r>
      <w:r>
        <w:rPr>
          <w:rFonts w:hint="default" w:ascii="Times New Roman" w:hAnsi="Times New Roman" w:eastAsia="仿宋_GB2312" w:cs="Times New Roman"/>
          <w:color w:val="auto"/>
          <w:sz w:val="32"/>
          <w:szCs w:val="32"/>
          <w:highlight w:val="none"/>
          <w:lang w:val="en-US" w:eastAsia="zh-CN"/>
        </w:rPr>
        <w:t>8·30</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”新冠疫情防控物资采购以及疫情防控人员筛查、转运、后勤、交通等防控工作正常开展；筹集资金</w:t>
      </w:r>
      <w:r>
        <w:rPr>
          <w:rFonts w:hint="default" w:ascii="Times New Roman" w:hAnsi="Times New Roman" w:eastAsia="仿宋_GB2312" w:cs="Times New Roman"/>
          <w:color w:val="auto"/>
          <w:sz w:val="32"/>
          <w:szCs w:val="32"/>
          <w:highlight w:val="none"/>
          <w:lang w:val="en-US" w:eastAsia="zh-CN"/>
        </w:rPr>
        <w:t>3440万元，建设466间（含工作间）标准方舱隔离点。</w:t>
      </w:r>
      <w:r>
        <w:rPr>
          <w:rFonts w:hint="default" w:ascii="Times New Roman" w:hAnsi="Times New Roman" w:eastAsia="仿宋_GB2312" w:cs="Times New Roman"/>
          <w:b w:val="0"/>
          <w:bCs w:val="0"/>
          <w:color w:val="auto"/>
          <w:sz w:val="32"/>
          <w:szCs w:val="32"/>
          <w:highlight w:val="none"/>
          <w:lang w:val="en-US" w:eastAsia="zh-CN"/>
        </w:rPr>
        <w:t>三是持续加大民生扶持。</w:t>
      </w:r>
      <w:r>
        <w:rPr>
          <w:rFonts w:hint="default" w:ascii="Times New Roman" w:hAnsi="Times New Roman" w:eastAsia="仿宋_GB2312" w:cs="Times New Roman"/>
          <w:color w:val="auto"/>
          <w:sz w:val="32"/>
          <w:szCs w:val="32"/>
        </w:rPr>
        <w:t>健全四项基金长效补充机制，注入教育救助基金</w:t>
      </w:r>
      <w:r>
        <w:rPr>
          <w:rFonts w:hint="default" w:ascii="Times New Roman" w:hAnsi="Times New Roman" w:eastAsia="仿宋_GB2312" w:cs="Times New Roman"/>
          <w:color w:val="auto"/>
          <w:sz w:val="32"/>
          <w:szCs w:val="32"/>
          <w:lang w:val="en-US" w:eastAsia="zh-CN"/>
        </w:rPr>
        <w:t>280</w:t>
      </w:r>
      <w:r>
        <w:rPr>
          <w:rFonts w:hint="default" w:ascii="Times New Roman" w:hAnsi="Times New Roman" w:eastAsia="仿宋_GB2312" w:cs="Times New Roman"/>
          <w:color w:val="auto"/>
          <w:sz w:val="32"/>
          <w:szCs w:val="32"/>
        </w:rPr>
        <w:t>万元，注入卫生救助基金</w:t>
      </w:r>
      <w:r>
        <w:rPr>
          <w:rFonts w:hint="default" w:ascii="Times New Roman" w:hAnsi="Times New Roman" w:eastAsia="仿宋_GB2312" w:cs="Times New Roman"/>
          <w:color w:val="auto"/>
          <w:sz w:val="32"/>
          <w:szCs w:val="32"/>
          <w:lang w:val="en-US" w:eastAsia="zh-CN"/>
        </w:rPr>
        <w:t>40</w:t>
      </w:r>
      <w:r>
        <w:rPr>
          <w:rFonts w:hint="default" w:ascii="Times New Roman" w:hAnsi="Times New Roman" w:eastAsia="仿宋_GB2312" w:cs="Times New Roman"/>
          <w:color w:val="auto"/>
          <w:sz w:val="32"/>
          <w:szCs w:val="32"/>
        </w:rPr>
        <w:t>万元，安排脱贫人口小额信贷贴息资金</w:t>
      </w:r>
      <w:r>
        <w:rPr>
          <w:rFonts w:hint="default"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下</w:t>
      </w:r>
      <w:r>
        <w:rPr>
          <w:rFonts w:hint="default" w:ascii="Times New Roman" w:hAnsi="Times New Roman" w:eastAsia="仿宋_GB2312" w:cs="Times New Roman"/>
          <w:color w:val="auto"/>
          <w:sz w:val="32"/>
          <w:szCs w:val="32"/>
          <w:highlight w:val="none"/>
          <w:lang w:val="en-US" w:eastAsia="zh-CN"/>
        </w:rPr>
        <w:t>达</w:t>
      </w:r>
      <w:r>
        <w:rPr>
          <w:rFonts w:hint="default" w:ascii="Times New Roman" w:hAnsi="Times New Roman" w:eastAsia="仿宋_GB2312" w:cs="Times New Roman"/>
          <w:color w:val="auto"/>
          <w:sz w:val="32"/>
          <w:szCs w:val="32"/>
          <w:highlight w:val="none"/>
          <w:lang w:val="zh-CN" w:eastAsia="zh-CN"/>
        </w:rPr>
        <w:t>城乡居民养老保险补助资金</w:t>
      </w:r>
      <w:r>
        <w:rPr>
          <w:rFonts w:hint="default" w:ascii="Times New Roman" w:hAnsi="Times New Roman" w:eastAsia="仿宋_GB2312" w:cs="Times New Roman"/>
          <w:color w:val="auto"/>
          <w:sz w:val="32"/>
          <w:szCs w:val="32"/>
          <w:highlight w:val="none"/>
          <w:lang w:val="en-US" w:eastAsia="zh-CN"/>
        </w:rPr>
        <w:t>608</w:t>
      </w:r>
      <w:r>
        <w:rPr>
          <w:rFonts w:hint="default" w:ascii="Times New Roman" w:hAnsi="Times New Roman" w:eastAsia="仿宋_GB2312" w:cs="Times New Roman"/>
          <w:color w:val="auto"/>
          <w:sz w:val="32"/>
          <w:szCs w:val="32"/>
          <w:highlight w:val="none"/>
          <w:lang w:val="zh-CN" w:eastAsia="zh-CN"/>
        </w:rPr>
        <w:t>万元、困难群众生活救助资金6492万元、优抚资金</w:t>
      </w:r>
      <w:r>
        <w:rPr>
          <w:rFonts w:hint="default" w:ascii="Times New Roman" w:hAnsi="Times New Roman" w:eastAsia="仿宋_GB2312" w:cs="Times New Roman"/>
          <w:color w:val="auto"/>
          <w:sz w:val="32"/>
          <w:szCs w:val="32"/>
          <w:highlight w:val="none"/>
          <w:lang w:val="en-US" w:eastAsia="zh-CN"/>
        </w:rPr>
        <w:t>198</w:t>
      </w:r>
      <w:r>
        <w:rPr>
          <w:rFonts w:hint="default" w:ascii="Times New Roman" w:hAnsi="Times New Roman" w:eastAsia="仿宋_GB2312" w:cs="Times New Roman"/>
          <w:color w:val="auto"/>
          <w:sz w:val="32"/>
          <w:szCs w:val="32"/>
          <w:highlight w:val="none"/>
          <w:lang w:val="zh-CN" w:eastAsia="zh-CN"/>
        </w:rPr>
        <w:t>万元，</w:t>
      </w:r>
      <w:r>
        <w:rPr>
          <w:rFonts w:hint="default" w:ascii="Times New Roman" w:hAnsi="Times New Roman" w:eastAsia="仿宋_GB2312" w:cs="Times New Roman"/>
          <w:color w:val="auto"/>
          <w:sz w:val="32"/>
          <w:szCs w:val="32"/>
          <w:highlight w:val="none"/>
          <w:lang w:val="en-US" w:eastAsia="zh-CN"/>
        </w:rPr>
        <w:t>大力支持完善社会保障体系</w:t>
      </w:r>
      <w:r>
        <w:rPr>
          <w:rFonts w:hint="default" w:ascii="Times New Roman" w:hAnsi="Times New Roman" w:eastAsia="仿宋_GB2312" w:cs="Times New Roman"/>
          <w:color w:val="auto"/>
          <w:sz w:val="32"/>
          <w:szCs w:val="32"/>
          <w:highlight w:val="none"/>
          <w:lang w:eastAsia="zh-CN"/>
        </w:rPr>
        <w:t>；扎实推进24件民生实事，</w:t>
      </w:r>
      <w:r>
        <w:rPr>
          <w:rFonts w:hint="default" w:ascii="Times New Roman" w:hAnsi="Times New Roman" w:eastAsia="仿宋_GB2312" w:cs="Times New Roman"/>
          <w:color w:val="auto"/>
          <w:sz w:val="32"/>
          <w:szCs w:val="32"/>
          <w:highlight w:val="none"/>
          <w:lang w:val="en-US" w:eastAsia="zh-CN"/>
        </w:rPr>
        <w:t>投入资金</w:t>
      </w:r>
      <w:r>
        <w:rPr>
          <w:rFonts w:hint="default" w:ascii="Times New Roman" w:hAnsi="Times New Roman" w:eastAsia="仿宋_GB2312" w:cs="Times New Roman"/>
          <w:b w:val="0"/>
          <w:bCs w:val="0"/>
          <w:color w:val="auto"/>
          <w:sz w:val="32"/>
          <w:szCs w:val="32"/>
          <w:highlight w:val="none"/>
          <w:lang w:val="en-US" w:eastAsia="zh-CN"/>
        </w:rPr>
        <w:t>13670</w:t>
      </w:r>
      <w:r>
        <w:rPr>
          <w:rFonts w:hint="default" w:ascii="Times New Roman" w:hAnsi="Times New Roman" w:eastAsia="仿宋_GB2312" w:cs="Times New Roman"/>
          <w:color w:val="auto"/>
          <w:sz w:val="32"/>
          <w:szCs w:val="32"/>
          <w:highlight w:val="none"/>
          <w:lang w:val="en-US" w:eastAsia="zh-CN"/>
        </w:rPr>
        <w:t>万元，</w:t>
      </w:r>
      <w:r>
        <w:rPr>
          <w:rFonts w:hint="default" w:ascii="Times New Roman" w:hAnsi="Times New Roman" w:eastAsia="仿宋_GB2312" w:cs="Times New Roman"/>
          <w:color w:val="auto"/>
          <w:sz w:val="32"/>
          <w:szCs w:val="32"/>
          <w:highlight w:val="none"/>
          <w:lang w:eastAsia="zh-CN"/>
        </w:rPr>
        <w:t>有效保障了教育、卫生、就业、</w:t>
      </w:r>
      <w:r>
        <w:rPr>
          <w:rFonts w:hint="default" w:ascii="Times New Roman" w:hAnsi="Times New Roman" w:eastAsia="仿宋_GB2312" w:cs="Times New Roman"/>
          <w:color w:val="auto"/>
          <w:sz w:val="32"/>
          <w:szCs w:val="32"/>
          <w:highlight w:val="none"/>
          <w:lang w:val="en-US" w:eastAsia="zh-CN"/>
        </w:rPr>
        <w:t>农业发展等</w:t>
      </w:r>
      <w:r>
        <w:rPr>
          <w:rFonts w:hint="default" w:ascii="Times New Roman" w:hAnsi="Times New Roman" w:eastAsia="仿宋_GB2312" w:cs="Times New Roman"/>
          <w:color w:val="auto"/>
          <w:sz w:val="32"/>
          <w:szCs w:val="32"/>
          <w:highlight w:val="none"/>
          <w:lang w:eastAsia="zh-CN"/>
        </w:rPr>
        <w:t>各项民生福祉。</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lang w:eastAsia="zh-CN"/>
        </w:rPr>
        <w:t>（三）积极发挥财政职能</w:t>
      </w:r>
      <w:r>
        <w:rPr>
          <w:rFonts w:hint="default" w:ascii="Times New Roman" w:hAnsi="Times New Roman" w:eastAsia="楷体_GB2312" w:cs="Times New Roman"/>
          <w:b/>
          <w:bCs/>
          <w:color w:val="auto"/>
          <w:sz w:val="32"/>
          <w:szCs w:val="32"/>
        </w:rPr>
        <w:t>，全力</w:t>
      </w:r>
      <w:r>
        <w:rPr>
          <w:rFonts w:hint="default" w:ascii="Times New Roman" w:hAnsi="Times New Roman" w:eastAsia="楷体_GB2312" w:cs="Times New Roman"/>
          <w:b/>
          <w:bCs/>
          <w:color w:val="auto"/>
          <w:sz w:val="32"/>
          <w:szCs w:val="32"/>
          <w:lang w:eastAsia="zh-CN"/>
        </w:rPr>
        <w:t>助</w:t>
      </w:r>
      <w:r>
        <w:rPr>
          <w:rFonts w:hint="default" w:ascii="Times New Roman" w:hAnsi="Times New Roman" w:eastAsia="楷体_GB2312" w:cs="Times New Roman"/>
          <w:b/>
          <w:bCs/>
          <w:color w:val="auto"/>
          <w:sz w:val="32"/>
          <w:szCs w:val="32"/>
        </w:rPr>
        <w:t>推乡村振兴。</w:t>
      </w:r>
      <w:r>
        <w:rPr>
          <w:rFonts w:hint="default" w:ascii="Times New Roman" w:hAnsi="Times New Roman" w:eastAsia="楷体_GB2312" w:cs="Times New Roman"/>
          <w:b w:val="0"/>
          <w:bCs w:val="0"/>
          <w:color w:val="auto"/>
          <w:sz w:val="32"/>
          <w:szCs w:val="32"/>
          <w:lang w:eastAsia="zh-CN"/>
        </w:rPr>
        <w:t>在</w:t>
      </w:r>
      <w:r>
        <w:rPr>
          <w:rFonts w:hint="default" w:ascii="Times New Roman" w:hAnsi="Times New Roman" w:eastAsia="仿宋_GB2312" w:cs="Times New Roman"/>
          <w:color w:val="auto"/>
          <w:sz w:val="32"/>
          <w:szCs w:val="32"/>
          <w:highlight w:val="none"/>
          <w:lang w:val="en-US" w:eastAsia="zh-CN"/>
        </w:rPr>
        <w:t>乡村振兴发展战略中，县政府财政充分发挥财政职能，积极用好"钱袋子"，全年投入48860万元，全力推进乡村振兴发展。</w:t>
      </w:r>
      <w:r>
        <w:rPr>
          <w:rFonts w:hint="default" w:ascii="Times New Roman" w:hAnsi="Times New Roman" w:eastAsia="仿宋_GB2312" w:cs="Times New Roman"/>
          <w:b/>
          <w:bCs/>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持续加大县本级衔接资金投入。围绕进一步巩固全县脱贫攻坚成果同乡村振兴有效衔接，2022年县本级预算安排衔接资金1468万元，较上年增长68万元，资金围绕2022年度全县脱贫攻坚成果同乡村振兴有效衔接任务与规划安排使用，分配到7个涉农项目上；</w:t>
      </w:r>
      <w:r>
        <w:rPr>
          <w:rFonts w:hint="default" w:ascii="Times New Roman" w:hAnsi="Times New Roman" w:eastAsia="仿宋_GB2312" w:cs="Times New Roman"/>
          <w:b/>
          <w:bCs/>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继续统筹整合使用财政涉农资金，用好用活乡村振兴衔接资金。根据巩固拓展脱贫攻坚成果同乡村振兴有效衔接目标任务和实际需要，按照《四川省财政厅等12部门关于继续支持脱贫县统筹整合使用财政涉农资金工作的通知》（川财农〔2021〕45号）文件精神，继续统筹整合各级财政安排用于农业生产发展和农村基础设施建设等方面资金22102万元。</w:t>
      </w:r>
      <w:r>
        <w:rPr>
          <w:rFonts w:hint="default" w:ascii="Times New Roman" w:hAnsi="Times New Roman" w:eastAsia="仿宋_GB2312" w:cs="Times New Roman"/>
          <w:b/>
          <w:bCs/>
          <w:color w:val="auto"/>
          <w:sz w:val="32"/>
          <w:szCs w:val="32"/>
          <w:highlight w:val="none"/>
          <w:lang w:val="en-US" w:eastAsia="zh-CN"/>
        </w:rPr>
        <w:t>三是</w:t>
      </w:r>
      <w:r>
        <w:rPr>
          <w:rFonts w:hint="default" w:ascii="Times New Roman" w:hAnsi="Times New Roman" w:eastAsia="仿宋_GB2312" w:cs="Times New Roman"/>
          <w:color w:val="auto"/>
          <w:sz w:val="32"/>
          <w:szCs w:val="32"/>
          <w:highlight w:val="none"/>
          <w:lang w:val="en-US" w:eastAsia="zh-CN"/>
        </w:rPr>
        <w:t>继续支持稳定就业增收，筹集1087万元，针对一般户设立6700个公益性岗位。向上级财政争取2150万元，安排用于2150个生态扶贫公益性岗位支出。</w:t>
      </w:r>
    </w:p>
    <w:p>
      <w:pPr>
        <w:keepNext w:val="0"/>
        <w:keepLines w:val="0"/>
        <w:pageBreakBefore w:val="0"/>
        <w:widowControl w:val="0"/>
        <w:kinsoku/>
        <w:wordWrap/>
        <w:overflowPunct/>
        <w:topLinePunct w:val="0"/>
        <w:autoSpaceDE/>
        <w:autoSpaceDN/>
        <w:bidi w:val="0"/>
        <w:spacing w:line="560" w:lineRule="exact"/>
        <w:ind w:firstLine="640"/>
        <w:textAlignment w:val="auto"/>
        <w:rPr>
          <w:rFonts w:hint="default" w:ascii="Times New Roman" w:hAnsi="Times New Roman" w:eastAsia="仿宋_GB2312" w:cs="Times New Roman"/>
          <w:color w:val="auto"/>
          <w:sz w:val="32"/>
          <w:szCs w:val="32"/>
          <w:lang w:val="en-US"/>
        </w:rPr>
      </w:pP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eastAsia="zh-CN"/>
        </w:rPr>
        <w:t>四</w:t>
      </w: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eastAsia="zh-CN"/>
        </w:rPr>
        <w:t>持续</w:t>
      </w:r>
      <w:r>
        <w:rPr>
          <w:rFonts w:hint="default" w:ascii="Times New Roman" w:hAnsi="Times New Roman" w:eastAsia="楷体_GB2312" w:cs="Times New Roman"/>
          <w:b/>
          <w:bCs/>
          <w:color w:val="auto"/>
          <w:sz w:val="32"/>
          <w:szCs w:val="32"/>
        </w:rPr>
        <w:t>深化财政改革，</w:t>
      </w:r>
      <w:r>
        <w:rPr>
          <w:rFonts w:hint="default" w:ascii="Times New Roman" w:hAnsi="Times New Roman" w:eastAsia="楷体_GB2312" w:cs="Times New Roman"/>
          <w:b/>
          <w:bCs/>
          <w:color w:val="auto"/>
          <w:sz w:val="32"/>
          <w:szCs w:val="32"/>
          <w:lang w:val="en-US" w:eastAsia="zh-CN"/>
        </w:rPr>
        <w:t>着力提升管理效能</w:t>
      </w:r>
      <w:r>
        <w:rPr>
          <w:rFonts w:hint="default" w:ascii="Times New Roman" w:hAnsi="Times New Roman" w:eastAsia="楷体_GB2312" w:cs="Times New Roman"/>
          <w:b/>
          <w:bCs/>
          <w:color w:val="auto"/>
          <w:sz w:val="32"/>
          <w:szCs w:val="32"/>
        </w:rPr>
        <w:t>。</w:t>
      </w:r>
      <w:r>
        <w:rPr>
          <w:rFonts w:hint="default" w:ascii="Times New Roman" w:hAnsi="Times New Roman" w:eastAsia="仿宋_GB2312" w:cs="Times New Roman"/>
          <w:color w:val="auto"/>
          <w:sz w:val="32"/>
          <w:szCs w:val="32"/>
          <w:lang w:val="en-US" w:eastAsia="zh-CN"/>
        </w:rPr>
        <w:t>2022年</w:t>
      </w:r>
      <w:r>
        <w:rPr>
          <w:rFonts w:hint="default" w:ascii="Times New Roman" w:hAnsi="Times New Roman" w:eastAsia="仿宋_GB2312" w:cs="Times New Roman"/>
          <w:color w:val="auto"/>
          <w:sz w:val="32"/>
          <w:szCs w:val="32"/>
        </w:rPr>
        <w:t>预算管理一体化系统全面上线运行，财政预算管理规范化、标准化和自动化水平明显提高，全面提升了财政预算管理实效，切实加强了财政资金监管。</w:t>
      </w:r>
      <w:r>
        <w:rPr>
          <w:rFonts w:hint="default" w:ascii="Times New Roman" w:hAnsi="Times New Roman" w:eastAsia="仿宋_GB2312" w:cs="Times New Roman"/>
          <w:b/>
          <w:bCs/>
          <w:color w:val="auto"/>
          <w:sz w:val="32"/>
          <w:szCs w:val="32"/>
          <w:lang w:eastAsia="zh-CN"/>
        </w:rPr>
        <w:t>一是着力</w:t>
      </w:r>
      <w:r>
        <w:rPr>
          <w:rFonts w:hint="default" w:ascii="Times New Roman" w:hAnsi="Times New Roman" w:eastAsia="仿宋_GB2312" w:cs="Times New Roman"/>
          <w:b/>
          <w:bCs/>
          <w:color w:val="auto"/>
          <w:sz w:val="32"/>
          <w:szCs w:val="32"/>
        </w:rPr>
        <w:t>规范政府采购</w:t>
      </w:r>
      <w:r>
        <w:rPr>
          <w:rFonts w:hint="default" w:ascii="Times New Roman" w:hAnsi="Times New Roman" w:eastAsia="仿宋_GB2312" w:cs="Times New Roman"/>
          <w:b/>
          <w:bCs/>
          <w:color w:val="auto"/>
          <w:sz w:val="32"/>
          <w:szCs w:val="32"/>
          <w:lang w:eastAsia="zh-CN"/>
        </w:rPr>
        <w:t>工作。</w:t>
      </w:r>
      <w:r>
        <w:rPr>
          <w:rFonts w:hint="default" w:ascii="Times New Roman" w:hAnsi="Times New Roman" w:eastAsia="仿宋_GB2312" w:cs="Times New Roman"/>
          <w:color w:val="auto"/>
          <w:sz w:val="32"/>
          <w:szCs w:val="32"/>
        </w:rPr>
        <w:t>全年完成政府采购项目备案171项，备案金额23412.30万元，其中完成招标153项，中标金额19950.60万元；完成专家抽取审核183次，共计抽取使用专家395人次。切实履行政府采购监督管理职责，接收政府采购投诉案件9件，9件已依法依规进行处理处罚；接收采购人举报案件5件，4件已依法依规进行处理处罚，1件正在处理中。</w:t>
      </w:r>
      <w:r>
        <w:rPr>
          <w:rFonts w:hint="default" w:ascii="Times New Roman" w:hAnsi="Times New Roman" w:eastAsia="仿宋_GB2312" w:cs="Times New Roman"/>
          <w:b/>
          <w:bCs/>
          <w:color w:val="auto"/>
          <w:sz w:val="32"/>
          <w:szCs w:val="32"/>
        </w:rPr>
        <w:t>二是着力加强财政评审工作。</w:t>
      </w:r>
      <w:r>
        <w:rPr>
          <w:rFonts w:hint="default" w:ascii="Times New Roman" w:hAnsi="Times New Roman" w:eastAsia="仿宋_GB2312" w:cs="Times New Roman"/>
          <w:color w:val="auto"/>
          <w:sz w:val="32"/>
          <w:szCs w:val="32"/>
        </w:rPr>
        <w:t>全年完成财政评审项目343个，送审金额91877.48万元，审定金额87292.81万元，评审节约财政资金4584.67万元，平均减少财政投入4.99%。</w:t>
      </w:r>
      <w:r>
        <w:rPr>
          <w:rFonts w:hint="default" w:ascii="Times New Roman" w:hAnsi="Times New Roman" w:eastAsia="仿宋_GB2312" w:cs="Times New Roman"/>
          <w:b/>
          <w:bCs/>
          <w:color w:val="auto"/>
          <w:sz w:val="32"/>
          <w:szCs w:val="32"/>
          <w:lang w:eastAsia="zh-CN"/>
        </w:rPr>
        <w:t>三是着力推进财政绩效评价工作。</w:t>
      </w:r>
      <w:r>
        <w:rPr>
          <w:rFonts w:hint="default" w:ascii="Times New Roman" w:hAnsi="Times New Roman" w:eastAsia="仿宋_GB2312" w:cs="Times New Roman"/>
          <w:b w:val="0"/>
          <w:bCs w:val="0"/>
          <w:color w:val="auto"/>
          <w:sz w:val="32"/>
          <w:szCs w:val="32"/>
          <w:lang w:eastAsia="zh-CN"/>
        </w:rPr>
        <w:t>全年</w:t>
      </w:r>
      <w:r>
        <w:rPr>
          <w:rFonts w:hint="default" w:ascii="Times New Roman" w:hAnsi="Times New Roman" w:eastAsia="仿宋_GB2312" w:cs="Times New Roman"/>
          <w:color w:val="auto"/>
          <w:sz w:val="32"/>
          <w:szCs w:val="32"/>
        </w:rPr>
        <w:t>完成</w:t>
      </w:r>
      <w:r>
        <w:rPr>
          <w:rFonts w:hint="default" w:ascii="Times New Roman" w:hAnsi="Times New Roman" w:eastAsia="仿宋_GB2312" w:cs="Times New Roman"/>
          <w:color w:val="auto"/>
          <w:sz w:val="32"/>
          <w:szCs w:val="32"/>
          <w:lang w:val="en-US" w:eastAsia="zh-CN"/>
        </w:rPr>
        <w:t>50</w:t>
      </w:r>
      <w:r>
        <w:rPr>
          <w:rFonts w:hint="default" w:ascii="Times New Roman" w:hAnsi="Times New Roman" w:eastAsia="仿宋_GB2312" w:cs="Times New Roman"/>
          <w:color w:val="auto"/>
          <w:sz w:val="32"/>
          <w:szCs w:val="32"/>
          <w:lang w:eastAsia="zh-CN"/>
        </w:rPr>
        <w:t>个</w:t>
      </w:r>
      <w:r>
        <w:rPr>
          <w:rFonts w:hint="default" w:ascii="Times New Roman" w:hAnsi="Times New Roman" w:eastAsia="仿宋_GB2312" w:cs="Times New Roman"/>
          <w:color w:val="auto"/>
          <w:sz w:val="32"/>
          <w:szCs w:val="32"/>
        </w:rPr>
        <w:t>财政部安排的2021年度中央对地方专项转移支付资金</w:t>
      </w:r>
      <w:r>
        <w:rPr>
          <w:rFonts w:hint="default" w:ascii="Times New Roman" w:hAnsi="Times New Roman" w:eastAsia="仿宋_GB2312" w:cs="Times New Roman"/>
          <w:color w:val="auto"/>
          <w:sz w:val="32"/>
          <w:szCs w:val="32"/>
          <w:lang w:val="en-US" w:eastAsia="zh-CN"/>
        </w:rPr>
        <w:t>39144</w:t>
      </w:r>
      <w:r>
        <w:rPr>
          <w:rFonts w:hint="default" w:ascii="Times New Roman" w:hAnsi="Times New Roman" w:eastAsia="仿宋_GB2312" w:cs="Times New Roman"/>
          <w:color w:val="auto"/>
          <w:sz w:val="32"/>
          <w:szCs w:val="32"/>
          <w:lang w:eastAsia="zh-CN"/>
        </w:rPr>
        <w:t>万元</w:t>
      </w:r>
      <w:r>
        <w:rPr>
          <w:rFonts w:hint="default" w:ascii="Times New Roman" w:hAnsi="Times New Roman" w:eastAsia="仿宋_GB2312" w:cs="Times New Roman"/>
          <w:color w:val="auto"/>
          <w:sz w:val="32"/>
          <w:szCs w:val="32"/>
        </w:rPr>
        <w:t>的绩效自评</w:t>
      </w:r>
      <w:r>
        <w:rPr>
          <w:rFonts w:hint="default" w:ascii="Times New Roman" w:hAnsi="Times New Roman" w:eastAsia="仿宋_GB2312" w:cs="Times New Roman"/>
          <w:color w:val="auto"/>
          <w:sz w:val="32"/>
          <w:szCs w:val="32"/>
          <w:lang w:eastAsia="zh-CN"/>
        </w:rPr>
        <w:t>；完成</w:t>
      </w:r>
      <w:r>
        <w:rPr>
          <w:rFonts w:hint="default" w:ascii="Times New Roman" w:hAnsi="Times New Roman" w:eastAsia="仿宋_GB2312" w:cs="Times New Roman"/>
          <w:color w:val="auto"/>
          <w:sz w:val="32"/>
          <w:szCs w:val="32"/>
        </w:rPr>
        <w:t>2021年度州级政策绩效评价问题整改</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eastAsia="zh-CN"/>
        </w:rPr>
        <w:t>个，涉及资金</w:t>
      </w:r>
      <w:r>
        <w:rPr>
          <w:rFonts w:hint="default" w:ascii="Times New Roman" w:hAnsi="Times New Roman" w:eastAsia="仿宋_GB2312" w:cs="Times New Roman"/>
          <w:color w:val="auto"/>
          <w:sz w:val="32"/>
          <w:szCs w:val="32"/>
          <w:lang w:val="en-US" w:eastAsia="zh-CN"/>
        </w:rPr>
        <w:t>1704.26</w:t>
      </w:r>
      <w:r>
        <w:rPr>
          <w:rFonts w:hint="default" w:ascii="Times New Roman" w:hAnsi="Times New Roman" w:eastAsia="仿宋_GB2312" w:cs="Times New Roman"/>
          <w:color w:val="auto"/>
          <w:sz w:val="32"/>
          <w:szCs w:val="32"/>
          <w:lang w:eastAsia="zh-CN"/>
        </w:rPr>
        <w:t>万元；完成</w:t>
      </w:r>
      <w:r>
        <w:rPr>
          <w:rFonts w:hint="default" w:ascii="Times New Roman" w:hAnsi="Times New Roman" w:eastAsia="仿宋_GB2312" w:cs="Times New Roman"/>
          <w:color w:val="auto"/>
          <w:sz w:val="32"/>
          <w:szCs w:val="32"/>
        </w:rPr>
        <w:t>2021年度衔接资金</w:t>
      </w:r>
      <w:r>
        <w:rPr>
          <w:rFonts w:hint="default" w:ascii="Times New Roman" w:hAnsi="Times New Roman" w:eastAsia="仿宋_GB2312" w:cs="Times New Roman"/>
          <w:color w:val="auto"/>
          <w:sz w:val="32"/>
          <w:szCs w:val="32"/>
          <w:lang w:val="en-US" w:eastAsia="zh-CN"/>
        </w:rPr>
        <w:t>17308.86</w:t>
      </w:r>
      <w:r>
        <w:rPr>
          <w:rFonts w:hint="default" w:ascii="Times New Roman" w:hAnsi="Times New Roman" w:eastAsia="仿宋_GB2312" w:cs="Times New Roman"/>
          <w:color w:val="auto"/>
          <w:sz w:val="32"/>
          <w:szCs w:val="32"/>
          <w:lang w:eastAsia="zh-CN"/>
        </w:rPr>
        <w:t>万元</w:t>
      </w:r>
      <w:r>
        <w:rPr>
          <w:rFonts w:hint="default" w:ascii="Times New Roman" w:hAnsi="Times New Roman" w:eastAsia="仿宋_GB2312" w:cs="Times New Roman"/>
          <w:color w:val="auto"/>
          <w:sz w:val="32"/>
          <w:szCs w:val="32"/>
          <w:lang w:val="en-US" w:eastAsia="zh-CN"/>
        </w:rPr>
        <w:t>的</w:t>
      </w:r>
      <w:r>
        <w:rPr>
          <w:rFonts w:hint="default" w:ascii="Times New Roman" w:hAnsi="Times New Roman" w:eastAsia="仿宋_GB2312" w:cs="Times New Roman"/>
          <w:color w:val="auto"/>
          <w:sz w:val="32"/>
          <w:szCs w:val="32"/>
        </w:rPr>
        <w:t>绩效自评工作</w:t>
      </w:r>
      <w:r>
        <w:rPr>
          <w:rFonts w:hint="default" w:ascii="Times New Roman" w:hAnsi="Times New Roman" w:eastAsia="仿宋_GB2312" w:cs="Times New Roman"/>
          <w:color w:val="auto"/>
          <w:sz w:val="32"/>
          <w:szCs w:val="32"/>
          <w:lang w:val="en-US" w:eastAsia="zh-CN"/>
        </w:rPr>
        <w:t>，涉及</w:t>
      </w:r>
      <w:r>
        <w:rPr>
          <w:rFonts w:hint="default" w:ascii="Times New Roman" w:hAnsi="Times New Roman" w:eastAsia="仿宋_GB2312" w:cs="Times New Roman"/>
          <w:color w:val="auto"/>
          <w:sz w:val="32"/>
          <w:szCs w:val="32"/>
        </w:rPr>
        <w:t>项目</w:t>
      </w:r>
      <w:r>
        <w:rPr>
          <w:rFonts w:hint="default" w:ascii="Times New Roman" w:hAnsi="Times New Roman" w:eastAsia="仿宋_GB2312" w:cs="Times New Roman"/>
          <w:color w:val="auto"/>
          <w:sz w:val="32"/>
          <w:szCs w:val="32"/>
          <w:lang w:val="en-US" w:eastAsia="zh-CN"/>
        </w:rPr>
        <w:t>208</w:t>
      </w:r>
      <w:r>
        <w:rPr>
          <w:rFonts w:hint="default" w:ascii="Times New Roman" w:hAnsi="Times New Roman" w:eastAsia="仿宋_GB2312" w:cs="Times New Roman"/>
          <w:color w:val="auto"/>
          <w:sz w:val="32"/>
          <w:szCs w:val="32"/>
          <w:lang w:eastAsia="zh-CN"/>
        </w:rPr>
        <w:t>个；</w:t>
      </w:r>
      <w:r>
        <w:rPr>
          <w:rFonts w:hint="default" w:ascii="Times New Roman" w:hAnsi="Times New Roman" w:eastAsia="仿宋_GB2312" w:cs="Times New Roman"/>
          <w:color w:val="auto"/>
          <w:sz w:val="32"/>
          <w:szCs w:val="32"/>
        </w:rPr>
        <w:t>采用政府购买服务方式委托第三方机构在</w:t>
      </w: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月底前完成了对我县2021年度县级绩效自评的重点评价工作，对我县2021年财政预算安排资金所实施的61个项目、20个部门整体支出开展事后重点绩效评价工作，涉及资金60665.76万元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选取我县2023年部门所编报的19个200万元以上项目开展了事前绩效目标会审及事前绩效评估工作，评价金额涉及8115.01万元。</w:t>
      </w:r>
      <w:r>
        <w:rPr>
          <w:rFonts w:hint="default" w:ascii="Times New Roman" w:hAnsi="Times New Roman" w:eastAsia="仿宋_GB2312" w:cs="Times New Roman"/>
          <w:color w:val="auto"/>
          <w:sz w:val="32"/>
          <w:szCs w:val="32"/>
          <w:lang w:eastAsia="zh-CN"/>
        </w:rPr>
        <w:t>切实推进我县财政资金绩效评价工作，促进了“花钱必问效”</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b/>
          <w:bCs/>
          <w:color w:val="auto"/>
          <w:sz w:val="32"/>
          <w:szCs w:val="32"/>
          <w:lang w:eastAsia="zh-CN"/>
        </w:rPr>
        <w:t>四是着力持续做好</w:t>
      </w:r>
      <w:r>
        <w:rPr>
          <w:rFonts w:hint="default" w:ascii="Times New Roman" w:hAnsi="Times New Roman" w:eastAsia="仿宋_GB2312" w:cs="Times New Roman"/>
          <w:b/>
          <w:bCs/>
          <w:color w:val="auto"/>
          <w:sz w:val="32"/>
          <w:szCs w:val="32"/>
        </w:rPr>
        <w:t>政府会计委托代理记账</w:t>
      </w:r>
      <w:r>
        <w:rPr>
          <w:rFonts w:hint="default" w:ascii="Times New Roman" w:hAnsi="Times New Roman" w:eastAsia="仿宋_GB2312" w:cs="Times New Roman"/>
          <w:b/>
          <w:bCs/>
          <w:color w:val="auto"/>
          <w:sz w:val="32"/>
          <w:szCs w:val="32"/>
          <w:lang w:eastAsia="zh-CN"/>
        </w:rPr>
        <w:t>工作。</w:t>
      </w:r>
      <w:r>
        <w:rPr>
          <w:rFonts w:hint="default" w:ascii="Times New Roman" w:hAnsi="Times New Roman" w:eastAsia="仿宋_GB2312" w:cs="Times New Roman"/>
          <w:color w:val="auto"/>
          <w:sz w:val="32"/>
          <w:szCs w:val="32"/>
        </w:rPr>
        <w:t>2022年度代理记账扩面工作，</w:t>
      </w:r>
      <w:r>
        <w:rPr>
          <w:rFonts w:hint="default" w:ascii="Times New Roman" w:hAnsi="Times New Roman" w:eastAsia="仿宋_GB2312" w:cs="Times New Roman"/>
          <w:color w:val="auto"/>
          <w:sz w:val="32"/>
          <w:szCs w:val="32"/>
          <w:lang w:eastAsia="zh-CN"/>
        </w:rPr>
        <w:t>对</w:t>
      </w:r>
      <w:r>
        <w:rPr>
          <w:rFonts w:hint="default" w:ascii="Times New Roman" w:hAnsi="Times New Roman" w:eastAsia="仿宋_GB2312" w:cs="Times New Roman"/>
          <w:color w:val="auto"/>
          <w:sz w:val="32"/>
          <w:szCs w:val="32"/>
        </w:rPr>
        <w:t>发改局、自然资源局等6个一级预算单位纳入了政府会计委托代理记账范围，并对新增纳入的6个代理记账单位开展了资产清查核实工作</w:t>
      </w:r>
      <w:r>
        <w:rPr>
          <w:rFonts w:hint="default" w:ascii="Times New Roman" w:hAnsi="Times New Roman" w:eastAsia="仿宋_GB2312" w:cs="Times New Roman"/>
          <w:color w:val="auto"/>
          <w:sz w:val="32"/>
          <w:szCs w:val="32"/>
          <w:lang w:eastAsia="zh-CN"/>
        </w:rPr>
        <w:t>，截止目前全县</w:t>
      </w:r>
      <w:r>
        <w:rPr>
          <w:rFonts w:hint="default" w:ascii="Times New Roman" w:hAnsi="Times New Roman" w:eastAsia="仿宋_GB2312" w:cs="Times New Roman"/>
          <w:b w:val="0"/>
          <w:bCs w:val="0"/>
          <w:color w:val="auto"/>
          <w:sz w:val="32"/>
          <w:szCs w:val="32"/>
        </w:rPr>
        <w:t>委托代理记账</w:t>
      </w:r>
      <w:r>
        <w:rPr>
          <w:rFonts w:hint="default" w:ascii="Times New Roman" w:hAnsi="Times New Roman" w:eastAsia="仿宋_GB2312" w:cs="Times New Roman"/>
          <w:b w:val="0"/>
          <w:bCs w:val="0"/>
          <w:color w:val="auto"/>
          <w:sz w:val="32"/>
          <w:szCs w:val="32"/>
          <w:lang w:eastAsia="zh-CN"/>
        </w:rPr>
        <w:t>单位达</w:t>
      </w:r>
      <w:r>
        <w:rPr>
          <w:rFonts w:hint="default" w:ascii="Times New Roman" w:hAnsi="Times New Roman" w:eastAsia="仿宋_GB2312" w:cs="Times New Roman"/>
          <w:color w:val="auto"/>
          <w:sz w:val="32"/>
          <w:szCs w:val="32"/>
          <w:lang w:val="en-US" w:eastAsia="zh-CN"/>
        </w:rPr>
        <w:t>51</w:t>
      </w:r>
      <w:r>
        <w:rPr>
          <w:rFonts w:hint="default" w:ascii="Times New Roman" w:hAnsi="Times New Roman" w:eastAsia="仿宋_GB2312" w:cs="Times New Roman"/>
          <w:b w:val="0"/>
          <w:bCs w:val="0"/>
          <w:color w:val="auto"/>
          <w:sz w:val="32"/>
          <w:szCs w:val="32"/>
          <w:lang w:eastAsia="zh-CN"/>
        </w:rPr>
        <w:t>个，</w:t>
      </w:r>
      <w:r>
        <w:rPr>
          <w:rFonts w:hint="default" w:ascii="Times New Roman" w:hAnsi="Times New Roman" w:eastAsia="仿宋_GB2312" w:cs="Times New Roman"/>
          <w:b w:val="0"/>
          <w:bCs w:val="0"/>
          <w:color w:val="auto"/>
          <w:sz w:val="32"/>
          <w:szCs w:val="32"/>
          <w:lang w:val="en-US" w:eastAsia="zh-CN"/>
        </w:rPr>
        <w:t>其中，一级预算单位</w:t>
      </w:r>
      <w:r>
        <w:rPr>
          <w:rFonts w:hint="default" w:ascii="Times New Roman" w:hAnsi="Times New Roman" w:eastAsia="仿宋_GB2312" w:cs="Times New Roman"/>
          <w:color w:val="auto"/>
          <w:sz w:val="32"/>
          <w:szCs w:val="32"/>
          <w:lang w:val="en-US" w:eastAsia="zh-CN"/>
        </w:rPr>
        <w:t>39</w:t>
      </w:r>
      <w:r>
        <w:rPr>
          <w:rFonts w:hint="default" w:ascii="Times New Roman" w:hAnsi="Times New Roman" w:eastAsia="仿宋_GB2312" w:cs="Times New Roman"/>
          <w:b w:val="0"/>
          <w:bCs w:val="0"/>
          <w:color w:val="auto"/>
          <w:sz w:val="32"/>
          <w:szCs w:val="32"/>
          <w:lang w:val="en-US" w:eastAsia="zh-CN"/>
        </w:rPr>
        <w:t>个，二级预算单位</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b w:val="0"/>
          <w:bCs w:val="0"/>
          <w:color w:val="auto"/>
          <w:sz w:val="32"/>
          <w:szCs w:val="32"/>
          <w:lang w:val="en-US" w:eastAsia="zh-CN"/>
        </w:rPr>
        <w:t>个</w:t>
      </w:r>
      <w:r>
        <w:rPr>
          <w:rFonts w:hint="default" w:ascii="Times New Roman" w:hAnsi="Times New Roman" w:eastAsia="仿宋_GB2312" w:cs="Times New Roman"/>
          <w:b w:val="0"/>
          <w:bCs w:val="0"/>
          <w:color w:val="auto"/>
          <w:sz w:val="32"/>
          <w:szCs w:val="32"/>
          <w:lang w:eastAsia="zh-CN"/>
        </w:rPr>
        <w:t>，有效地节约政府运行成本和规范财务管理</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b/>
          <w:bCs/>
          <w:color w:val="auto"/>
          <w:sz w:val="32"/>
          <w:szCs w:val="32"/>
          <w:lang w:eastAsia="zh-CN"/>
        </w:rPr>
        <w:t>五是</w:t>
      </w:r>
      <w:r>
        <w:rPr>
          <w:rFonts w:hint="default" w:ascii="Times New Roman" w:hAnsi="Times New Roman" w:eastAsia="仿宋_GB2312" w:cs="Times New Roman"/>
          <w:b/>
          <w:bCs/>
          <w:color w:val="auto"/>
          <w:sz w:val="32"/>
          <w:szCs w:val="32"/>
          <w:lang w:val="en-US" w:eastAsia="zh-CN"/>
        </w:rPr>
        <w:t>深入贯彻落实</w:t>
      </w:r>
      <w:r>
        <w:rPr>
          <w:rFonts w:hint="default" w:ascii="Times New Roman" w:hAnsi="Times New Roman" w:eastAsia="仿宋_GB2312" w:cs="Times New Roman"/>
          <w:b/>
          <w:bCs/>
          <w:color w:val="auto"/>
          <w:sz w:val="32"/>
          <w:szCs w:val="32"/>
          <w:lang w:eastAsia="zh-CN"/>
        </w:rPr>
        <w:t>债券政策，做好向上争取工作。为</w:t>
      </w:r>
      <w:r>
        <w:rPr>
          <w:rFonts w:hint="default" w:ascii="Times New Roman" w:hAnsi="Times New Roman" w:eastAsia="仿宋_GB2312" w:cs="Times New Roman"/>
          <w:color w:val="auto"/>
          <w:sz w:val="32"/>
          <w:szCs w:val="32"/>
        </w:rPr>
        <w:t>缓解我县政府债务到期还本压力</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bCs/>
          <w:color w:val="auto"/>
          <w:sz w:val="32"/>
          <w:szCs w:val="32"/>
          <w:lang w:eastAsia="zh-CN"/>
        </w:rPr>
        <w:t>今年</w:t>
      </w:r>
      <w:r>
        <w:rPr>
          <w:rFonts w:hint="default" w:ascii="Times New Roman" w:hAnsi="Times New Roman" w:eastAsia="仿宋_GB2312" w:cs="Times New Roman"/>
          <w:color w:val="auto"/>
          <w:sz w:val="32"/>
          <w:szCs w:val="32"/>
        </w:rPr>
        <w:t>向上级争取2022年</w:t>
      </w:r>
      <w:r>
        <w:rPr>
          <w:rFonts w:hint="default" w:ascii="Times New Roman" w:hAnsi="Times New Roman" w:eastAsia="仿宋_GB2312" w:cs="Times New Roman"/>
          <w:color w:val="auto"/>
          <w:sz w:val="32"/>
          <w:szCs w:val="32"/>
          <w:lang w:eastAsia="zh-CN"/>
        </w:rPr>
        <w:t>到期</w:t>
      </w:r>
      <w:r>
        <w:rPr>
          <w:rFonts w:hint="default" w:ascii="Times New Roman" w:hAnsi="Times New Roman" w:eastAsia="仿宋_GB2312" w:cs="Times New Roman"/>
          <w:color w:val="auto"/>
          <w:sz w:val="32"/>
          <w:szCs w:val="32"/>
        </w:rPr>
        <w:t>债券资金再融资债券2000万元</w:t>
      </w:r>
      <w:r>
        <w:rPr>
          <w:rFonts w:hint="default" w:ascii="Times New Roman" w:hAnsi="Times New Roman" w:eastAsia="仿宋_GB2312" w:cs="Times New Roman"/>
          <w:color w:val="auto"/>
          <w:sz w:val="32"/>
          <w:szCs w:val="32"/>
          <w:lang w:eastAsia="zh-CN"/>
        </w:rPr>
        <w:t>，同时向上申报债券项目</w:t>
      </w:r>
      <w:r>
        <w:rPr>
          <w:rFonts w:hint="default" w:ascii="Times New Roman" w:hAnsi="Times New Roman" w:eastAsia="仿宋_GB2312" w:cs="Times New Roman"/>
          <w:color w:val="auto"/>
          <w:sz w:val="32"/>
          <w:szCs w:val="32"/>
          <w:lang w:val="en-US" w:eastAsia="zh-CN"/>
        </w:rPr>
        <w:t>3个，涉及资金7800万元。</w:t>
      </w:r>
    </w:p>
    <w:p>
      <w:pPr>
        <w:keepNext w:val="0"/>
        <w:keepLines w:val="0"/>
        <w:pageBreakBefore w:val="0"/>
        <w:widowControl w:val="0"/>
        <w:kinsoku/>
        <w:wordWrap/>
        <w:overflowPunct/>
        <w:topLinePunct w:val="0"/>
        <w:autoSpaceDE/>
        <w:autoSpaceDN/>
        <w:bidi w:val="0"/>
        <w:spacing w:beforeLines="0" w:afterLines="0" w:line="560" w:lineRule="exact"/>
        <w:ind w:firstLine="642"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eastAsia="zh-CN"/>
        </w:rPr>
        <w:t>五</w:t>
      </w:r>
      <w:r>
        <w:rPr>
          <w:rFonts w:hint="default" w:ascii="Times New Roman" w:hAnsi="Times New Roman" w:eastAsia="楷体_GB2312" w:cs="Times New Roman"/>
          <w:b/>
          <w:bCs/>
          <w:color w:val="auto"/>
          <w:sz w:val="32"/>
          <w:szCs w:val="32"/>
        </w:rPr>
        <w:t>）加强财政</w:t>
      </w:r>
      <w:r>
        <w:rPr>
          <w:rFonts w:hint="default" w:ascii="Times New Roman" w:hAnsi="Times New Roman" w:eastAsia="楷体_GB2312" w:cs="Times New Roman"/>
          <w:b/>
          <w:bCs/>
          <w:color w:val="auto"/>
          <w:sz w:val="32"/>
          <w:szCs w:val="32"/>
          <w:lang w:val="en-US" w:eastAsia="zh-CN"/>
        </w:rPr>
        <w:t>监督职能</w:t>
      </w:r>
      <w:r>
        <w:rPr>
          <w:rFonts w:hint="default" w:ascii="Times New Roman" w:hAnsi="Times New Roman" w:eastAsia="楷体_GB2312" w:cs="Times New Roman"/>
          <w:b/>
          <w:bCs/>
          <w:color w:val="auto"/>
          <w:sz w:val="32"/>
          <w:szCs w:val="32"/>
        </w:rPr>
        <w:t>，</w:t>
      </w:r>
      <w:r>
        <w:rPr>
          <w:rFonts w:hint="default" w:ascii="Times New Roman" w:hAnsi="Times New Roman" w:eastAsia="楷体_GB2312" w:cs="Times New Roman"/>
          <w:b/>
          <w:bCs/>
          <w:color w:val="auto"/>
          <w:sz w:val="32"/>
          <w:szCs w:val="32"/>
          <w:lang w:val="en-US" w:eastAsia="zh-CN"/>
        </w:rPr>
        <w:t>提升风险防控能力</w:t>
      </w:r>
      <w:r>
        <w:rPr>
          <w:rFonts w:hint="default" w:ascii="Times New Roman" w:hAnsi="Times New Roman" w:eastAsia="楷体_GB2312" w:cs="Times New Roman"/>
          <w:b/>
          <w:bCs/>
          <w:color w:val="auto"/>
          <w:sz w:val="32"/>
          <w:szCs w:val="32"/>
        </w:rPr>
        <w:t>。</w:t>
      </w:r>
      <w:r>
        <w:rPr>
          <w:rFonts w:hint="default" w:ascii="Times New Roman" w:hAnsi="Times New Roman" w:eastAsia="仿宋_GB2312" w:cs="Times New Roman"/>
          <w:b w:val="0"/>
          <w:bCs w:val="0"/>
          <w:color w:val="auto"/>
          <w:sz w:val="32"/>
          <w:szCs w:val="32"/>
          <w:lang w:val="en-US" w:eastAsia="zh-CN"/>
        </w:rPr>
        <w:t>不断完善监督制度，优化执法流程，紧扣财政发展重点，充分发挥财政监督职能作用，防范资金使用风险，为壤塘县经济社会发展保驾护航。</w:t>
      </w:r>
      <w:r>
        <w:rPr>
          <w:rFonts w:hint="default" w:ascii="Times New Roman" w:hAnsi="Times New Roman" w:eastAsia="仿宋_GB2312" w:cs="Times New Roman"/>
          <w:b/>
          <w:bCs/>
          <w:color w:val="auto"/>
          <w:sz w:val="32"/>
          <w:szCs w:val="32"/>
          <w:lang w:val="en-US" w:eastAsia="zh-CN"/>
        </w:rPr>
        <w:t>一是加强制度建设。</w:t>
      </w:r>
      <w:r>
        <w:rPr>
          <w:rFonts w:hint="default" w:ascii="Times New Roman" w:hAnsi="Times New Roman" w:eastAsia="仿宋_GB2312" w:cs="Times New Roman"/>
          <w:color w:val="auto"/>
          <w:sz w:val="32"/>
          <w:szCs w:val="32"/>
        </w:rPr>
        <w:t>制定了《壤塘县会议费管理办法》《壤塘县培训费管理办法》</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zh-CN" w:eastAsia="zh-CN"/>
        </w:rPr>
        <w:t>壤塘县生态管护补助资金管理办法》《壤塘县地质灾害防治专项资金管理办法》《</w:t>
      </w:r>
      <w:r>
        <w:rPr>
          <w:rFonts w:hint="default" w:ascii="Times New Roman" w:hAnsi="Times New Roman" w:eastAsia="仿宋_GB2312" w:cs="Times New Roman"/>
          <w:color w:val="auto"/>
          <w:sz w:val="32"/>
          <w:szCs w:val="32"/>
          <w:lang w:val="en-US" w:eastAsia="zh-CN"/>
        </w:rPr>
        <w:t>壤塘县新型冠状病毒感染肺炎疫情防控资金管理办法（试行）</w:t>
      </w:r>
      <w:r>
        <w:rPr>
          <w:rFonts w:hint="default" w:ascii="Times New Roman" w:hAnsi="Times New Roman" w:eastAsia="仿宋_GB2312" w:cs="Times New Roman"/>
          <w:color w:val="auto"/>
          <w:sz w:val="32"/>
          <w:szCs w:val="32"/>
          <w:lang w:val="zh-CN" w:eastAsia="zh-CN"/>
        </w:rPr>
        <w:t>》《壤塘县财政预算执行动态监控管理暂行办法》《壤塘县县级预算管理一体化资金支付管理办法》《</w:t>
      </w:r>
      <w:r>
        <w:rPr>
          <w:rFonts w:hint="default" w:ascii="Times New Roman" w:hAnsi="Times New Roman" w:eastAsia="仿宋_GB2312" w:cs="Times New Roman"/>
          <w:color w:val="auto"/>
          <w:sz w:val="32"/>
          <w:szCs w:val="32"/>
          <w:lang w:val="en-US" w:eastAsia="zh-CN"/>
        </w:rPr>
        <w:t>壤塘县人才发展专项资金管理办法（试行）</w:t>
      </w:r>
      <w:r>
        <w:rPr>
          <w:rFonts w:hint="default" w:ascii="Times New Roman" w:hAnsi="Times New Roman" w:eastAsia="仿宋_GB2312" w:cs="Times New Roman"/>
          <w:color w:val="auto"/>
          <w:sz w:val="32"/>
          <w:szCs w:val="32"/>
          <w:lang w:val="zh-CN" w:eastAsia="zh-CN"/>
        </w:rPr>
        <w:t>》</w:t>
      </w:r>
      <w:r>
        <w:rPr>
          <w:rFonts w:hint="default" w:ascii="Times New Roman" w:hAnsi="Times New Roman" w:eastAsia="仿宋_GB2312" w:cs="Times New Roman"/>
          <w:color w:val="auto"/>
          <w:sz w:val="32"/>
          <w:szCs w:val="32"/>
          <w:lang w:val="en-US" w:eastAsia="zh-CN"/>
        </w:rPr>
        <w:t>8个管理办法，明确了资金使用范围、相关管理要求；修改完善了《壤塘县中央、省级、州级和县级财政衔接推进乡村振兴补助资金管理实施细则》，进一步规范县级衔接资金使用与管理；</w:t>
      </w:r>
      <w:r>
        <w:rPr>
          <w:rFonts w:hint="default" w:ascii="Times New Roman" w:hAnsi="Times New Roman" w:eastAsia="仿宋_GB2312" w:cs="Times New Roman"/>
          <w:color w:val="auto"/>
          <w:sz w:val="32"/>
        </w:rPr>
        <w:t>制定《指导预算单位预算管理一体化系统操作的工作方案》，提升预算单位对财政“一体化系统”业务操作水平，保障财政资金支付安全。</w:t>
      </w:r>
      <w:r>
        <w:rPr>
          <w:rFonts w:hint="default" w:ascii="Times New Roman" w:hAnsi="Times New Roman" w:eastAsia="仿宋_GB2312" w:cs="Times New Roman"/>
          <w:b/>
          <w:bCs/>
          <w:color w:val="auto"/>
          <w:sz w:val="32"/>
          <w:szCs w:val="32"/>
          <w:lang w:val="en-US" w:eastAsia="zh-CN"/>
        </w:rPr>
        <w:t>二是规范国库集中支付</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b w:val="0"/>
          <w:bCs w:val="0"/>
          <w:color w:val="auto"/>
          <w:sz w:val="32"/>
          <w:szCs w:val="32"/>
        </w:rPr>
        <w:t>清理规范预算单</w:t>
      </w:r>
      <w:r>
        <w:rPr>
          <w:rFonts w:hint="default" w:ascii="Times New Roman" w:hAnsi="Times New Roman" w:eastAsia="仿宋_GB2312" w:cs="Times New Roman"/>
          <w:color w:val="auto"/>
          <w:sz w:val="32"/>
          <w:szCs w:val="32"/>
        </w:rPr>
        <w:t>位银行账户，深化完善国库集中支付制度改革，规范业务操作，堵塞财政资金安全管理漏洞。加强库款管理，建立健全库款长效预测机制，确保财政资金安全高效运行。</w:t>
      </w:r>
      <w:r>
        <w:rPr>
          <w:rFonts w:hint="default" w:ascii="Times New Roman" w:hAnsi="Times New Roman" w:eastAsia="仿宋_GB2312" w:cs="Times New Roman"/>
          <w:b/>
          <w:bCs/>
          <w:color w:val="auto"/>
          <w:sz w:val="32"/>
          <w:szCs w:val="32"/>
          <w:lang w:val="en-US" w:eastAsia="zh-CN"/>
        </w:rPr>
        <w:t>三是加大资金盘活力度</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color w:val="auto"/>
          <w:sz w:val="32"/>
          <w:szCs w:val="32"/>
          <w:lang w:val="en-US" w:eastAsia="zh-CN"/>
        </w:rPr>
        <w:t>印发了《壤塘县财政局关于实行财政资金“三项清理”制度的通知》，积极与各单位沟通协调，</w:t>
      </w:r>
      <w:r>
        <w:rPr>
          <w:rFonts w:hint="default" w:ascii="Times New Roman" w:hAnsi="Times New Roman" w:eastAsia="仿宋_GB2312" w:cs="Times New Roman"/>
          <w:color w:val="auto"/>
          <w:sz w:val="32"/>
          <w:szCs w:val="32"/>
        </w:rPr>
        <w:t>及时了解项目资金情况，实行动态清理，及时收回低效无效、闲置沉淀和预算结余资金，既增加财政可统筹财力，又有效提高资金的使用效率。</w:t>
      </w:r>
      <w:r>
        <w:rPr>
          <w:rFonts w:hint="default" w:ascii="Times New Roman" w:hAnsi="Times New Roman" w:eastAsia="仿宋_GB2312" w:cs="Times New Roman"/>
          <w:b/>
          <w:bCs/>
          <w:color w:val="auto"/>
          <w:sz w:val="32"/>
          <w:szCs w:val="32"/>
          <w:lang w:val="en-US" w:eastAsia="zh-CN"/>
        </w:rPr>
        <w:t>四是全面开展</w:t>
      </w:r>
      <w:r>
        <w:rPr>
          <w:rFonts w:hint="default" w:ascii="Times New Roman" w:hAnsi="Times New Roman" w:eastAsia="仿宋_GB2312" w:cs="Times New Roman"/>
          <w:b/>
          <w:bCs/>
          <w:color w:val="auto"/>
          <w:sz w:val="32"/>
          <w:szCs w:val="32"/>
        </w:rPr>
        <w:t>地方财政经秩序专项整治</w:t>
      </w:r>
      <w:r>
        <w:rPr>
          <w:rFonts w:hint="default" w:ascii="Times New Roman" w:hAnsi="Times New Roman" w:eastAsia="仿宋_GB2312" w:cs="Times New Roman"/>
          <w:b/>
          <w:bCs/>
          <w:color w:val="auto"/>
          <w:sz w:val="32"/>
          <w:szCs w:val="32"/>
          <w:lang w:val="en-US" w:eastAsia="zh-CN"/>
        </w:rPr>
        <w:t>工作。</w:t>
      </w:r>
      <w:r>
        <w:rPr>
          <w:rFonts w:hint="default" w:ascii="Times New Roman" w:hAnsi="Times New Roman" w:eastAsia="仿宋_GB2312" w:cs="Times New Roman"/>
          <w:color w:val="auto"/>
          <w:sz w:val="32"/>
          <w:szCs w:val="32"/>
        </w:rPr>
        <w:t>按照</w:t>
      </w:r>
      <w:r>
        <w:rPr>
          <w:rFonts w:hint="default" w:ascii="Times New Roman" w:hAnsi="Times New Roman" w:eastAsia="仿宋_GB2312" w:cs="Times New Roman"/>
          <w:color w:val="auto"/>
          <w:sz w:val="32"/>
          <w:szCs w:val="32"/>
          <w:lang w:val="en-US" w:eastAsia="zh-CN"/>
        </w:rPr>
        <w:t>中央、省、州财政部门</w:t>
      </w:r>
      <w:r>
        <w:rPr>
          <w:rFonts w:hint="default" w:ascii="Times New Roman" w:hAnsi="Times New Roman" w:eastAsia="仿宋_GB2312" w:cs="Times New Roman"/>
          <w:color w:val="auto"/>
          <w:sz w:val="32"/>
          <w:szCs w:val="32"/>
        </w:rPr>
        <w:t>的统一安排部署，结合我县实际，在全县范围内开展地方财经秩序专项整治行动</w:t>
      </w:r>
      <w:r>
        <w:rPr>
          <w:rFonts w:hint="default" w:ascii="Times New Roman" w:hAnsi="Times New Roman" w:eastAsia="仿宋_GB2312" w:cs="Times New Roman"/>
          <w:color w:val="auto"/>
          <w:sz w:val="32"/>
          <w:szCs w:val="32"/>
          <w:lang w:eastAsia="zh-CN"/>
        </w:rPr>
        <w:t>。在全面</w:t>
      </w:r>
      <w:r>
        <w:rPr>
          <w:rFonts w:hint="default" w:ascii="Times New Roman" w:hAnsi="Times New Roman" w:eastAsia="仿宋_GB2312" w:cs="Times New Roman"/>
          <w:color w:val="auto"/>
          <w:sz w:val="32"/>
          <w:szCs w:val="32"/>
          <w:lang w:val="en-US" w:eastAsia="zh-CN"/>
        </w:rPr>
        <w:t>自查自纠的基础上，</w:t>
      </w:r>
      <w:r>
        <w:rPr>
          <w:rFonts w:hint="default" w:ascii="Times New Roman" w:hAnsi="Times New Roman" w:eastAsia="仿宋_GB2312" w:cs="Times New Roman"/>
          <w:color w:val="auto"/>
          <w:sz w:val="32"/>
          <w:szCs w:val="32"/>
        </w:rPr>
        <w:t>抽取了我县22个一级预算单位，开展了专项整治复查工作</w:t>
      </w:r>
      <w:r>
        <w:rPr>
          <w:rFonts w:hint="default" w:ascii="Times New Roman" w:hAnsi="Times New Roman" w:eastAsia="仿宋_GB2312" w:cs="Times New Roman"/>
          <w:color w:val="auto"/>
          <w:sz w:val="32"/>
          <w:szCs w:val="32"/>
          <w:lang w:eastAsia="zh-CN"/>
        </w:rPr>
        <w:t>。通过专项整治，</w:t>
      </w:r>
      <w:r>
        <w:rPr>
          <w:rFonts w:hint="default" w:ascii="Times New Roman" w:hAnsi="Times New Roman" w:eastAsia="仿宋_GB2312" w:cs="Times New Roman"/>
          <w:color w:val="auto"/>
          <w:sz w:val="32"/>
          <w:szCs w:val="32"/>
        </w:rPr>
        <w:t>认真查找问题根源和制度漏洞，举一反三，进一步完善全县相关财务制度办法，建立健全长效约束机制</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从源头上遏制各项问题，把我县财务工作推上一个新台阶。</w:t>
      </w:r>
    </w:p>
    <w:p>
      <w:pPr>
        <w:keepNext w:val="0"/>
        <w:keepLines w:val="0"/>
        <w:pageBreakBefore w:val="0"/>
        <w:widowControl w:val="0"/>
        <w:numPr>
          <w:ilvl w:val="0"/>
          <w:numId w:val="0"/>
        </w:numPr>
        <w:kinsoku/>
        <w:wordWrap/>
        <w:overflowPunct/>
        <w:topLinePunct w:val="0"/>
        <w:autoSpaceDE/>
        <w:autoSpaceDN/>
        <w:bidi w:val="0"/>
        <w:spacing w:line="560" w:lineRule="exact"/>
        <w:ind w:firstLine="642" w:firstLineChars="200"/>
        <w:textAlignment w:val="auto"/>
        <w:rPr>
          <w:rFonts w:hint="default"/>
          <w:lang w:val="zh-CN"/>
        </w:rPr>
      </w:pPr>
      <w:r>
        <w:rPr>
          <w:rFonts w:hint="default" w:ascii="Times New Roman" w:hAnsi="Times New Roman" w:eastAsia="楷体_GB2312" w:cs="Times New Roman"/>
          <w:b/>
          <w:bCs/>
          <w:color w:val="auto"/>
          <w:sz w:val="32"/>
          <w:szCs w:val="32"/>
          <w:lang w:val="en-US" w:eastAsia="zh-CN"/>
        </w:rPr>
        <w:t>（六）积极开拓创新思路，国资管理推陈出新</w:t>
      </w:r>
      <w:r>
        <w:rPr>
          <w:rFonts w:hint="default" w:ascii="Times New Roman" w:hAnsi="Times New Roman" w:eastAsia="楷体_GB2312" w:cs="Times New Roman"/>
          <w:b/>
          <w:bCs/>
          <w:color w:val="auto"/>
          <w:sz w:val="32"/>
          <w:szCs w:val="32"/>
        </w:rPr>
        <w:t>。</w:t>
      </w:r>
      <w:r>
        <w:rPr>
          <w:rFonts w:hint="default" w:ascii="Times New Roman" w:hAnsi="Times New Roman" w:eastAsia="仿宋_GB2312" w:cs="Times New Roman"/>
          <w:b/>
          <w:bCs/>
          <w:i w:val="0"/>
          <w:iCs w:val="0"/>
          <w:color w:val="auto"/>
          <w:sz w:val="32"/>
          <w:szCs w:val="32"/>
        </w:rPr>
        <w:t>一是</w:t>
      </w:r>
      <w:r>
        <w:rPr>
          <w:rFonts w:hint="default" w:ascii="Times New Roman" w:hAnsi="Times New Roman" w:eastAsia="仿宋_GB2312" w:cs="Times New Roman"/>
          <w:b/>
          <w:bCs/>
          <w:i w:val="0"/>
          <w:iCs w:val="0"/>
          <w:color w:val="auto"/>
          <w:sz w:val="32"/>
          <w:szCs w:val="32"/>
          <w:lang w:val="en-US" w:eastAsia="zh-CN"/>
        </w:rPr>
        <w:t>持续推进国企改革。</w:t>
      </w:r>
      <w:r>
        <w:rPr>
          <w:rFonts w:hint="default" w:ascii="Times New Roman" w:hAnsi="Times New Roman" w:eastAsia="仿宋_GB2312" w:cs="Times New Roman"/>
          <w:b w:val="0"/>
          <w:bCs w:val="0"/>
          <w:i w:val="0"/>
          <w:iCs w:val="0"/>
          <w:color w:val="auto"/>
          <w:sz w:val="32"/>
          <w:szCs w:val="32"/>
          <w:lang w:val="en-US" w:eastAsia="zh-CN"/>
        </w:rPr>
        <w:t>2022年</w:t>
      </w:r>
      <w:r>
        <w:rPr>
          <w:rFonts w:hint="default" w:ascii="Times New Roman" w:hAnsi="Times New Roman" w:eastAsia="仿宋_GB2312" w:cs="Times New Roman"/>
          <w:b w:val="0"/>
          <w:bCs w:val="0"/>
          <w:color w:val="auto"/>
          <w:sz w:val="32"/>
          <w:szCs w:val="32"/>
        </w:rPr>
        <w:t>完成“壤塘县城乡建设投资开发有限公司”和“壤塘县壤巴拉文化旅游有限公司”股权划转</w:t>
      </w:r>
      <w:r>
        <w:rPr>
          <w:rFonts w:hint="default" w:ascii="Times New Roman" w:hAnsi="Times New Roman" w:eastAsia="仿宋_GB2312" w:cs="Times New Roman"/>
          <w:color w:val="auto"/>
          <w:sz w:val="32"/>
          <w:szCs w:val="32"/>
        </w:rPr>
        <w:t>。协助成立“壤塘县壤巴拉顺祥汽车租赁服务有限公司”。成立壤塘县壤巴拉万祥人力资源管理咨询有限责任公司，逐步将壤塘县各行政事业单位临聘人员由壤巴拉人力资源管理咨询有限责任公司劳务派遣。成立壤塘县祥塘物资经营有限公司，</w:t>
      </w:r>
      <w:r>
        <w:rPr>
          <w:rFonts w:hint="default" w:ascii="Times New Roman" w:hAnsi="Times New Roman" w:eastAsia="仿宋_GB2312" w:cs="Times New Roman"/>
          <w:color w:val="auto"/>
          <w:sz w:val="32"/>
          <w:szCs w:val="32"/>
          <w:lang w:val="en-US" w:eastAsia="zh-CN"/>
        </w:rPr>
        <w:t>进一步</w:t>
      </w:r>
      <w:r>
        <w:rPr>
          <w:rFonts w:hint="default" w:ascii="Times New Roman" w:hAnsi="Times New Roman" w:eastAsia="仿宋_GB2312" w:cs="Times New Roman"/>
          <w:color w:val="auto"/>
          <w:sz w:val="32"/>
          <w:szCs w:val="32"/>
        </w:rPr>
        <w:t>规范</w:t>
      </w:r>
      <w:r>
        <w:rPr>
          <w:rFonts w:hint="default" w:ascii="Times New Roman" w:hAnsi="Times New Roman" w:eastAsia="仿宋_GB2312" w:cs="Times New Roman"/>
          <w:color w:val="auto"/>
          <w:sz w:val="32"/>
          <w:szCs w:val="32"/>
          <w:lang w:val="en-US" w:eastAsia="zh-CN"/>
        </w:rPr>
        <w:t>了</w:t>
      </w:r>
      <w:r>
        <w:rPr>
          <w:rFonts w:hint="default" w:ascii="Times New Roman" w:hAnsi="Times New Roman" w:eastAsia="仿宋_GB2312" w:cs="Times New Roman"/>
          <w:color w:val="auto"/>
          <w:sz w:val="32"/>
          <w:szCs w:val="32"/>
        </w:rPr>
        <w:t>砂石行业市场秩序，促进国有资产保值增值。</w:t>
      </w:r>
      <w:r>
        <w:rPr>
          <w:rFonts w:hint="default" w:ascii="Times New Roman" w:hAnsi="Times New Roman" w:eastAsia="仿宋_GB2312" w:cs="Times New Roman"/>
          <w:b/>
          <w:bCs/>
          <w:color w:val="auto"/>
          <w:sz w:val="32"/>
          <w:szCs w:val="32"/>
        </w:rPr>
        <w:t>二是</w:t>
      </w:r>
      <w:r>
        <w:rPr>
          <w:rFonts w:hint="default" w:ascii="Times New Roman" w:hAnsi="Times New Roman" w:eastAsia="仿宋_GB2312" w:cs="Times New Roman"/>
          <w:b/>
          <w:bCs/>
          <w:color w:val="auto"/>
          <w:sz w:val="32"/>
          <w:szCs w:val="32"/>
          <w:lang w:val="en-US" w:eastAsia="zh-CN"/>
        </w:rPr>
        <w:t>切实加强国资监管。</w:t>
      </w:r>
      <w:r>
        <w:rPr>
          <w:rFonts w:hint="default" w:ascii="Times New Roman" w:hAnsi="Times New Roman" w:eastAsia="仿宋_GB2312" w:cs="Times New Roman"/>
          <w:color w:val="auto"/>
          <w:sz w:val="32"/>
          <w:szCs w:val="32"/>
        </w:rPr>
        <w:t>督促县属国有企业完成审计，并按时完成企业年报上报工作。深入实施国有企业退休人员社会化管理，解决了历史遗留问题。完成了对2022年国有企业退休人员社会化管理工作的申报工作。完成了壤巴拉花园7套房的产权转移和注资工作，将美食一条街商铺等资产移交壤塘县国有资产经营管理有限责任公司。</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bCs/>
          <w:color w:val="auto"/>
          <w:sz w:val="32"/>
          <w:szCs w:val="32"/>
        </w:rPr>
        <w:t>砂石资源国有化</w:t>
      </w:r>
      <w:r>
        <w:rPr>
          <w:rFonts w:hint="default" w:ascii="Times New Roman" w:hAnsi="Times New Roman" w:eastAsia="仿宋_GB2312" w:cs="Times New Roman"/>
          <w:b/>
          <w:bCs/>
          <w:color w:val="auto"/>
          <w:sz w:val="32"/>
          <w:szCs w:val="32"/>
          <w:lang w:val="en-US" w:eastAsia="zh-CN"/>
        </w:rPr>
        <w:t>有序推进。</w:t>
      </w:r>
      <w:r>
        <w:rPr>
          <w:rFonts w:hint="default" w:ascii="Times New Roman" w:hAnsi="Times New Roman" w:eastAsia="仿宋_GB2312" w:cs="Times New Roman"/>
          <w:b w:val="0"/>
          <w:bCs w:val="0"/>
          <w:color w:val="auto"/>
          <w:sz w:val="32"/>
          <w:szCs w:val="32"/>
          <w:lang w:val="en-US" w:eastAsia="zh-CN"/>
        </w:rPr>
        <w:t>县国资公司积极参与我县</w:t>
      </w:r>
      <w:r>
        <w:rPr>
          <w:rFonts w:hint="default" w:ascii="Times New Roman" w:hAnsi="Times New Roman" w:eastAsia="仿宋_GB2312" w:cs="Times New Roman"/>
          <w:color w:val="auto"/>
          <w:sz w:val="32"/>
          <w:szCs w:val="32"/>
        </w:rPr>
        <w:t>砂石资源</w:t>
      </w:r>
      <w:r>
        <w:rPr>
          <w:rFonts w:hint="default" w:ascii="Times New Roman" w:hAnsi="Times New Roman" w:eastAsia="仿宋_GB2312" w:cs="Times New Roman"/>
          <w:color w:val="auto"/>
          <w:sz w:val="32"/>
          <w:szCs w:val="32"/>
          <w:lang w:eastAsia="zh-CN"/>
        </w:rPr>
        <w:t>经营，</w:t>
      </w:r>
      <w:r>
        <w:rPr>
          <w:rFonts w:hint="default" w:ascii="Times New Roman" w:hAnsi="Times New Roman" w:eastAsia="仿宋_GB2312" w:cs="Times New Roman"/>
          <w:color w:val="auto"/>
          <w:sz w:val="32"/>
          <w:szCs w:val="32"/>
        </w:rPr>
        <w:t>通过公开竞价竞以2325万元拍得壤塘县2022-2024年河道开采权，推进砂石资源经营国有化改革、河道采砂规范许可和河道采砂长效治理取得重大进展</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321" w:firstLineChars="100"/>
        <w:contextualSpacing/>
        <w:jc w:val="left"/>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95" w:name="_Toc796214815"/>
      <w:r>
        <w:rPr>
          <w:rFonts w:hint="default" w:ascii="Times New Roman" w:hAnsi="Times New Roman" w:eastAsia="楷体_GB2312" w:cs="Times New Roman"/>
          <w:b/>
          <w:bCs/>
          <w:color w:val="auto"/>
          <w:kern w:val="0"/>
          <w:sz w:val="32"/>
          <w:szCs w:val="32"/>
          <w:highlight w:val="none"/>
          <w:shd w:val="clear" w:color="auto" w:fill="FFFFFF"/>
          <w:lang w:val="zh-CN"/>
        </w:rPr>
        <w:t>（四）部门整体支出绩效目标。</w:t>
      </w:r>
      <w:bookmarkEnd w:id="95"/>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1"/>
        <w:rPr>
          <w:rFonts w:hint="default" w:ascii="Times New Roman" w:hAnsi="Times New Roman" w:eastAsia="黑体" w:cs="Times New Roman"/>
          <w:color w:val="auto"/>
          <w:kern w:val="0"/>
          <w:sz w:val="32"/>
          <w:szCs w:val="32"/>
          <w:highlight w:val="none"/>
          <w:shd w:val="clear" w:color="auto" w:fill="FFFFFF"/>
        </w:rPr>
      </w:pPr>
      <w:bookmarkStart w:id="96" w:name="_Toc1571055704"/>
      <w:bookmarkStart w:id="97" w:name="_Toc692830727"/>
      <w:r>
        <w:rPr>
          <w:rFonts w:hint="default" w:ascii="Times New Roman" w:hAnsi="Times New Roman" w:eastAsia="黑体" w:cs="Times New Roman"/>
          <w:color w:val="auto"/>
          <w:kern w:val="0"/>
          <w:sz w:val="32"/>
          <w:szCs w:val="32"/>
          <w:highlight w:val="none"/>
          <w:shd w:val="clear" w:color="auto" w:fill="FFFFFF"/>
        </w:rPr>
        <w:t>二、</w:t>
      </w:r>
      <w:r>
        <w:rPr>
          <w:rFonts w:hint="default" w:ascii="Times New Roman" w:hAnsi="Times New Roman" w:eastAsia="黑体" w:cs="Times New Roman"/>
          <w:color w:val="auto"/>
          <w:kern w:val="0"/>
          <w:sz w:val="32"/>
          <w:szCs w:val="32"/>
          <w:highlight w:val="none"/>
          <w:shd w:val="clear" w:color="auto" w:fill="FFFFFF"/>
          <w:lang w:eastAsia="zh-CN"/>
        </w:rPr>
        <w:t>部门</w:t>
      </w:r>
      <w:r>
        <w:rPr>
          <w:rFonts w:hint="default" w:ascii="Times New Roman" w:hAnsi="Times New Roman" w:eastAsia="黑体" w:cs="Times New Roman"/>
          <w:color w:val="auto"/>
          <w:kern w:val="0"/>
          <w:sz w:val="32"/>
          <w:szCs w:val="32"/>
          <w:highlight w:val="none"/>
          <w:shd w:val="clear" w:color="auto" w:fill="FFFFFF"/>
        </w:rPr>
        <w:t>资金收支情况</w:t>
      </w:r>
      <w:bookmarkEnd w:id="96"/>
      <w:bookmarkEnd w:id="97"/>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outlineLvl w:val="2"/>
        <w:rPr>
          <w:rFonts w:hint="default" w:ascii="Times New Roman" w:hAnsi="Times New Roman" w:cs="Times New Roman"/>
          <w:lang w:val="zh-CN"/>
        </w:rPr>
      </w:pPr>
      <w:bookmarkStart w:id="98" w:name="_Toc1973354009"/>
      <w:r>
        <w:rPr>
          <w:rFonts w:hint="default" w:ascii="Times New Roman" w:hAnsi="Times New Roman" w:eastAsia="楷体_GB2312" w:cs="Times New Roman"/>
          <w:b/>
          <w:bCs/>
          <w:color w:val="auto"/>
          <w:kern w:val="0"/>
          <w:sz w:val="32"/>
          <w:szCs w:val="32"/>
          <w:highlight w:val="none"/>
          <w:shd w:val="clear" w:color="auto" w:fill="FFFFFF"/>
          <w:lang w:val="zh-CN"/>
        </w:rPr>
        <w:t>（一）部门总体收支情况。</w:t>
      </w:r>
      <w:bookmarkEnd w:id="98"/>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1.部门总体收入情况</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2022年度收入总计1059.76万元。与2021年相比，收入总计减少30.55万元，下降0.03%。主要变动原因是单位人员减少，单位运行费用减少。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部门总体支出情况</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2022年度支出总计1302.36万元。与2021年相比，支出总计减少3.1万元，下降0.002%。主要变动原因是单位人员减少，单位运行费用减少。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部门总体结转结余情况</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年初结转结余242.6万元。</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99" w:name="_Toc483618622"/>
      <w:r>
        <w:rPr>
          <w:rFonts w:hint="default" w:ascii="Times New Roman" w:hAnsi="Times New Roman" w:eastAsia="楷体_GB2312" w:cs="Times New Roman"/>
          <w:b/>
          <w:bCs/>
          <w:color w:val="auto"/>
          <w:kern w:val="0"/>
          <w:sz w:val="32"/>
          <w:szCs w:val="32"/>
          <w:highlight w:val="none"/>
          <w:shd w:val="clear" w:color="auto" w:fill="FFFFFF"/>
          <w:lang w:val="zh-CN"/>
        </w:rPr>
        <w:t>（二）部门财政拨款收支情况。</w:t>
      </w:r>
      <w:bookmarkEnd w:id="99"/>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1.部门财政拨款收入情况</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2022年度财政拨款收入总计1059.76万元。与2021年相比，收入总计减少30.55万元，下降0.03%。主要变动原因是单位人员减少，单位运行费用减少。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2.部门财政拨款支出情况</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2022年度财政拨款支出总计1088.74万元。与2021年相比，支出总计减少33.22万元，下降0.003%。主要变动原因是单位人员减少，单位运行费用减少。</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部门财政拨款结转结余情况</w:t>
      </w:r>
    </w:p>
    <w:p>
      <w:pPr>
        <w:keepNext w:val="0"/>
        <w:keepLines w:val="0"/>
        <w:pageBreakBefore w:val="0"/>
        <w:widowControl w:val="0"/>
        <w:kinsoku/>
        <w:wordWrap/>
        <w:overflowPunct/>
        <w:topLinePunct w:val="0"/>
        <w:autoSpaceDE/>
        <w:autoSpaceDN/>
        <w:bidi w:val="0"/>
        <w:spacing w:beforeLines="0" w:afterLines="0" w:line="560"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无</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1"/>
        <w:rPr>
          <w:rFonts w:hint="default" w:ascii="Times New Roman" w:hAnsi="Times New Roman" w:eastAsia="黑体" w:cs="Times New Roman"/>
          <w:color w:val="auto"/>
          <w:kern w:val="0"/>
          <w:sz w:val="32"/>
          <w:szCs w:val="32"/>
          <w:highlight w:val="none"/>
          <w:shd w:val="clear" w:color="auto" w:fill="FFFFFF"/>
        </w:rPr>
      </w:pPr>
      <w:bookmarkStart w:id="100" w:name="_Toc804965013"/>
      <w:bookmarkStart w:id="101" w:name="_Toc1395513019"/>
      <w:r>
        <w:rPr>
          <w:rFonts w:hint="default" w:ascii="Times New Roman" w:hAnsi="Times New Roman" w:eastAsia="黑体" w:cs="Times New Roman"/>
          <w:color w:val="auto"/>
          <w:kern w:val="0"/>
          <w:sz w:val="32"/>
          <w:szCs w:val="32"/>
          <w:highlight w:val="none"/>
          <w:shd w:val="clear" w:color="auto" w:fill="FFFFFF"/>
        </w:rPr>
        <w:t>三、</w:t>
      </w:r>
      <w:r>
        <w:rPr>
          <w:rFonts w:hint="default" w:ascii="Times New Roman" w:hAnsi="Times New Roman" w:eastAsia="黑体" w:cs="Times New Roman"/>
          <w:color w:val="auto"/>
          <w:kern w:val="0"/>
          <w:sz w:val="32"/>
          <w:szCs w:val="32"/>
          <w:highlight w:val="none"/>
          <w:u w:val="none"/>
          <w:shd w:val="clear" w:color="auto" w:fill="FFFFFF"/>
        </w:rPr>
        <w:t>部门整体绩效</w:t>
      </w:r>
      <w:r>
        <w:rPr>
          <w:rFonts w:hint="default" w:ascii="Times New Roman" w:hAnsi="Times New Roman" w:eastAsia="黑体" w:cs="Times New Roman"/>
          <w:color w:val="auto"/>
          <w:kern w:val="0"/>
          <w:sz w:val="32"/>
          <w:szCs w:val="32"/>
          <w:highlight w:val="none"/>
          <w:u w:val="none"/>
          <w:shd w:val="clear" w:color="auto" w:fill="FFFFFF"/>
          <w:lang w:eastAsia="zh-CN"/>
        </w:rPr>
        <w:t>分析</w:t>
      </w:r>
      <w:bookmarkEnd w:id="100"/>
      <w:bookmarkEnd w:id="101"/>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outlineLvl w:val="2"/>
        <w:rPr>
          <w:rFonts w:hint="default" w:ascii="Times New Roman" w:hAnsi="Times New Roman" w:eastAsia="仿宋_GB2312" w:cs="Times New Roman"/>
          <w:b w:val="0"/>
          <w:bCs w:val="0"/>
          <w:color w:val="auto"/>
          <w:kern w:val="0"/>
          <w:sz w:val="32"/>
          <w:szCs w:val="32"/>
          <w:highlight w:val="none"/>
          <w:shd w:val="clear" w:color="auto" w:fill="FFFFFF"/>
          <w:lang w:val="zh-CN" w:eastAsia="zh-CN"/>
        </w:rPr>
      </w:pPr>
      <w:bookmarkStart w:id="102" w:name="_Toc2057176691"/>
      <w:r>
        <w:rPr>
          <w:rFonts w:hint="default" w:ascii="Times New Roman" w:hAnsi="Times New Roman" w:eastAsia="楷体_GB2312" w:cs="Times New Roman"/>
          <w:b/>
          <w:bCs/>
          <w:color w:val="auto"/>
          <w:kern w:val="0"/>
          <w:sz w:val="32"/>
          <w:szCs w:val="32"/>
          <w:highlight w:val="none"/>
          <w:shd w:val="clear" w:color="auto" w:fill="FFFFFF"/>
          <w:lang w:val="zh-CN"/>
        </w:rPr>
        <w:t>（一）部门预算项目绩效分析。</w:t>
      </w:r>
      <w:bookmarkEnd w:id="102"/>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b w:val="0"/>
          <w:bCs w:val="0"/>
          <w:color w:val="auto"/>
          <w:kern w:val="0"/>
          <w:sz w:val="32"/>
          <w:szCs w:val="32"/>
          <w:highlight w:val="none"/>
          <w:shd w:val="clear" w:color="auto" w:fill="FFFFFF"/>
          <w:lang w:val="en-US" w:eastAsia="zh-CN"/>
        </w:rPr>
      </w:pP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1.人员类项目绩效分析</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b w:val="0"/>
          <w:bCs w:val="0"/>
          <w:color w:val="auto"/>
          <w:kern w:val="0"/>
          <w:sz w:val="32"/>
          <w:szCs w:val="32"/>
          <w:highlight w:val="none"/>
          <w:shd w:val="clear" w:color="auto" w:fill="FFFFFF"/>
          <w:lang w:val="en-US" w:eastAsia="zh-CN"/>
        </w:rPr>
      </w:pPr>
      <w:r>
        <w:rPr>
          <w:rFonts w:hint="eastAsia" w:eastAsia="仿宋_GB2312" w:cs="Times New Roman"/>
          <w:b w:val="0"/>
          <w:bCs w:val="0"/>
          <w:color w:val="auto"/>
          <w:kern w:val="0"/>
          <w:sz w:val="32"/>
          <w:szCs w:val="32"/>
          <w:highlight w:val="none"/>
          <w:shd w:val="clear" w:color="auto" w:fill="FFFFFF"/>
          <w:lang w:val="zh-CN" w:eastAsia="zh-CN"/>
        </w:rPr>
        <w:t>无</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b w:val="0"/>
          <w:bCs w:val="0"/>
          <w:color w:val="auto"/>
          <w:kern w:val="0"/>
          <w:sz w:val="32"/>
          <w:szCs w:val="32"/>
          <w:highlight w:val="none"/>
          <w:shd w:val="clear" w:color="auto" w:fill="FFFFFF"/>
          <w:lang w:val="en-US" w:eastAsia="zh-CN"/>
        </w:rPr>
      </w:pP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2.运转类项目绩效分析</w:t>
      </w:r>
    </w:p>
    <w:p>
      <w:pPr>
        <w:keepNext w:val="0"/>
        <w:keepLines w:val="0"/>
        <w:pageBreakBefore w:val="0"/>
        <w:tabs>
          <w:tab w:val="left" w:pos="-1677"/>
          <w:tab w:val="left" w:pos="312"/>
        </w:tabs>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财政国库业务项目绩效目标完成情况综述。项目全年预算数24.83万元，执行数为24.83万元，完成预算的100%。通过项目实施，提高我县公共财政新体制框架的建立，加强资金监管，提高财政资金使用效率。</w:t>
      </w:r>
    </w:p>
    <w:p>
      <w:pPr>
        <w:keepNext w:val="0"/>
        <w:keepLines w:val="0"/>
        <w:pageBreakBefore w:val="0"/>
        <w:tabs>
          <w:tab w:val="left" w:pos="-1677"/>
          <w:tab w:val="left" w:pos="312"/>
        </w:tabs>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color w:val="000000"/>
          <w:sz w:val="32"/>
          <w:szCs w:val="32"/>
          <w:highlight w:val="none"/>
        </w:rPr>
        <w:t>信息化建设项目绩效目标完成情况综述。项目全年预算数51.73万元，执行数为51.73万元，完成预算的100%。通过项目健全完善管理机制，全面确保全县财政系统信息系统顺利运行和我县财政工作的正常开展。</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eastAsia="仿宋_GB2312" w:cs="Times New Roman"/>
          <w:b w:val="0"/>
          <w:bCs w:val="0"/>
          <w:color w:val="auto"/>
          <w:kern w:val="0"/>
          <w:sz w:val="32"/>
          <w:szCs w:val="32"/>
          <w:highlight w:val="none"/>
          <w:shd w:val="clear" w:color="auto" w:fill="FFFFFF"/>
          <w:lang w:val="en-US" w:eastAsia="zh-CN"/>
        </w:rPr>
      </w:pP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color w:val="000000"/>
          <w:sz w:val="32"/>
          <w:szCs w:val="32"/>
          <w:highlight w:val="none"/>
        </w:rPr>
        <w:t>财政委托业务支出项目绩效目标完成情况综述。项目全年预算数297.10万元，执行数为297.10万元，完成预算的100%。通过项目加强财政资金监督力度、完善财政资金使用制度、树立财政资金监督意识、创新了财政资金管理方式。</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b w:val="0"/>
          <w:bCs w:val="0"/>
          <w:color w:val="auto"/>
          <w:kern w:val="0"/>
          <w:sz w:val="32"/>
          <w:szCs w:val="32"/>
          <w:highlight w:val="none"/>
          <w:shd w:val="clear" w:color="auto" w:fill="FFFFFF"/>
          <w:lang w:val="en-US" w:eastAsia="zh-CN"/>
        </w:rPr>
      </w:pP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3.特定目标类项目绩效分析</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eastAsia="仿宋_GB2312" w:cs="Times New Roman"/>
          <w:b w:val="0"/>
          <w:bCs w:val="0"/>
          <w:color w:val="auto"/>
          <w:kern w:val="0"/>
          <w:sz w:val="32"/>
          <w:szCs w:val="32"/>
          <w:highlight w:val="none"/>
          <w:shd w:val="clear" w:color="auto" w:fill="FFFFFF"/>
          <w:lang w:val="en-US" w:eastAsia="zh-CN"/>
        </w:rPr>
      </w:pPr>
      <w:r>
        <w:rPr>
          <w:rFonts w:hint="eastAsia" w:eastAsia="仿宋_GB2312" w:cs="Times New Roman"/>
          <w:b w:val="0"/>
          <w:bCs w:val="0"/>
          <w:color w:val="auto"/>
          <w:kern w:val="0"/>
          <w:sz w:val="32"/>
          <w:szCs w:val="32"/>
          <w:highlight w:val="none"/>
          <w:shd w:val="clear" w:color="auto" w:fill="FFFFFF"/>
          <w:lang w:val="en-US" w:eastAsia="zh-CN"/>
        </w:rPr>
        <w:t>无</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103" w:name="_Toc1209671632"/>
      <w:r>
        <w:rPr>
          <w:rFonts w:hint="default" w:ascii="Times New Roman" w:hAnsi="Times New Roman" w:eastAsia="楷体_GB2312" w:cs="Times New Roman"/>
          <w:b/>
          <w:bCs/>
          <w:color w:val="auto"/>
          <w:kern w:val="0"/>
          <w:sz w:val="32"/>
          <w:szCs w:val="32"/>
          <w:highlight w:val="none"/>
          <w:shd w:val="clear" w:color="auto" w:fill="FFFFFF"/>
          <w:lang w:val="zh-CN"/>
        </w:rPr>
        <w:t>（二）部门整体履职绩效分析。</w:t>
      </w:r>
      <w:bookmarkEnd w:id="103"/>
    </w:p>
    <w:p>
      <w:pPr>
        <w:keepNext w:val="0"/>
        <w:keepLines w:val="0"/>
        <w:pageBreakBefore w:val="0"/>
        <w:tabs>
          <w:tab w:val="left" w:pos="-1677"/>
          <w:tab w:val="left" w:pos="312"/>
        </w:tabs>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1.预算完成情况</w:t>
      </w:r>
    </w:p>
    <w:p>
      <w:pPr>
        <w:pStyle w:val="18"/>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本单位本年度收入全年预算数为1,059.76万元，收入决算数为1,059.76万元，预算完成度为100.00%，预算执行度高。</w:t>
      </w:r>
    </w:p>
    <w:p>
      <w:pPr>
        <w:keepNext w:val="0"/>
        <w:keepLines w:val="0"/>
        <w:pageBreakBefore w:val="0"/>
        <w:numPr>
          <w:ilvl w:val="0"/>
          <w:numId w:val="6"/>
        </w:numPr>
        <w:tabs>
          <w:tab w:val="left" w:pos="-1677"/>
        </w:tabs>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三公经费</w:t>
      </w:r>
    </w:p>
    <w:tbl>
      <w:tblPr>
        <w:tblStyle w:val="14"/>
        <w:tblpPr w:leftFromText="180" w:rightFromText="180" w:vertAnchor="text" w:horzAnchor="page" w:tblpX="1770" w:tblpY="-5958"/>
        <w:tblOverlap w:val="never"/>
        <w:tblW w:w="8561" w:type="dxa"/>
        <w:tblInd w:w="0" w:type="dxa"/>
        <w:tblLayout w:type="autofit"/>
        <w:tblCellMar>
          <w:top w:w="0" w:type="dxa"/>
          <w:left w:w="108" w:type="dxa"/>
          <w:bottom w:w="0" w:type="dxa"/>
          <w:right w:w="108" w:type="dxa"/>
        </w:tblCellMar>
      </w:tblPr>
      <w:tblGrid>
        <w:gridCol w:w="1276"/>
        <w:gridCol w:w="1846"/>
        <w:gridCol w:w="1158"/>
        <w:gridCol w:w="1617"/>
        <w:gridCol w:w="2664"/>
      </w:tblGrid>
      <w:tr>
        <w:tblPrEx>
          <w:tblCellMar>
            <w:top w:w="0" w:type="dxa"/>
            <w:left w:w="108" w:type="dxa"/>
            <w:bottom w:w="0" w:type="dxa"/>
            <w:right w:w="108" w:type="dxa"/>
          </w:tblCellMar>
        </w:tblPrEx>
        <w:trPr>
          <w:trHeight w:val="661" w:hRule="atLeast"/>
        </w:trPr>
        <w:tc>
          <w:tcPr>
            <w:tcW w:w="8561"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ind w:firstLine="640" w:firstLineChars="200"/>
              <w:jc w:val="center"/>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三公经费支出情况</w:t>
            </w:r>
          </w:p>
        </w:tc>
      </w:tr>
      <w:tr>
        <w:tblPrEx>
          <w:tblCellMar>
            <w:top w:w="0" w:type="dxa"/>
            <w:left w:w="108" w:type="dxa"/>
            <w:bottom w:w="0" w:type="dxa"/>
            <w:right w:w="108" w:type="dxa"/>
          </w:tblCellMar>
        </w:tblPrEx>
        <w:trPr>
          <w:trHeight w:val="1312" w:hRule="atLeast"/>
        </w:trPr>
        <w:tc>
          <w:tcPr>
            <w:tcW w:w="1276"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年度</w:t>
            </w:r>
          </w:p>
        </w:tc>
        <w:tc>
          <w:tcPr>
            <w:tcW w:w="1846"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因公出国（境）费</w:t>
            </w:r>
          </w:p>
        </w:tc>
        <w:tc>
          <w:tcPr>
            <w:tcW w:w="1158" w:type="dxa"/>
            <w:vMerge w:val="restart"/>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公务接待费</w:t>
            </w:r>
          </w:p>
        </w:tc>
        <w:tc>
          <w:tcPr>
            <w:tcW w:w="4281" w:type="dxa"/>
            <w:gridSpan w:val="2"/>
            <w:tcBorders>
              <w:top w:val="single" w:color="auto" w:sz="4" w:space="0"/>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ind w:firstLine="640" w:firstLineChars="200"/>
              <w:jc w:val="center"/>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公务用车购置及运行维护费</w:t>
            </w:r>
          </w:p>
        </w:tc>
      </w:tr>
      <w:tr>
        <w:tblPrEx>
          <w:tblCellMar>
            <w:top w:w="0" w:type="dxa"/>
            <w:left w:w="108" w:type="dxa"/>
            <w:bottom w:w="0" w:type="dxa"/>
            <w:right w:w="108" w:type="dxa"/>
          </w:tblCellMar>
        </w:tblPrEx>
        <w:trPr>
          <w:trHeight w:val="1312" w:hRule="atLeast"/>
        </w:trPr>
        <w:tc>
          <w:tcPr>
            <w:tcW w:w="1276"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000000"/>
                <w:kern w:val="2"/>
                <w:sz w:val="32"/>
                <w:szCs w:val="32"/>
                <w:highlight w:val="none"/>
                <w:lang w:val="en-US" w:eastAsia="zh-CN" w:bidi="ar-SA"/>
              </w:rPr>
            </w:pPr>
          </w:p>
        </w:tc>
        <w:tc>
          <w:tcPr>
            <w:tcW w:w="1846"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000000"/>
                <w:kern w:val="2"/>
                <w:sz w:val="32"/>
                <w:szCs w:val="32"/>
                <w:highlight w:val="none"/>
                <w:lang w:val="en-US" w:eastAsia="zh-CN" w:bidi="ar-SA"/>
              </w:rPr>
            </w:pPr>
          </w:p>
        </w:tc>
        <w:tc>
          <w:tcPr>
            <w:tcW w:w="1158"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000000"/>
                <w:kern w:val="2"/>
                <w:sz w:val="32"/>
                <w:szCs w:val="32"/>
                <w:highlight w:val="none"/>
                <w:lang w:val="en-US" w:eastAsia="zh-CN" w:bidi="ar-SA"/>
              </w:rPr>
            </w:pPr>
          </w:p>
        </w:tc>
        <w:tc>
          <w:tcPr>
            <w:tcW w:w="16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公务用车购置费</w:t>
            </w:r>
          </w:p>
        </w:tc>
        <w:tc>
          <w:tcPr>
            <w:tcW w:w="26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公务用车运行维护费</w:t>
            </w:r>
          </w:p>
        </w:tc>
      </w:tr>
      <w:tr>
        <w:tblPrEx>
          <w:tblCellMar>
            <w:top w:w="0" w:type="dxa"/>
            <w:left w:w="108" w:type="dxa"/>
            <w:bottom w:w="0" w:type="dxa"/>
            <w:right w:w="108" w:type="dxa"/>
          </w:tblCellMar>
        </w:tblPrEx>
        <w:trPr>
          <w:trHeight w:val="1312" w:hRule="atLeast"/>
        </w:trPr>
        <w:tc>
          <w:tcPr>
            <w:tcW w:w="127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2021年</w:t>
            </w:r>
          </w:p>
        </w:tc>
        <w:tc>
          <w:tcPr>
            <w:tcW w:w="1846"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ind w:firstLine="640" w:firstLineChars="200"/>
              <w:jc w:val="center"/>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0</w:t>
            </w:r>
          </w:p>
        </w:tc>
        <w:tc>
          <w:tcPr>
            <w:tcW w:w="1158"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ind w:firstLine="640" w:firstLineChars="200"/>
              <w:jc w:val="center"/>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0</w:t>
            </w:r>
          </w:p>
        </w:tc>
        <w:tc>
          <w:tcPr>
            <w:tcW w:w="16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ind w:firstLine="640" w:firstLineChars="200"/>
              <w:jc w:val="center"/>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0</w:t>
            </w:r>
          </w:p>
        </w:tc>
        <w:tc>
          <w:tcPr>
            <w:tcW w:w="26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ind w:firstLine="640" w:firstLineChars="200"/>
              <w:jc w:val="center"/>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10.44</w:t>
            </w:r>
          </w:p>
        </w:tc>
      </w:tr>
      <w:tr>
        <w:tblPrEx>
          <w:tblCellMar>
            <w:top w:w="0" w:type="dxa"/>
            <w:left w:w="108" w:type="dxa"/>
            <w:bottom w:w="0" w:type="dxa"/>
            <w:right w:w="108" w:type="dxa"/>
          </w:tblCellMar>
        </w:tblPrEx>
        <w:trPr>
          <w:trHeight w:val="1323" w:hRule="atLeast"/>
        </w:trPr>
        <w:tc>
          <w:tcPr>
            <w:tcW w:w="127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2022年</w:t>
            </w:r>
          </w:p>
        </w:tc>
        <w:tc>
          <w:tcPr>
            <w:tcW w:w="1846"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ind w:firstLine="640" w:firstLineChars="200"/>
              <w:jc w:val="center"/>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0</w:t>
            </w:r>
          </w:p>
        </w:tc>
        <w:tc>
          <w:tcPr>
            <w:tcW w:w="1158"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ind w:firstLine="640" w:firstLineChars="200"/>
              <w:jc w:val="center"/>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0</w:t>
            </w:r>
          </w:p>
        </w:tc>
        <w:tc>
          <w:tcPr>
            <w:tcW w:w="1617"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ind w:firstLine="640" w:firstLineChars="200"/>
              <w:jc w:val="center"/>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0</w:t>
            </w:r>
          </w:p>
        </w:tc>
        <w:tc>
          <w:tcPr>
            <w:tcW w:w="2664" w:type="dxa"/>
            <w:tcBorders>
              <w:top w:val="nil"/>
              <w:left w:val="nil"/>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spacing w:line="560" w:lineRule="exact"/>
              <w:ind w:firstLine="640" w:firstLineChars="200"/>
              <w:jc w:val="center"/>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6.39</w:t>
            </w:r>
          </w:p>
        </w:tc>
      </w:tr>
    </w:tbl>
    <w:p>
      <w:pPr>
        <w:pStyle w:val="18"/>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color w:val="000000"/>
          <w:sz w:val="32"/>
          <w:szCs w:val="32"/>
          <w:highlight w:val="none"/>
        </w:rPr>
        <w:t>本单位</w:t>
      </w:r>
      <w:r>
        <w:rPr>
          <w:rFonts w:hint="default" w:ascii="Times New Roman" w:hAnsi="Times New Roman" w:eastAsia="仿宋_GB2312" w:cs="Times New Roman"/>
          <w:color w:val="000000"/>
          <w:sz w:val="32"/>
          <w:szCs w:val="32"/>
          <w:highlight w:val="none"/>
          <w:lang w:val="en-US" w:eastAsia="zh-CN"/>
        </w:rPr>
        <w:t>2022</w:t>
      </w:r>
      <w:r>
        <w:rPr>
          <w:rFonts w:hint="default" w:ascii="Times New Roman" w:hAnsi="Times New Roman" w:eastAsia="仿宋_GB2312" w:cs="Times New Roman"/>
          <w:color w:val="000000"/>
          <w:sz w:val="32"/>
          <w:szCs w:val="32"/>
          <w:highlight w:val="none"/>
        </w:rPr>
        <w:t>年“三公”经费支出数为6.39万元</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2021年</w:t>
      </w:r>
      <w:r>
        <w:rPr>
          <w:rFonts w:hint="default" w:ascii="Times New Roman" w:hAnsi="Times New Roman" w:eastAsia="仿宋_GB2312" w:cs="Times New Roman"/>
          <w:color w:val="000000"/>
          <w:sz w:val="32"/>
          <w:szCs w:val="32"/>
          <w:highlight w:val="none"/>
        </w:rPr>
        <w:t>“三公”经费支出数为</w:t>
      </w:r>
      <w:r>
        <w:rPr>
          <w:rFonts w:hint="default" w:ascii="Times New Roman" w:hAnsi="Times New Roman" w:eastAsia="仿宋_GB2312" w:cs="Times New Roman"/>
          <w:color w:val="000000"/>
          <w:sz w:val="32"/>
          <w:szCs w:val="32"/>
          <w:highlight w:val="none"/>
          <w:lang w:val="en-US" w:eastAsia="zh-CN"/>
        </w:rPr>
        <w:t>10.44</w:t>
      </w:r>
      <w:r>
        <w:rPr>
          <w:rFonts w:hint="default" w:ascii="Times New Roman" w:hAnsi="Times New Roman" w:eastAsia="仿宋_GB2312" w:cs="Times New Roman"/>
          <w:color w:val="000000"/>
          <w:sz w:val="32"/>
          <w:szCs w:val="32"/>
          <w:highlight w:val="none"/>
        </w:rPr>
        <w:t>万元。</w:t>
      </w:r>
      <w:r>
        <w:rPr>
          <w:rFonts w:hint="default" w:ascii="Times New Roman" w:hAnsi="Times New Roman" w:eastAsia="仿宋_GB2312" w:cs="Times New Roman"/>
          <w:color w:val="000000"/>
          <w:sz w:val="32"/>
          <w:szCs w:val="32"/>
          <w:highlight w:val="none"/>
          <w:lang w:eastAsia="zh-CN"/>
        </w:rPr>
        <w:t>减少了</w:t>
      </w:r>
      <w:r>
        <w:rPr>
          <w:rFonts w:hint="default" w:ascii="Times New Roman" w:hAnsi="Times New Roman" w:eastAsia="仿宋_GB2312" w:cs="Times New Roman"/>
          <w:color w:val="000000"/>
          <w:sz w:val="32"/>
          <w:szCs w:val="32"/>
          <w:highlight w:val="none"/>
          <w:lang w:val="en-US" w:eastAsia="zh-CN"/>
        </w:rPr>
        <w:t>4.05万元，主要原因为车辆维护减少，公务用车运行维护减少。</w:t>
      </w:r>
    </w:p>
    <w:p>
      <w:pPr>
        <w:keepNext w:val="0"/>
        <w:keepLines w:val="0"/>
        <w:pageBreakBefore w:val="0"/>
        <w:tabs>
          <w:tab w:val="left" w:pos="-1677"/>
          <w:tab w:val="left" w:pos="312"/>
        </w:tabs>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3.政府采购</w:t>
      </w:r>
    </w:p>
    <w:p>
      <w:pPr>
        <w:pStyle w:val="18"/>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2022年本单位未发生政府采购行为</w:t>
      </w:r>
      <w:r>
        <w:rPr>
          <w:rFonts w:hint="default" w:ascii="Times New Roman" w:hAnsi="Times New Roman" w:eastAsia="仿宋_GB2312" w:cs="Times New Roman"/>
          <w:sz w:val="32"/>
          <w:szCs w:val="32"/>
          <w:highlight w:val="none"/>
          <w:lang w:eastAsia="zh-CN"/>
        </w:rPr>
        <w:t>。</w:t>
      </w:r>
    </w:p>
    <w:p>
      <w:pPr>
        <w:keepNext w:val="0"/>
        <w:keepLines w:val="0"/>
        <w:pageBreakBefore w:val="0"/>
        <w:tabs>
          <w:tab w:val="left" w:pos="-1677"/>
          <w:tab w:val="left" w:pos="312"/>
        </w:tabs>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4.资产管理</w:t>
      </w:r>
    </w:p>
    <w:p>
      <w:pPr>
        <w:pStyle w:val="18"/>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壤塘县财政局《行政单位资产管理系统》固定资产总计735.26万元，在用的固定资产总计735.26万元，固定资产在用率达100%。</w:t>
      </w:r>
    </w:p>
    <w:p>
      <w:pPr>
        <w:keepNext w:val="0"/>
        <w:keepLines w:val="0"/>
        <w:pageBreakBefore w:val="0"/>
        <w:tabs>
          <w:tab w:val="left" w:pos="-1677"/>
          <w:tab w:val="left" w:pos="312"/>
        </w:tabs>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b w:val="0"/>
          <w:bCs w:val="0"/>
          <w:sz w:val="32"/>
          <w:szCs w:val="32"/>
          <w:highlight w:val="none"/>
          <w:lang w:val="en-US" w:eastAsia="zh-CN"/>
        </w:rPr>
        <w:t>5.信息公开</w:t>
      </w:r>
    </w:p>
    <w:p>
      <w:pPr>
        <w:pStyle w:val="18"/>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color w:val="auto"/>
          <w:kern w:val="0"/>
          <w:sz w:val="32"/>
          <w:szCs w:val="32"/>
          <w:highlight w:val="none"/>
          <w:shd w:val="clear" w:color="auto" w:fill="FFFFFF"/>
          <w:lang w:val="zh-CN" w:eastAsia="zh-CN"/>
        </w:rPr>
      </w:pPr>
      <w:r>
        <w:rPr>
          <w:rFonts w:hint="default" w:ascii="Times New Roman" w:hAnsi="Times New Roman" w:eastAsia="仿宋_GB2312" w:cs="Times New Roman"/>
          <w:sz w:val="32"/>
          <w:szCs w:val="32"/>
          <w:highlight w:val="none"/>
        </w:rPr>
        <w:t>按财政要求及时完成预算、决算、绩效等信息公开工作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信息公开在壤塘县人民政府网站中。</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104" w:name="_Toc1456074825"/>
      <w:r>
        <w:rPr>
          <w:rFonts w:hint="default" w:ascii="Times New Roman" w:hAnsi="Times New Roman" w:eastAsia="楷体_GB2312" w:cs="Times New Roman"/>
          <w:b/>
          <w:bCs/>
          <w:color w:val="auto"/>
          <w:kern w:val="0"/>
          <w:sz w:val="32"/>
          <w:szCs w:val="32"/>
          <w:highlight w:val="none"/>
          <w:shd w:val="clear" w:color="auto" w:fill="FFFFFF"/>
          <w:lang w:val="zh-CN"/>
        </w:rPr>
        <w:t>（三）结果应用情况。</w:t>
      </w:r>
      <w:bookmarkEnd w:id="104"/>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为确保机关运转有序，我局根据本单位实际，合理编制单位预算，统筹安排、节约使用各项资金，保障单位正常运转的资金需要，同时建立、健全内部财务管理制度，对单位财务管理进行控制和监督，保障了机关运转和履行各项职能职责</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完善了本单位《预算绩效管理办法》，并对绩效工作开展中存在的问题进行问题整改。</w:t>
      </w:r>
    </w:p>
    <w:p>
      <w:pPr>
        <w:keepNext w:val="0"/>
        <w:keepLines w:val="0"/>
        <w:pageBreakBefore w:val="0"/>
        <w:tabs>
          <w:tab w:val="left" w:pos="-1677"/>
          <w:tab w:val="left" w:pos="312"/>
        </w:tabs>
        <w:kinsoku/>
        <w:wordWrap/>
        <w:overflowPunct/>
        <w:topLinePunct w:val="0"/>
        <w:autoSpaceDE/>
        <w:autoSpaceDN/>
        <w:bidi w:val="0"/>
        <w:spacing w:line="560" w:lineRule="exact"/>
        <w:ind w:firstLine="642" w:firstLineChars="200"/>
        <w:textAlignment w:val="auto"/>
        <w:outlineLvl w:val="2"/>
        <w:rPr>
          <w:rFonts w:hint="default" w:ascii="Times New Roman" w:hAnsi="Times New Roman" w:eastAsia="仿宋_GB2312" w:cs="Times New Roman"/>
          <w:b/>
          <w:bCs/>
          <w:sz w:val="32"/>
          <w:szCs w:val="32"/>
          <w:highlight w:val="none"/>
          <w:lang w:val="en-US" w:eastAsia="zh-CN"/>
        </w:rPr>
      </w:pPr>
      <w:bookmarkStart w:id="105" w:name="_Toc644671422"/>
      <w:r>
        <w:rPr>
          <w:rFonts w:hint="default" w:ascii="Times New Roman" w:hAnsi="Times New Roman" w:eastAsia="仿宋_GB2312" w:cs="Times New Roman"/>
          <w:b/>
          <w:bCs/>
          <w:sz w:val="32"/>
          <w:szCs w:val="32"/>
          <w:highlight w:val="none"/>
          <w:lang w:val="en-US" w:eastAsia="zh-CN"/>
        </w:rPr>
        <w:t>重点任务完成情况：</w:t>
      </w:r>
      <w:bookmarkEnd w:id="105"/>
    </w:p>
    <w:p>
      <w:pPr>
        <w:keepNext w:val="0"/>
        <w:keepLines w:val="0"/>
        <w:pageBreakBefore w:val="0"/>
        <w:tabs>
          <w:tab w:val="left" w:pos="-1677"/>
          <w:tab w:val="left" w:pos="312"/>
        </w:tabs>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重点任务一：</w:t>
      </w:r>
      <w:r>
        <w:rPr>
          <w:rFonts w:hint="default" w:ascii="Times New Roman" w:hAnsi="Times New Roman" w:eastAsia="仿宋_GB2312" w:cs="Times New Roman"/>
          <w:sz w:val="32"/>
          <w:szCs w:val="32"/>
          <w:highlight w:val="none"/>
        </w:rPr>
        <w:t>财政国库业务项目绩效目标完成情况综述。项目全年预算数24.83万元，执行数为24.83万元，完成预算的100%。通过项目实施，提高我县公共财政新体制框架的建立，加强资金监管，提高财政资金使用效率。</w:t>
      </w:r>
    </w:p>
    <w:p>
      <w:pPr>
        <w:keepNext w:val="0"/>
        <w:keepLines w:val="0"/>
        <w:pageBreakBefore w:val="0"/>
        <w:tabs>
          <w:tab w:val="left" w:pos="-1677"/>
          <w:tab w:val="left" w:pos="312"/>
        </w:tabs>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lang w:val="en-US" w:eastAsia="zh-CN"/>
        </w:rPr>
        <w:t>重点任务二：</w:t>
      </w:r>
      <w:r>
        <w:rPr>
          <w:rFonts w:hint="default" w:ascii="Times New Roman" w:hAnsi="Times New Roman" w:eastAsia="仿宋_GB2312" w:cs="Times New Roman"/>
          <w:color w:val="000000"/>
          <w:sz w:val="32"/>
          <w:szCs w:val="32"/>
          <w:highlight w:val="none"/>
        </w:rPr>
        <w:t>信息化建设项目绩效目标完成情况综述。项目全年预算数51.73万元，执行数为51.73万元，完成预算的100%。通过项目健全完善管理机制，全面确保全县财政系统信息系统顺利运行和我县财政工作的正常开展。</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lang w:val="en-US" w:eastAsia="zh-CN"/>
        </w:rPr>
        <w:t>重点任务三：</w:t>
      </w:r>
      <w:r>
        <w:rPr>
          <w:rFonts w:hint="default" w:ascii="Times New Roman" w:hAnsi="Times New Roman" w:eastAsia="仿宋_GB2312" w:cs="Times New Roman"/>
          <w:color w:val="000000"/>
          <w:sz w:val="32"/>
          <w:szCs w:val="32"/>
          <w:highlight w:val="none"/>
        </w:rPr>
        <w:t>财政委托业务支出项目绩效目标完成情况综述。项目全年预算数297.10万元，执行数为297.10万元，完成预算的100%。通过项目加强财政资金监督力度、完善财政资金使用制度、树立财政资金监督意识、创新了财政资金管理方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106" w:name="_Toc426748122"/>
      <w:r>
        <w:rPr>
          <w:rFonts w:hint="default" w:ascii="Times New Roman" w:hAnsi="Times New Roman" w:eastAsia="楷体_GB2312" w:cs="Times New Roman"/>
          <w:b/>
          <w:bCs/>
          <w:color w:val="auto"/>
          <w:kern w:val="0"/>
          <w:sz w:val="32"/>
          <w:szCs w:val="32"/>
          <w:highlight w:val="none"/>
          <w:shd w:val="clear" w:color="auto" w:fill="FFFFFF"/>
          <w:lang w:val="zh-CN"/>
        </w:rPr>
        <w:t>自评质量。</w:t>
      </w:r>
      <w:bookmarkEnd w:id="106"/>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仿宋_GB2312" w:cs="Times New Roman"/>
          <w:b w:val="0"/>
          <w:bCs w:val="0"/>
          <w:color w:val="auto"/>
          <w:kern w:val="0"/>
          <w:sz w:val="32"/>
          <w:szCs w:val="32"/>
          <w:highlight w:val="none"/>
          <w:shd w:val="clear" w:color="auto" w:fill="FFFFFF"/>
          <w:lang w:val="en-US" w:eastAsia="zh-CN"/>
        </w:rPr>
      </w:pP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包括评价部门整体自评准确情况。</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1"/>
        <w:rPr>
          <w:rFonts w:hint="default" w:ascii="Times New Roman" w:hAnsi="Times New Roman" w:eastAsia="黑体" w:cs="Times New Roman"/>
          <w:color w:val="auto"/>
          <w:kern w:val="0"/>
          <w:sz w:val="32"/>
          <w:szCs w:val="32"/>
          <w:highlight w:val="none"/>
          <w:shd w:val="clear" w:color="auto" w:fill="FFFFFF"/>
        </w:rPr>
      </w:pPr>
      <w:bookmarkStart w:id="107" w:name="_Toc1146440749"/>
      <w:bookmarkStart w:id="108" w:name="_Toc2029118633"/>
      <w:r>
        <w:rPr>
          <w:rFonts w:hint="default" w:ascii="Times New Roman" w:hAnsi="Times New Roman" w:eastAsia="黑体" w:cs="Times New Roman"/>
          <w:color w:val="auto"/>
          <w:kern w:val="0"/>
          <w:sz w:val="32"/>
          <w:szCs w:val="32"/>
          <w:highlight w:val="none"/>
          <w:shd w:val="clear" w:color="auto" w:fill="FFFFFF"/>
        </w:rPr>
        <w:t>四、评价结论及建议</w:t>
      </w:r>
      <w:bookmarkEnd w:id="107"/>
      <w:bookmarkEnd w:id="108"/>
    </w:p>
    <w:p>
      <w:pPr>
        <w:keepNext w:val="0"/>
        <w:keepLines w:val="0"/>
        <w:pageBreakBefore w:val="0"/>
        <w:kinsoku/>
        <w:wordWrap/>
        <w:overflowPunct/>
        <w:topLinePunct w:val="0"/>
        <w:autoSpaceDE/>
        <w:autoSpaceDN/>
        <w:bidi w:val="0"/>
        <w:spacing w:line="560" w:lineRule="exact"/>
        <w:ind w:firstLine="642" w:firstLineChars="200"/>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109" w:name="_Toc455638271"/>
      <w:r>
        <w:rPr>
          <w:rFonts w:hint="default" w:ascii="Times New Roman" w:hAnsi="Times New Roman" w:eastAsia="楷体_GB2312" w:cs="Times New Roman"/>
          <w:b/>
          <w:bCs/>
          <w:color w:val="auto"/>
          <w:kern w:val="0"/>
          <w:sz w:val="32"/>
          <w:szCs w:val="32"/>
          <w:highlight w:val="none"/>
          <w:shd w:val="clear" w:color="auto" w:fill="FFFFFF"/>
          <w:lang w:val="zh-CN"/>
        </w:rPr>
        <w:t>（一）评价结论。</w:t>
      </w:r>
      <w:bookmarkEnd w:id="109"/>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仿宋_GB2312" w:cs="Times New Roman"/>
          <w:color w:val="000000"/>
          <w:sz w:val="32"/>
          <w:szCs w:val="32"/>
          <w:highlight w:val="none"/>
        </w:rPr>
        <w:t>2022年我局的部门预算编制规范、准确，各项经费全部纳入预案安排，整体部门支出绩效较好，资金使用效率较高，有效保障了部门的正常运转和专项工作开展。严格执行</w:t>
      </w:r>
      <w:r>
        <w:rPr>
          <w:rFonts w:hint="eastAsia" w:eastAsia="仿宋_GB2312" w:cs="Times New Roman"/>
          <w:color w:val="000000"/>
          <w:sz w:val="32"/>
          <w:szCs w:val="32"/>
          <w:highlight w:val="none"/>
          <w:lang w:eastAsia="zh-CN"/>
        </w:rPr>
        <w:t>中央八项规定</w:t>
      </w:r>
      <w:r>
        <w:rPr>
          <w:rFonts w:hint="default" w:ascii="Times New Roman" w:hAnsi="Times New Roman" w:eastAsia="仿宋_GB2312" w:cs="Times New Roman"/>
          <w:color w:val="000000"/>
          <w:sz w:val="32"/>
          <w:szCs w:val="32"/>
          <w:highlight w:val="none"/>
        </w:rPr>
        <w:t>整体发挥的社会效益明显，服务对象满意度高。</w:t>
      </w:r>
      <w:r>
        <w:rPr>
          <w:rFonts w:hint="default" w:ascii="Times New Roman" w:hAnsi="Times New Roman" w:eastAsia="仿宋_GB2312" w:cs="Times New Roman"/>
          <w:color w:val="000000"/>
          <w:sz w:val="32"/>
          <w:szCs w:val="32"/>
          <w:highlight w:val="none"/>
          <w:lang w:val="en-US" w:eastAsia="zh-CN"/>
        </w:rPr>
        <w:t>自评得分99分。（见附表）</w:t>
      </w:r>
    </w:p>
    <w:p>
      <w:pPr>
        <w:keepNext w:val="0"/>
        <w:keepLines w:val="0"/>
        <w:pageBreakBefore w:val="0"/>
        <w:widowControl/>
        <w:numPr>
          <w:ilvl w:val="0"/>
          <w:numId w:val="7"/>
        </w:numPr>
        <w:kinsoku/>
        <w:wordWrap/>
        <w:overflowPunct/>
        <w:topLinePunct w:val="0"/>
        <w:autoSpaceDE/>
        <w:autoSpaceDN/>
        <w:bidi w:val="0"/>
        <w:adjustRightInd w:val="0"/>
        <w:snapToGrid w:val="0"/>
        <w:spacing w:line="560" w:lineRule="exact"/>
        <w:ind w:firstLine="642" w:firstLineChars="200"/>
        <w:contextualSpacing/>
        <w:jc w:val="left"/>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110" w:name="_Toc962739811"/>
      <w:r>
        <w:rPr>
          <w:rFonts w:hint="default" w:ascii="Times New Roman" w:hAnsi="Times New Roman" w:eastAsia="楷体_GB2312" w:cs="Times New Roman"/>
          <w:b/>
          <w:bCs/>
          <w:color w:val="auto"/>
          <w:kern w:val="0"/>
          <w:sz w:val="32"/>
          <w:szCs w:val="32"/>
          <w:highlight w:val="none"/>
          <w:shd w:val="clear" w:color="auto" w:fill="FFFFFF"/>
          <w:lang w:val="zh-CN"/>
        </w:rPr>
        <w:t>存在问题。</w:t>
      </w:r>
      <w:bookmarkEnd w:id="110"/>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仿宋_GB2312" w:cs="Times New Roman"/>
          <w:color w:val="000000"/>
          <w:sz w:val="32"/>
          <w:szCs w:val="32"/>
          <w:highlight w:val="none"/>
        </w:rPr>
        <w:t>经费分解及费用控制有待进一步细化，绩效管理水平有待进一步提高。编制预算时考虑支出需要不够充分，预算执行受到的政策性、突发性因素的影响多，预算执行中存在着不确定性大。</w:t>
      </w:r>
    </w:p>
    <w:p>
      <w:pPr>
        <w:keepNext w:val="0"/>
        <w:keepLines w:val="0"/>
        <w:pageBreakBefore w:val="0"/>
        <w:widowControl/>
        <w:numPr>
          <w:ilvl w:val="0"/>
          <w:numId w:val="7"/>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outlineLvl w:val="2"/>
        <w:rPr>
          <w:rFonts w:hint="default" w:ascii="Times New Roman" w:hAnsi="Times New Roman" w:eastAsia="楷体_GB2312" w:cs="Times New Roman"/>
          <w:b/>
          <w:bCs/>
          <w:color w:val="auto"/>
          <w:kern w:val="0"/>
          <w:sz w:val="32"/>
          <w:szCs w:val="32"/>
          <w:highlight w:val="none"/>
          <w:shd w:val="clear" w:color="auto" w:fill="FFFFFF"/>
          <w:lang w:val="zh-CN"/>
        </w:rPr>
      </w:pPr>
      <w:bookmarkStart w:id="111" w:name="_Toc1368745250"/>
      <w:r>
        <w:rPr>
          <w:rFonts w:hint="default" w:ascii="Times New Roman" w:hAnsi="Times New Roman" w:eastAsia="楷体_GB2312" w:cs="Times New Roman"/>
          <w:b/>
          <w:bCs/>
          <w:color w:val="auto"/>
          <w:kern w:val="0"/>
          <w:sz w:val="32"/>
          <w:szCs w:val="32"/>
          <w:highlight w:val="none"/>
          <w:shd w:val="clear" w:color="auto" w:fill="FFFFFF"/>
          <w:lang w:val="zh-CN"/>
        </w:rPr>
        <w:t>改进建议。</w:t>
      </w:r>
      <w:bookmarkEnd w:id="111"/>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 xml:space="preserve">按时完成预决算编制，在执行过程中有计划进行资金申报、使用，完善资金管理及内部控制制度，确保资金安全，做到账款、账表、账实相符。 </w:t>
      </w:r>
    </w:p>
    <w:p>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仿宋_GB2312" w:cs="Times New Roman"/>
          <w:color w:val="000000"/>
          <w:sz w:val="32"/>
          <w:szCs w:val="32"/>
          <w:highlight w:val="none"/>
        </w:rPr>
        <w:t>完善预算定额标准体系。要按照实事求是、统筹兼顾、量入为出、保重点、重平衡的原则编制财政预算，要充分考虑政府行政单位和事业单位的特殊性与可比性，细化财政收支预算，保证部门预算额准确性可靠性。在预算制定后要严格执行，不得随意变更调整，确保预算的约束力。</w:t>
      </w:r>
    </w:p>
    <w:p>
      <w:pPr>
        <w:pStyle w:val="1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zh-CN" w:eastAsia="zh-CN"/>
        </w:rPr>
        <w:t>附表：</w:t>
      </w:r>
      <w:r>
        <w:rPr>
          <w:rFonts w:hint="default" w:ascii="Times New Roman" w:hAnsi="Times New Roman" w:eastAsia="仿宋_GB2312" w:cs="Times New Roman"/>
          <w:color w:val="auto"/>
          <w:sz w:val="32"/>
          <w:szCs w:val="32"/>
          <w:highlight w:val="none"/>
          <w:lang w:val="en-US" w:eastAsia="zh-CN"/>
        </w:rPr>
        <w:t>部门预算项目支出绩效自评表（2022年度）</w:t>
      </w:r>
    </w:p>
    <w:p>
      <w:pPr>
        <w:pStyle w:val="13"/>
        <w:keepNext w:val="0"/>
        <w:keepLines w:val="0"/>
        <w:pageBreakBefore w:val="0"/>
        <w:numPr>
          <w:ilvl w:val="0"/>
          <w:numId w:val="0"/>
        </w:numPr>
        <w:kinsoku/>
        <w:wordWrap/>
        <w:overflowPunct/>
        <w:topLinePunct w:val="0"/>
        <w:autoSpaceDE/>
        <w:autoSpaceDN/>
        <w:bidi w:val="0"/>
        <w:spacing w:line="560" w:lineRule="exact"/>
        <w:ind w:firstLine="880" w:firstLineChars="200"/>
        <w:textAlignment w:val="auto"/>
        <w:rPr>
          <w:rStyle w:val="28"/>
          <w:rFonts w:hint="default" w:ascii="Times New Roman" w:hAnsi="Times New Roman" w:eastAsia="黑体" w:cs="Times New Roman"/>
          <w:b w:val="0"/>
          <w:color w:val="auto"/>
          <w:highlight w:val="none"/>
        </w:rPr>
      </w:pPr>
      <w:r>
        <w:rPr>
          <w:rStyle w:val="28"/>
          <w:rFonts w:hint="default" w:ascii="Times New Roman" w:hAnsi="Times New Roman" w:eastAsia="黑体" w:cs="Times New Roman"/>
          <w:b w:val="0"/>
          <w:color w:val="auto"/>
          <w:highlight w:val="none"/>
        </w:rPr>
        <w:drawing>
          <wp:anchor distT="0" distB="0" distL="114300" distR="114300" simplePos="0" relativeHeight="251663360" behindDoc="1" locked="0" layoutInCell="1" allowOverlap="1">
            <wp:simplePos x="0" y="0"/>
            <wp:positionH relativeFrom="column">
              <wp:posOffset>-732790</wp:posOffset>
            </wp:positionH>
            <wp:positionV relativeFrom="paragraph">
              <wp:posOffset>-266700</wp:posOffset>
            </wp:positionV>
            <wp:extent cx="6547485" cy="8592185"/>
            <wp:effectExtent l="0" t="0" r="5715" b="18415"/>
            <wp:wrapTight wrapText="bothSides">
              <wp:wrapPolygon>
                <wp:start x="0" y="0"/>
                <wp:lineTo x="0" y="21551"/>
                <wp:lineTo x="21556" y="21551"/>
                <wp:lineTo x="21556" y="0"/>
                <wp:lineTo x="0" y="0"/>
              </wp:wrapPolygon>
            </wp:wrapTight>
            <wp:docPr id="8" name="图片 8" descr="截图录屏_选择区域_2023101615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截图录屏_选择区域_20231016152706"/>
                    <pic:cNvPicPr>
                      <a:picLocks noChangeAspect="1"/>
                    </pic:cNvPicPr>
                  </pic:nvPicPr>
                  <pic:blipFill>
                    <a:blip r:embed="rId13"/>
                    <a:stretch>
                      <a:fillRect/>
                    </a:stretch>
                  </pic:blipFill>
                  <pic:spPr>
                    <a:xfrm>
                      <a:off x="0" y="0"/>
                      <a:ext cx="6547485" cy="8592185"/>
                    </a:xfrm>
                    <a:prstGeom prst="rect">
                      <a:avLst/>
                    </a:prstGeom>
                  </pic:spPr>
                </pic:pic>
              </a:graphicData>
            </a:graphic>
          </wp:anchor>
        </w:drawing>
      </w:r>
      <w:bookmarkStart w:id="112" w:name="_Toc1925388313"/>
      <w:bookmarkStart w:id="113" w:name="_Toc1409159918"/>
    </w:p>
    <w:bookmarkEnd w:id="112"/>
    <w:bookmarkEnd w:id="113"/>
    <w:p>
      <w:pPr>
        <w:pageBreakBefore w:val="0"/>
        <w:kinsoku/>
        <w:wordWrap/>
        <w:overflowPunct/>
        <w:topLinePunct w:val="0"/>
        <w:bidi w:val="0"/>
        <w:spacing w:line="560" w:lineRule="exact"/>
        <w:jc w:val="center"/>
        <w:textAlignment w:val="auto"/>
        <w:outlineLvl w:val="0"/>
        <w:rPr>
          <w:rFonts w:hint="default" w:ascii="Times New Roman" w:hAnsi="Times New Roman" w:eastAsia="仿宋" w:cs="Times New Roman"/>
          <w:b w:val="0"/>
          <w:color w:val="auto"/>
          <w:highlight w:val="none"/>
        </w:rPr>
      </w:pPr>
      <w:bookmarkStart w:id="114" w:name="_Toc15396618"/>
      <w:bookmarkStart w:id="115" w:name="_Toc165755857"/>
      <w:bookmarkStart w:id="116" w:name="_Toc1690986956"/>
      <w:r>
        <w:rPr>
          <w:rFonts w:hint="default" w:ascii="Times New Roman" w:hAnsi="Times New Roman" w:eastAsia="黑体" w:cs="Times New Roman"/>
          <w:color w:val="auto"/>
          <w:sz w:val="44"/>
          <w:szCs w:val="44"/>
          <w:highlight w:val="none"/>
        </w:rPr>
        <w:t>第</w:t>
      </w:r>
      <w:r>
        <w:rPr>
          <w:rStyle w:val="28"/>
          <w:rFonts w:hint="default" w:ascii="Times New Roman" w:hAnsi="Times New Roman" w:eastAsia="黑体" w:cs="Times New Roman"/>
          <w:b w:val="0"/>
          <w:color w:val="auto"/>
          <w:highlight w:val="none"/>
        </w:rPr>
        <w:t>五部分 附表</w:t>
      </w:r>
      <w:bookmarkEnd w:id="114"/>
      <w:bookmarkEnd w:id="115"/>
      <w:bookmarkEnd w:id="116"/>
      <w:bookmarkStart w:id="117" w:name="_Toc15396619"/>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18" w:name="_Toc1036446362"/>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一、收入支出决算总表</w:t>
      </w:r>
      <w:bookmarkEnd w:id="117"/>
      <w:bookmarkEnd w:id="118"/>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19" w:name="_Toc15396620"/>
      <w:bookmarkStart w:id="120" w:name="_Toc448209913"/>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二、收入决算表</w:t>
      </w:r>
      <w:bookmarkEnd w:id="119"/>
      <w:bookmarkEnd w:id="120"/>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21" w:name="_Toc15396621"/>
      <w:bookmarkStart w:id="122" w:name="_Toc1317764924"/>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三、支出决算表</w:t>
      </w:r>
      <w:bookmarkEnd w:id="121"/>
      <w:bookmarkEnd w:id="122"/>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23" w:name="_Toc1278417942"/>
      <w:bookmarkStart w:id="124" w:name="_Toc15396622"/>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四、财政拨款收入支出决算总表</w:t>
      </w:r>
      <w:bookmarkEnd w:id="123"/>
      <w:bookmarkEnd w:id="124"/>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25" w:name="_Toc592304021"/>
      <w:bookmarkStart w:id="126" w:name="_Toc15396623"/>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五、财政拨款支出决算明细表</w:t>
      </w:r>
      <w:bookmarkEnd w:id="125"/>
      <w:bookmarkEnd w:id="126"/>
      <w:bookmarkStart w:id="127" w:name="_Toc15396624"/>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28" w:name="_Toc1711584710"/>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六、一般公共预算财政拨款支出决算表</w:t>
      </w:r>
      <w:bookmarkEnd w:id="127"/>
      <w:bookmarkEnd w:id="128"/>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29" w:name="_Toc1807513824"/>
      <w:bookmarkStart w:id="130" w:name="_Toc15396625"/>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七、一般公共预算财政拨款支出决算明细表</w:t>
      </w:r>
      <w:bookmarkEnd w:id="129"/>
      <w:bookmarkEnd w:id="130"/>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31" w:name="_Toc190911917"/>
      <w:bookmarkStart w:id="132" w:name="_Toc15396626"/>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八、一般公共预算财政拨款基本支出决算表</w:t>
      </w:r>
      <w:bookmarkEnd w:id="131"/>
      <w:bookmarkEnd w:id="132"/>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33" w:name="_Toc15396627"/>
      <w:bookmarkStart w:id="134" w:name="_Toc1784037165"/>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九、一般公共预算财政拨款项目支出决算表</w:t>
      </w:r>
      <w:bookmarkEnd w:id="133"/>
      <w:bookmarkEnd w:id="134"/>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35" w:name="_Toc15396628"/>
      <w:bookmarkStart w:id="136" w:name="_Toc2074510395"/>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十、</w:t>
      </w:r>
      <w:bookmarkEnd w:id="135"/>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政府性基金预算财政拨款收入支出决算表</w:t>
      </w:r>
      <w:bookmarkEnd w:id="136"/>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37" w:name="_Toc15396629"/>
      <w:bookmarkStart w:id="138" w:name="_Toc1508213076"/>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十一、</w:t>
      </w:r>
      <w:bookmarkEnd w:id="137"/>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国有资本经营预算财政拨款收入支出决算表</w:t>
      </w:r>
      <w:bookmarkEnd w:id="138"/>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39" w:name="_Toc15396630"/>
      <w:bookmarkStart w:id="140" w:name="_Toc1787135850"/>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十二、</w:t>
      </w:r>
      <w:bookmarkEnd w:id="139"/>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国有资本经营预算财政拨款支出决算表</w:t>
      </w:r>
      <w:bookmarkEnd w:id="140"/>
    </w:p>
    <w:p>
      <w:pPr>
        <w:pStyle w:val="3"/>
        <w:pageBreakBefore w:val="0"/>
        <w:kinsoku/>
        <w:wordWrap/>
        <w:overflowPunct/>
        <w:topLinePunct w:val="0"/>
        <w:bidi w:val="0"/>
        <w:spacing w:line="560" w:lineRule="exact"/>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pPr>
      <w:bookmarkStart w:id="141" w:name="_Toc15396631"/>
      <w:bookmarkStart w:id="142" w:name="_Toc784187406"/>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十三、</w:t>
      </w:r>
      <w:bookmarkEnd w:id="141"/>
      <w:r>
        <w:rPr>
          <w:rFonts w:hint="default" w:ascii="Times New Roman" w:hAnsi="Times New Roman" w:eastAsia="仿宋_GB2312" w:cs="Times New Roman"/>
          <w:b w:val="0"/>
          <w:bCs w:val="0"/>
          <w:color w:val="auto"/>
          <w:kern w:val="0"/>
          <w:sz w:val="32"/>
          <w:szCs w:val="32"/>
          <w:highlight w:val="none"/>
          <w:u w:val="none"/>
          <w:shd w:val="clear" w:color="auto" w:fill="FFFFFF"/>
          <w:lang w:val="zh-CN" w:eastAsia="zh-CN" w:bidi="ar-SA"/>
        </w:rPr>
        <w:t>财政拨款“三公”经费支出决算表</w:t>
      </w:r>
      <w:bookmarkEnd w:id="142"/>
    </w:p>
    <w:sectPr>
      <w:headerReference r:id="rId3" w:type="default"/>
      <w:footerReference r:id="rId4" w:type="default"/>
      <w:pgSz w:w="11906" w:h="16838"/>
      <w:pgMar w:top="2098" w:right="1587"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9"/>
          <w:jc w:val="center"/>
        </w:pPr>
        <w:r>
          <w:fldChar w:fldCharType="begin"/>
        </w:r>
        <w:r>
          <w:instrText xml:space="preserve">PAGE   \* MERGEFORMAT</w:instrText>
        </w:r>
        <w:r>
          <w:fldChar w:fldCharType="separate"/>
        </w:r>
        <w:r>
          <w:rPr>
            <w:lang w:val="zh-CN"/>
          </w:rPr>
          <w:t>8</w:t>
        </w:r>
        <w: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FD2F3"/>
    <w:multiLevelType w:val="singleLevel"/>
    <w:tmpl w:val="BFBFD2F3"/>
    <w:lvl w:ilvl="0" w:tentative="0">
      <w:start w:val="2"/>
      <w:numFmt w:val="chineseCounting"/>
      <w:suff w:val="nothing"/>
      <w:lvlText w:val="（%1）"/>
      <w:lvlJc w:val="left"/>
      <w:rPr>
        <w:rFonts w:hint="eastAsia"/>
      </w:rPr>
    </w:lvl>
  </w:abstractNum>
  <w:abstractNum w:abstractNumId="1">
    <w:nsid w:val="CFD5BAAF"/>
    <w:multiLevelType w:val="singleLevel"/>
    <w:tmpl w:val="CFD5BAAF"/>
    <w:lvl w:ilvl="0" w:tentative="0">
      <w:start w:val="1"/>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FBFE7596"/>
    <w:multiLevelType w:val="singleLevel"/>
    <w:tmpl w:val="FBFE7596"/>
    <w:lvl w:ilvl="0" w:tentative="0">
      <w:start w:val="2"/>
      <w:numFmt w:val="decimal"/>
      <w:lvlText w:val="%1."/>
      <w:lvlJc w:val="left"/>
      <w:pPr>
        <w:tabs>
          <w:tab w:val="left" w:pos="312"/>
        </w:tabs>
      </w:pPr>
    </w:lvl>
  </w:abstractNum>
  <w:abstractNum w:abstractNumId="4">
    <w:nsid w:val="FFBD137E"/>
    <w:multiLevelType w:val="singleLevel"/>
    <w:tmpl w:val="FFBD137E"/>
    <w:lvl w:ilvl="0" w:tentative="0">
      <w:start w:val="1"/>
      <w:numFmt w:val="chineseCounting"/>
      <w:suff w:val="nothing"/>
      <w:lvlText w:val="（%1）"/>
      <w:lvlJc w:val="left"/>
      <w:rPr>
        <w:rFonts w:hint="eastAsia"/>
      </w:rPr>
    </w:lvl>
  </w:abstractNum>
  <w:abstractNum w:abstractNumId="5">
    <w:nsid w:val="FFF674BC"/>
    <w:multiLevelType w:val="singleLevel"/>
    <w:tmpl w:val="FFF674BC"/>
    <w:lvl w:ilvl="0" w:tentative="0">
      <w:start w:val="1"/>
      <w:numFmt w:val="chineseCounting"/>
      <w:suff w:val="nothing"/>
      <w:lvlText w:val="%1、"/>
      <w:lvlJc w:val="left"/>
      <w:rPr>
        <w:rFonts w:hint="eastAsia"/>
      </w:rPr>
    </w:lvl>
  </w:abstractNum>
  <w:abstractNum w:abstractNumId="6">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6"/>
  </w:num>
  <w:num w:numId="3">
    <w:abstractNumId w:val="2"/>
  </w:num>
  <w:num w:numId="4">
    <w:abstractNumId w:val="5"/>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143E91"/>
    <w:rsid w:val="066E0107"/>
    <w:rsid w:val="07996F6E"/>
    <w:rsid w:val="0A2032A3"/>
    <w:rsid w:val="0F98263C"/>
    <w:rsid w:val="101860EC"/>
    <w:rsid w:val="10C055FF"/>
    <w:rsid w:val="118107EC"/>
    <w:rsid w:val="13D50BC4"/>
    <w:rsid w:val="15FFB15A"/>
    <w:rsid w:val="16BB723D"/>
    <w:rsid w:val="17FDC3D0"/>
    <w:rsid w:val="19BC8BA4"/>
    <w:rsid w:val="1BE8440E"/>
    <w:rsid w:val="1D155CEE"/>
    <w:rsid w:val="1EF95861"/>
    <w:rsid w:val="1FF35744"/>
    <w:rsid w:val="1FF5613B"/>
    <w:rsid w:val="23860B96"/>
    <w:rsid w:val="240371BF"/>
    <w:rsid w:val="29FD04D3"/>
    <w:rsid w:val="2BFFB551"/>
    <w:rsid w:val="2C8A61B5"/>
    <w:rsid w:val="2D5F7923"/>
    <w:rsid w:val="2DEFACE2"/>
    <w:rsid w:val="2DF04E50"/>
    <w:rsid w:val="2ED596BD"/>
    <w:rsid w:val="2F040D46"/>
    <w:rsid w:val="2F7F9BE8"/>
    <w:rsid w:val="2FE2190F"/>
    <w:rsid w:val="2FFE948F"/>
    <w:rsid w:val="300E44B6"/>
    <w:rsid w:val="319F7F4E"/>
    <w:rsid w:val="3304709D"/>
    <w:rsid w:val="34367CD0"/>
    <w:rsid w:val="35E7C661"/>
    <w:rsid w:val="3657AE0E"/>
    <w:rsid w:val="36AA5135"/>
    <w:rsid w:val="36D1B75D"/>
    <w:rsid w:val="372E3C12"/>
    <w:rsid w:val="3769C48E"/>
    <w:rsid w:val="376D39B2"/>
    <w:rsid w:val="37E16F03"/>
    <w:rsid w:val="38D469F0"/>
    <w:rsid w:val="38F1C161"/>
    <w:rsid w:val="3AF668E8"/>
    <w:rsid w:val="3AFF2802"/>
    <w:rsid w:val="3B5E324A"/>
    <w:rsid w:val="3B76D1D7"/>
    <w:rsid w:val="3BC6DDB2"/>
    <w:rsid w:val="3BEF218A"/>
    <w:rsid w:val="3D98207C"/>
    <w:rsid w:val="3DF6A0EC"/>
    <w:rsid w:val="3E78745D"/>
    <w:rsid w:val="3F3B3DE5"/>
    <w:rsid w:val="3FA4CD83"/>
    <w:rsid w:val="3FDB3EA1"/>
    <w:rsid w:val="3FF68765"/>
    <w:rsid w:val="44E268DA"/>
    <w:rsid w:val="47E9801C"/>
    <w:rsid w:val="47FB1DB1"/>
    <w:rsid w:val="49E7D4B3"/>
    <w:rsid w:val="4A627F82"/>
    <w:rsid w:val="4B0E749A"/>
    <w:rsid w:val="4B4F25DA"/>
    <w:rsid w:val="4BE068DB"/>
    <w:rsid w:val="4D577224"/>
    <w:rsid w:val="4EAB630A"/>
    <w:rsid w:val="4ECE2238"/>
    <w:rsid w:val="4EDF1512"/>
    <w:rsid w:val="4FB3346A"/>
    <w:rsid w:val="4FDF64A1"/>
    <w:rsid w:val="537E6D0A"/>
    <w:rsid w:val="557FF077"/>
    <w:rsid w:val="55FBB020"/>
    <w:rsid w:val="581EE405"/>
    <w:rsid w:val="5AEE90B3"/>
    <w:rsid w:val="5AF92295"/>
    <w:rsid w:val="5B7B594A"/>
    <w:rsid w:val="5BFF4A07"/>
    <w:rsid w:val="5CD71FC4"/>
    <w:rsid w:val="5D8B4E03"/>
    <w:rsid w:val="5EBF3E37"/>
    <w:rsid w:val="5EFF7A5C"/>
    <w:rsid w:val="5FDF023A"/>
    <w:rsid w:val="5FF98442"/>
    <w:rsid w:val="65EF4855"/>
    <w:rsid w:val="6BF38A55"/>
    <w:rsid w:val="6C4A05C8"/>
    <w:rsid w:val="6D5FC3B3"/>
    <w:rsid w:val="6DFFF900"/>
    <w:rsid w:val="6E7903CB"/>
    <w:rsid w:val="6E7E3605"/>
    <w:rsid w:val="6F53D762"/>
    <w:rsid w:val="6FB3B689"/>
    <w:rsid w:val="6FBFCF6D"/>
    <w:rsid w:val="6FCF62A8"/>
    <w:rsid w:val="6FF5CC65"/>
    <w:rsid w:val="715C0E4B"/>
    <w:rsid w:val="72734D90"/>
    <w:rsid w:val="72FE27B9"/>
    <w:rsid w:val="73777685"/>
    <w:rsid w:val="739DAF91"/>
    <w:rsid w:val="73AD73D5"/>
    <w:rsid w:val="73B6EB34"/>
    <w:rsid w:val="73C7592B"/>
    <w:rsid w:val="744731E5"/>
    <w:rsid w:val="75B23F4E"/>
    <w:rsid w:val="75BE9021"/>
    <w:rsid w:val="75C7AC77"/>
    <w:rsid w:val="765E7C0C"/>
    <w:rsid w:val="76E3355F"/>
    <w:rsid w:val="778769C8"/>
    <w:rsid w:val="77FEBB24"/>
    <w:rsid w:val="79EE5BA4"/>
    <w:rsid w:val="7A894339"/>
    <w:rsid w:val="7AFAE1ED"/>
    <w:rsid w:val="7BBB8956"/>
    <w:rsid w:val="7BBE6C69"/>
    <w:rsid w:val="7BBF6C5C"/>
    <w:rsid w:val="7BFF4685"/>
    <w:rsid w:val="7D393FBB"/>
    <w:rsid w:val="7D3A12EE"/>
    <w:rsid w:val="7D787D1C"/>
    <w:rsid w:val="7DBF668E"/>
    <w:rsid w:val="7DEEA34E"/>
    <w:rsid w:val="7E0F2EF7"/>
    <w:rsid w:val="7ED68602"/>
    <w:rsid w:val="7EEF11D3"/>
    <w:rsid w:val="7EF90FFF"/>
    <w:rsid w:val="7EF942E8"/>
    <w:rsid w:val="7F3FE6F4"/>
    <w:rsid w:val="7F77316E"/>
    <w:rsid w:val="7F7D4BAF"/>
    <w:rsid w:val="7F9D9E96"/>
    <w:rsid w:val="7FA30C79"/>
    <w:rsid w:val="7FB162D2"/>
    <w:rsid w:val="7FB7269E"/>
    <w:rsid w:val="7FC96657"/>
    <w:rsid w:val="7FDF4EDE"/>
    <w:rsid w:val="7FFD2AE0"/>
    <w:rsid w:val="7FFFEF06"/>
    <w:rsid w:val="8FE99F1F"/>
    <w:rsid w:val="8FFC903A"/>
    <w:rsid w:val="96DF09B1"/>
    <w:rsid w:val="9E5C66FF"/>
    <w:rsid w:val="9FFDA035"/>
    <w:rsid w:val="9FFE0CD0"/>
    <w:rsid w:val="AD790FB6"/>
    <w:rsid w:val="ADBC922B"/>
    <w:rsid w:val="ADFDAD82"/>
    <w:rsid w:val="B6FCE579"/>
    <w:rsid w:val="BB95D269"/>
    <w:rsid w:val="BBBF4C49"/>
    <w:rsid w:val="BBF71E79"/>
    <w:rsid w:val="BBFD0A3E"/>
    <w:rsid w:val="BDDC6714"/>
    <w:rsid w:val="BDDD32AA"/>
    <w:rsid w:val="BF5F4A6C"/>
    <w:rsid w:val="BFFF83E5"/>
    <w:rsid w:val="C9FF9A32"/>
    <w:rsid w:val="CEB469BB"/>
    <w:rsid w:val="D7D76F28"/>
    <w:rsid w:val="D8D6DB89"/>
    <w:rsid w:val="DB6F4CAB"/>
    <w:rsid w:val="DBFF80D6"/>
    <w:rsid w:val="DD77B1DD"/>
    <w:rsid w:val="DEAF7DA2"/>
    <w:rsid w:val="DF4F2DBD"/>
    <w:rsid w:val="DF6F9789"/>
    <w:rsid w:val="DF7B7C44"/>
    <w:rsid w:val="DF7F2A5C"/>
    <w:rsid w:val="DFDF3CAD"/>
    <w:rsid w:val="DFF9CBA3"/>
    <w:rsid w:val="DFFB5137"/>
    <w:rsid w:val="E5FB3D36"/>
    <w:rsid w:val="E67DCCCC"/>
    <w:rsid w:val="E6F60584"/>
    <w:rsid w:val="E78F55E9"/>
    <w:rsid w:val="E7EB04AA"/>
    <w:rsid w:val="E7FBD974"/>
    <w:rsid w:val="EAFE2340"/>
    <w:rsid w:val="ED17A733"/>
    <w:rsid w:val="EDBD4A02"/>
    <w:rsid w:val="EEAF4A23"/>
    <w:rsid w:val="EEDDE583"/>
    <w:rsid w:val="EEFDB85A"/>
    <w:rsid w:val="EF05B938"/>
    <w:rsid w:val="EFCE7A15"/>
    <w:rsid w:val="EFD91033"/>
    <w:rsid w:val="EFFEC071"/>
    <w:rsid w:val="F1A562D1"/>
    <w:rsid w:val="F1AA8761"/>
    <w:rsid w:val="F32FA5D7"/>
    <w:rsid w:val="F37D8D8A"/>
    <w:rsid w:val="F3EE8BCE"/>
    <w:rsid w:val="F5B789F5"/>
    <w:rsid w:val="F5C71134"/>
    <w:rsid w:val="F7B253F6"/>
    <w:rsid w:val="F7CF3AE9"/>
    <w:rsid w:val="F7D7ED4A"/>
    <w:rsid w:val="F7FDFBE5"/>
    <w:rsid w:val="FB99BBE5"/>
    <w:rsid w:val="FBBFE0F6"/>
    <w:rsid w:val="FBF7CFB2"/>
    <w:rsid w:val="FBFCC055"/>
    <w:rsid w:val="FC36B5D5"/>
    <w:rsid w:val="FC5F2952"/>
    <w:rsid w:val="FCBF4F4B"/>
    <w:rsid w:val="FDCFA61B"/>
    <w:rsid w:val="FDEA8FE8"/>
    <w:rsid w:val="FDFA9334"/>
    <w:rsid w:val="FE6F9819"/>
    <w:rsid w:val="FED29478"/>
    <w:rsid w:val="FEFDA071"/>
    <w:rsid w:val="FF7E38AE"/>
    <w:rsid w:val="FF9379F0"/>
    <w:rsid w:val="FFBFCB83"/>
    <w:rsid w:val="FFDF41A3"/>
    <w:rsid w:val="FFEB6C3A"/>
    <w:rsid w:val="FFEEC494"/>
    <w:rsid w:val="FFF84199"/>
    <w:rsid w:val="FFFE28E3"/>
    <w:rsid w:val="FFFEA4A2"/>
    <w:rsid w:val="FFFEF045"/>
    <w:rsid w:val="FFFFEAE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5">
    <w:name w:val="Default Paragraph Font"/>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Body Text First Indent 2"/>
    <w:basedOn w:val="6"/>
    <w:unhideWhenUsed/>
    <w:qFormat/>
    <w:uiPriority w:val="99"/>
    <w:pPr>
      <w:ind w:firstLine="420" w:firstLineChars="200"/>
    </w:pPr>
  </w:style>
  <w:style w:type="character" w:styleId="16">
    <w:name w:val="Strong"/>
    <w:basedOn w:val="15"/>
    <w:qFormat/>
    <w:uiPriority w:val="99"/>
    <w:rPr>
      <w:b/>
    </w:rPr>
  </w:style>
  <w:style w:type="character" w:styleId="17">
    <w:name w:val="Hyperlink"/>
    <w:basedOn w:val="15"/>
    <w:unhideWhenUsed/>
    <w:qFormat/>
    <w:uiPriority w:val="99"/>
    <w:rPr>
      <w:color w:val="0000FF" w:themeColor="hyperlink"/>
      <w:u w:val="single"/>
      <w14:textFill>
        <w14:solidFill>
          <w14:schemeClr w14:val="hlink"/>
        </w14:solidFill>
      </w14:textFill>
    </w:rPr>
  </w:style>
  <w:style w:type="paragraph" w:customStyle="1" w:styleId="18">
    <w:name w:val="列出段落1"/>
    <w:basedOn w:val="1"/>
    <w:qFormat/>
    <w:uiPriority w:val="0"/>
    <w:pPr>
      <w:ind w:firstLine="420" w:firstLineChars="200"/>
    </w:pPr>
    <w:rPr>
      <w:rFonts w:ascii="Calibri" w:hAnsi="Calibri"/>
      <w:sz w:val="32"/>
      <w:szCs w:val="32"/>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5"/>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5"/>
    <w:semiHidden/>
    <w:qFormat/>
    <w:uiPriority w:val="99"/>
    <w:rPr>
      <w:rFonts w:ascii="Times New Roman" w:hAnsi="Times New Roman"/>
      <w:sz w:val="18"/>
      <w:szCs w:val="18"/>
    </w:rPr>
  </w:style>
  <w:style w:type="character" w:customStyle="1" w:styleId="23">
    <w:name w:val="页脚 Char"/>
    <w:link w:val="9"/>
    <w:qFormat/>
    <w:locked/>
    <w:uiPriority w:val="99"/>
    <w:rPr>
      <w:sz w:val="18"/>
    </w:rPr>
  </w:style>
  <w:style w:type="character" w:customStyle="1" w:styleId="24">
    <w:name w:val="Body Text Char"/>
    <w:basedOn w:val="15"/>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5"/>
    <w:link w:val="2"/>
    <w:qFormat/>
    <w:uiPriority w:val="9"/>
    <w:rPr>
      <w:rFonts w:ascii="Times New Roman" w:hAnsi="Times New Roman"/>
      <w:b/>
      <w:bCs/>
      <w:kern w:val="44"/>
      <w:sz w:val="44"/>
      <w:szCs w:val="44"/>
    </w:rPr>
  </w:style>
  <w:style w:type="character" w:customStyle="1" w:styleId="29">
    <w:name w:val="标题 2 Char"/>
    <w:basedOn w:val="15"/>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5"/>
    <w:link w:val="8"/>
    <w:semiHidden/>
    <w:qFormat/>
    <w:uiPriority w:val="99"/>
    <w:rPr>
      <w:rFonts w:ascii="Times New Roman" w:hAnsi="Times New Roman"/>
      <w:kern w:val="2"/>
      <w:sz w:val="18"/>
      <w:szCs w:val="18"/>
    </w:rPr>
  </w:style>
  <w:style w:type="character" w:customStyle="1" w:styleId="32">
    <w:name w:val="标题 3 Char"/>
    <w:basedOn w:val="15"/>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png"/><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35745;&#31639;2021&#20915;&#31639;.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35745;&#31639;2021&#20915;&#3163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manualLayout>
          <c:layoutTarget val="inner"/>
          <c:xMode val="edge"/>
          <c:yMode val="edge"/>
          <c:x val="0.0689287185003072"/>
          <c:y val="0.161885609397944"/>
          <c:w val="0.924925"/>
          <c:h val="0.717233333333333"/>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2022年</c:v>
                </c:pt>
                <c:pt idx="1">
                  <c:v>2021年</c:v>
                </c:pt>
              </c:strCache>
            </c:strRef>
          </c:cat>
          <c:val>
            <c:numRef>
              <c:f>Sheet1!$B$2:$B$3</c:f>
              <c:numCache>
                <c:formatCode>General</c:formatCode>
                <c:ptCount val="2"/>
                <c:pt idx="0">
                  <c:v>1059.76</c:v>
                </c:pt>
                <c:pt idx="1">
                  <c:v>1090.31</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2022年</c:v>
                </c:pt>
                <c:pt idx="1">
                  <c:v>2021年</c:v>
                </c:pt>
              </c:strCache>
            </c:strRef>
          </c:cat>
          <c:val>
            <c:numRef>
              <c:f>Sheet1!$C$2:$C$3</c:f>
              <c:numCache>
                <c:formatCode>General</c:formatCode>
                <c:ptCount val="2"/>
                <c:pt idx="0">
                  <c:v>1302.36</c:v>
                </c:pt>
                <c:pt idx="1">
                  <c:v>1305.46</c:v>
                </c:pt>
              </c:numCache>
            </c:numRef>
          </c:val>
        </c:ser>
        <c:dLbls>
          <c:showLegendKey val="0"/>
          <c:showVal val="1"/>
          <c:showCatName val="0"/>
          <c:showSerName val="0"/>
          <c:showPercent val="0"/>
          <c:showBubbleSize val="0"/>
        </c:dLbls>
        <c:gapWidth val="219"/>
        <c:overlap val="-27"/>
        <c:axId val="60615990"/>
        <c:axId val="766697532"/>
      </c:barChart>
      <c:catAx>
        <c:axId val="60615990"/>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6697532"/>
        <c:crosses val="autoZero"/>
        <c:auto val="1"/>
        <c:lblAlgn val="ctr"/>
        <c:lblOffset val="100"/>
        <c:noMultiLvlLbl val="0"/>
      </c:catAx>
      <c:valAx>
        <c:axId val="76669753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159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Sheet2!$C$36</c:f>
              <c:strCache>
                <c:ptCount val="1"/>
                <c:pt idx="0">
                  <c:v>一般公共预算财政拨款收入</c:v>
                </c:pt>
              </c:strCache>
            </c:strRef>
          </c:tx>
          <c:explosion val="0"/>
          <c:dPt>
            <c:idx val="0"/>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val>
            <c:numRef>
              <c:f>Sheet2!$D$36</c:f>
              <c:numCache>
                <c:formatCode>General</c:formatCode>
                <c:ptCount val="1"/>
                <c:pt idx="0">
                  <c:v>1090.31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pieChart>
        <c:varyColors val="1"/>
        <c:ser>
          <c:idx val="0"/>
          <c:order val="0"/>
          <c:tx>
            <c:strRef>
              <c:f>Sheet1!$B$1</c:f>
              <c:strCache>
                <c:ptCount val="1"/>
                <c:pt idx="0">
                  <c:v>一般财政拨款支出</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71.31</c:v>
                </c:pt>
                <c:pt idx="1">
                  <c:v>28.69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财政拨款收入支出决算总体情况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1090.31</c:v>
                </c:pt>
                <c:pt idx="1">
                  <c:v>1121.96</c:v>
                </c:pt>
              </c:numCache>
            </c:numRef>
          </c:val>
        </c:ser>
        <c:ser>
          <c:idx val="1"/>
          <c:order val="1"/>
          <c:tx>
            <c:strRef>
              <c:f>Sheet1!$C$1</c:f>
              <c:strCache>
                <c:ptCount val="1"/>
                <c:pt idx="0">
                  <c:v>2022</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1059.76</c:v>
                </c:pt>
                <c:pt idx="1">
                  <c:v>1088.74</c:v>
                </c:pt>
              </c:numCache>
            </c:numRef>
          </c:val>
        </c:ser>
        <c:dLbls>
          <c:showLegendKey val="0"/>
          <c:showVal val="1"/>
          <c:showCatName val="0"/>
          <c:showSerName val="0"/>
          <c:showPercent val="0"/>
          <c:showBubbleSize val="0"/>
        </c:dLbls>
        <c:gapWidth val="219"/>
        <c:overlap val="-27"/>
        <c:axId val="785378055"/>
        <c:axId val="375949498"/>
      </c:barChart>
      <c:catAx>
        <c:axId val="78537805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5949498"/>
        <c:crosses val="autoZero"/>
        <c:auto val="1"/>
        <c:lblAlgn val="ctr"/>
        <c:lblOffset val="100"/>
        <c:noMultiLvlLbl val="0"/>
      </c:catAx>
      <c:valAx>
        <c:axId val="37594949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53780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1305.46</c:v>
                </c:pt>
              </c:numCache>
            </c:numRef>
          </c:val>
        </c:ser>
        <c:ser>
          <c:idx val="1"/>
          <c:order val="1"/>
          <c:tx>
            <c:strRef>
              <c:f>Sheet1!$C$1</c:f>
              <c:strCache>
                <c:ptCount val="1"/>
                <c:pt idx="0">
                  <c:v>2022</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1302.36</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numRef>
              <c:f>Sheet1!$A$2</c:f>
              <c:numCache>
                <c:formatCode>General</c:formatCode>
                <c:ptCount val="1"/>
              </c:numCache>
            </c:numRef>
          </c:cat>
          <c:val>
            <c:numRef>
              <c:f>Sheet1!$D$2</c:f>
              <c:numCache>
                <c:formatCode>General</c:formatCode>
                <c:ptCount val="1"/>
              </c:numCache>
            </c:numRef>
          </c:val>
        </c:ser>
        <c:dLbls>
          <c:showLegendKey val="0"/>
          <c:showVal val="0"/>
          <c:showCatName val="0"/>
          <c:showSerName val="0"/>
          <c:showPercent val="0"/>
          <c:showBubbleSize val="0"/>
        </c:dLbls>
        <c:gapWidth val="219"/>
        <c:overlap val="-27"/>
        <c:axId val="473325604"/>
        <c:axId val="211619953"/>
      </c:barChart>
      <c:catAx>
        <c:axId val="4733256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1619953"/>
        <c:crosses val="autoZero"/>
        <c:auto val="1"/>
        <c:lblAlgn val="ctr"/>
        <c:lblOffset val="100"/>
        <c:noMultiLvlLbl val="0"/>
      </c:catAx>
      <c:valAx>
        <c:axId val="21161995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33256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一般公共预算财政拨款支出决算结构情况</a:t>
            </a:r>
          </a:p>
        </c:rich>
      </c:tx>
      <c:layout/>
      <c:overlay val="0"/>
      <c:spPr>
        <a:noFill/>
        <a:ln>
          <a:noFill/>
        </a:ln>
        <a:effectLst/>
      </c:spPr>
    </c:title>
    <c:autoTitleDeleted val="0"/>
    <c:plotArea>
      <c:layout>
        <c:manualLayout>
          <c:layoutTarget val="inner"/>
          <c:xMode val="edge"/>
          <c:yMode val="edge"/>
          <c:x val="0.228120932003878"/>
          <c:y val="0.155642570281124"/>
          <c:w val="0.570625"/>
          <c:h val="0.760833333333333"/>
        </c:manualLayout>
      </c:layout>
      <c:pieChart>
        <c:varyColors val="1"/>
        <c:ser>
          <c:idx val="0"/>
          <c:order val="0"/>
          <c:tx>
            <c:strRef>
              <c:f>Sheet1!$B$1</c:f>
              <c:strCache>
                <c:ptCount val="1"/>
                <c:pt idx="0">
                  <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1088.74</c:v>
                </c:pt>
                <c:pt idx="1">
                  <c:v>108.47</c:v>
                </c:pt>
                <c:pt idx="2">
                  <c:v>42.63</c:v>
                </c:pt>
                <c:pt idx="3">
                  <c:v>62.53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dPt>
          <c:dPt>
            <c:idx val="1"/>
            <c:bubble3D val="0"/>
          </c:dPt>
          <c:dPt>
            <c:idx val="2"/>
            <c:bubble3D val="0"/>
          </c:dPt>
          <c:dLbls>
            <c:dLbl>
              <c:idx val="0"/>
              <c:layout>
                <c:manualLayout>
                  <c:x val="-0.0465505249343832"/>
                  <c:y val="0.0010677311169437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656022528433946"/>
                  <c:y val="-0.0016477107028288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Sheet2!$B$145:$B$147</c:f>
              <c:strCache>
                <c:ptCount val="3"/>
                <c:pt idx="0">
                  <c:v>因公出国（境）费</c:v>
                </c:pt>
                <c:pt idx="1">
                  <c:v>公务用车购置及运行维护费</c:v>
                </c:pt>
                <c:pt idx="2">
                  <c:v>公务接待费</c:v>
                </c:pt>
              </c:strCache>
            </c:strRef>
          </c:cat>
          <c:val>
            <c:numRef>
              <c:f>Sheet2!$C$145:$C$147</c:f>
              <c:numCache>
                <c:formatCode>General</c:formatCode>
                <c:ptCount val="3"/>
                <c:pt idx="0">
                  <c:v>0</c:v>
                </c:pt>
                <c:pt idx="1">
                  <c:v>10.44</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1299</Words>
  <Characters>7410</Characters>
  <Lines>61</Lines>
  <Paragraphs>17</Paragraphs>
  <TotalTime>14</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2020-08-08T09:49:00Z</dcterms:created>
  <dc:creator>曹颖</dc:creator>
  <cp:lastModifiedBy>user</cp:lastModifiedBy>
  <cp:lastPrinted>2023-10-20T01:24:00Z</cp:lastPrinted>
  <dcterms:modified xsi:type="dcterms:W3CDTF">2026-09-23T17:07:23Z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991B9D85BFCD49D490F62465FDCA61C1</vt:lpwstr>
  </property>
</Properties>
</file>