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bookmarkStart w:id="71" w:name="_GoBack"/>
    </w:p>
    <w:bookmarkEnd w:id="71"/>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96597"/>
      <w:bookmarkStart w:id="3" w:name="_Toc15378441"/>
      <w:bookmarkStart w:id="4" w:name="_Toc15377193"/>
      <w:bookmarkStart w:id="5" w:name="_Toc15377425"/>
      <w:r>
        <w:rPr>
          <w:rFonts w:ascii="黑体" w:hAnsi="黑体" w:eastAsia="黑体"/>
          <w:color w:val="000000"/>
          <w:sz w:val="72"/>
          <w:szCs w:val="72"/>
        </w:rPr>
        <w:t>2019</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7194"/>
      <w:bookmarkStart w:id="7" w:name="_Toc15378442"/>
      <w:bookmarkStart w:id="8" w:name="_Toc15377426"/>
      <w:bookmarkStart w:id="9" w:name="_Toc15396476"/>
      <w:bookmarkStart w:id="10" w:name="_Toc15396598"/>
      <w:r>
        <w:rPr>
          <w:rFonts w:hint="eastAsia" w:ascii="方正小标宋简体" w:hAnsi="宋体" w:eastAsia="方正小标宋简体"/>
          <w:color w:val="000000"/>
          <w:sz w:val="72"/>
          <w:szCs w:val="72"/>
        </w:rPr>
        <w:t>四川省阿坝州壤塘县</w:t>
      </w:r>
    </w:p>
    <w:bookmarkEnd w:id="0"/>
    <w:p>
      <w:pPr>
        <w:adjustRightInd w:val="0"/>
        <w:snapToGrid w:val="0"/>
        <w:spacing w:line="360" w:lineRule="auto"/>
        <w:jc w:val="center"/>
        <w:outlineLvl w:val="0"/>
        <w:rPr>
          <w:rFonts w:ascii="方正小标宋简体" w:hAnsi="宋体" w:eastAsia="方正小标宋简体"/>
          <w:color w:val="000000"/>
          <w:sz w:val="72"/>
          <w:szCs w:val="72"/>
        </w:rPr>
      </w:pPr>
      <w:bookmarkStart w:id="11" w:name="_Toc15306268"/>
      <w:r>
        <w:rPr>
          <w:rFonts w:hint="eastAsia" w:ascii="方正小标宋简体" w:hAnsi="宋体" w:eastAsia="方正小标宋简体"/>
          <w:color w:val="000000"/>
          <w:sz w:val="72"/>
          <w:szCs w:val="72"/>
        </w:rPr>
        <w:t>自然资源局部门决算</w:t>
      </w:r>
      <w:bookmarkEnd w:id="6"/>
      <w:bookmarkEnd w:id="7"/>
      <w:bookmarkEnd w:id="8"/>
      <w:bookmarkEnd w:id="9"/>
      <w:bookmarkEnd w:id="10"/>
      <w:bookmarkEnd w:id="11"/>
      <w:r>
        <w:rPr>
          <w:rFonts w:hint="eastAsia" w:ascii="方正小标宋简体" w:hAnsi="宋体" w:eastAsia="方正小标宋简体"/>
          <w:color w:val="000000"/>
          <w:sz w:val="72"/>
          <w:szCs w:val="72"/>
        </w:rPr>
        <w:t>公开编制说明</w:t>
      </w:r>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sz w:val="28"/>
          <w:szCs w:val="28"/>
        </w:rPr>
      </w:pPr>
    </w:p>
    <w:p>
      <w:pPr>
        <w:pStyle w:val="10"/>
      </w:pPr>
      <w:r>
        <w:rPr>
          <w:rFonts w:hint="eastAsia"/>
        </w:rPr>
        <w:t>公开时间：</w:t>
      </w:r>
      <w:r>
        <w:t>2020</w:t>
      </w:r>
      <w:r>
        <w:rPr>
          <w:rFonts w:hint="eastAsia"/>
        </w:rPr>
        <w:t>年10月23日</w:t>
      </w:r>
    </w:p>
    <w:p/>
    <w:p>
      <w:pPr>
        <w:pStyle w:val="10"/>
        <w:adjustRightInd w:val="0"/>
        <w:snapToGrid w:val="0"/>
        <w:spacing w:before="0" w:line="440" w:lineRule="exact"/>
        <w:jc w:val="left"/>
        <w:rPr>
          <w:sz w:val="24"/>
          <w:szCs w:val="24"/>
        </w:rPr>
      </w:pPr>
      <w:r>
        <w:rPr>
          <w:rFonts w:hint="eastAsia"/>
          <w:sz w:val="24"/>
        </w:rPr>
        <w:t>第一部分部门概况</w:t>
      </w:r>
      <w:r>
        <w:rPr>
          <w:sz w:val="24"/>
        </w:rPr>
        <w:t>...........................................</w:t>
      </w:r>
      <w:r>
        <w:rPr>
          <w:rFonts w:hint="eastAsia"/>
          <w:b/>
          <w:sz w:val="24"/>
        </w:rPr>
        <w:t>5</w:t>
      </w:r>
    </w:p>
    <w:p>
      <w:pPr>
        <w:pStyle w:val="11"/>
        <w:adjustRightInd w:val="0"/>
        <w:snapToGrid w:val="0"/>
        <w:spacing w:line="440" w:lineRule="exact"/>
        <w:jc w:val="left"/>
        <w:rPr>
          <w:rFonts w:ascii="仿宋" w:eastAsia="仿宋"/>
          <w:sz w:val="24"/>
        </w:rPr>
      </w:pPr>
      <w:r>
        <w:rPr>
          <w:rFonts w:hint="eastAsia"/>
          <w:sz w:val="24"/>
        </w:rPr>
        <w:t>一、基本职能及主要工作</w:t>
      </w:r>
      <w:r>
        <w:rPr>
          <w:sz w:val="24"/>
        </w:rPr>
        <w:t>....................................................................</w:t>
      </w:r>
      <w:r>
        <w:rPr>
          <w:rFonts w:hint="eastAsia"/>
          <w:sz w:val="24"/>
        </w:rPr>
        <w:t>11</w:t>
      </w:r>
    </w:p>
    <w:p>
      <w:pPr>
        <w:pStyle w:val="11"/>
        <w:adjustRightInd w:val="0"/>
        <w:snapToGrid w:val="0"/>
        <w:spacing w:line="440" w:lineRule="exact"/>
        <w:jc w:val="left"/>
        <w:rPr>
          <w:rFonts w:ascii="仿宋" w:eastAsia="仿宋"/>
          <w:sz w:val="24"/>
        </w:rPr>
      </w:pPr>
      <w:r>
        <w:rPr>
          <w:rFonts w:hint="eastAsia"/>
          <w:sz w:val="24"/>
        </w:rPr>
        <w:t>二、机构设置</w:t>
      </w:r>
      <w:r>
        <w:rPr>
          <w:sz w:val="24"/>
        </w:rPr>
        <w:t>........................................................................................</w:t>
      </w:r>
      <w:r>
        <w:rPr>
          <w:rFonts w:hint="eastAsia"/>
          <w:sz w:val="24"/>
        </w:rPr>
        <w:t>11</w:t>
      </w:r>
    </w:p>
    <w:p>
      <w:pPr>
        <w:pStyle w:val="10"/>
        <w:adjustRightInd w:val="0"/>
        <w:snapToGrid w:val="0"/>
        <w:spacing w:before="0" w:line="440" w:lineRule="exact"/>
        <w:jc w:val="left"/>
        <w:rPr>
          <w:sz w:val="24"/>
          <w:szCs w:val="24"/>
        </w:rPr>
      </w:pPr>
      <w:r>
        <w:rPr>
          <w:rFonts w:hint="eastAsia"/>
          <w:sz w:val="24"/>
        </w:rPr>
        <w:t>第二部分度部门决算情况说明</w:t>
      </w:r>
      <w:r>
        <w:rPr>
          <w:sz w:val="24"/>
        </w:rPr>
        <w:t>..................................</w:t>
      </w:r>
      <w:r>
        <w:rPr>
          <w:rFonts w:hint="eastAsia"/>
          <w:sz w:val="24"/>
        </w:rPr>
        <w:t>11</w:t>
      </w:r>
    </w:p>
    <w:p>
      <w:pPr>
        <w:pStyle w:val="11"/>
        <w:adjustRightInd w:val="0"/>
        <w:snapToGrid w:val="0"/>
        <w:spacing w:line="440" w:lineRule="exact"/>
        <w:jc w:val="left"/>
        <w:rPr>
          <w:rFonts w:ascii="仿宋" w:eastAsia="仿宋"/>
          <w:sz w:val="24"/>
        </w:rPr>
      </w:pPr>
      <w:r>
        <w:rPr>
          <w:rFonts w:hint="eastAsia"/>
          <w:sz w:val="24"/>
        </w:rPr>
        <w:t>一、收入支出决算总体情况说明</w:t>
      </w:r>
      <w:r>
        <w:rPr>
          <w:sz w:val="24"/>
        </w:rPr>
        <w:t>........................................................</w:t>
      </w:r>
      <w:r>
        <w:rPr>
          <w:rFonts w:hint="eastAsia"/>
          <w:sz w:val="24"/>
        </w:rPr>
        <w:t>11</w:t>
      </w:r>
    </w:p>
    <w:p>
      <w:pPr>
        <w:pStyle w:val="11"/>
        <w:adjustRightInd w:val="0"/>
        <w:snapToGrid w:val="0"/>
        <w:spacing w:line="440" w:lineRule="exact"/>
        <w:jc w:val="left"/>
        <w:rPr>
          <w:rFonts w:ascii="仿宋" w:eastAsia="仿宋"/>
          <w:sz w:val="24"/>
        </w:rPr>
      </w:pPr>
      <w:r>
        <w:rPr>
          <w:rFonts w:hint="eastAsia"/>
          <w:sz w:val="24"/>
        </w:rPr>
        <w:t>二、收入决算情况说明</w:t>
      </w:r>
      <w:r>
        <w:rPr>
          <w:sz w:val="24"/>
        </w:rPr>
        <w:t>........................................................................</w:t>
      </w:r>
      <w:r>
        <w:rPr>
          <w:rFonts w:hint="eastAsia"/>
          <w:sz w:val="24"/>
        </w:rPr>
        <w:t>12</w:t>
      </w:r>
    </w:p>
    <w:p>
      <w:pPr>
        <w:pStyle w:val="11"/>
        <w:adjustRightInd w:val="0"/>
        <w:snapToGrid w:val="0"/>
        <w:spacing w:line="440" w:lineRule="exact"/>
        <w:jc w:val="left"/>
        <w:rPr>
          <w:rFonts w:ascii="仿宋" w:eastAsia="仿宋"/>
          <w:sz w:val="24"/>
        </w:rPr>
      </w:pPr>
      <w:r>
        <w:rPr>
          <w:rFonts w:hint="eastAsia"/>
          <w:sz w:val="24"/>
        </w:rPr>
        <w:t>三、支出决算情况说明</w:t>
      </w:r>
      <w:r>
        <w:rPr>
          <w:sz w:val="24"/>
        </w:rPr>
        <w:t>........................................................................</w:t>
      </w:r>
      <w:r>
        <w:rPr>
          <w:rFonts w:hint="eastAsia"/>
          <w:sz w:val="24"/>
        </w:rPr>
        <w:t>12</w:t>
      </w:r>
    </w:p>
    <w:p>
      <w:pPr>
        <w:pStyle w:val="11"/>
        <w:adjustRightInd w:val="0"/>
        <w:snapToGrid w:val="0"/>
        <w:spacing w:line="440" w:lineRule="exact"/>
        <w:jc w:val="left"/>
        <w:rPr>
          <w:rFonts w:ascii="仿宋" w:eastAsia="仿宋"/>
          <w:sz w:val="24"/>
        </w:rPr>
      </w:pPr>
      <w:r>
        <w:rPr>
          <w:rFonts w:hint="eastAsia"/>
          <w:sz w:val="24"/>
        </w:rPr>
        <w:t>四、财政拨款收入支出决算总体情况说明</w:t>
      </w:r>
      <w:r>
        <w:rPr>
          <w:sz w:val="24"/>
        </w:rPr>
        <w:t>.........................................</w:t>
      </w:r>
      <w:r>
        <w:rPr>
          <w:rFonts w:hint="eastAsia"/>
          <w:sz w:val="24"/>
        </w:rPr>
        <w:t>13</w:t>
      </w:r>
    </w:p>
    <w:p>
      <w:pPr>
        <w:pStyle w:val="11"/>
        <w:adjustRightInd w:val="0"/>
        <w:snapToGrid w:val="0"/>
        <w:spacing w:line="440" w:lineRule="exact"/>
        <w:jc w:val="left"/>
        <w:rPr>
          <w:rFonts w:ascii="仿宋" w:eastAsia="仿宋"/>
          <w:sz w:val="24"/>
        </w:rPr>
      </w:pPr>
      <w:r>
        <w:rPr>
          <w:rFonts w:hint="eastAsia"/>
          <w:sz w:val="24"/>
        </w:rPr>
        <w:t>五、一般公共预算财政拨款支出决算情况说明</w:t>
      </w:r>
      <w:r>
        <w:rPr>
          <w:sz w:val="24"/>
        </w:rPr>
        <w:t>.................................</w:t>
      </w:r>
      <w:r>
        <w:rPr>
          <w:rFonts w:hint="eastAsia"/>
          <w:sz w:val="24"/>
        </w:rPr>
        <w:t>14</w:t>
      </w:r>
    </w:p>
    <w:p>
      <w:pPr>
        <w:pStyle w:val="11"/>
        <w:adjustRightInd w:val="0"/>
        <w:snapToGrid w:val="0"/>
        <w:spacing w:line="440" w:lineRule="exact"/>
        <w:jc w:val="left"/>
        <w:rPr>
          <w:rFonts w:ascii="仿宋" w:eastAsia="仿宋"/>
          <w:sz w:val="24"/>
        </w:rPr>
      </w:pPr>
      <w:r>
        <w:rPr>
          <w:rFonts w:hint="eastAsia"/>
          <w:sz w:val="24"/>
        </w:rPr>
        <w:t>六、一般公共预算财政拨款基本支出决算情况说明</w:t>
      </w:r>
      <w:r>
        <w:rPr>
          <w:sz w:val="24"/>
        </w:rPr>
        <w:t>.........................</w:t>
      </w:r>
      <w:r>
        <w:rPr>
          <w:rFonts w:hint="eastAsia"/>
          <w:sz w:val="24"/>
        </w:rPr>
        <w:t>16</w:t>
      </w:r>
    </w:p>
    <w:p>
      <w:pPr>
        <w:pStyle w:val="11"/>
        <w:adjustRightInd w:val="0"/>
        <w:snapToGrid w:val="0"/>
        <w:spacing w:line="440" w:lineRule="exact"/>
        <w:jc w:val="left"/>
        <w:rPr>
          <w:rFonts w:ascii="仿宋" w:eastAsia="仿宋"/>
          <w:sz w:val="24"/>
        </w:rPr>
      </w:pPr>
      <w:r>
        <w:rPr>
          <w:rFonts w:hint="eastAsia"/>
          <w:sz w:val="24"/>
        </w:rPr>
        <w:t>七、</w:t>
      </w:r>
      <w:r>
        <w:rPr>
          <w:sz w:val="24"/>
        </w:rPr>
        <w:t>“</w:t>
      </w:r>
      <w:r>
        <w:rPr>
          <w:rFonts w:hint="eastAsia"/>
          <w:sz w:val="24"/>
        </w:rPr>
        <w:t>三公”经费财政拨款支出决算情况说明</w:t>
      </w:r>
      <w:r>
        <w:rPr>
          <w:sz w:val="24"/>
        </w:rPr>
        <w:t>...................................</w:t>
      </w:r>
      <w:r>
        <w:rPr>
          <w:rFonts w:hint="eastAsia"/>
          <w:sz w:val="24"/>
        </w:rPr>
        <w:t>17</w:t>
      </w:r>
    </w:p>
    <w:p>
      <w:pPr>
        <w:pStyle w:val="11"/>
        <w:adjustRightInd w:val="0"/>
        <w:snapToGrid w:val="0"/>
        <w:spacing w:line="440" w:lineRule="exact"/>
        <w:jc w:val="left"/>
        <w:rPr>
          <w:rFonts w:ascii="仿宋" w:eastAsia="仿宋"/>
          <w:sz w:val="24"/>
        </w:rPr>
      </w:pPr>
      <w:r>
        <w:rPr>
          <w:rFonts w:hint="eastAsia"/>
          <w:sz w:val="24"/>
        </w:rPr>
        <w:t>八、政府性基金预算支出决算情况说明</w:t>
      </w:r>
      <w:r>
        <w:rPr>
          <w:sz w:val="24"/>
        </w:rPr>
        <w:t>.............................................</w:t>
      </w:r>
      <w:r>
        <w:rPr>
          <w:rFonts w:hint="eastAsia"/>
          <w:sz w:val="24"/>
        </w:rPr>
        <w:t>18</w:t>
      </w:r>
    </w:p>
    <w:p>
      <w:pPr>
        <w:pStyle w:val="11"/>
        <w:adjustRightInd w:val="0"/>
        <w:snapToGrid w:val="0"/>
        <w:spacing w:line="440" w:lineRule="exact"/>
        <w:ind w:leftChars="0"/>
        <w:jc w:val="left"/>
        <w:rPr>
          <w:rFonts w:ascii="仿宋" w:eastAsia="仿宋"/>
          <w:sz w:val="24"/>
        </w:rPr>
      </w:pPr>
      <w:r>
        <w:rPr>
          <w:rFonts w:hint="eastAsia" w:ascii="仿宋" w:hAnsi="仿宋" w:eastAsia="仿宋"/>
          <w:sz w:val="24"/>
        </w:rPr>
        <w:t>九、</w:t>
      </w:r>
      <w:r>
        <w:rPr>
          <w:rFonts w:hint="eastAsia"/>
          <w:sz w:val="24"/>
        </w:rPr>
        <w:t>国有资本经营预算支出决算情况说明</w:t>
      </w:r>
      <w:r>
        <w:rPr>
          <w:sz w:val="24"/>
        </w:rPr>
        <w:t>.......................................</w:t>
      </w:r>
      <w:r>
        <w:rPr>
          <w:rFonts w:hint="eastAsia"/>
          <w:sz w:val="24"/>
        </w:rPr>
        <w:t>19</w:t>
      </w:r>
    </w:p>
    <w:p>
      <w:pPr>
        <w:adjustRightInd w:val="0"/>
        <w:snapToGrid w:val="0"/>
        <w:spacing w:line="440" w:lineRule="exact"/>
        <w:ind w:firstLine="480" w:firstLineChars="200"/>
        <w:jc w:val="left"/>
        <w:rPr>
          <w:rFonts w:ascii="仿宋" w:hAnsi="仿宋" w:eastAsia="仿宋"/>
          <w:sz w:val="24"/>
        </w:rPr>
      </w:pPr>
      <w:r>
        <w:rPr>
          <w:rStyle w:val="16"/>
          <w:rFonts w:hint="eastAsia" w:ascii="仿宋" w:hAnsi="仿宋" w:eastAsia="仿宋"/>
          <w:color w:val="000000"/>
          <w:sz w:val="24"/>
          <w:u w:val="none"/>
        </w:rPr>
        <w:t>十、</w:t>
      </w:r>
      <w:r>
        <w:rPr>
          <w:rFonts w:hint="eastAsia"/>
          <w:sz w:val="24"/>
        </w:rPr>
        <w:t>其他重要事项的情况说明</w:t>
      </w:r>
      <w:r>
        <w:rPr>
          <w:sz w:val="24"/>
        </w:rPr>
        <w:t>............................................................</w:t>
      </w:r>
      <w:r>
        <w:rPr>
          <w:rFonts w:hint="eastAsia"/>
          <w:sz w:val="24"/>
        </w:rPr>
        <w:t>19</w:t>
      </w:r>
      <w:r>
        <w:rPr>
          <w:rFonts w:ascii="仿宋" w:hAnsi="仿宋" w:eastAsia="仿宋"/>
          <w:sz w:val="24"/>
        </w:rPr>
        <w:tab/>
      </w:r>
    </w:p>
    <w:p>
      <w:pPr>
        <w:pStyle w:val="10"/>
        <w:adjustRightInd w:val="0"/>
        <w:snapToGrid w:val="0"/>
        <w:spacing w:before="0" w:line="440" w:lineRule="exact"/>
        <w:jc w:val="left"/>
        <w:rPr>
          <w:sz w:val="24"/>
          <w:szCs w:val="24"/>
        </w:rPr>
      </w:pPr>
      <w:r>
        <w:rPr>
          <w:rFonts w:hint="eastAsia"/>
          <w:sz w:val="24"/>
        </w:rPr>
        <w:t>第三部分名词解释</w:t>
      </w:r>
      <w:r>
        <w:rPr>
          <w:sz w:val="24"/>
          <w:szCs w:val="24"/>
        </w:rPr>
        <w:t>...........................................</w:t>
      </w:r>
      <w:r>
        <w:rPr>
          <w:rFonts w:hint="eastAsia"/>
          <w:sz w:val="24"/>
          <w:szCs w:val="24"/>
        </w:rPr>
        <w:t>28</w:t>
      </w:r>
    </w:p>
    <w:p>
      <w:pPr>
        <w:pStyle w:val="11"/>
        <w:adjustRightInd w:val="0"/>
        <w:snapToGrid w:val="0"/>
        <w:spacing w:line="440" w:lineRule="exact"/>
        <w:jc w:val="left"/>
        <w:rPr>
          <w:rFonts w:ascii="仿宋" w:eastAsia="仿宋"/>
          <w:sz w:val="24"/>
        </w:rPr>
      </w:pPr>
      <w:r>
        <w:rPr>
          <w:rFonts w:hint="eastAsia"/>
          <w:sz w:val="24"/>
        </w:rPr>
        <w:t>附件</w:t>
      </w:r>
      <w:r>
        <w:rPr>
          <w:sz w:val="24"/>
        </w:rPr>
        <w:t>1.....................................................................................................</w:t>
      </w:r>
      <w:r>
        <w:rPr>
          <w:rFonts w:hint="eastAsia"/>
          <w:sz w:val="24"/>
        </w:rPr>
        <w:t>31</w:t>
      </w:r>
    </w:p>
    <w:p>
      <w:pPr>
        <w:pStyle w:val="11"/>
        <w:adjustRightInd w:val="0"/>
        <w:snapToGrid w:val="0"/>
        <w:spacing w:line="440" w:lineRule="exact"/>
        <w:jc w:val="left"/>
        <w:rPr>
          <w:rFonts w:ascii="仿宋" w:eastAsia="仿宋"/>
          <w:sz w:val="24"/>
        </w:rPr>
      </w:pPr>
      <w:r>
        <w:rPr>
          <w:rFonts w:hint="eastAsia"/>
          <w:sz w:val="24"/>
        </w:rPr>
        <w:t>附件</w:t>
      </w:r>
      <w:r>
        <w:rPr>
          <w:sz w:val="24"/>
        </w:rPr>
        <w:t>2.....................................................................................................</w:t>
      </w:r>
      <w:r>
        <w:rPr>
          <w:rFonts w:hint="eastAsia"/>
          <w:sz w:val="24"/>
        </w:rPr>
        <w:t>35</w:t>
      </w:r>
    </w:p>
    <w:p>
      <w:pPr>
        <w:pStyle w:val="10"/>
        <w:adjustRightInd w:val="0"/>
        <w:snapToGrid w:val="0"/>
        <w:spacing w:before="0" w:line="440" w:lineRule="exact"/>
        <w:jc w:val="left"/>
        <w:rPr>
          <w:sz w:val="24"/>
          <w:szCs w:val="24"/>
        </w:rPr>
      </w:pPr>
      <w:r>
        <w:rPr>
          <w:rFonts w:hint="eastAsia"/>
          <w:sz w:val="24"/>
        </w:rPr>
        <w:t>第五部分附表</w:t>
      </w:r>
      <w:r>
        <w:rPr>
          <w:sz w:val="24"/>
        </w:rPr>
        <w:t>...............................................</w:t>
      </w:r>
      <w:r>
        <w:rPr>
          <w:rFonts w:hint="eastAsia"/>
          <w:sz w:val="24"/>
        </w:rPr>
        <w:t>41</w:t>
      </w:r>
    </w:p>
    <w:p>
      <w:pPr>
        <w:pStyle w:val="11"/>
        <w:adjustRightInd w:val="0"/>
        <w:snapToGrid w:val="0"/>
        <w:spacing w:line="440" w:lineRule="exact"/>
        <w:jc w:val="left"/>
        <w:rPr>
          <w:rFonts w:ascii="仿宋" w:eastAsia="仿宋"/>
          <w:sz w:val="24"/>
        </w:rPr>
      </w:pPr>
      <w:r>
        <w:rPr>
          <w:rFonts w:hint="eastAsia" w:ascii="仿宋" w:hAnsi="仿宋" w:eastAsia="仿宋"/>
          <w:sz w:val="24"/>
        </w:rPr>
        <w:t>一、</w:t>
      </w:r>
      <w:r>
        <w:rPr>
          <w:rFonts w:hint="eastAsia"/>
          <w:sz w:val="24"/>
        </w:rPr>
        <w:t>收入支出决算总表</w:t>
      </w:r>
      <w:r>
        <w:rPr>
          <w:sz w:val="24"/>
        </w:rPr>
        <w:t>...........................................................................</w:t>
      </w:r>
      <w:r>
        <w:rPr>
          <w:rFonts w:hint="eastAsia"/>
          <w:sz w:val="24"/>
        </w:rPr>
        <w:t>42</w:t>
      </w:r>
    </w:p>
    <w:p>
      <w:pPr>
        <w:pStyle w:val="11"/>
        <w:adjustRightInd w:val="0"/>
        <w:snapToGrid w:val="0"/>
        <w:spacing w:line="440" w:lineRule="exact"/>
        <w:jc w:val="left"/>
        <w:rPr>
          <w:rFonts w:ascii="仿宋" w:eastAsia="仿宋"/>
          <w:sz w:val="24"/>
        </w:rPr>
      </w:pPr>
      <w:r>
        <w:rPr>
          <w:rFonts w:hint="eastAsia" w:ascii="仿宋" w:hAnsi="仿宋" w:eastAsia="仿宋"/>
          <w:sz w:val="24"/>
        </w:rPr>
        <w:t>二、</w:t>
      </w:r>
      <w:r>
        <w:rPr>
          <w:rFonts w:hint="eastAsia"/>
          <w:sz w:val="24"/>
        </w:rPr>
        <w:t>收入</w:t>
      </w:r>
      <w:r>
        <w:rPr>
          <w:rFonts w:hint="eastAsia" w:ascii="仿宋" w:hAnsi="仿宋" w:eastAsia="仿宋"/>
          <w:sz w:val="24"/>
        </w:rPr>
        <w:t>决算</w:t>
      </w:r>
      <w:r>
        <w:rPr>
          <w:rFonts w:hint="eastAsia"/>
          <w:sz w:val="24"/>
        </w:rPr>
        <w:t>表</w:t>
      </w:r>
      <w:r>
        <w:rPr>
          <w:sz w:val="24"/>
        </w:rPr>
        <w:t>.......................................................................................</w:t>
      </w:r>
      <w:r>
        <w:rPr>
          <w:rFonts w:hint="eastAsia"/>
          <w:sz w:val="24"/>
        </w:rPr>
        <w:t>43</w:t>
      </w:r>
    </w:p>
    <w:p>
      <w:pPr>
        <w:pStyle w:val="11"/>
        <w:adjustRightInd w:val="0"/>
        <w:snapToGrid w:val="0"/>
        <w:spacing w:line="440" w:lineRule="exact"/>
        <w:jc w:val="left"/>
        <w:rPr>
          <w:rFonts w:ascii="仿宋" w:eastAsia="仿宋"/>
          <w:sz w:val="24"/>
        </w:rPr>
      </w:pPr>
      <w:r>
        <w:rPr>
          <w:rFonts w:hint="eastAsia" w:ascii="仿宋" w:hAnsi="仿宋" w:eastAsia="仿宋"/>
          <w:sz w:val="24"/>
        </w:rPr>
        <w:t>三、</w:t>
      </w:r>
      <w:r>
        <w:rPr>
          <w:rFonts w:hint="eastAsia"/>
          <w:sz w:val="24"/>
        </w:rPr>
        <w:t>支出</w:t>
      </w:r>
      <w:r>
        <w:rPr>
          <w:rFonts w:hint="eastAsia" w:ascii="仿宋" w:hAnsi="仿宋" w:eastAsia="仿宋"/>
          <w:sz w:val="24"/>
        </w:rPr>
        <w:t>决算</w:t>
      </w:r>
      <w:r>
        <w:rPr>
          <w:rFonts w:hint="eastAsia"/>
          <w:sz w:val="24"/>
        </w:rPr>
        <w:t>表</w:t>
      </w:r>
      <w:r>
        <w:rPr>
          <w:sz w:val="24"/>
        </w:rPr>
        <w:t>........................................................................................</w:t>
      </w:r>
      <w:r>
        <w:rPr>
          <w:rFonts w:hint="eastAsia"/>
          <w:sz w:val="24"/>
        </w:rPr>
        <w:t>44</w:t>
      </w:r>
    </w:p>
    <w:p>
      <w:pPr>
        <w:pStyle w:val="11"/>
        <w:adjustRightInd w:val="0"/>
        <w:snapToGrid w:val="0"/>
        <w:spacing w:line="440" w:lineRule="exact"/>
        <w:jc w:val="left"/>
        <w:rPr>
          <w:rFonts w:ascii="仿宋" w:eastAsia="仿宋"/>
          <w:sz w:val="24"/>
        </w:rPr>
      </w:pPr>
      <w:r>
        <w:rPr>
          <w:rFonts w:hint="eastAsia" w:ascii="仿宋" w:hAnsi="仿宋" w:eastAsia="仿宋"/>
          <w:sz w:val="24"/>
        </w:rPr>
        <w:t>四、</w:t>
      </w:r>
      <w:r>
        <w:rPr>
          <w:rFonts w:hint="eastAsia"/>
          <w:sz w:val="24"/>
        </w:rPr>
        <w:t>财政拨款收入支出决算总表</w:t>
      </w:r>
      <w:r>
        <w:rPr>
          <w:sz w:val="24"/>
        </w:rPr>
        <w:t>................................................................</w:t>
      </w:r>
      <w:r>
        <w:rPr>
          <w:rFonts w:hint="eastAsia"/>
          <w:sz w:val="24"/>
        </w:rPr>
        <w:t>45</w:t>
      </w:r>
    </w:p>
    <w:p>
      <w:pPr>
        <w:pStyle w:val="11"/>
        <w:adjustRightInd w:val="0"/>
        <w:snapToGrid w:val="0"/>
        <w:spacing w:line="440" w:lineRule="exact"/>
        <w:jc w:val="left"/>
        <w:rPr>
          <w:rFonts w:ascii="仿宋" w:hAnsi="仿宋" w:eastAsia="仿宋"/>
          <w:sz w:val="24"/>
        </w:rPr>
      </w:pPr>
      <w:r>
        <w:rPr>
          <w:rFonts w:hint="eastAsia" w:ascii="仿宋" w:hAnsi="仿宋" w:eastAsia="仿宋"/>
          <w:sz w:val="24"/>
        </w:rPr>
        <w:t>五、财政拨款支出决算明细表</w:t>
      </w:r>
      <w:r>
        <w:rPr>
          <w:rFonts w:ascii="仿宋" w:hAnsi="仿宋" w:eastAsia="仿宋"/>
          <w:sz w:val="24"/>
        </w:rPr>
        <w:t>..................................</w:t>
      </w:r>
      <w:r>
        <w:rPr>
          <w:rFonts w:hint="eastAsia" w:ascii="仿宋" w:hAnsi="仿宋" w:eastAsia="仿宋"/>
          <w:sz w:val="24"/>
        </w:rPr>
        <w:t>46</w:t>
      </w:r>
    </w:p>
    <w:p>
      <w:pPr>
        <w:pStyle w:val="11"/>
        <w:adjustRightInd w:val="0"/>
        <w:snapToGrid w:val="0"/>
        <w:spacing w:line="440" w:lineRule="exact"/>
        <w:jc w:val="left"/>
        <w:rPr>
          <w:rFonts w:ascii="仿宋" w:eastAsia="仿宋"/>
          <w:sz w:val="24"/>
        </w:rPr>
      </w:pPr>
      <w:r>
        <w:rPr>
          <w:rFonts w:hint="eastAsia" w:ascii="仿宋" w:hAnsi="仿宋" w:eastAsia="仿宋"/>
          <w:sz w:val="24"/>
        </w:rPr>
        <w:t>六、</w:t>
      </w:r>
      <w:r>
        <w:rPr>
          <w:rFonts w:hint="eastAsia"/>
          <w:sz w:val="24"/>
        </w:rPr>
        <w:t>一般公共预算财政拨款支出决算表</w:t>
      </w:r>
      <w:r>
        <w:rPr>
          <w:sz w:val="24"/>
        </w:rPr>
        <w:t>.........................................................</w:t>
      </w:r>
      <w:r>
        <w:rPr>
          <w:rFonts w:hint="eastAsia"/>
          <w:sz w:val="24"/>
        </w:rPr>
        <w:t>46</w:t>
      </w:r>
    </w:p>
    <w:p>
      <w:pPr>
        <w:pStyle w:val="11"/>
        <w:adjustRightInd w:val="0"/>
        <w:snapToGrid w:val="0"/>
        <w:spacing w:line="440" w:lineRule="exact"/>
        <w:jc w:val="left"/>
        <w:rPr>
          <w:rFonts w:ascii="仿宋" w:eastAsia="仿宋"/>
          <w:sz w:val="24"/>
        </w:rPr>
      </w:pPr>
      <w:r>
        <w:rPr>
          <w:rFonts w:hint="eastAsia" w:ascii="仿宋" w:hAnsi="仿宋" w:eastAsia="仿宋"/>
          <w:sz w:val="24"/>
        </w:rPr>
        <w:t>七、</w:t>
      </w:r>
      <w:r>
        <w:rPr>
          <w:rFonts w:hint="eastAsia"/>
          <w:sz w:val="24"/>
        </w:rPr>
        <w:t>一般公共预算财政拨款支出决算明细表</w:t>
      </w:r>
      <w:r>
        <w:rPr>
          <w:sz w:val="24"/>
        </w:rPr>
        <w:t>..................................................</w:t>
      </w:r>
      <w:r>
        <w:rPr>
          <w:rFonts w:hint="eastAsia"/>
          <w:sz w:val="24"/>
        </w:rPr>
        <w:t>46</w:t>
      </w:r>
    </w:p>
    <w:p>
      <w:pPr>
        <w:pStyle w:val="11"/>
        <w:adjustRightInd w:val="0"/>
        <w:snapToGrid w:val="0"/>
        <w:spacing w:line="440" w:lineRule="exact"/>
        <w:jc w:val="left"/>
        <w:rPr>
          <w:rFonts w:ascii="仿宋" w:eastAsia="仿宋"/>
          <w:sz w:val="24"/>
        </w:rPr>
      </w:pPr>
      <w:r>
        <w:rPr>
          <w:rFonts w:hint="eastAsia" w:ascii="仿宋" w:hAnsi="仿宋" w:eastAsia="仿宋"/>
          <w:sz w:val="24"/>
        </w:rPr>
        <w:t>八、</w:t>
      </w:r>
      <w:r>
        <w:rPr>
          <w:rFonts w:hint="eastAsia"/>
          <w:sz w:val="24"/>
        </w:rPr>
        <w:t>一般公共预算财政拨款基本支出决算表</w:t>
      </w:r>
      <w:r>
        <w:rPr>
          <w:sz w:val="24"/>
        </w:rPr>
        <w:t>.....................................................</w:t>
      </w:r>
      <w:r>
        <w:rPr>
          <w:rFonts w:hint="eastAsia"/>
          <w:sz w:val="24"/>
        </w:rPr>
        <w:t>46</w:t>
      </w:r>
    </w:p>
    <w:p>
      <w:pPr>
        <w:pStyle w:val="11"/>
        <w:adjustRightInd w:val="0"/>
        <w:snapToGrid w:val="0"/>
        <w:spacing w:line="440" w:lineRule="exact"/>
        <w:jc w:val="left"/>
        <w:rPr>
          <w:rFonts w:ascii="仿宋" w:eastAsia="仿宋"/>
          <w:sz w:val="24"/>
        </w:rPr>
      </w:pPr>
      <w:r>
        <w:rPr>
          <w:rFonts w:hint="eastAsia" w:ascii="仿宋" w:hAnsi="仿宋" w:eastAsia="仿宋"/>
          <w:sz w:val="24"/>
        </w:rPr>
        <w:t>九、</w:t>
      </w:r>
      <w:r>
        <w:rPr>
          <w:rFonts w:hint="eastAsia"/>
          <w:sz w:val="24"/>
        </w:rPr>
        <w:t>一般公共预算财政拨款项目支出决算表</w:t>
      </w:r>
      <w:r>
        <w:rPr>
          <w:sz w:val="24"/>
        </w:rPr>
        <w:t>...............................................</w:t>
      </w:r>
      <w:r>
        <w:rPr>
          <w:rFonts w:hint="eastAsia"/>
          <w:sz w:val="24"/>
        </w:rPr>
        <w:t>46</w:t>
      </w:r>
    </w:p>
    <w:p>
      <w:pPr>
        <w:pStyle w:val="11"/>
        <w:adjustRightInd w:val="0"/>
        <w:snapToGrid w:val="0"/>
        <w:spacing w:line="440" w:lineRule="exact"/>
        <w:jc w:val="left"/>
        <w:rPr>
          <w:rFonts w:ascii="仿宋" w:eastAsia="仿宋"/>
          <w:sz w:val="24"/>
        </w:rPr>
      </w:pPr>
      <w:r>
        <w:rPr>
          <w:rFonts w:hint="eastAsia" w:ascii="仿宋" w:hAnsi="仿宋" w:eastAsia="仿宋"/>
          <w:sz w:val="24"/>
        </w:rPr>
        <w:t>十、</w:t>
      </w:r>
      <w:r>
        <w:rPr>
          <w:rFonts w:hint="eastAsia"/>
          <w:sz w:val="24"/>
        </w:rPr>
        <w:t>一般公共预算财政拨款“三公”经费支出决算表</w:t>
      </w:r>
      <w:r>
        <w:rPr>
          <w:sz w:val="24"/>
        </w:rPr>
        <w:t>.................................</w:t>
      </w:r>
      <w:r>
        <w:rPr>
          <w:rFonts w:hint="eastAsia"/>
          <w:sz w:val="24"/>
        </w:rPr>
        <w:t>46</w:t>
      </w:r>
    </w:p>
    <w:p>
      <w:pPr>
        <w:pStyle w:val="11"/>
        <w:adjustRightInd w:val="0"/>
        <w:snapToGrid w:val="0"/>
        <w:spacing w:line="440" w:lineRule="exact"/>
        <w:jc w:val="left"/>
        <w:rPr>
          <w:rFonts w:ascii="仿宋" w:eastAsia="仿宋"/>
          <w:sz w:val="24"/>
        </w:rPr>
      </w:pPr>
      <w:r>
        <w:rPr>
          <w:rFonts w:hint="eastAsia" w:ascii="仿宋" w:hAnsi="仿宋" w:eastAsia="仿宋"/>
          <w:sz w:val="24"/>
        </w:rPr>
        <w:t>十一、</w:t>
      </w:r>
      <w:r>
        <w:rPr>
          <w:rFonts w:hint="eastAsia"/>
          <w:sz w:val="24"/>
        </w:rPr>
        <w:t>政府性基金预算财政拨款收入支出决算表</w:t>
      </w:r>
      <w:r>
        <w:rPr>
          <w:sz w:val="24"/>
        </w:rPr>
        <w:t>.........................................</w:t>
      </w:r>
      <w:r>
        <w:rPr>
          <w:rFonts w:hint="eastAsia"/>
          <w:sz w:val="24"/>
        </w:rPr>
        <w:t>46</w:t>
      </w:r>
    </w:p>
    <w:p>
      <w:pPr>
        <w:pStyle w:val="11"/>
        <w:adjustRightInd w:val="0"/>
        <w:snapToGrid w:val="0"/>
        <w:spacing w:line="440" w:lineRule="exact"/>
        <w:jc w:val="left"/>
        <w:rPr>
          <w:rFonts w:ascii="仿宋" w:eastAsia="仿宋"/>
          <w:sz w:val="24"/>
        </w:rPr>
      </w:pPr>
      <w:r>
        <w:rPr>
          <w:rFonts w:hint="eastAsia" w:ascii="仿宋" w:hAnsi="仿宋" w:eastAsia="仿宋"/>
          <w:sz w:val="24"/>
        </w:rPr>
        <w:t>十二、</w:t>
      </w:r>
      <w:r>
        <w:rPr>
          <w:rFonts w:hint="eastAsia"/>
          <w:sz w:val="24"/>
        </w:rPr>
        <w:t>政府性基金预算财政拨款“三公”经费支出决算表</w:t>
      </w:r>
      <w:r>
        <w:rPr>
          <w:sz w:val="24"/>
        </w:rPr>
        <w:t>..........................</w:t>
      </w:r>
      <w:r>
        <w:rPr>
          <w:rFonts w:hint="eastAsia"/>
          <w:sz w:val="24"/>
        </w:rPr>
        <w:t>46</w:t>
      </w:r>
    </w:p>
    <w:p>
      <w:pPr>
        <w:pStyle w:val="11"/>
        <w:adjustRightInd w:val="0"/>
        <w:snapToGrid w:val="0"/>
        <w:spacing w:line="440" w:lineRule="exact"/>
        <w:jc w:val="left"/>
        <w:rPr>
          <w:rFonts w:ascii="仿宋" w:hAnsi="仿宋" w:eastAsia="仿宋" w:cs="仿宋"/>
          <w:color w:val="FF0000"/>
          <w:sz w:val="32"/>
          <w:szCs w:val="32"/>
        </w:rPr>
      </w:pPr>
      <w:r>
        <w:rPr>
          <w:rFonts w:hint="eastAsia" w:ascii="仿宋" w:hAnsi="仿宋" w:eastAsia="仿宋"/>
          <w:sz w:val="24"/>
        </w:rPr>
        <w:t>十三、</w:t>
      </w:r>
      <w:r>
        <w:rPr>
          <w:rFonts w:hint="eastAsia"/>
          <w:sz w:val="24"/>
        </w:rPr>
        <w:t>国有资本经营预算支出决算表</w:t>
      </w:r>
      <w:r>
        <w:rPr>
          <w:sz w:val="24"/>
        </w:rPr>
        <w:t>.................................................................</w:t>
      </w:r>
      <w:bookmarkStart w:id="12" w:name="_Toc15396599"/>
      <w:bookmarkStart w:id="13" w:name="_Toc15377196"/>
      <w:r>
        <w:rPr>
          <w:rFonts w:hint="eastAsia"/>
          <w:sz w:val="24"/>
        </w:rPr>
        <w:t>46</w:t>
      </w:r>
    </w:p>
    <w:p>
      <w:pPr>
        <w:widowControl/>
        <w:spacing w:line="440" w:lineRule="exact"/>
        <w:jc w:val="left"/>
        <w:rPr>
          <w:rFonts w:ascii="仿宋" w:hAnsi="仿宋" w:eastAsia="仿宋" w:cs="仿宋"/>
          <w:color w:val="FF0000"/>
          <w:sz w:val="32"/>
          <w:szCs w:val="32"/>
        </w:rPr>
      </w:pPr>
    </w:p>
    <w:p>
      <w:pPr>
        <w:widowControl/>
        <w:spacing w:line="440" w:lineRule="exact"/>
        <w:jc w:val="left"/>
        <w:rPr>
          <w:rFonts w:ascii="仿宋" w:hAnsi="仿宋" w:eastAsia="仿宋" w:cs="仿宋"/>
          <w:color w:val="FF0000"/>
          <w:sz w:val="32"/>
          <w:szCs w:val="32"/>
        </w:rPr>
      </w:pPr>
    </w:p>
    <w:p>
      <w:pPr>
        <w:widowControl/>
        <w:spacing w:line="440" w:lineRule="exact"/>
        <w:jc w:val="left"/>
        <w:rPr>
          <w:rFonts w:ascii="仿宋" w:hAnsi="仿宋" w:eastAsia="仿宋" w:cs="仿宋"/>
          <w:color w:val="FF0000"/>
          <w:sz w:val="32"/>
          <w:szCs w:val="32"/>
        </w:rPr>
      </w:pPr>
    </w:p>
    <w:p>
      <w:pPr>
        <w:widowControl/>
        <w:spacing w:line="440" w:lineRule="exact"/>
        <w:jc w:val="left"/>
        <w:rPr>
          <w:rFonts w:ascii="仿宋" w:hAnsi="仿宋" w:eastAsia="仿宋" w:cs="仿宋"/>
          <w:color w:val="FF0000"/>
          <w:sz w:val="32"/>
          <w:szCs w:val="32"/>
        </w:rPr>
      </w:pPr>
    </w:p>
    <w:p>
      <w:pPr>
        <w:widowControl/>
        <w:spacing w:line="440" w:lineRule="exact"/>
        <w:jc w:val="left"/>
        <w:rPr>
          <w:rFonts w:ascii="仿宋" w:hAnsi="仿宋" w:eastAsia="仿宋" w:cs="仿宋"/>
          <w:color w:val="FF0000"/>
          <w:sz w:val="32"/>
          <w:szCs w:val="32"/>
        </w:rPr>
      </w:pPr>
    </w:p>
    <w:p>
      <w:pPr>
        <w:widowControl/>
        <w:spacing w:line="440" w:lineRule="exact"/>
        <w:jc w:val="left"/>
        <w:rPr>
          <w:rFonts w:ascii="仿宋" w:hAnsi="仿宋" w:eastAsia="仿宋" w:cs="仿宋"/>
          <w:color w:val="FF0000"/>
          <w:sz w:val="32"/>
          <w:szCs w:val="32"/>
        </w:rPr>
      </w:pPr>
    </w:p>
    <w:p>
      <w:pPr>
        <w:widowControl/>
        <w:spacing w:line="440" w:lineRule="exact"/>
        <w:jc w:val="left"/>
        <w:rPr>
          <w:rFonts w:ascii="仿宋" w:hAnsi="仿宋" w:eastAsia="仿宋" w:cs="仿宋"/>
          <w:color w:val="FF0000"/>
          <w:sz w:val="32"/>
          <w:szCs w:val="32"/>
        </w:rPr>
      </w:pPr>
    </w:p>
    <w:p>
      <w:pPr>
        <w:widowControl/>
        <w:spacing w:line="440" w:lineRule="exact"/>
        <w:jc w:val="left"/>
        <w:rPr>
          <w:rFonts w:ascii="仿宋" w:hAnsi="仿宋" w:eastAsia="仿宋" w:cs="仿宋"/>
          <w:color w:val="FF0000"/>
          <w:sz w:val="32"/>
          <w:szCs w:val="32"/>
        </w:rPr>
      </w:pPr>
    </w:p>
    <w:p>
      <w:pPr>
        <w:widowControl/>
        <w:spacing w:line="440" w:lineRule="exact"/>
        <w:jc w:val="left"/>
        <w:rPr>
          <w:rFonts w:ascii="仿宋" w:hAnsi="仿宋" w:eastAsia="仿宋" w:cs="仿宋"/>
          <w:color w:val="FF0000"/>
          <w:sz w:val="32"/>
          <w:szCs w:val="32"/>
        </w:rPr>
      </w:pPr>
    </w:p>
    <w:p>
      <w:pPr>
        <w:widowControl/>
        <w:spacing w:line="440" w:lineRule="exact"/>
        <w:jc w:val="left"/>
        <w:rPr>
          <w:rFonts w:ascii="仿宋" w:hAnsi="仿宋" w:eastAsia="仿宋" w:cs="仿宋"/>
          <w:color w:val="FF0000"/>
          <w:sz w:val="32"/>
          <w:szCs w:val="32"/>
        </w:rPr>
      </w:pPr>
    </w:p>
    <w:p>
      <w:pPr>
        <w:widowControl/>
        <w:spacing w:line="440" w:lineRule="exact"/>
        <w:jc w:val="left"/>
        <w:rPr>
          <w:rFonts w:ascii="仿宋" w:hAnsi="仿宋" w:eastAsia="仿宋" w:cs="仿宋"/>
          <w:color w:val="FF0000"/>
          <w:sz w:val="32"/>
          <w:szCs w:val="32"/>
        </w:rPr>
      </w:pPr>
    </w:p>
    <w:p>
      <w:pPr>
        <w:widowControl/>
        <w:spacing w:line="440" w:lineRule="exact"/>
        <w:jc w:val="left"/>
        <w:rPr>
          <w:rFonts w:ascii="仿宋" w:hAnsi="仿宋" w:eastAsia="仿宋" w:cs="仿宋"/>
          <w:color w:val="FF0000"/>
          <w:sz w:val="32"/>
          <w:szCs w:val="32"/>
        </w:rPr>
      </w:pPr>
    </w:p>
    <w:p>
      <w:pPr>
        <w:widowControl/>
        <w:spacing w:line="440" w:lineRule="exact"/>
        <w:jc w:val="left"/>
        <w:rPr>
          <w:rFonts w:ascii="仿宋" w:hAnsi="仿宋" w:eastAsia="仿宋" w:cs="仿宋"/>
          <w:color w:val="FF0000"/>
          <w:sz w:val="32"/>
          <w:szCs w:val="32"/>
        </w:rPr>
      </w:pPr>
    </w:p>
    <w:p>
      <w:pPr>
        <w:widowControl/>
        <w:spacing w:line="440" w:lineRule="exact"/>
        <w:jc w:val="left"/>
        <w:rPr>
          <w:rFonts w:ascii="仿宋" w:hAnsi="仿宋" w:eastAsia="仿宋" w:cs="仿宋"/>
          <w:color w:val="FF0000"/>
          <w:sz w:val="32"/>
          <w:szCs w:val="32"/>
        </w:rPr>
      </w:pPr>
    </w:p>
    <w:p>
      <w:pPr>
        <w:widowControl/>
        <w:spacing w:line="440" w:lineRule="exact"/>
        <w:jc w:val="left"/>
        <w:rPr>
          <w:rFonts w:ascii="仿宋" w:hAnsi="仿宋" w:eastAsia="仿宋" w:cs="仿宋"/>
          <w:color w:val="FF0000"/>
          <w:sz w:val="32"/>
          <w:szCs w:val="32"/>
        </w:rPr>
      </w:pPr>
    </w:p>
    <w:p>
      <w:pPr>
        <w:widowControl/>
        <w:spacing w:line="440" w:lineRule="exact"/>
        <w:jc w:val="left"/>
        <w:rPr>
          <w:rFonts w:ascii="仿宋" w:hAnsi="仿宋" w:eastAsia="仿宋" w:cs="仿宋"/>
          <w:color w:val="FF0000"/>
          <w:sz w:val="32"/>
          <w:szCs w:val="32"/>
        </w:rPr>
      </w:pPr>
    </w:p>
    <w:p>
      <w:pPr>
        <w:widowControl/>
        <w:spacing w:line="440" w:lineRule="exact"/>
        <w:jc w:val="left"/>
        <w:rPr>
          <w:rFonts w:ascii="仿宋" w:hAnsi="仿宋" w:eastAsia="仿宋" w:cs="仿宋"/>
          <w:color w:val="FF0000"/>
          <w:sz w:val="32"/>
          <w:szCs w:val="32"/>
        </w:rPr>
      </w:pPr>
    </w:p>
    <w:p>
      <w:pPr>
        <w:widowControl/>
        <w:spacing w:line="440" w:lineRule="exact"/>
        <w:jc w:val="left"/>
        <w:rPr>
          <w:rFonts w:ascii="仿宋" w:hAnsi="仿宋" w:eastAsia="仿宋" w:cs="仿宋"/>
          <w:color w:val="FF0000"/>
          <w:sz w:val="32"/>
          <w:szCs w:val="32"/>
        </w:rPr>
      </w:pPr>
    </w:p>
    <w:p>
      <w:pPr>
        <w:widowControl/>
        <w:spacing w:line="440" w:lineRule="exact"/>
        <w:jc w:val="left"/>
        <w:rPr>
          <w:rFonts w:ascii="仿宋" w:hAnsi="仿宋" w:eastAsia="仿宋" w:cs="仿宋"/>
          <w:color w:val="FF0000"/>
          <w:sz w:val="32"/>
          <w:szCs w:val="32"/>
        </w:rPr>
      </w:pPr>
    </w:p>
    <w:p>
      <w:pPr>
        <w:widowControl/>
        <w:spacing w:line="440" w:lineRule="exact"/>
        <w:jc w:val="left"/>
        <w:rPr>
          <w:rFonts w:ascii="仿宋" w:hAnsi="仿宋" w:eastAsia="仿宋" w:cs="仿宋"/>
          <w:color w:val="FF0000"/>
          <w:sz w:val="32"/>
          <w:szCs w:val="32"/>
        </w:rPr>
      </w:pPr>
    </w:p>
    <w:p>
      <w:pPr>
        <w:widowControl/>
        <w:spacing w:line="440" w:lineRule="exact"/>
        <w:jc w:val="left"/>
        <w:rPr>
          <w:rFonts w:ascii="仿宋" w:hAnsi="仿宋" w:eastAsia="仿宋" w:cs="仿宋"/>
          <w:color w:val="FF0000"/>
          <w:sz w:val="32"/>
          <w:szCs w:val="32"/>
        </w:rPr>
      </w:pPr>
    </w:p>
    <w:p>
      <w:pPr>
        <w:widowControl/>
        <w:spacing w:line="440" w:lineRule="exact"/>
        <w:jc w:val="left"/>
        <w:rPr>
          <w:rFonts w:ascii="仿宋" w:hAnsi="仿宋" w:eastAsia="仿宋"/>
          <w:bCs/>
          <w:kern w:val="44"/>
          <w:sz w:val="24"/>
        </w:rPr>
      </w:pPr>
      <w:r>
        <w:rPr>
          <w:rFonts w:hint="eastAsia" w:ascii="仿宋" w:hAnsi="仿宋" w:eastAsia="仿宋"/>
          <w:bCs/>
          <w:kern w:val="44"/>
          <w:sz w:val="24"/>
        </w:rPr>
        <w:t xml:space="preserve"> </w:t>
      </w:r>
    </w:p>
    <w:p>
      <w:pPr>
        <w:widowControl/>
        <w:spacing w:line="440" w:lineRule="exact"/>
        <w:jc w:val="left"/>
        <w:rPr>
          <w:rFonts w:ascii="仿宋" w:hAnsi="仿宋" w:eastAsia="仿宋"/>
          <w:bCs/>
          <w:kern w:val="44"/>
          <w:sz w:val="24"/>
        </w:rPr>
      </w:pPr>
    </w:p>
    <w:p>
      <w:pPr>
        <w:pStyle w:val="2"/>
        <w:jc w:val="center"/>
        <w:rPr>
          <w:rStyle w:val="17"/>
          <w:rFonts w:ascii="黑体" w:hAnsi="黑体" w:eastAsia="黑体"/>
          <w:b/>
          <w:bCs w:val="0"/>
        </w:rPr>
      </w:pPr>
      <w:r>
        <w:rPr>
          <w:rFonts w:hint="eastAsia" w:ascii="黑体" w:hAnsi="黑体" w:eastAsia="黑体"/>
          <w:b w:val="0"/>
        </w:rPr>
        <w:t>第一部分</w:t>
      </w:r>
      <w:r>
        <w:rPr>
          <w:rStyle w:val="17"/>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3"/>
        <w:rPr>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18"/>
          <w:rFonts w:hint="eastAsia" w:ascii="黑体" w:hAnsi="黑体" w:eastAsia="黑体"/>
          <w:b w:val="0"/>
          <w:bCs w:val="0"/>
        </w:rPr>
        <w:t>本职能及主要工作</w:t>
      </w:r>
      <w:bookmarkEnd w:id="14"/>
      <w:bookmarkEnd w:id="15"/>
      <w:bookmarkStart w:id="16" w:name="_Toc15377199"/>
      <w:bookmarkStart w:id="17" w:name="_Toc15378446"/>
      <w:r>
        <w:rPr>
          <w:rFonts w:hint="eastAsia" w:ascii="仿宋" w:hAnsi="仿宋" w:eastAsia="仿宋"/>
          <w:color w:val="000000"/>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1、按照规定权限，履行全民所有土地、矿产、森林、草原、湿地、水等自然资源资产所有者职责和所有国土空间用途管制职责。拟订全县自然资源和国土空间规划地方性法规、政府规章草案，制定有关政策措施并监督检查执行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2、负责全县自然资源调查监测评价。依照自然资源调查监测评价的指标体系和统计标准，建立统一规范的自然资源调查监测评价制度。实施自然资源基础调查、专项调查和监测。负责自然资源调查监测评价成果的监督管理和信息发布。</w:t>
      </w:r>
    </w:p>
    <w:p>
      <w:pPr>
        <w:ind w:firstLine="640" w:firstLineChars="200"/>
        <w:rPr>
          <w:rFonts w:ascii="仿宋_GB2312" w:hAnsi="黑体" w:eastAsia="仿宋_GB2312"/>
          <w:sz w:val="32"/>
          <w:szCs w:val="32"/>
        </w:rPr>
      </w:pPr>
      <w:r>
        <w:rPr>
          <w:rFonts w:hint="eastAsia" w:ascii="仿宋_GB2312" w:hAnsi="黑体" w:eastAsia="仿宋_GB2312"/>
          <w:sz w:val="32"/>
          <w:szCs w:val="32"/>
        </w:rPr>
        <w:t>3、负责全县自然资源统一确权登记工作。组织实施各类自然资源和不动产统一确权登记、权籍调查、不动产测绘、争议调处、成果应用的制度、标准、规范。建立健全全县自然资源和不动产登记信息管理基础平台。负责自然资源和不动产登记资料收集、整理、共享、汇交管理等。指导监督自然资源和不动产确权登记工作。</w:t>
      </w:r>
    </w:p>
    <w:p>
      <w:pPr>
        <w:ind w:firstLine="640" w:firstLineChars="200"/>
        <w:rPr>
          <w:rFonts w:ascii="仿宋_GB2312" w:hAnsi="黑体" w:eastAsia="仿宋_GB2312"/>
          <w:sz w:val="32"/>
          <w:szCs w:val="32"/>
        </w:rPr>
      </w:pPr>
      <w:r>
        <w:rPr>
          <w:rFonts w:hint="eastAsia" w:ascii="仿宋_GB2312" w:hAnsi="黑体" w:eastAsia="仿宋_GB2312"/>
          <w:sz w:val="32"/>
          <w:szCs w:val="32"/>
        </w:rPr>
        <w:t>4、负责全县自然资源资产有偿使用工作。建立全民所有自然资源资产统计制度，负责全民所有自然资源资产核算。编制全民所有自然资源资产负债表，依照有关标准组织考核。按照规定权限，制定全民所有自然资源资产划拨、出让、租赁、作价出资和土地储备政策，合理配置全民所有自然资源资产。负责自然资源资产价值评估管理，依法收缴相关资产收益。</w:t>
      </w:r>
    </w:p>
    <w:p>
      <w:pPr>
        <w:ind w:firstLine="640" w:firstLineChars="200"/>
        <w:rPr>
          <w:rFonts w:ascii="仿宋_GB2312" w:hAnsi="黑体" w:eastAsia="仿宋_GB2312"/>
          <w:sz w:val="32"/>
          <w:szCs w:val="32"/>
        </w:rPr>
      </w:pPr>
      <w:r>
        <w:rPr>
          <w:rFonts w:hint="eastAsia" w:ascii="仿宋_GB2312" w:hAnsi="黑体" w:eastAsia="仿宋_GB2312"/>
          <w:sz w:val="32"/>
          <w:szCs w:val="32"/>
        </w:rPr>
        <w:t>5、负责全县自然资源的合理开发利用。组织拟订自然资源发展规划和战略，制定自然资源开发利用地方标准并组织实施，建立政府公示自然资源价格体系，组织开展自然资源分等定级价格评估，开展自然资源利用评价考核，指导节约集约利用。负责自然资源市场监管。组织研究自然资源管理涉及宏观调控、区域协调和城乡统筹的政策措施。</w:t>
      </w:r>
    </w:p>
    <w:p>
      <w:pPr>
        <w:ind w:firstLine="640" w:firstLineChars="200"/>
        <w:rPr>
          <w:rFonts w:ascii="仿宋_GB2312" w:hAnsi="黑体" w:eastAsia="仿宋_GB2312"/>
          <w:sz w:val="32"/>
          <w:szCs w:val="32"/>
        </w:rPr>
      </w:pPr>
      <w:r>
        <w:rPr>
          <w:rFonts w:hint="eastAsia" w:ascii="仿宋_GB2312" w:hAnsi="黑体" w:eastAsia="仿宋_GB2312"/>
          <w:sz w:val="32"/>
          <w:szCs w:val="32"/>
        </w:rPr>
        <w:t>6、负责建立全县空间规划体系并监督实施，推进主体功能区战略和制度，组织编制并监督实施国土空间规划和相关专项规划。开展国土空间开发适宜性评价，建立国土空间规划实施监测、评估和预警体系。组织划定生态保护红线、永久基本农田、城镇开发边界等控制线，构建节约资源和保护环境的生产、生活、生态空间布局。建立健全国土空间用途管制制度，研究拟订城乡规划政策并监督实施。组织拟订并实施土地等自然资源年度利用计划。负责土地等国土空间用途转用工作。负责土地征收征用管理。</w:t>
      </w:r>
    </w:p>
    <w:p>
      <w:pPr>
        <w:ind w:firstLine="640" w:firstLineChars="200"/>
        <w:rPr>
          <w:rFonts w:ascii="仿宋_GB2312" w:hAnsi="黑体" w:eastAsia="仿宋_GB2312"/>
          <w:sz w:val="32"/>
          <w:szCs w:val="32"/>
        </w:rPr>
      </w:pPr>
      <w:r>
        <w:rPr>
          <w:rFonts w:hint="eastAsia" w:ascii="仿宋_GB2312" w:hAnsi="黑体" w:eastAsia="仿宋_GB2312"/>
          <w:sz w:val="32"/>
          <w:szCs w:val="32"/>
        </w:rPr>
        <w:t>7、负责统筹全县国土空间生态修复。牵头组织编制全县国土空间生态修复规划并实施有关生态修复重大工程。负责开展国土空间综合整治、土地整理复垦、矿山地质环境恢复治理等工作。牵头建立和实施生态保护补偿制度，制定合理利用社会资金进行生态修复的政策措施，提出重大备选项目。</w:t>
      </w:r>
    </w:p>
    <w:p>
      <w:pPr>
        <w:ind w:firstLine="640" w:firstLineChars="200"/>
        <w:rPr>
          <w:rFonts w:ascii="仿宋_GB2312" w:hAnsi="黑体" w:eastAsia="仿宋_GB2312"/>
          <w:sz w:val="32"/>
          <w:szCs w:val="32"/>
        </w:rPr>
      </w:pPr>
      <w:r>
        <w:rPr>
          <w:rFonts w:hint="eastAsia" w:ascii="仿宋_GB2312" w:hAnsi="黑体" w:eastAsia="仿宋_GB2312"/>
          <w:sz w:val="32"/>
          <w:szCs w:val="32"/>
        </w:rPr>
        <w:t>8、负责组织实施最严格的耕地保护制度。牵头拟订并实施全县耕地保护政策，负责耕地数量、质量、生态保护。组织实施耕地保护责任目标考核和永久基本农田特殊保护。完善耕地占补平衡制度，监督占用耕地补偿制度执行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9、负责管理全县地质勘查行业和地质工作。拟订全县地质勘查规划并监督检查执行情况。管理县级地质勘查项目。组织实施重大地质矿产勘查专项。负责地质灾害预防和治理，监督管理地下水过量开采及引发的地面沉降等地质问题。负责古生物化石的监督管理。</w:t>
      </w:r>
    </w:p>
    <w:p>
      <w:pPr>
        <w:ind w:firstLine="640" w:firstLineChars="200"/>
        <w:rPr>
          <w:rFonts w:ascii="仿宋_GB2312" w:hAnsi="黑体" w:eastAsia="仿宋_GB2312"/>
          <w:sz w:val="32"/>
          <w:szCs w:val="32"/>
        </w:rPr>
      </w:pPr>
      <w:r>
        <w:rPr>
          <w:rFonts w:hint="eastAsia" w:ascii="仿宋_GB2312" w:hAnsi="黑体" w:eastAsia="仿宋_GB2312"/>
          <w:sz w:val="32"/>
          <w:szCs w:val="32"/>
        </w:rPr>
        <w:t>10、负责落实综合防灾减灾规划相关要求，组织编制并实施地质灾害防治规划。组织、指导、协调和监督地质灾害调查评价及隐患的普查、详查、排查。组织、指导开展群测群防、专业监测和预报预警等工作，组织、指导开展地质灾害工程治理工作。承担地质灾害应急救援的技术保障工作。</w:t>
      </w:r>
    </w:p>
    <w:p>
      <w:pPr>
        <w:ind w:firstLine="640" w:firstLineChars="200"/>
        <w:rPr>
          <w:rFonts w:ascii="仿宋_GB2312" w:hAnsi="黑体" w:eastAsia="仿宋_GB2312"/>
          <w:sz w:val="32"/>
          <w:szCs w:val="32"/>
        </w:rPr>
      </w:pPr>
      <w:r>
        <w:rPr>
          <w:rFonts w:hint="eastAsia" w:ascii="仿宋_GB2312" w:hAnsi="黑体" w:eastAsia="仿宋_GB2312"/>
          <w:sz w:val="32"/>
          <w:szCs w:val="32"/>
        </w:rPr>
        <w:t>11、负责全县矿产资源管理工作。负责矿产资源储量管理及压覆矿产资源审批。负责矿业权管理。会同有关部门承担保护性开采的特定矿种、优势矿产的调控及相关管理工作。监督指导矿产资源合理利用和保护。</w:t>
      </w:r>
    </w:p>
    <w:p>
      <w:pPr>
        <w:rPr>
          <w:rFonts w:ascii="仿宋_GB2312" w:hAnsi="黑体" w:eastAsia="仿宋_GB2312"/>
          <w:sz w:val="32"/>
          <w:szCs w:val="32"/>
        </w:rPr>
      </w:pPr>
      <w:r>
        <w:rPr>
          <w:rFonts w:hint="eastAsia" w:ascii="仿宋_GB2312" w:hAnsi="黑体" w:eastAsia="仿宋_GB2312"/>
          <w:sz w:val="32"/>
          <w:szCs w:val="32"/>
        </w:rPr>
        <w:t xml:space="preserve">    12、负责全县测绘地理信息工作。负责基础测绘地理信息工作的统一监督管理。根据国家、省级和州级基础测绘规划以及全县实际情况，会同有关部门组织编制实施全县基础测绘规划和年度计划。按照分级管理权限组织实施基础测绘项目。负责本级基础测绘成果资料提供使用的审批。</w:t>
      </w:r>
    </w:p>
    <w:p>
      <w:pPr>
        <w:ind w:firstLine="640" w:firstLineChars="200"/>
        <w:rPr>
          <w:rFonts w:ascii="仿宋_GB2312" w:hAnsi="黑体" w:eastAsia="仿宋_GB2312"/>
          <w:sz w:val="32"/>
          <w:szCs w:val="32"/>
        </w:rPr>
      </w:pPr>
      <w:r>
        <w:rPr>
          <w:rFonts w:hint="eastAsia" w:ascii="仿宋_GB2312" w:hAnsi="黑体" w:eastAsia="仿宋_GB2312"/>
          <w:sz w:val="32"/>
          <w:szCs w:val="32"/>
        </w:rPr>
        <w:t>13、推动全县自然资源领域科技发展和对外合作。制定并实施全县自然资源领域科技创新发展和人才培养规划、计划。组织制定地方技术标准、规程规范并监督实施。组织实施重大科技专项及创新能力建设，推进自然资源信息化和信息资料的公共服务。组织开展全县自然资源系统对外交流合作。</w:t>
      </w:r>
    </w:p>
    <w:p>
      <w:pPr>
        <w:ind w:firstLine="640" w:firstLineChars="200"/>
        <w:rPr>
          <w:rFonts w:ascii="仿宋_GB2312" w:hAnsi="黑体" w:eastAsia="仿宋_GB2312"/>
          <w:sz w:val="32"/>
          <w:szCs w:val="32"/>
        </w:rPr>
      </w:pPr>
      <w:r>
        <w:rPr>
          <w:rFonts w:hint="eastAsia" w:ascii="仿宋_GB2312" w:hAnsi="黑体" w:eastAsia="仿宋_GB2312"/>
          <w:sz w:val="32"/>
          <w:szCs w:val="32"/>
        </w:rPr>
        <w:t>14、配合国家、省、州对县政府落实党中央、国务院关于自然资源和国土空间规划的重大方针政策、决策部署及法律法规执行情况进行督察。按照县委、县政府安排，组织实施自然资源督察相关工作。查处全县自然资源开发利用、国土空间规划等领域重大违法案件。指导本级有关行政执法工作。</w:t>
      </w:r>
    </w:p>
    <w:p>
      <w:pPr>
        <w:ind w:firstLine="640" w:firstLineChars="200"/>
        <w:rPr>
          <w:rFonts w:ascii="仿宋_GB2312" w:hAnsi="黑体" w:eastAsia="仿宋_GB2312"/>
          <w:sz w:val="32"/>
          <w:szCs w:val="32"/>
        </w:rPr>
      </w:pPr>
      <w:r>
        <w:rPr>
          <w:rFonts w:hint="eastAsia" w:ascii="仿宋_GB2312" w:hAnsi="黑体" w:eastAsia="仿宋_GB2312"/>
          <w:sz w:val="32"/>
          <w:szCs w:val="32"/>
        </w:rPr>
        <w:t>15、负责职责范围内的安全生产和职业健康、生态环境保护、审批服务便民化等工作。</w:t>
      </w:r>
    </w:p>
    <w:p>
      <w:pPr>
        <w:ind w:firstLine="640" w:firstLineChars="200"/>
        <w:rPr>
          <w:rFonts w:ascii="仿宋_GB2312" w:hAnsi="黑体" w:eastAsia="仿宋_GB2312"/>
          <w:sz w:val="32"/>
          <w:szCs w:val="32"/>
        </w:rPr>
      </w:pPr>
      <w:r>
        <w:rPr>
          <w:rFonts w:hint="eastAsia" w:ascii="仿宋_GB2312" w:hAnsi="黑体" w:eastAsia="仿宋_GB2312"/>
          <w:sz w:val="32"/>
          <w:szCs w:val="32"/>
        </w:rPr>
        <w:t>16、统一领导和管理壤塘县林业和草原局。</w:t>
      </w:r>
    </w:p>
    <w:p>
      <w:pPr>
        <w:ind w:firstLine="640" w:firstLineChars="200"/>
        <w:rPr>
          <w:rFonts w:ascii="仿宋_GB2312" w:hAnsi="黑体" w:eastAsia="仿宋_GB2312"/>
          <w:sz w:val="32"/>
          <w:szCs w:val="32"/>
        </w:rPr>
      </w:pPr>
      <w:r>
        <w:rPr>
          <w:rFonts w:hint="eastAsia" w:ascii="仿宋_GB2312" w:hAnsi="黑体" w:eastAsia="仿宋_GB2312"/>
          <w:sz w:val="32"/>
          <w:szCs w:val="32"/>
        </w:rPr>
        <w:t>17、完成县委和县政府交办的其他任务。</w:t>
      </w:r>
    </w:p>
    <w:p>
      <w:pPr>
        <w:ind w:firstLine="640" w:firstLineChars="200"/>
        <w:rPr>
          <w:rFonts w:ascii="仿宋_GB2312" w:hAnsi="黑体" w:eastAsia="仿宋_GB2312"/>
          <w:sz w:val="32"/>
          <w:szCs w:val="32"/>
        </w:rPr>
      </w:pPr>
      <w:r>
        <w:rPr>
          <w:rFonts w:hint="eastAsia" w:ascii="仿宋_GB2312" w:hAnsi="黑体" w:eastAsia="仿宋_GB2312"/>
          <w:sz w:val="32"/>
          <w:szCs w:val="32"/>
        </w:rPr>
        <w:t xml:space="preserve">18、职能转变。落实关于统一行使全民所有自然资源资产所有者职责，统一行使所有国土空间用途管制和生态保护修复职责的要求，发挥国土空间规划的管控作用，为保护和合理开发利用自然资源提供科学指引。进一步加强自然资源的保护和合理开发利用，建立健全源头保护和全过程修复治理相结合的工作机制，实现整体保护、系统修复、综合治理。创新激励约束并举的制度措施，推进自然资源节约集约利用。进一步精简下放有关行政审批事项、强化监管力度，充分发挥市场对资源配置的决定性作用，更好发挥政府作用，强化自然资源管理规则、标准、制度的约束性作用，推进自然资源确权登记和评估的便民高效有关职责分工。在地质灾害应急工作方面的职责分工。县自然资源局与县应急局要做到各司其职、无缝对接。县应急局负责统一组织、统一指挥、统一协调自然灾害类突发事件应急救援救灾工作。县自然资源局负责落实综合防灾减灾规划相关要求，组织编制并实施地质灾害防治规划；组织、指导、协调和监督地质灾害调查评价及隐患的普查、详查、排查；组织、指导、开展地质灾害工程治理工作；承担地质灾害应急救援的技术保障工作。必要时，县自然资源局可以提请县应急局，以县应急指挥机构名义部署相关地质灾害防治工作。县自然资源局负责地质灾害防治工作的组织、协调、指导和监督，做好威胁城镇居民和乡村农户安全的地质灾害防治工作的组织实施。县交通运输局负责做好公路（不含乡道、村道）沿线危及交通设施和通行安全的地质灾害防治工作的组织实施。县水务局负责做好河道、水利设施及周边地质灾害防治工作的组织实施。       </w:t>
      </w:r>
    </w:p>
    <w:p>
      <w:pPr>
        <w:rPr>
          <w:rFonts w:ascii="仿宋_GB2312" w:hAnsi="黑体" w:eastAsia="仿宋_GB2312"/>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2019</w:t>
      </w:r>
      <w:r>
        <w:rPr>
          <w:rFonts w:hint="eastAsia" w:ascii="仿宋" w:hAnsi="仿宋" w:eastAsia="仿宋"/>
          <w:bCs/>
          <w:color w:val="000000"/>
          <w:sz w:val="32"/>
          <w:szCs w:val="32"/>
        </w:rPr>
        <w:t>年重点工作完成情况。</w:t>
      </w:r>
      <w:bookmarkEnd w:id="16"/>
      <w:bookmarkEnd w:id="17"/>
    </w:p>
    <w:p>
      <w:pPr>
        <w:pStyle w:val="5"/>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sz w:val="32"/>
          <w:szCs w:val="32"/>
          <w:shd w:val="clear" w:color="auto" w:fill="FFFFFF"/>
        </w:rPr>
        <w:t>依法组织收入，确保各项收费应收尽收，各地在“依法行政，依法理财”的前提下，严格执行各项收费政策，坚持收费公示，“阳光收费”，自觉接受社会和群众的监督。在确保“应征不漏，应免不收”的同时，兼顾好政府、农民等各方面的利益关系，照顾弱势群体。认真开展全市新增建设用地有偿使用费征收使用情况检查，检查措施有力效果明显 　　年初，省厅《关于开展新增建设用地土地有偿使用费征收管理情况专项检查的通知》下发后，同时，对近年来我市新增建设用地情况，土地有偿使用费应征情况、已征情况、进行了检查，圆满完成了自查工作。编制了财务预算，财务科严把收支关，做到有预算不超支、无预算不开支，认真审核，合理、节约、有效地安排使用资金。在预算安排上，坚持量入为出，量力而行。在确保人员工资、日常公用经费的正常开支基础上，保证重点支出，压缩一切消费性支出，尤其是严格控制招待费支出，真正使有限的资金用在土地管理事业的刀刃上，从而全面提高了资金的使用效率，确保了国土资源局的正常运转。加强内部审计工作。从收费管理、票据管理、预算管理、支出管理、固定资产管理以及财务监督等各方面都做出了具体要求。执行部门预算，科学编制来年预算，进一步加大部门预算的制约力度 ，我局按照财政部门预算、国库集中支付、政府采购和收支两条线的要求，严格执行当年部门预算，加强分析和预测，把握好本部门工作特点，按月报送用款计划，有理有据安排好各项业务工作经费 。强化学习教育，增强自律意识 。加强财务人员队伍建设，时刻牢记“两个务必”，建立一支思想、作风、工作都过硬的财会队伍，全面提升我局依法理财水平。</w:t>
      </w:r>
    </w:p>
    <w:p>
      <w:pPr>
        <w:pStyle w:val="3"/>
        <w:rPr>
          <w:rStyle w:val="18"/>
          <w:b w:val="0"/>
          <w:bCs w:val="0"/>
        </w:rPr>
      </w:pPr>
      <w:bookmarkStart w:id="18" w:name="_Toc15396601"/>
      <w:bookmarkStart w:id="19" w:name="_Toc15377200"/>
      <w:r>
        <w:rPr>
          <w:rFonts w:hint="eastAsia" w:ascii="黑体" w:eastAsia="黑体"/>
          <w:b w:val="0"/>
          <w:color w:val="000000"/>
        </w:rPr>
        <w:t>二、</w:t>
      </w:r>
      <w:r>
        <w:rPr>
          <w:rFonts w:hint="eastAsia" w:ascii="黑体" w:hAnsi="黑体" w:eastAsia="黑体"/>
          <w:b w:val="0"/>
          <w:color w:val="000000"/>
        </w:rPr>
        <w:t>机</w:t>
      </w:r>
      <w:r>
        <w:rPr>
          <w:rStyle w:val="18"/>
          <w:rFonts w:hint="eastAsia" w:ascii="黑体" w:hAnsi="黑体" w:eastAsia="黑体"/>
          <w:b w:val="0"/>
          <w:bCs w:val="0"/>
        </w:rPr>
        <w:t>构设置</w:t>
      </w:r>
      <w:bookmarkEnd w:id="18"/>
      <w:bookmarkEnd w:id="19"/>
    </w:p>
    <w:p>
      <w:pPr>
        <w:ind w:firstLine="800" w:firstLineChars="250"/>
        <w:rPr>
          <w:rFonts w:ascii="仿宋" w:hAnsi="仿宋" w:eastAsia="仿宋"/>
          <w:sz w:val="32"/>
          <w:szCs w:val="32"/>
        </w:rPr>
      </w:pPr>
      <w:r>
        <w:rPr>
          <w:rFonts w:hint="eastAsia" w:ascii="仿宋" w:hAnsi="仿宋" w:eastAsia="仿宋"/>
          <w:sz w:val="32"/>
          <w:szCs w:val="32"/>
        </w:rPr>
        <w:t>我单位无二级预算单位。</w:t>
      </w:r>
    </w:p>
    <w:p>
      <w:pPr>
        <w:pStyle w:val="2"/>
        <w:ind w:right="1100"/>
        <w:jc w:val="right"/>
        <w:rPr>
          <w:rFonts w:ascii="黑体" w:hAnsi="黑体" w:eastAsia="黑体"/>
          <w:b w:val="0"/>
          <w:bCs w:val="0"/>
        </w:rPr>
      </w:pPr>
      <w:bookmarkStart w:id="20" w:name="_Toc15377204"/>
      <w:bookmarkStart w:id="21" w:name="_Toc15396602"/>
      <w:r>
        <w:rPr>
          <w:rFonts w:hint="eastAsia" w:ascii="黑体" w:hAnsi="黑体" w:eastAsia="黑体"/>
          <w:b w:val="0"/>
          <w:color w:val="000000"/>
        </w:rPr>
        <w:t>第二部分</w:t>
      </w:r>
      <w:r>
        <w:rPr>
          <w:rStyle w:val="17"/>
          <w:rFonts w:ascii="黑体" w:hAnsi="黑体" w:eastAsia="黑体"/>
          <w:b w:val="0"/>
          <w:bCs w:val="0"/>
        </w:rPr>
        <w:t>2019</w:t>
      </w:r>
      <w:r>
        <w:rPr>
          <w:rStyle w:val="17"/>
          <w:rFonts w:hint="eastAsia" w:ascii="黑体" w:hAnsi="黑体" w:eastAsia="黑体"/>
          <w:b w:val="0"/>
          <w:bCs w:val="0"/>
        </w:rPr>
        <w:t>年度部门决算情况说明</w:t>
      </w:r>
      <w:bookmarkEnd w:id="20"/>
      <w:bookmarkEnd w:id="21"/>
    </w:p>
    <w:p>
      <w:pPr>
        <w:pStyle w:val="28"/>
        <w:numPr>
          <w:ilvl w:val="0"/>
          <w:numId w:val="1"/>
        </w:numPr>
        <w:spacing w:line="600" w:lineRule="exact"/>
        <w:ind w:firstLineChars="0"/>
        <w:outlineLvl w:val="1"/>
        <w:rPr>
          <w:rStyle w:val="18"/>
          <w:rFonts w:ascii="黑体" w:hAnsi="黑体" w:eastAsia="黑体"/>
          <w:b w:val="0"/>
        </w:rPr>
      </w:pPr>
      <w:bookmarkStart w:id="22" w:name="_Toc15377205"/>
      <w:bookmarkStart w:id="23" w:name="_Toc15396603"/>
      <w:r>
        <w:rPr>
          <w:rFonts w:hint="eastAsia" w:ascii="黑体" w:hAnsi="黑体" w:eastAsia="黑体"/>
          <w:color w:val="000000"/>
          <w:sz w:val="32"/>
          <w:szCs w:val="32"/>
        </w:rPr>
        <w:t>收</w:t>
      </w:r>
      <w:r>
        <w:rPr>
          <w:rStyle w:val="18"/>
          <w:rFonts w:hint="eastAsia" w:ascii="黑体" w:hAnsi="黑体" w:eastAsia="黑体"/>
          <w:b w:val="0"/>
        </w:rPr>
        <w:t>入支出决算总体情况说明</w:t>
      </w:r>
      <w:bookmarkEnd w:id="22"/>
      <w:bookmarkEnd w:id="23"/>
    </w:p>
    <w:p>
      <w:pPr>
        <w:ind w:firstLine="640" w:firstLineChars="200"/>
        <w:rPr>
          <w:rFonts w:ascii="宋体" w:hAnsi="宋体" w:cs="Arial"/>
          <w:color w:val="000000"/>
          <w:kern w:val="0"/>
          <w:sz w:val="32"/>
          <w:szCs w:val="32"/>
        </w:rPr>
      </w:pPr>
      <w:r>
        <w:rPr>
          <w:rFonts w:ascii="仿宋" w:hAnsi="仿宋" w:eastAsia="仿宋"/>
          <w:color w:val="000000"/>
          <w:sz w:val="32"/>
          <w:szCs w:val="32"/>
        </w:rPr>
        <w:t>2019</w:t>
      </w:r>
      <w:r>
        <w:rPr>
          <w:rFonts w:hint="eastAsia" w:ascii="仿宋" w:hAnsi="仿宋" w:eastAsia="仿宋"/>
          <w:color w:val="000000"/>
          <w:sz w:val="32"/>
          <w:szCs w:val="32"/>
        </w:rPr>
        <w:t>年度收入总计</w:t>
      </w:r>
      <w:r>
        <w:rPr>
          <w:rFonts w:hint="eastAsia" w:ascii="宋体" w:hAnsi="宋体" w:cs="Arial"/>
          <w:color w:val="000000"/>
          <w:kern w:val="0"/>
          <w:sz w:val="32"/>
          <w:szCs w:val="32"/>
        </w:rPr>
        <w:t>2,602.37万元，</w:t>
      </w:r>
      <w:r>
        <w:rPr>
          <w:rFonts w:hint="eastAsia" w:ascii="仿宋" w:hAnsi="仿宋" w:eastAsia="仿宋"/>
          <w:color w:val="000000"/>
          <w:sz w:val="32"/>
          <w:szCs w:val="32"/>
        </w:rPr>
        <w:t>支出总计</w:t>
      </w:r>
      <w:r>
        <w:rPr>
          <w:rFonts w:hint="eastAsia" w:ascii="宋体" w:hAnsi="宋体" w:cs="Arial"/>
          <w:color w:val="000000"/>
          <w:kern w:val="0"/>
          <w:sz w:val="32"/>
          <w:szCs w:val="32"/>
        </w:rPr>
        <w:t>5,809.32</w:t>
      </w:r>
    </w:p>
    <w:p>
      <w:pPr>
        <w:rPr>
          <w:rFonts w:ascii="宋体" w:hAnsi="宋体" w:cs="Arial"/>
          <w:color w:val="000000"/>
          <w:kern w:val="0"/>
          <w:sz w:val="22"/>
          <w:szCs w:val="22"/>
        </w:rPr>
      </w:pPr>
      <w:r>
        <w:rPr>
          <w:rFonts w:hint="eastAsia" w:ascii="仿宋" w:hAnsi="仿宋" w:eastAsia="仿宋"/>
          <w:color w:val="000000"/>
          <w:sz w:val="32"/>
          <w:szCs w:val="32"/>
        </w:rPr>
        <w:t>万元。与</w:t>
      </w:r>
      <w:r>
        <w:rPr>
          <w:rFonts w:ascii="仿宋" w:hAnsi="仿宋" w:eastAsia="仿宋"/>
          <w:color w:val="000000"/>
          <w:sz w:val="32"/>
          <w:szCs w:val="32"/>
        </w:rPr>
        <w:t>2018</w:t>
      </w:r>
      <w:r>
        <w:rPr>
          <w:rFonts w:hint="eastAsia" w:ascii="仿宋" w:hAnsi="仿宋" w:eastAsia="仿宋"/>
          <w:color w:val="000000"/>
          <w:sz w:val="32"/>
          <w:szCs w:val="32"/>
        </w:rPr>
        <w:t>年相比，收入减少195.95万元，下降9.3%支出增加350.86万元，增加6.4</w:t>
      </w:r>
      <w:r>
        <w:rPr>
          <w:rFonts w:ascii="仿宋" w:hAnsi="仿宋" w:eastAsia="仿宋"/>
          <w:color w:val="000000"/>
          <w:sz w:val="32"/>
          <w:szCs w:val="32"/>
        </w:rPr>
        <w:t>%</w:t>
      </w:r>
      <w:r>
        <w:rPr>
          <w:rFonts w:hint="eastAsia" w:ascii="仿宋" w:hAnsi="仿宋" w:eastAsia="仿宋"/>
          <w:color w:val="000000"/>
          <w:sz w:val="32"/>
          <w:szCs w:val="32"/>
        </w:rPr>
        <w:t xml:space="preserve">。主要变动原因是中央出台的更大规模减税降费政策及今年我单位项目减少。 </w:t>
      </w:r>
      <w:r>
        <w:rPr>
          <w:rFonts w:ascii="仿宋_GB2312" w:eastAsia="仿宋_GB2312"/>
          <w:color w:val="000000"/>
          <w:sz w:val="32"/>
          <w:szCs w:val="32"/>
        </w:rPr>
        <w:object>
          <v:shape id="_x0000_i1025" o:spt="75" type="#_x0000_t75" style="height:137.25pt;width:318.75pt;" o:ole="t" filled="f" o:preferrelative="t" stroked="f" coordsize="21600,21600">
            <v:path/>
            <v:fill on="f" focussize="0,0"/>
            <v:stroke on="f" joinstyle="miter"/>
            <v:imagedata r:id="rId7" o:title=""/>
            <o:lock v:ext="edit" aspectratio="t"/>
            <w10:wrap type="none"/>
            <w10:anchorlock/>
          </v:shape>
          <o:OLEObject Type="Embed" ProgID="MSGraph.Chart.8" ShapeID="_x0000_i1025" DrawAspect="Content" ObjectID="_1468075725" r:id="rId6">
            <o:LockedField>false</o:LockedField>
          </o:OLEObject>
        </w:object>
      </w:r>
    </w:p>
    <w:p>
      <w:pPr>
        <w:spacing w:line="600" w:lineRule="exact"/>
        <w:ind w:firstLine="640" w:firstLineChars="200"/>
        <w:rPr>
          <w:rFonts w:ascii="仿宋" w:hAnsi="仿宋" w:eastAsia="仿宋"/>
          <w:color w:val="000000"/>
          <w:sz w:val="32"/>
          <w:szCs w:val="32"/>
        </w:rPr>
      </w:pPr>
      <w:bookmarkStart w:id="24" w:name="_Toc15377206"/>
      <w:bookmarkStart w:id="25" w:name="_Toc15396604"/>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pStyle w:val="28"/>
        <w:spacing w:line="600" w:lineRule="exact"/>
        <w:ind w:firstLine="0" w:firstLineChars="0"/>
        <w:outlineLvl w:val="1"/>
        <w:rPr>
          <w:rFonts w:ascii="黑体" w:hAnsi="黑体" w:eastAsia="黑体"/>
          <w:color w:val="000000"/>
          <w:sz w:val="32"/>
          <w:szCs w:val="32"/>
        </w:rPr>
      </w:pPr>
    </w:p>
    <w:p>
      <w:pPr>
        <w:pStyle w:val="28"/>
        <w:spacing w:line="600" w:lineRule="exact"/>
        <w:ind w:firstLine="480" w:firstLineChars="150"/>
        <w:outlineLvl w:val="1"/>
        <w:rPr>
          <w:rStyle w:val="18"/>
          <w:rFonts w:ascii="黑体" w:hAnsi="黑体" w:eastAsia="黑体"/>
          <w:b w:val="0"/>
        </w:rPr>
      </w:pPr>
      <w:r>
        <w:rPr>
          <w:rFonts w:hint="eastAsia" w:ascii="黑体" w:hAnsi="黑体" w:eastAsia="黑体"/>
          <w:color w:val="000000"/>
          <w:sz w:val="32"/>
          <w:szCs w:val="32"/>
        </w:rPr>
        <w:t>二、收</w:t>
      </w:r>
      <w:r>
        <w:rPr>
          <w:rStyle w:val="18"/>
          <w:rFonts w:hint="eastAsia" w:ascii="黑体" w:hAnsi="黑体" w:eastAsia="黑体"/>
          <w:b w:val="0"/>
        </w:rPr>
        <w:t>入决算情况说明</w:t>
      </w:r>
      <w:bookmarkEnd w:id="24"/>
      <w:bookmarkEnd w:id="25"/>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年本年收入合计2,602.37万元，其中：一般公共预算财政拨款收入2,595.60万元，占99.7</w:t>
      </w:r>
      <w:r>
        <w:rPr>
          <w:rFonts w:ascii="仿宋" w:hAnsi="仿宋" w:eastAsia="仿宋"/>
          <w:color w:val="000000"/>
          <w:sz w:val="32"/>
          <w:szCs w:val="32"/>
        </w:rPr>
        <w:t>%</w:t>
      </w:r>
      <w:r>
        <w:rPr>
          <w:rFonts w:hint="eastAsia" w:ascii="仿宋" w:hAnsi="仿宋" w:eastAsia="仿宋"/>
          <w:color w:val="000000"/>
          <w:sz w:val="32"/>
          <w:szCs w:val="32"/>
        </w:rPr>
        <w:t>；政府性基金预算财政拨款收入6.77万元，占0.3</w:t>
      </w:r>
      <w:r>
        <w:rPr>
          <w:rFonts w:ascii="仿宋" w:hAnsi="仿宋" w:eastAsia="仿宋"/>
          <w:color w:val="000000"/>
          <w:sz w:val="32"/>
          <w:szCs w:val="32"/>
        </w:rPr>
        <w:t>%</w:t>
      </w:r>
      <w:r>
        <w:rPr>
          <w:rFonts w:hint="eastAsia" w:ascii="仿宋" w:hAnsi="仿宋" w:eastAsia="仿宋"/>
          <w:color w:val="000000"/>
          <w:sz w:val="32"/>
          <w:szCs w:val="32"/>
        </w:rPr>
        <w:t>；上级补助收入0万元，占0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pPr>
        <w:ind w:firstLine="640" w:firstLineChars="200"/>
        <w:rPr>
          <w:rFonts w:ascii="仿宋_GB2312" w:eastAsia="仿宋_GB2312"/>
          <w:color w:val="FF0000"/>
          <w:sz w:val="32"/>
          <w:szCs w:val="32"/>
        </w:rPr>
      </w:pPr>
      <w:r>
        <w:rPr>
          <w:rFonts w:ascii="仿宋_GB2312" w:eastAsia="仿宋_GB2312"/>
          <w:color w:val="FF0000"/>
          <w:sz w:val="32"/>
          <w:szCs w:val="32"/>
        </w:rPr>
        <w:object>
          <v:shape id="_x0000_i1026" o:spt="75" type="#_x0000_t75" style="height:227.25pt;width:336pt;" o:ole="t" filled="f" o:preferrelative="t" stroked="f" coordsize="21600,21600">
            <v:path/>
            <v:fill on="f" focussize="0,0"/>
            <v:stroke on="f" joinstyle="miter"/>
            <v:imagedata r:id="rId9" o:title=""/>
            <o:lock v:ext="edit" aspectratio="t"/>
            <w10:wrap type="none"/>
            <w10:anchorlock/>
          </v:shape>
          <o:OLEObject Type="Embed" ProgID="MSGraph.Chart.8" ShapeID="_x0000_i1026" DrawAspect="Content" ObjectID="_1468075726" r:id="rId8">
            <o:LockedField>false</o:LockedField>
          </o:OLEObject>
        </w:objec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pStyle w:val="28"/>
        <w:numPr>
          <w:ilvl w:val="0"/>
          <w:numId w:val="1"/>
        </w:numPr>
        <w:spacing w:line="600" w:lineRule="exact"/>
        <w:ind w:firstLineChars="0"/>
        <w:outlineLvl w:val="1"/>
        <w:rPr>
          <w:rStyle w:val="18"/>
          <w:rFonts w:ascii="黑体" w:hAnsi="黑体" w:eastAsia="黑体"/>
          <w:b w:val="0"/>
        </w:rPr>
      </w:pPr>
      <w:bookmarkStart w:id="26" w:name="_Toc15377207"/>
      <w:bookmarkStart w:id="27" w:name="_Toc15396605"/>
      <w:r>
        <w:rPr>
          <w:rFonts w:hint="eastAsia" w:ascii="黑体" w:hAnsi="黑体" w:eastAsia="黑体"/>
          <w:color w:val="000000"/>
          <w:sz w:val="32"/>
          <w:szCs w:val="32"/>
        </w:rPr>
        <w:t>支</w:t>
      </w:r>
      <w:r>
        <w:rPr>
          <w:rStyle w:val="18"/>
          <w:rFonts w:hint="eastAsia" w:ascii="黑体" w:hAnsi="黑体" w:eastAsia="黑体"/>
          <w:b w:val="0"/>
        </w:rPr>
        <w:t>出决算情况说明</w:t>
      </w:r>
      <w:bookmarkEnd w:id="26"/>
      <w:bookmarkEnd w:id="27"/>
    </w:p>
    <w:p>
      <w:pPr>
        <w:spacing w:line="600" w:lineRule="exact"/>
        <w:ind w:firstLine="640" w:firstLineChars="200"/>
        <w:outlineLvl w:val="1"/>
        <w:rPr>
          <w:rFonts w:ascii="仿宋" w:hAnsi="仿宋" w:eastAsia="仿宋"/>
          <w:b/>
          <w:bCs/>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年本年支出合计4,094.23万元，其中：基本支出</w:t>
      </w:r>
      <w:r>
        <w:rPr>
          <w:rFonts w:hint="eastAsia" w:ascii="仿宋" w:hAnsi="仿宋" w:eastAsia="仿宋"/>
          <w:b/>
          <w:bCs/>
          <w:color w:val="000000"/>
          <w:sz w:val="32"/>
          <w:szCs w:val="32"/>
        </w:rPr>
        <w:t>241.74</w:t>
      </w:r>
      <w:r>
        <w:rPr>
          <w:rFonts w:hint="eastAsia" w:ascii="仿宋" w:hAnsi="仿宋" w:eastAsia="仿宋"/>
          <w:color w:val="000000"/>
          <w:sz w:val="32"/>
          <w:szCs w:val="32"/>
        </w:rPr>
        <w:t>万元，占5.9</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b/>
          <w:bCs/>
          <w:color w:val="000000"/>
          <w:sz w:val="32"/>
          <w:szCs w:val="32"/>
        </w:rPr>
        <w:t>3,852.49</w:t>
      </w:r>
      <w:r>
        <w:rPr>
          <w:rFonts w:hint="eastAsia" w:ascii="仿宋" w:hAnsi="仿宋" w:eastAsia="仿宋"/>
          <w:color w:val="000000"/>
          <w:sz w:val="32"/>
          <w:szCs w:val="32"/>
        </w:rPr>
        <w:t>万元，占94.1</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pPr>
        <w:ind w:firstLine="1280" w:firstLineChars="400"/>
        <w:rPr>
          <w:rFonts w:ascii="仿宋_GB2312" w:eastAsia="仿宋_GB2312"/>
          <w:color w:val="FF0000"/>
          <w:sz w:val="32"/>
          <w:szCs w:val="32"/>
        </w:rPr>
      </w:pPr>
      <w:r>
        <w:rPr>
          <w:rFonts w:ascii="仿宋_GB2312" w:eastAsia="仿宋_GB2312"/>
          <w:color w:val="FF0000"/>
          <w:sz w:val="32"/>
          <w:szCs w:val="32"/>
        </w:rPr>
        <w:object>
          <v:shape id="_x0000_i1027" o:spt="75" type="#_x0000_t75" style="height:259.5pt;width:264pt;" o:ole="t" filled="f" o:preferrelative="t" stroked="f" coordsize="21600,21600">
            <v:path/>
            <v:fill on="f" focussize="0,0"/>
            <v:stroke on="f" joinstyle="miter"/>
            <v:imagedata r:id="rId11" o:title=""/>
            <o:lock v:ext="edit" aspectratio="t"/>
            <w10:wrap type="none"/>
            <w10:anchorlock/>
          </v:shape>
          <o:OLEObject Type="Embed" ProgID="MSGraph.Chart.8" ShapeID="_x0000_i1027" DrawAspect="Content" ObjectID="_1468075727" r:id="rId10">
            <o:LockedField>false</o:LockedField>
          </o:OLEObject>
        </w:object>
      </w:r>
    </w:p>
    <w:p>
      <w:pPr>
        <w:spacing w:line="600" w:lineRule="exact"/>
        <w:ind w:firstLine="640" w:firstLineChars="200"/>
        <w:rPr>
          <w:rFonts w:ascii="仿宋" w:hAnsi="仿宋" w:eastAsia="仿宋"/>
          <w:color w:val="000000"/>
          <w:sz w:val="32"/>
          <w:szCs w:val="32"/>
        </w:rPr>
      </w:pPr>
      <w:bookmarkStart w:id="28" w:name="_Toc15377208"/>
      <w:bookmarkStart w:id="29" w:name="_Toc15396606"/>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spacing w:line="600" w:lineRule="exact"/>
        <w:ind w:firstLine="640" w:firstLineChars="200"/>
        <w:outlineLvl w:val="1"/>
        <w:rPr>
          <w:rStyle w:val="18"/>
          <w:rFonts w:ascii="黑体" w:hAnsi="黑体" w:eastAsia="黑体"/>
          <w:b w:val="0"/>
        </w:rPr>
      </w:pPr>
      <w:r>
        <w:rPr>
          <w:rFonts w:hint="eastAsia" w:ascii="黑体" w:hAnsi="黑体" w:eastAsia="黑体"/>
          <w:color w:val="000000"/>
          <w:sz w:val="32"/>
          <w:szCs w:val="32"/>
        </w:rPr>
        <w:t>四、财</w:t>
      </w:r>
      <w:r>
        <w:rPr>
          <w:rStyle w:val="18"/>
          <w:rFonts w:hint="eastAsia" w:ascii="黑体" w:hAnsi="黑体" w:eastAsia="黑体"/>
          <w:b w:val="0"/>
        </w:rPr>
        <w:t>政拨款收入支出决算总体情况说明</w:t>
      </w:r>
      <w:bookmarkEnd w:id="28"/>
      <w:bookmarkEnd w:id="29"/>
    </w:p>
    <w:p>
      <w:pPr>
        <w:ind w:firstLine="640" w:firstLineChars="200"/>
        <w:rPr>
          <w:rFonts w:ascii="宋体" w:hAnsi="宋体" w:cs="Arial"/>
          <w:color w:val="000000"/>
          <w:kern w:val="0"/>
          <w:sz w:val="32"/>
          <w:szCs w:val="32"/>
        </w:rPr>
      </w:pPr>
      <w:r>
        <w:rPr>
          <w:rFonts w:ascii="仿宋" w:hAnsi="仿宋" w:eastAsia="仿宋"/>
          <w:color w:val="000000"/>
          <w:sz w:val="32"/>
          <w:szCs w:val="32"/>
        </w:rPr>
        <w:t>2019</w:t>
      </w:r>
      <w:r>
        <w:rPr>
          <w:rFonts w:hint="eastAsia" w:ascii="仿宋" w:hAnsi="仿宋" w:eastAsia="仿宋"/>
          <w:color w:val="000000"/>
          <w:sz w:val="32"/>
          <w:szCs w:val="32"/>
        </w:rPr>
        <w:t>年度总收入</w:t>
      </w:r>
      <w:r>
        <w:rPr>
          <w:rFonts w:hint="eastAsia" w:ascii="宋体" w:hAnsi="宋体" w:cs="Arial"/>
          <w:color w:val="000000"/>
          <w:kern w:val="0"/>
          <w:sz w:val="32"/>
          <w:szCs w:val="32"/>
        </w:rPr>
        <w:t>2,602.37万元，</w:t>
      </w:r>
      <w:r>
        <w:rPr>
          <w:rFonts w:hint="eastAsia" w:ascii="仿宋" w:hAnsi="仿宋" w:eastAsia="仿宋"/>
          <w:color w:val="000000"/>
          <w:sz w:val="32"/>
          <w:szCs w:val="32"/>
        </w:rPr>
        <w:t>支出总计</w:t>
      </w:r>
      <w:r>
        <w:rPr>
          <w:rFonts w:hint="eastAsia" w:ascii="宋体" w:hAnsi="宋体" w:cs="Arial"/>
          <w:color w:val="000000"/>
          <w:kern w:val="0"/>
          <w:sz w:val="32"/>
          <w:szCs w:val="32"/>
        </w:rPr>
        <w:t>4,094.23</w:t>
      </w:r>
    </w:p>
    <w:p>
      <w:pPr>
        <w:rPr>
          <w:rFonts w:ascii="宋体" w:hAnsi="宋体" w:cs="Arial"/>
          <w:color w:val="000000"/>
          <w:kern w:val="0"/>
          <w:sz w:val="22"/>
          <w:szCs w:val="22"/>
        </w:rPr>
      </w:pPr>
      <w:r>
        <w:rPr>
          <w:rFonts w:hint="eastAsia" w:ascii="仿宋" w:hAnsi="仿宋" w:eastAsia="仿宋"/>
          <w:color w:val="000000"/>
          <w:sz w:val="32"/>
          <w:szCs w:val="32"/>
        </w:rPr>
        <w:t>万元。与</w:t>
      </w:r>
      <w:r>
        <w:rPr>
          <w:rFonts w:ascii="仿宋" w:hAnsi="仿宋" w:eastAsia="仿宋"/>
          <w:color w:val="000000"/>
          <w:sz w:val="32"/>
          <w:szCs w:val="32"/>
        </w:rPr>
        <w:t>2018</w:t>
      </w:r>
      <w:r>
        <w:rPr>
          <w:rFonts w:hint="eastAsia" w:ascii="仿宋" w:hAnsi="仿宋" w:eastAsia="仿宋"/>
          <w:color w:val="000000"/>
          <w:sz w:val="32"/>
          <w:szCs w:val="32"/>
        </w:rPr>
        <w:t>年相比，收入减少195.95万元，下降9.3%支出减少1364.23万元，下降25</w:t>
      </w:r>
      <w:r>
        <w:rPr>
          <w:rFonts w:ascii="仿宋" w:hAnsi="仿宋" w:eastAsia="仿宋"/>
          <w:color w:val="000000"/>
          <w:sz w:val="32"/>
          <w:szCs w:val="32"/>
        </w:rPr>
        <w:t>%</w:t>
      </w:r>
      <w:r>
        <w:rPr>
          <w:rFonts w:hint="eastAsia" w:ascii="仿宋" w:hAnsi="仿宋" w:eastAsia="仿宋"/>
          <w:color w:val="000000"/>
          <w:sz w:val="32"/>
          <w:szCs w:val="32"/>
        </w:rPr>
        <w:t>。主要变动原因是中央出台的更大规模减税降费政策及今年我单位项目减少。</w:t>
      </w:r>
    </w:p>
    <w:p>
      <w:pPr>
        <w:ind w:firstLine="641"/>
        <w:rPr>
          <w:rFonts w:ascii="仿宋" w:hAnsi="仿宋" w:eastAsia="仿宋"/>
          <w:b/>
          <w:color w:val="00B050"/>
          <w:sz w:val="32"/>
          <w:szCs w:val="32"/>
        </w:rPr>
      </w:pPr>
      <w:r>
        <w:rPr>
          <w:rFonts w:ascii="仿宋" w:hAnsi="仿宋" w:eastAsia="仿宋"/>
          <w:b/>
          <w:color w:val="00B050"/>
          <w:sz w:val="32"/>
          <w:szCs w:val="32"/>
        </w:rPr>
        <w:object>
          <v:shape id="_x0000_i1028" o:spt="75" type="#_x0000_t75" style="height:126pt;width:292.5pt;" o:ole="t" filled="f" o:preferrelative="t" stroked="f" coordsize="21600,21600">
            <v:path/>
            <v:fill on="f" focussize="0,0"/>
            <v:stroke on="f" joinstyle="miter"/>
            <v:imagedata r:id="rId13" o:title=""/>
            <o:lock v:ext="edit" aspectratio="t"/>
            <w10:wrap type="none"/>
            <w10:anchorlock/>
          </v:shape>
          <o:OLEObject Type="Embed" ProgID="MSGraph.Chart.8" ShapeID="_x0000_i1028" DrawAspect="Content" ObjectID="_1468075728" r:id="rId12">
            <o:LockedField>false</o:LockedField>
          </o:OLEObject>
        </w:object>
      </w:r>
    </w:p>
    <w:p>
      <w:pPr>
        <w:spacing w:line="600" w:lineRule="exact"/>
        <w:ind w:firstLine="640" w:firstLineChars="200"/>
        <w:rPr>
          <w:rFonts w:ascii="仿宋" w:hAnsi="仿宋" w:eastAsia="仿宋"/>
          <w:color w:val="000000"/>
          <w:sz w:val="32"/>
          <w:szCs w:val="32"/>
        </w:rPr>
      </w:pPr>
      <w:bookmarkStart w:id="30" w:name="_Toc15396607"/>
      <w:bookmarkStart w:id="31" w:name="_Toc15377209"/>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spacing w:line="600" w:lineRule="exact"/>
        <w:ind w:firstLine="640" w:firstLineChars="200"/>
        <w:outlineLvl w:val="1"/>
        <w:rPr>
          <w:rStyle w:val="18"/>
          <w:rFonts w:ascii="黑体" w:hAnsi="黑体" w:eastAsia="黑体"/>
          <w:b w:val="0"/>
          <w:color w:val="000000" w:themeColor="text1"/>
        </w:rPr>
      </w:pPr>
      <w:r>
        <w:rPr>
          <w:rFonts w:hint="eastAsia" w:ascii="黑体" w:hAnsi="黑体" w:eastAsia="黑体"/>
          <w:color w:val="000000" w:themeColor="text1"/>
          <w:sz w:val="32"/>
          <w:szCs w:val="32"/>
        </w:rPr>
        <w:t>五、</w:t>
      </w:r>
      <w:r>
        <w:rPr>
          <w:rFonts w:hint="eastAsia" w:ascii="黑体" w:hAnsi="黑体" w:eastAsia="黑体"/>
          <w:b/>
          <w:color w:val="000000" w:themeColor="text1"/>
          <w:sz w:val="32"/>
          <w:szCs w:val="32"/>
        </w:rPr>
        <w:t>一</w:t>
      </w:r>
      <w:r>
        <w:rPr>
          <w:rStyle w:val="18"/>
          <w:rFonts w:hint="eastAsia" w:ascii="黑体" w:hAnsi="黑体" w:eastAsia="黑体"/>
          <w:b w:val="0"/>
          <w:color w:val="000000" w:themeColor="text1"/>
        </w:rPr>
        <w:t>般公共预算财政拨款支出决算情况说明</w:t>
      </w:r>
      <w:bookmarkEnd w:id="30"/>
      <w:bookmarkEnd w:id="31"/>
    </w:p>
    <w:p>
      <w:pPr>
        <w:spacing w:line="600" w:lineRule="exact"/>
        <w:ind w:firstLine="643" w:firstLineChars="200"/>
        <w:outlineLvl w:val="2"/>
        <w:rPr>
          <w:rFonts w:ascii="仿宋" w:hAnsi="仿宋" w:eastAsia="仿宋"/>
          <w:b/>
          <w:color w:val="000000"/>
          <w:sz w:val="32"/>
          <w:szCs w:val="32"/>
        </w:rPr>
      </w:pPr>
      <w:bookmarkStart w:id="32" w:name="_Toc15377210"/>
      <w:r>
        <w:rPr>
          <w:rFonts w:hint="eastAsia" w:ascii="仿宋" w:hAnsi="仿宋" w:eastAsia="仿宋"/>
          <w:b/>
          <w:color w:val="000000"/>
          <w:sz w:val="32"/>
          <w:szCs w:val="32"/>
        </w:rPr>
        <w:t>（一）一般公共预算财政拨款支出决算总体情况</w:t>
      </w:r>
      <w:bookmarkEnd w:id="32"/>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年一般公共预算财政拨款支出4,086.76万元，占本年支出合计的99.8</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2018</w:t>
      </w:r>
      <w:r>
        <w:rPr>
          <w:rFonts w:hint="eastAsia" w:ascii="仿宋" w:hAnsi="仿宋" w:eastAsia="仿宋"/>
          <w:color w:val="000000"/>
          <w:sz w:val="32"/>
          <w:szCs w:val="32"/>
        </w:rPr>
        <w:t>年相比，一般公共预算财政拨款减少1371.7万元，下降25</w:t>
      </w:r>
      <w:r>
        <w:rPr>
          <w:rFonts w:ascii="仿宋" w:hAnsi="仿宋" w:eastAsia="仿宋"/>
          <w:color w:val="000000"/>
          <w:sz w:val="32"/>
          <w:szCs w:val="32"/>
        </w:rPr>
        <w:t>%</w:t>
      </w:r>
      <w:r>
        <w:rPr>
          <w:rFonts w:hint="eastAsia" w:ascii="仿宋" w:hAnsi="仿宋" w:eastAsia="仿宋"/>
          <w:color w:val="000000"/>
          <w:sz w:val="32"/>
          <w:szCs w:val="32"/>
        </w:rPr>
        <w:t>。主要变动原因是中央出台的更大规模减税降费政策及今年我单位项目减少。</w:t>
      </w:r>
    </w:p>
    <w:p>
      <w:pPr>
        <w:ind w:firstLine="640" w:firstLineChars="200"/>
        <w:rPr>
          <w:rFonts w:ascii="仿宋" w:hAnsi="仿宋" w:eastAsia="仿宋"/>
          <w:color w:val="000000"/>
          <w:sz w:val="32"/>
          <w:szCs w:val="32"/>
        </w:rPr>
      </w:pPr>
      <w:r>
        <w:rPr>
          <w:rFonts w:ascii="仿宋" w:hAnsi="仿宋" w:eastAsia="仿宋"/>
          <w:color w:val="000000"/>
          <w:sz w:val="32"/>
          <w:szCs w:val="32"/>
        </w:rPr>
        <w:object>
          <v:shape id="_x0000_i1029" o:spt="75" type="#_x0000_t75" style="height:218.25pt;width:378.75pt;" o:ole="t" filled="f" o:preferrelative="t" stroked="f" coordsize="21600,21600">
            <v:path/>
            <v:fill on="f" focussize="0,0"/>
            <v:stroke on="f" joinstyle="miter"/>
            <v:imagedata r:id="rId15" o:title=""/>
            <o:lock v:ext="edit" aspectratio="t"/>
            <w10:wrap type="none"/>
            <w10:anchorlock/>
          </v:shape>
          <o:OLEObject Type="Embed" ProgID="MSGraph.Chart.8" ShapeID="_x0000_i1029" DrawAspect="Content" ObjectID="_1468075729" r:id="rId14">
            <o:LockedField>false</o:LockedField>
          </o:OLEObject>
        </w:object>
      </w:r>
    </w:p>
    <w:p>
      <w:pPr>
        <w:spacing w:line="600" w:lineRule="exact"/>
        <w:ind w:firstLine="640" w:firstLineChars="200"/>
        <w:rPr>
          <w:rFonts w:ascii="仿宋" w:hAnsi="仿宋" w:eastAsia="仿宋"/>
          <w:color w:val="000000"/>
          <w:sz w:val="32"/>
          <w:szCs w:val="32"/>
        </w:rPr>
      </w:pPr>
      <w:bookmarkStart w:id="33" w:name="_Toc15377211"/>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33"/>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年一般公共预算财政拨款支出4,094.23万元，主要用于以下方面</w:t>
      </w:r>
      <w:r>
        <w:rPr>
          <w:rFonts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支出26.9万元，占0.7</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color w:val="000000"/>
          <w:sz w:val="32"/>
          <w:szCs w:val="32"/>
        </w:rPr>
        <w:t>10.3万元，占0.3</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住房保障支出</w:t>
      </w:r>
      <w:r>
        <w:rPr>
          <w:rFonts w:hint="eastAsia" w:ascii="仿宋" w:hAnsi="仿宋" w:eastAsia="仿宋"/>
          <w:color w:val="000000"/>
          <w:sz w:val="32"/>
          <w:szCs w:val="32"/>
        </w:rPr>
        <w:t>23.98万元，占0.6</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节能环保支出</w:t>
      </w:r>
      <w:r>
        <w:rPr>
          <w:rFonts w:hint="eastAsia" w:ascii="仿宋" w:hAnsi="仿宋" w:eastAsia="仿宋"/>
          <w:color w:val="000000"/>
          <w:sz w:val="32"/>
          <w:szCs w:val="32"/>
        </w:rPr>
        <w:t>454.92万元占11.1%；</w:t>
      </w:r>
      <w:r>
        <w:rPr>
          <w:rFonts w:hint="eastAsia" w:ascii="仿宋" w:hAnsi="仿宋" w:eastAsia="仿宋"/>
          <w:b/>
          <w:color w:val="000000"/>
          <w:sz w:val="32"/>
          <w:szCs w:val="32"/>
        </w:rPr>
        <w:t>城乡社区支出</w:t>
      </w:r>
      <w:r>
        <w:rPr>
          <w:rFonts w:hint="eastAsia" w:ascii="仿宋" w:hAnsi="仿宋" w:eastAsia="仿宋"/>
          <w:color w:val="000000"/>
          <w:sz w:val="32"/>
          <w:szCs w:val="32"/>
        </w:rPr>
        <w:t>6.77万元占0.2</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农林水支出</w:t>
      </w:r>
      <w:r>
        <w:rPr>
          <w:rFonts w:hint="eastAsia" w:ascii="仿宋" w:hAnsi="仿宋" w:eastAsia="仿宋"/>
          <w:color w:val="000000"/>
          <w:sz w:val="32"/>
          <w:szCs w:val="32"/>
        </w:rPr>
        <w:t>451.24万元，占11</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自然资源海洋气象等</w:t>
      </w:r>
      <w:r>
        <w:rPr>
          <w:rFonts w:hint="eastAsia" w:ascii="仿宋" w:hAnsi="仿宋" w:eastAsia="仿宋"/>
          <w:color w:val="000000"/>
          <w:sz w:val="32"/>
          <w:szCs w:val="32"/>
        </w:rPr>
        <w:t>支出923.69万元，占22.6</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其他支出</w:t>
      </w:r>
      <w:r>
        <w:rPr>
          <w:rFonts w:hint="eastAsia" w:ascii="仿宋" w:hAnsi="仿宋" w:eastAsia="仿宋"/>
          <w:color w:val="000000"/>
          <w:sz w:val="32"/>
          <w:szCs w:val="32"/>
        </w:rPr>
        <w:t>2196.43万元，占53.6</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p>
    <w:p>
      <w:pPr>
        <w:ind w:firstLine="641"/>
        <w:rPr>
          <w:rFonts w:ascii="仿宋" w:hAnsi="仿宋" w:eastAsia="仿宋"/>
          <w:color w:val="000000"/>
          <w:sz w:val="32"/>
          <w:szCs w:val="32"/>
        </w:rPr>
      </w:pPr>
      <w:r>
        <w:rPr>
          <w:rFonts w:ascii="仿宋" w:hAnsi="仿宋" w:eastAsia="仿宋"/>
          <w:color w:val="000000"/>
          <w:sz w:val="32"/>
          <w:szCs w:val="32"/>
        </w:rPr>
        <w:object>
          <v:shape id="_x0000_i1030" o:spt="75" type="#_x0000_t75" style="height:305.25pt;width:353.25pt;" o:ole="t" filled="f" o:preferrelative="t" stroked="f" coordsize="21600,21600">
            <v:path/>
            <v:fill on="f" focussize="0,0"/>
            <v:stroke on="f" joinstyle="miter"/>
            <v:imagedata r:id="rId17" o:title=""/>
            <o:lock v:ext="edit" aspectratio="t"/>
            <w10:wrap type="none"/>
            <w10:anchorlock/>
          </v:shape>
          <o:OLEObject Type="Embed" ProgID="MSGraph.Chart.8" ShapeID="_x0000_i1030" DrawAspect="Content" ObjectID="_1468075730" r:id="rId16">
            <o:LockedField>false</o:LockedField>
          </o:OLEObject>
        </w:object>
      </w:r>
    </w:p>
    <w:p>
      <w:pPr>
        <w:ind w:firstLine="641"/>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spacing w:line="600" w:lineRule="exact"/>
        <w:ind w:firstLine="643" w:firstLineChars="200"/>
        <w:outlineLvl w:val="2"/>
        <w:rPr>
          <w:rFonts w:ascii="仿宋" w:hAnsi="仿宋" w:eastAsia="仿宋"/>
          <w:b/>
          <w:color w:val="000000"/>
          <w:sz w:val="32"/>
          <w:szCs w:val="32"/>
        </w:rPr>
      </w:pPr>
      <w:bookmarkStart w:id="34" w:name="_Toc15377212"/>
      <w:r>
        <w:rPr>
          <w:rFonts w:hint="eastAsia" w:ascii="仿宋" w:hAnsi="仿宋" w:eastAsia="仿宋"/>
          <w:b/>
          <w:color w:val="000000"/>
          <w:sz w:val="32"/>
          <w:szCs w:val="32"/>
        </w:rPr>
        <w:t>（三）一般公共预算财政拨款支出决算具体情况</w:t>
      </w:r>
      <w:bookmarkEnd w:id="34"/>
    </w:p>
    <w:p>
      <w:pPr>
        <w:rPr>
          <w:rFonts w:ascii="宋体" w:hAnsi="宋体" w:cs="Arial"/>
          <w:b/>
          <w:color w:val="000000"/>
          <w:kern w:val="0"/>
          <w:sz w:val="22"/>
          <w:szCs w:val="22"/>
        </w:rPr>
      </w:pPr>
      <w:bookmarkStart w:id="35" w:name="_Toc15377444"/>
      <w:bookmarkStart w:id="36" w:name="_Toc15377213"/>
      <w:bookmarkStart w:id="37" w:name="_Toc15378460"/>
      <w:r>
        <w:rPr>
          <w:rFonts w:ascii="仿宋" w:hAnsi="仿宋" w:eastAsia="仿宋"/>
          <w:color w:val="000000"/>
          <w:sz w:val="32"/>
          <w:szCs w:val="32"/>
        </w:rPr>
        <w:t>2019</w:t>
      </w:r>
      <w:r>
        <w:rPr>
          <w:rFonts w:hint="eastAsia" w:ascii="仿宋" w:hAnsi="仿宋" w:eastAsia="仿宋"/>
          <w:color w:val="000000"/>
          <w:sz w:val="32"/>
          <w:szCs w:val="32"/>
        </w:rPr>
        <w:t>年一般公共预算支出决算数为</w:t>
      </w:r>
      <w:r>
        <w:rPr>
          <w:rFonts w:hint="eastAsia" w:ascii="仿宋" w:hAnsi="仿宋" w:eastAsia="仿宋" w:cs="Arial"/>
          <w:color w:val="000000"/>
          <w:kern w:val="0"/>
          <w:sz w:val="32"/>
          <w:szCs w:val="32"/>
        </w:rPr>
        <w:t>4094.23</w:t>
      </w:r>
      <w:r>
        <w:rPr>
          <w:rFonts w:hint="eastAsia" w:ascii="仿宋" w:hAnsi="仿宋" w:eastAsia="仿宋"/>
          <w:color w:val="000000"/>
          <w:sz w:val="32"/>
          <w:szCs w:val="32"/>
        </w:rPr>
        <w:t>，</w:t>
      </w:r>
      <w:r>
        <w:rPr>
          <w:rStyle w:val="15"/>
          <w:rFonts w:hint="eastAsia" w:ascii="仿宋" w:hAnsi="仿宋" w:eastAsia="仿宋"/>
          <w:b w:val="0"/>
          <w:bCs/>
          <w:color w:val="000000"/>
          <w:sz w:val="32"/>
          <w:szCs w:val="32"/>
        </w:rPr>
        <w:t>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。其中：</w:t>
      </w:r>
      <w:bookmarkEnd w:id="35"/>
      <w:bookmarkEnd w:id="36"/>
      <w:bookmarkEnd w:id="37"/>
    </w:p>
    <w:p>
      <w:pPr>
        <w:spacing w:line="600" w:lineRule="exact"/>
        <w:ind w:firstLine="643" w:firstLineChars="200"/>
        <w:rPr>
          <w:rFonts w:ascii="仿宋" w:hAnsi="仿宋" w:eastAsia="仿宋"/>
          <w:bCs/>
          <w:color w:val="000000"/>
          <w:sz w:val="32"/>
          <w:szCs w:val="32"/>
        </w:rPr>
      </w:pPr>
      <w:r>
        <w:rPr>
          <w:rStyle w:val="15"/>
          <w:rFonts w:hint="eastAsia" w:ascii="仿宋" w:hAnsi="仿宋" w:eastAsia="仿宋"/>
          <w:bCs/>
          <w:color w:val="000000"/>
          <w:sz w:val="32"/>
          <w:szCs w:val="32"/>
        </w:rPr>
        <w:t>1</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社会保障和就业（类）</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2080505-机关事业单位基本养老保险缴费支出决算为</w:t>
      </w:r>
      <w:r>
        <w:rPr>
          <w:rFonts w:hint="eastAsia" w:ascii="仿宋" w:hAnsi="仿宋" w:eastAsia="仿宋"/>
          <w:bCs/>
          <w:color w:val="000000"/>
          <w:sz w:val="32"/>
          <w:szCs w:val="32"/>
        </w:rPr>
        <w:t>26.90</w:t>
      </w:r>
      <w:r>
        <w:rPr>
          <w:rStyle w:val="15"/>
          <w:rFonts w:hint="eastAsia" w:ascii="仿宋" w:hAnsi="仿宋" w:eastAsia="仿宋"/>
          <w:b w:val="0"/>
          <w:bCs/>
          <w:color w:val="000000"/>
          <w:sz w:val="32"/>
          <w:szCs w:val="32"/>
        </w:rPr>
        <w:t>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Cs/>
          <w:color w:val="000000"/>
          <w:sz w:val="32"/>
          <w:szCs w:val="32"/>
        </w:rPr>
      </w:pPr>
      <w:r>
        <w:rPr>
          <w:rStyle w:val="15"/>
          <w:rFonts w:hint="eastAsia" w:ascii="仿宋" w:hAnsi="仿宋" w:eastAsia="仿宋"/>
          <w:bCs/>
          <w:color w:val="000000"/>
          <w:sz w:val="32"/>
          <w:szCs w:val="32"/>
        </w:rPr>
        <w:t>2</w:t>
      </w:r>
      <w:r>
        <w:rPr>
          <w:rStyle w:val="15"/>
          <w:rFonts w:ascii="仿宋" w:hAnsi="仿宋" w:eastAsia="仿宋"/>
          <w:bCs/>
          <w:color w:val="000000"/>
          <w:sz w:val="32"/>
          <w:szCs w:val="32"/>
        </w:rPr>
        <w:t>.</w:t>
      </w:r>
      <w:r>
        <w:rPr>
          <w:rFonts w:hint="eastAsia" w:ascii="仿宋" w:hAnsi="仿宋" w:eastAsia="仿宋"/>
          <w:b/>
          <w:bCs/>
          <w:color w:val="000000"/>
          <w:sz w:val="32"/>
          <w:szCs w:val="32"/>
        </w:rPr>
        <w:t>卫生健康</w:t>
      </w:r>
      <w:r>
        <w:rPr>
          <w:rStyle w:val="15"/>
          <w:rFonts w:hint="eastAsia" w:ascii="仿宋" w:hAnsi="仿宋" w:eastAsia="仿宋"/>
          <w:bCs/>
          <w:color w:val="000000"/>
          <w:sz w:val="32"/>
          <w:szCs w:val="32"/>
        </w:rPr>
        <w:t>（类）</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2101101-行政单位医疗支出决算为</w:t>
      </w:r>
      <w:r>
        <w:rPr>
          <w:rFonts w:hint="eastAsia" w:ascii="仿宋" w:hAnsi="仿宋" w:eastAsia="仿宋"/>
          <w:bCs/>
          <w:color w:val="000000"/>
          <w:sz w:val="32"/>
          <w:szCs w:val="32"/>
        </w:rPr>
        <w:t>10.30</w:t>
      </w:r>
      <w:r>
        <w:rPr>
          <w:rStyle w:val="15"/>
          <w:rFonts w:hint="eastAsia" w:ascii="仿宋" w:hAnsi="仿宋" w:eastAsia="仿宋"/>
          <w:b w:val="0"/>
          <w:bCs/>
          <w:color w:val="000000"/>
          <w:sz w:val="32"/>
          <w:szCs w:val="32"/>
        </w:rPr>
        <w:t>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color w:val="000000"/>
          <w:sz w:val="32"/>
          <w:szCs w:val="32"/>
        </w:rPr>
      </w:pPr>
      <w:r>
        <w:rPr>
          <w:rFonts w:hint="eastAsia" w:ascii="仿宋" w:hAnsi="仿宋" w:eastAsia="仿宋"/>
          <w:b/>
          <w:color w:val="000000"/>
          <w:sz w:val="32"/>
          <w:szCs w:val="32"/>
        </w:rPr>
        <w:t>3</w:t>
      </w:r>
      <w:r>
        <w:rPr>
          <w:rFonts w:hint="eastAsia" w:ascii="仿宋" w:hAnsi="仿宋" w:eastAsia="仿宋"/>
          <w:color w:val="000000"/>
          <w:sz w:val="32"/>
          <w:szCs w:val="32"/>
        </w:rPr>
        <w:t>.</w:t>
      </w:r>
      <w:r>
        <w:rPr>
          <w:rFonts w:hint="eastAsia" w:ascii="仿宋" w:hAnsi="仿宋" w:eastAsia="仿宋"/>
          <w:b/>
          <w:color w:val="000000"/>
          <w:sz w:val="32"/>
          <w:szCs w:val="32"/>
        </w:rPr>
        <w:t>住房保障（类）：</w:t>
      </w:r>
      <w:r>
        <w:rPr>
          <w:rFonts w:hint="eastAsia" w:ascii="仿宋" w:hAnsi="仿宋" w:eastAsia="仿宋"/>
          <w:color w:val="000000"/>
          <w:sz w:val="32"/>
          <w:szCs w:val="32"/>
        </w:rPr>
        <w:t xml:space="preserve">2210201-住房公积金支出决算为23.98万元，完成预算100%，决算数等于预算数。 </w:t>
      </w:r>
    </w:p>
    <w:p>
      <w:pPr>
        <w:spacing w:line="600" w:lineRule="exact"/>
        <w:ind w:firstLine="643" w:firstLineChars="200"/>
        <w:rPr>
          <w:rFonts w:ascii="仿宋" w:hAnsi="仿宋" w:eastAsia="仿宋"/>
          <w:b/>
          <w:color w:val="000000"/>
          <w:sz w:val="32"/>
          <w:szCs w:val="32"/>
        </w:rPr>
      </w:pPr>
      <w:r>
        <w:rPr>
          <w:rFonts w:hint="eastAsia" w:ascii="仿宋" w:hAnsi="仿宋" w:eastAsia="仿宋"/>
          <w:b/>
          <w:color w:val="000000"/>
          <w:sz w:val="32"/>
          <w:szCs w:val="32"/>
        </w:rPr>
        <w:t>4. 节能环保支出（类）：</w:t>
      </w:r>
      <w:r>
        <w:rPr>
          <w:rFonts w:hint="eastAsia" w:ascii="仿宋" w:hAnsi="仿宋" w:eastAsia="仿宋"/>
          <w:color w:val="000000"/>
          <w:sz w:val="32"/>
          <w:szCs w:val="32"/>
        </w:rPr>
        <w:t>2110401-生态保护支出决算为454.92万元，完成决算100%，</w:t>
      </w:r>
    </w:p>
    <w:p>
      <w:pPr>
        <w:spacing w:line="600" w:lineRule="exact"/>
        <w:ind w:firstLine="643" w:firstLineChars="200"/>
        <w:rPr>
          <w:rFonts w:ascii="仿宋" w:hAnsi="仿宋" w:eastAsia="仿宋"/>
          <w:b/>
          <w:color w:val="000000"/>
          <w:sz w:val="32"/>
          <w:szCs w:val="32"/>
        </w:rPr>
      </w:pPr>
      <w:r>
        <w:rPr>
          <w:rFonts w:hint="eastAsia" w:ascii="仿宋" w:hAnsi="仿宋" w:eastAsia="仿宋"/>
          <w:b/>
          <w:color w:val="000000"/>
          <w:sz w:val="32"/>
          <w:szCs w:val="32"/>
        </w:rPr>
        <w:t>5. 城乡社区支出（类）：</w:t>
      </w:r>
      <w:r>
        <w:rPr>
          <w:rFonts w:hint="eastAsia" w:ascii="仿宋" w:hAnsi="仿宋" w:eastAsia="仿宋"/>
          <w:color w:val="000000"/>
          <w:sz w:val="32"/>
          <w:szCs w:val="32"/>
        </w:rPr>
        <w:t>2121099-其他国有土地收益基金支出2.3万元、2121100-农业土地开发资金安排的支出4.47万元，共计决算为6.77万元，完成决算100%。</w:t>
      </w:r>
    </w:p>
    <w:p>
      <w:pPr>
        <w:spacing w:line="600" w:lineRule="exact"/>
        <w:ind w:firstLine="643" w:firstLineChars="200"/>
        <w:rPr>
          <w:rFonts w:ascii="仿宋" w:hAnsi="仿宋" w:eastAsia="仿宋"/>
          <w:color w:val="000000"/>
          <w:sz w:val="32"/>
          <w:szCs w:val="32"/>
        </w:rPr>
      </w:pPr>
      <w:r>
        <w:rPr>
          <w:rFonts w:hint="eastAsia" w:ascii="仿宋" w:hAnsi="仿宋" w:eastAsia="仿宋"/>
          <w:b/>
          <w:color w:val="000000"/>
          <w:sz w:val="32"/>
          <w:szCs w:val="32"/>
        </w:rPr>
        <w:t>6. 农林水支出（类）：</w:t>
      </w:r>
      <w:r>
        <w:rPr>
          <w:rFonts w:hint="eastAsia" w:ascii="仿宋" w:hAnsi="仿宋" w:eastAsia="仿宋"/>
          <w:color w:val="000000"/>
          <w:sz w:val="32"/>
          <w:szCs w:val="32"/>
        </w:rPr>
        <w:t xml:space="preserve">2130119-防灾救灾77.94万元、2130199-其他农业支出62.5万元，共计决算为451.24万元，完成决算100%。 </w:t>
      </w:r>
    </w:p>
    <w:p>
      <w:pPr>
        <w:spacing w:line="600" w:lineRule="exact"/>
        <w:ind w:firstLine="643" w:firstLineChars="200"/>
        <w:rPr>
          <w:rFonts w:ascii="仿宋" w:hAnsi="仿宋" w:eastAsia="仿宋"/>
          <w:color w:val="000000"/>
          <w:sz w:val="32"/>
          <w:szCs w:val="32"/>
        </w:rPr>
      </w:pPr>
      <w:r>
        <w:rPr>
          <w:rFonts w:hint="eastAsia" w:ascii="仿宋" w:hAnsi="仿宋" w:eastAsia="仿宋"/>
          <w:b/>
          <w:color w:val="000000"/>
          <w:sz w:val="32"/>
          <w:szCs w:val="32"/>
        </w:rPr>
        <w:t>7.自然资源海洋气象等（类）：</w:t>
      </w:r>
      <w:r>
        <w:rPr>
          <w:rFonts w:hint="eastAsia" w:ascii="仿宋" w:hAnsi="仿宋" w:eastAsia="仿宋"/>
          <w:color w:val="000000"/>
          <w:sz w:val="32"/>
          <w:szCs w:val="32"/>
        </w:rPr>
        <w:t>2200101-行政运行180.55万元、2200104-自然资源规划及管理3.22万元、2200105-土地资源调查519.68万元、2200110-国土整治0.29万元、2200199-其他自然资源事务支出219.95万元，共计决算为923.69万元，完成决算100%。</w:t>
      </w:r>
    </w:p>
    <w:p>
      <w:pPr>
        <w:spacing w:line="600" w:lineRule="exact"/>
        <w:ind w:firstLine="643" w:firstLineChars="200"/>
        <w:rPr>
          <w:rFonts w:ascii="仿宋" w:hAnsi="仿宋" w:eastAsia="仿宋"/>
          <w:b/>
          <w:color w:val="000000"/>
          <w:sz w:val="32"/>
          <w:szCs w:val="32"/>
        </w:rPr>
      </w:pPr>
      <w:r>
        <w:rPr>
          <w:rFonts w:hint="eastAsia" w:ascii="仿宋" w:hAnsi="仿宋" w:eastAsia="仿宋"/>
          <w:b/>
          <w:color w:val="000000"/>
          <w:sz w:val="32"/>
          <w:szCs w:val="32"/>
        </w:rPr>
        <w:t>8</w:t>
      </w:r>
      <w:r>
        <w:rPr>
          <w:rFonts w:hint="eastAsia" w:ascii="仿宋" w:hAnsi="仿宋" w:eastAsia="仿宋"/>
          <w:color w:val="000000"/>
          <w:sz w:val="32"/>
          <w:szCs w:val="32"/>
        </w:rPr>
        <w:t>.</w:t>
      </w:r>
      <w:r>
        <w:rPr>
          <w:rFonts w:hint="eastAsia" w:ascii="仿宋" w:hAnsi="仿宋" w:eastAsia="仿宋"/>
          <w:b/>
          <w:color w:val="000000"/>
          <w:sz w:val="32"/>
          <w:szCs w:val="32"/>
        </w:rPr>
        <w:t>其他支出（类）：</w:t>
      </w:r>
      <w:r>
        <w:rPr>
          <w:rFonts w:hint="eastAsia" w:ascii="仿宋" w:hAnsi="仿宋" w:eastAsia="仿宋"/>
          <w:color w:val="000000"/>
          <w:sz w:val="32"/>
          <w:szCs w:val="32"/>
        </w:rPr>
        <w:t>2299901-其他支出支出决算为2196.43万元，完成决算100%。</w:t>
      </w:r>
    </w:p>
    <w:p>
      <w:pPr>
        <w:tabs>
          <w:tab w:val="right" w:pos="8306"/>
        </w:tabs>
        <w:spacing w:line="600" w:lineRule="exact"/>
        <w:ind w:firstLine="640"/>
        <w:outlineLvl w:val="1"/>
        <w:rPr>
          <w:rStyle w:val="18"/>
        </w:rPr>
      </w:pPr>
      <w:bookmarkStart w:id="38" w:name="_Toc15377214"/>
      <w:bookmarkStart w:id="39"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18"/>
          <w:rFonts w:hint="eastAsia" w:ascii="黑体" w:hAnsi="黑体" w:eastAsia="黑体"/>
          <w:b w:val="0"/>
        </w:rPr>
        <w:t>般公共预算财政拨款基本支出决算情况说明</w:t>
      </w:r>
      <w:bookmarkEnd w:id="38"/>
      <w:bookmarkEnd w:id="39"/>
      <w:r>
        <w:rPr>
          <w:rStyle w:val="18"/>
          <w:rFonts w:ascii="黑体" w:hAnsi="黑体" w:eastAsia="黑体"/>
          <w:b w:val="0"/>
        </w:rPr>
        <w:tab/>
      </w:r>
    </w:p>
    <w:p>
      <w:pPr>
        <w:spacing w:line="600" w:lineRule="exact"/>
        <w:ind w:firstLine="645"/>
        <w:rPr>
          <w:rFonts w:ascii="仿宋" w:hAnsi="仿宋" w:eastAsia="仿宋"/>
          <w:bCs/>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年一般公共预算财政拨款基本支出</w:t>
      </w:r>
      <w:r>
        <w:rPr>
          <w:rFonts w:hint="eastAsia" w:ascii="仿宋" w:hAnsi="仿宋" w:eastAsia="仿宋"/>
          <w:bCs/>
          <w:color w:val="000000"/>
          <w:sz w:val="32"/>
          <w:szCs w:val="32"/>
        </w:rPr>
        <w:t>241.74</w:t>
      </w:r>
      <w:r>
        <w:rPr>
          <w:rFonts w:hint="eastAsia" w:ascii="仿宋" w:hAnsi="仿宋" w:eastAsia="仿宋"/>
          <w:color w:val="000000"/>
          <w:sz w:val="32"/>
          <w:szCs w:val="32"/>
        </w:rPr>
        <w:t>万元，其中：人员经费219.75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21.28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18"/>
          <w:rFonts w:ascii="黑体" w:hAnsi="黑体" w:eastAsia="黑体"/>
          <w:b w:val="0"/>
        </w:rPr>
      </w:pPr>
      <w:bookmarkStart w:id="40" w:name="_Toc15377215"/>
      <w:bookmarkStart w:id="41" w:name="_Toc15396609"/>
      <w:r>
        <w:rPr>
          <w:rFonts w:hint="eastAsia" w:ascii="黑体" w:eastAsia="黑体"/>
          <w:color w:val="000000"/>
          <w:sz w:val="32"/>
          <w:szCs w:val="32"/>
        </w:rPr>
        <w:t>七、</w:t>
      </w:r>
      <w:r>
        <w:rPr>
          <w:rStyle w:val="18"/>
          <w:rFonts w:hint="eastAsia" w:ascii="黑体" w:hAnsi="黑体" w:eastAsia="黑体"/>
        </w:rPr>
        <w:t>“</w:t>
      </w:r>
      <w:r>
        <w:rPr>
          <w:rStyle w:val="18"/>
          <w:rFonts w:hint="eastAsia" w:ascii="黑体" w:hAnsi="黑体" w:eastAsia="黑体"/>
          <w:b w:val="0"/>
        </w:rPr>
        <w:t>三公”经费财政拨款支出决算情况说明</w:t>
      </w:r>
      <w:bookmarkEnd w:id="40"/>
      <w:bookmarkEnd w:id="41"/>
    </w:p>
    <w:p>
      <w:pPr>
        <w:spacing w:line="600" w:lineRule="exact"/>
        <w:ind w:firstLine="640"/>
        <w:outlineLvl w:val="2"/>
        <w:rPr>
          <w:rFonts w:ascii="仿宋" w:hAnsi="仿宋" w:eastAsia="仿宋"/>
          <w:b/>
          <w:color w:val="000000"/>
          <w:sz w:val="32"/>
          <w:szCs w:val="32"/>
        </w:rPr>
      </w:pPr>
      <w:bookmarkStart w:id="42" w:name="_Toc15377216"/>
      <w:r>
        <w:rPr>
          <w:rFonts w:hint="eastAsia" w:ascii="仿宋" w:hAnsi="仿宋" w:eastAsia="仿宋"/>
          <w:b/>
          <w:color w:val="000000"/>
          <w:sz w:val="32"/>
          <w:szCs w:val="32"/>
        </w:rPr>
        <w:t>（一）“三公”经费财政拨款支出决算总体情况说明</w:t>
      </w:r>
      <w:bookmarkEnd w:id="42"/>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年“三公”经费财政拨款支出决算为9.4万元，完成预算100</w:t>
      </w:r>
      <w:r>
        <w:rPr>
          <w:rFonts w:ascii="仿宋" w:hAnsi="仿宋" w:eastAsia="仿宋"/>
          <w:color w:val="000000"/>
          <w:sz w:val="32"/>
          <w:szCs w:val="32"/>
        </w:rPr>
        <w:t>%</w:t>
      </w:r>
      <w:r>
        <w:rPr>
          <w:rFonts w:hint="eastAsia" w:ascii="仿宋" w:hAnsi="仿宋" w:eastAsia="仿宋"/>
          <w:color w:val="000000"/>
          <w:sz w:val="32"/>
          <w:szCs w:val="32"/>
        </w:rPr>
        <w:t>，决算数等于预算数。</w:t>
      </w:r>
    </w:p>
    <w:p>
      <w:pPr>
        <w:spacing w:line="600" w:lineRule="exact"/>
        <w:rPr>
          <w:rFonts w:ascii="仿宋" w:hAnsi="仿宋" w:eastAsia="仿宋"/>
          <w:b/>
          <w:color w:val="FF0000"/>
          <w:sz w:val="32"/>
          <w:szCs w:val="32"/>
        </w:rPr>
      </w:pPr>
    </w:p>
    <w:p>
      <w:pPr>
        <w:spacing w:line="600" w:lineRule="exact"/>
        <w:ind w:firstLine="640"/>
        <w:outlineLvl w:val="2"/>
        <w:rPr>
          <w:rFonts w:ascii="仿宋" w:hAnsi="仿宋" w:eastAsia="仿宋"/>
          <w:b/>
          <w:color w:val="000000"/>
          <w:sz w:val="32"/>
          <w:szCs w:val="32"/>
        </w:rPr>
      </w:pPr>
      <w:bookmarkStart w:id="43" w:name="_Toc15377217"/>
      <w:r>
        <w:rPr>
          <w:rFonts w:hint="eastAsia" w:ascii="仿宋" w:hAnsi="仿宋" w:eastAsia="仿宋"/>
          <w:b/>
          <w:color w:val="000000"/>
          <w:sz w:val="32"/>
          <w:szCs w:val="32"/>
        </w:rPr>
        <w:t>（二）“三公”经费财政拨款支出决算具体情况说明</w:t>
      </w:r>
      <w:bookmarkEnd w:id="43"/>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；公务用车购置及运行维护费支出决算9.1万元，占97</w:t>
      </w:r>
      <w:r>
        <w:rPr>
          <w:rFonts w:ascii="仿宋" w:hAnsi="仿宋" w:eastAsia="仿宋"/>
          <w:color w:val="000000"/>
          <w:sz w:val="32"/>
          <w:szCs w:val="32"/>
        </w:rPr>
        <w:t>%</w:t>
      </w:r>
      <w:r>
        <w:rPr>
          <w:rFonts w:hint="eastAsia" w:ascii="仿宋" w:hAnsi="仿宋" w:eastAsia="仿宋"/>
          <w:color w:val="000000"/>
          <w:sz w:val="32"/>
          <w:szCs w:val="32"/>
        </w:rPr>
        <w:t>；公务接待费支出决算0.3万元，占3</w:t>
      </w:r>
      <w:r>
        <w:rPr>
          <w:rFonts w:ascii="仿宋" w:hAnsi="仿宋" w:eastAsia="仿宋"/>
          <w:color w:val="000000"/>
          <w:sz w:val="32"/>
          <w:szCs w:val="32"/>
        </w:rPr>
        <w:t>%</w:t>
      </w:r>
      <w:r>
        <w:rPr>
          <w:rFonts w:hint="eastAsia" w:ascii="仿宋" w:hAnsi="仿宋" w:eastAsia="仿宋"/>
          <w:color w:val="000000"/>
          <w:sz w:val="32"/>
          <w:szCs w:val="32"/>
        </w:rPr>
        <w:t>。具体情况如下：</w:t>
      </w:r>
    </w:p>
    <w:p>
      <w:pPr>
        <w:ind w:firstLine="641"/>
        <w:rPr>
          <w:rFonts w:ascii="仿宋" w:hAnsi="仿宋" w:eastAsia="仿宋"/>
          <w:color w:val="000000"/>
          <w:sz w:val="32"/>
          <w:szCs w:val="32"/>
        </w:rPr>
      </w:pPr>
      <w:r>
        <w:rPr>
          <w:rFonts w:ascii="仿宋" w:hAnsi="仿宋" w:eastAsia="仿宋"/>
          <w:color w:val="000000"/>
          <w:sz w:val="32"/>
          <w:szCs w:val="32"/>
        </w:rPr>
        <w:object>
          <v:shape id="_x0000_i1031" o:spt="75" type="#_x0000_t75" style="height:162.75pt;width:269.25pt;" o:ole="t" filled="f" o:preferrelative="t" stroked="f" coordsize="21600,21600">
            <v:path/>
            <v:fill on="f" focussize="0,0"/>
            <v:stroke on="f" joinstyle="miter"/>
            <v:imagedata r:id="rId19" o:title=""/>
            <o:lock v:ext="edit" aspectratio="t"/>
            <w10:wrap type="none"/>
            <w10:anchorlock/>
          </v:shape>
          <o:OLEObject Type="Embed" ProgID="MSGraph.Chart.8" ShapeID="_x0000_i1031" DrawAspect="Content" ObjectID="_1468075731" r:id="rId18">
            <o:LockedField>false</o:LockedField>
          </o:OLEObject>
        </w:objec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5"/>
          <w:rFonts w:hint="eastAsia" w:ascii="仿宋" w:hAnsi="仿宋" w:eastAsia="仿宋"/>
          <w:b w:val="0"/>
          <w:bCs/>
          <w:color w:val="000000"/>
          <w:sz w:val="32"/>
          <w:szCs w:val="32"/>
        </w:rPr>
        <w:t>完成预算0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全年安排因公出国（境）团组0次，出国（境）0人。因公出国（境）支出决算比</w:t>
      </w:r>
      <w:r>
        <w:rPr>
          <w:rFonts w:ascii="仿宋_GB2312" w:eastAsia="仿宋_GB2312"/>
          <w:color w:val="000000"/>
          <w:sz w:val="32"/>
          <w:szCs w:val="32"/>
        </w:rPr>
        <w:t>2018</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9.1万元</w:t>
      </w:r>
      <w:r>
        <w:rPr>
          <w:rFonts w:ascii="仿宋_GB2312" w:eastAsia="仿宋_GB2312"/>
          <w:color w:val="000000"/>
          <w:sz w:val="32"/>
          <w:szCs w:val="32"/>
        </w:rPr>
        <w:t>,</w:t>
      </w:r>
      <w:r>
        <w:rPr>
          <w:rStyle w:val="15"/>
          <w:rFonts w:hint="eastAsia" w:ascii="仿宋" w:hAnsi="仿宋" w:eastAsia="仿宋"/>
          <w:b w:val="0"/>
          <w:bCs/>
          <w:color w:val="000000"/>
          <w:sz w:val="32"/>
          <w:szCs w:val="32"/>
        </w:rPr>
        <w:t>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2018</w:t>
      </w:r>
      <w:r>
        <w:rPr>
          <w:rFonts w:hint="eastAsia" w:ascii="仿宋_GB2312" w:eastAsia="仿宋_GB2312"/>
          <w:color w:val="000000"/>
          <w:sz w:val="32"/>
          <w:szCs w:val="32"/>
        </w:rPr>
        <w:t>年减少7.46万元，下降45</w:t>
      </w:r>
      <w:r>
        <w:rPr>
          <w:rFonts w:ascii="仿宋_GB2312" w:eastAsia="仿宋_GB2312"/>
          <w:color w:val="000000"/>
          <w:sz w:val="32"/>
          <w:szCs w:val="32"/>
        </w:rPr>
        <w:t>%</w:t>
      </w:r>
      <w:r>
        <w:rPr>
          <w:rFonts w:hint="eastAsia" w:ascii="仿宋_GB2312" w:eastAsia="仿宋_GB2312"/>
          <w:color w:val="000000"/>
          <w:sz w:val="32"/>
          <w:szCs w:val="32"/>
        </w:rPr>
        <w:t>。主要原因是今年我单位严格遵守八项规定，严格“三公”经费管理。</w:t>
      </w:r>
    </w:p>
    <w:p>
      <w:pPr>
        <w:spacing w:line="600" w:lineRule="exact"/>
        <w:ind w:firstLine="640" w:firstLineChars="200"/>
        <w:rPr>
          <w:rFonts w:ascii="仿宋_GB2312" w:eastAsia="仿宋_GB2312"/>
          <w:color w:val="000000" w:themeColor="text1"/>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0万元。全年按规定更新购置公务用车0辆，金额0元。截至</w:t>
      </w:r>
      <w:r>
        <w:rPr>
          <w:rFonts w:ascii="仿宋_GB2312" w:eastAsia="仿宋_GB2312"/>
          <w:color w:val="000000"/>
          <w:sz w:val="32"/>
          <w:szCs w:val="32"/>
        </w:rPr>
        <w:t>2019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月底，单位共有公务用车2辆。</w:t>
      </w:r>
      <w:r>
        <w:rPr>
          <w:rFonts w:hint="eastAsia" w:ascii="仿宋_GB2312" w:eastAsia="仿宋_GB2312"/>
          <w:color w:val="000000" w:themeColor="text1"/>
          <w:sz w:val="32"/>
          <w:szCs w:val="32"/>
        </w:rPr>
        <w:t>其中：主要领导干部用车2辆。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9.1万元。主要用于因公出差、汛期下乡等所需的公务用车燃料费、维修费、过路过桥费、保险费等支出。</w:t>
      </w:r>
    </w:p>
    <w:p>
      <w:pPr>
        <w:spacing w:line="600" w:lineRule="exact"/>
        <w:ind w:firstLine="640"/>
        <w:rPr>
          <w:rFonts w:ascii="仿宋_GB2312" w:eastAsia="仿宋_GB2312"/>
          <w:color w:val="FF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0.3万元，</w:t>
      </w:r>
      <w:r>
        <w:rPr>
          <w:rStyle w:val="15"/>
          <w:rFonts w:hint="eastAsia" w:ascii="仿宋" w:hAnsi="仿宋" w:eastAsia="仿宋"/>
          <w:b w:val="0"/>
          <w:bCs/>
          <w:color w:val="000000"/>
          <w:sz w:val="32"/>
          <w:szCs w:val="32"/>
        </w:rPr>
        <w:t>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2018</w:t>
      </w:r>
      <w:r>
        <w:rPr>
          <w:rFonts w:hint="eastAsia" w:ascii="仿宋_GB2312" w:eastAsia="仿宋_GB2312"/>
          <w:color w:val="000000"/>
          <w:sz w:val="32"/>
          <w:szCs w:val="32"/>
        </w:rPr>
        <w:t>年增加0.3万元，增长30</w:t>
      </w:r>
      <w:r>
        <w:rPr>
          <w:rFonts w:ascii="仿宋_GB2312" w:eastAsia="仿宋_GB2312"/>
          <w:color w:val="000000"/>
          <w:sz w:val="32"/>
          <w:szCs w:val="32"/>
        </w:rPr>
        <w:t>%</w:t>
      </w:r>
      <w:r>
        <w:rPr>
          <w:rFonts w:hint="eastAsia" w:ascii="仿宋_GB2312" w:eastAsia="仿宋_GB2312"/>
          <w:color w:val="000000"/>
          <w:sz w:val="32"/>
          <w:szCs w:val="32"/>
        </w:rPr>
        <w:t>。</w:t>
      </w:r>
    </w:p>
    <w:p>
      <w:pPr>
        <w:spacing w:line="600" w:lineRule="exact"/>
        <w:ind w:firstLine="640"/>
        <w:rPr>
          <w:rFonts w:ascii="仿宋_GB2312" w:eastAsia="仿宋_GB2312"/>
          <w:color w:val="000000" w:themeColor="text1"/>
          <w:sz w:val="32"/>
          <w:szCs w:val="32"/>
        </w:rPr>
      </w:pPr>
      <w:r>
        <w:rPr>
          <w:rFonts w:hint="eastAsia" w:ascii="仿宋_GB2312" w:eastAsia="仿宋_GB2312"/>
          <w:color w:val="000000" w:themeColor="text1"/>
          <w:sz w:val="32"/>
          <w:szCs w:val="32"/>
        </w:rPr>
        <w:t>其中：</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rPr>
        <w:t>0.3</w:t>
      </w:r>
      <w:r>
        <w:rPr>
          <w:rFonts w:hint="eastAsia" w:ascii="仿宋_GB2312" w:eastAsia="仿宋_GB2312"/>
          <w:color w:val="000000"/>
          <w:sz w:val="32"/>
          <w:szCs w:val="32"/>
        </w:rPr>
        <w:t>万元，</w:t>
      </w:r>
      <w:r>
        <w:rPr>
          <w:rFonts w:hint="eastAsia" w:ascii="仿宋_GB2312" w:eastAsia="仿宋_GB2312"/>
          <w:color w:val="000000" w:themeColor="text1"/>
          <w:sz w:val="32"/>
          <w:szCs w:val="32"/>
        </w:rPr>
        <w:t>主要用于执行公务、开展业务活动开支的交通费、住宿费、用餐费等。</w:t>
      </w:r>
    </w:p>
    <w:p>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万元，外事接待0批次，0人，共计支出0万元。</w:t>
      </w:r>
      <w:bookmarkStart w:id="44" w:name="_Toc15377218"/>
      <w:bookmarkStart w:id="45" w:name="_Toc15396610"/>
    </w:p>
    <w:p>
      <w:pPr>
        <w:spacing w:line="600" w:lineRule="exact"/>
        <w:ind w:firstLine="640"/>
        <w:outlineLvl w:val="1"/>
        <w:rPr>
          <w:rStyle w:val="18"/>
          <w:rFonts w:ascii="黑体" w:hAnsi="黑体" w:eastAsia="黑体"/>
        </w:rPr>
      </w:pPr>
      <w:r>
        <w:rPr>
          <w:rFonts w:hint="eastAsia" w:ascii="黑体" w:eastAsia="黑体"/>
          <w:color w:val="000000"/>
          <w:sz w:val="32"/>
          <w:szCs w:val="32"/>
        </w:rPr>
        <w:t>八、</w:t>
      </w:r>
      <w:r>
        <w:rPr>
          <w:rStyle w:val="18"/>
          <w:rFonts w:hint="eastAsia" w:ascii="黑体" w:hAnsi="黑体" w:eastAsia="黑体"/>
          <w:b w:val="0"/>
        </w:rPr>
        <w:t>政府性基金预算支出决算情况说明</w:t>
      </w:r>
      <w:bookmarkEnd w:id="44"/>
      <w:bookmarkEnd w:id="4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年政府性基金预算拨款支出6.77万元。</w:t>
      </w:r>
    </w:p>
    <w:p>
      <w:pPr>
        <w:spacing w:line="600" w:lineRule="exact"/>
        <w:ind w:firstLine="640"/>
        <w:rPr>
          <w:rFonts w:ascii="仿宋_GB2312" w:eastAsia="仿宋_GB2312"/>
          <w:color w:val="000000"/>
          <w:sz w:val="32"/>
          <w:szCs w:val="32"/>
        </w:rPr>
      </w:pPr>
    </w:p>
    <w:p>
      <w:pPr>
        <w:numPr>
          <w:ilvl w:val="0"/>
          <w:numId w:val="2"/>
        </w:numPr>
        <w:spacing w:line="600" w:lineRule="exact"/>
        <w:ind w:firstLine="640"/>
        <w:outlineLvl w:val="1"/>
        <w:rPr>
          <w:rStyle w:val="18"/>
          <w:rFonts w:ascii="黑体" w:hAnsi="黑体" w:eastAsia="黑体"/>
          <w:b w:val="0"/>
        </w:rPr>
      </w:pPr>
      <w:bookmarkStart w:id="46" w:name="_Toc15377219"/>
      <w:bookmarkStart w:id="47" w:name="_Toc15396611"/>
      <w:r>
        <w:rPr>
          <w:rStyle w:val="18"/>
          <w:rFonts w:hint="eastAsia" w:ascii="黑体" w:hAnsi="黑体" w:eastAsia="黑体"/>
          <w:b w:val="0"/>
        </w:rPr>
        <w:t>国有资本经营预算支出决算情况说明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年国有资本经营预算拨款支出</w:t>
      </w:r>
      <w:r>
        <w:rPr>
          <w:rFonts w:hint="eastAsia" w:ascii="仿宋_GB2312" w:eastAsia="仿宋_GB2312"/>
          <w:color w:val="000000" w:themeColor="text1"/>
          <w:sz w:val="32"/>
          <w:szCs w:val="32"/>
        </w:rPr>
        <w:t>0万</w:t>
      </w:r>
      <w:r>
        <w:rPr>
          <w:rFonts w:hint="eastAsia" w:ascii="仿宋_GB2312" w:eastAsia="仿宋_GB2312"/>
          <w:color w:val="000000"/>
          <w:sz w:val="32"/>
          <w:szCs w:val="32"/>
        </w:rPr>
        <w:t>元。</w:t>
      </w:r>
    </w:p>
    <w:p>
      <w:pPr>
        <w:spacing w:line="600" w:lineRule="exact"/>
        <w:ind w:firstLine="800" w:firstLineChars="250"/>
        <w:outlineLvl w:val="1"/>
        <w:rPr>
          <w:rStyle w:val="18"/>
          <w:rFonts w:ascii="黑体" w:hAnsi="黑体" w:eastAsia="黑体"/>
        </w:rPr>
      </w:pPr>
      <w:bookmarkStart w:id="48" w:name="_Toc15377221"/>
      <w:bookmarkStart w:id="49" w:name="_Toc15396612"/>
      <w:r>
        <w:rPr>
          <w:rFonts w:hint="eastAsia" w:ascii="黑体" w:hAnsi="黑体" w:eastAsia="黑体"/>
          <w:color w:val="000000"/>
          <w:sz w:val="32"/>
          <w:szCs w:val="32"/>
        </w:rPr>
        <w:t>十</w:t>
      </w:r>
      <w:r>
        <w:rPr>
          <w:rStyle w:val="18"/>
          <w:rFonts w:hint="eastAsia" w:ascii="黑体" w:hAnsi="黑体" w:eastAsia="黑体"/>
        </w:rPr>
        <w:t>、</w:t>
      </w:r>
      <w:r>
        <w:rPr>
          <w:rStyle w:val="18"/>
          <w:rFonts w:hint="eastAsia" w:ascii="黑体" w:hAnsi="黑体" w:eastAsia="黑体"/>
          <w:b w:val="0"/>
        </w:rPr>
        <w:t>其他重要事项的情况说明</w:t>
      </w:r>
      <w:bookmarkEnd w:id="48"/>
      <w:bookmarkEnd w:id="49"/>
    </w:p>
    <w:p>
      <w:pPr>
        <w:spacing w:line="600" w:lineRule="exact"/>
        <w:ind w:firstLine="643" w:firstLineChars="200"/>
        <w:outlineLvl w:val="2"/>
        <w:rPr>
          <w:rFonts w:ascii="仿宋" w:hAnsi="仿宋" w:eastAsia="仿宋"/>
          <w:color w:val="000000"/>
          <w:sz w:val="32"/>
          <w:szCs w:val="32"/>
        </w:rPr>
      </w:pPr>
      <w:bookmarkStart w:id="50" w:name="_Toc15377222"/>
      <w:r>
        <w:rPr>
          <w:rFonts w:hint="eastAsia" w:ascii="仿宋" w:hAnsi="仿宋" w:eastAsia="仿宋"/>
          <w:b/>
          <w:color w:val="000000"/>
          <w:sz w:val="32"/>
          <w:szCs w:val="32"/>
        </w:rPr>
        <w:t>（一）机关运行经费支出情况</w:t>
      </w:r>
      <w:bookmarkEnd w:id="50"/>
    </w:p>
    <w:p>
      <w:pPr>
        <w:spacing w:line="600" w:lineRule="exact"/>
        <w:ind w:firstLine="640" w:firstLineChars="200"/>
        <w:rPr>
          <w:rFonts w:ascii="宋体" w:hAnsi="宋体" w:cs="宋体"/>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年，机关运行经费支出21.28万元，比</w:t>
      </w:r>
      <w:r>
        <w:rPr>
          <w:rFonts w:ascii="仿宋_GB2312" w:eastAsia="仿宋_GB2312"/>
          <w:color w:val="000000"/>
          <w:sz w:val="32"/>
          <w:szCs w:val="32"/>
        </w:rPr>
        <w:t>2018</w:t>
      </w:r>
      <w:r>
        <w:rPr>
          <w:rFonts w:hint="eastAsia" w:ascii="仿宋_GB2312" w:eastAsia="仿宋_GB2312"/>
          <w:color w:val="000000"/>
          <w:sz w:val="32"/>
          <w:szCs w:val="32"/>
        </w:rPr>
        <w:t>年减少1.09万元，下降5</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 w:hAnsi="仿宋" w:eastAsia="仿宋" w:cs="宋体"/>
          <w:color w:val="000000"/>
          <w:sz w:val="32"/>
          <w:szCs w:val="32"/>
        </w:rPr>
        <w:t>坚持厉行节约，努力降低成本。</w:t>
      </w:r>
    </w:p>
    <w:p>
      <w:pPr>
        <w:autoSpaceDE w:val="0"/>
        <w:autoSpaceDN w:val="0"/>
        <w:adjustRightInd w:val="0"/>
        <w:spacing w:line="600" w:lineRule="exact"/>
        <w:ind w:firstLine="643" w:firstLineChars="200"/>
        <w:jc w:val="left"/>
        <w:outlineLvl w:val="2"/>
        <w:rPr>
          <w:rFonts w:ascii="仿宋" w:hAnsi="仿宋" w:eastAsia="仿宋"/>
          <w:b/>
          <w:color w:val="000000" w:themeColor="text1"/>
          <w:sz w:val="32"/>
          <w:szCs w:val="32"/>
        </w:rPr>
      </w:pPr>
      <w:bookmarkStart w:id="51" w:name="_Toc15377223"/>
      <w:r>
        <w:rPr>
          <w:rFonts w:hint="eastAsia" w:ascii="仿宋" w:hAnsi="仿宋" w:eastAsia="仿宋"/>
          <w:b/>
          <w:color w:val="000000" w:themeColor="text1"/>
          <w:sz w:val="32"/>
          <w:szCs w:val="32"/>
        </w:rPr>
        <w:t>（二）政府采购支出情况</w:t>
      </w:r>
      <w:bookmarkEnd w:id="51"/>
    </w:p>
    <w:p>
      <w:pPr>
        <w:spacing w:line="600" w:lineRule="exact"/>
        <w:ind w:firstLine="640" w:firstLineChars="200"/>
        <w:rPr>
          <w:rFonts w:ascii="仿宋_GB2312" w:eastAsia="仿宋_GB2312"/>
          <w:color w:val="000000" w:themeColor="text1"/>
          <w:sz w:val="32"/>
          <w:szCs w:val="32"/>
        </w:rPr>
      </w:pPr>
      <w:r>
        <w:rPr>
          <w:rFonts w:ascii="仿宋_GB2312" w:eastAsia="仿宋_GB2312"/>
          <w:color w:val="000000" w:themeColor="text1"/>
          <w:sz w:val="32"/>
          <w:szCs w:val="32"/>
        </w:rPr>
        <w:t>2019</w:t>
      </w:r>
      <w:r>
        <w:rPr>
          <w:rFonts w:hint="eastAsia" w:ascii="仿宋_GB2312" w:eastAsia="仿宋_GB2312"/>
          <w:color w:val="000000" w:themeColor="text1"/>
          <w:sz w:val="32"/>
          <w:szCs w:val="32"/>
        </w:rPr>
        <w:t>年，壤塘县自然资源局政府采购支出总额0万元。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2" w:name="_Toc15377224"/>
      <w:r>
        <w:rPr>
          <w:rFonts w:hint="eastAsia" w:ascii="仿宋" w:hAnsi="仿宋" w:eastAsia="仿宋"/>
          <w:b/>
          <w:color w:val="000000"/>
          <w:sz w:val="32"/>
          <w:szCs w:val="32"/>
        </w:rPr>
        <w:t>（三）国有资产占有使用情况</w:t>
      </w:r>
      <w:bookmarkEnd w:id="52"/>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日，我单位共有车辆2辆，</w:t>
      </w:r>
      <w:r>
        <w:rPr>
          <w:rFonts w:hint="eastAsia" w:ascii="仿宋_GB2312" w:eastAsia="仿宋_GB2312"/>
          <w:sz w:val="32"/>
          <w:szCs w:val="32"/>
        </w:rPr>
        <w:t>其中：主要领导干部用车2辆。</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spacing w:line="580" w:lineRule="exact"/>
        <w:ind w:firstLine="640" w:firstLineChars="200"/>
        <w:rPr>
          <w:rFonts w:ascii="仿宋_GB2312" w:hAnsi="仿宋_GB2312" w:eastAsia="仿宋_GB2312" w:cs="仿宋_GB2312"/>
          <w:color w:val="31849B" w:themeColor="accent5" w:themeShade="BF"/>
          <w:sz w:val="32"/>
          <w:szCs w:val="32"/>
        </w:rPr>
      </w:pPr>
      <w:r>
        <w:rPr>
          <w:rFonts w:hint="eastAsia" w:ascii="仿宋_GB2312" w:hAnsi="仿宋_GB2312" w:eastAsia="仿宋_GB2312" w:cs="仿宋_GB2312"/>
          <w:sz w:val="32"/>
          <w:szCs w:val="32"/>
        </w:rPr>
        <w:t>根据预算绩效管理要求，本单位在年初预算编制阶段，组织对</w:t>
      </w:r>
      <w:r>
        <w:rPr>
          <w:rFonts w:hint="eastAsia" w:ascii="仿宋_GB2312" w:hAnsi="仿宋_GB2312" w:eastAsia="仿宋_GB2312" w:cs="仿宋_GB2312"/>
          <w:color w:val="000000" w:themeColor="text1"/>
          <w:sz w:val="32"/>
          <w:szCs w:val="32"/>
        </w:rPr>
        <w:t>阿斯玛幼儿园不稳定斜坡治理工程</w:t>
      </w:r>
      <w:r>
        <w:rPr>
          <w:rFonts w:hint="eastAsia" w:ascii="仿宋_GB2312" w:hAnsi="仿宋_GB2312" w:eastAsia="仿宋_GB2312" w:cs="仿宋_GB2312"/>
          <w:sz w:val="32"/>
          <w:szCs w:val="32"/>
        </w:rPr>
        <w:t>项目开展了预算事前绩效评估，</w:t>
      </w:r>
      <w:r>
        <w:rPr>
          <w:rFonts w:hint="eastAsia" w:ascii="仿宋_GB2312" w:hAnsi="仿宋_GB2312" w:eastAsia="仿宋_GB2312" w:cs="仿宋_GB2312"/>
          <w:color w:val="000000" w:themeColor="text1"/>
          <w:sz w:val="32"/>
          <w:szCs w:val="32"/>
        </w:rPr>
        <w:t>对5个项目编制了绩效目标，预算执行过程中，选取5个项目开展绩效监控，年终执行完毕后，对5个项目开展了绩效目标完成情况自评。</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部门整体支出开展绩效自评，从评价情况来看2019年我单位整体支出绩效评价自查自评结果良好，全年基本支出保证了单位的正常运行和日常工作的正常开展，项目支出保障了重点工作的开展，绩效目标得到较好实现，绩效管理水平不断提高，绩效指标体系逐渐丰富和完善。本部门还自行组织了</w:t>
      </w:r>
      <w:r>
        <w:rPr>
          <w:rFonts w:hint="eastAsia" w:ascii="仿宋_GB2312" w:hAnsi="仿宋_GB2312" w:eastAsia="仿宋_GB2312" w:cs="仿宋_GB2312"/>
          <w:color w:val="000000" w:themeColor="text1"/>
          <w:sz w:val="32"/>
          <w:szCs w:val="32"/>
        </w:rPr>
        <w:t>5</w:t>
      </w:r>
      <w:r>
        <w:rPr>
          <w:rFonts w:hint="eastAsia" w:ascii="仿宋_GB2312" w:hAnsi="仿宋_GB2312" w:eastAsia="仿宋_GB2312" w:cs="仿宋_GB2312"/>
          <w:sz w:val="32"/>
          <w:szCs w:val="32"/>
        </w:rPr>
        <w:t>个项目支出绩效评价，从评价情况来看2019年度财政政策绩效评价项目按照项目实施方案的规划进行项目建设，资金使用与申报相符，各项支出审批程序合规。项目实施后能有效满足目标群里的需求，有效保障了民生、改善了基础设施条件以及保护了生态环境。</w:t>
      </w:r>
    </w:p>
    <w:p>
      <w:pPr>
        <w:spacing w:line="580" w:lineRule="exact"/>
        <w:ind w:firstLine="640" w:firstLineChars="200"/>
        <w:rPr>
          <w:rFonts w:ascii="仿宋_GB2312" w:hAnsi="仿宋_GB2312" w:eastAsia="仿宋_GB2312" w:cs="仿宋_GB2312"/>
          <w:sz w:val="32"/>
          <w:szCs w:val="32"/>
        </w:rPr>
      </w:pPr>
      <w:r>
        <w:rPr>
          <w:rFonts w:ascii="楷体_GB2312" w:hAnsi="楷体_GB2312" w:eastAsia="楷体_GB2312" w:cs="楷体_GB2312"/>
          <w:sz w:val="32"/>
          <w:szCs w:val="32"/>
        </w:rPr>
        <w:t>1.</w:t>
      </w:r>
      <w:r>
        <w:rPr>
          <w:rFonts w:hint="eastAsia" w:ascii="楷体_GB2312" w:hAnsi="楷体_GB2312" w:eastAsia="楷体_GB2312" w:cs="楷体_GB2312"/>
          <w:sz w:val="32"/>
          <w:szCs w:val="32"/>
        </w:rPr>
        <w:t>项目绩效目标完成情况。</w:t>
      </w:r>
      <w:r>
        <w:rPr>
          <w:rFonts w:ascii="楷体_GB2312" w:hAnsi="楷体_GB2312" w:eastAsia="楷体_GB2312" w:cs="楷体_GB2312"/>
          <w:sz w:val="32"/>
          <w:szCs w:val="32"/>
        </w:rPr>
        <w:br w:type="textWrapping"/>
      </w: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color w:val="000000" w:themeColor="text1"/>
          <w:sz w:val="32"/>
          <w:szCs w:val="32"/>
        </w:rPr>
        <w:t>阿斯玛幼儿园不稳定斜坡治理工程项目</w:t>
      </w:r>
      <w:r>
        <w:rPr>
          <w:rFonts w:hint="eastAsia" w:ascii="仿宋_GB2312" w:hAnsi="仿宋_GB2312" w:eastAsia="仿宋_GB2312" w:cs="仿宋_GB2312"/>
          <w:sz w:val="32"/>
          <w:szCs w:val="32"/>
        </w:rPr>
        <w:t>”“宗科乡确登达泥石流治理项目”“画家村后侧泥石流治理工程”等5个项目绩效目标实际完成情况。（本单位部门项目绩效目标个数在</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个以上的，选取</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个项目进行公开，目标个数在</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个以下的，全部进行公开，公开内容包括选取的全部项目完成情况综述和完成情况表）。</w:t>
      </w:r>
    </w:p>
    <w:p>
      <w:pPr>
        <w:spacing w:line="58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themeColor="text1"/>
          <w:sz w:val="32"/>
          <w:szCs w:val="32"/>
        </w:rPr>
        <w:t>阿斯玛幼儿园不稳定斜坡治理工程项目绩效目标完成情况综述。项目全年预算数25.93万元，执行数为25.79万元，完成预算的99.49</w:t>
      </w:r>
      <w:r>
        <w:rPr>
          <w:rFonts w:ascii="仿宋_GB2312" w:hAnsi="仿宋_GB2312" w:eastAsia="仿宋_GB2312" w:cs="仿宋_GB2312"/>
          <w:color w:val="000000" w:themeColor="text1"/>
          <w:sz w:val="32"/>
          <w:szCs w:val="32"/>
        </w:rPr>
        <w:t>%</w:t>
      </w:r>
      <w:r>
        <w:rPr>
          <w:rFonts w:hint="eastAsia" w:ascii="仿宋_GB2312" w:hAnsi="仿宋_GB2312" w:eastAsia="仿宋_GB2312" w:cs="仿宋_GB2312"/>
          <w:color w:val="000000" w:themeColor="text1"/>
          <w:sz w:val="32"/>
          <w:szCs w:val="32"/>
        </w:rPr>
        <w:t>。通过项目实施，促进了斜坡区植被的生长和生态环境的恢复。发现的主要问题：无。（</w:t>
      </w:r>
      <w:r>
        <w:rPr>
          <w:rFonts w:ascii="仿宋_GB2312" w:hAnsi="仿宋_GB2312" w:eastAsia="仿宋_GB2312" w:cs="仿宋_GB2312"/>
          <w:color w:val="000000" w:themeColor="text1"/>
          <w:sz w:val="32"/>
          <w:szCs w:val="32"/>
        </w:rPr>
        <w:t>2</w:t>
      </w: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sz w:val="32"/>
          <w:szCs w:val="32"/>
        </w:rPr>
        <w:t>宗科乡确登达泥石流治理项目绩效目标完成情况综述。项目全年预算</w:t>
      </w:r>
      <w:r>
        <w:rPr>
          <w:rFonts w:hint="eastAsia" w:ascii="仿宋_GB2312" w:hAnsi="仿宋_GB2312" w:eastAsia="仿宋_GB2312" w:cs="仿宋_GB2312"/>
          <w:color w:val="000000" w:themeColor="text1"/>
          <w:sz w:val="32"/>
          <w:szCs w:val="32"/>
        </w:rPr>
        <w:t>数328万元，执行数为175.05万元，完成预算的53.4</w:t>
      </w:r>
      <w:r>
        <w:rPr>
          <w:rFonts w:ascii="仿宋_GB2312" w:hAnsi="仿宋_GB2312" w:eastAsia="仿宋_GB2312" w:cs="仿宋_GB2312"/>
          <w:color w:val="000000" w:themeColor="text1"/>
          <w:sz w:val="32"/>
          <w:szCs w:val="32"/>
        </w:rPr>
        <w:t>%</w:t>
      </w: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sz w:val="32"/>
          <w:szCs w:val="32"/>
        </w:rPr>
        <w:t>通过项目实施，保障了人民群众的生命财产安全，方便当地人民生产生活。发现的主要问题：无。</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）画家村后侧泥石流治理工程绩效目标完成情况综述。</w:t>
      </w:r>
      <w:r>
        <w:rPr>
          <w:rFonts w:hint="eastAsia" w:ascii="仿宋_GB2312" w:hAnsi="仿宋_GB2312" w:eastAsia="仿宋_GB2312" w:cs="仿宋_GB2312"/>
          <w:color w:val="000000" w:themeColor="text1"/>
          <w:sz w:val="32"/>
          <w:szCs w:val="32"/>
        </w:rPr>
        <w:t>项目全年预算数96.08万元，执行数为74.64万元，完成预算的77.69</w:t>
      </w:r>
      <w:r>
        <w:rPr>
          <w:rFonts w:ascii="仿宋_GB2312" w:hAnsi="仿宋_GB2312" w:eastAsia="仿宋_GB2312" w:cs="仿宋_GB2312"/>
          <w:color w:val="000000" w:themeColor="text1"/>
          <w:sz w:val="32"/>
          <w:szCs w:val="32"/>
        </w:rPr>
        <w:t>%</w:t>
      </w: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sz w:val="32"/>
          <w:szCs w:val="32"/>
        </w:rPr>
        <w:t>通过项目实施，保障了人民群众生命财产安全。发现的主要问题：无。</w:t>
      </w:r>
    </w:p>
    <w:p>
      <w:pPr>
        <w:spacing w:line="58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color w:val="000000" w:themeColor="text1"/>
          <w:sz w:val="32"/>
          <w:szCs w:val="32"/>
        </w:rPr>
        <w:t>宗科乡卧龙小组泥石流排危除险治理工程项目全年预算数24.2万元，执行数22.62万元，完成预算的93.47%。通过项目实施，保障了人民群众生命财产安全，为社会稳定和社会经济的和谐发展创造了有利条件。</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color w:val="000000" w:themeColor="text1"/>
          <w:sz w:val="32"/>
          <w:szCs w:val="32"/>
        </w:rPr>
        <w:t>蒲西乡G31家常菜旁崩塌排危除险治理工程</w:t>
      </w:r>
      <w:r>
        <w:rPr>
          <w:rFonts w:hint="eastAsia" w:ascii="仿宋_GB2312" w:hAnsi="仿宋_GB2312" w:eastAsia="仿宋_GB2312" w:cs="仿宋_GB2312"/>
          <w:sz w:val="32"/>
          <w:szCs w:val="32"/>
        </w:rPr>
        <w:t>项目全年预算数</w:t>
      </w:r>
      <w:r>
        <w:rPr>
          <w:rFonts w:hint="eastAsia" w:ascii="仿宋_GB2312" w:hAnsi="仿宋_GB2312" w:eastAsia="仿宋_GB2312" w:cs="仿宋_GB2312"/>
          <w:color w:val="000000" w:themeColor="text1"/>
          <w:sz w:val="32"/>
          <w:szCs w:val="32"/>
        </w:rPr>
        <w:t>25.87万元，执行数24.92万元，完成预算数96.32%</w:t>
      </w:r>
      <w:r>
        <w:rPr>
          <w:rFonts w:hint="eastAsia" w:ascii="仿宋_GB2312" w:hAnsi="仿宋_GB2312" w:eastAsia="仿宋_GB2312" w:cs="仿宋_GB2312"/>
          <w:sz w:val="32"/>
          <w:szCs w:val="32"/>
        </w:rPr>
        <w:t>。通过项目实施，改善了当地群众生活条件，方便了群众出行，得到了当地政府的支持及群众的拥护。</w:t>
      </w: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618"/>
        <w:gridCol w:w="749"/>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7"/>
            <w:tcBorders>
              <w:top w:val="nil"/>
              <w:left w:val="nil"/>
              <w:bottom w:val="nil"/>
              <w:right w:val="nil"/>
            </w:tcBorders>
            <w:tcMar>
              <w:top w:w="15" w:type="dxa"/>
              <w:left w:w="15" w:type="dxa"/>
              <w:right w:w="15" w:type="dxa"/>
            </w:tcMar>
            <w:vAlign w:val="center"/>
          </w:tcPr>
          <w:p>
            <w:pPr>
              <w:widowControl/>
              <w:textAlignment w:val="center"/>
              <w:rPr>
                <w:rFonts w:ascii="宋体" w:hAnsi="宋体" w:cs="宋体"/>
                <w:b/>
                <w:bCs/>
                <w:color w:val="000000"/>
                <w:kern w:val="0"/>
                <w:sz w:val="36"/>
                <w:szCs w:val="36"/>
              </w:rPr>
            </w:pPr>
          </w:p>
          <w:p>
            <w:pPr>
              <w:widowControl/>
              <w:textAlignment w:val="center"/>
              <w:rPr>
                <w:rFonts w:ascii="宋体" w:hAnsi="宋体" w:cs="宋体"/>
                <w:b/>
                <w:bCs/>
                <w:color w:val="000000"/>
                <w:kern w:val="0"/>
                <w:sz w:val="36"/>
                <w:szCs w:val="36"/>
              </w:rPr>
            </w:pPr>
          </w:p>
          <w:p>
            <w:pPr>
              <w:widowControl/>
              <w:textAlignment w:val="center"/>
              <w:rPr>
                <w:rFonts w:ascii="宋体" w:hAnsi="宋体" w:cs="宋体"/>
                <w:b/>
                <w:bCs/>
                <w:color w:val="000000"/>
                <w:kern w:val="0"/>
                <w:sz w:val="36"/>
                <w:szCs w:val="36"/>
              </w:rPr>
            </w:pPr>
          </w:p>
          <w:p>
            <w:pPr>
              <w:widowControl/>
              <w:textAlignment w:val="center"/>
              <w:rPr>
                <w:rFonts w:ascii="宋体" w:hAnsi="宋体" w:cs="宋体"/>
                <w:b/>
                <w:bCs/>
                <w:color w:val="000000"/>
                <w:kern w:val="0"/>
                <w:sz w:val="36"/>
                <w:szCs w:val="36"/>
              </w:rPr>
            </w:pPr>
          </w:p>
          <w:p>
            <w:pPr>
              <w:widowControl/>
              <w:textAlignment w:val="center"/>
              <w:rPr>
                <w:rFonts w:ascii="宋体" w:hAnsi="宋体" w:cs="宋体"/>
                <w:b/>
                <w:bCs/>
                <w:color w:val="000000"/>
                <w:kern w:val="0"/>
                <w:sz w:val="36"/>
                <w:szCs w:val="36"/>
              </w:rPr>
            </w:pPr>
          </w:p>
          <w:p>
            <w:pPr>
              <w:widowControl/>
              <w:textAlignment w:val="center"/>
              <w:rPr>
                <w:rFonts w:ascii="宋体" w:hAnsi="宋体" w:cs="宋体"/>
                <w:b/>
                <w:bCs/>
                <w:color w:val="000000"/>
                <w:kern w:val="0"/>
                <w:sz w:val="36"/>
                <w:szCs w:val="36"/>
              </w:rPr>
            </w:pPr>
          </w:p>
          <w:p>
            <w:pPr>
              <w:widowControl/>
              <w:textAlignment w:val="center"/>
              <w:rPr>
                <w:rFonts w:ascii="宋体" w:hAnsi="宋体" w:cs="宋体"/>
                <w:b/>
                <w:bCs/>
                <w:color w:val="000000"/>
                <w:kern w:val="0"/>
                <w:sz w:val="36"/>
                <w:szCs w:val="36"/>
              </w:rPr>
            </w:pPr>
          </w:p>
          <w:p>
            <w:pPr>
              <w:widowControl/>
              <w:textAlignment w:val="center"/>
              <w:rPr>
                <w:rFonts w:ascii="宋体" w:hAnsi="宋体" w:cs="宋体"/>
                <w:b/>
                <w:bCs/>
                <w:color w:val="000000"/>
                <w:kern w:val="0"/>
                <w:sz w:val="36"/>
                <w:szCs w:val="36"/>
              </w:rPr>
            </w:pPr>
          </w:p>
          <w:p>
            <w:pPr>
              <w:widowControl/>
              <w:textAlignment w:val="center"/>
              <w:rPr>
                <w:rFonts w:ascii="宋体" w:hAnsi="宋体" w:cs="宋体"/>
                <w:b/>
                <w:bCs/>
                <w:color w:val="000000"/>
                <w:kern w:val="0"/>
                <w:sz w:val="36"/>
                <w:szCs w:val="36"/>
              </w:rPr>
            </w:pPr>
          </w:p>
          <w:p>
            <w:pPr>
              <w:widowControl/>
              <w:textAlignment w:val="center"/>
              <w:rPr>
                <w:rFonts w:ascii="宋体" w:hAnsi="宋体" w:cs="宋体"/>
                <w:b/>
                <w:bCs/>
                <w:color w:val="000000"/>
                <w:kern w:val="0"/>
                <w:sz w:val="36"/>
                <w:szCs w:val="36"/>
              </w:rPr>
            </w:pPr>
          </w:p>
          <w:p>
            <w:pPr>
              <w:widowControl/>
              <w:textAlignment w:val="center"/>
              <w:rPr>
                <w:rFonts w:ascii="宋体" w:hAnsi="宋体" w:cs="宋体"/>
                <w:b/>
                <w:bCs/>
                <w:color w:val="000000"/>
                <w:kern w:val="0"/>
                <w:sz w:val="36"/>
                <w:szCs w:val="36"/>
              </w:rPr>
            </w:pPr>
          </w:p>
          <w:p>
            <w:pPr>
              <w:widowControl/>
              <w:textAlignment w:val="center"/>
              <w:rPr>
                <w:rFonts w:ascii="宋体" w:hAnsi="宋体" w:cs="宋体"/>
                <w:b/>
                <w:bCs/>
                <w:color w:val="000000"/>
                <w:kern w:val="0"/>
                <w:sz w:val="36"/>
                <w:szCs w:val="36"/>
              </w:rPr>
            </w:pPr>
          </w:p>
          <w:p>
            <w:pPr>
              <w:widowControl/>
              <w:textAlignment w:val="center"/>
              <w:rPr>
                <w:rFonts w:ascii="宋体" w:hAnsi="宋体" w:cs="宋体"/>
                <w:b/>
                <w:bCs/>
                <w:color w:val="000000"/>
                <w:kern w:val="0"/>
                <w:sz w:val="36"/>
                <w:szCs w:val="36"/>
              </w:rPr>
            </w:pPr>
          </w:p>
          <w:p>
            <w:pPr>
              <w:widowControl/>
              <w:ind w:firstLine="354" w:firstLineChars="98"/>
              <w:jc w:val="center"/>
              <w:textAlignment w:val="center"/>
              <w:rPr>
                <w:rFonts w:ascii="宋体" w:cs="宋体"/>
                <w:color w:val="000000"/>
                <w:sz w:val="36"/>
                <w:szCs w:val="36"/>
              </w:rPr>
            </w:pPr>
            <w:r>
              <w:rPr>
                <w:rFonts w:hint="eastAsia" w:ascii="宋体" w:hAns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hAnsi="宋体" w:cs="宋体"/>
                <w:color w:val="000000"/>
                <w:kern w:val="0"/>
                <w:sz w:val="36"/>
                <w:szCs w:val="36"/>
              </w:rPr>
              <w:t xml:space="preserve">(2019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阿斯玛幼儿园不稳定斜坡治理工程项目</w:t>
            </w:r>
          </w:p>
        </w:tc>
      </w:tr>
      <w:tr>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壤塘县自然资源局</w:t>
            </w:r>
          </w:p>
        </w:tc>
      </w:tr>
      <w:tr>
        <w:tblPrEx>
          <w:tblCellMar>
            <w:top w:w="0" w:type="dxa"/>
            <w:left w:w="0" w:type="dxa"/>
            <w:bottom w:w="0" w:type="dxa"/>
            <w:right w:w="0" w:type="dxa"/>
          </w:tblCellMar>
        </w:tblPrEx>
        <w:trPr>
          <w:trHeight w:val="276" w:hRule="atLeast"/>
          <w:jc w:val="center"/>
        </w:trPr>
        <w:tc>
          <w:tcPr>
            <w:tcW w:w="1008"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177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themeColor="text1"/>
                <w:sz w:val="24"/>
              </w:rPr>
            </w:pPr>
            <w:r>
              <w:rPr>
                <w:rFonts w:hint="eastAsia" w:ascii="宋体" w:cs="宋体"/>
                <w:color w:val="000000" w:themeColor="text1"/>
                <w:sz w:val="24"/>
              </w:rPr>
              <w:t>25.93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themeColor="text1"/>
                <w:sz w:val="24"/>
              </w:rPr>
            </w:pPr>
            <w:r>
              <w:rPr>
                <w:rFonts w:hint="eastAsia" w:ascii="宋体" w:cs="宋体"/>
                <w:color w:val="000000" w:themeColor="text1"/>
                <w:sz w:val="24"/>
              </w:rPr>
              <w:t>25.79</w:t>
            </w:r>
          </w:p>
        </w:tc>
      </w:tr>
      <w:tr>
        <w:tblPrEx>
          <w:tblCellMar>
            <w:top w:w="0" w:type="dxa"/>
            <w:left w:w="0" w:type="dxa"/>
            <w:bottom w:w="0" w:type="dxa"/>
            <w:right w:w="0" w:type="dxa"/>
          </w:tblCellMar>
        </w:tblPrEx>
        <w:trPr>
          <w:trHeight w:val="276" w:hRule="atLeast"/>
          <w:jc w:val="center"/>
        </w:trPr>
        <w:tc>
          <w:tcPr>
            <w:tcW w:w="1008"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177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themeColor="text1"/>
                <w:sz w:val="24"/>
              </w:rPr>
            </w:pPr>
            <w:r>
              <w:rPr>
                <w:rFonts w:hint="eastAsia" w:ascii="宋体" w:cs="宋体"/>
                <w:color w:val="000000" w:themeColor="text1"/>
                <w:sz w:val="24"/>
              </w:rPr>
              <w:t>25.93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themeColor="text1"/>
                <w:sz w:val="24"/>
              </w:rPr>
            </w:pPr>
            <w:r>
              <w:rPr>
                <w:rFonts w:hint="eastAsia" w:ascii="宋体" w:cs="宋体"/>
                <w:color w:val="000000" w:themeColor="text1"/>
                <w:sz w:val="24"/>
              </w:rPr>
              <w:t>25.79</w:t>
            </w:r>
          </w:p>
        </w:tc>
      </w:tr>
      <w:tr>
        <w:tblPrEx>
          <w:tblCellMar>
            <w:top w:w="0" w:type="dxa"/>
            <w:left w:w="0" w:type="dxa"/>
            <w:bottom w:w="0" w:type="dxa"/>
            <w:right w:w="0" w:type="dxa"/>
          </w:tblCellMar>
        </w:tblPrEx>
        <w:trPr>
          <w:trHeight w:val="1189" w:hRule="atLeast"/>
          <w:jc w:val="center"/>
        </w:trPr>
        <w:tc>
          <w:tcPr>
            <w:tcW w:w="1008"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177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CellMar>
            <w:top w:w="0" w:type="dxa"/>
            <w:left w:w="0" w:type="dxa"/>
            <w:bottom w:w="0" w:type="dxa"/>
            <w:right w:w="0" w:type="dxa"/>
          </w:tblCellMar>
        </w:tblPrEx>
        <w:trPr>
          <w:trHeight w:val="276" w:hRule="atLeast"/>
          <w:jc w:val="center"/>
        </w:trPr>
        <w:tc>
          <w:tcPr>
            <w:tcW w:w="1008"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16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926" w:hRule="atLeast"/>
          <w:jc w:val="center"/>
        </w:trPr>
        <w:tc>
          <w:tcPr>
            <w:tcW w:w="1008"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16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w:t>
            </w:r>
          </w:p>
        </w:tc>
      </w:tr>
      <w:tr>
        <w:tblPrEx>
          <w:tblCellMar>
            <w:top w:w="0" w:type="dxa"/>
            <w:left w:w="0" w:type="dxa"/>
            <w:bottom w:w="0" w:type="dxa"/>
            <w:right w:w="0" w:type="dxa"/>
          </w:tblCellMar>
        </w:tblPrEx>
        <w:trPr>
          <w:trHeight w:val="1042" w:hRule="atLeast"/>
          <w:jc w:val="center"/>
        </w:trPr>
        <w:tc>
          <w:tcPr>
            <w:tcW w:w="1008" w:type="dxa"/>
            <w:gridSpan w:val="2"/>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7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jc w:val="center"/>
        </w:trPr>
        <w:tc>
          <w:tcPr>
            <w:tcW w:w="1008" w:type="dxa"/>
            <w:gridSpan w:val="2"/>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7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5处地质灾害项目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完成5处地质灾害项目</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实际完成指标值</w:t>
            </w:r>
          </w:p>
        </w:tc>
      </w:tr>
      <w:tr>
        <w:tblPrEx>
          <w:tblCellMar>
            <w:top w:w="0" w:type="dxa"/>
            <w:left w:w="0" w:type="dxa"/>
            <w:bottom w:w="0" w:type="dxa"/>
            <w:right w:w="0" w:type="dxa"/>
          </w:tblCellMar>
        </w:tblPrEx>
        <w:trPr>
          <w:trHeight w:val="1297" w:hRule="atLeast"/>
          <w:jc w:val="center"/>
        </w:trPr>
        <w:tc>
          <w:tcPr>
            <w:tcW w:w="1008" w:type="dxa"/>
            <w:gridSpan w:val="2"/>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7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项目验收合格率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cs="宋体"/>
                <w:color w:val="000000"/>
                <w:sz w:val="24"/>
              </w:rPr>
            </w:pPr>
            <w:r>
              <w:rPr>
                <w:rFonts w:hint="eastAsia" w:ascii="宋体" w:cs="宋体"/>
                <w:color w:val="000000"/>
                <w:sz w:val="24"/>
              </w:rPr>
              <w:t>合格率达到100%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项目完成验收并达到100%</w:t>
            </w:r>
          </w:p>
        </w:tc>
      </w:tr>
      <w:tr>
        <w:tblPrEx>
          <w:tblCellMar>
            <w:top w:w="0" w:type="dxa"/>
            <w:left w:w="0" w:type="dxa"/>
            <w:bottom w:w="0" w:type="dxa"/>
            <w:right w:w="0" w:type="dxa"/>
          </w:tblCellMar>
        </w:tblPrEx>
        <w:trPr>
          <w:trHeight w:val="1042" w:hRule="atLeast"/>
          <w:jc w:val="center"/>
        </w:trPr>
        <w:tc>
          <w:tcPr>
            <w:tcW w:w="1008" w:type="dxa"/>
            <w:gridSpan w:val="2"/>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7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竣工时间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2019年12月前完成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该项目于2019年12月前完成</w:t>
            </w:r>
          </w:p>
        </w:tc>
      </w:tr>
      <w:tr>
        <w:tblPrEx>
          <w:tblCellMar>
            <w:top w:w="0" w:type="dxa"/>
            <w:left w:w="0" w:type="dxa"/>
            <w:bottom w:w="0" w:type="dxa"/>
            <w:right w:w="0" w:type="dxa"/>
          </w:tblCellMar>
        </w:tblPrEx>
        <w:trPr>
          <w:trHeight w:val="1042" w:hRule="atLeast"/>
          <w:jc w:val="center"/>
        </w:trPr>
        <w:tc>
          <w:tcPr>
            <w:tcW w:w="1008" w:type="dxa"/>
            <w:gridSpan w:val="2"/>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7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项目区地质灾害发生率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全县地质灾害发生率降低1.5%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cs="宋体"/>
                <w:color w:val="000000"/>
                <w:sz w:val="24"/>
              </w:rPr>
            </w:pPr>
            <w:r>
              <w:rPr>
                <w:rFonts w:hint="eastAsia" w:ascii="宋体" w:cs="宋体"/>
                <w:color w:val="000000"/>
                <w:sz w:val="24"/>
              </w:rPr>
              <w:t>经地灾治理，全县地质灾害发生率降低1.5</w:t>
            </w:r>
          </w:p>
        </w:tc>
      </w:tr>
      <w:tr>
        <w:tblPrEx>
          <w:tblCellMar>
            <w:top w:w="0" w:type="dxa"/>
            <w:left w:w="0" w:type="dxa"/>
            <w:bottom w:w="0" w:type="dxa"/>
            <w:right w:w="0" w:type="dxa"/>
          </w:tblCellMar>
        </w:tblPrEx>
        <w:trPr>
          <w:trHeight w:val="1042" w:hRule="atLeast"/>
          <w:jc w:val="center"/>
        </w:trPr>
        <w:tc>
          <w:tcPr>
            <w:tcW w:w="1008" w:type="dxa"/>
            <w:gridSpan w:val="2"/>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7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生态效益指标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项目区水土流失改善情况大于2.5%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全县水土流失改善情况大于2.5%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经地灾治理，全县水土流失改善情况大于2.5%</w:t>
            </w:r>
          </w:p>
        </w:tc>
      </w:tr>
      <w:tr>
        <w:tblPrEx>
          <w:tblCellMar>
            <w:top w:w="0" w:type="dxa"/>
            <w:left w:w="0" w:type="dxa"/>
            <w:bottom w:w="0" w:type="dxa"/>
            <w:right w:w="0" w:type="dxa"/>
          </w:tblCellMar>
        </w:tblPrEx>
        <w:trPr>
          <w:trHeight w:val="1042" w:hRule="atLeast"/>
          <w:jc w:val="center"/>
        </w:trPr>
        <w:tc>
          <w:tcPr>
            <w:tcW w:w="1008" w:type="dxa"/>
            <w:gridSpan w:val="2"/>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7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受益群众满意度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cs="宋体"/>
                <w:color w:val="000000"/>
                <w:sz w:val="24"/>
              </w:rPr>
            </w:pPr>
            <w:r>
              <w:rPr>
                <w:rFonts w:hint="eastAsia" w:ascii="宋体" w:cs="宋体"/>
                <w:color w:val="000000"/>
                <w:sz w:val="24"/>
              </w:rPr>
              <w:t>群众满意度大于95%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满意率99%</w:t>
            </w:r>
          </w:p>
        </w:tc>
      </w:tr>
      <w:tr>
        <w:tblPrEx>
          <w:tblCellMar>
            <w:top w:w="0" w:type="dxa"/>
            <w:left w:w="0" w:type="dxa"/>
            <w:bottom w:w="0" w:type="dxa"/>
            <w:right w:w="0" w:type="dxa"/>
          </w:tblCellMar>
        </w:tblPrEx>
        <w:trPr>
          <w:trHeight w:val="1034" w:hRule="atLeast"/>
          <w:jc w:val="center"/>
        </w:trPr>
        <w:tc>
          <w:tcPr>
            <w:tcW w:w="9960" w:type="dxa"/>
            <w:gridSpan w:val="7"/>
            <w:tcBorders>
              <w:top w:val="nil"/>
              <w:left w:val="nil"/>
              <w:bottom w:val="nil"/>
              <w:right w:val="nil"/>
            </w:tcBorders>
            <w:tcMar>
              <w:top w:w="15" w:type="dxa"/>
              <w:left w:w="15" w:type="dxa"/>
              <w:right w:w="15" w:type="dxa"/>
            </w:tcMar>
            <w:vAlign w:val="center"/>
          </w:tcPr>
          <w:p>
            <w:pPr>
              <w:widowControl/>
              <w:textAlignment w:val="center"/>
              <w:rPr>
                <w:rFonts w:ascii="宋体" w:hAnsi="宋体" w:cs="宋体"/>
                <w:b/>
                <w:bCs/>
                <w:color w:val="000000"/>
                <w:kern w:val="0"/>
                <w:sz w:val="36"/>
                <w:szCs w:val="36"/>
              </w:rPr>
            </w:pP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851"/>
              <w:gridCol w:w="906"/>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ind w:firstLine="177" w:firstLineChars="49"/>
                    <w:jc w:val="center"/>
                    <w:textAlignment w:val="center"/>
                    <w:rPr>
                      <w:rFonts w:ascii="宋体" w:cs="宋体"/>
                      <w:color w:val="000000"/>
                      <w:sz w:val="36"/>
                      <w:szCs w:val="36"/>
                    </w:rPr>
                  </w:pPr>
                  <w:r>
                    <w:rPr>
                      <w:rFonts w:hint="eastAsia" w:ascii="宋体" w:hAns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hAnsi="宋体" w:cs="宋体"/>
                      <w:color w:val="000000"/>
                      <w:kern w:val="0"/>
                      <w:sz w:val="36"/>
                      <w:szCs w:val="36"/>
                    </w:rPr>
                    <w:t xml:space="preserve">(2019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宗科乡确登达泥石流治理项目</w:t>
                  </w:r>
                </w:p>
              </w:tc>
            </w:tr>
            <w:tr>
              <w:tblPrEx>
                <w:tblCellMar>
                  <w:top w:w="0" w:type="dxa"/>
                  <w:left w:w="0" w:type="dxa"/>
                  <w:bottom w:w="0" w:type="dxa"/>
                  <w:right w:w="0" w:type="dxa"/>
                </w:tblCellMar>
              </w:tblPrEx>
              <w:trPr>
                <w:trHeight w:val="515"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壤塘县自然资源局</w:t>
                  </w:r>
                </w:p>
              </w:tc>
            </w:tr>
            <w:tr>
              <w:tblPrEx>
                <w:tblCellMar>
                  <w:top w:w="0" w:type="dxa"/>
                  <w:left w:w="0" w:type="dxa"/>
                  <w:bottom w:w="0" w:type="dxa"/>
                  <w:right w:w="0" w:type="dxa"/>
                </w:tblCellMar>
              </w:tblPrEx>
              <w:trPr>
                <w:trHeight w:val="276" w:hRule="atLeast"/>
                <w:jc w:val="center"/>
              </w:trPr>
              <w:tc>
                <w:tcPr>
                  <w:tcW w:w="85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193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themeColor="text1"/>
                      <w:sz w:val="24"/>
                    </w:rPr>
                  </w:pPr>
                  <w:r>
                    <w:rPr>
                      <w:rFonts w:hint="eastAsia" w:ascii="宋体" w:cs="宋体"/>
                      <w:color w:val="000000" w:themeColor="text1"/>
                      <w:sz w:val="24"/>
                    </w:rPr>
                    <w:t>328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themeColor="text1"/>
                      <w:sz w:val="24"/>
                    </w:rPr>
                  </w:pPr>
                  <w:r>
                    <w:rPr>
                      <w:rFonts w:hint="eastAsia" w:ascii="宋体" w:cs="宋体"/>
                      <w:color w:val="000000" w:themeColor="text1"/>
                      <w:sz w:val="24"/>
                    </w:rPr>
                    <w:t>175.05</w:t>
                  </w:r>
                </w:p>
              </w:tc>
            </w:tr>
            <w:tr>
              <w:tblPrEx>
                <w:tblCellMar>
                  <w:top w:w="0" w:type="dxa"/>
                  <w:left w:w="0" w:type="dxa"/>
                  <w:bottom w:w="0" w:type="dxa"/>
                  <w:right w:w="0" w:type="dxa"/>
                </w:tblCellMar>
              </w:tblPrEx>
              <w:trPr>
                <w:trHeight w:val="276" w:hRule="atLeast"/>
                <w:jc w:val="center"/>
              </w:trPr>
              <w:tc>
                <w:tcPr>
                  <w:tcW w:w="85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193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themeColor="text1"/>
                      <w:sz w:val="24"/>
                    </w:rPr>
                  </w:pPr>
                  <w:r>
                    <w:rPr>
                      <w:rFonts w:hint="eastAsia" w:ascii="宋体" w:cs="宋体"/>
                      <w:color w:val="000000" w:themeColor="text1"/>
                      <w:sz w:val="24"/>
                    </w:rPr>
                    <w:t>328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themeColor="text1"/>
                      <w:sz w:val="24"/>
                    </w:rPr>
                  </w:pPr>
                  <w:r>
                    <w:rPr>
                      <w:rFonts w:hint="eastAsia" w:ascii="宋体" w:cs="宋体"/>
                      <w:color w:val="000000" w:themeColor="text1"/>
                      <w:sz w:val="24"/>
                    </w:rPr>
                    <w:t>175.05</w:t>
                  </w:r>
                </w:p>
              </w:tc>
            </w:tr>
            <w:tr>
              <w:tblPrEx>
                <w:tblCellMar>
                  <w:top w:w="0" w:type="dxa"/>
                  <w:left w:w="0" w:type="dxa"/>
                  <w:bottom w:w="0" w:type="dxa"/>
                  <w:right w:w="0" w:type="dxa"/>
                </w:tblCellMar>
              </w:tblPrEx>
              <w:trPr>
                <w:trHeight w:val="977" w:hRule="atLeast"/>
                <w:jc w:val="center"/>
              </w:trPr>
              <w:tc>
                <w:tcPr>
                  <w:tcW w:w="85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193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CellMar>
                  <w:top w:w="0" w:type="dxa"/>
                  <w:left w:w="0" w:type="dxa"/>
                  <w:bottom w:w="0" w:type="dxa"/>
                  <w:right w:w="0" w:type="dxa"/>
                </w:tblCellMar>
              </w:tblPrEx>
              <w:trPr>
                <w:trHeight w:val="276" w:hRule="atLeast"/>
                <w:jc w:val="center"/>
              </w:trPr>
              <w:tc>
                <w:tcPr>
                  <w:tcW w:w="85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32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85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32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w:t>
                  </w:r>
                </w:p>
              </w:tc>
            </w:tr>
            <w:tr>
              <w:tblPrEx>
                <w:tblCellMar>
                  <w:top w:w="0" w:type="dxa"/>
                  <w:left w:w="0" w:type="dxa"/>
                  <w:bottom w:w="0" w:type="dxa"/>
                  <w:right w:w="0" w:type="dxa"/>
                </w:tblCellMar>
              </w:tblPrEx>
              <w:trPr>
                <w:trHeight w:val="1042" w:hRule="atLeast"/>
                <w:jc w:val="center"/>
              </w:trPr>
              <w:tc>
                <w:tcPr>
                  <w:tcW w:w="851"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9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jc w:val="center"/>
              </w:trPr>
              <w:tc>
                <w:tcPr>
                  <w:tcW w:w="851"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5处地质灾害项目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完成5处地质灾害项目</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实际完成指标值</w:t>
                  </w:r>
                </w:p>
              </w:tc>
            </w:tr>
            <w:tr>
              <w:tblPrEx>
                <w:tblCellMar>
                  <w:top w:w="0" w:type="dxa"/>
                  <w:left w:w="0" w:type="dxa"/>
                  <w:bottom w:w="0" w:type="dxa"/>
                  <w:right w:w="0" w:type="dxa"/>
                </w:tblCellMar>
              </w:tblPrEx>
              <w:trPr>
                <w:trHeight w:val="1297" w:hRule="atLeast"/>
                <w:jc w:val="center"/>
              </w:trPr>
              <w:tc>
                <w:tcPr>
                  <w:tcW w:w="851"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项目验收合格率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cs="宋体"/>
                      <w:color w:val="000000"/>
                      <w:sz w:val="24"/>
                    </w:rPr>
                  </w:pPr>
                  <w:r>
                    <w:rPr>
                      <w:rFonts w:hint="eastAsia" w:ascii="宋体" w:cs="宋体"/>
                      <w:color w:val="000000"/>
                      <w:sz w:val="24"/>
                    </w:rPr>
                    <w:t>合格率达到100%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项目完成验收并达到100%</w:t>
                  </w:r>
                </w:p>
              </w:tc>
            </w:tr>
            <w:tr>
              <w:tblPrEx>
                <w:tblCellMar>
                  <w:top w:w="0" w:type="dxa"/>
                  <w:left w:w="0" w:type="dxa"/>
                  <w:bottom w:w="0" w:type="dxa"/>
                  <w:right w:w="0" w:type="dxa"/>
                </w:tblCellMar>
              </w:tblPrEx>
              <w:trPr>
                <w:trHeight w:val="1042" w:hRule="atLeast"/>
                <w:jc w:val="center"/>
              </w:trPr>
              <w:tc>
                <w:tcPr>
                  <w:tcW w:w="851"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竣工时间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2019年12月前完成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该项目于2019年12月前完成</w:t>
                  </w:r>
                </w:p>
              </w:tc>
            </w:tr>
            <w:tr>
              <w:tblPrEx>
                <w:tblCellMar>
                  <w:top w:w="0" w:type="dxa"/>
                  <w:left w:w="0" w:type="dxa"/>
                  <w:bottom w:w="0" w:type="dxa"/>
                  <w:right w:w="0" w:type="dxa"/>
                </w:tblCellMar>
              </w:tblPrEx>
              <w:trPr>
                <w:trHeight w:val="1042" w:hRule="atLeast"/>
                <w:jc w:val="center"/>
              </w:trPr>
              <w:tc>
                <w:tcPr>
                  <w:tcW w:w="851"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项目区地质灾害发生率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全县地质灾害发生率降低1.5%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cs="宋体"/>
                      <w:color w:val="000000"/>
                      <w:sz w:val="24"/>
                    </w:rPr>
                  </w:pPr>
                  <w:r>
                    <w:rPr>
                      <w:rFonts w:hint="eastAsia" w:ascii="宋体" w:cs="宋体"/>
                      <w:color w:val="000000"/>
                      <w:sz w:val="24"/>
                    </w:rPr>
                    <w:t>经地灾治理，全县地质灾害发生率降低1.5</w:t>
                  </w:r>
                </w:p>
              </w:tc>
            </w:tr>
            <w:tr>
              <w:tblPrEx>
                <w:tblCellMar>
                  <w:top w:w="0" w:type="dxa"/>
                  <w:left w:w="0" w:type="dxa"/>
                  <w:bottom w:w="0" w:type="dxa"/>
                  <w:right w:w="0" w:type="dxa"/>
                </w:tblCellMar>
              </w:tblPrEx>
              <w:trPr>
                <w:trHeight w:val="1042" w:hRule="atLeast"/>
                <w:jc w:val="center"/>
              </w:trPr>
              <w:tc>
                <w:tcPr>
                  <w:tcW w:w="851"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生态效益指标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项目区水土流失改善情况大于2.5%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全县水土流失改善情况大于2.5%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经地灾治理，全县水土流失改善情况大于2.5%</w:t>
                  </w:r>
                </w:p>
              </w:tc>
            </w:tr>
            <w:tr>
              <w:tblPrEx>
                <w:tblCellMar>
                  <w:top w:w="0" w:type="dxa"/>
                  <w:left w:w="0" w:type="dxa"/>
                  <w:bottom w:w="0" w:type="dxa"/>
                  <w:right w:w="0" w:type="dxa"/>
                </w:tblCellMar>
              </w:tblPrEx>
              <w:trPr>
                <w:trHeight w:val="1042" w:hRule="atLeast"/>
                <w:jc w:val="center"/>
              </w:trPr>
              <w:tc>
                <w:tcPr>
                  <w:tcW w:w="851"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受益群众满意度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cs="宋体"/>
                      <w:color w:val="000000"/>
                      <w:sz w:val="24"/>
                    </w:rPr>
                  </w:pPr>
                  <w:r>
                    <w:rPr>
                      <w:rFonts w:hint="eastAsia" w:ascii="宋体" w:cs="宋体"/>
                      <w:color w:val="000000"/>
                      <w:sz w:val="24"/>
                    </w:rPr>
                    <w:t>群众满意度大于95%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满意率99%</w:t>
                  </w:r>
                </w:p>
              </w:tc>
            </w:tr>
          </w:tbl>
          <w:p>
            <w:pPr>
              <w:spacing w:line="580" w:lineRule="exact"/>
              <w:rPr>
                <w:rFonts w:ascii="仿宋_GB2312" w:hAnsi="仿宋_GB2312" w:eastAsia="仿宋_GB2312" w:cs="仿宋_GB2312"/>
                <w:sz w:val="32"/>
                <w:szCs w:val="32"/>
              </w:rPr>
            </w:pP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993"/>
              <w:gridCol w:w="764"/>
              <w:gridCol w:w="1025"/>
              <w:gridCol w:w="2392"/>
              <w:gridCol w:w="2394"/>
              <w:gridCol w:w="2392"/>
            </w:tblGrid>
            <w:tr>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textAlignment w:val="center"/>
                    <w:rPr>
                      <w:rFonts w:ascii="宋体" w:cs="宋体"/>
                      <w:color w:val="000000"/>
                      <w:sz w:val="36"/>
                      <w:szCs w:val="36"/>
                    </w:rPr>
                  </w:pPr>
                </w:p>
              </w:tc>
            </w:tr>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hAnsi="宋体" w:cs="宋体"/>
                      <w:color w:val="000000"/>
                      <w:kern w:val="0"/>
                      <w:sz w:val="36"/>
                      <w:szCs w:val="36"/>
                    </w:rPr>
                    <w:t xml:space="preserve">(2019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画家村后侧泥石流治理工程</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壤塘县自然资源局</w:t>
                  </w:r>
                </w:p>
              </w:tc>
            </w:tr>
            <w:tr>
              <w:tblPrEx>
                <w:tblCellMar>
                  <w:top w:w="0" w:type="dxa"/>
                  <w:left w:w="0" w:type="dxa"/>
                  <w:bottom w:w="0" w:type="dxa"/>
                  <w:right w:w="0" w:type="dxa"/>
                </w:tblCellMar>
              </w:tblPrEx>
              <w:trPr>
                <w:trHeight w:val="276" w:hRule="atLeast"/>
                <w:jc w:val="center"/>
              </w:trPr>
              <w:tc>
                <w:tcPr>
                  <w:tcW w:w="99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178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themeColor="text1"/>
                      <w:sz w:val="24"/>
                    </w:rPr>
                  </w:pPr>
                  <w:r>
                    <w:rPr>
                      <w:rFonts w:hint="eastAsia" w:ascii="宋体" w:cs="宋体"/>
                      <w:color w:val="000000" w:themeColor="text1"/>
                      <w:sz w:val="24"/>
                    </w:rPr>
                    <w:t>96.08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themeColor="text1"/>
                      <w:sz w:val="24"/>
                    </w:rPr>
                  </w:pPr>
                  <w:r>
                    <w:rPr>
                      <w:rFonts w:hint="eastAsia" w:ascii="宋体" w:cs="宋体"/>
                      <w:color w:val="000000" w:themeColor="text1"/>
                      <w:sz w:val="24"/>
                    </w:rPr>
                    <w:t>74.64</w:t>
                  </w:r>
                </w:p>
              </w:tc>
            </w:tr>
            <w:tr>
              <w:tblPrEx>
                <w:tblCellMar>
                  <w:top w:w="0" w:type="dxa"/>
                  <w:left w:w="0" w:type="dxa"/>
                  <w:bottom w:w="0" w:type="dxa"/>
                  <w:right w:w="0" w:type="dxa"/>
                </w:tblCellMar>
              </w:tblPrEx>
              <w:trPr>
                <w:trHeight w:val="276" w:hRule="atLeast"/>
                <w:jc w:val="center"/>
              </w:trPr>
              <w:tc>
                <w:tcPr>
                  <w:tcW w:w="99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178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themeColor="text1"/>
                      <w:sz w:val="24"/>
                    </w:rPr>
                  </w:pPr>
                  <w:r>
                    <w:rPr>
                      <w:rFonts w:hint="eastAsia" w:ascii="宋体" w:cs="宋体"/>
                      <w:color w:val="000000" w:themeColor="text1"/>
                      <w:sz w:val="24"/>
                    </w:rPr>
                    <w:t>52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themeColor="text1"/>
                      <w:sz w:val="24"/>
                    </w:rPr>
                  </w:pPr>
                  <w:r>
                    <w:rPr>
                      <w:rFonts w:hint="eastAsia" w:ascii="宋体" w:cs="宋体"/>
                      <w:color w:val="000000" w:themeColor="text1"/>
                      <w:sz w:val="24"/>
                    </w:rPr>
                    <w:t>20</w:t>
                  </w:r>
                </w:p>
              </w:tc>
            </w:tr>
            <w:tr>
              <w:tblPrEx>
                <w:tblCellMar>
                  <w:top w:w="0" w:type="dxa"/>
                  <w:left w:w="0" w:type="dxa"/>
                  <w:bottom w:w="0" w:type="dxa"/>
                  <w:right w:w="0" w:type="dxa"/>
                </w:tblCellMar>
              </w:tblPrEx>
              <w:trPr>
                <w:trHeight w:val="1133" w:hRule="atLeast"/>
                <w:jc w:val="center"/>
              </w:trPr>
              <w:tc>
                <w:tcPr>
                  <w:tcW w:w="99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178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CellMar>
                  <w:top w:w="0" w:type="dxa"/>
                  <w:left w:w="0" w:type="dxa"/>
                  <w:bottom w:w="0" w:type="dxa"/>
                  <w:right w:w="0" w:type="dxa"/>
                </w:tblCellMar>
              </w:tblPrEx>
              <w:trPr>
                <w:trHeight w:val="276" w:hRule="atLeast"/>
                <w:jc w:val="center"/>
              </w:trPr>
              <w:tc>
                <w:tcPr>
                  <w:tcW w:w="99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18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99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18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w:t>
                  </w:r>
                </w:p>
              </w:tc>
            </w:tr>
            <w:tr>
              <w:tblPrEx>
                <w:tblCellMar>
                  <w:top w:w="0" w:type="dxa"/>
                  <w:left w:w="0" w:type="dxa"/>
                  <w:bottom w:w="0" w:type="dxa"/>
                  <w:right w:w="0" w:type="dxa"/>
                </w:tblCellMar>
              </w:tblPrEx>
              <w:trPr>
                <w:trHeight w:val="1042" w:hRule="atLeast"/>
                <w:jc w:val="center"/>
              </w:trPr>
              <w:tc>
                <w:tcPr>
                  <w:tcW w:w="993"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7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jc w:val="center"/>
              </w:trPr>
              <w:tc>
                <w:tcPr>
                  <w:tcW w:w="993"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7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5处地质灾害项目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完成5处地质灾害项目</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实际完成指标值</w:t>
                  </w:r>
                </w:p>
              </w:tc>
            </w:tr>
            <w:tr>
              <w:tblPrEx>
                <w:tblCellMar>
                  <w:top w:w="0" w:type="dxa"/>
                  <w:left w:w="0" w:type="dxa"/>
                  <w:bottom w:w="0" w:type="dxa"/>
                  <w:right w:w="0" w:type="dxa"/>
                </w:tblCellMar>
              </w:tblPrEx>
              <w:trPr>
                <w:trHeight w:val="1297" w:hRule="atLeast"/>
                <w:jc w:val="center"/>
              </w:trPr>
              <w:tc>
                <w:tcPr>
                  <w:tcW w:w="993"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7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项目验收合格率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cs="宋体"/>
                      <w:color w:val="000000"/>
                      <w:sz w:val="24"/>
                    </w:rPr>
                  </w:pPr>
                  <w:r>
                    <w:rPr>
                      <w:rFonts w:hint="eastAsia" w:ascii="宋体" w:cs="宋体"/>
                      <w:color w:val="000000"/>
                      <w:sz w:val="24"/>
                    </w:rPr>
                    <w:t>合格率达到100%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项目完成验收并达到100%</w:t>
                  </w:r>
                </w:p>
              </w:tc>
            </w:tr>
            <w:tr>
              <w:tblPrEx>
                <w:tblCellMar>
                  <w:top w:w="0" w:type="dxa"/>
                  <w:left w:w="0" w:type="dxa"/>
                  <w:bottom w:w="0" w:type="dxa"/>
                  <w:right w:w="0" w:type="dxa"/>
                </w:tblCellMar>
              </w:tblPrEx>
              <w:trPr>
                <w:trHeight w:val="1042" w:hRule="atLeast"/>
                <w:jc w:val="center"/>
              </w:trPr>
              <w:tc>
                <w:tcPr>
                  <w:tcW w:w="993"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7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竣工时间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2019年12月前完成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该项目于2019年12月前完成</w:t>
                  </w:r>
                </w:p>
              </w:tc>
            </w:tr>
            <w:tr>
              <w:tblPrEx>
                <w:tblCellMar>
                  <w:top w:w="0" w:type="dxa"/>
                  <w:left w:w="0" w:type="dxa"/>
                  <w:bottom w:w="0" w:type="dxa"/>
                  <w:right w:w="0" w:type="dxa"/>
                </w:tblCellMar>
              </w:tblPrEx>
              <w:trPr>
                <w:trHeight w:val="1042" w:hRule="atLeast"/>
                <w:jc w:val="center"/>
              </w:trPr>
              <w:tc>
                <w:tcPr>
                  <w:tcW w:w="993"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7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项目区地质灾害发生率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全县地质灾害发生率降低1.5%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cs="宋体"/>
                      <w:color w:val="000000"/>
                      <w:sz w:val="24"/>
                    </w:rPr>
                  </w:pPr>
                  <w:r>
                    <w:rPr>
                      <w:rFonts w:hint="eastAsia" w:ascii="宋体" w:cs="宋体"/>
                      <w:color w:val="000000"/>
                      <w:sz w:val="24"/>
                    </w:rPr>
                    <w:t>经地灾治理，全县地质灾害发生率降低1.5</w:t>
                  </w:r>
                </w:p>
              </w:tc>
            </w:tr>
            <w:tr>
              <w:tblPrEx>
                <w:tblCellMar>
                  <w:top w:w="0" w:type="dxa"/>
                  <w:left w:w="0" w:type="dxa"/>
                  <w:bottom w:w="0" w:type="dxa"/>
                  <w:right w:w="0" w:type="dxa"/>
                </w:tblCellMar>
              </w:tblPrEx>
              <w:trPr>
                <w:trHeight w:val="1042" w:hRule="atLeast"/>
                <w:jc w:val="center"/>
              </w:trPr>
              <w:tc>
                <w:tcPr>
                  <w:tcW w:w="993"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7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生态效益指标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项目区水土流失改善情况大于2.5%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全县水土流失改善情况大于2.5%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经地灾治理，全县水土流失改善情况大于2.5%</w:t>
                  </w:r>
                </w:p>
              </w:tc>
            </w:tr>
            <w:tr>
              <w:tblPrEx>
                <w:tblCellMar>
                  <w:top w:w="0" w:type="dxa"/>
                  <w:left w:w="0" w:type="dxa"/>
                  <w:bottom w:w="0" w:type="dxa"/>
                  <w:right w:w="0" w:type="dxa"/>
                </w:tblCellMar>
              </w:tblPrEx>
              <w:trPr>
                <w:trHeight w:val="1042" w:hRule="atLeast"/>
                <w:jc w:val="center"/>
              </w:trPr>
              <w:tc>
                <w:tcPr>
                  <w:tcW w:w="993"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7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受益群众满意度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cs="宋体"/>
                      <w:color w:val="000000"/>
                      <w:sz w:val="24"/>
                    </w:rPr>
                  </w:pPr>
                  <w:r>
                    <w:rPr>
                      <w:rFonts w:hint="eastAsia" w:ascii="宋体" w:cs="宋体"/>
                      <w:color w:val="000000"/>
                      <w:sz w:val="24"/>
                    </w:rPr>
                    <w:t>群众满意度大于95%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满意率99%</w:t>
                  </w:r>
                </w:p>
              </w:tc>
            </w:tr>
          </w:tbl>
          <w:p>
            <w:pPr>
              <w:spacing w:line="580" w:lineRule="exact"/>
              <w:ind w:left="630"/>
              <w:rPr>
                <w:rFonts w:ascii="仿宋_GB2312" w:hAnsi="仿宋_GB2312" w:eastAsia="仿宋_GB2312" w:cs="仿宋_GB2312"/>
                <w:sz w:val="32"/>
                <w:szCs w:val="32"/>
              </w:rPr>
            </w:pPr>
          </w:p>
          <w:p>
            <w:pPr>
              <w:widowControl/>
              <w:textAlignment w:val="center"/>
              <w:rPr>
                <w:rFonts w:ascii="宋体" w:hAnsi="宋体" w:cs="宋体"/>
                <w:b/>
                <w:bCs/>
                <w:color w:val="000000"/>
                <w:kern w:val="0"/>
                <w:sz w:val="36"/>
                <w:szCs w:val="36"/>
              </w:rPr>
            </w:pPr>
          </w:p>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hAnsi="宋体" w:cs="宋体"/>
                <w:color w:val="000000"/>
                <w:kern w:val="0"/>
                <w:sz w:val="36"/>
                <w:szCs w:val="36"/>
              </w:rPr>
              <w:t xml:space="preserve">(2019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宗科乡卧龙小组泥石流排危除险治理工程项目</w:t>
            </w:r>
          </w:p>
        </w:tc>
      </w:tr>
      <w:tr>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壤塘县自然资源局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themeColor="text1"/>
                <w:sz w:val="24"/>
              </w:rPr>
            </w:pPr>
            <w:r>
              <w:rPr>
                <w:rFonts w:hint="eastAsia" w:ascii="宋体" w:cs="宋体"/>
                <w:color w:val="000000" w:themeColor="text1"/>
                <w:sz w:val="24"/>
              </w:rPr>
              <w:t>24.2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themeColor="text1"/>
                <w:sz w:val="24"/>
              </w:rPr>
            </w:pPr>
            <w:r>
              <w:rPr>
                <w:rFonts w:hint="eastAsia" w:ascii="宋体" w:cs="宋体"/>
                <w:color w:val="000000" w:themeColor="text1"/>
                <w:sz w:val="24"/>
              </w:rPr>
              <w:t>22.62</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themeColor="text1"/>
                <w:sz w:val="24"/>
              </w:rPr>
            </w:pPr>
            <w:r>
              <w:rPr>
                <w:rFonts w:hint="eastAsia" w:ascii="宋体" w:cs="宋体"/>
                <w:color w:val="000000" w:themeColor="text1"/>
                <w:sz w:val="24"/>
              </w:rPr>
              <w:t>24.2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themeColor="text1"/>
                <w:sz w:val="24"/>
              </w:rPr>
            </w:pPr>
            <w:r>
              <w:rPr>
                <w:rFonts w:hint="eastAsia" w:ascii="宋体" w:cs="宋体"/>
                <w:color w:val="000000" w:themeColor="text1"/>
                <w:sz w:val="24"/>
              </w:rPr>
              <w:t>22.62</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5处地质灾害项目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完成5处地质灾害项目</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实际完成指标值</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项目验收合格率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cs="宋体"/>
                <w:color w:val="000000"/>
                <w:sz w:val="24"/>
              </w:rPr>
            </w:pPr>
            <w:r>
              <w:rPr>
                <w:rFonts w:hint="eastAsia" w:ascii="宋体" w:cs="宋体"/>
                <w:color w:val="000000"/>
                <w:sz w:val="24"/>
              </w:rPr>
              <w:t>合格率达到100%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项目完成验收并达到100%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竣工时间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2019年12月前完成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该项目于2019年12月前完成</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项目区地质灾害发生率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全县地质灾害发生率降低1.5%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cs="宋体"/>
                <w:color w:val="000000"/>
                <w:sz w:val="24"/>
              </w:rPr>
            </w:pPr>
            <w:r>
              <w:rPr>
                <w:rFonts w:hint="eastAsia" w:ascii="宋体" w:cs="宋体"/>
                <w:color w:val="000000"/>
                <w:sz w:val="24"/>
              </w:rPr>
              <w:t>经地灾治理，全县地质灾害发生率降低1.5</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生态效益指标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项目区水土流失改善情况大于2.5%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全县水土流失改善情况大于2.5%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经地灾治理，全县水土流失改善情况大于2.5%</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受益群众满意度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cs="宋体"/>
                <w:color w:val="000000"/>
                <w:sz w:val="24"/>
              </w:rPr>
            </w:pPr>
            <w:r>
              <w:rPr>
                <w:rFonts w:hint="eastAsia" w:ascii="宋体" w:cs="宋体"/>
                <w:color w:val="000000"/>
                <w:sz w:val="24"/>
              </w:rPr>
              <w:t>群众满意度大于95%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满意率99%</w:t>
            </w:r>
          </w:p>
        </w:tc>
      </w:tr>
      <w:tr>
        <w:tblPrEx>
          <w:tblCellMar>
            <w:top w:w="0" w:type="dxa"/>
            <w:left w:w="0" w:type="dxa"/>
            <w:bottom w:w="0" w:type="dxa"/>
            <w:right w:w="0" w:type="dxa"/>
          </w:tblCellMar>
        </w:tblPrEx>
        <w:trPr>
          <w:trHeight w:val="1034" w:hRule="atLeast"/>
          <w:jc w:val="center"/>
        </w:trPr>
        <w:tc>
          <w:tcPr>
            <w:tcW w:w="9960" w:type="dxa"/>
            <w:gridSpan w:val="7"/>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b/>
                <w:bCs/>
                <w:color w:val="000000"/>
                <w:kern w:val="0"/>
                <w:sz w:val="36"/>
                <w:szCs w:val="36"/>
              </w:rPr>
            </w:pPr>
          </w:p>
          <w:p>
            <w:pPr>
              <w:widowControl/>
              <w:textAlignment w:val="center"/>
              <w:rPr>
                <w:rFonts w:ascii="宋体" w:hAnsi="宋体" w:cs="宋体"/>
                <w:b/>
                <w:bCs/>
                <w:color w:val="000000"/>
                <w:kern w:val="0"/>
                <w:sz w:val="36"/>
                <w:szCs w:val="36"/>
              </w:rPr>
            </w:pPr>
          </w:p>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hAnsi="宋体" w:cs="宋体"/>
                <w:color w:val="000000"/>
                <w:kern w:val="0"/>
                <w:sz w:val="36"/>
                <w:szCs w:val="36"/>
              </w:rPr>
              <w:t xml:space="preserve">(2019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蒲西乡G31家常菜旁崩塌排危除险治理工程</w:t>
            </w:r>
          </w:p>
        </w:tc>
      </w:tr>
      <w:tr>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壤塘县自然资源局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themeColor="text1"/>
                <w:sz w:val="24"/>
              </w:rPr>
            </w:pPr>
            <w:r>
              <w:rPr>
                <w:rFonts w:hint="eastAsia" w:ascii="宋体" w:cs="宋体"/>
                <w:color w:val="000000" w:themeColor="text1"/>
                <w:sz w:val="24"/>
              </w:rPr>
              <w:t>25.87</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themeColor="text1"/>
                <w:sz w:val="24"/>
              </w:rPr>
            </w:pPr>
            <w:r>
              <w:rPr>
                <w:rFonts w:hint="eastAsia" w:ascii="宋体" w:cs="宋体"/>
                <w:color w:val="000000" w:themeColor="text1"/>
                <w:sz w:val="24"/>
              </w:rPr>
              <w:t>24.92</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themeColor="text1"/>
                <w:sz w:val="24"/>
              </w:rPr>
            </w:pPr>
            <w:r>
              <w:rPr>
                <w:rFonts w:hint="eastAsia" w:ascii="宋体" w:cs="宋体"/>
                <w:color w:val="000000" w:themeColor="text1"/>
                <w:sz w:val="24"/>
              </w:rPr>
              <w:t>25.87</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themeColor="text1"/>
                <w:sz w:val="24"/>
              </w:rPr>
            </w:pPr>
            <w:r>
              <w:rPr>
                <w:rFonts w:hint="eastAsia" w:ascii="宋体" w:cs="宋体"/>
                <w:color w:val="000000" w:themeColor="text1"/>
                <w:sz w:val="24"/>
              </w:rPr>
              <w:t>24.92</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778"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5处地质灾害项目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完成5处地质灾害项目</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实际完成指标值</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项目验收合格率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cs="宋体"/>
                <w:color w:val="000000"/>
                <w:sz w:val="24"/>
              </w:rPr>
            </w:pPr>
            <w:r>
              <w:rPr>
                <w:rFonts w:hint="eastAsia" w:ascii="宋体" w:cs="宋体"/>
                <w:color w:val="000000"/>
                <w:sz w:val="24"/>
              </w:rPr>
              <w:t>合格率达到100%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项目完成验收并达到100%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竣工时间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2019年12月前完成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该项目于2019年12月前完成</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项目区地质灾害发生率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全县地质灾害发生率降低1.5%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cs="宋体"/>
                <w:color w:val="000000"/>
                <w:sz w:val="24"/>
              </w:rPr>
            </w:pPr>
            <w:r>
              <w:rPr>
                <w:rFonts w:hint="eastAsia" w:ascii="宋体" w:cs="宋体"/>
                <w:color w:val="000000"/>
                <w:sz w:val="24"/>
              </w:rPr>
              <w:t>经地灾治理，全县地质灾害发生率降低1.5</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生态效益指标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项目区水土流失改善情况大于2.5%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全县水土流失改善情况大于2.5%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经地灾治理，全县水土流失改善情况大于2.5%</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受益群众满意度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cs="宋体"/>
                <w:color w:val="000000"/>
                <w:sz w:val="24"/>
              </w:rPr>
            </w:pPr>
            <w:r>
              <w:rPr>
                <w:rFonts w:hint="eastAsia" w:ascii="宋体" w:cs="宋体"/>
                <w:color w:val="000000"/>
                <w:sz w:val="24"/>
              </w:rPr>
              <w:t>群众满意度大于95%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满意率99%</w:t>
            </w:r>
          </w:p>
        </w:tc>
      </w:tr>
    </w:tbl>
    <w:p>
      <w:pPr>
        <w:spacing w:line="580" w:lineRule="exact"/>
        <w:rPr>
          <w:rFonts w:ascii="楷体_GB2312" w:hAnsi="楷体_GB2312" w:eastAsia="楷体_GB2312" w:cs="楷体_GB2312"/>
          <w:sz w:val="32"/>
          <w:szCs w:val="32"/>
        </w:rPr>
      </w:pPr>
    </w:p>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年部门整体支出绩效评价情况开展自评，《壤塘县自然资源局</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color w:val="000000" w:themeColor="text1"/>
          <w:sz w:val="32"/>
          <w:szCs w:val="32"/>
        </w:rPr>
        <w:t>蒲西乡G31家常菜旁崩塌排危除险治理工程</w:t>
      </w:r>
      <w:r>
        <w:rPr>
          <w:rFonts w:hint="eastAsia" w:ascii="仿宋_GB2312" w:hAnsi="仿宋_GB2312" w:eastAsia="仿宋_GB2312" w:cs="仿宋_GB2312"/>
          <w:sz w:val="32"/>
          <w:szCs w:val="32"/>
        </w:rPr>
        <w:t>、画家村后侧泥石流治理工程项目开展了绩效评价，《画家村后侧泥石流治理工程项目</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年绩效评价报告》见附件（附件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）。（非涉密部门均需公开部门整体支出评价报告，部门自行组织的绩效评价情况根据部门实际公开，若未组织项目绩效评价，则只需说明部门整体支出绩效评价情况）</w:t>
      </w: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numPr>
          <w:ilvl w:val="0"/>
          <w:numId w:val="3"/>
        </w:numPr>
        <w:spacing w:line="600" w:lineRule="exact"/>
        <w:ind w:firstLine="660" w:firstLineChars="150"/>
        <w:jc w:val="center"/>
        <w:outlineLvl w:val="0"/>
        <w:rPr>
          <w:rStyle w:val="17"/>
          <w:rFonts w:ascii="黑体" w:hAnsi="黑体" w:eastAsia="黑体"/>
          <w:b w:val="0"/>
        </w:rPr>
      </w:pPr>
      <w:bookmarkStart w:id="53" w:name="_Toc15377225"/>
      <w:bookmarkStart w:id="54" w:name="_Toc15396613"/>
      <w:r>
        <w:rPr>
          <w:rFonts w:hint="eastAsia" w:ascii="黑体" w:hAnsi="黑体" w:eastAsia="黑体"/>
          <w:color w:val="000000"/>
          <w:sz w:val="44"/>
          <w:szCs w:val="44"/>
        </w:rPr>
        <w:t>名</w:t>
      </w:r>
      <w:r>
        <w:rPr>
          <w:rStyle w:val="17"/>
          <w:rFonts w:hint="eastAsia" w:ascii="黑体" w:hAnsi="黑体" w:eastAsia="黑体"/>
          <w:b w:val="0"/>
        </w:rPr>
        <w:t>词解释</w:t>
      </w:r>
      <w:bookmarkEnd w:id="53"/>
      <w:bookmarkEnd w:id="54"/>
    </w:p>
    <w:p>
      <w:pPr>
        <w:spacing w:line="600" w:lineRule="exact"/>
        <w:jc w:val="left"/>
        <w:rPr>
          <w:rFonts w:ascii="宋体"/>
          <w:b/>
          <w:color w:val="000000"/>
          <w:sz w:val="44"/>
          <w:szCs w:val="44"/>
        </w:rPr>
      </w:pPr>
    </w:p>
    <w:p>
      <w:pPr>
        <w:pStyle w:val="27"/>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社会保障和就业（类）行政事业单位离退休（款）机关事业单位基本养老保险缴费支出（项）：指部门实施养老保险制度由单位缴纳的养老保险费的支出。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社会保障和就业（类）行政事业单位离退休（款）机关事业单位职业年金缴费支出（项）：指部门实施养老保险制度由单位缴纳的职业年金的支出。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医疗卫生与计划生育（类）行政事业单位医疗（款）行政单位医疗（项）：指厅级机关及参公管理事业单位用于缴纳单位基本医疗保险支出。</w:t>
      </w:r>
    </w:p>
    <w:p>
      <w:pPr>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 xml:space="preserve"> 医疗卫生与计划生育（类）行政事业单位医疗（款）事业单位医疗（项）：指事业单位用于缴纳单位基本医疗保险支出。</w:t>
      </w:r>
    </w:p>
    <w:p>
      <w:pPr>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城乡社区：指反映政府城乡社区服务支出。</w:t>
      </w:r>
    </w:p>
    <w:p>
      <w:pPr>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农林水支出（类）其他农林水支出（款）其他农林水支出（项）：指除化解债务支出以外其他用于农林水方面的支出。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国土海洋气候等支出（类）国土资源事务（款）行政运行（项）：指用于国土资源行政单位的基本支出。</w:t>
      </w:r>
    </w:p>
    <w:p>
      <w:pPr>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 xml:space="preserve"> 国土海洋气候等支出（类）国土资源事务（款）地质灾害防治（项）：指用于国土资源地质灾害防治项目的支出。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 xml:space="preserve"> 国土海洋气候等支出（类）其他国土海洋气候等支出（款）其他国土海洋气候等支出（项）：指除上诉项目以外其他用于国土海洋气候等方面的支出。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18.</w:t>
      </w:r>
      <w:r>
        <w:rPr>
          <w:rFonts w:hint="eastAsia" w:ascii="仿宋_GB2312" w:eastAsia="仿宋_GB2312"/>
          <w:color w:val="000000"/>
          <w:sz w:val="32"/>
          <w:szCs w:val="32"/>
        </w:rPr>
        <w:t>住房保障（类）住房改革支出（款）购房补贴（项）：指根据房改政策规定的标准，向符合条件职工发放的用于购买住房的补贴。</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19</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20</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21</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7"/>
        <w:spacing w:line="560" w:lineRule="exact"/>
        <w:ind w:firstLine="640" w:firstLineChars="200"/>
        <w:rPr>
          <w:rFonts w:ascii="仿宋_GB2312" w:eastAsia="仿宋_GB2312"/>
          <w:sz w:val="32"/>
          <w:szCs w:val="32"/>
        </w:rPr>
      </w:pPr>
      <w:r>
        <w:rPr>
          <w:rFonts w:hint="eastAsia" w:ascii="仿宋_GB2312" w:eastAsia="仿宋_GB2312"/>
          <w:sz w:val="32"/>
          <w:szCs w:val="32"/>
        </w:rPr>
        <w:t>22</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640" w:firstLineChars="200"/>
        <w:rPr>
          <w:rFonts w:ascii="仿宋_GB2312" w:eastAsia="仿宋_GB2312"/>
          <w:sz w:val="32"/>
          <w:szCs w:val="32"/>
        </w:rPr>
      </w:pPr>
      <w:r>
        <w:rPr>
          <w:rFonts w:hint="eastAsia" w:ascii="仿宋_GB2312" w:eastAsia="仿宋_GB2312"/>
          <w:sz w:val="32"/>
          <w:szCs w:val="32"/>
        </w:rPr>
        <w:t>23</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55" w:name="_Toc15396614"/>
      <w:bookmarkStart w:id="56" w:name="_Toc15377226"/>
    </w:p>
    <w:p>
      <w:pPr>
        <w:spacing w:line="600" w:lineRule="exact"/>
        <w:jc w:val="center"/>
        <w:outlineLvl w:val="0"/>
        <w:rPr>
          <w:rFonts w:ascii="仿宋" w:hAnsi="仿宋" w:eastAsia="仿宋"/>
          <w:b/>
          <w:color w:val="000000"/>
          <w:sz w:val="32"/>
          <w:szCs w:val="32"/>
        </w:rPr>
      </w:pPr>
    </w:p>
    <w:p>
      <w:pPr>
        <w:spacing w:line="600" w:lineRule="exact"/>
        <w:jc w:val="center"/>
        <w:outlineLvl w:val="0"/>
        <w:rPr>
          <w:rFonts w:ascii="仿宋" w:hAnsi="仿宋" w:eastAsia="仿宋"/>
          <w:b/>
          <w:color w:val="000000"/>
          <w:sz w:val="32"/>
          <w:szCs w:val="32"/>
        </w:rPr>
      </w:pPr>
    </w:p>
    <w:p>
      <w:pPr>
        <w:spacing w:line="600" w:lineRule="exact"/>
        <w:jc w:val="center"/>
        <w:outlineLvl w:val="0"/>
        <w:rPr>
          <w:rStyle w:val="17"/>
          <w:rFonts w:ascii="黑体" w:hAnsi="黑体" w:eastAsia="黑体"/>
          <w:b w:val="0"/>
        </w:rPr>
      </w:pPr>
      <w:r>
        <w:rPr>
          <w:rFonts w:hint="eastAsia" w:ascii="黑体" w:hAnsi="黑体" w:eastAsia="黑体"/>
          <w:color w:val="000000"/>
          <w:sz w:val="44"/>
          <w:szCs w:val="44"/>
        </w:rPr>
        <w:t>第</w:t>
      </w:r>
      <w:r>
        <w:rPr>
          <w:rStyle w:val="17"/>
          <w:rFonts w:hint="eastAsia" w:ascii="黑体" w:hAnsi="黑体" w:eastAsia="黑体"/>
          <w:b w:val="0"/>
        </w:rPr>
        <w:t>四部分附件</w:t>
      </w:r>
      <w:bookmarkEnd w:id="55"/>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w:t>
      </w:r>
      <w:r>
        <w:rPr>
          <w:rFonts w:ascii="黑体" w:hAnsi="黑体" w:eastAsia="黑体" w:cs="黑体"/>
          <w:sz w:val="32"/>
          <w:szCs w:val="32"/>
        </w:rPr>
        <w:t>1</w:t>
      </w:r>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rPr>
        <w:t>自然资源局</w:t>
      </w:r>
      <w:r>
        <w:rPr>
          <w:rFonts w:ascii="方正小标宋简体" w:hAnsi="宋体" w:eastAsia="方正小标宋简体"/>
          <w:color w:val="000000"/>
          <w:kern w:val="0"/>
          <w:sz w:val="40"/>
          <w:szCs w:val="44"/>
        </w:rPr>
        <w:t>2019</w:t>
      </w:r>
      <w:r>
        <w:rPr>
          <w:rFonts w:hint="eastAsia" w:ascii="方正小标宋简体" w:hAnsi="宋体" w:eastAsia="方正小标宋简体"/>
          <w:color w:val="000000"/>
          <w:kern w:val="0"/>
          <w:sz w:val="40"/>
          <w:szCs w:val="44"/>
        </w:rPr>
        <w:t>年部门</w:t>
      </w:r>
      <w:r>
        <w:rPr>
          <w:rFonts w:hint="eastAsia" w:ascii="方正小标宋简体" w:hAnsi="宋体" w:eastAsia="方正小标宋简体"/>
          <w:color w:val="000000"/>
          <w:kern w:val="0"/>
          <w:sz w:val="40"/>
          <w:szCs w:val="44"/>
          <w:lang w:val="zh-CN"/>
        </w:rPr>
        <w:t>整体支出绩效评价报告</w:t>
      </w:r>
    </w:p>
    <w:p>
      <w:pPr>
        <w:widowControl/>
        <w:spacing w:line="580" w:lineRule="exact"/>
        <w:ind w:firstLine="640" w:firstLineChars="200"/>
        <w:contextualSpacing/>
        <w:jc w:val="center"/>
        <w:rPr>
          <w:rFonts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（报告范围包括机关和下属单位）</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（一）机构组成：本单位机构1个。</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机构职能：根据三定方案规定，主要职责是，贯彻执行国家、省、州关于土地，矿产等自然资源方面的方针、政策和法规，依法负责编制本县土地、矿产等自然资源管理的规章制度，研究拟订调查、规划、保护和合理利用我县土地、矿产资源等自然资源的政策，组织贯彻实施土地、矿产等自然资源的技术标准、规程、规范的办法。</w:t>
      </w:r>
    </w:p>
    <w:p>
      <w:pPr>
        <w:widowControl/>
        <w:adjustRightInd w:val="0"/>
        <w:snapToGrid w:val="0"/>
        <w:spacing w:line="580" w:lineRule="exact"/>
        <w:ind w:firstLine="640" w:firstLineChars="200"/>
        <w:contextualSpacing/>
        <w:jc w:val="left"/>
        <w:rPr>
          <w:rFonts w:ascii="仿宋_GB2312" w:hAnsi="宋体" w:eastAsia="仿宋_GB2312" w:cs="宋体"/>
          <w:color w:val="000000" w:themeColor="text1"/>
          <w:kern w:val="0"/>
          <w:sz w:val="32"/>
          <w:szCs w:val="32"/>
          <w:shd w:val="clear" w:color="auto" w:fill="FFFFFF"/>
          <w:lang w:val="zh-CN"/>
        </w:rPr>
      </w:pPr>
      <w:r>
        <w:rPr>
          <w:rFonts w:hint="eastAsia" w:ascii="仿宋_GB2312" w:hAnsi="宋体" w:eastAsia="仿宋_GB2312" w:cs="宋体"/>
          <w:color w:val="000000" w:themeColor="text1"/>
          <w:kern w:val="0"/>
          <w:sz w:val="32"/>
          <w:szCs w:val="32"/>
          <w:shd w:val="clear" w:color="auto" w:fill="FFFFFF"/>
          <w:lang w:val="zh-CN"/>
        </w:rPr>
        <w:t>（三）人员概况：总编制11名，其中行政编制6名。</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（一）部门财政资金收入情况：我局财政资金收入共计</w:t>
      </w:r>
      <w:r>
        <w:rPr>
          <w:rFonts w:hint="eastAsia" w:ascii="仿宋" w:hAnsi="仿宋" w:eastAsia="仿宋"/>
          <w:color w:val="000000"/>
          <w:sz w:val="32"/>
          <w:szCs w:val="32"/>
        </w:rPr>
        <w:t>2,602.37万元。</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rPr>
      </w:pPr>
      <w:r>
        <w:rPr>
          <w:rFonts w:hint="eastAsia" w:ascii="仿宋_GB2312" w:hAnsi="宋体" w:eastAsia="仿宋_GB2312" w:cs="宋体"/>
          <w:color w:val="000000"/>
          <w:kern w:val="0"/>
          <w:sz w:val="32"/>
          <w:szCs w:val="32"/>
          <w:shd w:val="clear" w:color="auto" w:fill="FFFFFF"/>
          <w:lang w:val="zh-CN"/>
        </w:rPr>
        <w:t>（二）部门财政资金支出情况：我局财政资金支出共计</w:t>
      </w:r>
      <w:r>
        <w:rPr>
          <w:rFonts w:hint="eastAsia" w:ascii="仿宋_GB2312" w:hAnsi="宋体" w:eastAsia="仿宋_GB2312" w:cs="宋体"/>
          <w:color w:val="000000"/>
          <w:kern w:val="0"/>
          <w:sz w:val="32"/>
          <w:szCs w:val="32"/>
          <w:shd w:val="clear" w:color="auto" w:fill="FFFFFF"/>
        </w:rPr>
        <w:t>4,094.23万元。</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ascii="仿宋" w:hAnsi="仿宋" w:eastAsia="仿宋"/>
          <w:color w:val="000000"/>
          <w:sz w:val="32"/>
          <w:szCs w:val="32"/>
          <w:shd w:val="clear" w:color="auto" w:fill="FFFFFF"/>
        </w:rPr>
      </w:pPr>
      <w:r>
        <w:rPr>
          <w:rFonts w:hint="eastAsia" w:ascii="仿宋" w:hAnsi="仿宋" w:eastAsia="仿宋"/>
          <w:color w:val="000000"/>
          <w:sz w:val="32"/>
          <w:szCs w:val="32"/>
          <w:shd w:val="clear" w:color="auto" w:fill="FFFFFF"/>
        </w:rPr>
        <w:t>2019年我局以习近平新时代中国特色社会主义思想为指导，深入贯彻党的十九大和十九届二中、三中、四中全会精神以及习近平总书记对四川工作系列重要指示精神。按照国家预算法编制预算、决算。根据州、县财政局的部署要求和州、县财政下达的各项经费指标，按新《预算法》规定，</w:t>
      </w:r>
    </w:p>
    <w:p>
      <w:pPr>
        <w:widowControl/>
        <w:adjustRightInd w:val="0"/>
        <w:snapToGrid w:val="0"/>
        <w:spacing w:line="580" w:lineRule="exact"/>
        <w:contextualSpacing/>
        <w:jc w:val="left"/>
        <w:rPr>
          <w:rFonts w:ascii="仿宋" w:hAnsi="仿宋" w:eastAsia="仿宋"/>
          <w:color w:val="000000"/>
          <w:sz w:val="32"/>
          <w:szCs w:val="32"/>
          <w:shd w:val="clear" w:color="auto" w:fill="FFFFFF"/>
        </w:rPr>
      </w:pPr>
      <w:r>
        <w:rPr>
          <w:rFonts w:hint="eastAsia" w:ascii="仿宋" w:hAnsi="仿宋" w:eastAsia="仿宋"/>
          <w:color w:val="000000"/>
          <w:sz w:val="32"/>
          <w:szCs w:val="32"/>
          <w:shd w:val="clear" w:color="auto" w:fill="FFFFFF"/>
        </w:rPr>
        <w:t>结合本单位的实际情况，合理编制我单位的年度收入、支出预算。财政资金实行统一管理，统筹安排，预算编制做到合理安排各项资金，按照重点保障基本支出，按轻重缓急顺序原则编制，并考虑历年收入情况、人员情况和收入增减变动等因素对人员支出、日常公用支出、项目支出进行合理编制，确保我单位正常运转。按要求严格执行预算管理，按照财政下达的预算指标合理安排各项工作，确保部门预算及决算工作有序推进。</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widowControl/>
        <w:adjustRightInd w:val="0"/>
        <w:snapToGrid w:val="0"/>
        <w:spacing w:line="580" w:lineRule="exact"/>
        <w:ind w:firstLine="800" w:firstLineChars="25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我单位已秉承客观公正、实事求是的原则对预算绩效管理工作开展情况进行了自查自评，并将自评结果作为预算安排的重要依据。严格遵循国家《预算法》、《采购法》、《行政单位财务规则》等相关法律法规，按照项目资金用途使用资金，做到专款专用。调整支出结构，优化财政资金配置，强化绩效理念，保障重点支出，推动我单位整体绩效管理水平不断提升。按照相关规定，我单位项目完成情况及自评情况已及时公开。</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adjustRightInd w:val="0"/>
        <w:snapToGrid w:val="0"/>
        <w:spacing w:line="600"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1.完善制度，规范管理。</w:t>
      </w:r>
    </w:p>
    <w:p>
      <w:pPr>
        <w:adjustRightInd w:val="0"/>
        <w:snapToGrid w:val="0"/>
        <w:spacing w:line="600" w:lineRule="exact"/>
        <w:ind w:firstLine="1120" w:firstLineChars="350"/>
        <w:rPr>
          <w:rFonts w:ascii="仿宋_GB2312" w:hAnsi="宋体" w:eastAsia="仿宋_GB2312"/>
          <w:sz w:val="32"/>
          <w:szCs w:val="32"/>
          <w:lang w:val="zh-CN"/>
        </w:rPr>
      </w:pPr>
      <w:r>
        <w:rPr>
          <w:rFonts w:hint="eastAsia" w:ascii="仿宋_GB2312" w:hAnsi="宋体" w:eastAsia="仿宋_GB2312"/>
          <w:sz w:val="32"/>
          <w:szCs w:val="32"/>
          <w:lang w:val="zh-CN"/>
        </w:rPr>
        <w:t>2019年我单位严格按照政府部门财务管理制度开展工作，制定了内控管理制度、出纳岗位职责制度、会计岗位职责制度、印鉴管理制度、票据管理制度、固定资产管理制度等相关制度，保障了我单位财务工作的有序开展，同时按照分工制度原则逐一开展绩效管理工作并第一时间开展项目决算组织、编报、审核工作，逐一审核、层层把关。</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2.严格执行预算，控制各项经费支出。</w:t>
      </w:r>
    </w:p>
    <w:p>
      <w:pPr>
        <w:adjustRightInd w:val="0"/>
        <w:snapToGrid w:val="0"/>
        <w:spacing w:line="600" w:lineRule="exac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 xml:space="preserve">        2019年我单位严格控制各项经费支出，一是严格执行公务用车及维修维护管理规定，公务用车一律实行派车登记制，如实登记上报公务车辆情况，严禁公车私用。二是严格控制公务接待费，按照接待标准，杜绝大吃大喝及高消费娱乐，接待总额严格控制在预算指标之内。三是公务卡使用严格按照有关规定执行，基本实现全局职工全覆盖，费用开支全部用公务卡结算。</w:t>
      </w:r>
    </w:p>
    <w:p>
      <w:pPr>
        <w:adjustRightInd w:val="0"/>
        <w:snapToGrid w:val="0"/>
        <w:spacing w:line="600" w:lineRule="exac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 xml:space="preserve">     3.完善监管，建立长效机制。</w:t>
      </w:r>
    </w:p>
    <w:p>
      <w:pPr>
        <w:adjustRightInd w:val="0"/>
        <w:snapToGrid w:val="0"/>
        <w:spacing w:line="600" w:lineRule="exac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 xml:space="preserve">         一是提高全局意识。自领导到普通干部，全面增强厉行节约、减少行政成本的意识，强化危机感和责任感，提高工作效率。二是加强培训及差旅费的审批管理，严格控制培训规模及培训人数、天数等，实施出差申报层层审批制度，从严审批。</w:t>
      </w:r>
    </w:p>
    <w:p>
      <w:pPr>
        <w:pStyle w:val="12"/>
        <w:shd w:val="clear" w:color="auto" w:fill="FFFFFF"/>
        <w:spacing w:before="0" w:beforeAutospacing="0" w:after="0" w:afterAutospacing="0" w:line="480" w:lineRule="auto"/>
        <w:ind w:firstLine="480"/>
        <w:rPr>
          <w:rFonts w:ascii="仿宋_GB2312" w:eastAsia="仿宋_GB2312"/>
          <w:color w:val="000000" w:themeColor="text1"/>
          <w:sz w:val="32"/>
          <w:szCs w:val="32"/>
          <w:shd w:val="clear" w:color="auto" w:fill="FFFFFF"/>
          <w:lang w:val="zh-CN"/>
        </w:rPr>
      </w:pPr>
      <w:r>
        <w:rPr>
          <w:rFonts w:hint="eastAsia" w:ascii="仿宋_GB2312" w:eastAsia="仿宋_GB2312"/>
          <w:color w:val="000000" w:themeColor="text1"/>
          <w:sz w:val="32"/>
          <w:szCs w:val="32"/>
          <w:shd w:val="clear" w:color="auto" w:fill="FFFFFF"/>
          <w:lang w:val="zh-CN"/>
        </w:rPr>
        <w:t>（二）存在问题。</w:t>
      </w:r>
    </w:p>
    <w:p>
      <w:pPr>
        <w:pStyle w:val="12"/>
        <w:shd w:val="clear" w:color="auto" w:fill="FFFFFF"/>
        <w:spacing w:before="0" w:beforeAutospacing="0" w:after="0" w:afterAutospacing="0" w:line="480" w:lineRule="auto"/>
        <w:ind w:firstLine="480"/>
        <w:rPr>
          <w:rFonts w:ascii="仿宋" w:hAnsi="仿宋" w:eastAsia="仿宋"/>
          <w:color w:val="000000" w:themeColor="text1"/>
          <w:sz w:val="32"/>
          <w:szCs w:val="32"/>
        </w:rPr>
      </w:pPr>
      <w:r>
        <w:rPr>
          <w:rFonts w:hint="eastAsia" w:ascii="仿宋" w:hAnsi="仿宋" w:eastAsia="仿宋"/>
          <w:color w:val="000000" w:themeColor="text1"/>
          <w:sz w:val="32"/>
          <w:szCs w:val="32"/>
        </w:rPr>
        <w:t>1.预算不够明确和细化，预算编制的合理性较弱。预算执行力度还需进一步加强。</w:t>
      </w:r>
    </w:p>
    <w:p>
      <w:pPr>
        <w:pStyle w:val="12"/>
        <w:shd w:val="clear" w:color="auto" w:fill="FFFFFF"/>
        <w:spacing w:before="0" w:beforeAutospacing="0" w:after="0" w:afterAutospacing="0" w:line="480" w:lineRule="auto"/>
        <w:ind w:firstLine="480"/>
        <w:rPr>
          <w:rFonts w:ascii="仿宋" w:hAnsi="仿宋" w:eastAsia="仿宋"/>
          <w:color w:val="000000" w:themeColor="text1"/>
          <w:sz w:val="32"/>
          <w:szCs w:val="32"/>
        </w:rPr>
      </w:pPr>
      <w:r>
        <w:rPr>
          <w:rFonts w:hint="eastAsia" w:ascii="仿宋" w:hAnsi="仿宋" w:eastAsia="仿宋"/>
          <w:color w:val="000000" w:themeColor="text1"/>
          <w:sz w:val="32"/>
          <w:szCs w:val="32"/>
        </w:rPr>
        <w:t>2.预算编制的前瞻度不够,对当年度新情况、新问题加强前瞻性、针对性研究不多，预算和实际支出调整较大。</w:t>
      </w:r>
    </w:p>
    <w:p>
      <w:pPr>
        <w:pStyle w:val="12"/>
        <w:shd w:val="clear" w:color="auto" w:fill="FFFFFF"/>
        <w:spacing w:before="0" w:beforeAutospacing="0" w:after="0" w:afterAutospacing="0" w:line="480" w:lineRule="auto"/>
        <w:ind w:firstLine="480"/>
        <w:rPr>
          <w:rFonts w:ascii="仿宋" w:hAnsi="仿宋" w:eastAsia="仿宋"/>
          <w:color w:val="000000" w:themeColor="text1"/>
          <w:sz w:val="32"/>
          <w:szCs w:val="32"/>
        </w:rPr>
      </w:pPr>
      <w:r>
        <w:rPr>
          <w:rFonts w:hint="eastAsia" w:ascii="仿宋" w:hAnsi="仿宋" w:eastAsia="仿宋"/>
          <w:color w:val="000000" w:themeColor="text1"/>
          <w:sz w:val="32"/>
          <w:szCs w:val="32"/>
        </w:rPr>
        <w:t>3.财务管理水平有待提高。财务工作按部就班，缺乏创新，在精度和深度上欠缺，还需要进一步完善。</w:t>
      </w:r>
    </w:p>
    <w:p>
      <w:pPr>
        <w:pStyle w:val="12"/>
        <w:shd w:val="clear" w:color="auto" w:fill="FFFFFF"/>
        <w:spacing w:before="0" w:beforeAutospacing="0" w:after="0" w:afterAutospacing="0" w:line="480" w:lineRule="auto"/>
        <w:ind w:firstLine="480"/>
        <w:rPr>
          <w:rFonts w:ascii="仿宋" w:hAnsi="仿宋" w:eastAsia="仿宋"/>
          <w:color w:val="000000" w:themeColor="text1"/>
          <w:sz w:val="32"/>
          <w:szCs w:val="32"/>
        </w:rPr>
      </w:pPr>
      <w:r>
        <w:rPr>
          <w:rFonts w:hint="eastAsia" w:ascii="仿宋" w:hAnsi="仿宋" w:eastAsia="仿宋"/>
          <w:color w:val="000000" w:themeColor="text1"/>
          <w:sz w:val="32"/>
          <w:szCs w:val="32"/>
        </w:rPr>
        <w:t>4.内部管理相关制度虽已建立，但管理上较为粗糙，部分未实际落实到位。</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（三）改进建议。</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1.提高预算编制科学性和合理性，优化资金结构，强化财务资金管理，加大内部制度，使我单位更好的完成各项目标任务。</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2.进一步提高绩效管理水平。由于目前的预算管理在编</w:t>
      </w:r>
    </w:p>
    <w:p>
      <w:pPr>
        <w:spacing w:line="58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制和实施中还存在编制不细、预算调整较多、追加预算比重较大等现象，因此</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预算执行的准确性还有待加强。</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3.提高自身业务能力，准确定位财务人员角色。将财务的职能定位于全面参与资金使用的决策与控制。</w:t>
      </w: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w:t>
      </w:r>
      <w:r>
        <w:rPr>
          <w:rFonts w:ascii="黑体" w:hAnsi="黑体" w:eastAsia="黑体" w:cs="黑体"/>
          <w:sz w:val="32"/>
          <w:szCs w:val="32"/>
        </w:rPr>
        <w:t>2</w:t>
      </w: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rPr>
        <w:t>自然资源局</w:t>
      </w:r>
      <w:r>
        <w:rPr>
          <w:rFonts w:hint="eastAsia" w:ascii="方正小标宋简体" w:hAnsi="宋体" w:eastAsia="方正小标宋简体"/>
          <w:color w:val="000000"/>
          <w:kern w:val="0"/>
          <w:sz w:val="44"/>
          <w:szCs w:val="44"/>
          <w:lang w:val="zh-CN"/>
        </w:rPr>
        <w:t>项目</w:t>
      </w:r>
      <w:r>
        <w:rPr>
          <w:rFonts w:ascii="方正小标宋简体" w:hAnsi="宋体" w:eastAsia="方正小标宋简体"/>
          <w:color w:val="000000"/>
          <w:kern w:val="0"/>
          <w:sz w:val="44"/>
          <w:szCs w:val="44"/>
        </w:rPr>
        <w:t>2019</w:t>
      </w:r>
      <w:r>
        <w:rPr>
          <w:rFonts w:hint="eastAsia" w:ascii="方正小标宋简体" w:hAnsi="宋体" w:eastAsia="方正小标宋简体"/>
          <w:color w:val="000000"/>
          <w:kern w:val="0"/>
          <w:sz w:val="44"/>
          <w:szCs w:val="44"/>
        </w:rPr>
        <w:t>年</w:t>
      </w:r>
      <w:r>
        <w:rPr>
          <w:rFonts w:hint="eastAsia" w:ascii="方正小标宋简体" w:hAnsi="宋体" w:eastAsia="方正小标宋简体"/>
          <w:color w:val="000000"/>
          <w:kern w:val="0"/>
          <w:sz w:val="44"/>
          <w:szCs w:val="44"/>
          <w:lang w:val="zh-CN"/>
        </w:rPr>
        <w:t>绩效评价报告</w:t>
      </w: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left="1838" w:leftChars="342" w:hanging="1120" w:hangingChars="350"/>
        <w:jc w:val="left"/>
        <w:rPr>
          <w:rFonts w:ascii="仿宋_GB2312" w:hAnsi="宋体" w:eastAsia="仿宋_GB2312"/>
          <w:color w:val="548DD4" w:themeColor="text2" w:themeTint="99"/>
          <w:sz w:val="32"/>
          <w:szCs w:val="32"/>
        </w:rPr>
      </w:pPr>
      <w:r>
        <w:rPr>
          <w:rFonts w:ascii="仿宋_GB2312" w:hAnsi="宋体" w:eastAsia="仿宋_GB2312"/>
          <w:color w:val="000000" w:themeColor="text1"/>
          <w:sz w:val="32"/>
          <w:szCs w:val="32"/>
          <w:lang w:val="zh-CN"/>
        </w:rPr>
        <w:t>1</w:t>
      </w:r>
      <w:r>
        <w:rPr>
          <w:rFonts w:hint="eastAsia" w:ascii="仿宋_GB2312" w:hAnsi="宋体" w:eastAsia="仿宋_GB2312"/>
          <w:color w:val="000000" w:themeColor="text1"/>
          <w:sz w:val="32"/>
          <w:szCs w:val="32"/>
          <w:lang w:val="zh-CN"/>
        </w:rPr>
        <w:t>．职能。</w:t>
      </w:r>
    </w:p>
    <w:p>
      <w:pPr>
        <w:adjustRightInd w:val="0"/>
        <w:snapToGrid w:val="0"/>
        <w:spacing w:line="600" w:lineRule="exact"/>
        <w:ind w:firstLine="1120" w:firstLineChars="350"/>
        <w:jc w:val="left"/>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负责申报、管理土地开发整理项目；组织工程招投标加强项目资金管理，遵守“专款专用”原则，按照规定的用途和开支标准安排使用资金。</w:t>
      </w:r>
    </w:p>
    <w:p>
      <w:pPr>
        <w:adjustRightInd w:val="0"/>
        <w:snapToGrid w:val="0"/>
        <w:spacing w:line="600" w:lineRule="exact"/>
        <w:ind w:firstLine="720"/>
        <w:jc w:val="left"/>
        <w:rPr>
          <w:rFonts w:ascii="仿宋_GB2312" w:hAnsi="宋体" w:eastAsia="仿宋_GB2312"/>
          <w:sz w:val="32"/>
          <w:szCs w:val="32"/>
          <w:lang w:val="zh-CN"/>
        </w:rPr>
      </w:pPr>
      <w:r>
        <w:rPr>
          <w:rFonts w:ascii="仿宋_GB2312" w:hAnsi="宋体" w:eastAsia="仿宋_GB2312"/>
          <w:color w:val="000000" w:themeColor="text1"/>
          <w:sz w:val="32"/>
          <w:szCs w:val="32"/>
          <w:lang w:val="zh-CN"/>
        </w:rPr>
        <w:t>2</w:t>
      </w:r>
      <w:r>
        <w:rPr>
          <w:rFonts w:hint="eastAsia" w:ascii="仿宋_GB2312" w:hAnsi="宋体" w:eastAsia="仿宋_GB2312"/>
          <w:color w:val="000000" w:themeColor="text1"/>
          <w:sz w:val="32"/>
          <w:szCs w:val="32"/>
          <w:lang w:val="zh-CN"/>
        </w:rPr>
        <w:t>．项目立项、资金申报的依据</w:t>
      </w:r>
      <w:r>
        <w:rPr>
          <w:rFonts w:hint="eastAsia" w:ascii="仿宋_GB2312" w:hAnsi="宋体" w:eastAsia="仿宋_GB2312"/>
          <w:sz w:val="32"/>
          <w:szCs w:val="32"/>
          <w:lang w:val="zh-CN"/>
        </w:rPr>
        <w:t>。</w:t>
      </w:r>
    </w:p>
    <w:p>
      <w:pPr>
        <w:adjustRightInd w:val="0"/>
        <w:snapToGrid w:val="0"/>
        <w:spacing w:line="600" w:lineRule="exact"/>
        <w:ind w:firstLine="720"/>
        <w:jc w:val="left"/>
        <w:rPr>
          <w:rFonts w:ascii="仿宋_GB2312" w:hAnsi="宋体" w:eastAsia="仿宋_GB2312"/>
          <w:sz w:val="32"/>
          <w:szCs w:val="32"/>
          <w:lang w:val="zh-CN"/>
        </w:rPr>
      </w:pPr>
      <w:r>
        <w:rPr>
          <w:rFonts w:hint="eastAsia" w:ascii="仿宋_GB2312" w:hAnsi="宋体" w:eastAsia="仿宋_GB2312"/>
          <w:sz w:val="32"/>
          <w:szCs w:val="32"/>
          <w:lang w:val="zh-CN"/>
        </w:rPr>
        <w:t xml:space="preserve">    项目应符合党中央、国务院和省委省政府决策部署，符合当前经济社会发展需求。</w:t>
      </w:r>
    </w:p>
    <w:p>
      <w:pPr>
        <w:adjustRightInd w:val="0"/>
        <w:snapToGrid w:val="0"/>
        <w:spacing w:line="600" w:lineRule="exact"/>
        <w:ind w:firstLine="720"/>
        <w:jc w:val="left"/>
        <w:rPr>
          <w:rFonts w:ascii="仿宋_GB2312" w:hAnsi="宋体" w:eastAsia="仿宋_GB2312"/>
          <w:sz w:val="32"/>
          <w:szCs w:val="32"/>
          <w:lang w:val="zh-CN"/>
        </w:rPr>
      </w:pPr>
      <w:r>
        <w:rPr>
          <w:rFonts w:hint="eastAsia" w:ascii="仿宋_GB2312" w:hAnsi="宋体" w:eastAsia="仿宋_GB2312"/>
          <w:sz w:val="32"/>
          <w:szCs w:val="32"/>
          <w:lang w:val="zh-CN"/>
        </w:rPr>
        <w:t xml:space="preserve">     资金</w:t>
      </w:r>
      <w:r>
        <w:rPr>
          <w:rFonts w:hint="eastAsia" w:ascii="仿宋" w:hAnsi="仿宋" w:eastAsia="仿宋"/>
          <w:sz w:val="32"/>
          <w:szCs w:val="32"/>
        </w:rPr>
        <w:t>申报</w:t>
      </w:r>
      <w:r>
        <w:rPr>
          <w:rFonts w:hint="eastAsia" w:ascii="仿宋_GB2312" w:hAnsi="宋体" w:eastAsia="仿宋_GB2312"/>
          <w:sz w:val="32"/>
          <w:szCs w:val="32"/>
          <w:lang w:val="zh-CN"/>
        </w:rPr>
        <w:t>合理，不应存在虚报项目套取财政资金和不符合申报条件的情况。</w:t>
      </w:r>
    </w:p>
    <w:p>
      <w:pPr>
        <w:adjustRightInd w:val="0"/>
        <w:snapToGrid w:val="0"/>
        <w:spacing w:line="600" w:lineRule="exact"/>
        <w:ind w:firstLine="720"/>
        <w:rPr>
          <w:rFonts w:ascii="仿宋_GB2312" w:hAnsi="宋体" w:eastAsia="仿宋_GB2312"/>
          <w:color w:val="000000" w:themeColor="text1"/>
          <w:sz w:val="32"/>
          <w:szCs w:val="32"/>
          <w:lang w:val="zh-CN"/>
        </w:rPr>
      </w:pPr>
      <w:r>
        <w:rPr>
          <w:rFonts w:ascii="仿宋_GB2312" w:hAnsi="宋体" w:eastAsia="仿宋_GB2312"/>
          <w:color w:val="000000" w:themeColor="text1"/>
          <w:sz w:val="32"/>
          <w:szCs w:val="32"/>
          <w:lang w:val="zh-CN"/>
        </w:rPr>
        <w:t>3</w:t>
      </w:r>
      <w:r>
        <w:rPr>
          <w:rFonts w:hint="eastAsia" w:ascii="仿宋_GB2312" w:hAnsi="宋体" w:eastAsia="仿宋_GB2312"/>
          <w:color w:val="000000" w:themeColor="text1"/>
          <w:sz w:val="32"/>
          <w:szCs w:val="32"/>
          <w:lang w:val="zh-CN"/>
        </w:rPr>
        <w:t>．资金管理办法制定情况，资金支持具体项目的条件、范围与支持方式概况。</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sz w:val="32"/>
          <w:szCs w:val="32"/>
        </w:rPr>
        <w:t xml:space="preserve">我单位始终坚持以规范财务制度主动接受监督入手，强化财务管理，在管好用好项目经费上下功夫。建立健全项目资金财务管理制度、财务会计和出纳按岗位分设、印鉴分设管理，财务处理及时、会计核算规范，符合会计管理要求。    </w:t>
      </w:r>
      <w:r>
        <w:rPr>
          <w:rFonts w:ascii="仿宋_GB2312" w:hAnsi="宋体" w:eastAsia="仿宋_GB2312"/>
          <w:color w:val="000000" w:themeColor="text1"/>
          <w:sz w:val="32"/>
          <w:szCs w:val="32"/>
          <w:lang w:val="zh-CN"/>
        </w:rPr>
        <w:t>4</w:t>
      </w:r>
      <w:r>
        <w:rPr>
          <w:rFonts w:hint="eastAsia" w:ascii="仿宋_GB2312" w:hAnsi="宋体" w:eastAsia="仿宋_GB2312"/>
          <w:color w:val="000000" w:themeColor="text1"/>
          <w:sz w:val="32"/>
          <w:szCs w:val="32"/>
          <w:lang w:val="zh-CN"/>
        </w:rPr>
        <w:t>．资金分配的原则及考虑因素。</w:t>
      </w:r>
    </w:p>
    <w:p>
      <w:pPr>
        <w:adjustRightInd w:val="0"/>
        <w:snapToGrid w:val="0"/>
        <w:spacing w:line="600" w:lineRule="exact"/>
        <w:ind w:firstLine="720"/>
        <w:rPr>
          <w:rFonts w:ascii="仿宋_GB2312" w:hAnsi="宋体" w:eastAsia="仿宋_GB2312"/>
          <w:color w:val="548DD4" w:themeColor="text2" w:themeTint="99"/>
          <w:sz w:val="32"/>
          <w:szCs w:val="32"/>
          <w:lang w:val="zh-CN"/>
        </w:rPr>
      </w:pPr>
      <w:r>
        <w:rPr>
          <w:rFonts w:hint="eastAsia" w:ascii="仿宋_GB2312" w:hAnsi="宋体" w:eastAsia="仿宋_GB2312" w:cs="宋体"/>
          <w:color w:val="000000"/>
          <w:kern w:val="0"/>
          <w:sz w:val="32"/>
          <w:szCs w:val="32"/>
          <w:shd w:val="clear" w:color="auto" w:fill="FFFFFF"/>
          <w:lang w:val="zh-CN"/>
        </w:rPr>
        <w:t>按照项目资金用途使用资金，做到专款专用。项目资金拨付严格审批程序，使用规范，调整支出结构，优化财政资金配置。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ascii="仿宋_GB2312" w:hAnsi="宋体" w:eastAsia="仿宋_GB2312"/>
          <w:color w:val="000000" w:themeColor="text1"/>
          <w:sz w:val="32"/>
          <w:szCs w:val="32"/>
          <w:lang w:val="zh-CN"/>
        </w:rPr>
      </w:pPr>
      <w:r>
        <w:rPr>
          <w:rFonts w:ascii="仿宋_GB2312" w:hAnsi="宋体" w:eastAsia="仿宋_GB2312"/>
          <w:color w:val="000000" w:themeColor="text1"/>
          <w:sz w:val="32"/>
          <w:szCs w:val="32"/>
          <w:lang w:val="zh-CN"/>
        </w:rPr>
        <w:t>1</w:t>
      </w:r>
      <w:r>
        <w:rPr>
          <w:rFonts w:hint="eastAsia" w:ascii="仿宋_GB2312" w:hAnsi="宋体" w:eastAsia="仿宋_GB2312"/>
          <w:color w:val="000000" w:themeColor="text1"/>
          <w:sz w:val="32"/>
          <w:szCs w:val="32"/>
          <w:lang w:val="zh-CN"/>
        </w:rPr>
        <w:t>．项目主要内容。</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仿宋_GB2312" w:eastAsia="仿宋_GB2312" w:cs="仿宋_GB2312"/>
          <w:sz w:val="32"/>
          <w:szCs w:val="32"/>
        </w:rPr>
        <w:t>画家村后侧泥石流治理工程</w:t>
      </w:r>
      <w:r>
        <w:rPr>
          <w:rFonts w:hint="eastAsia" w:ascii="仿宋_GB2312" w:hAnsi="宋体" w:eastAsia="仿宋_GB2312"/>
          <w:color w:val="000000" w:themeColor="text1"/>
          <w:sz w:val="32"/>
          <w:szCs w:val="32"/>
          <w:lang w:val="zh-CN"/>
        </w:rPr>
        <w:t>、阿斯玛幼儿园不稳定斜坡治理工程、宗科乡确登达泥石流治理工程、宗科乡卧龙泥石流治理工程、蒲西乡G21家常菜旁排危除险治理工程项目。</w:t>
      </w:r>
    </w:p>
    <w:p>
      <w:pPr>
        <w:adjustRightInd w:val="0"/>
        <w:snapToGrid w:val="0"/>
        <w:spacing w:line="600" w:lineRule="exact"/>
        <w:ind w:firstLine="720"/>
        <w:rPr>
          <w:rFonts w:ascii="仿宋_GB2312" w:hAnsi="宋体" w:eastAsia="仿宋_GB2312"/>
          <w:color w:val="000000" w:themeColor="text1"/>
          <w:sz w:val="32"/>
          <w:szCs w:val="32"/>
          <w:lang w:val="zh-CN"/>
        </w:rPr>
      </w:pPr>
      <w:r>
        <w:rPr>
          <w:rFonts w:ascii="仿宋_GB2312" w:hAnsi="宋体" w:eastAsia="仿宋_GB2312"/>
          <w:color w:val="000000" w:themeColor="text1"/>
          <w:sz w:val="32"/>
          <w:szCs w:val="32"/>
          <w:lang w:val="zh-CN"/>
        </w:rPr>
        <w:t>2</w:t>
      </w:r>
      <w:r>
        <w:rPr>
          <w:rFonts w:hint="eastAsia" w:ascii="仿宋_GB2312" w:hAnsi="宋体" w:eastAsia="仿宋_GB2312"/>
          <w:color w:val="000000" w:themeColor="text1"/>
          <w:sz w:val="32"/>
          <w:szCs w:val="32"/>
          <w:lang w:val="zh-CN"/>
        </w:rPr>
        <w:t>．项目应实现的具体绩效目标，包括目标的量化、细化情况以及项目实施进度计划等。</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通过项目实施，一是在一定程度上减少了地质灾害的发生，有效保障了人民群众生命、财产安全。二是结合地方政府实施植被恢复和水土保持工程，是治理工程与环境相协调，可有效改善当地地质环境条件，带来良好的生态环境效益。三是通过项目实施，可以极大改善硬件投资环境，吸引旅游，促进地区经济发展、社会稳定、环境优美三者良好循环，达到经济效益、社会效益和环境效益的整体改善和提高。</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3</w:t>
      </w:r>
      <w:r>
        <w:rPr>
          <w:rFonts w:hint="eastAsia" w:ascii="仿宋_GB2312" w:hAnsi="宋体" w:eastAsia="仿宋_GB2312"/>
          <w:sz w:val="32"/>
          <w:szCs w:val="32"/>
          <w:lang w:val="zh-CN"/>
        </w:rPr>
        <w:t>．项目申报内容是否与实际相符，申报目标是否</w:t>
      </w:r>
    </w:p>
    <w:p>
      <w:pPr>
        <w:adjustRightInd w:val="0"/>
        <w:snapToGrid w:val="0"/>
        <w:spacing w:line="600" w:lineRule="exact"/>
        <w:rPr>
          <w:rFonts w:ascii="仿宋_GB2312" w:hAnsi="宋体" w:eastAsia="仿宋_GB2312"/>
          <w:sz w:val="32"/>
          <w:szCs w:val="32"/>
          <w:lang w:val="zh-CN"/>
        </w:rPr>
      </w:pPr>
      <w:r>
        <w:rPr>
          <w:rFonts w:hint="eastAsia" w:ascii="仿宋_GB2312" w:hAnsi="宋体" w:eastAsia="仿宋_GB2312"/>
          <w:sz w:val="32"/>
          <w:szCs w:val="32"/>
          <w:lang w:val="zh-CN"/>
        </w:rPr>
        <w:t>合理可行。</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 xml:space="preserve"> 项目申报内容与实际相符，申报目标合理可行。</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我单位按照前期准备、自评、报告撰写三个阶段，组织实施项目绩效评价工作。</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项目资金申报、批复及预算调整等程序合情合理。</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pPr>
        <w:adjustRightInd w:val="0"/>
        <w:snapToGrid w:val="0"/>
        <w:spacing w:line="600" w:lineRule="exact"/>
        <w:ind w:firstLine="720"/>
        <w:rPr>
          <w:rFonts w:ascii="仿宋" w:hAnsi="仿宋" w:eastAsia="仿宋"/>
          <w:sz w:val="32"/>
          <w:szCs w:val="32"/>
          <w:lang w:val="zh-CN"/>
        </w:rPr>
      </w:pPr>
      <w:r>
        <w:rPr>
          <w:rFonts w:ascii="仿宋" w:hAnsi="仿宋" w:eastAsia="仿宋"/>
          <w:sz w:val="32"/>
          <w:szCs w:val="32"/>
          <w:lang w:val="zh-CN"/>
        </w:rPr>
        <w:t>1</w:t>
      </w:r>
      <w:r>
        <w:rPr>
          <w:rFonts w:hint="eastAsia" w:ascii="仿宋" w:hAnsi="仿宋" w:eastAsia="仿宋"/>
          <w:sz w:val="32"/>
          <w:szCs w:val="32"/>
          <w:lang w:val="zh-CN"/>
        </w:rPr>
        <w:t>．资金计划。</w:t>
      </w:r>
    </w:p>
    <w:p>
      <w:pPr>
        <w:adjustRightInd w:val="0"/>
        <w:snapToGrid w:val="0"/>
        <w:spacing w:line="600" w:lineRule="exact"/>
        <w:ind w:firstLine="720"/>
        <w:rPr>
          <w:rFonts w:ascii="仿宋" w:hAnsi="仿宋" w:eastAsia="仿宋"/>
          <w:sz w:val="32"/>
          <w:szCs w:val="32"/>
          <w:lang w:val="zh-CN"/>
        </w:rPr>
      </w:pPr>
      <w:r>
        <w:rPr>
          <w:rFonts w:hint="eastAsia" w:ascii="仿宋" w:hAnsi="仿宋" w:eastAsia="仿宋"/>
          <w:sz w:val="32"/>
          <w:szCs w:val="32"/>
          <w:lang w:val="zh-CN"/>
        </w:rPr>
        <w:t>资金均为财政拨款资金，无项目单位自筹、其他渠道资金。</w:t>
      </w:r>
    </w:p>
    <w:p>
      <w:pPr>
        <w:adjustRightInd w:val="0"/>
        <w:snapToGrid w:val="0"/>
        <w:spacing w:line="600" w:lineRule="exact"/>
        <w:ind w:firstLine="720"/>
        <w:rPr>
          <w:rFonts w:ascii="仿宋" w:hAnsi="仿宋" w:eastAsia="仿宋"/>
          <w:sz w:val="32"/>
          <w:szCs w:val="32"/>
          <w:lang w:val="zh-CN"/>
        </w:rPr>
      </w:pPr>
      <w:r>
        <w:rPr>
          <w:rFonts w:ascii="仿宋" w:hAnsi="仿宋" w:eastAsia="仿宋"/>
          <w:sz w:val="32"/>
          <w:szCs w:val="32"/>
          <w:lang w:val="zh-CN"/>
        </w:rPr>
        <w:t>2</w:t>
      </w:r>
      <w:r>
        <w:rPr>
          <w:rFonts w:hint="eastAsia" w:ascii="仿宋" w:hAnsi="仿宋" w:eastAsia="仿宋"/>
          <w:sz w:val="32"/>
          <w:szCs w:val="32"/>
          <w:lang w:val="zh-CN"/>
        </w:rPr>
        <w:t>．资金到位。</w:t>
      </w:r>
    </w:p>
    <w:p>
      <w:pPr>
        <w:adjustRightInd w:val="0"/>
        <w:snapToGrid w:val="0"/>
        <w:spacing w:line="600" w:lineRule="exact"/>
        <w:ind w:firstLine="720"/>
        <w:rPr>
          <w:rFonts w:ascii="仿宋" w:hAnsi="仿宋" w:eastAsia="仿宋"/>
          <w:sz w:val="32"/>
          <w:szCs w:val="32"/>
          <w:lang w:val="zh-CN"/>
        </w:rPr>
      </w:pPr>
      <w:r>
        <w:rPr>
          <w:rFonts w:hint="eastAsia" w:ascii="仿宋" w:hAnsi="仿宋" w:eastAsia="仿宋"/>
          <w:sz w:val="32"/>
          <w:szCs w:val="32"/>
          <w:lang w:val="zh-CN"/>
        </w:rPr>
        <w:t>资金全部到位，未影响项目实施。</w:t>
      </w:r>
    </w:p>
    <w:p>
      <w:pPr>
        <w:adjustRightInd w:val="0"/>
        <w:snapToGrid w:val="0"/>
        <w:spacing w:line="600" w:lineRule="exact"/>
        <w:ind w:firstLine="720"/>
        <w:rPr>
          <w:rFonts w:ascii="仿宋" w:hAnsi="仿宋" w:eastAsia="仿宋"/>
          <w:sz w:val="32"/>
          <w:szCs w:val="32"/>
          <w:lang w:val="zh-CN"/>
        </w:rPr>
      </w:pPr>
      <w:r>
        <w:rPr>
          <w:rFonts w:ascii="仿宋" w:hAnsi="仿宋" w:eastAsia="仿宋"/>
          <w:sz w:val="32"/>
          <w:szCs w:val="32"/>
          <w:lang w:val="zh-CN"/>
        </w:rPr>
        <w:t>3</w:t>
      </w:r>
      <w:r>
        <w:rPr>
          <w:rFonts w:hint="eastAsia" w:ascii="仿宋" w:hAnsi="仿宋" w:eastAsia="仿宋"/>
          <w:sz w:val="32"/>
          <w:szCs w:val="32"/>
          <w:lang w:val="zh-CN"/>
        </w:rPr>
        <w:t>．资金使用。</w:t>
      </w:r>
    </w:p>
    <w:p>
      <w:pPr>
        <w:adjustRightInd w:val="0"/>
        <w:snapToGrid w:val="0"/>
        <w:spacing w:line="600" w:lineRule="exact"/>
        <w:ind w:firstLine="720"/>
        <w:rPr>
          <w:rFonts w:ascii="仿宋" w:hAnsi="仿宋" w:eastAsia="仿宋"/>
          <w:sz w:val="32"/>
          <w:szCs w:val="32"/>
          <w:lang w:val="zh-CN"/>
        </w:rPr>
      </w:pPr>
      <w:r>
        <w:rPr>
          <w:rFonts w:hint="eastAsia" w:ascii="仿宋" w:hAnsi="仿宋" w:eastAsia="仿宋"/>
          <w:sz w:val="32"/>
          <w:szCs w:val="32"/>
          <w:lang w:val="zh-CN"/>
        </w:rPr>
        <w:t>2019年我单位项目资金共计支出3845.73万元，其中2110401-生态保护454.92万元， 2130119防灾救灾支出77.94万元，2130199其他农业支出62.5万元，2130599-其他扶贫支出310.80万元，2200104-自然资源规划及管理支出3.22万元，2200105-土地资源调查支出519.68万元，2200199-其他自然资源事务支出219.95万元，2299901-其他支出2196.43万元。所有项目资金使用安全、规范、有效。资金支付合规合法并且基本与预算相符。</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我单位各项目实施单位财务管理制度健全，严格执行财务管理制度，账务处理及时，会计核算规范。</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结合项目组织实施管理办法，重点围绕以下内容进行分析评价，并对自评中发现的问题分析说明。</w:t>
      </w:r>
    </w:p>
    <w:p>
      <w:pPr>
        <w:numPr>
          <w:ilvl w:val="0"/>
          <w:numId w:val="4"/>
        </w:numPr>
        <w:adjustRightInd w:val="0"/>
        <w:snapToGrid w:val="0"/>
        <w:spacing w:line="600" w:lineRule="exact"/>
        <w:rPr>
          <w:rFonts w:ascii="楷体_GB2312" w:hAnsi="宋体" w:eastAsia="楷体_GB2312"/>
          <w:b/>
          <w:sz w:val="32"/>
          <w:szCs w:val="32"/>
          <w:lang w:val="zh-CN"/>
        </w:rPr>
      </w:pPr>
      <w:r>
        <w:rPr>
          <w:rFonts w:hint="eastAsia" w:ascii="楷体_GB2312" w:hAnsi="宋体" w:eastAsia="楷体_GB2312"/>
          <w:b/>
          <w:sz w:val="32"/>
          <w:szCs w:val="32"/>
          <w:lang w:val="zh-CN"/>
        </w:rPr>
        <w:t>项目组织架构及实施流程。</w:t>
      </w:r>
    </w:p>
    <w:p>
      <w:pPr>
        <w:adjustRightInd w:val="0"/>
        <w:snapToGrid w:val="0"/>
        <w:ind w:firstLine="787" w:firstLineChars="246"/>
        <w:rPr>
          <w:rFonts w:ascii="仿宋" w:hAnsi="仿宋" w:eastAsia="仿宋"/>
          <w:sz w:val="32"/>
          <w:szCs w:val="32"/>
          <w:lang w:val="zh-CN"/>
        </w:rPr>
      </w:pPr>
      <w:r>
        <w:rPr>
          <w:rFonts w:hint="eastAsia" w:ascii="仿宋" w:hAnsi="仿宋" w:eastAsia="仿宋"/>
          <w:sz w:val="32"/>
          <w:szCs w:val="32"/>
          <w:lang w:val="zh-CN"/>
        </w:rPr>
        <w:t>流程：</w:t>
      </w:r>
    </w:p>
    <w:p>
      <w:pPr>
        <w:pStyle w:val="12"/>
        <w:shd w:val="clear" w:color="auto" w:fill="FFFFFF"/>
        <w:spacing w:before="0" w:beforeAutospacing="0" w:after="240" w:afterAutospacing="0" w:line="600" w:lineRule="exact"/>
        <w:rPr>
          <w:rFonts w:ascii="仿宋" w:hAnsi="仿宋" w:eastAsia="仿宋"/>
          <w:sz w:val="32"/>
          <w:szCs w:val="32"/>
          <w:lang w:val="zh-CN"/>
        </w:rPr>
      </w:pPr>
      <w:r>
        <w:rPr>
          <w:rFonts w:hint="eastAsia" w:ascii="仿宋" w:hAnsi="仿宋" w:eastAsia="仿宋"/>
          <w:sz w:val="32"/>
          <w:szCs w:val="32"/>
          <w:lang w:val="zh-CN"/>
        </w:rPr>
        <w:t>1.立项：</w:t>
      </w:r>
      <w:r>
        <w:rPr>
          <w:rFonts w:hint="eastAsia" w:ascii="仿宋" w:hAnsi="仿宋" w:eastAsia="仿宋"/>
          <w:color w:val="333333"/>
          <w:spacing w:val="8"/>
          <w:sz w:val="32"/>
          <w:szCs w:val="32"/>
        </w:rPr>
        <w:t>（1）项目建议书；（2）规划、选址意见书，用地审批；（3）立项；（4）可行性研究，初步勘察和初步设计。2.规划与设计：（1）用地规划许可、用地审批、提出详细规划方案；（2）详细地质勘察、施工图设计；（3）施工图审查；（4）工程规划许可。</w:t>
      </w:r>
      <w:r>
        <w:rPr>
          <w:rFonts w:hint="eastAsia" w:ascii="仿宋" w:hAnsi="仿宋" w:eastAsia="仿宋"/>
          <w:bCs/>
          <w:color w:val="333333"/>
          <w:spacing w:val="8"/>
          <w:sz w:val="32"/>
          <w:szCs w:val="32"/>
        </w:rPr>
        <w:t>3.</w:t>
      </w:r>
      <w:r>
        <w:rPr>
          <w:rFonts w:hint="eastAsia" w:ascii="仿宋" w:hAnsi="仿宋" w:eastAsia="仿宋"/>
          <w:color w:val="333333"/>
          <w:spacing w:val="8"/>
          <w:sz w:val="32"/>
          <w:szCs w:val="32"/>
        </w:rPr>
        <w:t>招投标：（1）编制招标文件和清单、控制价，进行招前审计；（2）组织招投标；（3）标前约谈；（4）签订施工合同。</w:t>
      </w:r>
      <w:r>
        <w:rPr>
          <w:rFonts w:hint="eastAsia" w:ascii="仿宋" w:hAnsi="仿宋" w:eastAsia="仿宋"/>
          <w:bCs/>
          <w:color w:val="333333"/>
          <w:spacing w:val="8"/>
          <w:sz w:val="32"/>
          <w:szCs w:val="32"/>
        </w:rPr>
        <w:t>4.</w:t>
      </w:r>
      <w:r>
        <w:rPr>
          <w:rFonts w:hint="eastAsia" w:ascii="仿宋" w:hAnsi="仿宋" w:eastAsia="仿宋"/>
          <w:color w:val="333333"/>
          <w:spacing w:val="8"/>
          <w:sz w:val="32"/>
          <w:szCs w:val="32"/>
        </w:rPr>
        <w:t>施工：（1）办理施工许可证、建设项目放验线等有关手续；（2）组织施工队伍进场；（3）施工设计图纸技术交底；（4）委托工程监理；（5）严格变更签证、按图施工。</w:t>
      </w:r>
      <w:r>
        <w:rPr>
          <w:rFonts w:hint="eastAsia" w:ascii="仿宋" w:hAnsi="仿宋" w:eastAsia="仿宋"/>
          <w:sz w:val="32"/>
          <w:szCs w:val="32"/>
        </w:rPr>
        <w:t>5.竣工：（1）规划核实；（2）竣工验收、备案。</w:t>
      </w:r>
      <w:r>
        <w:rPr>
          <w:rFonts w:hint="eastAsia" w:ascii="仿宋" w:hAnsi="仿宋" w:eastAsia="仿宋"/>
          <w:bCs/>
          <w:sz w:val="32"/>
          <w:szCs w:val="32"/>
        </w:rPr>
        <w:t>6.</w:t>
      </w:r>
      <w:r>
        <w:rPr>
          <w:rFonts w:hint="eastAsia" w:ascii="仿宋" w:hAnsi="仿宋" w:eastAsia="仿宋"/>
          <w:sz w:val="32"/>
          <w:szCs w:val="32"/>
        </w:rPr>
        <w:t>结算审计：（1）结算审计；（2）项目检查；（3）项目移交和后评价。</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（二）项目管理情况。</w:t>
      </w:r>
    </w:p>
    <w:p>
      <w:pPr>
        <w:adjustRightInd w:val="0"/>
        <w:snapToGrid w:val="0"/>
        <w:spacing w:line="600" w:lineRule="exact"/>
        <w:ind w:firstLine="720"/>
        <w:rPr>
          <w:rFonts w:ascii="仿宋" w:hAnsi="仿宋" w:eastAsia="仿宋"/>
          <w:sz w:val="32"/>
          <w:szCs w:val="32"/>
          <w:lang w:val="zh-CN"/>
        </w:rPr>
      </w:pPr>
      <w:r>
        <w:rPr>
          <w:rFonts w:hint="eastAsia" w:ascii="仿宋" w:hAnsi="仿宋" w:eastAsia="仿宋"/>
          <w:sz w:val="32"/>
          <w:szCs w:val="32"/>
          <w:lang w:val="zh-CN"/>
        </w:rPr>
        <w:t>2019年我单位严格执行国家及相关部门有关项目建设管理的规定，加强项目建设的审核控制，对所有项目的预算、竣工决算等，均确认工程清单，送部门审核，并由其出具审核意见后按程序报账。实施工程项目质量控制，严格只想项目招投标制、工程建设监理制和工程合同管理制，确保工程项目质量达标。</w:t>
      </w:r>
    </w:p>
    <w:p>
      <w:pPr>
        <w:numPr>
          <w:ilvl w:val="0"/>
          <w:numId w:val="4"/>
        </w:numPr>
        <w:adjustRightInd w:val="0"/>
        <w:snapToGrid w:val="0"/>
        <w:spacing w:line="600" w:lineRule="exact"/>
        <w:rPr>
          <w:rFonts w:ascii="楷体_GB2312" w:hAnsi="宋体" w:eastAsia="楷体_GB2312"/>
          <w:b/>
          <w:sz w:val="32"/>
          <w:szCs w:val="32"/>
          <w:lang w:val="zh-CN"/>
        </w:rPr>
      </w:pPr>
      <w:r>
        <w:rPr>
          <w:rFonts w:hint="eastAsia" w:ascii="楷体_GB2312" w:hAnsi="宋体" w:eastAsia="楷体_GB2312"/>
          <w:b/>
          <w:sz w:val="32"/>
          <w:szCs w:val="32"/>
          <w:lang w:val="zh-CN"/>
        </w:rPr>
        <w:t>项目监管情况。</w:t>
      </w:r>
    </w:p>
    <w:p>
      <w:pPr>
        <w:pStyle w:val="12"/>
        <w:shd w:val="clear" w:color="auto" w:fill="FFFFFF"/>
        <w:spacing w:before="151" w:beforeAutospacing="0" w:after="432" w:afterAutospacing="0"/>
        <w:ind w:firstLine="640" w:firstLineChars="200"/>
        <w:rPr>
          <w:rFonts w:ascii="仿宋" w:hAnsi="仿宋" w:eastAsia="仿宋" w:cs="Arial"/>
          <w:color w:val="191919"/>
          <w:sz w:val="32"/>
          <w:szCs w:val="32"/>
        </w:rPr>
      </w:pPr>
      <w:r>
        <w:rPr>
          <w:rFonts w:ascii="仿宋" w:hAnsi="仿宋" w:eastAsia="仿宋" w:cs="Arial"/>
          <w:color w:val="191919"/>
          <w:sz w:val="32"/>
          <w:szCs w:val="32"/>
        </w:rPr>
        <w:t>为充分发挥</w:t>
      </w:r>
      <w:r>
        <w:rPr>
          <w:rFonts w:hint="eastAsia" w:ascii="仿宋" w:hAnsi="仿宋" w:eastAsia="仿宋" w:cs="Arial"/>
          <w:color w:val="191919"/>
          <w:sz w:val="32"/>
          <w:szCs w:val="32"/>
        </w:rPr>
        <w:t>项目主管部门</w:t>
      </w:r>
      <w:r>
        <w:rPr>
          <w:rFonts w:ascii="仿宋" w:hAnsi="仿宋" w:eastAsia="仿宋" w:cs="Arial"/>
          <w:color w:val="191919"/>
          <w:sz w:val="32"/>
          <w:szCs w:val="32"/>
        </w:rPr>
        <w:t>职能作用，不断加强政府投资项目资金使用过程的监督管理，针对监督管理过程中易出现的问题，</w:t>
      </w:r>
      <w:r>
        <w:rPr>
          <w:rFonts w:hint="eastAsia" w:ascii="仿宋" w:hAnsi="仿宋" w:eastAsia="仿宋" w:cs="Arial"/>
          <w:color w:val="191919"/>
          <w:sz w:val="32"/>
          <w:szCs w:val="32"/>
        </w:rPr>
        <w:t>我单位</w:t>
      </w:r>
      <w:r>
        <w:rPr>
          <w:rFonts w:ascii="仿宋" w:hAnsi="仿宋" w:eastAsia="仿宋" w:cs="Arial"/>
          <w:color w:val="191919"/>
          <w:sz w:val="32"/>
          <w:szCs w:val="32"/>
        </w:rPr>
        <w:t>通过加强事前审核、建立提醒和告知机制等措施不断完善监督方式，督促项目单位完善资金支出手续，避免违规问题发生</w:t>
      </w:r>
      <w:r>
        <w:rPr>
          <w:rFonts w:hint="eastAsia" w:ascii="仿宋" w:hAnsi="仿宋" w:eastAsia="仿宋" w:cs="Arial"/>
          <w:color w:val="191919"/>
          <w:sz w:val="32"/>
          <w:szCs w:val="32"/>
        </w:rPr>
        <w:t>，</w:t>
      </w:r>
      <w:r>
        <w:rPr>
          <w:rFonts w:ascii="仿宋" w:hAnsi="仿宋" w:eastAsia="仿宋" w:cs="Arial"/>
          <w:color w:val="191919"/>
          <w:sz w:val="32"/>
          <w:szCs w:val="32"/>
        </w:rPr>
        <w:t>确保</w:t>
      </w:r>
      <w:r>
        <w:rPr>
          <w:rFonts w:hint="eastAsia" w:ascii="仿宋" w:hAnsi="仿宋" w:eastAsia="仿宋" w:cs="Arial"/>
          <w:color w:val="191919"/>
          <w:sz w:val="32"/>
          <w:szCs w:val="32"/>
        </w:rPr>
        <w:t>项目</w:t>
      </w:r>
      <w:r>
        <w:rPr>
          <w:rFonts w:ascii="仿宋" w:hAnsi="仿宋" w:eastAsia="仿宋" w:cs="Arial"/>
          <w:color w:val="191919"/>
          <w:sz w:val="32"/>
          <w:szCs w:val="32"/>
        </w:rPr>
        <w:t>资金安全、高效运行。</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600" w:lineRule="exact"/>
        <w:ind w:firstLine="720"/>
        <w:rPr>
          <w:rFonts w:ascii="仿宋" w:hAnsi="仿宋" w:eastAsia="仿宋"/>
          <w:sz w:val="32"/>
          <w:szCs w:val="32"/>
          <w:lang w:val="zh-CN"/>
        </w:rPr>
      </w:pPr>
      <w:r>
        <w:rPr>
          <w:rFonts w:hint="eastAsia" w:ascii="仿宋" w:hAnsi="仿宋" w:eastAsia="仿宋"/>
          <w:sz w:val="32"/>
          <w:szCs w:val="32"/>
          <w:lang w:val="zh-CN"/>
        </w:rPr>
        <w:t>2019年我单位完成地质灾害项目共计5项，在计划时间内保质保量完成。</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sz w:val="32"/>
          <w:szCs w:val="32"/>
          <w:lang w:val="zh-CN"/>
        </w:rPr>
        <w:t>社会效益：</w:t>
      </w:r>
      <w:r>
        <w:rPr>
          <w:rFonts w:hint="eastAsia" w:ascii="仿宋_GB2312" w:hAnsi="宋体" w:eastAsia="仿宋_GB2312"/>
          <w:color w:val="000000" w:themeColor="text1"/>
          <w:sz w:val="32"/>
          <w:szCs w:val="32"/>
          <w:lang w:val="zh-CN"/>
        </w:rPr>
        <w:t>有效保障了人民群众生命、财产安全，方便了当地群众生产生活。带来良好的社会效益。</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sz w:val="32"/>
          <w:szCs w:val="32"/>
          <w:lang w:val="zh-CN"/>
        </w:rPr>
        <w:t>生态效益：</w:t>
      </w:r>
      <w:r>
        <w:rPr>
          <w:rFonts w:hint="eastAsia" w:ascii="仿宋_GB2312" w:hAnsi="宋体" w:eastAsia="仿宋_GB2312"/>
          <w:color w:val="000000" w:themeColor="text1"/>
          <w:sz w:val="32"/>
          <w:szCs w:val="32"/>
          <w:lang w:val="zh-CN"/>
        </w:rPr>
        <w:t>结合地方政府实施植被恢复和水土保持工程，是治理工程与环境相协调，可有效改善当地地质环境条件，带来良好的生态环境效益。</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经济效益：可以极大改善硬件投资环境，吸引旅游，促进地区经济发展</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可持续效益：通过项目实施社会稳定、环境优美两者良好循环，达到经济效益、社会效益和环境效益的整体改善和提高。</w:t>
      </w:r>
    </w:p>
    <w:p>
      <w:pPr>
        <w:adjustRightInd w:val="0"/>
        <w:snapToGrid w:val="0"/>
        <w:spacing w:line="600" w:lineRule="exact"/>
        <w:rPr>
          <w:rFonts w:ascii="仿宋_GB2312" w:hAnsi="宋体" w:eastAsia="仿宋_GB2312"/>
          <w:sz w:val="32"/>
          <w:szCs w:val="32"/>
          <w:lang w:val="zh-CN"/>
        </w:rPr>
      </w:pPr>
      <w:r>
        <w:rPr>
          <w:rFonts w:hint="eastAsia" w:ascii="仿宋_GB2312" w:hAnsi="宋体" w:eastAsia="仿宋_GB2312"/>
          <w:sz w:val="32"/>
          <w:szCs w:val="32"/>
          <w:lang w:val="zh-CN"/>
        </w:rPr>
        <w:t xml:space="preserve">     满意度：群众对已经实施的各项项目均表示“十分满意”。</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adjustRightInd w:val="0"/>
        <w:snapToGrid w:val="0"/>
        <w:spacing w:line="600" w:lineRule="exact"/>
        <w:ind w:firstLine="720"/>
        <w:rPr>
          <w:rFonts w:ascii="仿宋" w:hAnsi="仿宋" w:eastAsia="仿宋"/>
          <w:b/>
          <w:sz w:val="32"/>
          <w:szCs w:val="32"/>
          <w:lang w:val="zh-CN"/>
        </w:rPr>
      </w:pPr>
      <w:r>
        <w:rPr>
          <w:rFonts w:ascii="仿宋" w:hAnsi="仿宋" w:eastAsia="仿宋" w:cs="Arial"/>
          <w:color w:val="333333"/>
          <w:sz w:val="32"/>
          <w:szCs w:val="32"/>
        </w:rPr>
        <w:t>项目通过了政府及相关部门的审批，依据充分，绩效目标比较明确。制定了项目实施方案，在项目实施过程中执行了相关政策规定，项目的立项审批、采购方式、合同签订、完工验收、资金拨付等资料完整，且未发现不符合政策要求的情况。</w:t>
      </w:r>
      <w:r>
        <w:rPr>
          <w:rFonts w:hint="eastAsia" w:ascii="仿宋" w:hAnsi="仿宋" w:eastAsia="仿宋" w:cs="Arial"/>
          <w:color w:val="333333"/>
          <w:sz w:val="32"/>
          <w:szCs w:val="32"/>
        </w:rPr>
        <w:t>经</w:t>
      </w:r>
      <w:r>
        <w:rPr>
          <w:rFonts w:ascii="仿宋" w:hAnsi="仿宋" w:eastAsia="仿宋" w:cs="Arial"/>
          <w:color w:val="333333"/>
          <w:sz w:val="32"/>
          <w:szCs w:val="32"/>
        </w:rPr>
        <w:t>综合评价，项目绩效</w:t>
      </w:r>
      <w:r>
        <w:rPr>
          <w:rFonts w:hint="eastAsia" w:ascii="仿宋" w:hAnsi="仿宋" w:eastAsia="仿宋" w:cs="Arial"/>
          <w:color w:val="333333"/>
          <w:sz w:val="32"/>
          <w:szCs w:val="32"/>
        </w:rPr>
        <w:t>完成情况良好</w:t>
      </w:r>
      <w:r>
        <w:rPr>
          <w:rFonts w:ascii="仿宋" w:hAnsi="仿宋" w:eastAsia="仿宋" w:cs="Arial"/>
          <w:color w:val="333333"/>
          <w:sz w:val="32"/>
          <w:szCs w:val="32"/>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资金分配待优化。</w:t>
      </w:r>
      <w:r>
        <w:rPr>
          <w:rFonts w:ascii="仿宋_GB2312" w:hAnsi="宋体" w:eastAsia="仿宋_GB2312"/>
          <w:sz w:val="32"/>
          <w:szCs w:val="32"/>
          <w:lang w:val="zh-CN"/>
        </w:rPr>
        <w:tab/>
      </w:r>
    </w:p>
    <w:p>
      <w:pPr>
        <w:numPr>
          <w:ilvl w:val="0"/>
          <w:numId w:val="4"/>
        </w:numPr>
        <w:adjustRightInd w:val="0"/>
        <w:snapToGrid w:val="0"/>
        <w:spacing w:line="600" w:lineRule="exact"/>
        <w:rPr>
          <w:rFonts w:ascii="仿宋" w:hAnsi="仿宋" w:eastAsia="仿宋"/>
          <w:b/>
          <w:color w:val="000000"/>
          <w:sz w:val="32"/>
          <w:szCs w:val="32"/>
        </w:rPr>
      </w:pPr>
      <w:r>
        <w:rPr>
          <w:rFonts w:hint="eastAsia" w:ascii="楷体_GB2312" w:hAnsi="宋体" w:eastAsia="楷体_GB2312"/>
          <w:b/>
          <w:sz w:val="32"/>
          <w:szCs w:val="32"/>
          <w:lang w:val="zh-CN"/>
        </w:rPr>
        <w:t>相关建议。</w:t>
      </w:r>
    </w:p>
    <w:p>
      <w:pPr>
        <w:adjustRightInd w:val="0"/>
        <w:snapToGrid w:val="0"/>
        <w:spacing w:line="600" w:lineRule="exact"/>
        <w:ind w:left="720"/>
        <w:rPr>
          <w:rFonts w:ascii="仿宋" w:hAnsi="仿宋" w:eastAsia="仿宋"/>
          <w:sz w:val="32"/>
          <w:szCs w:val="32"/>
          <w:lang w:val="zh-CN"/>
        </w:rPr>
      </w:pPr>
      <w:r>
        <w:rPr>
          <w:rFonts w:hint="eastAsia" w:ascii="仿宋" w:hAnsi="仿宋" w:eastAsia="仿宋"/>
          <w:color w:val="000000"/>
          <w:sz w:val="32"/>
          <w:szCs w:val="32"/>
        </w:rPr>
        <w:t>优化资金分配，提高使用效益</w:t>
      </w:r>
    </w:p>
    <w:p>
      <w:pPr>
        <w:pStyle w:val="31"/>
        <w:shd w:val="clear" w:color="auto" w:fill="FFFFFF"/>
        <w:spacing w:before="0" w:beforeAutospacing="0" w:after="0" w:afterAutospacing="0" w:line="3735" w:lineRule="atLeast"/>
        <w:rPr>
          <w:rFonts w:ascii="仿宋" w:hAnsi="仿宋" w:eastAsia="仿宋"/>
          <w:color w:val="000000"/>
          <w:sz w:val="32"/>
          <w:szCs w:val="32"/>
        </w:rPr>
      </w:pPr>
      <w:r>
        <w:rPr>
          <w:rFonts w:ascii="仿宋" w:eastAsia="仿宋"/>
          <w:color w:val="000000"/>
          <w:sz w:val="32"/>
          <w:szCs w:val="32"/>
        </w:rPr>
        <w:t> </w:t>
      </w:r>
    </w:p>
    <w:p>
      <w:pPr>
        <w:spacing w:line="580" w:lineRule="exact"/>
        <w:ind w:firstLine="640"/>
        <w:rPr>
          <w:rFonts w:ascii="仿宋" w:hAnsi="仿宋" w:eastAsia="仿宋" w:cs="仿宋_GB2312"/>
          <w:sz w:val="32"/>
          <w:szCs w:val="32"/>
        </w:rPr>
      </w:pPr>
    </w:p>
    <w:p>
      <w:pPr>
        <w:spacing w:line="580" w:lineRule="exact"/>
        <w:ind w:firstLine="640"/>
        <w:rPr>
          <w:rFonts w:ascii="仿宋" w:hAnsi="仿宋" w:eastAsia="仿宋" w:cs="仿宋_GB2312"/>
          <w:sz w:val="32"/>
          <w:szCs w:val="32"/>
        </w:rPr>
      </w:pPr>
    </w:p>
    <w:p>
      <w:pPr>
        <w:widowControl/>
        <w:jc w:val="left"/>
        <w:rPr>
          <w:rStyle w:val="17"/>
          <w:rFonts w:ascii="仿宋" w:hAnsi="仿宋" w:eastAsia="仿宋"/>
          <w:b w:val="0"/>
          <w:sz w:val="32"/>
          <w:szCs w:val="32"/>
        </w:rPr>
      </w:pPr>
    </w:p>
    <w:p>
      <w:pPr>
        <w:widowControl/>
        <w:jc w:val="left"/>
        <w:rPr>
          <w:rStyle w:val="17"/>
          <w:rFonts w:ascii="黑体" w:hAnsi="黑体" w:eastAsia="黑体"/>
          <w:b w:val="0"/>
        </w:rPr>
      </w:pPr>
      <w:r>
        <w:rPr>
          <w:rStyle w:val="17"/>
          <w:rFonts w:ascii="黑体" w:hAnsi="黑体" w:eastAsia="黑体"/>
          <w:b w:val="0"/>
        </w:rPr>
        <w:br w:type="page"/>
      </w:r>
    </w:p>
    <w:p>
      <w:pPr>
        <w:spacing w:line="600" w:lineRule="exact"/>
        <w:jc w:val="center"/>
        <w:outlineLvl w:val="0"/>
        <w:rPr>
          <w:rStyle w:val="17"/>
          <w:rFonts w:ascii="黑体" w:hAnsi="黑体" w:eastAsia="黑体"/>
          <w:b w:val="0"/>
        </w:rPr>
      </w:pPr>
    </w:p>
    <w:p>
      <w:pPr>
        <w:spacing w:line="600" w:lineRule="exact"/>
        <w:jc w:val="center"/>
        <w:outlineLvl w:val="0"/>
        <w:rPr>
          <w:rStyle w:val="17"/>
          <w:rFonts w:ascii="黑体" w:hAnsi="黑体" w:eastAsia="黑体"/>
          <w:b w:val="0"/>
        </w:rPr>
      </w:pPr>
      <w:bookmarkStart w:id="57" w:name="_Toc15396618"/>
      <w:r>
        <w:rPr>
          <w:rFonts w:hint="eastAsia" w:ascii="黑体" w:hAnsi="黑体" w:eastAsia="黑体"/>
          <w:color w:val="000000"/>
          <w:sz w:val="44"/>
          <w:szCs w:val="44"/>
        </w:rPr>
        <w:t>第</w:t>
      </w:r>
      <w:r>
        <w:rPr>
          <w:rStyle w:val="17"/>
          <w:rFonts w:hint="eastAsia" w:ascii="黑体" w:hAnsi="黑体" w:eastAsia="黑体"/>
          <w:b w:val="0"/>
        </w:rPr>
        <w:t>五部分附表</w:t>
      </w:r>
      <w:bookmarkEnd w:id="56"/>
      <w:bookmarkEnd w:id="57"/>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58" w:name="_Toc15396619"/>
      <w:r>
        <w:rPr>
          <w:rFonts w:hint="eastAsia" w:ascii="仿宋" w:hAnsi="仿宋" w:eastAsia="仿宋"/>
          <w:b w:val="0"/>
          <w:color w:val="000000"/>
        </w:rPr>
        <w:t>一、收</w:t>
      </w:r>
      <w:r>
        <w:rPr>
          <w:rStyle w:val="18"/>
          <w:rFonts w:hint="eastAsia" w:ascii="仿宋" w:hAnsi="仿宋" w:eastAsia="仿宋"/>
          <w:b w:val="0"/>
          <w:bCs w:val="0"/>
        </w:rPr>
        <w:t>入支出决算总表</w:t>
      </w:r>
      <w:bookmarkEnd w:id="58"/>
    </w:p>
    <w:p>
      <w:pPr>
        <w:pStyle w:val="3"/>
        <w:rPr>
          <w:rFonts w:ascii="仿宋" w:hAnsi="仿宋" w:eastAsia="仿宋"/>
          <w:color w:val="000000"/>
        </w:rPr>
      </w:pPr>
      <w:bookmarkStart w:id="59" w:name="_Toc15396620"/>
      <w:r>
        <w:rPr>
          <w:rFonts w:hint="eastAsia" w:ascii="仿宋" w:hAnsi="仿宋" w:eastAsia="仿宋"/>
          <w:b w:val="0"/>
          <w:color w:val="000000"/>
        </w:rPr>
        <w:t>二、收</w:t>
      </w:r>
      <w:r>
        <w:rPr>
          <w:rStyle w:val="18"/>
          <w:rFonts w:hint="eastAsia" w:ascii="仿宋" w:hAnsi="仿宋" w:eastAsia="仿宋"/>
          <w:b w:val="0"/>
          <w:bCs w:val="0"/>
        </w:rPr>
        <w:t>入决算表</w:t>
      </w:r>
      <w:bookmarkEnd w:id="59"/>
    </w:p>
    <w:p>
      <w:pPr>
        <w:pStyle w:val="3"/>
        <w:rPr>
          <w:rFonts w:ascii="仿宋" w:hAnsi="仿宋" w:eastAsia="仿宋"/>
          <w:color w:val="000000"/>
        </w:rPr>
      </w:pPr>
      <w:bookmarkStart w:id="60" w:name="_Toc15396621"/>
      <w:r>
        <w:rPr>
          <w:rStyle w:val="18"/>
          <w:rFonts w:hint="eastAsia" w:ascii="仿宋" w:hAnsi="仿宋" w:eastAsia="仿宋"/>
          <w:b w:val="0"/>
          <w:bCs w:val="0"/>
        </w:rPr>
        <w:t>三、</w:t>
      </w:r>
      <w:r>
        <w:rPr>
          <w:rFonts w:hint="eastAsia" w:ascii="仿宋" w:hAnsi="仿宋" w:eastAsia="仿宋"/>
          <w:b w:val="0"/>
          <w:color w:val="000000"/>
        </w:rPr>
        <w:t>支</w:t>
      </w:r>
      <w:r>
        <w:rPr>
          <w:rStyle w:val="18"/>
          <w:rFonts w:hint="eastAsia" w:ascii="仿宋" w:hAnsi="仿宋" w:eastAsia="仿宋"/>
          <w:b w:val="0"/>
          <w:bCs w:val="0"/>
        </w:rPr>
        <w:t>出决算表</w:t>
      </w:r>
      <w:bookmarkEnd w:id="60"/>
    </w:p>
    <w:p>
      <w:pPr>
        <w:pStyle w:val="3"/>
        <w:rPr>
          <w:rFonts w:ascii="仿宋" w:hAnsi="仿宋" w:eastAsia="仿宋"/>
          <w:b w:val="0"/>
          <w:color w:val="000000"/>
        </w:rPr>
      </w:pPr>
      <w:bookmarkStart w:id="61" w:name="_Toc15396622"/>
      <w:r>
        <w:rPr>
          <w:rStyle w:val="18"/>
          <w:rFonts w:hint="eastAsia" w:ascii="仿宋" w:hAnsi="仿宋" w:eastAsia="仿宋"/>
          <w:b w:val="0"/>
          <w:bCs w:val="0"/>
        </w:rPr>
        <w:t>四、</w:t>
      </w:r>
      <w:r>
        <w:rPr>
          <w:rFonts w:hint="eastAsia" w:ascii="仿宋" w:hAnsi="仿宋" w:eastAsia="仿宋"/>
          <w:b w:val="0"/>
          <w:color w:val="000000"/>
        </w:rPr>
        <w:t>财</w:t>
      </w:r>
      <w:r>
        <w:rPr>
          <w:rStyle w:val="18"/>
          <w:rFonts w:hint="eastAsia" w:ascii="仿宋" w:hAnsi="仿宋" w:eastAsia="仿宋"/>
          <w:b w:val="0"/>
          <w:bCs w:val="0"/>
        </w:rPr>
        <w:t>政拨款收入支出决算总表</w:t>
      </w:r>
      <w:bookmarkEnd w:id="61"/>
    </w:p>
    <w:p>
      <w:pPr>
        <w:pStyle w:val="3"/>
        <w:rPr>
          <w:rStyle w:val="18"/>
          <w:rFonts w:ascii="仿宋" w:hAnsi="仿宋" w:eastAsia="仿宋"/>
          <w:b w:val="0"/>
          <w:bCs w:val="0"/>
        </w:rPr>
      </w:pPr>
      <w:bookmarkStart w:id="62" w:name="_Toc15396623"/>
      <w:r>
        <w:rPr>
          <w:rStyle w:val="18"/>
          <w:rFonts w:hint="eastAsia" w:ascii="仿宋" w:hAnsi="仿宋" w:eastAsia="仿宋"/>
          <w:b w:val="0"/>
          <w:bCs w:val="0"/>
        </w:rPr>
        <w:t>五、</w:t>
      </w:r>
      <w:r>
        <w:rPr>
          <w:rFonts w:hint="eastAsia" w:ascii="仿宋" w:hAnsi="仿宋" w:eastAsia="仿宋"/>
          <w:b w:val="0"/>
          <w:color w:val="000000"/>
        </w:rPr>
        <w:t>财</w:t>
      </w:r>
      <w:r>
        <w:rPr>
          <w:rStyle w:val="18"/>
          <w:rFonts w:hint="eastAsia" w:ascii="仿宋" w:hAnsi="仿宋" w:eastAsia="仿宋"/>
          <w:b w:val="0"/>
          <w:bCs w:val="0"/>
        </w:rPr>
        <w:t>政拨款支出决算明细表</w:t>
      </w:r>
      <w:bookmarkEnd w:id="62"/>
      <w:bookmarkStart w:id="63" w:name="_Toc15396624"/>
    </w:p>
    <w:p>
      <w:pPr>
        <w:pStyle w:val="3"/>
        <w:rPr>
          <w:rFonts w:ascii="仿宋" w:hAnsi="仿宋" w:eastAsia="仿宋"/>
          <w:color w:val="000000"/>
        </w:rPr>
      </w:pPr>
      <w:r>
        <w:rPr>
          <w:rStyle w:val="18"/>
          <w:rFonts w:hint="eastAsia" w:ascii="仿宋" w:hAnsi="仿宋" w:eastAsia="仿宋"/>
          <w:b w:val="0"/>
          <w:bCs w:val="0"/>
        </w:rPr>
        <w:t>六、</w:t>
      </w:r>
      <w:r>
        <w:rPr>
          <w:rFonts w:hint="eastAsia" w:ascii="仿宋" w:hAnsi="仿宋" w:eastAsia="仿宋"/>
          <w:b w:val="0"/>
          <w:color w:val="000000"/>
        </w:rPr>
        <w:t>一</w:t>
      </w:r>
      <w:r>
        <w:rPr>
          <w:rStyle w:val="18"/>
          <w:rFonts w:hint="eastAsia" w:ascii="仿宋" w:hAnsi="仿宋" w:eastAsia="仿宋"/>
          <w:b w:val="0"/>
          <w:bCs w:val="0"/>
        </w:rPr>
        <w:t>般公共预算财政拨款支出决算表</w:t>
      </w:r>
      <w:bookmarkEnd w:id="63"/>
    </w:p>
    <w:p>
      <w:pPr>
        <w:pStyle w:val="3"/>
        <w:rPr>
          <w:rFonts w:ascii="仿宋" w:hAnsi="仿宋" w:eastAsia="仿宋"/>
          <w:color w:val="000000"/>
        </w:rPr>
      </w:pPr>
      <w:bookmarkStart w:id="64" w:name="_Toc15396625"/>
      <w:r>
        <w:rPr>
          <w:rStyle w:val="18"/>
          <w:rFonts w:hint="eastAsia" w:ascii="仿宋" w:hAnsi="仿宋" w:eastAsia="仿宋"/>
          <w:b w:val="0"/>
          <w:bCs w:val="0"/>
        </w:rPr>
        <w:t>七、</w:t>
      </w:r>
      <w:r>
        <w:rPr>
          <w:rFonts w:hint="eastAsia" w:ascii="仿宋" w:hAnsi="仿宋" w:eastAsia="仿宋"/>
          <w:b w:val="0"/>
          <w:color w:val="000000"/>
        </w:rPr>
        <w:t>一</w:t>
      </w:r>
      <w:r>
        <w:rPr>
          <w:rStyle w:val="18"/>
          <w:rFonts w:hint="eastAsia" w:ascii="仿宋" w:hAnsi="仿宋" w:eastAsia="仿宋"/>
          <w:b w:val="0"/>
          <w:bCs w:val="0"/>
        </w:rPr>
        <w:t>般公共预算财政拨款支出决算明细表</w:t>
      </w:r>
      <w:bookmarkEnd w:id="64"/>
    </w:p>
    <w:p>
      <w:pPr>
        <w:pStyle w:val="3"/>
        <w:rPr>
          <w:rFonts w:ascii="仿宋" w:hAnsi="仿宋" w:eastAsia="仿宋"/>
          <w:color w:val="000000"/>
        </w:rPr>
      </w:pPr>
      <w:bookmarkStart w:id="65" w:name="_Toc15396626"/>
      <w:r>
        <w:rPr>
          <w:rStyle w:val="18"/>
          <w:rFonts w:hint="eastAsia" w:ascii="仿宋" w:hAnsi="仿宋" w:eastAsia="仿宋"/>
          <w:b w:val="0"/>
          <w:bCs w:val="0"/>
        </w:rPr>
        <w:t>八、</w:t>
      </w:r>
      <w:r>
        <w:rPr>
          <w:rFonts w:hint="eastAsia" w:ascii="仿宋" w:hAnsi="仿宋" w:eastAsia="仿宋"/>
          <w:b w:val="0"/>
          <w:color w:val="000000"/>
        </w:rPr>
        <w:t>一</w:t>
      </w:r>
      <w:r>
        <w:rPr>
          <w:rStyle w:val="18"/>
          <w:rFonts w:hint="eastAsia" w:ascii="仿宋" w:hAnsi="仿宋" w:eastAsia="仿宋"/>
          <w:b w:val="0"/>
          <w:bCs w:val="0"/>
        </w:rPr>
        <w:t>般公共预算财政拨款基本支出决算表</w:t>
      </w:r>
      <w:bookmarkEnd w:id="65"/>
    </w:p>
    <w:p>
      <w:pPr>
        <w:pStyle w:val="3"/>
        <w:rPr>
          <w:rFonts w:ascii="仿宋" w:hAnsi="仿宋" w:eastAsia="仿宋"/>
          <w:color w:val="000000"/>
        </w:rPr>
      </w:pPr>
      <w:bookmarkStart w:id="66" w:name="_Toc15396627"/>
      <w:r>
        <w:rPr>
          <w:rStyle w:val="18"/>
          <w:rFonts w:hint="eastAsia" w:ascii="仿宋" w:hAnsi="仿宋" w:eastAsia="仿宋"/>
          <w:b w:val="0"/>
          <w:bCs w:val="0"/>
        </w:rPr>
        <w:t>九、</w:t>
      </w:r>
      <w:r>
        <w:rPr>
          <w:rFonts w:hint="eastAsia" w:ascii="仿宋" w:hAnsi="仿宋" w:eastAsia="仿宋"/>
          <w:b w:val="0"/>
          <w:color w:val="000000"/>
        </w:rPr>
        <w:t>一</w:t>
      </w:r>
      <w:r>
        <w:rPr>
          <w:rStyle w:val="18"/>
          <w:rFonts w:hint="eastAsia" w:ascii="仿宋" w:hAnsi="仿宋" w:eastAsia="仿宋"/>
          <w:b w:val="0"/>
          <w:bCs w:val="0"/>
        </w:rPr>
        <w:t>般公共预算财政拨款项目支出决算表</w:t>
      </w:r>
      <w:bookmarkEnd w:id="66"/>
    </w:p>
    <w:p>
      <w:pPr>
        <w:pStyle w:val="3"/>
        <w:rPr>
          <w:rFonts w:ascii="仿宋" w:hAnsi="仿宋" w:eastAsia="仿宋"/>
          <w:color w:val="000000"/>
        </w:rPr>
      </w:pPr>
      <w:bookmarkStart w:id="67" w:name="_Toc15396628"/>
      <w:r>
        <w:rPr>
          <w:rStyle w:val="18"/>
          <w:rFonts w:hint="eastAsia" w:ascii="仿宋" w:hAnsi="仿宋" w:eastAsia="仿宋"/>
          <w:b w:val="0"/>
          <w:bCs w:val="0"/>
        </w:rPr>
        <w:t>十、</w:t>
      </w:r>
      <w:r>
        <w:rPr>
          <w:rFonts w:hint="eastAsia" w:ascii="仿宋" w:hAnsi="仿宋" w:eastAsia="仿宋"/>
          <w:b w:val="0"/>
          <w:color w:val="000000"/>
        </w:rPr>
        <w:t>一</w:t>
      </w:r>
      <w:r>
        <w:rPr>
          <w:rStyle w:val="18"/>
          <w:rFonts w:hint="eastAsia" w:ascii="仿宋" w:hAnsi="仿宋" w:eastAsia="仿宋"/>
          <w:b w:val="0"/>
          <w:bCs w:val="0"/>
        </w:rPr>
        <w:t>般公共预算财政拨款“三公”经费支出决算表</w:t>
      </w:r>
      <w:bookmarkEnd w:id="67"/>
    </w:p>
    <w:p>
      <w:pPr>
        <w:pStyle w:val="3"/>
        <w:rPr>
          <w:rFonts w:ascii="仿宋" w:hAnsi="仿宋" w:eastAsia="仿宋"/>
          <w:color w:val="000000"/>
        </w:rPr>
      </w:pPr>
      <w:bookmarkStart w:id="68" w:name="_Toc15396629"/>
      <w:r>
        <w:rPr>
          <w:rStyle w:val="18"/>
          <w:rFonts w:hint="eastAsia" w:ascii="仿宋" w:hAnsi="仿宋" w:eastAsia="仿宋"/>
          <w:b w:val="0"/>
          <w:bCs w:val="0"/>
        </w:rPr>
        <w:t>十一、</w:t>
      </w:r>
      <w:r>
        <w:rPr>
          <w:rFonts w:hint="eastAsia" w:ascii="仿宋" w:hAnsi="仿宋" w:eastAsia="仿宋"/>
          <w:b w:val="0"/>
          <w:color w:val="000000"/>
        </w:rPr>
        <w:t>政</w:t>
      </w:r>
      <w:r>
        <w:rPr>
          <w:rStyle w:val="18"/>
          <w:rFonts w:hint="eastAsia" w:ascii="仿宋" w:hAnsi="仿宋" w:eastAsia="仿宋"/>
          <w:b w:val="0"/>
          <w:bCs w:val="0"/>
        </w:rPr>
        <w:t>府性基金预算财政拨款收入支出决算表</w:t>
      </w:r>
      <w:bookmarkEnd w:id="68"/>
    </w:p>
    <w:p>
      <w:pPr>
        <w:pStyle w:val="3"/>
        <w:rPr>
          <w:rFonts w:ascii="仿宋" w:hAnsi="仿宋" w:eastAsia="仿宋"/>
          <w:color w:val="000000"/>
        </w:rPr>
      </w:pPr>
      <w:bookmarkStart w:id="69" w:name="_Toc15396630"/>
      <w:r>
        <w:rPr>
          <w:rStyle w:val="18"/>
          <w:rFonts w:hint="eastAsia" w:ascii="仿宋" w:hAnsi="仿宋" w:eastAsia="仿宋"/>
          <w:b w:val="0"/>
          <w:bCs w:val="0"/>
        </w:rPr>
        <w:t>十二、</w:t>
      </w:r>
      <w:r>
        <w:rPr>
          <w:rFonts w:hint="eastAsia" w:ascii="仿宋" w:hAnsi="仿宋" w:eastAsia="仿宋"/>
          <w:b w:val="0"/>
          <w:color w:val="000000"/>
        </w:rPr>
        <w:t>政</w:t>
      </w:r>
      <w:r>
        <w:rPr>
          <w:rStyle w:val="18"/>
          <w:rFonts w:hint="eastAsia" w:ascii="仿宋" w:hAnsi="仿宋" w:eastAsia="仿宋"/>
          <w:b w:val="0"/>
          <w:bCs w:val="0"/>
        </w:rPr>
        <w:t>府性基金预算财政拨款“三公”经费支出决算表</w:t>
      </w:r>
      <w:bookmarkEnd w:id="69"/>
    </w:p>
    <w:p>
      <w:pPr>
        <w:pStyle w:val="3"/>
        <w:rPr>
          <w:rFonts w:ascii="仿宋" w:hAnsi="仿宋" w:eastAsia="仿宋"/>
          <w:color w:val="000000"/>
        </w:rPr>
      </w:pPr>
      <w:bookmarkStart w:id="70" w:name="_Toc15396631"/>
      <w:r>
        <w:rPr>
          <w:rStyle w:val="18"/>
          <w:rFonts w:hint="eastAsia" w:ascii="仿宋" w:hAnsi="仿宋" w:eastAsia="仿宋"/>
          <w:b w:val="0"/>
          <w:bCs w:val="0"/>
        </w:rPr>
        <w:t>十三、</w:t>
      </w:r>
      <w:r>
        <w:rPr>
          <w:rFonts w:hint="eastAsia" w:ascii="仿宋" w:hAnsi="仿宋" w:eastAsia="仿宋"/>
          <w:b w:val="0"/>
          <w:color w:val="000000"/>
        </w:rPr>
        <w:t>国</w:t>
      </w:r>
      <w:r>
        <w:rPr>
          <w:rStyle w:val="18"/>
          <w:rFonts w:hint="eastAsia" w:ascii="仿宋" w:hAnsi="仿宋" w:eastAsia="仿宋"/>
          <w:b w:val="0"/>
          <w:bCs w:val="0"/>
        </w:rPr>
        <w:t>有资本经营预算支出决算表</w:t>
      </w:r>
      <w:bookmarkEnd w:id="70"/>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4</w:t>
    </w:r>
    <w:r>
      <w:rPr>
        <w:lang w:val="zh-CN"/>
      </w:rP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3">
    <w:nsid w:val="1632423C"/>
    <w:multiLevelType w:val="multilevel"/>
    <w:tmpl w:val="1632423C"/>
    <w:lvl w:ilvl="0" w:tentative="0">
      <w:start w:val="1"/>
      <w:numFmt w:val="japaneseCounting"/>
      <w:lvlText w:val="（%1）"/>
      <w:lvlJc w:val="left"/>
      <w:pPr>
        <w:ind w:left="1725" w:hanging="1005"/>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01A4B"/>
    <w:rsid w:val="00017149"/>
    <w:rsid w:val="000222C6"/>
    <w:rsid w:val="0002549F"/>
    <w:rsid w:val="00034FBF"/>
    <w:rsid w:val="000369A6"/>
    <w:rsid w:val="000447ED"/>
    <w:rsid w:val="000468DB"/>
    <w:rsid w:val="0006487A"/>
    <w:rsid w:val="00065F8F"/>
    <w:rsid w:val="00070A43"/>
    <w:rsid w:val="000768F2"/>
    <w:rsid w:val="0009184B"/>
    <w:rsid w:val="00094236"/>
    <w:rsid w:val="0009593C"/>
    <w:rsid w:val="00097322"/>
    <w:rsid w:val="000A6A92"/>
    <w:rsid w:val="000B047F"/>
    <w:rsid w:val="000B3360"/>
    <w:rsid w:val="000B5923"/>
    <w:rsid w:val="000B5A48"/>
    <w:rsid w:val="000B6FF3"/>
    <w:rsid w:val="000C3467"/>
    <w:rsid w:val="000C3CA6"/>
    <w:rsid w:val="000D1267"/>
    <w:rsid w:val="000D1D50"/>
    <w:rsid w:val="000D5782"/>
    <w:rsid w:val="000E6613"/>
    <w:rsid w:val="000E7119"/>
    <w:rsid w:val="000F0DA3"/>
    <w:rsid w:val="00114E9B"/>
    <w:rsid w:val="00142216"/>
    <w:rsid w:val="00144D6A"/>
    <w:rsid w:val="0014729F"/>
    <w:rsid w:val="0015071B"/>
    <w:rsid w:val="00157BAB"/>
    <w:rsid w:val="0016459B"/>
    <w:rsid w:val="001654D1"/>
    <w:rsid w:val="00173021"/>
    <w:rsid w:val="001739A0"/>
    <w:rsid w:val="00174518"/>
    <w:rsid w:val="0018106D"/>
    <w:rsid w:val="00182C78"/>
    <w:rsid w:val="001877A7"/>
    <w:rsid w:val="00191536"/>
    <w:rsid w:val="00196687"/>
    <w:rsid w:val="001A70BD"/>
    <w:rsid w:val="001B0539"/>
    <w:rsid w:val="001B5EAA"/>
    <w:rsid w:val="001B66DB"/>
    <w:rsid w:val="001C0962"/>
    <w:rsid w:val="001D7531"/>
    <w:rsid w:val="001E737D"/>
    <w:rsid w:val="001F0592"/>
    <w:rsid w:val="001F7506"/>
    <w:rsid w:val="002006CD"/>
    <w:rsid w:val="00202B36"/>
    <w:rsid w:val="00204B7A"/>
    <w:rsid w:val="00204CDE"/>
    <w:rsid w:val="0021101A"/>
    <w:rsid w:val="00216C1A"/>
    <w:rsid w:val="00220536"/>
    <w:rsid w:val="00235629"/>
    <w:rsid w:val="002547EF"/>
    <w:rsid w:val="00260C38"/>
    <w:rsid w:val="002616C0"/>
    <w:rsid w:val="00261C86"/>
    <w:rsid w:val="00265372"/>
    <w:rsid w:val="002662AA"/>
    <w:rsid w:val="00280496"/>
    <w:rsid w:val="0028436F"/>
    <w:rsid w:val="002852B1"/>
    <w:rsid w:val="00293101"/>
    <w:rsid w:val="00294DC9"/>
    <w:rsid w:val="00295495"/>
    <w:rsid w:val="00295730"/>
    <w:rsid w:val="002A31DE"/>
    <w:rsid w:val="002B2613"/>
    <w:rsid w:val="002D19B0"/>
    <w:rsid w:val="002D621D"/>
    <w:rsid w:val="002D6D05"/>
    <w:rsid w:val="002E6294"/>
    <w:rsid w:val="002F1818"/>
    <w:rsid w:val="002F43B0"/>
    <w:rsid w:val="002F567B"/>
    <w:rsid w:val="002F5DF8"/>
    <w:rsid w:val="00303C26"/>
    <w:rsid w:val="00304398"/>
    <w:rsid w:val="003216A9"/>
    <w:rsid w:val="00332147"/>
    <w:rsid w:val="00335A74"/>
    <w:rsid w:val="00340AFC"/>
    <w:rsid w:val="0036561B"/>
    <w:rsid w:val="0037013F"/>
    <w:rsid w:val="00374EBE"/>
    <w:rsid w:val="00374F1D"/>
    <w:rsid w:val="00377D7F"/>
    <w:rsid w:val="00380C92"/>
    <w:rsid w:val="0039005E"/>
    <w:rsid w:val="00392E13"/>
    <w:rsid w:val="003A484F"/>
    <w:rsid w:val="003A4883"/>
    <w:rsid w:val="003A7F2D"/>
    <w:rsid w:val="003B0BE0"/>
    <w:rsid w:val="003B0C1B"/>
    <w:rsid w:val="003B688C"/>
    <w:rsid w:val="003C0291"/>
    <w:rsid w:val="003C39AE"/>
    <w:rsid w:val="003C7B60"/>
    <w:rsid w:val="003D0C0F"/>
    <w:rsid w:val="003D1FB2"/>
    <w:rsid w:val="003D66DA"/>
    <w:rsid w:val="003E1310"/>
    <w:rsid w:val="003E6F55"/>
    <w:rsid w:val="003F6619"/>
    <w:rsid w:val="00406254"/>
    <w:rsid w:val="0041061E"/>
    <w:rsid w:val="004112B1"/>
    <w:rsid w:val="00416CD4"/>
    <w:rsid w:val="004223DE"/>
    <w:rsid w:val="0042683D"/>
    <w:rsid w:val="00434489"/>
    <w:rsid w:val="00437085"/>
    <w:rsid w:val="00443880"/>
    <w:rsid w:val="00445D13"/>
    <w:rsid w:val="004464F4"/>
    <w:rsid w:val="00454483"/>
    <w:rsid w:val="00471401"/>
    <w:rsid w:val="00473F31"/>
    <w:rsid w:val="00476AC3"/>
    <w:rsid w:val="0048263A"/>
    <w:rsid w:val="00487E5D"/>
    <w:rsid w:val="004A711F"/>
    <w:rsid w:val="004B199D"/>
    <w:rsid w:val="004B4690"/>
    <w:rsid w:val="004C149E"/>
    <w:rsid w:val="004E0A2D"/>
    <w:rsid w:val="004E1CE2"/>
    <w:rsid w:val="004E206B"/>
    <w:rsid w:val="004E49A0"/>
    <w:rsid w:val="004E6DF7"/>
    <w:rsid w:val="004F0FBD"/>
    <w:rsid w:val="004F403E"/>
    <w:rsid w:val="004F4EBD"/>
    <w:rsid w:val="004F7D85"/>
    <w:rsid w:val="00503F0E"/>
    <w:rsid w:val="00505A47"/>
    <w:rsid w:val="00510F26"/>
    <w:rsid w:val="00512FDA"/>
    <w:rsid w:val="00520DA0"/>
    <w:rsid w:val="00536470"/>
    <w:rsid w:val="00557C2D"/>
    <w:rsid w:val="005664BB"/>
    <w:rsid w:val="00566FFA"/>
    <w:rsid w:val="0057481D"/>
    <w:rsid w:val="00575F0B"/>
    <w:rsid w:val="00583063"/>
    <w:rsid w:val="0058486E"/>
    <w:rsid w:val="00585B33"/>
    <w:rsid w:val="0059014D"/>
    <w:rsid w:val="00594BB2"/>
    <w:rsid w:val="005A448D"/>
    <w:rsid w:val="005B4C46"/>
    <w:rsid w:val="005B5C64"/>
    <w:rsid w:val="005C219D"/>
    <w:rsid w:val="005C6BD0"/>
    <w:rsid w:val="005C6C4C"/>
    <w:rsid w:val="005D1C8B"/>
    <w:rsid w:val="005D468D"/>
    <w:rsid w:val="005D5CED"/>
    <w:rsid w:val="005E64E2"/>
    <w:rsid w:val="005F1A4C"/>
    <w:rsid w:val="005F2EF7"/>
    <w:rsid w:val="00605688"/>
    <w:rsid w:val="006070AF"/>
    <w:rsid w:val="00607E6C"/>
    <w:rsid w:val="006101B1"/>
    <w:rsid w:val="00614E44"/>
    <w:rsid w:val="0062270A"/>
    <w:rsid w:val="00622830"/>
    <w:rsid w:val="00623DA0"/>
    <w:rsid w:val="006267F5"/>
    <w:rsid w:val="00630AEF"/>
    <w:rsid w:val="006325F8"/>
    <w:rsid w:val="00633463"/>
    <w:rsid w:val="00634C9A"/>
    <w:rsid w:val="006440E4"/>
    <w:rsid w:val="0064499D"/>
    <w:rsid w:val="006525E9"/>
    <w:rsid w:val="006612F3"/>
    <w:rsid w:val="0066343B"/>
    <w:rsid w:val="00664777"/>
    <w:rsid w:val="006748A4"/>
    <w:rsid w:val="00681A31"/>
    <w:rsid w:val="00682724"/>
    <w:rsid w:val="00683E73"/>
    <w:rsid w:val="006876A4"/>
    <w:rsid w:val="006A3141"/>
    <w:rsid w:val="006A5E34"/>
    <w:rsid w:val="006A6E73"/>
    <w:rsid w:val="006B2422"/>
    <w:rsid w:val="006B2B9A"/>
    <w:rsid w:val="006B549F"/>
    <w:rsid w:val="006C1937"/>
    <w:rsid w:val="006D469D"/>
    <w:rsid w:val="006F020C"/>
    <w:rsid w:val="00705B66"/>
    <w:rsid w:val="00706AEF"/>
    <w:rsid w:val="00710783"/>
    <w:rsid w:val="00712609"/>
    <w:rsid w:val="007127B7"/>
    <w:rsid w:val="0071798E"/>
    <w:rsid w:val="00724ADC"/>
    <w:rsid w:val="00727533"/>
    <w:rsid w:val="007416B6"/>
    <w:rsid w:val="00746F48"/>
    <w:rsid w:val="00750B99"/>
    <w:rsid w:val="0075404D"/>
    <w:rsid w:val="0076182A"/>
    <w:rsid w:val="00767B7E"/>
    <w:rsid w:val="00770EC0"/>
    <w:rsid w:val="007770C3"/>
    <w:rsid w:val="00784D24"/>
    <w:rsid w:val="00785FBA"/>
    <w:rsid w:val="00786E4A"/>
    <w:rsid w:val="007875EB"/>
    <w:rsid w:val="0079426B"/>
    <w:rsid w:val="007B469C"/>
    <w:rsid w:val="007B662F"/>
    <w:rsid w:val="007C208D"/>
    <w:rsid w:val="007D1682"/>
    <w:rsid w:val="007D312A"/>
    <w:rsid w:val="007D3F19"/>
    <w:rsid w:val="007D5E3F"/>
    <w:rsid w:val="007E23B0"/>
    <w:rsid w:val="007F1991"/>
    <w:rsid w:val="007F2C2F"/>
    <w:rsid w:val="007F45ED"/>
    <w:rsid w:val="007F55FC"/>
    <w:rsid w:val="007F5665"/>
    <w:rsid w:val="00800112"/>
    <w:rsid w:val="00813348"/>
    <w:rsid w:val="0082241F"/>
    <w:rsid w:val="008253BB"/>
    <w:rsid w:val="00825838"/>
    <w:rsid w:val="00826F7E"/>
    <w:rsid w:val="00831A46"/>
    <w:rsid w:val="00831B1A"/>
    <w:rsid w:val="00833962"/>
    <w:rsid w:val="0083706E"/>
    <w:rsid w:val="008408F6"/>
    <w:rsid w:val="008423A5"/>
    <w:rsid w:val="00850625"/>
    <w:rsid w:val="00853718"/>
    <w:rsid w:val="00855221"/>
    <w:rsid w:val="00860645"/>
    <w:rsid w:val="0086651F"/>
    <w:rsid w:val="00871F71"/>
    <w:rsid w:val="00872FD8"/>
    <w:rsid w:val="00885AF4"/>
    <w:rsid w:val="008939CD"/>
    <w:rsid w:val="008B768C"/>
    <w:rsid w:val="008C4DB1"/>
    <w:rsid w:val="008C4EAF"/>
    <w:rsid w:val="008C5176"/>
    <w:rsid w:val="008C6606"/>
    <w:rsid w:val="008C7FD0"/>
    <w:rsid w:val="008E07A4"/>
    <w:rsid w:val="008E1DE7"/>
    <w:rsid w:val="008E707C"/>
    <w:rsid w:val="008F6878"/>
    <w:rsid w:val="00900B08"/>
    <w:rsid w:val="00902155"/>
    <w:rsid w:val="00902FA3"/>
    <w:rsid w:val="00905508"/>
    <w:rsid w:val="009177C4"/>
    <w:rsid w:val="00920AB2"/>
    <w:rsid w:val="00922C9D"/>
    <w:rsid w:val="00923564"/>
    <w:rsid w:val="0092392E"/>
    <w:rsid w:val="009315F9"/>
    <w:rsid w:val="00932529"/>
    <w:rsid w:val="00933499"/>
    <w:rsid w:val="00935C98"/>
    <w:rsid w:val="0094631F"/>
    <w:rsid w:val="00946945"/>
    <w:rsid w:val="00951248"/>
    <w:rsid w:val="0095152F"/>
    <w:rsid w:val="00954C49"/>
    <w:rsid w:val="00955E37"/>
    <w:rsid w:val="009645DC"/>
    <w:rsid w:val="0097099F"/>
    <w:rsid w:val="00971997"/>
    <w:rsid w:val="00971FFC"/>
    <w:rsid w:val="00981196"/>
    <w:rsid w:val="0098660A"/>
    <w:rsid w:val="00990348"/>
    <w:rsid w:val="009931C3"/>
    <w:rsid w:val="009A3126"/>
    <w:rsid w:val="009B2C43"/>
    <w:rsid w:val="009B4EAE"/>
    <w:rsid w:val="009B7573"/>
    <w:rsid w:val="009C0588"/>
    <w:rsid w:val="009C22F4"/>
    <w:rsid w:val="009C2E98"/>
    <w:rsid w:val="009C37FB"/>
    <w:rsid w:val="009D08E5"/>
    <w:rsid w:val="009D3447"/>
    <w:rsid w:val="009D4711"/>
    <w:rsid w:val="009E0EDD"/>
    <w:rsid w:val="009F02B9"/>
    <w:rsid w:val="009F1185"/>
    <w:rsid w:val="009F18CD"/>
    <w:rsid w:val="009F2A13"/>
    <w:rsid w:val="009F7527"/>
    <w:rsid w:val="009F7DFF"/>
    <w:rsid w:val="00A039ED"/>
    <w:rsid w:val="00A04EB0"/>
    <w:rsid w:val="00A13CC1"/>
    <w:rsid w:val="00A16847"/>
    <w:rsid w:val="00A237D8"/>
    <w:rsid w:val="00A2592B"/>
    <w:rsid w:val="00A268C4"/>
    <w:rsid w:val="00A307CD"/>
    <w:rsid w:val="00A331C8"/>
    <w:rsid w:val="00A35117"/>
    <w:rsid w:val="00A40A00"/>
    <w:rsid w:val="00A4142F"/>
    <w:rsid w:val="00A422EB"/>
    <w:rsid w:val="00A45BB7"/>
    <w:rsid w:val="00A56DF2"/>
    <w:rsid w:val="00A56E6E"/>
    <w:rsid w:val="00A67AB5"/>
    <w:rsid w:val="00A733B2"/>
    <w:rsid w:val="00A741C2"/>
    <w:rsid w:val="00A84244"/>
    <w:rsid w:val="00A84BBB"/>
    <w:rsid w:val="00A91760"/>
    <w:rsid w:val="00A93B00"/>
    <w:rsid w:val="00A93C21"/>
    <w:rsid w:val="00AA70AC"/>
    <w:rsid w:val="00AB64C9"/>
    <w:rsid w:val="00AC3C6A"/>
    <w:rsid w:val="00AD0F83"/>
    <w:rsid w:val="00AD24B1"/>
    <w:rsid w:val="00AD5620"/>
    <w:rsid w:val="00AD656B"/>
    <w:rsid w:val="00AD7C1B"/>
    <w:rsid w:val="00AE16BA"/>
    <w:rsid w:val="00AE1EBE"/>
    <w:rsid w:val="00AE3E67"/>
    <w:rsid w:val="00AE4B53"/>
    <w:rsid w:val="00AE566E"/>
    <w:rsid w:val="00AE67C7"/>
    <w:rsid w:val="00AF37A0"/>
    <w:rsid w:val="00AF6BEF"/>
    <w:rsid w:val="00AF7535"/>
    <w:rsid w:val="00B03C9D"/>
    <w:rsid w:val="00B060AE"/>
    <w:rsid w:val="00B10517"/>
    <w:rsid w:val="00B14E76"/>
    <w:rsid w:val="00B161B8"/>
    <w:rsid w:val="00B1758E"/>
    <w:rsid w:val="00B2048C"/>
    <w:rsid w:val="00B20CD4"/>
    <w:rsid w:val="00B310B9"/>
    <w:rsid w:val="00B35F3F"/>
    <w:rsid w:val="00B36CBB"/>
    <w:rsid w:val="00B425E0"/>
    <w:rsid w:val="00B440AA"/>
    <w:rsid w:val="00B44B70"/>
    <w:rsid w:val="00B53C56"/>
    <w:rsid w:val="00B565E9"/>
    <w:rsid w:val="00B57DAF"/>
    <w:rsid w:val="00B77EA6"/>
    <w:rsid w:val="00B806CD"/>
    <w:rsid w:val="00B81598"/>
    <w:rsid w:val="00B841F1"/>
    <w:rsid w:val="00B9061A"/>
    <w:rsid w:val="00B944D6"/>
    <w:rsid w:val="00BB4DF0"/>
    <w:rsid w:val="00BB67C8"/>
    <w:rsid w:val="00BB7235"/>
    <w:rsid w:val="00BC289F"/>
    <w:rsid w:val="00BC2D50"/>
    <w:rsid w:val="00BC3909"/>
    <w:rsid w:val="00BC5361"/>
    <w:rsid w:val="00BC5460"/>
    <w:rsid w:val="00BC6B50"/>
    <w:rsid w:val="00BD0E25"/>
    <w:rsid w:val="00BF21E1"/>
    <w:rsid w:val="00BF5BD6"/>
    <w:rsid w:val="00C03E31"/>
    <w:rsid w:val="00C3005E"/>
    <w:rsid w:val="00C30E69"/>
    <w:rsid w:val="00C33E72"/>
    <w:rsid w:val="00C34837"/>
    <w:rsid w:val="00C354B2"/>
    <w:rsid w:val="00C35554"/>
    <w:rsid w:val="00C42709"/>
    <w:rsid w:val="00C533CC"/>
    <w:rsid w:val="00C538BA"/>
    <w:rsid w:val="00C54342"/>
    <w:rsid w:val="00C54BB7"/>
    <w:rsid w:val="00C5751C"/>
    <w:rsid w:val="00C61BFC"/>
    <w:rsid w:val="00C62B85"/>
    <w:rsid w:val="00C65438"/>
    <w:rsid w:val="00C67C38"/>
    <w:rsid w:val="00C737EA"/>
    <w:rsid w:val="00C91CBB"/>
    <w:rsid w:val="00C927CA"/>
    <w:rsid w:val="00C964EA"/>
    <w:rsid w:val="00CA108F"/>
    <w:rsid w:val="00CB4E70"/>
    <w:rsid w:val="00CC09B6"/>
    <w:rsid w:val="00CC666F"/>
    <w:rsid w:val="00CD1E3F"/>
    <w:rsid w:val="00CE37C0"/>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454A0"/>
    <w:rsid w:val="00D51276"/>
    <w:rsid w:val="00D656E0"/>
    <w:rsid w:val="00D7035F"/>
    <w:rsid w:val="00DA634F"/>
    <w:rsid w:val="00DA65AC"/>
    <w:rsid w:val="00DB1913"/>
    <w:rsid w:val="00DB34EB"/>
    <w:rsid w:val="00DC410D"/>
    <w:rsid w:val="00DC5A81"/>
    <w:rsid w:val="00DC68CA"/>
    <w:rsid w:val="00DC7CBA"/>
    <w:rsid w:val="00DD73B7"/>
    <w:rsid w:val="00DE3FEF"/>
    <w:rsid w:val="00DF28BC"/>
    <w:rsid w:val="00DF34B9"/>
    <w:rsid w:val="00DF7548"/>
    <w:rsid w:val="00E01053"/>
    <w:rsid w:val="00E07ACF"/>
    <w:rsid w:val="00E17F83"/>
    <w:rsid w:val="00E22B3B"/>
    <w:rsid w:val="00E27666"/>
    <w:rsid w:val="00E27FAA"/>
    <w:rsid w:val="00E31FAA"/>
    <w:rsid w:val="00E331A1"/>
    <w:rsid w:val="00E33202"/>
    <w:rsid w:val="00E336A9"/>
    <w:rsid w:val="00E45560"/>
    <w:rsid w:val="00E472B1"/>
    <w:rsid w:val="00E50624"/>
    <w:rsid w:val="00E568DF"/>
    <w:rsid w:val="00E57750"/>
    <w:rsid w:val="00E6131B"/>
    <w:rsid w:val="00E6270F"/>
    <w:rsid w:val="00E64269"/>
    <w:rsid w:val="00E66797"/>
    <w:rsid w:val="00E82267"/>
    <w:rsid w:val="00E8259C"/>
    <w:rsid w:val="00E853CE"/>
    <w:rsid w:val="00E867B6"/>
    <w:rsid w:val="00E87F08"/>
    <w:rsid w:val="00E95D77"/>
    <w:rsid w:val="00EA010F"/>
    <w:rsid w:val="00EC3446"/>
    <w:rsid w:val="00ED13A4"/>
    <w:rsid w:val="00ED1486"/>
    <w:rsid w:val="00ED1B63"/>
    <w:rsid w:val="00ED3C1F"/>
    <w:rsid w:val="00ED4085"/>
    <w:rsid w:val="00ED420E"/>
    <w:rsid w:val="00ED4CBC"/>
    <w:rsid w:val="00ED6FBE"/>
    <w:rsid w:val="00EE0860"/>
    <w:rsid w:val="00EE2F57"/>
    <w:rsid w:val="00EF4C34"/>
    <w:rsid w:val="00EF77C6"/>
    <w:rsid w:val="00F05438"/>
    <w:rsid w:val="00F1361C"/>
    <w:rsid w:val="00F142F8"/>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B0005"/>
    <w:rsid w:val="00FC2C38"/>
    <w:rsid w:val="00FD1D21"/>
    <w:rsid w:val="00FD3CC1"/>
    <w:rsid w:val="00FF1E02"/>
    <w:rsid w:val="00FF30B4"/>
    <w:rsid w:val="09783895"/>
    <w:rsid w:val="0E396E51"/>
    <w:rsid w:val="10C055FF"/>
    <w:rsid w:val="11552894"/>
    <w:rsid w:val="16BB723D"/>
    <w:rsid w:val="1B3B0D5F"/>
    <w:rsid w:val="216876E5"/>
    <w:rsid w:val="240371BF"/>
    <w:rsid w:val="2510580D"/>
    <w:rsid w:val="292955A4"/>
    <w:rsid w:val="29FD04D3"/>
    <w:rsid w:val="2E3920F2"/>
    <w:rsid w:val="319F7F4E"/>
    <w:rsid w:val="3B340AA8"/>
    <w:rsid w:val="4ECE2238"/>
    <w:rsid w:val="4F677BE1"/>
    <w:rsid w:val="58C87628"/>
    <w:rsid w:val="5BB81B69"/>
    <w:rsid w:val="5C8728D2"/>
    <w:rsid w:val="5E606AFA"/>
    <w:rsid w:val="5F112DD2"/>
    <w:rsid w:val="5F663956"/>
    <w:rsid w:val="60AB5F0E"/>
    <w:rsid w:val="63A73F5B"/>
    <w:rsid w:val="6D941B1B"/>
    <w:rsid w:val="72734D90"/>
    <w:rsid w:val="7C434A70"/>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99" w:semiHidden="0" w:name="toc 1"/>
    <w:lsdException w:unhideWhenUsed="0" w:uiPriority="99" w:semiHidden="0" w:name="toc 2"/>
    <w:lsdException w:unhideWhenUsed="0" w:uiPriority="99" w:semiHidden="0"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8"/>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19"/>
    <w:qFormat/>
    <w:uiPriority w:val="99"/>
    <w:pPr>
      <w:keepNext/>
      <w:keepLines/>
      <w:spacing w:before="260" w:after="260" w:line="416" w:lineRule="auto"/>
      <w:outlineLvl w:val="2"/>
    </w:pPr>
    <w:rPr>
      <w:b/>
      <w:bCs/>
      <w:sz w:val="32"/>
      <w:szCs w:val="32"/>
    </w:rPr>
  </w:style>
  <w:style w:type="character" w:default="1" w:styleId="14">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6"/>
    <w:uiPriority w:val="99"/>
    <w:pPr>
      <w:spacing w:beforeLines="30"/>
    </w:pPr>
    <w:rPr>
      <w:rFonts w:ascii="仿宋_GB2312" w:eastAsia="仿宋_GB2312"/>
      <w:kern w:val="0"/>
      <w:sz w:val="24"/>
      <w:szCs w:val="20"/>
    </w:rPr>
  </w:style>
  <w:style w:type="paragraph" w:styleId="6">
    <w:name w:val="toc 3"/>
    <w:basedOn w:val="1"/>
    <w:next w:val="1"/>
    <w:uiPriority w:val="99"/>
    <w:pPr>
      <w:tabs>
        <w:tab w:val="right" w:leader="dot" w:pos="8296"/>
      </w:tabs>
      <w:ind w:left="840" w:leftChars="400"/>
    </w:pPr>
  </w:style>
  <w:style w:type="paragraph" w:styleId="7">
    <w:name w:val="Balloon Text"/>
    <w:basedOn w:val="1"/>
    <w:link w:val="21"/>
    <w:semiHidden/>
    <w:uiPriority w:val="99"/>
    <w:rPr>
      <w:sz w:val="18"/>
      <w:szCs w:val="18"/>
    </w:rPr>
  </w:style>
  <w:style w:type="paragraph" w:styleId="8">
    <w:name w:val="footer"/>
    <w:basedOn w:val="1"/>
    <w:link w:val="25"/>
    <w:uiPriority w:val="99"/>
    <w:pPr>
      <w:tabs>
        <w:tab w:val="center" w:pos="4153"/>
        <w:tab w:val="right" w:pos="8306"/>
      </w:tabs>
      <w:snapToGrid w:val="0"/>
      <w:jc w:val="left"/>
    </w:pPr>
    <w:rPr>
      <w:rFonts w:ascii="Calibri" w:hAnsi="Calibri"/>
      <w:kern w:val="0"/>
      <w:sz w:val="18"/>
      <w:szCs w:val="20"/>
    </w:rPr>
  </w:style>
  <w:style w:type="paragraph" w:styleId="9">
    <w:name w:val="header"/>
    <w:basedOn w:val="1"/>
    <w:link w:val="24"/>
    <w:semiHidden/>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0">
    <w:name w:val="toc 1"/>
    <w:basedOn w:val="1"/>
    <w:next w:val="1"/>
    <w:uiPriority w:val="99"/>
    <w:pPr>
      <w:tabs>
        <w:tab w:val="right" w:leader="dot" w:pos="8296"/>
      </w:tabs>
      <w:spacing w:before="93"/>
      <w:jc w:val="center"/>
    </w:pPr>
    <w:rPr>
      <w:rFonts w:ascii="仿宋" w:hAnsi="仿宋" w:eastAsia="仿宋"/>
      <w:sz w:val="28"/>
      <w:szCs w:val="28"/>
    </w:rPr>
  </w:style>
  <w:style w:type="paragraph" w:styleId="11">
    <w:name w:val="toc 2"/>
    <w:basedOn w:val="1"/>
    <w:next w:val="1"/>
    <w:uiPriority w:val="99"/>
    <w:pPr>
      <w:tabs>
        <w:tab w:val="right" w:leader="dot" w:pos="8296"/>
      </w:tabs>
      <w:ind w:left="420" w:leftChars="200"/>
    </w:pPr>
  </w:style>
  <w:style w:type="paragraph" w:styleId="12">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5">
    <w:name w:val="Strong"/>
    <w:basedOn w:val="14"/>
    <w:qFormat/>
    <w:uiPriority w:val="22"/>
    <w:rPr>
      <w:rFonts w:cs="Times New Roman"/>
      <w:b/>
    </w:rPr>
  </w:style>
  <w:style w:type="character" w:styleId="16">
    <w:name w:val="Hyperlink"/>
    <w:basedOn w:val="14"/>
    <w:uiPriority w:val="99"/>
    <w:rPr>
      <w:rFonts w:cs="Times New Roman"/>
      <w:color w:val="0000FF"/>
      <w:u w:val="single"/>
    </w:rPr>
  </w:style>
  <w:style w:type="character" w:customStyle="1" w:styleId="17">
    <w:name w:val="标题 1 Char"/>
    <w:basedOn w:val="14"/>
    <w:link w:val="2"/>
    <w:locked/>
    <w:uiPriority w:val="99"/>
    <w:rPr>
      <w:rFonts w:ascii="Times New Roman" w:hAnsi="Times New Roman" w:cs="Times New Roman"/>
      <w:b/>
      <w:bCs/>
      <w:kern w:val="44"/>
      <w:sz w:val="44"/>
      <w:szCs w:val="44"/>
    </w:rPr>
  </w:style>
  <w:style w:type="character" w:customStyle="1" w:styleId="18">
    <w:name w:val="标题 2 Char"/>
    <w:basedOn w:val="14"/>
    <w:link w:val="3"/>
    <w:locked/>
    <w:uiPriority w:val="99"/>
    <w:rPr>
      <w:rFonts w:ascii="Cambria" w:hAnsi="Cambria" w:eastAsia="宋体" w:cs="Times New Roman"/>
      <w:b/>
      <w:bCs/>
      <w:kern w:val="2"/>
      <w:sz w:val="32"/>
      <w:szCs w:val="32"/>
    </w:rPr>
  </w:style>
  <w:style w:type="character" w:customStyle="1" w:styleId="19">
    <w:name w:val="标题 3 Char"/>
    <w:basedOn w:val="14"/>
    <w:link w:val="4"/>
    <w:qFormat/>
    <w:locked/>
    <w:uiPriority w:val="99"/>
    <w:rPr>
      <w:rFonts w:ascii="Times New Roman" w:hAnsi="Times New Roman" w:cs="Times New Roman"/>
      <w:b/>
      <w:bCs/>
      <w:kern w:val="2"/>
      <w:sz w:val="32"/>
      <w:szCs w:val="32"/>
    </w:rPr>
  </w:style>
  <w:style w:type="character" w:customStyle="1" w:styleId="20">
    <w:name w:val="Body Text Char"/>
    <w:basedOn w:val="14"/>
    <w:link w:val="5"/>
    <w:semiHidden/>
    <w:qFormat/>
    <w:uiPriority w:val="99"/>
    <w:rPr>
      <w:rFonts w:ascii="Times New Roman" w:hAnsi="Times New Roman" w:cs="Times New Roman"/>
      <w:sz w:val="24"/>
      <w:szCs w:val="24"/>
    </w:rPr>
  </w:style>
  <w:style w:type="character" w:customStyle="1" w:styleId="21">
    <w:name w:val="批注框文本 Char"/>
    <w:basedOn w:val="14"/>
    <w:link w:val="7"/>
    <w:semiHidden/>
    <w:locked/>
    <w:uiPriority w:val="99"/>
    <w:rPr>
      <w:rFonts w:ascii="Times New Roman" w:hAnsi="Times New Roman" w:cs="Times New Roman"/>
      <w:kern w:val="2"/>
      <w:sz w:val="18"/>
      <w:szCs w:val="18"/>
    </w:rPr>
  </w:style>
  <w:style w:type="character" w:customStyle="1" w:styleId="22">
    <w:name w:val="Footer Char"/>
    <w:basedOn w:val="14"/>
    <w:link w:val="8"/>
    <w:semiHidden/>
    <w:qFormat/>
    <w:uiPriority w:val="99"/>
    <w:rPr>
      <w:rFonts w:ascii="Times New Roman" w:hAnsi="Times New Roman" w:cs="Times New Roman"/>
      <w:sz w:val="18"/>
      <w:szCs w:val="18"/>
    </w:rPr>
  </w:style>
  <w:style w:type="character" w:customStyle="1" w:styleId="23">
    <w:name w:val="Header Char"/>
    <w:basedOn w:val="14"/>
    <w:link w:val="9"/>
    <w:semiHidden/>
    <w:uiPriority w:val="99"/>
    <w:rPr>
      <w:rFonts w:ascii="Times New Roman" w:hAnsi="Times New Roman" w:cs="Times New Roman"/>
      <w:sz w:val="18"/>
      <w:szCs w:val="18"/>
    </w:rPr>
  </w:style>
  <w:style w:type="character" w:customStyle="1" w:styleId="24">
    <w:name w:val="页眉 Char"/>
    <w:link w:val="9"/>
    <w:semiHidden/>
    <w:qFormat/>
    <w:locked/>
    <w:uiPriority w:val="99"/>
    <w:rPr>
      <w:sz w:val="18"/>
    </w:rPr>
  </w:style>
  <w:style w:type="character" w:customStyle="1" w:styleId="25">
    <w:name w:val="页脚 Char"/>
    <w:link w:val="8"/>
    <w:locked/>
    <w:uiPriority w:val="99"/>
    <w:rPr>
      <w:sz w:val="18"/>
    </w:rPr>
  </w:style>
  <w:style w:type="character" w:customStyle="1" w:styleId="26">
    <w:name w:val="正文文本 Char"/>
    <w:link w:val="5"/>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99"/>
    <w:pPr>
      <w:ind w:firstLine="420" w:firstLineChars="200"/>
    </w:pPr>
  </w:style>
  <w:style w:type="paragraph" w:customStyle="1" w:styleId="29">
    <w:name w:val="TOC 标题1"/>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0">
    <w:name w:val="TOC Heading1"/>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1">
    <w:name w:val="reader-word-layer"/>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7.emf"/><Relationship Id="rId18" Type="http://schemas.openxmlformats.org/officeDocument/2006/relationships/oleObject" Target="embeddings/oleObject7.bin"/><Relationship Id="rId17" Type="http://schemas.openxmlformats.org/officeDocument/2006/relationships/image" Target="media/image6.emf"/><Relationship Id="rId16" Type="http://schemas.openxmlformats.org/officeDocument/2006/relationships/oleObject" Target="embeddings/oleObject6.bin"/><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F312E1-3949-409D-8BDC-993410CDD69B}">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41</Pages>
  <Words>15064</Words>
  <Characters>3891</Characters>
  <Lines>32</Lines>
  <Paragraphs>37</Paragraphs>
  <TotalTime>2820</TotalTime>
  <ScaleCrop>false</ScaleCrop>
  <LinksUpToDate>false</LinksUpToDate>
  <CharactersWithSpaces>18918</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2020-10-10T01:34:00Z</dcterms:created>
  <dc:creator>曹颖</dc:creator>
  <cp:lastModifiedBy>陶淑群 </cp:lastModifiedBy>
  <cp:lastPrinted>2020-10-26T07:26:00Z</cp:lastPrinted>
  <dcterms:modified xsi:type="dcterms:W3CDTF">2021-03-01T01:57:42Z</dcterms:modified>
  <dc:title>四川省***</dc:title>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