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bookmarkEnd w:id="0"/>
    <w:p>
      <w:pPr>
        <w:bidi w:val="0"/>
        <w:jc w:val="center"/>
        <w:rPr>
          <w:rFonts w:hint="eastAsia" w:ascii="黑体" w:hAnsi="黑体" w:eastAsia="黑体" w:cs="黑体"/>
          <w:sz w:val="72"/>
          <w:szCs w:val="72"/>
        </w:rPr>
      </w:pPr>
      <w:r>
        <w:rPr>
          <w:rFonts w:hint="eastAsia" w:ascii="黑体" w:hAnsi="黑体" w:eastAsia="黑体" w:cs="黑体"/>
          <w:sz w:val="72"/>
          <w:szCs w:val="72"/>
          <w:lang w:eastAsia="zh-CN"/>
        </w:rPr>
        <w:t>2022年</w:t>
      </w:r>
      <w:r>
        <w:rPr>
          <w:rFonts w:hint="eastAsia" w:ascii="黑体" w:hAnsi="黑体" w:eastAsia="黑体" w:cs="黑体"/>
          <w:sz w:val="72"/>
          <w:szCs w:val="72"/>
        </w:rPr>
        <w:t>度</w:t>
      </w:r>
    </w:p>
    <w:p>
      <w:pPr>
        <w:bidi w:val="0"/>
        <w:jc w:val="center"/>
        <w:rPr>
          <w:rFonts w:ascii="方正小标宋简体" w:hAnsi="宋体" w:eastAsia="方正小标宋简体"/>
          <w:color w:val="000000"/>
          <w:szCs w:val="52"/>
        </w:rPr>
      </w:pPr>
      <w:r>
        <w:rPr>
          <w:rFonts w:hint="eastAsia" w:ascii="黑体" w:hAnsi="黑体" w:eastAsia="黑体" w:cs="黑体"/>
          <w:sz w:val="72"/>
          <w:szCs w:val="72"/>
        </w:rPr>
        <w:t>四川省阿坝州壤塘县自然资源局部门决算</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 w:name="_Toc15377196"/>
      <w:bookmarkStart w:id="2" w:name="_Toc15396599"/>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25</w:t>
      </w:r>
      <w:r>
        <w:rPr>
          <w:rFonts w:hint="eastAsia" w:hAnsiTheme="minorHAnsi"/>
          <w:b w:val="0"/>
          <w:bCs w:val="0"/>
          <w:sz w:val="24"/>
          <w:szCs w:val="24"/>
        </w:rPr>
        <w:t xml:space="preserve"> 日</w:t>
      </w:r>
    </w:p>
    <w:p>
      <w:pPr>
        <w:pStyle w:val="13"/>
        <w:tabs>
          <w:tab w:val="right" w:leader="dot" w:pos="8306"/>
          <w:tab w:val="clear" w:pos="829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hint="eastAsia" w:ascii="黑体" w:hAnsi="黑体" w:eastAsia="黑体"/>
          <w:lang w:val="en-US" w:eastAsia="zh-CN"/>
        </w:rPr>
        <w:t xml:space="preserve"> </w:t>
      </w:r>
      <w:r>
        <w:rPr>
          <w:rFonts w:hint="eastAsia" w:ascii="黑体" w:hAnsi="黑体" w:eastAsia="黑体"/>
          <w:bCs w:val="0"/>
        </w:rPr>
        <w:t>部门概况</w:t>
      </w:r>
      <w:r>
        <w:tab/>
      </w:r>
      <w:r>
        <w:fldChar w:fldCharType="begin"/>
      </w:r>
      <w:r>
        <w:instrText xml:space="preserve"> PAGEREF _Toc27170 \h </w:instrText>
      </w:r>
      <w:r>
        <w:fldChar w:fldCharType="separate"/>
      </w:r>
      <w:r>
        <w:t>4</w:t>
      </w:r>
      <w:r>
        <w:fldChar w:fldCharType="end"/>
      </w:r>
    </w:p>
    <w:p>
      <w:pPr>
        <w:pStyle w:val="15"/>
        <w:tabs>
          <w:tab w:val="right" w:leader="dot" w:pos="8306"/>
          <w:tab w:val="clear" w:pos="8296"/>
        </w:tabs>
      </w:pPr>
      <w:r>
        <w:rPr>
          <w:rFonts w:hint="eastAsia"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_Toc11245 \h </w:instrText>
      </w:r>
      <w:r>
        <w:fldChar w:fldCharType="separate"/>
      </w:r>
      <w:r>
        <w:t>4</w:t>
      </w:r>
      <w:r>
        <w:fldChar w:fldCharType="end"/>
      </w:r>
    </w:p>
    <w:p>
      <w:pPr>
        <w:pStyle w:val="15"/>
        <w:tabs>
          <w:tab w:val="right" w:leader="dot" w:pos="8306"/>
          <w:tab w:val="clear" w:pos="829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_Toc29958 \h </w:instrText>
      </w:r>
      <w:r>
        <w:fldChar w:fldCharType="separate"/>
      </w:r>
      <w:r>
        <w:t>9</w:t>
      </w:r>
      <w:r>
        <w:fldChar w:fldCharType="end"/>
      </w:r>
    </w:p>
    <w:p>
      <w:pPr>
        <w:pStyle w:val="13"/>
        <w:tabs>
          <w:tab w:val="right" w:leader="dot" w:pos="8306"/>
          <w:tab w:val="clear" w:pos="8296"/>
        </w:tabs>
      </w:pPr>
      <w:r>
        <w:rPr>
          <w:rFonts w:hint="eastAsia" w:ascii="黑体" w:hAnsi="黑体" w:eastAsia="黑体"/>
          <w:color w:val="000000"/>
        </w:rPr>
        <w:t>第二部分</w:t>
      </w:r>
      <w:r>
        <w:rPr>
          <w:rFonts w:hint="eastAsia" w:ascii="黑体" w:hAnsi="黑体" w:eastAsia="黑体"/>
          <w:bCs w:val="0"/>
          <w:lang w:eastAsia="zh-CN"/>
        </w:rPr>
        <w:t>2022年</w:t>
      </w:r>
      <w:r>
        <w:rPr>
          <w:rFonts w:hint="eastAsia" w:ascii="黑体" w:hAnsi="黑体" w:eastAsia="黑体"/>
          <w:bCs w:val="0"/>
        </w:rPr>
        <w:t>度部门决算情况说明</w:t>
      </w:r>
      <w:r>
        <w:tab/>
      </w:r>
      <w:r>
        <w:fldChar w:fldCharType="begin"/>
      </w:r>
      <w:r>
        <w:instrText xml:space="preserve"> PAGEREF _Toc30082 \h </w:instrText>
      </w:r>
      <w:r>
        <w:fldChar w:fldCharType="separate"/>
      </w:r>
      <w:r>
        <w:t>10</w:t>
      </w:r>
      <w:r>
        <w:fldChar w:fldCharType="end"/>
      </w:r>
    </w:p>
    <w:p>
      <w:pPr>
        <w:pStyle w:val="15"/>
        <w:tabs>
          <w:tab w:val="right" w:leader="dot" w:pos="8306"/>
          <w:tab w:val="clear" w:pos="829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_Toc2854 \h </w:instrText>
      </w:r>
      <w:r>
        <w:fldChar w:fldCharType="separate"/>
      </w:r>
      <w:r>
        <w:t>10</w:t>
      </w:r>
      <w:r>
        <w:fldChar w:fldCharType="end"/>
      </w:r>
    </w:p>
    <w:p>
      <w:pPr>
        <w:pStyle w:val="15"/>
        <w:tabs>
          <w:tab w:val="right" w:leader="dot" w:pos="8306"/>
          <w:tab w:val="clear" w:pos="8296"/>
        </w:tabs>
      </w:pPr>
      <w:r>
        <w:rPr>
          <w:rFonts w:hint="eastAsia" w:ascii="黑体" w:hAnsi="黑体" w:eastAsia="黑体"/>
          <w:szCs w:val="32"/>
        </w:rPr>
        <w:t>二、收</w:t>
      </w:r>
      <w:r>
        <w:rPr>
          <w:rFonts w:hint="eastAsia" w:ascii="黑体" w:hAnsi="黑体" w:eastAsia="黑体"/>
        </w:rPr>
        <w:t>入决算情况说明</w:t>
      </w:r>
      <w:r>
        <w:tab/>
      </w:r>
      <w:r>
        <w:fldChar w:fldCharType="begin"/>
      </w:r>
      <w:r>
        <w:instrText xml:space="preserve"> PAGEREF _Toc17825 \h </w:instrText>
      </w:r>
      <w:r>
        <w:fldChar w:fldCharType="separate"/>
      </w:r>
      <w:r>
        <w:t>11</w:t>
      </w:r>
      <w:r>
        <w:fldChar w:fldCharType="end"/>
      </w:r>
    </w:p>
    <w:p>
      <w:pPr>
        <w:pStyle w:val="15"/>
        <w:tabs>
          <w:tab w:val="right" w:leader="dot" w:pos="8306"/>
          <w:tab w:val="clear" w:pos="8296"/>
        </w:tabs>
      </w:pPr>
      <w:r>
        <w:rPr>
          <w:rFonts w:hint="default" w:ascii="黑体" w:hAnsi="黑体" w:eastAsia="黑体" w:cs="Times New Roman"/>
          <w:color w:val="000000"/>
        </w:rPr>
        <w:t xml:space="preserve">三、 </w:t>
      </w:r>
      <w:r>
        <w:rPr>
          <w:rFonts w:hint="eastAsia" w:ascii="黑体" w:hAnsi="黑体" w:eastAsia="黑体"/>
          <w:color w:val="000000"/>
          <w:szCs w:val="32"/>
        </w:rPr>
        <w:t>支</w:t>
      </w:r>
      <w:r>
        <w:rPr>
          <w:rFonts w:hint="eastAsia" w:ascii="黑体" w:hAnsi="黑体" w:eastAsia="黑体"/>
          <w:color w:val="000000"/>
        </w:rPr>
        <w:t>出决算情况说明</w:t>
      </w:r>
      <w:r>
        <w:tab/>
      </w:r>
      <w:r>
        <w:fldChar w:fldCharType="begin"/>
      </w:r>
      <w:r>
        <w:instrText xml:space="preserve"> PAGEREF _Toc8683 \h </w:instrText>
      </w:r>
      <w:r>
        <w:fldChar w:fldCharType="separate"/>
      </w:r>
      <w:r>
        <w:t>11</w:t>
      </w:r>
      <w:r>
        <w:fldChar w:fldCharType="end"/>
      </w:r>
    </w:p>
    <w:p>
      <w:pPr>
        <w:pStyle w:val="15"/>
        <w:tabs>
          <w:tab w:val="right" w:leader="dot" w:pos="8306"/>
          <w:tab w:val="clear" w:pos="8296"/>
        </w:tabs>
      </w:pPr>
      <w:r>
        <w:rPr>
          <w:rFonts w:hint="eastAsia" w:ascii="黑体" w:hAnsi="黑体" w:eastAsia="黑体"/>
          <w:color w:val="000000"/>
          <w:szCs w:val="32"/>
        </w:rPr>
        <w:t>四、财</w:t>
      </w:r>
      <w:r>
        <w:rPr>
          <w:rFonts w:hint="eastAsia" w:ascii="黑体" w:hAnsi="黑体" w:eastAsia="黑体"/>
          <w:color w:val="000000"/>
        </w:rPr>
        <w:t>政拨款收入支出决算总体情况说明</w:t>
      </w:r>
      <w:r>
        <w:tab/>
      </w:r>
      <w:r>
        <w:fldChar w:fldCharType="begin"/>
      </w:r>
      <w:r>
        <w:instrText xml:space="preserve"> PAGEREF _Toc12298 \h </w:instrText>
      </w:r>
      <w:r>
        <w:fldChar w:fldCharType="separate"/>
      </w:r>
      <w:r>
        <w:t>11</w:t>
      </w:r>
      <w:r>
        <w:fldChar w:fldCharType="end"/>
      </w:r>
    </w:p>
    <w:p>
      <w:pPr>
        <w:pStyle w:val="15"/>
        <w:tabs>
          <w:tab w:val="right" w:leader="dot" w:pos="8306"/>
          <w:tab w:val="clear" w:pos="8296"/>
        </w:tabs>
      </w:pPr>
      <w:r>
        <w:rPr>
          <w:rFonts w:hint="eastAsia" w:ascii="黑体" w:hAnsi="黑体" w:eastAsia="黑体"/>
          <w:color w:val="000000"/>
          <w:szCs w:val="32"/>
        </w:rPr>
        <w:t>五、一</w:t>
      </w:r>
      <w:r>
        <w:rPr>
          <w:rFonts w:hint="eastAsia" w:ascii="黑体" w:hAnsi="黑体" w:eastAsia="黑体"/>
          <w:color w:val="000000"/>
        </w:rPr>
        <w:t>般公共预算财政拨款支出决算情况说明</w:t>
      </w:r>
      <w:r>
        <w:tab/>
      </w:r>
      <w:r>
        <w:fldChar w:fldCharType="begin"/>
      </w:r>
      <w:r>
        <w:instrText xml:space="preserve"> PAGEREF _Toc2600 \h </w:instrText>
      </w:r>
      <w:r>
        <w:fldChar w:fldCharType="separate"/>
      </w:r>
      <w:r>
        <w:t>12</w:t>
      </w:r>
      <w:r>
        <w:fldChar w:fldCharType="end"/>
      </w:r>
    </w:p>
    <w:p>
      <w:pPr>
        <w:pStyle w:val="9"/>
        <w:tabs>
          <w:tab w:val="right" w:leader="dot" w:pos="8306"/>
          <w:tab w:val="clear" w:pos="8296"/>
        </w:tabs>
      </w:pPr>
      <w:r>
        <w:rPr>
          <w:rFonts w:hint="eastAsia" w:ascii="仿宋" w:hAnsi="仿宋" w:eastAsia="仿宋"/>
          <w:color w:val="000000"/>
          <w:szCs w:val="32"/>
        </w:rPr>
        <w:t>（一）一般公共预算财政拨款支出决算总体情况</w:t>
      </w:r>
      <w:r>
        <w:tab/>
      </w:r>
      <w:r>
        <w:fldChar w:fldCharType="begin"/>
      </w:r>
      <w:r>
        <w:instrText xml:space="preserve"> PAGEREF _Toc26127 \h </w:instrText>
      </w:r>
      <w:r>
        <w:fldChar w:fldCharType="separate"/>
      </w:r>
      <w:r>
        <w:t>12</w:t>
      </w:r>
      <w:r>
        <w:fldChar w:fldCharType="end"/>
      </w:r>
    </w:p>
    <w:p>
      <w:pPr>
        <w:pStyle w:val="9"/>
        <w:tabs>
          <w:tab w:val="right" w:leader="dot" w:pos="8306"/>
          <w:tab w:val="clear" w:pos="8296"/>
        </w:tabs>
      </w:pPr>
      <w:r>
        <w:rPr>
          <w:rFonts w:hint="eastAsia" w:ascii="仿宋" w:hAnsi="仿宋" w:eastAsia="仿宋"/>
          <w:color w:val="000000"/>
          <w:szCs w:val="32"/>
        </w:rPr>
        <w:t>（二）一般公共预算财政拨款支出决算结构情况</w:t>
      </w:r>
      <w:r>
        <w:tab/>
      </w:r>
      <w:r>
        <w:fldChar w:fldCharType="begin"/>
      </w:r>
      <w:r>
        <w:instrText xml:space="preserve"> PAGEREF _Toc27782 \h </w:instrText>
      </w:r>
      <w:r>
        <w:fldChar w:fldCharType="separate"/>
      </w:r>
      <w:r>
        <w:t>13</w:t>
      </w:r>
      <w:r>
        <w:fldChar w:fldCharType="end"/>
      </w:r>
    </w:p>
    <w:p>
      <w:pPr>
        <w:pStyle w:val="9"/>
        <w:tabs>
          <w:tab w:val="right" w:leader="dot" w:pos="8306"/>
          <w:tab w:val="clear" w:pos="8296"/>
        </w:tabs>
      </w:pPr>
      <w:r>
        <w:rPr>
          <w:rFonts w:hint="eastAsia" w:ascii="仿宋" w:hAnsi="仿宋" w:eastAsia="仿宋"/>
          <w:color w:val="000000"/>
          <w:szCs w:val="32"/>
        </w:rPr>
        <w:t>（三）一般公共预算财政拨款支出决算具体情况</w:t>
      </w:r>
      <w:r>
        <w:tab/>
      </w:r>
      <w:r>
        <w:fldChar w:fldCharType="begin"/>
      </w:r>
      <w:r>
        <w:instrText xml:space="preserve"> PAGEREF _Toc16333 \h </w:instrText>
      </w:r>
      <w:r>
        <w:fldChar w:fldCharType="separate"/>
      </w:r>
      <w:r>
        <w:t>14</w:t>
      </w:r>
      <w:r>
        <w:fldChar w:fldCharType="end"/>
      </w:r>
    </w:p>
    <w:p>
      <w:pPr>
        <w:pStyle w:val="15"/>
        <w:tabs>
          <w:tab w:val="right" w:leader="dot" w:pos="8306"/>
          <w:tab w:val="clear" w:pos="8296"/>
        </w:tabs>
      </w:pP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_Toc29723 \h </w:instrText>
      </w:r>
      <w:r>
        <w:fldChar w:fldCharType="separate"/>
      </w:r>
      <w:r>
        <w:t>15</w:t>
      </w:r>
      <w:r>
        <w:fldChar w:fldCharType="end"/>
      </w:r>
    </w:p>
    <w:p>
      <w:pPr>
        <w:pStyle w:val="15"/>
        <w:tabs>
          <w:tab w:val="right" w:leader="dot" w:pos="8306"/>
          <w:tab w:val="clear" w:pos="8296"/>
        </w:tabs>
      </w:pP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_Toc1656 \h </w:instrText>
      </w:r>
      <w:r>
        <w:fldChar w:fldCharType="separate"/>
      </w:r>
      <w:r>
        <w:t>16</w:t>
      </w:r>
      <w:r>
        <w:fldChar w:fldCharType="end"/>
      </w:r>
    </w:p>
    <w:p>
      <w:pPr>
        <w:pStyle w:val="9"/>
        <w:tabs>
          <w:tab w:val="right" w:leader="dot" w:pos="8306"/>
          <w:tab w:val="clear" w:pos="8296"/>
        </w:tabs>
      </w:pPr>
      <w:r>
        <w:rPr>
          <w:rFonts w:hint="eastAsia" w:ascii="仿宋" w:hAnsi="仿宋" w:eastAsia="仿宋"/>
          <w:szCs w:val="32"/>
        </w:rPr>
        <w:t>（一）“三公”经费财政拨款支出决算总体情况说明</w:t>
      </w:r>
      <w:r>
        <w:tab/>
      </w:r>
      <w:r>
        <w:fldChar w:fldCharType="begin"/>
      </w:r>
      <w:r>
        <w:instrText xml:space="preserve"> PAGEREF _Toc7419 \h </w:instrText>
      </w:r>
      <w:r>
        <w:fldChar w:fldCharType="separate"/>
      </w:r>
      <w:r>
        <w:t>16</w:t>
      </w:r>
      <w:r>
        <w:fldChar w:fldCharType="end"/>
      </w:r>
    </w:p>
    <w:p>
      <w:pPr>
        <w:pStyle w:val="9"/>
        <w:tabs>
          <w:tab w:val="right" w:leader="dot" w:pos="8306"/>
          <w:tab w:val="clear" w:pos="8296"/>
        </w:tabs>
      </w:pPr>
      <w:r>
        <w:rPr>
          <w:rFonts w:hint="eastAsia" w:ascii="仿宋" w:hAnsi="仿宋" w:eastAsia="仿宋"/>
          <w:szCs w:val="32"/>
        </w:rPr>
        <w:t>（二）“三公”经费财政拨款支出决算具体情况说明</w:t>
      </w:r>
      <w:r>
        <w:tab/>
      </w:r>
      <w:r>
        <w:fldChar w:fldCharType="begin"/>
      </w:r>
      <w:r>
        <w:instrText xml:space="preserve"> PAGEREF _Toc13331 \h </w:instrText>
      </w:r>
      <w:r>
        <w:fldChar w:fldCharType="separate"/>
      </w:r>
      <w:r>
        <w:t>16</w:t>
      </w:r>
      <w:r>
        <w:fldChar w:fldCharType="end"/>
      </w:r>
    </w:p>
    <w:p>
      <w:pPr>
        <w:pStyle w:val="15"/>
        <w:tabs>
          <w:tab w:val="right" w:leader="dot" w:pos="8306"/>
          <w:tab w:val="clear" w:pos="8296"/>
        </w:tabs>
      </w:pPr>
      <w:r>
        <w:rPr>
          <w:rFonts w:hint="eastAsia" w:ascii="黑体" w:eastAsia="黑体"/>
          <w:szCs w:val="32"/>
        </w:rPr>
        <w:t>八、</w:t>
      </w:r>
      <w:r>
        <w:rPr>
          <w:rFonts w:hint="eastAsia" w:ascii="黑体" w:hAnsi="黑体" w:eastAsia="黑体"/>
        </w:rPr>
        <w:t>政府性基金预算支出决算情</w:t>
      </w:r>
      <w:bookmarkStart w:id="120" w:name="_GoBack"/>
      <w:bookmarkEnd w:id="120"/>
      <w:r>
        <w:rPr>
          <w:rFonts w:hint="eastAsia" w:ascii="黑体" w:hAnsi="黑体" w:eastAsia="黑体"/>
        </w:rPr>
        <w:t>况说明</w:t>
      </w:r>
      <w:r>
        <w:tab/>
      </w:r>
      <w:r>
        <w:fldChar w:fldCharType="begin"/>
      </w:r>
      <w:r>
        <w:instrText xml:space="preserve"> PAGEREF _Toc21652 \h </w:instrText>
      </w:r>
      <w:r>
        <w:fldChar w:fldCharType="separate"/>
      </w:r>
      <w:r>
        <w:t>17</w:t>
      </w:r>
      <w:r>
        <w:fldChar w:fldCharType="end"/>
      </w:r>
    </w:p>
    <w:p>
      <w:pPr>
        <w:pStyle w:val="15"/>
        <w:tabs>
          <w:tab w:val="right" w:leader="dot" w:pos="8306"/>
          <w:tab w:val="clear" w:pos="8296"/>
        </w:tabs>
      </w:pPr>
      <w:r>
        <w:rPr>
          <w:rFonts w:hint="eastAsia" w:ascii="黑体" w:hAnsi="黑体" w:eastAsia="黑体"/>
        </w:rPr>
        <w:t>九、国有资本经营预算支出决算情况说明</w:t>
      </w:r>
      <w:r>
        <w:tab/>
      </w:r>
      <w:r>
        <w:fldChar w:fldCharType="begin"/>
      </w:r>
      <w:r>
        <w:instrText xml:space="preserve"> PAGEREF _Toc8352 \h </w:instrText>
      </w:r>
      <w:r>
        <w:fldChar w:fldCharType="separate"/>
      </w:r>
      <w:r>
        <w:t>17</w:t>
      </w:r>
      <w:r>
        <w:fldChar w:fldCharType="end"/>
      </w:r>
    </w:p>
    <w:p>
      <w:pPr>
        <w:pStyle w:val="15"/>
        <w:tabs>
          <w:tab w:val="right" w:leader="dot" w:pos="8306"/>
          <w:tab w:val="clear" w:pos="8296"/>
        </w:tabs>
      </w:pP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_Toc22272 \h </w:instrText>
      </w:r>
      <w:r>
        <w:fldChar w:fldCharType="separate"/>
      </w:r>
      <w:r>
        <w:t>17</w:t>
      </w:r>
      <w:r>
        <w:fldChar w:fldCharType="end"/>
      </w:r>
    </w:p>
    <w:p>
      <w:pPr>
        <w:pStyle w:val="9"/>
        <w:tabs>
          <w:tab w:val="right" w:leader="dot" w:pos="8306"/>
          <w:tab w:val="clear" w:pos="8296"/>
        </w:tabs>
      </w:pPr>
      <w:r>
        <w:rPr>
          <w:rFonts w:hint="eastAsia" w:ascii="仿宋" w:hAnsi="仿宋" w:eastAsia="仿宋"/>
          <w:szCs w:val="32"/>
        </w:rPr>
        <w:t>（一）机关运行经费支出情况</w:t>
      </w:r>
      <w:r>
        <w:tab/>
      </w:r>
      <w:r>
        <w:fldChar w:fldCharType="begin"/>
      </w:r>
      <w:r>
        <w:instrText xml:space="preserve"> PAGEREF _Toc15048 \h </w:instrText>
      </w:r>
      <w:r>
        <w:fldChar w:fldCharType="separate"/>
      </w:r>
      <w:r>
        <w:t>17</w:t>
      </w:r>
      <w:r>
        <w:fldChar w:fldCharType="end"/>
      </w:r>
    </w:p>
    <w:p>
      <w:pPr>
        <w:pStyle w:val="9"/>
        <w:tabs>
          <w:tab w:val="right" w:leader="dot" w:pos="8306"/>
          <w:tab w:val="clear" w:pos="8296"/>
        </w:tabs>
      </w:pPr>
      <w:r>
        <w:rPr>
          <w:rFonts w:hint="eastAsia" w:ascii="仿宋" w:hAnsi="仿宋" w:eastAsia="仿宋"/>
          <w:szCs w:val="32"/>
        </w:rPr>
        <w:t>（二）政府采购支出情况</w:t>
      </w:r>
      <w:r>
        <w:tab/>
      </w:r>
      <w:r>
        <w:fldChar w:fldCharType="begin"/>
      </w:r>
      <w:r>
        <w:instrText xml:space="preserve"> PAGEREF _Toc14186 \h </w:instrText>
      </w:r>
      <w:r>
        <w:fldChar w:fldCharType="separate"/>
      </w:r>
      <w:r>
        <w:t>18</w:t>
      </w:r>
      <w:r>
        <w:fldChar w:fldCharType="end"/>
      </w:r>
    </w:p>
    <w:p>
      <w:pPr>
        <w:pStyle w:val="9"/>
        <w:tabs>
          <w:tab w:val="right" w:leader="dot" w:pos="8306"/>
          <w:tab w:val="clear" w:pos="8296"/>
        </w:tabs>
      </w:pPr>
      <w:r>
        <w:rPr>
          <w:rFonts w:hint="eastAsia" w:ascii="仿宋" w:hAnsi="仿宋" w:eastAsia="仿宋"/>
          <w:szCs w:val="32"/>
        </w:rPr>
        <w:t>（三）国有资产占有使用情况</w:t>
      </w:r>
      <w:r>
        <w:tab/>
      </w:r>
      <w:r>
        <w:fldChar w:fldCharType="begin"/>
      </w:r>
      <w:r>
        <w:instrText xml:space="preserve"> PAGEREF _Toc21382 \h </w:instrText>
      </w:r>
      <w:r>
        <w:fldChar w:fldCharType="separate"/>
      </w:r>
      <w:r>
        <w:t>18</w:t>
      </w:r>
      <w:r>
        <w:fldChar w:fldCharType="end"/>
      </w:r>
    </w:p>
    <w:p>
      <w:pPr>
        <w:pStyle w:val="9"/>
        <w:tabs>
          <w:tab w:val="right" w:leader="dot" w:pos="8306"/>
          <w:tab w:val="clear" w:pos="8296"/>
        </w:tabs>
      </w:pPr>
      <w:r>
        <w:rPr>
          <w:rFonts w:hint="eastAsia" w:ascii="仿宋" w:hAnsi="仿宋" w:eastAsia="仿宋"/>
          <w:szCs w:val="32"/>
        </w:rPr>
        <w:t>（四）预算绩效管理情况。</w:t>
      </w:r>
      <w:r>
        <w:tab/>
      </w:r>
      <w:r>
        <w:fldChar w:fldCharType="begin"/>
      </w:r>
      <w:r>
        <w:instrText xml:space="preserve"> PAGEREF _Toc27481 \h </w:instrText>
      </w:r>
      <w:r>
        <w:fldChar w:fldCharType="separate"/>
      </w:r>
      <w:r>
        <w:t>18</w:t>
      </w:r>
      <w:r>
        <w:fldChar w:fldCharType="end"/>
      </w:r>
    </w:p>
    <w:p>
      <w:pPr>
        <w:pStyle w:val="13"/>
        <w:tabs>
          <w:tab w:val="right" w:leader="dot" w:pos="8306"/>
          <w:tab w:val="clear" w:pos="829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_Toc14554 \h </w:instrText>
      </w:r>
      <w:r>
        <w:fldChar w:fldCharType="separate"/>
      </w:r>
      <w:r>
        <w:t>20</w:t>
      </w:r>
      <w:r>
        <w:fldChar w:fldCharType="end"/>
      </w:r>
    </w:p>
    <w:p>
      <w:pPr>
        <w:pStyle w:val="13"/>
        <w:tabs>
          <w:tab w:val="right" w:leader="dot" w:pos="8306"/>
          <w:tab w:val="clear" w:pos="8296"/>
        </w:tabs>
      </w:pPr>
      <w:r>
        <w:rPr>
          <w:rFonts w:hint="eastAsia" w:ascii="黑体" w:hAnsi="黑体" w:eastAsia="黑体"/>
          <w:color w:val="000000"/>
          <w:szCs w:val="44"/>
        </w:rPr>
        <w:t>第</w:t>
      </w:r>
      <w:r>
        <w:rPr>
          <w:rFonts w:hint="eastAsia" w:ascii="黑体" w:hAnsi="黑体" w:eastAsia="黑体"/>
        </w:rPr>
        <w:t>四部分</w:t>
      </w:r>
      <w:r>
        <w:rPr>
          <w:rFonts w:hint="eastAsia" w:ascii="黑体" w:hAnsi="黑体" w:eastAsia="黑体"/>
          <w:lang w:val="en-US" w:eastAsia="zh-CN"/>
        </w:rPr>
        <w:t xml:space="preserve"> </w:t>
      </w:r>
      <w:r>
        <w:rPr>
          <w:rFonts w:hint="eastAsia" w:ascii="黑体" w:hAnsi="黑体" w:eastAsia="黑体"/>
        </w:rPr>
        <w:t>附件</w:t>
      </w:r>
      <w:r>
        <w:tab/>
      </w:r>
      <w:r>
        <w:fldChar w:fldCharType="begin"/>
      </w:r>
      <w:r>
        <w:instrText xml:space="preserve"> PAGEREF _Toc17691 \h </w:instrText>
      </w:r>
      <w:r>
        <w:fldChar w:fldCharType="separate"/>
      </w:r>
      <w:r>
        <w:t>23</w:t>
      </w:r>
      <w:r>
        <w:fldChar w:fldCharType="end"/>
      </w:r>
    </w:p>
    <w:p>
      <w:pPr>
        <w:pStyle w:val="13"/>
        <w:tabs>
          <w:tab w:val="right" w:leader="dot" w:pos="8306"/>
          <w:tab w:val="clear" w:pos="829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_Toc26362 \h </w:instrText>
      </w:r>
      <w:r>
        <w:fldChar w:fldCharType="separate"/>
      </w:r>
      <w:r>
        <w:t>23</w:t>
      </w:r>
      <w:r>
        <w:fldChar w:fldCharType="end"/>
      </w:r>
    </w:p>
    <w:p>
      <w:pPr>
        <w:pStyle w:val="13"/>
        <w:tabs>
          <w:tab w:val="right" w:leader="dot" w:pos="8306"/>
          <w:tab w:val="clear" w:pos="8296"/>
        </w:tabs>
      </w:pPr>
      <w:r>
        <w:rPr>
          <w:rFonts w:hint="eastAsia" w:ascii="黑体" w:hAnsi="黑体" w:eastAsia="黑体"/>
          <w:color w:val="000000"/>
          <w:szCs w:val="44"/>
        </w:rPr>
        <w:t>第</w:t>
      </w:r>
      <w:r>
        <w:rPr>
          <w:rFonts w:hint="eastAsia" w:ascii="黑体" w:hAnsi="黑体" w:eastAsia="黑体"/>
        </w:rPr>
        <w:t>五部分</w:t>
      </w:r>
      <w:r>
        <w:rPr>
          <w:rFonts w:hint="eastAsia" w:ascii="黑体" w:hAnsi="黑体" w:eastAsia="黑体"/>
          <w:lang w:val="en-US" w:eastAsia="zh-CN"/>
        </w:rPr>
        <w:t xml:space="preserve"> </w:t>
      </w:r>
      <w:r>
        <w:rPr>
          <w:rFonts w:hint="eastAsia" w:ascii="黑体" w:hAnsi="黑体" w:eastAsia="黑体"/>
        </w:rPr>
        <w:t>附表</w:t>
      </w:r>
      <w:r>
        <w:tab/>
      </w:r>
      <w:r>
        <w:fldChar w:fldCharType="begin"/>
      </w:r>
      <w:r>
        <w:instrText xml:space="preserve"> PAGEREF _Toc11265 \h </w:instrText>
      </w:r>
      <w:r>
        <w:fldChar w:fldCharType="separate"/>
      </w:r>
      <w:r>
        <w:t>39</w:t>
      </w:r>
      <w:r>
        <w:fldChar w:fldCharType="end"/>
      </w:r>
    </w:p>
    <w:p>
      <w:pPr>
        <w:pStyle w:val="15"/>
        <w:tabs>
          <w:tab w:val="right" w:leader="dot" w:pos="8306"/>
          <w:tab w:val="clear" w:pos="829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_Toc24678 \h </w:instrText>
      </w:r>
      <w:r>
        <w:fldChar w:fldCharType="separate"/>
      </w:r>
      <w:r>
        <w:t>39</w:t>
      </w:r>
      <w:r>
        <w:fldChar w:fldCharType="end"/>
      </w:r>
    </w:p>
    <w:p>
      <w:pPr>
        <w:pStyle w:val="15"/>
        <w:tabs>
          <w:tab w:val="right" w:leader="dot" w:pos="8306"/>
          <w:tab w:val="clear" w:pos="829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_Toc28773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_Toc25551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_Toc24207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_Toc29126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_Toc26221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_Toc4994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_Toc26964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_Toc5655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十、</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_Toc29911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十</w:t>
      </w:r>
      <w:r>
        <w:rPr>
          <w:rFonts w:hint="eastAsia" w:ascii="仿宋" w:hAnsi="仿宋" w:eastAsia="仿宋"/>
          <w:bCs w:val="0"/>
          <w:lang w:val="en-US" w:eastAsia="zh-CN"/>
        </w:rPr>
        <w:t>一</w:t>
      </w:r>
      <w:r>
        <w:rPr>
          <w:rFonts w:hint="eastAsia" w:ascii="仿宋" w:hAnsi="仿宋" w:eastAsia="仿宋"/>
          <w:bCs w:val="0"/>
        </w:rPr>
        <w:t>、</w:t>
      </w:r>
      <w:r>
        <w:rPr>
          <w:rFonts w:hint="eastAsia" w:ascii="仿宋" w:hAnsi="仿宋" w:eastAsia="仿宋"/>
          <w:color w:val="000000"/>
        </w:rPr>
        <w:t>国</w:t>
      </w:r>
      <w:r>
        <w:rPr>
          <w:rFonts w:hint="eastAsia" w:ascii="仿宋" w:hAnsi="仿宋" w:eastAsia="仿宋"/>
          <w:bCs w:val="0"/>
        </w:rPr>
        <w:t>有资本经营预算财政拨款</w:t>
      </w:r>
      <w:r>
        <w:rPr>
          <w:rFonts w:hint="eastAsia" w:ascii="仿宋" w:hAnsi="仿宋" w:eastAsia="仿宋"/>
          <w:bCs w:val="0"/>
          <w:lang w:val="en-US" w:eastAsia="zh-CN"/>
        </w:rPr>
        <w:t>收入</w:t>
      </w:r>
      <w:r>
        <w:rPr>
          <w:rFonts w:hint="eastAsia" w:ascii="仿宋" w:hAnsi="仿宋" w:eastAsia="仿宋"/>
          <w:bCs w:val="0"/>
        </w:rPr>
        <w:t>支出决算表</w:t>
      </w:r>
      <w:r>
        <w:tab/>
      </w:r>
      <w:r>
        <w:fldChar w:fldCharType="begin"/>
      </w:r>
      <w:r>
        <w:instrText xml:space="preserve"> PAGEREF _Toc6767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rPr>
        <w:t>十</w:t>
      </w:r>
      <w:r>
        <w:rPr>
          <w:rFonts w:hint="eastAsia" w:ascii="仿宋" w:hAnsi="仿宋" w:eastAsia="仿宋"/>
          <w:bCs w:val="0"/>
          <w:lang w:val="en-US" w:eastAsia="zh-CN"/>
        </w:rPr>
        <w:t>二</w:t>
      </w:r>
      <w:r>
        <w:rPr>
          <w:rFonts w:hint="eastAsia" w:ascii="仿宋" w:hAnsi="仿宋" w:eastAsia="仿宋"/>
          <w:bCs w:val="0"/>
        </w:rPr>
        <w:t>、国有资本经营预算财政拨款支出决算表</w:t>
      </w:r>
      <w:r>
        <w:tab/>
      </w:r>
      <w:r>
        <w:fldChar w:fldCharType="begin"/>
      </w:r>
      <w:r>
        <w:instrText xml:space="preserve"> PAGEREF _Toc20812 \h </w:instrText>
      </w:r>
      <w:r>
        <w:fldChar w:fldCharType="separate"/>
      </w:r>
      <w:r>
        <w:t>39</w:t>
      </w:r>
      <w:r>
        <w:fldChar w:fldCharType="end"/>
      </w:r>
    </w:p>
    <w:p>
      <w:pPr>
        <w:pStyle w:val="15"/>
        <w:tabs>
          <w:tab w:val="right" w:leader="dot" w:pos="8306"/>
          <w:tab w:val="clear" w:pos="8296"/>
        </w:tabs>
      </w:pPr>
      <w:r>
        <w:rPr>
          <w:rFonts w:hint="eastAsia" w:ascii="仿宋" w:hAnsi="仿宋" w:eastAsia="仿宋"/>
          <w:bCs w:val="0"/>
          <w:lang w:val="en-US" w:eastAsia="zh-CN"/>
        </w:rPr>
        <w:t>十三、</w:t>
      </w:r>
      <w:r>
        <w:rPr>
          <w:rFonts w:hint="eastAsia" w:ascii="仿宋" w:hAnsi="仿宋" w:eastAsia="仿宋"/>
          <w:bCs w:val="0"/>
        </w:rPr>
        <w:t>财政拨款“三公”经费支出决算表</w:t>
      </w:r>
      <w:r>
        <w:tab/>
      </w:r>
      <w:r>
        <w:fldChar w:fldCharType="begin"/>
      </w:r>
      <w:r>
        <w:instrText xml:space="preserve"> PAGEREF _Toc11835 \h </w:instrText>
      </w:r>
      <w:r>
        <w:fldChar w:fldCharType="separate"/>
      </w:r>
      <w:r>
        <w:t>39</w:t>
      </w:r>
      <w:r>
        <w:fldChar w:fldCharType="end"/>
      </w:r>
    </w:p>
    <w:p>
      <w:r>
        <w:rPr>
          <w:rFonts w:asciiTheme="minorHAnsi" w:eastAsiaTheme="minorHAnsi"/>
          <w:bCs/>
          <w:caps/>
          <w:szCs w:val="20"/>
        </w:rPr>
        <w:fldChar w:fldCharType="end"/>
      </w:r>
    </w:p>
    <w:p>
      <w:pPr>
        <w:pStyle w:val="4"/>
        <w:jc w:val="center"/>
        <w:rPr>
          <w:rFonts w:hint="eastAsia" w:ascii="黑体" w:hAnsi="黑体" w:eastAsia="黑体"/>
          <w:b w:val="0"/>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cs="仿宋"/>
          <w:color w:val="FF0000"/>
          <w:sz w:val="32"/>
          <w:szCs w:val="32"/>
        </w:rPr>
      </w:pPr>
    </w:p>
    <w:p>
      <w:pPr>
        <w:widowControl/>
        <w:spacing w:line="440" w:lineRule="exact"/>
        <w:jc w:val="left"/>
        <w:rPr>
          <w:rFonts w:ascii="仿宋" w:hAnsi="仿宋" w:eastAsia="仿宋"/>
          <w:bCs/>
          <w:kern w:val="44"/>
          <w:sz w:val="24"/>
        </w:rPr>
      </w:pPr>
      <w:r>
        <w:rPr>
          <w:rFonts w:ascii="仿宋" w:hAnsi="仿宋" w:eastAsia="仿宋"/>
          <w:bCs/>
          <w:kern w:val="44"/>
          <w:sz w:val="24"/>
        </w:rPr>
        <w:t xml:space="preserve"> </w:t>
      </w:r>
    </w:p>
    <w:p>
      <w:pPr>
        <w:widowControl/>
        <w:spacing w:line="440" w:lineRule="exact"/>
        <w:jc w:val="left"/>
        <w:rPr>
          <w:rFonts w:ascii="仿宋" w:hAnsi="仿宋" w:eastAsia="仿宋"/>
          <w:bCs/>
          <w:kern w:val="44"/>
          <w:sz w:val="24"/>
        </w:rPr>
      </w:pPr>
    </w:p>
    <w:p>
      <w:pPr>
        <w:pStyle w:val="4"/>
        <w:jc w:val="center"/>
        <w:rPr>
          <w:rStyle w:val="21"/>
          <w:rFonts w:ascii="黑体" w:hAnsi="黑体" w:eastAsia="黑体"/>
          <w:b/>
          <w:bCs w:val="0"/>
        </w:rPr>
      </w:pPr>
      <w:bookmarkStart w:id="3" w:name="_Toc27170"/>
      <w:r>
        <w:rPr>
          <w:rFonts w:hint="eastAsia" w:ascii="黑体" w:hAnsi="黑体" w:eastAsia="黑体"/>
          <w:b w:val="0"/>
        </w:rPr>
        <w:t>第一部分</w:t>
      </w:r>
      <w:r>
        <w:rPr>
          <w:rFonts w:hint="eastAsia" w:ascii="黑体" w:hAnsi="黑体" w:eastAsia="黑体"/>
          <w:b w:val="0"/>
          <w:lang w:val="en-US" w:eastAsia="zh-CN"/>
        </w:rPr>
        <w:t xml:space="preserve"> </w:t>
      </w:r>
      <w:r>
        <w:rPr>
          <w:rStyle w:val="21"/>
          <w:rFonts w:hint="eastAsia" w:ascii="黑体" w:hAnsi="黑体" w:eastAsia="黑体"/>
          <w:b w:val="0"/>
          <w:bCs w:val="0"/>
        </w:rPr>
        <w:t>部门概况</w:t>
      </w:r>
      <w:bookmarkEnd w:id="1"/>
      <w:bookmarkEnd w:id="2"/>
      <w:bookmarkEnd w:id="3"/>
    </w:p>
    <w:p>
      <w:pPr>
        <w:widowControl/>
        <w:jc w:val="left"/>
        <w:rPr>
          <w:rFonts w:ascii="黑体" w:eastAsia="黑体"/>
          <w:color w:val="000000"/>
          <w:sz w:val="32"/>
          <w:szCs w:val="32"/>
        </w:rPr>
      </w:pPr>
    </w:p>
    <w:p>
      <w:pPr>
        <w:pStyle w:val="5"/>
        <w:rPr>
          <w:rFonts w:hint="default" w:ascii="仿宋" w:hAnsi="仿宋" w:eastAsia="黑体"/>
          <w:b w:val="0"/>
          <w:bCs w:val="0"/>
          <w:lang w:val="en-US" w:eastAsia="zh-CN"/>
        </w:rPr>
      </w:pPr>
      <w:bookmarkStart w:id="4" w:name="_Toc15396600"/>
      <w:bookmarkStart w:id="5" w:name="_Toc15377197"/>
      <w:bookmarkStart w:id="6" w:name="_Toc11245"/>
      <w:r>
        <w:rPr>
          <w:rFonts w:hint="eastAsia" w:ascii="黑体" w:hAnsi="黑体" w:eastAsia="黑体"/>
          <w:b w:val="0"/>
          <w:color w:val="000000"/>
        </w:rPr>
        <w:t>一、</w:t>
      </w:r>
      <w:bookmarkEnd w:id="4"/>
      <w:bookmarkEnd w:id="5"/>
      <w:bookmarkEnd w:id="6"/>
      <w:bookmarkStart w:id="7" w:name="_Toc15377199"/>
      <w:bookmarkStart w:id="8" w:name="_Toc15378446"/>
      <w:r>
        <w:rPr>
          <w:rFonts w:hint="eastAsia" w:ascii="黑体" w:hAnsi="黑体" w:eastAsia="黑体"/>
          <w:b w:val="0"/>
          <w:color w:val="000000"/>
          <w:lang w:val="en-US" w:eastAsia="zh-CN"/>
        </w:rPr>
        <w:t>部门职责</w:t>
      </w:r>
    </w:p>
    <w:p>
      <w:pPr>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rPr>
        <w:t>、按照规定权限，履行全民所有土地、矿产、森林、草原、湿地、水等自然资源资产所有者职责和所有国土空间用途管制职责。拟订全县自然资源和国土空间规划地方性法规、政府规章草案，制定有关政策措施并监督检查执行情况。</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负责全县自然资源调查监测评价。依照自然资源调查监测评价的指标体系和统计标准，建立统一规范的自然资源调查监测评价制度。实施自然资源基础调查、专项调查和监测。负责自然资源调查监测评价成果的监督管理和信息发布。</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sz w:val="32"/>
          <w:szCs w:val="32"/>
        </w:rPr>
        <w:t>、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指导监督自然资源和不动产确权登记工作。</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sz w:val="32"/>
          <w:szCs w:val="32"/>
        </w:rPr>
        <w:t>、负责全县自然资源资产有偿使用工作。建立全民所有自然资源资产统计制度，负责全民所有自然资源资产核算。编制全民所有自然资源资产负债表，依照有关标准组织考核。按照规定权限，制定全民所有自然资源资产划拨、出让、租赁、作价出资和土地储备政策，合理配置全民所有自然资源资产。负责自然资源资产价值评估管理，依法收缴相关资产收益。</w:t>
      </w:r>
    </w:p>
    <w:p>
      <w:pPr>
        <w:ind w:firstLine="64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sz w:val="32"/>
          <w:szCs w:val="32"/>
        </w:rPr>
        <w:t>、负责全县自然资源的合理开发利用。组织拟订自然资源发展规划和战略，制定自然资源开发利用地方标准并组织实施，建立政府公示自然资源价格体系，组织开展自然资源分等定级价格评估，开展自然资源利用评价考核，指导节约集约利用。负责自然资源市场监管。组织研究自然资源管理涉及宏观调控、区域协调和城乡统筹的政策措施。</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sz w:val="32"/>
          <w:szCs w:val="32"/>
        </w:rPr>
        <w:t>、负责建立全县空间规划体系并监督实施，推进主体功能区战略和制度，组织编制并监督实施国土空间规划和相关专项规划。开展国土空间开发适宜性评价，建立国土空间规划实施监测、评估和预警体系。组织划定生态保护红线、永久基本农田、城镇开发边界等控制线，构建节约资源和保护环境的生产、生活、生态空间布局。建立健全国土空间用途管制制度，研究拟订城乡规划政策并监督实施。组织拟订并实施土地等自然资源年度利用计划。负责土地等国土空间用途转用工作。负责土地征收征用管理。</w:t>
      </w:r>
    </w:p>
    <w:p>
      <w:pPr>
        <w:ind w:firstLine="640" w:firstLineChars="200"/>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sz w:val="32"/>
          <w:szCs w:val="32"/>
        </w:rPr>
        <w:t>、负责统筹全县国土空间生态修复。牵头组织编制全县国土空间生态修复规划并实施有关生态修复重大工程。负责开展国土空间综合整治、土地整理复垦、矿山地质环境恢复治理等工作。牵头建立和实施生态保护补偿制度，制定合理利用社会资金进行生态修复的政策措施，提出重大备选项目。</w:t>
      </w:r>
    </w:p>
    <w:p>
      <w:pPr>
        <w:ind w:firstLine="640" w:firstLineChars="200"/>
        <w:rPr>
          <w:rFonts w:ascii="仿宋_GB2312" w:hAnsi="黑体" w:eastAsia="仿宋_GB2312"/>
          <w:sz w:val="32"/>
          <w:szCs w:val="32"/>
        </w:rPr>
      </w:pPr>
      <w:r>
        <w:rPr>
          <w:rFonts w:ascii="仿宋_GB2312" w:hAnsi="黑体" w:eastAsia="仿宋_GB2312"/>
          <w:sz w:val="32"/>
          <w:szCs w:val="32"/>
        </w:rPr>
        <w:t>8</w:t>
      </w:r>
      <w:r>
        <w:rPr>
          <w:rFonts w:hint="eastAsia" w:ascii="仿宋_GB2312" w:hAnsi="黑体" w:eastAsia="仿宋_GB2312"/>
          <w:sz w:val="32"/>
          <w:szCs w:val="32"/>
        </w:rPr>
        <w:t>、负责组织实施最严格的耕地保护制度。牵头拟订并实施全县耕地保护政策，负责耕地数量、质量、生态保护。组织实施耕地保护责任目标考核和永久基本农田特殊保护。完善耕地占补平衡制度，监督占用耕地补偿制度执行情况。</w:t>
      </w:r>
    </w:p>
    <w:p>
      <w:pPr>
        <w:ind w:firstLine="640" w:firstLineChars="200"/>
        <w:rPr>
          <w:rFonts w:ascii="仿宋_GB2312" w:hAnsi="黑体" w:eastAsia="仿宋_GB2312"/>
          <w:sz w:val="32"/>
          <w:szCs w:val="32"/>
        </w:rPr>
      </w:pPr>
      <w:r>
        <w:rPr>
          <w:rFonts w:ascii="仿宋_GB2312" w:hAnsi="黑体" w:eastAsia="仿宋_GB2312"/>
          <w:sz w:val="32"/>
          <w:szCs w:val="32"/>
        </w:rPr>
        <w:t>9</w:t>
      </w:r>
      <w:r>
        <w:rPr>
          <w:rFonts w:hint="eastAsia" w:ascii="仿宋_GB2312" w:hAnsi="黑体" w:eastAsia="仿宋_GB2312"/>
          <w:sz w:val="32"/>
          <w:szCs w:val="32"/>
        </w:rPr>
        <w:t>、负责管理全县地质勘查行业和地质工作。拟订全县地质勘查规划并监督检查执行情况。管理县级地质勘查项目。组织实施重大地质矿产勘查专项。负责地质灾害预防和治理，监督管理地下水过量开采及引发的地面沉降等地质问题。负责古生物化石的监督管理。</w:t>
      </w:r>
    </w:p>
    <w:p>
      <w:pPr>
        <w:ind w:firstLine="640" w:firstLineChars="200"/>
        <w:rPr>
          <w:rFonts w:ascii="仿宋_GB2312" w:hAnsi="黑体" w:eastAsia="仿宋_GB2312"/>
          <w:sz w:val="32"/>
          <w:szCs w:val="32"/>
        </w:rPr>
      </w:pPr>
      <w:r>
        <w:rPr>
          <w:rFonts w:ascii="仿宋_GB2312" w:hAnsi="黑体" w:eastAsia="仿宋_GB2312"/>
          <w:sz w:val="32"/>
          <w:szCs w:val="32"/>
        </w:rPr>
        <w:t>10</w:t>
      </w:r>
      <w:r>
        <w:rPr>
          <w:rFonts w:hint="eastAsia" w:ascii="仿宋_GB2312" w:hAnsi="黑体" w:eastAsia="仿宋_GB2312"/>
          <w:sz w:val="32"/>
          <w:szCs w:val="32"/>
        </w:rPr>
        <w:t>、负责落实综合防灾减灾规划相关要求，组织编制并实施地质灾害防治规划。组织、指导、协调和监督地质灾害调查评价及隐患的普查、详查、排查。组织、指导开展群测群防、专业监测和预报预警等工作，组织、指导开展地质灾害工程治理工作。承担地质灾害应急救援的技术保障工作。</w:t>
      </w:r>
    </w:p>
    <w:p>
      <w:pPr>
        <w:ind w:firstLine="640" w:firstLineChars="200"/>
        <w:rPr>
          <w:rFonts w:ascii="仿宋_GB2312" w:hAnsi="黑体" w:eastAsia="仿宋_GB2312"/>
          <w:sz w:val="32"/>
          <w:szCs w:val="32"/>
        </w:rPr>
      </w:pPr>
      <w:r>
        <w:rPr>
          <w:rFonts w:ascii="仿宋_GB2312" w:hAnsi="黑体" w:eastAsia="仿宋_GB2312"/>
          <w:sz w:val="32"/>
          <w:szCs w:val="32"/>
        </w:rPr>
        <w:t>11</w:t>
      </w:r>
      <w:r>
        <w:rPr>
          <w:rFonts w:hint="eastAsia" w:ascii="仿宋_GB2312" w:hAnsi="黑体" w:eastAsia="仿宋_GB2312"/>
          <w:sz w:val="32"/>
          <w:szCs w:val="32"/>
        </w:rPr>
        <w:t>、负责全县矿产资源管理工作。负责矿产资源储量管理及压覆矿产资源审批。负责矿业权管理。会同有关部门承担保护性开采的特定矿种、优势矿产的调控及相关管理工作。监督指导矿产资源合理利用和保护。</w:t>
      </w:r>
    </w:p>
    <w:p>
      <w:pPr>
        <w:rPr>
          <w:rFonts w:ascii="仿宋_GB2312" w:hAnsi="黑体" w:eastAsia="仿宋_GB2312"/>
          <w:sz w:val="32"/>
          <w:szCs w:val="32"/>
        </w:rPr>
      </w:pPr>
      <w:r>
        <w:rPr>
          <w:rFonts w:ascii="仿宋_GB2312" w:hAnsi="黑体" w:eastAsia="仿宋_GB2312"/>
          <w:sz w:val="32"/>
          <w:szCs w:val="32"/>
        </w:rPr>
        <w:t xml:space="preserve">    12</w:t>
      </w:r>
      <w:r>
        <w:rPr>
          <w:rFonts w:hint="eastAsia" w:ascii="仿宋_GB2312" w:hAnsi="黑体" w:eastAsia="仿宋_GB2312"/>
          <w:sz w:val="32"/>
          <w:szCs w:val="32"/>
        </w:rPr>
        <w:t>、负责全县测绘地理信息工作。负责基础测绘地理信息工作的统一监督管理。根据国家、省级和州级基础测绘规划以及全县实际情况，会同有关部门组织编制实施全县基础测绘规划和年度计划。按照分级管理权限组织实施基础测绘项目。负责本级基础测绘成果资料提供使用的审批。</w:t>
      </w:r>
    </w:p>
    <w:p>
      <w:pPr>
        <w:ind w:firstLine="640" w:firstLineChars="200"/>
        <w:rPr>
          <w:rFonts w:ascii="仿宋_GB2312" w:hAnsi="黑体" w:eastAsia="仿宋_GB2312"/>
          <w:sz w:val="32"/>
          <w:szCs w:val="32"/>
        </w:rPr>
      </w:pPr>
      <w:r>
        <w:rPr>
          <w:rFonts w:ascii="仿宋_GB2312" w:hAnsi="黑体" w:eastAsia="仿宋_GB2312"/>
          <w:sz w:val="32"/>
          <w:szCs w:val="32"/>
        </w:rPr>
        <w:t>13</w:t>
      </w:r>
      <w:r>
        <w:rPr>
          <w:rFonts w:hint="eastAsia" w:ascii="仿宋_GB2312" w:hAnsi="黑体" w:eastAsia="仿宋_GB2312"/>
          <w:sz w:val="32"/>
          <w:szCs w:val="32"/>
        </w:rPr>
        <w:t>、推动全县自然资源领域科技发展和对外合作。制定并实施全县自然资源领域科技创新发展和人才培养规划、计划。组织制定地方技术标准、规程规范并监督实施。组织实施重大科技专项及创新能力建设，推进自然资源信息化和信息资料的公共服务。组织开展全县自然资源系统对外交流合作。</w:t>
      </w:r>
    </w:p>
    <w:p>
      <w:pPr>
        <w:ind w:firstLine="640" w:firstLineChars="200"/>
        <w:rPr>
          <w:rFonts w:ascii="仿宋_GB2312" w:hAnsi="黑体" w:eastAsia="仿宋_GB2312"/>
          <w:sz w:val="32"/>
          <w:szCs w:val="32"/>
        </w:rPr>
      </w:pPr>
      <w:r>
        <w:rPr>
          <w:rFonts w:ascii="仿宋_GB2312" w:hAnsi="黑体" w:eastAsia="仿宋_GB2312"/>
          <w:sz w:val="32"/>
          <w:szCs w:val="32"/>
        </w:rPr>
        <w:t>14</w:t>
      </w:r>
      <w:r>
        <w:rPr>
          <w:rFonts w:hint="eastAsia" w:ascii="仿宋_GB2312" w:hAnsi="黑体" w:eastAsia="仿宋_GB2312"/>
          <w:sz w:val="32"/>
          <w:szCs w:val="32"/>
        </w:rPr>
        <w:t>、配合国家、省、州对县政府落实党中央、国务院关于自然资源和国土空间规划的重大方针政策、决策部署及法律法规执行情况进行督察。按照县委、县政府安排，组织实施自然资源督察相关工作。查处全县自然资源开发利用、国土空间规划等领域重大违法案件。指导本级有关行政执法工作。</w:t>
      </w:r>
    </w:p>
    <w:p>
      <w:pPr>
        <w:ind w:firstLine="640" w:firstLineChars="200"/>
        <w:rPr>
          <w:rFonts w:ascii="仿宋_GB2312" w:hAnsi="黑体" w:eastAsia="仿宋_GB2312"/>
          <w:sz w:val="32"/>
          <w:szCs w:val="32"/>
        </w:rPr>
      </w:pPr>
      <w:r>
        <w:rPr>
          <w:rFonts w:ascii="仿宋_GB2312" w:hAnsi="黑体" w:eastAsia="仿宋_GB2312"/>
          <w:sz w:val="32"/>
          <w:szCs w:val="32"/>
        </w:rPr>
        <w:t>15</w:t>
      </w:r>
      <w:r>
        <w:rPr>
          <w:rFonts w:hint="eastAsia" w:ascii="仿宋_GB2312" w:hAnsi="黑体" w:eastAsia="仿宋_GB2312"/>
          <w:sz w:val="32"/>
          <w:szCs w:val="32"/>
        </w:rPr>
        <w:t>、负责职责范围内的安全生产和职业健康、生态环境保护、审批服务便民化等工作。</w:t>
      </w:r>
    </w:p>
    <w:p>
      <w:pPr>
        <w:ind w:firstLine="640" w:firstLineChars="200"/>
        <w:rPr>
          <w:rFonts w:ascii="仿宋_GB2312" w:hAnsi="黑体" w:eastAsia="仿宋_GB2312"/>
          <w:sz w:val="32"/>
          <w:szCs w:val="32"/>
        </w:rPr>
      </w:pPr>
      <w:r>
        <w:rPr>
          <w:rFonts w:ascii="仿宋_GB2312" w:hAnsi="黑体" w:eastAsia="仿宋_GB2312"/>
          <w:sz w:val="32"/>
          <w:szCs w:val="32"/>
        </w:rPr>
        <w:t>16</w:t>
      </w:r>
      <w:r>
        <w:rPr>
          <w:rFonts w:hint="eastAsia" w:ascii="仿宋_GB2312" w:hAnsi="黑体" w:eastAsia="仿宋_GB2312"/>
          <w:sz w:val="32"/>
          <w:szCs w:val="32"/>
        </w:rPr>
        <w:t>、统一领导和管理壤塘县林业和草原局。</w:t>
      </w:r>
    </w:p>
    <w:p>
      <w:pPr>
        <w:ind w:firstLine="640" w:firstLineChars="200"/>
        <w:rPr>
          <w:rFonts w:ascii="仿宋_GB2312" w:hAnsi="黑体" w:eastAsia="仿宋_GB2312"/>
          <w:sz w:val="32"/>
          <w:szCs w:val="32"/>
        </w:rPr>
      </w:pPr>
      <w:r>
        <w:rPr>
          <w:rFonts w:ascii="仿宋_GB2312" w:hAnsi="黑体" w:eastAsia="仿宋_GB2312"/>
          <w:sz w:val="32"/>
          <w:szCs w:val="32"/>
        </w:rPr>
        <w:t>17</w:t>
      </w:r>
      <w:r>
        <w:rPr>
          <w:rFonts w:hint="eastAsia" w:ascii="仿宋_GB2312" w:hAnsi="黑体" w:eastAsia="仿宋_GB2312"/>
          <w:sz w:val="32"/>
          <w:szCs w:val="32"/>
        </w:rPr>
        <w:t>、完成县委和县政府交办的其他任务。</w:t>
      </w:r>
    </w:p>
    <w:p>
      <w:pPr>
        <w:ind w:firstLine="640" w:firstLineChars="200"/>
        <w:rPr>
          <w:rFonts w:ascii="仿宋_GB2312" w:hAnsi="黑体" w:eastAsia="仿宋_GB2312"/>
          <w:sz w:val="32"/>
          <w:szCs w:val="32"/>
        </w:rPr>
      </w:pPr>
      <w:r>
        <w:rPr>
          <w:rFonts w:ascii="仿宋_GB2312" w:hAnsi="黑体" w:eastAsia="仿宋_GB2312"/>
          <w:sz w:val="32"/>
          <w:szCs w:val="32"/>
        </w:rPr>
        <w:t>18</w:t>
      </w:r>
      <w:r>
        <w:rPr>
          <w:rFonts w:hint="eastAsia" w:ascii="仿宋_GB2312" w:hAnsi="黑体" w:eastAsia="仿宋_GB2312"/>
          <w:sz w:val="32"/>
          <w:szCs w:val="32"/>
        </w:rPr>
        <w:t>、职能转变。落实关于统一行使全民所有自然资源资产所有者职责，统一行使所有国土空间用途管制和生态保护修复职责的要求，发挥国土空间规划的管控作用，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有关职责分工。在地质灾害应急工作方面的职责分工。县自然资源局与县应急局要做到各司其职、无缝对接。县应急局负责统一组织、统一指挥、统一协调自然灾害类突发事件应急救援救灾工作。县自然资源局负责落实综合防灾减灾规划相关要求，组织编制并实施地质灾害防治规划；组织、指导、协调和监督地质灾害调查评价及隐患的普查、详查、排查；组织、指导、开展地质灾害工程治理工作；承担地质灾害应急救援的技术保障工作。必要时，县自然资源局可以提请县应急局，以县应急指挥机构名义部署相关地质灾害防治工作。县自然资源局负责地质灾害防治工作的组织、协调、指导和监督，做好威胁城镇居民和乡村农户安全的地质灾害防治工作的组织实施。县交通运输局负责做好公路（不含乡道、村道）沿线危及交通设施和通行安全的地质灾害防治工作的组织实施。县水务局负责做好河道、水利设施及周边地质灾害防治工作的组织实施。</w:t>
      </w:r>
      <w:r>
        <w:rPr>
          <w:rFonts w:ascii="仿宋_GB2312" w:hAnsi="黑体" w:eastAsia="仿宋_GB2312"/>
          <w:sz w:val="32"/>
          <w:szCs w:val="32"/>
        </w:rPr>
        <w:t xml:space="preserve">       </w:t>
      </w:r>
    </w:p>
    <w:bookmarkEnd w:id="7"/>
    <w:bookmarkEnd w:id="8"/>
    <w:p>
      <w:pPr>
        <w:pStyle w:val="5"/>
        <w:rPr>
          <w:rStyle w:val="22"/>
          <w:b w:val="0"/>
          <w:bCs w:val="0"/>
        </w:rPr>
      </w:pPr>
      <w:bookmarkStart w:id="9" w:name="_Toc15377200"/>
      <w:bookmarkStart w:id="10" w:name="_Toc15396601"/>
      <w:bookmarkStart w:id="11" w:name="_Toc29958"/>
      <w:r>
        <w:rPr>
          <w:rFonts w:hint="eastAsia" w:ascii="黑体" w:eastAsia="黑体"/>
          <w:b w:val="0"/>
          <w:color w:val="000000"/>
        </w:rPr>
        <w:t>二、</w:t>
      </w:r>
      <w:r>
        <w:rPr>
          <w:rFonts w:hint="eastAsia" w:ascii="黑体" w:hAnsi="黑体" w:eastAsia="黑体"/>
          <w:b w:val="0"/>
          <w:color w:val="000000"/>
        </w:rPr>
        <w:t>机</w:t>
      </w:r>
      <w:r>
        <w:rPr>
          <w:rStyle w:val="22"/>
          <w:rFonts w:hint="eastAsia" w:ascii="黑体" w:hAnsi="黑体" w:eastAsia="黑体"/>
          <w:b w:val="0"/>
          <w:bCs w:val="0"/>
        </w:rPr>
        <w:t>构设置</w:t>
      </w:r>
      <w:bookmarkEnd w:id="9"/>
      <w:bookmarkEnd w:id="10"/>
      <w:bookmarkEnd w:id="11"/>
    </w:p>
    <w:p>
      <w:pPr>
        <w:widowControl/>
        <w:adjustRightInd w:val="0"/>
        <w:snapToGrid w:val="0"/>
        <w:spacing w:line="560" w:lineRule="exact"/>
        <w:ind w:firstLine="640" w:firstLineChars="200"/>
        <w:contextualSpacing/>
        <w:jc w:val="left"/>
        <w:rPr>
          <w:rFonts w:hint="eastAsia" w:ascii="仿宋" w:hAnsi="仿宋" w:eastAsia="仿宋" w:cs="宋体"/>
          <w:color w:val="000000"/>
          <w:kern w:val="0"/>
          <w:sz w:val="32"/>
          <w:szCs w:val="32"/>
          <w:shd w:val="clear" w:color="auto" w:fill="FFFFFF"/>
          <w:lang w:val="en-US" w:eastAsia="zh-CN"/>
        </w:rPr>
      </w:pPr>
      <w:bookmarkStart w:id="12" w:name="_Toc15396602"/>
      <w:bookmarkStart w:id="13" w:name="_Toc15377204"/>
      <w:r>
        <w:rPr>
          <w:rFonts w:hint="eastAsia" w:ascii="仿宋" w:hAnsi="仿宋" w:eastAsia="仿宋" w:cs="宋体"/>
          <w:color w:val="000000"/>
          <w:kern w:val="0"/>
          <w:sz w:val="32"/>
          <w:szCs w:val="32"/>
          <w:shd w:val="clear" w:color="auto" w:fill="FFFFFF"/>
          <w:lang w:val="zh-CN"/>
        </w:rPr>
        <w:t>自然资源局</w:t>
      </w:r>
      <w:r>
        <w:rPr>
          <w:rFonts w:hint="eastAsia" w:ascii="仿宋" w:hAnsi="仿宋" w:eastAsia="仿宋" w:cs="宋体"/>
          <w:color w:val="000000"/>
          <w:kern w:val="0"/>
          <w:sz w:val="32"/>
          <w:szCs w:val="32"/>
          <w:shd w:val="clear" w:color="auto" w:fill="FFFFFF"/>
          <w:lang w:val="en-US" w:eastAsia="zh-CN"/>
        </w:rPr>
        <w:t>行政编制6名，其中和局长1名，副局长2名（目前差额1名），股级领导职数3名。在编人数4名。机关工勤人员2名，在编2名。</w:t>
      </w:r>
    </w:p>
    <w:p>
      <w:pPr>
        <w:widowControl/>
        <w:adjustRightInd w:val="0"/>
        <w:snapToGrid w:val="0"/>
        <w:spacing w:line="560" w:lineRule="exact"/>
        <w:ind w:firstLine="640" w:firstLineChars="200"/>
        <w:contextualSpacing/>
        <w:jc w:val="left"/>
        <w:rPr>
          <w:rFonts w:hint="eastAsia"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自然资源局无下属二级单位，内设行政机构</w:t>
      </w:r>
      <w:r>
        <w:rPr>
          <w:rFonts w:ascii="仿宋" w:hAnsi="仿宋" w:eastAsia="仿宋" w:cs="宋体"/>
          <w:color w:val="000000"/>
          <w:kern w:val="0"/>
          <w:sz w:val="32"/>
          <w:szCs w:val="32"/>
          <w:shd w:val="clear" w:color="auto" w:fill="FFFFFF"/>
          <w:lang w:val="zh-CN"/>
        </w:rPr>
        <w:t>3</w:t>
      </w:r>
      <w:r>
        <w:rPr>
          <w:rFonts w:hint="eastAsia" w:ascii="仿宋" w:hAnsi="仿宋" w:eastAsia="仿宋" w:cs="宋体"/>
          <w:color w:val="000000"/>
          <w:kern w:val="0"/>
          <w:sz w:val="32"/>
          <w:szCs w:val="32"/>
          <w:shd w:val="clear" w:color="auto" w:fill="FFFFFF"/>
          <w:lang w:val="zh-CN"/>
        </w:rPr>
        <w:t>个，为办公室</w:t>
      </w:r>
      <w:r>
        <w:rPr>
          <w:rFonts w:ascii="仿宋" w:hAnsi="仿宋" w:eastAsia="仿宋" w:cs="宋体"/>
          <w:color w:val="000000"/>
          <w:kern w:val="0"/>
          <w:sz w:val="32"/>
          <w:szCs w:val="32"/>
          <w:shd w:val="clear" w:color="auto" w:fill="FFFFFF"/>
          <w:lang w:val="zh-CN"/>
        </w:rPr>
        <w:t>(</w:t>
      </w:r>
      <w:r>
        <w:rPr>
          <w:rFonts w:hint="eastAsia" w:ascii="仿宋" w:hAnsi="仿宋" w:eastAsia="仿宋" w:cs="宋体"/>
          <w:color w:val="000000"/>
          <w:kern w:val="0"/>
          <w:sz w:val="32"/>
          <w:szCs w:val="32"/>
          <w:shd w:val="clear" w:color="auto" w:fill="FFFFFF"/>
          <w:lang w:val="zh-CN"/>
        </w:rPr>
        <w:t>财务室</w:t>
      </w:r>
      <w:r>
        <w:rPr>
          <w:rFonts w:ascii="仿宋" w:hAnsi="仿宋" w:eastAsia="仿宋" w:cs="宋体"/>
          <w:color w:val="000000"/>
          <w:kern w:val="0"/>
          <w:sz w:val="32"/>
          <w:szCs w:val="32"/>
          <w:shd w:val="clear" w:color="auto" w:fill="FFFFFF"/>
          <w:lang w:val="zh-CN"/>
        </w:rPr>
        <w:t>)</w:t>
      </w:r>
      <w:r>
        <w:rPr>
          <w:rFonts w:hint="eastAsia" w:ascii="仿宋" w:hAnsi="仿宋" w:eastAsia="仿宋" w:cs="宋体"/>
          <w:color w:val="000000"/>
          <w:kern w:val="0"/>
          <w:sz w:val="32"/>
          <w:szCs w:val="32"/>
          <w:shd w:val="clear" w:color="auto" w:fill="FFFFFF"/>
          <w:lang w:val="zh-CN"/>
        </w:rPr>
        <w:t>、自然生态保护股、自然资源开发利用和国土空间规划管理股。事业机构</w:t>
      </w:r>
      <w:r>
        <w:rPr>
          <w:rFonts w:ascii="仿宋" w:hAnsi="仿宋" w:eastAsia="仿宋" w:cs="宋体"/>
          <w:color w:val="000000"/>
          <w:kern w:val="0"/>
          <w:sz w:val="32"/>
          <w:szCs w:val="32"/>
          <w:shd w:val="clear" w:color="auto" w:fill="FFFFFF"/>
          <w:lang w:val="zh-CN"/>
        </w:rPr>
        <w:t>5</w:t>
      </w:r>
      <w:r>
        <w:rPr>
          <w:rFonts w:hint="eastAsia" w:ascii="仿宋" w:hAnsi="仿宋" w:eastAsia="仿宋" w:cs="宋体"/>
          <w:color w:val="000000"/>
          <w:kern w:val="0"/>
          <w:sz w:val="32"/>
          <w:szCs w:val="32"/>
          <w:shd w:val="clear" w:color="auto" w:fill="FFFFFF"/>
          <w:lang w:val="zh-CN"/>
        </w:rPr>
        <w:t>个，为不动产登记中心、自然</w:t>
      </w:r>
      <w:r>
        <w:rPr>
          <w:rFonts w:hint="eastAsia" w:ascii="仿宋" w:hAnsi="仿宋" w:eastAsia="仿宋" w:cs="宋体"/>
          <w:color w:val="000000"/>
          <w:kern w:val="0"/>
          <w:sz w:val="32"/>
          <w:szCs w:val="32"/>
          <w:shd w:val="clear" w:color="auto" w:fill="FFFFFF"/>
          <w:lang w:val="en-US" w:eastAsia="zh-CN"/>
        </w:rPr>
        <w:t xml:space="preserve"> </w:t>
      </w:r>
      <w:r>
        <w:rPr>
          <w:rFonts w:hint="eastAsia" w:ascii="仿宋" w:hAnsi="仿宋" w:eastAsia="仿宋" w:cs="宋体"/>
          <w:color w:val="000000"/>
          <w:kern w:val="0"/>
          <w:sz w:val="32"/>
          <w:szCs w:val="32"/>
          <w:shd w:val="clear" w:color="auto" w:fill="FFFFFF"/>
          <w:lang w:val="zh-CN"/>
        </w:rPr>
        <w:t>资源监察执法中队、岗木达自然资源所、蒲西自然资源所、南木达自然资源所。</w:t>
      </w:r>
    </w:p>
    <w:p>
      <w:pPr>
        <w:pStyle w:val="2"/>
        <w:rPr>
          <w:rFonts w:hint="eastAsia" w:ascii="仿宋" w:hAnsi="仿宋" w:eastAsia="仿宋" w:cs="宋体"/>
          <w:color w:val="000000"/>
          <w:kern w:val="0"/>
          <w:sz w:val="32"/>
          <w:szCs w:val="32"/>
          <w:shd w:val="clear" w:color="auto" w:fill="FFFFFF"/>
          <w:lang w:val="zh-CN"/>
        </w:rPr>
      </w:pPr>
    </w:p>
    <w:p>
      <w:pPr>
        <w:pStyle w:val="2"/>
        <w:rPr>
          <w:rFonts w:hint="eastAsia" w:ascii="仿宋" w:hAnsi="仿宋" w:eastAsia="仿宋" w:cs="宋体"/>
          <w:color w:val="000000"/>
          <w:kern w:val="0"/>
          <w:sz w:val="32"/>
          <w:szCs w:val="32"/>
          <w:shd w:val="clear" w:color="auto" w:fill="FFFFFF"/>
          <w:lang w:val="zh-CN"/>
        </w:rPr>
      </w:pPr>
    </w:p>
    <w:p>
      <w:pPr>
        <w:pStyle w:val="2"/>
        <w:rPr>
          <w:rFonts w:hint="eastAsia" w:ascii="仿宋" w:hAnsi="仿宋" w:eastAsia="仿宋" w:cs="宋体"/>
          <w:color w:val="000000"/>
          <w:kern w:val="0"/>
          <w:sz w:val="32"/>
          <w:szCs w:val="32"/>
          <w:shd w:val="clear" w:color="auto" w:fill="FFFFFF"/>
          <w:lang w:val="zh-CN"/>
        </w:rPr>
      </w:pPr>
    </w:p>
    <w:p>
      <w:pPr>
        <w:rPr>
          <w:rFonts w:hint="eastAsia"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br w:type="page"/>
      </w:r>
    </w:p>
    <w:p>
      <w:pPr>
        <w:pStyle w:val="4"/>
        <w:keepNext/>
        <w:keepLines/>
        <w:pageBreakBefore w:val="0"/>
        <w:widowControl w:val="0"/>
        <w:kinsoku/>
        <w:wordWrap/>
        <w:overflowPunct/>
        <w:topLinePunct w:val="0"/>
        <w:autoSpaceDE/>
        <w:autoSpaceDN/>
        <w:bidi w:val="0"/>
        <w:adjustRightInd/>
        <w:snapToGrid/>
        <w:spacing w:line="560" w:lineRule="exact"/>
        <w:ind w:right="0"/>
        <w:jc w:val="left"/>
        <w:textAlignment w:val="auto"/>
        <w:rPr>
          <w:rFonts w:ascii="黑体" w:hAnsi="黑体" w:eastAsia="黑体"/>
          <w:b w:val="0"/>
          <w:bCs w:val="0"/>
        </w:rPr>
      </w:pPr>
      <w:bookmarkStart w:id="14" w:name="_Toc30082"/>
      <w:r>
        <w:rPr>
          <w:rFonts w:hint="eastAsia" w:ascii="黑体" w:hAnsi="黑体" w:eastAsia="黑体"/>
          <w:b w:val="0"/>
          <w:color w:val="000000"/>
        </w:rPr>
        <w:t>第二部分</w:t>
      </w:r>
      <w:r>
        <w:rPr>
          <w:rFonts w:hint="eastAsia" w:ascii="黑体" w:hAnsi="黑体" w:eastAsia="黑体"/>
          <w:b w:val="0"/>
          <w:color w:val="000000"/>
          <w:lang w:val="en-US" w:eastAsia="zh-CN"/>
        </w:rPr>
        <w:t xml:space="preserve"> </w:t>
      </w:r>
      <w:r>
        <w:rPr>
          <w:rStyle w:val="21"/>
          <w:rFonts w:hint="eastAsia" w:ascii="黑体" w:hAnsi="黑体" w:eastAsia="黑体"/>
          <w:b w:val="0"/>
          <w:bCs w:val="0"/>
          <w:lang w:eastAsia="zh-CN"/>
        </w:rPr>
        <w:t>2022年</w:t>
      </w:r>
      <w:r>
        <w:rPr>
          <w:rStyle w:val="21"/>
          <w:rFonts w:hint="eastAsia" w:ascii="黑体" w:hAnsi="黑体" w:eastAsia="黑体"/>
          <w:b w:val="0"/>
          <w:bCs w:val="0"/>
        </w:rPr>
        <w:t>度部门决算情况说明</w:t>
      </w:r>
      <w:bookmarkEnd w:id="12"/>
      <w:bookmarkEnd w:id="13"/>
      <w:bookmarkEnd w:id="14"/>
    </w:p>
    <w:p>
      <w:pPr>
        <w:pStyle w:val="32"/>
        <w:numPr>
          <w:ilvl w:val="0"/>
          <w:numId w:val="1"/>
        </w:numPr>
        <w:spacing w:line="600" w:lineRule="exact"/>
        <w:ind w:firstLineChars="0"/>
        <w:outlineLvl w:val="1"/>
        <w:rPr>
          <w:rStyle w:val="22"/>
          <w:rFonts w:ascii="黑体" w:hAnsi="黑体" w:eastAsia="黑体"/>
          <w:b w:val="0"/>
        </w:rPr>
      </w:pPr>
      <w:bookmarkStart w:id="15" w:name="_Toc15377205"/>
      <w:bookmarkStart w:id="16" w:name="_Toc15396603"/>
      <w:bookmarkStart w:id="17" w:name="_Toc2854"/>
      <w:r>
        <w:rPr>
          <w:rFonts w:hint="eastAsia" w:ascii="黑体" w:hAnsi="黑体" w:eastAsia="黑体"/>
          <w:color w:val="000000"/>
          <w:sz w:val="32"/>
          <w:szCs w:val="32"/>
        </w:rPr>
        <w:t>收</w:t>
      </w:r>
      <w:r>
        <w:rPr>
          <w:rStyle w:val="22"/>
          <w:rFonts w:hint="eastAsia" w:ascii="黑体" w:hAnsi="黑体" w:eastAsia="黑体"/>
          <w:b w:val="0"/>
        </w:rPr>
        <w:t>入支出决算总体情况说明</w:t>
      </w:r>
      <w:bookmarkEnd w:id="15"/>
      <w:bookmarkEnd w:id="16"/>
      <w:bookmarkEnd w:id="17"/>
    </w:p>
    <w:p>
      <w:pPr>
        <w:ind w:firstLine="640" w:firstLineChars="200"/>
        <w:rPr>
          <w:rFonts w:hint="eastAsia" w:ascii="宋体" w:hAnsi="宋体" w:eastAsia="仿宋" w:cs="Arial"/>
          <w:kern w:val="0"/>
          <w:sz w:val="32"/>
          <w:szCs w:val="32"/>
          <w:lang w:eastAsia="zh-CN"/>
        </w:rPr>
      </w:pPr>
      <w:r>
        <w:rPr>
          <w:rFonts w:hint="eastAsia" w:ascii="仿宋" w:hAnsi="仿宋" w:eastAsia="仿宋"/>
          <w:sz w:val="32"/>
          <w:szCs w:val="32"/>
          <w:lang w:eastAsia="zh-CN"/>
        </w:rPr>
        <w:t>2022年</w:t>
      </w:r>
      <w:r>
        <w:rPr>
          <w:rFonts w:hint="eastAsia" w:ascii="仿宋" w:hAnsi="仿宋" w:eastAsia="仿宋"/>
          <w:sz w:val="32"/>
          <w:szCs w:val="32"/>
        </w:rPr>
        <w:t>度收入总计</w:t>
      </w:r>
      <w:r>
        <w:rPr>
          <w:rFonts w:hint="eastAsia" w:ascii="宋体" w:hAnsi="宋体" w:eastAsia="仿宋" w:cs="Arial"/>
          <w:kern w:val="0"/>
          <w:sz w:val="32"/>
          <w:szCs w:val="32"/>
          <w:lang w:eastAsia="zh-CN"/>
        </w:rPr>
        <w:t>902.08</w:t>
      </w:r>
      <w:r>
        <w:rPr>
          <w:rFonts w:hint="eastAsia" w:ascii="宋体" w:hAnsi="宋体" w:cs="Arial"/>
          <w:kern w:val="0"/>
          <w:sz w:val="32"/>
          <w:szCs w:val="32"/>
        </w:rPr>
        <w:t>万元，</w:t>
      </w:r>
      <w:r>
        <w:rPr>
          <w:rFonts w:hint="eastAsia" w:ascii="仿宋" w:hAnsi="仿宋" w:eastAsia="仿宋"/>
          <w:sz w:val="32"/>
          <w:szCs w:val="32"/>
        </w:rPr>
        <w:t>支出总计</w:t>
      </w:r>
      <w:r>
        <w:rPr>
          <w:rFonts w:hint="eastAsia" w:ascii="宋体" w:hAnsi="宋体" w:eastAsia="仿宋" w:cs="Arial"/>
          <w:kern w:val="0"/>
          <w:sz w:val="32"/>
          <w:szCs w:val="32"/>
          <w:lang w:eastAsia="zh-CN"/>
        </w:rPr>
        <w:t>4078.92</w:t>
      </w:r>
    </w:p>
    <w:p>
      <w:pPr>
        <w:jc w:val="left"/>
        <w:rPr>
          <w:rFonts w:ascii="仿宋" w:hAnsi="仿宋" w:eastAsia="仿宋"/>
          <w:sz w:val="32"/>
          <w:szCs w:val="32"/>
        </w:rPr>
      </w:pPr>
      <w:r>
        <w:rPr>
          <w:rFonts w:hint="eastAsia" w:ascii="仿宋" w:hAnsi="仿宋" w:eastAsia="仿宋"/>
          <w:sz w:val="32"/>
          <w:szCs w:val="32"/>
        </w:rPr>
        <w:t>万元。与</w:t>
      </w:r>
      <w:r>
        <w:rPr>
          <w:rFonts w:hint="eastAsia" w:ascii="仿宋" w:hAnsi="仿宋" w:eastAsia="仿宋"/>
          <w:sz w:val="32"/>
          <w:szCs w:val="32"/>
          <w:lang w:eastAsia="zh-CN"/>
        </w:rPr>
        <w:t>2021年</w:t>
      </w:r>
      <w:r>
        <w:rPr>
          <w:rFonts w:hint="eastAsia" w:ascii="仿宋" w:hAnsi="仿宋" w:eastAsia="仿宋"/>
          <w:sz w:val="32"/>
          <w:szCs w:val="32"/>
        </w:rPr>
        <w:t>相比，收入减少1636.94万元，</w:t>
      </w:r>
      <w:r>
        <w:rPr>
          <w:rFonts w:hint="eastAsia" w:ascii="仿宋" w:hAnsi="仿宋" w:eastAsia="仿宋"/>
          <w:sz w:val="32"/>
          <w:szCs w:val="32"/>
          <w:lang w:val="en-US" w:eastAsia="zh-CN"/>
        </w:rPr>
        <w:t>下降64.47%</w:t>
      </w:r>
      <w:r>
        <w:rPr>
          <w:rFonts w:hint="eastAsia" w:ascii="仿宋" w:hAnsi="仿宋" w:eastAsia="仿宋"/>
          <w:sz w:val="32"/>
          <w:szCs w:val="32"/>
        </w:rPr>
        <w:t>；支出</w:t>
      </w:r>
      <w:r>
        <w:rPr>
          <w:rFonts w:hint="eastAsia" w:ascii="仿宋" w:hAnsi="仿宋" w:eastAsia="仿宋"/>
          <w:sz w:val="32"/>
          <w:szCs w:val="32"/>
          <w:lang w:eastAsia="zh-CN"/>
        </w:rPr>
        <w:t>增加380.86</w:t>
      </w:r>
      <w:r>
        <w:rPr>
          <w:rFonts w:hint="eastAsia" w:ascii="仿宋" w:hAnsi="仿宋" w:eastAsia="仿宋"/>
          <w:sz w:val="32"/>
          <w:szCs w:val="32"/>
        </w:rPr>
        <w:t>万元，</w:t>
      </w:r>
      <w:r>
        <w:rPr>
          <w:rFonts w:hint="eastAsia" w:ascii="仿宋" w:hAnsi="仿宋" w:eastAsia="仿宋"/>
          <w:sz w:val="32"/>
          <w:szCs w:val="32"/>
          <w:lang w:eastAsia="zh-CN"/>
        </w:rPr>
        <w:t>增长10.3</w:t>
      </w:r>
      <w:r>
        <w:rPr>
          <w:rFonts w:hint="eastAsia" w:ascii="仿宋" w:hAnsi="仿宋" w:eastAsia="仿宋"/>
          <w:sz w:val="32"/>
          <w:szCs w:val="32"/>
        </w:rPr>
        <w:t>%。主要变动原因是我局今年调</w:t>
      </w:r>
      <w:r>
        <w:rPr>
          <w:rFonts w:hint="eastAsia" w:ascii="仿宋" w:hAnsi="仿宋" w:eastAsia="仿宋"/>
          <w:sz w:val="32"/>
          <w:szCs w:val="32"/>
          <w:lang w:val="en-US" w:eastAsia="zh-CN"/>
        </w:rPr>
        <w:t>动</w:t>
      </w:r>
      <w:r>
        <w:rPr>
          <w:rFonts w:hint="eastAsia" w:ascii="仿宋" w:hAnsi="仿宋" w:eastAsia="仿宋"/>
          <w:sz w:val="32"/>
          <w:szCs w:val="32"/>
        </w:rPr>
        <w:t>增多人员</w:t>
      </w:r>
      <w:r>
        <w:rPr>
          <w:rFonts w:hint="eastAsia" w:ascii="仿宋" w:hAnsi="仿宋" w:eastAsia="仿宋"/>
          <w:sz w:val="32"/>
          <w:szCs w:val="32"/>
          <w:lang w:eastAsia="zh-CN"/>
        </w:rPr>
        <w:t>、</w:t>
      </w:r>
      <w:r>
        <w:rPr>
          <w:rFonts w:hint="eastAsia" w:ascii="仿宋" w:hAnsi="仿宋" w:eastAsia="仿宋"/>
          <w:sz w:val="32"/>
          <w:szCs w:val="32"/>
          <w:lang w:val="en-US" w:eastAsia="zh-CN"/>
        </w:rPr>
        <w:t>项目支出增多</w:t>
      </w:r>
      <w:r>
        <w:rPr>
          <w:rFonts w:hint="eastAsia" w:ascii="仿宋" w:hAnsi="仿宋" w:eastAsia="仿宋"/>
          <w:sz w:val="32"/>
          <w:szCs w:val="32"/>
        </w:rPr>
        <w:t>。</w:t>
      </w:r>
      <w:r>
        <w:rPr>
          <w:rFonts w:ascii="仿宋" w:hAnsi="仿宋" w:eastAsia="仿宋"/>
          <w:sz w:val="32"/>
          <w:szCs w:val="32"/>
        </w:rPr>
        <w:t xml:space="preserve"> </w:t>
      </w:r>
    </w:p>
    <w:p>
      <w:pPr>
        <w:jc w:val="left"/>
      </w:pPr>
    </w:p>
    <w:p>
      <w:pPr>
        <w:jc w:val="center"/>
      </w:pPr>
      <w:r>
        <w:drawing>
          <wp:inline distT="0" distB="0" distL="114300" distR="114300">
            <wp:extent cx="4705350" cy="2675255"/>
            <wp:effectExtent l="4445" t="4445" r="14605" b="17780"/>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drawing>
          <wp:inline distT="0" distB="0" distL="114300" distR="114300">
            <wp:extent cx="4617085" cy="2496820"/>
            <wp:effectExtent l="4445" t="4445" r="11430" b="13335"/>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jc w:val="center"/>
        <w:rPr>
          <w:rFonts w:hint="eastAsia" w:ascii="仿宋" w:hAnsi="仿宋" w:eastAsia="仿宋"/>
          <w:sz w:val="32"/>
          <w:szCs w:val="32"/>
        </w:rPr>
      </w:pPr>
      <w:bookmarkStart w:id="18" w:name="_Toc15377206"/>
      <w:bookmarkStart w:id="19" w:name="_Toc15396604"/>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8"/>
      </w:pPr>
    </w:p>
    <w:p>
      <w:pPr>
        <w:pStyle w:val="32"/>
        <w:spacing w:line="600" w:lineRule="exact"/>
        <w:ind w:firstLine="480" w:firstLineChars="150"/>
        <w:outlineLvl w:val="1"/>
        <w:rPr>
          <w:rStyle w:val="22"/>
          <w:rFonts w:ascii="黑体" w:hAnsi="黑体" w:eastAsia="黑体"/>
          <w:b w:val="0"/>
        </w:rPr>
      </w:pPr>
      <w:bookmarkStart w:id="20" w:name="_Toc17825"/>
      <w:r>
        <w:rPr>
          <w:rFonts w:hint="eastAsia" w:ascii="黑体" w:hAnsi="黑体" w:eastAsia="黑体"/>
          <w:sz w:val="32"/>
          <w:szCs w:val="32"/>
        </w:rPr>
        <w:t>二、收</w:t>
      </w:r>
      <w:r>
        <w:rPr>
          <w:rStyle w:val="22"/>
          <w:rFonts w:hint="eastAsia" w:ascii="黑体" w:hAnsi="黑体" w:eastAsia="黑体"/>
          <w:b w:val="0"/>
        </w:rPr>
        <w:t>入决算情况说明</w:t>
      </w:r>
      <w:bookmarkEnd w:id="18"/>
      <w:bookmarkEnd w:id="19"/>
      <w:bookmarkEnd w:id="20"/>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2022年</w:t>
      </w:r>
      <w:r>
        <w:rPr>
          <w:rFonts w:hint="eastAsia" w:ascii="仿宋" w:hAnsi="仿宋" w:eastAsia="仿宋"/>
          <w:sz w:val="32"/>
          <w:szCs w:val="32"/>
        </w:rPr>
        <w:t>本年收入合计</w:t>
      </w:r>
      <w:r>
        <w:rPr>
          <w:rFonts w:hint="eastAsia" w:ascii="仿宋" w:hAnsi="仿宋" w:eastAsia="仿宋"/>
          <w:sz w:val="32"/>
          <w:szCs w:val="32"/>
          <w:lang w:eastAsia="zh-CN"/>
        </w:rPr>
        <w:t>902.08</w:t>
      </w:r>
      <w:r>
        <w:rPr>
          <w:rFonts w:hint="eastAsia" w:ascii="仿宋" w:hAnsi="仿宋" w:eastAsia="仿宋"/>
          <w:sz w:val="32"/>
          <w:szCs w:val="32"/>
        </w:rPr>
        <w:t>万元，其中：一般公共预算财政拨款收入</w:t>
      </w:r>
      <w:r>
        <w:rPr>
          <w:rFonts w:hint="eastAsia" w:ascii="仿宋" w:hAnsi="仿宋" w:eastAsia="仿宋"/>
          <w:sz w:val="32"/>
          <w:szCs w:val="32"/>
          <w:lang w:eastAsia="zh-CN"/>
        </w:rPr>
        <w:t>902.08</w:t>
      </w:r>
      <w:r>
        <w:rPr>
          <w:rFonts w:hint="eastAsia" w:ascii="仿宋" w:hAnsi="仿宋" w:eastAsia="仿宋"/>
          <w:sz w:val="32"/>
          <w:szCs w:val="32"/>
        </w:rPr>
        <w:t>万元，占100%</w:t>
      </w:r>
      <w:r>
        <w:rPr>
          <w:rFonts w:hint="eastAsia" w:ascii="仿宋" w:hAnsi="仿宋" w:eastAsia="仿宋"/>
          <w:sz w:val="32"/>
          <w:szCs w:val="32"/>
          <w:lang w:eastAsia="zh-CN"/>
        </w:rPr>
        <w:t>。</w:t>
      </w:r>
    </w:p>
    <w:p>
      <w:pPr>
        <w:ind w:firstLine="420" w:firstLineChars="200"/>
        <w:jc w:val="center"/>
        <w:rPr>
          <w:rFonts w:hint="eastAsia" w:ascii="仿宋" w:hAnsi="仿宋" w:eastAsia="仿宋"/>
          <w:color w:val="000000"/>
          <w:sz w:val="32"/>
          <w:szCs w:val="32"/>
          <w:lang w:eastAsia="zh-CN"/>
        </w:rPr>
      </w:pPr>
      <w:r>
        <w:drawing>
          <wp:inline distT="0" distB="0" distL="114300" distR="114300">
            <wp:extent cx="4370070" cy="2126615"/>
            <wp:effectExtent l="4445" t="4445" r="14605" b="17780"/>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2"/>
        <w:numPr>
          <w:ilvl w:val="0"/>
          <w:numId w:val="2"/>
        </w:numPr>
        <w:spacing w:line="600" w:lineRule="exact"/>
        <w:ind w:firstLineChars="0"/>
        <w:outlineLvl w:val="1"/>
        <w:rPr>
          <w:rStyle w:val="22"/>
          <w:rFonts w:ascii="黑体" w:hAnsi="黑体" w:eastAsia="黑体"/>
          <w:b w:val="0"/>
          <w:color w:val="000000"/>
        </w:rPr>
      </w:pPr>
      <w:bookmarkStart w:id="21" w:name="_Toc15396605"/>
      <w:bookmarkStart w:id="22" w:name="_Toc15377207"/>
      <w:bookmarkStart w:id="23" w:name="_Toc8683"/>
      <w:r>
        <w:rPr>
          <w:rFonts w:hint="eastAsia" w:ascii="黑体" w:hAnsi="黑体" w:eastAsia="黑体"/>
          <w:color w:val="000000"/>
          <w:sz w:val="32"/>
          <w:szCs w:val="32"/>
        </w:rPr>
        <w:t>支</w:t>
      </w:r>
      <w:r>
        <w:rPr>
          <w:rStyle w:val="22"/>
          <w:rFonts w:hint="eastAsia" w:ascii="黑体" w:hAnsi="黑体" w:eastAsia="黑体"/>
          <w:b w:val="0"/>
          <w:color w:val="000000"/>
        </w:rPr>
        <w:t>出决算情况说明</w:t>
      </w:r>
      <w:bookmarkEnd w:id="21"/>
      <w:bookmarkEnd w:id="22"/>
      <w:bookmarkEnd w:id="23"/>
    </w:p>
    <w:p>
      <w:pPr>
        <w:ind w:firstLine="640" w:firstLineChars="200"/>
        <w:rPr>
          <w:rFonts w:hint="eastAsia" w:ascii="仿宋" w:hAnsi="仿宋" w:eastAsia="仿宋"/>
          <w:color w:val="000000"/>
          <w:sz w:val="32"/>
          <w:szCs w:val="32"/>
        </w:rPr>
      </w:pPr>
      <w:r>
        <w:rPr>
          <w:rFonts w:hint="eastAsia" w:ascii="仿宋" w:hAnsi="仿宋" w:eastAsia="仿宋" w:cs="仿宋"/>
          <w:color w:val="000000"/>
          <w:sz w:val="32"/>
          <w:szCs w:val="32"/>
          <w:lang w:eastAsia="zh-CN"/>
        </w:rPr>
        <w:t>2022年</w:t>
      </w:r>
      <w:r>
        <w:rPr>
          <w:rFonts w:hint="eastAsia" w:ascii="仿宋" w:hAnsi="仿宋" w:eastAsia="仿宋" w:cs="仿宋"/>
          <w:color w:val="000000"/>
          <w:sz w:val="32"/>
          <w:szCs w:val="32"/>
        </w:rPr>
        <w:t>本年支出合计</w:t>
      </w:r>
      <w:r>
        <w:rPr>
          <w:rFonts w:hint="eastAsia" w:ascii="仿宋" w:hAnsi="仿宋" w:eastAsia="仿宋" w:cs="仿宋"/>
          <w:color w:val="000000"/>
          <w:kern w:val="0"/>
          <w:sz w:val="32"/>
          <w:szCs w:val="32"/>
          <w:lang w:eastAsia="zh-CN"/>
        </w:rPr>
        <w:t>4078.92</w:t>
      </w:r>
      <w:r>
        <w:rPr>
          <w:rFonts w:hint="eastAsia" w:ascii="仿宋" w:hAnsi="仿宋" w:eastAsia="仿宋" w:cs="仿宋"/>
          <w:color w:val="000000"/>
          <w:sz w:val="32"/>
          <w:szCs w:val="32"/>
        </w:rPr>
        <w:t>万元，其中：基本支出304.9</w:t>
      </w:r>
      <w:r>
        <w:rPr>
          <w:rFonts w:hint="eastAsia" w:ascii="仿宋" w:hAnsi="仿宋" w:eastAsia="仿宋"/>
          <w:color w:val="000000"/>
          <w:sz w:val="32"/>
          <w:szCs w:val="32"/>
        </w:rPr>
        <w:t>万元，占7.47%；项目支出3774.03万元，占92.53%。</w:t>
      </w:r>
    </w:p>
    <w:p>
      <w:pPr>
        <w:ind w:firstLine="420" w:firstLineChars="200"/>
        <w:jc w:val="center"/>
        <w:rPr>
          <w:rFonts w:hint="eastAsia" w:ascii="仿宋" w:hAnsi="仿宋" w:eastAsia="仿宋"/>
          <w:color w:val="000000"/>
          <w:sz w:val="32"/>
          <w:szCs w:val="32"/>
        </w:rPr>
      </w:pPr>
      <w:r>
        <w:drawing>
          <wp:inline distT="0" distB="0" distL="114300" distR="114300">
            <wp:extent cx="4107180" cy="2259330"/>
            <wp:effectExtent l="4445" t="4445" r="18415" b="6985"/>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 w:hAnsi="仿宋" w:eastAsia="仿宋"/>
          <w:color w:val="000000"/>
          <w:sz w:val="32"/>
          <w:szCs w:val="32"/>
        </w:rPr>
      </w:pPr>
      <w:bookmarkStart w:id="24" w:name="_Toc15377208"/>
      <w:bookmarkStart w:id="25" w:name="_Toc15396606"/>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outlineLvl w:val="1"/>
        <w:rPr>
          <w:rStyle w:val="22"/>
          <w:rFonts w:ascii="黑体" w:hAnsi="黑体" w:eastAsia="黑体"/>
          <w:b w:val="0"/>
          <w:color w:val="000000"/>
        </w:rPr>
      </w:pPr>
      <w:bookmarkStart w:id="26" w:name="_Toc12298"/>
      <w:r>
        <w:rPr>
          <w:rFonts w:hint="eastAsia" w:ascii="黑体" w:hAnsi="黑体" w:eastAsia="黑体"/>
          <w:color w:val="000000"/>
          <w:sz w:val="32"/>
          <w:szCs w:val="32"/>
        </w:rPr>
        <w:t>四、财</w:t>
      </w:r>
      <w:r>
        <w:rPr>
          <w:rStyle w:val="22"/>
          <w:rFonts w:hint="eastAsia" w:ascii="黑体" w:hAnsi="黑体" w:eastAsia="黑体"/>
          <w:b w:val="0"/>
          <w:color w:val="000000"/>
        </w:rPr>
        <w:t>政拨款收入支出决算总体情况说明</w:t>
      </w:r>
      <w:bookmarkEnd w:id="24"/>
      <w:bookmarkEnd w:id="25"/>
      <w:bookmarkEnd w:id="26"/>
    </w:p>
    <w:p>
      <w:pPr>
        <w:ind w:firstLine="640" w:firstLineChars="200"/>
        <w:rPr>
          <w:rFonts w:ascii="仿宋" w:hAnsi="仿宋" w:eastAsia="仿宋"/>
          <w:b/>
          <w:color w:val="0000FF"/>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w:t>
      </w:r>
      <w:r>
        <w:rPr>
          <w:rFonts w:hint="eastAsia" w:ascii="仿宋" w:hAnsi="仿宋" w:eastAsia="仿宋" w:cs="仿宋"/>
          <w:color w:val="000000"/>
          <w:sz w:val="32"/>
          <w:szCs w:val="32"/>
        </w:rPr>
        <w:t>收入总计</w:t>
      </w:r>
      <w:r>
        <w:rPr>
          <w:rFonts w:hint="eastAsia" w:ascii="仿宋" w:hAnsi="仿宋" w:eastAsia="仿宋" w:cs="仿宋"/>
          <w:color w:val="000000"/>
          <w:sz w:val="32"/>
          <w:szCs w:val="32"/>
          <w:lang w:eastAsia="zh-CN"/>
        </w:rPr>
        <w:t>902.08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财政拨款</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eastAsia="zh-CN"/>
        </w:rPr>
        <w:t>总计4078.92万元。与2021年相比，</w:t>
      </w:r>
      <w:r>
        <w:rPr>
          <w:rFonts w:hint="eastAsia" w:ascii="仿宋" w:hAnsi="仿宋" w:eastAsia="仿宋" w:cs="仿宋"/>
          <w:color w:val="000000"/>
          <w:sz w:val="32"/>
          <w:szCs w:val="32"/>
          <w:lang w:val="en-US" w:eastAsia="zh-CN"/>
        </w:rPr>
        <w:t>财政拨款</w:t>
      </w:r>
      <w:r>
        <w:rPr>
          <w:rFonts w:hint="eastAsia" w:ascii="仿宋" w:hAnsi="仿宋" w:eastAsia="仿宋" w:cs="仿宋"/>
          <w:color w:val="000000"/>
          <w:sz w:val="32"/>
          <w:szCs w:val="32"/>
          <w:lang w:eastAsia="zh-CN"/>
        </w:rPr>
        <w:t>收入减少1636.94万元，</w:t>
      </w:r>
      <w:r>
        <w:rPr>
          <w:rFonts w:hint="eastAsia" w:ascii="仿宋" w:hAnsi="仿宋" w:eastAsia="仿宋" w:cs="仿宋"/>
          <w:color w:val="000000"/>
          <w:sz w:val="32"/>
          <w:szCs w:val="32"/>
          <w:lang w:val="en-US" w:eastAsia="zh-CN"/>
        </w:rPr>
        <w:t>下降64.47%</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财政拨款</w:t>
      </w:r>
      <w:r>
        <w:rPr>
          <w:rFonts w:hint="eastAsia" w:ascii="仿宋" w:hAnsi="仿宋" w:eastAsia="仿宋" w:cs="仿宋"/>
          <w:color w:val="000000"/>
          <w:sz w:val="32"/>
          <w:szCs w:val="32"/>
          <w:lang w:eastAsia="zh-CN"/>
        </w:rPr>
        <w:t>支出增加380.86万元，增长10.3%。主要变动原因是我局今年调</w:t>
      </w:r>
      <w:r>
        <w:rPr>
          <w:rFonts w:hint="eastAsia" w:ascii="仿宋" w:hAnsi="仿宋" w:eastAsia="仿宋" w:cs="仿宋"/>
          <w:color w:val="000000"/>
          <w:sz w:val="32"/>
          <w:szCs w:val="32"/>
          <w:lang w:val="en-US" w:eastAsia="zh-CN"/>
        </w:rPr>
        <w:t>动</w:t>
      </w:r>
      <w:r>
        <w:rPr>
          <w:rFonts w:hint="eastAsia" w:ascii="仿宋" w:hAnsi="仿宋" w:eastAsia="仿宋" w:cs="仿宋"/>
          <w:color w:val="000000"/>
          <w:sz w:val="32"/>
          <w:szCs w:val="32"/>
          <w:lang w:eastAsia="zh-CN"/>
        </w:rPr>
        <w:t>增多人员、</w:t>
      </w:r>
      <w:r>
        <w:rPr>
          <w:rFonts w:hint="eastAsia" w:ascii="仿宋" w:hAnsi="仿宋" w:eastAsia="仿宋" w:cs="仿宋"/>
          <w:color w:val="000000"/>
          <w:sz w:val="32"/>
          <w:szCs w:val="32"/>
          <w:lang w:val="en-US" w:eastAsia="zh-CN"/>
        </w:rPr>
        <w:t>项目支出增多</w:t>
      </w:r>
      <w:r>
        <w:rPr>
          <w:rFonts w:hint="eastAsia" w:ascii="仿宋" w:hAnsi="仿宋" w:eastAsia="仿宋"/>
          <w:color w:val="000000"/>
          <w:sz w:val="32"/>
          <w:szCs w:val="32"/>
        </w:rPr>
        <w:t>。</w:t>
      </w:r>
    </w:p>
    <w:p>
      <w:pPr>
        <w:ind w:firstLine="641"/>
        <w:jc w:val="both"/>
        <w:rPr>
          <w:rFonts w:hint="eastAsia"/>
          <w:lang w:val="en-US" w:eastAsia="zh-CN"/>
        </w:rPr>
      </w:pPr>
      <w:r>
        <w:rPr>
          <w:rFonts w:hint="eastAsia"/>
          <w:lang w:val="en-US" w:eastAsia="zh-CN"/>
        </w:rPr>
        <w:t xml:space="preserve">     </w:t>
      </w:r>
      <w:r>
        <w:drawing>
          <wp:inline distT="0" distB="0" distL="114300" distR="114300">
            <wp:extent cx="4359275" cy="2499360"/>
            <wp:effectExtent l="4445" t="4445" r="10160" b="10795"/>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eastAsia"/>
          <w:lang w:val="en-US" w:eastAsia="zh-CN"/>
        </w:rPr>
        <w:t xml:space="preserve">  </w:t>
      </w:r>
    </w:p>
    <w:p>
      <w:pPr>
        <w:ind w:firstLine="641"/>
        <w:jc w:val="center"/>
        <w:rPr>
          <w:rFonts w:ascii="仿宋" w:hAnsi="仿宋" w:eastAsia="仿宋"/>
          <w:b/>
          <w:color w:val="0000FF"/>
          <w:sz w:val="32"/>
          <w:szCs w:val="32"/>
        </w:rPr>
      </w:pPr>
      <w:r>
        <w:rPr>
          <w:rFonts w:hint="eastAsia"/>
          <w:lang w:val="en-US" w:eastAsia="zh-CN"/>
        </w:rPr>
        <w:t xml:space="preserve">   </w:t>
      </w:r>
      <w:r>
        <w:drawing>
          <wp:inline distT="0" distB="0" distL="114300" distR="114300">
            <wp:extent cx="4400550" cy="2214880"/>
            <wp:effectExtent l="4445" t="4445" r="14605" b="5715"/>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center"/>
        <w:rPr>
          <w:rFonts w:ascii="仿宋" w:hAnsi="仿宋" w:eastAsia="仿宋"/>
          <w:color w:val="000000"/>
          <w:sz w:val="32"/>
          <w:szCs w:val="32"/>
        </w:rPr>
      </w:pPr>
      <w:bookmarkStart w:id="27" w:name="_Toc15377209"/>
      <w:bookmarkStart w:id="28" w:name="_Toc15396607"/>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outlineLvl w:val="1"/>
        <w:rPr>
          <w:rStyle w:val="22"/>
          <w:rFonts w:ascii="黑体" w:hAnsi="黑体" w:eastAsia="黑体"/>
          <w:b w:val="0"/>
          <w:color w:val="000000"/>
        </w:rPr>
      </w:pPr>
      <w:bookmarkStart w:id="29" w:name="_Toc2600"/>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2"/>
          <w:rFonts w:hint="eastAsia" w:ascii="黑体" w:hAnsi="黑体" w:eastAsia="黑体"/>
          <w:b w:val="0"/>
          <w:color w:val="000000"/>
        </w:rPr>
        <w:t>般公共预算财政拨款支出决算情况说明</w:t>
      </w:r>
      <w:bookmarkEnd w:id="27"/>
      <w:bookmarkEnd w:id="28"/>
      <w:bookmarkEnd w:id="29"/>
    </w:p>
    <w:p>
      <w:pPr>
        <w:spacing w:line="600" w:lineRule="exact"/>
        <w:ind w:firstLine="643" w:firstLineChars="200"/>
        <w:outlineLvl w:val="2"/>
        <w:rPr>
          <w:rFonts w:ascii="仿宋" w:hAnsi="仿宋" w:eastAsia="仿宋"/>
          <w:b/>
          <w:color w:val="000000"/>
          <w:sz w:val="32"/>
          <w:szCs w:val="32"/>
        </w:rPr>
      </w:pPr>
      <w:bookmarkStart w:id="30" w:name="_Toc15377210"/>
      <w:bookmarkStart w:id="31" w:name="_Toc26127"/>
      <w:r>
        <w:rPr>
          <w:rFonts w:hint="eastAsia" w:ascii="仿宋" w:hAnsi="仿宋" w:eastAsia="仿宋"/>
          <w:b/>
          <w:color w:val="000000"/>
          <w:sz w:val="32"/>
          <w:szCs w:val="32"/>
        </w:rPr>
        <w:t>（一）一般公共预算财政拨款支出决算总体情况</w:t>
      </w:r>
      <w:bookmarkEnd w:id="30"/>
      <w:bookmarkEnd w:id="3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4078.92</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w:t>
      </w:r>
      <w:r>
        <w:rPr>
          <w:rFonts w:hint="eastAsia" w:ascii="仿宋" w:hAnsi="仿宋" w:eastAsia="仿宋" w:cs="仿宋"/>
          <w:color w:val="000000"/>
          <w:sz w:val="32"/>
          <w:szCs w:val="32"/>
          <w:lang w:eastAsia="zh-CN"/>
        </w:rPr>
        <w:t>支出增加380.86万元，增长10.3%</w:t>
      </w:r>
      <w:r>
        <w:rPr>
          <w:rFonts w:hint="eastAsia" w:ascii="仿宋" w:hAnsi="仿宋" w:eastAsia="仿宋"/>
          <w:color w:val="000000"/>
          <w:sz w:val="32"/>
          <w:szCs w:val="32"/>
        </w:rPr>
        <w:t>。主要变动原因是保险基数调高，支付了退休人员生活补助。</w:t>
      </w:r>
    </w:p>
    <w:p>
      <w:pPr>
        <w:ind w:firstLine="420" w:firstLineChars="200"/>
        <w:rPr>
          <w:rFonts w:ascii="Times New Roman" w:hAnsi="Times New Roman" w:eastAsia="宋体" w:cs="Times New Roman"/>
          <w:kern w:val="2"/>
          <w:sz w:val="21"/>
          <w:szCs w:val="24"/>
          <w:lang w:val="en-US" w:eastAsia="zh-CN" w:bidi="ar-SA"/>
        </w:rPr>
      </w:pPr>
      <w:r>
        <w:drawing>
          <wp:inline distT="0" distB="0" distL="114300" distR="114300">
            <wp:extent cx="4451350" cy="2510155"/>
            <wp:effectExtent l="4445" t="4445" r="9525" b="15240"/>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ascii="仿宋" w:hAnsi="仿宋" w:eastAsia="仿宋"/>
          <w:color w:val="000000"/>
          <w:sz w:val="32"/>
          <w:szCs w:val="32"/>
        </w:rPr>
      </w:pPr>
      <w:bookmarkStart w:id="32" w:name="_Toc15377211"/>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柱状图）</w:t>
      </w:r>
    </w:p>
    <w:p>
      <w:pPr>
        <w:spacing w:line="600" w:lineRule="exact"/>
        <w:ind w:firstLine="643" w:firstLineChars="200"/>
        <w:outlineLvl w:val="2"/>
        <w:rPr>
          <w:rFonts w:ascii="仿宋" w:hAnsi="仿宋" w:eastAsia="仿宋"/>
          <w:b/>
          <w:color w:val="000000"/>
          <w:sz w:val="32"/>
          <w:szCs w:val="32"/>
        </w:rPr>
      </w:pPr>
      <w:bookmarkStart w:id="33" w:name="_Toc27782"/>
      <w:r>
        <w:rPr>
          <w:rFonts w:hint="eastAsia" w:ascii="仿宋" w:hAnsi="仿宋" w:eastAsia="仿宋"/>
          <w:b/>
          <w:color w:val="000000"/>
          <w:sz w:val="32"/>
          <w:szCs w:val="32"/>
        </w:rPr>
        <w:t>（二）一般公共预算财政拨款支出决算结构情况</w:t>
      </w:r>
      <w:bookmarkEnd w:id="32"/>
      <w:bookmarkEnd w:id="33"/>
    </w:p>
    <w:p>
      <w:pPr>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4078.92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32.94万元，占0.81%；</w:t>
      </w:r>
      <w:r>
        <w:rPr>
          <w:rFonts w:hint="eastAsia" w:ascii="仿宋" w:hAnsi="仿宋" w:eastAsia="仿宋"/>
          <w:b/>
          <w:color w:val="000000"/>
          <w:sz w:val="32"/>
          <w:szCs w:val="32"/>
        </w:rPr>
        <w:t>卫生健康支出</w:t>
      </w:r>
      <w:r>
        <w:rPr>
          <w:rFonts w:hint="eastAsia" w:ascii="仿宋" w:hAnsi="仿宋" w:eastAsia="仿宋"/>
          <w:color w:val="000000"/>
          <w:sz w:val="32"/>
          <w:szCs w:val="32"/>
        </w:rPr>
        <w:t>12.33万元，占0.31%；</w:t>
      </w:r>
      <w:r>
        <w:rPr>
          <w:rFonts w:hint="eastAsia" w:ascii="仿宋" w:hAnsi="仿宋" w:eastAsia="仿宋"/>
          <w:b/>
          <w:color w:val="000000"/>
          <w:sz w:val="32"/>
          <w:szCs w:val="32"/>
        </w:rPr>
        <w:t>农</w:t>
      </w:r>
      <w:r>
        <w:rPr>
          <w:rFonts w:hint="eastAsia" w:ascii="仿宋" w:hAnsi="仿宋" w:eastAsia="仿宋"/>
          <w:b/>
          <w:bCs/>
          <w:color w:val="000000"/>
          <w:sz w:val="32"/>
          <w:szCs w:val="32"/>
        </w:rPr>
        <w:t>林水支出</w:t>
      </w:r>
      <w:r>
        <w:rPr>
          <w:rFonts w:hint="eastAsia" w:ascii="仿宋" w:hAnsi="仿宋" w:eastAsia="仿宋"/>
          <w:color w:val="000000"/>
          <w:sz w:val="32"/>
          <w:szCs w:val="32"/>
        </w:rPr>
        <w:t>1583.37万元，占38.82%；</w:t>
      </w:r>
      <w:r>
        <w:rPr>
          <w:rFonts w:hint="eastAsia" w:ascii="仿宋" w:hAnsi="仿宋" w:eastAsia="仿宋"/>
          <w:b/>
          <w:bCs/>
          <w:color w:val="000000"/>
          <w:sz w:val="32"/>
          <w:szCs w:val="32"/>
        </w:rPr>
        <w:t>自然资源海洋气象等支出</w:t>
      </w:r>
      <w:r>
        <w:rPr>
          <w:rFonts w:hint="eastAsia" w:ascii="仿宋" w:hAnsi="仿宋" w:eastAsia="仿宋"/>
          <w:color w:val="000000"/>
          <w:sz w:val="32"/>
          <w:szCs w:val="32"/>
        </w:rPr>
        <w:t>640.62万元，占15.71%；</w:t>
      </w:r>
      <w:r>
        <w:rPr>
          <w:rFonts w:hint="eastAsia" w:ascii="仿宋" w:hAnsi="仿宋" w:eastAsia="仿宋"/>
          <w:b/>
          <w:bCs/>
          <w:color w:val="000000"/>
          <w:sz w:val="32"/>
          <w:szCs w:val="32"/>
        </w:rPr>
        <w:t>住房保障支出</w:t>
      </w:r>
      <w:r>
        <w:rPr>
          <w:rFonts w:hint="eastAsia" w:ascii="仿宋" w:hAnsi="仿宋" w:eastAsia="仿宋"/>
          <w:color w:val="000000"/>
          <w:sz w:val="32"/>
          <w:szCs w:val="32"/>
        </w:rPr>
        <w:t>19.96万元，占0.49%；</w:t>
      </w:r>
      <w:r>
        <w:rPr>
          <w:rFonts w:hint="eastAsia" w:ascii="仿宋" w:hAnsi="仿宋" w:eastAsia="仿宋"/>
          <w:b/>
          <w:bCs/>
          <w:color w:val="000000"/>
          <w:sz w:val="32"/>
          <w:szCs w:val="32"/>
        </w:rPr>
        <w:t>灾害防治及应急管理支出</w:t>
      </w:r>
      <w:r>
        <w:rPr>
          <w:rFonts w:hint="eastAsia" w:ascii="仿宋" w:hAnsi="仿宋" w:eastAsia="仿宋"/>
          <w:color w:val="000000"/>
          <w:sz w:val="32"/>
          <w:szCs w:val="32"/>
        </w:rPr>
        <w:t>1789.4万元，占43.87%。</w:t>
      </w:r>
    </w:p>
    <w:p>
      <w:pPr>
        <w:ind w:firstLine="420" w:firstLineChars="200"/>
        <w:jc w:val="center"/>
        <w:rPr>
          <w:rFonts w:hint="eastAsia" w:ascii="仿宋" w:hAnsi="仿宋" w:eastAsia="仿宋"/>
          <w:color w:val="000000"/>
          <w:sz w:val="32"/>
          <w:szCs w:val="32"/>
        </w:rPr>
      </w:pPr>
      <w:r>
        <w:drawing>
          <wp:inline distT="0" distB="0" distL="114300" distR="114300">
            <wp:extent cx="4466590" cy="2486025"/>
            <wp:effectExtent l="4445" t="4445" r="9525" b="8890"/>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4" w:name="_Toc15377212"/>
      <w:bookmarkStart w:id="35" w:name="_Toc16333"/>
      <w:r>
        <w:rPr>
          <w:rFonts w:hint="eastAsia" w:ascii="仿宋" w:hAnsi="仿宋" w:eastAsia="仿宋"/>
          <w:b/>
          <w:color w:val="000000"/>
          <w:sz w:val="32"/>
          <w:szCs w:val="32"/>
        </w:rPr>
        <w:t>（三）一般公共预算财政拨款支出决算具体情况</w:t>
      </w:r>
      <w:bookmarkEnd w:id="34"/>
      <w:bookmarkEnd w:id="35"/>
    </w:p>
    <w:p>
      <w:pPr>
        <w:ind w:firstLine="640" w:firstLineChars="200"/>
        <w:rPr>
          <w:rFonts w:ascii="宋体" w:cs="Arial"/>
          <w:b/>
          <w:color w:val="000000"/>
          <w:kern w:val="0"/>
          <w:sz w:val="22"/>
          <w:szCs w:val="22"/>
        </w:rPr>
      </w:pPr>
      <w:bookmarkStart w:id="36" w:name="_Toc15378460"/>
      <w:bookmarkStart w:id="37" w:name="_Toc15377213"/>
      <w:bookmarkStart w:id="38" w:name="_Toc15377444"/>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一般公共预算支出决算数为</w:t>
      </w:r>
      <w:r>
        <w:rPr>
          <w:rFonts w:hint="eastAsia" w:ascii="仿宋" w:hAnsi="仿宋" w:eastAsia="仿宋" w:cs="Arial"/>
          <w:color w:val="000000"/>
          <w:kern w:val="0"/>
          <w:sz w:val="32"/>
          <w:szCs w:val="32"/>
          <w:lang w:eastAsia="zh-CN"/>
        </w:rPr>
        <w:t>902.08</w:t>
      </w:r>
      <w:r>
        <w:rPr>
          <w:rFonts w:hint="eastAsia" w:ascii="仿宋" w:hAnsi="仿宋" w:eastAsia="仿宋"/>
          <w:color w:val="000000"/>
          <w:sz w:val="32"/>
          <w:szCs w:val="32"/>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。其中：</w:t>
      </w:r>
      <w:bookmarkEnd w:id="36"/>
      <w:bookmarkEnd w:id="37"/>
      <w:bookmarkEnd w:id="38"/>
    </w:p>
    <w:p>
      <w:pPr>
        <w:spacing w:line="600" w:lineRule="exact"/>
        <w:ind w:firstLine="643" w:firstLineChars="200"/>
        <w:rPr>
          <w:rFonts w:ascii="仿宋" w:hAnsi="仿宋" w:eastAsia="仿宋"/>
          <w:bCs/>
          <w:color w:val="000000"/>
          <w:sz w:val="32"/>
          <w:szCs w:val="32"/>
        </w:rPr>
      </w:pPr>
      <w:r>
        <w:rPr>
          <w:rStyle w:val="19"/>
          <w:rFonts w:ascii="仿宋" w:hAnsi="仿宋" w:eastAsia="仿宋"/>
          <w:bCs/>
          <w:color w:val="000000"/>
          <w:sz w:val="32"/>
          <w:szCs w:val="32"/>
        </w:rPr>
        <w:t>1.</w:t>
      </w:r>
      <w:r>
        <w:rPr>
          <w:rStyle w:val="19"/>
          <w:rFonts w:hint="eastAsia" w:ascii="仿宋" w:hAnsi="仿宋" w:eastAsia="仿宋"/>
          <w:bCs/>
          <w:color w:val="000000"/>
          <w:sz w:val="32"/>
          <w:szCs w:val="32"/>
        </w:rPr>
        <w:t>社会保障和就业支出（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）行政事业单位养老支出</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）机关事业单位基本养老保险缴费支出（</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支出决算为21.96万元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Style w:val="19"/>
          <w:rFonts w:ascii="仿宋" w:hAnsi="仿宋" w:eastAsia="仿宋"/>
          <w:bCs/>
          <w:color w:val="000000"/>
          <w:sz w:val="32"/>
          <w:szCs w:val="32"/>
        </w:rPr>
        <w:t>2.</w:t>
      </w:r>
      <w:r>
        <w:rPr>
          <w:rStyle w:val="19"/>
          <w:rFonts w:hint="eastAsia" w:ascii="仿宋" w:hAnsi="仿宋" w:eastAsia="仿宋"/>
          <w:bCs/>
          <w:color w:val="000000"/>
          <w:sz w:val="32"/>
          <w:szCs w:val="32"/>
        </w:rPr>
        <w:t>社会保障和就业支出（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）行政事业单位养老支出</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）机关事业单位职业年金缴费支出（</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支出决算为10.98万元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p>
    <w:p>
      <w:pPr>
        <w:spacing w:line="600" w:lineRule="exact"/>
        <w:ind w:firstLine="643" w:firstLineChars="200"/>
        <w:rPr>
          <w:rStyle w:val="19"/>
          <w:rFonts w:hint="eastAsia" w:ascii="仿宋" w:hAnsi="仿宋" w:eastAsia="仿宋"/>
          <w:b w:val="0"/>
          <w:bCs/>
          <w:color w:val="000000"/>
          <w:sz w:val="32"/>
          <w:szCs w:val="32"/>
        </w:rPr>
      </w:pPr>
      <w:r>
        <w:rPr>
          <w:rFonts w:ascii="仿宋" w:hAnsi="仿宋" w:eastAsia="仿宋"/>
          <w:b/>
          <w:bCs w:val="0"/>
          <w:color w:val="000000"/>
          <w:sz w:val="32"/>
          <w:szCs w:val="32"/>
        </w:rPr>
        <w:t>3.</w:t>
      </w:r>
      <w:r>
        <w:rPr>
          <w:rStyle w:val="19"/>
          <w:rFonts w:hint="eastAsia" w:ascii="仿宋" w:hAnsi="仿宋" w:eastAsia="仿宋"/>
          <w:bCs/>
          <w:color w:val="000000"/>
          <w:sz w:val="32"/>
          <w:szCs w:val="32"/>
        </w:rPr>
        <w:t>卫生健康支出（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）行政事业单位医疗</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）行政单位医疗（</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支出决算为9.71万元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p>
    <w:p>
      <w:pPr>
        <w:spacing w:line="600" w:lineRule="exact"/>
        <w:ind w:firstLine="643" w:firstLineChars="200"/>
        <w:rPr>
          <w:rFonts w:hint="eastAsia" w:ascii="仿宋" w:hAnsi="仿宋" w:eastAsia="仿宋"/>
          <w:b/>
          <w:color w:val="0000FF"/>
          <w:sz w:val="32"/>
          <w:szCs w:val="32"/>
          <w:lang w:val="en-US" w:eastAsia="zh-CN"/>
        </w:rPr>
      </w:pPr>
      <w:r>
        <w:rPr>
          <w:rFonts w:ascii="仿宋" w:hAnsi="仿宋" w:eastAsia="仿宋"/>
          <w:b/>
          <w:color w:val="000000"/>
          <w:sz w:val="32"/>
          <w:szCs w:val="32"/>
        </w:rPr>
        <w:t>4.</w:t>
      </w:r>
      <w:r>
        <w:rPr>
          <w:rStyle w:val="19"/>
          <w:rFonts w:hint="eastAsia" w:ascii="仿宋" w:hAnsi="仿宋" w:eastAsia="仿宋"/>
          <w:bCs/>
          <w:color w:val="000000"/>
          <w:sz w:val="32"/>
          <w:szCs w:val="32"/>
        </w:rPr>
        <w:t>卫生健康支出（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）行政事业单位医疗</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）公务员医疗补助（</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支出决算为2.93万元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r>
        <w:rPr>
          <w:rStyle w:val="19"/>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color w:val="000000"/>
          <w:sz w:val="32"/>
          <w:szCs w:val="32"/>
        </w:rPr>
      </w:pPr>
      <w:r>
        <w:rPr>
          <w:rFonts w:ascii="仿宋" w:hAnsi="仿宋" w:eastAsia="仿宋"/>
          <w:b/>
          <w:color w:val="000000"/>
          <w:sz w:val="32"/>
          <w:szCs w:val="32"/>
        </w:rPr>
        <w:t>5.</w:t>
      </w:r>
      <w:r>
        <w:rPr>
          <w:rStyle w:val="19"/>
          <w:rFonts w:hint="eastAsia" w:ascii="仿宋" w:hAnsi="仿宋" w:eastAsia="仿宋"/>
          <w:bCs/>
          <w:color w:val="000000"/>
          <w:sz w:val="32"/>
          <w:szCs w:val="32"/>
        </w:rPr>
        <w:t>农林水支出（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）水利</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）防汛（</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支出决算为2.68万元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firstLine="643" w:firstLineChars="200"/>
        <w:rPr>
          <w:rFonts w:hint="eastAsia" w:ascii="仿宋" w:hAnsi="仿宋" w:eastAsia="仿宋"/>
          <w:color w:val="000000"/>
          <w:sz w:val="32"/>
          <w:szCs w:val="32"/>
          <w:lang w:eastAsia="zh-CN"/>
        </w:rPr>
      </w:pPr>
      <w:r>
        <w:rPr>
          <w:rFonts w:ascii="仿宋" w:hAnsi="仿宋" w:eastAsia="仿宋"/>
          <w:b/>
          <w:color w:val="000000"/>
          <w:sz w:val="32"/>
          <w:szCs w:val="32"/>
        </w:rPr>
        <w:t>6.</w:t>
      </w:r>
      <w:r>
        <w:rPr>
          <w:rStyle w:val="19"/>
          <w:rFonts w:hint="eastAsia" w:ascii="仿宋" w:hAnsi="仿宋" w:eastAsia="仿宋"/>
          <w:bCs/>
          <w:color w:val="000000"/>
          <w:sz w:val="32"/>
          <w:szCs w:val="32"/>
        </w:rPr>
        <w:t>农林水支出（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）巩固脱贫衔接乡村振兴</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）其他巩固脱贫衔接乡村振兴支出（</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支出决算为1580.69万元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r>
        <w:rPr>
          <w:rFonts w:hint="eastAsia" w:ascii="仿宋" w:hAnsi="仿宋" w:eastAsia="仿宋"/>
          <w:color w:val="000000"/>
          <w:sz w:val="32"/>
          <w:szCs w:val="32"/>
          <w:lang w:eastAsia="zh-CN"/>
        </w:rPr>
        <w:t>。</w:t>
      </w:r>
    </w:p>
    <w:p>
      <w:pPr>
        <w:spacing w:line="600" w:lineRule="exact"/>
        <w:ind w:firstLine="643" w:firstLineChars="200"/>
        <w:rPr>
          <w:rFonts w:hint="eastAsia" w:ascii="仿宋" w:hAnsi="仿宋" w:eastAsia="仿宋"/>
          <w:color w:val="000000"/>
          <w:sz w:val="32"/>
          <w:szCs w:val="32"/>
        </w:rPr>
      </w:pPr>
      <w:r>
        <w:rPr>
          <w:rFonts w:ascii="仿宋" w:hAnsi="仿宋" w:eastAsia="仿宋"/>
          <w:b/>
          <w:bCs/>
          <w:color w:val="000000"/>
          <w:sz w:val="32"/>
          <w:szCs w:val="32"/>
        </w:rPr>
        <w:t>7.</w:t>
      </w:r>
      <w:r>
        <w:rPr>
          <w:rFonts w:hint="eastAsia" w:ascii="仿宋" w:hAnsi="仿宋" w:eastAsia="仿宋"/>
          <w:b/>
          <w:bCs/>
          <w:color w:val="000000"/>
          <w:sz w:val="32"/>
          <w:szCs w:val="32"/>
        </w:rPr>
        <w:t>自</w:t>
      </w:r>
      <w:r>
        <w:rPr>
          <w:rFonts w:hint="eastAsia" w:ascii="仿宋" w:hAnsi="仿宋" w:eastAsia="仿宋"/>
          <w:b/>
          <w:color w:val="000000"/>
          <w:sz w:val="32"/>
          <w:szCs w:val="32"/>
        </w:rPr>
        <w:t>然资源海洋气象等支出</w:t>
      </w:r>
      <w:r>
        <w:rPr>
          <w:rStyle w:val="19"/>
          <w:rFonts w:hint="eastAsia" w:ascii="仿宋" w:hAnsi="仿宋" w:eastAsia="仿宋"/>
          <w:bCs/>
          <w:color w:val="000000"/>
          <w:sz w:val="32"/>
          <w:szCs w:val="32"/>
        </w:rPr>
        <w:t>（</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）自然资源事务</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）行政运行（</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rPr>
        <w:t>决算为239.36万元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ascii="仿宋" w:hAnsi="仿宋" w:eastAsia="仿宋"/>
          <w:color w:val="000000"/>
          <w:sz w:val="32"/>
          <w:szCs w:val="32"/>
        </w:rPr>
        <w:t>100%</w:t>
      </w:r>
      <w:r>
        <w:rPr>
          <w:rFonts w:hint="eastAsia" w:ascii="仿宋" w:hAnsi="仿宋" w:eastAsia="仿宋"/>
          <w:color w:val="000000"/>
          <w:sz w:val="32"/>
          <w:szCs w:val="32"/>
        </w:rPr>
        <w:t>，决算数等于预算数。</w:t>
      </w:r>
    </w:p>
    <w:p>
      <w:pPr>
        <w:spacing w:line="600" w:lineRule="exact"/>
        <w:ind w:firstLine="643" w:firstLineChars="200"/>
        <w:rPr>
          <w:rFonts w:hint="eastAsia" w:ascii="仿宋" w:hAnsi="仿宋" w:eastAsia="仿宋"/>
          <w:color w:val="000000"/>
          <w:sz w:val="32"/>
          <w:szCs w:val="32"/>
          <w:lang w:eastAsia="zh-CN"/>
        </w:rPr>
      </w:pPr>
      <w:r>
        <w:rPr>
          <w:rFonts w:hint="eastAsia" w:ascii="仿宋" w:hAnsi="仿宋" w:eastAsia="仿宋"/>
          <w:b/>
          <w:bCs/>
          <w:color w:val="000000"/>
          <w:sz w:val="32"/>
          <w:szCs w:val="32"/>
          <w:lang w:val="en-US" w:eastAsia="zh-CN"/>
        </w:rPr>
        <w:t>8</w:t>
      </w:r>
      <w:r>
        <w:rPr>
          <w:rFonts w:ascii="仿宋" w:hAnsi="仿宋" w:eastAsia="仿宋"/>
          <w:b/>
          <w:bCs/>
          <w:color w:val="000000"/>
          <w:sz w:val="32"/>
          <w:szCs w:val="32"/>
        </w:rPr>
        <w:t>.</w:t>
      </w:r>
      <w:r>
        <w:rPr>
          <w:rFonts w:hint="eastAsia" w:ascii="仿宋" w:hAnsi="仿宋" w:eastAsia="仿宋"/>
          <w:b/>
          <w:bCs/>
          <w:color w:val="000000"/>
          <w:sz w:val="32"/>
          <w:szCs w:val="32"/>
        </w:rPr>
        <w:t>自</w:t>
      </w:r>
      <w:r>
        <w:rPr>
          <w:rFonts w:hint="eastAsia" w:ascii="仿宋" w:hAnsi="仿宋" w:eastAsia="仿宋"/>
          <w:b/>
          <w:color w:val="000000"/>
          <w:sz w:val="32"/>
          <w:szCs w:val="32"/>
        </w:rPr>
        <w:t>然资源海洋气象等支出</w:t>
      </w:r>
      <w:r>
        <w:rPr>
          <w:rStyle w:val="19"/>
          <w:rFonts w:hint="eastAsia" w:ascii="仿宋" w:hAnsi="仿宋" w:eastAsia="仿宋"/>
          <w:bCs/>
          <w:color w:val="000000"/>
          <w:sz w:val="32"/>
          <w:szCs w:val="32"/>
        </w:rPr>
        <w:t>（</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）自然资源事务</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）一般行政管理事务（</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rPr>
        <w:t>决算为183.37万元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ascii="仿宋" w:hAnsi="仿宋" w:eastAsia="仿宋"/>
          <w:color w:val="000000"/>
          <w:sz w:val="32"/>
          <w:szCs w:val="32"/>
        </w:rPr>
        <w:t>100%</w:t>
      </w:r>
      <w:r>
        <w:rPr>
          <w:rFonts w:hint="eastAsia" w:ascii="仿宋" w:hAnsi="仿宋" w:eastAsia="仿宋"/>
          <w:color w:val="000000"/>
          <w:sz w:val="32"/>
          <w:szCs w:val="32"/>
        </w:rPr>
        <w:t>，决算数等于预算数</w:t>
      </w:r>
      <w:r>
        <w:rPr>
          <w:rFonts w:hint="eastAsia" w:ascii="仿宋" w:hAnsi="仿宋" w:eastAsia="仿宋"/>
          <w:color w:val="000000"/>
          <w:sz w:val="32"/>
          <w:szCs w:val="32"/>
          <w:lang w:eastAsia="zh-CN"/>
        </w:rPr>
        <w:t>。</w:t>
      </w:r>
    </w:p>
    <w:p>
      <w:pPr>
        <w:spacing w:line="600" w:lineRule="exact"/>
        <w:ind w:firstLine="643" w:firstLineChars="200"/>
        <w:rPr>
          <w:rFonts w:hint="eastAsia" w:ascii="仿宋" w:hAnsi="仿宋" w:eastAsia="仿宋"/>
          <w:color w:val="0000FF"/>
          <w:sz w:val="32"/>
          <w:szCs w:val="32"/>
          <w:lang w:val="en-US" w:eastAsia="zh-CN"/>
        </w:rPr>
      </w:pPr>
      <w:r>
        <w:rPr>
          <w:rFonts w:hint="eastAsia" w:ascii="仿宋" w:hAnsi="仿宋" w:eastAsia="仿宋"/>
          <w:b/>
          <w:bCs/>
          <w:color w:val="000000"/>
          <w:sz w:val="32"/>
          <w:szCs w:val="32"/>
          <w:lang w:val="en-US" w:eastAsia="zh-CN"/>
        </w:rPr>
        <w:t>9</w:t>
      </w:r>
      <w:r>
        <w:rPr>
          <w:rFonts w:ascii="仿宋" w:hAnsi="仿宋" w:eastAsia="仿宋"/>
          <w:b/>
          <w:bCs/>
          <w:color w:val="000000"/>
          <w:sz w:val="32"/>
          <w:szCs w:val="32"/>
        </w:rPr>
        <w:t>.</w:t>
      </w:r>
      <w:r>
        <w:rPr>
          <w:rFonts w:hint="eastAsia" w:ascii="仿宋" w:hAnsi="仿宋" w:eastAsia="仿宋"/>
          <w:b/>
          <w:color w:val="000000"/>
          <w:sz w:val="32"/>
          <w:szCs w:val="32"/>
        </w:rPr>
        <w:t>自然资源海洋气象等支出</w:t>
      </w:r>
      <w:r>
        <w:rPr>
          <w:rStyle w:val="19"/>
          <w:rFonts w:hint="eastAsia" w:ascii="仿宋" w:hAnsi="仿宋" w:eastAsia="仿宋"/>
          <w:bCs/>
          <w:color w:val="000000"/>
          <w:sz w:val="32"/>
          <w:szCs w:val="32"/>
        </w:rPr>
        <w:t>（</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）自然资源事务</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）自然资源规划及管理（</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rPr>
        <w:t>决算为217.89万元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ascii="仿宋" w:hAnsi="仿宋" w:eastAsia="仿宋"/>
          <w:color w:val="000000"/>
          <w:sz w:val="32"/>
          <w:szCs w:val="32"/>
        </w:rPr>
        <w:t>100%</w:t>
      </w:r>
      <w:r>
        <w:rPr>
          <w:rFonts w:hint="eastAsia" w:ascii="仿宋" w:hAnsi="仿宋" w:eastAsia="仿宋"/>
          <w:color w:val="000000"/>
          <w:sz w:val="32"/>
          <w:szCs w:val="32"/>
        </w:rPr>
        <w:t>，决算数等于预算数</w:t>
      </w:r>
      <w:r>
        <w:rPr>
          <w:rFonts w:hint="eastAsia" w:ascii="仿宋" w:hAnsi="仿宋" w:eastAsia="仿宋"/>
          <w:color w:val="000000"/>
          <w:sz w:val="32"/>
          <w:szCs w:val="32"/>
          <w:lang w:eastAsia="zh-CN"/>
        </w:rPr>
        <w:t>。</w:t>
      </w:r>
    </w:p>
    <w:p>
      <w:pPr>
        <w:spacing w:line="600" w:lineRule="exact"/>
        <w:ind w:firstLine="643" w:firstLineChars="200"/>
        <w:rPr>
          <w:rFonts w:hint="eastAsia" w:ascii="仿宋" w:hAnsi="仿宋" w:eastAsia="仿宋"/>
          <w:color w:val="000000"/>
          <w:sz w:val="32"/>
          <w:szCs w:val="32"/>
        </w:rPr>
      </w:pPr>
      <w:bookmarkStart w:id="39" w:name="_Toc28145"/>
      <w:bookmarkStart w:id="40" w:name="_Toc9305"/>
      <w:bookmarkStart w:id="41" w:name="_Toc15396608"/>
      <w:bookmarkStart w:id="42" w:name="_Toc15377214"/>
      <w:r>
        <w:rPr>
          <w:rFonts w:hint="eastAsia" w:ascii="仿宋" w:hAnsi="仿宋" w:eastAsia="仿宋" w:cs="仿宋"/>
          <w:b/>
          <w:bCs/>
          <w:color w:val="000000"/>
          <w:sz w:val="32"/>
          <w:szCs w:val="32"/>
          <w:lang w:val="en-US" w:eastAsia="zh-CN"/>
        </w:rPr>
        <w:t>10</w:t>
      </w:r>
      <w:r>
        <w:rPr>
          <w:rFonts w:ascii="仿宋" w:hAnsi="仿宋" w:eastAsia="仿宋" w:cs="仿宋"/>
          <w:b/>
          <w:bCs/>
          <w:color w:val="000000"/>
          <w:sz w:val="32"/>
          <w:szCs w:val="32"/>
        </w:rPr>
        <w:t>.</w:t>
      </w:r>
      <w:r>
        <w:rPr>
          <w:rStyle w:val="19"/>
          <w:rFonts w:hint="eastAsia" w:ascii="仿宋" w:hAnsi="仿宋" w:eastAsia="仿宋"/>
          <w:bCs/>
          <w:color w:val="000000"/>
          <w:sz w:val="32"/>
          <w:szCs w:val="32"/>
        </w:rPr>
        <w:t>住房保障支出（</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）住房改革支出</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）住房公积金（</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color w:val="000000"/>
          <w:sz w:val="32"/>
          <w:szCs w:val="32"/>
        </w:rPr>
        <w:t>支出决算为19.96万元</w:t>
      </w:r>
      <w:r>
        <w:rPr>
          <w:rStyle w:val="19"/>
          <w:rFonts w:hint="eastAsia" w:ascii="仿宋" w:hAnsi="仿宋" w:eastAsia="仿宋"/>
          <w:b w:val="0"/>
          <w:bCs/>
          <w:color w:val="000000"/>
          <w:sz w:val="32"/>
          <w:szCs w:val="32"/>
          <w:lang w:eastAsia="zh-CN"/>
        </w:rPr>
        <w:t>，</w:t>
      </w:r>
      <w:r>
        <w:rPr>
          <w:rStyle w:val="19"/>
          <w:rFonts w:hint="eastAsia" w:ascii="仿宋" w:hAnsi="仿宋" w:eastAsia="仿宋"/>
          <w:b w:val="0"/>
          <w:bCs/>
          <w:color w:val="000000"/>
          <w:sz w:val="32"/>
          <w:szCs w:val="32"/>
        </w:rPr>
        <w:t>完成预算</w:t>
      </w:r>
      <w:r>
        <w:rPr>
          <w:rStyle w:val="19"/>
          <w:rFonts w:ascii="仿宋" w:hAnsi="仿宋" w:eastAsia="仿宋"/>
          <w:b w:val="0"/>
          <w:bCs/>
          <w:color w:val="000000"/>
          <w:sz w:val="32"/>
          <w:szCs w:val="32"/>
        </w:rPr>
        <w:t>100%</w:t>
      </w:r>
      <w:r>
        <w:rPr>
          <w:rStyle w:val="19"/>
          <w:rFonts w:hint="eastAsia" w:ascii="仿宋" w:hAnsi="仿宋" w:eastAsia="仿宋"/>
          <w:b w:val="0"/>
          <w:bCs/>
          <w:color w:val="000000"/>
          <w:sz w:val="32"/>
          <w:szCs w:val="32"/>
        </w:rPr>
        <w:t>，决算数等于预算数</w:t>
      </w:r>
      <w:r>
        <w:rPr>
          <w:rFonts w:hint="eastAsia" w:ascii="仿宋" w:hAnsi="仿宋" w:eastAsia="仿宋"/>
          <w:color w:val="000000"/>
          <w:sz w:val="32"/>
          <w:szCs w:val="32"/>
        </w:rPr>
        <w:t>。</w:t>
      </w:r>
      <w:bookmarkEnd w:id="39"/>
      <w:bookmarkEnd w:id="40"/>
    </w:p>
    <w:p>
      <w:pPr>
        <w:spacing w:line="600" w:lineRule="exact"/>
        <w:ind w:firstLine="643" w:firstLineChars="200"/>
        <w:rPr>
          <w:rFonts w:hint="eastAsia" w:ascii="仿宋" w:hAnsi="仿宋" w:eastAsia="仿宋"/>
          <w:color w:val="0000FF"/>
          <w:sz w:val="32"/>
          <w:szCs w:val="32"/>
          <w:lang w:val="en-US" w:eastAsia="zh-CN"/>
        </w:rPr>
      </w:pPr>
      <w:r>
        <w:rPr>
          <w:rFonts w:hint="eastAsia" w:ascii="仿宋" w:hAnsi="仿宋" w:eastAsia="仿宋"/>
          <w:b/>
          <w:bCs/>
          <w:color w:val="000000"/>
          <w:sz w:val="32"/>
          <w:szCs w:val="32"/>
          <w:lang w:val="en-US" w:eastAsia="zh-CN"/>
        </w:rPr>
        <w:t>11</w:t>
      </w:r>
      <w:r>
        <w:rPr>
          <w:rFonts w:ascii="仿宋" w:hAnsi="仿宋" w:eastAsia="仿宋"/>
          <w:b/>
          <w:bCs/>
          <w:color w:val="000000"/>
          <w:sz w:val="32"/>
          <w:szCs w:val="32"/>
        </w:rPr>
        <w:t>.</w:t>
      </w:r>
      <w:r>
        <w:rPr>
          <w:rFonts w:hint="eastAsia" w:ascii="仿宋" w:hAnsi="仿宋" w:eastAsia="仿宋"/>
          <w:b/>
          <w:color w:val="000000"/>
          <w:sz w:val="32"/>
          <w:szCs w:val="32"/>
        </w:rPr>
        <w:t>灾害防治及应急管理支出</w:t>
      </w:r>
      <w:r>
        <w:rPr>
          <w:rStyle w:val="19"/>
          <w:rFonts w:hint="eastAsia" w:ascii="仿宋" w:hAnsi="仿宋" w:eastAsia="仿宋"/>
          <w:bCs/>
          <w:color w:val="000000"/>
          <w:sz w:val="32"/>
          <w:szCs w:val="32"/>
        </w:rPr>
        <w:t>（</w:t>
      </w:r>
      <w:r>
        <w:rPr>
          <w:rStyle w:val="19"/>
          <w:rFonts w:hint="eastAsia" w:ascii="仿宋" w:hAnsi="仿宋" w:eastAsia="仿宋"/>
          <w:bCs/>
          <w:color w:val="000000"/>
          <w:sz w:val="32"/>
          <w:szCs w:val="32"/>
          <w:lang w:val="en-US" w:eastAsia="zh-CN"/>
        </w:rPr>
        <w:t>类</w:t>
      </w:r>
      <w:r>
        <w:rPr>
          <w:rStyle w:val="19"/>
          <w:rFonts w:hint="eastAsia" w:ascii="仿宋" w:hAnsi="仿宋" w:eastAsia="仿宋"/>
          <w:bCs/>
          <w:color w:val="000000"/>
          <w:sz w:val="32"/>
          <w:szCs w:val="32"/>
        </w:rPr>
        <w:t>）应急管理事务</w:t>
      </w:r>
      <w:r>
        <w:rPr>
          <w:rStyle w:val="19"/>
          <w:rFonts w:hint="eastAsia" w:ascii="仿宋" w:hAnsi="仿宋" w:eastAsia="仿宋"/>
          <w:bCs/>
          <w:color w:val="000000"/>
          <w:sz w:val="32"/>
          <w:szCs w:val="32"/>
          <w:lang w:eastAsia="zh-CN"/>
        </w:rPr>
        <w:t>（</w:t>
      </w:r>
      <w:r>
        <w:rPr>
          <w:rStyle w:val="19"/>
          <w:rFonts w:hint="eastAsia" w:ascii="仿宋" w:hAnsi="仿宋" w:eastAsia="仿宋"/>
          <w:bCs/>
          <w:color w:val="000000"/>
          <w:sz w:val="32"/>
          <w:szCs w:val="32"/>
          <w:lang w:val="en-US" w:eastAsia="zh-CN"/>
        </w:rPr>
        <w:t>款</w:t>
      </w:r>
      <w:r>
        <w:rPr>
          <w:rStyle w:val="19"/>
          <w:rFonts w:hint="eastAsia" w:ascii="仿宋" w:hAnsi="仿宋" w:eastAsia="仿宋"/>
          <w:bCs/>
          <w:color w:val="000000"/>
          <w:sz w:val="32"/>
          <w:szCs w:val="32"/>
          <w:lang w:eastAsia="zh-CN"/>
        </w:rPr>
        <w:t>） 应急救援（</w:t>
      </w:r>
      <w:r>
        <w:rPr>
          <w:rStyle w:val="19"/>
          <w:rFonts w:hint="eastAsia" w:ascii="仿宋" w:hAnsi="仿宋" w:eastAsia="仿宋"/>
          <w:bCs/>
          <w:color w:val="000000"/>
          <w:sz w:val="32"/>
          <w:szCs w:val="32"/>
          <w:lang w:val="en-US" w:eastAsia="zh-CN"/>
        </w:rPr>
        <w:t>项）：</w:t>
      </w:r>
      <w:r>
        <w:rPr>
          <w:rStyle w:val="19"/>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rPr>
        <w:t>决算为2.86万元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ascii="仿宋" w:hAnsi="仿宋" w:eastAsia="仿宋"/>
          <w:color w:val="000000"/>
          <w:sz w:val="32"/>
          <w:szCs w:val="32"/>
        </w:rPr>
        <w:t>100%</w:t>
      </w:r>
      <w:r>
        <w:rPr>
          <w:rFonts w:hint="eastAsia" w:ascii="仿宋" w:hAnsi="仿宋" w:eastAsia="仿宋"/>
          <w:color w:val="000000"/>
          <w:sz w:val="32"/>
          <w:szCs w:val="32"/>
        </w:rPr>
        <w:t>，决算数等于预算数</w:t>
      </w:r>
      <w:r>
        <w:rPr>
          <w:rFonts w:hint="eastAsia" w:ascii="仿宋" w:hAnsi="仿宋" w:eastAsia="仿宋"/>
          <w:color w:val="000000"/>
          <w:sz w:val="32"/>
          <w:szCs w:val="32"/>
          <w:lang w:eastAsia="zh-CN"/>
        </w:rPr>
        <w:t>。</w:t>
      </w:r>
    </w:p>
    <w:p>
      <w:pPr>
        <w:tabs>
          <w:tab w:val="right" w:pos="8306"/>
        </w:tabs>
        <w:spacing w:line="600" w:lineRule="exact"/>
        <w:ind w:firstLine="640"/>
        <w:outlineLvl w:val="9"/>
        <w:rPr>
          <w:rStyle w:val="19"/>
          <w:rFonts w:hint="eastAsia" w:ascii="仿宋" w:hAnsi="仿宋" w:eastAsia="仿宋"/>
          <w:b w:val="0"/>
          <w:bCs/>
          <w:color w:val="000000"/>
          <w:sz w:val="32"/>
          <w:szCs w:val="32"/>
          <w:lang w:val="en-US" w:eastAsia="zh-CN"/>
        </w:rPr>
      </w:pPr>
      <w:bookmarkStart w:id="43" w:name="_Toc12898"/>
      <w:bookmarkStart w:id="44" w:name="_Toc26110"/>
      <w:r>
        <w:rPr>
          <w:rFonts w:hint="eastAsia" w:ascii="仿宋" w:hAnsi="仿宋" w:eastAsia="仿宋"/>
          <w:b/>
          <w:color w:val="000000"/>
          <w:sz w:val="32"/>
          <w:szCs w:val="32"/>
          <w:lang w:val="en-US" w:eastAsia="zh-CN"/>
        </w:rPr>
        <w:t>12</w:t>
      </w:r>
      <w:r>
        <w:rPr>
          <w:rFonts w:hint="eastAsia" w:ascii="仿宋" w:hAnsi="仿宋" w:eastAsia="仿宋"/>
          <w:b/>
          <w:color w:val="000000"/>
          <w:sz w:val="32"/>
          <w:szCs w:val="32"/>
          <w:lang w:eastAsia="zh-CN"/>
        </w:rPr>
        <w:t>.灾害防治及应急管理支出（</w:t>
      </w:r>
      <w:r>
        <w:rPr>
          <w:rFonts w:hint="eastAsia" w:ascii="仿宋" w:hAnsi="仿宋" w:eastAsia="仿宋"/>
          <w:b/>
          <w:color w:val="000000"/>
          <w:sz w:val="32"/>
          <w:szCs w:val="32"/>
          <w:lang w:val="en-US" w:eastAsia="zh-CN"/>
        </w:rPr>
        <w:t>类</w:t>
      </w:r>
      <w:r>
        <w:rPr>
          <w:rFonts w:hint="eastAsia" w:ascii="仿宋" w:hAnsi="仿宋" w:eastAsia="仿宋"/>
          <w:b/>
          <w:color w:val="000000"/>
          <w:sz w:val="32"/>
          <w:szCs w:val="32"/>
          <w:lang w:eastAsia="zh-CN"/>
        </w:rPr>
        <w:t>）自然灾害防治（</w:t>
      </w:r>
      <w:r>
        <w:rPr>
          <w:rFonts w:hint="eastAsia" w:ascii="仿宋" w:hAnsi="仿宋" w:eastAsia="仿宋"/>
          <w:b/>
          <w:color w:val="000000"/>
          <w:sz w:val="32"/>
          <w:szCs w:val="32"/>
          <w:lang w:val="en-US" w:eastAsia="zh-CN"/>
        </w:rPr>
        <w:t>款</w:t>
      </w:r>
      <w:r>
        <w:rPr>
          <w:rFonts w:hint="eastAsia" w:ascii="仿宋" w:hAnsi="仿宋" w:eastAsia="仿宋"/>
          <w:b/>
          <w:color w:val="000000"/>
          <w:sz w:val="32"/>
          <w:szCs w:val="32"/>
          <w:lang w:eastAsia="zh-CN"/>
        </w:rPr>
        <w:t>）地质灾害防治（</w:t>
      </w:r>
      <w:r>
        <w:rPr>
          <w:rFonts w:hint="eastAsia" w:ascii="仿宋" w:hAnsi="仿宋" w:eastAsia="仿宋"/>
          <w:b/>
          <w:color w:val="000000"/>
          <w:sz w:val="32"/>
          <w:szCs w:val="32"/>
          <w:lang w:val="en-US" w:eastAsia="zh-CN"/>
        </w:rPr>
        <w:t>项）</w:t>
      </w:r>
      <w:r>
        <w:rPr>
          <w:rStyle w:val="19"/>
          <w:rFonts w:hint="eastAsia" w:ascii="仿宋" w:hAnsi="仿宋" w:eastAsia="仿宋"/>
          <w:b w:val="0"/>
          <w:bCs/>
          <w:color w:val="000000"/>
          <w:sz w:val="32"/>
          <w:szCs w:val="32"/>
          <w:lang w:val="en-US" w:eastAsia="zh-CN"/>
        </w:rPr>
        <w:t>：支出决算为1786.53万元，完成预算100%，决算数等于预算数。</w:t>
      </w:r>
      <w:bookmarkEnd w:id="43"/>
      <w:bookmarkEnd w:id="44"/>
    </w:p>
    <w:p>
      <w:pPr>
        <w:tabs>
          <w:tab w:val="right" w:pos="8306"/>
        </w:tabs>
        <w:spacing w:line="600" w:lineRule="exact"/>
        <w:ind w:firstLine="640"/>
        <w:outlineLvl w:val="1"/>
        <w:rPr>
          <w:rFonts w:hint="eastAsia" w:ascii="黑体" w:eastAsia="仿宋"/>
          <w:color w:val="000000"/>
          <w:sz w:val="32"/>
          <w:szCs w:val="32"/>
          <w:lang w:eastAsia="zh-CN"/>
        </w:rPr>
      </w:pPr>
    </w:p>
    <w:p>
      <w:pPr>
        <w:tabs>
          <w:tab w:val="right" w:pos="8306"/>
        </w:tabs>
        <w:spacing w:line="600" w:lineRule="exact"/>
        <w:ind w:firstLine="640"/>
        <w:outlineLvl w:val="1"/>
        <w:rPr>
          <w:rStyle w:val="22"/>
        </w:rPr>
      </w:pPr>
      <w:bookmarkStart w:id="45" w:name="_Toc29723"/>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2"/>
          <w:rFonts w:hint="eastAsia" w:ascii="黑体" w:hAnsi="黑体" w:eastAsia="黑体"/>
          <w:b w:val="0"/>
        </w:rPr>
        <w:t>般公共预算财政拨款基本支出决算情况说明</w:t>
      </w:r>
      <w:bookmarkEnd w:id="41"/>
      <w:bookmarkEnd w:id="42"/>
      <w:bookmarkEnd w:id="45"/>
      <w:r>
        <w:rPr>
          <w:rStyle w:val="22"/>
          <w:rFonts w:ascii="黑体" w:hAnsi="黑体" w:eastAsia="黑体"/>
          <w:b w:val="0"/>
        </w:rPr>
        <w:tab/>
      </w:r>
    </w:p>
    <w:p>
      <w:pPr>
        <w:spacing w:line="600" w:lineRule="exact"/>
        <w:ind w:firstLine="645"/>
        <w:rPr>
          <w:rFonts w:hint="eastAsia" w:ascii="仿宋" w:hAnsi="仿宋" w:eastAsia="仿宋"/>
          <w:sz w:val="32"/>
          <w:szCs w:val="32"/>
        </w:rPr>
      </w:pPr>
      <w:r>
        <w:rPr>
          <w:rFonts w:hint="eastAsia" w:ascii="仿宋" w:hAnsi="仿宋" w:eastAsia="仿宋"/>
          <w:sz w:val="32"/>
          <w:szCs w:val="32"/>
          <w:lang w:eastAsia="zh-CN"/>
        </w:rPr>
        <w:t>2022年</w:t>
      </w:r>
      <w:r>
        <w:rPr>
          <w:rFonts w:hint="eastAsia" w:ascii="仿宋" w:hAnsi="仿宋" w:eastAsia="仿宋"/>
          <w:sz w:val="32"/>
          <w:szCs w:val="32"/>
        </w:rPr>
        <w:t>一般公共预算财政拨款基本支出</w:t>
      </w:r>
      <w:r>
        <w:rPr>
          <w:rFonts w:hint="eastAsia" w:ascii="仿宋" w:hAnsi="仿宋" w:eastAsia="仿宋"/>
          <w:bCs/>
          <w:sz w:val="32"/>
          <w:szCs w:val="32"/>
        </w:rPr>
        <w:t>304.9</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284.45万元，主要包括：基本工资、津贴补贴、奖金、机关事业单位基本养老保险缴费、职业年金缴费、其他社会保障缴费、职工基本医疗保险缴费、其他社会保障缴费、生活补助、医疗费补助、住房公积金。　　</w:t>
      </w:r>
    </w:p>
    <w:p>
      <w:pPr>
        <w:spacing w:line="600" w:lineRule="exact"/>
        <w:ind w:firstLine="645"/>
        <w:rPr>
          <w:rFonts w:ascii="仿宋" w:hAnsi="仿宋" w:eastAsia="仿宋"/>
          <w:bCs/>
          <w:sz w:val="32"/>
          <w:szCs w:val="32"/>
        </w:rPr>
      </w:pPr>
      <w:r>
        <w:rPr>
          <w:rFonts w:hint="eastAsia" w:ascii="仿宋" w:hAnsi="仿宋" w:eastAsia="仿宋"/>
          <w:sz w:val="32"/>
          <w:szCs w:val="32"/>
        </w:rPr>
        <w:t>日常公用经费20.45万元，主要包括：办公费、印刷费、电费、邮电费、取暖费、物业管理费、差旅费、维修（护）费、公务用车运行维护费等。</w:t>
      </w:r>
    </w:p>
    <w:p>
      <w:pPr>
        <w:spacing w:line="600" w:lineRule="exact"/>
        <w:ind w:firstLine="640"/>
        <w:outlineLvl w:val="1"/>
        <w:rPr>
          <w:rStyle w:val="22"/>
          <w:rFonts w:ascii="黑体" w:hAnsi="黑体" w:eastAsia="黑体"/>
          <w:b w:val="0"/>
        </w:rPr>
      </w:pPr>
      <w:bookmarkStart w:id="46" w:name="_Toc15377215"/>
      <w:bookmarkStart w:id="47" w:name="_Toc1656"/>
      <w:bookmarkStart w:id="48" w:name="_Toc15396609"/>
      <w:r>
        <w:rPr>
          <w:rFonts w:hint="eastAsia" w:ascii="黑体" w:eastAsia="黑体"/>
          <w:sz w:val="32"/>
          <w:szCs w:val="32"/>
        </w:rPr>
        <w:t>七、</w:t>
      </w:r>
      <w:r>
        <w:rPr>
          <w:rStyle w:val="22"/>
          <w:rFonts w:hint="eastAsia" w:ascii="黑体" w:hAnsi="黑体" w:eastAsia="黑体"/>
        </w:rPr>
        <w:t>“</w:t>
      </w:r>
      <w:r>
        <w:rPr>
          <w:rStyle w:val="22"/>
          <w:rFonts w:hint="eastAsia" w:ascii="黑体" w:hAnsi="黑体" w:eastAsia="黑体"/>
          <w:b w:val="0"/>
        </w:rPr>
        <w:t>三公”经费财政拨款支出决算情况说明</w:t>
      </w:r>
      <w:bookmarkEnd w:id="46"/>
      <w:bookmarkEnd w:id="47"/>
      <w:bookmarkEnd w:id="48"/>
    </w:p>
    <w:p>
      <w:pPr>
        <w:spacing w:line="600" w:lineRule="exact"/>
        <w:ind w:firstLine="640"/>
        <w:outlineLvl w:val="2"/>
        <w:rPr>
          <w:rFonts w:ascii="仿宋" w:hAnsi="仿宋" w:eastAsia="仿宋"/>
          <w:b/>
          <w:sz w:val="32"/>
          <w:szCs w:val="32"/>
        </w:rPr>
      </w:pPr>
      <w:bookmarkStart w:id="49" w:name="_Toc15377216"/>
      <w:bookmarkStart w:id="50" w:name="_Toc7419"/>
      <w:r>
        <w:rPr>
          <w:rFonts w:hint="eastAsia" w:ascii="仿宋" w:hAnsi="仿宋" w:eastAsia="仿宋"/>
          <w:b/>
          <w:sz w:val="32"/>
          <w:szCs w:val="32"/>
        </w:rPr>
        <w:t>（一）“三公”经费财政拨款支出决算总体情况说明</w:t>
      </w:r>
      <w:bookmarkEnd w:id="49"/>
      <w:bookmarkEnd w:id="50"/>
    </w:p>
    <w:p>
      <w:pPr>
        <w:spacing w:line="600" w:lineRule="exact"/>
        <w:ind w:firstLine="640"/>
        <w:rPr>
          <w:rFonts w:ascii="仿宋" w:hAnsi="仿宋" w:eastAsia="仿宋"/>
          <w:sz w:val="32"/>
          <w:szCs w:val="32"/>
        </w:rPr>
      </w:pPr>
      <w:r>
        <w:rPr>
          <w:rFonts w:hint="eastAsia" w:ascii="仿宋" w:hAnsi="仿宋" w:eastAsia="仿宋"/>
          <w:sz w:val="32"/>
          <w:szCs w:val="32"/>
          <w:lang w:eastAsia="zh-CN"/>
        </w:rPr>
        <w:t>2022年</w:t>
      </w:r>
      <w:r>
        <w:rPr>
          <w:rFonts w:hint="eastAsia" w:ascii="仿宋" w:hAnsi="仿宋" w:eastAsia="仿宋"/>
          <w:sz w:val="32"/>
          <w:szCs w:val="32"/>
        </w:rPr>
        <w:t>“三公”经费财政拨款支出决算为13.11万元，完成预算</w:t>
      </w:r>
      <w:r>
        <w:rPr>
          <w:rFonts w:ascii="仿宋" w:hAnsi="仿宋" w:eastAsia="仿宋"/>
          <w:sz w:val="32"/>
          <w:szCs w:val="32"/>
        </w:rPr>
        <w:t>100%</w:t>
      </w:r>
      <w:r>
        <w:rPr>
          <w:rFonts w:hint="eastAsia" w:ascii="仿宋" w:hAnsi="仿宋" w:eastAsia="仿宋"/>
          <w:sz w:val="32"/>
          <w:szCs w:val="32"/>
        </w:rPr>
        <w:t>，决算数等于预算数。</w:t>
      </w:r>
    </w:p>
    <w:p>
      <w:pPr>
        <w:spacing w:line="600" w:lineRule="exact"/>
        <w:ind w:firstLine="643" w:firstLineChars="200"/>
        <w:outlineLvl w:val="2"/>
        <w:rPr>
          <w:rFonts w:ascii="仿宋" w:hAnsi="仿宋" w:eastAsia="仿宋"/>
          <w:b/>
          <w:sz w:val="32"/>
          <w:szCs w:val="32"/>
        </w:rPr>
      </w:pPr>
      <w:bookmarkStart w:id="51" w:name="_Toc13331"/>
      <w:bookmarkStart w:id="52" w:name="_Toc15377217"/>
      <w:r>
        <w:rPr>
          <w:rFonts w:hint="eastAsia" w:ascii="仿宋" w:hAnsi="仿宋" w:eastAsia="仿宋"/>
          <w:b/>
          <w:sz w:val="32"/>
          <w:szCs w:val="32"/>
        </w:rPr>
        <w:t>（二）“三公”经费财政拨款支出决算具体情况说明</w:t>
      </w:r>
      <w:bookmarkEnd w:id="51"/>
      <w:bookmarkEnd w:id="52"/>
    </w:p>
    <w:p>
      <w:pPr>
        <w:spacing w:line="600" w:lineRule="exact"/>
        <w:ind w:firstLine="640"/>
        <w:rPr>
          <w:rFonts w:ascii="仿宋" w:hAnsi="仿宋" w:eastAsia="仿宋"/>
          <w:color w:val="0000FF"/>
          <w:sz w:val="32"/>
          <w:szCs w:val="32"/>
        </w:rPr>
      </w:pPr>
      <w:r>
        <w:rPr>
          <w:rFonts w:hint="eastAsia" w:ascii="仿宋" w:hAnsi="仿宋" w:eastAsia="仿宋"/>
          <w:sz w:val="32"/>
          <w:szCs w:val="32"/>
          <w:lang w:eastAsia="zh-CN"/>
        </w:rPr>
        <w:t>2022年</w:t>
      </w:r>
      <w:r>
        <w:rPr>
          <w:rFonts w:hint="eastAsia" w:ascii="仿宋" w:hAnsi="仿宋" w:eastAsia="仿宋"/>
          <w:sz w:val="32"/>
          <w:szCs w:val="32"/>
        </w:rPr>
        <w:t>“三公”经费财政拨款支出决算中，因公出国（境）费支出决算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；公务用车购置及运行维护费支出决算13.11万元，占</w:t>
      </w:r>
      <w:r>
        <w:rPr>
          <w:rFonts w:hint="eastAsia" w:ascii="仿宋" w:hAnsi="仿宋" w:eastAsia="仿宋"/>
          <w:sz w:val="32"/>
          <w:szCs w:val="32"/>
          <w:lang w:val="en-US" w:eastAsia="zh-CN"/>
        </w:rPr>
        <w:t>100</w:t>
      </w:r>
      <w:r>
        <w:rPr>
          <w:rFonts w:hint="eastAsia" w:ascii="仿宋" w:hAnsi="仿宋" w:eastAsia="仿宋"/>
          <w:sz w:val="32"/>
          <w:szCs w:val="32"/>
        </w:rPr>
        <w:t>%；公务接待费支出决算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%。具体情况如下：</w:t>
      </w:r>
    </w:p>
    <w:p>
      <w:pPr>
        <w:ind w:firstLine="641"/>
        <w:rPr>
          <w:rFonts w:ascii="仿宋" w:hAnsi="仿宋" w:eastAsia="仿宋"/>
          <w:color w:val="0000FF"/>
          <w:sz w:val="32"/>
          <w:szCs w:val="32"/>
        </w:rPr>
      </w:pPr>
      <w:r>
        <w:drawing>
          <wp:inline distT="0" distB="0" distL="114300" distR="114300">
            <wp:extent cx="4623435" cy="2164080"/>
            <wp:effectExtent l="4445" t="4445" r="5080" b="10795"/>
            <wp:docPr id="138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7</w:t>
      </w:r>
      <w:r>
        <w:rPr>
          <w:rFonts w:hint="eastAsia" w:ascii="仿宋" w:hAnsi="仿宋" w:eastAsia="仿宋"/>
          <w:sz w:val="32"/>
          <w:szCs w:val="32"/>
        </w:rPr>
        <w:t>：“三公”经费财政拨款支出结构）（饼状图）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ascii="仿宋_GB2312" w:eastAsia="仿宋_GB2312"/>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人。因公出国（境）支出决算比</w:t>
      </w:r>
      <w:r>
        <w:rPr>
          <w:rFonts w:hint="eastAsia" w:ascii="仿宋_GB2312" w:eastAsia="仿宋_GB2312"/>
          <w:sz w:val="32"/>
          <w:szCs w:val="32"/>
          <w:lang w:eastAsia="zh-CN"/>
        </w:rPr>
        <w:t>2021年</w:t>
      </w:r>
      <w:r>
        <w:rPr>
          <w:rFonts w:hint="eastAsia" w:ascii="仿宋_GB2312" w:eastAsia="仿宋_GB2312"/>
          <w:sz w:val="32"/>
          <w:szCs w:val="32"/>
        </w:rPr>
        <w:t>增加少</w:t>
      </w:r>
      <w:r>
        <w:rPr>
          <w:rFonts w:ascii="仿宋_GB2312" w:eastAsia="仿宋_GB2312"/>
          <w:sz w:val="32"/>
          <w:szCs w:val="32"/>
        </w:rPr>
        <w:t>0</w:t>
      </w:r>
      <w:r>
        <w:rPr>
          <w:rFonts w:hint="eastAsia" w:ascii="仿宋_GB2312" w:eastAsia="仿宋_GB2312"/>
          <w:sz w:val="32"/>
          <w:szCs w:val="32"/>
        </w:rPr>
        <w:t>万元，增长</w:t>
      </w:r>
      <w:r>
        <w:rPr>
          <w:rFonts w:ascii="仿宋_GB2312" w:eastAsia="仿宋_GB2312"/>
          <w:sz w:val="32"/>
          <w:szCs w:val="32"/>
        </w:rPr>
        <w:t>0%</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13.11万元</w:t>
      </w:r>
      <w:r>
        <w:rPr>
          <w:rFonts w:ascii="仿宋_GB2312" w:eastAsia="仿宋_GB2312"/>
          <w:sz w:val="32"/>
          <w:szCs w:val="32"/>
        </w:rPr>
        <w:t>,</w:t>
      </w:r>
      <w:r>
        <w:rPr>
          <w:rStyle w:val="19"/>
          <w:rFonts w:hint="eastAsia" w:ascii="仿宋" w:hAnsi="仿宋" w:eastAsia="仿宋"/>
          <w:b w:val="0"/>
          <w:bCs/>
          <w:sz w:val="32"/>
          <w:szCs w:val="32"/>
        </w:rPr>
        <w:t>完成预算</w:t>
      </w:r>
      <w:r>
        <w:rPr>
          <w:rStyle w:val="19"/>
          <w:rFonts w:ascii="仿宋" w:hAnsi="仿宋" w:eastAsia="仿宋"/>
          <w:b w:val="0"/>
          <w:bCs/>
          <w:sz w:val="32"/>
          <w:szCs w:val="32"/>
        </w:rPr>
        <w:t>100%</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eastAsia="zh-CN"/>
        </w:rPr>
        <w:t>2021年</w:t>
      </w:r>
      <w:r>
        <w:rPr>
          <w:rFonts w:hint="eastAsia" w:ascii="仿宋_GB2312" w:eastAsia="仿宋_GB2312"/>
          <w:sz w:val="32"/>
          <w:szCs w:val="32"/>
          <w:lang w:val="en-US" w:eastAsia="zh-CN"/>
        </w:rPr>
        <w:t>增加6.1</w:t>
      </w:r>
      <w:r>
        <w:rPr>
          <w:rFonts w:hint="eastAsia" w:ascii="仿宋_GB2312" w:eastAsia="仿宋_GB2312"/>
          <w:sz w:val="32"/>
          <w:szCs w:val="32"/>
        </w:rPr>
        <w:t>万元，</w:t>
      </w:r>
      <w:r>
        <w:rPr>
          <w:rFonts w:hint="eastAsia" w:ascii="仿宋_GB2312" w:eastAsia="仿宋_GB2312"/>
          <w:sz w:val="32"/>
          <w:szCs w:val="32"/>
          <w:lang w:val="en-US" w:eastAsia="zh-CN"/>
        </w:rPr>
        <w:t>增长87.01</w:t>
      </w:r>
      <w:r>
        <w:rPr>
          <w:rFonts w:hint="eastAsia" w:ascii="仿宋_GB2312" w:eastAsia="仿宋_GB2312"/>
          <w:sz w:val="32"/>
          <w:szCs w:val="32"/>
        </w:rPr>
        <w:t>%。主要原因是维修维护</w:t>
      </w:r>
      <w:r>
        <w:rPr>
          <w:rFonts w:hint="eastAsia" w:ascii="仿宋_GB2312" w:eastAsia="仿宋_GB2312"/>
          <w:sz w:val="32"/>
          <w:szCs w:val="32"/>
          <w:lang w:val="en-US" w:eastAsia="zh-CN"/>
        </w:rPr>
        <w:t>次数增多</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_GB2312" w:eastAsia="仿宋_GB2312"/>
          <w:sz w:val="32"/>
          <w:szCs w:val="32"/>
        </w:rPr>
        <w:t>0</w:t>
      </w:r>
      <w:r>
        <w:rPr>
          <w:rFonts w:hint="eastAsia" w:ascii="仿宋_GB2312" w:eastAsia="仿宋_GB2312"/>
          <w:sz w:val="32"/>
          <w:szCs w:val="32"/>
        </w:rPr>
        <w:t>万元。全年按规定更新购置公务用车</w:t>
      </w:r>
      <w:r>
        <w:rPr>
          <w:rFonts w:ascii="仿宋_GB2312" w:eastAsia="仿宋_GB2312"/>
          <w:sz w:val="32"/>
          <w:szCs w:val="32"/>
        </w:rPr>
        <w:t>0</w:t>
      </w:r>
      <w:r>
        <w:rPr>
          <w:rFonts w:hint="eastAsia" w:ascii="仿宋_GB2312" w:eastAsia="仿宋_GB2312"/>
          <w:sz w:val="32"/>
          <w:szCs w:val="32"/>
        </w:rPr>
        <w:t>辆，金额</w:t>
      </w:r>
      <w:r>
        <w:rPr>
          <w:rFonts w:ascii="仿宋_GB2312" w:eastAsia="仿宋_GB2312"/>
          <w:sz w:val="32"/>
          <w:szCs w:val="32"/>
        </w:rPr>
        <w:t>0</w:t>
      </w:r>
      <w:r>
        <w:rPr>
          <w:rFonts w:hint="eastAsia" w:ascii="仿宋_GB2312" w:eastAsia="仿宋_GB2312"/>
          <w:sz w:val="32"/>
          <w:szCs w:val="32"/>
        </w:rPr>
        <w:t>元。截至</w:t>
      </w:r>
      <w:r>
        <w:rPr>
          <w:rFonts w:hint="eastAsia" w:ascii="仿宋_GB2312" w:eastAsia="仿宋_GB2312"/>
          <w:sz w:val="32"/>
          <w:szCs w:val="32"/>
          <w:lang w:eastAsia="zh-CN"/>
        </w:rPr>
        <w:t>2022年</w:t>
      </w:r>
      <w:r>
        <w:rPr>
          <w:rFonts w:ascii="仿宋_GB2312" w:eastAsia="仿宋_GB2312"/>
          <w:sz w:val="32"/>
          <w:szCs w:val="32"/>
        </w:rPr>
        <w:t>12</w:t>
      </w:r>
      <w:r>
        <w:rPr>
          <w:rFonts w:hint="eastAsia" w:ascii="仿宋_GB2312" w:eastAsia="仿宋_GB2312"/>
          <w:sz w:val="32"/>
          <w:szCs w:val="32"/>
        </w:rPr>
        <w:t>月底，单位共有其他用车</w:t>
      </w:r>
      <w:r>
        <w:rPr>
          <w:rFonts w:hint="eastAsia" w:ascii="仿宋_GB2312" w:eastAsia="仿宋_GB2312"/>
          <w:sz w:val="32"/>
          <w:szCs w:val="32"/>
          <w:lang w:val="en-US" w:eastAsia="zh-CN"/>
        </w:rPr>
        <w:t>3</w:t>
      </w:r>
      <w:r>
        <w:rPr>
          <w:rFonts w:hint="eastAsia" w:ascii="仿宋_GB2312" w:eastAsia="仿宋_GB2312"/>
          <w:sz w:val="32"/>
          <w:szCs w:val="32"/>
        </w:rPr>
        <w:t>辆。其中：越野车</w:t>
      </w:r>
      <w:r>
        <w:rPr>
          <w:rFonts w:hint="eastAsia" w:ascii="仿宋_GB2312" w:eastAsia="仿宋_GB2312"/>
          <w:sz w:val="32"/>
          <w:szCs w:val="32"/>
          <w:lang w:val="en-US" w:eastAsia="zh-CN"/>
        </w:rPr>
        <w:t>3</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13.11万元。主要用于因公出差、汛期下乡等所需的公务用车燃料费、维修费、过路过桥费、保险费等支出。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9"/>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2021年</w:t>
      </w:r>
      <w:r>
        <w:rPr>
          <w:rFonts w:hint="eastAsia" w:ascii="仿宋_GB2312" w:eastAsia="仿宋_GB2312"/>
          <w:sz w:val="32"/>
          <w:szCs w:val="32"/>
        </w:rPr>
        <w:t>减少</w:t>
      </w:r>
      <w:r>
        <w:rPr>
          <w:rFonts w:hint="eastAsia" w:ascii="仿宋_GB2312" w:eastAsia="仿宋_GB2312"/>
          <w:sz w:val="32"/>
          <w:szCs w:val="32"/>
          <w:lang w:val="en-US" w:eastAsia="zh-CN"/>
        </w:rPr>
        <w:t>0.05</w:t>
      </w:r>
      <w:r>
        <w:rPr>
          <w:rFonts w:hint="eastAsia" w:ascii="仿宋_GB2312" w:eastAsia="仿宋_GB2312"/>
          <w:sz w:val="32"/>
          <w:szCs w:val="32"/>
        </w:rPr>
        <w:t>万元，减少</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本年度无公务接待</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_GB2312" w:eastAsia="仿宋_GB2312"/>
          <w:sz w:val="32"/>
          <w:szCs w:val="32"/>
        </w:rPr>
        <w:t>其中：</w:t>
      </w:r>
      <w:r>
        <w:rPr>
          <w:rFonts w:hint="eastAsia" w:ascii="仿宋" w:hAnsi="仿宋" w:eastAsia="仿宋"/>
          <w:b/>
          <w:sz w:val="32"/>
          <w:szCs w:val="32"/>
        </w:rPr>
        <w:t>国内公务接待支出</w:t>
      </w:r>
      <w:r>
        <w:rPr>
          <w:rFonts w:hint="eastAsia" w:ascii="仿宋" w:hAnsi="仿宋" w:eastAsia="仿宋"/>
          <w:sz w:val="32"/>
          <w:szCs w:val="32"/>
          <w:lang w:val="en-US" w:eastAsia="zh-CN"/>
        </w:rPr>
        <w:t>0</w:t>
      </w:r>
      <w:r>
        <w:rPr>
          <w:rFonts w:hint="eastAsia" w:ascii="仿宋_GB2312" w:eastAsia="仿宋_GB2312"/>
          <w:sz w:val="32"/>
          <w:szCs w:val="32"/>
        </w:rPr>
        <w:t>万元。</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sz w:val="32"/>
          <w:szCs w:val="32"/>
        </w:rPr>
        <w:t>0</w:t>
      </w:r>
      <w:r>
        <w:rPr>
          <w:rFonts w:hint="eastAsia" w:ascii="仿宋_GB2312" w:eastAsia="仿宋_GB2312"/>
          <w:sz w:val="32"/>
          <w:szCs w:val="32"/>
        </w:rPr>
        <w:t>万元，外事接待</w:t>
      </w:r>
      <w:r>
        <w:rPr>
          <w:rFonts w:ascii="仿宋_GB2312" w:eastAsia="仿宋_GB2312"/>
          <w:sz w:val="32"/>
          <w:szCs w:val="32"/>
        </w:rPr>
        <w:t>0</w:t>
      </w:r>
      <w:r>
        <w:rPr>
          <w:rFonts w:hint="eastAsia" w:ascii="仿宋_GB2312" w:eastAsia="仿宋_GB2312"/>
          <w:sz w:val="32"/>
          <w:szCs w:val="32"/>
        </w:rPr>
        <w:t>批次，</w:t>
      </w:r>
      <w:r>
        <w:rPr>
          <w:rFonts w:ascii="仿宋_GB2312" w:eastAsia="仿宋_GB2312"/>
          <w:sz w:val="32"/>
          <w:szCs w:val="32"/>
        </w:rPr>
        <w:t>0</w:t>
      </w:r>
      <w:r>
        <w:rPr>
          <w:rFonts w:hint="eastAsia" w:ascii="仿宋_GB2312" w:eastAsia="仿宋_GB2312"/>
          <w:sz w:val="32"/>
          <w:szCs w:val="32"/>
        </w:rPr>
        <w:t>人，共计支出</w:t>
      </w:r>
      <w:r>
        <w:rPr>
          <w:rFonts w:ascii="仿宋_GB2312" w:eastAsia="仿宋_GB2312"/>
          <w:sz w:val="32"/>
          <w:szCs w:val="32"/>
        </w:rPr>
        <w:t>0</w:t>
      </w:r>
      <w:r>
        <w:rPr>
          <w:rFonts w:hint="eastAsia" w:ascii="仿宋_GB2312" w:eastAsia="仿宋_GB2312"/>
          <w:sz w:val="32"/>
          <w:szCs w:val="32"/>
        </w:rPr>
        <w:t>万元。</w:t>
      </w:r>
      <w:bookmarkStart w:id="53" w:name="_Toc15377218"/>
      <w:bookmarkStart w:id="54" w:name="_Toc15396610"/>
    </w:p>
    <w:p>
      <w:pPr>
        <w:spacing w:line="600" w:lineRule="exact"/>
        <w:ind w:firstLine="640"/>
        <w:outlineLvl w:val="1"/>
        <w:rPr>
          <w:rStyle w:val="22"/>
          <w:rFonts w:ascii="黑体" w:hAnsi="黑体" w:eastAsia="黑体"/>
        </w:rPr>
      </w:pPr>
      <w:bookmarkStart w:id="55" w:name="_Toc21652"/>
      <w:r>
        <w:rPr>
          <w:rFonts w:hint="eastAsia" w:ascii="黑体" w:eastAsia="黑体"/>
          <w:sz w:val="32"/>
          <w:szCs w:val="32"/>
        </w:rPr>
        <w:t>八、</w:t>
      </w:r>
      <w:r>
        <w:rPr>
          <w:rStyle w:val="22"/>
          <w:rFonts w:hint="eastAsia" w:ascii="黑体" w:hAnsi="黑体" w:eastAsia="黑体"/>
          <w:b w:val="0"/>
        </w:rPr>
        <w:t>政府性基金预算支出决算情况说明</w:t>
      </w:r>
      <w:bookmarkEnd w:id="53"/>
      <w:bookmarkEnd w:id="54"/>
      <w:bookmarkEnd w:id="55"/>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2022年</w:t>
      </w:r>
      <w:r>
        <w:rPr>
          <w:rFonts w:hint="eastAsia" w:ascii="仿宋_GB2312" w:eastAsia="仿宋_GB2312"/>
          <w:sz w:val="32"/>
          <w:szCs w:val="32"/>
        </w:rPr>
        <w:t>政府性基金预算拨款支出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40" w:firstLineChars="200"/>
        <w:outlineLvl w:val="1"/>
        <w:rPr>
          <w:rStyle w:val="22"/>
          <w:rFonts w:ascii="黑体" w:hAnsi="黑体" w:eastAsia="黑体"/>
          <w:b w:val="0"/>
        </w:rPr>
      </w:pPr>
      <w:bookmarkStart w:id="56" w:name="_Toc15377219"/>
      <w:bookmarkStart w:id="57" w:name="_Toc15396611"/>
      <w:bookmarkStart w:id="58" w:name="_Toc8352"/>
      <w:r>
        <w:rPr>
          <w:rStyle w:val="22"/>
          <w:rFonts w:hint="eastAsia" w:ascii="黑体" w:hAnsi="黑体" w:eastAsia="黑体"/>
          <w:b w:val="0"/>
        </w:rPr>
        <w:t>九、国有资本经营预算支出决算情况说明</w:t>
      </w:r>
      <w:bookmarkEnd w:id="56"/>
      <w:bookmarkEnd w:id="57"/>
      <w:bookmarkEnd w:id="58"/>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2021年</w:t>
      </w:r>
      <w:r>
        <w:rPr>
          <w:rFonts w:hint="eastAsia" w:ascii="仿宋_GB2312" w:eastAsia="仿宋_GB2312"/>
          <w:sz w:val="32"/>
          <w:szCs w:val="32"/>
        </w:rPr>
        <w:t>国有资本经营预算拨款支出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800" w:firstLineChars="250"/>
        <w:outlineLvl w:val="1"/>
        <w:rPr>
          <w:rStyle w:val="22"/>
          <w:rFonts w:ascii="黑体" w:hAnsi="黑体" w:eastAsia="黑体"/>
        </w:rPr>
      </w:pPr>
      <w:bookmarkStart w:id="59" w:name="_Toc15377221"/>
      <w:bookmarkStart w:id="60" w:name="_Toc15396612"/>
      <w:bookmarkStart w:id="61" w:name="_Toc22272"/>
      <w:r>
        <w:rPr>
          <w:rFonts w:hint="eastAsia" w:ascii="黑体" w:hAnsi="黑体" w:eastAsia="黑体"/>
          <w:sz w:val="32"/>
          <w:szCs w:val="32"/>
        </w:rPr>
        <w:t>十</w:t>
      </w:r>
      <w:r>
        <w:rPr>
          <w:rStyle w:val="22"/>
          <w:rFonts w:hint="eastAsia" w:ascii="黑体" w:hAnsi="黑体" w:eastAsia="黑体"/>
        </w:rPr>
        <w:t>、</w:t>
      </w:r>
      <w:r>
        <w:rPr>
          <w:rStyle w:val="22"/>
          <w:rFonts w:hint="eastAsia" w:ascii="黑体" w:hAnsi="黑体" w:eastAsia="黑体"/>
          <w:b w:val="0"/>
        </w:rPr>
        <w:t>其他重要事项的情况说明</w:t>
      </w:r>
      <w:bookmarkEnd w:id="59"/>
      <w:bookmarkEnd w:id="60"/>
      <w:bookmarkEnd w:id="61"/>
    </w:p>
    <w:p>
      <w:pPr>
        <w:spacing w:line="600" w:lineRule="exact"/>
        <w:ind w:firstLine="643" w:firstLineChars="200"/>
        <w:outlineLvl w:val="2"/>
        <w:rPr>
          <w:rFonts w:ascii="仿宋" w:hAnsi="仿宋" w:eastAsia="仿宋"/>
          <w:sz w:val="32"/>
          <w:szCs w:val="32"/>
        </w:rPr>
      </w:pPr>
      <w:bookmarkStart w:id="62" w:name="_Toc15048"/>
      <w:bookmarkStart w:id="63" w:name="_Toc15377222"/>
      <w:r>
        <w:rPr>
          <w:rFonts w:hint="eastAsia" w:ascii="仿宋" w:hAnsi="仿宋" w:eastAsia="仿宋"/>
          <w:b/>
          <w:sz w:val="32"/>
          <w:szCs w:val="32"/>
        </w:rPr>
        <w:t>（一）机关运行经费支出情况</w:t>
      </w:r>
      <w:bookmarkEnd w:id="62"/>
      <w:bookmarkEnd w:id="63"/>
    </w:p>
    <w:p>
      <w:pPr>
        <w:spacing w:line="600" w:lineRule="exact"/>
        <w:ind w:firstLine="640" w:firstLineChars="200"/>
        <w:rPr>
          <w:rFonts w:ascii="宋体" w:hAnsi="宋体" w:eastAsia="仿宋_GB2312" w:cs="宋体"/>
          <w:sz w:val="32"/>
          <w:szCs w:val="32"/>
        </w:rPr>
      </w:pPr>
      <w:r>
        <w:rPr>
          <w:rFonts w:hint="eastAsia" w:ascii="仿宋_GB2312" w:eastAsia="仿宋_GB2312"/>
          <w:sz w:val="32"/>
          <w:szCs w:val="32"/>
          <w:lang w:eastAsia="zh-CN"/>
        </w:rPr>
        <w:t>2022年</w:t>
      </w:r>
      <w:r>
        <w:rPr>
          <w:rFonts w:hint="eastAsia" w:ascii="仿宋_GB2312" w:eastAsia="仿宋_GB2312"/>
          <w:sz w:val="32"/>
          <w:szCs w:val="32"/>
        </w:rPr>
        <w:t>，机关运行经费支出20.45万元，比</w:t>
      </w:r>
      <w:r>
        <w:rPr>
          <w:rFonts w:hint="eastAsia" w:ascii="仿宋_GB2312" w:eastAsia="仿宋_GB2312"/>
          <w:sz w:val="32"/>
          <w:szCs w:val="32"/>
          <w:lang w:eastAsia="zh-CN"/>
        </w:rPr>
        <w:t>2021年</w:t>
      </w:r>
      <w:r>
        <w:rPr>
          <w:rFonts w:hint="eastAsia" w:ascii="仿宋_GB2312" w:eastAsia="仿宋_GB2312"/>
          <w:sz w:val="32"/>
          <w:szCs w:val="32"/>
          <w:lang w:val="en-US" w:eastAsia="zh-CN"/>
        </w:rPr>
        <w:t>减少20.35</w:t>
      </w:r>
      <w:r>
        <w:rPr>
          <w:rFonts w:hint="eastAsia" w:ascii="仿宋_GB2312" w:eastAsia="仿宋_GB2312"/>
          <w:sz w:val="32"/>
          <w:szCs w:val="32"/>
        </w:rPr>
        <w:t>万元，</w:t>
      </w:r>
      <w:r>
        <w:rPr>
          <w:rFonts w:hint="eastAsia" w:ascii="仿宋_GB2312" w:eastAsia="仿宋_GB2312"/>
          <w:sz w:val="32"/>
          <w:szCs w:val="32"/>
          <w:lang w:val="en-US" w:eastAsia="zh-CN"/>
        </w:rPr>
        <w:t>下降</w:t>
      </w:r>
      <w:r>
        <w:rPr>
          <w:rFonts w:hint="eastAsia" w:ascii="仿宋_GB2312" w:eastAsia="仿宋_GB2312"/>
          <w:sz w:val="32"/>
          <w:szCs w:val="32"/>
        </w:rPr>
        <w:t>49.87%</w:t>
      </w:r>
      <w:r>
        <w:rPr>
          <w:rFonts w:hint="eastAsia" w:ascii="仿宋_GB2312" w:eastAsia="仿宋_GB2312"/>
          <w:sz w:val="32"/>
          <w:szCs w:val="32"/>
          <w:lang w:eastAsia="zh-CN"/>
        </w:rPr>
        <w:t>。</w:t>
      </w:r>
      <w:r>
        <w:rPr>
          <w:rFonts w:hint="eastAsia" w:ascii="仿宋_GB2312" w:eastAsia="仿宋_GB2312"/>
          <w:sz w:val="32"/>
          <w:szCs w:val="32"/>
        </w:rPr>
        <w:t>主要原因是决算要求存量调整为收入。</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4" w:name="_Toc15377223"/>
      <w:bookmarkStart w:id="65" w:name="_Toc14186"/>
      <w:r>
        <w:rPr>
          <w:rFonts w:hint="eastAsia" w:ascii="仿宋" w:hAnsi="仿宋" w:eastAsia="仿宋"/>
          <w:b/>
          <w:sz w:val="32"/>
          <w:szCs w:val="32"/>
        </w:rPr>
        <w:t>（二）政府采购支出情况</w:t>
      </w:r>
      <w:bookmarkEnd w:id="64"/>
      <w:bookmarkEnd w:id="65"/>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w:t>
      </w:r>
      <w:r>
        <w:rPr>
          <w:rFonts w:hint="eastAsia" w:ascii="仿宋_GB2312" w:eastAsia="仿宋_GB2312"/>
          <w:color w:val="000000"/>
          <w:sz w:val="32"/>
          <w:szCs w:val="32"/>
          <w:lang w:val="en-US" w:eastAsia="zh-CN"/>
        </w:rPr>
        <w:t>自然资源</w:t>
      </w:r>
      <w:r>
        <w:rPr>
          <w:rFonts w:hint="eastAsia" w:ascii="仿宋_GB2312" w:eastAsia="仿宋_GB2312"/>
          <w:color w:val="000000"/>
          <w:sz w:val="32"/>
          <w:szCs w:val="32"/>
          <w:lang w:eastAsia="zh-CN"/>
        </w:rPr>
        <w:t>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1569.94</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322.19</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1247.75</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1569.94</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6" w:name="_Toc15377224"/>
      <w:bookmarkStart w:id="67" w:name="_Toc21382"/>
      <w:r>
        <w:rPr>
          <w:rFonts w:hint="eastAsia" w:ascii="仿宋" w:hAnsi="仿宋" w:eastAsia="仿宋"/>
          <w:b/>
          <w:sz w:val="32"/>
          <w:szCs w:val="32"/>
        </w:rPr>
        <w:t>（三）国有资产占有使用情况</w:t>
      </w:r>
      <w:bookmarkEnd w:id="66"/>
      <w:bookmarkEnd w:id="67"/>
    </w:p>
    <w:p>
      <w:pPr>
        <w:autoSpaceDE w:val="0"/>
        <w:autoSpaceDN w:val="0"/>
        <w:adjustRightInd w:val="0"/>
        <w:spacing w:line="600" w:lineRule="exact"/>
        <w:ind w:firstLine="640" w:firstLineChars="200"/>
        <w:jc w:val="left"/>
        <w:rPr>
          <w:rFonts w:ascii="仿宋" w:hAnsi="仿宋" w:eastAsia="仿宋_GB2312"/>
          <w:b/>
          <w:sz w:val="32"/>
          <w:szCs w:val="32"/>
        </w:rPr>
      </w:pPr>
      <w:r>
        <w:rPr>
          <w:rFonts w:hint="eastAsia" w:ascii="仿宋_GB2312" w:eastAsia="仿宋_GB2312"/>
          <w:sz w:val="32"/>
          <w:szCs w:val="32"/>
        </w:rPr>
        <w:t>截至</w:t>
      </w:r>
      <w:r>
        <w:rPr>
          <w:rFonts w:hint="eastAsia" w:ascii="仿宋_GB2312" w:eastAsia="仿宋_GB2312"/>
          <w:sz w:val="32"/>
          <w:szCs w:val="32"/>
          <w:lang w:eastAsia="zh-CN"/>
        </w:rPr>
        <w:t>2022年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日，我单位共有车辆</w:t>
      </w:r>
      <w:r>
        <w:rPr>
          <w:rFonts w:hint="eastAsia" w:ascii="仿宋_GB2312" w:eastAsia="仿宋_GB2312"/>
          <w:sz w:val="32"/>
          <w:szCs w:val="32"/>
          <w:lang w:val="en-US" w:eastAsia="zh-CN"/>
        </w:rPr>
        <w:t>3</w:t>
      </w:r>
      <w:r>
        <w:rPr>
          <w:rFonts w:hint="eastAsia" w:ascii="仿宋_GB2312" w:eastAsia="仿宋_GB2312"/>
          <w:sz w:val="32"/>
          <w:szCs w:val="32"/>
        </w:rPr>
        <w:t>辆，其中：其他用车</w:t>
      </w:r>
      <w:r>
        <w:rPr>
          <w:rFonts w:hint="eastAsia" w:ascii="仿宋_GB2312" w:eastAsia="仿宋_GB2312"/>
          <w:sz w:val="32"/>
          <w:szCs w:val="32"/>
          <w:lang w:val="en-US" w:eastAsia="zh-CN"/>
        </w:rPr>
        <w:t>3</w:t>
      </w:r>
      <w:r>
        <w:rPr>
          <w:rFonts w:hint="eastAsia" w:ascii="仿宋_GB2312" w:eastAsia="仿宋_GB2312"/>
          <w:sz w:val="32"/>
          <w:szCs w:val="32"/>
        </w:rPr>
        <w:t>辆，其他用车主要用于下乡</w:t>
      </w:r>
      <w:r>
        <w:rPr>
          <w:rFonts w:hint="eastAsia" w:ascii="仿宋_GB2312" w:eastAsia="仿宋_GB2312"/>
          <w:sz w:val="32"/>
          <w:szCs w:val="32"/>
          <w:lang w:val="en-US" w:eastAsia="zh-CN"/>
        </w:rPr>
        <w:t>和</w:t>
      </w:r>
      <w:r>
        <w:rPr>
          <w:rFonts w:hint="eastAsia" w:ascii="仿宋_GB2312" w:eastAsia="仿宋_GB2312"/>
          <w:sz w:val="32"/>
          <w:szCs w:val="32"/>
        </w:rPr>
        <w:t>防汛指挥车</w:t>
      </w:r>
      <w:r>
        <w:rPr>
          <w:rFonts w:hint="eastAsia" w:ascii="仿宋_GB2312" w:eastAsia="仿宋_GB2312"/>
          <w:sz w:val="32"/>
          <w:szCs w:val="32"/>
          <w:lang w:val="en-US" w:eastAsia="zh-CN"/>
        </w:rPr>
        <w:t>辆</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8" w:name="_Toc27481"/>
      <w:r>
        <w:rPr>
          <w:rFonts w:hint="eastAsia" w:ascii="仿宋" w:hAnsi="仿宋" w:eastAsia="仿宋"/>
          <w:b/>
          <w:sz w:val="32"/>
          <w:szCs w:val="32"/>
        </w:rPr>
        <w:t>（四）预算绩效管理情况。</w:t>
      </w:r>
      <w:bookmarkEnd w:id="6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1个项目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eastAsia="仿宋_GB2312"/>
          <w:b/>
          <w:color w:val="000000"/>
          <w:sz w:val="32"/>
          <w:szCs w:val="32"/>
          <w:lang w:val="en-US" w:eastAsia="zh-C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部门整体支出开展绩效自评，从评价情况来看</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我单位整体支出绩效评价自查自评结果良好，全年基本支出保证了单位的正常运行和日常工作的正常开展，项目支出保障了重点工作的开展，绩效目标得到较好实现，绩效管理水平不断提高，绩效指标体系逐渐丰富和完善。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度财政政策绩效评价项目按照项目实施方案的规划进行项目建设，资金使用与申报相符，各项支出审批程序合规。项目实施后能有效满足目标群里的需求，有效保障了民生、改善了基础设施条件以及保护了生态环</w:t>
      </w:r>
      <w:r>
        <w:rPr>
          <w:rFonts w:hint="eastAsia" w:ascii="仿宋_GB2312" w:hAnsi="仿宋_GB2312" w:eastAsia="仿宋_GB2312" w:cs="仿宋_GB2312"/>
          <w:sz w:val="32"/>
          <w:szCs w:val="32"/>
          <w:lang w:val="en-US" w:eastAsia="zh-CN"/>
        </w:rPr>
        <w:t>境。</w:t>
      </w:r>
    </w:p>
    <w:p>
      <w:pPr>
        <w:pStyle w:val="8"/>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1"/>
          <w:rFonts w:ascii="黑体" w:hAnsi="黑体" w:eastAsia="黑体"/>
          <w:b w:val="0"/>
        </w:rPr>
      </w:pPr>
      <w:bookmarkStart w:id="69" w:name="_Toc15377225"/>
      <w:bookmarkStart w:id="70" w:name="_Toc14554"/>
      <w:bookmarkStart w:id="71" w:name="_Toc15396613"/>
      <w:r>
        <w:rPr>
          <w:rFonts w:hint="eastAsia" w:ascii="黑体" w:hAnsi="黑体" w:eastAsia="黑体"/>
          <w:color w:val="000000"/>
          <w:sz w:val="44"/>
          <w:szCs w:val="44"/>
        </w:rPr>
        <w:t>名</w:t>
      </w:r>
      <w:r>
        <w:rPr>
          <w:rStyle w:val="21"/>
          <w:rFonts w:hint="eastAsia" w:ascii="黑体" w:hAnsi="黑体" w:eastAsia="黑体"/>
          <w:b w:val="0"/>
        </w:rPr>
        <w:t>词解释</w:t>
      </w:r>
      <w:bookmarkEnd w:id="69"/>
      <w:bookmarkEnd w:id="70"/>
      <w:bookmarkEnd w:id="71"/>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医疗卫生与计划生育（类）行政事业单位医疗（款）行政单位医疗（项）：指厅级机关及参公管理事业单位用于缴纳单位基本医疗保险支出。</w:t>
      </w:r>
    </w:p>
    <w:p>
      <w:pPr>
        <w:ind w:firstLine="640" w:firstLineChars="200"/>
        <w:rPr>
          <w:rFonts w:ascii="仿宋_GB2312" w:eastAsia="仿宋_GB2312"/>
          <w:color w:val="000000"/>
          <w:sz w:val="32"/>
          <w:szCs w:val="32"/>
        </w:rPr>
      </w:pPr>
      <w:r>
        <w:rPr>
          <w:rFonts w:ascii="仿宋_GB2312" w:eastAsia="仿宋_GB2312"/>
          <w:color w:val="000000"/>
          <w:sz w:val="32"/>
          <w:szCs w:val="32"/>
        </w:rPr>
        <w:t xml:space="preserve">12. </w:t>
      </w:r>
      <w:r>
        <w:rPr>
          <w:rFonts w:hint="eastAsia" w:ascii="仿宋_GB2312" w:eastAsia="仿宋_GB2312"/>
          <w:color w:val="000000"/>
          <w:sz w:val="32"/>
          <w:szCs w:val="32"/>
        </w:rPr>
        <w:t>医疗卫生与计划生育（类）行政事业单位医疗（款）事业单位医疗（项）：指事业单位用于缴纳单位基本医疗保险支出。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城乡社区：指反映政府城乡社区服务支出。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农林水支出（类）其他农林水支出（款）其他农林水支出（项）：指除化解债务支出以外其他用于农林水方面的支出。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国土海洋气候等支出（类）国土资源事务（款）行政运行（项）：指用于国土资源行政单位的基本支出。</w:t>
      </w:r>
    </w:p>
    <w:p>
      <w:pPr>
        <w:ind w:firstLine="640" w:firstLineChars="200"/>
        <w:rPr>
          <w:rFonts w:ascii="仿宋_GB2312" w:eastAsia="仿宋_GB2312"/>
          <w:color w:val="000000"/>
          <w:sz w:val="32"/>
          <w:szCs w:val="32"/>
        </w:rPr>
      </w:pPr>
      <w:r>
        <w:rPr>
          <w:rFonts w:ascii="仿宋_GB2312" w:eastAsia="仿宋_GB2312"/>
          <w:color w:val="000000"/>
          <w:sz w:val="32"/>
          <w:szCs w:val="32"/>
        </w:rPr>
        <w:t xml:space="preserve">16. </w:t>
      </w:r>
      <w:r>
        <w:rPr>
          <w:rFonts w:hint="eastAsia" w:ascii="仿宋_GB2312" w:eastAsia="仿宋_GB2312"/>
          <w:color w:val="000000"/>
          <w:sz w:val="32"/>
          <w:szCs w:val="32"/>
        </w:rPr>
        <w:t>国土海洋气候等支出（类）国土资源事务（款）地质灾害防治（项）：指用于国土资源地质灾害防治项目的支出。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 xml:space="preserve">17. </w:t>
      </w:r>
      <w:r>
        <w:rPr>
          <w:rFonts w:hint="eastAsia" w:ascii="仿宋_GB2312" w:eastAsia="仿宋_GB2312"/>
          <w:color w:val="000000"/>
          <w:sz w:val="32"/>
          <w:szCs w:val="32"/>
        </w:rPr>
        <w:t>国土海洋气候等支出（类）其他国土海洋气候等支出（款）其他国土海洋气候等支出（项）：指除上诉项目以外其他用于国土海洋气候等方面的支出。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住房保障（类）住房改革支出（款）购房补贴（项）：指根据房改政策规定的标准，向符合条件职工发放的用于购买住房的补贴。</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经营支出：指事业单位在专业业务活动及其辅助活动之外开展非独立核算经营活动发生的支出。</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ascii="黑体" w:hAnsi="黑体" w:eastAsia="黑体"/>
          <w:sz w:val="44"/>
          <w:szCs w:val="44"/>
        </w:rPr>
      </w:pPr>
      <w:r>
        <w:rPr>
          <w:rFonts w:ascii="仿宋_GB2312" w:eastAsia="仿宋_GB2312"/>
          <w:sz w:val="32"/>
          <w:szCs w:val="32"/>
        </w:rPr>
        <w:t>23.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2" w:name="_Toc15396614"/>
      <w:bookmarkStart w:id="73"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1"/>
          <w:rFonts w:ascii="黑体" w:hAnsi="黑体" w:eastAsia="黑体"/>
          <w:b w:val="0"/>
        </w:rPr>
      </w:pPr>
      <w:bookmarkStart w:id="74" w:name="_Toc17691"/>
      <w:r>
        <w:rPr>
          <w:rFonts w:hint="eastAsia" w:ascii="黑体" w:hAnsi="黑体" w:eastAsia="黑体"/>
          <w:color w:val="000000"/>
          <w:sz w:val="44"/>
          <w:szCs w:val="44"/>
        </w:rPr>
        <w:t>第</w:t>
      </w:r>
      <w:r>
        <w:rPr>
          <w:rStyle w:val="21"/>
          <w:rFonts w:hint="eastAsia" w:ascii="黑体" w:hAnsi="黑体" w:eastAsia="黑体"/>
          <w:b w:val="0"/>
        </w:rPr>
        <w:t>四部分</w:t>
      </w:r>
      <w:r>
        <w:rPr>
          <w:rStyle w:val="21"/>
          <w:rFonts w:hint="eastAsia" w:ascii="黑体" w:hAnsi="黑体" w:eastAsia="黑体"/>
          <w:b w:val="0"/>
          <w:lang w:val="en-US" w:eastAsia="zh-CN"/>
        </w:rPr>
        <w:t xml:space="preserve"> </w:t>
      </w:r>
      <w:r>
        <w:rPr>
          <w:rStyle w:val="21"/>
          <w:rFonts w:hint="eastAsia" w:ascii="黑体" w:hAnsi="黑体" w:eastAsia="黑体"/>
          <w:b w:val="0"/>
        </w:rPr>
        <w:t>附件</w:t>
      </w:r>
      <w:bookmarkEnd w:id="72"/>
      <w:bookmarkEnd w:id="74"/>
    </w:p>
    <w:p>
      <w:pPr>
        <w:spacing w:line="600" w:lineRule="exact"/>
        <w:jc w:val="left"/>
        <w:outlineLvl w:val="0"/>
        <w:rPr>
          <w:rFonts w:ascii="方正小标宋简体" w:hAnsi="方正小标宋简体" w:eastAsia="方正小标宋简体" w:cs="方正小标宋简体"/>
          <w:sz w:val="32"/>
          <w:szCs w:val="32"/>
        </w:rPr>
      </w:pPr>
      <w:bookmarkStart w:id="75" w:name="_Toc26362"/>
      <w:r>
        <w:rPr>
          <w:rFonts w:hint="eastAsia" w:ascii="黑体" w:hAnsi="黑体" w:eastAsia="黑体" w:cs="黑体"/>
          <w:sz w:val="32"/>
          <w:szCs w:val="32"/>
        </w:rPr>
        <w:t>附件</w:t>
      </w:r>
      <w:r>
        <w:rPr>
          <w:rFonts w:ascii="黑体" w:hAnsi="黑体" w:eastAsia="黑体" w:cs="黑体"/>
          <w:sz w:val="32"/>
          <w:szCs w:val="32"/>
        </w:rPr>
        <w:t>1</w:t>
      </w:r>
      <w:bookmarkEnd w:id="75"/>
    </w:p>
    <w:p>
      <w:pPr>
        <w:spacing w:line="580" w:lineRule="exact"/>
        <w:jc w:val="center"/>
        <w:rPr>
          <w:rFonts w:ascii="方正小标宋简体" w:hAnsi="方正小标宋简体" w:eastAsia="方正小标宋简体" w:cs="方正小标宋简体"/>
          <w:sz w:val="44"/>
          <w:szCs w:val="44"/>
        </w:rPr>
      </w:pPr>
    </w:p>
    <w:p>
      <w:pPr>
        <w:spacing w:line="360" w:lineRule="auto"/>
        <w:jc w:val="center"/>
        <w:outlineLvl w:val="0"/>
        <w:rPr>
          <w:rFonts w:ascii="宋体" w:hAnsi="宋体" w:cs="宋体"/>
          <w:b/>
          <w:bCs/>
          <w:kern w:val="0"/>
          <w:sz w:val="44"/>
          <w:szCs w:val="44"/>
        </w:rPr>
      </w:pPr>
      <w:bookmarkStart w:id="76" w:name="_Toc32422"/>
      <w:r>
        <w:rPr>
          <w:rFonts w:hint="eastAsia" w:ascii="宋体" w:hAnsi="宋体" w:cs="宋体"/>
          <w:b/>
          <w:bCs/>
          <w:kern w:val="0"/>
          <w:sz w:val="44"/>
          <w:szCs w:val="44"/>
        </w:rPr>
        <w:t>壤塘县自然资源局2022年度部门整体支出绩效评价自评报告</w:t>
      </w:r>
      <w:bookmarkEnd w:id="76"/>
    </w:p>
    <w:p>
      <w:pPr>
        <w:spacing w:line="360" w:lineRule="auto"/>
        <w:jc w:val="center"/>
        <w:rPr>
          <w:rFonts w:ascii="宋体" w:hAnsi="宋体" w:cs="宋体"/>
          <w:kern w:val="0"/>
          <w:szCs w:val="21"/>
        </w:rPr>
      </w:pPr>
    </w:p>
    <w:p>
      <w:pPr>
        <w:spacing w:line="360" w:lineRule="auto"/>
        <w:ind w:firstLine="640" w:firstLineChars="200"/>
        <w:outlineLvl w:val="0"/>
        <w:rPr>
          <w:rFonts w:hint="eastAsia" w:ascii="黑体" w:hAnsi="黑体" w:eastAsia="黑体" w:cs="黑体"/>
          <w:sz w:val="32"/>
          <w:szCs w:val="32"/>
        </w:rPr>
      </w:pPr>
      <w:bookmarkStart w:id="77" w:name="_Toc3128"/>
      <w:r>
        <w:rPr>
          <w:rFonts w:hint="eastAsia" w:ascii="黑体" w:hAnsi="黑体" w:eastAsia="黑体" w:cs="黑体"/>
          <w:kern w:val="0"/>
          <w:sz w:val="32"/>
          <w:szCs w:val="32"/>
        </w:rPr>
        <w:t>一、部门（单位）概况</w:t>
      </w:r>
      <w:bookmarkEnd w:id="77"/>
    </w:p>
    <w:p>
      <w:pPr>
        <w:widowControl/>
        <w:adjustRightInd w:val="0"/>
        <w:snapToGrid w:val="0"/>
        <w:spacing w:line="560" w:lineRule="exact"/>
        <w:ind w:firstLine="640" w:firstLineChars="200"/>
        <w:contextualSpacing/>
        <w:jc w:val="left"/>
        <w:outlineLvl w:val="1"/>
        <w:rPr>
          <w:rFonts w:ascii="仿宋_GB2312" w:hAnsi="宋体" w:eastAsia="仿宋_GB2312" w:cs="宋体"/>
          <w:color w:val="000000"/>
          <w:kern w:val="0"/>
          <w:sz w:val="32"/>
          <w:szCs w:val="32"/>
          <w:shd w:val="clear" w:color="auto" w:fill="FFFFFF"/>
        </w:rPr>
      </w:pPr>
      <w:bookmarkStart w:id="78" w:name="_Toc16495"/>
      <w:r>
        <w:rPr>
          <w:rFonts w:ascii="仿宋_GB2312" w:hAnsi="宋体" w:eastAsia="仿宋_GB2312" w:cs="仿宋_GB2312"/>
          <w:color w:val="000000"/>
          <w:kern w:val="0"/>
          <w:sz w:val="32"/>
          <w:szCs w:val="32"/>
          <w:shd w:val="clear" w:color="auto" w:fill="FFFFFF"/>
          <w:lang w:bidi="ar"/>
        </w:rPr>
        <w:t>（一）机构组成</w:t>
      </w:r>
      <w:bookmarkEnd w:id="78"/>
    </w:p>
    <w:p>
      <w:pPr>
        <w:spacing w:line="360" w:lineRule="auto"/>
        <w:ind w:firstLine="640" w:firstLineChars="200"/>
        <w:rPr>
          <w:rFonts w:hint="eastAsia"/>
          <w:lang w:val="zh-CN"/>
        </w:rPr>
      </w:pPr>
      <w:r>
        <w:rPr>
          <w:rFonts w:hAnsi="黑体"/>
          <w:kern w:val="2"/>
          <w:sz w:val="32"/>
          <w:szCs w:val="32"/>
        </w:rPr>
        <w:t xml:space="preserve"> </w:t>
      </w:r>
      <w:r>
        <w:rPr>
          <w:rFonts w:hint="eastAsia" w:ascii="仿宋_GB2312" w:hAnsi="仿宋_GB2312" w:eastAsia="仿宋_GB2312" w:cs="仿宋_GB2312"/>
          <w:sz w:val="32"/>
          <w:szCs w:val="32"/>
          <w:lang w:eastAsia="zh-CN"/>
        </w:rPr>
        <w:t>壤塘县自然资源局</w:t>
      </w:r>
      <w:r>
        <w:rPr>
          <w:rFonts w:hint="eastAsia" w:ascii="仿宋_GB2312" w:hAnsi="仿宋_GB2312" w:eastAsia="仿宋_GB2312" w:cs="仿宋_GB2312"/>
          <w:sz w:val="32"/>
          <w:szCs w:val="32"/>
        </w:rPr>
        <w:t>属一级预算单位，下属二级预算单位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个，其中：其他事业单位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个。是：</w:t>
      </w:r>
      <w:r>
        <w:rPr>
          <w:rFonts w:hint="eastAsia" w:ascii="仿宋_GB2312" w:hAnsi="仿宋_GB2312" w:eastAsia="仿宋_GB2312" w:cs="仿宋_GB2312"/>
          <w:sz w:val="32"/>
          <w:szCs w:val="32"/>
          <w:lang w:eastAsia="zh-CN"/>
        </w:rPr>
        <w:t>壤塘县水利水土保持中心。</w:t>
      </w:r>
      <w:r>
        <w:rPr>
          <w:rFonts w:hint="eastAsia" w:ascii="仿宋_GB2312" w:hAnsi="仿宋_GB2312" w:eastAsia="仿宋_GB2312" w:cs="仿宋_GB2312"/>
          <w:sz w:val="32"/>
          <w:szCs w:val="32"/>
        </w:rPr>
        <w:t>单位负责人：淳强。</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b/>
          <w:bCs/>
          <w:sz w:val="32"/>
          <w:szCs w:val="32"/>
        </w:rPr>
      </w:pPr>
      <w:r>
        <w:rPr>
          <w:rFonts w:ascii="仿宋_GB2312" w:hAnsi="宋体" w:eastAsia="仿宋_GB2312" w:cs="仿宋_GB2312"/>
          <w:color w:val="000000"/>
          <w:kern w:val="0"/>
          <w:sz w:val="32"/>
          <w:szCs w:val="32"/>
          <w:shd w:val="clear" w:color="auto" w:fill="FFFFFF"/>
          <w:lang w:bidi="ar"/>
        </w:rPr>
        <w:t>（二）机构职能</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按照规定权限，履行全民所有土地、矿产、森林、草原、湿地、水等自然资源资产所有者职责和所有国土空间用途管制职责。拟订全县自然资源和国土空间规划地方性法规、政府规章草案，制定有关政策措施并监督检查执行情况。</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2、负责全县自然资源调查监测评价。依照自然资源调查监测评价的指标体系和统计标准，建立统一规范的自然资源调查监测评价制度。实施自然资源基础调查、专项调查和监测。负责自然资源调查监测评价成果的监督管理和信息发布。</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3、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指导监督自然资源和不动产确权登记工作。</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4、负责全县自然资源资产有偿使用工作。建立全民所有自然资源资产统计制度，负责全民所有自然资源资产核算。编制全民所有自然资源资产负债表，依照有关标准组织考核。按照规定权限，制定全民所有自然资源资产划拨、出让、租赁、作价出资和土地储备政策，合理配置全民所有自然资源资产。负责自然资源资产价值评估管理，依法收缴相关资产收益。</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5、负责全县自然资源的合理开发利用。组织拟订自然资源发展规划和战略，制定自然资源开发利用地方标准并组织实施，建立政府公示自然资源价格体系，组织开展自然资源分等定级价格评估，开展自然资源利用评价考核，指导节约集约利用。负责自然资源市场监管。组织研究自然资源管理涉及宏观调控、区域协调和城乡统筹的政策措施。</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6、负责建立全县空间规划体系并监督实施，推进主体功能区战略和制度，组织编制并监督实施国土空间规划和相关专项规划。开展国土空间开发适宜性评价，建立国土空间规划实施监测、评估和预警体系。组织划定生态保护红线、永久基本农田、城镇开发边界等控制线，构建节约资源和保护环境的生产、生活、生态空间布局。建立健全国土空间用途管制制度，研究拟订城乡规划政策并监督实施。组织拟订并实施土地等自然资源年度利用计划。负责土地等国土空间用途转用工作。负责土地征收征用管理。</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7、负责统筹全县国土空间生态修复。牵头组织编制全县国土空间生态修复规划并实施有关生态修复重大工程。负责开展国土空间综合整治、土地整理复垦、矿山地质环境恢复治理等工作。牵头建立和实施生态保护补偿制度，制定合理利用社会资金进行生态修复的政策措施，提出重大备选项目。</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8、负责组织实施最严格的耕地保护制度。牵头拟订并实施全县耕地保护政策，负责耕地数量、质量、生态保护。组织实施耕地保护责任目标考核和永久基本农田特殊保护。完善耕地占补平衡制度，监督占用耕地补偿制度执行情况。</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9、负责管理全县地质勘查行业和地质工作。拟订全县地质勘查规划并监督检查执行情况。管理县级地质勘查项目。组织实施重大地质矿产勘查专项。负责地质灾害预防和治理，监督管理地下水过量开采及引发的地面沉降等地质问题。负责古生物化石的监督管理。</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10、负责落实综合防灾减灾规划相关要求，组织编制并实施地质灾害防治规划。组织、指导、协调和监督地质灾害调查评价及隐患的普查、详查、排查。组织、指导开展群测群防、专业监测和预报预警等工作，组织、指导开展地质灾害工程治理工作。承担地质灾害应急救援的技术保障工作。</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11、负责全县矿产资源管理工作。负责矿产资源储量管理及压覆矿产资源审批。负责矿业权管理。会同有关部门承担保护性开采的特定矿种、优势矿产的调控及相关管理工作。监督指导矿产资源合理利用和保护。</w:t>
      </w:r>
    </w:p>
    <w:p>
      <w:pPr>
        <w:widowControl/>
        <w:adjustRightInd w:val="0"/>
        <w:snapToGrid w:val="0"/>
        <w:spacing w:line="560" w:lineRule="exact"/>
        <w:ind w:firstLine="640" w:firstLineChars="200"/>
        <w:contextualSpacing/>
        <w:jc w:val="left"/>
        <w:rPr>
          <w:rFonts w:hint="eastAsia" w:ascii="仿宋" w:hAnsi="仿宋" w:eastAsia="仿宋" w:cs="Times New Roman"/>
          <w:bCs/>
          <w:sz w:val="32"/>
          <w:szCs w:val="32"/>
        </w:rPr>
      </w:pPr>
      <w:r>
        <w:rPr>
          <w:rFonts w:hint="eastAsia" w:ascii="仿宋" w:hAnsi="仿宋" w:eastAsia="仿宋" w:cs="Times New Roman"/>
          <w:bCs/>
          <w:sz w:val="32"/>
          <w:szCs w:val="32"/>
        </w:rPr>
        <w:t xml:space="preserve"> 12、负责全县测绘地理信息工作。负责基础测绘地理信息工作的统一监督管理。根据国家、省级和州级基础测绘规划以及全县实际情况，会同有关部门组织编制实施全县基础测绘规划和年度计划。按照分级管理权限组织实施基础测绘项目。负责本级基础测绘成果资料提供使用的审批。</w:t>
      </w:r>
    </w:p>
    <w:p>
      <w:pPr>
        <w:widowControl/>
        <w:adjustRightInd w:val="0"/>
        <w:snapToGrid w:val="0"/>
        <w:spacing w:line="560" w:lineRule="exact"/>
        <w:ind w:firstLine="640" w:firstLineChars="200"/>
        <w:contextualSpacing/>
        <w:jc w:val="left"/>
        <w:rPr>
          <w:rFonts w:hint="eastAsia" w:ascii="仿宋" w:hAnsi="仿宋" w:eastAsia="仿宋" w:cs="Times New Roman"/>
          <w:bCs/>
          <w:sz w:val="32"/>
          <w:szCs w:val="32"/>
        </w:rPr>
      </w:pPr>
      <w:r>
        <w:rPr>
          <w:rFonts w:hint="eastAsia" w:ascii="仿宋" w:hAnsi="仿宋" w:eastAsia="仿宋" w:cs="Times New Roman"/>
          <w:bCs/>
          <w:sz w:val="32"/>
          <w:szCs w:val="32"/>
        </w:rPr>
        <w:t>13、推动全县自然资源领域科技发展和对外合作。制定并实施全县自然资源领域科技创新发展和人才培养规划、计划。组织制定地方技术标准、规程规范并监督实施。组织实施重大科技专项及创新能力建设，推进自然资源信息化和信息资料的公共服务。组织开展全县自然资源系统对外交流合作。</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14、配合国家、省、州对县政府落实党中央、国务院关于自然资源和国土空间规划的重大方针政策、决策部署及法律法规执行情况进行督察。按照县委、县政府安排，组织实施自然资源督察相关工作。查处全县自然资源开发利用、国土空间规划等领域重大违法案件。指导本级有关行政执法工作。</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15、负责职责范围内的安全生产和职业健康、生态环境保护、审批服务便民化等工作。</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16、统一领导和管理壤塘县林业和草原局。</w:t>
      </w:r>
    </w:p>
    <w:p>
      <w:pPr>
        <w:widowControl/>
        <w:adjustRightInd w:val="0"/>
        <w:snapToGrid w:val="0"/>
        <w:spacing w:line="560" w:lineRule="exact"/>
        <w:ind w:firstLine="640" w:firstLineChars="200"/>
        <w:contextualSpacing/>
        <w:jc w:val="left"/>
        <w:rPr>
          <w:rFonts w:hint="eastAsia" w:ascii="仿宋" w:hAnsi="仿宋" w:eastAsia="仿宋"/>
          <w:bCs/>
          <w:sz w:val="32"/>
          <w:szCs w:val="32"/>
        </w:rPr>
      </w:pPr>
      <w:r>
        <w:rPr>
          <w:rFonts w:hint="eastAsia" w:ascii="仿宋" w:hAnsi="仿宋" w:eastAsia="仿宋"/>
          <w:bCs/>
          <w:sz w:val="32"/>
          <w:szCs w:val="32"/>
        </w:rPr>
        <w:t>17、完成县委和县政府交办的其他任务。</w:t>
      </w:r>
    </w:p>
    <w:p>
      <w:pPr>
        <w:widowControl/>
        <w:adjustRightInd w:val="0"/>
        <w:snapToGrid w:val="0"/>
        <w:spacing w:line="560" w:lineRule="exact"/>
        <w:ind w:firstLine="640" w:firstLineChars="200"/>
        <w:contextualSpacing/>
        <w:jc w:val="left"/>
        <w:rPr>
          <w:rFonts w:hint="eastAsia" w:ascii="仿宋_GB2312" w:hAnsi="宋体" w:eastAsia="仿宋_GB2312" w:cs="仿宋_GB2312"/>
          <w:color w:val="000000"/>
          <w:kern w:val="0"/>
          <w:sz w:val="32"/>
          <w:szCs w:val="32"/>
          <w:shd w:val="clear" w:color="auto" w:fill="FFFFFF"/>
          <w:lang w:bidi="ar"/>
        </w:rPr>
      </w:pPr>
      <w:r>
        <w:rPr>
          <w:rFonts w:hint="eastAsia" w:ascii="仿宋" w:hAnsi="仿宋" w:eastAsia="仿宋"/>
          <w:bCs/>
          <w:sz w:val="32"/>
          <w:szCs w:val="32"/>
        </w:rPr>
        <w:t>18、职能转变。落实关于统一行使全民所有自然资源资产所有者职责，统一行使所有国土空间用途管制和生态保护修复职责的要求，发挥国土空间规划的管控作用，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有关职责分工。在地质灾害应急工作方面的职责分工。县自然资源局与县应急局要做到各司其职、无缝对接。县应急局负责统一组织、统一指挥、统一协调自然灾害类突发事件应急救援救灾工作。县自然资源局负责落实综合防灾减灾规划相关要求，组织编制并实施地质灾害防治规划；组织、指导、协调和监督地质灾害调查评价及隐患的普查、详查、排查；组织、指导、开展地质灾害工程治理工作；承担地质灾害应急救援的技术保障工作。必要时，县自然资源局可以提请县应急局，以县应急指挥机构名义部署相关地质灾害防治工作。县自然资源局负责地质灾害防治工作的组织、协调、指导和监督，做好威胁城镇居民和乡村农户安全的地质灾害防治工作的组织实施。县交通运输局负责做好公路（不含乡道、村道）沿线危及交通设施和通行安全的地质灾害防治工作的组织实施。县水务局负责做好河道、水利设施及周边地质灾害防治工作的组织实施。</w:t>
      </w:r>
    </w:p>
    <w:p>
      <w:pPr>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（三）人员情况</w:t>
      </w:r>
    </w:p>
    <w:p>
      <w:pPr>
        <w:ind w:firstLine="640" w:firstLineChars="200"/>
        <w:rPr>
          <w:rFonts w:ascii="仿宋_GB2312" w:hAnsi="仿宋_GB2312" w:eastAsia="仿宋_GB2312" w:cs="仿宋_GB2312"/>
          <w:sz w:val="32"/>
          <w:szCs w:val="32"/>
        </w:rPr>
      </w:pPr>
      <w:r>
        <w:rPr>
          <w:rFonts w:hint="eastAsia" w:ascii="仿宋_GB2312" w:hAnsi="宋体" w:eastAsia="仿宋_GB2312" w:cs="仿宋_GB2312"/>
          <w:kern w:val="0"/>
          <w:sz w:val="32"/>
          <w:szCs w:val="32"/>
        </w:rPr>
        <w:t>本部门下属二级预算单位 0 个，</w:t>
      </w:r>
      <w:r>
        <w:rPr>
          <w:rFonts w:hint="eastAsia" w:ascii="仿宋" w:hAnsi="仿宋" w:eastAsia="仿宋" w:cs="宋体"/>
          <w:color w:val="000000"/>
          <w:kern w:val="0"/>
          <w:sz w:val="32"/>
          <w:szCs w:val="32"/>
          <w:shd w:val="clear" w:color="auto" w:fill="FFFFFF"/>
          <w:lang w:val="zh-CN"/>
        </w:rPr>
        <w:t>内设行政机构</w:t>
      </w:r>
      <w:r>
        <w:rPr>
          <w:rFonts w:ascii="仿宋" w:hAnsi="仿宋" w:eastAsia="仿宋" w:cs="宋体"/>
          <w:color w:val="000000"/>
          <w:kern w:val="0"/>
          <w:sz w:val="32"/>
          <w:szCs w:val="32"/>
          <w:shd w:val="clear" w:color="auto" w:fill="FFFFFF"/>
          <w:lang w:val="zh-CN"/>
        </w:rPr>
        <w:t>3</w:t>
      </w:r>
      <w:r>
        <w:rPr>
          <w:rFonts w:hint="eastAsia" w:ascii="仿宋" w:hAnsi="仿宋" w:eastAsia="仿宋" w:cs="宋体"/>
          <w:color w:val="000000"/>
          <w:kern w:val="0"/>
          <w:sz w:val="32"/>
          <w:szCs w:val="32"/>
          <w:shd w:val="clear" w:color="auto" w:fill="FFFFFF"/>
          <w:lang w:val="zh-CN"/>
        </w:rPr>
        <w:t>个，为办公室</w:t>
      </w:r>
      <w:r>
        <w:rPr>
          <w:rFonts w:ascii="仿宋" w:hAnsi="仿宋" w:eastAsia="仿宋" w:cs="宋体"/>
          <w:color w:val="000000"/>
          <w:kern w:val="0"/>
          <w:sz w:val="32"/>
          <w:szCs w:val="32"/>
          <w:shd w:val="clear" w:color="auto" w:fill="FFFFFF"/>
          <w:lang w:val="zh-CN"/>
        </w:rPr>
        <w:t>(</w:t>
      </w:r>
      <w:r>
        <w:rPr>
          <w:rFonts w:hint="eastAsia" w:ascii="仿宋" w:hAnsi="仿宋" w:eastAsia="仿宋" w:cs="宋体"/>
          <w:color w:val="000000"/>
          <w:kern w:val="0"/>
          <w:sz w:val="32"/>
          <w:szCs w:val="32"/>
          <w:shd w:val="clear" w:color="auto" w:fill="FFFFFF"/>
          <w:lang w:val="zh-CN"/>
        </w:rPr>
        <w:t>财务室</w:t>
      </w:r>
      <w:r>
        <w:rPr>
          <w:rFonts w:ascii="仿宋" w:hAnsi="仿宋" w:eastAsia="仿宋" w:cs="宋体"/>
          <w:color w:val="000000"/>
          <w:kern w:val="0"/>
          <w:sz w:val="32"/>
          <w:szCs w:val="32"/>
          <w:shd w:val="clear" w:color="auto" w:fill="FFFFFF"/>
          <w:lang w:val="zh-CN"/>
        </w:rPr>
        <w:t>)</w:t>
      </w:r>
      <w:r>
        <w:rPr>
          <w:rFonts w:hint="eastAsia" w:ascii="仿宋" w:hAnsi="仿宋" w:eastAsia="仿宋" w:cs="宋体"/>
          <w:color w:val="000000"/>
          <w:kern w:val="0"/>
          <w:sz w:val="32"/>
          <w:szCs w:val="32"/>
          <w:shd w:val="clear" w:color="auto" w:fill="FFFFFF"/>
          <w:lang w:val="zh-CN"/>
        </w:rPr>
        <w:t>、自然生态保护股、自然资源开发利用和国土空间规划管理股。事业机构</w:t>
      </w:r>
      <w:r>
        <w:rPr>
          <w:rFonts w:ascii="仿宋" w:hAnsi="仿宋" w:eastAsia="仿宋" w:cs="宋体"/>
          <w:color w:val="000000"/>
          <w:kern w:val="0"/>
          <w:sz w:val="32"/>
          <w:szCs w:val="32"/>
          <w:shd w:val="clear" w:color="auto" w:fill="FFFFFF"/>
          <w:lang w:val="zh-CN"/>
        </w:rPr>
        <w:t>5</w:t>
      </w:r>
      <w:r>
        <w:rPr>
          <w:rFonts w:hint="eastAsia" w:ascii="仿宋" w:hAnsi="仿宋" w:eastAsia="仿宋" w:cs="宋体"/>
          <w:color w:val="000000"/>
          <w:kern w:val="0"/>
          <w:sz w:val="32"/>
          <w:szCs w:val="32"/>
          <w:shd w:val="clear" w:color="auto" w:fill="FFFFFF"/>
          <w:lang w:val="zh-CN"/>
        </w:rPr>
        <w:t>个，为不动产登记中心、自然</w:t>
      </w:r>
      <w:r>
        <w:rPr>
          <w:rFonts w:hint="eastAsia" w:ascii="仿宋" w:hAnsi="仿宋" w:eastAsia="仿宋" w:cs="宋体"/>
          <w:color w:val="000000"/>
          <w:kern w:val="0"/>
          <w:sz w:val="32"/>
          <w:szCs w:val="32"/>
          <w:shd w:val="clear" w:color="auto" w:fill="FFFFFF"/>
          <w:lang w:val="en-US" w:eastAsia="zh-CN"/>
        </w:rPr>
        <w:t xml:space="preserve"> </w:t>
      </w:r>
      <w:r>
        <w:rPr>
          <w:rFonts w:hint="eastAsia" w:ascii="仿宋" w:hAnsi="仿宋" w:eastAsia="仿宋" w:cs="宋体"/>
          <w:color w:val="000000"/>
          <w:kern w:val="0"/>
          <w:sz w:val="32"/>
          <w:szCs w:val="32"/>
          <w:shd w:val="clear" w:color="auto" w:fill="FFFFFF"/>
          <w:lang w:val="zh-CN"/>
        </w:rPr>
        <w:t>资源监察执法中队、岗木达自然资源所、蒲西自然资源所、南木达自然资源所。</w:t>
      </w:r>
    </w:p>
    <w:p>
      <w:pPr>
        <w:widowControl/>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lang w:bidi="ar"/>
        </w:rPr>
        <w:t>二、部门财政资金收支情况</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（一）部门财政资金收入情况</w:t>
      </w:r>
    </w:p>
    <w:p>
      <w:pPr>
        <w:pStyle w:val="37"/>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2022年财政下达壤塘县</w:t>
      </w:r>
      <w:r>
        <w:rPr>
          <w:rFonts w:hint="eastAsia" w:ascii="仿宋_GB2312" w:hAnsi="仿宋_GB2312" w:eastAsia="仿宋_GB2312" w:cs="仿宋_GB2312"/>
          <w:sz w:val="32"/>
          <w:szCs w:val="32"/>
          <w:lang w:val="en-US" w:eastAsia="zh-CN"/>
        </w:rPr>
        <w:t>自然资源局</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sz w:val="32"/>
          <w:szCs w:val="32"/>
          <w:lang w:val="en-US" w:eastAsia="zh-CN"/>
        </w:rPr>
        <w:t>201.74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，年初结转和结余3176.85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000000"/>
          <w:kern w:val="0"/>
          <w:sz w:val="32"/>
          <w:szCs w:val="32"/>
          <w:lang w:val="en-US" w:eastAsia="zh-CN" w:bidi="ar"/>
        </w:rPr>
        <w:t>700.33</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sz w:val="32"/>
          <w:szCs w:val="32"/>
          <w:lang w:val="en-US" w:eastAsia="zh-CN"/>
        </w:rPr>
        <w:t>本年度总收入4078.92</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sz w:val="32"/>
          <w:szCs w:val="32"/>
        </w:rPr>
      </w:pPr>
      <w:r>
        <w:rPr>
          <w:rFonts w:ascii="仿宋_GB2312" w:hAnsi="宋体" w:eastAsia="仿宋_GB2312" w:cs="仿宋_GB2312"/>
          <w:color w:val="000000"/>
          <w:kern w:val="0"/>
          <w:sz w:val="32"/>
          <w:szCs w:val="32"/>
          <w:shd w:val="clear" w:color="auto" w:fill="FFFFFF"/>
          <w:lang w:bidi="ar"/>
        </w:rPr>
        <w:t>（二）部门财政资金支出情况</w:t>
      </w:r>
    </w:p>
    <w:p>
      <w:pPr>
        <w:pStyle w:val="37"/>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w:t>
      </w:r>
      <w:r>
        <w:rPr>
          <w:rFonts w:hint="eastAsia" w:ascii="仿宋_GB2312" w:hAnsi="仿宋_GB2312" w:eastAsia="仿宋_GB2312" w:cs="仿宋_GB2312"/>
          <w:sz w:val="32"/>
          <w:szCs w:val="32"/>
          <w:lang w:val="en-US" w:eastAsia="zh-CN"/>
        </w:rPr>
        <w:t>自然资源局</w:t>
      </w:r>
      <w:r>
        <w:rPr>
          <w:rFonts w:hint="eastAsia" w:ascii="仿宋_GB2312" w:hAnsi="仿宋_GB2312" w:eastAsia="仿宋_GB2312" w:cs="仿宋_GB2312"/>
          <w:sz w:val="32"/>
          <w:szCs w:val="32"/>
        </w:rPr>
        <w:t>共计预算支出</w:t>
      </w:r>
      <w:r>
        <w:rPr>
          <w:rFonts w:hint="eastAsia" w:ascii="仿宋_GB2312" w:hAnsi="仿宋_GB2312" w:eastAsia="仿宋_GB2312" w:cs="仿宋_GB2312"/>
          <w:sz w:val="32"/>
          <w:szCs w:val="32"/>
          <w:lang w:val="en-US" w:eastAsia="zh-CN"/>
        </w:rPr>
        <w:t>4078.92</w:t>
      </w:r>
      <w:r>
        <w:rPr>
          <w:rFonts w:hint="eastAsia" w:ascii="仿宋_GB2312" w:hAnsi="仿宋_GB2312" w:eastAsia="仿宋_GB2312" w:cs="仿宋_GB2312"/>
          <w:sz w:val="32"/>
          <w:szCs w:val="32"/>
        </w:rPr>
        <w:t>万元，基本支出</w:t>
      </w:r>
      <w:r>
        <w:rPr>
          <w:rFonts w:hint="eastAsia" w:ascii="仿宋_GB2312" w:hAnsi="仿宋_GB2312" w:eastAsia="仿宋_GB2312" w:cs="仿宋_GB2312"/>
          <w:sz w:val="32"/>
          <w:szCs w:val="32"/>
          <w:lang w:val="en-US" w:eastAsia="zh-CN"/>
        </w:rPr>
        <w:t>304.9</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3774.03</w:t>
      </w:r>
      <w:r>
        <w:rPr>
          <w:rFonts w:hint="eastAsia" w:ascii="仿宋_GB2312" w:hAnsi="仿宋_GB2312" w:eastAsia="仿宋_GB2312" w:cs="仿宋_GB2312"/>
          <w:sz w:val="32"/>
          <w:szCs w:val="32"/>
        </w:rPr>
        <w:t>万元。</w:t>
      </w:r>
    </w:p>
    <w:p>
      <w:pPr>
        <w:widowControl/>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lang w:bidi="ar"/>
        </w:rPr>
        <w:t>三、部门整体预算绩效管理情况</w:t>
      </w:r>
    </w:p>
    <w:p>
      <w:pPr>
        <w:widowControl/>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（一）部门预算管理</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1、部门绩效目标制定情况</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2"/>
        <w:rPr>
          <w:rFonts w:hint="eastAsia" w:ascii="仿宋_GB2312" w:hAnsi="仿宋_GB2312" w:eastAsia="仿宋_GB2312" w:cs="仿宋_GB2312"/>
          <w:sz w:val="32"/>
          <w:szCs w:val="32"/>
          <w:lang w:val="en-US" w:eastAsia="zh-CN"/>
        </w:rPr>
      </w:pPr>
      <w:bookmarkStart w:id="79" w:name="_Toc15608"/>
      <w:r>
        <w:rPr>
          <w:rFonts w:hint="eastAsia" w:ascii="仿宋_GB2312" w:hAnsi="仿宋_GB2312" w:eastAsia="仿宋_GB2312" w:cs="仿宋_GB2312"/>
          <w:color w:val="333333"/>
          <w:sz w:val="32"/>
          <w:szCs w:val="32"/>
          <w:shd w:val="clear" w:color="auto" w:fill="FFFFFF"/>
        </w:rPr>
        <w:t>坚持以政治建设为统领</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坚持严实作风，扎实</w:t>
      </w:r>
      <w:r>
        <w:rPr>
          <w:rFonts w:hint="eastAsia" w:ascii="仿宋_GB2312" w:hAnsi="仿宋_GB2312" w:eastAsia="仿宋_GB2312" w:cs="仿宋_GB2312"/>
          <w:color w:val="333333"/>
          <w:sz w:val="32"/>
          <w:szCs w:val="32"/>
          <w:shd w:val="clear" w:color="auto" w:fill="FFFFFF"/>
          <w:lang w:eastAsia="zh-CN"/>
        </w:rPr>
        <w:t>干部</w:t>
      </w:r>
      <w:r>
        <w:rPr>
          <w:rFonts w:hint="eastAsia" w:ascii="仿宋_GB2312" w:hAnsi="仿宋_GB2312" w:eastAsia="仿宋_GB2312" w:cs="仿宋_GB2312"/>
          <w:color w:val="333333"/>
          <w:sz w:val="32"/>
          <w:szCs w:val="32"/>
          <w:shd w:val="clear" w:color="auto" w:fill="FFFFFF"/>
        </w:rPr>
        <w:t>教育。</w:t>
      </w:r>
      <w:r>
        <w:rPr>
          <w:rFonts w:hint="eastAsia" w:ascii="仿宋_GB2312" w:hAnsi="仿宋_GB2312" w:eastAsia="仿宋_GB2312" w:cs="仿宋_GB2312"/>
          <w:sz w:val="32"/>
          <w:szCs w:val="32"/>
          <w:lang w:val="en-US" w:eastAsia="zh-CN"/>
        </w:rPr>
        <w:t>以质量建设为重心，</w:t>
      </w:r>
      <w:r>
        <w:rPr>
          <w:rFonts w:hint="eastAsia" w:ascii="仿宋_GB2312" w:hAnsi="仿宋_GB2312" w:eastAsia="仿宋_GB2312" w:cs="仿宋_GB2312"/>
          <w:color w:val="333333"/>
          <w:sz w:val="32"/>
          <w:szCs w:val="32"/>
          <w:shd w:val="clear" w:color="auto" w:fill="FFFFFF"/>
        </w:rPr>
        <w:t>坚持对党负责、对历史负责、对人民负责</w:t>
      </w:r>
      <w:r>
        <w:rPr>
          <w:rFonts w:hint="eastAsia" w:ascii="仿宋_GB2312" w:hAnsi="仿宋_GB2312" w:eastAsia="仿宋_GB2312" w:cs="仿宋_GB2312"/>
          <w:color w:val="333333"/>
          <w:sz w:val="32"/>
          <w:szCs w:val="32"/>
          <w:shd w:val="clear" w:color="auto" w:fill="FFFFFF"/>
          <w:lang w:eastAsia="zh-CN"/>
        </w:rPr>
        <w:t>的</w:t>
      </w:r>
      <w:r>
        <w:rPr>
          <w:rFonts w:hint="eastAsia" w:ascii="仿宋_GB2312" w:hAnsi="仿宋_GB2312" w:eastAsia="仿宋_GB2312" w:cs="仿宋_GB2312"/>
          <w:color w:val="333333"/>
          <w:sz w:val="32"/>
          <w:szCs w:val="32"/>
          <w:shd w:val="clear" w:color="auto" w:fill="FFFFFF"/>
        </w:rPr>
        <w:t>标准，始终把提高质量贯穿于地方志工作各方面、全过程</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rPr>
        <w:t>强化志书编纂审查验收，落实初审、复审和终审的“三审”制度，严谨推进《</w:t>
      </w:r>
      <w:r>
        <w:rPr>
          <w:rFonts w:hint="eastAsia" w:ascii="仿宋_GB2312" w:hAnsi="仿宋_GB2312" w:eastAsia="仿宋_GB2312" w:cs="仿宋_GB2312"/>
          <w:color w:val="333333"/>
          <w:sz w:val="32"/>
          <w:szCs w:val="32"/>
          <w:shd w:val="clear" w:color="auto" w:fill="FFFFFF"/>
          <w:lang w:eastAsia="zh-CN"/>
        </w:rPr>
        <w:t>中国共产党壤塘县执政实录</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lang w:eastAsia="zh-CN"/>
        </w:rPr>
        <w:t>壤塘县年鉴</w:t>
      </w:r>
      <w:r>
        <w:rPr>
          <w:rFonts w:hint="eastAsia" w:ascii="仿宋_GB2312" w:hAnsi="仿宋_GB2312" w:eastAsia="仿宋_GB2312" w:cs="仿宋_GB2312"/>
          <w:color w:val="333333"/>
          <w:sz w:val="32"/>
          <w:szCs w:val="32"/>
          <w:shd w:val="clear" w:color="auto" w:fill="FFFFFF"/>
        </w:rPr>
        <w:t>》重点图书</w:t>
      </w:r>
      <w:r>
        <w:rPr>
          <w:rFonts w:hint="eastAsia" w:ascii="仿宋_GB2312" w:hAnsi="仿宋_GB2312" w:eastAsia="仿宋_GB2312" w:cs="仿宋_GB2312"/>
          <w:color w:val="333333"/>
          <w:sz w:val="32"/>
          <w:szCs w:val="32"/>
          <w:shd w:val="clear" w:color="auto" w:fill="FFFFFF"/>
          <w:lang w:eastAsia="zh-CN"/>
        </w:rPr>
        <w:t>和口述历史</w:t>
      </w:r>
      <w:r>
        <w:rPr>
          <w:rFonts w:hint="eastAsia" w:ascii="仿宋_GB2312" w:hAnsi="仿宋_GB2312" w:eastAsia="仿宋_GB2312" w:cs="仿宋_GB2312"/>
          <w:color w:val="333333"/>
          <w:sz w:val="32"/>
          <w:szCs w:val="32"/>
          <w:shd w:val="clear" w:color="auto" w:fill="FFFFFF"/>
        </w:rPr>
        <w:t>审查。</w:t>
      </w:r>
      <w:r>
        <w:rPr>
          <w:rFonts w:hint="eastAsia" w:ascii="仿宋_GB2312" w:hAnsi="仿宋_GB2312" w:eastAsia="仿宋_GB2312" w:cs="仿宋_GB2312"/>
          <w:sz w:val="32"/>
          <w:szCs w:val="32"/>
          <w:lang w:val="en-US" w:eastAsia="zh-CN"/>
        </w:rPr>
        <w:t>以“三个服务”为抓手，</w:t>
      </w:r>
      <w:r>
        <w:rPr>
          <w:rFonts w:hint="eastAsia" w:ascii="仿宋_GB2312" w:hAnsi="仿宋_GB2312" w:eastAsia="仿宋_GB2312" w:cs="仿宋_GB2312"/>
          <w:color w:val="333333"/>
          <w:sz w:val="32"/>
          <w:szCs w:val="32"/>
          <w:shd w:val="clear" w:color="auto" w:fill="FFFFFF"/>
        </w:rPr>
        <w:t>牢固树立资政辅治意识</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sz w:val="32"/>
          <w:szCs w:val="32"/>
          <w:lang w:val="en-US" w:eastAsia="zh-CN"/>
        </w:rPr>
        <w:t>持续</w:t>
      </w:r>
      <w:r>
        <w:rPr>
          <w:rFonts w:hint="eastAsia" w:ascii="仿宋_GB2312" w:hAnsi="仿宋_GB2312" w:eastAsia="仿宋_GB2312" w:cs="仿宋_GB2312"/>
          <w:color w:val="333333"/>
          <w:sz w:val="32"/>
          <w:szCs w:val="32"/>
          <w:shd w:val="clear" w:color="auto" w:fill="FFFFFF"/>
        </w:rPr>
        <w:t>推进</w:t>
      </w:r>
      <w:r>
        <w:rPr>
          <w:rFonts w:hint="eastAsia" w:ascii="仿宋_GB2312" w:hAnsi="仿宋_GB2312" w:eastAsia="仿宋_GB2312" w:cs="仿宋_GB2312"/>
          <w:color w:val="333333"/>
          <w:sz w:val="32"/>
          <w:szCs w:val="32"/>
          <w:shd w:val="clear" w:color="auto" w:fill="FFFFFF"/>
          <w:lang w:eastAsia="zh-CN"/>
        </w:rPr>
        <w:t>史</w:t>
      </w:r>
      <w:r>
        <w:rPr>
          <w:rFonts w:hint="eastAsia" w:ascii="仿宋_GB2312" w:hAnsi="仿宋_GB2312" w:eastAsia="仿宋_GB2312" w:cs="仿宋_GB2312"/>
          <w:color w:val="333333"/>
          <w:sz w:val="32"/>
          <w:szCs w:val="32"/>
          <w:shd w:val="clear" w:color="auto" w:fill="FFFFFF"/>
        </w:rPr>
        <w:t>志文化进</w:t>
      </w:r>
      <w:r>
        <w:rPr>
          <w:rFonts w:hint="eastAsia" w:ascii="仿宋_GB2312" w:hAnsi="仿宋_GB2312" w:eastAsia="仿宋_GB2312" w:cs="仿宋_GB2312"/>
          <w:color w:val="333333"/>
          <w:sz w:val="32"/>
          <w:szCs w:val="32"/>
          <w:shd w:val="clear" w:color="auto" w:fill="FFFFFF"/>
          <w:lang w:eastAsia="zh-CN"/>
        </w:rPr>
        <w:t>乡村，进图书馆活动，</w:t>
      </w:r>
      <w:r>
        <w:rPr>
          <w:rFonts w:hint="eastAsia" w:ascii="仿宋_GB2312" w:hAnsi="仿宋_GB2312" w:eastAsia="仿宋_GB2312" w:cs="仿宋_GB2312"/>
          <w:color w:val="333333"/>
          <w:sz w:val="32"/>
          <w:szCs w:val="32"/>
          <w:shd w:val="clear" w:color="auto" w:fill="FFFFFF"/>
        </w:rPr>
        <w:t>与中国知网深度合作，有效拓宽</w:t>
      </w:r>
      <w:r>
        <w:rPr>
          <w:rFonts w:hint="eastAsia" w:ascii="仿宋_GB2312" w:hAnsi="仿宋_GB2312" w:eastAsia="仿宋_GB2312" w:cs="仿宋_GB2312"/>
          <w:color w:val="333333"/>
          <w:sz w:val="32"/>
          <w:szCs w:val="32"/>
          <w:shd w:val="clear" w:color="auto" w:fill="FFFFFF"/>
          <w:lang w:eastAsia="zh-CN"/>
        </w:rPr>
        <w:t>壤塘</w:t>
      </w:r>
      <w:r>
        <w:rPr>
          <w:rFonts w:hint="eastAsia" w:ascii="仿宋_GB2312" w:hAnsi="仿宋_GB2312" w:eastAsia="仿宋_GB2312" w:cs="仿宋_GB2312"/>
          <w:color w:val="333333"/>
          <w:sz w:val="32"/>
          <w:szCs w:val="32"/>
          <w:shd w:val="clear" w:color="auto" w:fill="FFFFFF"/>
        </w:rPr>
        <w:t>历史文化及改革发展成就传播面、受众面</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sz w:val="32"/>
          <w:szCs w:val="32"/>
          <w:lang w:val="en-US" w:eastAsia="zh-CN"/>
        </w:rPr>
        <w:t>2022年， 我中心以习近平新时代中国特色社会主义思想为指引，深入贯彻落实中央、省、州、县重要会议和要求，充分发挥史志工作存史、资政、育人、服务的作用，把打造精品年鉴作为当前工作重点，继续加强前进的动力，始终保持旺盛的精力，不断增强各项工作的活力。</w:t>
      </w:r>
      <w:bookmarkEnd w:id="79"/>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2、目标完成情况</w:t>
      </w:r>
    </w:p>
    <w:p>
      <w:pPr>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rPr>
        <w:t>）全力做好地灾防治工作。</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进一步加强认识。对于地质灾害防治工作要克服麻痹、放松思想。树牢极限思维、强化底线思维，做好长期坚持、全年防地灾的准备。</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进一步加强避险演练。针对目前地质灾害隐患点夜间演练、模拟 “三断”演练不足的情况，进一步开展贴近实战、模拟实际的避险转移、人员安置管控演练。</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进一步确保预警信息及时到点。通过配置卫星电话、对讲机等应急通讯设备，保障在断电、断网的极端条件下，预警信息能及时传递到监测人员和受威胁群众。长期坚持“喊醒叫应”工作机制，保证预警信息的及时传递和闭环管理。</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落实好“五级包保”责任制。充分发挥已建立起的地质灾害五级包保责任制作用，出现预警时，县、乡、村、组、监测员包保责任人要第一时间到点到位，在第一时间掌握、协调、处理地质灾害的发生情况和果断采取应对措施。</w:t>
      </w:r>
    </w:p>
    <w:p>
      <w:pPr>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rPr>
        <w:t>）做好矿产管理工作。</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完成《壤塘县矿产资源总体规划（2021-2025年）》编制工作,完成壤古温泉、上杜柯乡砂石集中开采区等矿区探矿证、采矿证的办理。</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继续加强矿权延续等审核，对位于各级各类自然保护区、风景名胜区内的探矿权，以及将来开发利用过程中易造成生态破坏的探矿权，进行清理并退出。</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合理有序开发地热资源。</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坚持利用各种方式宣传矿产资源管理法律法规和相关规定；</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继续扎实开展拟新建水电站，改扩建省道、压覆矿产资源情况调查的审查工作。</w:t>
      </w:r>
    </w:p>
    <w:p>
      <w:pPr>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rPr>
        <w:t>）加强规划管理引领。</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继续完善《壤塘县国土空间总体规划》，按部省要求进行报批。</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完善四个乡镇级及村片区规划编制成果，按照省州要求及时提交片区规划成果备案。</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上下衔接，横向对接，落实上位规划阶段成果，充分衔接十四五发展规划、旅游、农业产业发展、交通运输等专项规划，做到紧密联系实现“多规合一”。</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开展8-10个村级片区规划的编制工作，形成一批符合村庄发展的实用性村庄规划。</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持续抓好“一书两证”的审核、发放工作；做好规划区内的规划选址、复线和规划核实工作；主动对接各部门开展专项规划编制和重大项目的规划选址论证。</w:t>
      </w:r>
    </w:p>
    <w:p>
      <w:pPr>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）持续优化确权登记。</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继续完善壤塘县农村“房地一体”登记颁证工作及林权类不动产数据整合工作，实现“应登尽登”，把农村不动产纳入不动产登记日常业务，规范农村不动产登记。</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计划完成集体土地所有权更新汇交工作。</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进一步提高办证效率，始终把群众利益放在第一位，及时解决群众办证过程中遇到的问题。</w:t>
      </w:r>
    </w:p>
    <w:p>
      <w:pPr>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结合机关作风建设工作要求，注重便民、利民，坚持“群众为先，服务至上”的工作理念、坚持“明确责任，分工协作”的工作方法，坚持“遵守规则、遵守底线”的思路，严谨吃、拿、卡、要，杜绝门难进、脸难看、事难办的情况，坚决杜绝工作人员违规办理业务。</w:t>
      </w:r>
    </w:p>
    <w:p>
      <w:pPr>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rPr>
        <w:t>）强化执法监管工作。</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将继续严格落实耕地保护制度与目标任务。强力推进农村乱占耕地建房问题专项整治，充分运用好土地执法动态监测监管机制，加大卫片执法检查力度，严厉查处整改违法违规用地行为。</w:t>
      </w:r>
    </w:p>
    <w:p>
      <w:pPr>
        <w:spacing w:line="560" w:lineRule="exact"/>
        <w:ind w:firstLine="640" w:firstLineChars="20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继续加强对《土地管理法》以及行政调解制度等方面的有关知识的学习，确保自然资源案件办理更加规范、优质、高效。</w:t>
      </w:r>
    </w:p>
    <w:p>
      <w:pPr>
        <w:ind w:firstLine="640" w:firstLineChars="200"/>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3、预算编制情况</w:t>
      </w:r>
    </w:p>
    <w:p>
      <w:pPr>
        <w:pStyle w:val="14"/>
        <w:ind w:left="0" w:leftChars="0"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2022年财政下达壤塘县自然资源局年初预算收入</w:t>
      </w:r>
      <w:r>
        <w:rPr>
          <w:rFonts w:hint="eastAsia" w:ascii="仿宋_GB2312" w:hAnsi="仿宋_GB2312" w:eastAsia="仿宋_GB2312" w:cs="仿宋_GB2312"/>
          <w:sz w:val="32"/>
          <w:szCs w:val="32"/>
          <w:lang w:val="en-US" w:eastAsia="zh-CN"/>
        </w:rPr>
        <w:t>201.74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，年初结转和结余3176.85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000000"/>
          <w:kern w:val="0"/>
          <w:sz w:val="32"/>
          <w:szCs w:val="32"/>
          <w:lang w:val="en-US" w:eastAsia="zh-CN" w:bidi="ar"/>
        </w:rPr>
        <w:t>700.33</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，年末无结转结余，预算编制准确率较高。</w:t>
      </w:r>
      <w:r>
        <w:rPr>
          <w:rFonts w:hint="eastAsia" w:ascii="仿宋_GB2312" w:hAnsi="仿宋_GB2312" w:eastAsia="仿宋_GB2312" w:cs="仿宋_GB2312"/>
          <w:color w:val="000000"/>
          <w:kern w:val="0"/>
          <w:sz w:val="32"/>
          <w:szCs w:val="32"/>
          <w:lang w:bidi="ar"/>
        </w:rPr>
        <w:t>年末无结转结余。严格按照预算编制方案科学合理编制本单位预算，提前做好情况摸底、数据收集、填报绩效目标、细化专项预算，按照人员经费逐人核定编制，公用经费按定额编制；根据“总量控制、计划管理”的`要求从严控制机关经费，严格编制“三公经费”预算，压缩公业务费，科学编制项目支出，编制部门预算项目绩效目标，按时完成预算编制报送工作。</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4、执行进度情况</w:t>
      </w:r>
    </w:p>
    <w:p>
      <w:pPr>
        <w:ind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2022年财政下达壤塘县自然资源局年初预算收入</w:t>
      </w:r>
      <w:r>
        <w:rPr>
          <w:rFonts w:hint="eastAsia" w:ascii="仿宋_GB2312" w:hAnsi="仿宋_GB2312" w:eastAsia="仿宋_GB2312" w:cs="仿宋_GB2312"/>
          <w:sz w:val="32"/>
          <w:szCs w:val="32"/>
          <w:lang w:val="en-US" w:eastAsia="zh-CN"/>
        </w:rPr>
        <w:t>201.74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，年初结转和结余3176.85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000000"/>
          <w:kern w:val="0"/>
          <w:sz w:val="32"/>
          <w:szCs w:val="32"/>
          <w:lang w:val="en-US" w:eastAsia="zh-CN" w:bidi="ar"/>
        </w:rPr>
        <w:t>700.33</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。年末无结转结余，单位执行进度为100%，达到预期目标。</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5、预算完成情况</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2022年财政下达壤塘县自然资源局年初预算收入</w:t>
      </w:r>
      <w:r>
        <w:rPr>
          <w:rFonts w:hint="eastAsia" w:ascii="仿宋_GB2312" w:hAnsi="仿宋_GB2312" w:eastAsia="仿宋_GB2312" w:cs="仿宋_GB2312"/>
          <w:sz w:val="32"/>
          <w:szCs w:val="32"/>
          <w:lang w:val="en-US" w:eastAsia="zh-CN"/>
        </w:rPr>
        <w:t>201.74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，年初结转和结余3176.85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lang w:eastAsia="zh-CN"/>
        </w:rPr>
        <w:t>执行期中追加收入</w:t>
      </w:r>
      <w:r>
        <w:rPr>
          <w:rFonts w:hint="eastAsia" w:ascii="仿宋_GB2312" w:hAnsi="仿宋_GB2312" w:eastAsia="仿宋_GB2312" w:cs="仿宋_GB2312"/>
          <w:color w:val="000000"/>
          <w:kern w:val="0"/>
          <w:sz w:val="32"/>
          <w:szCs w:val="32"/>
          <w:lang w:val="en-US" w:eastAsia="zh-CN" w:bidi="ar"/>
        </w:rPr>
        <w:t>700.33</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000000"/>
          <w:kern w:val="0"/>
          <w:sz w:val="32"/>
          <w:szCs w:val="32"/>
          <w:lang w:val="en-US" w:eastAsia="zh-CN" w:bidi="ar"/>
        </w:rPr>
        <w:t>。年末无结转结余，单位执行进度为100%，达到预期目标。</w:t>
      </w:r>
    </w:p>
    <w:p>
      <w:pPr>
        <w:pStyle w:val="7"/>
        <w:ind w:firstLine="640" w:firstLineChars="200"/>
        <w:rPr>
          <w:rFonts w:hint="default" w:ascii="仿宋_GB2312" w:hAnsi="宋体" w:eastAsia="仿宋_GB2312" w:cs="仿宋_GB2312"/>
          <w:color w:val="000000"/>
          <w:kern w:val="0"/>
          <w:sz w:val="32"/>
          <w:szCs w:val="32"/>
          <w:shd w:val="clear" w:color="auto" w:fill="FFFFFF"/>
          <w:lang w:val="en-US" w:eastAsia="zh-CN" w:bidi="ar"/>
        </w:rPr>
      </w:pPr>
      <w:r>
        <w:rPr>
          <w:rFonts w:hint="eastAsia" w:ascii="仿宋_GB2312" w:hAnsi="宋体" w:eastAsia="仿宋_GB2312" w:cs="仿宋_GB2312"/>
          <w:color w:val="000000"/>
          <w:kern w:val="0"/>
          <w:sz w:val="32"/>
          <w:szCs w:val="32"/>
          <w:shd w:val="clear" w:color="auto" w:fill="FFFFFF"/>
          <w:lang w:val="en-US" w:eastAsia="zh-CN" w:bidi="ar"/>
        </w:rPr>
        <w:t>6、行政成本</w:t>
      </w:r>
    </w:p>
    <w:p>
      <w:pPr>
        <w:pStyle w:val="7"/>
        <w:ind w:firstLine="640" w:firstLineChars="20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壤塘县自然资源局2022年“三公”经费财政拨款预算数13.11万元，其中：因公出国（境）经费0万元，公务接待费0万元，公务用车购置及运行维护费13.11万元。</w:t>
      </w:r>
    </w:p>
    <w:p>
      <w:pPr>
        <w:ind w:firstLine="640" w:firstLineChars="200"/>
        <w:rPr>
          <w:rFonts w:hint="default" w:ascii="仿宋_GB2312" w:hAnsi="宋体" w:eastAsia="仿宋_GB2312" w:cs="仿宋_GB2312"/>
          <w:color w:val="000000"/>
          <w:kern w:val="0"/>
          <w:sz w:val="32"/>
          <w:szCs w:val="32"/>
          <w:shd w:val="clear" w:color="auto" w:fill="FFFFFF"/>
          <w:lang w:val="en-US" w:eastAsia="zh-CN" w:bidi="ar"/>
        </w:rPr>
      </w:pPr>
      <w:r>
        <w:rPr>
          <w:rFonts w:hint="eastAsia" w:ascii="仿宋_GB2312" w:hAnsi="宋体" w:eastAsia="仿宋_GB2312" w:cs="仿宋_GB2312"/>
          <w:color w:val="000000"/>
          <w:kern w:val="0"/>
          <w:sz w:val="32"/>
          <w:szCs w:val="32"/>
          <w:shd w:val="clear" w:color="auto" w:fill="FFFFFF"/>
          <w:lang w:val="en-US" w:eastAsia="zh-CN" w:bidi="ar"/>
        </w:rPr>
        <w:t>7、政府采购</w:t>
      </w:r>
    </w:p>
    <w:p>
      <w:pPr>
        <w:ind w:firstLine="640"/>
        <w:rPr>
          <w:rFonts w:hint="eastAsia" w:ascii="仿宋_GB2312" w:hAnsi="仿宋_GB2312" w:eastAsia="仿宋_GB2312" w:cs="仿宋_GB2312"/>
          <w:color w:val="000000"/>
          <w:kern w:val="0"/>
          <w:sz w:val="32"/>
          <w:szCs w:val="32"/>
          <w:lang w:val="en-US" w:eastAsia="zh-CN" w:bidi="ar"/>
        </w:rPr>
      </w:pPr>
      <w:r>
        <w:rPr>
          <w:rFonts w:hint="eastAsia" w:ascii="仿宋_GB2312" w:eastAsia="仿宋_GB2312"/>
          <w:color w:val="000000"/>
          <w:sz w:val="32"/>
          <w:szCs w:val="32"/>
          <w:lang w:eastAsia="zh-CN"/>
        </w:rPr>
        <w:t>壤塘县</w:t>
      </w:r>
      <w:r>
        <w:rPr>
          <w:rFonts w:hint="eastAsia" w:ascii="仿宋_GB2312" w:eastAsia="仿宋_GB2312"/>
          <w:color w:val="000000"/>
          <w:sz w:val="32"/>
          <w:szCs w:val="32"/>
          <w:lang w:val="en-US" w:eastAsia="zh-CN"/>
        </w:rPr>
        <w:t>自然资源</w:t>
      </w:r>
      <w:r>
        <w:rPr>
          <w:rFonts w:hint="eastAsia" w:ascii="仿宋_GB2312" w:eastAsia="仿宋_GB2312"/>
          <w:color w:val="000000"/>
          <w:sz w:val="32"/>
          <w:szCs w:val="32"/>
          <w:lang w:eastAsia="zh-CN"/>
        </w:rPr>
        <w:t>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1569.94</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322.19</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1247.75</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1569.94</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hAnsi="仿宋_GB2312" w:eastAsia="仿宋_GB2312" w:cs="仿宋_GB2312"/>
          <w:color w:val="000000"/>
          <w:kern w:val="0"/>
          <w:sz w:val="32"/>
          <w:szCs w:val="32"/>
          <w:lang w:val="en-US" w:eastAsia="zh-CN" w:bidi="ar"/>
        </w:rPr>
        <w:t>。</w:t>
      </w:r>
    </w:p>
    <w:p>
      <w:pPr>
        <w:pStyle w:val="7"/>
        <w:numPr>
          <w:ilvl w:val="0"/>
          <w:numId w:val="4"/>
        </w:numPr>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资产管理 </w:t>
      </w:r>
    </w:p>
    <w:p>
      <w:pPr>
        <w:pStyle w:val="7"/>
        <w:numPr>
          <w:ilvl w:val="0"/>
          <w:numId w:val="0"/>
        </w:numPr>
        <w:ind w:firstLine="640" w:firstLineChars="200"/>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rPr>
        <w:t>固定资产在用率。截止20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局《行政单位资产管理系统》固定资产总计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万元，在用的固定资产总计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万元，固定资产在用率达</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val="en-US" w:eastAsia="zh-CN" w:bidi="ar"/>
        </w:rPr>
        <w:t xml:space="preserve"> </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仿宋_GB2312"/>
          <w:color w:val="000000"/>
          <w:kern w:val="0"/>
          <w:sz w:val="32"/>
          <w:szCs w:val="32"/>
          <w:shd w:val="clear" w:color="auto" w:fill="FFFFFF"/>
          <w:lang w:val="en-US" w:eastAsia="zh-CN" w:bidi="ar"/>
        </w:rPr>
        <w:t>9</w:t>
      </w:r>
      <w:r>
        <w:rPr>
          <w:rFonts w:ascii="仿宋_GB2312" w:hAnsi="宋体" w:eastAsia="仿宋_GB2312" w:cs="仿宋_GB2312"/>
          <w:color w:val="000000"/>
          <w:kern w:val="0"/>
          <w:sz w:val="32"/>
          <w:szCs w:val="32"/>
          <w:shd w:val="clear" w:color="auto" w:fill="FFFFFF"/>
          <w:lang w:bidi="ar"/>
        </w:rPr>
        <w:t>、违规记录等情况</w:t>
      </w:r>
    </w:p>
    <w:p>
      <w:pPr>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无</w:t>
      </w:r>
    </w:p>
    <w:p>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9"/>
        <w:rPr>
          <w:rFonts w:hint="eastAsia" w:ascii="楷体_GB2312" w:hAnsi="楷体_GB2312" w:eastAsia="楷体_GB2312" w:cs="楷体_GB2312"/>
          <w:b w:val="0"/>
          <w:bCs w:val="0"/>
          <w:kern w:val="0"/>
          <w:sz w:val="32"/>
          <w:szCs w:val="32"/>
        </w:rPr>
      </w:pPr>
      <w:r>
        <w:rPr>
          <w:rFonts w:hint="eastAsia" w:ascii="仿宋_GB2312" w:hAnsi="仿宋_GB2312" w:eastAsia="仿宋_GB2312" w:cs="仿宋_GB2312"/>
          <w:color w:val="000000"/>
          <w:kern w:val="0"/>
          <w:sz w:val="32"/>
          <w:szCs w:val="32"/>
          <w:lang w:val="en-US" w:eastAsia="zh-CN" w:bidi="ar"/>
        </w:rPr>
        <w:t>10、</w:t>
      </w:r>
      <w:r>
        <w:rPr>
          <w:rFonts w:hint="eastAsia" w:ascii="楷体_GB2312" w:hAnsi="楷体_GB2312" w:eastAsia="楷体_GB2312" w:cs="楷体_GB2312"/>
          <w:b w:val="0"/>
          <w:bCs w:val="0"/>
          <w:kern w:val="0"/>
          <w:sz w:val="32"/>
          <w:szCs w:val="32"/>
        </w:rPr>
        <w:t>信息公开</w:t>
      </w:r>
    </w:p>
    <w:p>
      <w:pPr>
        <w:pStyle w:val="7"/>
        <w:ind w:firstLine="640" w:firstLineChars="200"/>
        <w:rPr>
          <w:rFonts w:hint="eastAsia"/>
          <w:lang w:val="en-US" w:eastAsia="zh-CN"/>
        </w:rPr>
      </w:pP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局已经按财政要求及时完成预算、决算、绩效等信息公开工作，信息公开在</w:t>
      </w:r>
      <w:r>
        <w:rPr>
          <w:rFonts w:hint="eastAsia" w:ascii="仿宋_GB2312" w:hAnsi="仿宋_GB2312" w:eastAsia="仿宋_GB2312" w:cs="仿宋_GB2312"/>
          <w:sz w:val="32"/>
          <w:szCs w:val="32"/>
          <w:lang w:val="en-US" w:eastAsia="zh-CN"/>
        </w:rPr>
        <w:t>壤塘县</w:t>
      </w:r>
      <w:r>
        <w:rPr>
          <w:rFonts w:hint="eastAsia" w:ascii="仿宋_GB2312" w:hAnsi="仿宋_GB2312" w:eastAsia="仿宋_GB2312" w:cs="仿宋_GB2312"/>
          <w:sz w:val="32"/>
          <w:szCs w:val="32"/>
        </w:rPr>
        <w:t>门户网站中。</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ascii="仿宋_GB2312" w:hAnsi="宋体" w:eastAsia="仿宋_GB2312" w:cs="仿宋_GB2312"/>
          <w:color w:val="000000"/>
          <w:kern w:val="0"/>
          <w:sz w:val="32"/>
          <w:szCs w:val="32"/>
          <w:shd w:val="clear" w:color="auto" w:fill="FFFFFF"/>
          <w:lang w:bidi="ar"/>
        </w:rPr>
        <w:t>（二）结果应用情况</w:t>
      </w:r>
    </w:p>
    <w:p>
      <w:pPr>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会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我单位各项工作的正常运转。</w:t>
      </w:r>
    </w:p>
    <w:p>
      <w:pPr>
        <w:widowControl/>
        <w:numPr>
          <w:ilvl w:val="0"/>
          <w:numId w:val="5"/>
        </w:numPr>
        <w:adjustRightInd w:val="0"/>
        <w:snapToGrid w:val="0"/>
        <w:spacing w:line="560" w:lineRule="exact"/>
        <w:ind w:firstLine="640" w:firstLineChars="200"/>
        <w:contextualSpacing/>
        <w:jc w:val="left"/>
        <w:rPr>
          <w:rFonts w:hint="eastAsia" w:ascii="黑体" w:hAnsi="宋体" w:eastAsia="黑体" w:cs="黑体"/>
          <w:color w:val="000000"/>
          <w:kern w:val="0"/>
          <w:sz w:val="32"/>
          <w:szCs w:val="32"/>
          <w:shd w:val="clear" w:color="auto" w:fill="FFFFFF"/>
          <w:lang w:bidi="ar"/>
        </w:rPr>
      </w:pPr>
      <w:r>
        <w:rPr>
          <w:rFonts w:hint="eastAsia" w:ascii="黑体" w:hAnsi="宋体" w:eastAsia="黑体" w:cs="黑体"/>
          <w:color w:val="000000"/>
          <w:kern w:val="0"/>
          <w:sz w:val="32"/>
          <w:szCs w:val="32"/>
          <w:shd w:val="clear" w:color="auto" w:fill="FFFFFF"/>
          <w:lang w:bidi="ar"/>
        </w:rPr>
        <w:t>评价结论及建议</w:t>
      </w:r>
    </w:p>
    <w:p>
      <w:pPr>
        <w:widowControl/>
        <w:numPr>
          <w:ilvl w:val="0"/>
          <w:numId w:val="6"/>
        </w:numPr>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评价结论</w:t>
      </w:r>
    </w:p>
    <w:p>
      <w:pPr>
        <w:pStyle w:val="14"/>
        <w:ind w:left="0" w:leftChars="0" w:firstLine="640" w:firstLineChars="200"/>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我</w:t>
      </w:r>
      <w:r>
        <w:rPr>
          <w:rFonts w:hint="eastAsia" w:ascii="仿宋_GB2312" w:hAnsi="仿宋_GB2312" w:eastAsia="仿宋_GB2312" w:cs="仿宋_GB2312"/>
          <w:color w:val="000000"/>
          <w:kern w:val="0"/>
          <w:sz w:val="32"/>
          <w:szCs w:val="32"/>
          <w:lang w:val="en-US" w:eastAsia="zh-CN" w:bidi="ar"/>
        </w:rPr>
        <w:t>局</w:t>
      </w:r>
      <w:r>
        <w:rPr>
          <w:rFonts w:hint="eastAsia" w:ascii="仿宋_GB2312" w:hAnsi="仿宋_GB2312" w:eastAsia="仿宋_GB2312" w:cs="仿宋_GB2312"/>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_GB2312" w:hAnsi="仿宋_GB2312" w:eastAsia="仿宋_GB2312" w:cs="仿宋_GB2312"/>
          <w:color w:val="000000"/>
          <w:kern w:val="0"/>
          <w:sz w:val="32"/>
          <w:szCs w:val="32"/>
          <w:lang w:bidi="ar"/>
        </w:rPr>
        <w:t>会</w:t>
      </w:r>
      <w:r>
        <w:rPr>
          <w:rFonts w:hint="eastAsia" w:ascii="仿宋_GB2312" w:hAnsi="仿宋_GB2312" w:eastAsia="仿宋_GB2312" w:cs="仿宋_GB2312"/>
          <w:color w:val="000000"/>
          <w:kern w:val="0"/>
          <w:sz w:val="32"/>
          <w:szCs w:val="32"/>
          <w:lang w:val="zh-CN" w:bidi="ar"/>
        </w:rPr>
        <w:t>将继续努力，科学合理编制预决算，进行绩效评价，加强精细管理，完善不足。</w:t>
      </w:r>
      <w:r>
        <w:rPr>
          <w:rFonts w:hint="eastAsia" w:ascii="仿宋_GB2312" w:hAnsi="仿宋_GB2312" w:eastAsia="仿宋_GB2312" w:cs="仿宋_GB2312"/>
          <w:color w:val="000000"/>
          <w:kern w:val="0"/>
          <w:sz w:val="32"/>
          <w:szCs w:val="32"/>
          <w:lang w:bidi="ar"/>
        </w:rPr>
        <w:t>根据《壤塘县</w:t>
      </w:r>
      <w:r>
        <w:rPr>
          <w:rFonts w:ascii="仿宋_GB2312" w:hAnsi="仿宋_GB2312" w:eastAsia="仿宋_GB2312" w:cs="仿宋_GB2312"/>
          <w:color w:val="000000"/>
          <w:kern w:val="0"/>
          <w:sz w:val="32"/>
          <w:szCs w:val="32"/>
          <w:lang w:bidi="ar"/>
        </w:rPr>
        <w:t>202</w:t>
      </w:r>
      <w:r>
        <w:rPr>
          <w:rFonts w:hint="eastAsia" w:ascii="仿宋_GB2312" w:hAnsi="仿宋_GB2312" w:eastAsia="仿宋_GB2312" w:cs="仿宋_GB2312"/>
          <w:color w:val="000000"/>
          <w:kern w:val="0"/>
          <w:sz w:val="32"/>
          <w:szCs w:val="32"/>
          <w:lang w:bidi="ar"/>
        </w:rPr>
        <w:t>2</w:t>
      </w:r>
      <w:r>
        <w:rPr>
          <w:rFonts w:ascii="仿宋_GB2312" w:hAnsi="仿宋_GB2312" w:eastAsia="仿宋_GB2312" w:cs="仿宋_GB2312"/>
          <w:color w:val="000000"/>
          <w:kern w:val="0"/>
          <w:sz w:val="32"/>
          <w:szCs w:val="32"/>
          <w:lang w:bidi="ar"/>
        </w:rPr>
        <w:t>年部门整体支出绩效评价指标体系》评分，得分</w:t>
      </w:r>
      <w:r>
        <w:rPr>
          <w:rFonts w:hint="eastAsia" w:ascii="仿宋_GB2312" w:hAnsi="仿宋_GB2312" w:eastAsia="仿宋_GB2312" w:cs="仿宋_GB2312"/>
          <w:color w:val="000000"/>
          <w:kern w:val="0"/>
          <w:sz w:val="32"/>
          <w:szCs w:val="32"/>
          <w:lang w:val="en-US" w:eastAsia="zh-CN" w:bidi="ar"/>
        </w:rPr>
        <w:t>97</w:t>
      </w:r>
      <w:r>
        <w:rPr>
          <w:rFonts w:ascii="仿宋_GB2312" w:hAnsi="仿宋_GB2312" w:eastAsia="仿宋_GB2312" w:cs="仿宋_GB2312"/>
          <w:color w:val="000000"/>
          <w:kern w:val="0"/>
          <w:sz w:val="32"/>
          <w:szCs w:val="32"/>
          <w:lang w:bidi="ar"/>
        </w:rPr>
        <w:t>分，绩效评价结果优秀。</w:t>
      </w:r>
    </w:p>
    <w:p>
      <w:pPr>
        <w:widowControl/>
        <w:numPr>
          <w:ilvl w:val="0"/>
          <w:numId w:val="6"/>
        </w:numPr>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存在问题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val="zh-CN" w:bidi="ar"/>
        </w:rPr>
      </w:pPr>
      <w:r>
        <w:rPr>
          <w:rFonts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预算编制前根据年度内单位可预见的工作任务，确定了单位年度预算目标，细化了预算指标，但预算编制的精准性有待进一步提高。</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2、</w:t>
      </w:r>
      <w:r>
        <w:rPr>
          <w:rFonts w:hint="eastAsia" w:ascii="仿宋_GB2312" w:hAnsi="仿宋_GB2312" w:eastAsia="仿宋_GB2312" w:cs="仿宋_GB2312"/>
          <w:color w:val="000000"/>
          <w:kern w:val="0"/>
          <w:sz w:val="32"/>
          <w:szCs w:val="32"/>
          <w:lang w:val="zh-CN" w:bidi="ar"/>
        </w:rPr>
        <w:t>是对部门整体支出预算评价工作不够重视，没有把预算财务分析作为常态化工作。</w:t>
      </w:r>
    </w:p>
    <w:p>
      <w:pPr>
        <w:widowControl/>
        <w:adjustRightInd w:val="0"/>
        <w:snapToGrid w:val="0"/>
        <w:spacing w:line="560" w:lineRule="exact"/>
        <w:ind w:firstLine="640" w:firstLineChars="200"/>
        <w:contextualSpacing/>
        <w:jc w:val="left"/>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3、未制定明确的财务监控监督措施</w:t>
      </w:r>
    </w:p>
    <w:p>
      <w:pPr>
        <w:widowControl/>
        <w:adjustRightInd w:val="0"/>
        <w:snapToGrid w:val="0"/>
        <w:spacing w:line="560" w:lineRule="exact"/>
        <w:ind w:firstLine="640" w:firstLineChars="200"/>
        <w:contextualSpacing/>
        <w:jc w:val="left"/>
        <w:rPr>
          <w:rFonts w:ascii="仿宋_GB2312" w:hAnsi="宋体" w:eastAsia="仿宋_GB2312" w:cs="仿宋_GB2312"/>
          <w:color w:val="000000"/>
          <w:kern w:val="0"/>
          <w:sz w:val="32"/>
          <w:szCs w:val="32"/>
          <w:shd w:val="clear" w:color="auto" w:fill="FFFFFF"/>
          <w:lang w:bidi="ar"/>
        </w:rPr>
      </w:pPr>
      <w:r>
        <w:rPr>
          <w:rFonts w:ascii="仿宋_GB2312" w:hAnsi="宋体" w:eastAsia="仿宋_GB2312" w:cs="仿宋_GB2312"/>
          <w:color w:val="000000"/>
          <w:kern w:val="0"/>
          <w:sz w:val="32"/>
          <w:szCs w:val="32"/>
          <w:shd w:val="clear" w:color="auto" w:fill="FFFFFF"/>
          <w:lang w:bidi="ar"/>
        </w:rPr>
        <w:t>（三）改进建议</w:t>
      </w:r>
    </w:p>
    <w:p>
      <w:pPr>
        <w:widowControl/>
        <w:adjustRightInd w:val="0"/>
        <w:snapToGrid w:val="0"/>
        <w:spacing w:line="560" w:lineRule="exact"/>
        <w:ind w:firstLine="640" w:firstLineChars="200"/>
        <w:contextualSpacing/>
        <w:jc w:val="left"/>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1.加强学习，提高思想认识。组织单位财务人员认真学习《预算法》、《项目支出绩效评价》等文件精神及相关法规、制度，提高单位领导对全面预算管理及绩效评价工作的重视程度，增强意识。</w:t>
      </w:r>
    </w:p>
    <w:p>
      <w:pPr>
        <w:widowControl/>
        <w:adjustRightInd w:val="0"/>
        <w:snapToGrid w:val="0"/>
        <w:spacing w:line="560" w:lineRule="exact"/>
        <w:ind w:firstLine="640" w:firstLineChars="200"/>
        <w:contextualSpacing/>
        <w:jc w:val="left"/>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2.提高预算编制的可操作性，强化预算执行约束力，尽量减少预算调整。</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3、明确的财务监控监督措施</w:t>
      </w:r>
    </w:p>
    <w:p>
      <w:pPr>
        <w:pStyle w:val="2"/>
        <w:rPr>
          <w:rFonts w:hint="eastAsia" w:ascii="仿宋_GB2312" w:hAnsi="仿宋_GB2312" w:eastAsia="仿宋_GB2312" w:cs="仿宋_GB2312"/>
          <w:color w:val="000000"/>
          <w:kern w:val="0"/>
          <w:sz w:val="32"/>
          <w:szCs w:val="32"/>
          <w:lang w:val="en-US" w:eastAsia="zh-CN" w:bidi="ar"/>
        </w:rPr>
      </w:pPr>
    </w:p>
    <w:p>
      <w:pPr>
        <w:rPr>
          <w:rFonts w:hint="eastAsia" w:ascii="仿宋_GB2312" w:hAnsi="仿宋_GB2312" w:eastAsia="仿宋_GB2312" w:cs="仿宋_GB2312"/>
          <w:color w:val="000000"/>
          <w:kern w:val="0"/>
          <w:sz w:val="32"/>
          <w:szCs w:val="32"/>
          <w:lang w:val="en-US" w:eastAsia="zh-CN" w:bidi="ar"/>
        </w:rPr>
      </w:pPr>
    </w:p>
    <w:p>
      <w:pPr>
        <w:pStyle w:val="2"/>
        <w:ind w:firstLine="2560" w:firstLineChars="800"/>
        <w:rPr>
          <w:rFonts w:hint="eastAsia" w:ascii="仿宋_GB2312" w:hAnsi="仿宋_GB2312" w:eastAsia="仿宋_GB2312" w:cs="仿宋_GB2312"/>
          <w:color w:val="000000"/>
          <w:kern w:val="0"/>
          <w:sz w:val="32"/>
          <w:szCs w:val="32"/>
          <w:lang w:val="en-US" w:eastAsia="zh-CN" w:bidi="ar"/>
        </w:rPr>
      </w:pPr>
    </w:p>
    <w:p>
      <w:pPr>
        <w:pStyle w:val="2"/>
        <w:rPr>
          <w:rFonts w:ascii="仿宋_GB2312" w:hAnsi="仿宋_GB2312" w:eastAsia="仿宋_GB2312" w:cs="仿宋_GB2312"/>
          <w:color w:val="000000"/>
          <w:kern w:val="0"/>
          <w:sz w:val="32"/>
          <w:szCs w:val="32"/>
          <w:lang w:bidi="ar"/>
        </w:rPr>
      </w:pPr>
    </w:p>
    <w:p>
      <w:pPr>
        <w:widowControl w:val="0"/>
        <w:numPr>
          <w:ilvl w:val="0"/>
          <w:numId w:val="0"/>
        </w:numPr>
        <w:spacing w:line="580" w:lineRule="exact"/>
        <w:jc w:val="both"/>
        <w:rPr>
          <w:rFonts w:hint="eastAsia" w:ascii="仿宋_GB2312" w:hAnsi="仿宋_GB2312" w:eastAsia="仿宋_GB2312" w:cs="仿宋_GB2312"/>
          <w:sz w:val="32"/>
          <w:szCs w:val="32"/>
        </w:rPr>
      </w:pPr>
    </w:p>
    <w:p>
      <w:pPr>
        <w:widowControl w:val="0"/>
        <w:numPr>
          <w:ilvl w:val="0"/>
          <w:numId w:val="0"/>
        </w:numPr>
        <w:spacing w:line="580" w:lineRule="exact"/>
        <w:jc w:val="both"/>
        <w:rPr>
          <w:rFonts w:hint="eastAsia"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outlineLvl w:val="0"/>
        <w:rPr>
          <w:rFonts w:hint="default" w:ascii="Times New Roman" w:hAnsi="Times New Roman" w:eastAsia="方正小标宋_GBK" w:cs="Times New Roman"/>
          <w:b w:val="0"/>
          <w:bCs/>
          <w:sz w:val="44"/>
          <w:szCs w:val="44"/>
          <w:lang w:val="en-US" w:eastAsia="zh-CN"/>
        </w:rPr>
      </w:pPr>
      <w:r>
        <w:rPr>
          <w:rFonts w:hint="default" w:ascii="Times New Roman" w:hAnsi="Times New Roman" w:eastAsia="方正小标宋_GBK" w:cs="Times New Roman"/>
          <w:b w:val="0"/>
          <w:bCs/>
          <w:sz w:val="44"/>
          <w:szCs w:val="44"/>
          <w:lang w:val="en-US" w:eastAsia="zh-CN"/>
        </w:rPr>
        <w:t>壤塘县自然资源局关于</w:t>
      </w:r>
    </w:p>
    <w:p>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outlineLvl w:val="0"/>
        <w:rPr>
          <w:rFonts w:hint="default" w:ascii="Times New Roman" w:hAnsi="Times New Roman" w:eastAsia="方正小标宋_GBK" w:cs="Times New Roman"/>
          <w:b/>
          <w:sz w:val="44"/>
          <w:szCs w:val="44"/>
        </w:rPr>
      </w:pPr>
      <w:r>
        <w:rPr>
          <w:rFonts w:hint="default" w:ascii="Times New Roman" w:hAnsi="Times New Roman" w:eastAsia="方正小标宋_GBK" w:cs="Times New Roman"/>
          <w:b w:val="0"/>
          <w:bCs/>
          <w:sz w:val="44"/>
          <w:szCs w:val="44"/>
          <w:lang w:val="en-US" w:eastAsia="zh-CN"/>
        </w:rPr>
        <w:t>章光村尔伊崩塌治理工程采购项目</w:t>
      </w:r>
      <w:r>
        <w:rPr>
          <w:rFonts w:hint="default" w:ascii="Times New Roman" w:hAnsi="Times New Roman" w:eastAsia="方正小标宋_GBK" w:cs="Times New Roman"/>
          <w:b w:val="0"/>
          <w:bCs/>
          <w:sz w:val="44"/>
          <w:szCs w:val="44"/>
        </w:rPr>
        <w:t>政府采购执行情况绩效评价</w:t>
      </w:r>
      <w:r>
        <w:rPr>
          <w:rFonts w:hint="default" w:ascii="Times New Roman" w:hAnsi="Times New Roman" w:eastAsia="方正小标宋_GBK" w:cs="Times New Roman"/>
          <w:b w:val="0"/>
          <w:bCs/>
          <w:sz w:val="44"/>
          <w:szCs w:val="44"/>
          <w:lang w:eastAsia="zh-CN"/>
        </w:rPr>
        <w:t>的</w:t>
      </w:r>
      <w:r>
        <w:rPr>
          <w:rFonts w:hint="default" w:ascii="Times New Roman" w:hAnsi="Times New Roman" w:eastAsia="方正小标宋_GBK" w:cs="Times New Roman"/>
          <w:b w:val="0"/>
          <w:bCs/>
          <w:sz w:val="44"/>
          <w:szCs w:val="44"/>
        </w:rPr>
        <w:t>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700" w:lineRule="exact"/>
        <w:jc w:val="left"/>
        <w:textAlignment w:val="auto"/>
        <w:rPr>
          <w:rFonts w:hint="default" w:ascii="Times New Roman" w:hAnsi="Times New Roman" w:eastAsia="仿宋_GB2312" w:cs="Times New Roman"/>
          <w:b w:val="0"/>
          <w:bCs/>
          <w:sz w:val="32"/>
          <w:szCs w:val="32"/>
          <w:lang w:val="en-US" w:eastAsia="zh-CN"/>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jc w:val="left"/>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县财政局：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按照《壤塘县财政局关于开展2022年度财政政策、项目支出、政府采购项目绩效评价自评工作的通知》（壤财监绩</w:t>
      </w:r>
      <w:r>
        <w:rPr>
          <w:rFonts w:hint="default" w:ascii="Times New Roman" w:hAnsi="Times New Roman" w:eastAsia="仿宋_GB2312" w:cs="Times New Roman"/>
          <w:bCs/>
          <w:sz w:val="32"/>
          <w:szCs w:val="32"/>
        </w:rPr>
        <w:t>〔202</w:t>
      </w:r>
      <w:r>
        <w:rPr>
          <w:rFonts w:hint="default"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sz w:val="32"/>
          <w:szCs w:val="32"/>
          <w:lang w:val="en-US" w:eastAsia="zh-CN"/>
        </w:rPr>
        <w:t>号）文件要求，现将我局绩效评价自评报告如下：</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一、采购项目基本情况</w:t>
      </w:r>
      <w:r>
        <w:rPr>
          <w:rFonts w:hint="default" w:ascii="Times New Roman" w:hAnsi="Times New Roman" w:eastAsia="黑体" w:cs="Times New Roman"/>
          <w:b w:val="0"/>
          <w:bCs/>
          <w:sz w:val="32"/>
          <w:szCs w:val="32"/>
        </w:rPr>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采购计划</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eastAsia="zh-CN"/>
        </w:rPr>
        <w:t>计划采购时间为202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月，计划采购金额为</w:t>
      </w:r>
      <w:r>
        <w:rPr>
          <w:rFonts w:hint="default" w:ascii="Times New Roman" w:hAnsi="Times New Roman" w:eastAsia="仿宋_GB2312" w:cs="Times New Roman"/>
          <w:sz w:val="32"/>
          <w:szCs w:val="32"/>
          <w:lang w:val="en-US" w:eastAsia="zh-CN"/>
        </w:rPr>
        <w:t>230</w:t>
      </w:r>
      <w:r>
        <w:rPr>
          <w:rFonts w:hint="default" w:ascii="Times New Roman" w:hAnsi="Times New Roman" w:eastAsia="仿宋_GB2312" w:cs="Times New Roman"/>
          <w:sz w:val="32"/>
          <w:szCs w:val="32"/>
          <w:lang w:eastAsia="zh-CN"/>
        </w:rPr>
        <w:t>万元。</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eastAsia="zh-CN"/>
        </w:rPr>
        <w:t>）采购组织实施。</w:t>
      </w:r>
      <w:r>
        <w:rPr>
          <w:rFonts w:hint="default" w:ascii="Times New Roman" w:hAnsi="Times New Roman" w:eastAsia="仿宋_GB2312" w:cs="Times New Roman"/>
          <w:sz w:val="32"/>
          <w:szCs w:val="32"/>
          <w:lang w:eastAsia="zh-CN"/>
        </w:rPr>
        <w:t>项目于202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日通过</w:t>
      </w:r>
      <w:r>
        <w:rPr>
          <w:rFonts w:hint="default" w:ascii="Times New Roman" w:hAnsi="Times New Roman" w:eastAsia="仿宋_GB2312" w:cs="Times New Roman"/>
          <w:sz w:val="32"/>
          <w:szCs w:val="32"/>
          <w:lang w:val="en-US" w:eastAsia="zh-CN"/>
        </w:rPr>
        <w:t>四川政府采购网发布意向公开公告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于2022年6月30日在壤塘县公共资源交易中心进行资格预审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2022年7月完成招投标工作</w:t>
      </w:r>
      <w:r>
        <w:rPr>
          <w:rFonts w:hint="default" w:ascii="Times New Roman" w:hAnsi="Times New Roman" w:eastAsia="仿宋_GB2312" w:cs="Times New Roman"/>
          <w:sz w:val="32"/>
          <w:szCs w:val="32"/>
          <w:lang w:eastAsia="zh-CN"/>
        </w:rPr>
        <w:t>，最终中标单位为</w:t>
      </w:r>
      <w:r>
        <w:rPr>
          <w:rFonts w:hint="default" w:ascii="Times New Roman" w:hAnsi="Times New Roman" w:eastAsia="仿宋_GB2312" w:cs="Times New Roman"/>
          <w:sz w:val="32"/>
          <w:szCs w:val="32"/>
          <w:lang w:val="en-US" w:eastAsia="zh-CN"/>
        </w:rPr>
        <w:t>湖南省四一六队基础工程有限</w:t>
      </w:r>
      <w:r>
        <w:rPr>
          <w:rFonts w:hint="default" w:ascii="Times New Roman" w:hAnsi="Times New Roman" w:eastAsia="仿宋_GB2312" w:cs="Times New Roman"/>
          <w:sz w:val="32"/>
          <w:szCs w:val="32"/>
          <w:lang w:eastAsia="zh-CN"/>
        </w:rPr>
        <w:t>公司，中标金额</w:t>
      </w:r>
      <w:r>
        <w:rPr>
          <w:rFonts w:hint="default" w:ascii="Times New Roman" w:hAnsi="Times New Roman" w:eastAsia="仿宋_GB2312" w:cs="Times New Roman"/>
          <w:sz w:val="32"/>
          <w:szCs w:val="32"/>
          <w:lang w:val="en-US" w:eastAsia="zh-CN"/>
        </w:rPr>
        <w:t>162.871226万</w:t>
      </w:r>
      <w:r>
        <w:rPr>
          <w:rFonts w:hint="default" w:ascii="Times New Roman" w:hAnsi="Times New Roman" w:eastAsia="仿宋_GB2312" w:cs="Times New Roman"/>
          <w:sz w:val="32"/>
          <w:szCs w:val="32"/>
          <w:lang w:eastAsia="zh-CN"/>
        </w:rPr>
        <w:t>元，中标时间202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年6月16日，合同签订时间202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年7月</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eastAsia="zh-CN"/>
        </w:rPr>
        <w:t>日。</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3"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）采购小组。</w:t>
      </w:r>
      <w:r>
        <w:rPr>
          <w:rFonts w:hint="default" w:ascii="Times New Roman" w:hAnsi="Times New Roman" w:eastAsia="仿宋_GB2312" w:cs="Times New Roman"/>
          <w:sz w:val="32"/>
          <w:szCs w:val="32"/>
          <w:lang w:val="en-US" w:eastAsia="zh-CN"/>
        </w:rPr>
        <w:t>该项目由我单位</w:t>
      </w:r>
      <w:r>
        <w:rPr>
          <w:rFonts w:hint="eastAsia" w:ascii="Times New Roman" w:hAnsi="Times New Roman" w:eastAsia="仿宋_GB2312" w:cs="Times New Roman"/>
          <w:sz w:val="32"/>
          <w:szCs w:val="32"/>
          <w:lang w:val="en-US" w:eastAsia="zh-CN"/>
        </w:rPr>
        <w:t>自然生态保护股</w:t>
      </w:r>
      <w:r>
        <w:rPr>
          <w:rFonts w:hint="default" w:ascii="Times New Roman" w:hAnsi="Times New Roman" w:eastAsia="仿宋_GB2312" w:cs="Times New Roman"/>
          <w:sz w:val="32"/>
          <w:szCs w:val="32"/>
          <w:lang w:val="en-US" w:eastAsia="zh-CN"/>
        </w:rPr>
        <w:t>经办，</w:t>
      </w:r>
      <w:r>
        <w:rPr>
          <w:rFonts w:hint="eastAsia"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val="en-US" w:eastAsia="zh-CN"/>
        </w:rPr>
        <w:t>负责人为魏建鸿，通过公开透明的方式进行政府采购确定中标单位</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四</w:t>
      </w:r>
      <w:r>
        <w:rPr>
          <w:rFonts w:hint="default" w:ascii="Times New Roman" w:hAnsi="Times New Roman" w:eastAsia="楷体_GB2312" w:cs="Times New Roman"/>
          <w:b/>
          <w:bCs/>
          <w:sz w:val="32"/>
          <w:szCs w:val="32"/>
          <w:lang w:eastAsia="zh-CN"/>
        </w:rPr>
        <w:t>）采购结果。</w:t>
      </w:r>
      <w:r>
        <w:rPr>
          <w:rFonts w:hint="default" w:ascii="Times New Roman" w:hAnsi="Times New Roman" w:eastAsia="仿宋_GB2312" w:cs="Times New Roman"/>
          <w:sz w:val="32"/>
          <w:szCs w:val="32"/>
          <w:lang w:eastAsia="zh-CN"/>
        </w:rPr>
        <w:t>中标单位为</w:t>
      </w:r>
      <w:r>
        <w:rPr>
          <w:rFonts w:hint="default" w:ascii="Times New Roman" w:hAnsi="Times New Roman" w:eastAsia="仿宋_GB2312" w:cs="Times New Roman"/>
          <w:sz w:val="32"/>
          <w:szCs w:val="32"/>
          <w:lang w:val="en-US" w:eastAsia="zh-CN"/>
        </w:rPr>
        <w:t>湖南省四一六队基础工程有限</w:t>
      </w:r>
      <w:r>
        <w:rPr>
          <w:rFonts w:hint="default" w:ascii="Times New Roman" w:hAnsi="Times New Roman" w:eastAsia="仿宋_GB2312" w:cs="Times New Roman"/>
          <w:sz w:val="32"/>
          <w:szCs w:val="32"/>
          <w:lang w:eastAsia="zh-CN"/>
        </w:rPr>
        <w:t>公司，中标金额</w:t>
      </w:r>
      <w:r>
        <w:rPr>
          <w:rFonts w:hint="default" w:ascii="Times New Roman" w:hAnsi="Times New Roman" w:eastAsia="仿宋_GB2312" w:cs="Times New Roman"/>
          <w:sz w:val="32"/>
          <w:szCs w:val="32"/>
          <w:lang w:val="en-US" w:eastAsia="zh-CN"/>
        </w:rPr>
        <w:t>162.871226万</w:t>
      </w:r>
      <w:r>
        <w:rPr>
          <w:rFonts w:hint="default" w:ascii="Times New Roman" w:hAnsi="Times New Roman" w:eastAsia="仿宋_GB2312" w:cs="Times New Roman"/>
          <w:sz w:val="32"/>
          <w:szCs w:val="32"/>
          <w:lang w:eastAsia="zh-CN"/>
        </w:rPr>
        <w:t>元，中标时间202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年6月16日，合同签订时间202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年7月</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eastAsia="zh-CN"/>
        </w:rPr>
        <w:t>日。</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sz w:val="32"/>
          <w:szCs w:val="32"/>
          <w:lang w:eastAsia="zh-CN"/>
        </w:rPr>
        <w:t>（一）</w:t>
      </w:r>
      <w:r>
        <w:rPr>
          <w:rFonts w:hint="default" w:ascii="Times New Roman" w:hAnsi="Times New Roman" w:eastAsia="仿宋_GB2312" w:cs="Times New Roman"/>
          <w:color w:val="auto"/>
          <w:sz w:val="32"/>
          <w:szCs w:val="32"/>
        </w:rPr>
        <w:t>成立评价小组情况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成立了由自然资源局局长为评价小组组长，自然生态保护股</w:t>
      </w:r>
      <w:r>
        <w:rPr>
          <w:rFonts w:hint="eastAsia" w:ascii="Times New Roman" w:hAnsi="Times New Roman" w:eastAsia="仿宋_GB2312" w:cs="Times New Roman"/>
          <w:color w:val="auto"/>
          <w:sz w:val="32"/>
          <w:szCs w:val="32"/>
          <w:lang w:val="en-US" w:eastAsia="zh-CN"/>
        </w:rPr>
        <w:t>工作</w:t>
      </w:r>
      <w:r>
        <w:rPr>
          <w:rFonts w:hint="default" w:ascii="Times New Roman" w:hAnsi="Times New Roman" w:eastAsia="仿宋_GB2312" w:cs="Times New Roman"/>
          <w:color w:val="auto"/>
          <w:sz w:val="32"/>
          <w:szCs w:val="32"/>
          <w:lang w:val="en-US" w:eastAsia="zh-CN"/>
        </w:rPr>
        <w:t>人员为小组成员</w:t>
      </w:r>
      <w:r>
        <w:rPr>
          <w:rFonts w:hint="eastAsia" w:ascii="Times New Roman" w:hAnsi="Times New Roman" w:eastAsia="仿宋_GB2312" w:cs="Times New Roman"/>
          <w:color w:val="auto"/>
          <w:sz w:val="32"/>
          <w:szCs w:val="32"/>
          <w:lang w:val="en-US" w:eastAsia="zh-CN"/>
        </w:rPr>
        <w:t>的评价小组</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sz w:val="32"/>
          <w:szCs w:val="32"/>
          <w:lang w:eastAsia="zh-CN"/>
        </w:rPr>
        <w:t>（二）</w:t>
      </w:r>
      <w:r>
        <w:rPr>
          <w:rFonts w:hint="default" w:ascii="Times New Roman" w:hAnsi="Times New Roman" w:eastAsia="仿宋_GB2312" w:cs="Times New Roman"/>
          <w:color w:val="auto"/>
          <w:sz w:val="32"/>
          <w:szCs w:val="32"/>
        </w:rPr>
        <w:t>绩效评价表中的绩效评价因素的评价情况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我局对该项目绩效评价表中的绩效评价因素进行公平、合理的评价。</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eastAsia="zh-CN"/>
        </w:rPr>
        <w:t>（三）</w:t>
      </w:r>
      <w:r>
        <w:rPr>
          <w:rFonts w:hint="default" w:ascii="Times New Roman" w:hAnsi="Times New Roman" w:eastAsia="仿宋_GB2312" w:cs="Times New Roman"/>
          <w:sz w:val="32"/>
          <w:szCs w:val="32"/>
        </w:rPr>
        <w:t>政府采购合同公告与备案情况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在规定时间内完成了项目采购合同公告与备案。</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sz w:val="32"/>
          <w:szCs w:val="32"/>
          <w:lang w:eastAsia="zh-CN"/>
        </w:rPr>
        <w:t>（四）</w:t>
      </w:r>
      <w:r>
        <w:rPr>
          <w:rFonts w:hint="default" w:ascii="Times New Roman" w:hAnsi="Times New Roman" w:eastAsia="仿宋_GB2312" w:cs="Times New Roman"/>
          <w:sz w:val="32"/>
          <w:szCs w:val="32"/>
        </w:rPr>
        <w:t>采购预算执行情况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eastAsia="zh-CN"/>
        </w:rPr>
        <w:t>采购预算金额</w:t>
      </w:r>
      <w:r>
        <w:rPr>
          <w:rFonts w:hint="default" w:ascii="Times New Roman" w:hAnsi="Times New Roman" w:eastAsia="仿宋_GB2312" w:cs="Times New Roman"/>
          <w:color w:val="auto"/>
          <w:sz w:val="32"/>
          <w:szCs w:val="32"/>
          <w:lang w:val="en-US" w:eastAsia="zh-CN"/>
        </w:rPr>
        <w:t>230</w:t>
      </w:r>
      <w:r>
        <w:rPr>
          <w:rFonts w:hint="default" w:ascii="Times New Roman" w:hAnsi="Times New Roman" w:eastAsia="仿宋_GB2312" w:cs="Times New Roman"/>
          <w:color w:val="auto"/>
          <w:sz w:val="32"/>
          <w:szCs w:val="32"/>
          <w:lang w:eastAsia="zh-CN"/>
        </w:rPr>
        <w:t>万元，中标金额为</w:t>
      </w:r>
      <w:r>
        <w:rPr>
          <w:rFonts w:hint="default" w:ascii="Times New Roman" w:hAnsi="Times New Roman" w:eastAsia="仿宋_GB2312" w:cs="Times New Roman"/>
          <w:color w:val="auto"/>
          <w:sz w:val="32"/>
          <w:szCs w:val="32"/>
          <w:lang w:val="en-US" w:eastAsia="zh-CN"/>
        </w:rPr>
        <w:t>162.871226万</w:t>
      </w:r>
      <w:r>
        <w:rPr>
          <w:rFonts w:hint="default" w:ascii="Times New Roman" w:hAnsi="Times New Roman" w:eastAsia="仿宋_GB2312" w:cs="Times New Roman"/>
          <w:color w:val="auto"/>
          <w:sz w:val="32"/>
          <w:szCs w:val="32"/>
          <w:lang w:eastAsia="zh-CN"/>
        </w:rPr>
        <w:t>元，</w:t>
      </w:r>
      <w:r>
        <w:rPr>
          <w:rFonts w:hint="eastAsia" w:ascii="Times New Roman" w:hAnsi="Times New Roman" w:eastAsia="仿宋_GB2312" w:cs="Times New Roman"/>
          <w:color w:val="auto"/>
          <w:sz w:val="32"/>
          <w:szCs w:val="32"/>
          <w:lang w:val="en-US" w:eastAsia="zh-CN"/>
        </w:rPr>
        <w:t>审定金额174.1193万元，</w:t>
      </w:r>
      <w:r>
        <w:rPr>
          <w:rFonts w:hint="default" w:ascii="Times New Roman" w:hAnsi="Times New Roman" w:eastAsia="仿宋_GB2312" w:cs="Times New Roman"/>
          <w:color w:val="auto"/>
          <w:sz w:val="32"/>
          <w:szCs w:val="32"/>
          <w:lang w:val="en-US" w:eastAsia="zh-CN"/>
        </w:rPr>
        <w:t>目前已拨付工程款</w:t>
      </w:r>
      <w:r>
        <w:rPr>
          <w:rFonts w:hint="eastAsia" w:ascii="Times New Roman" w:hAnsi="Times New Roman" w:eastAsia="仿宋_GB2312" w:cs="Times New Roman"/>
          <w:color w:val="auto"/>
          <w:sz w:val="32"/>
          <w:szCs w:val="32"/>
          <w:lang w:val="en-US" w:eastAsia="zh-CN"/>
        </w:rPr>
        <w:t>168.8956万</w:t>
      </w:r>
      <w:r>
        <w:rPr>
          <w:rFonts w:hint="default" w:ascii="Times New Roman" w:hAnsi="Times New Roman" w:eastAsia="仿宋_GB2312" w:cs="Times New Roman"/>
          <w:color w:val="auto"/>
          <w:sz w:val="32"/>
          <w:szCs w:val="32"/>
          <w:lang w:val="en-US" w:eastAsia="zh-CN"/>
        </w:rPr>
        <w:t>元。</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eastAsia="zh-CN"/>
        </w:rPr>
        <w:t>（五）</w:t>
      </w:r>
      <w:r>
        <w:rPr>
          <w:rFonts w:hint="default" w:ascii="Times New Roman" w:hAnsi="Times New Roman" w:eastAsia="仿宋_GB2312" w:cs="Times New Roman"/>
          <w:sz w:val="32"/>
          <w:szCs w:val="32"/>
        </w:rPr>
        <w:t>采购履约验收情况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项目于2022年8月17日</w:t>
      </w:r>
      <w:r>
        <w:rPr>
          <w:rFonts w:hint="eastAsia" w:ascii="Times New Roman" w:hAnsi="Times New Roman" w:eastAsia="仿宋_GB2312" w:cs="Times New Roman"/>
          <w:sz w:val="32"/>
          <w:szCs w:val="32"/>
          <w:lang w:val="en-US" w:eastAsia="zh-CN"/>
        </w:rPr>
        <w:t>县级部门</w:t>
      </w:r>
      <w:r>
        <w:rPr>
          <w:rFonts w:hint="default" w:ascii="Times New Roman" w:hAnsi="Times New Roman" w:eastAsia="仿宋_GB2312" w:cs="Times New Roman"/>
          <w:sz w:val="32"/>
          <w:szCs w:val="32"/>
          <w:lang w:val="en-US" w:eastAsia="zh-CN"/>
        </w:rPr>
        <w:t>进行初步验收，于2022年11月23日进行最终验收，验收组织部门为阿坝州自然资源局。</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楷体_GB2312" w:cs="Times New Roman"/>
          <w:b/>
          <w:bCs/>
          <w:sz w:val="32"/>
          <w:szCs w:val="32"/>
          <w:lang w:eastAsia="zh-CN"/>
        </w:rPr>
        <w:t>（一）</w:t>
      </w:r>
      <w:r>
        <w:rPr>
          <w:rFonts w:hint="default" w:ascii="Times New Roman" w:hAnsi="Times New Roman" w:eastAsia="仿宋_GB2312" w:cs="Times New Roman"/>
          <w:kern w:val="0"/>
          <w:sz w:val="32"/>
          <w:szCs w:val="32"/>
        </w:rPr>
        <w:t>组织实施政府采购活动中</w:t>
      </w:r>
      <w:r>
        <w:rPr>
          <w:rFonts w:hint="default" w:ascii="Times New Roman" w:hAnsi="Times New Roman" w:eastAsia="仿宋_GB2312" w:cs="Times New Roman"/>
          <w:kern w:val="0"/>
          <w:sz w:val="32"/>
          <w:szCs w:val="32"/>
          <w:lang w:val="en-US" w:eastAsia="zh-CN"/>
        </w:rPr>
        <w:t>严格按照</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政府采购法</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招投标法</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及相关法律法规要求</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楷体_GB2312" w:cs="Times New Roman"/>
          <w:b/>
          <w:bCs/>
          <w:sz w:val="32"/>
          <w:szCs w:val="32"/>
          <w:lang w:eastAsia="zh-CN"/>
        </w:rPr>
        <w:t>（二）</w:t>
      </w:r>
      <w:r>
        <w:rPr>
          <w:rFonts w:hint="default" w:ascii="Times New Roman" w:hAnsi="Times New Roman" w:eastAsia="仿宋_GB2312" w:cs="Times New Roman"/>
          <w:kern w:val="0"/>
          <w:sz w:val="32"/>
          <w:szCs w:val="32"/>
          <w:lang w:val="en-US" w:eastAsia="zh-CN"/>
        </w:rPr>
        <w:t>按照公开透明、公平竞争、公正和诚实守信的原则及法定程序，规范政府采购行为；</w:t>
      </w:r>
      <w:r>
        <w:rPr>
          <w:rFonts w:hint="default" w:ascii="Times New Roman" w:hAnsi="Times New Roman" w:eastAsia="仿宋_GB2312" w:cs="Times New Roman"/>
          <w:color w:val="auto"/>
          <w:kern w:val="0"/>
          <w:sz w:val="32"/>
          <w:szCs w:val="32"/>
          <w:lang w:val="en-US" w:eastAsia="zh-CN"/>
        </w:rPr>
        <w:t>公开招标信息、完备招标文件内容、公开进行开标、公开中标结果；在规定时间内实施完成政府采购活动；严格按照公开招标条件和程序办事，同等对待每一位竞争者。</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b/>
          <w:bCs/>
          <w:color w:val="auto"/>
          <w:sz w:val="32"/>
          <w:szCs w:val="32"/>
          <w:lang w:eastAsia="zh-CN"/>
        </w:rPr>
        <w:t>（三）</w:t>
      </w:r>
      <w:r>
        <w:rPr>
          <w:rFonts w:hint="default" w:ascii="Times New Roman" w:hAnsi="Times New Roman" w:eastAsia="仿宋_GB2312" w:cs="Times New Roman"/>
          <w:color w:val="auto"/>
          <w:kern w:val="0"/>
          <w:sz w:val="32"/>
          <w:szCs w:val="32"/>
        </w:rPr>
        <w:t>政府采购结果物有所值，政府采购活动参与者和采购项目使用人或者受益者满意度</w:t>
      </w:r>
      <w:r>
        <w:rPr>
          <w:rFonts w:hint="default" w:ascii="Times New Roman" w:hAnsi="Times New Roman" w:eastAsia="仿宋_GB2312" w:cs="Times New Roman"/>
          <w:color w:val="auto"/>
          <w:kern w:val="0"/>
          <w:sz w:val="32"/>
          <w:szCs w:val="32"/>
          <w:lang w:val="en-US" w:eastAsia="zh-CN"/>
        </w:rPr>
        <w:t>达98%。</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楷体_GB2312" w:cs="Times New Roman"/>
          <w:b/>
          <w:bCs/>
          <w:color w:val="auto"/>
          <w:sz w:val="32"/>
          <w:szCs w:val="32"/>
          <w:lang w:eastAsia="zh-CN"/>
        </w:rPr>
        <w:t>（四）</w:t>
      </w:r>
      <w:r>
        <w:rPr>
          <w:rFonts w:hint="default" w:ascii="Times New Roman" w:hAnsi="Times New Roman" w:eastAsia="仿宋_GB2312" w:cs="Times New Roman"/>
          <w:color w:val="auto"/>
          <w:kern w:val="0"/>
          <w:sz w:val="32"/>
          <w:szCs w:val="32"/>
        </w:rPr>
        <w:t>政府采购合同各方当事人诚实信用情况。</w:t>
      </w:r>
      <w:r>
        <w:rPr>
          <w:rFonts w:hint="default" w:ascii="Times New Roman" w:hAnsi="Times New Roman" w:eastAsia="仿宋_GB2312" w:cs="Times New Roman"/>
          <w:color w:val="auto"/>
          <w:kern w:val="0"/>
          <w:sz w:val="32"/>
          <w:szCs w:val="32"/>
          <w:lang w:val="en-US" w:eastAsia="zh-CN"/>
        </w:rPr>
        <w:t>双方在约定时间、地点按时签订合同，并履行合同条款。</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本项目为竞争性磋商采购项目，</w:t>
      </w:r>
      <w:r>
        <w:rPr>
          <w:rFonts w:hint="default" w:ascii="Times New Roman" w:hAnsi="Times New Roman" w:eastAsia="仿宋_GB2312" w:cs="Times New Roman"/>
          <w:sz w:val="32"/>
          <w:szCs w:val="32"/>
        </w:rPr>
        <w:t>绩效评价得分</w:t>
      </w:r>
      <w:r>
        <w:rPr>
          <w:rFonts w:hint="default" w:ascii="Times New Roman" w:hAnsi="Times New Roman" w:eastAsia="仿宋_GB2312" w:cs="Times New Roman"/>
          <w:color w:val="auto"/>
          <w:sz w:val="32"/>
          <w:szCs w:val="32"/>
          <w:lang w:val="en-US" w:eastAsia="zh-CN"/>
        </w:rPr>
        <w:t>合格</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default" w:ascii="Times New Roman" w:hAnsi="Times New Roman" w:eastAsia="仿宋_GB2312" w:cs="Times New Roman"/>
          <w:b/>
          <w:sz w:val="32"/>
          <w:szCs w:val="32"/>
        </w:rPr>
      </w:pPr>
      <w:r>
        <w:rPr>
          <w:rFonts w:hint="default" w:ascii="Times New Roman" w:hAnsi="Times New Roman" w:eastAsia="黑体" w:cs="Times New Roman"/>
          <w:b w:val="0"/>
          <w:bCs/>
          <w:sz w:val="32"/>
          <w:szCs w:val="32"/>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消除了壤塘县章光村尔伊崩塌地质灾害隐患，预防及治理地灾隐患点，能有效保护周边群众生命财产安全。</w:t>
      </w:r>
    </w:p>
    <w:p>
      <w:pPr>
        <w:keepNext w:val="0"/>
        <w:keepLines w:val="0"/>
        <w:pageBreakBefore w:val="0"/>
        <w:widowControl w:val="0"/>
        <w:numPr>
          <w:ilvl w:val="0"/>
          <w:numId w:val="7"/>
        </w:numPr>
        <w:tabs>
          <w:tab w:val="left" w:pos="3885"/>
        </w:tabs>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采购存在问题</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本采购项目合法、合规，不存在相关问题。</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640" w:firstLineChars="200"/>
        <w:jc w:val="left"/>
        <w:textAlignment w:val="auto"/>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七、采购相关建议</w:t>
      </w:r>
    </w:p>
    <w:p>
      <w:pPr>
        <w:keepNext w:val="0"/>
        <w:keepLines w:val="0"/>
        <w:pageBreakBefore w:val="0"/>
        <w:widowControl w:val="0"/>
        <w:kinsoku/>
        <w:wordWrap/>
        <w:overflowPunct/>
        <w:topLinePunct w:val="0"/>
        <w:autoSpaceDE/>
        <w:autoSpaceDN/>
        <w:bidi w:val="0"/>
        <w:adjustRightInd/>
        <w:spacing w:after="120" w:line="560" w:lineRule="exact"/>
        <w:ind w:left="0" w:leftChars="0"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w:t>
      </w:r>
      <w:r>
        <w:rPr>
          <w:rFonts w:hint="default" w:ascii="Times New Roman" w:hAnsi="Times New Roman" w:eastAsia="仿宋_GB2312" w:cs="Times New Roman"/>
          <w:kern w:val="2"/>
          <w:sz w:val="32"/>
          <w:szCs w:val="32"/>
          <w:lang w:val="en-US" w:eastAsia="zh-CN" w:bidi="ar-SA"/>
        </w:rPr>
        <w:t>增强依法采购意识，自觉遵守政府采购法律规定。加大政府采购政策法规等方面的培训宣传力度；</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加强政府采购监督，建立政府采购监督机制。采购各个环节监督到位，实行事前、事中和事后全过程的监督。</w:t>
      </w:r>
    </w:p>
    <w:p>
      <w:pPr>
        <w:widowControl w:val="0"/>
        <w:spacing w:after="120"/>
        <w:ind w:left="420" w:leftChars="200" w:firstLine="640" w:firstLineChars="200"/>
        <w:jc w:val="both"/>
        <w:rPr>
          <w:rFonts w:hint="default" w:ascii="Times New Roman" w:hAnsi="Times New Roman" w:eastAsia="仿宋_GB2312" w:cs="Times New Roman"/>
          <w:kern w:val="2"/>
          <w:sz w:val="32"/>
          <w:szCs w:val="32"/>
          <w:lang w:val="en-US" w:eastAsia="zh-CN" w:bidi="ar-SA"/>
        </w:rPr>
      </w:pPr>
    </w:p>
    <w:p>
      <w:pPr>
        <w:rPr>
          <w:rFonts w:hint="default" w:ascii="Times New Roman" w:hAnsi="Times New Roman" w:eastAsia="仿宋_GB2312" w:cs="Times New Roman"/>
          <w:sz w:val="32"/>
          <w:szCs w:val="32"/>
          <w:lang w:val="en-US" w:eastAsia="zh-CN"/>
        </w:rPr>
      </w:pPr>
    </w:p>
    <w:p>
      <w:pPr>
        <w:widowControl w:val="0"/>
        <w:spacing w:after="120"/>
        <w:ind w:left="420" w:leftChars="200" w:firstLine="640" w:firstLineChars="200"/>
        <w:jc w:val="both"/>
        <w:rPr>
          <w:rFonts w:hint="default" w:ascii="Times New Roman" w:hAnsi="Times New Roman" w:eastAsia="仿宋_GB2312" w:cs="Times New Roman"/>
          <w:kern w:val="2"/>
          <w:sz w:val="32"/>
          <w:szCs w:val="32"/>
          <w:lang w:val="en-US" w:eastAsia="zh-CN" w:bidi="ar-SA"/>
        </w:rPr>
      </w:pPr>
    </w:p>
    <w:p>
      <w:pPr>
        <w:rPr>
          <w:rFonts w:hint="default" w:ascii="Times New Roman" w:hAnsi="Times New Roman" w:eastAsia="仿宋_GB2312" w:cs="Times New Roman"/>
          <w:sz w:val="32"/>
          <w:szCs w:val="32"/>
          <w:lang w:val="en-US" w:eastAsia="zh-CN"/>
        </w:rPr>
      </w:pPr>
    </w:p>
    <w:p>
      <w:pPr>
        <w:widowControl/>
        <w:jc w:val="left"/>
        <w:rPr>
          <w:rStyle w:val="21"/>
          <w:rFonts w:ascii="仿宋" w:hAnsi="仿宋" w:eastAsia="仿宋"/>
          <w:b w:val="0"/>
          <w:sz w:val="32"/>
          <w:szCs w:val="32"/>
        </w:rPr>
      </w:pPr>
    </w:p>
    <w:p>
      <w:pPr>
        <w:widowControl/>
        <w:jc w:val="left"/>
        <w:rPr>
          <w:rStyle w:val="21"/>
          <w:rFonts w:ascii="黑体" w:hAnsi="黑体" w:eastAsia="黑体"/>
          <w:b w:val="0"/>
        </w:rPr>
      </w:pPr>
      <w:r>
        <w:rPr>
          <w:rStyle w:val="21"/>
          <w:rFonts w:ascii="黑体" w:hAnsi="黑体" w:eastAsia="黑体"/>
          <w:b w:val="0"/>
        </w:rPr>
        <w:br w:type="page"/>
      </w:r>
    </w:p>
    <w:p>
      <w:pPr>
        <w:spacing w:line="600" w:lineRule="exact"/>
        <w:jc w:val="center"/>
        <w:outlineLvl w:val="0"/>
        <w:rPr>
          <w:rStyle w:val="21"/>
          <w:rFonts w:ascii="黑体" w:hAnsi="黑体" w:eastAsia="黑体"/>
          <w:b w:val="0"/>
        </w:rPr>
      </w:pPr>
      <w:bookmarkStart w:id="80" w:name="_Toc15396618"/>
      <w:bookmarkStart w:id="81" w:name="_Toc11265"/>
      <w:r>
        <w:rPr>
          <w:rFonts w:hint="eastAsia" w:ascii="黑体" w:hAnsi="黑体" w:eastAsia="黑体"/>
          <w:color w:val="000000"/>
          <w:sz w:val="44"/>
          <w:szCs w:val="44"/>
        </w:rPr>
        <w:t>第</w:t>
      </w:r>
      <w:r>
        <w:rPr>
          <w:rStyle w:val="21"/>
          <w:rFonts w:hint="eastAsia" w:ascii="黑体" w:hAnsi="黑体" w:eastAsia="黑体"/>
          <w:b w:val="0"/>
        </w:rPr>
        <w:t>五部分</w:t>
      </w:r>
      <w:r>
        <w:rPr>
          <w:rStyle w:val="21"/>
          <w:rFonts w:hint="eastAsia" w:ascii="黑体" w:hAnsi="黑体" w:eastAsia="黑体"/>
          <w:b w:val="0"/>
          <w:lang w:val="en-US" w:eastAsia="zh-CN"/>
        </w:rPr>
        <w:t xml:space="preserve"> </w:t>
      </w:r>
      <w:r>
        <w:rPr>
          <w:rStyle w:val="21"/>
          <w:rFonts w:hint="eastAsia" w:ascii="黑体" w:hAnsi="黑体" w:eastAsia="黑体"/>
          <w:b w:val="0"/>
        </w:rPr>
        <w:t>附表</w:t>
      </w:r>
      <w:bookmarkEnd w:id="73"/>
      <w:bookmarkEnd w:id="80"/>
      <w:bookmarkEnd w:id="81"/>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82" w:name="_Toc24678"/>
      <w:bookmarkStart w:id="83" w:name="_Toc15396619"/>
      <w:r>
        <w:rPr>
          <w:rFonts w:hint="eastAsia" w:ascii="仿宋" w:hAnsi="仿宋" w:eastAsia="仿宋"/>
          <w:b w:val="0"/>
          <w:color w:val="000000"/>
        </w:rPr>
        <w:t>一、收</w:t>
      </w:r>
      <w:r>
        <w:rPr>
          <w:rStyle w:val="22"/>
          <w:rFonts w:hint="eastAsia" w:ascii="仿宋" w:hAnsi="仿宋" w:eastAsia="仿宋"/>
          <w:b w:val="0"/>
          <w:bCs w:val="0"/>
        </w:rPr>
        <w:t>入支出决算总表</w:t>
      </w:r>
      <w:bookmarkEnd w:id="82"/>
      <w:bookmarkEnd w:id="83"/>
    </w:p>
    <w:p>
      <w:pPr>
        <w:pStyle w:val="5"/>
        <w:rPr>
          <w:rFonts w:ascii="仿宋" w:hAnsi="仿宋" w:eastAsia="仿宋"/>
          <w:color w:val="000000"/>
        </w:rPr>
      </w:pPr>
      <w:bookmarkStart w:id="84" w:name="_Toc15396620"/>
      <w:bookmarkStart w:id="85" w:name="_Toc28773"/>
      <w:r>
        <w:rPr>
          <w:rFonts w:hint="eastAsia" w:ascii="仿宋" w:hAnsi="仿宋" w:eastAsia="仿宋"/>
          <w:b w:val="0"/>
          <w:color w:val="000000"/>
        </w:rPr>
        <w:t>二、收</w:t>
      </w:r>
      <w:r>
        <w:rPr>
          <w:rStyle w:val="22"/>
          <w:rFonts w:hint="eastAsia" w:ascii="仿宋" w:hAnsi="仿宋" w:eastAsia="仿宋"/>
          <w:b w:val="0"/>
          <w:bCs w:val="0"/>
        </w:rPr>
        <w:t>入决算表</w:t>
      </w:r>
      <w:bookmarkEnd w:id="84"/>
      <w:bookmarkEnd w:id="85"/>
    </w:p>
    <w:p>
      <w:pPr>
        <w:pStyle w:val="5"/>
        <w:rPr>
          <w:rFonts w:ascii="仿宋" w:hAnsi="仿宋" w:eastAsia="仿宋"/>
          <w:color w:val="000000"/>
        </w:rPr>
      </w:pPr>
      <w:bookmarkStart w:id="86" w:name="_Toc25551"/>
      <w:bookmarkStart w:id="87" w:name="_Toc15396621"/>
      <w:r>
        <w:rPr>
          <w:rStyle w:val="22"/>
          <w:rFonts w:hint="eastAsia" w:ascii="仿宋" w:hAnsi="仿宋" w:eastAsia="仿宋"/>
          <w:b w:val="0"/>
          <w:bCs w:val="0"/>
        </w:rPr>
        <w:t>三、</w:t>
      </w:r>
      <w:r>
        <w:rPr>
          <w:rFonts w:hint="eastAsia" w:ascii="仿宋" w:hAnsi="仿宋" w:eastAsia="仿宋"/>
          <w:b w:val="0"/>
          <w:color w:val="000000"/>
        </w:rPr>
        <w:t>支</w:t>
      </w:r>
      <w:r>
        <w:rPr>
          <w:rStyle w:val="22"/>
          <w:rFonts w:hint="eastAsia" w:ascii="仿宋" w:hAnsi="仿宋" w:eastAsia="仿宋"/>
          <w:b w:val="0"/>
          <w:bCs w:val="0"/>
        </w:rPr>
        <w:t>出决算表</w:t>
      </w:r>
      <w:bookmarkEnd w:id="86"/>
      <w:bookmarkEnd w:id="87"/>
    </w:p>
    <w:p>
      <w:pPr>
        <w:pStyle w:val="5"/>
        <w:rPr>
          <w:rFonts w:ascii="仿宋" w:hAnsi="仿宋" w:eastAsia="仿宋"/>
          <w:b w:val="0"/>
          <w:color w:val="000000"/>
        </w:rPr>
      </w:pPr>
      <w:bookmarkStart w:id="88" w:name="_Toc15396622"/>
      <w:bookmarkStart w:id="89" w:name="_Toc24207"/>
      <w:r>
        <w:rPr>
          <w:rStyle w:val="22"/>
          <w:rFonts w:hint="eastAsia" w:ascii="仿宋" w:hAnsi="仿宋" w:eastAsia="仿宋"/>
          <w:b w:val="0"/>
          <w:bCs w:val="0"/>
        </w:rPr>
        <w:t>四、</w:t>
      </w:r>
      <w:r>
        <w:rPr>
          <w:rFonts w:hint="eastAsia" w:ascii="仿宋" w:hAnsi="仿宋" w:eastAsia="仿宋"/>
          <w:b w:val="0"/>
          <w:color w:val="000000"/>
        </w:rPr>
        <w:t>财</w:t>
      </w:r>
      <w:r>
        <w:rPr>
          <w:rStyle w:val="22"/>
          <w:rFonts w:hint="eastAsia" w:ascii="仿宋" w:hAnsi="仿宋" w:eastAsia="仿宋"/>
          <w:b w:val="0"/>
          <w:bCs w:val="0"/>
        </w:rPr>
        <w:t>政拨款收入支出决算总表</w:t>
      </w:r>
      <w:bookmarkEnd w:id="88"/>
      <w:bookmarkEnd w:id="89"/>
    </w:p>
    <w:p>
      <w:pPr>
        <w:pStyle w:val="5"/>
        <w:rPr>
          <w:rStyle w:val="22"/>
          <w:rFonts w:ascii="仿宋" w:hAnsi="仿宋" w:eastAsia="仿宋"/>
          <w:b w:val="0"/>
          <w:bCs w:val="0"/>
        </w:rPr>
      </w:pPr>
      <w:bookmarkStart w:id="90" w:name="_Toc29126"/>
      <w:bookmarkStart w:id="91" w:name="_Toc15396623"/>
      <w:r>
        <w:rPr>
          <w:rStyle w:val="22"/>
          <w:rFonts w:hint="eastAsia" w:ascii="仿宋" w:hAnsi="仿宋" w:eastAsia="仿宋"/>
          <w:b w:val="0"/>
          <w:bCs w:val="0"/>
        </w:rPr>
        <w:t>五、</w:t>
      </w:r>
      <w:r>
        <w:rPr>
          <w:rFonts w:hint="eastAsia" w:ascii="仿宋" w:hAnsi="仿宋" w:eastAsia="仿宋"/>
          <w:b w:val="0"/>
          <w:color w:val="000000"/>
        </w:rPr>
        <w:t>财</w:t>
      </w:r>
      <w:r>
        <w:rPr>
          <w:rStyle w:val="22"/>
          <w:rFonts w:hint="eastAsia" w:ascii="仿宋" w:hAnsi="仿宋" w:eastAsia="仿宋"/>
          <w:b w:val="0"/>
          <w:bCs w:val="0"/>
        </w:rPr>
        <w:t>政拨款支出决算明细表</w:t>
      </w:r>
      <w:bookmarkEnd w:id="90"/>
      <w:bookmarkEnd w:id="91"/>
      <w:bookmarkStart w:id="92" w:name="_Toc15396624"/>
    </w:p>
    <w:p>
      <w:pPr>
        <w:pStyle w:val="5"/>
        <w:rPr>
          <w:rFonts w:ascii="仿宋" w:hAnsi="仿宋" w:eastAsia="仿宋"/>
          <w:color w:val="000000"/>
        </w:rPr>
      </w:pPr>
      <w:bookmarkStart w:id="93" w:name="_Toc26221"/>
      <w:r>
        <w:rPr>
          <w:rStyle w:val="22"/>
          <w:rFonts w:hint="eastAsia" w:ascii="仿宋" w:hAnsi="仿宋" w:eastAsia="仿宋"/>
          <w:b w:val="0"/>
          <w:bCs w:val="0"/>
        </w:rPr>
        <w:t>六、</w:t>
      </w:r>
      <w:r>
        <w:rPr>
          <w:rFonts w:hint="eastAsia" w:ascii="仿宋" w:hAnsi="仿宋" w:eastAsia="仿宋"/>
          <w:b w:val="0"/>
          <w:color w:val="000000"/>
        </w:rPr>
        <w:t>一</w:t>
      </w:r>
      <w:r>
        <w:rPr>
          <w:rStyle w:val="22"/>
          <w:rFonts w:hint="eastAsia" w:ascii="仿宋" w:hAnsi="仿宋" w:eastAsia="仿宋"/>
          <w:b w:val="0"/>
          <w:bCs w:val="0"/>
        </w:rPr>
        <w:t>般公共预算财政拨款支出决算表</w:t>
      </w:r>
      <w:bookmarkEnd w:id="92"/>
      <w:bookmarkEnd w:id="93"/>
    </w:p>
    <w:p>
      <w:pPr>
        <w:pStyle w:val="5"/>
        <w:rPr>
          <w:rFonts w:ascii="仿宋" w:hAnsi="仿宋" w:eastAsia="仿宋"/>
          <w:color w:val="000000"/>
        </w:rPr>
      </w:pPr>
      <w:bookmarkStart w:id="94" w:name="_Toc15396625"/>
      <w:bookmarkStart w:id="95" w:name="_Toc4994"/>
      <w:r>
        <w:rPr>
          <w:rStyle w:val="22"/>
          <w:rFonts w:hint="eastAsia" w:ascii="仿宋" w:hAnsi="仿宋" w:eastAsia="仿宋"/>
          <w:b w:val="0"/>
          <w:bCs w:val="0"/>
        </w:rPr>
        <w:t>七、</w:t>
      </w:r>
      <w:r>
        <w:rPr>
          <w:rFonts w:hint="eastAsia" w:ascii="仿宋" w:hAnsi="仿宋" w:eastAsia="仿宋"/>
          <w:b w:val="0"/>
          <w:color w:val="000000"/>
        </w:rPr>
        <w:t>一</w:t>
      </w:r>
      <w:r>
        <w:rPr>
          <w:rStyle w:val="22"/>
          <w:rFonts w:hint="eastAsia" w:ascii="仿宋" w:hAnsi="仿宋" w:eastAsia="仿宋"/>
          <w:b w:val="0"/>
          <w:bCs w:val="0"/>
        </w:rPr>
        <w:t>般公共预算财政拨款支出决算明细表</w:t>
      </w:r>
      <w:bookmarkEnd w:id="94"/>
      <w:bookmarkEnd w:id="95"/>
    </w:p>
    <w:p>
      <w:pPr>
        <w:pStyle w:val="5"/>
        <w:rPr>
          <w:rFonts w:ascii="仿宋" w:hAnsi="仿宋" w:eastAsia="仿宋"/>
          <w:color w:val="000000"/>
        </w:rPr>
      </w:pPr>
      <w:bookmarkStart w:id="96" w:name="_Toc15396626"/>
      <w:bookmarkStart w:id="97" w:name="_Toc26964"/>
      <w:r>
        <w:rPr>
          <w:rStyle w:val="22"/>
          <w:rFonts w:hint="eastAsia" w:ascii="仿宋" w:hAnsi="仿宋" w:eastAsia="仿宋"/>
          <w:b w:val="0"/>
          <w:bCs w:val="0"/>
        </w:rPr>
        <w:t>八、</w:t>
      </w:r>
      <w:r>
        <w:rPr>
          <w:rFonts w:hint="eastAsia" w:ascii="仿宋" w:hAnsi="仿宋" w:eastAsia="仿宋"/>
          <w:b w:val="0"/>
          <w:color w:val="000000"/>
        </w:rPr>
        <w:t>一</w:t>
      </w:r>
      <w:r>
        <w:rPr>
          <w:rStyle w:val="22"/>
          <w:rFonts w:hint="eastAsia" w:ascii="仿宋" w:hAnsi="仿宋" w:eastAsia="仿宋"/>
          <w:b w:val="0"/>
          <w:bCs w:val="0"/>
        </w:rPr>
        <w:t>般公共预算财政拨款基本支出决算表</w:t>
      </w:r>
      <w:bookmarkEnd w:id="96"/>
      <w:bookmarkEnd w:id="97"/>
    </w:p>
    <w:p>
      <w:pPr>
        <w:pStyle w:val="5"/>
        <w:rPr>
          <w:rFonts w:ascii="仿宋" w:hAnsi="仿宋" w:eastAsia="仿宋"/>
          <w:color w:val="000000"/>
        </w:rPr>
      </w:pPr>
      <w:bookmarkStart w:id="98" w:name="_Toc5655"/>
      <w:bookmarkStart w:id="99" w:name="_Toc79163894"/>
      <w:bookmarkStart w:id="100" w:name="_Toc79163644"/>
      <w:bookmarkStart w:id="101" w:name="_Toc15396627"/>
      <w:r>
        <w:rPr>
          <w:rStyle w:val="36"/>
          <w:rFonts w:hint="eastAsia" w:ascii="仿宋" w:hAnsi="仿宋" w:eastAsia="仿宋"/>
          <w:b w:val="0"/>
          <w:bCs w:val="0"/>
        </w:rPr>
        <w:t>九、</w:t>
      </w:r>
      <w:r>
        <w:rPr>
          <w:rFonts w:hint="eastAsia" w:ascii="仿宋" w:hAnsi="仿宋" w:eastAsia="仿宋"/>
          <w:b w:val="0"/>
          <w:color w:val="000000"/>
        </w:rPr>
        <w:t>一</w:t>
      </w:r>
      <w:r>
        <w:rPr>
          <w:rStyle w:val="36"/>
          <w:rFonts w:hint="eastAsia" w:ascii="仿宋" w:hAnsi="仿宋" w:eastAsia="仿宋"/>
          <w:b w:val="0"/>
          <w:bCs w:val="0"/>
        </w:rPr>
        <w:t>般公共预算财政拨款项目支出决算表</w:t>
      </w:r>
      <w:bookmarkEnd w:id="98"/>
      <w:bookmarkEnd w:id="99"/>
      <w:bookmarkEnd w:id="100"/>
      <w:bookmarkEnd w:id="101"/>
    </w:p>
    <w:p>
      <w:pPr>
        <w:pStyle w:val="5"/>
        <w:rPr>
          <w:rFonts w:ascii="仿宋" w:hAnsi="仿宋" w:eastAsia="仿宋"/>
          <w:color w:val="000000"/>
        </w:rPr>
      </w:pPr>
      <w:bookmarkStart w:id="102" w:name="_Toc79163895"/>
      <w:bookmarkStart w:id="103" w:name="_Toc79163645"/>
      <w:bookmarkStart w:id="104" w:name="_Toc15396628"/>
      <w:bookmarkStart w:id="105" w:name="_Toc29911"/>
      <w:r>
        <w:rPr>
          <w:rStyle w:val="36"/>
          <w:rFonts w:hint="eastAsia" w:ascii="仿宋" w:hAnsi="仿宋" w:eastAsia="仿宋"/>
          <w:b w:val="0"/>
          <w:bCs w:val="0"/>
        </w:rPr>
        <w:t>十、</w:t>
      </w:r>
      <w:bookmarkEnd w:id="102"/>
      <w:bookmarkEnd w:id="103"/>
      <w:bookmarkEnd w:id="104"/>
      <w:bookmarkStart w:id="106" w:name="_Toc79163646"/>
      <w:bookmarkStart w:id="107" w:name="_Toc15396629"/>
      <w:bookmarkStart w:id="108" w:name="_Toc79163896"/>
      <w:r>
        <w:rPr>
          <w:rFonts w:hint="eastAsia" w:ascii="仿宋" w:hAnsi="仿宋" w:eastAsia="仿宋"/>
          <w:b w:val="0"/>
          <w:color w:val="000000"/>
        </w:rPr>
        <w:t>政</w:t>
      </w:r>
      <w:r>
        <w:rPr>
          <w:rStyle w:val="36"/>
          <w:rFonts w:hint="eastAsia" w:ascii="仿宋" w:hAnsi="仿宋" w:eastAsia="仿宋"/>
          <w:b w:val="0"/>
          <w:bCs w:val="0"/>
        </w:rPr>
        <w:t>府性基金预算财政拨款收入支出决算表</w:t>
      </w:r>
      <w:bookmarkEnd w:id="105"/>
      <w:bookmarkEnd w:id="106"/>
      <w:bookmarkEnd w:id="107"/>
      <w:bookmarkEnd w:id="108"/>
    </w:p>
    <w:p>
      <w:pPr>
        <w:pStyle w:val="5"/>
        <w:rPr>
          <w:rStyle w:val="36"/>
          <w:rFonts w:ascii="仿宋" w:hAnsi="仿宋" w:eastAsia="仿宋"/>
          <w:b w:val="0"/>
          <w:bCs w:val="0"/>
        </w:rPr>
      </w:pPr>
      <w:bookmarkStart w:id="109" w:name="_Toc15396630"/>
      <w:bookmarkStart w:id="110" w:name="_Toc79163897"/>
      <w:bookmarkStart w:id="111" w:name="_Toc79163647"/>
      <w:bookmarkStart w:id="112" w:name="_Toc6767"/>
      <w:r>
        <w:rPr>
          <w:rStyle w:val="36"/>
          <w:rFonts w:hint="eastAsia" w:ascii="仿宋" w:hAnsi="仿宋" w:eastAsia="仿宋"/>
          <w:b w:val="0"/>
          <w:bCs w:val="0"/>
        </w:rPr>
        <w:t>十</w:t>
      </w:r>
      <w:bookmarkEnd w:id="109"/>
      <w:bookmarkEnd w:id="110"/>
      <w:bookmarkEnd w:id="111"/>
      <w:bookmarkStart w:id="113" w:name="_Toc79163898"/>
      <w:bookmarkStart w:id="114" w:name="_Toc79163648"/>
      <w:bookmarkStart w:id="115" w:name="_Toc15396631"/>
      <w:r>
        <w:rPr>
          <w:rStyle w:val="36"/>
          <w:rFonts w:hint="eastAsia" w:ascii="仿宋" w:hAnsi="仿宋" w:eastAsia="仿宋"/>
          <w:b w:val="0"/>
          <w:bCs w:val="0"/>
          <w:lang w:val="en-US" w:eastAsia="zh-CN"/>
        </w:rPr>
        <w:t>一</w:t>
      </w:r>
      <w:r>
        <w:rPr>
          <w:rStyle w:val="36"/>
          <w:rFonts w:hint="eastAsia" w:ascii="仿宋" w:hAnsi="仿宋" w:eastAsia="仿宋"/>
          <w:b w:val="0"/>
          <w:bCs w:val="0"/>
        </w:rPr>
        <w:t>、</w:t>
      </w:r>
      <w:r>
        <w:rPr>
          <w:rFonts w:hint="eastAsia" w:ascii="仿宋" w:hAnsi="仿宋" w:eastAsia="仿宋"/>
          <w:b w:val="0"/>
          <w:color w:val="000000"/>
        </w:rPr>
        <w:t>国</w:t>
      </w:r>
      <w:r>
        <w:rPr>
          <w:rStyle w:val="36"/>
          <w:rFonts w:hint="eastAsia" w:ascii="仿宋" w:hAnsi="仿宋" w:eastAsia="仿宋"/>
          <w:b w:val="0"/>
          <w:bCs w:val="0"/>
        </w:rPr>
        <w:t>有资本经营预算财政拨款</w:t>
      </w:r>
      <w:r>
        <w:rPr>
          <w:rStyle w:val="36"/>
          <w:rFonts w:hint="eastAsia" w:ascii="仿宋" w:hAnsi="仿宋" w:eastAsia="仿宋"/>
          <w:b w:val="0"/>
          <w:bCs w:val="0"/>
          <w:lang w:val="en-US" w:eastAsia="zh-CN"/>
        </w:rPr>
        <w:t>收入</w:t>
      </w:r>
      <w:r>
        <w:rPr>
          <w:rStyle w:val="36"/>
          <w:rFonts w:hint="eastAsia" w:ascii="仿宋" w:hAnsi="仿宋" w:eastAsia="仿宋"/>
          <w:b w:val="0"/>
          <w:bCs w:val="0"/>
        </w:rPr>
        <w:t>支出决算表</w:t>
      </w:r>
      <w:bookmarkEnd w:id="112"/>
      <w:bookmarkEnd w:id="113"/>
      <w:bookmarkEnd w:id="114"/>
      <w:bookmarkEnd w:id="115"/>
    </w:p>
    <w:p>
      <w:pPr>
        <w:pStyle w:val="5"/>
        <w:rPr>
          <w:rStyle w:val="36"/>
          <w:rFonts w:hint="eastAsia" w:ascii="仿宋" w:hAnsi="仿宋" w:eastAsia="仿宋"/>
          <w:b w:val="0"/>
          <w:bCs w:val="0"/>
        </w:rPr>
      </w:pPr>
      <w:bookmarkStart w:id="116" w:name="_Toc20812"/>
      <w:bookmarkStart w:id="117" w:name="_Toc79163649"/>
      <w:bookmarkStart w:id="118" w:name="_Toc79163899"/>
      <w:r>
        <w:rPr>
          <w:rStyle w:val="36"/>
          <w:rFonts w:hint="eastAsia" w:ascii="仿宋" w:hAnsi="仿宋" w:eastAsia="仿宋"/>
          <w:b w:val="0"/>
          <w:bCs w:val="0"/>
        </w:rPr>
        <w:t>十</w:t>
      </w:r>
      <w:r>
        <w:rPr>
          <w:rStyle w:val="36"/>
          <w:rFonts w:hint="eastAsia" w:ascii="仿宋" w:hAnsi="仿宋" w:eastAsia="仿宋"/>
          <w:b w:val="0"/>
          <w:bCs w:val="0"/>
          <w:lang w:val="en-US" w:eastAsia="zh-CN"/>
        </w:rPr>
        <w:t>二</w:t>
      </w:r>
      <w:r>
        <w:rPr>
          <w:rStyle w:val="36"/>
          <w:rFonts w:hint="eastAsia" w:ascii="仿宋" w:hAnsi="仿宋" w:eastAsia="仿宋"/>
          <w:b w:val="0"/>
          <w:bCs w:val="0"/>
        </w:rPr>
        <w:t>、国有资本经营预算财政拨款支出决算表</w:t>
      </w:r>
      <w:bookmarkEnd w:id="116"/>
      <w:bookmarkEnd w:id="117"/>
      <w:bookmarkEnd w:id="118"/>
    </w:p>
    <w:p>
      <w:bookmarkStart w:id="119" w:name="_Toc11835"/>
      <w:r>
        <w:rPr>
          <w:rStyle w:val="36"/>
          <w:rFonts w:hint="eastAsia" w:ascii="仿宋" w:hAnsi="仿宋" w:eastAsia="仿宋"/>
          <w:b w:val="0"/>
          <w:bCs w:val="0"/>
          <w:lang w:val="en-US" w:eastAsia="zh-CN"/>
        </w:rPr>
        <w:t>十三、</w:t>
      </w:r>
      <w:r>
        <w:rPr>
          <w:rStyle w:val="36"/>
          <w:rFonts w:hint="eastAsia" w:ascii="仿宋" w:hAnsi="仿宋" w:eastAsia="仿宋"/>
          <w:b w:val="0"/>
          <w:bCs w:val="0"/>
        </w:rPr>
        <w:t>财政拨款“三公”经费支出决算表</w:t>
      </w:r>
      <w:bookmarkEnd w:id="119"/>
    </w:p>
    <w:p>
      <w:pPr>
        <w:rPr>
          <w:rFonts w:ascii="仿宋" w:hAnsi="仿宋" w:eastAsia="仿宋"/>
          <w:color w:val="000000"/>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16</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16</w:t>
                    </w:r>
                    <w:r>
                      <w:rPr>
                        <w:lang w:val="zh-CN"/>
                      </w:rP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537FD"/>
    <w:multiLevelType w:val="singleLevel"/>
    <w:tmpl w:val="CE8537FD"/>
    <w:lvl w:ilvl="0" w:tentative="0">
      <w:start w:val="8"/>
      <w:numFmt w:val="decimal"/>
      <w:suff w:val="nothing"/>
      <w:lvlText w:val="%1、"/>
      <w:lvlJc w:val="left"/>
    </w:lvl>
  </w:abstractNum>
  <w:abstractNum w:abstractNumId="1">
    <w:nsid w:val="DAB7543A"/>
    <w:multiLevelType w:val="singleLevel"/>
    <w:tmpl w:val="DAB7543A"/>
    <w:lvl w:ilvl="0" w:tentative="0">
      <w:start w:val="6"/>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06CCE1D5"/>
    <w:multiLevelType w:val="singleLevel"/>
    <w:tmpl w:val="06CCE1D5"/>
    <w:lvl w:ilvl="0" w:tentative="0">
      <w:start w:val="4"/>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455"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43BF398C"/>
    <w:multiLevelType w:val="singleLevel"/>
    <w:tmpl w:val="43BF398C"/>
    <w:lvl w:ilvl="0" w:tentative="0">
      <w:start w:val="1"/>
      <w:numFmt w:val="chineseCounting"/>
      <w:suff w:val="nothing"/>
      <w:lvlText w:val="（%1）"/>
      <w:lvlJc w:val="left"/>
      <w:rPr>
        <w:rFonts w:hint="eastAsia"/>
      </w:rPr>
    </w:lvl>
  </w:abstractNum>
  <w:abstractNum w:abstractNumId="6">
    <w:nsid w:val="59FE396F"/>
    <w:multiLevelType w:val="multilevel"/>
    <w:tmpl w:val="59FE396F"/>
    <w:lvl w:ilvl="0" w:tentative="0">
      <w:start w:val="3"/>
      <w:numFmt w:val="japaneseCounting"/>
      <w:lvlText w:val="%1、"/>
      <w:lvlJc w:val="left"/>
      <w:pPr>
        <w:tabs>
          <w:tab w:val="left" w:pos="1455"/>
        </w:tabs>
        <w:ind w:left="1455" w:hanging="720"/>
      </w:pPr>
      <w:rPr>
        <w:rFonts w:hint="default" w:cs="Times New Roman"/>
      </w:rPr>
    </w:lvl>
    <w:lvl w:ilvl="1" w:tentative="0">
      <w:start w:val="1"/>
      <w:numFmt w:val="lowerLetter"/>
      <w:lvlText w:val="%2)"/>
      <w:lvlJc w:val="left"/>
      <w:pPr>
        <w:tabs>
          <w:tab w:val="left" w:pos="1575"/>
        </w:tabs>
        <w:ind w:left="1575" w:hanging="420"/>
      </w:pPr>
      <w:rPr>
        <w:rFonts w:cs="Times New Roman"/>
      </w:rPr>
    </w:lvl>
    <w:lvl w:ilvl="2" w:tentative="0">
      <w:start w:val="1"/>
      <w:numFmt w:val="lowerRoman"/>
      <w:lvlText w:val="%3."/>
      <w:lvlJc w:val="right"/>
      <w:pPr>
        <w:tabs>
          <w:tab w:val="left" w:pos="1995"/>
        </w:tabs>
        <w:ind w:left="1995" w:hanging="420"/>
      </w:pPr>
      <w:rPr>
        <w:rFonts w:cs="Times New Roman"/>
      </w:rPr>
    </w:lvl>
    <w:lvl w:ilvl="3" w:tentative="0">
      <w:start w:val="1"/>
      <w:numFmt w:val="decimal"/>
      <w:lvlText w:val="%4."/>
      <w:lvlJc w:val="left"/>
      <w:pPr>
        <w:tabs>
          <w:tab w:val="left" w:pos="2415"/>
        </w:tabs>
        <w:ind w:left="2415" w:hanging="420"/>
      </w:pPr>
      <w:rPr>
        <w:rFonts w:cs="Times New Roman"/>
      </w:rPr>
    </w:lvl>
    <w:lvl w:ilvl="4" w:tentative="0">
      <w:start w:val="1"/>
      <w:numFmt w:val="lowerLetter"/>
      <w:lvlText w:val="%5)"/>
      <w:lvlJc w:val="left"/>
      <w:pPr>
        <w:tabs>
          <w:tab w:val="left" w:pos="2835"/>
        </w:tabs>
        <w:ind w:left="2835" w:hanging="420"/>
      </w:pPr>
      <w:rPr>
        <w:rFonts w:cs="Times New Roman"/>
      </w:rPr>
    </w:lvl>
    <w:lvl w:ilvl="5" w:tentative="0">
      <w:start w:val="1"/>
      <w:numFmt w:val="lowerRoman"/>
      <w:lvlText w:val="%6."/>
      <w:lvlJc w:val="right"/>
      <w:pPr>
        <w:tabs>
          <w:tab w:val="left" w:pos="3255"/>
        </w:tabs>
        <w:ind w:left="3255" w:hanging="420"/>
      </w:pPr>
      <w:rPr>
        <w:rFonts w:cs="Times New Roman"/>
      </w:rPr>
    </w:lvl>
    <w:lvl w:ilvl="6" w:tentative="0">
      <w:start w:val="1"/>
      <w:numFmt w:val="decimal"/>
      <w:lvlText w:val="%7."/>
      <w:lvlJc w:val="left"/>
      <w:pPr>
        <w:tabs>
          <w:tab w:val="left" w:pos="3675"/>
        </w:tabs>
        <w:ind w:left="3675" w:hanging="420"/>
      </w:pPr>
      <w:rPr>
        <w:rFonts w:cs="Times New Roman"/>
      </w:rPr>
    </w:lvl>
    <w:lvl w:ilvl="7" w:tentative="0">
      <w:start w:val="1"/>
      <w:numFmt w:val="lowerLetter"/>
      <w:lvlText w:val="%8)"/>
      <w:lvlJc w:val="left"/>
      <w:pPr>
        <w:tabs>
          <w:tab w:val="left" w:pos="4095"/>
        </w:tabs>
        <w:ind w:left="4095" w:hanging="420"/>
      </w:pPr>
      <w:rPr>
        <w:rFonts w:cs="Times New Roman"/>
      </w:rPr>
    </w:lvl>
    <w:lvl w:ilvl="8" w:tentative="0">
      <w:start w:val="1"/>
      <w:numFmt w:val="lowerRoman"/>
      <w:lvlText w:val="%9."/>
      <w:lvlJc w:val="right"/>
      <w:pPr>
        <w:tabs>
          <w:tab w:val="left" w:pos="4515"/>
        </w:tabs>
        <w:ind w:left="4515" w:hanging="420"/>
      </w:pPr>
      <w:rPr>
        <w:rFonts w:cs="Times New Roman"/>
      </w:rPr>
    </w:lvl>
  </w:abstractNum>
  <w:num w:numId="1">
    <w:abstractNumId w:val="4"/>
  </w:num>
  <w:num w:numId="2">
    <w:abstractNumId w:val="6"/>
  </w:num>
  <w:num w:numId="3">
    <w:abstractNumId w:val="2"/>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F1361C"/>
    <w:rsid w:val="00001A4B"/>
    <w:rsid w:val="00017149"/>
    <w:rsid w:val="000222C6"/>
    <w:rsid w:val="0002549F"/>
    <w:rsid w:val="00034FBF"/>
    <w:rsid w:val="000369A6"/>
    <w:rsid w:val="000447ED"/>
    <w:rsid w:val="000468DB"/>
    <w:rsid w:val="0006487A"/>
    <w:rsid w:val="00065F8F"/>
    <w:rsid w:val="00070A43"/>
    <w:rsid w:val="000768F2"/>
    <w:rsid w:val="0008576E"/>
    <w:rsid w:val="00090BCC"/>
    <w:rsid w:val="0009184B"/>
    <w:rsid w:val="00093B9E"/>
    <w:rsid w:val="00094236"/>
    <w:rsid w:val="0009593C"/>
    <w:rsid w:val="00097322"/>
    <w:rsid w:val="00097D73"/>
    <w:rsid w:val="000A6A92"/>
    <w:rsid w:val="000B047F"/>
    <w:rsid w:val="000B3360"/>
    <w:rsid w:val="000B5923"/>
    <w:rsid w:val="000B5A48"/>
    <w:rsid w:val="000B6FF3"/>
    <w:rsid w:val="000C3467"/>
    <w:rsid w:val="000C3CA6"/>
    <w:rsid w:val="000D1267"/>
    <w:rsid w:val="000D1D50"/>
    <w:rsid w:val="000D5782"/>
    <w:rsid w:val="000E6613"/>
    <w:rsid w:val="000E7119"/>
    <w:rsid w:val="000F0DA3"/>
    <w:rsid w:val="00114E9B"/>
    <w:rsid w:val="00142216"/>
    <w:rsid w:val="00144D6A"/>
    <w:rsid w:val="0014729F"/>
    <w:rsid w:val="0015071B"/>
    <w:rsid w:val="00157BAB"/>
    <w:rsid w:val="0016459B"/>
    <w:rsid w:val="001654D1"/>
    <w:rsid w:val="00173021"/>
    <w:rsid w:val="001739A0"/>
    <w:rsid w:val="00174518"/>
    <w:rsid w:val="0018106D"/>
    <w:rsid w:val="00182C78"/>
    <w:rsid w:val="001877A7"/>
    <w:rsid w:val="00191536"/>
    <w:rsid w:val="00196687"/>
    <w:rsid w:val="001A70BD"/>
    <w:rsid w:val="001B0539"/>
    <w:rsid w:val="001B5EAA"/>
    <w:rsid w:val="001B66DB"/>
    <w:rsid w:val="001C0962"/>
    <w:rsid w:val="001D7531"/>
    <w:rsid w:val="001E737D"/>
    <w:rsid w:val="001F0592"/>
    <w:rsid w:val="001F7506"/>
    <w:rsid w:val="002006CD"/>
    <w:rsid w:val="00202B36"/>
    <w:rsid w:val="00204B7A"/>
    <w:rsid w:val="00204CDE"/>
    <w:rsid w:val="0021101A"/>
    <w:rsid w:val="00216C1A"/>
    <w:rsid w:val="00220536"/>
    <w:rsid w:val="00224E38"/>
    <w:rsid w:val="00235629"/>
    <w:rsid w:val="002547EF"/>
    <w:rsid w:val="00260C38"/>
    <w:rsid w:val="002616C0"/>
    <w:rsid w:val="00261C86"/>
    <w:rsid w:val="00265372"/>
    <w:rsid w:val="002662AA"/>
    <w:rsid w:val="00280496"/>
    <w:rsid w:val="0028436F"/>
    <w:rsid w:val="002852B1"/>
    <w:rsid w:val="00293101"/>
    <w:rsid w:val="00294DC9"/>
    <w:rsid w:val="00295495"/>
    <w:rsid w:val="00295730"/>
    <w:rsid w:val="002A31DE"/>
    <w:rsid w:val="002B2613"/>
    <w:rsid w:val="002D19B0"/>
    <w:rsid w:val="002D621D"/>
    <w:rsid w:val="002D6D05"/>
    <w:rsid w:val="002E6294"/>
    <w:rsid w:val="002F1818"/>
    <w:rsid w:val="002F43B0"/>
    <w:rsid w:val="002F567B"/>
    <w:rsid w:val="002F5DF8"/>
    <w:rsid w:val="00303C26"/>
    <w:rsid w:val="00304398"/>
    <w:rsid w:val="003216A9"/>
    <w:rsid w:val="00332147"/>
    <w:rsid w:val="00335A74"/>
    <w:rsid w:val="00340AFC"/>
    <w:rsid w:val="0036561B"/>
    <w:rsid w:val="0037013F"/>
    <w:rsid w:val="00374EBE"/>
    <w:rsid w:val="00374F1D"/>
    <w:rsid w:val="00377D7F"/>
    <w:rsid w:val="00380C92"/>
    <w:rsid w:val="0039005E"/>
    <w:rsid w:val="00392E13"/>
    <w:rsid w:val="003A484F"/>
    <w:rsid w:val="003A4883"/>
    <w:rsid w:val="003A7F2D"/>
    <w:rsid w:val="003B0BE0"/>
    <w:rsid w:val="003B0C1B"/>
    <w:rsid w:val="003B688C"/>
    <w:rsid w:val="003C0291"/>
    <w:rsid w:val="003C39AE"/>
    <w:rsid w:val="003C7B60"/>
    <w:rsid w:val="003D0C0F"/>
    <w:rsid w:val="003D1FB2"/>
    <w:rsid w:val="003D66DA"/>
    <w:rsid w:val="003E1310"/>
    <w:rsid w:val="003E6F55"/>
    <w:rsid w:val="003F6619"/>
    <w:rsid w:val="00406254"/>
    <w:rsid w:val="0041061E"/>
    <w:rsid w:val="004112B1"/>
    <w:rsid w:val="00416CD4"/>
    <w:rsid w:val="004223DE"/>
    <w:rsid w:val="0042683D"/>
    <w:rsid w:val="00434489"/>
    <w:rsid w:val="00437085"/>
    <w:rsid w:val="00443880"/>
    <w:rsid w:val="00445D13"/>
    <w:rsid w:val="004464F4"/>
    <w:rsid w:val="00454483"/>
    <w:rsid w:val="00471401"/>
    <w:rsid w:val="00473F31"/>
    <w:rsid w:val="00476AC3"/>
    <w:rsid w:val="0048263A"/>
    <w:rsid w:val="00487E5D"/>
    <w:rsid w:val="004A711F"/>
    <w:rsid w:val="004B199D"/>
    <w:rsid w:val="004B4690"/>
    <w:rsid w:val="004C149E"/>
    <w:rsid w:val="004E0A2D"/>
    <w:rsid w:val="004E1CE2"/>
    <w:rsid w:val="004E206B"/>
    <w:rsid w:val="004E49A0"/>
    <w:rsid w:val="004E6DF7"/>
    <w:rsid w:val="004F0FBD"/>
    <w:rsid w:val="004F403E"/>
    <w:rsid w:val="004F4EBD"/>
    <w:rsid w:val="004F7D85"/>
    <w:rsid w:val="00503F0E"/>
    <w:rsid w:val="00505A47"/>
    <w:rsid w:val="00510F26"/>
    <w:rsid w:val="00512FDA"/>
    <w:rsid w:val="00520DA0"/>
    <w:rsid w:val="00536470"/>
    <w:rsid w:val="00557C2D"/>
    <w:rsid w:val="005664BB"/>
    <w:rsid w:val="00566FFA"/>
    <w:rsid w:val="0057481D"/>
    <w:rsid w:val="00575F0B"/>
    <w:rsid w:val="00583063"/>
    <w:rsid w:val="0058486E"/>
    <w:rsid w:val="00585B33"/>
    <w:rsid w:val="0059014D"/>
    <w:rsid w:val="00594BB2"/>
    <w:rsid w:val="005A448D"/>
    <w:rsid w:val="005B4C46"/>
    <w:rsid w:val="005B5C64"/>
    <w:rsid w:val="005C219D"/>
    <w:rsid w:val="005C6BD0"/>
    <w:rsid w:val="005C6C4C"/>
    <w:rsid w:val="005D1C8B"/>
    <w:rsid w:val="005D468D"/>
    <w:rsid w:val="005D5CED"/>
    <w:rsid w:val="005E64E2"/>
    <w:rsid w:val="005F1A4C"/>
    <w:rsid w:val="005F2EF7"/>
    <w:rsid w:val="00605688"/>
    <w:rsid w:val="006070AF"/>
    <w:rsid w:val="00607E6C"/>
    <w:rsid w:val="006101B1"/>
    <w:rsid w:val="00614E44"/>
    <w:rsid w:val="0062270A"/>
    <w:rsid w:val="00622830"/>
    <w:rsid w:val="00623DA0"/>
    <w:rsid w:val="006267F5"/>
    <w:rsid w:val="00630AEF"/>
    <w:rsid w:val="006325F8"/>
    <w:rsid w:val="00633463"/>
    <w:rsid w:val="00634C9A"/>
    <w:rsid w:val="006440E4"/>
    <w:rsid w:val="0064499D"/>
    <w:rsid w:val="006525E9"/>
    <w:rsid w:val="006612F3"/>
    <w:rsid w:val="0066343B"/>
    <w:rsid w:val="00664777"/>
    <w:rsid w:val="006748A4"/>
    <w:rsid w:val="00681A31"/>
    <w:rsid w:val="00682724"/>
    <w:rsid w:val="00683E73"/>
    <w:rsid w:val="006876A4"/>
    <w:rsid w:val="006A3141"/>
    <w:rsid w:val="006A5E34"/>
    <w:rsid w:val="006A6E73"/>
    <w:rsid w:val="006B2422"/>
    <w:rsid w:val="006B2B9A"/>
    <w:rsid w:val="006B549F"/>
    <w:rsid w:val="006C1937"/>
    <w:rsid w:val="006D469D"/>
    <w:rsid w:val="006F020C"/>
    <w:rsid w:val="00705B66"/>
    <w:rsid w:val="00706AEF"/>
    <w:rsid w:val="00710783"/>
    <w:rsid w:val="00712609"/>
    <w:rsid w:val="007127B7"/>
    <w:rsid w:val="0071798E"/>
    <w:rsid w:val="00724ADC"/>
    <w:rsid w:val="00727533"/>
    <w:rsid w:val="007416B6"/>
    <w:rsid w:val="00746F48"/>
    <w:rsid w:val="00750B99"/>
    <w:rsid w:val="0075404D"/>
    <w:rsid w:val="0076182A"/>
    <w:rsid w:val="00767B7E"/>
    <w:rsid w:val="00770EC0"/>
    <w:rsid w:val="007770C3"/>
    <w:rsid w:val="00784D24"/>
    <w:rsid w:val="00785FBA"/>
    <w:rsid w:val="00786E4A"/>
    <w:rsid w:val="007875EB"/>
    <w:rsid w:val="0079426B"/>
    <w:rsid w:val="007B469C"/>
    <w:rsid w:val="007B662F"/>
    <w:rsid w:val="007C208D"/>
    <w:rsid w:val="007D1682"/>
    <w:rsid w:val="007D312A"/>
    <w:rsid w:val="007D3F19"/>
    <w:rsid w:val="007D5E3F"/>
    <w:rsid w:val="007E23B0"/>
    <w:rsid w:val="007F1991"/>
    <w:rsid w:val="007F2C2F"/>
    <w:rsid w:val="007F45ED"/>
    <w:rsid w:val="007F55FC"/>
    <w:rsid w:val="007F5665"/>
    <w:rsid w:val="00800112"/>
    <w:rsid w:val="00813348"/>
    <w:rsid w:val="0082241F"/>
    <w:rsid w:val="008253BB"/>
    <w:rsid w:val="00825838"/>
    <w:rsid w:val="00826F7E"/>
    <w:rsid w:val="00831A46"/>
    <w:rsid w:val="00831B1A"/>
    <w:rsid w:val="00833962"/>
    <w:rsid w:val="0083706E"/>
    <w:rsid w:val="008408F6"/>
    <w:rsid w:val="008423A5"/>
    <w:rsid w:val="00850625"/>
    <w:rsid w:val="00853718"/>
    <w:rsid w:val="00855221"/>
    <w:rsid w:val="00860645"/>
    <w:rsid w:val="0086651F"/>
    <w:rsid w:val="00871F71"/>
    <w:rsid w:val="00872FD8"/>
    <w:rsid w:val="00885AF4"/>
    <w:rsid w:val="008939CD"/>
    <w:rsid w:val="008B768C"/>
    <w:rsid w:val="008C4DB1"/>
    <w:rsid w:val="008C4EAF"/>
    <w:rsid w:val="008C5176"/>
    <w:rsid w:val="008C6606"/>
    <w:rsid w:val="008C7FD0"/>
    <w:rsid w:val="008E07A4"/>
    <w:rsid w:val="008E1DE7"/>
    <w:rsid w:val="008E707C"/>
    <w:rsid w:val="008F6878"/>
    <w:rsid w:val="00900B08"/>
    <w:rsid w:val="00902155"/>
    <w:rsid w:val="00902FA3"/>
    <w:rsid w:val="00905508"/>
    <w:rsid w:val="009177C4"/>
    <w:rsid w:val="00920AB2"/>
    <w:rsid w:val="00922C9D"/>
    <w:rsid w:val="00923564"/>
    <w:rsid w:val="0092392E"/>
    <w:rsid w:val="009315F9"/>
    <w:rsid w:val="00932529"/>
    <w:rsid w:val="00933499"/>
    <w:rsid w:val="00935C98"/>
    <w:rsid w:val="0094631F"/>
    <w:rsid w:val="00946945"/>
    <w:rsid w:val="00947096"/>
    <w:rsid w:val="00951248"/>
    <w:rsid w:val="0095152F"/>
    <w:rsid w:val="00954C49"/>
    <w:rsid w:val="00955E37"/>
    <w:rsid w:val="009645DC"/>
    <w:rsid w:val="0097099F"/>
    <w:rsid w:val="00971997"/>
    <w:rsid w:val="00971FFC"/>
    <w:rsid w:val="009763B5"/>
    <w:rsid w:val="0098064A"/>
    <w:rsid w:val="00981196"/>
    <w:rsid w:val="0098660A"/>
    <w:rsid w:val="00990348"/>
    <w:rsid w:val="009931C3"/>
    <w:rsid w:val="009A3126"/>
    <w:rsid w:val="009B2C43"/>
    <w:rsid w:val="009B4EAE"/>
    <w:rsid w:val="009B7573"/>
    <w:rsid w:val="009C0588"/>
    <w:rsid w:val="009C22F4"/>
    <w:rsid w:val="009C2E98"/>
    <w:rsid w:val="009C37FB"/>
    <w:rsid w:val="009D08E5"/>
    <w:rsid w:val="009D3447"/>
    <w:rsid w:val="009D4711"/>
    <w:rsid w:val="009E0EDD"/>
    <w:rsid w:val="009F02B9"/>
    <w:rsid w:val="009F1185"/>
    <w:rsid w:val="009F18CD"/>
    <w:rsid w:val="009F2A13"/>
    <w:rsid w:val="009F7527"/>
    <w:rsid w:val="009F7DFF"/>
    <w:rsid w:val="00A039ED"/>
    <w:rsid w:val="00A04EB0"/>
    <w:rsid w:val="00A12ED1"/>
    <w:rsid w:val="00A13CC1"/>
    <w:rsid w:val="00A16847"/>
    <w:rsid w:val="00A237D8"/>
    <w:rsid w:val="00A2592B"/>
    <w:rsid w:val="00A268C4"/>
    <w:rsid w:val="00A307CD"/>
    <w:rsid w:val="00A331C8"/>
    <w:rsid w:val="00A35117"/>
    <w:rsid w:val="00A40A00"/>
    <w:rsid w:val="00A4142F"/>
    <w:rsid w:val="00A422EB"/>
    <w:rsid w:val="00A45BB7"/>
    <w:rsid w:val="00A56DF2"/>
    <w:rsid w:val="00A56E6E"/>
    <w:rsid w:val="00A67AB5"/>
    <w:rsid w:val="00A733B2"/>
    <w:rsid w:val="00A741C2"/>
    <w:rsid w:val="00A84244"/>
    <w:rsid w:val="00A84BBB"/>
    <w:rsid w:val="00A91760"/>
    <w:rsid w:val="00A93B00"/>
    <w:rsid w:val="00A93C21"/>
    <w:rsid w:val="00AA70AC"/>
    <w:rsid w:val="00AB64C9"/>
    <w:rsid w:val="00AC3C6A"/>
    <w:rsid w:val="00AD0F83"/>
    <w:rsid w:val="00AD24B1"/>
    <w:rsid w:val="00AD5620"/>
    <w:rsid w:val="00AD656B"/>
    <w:rsid w:val="00AD7C1B"/>
    <w:rsid w:val="00AE16BA"/>
    <w:rsid w:val="00AE1EBE"/>
    <w:rsid w:val="00AE3E67"/>
    <w:rsid w:val="00AE4B53"/>
    <w:rsid w:val="00AE566E"/>
    <w:rsid w:val="00AE67C7"/>
    <w:rsid w:val="00AF37A0"/>
    <w:rsid w:val="00AF6BEF"/>
    <w:rsid w:val="00AF712F"/>
    <w:rsid w:val="00AF7535"/>
    <w:rsid w:val="00B03C9D"/>
    <w:rsid w:val="00B060AE"/>
    <w:rsid w:val="00B10517"/>
    <w:rsid w:val="00B14E76"/>
    <w:rsid w:val="00B161B8"/>
    <w:rsid w:val="00B1758E"/>
    <w:rsid w:val="00B2048C"/>
    <w:rsid w:val="00B20CD4"/>
    <w:rsid w:val="00B310B9"/>
    <w:rsid w:val="00B35F3F"/>
    <w:rsid w:val="00B36CBB"/>
    <w:rsid w:val="00B425E0"/>
    <w:rsid w:val="00B440AA"/>
    <w:rsid w:val="00B44B70"/>
    <w:rsid w:val="00B53C56"/>
    <w:rsid w:val="00B565E9"/>
    <w:rsid w:val="00B57DAF"/>
    <w:rsid w:val="00B77EA6"/>
    <w:rsid w:val="00B806CD"/>
    <w:rsid w:val="00B81598"/>
    <w:rsid w:val="00B841F1"/>
    <w:rsid w:val="00B9061A"/>
    <w:rsid w:val="00B944D6"/>
    <w:rsid w:val="00BB4DF0"/>
    <w:rsid w:val="00BB67C8"/>
    <w:rsid w:val="00BB7235"/>
    <w:rsid w:val="00BC289F"/>
    <w:rsid w:val="00BC2D50"/>
    <w:rsid w:val="00BC3909"/>
    <w:rsid w:val="00BC5361"/>
    <w:rsid w:val="00BC5460"/>
    <w:rsid w:val="00BC6B50"/>
    <w:rsid w:val="00BD0E25"/>
    <w:rsid w:val="00BE36A1"/>
    <w:rsid w:val="00BF21E1"/>
    <w:rsid w:val="00BF5BD6"/>
    <w:rsid w:val="00C03E31"/>
    <w:rsid w:val="00C3005E"/>
    <w:rsid w:val="00C30E69"/>
    <w:rsid w:val="00C33E72"/>
    <w:rsid w:val="00C34837"/>
    <w:rsid w:val="00C354B2"/>
    <w:rsid w:val="00C35554"/>
    <w:rsid w:val="00C42709"/>
    <w:rsid w:val="00C4409F"/>
    <w:rsid w:val="00C533CC"/>
    <w:rsid w:val="00C538BA"/>
    <w:rsid w:val="00C54342"/>
    <w:rsid w:val="00C54BB7"/>
    <w:rsid w:val="00C5751C"/>
    <w:rsid w:val="00C61BFC"/>
    <w:rsid w:val="00C62B85"/>
    <w:rsid w:val="00C65438"/>
    <w:rsid w:val="00C67C38"/>
    <w:rsid w:val="00C737EA"/>
    <w:rsid w:val="00C91CBB"/>
    <w:rsid w:val="00C927CA"/>
    <w:rsid w:val="00C964EA"/>
    <w:rsid w:val="00CA108F"/>
    <w:rsid w:val="00CB4E70"/>
    <w:rsid w:val="00CC09B6"/>
    <w:rsid w:val="00CC666F"/>
    <w:rsid w:val="00CD1E3F"/>
    <w:rsid w:val="00CE37C0"/>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54A0"/>
    <w:rsid w:val="00D51276"/>
    <w:rsid w:val="00D656E0"/>
    <w:rsid w:val="00D7035F"/>
    <w:rsid w:val="00DA634F"/>
    <w:rsid w:val="00DA65AC"/>
    <w:rsid w:val="00DB1913"/>
    <w:rsid w:val="00DB34EB"/>
    <w:rsid w:val="00DC410D"/>
    <w:rsid w:val="00DC5A81"/>
    <w:rsid w:val="00DC68CA"/>
    <w:rsid w:val="00DC7CBA"/>
    <w:rsid w:val="00DD73B7"/>
    <w:rsid w:val="00DE3FEF"/>
    <w:rsid w:val="00DF28BC"/>
    <w:rsid w:val="00DF34B9"/>
    <w:rsid w:val="00DF7548"/>
    <w:rsid w:val="00E01053"/>
    <w:rsid w:val="00E07ACF"/>
    <w:rsid w:val="00E17F83"/>
    <w:rsid w:val="00E22B3B"/>
    <w:rsid w:val="00E27666"/>
    <w:rsid w:val="00E27FAA"/>
    <w:rsid w:val="00E31FAA"/>
    <w:rsid w:val="00E331A1"/>
    <w:rsid w:val="00E33202"/>
    <w:rsid w:val="00E336A9"/>
    <w:rsid w:val="00E45560"/>
    <w:rsid w:val="00E472B1"/>
    <w:rsid w:val="00E50624"/>
    <w:rsid w:val="00E568DF"/>
    <w:rsid w:val="00E57750"/>
    <w:rsid w:val="00E6131B"/>
    <w:rsid w:val="00E6270F"/>
    <w:rsid w:val="00E64269"/>
    <w:rsid w:val="00E66797"/>
    <w:rsid w:val="00E82267"/>
    <w:rsid w:val="00E8259C"/>
    <w:rsid w:val="00E853CE"/>
    <w:rsid w:val="00E867B6"/>
    <w:rsid w:val="00E87F08"/>
    <w:rsid w:val="00E95D77"/>
    <w:rsid w:val="00EA010F"/>
    <w:rsid w:val="00EC3446"/>
    <w:rsid w:val="00ED13A4"/>
    <w:rsid w:val="00ED1486"/>
    <w:rsid w:val="00ED1B63"/>
    <w:rsid w:val="00ED3C1F"/>
    <w:rsid w:val="00ED4085"/>
    <w:rsid w:val="00ED420E"/>
    <w:rsid w:val="00ED4CBC"/>
    <w:rsid w:val="00ED6FBE"/>
    <w:rsid w:val="00EE0860"/>
    <w:rsid w:val="00EE2F57"/>
    <w:rsid w:val="00EF4C34"/>
    <w:rsid w:val="00EF77C6"/>
    <w:rsid w:val="00F05438"/>
    <w:rsid w:val="00F1361C"/>
    <w:rsid w:val="00F142F8"/>
    <w:rsid w:val="00F156F0"/>
    <w:rsid w:val="00F160C7"/>
    <w:rsid w:val="00F2408F"/>
    <w:rsid w:val="00F240E9"/>
    <w:rsid w:val="00F36D8F"/>
    <w:rsid w:val="00F417B1"/>
    <w:rsid w:val="00F45853"/>
    <w:rsid w:val="00F53967"/>
    <w:rsid w:val="00F602DF"/>
    <w:rsid w:val="00F754A1"/>
    <w:rsid w:val="00F75A57"/>
    <w:rsid w:val="00F81FD9"/>
    <w:rsid w:val="00F841AA"/>
    <w:rsid w:val="00F84A94"/>
    <w:rsid w:val="00F87E96"/>
    <w:rsid w:val="00FA23E8"/>
    <w:rsid w:val="00FB0005"/>
    <w:rsid w:val="00FC2C38"/>
    <w:rsid w:val="00FD1D21"/>
    <w:rsid w:val="00FD3CC1"/>
    <w:rsid w:val="00FF1E02"/>
    <w:rsid w:val="00FF30B4"/>
    <w:rsid w:val="01B96D23"/>
    <w:rsid w:val="01C15B6B"/>
    <w:rsid w:val="02503C64"/>
    <w:rsid w:val="02CD0F14"/>
    <w:rsid w:val="03030C6B"/>
    <w:rsid w:val="048133A7"/>
    <w:rsid w:val="056344A2"/>
    <w:rsid w:val="05990C83"/>
    <w:rsid w:val="080671F5"/>
    <w:rsid w:val="090C191B"/>
    <w:rsid w:val="09783895"/>
    <w:rsid w:val="0AE37363"/>
    <w:rsid w:val="0BCE476E"/>
    <w:rsid w:val="0C2D7FF7"/>
    <w:rsid w:val="0CB1275D"/>
    <w:rsid w:val="0DC94845"/>
    <w:rsid w:val="0E396E51"/>
    <w:rsid w:val="0E750671"/>
    <w:rsid w:val="10C055FF"/>
    <w:rsid w:val="11552894"/>
    <w:rsid w:val="12A01714"/>
    <w:rsid w:val="14F41701"/>
    <w:rsid w:val="151906F5"/>
    <w:rsid w:val="163232C7"/>
    <w:rsid w:val="163E0221"/>
    <w:rsid w:val="16BB723D"/>
    <w:rsid w:val="16FD3799"/>
    <w:rsid w:val="17B17037"/>
    <w:rsid w:val="182061CD"/>
    <w:rsid w:val="18215DFB"/>
    <w:rsid w:val="18F074D7"/>
    <w:rsid w:val="198D798B"/>
    <w:rsid w:val="19BC68AC"/>
    <w:rsid w:val="1AE60FC2"/>
    <w:rsid w:val="1B3B0D5F"/>
    <w:rsid w:val="1B782763"/>
    <w:rsid w:val="1C767866"/>
    <w:rsid w:val="1C843524"/>
    <w:rsid w:val="1E362649"/>
    <w:rsid w:val="1E8B7304"/>
    <w:rsid w:val="1EC74FF2"/>
    <w:rsid w:val="20B2328B"/>
    <w:rsid w:val="216876E5"/>
    <w:rsid w:val="22033859"/>
    <w:rsid w:val="226C6064"/>
    <w:rsid w:val="240371BF"/>
    <w:rsid w:val="243C52EC"/>
    <w:rsid w:val="2510580D"/>
    <w:rsid w:val="26792CBE"/>
    <w:rsid w:val="287C14E5"/>
    <w:rsid w:val="292955A4"/>
    <w:rsid w:val="29FD04D3"/>
    <w:rsid w:val="2AFD4F6E"/>
    <w:rsid w:val="2B586420"/>
    <w:rsid w:val="2B6120C0"/>
    <w:rsid w:val="2B672DAA"/>
    <w:rsid w:val="2B85137D"/>
    <w:rsid w:val="2CD03624"/>
    <w:rsid w:val="2D9A195D"/>
    <w:rsid w:val="2DB33D5B"/>
    <w:rsid w:val="2E3920F2"/>
    <w:rsid w:val="30155A88"/>
    <w:rsid w:val="31440CF2"/>
    <w:rsid w:val="319F7F4E"/>
    <w:rsid w:val="375A470B"/>
    <w:rsid w:val="37805FC1"/>
    <w:rsid w:val="39C261B3"/>
    <w:rsid w:val="3AF17482"/>
    <w:rsid w:val="3AF71E0E"/>
    <w:rsid w:val="3B340AA8"/>
    <w:rsid w:val="3B3C5BF4"/>
    <w:rsid w:val="3CA144A6"/>
    <w:rsid w:val="3CA2192E"/>
    <w:rsid w:val="3DA65407"/>
    <w:rsid w:val="3EFC0BE2"/>
    <w:rsid w:val="3F2C15C5"/>
    <w:rsid w:val="411B2DF6"/>
    <w:rsid w:val="44D66589"/>
    <w:rsid w:val="44E624C6"/>
    <w:rsid w:val="45415EFF"/>
    <w:rsid w:val="4579599E"/>
    <w:rsid w:val="46862975"/>
    <w:rsid w:val="4749665A"/>
    <w:rsid w:val="47AD1D72"/>
    <w:rsid w:val="482575AD"/>
    <w:rsid w:val="49540DD9"/>
    <w:rsid w:val="4ACE2DBD"/>
    <w:rsid w:val="4ADB1DAC"/>
    <w:rsid w:val="4B0B0F69"/>
    <w:rsid w:val="4C455FBC"/>
    <w:rsid w:val="4DBC24B4"/>
    <w:rsid w:val="4E1032BE"/>
    <w:rsid w:val="4ECE2238"/>
    <w:rsid w:val="4F677BE1"/>
    <w:rsid w:val="4F6F7DBF"/>
    <w:rsid w:val="4FE23DED"/>
    <w:rsid w:val="511134BF"/>
    <w:rsid w:val="523F006C"/>
    <w:rsid w:val="541B5AB1"/>
    <w:rsid w:val="556C3172"/>
    <w:rsid w:val="56EC0A62"/>
    <w:rsid w:val="57E966F5"/>
    <w:rsid w:val="58C87628"/>
    <w:rsid w:val="58DF1232"/>
    <w:rsid w:val="59A977FF"/>
    <w:rsid w:val="5A8815B1"/>
    <w:rsid w:val="5BB81B69"/>
    <w:rsid w:val="5BBC0A18"/>
    <w:rsid w:val="5BC86D70"/>
    <w:rsid w:val="5C8728D2"/>
    <w:rsid w:val="5CBF4029"/>
    <w:rsid w:val="5E606AFA"/>
    <w:rsid w:val="5F112DD2"/>
    <w:rsid w:val="5F663956"/>
    <w:rsid w:val="606B6378"/>
    <w:rsid w:val="60AB5F0E"/>
    <w:rsid w:val="60DB48EB"/>
    <w:rsid w:val="61B24449"/>
    <w:rsid w:val="62D05E4B"/>
    <w:rsid w:val="63A73F5B"/>
    <w:rsid w:val="63DE3A66"/>
    <w:rsid w:val="6752786C"/>
    <w:rsid w:val="6A45269F"/>
    <w:rsid w:val="6B341F72"/>
    <w:rsid w:val="6BD14DCD"/>
    <w:rsid w:val="6C1475B4"/>
    <w:rsid w:val="6C2A2D4A"/>
    <w:rsid w:val="6C8711DF"/>
    <w:rsid w:val="6D307ABB"/>
    <w:rsid w:val="6D941B1B"/>
    <w:rsid w:val="6FA84384"/>
    <w:rsid w:val="705A409E"/>
    <w:rsid w:val="7075636D"/>
    <w:rsid w:val="70F7521A"/>
    <w:rsid w:val="713768F0"/>
    <w:rsid w:val="72734D90"/>
    <w:rsid w:val="72A47CE8"/>
    <w:rsid w:val="73C91B39"/>
    <w:rsid w:val="75106C6C"/>
    <w:rsid w:val="75D17D1E"/>
    <w:rsid w:val="772421BD"/>
    <w:rsid w:val="783950BD"/>
    <w:rsid w:val="79680F3D"/>
    <w:rsid w:val="7AB5117B"/>
    <w:rsid w:val="7C434A70"/>
    <w:rsid w:val="7D106690"/>
    <w:rsid w:val="7EF43D7D"/>
    <w:rsid w:val="7FBD932E"/>
    <w:rsid w:val="7FF7562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qFormat="1" w:unhideWhenUsed="0" w:uiPriority="0" w:semiHidden="0"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qFormat="1" w:uiPriority="99" w:semiHidden="0" w:name="Salutation" w:locked="1"/>
    <w:lsdException w:uiPriority="99" w:name="Date" w:locked="1"/>
    <w:lsdException w:uiPriority="99"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1"/>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6"/>
    <w:qFormat/>
    <w:uiPriority w:val="99"/>
    <w:pPr>
      <w:keepNext/>
      <w:keepLines/>
      <w:spacing w:before="260" w:after="260" w:line="416" w:lineRule="auto"/>
      <w:outlineLvl w:val="1"/>
    </w:pPr>
    <w:rPr>
      <w:rFonts w:ascii="Cambria" w:hAnsi="Cambria"/>
      <w:b/>
      <w:bCs/>
      <w:sz w:val="32"/>
      <w:szCs w:val="32"/>
    </w:rPr>
  </w:style>
  <w:style w:type="paragraph" w:styleId="6">
    <w:name w:val="heading 3"/>
    <w:basedOn w:val="1"/>
    <w:next w:val="1"/>
    <w:link w:val="23"/>
    <w:qFormat/>
    <w:uiPriority w:val="99"/>
    <w:pPr>
      <w:keepNext/>
      <w:keepLines/>
      <w:spacing w:before="260" w:after="260" w:line="416" w:lineRule="auto"/>
      <w:outlineLvl w:val="2"/>
    </w:pPr>
    <w:rPr>
      <w:b/>
      <w:bCs/>
      <w:sz w:val="32"/>
      <w:szCs w:val="32"/>
    </w:rPr>
  </w:style>
  <w:style w:type="character" w:default="1" w:styleId="18">
    <w:name w:val="Default Paragraph Font"/>
    <w:semiHidden/>
    <w:qFormat/>
    <w:uiPriority w:val="99"/>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locked/>
    <w:uiPriority w:val="0"/>
    <w:pPr>
      <w:ind w:firstLine="420" w:firstLineChars="200"/>
    </w:pPr>
    <w:rPr>
      <w:rFonts w:ascii="Times New Roman" w:hAnsi="Times New Roman" w:eastAsia="宋体" w:cs="Times New Roman"/>
    </w:rPr>
  </w:style>
  <w:style w:type="paragraph" w:styleId="3">
    <w:name w:val="Body Text Indent"/>
    <w:basedOn w:val="1"/>
    <w:next w:val="2"/>
    <w:qFormat/>
    <w:locked/>
    <w:uiPriority w:val="0"/>
    <w:pPr>
      <w:spacing w:line="560" w:lineRule="atLeast"/>
      <w:ind w:firstLine="640" w:firstLineChars="200"/>
    </w:pPr>
    <w:rPr>
      <w:rFonts w:ascii="仿宋_GB2312" w:hAnsi="Times New Roman" w:eastAsia="仿宋_GB2312" w:cs="Times New Roman"/>
      <w:sz w:val="32"/>
    </w:rPr>
  </w:style>
  <w:style w:type="paragraph" w:styleId="7">
    <w:name w:val="Salutation"/>
    <w:basedOn w:val="1"/>
    <w:next w:val="1"/>
    <w:unhideWhenUsed/>
    <w:qFormat/>
    <w:locked/>
    <w:uiPriority w:val="99"/>
  </w:style>
  <w:style w:type="paragraph" w:styleId="8">
    <w:name w:val="Body Text"/>
    <w:basedOn w:val="1"/>
    <w:link w:val="30"/>
    <w:qFormat/>
    <w:uiPriority w:val="99"/>
    <w:pPr>
      <w:spacing w:beforeLines="30"/>
    </w:pPr>
    <w:rPr>
      <w:rFonts w:ascii="仿宋_GB2312" w:eastAsia="仿宋_GB2312"/>
      <w:kern w:val="0"/>
      <w:sz w:val="24"/>
      <w:szCs w:val="20"/>
    </w:rPr>
  </w:style>
  <w:style w:type="paragraph" w:styleId="9">
    <w:name w:val="toc 3"/>
    <w:basedOn w:val="1"/>
    <w:next w:val="1"/>
    <w:qFormat/>
    <w:uiPriority w:val="99"/>
    <w:pPr>
      <w:tabs>
        <w:tab w:val="right" w:leader="dot" w:pos="8296"/>
      </w:tabs>
      <w:ind w:left="840" w:leftChars="400"/>
    </w:pPr>
  </w:style>
  <w:style w:type="paragraph" w:styleId="10">
    <w:name w:val="Balloon Text"/>
    <w:basedOn w:val="1"/>
    <w:link w:val="25"/>
    <w:semiHidden/>
    <w:qFormat/>
    <w:uiPriority w:val="99"/>
    <w:rPr>
      <w:sz w:val="18"/>
      <w:szCs w:val="18"/>
    </w:rPr>
  </w:style>
  <w:style w:type="paragraph" w:styleId="11">
    <w:name w:val="footer"/>
    <w:basedOn w:val="1"/>
    <w:next w:val="1"/>
    <w:link w:val="29"/>
    <w:qFormat/>
    <w:uiPriority w:val="99"/>
    <w:pPr>
      <w:tabs>
        <w:tab w:val="center" w:pos="4153"/>
        <w:tab w:val="right" w:pos="8306"/>
      </w:tabs>
      <w:snapToGrid w:val="0"/>
      <w:jc w:val="left"/>
    </w:pPr>
    <w:rPr>
      <w:kern w:val="0"/>
      <w:sz w:val="18"/>
      <w:szCs w:val="20"/>
    </w:rPr>
  </w:style>
  <w:style w:type="paragraph" w:styleId="12">
    <w:name w:val="header"/>
    <w:basedOn w:val="1"/>
    <w:link w:val="28"/>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3">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locked/>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5">
    <w:name w:val="toc 2"/>
    <w:basedOn w:val="1"/>
    <w:next w:val="1"/>
    <w:qFormat/>
    <w:uiPriority w:val="99"/>
    <w:pPr>
      <w:tabs>
        <w:tab w:val="right" w:leader="dot" w:pos="8296"/>
      </w:tabs>
      <w:ind w:left="420" w:leftChars="200"/>
    </w:p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9">
    <w:name w:val="Strong"/>
    <w:basedOn w:val="18"/>
    <w:qFormat/>
    <w:uiPriority w:val="99"/>
    <w:rPr>
      <w:rFonts w:cs="Times New Roman"/>
      <w:b/>
    </w:rPr>
  </w:style>
  <w:style w:type="character" w:styleId="20">
    <w:name w:val="Hyperlink"/>
    <w:basedOn w:val="18"/>
    <w:qFormat/>
    <w:uiPriority w:val="99"/>
    <w:rPr>
      <w:rFonts w:cs="Times New Roman"/>
      <w:color w:val="0000FF"/>
      <w:u w:val="single"/>
    </w:rPr>
  </w:style>
  <w:style w:type="character" w:customStyle="1" w:styleId="21">
    <w:name w:val="Heading 1 Char"/>
    <w:basedOn w:val="18"/>
    <w:link w:val="4"/>
    <w:qFormat/>
    <w:locked/>
    <w:uiPriority w:val="99"/>
    <w:rPr>
      <w:rFonts w:ascii="Times New Roman" w:hAnsi="Times New Roman" w:cs="Times New Roman"/>
      <w:b/>
      <w:bCs/>
      <w:kern w:val="44"/>
      <w:sz w:val="44"/>
      <w:szCs w:val="44"/>
    </w:rPr>
  </w:style>
  <w:style w:type="character" w:customStyle="1" w:styleId="22">
    <w:name w:val="Heading 2 Char"/>
    <w:basedOn w:val="18"/>
    <w:link w:val="5"/>
    <w:qFormat/>
    <w:locked/>
    <w:uiPriority w:val="99"/>
    <w:rPr>
      <w:rFonts w:ascii="Cambria" w:hAnsi="Cambria" w:eastAsia="宋体" w:cs="Times New Roman"/>
      <w:b/>
      <w:bCs/>
      <w:kern w:val="2"/>
      <w:sz w:val="32"/>
      <w:szCs w:val="32"/>
    </w:rPr>
  </w:style>
  <w:style w:type="character" w:customStyle="1" w:styleId="23">
    <w:name w:val="Heading 3 Char"/>
    <w:basedOn w:val="18"/>
    <w:link w:val="6"/>
    <w:qFormat/>
    <w:locked/>
    <w:uiPriority w:val="99"/>
    <w:rPr>
      <w:rFonts w:ascii="Times New Roman" w:hAnsi="Times New Roman" w:cs="Times New Roman"/>
      <w:b/>
      <w:bCs/>
      <w:kern w:val="2"/>
      <w:sz w:val="32"/>
      <w:szCs w:val="32"/>
    </w:rPr>
  </w:style>
  <w:style w:type="character" w:customStyle="1" w:styleId="24">
    <w:name w:val="Body Text Char"/>
    <w:basedOn w:val="18"/>
    <w:link w:val="8"/>
    <w:semiHidden/>
    <w:qFormat/>
    <w:locked/>
    <w:uiPriority w:val="99"/>
    <w:rPr>
      <w:rFonts w:ascii="Times New Roman" w:hAnsi="Times New Roman" w:cs="Times New Roman"/>
      <w:sz w:val="24"/>
      <w:szCs w:val="24"/>
    </w:rPr>
  </w:style>
  <w:style w:type="character" w:customStyle="1" w:styleId="25">
    <w:name w:val="Balloon Text Char"/>
    <w:basedOn w:val="18"/>
    <w:link w:val="10"/>
    <w:semiHidden/>
    <w:qFormat/>
    <w:locked/>
    <w:uiPriority w:val="99"/>
    <w:rPr>
      <w:rFonts w:ascii="Times New Roman" w:hAnsi="Times New Roman" w:cs="Times New Roman"/>
      <w:kern w:val="2"/>
      <w:sz w:val="18"/>
      <w:szCs w:val="18"/>
    </w:rPr>
  </w:style>
  <w:style w:type="character" w:customStyle="1" w:styleId="26">
    <w:name w:val="Footer Char"/>
    <w:basedOn w:val="18"/>
    <w:link w:val="11"/>
    <w:semiHidden/>
    <w:qFormat/>
    <w:locked/>
    <w:uiPriority w:val="99"/>
    <w:rPr>
      <w:rFonts w:ascii="Times New Roman" w:hAnsi="Times New Roman" w:cs="Times New Roman"/>
      <w:sz w:val="18"/>
      <w:szCs w:val="18"/>
    </w:rPr>
  </w:style>
  <w:style w:type="character" w:customStyle="1" w:styleId="27">
    <w:name w:val="Header Char"/>
    <w:basedOn w:val="18"/>
    <w:link w:val="12"/>
    <w:semiHidden/>
    <w:qFormat/>
    <w:locked/>
    <w:uiPriority w:val="99"/>
    <w:rPr>
      <w:rFonts w:ascii="Times New Roman" w:hAnsi="Times New Roman" w:cs="Times New Roman"/>
      <w:sz w:val="18"/>
      <w:szCs w:val="18"/>
    </w:rPr>
  </w:style>
  <w:style w:type="character" w:customStyle="1" w:styleId="28">
    <w:name w:val="Header Char1"/>
    <w:link w:val="12"/>
    <w:semiHidden/>
    <w:qFormat/>
    <w:locked/>
    <w:uiPriority w:val="99"/>
    <w:rPr>
      <w:sz w:val="18"/>
    </w:rPr>
  </w:style>
  <w:style w:type="character" w:customStyle="1" w:styleId="29">
    <w:name w:val="Footer Char1"/>
    <w:link w:val="11"/>
    <w:qFormat/>
    <w:locked/>
    <w:uiPriority w:val="99"/>
    <w:rPr>
      <w:sz w:val="18"/>
    </w:rPr>
  </w:style>
  <w:style w:type="character" w:customStyle="1" w:styleId="30">
    <w:name w:val="Body Text Char1"/>
    <w:link w:val="8"/>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2">
    <w:name w:val="List Paragraph"/>
    <w:basedOn w:val="1"/>
    <w:qFormat/>
    <w:uiPriority w:val="99"/>
    <w:pPr>
      <w:ind w:firstLine="420" w:firstLineChars="200"/>
    </w:pPr>
  </w:style>
  <w:style w:type="paragraph" w:customStyle="1" w:styleId="33">
    <w:name w:val="TOC 标题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4"/>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5">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36">
    <w:name w:val="标题 2 Char"/>
    <w:basedOn w:val="18"/>
    <w:link w:val="5"/>
    <w:qFormat/>
    <w:locked/>
    <w:uiPriority w:val="9"/>
    <w:rPr>
      <w:rFonts w:ascii="Cambria" w:hAnsi="Cambria" w:eastAsia="宋体" w:cs="Times New Roman"/>
      <w:b/>
      <w:bCs/>
      <w:kern w:val="2"/>
      <w:sz w:val="32"/>
      <w:szCs w:val="32"/>
    </w:rPr>
  </w:style>
  <w:style w:type="paragraph" w:customStyle="1" w:styleId="37">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2539.01</c:v>
                </c:pt>
                <c:pt idx="1">
                  <c:v>902.08</c:v>
                </c:pt>
              </c:numCache>
            </c:numRef>
          </c:val>
        </c:ser>
        <c:dLbls>
          <c:showLegendKey val="0"/>
          <c:showVal val="0"/>
          <c:showCatName val="0"/>
          <c:showSerName val="0"/>
          <c:showPercent val="0"/>
          <c:showBubbleSize val="0"/>
        </c:dLbls>
        <c:gapWidth val="219"/>
        <c:overlap val="-27"/>
        <c:axId val="106693095"/>
        <c:axId val="305342215"/>
      </c:barChart>
      <c:catAx>
        <c:axId val="10669309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42215"/>
        <c:crosses val="autoZero"/>
        <c:auto val="1"/>
        <c:lblAlgn val="ctr"/>
        <c:lblOffset val="100"/>
        <c:noMultiLvlLbl val="0"/>
      </c:catAx>
      <c:valAx>
        <c:axId val="30534221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693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#,##0.00</c:formatCode>
                <c:ptCount val="2"/>
                <c:pt idx="0">
                  <c:v>3698.07</c:v>
                </c:pt>
                <c:pt idx="1">
                  <c:v>4078.92</c:v>
                </c:pt>
              </c:numCache>
            </c:numRef>
          </c:val>
        </c:ser>
        <c:dLbls>
          <c:showLegendKey val="0"/>
          <c:showVal val="0"/>
          <c:showCatName val="0"/>
          <c:showSerName val="0"/>
          <c:showPercent val="0"/>
          <c:showBubbleSize val="0"/>
        </c:dLbls>
        <c:gapWidth val="219"/>
        <c:overlap val="-27"/>
        <c:axId val="847754403"/>
        <c:axId val="162696083"/>
      </c:barChart>
      <c:catAx>
        <c:axId val="84775440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696083"/>
        <c:crosses val="autoZero"/>
        <c:auto val="1"/>
        <c:lblAlgn val="ctr"/>
        <c:lblOffset val="100"/>
        <c:noMultiLvlLbl val="0"/>
      </c:catAx>
      <c:valAx>
        <c:axId val="16269608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7544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tx>
            <c:strRef>
              <c:f>[决算公开分析图表.xls]Sheet1!$D$45</c:f>
              <c:strCache>
                <c:ptCount val="1"/>
                <c:pt idx="0">
                  <c:v>一般公共预算财政拨款收入</c:v>
                </c:pt>
              </c:strCache>
            </c:strRef>
          </c:tx>
          <c:explosion val="0"/>
          <c:dPt>
            <c:idx val="0"/>
            <c:bubble3D val="0"/>
            <c:explosion val="0"/>
            <c:spPr>
              <a:solidFill>
                <a:schemeClr val="accent1"/>
              </a:solidFill>
              <a:ln w="19050">
                <a:solidFill>
                  <a:schemeClr val="lt1"/>
                </a:solidFill>
              </a:ln>
              <a:effectLst/>
            </c:spPr>
          </c:dPt>
          <c:dLbls>
            <c:delete val="1"/>
          </c:dLbls>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31354051054384"/>
          <c:y val="0.894675925925926"/>
          <c:w val="0.39622641509434"/>
          <c:h val="0.0770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304.9</c:v>
                </c:pt>
                <c:pt idx="1">
                  <c:v>3774.03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38095238095238"/>
          <c:y val="0.929173693086003"/>
          <c:w val="0.927489177489177"/>
          <c:h val="0.05396290050590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[决算公开分析图表.xls]Sheet1!$A$87:$B$87</c:f>
              <c:strCache>
                <c:ptCount val="2"/>
                <c:pt idx="0">
                  <c:v>2021年</c:v>
                </c:pt>
                <c:pt idx="1">
                  <c:v>2022年</c:v>
                </c:pt>
              </c:strCache>
            </c:strRef>
          </c:cat>
          <c:val>
            <c:numRef>
              <c:f>[决算公开分析图表.xls]Sheet1!$A$88:$B$88</c:f>
              <c:numCache>
                <c:formatCode>#,##0.00</c:formatCode>
                <c:ptCount val="2"/>
                <c:pt idx="0">
                  <c:v>2539.01</c:v>
                </c:pt>
                <c:pt idx="1">
                  <c:v>902.08</c:v>
                </c:pt>
              </c:numCache>
            </c:numRef>
          </c:val>
        </c:ser>
        <c:dLbls>
          <c:showLegendKey val="0"/>
          <c:showVal val="0"/>
          <c:showCatName val="0"/>
          <c:showSerName val="0"/>
          <c:showPercent val="0"/>
          <c:showBubbleSize val="0"/>
        </c:dLbls>
        <c:gapWidth val="219"/>
        <c:overlap val="-27"/>
        <c:axId val="314731724"/>
        <c:axId val="201090266"/>
      </c:barChart>
      <c:catAx>
        <c:axId val="3147317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1090266"/>
        <c:crosses val="autoZero"/>
        <c:auto val="1"/>
        <c:lblAlgn val="ctr"/>
        <c:lblOffset val="100"/>
        <c:noMultiLvlLbl val="0"/>
      </c:catAx>
      <c:valAx>
        <c:axId val="20109026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7317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[决算公开分析图表.xls]Sheet1!$A$104:$B$104</c:f>
              <c:strCache>
                <c:ptCount val="2"/>
                <c:pt idx="0">
                  <c:v>2021年</c:v>
                </c:pt>
                <c:pt idx="1">
                  <c:v>2022年</c:v>
                </c:pt>
              </c:strCache>
            </c:strRef>
          </c:cat>
          <c:val>
            <c:numRef>
              <c:f>[决算公开分析图表.xls]Sheet1!$A$105:$B$105</c:f>
              <c:numCache>
                <c:formatCode>#,##0.00</c:formatCode>
                <c:ptCount val="2"/>
                <c:pt idx="0">
                  <c:v>3698.07</c:v>
                </c:pt>
                <c:pt idx="1">
                  <c:v>4078.92</c:v>
                </c:pt>
              </c:numCache>
            </c:numRef>
          </c:val>
        </c:ser>
        <c:dLbls>
          <c:showLegendKey val="0"/>
          <c:showVal val="0"/>
          <c:showCatName val="0"/>
          <c:showSerName val="0"/>
          <c:showPercent val="0"/>
          <c:showBubbleSize val="0"/>
        </c:dLbls>
        <c:gapWidth val="219"/>
        <c:overlap val="-27"/>
        <c:axId val="571558211"/>
        <c:axId val="354792044"/>
      </c:barChart>
      <c:catAx>
        <c:axId val="57155821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4792044"/>
        <c:crosses val="autoZero"/>
        <c:auto val="1"/>
        <c:lblAlgn val="ctr"/>
        <c:lblOffset val="100"/>
        <c:noMultiLvlLbl val="0"/>
      </c:catAx>
      <c:valAx>
        <c:axId val="3547920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5582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[决算公开分析图表.xls]Sheet1!$A$120:$B$120</c:f>
              <c:strCache>
                <c:ptCount val="2"/>
                <c:pt idx="0">
                  <c:v>2021年</c:v>
                </c:pt>
                <c:pt idx="1">
                  <c:v>2022年</c:v>
                </c:pt>
              </c:strCache>
            </c:strRef>
          </c:cat>
          <c:val>
            <c:numRef>
              <c:f>[决算公开分析图表.xls]Sheet1!$A$121:$B$121</c:f>
              <c:numCache>
                <c:formatCode>#,##0.00</c:formatCode>
                <c:ptCount val="2"/>
                <c:pt idx="0">
                  <c:v>3698.07</c:v>
                </c:pt>
                <c:pt idx="1">
                  <c:v>4078.92</c:v>
                </c:pt>
              </c:numCache>
            </c:numRef>
          </c:val>
        </c:ser>
        <c:dLbls>
          <c:showLegendKey val="0"/>
          <c:showVal val="0"/>
          <c:showCatName val="0"/>
          <c:showSerName val="0"/>
          <c:showPercent val="0"/>
          <c:showBubbleSize val="0"/>
        </c:dLbls>
        <c:gapWidth val="219"/>
        <c:overlap val="-27"/>
        <c:axId val="517665130"/>
        <c:axId val="365859036"/>
      </c:barChart>
      <c:catAx>
        <c:axId val="51766513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5859036"/>
        <c:crosses val="autoZero"/>
        <c:auto val="1"/>
        <c:lblAlgn val="ctr"/>
        <c:lblOffset val="100"/>
        <c:noMultiLvlLbl val="0"/>
      </c:catAx>
      <c:valAx>
        <c:axId val="3658590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76651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Pt>
            <c:idx val="5"/>
            <c:bubble3D val="0"/>
          </c:dPt>
          <c:dLbls>
            <c:delete val="1"/>
          </c:dLbls>
          <c:cat>
            <c:strRef>
              <c:f>[决算公开分析图表.xls]Sheet1!$C$144:$C$149</c:f>
              <c:strCache>
                <c:ptCount val="6"/>
                <c:pt idx="0">
                  <c:v>社会保障和就业支出</c:v>
                </c:pt>
                <c:pt idx="1">
                  <c:v>卫生健康支出</c:v>
                </c:pt>
                <c:pt idx="2">
                  <c:v>农林水支出</c:v>
                </c:pt>
                <c:pt idx="3">
                  <c:v>自然资源海洋气象等支出</c:v>
                </c:pt>
                <c:pt idx="4">
                  <c:v>住房保障支出</c:v>
                </c:pt>
                <c:pt idx="5">
                  <c:v>灾害防治及应急管理支出</c:v>
                </c:pt>
              </c:strCache>
            </c:strRef>
          </c:cat>
          <c:val>
            <c:numRef>
              <c:f>[决算公开分析图表.xls]Sheet1!$D$144:$D$149</c:f>
              <c:numCache>
                <c:formatCode>General</c:formatCode>
                <c:ptCount val="6"/>
                <c:pt idx="0">
                  <c:v>32.94</c:v>
                </c:pt>
                <c:pt idx="1">
                  <c:v>12.64</c:v>
                </c:pt>
                <c:pt idx="2">
                  <c:v>1583.37</c:v>
                </c:pt>
                <c:pt idx="3">
                  <c:v>640.62</c:v>
                </c:pt>
                <c:pt idx="4">
                  <c:v>19.96</c:v>
                </c:pt>
                <c:pt idx="5">
                  <c:v>1789.4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30072515285085"/>
          <c:y val="0.678927203065134"/>
          <c:w val="0.35816863358453"/>
          <c:h val="0.28429118773946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[决算公开分析图表.xls]Sheet1!$A$170:$A$172</c:f>
              <c:strCache>
                <c:ptCount val="3"/>
                <c:pt idx="0">
                  <c:v>因公出国（境）费</c:v>
                </c:pt>
                <c:pt idx="1">
                  <c:v>公务接待费</c:v>
                </c:pt>
                <c:pt idx="2">
                  <c:v>公务用车购置及运行维护费</c:v>
                </c:pt>
              </c:strCache>
            </c:strRef>
          </c:cat>
          <c:val>
            <c:numRef>
              <c:f>[决算公开分析图表.xls]Sheet1!$B$170:$B$172</c:f>
              <c:numCache>
                <c:formatCode>General</c:formatCode>
                <c:ptCount val="3"/>
                <c:pt idx="0">
                  <c:v>0</c:v>
                </c:pt>
                <c:pt idx="2">
                  <c:v>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493338827084192"/>
          <c:y val="0.747065727699531"/>
          <c:w val="0.467655541821178"/>
          <c:h val="0.218309859154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42</Pages>
  <Words>15940</Words>
  <Characters>17125</Characters>
  <Lines>0</Lines>
  <Paragraphs>0</Paragraphs>
  <TotalTime>1</TotalTime>
  <ScaleCrop>false</ScaleCrop>
  <LinksUpToDate>false</LinksUpToDate>
  <CharactersWithSpaces>17230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2020-10-10T09:34:00Z</dcterms:created>
  <dc:creator>曹颖</dc:creator>
  <cp:lastModifiedBy>九八年生于南方</cp:lastModifiedBy>
  <cp:lastPrinted>2021-10-22T10:33:00Z</cp:lastPrinted>
  <dcterms:modified xsi:type="dcterms:W3CDTF">2023-10-25T02:17:36Z</dcterms:modified>
  <dc:title>四川省***</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25158462735D435DA20F5E8156B05A53_13</vt:lpwstr>
  </property>
</Properties>
</file>