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475"/>
      <w:bookmarkStart w:id="3" w:name="_Toc15378441"/>
      <w:bookmarkStart w:id="4" w:name="_Toc15396597"/>
      <w:bookmarkStart w:id="5" w:name="_Toc15377193"/>
      <w:r>
        <w:rPr>
          <w:rFonts w:hint="eastAsia" w:ascii="黑体" w:hAnsi="黑体" w:eastAsia="黑体"/>
          <w:sz w:val="72"/>
          <w:szCs w:val="72"/>
          <w:lang w:eastAsia="zh-CN"/>
        </w:rPr>
        <w:t>2022年</w:t>
      </w:r>
      <w:r>
        <w:rPr>
          <w:rFonts w:hint="eastAsia" w:ascii="黑体" w:hAnsi="黑体" w:eastAsia="黑体"/>
          <w:sz w:val="72"/>
          <w:szCs w:val="72"/>
        </w:rPr>
        <w:t>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78442"/>
      <w:bookmarkStart w:id="9" w:name="_Toc15396476"/>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val="en-US" w:eastAsia="zh-CN"/>
        </w:rPr>
        <w:t>壤塘县自然资源局（水利保持中心）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25</w:t>
      </w:r>
      <w:r>
        <w:rPr>
          <w:rFonts w:hint="eastAsia" w:hAnsiTheme="minorHAnsi"/>
          <w:b w:val="0"/>
          <w:bCs w:val="0"/>
          <w:sz w:val="24"/>
          <w:szCs w:val="24"/>
        </w:rPr>
        <w:t>日</w:t>
      </w:r>
    </w:p>
    <w:p>
      <w:pPr>
        <w:pStyle w:val="16"/>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_Toc15152 \h </w:instrText>
      </w:r>
      <w:r>
        <w:fldChar w:fldCharType="separate"/>
      </w:r>
      <w:r>
        <w:t>4</w:t>
      </w:r>
      <w:r>
        <w:fldChar w:fldCharType="end"/>
      </w:r>
    </w:p>
    <w:p>
      <w:pPr>
        <w:pStyle w:val="19"/>
        <w:tabs>
          <w:tab w:val="right" w:leader="dot" w:pos="8306"/>
        </w:tabs>
      </w:pPr>
      <w:r>
        <w:rPr>
          <w:rFonts w:hint="eastAsia" w:ascii="黑体" w:hAnsi="黑体" w:eastAsia="黑体"/>
          <w:color w:val="000000"/>
        </w:rPr>
        <w:t>一、</w:t>
      </w:r>
      <w:r>
        <w:rPr>
          <w:rFonts w:hint="eastAsia" w:ascii="黑体" w:hAnsi="黑体" w:eastAsia="黑体"/>
          <w:color w:val="000000"/>
          <w:lang w:val="en-US" w:eastAsia="zh-CN"/>
        </w:rPr>
        <w:t>部门职责</w:t>
      </w:r>
      <w:r>
        <w:tab/>
      </w:r>
      <w:r>
        <w:fldChar w:fldCharType="begin"/>
      </w:r>
      <w:r>
        <w:instrText xml:space="preserve"> PAGEREF _Toc28726 \h </w:instrText>
      </w:r>
      <w:r>
        <w:fldChar w:fldCharType="separate"/>
      </w:r>
      <w:r>
        <w:t>4</w:t>
      </w:r>
      <w:r>
        <w:fldChar w:fldCharType="end"/>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_Toc28958 \h </w:instrText>
      </w:r>
      <w:r>
        <w:fldChar w:fldCharType="separate"/>
      </w:r>
      <w:r>
        <w:t>9</w:t>
      </w:r>
      <w:r>
        <w:fldChar w:fldCharType="end"/>
      </w:r>
    </w:p>
    <w:p>
      <w:pPr>
        <w:pStyle w:val="16"/>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hint="eastAsia" w:ascii="黑体" w:hAnsi="黑体" w:eastAsia="黑体"/>
          <w:bCs w:val="0"/>
          <w:lang w:eastAsia="zh-CN"/>
        </w:rPr>
        <w:t>2022年</w:t>
      </w:r>
      <w:r>
        <w:rPr>
          <w:rFonts w:hint="eastAsia" w:ascii="黑体" w:hAnsi="黑体" w:eastAsia="黑体"/>
          <w:bCs w:val="0"/>
        </w:rPr>
        <w:t>度部门决算情况说明</w:t>
      </w:r>
      <w:r>
        <w:tab/>
      </w:r>
      <w:r>
        <w:fldChar w:fldCharType="begin"/>
      </w:r>
      <w:r>
        <w:instrText xml:space="preserve"> PAGEREF _Toc6249 \h </w:instrText>
      </w:r>
      <w:r>
        <w:fldChar w:fldCharType="separate"/>
      </w:r>
      <w:r>
        <w:t>10</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_Toc18097 \h </w:instrText>
      </w:r>
      <w:r>
        <w:fldChar w:fldCharType="separate"/>
      </w:r>
      <w:r>
        <w:t>10</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_Toc10448 \h </w:instrText>
      </w:r>
      <w:r>
        <w:fldChar w:fldCharType="separate"/>
      </w:r>
      <w:r>
        <w:t>11</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_Toc28472 \h </w:instrText>
      </w:r>
      <w:r>
        <w:fldChar w:fldCharType="separate"/>
      </w:r>
      <w:r>
        <w:t>11</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_Toc31396 \h </w:instrText>
      </w:r>
      <w:r>
        <w:fldChar w:fldCharType="separate"/>
      </w:r>
      <w:r>
        <w:t>12</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_Toc3495 \h </w:instrText>
      </w:r>
      <w:r>
        <w:fldChar w:fldCharType="separate"/>
      </w:r>
      <w:r>
        <w:t>12</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_Toc310 \h </w:instrText>
      </w:r>
      <w:r>
        <w:fldChar w:fldCharType="separate"/>
      </w:r>
      <w:r>
        <w:t>12</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_Toc31603 \h </w:instrText>
      </w:r>
      <w:r>
        <w:fldChar w:fldCharType="separate"/>
      </w:r>
      <w:r>
        <w:t>13</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_Toc15851 \h </w:instrText>
      </w:r>
      <w:r>
        <w:fldChar w:fldCharType="separate"/>
      </w:r>
      <w:r>
        <w:t>13</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_Toc4906 \h </w:instrText>
      </w:r>
      <w:r>
        <w:fldChar w:fldCharType="separate"/>
      </w:r>
      <w:r>
        <w:t>14</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_Toc27885 \h </w:instrText>
      </w:r>
      <w:r>
        <w:fldChar w:fldCharType="separate"/>
      </w:r>
      <w:r>
        <w:t>15</w:t>
      </w:r>
      <w:r>
        <w:fldChar w:fldCharType="end"/>
      </w:r>
    </w:p>
    <w:p>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_Toc1234 \h </w:instrText>
      </w:r>
      <w:r>
        <w:fldChar w:fldCharType="separate"/>
      </w:r>
      <w:r>
        <w:t>15</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_Toc30858 \h </w:instrText>
      </w:r>
      <w:r>
        <w:fldChar w:fldCharType="separate"/>
      </w:r>
      <w:r>
        <w:t>15</w:t>
      </w:r>
      <w:r>
        <w:fldChar w:fldCharType="end"/>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_Toc10847 \h </w:instrText>
      </w:r>
      <w:r>
        <w:fldChar w:fldCharType="separate"/>
      </w:r>
      <w:r>
        <w:t>16</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_Toc28757 \h </w:instrText>
      </w:r>
      <w:r>
        <w:fldChar w:fldCharType="separate"/>
      </w:r>
      <w:r>
        <w:t>16</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_Toc17601 \h </w:instrText>
      </w:r>
      <w:r>
        <w:fldChar w:fldCharType="separate"/>
      </w:r>
      <w:r>
        <w:t>16</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_Toc27269 \h </w:instrText>
      </w:r>
      <w:r>
        <w:fldChar w:fldCharType="separate"/>
      </w:r>
      <w:r>
        <w:t>16</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_Toc3661 \h </w:instrText>
      </w:r>
      <w:r>
        <w:fldChar w:fldCharType="separate"/>
      </w:r>
      <w:r>
        <w:t>16</w:t>
      </w:r>
      <w:r>
        <w:fldChar w:fldCharType="end"/>
      </w:r>
    </w:p>
    <w:p>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_Toc10541 \h </w:instrText>
      </w:r>
      <w:r>
        <w:fldChar w:fldCharType="separate"/>
      </w:r>
      <w:r>
        <w:t>16</w:t>
      </w:r>
      <w:r>
        <w:fldChar w:fldCharType="end"/>
      </w:r>
    </w:p>
    <w:p>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_Toc13716 \h </w:instrText>
      </w:r>
      <w:r>
        <w:fldChar w:fldCharType="separate"/>
      </w:r>
      <w:r>
        <w:t>16</w:t>
      </w:r>
      <w:r>
        <w:fldChar w:fldCharType="end"/>
      </w:r>
    </w:p>
    <w:p>
      <w:pPr>
        <w:pStyle w:val="16"/>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_Toc27193 \h </w:instrText>
      </w:r>
      <w:r>
        <w:fldChar w:fldCharType="separate"/>
      </w:r>
      <w:r>
        <w:t>17</w:t>
      </w:r>
      <w:r>
        <w:fldChar w:fldCharType="end"/>
      </w:r>
    </w:p>
    <w:p>
      <w:pPr>
        <w:pStyle w:val="16"/>
        <w:tabs>
          <w:tab w:val="right" w:leader="dot" w:pos="8306"/>
        </w:tabs>
      </w:pPr>
      <w:r>
        <w:rPr>
          <w:rFonts w:hint="eastAsia" w:ascii="黑体" w:hAnsi="黑体" w:eastAsia="黑体" w:cs="黑体"/>
          <w:color w:val="000000"/>
          <w:szCs w:val="44"/>
        </w:rPr>
        <w:t>第</w:t>
      </w:r>
      <w:r>
        <w:rPr>
          <w:rFonts w:hint="eastAsia" w:ascii="黑体" w:hAnsi="黑体" w:eastAsia="黑体" w:cs="黑体"/>
        </w:rPr>
        <w:t>四部分</w:t>
      </w:r>
      <w:r>
        <w:rPr>
          <w:rFonts w:ascii="黑体" w:hAnsi="黑体" w:eastAsia="黑体" w:cs="黑体"/>
        </w:rPr>
        <w:t xml:space="preserve"> </w:t>
      </w:r>
      <w:r>
        <w:rPr>
          <w:rFonts w:hint="eastAsia" w:ascii="黑体" w:hAnsi="黑体" w:eastAsia="黑体" w:cs="黑体"/>
        </w:rPr>
        <w:t>附件</w:t>
      </w:r>
      <w:r>
        <w:tab/>
      </w:r>
      <w:r>
        <w:fldChar w:fldCharType="begin"/>
      </w:r>
      <w:r>
        <w:instrText xml:space="preserve"> PAGEREF _Toc11244 \h </w:instrText>
      </w:r>
      <w:r>
        <w:fldChar w:fldCharType="separate"/>
      </w:r>
      <w:r>
        <w:t>20</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_Toc19760 \h </w:instrText>
      </w:r>
      <w:r>
        <w:fldChar w:fldCharType="separate"/>
      </w:r>
      <w:r>
        <w:t>22</w:t>
      </w:r>
      <w:r>
        <w:fldChar w:fldCharType="end"/>
      </w:r>
    </w:p>
    <w:p>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_Toc1089 \h </w:instrText>
      </w:r>
      <w:r>
        <w:fldChar w:fldCharType="separate"/>
      </w:r>
      <w:r>
        <w:t>22</w:t>
      </w:r>
      <w:r>
        <w:fldChar w:fldCharType="end"/>
      </w:r>
    </w:p>
    <w:p>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_Toc21119 \h </w:instrText>
      </w:r>
      <w:r>
        <w:fldChar w:fldCharType="separate"/>
      </w:r>
      <w:r>
        <w:t>22</w:t>
      </w:r>
      <w:r>
        <w:fldChar w:fldCharType="end"/>
      </w:r>
    </w:p>
    <w:p>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_Toc10467 \h </w:instrText>
      </w:r>
      <w:r>
        <w:fldChar w:fldCharType="separate"/>
      </w:r>
      <w:r>
        <w:t>22</w:t>
      </w:r>
      <w:r>
        <w:fldChar w:fldCharType="end"/>
      </w:r>
    </w:p>
    <w:p>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_Toc20488 \h </w:instrText>
      </w:r>
      <w:r>
        <w:fldChar w:fldCharType="separate"/>
      </w:r>
      <w:r>
        <w:t>22</w:t>
      </w:r>
      <w:r>
        <w:fldChar w:fldCharType="end"/>
      </w:r>
    </w:p>
    <w:p>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_Toc21143 \h </w:instrText>
      </w:r>
      <w:r>
        <w:fldChar w:fldCharType="separate"/>
      </w:r>
      <w:r>
        <w:t>22</w:t>
      </w:r>
      <w:r>
        <w:fldChar w:fldCharType="end"/>
      </w:r>
    </w:p>
    <w:p>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_Toc15908 \h </w:instrText>
      </w:r>
      <w:r>
        <w:fldChar w:fldCharType="separate"/>
      </w:r>
      <w:r>
        <w:t>22</w:t>
      </w:r>
      <w:r>
        <w:fldChar w:fldCharType="end"/>
      </w:r>
    </w:p>
    <w:p>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_Toc20545 \h </w:instrText>
      </w:r>
      <w:r>
        <w:fldChar w:fldCharType="separate"/>
      </w:r>
      <w:r>
        <w:t>22</w:t>
      </w:r>
      <w:r>
        <w:fldChar w:fldCharType="end"/>
      </w:r>
    </w:p>
    <w:p>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_Toc20556 \h </w:instrText>
      </w:r>
      <w:r>
        <w:fldChar w:fldCharType="separate"/>
      </w:r>
      <w:r>
        <w:t>22</w:t>
      </w:r>
      <w:r>
        <w:fldChar w:fldCharType="end"/>
      </w:r>
    </w:p>
    <w:p>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_Toc20219 \h </w:instrText>
      </w:r>
      <w:r>
        <w:fldChar w:fldCharType="separate"/>
      </w:r>
      <w:r>
        <w:t>22</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_Toc12458 \h </w:instrText>
      </w:r>
      <w:r>
        <w:fldChar w:fldCharType="separate"/>
      </w:r>
      <w:r>
        <w:t>22</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bCs w:val="0"/>
          <w:lang w:val="en-US" w:eastAsia="zh-CN"/>
        </w:rPr>
        <w:t>一</w:t>
      </w:r>
      <w:r>
        <w:rPr>
          <w:rFonts w:hint="eastAsia" w:ascii="仿宋" w:hAnsi="仿宋" w:eastAsia="仿宋"/>
          <w:bCs w:val="0"/>
        </w:rPr>
        <w:t>、</w:t>
      </w:r>
      <w:r>
        <w:rPr>
          <w:rFonts w:hint="eastAsia" w:ascii="仿宋" w:hAnsi="仿宋" w:eastAsia="仿宋"/>
          <w:color w:val="000000"/>
        </w:rPr>
        <w:t>国</w:t>
      </w:r>
      <w:r>
        <w:rPr>
          <w:rFonts w:hint="eastAsia" w:ascii="仿宋" w:hAnsi="仿宋" w:eastAsia="仿宋"/>
          <w:bCs w:val="0"/>
        </w:rPr>
        <w:t>有资本经营预算财政拨款</w:t>
      </w:r>
      <w:r>
        <w:rPr>
          <w:rFonts w:hint="eastAsia" w:ascii="仿宋" w:hAnsi="仿宋" w:eastAsia="仿宋"/>
          <w:bCs w:val="0"/>
          <w:lang w:val="en-US" w:eastAsia="zh-CN"/>
        </w:rPr>
        <w:t>收入</w:t>
      </w:r>
      <w:r>
        <w:rPr>
          <w:rFonts w:hint="eastAsia" w:ascii="仿宋" w:hAnsi="仿宋" w:eastAsia="仿宋"/>
          <w:bCs w:val="0"/>
        </w:rPr>
        <w:t>支出决算表</w:t>
      </w:r>
      <w:r>
        <w:tab/>
      </w:r>
      <w:r>
        <w:fldChar w:fldCharType="begin"/>
      </w:r>
      <w:r>
        <w:instrText xml:space="preserve"> PAGEREF _Toc9174 \h </w:instrText>
      </w:r>
      <w:r>
        <w:fldChar w:fldCharType="separate"/>
      </w:r>
      <w:r>
        <w:t>22</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bCs w:val="0"/>
          <w:lang w:val="en-US" w:eastAsia="zh-CN"/>
        </w:rPr>
        <w:t>二</w:t>
      </w:r>
      <w:r>
        <w:rPr>
          <w:rFonts w:hint="eastAsia" w:ascii="仿宋" w:hAnsi="仿宋" w:eastAsia="仿宋"/>
          <w:bCs w:val="0"/>
        </w:rPr>
        <w:t>、国有资本经营预算财政拨款支出决算表</w:t>
      </w:r>
      <w:r>
        <w:tab/>
      </w:r>
      <w:r>
        <w:fldChar w:fldCharType="begin"/>
      </w:r>
      <w:r>
        <w:instrText xml:space="preserve"> PAGEREF _Toc11612 \h </w:instrText>
      </w:r>
      <w:r>
        <w:fldChar w:fldCharType="separate"/>
      </w:r>
      <w:r>
        <w:t>22</w:t>
      </w:r>
      <w:r>
        <w:fldChar w:fldCharType="end"/>
      </w:r>
    </w:p>
    <w:p>
      <w:pPr>
        <w:pStyle w:val="19"/>
        <w:tabs>
          <w:tab w:val="right" w:leader="dot" w:pos="8306"/>
        </w:tabs>
      </w:pPr>
      <w:r>
        <w:rPr>
          <w:rFonts w:hint="eastAsia" w:ascii="仿宋" w:hAnsi="仿宋" w:eastAsia="仿宋"/>
          <w:bCs w:val="0"/>
          <w:lang w:val="en-US" w:eastAsia="zh-CN"/>
        </w:rPr>
        <w:t>十三、</w:t>
      </w:r>
      <w:r>
        <w:rPr>
          <w:rFonts w:hint="eastAsia" w:ascii="仿宋" w:hAnsi="仿宋" w:eastAsia="仿宋"/>
          <w:bCs w:val="0"/>
        </w:rPr>
        <w:t>财政拨款“三公”经费支出决算表</w:t>
      </w:r>
      <w:r>
        <w:tab/>
      </w:r>
      <w:r>
        <w:fldChar w:fldCharType="begin"/>
      </w:r>
      <w:r>
        <w:instrText xml:space="preserve"> PAGEREF _Toc9369 \h </w:instrText>
      </w:r>
      <w:r>
        <w:fldChar w:fldCharType="separate"/>
      </w:r>
      <w:r>
        <w:t>22</w:t>
      </w:r>
      <w:r>
        <w:fldChar w:fldCharType="end"/>
      </w:r>
    </w:p>
    <w:p>
      <w:r>
        <w:rPr>
          <w:rFonts w:asciiTheme="minorHAnsi" w:eastAsiaTheme="minorHAnsi"/>
          <w:bCs/>
          <w:caps/>
          <w:szCs w:val="20"/>
        </w:rPr>
        <w:fldChar w:fldCharType="end"/>
      </w:r>
    </w:p>
    <w:p>
      <w:r>
        <w:rPr>
          <w:rFonts w:ascii="黑体" w:eastAsia="黑体"/>
          <w:color w:val="000000"/>
          <w:sz w:val="32"/>
          <w:szCs w:val="32"/>
        </w:rPr>
        <w:br w:type="page"/>
      </w:r>
    </w:p>
    <w:p>
      <w:pPr>
        <w:pStyle w:val="3"/>
        <w:jc w:val="center"/>
        <w:rPr>
          <w:rFonts w:hint="eastAsia" w:ascii="黑体" w:hAnsi="黑体" w:eastAsia="黑体"/>
          <w:b w:val="0"/>
          <w:color w:val="000000"/>
        </w:rPr>
      </w:pPr>
      <w:bookmarkStart w:id="12" w:name="_Toc15152"/>
      <w:bookmarkStart w:id="13" w:name="_Toc79163602"/>
      <w:bookmarkStart w:id="14" w:name="_Toc15396600"/>
      <w:bookmarkStart w:id="15" w:name="_Toc15377197"/>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p>
    <w:p>
      <w:pPr>
        <w:pStyle w:val="4"/>
        <w:rPr>
          <w:rStyle w:val="26"/>
          <w:rFonts w:ascii="仿宋" w:hAnsi="仿宋" w:eastAsia="仿宋"/>
          <w:b w:val="0"/>
          <w:bCs w:val="0"/>
        </w:rPr>
      </w:pPr>
      <w:bookmarkStart w:id="16" w:name="_Toc28726"/>
      <w:r>
        <w:rPr>
          <w:rFonts w:hint="eastAsia" w:ascii="黑体" w:hAnsi="黑体" w:eastAsia="黑体"/>
          <w:b w:val="0"/>
          <w:color w:val="000000"/>
        </w:rPr>
        <w:t>一、</w:t>
      </w:r>
      <w:r>
        <w:rPr>
          <w:rFonts w:hint="eastAsia" w:ascii="黑体" w:hAnsi="黑体" w:eastAsia="黑体"/>
          <w:b w:val="0"/>
          <w:color w:val="000000"/>
          <w:lang w:val="en-US" w:eastAsia="zh-CN"/>
        </w:rPr>
        <w:t>部门职责</w:t>
      </w:r>
      <w:bookmarkEnd w:id="13"/>
      <w:bookmarkEnd w:id="14"/>
      <w:bookmarkEnd w:id="15"/>
      <w:bookmarkEnd w:id="16"/>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bookmarkStart w:id="17" w:name="_Toc15377199"/>
      <w:bookmarkStart w:id="18" w:name="_Toc15378446"/>
      <w:bookmarkStart w:id="19" w:name="_Toc79163604"/>
      <w:r>
        <w:rPr>
          <w:rFonts w:hint="eastAsia" w:ascii="Times New Roman" w:hAnsi="Times New Roman" w:eastAsia="仿宋_GB2312" w:cs="Times New Roman"/>
          <w:sz w:val="32"/>
          <w:szCs w:val="32"/>
          <w:lang w:val="en-US" w:eastAsia="zh-CN"/>
        </w:rPr>
        <w:t>1、按照规定权限，履行全民所有土地、矿产、森林、草原、湿地、水等自然资源资产所有者职责和所有国土空间用途管制职责。拟订全县自然资源和国土空间规划地方性法规、政府规章草案，制定有关政策措施并监督检查执行情况。</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负责全县自然资源调查监测评价。依照自然资源调查监测评价的指标体系和统计标准，建立统一规范的自然资源调查监测评价制度。实施自然资源基础调查、专项调查和监测。负责自然资源调查监测评价成果的监督管理和信息发布。</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指导监督自然资源和不动产确权登记工作。</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负责全县自然资源资产有偿使用工作。建立全民所有自然资源资产统计制度，负责全民所有自然资源资产核算。编制全民所有自然资源资产负债表，依照有关标准组织考核。按照规定权限，制定全民所有自然资源资产划拨、出让、租赁、作价出资和土地储备政策，合理配置全民所有自然资源资产。负责自然资源资产价值评估管理，依法收缴相关资产收益。</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负责全县自然资源的合理开发利用。组织拟订自然资源发展规划和战略，制定自然资源开发利用地方标准并组织实施，建立政府公示自然资源价格体系，组织开展自然资源分等定级价格评估，开展自然资源利用评价考核，指导节约集约利用。负责自然资源市场监管。组织研究自然资源管理涉及宏观调控、区域协调和城乡统筹的政策措施。</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负责建立全县空间规划体系并监督实施，推进主体功能区战略和制度，组织编制并监督实施国土空间规划和相关专项规划。开展国土空间开发适宜性评价，建立国土空间规划实施监测、评估和预警体系。组织划定生态保护红线、永久基本农田、城镇开发边界等控制线，构建节约资源和保护环境的生产、生活、生态空间布局。建立健全国土空间用途管制制度，研究拟订城乡规划政策并监督实施。组织拟订并实施土地等自然资源年度利用计划。负责土地等国土空间用途转用工作。负责土地征收征用管理。</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负责统筹全县国土空间生态修复。牵头组织编制全县国土空间生态修复规划并实施有关生态修复重大工程。负责开展国土空间综合整治、土地整理复垦、矿山地质环境恢复治理等工作。牵头建立和实施生态保护补偿制度，制定合理利用社会资金进行生态修复的政策措施，提出重大备选项目。</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负责组织实施最严格的耕地保护制度。牵头拟订并实施全县耕地保护政策，负责耕地数量、质量、生态保护。组织实施耕地保护责任目标考核和永久基本农田特殊保护。完善耕地占补平衡制度，监督占用耕地补偿制度执行情况。</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9、负责管理全县地质勘查行业和地质工作。拟订全县地质勘查规划并监督检查执行情况。管理县级地质勘查项目。组织实施重大地质矿产勘查专项。负责地质灾害预防和治理，监督管理地下水过量开采及引发的地面沉降等地质问题。负责古生物化石的监督管理。</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负责落实综合防灾减灾规划相关要求，组织编制并实施地质灾害防治规划。组织、指导、协调和监督地质灾害调查评价及隐患的普查、详查、排查。组织、指导开展群测群防、专业监测和预报预警等工作，组织、指导开展地质灾害工程治理工作。承担地质灾害应急救援的技术保障工作。</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11、负责全县矿产资源管理工作。负责矿产资源储量管理及压覆矿产资源审批。负责矿业权管理。会同有关部门承担保护性开采的特定矿种、优势矿产的调控及相关管理工作。监督指导矿产资源合理利用和保护。</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12、负责全县测绘地理信息工作。负责基础测绘地理信息工作的统一监督管理。根据国家、省级和州级基础测绘规划以及全县实际情况，会同有关部门组织编制实施全县基础测绘规划和年度计划。按照分级管理权限组织实施基础测绘项目。负责本级基础测绘成果资料提供使用的审批。</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13、推动全县自然资源领域科技发展和对外合作。制定并实施全县自然资源领域科技创新发展和人才培养规划、计划。组织制定地方技术标准、规程规范并监督实施。组织实施重大科技专项及创新能力建设，推进自然资源信息化和信息资料的公共服务。组织开展全县自然资源系统对外交流合作。</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14、配合国家、省、州对县政府落实党中央、国务院关于自然资源和国土空间规划的重大方针政策、决策部署及法律法规执行情况进行督察。按照县委、县政府安排，组织实施自然资源督察相关工作。查处全县自然资源开发利用、国土空间规划等领域重大违法案件。指导本级有关行政执法工作。</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15、负责职责范围内的安全生产和职业健康、生态环境保护、审批服务便民化等工作。</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16、统一领导和管理壤塘县林业和草原局。</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17、完成县委和县政府交办的其他任务。</w:t>
      </w:r>
    </w:p>
    <w:p>
      <w:pPr>
        <w:pStyle w:val="2"/>
        <w:adjustRightInd w:val="0"/>
        <w:snapToGrid w:val="0"/>
        <w:spacing w:before="93" w:line="600" w:lineRule="exact"/>
        <w:ind w:firstLine="640" w:firstLineChars="200"/>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18、职能转变。落实关于统一行使全民所有自然资源资产所有者职责，统一行使所有国土空间用途管制和生态保护修复职责的要求，发挥国土空间规划的管控作用，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有关职责分工。在地质灾害应急工作方面的职责分工。县自然资源局与县应急局要做到各司其职、无缝对接。县应急局负责统一组织、统一指挥、统一协调自然灾害类突发事件应急救援救灾工作。县自然资源局负责落实综合防灾减灾规划相关要求，组织编制并实施地质灾害防治规划；组织、指导、协调和监督地质灾害调查评价及隐患的普查、详查、排查；组织、指导、开展地质灾害工程治理工作；承担地质灾害应急救援的技术保障工作。必要时，县自然资源局可以提请县应急局，以县应急指挥机构名义部署相关地质灾害防治工作。县自然资源局负责地质灾害防治工作的组织、协调、指导和监督，做好威胁城镇居民和乡村农户安全的地质灾害防治工作的组织实施。县交通运输局负责做好公路（不含乡道、村道）沿线危及交通设施和通行安全的地质灾害防治工作的组织实施。县水务局负责做好河道、水利设施及周边地质灾害防治工作的组织实施。</w:t>
      </w:r>
    </w:p>
    <w:bookmarkEnd w:id="17"/>
    <w:bookmarkEnd w:id="18"/>
    <w:bookmarkEnd w:id="19"/>
    <w:p>
      <w:pPr>
        <w:pStyle w:val="4"/>
        <w:rPr>
          <w:rStyle w:val="26"/>
          <w:b w:val="0"/>
          <w:bCs w:val="0"/>
        </w:rPr>
      </w:pPr>
      <w:bookmarkStart w:id="20" w:name="_Toc15396601"/>
      <w:bookmarkStart w:id="21" w:name="_Toc15377200"/>
      <w:bookmarkStart w:id="22" w:name="_Toc28958"/>
      <w:bookmarkStart w:id="23" w:name="_Toc7916360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bookmarkEnd w:id="22"/>
      <w:bookmarkEnd w:id="23"/>
    </w:p>
    <w:p>
      <w:pPr>
        <w:widowControl/>
        <w:adjustRightInd w:val="0"/>
        <w:snapToGrid w:val="0"/>
        <w:spacing w:line="560" w:lineRule="exact"/>
        <w:ind w:firstLine="640" w:firstLineChars="200"/>
        <w:contextualSpacing/>
        <w:jc w:val="left"/>
        <w:rPr>
          <w:rFonts w:hint="eastAsia" w:ascii="仿宋" w:hAnsi="仿宋" w:eastAsia="仿宋" w:cs="宋体"/>
          <w:color w:val="000000"/>
          <w:kern w:val="0"/>
          <w:sz w:val="32"/>
          <w:szCs w:val="32"/>
          <w:shd w:val="clear" w:color="auto" w:fill="FFFFFF"/>
          <w:lang w:val="zh-CN"/>
        </w:rPr>
      </w:pPr>
      <w:bookmarkStart w:id="24" w:name="_Toc15377204"/>
      <w:bookmarkStart w:id="25" w:name="_Toc79163609"/>
      <w:bookmarkStart w:id="26" w:name="_Toc15396602"/>
      <w:r>
        <w:rPr>
          <w:rFonts w:hint="eastAsia" w:ascii="仿宋" w:hAnsi="仿宋" w:eastAsia="仿宋"/>
          <w:sz w:val="32"/>
          <w:szCs w:val="32"/>
        </w:rPr>
        <w:t>我单位无二级预算单位。</w:t>
      </w:r>
      <w:r>
        <w:rPr>
          <w:rFonts w:hint="eastAsia" w:ascii="仿宋" w:hAnsi="仿宋" w:eastAsia="仿宋" w:cs="宋体"/>
          <w:color w:val="000000"/>
          <w:kern w:val="0"/>
          <w:sz w:val="32"/>
          <w:szCs w:val="32"/>
          <w:shd w:val="clear" w:color="auto" w:fill="FFFFFF"/>
          <w:lang w:val="zh-CN"/>
        </w:rPr>
        <w:t>事业机构</w:t>
      </w:r>
      <w:r>
        <w:rPr>
          <w:rFonts w:ascii="仿宋" w:hAnsi="仿宋" w:eastAsia="仿宋" w:cs="宋体"/>
          <w:color w:val="000000"/>
          <w:kern w:val="0"/>
          <w:sz w:val="32"/>
          <w:szCs w:val="32"/>
          <w:shd w:val="clear" w:color="auto" w:fill="FFFFFF"/>
          <w:lang w:val="zh-CN"/>
        </w:rPr>
        <w:t>5</w:t>
      </w:r>
      <w:r>
        <w:rPr>
          <w:rFonts w:hint="eastAsia" w:ascii="仿宋" w:hAnsi="仿宋" w:eastAsia="仿宋" w:cs="宋体"/>
          <w:color w:val="000000"/>
          <w:kern w:val="0"/>
          <w:sz w:val="32"/>
          <w:szCs w:val="32"/>
          <w:shd w:val="clear" w:color="auto" w:fill="FFFFFF"/>
          <w:lang w:val="zh-CN"/>
        </w:rPr>
        <w:t>个，为不动产登记中心，</w:t>
      </w:r>
      <w:r>
        <w:rPr>
          <w:rFonts w:hint="eastAsia" w:ascii="仿宋" w:hAnsi="仿宋" w:eastAsia="仿宋" w:cs="宋体"/>
          <w:color w:val="000000"/>
          <w:kern w:val="0"/>
          <w:sz w:val="32"/>
          <w:szCs w:val="32"/>
          <w:shd w:val="clear" w:color="auto" w:fill="FFFFFF"/>
          <w:lang w:val="en-US" w:eastAsia="zh-CN"/>
        </w:rPr>
        <w:t>编制数8个，在编8人；</w:t>
      </w:r>
      <w:r>
        <w:rPr>
          <w:rFonts w:hint="eastAsia" w:ascii="仿宋" w:hAnsi="仿宋" w:eastAsia="仿宋" w:cs="宋体"/>
          <w:color w:val="000000"/>
          <w:kern w:val="0"/>
          <w:sz w:val="32"/>
          <w:szCs w:val="32"/>
          <w:shd w:val="clear" w:color="auto" w:fill="FFFFFF"/>
          <w:lang w:val="zh-CN"/>
        </w:rPr>
        <w:t>自然资源监察执法中队，</w:t>
      </w:r>
      <w:r>
        <w:rPr>
          <w:rFonts w:hint="eastAsia" w:ascii="仿宋" w:hAnsi="仿宋" w:eastAsia="仿宋" w:cs="宋体"/>
          <w:color w:val="000000"/>
          <w:kern w:val="0"/>
          <w:sz w:val="32"/>
          <w:szCs w:val="32"/>
          <w:shd w:val="clear" w:color="auto" w:fill="FFFFFF"/>
          <w:lang w:val="en-US" w:eastAsia="zh-CN"/>
        </w:rPr>
        <w:t>编制数4个，在编2人；</w:t>
      </w:r>
      <w:r>
        <w:rPr>
          <w:rFonts w:hint="eastAsia" w:ascii="仿宋" w:hAnsi="仿宋" w:eastAsia="仿宋" w:cs="宋体"/>
          <w:color w:val="000000"/>
          <w:kern w:val="0"/>
          <w:sz w:val="32"/>
          <w:szCs w:val="32"/>
          <w:shd w:val="clear" w:color="auto" w:fill="FFFFFF"/>
          <w:lang w:val="zh-CN"/>
        </w:rPr>
        <w:t>岗木达自然资源所，</w:t>
      </w:r>
      <w:r>
        <w:rPr>
          <w:rFonts w:hint="eastAsia" w:ascii="仿宋" w:hAnsi="仿宋" w:eastAsia="仿宋" w:cs="宋体"/>
          <w:color w:val="000000"/>
          <w:kern w:val="0"/>
          <w:sz w:val="32"/>
          <w:szCs w:val="32"/>
          <w:shd w:val="clear" w:color="auto" w:fill="FFFFFF"/>
          <w:lang w:val="en-US" w:eastAsia="zh-CN"/>
        </w:rPr>
        <w:t>编制数3个，在编3人；</w:t>
      </w:r>
      <w:r>
        <w:rPr>
          <w:rFonts w:hint="eastAsia" w:ascii="仿宋" w:hAnsi="仿宋" w:eastAsia="仿宋" w:cs="宋体"/>
          <w:color w:val="000000"/>
          <w:kern w:val="0"/>
          <w:sz w:val="32"/>
          <w:szCs w:val="32"/>
          <w:shd w:val="clear" w:color="auto" w:fill="FFFFFF"/>
          <w:lang w:val="zh-CN"/>
        </w:rPr>
        <w:t>蒲西自然资源所，</w:t>
      </w:r>
      <w:r>
        <w:rPr>
          <w:rFonts w:hint="eastAsia" w:ascii="仿宋" w:hAnsi="仿宋" w:eastAsia="仿宋" w:cs="宋体"/>
          <w:color w:val="000000"/>
          <w:kern w:val="0"/>
          <w:sz w:val="32"/>
          <w:szCs w:val="32"/>
          <w:shd w:val="clear" w:color="auto" w:fill="FFFFFF"/>
          <w:lang w:val="en-US" w:eastAsia="zh-CN"/>
        </w:rPr>
        <w:t>编制数4个，在编4人；</w:t>
      </w:r>
      <w:r>
        <w:rPr>
          <w:rFonts w:hint="eastAsia" w:ascii="仿宋" w:hAnsi="仿宋" w:eastAsia="仿宋" w:cs="宋体"/>
          <w:color w:val="000000"/>
          <w:kern w:val="0"/>
          <w:sz w:val="32"/>
          <w:szCs w:val="32"/>
          <w:shd w:val="clear" w:color="auto" w:fill="FFFFFF"/>
          <w:lang w:val="zh-CN"/>
        </w:rPr>
        <w:t>南木达自然资源所，</w:t>
      </w:r>
      <w:r>
        <w:rPr>
          <w:rFonts w:hint="eastAsia" w:ascii="仿宋" w:hAnsi="仿宋" w:eastAsia="仿宋" w:cs="宋体"/>
          <w:color w:val="000000"/>
          <w:kern w:val="0"/>
          <w:sz w:val="32"/>
          <w:szCs w:val="32"/>
          <w:shd w:val="clear" w:color="auto" w:fill="FFFFFF"/>
          <w:lang w:val="en-US" w:eastAsia="zh-CN"/>
        </w:rPr>
        <w:t>编制人数3个，在编3人</w:t>
      </w:r>
      <w:r>
        <w:rPr>
          <w:rFonts w:hint="eastAsia" w:ascii="仿宋" w:hAnsi="仿宋" w:eastAsia="仿宋" w:cs="宋体"/>
          <w:color w:val="000000"/>
          <w:kern w:val="0"/>
          <w:sz w:val="32"/>
          <w:szCs w:val="32"/>
          <w:shd w:val="clear" w:color="auto" w:fill="FFFFFF"/>
          <w:lang w:val="zh-CN"/>
        </w:rPr>
        <w:t>。</w:t>
      </w:r>
    </w:p>
    <w:p>
      <w:pPr>
        <w:rPr>
          <w:rFonts w:hint="eastAsia" w:ascii="仿宋" w:hAnsi="仿宋" w:eastAsia="仿宋"/>
          <w:sz w:val="32"/>
          <w:szCs w:val="32"/>
        </w:rPr>
      </w:pPr>
      <w:r>
        <w:rPr>
          <w:rFonts w:hint="default" w:ascii="仿宋" w:hAnsi="仿宋" w:eastAsia="仿宋"/>
          <w:sz w:val="32"/>
          <w:szCs w:val="32"/>
          <w:lang w:val="en-US" w:eastAsia="zh-CN"/>
        </w:rPr>
        <w:br w:type="page"/>
      </w:r>
    </w:p>
    <w:p>
      <w:pPr>
        <w:pStyle w:val="3"/>
        <w:ind w:right="440"/>
        <w:jc w:val="right"/>
        <w:rPr>
          <w:rStyle w:val="25"/>
          <w:rFonts w:ascii="黑体" w:hAnsi="黑体" w:eastAsia="黑体"/>
          <w:b w:val="0"/>
          <w:bCs w:val="0"/>
        </w:rPr>
      </w:pPr>
      <w:bookmarkStart w:id="27" w:name="_Toc6249"/>
      <w:r>
        <w:rPr>
          <w:rFonts w:hint="eastAsia" w:ascii="黑体" w:hAnsi="黑体" w:eastAsia="黑体"/>
          <w:b w:val="0"/>
          <w:color w:val="000000"/>
        </w:rPr>
        <w:t>第二部分</w:t>
      </w:r>
      <w:r>
        <w:rPr>
          <w:rFonts w:ascii="黑体" w:hAnsi="黑体" w:eastAsia="黑体"/>
          <w:color w:val="000000"/>
        </w:rPr>
        <w:t xml:space="preserve"> </w:t>
      </w:r>
      <w:r>
        <w:rPr>
          <w:rStyle w:val="25"/>
          <w:rFonts w:hint="eastAsia" w:ascii="黑体" w:hAnsi="黑体" w:eastAsia="黑体"/>
          <w:b w:val="0"/>
          <w:bCs w:val="0"/>
          <w:lang w:eastAsia="zh-CN"/>
        </w:rPr>
        <w:t>2022年</w:t>
      </w:r>
      <w:r>
        <w:rPr>
          <w:rStyle w:val="25"/>
          <w:rFonts w:hint="eastAsia" w:ascii="黑体" w:hAnsi="黑体" w:eastAsia="黑体"/>
          <w:b w:val="0"/>
          <w:bCs w:val="0"/>
        </w:rPr>
        <w:t>度部门决算情况说明</w:t>
      </w:r>
      <w:bookmarkEnd w:id="24"/>
      <w:bookmarkEnd w:id="25"/>
      <w:bookmarkEnd w:id="26"/>
      <w:bookmarkEnd w:id="27"/>
    </w:p>
    <w:p/>
    <w:p>
      <w:pPr>
        <w:pStyle w:val="36"/>
        <w:numPr>
          <w:ilvl w:val="0"/>
          <w:numId w:val="1"/>
        </w:numPr>
        <w:spacing w:line="600" w:lineRule="exact"/>
        <w:ind w:firstLineChars="0"/>
        <w:outlineLvl w:val="1"/>
        <w:rPr>
          <w:rStyle w:val="26"/>
          <w:rFonts w:ascii="黑体" w:hAnsi="黑体" w:eastAsia="黑体"/>
          <w:b w:val="0"/>
        </w:rPr>
      </w:pPr>
      <w:bookmarkStart w:id="28" w:name="_Toc18097"/>
      <w:bookmarkStart w:id="29" w:name="_Toc79163610"/>
      <w:bookmarkStart w:id="30" w:name="_Toc15396603"/>
      <w:bookmarkStart w:id="31"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bookmarkEnd w:id="30"/>
      <w:bookmarkEnd w:id="31"/>
    </w:p>
    <w:p>
      <w:pPr>
        <w:spacing w:line="600" w:lineRule="exact"/>
        <w:ind w:firstLine="640" w:firstLineChars="200"/>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度收入总计</w:t>
      </w:r>
      <w:r>
        <w:rPr>
          <w:rFonts w:hint="eastAsia" w:ascii="仿宋" w:hAnsi="仿宋" w:eastAsia="仿宋"/>
          <w:color w:val="000000"/>
          <w:sz w:val="32"/>
          <w:szCs w:val="32"/>
          <w:lang w:eastAsia="zh-CN"/>
        </w:rPr>
        <w:t>222.99</w:t>
      </w:r>
      <w:r>
        <w:rPr>
          <w:rFonts w:hint="eastAsia" w:ascii="仿宋" w:hAnsi="仿宋" w:eastAsia="仿宋"/>
          <w:color w:val="000000"/>
          <w:sz w:val="32"/>
          <w:szCs w:val="32"/>
        </w:rPr>
        <w:t>万元、支出总计</w:t>
      </w:r>
      <w:r>
        <w:rPr>
          <w:rFonts w:hint="eastAsia" w:ascii="仿宋" w:hAnsi="仿宋" w:eastAsia="仿宋"/>
          <w:color w:val="000000"/>
          <w:sz w:val="32"/>
          <w:szCs w:val="32"/>
          <w:lang w:eastAsia="zh-CN"/>
        </w:rPr>
        <w:t>237.94</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相比，收入增加</w:t>
      </w:r>
      <w:r>
        <w:rPr>
          <w:rFonts w:hint="eastAsia" w:ascii="仿宋" w:hAnsi="仿宋" w:eastAsia="仿宋"/>
          <w:color w:val="000000"/>
          <w:sz w:val="32"/>
          <w:szCs w:val="32"/>
          <w:lang w:eastAsia="zh-CN"/>
        </w:rPr>
        <w:t>40.22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增长22.01</w:t>
      </w:r>
      <w:r>
        <w:rPr>
          <w:rFonts w:hint="eastAsia" w:ascii="仿宋" w:hAnsi="仿宋" w:eastAsia="仿宋"/>
          <w:color w:val="000000"/>
          <w:sz w:val="32"/>
          <w:szCs w:val="32"/>
        </w:rPr>
        <w:t>%。支出增加</w:t>
      </w:r>
      <w:r>
        <w:rPr>
          <w:rFonts w:hint="eastAsia" w:ascii="仿宋" w:hAnsi="仿宋" w:eastAsia="仿宋"/>
          <w:color w:val="000000"/>
          <w:sz w:val="32"/>
          <w:szCs w:val="32"/>
          <w:lang w:eastAsia="zh-CN"/>
        </w:rPr>
        <w:t>25.17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增长11.83</w:t>
      </w:r>
      <w:r>
        <w:rPr>
          <w:rFonts w:hint="eastAsia" w:ascii="仿宋" w:hAnsi="仿宋" w:eastAsia="仿宋"/>
          <w:color w:val="000000"/>
          <w:sz w:val="32"/>
          <w:szCs w:val="32"/>
        </w:rPr>
        <w:t>%。增加主要变动原因是人员增加</w:t>
      </w:r>
      <w:r>
        <w:rPr>
          <w:rFonts w:hint="eastAsia" w:ascii="仿宋" w:hAnsi="仿宋" w:eastAsia="仿宋"/>
          <w:color w:val="000000"/>
          <w:sz w:val="32"/>
          <w:szCs w:val="32"/>
          <w:lang w:val="en-US" w:eastAsia="zh-CN"/>
        </w:rPr>
        <w:t>。</w:t>
      </w:r>
    </w:p>
    <w:p>
      <w:pPr>
        <w:pStyle w:val="8"/>
        <w:jc w:val="center"/>
        <w:rPr>
          <w:rFonts w:hint="eastAsia"/>
          <w:lang w:val="en-US" w:eastAsia="zh-CN"/>
        </w:rPr>
      </w:pPr>
      <w:r>
        <w:drawing>
          <wp:inline distT="0" distB="0" distL="114300" distR="114300">
            <wp:extent cx="4225925" cy="2172970"/>
            <wp:effectExtent l="4445" t="4445" r="6350" b="17145"/>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lang w:val="en-US" w:eastAsia="zh-CN"/>
        </w:rPr>
        <w:t xml:space="preserve">  </w:t>
      </w:r>
    </w:p>
    <w:p>
      <w:pPr>
        <w:pStyle w:val="8"/>
        <w:jc w:val="both"/>
        <w:rPr>
          <w:rFonts w:ascii="仿宋_GB2312" w:eastAsia="仿宋_GB2312"/>
          <w:color w:val="000000"/>
          <w:sz w:val="32"/>
          <w:szCs w:val="32"/>
        </w:rPr>
      </w:pPr>
      <w:r>
        <w:rPr>
          <w:rFonts w:hint="eastAsia"/>
          <w:lang w:val="en-US" w:eastAsia="zh-CN"/>
        </w:rPr>
        <w:t xml:space="preserve">   </w:t>
      </w:r>
      <w:r>
        <w:drawing>
          <wp:inline distT="0" distB="0" distL="114300" distR="114300">
            <wp:extent cx="4266565" cy="2131695"/>
            <wp:effectExtent l="4445" t="4445" r="11430" b="12700"/>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8"/>
      </w:pPr>
    </w:p>
    <w:p>
      <w:pPr>
        <w:pStyle w:val="8"/>
      </w:pPr>
    </w:p>
    <w:p>
      <w:pPr>
        <w:pStyle w:val="36"/>
        <w:numPr>
          <w:ilvl w:val="0"/>
          <w:numId w:val="1"/>
        </w:numPr>
        <w:spacing w:line="600" w:lineRule="exact"/>
        <w:ind w:firstLineChars="0"/>
        <w:outlineLvl w:val="1"/>
        <w:rPr>
          <w:rStyle w:val="26"/>
          <w:rFonts w:ascii="黑体" w:hAnsi="黑体" w:eastAsia="黑体"/>
          <w:b w:val="0"/>
        </w:rPr>
      </w:pPr>
      <w:bookmarkStart w:id="32" w:name="_Toc15396604"/>
      <w:bookmarkStart w:id="33" w:name="_Toc15377206"/>
      <w:bookmarkStart w:id="34" w:name="_Toc79163611"/>
      <w:bookmarkStart w:id="35" w:name="_Toc10448"/>
      <w:r>
        <w:rPr>
          <w:rFonts w:hint="eastAsia" w:ascii="黑体" w:hAnsi="黑体" w:eastAsia="黑体"/>
          <w:color w:val="000000"/>
          <w:sz w:val="32"/>
          <w:szCs w:val="32"/>
        </w:rPr>
        <w:t>收</w:t>
      </w:r>
      <w:r>
        <w:rPr>
          <w:rStyle w:val="26"/>
          <w:rFonts w:hint="eastAsia" w:ascii="黑体" w:hAnsi="黑体" w:eastAsia="黑体"/>
          <w:b w:val="0"/>
        </w:rPr>
        <w:t>入决算情况说明</w:t>
      </w:r>
      <w:bookmarkEnd w:id="32"/>
      <w:bookmarkEnd w:id="33"/>
      <w:bookmarkEnd w:id="34"/>
      <w:bookmarkEnd w:id="3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本年收入合计</w:t>
      </w:r>
      <w:r>
        <w:rPr>
          <w:rFonts w:hint="eastAsia" w:ascii="仿宋" w:hAnsi="仿宋" w:eastAsia="仿宋"/>
          <w:color w:val="000000"/>
          <w:sz w:val="32"/>
          <w:szCs w:val="32"/>
          <w:lang w:eastAsia="zh-CN"/>
        </w:rPr>
        <w:t>222.99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222.99</w:t>
      </w:r>
      <w:r>
        <w:rPr>
          <w:rFonts w:hint="eastAsia" w:ascii="仿宋" w:hAnsi="仿宋" w:eastAsia="仿宋"/>
          <w:color w:val="000000"/>
          <w:sz w:val="32"/>
          <w:szCs w:val="32"/>
        </w:rPr>
        <w:t>万元，占100%</w:t>
      </w:r>
      <w:r>
        <w:rPr>
          <w:rFonts w:hint="eastAsia" w:ascii="仿宋" w:hAnsi="仿宋" w:eastAsia="仿宋"/>
          <w:color w:val="000000"/>
          <w:sz w:val="32"/>
          <w:szCs w:val="32"/>
          <w:lang w:eastAsia="zh-CN"/>
        </w:rPr>
        <w:t>。</w:t>
      </w:r>
    </w:p>
    <w:p>
      <w:pPr>
        <w:pStyle w:val="8"/>
        <w:jc w:val="center"/>
        <w:rPr>
          <w:rFonts w:hint="eastAsia" w:ascii="仿宋" w:hAnsi="仿宋" w:eastAsia="仿宋"/>
          <w:color w:val="000000"/>
          <w:sz w:val="32"/>
          <w:szCs w:val="32"/>
          <w:lang w:eastAsia="zh-CN"/>
        </w:rPr>
      </w:pPr>
      <w:r>
        <w:drawing>
          <wp:inline distT="0" distB="0" distL="114300" distR="114300">
            <wp:extent cx="4484370" cy="2590800"/>
            <wp:effectExtent l="4445" t="4445" r="6985" b="10795"/>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1"/>
        </w:numPr>
        <w:spacing w:line="600" w:lineRule="exact"/>
        <w:ind w:firstLineChars="0"/>
        <w:outlineLvl w:val="1"/>
        <w:rPr>
          <w:rStyle w:val="26"/>
          <w:rFonts w:ascii="黑体" w:hAnsi="黑体" w:eastAsia="黑体"/>
          <w:b w:val="0"/>
        </w:rPr>
      </w:pPr>
      <w:bookmarkStart w:id="36" w:name="_Toc15377207"/>
      <w:bookmarkStart w:id="37" w:name="_Toc28472"/>
      <w:bookmarkStart w:id="38" w:name="_Toc79163612"/>
      <w:bookmarkStart w:id="39"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36"/>
      <w:bookmarkEnd w:id="37"/>
      <w:bookmarkEnd w:id="38"/>
      <w:bookmarkEnd w:id="39"/>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2022年</w:t>
      </w:r>
      <w:r>
        <w:rPr>
          <w:rFonts w:hint="eastAsia" w:ascii="仿宋_GB2312" w:eastAsia="仿宋_GB2312"/>
          <w:sz w:val="32"/>
          <w:szCs w:val="32"/>
        </w:rPr>
        <w:t>本年支出合计</w:t>
      </w:r>
      <w:r>
        <w:rPr>
          <w:rFonts w:hint="eastAsia" w:ascii="仿宋_GB2312" w:eastAsia="仿宋_GB2312"/>
          <w:sz w:val="32"/>
          <w:szCs w:val="32"/>
          <w:lang w:eastAsia="zh-CN"/>
        </w:rPr>
        <w:t>237.94</w:t>
      </w:r>
      <w:r>
        <w:rPr>
          <w:rFonts w:hint="eastAsia" w:ascii="仿宋_GB2312" w:eastAsia="仿宋_GB2312"/>
          <w:sz w:val="32"/>
          <w:szCs w:val="32"/>
        </w:rPr>
        <w:t>万元，其中：基本支出</w:t>
      </w:r>
      <w:r>
        <w:rPr>
          <w:rFonts w:hint="eastAsia" w:ascii="仿宋_GB2312" w:eastAsia="仿宋_GB2312"/>
          <w:sz w:val="32"/>
          <w:szCs w:val="32"/>
          <w:lang w:eastAsia="zh-CN"/>
        </w:rPr>
        <w:t>237.94</w:t>
      </w:r>
      <w:r>
        <w:rPr>
          <w:rFonts w:hint="eastAsia" w:ascii="仿宋_GB2312" w:eastAsia="仿宋_GB2312"/>
          <w:sz w:val="32"/>
          <w:szCs w:val="32"/>
        </w:rPr>
        <w:t>万元，占100%。</w:t>
      </w:r>
    </w:p>
    <w:p>
      <w:pPr>
        <w:pStyle w:val="8"/>
        <w:jc w:val="center"/>
        <w:rPr>
          <w:rFonts w:hint="eastAsia" w:ascii="仿宋" w:hAnsi="仿宋" w:eastAsia="仿宋"/>
          <w:color w:val="000000"/>
          <w:sz w:val="32"/>
          <w:szCs w:val="32"/>
        </w:rPr>
      </w:pPr>
      <w:r>
        <w:drawing>
          <wp:inline distT="0" distB="0" distL="114300" distR="114300">
            <wp:extent cx="4107180" cy="2259330"/>
            <wp:effectExtent l="4445" t="4445" r="18415" b="6985"/>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1280" w:firstLineChars="4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pStyle w:val="2"/>
        <w:rPr>
          <w:rFonts w:hint="eastAsia" w:ascii="仿宋" w:hAnsi="仿宋" w:eastAsia="仿宋"/>
          <w:color w:val="000000"/>
          <w:sz w:val="32"/>
          <w:szCs w:val="32"/>
        </w:rPr>
      </w:pPr>
    </w:p>
    <w:p>
      <w:pPr>
        <w:spacing w:line="600" w:lineRule="exact"/>
        <w:ind w:firstLine="640" w:firstLineChars="200"/>
        <w:outlineLvl w:val="1"/>
        <w:rPr>
          <w:rStyle w:val="26"/>
          <w:rFonts w:ascii="黑体" w:hAnsi="黑体" w:eastAsia="黑体"/>
          <w:b w:val="0"/>
        </w:rPr>
      </w:pPr>
      <w:bookmarkStart w:id="40" w:name="_Toc31396"/>
      <w:bookmarkStart w:id="41" w:name="_Toc15377208"/>
      <w:bookmarkStart w:id="42" w:name="_Toc15396606"/>
      <w:bookmarkStart w:id="43"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0"/>
      <w:bookmarkEnd w:id="41"/>
      <w:bookmarkEnd w:id="42"/>
      <w:bookmarkEnd w:id="43"/>
    </w:p>
    <w:p>
      <w:pPr>
        <w:spacing w:line="600" w:lineRule="exact"/>
        <w:ind w:firstLine="640"/>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财政拨款收入总计</w:t>
      </w:r>
      <w:r>
        <w:rPr>
          <w:rFonts w:hint="eastAsia" w:ascii="仿宋" w:hAnsi="仿宋" w:eastAsia="仿宋"/>
          <w:color w:val="000000"/>
          <w:sz w:val="32"/>
          <w:szCs w:val="32"/>
          <w:lang w:eastAsia="zh-CN"/>
        </w:rPr>
        <w:t>222.99</w:t>
      </w:r>
      <w:r>
        <w:rPr>
          <w:rFonts w:hint="eastAsia" w:ascii="仿宋" w:hAnsi="仿宋" w:eastAsia="仿宋"/>
          <w:color w:val="000000"/>
          <w:sz w:val="32"/>
          <w:szCs w:val="32"/>
        </w:rPr>
        <w:t>万元、支出总计</w:t>
      </w:r>
      <w:r>
        <w:rPr>
          <w:rFonts w:hint="eastAsia" w:ascii="仿宋" w:hAnsi="仿宋" w:eastAsia="仿宋"/>
          <w:color w:val="000000"/>
          <w:sz w:val="32"/>
          <w:szCs w:val="32"/>
          <w:lang w:eastAsia="zh-CN"/>
        </w:rPr>
        <w:t>237.94</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相比，财政拨款收入增加增加</w:t>
      </w:r>
      <w:r>
        <w:rPr>
          <w:rFonts w:hint="eastAsia" w:ascii="仿宋" w:hAnsi="仿宋" w:eastAsia="仿宋"/>
          <w:color w:val="000000"/>
          <w:sz w:val="32"/>
          <w:szCs w:val="32"/>
          <w:lang w:eastAsia="zh-CN"/>
        </w:rPr>
        <w:t>40.22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增长22.01</w:t>
      </w:r>
      <w:r>
        <w:rPr>
          <w:rFonts w:hint="eastAsia" w:ascii="仿宋" w:hAnsi="仿宋" w:eastAsia="仿宋"/>
          <w:color w:val="000000"/>
          <w:sz w:val="32"/>
          <w:szCs w:val="32"/>
        </w:rPr>
        <w:t>%，支出总计增加</w:t>
      </w:r>
      <w:r>
        <w:rPr>
          <w:rFonts w:hint="eastAsia" w:ascii="仿宋" w:hAnsi="仿宋" w:eastAsia="仿宋"/>
          <w:color w:val="000000"/>
          <w:sz w:val="32"/>
          <w:szCs w:val="32"/>
          <w:lang w:eastAsia="zh-CN"/>
        </w:rPr>
        <w:t>25.17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增长11.83</w:t>
      </w:r>
      <w:r>
        <w:rPr>
          <w:rFonts w:hint="eastAsia" w:ascii="仿宋" w:hAnsi="仿宋" w:eastAsia="仿宋"/>
          <w:color w:val="000000"/>
          <w:sz w:val="32"/>
          <w:szCs w:val="32"/>
        </w:rPr>
        <w:t>%。主要变动原因是人员减少</w:t>
      </w:r>
      <w:r>
        <w:rPr>
          <w:rFonts w:hint="eastAsia" w:ascii="仿宋" w:hAnsi="仿宋" w:eastAsia="仿宋"/>
          <w:color w:val="000000"/>
          <w:sz w:val="32"/>
          <w:szCs w:val="32"/>
          <w:lang w:val="en-US" w:eastAsia="zh-CN"/>
        </w:rPr>
        <w:t>。</w:t>
      </w:r>
    </w:p>
    <w:p>
      <w:pPr>
        <w:pStyle w:val="8"/>
        <w:jc w:val="center"/>
        <w:rPr>
          <w:rFonts w:hint="eastAsia"/>
          <w:lang w:val="en-US" w:eastAsia="zh-CN"/>
        </w:rPr>
      </w:pPr>
      <w:r>
        <w:rPr>
          <w:rFonts w:hint="eastAsia"/>
          <w:lang w:val="en-US" w:eastAsia="zh-CN"/>
        </w:rPr>
        <w:t xml:space="preserve"> </w:t>
      </w:r>
      <w:r>
        <w:drawing>
          <wp:inline distT="0" distB="0" distL="114300" distR="114300">
            <wp:extent cx="4307840" cy="2209800"/>
            <wp:effectExtent l="4445" t="4445" r="15875" b="10795"/>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lang w:val="en-US" w:eastAsia="zh-CN"/>
        </w:rPr>
        <w:t xml:space="preserve">   </w:t>
      </w:r>
    </w:p>
    <w:p>
      <w:pPr>
        <w:pStyle w:val="8"/>
        <w:jc w:val="center"/>
        <w:rPr>
          <w:rFonts w:hint="eastAsia"/>
          <w:lang w:val="en-US" w:eastAsia="zh-CN"/>
        </w:rPr>
      </w:pPr>
      <w:r>
        <w:rPr>
          <w:rFonts w:hint="eastAsia"/>
          <w:lang w:val="en-US" w:eastAsia="zh-CN"/>
        </w:rPr>
        <w:t xml:space="preserve"> </w:t>
      </w:r>
      <w:r>
        <w:drawing>
          <wp:inline distT="0" distB="0" distL="114300" distR="114300">
            <wp:extent cx="4302125" cy="2107565"/>
            <wp:effectExtent l="4445" t="4445" r="6350" b="6350"/>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320" w:firstLineChars="1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6"/>
          <w:rFonts w:ascii="黑体" w:hAnsi="黑体" w:eastAsia="黑体"/>
          <w:b w:val="0"/>
        </w:rPr>
      </w:pPr>
      <w:bookmarkStart w:id="44" w:name="_Toc79163614"/>
      <w:bookmarkStart w:id="45" w:name="_Toc15377209"/>
      <w:bookmarkStart w:id="46" w:name="_Toc15396607"/>
      <w:bookmarkStart w:id="47" w:name="_Toc3495"/>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4"/>
      <w:bookmarkEnd w:id="45"/>
      <w:bookmarkEnd w:id="46"/>
      <w:bookmarkEnd w:id="47"/>
    </w:p>
    <w:p>
      <w:pPr>
        <w:spacing w:line="600" w:lineRule="exact"/>
        <w:ind w:firstLine="643" w:firstLineChars="200"/>
        <w:outlineLvl w:val="2"/>
        <w:rPr>
          <w:rFonts w:ascii="仿宋" w:hAnsi="仿宋" w:eastAsia="仿宋"/>
          <w:b/>
          <w:color w:val="000000"/>
          <w:sz w:val="32"/>
          <w:szCs w:val="32"/>
        </w:rPr>
      </w:pPr>
      <w:bookmarkStart w:id="48" w:name="_Toc79163615"/>
      <w:bookmarkStart w:id="49" w:name="_Toc310"/>
      <w:bookmarkStart w:id="50" w:name="_Toc15377210"/>
      <w:r>
        <w:rPr>
          <w:rFonts w:hint="eastAsia" w:ascii="仿宋" w:hAnsi="仿宋" w:eastAsia="仿宋"/>
          <w:b/>
          <w:color w:val="000000"/>
          <w:sz w:val="32"/>
          <w:szCs w:val="32"/>
        </w:rPr>
        <w:t>（一）一般公共预算财政拨款支出决算总体情况</w:t>
      </w:r>
      <w:bookmarkEnd w:id="48"/>
      <w:bookmarkEnd w:id="49"/>
      <w:bookmarkEnd w:id="50"/>
    </w:p>
    <w:p>
      <w:pPr>
        <w:spacing w:line="600" w:lineRule="exact"/>
        <w:ind w:firstLine="640" w:firstLineChars="200"/>
        <w:rPr>
          <w:rFonts w:hint="eastAsia"/>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237.94</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相比，一般公共预算财政拨款增加</w:t>
      </w:r>
      <w:r>
        <w:rPr>
          <w:rFonts w:hint="eastAsia" w:ascii="仿宋" w:hAnsi="仿宋" w:eastAsia="仿宋"/>
          <w:color w:val="000000"/>
          <w:sz w:val="32"/>
          <w:szCs w:val="32"/>
          <w:lang w:eastAsia="zh-CN"/>
        </w:rPr>
        <w:t>25.17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增长11.83</w:t>
      </w:r>
      <w:r>
        <w:rPr>
          <w:rFonts w:hint="eastAsia" w:ascii="仿宋" w:hAnsi="仿宋" w:eastAsia="仿宋"/>
          <w:color w:val="000000"/>
          <w:sz w:val="32"/>
          <w:szCs w:val="32"/>
        </w:rPr>
        <w:t>%。主要变动原因是人员增加</w:t>
      </w:r>
      <w:r>
        <w:rPr>
          <w:rFonts w:hint="eastAsia" w:ascii="仿宋" w:hAnsi="仿宋" w:eastAsia="仿宋"/>
          <w:color w:val="000000"/>
          <w:sz w:val="32"/>
          <w:szCs w:val="32"/>
          <w:lang w:val="en-US" w:eastAsia="zh-CN"/>
        </w:rPr>
        <w:t>。</w:t>
      </w:r>
    </w:p>
    <w:p>
      <w:pPr>
        <w:pStyle w:val="8"/>
        <w:rPr>
          <w:rFonts w:hint="eastAsia"/>
          <w:lang w:val="en-US" w:eastAsia="zh-CN"/>
        </w:rPr>
      </w:pPr>
      <w:r>
        <w:drawing>
          <wp:inline distT="0" distB="0" distL="114300" distR="114300">
            <wp:extent cx="4451350" cy="2510155"/>
            <wp:effectExtent l="4445" t="4445" r="9525" b="15240"/>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51" w:name="_Toc15377211"/>
      <w:bookmarkStart w:id="52" w:name="_Toc31603"/>
      <w:bookmarkStart w:id="53" w:name="_Toc79163616"/>
      <w:r>
        <w:rPr>
          <w:rFonts w:hint="eastAsia" w:ascii="仿宋" w:hAnsi="仿宋" w:eastAsia="仿宋"/>
          <w:b/>
          <w:color w:val="000000"/>
          <w:sz w:val="32"/>
          <w:szCs w:val="32"/>
        </w:rPr>
        <w:t>（二）一般公共预算财政拨款支出决算结构情况</w:t>
      </w:r>
      <w:bookmarkEnd w:id="51"/>
      <w:bookmarkEnd w:id="52"/>
      <w:bookmarkEnd w:id="53"/>
    </w:p>
    <w:p>
      <w:pPr>
        <w:spacing w:line="600" w:lineRule="exact"/>
        <w:ind w:firstLine="64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237.94</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33.05万元，占13.89%；</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13.03万元，占5.48%；</w:t>
      </w:r>
      <w:r>
        <w:rPr>
          <w:rFonts w:hint="eastAsia" w:ascii="仿宋" w:hAnsi="仿宋" w:eastAsia="仿宋"/>
          <w:b/>
          <w:bCs/>
          <w:color w:val="000000"/>
          <w:sz w:val="32"/>
          <w:szCs w:val="32"/>
        </w:rPr>
        <w:t>住房保障支出</w:t>
      </w:r>
      <w:r>
        <w:rPr>
          <w:rFonts w:hint="eastAsia" w:ascii="仿宋" w:hAnsi="仿宋" w:eastAsia="仿宋"/>
          <w:color w:val="000000"/>
          <w:sz w:val="32"/>
          <w:szCs w:val="32"/>
        </w:rPr>
        <w:t>16.21万元，占6.81%；</w:t>
      </w:r>
      <w:r>
        <w:rPr>
          <w:rFonts w:hint="eastAsia" w:ascii="仿宋" w:hAnsi="仿宋" w:eastAsia="仿宋"/>
          <w:b/>
          <w:color w:val="000000"/>
          <w:sz w:val="32"/>
          <w:szCs w:val="32"/>
        </w:rPr>
        <w:t>自然资源海洋气候等</w:t>
      </w:r>
      <w:r>
        <w:rPr>
          <w:rFonts w:hint="eastAsia" w:ascii="仿宋" w:hAnsi="仿宋" w:eastAsia="仿宋"/>
          <w:color w:val="000000"/>
          <w:sz w:val="32"/>
          <w:szCs w:val="32"/>
        </w:rPr>
        <w:t>支出175.65万元，占73.82%</w:t>
      </w:r>
      <w:r>
        <w:rPr>
          <w:rFonts w:hint="eastAsia" w:ascii="仿宋" w:hAnsi="仿宋" w:eastAsia="仿宋"/>
          <w:color w:val="000000"/>
          <w:sz w:val="32"/>
          <w:szCs w:val="32"/>
          <w:lang w:val="en-US" w:eastAsia="zh-CN"/>
        </w:rPr>
        <w:t>。</w:t>
      </w:r>
    </w:p>
    <w:p>
      <w:pPr>
        <w:pStyle w:val="8"/>
      </w:pPr>
      <w:r>
        <w:drawing>
          <wp:inline distT="0" distB="0" distL="114300" distR="114300">
            <wp:extent cx="4466590" cy="2486025"/>
            <wp:effectExtent l="4445" t="4445" r="9525" b="8890"/>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54" w:name="_Toc15851"/>
      <w:bookmarkStart w:id="55" w:name="_Toc79163617"/>
      <w:bookmarkStart w:id="56" w:name="_Toc15377212"/>
      <w:r>
        <w:rPr>
          <w:rFonts w:hint="eastAsia" w:ascii="仿宋" w:hAnsi="仿宋" w:eastAsia="仿宋"/>
          <w:b/>
          <w:color w:val="000000"/>
          <w:sz w:val="32"/>
          <w:szCs w:val="32"/>
        </w:rPr>
        <w:t>（三）一般公共预算财政拨款支出决算具体情况</w:t>
      </w:r>
      <w:bookmarkEnd w:id="54"/>
      <w:bookmarkEnd w:id="55"/>
      <w:bookmarkEnd w:id="56"/>
    </w:p>
    <w:p>
      <w:pPr>
        <w:spacing w:line="600" w:lineRule="exact"/>
        <w:ind w:firstLine="643" w:firstLineChars="200"/>
        <w:rPr>
          <w:rFonts w:ascii="仿宋_GB2312" w:eastAsia="仿宋_GB2312"/>
          <w:b/>
          <w:bCs/>
          <w:sz w:val="32"/>
          <w:szCs w:val="32"/>
        </w:rPr>
      </w:pPr>
      <w:bookmarkStart w:id="57" w:name="_Toc15377213"/>
      <w:bookmarkStart w:id="58" w:name="_Toc15378460"/>
      <w:bookmarkStart w:id="59" w:name="_Toc15377444"/>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val="en-US" w:eastAsia="zh-CN"/>
        </w:rPr>
        <w:t>237.94万元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7"/>
      <w:bookmarkEnd w:id="58"/>
      <w:bookmarkEnd w:id="59"/>
    </w:p>
    <w:p>
      <w:pPr>
        <w:spacing w:line="600" w:lineRule="exact"/>
        <w:ind w:firstLine="643" w:firstLineChars="200"/>
        <w:rPr>
          <w:rFonts w:ascii="仿宋" w:hAnsi="仿宋" w:eastAsia="仿宋"/>
          <w:bCs/>
          <w:color w:val="000000"/>
          <w:sz w:val="32"/>
          <w:szCs w:val="32"/>
        </w:rPr>
      </w:pPr>
      <w:bookmarkStart w:id="60" w:name="_Toc79163618"/>
      <w:bookmarkStart w:id="61" w:name="_Toc15377214"/>
      <w:bookmarkStart w:id="62" w:name="_Toc15396608"/>
      <w:r>
        <w:rPr>
          <w:rStyle w:val="23"/>
          <w:rFonts w:ascii="仿宋" w:hAnsi="仿宋" w:eastAsia="仿宋"/>
          <w:bCs/>
          <w:color w:val="000000"/>
          <w:sz w:val="32"/>
          <w:szCs w:val="32"/>
        </w:rPr>
        <w:t>1.</w:t>
      </w:r>
      <w:r>
        <w:rPr>
          <w:rStyle w:val="23"/>
          <w:rFonts w:hint="eastAsia" w:ascii="仿宋" w:hAnsi="仿宋" w:eastAsia="仿宋"/>
          <w:bCs/>
          <w:color w:val="000000"/>
          <w:sz w:val="32"/>
          <w:szCs w:val="32"/>
        </w:rPr>
        <w:t>社会保障和就业支出（</w:t>
      </w:r>
      <w:r>
        <w:rPr>
          <w:rStyle w:val="23"/>
          <w:rFonts w:hint="eastAsia" w:ascii="仿宋" w:hAnsi="仿宋" w:eastAsia="仿宋"/>
          <w:bCs/>
          <w:color w:val="000000"/>
          <w:sz w:val="32"/>
          <w:szCs w:val="32"/>
          <w:lang w:val="en-US" w:eastAsia="zh-CN"/>
        </w:rPr>
        <w:t>类</w:t>
      </w:r>
      <w:r>
        <w:rPr>
          <w:rStyle w:val="23"/>
          <w:rFonts w:hint="eastAsia" w:ascii="仿宋" w:hAnsi="仿宋" w:eastAsia="仿宋"/>
          <w:bCs/>
          <w:color w:val="000000"/>
          <w:sz w:val="32"/>
          <w:szCs w:val="32"/>
        </w:rPr>
        <w:t>）行政事业单位养老支出</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款</w:t>
      </w:r>
      <w:r>
        <w:rPr>
          <w:rStyle w:val="23"/>
          <w:rFonts w:hint="eastAsia" w:ascii="仿宋" w:hAnsi="仿宋" w:eastAsia="仿宋"/>
          <w:bCs/>
          <w:color w:val="000000"/>
          <w:sz w:val="32"/>
          <w:szCs w:val="32"/>
          <w:lang w:eastAsia="zh-CN"/>
        </w:rPr>
        <w:t>）机关事业单位基本养老保险缴费支出（</w:t>
      </w:r>
      <w:r>
        <w:rPr>
          <w:rStyle w:val="23"/>
          <w:rFonts w:hint="eastAsia" w:ascii="仿宋" w:hAnsi="仿宋" w:eastAsia="仿宋"/>
          <w:bCs/>
          <w:color w:val="000000"/>
          <w:sz w:val="32"/>
          <w:szCs w:val="32"/>
          <w:lang w:val="en-US" w:eastAsia="zh-CN"/>
        </w:rPr>
        <w:t>项）：</w:t>
      </w:r>
      <w:r>
        <w:rPr>
          <w:rStyle w:val="23"/>
          <w:rFonts w:hint="eastAsia" w:ascii="仿宋" w:hAnsi="仿宋" w:eastAsia="仿宋"/>
          <w:b w:val="0"/>
          <w:bCs/>
          <w:color w:val="000000"/>
          <w:sz w:val="32"/>
          <w:szCs w:val="32"/>
        </w:rPr>
        <w:t>支出决算为21.85万元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Cs/>
          <w:color w:val="000000"/>
          <w:sz w:val="32"/>
          <w:szCs w:val="32"/>
        </w:rPr>
      </w:pPr>
      <w:r>
        <w:rPr>
          <w:rStyle w:val="23"/>
          <w:rFonts w:ascii="仿宋" w:hAnsi="仿宋" w:eastAsia="仿宋"/>
          <w:bCs/>
          <w:color w:val="000000"/>
          <w:sz w:val="32"/>
          <w:szCs w:val="32"/>
        </w:rPr>
        <w:t>2.</w:t>
      </w:r>
      <w:r>
        <w:rPr>
          <w:rStyle w:val="23"/>
          <w:rFonts w:hint="eastAsia" w:ascii="仿宋" w:hAnsi="仿宋" w:eastAsia="仿宋"/>
          <w:bCs/>
          <w:color w:val="000000"/>
          <w:sz w:val="32"/>
          <w:szCs w:val="32"/>
        </w:rPr>
        <w:t>社会保障和就业支出（</w:t>
      </w:r>
      <w:r>
        <w:rPr>
          <w:rStyle w:val="23"/>
          <w:rFonts w:hint="eastAsia" w:ascii="仿宋" w:hAnsi="仿宋" w:eastAsia="仿宋"/>
          <w:bCs/>
          <w:color w:val="000000"/>
          <w:sz w:val="32"/>
          <w:szCs w:val="32"/>
          <w:lang w:val="en-US" w:eastAsia="zh-CN"/>
        </w:rPr>
        <w:t>类</w:t>
      </w:r>
      <w:r>
        <w:rPr>
          <w:rStyle w:val="23"/>
          <w:rFonts w:hint="eastAsia" w:ascii="仿宋" w:hAnsi="仿宋" w:eastAsia="仿宋"/>
          <w:bCs/>
          <w:color w:val="000000"/>
          <w:sz w:val="32"/>
          <w:szCs w:val="32"/>
        </w:rPr>
        <w:t>）行政事业单位养老支出</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款</w:t>
      </w:r>
      <w:r>
        <w:rPr>
          <w:rStyle w:val="23"/>
          <w:rFonts w:hint="eastAsia" w:ascii="仿宋" w:hAnsi="仿宋" w:eastAsia="仿宋"/>
          <w:bCs/>
          <w:color w:val="000000"/>
          <w:sz w:val="32"/>
          <w:szCs w:val="32"/>
          <w:lang w:eastAsia="zh-CN"/>
        </w:rPr>
        <w:t>）机关事业单位职业年金缴费支出（</w:t>
      </w:r>
      <w:r>
        <w:rPr>
          <w:rStyle w:val="23"/>
          <w:rFonts w:hint="eastAsia" w:ascii="仿宋" w:hAnsi="仿宋" w:eastAsia="仿宋"/>
          <w:bCs/>
          <w:color w:val="000000"/>
          <w:sz w:val="32"/>
          <w:szCs w:val="32"/>
          <w:lang w:val="en-US" w:eastAsia="zh-CN"/>
        </w:rPr>
        <w:t>项）：</w:t>
      </w:r>
      <w:r>
        <w:rPr>
          <w:rStyle w:val="23"/>
          <w:rFonts w:hint="eastAsia" w:ascii="仿宋" w:hAnsi="仿宋" w:eastAsia="仿宋"/>
          <w:b w:val="0"/>
          <w:bCs/>
          <w:color w:val="000000"/>
          <w:sz w:val="32"/>
          <w:szCs w:val="32"/>
        </w:rPr>
        <w:t>支出决算为11.2万元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hint="eastAsia" w:ascii="仿宋" w:hAnsi="仿宋" w:eastAsia="仿宋"/>
          <w:b w:val="0"/>
          <w:bCs/>
          <w:color w:val="000000"/>
          <w:sz w:val="32"/>
          <w:szCs w:val="32"/>
        </w:rPr>
      </w:pPr>
      <w:r>
        <w:rPr>
          <w:rFonts w:ascii="仿宋" w:hAnsi="仿宋" w:eastAsia="仿宋"/>
          <w:b/>
          <w:bCs w:val="0"/>
          <w:color w:val="000000"/>
          <w:sz w:val="32"/>
          <w:szCs w:val="32"/>
        </w:rPr>
        <w:t>3.</w:t>
      </w:r>
      <w:r>
        <w:rPr>
          <w:rStyle w:val="23"/>
          <w:rFonts w:hint="eastAsia" w:ascii="仿宋" w:hAnsi="仿宋" w:eastAsia="仿宋"/>
          <w:bCs/>
          <w:color w:val="000000"/>
          <w:sz w:val="32"/>
          <w:szCs w:val="32"/>
        </w:rPr>
        <w:t>卫生健康支出（</w:t>
      </w:r>
      <w:r>
        <w:rPr>
          <w:rStyle w:val="23"/>
          <w:rFonts w:hint="eastAsia" w:ascii="仿宋" w:hAnsi="仿宋" w:eastAsia="仿宋"/>
          <w:bCs/>
          <w:color w:val="000000"/>
          <w:sz w:val="32"/>
          <w:szCs w:val="32"/>
          <w:lang w:val="en-US" w:eastAsia="zh-CN"/>
        </w:rPr>
        <w:t>类</w:t>
      </w:r>
      <w:r>
        <w:rPr>
          <w:rStyle w:val="23"/>
          <w:rFonts w:hint="eastAsia" w:ascii="仿宋" w:hAnsi="仿宋" w:eastAsia="仿宋"/>
          <w:bCs/>
          <w:color w:val="000000"/>
          <w:sz w:val="32"/>
          <w:szCs w:val="32"/>
        </w:rPr>
        <w:t>）行政事业单位医疗</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款</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事业</w:t>
      </w:r>
      <w:r>
        <w:rPr>
          <w:rStyle w:val="23"/>
          <w:rFonts w:hint="eastAsia" w:ascii="仿宋" w:hAnsi="仿宋" w:eastAsia="仿宋"/>
          <w:bCs/>
          <w:color w:val="000000"/>
          <w:sz w:val="32"/>
          <w:szCs w:val="32"/>
          <w:lang w:eastAsia="zh-CN"/>
        </w:rPr>
        <w:t>单位医疗（</w:t>
      </w:r>
      <w:r>
        <w:rPr>
          <w:rStyle w:val="23"/>
          <w:rFonts w:hint="eastAsia" w:ascii="仿宋" w:hAnsi="仿宋" w:eastAsia="仿宋"/>
          <w:bCs/>
          <w:color w:val="000000"/>
          <w:sz w:val="32"/>
          <w:szCs w:val="32"/>
          <w:lang w:val="en-US" w:eastAsia="zh-CN"/>
        </w:rPr>
        <w:t>项）：</w:t>
      </w:r>
      <w:r>
        <w:rPr>
          <w:rStyle w:val="23"/>
          <w:rFonts w:hint="eastAsia" w:ascii="仿宋" w:hAnsi="仿宋" w:eastAsia="仿宋"/>
          <w:b w:val="0"/>
          <w:bCs/>
          <w:color w:val="000000"/>
          <w:sz w:val="32"/>
          <w:szCs w:val="32"/>
        </w:rPr>
        <w:t>支出决算为10.2万元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hint="eastAsia" w:ascii="仿宋" w:hAnsi="仿宋" w:eastAsia="仿宋"/>
          <w:b/>
          <w:color w:val="0000FF"/>
          <w:sz w:val="32"/>
          <w:szCs w:val="32"/>
          <w:lang w:val="en-US" w:eastAsia="zh-CN"/>
        </w:rPr>
      </w:pPr>
      <w:r>
        <w:rPr>
          <w:rFonts w:ascii="仿宋" w:hAnsi="仿宋" w:eastAsia="仿宋"/>
          <w:b/>
          <w:color w:val="000000"/>
          <w:sz w:val="32"/>
          <w:szCs w:val="32"/>
        </w:rPr>
        <w:t>4.</w:t>
      </w:r>
      <w:r>
        <w:rPr>
          <w:rStyle w:val="23"/>
          <w:rFonts w:hint="eastAsia" w:ascii="仿宋" w:hAnsi="仿宋" w:eastAsia="仿宋"/>
          <w:bCs/>
          <w:color w:val="000000"/>
          <w:sz w:val="32"/>
          <w:szCs w:val="32"/>
        </w:rPr>
        <w:t>卫生健康支出（</w:t>
      </w:r>
      <w:r>
        <w:rPr>
          <w:rStyle w:val="23"/>
          <w:rFonts w:hint="eastAsia" w:ascii="仿宋" w:hAnsi="仿宋" w:eastAsia="仿宋"/>
          <w:bCs/>
          <w:color w:val="000000"/>
          <w:sz w:val="32"/>
          <w:szCs w:val="32"/>
          <w:lang w:val="en-US" w:eastAsia="zh-CN"/>
        </w:rPr>
        <w:t>类</w:t>
      </w:r>
      <w:r>
        <w:rPr>
          <w:rStyle w:val="23"/>
          <w:rFonts w:hint="eastAsia" w:ascii="仿宋" w:hAnsi="仿宋" w:eastAsia="仿宋"/>
          <w:bCs/>
          <w:color w:val="000000"/>
          <w:sz w:val="32"/>
          <w:szCs w:val="32"/>
        </w:rPr>
        <w:t>）行政事业单位医疗</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款</w:t>
      </w:r>
      <w:r>
        <w:rPr>
          <w:rStyle w:val="23"/>
          <w:rFonts w:hint="eastAsia" w:ascii="仿宋" w:hAnsi="仿宋" w:eastAsia="仿宋"/>
          <w:bCs/>
          <w:color w:val="000000"/>
          <w:sz w:val="32"/>
          <w:szCs w:val="32"/>
          <w:lang w:eastAsia="zh-CN"/>
        </w:rPr>
        <w:t>）其他行政事业单位医疗支（</w:t>
      </w:r>
      <w:r>
        <w:rPr>
          <w:rStyle w:val="23"/>
          <w:rFonts w:hint="eastAsia" w:ascii="仿宋" w:hAnsi="仿宋" w:eastAsia="仿宋"/>
          <w:bCs/>
          <w:color w:val="000000"/>
          <w:sz w:val="32"/>
          <w:szCs w:val="32"/>
          <w:lang w:val="en-US" w:eastAsia="zh-CN"/>
        </w:rPr>
        <w:t>项）：</w:t>
      </w:r>
      <w:r>
        <w:rPr>
          <w:rStyle w:val="23"/>
          <w:rFonts w:hint="eastAsia" w:ascii="仿宋" w:hAnsi="仿宋" w:eastAsia="仿宋"/>
          <w:b w:val="0"/>
          <w:bCs/>
          <w:color w:val="000000"/>
          <w:sz w:val="32"/>
          <w:szCs w:val="32"/>
        </w:rPr>
        <w:t>支出决算为2.83万元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，决算数等于预算数</w:t>
      </w:r>
      <w:r>
        <w:rPr>
          <w:rStyle w:val="23"/>
          <w:rFonts w:hint="eastAsia" w:ascii="仿宋" w:hAnsi="仿宋" w:eastAsia="仿宋"/>
          <w:b w:val="0"/>
          <w:bCs/>
          <w:color w:val="000000"/>
          <w:sz w:val="32"/>
          <w:szCs w:val="32"/>
          <w:lang w:eastAsia="zh-CN"/>
        </w:rPr>
        <w:t>。</w:t>
      </w:r>
    </w:p>
    <w:p>
      <w:pPr>
        <w:spacing w:line="600" w:lineRule="exact"/>
        <w:ind w:firstLine="643" w:firstLineChars="200"/>
        <w:rPr>
          <w:rFonts w:hint="eastAsia" w:ascii="仿宋" w:hAnsi="仿宋" w:eastAsia="仿宋"/>
          <w:color w:val="000000"/>
          <w:sz w:val="32"/>
          <w:szCs w:val="32"/>
        </w:rPr>
      </w:pPr>
      <w:r>
        <w:rPr>
          <w:rFonts w:hint="eastAsia" w:ascii="仿宋" w:hAnsi="仿宋" w:eastAsia="仿宋"/>
          <w:b/>
          <w:bCs/>
          <w:color w:val="000000"/>
          <w:sz w:val="32"/>
          <w:szCs w:val="32"/>
          <w:lang w:val="en-US" w:eastAsia="zh-CN"/>
        </w:rPr>
        <w:t>5</w:t>
      </w:r>
      <w:r>
        <w:rPr>
          <w:rFonts w:ascii="仿宋" w:hAnsi="仿宋" w:eastAsia="仿宋"/>
          <w:b/>
          <w:bCs/>
          <w:color w:val="000000"/>
          <w:sz w:val="32"/>
          <w:szCs w:val="32"/>
        </w:rPr>
        <w:t>.</w:t>
      </w:r>
      <w:r>
        <w:rPr>
          <w:rFonts w:hint="eastAsia" w:ascii="仿宋" w:hAnsi="仿宋" w:eastAsia="仿宋"/>
          <w:b/>
          <w:bCs/>
          <w:color w:val="000000"/>
          <w:sz w:val="32"/>
          <w:szCs w:val="32"/>
        </w:rPr>
        <w:t>自</w:t>
      </w:r>
      <w:r>
        <w:rPr>
          <w:rFonts w:hint="eastAsia" w:ascii="仿宋" w:hAnsi="仿宋" w:eastAsia="仿宋"/>
          <w:b/>
          <w:color w:val="000000"/>
          <w:sz w:val="32"/>
          <w:szCs w:val="32"/>
        </w:rPr>
        <w:t>然资源海洋气象等支出</w:t>
      </w:r>
      <w:r>
        <w:rPr>
          <w:rStyle w:val="23"/>
          <w:rFonts w:hint="eastAsia" w:ascii="仿宋" w:hAnsi="仿宋" w:eastAsia="仿宋"/>
          <w:bCs/>
          <w:color w:val="000000"/>
          <w:sz w:val="32"/>
          <w:szCs w:val="32"/>
        </w:rPr>
        <w:t>（</w:t>
      </w:r>
      <w:r>
        <w:rPr>
          <w:rStyle w:val="23"/>
          <w:rFonts w:hint="eastAsia" w:ascii="仿宋" w:hAnsi="仿宋" w:eastAsia="仿宋"/>
          <w:bCs/>
          <w:color w:val="000000"/>
          <w:sz w:val="32"/>
          <w:szCs w:val="32"/>
          <w:lang w:val="en-US" w:eastAsia="zh-CN"/>
        </w:rPr>
        <w:t>类</w:t>
      </w:r>
      <w:r>
        <w:rPr>
          <w:rStyle w:val="23"/>
          <w:rFonts w:hint="eastAsia" w:ascii="仿宋" w:hAnsi="仿宋" w:eastAsia="仿宋"/>
          <w:bCs/>
          <w:color w:val="000000"/>
          <w:sz w:val="32"/>
          <w:szCs w:val="32"/>
        </w:rPr>
        <w:t>）自然资源事务</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款</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事业</w:t>
      </w:r>
      <w:r>
        <w:rPr>
          <w:rStyle w:val="23"/>
          <w:rFonts w:hint="eastAsia" w:ascii="仿宋" w:hAnsi="仿宋" w:eastAsia="仿宋"/>
          <w:bCs/>
          <w:color w:val="000000"/>
          <w:sz w:val="32"/>
          <w:szCs w:val="32"/>
          <w:lang w:eastAsia="zh-CN"/>
        </w:rPr>
        <w:t>运行（</w:t>
      </w:r>
      <w:r>
        <w:rPr>
          <w:rStyle w:val="23"/>
          <w:rFonts w:hint="eastAsia" w:ascii="仿宋" w:hAnsi="仿宋" w:eastAsia="仿宋"/>
          <w:bCs/>
          <w:color w:val="000000"/>
          <w:sz w:val="32"/>
          <w:szCs w:val="32"/>
          <w:lang w:val="en-US" w:eastAsia="zh-CN"/>
        </w:rPr>
        <w:t>项）：</w:t>
      </w:r>
      <w:r>
        <w:rPr>
          <w:rStyle w:val="23"/>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rPr>
        <w:t>决算为175.65万元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ascii="仿宋" w:hAnsi="仿宋" w:eastAsia="仿宋"/>
          <w:color w:val="000000"/>
          <w:sz w:val="32"/>
          <w:szCs w:val="32"/>
        </w:rPr>
        <w:t>100%</w:t>
      </w:r>
      <w:r>
        <w:rPr>
          <w:rFonts w:hint="eastAsia" w:ascii="仿宋" w:hAnsi="仿宋" w:eastAsia="仿宋"/>
          <w:color w:val="000000"/>
          <w:sz w:val="32"/>
          <w:szCs w:val="32"/>
        </w:rPr>
        <w:t>，决算数等于预算数。</w:t>
      </w:r>
    </w:p>
    <w:p>
      <w:pPr>
        <w:spacing w:line="600" w:lineRule="exact"/>
        <w:ind w:firstLine="643" w:firstLineChars="200"/>
        <w:rPr>
          <w:rFonts w:hint="eastAsia" w:ascii="仿宋" w:hAnsi="仿宋" w:eastAsia="仿宋"/>
          <w:color w:val="000000"/>
          <w:sz w:val="32"/>
          <w:szCs w:val="32"/>
        </w:rPr>
      </w:pPr>
      <w:bookmarkStart w:id="63" w:name="_Toc28145"/>
      <w:bookmarkStart w:id="64" w:name="_Toc9305"/>
      <w:r>
        <w:rPr>
          <w:rFonts w:hint="eastAsia" w:ascii="仿宋" w:hAnsi="仿宋" w:eastAsia="仿宋" w:cs="仿宋"/>
          <w:b/>
          <w:bCs/>
          <w:color w:val="000000"/>
          <w:sz w:val="32"/>
          <w:szCs w:val="32"/>
          <w:lang w:val="en-US" w:eastAsia="zh-CN"/>
        </w:rPr>
        <w:t>6</w:t>
      </w:r>
      <w:r>
        <w:rPr>
          <w:rFonts w:ascii="仿宋" w:hAnsi="仿宋" w:eastAsia="仿宋" w:cs="仿宋"/>
          <w:b/>
          <w:bCs/>
          <w:color w:val="000000"/>
          <w:sz w:val="32"/>
          <w:szCs w:val="32"/>
        </w:rPr>
        <w:t>.</w:t>
      </w:r>
      <w:r>
        <w:rPr>
          <w:rStyle w:val="23"/>
          <w:rFonts w:hint="eastAsia" w:ascii="仿宋" w:hAnsi="仿宋" w:eastAsia="仿宋"/>
          <w:bCs/>
          <w:color w:val="000000"/>
          <w:sz w:val="32"/>
          <w:szCs w:val="32"/>
        </w:rPr>
        <w:t>住房保障支出（</w:t>
      </w:r>
      <w:r>
        <w:rPr>
          <w:rStyle w:val="23"/>
          <w:rFonts w:hint="eastAsia" w:ascii="仿宋" w:hAnsi="仿宋" w:eastAsia="仿宋"/>
          <w:bCs/>
          <w:color w:val="000000"/>
          <w:sz w:val="32"/>
          <w:szCs w:val="32"/>
          <w:lang w:val="en-US" w:eastAsia="zh-CN"/>
        </w:rPr>
        <w:t>类</w:t>
      </w:r>
      <w:r>
        <w:rPr>
          <w:rStyle w:val="23"/>
          <w:rFonts w:hint="eastAsia" w:ascii="仿宋" w:hAnsi="仿宋" w:eastAsia="仿宋"/>
          <w:bCs/>
          <w:color w:val="000000"/>
          <w:sz w:val="32"/>
          <w:szCs w:val="32"/>
        </w:rPr>
        <w:t>）住房改革支出</w:t>
      </w:r>
      <w:r>
        <w:rPr>
          <w:rStyle w:val="23"/>
          <w:rFonts w:hint="eastAsia" w:ascii="仿宋" w:hAnsi="仿宋" w:eastAsia="仿宋"/>
          <w:bCs/>
          <w:color w:val="000000"/>
          <w:sz w:val="32"/>
          <w:szCs w:val="32"/>
          <w:lang w:eastAsia="zh-CN"/>
        </w:rPr>
        <w:t>（</w:t>
      </w:r>
      <w:r>
        <w:rPr>
          <w:rStyle w:val="23"/>
          <w:rFonts w:hint="eastAsia" w:ascii="仿宋" w:hAnsi="仿宋" w:eastAsia="仿宋"/>
          <w:bCs/>
          <w:color w:val="000000"/>
          <w:sz w:val="32"/>
          <w:szCs w:val="32"/>
          <w:lang w:val="en-US" w:eastAsia="zh-CN"/>
        </w:rPr>
        <w:t>款</w:t>
      </w:r>
      <w:r>
        <w:rPr>
          <w:rStyle w:val="23"/>
          <w:rFonts w:hint="eastAsia" w:ascii="仿宋" w:hAnsi="仿宋" w:eastAsia="仿宋"/>
          <w:bCs/>
          <w:color w:val="000000"/>
          <w:sz w:val="32"/>
          <w:szCs w:val="32"/>
          <w:lang w:eastAsia="zh-CN"/>
        </w:rPr>
        <w:t>）住房公积金（</w:t>
      </w:r>
      <w:r>
        <w:rPr>
          <w:rStyle w:val="23"/>
          <w:rFonts w:hint="eastAsia" w:ascii="仿宋" w:hAnsi="仿宋" w:eastAsia="仿宋"/>
          <w:bCs/>
          <w:color w:val="000000"/>
          <w:sz w:val="32"/>
          <w:szCs w:val="32"/>
          <w:lang w:val="en-US" w:eastAsia="zh-CN"/>
        </w:rPr>
        <w:t>项）：</w:t>
      </w:r>
      <w:r>
        <w:rPr>
          <w:rStyle w:val="23"/>
          <w:rFonts w:hint="eastAsia" w:ascii="仿宋" w:hAnsi="仿宋" w:eastAsia="仿宋"/>
          <w:b w:val="0"/>
          <w:bCs/>
          <w:color w:val="000000"/>
          <w:sz w:val="32"/>
          <w:szCs w:val="32"/>
        </w:rPr>
        <w:t>支出决算为16.21万元</w:t>
      </w:r>
      <w:r>
        <w:rPr>
          <w:rStyle w:val="23"/>
          <w:rFonts w:hint="eastAsia" w:ascii="仿宋" w:hAnsi="仿宋" w:eastAsia="仿宋"/>
          <w:b w:val="0"/>
          <w:bCs/>
          <w:color w:val="000000"/>
          <w:sz w:val="32"/>
          <w:szCs w:val="32"/>
          <w:lang w:eastAsia="zh-CN"/>
        </w:rPr>
        <w:t>，</w:t>
      </w:r>
      <w:r>
        <w:rPr>
          <w:rStyle w:val="23"/>
          <w:rFonts w:hint="eastAsia" w:ascii="仿宋" w:hAnsi="仿宋" w:eastAsia="仿宋"/>
          <w:b w:val="0"/>
          <w:bCs/>
          <w:color w:val="000000"/>
          <w:sz w:val="32"/>
          <w:szCs w:val="32"/>
        </w:rPr>
        <w:t>完成预算</w:t>
      </w:r>
      <w:r>
        <w:rPr>
          <w:rStyle w:val="23"/>
          <w:rFonts w:ascii="仿宋" w:hAnsi="仿宋" w:eastAsia="仿宋"/>
          <w:b w:val="0"/>
          <w:bCs/>
          <w:color w:val="000000"/>
          <w:sz w:val="32"/>
          <w:szCs w:val="32"/>
        </w:rPr>
        <w:t>100%</w:t>
      </w:r>
      <w:r>
        <w:rPr>
          <w:rStyle w:val="23"/>
          <w:rFonts w:hint="eastAsia" w:ascii="仿宋" w:hAnsi="仿宋" w:eastAsia="仿宋"/>
          <w:b w:val="0"/>
          <w:bCs/>
          <w:color w:val="000000"/>
          <w:sz w:val="32"/>
          <w:szCs w:val="32"/>
        </w:rPr>
        <w:t>，决算数等于预算数</w:t>
      </w:r>
      <w:r>
        <w:rPr>
          <w:rFonts w:hint="eastAsia" w:ascii="仿宋" w:hAnsi="仿宋" w:eastAsia="仿宋"/>
          <w:color w:val="000000"/>
          <w:sz w:val="32"/>
          <w:szCs w:val="32"/>
        </w:rPr>
        <w:t>。</w:t>
      </w:r>
      <w:bookmarkEnd w:id="63"/>
      <w:bookmarkEnd w:id="64"/>
    </w:p>
    <w:p>
      <w:pPr>
        <w:tabs>
          <w:tab w:val="right" w:pos="8306"/>
        </w:tabs>
        <w:spacing w:line="600" w:lineRule="exact"/>
        <w:ind w:firstLine="640"/>
        <w:outlineLvl w:val="1"/>
        <w:rPr>
          <w:rStyle w:val="26"/>
        </w:rPr>
      </w:pPr>
      <w:bookmarkStart w:id="65" w:name="_Toc4906"/>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0"/>
      <w:bookmarkEnd w:id="61"/>
      <w:bookmarkEnd w:id="62"/>
      <w:bookmarkEnd w:id="65"/>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w:t>
      </w:r>
      <w:r>
        <w:rPr>
          <w:rFonts w:hint="eastAsia" w:ascii="仿宋" w:hAnsi="仿宋" w:eastAsia="仿宋"/>
          <w:color w:val="000000"/>
          <w:sz w:val="32"/>
          <w:szCs w:val="32"/>
          <w:lang w:val="en-US" w:eastAsia="zh-CN"/>
        </w:rPr>
        <w:t>237.94</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bookmarkStart w:id="66" w:name="_Toc79163619"/>
      <w:bookmarkStart w:id="67" w:name="_Toc15396609"/>
      <w:bookmarkStart w:id="68" w:name="_Toc15377215"/>
      <w:r>
        <w:rPr>
          <w:rFonts w:hint="eastAsia" w:ascii="仿宋" w:hAnsi="仿宋" w:eastAsia="仿宋"/>
          <w:b/>
          <w:bCs/>
          <w:color w:val="000000"/>
          <w:sz w:val="32"/>
          <w:szCs w:val="32"/>
        </w:rPr>
        <w:t>人员经费</w:t>
      </w:r>
      <w:r>
        <w:rPr>
          <w:rFonts w:hint="eastAsia" w:ascii="仿宋" w:hAnsi="仿宋" w:eastAsia="仿宋"/>
          <w:color w:val="000000"/>
          <w:sz w:val="32"/>
          <w:szCs w:val="32"/>
        </w:rPr>
        <w:t>226.46万元，主要包括：基本工资、津贴补贴、</w:t>
      </w:r>
      <w:r>
        <w:rPr>
          <w:rFonts w:hint="eastAsia" w:ascii="仿宋" w:hAnsi="仿宋" w:eastAsia="仿宋"/>
          <w:color w:val="000000"/>
          <w:sz w:val="32"/>
          <w:szCs w:val="32"/>
          <w:lang w:val="en-US" w:eastAsia="zh-CN"/>
        </w:rPr>
        <w:t>奖金、</w:t>
      </w:r>
      <w:r>
        <w:rPr>
          <w:rFonts w:hint="eastAsia" w:ascii="仿宋" w:hAnsi="仿宋" w:eastAsia="仿宋"/>
          <w:color w:val="000000"/>
          <w:sz w:val="32"/>
          <w:szCs w:val="32"/>
        </w:rPr>
        <w:t>绩效工资、机关事业单位基本养老保险缴费、职业年金缴费、</w:t>
      </w:r>
      <w:r>
        <w:rPr>
          <w:rFonts w:hint="eastAsia" w:ascii="仿宋" w:hAnsi="仿宋" w:eastAsia="仿宋"/>
          <w:color w:val="000000"/>
          <w:sz w:val="32"/>
          <w:szCs w:val="32"/>
          <w:lang w:val="en-US" w:eastAsia="zh-CN"/>
        </w:rPr>
        <w:t>职工基本医疗保险缴费、其他社会保障</w:t>
      </w:r>
      <w:r>
        <w:rPr>
          <w:rFonts w:hint="eastAsia" w:ascii="仿宋" w:hAnsi="仿宋" w:eastAsia="仿宋"/>
          <w:color w:val="000000"/>
          <w:sz w:val="32"/>
          <w:szCs w:val="32"/>
        </w:rPr>
        <w:t>、住房公积金等。</w:t>
      </w:r>
    </w:p>
    <w:p>
      <w:pPr>
        <w:spacing w:line="600" w:lineRule="exact"/>
        <w:ind w:firstLine="645"/>
        <w:rPr>
          <w:rFonts w:ascii="仿宋" w:hAnsi="仿宋" w:eastAsia="仿宋"/>
          <w:color w:val="000000"/>
          <w:sz w:val="32"/>
          <w:szCs w:val="32"/>
        </w:rPr>
      </w:pPr>
      <w:r>
        <w:rPr>
          <w:rFonts w:hint="eastAsia" w:ascii="仿宋" w:hAnsi="仿宋" w:eastAsia="仿宋"/>
          <w:b/>
          <w:bCs/>
          <w:color w:val="000000"/>
          <w:sz w:val="32"/>
          <w:szCs w:val="32"/>
        </w:rPr>
        <w:t>日常公用经费</w:t>
      </w:r>
      <w:r>
        <w:rPr>
          <w:rFonts w:hint="eastAsia" w:ascii="仿宋" w:hAnsi="仿宋" w:eastAsia="仿宋"/>
          <w:color w:val="000000"/>
          <w:sz w:val="32"/>
          <w:szCs w:val="32"/>
        </w:rPr>
        <w:t>11.48万元，主要包括：办公费、印刷费、</w:t>
      </w:r>
      <w:r>
        <w:rPr>
          <w:rFonts w:hint="eastAsia" w:ascii="仿宋" w:hAnsi="仿宋" w:eastAsia="仿宋"/>
          <w:color w:val="000000"/>
          <w:sz w:val="32"/>
          <w:szCs w:val="32"/>
          <w:lang w:val="en-US" w:eastAsia="zh-CN"/>
        </w:rPr>
        <w:t>水</w:t>
      </w:r>
      <w:r>
        <w:rPr>
          <w:rFonts w:hint="eastAsia" w:ascii="仿宋" w:hAnsi="仿宋" w:eastAsia="仿宋"/>
          <w:color w:val="000000"/>
          <w:sz w:val="32"/>
          <w:szCs w:val="32"/>
        </w:rPr>
        <w:t>费、邮电费、差旅费、维修（护）费。</w:t>
      </w:r>
    </w:p>
    <w:p>
      <w:pPr>
        <w:spacing w:line="600" w:lineRule="exact"/>
        <w:ind w:firstLine="640"/>
        <w:outlineLvl w:val="1"/>
        <w:rPr>
          <w:rStyle w:val="26"/>
          <w:rFonts w:ascii="黑体" w:hAnsi="黑体" w:eastAsia="黑体"/>
          <w:b w:val="0"/>
        </w:rPr>
      </w:pPr>
      <w:bookmarkStart w:id="69" w:name="_Toc2788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6"/>
      <w:bookmarkEnd w:id="67"/>
      <w:bookmarkEnd w:id="68"/>
      <w:bookmarkEnd w:id="69"/>
    </w:p>
    <w:p>
      <w:pPr>
        <w:spacing w:line="600" w:lineRule="exact"/>
        <w:ind w:firstLine="640"/>
        <w:outlineLvl w:val="2"/>
        <w:rPr>
          <w:rFonts w:ascii="仿宋" w:hAnsi="仿宋" w:eastAsia="仿宋"/>
          <w:b/>
          <w:color w:val="000000"/>
          <w:sz w:val="32"/>
          <w:szCs w:val="32"/>
        </w:rPr>
      </w:pPr>
      <w:bookmarkStart w:id="70" w:name="_Toc79163620"/>
      <w:bookmarkStart w:id="71" w:name="_Toc1234"/>
      <w:bookmarkStart w:id="72" w:name="_Toc15377216"/>
      <w:r>
        <w:rPr>
          <w:rFonts w:hint="eastAsia" w:ascii="仿宋" w:hAnsi="仿宋" w:eastAsia="仿宋"/>
          <w:b/>
          <w:color w:val="000000"/>
          <w:sz w:val="32"/>
          <w:szCs w:val="32"/>
        </w:rPr>
        <w:t>（一）“三公”经费财政拨款支出决算总体情况说明</w:t>
      </w:r>
      <w:bookmarkEnd w:id="70"/>
      <w:bookmarkEnd w:id="71"/>
      <w:bookmarkEnd w:id="72"/>
    </w:p>
    <w:p>
      <w:pPr>
        <w:spacing w:line="600" w:lineRule="exact"/>
        <w:ind w:firstLine="640"/>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w:t>
      </w:r>
    </w:p>
    <w:p>
      <w:pPr>
        <w:spacing w:line="600" w:lineRule="exact"/>
        <w:ind w:firstLine="640"/>
        <w:outlineLvl w:val="2"/>
        <w:rPr>
          <w:rFonts w:ascii="仿宋" w:hAnsi="仿宋" w:eastAsia="仿宋"/>
          <w:b/>
          <w:color w:val="000000"/>
          <w:sz w:val="32"/>
          <w:szCs w:val="32"/>
        </w:rPr>
      </w:pPr>
      <w:bookmarkStart w:id="73" w:name="_Toc30858"/>
      <w:bookmarkStart w:id="74" w:name="_Toc79163621"/>
      <w:bookmarkStart w:id="75" w:name="_Toc15377217"/>
      <w:r>
        <w:rPr>
          <w:rFonts w:hint="eastAsia" w:ascii="仿宋" w:hAnsi="仿宋" w:eastAsia="仿宋"/>
          <w:b/>
          <w:color w:val="000000"/>
          <w:sz w:val="32"/>
          <w:szCs w:val="32"/>
        </w:rPr>
        <w:t>（二）“三公”经费财政拨款支出决算具体情况说明</w:t>
      </w:r>
      <w:bookmarkEnd w:id="73"/>
      <w:bookmarkEnd w:id="74"/>
      <w:bookmarkEnd w:id="75"/>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“三公”经费财政拨款支出决算中，因公出国（境）费支出决算0万元，占0%；公务用车购置及运行维护费支出决算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；公务接待费支出决算0万元，占0%。具体情况如下：</w:t>
      </w:r>
    </w:p>
    <w:p>
      <w:pPr>
        <w:spacing w:line="600" w:lineRule="exact"/>
        <w:ind w:firstLine="640"/>
        <w:rPr>
          <w:rFonts w:ascii="仿宋_GB2312" w:hAnsi="Times New Roman" w:eastAsia="仿宋_GB2312" w:cs="Times New Roman"/>
          <w:color w:val="000000"/>
          <w:sz w:val="32"/>
          <w:szCs w:val="32"/>
        </w:rPr>
      </w:pPr>
      <w:bookmarkStart w:id="76" w:name="_Toc15377218"/>
      <w:bookmarkStart w:id="77" w:name="_Toc15396610"/>
      <w:bookmarkStart w:id="78" w:name="_Toc79163622"/>
      <w:r>
        <w:rPr>
          <w:rFonts w:ascii="仿宋_GB2312" w:hAnsi="Times New Roman" w:eastAsia="仿宋_GB2312" w:cs="Times New Roman"/>
          <w:b/>
          <w:color w:val="000000"/>
          <w:sz w:val="32"/>
          <w:szCs w:val="32"/>
        </w:rPr>
        <w:t>1.</w:t>
      </w:r>
      <w:r>
        <w:rPr>
          <w:rFonts w:hint="eastAsia" w:ascii="仿宋_GB2312" w:hAnsi="Times New Roman" w:eastAsia="仿宋_GB2312" w:cs="Times New Roman"/>
          <w:b/>
          <w:color w:val="000000"/>
          <w:sz w:val="32"/>
          <w:szCs w:val="32"/>
        </w:rPr>
        <w:t>因公出国（境）经费支出</w:t>
      </w:r>
      <w:r>
        <w:rPr>
          <w:rFonts w:hint="eastAsia" w:ascii="仿宋_GB2312" w:hAnsi="Times New Roman" w:eastAsia="仿宋_GB2312" w:cs="Times New Roman"/>
          <w:b/>
          <w:color w:val="000000"/>
          <w:sz w:val="32"/>
          <w:szCs w:val="32"/>
          <w:lang w:eastAsia="zh-CN"/>
        </w:rPr>
        <w:t>：</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w:t>
      </w:r>
    </w:p>
    <w:p>
      <w:pPr>
        <w:spacing w:line="600" w:lineRule="exact"/>
        <w:ind w:firstLine="640"/>
        <w:rPr>
          <w:rFonts w:hint="default" w:ascii="仿宋_GB2312" w:hAnsi="Times New Roman" w:eastAsia="仿宋_GB2312" w:cs="Times New Roman"/>
          <w:b/>
          <w:color w:val="000000"/>
          <w:sz w:val="32"/>
          <w:szCs w:val="32"/>
          <w:lang w:val="en-US" w:eastAsia="zh-CN"/>
        </w:rPr>
      </w:pPr>
      <w:r>
        <w:rPr>
          <w:rFonts w:ascii="仿宋_GB2312" w:hAnsi="Times New Roman" w:eastAsia="仿宋_GB2312" w:cs="Times New Roman"/>
          <w:b/>
          <w:color w:val="000000"/>
          <w:sz w:val="32"/>
          <w:szCs w:val="32"/>
        </w:rPr>
        <w:t>2.</w:t>
      </w:r>
      <w:r>
        <w:rPr>
          <w:rFonts w:hint="eastAsia" w:ascii="仿宋_GB2312" w:hAnsi="Times New Roman" w:eastAsia="仿宋_GB2312" w:cs="Times New Roman"/>
          <w:b/>
          <w:color w:val="000000"/>
          <w:sz w:val="32"/>
          <w:szCs w:val="32"/>
        </w:rPr>
        <w:t>公务用车购置及运行维护费支出</w:t>
      </w:r>
      <w:r>
        <w:rPr>
          <w:rFonts w:hint="eastAsia" w:ascii="仿宋_GB2312" w:hAnsi="Times New Roman" w:eastAsia="仿宋_GB2312" w:cs="Times New Roman"/>
          <w:b/>
          <w:color w:val="000000"/>
          <w:sz w:val="32"/>
          <w:szCs w:val="32"/>
          <w:lang w:eastAsia="zh-CN"/>
        </w:rPr>
        <w:t>：</w:t>
      </w:r>
      <w:r>
        <w:rPr>
          <w:rFonts w:hint="eastAsia" w:ascii="仿宋_GB2312"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w:t>
      </w:r>
      <w:r>
        <w:rPr>
          <w:rFonts w:hint="eastAsia" w:ascii="仿宋" w:hAnsi="仿宋" w:eastAsia="仿宋" w:cs="Times New Roman"/>
          <w:b w:val="0"/>
          <w:bCs/>
          <w:color w:val="000000"/>
          <w:sz w:val="32"/>
          <w:szCs w:val="32"/>
        </w:rPr>
        <w:t>。</w:t>
      </w:r>
      <w:r>
        <w:rPr>
          <w:rFonts w:hint="eastAsia" w:ascii="仿宋_GB2312" w:hAnsi="Times New Roman" w:eastAsia="仿宋_GB2312" w:cs="Times New Roman"/>
          <w:color w:val="000000"/>
          <w:sz w:val="32"/>
          <w:szCs w:val="32"/>
        </w:rPr>
        <w:t>公务用车购置及运行维护费支出决算比</w:t>
      </w:r>
      <w:r>
        <w:rPr>
          <w:rFonts w:hint="eastAsia" w:ascii="仿宋_GB2312" w:eastAsia="仿宋_GB2312" w:cs="Times New Roman"/>
          <w:color w:val="000000"/>
          <w:sz w:val="32"/>
          <w:szCs w:val="32"/>
          <w:lang w:eastAsia="zh-CN"/>
        </w:rPr>
        <w:t>2021年</w:t>
      </w:r>
      <w:r>
        <w:rPr>
          <w:rFonts w:hint="eastAsia" w:ascii="仿宋_GB2312" w:hAnsi="Times New Roman" w:eastAsia="仿宋_GB2312" w:cs="Times New Roman"/>
          <w:color w:val="000000"/>
          <w:sz w:val="32"/>
          <w:szCs w:val="32"/>
          <w:lang w:val="en-US" w:eastAsia="zh-CN"/>
        </w:rPr>
        <w:t>减少</w:t>
      </w:r>
      <w:r>
        <w:rPr>
          <w:rFonts w:hint="eastAsia" w:ascii="仿宋_GB2312" w:eastAsia="仿宋_GB2312" w:cs="Times New Roman"/>
          <w:color w:val="000000"/>
          <w:sz w:val="32"/>
          <w:szCs w:val="32"/>
          <w:lang w:val="en-US" w:eastAsia="zh-CN"/>
        </w:rPr>
        <w:t>5</w:t>
      </w:r>
      <w:r>
        <w:rPr>
          <w:rFonts w:hint="eastAsia" w:ascii="仿宋_GB2312" w:hAnsi="Times New Roman" w:eastAsia="仿宋_GB2312" w:cs="Times New Roman"/>
          <w:color w:val="000000"/>
          <w:sz w:val="32"/>
          <w:szCs w:val="32"/>
        </w:rPr>
        <w:t>万元，</w:t>
      </w:r>
      <w:r>
        <w:rPr>
          <w:rFonts w:hint="eastAsia" w:ascii="仿宋_GB2312" w:eastAsia="仿宋_GB2312" w:cs="Times New Roman"/>
          <w:color w:val="000000"/>
          <w:sz w:val="32"/>
          <w:szCs w:val="32"/>
          <w:lang w:val="en-US" w:eastAsia="zh-CN"/>
        </w:rPr>
        <w:t>下降100%</w:t>
      </w:r>
      <w:r>
        <w:rPr>
          <w:rFonts w:hint="eastAsia" w:ascii="仿宋_GB2312" w:hAnsi="Times New Roman" w:eastAsia="仿宋_GB2312" w:cs="Times New Roman"/>
          <w:color w:val="000000"/>
          <w:sz w:val="32"/>
          <w:szCs w:val="32"/>
        </w:rPr>
        <w:t>。主要原因是</w:t>
      </w:r>
      <w:r>
        <w:rPr>
          <w:rFonts w:hint="eastAsia" w:ascii="仿宋_GB2312" w:eastAsia="仿宋_GB2312" w:cs="Times New Roman"/>
          <w:color w:val="000000"/>
          <w:sz w:val="32"/>
          <w:szCs w:val="32"/>
          <w:lang w:val="en-US" w:eastAsia="zh-CN"/>
        </w:rPr>
        <w:t>列入行政单位预算</w:t>
      </w:r>
      <w:r>
        <w:rPr>
          <w:rFonts w:hint="eastAsia" w:ascii="仿宋_GB2312" w:hAnsi="Times New Roman" w:eastAsia="仿宋_GB2312" w:cs="Times New Roman"/>
          <w:color w:val="000000"/>
          <w:sz w:val="32"/>
          <w:szCs w:val="32"/>
          <w:lang w:val="en-US" w:eastAsia="zh-CN"/>
        </w:rPr>
        <w:t>。</w:t>
      </w:r>
    </w:p>
    <w:p>
      <w:pPr>
        <w:spacing w:line="600" w:lineRule="exact"/>
        <w:ind w:firstLine="640" w:firstLineChars="200"/>
        <w:rPr>
          <w:rFonts w:hint="default" w:ascii="仿宋_GB2312" w:hAnsi="Times New Roman" w:eastAsia="仿宋_GB2312" w:cs="Times New Roman"/>
          <w:b/>
          <w:color w:val="000000"/>
          <w:sz w:val="32"/>
          <w:szCs w:val="32"/>
          <w:lang w:val="en-US" w:eastAsia="zh-CN"/>
        </w:rPr>
      </w:pPr>
      <w:r>
        <w:rPr>
          <w:rFonts w:hint="eastAsia" w:ascii="仿宋_GB2312" w:hAnsi="Times New Roman" w:eastAsia="仿宋_GB2312" w:cs="Times New Roman"/>
          <w:color w:val="000000"/>
          <w:sz w:val="32"/>
          <w:szCs w:val="32"/>
        </w:rPr>
        <w:t>其中：</w:t>
      </w:r>
      <w:r>
        <w:rPr>
          <w:rFonts w:hint="eastAsia" w:ascii="仿宋_GB2312" w:hAnsi="Times New Roman" w:eastAsia="仿宋_GB2312" w:cs="Times New Roman"/>
          <w:b/>
          <w:color w:val="000000"/>
          <w:sz w:val="32"/>
          <w:szCs w:val="32"/>
        </w:rPr>
        <w:t>公务用车购置支出</w:t>
      </w:r>
      <w:r>
        <w:rPr>
          <w:rFonts w:hint="eastAsia" w:ascii="仿宋_GB2312" w:hAnsi="Times New Roman" w:eastAsia="仿宋_GB2312" w:cs="Times New Roman"/>
          <w:b/>
          <w:color w:val="000000"/>
          <w:sz w:val="32"/>
          <w:szCs w:val="32"/>
          <w:lang w:eastAsia="zh-CN"/>
        </w:rPr>
        <w:t>：</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万元。全年按规定更新购置公务用车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辆，其中：轿车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辆、金额</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万元，越野车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辆、金额</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万元，载客汽车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辆、金额</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万元。截至</w:t>
      </w:r>
      <w:r>
        <w:rPr>
          <w:rFonts w:hint="eastAsia" w:ascii="仿宋_GB2312" w:eastAsia="仿宋_GB2312" w:cs="Times New Roman"/>
          <w:color w:val="000000"/>
          <w:sz w:val="32"/>
          <w:szCs w:val="32"/>
          <w:lang w:eastAsia="zh-CN"/>
        </w:rPr>
        <w:t>2022年</w:t>
      </w:r>
      <w:r>
        <w:rPr>
          <w:rFonts w:ascii="仿宋_GB2312" w:hAnsi="Times New Roman" w:eastAsia="仿宋_GB2312" w:cs="Times New Roman"/>
          <w:color w:val="000000"/>
          <w:sz w:val="32"/>
          <w:szCs w:val="32"/>
        </w:rPr>
        <w:t>12</w:t>
      </w:r>
      <w:r>
        <w:rPr>
          <w:rFonts w:hint="eastAsia" w:ascii="仿宋_GB2312" w:hAnsi="Times New Roman" w:eastAsia="仿宋_GB2312" w:cs="Times New Roman"/>
          <w:color w:val="000000"/>
          <w:sz w:val="32"/>
          <w:szCs w:val="32"/>
        </w:rPr>
        <w:t>月底，单位共有公务用车</w:t>
      </w:r>
      <w:r>
        <w:rPr>
          <w:rFonts w:hint="eastAsia" w:ascii="仿宋_GB2312" w:hAnsi="Times New Roman"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rPr>
        <w:t>辆，其中：轿车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辆、越野车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辆、载客汽车</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辆</w:t>
      </w:r>
      <w:r>
        <w:rPr>
          <w:rFonts w:hint="eastAsia" w:ascii="仿宋_GB2312" w:hAnsi="Times New Roman" w:eastAsia="仿宋_GB2312" w:cs="Times New Roman"/>
          <w:color w:val="000000"/>
          <w:sz w:val="32"/>
          <w:szCs w:val="32"/>
          <w:lang w:eastAsia="zh-CN"/>
        </w:rPr>
        <w:t>，</w:t>
      </w:r>
      <w:r>
        <w:rPr>
          <w:rFonts w:hint="eastAsia" w:ascii="仿宋_GB2312" w:hAnsi="Times New Roman" w:eastAsia="仿宋_GB2312" w:cs="Times New Roman"/>
          <w:color w:val="000000"/>
          <w:sz w:val="32"/>
          <w:szCs w:val="32"/>
          <w:lang w:val="en-US" w:eastAsia="zh-CN"/>
        </w:rPr>
        <w:t>其他用车1辆。</w:t>
      </w:r>
    </w:p>
    <w:p>
      <w:pPr>
        <w:spacing w:line="600" w:lineRule="exact"/>
        <w:ind w:firstLine="640"/>
        <w:rPr>
          <w:rFonts w:ascii="仿宋_GB2312" w:hAnsi="Times New Roman" w:eastAsia="仿宋_GB2312" w:cs="Times New Roman"/>
          <w:color w:val="000000"/>
          <w:sz w:val="32"/>
          <w:szCs w:val="32"/>
        </w:rPr>
      </w:pPr>
      <w:r>
        <w:rPr>
          <w:rFonts w:hint="eastAsia" w:ascii="仿宋_GB2312" w:hAnsi="Times New Roman" w:eastAsia="仿宋_GB2312" w:cs="Times New Roman"/>
          <w:b/>
          <w:color w:val="000000"/>
          <w:sz w:val="32"/>
          <w:szCs w:val="32"/>
        </w:rPr>
        <w:t>公务用车运行维护费支出</w:t>
      </w:r>
      <w:r>
        <w:rPr>
          <w:rFonts w:hint="eastAsia" w:ascii="仿宋_GB2312" w:hAnsi="Times New Roman" w:eastAsia="仿宋_GB2312" w:cs="Times New Roman"/>
          <w:b/>
          <w:color w:val="000000"/>
          <w:sz w:val="32"/>
          <w:szCs w:val="32"/>
          <w:lang w:eastAsia="zh-CN"/>
        </w:rPr>
        <w:t>：</w:t>
      </w:r>
      <w:r>
        <w:rPr>
          <w:rFonts w:hint="eastAsia" w:ascii="仿宋_GB2312"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w:t>
      </w:r>
    </w:p>
    <w:p>
      <w:pPr>
        <w:numPr>
          <w:ilvl w:val="0"/>
          <w:numId w:val="0"/>
        </w:numPr>
        <w:spacing w:line="600" w:lineRule="exact"/>
        <w:ind w:leftChars="200" w:firstLine="321" w:firstLineChars="100"/>
        <w:outlineLvl w:val="9"/>
        <w:rPr>
          <w:rFonts w:hint="eastAsia" w:ascii="仿宋_GB2312" w:hAnsi="Times New Roman" w:eastAsia="仿宋_GB2312" w:cs="Times New Roman"/>
          <w:color w:val="000000"/>
          <w:sz w:val="32"/>
          <w:szCs w:val="32"/>
          <w:lang w:eastAsia="zh-CN"/>
        </w:rPr>
      </w:pPr>
      <w:bookmarkStart w:id="79" w:name="_Toc4303"/>
      <w:r>
        <w:rPr>
          <w:rFonts w:hint="eastAsia" w:ascii="仿宋_GB2312" w:hAnsi="Times New Roman" w:eastAsia="仿宋_GB2312" w:cs="Times New Roman"/>
          <w:b/>
          <w:color w:val="000000"/>
          <w:sz w:val="32"/>
          <w:szCs w:val="32"/>
        </w:rPr>
        <w:t>公务接待费支出</w:t>
      </w:r>
      <w:r>
        <w:rPr>
          <w:rFonts w:hint="eastAsia" w:ascii="仿宋_GB2312" w:hAnsi="Times New Roman" w:eastAsia="仿宋_GB2312" w:cs="Times New Roman"/>
          <w:color w:val="000000"/>
          <w:sz w:val="32"/>
          <w:szCs w:val="32"/>
          <w:lang w:val="en-US" w:eastAsia="zh-CN"/>
        </w:rPr>
        <w:t>0</w:t>
      </w:r>
      <w:r>
        <w:rPr>
          <w:rFonts w:hint="eastAsia" w:ascii="仿宋_GB2312" w:hAnsi="Times New Roman" w:eastAsia="仿宋_GB2312" w:cs="Times New Roman"/>
          <w:color w:val="000000"/>
          <w:sz w:val="32"/>
          <w:szCs w:val="32"/>
        </w:rPr>
        <w:t>万元</w:t>
      </w:r>
      <w:r>
        <w:rPr>
          <w:rFonts w:hint="eastAsia" w:ascii="仿宋_GB2312" w:hAnsi="Times New Roman" w:eastAsia="仿宋_GB2312" w:cs="Times New Roman"/>
          <w:color w:val="000000"/>
          <w:sz w:val="32"/>
          <w:szCs w:val="32"/>
          <w:lang w:eastAsia="zh-CN"/>
        </w:rPr>
        <w:t>。</w:t>
      </w:r>
      <w:bookmarkEnd w:id="79"/>
    </w:p>
    <w:p>
      <w:pPr>
        <w:numPr>
          <w:ilvl w:val="0"/>
          <w:numId w:val="0"/>
        </w:numPr>
        <w:spacing w:line="600" w:lineRule="exact"/>
        <w:ind w:leftChars="200" w:firstLine="320" w:firstLineChars="100"/>
        <w:outlineLvl w:val="1"/>
        <w:rPr>
          <w:rStyle w:val="26"/>
          <w:rFonts w:ascii="黑体" w:hAnsi="黑体" w:eastAsia="黑体"/>
        </w:rPr>
      </w:pPr>
      <w:bookmarkStart w:id="80" w:name="_Toc10847"/>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76"/>
      <w:bookmarkEnd w:id="77"/>
      <w:bookmarkEnd w:id="78"/>
      <w:bookmarkEnd w:id="8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81" w:name="_Toc79163623"/>
      <w:bookmarkStart w:id="82" w:name="_Toc28757"/>
      <w:bookmarkStart w:id="83" w:name="_Toc15377219"/>
      <w:bookmarkStart w:id="84" w:name="_Toc15396611"/>
      <w:r>
        <w:rPr>
          <w:rStyle w:val="26"/>
          <w:rFonts w:hint="eastAsia" w:ascii="黑体" w:hAnsi="黑体" w:eastAsia="黑体"/>
          <w:b w:val="0"/>
        </w:rPr>
        <w:t>国有资本经营预算支出决算情况说明</w:t>
      </w:r>
      <w:bookmarkEnd w:id="81"/>
      <w:bookmarkEnd w:id="82"/>
      <w:bookmarkEnd w:id="83"/>
      <w:bookmarkEnd w:id="84"/>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85" w:name="_Toc79163624"/>
      <w:bookmarkStart w:id="86" w:name="_Toc17601"/>
      <w:bookmarkStart w:id="87" w:name="_Toc15396612"/>
      <w:bookmarkStart w:id="88"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85"/>
      <w:bookmarkEnd w:id="86"/>
      <w:bookmarkEnd w:id="87"/>
      <w:bookmarkEnd w:id="88"/>
    </w:p>
    <w:p>
      <w:pPr>
        <w:spacing w:line="600" w:lineRule="exact"/>
        <w:ind w:firstLine="643" w:firstLineChars="200"/>
        <w:outlineLvl w:val="2"/>
        <w:rPr>
          <w:rFonts w:ascii="仿宋" w:hAnsi="仿宋" w:eastAsia="仿宋"/>
          <w:color w:val="000000"/>
          <w:sz w:val="32"/>
          <w:szCs w:val="32"/>
        </w:rPr>
      </w:pPr>
      <w:bookmarkStart w:id="89" w:name="_Toc15377222"/>
      <w:bookmarkStart w:id="90" w:name="_Toc27269"/>
      <w:bookmarkStart w:id="91" w:name="_Toc79163625"/>
      <w:r>
        <w:rPr>
          <w:rFonts w:hint="eastAsia" w:ascii="仿宋" w:hAnsi="仿宋" w:eastAsia="仿宋"/>
          <w:b/>
          <w:color w:val="000000"/>
          <w:sz w:val="32"/>
          <w:szCs w:val="32"/>
        </w:rPr>
        <w:t>（一）机关运行经费支出情况</w:t>
      </w:r>
      <w:bookmarkEnd w:id="89"/>
      <w:bookmarkEnd w:id="90"/>
      <w:bookmarkEnd w:id="91"/>
    </w:p>
    <w:p>
      <w:pPr>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w:t>
      </w:r>
      <w:r>
        <w:rPr>
          <w:rFonts w:hint="eastAsia" w:ascii="仿宋_GB2312" w:eastAsia="仿宋_GB2312"/>
          <w:color w:val="000000"/>
          <w:sz w:val="32"/>
          <w:szCs w:val="32"/>
        </w:rPr>
        <w:t>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3661"/>
      <w:bookmarkStart w:id="93" w:name="_Toc79163626"/>
      <w:bookmarkStart w:id="94" w:name="_Toc15377223"/>
      <w:r>
        <w:rPr>
          <w:rFonts w:hint="eastAsia" w:ascii="仿宋" w:hAnsi="仿宋" w:eastAsia="仿宋"/>
          <w:b/>
          <w:color w:val="000000"/>
          <w:sz w:val="32"/>
          <w:szCs w:val="32"/>
        </w:rPr>
        <w:t>（二）政府采购支出情况</w:t>
      </w:r>
      <w:bookmarkEnd w:id="92"/>
      <w:bookmarkEnd w:id="93"/>
      <w:bookmarkEnd w:id="94"/>
    </w:p>
    <w:p>
      <w:pPr>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壤塘县水利水土保持中心</w:t>
      </w:r>
      <w:bookmarkStart w:id="159" w:name="_GoBack"/>
      <w:bookmarkEnd w:id="159"/>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5" w:name="_Toc10541"/>
      <w:bookmarkStart w:id="96" w:name="_Toc79163627"/>
      <w:bookmarkStart w:id="97" w:name="_Toc15377224"/>
      <w:r>
        <w:rPr>
          <w:rFonts w:hint="eastAsia" w:ascii="仿宋" w:hAnsi="仿宋" w:eastAsia="仿宋"/>
          <w:b/>
          <w:color w:val="000000"/>
          <w:sz w:val="32"/>
          <w:szCs w:val="32"/>
        </w:rPr>
        <w:t>（三）国有资产占有使用情况</w:t>
      </w:r>
      <w:bookmarkEnd w:id="95"/>
      <w:bookmarkEnd w:id="96"/>
      <w:bookmarkEnd w:id="97"/>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日常工作开展。</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3716"/>
      <w:bookmarkStart w:id="99" w:name="_Toc79163628"/>
      <w:r>
        <w:rPr>
          <w:rFonts w:hint="eastAsia" w:ascii="仿宋" w:hAnsi="仿宋" w:eastAsia="仿宋"/>
          <w:b/>
          <w:color w:val="000000"/>
          <w:sz w:val="32"/>
          <w:szCs w:val="32"/>
        </w:rPr>
        <w:t>（四）预算绩效管理情况</w:t>
      </w:r>
      <w:bookmarkEnd w:id="98"/>
      <w:bookmarkEnd w:id="99"/>
    </w:p>
    <w:p>
      <w:pPr>
        <w:autoSpaceDE w:val="0"/>
        <w:autoSpaceDN w:val="0"/>
        <w:adjustRightInd w:val="0"/>
        <w:spacing w:line="600" w:lineRule="exact"/>
        <w:ind w:firstLine="640" w:firstLineChars="200"/>
        <w:jc w:val="left"/>
        <w:outlineLvl w:val="9"/>
        <w:rPr>
          <w:rFonts w:hint="eastAsia" w:ascii="仿宋_GB2312" w:hAnsi="仿宋_GB2312" w:eastAsia="仿宋_GB2312" w:cs="仿宋_GB2312"/>
          <w:sz w:val="32"/>
          <w:szCs w:val="32"/>
          <w:lang w:val="en-US" w:eastAsia="zh-CN"/>
        </w:rPr>
      </w:pPr>
      <w:bookmarkStart w:id="100" w:name="_Toc28495"/>
      <w:r>
        <w:rPr>
          <w:rFonts w:hint="eastAsia" w:ascii="仿宋" w:hAnsi="仿宋" w:eastAsia="仿宋" w:cs="仿宋"/>
          <w:sz w:val="32"/>
          <w:szCs w:val="32"/>
        </w:rPr>
        <w:t>我单位在年初预算编制阶段，无项目，因此未对项目开展预算事前绩效评估。</w:t>
      </w:r>
      <w:bookmarkEnd w:id="100"/>
      <w:r>
        <w:rPr>
          <w:rFonts w:hint="eastAsia" w:ascii="仿宋_GB2312" w:hAnsi="仿宋_GB2312" w:eastAsia="仿宋_GB2312" w:cs="仿宋_GB2312"/>
          <w:sz w:val="32"/>
          <w:szCs w:val="32"/>
          <w:lang w:val="en-US" w:eastAsia="zh-CN"/>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5"/>
          <w:rFonts w:ascii="黑体" w:hAnsi="黑体" w:eastAsia="黑体"/>
          <w:b w:val="0"/>
        </w:rPr>
      </w:pPr>
      <w:bookmarkStart w:id="101" w:name="_Toc79163629"/>
      <w:bookmarkStart w:id="102" w:name="_Toc15396613"/>
      <w:bookmarkStart w:id="103" w:name="_Toc15377225"/>
      <w:bookmarkStart w:id="104" w:name="_Toc27193"/>
      <w:r>
        <w:rPr>
          <w:rFonts w:hint="eastAsia" w:ascii="黑体" w:hAnsi="黑体" w:eastAsia="黑体"/>
          <w:color w:val="000000"/>
          <w:sz w:val="44"/>
          <w:szCs w:val="44"/>
        </w:rPr>
        <w:t>名</w:t>
      </w:r>
      <w:r>
        <w:rPr>
          <w:rStyle w:val="25"/>
          <w:rFonts w:hint="eastAsia" w:ascii="黑体" w:hAns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一般公共服务：指</w:t>
      </w:r>
      <w:r>
        <w:rPr>
          <w:rFonts w:hint="eastAsia" w:ascii="仿宋_GB2312" w:eastAsia="仿宋_GB2312"/>
          <w:color w:val="000000"/>
          <w:sz w:val="32"/>
          <w:szCs w:val="32"/>
          <w:lang w:val="en-US" w:eastAsia="zh-CN"/>
        </w:rPr>
        <w:t>反映政府提供一般公共服务的支出。</w:t>
      </w:r>
    </w:p>
    <w:p>
      <w:pPr>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公共安全：指</w:t>
      </w:r>
      <w:r>
        <w:rPr>
          <w:rFonts w:hint="eastAsia" w:ascii="仿宋_GB2312" w:eastAsia="仿宋_GB2312"/>
          <w:color w:val="000000"/>
          <w:sz w:val="32"/>
          <w:szCs w:val="32"/>
          <w:lang w:val="en-US" w:eastAsia="zh-CN"/>
        </w:rPr>
        <w:t>反映政府维护社会公共安全方面的支出。</w:t>
      </w:r>
    </w:p>
    <w:p>
      <w:pPr>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教育：指</w:t>
      </w:r>
      <w:r>
        <w:rPr>
          <w:rFonts w:hint="eastAsia" w:ascii="仿宋_GB2312" w:eastAsia="仿宋_GB2312"/>
          <w:color w:val="000000"/>
          <w:sz w:val="32"/>
          <w:szCs w:val="32"/>
          <w:lang w:val="en-US" w:eastAsia="zh-CN"/>
        </w:rPr>
        <w:t>反映政府教育事务支出。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12.文化体育与传媒 ：指反映政府在文化、体育、文物、广播影视、新闻出版等方面的支出。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13.社会保障和就业：指反映政府在社会保障与就业方面的支出。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14.医疗卫生与计划生育：指反映医疗卫生与计划生育、中医等管理事务方面的支出。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15.农林水：指反映政府农林水支出。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16.住房保障：指集中反映政府用于住房方面的支出。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17.国防支出：反映政府用于国防方面的支出。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18.基本支出：指为保障机构正常运转、完成日常工作任务而发生的人员支出和公用支出。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000000"/>
          <w:sz w:val="32"/>
          <w:szCs w:val="32"/>
          <w:lang w:val="en-US"/>
        </w:rPr>
      </w:pPr>
      <w:r>
        <w:rPr>
          <w:rFonts w:hint="eastAsia" w:ascii="仿宋_GB2312" w:hAnsi="Times New Roman" w:eastAsia="仿宋_GB2312" w:cs="仿宋_GB2312"/>
          <w:color w:val="000000"/>
          <w:kern w:val="2"/>
          <w:sz w:val="32"/>
          <w:szCs w:val="32"/>
          <w:lang w:val="en-US" w:eastAsia="zh-CN" w:bidi="ar"/>
        </w:rPr>
        <w:t>19.项目支出：指在基本支出之外为完成特定行政任务和事业发展目标所发生的支出。</w:t>
      </w:r>
    </w:p>
    <w:p>
      <w:pPr>
        <w:pStyle w:val="35"/>
        <w:widowControl/>
        <w:spacing w:line="560" w:lineRule="exact"/>
        <w:ind w:left="0" w:firstLine="640" w:firstLineChars="200"/>
        <w:rPr>
          <w:rFonts w:hint="eastAsia" w:ascii="仿宋_GB2312" w:eastAsia="仿宋_GB2312" w:cs="仿宋_GB2312"/>
          <w:sz w:val="32"/>
          <w:szCs w:val="32"/>
          <w:lang w:val="en-US"/>
        </w:rPr>
      </w:pPr>
      <w:r>
        <w:rPr>
          <w:rFonts w:hint="eastAsia" w:ascii="仿宋_GB2312" w:eastAsia="仿宋_GB2312" w:cs="仿宋_GB2312"/>
          <w:sz w:val="32"/>
          <w:szCs w:val="32"/>
          <w:lang w:val="en-US" w:eastAsia="zh-CN"/>
        </w:rPr>
        <w:t>20</w:t>
      </w:r>
      <w:r>
        <w:rPr>
          <w:rFonts w:hint="eastAsia" w:ascii="仿宋_GB2312" w:eastAsia="仿宋_GB2312" w:cs="仿宋_GB2312"/>
          <w:sz w:val="32"/>
          <w:szCs w:val="32"/>
          <w:lang w:val="en-US"/>
        </w:rPr>
        <w:t>.</w:t>
      </w:r>
      <w:r>
        <w:rPr>
          <w:rFonts w:hint="eastAsia" w:ascii="仿宋_GB2312" w:eastAsia="仿宋_GB2312" w:cs="仿宋_GB2312"/>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widowControl/>
        <w:spacing w:line="560" w:lineRule="exact"/>
        <w:ind w:left="0" w:firstLine="640" w:firstLineChars="200"/>
        <w:rPr>
          <w:rFonts w:hint="eastAsia" w:ascii="仿宋_GB2312" w:eastAsia="仿宋_GB2312" w:cs="黑体"/>
          <w:sz w:val="32"/>
          <w:szCs w:val="32"/>
          <w:lang w:val="en-US"/>
        </w:rPr>
      </w:pP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val="en-US"/>
        </w:rPr>
        <w:t>.</w:t>
      </w:r>
      <w:r>
        <w:rPr>
          <w:rFonts w:hint="eastAsia" w:ascii="仿宋_GB2312" w:eastAsia="仿宋_GB2312" w:cs="仿宋_GB2312"/>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val="0"/>
        <w:suppressLineNumbers w:val="0"/>
        <w:spacing w:before="0" w:beforeAutospacing="0" w:after="0" w:afterAutospacing="0" w:line="600" w:lineRule="exact"/>
        <w:ind w:left="0" w:right="0"/>
        <w:jc w:val="center"/>
        <w:outlineLvl w:val="0"/>
        <w:rPr>
          <w:rFonts w:hint="eastAsia" w:ascii="黑体" w:hAnsi="宋体" w:eastAsia="黑体" w:cs="黑体"/>
          <w:color w:val="000000"/>
          <w:sz w:val="44"/>
          <w:szCs w:val="44"/>
          <w:lang w:val="en-US"/>
        </w:rPr>
      </w:pPr>
    </w:p>
    <w:p>
      <w:pPr>
        <w:spacing w:line="600" w:lineRule="exact"/>
        <w:jc w:val="center"/>
        <w:outlineLvl w:val="0"/>
        <w:rPr>
          <w:rFonts w:hint="eastAsia" w:ascii="黑体" w:hAnsi="黑体" w:eastAsia="黑体"/>
          <w:color w:val="000000"/>
          <w:sz w:val="44"/>
          <w:szCs w:val="44"/>
        </w:rPr>
      </w:pPr>
      <w:bookmarkStart w:id="105" w:name="_Toc15396614"/>
      <w:bookmarkStart w:id="106" w:name="_Toc79163630"/>
      <w:bookmarkStart w:id="107"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rPr>
          <w:rFonts w:hint="eastAsia" w:ascii="黑体" w:hAnsi="黑体" w:eastAsia="黑体"/>
          <w:color w:val="000000"/>
          <w:sz w:val="44"/>
          <w:szCs w:val="44"/>
        </w:rPr>
      </w:pPr>
      <w:r>
        <w:rPr>
          <w:rFonts w:hint="eastAsia" w:ascii="黑体" w:hAnsi="黑体" w:eastAsia="黑体"/>
          <w:color w:val="000000"/>
          <w:sz w:val="44"/>
          <w:szCs w:val="44"/>
        </w:rPr>
        <w:br w:type="page"/>
      </w:r>
    </w:p>
    <w:p>
      <w:pPr>
        <w:spacing w:line="600" w:lineRule="exact"/>
        <w:jc w:val="both"/>
        <w:outlineLvl w:val="0"/>
        <w:rPr>
          <w:rFonts w:hint="eastAsia" w:ascii="黑体" w:hAnsi="黑体" w:eastAsia="黑体"/>
          <w:color w:val="000000"/>
          <w:sz w:val="44"/>
          <w:szCs w:val="44"/>
        </w:rPr>
      </w:pPr>
    </w:p>
    <w:bookmarkEnd w:id="105"/>
    <w:bookmarkEnd w:id="106"/>
    <w:p>
      <w:pPr>
        <w:spacing w:line="600" w:lineRule="exact"/>
        <w:jc w:val="center"/>
        <w:outlineLvl w:val="0"/>
        <w:rPr>
          <w:rStyle w:val="40"/>
          <w:rFonts w:ascii="黑体" w:hAnsi="黑体" w:eastAsia="黑体" w:cs="黑体"/>
          <w:b w:val="0"/>
        </w:rPr>
      </w:pPr>
      <w:bookmarkStart w:id="108" w:name="_Toc11244"/>
      <w:r>
        <w:rPr>
          <w:rFonts w:hint="eastAsia" w:ascii="黑体" w:hAnsi="黑体" w:eastAsia="黑体" w:cs="黑体"/>
          <w:color w:val="000000"/>
          <w:sz w:val="44"/>
          <w:szCs w:val="44"/>
        </w:rPr>
        <w:t>第</w:t>
      </w:r>
      <w:r>
        <w:rPr>
          <w:rStyle w:val="40"/>
          <w:rFonts w:hint="eastAsia" w:ascii="黑体" w:hAnsi="黑体" w:eastAsia="黑体" w:cs="黑体"/>
          <w:b w:val="0"/>
        </w:rPr>
        <w:t>四部分</w:t>
      </w:r>
      <w:r>
        <w:rPr>
          <w:rStyle w:val="40"/>
          <w:rFonts w:ascii="黑体" w:hAnsi="黑体" w:eastAsia="黑体" w:cs="黑体"/>
          <w:b w:val="0"/>
        </w:rPr>
        <w:t xml:space="preserve"> </w:t>
      </w:r>
      <w:r>
        <w:rPr>
          <w:rStyle w:val="40"/>
          <w:rFonts w:hint="eastAsia" w:ascii="黑体" w:hAnsi="黑体" w:eastAsia="黑体" w:cs="黑体"/>
          <w:b w:val="0"/>
        </w:rPr>
        <w:t>附件</w:t>
      </w:r>
      <w:bookmarkEnd w:id="108"/>
    </w:p>
    <w:p>
      <w:pPr>
        <w:spacing w:line="600" w:lineRule="exact"/>
        <w:jc w:val="left"/>
        <w:outlineLvl w:val="9"/>
        <w:rPr>
          <w:rFonts w:ascii="黑体" w:hAnsi="黑体" w:eastAsia="黑体" w:cs="黑体"/>
          <w:sz w:val="32"/>
          <w:szCs w:val="32"/>
        </w:rPr>
      </w:pPr>
      <w:bookmarkStart w:id="109" w:name="_Toc16473"/>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sz w:val="32"/>
          <w:szCs w:val="32"/>
        </w:rPr>
        <w:t>：</w:t>
      </w:r>
      <w:bookmarkEnd w:id="109"/>
    </w:p>
    <w:p>
      <w:pPr>
        <w:spacing w:line="580" w:lineRule="exact"/>
        <w:jc w:val="center"/>
        <w:rPr>
          <w:rFonts w:ascii="仿宋" w:hAnsi="仿宋" w:eastAsia="仿宋" w:cs="仿宋"/>
          <w:sz w:val="44"/>
          <w:szCs w:val="44"/>
        </w:rPr>
      </w:pPr>
    </w:p>
    <w:p>
      <w:pPr>
        <w:spacing w:line="600" w:lineRule="exact"/>
        <w:jc w:val="center"/>
        <w:rPr>
          <w:rFonts w:hint="eastAsia" w:ascii="仿宋" w:hAnsi="仿宋" w:eastAsia="仿宋" w:cs="仿宋"/>
          <w:b/>
          <w:bCs/>
          <w:color w:val="000000"/>
          <w:kern w:val="0"/>
          <w:sz w:val="44"/>
          <w:szCs w:val="44"/>
          <w:lang w:val="zh-CN"/>
        </w:rPr>
      </w:pPr>
      <w:r>
        <w:rPr>
          <w:rFonts w:hint="eastAsia" w:ascii="仿宋" w:hAnsi="仿宋" w:eastAsia="仿宋" w:cs="仿宋"/>
          <w:b/>
          <w:bCs/>
          <w:color w:val="000000"/>
          <w:kern w:val="0"/>
          <w:sz w:val="44"/>
          <w:szCs w:val="44"/>
        </w:rPr>
        <w:t>水利保持中心</w:t>
      </w:r>
      <w:r>
        <w:rPr>
          <w:rFonts w:hint="eastAsia" w:ascii="仿宋" w:hAnsi="仿宋" w:eastAsia="仿宋" w:cs="仿宋"/>
          <w:b/>
          <w:bCs/>
          <w:color w:val="000000"/>
          <w:kern w:val="0"/>
          <w:sz w:val="44"/>
          <w:szCs w:val="44"/>
          <w:lang w:eastAsia="zh-CN"/>
        </w:rPr>
        <w:t>2022年</w:t>
      </w:r>
      <w:r>
        <w:rPr>
          <w:rFonts w:hint="eastAsia" w:ascii="仿宋" w:hAnsi="仿宋" w:eastAsia="仿宋" w:cs="仿宋"/>
          <w:b/>
          <w:bCs/>
          <w:color w:val="000000"/>
          <w:kern w:val="0"/>
          <w:sz w:val="44"/>
          <w:szCs w:val="44"/>
        </w:rPr>
        <w:t>部门</w:t>
      </w:r>
      <w:r>
        <w:rPr>
          <w:rFonts w:hint="eastAsia" w:ascii="仿宋" w:hAnsi="仿宋" w:eastAsia="仿宋" w:cs="仿宋"/>
          <w:b/>
          <w:bCs/>
          <w:color w:val="000000"/>
          <w:kern w:val="0"/>
          <w:sz w:val="44"/>
          <w:szCs w:val="44"/>
          <w:lang w:val="zh-CN"/>
        </w:rPr>
        <w:t>整体支出绩效评价  报告</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一、</w:t>
      </w:r>
      <w:r>
        <w:rPr>
          <w:rFonts w:hint="eastAsia" w:ascii="仿宋" w:hAnsi="仿宋" w:eastAsia="仿宋" w:cs="仿宋"/>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本部门无二级预算单位。</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（二）机构职能。</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指导监督自然资源和不动产确权登记工作。</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事业编制</w:t>
      </w:r>
      <w:r>
        <w:rPr>
          <w:rFonts w:ascii="仿宋" w:hAnsi="仿宋" w:eastAsia="仿宋" w:cs="仿宋"/>
          <w:color w:val="000000"/>
          <w:kern w:val="0"/>
          <w:sz w:val="32"/>
          <w:szCs w:val="32"/>
          <w:shd w:val="clear" w:color="auto" w:fill="FFFFFF"/>
          <w:lang w:val="zh-CN"/>
        </w:rPr>
        <w:t>12</w:t>
      </w:r>
      <w:r>
        <w:rPr>
          <w:rFonts w:hint="eastAsia" w:ascii="仿宋" w:hAnsi="仿宋" w:eastAsia="仿宋" w:cs="仿宋"/>
          <w:color w:val="000000"/>
          <w:kern w:val="0"/>
          <w:sz w:val="32"/>
          <w:szCs w:val="32"/>
          <w:shd w:val="clear" w:color="auto" w:fill="FFFFFF"/>
          <w:lang w:val="zh-CN"/>
        </w:rPr>
        <w:t>名，在职人员</w:t>
      </w:r>
      <w:r>
        <w:rPr>
          <w:rFonts w:ascii="仿宋" w:hAnsi="仿宋" w:eastAsia="仿宋" w:cs="仿宋"/>
          <w:color w:val="000000"/>
          <w:kern w:val="0"/>
          <w:sz w:val="32"/>
          <w:szCs w:val="32"/>
          <w:shd w:val="clear" w:color="auto" w:fill="FFFFFF"/>
          <w:lang w:val="zh-CN"/>
        </w:rPr>
        <w:t>12</w:t>
      </w:r>
      <w:r>
        <w:rPr>
          <w:rFonts w:hint="eastAsia" w:ascii="仿宋" w:hAnsi="仿宋" w:eastAsia="仿宋" w:cs="仿宋"/>
          <w:color w:val="000000"/>
          <w:kern w:val="0"/>
          <w:sz w:val="32"/>
          <w:szCs w:val="32"/>
          <w:shd w:val="clear" w:color="auto" w:fill="FFFFFF"/>
          <w:lang w:val="zh-CN"/>
        </w:rPr>
        <w:t>名。</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我单位</w:t>
      </w:r>
      <w:r>
        <w:rPr>
          <w:rFonts w:hint="eastAsia" w:ascii="仿宋" w:hAnsi="仿宋" w:eastAsia="仿宋" w:cs="仿宋"/>
          <w:color w:val="000000"/>
          <w:kern w:val="0"/>
          <w:sz w:val="32"/>
          <w:szCs w:val="32"/>
          <w:shd w:val="clear" w:color="auto" w:fill="FFFFFF"/>
          <w:lang w:eastAsia="zh-CN"/>
        </w:rPr>
        <w:t>2022年</w:t>
      </w:r>
      <w:r>
        <w:rPr>
          <w:rFonts w:hint="eastAsia" w:ascii="仿宋" w:hAnsi="仿宋" w:eastAsia="仿宋" w:cs="仿宋"/>
          <w:color w:val="000000"/>
          <w:kern w:val="0"/>
          <w:sz w:val="32"/>
          <w:szCs w:val="32"/>
          <w:shd w:val="clear" w:color="auto" w:fill="FFFFFF"/>
          <w:lang w:val="zh-CN"/>
        </w:rPr>
        <w:t>财政拨款收入</w:t>
      </w:r>
      <w:r>
        <w:rPr>
          <w:rFonts w:hint="eastAsia" w:ascii="仿宋" w:hAnsi="仿宋" w:eastAsia="仿宋" w:cs="仿宋"/>
          <w:color w:val="000000"/>
          <w:kern w:val="0"/>
          <w:sz w:val="32"/>
          <w:szCs w:val="32"/>
          <w:shd w:val="clear" w:color="auto" w:fill="FFFFFF"/>
          <w:lang w:eastAsia="zh-CN"/>
        </w:rPr>
        <w:t>222.99</w:t>
      </w:r>
      <w:r>
        <w:rPr>
          <w:rFonts w:hint="eastAsia" w:ascii="仿宋" w:hAnsi="仿宋" w:eastAsia="仿宋" w:cs="仿宋"/>
          <w:color w:val="000000"/>
          <w:kern w:val="0"/>
          <w:sz w:val="32"/>
          <w:szCs w:val="32"/>
          <w:shd w:val="clear" w:color="auto" w:fill="FFFFFF"/>
          <w:lang w:val="zh-CN"/>
        </w:rPr>
        <w:t>万元。</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我单位</w:t>
      </w:r>
      <w:r>
        <w:rPr>
          <w:rFonts w:hint="eastAsia" w:ascii="仿宋" w:hAnsi="仿宋" w:eastAsia="仿宋" w:cs="仿宋"/>
          <w:color w:val="000000"/>
          <w:kern w:val="0"/>
          <w:sz w:val="32"/>
          <w:szCs w:val="32"/>
          <w:shd w:val="clear" w:color="auto" w:fill="FFFFFF"/>
          <w:lang w:eastAsia="zh-CN"/>
        </w:rPr>
        <w:t>2022年</w:t>
      </w:r>
      <w:r>
        <w:rPr>
          <w:rFonts w:hint="eastAsia" w:ascii="仿宋" w:hAnsi="仿宋" w:eastAsia="仿宋" w:cs="仿宋"/>
          <w:color w:val="000000"/>
          <w:kern w:val="0"/>
          <w:sz w:val="32"/>
          <w:szCs w:val="32"/>
          <w:shd w:val="clear" w:color="auto" w:fill="FFFFFF"/>
          <w:lang w:val="zh-CN"/>
        </w:rPr>
        <w:t>财政拨款支出</w:t>
      </w:r>
      <w:r>
        <w:rPr>
          <w:rFonts w:hint="eastAsia" w:ascii="仿宋" w:hAnsi="仿宋" w:eastAsia="仿宋" w:cs="仿宋"/>
          <w:color w:val="000000"/>
          <w:kern w:val="0"/>
          <w:sz w:val="32"/>
          <w:szCs w:val="32"/>
          <w:shd w:val="clear" w:color="auto" w:fill="FFFFFF"/>
          <w:lang w:eastAsia="zh-CN"/>
        </w:rPr>
        <w:t>237.94</w:t>
      </w:r>
      <w:r>
        <w:rPr>
          <w:rFonts w:hint="eastAsia" w:ascii="仿宋" w:hAnsi="仿宋" w:eastAsia="仿宋" w:cs="仿宋"/>
          <w:color w:val="000000"/>
          <w:kern w:val="0"/>
          <w:sz w:val="32"/>
          <w:szCs w:val="32"/>
          <w:shd w:val="clear" w:color="auto" w:fill="FFFFFF"/>
          <w:lang w:val="zh-CN"/>
        </w:rPr>
        <w:t>万元。</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eastAsia="zh-CN"/>
        </w:rPr>
        <w:t>2022年</w:t>
      </w:r>
      <w:r>
        <w:rPr>
          <w:rFonts w:hint="eastAsia" w:ascii="仿宋" w:hAnsi="仿宋" w:eastAsia="仿宋" w:cs="仿宋"/>
          <w:color w:val="000000"/>
          <w:kern w:val="0"/>
          <w:sz w:val="32"/>
          <w:szCs w:val="32"/>
          <w:shd w:val="clear" w:color="auto" w:fill="FFFFFF"/>
          <w:lang w:val="zh-CN"/>
        </w:rPr>
        <w:t>我单位绩效目标制定、目标实现、预算编制准确。预算执行情况良好、预算完成达到</w:t>
      </w:r>
      <w:r>
        <w:rPr>
          <w:rFonts w:ascii="仿宋" w:hAnsi="仿宋" w:eastAsia="仿宋" w:cs="仿宋"/>
          <w:color w:val="000000"/>
          <w:kern w:val="0"/>
          <w:sz w:val="32"/>
          <w:szCs w:val="32"/>
          <w:shd w:val="clear" w:color="auto" w:fill="FFFFFF"/>
          <w:lang w:val="zh-CN"/>
        </w:rPr>
        <w:t>100%</w:t>
      </w:r>
      <w:r>
        <w:rPr>
          <w:rFonts w:hint="eastAsia" w:ascii="仿宋" w:hAnsi="仿宋" w:eastAsia="仿宋" w:cs="仿宋"/>
          <w:color w:val="000000"/>
          <w:kern w:val="0"/>
          <w:sz w:val="32"/>
          <w:szCs w:val="32"/>
          <w:shd w:val="clear" w:color="auto" w:fill="FFFFFF"/>
          <w:lang w:val="zh-CN"/>
        </w:rPr>
        <w:t>，无违规记录情况。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总体看，我单位预算编制及执行决算较为准确，支出管理较为规范，财务管理制度较完善，部门整体绩效较好。</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我单位严格按照政府部门财务管理制度开展工作，制定了内控管理制度、出纳岗位职责制度、会计岗位职责制度、印鉴管理制度、票据管理制度、固定资产管理制度等一系列制度，保障了我单位财务工作的有序开展，同时按照分工制度原则逐一开展绩效管理工作第一时间开展项目决算组织、编报、审核工作，逐一审核、层层把关。</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（二）存在问题。</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无</w:t>
      </w:r>
    </w:p>
    <w:p>
      <w:pPr>
        <w:widowControl/>
        <w:adjustRightInd w:val="0"/>
        <w:snapToGrid w:val="0"/>
        <w:spacing w:line="580" w:lineRule="exact"/>
        <w:ind w:firstLine="640" w:firstLineChars="200"/>
        <w:contextualSpacing/>
        <w:jc w:val="left"/>
        <w:rPr>
          <w:rFonts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（三）改进建议。</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无</w:t>
      </w:r>
    </w:p>
    <w:p>
      <w:pPr>
        <w:spacing w:line="580" w:lineRule="exact"/>
        <w:ind w:firstLine="640" w:firstLineChars="200"/>
        <w:rPr>
          <w:rFonts w:ascii="仿宋" w:hAnsi="仿宋" w:eastAsia="仿宋" w:cs="仿宋"/>
          <w:sz w:val="32"/>
          <w:szCs w:val="32"/>
        </w:rPr>
      </w:pPr>
    </w:p>
    <w:p>
      <w:pPr>
        <w:spacing w:line="600" w:lineRule="exact"/>
        <w:outlineLvl w:val="0"/>
        <w:rPr>
          <w:rFonts w:hint="eastAsia" w:ascii="仿宋" w:hAnsi="仿宋" w:eastAsia="仿宋" w:cs="仿宋"/>
          <w:color w:val="000000"/>
          <w:sz w:val="44"/>
          <w:szCs w:val="44"/>
        </w:rPr>
      </w:pPr>
    </w:p>
    <w:p>
      <w:pPr>
        <w:spacing w:line="600" w:lineRule="exact"/>
        <w:ind w:firstLine="2420" w:firstLineChars="550"/>
        <w:outlineLvl w:val="0"/>
        <w:rPr>
          <w:rFonts w:hint="eastAsia" w:ascii="仿宋" w:hAnsi="仿宋" w:eastAsia="仿宋" w:cs="仿宋"/>
          <w:color w:val="000000"/>
          <w:sz w:val="44"/>
          <w:szCs w:val="44"/>
        </w:rPr>
      </w:pPr>
    </w:p>
    <w:p>
      <w:pPr>
        <w:spacing w:line="600" w:lineRule="exact"/>
        <w:ind w:firstLine="2420" w:firstLineChars="550"/>
        <w:outlineLvl w:val="0"/>
        <w:rPr>
          <w:rFonts w:hint="eastAsia" w:ascii="仿宋" w:hAnsi="仿宋" w:eastAsia="仿宋" w:cs="仿宋"/>
          <w:color w:val="000000"/>
          <w:sz w:val="44"/>
          <w:szCs w:val="44"/>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10" w:name="_Toc79163635"/>
      <w:bookmarkStart w:id="111" w:name="_Toc19760"/>
      <w:bookmarkStart w:id="112" w:name="_Toc15396618"/>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07"/>
      <w:bookmarkEnd w:id="110"/>
      <w:bookmarkEnd w:id="111"/>
      <w:bookmarkEnd w:id="112"/>
    </w:p>
    <w:p>
      <w:pPr>
        <w:pStyle w:val="4"/>
        <w:rPr>
          <w:rFonts w:ascii="仿宋" w:hAnsi="仿宋" w:eastAsia="仿宋"/>
          <w:color w:val="000000"/>
        </w:rPr>
      </w:pPr>
      <w:bookmarkStart w:id="113" w:name="_Toc79163636"/>
      <w:bookmarkStart w:id="114" w:name="_Toc1089"/>
      <w:bookmarkStart w:id="115"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113"/>
      <w:bookmarkEnd w:id="114"/>
      <w:bookmarkEnd w:id="115"/>
    </w:p>
    <w:p>
      <w:pPr>
        <w:pStyle w:val="4"/>
        <w:rPr>
          <w:rFonts w:ascii="仿宋" w:hAnsi="仿宋" w:eastAsia="仿宋"/>
          <w:color w:val="000000"/>
        </w:rPr>
      </w:pPr>
      <w:bookmarkStart w:id="116" w:name="_Toc79163637"/>
      <w:bookmarkStart w:id="117" w:name="_Toc15396620"/>
      <w:bookmarkStart w:id="118" w:name="_Toc21119"/>
      <w:r>
        <w:rPr>
          <w:rFonts w:hint="eastAsia" w:ascii="仿宋" w:hAnsi="仿宋" w:eastAsia="仿宋"/>
          <w:b w:val="0"/>
          <w:color w:val="000000"/>
        </w:rPr>
        <w:t>二、收</w:t>
      </w:r>
      <w:r>
        <w:rPr>
          <w:rStyle w:val="26"/>
          <w:rFonts w:hint="eastAsia" w:ascii="仿宋" w:hAnsi="仿宋" w:eastAsia="仿宋"/>
          <w:b w:val="0"/>
          <w:bCs w:val="0"/>
        </w:rPr>
        <w:t>入决算表</w:t>
      </w:r>
      <w:bookmarkEnd w:id="116"/>
      <w:bookmarkEnd w:id="117"/>
      <w:bookmarkEnd w:id="118"/>
    </w:p>
    <w:p>
      <w:pPr>
        <w:pStyle w:val="4"/>
        <w:rPr>
          <w:rFonts w:ascii="仿宋" w:hAnsi="仿宋" w:eastAsia="仿宋"/>
          <w:color w:val="000000"/>
        </w:rPr>
      </w:pPr>
      <w:bookmarkStart w:id="119" w:name="_Toc15396621"/>
      <w:bookmarkStart w:id="120" w:name="_Toc10467"/>
      <w:bookmarkStart w:id="121" w:name="_Toc79163638"/>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19"/>
      <w:bookmarkEnd w:id="120"/>
      <w:bookmarkEnd w:id="121"/>
    </w:p>
    <w:p>
      <w:pPr>
        <w:pStyle w:val="4"/>
        <w:rPr>
          <w:rFonts w:ascii="仿宋" w:hAnsi="仿宋" w:eastAsia="仿宋"/>
          <w:b w:val="0"/>
          <w:color w:val="000000"/>
        </w:rPr>
      </w:pPr>
      <w:bookmarkStart w:id="122" w:name="_Toc20488"/>
      <w:bookmarkStart w:id="123" w:name="_Toc15396622"/>
      <w:bookmarkStart w:id="124" w:name="_Toc79163639"/>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2"/>
      <w:bookmarkEnd w:id="123"/>
      <w:bookmarkEnd w:id="124"/>
    </w:p>
    <w:p>
      <w:pPr>
        <w:pStyle w:val="4"/>
        <w:rPr>
          <w:rStyle w:val="26"/>
          <w:rFonts w:ascii="仿宋" w:hAnsi="仿宋" w:eastAsia="仿宋"/>
          <w:b w:val="0"/>
          <w:bCs w:val="0"/>
        </w:rPr>
      </w:pPr>
      <w:bookmarkStart w:id="125" w:name="_Toc79163640"/>
      <w:bookmarkStart w:id="126" w:name="_Toc21143"/>
      <w:bookmarkStart w:id="127"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25"/>
      <w:bookmarkEnd w:id="126"/>
      <w:bookmarkEnd w:id="127"/>
      <w:bookmarkStart w:id="128" w:name="_Toc15396624"/>
    </w:p>
    <w:p>
      <w:pPr>
        <w:pStyle w:val="4"/>
        <w:rPr>
          <w:rFonts w:ascii="仿宋" w:hAnsi="仿宋" w:eastAsia="仿宋"/>
          <w:color w:val="000000"/>
        </w:rPr>
      </w:pPr>
      <w:bookmarkStart w:id="129" w:name="_Toc79163641"/>
      <w:bookmarkStart w:id="130" w:name="_Toc15908"/>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28"/>
      <w:bookmarkEnd w:id="129"/>
      <w:bookmarkEnd w:id="130"/>
    </w:p>
    <w:p>
      <w:pPr>
        <w:pStyle w:val="4"/>
        <w:rPr>
          <w:rFonts w:ascii="仿宋" w:hAnsi="仿宋" w:eastAsia="仿宋"/>
          <w:color w:val="000000"/>
        </w:rPr>
      </w:pPr>
      <w:bookmarkStart w:id="131" w:name="_Toc20545"/>
      <w:bookmarkStart w:id="132" w:name="_Toc15396625"/>
      <w:bookmarkStart w:id="133" w:name="_Toc7916364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1"/>
      <w:bookmarkEnd w:id="132"/>
      <w:bookmarkEnd w:id="133"/>
    </w:p>
    <w:p>
      <w:pPr>
        <w:pStyle w:val="4"/>
        <w:rPr>
          <w:rFonts w:ascii="仿宋" w:hAnsi="仿宋" w:eastAsia="仿宋"/>
          <w:color w:val="000000"/>
        </w:rPr>
      </w:pPr>
      <w:bookmarkStart w:id="134" w:name="_Toc20556"/>
      <w:bookmarkStart w:id="135" w:name="_Toc79163643"/>
      <w:bookmarkStart w:id="136"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34"/>
      <w:bookmarkEnd w:id="135"/>
      <w:bookmarkEnd w:id="136"/>
    </w:p>
    <w:p>
      <w:pPr>
        <w:pStyle w:val="4"/>
        <w:rPr>
          <w:rFonts w:ascii="仿宋" w:hAnsi="仿宋" w:eastAsia="仿宋"/>
          <w:color w:val="000000"/>
        </w:rPr>
      </w:pPr>
      <w:bookmarkStart w:id="137" w:name="_Toc79163644"/>
      <w:bookmarkStart w:id="138" w:name="_Toc79163894"/>
      <w:bookmarkStart w:id="139" w:name="_Toc20219"/>
      <w:bookmarkStart w:id="140" w:name="_Toc15396627"/>
      <w:r>
        <w:rPr>
          <w:rStyle w:val="41"/>
          <w:rFonts w:hint="eastAsia" w:ascii="仿宋" w:hAnsi="仿宋" w:eastAsia="仿宋"/>
          <w:b w:val="0"/>
          <w:bCs w:val="0"/>
        </w:rPr>
        <w:t>九、</w:t>
      </w:r>
      <w:r>
        <w:rPr>
          <w:rFonts w:hint="eastAsia" w:ascii="仿宋" w:hAnsi="仿宋" w:eastAsia="仿宋"/>
          <w:b w:val="0"/>
          <w:color w:val="000000"/>
        </w:rPr>
        <w:t>一</w:t>
      </w:r>
      <w:r>
        <w:rPr>
          <w:rStyle w:val="41"/>
          <w:rFonts w:hint="eastAsia" w:ascii="仿宋" w:hAnsi="仿宋" w:eastAsia="仿宋"/>
          <w:b w:val="0"/>
          <w:bCs w:val="0"/>
        </w:rPr>
        <w:t>般公共预算财政拨款项目支出决算表</w:t>
      </w:r>
      <w:bookmarkEnd w:id="137"/>
      <w:bookmarkEnd w:id="138"/>
      <w:bookmarkEnd w:id="139"/>
      <w:bookmarkEnd w:id="140"/>
    </w:p>
    <w:p>
      <w:pPr>
        <w:pStyle w:val="4"/>
        <w:rPr>
          <w:rFonts w:ascii="仿宋" w:hAnsi="仿宋" w:eastAsia="仿宋"/>
          <w:color w:val="000000"/>
        </w:rPr>
      </w:pPr>
      <w:bookmarkStart w:id="141" w:name="_Toc79163895"/>
      <w:bookmarkStart w:id="142" w:name="_Toc15396628"/>
      <w:bookmarkStart w:id="143" w:name="_Toc79163645"/>
      <w:bookmarkStart w:id="144" w:name="_Toc12458"/>
      <w:r>
        <w:rPr>
          <w:rStyle w:val="41"/>
          <w:rFonts w:hint="eastAsia" w:ascii="仿宋" w:hAnsi="仿宋" w:eastAsia="仿宋"/>
          <w:b w:val="0"/>
          <w:bCs w:val="0"/>
        </w:rPr>
        <w:t>十、</w:t>
      </w:r>
      <w:bookmarkEnd w:id="141"/>
      <w:bookmarkEnd w:id="142"/>
      <w:bookmarkEnd w:id="143"/>
      <w:bookmarkStart w:id="145" w:name="_Toc79163896"/>
      <w:bookmarkStart w:id="146" w:name="_Toc79163646"/>
      <w:bookmarkStart w:id="147" w:name="_Toc15396629"/>
      <w:r>
        <w:rPr>
          <w:rFonts w:hint="eastAsia" w:ascii="仿宋" w:hAnsi="仿宋" w:eastAsia="仿宋"/>
          <w:b w:val="0"/>
          <w:color w:val="000000"/>
        </w:rPr>
        <w:t>政</w:t>
      </w:r>
      <w:r>
        <w:rPr>
          <w:rStyle w:val="41"/>
          <w:rFonts w:hint="eastAsia" w:ascii="仿宋" w:hAnsi="仿宋" w:eastAsia="仿宋"/>
          <w:b w:val="0"/>
          <w:bCs w:val="0"/>
        </w:rPr>
        <w:t>府性基金预算财政拨款收入支出决算表</w:t>
      </w:r>
      <w:bookmarkEnd w:id="144"/>
      <w:bookmarkEnd w:id="145"/>
      <w:bookmarkEnd w:id="146"/>
      <w:bookmarkEnd w:id="147"/>
    </w:p>
    <w:p>
      <w:pPr>
        <w:pStyle w:val="4"/>
        <w:rPr>
          <w:rStyle w:val="41"/>
          <w:rFonts w:ascii="仿宋" w:hAnsi="仿宋" w:eastAsia="仿宋"/>
          <w:b w:val="0"/>
          <w:bCs w:val="0"/>
        </w:rPr>
      </w:pPr>
      <w:bookmarkStart w:id="148" w:name="_Toc79163897"/>
      <w:bookmarkStart w:id="149" w:name="_Toc15396630"/>
      <w:bookmarkStart w:id="150" w:name="_Toc79163647"/>
      <w:bookmarkStart w:id="151" w:name="_Toc9174"/>
      <w:r>
        <w:rPr>
          <w:rStyle w:val="41"/>
          <w:rFonts w:hint="eastAsia" w:ascii="仿宋" w:hAnsi="仿宋" w:eastAsia="仿宋"/>
          <w:b w:val="0"/>
          <w:bCs w:val="0"/>
        </w:rPr>
        <w:t>十</w:t>
      </w:r>
      <w:bookmarkEnd w:id="148"/>
      <w:bookmarkEnd w:id="149"/>
      <w:bookmarkEnd w:id="150"/>
      <w:bookmarkStart w:id="152" w:name="_Toc15396631"/>
      <w:bookmarkStart w:id="153" w:name="_Toc79163898"/>
      <w:bookmarkStart w:id="154" w:name="_Toc79163648"/>
      <w:r>
        <w:rPr>
          <w:rStyle w:val="41"/>
          <w:rFonts w:hint="eastAsia" w:ascii="仿宋" w:hAnsi="仿宋" w:eastAsia="仿宋"/>
          <w:b w:val="0"/>
          <w:bCs w:val="0"/>
          <w:lang w:val="en-US" w:eastAsia="zh-CN"/>
        </w:rPr>
        <w:t>一</w:t>
      </w:r>
      <w:r>
        <w:rPr>
          <w:rStyle w:val="41"/>
          <w:rFonts w:hint="eastAsia" w:ascii="仿宋" w:hAnsi="仿宋" w:eastAsia="仿宋"/>
          <w:b w:val="0"/>
          <w:bCs w:val="0"/>
        </w:rPr>
        <w:t>、</w:t>
      </w:r>
      <w:r>
        <w:rPr>
          <w:rFonts w:hint="eastAsia" w:ascii="仿宋" w:hAnsi="仿宋" w:eastAsia="仿宋"/>
          <w:b w:val="0"/>
          <w:color w:val="000000"/>
        </w:rPr>
        <w:t>国</w:t>
      </w:r>
      <w:r>
        <w:rPr>
          <w:rStyle w:val="41"/>
          <w:rFonts w:hint="eastAsia" w:ascii="仿宋" w:hAnsi="仿宋" w:eastAsia="仿宋"/>
          <w:b w:val="0"/>
          <w:bCs w:val="0"/>
        </w:rPr>
        <w:t>有资本经营预算财政拨款</w:t>
      </w:r>
      <w:r>
        <w:rPr>
          <w:rStyle w:val="41"/>
          <w:rFonts w:hint="eastAsia" w:ascii="仿宋" w:hAnsi="仿宋" w:eastAsia="仿宋"/>
          <w:b w:val="0"/>
          <w:bCs w:val="0"/>
          <w:lang w:val="en-US" w:eastAsia="zh-CN"/>
        </w:rPr>
        <w:t>收入</w:t>
      </w:r>
      <w:r>
        <w:rPr>
          <w:rStyle w:val="41"/>
          <w:rFonts w:hint="eastAsia" w:ascii="仿宋" w:hAnsi="仿宋" w:eastAsia="仿宋"/>
          <w:b w:val="0"/>
          <w:bCs w:val="0"/>
        </w:rPr>
        <w:t>支出决算表</w:t>
      </w:r>
      <w:bookmarkEnd w:id="151"/>
      <w:bookmarkEnd w:id="152"/>
      <w:bookmarkEnd w:id="153"/>
      <w:bookmarkEnd w:id="154"/>
    </w:p>
    <w:p>
      <w:pPr>
        <w:pStyle w:val="4"/>
        <w:rPr>
          <w:rStyle w:val="41"/>
          <w:rFonts w:hint="eastAsia" w:ascii="仿宋" w:hAnsi="仿宋" w:eastAsia="仿宋"/>
          <w:b w:val="0"/>
          <w:bCs w:val="0"/>
        </w:rPr>
      </w:pPr>
      <w:bookmarkStart w:id="155" w:name="_Toc79163899"/>
      <w:bookmarkStart w:id="156" w:name="_Toc79163649"/>
      <w:bookmarkStart w:id="157" w:name="_Toc11612"/>
      <w:r>
        <w:rPr>
          <w:rStyle w:val="41"/>
          <w:rFonts w:hint="eastAsia" w:ascii="仿宋" w:hAnsi="仿宋" w:eastAsia="仿宋"/>
          <w:b w:val="0"/>
          <w:bCs w:val="0"/>
        </w:rPr>
        <w:t>十</w:t>
      </w:r>
      <w:r>
        <w:rPr>
          <w:rStyle w:val="41"/>
          <w:rFonts w:hint="eastAsia" w:ascii="仿宋" w:hAnsi="仿宋" w:eastAsia="仿宋"/>
          <w:b w:val="0"/>
          <w:bCs w:val="0"/>
          <w:lang w:val="en-US" w:eastAsia="zh-CN"/>
        </w:rPr>
        <w:t>二</w:t>
      </w:r>
      <w:r>
        <w:rPr>
          <w:rStyle w:val="41"/>
          <w:rFonts w:hint="eastAsia" w:ascii="仿宋" w:hAnsi="仿宋" w:eastAsia="仿宋"/>
          <w:b w:val="0"/>
          <w:bCs w:val="0"/>
        </w:rPr>
        <w:t>、国有资本经营预算财政拨款支出决算表</w:t>
      </w:r>
      <w:bookmarkEnd w:id="155"/>
      <w:bookmarkEnd w:id="156"/>
      <w:bookmarkEnd w:id="157"/>
    </w:p>
    <w:p>
      <w:bookmarkStart w:id="158" w:name="_Toc9369"/>
      <w:r>
        <w:rPr>
          <w:rStyle w:val="41"/>
          <w:rFonts w:hint="eastAsia" w:ascii="仿宋" w:hAnsi="仿宋" w:eastAsia="仿宋"/>
          <w:b w:val="0"/>
          <w:bCs w:val="0"/>
          <w:lang w:val="en-US" w:eastAsia="zh-CN"/>
        </w:rPr>
        <w:t>十三、</w:t>
      </w:r>
      <w:r>
        <w:rPr>
          <w:rStyle w:val="41"/>
          <w:rFonts w:hint="eastAsia" w:ascii="仿宋" w:hAnsi="仿宋" w:eastAsia="仿宋"/>
          <w:b w:val="0"/>
          <w:bCs w:val="0"/>
        </w:rPr>
        <w:t>财政拨款“三公”经费支出决算表</w:t>
      </w:r>
      <w:bookmarkEnd w:id="158"/>
    </w:p>
    <w:p>
      <w:pPr>
        <w:pStyle w:val="4"/>
        <w:rPr>
          <w:rStyle w:val="26"/>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kNzQ4ZWFiZmQ4NTRhOWRkZTk3YTMwMjlmMmZhYm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A589B"/>
    <w:rsid w:val="0A2032A3"/>
    <w:rsid w:val="0A7C3105"/>
    <w:rsid w:val="0D0962DF"/>
    <w:rsid w:val="0FB32109"/>
    <w:rsid w:val="10662D33"/>
    <w:rsid w:val="10C055FF"/>
    <w:rsid w:val="118107EC"/>
    <w:rsid w:val="12401524"/>
    <w:rsid w:val="15CD01EF"/>
    <w:rsid w:val="16BB723D"/>
    <w:rsid w:val="18621476"/>
    <w:rsid w:val="195864D4"/>
    <w:rsid w:val="1D155CEE"/>
    <w:rsid w:val="1DB57BF2"/>
    <w:rsid w:val="20F327A0"/>
    <w:rsid w:val="240371BF"/>
    <w:rsid w:val="26A304C8"/>
    <w:rsid w:val="291F2C34"/>
    <w:rsid w:val="29FD04D3"/>
    <w:rsid w:val="2E4F3A42"/>
    <w:rsid w:val="319F7F4E"/>
    <w:rsid w:val="326B7F22"/>
    <w:rsid w:val="399D552C"/>
    <w:rsid w:val="3C660363"/>
    <w:rsid w:val="46BA1A23"/>
    <w:rsid w:val="49926582"/>
    <w:rsid w:val="4E480507"/>
    <w:rsid w:val="4ECE2238"/>
    <w:rsid w:val="505235A3"/>
    <w:rsid w:val="54E3759A"/>
    <w:rsid w:val="54EA10ED"/>
    <w:rsid w:val="59873645"/>
    <w:rsid w:val="5A5D362D"/>
    <w:rsid w:val="5A6D04B0"/>
    <w:rsid w:val="5C5225BC"/>
    <w:rsid w:val="60E057CB"/>
    <w:rsid w:val="6247367F"/>
    <w:rsid w:val="63016E3B"/>
    <w:rsid w:val="69B52513"/>
    <w:rsid w:val="6C4A05C8"/>
    <w:rsid w:val="709F2CA0"/>
    <w:rsid w:val="72734D90"/>
    <w:rsid w:val="7595199F"/>
    <w:rsid w:val="77E213EF"/>
    <w:rsid w:val="7E255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4"/>
    <w:qFormat/>
    <w:uiPriority w:val="99"/>
    <w:pPr>
      <w:spacing w:beforeLines="30"/>
    </w:pPr>
    <w:rPr>
      <w:rFonts w:ascii="仿宋_GB2312" w:eastAsia="仿宋_GB2312"/>
      <w:kern w:val="0"/>
      <w:sz w:val="24"/>
      <w:szCs w:val="20"/>
      <w:lang w:val="zh-CN" w:eastAsia="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Indent"/>
    <w:basedOn w:val="1"/>
    <w:next w:val="8"/>
    <w:qFormat/>
    <w:uiPriority w:val="0"/>
    <w:pPr>
      <w:spacing w:line="560" w:lineRule="atLeast"/>
      <w:ind w:firstLine="640" w:firstLineChars="200"/>
    </w:pPr>
    <w:rPr>
      <w:rFonts w:ascii="仿宋_GB2312" w:hAnsi="Times New Roman" w:eastAsia="仿宋_GB2312" w:cs="Times New Roman"/>
      <w:sz w:val="32"/>
    </w:rPr>
  </w:style>
  <w:style w:type="paragraph" w:styleId="8">
    <w:name w:val="Body Text First Indent 2"/>
    <w:basedOn w:val="7"/>
    <w:qFormat/>
    <w:uiPriority w:val="0"/>
    <w:pPr>
      <w:ind w:firstLine="420" w:firstLineChars="200"/>
    </w:pPr>
    <w:rPr>
      <w:rFonts w:ascii="Times New Roman" w:hAnsi="Times New Roman" w:eastAsia="宋体" w:cs="Times New Roma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qFormat/>
    <w:uiPriority w:val="0"/>
    <w:rPr>
      <w:rFonts w:ascii="宋体" w:hAnsi="Courier New" w:cs="Courier New"/>
      <w:szCs w:val="21"/>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3"/>
    <w:qFormat/>
    <w:locked/>
    <w:uiPriority w:val="9"/>
    <w:rPr>
      <w:rFonts w:ascii="Times New Roman" w:hAnsi="Times New Roman" w:cs="Times New Roman"/>
      <w:b/>
      <w:bCs/>
      <w:kern w:val="44"/>
      <w:sz w:val="44"/>
      <w:szCs w:val="44"/>
    </w:rPr>
  </w:style>
  <w:style w:type="character" w:customStyle="1" w:styleId="26">
    <w:name w:val="标题 2 字符"/>
    <w:basedOn w:val="22"/>
    <w:link w:val="4"/>
    <w:qFormat/>
    <w:locked/>
    <w:uiPriority w:val="9"/>
    <w:rPr>
      <w:rFonts w:ascii="Cambria" w:hAnsi="Cambria" w:eastAsia="宋体" w:cs="Times New Roman"/>
      <w:b/>
      <w:bCs/>
      <w:kern w:val="2"/>
      <w:sz w:val="32"/>
      <w:szCs w:val="32"/>
    </w:rPr>
  </w:style>
  <w:style w:type="character" w:customStyle="1" w:styleId="27">
    <w:name w:val="标题 3 字符"/>
    <w:basedOn w:val="22"/>
    <w:link w:val="5"/>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3"/>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5"/>
    <w:semiHidden/>
    <w:qFormat/>
    <w:locked/>
    <w:uiPriority w:val="99"/>
    <w:rPr>
      <w:sz w:val="18"/>
    </w:rPr>
  </w:style>
  <w:style w:type="character" w:customStyle="1" w:styleId="33">
    <w:name w:val="页脚 字符"/>
    <w:link w:val="14"/>
    <w:qFormat/>
    <w:locked/>
    <w:uiPriority w:val="99"/>
    <w:rPr>
      <w:sz w:val="18"/>
    </w:rPr>
  </w:style>
  <w:style w:type="character" w:customStyle="1" w:styleId="34">
    <w:name w:val="正文文本 字符"/>
    <w:link w:val="2"/>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0">
    <w:name w:val="Heading 1 Char"/>
    <w:basedOn w:val="22"/>
    <w:link w:val="3"/>
    <w:qFormat/>
    <w:locked/>
    <w:uiPriority w:val="99"/>
    <w:rPr>
      <w:rFonts w:cs="Times New Roman"/>
      <w:b/>
      <w:bCs/>
      <w:kern w:val="44"/>
      <w:sz w:val="44"/>
      <w:szCs w:val="44"/>
    </w:rPr>
  </w:style>
  <w:style w:type="character" w:customStyle="1" w:styleId="41">
    <w:name w:val="标题 2 Char"/>
    <w:basedOn w:val="22"/>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182.77</c:v>
                </c:pt>
                <c:pt idx="1">
                  <c:v>222.99</c:v>
                </c:pt>
              </c:numCache>
            </c:numRef>
          </c:val>
        </c:ser>
        <c:dLbls>
          <c:showLegendKey val="0"/>
          <c:showVal val="0"/>
          <c:showCatName val="0"/>
          <c:showSerName val="0"/>
          <c:showPercent val="0"/>
          <c:showBubbleSize val="0"/>
        </c:dLbls>
        <c:gapWidth val="219"/>
        <c:overlap val="-27"/>
        <c:axId val="106693095"/>
        <c:axId val="305342215"/>
      </c:barChart>
      <c:catAx>
        <c:axId val="10669309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42215"/>
        <c:crosses val="autoZero"/>
        <c:auto val="1"/>
        <c:lblAlgn val="ctr"/>
        <c:lblOffset val="100"/>
        <c:noMultiLvlLbl val="0"/>
      </c:catAx>
      <c:valAx>
        <c:axId val="30534221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6693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#,##0.00</c:formatCode>
                <c:ptCount val="2"/>
                <c:pt idx="0">
                  <c:v>212.77</c:v>
                </c:pt>
                <c:pt idx="1">
                  <c:v>237.94</c:v>
                </c:pt>
              </c:numCache>
            </c:numRef>
          </c:val>
        </c:ser>
        <c:dLbls>
          <c:showLegendKey val="0"/>
          <c:showVal val="0"/>
          <c:showCatName val="0"/>
          <c:showSerName val="0"/>
          <c:showPercent val="0"/>
          <c:showBubbleSize val="0"/>
        </c:dLbls>
        <c:gapWidth val="219"/>
        <c:overlap val="-27"/>
        <c:axId val="847754403"/>
        <c:axId val="162696083"/>
      </c:barChart>
      <c:catAx>
        <c:axId val="84775440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696083"/>
        <c:crosses val="autoZero"/>
        <c:auto val="1"/>
        <c:lblAlgn val="ctr"/>
        <c:lblOffset val="100"/>
        <c:noMultiLvlLbl val="0"/>
      </c:catAx>
      <c:valAx>
        <c:axId val="16269608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7544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tx>
            <c:strRef>
              <c:f>[决算公开分析图表.xls]Sheet1!$D$45</c:f>
              <c:strCache>
                <c:ptCount val="1"/>
                <c:pt idx="0">
                  <c:v>一般公共预算财政拨款收入</c:v>
                </c:pt>
              </c:strCache>
            </c:strRef>
          </c:tx>
          <c:explosion val="0"/>
          <c:dPt>
            <c:idx val="0"/>
            <c:bubble3D val="0"/>
            <c:explosion val="0"/>
            <c:spPr>
              <a:solidFill>
                <a:schemeClr val="accent1"/>
              </a:solidFill>
              <a:ln w="19050">
                <a:solidFill>
                  <a:schemeClr val="lt1"/>
                </a:solidFill>
              </a:ln>
              <a:effectLst/>
            </c:spPr>
          </c:dPt>
          <c:dLbls>
            <c:delete val="1"/>
          </c:dLbls>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31354051054384"/>
          <c:y val="0.894675925925926"/>
          <c:w val="0.39622641509434"/>
          <c:h val="0.0770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Lbls>
            <c:delete val="1"/>
          </c:dLbls>
          <c:cat>
            <c:strRef>
              <c:f>[决算公开分析图表.xls]Sheet1!$C$62</c:f>
              <c:strCache>
                <c:ptCount val="1"/>
                <c:pt idx="0">
                  <c:v>基本支出</c:v>
                </c:pt>
              </c:strCache>
            </c:strRef>
          </c:cat>
          <c:val>
            <c:numRef>
              <c:f>[决算公开分析图表.xls]Sheet1!$D$62</c:f>
              <c:numCache>
                <c:formatCode>#,##0.00</c:formatCode>
                <c:ptCount val="1"/>
                <c:pt idx="0">
                  <c:v>304.9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370032472552961"/>
          <c:y val="0.852164137155705"/>
          <c:w val="0.584969846915107"/>
          <c:h val="0.13940415964024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[决算公开分析图表.xls]Sheet1!$A$87:$B$87</c:f>
              <c:strCache>
                <c:ptCount val="2"/>
                <c:pt idx="0">
                  <c:v>2021年</c:v>
                </c:pt>
                <c:pt idx="1">
                  <c:v>2022年</c:v>
                </c:pt>
              </c:strCache>
            </c:strRef>
          </c:cat>
          <c:val>
            <c:numRef>
              <c:f>[决算公开分析图表.xls]Sheet1!$A$88:$B$88</c:f>
              <c:numCache>
                <c:formatCode>#,##0.00</c:formatCode>
                <c:ptCount val="2"/>
                <c:pt idx="0">
                  <c:v>182.77</c:v>
                </c:pt>
                <c:pt idx="1">
                  <c:v>222.99</c:v>
                </c:pt>
              </c:numCache>
            </c:numRef>
          </c:val>
        </c:ser>
        <c:dLbls>
          <c:showLegendKey val="0"/>
          <c:showVal val="0"/>
          <c:showCatName val="0"/>
          <c:showSerName val="0"/>
          <c:showPercent val="0"/>
          <c:showBubbleSize val="0"/>
        </c:dLbls>
        <c:gapWidth val="219"/>
        <c:overlap val="-27"/>
        <c:axId val="314731724"/>
        <c:axId val="201090266"/>
      </c:barChart>
      <c:catAx>
        <c:axId val="3147317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1090266"/>
        <c:crosses val="autoZero"/>
        <c:auto val="1"/>
        <c:lblAlgn val="ctr"/>
        <c:lblOffset val="100"/>
        <c:noMultiLvlLbl val="0"/>
      </c:catAx>
      <c:valAx>
        <c:axId val="20109026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47317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[决算公开分析图表.xls]Sheet1!$A$104:$B$104</c:f>
              <c:strCache>
                <c:ptCount val="2"/>
                <c:pt idx="0">
                  <c:v>2021年</c:v>
                </c:pt>
                <c:pt idx="1">
                  <c:v>2022年</c:v>
                </c:pt>
              </c:strCache>
            </c:strRef>
          </c:cat>
          <c:val>
            <c:numRef>
              <c:f>[决算公开分析图表.xls]Sheet1!$A$105:$B$105</c:f>
              <c:numCache>
                <c:formatCode>#,##0.00</c:formatCode>
                <c:ptCount val="2"/>
                <c:pt idx="0">
                  <c:v>212.77</c:v>
                </c:pt>
                <c:pt idx="1">
                  <c:v>237.94</c:v>
                </c:pt>
              </c:numCache>
            </c:numRef>
          </c:val>
        </c:ser>
        <c:dLbls>
          <c:showLegendKey val="0"/>
          <c:showVal val="0"/>
          <c:showCatName val="0"/>
          <c:showSerName val="0"/>
          <c:showPercent val="0"/>
          <c:showBubbleSize val="0"/>
        </c:dLbls>
        <c:gapWidth val="219"/>
        <c:overlap val="-27"/>
        <c:axId val="571558211"/>
        <c:axId val="354792044"/>
      </c:barChart>
      <c:catAx>
        <c:axId val="57155821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4792044"/>
        <c:crosses val="autoZero"/>
        <c:auto val="1"/>
        <c:lblAlgn val="ctr"/>
        <c:lblOffset val="100"/>
        <c:noMultiLvlLbl val="0"/>
      </c:catAx>
      <c:valAx>
        <c:axId val="3547920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5582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[决算公开分析图表.xls]Sheet1!$A$120:$B$120</c:f>
              <c:strCache>
                <c:ptCount val="2"/>
                <c:pt idx="0">
                  <c:v>2021年</c:v>
                </c:pt>
                <c:pt idx="1">
                  <c:v>2022年</c:v>
                </c:pt>
              </c:strCache>
            </c:strRef>
          </c:cat>
          <c:val>
            <c:numRef>
              <c:f>[决算公开分析图表.xls]Sheet1!$A$121:$B$121</c:f>
              <c:numCache>
                <c:formatCode>#,##0.00</c:formatCode>
                <c:ptCount val="2"/>
                <c:pt idx="0">
                  <c:v>212.77</c:v>
                </c:pt>
                <c:pt idx="1">
                  <c:v>237.94</c:v>
                </c:pt>
              </c:numCache>
            </c:numRef>
          </c:val>
        </c:ser>
        <c:dLbls>
          <c:showLegendKey val="0"/>
          <c:showVal val="0"/>
          <c:showCatName val="0"/>
          <c:showSerName val="0"/>
          <c:showPercent val="0"/>
          <c:showBubbleSize val="0"/>
        </c:dLbls>
        <c:gapWidth val="219"/>
        <c:overlap val="-27"/>
        <c:axId val="517665130"/>
        <c:axId val="365859036"/>
      </c:barChart>
      <c:catAx>
        <c:axId val="51766513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5859036"/>
        <c:crosses val="autoZero"/>
        <c:auto val="1"/>
        <c:lblAlgn val="ctr"/>
        <c:lblOffset val="100"/>
        <c:noMultiLvlLbl val="0"/>
      </c:catAx>
      <c:valAx>
        <c:axId val="3658590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76651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[决算公开分析图表.xls]Sheet1!$C$144:$C$147</c:f>
              <c:strCache>
                <c:ptCount val="4"/>
                <c:pt idx="0">
                  <c:v>社会保障和就业支出</c:v>
                </c:pt>
                <c:pt idx="1">
                  <c:v>卫生健康支出</c:v>
                </c:pt>
                <c:pt idx="2">
                  <c:v>自然资源海洋气象等支出</c:v>
                </c:pt>
                <c:pt idx="3">
                  <c:v>住房保障支出</c:v>
                </c:pt>
              </c:strCache>
            </c:strRef>
          </c:cat>
          <c:val>
            <c:numRef>
              <c:f>[决算公开分析图表.xls]Sheet1!$D$144:$D$147</c:f>
              <c:numCache>
                <c:formatCode>#,##0.00</c:formatCode>
                <c:ptCount val="4"/>
                <c:pt idx="0">
                  <c:v>33.05</c:v>
                </c:pt>
                <c:pt idx="1">
                  <c:v>13.03</c:v>
                </c:pt>
                <c:pt idx="2">
                  <c:v>175.65</c:v>
                </c:pt>
                <c:pt idx="3">
                  <c:v>16.21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30072515285085"/>
          <c:y val="0.678927203065134"/>
          <c:w val="0.35816863358453"/>
          <c:h val="0.28429118773946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9702</Words>
  <Characters>10333</Characters>
  <Lines>74</Lines>
  <Paragraphs>21</Paragraphs>
  <TotalTime>21</TotalTime>
  <ScaleCrop>false</ScaleCrop>
  <LinksUpToDate>false</LinksUpToDate>
  <CharactersWithSpaces>10415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九八年生于南方</cp:lastModifiedBy>
  <cp:lastPrinted>2021-07-29T03:56:00Z</cp:lastPrinted>
  <dcterms:modified xsi:type="dcterms:W3CDTF">2023-10-25T02:54:05Z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B881F0D1A6844EBDBF538FAFB3E5CCB0_13</vt:lpwstr>
  </property>
</Properties>
</file>