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bookmarkEnd w:id="0"/>
    <w:p>
      <w:pPr>
        <w:jc w:val="center"/>
        <w:rPr>
          <w:rFonts w:ascii="黑体" w:hAnsi="黑体" w:eastAsia="黑体" w:cs="Times New Roman"/>
          <w:sz w:val="72"/>
          <w:szCs w:val="72"/>
        </w:rPr>
      </w:pPr>
      <w:r>
        <w:rPr>
          <w:rFonts w:hint="eastAsia" w:ascii="黑体" w:hAnsi="黑体" w:eastAsia="黑体" w:cs="黑体"/>
          <w:sz w:val="72"/>
          <w:szCs w:val="72"/>
        </w:rPr>
        <w:t>壤塘县住房和城乡建设局</w:t>
      </w:r>
      <w:r>
        <w:rPr>
          <w:rFonts w:ascii="黑体" w:hAnsi="黑体" w:eastAsia="黑体" w:cs="黑体"/>
          <w:sz w:val="72"/>
          <w:szCs w:val="72"/>
        </w:rPr>
        <w:t>202</w:t>
      </w:r>
      <w:r>
        <w:rPr>
          <w:rFonts w:hint="eastAsia" w:ascii="黑体" w:hAnsi="黑体" w:eastAsia="黑体" w:cs="黑体"/>
          <w:sz w:val="72"/>
          <w:szCs w:val="72"/>
          <w:lang w:val="en-US" w:eastAsia="zh-CN"/>
        </w:rPr>
        <w:t>0</w:t>
      </w:r>
      <w:r>
        <w:rPr>
          <w:rFonts w:ascii="黑体" w:hAnsi="黑体" w:eastAsia="黑体" w:cs="黑体"/>
          <w:sz w:val="72"/>
          <w:szCs w:val="72"/>
        </w:rPr>
        <w:t>年</w:t>
      </w:r>
      <w:r>
        <w:rPr>
          <w:rFonts w:hint="eastAsia" w:ascii="黑体" w:hAnsi="黑体" w:eastAsia="黑体" w:cs="黑体"/>
          <w:sz w:val="72"/>
          <w:szCs w:val="72"/>
        </w:rPr>
        <w:t>部门</w:t>
      </w:r>
      <w:r>
        <w:rPr>
          <w:rFonts w:hint="eastAsia" w:ascii="黑体" w:hAnsi="黑体" w:eastAsia="黑体" w:cs="黑体"/>
          <w:sz w:val="72"/>
          <w:szCs w:val="72"/>
          <w:lang w:eastAsia="zh-CN"/>
        </w:rPr>
        <w:t>决</w:t>
      </w:r>
      <w:r>
        <w:rPr>
          <w:rFonts w:hint="eastAsia" w:ascii="黑体" w:hAnsi="黑体" w:eastAsia="黑体" w:cs="黑体"/>
          <w:sz w:val="72"/>
          <w:szCs w:val="72"/>
        </w:rPr>
        <w:t>算</w:t>
      </w:r>
    </w:p>
    <w:p>
      <w:pPr>
        <w:jc w:val="center"/>
        <w:rPr>
          <w:rFonts w:ascii="黑体" w:hAnsi="黑体" w:eastAsia="黑体" w:cs="Times New Roman"/>
          <w:sz w:val="44"/>
          <w:szCs w:val="44"/>
        </w:rPr>
      </w:pPr>
    </w:p>
    <w:p>
      <w:pPr>
        <w:jc w:val="cente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jc w:val="center"/>
        <w:rPr>
          <w:rFonts w:ascii="黑体" w:hAnsi="黑体" w:eastAsia="黑体" w:cs="Times New Roman"/>
          <w:sz w:val="52"/>
          <w:szCs w:val="52"/>
        </w:rPr>
      </w:pPr>
      <w:r>
        <w:rPr>
          <w:rFonts w:hint="eastAsia" w:ascii="黑体" w:hAnsi="黑体" w:eastAsia="黑体" w:cs="黑体"/>
          <w:sz w:val="52"/>
          <w:szCs w:val="52"/>
          <w:lang w:val="en-US" w:eastAsia="zh-CN"/>
        </w:rPr>
        <w:t>2021</w:t>
      </w:r>
      <w:r>
        <w:rPr>
          <w:rFonts w:hint="eastAsia" w:ascii="黑体" w:hAnsi="黑体" w:eastAsia="黑体" w:cs="黑体"/>
          <w:sz w:val="52"/>
          <w:szCs w:val="52"/>
        </w:rPr>
        <w:t>年</w:t>
      </w:r>
      <w:r>
        <w:rPr>
          <w:rFonts w:hint="eastAsia" w:ascii="黑体" w:hAnsi="黑体" w:eastAsia="黑体" w:cs="黑体"/>
          <w:sz w:val="52"/>
          <w:szCs w:val="52"/>
          <w:lang w:val="en-US" w:eastAsia="zh-CN"/>
        </w:rPr>
        <w:t>10</w:t>
      </w:r>
      <w:r>
        <w:rPr>
          <w:rFonts w:hint="eastAsia" w:ascii="黑体" w:hAnsi="黑体" w:eastAsia="黑体" w:cs="黑体"/>
          <w:sz w:val="52"/>
          <w:szCs w:val="52"/>
        </w:rPr>
        <w:t>月</w:t>
      </w:r>
      <w:r>
        <w:rPr>
          <w:rFonts w:hint="eastAsia" w:ascii="黑体" w:hAnsi="黑体" w:eastAsia="黑体" w:cs="黑体"/>
          <w:sz w:val="52"/>
          <w:szCs w:val="52"/>
          <w:lang w:val="en-US" w:eastAsia="zh-CN"/>
        </w:rPr>
        <w:t>25</w:t>
      </w:r>
      <w:r>
        <w:rPr>
          <w:rFonts w:hint="eastAsia" w:ascii="黑体" w:hAnsi="黑体" w:eastAsia="黑体" w:cs="黑体"/>
          <w:sz w:val="52"/>
          <w:szCs w:val="52"/>
        </w:rPr>
        <w:t>日</w:t>
      </w:r>
    </w:p>
    <w:p>
      <w:pPr>
        <w:autoSpaceDE w:val="0"/>
        <w:autoSpaceDN w:val="0"/>
        <w:adjustRightInd w:val="0"/>
        <w:ind w:left="420" w:leftChars="200" w:firstLine="3360" w:firstLineChars="700"/>
        <w:jc w:val="both"/>
        <w:rPr>
          <w:rFonts w:hint="eastAsia" w:ascii="黑体" w:hAnsi="黑体" w:eastAsia="黑体"/>
          <w:color w:val="000000"/>
          <w:sz w:val="48"/>
          <w:szCs w:val="48"/>
        </w:rPr>
      </w:pPr>
    </w:p>
    <w:p>
      <w:pPr>
        <w:autoSpaceDE w:val="0"/>
        <w:autoSpaceDN w:val="0"/>
        <w:adjustRightInd w:val="0"/>
        <w:ind w:left="420" w:leftChars="200" w:firstLine="3360" w:firstLineChars="700"/>
        <w:jc w:val="both"/>
        <w:rPr>
          <w:rFonts w:hint="eastAsia" w:ascii="黑体" w:hAnsi="黑体" w:eastAsia="黑体"/>
          <w:color w:val="000000"/>
          <w:sz w:val="48"/>
          <w:szCs w:val="48"/>
        </w:rPr>
      </w:pPr>
    </w:p>
    <w:p>
      <w:pPr>
        <w:autoSpaceDE w:val="0"/>
        <w:autoSpaceDN w:val="0"/>
        <w:adjustRightInd w:val="0"/>
        <w:ind w:left="420" w:leftChars="200" w:firstLine="3360" w:firstLineChars="700"/>
        <w:jc w:val="both"/>
        <w:rPr>
          <w:rFonts w:hint="eastAsia" w:ascii="黑体" w:hAnsi="黑体" w:eastAsia="黑体"/>
          <w:color w:val="000000"/>
          <w:sz w:val="48"/>
          <w:szCs w:val="48"/>
        </w:rPr>
      </w:pPr>
    </w:p>
    <w:p>
      <w:pPr>
        <w:autoSpaceDE w:val="0"/>
        <w:autoSpaceDN w:val="0"/>
        <w:adjustRightInd w:val="0"/>
        <w:ind w:left="420" w:leftChars="200" w:firstLine="3360" w:firstLineChars="700"/>
        <w:jc w:val="both"/>
        <w:rPr>
          <w:rFonts w:hint="eastAsia" w:ascii="黑体" w:hAnsi="黑体" w:eastAsia="黑体"/>
          <w:color w:val="000000"/>
          <w:sz w:val="48"/>
          <w:szCs w:val="48"/>
        </w:rPr>
      </w:pPr>
    </w:p>
    <w:p>
      <w:pPr>
        <w:autoSpaceDE w:val="0"/>
        <w:autoSpaceDN w:val="0"/>
        <w:adjustRightInd w:val="0"/>
        <w:ind w:left="420" w:leftChars="200" w:firstLine="3360" w:firstLineChars="700"/>
        <w:jc w:val="both"/>
        <w:rPr>
          <w:rFonts w:ascii="黑体" w:hAnsi="黑体" w:eastAsia="黑体"/>
          <w:color w:val="000000"/>
          <w:sz w:val="48"/>
          <w:szCs w:val="48"/>
        </w:rPr>
      </w:pP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1</w:t>
      </w:r>
      <w:r>
        <w:rPr>
          <w:rFonts w:hint="eastAsia" w:hAnsiTheme="minorHAnsi"/>
          <w:b w:val="0"/>
          <w:bCs w:val="0"/>
          <w:sz w:val="24"/>
          <w:szCs w:val="24"/>
        </w:rPr>
        <w:t>年</w:t>
      </w:r>
      <w:r>
        <w:rPr>
          <w:rFonts w:hint="eastAsia" w:hAnsiTheme="minorHAnsi"/>
          <w:b w:val="0"/>
          <w:bCs w:val="0"/>
          <w:sz w:val="24"/>
          <w:szCs w:val="24"/>
          <w:lang w:val="en-US" w:eastAsia="zh-CN"/>
        </w:rPr>
        <w:t>10</w:t>
      </w:r>
      <w:r>
        <w:rPr>
          <w:rFonts w:hint="eastAsia" w:hAnsiTheme="minorHAnsi"/>
          <w:b w:val="0"/>
          <w:bCs w:val="0"/>
          <w:sz w:val="24"/>
          <w:szCs w:val="24"/>
        </w:rPr>
        <w:t xml:space="preserve"> 月</w:t>
      </w:r>
      <w:r>
        <w:rPr>
          <w:rFonts w:hint="eastAsia" w:hAnsiTheme="minorHAnsi"/>
          <w:b w:val="0"/>
          <w:bCs w:val="0"/>
          <w:sz w:val="24"/>
          <w:szCs w:val="24"/>
          <w:lang w:val="en-US" w:eastAsia="zh-CN"/>
        </w:rPr>
        <w:t>25</w:t>
      </w:r>
      <w:r>
        <w:rPr>
          <w:rFonts w:hint="eastAsia" w:hAnsiTheme="minorHAnsi"/>
          <w:b w:val="0"/>
          <w:bCs w:val="0"/>
          <w:sz w:val="24"/>
          <w:szCs w:val="24"/>
        </w:rPr>
        <w:t>日</w:t>
      </w:r>
    </w:p>
    <w:p>
      <w:pPr>
        <w:pStyle w:val="15"/>
        <w:tabs>
          <w:tab w:val="right" w:leader="dot" w:pos="8296"/>
        </w:tabs>
        <w:rPr>
          <w:rFonts w:hint="eastAsia" w:hAnsiTheme="minorHAnsi" w:eastAsiaTheme="minorHAnsi" w:cstheme="minorBidi"/>
          <w:b w:val="0"/>
          <w:bCs w:val="0"/>
          <w:caps w:val="0"/>
          <w:sz w:val="21"/>
          <w:szCs w:val="22"/>
          <w:lang w:val="en-US" w:eastAsia="zh-CN"/>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lang w:val="en-US" w:eastAsia="zh-CN"/>
        </w:rPr>
        <w:t>5</w:t>
      </w:r>
    </w:p>
    <w:p>
      <w:pPr>
        <w:pStyle w:val="18"/>
        <w:tabs>
          <w:tab w:val="right" w:leader="dot" w:pos="8296"/>
        </w:tabs>
        <w:rPr>
          <w:rFonts w:hint="eastAsia" w:hAnsiTheme="minorHAnsi" w:eastAsiaTheme="minorHAnsi" w:cstheme="minorBidi"/>
          <w:smallCaps w:val="0"/>
          <w:sz w:val="21"/>
          <w:szCs w:val="22"/>
          <w:lang w:val="en-US" w:eastAsia="zh-CN"/>
        </w:rPr>
      </w:pPr>
      <w:r>
        <w:rPr>
          <w:rFonts w:ascii="黑体" w:hAnsi="黑体" w:eastAsia="黑体"/>
          <w:color w:val="000000"/>
        </w:rPr>
        <w:t>一、基</w:t>
      </w:r>
      <w:r>
        <w:rPr>
          <w:rFonts w:ascii="黑体" w:hAnsi="黑体" w:eastAsia="黑体"/>
        </w:rPr>
        <w:t>本职能及主要工作</w:t>
      </w:r>
      <w:r>
        <w:tab/>
      </w:r>
      <w:r>
        <w:rPr>
          <w:rFonts w:hint="eastAsia"/>
          <w:lang w:val="en-US" w:eastAsia="zh-CN"/>
        </w:rPr>
        <w:t>5</w:t>
      </w:r>
    </w:p>
    <w:p>
      <w:pPr>
        <w:pStyle w:val="10"/>
        <w:tabs>
          <w:tab w:val="right" w:leader="dot" w:pos="8296"/>
        </w:tabs>
        <w:rPr>
          <w:rFonts w:hint="eastAsia" w:ascii="仿宋" w:hAnsi="仿宋" w:eastAsia="仿宋"/>
          <w:b/>
          <w:color w:val="000000"/>
          <w:lang w:val="en-US" w:eastAsia="zh-CN"/>
        </w:rPr>
      </w:pPr>
      <w:r>
        <w:rPr>
          <w:rFonts w:ascii="仿宋" w:hAnsi="仿宋" w:eastAsia="仿宋"/>
          <w:b/>
          <w:color w:val="000000"/>
        </w:rPr>
        <w:t>（一）主要职能</w:t>
      </w:r>
      <w:r>
        <w:rPr>
          <w:rFonts w:ascii="仿宋" w:hAnsi="仿宋" w:eastAsia="仿宋"/>
          <w:b/>
          <w:color w:val="000000"/>
        </w:rPr>
        <w:tab/>
      </w:r>
      <w:r>
        <w:rPr>
          <w:rFonts w:hint="eastAsia" w:ascii="仿宋" w:hAnsi="仿宋" w:eastAsia="仿宋"/>
          <w:b/>
          <w:color w:val="000000"/>
          <w:lang w:val="en-US" w:eastAsia="zh-CN"/>
        </w:rPr>
        <w:t>5</w:t>
      </w:r>
    </w:p>
    <w:p>
      <w:pPr>
        <w:pStyle w:val="10"/>
        <w:tabs>
          <w:tab w:val="right" w:leader="dot" w:pos="8296"/>
        </w:tabs>
        <w:rPr>
          <w:rFonts w:hint="eastAsia" w:hAnsiTheme="minorHAnsi" w:eastAsiaTheme="minorHAnsi" w:cstheme="minorBidi"/>
          <w:i w:val="0"/>
          <w:iCs w:val="0"/>
          <w:sz w:val="21"/>
          <w:szCs w:val="22"/>
          <w:lang w:val="en-US" w:eastAsia="zh-CN"/>
        </w:rPr>
      </w:pPr>
      <w:r>
        <w:rPr>
          <w:rFonts w:ascii="仿宋" w:hAnsi="仿宋" w:eastAsia="仿宋"/>
          <w:b/>
          <w:color w:val="000000"/>
        </w:rPr>
        <w:t>（二）2020年重点工作完成情况</w:t>
      </w:r>
      <w:r>
        <w:tab/>
      </w:r>
      <w:r>
        <w:rPr>
          <w:rFonts w:hint="eastAsia"/>
          <w:lang w:val="en-US" w:eastAsia="zh-CN"/>
        </w:rPr>
        <w:t>5</w:t>
      </w:r>
    </w:p>
    <w:p>
      <w:pPr>
        <w:pStyle w:val="18"/>
        <w:tabs>
          <w:tab w:val="right" w:leader="dot" w:pos="8296"/>
        </w:tabs>
        <w:rPr>
          <w:rFonts w:hint="default" w:hAnsiTheme="minorHAnsi" w:eastAsiaTheme="minorEastAsia" w:cstheme="minorBidi"/>
          <w:i w:val="0"/>
          <w:iCs w:val="0"/>
          <w:sz w:val="21"/>
          <w:szCs w:val="22"/>
          <w:lang w:val="en-US"/>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20</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rPr>
          <w:rFonts w:hint="eastAsia"/>
          <w:lang w:val="en-US" w:eastAsia="zh-CN"/>
        </w:rPr>
        <w:t>21</w:t>
      </w:r>
    </w:p>
    <w:p>
      <w:pPr>
        <w:pStyle w:val="18"/>
        <w:tabs>
          <w:tab w:val="left" w:pos="840"/>
          <w:tab w:val="right" w:leader="dot" w:pos="8296"/>
        </w:tabs>
        <w:rPr>
          <w:rFonts w:hint="eastAsia"/>
          <w:lang w:val="en-US"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21</w:t>
      </w:r>
    </w:p>
    <w:p>
      <w:pPr>
        <w:pStyle w:val="18"/>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22</w:t>
      </w:r>
    </w:p>
    <w:p>
      <w:pPr>
        <w:pStyle w:val="18"/>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22</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23</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24</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24</w:t>
      </w:r>
    </w:p>
    <w:p>
      <w:pPr>
        <w:pStyle w:val="10"/>
        <w:tabs>
          <w:tab w:val="right" w:leader="dot" w:pos="8296"/>
        </w:tabs>
        <w:rPr>
          <w:rFonts w:hint="eastAsia"/>
          <w:lang w:val="en-US" w:eastAsia="zh-CN"/>
        </w:rPr>
      </w:pPr>
      <w:r>
        <w:rPr>
          <w:rFonts w:ascii="仿宋" w:hAnsi="仿宋" w:eastAsia="仿宋"/>
          <w:b/>
          <w:color w:val="000000"/>
        </w:rPr>
        <w:t>（二）一般公共预算财政拨款支出决算结构情况</w:t>
      </w:r>
      <w:r>
        <w:tab/>
      </w:r>
      <w:r>
        <w:rPr>
          <w:rFonts w:hint="eastAsia"/>
          <w:lang w:val="en-US" w:eastAsia="zh-CN"/>
        </w:rPr>
        <w:t>25</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26</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28</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28</w:t>
      </w:r>
    </w:p>
    <w:p>
      <w:pPr>
        <w:pStyle w:val="10"/>
        <w:tabs>
          <w:tab w:val="right" w:leader="dot" w:pos="8296"/>
        </w:tabs>
        <w:rPr>
          <w:rFonts w:hint="eastAsia"/>
          <w:lang w:val="en-US" w:eastAsia="zh-CN"/>
        </w:rPr>
      </w:pPr>
      <w:r>
        <w:rPr>
          <w:rFonts w:ascii="仿宋" w:hAnsi="仿宋" w:eastAsia="仿宋"/>
          <w:b/>
          <w:color w:val="000000"/>
        </w:rPr>
        <w:t>（一）“三公”经费财政拨款支出决算总体情况说明</w:t>
      </w:r>
      <w:r>
        <w:tab/>
      </w:r>
      <w:r>
        <w:rPr>
          <w:rFonts w:hint="eastAsia"/>
          <w:lang w:val="en-US" w:eastAsia="zh-CN"/>
        </w:rPr>
        <w:t>28</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29</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30</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30</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30</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（一）机关运行经费支出情况</w:t>
      </w:r>
      <w:r>
        <w:tab/>
      </w:r>
      <w:r>
        <w:rPr>
          <w:rFonts w:hint="eastAsia"/>
          <w:lang w:val="en-US" w:eastAsia="zh-CN"/>
        </w:rPr>
        <w:t>30</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（二）政府采购支出情况</w:t>
      </w:r>
      <w:r>
        <w:tab/>
      </w:r>
      <w:r>
        <w:rPr>
          <w:rFonts w:hint="eastAsia"/>
          <w:lang w:val="en-US" w:eastAsia="zh-CN"/>
        </w:rPr>
        <w:t>30</w:t>
      </w:r>
    </w:p>
    <w:p>
      <w:pPr>
        <w:pStyle w:val="10"/>
        <w:tabs>
          <w:tab w:val="right" w:leader="dot" w:pos="8296"/>
        </w:tabs>
        <w:rPr>
          <w:rFonts w:hint="eastAsia"/>
          <w:lang w:val="en-US" w:eastAsia="zh-CN"/>
        </w:rPr>
      </w:pPr>
      <w:r>
        <w:rPr>
          <w:rFonts w:ascii="仿宋" w:hAnsi="仿宋" w:eastAsia="仿宋"/>
          <w:b/>
          <w:color w:val="000000"/>
        </w:rPr>
        <w:t>（三）国有资产占有使用情况</w:t>
      </w:r>
      <w:r>
        <w:tab/>
      </w:r>
      <w:r>
        <w:rPr>
          <w:rFonts w:hint="eastAsia"/>
          <w:lang w:val="en-US" w:eastAsia="zh-CN"/>
        </w:rPr>
        <w:t>31</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（四）预算绩效管理情况。</w:t>
      </w:r>
      <w:r>
        <w:tab/>
      </w:r>
      <w:r>
        <w:rPr>
          <w:rFonts w:hint="eastAsia"/>
          <w:lang w:val="en-US" w:eastAsia="zh-CN"/>
        </w:rPr>
        <w:t>31</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35</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39</w:t>
      </w:r>
    </w:p>
    <w:p>
      <w:pPr>
        <w:pStyle w:val="15"/>
        <w:tabs>
          <w:tab w:val="right" w:leader="dot" w:pos="8296"/>
        </w:tabs>
        <w:rPr>
          <w:rFonts w:hint="eastAsia"/>
          <w:lang w:val="en-US" w:eastAsia="zh-CN"/>
        </w:rPr>
      </w:pPr>
      <w:r>
        <w:rPr>
          <w:rFonts w:ascii="黑体" w:hAnsi="黑体" w:eastAsia="黑体" w:cs="黑体"/>
        </w:rPr>
        <w:t>附件1</w:t>
      </w:r>
      <w:r>
        <w:tab/>
      </w:r>
      <w:r>
        <w:rPr>
          <w:rFonts w:hint="eastAsia"/>
          <w:lang w:val="en-US" w:eastAsia="zh-CN"/>
        </w:rPr>
        <w:t>39</w:t>
      </w:r>
    </w:p>
    <w:p>
      <w:pPr>
        <w:pStyle w:val="15"/>
        <w:tabs>
          <w:tab w:val="right" w:leader="dot" w:pos="8296"/>
        </w:tabs>
        <w:rPr>
          <w:rFonts w:hint="eastAsia"/>
          <w:lang w:val="en-US" w:eastAsia="zh-CN"/>
        </w:rPr>
      </w:pPr>
      <w:r>
        <w:rPr>
          <w:rFonts w:hint="eastAsia" w:ascii="方正小标宋简体" w:hAnsi="黑体" w:eastAsia="方正小标宋简体" w:cs="黑体"/>
          <w:lang w:eastAsia="zh-CN"/>
        </w:rPr>
        <w:t>壤塘县住房和城乡建设局</w:t>
      </w:r>
      <w:r>
        <w:rPr>
          <w:rFonts w:ascii="方正小标宋简体" w:hAnsi="黑体" w:eastAsia="方正小标宋简体" w:cs="黑体"/>
        </w:rPr>
        <w:t>2020年部门整体支出绩效评价报告</w:t>
      </w:r>
      <w:r>
        <w:tab/>
      </w:r>
      <w:r>
        <w:rPr>
          <w:rFonts w:hint="eastAsia"/>
          <w:lang w:val="en-US" w:eastAsia="zh-CN"/>
        </w:rPr>
        <w:t>39</w:t>
      </w:r>
    </w:p>
    <w:p>
      <w:pPr>
        <w:pStyle w:val="15"/>
        <w:tabs>
          <w:tab w:val="right" w:leader="dot" w:pos="8296"/>
        </w:tabs>
        <w:rPr>
          <w:rFonts w:hint="eastAsia"/>
          <w:lang w:val="en-US" w:eastAsia="zh-CN"/>
        </w:rPr>
      </w:pPr>
      <w:r>
        <w:rPr>
          <w:rFonts w:ascii="黑体" w:hAnsi="黑体" w:eastAsia="黑体" w:cs="黑体"/>
        </w:rPr>
        <w:t>附件2</w:t>
      </w:r>
      <w:r>
        <w:tab/>
      </w:r>
      <w:r>
        <w:rPr>
          <w:rFonts w:hint="eastAsia"/>
          <w:lang w:val="en-US" w:eastAsia="zh-CN"/>
        </w:rPr>
        <w:t>43</w:t>
      </w:r>
    </w:p>
    <w:p>
      <w:pPr>
        <w:pStyle w:val="15"/>
        <w:tabs>
          <w:tab w:val="right" w:leader="dot" w:pos="8296"/>
        </w:tabs>
        <w:rPr>
          <w:rFonts w:hint="eastAsia"/>
          <w:lang w:val="en-US" w:eastAsia="zh-CN"/>
        </w:rPr>
      </w:pPr>
      <w:r>
        <w:rPr>
          <w:rFonts w:hint="eastAsia" w:ascii="方正小标宋简体" w:hAnsi="黑体" w:eastAsia="方正小标宋简体" w:cs="黑体"/>
          <w:lang w:eastAsia="zh-CN"/>
        </w:rPr>
        <w:t>壤塘县生活垃圾资源化综合处置项目</w:t>
      </w:r>
      <w:r>
        <w:rPr>
          <w:rFonts w:ascii="方正小标宋简体" w:hAnsi="黑体" w:eastAsia="方正小标宋简体" w:cs="黑体"/>
        </w:rPr>
        <w:t>2020年绩效评价报告</w:t>
      </w:r>
      <w:r>
        <w:tab/>
      </w:r>
      <w:r>
        <w:rPr>
          <w:rFonts w:hint="eastAsia"/>
          <w:lang w:val="en-US" w:eastAsia="zh-CN"/>
        </w:rPr>
        <w:t>43</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48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48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48</w:t>
      </w:r>
    </w:p>
    <w:p>
      <w:pPr>
        <w:pStyle w:val="18"/>
        <w:tabs>
          <w:tab w:val="right" w:leader="dot" w:pos="8296"/>
        </w:tabs>
        <w:rPr>
          <w:rFonts w:hint="eastAsia"/>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48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48</w:t>
      </w:r>
    </w:p>
    <w:p>
      <w:pPr>
        <w:pStyle w:val="18"/>
        <w:tabs>
          <w:tab w:val="right" w:leader="dot" w:pos="8296"/>
        </w:tabs>
        <w:rPr>
          <w:rFonts w:hint="eastAsia"/>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48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48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48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48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48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48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48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48</w:t>
      </w:r>
    </w:p>
    <w:p>
      <w:pPr>
        <w:pStyle w:val="18"/>
        <w:tabs>
          <w:tab w:val="right" w:leader="dot" w:pos="8296"/>
        </w:tabs>
        <w:rPr>
          <w:rFonts w:hint="eastAsia"/>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lang w:eastAsia="zh-CN"/>
        </w:rPr>
        <w:t>收入</w:t>
      </w:r>
      <w:r>
        <w:rPr>
          <w:rFonts w:ascii="仿宋" w:hAnsi="仿宋" w:eastAsia="仿宋"/>
        </w:rPr>
        <w:t>支出决算表</w:t>
      </w:r>
      <w:r>
        <w:tab/>
      </w:r>
      <w:r>
        <w:rPr>
          <w:rFonts w:hint="eastAsia"/>
          <w:lang w:val="en-US" w:eastAsia="zh-CN"/>
        </w:rPr>
        <w:t>48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48</w:t>
      </w:r>
    </w:p>
    <w:p>
      <w:r>
        <w:rPr>
          <w:rFonts w:asciiTheme="minorHAnsi" w:eastAsiaTheme="minorHAnsi"/>
          <w:b/>
          <w:bCs/>
          <w:caps/>
          <w:sz w:val="20"/>
          <w:szCs w:val="20"/>
        </w:rPr>
        <w:fldChar w:fldCharType="end"/>
      </w:r>
    </w:p>
    <w:p>
      <w:pPr>
        <w:widowControl/>
        <w:adjustRightInd w:val="0"/>
        <w:snapToGrid w:val="0"/>
        <w:spacing w:line="440" w:lineRule="exact"/>
        <w:ind w:firstLine="1320" w:firstLineChars="550"/>
        <w:jc w:val="left"/>
        <w:rPr>
          <w:rFonts w:ascii="仿宋" w:hAnsi="仿宋" w:eastAsia="仿宋"/>
          <w:color w:val="FF0000"/>
          <w:sz w:val="24"/>
        </w:rPr>
      </w:pPr>
    </w:p>
    <w:p>
      <w:pPr>
        <w:widowControl/>
        <w:spacing w:line="440" w:lineRule="exact"/>
        <w:jc w:val="left"/>
        <w:rPr>
          <w:rFonts w:ascii="仿宋" w:hAnsi="仿宋" w:eastAsia="仿宋"/>
          <w:bCs/>
          <w:kern w:val="44"/>
          <w:sz w:val="24"/>
        </w:rPr>
      </w:pPr>
      <w:bookmarkStart w:id="1" w:name="_Toc15396599"/>
      <w:bookmarkStart w:id="2" w:name="_Toc15377196"/>
      <w:r>
        <w:rPr>
          <w:rFonts w:ascii="仿宋" w:hAnsi="仿宋" w:eastAsia="仿宋"/>
          <w:b/>
          <w:sz w:val="24"/>
        </w:rPr>
        <w:br w:type="page"/>
      </w:r>
    </w:p>
    <w:p>
      <w:pPr>
        <w:pStyle w:val="3"/>
        <w:jc w:val="center"/>
        <w:rPr>
          <w:rStyle w:val="26"/>
          <w:rFonts w:ascii="黑体" w:hAnsi="黑体" w:eastAsia="黑体"/>
          <w:b/>
          <w:bCs w:val="0"/>
        </w:rPr>
      </w:pPr>
      <w:bookmarkStart w:id="3" w:name="_Toc79163601"/>
      <w:bookmarkStart w:id="4" w:name="_Toc79163851"/>
      <w:r>
        <w:rPr>
          <w:rFonts w:hint="eastAsia" w:ascii="黑体" w:hAnsi="黑体" w:eastAsia="黑体"/>
          <w:b w:val="0"/>
        </w:rPr>
        <w:t>第一部分</w:t>
      </w:r>
      <w:r>
        <w:rPr>
          <w:rFonts w:ascii="黑体" w:hAnsi="黑体" w:eastAsia="黑体"/>
          <w:b w:val="0"/>
        </w:rPr>
        <w:t xml:space="preserve"> </w:t>
      </w:r>
      <w:r>
        <w:rPr>
          <w:rStyle w:val="26"/>
          <w:rFonts w:hint="eastAsia" w:ascii="黑体" w:hAnsi="黑体" w:eastAsia="黑体"/>
          <w:b w:val="0"/>
          <w:bCs w:val="0"/>
        </w:rPr>
        <w:t>部门概况</w:t>
      </w:r>
      <w:bookmarkEnd w:id="1"/>
      <w:bookmarkEnd w:id="2"/>
      <w:bookmarkEnd w:id="3"/>
      <w:bookmarkEnd w:id="4"/>
    </w:p>
    <w:p>
      <w:pPr>
        <w:widowControl/>
        <w:jc w:val="left"/>
        <w:rPr>
          <w:rFonts w:ascii="黑体" w:eastAsia="黑体"/>
          <w:color w:val="000000"/>
          <w:sz w:val="32"/>
          <w:szCs w:val="32"/>
        </w:rPr>
      </w:pPr>
    </w:p>
    <w:p>
      <w:pPr>
        <w:pStyle w:val="4"/>
        <w:rPr>
          <w:rStyle w:val="27"/>
          <w:rFonts w:ascii="仿宋" w:hAnsi="仿宋" w:eastAsia="仿宋"/>
          <w:b w:val="0"/>
          <w:bCs w:val="0"/>
        </w:rPr>
      </w:pPr>
      <w:bookmarkStart w:id="5" w:name="_Toc79163602"/>
      <w:bookmarkStart w:id="6" w:name="_Toc15377197"/>
      <w:bookmarkStart w:id="7" w:name="_Toc15396600"/>
      <w:bookmarkStart w:id="8" w:name="_Toc79163852"/>
      <w:r>
        <w:rPr>
          <w:rFonts w:hint="eastAsia" w:ascii="黑体" w:hAnsi="黑体" w:eastAsia="黑体"/>
          <w:b w:val="0"/>
          <w:color w:val="000000"/>
        </w:rPr>
        <w:t>一、基</w:t>
      </w:r>
      <w:r>
        <w:rPr>
          <w:rStyle w:val="27"/>
          <w:rFonts w:hint="eastAsia" w:ascii="黑体" w:hAnsi="黑体" w:eastAsia="黑体"/>
          <w:b w:val="0"/>
          <w:bCs w:val="0"/>
        </w:rPr>
        <w:t>本职能及主要工作</w:t>
      </w:r>
      <w:bookmarkEnd w:id="5"/>
      <w:bookmarkEnd w:id="6"/>
      <w:bookmarkEnd w:id="7"/>
      <w:bookmarkEnd w:id="8"/>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9" w:name="_Toc79163603"/>
      <w:bookmarkStart w:id="10" w:name="_Toc79163853"/>
      <w:bookmarkStart w:id="11" w:name="_Toc15377198"/>
      <w:bookmarkStart w:id="12" w:name="_Toc15378445"/>
      <w:r>
        <w:rPr>
          <w:rFonts w:hint="eastAsia" w:ascii="仿宋" w:hAnsi="仿宋" w:eastAsia="仿宋"/>
          <w:bCs/>
          <w:color w:val="000000"/>
          <w:sz w:val="32"/>
          <w:szCs w:val="32"/>
        </w:rPr>
        <w:t>（一）主要职能。</w:t>
      </w:r>
      <w:bookmarkEnd w:id="9"/>
      <w:bookmarkEnd w:id="10"/>
    </w:p>
    <w:p>
      <w:pPr>
        <w:pStyle w:val="7"/>
        <w:adjustRightInd w:val="0"/>
        <w:snapToGrid w:val="0"/>
        <w:spacing w:before="93" w:line="600" w:lineRule="exact"/>
        <w:ind w:firstLine="672" w:firstLineChars="210"/>
        <w:outlineLvl w:val="2"/>
        <w:rPr>
          <w:rFonts w:hint="eastAsia" w:ascii="仿宋" w:hAnsi="仿宋" w:eastAsia="仿宋" w:cs="仿宋"/>
          <w:sz w:val="28"/>
          <w:szCs w:val="28"/>
        </w:rPr>
      </w:pPr>
      <w:r>
        <w:rPr>
          <w:rFonts w:hint="eastAsia" w:ascii="仿宋" w:hAnsi="仿宋" w:eastAsia="仿宋" w:cs="仿宋"/>
          <w:color w:val="333333"/>
          <w:sz w:val="32"/>
          <w:szCs w:val="32"/>
          <w:shd w:val="clear" w:fill="FFFFFF"/>
        </w:rPr>
        <w:t>壤塘县住房和城乡建设局主要职责是贯彻执行国家、省、州关于工程建设、城市建设、村镇建设、建筑业、房地产、农村能源建设和测绘工作的方针、政策、中长期规划；负责各类房屋建筑及其附属设施的建设与配套的线路、管道、设备安装项目和市政工程项目的初步设计审查、施工图审批、开工审批和招标活动的执法监督；综合管理和指导全县建筑业、规范建筑市场，城市勘察和市政测量工作；指导全县城镇土地使用权有偿转让、房地产开发经营和中介服务，规范房地产市场，指导和推进城镇住宅建设，负责住房制度改革工作。指导城镇园林绿化工作；会同有关部门管理工业与民用建筑的抗震设防建设，承担推进住房制度改革、保障城镇低收入家庭住房的责任，编制住房保障发展规划和年度计划并监督实施等工</w:t>
      </w:r>
      <w:r>
        <w:rPr>
          <w:rFonts w:hint="eastAsia" w:ascii="仿宋" w:hAnsi="仿宋" w:eastAsia="仿宋" w:cs="仿宋"/>
          <w:color w:val="333333"/>
          <w:sz w:val="32"/>
          <w:szCs w:val="32"/>
          <w:shd w:val="clear" w:fill="FFFFFF"/>
          <w:lang w:eastAsia="zh-CN"/>
        </w:rPr>
        <w:t>作。</w:t>
      </w:r>
      <w:r>
        <w:rPr>
          <w:rFonts w:hint="eastAsia" w:ascii="仿宋" w:hAnsi="仿宋" w:eastAsia="仿宋" w:cs="仿宋"/>
          <w:color w:val="333333"/>
          <w:sz w:val="32"/>
          <w:szCs w:val="32"/>
          <w:shd w:val="clear" w:fill="FFFFFF"/>
        </w:rPr>
        <w:t>  </w:t>
      </w:r>
    </w:p>
    <w:bookmarkEnd w:id="11"/>
    <w:bookmarkEnd w:id="12"/>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3" w:name="_Toc15378446"/>
      <w:bookmarkStart w:id="14" w:name="_Toc79163854"/>
      <w:bookmarkStart w:id="15" w:name="_Toc79163604"/>
      <w:bookmarkStart w:id="16" w:name="_Toc15377199"/>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13"/>
      <w:bookmarkEnd w:id="14"/>
      <w:bookmarkEnd w:id="15"/>
      <w:bookmarkEnd w:id="16"/>
    </w:p>
    <w:p>
      <w:pPr>
        <w:pStyle w:val="4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紧盯疫情防控，全力抓好复工复产</w:t>
      </w:r>
    </w:p>
    <w:p>
      <w:pPr>
        <w:pStyle w:val="4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为有力、有序推动我县房屋和市政项目开复工，结合省、州、县关于新冠肺炎疫情防控工作部署，我局一手抓疫情防控有力，一手抓复工复产有序，从加快推进项目策划、推动项目尽早开工、复工、竣工等角度研究制定的措施，统筹抓好疫情防控与复工复产工作，充分发挥主管部门审核环节的重要作用，促进全县建筑领域经济社会平稳健康发展。</w:t>
      </w:r>
    </w:p>
    <w:p>
      <w:pPr>
        <w:pStyle w:val="4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1.加强项目人员动向摸排。</w:t>
      </w:r>
      <w:r>
        <w:rPr>
          <w:rFonts w:hint="eastAsia" w:ascii="仿宋" w:hAnsi="仿宋" w:eastAsia="仿宋" w:cs="仿宋"/>
          <w:kern w:val="2"/>
          <w:sz w:val="32"/>
          <w:szCs w:val="32"/>
          <w:lang w:val="en-US" w:eastAsia="zh-CN" w:bidi="ar-SA"/>
        </w:rPr>
        <w:t>针对我县房屋市政建设项目从业人员流量大、异地务工人员多等特点，及时通知各建设、施工、监理、勘察、设计等单位，要求摸清项目管理人员以及拟派驻的务工人员在疫情防控期间的去向以及身体情况，并及时备案。</w:t>
      </w:r>
    </w:p>
    <w:p>
      <w:pPr>
        <w:pStyle w:val="4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2.制定疫情防控复工方案。一是</w:t>
      </w:r>
      <w:r>
        <w:rPr>
          <w:rFonts w:hint="eastAsia" w:ascii="仿宋" w:hAnsi="仿宋" w:eastAsia="仿宋" w:cs="仿宋"/>
          <w:kern w:val="2"/>
          <w:sz w:val="32"/>
          <w:szCs w:val="32"/>
          <w:lang w:val="en-US" w:eastAsia="zh-CN" w:bidi="ar-SA"/>
        </w:rPr>
        <w:t>为规范疫情防控期间建筑项目复工复产，提早筹划，制定了《壤塘县房屋和市政项目新型冠状病毒疫情防控方案》，规范了疫情防控期间建筑项目复工审批管理、企业开工复工自查、开工后疫情管理、安全生产管理等工作；</w:t>
      </w:r>
      <w:r>
        <w:rPr>
          <w:rFonts w:hint="eastAsia" w:ascii="仿宋" w:hAnsi="仿宋" w:eastAsia="仿宋" w:cs="仿宋"/>
          <w:b/>
          <w:bCs/>
          <w:kern w:val="2"/>
          <w:sz w:val="32"/>
          <w:szCs w:val="32"/>
          <w:lang w:val="en-US" w:eastAsia="zh-CN" w:bidi="ar-SA"/>
        </w:rPr>
        <w:t>二是</w:t>
      </w:r>
      <w:r>
        <w:rPr>
          <w:rFonts w:hint="eastAsia" w:ascii="仿宋" w:hAnsi="仿宋" w:eastAsia="仿宋" w:cs="仿宋"/>
          <w:kern w:val="2"/>
          <w:sz w:val="32"/>
          <w:szCs w:val="32"/>
          <w:lang w:val="en-US" w:eastAsia="zh-CN" w:bidi="ar-SA"/>
        </w:rPr>
        <w:t>在做好疫情防控工作的同时，协助各项目单位制定疫情防控、复工等方案，为后续正式复工奠定基础。</w:t>
      </w:r>
    </w:p>
    <w:p>
      <w:pPr>
        <w:pStyle w:val="4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3.切实解决复工存在问题。一是</w:t>
      </w:r>
      <w:r>
        <w:rPr>
          <w:rFonts w:hint="eastAsia" w:ascii="仿宋" w:hAnsi="仿宋" w:eastAsia="仿宋" w:cs="仿宋"/>
          <w:kern w:val="2"/>
          <w:sz w:val="32"/>
          <w:szCs w:val="32"/>
          <w:lang w:val="en-US" w:eastAsia="zh-CN" w:bidi="ar-SA"/>
        </w:rPr>
        <w:t>强化服务指导，为进一步提高办事效率，利用“四川省住房城乡建设电子政务平台”、“壤塘县建筑市场疫情防控工作群”、“壤塘县建设项目管理群”、“壤塘县建设项目业主群”等线上平台办公，实现不见面办事、当天事当天结，并且及时优化前期要件审批流程，实行“一对一”服务指导，实行申报核查并行；</w:t>
      </w:r>
      <w:r>
        <w:rPr>
          <w:rFonts w:hint="eastAsia" w:ascii="仿宋" w:hAnsi="仿宋" w:eastAsia="仿宋" w:cs="仿宋"/>
          <w:b/>
          <w:bCs/>
          <w:kern w:val="2"/>
          <w:sz w:val="32"/>
          <w:szCs w:val="32"/>
          <w:lang w:val="en-US" w:eastAsia="zh-CN" w:bidi="ar-SA"/>
        </w:rPr>
        <w:t>二是</w:t>
      </w:r>
      <w:r>
        <w:rPr>
          <w:rFonts w:hint="eastAsia" w:ascii="仿宋" w:hAnsi="仿宋" w:eastAsia="仿宋" w:cs="仿宋"/>
          <w:kern w:val="2"/>
          <w:sz w:val="32"/>
          <w:szCs w:val="32"/>
          <w:lang w:val="en-US" w:eastAsia="zh-CN" w:bidi="ar-SA"/>
        </w:rPr>
        <w:t>强化支持保障，积极协调解决各企业在复工复产中面临的跨多部门办理文件等问题，结合审批制定改革要求，缩短办理时间，简化办理流程，联合其他审批部门，实现“一站式”窗口服务；</w:t>
      </w:r>
      <w:r>
        <w:rPr>
          <w:rFonts w:hint="eastAsia" w:ascii="仿宋" w:hAnsi="仿宋" w:eastAsia="仿宋" w:cs="仿宋"/>
          <w:b/>
          <w:bCs/>
          <w:kern w:val="2"/>
          <w:sz w:val="32"/>
          <w:szCs w:val="32"/>
          <w:lang w:val="en-US" w:eastAsia="zh-CN" w:bidi="ar-SA"/>
        </w:rPr>
        <w:t>三是</w:t>
      </w:r>
      <w:r>
        <w:rPr>
          <w:rFonts w:hint="eastAsia" w:ascii="仿宋" w:hAnsi="仿宋" w:eastAsia="仿宋" w:cs="仿宋"/>
          <w:kern w:val="2"/>
          <w:sz w:val="32"/>
          <w:szCs w:val="32"/>
          <w:lang w:val="en-US" w:eastAsia="zh-CN" w:bidi="ar-SA"/>
        </w:rPr>
        <w:t>针对项目设计、勘察工作，开通“特殊通道”，设计勘察人员经过健康体检后，由县防疫指挥部指定定点接待酒店，进行半封闭管理，“点对点”、“一站式”开展工作。</w:t>
      </w:r>
      <w:r>
        <w:rPr>
          <w:rFonts w:hint="eastAsia" w:ascii="仿宋" w:hAnsi="仿宋" w:eastAsia="仿宋" w:cs="仿宋"/>
          <w:b/>
          <w:bCs/>
          <w:kern w:val="2"/>
          <w:sz w:val="32"/>
          <w:szCs w:val="32"/>
          <w:lang w:val="en-US" w:eastAsia="zh-CN" w:bidi="ar-SA"/>
        </w:rPr>
        <w:t>四是</w:t>
      </w:r>
      <w:r>
        <w:rPr>
          <w:rFonts w:hint="eastAsia" w:ascii="仿宋" w:hAnsi="仿宋" w:eastAsia="仿宋" w:cs="仿宋"/>
          <w:kern w:val="2"/>
          <w:sz w:val="32"/>
          <w:szCs w:val="32"/>
          <w:lang w:val="en-US" w:eastAsia="zh-CN" w:bidi="ar-SA"/>
        </w:rPr>
        <w:t>针对部分施工企业因物资不足未能复工的情况，主动深入企业，了解实际困难，协调采购必备防疫物资；</w:t>
      </w:r>
      <w:r>
        <w:rPr>
          <w:rFonts w:hint="eastAsia" w:ascii="仿宋" w:hAnsi="仿宋" w:eastAsia="仿宋" w:cs="仿宋"/>
          <w:b/>
          <w:bCs/>
          <w:kern w:val="2"/>
          <w:sz w:val="32"/>
          <w:szCs w:val="32"/>
          <w:lang w:val="en-US" w:eastAsia="zh-CN" w:bidi="ar-SA"/>
        </w:rPr>
        <w:t>五是</w:t>
      </w:r>
      <w:r>
        <w:rPr>
          <w:rFonts w:hint="eastAsia" w:ascii="仿宋" w:hAnsi="仿宋" w:eastAsia="仿宋" w:cs="仿宋"/>
          <w:kern w:val="2"/>
          <w:sz w:val="32"/>
          <w:szCs w:val="32"/>
          <w:lang w:val="en-US" w:eastAsia="zh-CN" w:bidi="ar-SA"/>
        </w:rPr>
        <w:t>针对人员返程难、机械运输难、原料配送难等问题，要求施工企业在保目标、保质量的前提下倒排工期；</w:t>
      </w:r>
      <w:r>
        <w:rPr>
          <w:rFonts w:hint="eastAsia" w:ascii="仿宋" w:hAnsi="仿宋" w:eastAsia="仿宋" w:cs="仿宋"/>
          <w:b/>
          <w:bCs/>
          <w:kern w:val="2"/>
          <w:sz w:val="32"/>
          <w:szCs w:val="32"/>
          <w:lang w:val="en-US" w:eastAsia="zh-CN" w:bidi="ar-SA"/>
        </w:rPr>
        <w:t>六是</w:t>
      </w:r>
      <w:r>
        <w:rPr>
          <w:rFonts w:hint="eastAsia" w:ascii="仿宋" w:hAnsi="仿宋" w:eastAsia="仿宋" w:cs="仿宋"/>
          <w:kern w:val="2"/>
          <w:sz w:val="32"/>
          <w:szCs w:val="32"/>
          <w:lang w:val="en-US" w:eastAsia="zh-CN" w:bidi="ar-SA"/>
        </w:rPr>
        <w:t>提前对接砂石厂，报送需求量，确保复工后材料供应。</w:t>
      </w:r>
    </w:p>
    <w:p>
      <w:pPr>
        <w:pStyle w:val="4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4.抓好项目复工疫情防控。</w:t>
      </w:r>
      <w:r>
        <w:rPr>
          <w:rFonts w:hint="eastAsia" w:ascii="仿宋" w:hAnsi="仿宋" w:eastAsia="仿宋" w:cs="仿宋"/>
          <w:kern w:val="2"/>
          <w:sz w:val="32"/>
          <w:szCs w:val="32"/>
          <w:lang w:val="en-US" w:eastAsia="zh-CN" w:bidi="ar-SA"/>
        </w:rPr>
        <w:t>及时调整工作重心，根据疫情防控的新形势，全力推进在建工程从万无一失的高成本防控到提高警惕、实事求是、重点防控的转变，努力做到复工复产、疫情防控、安全生产三手抓三手硬，按照防控方案的要求督促复工项目备足防疫物资，建立项目复工疫情防控体系，严格落实实名制管理，做好安全教育、现场人员体温检测，搞好施工现场、生活区、办公区及机械设备消毒管理，建立应急预案和信息报送制度，执行“有事报事，无事报平安”的制度，严防工地发生疫情。</w:t>
      </w:r>
    </w:p>
    <w:p>
      <w:pPr>
        <w:pStyle w:val="4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5.加强政策合同管理宣传。</w:t>
      </w:r>
      <w:r>
        <w:rPr>
          <w:rFonts w:hint="eastAsia" w:ascii="仿宋" w:hAnsi="仿宋" w:eastAsia="仿宋" w:cs="仿宋"/>
          <w:kern w:val="2"/>
          <w:sz w:val="32"/>
          <w:szCs w:val="32"/>
          <w:lang w:val="en-US" w:eastAsia="zh-CN" w:bidi="ar-SA"/>
        </w:rPr>
        <w:t>针对新冠肺炎疫情的特殊性，加强对疫情防控期间发承包双方履约合同指导，督促双方适用合同中不可抗力的相关约定，按照公平原则及时处理复工履约存在的问题，加强工期及停工损失、疫情防控费用、材料价格等方面政策的宣传，保障双方的合法利益，避免纠纷，保障项目能够有序推进。</w:t>
      </w:r>
    </w:p>
    <w:p>
      <w:pPr>
        <w:pStyle w:val="4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聚焦脱贫攻坚，巩固拓展扶贫成效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——狠抓脱贫项目推进。一是</w:t>
      </w:r>
      <w:r>
        <w:rPr>
          <w:rFonts w:hint="eastAsia" w:ascii="仿宋" w:hAnsi="仿宋" w:eastAsia="仿宋" w:cs="仿宋"/>
          <w:sz w:val="32"/>
          <w:szCs w:val="32"/>
          <w:lang w:val="en-US" w:eastAsia="zh-CN"/>
        </w:rPr>
        <w:t>加强对脱贫攻坚项目的业务指导，围绕局年度项目建设任务，提前谋划、精准施策、靠上服务，全力推动建设项目有序推进，为全县脱贫奔康保驾护航，全年共计开展质量督查工作200余次，下发整改通知书30余份，监督记录50余份，在监督过程中严格要求施工单位按照规定办理相关程序，加大对施工质量的监督力度，确保脱贫攻坚基础设施建设项目保质、保量完成；</w:t>
      </w:r>
      <w:r>
        <w:rPr>
          <w:rFonts w:hint="eastAsia" w:ascii="仿宋" w:hAnsi="仿宋" w:eastAsia="仿宋" w:cs="仿宋"/>
          <w:b/>
          <w:bCs/>
          <w:sz w:val="32"/>
          <w:szCs w:val="32"/>
          <w:lang w:val="en-US" w:eastAsia="zh-CN"/>
        </w:rPr>
        <w:t>二是</w:t>
      </w:r>
      <w:r>
        <w:rPr>
          <w:rFonts w:hint="eastAsia" w:ascii="仿宋" w:hAnsi="仿宋" w:eastAsia="仿宋" w:cs="仿宋"/>
          <w:sz w:val="32"/>
          <w:szCs w:val="32"/>
          <w:lang w:val="en-US" w:eastAsia="zh-CN"/>
        </w:rPr>
        <w:t>顺利实施完成</w:t>
      </w:r>
      <w:r>
        <w:rPr>
          <w:rFonts w:hint="eastAsia" w:ascii="仿宋" w:hAnsi="仿宋" w:eastAsia="仿宋" w:cs="仿宋"/>
          <w:kern w:val="0"/>
          <w:sz w:val="32"/>
          <w:szCs w:val="32"/>
          <w:lang w:val="en-US" w:eastAsia="zh-CN" w:bidi="ar"/>
        </w:rPr>
        <w:t>岗木达乡岗木达村章光村农村安全饮水设施水质保障</w:t>
      </w:r>
      <w:r>
        <w:rPr>
          <w:rFonts w:hint="eastAsia" w:ascii="仿宋" w:hAnsi="仿宋" w:eastAsia="仿宋" w:cs="仿宋"/>
          <w:sz w:val="32"/>
          <w:szCs w:val="32"/>
          <w:lang w:eastAsia="zh-CN"/>
        </w:rPr>
        <w:t>、</w:t>
      </w:r>
      <w:r>
        <w:rPr>
          <w:rFonts w:hint="eastAsia" w:ascii="仿宋" w:hAnsi="仿宋" w:eastAsia="仿宋" w:cs="仿宋"/>
          <w:kern w:val="0"/>
          <w:sz w:val="32"/>
          <w:szCs w:val="32"/>
          <w:lang w:val="en-US" w:eastAsia="zh-CN" w:bidi="ar"/>
        </w:rPr>
        <w:t>2020年乡村振兴农村人居环境改善基础设施建设</w:t>
      </w:r>
      <w:r>
        <w:rPr>
          <w:rFonts w:hint="eastAsia" w:ascii="仿宋" w:hAnsi="仿宋" w:eastAsia="仿宋" w:cs="仿宋"/>
          <w:sz w:val="32"/>
          <w:szCs w:val="32"/>
          <w:lang w:eastAsia="zh-CN"/>
        </w:rPr>
        <w:t>、</w:t>
      </w:r>
      <w:r>
        <w:rPr>
          <w:rFonts w:hint="eastAsia" w:ascii="仿宋" w:hAnsi="仿宋" w:eastAsia="仿宋" w:cs="仿宋"/>
          <w:kern w:val="0"/>
          <w:sz w:val="32"/>
          <w:szCs w:val="32"/>
          <w:lang w:val="en-US" w:eastAsia="zh-CN" w:bidi="ar"/>
        </w:rPr>
        <w:t>尕日寨基础设施提升及环境综合整治</w:t>
      </w:r>
      <w:r>
        <w:rPr>
          <w:rFonts w:hint="eastAsia" w:ascii="仿宋" w:hAnsi="仿宋" w:eastAsia="仿宋" w:cs="仿宋"/>
          <w:sz w:val="32"/>
          <w:szCs w:val="32"/>
          <w:lang w:val="en-US" w:eastAsia="zh-CN"/>
        </w:rPr>
        <w:t>等脱贫攻坚项目。</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b/>
          <w:bCs/>
          <w:sz w:val="32"/>
          <w:szCs w:val="32"/>
          <w:lang w:val="en-US" w:eastAsia="zh-CN"/>
        </w:rPr>
        <w:t>——狠抓住房安全保障。一是</w:t>
      </w:r>
      <w:r>
        <w:rPr>
          <w:rFonts w:hint="eastAsia" w:ascii="仿宋" w:hAnsi="仿宋" w:eastAsia="仿宋" w:cs="仿宋"/>
          <w:sz w:val="32"/>
          <w:szCs w:val="32"/>
        </w:rPr>
        <w:t>始终以“两不愁三保障”为工作目标和原则，狠抓全县农房建设的质量、安全监管，配齐配强住房质量监督技术力量，加强对各类住房建设的指导力度</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充分发挥督查检查和技术指导的作用</w:t>
      </w:r>
      <w:r>
        <w:rPr>
          <w:rFonts w:hint="eastAsia" w:ascii="仿宋" w:hAnsi="仿宋" w:eastAsia="仿宋" w:cs="仿宋"/>
          <w:sz w:val="32"/>
          <w:szCs w:val="32"/>
        </w:rPr>
        <w:t>。</w:t>
      </w:r>
      <w:r>
        <w:rPr>
          <w:rFonts w:hint="eastAsia" w:ascii="仿宋" w:hAnsi="仿宋" w:eastAsia="仿宋" w:cs="仿宋"/>
          <w:b/>
          <w:bCs/>
          <w:sz w:val="32"/>
          <w:szCs w:val="32"/>
          <w:lang w:val="en-US" w:eastAsia="zh-CN"/>
        </w:rPr>
        <w:t>二是</w:t>
      </w:r>
      <w:r>
        <w:rPr>
          <w:rFonts w:hint="eastAsia" w:ascii="仿宋" w:hAnsi="仿宋" w:eastAsia="仿宋" w:cs="仿宋"/>
          <w:sz w:val="32"/>
          <w:szCs w:val="32"/>
          <w:lang w:val="en-US" w:eastAsia="zh-CN"/>
        </w:rPr>
        <w:t>为确保按时完成壤塘县脱贫攻坚住房安全保障任务，</w:t>
      </w:r>
      <w:r>
        <w:rPr>
          <w:rFonts w:hint="eastAsia" w:ascii="仿宋" w:hAnsi="仿宋" w:eastAsia="仿宋" w:cs="仿宋"/>
          <w:sz w:val="32"/>
          <w:szCs w:val="32"/>
        </w:rPr>
        <w:t>保障农牧民群众住房安全，</w:t>
      </w:r>
      <w:r>
        <w:rPr>
          <w:rFonts w:hint="eastAsia" w:ascii="仿宋" w:hAnsi="仿宋" w:eastAsia="仿宋" w:cs="仿宋"/>
          <w:sz w:val="32"/>
          <w:szCs w:val="32"/>
          <w:lang w:val="en-US" w:eastAsia="zh-CN"/>
        </w:rPr>
        <w:t>我局大力开展住房安全保障排查工作，及时发现存在的问题并督促整改，同时，聘请</w:t>
      </w:r>
      <w:r>
        <w:rPr>
          <w:rFonts w:hint="eastAsia" w:ascii="仿宋" w:hAnsi="仿宋" w:eastAsia="仿宋" w:cs="仿宋"/>
          <w:sz w:val="32"/>
          <w:szCs w:val="32"/>
        </w:rPr>
        <w:t>专业鉴定公司深入各村、寨，对全县</w:t>
      </w:r>
      <w:r>
        <w:rPr>
          <w:rFonts w:hint="eastAsia" w:ascii="仿宋" w:hAnsi="仿宋" w:eastAsia="仿宋" w:cs="仿宋"/>
          <w:kern w:val="0"/>
          <w:sz w:val="32"/>
          <w:szCs w:val="32"/>
          <w:lang w:val="en-US" w:eastAsia="zh-CN"/>
        </w:rPr>
        <w:t>5000余</w:t>
      </w:r>
      <w:r>
        <w:rPr>
          <w:rFonts w:hint="eastAsia" w:ascii="仿宋" w:hAnsi="仿宋" w:eastAsia="仿宋" w:cs="仿宋"/>
          <w:kern w:val="0"/>
          <w:sz w:val="32"/>
          <w:szCs w:val="32"/>
        </w:rPr>
        <w:t>户住房质量</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安全进行鉴定</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三</w:t>
      </w:r>
      <w:r>
        <w:rPr>
          <w:rFonts w:hint="eastAsia" w:ascii="仿宋" w:hAnsi="仿宋" w:eastAsia="仿宋" w:cs="仿宋"/>
          <w:b/>
          <w:bCs/>
          <w:kern w:val="0"/>
          <w:sz w:val="32"/>
          <w:szCs w:val="32"/>
          <w:lang w:val="en-US" w:eastAsia="zh-CN"/>
        </w:rPr>
        <w:t>是</w:t>
      </w:r>
      <w:r>
        <w:rPr>
          <w:rFonts w:hint="eastAsia" w:ascii="仿宋" w:hAnsi="仿宋" w:eastAsia="仿宋" w:cs="仿宋"/>
          <w:kern w:val="0"/>
          <w:sz w:val="32"/>
          <w:szCs w:val="32"/>
          <w:lang w:val="en-US" w:eastAsia="zh-CN" w:bidi="ar"/>
        </w:rPr>
        <w:t>由于藏区新居建设项目已全部完成，为进一步巩固我县脱贫攻坚住房安全保障成果，2020年顺利实施完成</w:t>
      </w:r>
      <w:r>
        <w:rPr>
          <w:rFonts w:hint="eastAsia" w:ascii="仿宋" w:hAnsi="仿宋" w:eastAsia="仿宋" w:cs="仿宋"/>
          <w:kern w:val="0"/>
          <w:sz w:val="32"/>
          <w:szCs w:val="32"/>
          <w:lang w:bidi="ar"/>
        </w:rPr>
        <w:t>壤塘县2020年挂牌督战住房保障项目，</w:t>
      </w:r>
      <w:r>
        <w:rPr>
          <w:rFonts w:hint="eastAsia" w:ascii="仿宋" w:hAnsi="仿宋" w:eastAsia="仿宋" w:cs="仿宋"/>
          <w:kern w:val="0"/>
          <w:sz w:val="32"/>
          <w:szCs w:val="32"/>
          <w:lang w:eastAsia="zh-CN" w:bidi="ar"/>
        </w:rPr>
        <w:t>再次</w:t>
      </w:r>
      <w:r>
        <w:rPr>
          <w:rFonts w:hint="eastAsia" w:ascii="仿宋" w:hAnsi="仿宋" w:eastAsia="仿宋" w:cs="仿宋"/>
          <w:kern w:val="0"/>
          <w:sz w:val="32"/>
          <w:szCs w:val="32"/>
          <w:lang w:bidi="ar"/>
        </w:rPr>
        <w:t>解决我县30户住房安全存在问题的农户</w:t>
      </w:r>
      <w:r>
        <w:rPr>
          <w:rFonts w:hint="eastAsia" w:ascii="仿宋" w:hAnsi="仿宋" w:eastAsia="仿宋" w:cs="仿宋"/>
          <w:kern w:val="0"/>
          <w:sz w:val="32"/>
          <w:szCs w:val="32"/>
          <w:lang w:eastAsia="zh-CN" w:bidi="ar"/>
        </w:rPr>
        <w:t>，现该项目已通过县级部门联合验收，正在拨付补助资金</w:t>
      </w:r>
      <w:r>
        <w:rPr>
          <w:rFonts w:hint="eastAsia" w:ascii="仿宋" w:hAnsi="仿宋" w:eastAsia="仿宋" w:cs="仿宋"/>
          <w:kern w:val="0"/>
          <w:sz w:val="32"/>
          <w:szCs w:val="32"/>
          <w:lang w:val="en-US" w:eastAsia="zh-CN"/>
        </w:rPr>
        <w:t>；</w:t>
      </w:r>
      <w:r>
        <w:rPr>
          <w:rFonts w:hint="eastAsia" w:ascii="仿宋" w:hAnsi="仿宋" w:eastAsia="仿宋" w:cs="仿宋"/>
          <w:b/>
          <w:bCs/>
          <w:kern w:val="0"/>
          <w:sz w:val="32"/>
          <w:szCs w:val="32"/>
          <w:lang w:val="en-US" w:eastAsia="zh-CN"/>
        </w:rPr>
        <w:t>四是</w:t>
      </w:r>
      <w:r>
        <w:rPr>
          <w:rFonts w:hint="eastAsia" w:ascii="仿宋" w:hAnsi="仿宋" w:eastAsia="仿宋" w:cs="仿宋"/>
          <w:b w:val="0"/>
          <w:bCs w:val="0"/>
          <w:sz w:val="32"/>
          <w:szCs w:val="32"/>
          <w:lang w:eastAsia="zh-CN"/>
        </w:rPr>
        <w:t>深入</w:t>
      </w:r>
      <w:r>
        <w:rPr>
          <w:rFonts w:hint="eastAsia" w:ascii="仿宋" w:hAnsi="仿宋" w:eastAsia="仿宋" w:cs="仿宋"/>
          <w:b w:val="0"/>
          <w:bCs w:val="0"/>
          <w:sz w:val="32"/>
          <w:szCs w:val="32"/>
          <w:lang w:val="en-US" w:eastAsia="zh-CN"/>
        </w:rPr>
        <w:t>全县11个</w:t>
      </w:r>
      <w:r>
        <w:rPr>
          <w:rFonts w:hint="eastAsia" w:ascii="仿宋" w:hAnsi="仿宋" w:eastAsia="仿宋" w:cs="仿宋"/>
          <w:b w:val="0"/>
          <w:bCs w:val="0"/>
          <w:sz w:val="32"/>
          <w:szCs w:val="32"/>
          <w:lang w:eastAsia="zh-CN"/>
        </w:rPr>
        <w:t>乡（镇），开展全县</w:t>
      </w:r>
      <w:r>
        <w:rPr>
          <w:rFonts w:hint="eastAsia" w:ascii="仿宋" w:hAnsi="仿宋" w:eastAsia="仿宋" w:cs="仿宋"/>
          <w:b w:val="0"/>
          <w:bCs w:val="0"/>
          <w:sz w:val="32"/>
          <w:szCs w:val="32"/>
          <w:lang w:val="en-US" w:eastAsia="zh-CN"/>
        </w:rPr>
        <w:t>2136户建档立卡贫困户住房安全有保障核验APP</w:t>
      </w:r>
      <w:r>
        <w:rPr>
          <w:rFonts w:hint="eastAsia" w:ascii="仿宋" w:hAnsi="仿宋" w:eastAsia="仿宋" w:cs="仿宋"/>
          <w:sz w:val="32"/>
          <w:szCs w:val="32"/>
          <w:lang w:val="en-US" w:eastAsia="zh-CN"/>
        </w:rPr>
        <w:t>录入</w:t>
      </w:r>
      <w:r>
        <w:rPr>
          <w:rFonts w:hint="eastAsia" w:ascii="仿宋" w:hAnsi="仿宋" w:eastAsia="仿宋" w:cs="仿宋"/>
          <w:b w:val="0"/>
          <w:bCs w:val="0"/>
          <w:sz w:val="32"/>
          <w:szCs w:val="32"/>
          <w:lang w:val="en-US" w:eastAsia="zh-CN"/>
        </w:rPr>
        <w:t>工作，完成录入2136户，录入率达100%，并对录入情况进行县级抽查，完成县级抽查266户，督促乡镇完成乡级抽查568户，同时，完成农村危房改造脱贫攻坚三年行动农户档案信息系统录入工作</w:t>
      </w:r>
      <w:r>
        <w:rPr>
          <w:rFonts w:hint="eastAsia" w:ascii="仿宋" w:hAnsi="仿宋" w:eastAsia="仿宋" w:cs="仿宋"/>
          <w:sz w:val="32"/>
          <w:szCs w:val="32"/>
          <w:lang w:val="en-US" w:eastAsia="zh-CN"/>
        </w:rPr>
        <w:t>，完成录入</w:t>
      </w:r>
      <w:r>
        <w:rPr>
          <w:rFonts w:hint="eastAsia" w:ascii="仿宋" w:hAnsi="仿宋" w:eastAsia="仿宋" w:cs="仿宋"/>
          <w:b w:val="0"/>
          <w:bCs w:val="0"/>
          <w:sz w:val="32"/>
          <w:szCs w:val="32"/>
          <w:lang w:val="en-US" w:eastAsia="zh-CN"/>
        </w:rPr>
        <w:t>2136户，录入率达100%。</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Cs/>
          <w:sz w:val="32"/>
          <w:szCs w:val="32"/>
        </w:rPr>
      </w:pPr>
      <w:r>
        <w:rPr>
          <w:rFonts w:hint="eastAsia" w:ascii="仿宋" w:hAnsi="仿宋" w:eastAsia="仿宋" w:cs="仿宋"/>
          <w:b/>
          <w:bCs/>
          <w:kern w:val="0"/>
          <w:sz w:val="32"/>
          <w:szCs w:val="32"/>
          <w:lang w:val="en-US" w:eastAsia="zh-CN"/>
        </w:rPr>
        <w:t>——狠抓帮村驻村工作。</w:t>
      </w:r>
      <w:r>
        <w:rPr>
          <w:rFonts w:hint="eastAsia" w:ascii="仿宋" w:hAnsi="仿宋" w:eastAsia="仿宋" w:cs="仿宋"/>
          <w:b/>
          <w:bCs/>
          <w:sz w:val="32"/>
          <w:szCs w:val="32"/>
        </w:rPr>
        <w:t>一是</w:t>
      </w:r>
      <w:r>
        <w:rPr>
          <w:rFonts w:hint="eastAsia" w:ascii="仿宋" w:hAnsi="仿宋" w:eastAsia="仿宋" w:cs="仿宋"/>
          <w:bCs/>
          <w:sz w:val="32"/>
          <w:szCs w:val="32"/>
        </w:rPr>
        <w:t>加强沟通联系，要求帮扶责任人平均每月至少入户2次以上，确保了政策宣传到位、家庭情况掌握明晰、收入统计数据真实，为六个精准要求做好了扎实的基础工作</w:t>
      </w:r>
      <w:r>
        <w:rPr>
          <w:rFonts w:hint="eastAsia" w:ascii="仿宋" w:hAnsi="仿宋" w:eastAsia="仿宋" w:cs="仿宋"/>
          <w:bCs/>
          <w:sz w:val="32"/>
          <w:szCs w:val="32"/>
          <w:lang w:eastAsia="zh-CN"/>
        </w:rPr>
        <w:t>；</w:t>
      </w:r>
      <w:r>
        <w:rPr>
          <w:rFonts w:hint="eastAsia" w:ascii="仿宋" w:hAnsi="仿宋" w:eastAsia="仿宋" w:cs="仿宋"/>
          <w:b/>
          <w:bCs/>
          <w:sz w:val="32"/>
          <w:szCs w:val="32"/>
        </w:rPr>
        <w:t>二是</w:t>
      </w:r>
      <w:r>
        <w:rPr>
          <w:rFonts w:hint="eastAsia" w:ascii="仿宋" w:hAnsi="仿宋" w:eastAsia="仿宋" w:cs="仿宋"/>
          <w:bCs/>
          <w:sz w:val="32"/>
          <w:szCs w:val="32"/>
        </w:rPr>
        <w:t>加大项目投入，提升基础设施。为岗木达村争取实施了</w:t>
      </w:r>
      <w:r>
        <w:rPr>
          <w:rFonts w:hint="eastAsia" w:ascii="仿宋" w:hAnsi="仿宋" w:eastAsia="仿宋" w:cs="仿宋"/>
          <w:kern w:val="0"/>
          <w:sz w:val="32"/>
          <w:szCs w:val="32"/>
          <w:lang w:val="en-US" w:eastAsia="zh-CN" w:bidi="ar"/>
        </w:rPr>
        <w:t>尕日寨基础设施提升及环境综合整治项目</w:t>
      </w:r>
      <w:r>
        <w:rPr>
          <w:rFonts w:hint="eastAsia" w:ascii="仿宋" w:hAnsi="仿宋" w:eastAsia="仿宋" w:cs="仿宋"/>
          <w:bCs/>
          <w:sz w:val="32"/>
          <w:szCs w:val="32"/>
        </w:rPr>
        <w:t>，为下一步基础设施再上新台阶打下了坚实的基础</w:t>
      </w:r>
      <w:r>
        <w:rPr>
          <w:rFonts w:hint="eastAsia" w:ascii="仿宋" w:hAnsi="仿宋" w:eastAsia="仿宋" w:cs="仿宋"/>
          <w:bCs/>
          <w:sz w:val="32"/>
          <w:szCs w:val="32"/>
          <w:lang w:eastAsia="zh-CN"/>
        </w:rPr>
        <w:t>；</w:t>
      </w:r>
      <w:r>
        <w:rPr>
          <w:rFonts w:hint="eastAsia" w:ascii="仿宋" w:hAnsi="仿宋" w:eastAsia="仿宋" w:cs="仿宋"/>
          <w:b/>
          <w:bCs/>
          <w:sz w:val="32"/>
          <w:szCs w:val="32"/>
        </w:rPr>
        <w:t>三是</w:t>
      </w:r>
      <w:r>
        <w:rPr>
          <w:rFonts w:hint="eastAsia" w:ascii="仿宋" w:hAnsi="仿宋" w:eastAsia="仿宋" w:cs="仿宋"/>
          <w:bCs/>
          <w:sz w:val="32"/>
          <w:szCs w:val="32"/>
        </w:rPr>
        <w:t>强化对接帮扶，落实帮扶责任。逢年过节时，通过购买米、面、油、被子、衣服等生活物资对帮扶户进行捐赠慰问，</w:t>
      </w:r>
      <w:r>
        <w:rPr>
          <w:rFonts w:hint="eastAsia" w:ascii="仿宋" w:hAnsi="仿宋" w:eastAsia="仿宋" w:cs="仿宋"/>
          <w:bCs/>
          <w:sz w:val="32"/>
          <w:szCs w:val="32"/>
          <w:lang w:val="en-US" w:eastAsia="zh-CN"/>
        </w:rPr>
        <w:t>进一步增进了干群关系，为脱贫攻坚顺利通过国检奠定了坚实基础</w:t>
      </w:r>
      <w:r>
        <w:rPr>
          <w:rFonts w:hint="eastAsia" w:ascii="仿宋" w:hAnsi="仿宋" w:eastAsia="仿宋" w:cs="仿宋"/>
          <w:bCs/>
          <w:sz w:val="32"/>
          <w:szCs w:val="32"/>
        </w:rPr>
        <w:t>。</w:t>
      </w:r>
    </w:p>
    <w:p>
      <w:pPr>
        <w:pStyle w:val="4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b/>
          <w:sz w:val="32"/>
          <w:szCs w:val="32"/>
        </w:rPr>
        <w:t>——</w:t>
      </w:r>
      <w:r>
        <w:rPr>
          <w:rFonts w:hint="eastAsia" w:ascii="仿宋" w:hAnsi="仿宋" w:eastAsia="仿宋" w:cs="仿宋"/>
          <w:b/>
          <w:sz w:val="32"/>
          <w:szCs w:val="32"/>
          <w:lang w:val="en-US" w:eastAsia="zh-CN"/>
        </w:rPr>
        <w:t>狠抓</w:t>
      </w:r>
      <w:r>
        <w:rPr>
          <w:rFonts w:hint="eastAsia" w:ascii="仿宋" w:hAnsi="仿宋" w:eastAsia="仿宋" w:cs="仿宋"/>
          <w:b/>
          <w:sz w:val="32"/>
          <w:szCs w:val="32"/>
        </w:rPr>
        <w:t>助农增收</w:t>
      </w:r>
      <w:r>
        <w:rPr>
          <w:rFonts w:hint="eastAsia" w:ascii="仿宋" w:hAnsi="仿宋" w:eastAsia="仿宋" w:cs="仿宋"/>
          <w:b/>
          <w:sz w:val="32"/>
          <w:szCs w:val="32"/>
          <w:lang w:val="en-US" w:eastAsia="zh-CN"/>
        </w:rPr>
        <w:t>工作</w:t>
      </w:r>
      <w:r>
        <w:rPr>
          <w:rFonts w:hint="eastAsia" w:ascii="仿宋" w:hAnsi="仿宋" w:eastAsia="仿宋" w:cs="仿宋"/>
          <w:b/>
          <w:sz w:val="32"/>
          <w:szCs w:val="32"/>
        </w:rPr>
        <w:t>。</w:t>
      </w:r>
      <w:r>
        <w:rPr>
          <w:rFonts w:hint="eastAsia" w:ascii="仿宋" w:hAnsi="仿宋" w:eastAsia="仿宋" w:cs="仿宋"/>
          <w:sz w:val="32"/>
          <w:szCs w:val="32"/>
        </w:rPr>
        <w:t>在脱贫攻坚工作开展过程中，</w:t>
      </w:r>
      <w:r>
        <w:rPr>
          <w:rFonts w:hint="eastAsia" w:ascii="仿宋" w:hAnsi="仿宋" w:eastAsia="仿宋" w:cs="仿宋"/>
          <w:sz w:val="32"/>
          <w:szCs w:val="32"/>
          <w:lang w:val="en-US" w:eastAsia="zh-CN"/>
        </w:rPr>
        <w:t>我局始终</w:t>
      </w:r>
      <w:r>
        <w:rPr>
          <w:rFonts w:hint="eastAsia" w:ascii="仿宋" w:hAnsi="仿宋" w:eastAsia="仿宋" w:cs="仿宋"/>
          <w:sz w:val="32"/>
          <w:szCs w:val="32"/>
        </w:rPr>
        <w:t>坚持“授人以鱼不如授人以渔”的工作理念，针对壤塘县农牧民缺乏就业技能的实际情况，组织技术人员</w:t>
      </w:r>
      <w:r>
        <w:rPr>
          <w:rFonts w:hint="eastAsia" w:ascii="仿宋" w:hAnsi="仿宋" w:eastAsia="仿宋" w:cs="仿宋"/>
          <w:sz w:val="32"/>
          <w:szCs w:val="32"/>
          <w:lang w:val="en-US" w:eastAsia="zh-CN"/>
        </w:rPr>
        <w:t>围绕建筑施工基础知识、农村危房改造实施程序、修缮加固、农村自建房等相关知识</w:t>
      </w:r>
      <w:r>
        <w:rPr>
          <w:rFonts w:hint="eastAsia" w:ascii="仿宋" w:hAnsi="仿宋" w:eastAsia="仿宋" w:cs="仿宋"/>
          <w:sz w:val="32"/>
          <w:szCs w:val="32"/>
        </w:rPr>
        <w:t>开展技能培训，</w:t>
      </w:r>
      <w:r>
        <w:rPr>
          <w:rFonts w:hint="eastAsia" w:ascii="仿宋" w:hAnsi="仿宋" w:eastAsia="仿宋" w:cs="仿宋"/>
          <w:sz w:val="32"/>
          <w:szCs w:val="32"/>
          <w:lang w:val="en-US" w:eastAsia="zh-CN"/>
        </w:rPr>
        <w:t>提升</w:t>
      </w:r>
      <w:r>
        <w:rPr>
          <w:rFonts w:hint="eastAsia" w:ascii="仿宋" w:hAnsi="仿宋" w:eastAsia="仿宋" w:cs="仿宋"/>
          <w:sz w:val="32"/>
          <w:szCs w:val="32"/>
        </w:rPr>
        <w:t>农牧民</w:t>
      </w:r>
      <w:r>
        <w:rPr>
          <w:rFonts w:hint="eastAsia" w:ascii="仿宋" w:hAnsi="仿宋" w:eastAsia="仿宋" w:cs="仿宋"/>
          <w:sz w:val="32"/>
          <w:szCs w:val="32"/>
          <w:lang w:val="en-US" w:eastAsia="zh-CN"/>
        </w:rPr>
        <w:t>群众就业能力与水平，同时，</w:t>
      </w:r>
      <w:r>
        <w:rPr>
          <w:rFonts w:hint="eastAsia" w:ascii="仿宋" w:hAnsi="仿宋" w:eastAsia="仿宋" w:cs="仿宋"/>
          <w:sz w:val="32"/>
          <w:szCs w:val="32"/>
        </w:rPr>
        <w:t>积极引导</w:t>
      </w:r>
      <w:r>
        <w:rPr>
          <w:rFonts w:hint="eastAsia" w:ascii="仿宋" w:hAnsi="仿宋" w:eastAsia="仿宋" w:cs="仿宋"/>
          <w:sz w:val="32"/>
          <w:szCs w:val="32"/>
          <w:lang w:val="en-US" w:eastAsia="zh-CN"/>
        </w:rPr>
        <w:t>本县</w:t>
      </w:r>
      <w:r>
        <w:rPr>
          <w:rFonts w:hint="eastAsia" w:ascii="仿宋" w:hAnsi="仿宋" w:eastAsia="仿宋" w:cs="仿宋"/>
          <w:sz w:val="32"/>
          <w:szCs w:val="32"/>
        </w:rPr>
        <w:t>在建项目雇佣本地农民工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增加农牧民群众就业渠道</w:t>
      </w:r>
      <w:r>
        <w:rPr>
          <w:rFonts w:hint="eastAsia" w:ascii="仿宋" w:hAnsi="仿宋" w:eastAsia="仿宋" w:cs="仿宋"/>
          <w:sz w:val="32"/>
          <w:szCs w:val="32"/>
        </w:rPr>
        <w:t>。经初步统计</w:t>
      </w:r>
      <w:r>
        <w:rPr>
          <w:rFonts w:hint="eastAsia" w:ascii="仿宋" w:hAnsi="仿宋" w:eastAsia="仿宋" w:cs="仿宋"/>
          <w:sz w:val="32"/>
          <w:szCs w:val="32"/>
          <w:lang w:val="en-US" w:eastAsia="zh-CN"/>
        </w:rPr>
        <w:t>2020年</w:t>
      </w:r>
      <w:r>
        <w:rPr>
          <w:rFonts w:hint="eastAsia" w:ascii="仿宋" w:hAnsi="仿宋" w:eastAsia="仿宋" w:cs="仿宋"/>
          <w:sz w:val="32"/>
          <w:szCs w:val="32"/>
        </w:rPr>
        <w:t>已吸收本地农民工</w:t>
      </w:r>
      <w:r>
        <w:rPr>
          <w:rFonts w:hint="eastAsia" w:ascii="仿宋" w:hAnsi="仿宋" w:eastAsia="仿宋" w:cs="仿宋"/>
          <w:sz w:val="32"/>
          <w:szCs w:val="32"/>
          <w:lang w:val="en-US" w:eastAsia="zh-CN"/>
        </w:rPr>
        <w:t>256</w:t>
      </w:r>
      <w:r>
        <w:rPr>
          <w:rFonts w:hint="eastAsia" w:ascii="仿宋" w:hAnsi="仿宋" w:eastAsia="仿宋" w:cs="仿宋"/>
          <w:sz w:val="32"/>
          <w:szCs w:val="32"/>
        </w:rPr>
        <w:t>余人，增加收入达</w:t>
      </w:r>
      <w:r>
        <w:rPr>
          <w:rFonts w:hint="eastAsia" w:ascii="仿宋" w:hAnsi="仿宋" w:eastAsia="仿宋" w:cs="仿宋"/>
          <w:sz w:val="32"/>
          <w:szCs w:val="32"/>
          <w:lang w:val="en-US" w:eastAsia="zh-CN"/>
        </w:rPr>
        <w:t>300</w:t>
      </w:r>
      <w:r>
        <w:rPr>
          <w:rFonts w:hint="eastAsia" w:ascii="仿宋" w:hAnsi="仿宋" w:eastAsia="仿宋" w:cs="仿宋"/>
          <w:sz w:val="32"/>
          <w:szCs w:val="32"/>
        </w:rPr>
        <w:t>余万元。</w:t>
      </w:r>
    </w:p>
    <w:p>
      <w:pPr>
        <w:pStyle w:val="4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注重隐患排查，安全生产成效显著</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1.项目安全。</w:t>
      </w:r>
      <w:r>
        <w:rPr>
          <w:rFonts w:hint="eastAsia" w:ascii="仿宋" w:hAnsi="仿宋" w:eastAsia="仿宋" w:cs="仿宋"/>
          <w:b/>
          <w:bCs/>
          <w:sz w:val="32"/>
          <w:szCs w:val="32"/>
          <w:lang w:val="en-US" w:eastAsia="zh-CN"/>
        </w:rPr>
        <w:t>一是</w:t>
      </w:r>
      <w:r>
        <w:rPr>
          <w:rFonts w:hint="eastAsia" w:ascii="仿宋" w:hAnsi="仿宋" w:eastAsia="仿宋" w:cs="仿宋"/>
          <w:sz w:val="32"/>
          <w:szCs w:val="32"/>
          <w:lang w:val="en-US" w:eastAsia="zh-CN"/>
        </w:rPr>
        <w:t>落实安全生产目标责任，项目开工前均与施工单位签订安全生产目标管理责任书，并对全县在建项目进行不定期安全生产检查，全年开展了14次专项安全大检查，共排查出安全隐患约80余条，及时下发整改通知书，并督促整改完成；</w:t>
      </w:r>
      <w:r>
        <w:rPr>
          <w:rFonts w:hint="eastAsia" w:ascii="仿宋" w:hAnsi="仿宋" w:eastAsia="仿宋" w:cs="仿宋"/>
          <w:b/>
          <w:bCs/>
          <w:sz w:val="32"/>
          <w:szCs w:val="32"/>
          <w:lang w:val="en-US" w:eastAsia="zh-CN"/>
        </w:rPr>
        <w:t>二是</w:t>
      </w:r>
      <w:r>
        <w:rPr>
          <w:rFonts w:hint="eastAsia" w:ascii="仿宋" w:hAnsi="仿宋" w:eastAsia="仿宋" w:cs="仿宋"/>
          <w:sz w:val="32"/>
          <w:szCs w:val="32"/>
          <w:lang w:val="en-US" w:eastAsia="zh-CN"/>
        </w:rPr>
        <w:t>建立安全隐患台账，组织在建项目召开工程质量、安全、进度等工作专题会4次；</w:t>
      </w:r>
      <w:r>
        <w:rPr>
          <w:rFonts w:hint="eastAsia" w:ascii="仿宋" w:hAnsi="仿宋" w:eastAsia="仿宋" w:cs="仿宋"/>
          <w:b/>
          <w:bCs/>
          <w:sz w:val="32"/>
          <w:szCs w:val="32"/>
          <w:lang w:val="en-US" w:eastAsia="zh-CN"/>
        </w:rPr>
        <w:t>三是</w:t>
      </w:r>
      <w:r>
        <w:rPr>
          <w:rFonts w:hint="eastAsia" w:ascii="仿宋" w:hAnsi="仿宋" w:eastAsia="仿宋" w:cs="仿宋"/>
          <w:sz w:val="32"/>
          <w:szCs w:val="32"/>
          <w:lang w:val="en-US" w:eastAsia="zh-CN"/>
        </w:rPr>
        <w:t>全年积极开展安全生产宣传活动4次，通过施工现场悬挂安全生产宣传标语1000余份、发放施工安全知识小册子1000余份、制作安全生产宣传展板等方式，营造了安全生产的良好舆论环境，使安全生产、预防为主的社会氛围更加浓厚；</w:t>
      </w:r>
      <w:r>
        <w:rPr>
          <w:rFonts w:hint="eastAsia" w:ascii="仿宋" w:hAnsi="仿宋" w:eastAsia="仿宋" w:cs="仿宋"/>
          <w:b/>
          <w:bCs/>
          <w:sz w:val="32"/>
          <w:szCs w:val="32"/>
          <w:lang w:val="en-US" w:eastAsia="zh-CN"/>
        </w:rPr>
        <w:t>四是</w:t>
      </w:r>
      <w:r>
        <w:rPr>
          <w:rFonts w:hint="eastAsia" w:ascii="仿宋" w:hAnsi="仿宋" w:eastAsia="仿宋" w:cs="仿宋"/>
          <w:sz w:val="32"/>
          <w:szCs w:val="32"/>
          <w:lang w:val="en-US" w:eastAsia="zh-CN"/>
        </w:rPr>
        <w:t>同第三方检查公司对全县2个塔吊和4个龙门吊等特种设备进行了检测，对不达标设备完成了督促整改。</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2.汛期安全。一是</w:t>
      </w:r>
      <w:r>
        <w:rPr>
          <w:rFonts w:hint="eastAsia" w:ascii="仿宋" w:hAnsi="仿宋" w:eastAsia="仿宋" w:cs="仿宋"/>
          <w:kern w:val="2"/>
          <w:sz w:val="32"/>
          <w:szCs w:val="32"/>
          <w:lang w:val="en-US" w:eastAsia="zh-CN" w:bidi="ar-SA"/>
        </w:rPr>
        <w:t>制定完善《壤塘县住房和城乡建设局汛期应急预案》；</w:t>
      </w:r>
      <w:r>
        <w:rPr>
          <w:rFonts w:hint="eastAsia" w:ascii="仿宋" w:hAnsi="仿宋" w:eastAsia="仿宋" w:cs="仿宋"/>
          <w:b/>
          <w:bCs/>
          <w:kern w:val="2"/>
          <w:sz w:val="32"/>
          <w:szCs w:val="32"/>
          <w:lang w:val="en-US" w:eastAsia="zh-CN" w:bidi="ar-SA"/>
        </w:rPr>
        <w:t>二是</w:t>
      </w:r>
      <w:r>
        <w:rPr>
          <w:rFonts w:hint="eastAsia" w:ascii="仿宋" w:hAnsi="仿宋" w:eastAsia="仿宋" w:cs="仿宋"/>
          <w:kern w:val="2"/>
          <w:sz w:val="32"/>
          <w:szCs w:val="32"/>
          <w:lang w:val="en-US" w:eastAsia="zh-CN" w:bidi="ar-SA"/>
        </w:rPr>
        <w:t>自汛期以来，全局分4组执行24小时值班值守制度；</w:t>
      </w:r>
      <w:r>
        <w:rPr>
          <w:rFonts w:hint="eastAsia" w:ascii="仿宋" w:hAnsi="仿宋" w:eastAsia="仿宋" w:cs="仿宋"/>
          <w:b/>
          <w:bCs/>
          <w:sz w:val="32"/>
          <w:szCs w:val="32"/>
          <w:lang w:val="en-US" w:eastAsia="zh-CN"/>
        </w:rPr>
        <w:t>三是</w:t>
      </w:r>
      <w:r>
        <w:rPr>
          <w:rFonts w:hint="eastAsia" w:ascii="仿宋" w:hAnsi="仿宋" w:eastAsia="仿宋" w:cs="仿宋"/>
          <w:sz w:val="32"/>
          <w:szCs w:val="32"/>
          <w:lang w:val="en-US" w:eastAsia="zh-CN"/>
        </w:rPr>
        <w:t>督促各建设单位、施工单位、监理单位建立台账落实汛期制度，并进行了汛期安全生产检查，针对检查中发现的问题，下达限期整改通知书，督促整改，确保了汛期平稳度过。</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4.住房安全。</w:t>
      </w:r>
      <w:r>
        <w:rPr>
          <w:rFonts w:hint="eastAsia" w:ascii="仿宋" w:hAnsi="仿宋" w:eastAsia="仿宋" w:cs="仿宋"/>
          <w:kern w:val="2"/>
          <w:sz w:val="32"/>
          <w:szCs w:val="32"/>
          <w:lang w:val="en-US" w:eastAsia="zh-CN" w:bidi="ar-SA"/>
        </w:rPr>
        <w:t xml:space="preserve">开展各类农村住房隐患排查2次，排查和整治各类建房隐患，特别是针对削坡建房情况，建立和完善整治台账，设置警示牌，制定具体的防灾预案，落实风险防控措施，防止削坡建房引发房屋安全事故，严格防范削坡建房引发地质灾害，保障人民群众生命财产安全。 </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5.燃气安全。一是</w:t>
      </w:r>
      <w:r>
        <w:rPr>
          <w:rFonts w:hint="eastAsia" w:ascii="仿宋" w:hAnsi="仿宋" w:eastAsia="仿宋" w:cs="仿宋"/>
          <w:kern w:val="2"/>
          <w:sz w:val="32"/>
          <w:szCs w:val="32"/>
          <w:lang w:val="en-US" w:eastAsia="zh-CN" w:bidi="ar-SA"/>
        </w:rPr>
        <w:t>年内开展燃气安全专项检查13次，检查排查出各类安全隐患21起，下发整改通知3份，对整改情况开展复检复查，确保整改落实到位；</w:t>
      </w:r>
      <w:r>
        <w:rPr>
          <w:rFonts w:hint="eastAsia" w:ascii="仿宋" w:hAnsi="仿宋" w:eastAsia="仿宋" w:cs="仿宋"/>
          <w:b/>
          <w:bCs/>
          <w:kern w:val="2"/>
          <w:sz w:val="32"/>
          <w:szCs w:val="32"/>
          <w:lang w:val="en-US" w:eastAsia="zh-CN" w:bidi="ar-SA"/>
        </w:rPr>
        <w:t>二是</w:t>
      </w:r>
      <w:r>
        <w:rPr>
          <w:rFonts w:hint="eastAsia" w:ascii="仿宋" w:hAnsi="仿宋" w:eastAsia="仿宋" w:cs="仿宋"/>
          <w:kern w:val="2"/>
          <w:sz w:val="32"/>
          <w:szCs w:val="32"/>
          <w:lang w:val="en-US" w:eastAsia="zh-CN" w:bidi="ar-SA"/>
        </w:rPr>
        <w:t>督导壤安液化气站建立完善安全责任清单制，落实安全生产经营主体责任；</w:t>
      </w:r>
      <w:r>
        <w:rPr>
          <w:rFonts w:hint="eastAsia" w:ascii="仿宋" w:hAnsi="仿宋" w:eastAsia="仿宋" w:cs="仿宋"/>
          <w:b/>
          <w:bCs/>
          <w:kern w:val="2"/>
          <w:sz w:val="32"/>
          <w:szCs w:val="32"/>
          <w:lang w:val="en-US" w:eastAsia="zh-CN" w:bidi="ar-SA"/>
        </w:rPr>
        <w:t>三是</w:t>
      </w:r>
      <w:r>
        <w:rPr>
          <w:rFonts w:hint="eastAsia" w:ascii="仿宋" w:hAnsi="仿宋" w:eastAsia="仿宋" w:cs="仿宋"/>
          <w:kern w:val="2"/>
          <w:sz w:val="32"/>
          <w:szCs w:val="32"/>
          <w:lang w:val="en-US" w:eastAsia="zh-CN" w:bidi="ar-SA"/>
        </w:rPr>
        <w:t>按照国家“安全生产专项整治三年行动”要求，抓好“瓶装液化气安全整治”工作。</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发挥部门职能，提升环境治理效能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充分发挥城乡环境综合治理服务中心作用，继续加强对城乡环境综合治理工作的指导、督查、检查、协调力度。</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1.建立健全机制，</w:t>
      </w:r>
      <w:r>
        <w:rPr>
          <w:rFonts w:hint="eastAsia" w:ascii="仿宋" w:hAnsi="仿宋" w:eastAsia="仿宋" w:cs="仿宋"/>
          <w:kern w:val="2"/>
          <w:sz w:val="32"/>
          <w:szCs w:val="32"/>
          <w:lang w:val="en-US" w:eastAsia="zh-CN" w:bidi="ar-SA"/>
        </w:rPr>
        <w:t>年初制定印发《壤塘县2020年城乡环综合治理工作方案》，进一步加强了组织保障，明确了任务分工，强调了时间节点，并与各责任单位签订了目标责任书。同时，按照省、州要求，编制完成《壤塘县垃圾分类方案》。</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kern w:val="2"/>
          <w:sz w:val="32"/>
          <w:szCs w:val="32"/>
          <w:lang w:val="en-US" w:eastAsia="zh-CN" w:bidi="ar-SA"/>
        </w:rPr>
        <w:t>2.强化常态治理，一是</w:t>
      </w:r>
      <w:r>
        <w:rPr>
          <w:rFonts w:hint="eastAsia" w:ascii="仿宋" w:hAnsi="仿宋" w:eastAsia="仿宋" w:cs="仿宋"/>
          <w:kern w:val="2"/>
          <w:sz w:val="32"/>
          <w:szCs w:val="32"/>
          <w:lang w:val="en-US" w:eastAsia="zh-CN" w:bidi="ar-SA"/>
        </w:rPr>
        <w:t>组织、协调城区各单位、小区对各自区域内的环境卫生进行综合大整治2次；</w:t>
      </w:r>
      <w:r>
        <w:rPr>
          <w:rFonts w:hint="eastAsia" w:ascii="仿宋" w:hAnsi="仿宋" w:eastAsia="仿宋" w:cs="仿宋"/>
          <w:b/>
          <w:bCs/>
          <w:kern w:val="2"/>
          <w:sz w:val="32"/>
          <w:szCs w:val="32"/>
          <w:lang w:val="en-US" w:eastAsia="zh-CN" w:bidi="ar-SA"/>
        </w:rPr>
        <w:t>二是</w:t>
      </w:r>
      <w:r>
        <w:rPr>
          <w:rFonts w:hint="eastAsia" w:ascii="仿宋" w:hAnsi="仿宋" w:eastAsia="仿宋" w:cs="仿宋"/>
          <w:kern w:val="2"/>
          <w:sz w:val="32"/>
          <w:szCs w:val="32"/>
          <w:lang w:val="en-US" w:eastAsia="zh-CN" w:bidi="ar-SA"/>
        </w:rPr>
        <w:t>指导各乡镇建立、完善了日常保洁清扫制度，充分发挥了公益性岗位作用，基本实现了公共区域环境卫生常态化管理；</w:t>
      </w:r>
      <w:r>
        <w:rPr>
          <w:rFonts w:hint="eastAsia" w:ascii="仿宋" w:hAnsi="仿宋" w:eastAsia="仿宋" w:cs="仿宋"/>
          <w:b/>
          <w:bCs/>
          <w:kern w:val="2"/>
          <w:sz w:val="32"/>
          <w:szCs w:val="32"/>
          <w:lang w:val="en-US" w:eastAsia="zh-CN" w:bidi="ar-SA"/>
        </w:rPr>
        <w:t>三是</w:t>
      </w:r>
      <w:r>
        <w:rPr>
          <w:rFonts w:hint="eastAsia" w:ascii="仿宋" w:hAnsi="仿宋" w:eastAsia="仿宋" w:cs="仿宋"/>
          <w:kern w:val="2"/>
          <w:sz w:val="32"/>
          <w:szCs w:val="32"/>
          <w:lang w:val="en-US" w:eastAsia="zh-CN" w:bidi="ar-SA"/>
        </w:rPr>
        <w:t>全年对全县建筑工地进行了环境卫生专项检查7次，发现问题15起，下发整改通知书12份，督促完成整改12起。</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bCs/>
          <w:kern w:val="2"/>
          <w:sz w:val="32"/>
          <w:szCs w:val="32"/>
          <w:lang w:val="en-US" w:eastAsia="zh-CN" w:bidi="ar-SA"/>
        </w:rPr>
        <w:t>3.补齐设施短板，</w:t>
      </w:r>
      <w:r>
        <w:rPr>
          <w:rFonts w:hint="eastAsia" w:ascii="仿宋" w:hAnsi="仿宋" w:eastAsia="仿宋" w:cs="仿宋"/>
          <w:kern w:val="2"/>
          <w:sz w:val="32"/>
          <w:szCs w:val="32"/>
          <w:lang w:val="en-US" w:eastAsia="zh-CN" w:bidi="ar-SA"/>
        </w:rPr>
        <w:t>为进一步提升我县垃圾收转运、处理能力，2020年我局以“补短板”为目标，大力实施环境卫生治理基础设施项目。</w:t>
      </w:r>
      <w:r>
        <w:rPr>
          <w:rFonts w:hint="eastAsia" w:ascii="仿宋" w:hAnsi="仿宋" w:eastAsia="仿宋" w:cs="仿宋"/>
          <w:b/>
          <w:bCs/>
          <w:kern w:val="2"/>
          <w:sz w:val="32"/>
          <w:szCs w:val="32"/>
          <w:lang w:val="en-US" w:eastAsia="zh-CN" w:bidi="ar-SA"/>
        </w:rPr>
        <w:t>一是</w:t>
      </w:r>
      <w:r>
        <w:rPr>
          <w:rFonts w:hint="eastAsia" w:ascii="仿宋" w:hAnsi="仿宋" w:eastAsia="仿宋" w:cs="仿宋"/>
          <w:kern w:val="2"/>
          <w:sz w:val="32"/>
          <w:szCs w:val="32"/>
          <w:lang w:val="en-US" w:eastAsia="zh-CN" w:bidi="ar-SA"/>
        </w:rPr>
        <w:t>投入1900万元实施壤塘县垃圾无害化综合处置项目，新建垃圾无害化处理厂一座，该厂建成后将服务于岗木达、南木达、中壤塘、尕多、吾依等乡镇垃圾无害化处理，目前该项目已基本完工，待附属电力项目完工后，一并投入使用；</w:t>
      </w:r>
      <w:r>
        <w:rPr>
          <w:rFonts w:hint="eastAsia" w:ascii="仿宋" w:hAnsi="仿宋" w:eastAsia="仿宋" w:cs="仿宋"/>
          <w:b/>
          <w:bCs/>
          <w:kern w:val="2"/>
          <w:sz w:val="32"/>
          <w:szCs w:val="32"/>
          <w:lang w:val="en-US" w:eastAsia="zh-CN" w:bidi="ar-SA"/>
        </w:rPr>
        <w:t>二是</w:t>
      </w:r>
      <w:r>
        <w:rPr>
          <w:rFonts w:hint="eastAsia" w:ascii="仿宋" w:hAnsi="仿宋" w:eastAsia="仿宋" w:cs="仿宋"/>
          <w:kern w:val="2"/>
          <w:sz w:val="32"/>
          <w:szCs w:val="32"/>
          <w:lang w:val="en-US" w:eastAsia="zh-CN" w:bidi="ar-SA"/>
        </w:rPr>
        <w:t>投入1000万元，实施完成壤塘县 2020 年乡村振兴农村人居环境改善基础设施建设项目，新建59座垃圾处理室、18座消防池、17座洗衣台、11座公厕，维修公厕20座及附属设施，该项目现已完成竣工验收，2020年“厕所革命”</w:t>
      </w:r>
      <w:r>
        <w:rPr>
          <w:rFonts w:hint="eastAsia" w:ascii="仿宋" w:hAnsi="仿宋" w:eastAsia="仿宋" w:cs="仿宋"/>
          <w:color w:val="000000" w:themeColor="text1"/>
          <w:kern w:val="2"/>
          <w:sz w:val="32"/>
          <w:szCs w:val="32"/>
          <w:lang w:val="en-US" w:eastAsia="zh-CN" w:bidi="ar-SA"/>
          <w14:textFill>
            <w14:solidFill>
              <w14:schemeClr w14:val="tx1"/>
            </w14:solidFill>
          </w14:textFill>
        </w:rPr>
        <w:t>任务全面完成。</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kern w:val="2"/>
          <w:sz w:val="32"/>
          <w:szCs w:val="32"/>
          <w:lang w:val="en-US" w:eastAsia="zh-CN" w:bidi="ar-SA"/>
        </w:rPr>
        <w:t>4.加强监督检查，</w:t>
      </w:r>
      <w:r>
        <w:rPr>
          <w:rFonts w:hint="eastAsia" w:ascii="仿宋" w:hAnsi="仿宋" w:eastAsia="仿宋" w:cs="仿宋"/>
          <w:kern w:val="2"/>
          <w:sz w:val="32"/>
          <w:szCs w:val="32"/>
          <w:lang w:val="en-US" w:eastAsia="zh-CN" w:bidi="ar-SA"/>
        </w:rPr>
        <w:t>结合2020年全县城乡环境综合治理工作方案，我局充分利用群众工作月、法定节假日等重要时间节点，采取定期或不定期方式，对全县城乡环境卫生进行专项检查，对发现问题及时提出整改意见，并督促整改，全年共计开展专项检查12次，发现问题20起，督促整改完成20个。</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kern w:val="2"/>
          <w:sz w:val="32"/>
          <w:szCs w:val="32"/>
          <w:lang w:val="en-US" w:eastAsia="zh-CN" w:bidi="ar-SA"/>
        </w:rPr>
        <w:t>5.落实河湖长制，一是</w:t>
      </w:r>
      <w:r>
        <w:rPr>
          <w:rFonts w:hint="eastAsia" w:ascii="仿宋" w:hAnsi="仿宋" w:eastAsia="仿宋" w:cs="仿宋"/>
          <w:kern w:val="2"/>
          <w:sz w:val="32"/>
          <w:szCs w:val="32"/>
          <w:lang w:val="en-US" w:eastAsia="zh-CN" w:bidi="ar-SA"/>
        </w:rPr>
        <w:t>大力开展巡河工作，全年对责任河段开展巡河工作12次，发现问题3起，完成整改3起；</w:t>
      </w:r>
      <w:r>
        <w:rPr>
          <w:rFonts w:hint="eastAsia" w:ascii="仿宋" w:hAnsi="仿宋" w:eastAsia="仿宋" w:cs="仿宋"/>
          <w:b/>
          <w:bCs/>
          <w:kern w:val="2"/>
          <w:sz w:val="32"/>
          <w:szCs w:val="32"/>
          <w:lang w:val="en-US" w:eastAsia="zh-CN" w:bidi="ar-SA"/>
        </w:rPr>
        <w:t>二是</w:t>
      </w:r>
      <w:r>
        <w:rPr>
          <w:rFonts w:hint="eastAsia" w:ascii="仿宋" w:hAnsi="仿宋" w:eastAsia="仿宋" w:cs="仿宋"/>
          <w:kern w:val="2"/>
          <w:sz w:val="32"/>
          <w:szCs w:val="32"/>
          <w:lang w:val="en-US" w:eastAsia="zh-CN" w:bidi="ar-SA"/>
        </w:rPr>
        <w:t>按照河长制工作要求，完成对我局2010年以来涉河项目排查工作，发现问题1起，系祥塘大桥无行洪论证，现已整改完成。</w:t>
      </w:r>
      <w:r>
        <w:rPr>
          <w:rFonts w:hint="eastAsia" w:ascii="仿宋" w:hAnsi="仿宋" w:eastAsia="仿宋" w:cs="仿宋"/>
          <w:b/>
          <w:bCs/>
          <w:kern w:val="2"/>
          <w:sz w:val="32"/>
          <w:szCs w:val="32"/>
          <w:lang w:val="en-US" w:eastAsia="zh-CN" w:bidi="ar-SA"/>
        </w:rPr>
        <w:t>6.推进环保整改，一是</w:t>
      </w:r>
      <w:r>
        <w:rPr>
          <w:rFonts w:hint="eastAsia" w:ascii="仿宋" w:hAnsi="仿宋" w:eastAsia="仿宋" w:cs="仿宋"/>
          <w:kern w:val="2"/>
          <w:sz w:val="32"/>
          <w:szCs w:val="32"/>
          <w:lang w:val="en-US" w:eastAsia="zh-CN" w:bidi="ar-SA"/>
        </w:rPr>
        <w:t>完成城镇污水处理厂试运行工作，试运行期间污水处理率为87%，污水排放总量为73.2万吨，污水处理量为63.8万吨，现试运行工作已结束，污水处理厂已正常投入使用；</w:t>
      </w:r>
      <w:r>
        <w:rPr>
          <w:rFonts w:hint="eastAsia" w:ascii="仿宋" w:hAnsi="仿宋" w:eastAsia="仿宋" w:cs="仿宋"/>
          <w:b/>
          <w:bCs/>
          <w:kern w:val="2"/>
          <w:sz w:val="32"/>
          <w:szCs w:val="32"/>
          <w:lang w:val="en-US" w:eastAsia="zh-CN" w:bidi="ar-SA"/>
        </w:rPr>
        <w:t>二是</w:t>
      </w:r>
      <w:r>
        <w:rPr>
          <w:rFonts w:hint="eastAsia" w:ascii="仿宋" w:hAnsi="仿宋" w:eastAsia="仿宋" w:cs="仿宋"/>
          <w:kern w:val="2"/>
          <w:sz w:val="32"/>
          <w:szCs w:val="32"/>
          <w:lang w:val="en-US" w:eastAsia="zh-CN" w:bidi="ar-SA"/>
        </w:rPr>
        <w:t>加强扬尘治理工作，完善《建筑施工扬尘治理工作方案》，明确整治任务，要求各工地周边实现围挡封闭、出入口道路硬化、建筑垃圾及时清理、出入车辆统一清洗、现场渣土全面覆盖等，年内</w:t>
      </w:r>
      <w:r>
        <w:rPr>
          <w:rFonts w:hint="eastAsia" w:ascii="仿宋" w:hAnsi="仿宋" w:eastAsia="仿宋" w:cs="仿宋"/>
          <w:sz w:val="32"/>
          <w:szCs w:val="32"/>
        </w:rPr>
        <w:t>规范围挡</w:t>
      </w:r>
      <w:r>
        <w:rPr>
          <w:rFonts w:hint="eastAsia" w:ascii="仿宋" w:hAnsi="仿宋" w:eastAsia="仿宋" w:cs="仿宋"/>
          <w:sz w:val="32"/>
          <w:szCs w:val="32"/>
          <w:lang w:val="en-US" w:eastAsia="zh-CN"/>
        </w:rPr>
        <w:t>2000</w:t>
      </w:r>
      <w:r>
        <w:rPr>
          <w:rFonts w:hint="eastAsia" w:ascii="仿宋" w:hAnsi="仿宋" w:eastAsia="仿宋" w:cs="仿宋"/>
          <w:sz w:val="32"/>
          <w:szCs w:val="32"/>
        </w:rPr>
        <w:t>余米，硬化施工现场道路</w:t>
      </w:r>
      <w:r>
        <w:rPr>
          <w:rFonts w:hint="eastAsia" w:ascii="仿宋" w:hAnsi="仿宋" w:eastAsia="仿宋" w:cs="仿宋"/>
          <w:sz w:val="32"/>
          <w:szCs w:val="32"/>
          <w:lang w:val="en-US" w:eastAsia="zh-CN"/>
        </w:rPr>
        <w:t>5</w:t>
      </w:r>
      <w:r>
        <w:rPr>
          <w:rFonts w:hint="eastAsia" w:ascii="仿宋" w:hAnsi="仿宋" w:eastAsia="仿宋" w:cs="仿宋"/>
          <w:sz w:val="32"/>
          <w:szCs w:val="32"/>
        </w:rPr>
        <w:t>00余米，采用密目网覆盖土方、</w:t>
      </w:r>
      <w:r>
        <w:rPr>
          <w:rFonts w:hint="eastAsia" w:ascii="仿宋" w:hAnsi="仿宋" w:eastAsia="仿宋" w:cs="仿宋"/>
          <w:sz w:val="32"/>
          <w:szCs w:val="32"/>
          <w:lang w:eastAsia="zh-CN"/>
        </w:rPr>
        <w:t>砂石</w:t>
      </w:r>
      <w:r>
        <w:rPr>
          <w:rFonts w:hint="eastAsia" w:ascii="仿宋" w:hAnsi="仿宋" w:eastAsia="仿宋" w:cs="仿宋"/>
          <w:sz w:val="32"/>
          <w:szCs w:val="32"/>
        </w:rPr>
        <w:t>等1000多平方米</w:t>
      </w:r>
      <w:r>
        <w:rPr>
          <w:rFonts w:hint="eastAsia" w:ascii="仿宋" w:hAnsi="仿宋" w:eastAsia="仿宋" w:cs="仿宋"/>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发扬工匠精神，着力打造精品工程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2020年我局着力从工程管理体制、机制入手，充分发扬工匠精神，紧盯细节，不断强化在建项目质量安全管理，加快项目建设进度，继续加大基础设施投入，共计担任18个项目业主，总投资38070万元，其中，续建5个，新建13个；目前完工11个，在建7个；另启动项目前期6个。</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bCs/>
          <w:kern w:val="2"/>
          <w:sz w:val="32"/>
          <w:szCs w:val="32"/>
          <w:lang w:val="en-US" w:eastAsia="zh-CN" w:bidi="ar-SA"/>
        </w:rPr>
        <w:t>1.完工项目。</w:t>
      </w:r>
      <w:r>
        <w:rPr>
          <w:rFonts w:hint="eastAsia" w:ascii="仿宋" w:hAnsi="仿宋" w:eastAsia="仿宋" w:cs="仿宋"/>
          <w:kern w:val="2"/>
          <w:sz w:val="32"/>
          <w:szCs w:val="32"/>
          <w:lang w:val="en-US" w:eastAsia="zh-CN" w:bidi="ar-SA"/>
        </w:rPr>
        <w:t>年内相继建设完成</w:t>
      </w:r>
      <w:r>
        <w:rPr>
          <w:rFonts w:hint="eastAsia" w:ascii="仿宋" w:hAnsi="仿宋" w:eastAsia="仿宋" w:cs="仿宋"/>
          <w:b w:val="0"/>
          <w:bCs w:val="0"/>
          <w:color w:val="auto"/>
          <w:sz w:val="32"/>
          <w:szCs w:val="32"/>
          <w:lang w:val="en-US" w:eastAsia="zh-CN"/>
        </w:rPr>
        <w:t>城镇集中供暖、高原</w:t>
      </w:r>
      <w:r>
        <w:rPr>
          <w:rFonts w:hint="eastAsia" w:ascii="仿宋" w:hAnsi="仿宋" w:eastAsia="仿宋" w:cs="仿宋"/>
          <w:b w:val="0"/>
          <w:bCs w:val="0"/>
          <w:color w:val="auto"/>
          <w:sz w:val="32"/>
          <w:szCs w:val="32"/>
          <w:highlight w:val="none"/>
          <w:lang w:val="en-US" w:eastAsia="zh-CN"/>
        </w:rPr>
        <w:t>藏区</w:t>
      </w:r>
      <w:r>
        <w:rPr>
          <w:rFonts w:hint="eastAsia" w:ascii="仿宋" w:hAnsi="仿宋" w:eastAsia="仿宋" w:cs="仿宋"/>
          <w:b w:val="0"/>
          <w:bCs w:val="0"/>
          <w:color w:val="auto"/>
          <w:sz w:val="32"/>
          <w:szCs w:val="32"/>
          <w:lang w:val="en-US" w:eastAsia="zh-CN"/>
        </w:rPr>
        <w:t>城镇供暖末端、壤塘村传统村落保护、</w:t>
      </w:r>
      <w:r>
        <w:rPr>
          <w:rFonts w:hint="eastAsia" w:ascii="仿宋" w:hAnsi="仿宋" w:eastAsia="仿宋" w:cs="仿宋"/>
          <w:color w:val="auto"/>
          <w:sz w:val="32"/>
          <w:szCs w:val="32"/>
          <w:lang w:val="en-US" w:eastAsia="zh-CN"/>
        </w:rPr>
        <w:t>加斯满村传统村落保护、</w:t>
      </w:r>
      <w:r>
        <w:rPr>
          <w:rFonts w:hint="eastAsia" w:ascii="仿宋" w:hAnsi="仿宋" w:eastAsia="仿宋" w:cs="仿宋"/>
          <w:b w:val="0"/>
          <w:bCs w:val="0"/>
          <w:color w:val="auto"/>
          <w:sz w:val="32"/>
          <w:szCs w:val="32"/>
          <w:lang w:val="en-US" w:eastAsia="zh-CN"/>
        </w:rPr>
        <w:t>乡村振兴配套</w:t>
      </w:r>
      <w:r>
        <w:rPr>
          <w:rFonts w:hint="eastAsia" w:ascii="仿宋" w:hAnsi="仿宋" w:eastAsia="仿宋" w:cs="仿宋"/>
          <w:b w:val="0"/>
          <w:bCs w:val="0"/>
          <w:color w:val="auto"/>
          <w:sz w:val="32"/>
          <w:szCs w:val="32"/>
          <w:highlight w:val="none"/>
          <w:lang w:val="en-US" w:eastAsia="zh-CN"/>
        </w:rPr>
        <w:t>垃圾</w:t>
      </w:r>
      <w:r>
        <w:rPr>
          <w:rFonts w:hint="eastAsia" w:ascii="仿宋" w:hAnsi="仿宋" w:eastAsia="仿宋" w:cs="仿宋"/>
          <w:b w:val="0"/>
          <w:bCs w:val="0"/>
          <w:color w:val="auto"/>
          <w:sz w:val="32"/>
          <w:szCs w:val="32"/>
          <w:lang w:val="en-US" w:eastAsia="zh-CN"/>
        </w:rPr>
        <w:t>收转运体系、</w:t>
      </w:r>
      <w:r>
        <w:rPr>
          <w:rFonts w:hint="eastAsia" w:ascii="仿宋" w:hAnsi="仿宋" w:eastAsia="仿宋" w:cs="仿宋"/>
          <w:color w:val="auto"/>
          <w:sz w:val="32"/>
          <w:szCs w:val="32"/>
          <w:lang w:val="en-US" w:eastAsia="zh-CN"/>
        </w:rPr>
        <w:t>2020年脱贫攻坚挂牌督战住房安全有保障、</w:t>
      </w:r>
      <w:r>
        <w:rPr>
          <w:rFonts w:hint="eastAsia" w:ascii="仿宋" w:hAnsi="仿宋" w:eastAsia="仿宋" w:cs="仿宋"/>
          <w:b w:val="0"/>
          <w:bCs w:val="0"/>
          <w:color w:val="auto"/>
          <w:sz w:val="32"/>
          <w:szCs w:val="32"/>
          <w:lang w:val="en-US" w:eastAsia="zh-CN"/>
        </w:rPr>
        <w:t>2018年中壤塘危旧房棚户区不成套厨卫改造配套基础设施、</w:t>
      </w:r>
      <w:r>
        <w:rPr>
          <w:rFonts w:hint="eastAsia" w:ascii="仿宋" w:hAnsi="仿宋" w:eastAsia="仿宋" w:cs="仿宋"/>
          <w:b w:val="0"/>
          <w:bCs w:val="0"/>
          <w:color w:val="auto"/>
          <w:sz w:val="32"/>
          <w:szCs w:val="32"/>
          <w:highlight w:val="none"/>
          <w:lang w:val="en-US" w:eastAsia="zh-CN"/>
        </w:rPr>
        <w:t>2020年乡村振兴农村人居环境改善基础设施、建馨苑屋面改造、岗木达乡岗木达村章光村农村安全饮水设施水质保障、</w:t>
      </w:r>
      <w:r>
        <w:rPr>
          <w:rFonts w:hint="eastAsia" w:ascii="仿宋" w:hAnsi="仿宋" w:eastAsia="仿宋" w:cs="仿宋"/>
          <w:b w:val="0"/>
          <w:bCs w:val="0"/>
          <w:color w:val="auto"/>
          <w:sz w:val="32"/>
          <w:szCs w:val="32"/>
          <w:lang w:val="en-US" w:eastAsia="zh-CN"/>
        </w:rPr>
        <w:t>尕日寨基础设施提升及环境综合整治等建设项目，累计完成投资24355万元。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kern w:val="2"/>
          <w:sz w:val="32"/>
          <w:szCs w:val="32"/>
          <w:lang w:val="en-US" w:eastAsia="zh-CN" w:bidi="ar-SA"/>
        </w:rPr>
        <w:t>2.在建项目。</w:t>
      </w:r>
      <w:r>
        <w:rPr>
          <w:rFonts w:hint="eastAsia" w:ascii="仿宋" w:hAnsi="仿宋" w:eastAsia="仿宋" w:cs="仿宋"/>
          <w:b w:val="0"/>
          <w:bCs w:val="0"/>
          <w:color w:val="auto"/>
          <w:sz w:val="32"/>
          <w:szCs w:val="32"/>
          <w:lang w:val="en-US" w:eastAsia="zh-CN"/>
        </w:rPr>
        <w:t>乡村振兴南木达村综合整治、</w:t>
      </w:r>
      <w:r>
        <w:rPr>
          <w:rFonts w:hint="eastAsia" w:ascii="仿宋" w:hAnsi="仿宋" w:eastAsia="仿宋" w:cs="仿宋"/>
          <w:b w:val="0"/>
          <w:bCs w:val="0"/>
          <w:color w:val="auto"/>
          <w:sz w:val="32"/>
          <w:szCs w:val="32"/>
          <w:highlight w:val="none"/>
          <w:lang w:val="en-US" w:eastAsia="zh-CN"/>
        </w:rPr>
        <w:t>生活垃圾资源化综合处置、民兵训练基地、</w:t>
      </w:r>
      <w:r>
        <w:rPr>
          <w:rFonts w:hint="eastAsia" w:ascii="仿宋" w:hAnsi="仿宋" w:eastAsia="仿宋" w:cs="仿宋"/>
          <w:sz w:val="32"/>
          <w:szCs w:val="32"/>
          <w:highlight w:val="none"/>
          <w:lang w:val="en-US" w:eastAsia="zh-CN"/>
        </w:rPr>
        <w:t>建馨苑水厂干休所老旧小区改造、</w:t>
      </w:r>
      <w:r>
        <w:rPr>
          <w:rFonts w:hint="eastAsia" w:ascii="仿宋" w:hAnsi="仿宋" w:eastAsia="仿宋" w:cs="仿宋"/>
          <w:b w:val="0"/>
          <w:bCs w:val="0"/>
          <w:color w:val="auto"/>
          <w:sz w:val="32"/>
          <w:szCs w:val="32"/>
          <w:lang w:val="en-US" w:eastAsia="zh-CN"/>
        </w:rPr>
        <w:t>尕多集镇供水、县级干部职工周转宿舍、</w:t>
      </w:r>
      <w:r>
        <w:rPr>
          <w:rFonts w:hint="eastAsia" w:ascii="仿宋" w:hAnsi="仿宋" w:eastAsia="仿宋" w:cs="仿宋"/>
          <w:color w:val="auto"/>
          <w:sz w:val="32"/>
          <w:szCs w:val="32"/>
          <w:highlight w:val="none"/>
          <w:lang w:val="en-US" w:eastAsia="zh-CN"/>
        </w:rPr>
        <w:t>吾依乡修卡村传统村落保护等建设项目，正在有序推进，其中</w:t>
      </w:r>
      <w:r>
        <w:rPr>
          <w:rFonts w:hint="eastAsia" w:ascii="仿宋" w:hAnsi="仿宋" w:eastAsia="仿宋" w:cs="仿宋"/>
          <w:b w:val="0"/>
          <w:bCs w:val="0"/>
          <w:color w:val="auto"/>
          <w:sz w:val="32"/>
          <w:szCs w:val="32"/>
          <w:highlight w:val="none"/>
          <w:lang w:val="en-US" w:eastAsia="zh-CN"/>
        </w:rPr>
        <w:t>生活垃圾资源化综合处置、</w:t>
      </w:r>
      <w:r>
        <w:rPr>
          <w:rFonts w:hint="eastAsia" w:ascii="仿宋" w:hAnsi="仿宋" w:eastAsia="仿宋" w:cs="仿宋"/>
          <w:b w:val="0"/>
          <w:bCs w:val="0"/>
          <w:color w:val="auto"/>
          <w:sz w:val="32"/>
          <w:szCs w:val="32"/>
          <w:lang w:val="en-US" w:eastAsia="zh-CN"/>
        </w:rPr>
        <w:t>县级干部职工周转宿舍有望年底前完工。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kern w:val="2"/>
          <w:sz w:val="32"/>
          <w:szCs w:val="32"/>
          <w:lang w:val="en-US" w:eastAsia="zh-CN" w:bidi="ar-SA"/>
        </w:rPr>
        <w:t>3.前期项目。</w:t>
      </w:r>
      <w:r>
        <w:rPr>
          <w:rFonts w:hint="eastAsia" w:ascii="仿宋" w:hAnsi="仿宋" w:eastAsia="仿宋" w:cs="仿宋"/>
          <w:color w:val="auto"/>
          <w:sz w:val="32"/>
          <w:szCs w:val="32"/>
          <w:highlight w:val="none"/>
          <w:lang w:val="en-US" w:eastAsia="zh-CN"/>
        </w:rPr>
        <w:t>为进一步完善基础设施建设，按照县委县政府统一安排部署，我局结合实际，提前谋划，启动2021年部分建设项目前期，为2021年项目推进工作奠定坚实基础。以“设计、审查、协调、推进”为抓手，年内顺利启动</w:t>
      </w:r>
      <w:r>
        <w:rPr>
          <w:rFonts w:hint="eastAsia" w:ascii="仿宋" w:hAnsi="仿宋" w:eastAsia="仿宋" w:cs="仿宋"/>
          <w:b w:val="0"/>
          <w:bCs w:val="0"/>
          <w:color w:val="auto"/>
          <w:sz w:val="32"/>
          <w:szCs w:val="32"/>
          <w:lang w:val="en-US" w:eastAsia="zh-CN"/>
        </w:rPr>
        <w:t>壤柯镇城镇供水项目、</w:t>
      </w:r>
      <w:r>
        <w:rPr>
          <w:rFonts w:hint="eastAsia" w:ascii="仿宋" w:hAnsi="仿宋" w:eastAsia="仿宋" w:cs="仿宋"/>
          <w:color w:val="auto"/>
          <w:sz w:val="32"/>
          <w:szCs w:val="32"/>
          <w:lang w:val="en-US" w:eastAsia="zh-CN"/>
        </w:rPr>
        <w:t>供暖支管、配水支管网建设、南木达市政基础设施建设、2020年城镇老旧小区改造配套基础设施、百镇试点壤塘县中壤塘镇建设等项目前期，预计总投资17843万元。</w:t>
      </w:r>
    </w:p>
    <w:p>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hint="eastAsia" w:ascii="仿宋" w:hAnsi="仿宋" w:eastAsia="仿宋" w:cs="仿宋"/>
          <w:sz w:val="32"/>
          <w:szCs w:val="32"/>
          <w:lang w:val="en-US" w:eastAsia="zh-CN"/>
        </w:rPr>
      </w:pPr>
      <w:r>
        <w:rPr>
          <w:rFonts w:hint="eastAsia" w:ascii="仿宋" w:hAnsi="仿宋" w:eastAsia="仿宋" w:cs="仿宋"/>
          <w:b/>
          <w:bCs/>
          <w:kern w:val="2"/>
          <w:sz w:val="32"/>
          <w:szCs w:val="32"/>
          <w:lang w:val="en-US" w:eastAsia="zh-CN" w:bidi="ar-SA"/>
        </w:rPr>
        <w:t>4.项目储备。</w:t>
      </w:r>
      <w:r>
        <w:rPr>
          <w:rFonts w:hint="eastAsia" w:ascii="仿宋" w:hAnsi="仿宋" w:eastAsia="仿宋" w:cs="仿宋"/>
          <w:color w:val="auto"/>
          <w:sz w:val="32"/>
          <w:szCs w:val="32"/>
          <w:lang w:val="en-US" w:eastAsia="zh-CN"/>
        </w:rPr>
        <w:t>结合全县“十四五”项目筹备工作总体要求，</w:t>
      </w:r>
      <w:r>
        <w:rPr>
          <w:rFonts w:hint="eastAsia" w:ascii="仿宋" w:hAnsi="仿宋" w:eastAsia="仿宋" w:cs="仿宋"/>
          <w:sz w:val="32"/>
          <w:szCs w:val="32"/>
        </w:rPr>
        <w:t>坚持以习近平总书记关于城镇建设的重要讲话精神为指引，</w:t>
      </w:r>
      <w:r>
        <w:rPr>
          <w:rFonts w:hint="eastAsia" w:ascii="仿宋" w:hAnsi="仿宋" w:eastAsia="仿宋" w:cs="仿宋"/>
          <w:sz w:val="32"/>
          <w:szCs w:val="32"/>
          <w:lang w:val="en-US" w:eastAsia="zh-CN"/>
        </w:rPr>
        <w:t>充分</w:t>
      </w:r>
      <w:r>
        <w:rPr>
          <w:rFonts w:hint="eastAsia" w:ascii="仿宋" w:hAnsi="仿宋" w:eastAsia="仿宋" w:cs="仿宋"/>
          <w:sz w:val="32"/>
          <w:szCs w:val="32"/>
        </w:rPr>
        <w:t>依托</w:t>
      </w:r>
      <w:r>
        <w:rPr>
          <w:rFonts w:hint="eastAsia" w:ascii="仿宋" w:hAnsi="仿宋" w:eastAsia="仿宋" w:cs="仿宋"/>
          <w:sz w:val="32"/>
          <w:szCs w:val="32"/>
          <w:lang w:val="en-US" w:eastAsia="zh-CN"/>
        </w:rPr>
        <w:t>我县</w:t>
      </w:r>
      <w:r>
        <w:rPr>
          <w:rFonts w:hint="eastAsia" w:ascii="仿宋" w:hAnsi="仿宋" w:eastAsia="仿宋" w:cs="仿宋"/>
          <w:sz w:val="32"/>
          <w:szCs w:val="32"/>
        </w:rPr>
        <w:t>富集的生态文化资源</w:t>
      </w:r>
      <w:r>
        <w:rPr>
          <w:rFonts w:hint="eastAsia" w:ascii="仿宋" w:hAnsi="仿宋" w:eastAsia="仿宋" w:cs="仿宋"/>
          <w:sz w:val="32"/>
          <w:szCs w:val="32"/>
          <w:lang w:eastAsia="zh-CN"/>
        </w:rPr>
        <w:t>，</w:t>
      </w:r>
      <w:r>
        <w:rPr>
          <w:rFonts w:hint="eastAsia" w:ascii="仿宋" w:hAnsi="仿宋" w:eastAsia="仿宋" w:cs="仿宋"/>
          <w:sz w:val="32"/>
          <w:szCs w:val="32"/>
        </w:rPr>
        <w:t>立足壤塘是长江上游水源“涵养地”，川甘青结合部区域“中心地”，藏羌文化走廊“目的地”，非物质文化遗产“保留地”</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从“硬化、亮化、净化、绿化、美化”五个方面入手，梳理、编制了一大批基础设施建设项目，包括：县城地下综合管廊、上寨餐厨垃圾处理厂、天然气、南木达特色小镇、乡镇职工周转房、南木达无害化垃圾处理厂、上杜柯垃圾处理站、中壤塘镇集镇供水等41个建设项目，预计总投资317880万元。</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持续深化改革，建设人民满意机关</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i w:val="0"/>
          <w:iCs w:val="0"/>
          <w:kern w:val="2"/>
          <w:sz w:val="32"/>
          <w:szCs w:val="32"/>
          <w:lang w:val="en-US" w:eastAsia="zh-CN" w:bidi="ar-SA"/>
        </w:rPr>
        <w:t>1.深化放管服改革，</w:t>
      </w:r>
      <w:r>
        <w:rPr>
          <w:rFonts w:hint="eastAsia" w:ascii="仿宋" w:hAnsi="仿宋" w:eastAsia="仿宋" w:cs="仿宋"/>
          <w:b/>
          <w:bCs/>
          <w:kern w:val="2"/>
          <w:sz w:val="32"/>
          <w:szCs w:val="32"/>
          <w:lang w:val="en-US" w:eastAsia="zh-CN" w:bidi="ar-SA"/>
        </w:rPr>
        <w:t>一是</w:t>
      </w:r>
      <w:r>
        <w:rPr>
          <w:rFonts w:hint="eastAsia" w:ascii="仿宋" w:hAnsi="仿宋" w:eastAsia="仿宋" w:cs="仿宋"/>
          <w:kern w:val="2"/>
          <w:sz w:val="32"/>
          <w:szCs w:val="32"/>
          <w:lang w:val="en-US" w:eastAsia="zh-CN" w:bidi="ar-SA"/>
        </w:rPr>
        <w:t>政务服务中心设立住建窗口，抽调1名业务骨干入驻，437项行政权力事项运行正常；</w:t>
      </w:r>
      <w:r>
        <w:rPr>
          <w:rFonts w:hint="eastAsia" w:ascii="仿宋" w:hAnsi="仿宋" w:eastAsia="仿宋" w:cs="仿宋"/>
          <w:b/>
          <w:bCs/>
          <w:kern w:val="2"/>
          <w:sz w:val="32"/>
          <w:szCs w:val="32"/>
          <w:lang w:val="en-US" w:eastAsia="zh-CN" w:bidi="ar-SA"/>
        </w:rPr>
        <w:t>二是</w:t>
      </w:r>
      <w:r>
        <w:rPr>
          <w:rFonts w:hint="eastAsia" w:ascii="仿宋" w:hAnsi="仿宋" w:eastAsia="仿宋" w:cs="仿宋"/>
          <w:kern w:val="2"/>
          <w:sz w:val="32"/>
          <w:szCs w:val="32"/>
          <w:lang w:val="en-US" w:eastAsia="zh-CN" w:bidi="ar-SA"/>
        </w:rPr>
        <w:t>为层层压实责任，落实行政审批分管领导1名，首席业务代表1名，窗口人员实行AB岗工作制；</w:t>
      </w:r>
      <w:r>
        <w:rPr>
          <w:rFonts w:hint="eastAsia" w:ascii="仿宋" w:hAnsi="仿宋" w:eastAsia="仿宋" w:cs="仿宋"/>
          <w:b/>
          <w:bCs/>
          <w:kern w:val="2"/>
          <w:sz w:val="32"/>
          <w:szCs w:val="32"/>
          <w:lang w:val="en-US" w:eastAsia="zh-CN" w:bidi="ar-SA"/>
        </w:rPr>
        <w:t>三是</w:t>
      </w:r>
      <w:r>
        <w:rPr>
          <w:rFonts w:hint="eastAsia" w:ascii="仿宋" w:hAnsi="仿宋" w:eastAsia="仿宋" w:cs="仿宋"/>
          <w:kern w:val="2"/>
          <w:sz w:val="32"/>
          <w:szCs w:val="32"/>
          <w:lang w:val="en-US" w:eastAsia="zh-CN" w:bidi="ar-SA"/>
        </w:rPr>
        <w:t>全面推进施工许可证网上申报、限时审批、网上发证，申请人全程网上办理，做到了“宽进、严管、重罚”。</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i w:val="0"/>
          <w:iCs w:val="0"/>
          <w:kern w:val="2"/>
          <w:sz w:val="32"/>
          <w:szCs w:val="32"/>
          <w:lang w:val="en-US" w:eastAsia="zh-CN" w:bidi="ar-SA"/>
        </w:rPr>
        <w:t>2.工程建设项目审批制度改革2.0系统，</w:t>
      </w:r>
      <w:r>
        <w:rPr>
          <w:rFonts w:hint="eastAsia" w:ascii="仿宋" w:hAnsi="仿宋" w:eastAsia="仿宋" w:cs="仿宋"/>
          <w:b/>
          <w:bCs/>
          <w:kern w:val="2"/>
          <w:sz w:val="32"/>
          <w:szCs w:val="32"/>
          <w:lang w:val="en-US" w:eastAsia="zh-CN" w:bidi="ar-SA"/>
        </w:rPr>
        <w:t>一是</w:t>
      </w:r>
      <w:r>
        <w:rPr>
          <w:rFonts w:hint="eastAsia" w:ascii="仿宋" w:hAnsi="仿宋" w:eastAsia="仿宋" w:cs="仿宋"/>
          <w:kern w:val="2"/>
          <w:sz w:val="32"/>
          <w:szCs w:val="32"/>
          <w:lang w:val="en-US" w:eastAsia="zh-CN" w:bidi="ar-SA"/>
        </w:rPr>
        <w:t>加强业务培训，积极派遣业务人员参加州局安排的业务培训3次，邀请绵阳市住建局现场业务指导1次；</w:t>
      </w:r>
      <w:r>
        <w:rPr>
          <w:rFonts w:hint="eastAsia" w:ascii="仿宋" w:hAnsi="仿宋" w:eastAsia="仿宋" w:cs="仿宋"/>
          <w:b/>
          <w:bCs/>
          <w:kern w:val="2"/>
          <w:sz w:val="32"/>
          <w:szCs w:val="32"/>
          <w:lang w:val="en-US" w:eastAsia="zh-CN" w:bidi="ar-SA"/>
        </w:rPr>
        <w:t>二是</w:t>
      </w:r>
      <w:r>
        <w:rPr>
          <w:rFonts w:hint="eastAsia" w:ascii="仿宋" w:hAnsi="仿宋" w:eastAsia="仿宋" w:cs="仿宋"/>
          <w:kern w:val="2"/>
          <w:sz w:val="32"/>
          <w:szCs w:val="32"/>
          <w:lang w:val="en-US" w:eastAsia="zh-CN" w:bidi="ar-SA"/>
        </w:rPr>
        <w:t>全力推行系统使用，截至目前，已完成事项认领、场景设置等任务，运行工作正在稳步推进；</w:t>
      </w:r>
      <w:r>
        <w:rPr>
          <w:rFonts w:hint="eastAsia" w:ascii="仿宋" w:hAnsi="仿宋" w:eastAsia="仿宋" w:cs="仿宋"/>
          <w:b/>
          <w:bCs/>
          <w:kern w:val="2"/>
          <w:sz w:val="32"/>
          <w:szCs w:val="32"/>
          <w:lang w:val="en-US" w:eastAsia="zh-CN" w:bidi="ar-SA"/>
        </w:rPr>
        <w:t>三是</w:t>
      </w:r>
      <w:r>
        <w:rPr>
          <w:rFonts w:hint="eastAsia" w:ascii="仿宋" w:hAnsi="仿宋" w:eastAsia="仿宋" w:cs="仿宋"/>
          <w:kern w:val="2"/>
          <w:sz w:val="32"/>
          <w:szCs w:val="32"/>
          <w:lang w:val="en-US" w:eastAsia="zh-CN" w:bidi="ar-SA"/>
        </w:rPr>
        <w:t>全力督促中介服务机构入驻系统，按照审批系统改革工作要求，及时下发通知，要求“应驻尽驻”，截至目前，除我县不涉及事项外，只有县自来水厂已完成入驻。</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关注民生实事，保障能力稳步加强</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1.住房保障。一是</w:t>
      </w:r>
      <w:r>
        <w:rPr>
          <w:rFonts w:hint="eastAsia" w:ascii="仿宋" w:hAnsi="仿宋" w:eastAsia="仿宋" w:cs="仿宋"/>
          <w:kern w:val="2"/>
          <w:sz w:val="32"/>
          <w:szCs w:val="32"/>
          <w:lang w:val="en-US" w:eastAsia="zh-CN" w:bidi="ar-SA"/>
        </w:rPr>
        <w:t>积极解决历史遗留问题，配合县委县政府解决壤巴拉秀城酒店花园项目</w:t>
      </w:r>
      <w:r>
        <w:rPr>
          <w:rFonts w:hint="eastAsia" w:ascii="仿宋" w:hAnsi="仿宋" w:eastAsia="仿宋" w:cs="仿宋"/>
          <w:sz w:val="32"/>
          <w:szCs w:val="32"/>
          <w:lang w:val="en-US" w:eastAsia="zh-CN"/>
        </w:rPr>
        <w:t>、</w:t>
      </w:r>
      <w:r>
        <w:rPr>
          <w:rFonts w:hint="eastAsia" w:ascii="仿宋" w:hAnsi="仿宋" w:eastAsia="仿宋" w:cs="仿宋"/>
          <w:kern w:val="2"/>
          <w:sz w:val="32"/>
          <w:szCs w:val="32"/>
          <w:lang w:val="en-US" w:eastAsia="zh-CN" w:bidi="ar-SA"/>
        </w:rPr>
        <w:t>壤巴拉花园历史遗留问题，确保房地产市场总体运行平稳，现壤巴拉秀城酒店花园项目已顺利通过综合验收，壤巴拉花园商铺漏水、住房解除备案等工作等问题已解决；</w:t>
      </w:r>
      <w:r>
        <w:rPr>
          <w:rFonts w:hint="eastAsia" w:ascii="仿宋" w:hAnsi="仿宋" w:eastAsia="仿宋" w:cs="仿宋"/>
          <w:b/>
          <w:bCs/>
          <w:kern w:val="2"/>
          <w:sz w:val="32"/>
          <w:szCs w:val="32"/>
          <w:lang w:val="en-US" w:eastAsia="zh-CN" w:bidi="ar-SA"/>
        </w:rPr>
        <w:t>二是</w:t>
      </w:r>
      <w:r>
        <w:rPr>
          <w:rFonts w:hint="eastAsia" w:ascii="仿宋" w:hAnsi="仿宋" w:eastAsia="仿宋" w:cs="仿宋"/>
          <w:kern w:val="2"/>
          <w:sz w:val="32"/>
          <w:szCs w:val="32"/>
          <w:lang w:val="en-US" w:eastAsia="zh-CN" w:bidi="ar-SA"/>
        </w:rPr>
        <w:t>加强物业管理，建立我县物业管理企业登记台账，启动我县《四川省物业服务企业信用信息管理系统》录入工作，进一步规范我县物业公司经营行为；</w:t>
      </w:r>
      <w:r>
        <w:rPr>
          <w:rFonts w:hint="eastAsia" w:ascii="仿宋" w:hAnsi="仿宋" w:eastAsia="仿宋" w:cs="仿宋"/>
          <w:b/>
          <w:bCs/>
          <w:kern w:val="2"/>
          <w:sz w:val="32"/>
          <w:szCs w:val="32"/>
          <w:lang w:val="en-US" w:eastAsia="zh-CN" w:bidi="ar-SA"/>
        </w:rPr>
        <w:t>三是</w:t>
      </w:r>
      <w:r>
        <w:rPr>
          <w:rFonts w:hint="eastAsia" w:ascii="仿宋" w:hAnsi="仿宋" w:eastAsia="仿宋" w:cs="仿宋"/>
          <w:kern w:val="2"/>
          <w:sz w:val="32"/>
          <w:szCs w:val="32"/>
          <w:lang w:val="en-US" w:eastAsia="zh-CN" w:bidi="ar-SA"/>
        </w:rPr>
        <w:t>加强公租（廉租）住房管理，完成“两张清单”录入，其中：“房源清单”录入213户，“人员清单”录入200户。实施完成馨苑屋面改造提升项目，对建馨苑228套公租住房屋面进行平改坡提升改造，解决了建馨苑居民长期反映的屋顶漏雨、乱搭乱建、私自占用等问题；</w:t>
      </w:r>
      <w:r>
        <w:rPr>
          <w:rFonts w:hint="eastAsia" w:ascii="仿宋" w:hAnsi="仿宋" w:eastAsia="仿宋" w:cs="仿宋"/>
          <w:b/>
          <w:bCs/>
          <w:kern w:val="2"/>
          <w:sz w:val="32"/>
          <w:szCs w:val="32"/>
          <w:lang w:val="en-US" w:eastAsia="zh-CN" w:bidi="ar-SA"/>
        </w:rPr>
        <w:t>四是</w:t>
      </w:r>
      <w:r>
        <w:rPr>
          <w:rFonts w:hint="eastAsia" w:ascii="仿宋" w:hAnsi="仿宋" w:eastAsia="仿宋" w:cs="仿宋"/>
          <w:kern w:val="2"/>
          <w:sz w:val="32"/>
          <w:szCs w:val="32"/>
          <w:lang w:val="en-US" w:eastAsia="zh-CN" w:bidi="ar-SA"/>
        </w:rPr>
        <w:t>加紧老旧小区改造，年内投资300万元，对干休所住宿小区、水厂住宿楼、建馨苑公租房小区进行基础设施改造，目前项目正在加紧推进；</w:t>
      </w:r>
      <w:r>
        <w:rPr>
          <w:rFonts w:hint="eastAsia" w:ascii="仿宋" w:hAnsi="仿宋" w:eastAsia="仿宋" w:cs="仿宋"/>
          <w:b/>
          <w:bCs/>
          <w:kern w:val="2"/>
          <w:sz w:val="32"/>
          <w:szCs w:val="32"/>
          <w:lang w:val="en-US" w:eastAsia="zh-CN" w:bidi="ar-SA"/>
        </w:rPr>
        <w:t>五是</w:t>
      </w:r>
      <w:r>
        <w:rPr>
          <w:rFonts w:hint="eastAsia" w:ascii="仿宋" w:hAnsi="仿宋" w:eastAsia="仿宋" w:cs="仿宋"/>
          <w:kern w:val="2"/>
          <w:sz w:val="32"/>
          <w:szCs w:val="32"/>
          <w:lang w:val="en-US" w:eastAsia="zh-CN" w:bidi="ar-SA"/>
        </w:rPr>
        <w:t>有序推进保障性安居工程，全力实施2018年中壤塘镇危旧房棚户区改造项目，截至目前，已改造完成653户，拨付补助资金600余万元，正督促乡镇完成资金拨付资料，确保补助资金年内全部兑现；</w:t>
      </w:r>
      <w:r>
        <w:rPr>
          <w:rFonts w:hint="eastAsia" w:ascii="仿宋" w:hAnsi="仿宋" w:eastAsia="仿宋" w:cs="仿宋"/>
          <w:b/>
          <w:bCs/>
          <w:kern w:val="2"/>
          <w:sz w:val="32"/>
          <w:szCs w:val="32"/>
          <w:lang w:val="en-US" w:eastAsia="zh-CN" w:bidi="ar-SA"/>
        </w:rPr>
        <w:t>六是</w:t>
      </w:r>
      <w:r>
        <w:rPr>
          <w:rFonts w:hint="eastAsia" w:ascii="仿宋" w:hAnsi="仿宋" w:eastAsia="仿宋" w:cs="仿宋"/>
          <w:kern w:val="2"/>
          <w:sz w:val="32"/>
          <w:szCs w:val="32"/>
          <w:lang w:val="en-US" w:eastAsia="zh-CN" w:bidi="ar-SA"/>
        </w:rPr>
        <w:t>配合省州完成领导干部房产信息核查800余条；</w:t>
      </w:r>
      <w:r>
        <w:rPr>
          <w:rFonts w:hint="eastAsia" w:ascii="仿宋" w:hAnsi="仿宋" w:eastAsia="仿宋" w:cs="仿宋"/>
          <w:b/>
          <w:bCs/>
          <w:kern w:val="2"/>
          <w:sz w:val="32"/>
          <w:szCs w:val="32"/>
          <w:lang w:val="en-US" w:eastAsia="zh-CN" w:bidi="ar-SA"/>
        </w:rPr>
        <w:t>七是</w:t>
      </w:r>
      <w:r>
        <w:rPr>
          <w:rFonts w:hint="eastAsia" w:ascii="仿宋" w:hAnsi="仿宋" w:eastAsia="仿宋" w:cs="仿宋"/>
          <w:kern w:val="2"/>
          <w:sz w:val="32"/>
          <w:szCs w:val="32"/>
          <w:lang w:val="en-US" w:eastAsia="zh-CN" w:bidi="ar-SA"/>
        </w:rPr>
        <w:t>顺利完成书记县长经济责任审计；州级2019年藏区新居专项审计、2019年藏区新居绩效评价、2018年棚户区改造绩效评价等14项审计发现问题整改工作；</w:t>
      </w:r>
      <w:r>
        <w:rPr>
          <w:rFonts w:hint="eastAsia" w:ascii="仿宋" w:hAnsi="仿宋" w:eastAsia="仿宋" w:cs="仿宋"/>
          <w:b/>
          <w:bCs/>
          <w:kern w:val="2"/>
          <w:sz w:val="32"/>
          <w:szCs w:val="32"/>
          <w:lang w:val="en-US" w:eastAsia="zh-CN" w:bidi="ar-SA"/>
        </w:rPr>
        <w:t>八是</w:t>
      </w:r>
      <w:r>
        <w:rPr>
          <w:rFonts w:hint="eastAsia" w:ascii="仿宋" w:hAnsi="仿宋" w:eastAsia="仿宋" w:cs="仿宋"/>
          <w:kern w:val="2"/>
          <w:sz w:val="32"/>
          <w:szCs w:val="32"/>
          <w:lang w:val="en-US" w:eastAsia="zh-CN" w:bidi="ar-SA"/>
        </w:rPr>
        <w:t xml:space="preserve">按时完成上级安排的每周、每月、每季度及年报表工作，全年共计上报住房保障方面报表64份。  </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bCs/>
          <w:kern w:val="2"/>
          <w:sz w:val="32"/>
          <w:szCs w:val="32"/>
          <w:lang w:val="en-US" w:eastAsia="zh-CN" w:bidi="ar-SA"/>
        </w:rPr>
        <w:t>2.供水保障。一是</w:t>
      </w:r>
      <w:r>
        <w:rPr>
          <w:rFonts w:hint="eastAsia" w:ascii="仿宋" w:hAnsi="仿宋" w:eastAsia="仿宋" w:cs="仿宋"/>
          <w:kern w:val="2"/>
          <w:sz w:val="32"/>
          <w:szCs w:val="32"/>
          <w:lang w:val="en-US" w:eastAsia="zh-CN" w:bidi="ar-SA"/>
        </w:rPr>
        <w:t>全年完成消毒制水180万m³，配合疾控部门完成每月饮用水水质抽样检查，合格率达96%；</w:t>
      </w:r>
      <w:r>
        <w:rPr>
          <w:rFonts w:hint="eastAsia" w:ascii="仿宋" w:hAnsi="仿宋" w:eastAsia="仿宋" w:cs="仿宋"/>
          <w:b/>
          <w:bCs/>
          <w:kern w:val="2"/>
          <w:sz w:val="32"/>
          <w:szCs w:val="32"/>
          <w:lang w:val="en-US" w:eastAsia="zh-CN" w:bidi="ar-SA"/>
        </w:rPr>
        <w:t>二是</w:t>
      </w:r>
      <w:r>
        <w:rPr>
          <w:rFonts w:hint="eastAsia" w:ascii="仿宋" w:hAnsi="仿宋" w:eastAsia="仿宋" w:cs="仿宋"/>
          <w:b w:val="0"/>
          <w:bCs w:val="0"/>
          <w:kern w:val="2"/>
          <w:sz w:val="32"/>
          <w:szCs w:val="32"/>
          <w:lang w:val="en-US" w:eastAsia="zh-CN" w:bidi="ar-SA"/>
        </w:rPr>
        <w:t>加强管线巡查，</w:t>
      </w:r>
      <w:r>
        <w:rPr>
          <w:rFonts w:hint="eastAsia" w:ascii="仿宋" w:hAnsi="仿宋" w:eastAsia="仿宋" w:cs="仿宋"/>
          <w:kern w:val="2"/>
          <w:sz w:val="32"/>
          <w:szCs w:val="32"/>
          <w:lang w:val="en-US" w:eastAsia="zh-CN" w:bidi="ar-SA"/>
        </w:rPr>
        <w:t>保障设备安全运行，全年完成厂区设备维护维修60余次、管线维修维护300余次；</w:t>
      </w:r>
      <w:r>
        <w:rPr>
          <w:rFonts w:hint="eastAsia" w:ascii="仿宋" w:hAnsi="仿宋" w:eastAsia="仿宋" w:cs="仿宋"/>
          <w:b/>
          <w:bCs/>
          <w:kern w:val="2"/>
          <w:sz w:val="32"/>
          <w:szCs w:val="32"/>
          <w:lang w:val="en-US" w:eastAsia="zh-CN" w:bidi="ar-SA"/>
        </w:rPr>
        <w:t>三是</w:t>
      </w:r>
      <w:r>
        <w:rPr>
          <w:rFonts w:hint="eastAsia" w:ascii="仿宋" w:hAnsi="仿宋" w:eastAsia="仿宋" w:cs="仿宋"/>
          <w:kern w:val="2"/>
          <w:sz w:val="32"/>
          <w:szCs w:val="32"/>
          <w:lang w:val="en-US" w:eastAsia="zh-CN" w:bidi="ar-SA"/>
        </w:rPr>
        <w:t>加强汛期供水保障，顺利实施完成竹青沟应急抢险项目，确保了城区安全供水。同时，抽调业务骨干，积极支援中壤塘、南木达、上寨等地供水应急抢险工作；</w:t>
      </w:r>
      <w:r>
        <w:rPr>
          <w:rFonts w:hint="eastAsia" w:ascii="仿宋" w:hAnsi="仿宋" w:eastAsia="仿宋" w:cs="仿宋"/>
          <w:b/>
          <w:bCs/>
          <w:kern w:val="2"/>
          <w:sz w:val="32"/>
          <w:szCs w:val="32"/>
          <w:lang w:val="en-US" w:eastAsia="zh-CN" w:bidi="ar-SA"/>
        </w:rPr>
        <w:t>四是</w:t>
      </w:r>
      <w:r>
        <w:rPr>
          <w:rFonts w:hint="eastAsia" w:ascii="仿宋" w:hAnsi="仿宋" w:eastAsia="仿宋" w:cs="仿宋"/>
          <w:kern w:val="2"/>
          <w:sz w:val="32"/>
          <w:szCs w:val="32"/>
          <w:lang w:val="en-US" w:eastAsia="zh-CN" w:bidi="ar-SA"/>
        </w:rPr>
        <w:t>为提升城区供水能力，年内投入200万元，实施</w:t>
      </w:r>
      <w:r>
        <w:rPr>
          <w:rFonts w:hint="eastAsia" w:ascii="仿宋" w:hAnsi="仿宋" w:eastAsia="仿宋" w:cs="仿宋"/>
          <w:b w:val="0"/>
          <w:bCs w:val="0"/>
          <w:color w:val="auto"/>
          <w:sz w:val="32"/>
          <w:szCs w:val="32"/>
          <w:highlight w:val="none"/>
          <w:lang w:val="en-US" w:eastAsia="zh-CN"/>
        </w:rPr>
        <w:t>岗木达乡岗木达村章光村农村安全饮水设施水质保障，完成取水口改造；另一方面，拟投资4980万元实施壤柯镇城镇供水项目，投资3500万元实施配水支管网建设项目，现两个项目已启动前期工作，有望2021年初开工实施；</w:t>
      </w:r>
      <w:r>
        <w:rPr>
          <w:rFonts w:hint="eastAsia" w:ascii="仿宋" w:hAnsi="仿宋" w:eastAsia="仿宋" w:cs="仿宋"/>
          <w:b/>
          <w:bCs/>
          <w:color w:val="auto"/>
          <w:sz w:val="32"/>
          <w:szCs w:val="32"/>
          <w:highlight w:val="none"/>
          <w:lang w:val="en-US" w:eastAsia="zh-CN"/>
        </w:rPr>
        <w:t>五是</w:t>
      </w:r>
      <w:r>
        <w:rPr>
          <w:rFonts w:hint="eastAsia" w:ascii="仿宋" w:hAnsi="仿宋" w:eastAsia="仿宋" w:cs="仿宋"/>
          <w:b w:val="0"/>
          <w:bCs w:val="0"/>
          <w:color w:val="auto"/>
          <w:sz w:val="32"/>
          <w:szCs w:val="32"/>
          <w:highlight w:val="none"/>
          <w:lang w:val="en-US" w:eastAsia="zh-CN"/>
        </w:rPr>
        <w:t>为解决敞放水问题，我局一方面加大节约用水宣传力度，另一方面按照政府工作安排，启动水表安装用水收费工作，全年已收取水费50000余元。</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color w:val="auto"/>
          <w:sz w:val="32"/>
          <w:szCs w:val="32"/>
          <w:highlight w:val="none"/>
          <w:lang w:val="en-US" w:eastAsia="zh-CN"/>
        </w:rPr>
        <w:t>3.提案议案。</w:t>
      </w:r>
      <w:r>
        <w:rPr>
          <w:rFonts w:hint="eastAsia" w:ascii="仿宋" w:hAnsi="仿宋" w:eastAsia="仿宋" w:cs="仿宋"/>
          <w:b w:val="0"/>
          <w:bCs w:val="0"/>
          <w:color w:val="auto"/>
          <w:sz w:val="32"/>
          <w:szCs w:val="32"/>
          <w:highlight w:val="none"/>
          <w:lang w:val="en-US" w:eastAsia="zh-CN"/>
        </w:rPr>
        <w:t>今年，我局共受理政协委员提案4件、人大代表建议7件，自收到承办事项后，我局高度重视，赓即对承办事项各项工作进行安排部署，明确工作时限，并落实专人负责，确保各项工作推进顺利，圆满完成我局2020年度建议、提案办理工作，做到走访率100%、回复率100%、满意率100%。</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加强行业管理，工程建设规范有序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1.工程质量监管。</w:t>
      </w:r>
      <w:r>
        <w:rPr>
          <w:rFonts w:hint="eastAsia" w:ascii="仿宋" w:hAnsi="仿宋" w:eastAsia="仿宋" w:cs="仿宋"/>
          <w:kern w:val="2"/>
          <w:sz w:val="32"/>
          <w:szCs w:val="32"/>
          <w:lang w:val="en-US" w:eastAsia="zh-CN" w:bidi="ar-SA"/>
        </w:rPr>
        <w:t>全年共监督项目131个。</w:t>
      </w:r>
      <w:r>
        <w:rPr>
          <w:rFonts w:hint="eastAsia" w:ascii="仿宋" w:hAnsi="仿宋" w:eastAsia="仿宋" w:cs="仿宋"/>
          <w:b/>
          <w:bCs/>
          <w:kern w:val="2"/>
          <w:sz w:val="32"/>
          <w:szCs w:val="32"/>
          <w:lang w:val="en-US" w:eastAsia="zh-CN" w:bidi="ar-SA"/>
        </w:rPr>
        <w:t>一是</w:t>
      </w:r>
      <w:r>
        <w:rPr>
          <w:rFonts w:hint="eastAsia" w:ascii="仿宋" w:hAnsi="仿宋" w:eastAsia="仿宋" w:cs="仿宋"/>
          <w:kern w:val="2"/>
          <w:sz w:val="32"/>
          <w:szCs w:val="32"/>
          <w:lang w:val="en-US" w:eastAsia="zh-CN" w:bidi="ar-SA"/>
        </w:rPr>
        <w:t>按照“随叫随到”的工作原则，不分上下班、不分工作日，专业技术人员深入工地开展质量、安全监督工作达800余次，避免了质量监督影响工期情况；</w:t>
      </w:r>
      <w:r>
        <w:rPr>
          <w:rFonts w:hint="eastAsia" w:ascii="仿宋" w:hAnsi="仿宋" w:eastAsia="仿宋" w:cs="仿宋"/>
          <w:b/>
          <w:bCs/>
          <w:kern w:val="2"/>
          <w:sz w:val="32"/>
          <w:szCs w:val="32"/>
          <w:lang w:val="en-US" w:eastAsia="zh-CN" w:bidi="ar-SA"/>
        </w:rPr>
        <w:t>二是</w:t>
      </w:r>
      <w:r>
        <w:rPr>
          <w:rFonts w:hint="eastAsia" w:ascii="仿宋" w:hAnsi="仿宋" w:eastAsia="仿宋" w:cs="仿宋"/>
          <w:kern w:val="2"/>
          <w:sz w:val="32"/>
          <w:szCs w:val="32"/>
          <w:lang w:val="en-US" w:eastAsia="zh-CN" w:bidi="ar-SA"/>
        </w:rPr>
        <w:t>积极监督项目建设全过程，各在建项目从地基开挖到竣工验收，都做到全程参与、全程监督，确保监管不留死角；</w:t>
      </w:r>
      <w:r>
        <w:rPr>
          <w:rFonts w:hint="eastAsia" w:ascii="仿宋" w:hAnsi="仿宋" w:eastAsia="仿宋" w:cs="仿宋"/>
          <w:b/>
          <w:bCs/>
          <w:kern w:val="2"/>
          <w:sz w:val="32"/>
          <w:szCs w:val="32"/>
          <w:lang w:val="en-US" w:eastAsia="zh-CN" w:bidi="ar-SA"/>
        </w:rPr>
        <w:t>三是</w:t>
      </w:r>
      <w:r>
        <w:rPr>
          <w:rFonts w:hint="eastAsia" w:ascii="仿宋" w:hAnsi="仿宋" w:eastAsia="仿宋" w:cs="仿宋"/>
          <w:kern w:val="2"/>
          <w:sz w:val="32"/>
          <w:szCs w:val="32"/>
          <w:lang w:val="en-US" w:eastAsia="zh-CN" w:bidi="ar-SA"/>
        </w:rPr>
        <w:t>进行定期或不定期的全县工程质量检查专项行动，全年共下发工程质量整改通知书43份，全程督促各责任主体完成了整改；</w:t>
      </w:r>
      <w:r>
        <w:rPr>
          <w:rFonts w:hint="eastAsia" w:ascii="仿宋" w:hAnsi="仿宋" w:eastAsia="仿宋" w:cs="仿宋"/>
          <w:b/>
          <w:bCs/>
          <w:kern w:val="2"/>
          <w:sz w:val="32"/>
          <w:szCs w:val="32"/>
          <w:lang w:val="en-US" w:eastAsia="zh-CN" w:bidi="ar-SA"/>
        </w:rPr>
        <w:t>四是</w:t>
      </w:r>
      <w:r>
        <w:rPr>
          <w:rFonts w:hint="eastAsia" w:ascii="仿宋" w:hAnsi="仿宋" w:eastAsia="仿宋" w:cs="仿宋"/>
          <w:kern w:val="2"/>
          <w:sz w:val="32"/>
          <w:szCs w:val="32"/>
          <w:lang w:val="en-US" w:eastAsia="zh-CN" w:bidi="ar-SA"/>
        </w:rPr>
        <w:t>对全县监理单位履职情况进行专项检查。截至目前未发生一起重大质量事故。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2.扫黑除恶斗争。一是</w:t>
      </w:r>
      <w:r>
        <w:rPr>
          <w:rFonts w:hint="eastAsia" w:ascii="仿宋" w:hAnsi="仿宋" w:eastAsia="仿宋" w:cs="仿宋"/>
          <w:kern w:val="2"/>
          <w:sz w:val="32"/>
          <w:szCs w:val="32"/>
          <w:lang w:val="en-US" w:eastAsia="zh-CN" w:bidi="ar-SA"/>
        </w:rPr>
        <w:t>积极开展扫黑除恶法治宣传教育活动，通过集中宣传、在建筑工地悬挂横幅、小区物业张贴公告和公开举报电话等多种方式宣传了“扫黑除恶”专项斗争的重要性，共悬挂横幅6条、张贴公告40张；</w:t>
      </w:r>
      <w:r>
        <w:rPr>
          <w:rFonts w:hint="eastAsia" w:ascii="仿宋" w:hAnsi="仿宋" w:eastAsia="仿宋" w:cs="仿宋"/>
          <w:b/>
          <w:bCs/>
          <w:kern w:val="2"/>
          <w:sz w:val="32"/>
          <w:szCs w:val="32"/>
          <w:lang w:val="en-US" w:eastAsia="zh-CN" w:bidi="ar-SA"/>
        </w:rPr>
        <w:t>二是</w:t>
      </w:r>
      <w:r>
        <w:rPr>
          <w:rFonts w:hint="eastAsia" w:ascii="仿宋" w:hAnsi="仿宋" w:eastAsia="仿宋" w:cs="仿宋"/>
          <w:kern w:val="2"/>
          <w:sz w:val="32"/>
          <w:szCs w:val="32"/>
          <w:lang w:val="en-US" w:eastAsia="zh-CN" w:bidi="ar-SA"/>
        </w:rPr>
        <w:t>对“承揽工程、渣土运输、暴力执法、充当保护伞”等几类住房建设领域“涉黑、涉恶、涉乱”行为进行了4次全面排查，做到了底数清、情况明。目前，发现问题线索43条已上报县扫黑办。</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3.工程项目审批。一是</w:t>
      </w:r>
      <w:r>
        <w:rPr>
          <w:rFonts w:hint="eastAsia" w:ascii="仿宋" w:hAnsi="仿宋" w:eastAsia="仿宋" w:cs="仿宋"/>
          <w:kern w:val="2"/>
          <w:sz w:val="32"/>
          <w:szCs w:val="32"/>
          <w:lang w:val="en-US" w:eastAsia="zh-CN" w:bidi="ar-SA"/>
        </w:rPr>
        <w:t>全年完成项目招标文件备案10个；</w:t>
      </w:r>
      <w:r>
        <w:rPr>
          <w:rFonts w:hint="eastAsia" w:ascii="仿宋" w:hAnsi="仿宋" w:eastAsia="仿宋" w:cs="仿宋"/>
          <w:b/>
          <w:bCs/>
          <w:kern w:val="2"/>
          <w:sz w:val="32"/>
          <w:szCs w:val="32"/>
          <w:lang w:val="en-US" w:eastAsia="zh-CN" w:bidi="ar-SA"/>
        </w:rPr>
        <w:t>二是</w:t>
      </w:r>
      <w:r>
        <w:rPr>
          <w:rFonts w:hint="eastAsia" w:ascii="仿宋" w:hAnsi="仿宋" w:eastAsia="仿宋" w:cs="仿宋"/>
          <w:kern w:val="2"/>
          <w:sz w:val="32"/>
          <w:szCs w:val="32"/>
          <w:lang w:val="en-US" w:eastAsia="zh-CN" w:bidi="ar-SA"/>
        </w:rPr>
        <w:t>电子政务平台上完成质检备案143条、安监备案140条、施工许可办理142条（包括签订授权书、承诺书）、竣工备案58条；</w:t>
      </w:r>
      <w:r>
        <w:rPr>
          <w:rFonts w:hint="eastAsia" w:ascii="仿宋" w:hAnsi="仿宋" w:eastAsia="仿宋" w:cs="仿宋"/>
          <w:b/>
          <w:bCs/>
          <w:kern w:val="2"/>
          <w:sz w:val="32"/>
          <w:szCs w:val="32"/>
          <w:lang w:val="en-US" w:eastAsia="zh-CN" w:bidi="ar-SA"/>
        </w:rPr>
        <w:t>三是</w:t>
      </w:r>
      <w:r>
        <w:rPr>
          <w:rFonts w:hint="eastAsia" w:ascii="仿宋" w:hAnsi="仿宋" w:eastAsia="仿宋" w:cs="仿宋"/>
          <w:kern w:val="2"/>
          <w:sz w:val="32"/>
          <w:szCs w:val="32"/>
          <w:lang w:val="en-US" w:eastAsia="zh-CN" w:bidi="ar-SA"/>
        </w:rPr>
        <w:t>全年完成消防设计审查备案5起。</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4.农民工工资保障。一是</w:t>
      </w:r>
      <w:r>
        <w:rPr>
          <w:rFonts w:hint="eastAsia" w:ascii="仿宋" w:hAnsi="仿宋" w:eastAsia="仿宋" w:cs="仿宋"/>
          <w:sz w:val="32"/>
          <w:szCs w:val="32"/>
          <w:lang w:val="en-US" w:eastAsia="zh-CN"/>
        </w:rPr>
        <w:t>推广使用农民工实名制管理平台，邀请磊数公司对农民工实名制管理平台功能、操作等到壤进行培训。同时，建立业务交流微信群，保障项目录入过程中的问题能在第一时间得到解决，截至目前全县共有9个项目正在使用该平台，</w:t>
      </w:r>
      <w:r>
        <w:rPr>
          <w:rFonts w:hint="eastAsia" w:ascii="仿宋" w:hAnsi="仿宋" w:eastAsia="仿宋" w:cs="仿宋"/>
          <w:kern w:val="2"/>
          <w:sz w:val="32"/>
          <w:szCs w:val="32"/>
          <w:lang w:val="en-US" w:eastAsia="zh-CN" w:bidi="ar-SA"/>
        </w:rPr>
        <w:t>涉及农民工157人</w:t>
      </w:r>
      <w:r>
        <w:rPr>
          <w:rFonts w:hint="eastAsia" w:ascii="仿宋" w:hAnsi="仿宋" w:eastAsia="仿宋" w:cs="仿宋"/>
          <w:sz w:val="32"/>
          <w:szCs w:val="32"/>
          <w:lang w:val="en-US" w:eastAsia="zh-CN"/>
        </w:rPr>
        <w:t>；</w:t>
      </w:r>
      <w:r>
        <w:rPr>
          <w:rFonts w:hint="eastAsia" w:ascii="仿宋" w:hAnsi="仿宋" w:eastAsia="仿宋" w:cs="仿宋"/>
          <w:b/>
          <w:bCs/>
          <w:sz w:val="32"/>
          <w:szCs w:val="32"/>
          <w:lang w:val="en-US" w:eastAsia="zh-CN"/>
        </w:rPr>
        <w:t>二是</w:t>
      </w:r>
      <w:r>
        <w:rPr>
          <w:rFonts w:hint="eastAsia" w:ascii="仿宋" w:hAnsi="仿宋" w:eastAsia="仿宋" w:cs="仿宋"/>
          <w:sz w:val="32"/>
          <w:szCs w:val="32"/>
          <w:lang w:val="en-US" w:eastAsia="zh-CN"/>
        </w:rPr>
        <w:t>加强维权宣传活动，全年共计开展农民工工资保障宣传活动7次，进一步增强农民工维权意识。同时，</w:t>
      </w:r>
      <w:r>
        <w:rPr>
          <w:rFonts w:hint="eastAsia" w:ascii="仿宋" w:hAnsi="仿宋" w:eastAsia="仿宋" w:cs="仿宋"/>
          <w:kern w:val="2"/>
          <w:sz w:val="32"/>
          <w:szCs w:val="32"/>
          <w:lang w:val="en-US" w:eastAsia="zh-CN" w:bidi="ar-SA"/>
        </w:rPr>
        <w:t>配合人事部门解决工资纠纷8起，调查企业项目8起。</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5.加强业务培训。一是</w:t>
      </w:r>
      <w:r>
        <w:rPr>
          <w:rFonts w:hint="eastAsia" w:ascii="仿宋" w:hAnsi="仿宋" w:eastAsia="仿宋" w:cs="仿宋"/>
          <w:kern w:val="2"/>
          <w:sz w:val="32"/>
          <w:szCs w:val="32"/>
          <w:lang w:val="en-US" w:eastAsia="zh-CN" w:bidi="ar-SA"/>
        </w:rPr>
        <w:t>为进一步规范我县项目管理工作，年初，组织各单位项目分管领导、专干180余人进行工程建设项目管理专题培训；</w:t>
      </w:r>
      <w:r>
        <w:rPr>
          <w:rFonts w:hint="eastAsia" w:ascii="仿宋" w:hAnsi="仿宋" w:eastAsia="仿宋" w:cs="仿宋"/>
          <w:b/>
          <w:bCs/>
          <w:kern w:val="2"/>
          <w:sz w:val="32"/>
          <w:szCs w:val="32"/>
          <w:lang w:val="en-US" w:eastAsia="zh-CN" w:bidi="ar-SA"/>
        </w:rPr>
        <w:t>二是</w:t>
      </w:r>
      <w:r>
        <w:rPr>
          <w:rFonts w:hint="eastAsia" w:ascii="仿宋" w:hAnsi="仿宋" w:eastAsia="仿宋" w:cs="仿宋"/>
          <w:kern w:val="2"/>
          <w:sz w:val="32"/>
          <w:szCs w:val="32"/>
          <w:lang w:val="en-US" w:eastAsia="zh-CN" w:bidi="ar-SA"/>
        </w:rPr>
        <w:t>为加快推进施工许可证办理，我局主动服务、靠前服务，全年共计组织开展业务培训工作4次。</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6.构建信用体系。</w:t>
      </w:r>
      <w:r>
        <w:rPr>
          <w:rFonts w:hint="eastAsia" w:ascii="仿宋" w:hAnsi="仿宋" w:eastAsia="仿宋" w:cs="仿宋"/>
          <w:kern w:val="2"/>
          <w:sz w:val="32"/>
          <w:szCs w:val="32"/>
          <w:lang w:val="en-US" w:eastAsia="zh-CN" w:bidi="ar-SA"/>
        </w:rPr>
        <w:t>全年完成不良信用记录1起，系南木达幼儿园二期项目涉及安全、未批先建、拖欠农民工工资等问题。</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7.建筑主材调价。</w:t>
      </w:r>
      <w:r>
        <w:rPr>
          <w:rFonts w:hint="eastAsia" w:ascii="仿宋" w:hAnsi="仿宋" w:eastAsia="仿宋" w:cs="仿宋"/>
          <w:kern w:val="2"/>
          <w:sz w:val="32"/>
          <w:szCs w:val="32"/>
          <w:lang w:val="en-US" w:eastAsia="zh-CN" w:bidi="ar-SA"/>
        </w:rPr>
        <w:t>按时完成对建筑市场主材价格进行调查，并及时上报州造价站。同时，要求原材料必须送第三方检测机构进行检测，从源头上杜绝了劣质材料流入建筑市场。</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8.市政项目核查。</w:t>
      </w:r>
      <w:r>
        <w:rPr>
          <w:rFonts w:hint="eastAsia" w:ascii="仿宋" w:hAnsi="仿宋" w:eastAsia="仿宋" w:cs="仿宋"/>
          <w:kern w:val="2"/>
          <w:sz w:val="32"/>
          <w:szCs w:val="32"/>
          <w:lang w:val="en-US" w:eastAsia="zh-CN" w:bidi="ar-SA"/>
        </w:rPr>
        <w:t xml:space="preserve">结合“金川县八一水电站事件”，顺利完成我县房屋市政建设项目迎检及赴金川交叉检查工作。 </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着手乡村振兴，统筹城乡融合发展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年内，我局通过传统村落保护、申报省级百强中心镇、申报最美古村落、百镇试点建设等方面，提前着手乡村振兴，加快推进城乡融合发展，为2021年乡村振兴开局年打下坚实基础保障。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1.传统村落。</w:t>
      </w:r>
      <w:r>
        <w:rPr>
          <w:rFonts w:hint="eastAsia" w:ascii="仿宋" w:hAnsi="仿宋" w:eastAsia="仿宋" w:cs="仿宋"/>
          <w:kern w:val="2"/>
          <w:sz w:val="32"/>
          <w:szCs w:val="32"/>
          <w:lang w:val="en-US" w:eastAsia="zh-CN" w:bidi="ar-SA"/>
        </w:rPr>
        <w:t>目前我县共有5个国家级传统村落，其中宗科加斯满村、吾依修卡村、中壤塘壤塘村传统村落保护资金已下达，年内我局</w:t>
      </w:r>
      <w:r>
        <w:rPr>
          <w:rFonts w:hint="eastAsia" w:ascii="仿宋" w:hAnsi="仿宋" w:eastAsia="仿宋" w:cs="仿宋"/>
          <w:sz w:val="32"/>
          <w:szCs w:val="32"/>
          <w:lang w:val="en-US" w:eastAsia="zh-CN"/>
        </w:rPr>
        <w:t>通过</w:t>
      </w:r>
      <w:r>
        <w:rPr>
          <w:rFonts w:hint="eastAsia" w:ascii="仿宋" w:hAnsi="仿宋" w:eastAsia="仿宋" w:cs="仿宋"/>
          <w:kern w:val="2"/>
          <w:sz w:val="32"/>
          <w:szCs w:val="32"/>
          <w:lang w:val="en-US" w:eastAsia="zh-CN" w:bidi="ar-SA"/>
        </w:rPr>
        <w:t>完善基础设施配套，传统民居修缮加固等方面实施完成3个村落传统保护项目，茸木达乡茸木达村、中壤塘布康木达村待资金下达后赓即实施传统村落保护项目。</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kern w:val="2"/>
          <w:sz w:val="32"/>
          <w:szCs w:val="32"/>
          <w:lang w:val="en-US" w:eastAsia="zh-CN" w:bidi="ar-SA"/>
        </w:rPr>
        <w:t>2.省级百强中心镇。</w:t>
      </w:r>
      <w:r>
        <w:rPr>
          <w:rFonts w:hint="eastAsia" w:ascii="仿宋" w:hAnsi="仿宋" w:eastAsia="仿宋" w:cs="仿宋"/>
          <w:sz w:val="32"/>
          <w:szCs w:val="32"/>
          <w:lang w:val="en-US" w:eastAsia="zh-CN"/>
        </w:rPr>
        <w:t>按照省、州住建部门关于申报“省级百强中心镇”工作要求，结合我县实际，决定将我县岗木达镇申报为“省级百强中心镇”，现相关申报资料已按要求上报完毕，上级部门正在进行审核。</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3.最美古村落。</w:t>
      </w:r>
      <w:r>
        <w:rPr>
          <w:rFonts w:hint="eastAsia" w:ascii="仿宋" w:hAnsi="仿宋" w:eastAsia="仿宋" w:cs="仿宋"/>
          <w:sz w:val="32"/>
          <w:szCs w:val="32"/>
          <w:lang w:val="en-US" w:eastAsia="zh-CN"/>
        </w:rPr>
        <w:t>按照省住建厅“关于申报第三批最美古村落”要求，结合我县各村寨实际，统筹考虑，决定将我县中壤塘镇壤塘村申报为第三批最美古村落，现相关申报资料已按要求上报完毕。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val="0"/>
          <w:bCs/>
          <w:sz w:val="32"/>
          <w:szCs w:val="32"/>
        </w:rPr>
      </w:pPr>
      <w:r>
        <w:rPr>
          <w:rFonts w:hint="eastAsia" w:ascii="仿宋" w:hAnsi="仿宋" w:eastAsia="仿宋" w:cs="仿宋"/>
          <w:b/>
          <w:bCs/>
          <w:sz w:val="32"/>
          <w:szCs w:val="32"/>
          <w:lang w:val="en-US" w:eastAsia="zh-CN"/>
        </w:rPr>
        <w:t>4.百镇试点建设。</w:t>
      </w:r>
      <w:r>
        <w:rPr>
          <w:rFonts w:hint="eastAsia" w:ascii="仿宋" w:hAnsi="仿宋" w:eastAsia="仿宋" w:cs="仿宋"/>
          <w:sz w:val="32"/>
          <w:szCs w:val="32"/>
          <w:lang w:val="en-US" w:eastAsia="zh-CN"/>
        </w:rPr>
        <w:t>根据上级下达资金，年内已启动百镇试点壤塘县中壤塘镇建设项目前期工作，建设内容主要是完</w:t>
      </w:r>
      <w:r>
        <w:rPr>
          <w:rFonts w:hint="eastAsia" w:ascii="仿宋" w:hAnsi="仿宋" w:eastAsia="仿宋" w:cs="仿宋"/>
          <w:sz w:val="32"/>
          <w:szCs w:val="32"/>
        </w:rPr>
        <w:t>善</w:t>
      </w:r>
      <w:r>
        <w:rPr>
          <w:rFonts w:hint="eastAsia" w:ascii="仿宋" w:hAnsi="仿宋" w:eastAsia="仿宋" w:cs="仿宋"/>
          <w:sz w:val="32"/>
          <w:szCs w:val="32"/>
          <w:lang w:eastAsia="zh-CN"/>
        </w:rPr>
        <w:t>、</w:t>
      </w:r>
      <w:r>
        <w:rPr>
          <w:rFonts w:hint="eastAsia" w:ascii="仿宋" w:hAnsi="仿宋" w:eastAsia="仿宋" w:cs="仿宋"/>
          <w:sz w:val="32"/>
          <w:szCs w:val="32"/>
        </w:rPr>
        <w:t>改善</w:t>
      </w:r>
      <w:r>
        <w:rPr>
          <w:rFonts w:hint="eastAsia" w:ascii="仿宋" w:hAnsi="仿宋" w:eastAsia="仿宋" w:cs="仿宋"/>
          <w:sz w:val="32"/>
          <w:szCs w:val="32"/>
          <w:lang w:val="en-US" w:eastAsia="zh-CN"/>
        </w:rPr>
        <w:t>中壤塘镇</w:t>
      </w:r>
      <w:r>
        <w:rPr>
          <w:rFonts w:hint="eastAsia" w:ascii="仿宋" w:hAnsi="仿宋" w:eastAsia="仿宋" w:cs="仿宋"/>
          <w:sz w:val="32"/>
          <w:szCs w:val="32"/>
        </w:rPr>
        <w:t>配套基础设施</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项目建成后将极大</w:t>
      </w:r>
      <w:r>
        <w:rPr>
          <w:rFonts w:hint="eastAsia" w:ascii="仿宋" w:hAnsi="仿宋" w:eastAsia="仿宋" w:cs="仿宋"/>
          <w:sz w:val="32"/>
          <w:szCs w:val="32"/>
        </w:rPr>
        <w:t>改善当地老百姓的生活环境，提高老百姓的生活质量，</w:t>
      </w:r>
      <w:r>
        <w:rPr>
          <w:rFonts w:hint="eastAsia" w:ascii="仿宋" w:hAnsi="仿宋" w:eastAsia="仿宋" w:cs="仿宋"/>
          <w:sz w:val="32"/>
          <w:szCs w:val="32"/>
          <w:lang w:val="en-US" w:eastAsia="zh-CN"/>
        </w:rPr>
        <w:t>提升中壤镇综合竞争力。</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p>
    <w:p>
      <w:pPr>
        <w:pStyle w:val="4"/>
        <w:rPr>
          <w:rStyle w:val="27"/>
          <w:b w:val="0"/>
          <w:bCs w:val="0"/>
        </w:rPr>
      </w:pPr>
      <w:bookmarkStart w:id="17" w:name="_Toc79163855"/>
      <w:bookmarkStart w:id="18" w:name="_Toc79163605"/>
      <w:bookmarkStart w:id="19" w:name="_Toc15377200"/>
      <w:bookmarkStart w:id="20" w:name="_Toc15396601"/>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17"/>
      <w:bookmarkEnd w:id="18"/>
      <w:bookmarkEnd w:id="19"/>
      <w:bookmarkEnd w:id="2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壤塘县住房和城乡建设局下设二级单位2个，其中行政单位1个，参照公务员法管理的事业单位0个，其他事业单位1个。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纳入壤塘县住房和城乡建设局2020年度部门决算编制范围的二级预算单位包括：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1.壤塘县住房和城乡建设局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2.壤塘县住房和城乡建设局质量监督站</w:t>
      </w:r>
    </w:p>
    <w:p>
      <w:pPr>
        <w:pStyle w:val="7"/>
        <w:adjustRightInd w:val="0"/>
        <w:snapToGrid w:val="0"/>
        <w:spacing w:before="93" w:line="600" w:lineRule="exact"/>
        <w:rPr>
          <w:rStyle w:val="26"/>
          <w:rFonts w:ascii="黑体" w:hAnsi="黑体" w:eastAsia="黑体"/>
          <w:b w:val="0"/>
          <w:bCs w:val="0"/>
        </w:rPr>
      </w:pPr>
      <w:r>
        <w:rPr>
          <w:rFonts w:ascii="仿宋" w:hAnsi="仿宋" w:eastAsia="仿宋"/>
          <w:color w:val="000000"/>
          <w:sz w:val="32"/>
          <w:szCs w:val="32"/>
        </w:rPr>
        <w:br w:type="page"/>
      </w:r>
      <w:bookmarkStart w:id="21" w:name="_Toc15377204"/>
      <w:bookmarkStart w:id="22" w:name="_Toc79163609"/>
      <w:bookmarkStart w:id="23" w:name="_Toc79163859"/>
      <w:bookmarkStart w:id="24" w:name="_Toc15396602"/>
      <w:r>
        <w:rPr>
          <w:rFonts w:hint="eastAsia" w:ascii="黑体" w:hAnsi="黑体" w:eastAsia="黑体"/>
          <w:b w:val="0"/>
          <w:color w:val="000000"/>
        </w:rPr>
        <w:t>第二部分</w:t>
      </w:r>
      <w:r>
        <w:rPr>
          <w:rFonts w:ascii="黑体" w:hAnsi="黑体" w:eastAsia="黑体"/>
          <w:color w:val="000000"/>
        </w:rPr>
        <w:t xml:space="preserve"> </w:t>
      </w:r>
      <w:r>
        <w:rPr>
          <w:rStyle w:val="26"/>
          <w:rFonts w:ascii="黑体" w:hAnsi="黑体" w:eastAsia="黑体"/>
          <w:b w:val="0"/>
          <w:bCs w:val="0"/>
        </w:rPr>
        <w:t>2020</w:t>
      </w:r>
      <w:r>
        <w:rPr>
          <w:rStyle w:val="26"/>
          <w:rFonts w:hint="eastAsia" w:ascii="黑体" w:hAnsi="黑体" w:eastAsia="黑体"/>
          <w:b w:val="0"/>
          <w:bCs w:val="0"/>
        </w:rPr>
        <w:t>年度部门决算情况说明</w:t>
      </w:r>
      <w:bookmarkEnd w:id="21"/>
      <w:bookmarkEnd w:id="22"/>
      <w:bookmarkEnd w:id="23"/>
      <w:bookmarkEnd w:id="24"/>
    </w:p>
    <w:p/>
    <w:p>
      <w:pPr>
        <w:pStyle w:val="37"/>
        <w:numPr>
          <w:ilvl w:val="0"/>
          <w:numId w:val="1"/>
        </w:numPr>
        <w:spacing w:line="600" w:lineRule="exact"/>
        <w:ind w:firstLineChars="0"/>
        <w:outlineLvl w:val="1"/>
        <w:rPr>
          <w:rStyle w:val="27"/>
          <w:rFonts w:ascii="黑体" w:hAnsi="黑体" w:eastAsia="黑体"/>
          <w:b w:val="0"/>
        </w:rPr>
      </w:pPr>
      <w:bookmarkStart w:id="25" w:name="_Toc79163860"/>
      <w:bookmarkStart w:id="26" w:name="_Toc15377205"/>
      <w:bookmarkStart w:id="27" w:name="_Toc79163610"/>
      <w:bookmarkStart w:id="28"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5"/>
      <w:bookmarkEnd w:id="26"/>
      <w:bookmarkEnd w:id="27"/>
      <w:bookmarkEnd w:id="28"/>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年度收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13063.82万元，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11358.31</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3546.85万元，增加27.2%；</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出减少</w:t>
      </w:r>
      <w:r>
        <w:rPr>
          <w:rFonts w:hint="eastAsia" w:ascii="仿宋" w:hAnsi="仿宋" w:eastAsia="仿宋"/>
          <w:color w:val="000000"/>
          <w:sz w:val="32"/>
          <w:szCs w:val="32"/>
          <w:lang w:val="en-US" w:eastAsia="zh-CN"/>
        </w:rPr>
        <w:t>2262.53</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新建项目增加，未完工项目较多。</w:t>
      </w:r>
    </w:p>
    <w:p>
      <w:pPr>
        <w:pStyle w:val="20"/>
        <w:keepNext w:val="0"/>
        <w:keepLines w:val="0"/>
        <w:widowControl/>
        <w:suppressLineNumbers w:val="0"/>
        <w:spacing w:before="408" w:beforeAutospacing="0" w:after="106" w:afterAutospacing="0" w:line="30" w:lineRule="atLeast"/>
        <w:ind w:right="0" w:firstLine="1680" w:firstLineChars="700"/>
        <w:jc w:val="both"/>
        <w:rPr>
          <w:rFonts w:hint="eastAsia" w:ascii="宋体" w:hAnsi="宋体" w:eastAsia="宋体" w:cs="宋体"/>
          <w:sz w:val="24"/>
          <w:szCs w:val="24"/>
        </w:rPr>
      </w:pPr>
      <w:r>
        <w:rPr>
          <w:rFonts w:hint="eastAsia" w:ascii="宋体" w:hAnsi="宋体" w:eastAsia="宋体" w:cs="宋体"/>
          <w:color w:val="333333"/>
          <w:sz w:val="24"/>
          <w:szCs w:val="24"/>
          <w:shd w:val="clear" w:fill="FFFFFF"/>
        </w:rPr>
        <w:t>（图1：收、支决算总计变动情况图）（柱状图）</w:t>
      </w:r>
    </w:p>
    <w:p>
      <w:pPr>
        <w:rPr>
          <w:rFonts w:hint="default"/>
          <w:lang w:val="en-US" w:eastAsia="zh-CN"/>
        </w:rPr>
      </w:pPr>
    </w:p>
    <w:p>
      <w:pPr>
        <w:pStyle w:val="2"/>
        <w:ind w:left="0" w:leftChars="0" w:firstLine="0" w:firstLineChars="0"/>
        <w:rPr>
          <w:rFonts w:ascii="仿宋_GB2312" w:eastAsia="仿宋_GB2312"/>
          <w:color w:val="000000"/>
          <w:sz w:val="32"/>
          <w:szCs w:val="32"/>
        </w:rPr>
      </w:pPr>
    </w:p>
    <w:p>
      <w:pPr>
        <w:pStyle w:val="2"/>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drawing>
          <wp:inline distT="0" distB="0" distL="114300" distR="114300">
            <wp:extent cx="5080000" cy="381000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rPr>
          <w:rFonts w:ascii="仿宋_GB2312" w:eastAsia="仿宋_GB2312"/>
          <w:color w:val="000000"/>
          <w:sz w:val="32"/>
          <w:szCs w:val="32"/>
        </w:rPr>
      </w:pPr>
    </w:p>
    <w:p>
      <w:pPr>
        <w:pStyle w:val="2"/>
        <w:rPr>
          <w:rFonts w:ascii="仿宋_GB2312" w:eastAsia="仿宋_GB2312"/>
          <w:color w:val="000000"/>
          <w:sz w:val="32"/>
          <w:szCs w:val="32"/>
        </w:rPr>
      </w:pPr>
    </w:p>
    <w:p>
      <w:pPr>
        <w:rPr>
          <w:rFonts w:ascii="仿宋_GB2312" w:eastAsia="仿宋_GB2312"/>
          <w:color w:val="000000"/>
          <w:sz w:val="32"/>
          <w:szCs w:val="32"/>
        </w:rPr>
      </w:pPr>
    </w:p>
    <w:p>
      <w:pPr>
        <w:pStyle w:val="2"/>
        <w:rPr>
          <w:rFonts w:ascii="仿宋_GB2312" w:eastAsia="仿宋_GB2312"/>
          <w:color w:val="000000"/>
          <w:sz w:val="32"/>
          <w:szCs w:val="32"/>
        </w:rPr>
      </w:pPr>
    </w:p>
    <w:p/>
    <w:p>
      <w:pPr>
        <w:pStyle w:val="37"/>
        <w:numPr>
          <w:ilvl w:val="0"/>
          <w:numId w:val="1"/>
        </w:numPr>
        <w:spacing w:line="600" w:lineRule="exact"/>
        <w:ind w:firstLineChars="0"/>
        <w:outlineLvl w:val="1"/>
        <w:rPr>
          <w:rStyle w:val="27"/>
          <w:rFonts w:ascii="黑体" w:hAnsi="黑体" w:eastAsia="黑体"/>
          <w:b w:val="0"/>
        </w:rPr>
      </w:pPr>
      <w:bookmarkStart w:id="29" w:name="_Toc79163611"/>
      <w:bookmarkStart w:id="30" w:name="_Toc15396604"/>
      <w:bookmarkStart w:id="31" w:name="_Toc15377206"/>
      <w:bookmarkStart w:id="32" w:name="_Toc79163861"/>
      <w:r>
        <w:rPr>
          <w:rFonts w:hint="eastAsia" w:ascii="黑体" w:hAnsi="黑体" w:eastAsia="黑体"/>
          <w:color w:val="000000"/>
          <w:sz w:val="32"/>
          <w:szCs w:val="32"/>
        </w:rPr>
        <w:t>收</w:t>
      </w:r>
      <w:r>
        <w:rPr>
          <w:rStyle w:val="27"/>
          <w:rFonts w:hint="eastAsia" w:ascii="黑体" w:hAnsi="黑体" w:eastAsia="黑体"/>
          <w:b w:val="0"/>
        </w:rPr>
        <w:t>入决算情况说明</w:t>
      </w:r>
      <w:bookmarkEnd w:id="29"/>
      <w:bookmarkEnd w:id="30"/>
      <w:bookmarkEnd w:id="31"/>
      <w:bookmarkEnd w:id="32"/>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13063.82</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13063.82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2"/>
      </w:pPr>
    </w:p>
    <w:p>
      <w:pPr>
        <w:spacing w:line="600" w:lineRule="exact"/>
        <w:ind w:firstLine="640" w:firstLineChars="200"/>
        <w:rPr>
          <w:rFonts w:ascii="仿宋_GB2312" w:eastAsia="仿宋_GB2312"/>
          <w:color w:val="FF0000"/>
          <w:sz w:val="32"/>
          <w:szCs w:val="32"/>
        </w:rPr>
      </w:pPr>
    </w:p>
    <w:p>
      <w:pPr>
        <w:pStyle w:val="2"/>
        <w:rPr>
          <w:rFonts w:ascii="仿宋_GB2312" w:eastAsia="仿宋_GB2312"/>
          <w:color w:val="FF0000"/>
          <w:sz w:val="32"/>
          <w:szCs w:val="32"/>
        </w:rPr>
      </w:pPr>
    </w:p>
    <w:p>
      <w:pPr>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5080000" cy="381000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
        <w:rPr>
          <w:rFonts w:ascii="仿宋_GB2312" w:eastAsia="仿宋_GB2312"/>
          <w:color w:val="FF0000"/>
          <w:sz w:val="32"/>
          <w:szCs w:val="32"/>
        </w:rPr>
      </w:pPr>
    </w:p>
    <w:p>
      <w:pPr>
        <w:rPr>
          <w:rFonts w:ascii="仿宋_GB2312" w:eastAsia="仿宋_GB2312"/>
          <w:color w:val="FF0000"/>
          <w:sz w:val="32"/>
          <w:szCs w:val="32"/>
        </w:rPr>
      </w:pPr>
    </w:p>
    <w:p>
      <w:pPr>
        <w:pStyle w:val="2"/>
        <w:rPr>
          <w:rFonts w:ascii="仿宋_GB2312" w:eastAsia="仿宋_GB2312"/>
          <w:color w:val="FF0000"/>
          <w:sz w:val="32"/>
          <w:szCs w:val="32"/>
        </w:rPr>
      </w:pPr>
    </w:p>
    <w:p/>
    <w:p>
      <w:pPr>
        <w:pStyle w:val="37"/>
        <w:numPr>
          <w:ilvl w:val="0"/>
          <w:numId w:val="1"/>
        </w:numPr>
        <w:spacing w:line="600" w:lineRule="exact"/>
        <w:ind w:firstLineChars="0"/>
        <w:outlineLvl w:val="1"/>
        <w:rPr>
          <w:rStyle w:val="27"/>
          <w:rFonts w:ascii="黑体" w:hAnsi="黑体" w:eastAsia="黑体"/>
          <w:b w:val="0"/>
        </w:rPr>
      </w:pPr>
      <w:bookmarkStart w:id="33" w:name="_Toc15396605"/>
      <w:bookmarkStart w:id="34" w:name="_Toc79163612"/>
      <w:bookmarkStart w:id="35" w:name="_Toc15377207"/>
      <w:bookmarkStart w:id="36" w:name="_Toc79163862"/>
      <w:r>
        <w:rPr>
          <w:rFonts w:hint="eastAsia" w:ascii="黑体" w:hAnsi="黑体" w:eastAsia="黑体"/>
          <w:color w:val="000000"/>
          <w:sz w:val="32"/>
          <w:szCs w:val="32"/>
        </w:rPr>
        <w:t>支</w:t>
      </w:r>
      <w:r>
        <w:rPr>
          <w:rStyle w:val="27"/>
          <w:rFonts w:hint="eastAsia" w:ascii="黑体" w:hAnsi="黑体" w:eastAsia="黑体"/>
          <w:b w:val="0"/>
        </w:rPr>
        <w:t>出决算情况说明</w:t>
      </w:r>
      <w:bookmarkEnd w:id="33"/>
      <w:bookmarkEnd w:id="34"/>
      <w:bookmarkEnd w:id="35"/>
      <w:bookmarkEnd w:id="36"/>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2020年本年支出合计</w:t>
      </w:r>
      <w:r>
        <w:rPr>
          <w:rFonts w:hint="eastAsia" w:ascii="仿宋" w:hAnsi="仿宋" w:eastAsia="仿宋" w:cs="仿宋"/>
          <w:sz w:val="32"/>
          <w:szCs w:val="32"/>
          <w:lang w:val="en-US" w:eastAsia="zh-CN"/>
        </w:rPr>
        <w:t>11358.31</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230.78</w:t>
      </w:r>
      <w:r>
        <w:rPr>
          <w:rFonts w:hint="eastAsia" w:ascii="仿宋" w:hAnsi="仿宋" w:eastAsia="仿宋" w:cs="仿宋"/>
          <w:sz w:val="32"/>
          <w:szCs w:val="32"/>
        </w:rPr>
        <w:t>万元，占</w:t>
      </w:r>
      <w:r>
        <w:rPr>
          <w:rFonts w:hint="eastAsia" w:ascii="仿宋" w:hAnsi="仿宋" w:eastAsia="仿宋" w:cs="仿宋"/>
          <w:sz w:val="32"/>
          <w:szCs w:val="32"/>
          <w:lang w:val="en-US" w:eastAsia="zh-CN"/>
        </w:rPr>
        <w:t>2</w:t>
      </w:r>
      <w:r>
        <w:rPr>
          <w:rFonts w:hint="eastAsia" w:ascii="仿宋" w:hAnsi="仿宋" w:eastAsia="仿宋" w:cs="仿宋"/>
          <w:sz w:val="32"/>
          <w:szCs w:val="32"/>
        </w:rPr>
        <w:t>%；项目支出</w:t>
      </w:r>
      <w:r>
        <w:rPr>
          <w:rFonts w:hint="eastAsia" w:ascii="仿宋" w:hAnsi="仿宋" w:eastAsia="仿宋" w:cs="仿宋"/>
          <w:sz w:val="32"/>
          <w:szCs w:val="32"/>
          <w:lang w:val="en-US" w:eastAsia="zh-CN"/>
        </w:rPr>
        <w:t>11127.53</w:t>
      </w:r>
      <w:r>
        <w:rPr>
          <w:rFonts w:hint="eastAsia" w:ascii="仿宋" w:hAnsi="仿宋" w:eastAsia="仿宋" w:cs="仿宋"/>
          <w:sz w:val="32"/>
          <w:szCs w:val="32"/>
        </w:rPr>
        <w:t>万元，占</w:t>
      </w:r>
      <w:r>
        <w:rPr>
          <w:rFonts w:hint="eastAsia" w:ascii="仿宋" w:hAnsi="仿宋" w:eastAsia="仿宋" w:cs="仿宋"/>
          <w:sz w:val="32"/>
          <w:szCs w:val="32"/>
          <w:lang w:val="en-US" w:eastAsia="zh-CN"/>
        </w:rPr>
        <w:t>98</w:t>
      </w:r>
      <w:r>
        <w:rPr>
          <w:rFonts w:hint="eastAsia" w:ascii="仿宋" w:hAnsi="仿宋" w:eastAsia="仿宋" w:cs="仿宋"/>
          <w:sz w:val="32"/>
          <w:szCs w:val="32"/>
        </w:rPr>
        <w:t>%；</w:t>
      </w:r>
    </w:p>
    <w:p>
      <w:pPr>
        <w:spacing w:line="600" w:lineRule="exact"/>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rPr>
          <w:rFonts w:hint="eastAsia" w:ascii="仿宋" w:hAnsi="仿宋" w:eastAsia="仿宋"/>
          <w:color w:val="000000"/>
          <w:sz w:val="32"/>
          <w:szCs w:val="32"/>
        </w:rPr>
      </w:pPr>
    </w:p>
    <w:p>
      <w:pPr>
        <w:pStyle w:val="2"/>
        <w:rPr>
          <w:rFonts w:hint="eastAsia" w:eastAsia="仿宋"/>
          <w:lang w:eastAsia="zh-CN"/>
        </w:rPr>
      </w:pPr>
      <w:r>
        <w:rPr>
          <w:rFonts w:hint="eastAsia" w:eastAsia="仿宋"/>
          <w:lang w:eastAsia="zh-CN"/>
        </w:rPr>
        <w:drawing>
          <wp:inline distT="0" distB="0" distL="114300" distR="114300">
            <wp:extent cx="5080000" cy="3810000"/>
            <wp:effectExtent l="4445" t="4445" r="2095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7"/>
          <w:rFonts w:ascii="黑体" w:hAnsi="黑体" w:eastAsia="黑体"/>
          <w:b w:val="0"/>
        </w:rPr>
      </w:pPr>
      <w:bookmarkStart w:id="37" w:name="_Toc79163863"/>
      <w:bookmarkStart w:id="38" w:name="_Toc79163613"/>
      <w:bookmarkStart w:id="39" w:name="_Toc15377208"/>
      <w:bookmarkStart w:id="40" w:name="_Toc15396606"/>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7"/>
      <w:bookmarkEnd w:id="38"/>
      <w:bookmarkEnd w:id="39"/>
      <w:bookmarkEnd w:id="40"/>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年度</w:t>
      </w:r>
      <w:r>
        <w:rPr>
          <w:rFonts w:hint="eastAsia" w:ascii="仿宋" w:hAnsi="仿宋" w:eastAsia="仿宋"/>
          <w:color w:val="000000"/>
          <w:sz w:val="32"/>
          <w:szCs w:val="32"/>
          <w:lang w:eastAsia="zh-CN"/>
        </w:rPr>
        <w:t>财政拨款</w:t>
      </w:r>
      <w:r>
        <w:rPr>
          <w:rFonts w:hint="eastAsia" w:ascii="仿宋" w:hAnsi="仿宋" w:eastAsia="仿宋"/>
          <w:color w:val="000000"/>
          <w:sz w:val="32"/>
          <w:szCs w:val="32"/>
        </w:rPr>
        <w:t>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13063.82万元，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11358.31</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3546.85万元，增加27.2%；</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出减少</w:t>
      </w:r>
      <w:r>
        <w:rPr>
          <w:rFonts w:hint="eastAsia" w:ascii="仿宋" w:hAnsi="仿宋" w:eastAsia="仿宋"/>
          <w:color w:val="000000"/>
          <w:sz w:val="32"/>
          <w:szCs w:val="32"/>
          <w:lang w:val="en-US" w:eastAsia="zh-CN"/>
        </w:rPr>
        <w:t>2262.53</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新建项目增加，未完工项目较多。</w:t>
      </w:r>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p>
    <w:p>
      <w:pPr>
        <w:pStyle w:val="2"/>
        <w:rPr>
          <w:rFonts w:ascii="仿宋" w:hAnsi="仿宋" w:eastAsia="仿宋"/>
          <w:b/>
          <w:color w:val="00B050"/>
          <w:sz w:val="32"/>
          <w:szCs w:val="32"/>
        </w:rPr>
      </w:pPr>
    </w:p>
    <w:p>
      <w:pPr>
        <w:rPr>
          <w:rFonts w:ascii="仿宋" w:hAnsi="仿宋" w:eastAsia="仿宋"/>
          <w:b/>
          <w:color w:val="00B050"/>
          <w:sz w:val="32"/>
          <w:szCs w:val="32"/>
        </w:rPr>
      </w:pPr>
      <w:r>
        <w:rPr>
          <w:rFonts w:hint="eastAsia" w:ascii="仿宋_GB2312" w:eastAsia="仿宋_GB2312"/>
          <w:color w:val="000000"/>
          <w:sz w:val="32"/>
          <w:szCs w:val="32"/>
          <w:lang w:eastAsia="zh-CN"/>
        </w:rPr>
        <w:drawing>
          <wp:inline distT="0" distB="0" distL="114300" distR="114300">
            <wp:extent cx="5080000" cy="3810000"/>
            <wp:effectExtent l="4445" t="4445" r="20955" b="1460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
      <w:pPr>
        <w:spacing w:line="600" w:lineRule="exact"/>
        <w:ind w:firstLine="640" w:firstLineChars="200"/>
        <w:outlineLvl w:val="1"/>
        <w:rPr>
          <w:rStyle w:val="27"/>
          <w:rFonts w:ascii="黑体" w:hAnsi="黑体" w:eastAsia="黑体"/>
          <w:b w:val="0"/>
        </w:rPr>
      </w:pPr>
      <w:bookmarkStart w:id="41" w:name="_Toc79163864"/>
      <w:bookmarkStart w:id="42" w:name="_Toc15377209"/>
      <w:bookmarkStart w:id="43" w:name="_Toc15396607"/>
      <w:bookmarkStart w:id="44"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41"/>
      <w:bookmarkEnd w:id="42"/>
      <w:bookmarkEnd w:id="43"/>
      <w:bookmarkEnd w:id="44"/>
    </w:p>
    <w:p>
      <w:pPr>
        <w:spacing w:line="600" w:lineRule="exact"/>
        <w:ind w:firstLine="643" w:firstLineChars="200"/>
        <w:outlineLvl w:val="2"/>
        <w:rPr>
          <w:rFonts w:ascii="仿宋" w:hAnsi="仿宋" w:eastAsia="仿宋"/>
          <w:b/>
          <w:color w:val="000000"/>
          <w:sz w:val="32"/>
          <w:szCs w:val="32"/>
        </w:rPr>
      </w:pPr>
      <w:bookmarkStart w:id="45" w:name="_Toc79163865"/>
      <w:bookmarkStart w:id="46" w:name="_Toc79163615"/>
      <w:bookmarkStart w:id="47" w:name="_Toc15377210"/>
      <w:r>
        <w:rPr>
          <w:rFonts w:hint="eastAsia" w:ascii="仿宋" w:hAnsi="仿宋" w:eastAsia="仿宋"/>
          <w:b/>
          <w:color w:val="000000"/>
          <w:sz w:val="32"/>
          <w:szCs w:val="32"/>
        </w:rPr>
        <w:t>（一）一般公共预算财政拨款支出决算总体情况</w:t>
      </w:r>
      <w:bookmarkEnd w:id="45"/>
      <w:bookmarkEnd w:id="46"/>
      <w:bookmarkEnd w:id="47"/>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11358.31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年相比，一般公共预算财政拨款减少</w:t>
      </w:r>
      <w:r>
        <w:rPr>
          <w:rFonts w:hint="eastAsia" w:ascii="仿宋" w:hAnsi="仿宋" w:eastAsia="仿宋"/>
          <w:color w:val="000000"/>
          <w:sz w:val="32"/>
          <w:szCs w:val="32"/>
          <w:lang w:val="en-US" w:eastAsia="zh-CN"/>
        </w:rPr>
        <w:t>2262.52</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未完工项目较多。</w:t>
      </w:r>
    </w:p>
    <w:p>
      <w:pPr>
        <w:spacing w:line="600" w:lineRule="exact"/>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pStyle w:val="2"/>
      </w:pPr>
    </w:p>
    <w:p/>
    <w:p>
      <w:pPr>
        <w:pStyle w:val="2"/>
      </w:pPr>
    </w:p>
    <w:p>
      <w:pPr>
        <w:rPr>
          <w:rFonts w:hint="eastAsia" w:eastAsia="宋体"/>
          <w:lang w:eastAsia="zh-CN"/>
        </w:rPr>
      </w:pPr>
      <w:r>
        <w:rPr>
          <w:rFonts w:hint="eastAsia" w:eastAsia="宋体"/>
          <w:lang w:eastAsia="zh-CN"/>
        </w:rPr>
        <w:drawing>
          <wp:inline distT="0" distB="0" distL="114300" distR="114300">
            <wp:extent cx="5080000" cy="3810000"/>
            <wp:effectExtent l="4445" t="4445" r="20955"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pPr>
    </w:p>
    <w:p/>
    <w:p>
      <w:pPr>
        <w:pStyle w:val="2"/>
      </w:pPr>
    </w:p>
    <w:p/>
    <w:p>
      <w:pPr>
        <w:spacing w:line="600" w:lineRule="exact"/>
        <w:ind w:firstLine="643" w:firstLineChars="200"/>
        <w:outlineLvl w:val="2"/>
        <w:rPr>
          <w:rFonts w:ascii="仿宋" w:hAnsi="仿宋" w:eastAsia="仿宋"/>
          <w:b/>
          <w:color w:val="000000"/>
          <w:sz w:val="32"/>
          <w:szCs w:val="32"/>
        </w:rPr>
      </w:pPr>
      <w:bookmarkStart w:id="48" w:name="_Toc15377211"/>
      <w:bookmarkStart w:id="49" w:name="_Toc79163616"/>
      <w:bookmarkStart w:id="50" w:name="_Toc79163866"/>
      <w:r>
        <w:rPr>
          <w:rFonts w:hint="eastAsia" w:ascii="仿宋" w:hAnsi="仿宋" w:eastAsia="仿宋"/>
          <w:b/>
          <w:color w:val="000000"/>
          <w:sz w:val="32"/>
          <w:szCs w:val="32"/>
        </w:rPr>
        <w:t>（二）一般公共预算财政拨款支出决算结构情况</w:t>
      </w:r>
      <w:bookmarkEnd w:id="48"/>
      <w:bookmarkEnd w:id="49"/>
      <w:bookmarkEnd w:id="50"/>
    </w:p>
    <w:p>
      <w:pPr>
        <w:spacing w:line="600" w:lineRule="exact"/>
        <w:ind w:firstLine="640"/>
        <w:rPr>
          <w:rFonts w:hint="default" w:ascii="仿宋" w:hAnsi="仿宋" w:eastAsia="仿宋"/>
          <w:b/>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11358.31</w:t>
      </w:r>
      <w:r>
        <w:rPr>
          <w:rFonts w:hint="eastAsia" w:ascii="仿宋" w:hAnsi="仿宋" w:eastAsia="仿宋"/>
          <w:color w:val="000000"/>
          <w:sz w:val="32"/>
          <w:szCs w:val="32"/>
        </w:rPr>
        <w:t>万元，主要用于以下方面</w:t>
      </w:r>
      <w:r>
        <w:rPr>
          <w:rFonts w:hint="eastAsia" w:ascii="仿宋" w:hAnsi="仿宋" w:eastAsia="仿宋"/>
          <w:color w:val="000000"/>
          <w:sz w:val="32"/>
          <w:szCs w:val="32"/>
          <w:lang w:eastAsia="zh-CN"/>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14.76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b/>
          <w:bCs/>
          <w:color w:val="000000"/>
          <w:sz w:val="32"/>
          <w:szCs w:val="32"/>
          <w:lang w:val="en-US" w:eastAsia="zh-CN"/>
        </w:rPr>
        <w:t>6.55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节能环保支出</w:t>
      </w:r>
      <w:r>
        <w:rPr>
          <w:rFonts w:hint="eastAsia" w:ascii="仿宋" w:hAnsi="仿宋" w:eastAsia="仿宋"/>
          <w:color w:val="000000"/>
          <w:sz w:val="32"/>
          <w:szCs w:val="32"/>
          <w:lang w:val="en-US" w:eastAsia="zh-CN"/>
        </w:rPr>
        <w:t>110.24万元，占1%；城乡社区支出5112.83万元，占45%；农林水支出1760.72万元，占15.4%；住房保障支出3941.20万元，占34.6%；其他支出412.00万元，占3.7%；</w:t>
      </w:r>
    </w:p>
    <w:p>
      <w:pPr>
        <w:spacing w:line="600" w:lineRule="exact"/>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pStyle w:val="2"/>
        <w:rPr>
          <w:rFonts w:hint="eastAsia" w:ascii="仿宋" w:hAnsi="仿宋" w:eastAsia="仿宋"/>
          <w:color w:val="000000"/>
          <w:sz w:val="32"/>
          <w:szCs w:val="32"/>
        </w:rPr>
      </w:pPr>
    </w:p>
    <w:p>
      <w:pPr>
        <w:rPr>
          <w:rFonts w:hint="eastAsia" w:ascii="仿宋" w:hAnsi="仿宋" w:eastAsia="仿宋"/>
          <w:color w:val="000000"/>
          <w:sz w:val="32"/>
          <w:szCs w:val="32"/>
        </w:rPr>
      </w:pPr>
    </w:p>
    <w:p>
      <w:pPr>
        <w:pStyle w:val="2"/>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5080000" cy="3810000"/>
            <wp:effectExtent l="4445" t="4445" r="20955" b="1460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rPr>
          <w:rFonts w:hint="eastAsia" w:eastAsia="仿宋"/>
          <w:lang w:eastAsia="zh-CN"/>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1" w:name="_Toc15377212"/>
      <w:bookmarkStart w:id="52" w:name="_Toc79163617"/>
      <w:bookmarkStart w:id="53" w:name="_Toc79163867"/>
      <w:r>
        <w:rPr>
          <w:rFonts w:hint="eastAsia" w:ascii="仿宋" w:hAnsi="仿宋" w:eastAsia="仿宋"/>
          <w:b/>
          <w:color w:val="000000"/>
          <w:sz w:val="32"/>
          <w:szCs w:val="32"/>
        </w:rPr>
        <w:t>（三）一般公共预算财政拨款支出决算具体情况</w:t>
      </w:r>
      <w:bookmarkEnd w:id="51"/>
      <w:bookmarkEnd w:id="52"/>
      <w:bookmarkEnd w:id="53"/>
    </w:p>
    <w:p>
      <w:pPr>
        <w:spacing w:line="600" w:lineRule="exact"/>
        <w:ind w:firstLine="640" w:firstLineChars="200"/>
        <w:rPr>
          <w:rFonts w:hint="eastAsia" w:ascii="仿宋" w:hAnsi="仿宋" w:eastAsia="仿宋" w:cs="仿宋"/>
          <w:b w:val="0"/>
          <w:bCs w:val="0"/>
          <w:sz w:val="32"/>
          <w:szCs w:val="32"/>
        </w:rPr>
      </w:pPr>
      <w:bookmarkStart w:id="54" w:name="_Toc15378460"/>
      <w:bookmarkStart w:id="55" w:name="_Toc15377213"/>
      <w:bookmarkStart w:id="56" w:name="_Toc15377444"/>
      <w:r>
        <w:rPr>
          <w:rFonts w:hint="eastAsia" w:ascii="仿宋" w:hAnsi="仿宋" w:eastAsia="仿宋" w:cs="仿宋"/>
          <w:b w:val="0"/>
          <w:bCs w:val="0"/>
          <w:sz w:val="32"/>
          <w:szCs w:val="32"/>
        </w:rPr>
        <w:t>2020年一般公共预算支出决算数为</w:t>
      </w:r>
      <w:r>
        <w:rPr>
          <w:rFonts w:hint="eastAsia" w:ascii="仿宋" w:hAnsi="仿宋" w:eastAsia="仿宋" w:cs="仿宋"/>
          <w:b w:val="0"/>
          <w:bCs w:val="0"/>
          <w:sz w:val="32"/>
          <w:szCs w:val="32"/>
          <w:lang w:val="en-US" w:eastAsia="zh-CN"/>
        </w:rPr>
        <w:t>11358.31万元</w:t>
      </w:r>
      <w:r>
        <w:rPr>
          <w:rFonts w:hint="eastAsia" w:ascii="仿宋" w:hAnsi="仿宋" w:eastAsia="仿宋" w:cs="仿宋"/>
          <w:b w:val="0"/>
          <w:bCs w:val="0"/>
          <w:sz w:val="32"/>
          <w:szCs w:val="32"/>
        </w:rPr>
        <w:t>，完成预算</w:t>
      </w:r>
      <w:r>
        <w:rPr>
          <w:rFonts w:hint="eastAsia" w:ascii="仿宋" w:hAnsi="仿宋" w:eastAsia="仿宋" w:cs="仿宋"/>
          <w:b w:val="0"/>
          <w:bCs w:val="0"/>
          <w:sz w:val="32"/>
          <w:szCs w:val="32"/>
          <w:lang w:val="en-US" w:eastAsia="zh-CN"/>
        </w:rPr>
        <w:t>100</w:t>
      </w:r>
      <w:r>
        <w:rPr>
          <w:rFonts w:hint="eastAsia" w:ascii="仿宋" w:hAnsi="仿宋" w:eastAsia="仿宋" w:cs="仿宋"/>
          <w:b w:val="0"/>
          <w:bCs w:val="0"/>
          <w:sz w:val="32"/>
          <w:szCs w:val="32"/>
        </w:rPr>
        <w:t>%。其中：</w:t>
      </w:r>
      <w:bookmarkEnd w:id="54"/>
      <w:bookmarkEnd w:id="55"/>
      <w:bookmarkEnd w:id="56"/>
    </w:p>
    <w:p>
      <w:pPr>
        <w:numPr>
          <w:ilvl w:val="0"/>
          <w:numId w:val="2"/>
        </w:numPr>
        <w:spacing w:line="600" w:lineRule="exact"/>
        <w:ind w:left="481" w:leftChars="0" w:firstLine="0" w:firstLineChars="0"/>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社会保障和就业支出（类）行政事业单位养老支出（款）决算为14.76万元，其中机关事业单位基本养老保险缴费支出（项）支出决算数为9.97万元，完成预算100%，决算等于预算数；机关事业单位职业年金缴费支出4.79万元，完成预算100%，决算等于预算数。</w:t>
      </w:r>
    </w:p>
    <w:p>
      <w:pPr>
        <w:pStyle w:val="2"/>
        <w:numPr>
          <w:ilvl w:val="0"/>
          <w:numId w:val="2"/>
        </w:numPr>
        <w:ind w:left="481" w:leftChars="0"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color w:val="333333"/>
          <w:sz w:val="32"/>
          <w:szCs w:val="32"/>
          <w:shd w:val="clear" w:fill="FFFFFF"/>
        </w:rPr>
        <w:t>卫生健康（类）行政</w:t>
      </w:r>
      <w:r>
        <w:rPr>
          <w:rFonts w:hint="eastAsia" w:ascii="仿宋" w:hAnsi="仿宋" w:eastAsia="仿宋" w:cs="仿宋"/>
          <w:b w:val="0"/>
          <w:bCs w:val="0"/>
          <w:color w:val="333333"/>
          <w:sz w:val="32"/>
          <w:szCs w:val="32"/>
          <w:shd w:val="clear" w:fill="FFFFFF"/>
          <w:lang w:eastAsia="zh-CN"/>
        </w:rPr>
        <w:t>事业</w:t>
      </w:r>
      <w:r>
        <w:rPr>
          <w:rFonts w:hint="eastAsia" w:ascii="仿宋" w:hAnsi="仿宋" w:eastAsia="仿宋" w:cs="仿宋"/>
          <w:b w:val="0"/>
          <w:bCs w:val="0"/>
          <w:color w:val="333333"/>
          <w:sz w:val="32"/>
          <w:szCs w:val="32"/>
          <w:shd w:val="clear" w:fill="FFFFFF"/>
        </w:rPr>
        <w:t>单位医疗（款）行政单位医疗</w:t>
      </w:r>
      <w:r>
        <w:rPr>
          <w:rFonts w:hint="eastAsia" w:ascii="仿宋" w:hAnsi="仿宋" w:eastAsia="仿宋" w:cs="仿宋"/>
          <w:b w:val="0"/>
          <w:bCs w:val="0"/>
          <w:color w:val="333333"/>
          <w:sz w:val="32"/>
          <w:szCs w:val="32"/>
          <w:shd w:val="clear" w:fill="FFFFFF"/>
          <w:lang w:eastAsia="zh-CN"/>
        </w:rPr>
        <w:t>（项）：</w:t>
      </w:r>
      <w:r>
        <w:rPr>
          <w:rFonts w:hint="eastAsia" w:ascii="仿宋" w:hAnsi="仿宋" w:eastAsia="仿宋" w:cs="仿宋"/>
          <w:b w:val="0"/>
          <w:bCs w:val="0"/>
          <w:color w:val="333333"/>
          <w:sz w:val="32"/>
          <w:szCs w:val="32"/>
          <w:shd w:val="clear" w:fill="FFFFFF"/>
        </w:rPr>
        <w:t>支出决算为</w:t>
      </w:r>
      <w:r>
        <w:rPr>
          <w:rFonts w:hint="eastAsia" w:ascii="仿宋" w:hAnsi="仿宋" w:eastAsia="仿宋" w:cs="仿宋"/>
          <w:b w:val="0"/>
          <w:bCs w:val="0"/>
          <w:color w:val="333333"/>
          <w:sz w:val="32"/>
          <w:szCs w:val="32"/>
          <w:shd w:val="clear" w:fill="FFFFFF"/>
          <w:lang w:val="en-US" w:eastAsia="zh-CN"/>
        </w:rPr>
        <w:t>6.55</w:t>
      </w:r>
      <w:r>
        <w:rPr>
          <w:rFonts w:hint="eastAsia" w:ascii="仿宋" w:hAnsi="仿宋" w:eastAsia="仿宋" w:cs="仿宋"/>
          <w:b w:val="0"/>
          <w:bCs w:val="0"/>
          <w:color w:val="333333"/>
          <w:sz w:val="32"/>
          <w:szCs w:val="32"/>
          <w:shd w:val="clear" w:fill="FFFFFF"/>
        </w:rPr>
        <w:t>万元，完成预算100%，决算数等于预算数。</w:t>
      </w:r>
    </w:p>
    <w:p>
      <w:pPr>
        <w:numPr>
          <w:ilvl w:val="0"/>
          <w:numId w:val="2"/>
        </w:numPr>
        <w:ind w:left="481" w:leftChars="0" w:firstLine="0" w:firstLineChars="0"/>
        <w:rPr>
          <w:rFonts w:hint="eastAsia" w:ascii="仿宋" w:hAnsi="仿宋" w:eastAsia="仿宋" w:cs="仿宋"/>
          <w:b w:val="0"/>
          <w:bCs w:val="0"/>
          <w:color w:val="333333"/>
          <w:sz w:val="32"/>
          <w:szCs w:val="32"/>
          <w:shd w:val="clear" w:fill="FFFFFF"/>
          <w:lang w:val="en-US" w:eastAsia="zh-CN"/>
        </w:rPr>
      </w:pPr>
      <w:r>
        <w:rPr>
          <w:rFonts w:hint="eastAsia" w:ascii="仿宋" w:hAnsi="仿宋" w:eastAsia="仿宋" w:cs="仿宋"/>
          <w:b w:val="0"/>
          <w:bCs w:val="0"/>
          <w:color w:val="333333"/>
          <w:sz w:val="32"/>
          <w:szCs w:val="32"/>
          <w:shd w:val="clear" w:fill="FFFFFF"/>
          <w:lang w:val="en-US" w:eastAsia="zh-CN"/>
        </w:rPr>
        <w:t>节能环保支出（类）自然生态保护（款）生态保护（项）支出决算数为110.24万元，完成预算100%，决算数等于预算数。</w:t>
      </w:r>
    </w:p>
    <w:p>
      <w:pPr>
        <w:pStyle w:val="2"/>
        <w:numPr>
          <w:ilvl w:val="0"/>
          <w:numId w:val="0"/>
        </w:numPr>
        <w:ind w:left="640" w:leftChars="0"/>
        <w:rPr>
          <w:rFonts w:hint="eastAsia" w:ascii="仿宋" w:hAnsi="仿宋" w:eastAsia="仿宋" w:cs="仿宋"/>
          <w:b w:val="0"/>
          <w:bCs w:val="0"/>
          <w:color w:val="FF0000"/>
          <w:sz w:val="32"/>
          <w:szCs w:val="32"/>
        </w:rPr>
      </w:pPr>
      <w:r>
        <w:rPr>
          <w:rFonts w:hint="eastAsia" w:ascii="仿宋" w:hAnsi="仿宋" w:eastAsia="仿宋" w:cs="仿宋"/>
          <w:b w:val="0"/>
          <w:bCs w:val="0"/>
          <w:sz w:val="32"/>
          <w:szCs w:val="32"/>
          <w:lang w:val="en-US" w:eastAsia="zh-CN"/>
        </w:rPr>
        <w:t>4、城乡社区支出（类）城乡社区管理事务（款）行政运行（项）支出决算数为196.45万元，完成预算100%，决算数等于预算数；城乡社区规划与管理（款）城乡社区规划与管理（项）支出决算数为259.00万元，</w:t>
      </w:r>
      <w:r>
        <w:rPr>
          <w:rFonts w:hint="eastAsia" w:ascii="仿宋" w:hAnsi="仿宋" w:eastAsia="仿宋" w:cs="仿宋"/>
          <w:b w:val="0"/>
          <w:bCs w:val="0"/>
          <w:color w:val="000000"/>
          <w:sz w:val="32"/>
          <w:szCs w:val="32"/>
          <w:lang w:eastAsia="zh-CN"/>
        </w:rPr>
        <w:t>完成预算</w:t>
      </w:r>
      <w:r>
        <w:rPr>
          <w:rFonts w:hint="eastAsia" w:ascii="仿宋" w:hAnsi="仿宋" w:eastAsia="仿宋" w:cs="仿宋"/>
          <w:b w:val="0"/>
          <w:bCs w:val="0"/>
          <w:color w:val="000000"/>
          <w:sz w:val="32"/>
          <w:szCs w:val="32"/>
          <w:lang w:val="en-US" w:eastAsia="zh-CN"/>
        </w:rPr>
        <w:t>100%，决算数等于预</w:t>
      </w:r>
      <w:r>
        <w:rPr>
          <w:rFonts w:hint="eastAsia" w:ascii="仿宋" w:hAnsi="仿宋" w:eastAsia="仿宋" w:cs="仿宋"/>
          <w:kern w:val="2"/>
          <w:sz w:val="32"/>
          <w:szCs w:val="32"/>
          <w:lang w:val="en-US" w:eastAsia="zh-CN" w:bidi="ar-SA"/>
        </w:rPr>
        <w:t>算数；城乡社区公共设施（款）其他城乡社区公共设施支出（项）支出决算数为986.43万元，完成预算100%，决算</w:t>
      </w:r>
      <w:r>
        <w:rPr>
          <w:rFonts w:hint="eastAsia" w:ascii="仿宋" w:hAnsi="仿宋" w:eastAsia="仿宋" w:cs="仿宋"/>
          <w:b w:val="0"/>
          <w:bCs w:val="0"/>
          <w:color w:val="000000"/>
          <w:sz w:val="32"/>
          <w:szCs w:val="32"/>
          <w:lang w:val="en-US" w:eastAsia="zh-CN"/>
        </w:rPr>
        <w:t>数等于预算数；其他城乡社区支出（款）其他城乡社区支出（项）支出决算数为3670.96万元，完成预算100%，决算数等于预算数。</w:t>
      </w:r>
      <w:r>
        <w:rPr>
          <w:rFonts w:hint="eastAsia" w:ascii="仿宋" w:hAnsi="仿宋" w:eastAsia="仿宋" w:cs="仿宋"/>
          <w:b w:val="0"/>
          <w:bCs w:val="0"/>
          <w:color w:val="000000"/>
          <w:sz w:val="32"/>
          <w:szCs w:val="32"/>
          <w:lang w:val="en-US" w:eastAsia="zh-CN"/>
        </w:rPr>
        <w:br w:type="textWrapping"/>
      </w:r>
      <w:r>
        <w:rPr>
          <w:rFonts w:hint="eastAsia" w:ascii="仿宋" w:hAnsi="仿宋" w:eastAsia="仿宋" w:cs="仿宋"/>
          <w:b w:val="0"/>
          <w:bCs w:val="0"/>
          <w:color w:val="000000"/>
          <w:sz w:val="32"/>
          <w:szCs w:val="32"/>
          <w:lang w:val="en-US" w:eastAsia="zh-CN"/>
        </w:rPr>
        <w:t>5、农林水支出（类）扶贫（款）农村基础设施建设决算支出数为851.78万元，生产发展（项）决算支出数为716.98万元，其他扶贫支出决算数为191.96万元，完成预算100%，决算数等于预算数。</w:t>
      </w:r>
    </w:p>
    <w:p>
      <w:pPr>
        <w:numPr>
          <w:ilvl w:val="0"/>
          <w:numId w:val="0"/>
        </w:numPr>
        <w:ind w:left="481" w:leftChars="0"/>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6、住房保障支出（类）保障性安居工程（款）廉租住房（项）支出决算数为158.67万元，棚户区改造（项）支出决算数为1647.83万元，农村危房改造（项）支出决算数为340.50万元，老旧小区改造支出决算数为148.35万元，其他保障性安居工程支出决算数为1632.83万元，住房改革支出（款）住房公积金（项）支出决算数为13.02万元，完成预算100%，决算数等于预算数。</w:t>
      </w:r>
    </w:p>
    <w:p>
      <w:pPr>
        <w:spacing w:line="600" w:lineRule="exact"/>
        <w:ind w:firstLine="640"/>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7、其他支出（类）（款）（项）决算数为412.00，完成预算100%，决算数等于预算数。</w:t>
      </w:r>
    </w:p>
    <w:p>
      <w:pPr>
        <w:tabs>
          <w:tab w:val="right" w:pos="8306"/>
        </w:tabs>
        <w:spacing w:line="600" w:lineRule="exact"/>
        <w:ind w:firstLine="640"/>
        <w:outlineLvl w:val="1"/>
        <w:rPr>
          <w:rStyle w:val="27"/>
        </w:rPr>
      </w:pPr>
      <w:bookmarkStart w:id="57" w:name="_Toc15377214"/>
      <w:bookmarkStart w:id="58" w:name="_Toc79163868"/>
      <w:bookmarkStart w:id="59" w:name="_Toc79163618"/>
      <w:bookmarkStart w:id="60"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57"/>
      <w:bookmarkEnd w:id="58"/>
      <w:bookmarkEnd w:id="59"/>
      <w:bookmarkEnd w:id="60"/>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230.78</w:t>
      </w:r>
      <w:r>
        <w:rPr>
          <w:rFonts w:hint="eastAsia" w:ascii="仿宋" w:hAnsi="仿宋" w:eastAsia="仿宋"/>
          <w:color w:val="000000"/>
          <w:sz w:val="32"/>
          <w:szCs w:val="32"/>
        </w:rPr>
        <w:t>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200.72</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42.56</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ascii="仿宋" w:hAnsi="仿宋" w:eastAsia="仿宋"/>
          <w:b/>
          <w:color w:val="FF0000"/>
          <w:sz w:val="32"/>
          <w:szCs w:val="32"/>
        </w:rPr>
      </w:pPr>
    </w:p>
    <w:p>
      <w:pPr>
        <w:spacing w:line="600" w:lineRule="exact"/>
        <w:ind w:firstLine="640"/>
        <w:outlineLvl w:val="1"/>
        <w:rPr>
          <w:rStyle w:val="27"/>
          <w:rFonts w:ascii="黑体" w:hAnsi="黑体" w:eastAsia="黑体"/>
          <w:b w:val="0"/>
        </w:rPr>
      </w:pPr>
      <w:bookmarkStart w:id="61" w:name="_Toc15377215"/>
      <w:bookmarkStart w:id="62" w:name="_Toc79163619"/>
      <w:bookmarkStart w:id="63" w:name="_Toc15396609"/>
      <w:bookmarkStart w:id="64" w:name="_Toc7916386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61"/>
      <w:bookmarkEnd w:id="62"/>
      <w:bookmarkEnd w:id="63"/>
      <w:bookmarkEnd w:id="64"/>
    </w:p>
    <w:p>
      <w:pPr>
        <w:spacing w:line="600" w:lineRule="exact"/>
        <w:ind w:firstLine="640"/>
        <w:outlineLvl w:val="2"/>
        <w:rPr>
          <w:rFonts w:ascii="仿宋" w:hAnsi="仿宋" w:eastAsia="仿宋"/>
          <w:b/>
          <w:color w:val="000000"/>
          <w:sz w:val="32"/>
          <w:szCs w:val="32"/>
        </w:rPr>
      </w:pPr>
      <w:bookmarkStart w:id="65" w:name="_Toc79163870"/>
      <w:bookmarkStart w:id="66" w:name="_Toc15377216"/>
      <w:bookmarkStart w:id="67" w:name="_Toc79163620"/>
      <w:r>
        <w:rPr>
          <w:rFonts w:hint="eastAsia" w:ascii="仿宋" w:hAnsi="仿宋" w:eastAsia="仿宋"/>
          <w:b/>
          <w:color w:val="000000"/>
          <w:sz w:val="32"/>
          <w:szCs w:val="32"/>
        </w:rPr>
        <w:t>（一）“三公”经费财政拨款支出决算总体情况说明</w:t>
      </w:r>
      <w:bookmarkEnd w:id="65"/>
      <w:bookmarkEnd w:id="66"/>
      <w:bookmarkEnd w:id="67"/>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4.83</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，决算数小于预算数</w:t>
      </w:r>
      <w:r>
        <w:rPr>
          <w:rFonts w:hint="eastAsia" w:ascii="仿宋" w:hAnsi="仿宋" w:eastAsia="仿宋"/>
          <w:color w:val="000000"/>
          <w:sz w:val="32"/>
          <w:szCs w:val="32"/>
          <w:lang w:eastAsia="zh-CN"/>
        </w:rPr>
        <w:t>的原因是车辆维修减少</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68" w:name="_Toc79163871"/>
      <w:bookmarkStart w:id="69" w:name="_Toc15377217"/>
      <w:bookmarkStart w:id="70" w:name="_Toc79163621"/>
      <w:r>
        <w:rPr>
          <w:rFonts w:hint="eastAsia" w:ascii="仿宋" w:hAnsi="仿宋" w:eastAsia="仿宋"/>
          <w:b/>
          <w:color w:val="000000"/>
          <w:sz w:val="32"/>
          <w:szCs w:val="32"/>
        </w:rPr>
        <w:t>（二）“三公”经费财政拨款支出决算具体情况说明</w:t>
      </w:r>
      <w:bookmarkEnd w:id="68"/>
      <w:bookmarkEnd w:id="69"/>
      <w:bookmarkEnd w:id="70"/>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4.83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pStyle w:val="2"/>
      </w:pPr>
      <w:r>
        <w:rPr>
          <w:rFonts w:hint="eastAsia" w:ascii="仿宋" w:hAnsi="仿宋" w:eastAsia="仿宋"/>
          <w:color w:val="000000"/>
          <w:sz w:val="32"/>
          <w:szCs w:val="32"/>
          <w:lang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hint="eastAsia" w:ascii="仿宋" w:hAnsi="仿宋" w:eastAsia="仿宋" w:cs="仿宋"/>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w:t>
      </w:r>
      <w:r>
        <w:rPr>
          <w:rFonts w:hint="eastAsia" w:ascii="仿宋" w:hAnsi="仿宋" w:eastAsia="仿宋" w:cs="仿宋"/>
          <w:b/>
          <w:color w:val="000000"/>
          <w:sz w:val="32"/>
          <w:szCs w:val="32"/>
        </w:rPr>
        <w:t>费支出</w:t>
      </w:r>
      <w:r>
        <w:rPr>
          <w:rFonts w:hint="eastAsia" w:ascii="仿宋" w:hAnsi="仿宋" w:eastAsia="仿宋" w:cs="仿宋"/>
          <w:b/>
          <w:color w:val="000000"/>
          <w:sz w:val="32"/>
          <w:szCs w:val="32"/>
          <w:lang w:val="en-US" w:eastAsia="zh-CN"/>
        </w:rPr>
        <w:t>0</w:t>
      </w:r>
      <w:r>
        <w:rPr>
          <w:rFonts w:hint="eastAsia" w:ascii="仿宋" w:hAnsi="仿宋" w:eastAsia="仿宋" w:cs="仿宋"/>
          <w:color w:val="000000"/>
          <w:sz w:val="32"/>
          <w:szCs w:val="32"/>
        </w:rPr>
        <w:t>万元，</w:t>
      </w:r>
      <w:r>
        <w:rPr>
          <w:rStyle w:val="24"/>
          <w:rFonts w:hint="eastAsia" w:ascii="仿宋" w:hAnsi="仿宋" w:eastAsia="仿宋" w:cs="仿宋"/>
          <w:b w:val="0"/>
          <w:bCs/>
          <w:color w:val="000000"/>
          <w:sz w:val="32"/>
          <w:szCs w:val="32"/>
        </w:rPr>
        <w:t>完成预算</w:t>
      </w:r>
      <w:r>
        <w:rPr>
          <w:rStyle w:val="24"/>
          <w:rFonts w:hint="eastAsia" w:ascii="仿宋" w:hAnsi="仿宋" w:eastAsia="仿宋" w:cs="仿宋"/>
          <w:b w:val="0"/>
          <w:bCs/>
          <w:color w:val="000000"/>
          <w:sz w:val="32"/>
          <w:szCs w:val="32"/>
          <w:lang w:val="en-US" w:eastAsia="zh-CN"/>
        </w:rPr>
        <w:t>0</w:t>
      </w:r>
      <w:r>
        <w:rPr>
          <w:rStyle w:val="24"/>
          <w:rFonts w:hint="eastAsia" w:ascii="仿宋" w:hAnsi="仿宋" w:eastAsia="仿宋" w:cs="仿宋"/>
          <w:b w:val="0"/>
          <w:bCs/>
          <w:color w:val="000000"/>
          <w:sz w:val="32"/>
          <w:szCs w:val="32"/>
        </w:rPr>
        <w:t>%。</w:t>
      </w:r>
      <w:r>
        <w:rPr>
          <w:rFonts w:hint="eastAsia" w:ascii="仿宋" w:hAnsi="仿宋" w:eastAsia="仿宋" w:cs="仿宋"/>
          <w:color w:val="000000"/>
          <w:sz w:val="32"/>
          <w:szCs w:val="32"/>
        </w:rPr>
        <w:t>全年安排因公出国（境）团组</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次，出国（境）</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人。</w:t>
      </w:r>
    </w:p>
    <w:p>
      <w:pPr>
        <w:spacing w:line="600" w:lineRule="exact"/>
        <w:ind w:firstLine="640"/>
        <w:rPr>
          <w:rFonts w:hint="eastAsia" w:ascii="仿宋" w:hAnsi="仿宋" w:eastAsia="仿宋" w:cs="仿宋"/>
          <w:b/>
          <w:color w:val="000000"/>
          <w:sz w:val="32"/>
          <w:szCs w:val="32"/>
          <w:lang w:eastAsia="zh-CN"/>
        </w:rPr>
      </w:pPr>
      <w:r>
        <w:rPr>
          <w:rFonts w:ascii="仿宋_GB2312" w:eastAsia="仿宋_GB2312"/>
          <w:b/>
          <w:color w:val="000000"/>
          <w:sz w:val="32"/>
          <w:szCs w:val="32"/>
        </w:rPr>
        <w:t>2.</w:t>
      </w:r>
      <w:r>
        <w:rPr>
          <w:rFonts w:hint="eastAsia" w:ascii="仿宋" w:hAnsi="仿宋" w:eastAsia="仿宋" w:cs="仿宋"/>
          <w:b/>
          <w:color w:val="000000"/>
          <w:sz w:val="32"/>
          <w:szCs w:val="32"/>
        </w:rPr>
        <w:t>公务用车购置及运行维护费支出</w:t>
      </w:r>
      <w:r>
        <w:rPr>
          <w:rFonts w:hint="eastAsia" w:ascii="仿宋" w:hAnsi="仿宋" w:eastAsia="仿宋" w:cs="仿宋"/>
          <w:b/>
          <w:color w:val="000000"/>
          <w:sz w:val="32"/>
          <w:szCs w:val="32"/>
          <w:lang w:val="en-US" w:eastAsia="zh-CN"/>
        </w:rPr>
        <w:t>4.83</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w:t>
      </w:r>
      <w:r>
        <w:rPr>
          <w:rStyle w:val="24"/>
          <w:rFonts w:hint="eastAsia" w:ascii="仿宋" w:hAnsi="仿宋" w:eastAsia="仿宋" w:cs="仿宋"/>
          <w:b w:val="0"/>
          <w:bCs/>
          <w:color w:val="000000"/>
          <w:sz w:val="32"/>
          <w:szCs w:val="32"/>
        </w:rPr>
        <w:t>完成预算</w:t>
      </w:r>
      <w:r>
        <w:rPr>
          <w:rStyle w:val="24"/>
          <w:rFonts w:hint="eastAsia" w:ascii="仿宋" w:hAnsi="仿宋" w:eastAsia="仿宋" w:cs="仿宋"/>
          <w:b w:val="0"/>
          <w:bCs/>
          <w:color w:val="000000"/>
          <w:sz w:val="32"/>
          <w:szCs w:val="32"/>
          <w:lang w:val="en-US" w:eastAsia="zh-CN"/>
        </w:rPr>
        <w:t>69</w:t>
      </w:r>
      <w:r>
        <w:rPr>
          <w:rStyle w:val="24"/>
          <w:rFonts w:hint="eastAsia" w:ascii="仿宋" w:hAnsi="仿宋" w:eastAsia="仿宋" w:cs="仿宋"/>
          <w:b w:val="0"/>
          <w:bCs/>
          <w:color w:val="000000"/>
          <w:sz w:val="32"/>
          <w:szCs w:val="32"/>
        </w:rPr>
        <w:t>%。</w:t>
      </w:r>
      <w:r>
        <w:rPr>
          <w:rFonts w:hint="eastAsia" w:ascii="仿宋" w:hAnsi="仿宋" w:eastAsia="仿宋" w:cs="仿宋"/>
          <w:color w:val="000000"/>
          <w:sz w:val="32"/>
          <w:szCs w:val="32"/>
        </w:rPr>
        <w:t>公务用车购置及运行维护费支出决算比201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年减少</w:t>
      </w:r>
      <w:r>
        <w:rPr>
          <w:rFonts w:hint="eastAsia" w:ascii="仿宋" w:hAnsi="仿宋" w:eastAsia="仿宋" w:cs="仿宋"/>
          <w:color w:val="000000"/>
          <w:sz w:val="32"/>
          <w:szCs w:val="32"/>
          <w:lang w:val="en-US" w:eastAsia="zh-CN"/>
        </w:rPr>
        <w:t>2.46</w:t>
      </w:r>
      <w:r>
        <w:rPr>
          <w:rFonts w:hint="eastAsia" w:ascii="仿宋" w:hAnsi="仿宋" w:eastAsia="仿宋" w:cs="仿宋"/>
          <w:color w:val="000000"/>
          <w:sz w:val="32"/>
          <w:szCs w:val="32"/>
        </w:rPr>
        <w:t>万元，下降</w:t>
      </w:r>
      <w:r>
        <w:rPr>
          <w:rFonts w:hint="eastAsia" w:ascii="仿宋" w:hAnsi="仿宋" w:eastAsia="仿宋" w:cs="仿宋"/>
          <w:color w:val="000000"/>
          <w:sz w:val="32"/>
          <w:szCs w:val="32"/>
          <w:lang w:val="en-US" w:eastAsia="zh-CN"/>
        </w:rPr>
        <w:t>51</w:t>
      </w:r>
      <w:r>
        <w:rPr>
          <w:rFonts w:hint="eastAsia" w:ascii="仿宋" w:hAnsi="仿宋" w:eastAsia="仿宋" w:cs="仿宋"/>
          <w:color w:val="000000"/>
          <w:sz w:val="32"/>
          <w:szCs w:val="32"/>
        </w:rPr>
        <w:t>%。主要原因是</w:t>
      </w:r>
      <w:r>
        <w:rPr>
          <w:rFonts w:hint="eastAsia" w:ascii="仿宋" w:hAnsi="仿宋" w:eastAsia="仿宋" w:cs="仿宋"/>
          <w:color w:val="000000"/>
          <w:sz w:val="32"/>
          <w:szCs w:val="32"/>
          <w:lang w:eastAsia="zh-CN"/>
        </w:rPr>
        <w:t>车辆维修减少。</w:t>
      </w:r>
    </w:p>
    <w:p>
      <w:pPr>
        <w:spacing w:line="600" w:lineRule="exact"/>
        <w:ind w:firstLine="640" w:firstLineChars="200"/>
        <w:rPr>
          <w:rFonts w:hint="eastAsia" w:ascii="仿宋" w:hAnsi="仿宋" w:eastAsia="仿宋" w:cs="仿宋"/>
          <w:b/>
          <w:color w:val="000000"/>
          <w:sz w:val="32"/>
          <w:szCs w:val="32"/>
        </w:rPr>
      </w:pPr>
      <w:r>
        <w:rPr>
          <w:rFonts w:hint="eastAsia" w:ascii="仿宋" w:hAnsi="仿宋" w:eastAsia="仿宋" w:cs="仿宋"/>
          <w:color w:val="000000"/>
          <w:sz w:val="32"/>
          <w:szCs w:val="32"/>
        </w:rPr>
        <w:t>其中：</w:t>
      </w:r>
      <w:r>
        <w:rPr>
          <w:rFonts w:hint="eastAsia" w:ascii="仿宋" w:hAnsi="仿宋" w:eastAsia="仿宋" w:cs="仿宋"/>
          <w:b/>
          <w:color w:val="000000"/>
          <w:sz w:val="32"/>
          <w:szCs w:val="32"/>
        </w:rPr>
        <w:t>公务用车购置支出</w:t>
      </w:r>
      <w:r>
        <w:rPr>
          <w:rFonts w:hint="eastAsia" w:ascii="仿宋" w:hAnsi="仿宋" w:eastAsia="仿宋" w:cs="仿宋"/>
          <w:b/>
          <w:color w:val="000000"/>
          <w:sz w:val="32"/>
          <w:szCs w:val="32"/>
          <w:lang w:val="en-US" w:eastAsia="zh-CN"/>
        </w:rPr>
        <w:t>0</w:t>
      </w:r>
      <w:r>
        <w:rPr>
          <w:rFonts w:hint="eastAsia" w:ascii="仿宋" w:hAnsi="仿宋" w:eastAsia="仿宋" w:cs="仿宋"/>
          <w:color w:val="000000"/>
          <w:sz w:val="32"/>
          <w:szCs w:val="32"/>
        </w:rPr>
        <w:t>万元。截至2020年12月底，单位共有公务用车</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辆，其中：轿车</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辆、越野车</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辆、载客汽车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b/>
          <w:color w:val="000000"/>
          <w:sz w:val="32"/>
          <w:szCs w:val="32"/>
        </w:rPr>
        <w:t>公务用车运行维护费支出</w:t>
      </w:r>
      <w:r>
        <w:rPr>
          <w:rFonts w:hint="eastAsia" w:ascii="仿宋" w:hAnsi="仿宋" w:eastAsia="仿宋" w:cs="仿宋"/>
          <w:b/>
          <w:color w:val="000000"/>
          <w:sz w:val="32"/>
          <w:szCs w:val="32"/>
          <w:lang w:val="en-US" w:eastAsia="zh-CN"/>
        </w:rPr>
        <w:t>4.83</w:t>
      </w:r>
      <w:r>
        <w:rPr>
          <w:rFonts w:hint="eastAsia" w:ascii="仿宋" w:hAnsi="仿宋" w:eastAsia="仿宋" w:cs="仿宋"/>
          <w:color w:val="000000"/>
          <w:sz w:val="32"/>
          <w:szCs w:val="32"/>
        </w:rPr>
        <w:t>万元。主要用</w:t>
      </w:r>
      <w:r>
        <w:rPr>
          <w:rFonts w:hint="eastAsia" w:ascii="仿宋" w:hAnsi="仿宋" w:eastAsia="仿宋" w:cs="仿宋"/>
          <w:color w:val="000000"/>
          <w:sz w:val="32"/>
          <w:szCs w:val="32"/>
          <w:lang w:eastAsia="zh-CN"/>
        </w:rPr>
        <w:t>于下乡、项目审核、会议</w:t>
      </w:r>
      <w:r>
        <w:rPr>
          <w:rFonts w:hint="eastAsia" w:ascii="仿宋" w:hAnsi="仿宋" w:eastAsia="仿宋" w:cs="仿宋"/>
          <w:color w:val="000000"/>
          <w:sz w:val="32"/>
          <w:szCs w:val="32"/>
        </w:rPr>
        <w:t>等所需的公务用车燃料费、维修费、过路过桥费、保险费等支出。</w:t>
      </w:r>
    </w:p>
    <w:p>
      <w:pPr>
        <w:numPr>
          <w:ilvl w:val="0"/>
          <w:numId w:val="3"/>
        </w:numPr>
        <w:spacing w:line="600" w:lineRule="exact"/>
        <w:ind w:left="1152" w:leftChars="0" w:hanging="480" w:firstLineChars="0"/>
        <w:rPr>
          <w:rStyle w:val="24"/>
          <w:rFonts w:hint="eastAsia" w:ascii="仿宋" w:hAnsi="仿宋" w:eastAsia="仿宋" w:cs="仿宋"/>
          <w:b w:val="0"/>
          <w:bCs/>
          <w:color w:val="000000"/>
          <w:sz w:val="32"/>
          <w:szCs w:val="32"/>
        </w:rPr>
      </w:pPr>
      <w:r>
        <w:rPr>
          <w:rFonts w:hint="eastAsia" w:ascii="仿宋" w:hAnsi="仿宋" w:eastAsia="仿宋" w:cs="仿宋"/>
          <w:b/>
          <w:color w:val="000000"/>
          <w:sz w:val="32"/>
          <w:szCs w:val="32"/>
        </w:rPr>
        <w:t>公务接待费支出</w:t>
      </w:r>
      <w:r>
        <w:rPr>
          <w:rFonts w:hint="eastAsia" w:ascii="仿宋" w:hAnsi="仿宋" w:eastAsia="仿宋" w:cs="仿宋"/>
          <w:b/>
          <w:color w:val="000000"/>
          <w:sz w:val="32"/>
          <w:szCs w:val="32"/>
          <w:lang w:val="en-US" w:eastAsia="zh-CN"/>
        </w:rPr>
        <w:t>0</w:t>
      </w:r>
      <w:r>
        <w:rPr>
          <w:rFonts w:hint="eastAsia" w:ascii="仿宋" w:hAnsi="仿宋" w:eastAsia="仿宋" w:cs="仿宋"/>
          <w:color w:val="000000"/>
          <w:sz w:val="32"/>
          <w:szCs w:val="32"/>
        </w:rPr>
        <w:t>万元，</w:t>
      </w:r>
      <w:r>
        <w:rPr>
          <w:rStyle w:val="24"/>
          <w:rFonts w:hint="eastAsia" w:ascii="仿宋" w:hAnsi="仿宋" w:eastAsia="仿宋" w:cs="仿宋"/>
          <w:b w:val="0"/>
          <w:bCs/>
          <w:color w:val="000000"/>
          <w:sz w:val="32"/>
          <w:szCs w:val="32"/>
        </w:rPr>
        <w:t>完成预算</w:t>
      </w:r>
      <w:r>
        <w:rPr>
          <w:rStyle w:val="24"/>
          <w:rFonts w:hint="eastAsia" w:ascii="仿宋" w:hAnsi="仿宋" w:eastAsia="仿宋" w:cs="仿宋"/>
          <w:b w:val="0"/>
          <w:bCs/>
          <w:color w:val="000000"/>
          <w:sz w:val="32"/>
          <w:szCs w:val="32"/>
          <w:lang w:val="en-US" w:eastAsia="zh-CN"/>
        </w:rPr>
        <w:t>0</w:t>
      </w:r>
      <w:r>
        <w:rPr>
          <w:rStyle w:val="24"/>
          <w:rFonts w:hint="eastAsia" w:ascii="仿宋" w:hAnsi="仿宋" w:eastAsia="仿宋" w:cs="仿宋"/>
          <w:b w:val="0"/>
          <w:bCs/>
          <w:color w:val="000000"/>
          <w:sz w:val="32"/>
          <w:szCs w:val="32"/>
        </w:rPr>
        <w:t>%。</w:t>
      </w:r>
    </w:p>
    <w:p>
      <w:pPr>
        <w:numPr>
          <w:ilvl w:val="0"/>
          <w:numId w:val="3"/>
        </w:numPr>
        <w:spacing w:line="600" w:lineRule="exact"/>
        <w:ind w:left="1152" w:leftChars="0" w:hanging="480" w:firstLineChars="0"/>
        <w:rPr>
          <w:rFonts w:hint="eastAsia" w:ascii="仿宋" w:hAnsi="仿宋" w:eastAsia="仿宋" w:cs="仿宋"/>
          <w:color w:val="000000"/>
          <w:sz w:val="32"/>
          <w:szCs w:val="32"/>
        </w:rPr>
      </w:pPr>
      <w:r>
        <w:rPr>
          <w:rFonts w:hint="eastAsia" w:ascii="仿宋" w:hAnsi="仿宋" w:eastAsia="仿宋" w:cs="仿宋"/>
          <w:b/>
          <w:color w:val="000000"/>
          <w:sz w:val="32"/>
          <w:szCs w:val="32"/>
        </w:rPr>
        <w:t>国内公务接待支出</w:t>
      </w:r>
      <w:r>
        <w:rPr>
          <w:rFonts w:hint="eastAsia" w:ascii="仿宋" w:hAnsi="仿宋" w:eastAsia="仿宋" w:cs="仿宋"/>
          <w:b/>
          <w:color w:val="000000"/>
          <w:sz w:val="32"/>
          <w:szCs w:val="32"/>
          <w:lang w:val="en-US" w:eastAsia="zh-CN"/>
        </w:rPr>
        <w:t>0</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w:t>
      </w:r>
    </w:p>
    <w:p>
      <w:pPr>
        <w:numPr>
          <w:ilvl w:val="0"/>
          <w:numId w:val="3"/>
        </w:numPr>
        <w:spacing w:line="600" w:lineRule="exact"/>
        <w:ind w:left="1152" w:leftChars="0" w:hanging="480" w:firstLineChars="0"/>
        <w:rPr>
          <w:rFonts w:hint="eastAsia" w:ascii="仿宋" w:hAnsi="仿宋" w:eastAsia="仿宋" w:cs="仿宋"/>
          <w:color w:val="000000"/>
          <w:sz w:val="32"/>
          <w:szCs w:val="32"/>
        </w:rPr>
      </w:pPr>
      <w:r>
        <w:rPr>
          <w:rFonts w:hint="eastAsia" w:ascii="仿宋" w:hAnsi="仿宋" w:eastAsia="仿宋" w:cs="仿宋"/>
          <w:b/>
          <w:color w:val="000000"/>
          <w:sz w:val="32"/>
          <w:szCs w:val="32"/>
        </w:rPr>
        <w:t>外事接待支出</w:t>
      </w:r>
      <w:r>
        <w:rPr>
          <w:rFonts w:hint="eastAsia" w:ascii="仿宋" w:hAnsi="仿宋" w:eastAsia="仿宋" w:cs="仿宋"/>
          <w:b/>
          <w:color w:val="000000"/>
          <w:sz w:val="32"/>
          <w:szCs w:val="32"/>
          <w:lang w:val="en-US" w:eastAsia="zh-CN"/>
        </w:rPr>
        <w:t>0</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w:t>
      </w:r>
    </w:p>
    <w:p>
      <w:pPr>
        <w:spacing w:line="600" w:lineRule="exact"/>
        <w:ind w:firstLine="640" w:firstLineChars="200"/>
        <w:rPr>
          <w:rFonts w:ascii="仿宋_GB2312" w:eastAsia="仿宋_GB2312"/>
          <w:color w:val="000000"/>
          <w:sz w:val="32"/>
          <w:szCs w:val="32"/>
        </w:rPr>
      </w:pPr>
    </w:p>
    <w:p>
      <w:pPr>
        <w:spacing w:line="600" w:lineRule="exact"/>
        <w:ind w:firstLine="640"/>
        <w:outlineLvl w:val="1"/>
        <w:rPr>
          <w:rStyle w:val="27"/>
          <w:rFonts w:ascii="黑体" w:hAnsi="黑体" w:eastAsia="黑体"/>
        </w:rPr>
      </w:pPr>
      <w:bookmarkStart w:id="71" w:name="_Toc15396610"/>
      <w:bookmarkStart w:id="72" w:name="_Toc15377218"/>
      <w:bookmarkStart w:id="73" w:name="_Toc79163622"/>
      <w:bookmarkStart w:id="74" w:name="_Toc79163872"/>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71"/>
      <w:bookmarkEnd w:id="72"/>
      <w:bookmarkEnd w:id="73"/>
      <w:bookmarkEnd w:id="74"/>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2020年政府性基金预算拨款支出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w:t>
      </w:r>
    </w:p>
    <w:p>
      <w:pPr>
        <w:spacing w:line="600" w:lineRule="exact"/>
        <w:ind w:firstLine="640"/>
        <w:rPr>
          <w:rFonts w:ascii="仿宋_GB2312" w:eastAsia="仿宋_GB2312"/>
          <w:color w:val="000000"/>
          <w:sz w:val="32"/>
          <w:szCs w:val="32"/>
        </w:rPr>
      </w:pPr>
    </w:p>
    <w:p>
      <w:pPr>
        <w:numPr>
          <w:ilvl w:val="0"/>
          <w:numId w:val="4"/>
        </w:numPr>
        <w:spacing w:line="600" w:lineRule="exact"/>
        <w:ind w:firstLine="640"/>
        <w:outlineLvl w:val="1"/>
        <w:rPr>
          <w:rStyle w:val="27"/>
          <w:rFonts w:ascii="黑体" w:hAnsi="黑体" w:eastAsia="黑体"/>
          <w:b w:val="0"/>
        </w:rPr>
      </w:pPr>
      <w:bookmarkStart w:id="75" w:name="_Toc15377219"/>
      <w:bookmarkStart w:id="76" w:name="_Toc15396611"/>
      <w:bookmarkStart w:id="77" w:name="_Toc79163623"/>
      <w:bookmarkStart w:id="78" w:name="_Toc79163873"/>
      <w:r>
        <w:rPr>
          <w:rStyle w:val="27"/>
          <w:rFonts w:hint="eastAsia" w:ascii="黑体" w:hAnsi="黑体" w:eastAsia="黑体"/>
          <w:b w:val="0"/>
        </w:rPr>
        <w:t>国有资本经营预算支出决算情况说明</w:t>
      </w:r>
      <w:bookmarkEnd w:id="75"/>
      <w:bookmarkEnd w:id="76"/>
      <w:bookmarkEnd w:id="77"/>
      <w:bookmarkEnd w:id="78"/>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2020年国有资本经营预算拨款支出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w:t>
      </w:r>
    </w:p>
    <w:p>
      <w:pPr>
        <w:spacing w:line="580" w:lineRule="exact"/>
        <w:jc w:val="center"/>
        <w:rPr>
          <w:rFonts w:hint="eastAsia" w:ascii="仿宋" w:hAnsi="仿宋" w:eastAsia="仿宋" w:cs="仿宋"/>
          <w:sz w:val="32"/>
          <w:szCs w:val="32"/>
        </w:rPr>
      </w:pPr>
    </w:p>
    <w:p>
      <w:pPr>
        <w:spacing w:line="600" w:lineRule="exact"/>
        <w:ind w:firstLine="800" w:firstLineChars="250"/>
        <w:outlineLvl w:val="1"/>
        <w:rPr>
          <w:rStyle w:val="27"/>
          <w:rFonts w:ascii="黑体" w:hAnsi="黑体" w:eastAsia="黑体"/>
        </w:rPr>
      </w:pPr>
      <w:bookmarkStart w:id="79" w:name="_Toc15396612"/>
      <w:bookmarkStart w:id="80" w:name="_Toc15377221"/>
      <w:bookmarkStart w:id="81" w:name="_Toc79163624"/>
      <w:bookmarkStart w:id="82" w:name="_Toc79163874"/>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79"/>
      <w:bookmarkEnd w:id="80"/>
      <w:bookmarkEnd w:id="81"/>
      <w:bookmarkEnd w:id="82"/>
    </w:p>
    <w:p>
      <w:pPr>
        <w:spacing w:line="600" w:lineRule="exact"/>
        <w:ind w:firstLine="643" w:firstLineChars="200"/>
        <w:outlineLvl w:val="2"/>
        <w:rPr>
          <w:rFonts w:ascii="仿宋" w:hAnsi="仿宋" w:eastAsia="仿宋"/>
          <w:color w:val="000000"/>
          <w:sz w:val="32"/>
          <w:szCs w:val="32"/>
        </w:rPr>
      </w:pPr>
      <w:bookmarkStart w:id="83" w:name="_Toc15377222"/>
      <w:bookmarkStart w:id="84" w:name="_Toc79163625"/>
      <w:bookmarkStart w:id="85" w:name="_Toc79163875"/>
      <w:r>
        <w:rPr>
          <w:rFonts w:hint="eastAsia" w:ascii="仿宋" w:hAnsi="仿宋" w:eastAsia="仿宋"/>
          <w:b/>
          <w:color w:val="000000"/>
          <w:sz w:val="32"/>
          <w:szCs w:val="32"/>
        </w:rPr>
        <w:t>（一）机关运行经费支出情况</w:t>
      </w:r>
      <w:bookmarkEnd w:id="83"/>
      <w:bookmarkEnd w:id="84"/>
      <w:bookmarkEnd w:id="85"/>
    </w:p>
    <w:p>
      <w:pPr>
        <w:spacing w:line="600" w:lineRule="exact"/>
        <w:ind w:firstLine="640" w:firstLineChars="200"/>
        <w:rPr>
          <w:rFonts w:hint="eastAsia" w:ascii="仿宋" w:hAnsi="仿宋" w:eastAsia="仿宋" w:cs="仿宋"/>
          <w:b/>
          <w:color w:val="FF0000"/>
          <w:sz w:val="32"/>
          <w:szCs w:val="32"/>
        </w:rPr>
      </w:pPr>
      <w:r>
        <w:rPr>
          <w:rFonts w:hint="eastAsia" w:ascii="仿宋" w:hAnsi="仿宋" w:eastAsia="仿宋" w:cs="仿宋"/>
          <w:color w:val="000000"/>
          <w:sz w:val="32"/>
          <w:szCs w:val="32"/>
        </w:rPr>
        <w:t>2020年，</w:t>
      </w:r>
      <w:r>
        <w:rPr>
          <w:rFonts w:hint="eastAsia" w:ascii="仿宋" w:hAnsi="仿宋" w:eastAsia="仿宋" w:cs="仿宋"/>
          <w:color w:val="000000"/>
          <w:sz w:val="32"/>
          <w:szCs w:val="32"/>
          <w:lang w:eastAsia="zh-CN"/>
        </w:rPr>
        <w:t>住房和城乡建设局</w:t>
      </w:r>
      <w:r>
        <w:rPr>
          <w:rFonts w:hint="eastAsia" w:ascii="仿宋" w:hAnsi="仿宋" w:eastAsia="仿宋" w:cs="仿宋"/>
          <w:color w:val="000000"/>
          <w:sz w:val="32"/>
          <w:szCs w:val="32"/>
        </w:rPr>
        <w:t>机关运行经费支出</w:t>
      </w:r>
      <w:r>
        <w:rPr>
          <w:rFonts w:hint="eastAsia" w:ascii="仿宋" w:hAnsi="仿宋" w:eastAsia="仿宋" w:cs="仿宋"/>
          <w:color w:val="000000"/>
          <w:sz w:val="32"/>
          <w:szCs w:val="32"/>
          <w:lang w:val="en-US" w:eastAsia="zh-CN"/>
        </w:rPr>
        <w:t>42.56</w:t>
      </w:r>
      <w:r>
        <w:rPr>
          <w:rFonts w:hint="eastAsia" w:ascii="仿宋" w:hAnsi="仿宋" w:eastAsia="仿宋" w:cs="仿宋"/>
          <w:color w:val="000000"/>
          <w:sz w:val="32"/>
          <w:szCs w:val="32"/>
        </w:rPr>
        <w:t>万元，比2019年增加</w:t>
      </w:r>
      <w:r>
        <w:rPr>
          <w:rFonts w:hint="eastAsia" w:ascii="仿宋" w:hAnsi="仿宋" w:eastAsia="仿宋" w:cs="仿宋"/>
          <w:color w:val="000000"/>
          <w:sz w:val="32"/>
          <w:szCs w:val="32"/>
          <w:lang w:val="en-US" w:eastAsia="zh-CN"/>
        </w:rPr>
        <w:t>9.49</w:t>
      </w:r>
      <w:r>
        <w:rPr>
          <w:rFonts w:hint="eastAsia" w:ascii="仿宋" w:hAnsi="仿宋" w:eastAsia="仿宋" w:cs="仿宋"/>
          <w:color w:val="000000"/>
          <w:sz w:val="32"/>
          <w:szCs w:val="32"/>
        </w:rPr>
        <w:t>万元，增长</w:t>
      </w:r>
      <w:r>
        <w:rPr>
          <w:rFonts w:hint="eastAsia" w:ascii="仿宋" w:hAnsi="仿宋" w:eastAsia="仿宋" w:cs="仿宋"/>
          <w:color w:val="000000"/>
          <w:sz w:val="32"/>
          <w:szCs w:val="32"/>
          <w:lang w:val="en-US" w:eastAsia="zh-CN"/>
        </w:rPr>
        <w:t>22.3</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主要原因是</w:t>
      </w:r>
      <w:r>
        <w:rPr>
          <w:rFonts w:hint="eastAsia" w:ascii="仿宋" w:hAnsi="仿宋" w:eastAsia="仿宋" w:cs="仿宋"/>
          <w:color w:val="000000"/>
          <w:sz w:val="32"/>
          <w:szCs w:val="32"/>
          <w:lang w:eastAsia="zh-CN"/>
        </w:rPr>
        <w:t>项目增加，下乡次数增多，经费增加。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6" w:name="_Toc79163876"/>
      <w:bookmarkStart w:id="87" w:name="_Toc15377223"/>
      <w:bookmarkStart w:id="88" w:name="_Toc79163626"/>
      <w:r>
        <w:rPr>
          <w:rFonts w:hint="eastAsia" w:ascii="仿宋" w:hAnsi="仿宋" w:eastAsia="仿宋"/>
          <w:b/>
          <w:color w:val="000000"/>
          <w:sz w:val="32"/>
          <w:szCs w:val="32"/>
        </w:rPr>
        <w:t>（二）政府采购支出情况</w:t>
      </w:r>
      <w:bookmarkEnd w:id="86"/>
      <w:bookmarkEnd w:id="87"/>
      <w:bookmarkEnd w:id="88"/>
    </w:p>
    <w:p>
      <w:pPr>
        <w:spacing w:line="600" w:lineRule="exact"/>
        <w:ind w:firstLine="640" w:firstLineChars="200"/>
        <w:rPr>
          <w:rFonts w:hint="eastAsia" w:ascii="仿宋" w:hAnsi="仿宋" w:eastAsia="仿宋" w:cs="仿宋"/>
          <w:b/>
          <w:color w:val="FF0000"/>
          <w:sz w:val="32"/>
          <w:szCs w:val="32"/>
        </w:rPr>
      </w:pPr>
      <w:r>
        <w:rPr>
          <w:rFonts w:hint="eastAsia" w:ascii="仿宋" w:hAnsi="仿宋" w:eastAsia="仿宋" w:cs="仿宋"/>
          <w:color w:val="000000"/>
          <w:sz w:val="32"/>
          <w:szCs w:val="32"/>
        </w:rPr>
        <w:t>2020年，</w:t>
      </w:r>
      <w:r>
        <w:rPr>
          <w:rFonts w:hint="eastAsia" w:ascii="仿宋" w:hAnsi="仿宋" w:eastAsia="仿宋" w:cs="仿宋"/>
          <w:color w:val="000000"/>
          <w:sz w:val="32"/>
          <w:szCs w:val="32"/>
          <w:lang w:eastAsia="zh-CN"/>
        </w:rPr>
        <w:t>住房和城乡建设局</w:t>
      </w:r>
      <w:r>
        <w:rPr>
          <w:rFonts w:hint="eastAsia" w:ascii="仿宋" w:hAnsi="仿宋" w:eastAsia="仿宋" w:cs="仿宋"/>
          <w:color w:val="000000"/>
          <w:sz w:val="32"/>
          <w:szCs w:val="32"/>
        </w:rPr>
        <w:t>政府采购支出总额</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万元，其中：政府采购货物支出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万元、政府采购工程支出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万元、政府采购服务支出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9" w:name="_Toc79163627"/>
      <w:bookmarkStart w:id="90" w:name="_Toc79163877"/>
      <w:bookmarkStart w:id="91" w:name="_Toc15377224"/>
      <w:r>
        <w:rPr>
          <w:rFonts w:hint="eastAsia" w:ascii="仿宋" w:hAnsi="仿宋" w:eastAsia="仿宋"/>
          <w:b/>
          <w:color w:val="000000"/>
          <w:sz w:val="32"/>
          <w:szCs w:val="32"/>
        </w:rPr>
        <w:t>（三）国有资产占有使用情况</w:t>
      </w:r>
      <w:bookmarkEnd w:id="89"/>
      <w:bookmarkEnd w:id="90"/>
      <w:bookmarkEnd w:id="91"/>
    </w:p>
    <w:p>
      <w:pPr>
        <w:autoSpaceDE w:val="0"/>
        <w:autoSpaceDN w:val="0"/>
        <w:adjustRightInd w:val="0"/>
        <w:spacing w:line="600" w:lineRule="exact"/>
        <w:ind w:firstLine="640" w:firstLineChars="200"/>
        <w:jc w:val="left"/>
        <w:rPr>
          <w:rFonts w:hint="eastAsia" w:ascii="仿宋" w:hAnsi="仿宋" w:eastAsia="仿宋_GB2312"/>
          <w:b/>
          <w:color w:val="FF0000"/>
          <w:sz w:val="32"/>
          <w:szCs w:val="32"/>
          <w:lang w:val="en-US" w:eastAsia="zh-CN"/>
        </w:rPr>
      </w:pPr>
      <w:r>
        <w:rPr>
          <w:rFonts w:hint="eastAsia" w:ascii="仿宋_GB2312" w:eastAsia="仿宋_GB2312"/>
          <w:color w:val="000000"/>
          <w:sz w:val="32"/>
          <w:szCs w:val="32"/>
        </w:rPr>
        <w:t>截</w:t>
      </w:r>
      <w:r>
        <w:rPr>
          <w:rFonts w:hint="eastAsia" w:ascii="仿宋_GB2312" w:eastAsia="仿宋_GB2312"/>
          <w:color w:val="000000"/>
          <w:sz w:val="32"/>
          <w:szCs w:val="32"/>
          <w:lang w:eastAsia="zh-CN"/>
        </w:rPr>
        <w:t>止</w:t>
      </w:r>
      <w:r>
        <w:rPr>
          <w:rFonts w:hint="eastAsia" w:ascii="仿宋" w:hAnsi="仿宋" w:eastAsia="仿宋" w:cs="仿宋"/>
          <w:color w:val="000000"/>
          <w:sz w:val="32"/>
          <w:szCs w:val="32"/>
        </w:rPr>
        <w:t>2020年12月31日，</w:t>
      </w:r>
      <w:r>
        <w:rPr>
          <w:rFonts w:hint="eastAsia" w:ascii="仿宋" w:hAnsi="仿宋" w:eastAsia="仿宋" w:cs="仿宋"/>
          <w:color w:val="000000"/>
          <w:sz w:val="32"/>
          <w:szCs w:val="32"/>
          <w:lang w:eastAsia="zh-CN"/>
        </w:rPr>
        <w:t>住房和城乡建设局</w:t>
      </w:r>
      <w:r>
        <w:rPr>
          <w:rFonts w:hint="eastAsia" w:ascii="仿宋" w:hAnsi="仿宋" w:eastAsia="仿宋" w:cs="仿宋"/>
          <w:color w:val="000000"/>
          <w:sz w:val="32"/>
          <w:szCs w:val="32"/>
        </w:rPr>
        <w:t>共有车辆</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辆，其中：主要领导干部用车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辆、机要通信用车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辆、应急保障用车</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辆</w:t>
      </w:r>
      <w:r>
        <w:rPr>
          <w:rFonts w:hint="eastAsia" w:ascii="仿宋" w:hAnsi="仿宋" w:eastAsia="仿宋" w:cs="仿宋"/>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2" w:name="_Toc79163628"/>
      <w:bookmarkStart w:id="93" w:name="_Toc79163878"/>
      <w:r>
        <w:rPr>
          <w:rFonts w:hint="eastAsia" w:ascii="仿宋" w:hAnsi="仿宋" w:eastAsia="仿宋"/>
          <w:b/>
          <w:color w:val="000000"/>
          <w:sz w:val="32"/>
          <w:szCs w:val="32"/>
        </w:rPr>
        <w:t>（四）预算绩效管理情况。</w:t>
      </w:r>
      <w:bookmarkEnd w:id="92"/>
      <w:bookmarkEnd w:id="93"/>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根据预算绩效管理要求，本单位在年初预算编制阶段，组织对</w:t>
      </w:r>
      <w:r>
        <w:rPr>
          <w:rFonts w:hint="eastAsia" w:ascii="仿宋" w:hAnsi="仿宋" w:eastAsia="仿宋" w:cs="仿宋"/>
          <w:sz w:val="32"/>
          <w:szCs w:val="32"/>
          <w:lang w:eastAsia="zh-CN"/>
        </w:rPr>
        <w:t>壤塘县生活垃圾资源化综合处置</w:t>
      </w:r>
      <w:r>
        <w:rPr>
          <w:rFonts w:hint="eastAsia" w:ascii="仿宋" w:hAnsi="仿宋" w:eastAsia="仿宋" w:cs="仿宋"/>
          <w:sz w:val="32"/>
          <w:szCs w:val="32"/>
        </w:rPr>
        <w:t>项目开展了预算事前绩效评估，对</w:t>
      </w:r>
      <w:r>
        <w:rPr>
          <w:rFonts w:hint="eastAsia" w:ascii="仿宋" w:hAnsi="仿宋" w:eastAsia="仿宋" w:cs="仿宋"/>
          <w:sz w:val="32"/>
          <w:szCs w:val="32"/>
          <w:lang w:val="en-US" w:eastAsia="zh-CN"/>
        </w:rPr>
        <w:t>1</w:t>
      </w:r>
      <w:r>
        <w:rPr>
          <w:rFonts w:hint="eastAsia" w:ascii="仿宋" w:hAnsi="仿宋" w:eastAsia="仿宋" w:cs="仿宋"/>
          <w:sz w:val="32"/>
          <w:szCs w:val="32"/>
        </w:rPr>
        <w:t>个项目编制了绩效目标，预算执行过程中，选取</w:t>
      </w:r>
      <w:r>
        <w:rPr>
          <w:rFonts w:hint="eastAsia" w:ascii="仿宋" w:hAnsi="仿宋" w:eastAsia="仿宋" w:cs="仿宋"/>
          <w:sz w:val="32"/>
          <w:szCs w:val="32"/>
          <w:lang w:eastAsia="zh-CN"/>
        </w:rPr>
        <w:t>一个</w:t>
      </w:r>
      <w:r>
        <w:rPr>
          <w:rFonts w:hint="eastAsia" w:ascii="仿宋" w:hAnsi="仿宋" w:eastAsia="仿宋" w:cs="仿宋"/>
          <w:sz w:val="32"/>
          <w:szCs w:val="32"/>
        </w:rPr>
        <w:t>项目开展绩效监控，年终执行完毕后，对</w:t>
      </w:r>
      <w:r>
        <w:rPr>
          <w:rFonts w:hint="eastAsia" w:ascii="仿宋" w:hAnsi="仿宋" w:eastAsia="仿宋" w:cs="仿宋"/>
          <w:sz w:val="32"/>
          <w:szCs w:val="32"/>
          <w:lang w:val="en-US" w:eastAsia="zh-CN"/>
        </w:rPr>
        <w:t>1</w:t>
      </w:r>
      <w:r>
        <w:rPr>
          <w:rFonts w:hint="eastAsia" w:ascii="仿宋" w:hAnsi="仿宋" w:eastAsia="仿宋" w:cs="仿宋"/>
          <w:sz w:val="32"/>
          <w:szCs w:val="32"/>
        </w:rPr>
        <w:t>个项目开展了绩效目标完成情况自评。</w:t>
      </w:r>
    </w:p>
    <w:p>
      <w:pPr>
        <w:pStyle w:val="20"/>
        <w:keepNext w:val="0"/>
        <w:keepLines w:val="0"/>
        <w:widowControl/>
        <w:suppressLineNumbers w:val="0"/>
        <w:spacing w:before="408" w:beforeAutospacing="0" w:after="106" w:afterAutospacing="0" w:line="30" w:lineRule="atLeast"/>
        <w:ind w:right="0" w:firstLine="640" w:firstLineChars="200"/>
        <w:rPr>
          <w:rFonts w:hint="eastAsia" w:ascii="仿宋" w:hAnsi="仿宋" w:eastAsia="仿宋" w:cs="仿宋"/>
          <w:color w:val="333333"/>
          <w:sz w:val="32"/>
          <w:szCs w:val="32"/>
          <w:shd w:val="clear" w:fill="FFFFFF"/>
        </w:rPr>
      </w:pPr>
      <w:r>
        <w:rPr>
          <w:rFonts w:hint="eastAsia" w:ascii="仿宋" w:hAnsi="仿宋" w:eastAsia="仿宋" w:cs="仿宋"/>
          <w:sz w:val="32"/>
          <w:szCs w:val="32"/>
        </w:rPr>
        <w:t>本部门按要求对2020年部门整体支出开展绩效自评，从评价情况来看</w:t>
      </w:r>
      <w:r>
        <w:rPr>
          <w:rFonts w:hint="eastAsia" w:ascii="仿宋" w:hAnsi="仿宋" w:eastAsia="仿宋" w:cs="仿宋"/>
          <w:sz w:val="32"/>
          <w:szCs w:val="32"/>
          <w:lang w:eastAsia="zh-CN"/>
        </w:rPr>
        <w:t>，</w:t>
      </w:r>
      <w:r>
        <w:rPr>
          <w:rFonts w:hint="eastAsia" w:ascii="仿宋" w:hAnsi="仿宋" w:eastAsia="仿宋" w:cs="仿宋"/>
          <w:color w:val="333333"/>
          <w:sz w:val="32"/>
          <w:szCs w:val="32"/>
          <w:shd w:val="clear" w:fill="FFFFFF"/>
        </w:rPr>
        <w:t>本部门预算绩效评估</w:t>
      </w:r>
      <w:r>
        <w:rPr>
          <w:rFonts w:hint="eastAsia" w:ascii="仿宋" w:hAnsi="仿宋" w:eastAsia="仿宋" w:cs="仿宋"/>
          <w:color w:val="333333"/>
          <w:sz w:val="32"/>
          <w:szCs w:val="32"/>
          <w:shd w:val="clear" w:fill="FFFFFF"/>
          <w:lang w:eastAsia="zh-CN"/>
        </w:rPr>
        <w:t>较好地完成</w:t>
      </w:r>
      <w:r>
        <w:rPr>
          <w:rFonts w:hint="eastAsia" w:ascii="仿宋" w:hAnsi="仿宋" w:eastAsia="仿宋" w:cs="仿宋"/>
          <w:color w:val="333333"/>
          <w:sz w:val="32"/>
          <w:szCs w:val="32"/>
          <w:shd w:val="clear" w:fill="FFFFFF"/>
        </w:rPr>
        <w:t>了项目目标任务。</w:t>
      </w:r>
    </w:p>
    <w:p>
      <w:pPr>
        <w:pStyle w:val="20"/>
        <w:keepNext w:val="0"/>
        <w:keepLines w:val="0"/>
        <w:widowControl/>
        <w:suppressLineNumbers w:val="0"/>
        <w:spacing w:before="408" w:beforeAutospacing="0" w:after="106" w:afterAutospacing="0" w:line="30" w:lineRule="atLeast"/>
        <w:ind w:left="0" w:right="0" w:firstLine="420"/>
        <w:rPr>
          <w:rFonts w:ascii="仿宋_GB2312" w:hAnsi="仿宋_GB2312" w:eastAsia="仿宋_GB2312" w:cs="仿宋_GB2312"/>
          <w:sz w:val="32"/>
          <w:szCs w:val="32"/>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壤塘县生活垃圾资源化综合处置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个项目绩效目标实际完成情况。</w:t>
      </w:r>
    </w:p>
    <w:p>
      <w:pPr>
        <w:spacing w:line="580" w:lineRule="exact"/>
        <w:ind w:firstLine="640" w:firstLineChars="200"/>
        <w:rPr>
          <w:rFonts w:hint="eastAsia" w:ascii="仿宋" w:hAnsi="仿宋" w:eastAsia="仿宋" w:cs="仿宋"/>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壤塘县生活垃圾资源化综合处置</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1900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1221.8242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64.3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w:t>
      </w:r>
      <w:r>
        <w:rPr>
          <w:rFonts w:hint="eastAsia" w:ascii="仿宋" w:hAnsi="仿宋" w:eastAsia="仿宋" w:cs="仿宋"/>
          <w:color w:val="000000" w:themeColor="text1"/>
          <w:sz w:val="32"/>
          <w:szCs w:val="32"/>
          <w14:textFill>
            <w14:solidFill>
              <w14:schemeClr w14:val="tx1"/>
            </w14:solidFill>
          </w14:textFill>
        </w:rPr>
        <w:t>项目完成合同工程量的</w:t>
      </w:r>
      <w:r>
        <w:rPr>
          <w:rFonts w:hint="eastAsia" w:ascii="仿宋" w:hAnsi="仿宋" w:eastAsia="仿宋" w:cs="仿宋"/>
          <w:color w:val="000000" w:themeColor="text1"/>
          <w:sz w:val="32"/>
          <w:szCs w:val="32"/>
          <w:lang w:val="en-US" w:eastAsia="zh-CN"/>
          <w14:textFill>
            <w14:solidFill>
              <w14:schemeClr w14:val="tx1"/>
            </w14:solidFill>
          </w14:textFill>
        </w:rPr>
        <w:t>90</w:t>
      </w:r>
      <w:r>
        <w:rPr>
          <w:rFonts w:hint="eastAsia" w:ascii="仿宋" w:hAnsi="仿宋" w:eastAsia="仿宋" w:cs="仿宋"/>
          <w:color w:val="000000" w:themeColor="text1"/>
          <w:sz w:val="32"/>
          <w:szCs w:val="32"/>
          <w14:textFill>
            <w14:solidFill>
              <w14:schemeClr w14:val="tx1"/>
            </w14:solidFill>
          </w14:textFill>
        </w:rPr>
        <w:t>%，质量符合设计要求，项目进度按照合同要求，项目成本依照相关规范严格把控。</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2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lang w:bidi="ar"/>
              </w:rPr>
              <w:t>项目绩效目标完成情况表</w:t>
            </w:r>
            <w:r>
              <w:rPr>
                <w:rFonts w:ascii="宋体" w:cs="宋体"/>
                <w:b/>
                <w:bCs/>
                <w:color w:val="000000"/>
                <w:kern w:val="0"/>
                <w:sz w:val="36"/>
                <w:szCs w:val="36"/>
                <w:lang w:bidi="ar"/>
              </w:rPr>
              <w:br w:type="textWrapping"/>
            </w:r>
            <w:r>
              <w:rPr>
                <w:rFonts w:hint="eastAsia" w:ascii="宋体" w:cs="宋体"/>
                <w:b/>
                <w:bCs/>
                <w:color w:val="000000"/>
                <w:kern w:val="0"/>
                <w:sz w:val="36"/>
                <w:szCs w:val="36"/>
                <w:lang w:eastAsia="zh-CN" w:bidi="ar"/>
              </w:rPr>
              <w:t>（</w:t>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hint="eastAsia" w:ascii="宋体" w:hAnsi="宋体" w:cs="宋体"/>
                <w:color w:val="000000"/>
                <w:kern w:val="0"/>
                <w:sz w:val="36"/>
                <w:szCs w:val="36"/>
                <w:lang w:eastAsia="zh-CN"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壤塘县生活垃圾资源化综合处置项目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壤塘县住房和城乡建设局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万元</w:t>
            </w:r>
            <w:r>
              <w:rPr>
                <w:rFonts w:hint="eastAsia" w:ascii="宋体" w:hAnsi="宋体" w:cs="宋体"/>
                <w:color w:val="000000"/>
                <w:kern w:val="0"/>
                <w:sz w:val="24"/>
                <w:lang w:eastAsia="zh-CN"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hint="eastAsia" w:ascii="宋体" w:hAnsi="宋体" w:cs="宋体"/>
                <w:color w:val="000000"/>
                <w:kern w:val="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楷体_GB2312" w:hAnsi="宋体" w:eastAsia="楷体_GB2312"/>
                <w:color w:val="000000" w:themeColor="text1"/>
                <w:sz w:val="24"/>
                <w:szCs w:val="24"/>
                <w:lang w:val="en-US" w:eastAsia="zh-CN"/>
                <w14:textFill>
                  <w14:solidFill>
                    <w14:schemeClr w14:val="tx1"/>
                  </w14:solidFill>
                </w14:textFill>
              </w:rPr>
              <w:t>1900万元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hint="eastAsia" w:ascii="宋体" w:hAnsi="宋体" w:cs="宋体"/>
                <w:color w:val="000000"/>
                <w:kern w:val="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楷体_GB2312" w:hAnsi="宋体" w:eastAsia="楷体_GB2312"/>
                <w:color w:val="000000" w:themeColor="text1"/>
                <w:sz w:val="24"/>
                <w:szCs w:val="24"/>
                <w:lang w:val="en-US" w:eastAsia="zh-CN"/>
                <w14:textFill>
                  <w14:solidFill>
                    <w14:schemeClr w14:val="tx1"/>
                  </w14:solidFill>
                </w14:textFill>
              </w:rPr>
              <w:t>1221.8242万元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财政拨款</w:t>
            </w:r>
            <w:r>
              <w:rPr>
                <w:rFonts w:hint="eastAsia" w:ascii="宋体" w:hAnsi="宋体" w:cs="宋体"/>
                <w:color w:val="000000"/>
                <w:kern w:val="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楷体_GB2312" w:hAnsi="宋体" w:eastAsia="楷体_GB2312"/>
                <w:color w:val="000000" w:themeColor="text1"/>
                <w:sz w:val="24"/>
                <w:szCs w:val="24"/>
                <w:lang w:val="en-US" w:eastAsia="zh-CN"/>
                <w14:textFill>
                  <w14:solidFill>
                    <w14:schemeClr w14:val="tx1"/>
                  </w14:solidFill>
                </w14:textFill>
              </w:rPr>
              <w:t>1900万元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财政拨款</w:t>
            </w:r>
            <w:r>
              <w:rPr>
                <w:rFonts w:hint="eastAsia" w:ascii="宋体" w:hAnsi="宋体" w:cs="宋体"/>
                <w:color w:val="000000"/>
                <w:kern w:val="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楷体_GB2312" w:hAnsi="宋体" w:eastAsia="楷体_GB2312"/>
                <w:color w:val="000000" w:themeColor="text1"/>
                <w:sz w:val="24"/>
                <w:szCs w:val="24"/>
                <w:lang w:val="en-US" w:eastAsia="zh-CN"/>
                <w14:textFill>
                  <w14:solidFill>
                    <w14:schemeClr w14:val="tx1"/>
                  </w14:solidFill>
                </w14:textFill>
              </w:rPr>
              <w:t>1221.8242万元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eastAsia="zh-CN" w:bidi="ar"/>
              </w:rPr>
              <w:t>其他</w:t>
            </w:r>
            <w:r>
              <w:rPr>
                <w:rFonts w:hint="eastAsia" w:ascii="宋体" w:hAnsi="宋体" w:cs="宋体"/>
                <w:color w:val="000000"/>
                <w:kern w:val="0"/>
                <w:sz w:val="24"/>
                <w:lang w:bidi="ar"/>
              </w:rPr>
              <w:t>资金</w:t>
            </w:r>
            <w:r>
              <w:rPr>
                <w:rFonts w:hint="eastAsia" w:ascii="宋体" w:hAnsi="宋体" w:cs="宋体"/>
                <w:color w:val="000000"/>
                <w:kern w:val="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eastAsia="zh-CN" w:bidi="ar"/>
              </w:rPr>
              <w:t>其他</w:t>
            </w:r>
            <w:r>
              <w:rPr>
                <w:rFonts w:hint="eastAsia" w:ascii="宋体" w:hAnsi="宋体" w:cs="宋体"/>
                <w:color w:val="000000"/>
                <w:kern w:val="0"/>
                <w:sz w:val="24"/>
                <w:lang w:bidi="ar"/>
              </w:rPr>
              <w:t>资金</w:t>
            </w:r>
            <w:r>
              <w:rPr>
                <w:rFonts w:hint="eastAsia" w:ascii="宋体" w:hAnsi="宋体" w:cs="宋体"/>
                <w:color w:val="000000"/>
                <w:kern w:val="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600" w:lineRule="exact"/>
              <w:ind w:firstLine="720"/>
              <w:rPr>
                <w:rFonts w:hint="eastAsia" w:ascii="仿宋_GB2312" w:hAnsi="宋体" w:eastAsia="仿宋_GB2312"/>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新建生活垃圾无害化处置一座，日处理垃圾50吨。包括土建工程、设备采购工程、安装工程等配套设施</w:t>
            </w:r>
            <w:r>
              <w:rPr>
                <w:rFonts w:hint="eastAsia" w:ascii="仿宋_GB2312" w:hAnsi="宋体" w:eastAsia="仿宋_GB2312"/>
                <w:color w:val="000000" w:themeColor="text1"/>
                <w:sz w:val="24"/>
                <w:szCs w:val="24"/>
                <w:lang w:val="zh-CN"/>
                <w14:textFill>
                  <w14:solidFill>
                    <w14:schemeClr w14:val="tx1"/>
                  </w14:solidFill>
                </w14:textFill>
              </w:rPr>
              <w:t>。</w:t>
            </w:r>
          </w:p>
          <w:p>
            <w:pPr>
              <w:widowControl/>
              <w:jc w:val="center"/>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壤塘县生活垃圾资源化综合处置项目</w:t>
            </w:r>
            <w:r>
              <w:rPr>
                <w:rFonts w:hint="eastAsia" w:ascii="宋体" w:hAnsi="宋体" w:eastAsia="宋体" w:cs="宋体"/>
                <w:color w:val="000000" w:themeColor="text1"/>
                <w:sz w:val="24"/>
                <w:szCs w:val="24"/>
                <w:lang w:val="zh-CN"/>
                <w14:textFill>
                  <w14:solidFill>
                    <w14:schemeClr w14:val="tx1"/>
                  </w14:solidFill>
                </w14:textFill>
              </w:rPr>
              <w:t>建设项目</w:t>
            </w:r>
            <w:r>
              <w:rPr>
                <w:rFonts w:hint="eastAsia" w:ascii="宋体" w:hAnsi="宋体" w:eastAsia="宋体" w:cs="宋体"/>
                <w:color w:val="000000" w:themeColor="text1"/>
                <w:sz w:val="24"/>
                <w:szCs w:val="24"/>
                <w14:textFill>
                  <w14:solidFill>
                    <w14:schemeClr w14:val="tx1"/>
                  </w14:solidFill>
                </w14:textFill>
              </w:rPr>
              <w:t>内容</w:t>
            </w:r>
            <w:r>
              <w:rPr>
                <w:rFonts w:hint="eastAsia" w:ascii="宋体" w:hAnsi="宋体" w:eastAsia="宋体" w:cs="宋体"/>
                <w:color w:val="000000" w:themeColor="text1"/>
                <w:sz w:val="24"/>
                <w:szCs w:val="24"/>
                <w:lang w:eastAsia="zh-CN"/>
                <w14:textFill>
                  <w14:solidFill>
                    <w14:schemeClr w14:val="tx1"/>
                  </w14:solidFill>
                </w14:textFill>
              </w:rPr>
              <w:t>土建工程、设备采购工程、安装工程等配套设施。施工签订合同时间</w:t>
            </w:r>
            <w:r>
              <w:rPr>
                <w:rFonts w:hint="eastAsia" w:ascii="宋体" w:hAnsi="宋体" w:eastAsia="宋体" w:cs="宋体"/>
                <w:color w:val="000000" w:themeColor="text1"/>
                <w:sz w:val="24"/>
                <w:szCs w:val="24"/>
                <w:lang w:val="en-US" w:eastAsia="zh-CN"/>
                <w14:textFill>
                  <w14:solidFill>
                    <w14:schemeClr w14:val="tx1"/>
                  </w14:solidFill>
                </w14:textFill>
              </w:rPr>
              <w:t>2019</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lang w:val="en-US" w:eastAsia="zh-CN"/>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lang w:val="en-US" w:eastAsia="zh-CN"/>
                <w14:textFill>
                  <w14:solidFill>
                    <w14:schemeClr w14:val="tx1"/>
                  </w14:solidFill>
                </w14:textFill>
              </w:rPr>
              <w:t>1日至2019</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lang w:val="en-US" w:eastAsia="zh-CN"/>
                <w14:textFill>
                  <w14:solidFill>
                    <w14:schemeClr w14:val="tx1"/>
                  </w14:solidFill>
                </w14:textFill>
              </w:rPr>
              <w:t>11</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lang w:val="en-US" w:eastAsia="zh-CN"/>
                <w14:textFill>
                  <w14:solidFill>
                    <w14:schemeClr w14:val="tx1"/>
                  </w14:solidFill>
                </w14:textFill>
              </w:rPr>
              <w:t>项目竣工。</w:t>
            </w:r>
          </w:p>
          <w:p>
            <w:pPr>
              <w:widowControl/>
              <w:jc w:val="center"/>
              <w:textAlignment w:val="center"/>
              <w:rPr>
                <w:rFonts w:ascii="宋体" w:cs="宋体"/>
                <w:color w:val="000000"/>
                <w:sz w:val="24"/>
              </w:rPr>
            </w:pPr>
            <w:r>
              <w:rPr>
                <w:rFonts w:hint="eastAsia" w:ascii="宋体" w:hAnsi="宋体" w:eastAsia="宋体" w:cs="宋体"/>
                <w:color w:val="000000" w:themeColor="text1"/>
                <w:sz w:val="24"/>
                <w:szCs w:val="24"/>
                <w14:textFill>
                  <w14:solidFill>
                    <w14:schemeClr w14:val="tx1"/>
                  </w14:solidFill>
                </w14:textFill>
              </w:rPr>
              <w:t>项目完成合同工程量的</w:t>
            </w:r>
            <w:r>
              <w:rPr>
                <w:rFonts w:hint="eastAsia" w:ascii="宋体" w:hAnsi="宋体" w:eastAsia="宋体" w:cs="宋体"/>
                <w:color w:val="000000" w:themeColor="text1"/>
                <w:sz w:val="24"/>
                <w:szCs w:val="24"/>
                <w:lang w:val="en-US" w:eastAsia="zh-CN"/>
                <w14:textFill>
                  <w14:solidFill>
                    <w14:schemeClr w14:val="tx1"/>
                  </w14:solidFill>
                </w14:textFill>
              </w:rPr>
              <w:t>90</w:t>
            </w:r>
            <w:r>
              <w:rPr>
                <w:rFonts w:hint="eastAsia" w:ascii="宋体" w:hAnsi="宋体" w:eastAsia="宋体" w:cs="宋体"/>
                <w:color w:val="000000" w:themeColor="text1"/>
                <w:sz w:val="24"/>
                <w:szCs w:val="24"/>
                <w14:textFill>
                  <w14:solidFill>
                    <w14:schemeClr w14:val="tx1"/>
                  </w14:solidFill>
                </w14:textFill>
              </w:rPr>
              <w:t>%，质量符合设计要求，项目进度按照合同要求，项目成本依照相关规范严格把控。</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包含数字及文字描述</w:t>
            </w:r>
            <w:r>
              <w:rPr>
                <w:rFonts w:hint="eastAsia" w:ascii="宋体" w:hAnsi="宋体" w:cs="宋体"/>
                <w:color w:val="000000"/>
                <w:kern w:val="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包含数字及文字描述</w:t>
            </w:r>
            <w:r>
              <w:rPr>
                <w:rFonts w:hint="eastAsia" w:ascii="宋体" w:hAnsi="宋体" w:cs="宋体"/>
                <w:color w:val="000000"/>
                <w:kern w:val="0"/>
                <w:sz w:val="24"/>
                <w:lang w:eastAsia="zh-CN"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eastAsia="宋体" w:cs="宋体"/>
                <w:color w:val="000000"/>
                <w:sz w:val="24"/>
                <w:lang w:eastAsia="zh-CN"/>
              </w:rPr>
            </w:pPr>
            <w:r>
              <w:rPr>
                <w:rFonts w:hint="eastAsia" w:ascii="宋体" w:cs="宋体"/>
                <w:color w:val="000000"/>
                <w:sz w:val="24"/>
                <w:lang w:eastAsia="zh-CN"/>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任务完成率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项目完工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项目已完工，因35KV电力电路损毁，尚未运行</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服务对象</w:t>
            </w:r>
            <w:r>
              <w:rPr>
                <w:rFonts w:hint="eastAsia" w:ascii="宋体" w:cs="宋体"/>
                <w:color w:val="000000"/>
                <w:sz w:val="24"/>
                <w:lang w:eastAsia="zh-CN"/>
              </w:rPr>
              <w:t>（</w:t>
            </w:r>
            <w:r>
              <w:rPr>
                <w:rFonts w:hint="eastAsia" w:ascii="宋体" w:cs="宋体"/>
                <w:color w:val="000000"/>
                <w:sz w:val="24"/>
              </w:rPr>
              <w:t>受益</w:t>
            </w:r>
            <w:r>
              <w:rPr>
                <w:rFonts w:hint="eastAsia" w:ascii="宋体" w:cs="宋体"/>
                <w:color w:val="000000"/>
                <w:sz w:val="24"/>
                <w:lang w:eastAsia="zh-CN"/>
              </w:rPr>
              <w:t>）</w:t>
            </w:r>
            <w:r>
              <w:rPr>
                <w:rFonts w:hint="eastAsia" w:ascii="宋体" w:cs="宋体"/>
                <w:color w:val="000000"/>
                <w:sz w:val="24"/>
              </w:rPr>
              <w:t>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民众咨询，我局配合度≧9</w:t>
            </w:r>
            <w:r>
              <w:rPr>
                <w:rFonts w:hint="eastAsia" w:ascii="宋体" w:cs="宋体"/>
                <w:color w:val="000000"/>
                <w:sz w:val="24"/>
                <w:lang w:val="en-US" w:eastAsia="zh-CN"/>
              </w:rPr>
              <w:t>2</w:t>
            </w:r>
            <w:r>
              <w:rPr>
                <w:rFonts w:hint="eastAsia" w:ascii="宋体" w:cs="宋体"/>
                <w:color w:val="000000"/>
                <w:sz w:val="24"/>
              </w:rPr>
              <w:t>%以上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民众咨询，我局配合度≧95%以上</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估算总投资1900万元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估算总投资1900万元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生态效益指标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日无害化处理垃圾，形成良好生态环境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日无害化处理垃圾，形成良好生态环境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2021</w:t>
            </w:r>
            <w:r>
              <w:rPr>
                <w:rFonts w:hint="eastAsia" w:ascii="宋体" w:cs="宋体"/>
                <w:color w:val="000000"/>
                <w:sz w:val="24"/>
                <w:lang w:eastAsia="zh-CN"/>
              </w:rPr>
              <w:t>年</w:t>
            </w:r>
            <w:r>
              <w:rPr>
                <w:rFonts w:hint="eastAsia" w:ascii="宋体" w:cs="宋体"/>
                <w:color w:val="000000"/>
                <w:sz w:val="24"/>
                <w:lang w:val="en-US" w:eastAsia="zh-CN"/>
              </w:rPr>
              <w:t>3</w:t>
            </w:r>
            <w:r>
              <w:rPr>
                <w:rFonts w:hint="eastAsia" w:ascii="宋体" w:cs="宋体"/>
                <w:color w:val="000000"/>
                <w:sz w:val="24"/>
                <w:lang w:eastAsia="zh-CN"/>
              </w:rPr>
              <w:t>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2021</w:t>
            </w:r>
            <w:r>
              <w:rPr>
                <w:rFonts w:hint="eastAsia" w:ascii="宋体" w:cs="宋体"/>
                <w:color w:val="000000"/>
                <w:sz w:val="24"/>
                <w:lang w:eastAsia="zh-CN"/>
              </w:rPr>
              <w:t>年</w:t>
            </w:r>
            <w:r>
              <w:rPr>
                <w:rFonts w:hint="eastAsia" w:ascii="宋体" w:cs="宋体"/>
                <w:color w:val="000000"/>
                <w:sz w:val="24"/>
              </w:rPr>
              <w:t>4</w:t>
            </w:r>
            <w:r>
              <w:rPr>
                <w:rFonts w:hint="eastAsia" w:ascii="宋体" w:cs="宋体"/>
                <w:color w:val="000000"/>
                <w:sz w:val="24"/>
                <w:lang w:eastAsia="zh-CN"/>
              </w:rPr>
              <w:t>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eastAsia="仿宋_GB2312"/>
          <w:color w:val="000000"/>
          <w:sz w:val="32"/>
          <w:szCs w:val="32"/>
          <w:lang w:eastAsia="zh-CN"/>
        </w:rPr>
        <w:t>住房和城乡建设局</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w:t>
      </w:r>
    </w:p>
    <w:p>
      <w:pPr>
        <w:spacing w:line="580" w:lineRule="exac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660" w:firstLineChars="150"/>
        <w:jc w:val="center"/>
        <w:outlineLvl w:val="0"/>
        <w:rPr>
          <w:rStyle w:val="26"/>
          <w:rFonts w:ascii="黑体" w:hAnsi="黑体" w:eastAsia="黑体"/>
          <w:b w:val="0"/>
        </w:rPr>
      </w:pPr>
      <w:bookmarkStart w:id="94" w:name="_Toc15396613"/>
      <w:bookmarkStart w:id="95" w:name="_Toc79163629"/>
      <w:bookmarkStart w:id="96" w:name="_Toc79163879"/>
      <w:bookmarkStart w:id="97" w:name="_Toc15377225"/>
      <w:r>
        <w:rPr>
          <w:rFonts w:hint="eastAsia" w:ascii="黑体" w:hAnsi="黑体" w:eastAsia="黑体"/>
          <w:color w:val="000000"/>
          <w:sz w:val="44"/>
          <w:szCs w:val="44"/>
        </w:rPr>
        <w:t>名</w:t>
      </w:r>
      <w:r>
        <w:rPr>
          <w:rStyle w:val="26"/>
          <w:rFonts w:hint="eastAsia" w:ascii="黑体" w:hAnsi="黑体" w:eastAsia="黑体"/>
          <w:b w:val="0"/>
        </w:rPr>
        <w:t>词解释</w:t>
      </w:r>
      <w:bookmarkEnd w:id="94"/>
      <w:bookmarkEnd w:id="95"/>
      <w:bookmarkEnd w:id="96"/>
      <w:bookmarkEnd w:id="97"/>
    </w:p>
    <w:p>
      <w:pPr>
        <w:spacing w:line="600" w:lineRule="exact"/>
        <w:jc w:val="left"/>
        <w:rPr>
          <w:rFonts w:ascii="宋体"/>
          <w:b/>
          <w:color w:val="000000"/>
          <w:sz w:val="44"/>
          <w:szCs w:val="44"/>
        </w:rPr>
      </w:pPr>
    </w:p>
    <w:p>
      <w:pPr>
        <w:pStyle w:val="36"/>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1.财政拨款收入：指单位从同级财政部门取得的财政预算资金。</w:t>
      </w:r>
    </w:p>
    <w:p>
      <w:pPr>
        <w:pStyle w:val="36"/>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2.事业收入：指事业单位开展专业业务活动及辅助活动取得的收入。如…（二级预算单位事业收入情况）等。</w:t>
      </w:r>
    </w:p>
    <w:p>
      <w:pPr>
        <w:pStyle w:val="36"/>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3.经营收入：指事业单位在专业业务活动及其辅助活动之外开展非独立核算经营活动取得的收入。如…（二级预算单位经营收入情况）等。</w:t>
      </w:r>
    </w:p>
    <w:p>
      <w:pPr>
        <w:pStyle w:val="36"/>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4.其他收入：指单位取得的除上述收入以外的各项收入。主要是…（收入类型）等。 </w:t>
      </w:r>
    </w:p>
    <w:p>
      <w:pPr>
        <w:pStyle w:val="36"/>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5.使用非财政拨款结余：指事业单位使用以前年度积累的非财政拨款结余弥补当年收支差额的金额。 </w:t>
      </w:r>
    </w:p>
    <w:p>
      <w:pPr>
        <w:pStyle w:val="36"/>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6.年初结转和结余：指以前年度尚未完成、结转到本年按有关规定继续使用的资金。 </w:t>
      </w:r>
    </w:p>
    <w:p>
      <w:pPr>
        <w:pStyle w:val="36"/>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7.结余分配：指事业单位按照会计制度规定缴纳的所得税、提取的专用结余以及转入非财政拨款结余的金额等。</w:t>
      </w:r>
    </w:p>
    <w:p>
      <w:pPr>
        <w:pStyle w:val="36"/>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8、年末结转和结余：指单位按有关规定结转到下年或以后年度继续使用的资金。</w:t>
      </w:r>
    </w:p>
    <w:p>
      <w:pPr>
        <w:pStyle w:val="20"/>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rPr>
      </w:pPr>
      <w:r>
        <w:rPr>
          <w:rFonts w:hint="eastAsia" w:ascii="仿宋" w:hAnsi="仿宋" w:eastAsia="仿宋" w:cs="仿宋"/>
          <w:color w:val="333333"/>
          <w:sz w:val="32"/>
          <w:szCs w:val="32"/>
          <w:shd w:val="clear" w:fill="FFFFFF"/>
        </w:rPr>
        <w:t>9</w:t>
      </w:r>
      <w:r>
        <w:rPr>
          <w:rFonts w:hint="eastAsia" w:ascii="仿宋" w:hAnsi="仿宋" w:eastAsia="仿宋" w:cs="仿宋"/>
          <w:b/>
          <w:bCs/>
          <w:color w:val="333333"/>
          <w:sz w:val="32"/>
          <w:szCs w:val="32"/>
          <w:shd w:val="clear" w:fill="FFFFFF"/>
        </w:rPr>
        <w:t>.一般公共服务（类）组织事务，其他组织事务</w:t>
      </w:r>
      <w:r>
        <w:rPr>
          <w:rFonts w:hint="eastAsia" w:ascii="仿宋" w:hAnsi="仿宋" w:eastAsia="仿宋" w:cs="仿宋"/>
          <w:b/>
          <w:bCs/>
          <w:color w:val="333333"/>
          <w:sz w:val="32"/>
          <w:szCs w:val="32"/>
          <w:shd w:val="clear" w:fill="FFFFFF"/>
          <w:lang w:eastAsia="zh-CN"/>
        </w:rPr>
        <w:t>：反映</w:t>
      </w:r>
      <w:r>
        <w:rPr>
          <w:rFonts w:hint="eastAsia" w:ascii="仿宋" w:hAnsi="仿宋" w:eastAsia="仿宋" w:cs="仿宋"/>
          <w:color w:val="333333"/>
          <w:sz w:val="32"/>
          <w:szCs w:val="32"/>
          <w:shd w:val="clear" w:fill="FFFFFF"/>
        </w:rPr>
        <w:t>其他用于中国共产党组织部门的事务支出。</w:t>
      </w:r>
    </w:p>
    <w:p>
      <w:pPr>
        <w:pStyle w:val="20"/>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rPr>
      </w:pPr>
      <w:r>
        <w:rPr>
          <w:rFonts w:hint="eastAsia" w:ascii="仿宋" w:hAnsi="仿宋" w:eastAsia="仿宋" w:cs="仿宋"/>
          <w:b/>
          <w:bCs/>
          <w:color w:val="333333"/>
          <w:sz w:val="32"/>
          <w:szCs w:val="32"/>
          <w:shd w:val="clear" w:fill="FFFFFF"/>
        </w:rPr>
        <w:t>10.社会保障和就业（类）行政事业单位离退休（款）</w:t>
      </w:r>
      <w:r>
        <w:rPr>
          <w:rFonts w:hint="eastAsia" w:ascii="仿宋" w:hAnsi="仿宋" w:eastAsia="仿宋" w:cs="仿宋"/>
          <w:color w:val="333333"/>
          <w:sz w:val="32"/>
          <w:szCs w:val="32"/>
          <w:shd w:val="clear" w:fill="FFFFFF"/>
        </w:rPr>
        <w:t>机关事业养老保险</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是指机关事业单位实施养老保险制度由单位缴纳的基本养老保险制度，机关事业单位职业年金：是指机关事业单位实施养老保险制度由单位缴纳的职业年金支出。</w:t>
      </w:r>
    </w:p>
    <w:p>
      <w:pPr>
        <w:pStyle w:val="20"/>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rPr>
      </w:pPr>
      <w:r>
        <w:rPr>
          <w:rFonts w:hint="eastAsia" w:ascii="仿宋" w:hAnsi="仿宋" w:eastAsia="仿宋" w:cs="仿宋"/>
          <w:b/>
          <w:bCs/>
          <w:color w:val="333333"/>
          <w:sz w:val="32"/>
          <w:szCs w:val="32"/>
          <w:shd w:val="clear" w:fill="FFFFFF"/>
        </w:rPr>
        <w:t>11.医疗卫生与计划生育（类）行政单位医疗（款）行政单位医疗</w:t>
      </w:r>
      <w:r>
        <w:rPr>
          <w:rFonts w:hint="eastAsia" w:ascii="仿宋" w:hAnsi="仿宋" w:eastAsia="仿宋" w:cs="仿宋"/>
          <w:b/>
          <w:bCs/>
          <w:color w:val="333333"/>
          <w:sz w:val="32"/>
          <w:szCs w:val="32"/>
          <w:shd w:val="clear" w:fill="FFFFFF"/>
          <w:lang w:eastAsia="zh-CN"/>
        </w:rPr>
        <w:t>：</w:t>
      </w:r>
      <w:r>
        <w:rPr>
          <w:rFonts w:hint="eastAsia" w:ascii="仿宋" w:hAnsi="仿宋" w:eastAsia="仿宋" w:cs="仿宋"/>
          <w:color w:val="333333"/>
          <w:sz w:val="32"/>
          <w:szCs w:val="32"/>
          <w:shd w:val="clear" w:fill="FFFFFF"/>
        </w:rPr>
        <w:t>是指财政部门集中安排的行政单位基本医疗保险费经费</w:t>
      </w:r>
    </w:p>
    <w:p>
      <w:pPr>
        <w:pStyle w:val="20"/>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rPr>
      </w:pPr>
      <w:r>
        <w:rPr>
          <w:rFonts w:hint="eastAsia" w:ascii="仿宋" w:hAnsi="仿宋" w:eastAsia="仿宋" w:cs="仿宋"/>
          <w:b/>
          <w:bCs/>
          <w:color w:val="333333"/>
          <w:sz w:val="32"/>
          <w:szCs w:val="32"/>
          <w:shd w:val="clear" w:fill="FFFFFF"/>
        </w:rPr>
        <w:t>12</w:t>
      </w:r>
      <w:r>
        <w:rPr>
          <w:rFonts w:hint="eastAsia" w:ascii="仿宋" w:hAnsi="仿宋" w:eastAsia="仿宋" w:cs="仿宋"/>
          <w:color w:val="333333"/>
          <w:sz w:val="32"/>
          <w:szCs w:val="32"/>
          <w:shd w:val="clear" w:fill="FFFFFF"/>
        </w:rPr>
        <w:t>.</w:t>
      </w:r>
      <w:r>
        <w:rPr>
          <w:rFonts w:hint="eastAsia" w:ascii="仿宋" w:hAnsi="仿宋" w:eastAsia="仿宋" w:cs="仿宋"/>
          <w:b/>
          <w:bCs/>
          <w:color w:val="333333"/>
          <w:sz w:val="32"/>
          <w:szCs w:val="32"/>
          <w:shd w:val="clear" w:fill="FFFFFF"/>
        </w:rPr>
        <w:t>节能环保</w:t>
      </w:r>
      <w:r>
        <w:rPr>
          <w:rFonts w:hint="eastAsia" w:ascii="仿宋" w:hAnsi="仿宋" w:eastAsia="仿宋" w:cs="仿宋"/>
          <w:color w:val="333333"/>
          <w:sz w:val="32"/>
          <w:szCs w:val="32"/>
          <w:shd w:val="clear" w:fill="FFFFFF"/>
        </w:rPr>
        <w:t>：生态保护：是指用于生态功能保护区、生态示范区，生态省（市、县）管理及能力建设，日常管护、宣教、试点示范等支出。农村环境保护：是指</w:t>
      </w:r>
      <w:r>
        <w:rPr>
          <w:rFonts w:hint="eastAsia" w:ascii="仿宋" w:hAnsi="仿宋" w:eastAsia="仿宋" w:cs="仿宋"/>
          <w:color w:val="333333"/>
          <w:sz w:val="32"/>
          <w:szCs w:val="32"/>
          <w:shd w:val="clear" w:fill="FFFFFF"/>
          <w:lang w:eastAsia="zh-CN"/>
        </w:rPr>
        <w:t>反映</w:t>
      </w:r>
      <w:r>
        <w:rPr>
          <w:rFonts w:hint="eastAsia" w:ascii="仿宋" w:hAnsi="仿宋" w:eastAsia="仿宋" w:cs="仿宋"/>
          <w:color w:val="333333"/>
          <w:sz w:val="32"/>
          <w:szCs w:val="32"/>
          <w:shd w:val="clear" w:fill="FFFFFF"/>
        </w:rPr>
        <w:t>用于农村环境方面的支出。</w:t>
      </w:r>
    </w:p>
    <w:p>
      <w:pPr>
        <w:pStyle w:val="20"/>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rPr>
      </w:pPr>
      <w:r>
        <w:rPr>
          <w:rFonts w:hint="eastAsia" w:ascii="仿宋" w:hAnsi="仿宋" w:eastAsia="仿宋" w:cs="仿宋"/>
          <w:b/>
          <w:bCs/>
          <w:color w:val="333333"/>
          <w:sz w:val="32"/>
          <w:szCs w:val="32"/>
          <w:shd w:val="clear" w:fill="FFFFFF"/>
        </w:rPr>
        <w:t>13</w:t>
      </w:r>
      <w:r>
        <w:rPr>
          <w:rFonts w:hint="eastAsia" w:ascii="仿宋" w:hAnsi="仿宋" w:eastAsia="仿宋" w:cs="仿宋"/>
          <w:color w:val="333333"/>
          <w:sz w:val="32"/>
          <w:szCs w:val="32"/>
          <w:shd w:val="clear" w:fill="FFFFFF"/>
        </w:rPr>
        <w:t>.</w:t>
      </w:r>
      <w:r>
        <w:rPr>
          <w:rFonts w:hint="eastAsia" w:ascii="仿宋" w:hAnsi="仿宋" w:eastAsia="仿宋" w:cs="仿宋"/>
          <w:b/>
          <w:bCs/>
          <w:color w:val="333333"/>
          <w:sz w:val="32"/>
          <w:szCs w:val="32"/>
          <w:shd w:val="clear" w:fill="FFFFFF"/>
        </w:rPr>
        <w:t>城乡社区（类）</w:t>
      </w:r>
      <w:r>
        <w:rPr>
          <w:rFonts w:hint="eastAsia" w:ascii="仿宋" w:hAnsi="仿宋" w:eastAsia="仿宋" w:cs="仿宋"/>
          <w:color w:val="333333"/>
          <w:sz w:val="32"/>
          <w:szCs w:val="32"/>
          <w:shd w:val="clear" w:fill="FFFFFF"/>
        </w:rPr>
        <w:t>：城乡社区管理事务</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行政运行支出：是指</w:t>
      </w:r>
      <w:r>
        <w:rPr>
          <w:rFonts w:hint="eastAsia" w:ascii="仿宋" w:hAnsi="仿宋" w:eastAsia="仿宋" w:cs="仿宋"/>
          <w:color w:val="333333"/>
          <w:sz w:val="32"/>
          <w:szCs w:val="32"/>
          <w:shd w:val="clear" w:fill="FFFFFF"/>
          <w:lang w:eastAsia="zh-CN"/>
        </w:rPr>
        <w:t>反映</w:t>
      </w:r>
      <w:r>
        <w:rPr>
          <w:rFonts w:hint="eastAsia" w:ascii="仿宋" w:hAnsi="仿宋" w:eastAsia="仿宋" w:cs="仿宋"/>
          <w:color w:val="333333"/>
          <w:sz w:val="32"/>
          <w:szCs w:val="32"/>
          <w:shd w:val="clear" w:fill="FFFFFF"/>
        </w:rPr>
        <w:t>单位的基本支出，城管执法：是指城市管理综合执法加强城市市容、和环境卫生管理等方面的支出。其他城乡社区管理事务支出：是指其他用于城乡社区管理事务方面的支出，城乡社区规划与管理：是指</w:t>
      </w:r>
      <w:r>
        <w:rPr>
          <w:rFonts w:hint="eastAsia" w:ascii="仿宋" w:hAnsi="仿宋" w:eastAsia="仿宋" w:cs="仿宋"/>
          <w:color w:val="333333"/>
          <w:sz w:val="32"/>
          <w:szCs w:val="32"/>
          <w:shd w:val="clear" w:fill="FFFFFF"/>
          <w:lang w:eastAsia="zh-CN"/>
        </w:rPr>
        <w:t>反映</w:t>
      </w:r>
      <w:r>
        <w:rPr>
          <w:rFonts w:hint="eastAsia" w:ascii="仿宋" w:hAnsi="仿宋" w:eastAsia="仿宋" w:cs="仿宋"/>
          <w:color w:val="333333"/>
          <w:sz w:val="32"/>
          <w:szCs w:val="32"/>
          <w:shd w:val="clear" w:fill="FFFFFF"/>
        </w:rPr>
        <w:t>城乡社区、风景名胜区、防震减灾、历史名城规划制定与管理方面的支出。城乡社区公共设施、其他城乡社区公共设施：用于城乡社区公共设施方面的支出。城乡社区环境卫生：是指城乡社区道路清扫、垃圾清运与处理、公厕建设与维护、园林绿化等方面的支出。国有土地使用出让收入及对应专项债务收入安排的支出：廉租住房支出：用于新建、改建购买租赁廉租住房支出。国有土地收益基金及对应专项债务收入安排的支出</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其他城乡社区支出</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其他社区支出</w:t>
      </w:r>
      <w:r>
        <w:rPr>
          <w:rFonts w:hint="eastAsia" w:ascii="仿宋" w:hAnsi="仿宋" w:eastAsia="仿宋" w:cs="仿宋"/>
          <w:color w:val="333333"/>
          <w:sz w:val="32"/>
          <w:szCs w:val="32"/>
          <w:shd w:val="clear" w:fill="FFFFFF"/>
          <w:lang w:eastAsia="zh-CN"/>
        </w:rPr>
        <w:t>反映</w:t>
      </w:r>
      <w:r>
        <w:rPr>
          <w:rFonts w:hint="eastAsia" w:ascii="仿宋" w:hAnsi="仿宋" w:eastAsia="仿宋" w:cs="仿宋"/>
          <w:color w:val="333333"/>
          <w:sz w:val="32"/>
          <w:szCs w:val="32"/>
          <w:shd w:val="clear" w:fill="FFFFFF"/>
        </w:rPr>
        <w:t>用于城乡社区方面的支出</w:t>
      </w:r>
    </w:p>
    <w:p>
      <w:pPr>
        <w:pStyle w:val="20"/>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rPr>
      </w:pPr>
      <w:r>
        <w:rPr>
          <w:rFonts w:hint="eastAsia" w:ascii="仿宋" w:hAnsi="仿宋" w:eastAsia="仿宋" w:cs="仿宋"/>
          <w:color w:val="333333"/>
          <w:sz w:val="32"/>
          <w:szCs w:val="32"/>
          <w:shd w:val="clear" w:fill="FFFFFF"/>
        </w:rPr>
        <w:t>14.</w:t>
      </w:r>
      <w:r>
        <w:rPr>
          <w:rFonts w:hint="eastAsia" w:ascii="仿宋" w:hAnsi="仿宋" w:eastAsia="仿宋" w:cs="仿宋"/>
          <w:b/>
          <w:bCs/>
          <w:color w:val="333333"/>
          <w:sz w:val="32"/>
          <w:szCs w:val="32"/>
          <w:shd w:val="clear" w:fill="FFFFFF"/>
        </w:rPr>
        <w:t>农林水支出</w:t>
      </w:r>
      <w:r>
        <w:rPr>
          <w:rFonts w:hint="eastAsia" w:ascii="仿宋" w:hAnsi="仿宋" w:eastAsia="仿宋" w:cs="仿宋"/>
          <w:color w:val="333333"/>
          <w:sz w:val="32"/>
          <w:szCs w:val="32"/>
          <w:shd w:val="clear" w:fill="FFFFFF"/>
        </w:rPr>
        <w:t>（类）水利（款）其他水利支出（项）：是指其他用于水利方面的支出扶贫：农村基础设施建设：用于农村</w:t>
      </w:r>
      <w:r>
        <w:rPr>
          <w:rFonts w:hint="eastAsia" w:ascii="仿宋" w:hAnsi="仿宋" w:eastAsia="仿宋" w:cs="仿宋"/>
          <w:color w:val="333333"/>
          <w:sz w:val="32"/>
          <w:szCs w:val="32"/>
          <w:shd w:val="clear" w:fill="FFFFFF"/>
          <w:lang w:eastAsia="zh-CN"/>
        </w:rPr>
        <w:t>贫困地区</w:t>
      </w:r>
      <w:r>
        <w:rPr>
          <w:rFonts w:hint="eastAsia" w:ascii="仿宋" w:hAnsi="仿宋" w:eastAsia="仿宋" w:cs="仿宋"/>
          <w:color w:val="333333"/>
          <w:sz w:val="32"/>
          <w:szCs w:val="32"/>
          <w:shd w:val="clear" w:fill="FFFFFF"/>
        </w:rPr>
        <w:t>乡村道路，住房、基本农田水利设施、人畜饮水生态环境保护等生产生活条件改善方面的支出。其他农林水支出：是指其他用于农林水的支出。</w:t>
      </w:r>
    </w:p>
    <w:p>
      <w:pPr>
        <w:pStyle w:val="20"/>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lang w:val="en-US" w:eastAsia="zh-CN"/>
        </w:rPr>
      </w:pPr>
      <w:r>
        <w:rPr>
          <w:rFonts w:hint="eastAsia" w:ascii="仿宋" w:hAnsi="仿宋" w:eastAsia="仿宋" w:cs="仿宋"/>
          <w:b/>
          <w:bCs/>
          <w:color w:val="333333"/>
          <w:sz w:val="32"/>
          <w:szCs w:val="32"/>
          <w:shd w:val="clear" w:fill="FFFFFF"/>
        </w:rPr>
        <w:t>15.住房保障支出</w:t>
      </w:r>
      <w:r>
        <w:rPr>
          <w:rFonts w:hint="eastAsia" w:ascii="仿宋" w:hAnsi="仿宋" w:eastAsia="仿宋" w:cs="仿宋"/>
          <w:color w:val="333333"/>
          <w:sz w:val="32"/>
          <w:szCs w:val="32"/>
          <w:shd w:val="clear" w:fill="FFFFFF"/>
        </w:rPr>
        <w:t>（类）保障性安居工程（款）廉租住房（项）：是指廉租住房支出：用于新建、改建购买租赁廉租住房支出。棚户区改造：是指</w:t>
      </w:r>
      <w:r>
        <w:rPr>
          <w:rFonts w:hint="eastAsia" w:ascii="仿宋" w:hAnsi="仿宋" w:eastAsia="仿宋" w:cs="仿宋"/>
          <w:color w:val="333333"/>
          <w:sz w:val="32"/>
          <w:szCs w:val="32"/>
          <w:shd w:val="clear" w:fill="FFFFFF"/>
          <w:lang w:eastAsia="zh-CN"/>
        </w:rPr>
        <w:t>反映</w:t>
      </w:r>
      <w:r>
        <w:rPr>
          <w:rFonts w:hint="eastAsia" w:ascii="仿宋" w:hAnsi="仿宋" w:eastAsia="仿宋" w:cs="仿宋"/>
          <w:color w:val="333333"/>
          <w:sz w:val="32"/>
          <w:szCs w:val="32"/>
          <w:shd w:val="clear" w:fill="FFFFFF"/>
        </w:rPr>
        <w:t>棚户区改造的支出。农村危房改造：用于农村危房改造的支出、住房改革支出：住房公积金：是指按规定缴纳的公积金</w:t>
      </w:r>
      <w:r>
        <w:rPr>
          <w:rFonts w:hint="eastAsia" w:ascii="仿宋" w:hAnsi="仿宋" w:eastAsia="仿宋" w:cs="仿宋"/>
          <w:color w:val="000000"/>
          <w:sz w:val="32"/>
          <w:szCs w:val="32"/>
        </w:rPr>
        <w:t>。</w:t>
      </w:r>
    </w:p>
    <w:p>
      <w:pPr>
        <w:ind w:firstLine="643" w:firstLineChars="200"/>
        <w:rPr>
          <w:rFonts w:hint="eastAsia" w:ascii="仿宋" w:hAnsi="仿宋" w:eastAsia="仿宋" w:cs="仿宋"/>
          <w:b/>
          <w:color w:val="000000"/>
          <w:sz w:val="32"/>
          <w:szCs w:val="32"/>
        </w:rPr>
      </w:pP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16.</w:t>
      </w:r>
      <w:r>
        <w:rPr>
          <w:rFonts w:hint="eastAsia" w:ascii="仿宋" w:hAnsi="仿宋" w:eastAsia="仿宋" w:cs="仿宋"/>
          <w:color w:val="000000"/>
          <w:sz w:val="32"/>
          <w:szCs w:val="32"/>
        </w:rPr>
        <w:t>基本支出：指为保障机构正常运转、完成日常工作任务而发生的人员支出和公用支出。</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17</w:t>
      </w:r>
      <w:r>
        <w:rPr>
          <w:rFonts w:hint="eastAsia" w:ascii="仿宋" w:hAnsi="仿宋" w:eastAsia="仿宋" w:cs="仿宋"/>
          <w:color w:val="000000"/>
          <w:sz w:val="32"/>
          <w:szCs w:val="32"/>
        </w:rPr>
        <w:t xml:space="preserve">.项目支出：指在基本支出之外为完成特定行政任务和事业发展目标所发生的支出。 </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18.</w:t>
      </w:r>
      <w:r>
        <w:rPr>
          <w:rFonts w:hint="eastAsia" w:ascii="仿宋" w:hAnsi="仿宋" w:eastAsia="仿宋" w:cs="仿宋"/>
          <w:color w:val="000000"/>
          <w:sz w:val="32"/>
          <w:szCs w:val="32"/>
        </w:rPr>
        <w:t>经营支出：指事业单位在专业业务活动及其辅助活动之外开展非独立核算经营活动发生的支出。</w:t>
      </w:r>
    </w:p>
    <w:p>
      <w:pPr>
        <w:pStyle w:val="36"/>
        <w:spacing w:line="560" w:lineRule="exact"/>
        <w:ind w:firstLine="640" w:firstLineChars="200"/>
        <w:rPr>
          <w:rFonts w:hint="eastAsia" w:ascii="仿宋" w:hAnsi="仿宋" w:eastAsia="仿宋" w:cs="仿宋"/>
          <w:sz w:val="32"/>
          <w:szCs w:val="32"/>
        </w:rPr>
      </w:pPr>
      <w:r>
        <w:rPr>
          <w:rFonts w:hint="eastAsia" w:hAnsi="仿宋" w:cs="仿宋"/>
          <w:sz w:val="32"/>
          <w:szCs w:val="32"/>
          <w:lang w:val="en-US" w:eastAsia="zh-CN"/>
        </w:rPr>
        <w:t>19.</w:t>
      </w:r>
      <w:r>
        <w:rPr>
          <w:rFonts w:hint="eastAsia" w:ascii="仿宋" w:hAnsi="仿宋" w:eastAsia="仿宋" w:cs="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6"/>
        <w:spacing w:line="560" w:lineRule="exact"/>
        <w:ind w:firstLine="640" w:firstLineChars="200"/>
        <w:rPr>
          <w:rFonts w:hint="eastAsia" w:ascii="仿宋" w:hAnsi="仿宋" w:eastAsia="仿宋" w:cs="仿宋"/>
          <w:sz w:val="32"/>
          <w:szCs w:val="32"/>
        </w:rPr>
      </w:pPr>
      <w:r>
        <w:rPr>
          <w:rFonts w:hint="eastAsia" w:hAnsi="仿宋" w:cs="仿宋"/>
          <w:sz w:val="32"/>
          <w:szCs w:val="32"/>
          <w:lang w:val="en-US" w:eastAsia="zh-CN"/>
        </w:rPr>
        <w:t>20.</w:t>
      </w:r>
      <w:r>
        <w:rPr>
          <w:rFonts w:hint="eastAsia" w:ascii="仿宋" w:hAnsi="仿宋" w:eastAsia="仿宋" w:cs="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6"/>
        <w:spacing w:line="560" w:lineRule="exact"/>
        <w:ind w:firstLine="640" w:firstLineChars="200"/>
        <w:rPr>
          <w:rFonts w:ascii="仿宋_GB2312" w:eastAsia="仿宋_GB2312" w:cs="黑体"/>
          <w:sz w:val="32"/>
          <w:szCs w:val="32"/>
        </w:rPr>
      </w:pPr>
    </w:p>
    <w:p>
      <w:pPr>
        <w:spacing w:line="600" w:lineRule="exact"/>
        <w:jc w:val="center"/>
        <w:outlineLvl w:val="0"/>
        <w:rPr>
          <w:rStyle w:val="26"/>
          <w:rFonts w:ascii="黑体" w:hAnsi="黑体" w:eastAsia="黑体"/>
          <w:b w:val="0"/>
        </w:rPr>
      </w:pPr>
      <w:bookmarkStart w:id="98" w:name="_Toc15377226"/>
      <w:r>
        <w:rPr>
          <w:rFonts w:ascii="宋体"/>
          <w:b/>
          <w:color w:val="000000"/>
          <w:sz w:val="44"/>
          <w:szCs w:val="44"/>
        </w:rPr>
        <w:br w:type="page"/>
      </w:r>
      <w:bookmarkStart w:id="99" w:name="_Toc79163630"/>
      <w:bookmarkStart w:id="100" w:name="_Toc79163880"/>
      <w:bookmarkStart w:id="101" w:name="_Toc15396614"/>
      <w:r>
        <w:rPr>
          <w:rFonts w:hint="eastAsia" w:ascii="黑体" w:hAnsi="黑体" w:eastAsia="黑体"/>
          <w:color w:val="000000"/>
          <w:sz w:val="44"/>
          <w:szCs w:val="44"/>
        </w:rPr>
        <w:t>第</w:t>
      </w:r>
      <w:r>
        <w:rPr>
          <w:rStyle w:val="26"/>
          <w:rFonts w:hint="eastAsia" w:ascii="黑体" w:hAnsi="黑体" w:eastAsia="黑体"/>
          <w:b w:val="0"/>
        </w:rPr>
        <w:t>四部分</w:t>
      </w:r>
      <w:r>
        <w:rPr>
          <w:rStyle w:val="26"/>
          <w:rFonts w:ascii="黑体" w:hAnsi="黑体" w:eastAsia="黑体"/>
          <w:b w:val="0"/>
        </w:rPr>
        <w:t xml:space="preserve"> </w:t>
      </w:r>
      <w:r>
        <w:rPr>
          <w:rStyle w:val="26"/>
          <w:rFonts w:hint="eastAsia" w:ascii="黑体" w:hAnsi="黑体" w:eastAsia="黑体"/>
          <w:b w:val="0"/>
        </w:rPr>
        <w:t>附件</w:t>
      </w:r>
      <w:bookmarkEnd w:id="99"/>
      <w:bookmarkEnd w:id="100"/>
      <w:bookmarkEnd w:id="101"/>
    </w:p>
    <w:p>
      <w:pPr>
        <w:spacing w:line="600" w:lineRule="exact"/>
        <w:jc w:val="left"/>
        <w:outlineLvl w:val="0"/>
        <w:rPr>
          <w:rFonts w:ascii="方正小标宋简体" w:hAnsi="方正小标宋简体" w:eastAsia="方正小标宋简体" w:cs="方正小标宋简体"/>
          <w:sz w:val="32"/>
          <w:szCs w:val="32"/>
        </w:rPr>
      </w:pPr>
      <w:bookmarkStart w:id="102" w:name="_Toc79163631"/>
      <w:bookmarkStart w:id="103" w:name="_Toc79163881"/>
      <w:r>
        <w:rPr>
          <w:rFonts w:hint="eastAsia" w:ascii="黑体" w:hAnsi="黑体" w:eastAsia="黑体" w:cs="黑体"/>
          <w:sz w:val="32"/>
          <w:szCs w:val="32"/>
        </w:rPr>
        <w:t>附件</w:t>
      </w:r>
      <w:r>
        <w:rPr>
          <w:rFonts w:ascii="黑体" w:hAnsi="黑体" w:eastAsia="黑体" w:cs="黑体"/>
          <w:sz w:val="32"/>
          <w:szCs w:val="32"/>
        </w:rPr>
        <w:t>1</w:t>
      </w:r>
      <w:bookmarkEnd w:id="102"/>
      <w:bookmarkEnd w:id="103"/>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04" w:name="_Toc79163882"/>
      <w:bookmarkStart w:id="105" w:name="_Toc79163632"/>
      <w:r>
        <w:rPr>
          <w:rFonts w:hint="eastAsia" w:ascii="方正小标宋简体" w:hAnsi="黑体" w:eastAsia="方正小标宋简体" w:cs="黑体"/>
          <w:sz w:val="44"/>
          <w:szCs w:val="44"/>
          <w:lang w:eastAsia="zh-CN"/>
        </w:rPr>
        <w:t>壤塘县住房和城乡建设局</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04"/>
      <w:bookmarkEnd w:id="105"/>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spacing w:line="360" w:lineRule="auto"/>
        <w:ind w:firstLine="420" w:firstLineChars="200"/>
        <w:rPr>
          <w:rFonts w:hint="default" w:eastAsia="宋体"/>
          <w:lang w:val="en-US" w:eastAsia="zh-CN"/>
        </w:rPr>
      </w:pPr>
      <w:r>
        <w:rPr>
          <w:rFonts w:hint="eastAsia"/>
          <w:lang w:val="en-US" w:eastAsia="zh-CN"/>
        </w:rPr>
        <w:t xml:space="preserve">    </w:t>
      </w:r>
      <w:r>
        <w:rPr>
          <w:rFonts w:hint="eastAsia" w:ascii="仿宋_GB2312" w:hAnsi="仿宋_GB2312" w:eastAsia="仿宋_GB2312" w:cs="仿宋_GB2312"/>
          <w:sz w:val="32"/>
          <w:szCs w:val="32"/>
          <w:lang w:eastAsia="zh-CN"/>
        </w:rPr>
        <w:t>住房和城乡建设</w:t>
      </w:r>
      <w:r>
        <w:rPr>
          <w:rFonts w:hint="eastAsia" w:ascii="仿宋_GB2312" w:hAnsi="仿宋_GB2312" w:eastAsia="仿宋_GB2312" w:cs="仿宋_GB2312"/>
          <w:sz w:val="32"/>
          <w:szCs w:val="32"/>
        </w:rPr>
        <w:t>局机关</w:t>
      </w:r>
      <w:r>
        <w:rPr>
          <w:rFonts w:hint="eastAsia" w:ascii="仿宋_GB2312" w:hAnsi="仿宋_GB2312" w:eastAsia="仿宋_GB2312" w:cs="仿宋_GB2312"/>
          <w:sz w:val="32"/>
          <w:szCs w:val="32"/>
          <w:lang w:eastAsia="zh-CN"/>
        </w:rPr>
        <w:t>下设</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公益一类事业单位，为</w:t>
      </w:r>
      <w:r>
        <w:rPr>
          <w:rFonts w:hint="eastAsia" w:ascii="仿宋" w:hAnsi="仿宋" w:eastAsia="仿宋" w:cs="仿宋"/>
          <w:b w:val="0"/>
          <w:bCs w:val="0"/>
          <w:sz w:val="32"/>
          <w:szCs w:val="32"/>
          <w:lang w:val="en-US" w:eastAsia="zh-CN"/>
        </w:rPr>
        <w:t>县建设工程质量安全监督站、县市政建设中心、县城乡环境综合治理服务中心（由城乡环境综合治理领导小组办公室更名），</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个事业单位（</w:t>
      </w:r>
      <w:r>
        <w:rPr>
          <w:rFonts w:hint="eastAsia" w:ascii="仿宋_GB2312" w:hAnsi="仿宋_GB2312" w:eastAsia="仿宋_GB2312" w:cs="仿宋_GB2312"/>
          <w:b w:val="0"/>
          <w:bCs w:val="0"/>
          <w:sz w:val="32"/>
          <w:szCs w:val="32"/>
          <w:lang w:val="en-US" w:eastAsia="zh-CN"/>
        </w:rPr>
        <w:t>县自来水厂，经费独立核算），下设3</w:t>
      </w:r>
      <w:r>
        <w:rPr>
          <w:rFonts w:hint="eastAsia" w:ascii="仿宋_GB2312" w:hAnsi="仿宋_GB2312" w:eastAsia="仿宋_GB2312" w:cs="仿宋_GB2312"/>
          <w:sz w:val="32"/>
          <w:szCs w:val="32"/>
          <w:lang w:val="en-US" w:eastAsia="zh-CN"/>
        </w:rPr>
        <w:t>个股室，为</w:t>
      </w:r>
      <w:r>
        <w:rPr>
          <w:rFonts w:hint="eastAsia" w:ascii="仿宋_GB2312" w:eastAsia="仿宋_GB2312"/>
          <w:color w:val="000000"/>
          <w:sz w:val="32"/>
          <w:szCs w:val="32"/>
        </w:rPr>
        <w:t>办公室（</w:t>
      </w:r>
      <w:r>
        <w:rPr>
          <w:rFonts w:hint="eastAsia" w:ascii="仿宋_GB2312" w:eastAsia="仿宋_GB2312"/>
          <w:color w:val="000000"/>
          <w:sz w:val="32"/>
          <w:szCs w:val="32"/>
          <w:lang w:val="en-US" w:eastAsia="zh-CN"/>
        </w:rPr>
        <w:t>行政审批股</w:t>
      </w:r>
      <w:r>
        <w:rPr>
          <w:rFonts w:hint="eastAsia" w:ascii="仿宋_GB2312" w:eastAsia="仿宋_GB2312"/>
          <w:color w:val="000000"/>
          <w:sz w:val="32"/>
          <w:szCs w:val="32"/>
        </w:rPr>
        <w:t>）、</w:t>
      </w:r>
      <w:r>
        <w:rPr>
          <w:rFonts w:hint="eastAsia" w:ascii="仿宋_GB2312" w:hAnsi="仿宋_GB2312" w:eastAsia="仿宋_GB2312" w:cs="仿宋_GB2312"/>
          <w:sz w:val="32"/>
          <w:szCs w:val="32"/>
          <w:lang w:val="en-US" w:eastAsia="zh-CN"/>
        </w:rPr>
        <w:t>住房和城乡建设股</w:t>
      </w:r>
      <w:r>
        <w:rPr>
          <w:rFonts w:hint="eastAsia" w:ascii="仿宋_GB2312" w:eastAsia="仿宋_GB2312"/>
          <w:color w:val="000000"/>
          <w:sz w:val="32"/>
          <w:szCs w:val="32"/>
          <w:lang w:val="en-US" w:eastAsia="zh-CN"/>
        </w:rPr>
        <w:t>、建设管理股</w:t>
      </w:r>
      <w:r>
        <w:rPr>
          <w:rFonts w:hint="eastAsia" w:ascii="仿宋_GB2312" w:eastAsia="仿宋_GB2312"/>
          <w:sz w:val="32"/>
          <w:szCs w:val="32"/>
        </w:rPr>
        <w:t>。</w:t>
      </w:r>
    </w:p>
    <w:p>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pStyle w:val="7"/>
        <w:adjustRightInd w:val="0"/>
        <w:snapToGrid w:val="0"/>
        <w:spacing w:before="93" w:line="600" w:lineRule="exact"/>
        <w:ind w:firstLine="504" w:firstLineChars="210"/>
        <w:outlineLvl w:val="2"/>
        <w:rPr>
          <w:rFonts w:hint="eastAsia" w:ascii="仿宋" w:hAnsi="仿宋" w:eastAsia="仿宋" w:cs="仿宋"/>
          <w:sz w:val="32"/>
          <w:szCs w:val="32"/>
          <w:highlight w:val="cyan"/>
        </w:rPr>
      </w:pPr>
      <w:r>
        <w:rPr>
          <w:rFonts w:hint="eastAsia"/>
          <w:lang w:val="en-US" w:eastAsia="zh-CN"/>
        </w:rPr>
        <w:t xml:space="preserve">   </w:t>
      </w:r>
      <w:r>
        <w:rPr>
          <w:rFonts w:hint="eastAsia" w:ascii="仿宋" w:hAnsi="仿宋" w:eastAsia="仿宋" w:cs="仿宋"/>
          <w:color w:val="333333"/>
          <w:sz w:val="32"/>
          <w:szCs w:val="32"/>
          <w:shd w:val="clear" w:fill="FFFFFF"/>
        </w:rPr>
        <w:t>壤塘县住房和城乡建设局主要职责是贯彻执行国家、省、州关于工程建设、城市建设、村镇建设、建筑业、房地产、农村能源建设和测绘工作的方针、政策、中长期规划；负责各类房屋建筑及其附属设施的建设与配套的线路、管道、设备安装项目和市政工程项目的初步设计审查、施工图审批、开工审批和招标活动的执法监督；综合管理和指导全县建筑业、规范建筑市场，城市勘察和市政测量工作；指导全县城镇土地使用权有偿转让、房地产开发经营和中介服务，规范房地产市场，指导和推进城镇住宅建设，负责住房制度改革工作。指导城镇园林绿化工作；会同有关部门管理工业与民用建筑的抗震建设，承担推进住房制度改革、保障城镇低收入家庭住房的责任，编制住房保障发展规划和年度计划并监督实施等工</w:t>
      </w:r>
      <w:r>
        <w:rPr>
          <w:rFonts w:hint="eastAsia" w:ascii="仿宋" w:hAnsi="仿宋" w:eastAsia="仿宋" w:cs="仿宋"/>
          <w:color w:val="333333"/>
          <w:sz w:val="32"/>
          <w:szCs w:val="32"/>
          <w:shd w:val="clear" w:fill="FFFFFF"/>
          <w:lang w:eastAsia="zh-CN"/>
        </w:rPr>
        <w:t>作。</w:t>
      </w:r>
    </w:p>
    <w:p>
      <w:pPr>
        <w:widowControl/>
        <w:numPr>
          <w:ilvl w:val="0"/>
          <w:numId w:val="6"/>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壤塘县住房和城乡建设</w:t>
      </w:r>
      <w:r>
        <w:rPr>
          <w:rFonts w:hint="eastAsia" w:ascii="仿宋_GB2312" w:hAnsi="仿宋_GB2312" w:eastAsia="仿宋_GB2312" w:cs="仿宋_GB2312"/>
          <w:sz w:val="32"/>
          <w:szCs w:val="32"/>
        </w:rPr>
        <w:t>局编制人数</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（其中县自来水厂</w:t>
      </w:r>
      <w:r>
        <w:rPr>
          <w:rFonts w:hint="eastAsia" w:ascii="仿宋_GB2312" w:hAnsi="仿宋_GB2312" w:eastAsia="仿宋_GB2312" w:cs="仿宋_GB2312"/>
          <w:sz w:val="32"/>
          <w:szCs w:val="32"/>
          <w:lang w:val="en-US" w:eastAsia="zh-CN"/>
        </w:rPr>
        <w:t>5人</w:t>
      </w:r>
      <w:r>
        <w:rPr>
          <w:rFonts w:hint="eastAsia" w:ascii="仿宋_GB2312" w:hAnsi="仿宋_GB2312" w:eastAsia="仿宋_GB2312" w:cs="仿宋_GB2312"/>
          <w:sz w:val="32"/>
          <w:szCs w:val="32"/>
          <w:lang w:eastAsia="zh-CN"/>
        </w:rPr>
        <w:t>）；截至</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年12月底，实有</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其中行政人</w:t>
      </w:r>
      <w:r>
        <w:rPr>
          <w:rFonts w:hint="eastAsia" w:ascii="仿宋_GB2312" w:hAnsi="仿宋_GB2312" w:eastAsia="仿宋_GB2312" w:cs="仿宋_GB2312"/>
          <w:sz w:val="32"/>
          <w:szCs w:val="32"/>
          <w:lang w:eastAsia="zh-CN"/>
        </w:rPr>
        <w:t>员</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人、事业人员</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（其中县自来水厂</w:t>
      </w:r>
      <w:r>
        <w:rPr>
          <w:rFonts w:hint="eastAsia" w:ascii="仿宋_GB2312" w:hAnsi="仿宋_GB2312" w:eastAsia="仿宋_GB2312" w:cs="仿宋_GB2312"/>
          <w:sz w:val="32"/>
          <w:szCs w:val="32"/>
          <w:lang w:val="en-US" w:eastAsia="zh-CN"/>
        </w:rPr>
        <w:t>3人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，退休人员</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人。</w:t>
      </w:r>
    </w:p>
    <w:p>
      <w:pPr>
        <w:widowControl/>
        <w:numPr>
          <w:ilvl w:val="0"/>
          <w:numId w:val="7"/>
        </w:numPr>
        <w:adjustRightInd w:val="0"/>
        <w:snapToGrid w:val="0"/>
        <w:spacing w:line="580" w:lineRule="exact"/>
        <w:contextualSpacing/>
        <w:jc w:val="left"/>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部门财政资金收支情况</w:t>
      </w:r>
    </w:p>
    <w:p>
      <w:pPr>
        <w:pStyle w:val="2"/>
        <w:numPr>
          <w:ilvl w:val="0"/>
          <w:numId w:val="0"/>
        </w:numPr>
        <w:ind w:leftChars="0"/>
        <w:rPr>
          <w:rFonts w:hint="default" w:eastAsia="宋体"/>
          <w:lang w:val="en-US" w:eastAsia="zh-CN"/>
        </w:rPr>
      </w:pPr>
      <w:r>
        <w:rPr>
          <w:rFonts w:hint="eastAsia"/>
          <w:lang w:val="en-US" w:eastAsia="zh-CN"/>
        </w:rPr>
        <w:t xml:space="preserve">   </w:t>
      </w:r>
    </w:p>
    <w:p>
      <w:pPr>
        <w:widowControl/>
        <w:numPr>
          <w:ilvl w:val="0"/>
          <w:numId w:val="8"/>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部门财政资金收入情况。</w:t>
      </w:r>
    </w:p>
    <w:p>
      <w:pPr>
        <w:pStyle w:val="2"/>
        <w:numPr>
          <w:ilvl w:val="0"/>
          <w:numId w:val="0"/>
        </w:numPr>
        <w:ind w:leftChars="0"/>
        <w:rPr>
          <w:rFonts w:hint="eastAsia" w:eastAsia="仿宋_GB2312"/>
          <w:lang w:val="en-US" w:eastAsia="zh-CN"/>
        </w:rPr>
      </w:pPr>
      <w:r>
        <w:rPr>
          <w:rFonts w:hint="eastAsia"/>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年财政下达</w:t>
      </w:r>
      <w:r>
        <w:rPr>
          <w:rFonts w:hint="eastAsia" w:ascii="仿宋_GB2312" w:hAnsi="仿宋_GB2312" w:eastAsia="仿宋_GB2312" w:cs="仿宋_GB2312"/>
          <w:sz w:val="32"/>
          <w:szCs w:val="32"/>
          <w:lang w:eastAsia="zh-CN"/>
        </w:rPr>
        <w:t>住房和城乡建设</w:t>
      </w:r>
      <w:r>
        <w:rPr>
          <w:rFonts w:hint="eastAsia" w:ascii="仿宋_GB2312" w:hAnsi="仿宋_GB2312" w:eastAsia="仿宋_GB2312" w:cs="仿宋_GB2312"/>
          <w:sz w:val="32"/>
          <w:szCs w:val="32"/>
        </w:rPr>
        <w:t>局年初预算收入</w:t>
      </w:r>
      <w:r>
        <w:rPr>
          <w:rFonts w:hint="eastAsia" w:ascii="仿宋_GB2312" w:hAnsi="仿宋_GB2312" w:eastAsia="仿宋_GB2312" w:cs="仿宋_GB2312"/>
          <w:sz w:val="32"/>
          <w:szCs w:val="32"/>
          <w:lang w:val="en-US" w:eastAsia="zh-CN"/>
        </w:rPr>
        <w:t>347.07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财政拨款数为</w:t>
      </w:r>
      <w:r>
        <w:rPr>
          <w:rFonts w:hint="eastAsia" w:ascii="仿宋_GB2312" w:hAnsi="仿宋_GB2312" w:eastAsia="仿宋_GB2312" w:cs="仿宋_GB2312"/>
          <w:sz w:val="32"/>
          <w:szCs w:val="32"/>
          <w:lang w:val="en-US" w:eastAsia="zh-CN"/>
        </w:rPr>
        <w:t>11540.34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widowControl/>
        <w:numPr>
          <w:ilvl w:val="0"/>
          <w:numId w:val="8"/>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spacing w:line="360" w:lineRule="auto"/>
        <w:ind w:firstLine="420" w:firstLineChars="200"/>
        <w:rPr>
          <w:rFonts w:hint="eastAsia" w:ascii="仿宋_GB2312" w:hAnsi="仿宋_GB2312" w:eastAsia="仿宋_GB2312" w:cs="仿宋_GB2312"/>
          <w:sz w:val="32"/>
          <w:szCs w:val="32"/>
        </w:rPr>
      </w:pPr>
      <w:r>
        <w:rPr>
          <w:rFonts w:hint="eastAsia"/>
          <w:lang w:val="en-US" w:eastAsia="zh-CN"/>
        </w:rPr>
        <w:t xml:space="preserve">    </w:t>
      </w:r>
      <w:r>
        <w:rPr>
          <w:rFonts w:hint="eastAsia" w:ascii="仿宋_GB2312" w:hAnsi="仿宋_GB2312" w:eastAsia="仿宋_GB2312" w:cs="仿宋_GB2312"/>
          <w:sz w:val="32"/>
          <w:szCs w:val="32"/>
          <w:lang w:eastAsia="zh-CN"/>
        </w:rPr>
        <w:t>住房和城乡建设</w:t>
      </w:r>
      <w:r>
        <w:rPr>
          <w:rFonts w:hint="eastAsia" w:ascii="仿宋_GB2312" w:hAnsi="仿宋_GB2312" w:eastAsia="仿宋_GB2312" w:cs="仿宋_GB2312"/>
          <w:sz w:val="32"/>
          <w:szCs w:val="32"/>
        </w:rPr>
        <w:t>局20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年财政拨款数为</w:t>
      </w:r>
      <w:r>
        <w:rPr>
          <w:rFonts w:hint="eastAsia" w:ascii="仿宋_GB2312" w:hAnsi="仿宋_GB2312" w:eastAsia="仿宋_GB2312" w:cs="仿宋_GB2312"/>
          <w:sz w:val="32"/>
          <w:szCs w:val="32"/>
          <w:lang w:val="en-US" w:eastAsia="zh-CN"/>
        </w:rPr>
        <w:t>11540.34</w:t>
      </w:r>
      <w:r>
        <w:rPr>
          <w:rFonts w:hint="eastAsia" w:ascii="仿宋_GB2312" w:hAnsi="仿宋_GB2312" w:eastAsia="仿宋_GB2312" w:cs="仿宋_GB2312"/>
          <w:sz w:val="32"/>
          <w:szCs w:val="32"/>
        </w:rPr>
        <w:t>万元，本年度无结余。其中基本支出</w:t>
      </w:r>
      <w:r>
        <w:rPr>
          <w:rFonts w:hint="eastAsia" w:ascii="仿宋_GB2312" w:hAnsi="仿宋_GB2312" w:eastAsia="仿宋_GB2312" w:cs="仿宋_GB2312"/>
          <w:sz w:val="32"/>
          <w:szCs w:val="32"/>
          <w:lang w:val="en-US" w:eastAsia="zh-CN"/>
        </w:rPr>
        <w:t>412.81</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11127.53</w:t>
      </w:r>
      <w:r>
        <w:rPr>
          <w:rFonts w:hint="eastAsia" w:ascii="仿宋_GB2312" w:hAnsi="仿宋_GB2312" w:eastAsia="仿宋_GB2312" w:cs="仿宋_GB2312"/>
          <w:sz w:val="32"/>
          <w:szCs w:val="32"/>
        </w:rPr>
        <w:t>万元。</w:t>
      </w:r>
    </w:p>
    <w:p>
      <w:pPr>
        <w:pStyle w:val="2"/>
        <w:numPr>
          <w:ilvl w:val="0"/>
          <w:numId w:val="0"/>
        </w:numPr>
        <w:ind w:leftChars="200"/>
        <w:rPr>
          <w:rFonts w:hint="default" w:eastAsia="宋体"/>
          <w:lang w:val="en-US" w:eastAsia="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pStyle w:val="20"/>
        <w:keepNext w:val="0"/>
        <w:keepLines w:val="0"/>
        <w:widowControl/>
        <w:suppressLineNumbers w:val="0"/>
        <w:spacing w:before="408" w:beforeAutospacing="0" w:after="106" w:afterAutospacing="0" w:line="30" w:lineRule="atLeast"/>
        <w:ind w:left="0" w:right="0" w:firstLine="42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为确保年度预算编制更加科学、精确、完善，本部门严格按照预算绩效管理要求，依照“统筹兼顾、厉行节约、保障重点、注重绩效”的原则，结合当年重点工作需要、规范、编制部门预算，切实提高单位预算编制质量。</w:t>
      </w:r>
    </w:p>
    <w:p>
      <w:pPr>
        <w:pStyle w:val="20"/>
        <w:keepNext w:val="0"/>
        <w:keepLines w:val="0"/>
        <w:widowControl/>
        <w:suppressLineNumbers w:val="0"/>
        <w:spacing w:before="408" w:beforeAutospacing="0" w:after="106" w:afterAutospacing="0" w:line="30" w:lineRule="atLeast"/>
        <w:ind w:left="0" w:right="0" w:firstLine="42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是夯实预算编制基础。加强与干部人事、行政后勤等部门的沟通配合，认真核实人员编制、车辆编制以及办公面积，准确掌握实有在职、离退休人员人数及各职级情况，公务用车实有数量以及机关办公面积，据实填报2020年预算管理系统。</w:t>
      </w:r>
    </w:p>
    <w:p>
      <w:pPr>
        <w:pStyle w:val="20"/>
        <w:keepNext w:val="0"/>
        <w:keepLines w:val="0"/>
        <w:widowControl/>
        <w:suppressLineNumbers w:val="0"/>
        <w:spacing w:before="408" w:beforeAutospacing="0" w:after="106" w:afterAutospacing="0" w:line="30" w:lineRule="atLeast"/>
        <w:ind w:left="0" w:right="0" w:firstLine="42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二是切实做好预算编制工作。一方面做好基本支出预算编制，确保人员经费和日常公用经费编制科学准确。另一方面认真梳理、筛选汇总各科室2020年重点工作经费需求。根据工作需求填报项目库。</w:t>
      </w:r>
    </w:p>
    <w:p>
      <w:pPr>
        <w:pStyle w:val="20"/>
        <w:keepNext w:val="0"/>
        <w:keepLines w:val="0"/>
        <w:widowControl/>
        <w:suppressLineNumbers w:val="0"/>
        <w:spacing w:before="408" w:beforeAutospacing="0" w:after="106" w:afterAutospacing="0" w:line="30" w:lineRule="atLeast"/>
        <w:ind w:left="0" w:right="0" w:firstLine="42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三是完善预算编制后续工作。预算编制完成后按照县财政局规定的时间逐级送审，确保预算编制质量，杜绝工作疏漏。并将预算编制结果报送各部门。</w:t>
      </w:r>
    </w:p>
    <w:p>
      <w:pPr>
        <w:pStyle w:val="20"/>
        <w:keepNext w:val="0"/>
        <w:keepLines w:val="0"/>
        <w:widowControl/>
        <w:suppressLineNumbers w:val="0"/>
        <w:spacing w:before="408" w:beforeAutospacing="0" w:after="106" w:afterAutospacing="0" w:line="30" w:lineRule="atLeast"/>
        <w:ind w:left="0" w:right="0" w:firstLine="42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（二）部门整体预算管理情况。</w:t>
      </w:r>
    </w:p>
    <w:p>
      <w:pPr>
        <w:pStyle w:val="20"/>
        <w:keepNext w:val="0"/>
        <w:keepLines w:val="0"/>
        <w:widowControl/>
        <w:suppressLineNumbers w:val="0"/>
        <w:spacing w:before="408" w:beforeAutospacing="0" w:after="106" w:afterAutospacing="0" w:line="30" w:lineRule="atLeast"/>
        <w:ind w:left="0" w:right="0" w:firstLine="42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 1.专项资金管理： 按照经费管理制度，加强预算执行管理、及时跟进项目资金使用情况。对于执行进度缓慢或无法执行的项目预算按规</w:t>
      </w:r>
      <w:r>
        <w:rPr>
          <w:rFonts w:hint="eastAsia" w:ascii="仿宋" w:hAnsi="仿宋" w:eastAsia="仿宋" w:cs="仿宋"/>
          <w:kern w:val="2"/>
          <w:sz w:val="32"/>
          <w:szCs w:val="32"/>
          <w:lang w:val="en-US" w:eastAsia="zh-CN" w:bidi="ar-SA"/>
        </w:rPr>
        <w:t>定程序及时进行调整。完善项目资金审批手续，坚持先审批、后使用</w:t>
      </w:r>
      <w:r>
        <w:rPr>
          <w:rFonts w:hint="eastAsia" w:ascii="仿宋_GB2312" w:hAnsi="仿宋_GB2312" w:eastAsia="仿宋_GB2312" w:cs="仿宋_GB2312"/>
          <w:kern w:val="2"/>
          <w:sz w:val="32"/>
          <w:szCs w:val="32"/>
          <w:lang w:val="en-US" w:eastAsia="zh-CN" w:bidi="ar-SA"/>
        </w:rPr>
        <w:t>，确保专项资金专款专用。</w:t>
      </w:r>
    </w:p>
    <w:p>
      <w:pPr>
        <w:pStyle w:val="20"/>
        <w:keepNext w:val="0"/>
        <w:keepLines w:val="0"/>
        <w:widowControl/>
        <w:suppressLineNumbers w:val="0"/>
        <w:spacing w:before="408" w:beforeAutospacing="0" w:after="106" w:afterAutospacing="0" w:line="30" w:lineRule="atLeast"/>
        <w:ind w:left="0" w:right="0" w:firstLine="42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2、资产管理情况。严格执行固定资产管理规定，对符合固定资产限额标准的财物，我们均纳入固定资产管理范围。建立固定资产台账，完善入库出库手续，确保每一件固定资产登记在册，责任落实到人。</w:t>
      </w:r>
    </w:p>
    <w:p>
      <w:pPr>
        <w:pStyle w:val="20"/>
        <w:keepNext w:val="0"/>
        <w:keepLines w:val="0"/>
        <w:widowControl/>
        <w:suppressLineNumbers w:val="0"/>
        <w:spacing w:before="408" w:beforeAutospacing="0" w:after="106" w:afterAutospacing="0" w:line="30" w:lineRule="atLeast"/>
        <w:ind w:left="0" w:right="0" w:firstLine="42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内部制度管理情况。成立了内控工作领导小组完成了内部控制基础性评价工作确定了内部控制建立与实施的重点工作和改进方向。在经费管理方面本部门严格按照规定明确经费管理职责、开支范围及标准。坚持“先预算、后支出”实行预算全覆盖，各项收入支出均纳入预算管理、统筹管理优化使用结构。</w:t>
      </w:r>
    </w:p>
    <w:p>
      <w:pPr>
        <w:pStyle w:val="20"/>
        <w:keepNext w:val="0"/>
        <w:keepLines w:val="0"/>
        <w:widowControl/>
        <w:suppressLineNumbers w:val="0"/>
        <w:spacing w:before="408" w:beforeAutospacing="0" w:after="106" w:afterAutospacing="0" w:line="30" w:lineRule="atLeast"/>
        <w:ind w:left="0" w:right="0" w:firstLine="42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   4.信息公开情况。根据县财政局统一安排，我们在规定时间按照统一格式、内容、口径分别在壤塘县政府网站公开了2019年部门决算，2020年部门预算信息，做到基础数据真实、准确、完整。</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pStyle w:val="43"/>
        <w:spacing w:line="360" w:lineRule="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bCs/>
          <w:sz w:val="32"/>
          <w:szCs w:val="32"/>
        </w:rPr>
        <w:t>）存在问题</w:t>
      </w:r>
    </w:p>
    <w:p>
      <w:pPr>
        <w:pStyle w:val="43"/>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1、预算编制不够精确，财政资金紧张，存在中期调整取消资金的情况。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随着市政房建项目的逐渐增多，工作量与工作任务成倍递增，人员不足的问题日益突出，加之抽调、借调、调离人员较多（驻蓉办抽调1人，绵阳挂职1人，调离3人），造成现有人员已不能满足当前工作任务。同时，因本单位职工大部分是事业人员，待遇问题得不到落实，留不住人心。</w:t>
      </w:r>
    </w:p>
    <w:p>
      <w:pPr>
        <w:pStyle w:val="43"/>
        <w:spacing w:line="360" w:lineRule="auto"/>
        <w:rPr>
          <w:rFonts w:hint="eastAsia" w:ascii="仿宋_GB2312" w:hAnsi="仿宋_GB2312" w:eastAsia="仿宋_GB2312" w:cs="仿宋_GB2312"/>
          <w:sz w:val="32"/>
          <w:szCs w:val="32"/>
        </w:rPr>
      </w:pPr>
    </w:p>
    <w:p>
      <w:pPr>
        <w:pStyle w:val="43"/>
        <w:spacing w:line="360" w:lineRule="auto"/>
        <w:ind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）改进措施</w:t>
      </w:r>
    </w:p>
    <w:p>
      <w:pPr>
        <w:pStyle w:val="43"/>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1、加强编制预算工作的能力，及时跟财政沟通资金用款进度，保障项目预算资金。</w:t>
      </w:r>
    </w:p>
    <w:p>
      <w:pPr>
        <w:pStyle w:val="43"/>
        <w:spacing w:line="36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2、加强</w:t>
      </w:r>
      <w:r>
        <w:rPr>
          <w:rFonts w:hint="eastAsia" w:ascii="仿宋_GB2312" w:hAnsi="仿宋_GB2312" w:eastAsia="仿宋_GB2312" w:cs="仿宋_GB2312"/>
          <w:sz w:val="32"/>
          <w:szCs w:val="32"/>
          <w:lang w:eastAsia="zh-CN"/>
        </w:rPr>
        <w:t>对建筑市场的监管，进一步制定与社会经济发展相适应的管理体系和制度。</w:t>
      </w:r>
    </w:p>
    <w:p>
      <w:pPr>
        <w:widowControl/>
        <w:adjustRightInd w:val="0"/>
        <w:snapToGrid w:val="0"/>
        <w:spacing w:line="580" w:lineRule="exact"/>
        <w:ind w:firstLine="640" w:firstLineChars="200"/>
        <w:contextualSpacing/>
        <w:jc w:val="left"/>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left"/>
        <w:outlineLvl w:val="0"/>
        <w:rPr>
          <w:rFonts w:ascii="黑体" w:hAnsi="黑体" w:eastAsia="黑体" w:cs="黑体"/>
          <w:sz w:val="32"/>
          <w:szCs w:val="32"/>
        </w:rPr>
      </w:pPr>
      <w:bookmarkStart w:id="106" w:name="_Toc79163883"/>
      <w:bookmarkStart w:id="107" w:name="_Toc79163633"/>
      <w:r>
        <w:rPr>
          <w:rFonts w:hint="eastAsia" w:ascii="黑体" w:hAnsi="黑体" w:eastAsia="黑体" w:cs="黑体"/>
          <w:sz w:val="32"/>
          <w:szCs w:val="32"/>
        </w:rPr>
        <w:t>附件</w:t>
      </w:r>
      <w:r>
        <w:rPr>
          <w:rFonts w:ascii="黑体" w:hAnsi="黑体" w:eastAsia="黑体" w:cs="黑体"/>
          <w:sz w:val="32"/>
          <w:szCs w:val="32"/>
        </w:rPr>
        <w:t>2</w:t>
      </w:r>
      <w:bookmarkEnd w:id="106"/>
      <w:bookmarkEnd w:id="107"/>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hint="eastAsia" w:ascii="仿宋_GB2312" w:hAnsi="宋体" w:eastAsia="仿宋_GB2312"/>
          <w:sz w:val="32"/>
          <w:szCs w:val="32"/>
          <w:lang w:val="zh-CN"/>
        </w:rPr>
      </w:pPr>
      <w:bookmarkStart w:id="108" w:name="_Toc79163884"/>
      <w:bookmarkStart w:id="109" w:name="_Toc79163634"/>
      <w:r>
        <w:rPr>
          <w:rFonts w:hint="eastAsia" w:ascii="方正小标宋_GBK" w:hAnsi="方正小标宋_GBK" w:eastAsia="方正小标宋_GBK" w:cs="方正小标宋_GBK"/>
          <w:bCs/>
          <w:sz w:val="44"/>
          <w:szCs w:val="44"/>
          <w:lang w:val="en-US" w:eastAsia="zh-CN"/>
        </w:rPr>
        <w:t>壤塘县生活垃圾资源化综合处置</w:t>
      </w:r>
      <w:r>
        <w:rPr>
          <w:rFonts w:hint="eastAsia" w:ascii="方正小标宋简体" w:hAnsi="黑体" w:eastAsia="方正小标宋简体" w:cs="黑体"/>
          <w:sz w:val="44"/>
          <w:szCs w:val="44"/>
        </w:rPr>
        <w:t>项目2020年绩效评价报告</w:t>
      </w:r>
      <w:bookmarkEnd w:id="108"/>
      <w:bookmarkEnd w:id="109"/>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（一）项目基本情况。</w:t>
      </w:r>
    </w:p>
    <w:p>
      <w:pPr>
        <w:adjustRightInd w:val="0"/>
        <w:snapToGrid w:val="0"/>
        <w:spacing w:line="580" w:lineRule="exact"/>
        <w:ind w:firstLine="720"/>
        <w:rPr>
          <w:rFonts w:hint="eastAsia" w:ascii="仿宋_GB2312" w:hAnsi="仿宋_GB2312" w:eastAsia="仿宋_GB2312" w:cs="仿宋_GB2312"/>
          <w:kern w:val="2"/>
          <w:sz w:val="32"/>
          <w:szCs w:val="32"/>
          <w:lang w:val="en-US" w:eastAsia="zh-CN" w:bidi="ar-SA"/>
        </w:rPr>
      </w:pPr>
      <w:r>
        <w:rPr>
          <w:rFonts w:hint="eastAsia" w:ascii="宋体" w:hAnsi="宋体" w:eastAsia="宋体" w:cs="宋体"/>
          <w:color w:val="000000" w:themeColor="text1"/>
          <w:sz w:val="32"/>
          <w:szCs w:val="32"/>
          <w14:textFill>
            <w14:solidFill>
              <w14:schemeClr w14:val="tx1"/>
            </w14:solidFill>
          </w14:textFill>
        </w:rPr>
        <w:t>1．</w:t>
      </w:r>
      <w:r>
        <w:rPr>
          <w:rFonts w:hint="eastAsia" w:ascii="仿宋_GB2312" w:hAnsi="仿宋_GB2312" w:eastAsia="仿宋_GB2312" w:cs="仿宋_GB2312"/>
          <w:kern w:val="2"/>
          <w:sz w:val="32"/>
          <w:szCs w:val="32"/>
          <w:lang w:val="en-US" w:eastAsia="zh-CN" w:bidi="ar-SA"/>
        </w:rPr>
        <w:t>壤塘县住房和城乡建设局在岗木达乡壤塘县生活垃圾资源化综合处置项目为项目业主代表。</w:t>
      </w:r>
    </w:p>
    <w:p>
      <w:pPr>
        <w:adjustRightInd w:val="0"/>
        <w:snapToGrid w:val="0"/>
        <w:spacing w:line="580" w:lineRule="exact"/>
        <w:ind w:firstLine="72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2壤塘县生活垃圾资源化综合处置建设项目工程由阿坝州批准建设（阿州发改行审〔2018〕94号</w:t>
      </w:r>
      <w:r>
        <w:rPr>
          <w:rFonts w:hint="eastAsia" w:ascii="仿宋_GB2312" w:hAnsi="仿宋_GB2312" w:eastAsia="仿宋_GB2312" w:cs="仿宋_GB2312"/>
          <w:kern w:val="2"/>
          <w:sz w:val="32"/>
          <w:szCs w:val="32"/>
          <w:lang w:val="en-US" w:eastAsia="zh-CN" w:bidi="ar-SA"/>
        </w:rPr>
        <w:t>），项目总投资1900万元。</w:t>
      </w:r>
    </w:p>
    <w:p>
      <w:pPr>
        <w:adjustRightInd w:val="0"/>
        <w:snapToGrid w:val="0"/>
        <w:spacing w:line="580" w:lineRule="exact"/>
        <w:ind w:firstLine="72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资金管理办法制定情况，县住房和城乡建设局经办人根据合同，按工程进度支付，经甲方代表和监理单位共同核实工程进度，签字后交财务室核拨付金额填制完成后，经住房和建设局领导签字盖章后，再交县财政局审核同意后拨付相关款项,项目资金申报及批复符合相关要求。</w:t>
      </w:r>
    </w:p>
    <w:p>
      <w:pPr>
        <w:numPr>
          <w:ilvl w:val="0"/>
          <w:numId w:val="0"/>
        </w:numPr>
        <w:tabs>
          <w:tab w:val="left" w:pos="3885"/>
        </w:tabs>
        <w:spacing w:line="576" w:lineRule="exac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4.对壤塘县生活垃圾资源化综合处置项目，资金申报为中央预算内投资计划，根据（阿州发改行审〔2018〕94号</w:t>
      </w:r>
      <w:r>
        <w:rPr>
          <w:rFonts w:hint="eastAsia" w:ascii="仿宋_GB2312" w:hAnsi="仿宋_GB2312" w:eastAsia="仿宋_GB2312" w:cs="仿宋_GB2312"/>
          <w:kern w:val="2"/>
          <w:sz w:val="32"/>
          <w:szCs w:val="32"/>
          <w:lang w:val="en-US" w:eastAsia="zh-CN" w:bidi="ar-SA"/>
        </w:rPr>
        <w:t>）发改批复中项目总投资及资金来源：该项目批复总投资1900万元，资金来源为政府配套。施工合同价格为1601.5493万元 。</w:t>
      </w:r>
    </w:p>
    <w:p>
      <w:pPr>
        <w:adjustRightInd w:val="0"/>
        <w:snapToGrid w:val="0"/>
        <w:spacing w:line="600" w:lineRule="exact"/>
        <w:ind w:firstLine="72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（二）项目绩效目标。</w:t>
      </w:r>
    </w:p>
    <w:p>
      <w:pPr>
        <w:adjustRightInd w:val="0"/>
        <w:snapToGrid w:val="0"/>
        <w:spacing w:line="600" w:lineRule="exact"/>
        <w:ind w:firstLine="72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新建生活垃圾无害化处置一座，日处理垃圾50吨。包括土建工程、设备采购工程、安装工程等配套设施。</w:t>
      </w:r>
    </w:p>
    <w:p>
      <w:pPr>
        <w:adjustRightInd w:val="0"/>
        <w:snapToGrid w:val="0"/>
        <w:spacing w:line="600" w:lineRule="exact"/>
        <w:ind w:firstLine="72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（三）项目自评步骤及方法。</w:t>
      </w:r>
    </w:p>
    <w:p>
      <w:pPr>
        <w:adjustRightInd w:val="0"/>
        <w:snapToGrid w:val="0"/>
        <w:spacing w:line="600" w:lineRule="exact"/>
        <w:ind w:firstLine="72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结合项目组织实施管理办法，重点围绕以下内容进行分析评价，并对自评中发现的问题分析说明。</w:t>
      </w:r>
    </w:p>
    <w:p>
      <w:pPr>
        <w:adjustRightInd w:val="0"/>
        <w:snapToGrid w:val="0"/>
        <w:spacing w:line="600" w:lineRule="exact"/>
        <w:ind w:firstLine="72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（一）项目组织架构及实施流程。</w:t>
      </w:r>
    </w:p>
    <w:p>
      <w:pPr>
        <w:adjustRightInd w:val="0"/>
        <w:snapToGrid w:val="0"/>
        <w:spacing w:line="600" w:lineRule="exact"/>
        <w:ind w:firstLine="72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（二）项目管理情况。结合项目特点，总体评价各项目实施单位执行相关法律法规及项目管理制度等情况，如招投标、政府采购、项目公示制等相关规定。</w:t>
      </w:r>
    </w:p>
    <w:p>
      <w:pPr>
        <w:adjustRightInd w:val="0"/>
        <w:snapToGrid w:val="0"/>
        <w:spacing w:line="600" w:lineRule="exact"/>
        <w:ind w:firstLine="72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（三）项目监管情况。说明项目主管部门为加强项目管理所采取的监管手段、监管程序、监管工作开展情况及实现的效果等。</w:t>
      </w:r>
    </w:p>
    <w:p>
      <w:pPr>
        <w:adjustRightInd w:val="0"/>
        <w:snapToGrid w:val="0"/>
        <w:spacing w:line="600" w:lineRule="exact"/>
        <w:ind w:firstLine="720"/>
        <w:rPr>
          <w:rFonts w:hint="eastAsia" w:ascii="楷体_GB2312" w:hAnsi="宋体" w:eastAsia="楷体_GB2312"/>
          <w:b/>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kern w:val="2"/>
          <w:sz w:val="32"/>
          <w:szCs w:val="32"/>
          <w:lang w:val="en-US" w:eastAsia="zh-CN" w:bidi="ar-SA"/>
        </w:rPr>
        <w:t>二、</w:t>
      </w:r>
      <w:r>
        <w:rPr>
          <w:rFonts w:hint="eastAsia" w:ascii="楷体_GB2312" w:hAnsi="宋体" w:eastAsia="楷体_GB2312"/>
          <w:b/>
          <w:color w:val="000000" w:themeColor="text1"/>
          <w:sz w:val="32"/>
          <w:szCs w:val="32"/>
          <w:lang w:val="en-US" w:eastAsia="zh-CN"/>
          <w14:textFill>
            <w14:solidFill>
              <w14:schemeClr w14:val="tx1"/>
            </w14:solidFill>
          </w14:textFill>
        </w:rPr>
        <w:t>项目资金申报及使用情况</w:t>
      </w:r>
    </w:p>
    <w:p>
      <w:pPr>
        <w:adjustRightInd w:val="0"/>
        <w:snapToGrid w:val="0"/>
        <w:spacing w:line="600" w:lineRule="exact"/>
        <w:ind w:firstLine="72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（一）项目资金申报及批复情况。</w:t>
      </w:r>
    </w:p>
    <w:p>
      <w:pPr>
        <w:adjustRightInd w:val="0"/>
        <w:snapToGrid w:val="0"/>
        <w:spacing w:line="580" w:lineRule="exact"/>
        <w:ind w:firstLine="72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资金管理办法制定情况，县住房和城乡建设局经办人根据合同，按工程进度支付，经甲方代表和监理单位共同核实工程进度，签字后交财务室核拨付金额填制完成后，经住房和建设局领导签字盖章后，再交县财政局审核同意后拨付相关款项。项目资金申报及批复符合相关要求.</w:t>
      </w:r>
    </w:p>
    <w:p>
      <w:pPr>
        <w:adjustRightInd w:val="0"/>
        <w:snapToGrid w:val="0"/>
        <w:spacing w:line="600" w:lineRule="exact"/>
        <w:ind w:firstLine="72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（二）资金计划、到位及使用情况（可用表格形式反映）。</w:t>
      </w:r>
    </w:p>
    <w:p>
      <w:pPr>
        <w:numPr>
          <w:ilvl w:val="0"/>
          <w:numId w:val="0"/>
        </w:numPr>
        <w:tabs>
          <w:tab w:val="left" w:pos="3885"/>
        </w:tabs>
        <w:spacing w:line="576"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1.资金计划。对壤塘县生活垃圾资源化综合处置项目，资金申报为中央预算内投资计划，根据（阿州发改行审</w:t>
      </w:r>
      <w:r>
        <w:rPr>
          <w:rFonts w:hint="eastAsia" w:ascii="仿宋_GB2312" w:hAnsi="仿宋_GB2312" w:eastAsia="仿宋_GB2312" w:cs="仿宋_GB2312"/>
          <w:color w:val="0000FF"/>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2018〕94号</w:t>
      </w:r>
      <w:r>
        <w:rPr>
          <w:rFonts w:hint="eastAsia" w:ascii="仿宋_GB2312" w:hAnsi="仿宋_GB2312" w:eastAsia="仿宋_GB2312" w:cs="仿宋_GB2312"/>
          <w:kern w:val="2"/>
          <w:sz w:val="32"/>
          <w:szCs w:val="32"/>
          <w:lang w:val="en-US" w:eastAsia="zh-CN" w:bidi="ar-SA"/>
        </w:rPr>
        <w:t>）发改批复中项目总投资及资金来源：该项目批复总投资1900万元，资金来源为政府配套、企业自筹。施工合同价格为1601.5493万元 。</w:t>
      </w:r>
    </w:p>
    <w:p>
      <w:pPr>
        <w:numPr>
          <w:ilvl w:val="0"/>
          <w:numId w:val="0"/>
        </w:numPr>
        <w:adjustRightInd w:val="0"/>
        <w:snapToGrid w:val="0"/>
        <w:spacing w:line="580" w:lineRule="exact"/>
        <w:ind w:firstLine="640" w:firstLineChars="20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val="zh-CN" w:eastAsia="zh-CN" w:bidi="ar-SA"/>
        </w:rPr>
        <w:t>资金到位。</w:t>
      </w:r>
      <w:r>
        <w:rPr>
          <w:rFonts w:hint="eastAsia" w:ascii="仿宋_GB2312" w:hAnsi="仿宋_GB2312" w:eastAsia="仿宋_GB2312" w:cs="仿宋_GB2312"/>
          <w:kern w:val="2"/>
          <w:sz w:val="32"/>
          <w:szCs w:val="32"/>
          <w:lang w:val="en-US" w:eastAsia="zh-CN" w:bidi="ar-SA"/>
        </w:rPr>
        <w:t>2018</w:t>
      </w:r>
      <w:r>
        <w:rPr>
          <w:rFonts w:hint="eastAsia" w:ascii="仿宋_GB2312" w:hAnsi="仿宋_GB2312" w:eastAsia="仿宋_GB2312" w:cs="仿宋_GB2312"/>
          <w:kern w:val="2"/>
          <w:sz w:val="32"/>
          <w:szCs w:val="32"/>
          <w:lang w:val="zh-CN" w:eastAsia="zh-CN" w:bidi="ar-SA"/>
        </w:rPr>
        <w:t>年政府配套资金到位</w:t>
      </w:r>
      <w:r>
        <w:rPr>
          <w:rFonts w:hint="eastAsia" w:ascii="仿宋_GB2312" w:hAnsi="仿宋_GB2312" w:eastAsia="仿宋_GB2312" w:cs="仿宋_GB2312"/>
          <w:kern w:val="2"/>
          <w:sz w:val="32"/>
          <w:szCs w:val="32"/>
          <w:lang w:val="en-US" w:eastAsia="zh-CN" w:bidi="ar-SA"/>
        </w:rPr>
        <w:t>1900</w:t>
      </w:r>
      <w:r>
        <w:rPr>
          <w:rFonts w:hint="eastAsia" w:ascii="仿宋_GB2312" w:hAnsi="仿宋_GB2312" w:eastAsia="仿宋_GB2312" w:cs="仿宋_GB2312"/>
          <w:kern w:val="2"/>
          <w:sz w:val="32"/>
          <w:szCs w:val="32"/>
          <w:lang w:val="zh-CN" w:eastAsia="zh-CN" w:bidi="ar-SA"/>
        </w:rPr>
        <w:t>万元，2．按照合同价工程进度资金已拨付</w:t>
      </w:r>
      <w:r>
        <w:rPr>
          <w:rFonts w:hint="eastAsia" w:ascii="仿宋_GB2312" w:hAnsi="仿宋_GB2312" w:eastAsia="仿宋_GB2312" w:cs="仿宋_GB2312"/>
          <w:kern w:val="2"/>
          <w:sz w:val="32"/>
          <w:szCs w:val="32"/>
          <w:lang w:val="en-US" w:eastAsia="zh-CN" w:bidi="ar-SA"/>
        </w:rPr>
        <w:t>1221.8242万元</w:t>
      </w:r>
      <w:r>
        <w:rPr>
          <w:rFonts w:hint="eastAsia" w:ascii="仿宋_GB2312" w:hAnsi="仿宋_GB2312" w:eastAsia="仿宋_GB2312" w:cs="仿宋_GB2312"/>
          <w:kern w:val="2"/>
          <w:sz w:val="32"/>
          <w:szCs w:val="32"/>
          <w:lang w:val="zh-CN" w:eastAsia="zh-CN" w:bidi="ar-SA"/>
        </w:rPr>
        <w:t>。</w:t>
      </w:r>
    </w:p>
    <w:p>
      <w:pPr>
        <w:numPr>
          <w:ilvl w:val="0"/>
          <w:numId w:val="0"/>
        </w:numPr>
        <w:adjustRightInd w:val="0"/>
        <w:snapToGrid w:val="0"/>
        <w:spacing w:line="600" w:lineRule="exact"/>
        <w:ind w:left="720" w:leftChars="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kern w:val="2"/>
          <w:sz w:val="32"/>
          <w:szCs w:val="32"/>
          <w:lang w:val="zh-CN" w:eastAsia="zh-CN" w:bidi="ar-SA"/>
        </w:rPr>
        <w:t>资金使用。．按照合同价工程进度资金已拨付</w:t>
      </w:r>
      <w:r>
        <w:rPr>
          <w:rFonts w:hint="eastAsia" w:ascii="仿宋_GB2312" w:hAnsi="仿宋_GB2312" w:eastAsia="仿宋_GB2312" w:cs="仿宋_GB2312"/>
          <w:kern w:val="2"/>
          <w:sz w:val="32"/>
          <w:szCs w:val="32"/>
          <w:lang w:val="en-US" w:eastAsia="zh-CN" w:bidi="ar-SA"/>
        </w:rPr>
        <w:t>1221.8242万元</w:t>
      </w:r>
      <w:r>
        <w:rPr>
          <w:rFonts w:hint="eastAsia" w:ascii="仿宋_GB2312" w:hAnsi="仿宋_GB2312" w:eastAsia="仿宋_GB2312" w:cs="仿宋_GB2312"/>
          <w:kern w:val="2"/>
          <w:sz w:val="32"/>
          <w:szCs w:val="32"/>
          <w:lang w:val="zh-CN" w:eastAsia="zh-CN" w:bidi="ar-SA"/>
        </w:rPr>
        <w:t>。</w:t>
      </w:r>
    </w:p>
    <w:p>
      <w:pPr>
        <w:numPr>
          <w:ilvl w:val="0"/>
          <w:numId w:val="0"/>
        </w:numPr>
        <w:adjustRightInd w:val="0"/>
        <w:snapToGrid w:val="0"/>
        <w:spacing w:line="600" w:lineRule="exact"/>
        <w:ind w:left="720" w:leftChars="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（三）项目财务管理情况。</w:t>
      </w:r>
    </w:p>
    <w:p>
      <w:pPr>
        <w:adjustRightInd w:val="0"/>
        <w:snapToGrid w:val="0"/>
        <w:spacing w:line="580" w:lineRule="exact"/>
        <w:ind w:firstLine="72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县城乡规划建设和住房保障局机构设置中设有财务室，各种会计制度健全，配有专业人员进行会计账务处理，及时，准确对项目资料进行会计记账，真实反映项目实际情况。</w:t>
      </w:r>
    </w:p>
    <w:p>
      <w:pPr>
        <w:adjustRightInd w:val="0"/>
        <w:snapToGrid w:val="0"/>
        <w:spacing w:line="600" w:lineRule="exact"/>
        <w:ind w:firstLine="720"/>
        <w:rPr>
          <w:rFonts w:hint="eastAsia" w:ascii="楷体_GB2312" w:hAnsi="宋体" w:eastAsia="楷体_GB2312"/>
          <w:b/>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kern w:val="2"/>
          <w:sz w:val="32"/>
          <w:szCs w:val="32"/>
          <w:lang w:val="en-US" w:eastAsia="zh-CN" w:bidi="ar-SA"/>
        </w:rPr>
        <w:t>三、</w:t>
      </w:r>
      <w:r>
        <w:rPr>
          <w:rFonts w:hint="eastAsia" w:ascii="楷体_GB2312" w:hAnsi="宋体" w:eastAsia="楷体_GB2312"/>
          <w:b/>
          <w:color w:val="000000" w:themeColor="text1"/>
          <w:sz w:val="32"/>
          <w:szCs w:val="32"/>
          <w:lang w:val="en-US" w:eastAsia="zh-CN"/>
          <w14:textFill>
            <w14:solidFill>
              <w14:schemeClr w14:val="tx1"/>
            </w14:solidFill>
          </w14:textFill>
        </w:rPr>
        <w:t>项目实施及管理情况</w:t>
      </w:r>
    </w:p>
    <w:p>
      <w:pPr>
        <w:adjustRightInd w:val="0"/>
        <w:snapToGrid w:val="0"/>
        <w:spacing w:line="600" w:lineRule="exact"/>
        <w:ind w:firstLine="72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（一）项目组织架构及实施流程。壤塘</w:t>
      </w:r>
      <w:r>
        <w:rPr>
          <w:rFonts w:hint="eastAsia" w:ascii="仿宋_GB2312" w:hAnsi="仿宋_GB2312" w:eastAsia="仿宋_GB2312" w:cs="仿宋_GB2312"/>
          <w:kern w:val="2"/>
          <w:sz w:val="32"/>
          <w:szCs w:val="32"/>
          <w:lang w:val="en-US" w:eastAsia="zh-CN" w:bidi="ar-SA"/>
        </w:rPr>
        <w:t>壤塘县生活垃圾资源化综合处置项目</w:t>
      </w:r>
      <w:r>
        <w:rPr>
          <w:rFonts w:hint="eastAsia" w:ascii="仿宋_GB2312" w:hAnsi="仿宋_GB2312" w:eastAsia="仿宋_GB2312" w:cs="仿宋_GB2312"/>
          <w:kern w:val="2"/>
          <w:sz w:val="32"/>
          <w:szCs w:val="32"/>
          <w:lang w:val="zh-CN" w:eastAsia="zh-CN" w:bidi="ar-SA"/>
        </w:rPr>
        <w:t>建设项目朵强局长主要负责，王韵杰副局长分管。</w:t>
      </w:r>
    </w:p>
    <w:p>
      <w:pPr>
        <w:spacing w:line="560" w:lineRule="exact"/>
        <w:ind w:firstLine="640" w:firstLineChars="20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（二）项目管理情况。项目严格按照相关法律法规实施，施工过程严格把关，重点把控隐蔽工程是否符合设计要求，严格把关施工工艺。</w:t>
      </w:r>
    </w:p>
    <w:p>
      <w:pPr>
        <w:adjustRightInd w:val="0"/>
        <w:snapToGrid w:val="0"/>
        <w:spacing w:line="580" w:lineRule="exact"/>
        <w:ind w:firstLine="72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（三）项目监管情况。为保证项目安全、质量，我局要求监理单位总监理工程师、专业监理工程师到现场进行监理活动，施工单位项目经理、技术负责人、施工员、安全员必须到位。</w:t>
      </w:r>
    </w:p>
    <w:p>
      <w:pPr>
        <w:adjustRightInd w:val="0"/>
        <w:snapToGrid w:val="0"/>
        <w:spacing w:line="580" w:lineRule="exact"/>
        <w:ind w:firstLine="72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依照《四川省建筑管理条例》等相关规定，隐蔽工程经县质量安全监督站及五大责任主体进行隐蔽工程验收，项目使用建筑材料依规送检，保证质量符合设计要求。</w:t>
      </w:r>
    </w:p>
    <w:p>
      <w:pPr>
        <w:spacing w:line="560" w:lineRule="exact"/>
        <w:ind w:firstLine="64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zh-CN" w:eastAsia="zh-CN" w:bidi="ar-SA"/>
        </w:rPr>
        <w:t>严格落实安全生产责任，对安全隐患早发现早处理；对</w:t>
      </w:r>
      <w:r>
        <w:rPr>
          <w:rFonts w:hint="eastAsia" w:ascii="仿宋_GB2312" w:hAnsi="仿宋_GB2312" w:eastAsia="仿宋_GB2312" w:cs="仿宋_GB2312"/>
          <w:kern w:val="2"/>
          <w:sz w:val="32"/>
          <w:szCs w:val="32"/>
          <w:lang w:val="en-US" w:eastAsia="zh-CN" w:bidi="ar-SA"/>
        </w:rPr>
        <w:t>模架工程中房建的模板支撑系统、脚手架专项方案的编制，及规范要求搭设严格按照规范检查。严格检查起重机械的备案登记，起重机械安装（拆除）的专项方案的编制备案，以及检测、使用、维护等的安全管理；基坑工程中深基坑专项方案的编制，基坑土方开挖、支护、临边防护、变形检测等的安全管理；临时用电方案的编制，施工现场临时用电的安全管理情况；做好安全防护工作，佩戴安全帽、安全带、安全网等防护用品；建立汛期到岗带班和关键岗位24小时值班制度，汛期内一天一报，保证汛期安全生产。</w:t>
      </w:r>
    </w:p>
    <w:p>
      <w:pPr>
        <w:spacing w:line="560" w:lineRule="exact"/>
        <w:ind w:firstLine="64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该项目严格按照规范保证了工程质量，施工期间无安全事故发生。</w:t>
      </w:r>
    </w:p>
    <w:p>
      <w:pPr>
        <w:adjustRightInd w:val="0"/>
        <w:snapToGrid w:val="0"/>
        <w:spacing w:line="600" w:lineRule="exact"/>
        <w:ind w:firstLine="720"/>
        <w:rPr>
          <w:rFonts w:hint="eastAsia" w:ascii="楷体_GB2312" w:hAnsi="宋体" w:eastAsia="楷体_GB2312"/>
          <w:b/>
          <w:color w:val="000000" w:themeColor="text1"/>
          <w:sz w:val="32"/>
          <w:szCs w:val="32"/>
          <w:lang w:val="zh-CN" w:eastAsia="zh-CN"/>
          <w14:textFill>
            <w14:solidFill>
              <w14:schemeClr w14:val="tx1"/>
            </w14:solidFill>
          </w14:textFill>
        </w:rPr>
      </w:pPr>
      <w:r>
        <w:rPr>
          <w:rFonts w:hint="eastAsia" w:ascii="仿宋_GB2312" w:hAnsi="仿宋_GB2312" w:eastAsia="仿宋_GB2312" w:cs="仿宋_GB2312"/>
          <w:kern w:val="2"/>
          <w:sz w:val="32"/>
          <w:szCs w:val="32"/>
          <w:lang w:val="en-US" w:eastAsia="zh-CN" w:bidi="ar-SA"/>
        </w:rPr>
        <w:t>四、</w:t>
      </w:r>
      <w:r>
        <w:rPr>
          <w:rFonts w:hint="eastAsia" w:ascii="楷体_GB2312" w:hAnsi="宋体" w:eastAsia="楷体_GB2312"/>
          <w:b/>
          <w:color w:val="000000" w:themeColor="text1"/>
          <w:sz w:val="32"/>
          <w:szCs w:val="32"/>
          <w:lang w:val="en-US" w:eastAsia="zh-CN"/>
          <w14:textFill>
            <w14:solidFill>
              <w14:schemeClr w14:val="tx1"/>
            </w14:solidFill>
          </w14:textFill>
        </w:rPr>
        <w:t>项目绩效情况</w:t>
      </w:r>
      <w:r>
        <w:rPr>
          <w:rFonts w:hint="eastAsia" w:ascii="楷体_GB2312" w:hAnsi="宋体" w:eastAsia="楷体_GB2312"/>
          <w:b/>
          <w:color w:val="000000" w:themeColor="text1"/>
          <w:sz w:val="32"/>
          <w:szCs w:val="32"/>
          <w:lang w:val="zh-CN" w:eastAsia="zh-CN"/>
          <w14:textFill>
            <w14:solidFill>
              <w14:schemeClr w14:val="tx1"/>
            </w14:solidFill>
          </w14:textFill>
        </w:rPr>
        <w:tab/>
      </w:r>
    </w:p>
    <w:p>
      <w:pPr>
        <w:adjustRightInd w:val="0"/>
        <w:snapToGrid w:val="0"/>
        <w:spacing w:line="600" w:lineRule="exact"/>
        <w:ind w:firstLine="72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（一）项目完成情况。</w:t>
      </w:r>
    </w:p>
    <w:p>
      <w:pPr>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壤塘县生活垃圾资源化综合处置项目</w:t>
      </w:r>
      <w:r>
        <w:rPr>
          <w:rFonts w:hint="eastAsia" w:ascii="仿宋_GB2312" w:hAnsi="仿宋_GB2312" w:eastAsia="仿宋_GB2312" w:cs="仿宋_GB2312"/>
          <w:kern w:val="2"/>
          <w:sz w:val="32"/>
          <w:szCs w:val="32"/>
          <w:lang w:val="zh-CN" w:eastAsia="zh-CN" w:bidi="ar-SA"/>
        </w:rPr>
        <w:t>建设项目</w:t>
      </w:r>
      <w:r>
        <w:rPr>
          <w:rFonts w:hint="eastAsia" w:ascii="仿宋_GB2312" w:hAnsi="仿宋_GB2312" w:eastAsia="仿宋_GB2312" w:cs="仿宋_GB2312"/>
          <w:kern w:val="2"/>
          <w:sz w:val="32"/>
          <w:szCs w:val="32"/>
          <w:lang w:val="en-US" w:eastAsia="zh-CN" w:bidi="ar-SA"/>
        </w:rPr>
        <w:t>内容土建工程、设备采购工程、安装工程等配套设施。施工签订合同时间2019年8月1日至2019年11月项目竣工。</w:t>
      </w:r>
    </w:p>
    <w:p>
      <w:pPr>
        <w:spacing w:line="560" w:lineRule="exact"/>
        <w:ind w:firstLine="640" w:firstLineChars="20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项目完成合同工程量的90%，质量符合设计要求，项目进度按照合同要求，项目成本依照相关规范严格把控。</w:t>
      </w:r>
    </w:p>
    <w:p>
      <w:pPr>
        <w:adjustRightInd w:val="0"/>
        <w:snapToGrid w:val="0"/>
        <w:spacing w:line="600" w:lineRule="exact"/>
        <w:ind w:firstLine="72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（二）项目效益情况。</w:t>
      </w:r>
    </w:p>
    <w:p>
      <w:pPr>
        <w:adjustRightInd w:val="0"/>
        <w:snapToGrid w:val="0"/>
        <w:spacing w:line="580" w:lineRule="exact"/>
        <w:ind w:firstLine="72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壤塘县</w:t>
      </w:r>
      <w:r>
        <w:rPr>
          <w:rFonts w:hint="eastAsia" w:ascii="仿宋_GB2312" w:hAnsi="仿宋_GB2312" w:eastAsia="仿宋_GB2312" w:cs="仿宋_GB2312"/>
          <w:kern w:val="2"/>
          <w:sz w:val="32"/>
          <w:szCs w:val="32"/>
          <w:lang w:val="en-US" w:eastAsia="zh-CN" w:bidi="ar-SA"/>
        </w:rPr>
        <w:t>生活垃圾资源化综合处置</w:t>
      </w:r>
      <w:r>
        <w:rPr>
          <w:rFonts w:hint="eastAsia" w:ascii="仿宋_GB2312" w:hAnsi="仿宋_GB2312" w:eastAsia="仿宋_GB2312" w:cs="仿宋_GB2312"/>
          <w:kern w:val="2"/>
          <w:sz w:val="32"/>
          <w:szCs w:val="32"/>
          <w:lang w:val="zh-CN" w:eastAsia="zh-CN" w:bidi="ar-SA"/>
        </w:rPr>
        <w:t>建设项目</w:t>
      </w:r>
      <w:r>
        <w:rPr>
          <w:rFonts w:hint="eastAsia" w:ascii="仿宋_GB2312" w:hAnsi="仿宋_GB2312" w:eastAsia="仿宋_GB2312" w:cs="仿宋_GB2312"/>
          <w:kern w:val="2"/>
          <w:sz w:val="32"/>
          <w:szCs w:val="32"/>
          <w:lang w:val="en-US" w:eastAsia="zh-CN" w:bidi="ar-SA"/>
        </w:rPr>
        <w:t>为了解决城市垃圾填埋造成的二次污染及其他环保问题，促进壤塘县的环保建设。</w:t>
      </w:r>
    </w:p>
    <w:p>
      <w:pPr>
        <w:adjustRightInd w:val="0"/>
        <w:snapToGrid w:val="0"/>
        <w:spacing w:line="600" w:lineRule="exact"/>
        <w:ind w:firstLine="720"/>
        <w:rPr>
          <w:rFonts w:hint="eastAsia" w:ascii="楷体_GB2312" w:hAnsi="宋体" w:eastAsia="楷体_GB2312"/>
          <w:b/>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kern w:val="2"/>
          <w:sz w:val="32"/>
          <w:szCs w:val="32"/>
          <w:lang w:val="en-US" w:eastAsia="zh-CN" w:bidi="ar-SA"/>
        </w:rPr>
        <w:t>五、</w:t>
      </w:r>
      <w:r>
        <w:rPr>
          <w:rFonts w:hint="eastAsia" w:ascii="楷体_GB2312" w:hAnsi="宋体" w:eastAsia="楷体_GB2312"/>
          <w:b/>
          <w:color w:val="000000" w:themeColor="text1"/>
          <w:sz w:val="32"/>
          <w:szCs w:val="32"/>
          <w:lang w:val="en-US" w:eastAsia="zh-CN"/>
          <w14:textFill>
            <w14:solidFill>
              <w14:schemeClr w14:val="tx1"/>
            </w14:solidFill>
          </w14:textFill>
        </w:rPr>
        <w:t>评价结论及建议</w:t>
      </w:r>
    </w:p>
    <w:p>
      <w:pPr>
        <w:adjustRightInd w:val="0"/>
        <w:snapToGrid w:val="0"/>
        <w:spacing w:line="600" w:lineRule="exact"/>
        <w:ind w:firstLine="72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（一）评价结论。</w:t>
      </w:r>
    </w:p>
    <w:p>
      <w:pPr>
        <w:adjustRightInd w:val="0"/>
        <w:snapToGrid w:val="0"/>
        <w:spacing w:line="580" w:lineRule="exact"/>
        <w:ind w:firstLine="640" w:firstLineChars="20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1.项目严格按照《中华人民共和国建筑法》</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zh-CN" w:eastAsia="zh-CN" w:bidi="ar-SA"/>
        </w:rPr>
        <w:t>《四川省建筑管理条例</w:t>
      </w:r>
      <w:r>
        <w:rPr>
          <w:rFonts w:hint="eastAsia" w:ascii="仿宋_GB2312" w:hAnsi="仿宋_GB2312" w:eastAsia="仿宋_GB2312" w:cs="仿宋_GB2312"/>
          <w:kern w:val="2"/>
          <w:sz w:val="32"/>
          <w:szCs w:val="32"/>
          <w:lang w:val="zh-CN" w:eastAsia="zh-CN" w:bidi="ar-SA"/>
        </w:rPr>
        <w:t>》对项目安全、质量进行严格管理，项目取得了一定成绩，不仅解决</w:t>
      </w:r>
      <w:r>
        <w:rPr>
          <w:rFonts w:hint="eastAsia" w:ascii="仿宋_GB2312" w:hAnsi="仿宋_GB2312" w:eastAsia="仿宋_GB2312" w:cs="仿宋_GB2312"/>
          <w:kern w:val="2"/>
          <w:sz w:val="32"/>
          <w:szCs w:val="32"/>
          <w:lang w:val="en-US" w:eastAsia="zh-CN" w:bidi="ar-SA"/>
        </w:rPr>
        <w:t>村民的周边脏、乱、差，更是美化了县城环境。</w:t>
      </w:r>
    </w:p>
    <w:p>
      <w:pPr>
        <w:adjustRightInd w:val="0"/>
        <w:snapToGrid w:val="0"/>
        <w:spacing w:line="580" w:lineRule="exact"/>
        <w:ind w:firstLine="72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val="zh-CN" w:eastAsia="zh-CN" w:bidi="ar-SA"/>
        </w:rPr>
        <w:t>壤塘县</w:t>
      </w:r>
      <w:r>
        <w:rPr>
          <w:rFonts w:hint="eastAsia" w:ascii="仿宋_GB2312" w:hAnsi="仿宋_GB2312" w:eastAsia="仿宋_GB2312" w:cs="仿宋_GB2312"/>
          <w:kern w:val="2"/>
          <w:sz w:val="32"/>
          <w:szCs w:val="32"/>
          <w:lang w:val="en-US" w:eastAsia="zh-CN" w:bidi="ar-SA"/>
        </w:rPr>
        <w:t>生活垃圾资源化综合处置</w:t>
      </w:r>
      <w:r>
        <w:rPr>
          <w:rFonts w:hint="eastAsia" w:ascii="仿宋_GB2312" w:hAnsi="仿宋_GB2312" w:eastAsia="仿宋_GB2312" w:cs="仿宋_GB2312"/>
          <w:kern w:val="2"/>
          <w:sz w:val="32"/>
          <w:szCs w:val="32"/>
          <w:lang w:val="zh-CN" w:eastAsia="zh-CN" w:bidi="ar-SA"/>
        </w:rPr>
        <w:t>建设项目</w:t>
      </w:r>
      <w:r>
        <w:rPr>
          <w:rFonts w:hint="eastAsia" w:ascii="仿宋_GB2312" w:hAnsi="仿宋_GB2312" w:eastAsia="仿宋_GB2312" w:cs="仿宋_GB2312"/>
          <w:kern w:val="2"/>
          <w:sz w:val="32"/>
          <w:szCs w:val="32"/>
          <w:lang w:val="en-US" w:eastAsia="zh-CN" w:bidi="ar-SA"/>
        </w:rPr>
        <w:t>为了解决县城垃圾无害化，同时促进壤塘县乡村基础设施的完善。</w:t>
      </w:r>
    </w:p>
    <w:p>
      <w:pPr>
        <w:adjustRightInd w:val="0"/>
        <w:snapToGrid w:val="0"/>
        <w:spacing w:line="600" w:lineRule="exact"/>
        <w:ind w:firstLine="640" w:firstLineChars="200"/>
        <w:rPr>
          <w:rFonts w:ascii="仿宋_GB2312" w:hAnsi="宋体" w:eastAsia="仿宋_GB2312"/>
          <w:color w:val="548235" w:themeColor="accent6" w:themeShade="BF"/>
          <w:sz w:val="32"/>
          <w:szCs w:val="32"/>
          <w:bdr w:val="single" w:color="auto" w:sz="4" w:space="0"/>
          <w:lang w:val="zh-CN"/>
        </w:rPr>
      </w:pPr>
    </w:p>
    <w:p>
      <w:pPr>
        <w:adjustRightInd w:val="0"/>
        <w:snapToGrid w:val="0"/>
        <w:spacing w:line="600" w:lineRule="exact"/>
        <w:ind w:firstLine="640" w:firstLineChars="200"/>
        <w:rPr>
          <w:rFonts w:ascii="仿宋_GB2312" w:hAnsi="宋体" w:eastAsia="仿宋_GB2312"/>
          <w:color w:val="548235" w:themeColor="accent6" w:themeShade="BF"/>
          <w:sz w:val="32"/>
          <w:szCs w:val="32"/>
          <w:lang w:val="zh-CN"/>
        </w:rPr>
      </w:pPr>
      <w:r>
        <w:rPr>
          <w:rFonts w:ascii="仿宋_GB2312" w:hAnsi="宋体" w:eastAsia="仿宋_GB2312"/>
          <w:color w:val="548235" w:themeColor="accent6" w:themeShade="BF"/>
          <w:sz w:val="32"/>
          <w:szCs w:val="32"/>
          <w:lang w:val="zh-CN"/>
        </w:rPr>
        <w:tab/>
      </w:r>
    </w:p>
    <w:p>
      <w:pPr>
        <w:pStyle w:val="2"/>
        <w:rPr>
          <w:lang w:val="zh-CN"/>
        </w:rPr>
      </w:pPr>
    </w:p>
    <w:p>
      <w:pPr>
        <w:spacing w:line="580" w:lineRule="exact"/>
        <w:ind w:firstLine="640"/>
        <w:rPr>
          <w:rFonts w:ascii="仿宋_GB2312" w:hAnsi="仿宋_GB2312" w:eastAsia="仿宋_GB2312" w:cs="仿宋_GB2312"/>
          <w:sz w:val="32"/>
          <w:szCs w:val="32"/>
        </w:rPr>
      </w:pPr>
    </w:p>
    <w:p>
      <w:pPr>
        <w:widowControl/>
        <w:jc w:val="left"/>
        <w:rPr>
          <w:rStyle w:val="26"/>
          <w:rFonts w:ascii="黑体" w:hAnsi="黑体" w:eastAsia="黑体"/>
          <w:b w:val="0"/>
        </w:rPr>
      </w:pPr>
    </w:p>
    <w:p>
      <w:pPr>
        <w:widowControl/>
        <w:ind w:firstLine="2200" w:firstLineChars="500"/>
        <w:jc w:val="both"/>
        <w:rPr>
          <w:rStyle w:val="26"/>
          <w:rFonts w:ascii="黑体" w:hAnsi="黑体" w:eastAsia="黑体"/>
          <w:b w:val="0"/>
        </w:rPr>
      </w:pPr>
      <w:bookmarkStart w:id="110" w:name="_Toc15396618"/>
      <w:bookmarkStart w:id="111" w:name="_Toc79163635"/>
      <w:bookmarkStart w:id="112" w:name="_Toc79163885"/>
      <w:r>
        <w:rPr>
          <w:rFonts w:hint="eastAsia" w:ascii="黑体" w:hAnsi="黑体" w:eastAsia="黑体"/>
          <w:color w:val="000000"/>
          <w:sz w:val="44"/>
          <w:szCs w:val="44"/>
        </w:rPr>
        <w:t>第</w:t>
      </w:r>
      <w:r>
        <w:rPr>
          <w:rStyle w:val="26"/>
          <w:rFonts w:hint="eastAsia" w:ascii="黑体" w:hAnsi="黑体" w:eastAsia="黑体"/>
          <w:b w:val="0"/>
        </w:rPr>
        <w:t>五部分</w:t>
      </w:r>
      <w:r>
        <w:rPr>
          <w:rStyle w:val="26"/>
          <w:rFonts w:ascii="黑体" w:hAnsi="黑体" w:eastAsia="黑体"/>
          <w:b w:val="0"/>
        </w:rPr>
        <w:t xml:space="preserve"> </w:t>
      </w:r>
      <w:r>
        <w:rPr>
          <w:rStyle w:val="26"/>
          <w:rFonts w:hint="eastAsia" w:ascii="黑体" w:hAnsi="黑体" w:eastAsia="黑体"/>
          <w:b w:val="0"/>
        </w:rPr>
        <w:t>附表</w:t>
      </w:r>
      <w:bookmarkEnd w:id="98"/>
      <w:bookmarkEnd w:id="110"/>
      <w:bookmarkEnd w:id="111"/>
      <w:bookmarkEnd w:id="112"/>
    </w:p>
    <w:p>
      <w:pPr>
        <w:pStyle w:val="4"/>
        <w:rPr>
          <w:rFonts w:ascii="仿宋" w:hAnsi="仿宋" w:eastAsia="仿宋"/>
          <w:color w:val="000000"/>
        </w:rPr>
      </w:pPr>
      <w:bookmarkStart w:id="113" w:name="_Toc15396619"/>
      <w:bookmarkStart w:id="114" w:name="_Toc79163636"/>
      <w:bookmarkStart w:id="115" w:name="_Toc79163886"/>
      <w:r>
        <w:rPr>
          <w:rFonts w:hint="eastAsia" w:ascii="仿宋" w:hAnsi="仿宋" w:eastAsia="仿宋"/>
          <w:b w:val="0"/>
          <w:color w:val="000000"/>
        </w:rPr>
        <w:t>一、收</w:t>
      </w:r>
      <w:r>
        <w:rPr>
          <w:rStyle w:val="27"/>
          <w:rFonts w:hint="eastAsia" w:ascii="仿宋" w:hAnsi="仿宋" w:eastAsia="仿宋"/>
          <w:b w:val="0"/>
          <w:bCs w:val="0"/>
        </w:rPr>
        <w:t>入支出决算总表</w:t>
      </w:r>
      <w:bookmarkEnd w:id="113"/>
      <w:bookmarkEnd w:id="114"/>
      <w:bookmarkEnd w:id="115"/>
      <w:bookmarkStart w:id="154" w:name="_GoBack"/>
      <w:bookmarkEnd w:id="154"/>
    </w:p>
    <w:p>
      <w:pPr>
        <w:pStyle w:val="4"/>
        <w:rPr>
          <w:rFonts w:ascii="仿宋" w:hAnsi="仿宋" w:eastAsia="仿宋"/>
          <w:color w:val="000000"/>
        </w:rPr>
      </w:pPr>
      <w:bookmarkStart w:id="116" w:name="_Toc79163887"/>
      <w:bookmarkStart w:id="117" w:name="_Toc79163637"/>
      <w:bookmarkStart w:id="118"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116"/>
      <w:bookmarkEnd w:id="117"/>
      <w:bookmarkEnd w:id="118"/>
    </w:p>
    <w:p>
      <w:pPr>
        <w:pStyle w:val="4"/>
        <w:rPr>
          <w:rFonts w:ascii="仿宋" w:hAnsi="仿宋" w:eastAsia="仿宋"/>
          <w:color w:val="000000"/>
        </w:rPr>
      </w:pPr>
      <w:bookmarkStart w:id="119" w:name="_Toc79163638"/>
      <w:bookmarkStart w:id="120" w:name="_Toc15396621"/>
      <w:bookmarkStart w:id="121" w:name="_Toc79163888"/>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119"/>
      <w:bookmarkEnd w:id="120"/>
      <w:bookmarkEnd w:id="121"/>
    </w:p>
    <w:p>
      <w:pPr>
        <w:pStyle w:val="4"/>
        <w:rPr>
          <w:rFonts w:ascii="仿宋" w:hAnsi="仿宋" w:eastAsia="仿宋"/>
          <w:b w:val="0"/>
          <w:color w:val="000000"/>
        </w:rPr>
      </w:pPr>
      <w:bookmarkStart w:id="122" w:name="_Toc79163889"/>
      <w:bookmarkStart w:id="123" w:name="_Toc79163639"/>
      <w:bookmarkStart w:id="124"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122"/>
      <w:bookmarkEnd w:id="123"/>
      <w:bookmarkEnd w:id="124"/>
    </w:p>
    <w:p>
      <w:pPr>
        <w:pStyle w:val="4"/>
        <w:rPr>
          <w:rStyle w:val="27"/>
          <w:rFonts w:ascii="仿宋" w:hAnsi="仿宋" w:eastAsia="仿宋"/>
          <w:b w:val="0"/>
          <w:bCs w:val="0"/>
        </w:rPr>
      </w:pPr>
      <w:bookmarkStart w:id="125" w:name="_Toc15396623"/>
      <w:bookmarkStart w:id="126" w:name="_Toc79163640"/>
      <w:bookmarkStart w:id="127" w:name="_Toc79163890"/>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125"/>
      <w:bookmarkEnd w:id="126"/>
      <w:bookmarkEnd w:id="127"/>
      <w:bookmarkStart w:id="128" w:name="_Toc15396624"/>
    </w:p>
    <w:p>
      <w:pPr>
        <w:pStyle w:val="4"/>
        <w:rPr>
          <w:rFonts w:ascii="仿宋" w:hAnsi="仿宋" w:eastAsia="仿宋"/>
          <w:color w:val="000000"/>
        </w:rPr>
      </w:pPr>
      <w:bookmarkStart w:id="129" w:name="_Toc79163641"/>
      <w:bookmarkStart w:id="130" w:name="_Toc79163891"/>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128"/>
      <w:bookmarkEnd w:id="129"/>
      <w:bookmarkEnd w:id="130"/>
    </w:p>
    <w:p>
      <w:pPr>
        <w:pStyle w:val="4"/>
        <w:rPr>
          <w:rFonts w:ascii="仿宋" w:hAnsi="仿宋" w:eastAsia="仿宋"/>
          <w:color w:val="000000"/>
        </w:rPr>
      </w:pPr>
      <w:bookmarkStart w:id="131" w:name="_Toc15396625"/>
      <w:bookmarkStart w:id="132" w:name="_Toc79163892"/>
      <w:bookmarkStart w:id="133" w:name="_Toc79163642"/>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131"/>
      <w:bookmarkEnd w:id="132"/>
      <w:bookmarkEnd w:id="133"/>
    </w:p>
    <w:p>
      <w:pPr>
        <w:pStyle w:val="4"/>
        <w:rPr>
          <w:rFonts w:ascii="仿宋" w:hAnsi="仿宋" w:eastAsia="仿宋"/>
          <w:color w:val="000000"/>
        </w:rPr>
      </w:pPr>
      <w:bookmarkStart w:id="134" w:name="_Toc79163893"/>
      <w:bookmarkStart w:id="135" w:name="_Toc79163643"/>
      <w:bookmarkStart w:id="136"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134"/>
      <w:bookmarkEnd w:id="135"/>
      <w:bookmarkEnd w:id="136"/>
    </w:p>
    <w:p>
      <w:pPr>
        <w:pStyle w:val="4"/>
        <w:rPr>
          <w:rFonts w:ascii="仿宋" w:hAnsi="仿宋" w:eastAsia="仿宋"/>
          <w:color w:val="000000"/>
        </w:rPr>
      </w:pPr>
      <w:bookmarkStart w:id="137" w:name="_Toc79163894"/>
      <w:bookmarkStart w:id="138" w:name="_Toc15396627"/>
      <w:bookmarkStart w:id="139" w:name="_Toc79163644"/>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37"/>
      <w:bookmarkEnd w:id="138"/>
      <w:bookmarkEnd w:id="139"/>
    </w:p>
    <w:p>
      <w:pPr>
        <w:pStyle w:val="4"/>
        <w:rPr>
          <w:rFonts w:ascii="仿宋" w:hAnsi="仿宋" w:eastAsia="仿宋"/>
          <w:color w:val="000000"/>
        </w:rPr>
      </w:pPr>
      <w:bookmarkStart w:id="140" w:name="_Toc79163895"/>
      <w:bookmarkStart w:id="141" w:name="_Toc15396628"/>
      <w:bookmarkStart w:id="142" w:name="_Toc79163645"/>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40"/>
      <w:bookmarkEnd w:id="141"/>
      <w:bookmarkEnd w:id="142"/>
    </w:p>
    <w:p>
      <w:pPr>
        <w:pStyle w:val="4"/>
        <w:rPr>
          <w:rFonts w:ascii="仿宋" w:hAnsi="仿宋" w:eastAsia="仿宋"/>
          <w:color w:val="000000"/>
        </w:rPr>
      </w:pPr>
      <w:bookmarkStart w:id="143" w:name="_Toc79163646"/>
      <w:bookmarkStart w:id="144" w:name="_Toc79163896"/>
      <w:bookmarkStart w:id="145"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43"/>
      <w:bookmarkEnd w:id="144"/>
      <w:bookmarkEnd w:id="145"/>
    </w:p>
    <w:p>
      <w:pPr>
        <w:pStyle w:val="4"/>
        <w:rPr>
          <w:rFonts w:ascii="仿宋" w:hAnsi="仿宋" w:eastAsia="仿宋"/>
          <w:color w:val="000000"/>
        </w:rPr>
      </w:pPr>
      <w:bookmarkStart w:id="146" w:name="_Toc15396630"/>
      <w:bookmarkStart w:id="147" w:name="_Toc79163897"/>
      <w:bookmarkStart w:id="148" w:name="_Toc79163647"/>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46"/>
      <w:bookmarkEnd w:id="147"/>
      <w:bookmarkEnd w:id="148"/>
    </w:p>
    <w:p>
      <w:pPr>
        <w:pStyle w:val="4"/>
        <w:rPr>
          <w:rStyle w:val="27"/>
          <w:rFonts w:ascii="仿宋" w:hAnsi="仿宋" w:eastAsia="仿宋"/>
          <w:b w:val="0"/>
          <w:bCs w:val="0"/>
        </w:rPr>
      </w:pPr>
      <w:bookmarkStart w:id="149" w:name="_Toc79163648"/>
      <w:bookmarkStart w:id="150" w:name="_Toc79163898"/>
      <w:bookmarkStart w:id="151"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有资本经营预算财政拨款支出决算表</w:t>
      </w:r>
      <w:bookmarkEnd w:id="149"/>
      <w:bookmarkEnd w:id="150"/>
      <w:bookmarkEnd w:id="151"/>
    </w:p>
    <w:p>
      <w:pPr>
        <w:pStyle w:val="4"/>
        <w:rPr>
          <w:rStyle w:val="27"/>
          <w:rFonts w:ascii="仿宋" w:hAnsi="仿宋" w:eastAsia="仿宋"/>
          <w:b w:val="0"/>
          <w:bCs w:val="0"/>
        </w:rPr>
      </w:pPr>
      <w:bookmarkStart w:id="152" w:name="_Toc79163899"/>
      <w:bookmarkStart w:id="153" w:name="_Toc79163649"/>
      <w:r>
        <w:rPr>
          <w:rStyle w:val="27"/>
          <w:rFonts w:hint="eastAsia" w:ascii="仿宋" w:hAnsi="仿宋" w:eastAsia="仿宋"/>
          <w:b w:val="0"/>
          <w:bCs w:val="0"/>
        </w:rPr>
        <w:t>十四、国有资本经营预算财政拨款支出决算表</w:t>
      </w:r>
      <w:bookmarkEnd w:id="152"/>
      <w:bookmarkEnd w:id="15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altName w:val="Arial Unicode MS"/>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Arial Unicode MS"/>
    <w:panose1 w:val="03000502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8AF2D7"/>
    <w:multiLevelType w:val="singleLevel"/>
    <w:tmpl w:val="AF8AF2D7"/>
    <w:lvl w:ilvl="0" w:tentative="0">
      <w:start w:val="1"/>
      <w:numFmt w:val="decimal"/>
      <w:suff w:val="nothing"/>
      <w:lvlText w:val="%1、"/>
      <w:lvlJc w:val="left"/>
      <w:pPr>
        <w:ind w:left="481" w:leftChars="0" w:firstLine="0" w:firstLineChars="0"/>
      </w:p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CF979FDA"/>
    <w:multiLevelType w:val="singleLevel"/>
    <w:tmpl w:val="CF979FDA"/>
    <w:lvl w:ilvl="0" w:tentative="0">
      <w:start w:val="1"/>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427502DE"/>
    <w:multiLevelType w:val="singleLevel"/>
    <w:tmpl w:val="427502DE"/>
    <w:lvl w:ilvl="0" w:tentative="0">
      <w:start w:val="2"/>
      <w:numFmt w:val="chineseCounting"/>
      <w:suff w:val="nothing"/>
      <w:lvlText w:val="（%1）"/>
      <w:lvlJc w:val="left"/>
      <w:rPr>
        <w:rFonts w:hint="eastAsia"/>
      </w:rPr>
    </w:lvl>
  </w:abstractNum>
  <w:abstractNum w:abstractNumId="6">
    <w:nsid w:val="62621CDC"/>
    <w:multiLevelType w:val="multilevel"/>
    <w:tmpl w:val="62621CDC"/>
    <w:lvl w:ilvl="0" w:tentative="0">
      <w:start w:val="1"/>
      <w:numFmt w:val="decimal"/>
      <w:lvlText w:val="%1."/>
      <w:lvlJc w:val="left"/>
      <w:pPr>
        <w:ind w:left="1152" w:hanging="480"/>
      </w:pPr>
      <w:rPr>
        <w:rFonts w:hint="default" w:cs="Times New Roman"/>
      </w:rPr>
    </w:lvl>
    <w:lvl w:ilvl="1" w:tentative="0">
      <w:start w:val="1"/>
      <w:numFmt w:val="lowerLetter"/>
      <w:lvlText w:val="%2)"/>
      <w:lvlJc w:val="left"/>
      <w:pPr>
        <w:ind w:left="1512" w:hanging="420"/>
      </w:pPr>
      <w:rPr>
        <w:rFonts w:cs="Times New Roman"/>
      </w:rPr>
    </w:lvl>
    <w:lvl w:ilvl="2" w:tentative="0">
      <w:start w:val="1"/>
      <w:numFmt w:val="lowerRoman"/>
      <w:lvlText w:val="%3."/>
      <w:lvlJc w:val="right"/>
      <w:pPr>
        <w:ind w:left="1932" w:hanging="420"/>
      </w:pPr>
      <w:rPr>
        <w:rFonts w:cs="Times New Roman"/>
      </w:rPr>
    </w:lvl>
    <w:lvl w:ilvl="3" w:tentative="0">
      <w:start w:val="1"/>
      <w:numFmt w:val="decimal"/>
      <w:lvlText w:val="%4."/>
      <w:lvlJc w:val="left"/>
      <w:pPr>
        <w:ind w:left="2352" w:hanging="420"/>
      </w:pPr>
      <w:rPr>
        <w:rFonts w:cs="Times New Roman"/>
      </w:rPr>
    </w:lvl>
    <w:lvl w:ilvl="4" w:tentative="0">
      <w:start w:val="1"/>
      <w:numFmt w:val="lowerLetter"/>
      <w:lvlText w:val="%5)"/>
      <w:lvlJc w:val="left"/>
      <w:pPr>
        <w:ind w:left="2772" w:hanging="420"/>
      </w:pPr>
      <w:rPr>
        <w:rFonts w:cs="Times New Roman"/>
      </w:rPr>
    </w:lvl>
    <w:lvl w:ilvl="5" w:tentative="0">
      <w:start w:val="1"/>
      <w:numFmt w:val="lowerRoman"/>
      <w:lvlText w:val="%6."/>
      <w:lvlJc w:val="right"/>
      <w:pPr>
        <w:ind w:left="3192" w:hanging="420"/>
      </w:pPr>
      <w:rPr>
        <w:rFonts w:cs="Times New Roman"/>
      </w:rPr>
    </w:lvl>
    <w:lvl w:ilvl="6" w:tentative="0">
      <w:start w:val="1"/>
      <w:numFmt w:val="decimal"/>
      <w:lvlText w:val="%7."/>
      <w:lvlJc w:val="left"/>
      <w:pPr>
        <w:ind w:left="3612" w:hanging="420"/>
      </w:pPr>
      <w:rPr>
        <w:rFonts w:cs="Times New Roman"/>
      </w:rPr>
    </w:lvl>
    <w:lvl w:ilvl="7" w:tentative="0">
      <w:start w:val="1"/>
      <w:numFmt w:val="lowerLetter"/>
      <w:lvlText w:val="%8)"/>
      <w:lvlJc w:val="left"/>
      <w:pPr>
        <w:ind w:left="4032" w:hanging="420"/>
      </w:pPr>
      <w:rPr>
        <w:rFonts w:cs="Times New Roman"/>
      </w:rPr>
    </w:lvl>
    <w:lvl w:ilvl="8" w:tentative="0">
      <w:start w:val="1"/>
      <w:numFmt w:val="lowerRoman"/>
      <w:lvlText w:val="%9."/>
      <w:lvlJc w:val="right"/>
      <w:pPr>
        <w:ind w:left="4452" w:hanging="420"/>
      </w:pPr>
      <w:rPr>
        <w:rFonts w:cs="Times New Roman"/>
      </w:rPr>
    </w:lvl>
  </w:abstractNum>
  <w:abstractNum w:abstractNumId="7">
    <w:nsid w:val="7358D220"/>
    <w:multiLevelType w:val="singleLevel"/>
    <w:tmpl w:val="7358D220"/>
    <w:lvl w:ilvl="0" w:tentative="0">
      <w:start w:val="2"/>
      <w:numFmt w:val="chineseCounting"/>
      <w:suff w:val="nothing"/>
      <w:lvlText w:val="%1、"/>
      <w:lvlJc w:val="left"/>
      <w:rPr>
        <w:rFonts w:hint="eastAsia"/>
      </w:rPr>
    </w:lvl>
  </w:abstractNum>
  <w:num w:numId="1">
    <w:abstractNumId w:val="4"/>
  </w:num>
  <w:num w:numId="2">
    <w:abstractNumId w:val="0"/>
  </w:num>
  <w:num w:numId="3">
    <w:abstractNumId w:val="6"/>
  </w:num>
  <w:num w:numId="4">
    <w:abstractNumId w:val="1"/>
  </w:num>
  <w:num w:numId="5">
    <w:abstractNumId w:val="3"/>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kxZWExZDRhODM1N2I0NTI3NGRkNDZmYzJjMTNlZGY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0A37"/>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3B7A5A"/>
    <w:rsid w:val="01865D4C"/>
    <w:rsid w:val="01E8507E"/>
    <w:rsid w:val="021146F6"/>
    <w:rsid w:val="02161E7C"/>
    <w:rsid w:val="02171BAA"/>
    <w:rsid w:val="0228228B"/>
    <w:rsid w:val="025951C7"/>
    <w:rsid w:val="029346B3"/>
    <w:rsid w:val="0297220A"/>
    <w:rsid w:val="05EF2DF6"/>
    <w:rsid w:val="071A10D9"/>
    <w:rsid w:val="08863D0E"/>
    <w:rsid w:val="09637334"/>
    <w:rsid w:val="0A2032A3"/>
    <w:rsid w:val="0AC8426F"/>
    <w:rsid w:val="0B157D9D"/>
    <w:rsid w:val="0C7E5622"/>
    <w:rsid w:val="0CBA0A71"/>
    <w:rsid w:val="0CE67564"/>
    <w:rsid w:val="0D174BA9"/>
    <w:rsid w:val="0D1A321D"/>
    <w:rsid w:val="0D996B00"/>
    <w:rsid w:val="0DCA52A5"/>
    <w:rsid w:val="0DD51471"/>
    <w:rsid w:val="0DF742AB"/>
    <w:rsid w:val="0EC05384"/>
    <w:rsid w:val="0F912BB1"/>
    <w:rsid w:val="10C055FF"/>
    <w:rsid w:val="112A0E1D"/>
    <w:rsid w:val="118107EC"/>
    <w:rsid w:val="11FC5371"/>
    <w:rsid w:val="122E4918"/>
    <w:rsid w:val="12504FD0"/>
    <w:rsid w:val="12E849FB"/>
    <w:rsid w:val="13265A40"/>
    <w:rsid w:val="13431C93"/>
    <w:rsid w:val="14A80C78"/>
    <w:rsid w:val="16B53E82"/>
    <w:rsid w:val="16BB723D"/>
    <w:rsid w:val="17BA0614"/>
    <w:rsid w:val="17DB7609"/>
    <w:rsid w:val="18651F9D"/>
    <w:rsid w:val="1A7B2F83"/>
    <w:rsid w:val="1AD06694"/>
    <w:rsid w:val="1C3649C7"/>
    <w:rsid w:val="1CA67BE3"/>
    <w:rsid w:val="1D155CEE"/>
    <w:rsid w:val="1D632C4B"/>
    <w:rsid w:val="1D641ADB"/>
    <w:rsid w:val="1D8D22AB"/>
    <w:rsid w:val="1E2E3722"/>
    <w:rsid w:val="1E9045D1"/>
    <w:rsid w:val="1E9562C6"/>
    <w:rsid w:val="1EF8160A"/>
    <w:rsid w:val="1FBE6349"/>
    <w:rsid w:val="216A0342"/>
    <w:rsid w:val="2184492F"/>
    <w:rsid w:val="218B16FF"/>
    <w:rsid w:val="21F77DBC"/>
    <w:rsid w:val="2250134D"/>
    <w:rsid w:val="230346BE"/>
    <w:rsid w:val="240371BF"/>
    <w:rsid w:val="258D5C85"/>
    <w:rsid w:val="262A20B1"/>
    <w:rsid w:val="264F3DB0"/>
    <w:rsid w:val="269256E0"/>
    <w:rsid w:val="28215EB5"/>
    <w:rsid w:val="295515E6"/>
    <w:rsid w:val="29FD04D3"/>
    <w:rsid w:val="2A0E1850"/>
    <w:rsid w:val="2DC863EB"/>
    <w:rsid w:val="30D0364B"/>
    <w:rsid w:val="319F7F4E"/>
    <w:rsid w:val="31B937DD"/>
    <w:rsid w:val="31C25EC5"/>
    <w:rsid w:val="32232B5A"/>
    <w:rsid w:val="326B7F22"/>
    <w:rsid w:val="34382E1A"/>
    <w:rsid w:val="352A0D9C"/>
    <w:rsid w:val="36065E46"/>
    <w:rsid w:val="36523CC8"/>
    <w:rsid w:val="36EC392F"/>
    <w:rsid w:val="371D0234"/>
    <w:rsid w:val="376625A6"/>
    <w:rsid w:val="37902E7A"/>
    <w:rsid w:val="37CB0B6E"/>
    <w:rsid w:val="39B30F1E"/>
    <w:rsid w:val="3A05718B"/>
    <w:rsid w:val="3A285320"/>
    <w:rsid w:val="3A2B628A"/>
    <w:rsid w:val="3AF95FD0"/>
    <w:rsid w:val="3B772342"/>
    <w:rsid w:val="3BB17C79"/>
    <w:rsid w:val="3C996EE8"/>
    <w:rsid w:val="3DE13A21"/>
    <w:rsid w:val="3DE500A7"/>
    <w:rsid w:val="3F1008FF"/>
    <w:rsid w:val="3F1E6CD9"/>
    <w:rsid w:val="3F4C6D80"/>
    <w:rsid w:val="3F670284"/>
    <w:rsid w:val="4025669A"/>
    <w:rsid w:val="40586C25"/>
    <w:rsid w:val="40935B99"/>
    <w:rsid w:val="40996EB1"/>
    <w:rsid w:val="417941BB"/>
    <w:rsid w:val="42130522"/>
    <w:rsid w:val="44130E2F"/>
    <w:rsid w:val="44295CDE"/>
    <w:rsid w:val="444521AE"/>
    <w:rsid w:val="45454779"/>
    <w:rsid w:val="46C157E7"/>
    <w:rsid w:val="46D353DF"/>
    <w:rsid w:val="47C130ED"/>
    <w:rsid w:val="48D2547B"/>
    <w:rsid w:val="4A0C2074"/>
    <w:rsid w:val="4AFB7608"/>
    <w:rsid w:val="4B3753B3"/>
    <w:rsid w:val="4DA22A02"/>
    <w:rsid w:val="4EB97276"/>
    <w:rsid w:val="4ECE2238"/>
    <w:rsid w:val="4F6A4311"/>
    <w:rsid w:val="4F8D5EFC"/>
    <w:rsid w:val="50A54616"/>
    <w:rsid w:val="51170FDC"/>
    <w:rsid w:val="51542F8E"/>
    <w:rsid w:val="51592EBB"/>
    <w:rsid w:val="51DE72D9"/>
    <w:rsid w:val="5274340E"/>
    <w:rsid w:val="52D52A44"/>
    <w:rsid w:val="530C3226"/>
    <w:rsid w:val="53846E2C"/>
    <w:rsid w:val="538C2AAF"/>
    <w:rsid w:val="53DD1EE3"/>
    <w:rsid w:val="541C1E1A"/>
    <w:rsid w:val="5463555B"/>
    <w:rsid w:val="546874EF"/>
    <w:rsid w:val="5488179F"/>
    <w:rsid w:val="551A15E2"/>
    <w:rsid w:val="55D90F6F"/>
    <w:rsid w:val="56B35264"/>
    <w:rsid w:val="56D60BAE"/>
    <w:rsid w:val="570B6A95"/>
    <w:rsid w:val="57246A09"/>
    <w:rsid w:val="57A52710"/>
    <w:rsid w:val="581A48F3"/>
    <w:rsid w:val="582F417A"/>
    <w:rsid w:val="59FF07EF"/>
    <w:rsid w:val="5A382A5C"/>
    <w:rsid w:val="5AE21E2D"/>
    <w:rsid w:val="5B5558FD"/>
    <w:rsid w:val="5CB62616"/>
    <w:rsid w:val="5D4436A6"/>
    <w:rsid w:val="5D7A3ED9"/>
    <w:rsid w:val="5E490BEB"/>
    <w:rsid w:val="5FA9269C"/>
    <w:rsid w:val="5FD01887"/>
    <w:rsid w:val="5FD14458"/>
    <w:rsid w:val="61B816AB"/>
    <w:rsid w:val="6265272B"/>
    <w:rsid w:val="633A3D56"/>
    <w:rsid w:val="65C07D63"/>
    <w:rsid w:val="65C730F4"/>
    <w:rsid w:val="677A0A9E"/>
    <w:rsid w:val="6838559D"/>
    <w:rsid w:val="68FC20B3"/>
    <w:rsid w:val="69CB693D"/>
    <w:rsid w:val="6A244092"/>
    <w:rsid w:val="6AE120F9"/>
    <w:rsid w:val="6B824DDD"/>
    <w:rsid w:val="6B883825"/>
    <w:rsid w:val="6C4A05C8"/>
    <w:rsid w:val="6D186E26"/>
    <w:rsid w:val="6DF51B79"/>
    <w:rsid w:val="6E145F4D"/>
    <w:rsid w:val="6F312612"/>
    <w:rsid w:val="71265AB3"/>
    <w:rsid w:val="72734D90"/>
    <w:rsid w:val="7280746F"/>
    <w:rsid w:val="734927C1"/>
    <w:rsid w:val="738E230D"/>
    <w:rsid w:val="73935C15"/>
    <w:rsid w:val="73FA784E"/>
    <w:rsid w:val="73FB4124"/>
    <w:rsid w:val="747F4E64"/>
    <w:rsid w:val="74E04439"/>
    <w:rsid w:val="74F01119"/>
    <w:rsid w:val="75262D4A"/>
    <w:rsid w:val="76AF2CE1"/>
    <w:rsid w:val="77123700"/>
    <w:rsid w:val="77616B06"/>
    <w:rsid w:val="784E7CD5"/>
    <w:rsid w:val="789C5901"/>
    <w:rsid w:val="78EC472B"/>
    <w:rsid w:val="79226BA1"/>
    <w:rsid w:val="7AEA0442"/>
    <w:rsid w:val="7B130F5D"/>
    <w:rsid w:val="7B15030A"/>
    <w:rsid w:val="7C1914C0"/>
    <w:rsid w:val="7EB14C9B"/>
    <w:rsid w:val="7F371FD7"/>
    <w:rsid w:val="7F62532A"/>
    <w:rsid w:val="7FA75A4F"/>
    <w:rsid w:val="7FA80641"/>
    <w:rsid w:val="7FC13465"/>
    <w:rsid w:val="EFFCD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8"/>
    <w:qFormat/>
    <w:uiPriority w:val="9"/>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ind w:left="200" w:leftChars="200" w:hanging="200" w:hangingChars="200"/>
    </w:p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5"/>
    <w:qFormat/>
    <w:uiPriority w:val="99"/>
    <w:pPr>
      <w:spacing w:beforeLines="30"/>
    </w:pPr>
    <w:rPr>
      <w:rFonts w:ascii="仿宋_GB2312" w:eastAsia="仿宋_GB2312"/>
      <w:kern w:val="0"/>
      <w:sz w:val="24"/>
      <w:szCs w:val="20"/>
      <w:lang w:val="zh-CN" w:eastAsia="zh-CN"/>
    </w:rPr>
  </w:style>
  <w:style w:type="paragraph" w:styleId="8">
    <w:name w:val="Body Text Indent"/>
    <w:basedOn w:val="1"/>
    <w:qFormat/>
    <w:uiPriority w:val="0"/>
    <w:pPr>
      <w:spacing w:after="120"/>
      <w:ind w:left="420" w:leftChars="200"/>
    </w:p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0"/>
    <w:semiHidden/>
    <w:unhideWhenUsed/>
    <w:qFormat/>
    <w:uiPriority w:val="99"/>
    <w:rPr>
      <w:sz w:val="18"/>
      <w:szCs w:val="18"/>
    </w:rPr>
  </w:style>
  <w:style w:type="paragraph" w:styleId="13">
    <w:name w:val="footer"/>
    <w:basedOn w:val="1"/>
    <w:link w:val="34"/>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3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1">
    <w:name w:val="Body Text First Indent 2"/>
    <w:basedOn w:val="8"/>
    <w:qFormat/>
    <w:uiPriority w:val="99"/>
    <w:pPr>
      <w:spacing w:line="240" w:lineRule="auto"/>
      <w:ind w:firstLine="420" w:firstLineChars="200"/>
      <w:textAlignment w:val="auto"/>
    </w:pPr>
    <w:rPr>
      <w:kern w:val="2"/>
      <w:sz w:val="21"/>
      <w:szCs w:val="21"/>
    </w:rPr>
  </w:style>
  <w:style w:type="character" w:styleId="24">
    <w:name w:val="Strong"/>
    <w:basedOn w:val="23"/>
    <w:qFormat/>
    <w:uiPriority w:val="99"/>
    <w:rPr>
      <w:rFonts w:cs="Times New Roman"/>
      <w:b/>
    </w:rPr>
  </w:style>
  <w:style w:type="character" w:styleId="25">
    <w:name w:val="Hyperlink"/>
    <w:basedOn w:val="23"/>
    <w:unhideWhenUsed/>
    <w:qFormat/>
    <w:uiPriority w:val="99"/>
    <w:rPr>
      <w:rFonts w:cs="Times New Roman"/>
      <w:color w:val="0000FF"/>
      <w:u w:val="single"/>
    </w:rPr>
  </w:style>
  <w:style w:type="character" w:customStyle="1" w:styleId="26">
    <w:name w:val="标题 1 字符"/>
    <w:basedOn w:val="23"/>
    <w:link w:val="3"/>
    <w:qFormat/>
    <w:locked/>
    <w:uiPriority w:val="9"/>
    <w:rPr>
      <w:rFonts w:ascii="Times New Roman" w:hAnsi="Times New Roman" w:cs="Times New Roman"/>
      <w:b/>
      <w:bCs/>
      <w:kern w:val="44"/>
      <w:sz w:val="44"/>
      <w:szCs w:val="44"/>
    </w:rPr>
  </w:style>
  <w:style w:type="character" w:customStyle="1" w:styleId="27">
    <w:name w:val="标题 2 字符"/>
    <w:basedOn w:val="23"/>
    <w:link w:val="4"/>
    <w:qFormat/>
    <w:locked/>
    <w:uiPriority w:val="9"/>
    <w:rPr>
      <w:rFonts w:ascii="Cambria" w:hAnsi="Cambria" w:eastAsia="宋体" w:cs="Times New Roman"/>
      <w:b/>
      <w:bCs/>
      <w:kern w:val="2"/>
      <w:sz w:val="32"/>
      <w:szCs w:val="32"/>
    </w:rPr>
  </w:style>
  <w:style w:type="character" w:customStyle="1" w:styleId="28">
    <w:name w:val="标题 3 字符"/>
    <w:basedOn w:val="23"/>
    <w:link w:val="5"/>
    <w:qFormat/>
    <w:locked/>
    <w:uiPriority w:val="9"/>
    <w:rPr>
      <w:rFonts w:ascii="Times New Roman" w:hAnsi="Times New Roman" w:cs="Times New Roman"/>
      <w:b/>
      <w:bCs/>
      <w:kern w:val="2"/>
      <w:sz w:val="32"/>
      <w:szCs w:val="32"/>
    </w:rPr>
  </w:style>
  <w:style w:type="character" w:customStyle="1" w:styleId="29">
    <w:name w:val="Body Text Char"/>
    <w:basedOn w:val="23"/>
    <w:semiHidden/>
    <w:qFormat/>
    <w:uiPriority w:val="99"/>
    <w:rPr>
      <w:rFonts w:ascii="Times New Roman" w:hAnsi="Times New Roman" w:cs="Times New Roman"/>
      <w:sz w:val="24"/>
      <w:szCs w:val="24"/>
    </w:rPr>
  </w:style>
  <w:style w:type="character" w:customStyle="1" w:styleId="30">
    <w:name w:val="批注框文本 字符"/>
    <w:basedOn w:val="23"/>
    <w:link w:val="12"/>
    <w:semiHidden/>
    <w:qFormat/>
    <w:locked/>
    <w:uiPriority w:val="99"/>
    <w:rPr>
      <w:rFonts w:ascii="Times New Roman" w:hAnsi="Times New Roman" w:cs="Times New Roman"/>
      <w:kern w:val="2"/>
      <w:sz w:val="18"/>
      <w:szCs w:val="18"/>
    </w:rPr>
  </w:style>
  <w:style w:type="character" w:customStyle="1" w:styleId="31">
    <w:name w:val="Footer Char"/>
    <w:basedOn w:val="23"/>
    <w:semiHidden/>
    <w:qFormat/>
    <w:uiPriority w:val="99"/>
    <w:rPr>
      <w:rFonts w:ascii="Times New Roman" w:hAnsi="Times New Roman" w:cs="Times New Roman"/>
      <w:sz w:val="18"/>
      <w:szCs w:val="18"/>
    </w:rPr>
  </w:style>
  <w:style w:type="character" w:customStyle="1" w:styleId="32">
    <w:name w:val="Header Char"/>
    <w:basedOn w:val="23"/>
    <w:semiHidden/>
    <w:qFormat/>
    <w:uiPriority w:val="99"/>
    <w:rPr>
      <w:rFonts w:ascii="Times New Roman" w:hAnsi="Times New Roman" w:cs="Times New Roman"/>
      <w:sz w:val="18"/>
      <w:szCs w:val="18"/>
    </w:rPr>
  </w:style>
  <w:style w:type="character" w:customStyle="1" w:styleId="33">
    <w:name w:val="页眉 字符"/>
    <w:link w:val="14"/>
    <w:semiHidden/>
    <w:qFormat/>
    <w:locked/>
    <w:uiPriority w:val="99"/>
    <w:rPr>
      <w:sz w:val="18"/>
    </w:rPr>
  </w:style>
  <w:style w:type="character" w:customStyle="1" w:styleId="34">
    <w:name w:val="页脚 字符"/>
    <w:link w:val="13"/>
    <w:qFormat/>
    <w:locked/>
    <w:uiPriority w:val="99"/>
    <w:rPr>
      <w:sz w:val="18"/>
    </w:rPr>
  </w:style>
  <w:style w:type="character" w:customStyle="1" w:styleId="35">
    <w:name w:val="正文文本 字符"/>
    <w:link w:val="7"/>
    <w:qFormat/>
    <w:locked/>
    <w:uiPriority w:val="99"/>
    <w:rPr>
      <w:rFonts w:ascii="仿宋_GB2312" w:hAnsi="Times New Roman" w:eastAsia="仿宋_GB2312"/>
      <w:sz w:val="24"/>
    </w:rPr>
  </w:style>
  <w:style w:type="paragraph" w:customStyle="1" w:styleId="3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7">
    <w:name w:val="列表段落1"/>
    <w:basedOn w:val="1"/>
    <w:qFormat/>
    <w:uiPriority w:val="34"/>
    <w:pPr>
      <w:ind w:firstLine="420" w:firstLineChars="200"/>
    </w:pPr>
  </w:style>
  <w:style w:type="paragraph" w:customStyle="1" w:styleId="38">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1">
    <w:name w:val="Body Text First Indent 21"/>
    <w:basedOn w:val="42"/>
    <w:qFormat/>
    <w:uiPriority w:val="0"/>
    <w:pPr>
      <w:ind w:firstLine="200" w:firstLineChars="200"/>
    </w:pPr>
  </w:style>
  <w:style w:type="paragraph" w:customStyle="1" w:styleId="42">
    <w:name w:val="Body Text Indent1"/>
    <w:basedOn w:val="1"/>
    <w:qFormat/>
    <w:uiPriority w:val="0"/>
    <w:pPr>
      <w:ind w:firstLine="624"/>
    </w:pPr>
  </w:style>
  <w:style w:type="paragraph" w:customStyle="1" w:styleId="43">
    <w:name w:val="列出段落1"/>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695"/>
          <c:y val="0.0291666666666667"/>
          <c:w val="0.8063"/>
          <c:h val="0.880233333333333"/>
        </c:manualLayout>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Pt>
            <c:idx val="1"/>
            <c:invertIfNegative val="0"/>
            <c:bubble3D val="0"/>
            <c:spPr>
              <a:solidFill>
                <a:srgbClr val="92D050"/>
              </a:solidFill>
              <a:ln>
                <a:noFill/>
              </a:ln>
              <a:effectLst/>
            </c:spPr>
          </c:dPt>
          <c:dPt>
            <c:idx val="3"/>
            <c:invertIfNegative val="0"/>
            <c:bubble3D val="0"/>
            <c:spPr>
              <a:solidFill>
                <a:srgbClr val="92D050"/>
              </a:solidFill>
              <a:ln>
                <a:noFill/>
              </a:ln>
              <a:effectLst/>
            </c:spPr>
          </c:dPt>
          <c:dLbls>
            <c:dLbl>
              <c:idx val="3"/>
              <c:layout>
                <c:manualLayout>
                  <c:x val="0"/>
                  <c:y val="-0.002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11358.3</a:t>
                    </a:r>
                    <a:r>
                      <a:rPr lang="en-US" altLang="zh-CN"/>
                      <a:t>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2019收入</c:v>
                </c:pt>
                <c:pt idx="1">
                  <c:v>2019支出</c:v>
                </c:pt>
                <c:pt idx="2">
                  <c:v>2020收入</c:v>
                </c:pt>
                <c:pt idx="3">
                  <c:v>2020支出</c:v>
                </c:pt>
              </c:strCache>
            </c:strRef>
          </c:cat>
          <c:val>
            <c:numRef>
              <c:f>Sheet1!$B$2:$B$5</c:f>
              <c:numCache>
                <c:formatCode>General</c:formatCode>
                <c:ptCount val="4"/>
                <c:pt idx="0">
                  <c:v>9516.97</c:v>
                </c:pt>
                <c:pt idx="1">
                  <c:v>13620.83</c:v>
                </c:pt>
                <c:pt idx="2">
                  <c:v>13063.82</c:v>
                </c:pt>
                <c:pt idx="3">
                  <c:v>11358.3</c:v>
                </c:pt>
              </c:numCache>
            </c:numRef>
          </c:val>
        </c:ser>
        <c:dLbls>
          <c:showLegendKey val="0"/>
          <c:showVal val="1"/>
          <c:showCatName val="0"/>
          <c:showSerName val="0"/>
          <c:showPercent val="0"/>
          <c:showBubbleSize val="0"/>
        </c:dLbls>
        <c:gapWidth val="219"/>
        <c:overlap val="-27"/>
        <c:axId val="495414588"/>
        <c:axId val="553535075"/>
      </c:barChart>
      <c:catAx>
        <c:axId val="495414588"/>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3535075"/>
        <c:crosses val="autoZero"/>
        <c:auto val="1"/>
        <c:lblAlgn val="ctr"/>
        <c:lblOffset val="100"/>
        <c:noMultiLvlLbl val="0"/>
      </c:catAx>
      <c:valAx>
        <c:axId val="5535350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54145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2155625"/>
          <c:y val="0.1315"/>
          <c:w val="0.565125"/>
          <c:h val="0.7535"/>
        </c:manualLayout>
      </c:layout>
      <c:pieChart>
        <c:varyColors val="1"/>
        <c:ser>
          <c:idx val="0"/>
          <c:order val="0"/>
          <c:tx>
            <c:strRef>
              <c:f>Sheet1!$B$1</c:f>
              <c:strCache>
                <c:ptCount val="1"/>
                <c:pt idx="0">
                  <c:v>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strCache>
            </c:strRef>
          </c:cat>
          <c:val>
            <c:numRef>
              <c:f>Sheet1!$B$2:$B$5</c:f>
              <c:numCache>
                <c:formatCode>General</c:formatCode>
                <c:ptCount val="4"/>
                <c:pt idx="0">
                  <c:v>13063.82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1"/>
        <c:delete val="1"/>
      </c:legendEntry>
      <c:legendEntry>
        <c:idx val="2"/>
        <c:delete val="1"/>
      </c:legendEntry>
      <c:legendEntry>
        <c:idx val="3"/>
        <c:delete val="1"/>
      </c:legendEntry>
      <c:layout>
        <c:manualLayout>
          <c:xMode val="edge"/>
          <c:yMode val="edge"/>
          <c:x val="0.3319375"/>
          <c:y val="0.9191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General</c:formatCode>
                <c:ptCount val="4"/>
                <c:pt idx="0">
                  <c:v>230.78</c:v>
                </c:pt>
                <c:pt idx="1">
                  <c:v>11127.53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695"/>
          <c:y val="0.0291666666666667"/>
          <c:w val="0.8063"/>
          <c:h val="0.880233333333333"/>
        </c:manualLayout>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Pt>
            <c:idx val="1"/>
            <c:invertIfNegative val="0"/>
            <c:bubble3D val="0"/>
            <c:spPr>
              <a:solidFill>
                <a:srgbClr val="92D050"/>
              </a:solidFill>
              <a:ln>
                <a:noFill/>
              </a:ln>
              <a:effectLst/>
            </c:spPr>
          </c:dPt>
          <c:dPt>
            <c:idx val="3"/>
            <c:invertIfNegative val="0"/>
            <c:bubble3D val="0"/>
            <c:spPr>
              <a:solidFill>
                <a:srgbClr val="92D050"/>
              </a:solidFill>
              <a:ln>
                <a:noFill/>
              </a:ln>
              <a:effectLst/>
            </c:spPr>
          </c:dPt>
          <c:dLbls>
            <c:dLbl>
              <c:idx val="3"/>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11358.31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2019收入</c:v>
                </c:pt>
                <c:pt idx="1">
                  <c:v>2019支出</c:v>
                </c:pt>
                <c:pt idx="2">
                  <c:v>2020收入</c:v>
                </c:pt>
                <c:pt idx="3">
                  <c:v>2020支出</c:v>
                </c:pt>
              </c:strCache>
            </c:strRef>
          </c:cat>
          <c:val>
            <c:numRef>
              <c:f>Sheet1!$B$2:$B$5</c:f>
              <c:numCache>
                <c:formatCode>General</c:formatCode>
                <c:ptCount val="4"/>
                <c:pt idx="0">
                  <c:v>9516.97</c:v>
                </c:pt>
                <c:pt idx="1">
                  <c:v>13620.83</c:v>
                </c:pt>
                <c:pt idx="2">
                  <c:v>13063.82</c:v>
                </c:pt>
                <c:pt idx="3">
                  <c:v>11358.3</c:v>
                </c:pt>
              </c:numCache>
            </c:numRef>
          </c:val>
        </c:ser>
        <c:dLbls>
          <c:showLegendKey val="0"/>
          <c:showVal val="1"/>
          <c:showCatName val="0"/>
          <c:showSerName val="0"/>
          <c:showPercent val="0"/>
          <c:showBubbleSize val="0"/>
        </c:dLbls>
        <c:gapWidth val="219"/>
        <c:overlap val="-27"/>
        <c:axId val="495414588"/>
        <c:axId val="553535075"/>
      </c:barChart>
      <c:catAx>
        <c:axId val="495414588"/>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3535075"/>
        <c:crosses val="autoZero"/>
        <c:auto val="1"/>
        <c:lblAlgn val="ctr"/>
        <c:lblOffset val="100"/>
        <c:noMultiLvlLbl val="0"/>
      </c:catAx>
      <c:valAx>
        <c:axId val="5535350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54145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numCache>
            </c:numRef>
          </c:cat>
          <c:val>
            <c:numRef>
              <c:f>Sheet1!$B$2:$B$5</c:f>
              <c:numCache>
                <c:formatCode>General</c:formatCode>
                <c:ptCount val="4"/>
                <c:pt idx="0">
                  <c:v>13620.83</c:v>
                </c:pt>
                <c:pt idx="1">
                  <c:v>11358.31</c:v>
                </c:pt>
              </c:numCache>
            </c:numRef>
          </c:val>
        </c:ser>
        <c:dLbls>
          <c:showLegendKey val="0"/>
          <c:showVal val="1"/>
          <c:showCatName val="0"/>
          <c:showSerName val="0"/>
          <c:showPercent val="0"/>
          <c:showBubbleSize val="0"/>
        </c:dLbls>
        <c:gapWidth val="219"/>
        <c:overlap val="-27"/>
        <c:axId val="875161347"/>
        <c:axId val="719709184"/>
      </c:barChart>
      <c:catAx>
        <c:axId val="87516134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9709184"/>
        <c:crosses val="autoZero"/>
        <c:auto val="1"/>
        <c:lblAlgn val="ctr"/>
        <c:lblOffset val="100"/>
        <c:noMultiLvlLbl val="0"/>
      </c:catAx>
      <c:valAx>
        <c:axId val="719709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51613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explosion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0"/>
              <c:delete val="1"/>
            </c:dLbl>
            <c:dLbl>
              <c:idx val="1"/>
              <c:delete val="1"/>
            </c:dLbl>
            <c:dLbl>
              <c:idx val="2"/>
              <c:delete val="1"/>
            </c:dLbl>
            <c:dLbl>
              <c:idx val="3"/>
              <c:layout/>
              <c:dLblPos val="bestFit"/>
              <c:showLegendKey val="0"/>
              <c:showVal val="1"/>
              <c:showCatName val="0"/>
              <c:showSerName val="0"/>
              <c:showPercent val="0"/>
              <c:showBubbleSize val="0"/>
              <c:extLst>
                <c:ext xmlns:c15="http://schemas.microsoft.com/office/drawing/2012/chart" uri="{CE6537A1-D6FC-4f65-9D91-7224C49458BB}"/>
              </c:extLst>
            </c:dLbl>
            <c:dLbl>
              <c:idx val="4"/>
              <c:layout/>
              <c:dLblPos val="bestFit"/>
              <c:showLegendKey val="0"/>
              <c:showVal val="1"/>
              <c:showCatName val="0"/>
              <c:showSerName val="0"/>
              <c:showPercent val="0"/>
              <c:showBubbleSize val="0"/>
              <c:extLst>
                <c:ext xmlns:c15="http://schemas.microsoft.com/office/drawing/2012/chart" uri="{CE6537A1-D6FC-4f65-9D91-7224C49458BB}"/>
              </c:extLst>
            </c:dLbl>
            <c:dLbl>
              <c:idx val="5"/>
              <c:layout/>
              <c:dLblPos val="bestFit"/>
              <c:showLegendKey val="0"/>
              <c:showVal val="1"/>
              <c:showCatName val="0"/>
              <c:showSerName val="0"/>
              <c:showPercent val="0"/>
              <c:showBubbleSize val="0"/>
              <c:extLst>
                <c:ext xmlns:c15="http://schemas.microsoft.com/office/drawing/2012/chart" uri="{CE6537A1-D6FC-4f65-9D91-7224C49458BB}"/>
              </c:extLst>
            </c:dLbl>
            <c:dLbl>
              <c:idx val="6"/>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Sheet1!$A$2:$A$9</c15:sqref>
                  </c15:fullRef>
                </c:ext>
              </c:extLst>
              <c:f>Sheet1!$A$2:$A$8</c:f>
              <c:strCache>
                <c:ptCount val="7"/>
                <c:pt idx="0">
                  <c:v>社会保障和就业支出</c:v>
                </c:pt>
                <c:pt idx="1">
                  <c:v>卫生健康支出</c:v>
                </c:pt>
                <c:pt idx="2">
                  <c:v>节能环保支出</c:v>
                </c:pt>
                <c:pt idx="3">
                  <c:v>城乡社区支出</c:v>
                </c:pt>
                <c:pt idx="4">
                  <c:v>农林水支出</c:v>
                </c:pt>
                <c:pt idx="5">
                  <c:v>住房保障支出</c:v>
                </c:pt>
                <c:pt idx="6">
                  <c:v>其他支出</c:v>
                </c:pt>
              </c:strCache>
            </c:strRef>
          </c:cat>
          <c:val>
            <c:numRef>
              <c:extLst>
                <c:ext xmlns:c15="http://schemas.microsoft.com/office/drawing/2012/chart" uri="{02D57815-91ED-43cb-92C2-25804820EDAC}">
                  <c15:fullRef>
                    <c15:sqref>Sheet1!$B$2:$B$9</c15:sqref>
                  </c15:fullRef>
                </c:ext>
              </c:extLst>
              <c:f>Sheet1!$B$2:$B$8</c:f>
              <c:numCache>
                <c:formatCode>General</c:formatCode>
                <c:ptCount val="7"/>
                <c:pt idx="0">
                  <c:v>14.76</c:v>
                </c:pt>
                <c:pt idx="1">
                  <c:v>6.55</c:v>
                </c:pt>
                <c:pt idx="2">
                  <c:v>110.24</c:v>
                </c:pt>
                <c:pt idx="3">
                  <c:v>5112.83</c:v>
                </c:pt>
                <c:pt idx="4">
                  <c:v>1760.72</c:v>
                </c:pt>
                <c:pt idx="5" c:formatCode="0.00_ ">
                  <c:v>3941.2</c:v>
                </c:pt>
                <c:pt idx="6" c:formatCode="0.00_ ">
                  <c:v>412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公务用车购置及运行维护费</c:v>
                </c:pt>
                <c:pt idx="1">
                  <c:v>因公出国（境）费</c:v>
                </c:pt>
                <c:pt idx="2">
                  <c:v>公务接待费</c:v>
                </c:pt>
              </c:strCache>
            </c:strRef>
          </c:cat>
          <c:val>
            <c:numRef>
              <c:f>Sheet1!$B$2:$B$5</c:f>
              <c:numCache>
                <c:formatCode>General</c:formatCode>
                <c:ptCount val="4"/>
                <c:pt idx="0">
                  <c:v>4.83</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51</Pages>
  <Words>20858</Words>
  <Characters>21968</Characters>
  <Lines>74</Lines>
  <Paragraphs>21</Paragraphs>
  <TotalTime>8</TotalTime>
  <ScaleCrop>false</ScaleCrop>
  <LinksUpToDate>false</LinksUpToDate>
  <CharactersWithSpaces>22081</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2021-08-07T01:38:00Z</dcterms:created>
  <dc:creator>曹颖</dc:creator>
  <cp:lastModifiedBy>Administrator</cp:lastModifiedBy>
  <cp:lastPrinted>2021-10-25T18:20:00Z</cp:lastPrinted>
  <dcterms:modified xsi:type="dcterms:W3CDTF">2022-06-06T03:50:48Z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8FB9B35E0F224F24A23C5D42D9246601</vt:lpwstr>
  </property>
</Properties>
</file>