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_GBK" w:hAnsi="方正小标宋_GBK" w:eastAsia="方正小标宋_GBK" w:cs="方正小标宋_GBK"/>
          <w:sz w:val="52"/>
          <w:szCs w:val="52"/>
        </w:rPr>
      </w:pPr>
      <w:bookmarkStart w:id="1" w:name="_Toc15378441"/>
      <w:bookmarkStart w:id="2" w:name="_Toc15396597"/>
      <w:bookmarkStart w:id="3" w:name="_Toc15377193"/>
      <w:bookmarkStart w:id="4" w:name="_Toc15396475"/>
      <w:bookmarkStart w:id="5" w:name="_Toc15377425"/>
      <w:r>
        <w:rPr>
          <w:rFonts w:hint="eastAsia" w:ascii="方正小标宋_GBK" w:hAnsi="方正小标宋_GBK" w:eastAsia="方正小标宋_GBK" w:cs="方正小标宋_GBK"/>
          <w:sz w:val="52"/>
          <w:szCs w:val="52"/>
        </w:rPr>
        <w:t>2021年度</w:t>
      </w:r>
      <w:bookmarkEnd w:id="1"/>
      <w:bookmarkEnd w:id="2"/>
      <w:bookmarkEnd w:id="3"/>
      <w:bookmarkEnd w:id="4"/>
      <w:bookmarkEnd w:id="5"/>
    </w:p>
    <w:p>
      <w:pPr>
        <w:jc w:val="center"/>
        <w:rPr>
          <w:rFonts w:hint="eastAsia" w:ascii="方正小标宋_GBK" w:hAnsi="方正小标宋_GBK" w:eastAsia="方正小标宋_GBK" w:cs="方正小标宋_GBK"/>
          <w:sz w:val="52"/>
          <w:szCs w:val="52"/>
          <w:lang w:val="en-US" w:eastAsia="zh-CN"/>
        </w:rPr>
      </w:pPr>
      <w:bookmarkStart w:id="6" w:name="_Toc15377194"/>
      <w:bookmarkStart w:id="7" w:name="_Toc15396598"/>
      <w:bookmarkStart w:id="8" w:name="_Toc15377426"/>
      <w:bookmarkStart w:id="9" w:name="_Toc15378442"/>
      <w:bookmarkStart w:id="10" w:name="_Toc15396476"/>
      <w:r>
        <w:rPr>
          <w:rFonts w:hint="eastAsia" w:ascii="方正小标宋_GBK" w:hAnsi="方正小标宋_GBK" w:eastAsia="方正小标宋_GBK" w:cs="方正小标宋_GBK"/>
          <w:sz w:val="52"/>
          <w:szCs w:val="52"/>
        </w:rPr>
        <w:t>阿坝州壤塘县</w:t>
      </w:r>
      <w:bookmarkEnd w:id="0"/>
      <w:bookmarkStart w:id="11" w:name="_Toc15306268"/>
      <w:r>
        <w:rPr>
          <w:rFonts w:hint="eastAsia" w:ascii="方正小标宋_GBK" w:hAnsi="方正小标宋_GBK" w:eastAsia="方正小标宋_GBK" w:cs="方正小标宋_GBK"/>
          <w:sz w:val="52"/>
          <w:szCs w:val="52"/>
          <w:lang w:val="en-US" w:eastAsia="zh-CN"/>
        </w:rPr>
        <w:t>经济商务和信息化局</w:t>
      </w:r>
    </w:p>
    <w:p>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pStyle w:val="14"/>
        <w:jc w:val="center"/>
        <w:rPr>
          <w:rFonts w:ascii="方正小标宋简体" w:hAnsi="宋体" w:eastAsia="方正小标宋简体"/>
          <w:sz w:val="36"/>
          <w:szCs w:val="36"/>
        </w:rPr>
      </w:pPr>
      <w:r>
        <w:rPr>
          <w:rFonts w:hint="eastAsia" w:ascii="方正小标宋简体" w:hAnsi="宋体" w:eastAsia="方正小标宋简体"/>
          <w:color w:val="000000"/>
          <w:sz w:val="36"/>
          <w:szCs w:val="36"/>
          <w:lang w:eastAsia="zh-CN"/>
        </w:rPr>
        <w:tab/>
      </w: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21</w:t>
      </w:r>
      <w:r>
        <w:rPr>
          <w:rFonts w:hint="eastAsia" w:hAnsiTheme="minorHAnsi"/>
          <w:b w:val="0"/>
          <w:bCs w:val="0"/>
          <w:sz w:val="24"/>
          <w:szCs w:val="24"/>
        </w:rPr>
        <w:t>日</w:t>
      </w:r>
    </w:p>
    <w:p>
      <w:pPr>
        <w:jc w:val="both"/>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4"/>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4</w:t>
      </w:r>
      <w:r>
        <w:fldChar w:fldCharType="end"/>
      </w:r>
    </w:p>
    <w:p>
      <w:pPr>
        <w:pStyle w:val="17"/>
        <w:tabs>
          <w:tab w:val="right" w:leader="dot" w:pos="8296"/>
        </w:tabs>
        <w:rPr>
          <w:rFonts w:hint="eastAsia"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8</w:t>
      </w:r>
    </w:p>
    <w:p>
      <w:pPr>
        <w:pStyle w:val="14"/>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lang w:val="en-US" w:eastAsia="zh-CN"/>
        </w:rPr>
        <w:t>9</w:t>
      </w:r>
    </w:p>
    <w:p>
      <w:pPr>
        <w:pStyle w:val="17"/>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9</w:t>
      </w:r>
    </w:p>
    <w:p>
      <w:pPr>
        <w:pStyle w:val="17"/>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pPr>
        <w:pStyle w:val="17"/>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10</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10</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12</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14</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15</w:t>
      </w:r>
    </w:p>
    <w:p>
      <w:pPr>
        <w:pStyle w:val="17"/>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16</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16</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17</w:t>
      </w:r>
      <w:r>
        <w:fldChar w:fldCharType="end"/>
      </w:r>
    </w:p>
    <w:p>
      <w:pPr>
        <w:pStyle w:val="10"/>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17</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19</w:t>
      </w:r>
    </w:p>
    <w:p>
      <w:pPr>
        <w:pStyle w:val="14"/>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21</w:t>
      </w:r>
      <w:r>
        <w:fldChar w:fldCharType="end"/>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21</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壤塘县经济商务和信息化局</w:t>
      </w:r>
      <w:r>
        <w:rPr>
          <w:rFonts w:ascii="方正小标宋简体" w:hAnsi="黑体" w:eastAsia="方正小标宋简体" w:cs="黑体"/>
        </w:rPr>
        <w:t>202</w:t>
      </w:r>
      <w:r>
        <w:rPr>
          <w:rFonts w:hint="eastAsia" w:ascii="方正小标宋简体" w:hAnsi="黑体" w:eastAsia="方正小标宋简体" w:cs="黑体"/>
        </w:rPr>
        <w:t>1</w:t>
      </w:r>
      <w:r>
        <w:rPr>
          <w:rFonts w:ascii="方正小标宋简体" w:hAnsi="黑体" w:eastAsia="方正小标宋简体" w:cs="黑体"/>
        </w:rPr>
        <w:t>年部门整体支出绩效评价报告</w:t>
      </w:r>
      <w:r>
        <w:tab/>
      </w:r>
      <w:r>
        <w:rPr>
          <w:rFonts w:hint="eastAsia"/>
          <w:lang w:val="en-US" w:eastAsia="zh-CN"/>
        </w:rPr>
        <w:t>21</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32</w:t>
      </w:r>
    </w:p>
    <w:p>
      <w:pPr>
        <w:pStyle w:val="17"/>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3</w:t>
      </w:r>
      <w:r>
        <w:rPr>
          <w:rFonts w:hint="eastAsia"/>
          <w:lang w:val="en-US" w:eastAsia="zh-CN"/>
        </w:rPr>
        <w:t>2</w:t>
      </w:r>
      <w:r>
        <w:fldChar w:fldCharType="end"/>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32</w:t>
      </w:r>
    </w:p>
    <w:p>
      <w:pPr>
        <w:pStyle w:val="17"/>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3</w:t>
      </w:r>
      <w:r>
        <w:rPr>
          <w:rFonts w:hint="eastAsia"/>
          <w:lang w:val="en-US" w:eastAsia="zh-CN"/>
        </w:rPr>
        <w:t>2</w:t>
      </w:r>
      <w:r>
        <w:fldChar w:fldCharType="end"/>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lang w:val="en-US" w:eastAsia="zh-CN"/>
        </w:rPr>
        <w:t>32</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32</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Fonts w:ascii="黑体" w:eastAsia="黑体"/>
          <w:color w:val="000000"/>
          <w:sz w:val="32"/>
          <w:szCs w:val="32"/>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p>
    <w:p>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Style w:val="28"/>
          <w:rFonts w:hint="eastAsia" w:ascii="黑体" w:hAnsi="黑体" w:eastAsia="黑体"/>
          <w:b w:val="0"/>
          <w:bCs w:val="0"/>
        </w:rPr>
      </w:pPr>
      <w:bookmarkStart w:id="16" w:name="_Toc15377197"/>
      <w:bookmarkStart w:id="17" w:name="_Toc15396600"/>
      <w:bookmarkStart w:id="18" w:name="_Toc79163852"/>
      <w:bookmarkStart w:id="19" w:name="_Toc79163602"/>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4"/>
        <w:pageBreakBefore w:val="0"/>
        <w:widowControl w:val="0"/>
        <w:kinsoku/>
        <w:wordWrap/>
        <w:overflowPunct/>
        <w:topLinePunct w:val="0"/>
        <w:autoSpaceDE/>
        <w:autoSpaceDN/>
        <w:bidi w:val="0"/>
        <w:adjustRightInd/>
        <w:snapToGrid/>
        <w:spacing w:line="560" w:lineRule="exact"/>
        <w:ind w:firstLine="642" w:firstLineChars="200"/>
        <w:textAlignment w:val="auto"/>
        <w:rPr>
          <w:rStyle w:val="42"/>
          <w:rFonts w:hint="eastAsia" w:ascii="楷体" w:hAnsi="楷体" w:eastAsia="楷体" w:cs="楷体"/>
          <w:sz w:val="32"/>
          <w:szCs w:val="32"/>
        </w:rPr>
      </w:pPr>
      <w:r>
        <w:rPr>
          <w:rStyle w:val="42"/>
          <w:rFonts w:hint="eastAsia" w:ascii="楷体" w:hAnsi="楷体" w:eastAsia="楷体" w:cs="楷体"/>
          <w:sz w:val="32"/>
          <w:szCs w:val="32"/>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Style w:val="42"/>
          <w:rFonts w:ascii="Times New Roman" w:hAnsi="Times New Roman" w:eastAsia="仿宋_GB2312"/>
          <w:sz w:val="32"/>
          <w:szCs w:val="32"/>
        </w:rPr>
      </w:pPr>
      <w:bookmarkStart w:id="24" w:name="_Toc79163604"/>
      <w:bookmarkStart w:id="25" w:name="_Toc15378446"/>
      <w:bookmarkStart w:id="26" w:name="_Toc79163854"/>
      <w:bookmarkStart w:id="27" w:name="_Toc15377199"/>
      <w:r>
        <w:rPr>
          <w:rStyle w:val="42"/>
          <w:rFonts w:hint="eastAsia" w:ascii="Times New Roman" w:hAnsi="Times New Roman" w:eastAsia="仿宋_GB2312"/>
          <w:sz w:val="32"/>
          <w:szCs w:val="32"/>
          <w:lang w:val="en-US"/>
        </w:rPr>
        <w:t>1.</w:t>
      </w:r>
      <w:r>
        <w:rPr>
          <w:rStyle w:val="42"/>
          <w:rFonts w:hint="eastAsia" w:ascii="Times New Roman" w:hAnsi="Times New Roman" w:eastAsia="仿宋_GB2312"/>
          <w:sz w:val="32"/>
          <w:szCs w:val="32"/>
        </w:rPr>
        <w:t>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rPr>
      </w:pPr>
      <w:r>
        <w:rPr>
          <w:rStyle w:val="42"/>
          <w:rFonts w:hint="eastAsia" w:ascii="Times New Roman" w:hAnsi="Times New Roman" w:eastAsia="仿宋_GB2312"/>
          <w:sz w:val="32"/>
          <w:szCs w:val="32"/>
          <w:lang w:val="en-US"/>
        </w:rPr>
        <w:t>2.</w:t>
      </w:r>
      <w:r>
        <w:rPr>
          <w:rStyle w:val="42"/>
          <w:rFonts w:hint="eastAsia" w:ascii="Times New Roman" w:hAnsi="Times New Roman" w:eastAsia="仿宋_GB2312"/>
          <w:sz w:val="32"/>
          <w:szCs w:val="32"/>
        </w:rPr>
        <w:t>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w:t>
      </w:r>
      <w:r>
        <w:rPr>
          <w:rStyle w:val="42"/>
          <w:rFonts w:hint="eastAsia" w:ascii="Times New Roman" w:hAnsi="Times New Roman" w:eastAsia="仿宋_GB2312"/>
          <w:sz w:val="32"/>
          <w:szCs w:val="32"/>
        </w:rPr>
        <w:pict>
          <v:shape id="文本框 2" o:spid="_x0000_s2051" o:spt="202" type="#_x0000_t202" style="position:absolute;left:0pt;margin-left:81pt;margin-top:618pt;height:26pt;width:70pt;mso-position-horizontal-relative:page;z-index:251663360;mso-width-relative:page;mso-height-relative:page;" filled="f" stroked="f" coordsize="21600,21600" o:gfxdata="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SFpw3YAAAADQEAAA8AAAAAAAAA&#10;AQAgAAAAIgAAAGRycy9kb3ducmV2LnhtbFBLAQIUABQAAAAIAIdO4kAxyDC12AEAAJ4DAAAOAAAA&#10;AAAAAAEAIAAAACcBAABkcnMvZTJvRG9jLnhtbFBLBQYAAAAABgAGAFkBAABxBQAAAAA=&#10;">
            <v:path/>
            <v:fill on="f" focussize="0,0"/>
            <v:stroke on="f" weight="0.5pt"/>
            <v:imagedata o:title=""/>
            <o:lock v:ext="edit" aspectratio="f"/>
            <v:textbox inset="2pt,0mm,2pt,0mm">
              <w:txbxContent>
                <w:p>
                  <w:pPr>
                    <w:spacing w:line="380" w:lineRule="exact"/>
                    <w:ind w:firstLine="0"/>
                    <w:jc w:val="left"/>
                  </w:pPr>
                  <w:r>
                    <w:rPr>
                      <w:rFonts w:hint="eastAsia" w:ascii="Arial" w:hAnsi="Arial" w:eastAsia="Arial"/>
                      <w:color w:val="000000"/>
                      <w:sz w:val="22"/>
                    </w:rPr>
                    <w:t>-2-</w:t>
                  </w:r>
                </w:p>
              </w:txbxContent>
            </v:textbox>
          </v:shape>
        </w:pict>
      </w:r>
      <w:r>
        <w:rPr>
          <w:rStyle w:val="42"/>
          <w:rFonts w:hint="eastAsia" w:eastAsia="仿宋_GB2312"/>
          <w:sz w:val="32"/>
          <w:szCs w:val="32"/>
        </w:rPr>
        <w:t xml:space="preserve"> </w:t>
      </w:r>
      <w:r>
        <w:rPr>
          <w:rStyle w:val="42"/>
          <w:rFonts w:hint="eastAsia" w:ascii="Times New Roman" w:hAnsi="Times New Roman" w:eastAsia="仿宋_GB2312"/>
          <w:sz w:val="32"/>
          <w:szCs w:val="32"/>
          <w:lang w:val="en-US"/>
        </w:rPr>
        <w:t>3.</w:t>
      </w:r>
      <w:r>
        <w:rPr>
          <w:rStyle w:val="42"/>
          <w:rFonts w:hint="eastAsia" w:ascii="Times New Roman" w:hAnsi="Times New Roman" w:eastAsia="仿宋_GB2312"/>
          <w:sz w:val="32"/>
          <w:szCs w:val="32"/>
        </w:rPr>
        <w:t>负责执行新型工业化发展战略和重大政策，协调解决新型工业化进程中的重大问题，组织实施工业强县战略。参与制订国民经济和社会发展规划，负责制订并组织实施工业、信息化相关行业的发展规划、年度计划和产业政策并组织实施，指导行业质量管理工作。承担全县服务业发展工作中组织实施的协调职责，推进流通产业结构调整和服务业重大项目建设，加快第三方物流发展，推动商贸服务业和社区商业发展，提出促进商贸企业发展的政策建议，推动流通标准化和连锁经营、商业特许经营、物流配送、电子商务等现代流通方式的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rPr>
      </w:pPr>
      <w:r>
        <w:rPr>
          <w:rStyle w:val="42"/>
          <w:rFonts w:hint="eastAsia" w:ascii="Times New Roman" w:hAnsi="Times New Roman" w:eastAsia="仿宋_GB2312"/>
          <w:sz w:val="32"/>
          <w:szCs w:val="32"/>
          <w:lang w:val="en-US"/>
        </w:rPr>
        <w:t>4.</w:t>
      </w:r>
      <w:r>
        <w:rPr>
          <w:rStyle w:val="42"/>
          <w:rFonts w:hint="eastAsia" w:ascii="Times New Roman" w:hAnsi="Times New Roman" w:eastAsia="仿宋_GB2312"/>
          <w:sz w:val="32"/>
          <w:szCs w:val="32"/>
        </w:rPr>
        <w:t>负责监测、分析工业经济运行态势和质量，建立全县工业经济运行预警机制，拟订中、近期工业经济运行目标、政策并组织实施，协调解决工业经济运行中的重大问题。负责电力、成品油等重要物资综合调控、紧急调度工作和交通运输协同配合工作，负责民爆物品销售环节的安全监督管理，负责县级医药储备的监督管理。承办年度工业经济目标责任考核。编制大宗产品批发市场规划，指导城市商业网点规划和商业体系建设工作，推进农村市场体系建设，组织实施农村现代流通网络工程，促进城乡市场一体化发展。推动商务领域信用建设，指导商业信用销售，建立市场诚信公共服务平台。</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rPr>
      </w:pPr>
      <w:r>
        <w:rPr>
          <w:rStyle w:val="42"/>
          <w:rFonts w:hint="eastAsia" w:ascii="Times New Roman" w:hAnsi="Times New Roman" w:eastAsia="仿宋_GB2312"/>
          <w:sz w:val="32"/>
          <w:szCs w:val="32"/>
          <w:lang w:val="en-US"/>
        </w:rPr>
        <w:t>5.</w:t>
      </w:r>
      <w:r>
        <w:rPr>
          <w:rStyle w:val="42"/>
          <w:rFonts w:hint="eastAsia" w:ascii="Times New Roman" w:hAnsi="Times New Roman" w:eastAsia="仿宋_GB2312"/>
          <w:sz w:val="32"/>
          <w:szCs w:val="32"/>
        </w:rPr>
        <w:t>负责全县企业技术改造推进工作，组织制定并实施全县企业技术改造投资规划和政策，制定并发布全县企业技术改造投资项目引导目录。提出工业和信息化固定资产投资规模的意见，按照规定组织企业申报全县企业技术改造项目。承担组织实施重要消费品市场调控和重要生产资料流通管理的责任，监测分析市场运行、商品供求状况，调查分析商品价格信息，进行预测预警和信息引导。按职责负责重要消费品的储备管理。负责职责范围内的安全生产、生态环境保护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rPr>
      </w:pPr>
      <w:r>
        <w:rPr>
          <w:rStyle w:val="42"/>
          <w:rFonts w:hint="eastAsia" w:ascii="Times New Roman" w:hAnsi="Times New Roman" w:eastAsia="仿宋_GB2312"/>
          <w:sz w:val="32"/>
          <w:szCs w:val="32"/>
          <w:lang w:val="en-US"/>
        </w:rPr>
        <w:t>6.</w:t>
      </w:r>
      <w:r>
        <w:rPr>
          <w:rStyle w:val="42"/>
          <w:rFonts w:hint="eastAsia" w:ascii="Times New Roman" w:hAnsi="Times New Roman" w:eastAsia="仿宋_GB2312"/>
          <w:sz w:val="32"/>
          <w:szCs w:val="32"/>
        </w:rPr>
        <w:t>负责全县企业技术创新体系建设，制定鼓励企业技术创新的政策措施，指导企业技术创新、技术引进，编制下达全县企业技术创新项目计划并组织实施，按照规定程序会同有关部门组织企业技术中心申报、认定和建设管理工作。指导对外贸易行业执行国家进出口商品、加工贸易管理办法和进出口管理商品、技术目录，组织实施重要工业品、原材料和重要农产品进出口计划，会同有关部门协调大宗进出口商品和出口加工区的业务工作，指导贸易促进活动和外贸促进体系建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rPr>
      </w:pPr>
      <w:r>
        <w:rPr>
          <w:rStyle w:val="42"/>
          <w:rFonts w:hint="eastAsia" w:ascii="Times New Roman" w:hAnsi="Times New Roman" w:eastAsia="仿宋_GB2312"/>
          <w:sz w:val="32"/>
          <w:szCs w:val="32"/>
          <w:lang w:val="en-US"/>
        </w:rPr>
        <w:t>7.</w:t>
      </w:r>
      <w:r>
        <w:rPr>
          <w:rStyle w:val="42"/>
          <w:rFonts w:hint="eastAsia" w:ascii="Times New Roman" w:hAnsi="Times New Roman" w:eastAsia="仿宋_GB2312"/>
          <w:sz w:val="32"/>
          <w:szCs w:val="32"/>
        </w:rPr>
        <w:t>负责全县产业园区建设发展的服务工作，拟订并组织实施产业园区、产业集群发展规划和政策措施，指导产业园区合理布局。负责推进重点产业园区建设发展，推进园区公共配套设施建设。组织实施产业园区公共服务平台项目计划。负责与各园区的衔接、协调并处理相关事务。指导全县外商投资促进和管理工作。统计分析全县外商投资情况，依法监督检查外商投资企业执行有关法律法规、规章、合同章程的情况并协调解决有关问题。指导协调县内各经济技术开发区的有关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eastAsia="zh-CN"/>
        </w:rPr>
      </w:pPr>
      <w:r>
        <w:rPr>
          <w:rStyle w:val="42"/>
          <w:rFonts w:hint="eastAsia" w:eastAsia="仿宋_GB2312"/>
          <w:sz w:val="32"/>
          <w:szCs w:val="32"/>
          <w:lang w:val="en-US"/>
        </w:rPr>
        <w:t>8.</w:t>
      </w:r>
      <w:r>
        <w:rPr>
          <w:rStyle w:val="42"/>
          <w:rFonts w:hint="eastAsia" w:ascii="Times New Roman" w:hAnsi="Times New Roman" w:eastAsia="仿宋_GB2312"/>
          <w:sz w:val="32"/>
          <w:szCs w:val="32"/>
        </w:rPr>
        <w:t>完成县委和县政府交办的其他任务。</w:t>
      </w:r>
    </w:p>
    <w:p>
      <w:pPr>
        <w:pStyle w:val="7"/>
        <w:adjustRightInd w:val="0"/>
        <w:snapToGrid w:val="0"/>
        <w:spacing w:before="93" w:line="600" w:lineRule="exact"/>
        <w:ind w:firstLine="640" w:firstLineChars="200"/>
        <w:outlineLvl w:val="2"/>
        <w:rPr>
          <w:rFonts w:hint="eastAsia" w:ascii="楷体" w:hAnsi="楷体" w:eastAsia="楷体" w:cs="楷体"/>
          <w:bCs/>
          <w:color w:val="000000"/>
          <w:sz w:val="32"/>
          <w:szCs w:val="32"/>
        </w:rPr>
      </w:pPr>
      <w:r>
        <w:rPr>
          <w:rFonts w:hint="eastAsia" w:ascii="楷体" w:hAnsi="楷体" w:eastAsia="楷体" w:cs="楷体"/>
          <w:bCs/>
          <w:color w:val="000000"/>
          <w:sz w:val="32"/>
          <w:szCs w:val="32"/>
        </w:rPr>
        <w:t>（二）2021年重点工作完成情况</w:t>
      </w:r>
    </w:p>
    <w:bookmarkEnd w:id="24"/>
    <w:bookmarkEnd w:id="25"/>
    <w:bookmarkEnd w:id="26"/>
    <w:bookmarkEnd w:id="27"/>
    <w:p>
      <w:pPr>
        <w:spacing w:line="600" w:lineRule="exact"/>
        <w:ind w:firstLine="560" w:firstLineChars="200"/>
        <w:rPr>
          <w:rStyle w:val="42"/>
          <w:rFonts w:ascii="Times New Roman" w:hAnsi="Times New Roman" w:eastAsia="仿宋_GB2312"/>
          <w:sz w:val="32"/>
          <w:szCs w:val="32"/>
        </w:rPr>
      </w:pPr>
      <w:bookmarkStart w:id="28" w:name="_Toc79163605"/>
      <w:bookmarkStart w:id="29" w:name="_Toc79163855"/>
      <w:bookmarkStart w:id="30" w:name="_Toc15396601"/>
      <w:bookmarkStart w:id="31" w:name="_Toc15377200"/>
      <w:r>
        <w:rPr>
          <w:sz w:val="28"/>
        </w:rPr>
        <w:pict>
          <v:shape id="_x0000_s2056" o:spid="_x0000_s2056" o:spt="202" type="#_x0000_t202" style="position:absolute;left:0pt;margin-left:16.05pt;margin-top:280.6pt;height:35.9pt;width:64.4pt;rotation:-7733248f;z-index:251664384;mso-width-relative:page;mso-height-relative:page;" filled="f" stroked="t" coordsize="21600,21600">
            <v:path/>
            <v:fill on="f" focussize="0,0"/>
            <v:stroke color="#FFFFFF" joinstyle="miter"/>
            <v:imagedata o:title=""/>
            <o:lock v:ext="edit" aspectratio="f"/>
            <v:textbox>
              <w:txbxContent>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w:t>
                  </w:r>
                </w:p>
              </w:txbxContent>
            </v:textbox>
          </v:shape>
        </w:pict>
      </w:r>
      <w:r>
        <w:rPr>
          <w:rStyle w:val="42"/>
          <w:rFonts w:ascii="Times New Roman" w:hAnsi="Times New Roman" w:eastAsia="仿宋_GB2312"/>
          <w:b/>
          <w:bCs/>
          <w:sz w:val="32"/>
          <w:szCs w:val="32"/>
        </w:rPr>
        <w:t>1.经信方面</w:t>
      </w:r>
      <w:r>
        <w:rPr>
          <w:rStyle w:val="42"/>
          <w:rFonts w:hint="eastAsia" w:eastAsia="仿宋_GB2312"/>
          <w:b/>
          <w:bCs/>
          <w:sz w:val="32"/>
          <w:szCs w:val="32"/>
          <w:lang w:val="en-US"/>
        </w:rPr>
        <w:t>:</w:t>
      </w:r>
      <w:r>
        <w:rPr>
          <w:rStyle w:val="42"/>
          <w:rFonts w:ascii="Times New Roman" w:hAnsi="Times New Roman" w:eastAsia="仿宋_GB2312"/>
          <w:b/>
          <w:bCs/>
          <w:sz w:val="32"/>
          <w:szCs w:val="32"/>
        </w:rPr>
        <w:t>一是</w:t>
      </w:r>
      <w:r>
        <w:rPr>
          <w:rStyle w:val="42"/>
          <w:rFonts w:ascii="Times New Roman" w:hAnsi="Times New Roman" w:eastAsia="仿宋_GB2312"/>
          <w:sz w:val="32"/>
          <w:szCs w:val="32"/>
        </w:rPr>
        <w:t>组织壤巴拉菜籽油等生产企业参加各类推介会，扩大产品知名度，让壤巴拉产品进一步扩大消费市场；</w:t>
      </w:r>
      <w:r>
        <w:rPr>
          <w:rStyle w:val="42"/>
          <w:rFonts w:ascii="Times New Roman" w:hAnsi="Times New Roman" w:eastAsia="仿宋_GB2312"/>
          <w:b/>
          <w:bCs/>
          <w:sz w:val="32"/>
          <w:szCs w:val="32"/>
        </w:rPr>
        <w:t>二是</w:t>
      </w:r>
      <w:r>
        <w:rPr>
          <w:rStyle w:val="42"/>
          <w:rFonts w:ascii="Times New Roman" w:hAnsi="Times New Roman" w:eastAsia="仿宋_GB2312"/>
          <w:sz w:val="32"/>
          <w:szCs w:val="32"/>
        </w:rPr>
        <w:t>完成《壤塘县中小微企业产业园区“十四五”发展规划》编制工作，经常务会审议通过《关于加快推进壤塘县中小微企业产业园区建设工作方案》，启动了壤塘县中小微企业产业园区建设工作，完成园区标识标牌的建设工作，完成园区企业的摸排工作；</w:t>
      </w:r>
      <w:r>
        <w:rPr>
          <w:rStyle w:val="42"/>
          <w:rFonts w:ascii="Times New Roman" w:hAnsi="Times New Roman" w:eastAsia="仿宋_GB2312"/>
          <w:b/>
          <w:bCs/>
          <w:sz w:val="32"/>
          <w:szCs w:val="32"/>
        </w:rPr>
        <w:t>三是</w:t>
      </w:r>
      <w:r>
        <w:rPr>
          <w:rStyle w:val="42"/>
          <w:rFonts w:ascii="Times New Roman" w:hAnsi="Times New Roman" w:eastAsia="仿宋_GB2312"/>
          <w:sz w:val="32"/>
          <w:szCs w:val="32"/>
        </w:rPr>
        <w:t>加强企业安全生产工作，与工业、通讯、加油站企业签订《安全生产责任书》，开展各类安全生产检查</w:t>
      </w:r>
      <w:r>
        <w:rPr>
          <w:rStyle w:val="42"/>
          <w:rFonts w:hint="eastAsia" w:ascii="Times New Roman" w:hAnsi="Times New Roman" w:eastAsia="仿宋_GB2312"/>
          <w:sz w:val="32"/>
          <w:szCs w:val="32"/>
        </w:rPr>
        <w:t>。</w:t>
      </w:r>
      <w:r>
        <w:rPr>
          <w:rStyle w:val="42"/>
          <w:rFonts w:ascii="Times New Roman" w:hAnsi="Times New Roman" w:eastAsia="仿宋_GB2312"/>
          <w:b/>
          <w:bCs/>
          <w:sz w:val="32"/>
          <w:szCs w:val="32"/>
        </w:rPr>
        <w:t>四是</w:t>
      </w:r>
      <w:r>
        <w:rPr>
          <w:rStyle w:val="42"/>
          <w:rFonts w:ascii="Times New Roman" w:hAnsi="Times New Roman" w:eastAsia="仿宋_GB2312"/>
          <w:sz w:val="32"/>
          <w:szCs w:val="32"/>
        </w:rPr>
        <w:t>牵头开展林牧区输配电设施火灾隐患专项整治工作，组织企业开展学习</w:t>
      </w:r>
      <w:r>
        <w:rPr>
          <w:rStyle w:val="42"/>
          <w:rFonts w:eastAsia="仿宋_GB2312"/>
          <w:sz w:val="32"/>
          <w:szCs w:val="32"/>
        </w:rPr>
        <w:t>中央</w:t>
      </w:r>
      <w:r>
        <w:rPr>
          <w:rStyle w:val="42"/>
          <w:rFonts w:ascii="Times New Roman" w:hAnsi="Times New Roman" w:eastAsia="仿宋_GB2312"/>
          <w:sz w:val="32"/>
          <w:szCs w:val="32"/>
        </w:rPr>
        <w:t>、省、州、县关于森林草原防灭火工作的决策部署，积极开展全县林区线路排查整治工作，排查出隐患577处，已完成整改577处；</w:t>
      </w:r>
      <w:r>
        <w:rPr>
          <w:rStyle w:val="42"/>
          <w:rFonts w:ascii="Times New Roman" w:hAnsi="Times New Roman" w:eastAsia="仿宋_GB2312"/>
          <w:b/>
          <w:bCs/>
          <w:sz w:val="32"/>
          <w:szCs w:val="32"/>
        </w:rPr>
        <w:t>五是</w:t>
      </w:r>
      <w:r>
        <w:rPr>
          <w:rStyle w:val="42"/>
          <w:rFonts w:ascii="Times New Roman" w:hAnsi="Times New Roman" w:eastAsia="仿宋_GB2312"/>
          <w:sz w:val="32"/>
          <w:szCs w:val="32"/>
        </w:rPr>
        <w:t>在成阿园区引入工业企业1家，正在完善相关资料，</w:t>
      </w:r>
      <w:r>
        <w:rPr>
          <w:rStyle w:val="42"/>
          <w:rFonts w:hint="eastAsia" w:ascii="Times New Roman" w:hAnsi="Times New Roman" w:eastAsia="仿宋_GB2312"/>
          <w:sz w:val="32"/>
          <w:szCs w:val="32"/>
        </w:rPr>
        <w:t>计划</w:t>
      </w:r>
      <w:r>
        <w:rPr>
          <w:rStyle w:val="42"/>
          <w:rFonts w:ascii="Times New Roman" w:hAnsi="Times New Roman" w:eastAsia="仿宋_GB2312"/>
          <w:sz w:val="32"/>
          <w:szCs w:val="32"/>
        </w:rPr>
        <w:t>纳入壤塘县2021年规模以上升规工业企业，</w:t>
      </w:r>
      <w:r>
        <w:rPr>
          <w:rStyle w:val="42"/>
          <w:rFonts w:ascii="Times New Roman" w:hAnsi="Times New Roman" w:eastAsia="仿宋_GB2312"/>
          <w:b/>
          <w:bCs/>
          <w:sz w:val="32"/>
          <w:szCs w:val="32"/>
        </w:rPr>
        <w:t>六是</w:t>
      </w:r>
      <w:r>
        <w:rPr>
          <w:rStyle w:val="42"/>
          <w:rFonts w:ascii="Times New Roman" w:hAnsi="Times New Roman" w:eastAsia="仿宋_GB2312"/>
          <w:sz w:val="32"/>
          <w:szCs w:val="32"/>
        </w:rPr>
        <w:t>2021年全县4G基站建设14个，5G基站建设13个,全县实现4G全覆盖。</w:t>
      </w:r>
    </w:p>
    <w:p>
      <w:pPr>
        <w:spacing w:line="600" w:lineRule="exact"/>
        <w:ind w:firstLine="560" w:firstLineChars="200"/>
        <w:rPr>
          <w:rStyle w:val="42"/>
          <w:rFonts w:ascii="Times New Roman" w:hAnsi="Times New Roman" w:eastAsia="仿宋_GB2312"/>
          <w:sz w:val="32"/>
          <w:szCs w:val="32"/>
        </w:rPr>
      </w:pPr>
      <w:r>
        <w:rPr>
          <w:sz w:val="28"/>
        </w:rPr>
        <w:pict>
          <v:shape id="_x0000_s2057" o:spid="_x0000_s2057" o:spt="202" type="#_x0000_t202" style="position:absolute;left:0pt;margin-left:367.45pt;margin-top:381.4pt;height:35.9pt;width:64.4pt;z-index:251665408;mso-width-relative:page;mso-height-relative:page;" filled="f" stroked="t" coordsize="21600,21600">
            <v:path/>
            <v:fill on="f" focussize="0,0"/>
            <v:stroke color="#FFFFFF"/>
            <v:imagedata o:title=""/>
            <o:lock v:ext="edit" aspectratio="f"/>
            <v:textbox>
              <w:txbxContent>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5</w:t>
                  </w:r>
                  <w:r>
                    <w:rPr>
                      <w:rFonts w:hint="eastAsia" w:ascii="宋体" w:hAnsi="宋体" w:eastAsia="宋体" w:cs="宋体"/>
                      <w:sz w:val="28"/>
                      <w:szCs w:val="28"/>
                      <w:lang w:val="en-US" w:eastAsia="zh-CN"/>
                    </w:rPr>
                    <w:t xml:space="preserve"> —</w:t>
                  </w:r>
                </w:p>
              </w:txbxContent>
            </v:textbox>
          </v:shape>
        </w:pict>
      </w:r>
      <w:r>
        <w:rPr>
          <w:rStyle w:val="42"/>
          <w:rFonts w:ascii="Times New Roman" w:hAnsi="Times New Roman" w:eastAsia="仿宋_GB2312"/>
          <w:b/>
          <w:bCs/>
          <w:sz w:val="32"/>
          <w:szCs w:val="32"/>
        </w:rPr>
        <w:t>2.商务方面</w:t>
      </w:r>
      <w:r>
        <w:rPr>
          <w:rStyle w:val="42"/>
          <w:rFonts w:hint="eastAsia" w:eastAsia="仿宋_GB2312"/>
          <w:b/>
          <w:bCs/>
          <w:sz w:val="32"/>
          <w:szCs w:val="32"/>
          <w:lang w:val="en-US"/>
        </w:rPr>
        <w:t>:</w:t>
      </w:r>
      <w:r>
        <w:rPr>
          <w:rStyle w:val="42"/>
          <w:rFonts w:ascii="Times New Roman" w:hAnsi="Times New Roman" w:eastAsia="仿宋_GB2312"/>
          <w:sz w:val="32"/>
          <w:szCs w:val="32"/>
        </w:rPr>
        <w:t>（1）</w:t>
      </w:r>
      <w:r>
        <w:rPr>
          <w:rStyle w:val="42"/>
          <w:rFonts w:ascii="Times New Roman" w:hAnsi="Times New Roman" w:eastAsia="仿宋_GB2312"/>
          <w:b/>
          <w:bCs/>
          <w:sz w:val="32"/>
          <w:szCs w:val="32"/>
        </w:rPr>
        <w:t>市场拓展。</w:t>
      </w:r>
      <w:r>
        <w:rPr>
          <w:rStyle w:val="42"/>
          <w:rFonts w:ascii="Times New Roman" w:hAnsi="Times New Roman" w:eastAsia="仿宋_GB2312"/>
          <w:sz w:val="32"/>
          <w:szCs w:val="32"/>
        </w:rPr>
        <w:t>通过组织企业参加“阿坝州—成都市第七届‘农商对接’活动”和第十八届西博会等活动，推广宣传“壤巴拉”品牌高原绿色菜籽油、牦牛肉等农特产品和文创产品， 进一步加大“壤巴拉”品牌的宣传力度，提高了我县产品知晓度。</w:t>
      </w:r>
      <w:r>
        <w:rPr>
          <w:rStyle w:val="42"/>
          <w:rFonts w:ascii="Times New Roman" w:hAnsi="Times New Roman" w:eastAsia="仿宋_GB2312"/>
          <w:b/>
          <w:bCs/>
          <w:sz w:val="32"/>
          <w:szCs w:val="32"/>
        </w:rPr>
        <w:t>（</w:t>
      </w:r>
      <w:r>
        <w:rPr>
          <w:rStyle w:val="42"/>
          <w:rFonts w:hint="eastAsia" w:ascii="Times New Roman" w:hAnsi="Times New Roman" w:eastAsia="仿宋_GB2312"/>
          <w:b/>
          <w:bCs/>
          <w:sz w:val="32"/>
          <w:szCs w:val="32"/>
          <w:lang w:val="en-US"/>
        </w:rPr>
        <w:t>2</w:t>
      </w:r>
      <w:r>
        <w:rPr>
          <w:rStyle w:val="42"/>
          <w:rFonts w:ascii="Times New Roman" w:hAnsi="Times New Roman" w:eastAsia="仿宋_GB2312"/>
          <w:b/>
          <w:bCs/>
          <w:sz w:val="32"/>
          <w:szCs w:val="32"/>
        </w:rPr>
        <w:t>）服务业发展。</w:t>
      </w:r>
      <w:r>
        <w:rPr>
          <w:rStyle w:val="42"/>
          <w:rFonts w:ascii="Times New Roman" w:hAnsi="Times New Roman" w:eastAsia="仿宋_GB2312"/>
          <w:sz w:val="32"/>
          <w:szCs w:val="32"/>
        </w:rPr>
        <w:t>按照县委县政府提出的“1+3”现代服务业，及时掌握全县服务业发展情况，全面梳理产业发展类别，帮助达到升规纳统标准的企业申报入库。11月经与统计局摸排走访，完成服务业企业1家和零售（个体）1家升规纳统申报工作。</w:t>
      </w:r>
    </w:p>
    <w:p>
      <w:pPr>
        <w:spacing w:beforeLines="0" w:afterLines="0" w:line="560" w:lineRule="exact"/>
        <w:ind w:firstLine="642" w:firstLineChars="200"/>
        <w:rPr>
          <w:rStyle w:val="42"/>
          <w:rFonts w:hint="default" w:ascii="Times New Roman" w:hAnsi="Times New Roman" w:eastAsia="仿宋_GB2312"/>
          <w:sz w:val="32"/>
          <w:szCs w:val="32"/>
          <w:lang w:val="en-US"/>
        </w:rPr>
      </w:pPr>
      <w:r>
        <w:rPr>
          <w:rStyle w:val="42"/>
          <w:rFonts w:ascii="Times New Roman" w:hAnsi="Times New Roman" w:eastAsia="仿宋_GB2312"/>
          <w:b/>
          <w:bCs/>
          <w:sz w:val="32"/>
          <w:szCs w:val="32"/>
        </w:rPr>
        <w:t>3.招商引资</w:t>
      </w:r>
      <w:r>
        <w:rPr>
          <w:rStyle w:val="42"/>
          <w:rFonts w:hint="eastAsia" w:ascii="Times New Roman" w:hAnsi="Times New Roman" w:eastAsia="仿宋_GB2312"/>
          <w:b/>
          <w:bCs/>
          <w:sz w:val="32"/>
          <w:szCs w:val="32"/>
        </w:rPr>
        <w:t>方面</w:t>
      </w:r>
      <w:r>
        <w:rPr>
          <w:rStyle w:val="42"/>
          <w:rFonts w:hint="eastAsia" w:eastAsia="仿宋_GB2312"/>
          <w:b/>
          <w:bCs/>
          <w:sz w:val="32"/>
          <w:szCs w:val="32"/>
          <w:lang w:val="en-US"/>
        </w:rPr>
        <w:t>:</w:t>
      </w:r>
      <w:r>
        <w:rPr>
          <w:rStyle w:val="42"/>
          <w:rFonts w:hint="eastAsia" w:ascii="Times New Roman" w:hAnsi="Times New Roman" w:eastAsia="仿宋_GB2312"/>
          <w:b/>
          <w:bCs/>
          <w:sz w:val="32"/>
          <w:szCs w:val="32"/>
        </w:rPr>
        <w:t>一是</w:t>
      </w:r>
      <w:r>
        <w:rPr>
          <w:rStyle w:val="42"/>
          <w:rFonts w:ascii="Times New Roman" w:hAnsi="Times New Roman" w:eastAsia="仿宋_GB2312"/>
          <w:sz w:val="32"/>
          <w:szCs w:val="32"/>
        </w:rPr>
        <w:t>积极参加阿坝州商务和经济合作局组织开展的三次招商引资推介会</w:t>
      </w:r>
      <w:r>
        <w:rPr>
          <w:rStyle w:val="42"/>
          <w:rFonts w:hint="eastAsia" w:ascii="Times New Roman" w:hAnsi="Times New Roman" w:eastAsia="仿宋_GB2312"/>
          <w:sz w:val="32"/>
          <w:szCs w:val="32"/>
        </w:rPr>
        <w:t>。</w:t>
      </w:r>
      <w:r>
        <w:rPr>
          <w:rStyle w:val="42"/>
          <w:rFonts w:hint="eastAsia" w:ascii="Times New Roman" w:hAnsi="Times New Roman" w:eastAsia="仿宋_GB2312"/>
          <w:b/>
          <w:bCs/>
          <w:sz w:val="32"/>
          <w:szCs w:val="32"/>
        </w:rPr>
        <w:t>二是</w:t>
      </w:r>
      <w:r>
        <w:rPr>
          <w:rStyle w:val="42"/>
          <w:rFonts w:ascii="Times New Roman" w:hAnsi="Times New Roman" w:eastAsia="仿宋_GB2312"/>
          <w:sz w:val="32"/>
          <w:szCs w:val="32"/>
        </w:rPr>
        <w:t>组织相关企业参加西博会、阿坝州投资合作推介会。</w:t>
      </w:r>
      <w:r>
        <w:rPr>
          <w:rStyle w:val="42"/>
          <w:rFonts w:hint="eastAsia" w:ascii="Times New Roman" w:hAnsi="Times New Roman" w:eastAsia="仿宋_GB2312"/>
          <w:b/>
          <w:bCs/>
          <w:sz w:val="32"/>
          <w:szCs w:val="32"/>
        </w:rPr>
        <w:t>三是</w:t>
      </w:r>
      <w:r>
        <w:rPr>
          <w:rStyle w:val="42"/>
          <w:rFonts w:hint="eastAsia" w:ascii="Times New Roman" w:hAnsi="Times New Roman" w:eastAsia="仿宋_GB2312"/>
          <w:sz w:val="32"/>
          <w:szCs w:val="32"/>
        </w:rPr>
        <w:t>在</w:t>
      </w:r>
      <w:r>
        <w:rPr>
          <w:rStyle w:val="42"/>
          <w:rFonts w:ascii="Times New Roman" w:hAnsi="Times New Roman" w:eastAsia="仿宋_GB2312"/>
          <w:sz w:val="32"/>
          <w:szCs w:val="32"/>
        </w:rPr>
        <w:t>第十八届中国西部国际博览会展期间，积极推介非遗文化、农特产品，吸引</w:t>
      </w:r>
      <w:r>
        <w:rPr>
          <w:rStyle w:val="42"/>
          <w:rFonts w:hint="eastAsia" w:ascii="Times New Roman" w:hAnsi="Times New Roman" w:eastAsia="仿宋_GB2312"/>
          <w:sz w:val="32"/>
          <w:szCs w:val="32"/>
          <w:lang w:val="en-US"/>
        </w:rPr>
        <w:t>州外</w:t>
      </w:r>
      <w:r>
        <w:rPr>
          <w:rStyle w:val="42"/>
          <w:rFonts w:ascii="Times New Roman" w:hAnsi="Times New Roman" w:eastAsia="仿宋_GB2312"/>
          <w:sz w:val="32"/>
          <w:szCs w:val="32"/>
        </w:rPr>
        <w:t>企业达成务实合作，打响“壤巴拉”品牌，拓展省内外甚至国内外市场。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Fonts w:hint="eastAsia" w:ascii="黑体" w:hAnsi="黑体" w:eastAsia="黑体" w:cs="Times New Roman"/>
          <w:b w:val="0"/>
          <w:bCs/>
          <w:color w:val="000000"/>
          <w:kern w:val="2"/>
          <w:sz w:val="32"/>
          <w:szCs w:val="32"/>
          <w:lang w:val="en-US" w:eastAsia="zh-CN" w:bidi="ar-SA"/>
        </w:rPr>
      </w:pPr>
      <w:r>
        <w:rPr>
          <w:rFonts w:hint="eastAsia" w:ascii="黑体" w:hAnsi="黑体" w:eastAsia="黑体" w:cs="Times New Roman"/>
          <w:b w:val="0"/>
          <w:bCs/>
          <w:color w:val="000000"/>
          <w:kern w:val="2"/>
          <w:sz w:val="32"/>
          <w:szCs w:val="32"/>
          <w:lang w:val="en-US" w:eastAsia="zh-CN" w:bidi="ar-SA"/>
        </w:rPr>
        <w:t xml:space="preserve"> 二、机构设置</w:t>
      </w:r>
      <w:bookmarkEnd w:id="28"/>
      <w:bookmarkEnd w:id="29"/>
      <w:bookmarkEnd w:id="30"/>
      <w:bookmarkEnd w:id="31"/>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2"/>
          <w:rFonts w:hint="eastAsia" w:ascii="Times New Roman" w:hAnsi="Times New Roman" w:eastAsia="仿宋_GB2312"/>
          <w:sz w:val="32"/>
          <w:szCs w:val="32"/>
          <w:lang w:val="en-US" w:eastAsia="zh-CN"/>
        </w:rPr>
      </w:pPr>
      <w:bookmarkStart w:id="32" w:name="_Toc79163609"/>
      <w:bookmarkStart w:id="33" w:name="_Toc15396602"/>
      <w:bookmarkStart w:id="34" w:name="_Toc15377204"/>
      <w:bookmarkStart w:id="35" w:name="_Toc79163859"/>
      <w:r>
        <w:rPr>
          <w:rStyle w:val="42"/>
          <w:rFonts w:hint="eastAsia" w:ascii="Times New Roman" w:hAnsi="Times New Roman" w:eastAsia="仿宋_GB2312"/>
          <w:sz w:val="32"/>
          <w:szCs w:val="32"/>
          <w:lang w:val="en-US" w:eastAsia="zh-CN"/>
        </w:rPr>
        <w:t>壤塘县经济商务和信息化局为一级预算单位，基本性质为行政单位。</w:t>
      </w:r>
    </w:p>
    <w:p>
      <w:pPr>
        <w:pStyle w:val="3"/>
        <w:pageBreakBefore w:val="0"/>
        <w:widowControl w:val="0"/>
        <w:kinsoku/>
        <w:wordWrap/>
        <w:overflowPunct/>
        <w:topLinePunct w:val="0"/>
        <w:autoSpaceDE/>
        <w:autoSpaceDN/>
        <w:bidi w:val="0"/>
        <w:adjustRightInd/>
        <w:snapToGrid/>
        <w:spacing w:before="0" w:after="0" w:line="560" w:lineRule="exact"/>
        <w:ind w:right="0"/>
        <w:jc w:val="both"/>
        <w:textAlignment w:val="auto"/>
        <w:rPr>
          <w:rFonts w:hint="eastAsia" w:ascii="黑体" w:hAnsi="黑体" w:eastAsia="黑体"/>
          <w:b w:val="0"/>
          <w:color w:val="000000"/>
        </w:rPr>
      </w:pPr>
    </w:p>
    <w:p>
      <w:pPr>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default" w:ascii="黑体" w:hAnsi="黑体" w:eastAsia="黑体"/>
          <w:b w:val="0"/>
          <w:color w:val="000000"/>
          <w:lang w:val="en-US" w:eastAsia="zh-CN"/>
        </w:rPr>
      </w:pPr>
    </w:p>
    <w:p>
      <w:pPr>
        <w:pStyle w:val="3"/>
        <w:pageBreakBefore w:val="0"/>
        <w:widowControl w:val="0"/>
        <w:kinsoku/>
        <w:wordWrap/>
        <w:overflowPunct/>
        <w:topLinePunct w:val="0"/>
        <w:autoSpaceDE/>
        <w:autoSpaceDN/>
        <w:bidi w:val="0"/>
        <w:adjustRightInd/>
        <w:snapToGrid/>
        <w:spacing w:before="0" w:after="0" w:line="560" w:lineRule="exact"/>
        <w:ind w:right="0"/>
        <w:jc w:val="right"/>
        <w:textAlignment w:val="auto"/>
        <w:rPr>
          <w:rStyle w:val="27"/>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w:t>
      </w:r>
      <w:r>
        <w:rPr>
          <w:rStyle w:val="27"/>
          <w:rFonts w:hint="eastAsia" w:ascii="黑体" w:hAnsi="黑体" w:eastAsia="黑体"/>
          <w:b w:val="0"/>
          <w:bCs w:val="0"/>
        </w:rPr>
        <w:t>1年度部门决算情况说明</w:t>
      </w:r>
      <w:bookmarkEnd w:id="32"/>
      <w:bookmarkEnd w:id="33"/>
      <w:bookmarkEnd w:id="34"/>
      <w:bookmarkEnd w:id="35"/>
    </w:p>
    <w:p>
      <w:pPr>
        <w:pageBreakBefore w:val="0"/>
        <w:widowControl w:val="0"/>
        <w:kinsoku/>
        <w:wordWrap/>
        <w:overflowPunct/>
        <w:topLinePunct w:val="0"/>
        <w:autoSpaceDE/>
        <w:autoSpaceDN/>
        <w:bidi w:val="0"/>
        <w:adjustRightInd/>
        <w:snapToGrid/>
        <w:spacing w:line="560" w:lineRule="exact"/>
        <w:ind w:right="0"/>
        <w:textAlignment w:val="auto"/>
      </w:pPr>
    </w:p>
    <w:p>
      <w:pPr>
        <w:pStyle w:val="38"/>
        <w:numPr>
          <w:ilvl w:val="0"/>
          <w:numId w:val="1"/>
        </w:numPr>
        <w:spacing w:line="600" w:lineRule="exact"/>
        <w:ind w:firstLineChars="0"/>
        <w:outlineLvl w:val="1"/>
        <w:rPr>
          <w:rStyle w:val="28"/>
          <w:rFonts w:ascii="黑体" w:hAnsi="黑体" w:eastAsia="黑体"/>
          <w:b w:val="0"/>
        </w:rPr>
      </w:pPr>
      <w:bookmarkStart w:id="36" w:name="_Toc15377205"/>
      <w:bookmarkStart w:id="37" w:name="_Toc79163610"/>
      <w:bookmarkStart w:id="38" w:name="_Toc15396603"/>
      <w:bookmarkStart w:id="39" w:name="_Toc79163860"/>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总计671.99万元。与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620.67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48.01</w:t>
      </w:r>
      <w:r>
        <w:rPr>
          <w:rFonts w:ascii="仿宋" w:hAnsi="仿宋" w:eastAsia="仿宋"/>
          <w:color w:val="000000"/>
          <w:sz w:val="32"/>
          <w:szCs w:val="32"/>
        </w:rPr>
        <w:t>%</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2020当年专项资金可以结转至下一年度，2021年当年政策变化，专项资金不再结转，因而收入减少，支出减少。</w:t>
      </w:r>
    </w:p>
    <w:p>
      <w:pPr>
        <w:pStyle w:val="26"/>
        <w:rPr>
          <w:rFonts w:hint="eastAsia"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anchor distT="0" distB="0" distL="114300" distR="114300" simplePos="0" relativeHeight="251659264" behindDoc="0" locked="0" layoutInCell="1" allowOverlap="1">
            <wp:simplePos x="0" y="0"/>
            <wp:positionH relativeFrom="column">
              <wp:posOffset>944880</wp:posOffset>
            </wp:positionH>
            <wp:positionV relativeFrom="paragraph">
              <wp:posOffset>384810</wp:posOffset>
            </wp:positionV>
            <wp:extent cx="3335655" cy="2277745"/>
            <wp:effectExtent l="4445" t="4445" r="12700" b="1905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6"/>
        <w:rPr>
          <w:rFonts w:hint="eastAsia" w:ascii="仿宋" w:hAnsi="仿宋" w:eastAsia="仿宋"/>
          <w:color w:val="000000"/>
          <w:sz w:val="32"/>
          <w:szCs w:val="32"/>
          <w:lang w:val="en-US" w:eastAsia="zh-CN"/>
        </w:rPr>
      </w:pPr>
    </w:p>
    <w:p>
      <w:pPr>
        <w:pStyle w:val="26"/>
        <w:rPr>
          <w:rFonts w:hint="eastAsia" w:ascii="仿宋" w:hAnsi="仿宋" w:eastAsia="仿宋"/>
          <w:color w:val="000000"/>
          <w:sz w:val="32"/>
          <w:szCs w:val="32"/>
          <w:lang w:val="en-US" w:eastAsia="zh-CN"/>
        </w:rPr>
      </w:pPr>
    </w:p>
    <w:p>
      <w:pPr>
        <w:pStyle w:val="26"/>
        <w:ind w:left="0" w:leftChars="0" w:firstLine="0" w:firstLineChars="0"/>
        <w:rPr>
          <w:rFonts w:hint="default" w:ascii="仿宋" w:hAnsi="仿宋" w:eastAsia="仿宋"/>
          <w:color w:val="000000"/>
          <w:sz w:val="32"/>
          <w:szCs w:val="32"/>
          <w:lang w:val="en-US" w:eastAsia="zh-CN"/>
        </w:rPr>
      </w:pPr>
    </w:p>
    <w:p>
      <w:pPr>
        <w:pStyle w:val="26"/>
        <w:ind w:left="0" w:leftChars="0" w:firstLine="0" w:firstLineChars="0"/>
        <w:rPr>
          <w:rFonts w:hint="default" w:ascii="仿宋" w:hAnsi="仿宋" w:eastAsia="仿宋"/>
          <w:color w:val="000000"/>
          <w:sz w:val="32"/>
          <w:szCs w:val="32"/>
          <w:lang w:val="en-US" w:eastAsia="zh-CN"/>
        </w:rPr>
      </w:pPr>
    </w:p>
    <w:p>
      <w:pPr>
        <w:pStyle w:val="26"/>
        <w:ind w:left="0" w:leftChars="0" w:firstLine="0" w:firstLineChars="0"/>
        <w:rPr>
          <w:rFonts w:hint="default" w:ascii="仿宋" w:hAnsi="仿宋" w:eastAsia="仿宋"/>
          <w:color w:val="000000"/>
          <w:sz w:val="32"/>
          <w:szCs w:val="32"/>
          <w:lang w:val="en-US" w:eastAsia="zh-CN"/>
        </w:rPr>
      </w:pPr>
    </w:p>
    <w:p>
      <w:pPr>
        <w:pStyle w:val="26"/>
        <w:ind w:left="0" w:leftChars="0" w:firstLine="0" w:firstLineChars="0"/>
        <w:rPr>
          <w:rFonts w:hint="default" w:ascii="仿宋" w:hAnsi="仿宋" w:eastAsia="仿宋"/>
          <w:color w:val="000000"/>
          <w:sz w:val="32"/>
          <w:szCs w:val="32"/>
          <w:lang w:val="en-US" w:eastAsia="zh-CN"/>
        </w:rPr>
      </w:pPr>
    </w:p>
    <w:p>
      <w:pPr>
        <w:pStyle w:val="26"/>
        <w:ind w:left="0" w:leftChars="0" w:firstLine="0" w:firstLineChars="0"/>
        <w:rPr>
          <w:rFonts w:hint="default" w:ascii="仿宋" w:hAnsi="仿宋" w:eastAsia="仿宋"/>
          <w:color w:val="000000"/>
          <w:sz w:val="32"/>
          <w:szCs w:val="32"/>
          <w:lang w:val="en-US" w:eastAsia="zh-CN"/>
        </w:rPr>
      </w:pPr>
    </w:p>
    <w:p>
      <w:pPr>
        <w:spacing w:line="600" w:lineRule="exact"/>
        <w:ind w:firstLine="320" w:firstLineChars="100"/>
        <w:rPr>
          <w:rFonts w:hint="eastAsia" w:ascii="仿宋" w:hAnsi="仿宋" w:eastAsia="仿宋"/>
          <w:color w:val="000000"/>
          <w:sz w:val="32"/>
          <w:szCs w:val="32"/>
        </w:rPr>
      </w:pP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spacing w:line="600" w:lineRule="exact"/>
        <w:ind w:firstLine="640" w:firstLineChars="200"/>
        <w:jc w:val="left"/>
        <w:rPr>
          <w:rFonts w:ascii="仿宋_GB2312" w:eastAsia="仿宋_GB2312"/>
          <w:color w:val="000000"/>
          <w:sz w:val="32"/>
          <w:szCs w:val="32"/>
        </w:rPr>
      </w:pPr>
    </w:p>
    <w:p>
      <w:pPr>
        <w:pStyle w:val="38"/>
        <w:numPr>
          <w:ilvl w:val="0"/>
          <w:numId w:val="1"/>
        </w:numPr>
        <w:spacing w:line="600" w:lineRule="exact"/>
        <w:ind w:firstLineChars="0"/>
        <w:outlineLvl w:val="1"/>
        <w:rPr>
          <w:rStyle w:val="28"/>
          <w:rFonts w:ascii="黑体" w:hAnsi="黑体" w:eastAsia="黑体"/>
          <w:b w:val="0"/>
        </w:rPr>
      </w:pPr>
      <w:bookmarkStart w:id="40" w:name="_Toc79163861"/>
      <w:bookmarkStart w:id="41" w:name="_Toc15396604"/>
      <w:bookmarkStart w:id="42" w:name="_Toc79163611"/>
      <w:bookmarkStart w:id="43"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40"/>
      <w:bookmarkEnd w:id="41"/>
      <w:bookmarkEnd w:id="42"/>
      <w:bookmarkEnd w:id="43"/>
    </w:p>
    <w:p>
      <w:pPr>
        <w:spacing w:line="600" w:lineRule="exact"/>
        <w:ind w:firstLine="640" w:firstLineChars="200"/>
      </w:pPr>
      <w:r>
        <w:rPr>
          <w:rFonts w:ascii="仿宋" w:hAnsi="仿宋" w:eastAsia="仿宋"/>
          <w:color w:val="000000"/>
          <w:sz w:val="32"/>
          <w:szCs w:val="32"/>
        </w:rPr>
        <w:t>202</w:t>
      </w:r>
      <w:r>
        <w:rPr>
          <w:rFonts w:hint="eastAsia" w:ascii="仿宋" w:hAnsi="仿宋" w:eastAsia="仿宋"/>
          <w:color w:val="000000"/>
          <w:sz w:val="32"/>
          <w:szCs w:val="32"/>
        </w:rPr>
        <w:t>1年本年收入合计325.08万元，其中：一般公共预算财政拨款收入325.08万元，占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pPr>
        <w:pStyle w:val="26"/>
      </w:pPr>
    </w:p>
    <w:p>
      <w:pPr>
        <w:pStyle w:val="26"/>
        <w:rPr>
          <w:rFonts w:hint="eastAsia" w:eastAsia="宋体"/>
          <w:lang w:eastAsia="zh-CN"/>
        </w:rPr>
      </w:pPr>
      <w:r>
        <w:rPr>
          <w:rFonts w:hint="eastAsia" w:eastAsia="宋体"/>
          <w:lang w:eastAsia="zh-CN"/>
        </w:rPr>
        <w:drawing>
          <wp:inline distT="0" distB="0" distL="114300" distR="114300">
            <wp:extent cx="4477385" cy="2493010"/>
            <wp:effectExtent l="4445" t="4445" r="1397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2560" w:firstLineChars="8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8"/>
        <w:numPr>
          <w:ilvl w:val="0"/>
          <w:numId w:val="0"/>
        </w:numPr>
        <w:spacing w:line="600" w:lineRule="exact"/>
        <w:outlineLvl w:val="1"/>
        <w:rPr>
          <w:rFonts w:hint="eastAsia" w:ascii="黑体" w:hAnsi="黑体" w:eastAsia="黑体"/>
          <w:color w:val="000000"/>
          <w:sz w:val="32"/>
          <w:szCs w:val="32"/>
        </w:rPr>
      </w:pPr>
      <w:bookmarkStart w:id="44" w:name="_Toc79163612"/>
      <w:bookmarkStart w:id="45" w:name="_Toc79163862"/>
      <w:bookmarkStart w:id="46" w:name="_Toc15377207"/>
      <w:bookmarkStart w:id="47" w:name="_Toc15396605"/>
    </w:p>
    <w:p>
      <w:pPr>
        <w:pStyle w:val="38"/>
        <w:numPr>
          <w:ilvl w:val="0"/>
          <w:numId w:val="0"/>
        </w:num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lang w:val="en-US" w:eastAsia="zh-CN"/>
        </w:rPr>
        <w:t>三、</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1年本年支出合计671.99万元，其中：基本支出295.18万元，占</w:t>
      </w:r>
      <w:r>
        <w:rPr>
          <w:rFonts w:hint="eastAsia" w:ascii="仿宋_GB2312" w:eastAsia="仿宋_GB2312"/>
          <w:sz w:val="32"/>
          <w:szCs w:val="32"/>
          <w:lang w:val="en-US" w:eastAsia="zh-CN"/>
        </w:rPr>
        <w:t>43.93</w:t>
      </w:r>
      <w:r>
        <w:rPr>
          <w:rFonts w:ascii="仿宋_GB2312" w:eastAsia="仿宋_GB2312"/>
          <w:sz w:val="32"/>
          <w:szCs w:val="32"/>
        </w:rPr>
        <w:t>%</w:t>
      </w:r>
      <w:r>
        <w:rPr>
          <w:rFonts w:hint="eastAsia" w:ascii="仿宋_GB2312" w:eastAsia="仿宋_GB2312"/>
          <w:sz w:val="32"/>
          <w:szCs w:val="32"/>
        </w:rPr>
        <w:t>；项目支出376.81万元，占</w:t>
      </w:r>
      <w:r>
        <w:rPr>
          <w:rFonts w:hint="eastAsia" w:ascii="仿宋_GB2312" w:eastAsia="仿宋_GB2312"/>
          <w:sz w:val="32"/>
          <w:szCs w:val="32"/>
          <w:lang w:val="en-US" w:eastAsia="zh-CN"/>
        </w:rPr>
        <w:t>56.07</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hint="eastAsia" w:ascii="仿宋" w:hAnsi="仿宋" w:eastAsia="仿宋"/>
          <w:color w:val="000000"/>
          <w:sz w:val="32"/>
          <w:szCs w:val="32"/>
          <w:shd w:val="pct10" w:color="auto" w:fill="FFFFFF"/>
          <w:lang w:eastAsia="zh-CN"/>
        </w:rPr>
      </w:pPr>
      <w:r>
        <w:rPr>
          <w:rFonts w:hint="eastAsia" w:ascii="仿宋" w:hAnsi="仿宋" w:eastAsia="仿宋"/>
          <w:color w:val="000000"/>
          <w:sz w:val="32"/>
          <w:szCs w:val="32"/>
          <w:shd w:val="pct10" w:color="auto" w:fill="FFFFFF"/>
          <w:lang w:eastAsia="zh-CN"/>
        </w:rPr>
        <w:drawing>
          <wp:anchor distT="0" distB="0" distL="114300" distR="114300" simplePos="0" relativeHeight="251660288" behindDoc="0" locked="0" layoutInCell="1" allowOverlap="1">
            <wp:simplePos x="0" y="0"/>
            <wp:positionH relativeFrom="column">
              <wp:posOffset>861060</wp:posOffset>
            </wp:positionH>
            <wp:positionV relativeFrom="paragraph">
              <wp:posOffset>160655</wp:posOffset>
            </wp:positionV>
            <wp:extent cx="3161665" cy="2455545"/>
            <wp:effectExtent l="4445" t="4445" r="19050" b="889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hint="eastAsia" w:ascii="仿宋" w:hAnsi="仿宋" w:eastAsia="仿宋"/>
          <w:color w:val="000000"/>
          <w:sz w:val="32"/>
          <w:szCs w:val="32"/>
          <w:shd w:val="pct10" w:color="auto" w:fill="FFFFFF"/>
          <w:lang w:eastAsia="zh-CN"/>
        </w:rPr>
      </w:pPr>
    </w:p>
    <w:p>
      <w:pPr>
        <w:spacing w:line="600" w:lineRule="exact"/>
        <w:rPr>
          <w:rFonts w:hint="eastAsia" w:ascii="仿宋" w:hAnsi="仿宋" w:eastAsia="仿宋"/>
          <w:color w:val="000000"/>
          <w:sz w:val="32"/>
          <w:szCs w:val="32"/>
          <w:shd w:val="pct10" w:color="auto" w:fill="FFFFFF"/>
          <w:lang w:eastAsia="zh-CN"/>
        </w:rPr>
      </w:pPr>
    </w:p>
    <w:p>
      <w:pPr>
        <w:spacing w:line="600" w:lineRule="exact"/>
        <w:ind w:firstLine="640"/>
        <w:rPr>
          <w:rFonts w:hint="eastAsia" w:ascii="仿宋" w:hAnsi="仿宋" w:eastAsia="仿宋"/>
          <w:color w:val="000000"/>
          <w:sz w:val="32"/>
          <w:szCs w:val="32"/>
          <w:shd w:val="pct10" w:color="auto" w:fill="FFFFFF"/>
          <w:lang w:eastAsia="zh-CN"/>
        </w:rPr>
      </w:pPr>
    </w:p>
    <w:p>
      <w:pPr>
        <w:spacing w:line="600" w:lineRule="exact"/>
        <w:ind w:firstLine="640"/>
        <w:rPr>
          <w:rFonts w:hint="eastAsia" w:ascii="仿宋" w:hAnsi="仿宋" w:eastAsia="仿宋"/>
          <w:color w:val="000000"/>
          <w:sz w:val="32"/>
          <w:szCs w:val="32"/>
          <w:shd w:val="pct10" w:color="auto" w:fill="FFFFFF"/>
          <w:lang w:eastAsia="zh-CN"/>
        </w:rPr>
      </w:pPr>
    </w:p>
    <w:p>
      <w:pPr>
        <w:spacing w:line="600" w:lineRule="exact"/>
        <w:ind w:firstLine="640"/>
        <w:rPr>
          <w:rFonts w:hint="eastAsia" w:ascii="仿宋" w:hAnsi="仿宋" w:eastAsia="仿宋"/>
          <w:color w:val="000000"/>
          <w:sz w:val="32"/>
          <w:szCs w:val="32"/>
          <w:shd w:val="pct10" w:color="auto" w:fill="FFFFFF"/>
          <w:lang w:eastAsia="zh-CN"/>
        </w:rPr>
      </w:pPr>
    </w:p>
    <w:p>
      <w:pPr>
        <w:pStyle w:val="26"/>
        <w:ind w:left="0" w:leftChars="0" w:firstLine="0" w:firstLineChars="0"/>
        <w:rPr>
          <w:rFonts w:ascii="仿宋" w:hAnsi="仿宋" w:eastAsia="仿宋"/>
          <w:color w:val="000000"/>
          <w:sz w:val="32"/>
          <w:szCs w:val="32"/>
          <w:shd w:val="pct10" w:color="auto" w:fill="FFFFFF"/>
        </w:rPr>
      </w:pP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8"/>
          <w:rFonts w:ascii="黑体" w:hAnsi="黑体" w:eastAsia="黑体"/>
          <w:b w:val="0"/>
        </w:rPr>
      </w:pPr>
      <w:bookmarkStart w:id="48" w:name="_Toc79163863"/>
      <w:bookmarkStart w:id="49" w:name="_Toc15396606"/>
      <w:bookmarkStart w:id="50" w:name="_Toc79163613"/>
      <w:bookmarkStart w:id="5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1年度收、支总计671.99万元。与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总计各减少</w:t>
      </w:r>
      <w:r>
        <w:rPr>
          <w:rFonts w:hint="eastAsia" w:ascii="仿宋" w:hAnsi="仿宋" w:eastAsia="仿宋"/>
          <w:color w:val="000000"/>
          <w:sz w:val="32"/>
          <w:szCs w:val="32"/>
          <w:lang w:val="en-US" w:eastAsia="zh-CN"/>
        </w:rPr>
        <w:t>620.67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48.01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2020当年专项资金可以结转至下一年度，2021年当年政策变化，专项资金不再结转，因而收入减少，支出减少。</w:t>
      </w:r>
    </w:p>
    <w:p>
      <w:pPr>
        <w:spacing w:line="600" w:lineRule="exact"/>
        <w:rPr>
          <w:rFonts w:ascii="仿宋" w:hAnsi="仿宋" w:eastAsia="仿宋"/>
          <w:color w:val="000000"/>
          <w:sz w:val="32"/>
          <w:szCs w:val="32"/>
        </w:rPr>
      </w:pPr>
      <w:r>
        <w:rPr>
          <w:rFonts w:hint="default" w:ascii="仿宋" w:hAnsi="仿宋" w:eastAsia="仿宋"/>
          <w:color w:val="000000"/>
          <w:sz w:val="32"/>
          <w:szCs w:val="32"/>
          <w:lang w:val="en-US" w:eastAsia="zh-CN"/>
        </w:rPr>
        <w:drawing>
          <wp:anchor distT="0" distB="0" distL="114300" distR="114300" simplePos="0" relativeHeight="251661312" behindDoc="0" locked="0" layoutInCell="1" allowOverlap="1">
            <wp:simplePos x="0" y="0"/>
            <wp:positionH relativeFrom="column">
              <wp:posOffset>762000</wp:posOffset>
            </wp:positionH>
            <wp:positionV relativeFrom="paragraph">
              <wp:posOffset>30480</wp:posOffset>
            </wp:positionV>
            <wp:extent cx="3335655" cy="1922145"/>
            <wp:effectExtent l="4445" t="4445" r="12700" b="1651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6"/>
      </w:pPr>
    </w:p>
    <w:p>
      <w:pPr>
        <w:pStyle w:val="26"/>
      </w:pPr>
    </w:p>
    <w:p>
      <w:pPr>
        <w:pStyle w:val="26"/>
      </w:pPr>
    </w:p>
    <w:p>
      <w:pPr>
        <w:pStyle w:val="26"/>
      </w:pPr>
    </w:p>
    <w:p>
      <w:pPr>
        <w:pStyle w:val="26"/>
      </w:pPr>
    </w:p>
    <w:p>
      <w:pPr>
        <w:pStyle w:val="26"/>
      </w:pPr>
    </w:p>
    <w:p>
      <w:pPr>
        <w:pStyle w:val="26"/>
      </w:pPr>
    </w:p>
    <w:p>
      <w:pPr>
        <w:pStyle w:val="26"/>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52" w:name="_Toc79163614"/>
      <w:bookmarkStart w:id="53" w:name="_Toc15396607"/>
      <w:bookmarkStart w:id="54" w:name="_Toc79163864"/>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hint="eastAsia" w:ascii="楷体" w:hAnsi="楷体" w:eastAsia="楷体" w:cs="楷体"/>
          <w:b/>
          <w:color w:val="000000"/>
          <w:sz w:val="32"/>
          <w:szCs w:val="32"/>
        </w:rPr>
      </w:pPr>
      <w:bookmarkStart w:id="56" w:name="_Toc79163615"/>
      <w:bookmarkStart w:id="57" w:name="_Toc15377210"/>
      <w:bookmarkStart w:id="58" w:name="_Toc79163865"/>
      <w:r>
        <w:rPr>
          <w:rFonts w:hint="eastAsia" w:ascii="楷体" w:hAnsi="楷体" w:eastAsia="楷体" w:cs="楷体"/>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325.08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20年相比，一般公共预算财政拨款减少</w:t>
      </w:r>
      <w:r>
        <w:rPr>
          <w:rFonts w:hint="eastAsia" w:ascii="仿宋" w:hAnsi="仿宋" w:eastAsia="仿宋"/>
          <w:color w:val="000000"/>
          <w:sz w:val="32"/>
          <w:szCs w:val="32"/>
          <w:lang w:val="en-US" w:eastAsia="zh-CN"/>
        </w:rPr>
        <w:t>487.76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60.01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项目减少，收入减少。</w:t>
      </w:r>
    </w:p>
    <w:p>
      <w:pPr>
        <w:spacing w:line="600" w:lineRule="exact"/>
        <w:ind w:firstLine="640" w:firstLineChars="200"/>
        <w:rPr>
          <w:rFonts w:ascii="仿宋" w:hAnsi="仿宋" w:eastAsia="仿宋"/>
          <w:color w:val="000000" w:themeColor="text1"/>
          <w:sz w:val="32"/>
          <w:szCs w:val="32"/>
        </w:rPr>
      </w:pPr>
      <w:r>
        <w:rPr>
          <w:rFonts w:hint="default" w:ascii="仿宋" w:hAnsi="仿宋" w:eastAsia="仿宋"/>
          <w:color w:val="000000" w:themeColor="text1"/>
          <w:sz w:val="32"/>
          <w:szCs w:val="32"/>
          <w:lang w:val="en-US" w:eastAsia="zh-CN"/>
        </w:rPr>
        <w:drawing>
          <wp:anchor distT="0" distB="0" distL="114300" distR="114300" simplePos="0" relativeHeight="251662336" behindDoc="0" locked="0" layoutInCell="1" allowOverlap="1">
            <wp:simplePos x="0" y="0"/>
            <wp:positionH relativeFrom="column">
              <wp:posOffset>770255</wp:posOffset>
            </wp:positionH>
            <wp:positionV relativeFrom="paragraph">
              <wp:posOffset>101600</wp:posOffset>
            </wp:positionV>
            <wp:extent cx="3335655" cy="1922145"/>
            <wp:effectExtent l="4445" t="4445" r="12700" b="1651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6"/>
        <w:rPr>
          <w:rFonts w:ascii="仿宋" w:hAnsi="仿宋" w:eastAsia="仿宋"/>
          <w:color w:val="000000"/>
          <w:sz w:val="32"/>
          <w:szCs w:val="32"/>
        </w:rPr>
      </w:pPr>
    </w:p>
    <w:p>
      <w:pPr>
        <w:pStyle w:val="26"/>
        <w:rPr>
          <w:rFonts w:ascii="仿宋" w:hAnsi="仿宋" w:eastAsia="仿宋"/>
          <w:color w:val="000000"/>
          <w:sz w:val="32"/>
          <w:szCs w:val="32"/>
        </w:rPr>
      </w:pPr>
    </w:p>
    <w:p>
      <w:pPr>
        <w:pStyle w:val="26"/>
        <w:rPr>
          <w:rFonts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pStyle w:val="26"/>
      </w:pPr>
    </w:p>
    <w:p>
      <w:pPr>
        <w:spacing w:line="600" w:lineRule="exact"/>
        <w:ind w:firstLine="642" w:firstLineChars="200"/>
        <w:outlineLvl w:val="2"/>
        <w:rPr>
          <w:rFonts w:hint="eastAsia" w:ascii="楷体" w:hAnsi="楷体" w:eastAsia="楷体" w:cs="楷体"/>
          <w:b/>
          <w:color w:val="000000"/>
          <w:sz w:val="32"/>
          <w:szCs w:val="32"/>
        </w:rPr>
      </w:pPr>
      <w:bookmarkStart w:id="59" w:name="_Toc79163616"/>
      <w:bookmarkStart w:id="60" w:name="_Toc15377211"/>
      <w:bookmarkStart w:id="61" w:name="_Toc79163866"/>
      <w:r>
        <w:rPr>
          <w:rFonts w:hint="eastAsia" w:ascii="楷体" w:hAnsi="楷体" w:eastAsia="楷体" w:cs="楷体"/>
          <w:b/>
          <w:color w:val="000000"/>
          <w:sz w:val="32"/>
          <w:szCs w:val="32"/>
        </w:rPr>
        <w:t>（二）一般公共预算财政拨款支出决算结构情况</w:t>
      </w:r>
      <w:bookmarkEnd w:id="59"/>
      <w:bookmarkEnd w:id="60"/>
      <w:bookmarkEnd w:id="61"/>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1年一般公共预算财政拨款支出671.99万元，主要用于以下方面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支出31.6万元，占</w:t>
      </w:r>
      <w:r>
        <w:rPr>
          <w:rFonts w:hint="eastAsia" w:ascii="仿宋" w:hAnsi="仿宋" w:eastAsia="仿宋"/>
          <w:color w:val="000000"/>
          <w:sz w:val="32"/>
          <w:szCs w:val="32"/>
          <w:lang w:val="en-US" w:eastAsia="zh-CN"/>
        </w:rPr>
        <w:t>4.70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13.64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2.03</w:t>
      </w:r>
      <w:r>
        <w:rPr>
          <w:rFonts w:ascii="仿宋" w:hAnsi="仿宋" w:eastAsia="仿宋"/>
          <w:color w:val="000000"/>
          <w:sz w:val="32"/>
          <w:szCs w:val="32"/>
        </w:rPr>
        <w:t>%</w:t>
      </w:r>
      <w:r>
        <w:rPr>
          <w:rFonts w:hint="eastAsia" w:ascii="仿宋" w:hAnsi="仿宋" w:eastAsia="仿宋"/>
          <w:color w:val="000000"/>
          <w:sz w:val="32"/>
          <w:szCs w:val="32"/>
        </w:rPr>
        <w:t>；资源勘探工业信息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支出36.01</w:t>
      </w:r>
      <w:r>
        <w:rPr>
          <w:rFonts w:hint="eastAsia" w:ascii="仿宋" w:hAnsi="仿宋" w:eastAsia="仿宋"/>
          <w:color w:val="000000"/>
          <w:sz w:val="32"/>
          <w:szCs w:val="32"/>
          <w:lang w:val="en-US" w:eastAsia="zh-CN"/>
        </w:rPr>
        <w:t>万元，占5.36%；商业服务业（类）支出567.42万元，占84.44%；</w:t>
      </w:r>
      <w:r>
        <w:rPr>
          <w:rFonts w:hint="eastAsia" w:ascii="仿宋" w:hAnsi="仿宋" w:eastAsia="仿宋"/>
          <w:color w:val="000000"/>
          <w:sz w:val="32"/>
          <w:szCs w:val="32"/>
        </w:rPr>
        <w:t>住房保障支出22.33万元，占</w:t>
      </w:r>
      <w:r>
        <w:rPr>
          <w:rFonts w:hint="eastAsia" w:ascii="仿宋" w:hAnsi="仿宋" w:eastAsia="仿宋"/>
          <w:color w:val="000000"/>
          <w:sz w:val="32"/>
          <w:szCs w:val="32"/>
          <w:lang w:val="en-US" w:eastAsia="zh-CN"/>
        </w:rPr>
        <w:t>3.32</w:t>
      </w:r>
      <w:r>
        <w:rPr>
          <w:rFonts w:ascii="仿宋" w:hAnsi="仿宋" w:eastAsia="仿宋"/>
          <w:color w:val="000000"/>
          <w:sz w:val="32"/>
          <w:szCs w:val="32"/>
        </w:rPr>
        <w:t>%</w:t>
      </w:r>
      <w:r>
        <w:rPr>
          <w:rFonts w:hint="eastAsia" w:ascii="仿宋" w:hAnsi="仿宋" w:eastAsia="仿宋"/>
          <w:color w:val="000000"/>
          <w:sz w:val="32"/>
          <w:szCs w:val="32"/>
        </w:rPr>
        <w:t>；其他</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1万元，占0.15%</w:t>
      </w:r>
      <w:r>
        <w:rPr>
          <w:rFonts w:hint="eastAsia" w:ascii="仿宋" w:hAnsi="仿宋" w:eastAsia="仿宋"/>
          <w:color w:val="000000"/>
          <w:sz w:val="32"/>
          <w:szCs w:val="32"/>
        </w:rPr>
        <w:t>。</w:t>
      </w:r>
    </w:p>
    <w:p>
      <w:pPr>
        <w:pStyle w:val="26"/>
        <w:ind w:left="0" w:leftChars="0" w:firstLine="0" w:firstLineChars="0"/>
        <w:rPr>
          <w:rFonts w:hint="eastAsia" w:eastAsia="仿宋"/>
          <w:lang w:eastAsia="zh-CN"/>
        </w:rPr>
      </w:pPr>
      <w:r>
        <w:rPr>
          <w:rFonts w:hint="eastAsia" w:eastAsia="仿宋"/>
          <w:lang w:val="en-US" w:eastAsia="zh-CN"/>
        </w:rPr>
        <w:t xml:space="preserve">       </w:t>
      </w:r>
      <w:r>
        <w:rPr>
          <w:rFonts w:hint="eastAsia" w:eastAsia="仿宋"/>
          <w:lang w:eastAsia="zh-CN"/>
        </w:rPr>
        <w:drawing>
          <wp:inline distT="0" distB="0" distL="114300" distR="114300">
            <wp:extent cx="3992880" cy="2420620"/>
            <wp:effectExtent l="4445" t="4445" r="22225" b="1333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0" w:firstLineChars="100"/>
        <w:outlineLvl w:val="2"/>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bookmarkStart w:id="62" w:name="_Toc15377212"/>
      <w:bookmarkStart w:id="63" w:name="_Toc79163867"/>
      <w:bookmarkStart w:id="64" w:name="_Toc79163617"/>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w:t>
      </w:r>
      <w:r>
        <w:rPr>
          <w:rFonts w:hint="eastAsia" w:ascii="仿宋_GB2312" w:eastAsia="仿宋_GB2312"/>
          <w:b/>
          <w:bCs/>
          <w:sz w:val="32"/>
          <w:szCs w:val="32"/>
        </w:rPr>
        <w:t>1年一般公共预算支出决算数为671.99，完成预算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社会保障和就业支出（类）行政事业单位养老支出（款）机关事业单位基本养老保险缴费支出（项）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支出决算为20.93万元，完成预算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社会保障和就业支出（类）行政事业单位养老支出（款）机关事业单位职业年金缴费支出（项）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支出决算为10.67万元，完成预算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3.</w:t>
      </w:r>
      <w:r>
        <w:rPr>
          <w:rStyle w:val="23"/>
          <w:rFonts w:hint="eastAsia" w:ascii="仿宋" w:hAnsi="仿宋" w:eastAsia="仿宋"/>
          <w:bCs/>
          <w:color w:val="000000"/>
          <w:sz w:val="32"/>
          <w:szCs w:val="32"/>
        </w:rPr>
        <w:t>卫生健康支出（类）行政事业单位医疗（款）行政单位医疗（项）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支出决算为10.74万元，完成预算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4</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卫生健康支出（类）行政事业单位医疗（款）公务员医疗补助（项）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支出决算为2.9万元，完成预算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资源勘探工业信息等支出（类）制造业（款）其他制造业支出（项）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支出决算为10.85万元，完成预算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资源勘探工业信息等支出（类）工业和信息产业监管（款）</w:t>
      </w:r>
      <w:r>
        <w:rPr>
          <w:rStyle w:val="23"/>
          <w:rFonts w:hint="eastAsia" w:ascii="仿宋" w:hAnsi="仿宋" w:eastAsia="仿宋"/>
          <w:bCs/>
          <w:color w:val="000000"/>
          <w:sz w:val="32"/>
          <w:szCs w:val="32"/>
          <w:lang w:val="en-US" w:eastAsia="zh-CN"/>
        </w:rPr>
        <w:t>一</w:t>
      </w:r>
      <w:r>
        <w:rPr>
          <w:rStyle w:val="23"/>
          <w:rFonts w:hint="eastAsia" w:ascii="仿宋" w:hAnsi="仿宋" w:eastAsia="仿宋"/>
          <w:bCs/>
          <w:color w:val="000000"/>
          <w:sz w:val="32"/>
          <w:szCs w:val="32"/>
        </w:rPr>
        <w:t>般行政管理事务（项）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支出决算为10.09万元，完成预算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资源勘探工业信息等支出（类）其他资源勘探工业信息等支出（款）其他资源勘探工业信息等支出（项）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支出决算为10.09万元，完成预算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商业服务业等支出（类）商业流通事务（款）行政运行（项）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支出决算为227.62万元，完成预算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9</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商业服务业等支出（类）商业流通事务（款） 民贸企业补贴（项）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支出决算为1.3万元，完成预算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10</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商业服务业等支出（类）商业流通事务（款）其他商业流通事务支出（项）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支出决算338.5万元，完成预算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11</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住房保障支出（类）住房改革支出（款）住房公积金（项）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lang w:val="en-US" w:eastAsia="zh-CN"/>
        </w:rPr>
        <w:t>支出决算</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21.08万元，完成预算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11</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住房保障支出（类）住房改革支出（款） 购房补贴（项）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lang w:val="en-US" w:eastAsia="zh-CN"/>
        </w:rPr>
        <w:t>支出决算</w:t>
      </w:r>
      <w:r>
        <w:rPr>
          <w:rStyle w:val="23"/>
          <w:rFonts w:hint="eastAsia" w:ascii="仿宋" w:hAnsi="仿宋" w:eastAsia="仿宋"/>
          <w:b w:val="0"/>
          <w:bCs/>
          <w:color w:val="000000"/>
          <w:sz w:val="32"/>
          <w:szCs w:val="32"/>
        </w:rPr>
        <w:t>1.24万元，完成预算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其他支出（类）其他支出（款） 其他支出（项）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lang w:val="en-US" w:eastAsia="zh-CN"/>
        </w:rPr>
        <w:t>支出决算</w:t>
      </w:r>
      <w:r>
        <w:rPr>
          <w:rStyle w:val="23"/>
          <w:rFonts w:hint="eastAsia" w:ascii="仿宋" w:hAnsi="仿宋" w:eastAsia="仿宋"/>
          <w:b w:val="0"/>
          <w:bCs/>
          <w:color w:val="000000"/>
          <w:sz w:val="32"/>
          <w:szCs w:val="32"/>
        </w:rPr>
        <w:t>1万元，完成预算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8"/>
        </w:rPr>
      </w:pPr>
      <w:bookmarkStart w:id="68" w:name="_Toc79163618"/>
      <w:bookmarkStart w:id="69" w:name="_Toc7916386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8"/>
      <w:bookmarkEnd w:id="69"/>
      <w:bookmarkEnd w:id="70"/>
      <w:bookmarkEnd w:id="7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1年一般公共预算财政拨款基本支出295.18万元，其中：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267.26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27.92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rPr>
          <w:rFonts w:ascii="仿宋" w:hAnsi="仿宋" w:eastAsia="仿宋"/>
          <w:b/>
          <w:color w:val="auto"/>
          <w:sz w:val="32"/>
          <w:szCs w:val="32"/>
        </w:rPr>
      </w:pPr>
      <w:r>
        <w:rPr>
          <w:rFonts w:hint="eastAsia" w:ascii="仿宋" w:hAnsi="仿宋" w:eastAsia="仿宋"/>
          <w:b/>
          <w:color w:val="auto"/>
          <w:sz w:val="32"/>
          <w:szCs w:val="32"/>
        </w:rPr>
        <w:t>（注：数据来源于财决</w:t>
      </w:r>
      <w:r>
        <w:rPr>
          <w:rFonts w:ascii="仿宋" w:hAnsi="仿宋" w:eastAsia="仿宋"/>
          <w:b/>
          <w:color w:val="auto"/>
          <w:sz w:val="32"/>
          <w:szCs w:val="32"/>
        </w:rPr>
        <w:t>07</w:t>
      </w:r>
      <w:r>
        <w:rPr>
          <w:rFonts w:hint="eastAsia" w:ascii="仿宋" w:hAnsi="仿宋" w:eastAsia="仿宋"/>
          <w:b/>
          <w:color w:val="auto"/>
          <w:sz w:val="32"/>
          <w:szCs w:val="32"/>
        </w:rPr>
        <w:t>表，根据本部门实际支出情况罗列全部经济分类科目。）</w:t>
      </w:r>
    </w:p>
    <w:p>
      <w:pPr>
        <w:spacing w:line="600" w:lineRule="exact"/>
        <w:ind w:firstLine="640"/>
        <w:outlineLvl w:val="1"/>
        <w:rPr>
          <w:rStyle w:val="28"/>
          <w:rFonts w:ascii="黑体" w:hAnsi="黑体" w:eastAsia="黑体"/>
          <w:b w:val="0"/>
        </w:rPr>
      </w:pPr>
      <w:bookmarkStart w:id="72" w:name="_Toc79163869"/>
      <w:bookmarkStart w:id="73" w:name="_Toc15396609"/>
      <w:bookmarkStart w:id="74" w:name="_Toc15377215"/>
      <w:bookmarkStart w:id="75" w:name="_Toc7916361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2"/>
      <w:bookmarkEnd w:id="73"/>
      <w:bookmarkEnd w:id="74"/>
      <w:bookmarkEnd w:id="75"/>
    </w:p>
    <w:p>
      <w:pPr>
        <w:spacing w:line="600" w:lineRule="exact"/>
        <w:ind w:firstLine="642" w:firstLineChars="200"/>
        <w:outlineLvl w:val="2"/>
        <w:rPr>
          <w:rFonts w:hint="eastAsia" w:ascii="楷体" w:hAnsi="楷体" w:eastAsia="楷体" w:cs="楷体"/>
          <w:b/>
          <w:color w:val="000000"/>
          <w:sz w:val="32"/>
          <w:szCs w:val="32"/>
        </w:rPr>
      </w:pPr>
      <w:bookmarkStart w:id="76" w:name="_Toc79163620"/>
      <w:bookmarkStart w:id="77" w:name="_Toc79163870"/>
      <w:bookmarkStart w:id="78" w:name="_Toc15377216"/>
      <w:r>
        <w:rPr>
          <w:rFonts w:hint="eastAsia" w:ascii="楷体" w:hAnsi="楷体" w:eastAsia="楷体" w:cs="楷体"/>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1年“三公”经费财政拨款支出决算为4万元，完成预算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rPr>
          <w:rFonts w:hint="eastAsia" w:ascii="仿宋" w:hAnsi="仿宋" w:eastAsia="仿宋"/>
          <w:b/>
          <w:color w:val="auto"/>
          <w:sz w:val="32"/>
          <w:szCs w:val="32"/>
        </w:rPr>
      </w:pPr>
      <w:r>
        <w:rPr>
          <w:rFonts w:hint="eastAsia" w:ascii="仿宋" w:hAnsi="仿宋" w:eastAsia="仿宋"/>
          <w:b/>
          <w:color w:val="auto"/>
          <w:sz w:val="32"/>
          <w:szCs w:val="32"/>
        </w:rPr>
        <w:t>（注：上述“预算”口径为调整预算数，包括政府性基金支出决算情况。）</w:t>
      </w:r>
    </w:p>
    <w:p>
      <w:pPr>
        <w:spacing w:line="600" w:lineRule="exact"/>
        <w:ind w:firstLine="642" w:firstLineChars="200"/>
        <w:outlineLvl w:val="2"/>
        <w:rPr>
          <w:rFonts w:hint="eastAsia" w:ascii="楷体" w:hAnsi="楷体" w:eastAsia="楷体" w:cs="楷体"/>
          <w:b/>
          <w:color w:val="000000"/>
          <w:sz w:val="32"/>
          <w:szCs w:val="32"/>
        </w:rPr>
      </w:pPr>
      <w:bookmarkStart w:id="79" w:name="_Toc79163621"/>
      <w:bookmarkStart w:id="80" w:name="_Toc79163871"/>
      <w:bookmarkStart w:id="81" w:name="_Toc15377217"/>
      <w:r>
        <w:rPr>
          <w:rFonts w:hint="eastAsia" w:ascii="楷体" w:hAnsi="楷体" w:eastAsia="楷体" w:cs="楷体"/>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pStyle w:val="26"/>
        <w:rPr>
          <w:rFonts w:hint="eastAsia" w:ascii="仿宋" w:hAnsi="仿宋" w:eastAsia="仿宋"/>
          <w:color w:val="000000"/>
          <w:sz w:val="32"/>
          <w:szCs w:val="32"/>
        </w:rPr>
      </w:pPr>
    </w:p>
    <w:p>
      <w:pPr>
        <w:pStyle w:val="26"/>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32630" cy="2817495"/>
            <wp:effectExtent l="4445" t="4445" r="15875" b="1651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2" w:firstLineChars="200"/>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0.07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1.78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单位公务用车使用量增加</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日常下乡出差</w:t>
      </w:r>
      <w:r>
        <w:rPr>
          <w:rFonts w:hint="eastAsia" w:ascii="仿宋_GB2312" w:eastAsia="仿宋_GB2312"/>
          <w:color w:val="000000"/>
          <w:sz w:val="32"/>
          <w:szCs w:val="32"/>
        </w:rPr>
        <w:t>等所需的公务用车燃料费、维修费、过路过桥费、保险费等支出。</w:t>
      </w:r>
    </w:p>
    <w:p>
      <w:pPr>
        <w:spacing w:line="600" w:lineRule="exact"/>
        <w:ind w:firstLine="640"/>
        <w:outlineLvl w:val="1"/>
        <w:rPr>
          <w:rStyle w:val="23"/>
          <w:rFonts w:hint="eastAsia" w:ascii="仿宋" w:hAnsi="仿宋" w:eastAsia="仿宋"/>
          <w:b w:val="0"/>
          <w:bCs/>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bookmarkStart w:id="82" w:name="_Toc79163872"/>
      <w:bookmarkStart w:id="83" w:name="_Toc15396610"/>
      <w:bookmarkStart w:id="84" w:name="_Toc79163622"/>
      <w:bookmarkStart w:id="85" w:name="_Toc15377218"/>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8"/>
          <w:rFonts w:ascii="黑体" w:hAnsi="黑体" w:eastAsia="黑体"/>
          <w:b w:val="0"/>
        </w:rPr>
      </w:pPr>
      <w:bookmarkStart w:id="86" w:name="_Toc79163623"/>
      <w:bookmarkStart w:id="87" w:name="_Toc15377219"/>
      <w:bookmarkStart w:id="88" w:name="_Toc15396611"/>
      <w:bookmarkStart w:id="89" w:name="_Toc79163873"/>
      <w:r>
        <w:rPr>
          <w:rStyle w:val="28"/>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8"/>
          <w:rFonts w:ascii="黑体" w:hAnsi="黑体" w:eastAsia="黑体"/>
        </w:rPr>
      </w:pPr>
      <w:bookmarkStart w:id="90" w:name="_Toc15396612"/>
      <w:bookmarkStart w:id="91" w:name="_Toc79163874"/>
      <w:bookmarkStart w:id="92" w:name="_Toc15377221"/>
      <w:bookmarkStart w:id="93" w:name="_Toc79163624"/>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hint="eastAsia" w:ascii="楷体" w:hAnsi="楷体" w:eastAsia="楷体" w:cs="楷体"/>
          <w:b/>
          <w:color w:val="000000"/>
          <w:sz w:val="32"/>
          <w:szCs w:val="32"/>
        </w:rPr>
      </w:pPr>
      <w:bookmarkStart w:id="94" w:name="_Toc15377222"/>
      <w:bookmarkStart w:id="95" w:name="_Toc79163875"/>
      <w:bookmarkStart w:id="96" w:name="_Toc79163625"/>
      <w:r>
        <w:rPr>
          <w:rFonts w:hint="eastAsia" w:ascii="楷体" w:hAnsi="楷体" w:eastAsia="楷体" w:cs="楷体"/>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themeColor="text1"/>
          <w:sz w:val="32"/>
          <w:szCs w:val="32"/>
          <w:highlight w:val="none"/>
          <w:lang w:val="en-US" w:eastAsia="zh-CN"/>
        </w:rPr>
      </w:pPr>
      <w:bookmarkStart w:id="97" w:name="_Toc79163876"/>
      <w:bookmarkStart w:id="98" w:name="_Toc15377223"/>
      <w:bookmarkStart w:id="99" w:name="_Toc79163626"/>
      <w:r>
        <w:rPr>
          <w:rFonts w:ascii="仿宋_GB2312" w:eastAsia="仿宋_GB2312"/>
          <w:color w:val="000000" w:themeColor="text1"/>
          <w:sz w:val="32"/>
          <w:szCs w:val="32"/>
          <w:highlight w:val="none"/>
        </w:rPr>
        <w:t>202</w:t>
      </w:r>
      <w:r>
        <w:rPr>
          <w:rFonts w:hint="eastAsia" w:ascii="仿宋_GB2312" w:eastAsia="仿宋_GB2312"/>
          <w:color w:val="000000" w:themeColor="text1"/>
          <w:sz w:val="32"/>
          <w:szCs w:val="32"/>
          <w:highlight w:val="none"/>
        </w:rPr>
        <w:t>1年，</w:t>
      </w:r>
      <w:r>
        <w:rPr>
          <w:rFonts w:hint="eastAsia" w:ascii="仿宋_GB2312" w:eastAsia="仿宋_GB2312"/>
          <w:color w:val="000000" w:themeColor="text1"/>
          <w:sz w:val="32"/>
          <w:szCs w:val="32"/>
          <w:highlight w:val="none"/>
          <w:lang w:val="en-US" w:eastAsia="zh-CN"/>
        </w:rPr>
        <w:t>壤塘县经济商务和信息化局</w:t>
      </w:r>
      <w:r>
        <w:rPr>
          <w:rFonts w:hint="eastAsia" w:ascii="仿宋_GB2312" w:eastAsia="仿宋_GB2312"/>
          <w:color w:val="000000" w:themeColor="text1"/>
          <w:sz w:val="32"/>
          <w:szCs w:val="32"/>
          <w:highlight w:val="none"/>
        </w:rPr>
        <w:t>机关运行经费支出</w:t>
      </w:r>
      <w:r>
        <w:rPr>
          <w:rFonts w:hint="eastAsia" w:ascii="仿宋_GB2312" w:eastAsia="仿宋_GB2312"/>
          <w:color w:val="000000" w:themeColor="text1"/>
          <w:sz w:val="32"/>
          <w:szCs w:val="32"/>
          <w:highlight w:val="none"/>
          <w:lang w:val="en-US" w:eastAsia="zh-CN"/>
        </w:rPr>
        <w:t>27.92</w:t>
      </w:r>
      <w:r>
        <w:rPr>
          <w:rFonts w:hint="eastAsia" w:ascii="仿宋_GB2312" w:eastAsia="仿宋_GB2312"/>
          <w:color w:val="000000" w:themeColor="text1"/>
          <w:sz w:val="32"/>
          <w:szCs w:val="32"/>
          <w:highlight w:val="none"/>
        </w:rPr>
        <w:t>万元，比</w:t>
      </w:r>
      <w:r>
        <w:rPr>
          <w:rFonts w:ascii="仿宋_GB2312" w:eastAsia="仿宋_GB2312"/>
          <w:color w:val="000000" w:themeColor="text1"/>
          <w:sz w:val="32"/>
          <w:szCs w:val="32"/>
          <w:highlight w:val="none"/>
        </w:rPr>
        <w:t>20</w:t>
      </w:r>
      <w:r>
        <w:rPr>
          <w:rFonts w:hint="eastAsia" w:ascii="仿宋_GB2312" w:eastAsia="仿宋_GB2312"/>
          <w:color w:val="000000" w:themeColor="text1"/>
          <w:sz w:val="32"/>
          <w:szCs w:val="32"/>
          <w:highlight w:val="none"/>
        </w:rPr>
        <w:t>20年增加</w:t>
      </w:r>
      <w:r>
        <w:rPr>
          <w:rFonts w:hint="eastAsia" w:ascii="仿宋_GB2312" w:eastAsia="仿宋_GB2312"/>
          <w:color w:val="000000" w:themeColor="text1"/>
          <w:sz w:val="32"/>
          <w:szCs w:val="32"/>
          <w:highlight w:val="none"/>
          <w:lang w:val="en-US" w:eastAsia="zh-CN"/>
        </w:rPr>
        <w:t>12.8</w:t>
      </w:r>
      <w:r>
        <w:rPr>
          <w:rFonts w:hint="eastAsia" w:ascii="仿宋_GB2312" w:eastAsia="仿宋_GB2312"/>
          <w:color w:val="000000" w:themeColor="text1"/>
          <w:sz w:val="32"/>
          <w:szCs w:val="32"/>
          <w:highlight w:val="none"/>
        </w:rPr>
        <w:t>万元，增长</w:t>
      </w:r>
      <w:r>
        <w:rPr>
          <w:rFonts w:hint="eastAsia" w:ascii="仿宋_GB2312" w:eastAsia="仿宋_GB2312"/>
          <w:color w:val="000000" w:themeColor="text1"/>
          <w:sz w:val="32"/>
          <w:szCs w:val="32"/>
          <w:highlight w:val="none"/>
          <w:lang w:val="en-US" w:eastAsia="zh-CN"/>
        </w:rPr>
        <w:t>84.64%</w:t>
      </w:r>
      <w:r>
        <w:rPr>
          <w:rFonts w:hint="eastAsia" w:ascii="仿宋_GB2312" w:eastAsia="仿宋_GB2312"/>
          <w:color w:val="000000" w:themeColor="text1"/>
          <w:sz w:val="32"/>
          <w:szCs w:val="32"/>
          <w:highlight w:val="none"/>
        </w:rPr>
        <w:t>。主要原因</w:t>
      </w:r>
      <w:r>
        <w:rPr>
          <w:rFonts w:hint="eastAsia" w:ascii="仿宋_GB2312" w:eastAsia="仿宋_GB2312"/>
          <w:color w:val="000000" w:themeColor="text1"/>
          <w:sz w:val="32"/>
          <w:szCs w:val="32"/>
          <w:highlight w:val="none"/>
          <w:lang w:val="en-US" w:eastAsia="zh-CN"/>
        </w:rPr>
        <w:t>是人员增加，工资福利以及日常运行支出增加。</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highlight w:val="none"/>
        </w:rPr>
      </w:pPr>
      <w:r>
        <w:rPr>
          <w:rFonts w:ascii="仿宋_GB2312" w:eastAsia="仿宋_GB2312"/>
          <w:color w:val="000000"/>
          <w:sz w:val="32"/>
          <w:szCs w:val="32"/>
          <w:highlight w:val="none"/>
        </w:rPr>
        <w:t>202</w:t>
      </w:r>
      <w:r>
        <w:rPr>
          <w:rFonts w:hint="eastAsia" w:ascii="仿宋_GB2312" w:eastAsia="仿宋_GB2312"/>
          <w:color w:val="000000"/>
          <w:sz w:val="32"/>
          <w:szCs w:val="32"/>
          <w:highlight w:val="none"/>
        </w:rPr>
        <w:t>1年，</w:t>
      </w:r>
      <w:r>
        <w:rPr>
          <w:rFonts w:hint="eastAsia" w:ascii="仿宋_GB2312" w:eastAsia="仿宋_GB2312"/>
          <w:color w:val="000000"/>
          <w:sz w:val="32"/>
          <w:szCs w:val="32"/>
          <w:highlight w:val="none"/>
          <w:lang w:val="en-US" w:eastAsia="zh-CN"/>
        </w:rPr>
        <w:t>壤塘县经济商务和信息化局经济</w:t>
      </w:r>
      <w:r>
        <w:rPr>
          <w:rFonts w:hint="eastAsia" w:ascii="仿宋_GB2312" w:eastAsia="仿宋_GB2312"/>
          <w:color w:val="000000"/>
          <w:sz w:val="32"/>
          <w:szCs w:val="32"/>
          <w:highlight w:val="none"/>
        </w:rPr>
        <w:t>政府采购支出总额</w:t>
      </w:r>
      <w:r>
        <w:rPr>
          <w:rFonts w:hint="eastAsia" w:ascii="仿宋_GB2312" w:eastAsia="仿宋_GB2312"/>
          <w:color w:val="000000"/>
          <w:sz w:val="32"/>
          <w:szCs w:val="32"/>
          <w:highlight w:val="none"/>
          <w:lang w:val="en-US" w:eastAsia="zh-CN"/>
        </w:rPr>
        <w:t>500</w:t>
      </w:r>
      <w:r>
        <w:rPr>
          <w:rFonts w:hint="eastAsia" w:ascii="仿宋_GB2312" w:eastAsia="仿宋_GB2312"/>
          <w:color w:val="000000"/>
          <w:sz w:val="32"/>
          <w:szCs w:val="32"/>
          <w:highlight w:val="none"/>
        </w:rPr>
        <w:t>万元，其中：政府采购货物支出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万元、政府采购工程支出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万元、政府采购服务支出</w:t>
      </w:r>
      <w:r>
        <w:rPr>
          <w:rFonts w:hint="eastAsia" w:ascii="仿宋_GB2312" w:eastAsia="仿宋_GB2312"/>
          <w:color w:val="000000"/>
          <w:sz w:val="32"/>
          <w:szCs w:val="32"/>
          <w:highlight w:val="none"/>
          <w:lang w:val="en-US" w:eastAsia="zh-CN"/>
        </w:rPr>
        <w:t>500</w:t>
      </w:r>
      <w:r>
        <w:rPr>
          <w:rFonts w:hint="eastAsia" w:ascii="仿宋_GB2312" w:eastAsia="仿宋_GB2312"/>
          <w:color w:val="000000"/>
          <w:sz w:val="32"/>
          <w:szCs w:val="32"/>
          <w:highlight w:val="none"/>
        </w:rPr>
        <w:t>万元。主要用</w:t>
      </w:r>
      <w:r>
        <w:rPr>
          <w:rFonts w:hint="eastAsia" w:ascii="仿宋_GB2312" w:eastAsia="仿宋_GB2312"/>
          <w:color w:val="000000"/>
          <w:sz w:val="32"/>
          <w:szCs w:val="32"/>
          <w:highlight w:val="none"/>
          <w:lang w:val="en-US" w:eastAsia="zh-CN"/>
        </w:rPr>
        <w:t>于地方经济建设</w:t>
      </w:r>
      <w:r>
        <w:rPr>
          <w:rFonts w:hint="eastAsia" w:ascii="仿宋_GB2312" w:eastAsia="仿宋_GB2312"/>
          <w:color w:val="000000"/>
          <w:sz w:val="32"/>
          <w:szCs w:val="32"/>
          <w:highlight w:val="none"/>
        </w:rPr>
        <w:t>。授予中小企业合同金额</w:t>
      </w:r>
      <w:r>
        <w:rPr>
          <w:rFonts w:hint="eastAsia" w:ascii="仿宋_GB2312" w:eastAsia="仿宋_GB2312"/>
          <w:color w:val="000000"/>
          <w:sz w:val="32"/>
          <w:szCs w:val="32"/>
          <w:highlight w:val="none"/>
          <w:lang w:val="en-US" w:eastAsia="zh-CN"/>
        </w:rPr>
        <w:t>500</w:t>
      </w:r>
      <w:r>
        <w:rPr>
          <w:rFonts w:hint="eastAsia" w:ascii="仿宋_GB2312" w:eastAsia="仿宋_GB2312"/>
          <w:color w:val="000000"/>
          <w:sz w:val="32"/>
          <w:szCs w:val="32"/>
          <w:highlight w:val="none"/>
        </w:rPr>
        <w:t>万元，占政府采购支出总额的</w:t>
      </w:r>
      <w:r>
        <w:rPr>
          <w:rFonts w:hint="eastAsia" w:ascii="仿宋_GB2312" w:eastAsia="仿宋_GB2312"/>
          <w:color w:val="000000"/>
          <w:sz w:val="32"/>
          <w:szCs w:val="32"/>
          <w:highlight w:val="none"/>
          <w:lang w:val="en-US" w:eastAsia="zh-CN"/>
        </w:rPr>
        <w:t>100</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，其中：授予小微企业合同金额</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万元，占政府采购支出总额的</w:t>
      </w:r>
      <w:r>
        <w:rPr>
          <w:rFonts w:hint="eastAsia" w:ascii="仿宋_GB2312" w:eastAsia="仿宋_GB2312"/>
          <w:color w:val="000000"/>
          <w:sz w:val="32"/>
          <w:szCs w:val="32"/>
          <w:highlight w:val="none"/>
          <w:lang w:val="en-US" w:eastAsia="zh-CN"/>
        </w:rPr>
        <w:t>0</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w:t>
      </w:r>
    </w:p>
    <w:p>
      <w:pPr>
        <w:spacing w:line="600" w:lineRule="exact"/>
        <w:ind w:firstLine="642" w:firstLineChars="200"/>
        <w:rPr>
          <w:rFonts w:ascii="仿宋" w:hAnsi="仿宋" w:eastAsia="仿宋"/>
          <w:b/>
          <w:color w:val="auto"/>
          <w:sz w:val="32"/>
          <w:szCs w:val="32"/>
        </w:rPr>
      </w:pPr>
      <w:r>
        <w:rPr>
          <w:rFonts w:hint="eastAsia" w:ascii="仿宋" w:hAnsi="仿宋" w:eastAsia="仿宋"/>
          <w:b/>
          <w:color w:val="auto"/>
          <w:sz w:val="32"/>
          <w:szCs w:val="32"/>
        </w:rPr>
        <w:t>（注：数据来源于财决附</w:t>
      </w:r>
      <w:r>
        <w:rPr>
          <w:rFonts w:ascii="仿宋" w:hAnsi="仿宋" w:eastAsia="仿宋"/>
          <w:b/>
          <w:color w:val="auto"/>
          <w:sz w:val="32"/>
          <w:szCs w:val="32"/>
        </w:rPr>
        <w:t>03</w:t>
      </w:r>
      <w:r>
        <w:rPr>
          <w:rFonts w:hint="eastAsia" w:ascii="仿宋" w:hAnsi="仿宋" w:eastAsia="仿宋"/>
          <w:b/>
          <w:color w:val="auto"/>
          <w:sz w:val="32"/>
          <w:szCs w:val="32"/>
        </w:rPr>
        <w:t>表）</w:t>
      </w:r>
    </w:p>
    <w:p>
      <w:pPr>
        <w:spacing w:line="600" w:lineRule="exact"/>
        <w:ind w:firstLine="642" w:firstLineChars="200"/>
        <w:outlineLvl w:val="2"/>
        <w:rPr>
          <w:rFonts w:hint="eastAsia" w:ascii="楷体" w:hAnsi="楷体" w:eastAsia="楷体" w:cs="楷体"/>
          <w:b/>
          <w:color w:val="000000"/>
          <w:sz w:val="32"/>
          <w:szCs w:val="32"/>
        </w:rPr>
      </w:pPr>
      <w:bookmarkStart w:id="100" w:name="_Toc15377224"/>
      <w:bookmarkStart w:id="101" w:name="_Toc79163627"/>
      <w:bookmarkStart w:id="102" w:name="_Toc79163877"/>
      <w:r>
        <w:rPr>
          <w:rFonts w:hint="eastAsia" w:ascii="楷体" w:hAnsi="楷体" w:eastAsia="楷体" w:cs="楷体"/>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壤塘县经济商务和信息化局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单位日常办公以及下乡出差等。</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Style w:val="26"/>
      </w:pPr>
    </w:p>
    <w:p>
      <w:pPr>
        <w:spacing w:line="600" w:lineRule="exact"/>
        <w:ind w:firstLine="642" w:firstLineChars="200"/>
        <w:outlineLvl w:val="2"/>
        <w:rPr>
          <w:rFonts w:hint="eastAsia" w:ascii="楷体" w:hAnsi="楷体" w:eastAsia="楷体" w:cs="楷体"/>
          <w:b/>
          <w:color w:val="000000"/>
          <w:sz w:val="32"/>
          <w:szCs w:val="32"/>
        </w:rPr>
      </w:pPr>
      <w:bookmarkStart w:id="103" w:name="_Toc79163628"/>
      <w:bookmarkStart w:id="104" w:name="_Toc79163878"/>
      <w:r>
        <w:rPr>
          <w:rFonts w:hint="eastAsia" w:ascii="楷体" w:hAnsi="楷体" w:eastAsia="楷体" w:cs="楷体"/>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val="en-US" w:eastAsia="zh-CN"/>
        </w:rPr>
        <w:t>2021年预算编制无项目预算</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w:t>
      </w:r>
      <w:r>
        <w:rPr>
          <w:rFonts w:hint="eastAsia" w:ascii="仿宋_GB2312" w:hAnsi="仿宋_GB2312" w:eastAsia="仿宋_GB2312" w:cs="仿宋_GB2312"/>
          <w:sz w:val="32"/>
          <w:szCs w:val="32"/>
          <w:lang w:val="en-US" w:eastAsia="zh-CN"/>
        </w:rPr>
        <w:t>2021年整体支出情况较好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由于2021年单位无专项项目，因而未开展项目绩效自评</w:t>
      </w:r>
      <w:r>
        <w:rPr>
          <w:rFonts w:hint="eastAsia" w:ascii="仿宋_GB2312" w:hAnsi="仿宋_GB2312" w:eastAsia="仿宋_GB2312" w:cs="仿宋_GB2312"/>
          <w:sz w:val="32"/>
          <w:szCs w:val="32"/>
        </w:rPr>
        <w:t>。</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由于2021年单位无专项项目，因而未开展项目绩效自评</w:t>
      </w:r>
      <w:r>
        <w:rPr>
          <w:rFonts w:hint="eastAsia" w:ascii="仿宋_GB2312" w:hAnsi="仿宋_GB2312" w:eastAsia="仿宋_GB2312" w:cs="仿宋_GB2312"/>
          <w:sz w:val="32"/>
          <w:szCs w:val="32"/>
        </w:rPr>
        <w:t>。</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val="en-US" w:eastAsia="zh-CN"/>
        </w:rPr>
        <w:t>壤塘县经济商务和信息化局</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7"/>
          <w:rFonts w:ascii="黑体" w:hAnsi="黑体" w:eastAsia="黑体"/>
          <w:b w:val="0"/>
        </w:rPr>
      </w:pPr>
      <w:bookmarkStart w:id="105" w:name="_Toc79163629"/>
      <w:bookmarkStart w:id="106" w:name="_Toc15396613"/>
      <w:bookmarkStart w:id="107" w:name="_Toc79163879"/>
      <w:bookmarkStart w:id="108"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7"/>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养老支出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机关事业</w:t>
      </w:r>
      <w:r>
        <w:rPr>
          <w:rFonts w:hint="eastAsia" w:ascii="仿宋_GB2312" w:eastAsia="仿宋_GB2312"/>
          <w:color w:val="000000"/>
          <w:sz w:val="32"/>
          <w:szCs w:val="32"/>
          <w:lang w:eastAsia="zh-CN"/>
        </w:rPr>
        <w:t>单位</w:t>
      </w:r>
      <w:r>
        <w:rPr>
          <w:rFonts w:hint="eastAsia" w:ascii="仿宋_GB2312" w:eastAsia="仿宋_GB2312"/>
          <w:color w:val="000000"/>
          <w:sz w:val="32"/>
          <w:szCs w:val="32"/>
          <w:lang w:val="en-US" w:eastAsia="zh-CN"/>
        </w:rPr>
        <w:t>实施养老保险制度由单位缴纳的基本养老保险费支出</w:t>
      </w:r>
      <w:r>
        <w:rPr>
          <w:rFonts w:hint="eastAsia" w:ascii="仿宋_GB2312" w:eastAsia="仿宋_GB2312"/>
          <w:color w:val="000000"/>
          <w:sz w:val="32"/>
          <w:szCs w:val="32"/>
        </w:rPr>
        <w:t>。</w:t>
      </w:r>
    </w:p>
    <w:p>
      <w:pPr>
        <w:pStyle w:val="20"/>
        <w:rPr>
          <w:rFonts w:hint="default" w:eastAsia="仿宋_GB2312"/>
          <w:lang w:val="en-US"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养老支出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w:t>
      </w:r>
      <w:r>
        <w:rPr>
          <w:rFonts w:hint="eastAsia" w:ascii="仿宋_GB2312" w:eastAsia="仿宋_GB2312"/>
          <w:color w:val="000000"/>
          <w:sz w:val="32"/>
          <w:szCs w:val="32"/>
          <w:lang w:val="en-US" w:eastAsia="zh-CN"/>
        </w:rPr>
        <w:t>职业年金</w:t>
      </w:r>
      <w:r>
        <w:rPr>
          <w:rFonts w:hint="eastAsia" w:ascii="仿宋_GB2312" w:eastAsia="仿宋_GB2312"/>
          <w:color w:val="000000"/>
          <w:sz w:val="32"/>
          <w:szCs w:val="32"/>
          <w:lang w:eastAsia="zh-CN"/>
        </w:rPr>
        <w:t>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人力资源事务</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引进人才费用</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按规定用于</w:t>
      </w:r>
      <w:r>
        <w:rPr>
          <w:rFonts w:hint="eastAsia" w:ascii="仿宋_GB2312" w:eastAsia="仿宋_GB2312" w:cs="Times New Roman"/>
          <w:color w:val="000000"/>
          <w:sz w:val="32"/>
          <w:szCs w:val="32"/>
          <w:lang w:val="en-US" w:eastAsia="zh-CN"/>
        </w:rPr>
        <w:t>人力资源中引进人才的费用</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卫生健康支出</w:t>
      </w:r>
      <w:r>
        <w:rPr>
          <w:rFonts w:hint="eastAsia" w:ascii="仿宋_GB2312" w:hAnsi="Times New Roman" w:eastAsia="仿宋_GB2312" w:cs="Times New Roman"/>
          <w:color w:val="000000"/>
          <w:sz w:val="32"/>
          <w:szCs w:val="32"/>
          <w:lang w:eastAsia="zh-CN"/>
        </w:rPr>
        <w:t>（类）行政事业单位医疗（款）行政单位医疗（项）：指财政部门集中安排的行政单位基本医疗保险缴费经费。</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农林水支出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农业农村</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科技转化与推广服务（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用于农业科技成果转化，农业新品种、新机具、新技术引进、试验、示范。推广及服务农村人居环境整治等方面的技术试验示范支出</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资源勘探工业信息等支出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制造业</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其他制造业支出（</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其他用于制造业方面的支出</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13</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资源勘探工业信息等支出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支持中小企业发展和管理支出</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中小企业发展专项（</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用于支持中小企业公共服务体系和融资服务体系建设等方面的支出</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行政运行（</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一般行政管理事务（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民贸企业补贴（</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其他商业流通事务支出（</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其他用于商业流通事务方面的支出</w:t>
      </w:r>
      <w:r>
        <w:rPr>
          <w:rFonts w:hint="eastAsia" w:ascii="仿宋_GB2312" w:hAnsi="Times New Roman" w:eastAsia="仿宋_GB2312" w:cs="Times New Roman"/>
          <w:color w:val="000000"/>
          <w:sz w:val="32"/>
          <w:szCs w:val="32"/>
          <w:lang w:eastAsia="zh-CN"/>
        </w:rPr>
        <w:t>。</w:t>
      </w:r>
    </w:p>
    <w:p>
      <w:pPr>
        <w:pStyle w:val="2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其他商业服务业等支出</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 xml:space="preserve">  其他商业流通事务支出（</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在商业服务业中其他用于商业流通事务方面的支出</w:t>
      </w:r>
      <w:r>
        <w:rPr>
          <w:rFonts w:hint="eastAsia" w:ascii="仿宋_GB2312" w:hAnsi="Times New Roman" w:eastAsia="仿宋_GB2312" w:cs="Times New Roman"/>
          <w:color w:val="000000"/>
          <w:sz w:val="32"/>
          <w:szCs w:val="32"/>
          <w:lang w:eastAsia="zh-CN"/>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19</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20</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21</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22</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109" w:name="_Toc15377226"/>
      <w:r>
        <w:rPr>
          <w:rFonts w:ascii="宋体"/>
          <w:b/>
          <w:color w:val="000000"/>
          <w:sz w:val="44"/>
          <w:szCs w:val="44"/>
        </w:rPr>
        <w:br w:type="page"/>
      </w:r>
      <w:bookmarkStart w:id="110" w:name="_Toc79163880"/>
      <w:bookmarkStart w:id="111" w:name="_Toc15396614"/>
      <w:bookmarkStart w:id="112" w:name="_Toc79163630"/>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before="312" w:beforeLines="100" w:line="700" w:lineRule="exact"/>
        <w:jc w:val="center"/>
        <w:rPr>
          <w:rFonts w:eastAsia="宋体" w:asciiTheme="minorEastAsia" w:hAnsiTheme="minorEastAsia" w:cstheme="minorEastAsia"/>
          <w:b/>
          <w:bCs/>
          <w:kern w:val="0"/>
          <w:sz w:val="44"/>
          <w:szCs w:val="44"/>
        </w:rPr>
      </w:pPr>
      <w:bookmarkStart w:id="115" w:name="_Toc79163635"/>
      <w:bookmarkStart w:id="116" w:name="_Toc15396618"/>
      <w:bookmarkStart w:id="117" w:name="_Toc79163885"/>
      <w:r>
        <w:rPr>
          <w:rFonts w:hint="eastAsia" w:eastAsia="宋体" w:asciiTheme="minorEastAsia" w:hAnsiTheme="minorEastAsia" w:cstheme="minorEastAsia"/>
          <w:b/>
          <w:bCs/>
          <w:kern w:val="0"/>
          <w:sz w:val="44"/>
          <w:szCs w:val="44"/>
        </w:rPr>
        <w:t>壤塘县经济商务和信息化局2020年度部门整体支出绩效评价自评报告</w:t>
      </w:r>
    </w:p>
    <w:p>
      <w:pPr>
        <w:spacing w:line="360" w:lineRule="auto"/>
        <w:rPr>
          <w:rFonts w:eastAsia="宋体" w:asciiTheme="minorEastAsia" w:hAnsiTheme="minorEastAsia" w:cstheme="minorEastAsia"/>
          <w:kern w:val="0"/>
          <w:szCs w:val="21"/>
        </w:rPr>
      </w:pPr>
    </w:p>
    <w:p>
      <w:pPr>
        <w:numPr>
          <w:ilvl w:val="0"/>
          <w:numId w:val="0"/>
        </w:numPr>
        <w:spacing w:line="360" w:lineRule="auto"/>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eastAsia="zh-CN"/>
        </w:rPr>
        <w:t>一、</w:t>
      </w:r>
      <w:r>
        <w:rPr>
          <w:rFonts w:hint="eastAsia" w:ascii="仿宋_GB2312" w:hAnsi="仿宋_GB2312" w:eastAsia="仿宋_GB2312" w:cs="仿宋_GB2312"/>
          <w:b/>
          <w:bCs/>
          <w:kern w:val="0"/>
          <w:sz w:val="32"/>
          <w:szCs w:val="32"/>
        </w:rPr>
        <w:t>部门（单位）概况</w:t>
      </w:r>
    </w:p>
    <w:p>
      <w:pPr>
        <w:spacing w:line="360" w:lineRule="auto"/>
        <w:ind w:firstLine="640" w:firstLineChars="200"/>
        <w:rPr>
          <w:rFonts w:hint="eastAsia" w:ascii="仿宋_GB2312" w:hAnsi="仿宋_GB2312" w:eastAsia="仿宋_GB2312" w:cs="仿宋_GB2312"/>
          <w:color w:val="FF0000"/>
          <w:sz w:val="32"/>
          <w:szCs w:val="32"/>
          <w:lang w:val="en-US" w:eastAsia="zh-CN"/>
        </w:rPr>
      </w:pPr>
      <w:r>
        <w:rPr>
          <w:rFonts w:ascii="Times New Roman" w:hAnsi="Times New Roman" w:eastAsia="仿宋_GB2312" w:cs="Times New Roman"/>
          <w:sz w:val="32"/>
          <w:szCs w:val="32"/>
        </w:rPr>
        <w:t>壤塘县经济商务和信息化局是壤塘县人民政府工作部门，为正科级</w:t>
      </w:r>
      <w:r>
        <w:rPr>
          <w:rFonts w:hint="eastAsia" w:eastAsia="仿宋_GB2312" w:cs="Times New Roman"/>
          <w:sz w:val="32"/>
          <w:szCs w:val="32"/>
          <w:lang w:eastAsia="zh-CN"/>
        </w:rPr>
        <w:t>。</w:t>
      </w:r>
    </w:p>
    <w:p>
      <w:pPr>
        <w:widowControl w:val="0"/>
        <w:numPr>
          <w:ilvl w:val="0"/>
          <w:numId w:val="4"/>
        </w:numPr>
        <w:spacing w:line="360" w:lineRule="auto"/>
        <w:ind w:left="1720" w:hanging="108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机构组成</w:t>
      </w:r>
    </w:p>
    <w:p>
      <w:pPr>
        <w:spacing w:line="520" w:lineRule="exact"/>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壤塘县经济商务和信息化局</w:t>
      </w:r>
      <w:r>
        <w:rPr>
          <w:rFonts w:hint="eastAsia" w:ascii="仿宋_GB2312" w:hAnsi="仿宋_GB2312" w:eastAsia="仿宋_GB2312" w:cs="仿宋_GB2312"/>
          <w:sz w:val="32"/>
          <w:szCs w:val="32"/>
        </w:rPr>
        <w:t>内设综合办公室。</w:t>
      </w:r>
    </w:p>
    <w:p>
      <w:pPr>
        <w:overflowPunct w:val="0"/>
        <w:spacing w:line="56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综合办公室。</w:t>
      </w:r>
      <w:r>
        <w:rPr>
          <w:rFonts w:ascii="Times New Roman" w:hAnsi="Times New Roman" w:eastAsia="仿宋_GB2312" w:cs="Times New Roman"/>
          <w:sz w:val="32"/>
          <w:szCs w:val="32"/>
        </w:rPr>
        <w:t>负责机关文秘、保密、信访、文书、档案、提案议案、机关财务、资产管理、会议组织、会议决定事项督办、机关后勤、人事、车辆、人头档案、机构编制。管理局机关工、青、妇等群团组织。负责机关的普法、社会治安综合治理、创“四优”工作、反腐败斗争、党风廉政建设和民族团结示范创建等工作。负责机关行政复议和行政诉讼工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负责本局离退休人员的管理和服务工作。负责本局财务等事务性工作，承办机关工作人员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含离退休人员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有关费用发放和报销及医保工作。</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企业技术改造项目初审和成品油零售经营许可初审。负责指导工业企业的生产经营管理，协调工业企业的生产经营活动，综合分析、预测、监测城市经济运行态势，对重大问题提出建议及对策。负责全县工业企业的生产经营统计及分析，协调解决企业改革</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生产经营中出现的问题。监督检查企业执行国家、省、州、县有关政策和法律法规的贯彻落实。负责工业企业宏观管理和指导工作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负责对国家重大工业经济政策实施情况进行监督</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综合协调全县企业治乱减负工作负责指导中小企业协调发展，研究拟定全县中小企业发展规划和促进中小企业发展的政策。负责乡镇企业经济技术开发项目的咨询、论证及筛选等工作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推进全县乡镇企业外向型经济发展，负责全县乡镇企业项目储备、论证、申报工作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为乡镇企业提供技术信息服务，协同有关部门对乡镇企业技术等级、质量和标准工作进行指导、监督和管理</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负责信息基础设施建设的规划、协调和管理</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负责工程建设领域项目信息公开和诚信体系建设，对全县重大信息化建设工程项目实施行政监督管理</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组织、协调、指导开展信息化宣传普及教育。负责无线电设备年审、验证收费工作。指导研究拟定全县电力工业的行业规划、行业法规和经济技术政策，贯彻执行省、州的相关规定，实施行业管理和监督</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负责电力运行调度管理工作，协调运行中的重大问题。</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国家财政性资金用于流通领域重大投资项目的监督，拟定全县流通领域市场体系和流通秩序和政策、规定及市场发展规划，综合分析市场动态及发展趋势。负责关系国计民生的重大消费品有关报表收集、汇总、上报工作，商业、物资行业的管理和行政执法。负责审核和转报重点流通、仓储设施建设项目，协同有关部门安排全县市场网点建设基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配合有关部门打击商品流通中的假冒伪劣行为。负责批发、零售、餐饮业、住宿业和居民服务业等行业管理。</w:t>
      </w:r>
    </w:p>
    <w:p>
      <w:pPr>
        <w:spacing w:line="560" w:lineRule="exact"/>
        <w:ind w:firstLine="640" w:firstLineChars="200"/>
        <w:rPr>
          <w:rFonts w:ascii="Times New Roman" w:hAnsi="Times New Roman" w:eastAsia="宋体" w:cs="Times New Roman"/>
        </w:rPr>
      </w:pPr>
      <w:r>
        <w:rPr>
          <w:rFonts w:ascii="Times New Roman" w:hAnsi="Times New Roman" w:eastAsia="仿宋_GB2312" w:cs="Times New Roman"/>
          <w:sz w:val="32"/>
          <w:szCs w:val="32"/>
        </w:rPr>
        <w:t>负责招商引资重要活动的组织、联络、洽谈、服务，以及重点项目的推介、跟踪、协调、落实与服务工作。负责全县招商引资项目的收集整理、制作包装、报批推介工作，以及项目的储备、组织协调、前期论证及跟踪服务，参与招商引资项目的洽谈工作。负责招商引资项目统计、分析、报送工作。</w:t>
      </w:r>
    </w:p>
    <w:p>
      <w:pPr>
        <w:widowControl w:val="0"/>
        <w:spacing w:line="360" w:lineRule="auto"/>
        <w:ind w:firstLine="642" w:firstLineChars="20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（二）机构职能</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负责组织贯彻国家、省、州有关工业经济、信息化和无线电管理的方针、政策和法律、法规，组织实施国家西部大开发战略等有关工业经济的政策措施，执行全县有关工业经济、信息化和无线电管理的地方性法规、规章草案，负责本系统、本部门依法行政工作，落实行政执法责任制。组织推动信息化和工业化融合、工业化与城镇化联动，负责推进全县工业结构调整。贯彻落实国家、省有关国内外贸易、外商投资和经济合作等方面的法律法规和方针政策，贯彻执行全县商务和经济合作领域法规和政策，制定全县商务投促工作规划、年度计划并组织实施。</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负责执行新型工业化发展战略和重大政策，协调解决新型工业化进程中的重大问题，组织实施工业强县战略。参与制订国民经济和社会发展规划，负责制订并组织实施工业、信息化相关行业的发展规划、年度计划和产业政策并组织实施，指导行业质量管理工作。承担全县服务业发展工作中组织实施的协调职责，推进流通产业结构调整和服务业重大项目建设，加快第三方物流发展，推动商贸服务业和社区商业发展，提出促进商贸企业发展的政策建议，推动流通标准化和连锁经营、商业特许经营、物流配送、电子商务等现代流通方式的发展。</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负责监测、分析工业经济运行态势和质量，建立全县工业经济运行预警机制，拟订中、近期工业经济运行目标、政策并组织实施，协调解决工业经济运行中的重大问题。负责电力、成品油等重要物资综合调控、紧急调度工作和交通运输协同配合工作，负责民爆物品销售环节的安全监督管理，负责县级医药储备的监督管理。承办年度工业经济目标责任考核。编制大宗产品批发市场规划，指导城市商业网点规划和商业体系建设工作，推进农村市场体系建设，组织实施农村现代流通网络工程，促进城乡市场一体化发展。推动商务领域信用建设，指导商业信用销售，建立市场诚信公共服务平台。</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负责全县企业技术改造推进工作，组织制定并实施全县企业技术改造投资规划和政策，制定并发布全县企业技术改造投资项目引导目录。提出工业和信息化固定资产投资规模的意见，按照规定组织企业申报全县企业技术改造项目。承担组织实施重要消费品市场调控和重要生产资料流通管理的责任，监测分析市场运行、商品供求状况，调查分析商品价格信息，进行预测预警和信息引导。按职责负责重要消费品的储备管理。负责职责范围内的安全生产、生态环境保护工作。</w:t>
      </w:r>
    </w:p>
    <w:p>
      <w:pPr>
        <w:overflowPunct w:val="0"/>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负责全县企业技术创新体系建设，制定鼓励企业技术创新的政策措施，指导企业技术创新、技术引进，编制下达全县企业技术创新项目计划并组织实施，按照规定程序会同有关部门组织企业技术中心申报、认定和建设管理工作。指导对外贸易行业执行国家进出口商品、加工贸易管理办法和进出口管理商品、技术目录，组织实施重要工业品、原材料和重要农产品进出口计划，会同有关部门协调大宗进出口商品和出口加工区的业务工作，指导贸易促进活动和外贸促进体系建设。</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负责协调全县工业和信息化领域的节能降耗、清洁生产和资源节约与综合利用工作，协调推进工业化与生态环境协调发展中的重大问题，组织实施相关重大示范项目和新产品、新技术、新工艺、新设备、新材料的推广应用。依法监督技术引进、设备进口、国家限制出口技术的工作，推进进出口贸易标准化工作，牵头负责发展服务贸易的相关工作，推动服务外包平台建设。</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负责研究拟订全县中小企业发展规划和促进中小企业发展的政策；推进企业信用制度建设，负责中小企业信用担保和融资体系建设并实施行业监管，负责制订工业发展资金等财政专项资金使用计划，负责企业技术改造、技术创新、生产运行等涉及财政、信贷、税收、保险等方面问题的协调，指导工业企业直接融资工作，参与工业企业上市培育工作；指导企业建立现代企业制度；负责全县企业治乱减负工作；指导企业经营管理人员、专业技术人员培训；负责全县大企业大集团和龙头骨干企业的培育工作；推进产业园区发展，统筹大中小企业协调发展；参与对非公有制企业的指导、协调和服务工作；参与全县整顿和规范市场经济秩序工作。承担组织协调反倾销、反补贴、保障措施和技术性贸易壁垒等与进出口公平贸易相关工作的责任，建立进出口公平贸易预警机制，牵头开展对外贸易调查、产业损害调查，指导协调产业安全应对、企业在国外对我县出口商品的反倾销、反补贴、保障措施的应诉工作，负责世界贸易组织涉及我县有关工作。</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负责对全县工业各行业实施行业管理，制定并组织实施相关政策措施，拟订新材料、节能环保等新兴产业发展规划、年度计划、政策措施并组织实施。负责实施农产品加工业发展的综合协调服务，监测行业运行态势，拟订行业的支持政策措施并组织实施。贯彻落实国家、省、州应对经济全球化、区域经济合作的对策措施。加强与自由贸易区、一带一路沿线地区、港澳台地区的商贸合作，推进贸易和投资便利化。</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负责全县产业园区建设发展的服务工作，拟订并组织实施产业园区、产业集群发展规划和政策措施，指导产业园区合理布局。负责推进重点产业园区建设发展，推进园区公共配套设施建设。组织实施产业园区公共服务平台项目计划。负责与各园区的衔接、协调并处理相关事务。指导全县外商投资促进和管理工作。统计分析全县外商投资情况，依法监督检查外商投资企业执行有关法律法规、规章、合同章程的情况并协调解决有关问题。指导协调县内各经济技术开发区的有关工作。</w:t>
      </w:r>
    </w:p>
    <w:p>
      <w:pPr>
        <w:spacing w:line="560" w:lineRule="exact"/>
        <w:rPr>
          <w:rFonts w:hint="eastAsia" w:eastAsia="仿宋_GB2312" w:cs="Times New Roman"/>
          <w:sz w:val="32"/>
          <w:szCs w:val="32"/>
          <w:lang w:val="en-US" w:eastAsia="zh-CN"/>
        </w:rPr>
      </w:pP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统筹推进全县信息化工作，制定并组织实施相关政策，指导电子政务、企业信息化、电子商务和物联网发展，推动跨行业、跨部门面向社会服务网络的互联互通和信息资源共享。负责全县信息基础设施建设的规划、协调和管理，组织相关部门</w:t>
      </w:r>
      <w:r>
        <w:rPr>
          <w:rFonts w:hint="eastAsia" w:ascii="Times New Roman" w:hAnsi="Times New Roman" w:eastAsia="仿宋_GB2312" w:cs="Times New Roman"/>
          <w:sz w:val="32"/>
          <w:szCs w:val="32"/>
          <w:lang w:eastAsia="zh-CN"/>
        </w:rPr>
        <w:t>制定</w:t>
      </w:r>
      <w:r>
        <w:rPr>
          <w:rFonts w:ascii="Times New Roman" w:hAnsi="Times New Roman" w:eastAsia="仿宋_GB2312" w:cs="Times New Roman"/>
          <w:sz w:val="32"/>
          <w:szCs w:val="32"/>
        </w:rPr>
        <w:t>通信管线规划并承担相应的监督管理工作，协调电信市场涉及社会公共利益的重大事项。统筹指导全县投资促进工作，负责全县经济合作活动和上级部门交办的相关会展组织、协调和服务工作。负责全县经济合作项目策划、收集、分析、包装、发布、推介、项目签约和招商引资重大项目的促进和落实。负责配合开展东西部合作等国内区域经济交流与合作工作。负责全县投资促进工作及投资环境推介工作，促进国内外经济机构、组织和个人在我县投资兴业。负责多元化、多渠道收集有关信息，开展投资信息咨询服务等。负责统计分析全县经济合作相关情况。　　</w:t>
      </w:r>
      <w:r>
        <w:rPr>
          <w:rFonts w:hint="eastAsia" w:eastAsia="仿宋_GB2312" w:cs="Times New Roman"/>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会同有关部门提出工业和信息化领域对外开放和利用外资的政策建议，参与区域经济合作和承接产业转移工作。指导工业和信息化企业开展对外交流与合作、国际化经营、境外投资及兼并重组。管理我县赴境外举办的各种商品交易和经贸推介活动，指导监督管理以壤塘县名义在境内举办的各种商贸交易会、展览会、展销会等活动，承担县委、县政府交办的会展活动。</w:t>
      </w:r>
    </w:p>
    <w:p>
      <w:pPr>
        <w:kinsoku w:val="0"/>
        <w:overflowPunct w:val="0"/>
        <w:autoSpaceDE w:val="0"/>
        <w:autoSpaceDN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kern w:val="0"/>
          <w:sz w:val="32"/>
          <w:szCs w:val="32"/>
        </w:rPr>
        <w:t>完成县委、县政府交办的其他任务。</w:t>
      </w:r>
    </w:p>
    <w:p>
      <w:pPr>
        <w:spacing w:line="360" w:lineRule="auto"/>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（三）人员概况</w:t>
      </w:r>
    </w:p>
    <w:p>
      <w:pPr>
        <w:spacing w:line="520" w:lineRule="exact"/>
        <w:ind w:firstLine="640" w:firstLineChars="200"/>
        <w:rPr>
          <w:rFonts w:ascii="Times New Roman" w:hAnsi="Times New Roman" w:eastAsia="宋体" w:cs="Times New Roman"/>
        </w:rPr>
      </w:pP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年12月底，壤塘县经济商务和信息化局编制14名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事业编制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人；在职人数</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人（其中行政</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人，事业</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w:t>
      </w:r>
    </w:p>
    <w:p>
      <w:pPr>
        <w:spacing w:line="520" w:lineRule="exact"/>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zh-CN" w:eastAsia="zh-CN" w:bidi="ar-SA"/>
        </w:rPr>
        <w:t>（一）部门财政资金收入情况</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2021年财政下达壤塘县经济商务和信息化局年初预算收入228.15万元，执行期中调增96.93万元，年末决算收入为671.99万元，年初结转结余346.91万元。 </w:t>
      </w:r>
    </w:p>
    <w:p>
      <w:pPr>
        <w:widowControl w:val="0"/>
        <w:spacing w:line="360" w:lineRule="auto"/>
        <w:ind w:left="640" w:firstLine="0" w:firstLineChars="0"/>
        <w:jc w:val="both"/>
        <w:rPr>
          <w:rFonts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zh-CN" w:eastAsia="zh-CN" w:bidi="ar-SA"/>
        </w:rPr>
        <w:t>（二）部门财政资金支出情况</w:t>
      </w:r>
    </w:p>
    <w:p>
      <w:pPr>
        <w:spacing w:line="520" w:lineRule="exact"/>
        <w:ind w:firstLine="640" w:firstLineChars="200"/>
        <w:rPr>
          <w:rFonts w:ascii="Times New Roman" w:hAnsi="Times New Roman" w:eastAsia="宋体" w:cs="Times New Roma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年壤塘县经济商务和信息化局共计预算支出</w:t>
      </w:r>
      <w:r>
        <w:rPr>
          <w:rFonts w:hint="eastAsia" w:ascii="仿宋_GB2312" w:hAnsi="仿宋_GB2312" w:eastAsia="仿宋_GB2312" w:cs="仿宋_GB2312"/>
          <w:sz w:val="32"/>
          <w:szCs w:val="32"/>
          <w:lang w:val="en-US" w:eastAsia="zh-CN"/>
        </w:rPr>
        <w:t>732.42</w:t>
      </w:r>
      <w:r>
        <w:rPr>
          <w:rFonts w:hint="eastAsia" w:ascii="仿宋_GB2312" w:hAnsi="仿宋_GB2312" w:eastAsia="仿宋_GB2312" w:cs="仿宋_GB2312"/>
          <w:sz w:val="32"/>
          <w:szCs w:val="32"/>
        </w:rPr>
        <w:t>万元，调整预算支出</w:t>
      </w:r>
      <w:r>
        <w:rPr>
          <w:rFonts w:hint="eastAsia" w:ascii="仿宋_GB2312" w:hAnsi="仿宋_GB2312" w:eastAsia="仿宋_GB2312" w:cs="仿宋_GB2312"/>
          <w:sz w:val="32"/>
          <w:szCs w:val="32"/>
          <w:lang w:val="en-US" w:eastAsia="zh-CN"/>
        </w:rPr>
        <w:t>671.99</w:t>
      </w:r>
      <w:r>
        <w:rPr>
          <w:rFonts w:hint="eastAsia" w:ascii="仿宋_GB2312" w:hAnsi="仿宋_GB2312" w:eastAsia="仿宋_GB2312" w:cs="仿宋_GB2312"/>
          <w:sz w:val="32"/>
          <w:szCs w:val="32"/>
        </w:rPr>
        <w:t>万元，年末决算支出数</w:t>
      </w:r>
      <w:r>
        <w:rPr>
          <w:rFonts w:hint="eastAsia" w:ascii="仿宋_GB2312" w:hAnsi="仿宋_GB2312" w:eastAsia="仿宋_GB2312" w:cs="仿宋_GB2312"/>
          <w:sz w:val="32"/>
          <w:szCs w:val="32"/>
          <w:lang w:val="en-US" w:eastAsia="zh-CN"/>
        </w:rPr>
        <w:t>671.99</w:t>
      </w:r>
      <w:r>
        <w:rPr>
          <w:rFonts w:hint="eastAsia" w:ascii="仿宋_GB2312" w:hAnsi="仿宋_GB2312" w:eastAsia="仿宋_GB2312" w:cs="仿宋_GB2312"/>
          <w:sz w:val="32"/>
          <w:szCs w:val="32"/>
        </w:rPr>
        <w:t>万元，年末结转结余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widowControl/>
        <w:adjustRightInd w:val="0"/>
        <w:snapToGrid w:val="0"/>
        <w:spacing w:line="560" w:lineRule="exact"/>
        <w:ind w:firstLine="642" w:firstLineChars="200"/>
        <w:contextualSpacing/>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widowControl w:val="0"/>
        <w:spacing w:line="360" w:lineRule="auto"/>
        <w:ind w:left="640" w:firstLine="0" w:firstLineChars="0"/>
        <w:jc w:val="both"/>
        <w:rPr>
          <w:rFonts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zh-CN" w:eastAsia="zh-CN" w:bidi="ar-SA"/>
        </w:rPr>
        <w:t>（一）部门预算管理</w:t>
      </w:r>
    </w:p>
    <w:p>
      <w:pPr>
        <w:widowControl w:val="0"/>
        <w:spacing w:line="360" w:lineRule="auto"/>
        <w:ind w:left="640" w:firstLine="0" w:firstLineChars="0"/>
        <w:jc w:val="both"/>
        <w:rPr>
          <w:rStyle w:val="42"/>
          <w:rFonts w:ascii="Times New Roman" w:hAnsi="Times New Roman" w:eastAsia="仿宋_GB2312"/>
          <w:sz w:val="32"/>
          <w:szCs w:val="32"/>
        </w:rPr>
      </w:pPr>
      <w:r>
        <w:rPr>
          <w:rFonts w:hint="eastAsia" w:ascii="仿宋_GB2312" w:hAnsi="仿宋_GB2312" w:eastAsia="仿宋_GB2312" w:cs="仿宋_GB2312"/>
          <w:b/>
          <w:bCs/>
          <w:kern w:val="2"/>
          <w:sz w:val="32"/>
          <w:szCs w:val="32"/>
          <w:lang w:val="en-US" w:eastAsia="zh-CN" w:bidi="ar-SA"/>
        </w:rPr>
        <w:t>1.目标制定</w:t>
      </w:r>
    </w:p>
    <w:p>
      <w:pPr>
        <w:widowControl w:val="0"/>
        <w:spacing w:line="360" w:lineRule="auto"/>
        <w:ind w:firstLine="640" w:firstLineChars="200"/>
        <w:jc w:val="both"/>
        <w:rPr>
          <w:rStyle w:val="42"/>
          <w:rFonts w:ascii="Times New Roman" w:hAnsi="Times New Roman" w:eastAsia="仿宋_GB2312"/>
          <w:sz w:val="32"/>
          <w:szCs w:val="32"/>
        </w:rPr>
      </w:pPr>
      <w:r>
        <w:rPr>
          <w:rStyle w:val="42"/>
          <w:rFonts w:ascii="Times New Roman" w:hAnsi="Times New Roman" w:eastAsia="仿宋_GB2312"/>
          <w:sz w:val="32"/>
          <w:szCs w:val="32"/>
        </w:rPr>
        <w:t>今年以来，壤塘县经济商务和信息化局在县委、县政府的坚强领导下，在</w:t>
      </w:r>
      <w:r>
        <w:rPr>
          <w:rStyle w:val="42"/>
          <w:rFonts w:eastAsia="仿宋_GB2312"/>
          <w:sz w:val="32"/>
          <w:szCs w:val="32"/>
        </w:rPr>
        <w:t>州级部门</w:t>
      </w:r>
      <w:r>
        <w:rPr>
          <w:rStyle w:val="42"/>
          <w:rFonts w:ascii="Times New Roman" w:hAnsi="Times New Roman" w:eastAsia="仿宋_GB2312"/>
          <w:sz w:val="32"/>
          <w:szCs w:val="32"/>
        </w:rPr>
        <w:t>的关心指导下，深入贯彻落实习近平新时代中国特色社会主义思想，认真落实省、州、县各项决策部署，始终坚持稳中求进工作总基调，坚持新发展理念，贯彻高质量发展和安全发展、科学发展的总体要求，统筹推进各项工作高效稳步发展,较好地完成了全年经信商务和信息化各项工作</w:t>
      </w:r>
    </w:p>
    <w:p>
      <w:pPr>
        <w:widowControl w:val="0"/>
        <w:spacing w:line="360" w:lineRule="auto"/>
        <w:ind w:firstLine="642" w:firstLineChars="200"/>
        <w:jc w:val="both"/>
        <w:rPr>
          <w:rFonts w:ascii="仿宋_GB2312" w:hAnsi="仿宋_GB2312" w:eastAsia="仿宋_GB2312" w:cs="仿宋_GB2312"/>
          <w:b/>
          <w:bCs/>
          <w:kern w:val="0"/>
          <w:sz w:val="32"/>
          <w:szCs w:val="32"/>
          <w:lang w:val="zh-CN" w:eastAsia="zh-CN" w:bidi="ar-SA"/>
        </w:rPr>
      </w:pPr>
      <w:r>
        <w:rPr>
          <w:rFonts w:ascii="仿宋_GB2312" w:hAnsi="仿宋_GB2312" w:eastAsia="仿宋_GB2312" w:cs="仿宋_GB2312"/>
          <w:b/>
          <w:bCs/>
          <w:kern w:val="0"/>
          <w:sz w:val="32"/>
          <w:szCs w:val="32"/>
          <w:lang w:val="en-US" w:eastAsia="zh-CN" w:bidi="ar-SA"/>
        </w:rPr>
        <w:t>2</w:t>
      </w:r>
      <w:r>
        <w:rPr>
          <w:rFonts w:hint="eastAsia" w:ascii="仿宋_GB2312" w:hAnsi="仿宋_GB2312" w:eastAsia="仿宋_GB2312" w:cs="仿宋_GB2312"/>
          <w:b/>
          <w:bCs/>
          <w:kern w:val="0"/>
          <w:sz w:val="32"/>
          <w:szCs w:val="32"/>
          <w:lang w:val="en-US" w:eastAsia="zh-CN" w:bidi="ar-SA"/>
        </w:rPr>
        <w:t>.</w:t>
      </w:r>
      <w:r>
        <w:rPr>
          <w:rFonts w:hint="eastAsia" w:ascii="仿宋_GB2312" w:hAnsi="仿宋_GB2312" w:eastAsia="仿宋_GB2312" w:cs="仿宋_GB2312"/>
          <w:b/>
          <w:bCs/>
          <w:kern w:val="0"/>
          <w:sz w:val="32"/>
          <w:szCs w:val="32"/>
          <w:lang w:val="zh-CN" w:eastAsia="zh-CN" w:bidi="ar-SA"/>
        </w:rPr>
        <w:t>目标完成情况</w:t>
      </w:r>
    </w:p>
    <w:p>
      <w:pPr>
        <w:spacing w:line="600" w:lineRule="exact"/>
        <w:ind w:firstLine="640" w:firstLineChars="200"/>
        <w:rPr>
          <w:rStyle w:val="42"/>
          <w:rFonts w:ascii="Times New Roman" w:hAnsi="Times New Roman" w:eastAsia="仿宋_GB2312"/>
          <w:sz w:val="32"/>
          <w:szCs w:val="32"/>
        </w:rPr>
      </w:pPr>
      <w:bookmarkStart w:id="159" w:name="_GoBack"/>
      <w:r>
        <w:rPr>
          <w:rStyle w:val="42"/>
          <w:rFonts w:ascii="Times New Roman" w:hAnsi="Times New Roman" w:eastAsia="仿宋_GB2312"/>
          <w:sz w:val="32"/>
          <w:szCs w:val="32"/>
        </w:rPr>
        <w:t>截</w:t>
      </w:r>
      <w:bookmarkEnd w:id="159"/>
      <w:r>
        <w:rPr>
          <w:rStyle w:val="42"/>
          <w:rFonts w:ascii="Times New Roman" w:hAnsi="Times New Roman" w:eastAsia="仿宋_GB2312"/>
          <w:sz w:val="32"/>
          <w:szCs w:val="32"/>
        </w:rPr>
        <w:t>至目前，全县完成</w:t>
      </w:r>
      <w:r>
        <w:rPr>
          <w:rStyle w:val="42"/>
          <w:rFonts w:hint="eastAsia" w:ascii="Times New Roman" w:hAnsi="Times New Roman" w:eastAsia="仿宋_GB2312"/>
          <w:sz w:val="32"/>
          <w:szCs w:val="32"/>
        </w:rPr>
        <w:t>社会消费品</w:t>
      </w:r>
      <w:r>
        <w:rPr>
          <w:rStyle w:val="42"/>
          <w:rFonts w:ascii="Times New Roman" w:hAnsi="Times New Roman" w:eastAsia="仿宋_GB2312"/>
          <w:sz w:val="32"/>
          <w:szCs w:val="32"/>
        </w:rPr>
        <w:t>零售总额27651万元，同比增长15.8%；完成服务业增加值68601万元，同比增长6.4%；完成工业增加值1757万元，增长8.7%；完成招商引资29283万元，完成州定招商引资年度目标任务的292.8%，全县经济发展形势持续稳定，成效明显。</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3.预算编制准确率</w:t>
      </w:r>
    </w:p>
    <w:p>
      <w:pPr>
        <w:widowControl w:val="0"/>
        <w:spacing w:line="360" w:lineRule="auto"/>
        <w:ind w:firstLine="640" w:firstLineChars="200"/>
        <w:jc w:val="both"/>
        <w:rPr>
          <w:rFonts w:ascii="仿宋_GB2312" w:hAnsi="仿宋_GB2312" w:eastAsia="仿宋_GB2312" w:cs="仿宋_GB2312"/>
          <w:color w:val="FF0000"/>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本单位为2021年初预算收入228.15万元，年初结转结余504.27万元，年末实际预算收入为671.99万元，年末实际支出总额为671.99万元，年预算编制准确率较高。</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4.支出控制</w:t>
      </w:r>
    </w:p>
    <w:p>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本单位制定的管理制度，包括不限于财务管理制度、采购管理制度，监控、监督措施执行有效，2021年度单位财务人员按要求执行了监控职能。</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5.重点项目执行完成进度</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（1）当年重点项目资金收入情况</w:t>
      </w:r>
    </w:p>
    <w:p>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本单位2020年无项目。</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6.预算完成情况</w:t>
      </w:r>
    </w:p>
    <w:p>
      <w:pPr>
        <w:widowControl w:val="0"/>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2021年财政预算收入年末总额为671.99万元，年末实际预算支出总额为671.99万元，预算完成率为100%。</w:t>
      </w:r>
    </w:p>
    <w:p>
      <w:pPr>
        <w:widowControl w:val="0"/>
        <w:spacing w:line="360" w:lineRule="auto"/>
        <w:ind w:left="640" w:firstLine="0" w:firstLineChars="0"/>
        <w:jc w:val="both"/>
        <w:rPr>
          <w:rFonts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en-US" w:eastAsia="zh-CN" w:bidi="ar-SA"/>
        </w:rPr>
        <w:t>7、</w:t>
      </w:r>
      <w:r>
        <w:rPr>
          <w:rFonts w:hint="eastAsia" w:ascii="仿宋_GB2312" w:hAnsi="仿宋_GB2312" w:eastAsia="仿宋_GB2312" w:cs="仿宋_GB2312"/>
          <w:b/>
          <w:bCs/>
          <w:kern w:val="0"/>
          <w:sz w:val="32"/>
          <w:szCs w:val="32"/>
          <w:lang w:val="zh-CN" w:eastAsia="zh-CN" w:bidi="ar-SA"/>
        </w:rPr>
        <w:t>违规记录</w:t>
      </w:r>
    </w:p>
    <w:p>
      <w:pPr>
        <w:widowControl w:val="0"/>
        <w:ind w:left="420" w:leftChars="200" w:firstLine="0" w:firstLineChars="0"/>
        <w:jc w:val="both"/>
        <w:rPr>
          <w:rFonts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本年度无违规记录。</w:t>
      </w:r>
    </w:p>
    <w:p>
      <w:pPr>
        <w:widowControl w:val="0"/>
        <w:spacing w:line="360" w:lineRule="auto"/>
        <w:ind w:left="640" w:firstLine="0" w:firstLineChars="0"/>
        <w:jc w:val="both"/>
        <w:rPr>
          <w:rFonts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zh-CN" w:eastAsia="zh-CN" w:bidi="ar-SA"/>
        </w:rPr>
        <w:t>（二）结果应用情况</w:t>
      </w:r>
    </w:p>
    <w:p>
      <w:pPr>
        <w:widowControl w:val="0"/>
        <w:spacing w:line="360" w:lineRule="auto"/>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1.信息公开</w:t>
      </w:r>
    </w:p>
    <w:p>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本单位已经按财政要求及时完成预算、决算、绩效等信息公开工作，信息公开在壤塘县人民政府门户网站中。</w:t>
      </w:r>
    </w:p>
    <w:p>
      <w:pPr>
        <w:spacing w:line="560" w:lineRule="exact"/>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widowControl w:val="0"/>
        <w:spacing w:line="360" w:lineRule="auto"/>
        <w:ind w:left="0" w:leftChars="0" w:firstLine="642" w:firstLineChars="20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2"/>
          <w:sz w:val="32"/>
          <w:szCs w:val="32"/>
          <w:lang w:val="en-US" w:eastAsia="zh-CN" w:bidi="ar-SA"/>
        </w:rPr>
        <w:t>（一）评价结论：见附表</w:t>
      </w:r>
    </w:p>
    <w:p>
      <w:pPr>
        <w:widowControl w:val="0"/>
        <w:spacing w:line="360" w:lineRule="auto"/>
        <w:ind w:firstLine="642" w:firstLineChars="200"/>
        <w:jc w:val="both"/>
        <w:rPr>
          <w:rFonts w:ascii="仿宋_GB2312" w:hAnsi="仿宋_GB2312" w:eastAsia="仿宋_GB2312" w:cs="仿宋_GB2312"/>
          <w:b/>
          <w:bCs/>
          <w:color w:val="FF000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（二）存在问题 </w:t>
      </w:r>
      <w:r>
        <w:rPr>
          <w:rFonts w:ascii="仿宋_GB2312" w:hAnsi="仿宋_GB2312" w:eastAsia="仿宋_GB2312" w:cs="仿宋_GB2312"/>
          <w:b/>
          <w:bCs/>
          <w:kern w:val="2"/>
          <w:sz w:val="32"/>
          <w:szCs w:val="32"/>
          <w:lang w:val="en-US" w:eastAsia="zh-CN" w:bidi="ar-SA"/>
        </w:rPr>
        <w:t xml:space="preserve"> </w:t>
      </w:r>
    </w:p>
    <w:p>
      <w:pPr>
        <w:spacing w:line="600" w:lineRule="exact"/>
        <w:ind w:firstLine="642" w:firstLineChars="200"/>
        <w:rPr>
          <w:rStyle w:val="42"/>
          <w:rFonts w:ascii="Times New Roman" w:hAnsi="Times New Roman" w:eastAsia="仿宋_GB2312"/>
          <w:sz w:val="32"/>
          <w:szCs w:val="32"/>
        </w:rPr>
      </w:pPr>
      <w:r>
        <w:rPr>
          <w:rStyle w:val="42"/>
          <w:rFonts w:ascii="Times New Roman" w:hAnsi="Times New Roman" w:eastAsia="仿宋_GB2312"/>
          <w:b/>
          <w:bCs/>
          <w:sz w:val="32"/>
          <w:szCs w:val="32"/>
        </w:rPr>
        <w:t>（一）县</w:t>
      </w:r>
      <w:r>
        <w:rPr>
          <w:rStyle w:val="42"/>
          <w:rFonts w:ascii="Times New Roman" w:hAnsi="Times New Roman" w:eastAsia="仿宋_GB2312"/>
          <w:sz w:val="32"/>
          <w:szCs w:val="32"/>
        </w:rPr>
        <w:t>内规模以上服务业企业、限额以上的商贸流通企业较少，服务业发展滞后。</w:t>
      </w:r>
    </w:p>
    <w:p>
      <w:pPr>
        <w:spacing w:line="600" w:lineRule="exact"/>
        <w:ind w:firstLine="642" w:firstLineChars="200"/>
        <w:rPr>
          <w:rStyle w:val="42"/>
          <w:rFonts w:ascii="Times New Roman" w:hAnsi="Times New Roman" w:eastAsia="仿宋_GB2312"/>
          <w:sz w:val="32"/>
          <w:szCs w:val="32"/>
        </w:rPr>
      </w:pPr>
      <w:r>
        <w:rPr>
          <w:rStyle w:val="42"/>
          <w:rFonts w:ascii="Times New Roman" w:hAnsi="Times New Roman" w:eastAsia="仿宋_GB2312"/>
          <w:b/>
          <w:bCs/>
          <w:sz w:val="32"/>
          <w:szCs w:val="32"/>
        </w:rPr>
        <w:t>（二）</w:t>
      </w:r>
      <w:r>
        <w:rPr>
          <w:rStyle w:val="42"/>
          <w:rFonts w:ascii="Times New Roman" w:hAnsi="Times New Roman" w:eastAsia="仿宋_GB2312"/>
          <w:sz w:val="32"/>
          <w:szCs w:val="32"/>
        </w:rPr>
        <w:t>壤塘县属于川西北高半山地区，地理位置偏远，受县域交通、旅游、文化</w:t>
      </w:r>
      <w:r>
        <w:rPr>
          <w:rStyle w:val="42"/>
          <w:rFonts w:hint="eastAsia" w:ascii="Times New Roman" w:hAnsi="Times New Roman" w:eastAsia="仿宋_GB2312"/>
          <w:sz w:val="32"/>
          <w:szCs w:val="32"/>
        </w:rPr>
        <w:t>、</w:t>
      </w:r>
      <w:r>
        <w:rPr>
          <w:rStyle w:val="42"/>
          <w:rFonts w:ascii="Times New Roman" w:hAnsi="Times New Roman" w:eastAsia="仿宋_GB2312"/>
          <w:sz w:val="32"/>
          <w:szCs w:val="32"/>
        </w:rPr>
        <w:t>通讯等</w:t>
      </w:r>
      <w:r>
        <w:rPr>
          <w:rStyle w:val="42"/>
          <w:rFonts w:hint="eastAsia" w:ascii="Times New Roman" w:hAnsi="Times New Roman" w:eastAsia="仿宋_GB2312"/>
          <w:sz w:val="32"/>
          <w:szCs w:val="32"/>
        </w:rPr>
        <w:t>条件</w:t>
      </w:r>
      <w:r>
        <w:rPr>
          <w:rStyle w:val="42"/>
          <w:rFonts w:ascii="Times New Roman" w:hAnsi="Times New Roman" w:eastAsia="仿宋_GB2312"/>
          <w:sz w:val="32"/>
          <w:szCs w:val="32"/>
        </w:rPr>
        <w:t>影响，县内规模以上工业企业仅一家，导致企业运行质量不高，缺乏足够的支撑力。</w:t>
      </w:r>
    </w:p>
    <w:p>
      <w:pPr>
        <w:spacing w:line="600" w:lineRule="exact"/>
        <w:ind w:firstLine="642" w:firstLineChars="200"/>
        <w:rPr>
          <w:rStyle w:val="42"/>
          <w:rFonts w:hint="default" w:ascii="Times New Roman" w:hAnsi="Times New Roman" w:eastAsia="仿宋_GB2312"/>
          <w:sz w:val="32"/>
          <w:szCs w:val="32"/>
          <w:lang w:val="en-US"/>
        </w:rPr>
      </w:pPr>
      <w:r>
        <w:rPr>
          <w:rStyle w:val="42"/>
          <w:rFonts w:ascii="Times New Roman" w:hAnsi="Times New Roman" w:eastAsia="仿宋_GB2312"/>
          <w:b/>
          <w:bCs/>
          <w:sz w:val="32"/>
          <w:szCs w:val="32"/>
        </w:rPr>
        <w:t>（三）</w:t>
      </w:r>
      <w:r>
        <w:rPr>
          <w:rStyle w:val="42"/>
          <w:rFonts w:ascii="Times New Roman" w:hAnsi="Times New Roman" w:eastAsia="仿宋_GB2312"/>
          <w:sz w:val="32"/>
          <w:szCs w:val="32"/>
        </w:rPr>
        <w:t>招商引资项目编制储备少，对外宣传推介力度还不够，还需拓宽渠道，多形式多角度扩大我县的知名度和影响力</w:t>
      </w:r>
      <w:r>
        <w:rPr>
          <w:rStyle w:val="42"/>
          <w:rFonts w:hint="eastAsia" w:ascii="Times New Roman" w:hAnsi="Times New Roman" w:eastAsia="仿宋_GB2312"/>
          <w:sz w:val="32"/>
          <w:szCs w:val="32"/>
        </w:rPr>
        <w:t>；多数部门、乡镇对招商引资工作研究较少，措施办法不多；各部门缺乏招商引资专业队伍和人才。</w:t>
      </w:r>
    </w:p>
    <w:p>
      <w:pPr>
        <w:widowControl w:val="0"/>
        <w:spacing w:line="360" w:lineRule="auto"/>
        <w:ind w:firstLine="642" w:firstLineChars="200"/>
        <w:jc w:val="both"/>
        <w:rPr>
          <w:rFonts w:ascii="仿宋_GB2312" w:hAnsi="仿宋_GB2312" w:eastAsia="仿宋_GB2312" w:cs="仿宋_GB2312"/>
          <w:b/>
          <w:bCs/>
          <w:color w:val="FF000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（二）改进措施 </w:t>
      </w:r>
    </w:p>
    <w:p>
      <w:pPr>
        <w:spacing w:line="600" w:lineRule="exact"/>
        <w:ind w:firstLine="642" w:firstLineChars="200"/>
        <w:rPr>
          <w:rStyle w:val="42"/>
          <w:rFonts w:ascii="Times New Roman" w:hAnsi="Times New Roman" w:eastAsia="仿宋_GB2312"/>
          <w:sz w:val="32"/>
          <w:szCs w:val="32"/>
        </w:rPr>
      </w:pPr>
      <w:r>
        <w:rPr>
          <w:rStyle w:val="42"/>
          <w:rFonts w:ascii="Times New Roman" w:hAnsi="Times New Roman" w:eastAsia="仿宋_GB2312"/>
          <w:b/>
          <w:bCs/>
          <w:sz w:val="32"/>
          <w:szCs w:val="32"/>
        </w:rPr>
        <w:t>一是</w:t>
      </w:r>
      <w:r>
        <w:rPr>
          <w:rStyle w:val="42"/>
          <w:rFonts w:ascii="Times New Roman" w:hAnsi="Times New Roman" w:eastAsia="仿宋_GB2312"/>
          <w:sz w:val="32"/>
          <w:szCs w:val="32"/>
        </w:rPr>
        <w:t>完成州委、州政府下达的2022年全县</w:t>
      </w:r>
      <w:r>
        <w:rPr>
          <w:rStyle w:val="42"/>
          <w:rFonts w:hint="eastAsia" w:ascii="Times New Roman" w:hAnsi="Times New Roman" w:eastAsia="仿宋_GB2312"/>
          <w:sz w:val="32"/>
          <w:szCs w:val="32"/>
        </w:rPr>
        <w:t>社会消费品</w:t>
      </w:r>
      <w:r>
        <w:rPr>
          <w:rStyle w:val="42"/>
          <w:rFonts w:ascii="Times New Roman" w:hAnsi="Times New Roman" w:eastAsia="仿宋_GB2312"/>
          <w:sz w:val="32"/>
          <w:szCs w:val="32"/>
        </w:rPr>
        <w:t>零售、服务业增加值、工业增加值</w:t>
      </w:r>
      <w:r>
        <w:rPr>
          <w:rStyle w:val="42"/>
          <w:rFonts w:hint="eastAsia" w:ascii="Times New Roman" w:hAnsi="Times New Roman" w:eastAsia="仿宋_GB2312"/>
          <w:sz w:val="32"/>
          <w:szCs w:val="32"/>
        </w:rPr>
        <w:t>、</w:t>
      </w:r>
      <w:r>
        <w:rPr>
          <w:rStyle w:val="42"/>
          <w:rFonts w:ascii="Times New Roman" w:hAnsi="Times New Roman" w:eastAsia="仿宋_GB2312"/>
          <w:sz w:val="32"/>
          <w:szCs w:val="32"/>
        </w:rPr>
        <w:t>招商引资目标任务。</w:t>
      </w:r>
    </w:p>
    <w:p>
      <w:pPr>
        <w:spacing w:line="600" w:lineRule="exact"/>
        <w:ind w:firstLine="642" w:firstLineChars="200"/>
        <w:rPr>
          <w:rStyle w:val="42"/>
          <w:rFonts w:ascii="Times New Roman" w:hAnsi="Times New Roman" w:eastAsia="仿宋_GB2312"/>
          <w:sz w:val="32"/>
          <w:szCs w:val="32"/>
        </w:rPr>
      </w:pPr>
      <w:r>
        <w:rPr>
          <w:rStyle w:val="42"/>
          <w:rFonts w:ascii="Times New Roman" w:hAnsi="Times New Roman" w:eastAsia="仿宋_GB2312"/>
          <w:b/>
          <w:bCs/>
          <w:sz w:val="32"/>
          <w:szCs w:val="32"/>
        </w:rPr>
        <w:t>二是</w:t>
      </w:r>
      <w:r>
        <w:rPr>
          <w:rStyle w:val="42"/>
          <w:rFonts w:ascii="Times New Roman" w:hAnsi="Times New Roman" w:eastAsia="仿宋_GB2312"/>
          <w:sz w:val="32"/>
          <w:szCs w:val="32"/>
        </w:rPr>
        <w:t>抓好疫情防控、安全生产、森林草原防灭火等重点工作。</w:t>
      </w:r>
    </w:p>
    <w:p>
      <w:pPr>
        <w:spacing w:line="600" w:lineRule="exact"/>
        <w:ind w:firstLine="642" w:firstLineChars="200"/>
        <w:rPr>
          <w:rStyle w:val="42"/>
          <w:rFonts w:ascii="Times New Roman" w:hAnsi="Times New Roman" w:eastAsia="仿宋_GB2312"/>
          <w:sz w:val="32"/>
          <w:szCs w:val="32"/>
        </w:rPr>
      </w:pPr>
      <w:r>
        <w:rPr>
          <w:rStyle w:val="42"/>
          <w:rFonts w:ascii="Times New Roman" w:hAnsi="Times New Roman" w:eastAsia="仿宋_GB2312"/>
          <w:b/>
          <w:bCs/>
          <w:sz w:val="32"/>
          <w:szCs w:val="32"/>
        </w:rPr>
        <w:t>三是</w:t>
      </w:r>
      <w:r>
        <w:rPr>
          <w:rStyle w:val="42"/>
          <w:rFonts w:ascii="Times New Roman" w:hAnsi="Times New Roman" w:eastAsia="仿宋_GB2312"/>
          <w:sz w:val="32"/>
          <w:szCs w:val="32"/>
        </w:rPr>
        <w:t>加强机关干部管理、持续推进依法行政、狠抓行业管理，积极推进各项常规工作有序开展。</w:t>
      </w:r>
    </w:p>
    <w:p>
      <w:pPr>
        <w:spacing w:line="600" w:lineRule="exact"/>
        <w:jc w:val="center"/>
        <w:outlineLvl w:val="0"/>
        <w:rPr>
          <w:rFonts w:hint="eastAsia" w:ascii="仿宋" w:hAnsi="仿宋" w:eastAsia="仿宋" w:cs="仿宋"/>
          <w:color w:val="000000" w:themeColor="text1"/>
          <w:sz w:val="32"/>
          <w:szCs w:val="32"/>
        </w:rPr>
      </w:pPr>
    </w:p>
    <w:p>
      <w:pPr>
        <w:spacing w:line="600" w:lineRule="exact"/>
        <w:jc w:val="center"/>
        <w:outlineLvl w:val="0"/>
        <w:rPr>
          <w:rFonts w:hint="eastAsia" w:ascii="仿宋" w:hAnsi="仿宋" w:eastAsia="仿宋" w:cs="仿宋"/>
          <w:color w:val="000000" w:themeColor="text1"/>
          <w:sz w:val="32"/>
          <w:szCs w:val="32"/>
        </w:rPr>
      </w:pPr>
    </w:p>
    <w:p>
      <w:pPr>
        <w:spacing w:line="600" w:lineRule="exact"/>
        <w:jc w:val="center"/>
        <w:outlineLvl w:val="0"/>
        <w:rPr>
          <w:rFonts w:hint="eastAsia" w:ascii="仿宋" w:hAnsi="仿宋" w:eastAsia="仿宋" w:cs="仿宋"/>
          <w:color w:val="000000" w:themeColor="text1"/>
          <w:sz w:val="32"/>
          <w:szCs w:val="32"/>
        </w:rPr>
      </w:pPr>
    </w:p>
    <w:p>
      <w:pPr>
        <w:pStyle w:val="26"/>
        <w:rPr>
          <w:rFonts w:hint="eastAsia" w:ascii="仿宋" w:hAnsi="仿宋" w:eastAsia="仿宋" w:cs="仿宋"/>
          <w:color w:val="000000" w:themeColor="text1"/>
          <w:sz w:val="32"/>
          <w:szCs w:val="32"/>
        </w:rPr>
      </w:pPr>
    </w:p>
    <w:p>
      <w:pPr>
        <w:pStyle w:val="26"/>
        <w:rPr>
          <w:rFonts w:hint="eastAsia" w:ascii="仿宋" w:hAnsi="仿宋" w:eastAsia="仿宋" w:cs="仿宋"/>
          <w:color w:val="000000" w:themeColor="text1"/>
          <w:sz w:val="32"/>
          <w:szCs w:val="32"/>
        </w:rPr>
      </w:pPr>
    </w:p>
    <w:p>
      <w:pPr>
        <w:pStyle w:val="26"/>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pStyle w:val="2"/>
        <w:rPr>
          <w:rFonts w:hint="eastAsia" w:ascii="仿宋" w:hAnsi="仿宋" w:eastAsia="仿宋" w:cs="仿宋"/>
          <w:color w:val="000000" w:themeColor="text1"/>
          <w:sz w:val="32"/>
          <w:szCs w:val="32"/>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109"/>
      <w:bookmarkEnd w:id="115"/>
      <w:bookmarkEnd w:id="116"/>
      <w:bookmarkEnd w:id="117"/>
    </w:p>
    <w:p>
      <w:pPr>
        <w:pStyle w:val="4"/>
        <w:rPr>
          <w:rFonts w:ascii="仿宋" w:hAnsi="仿宋" w:eastAsia="仿宋"/>
          <w:color w:val="000000"/>
        </w:rPr>
      </w:pPr>
      <w:bookmarkStart w:id="118" w:name="_Toc79163636"/>
      <w:bookmarkStart w:id="119" w:name="_Toc79163886"/>
      <w:bookmarkStart w:id="12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118"/>
      <w:bookmarkEnd w:id="119"/>
      <w:bookmarkEnd w:id="120"/>
    </w:p>
    <w:p>
      <w:pPr>
        <w:pStyle w:val="4"/>
        <w:rPr>
          <w:rFonts w:ascii="仿宋" w:hAnsi="仿宋" w:eastAsia="仿宋"/>
          <w:color w:val="000000"/>
        </w:rPr>
      </w:pPr>
      <w:bookmarkStart w:id="121" w:name="_Toc79163637"/>
      <w:bookmarkStart w:id="122" w:name="_Toc79163887"/>
      <w:bookmarkStart w:id="123"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121"/>
      <w:bookmarkEnd w:id="122"/>
      <w:bookmarkEnd w:id="123"/>
    </w:p>
    <w:p>
      <w:pPr>
        <w:pStyle w:val="4"/>
        <w:rPr>
          <w:rFonts w:ascii="仿宋" w:hAnsi="仿宋" w:eastAsia="仿宋"/>
          <w:color w:val="000000"/>
        </w:rPr>
      </w:pPr>
      <w:bookmarkStart w:id="124" w:name="_Toc79163638"/>
      <w:bookmarkStart w:id="125" w:name="_Toc15396621"/>
      <w:bookmarkStart w:id="126" w:name="_Toc7916388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4"/>
      <w:bookmarkEnd w:id="125"/>
      <w:bookmarkEnd w:id="126"/>
    </w:p>
    <w:p>
      <w:pPr>
        <w:pStyle w:val="4"/>
        <w:rPr>
          <w:rFonts w:ascii="仿宋" w:hAnsi="仿宋" w:eastAsia="仿宋"/>
          <w:b w:val="0"/>
          <w:color w:val="000000"/>
        </w:rPr>
      </w:pPr>
      <w:bookmarkStart w:id="127" w:name="_Toc15396622"/>
      <w:bookmarkStart w:id="128" w:name="_Toc79163639"/>
      <w:bookmarkStart w:id="129" w:name="_Toc7916388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7"/>
      <w:bookmarkEnd w:id="128"/>
      <w:bookmarkEnd w:id="129"/>
    </w:p>
    <w:p>
      <w:pPr>
        <w:pStyle w:val="4"/>
        <w:rPr>
          <w:rStyle w:val="28"/>
          <w:rFonts w:ascii="仿宋" w:hAnsi="仿宋" w:eastAsia="仿宋"/>
          <w:b w:val="0"/>
          <w:bCs w:val="0"/>
        </w:rPr>
      </w:pPr>
      <w:bookmarkStart w:id="130" w:name="_Toc79163640"/>
      <w:bookmarkStart w:id="131" w:name="_Toc15396623"/>
      <w:bookmarkStart w:id="132" w:name="_Toc791638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0"/>
      <w:bookmarkEnd w:id="131"/>
      <w:bookmarkEnd w:id="132"/>
      <w:bookmarkStart w:id="133" w:name="_Toc15396624"/>
    </w:p>
    <w:p>
      <w:pPr>
        <w:pStyle w:val="4"/>
        <w:rPr>
          <w:rFonts w:ascii="仿宋" w:hAnsi="仿宋" w:eastAsia="仿宋"/>
          <w:color w:val="000000"/>
        </w:rPr>
      </w:pPr>
      <w:bookmarkStart w:id="134" w:name="_Toc79163891"/>
      <w:bookmarkStart w:id="135" w:name="_Toc7916364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3"/>
      <w:bookmarkEnd w:id="134"/>
      <w:bookmarkEnd w:id="135"/>
    </w:p>
    <w:p>
      <w:pPr>
        <w:pStyle w:val="4"/>
        <w:rPr>
          <w:rFonts w:ascii="仿宋" w:hAnsi="仿宋" w:eastAsia="仿宋"/>
          <w:color w:val="000000"/>
        </w:rPr>
      </w:pPr>
      <w:bookmarkStart w:id="136" w:name="_Toc79163892"/>
      <w:bookmarkStart w:id="137" w:name="_Toc79163642"/>
      <w:bookmarkStart w:id="138"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6"/>
      <w:bookmarkEnd w:id="137"/>
      <w:bookmarkEnd w:id="138"/>
    </w:p>
    <w:p>
      <w:pPr>
        <w:pStyle w:val="4"/>
        <w:rPr>
          <w:rFonts w:ascii="仿宋" w:hAnsi="仿宋" w:eastAsia="仿宋"/>
          <w:color w:val="000000"/>
        </w:rPr>
      </w:pPr>
      <w:bookmarkStart w:id="139" w:name="_Toc79163893"/>
      <w:bookmarkStart w:id="140" w:name="_Toc79163643"/>
      <w:bookmarkStart w:id="141"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9"/>
      <w:bookmarkEnd w:id="140"/>
      <w:bookmarkEnd w:id="141"/>
    </w:p>
    <w:p>
      <w:pPr>
        <w:pStyle w:val="4"/>
        <w:rPr>
          <w:rFonts w:ascii="仿宋" w:hAnsi="仿宋" w:eastAsia="仿宋"/>
          <w:color w:val="000000"/>
        </w:rPr>
      </w:pPr>
      <w:bookmarkStart w:id="142" w:name="_Toc79163644"/>
      <w:bookmarkStart w:id="143" w:name="_Toc79163894"/>
      <w:bookmarkStart w:id="144"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2"/>
      <w:bookmarkEnd w:id="143"/>
      <w:bookmarkEnd w:id="144"/>
    </w:p>
    <w:p>
      <w:pPr>
        <w:pStyle w:val="4"/>
        <w:rPr>
          <w:rFonts w:ascii="仿宋" w:hAnsi="仿宋" w:eastAsia="仿宋"/>
          <w:color w:val="000000"/>
        </w:rPr>
      </w:pPr>
      <w:bookmarkStart w:id="145" w:name="_Toc79163895"/>
      <w:bookmarkStart w:id="146" w:name="_Toc79163645"/>
      <w:bookmarkStart w:id="147"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5"/>
      <w:bookmarkEnd w:id="146"/>
      <w:bookmarkEnd w:id="147"/>
    </w:p>
    <w:p>
      <w:pPr>
        <w:pStyle w:val="4"/>
        <w:rPr>
          <w:rFonts w:ascii="仿宋" w:hAnsi="仿宋" w:eastAsia="仿宋"/>
          <w:color w:val="000000"/>
        </w:rPr>
      </w:pPr>
      <w:bookmarkStart w:id="148" w:name="_Toc79163646"/>
      <w:bookmarkStart w:id="149" w:name="_Toc15396629"/>
      <w:bookmarkStart w:id="150"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48"/>
      <w:bookmarkEnd w:id="149"/>
      <w:bookmarkEnd w:id="150"/>
    </w:p>
    <w:p>
      <w:pPr>
        <w:pStyle w:val="4"/>
        <w:rPr>
          <w:rFonts w:ascii="仿宋" w:hAnsi="仿宋" w:eastAsia="仿宋"/>
          <w:color w:val="000000"/>
        </w:rPr>
      </w:pPr>
      <w:bookmarkStart w:id="151" w:name="_Toc79163897"/>
      <w:bookmarkStart w:id="152" w:name="_Toc15396630"/>
      <w:bookmarkStart w:id="153" w:name="_Toc7916364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51"/>
      <w:bookmarkEnd w:id="152"/>
      <w:bookmarkEnd w:id="153"/>
    </w:p>
    <w:p>
      <w:pPr>
        <w:pStyle w:val="4"/>
        <w:rPr>
          <w:rStyle w:val="28"/>
          <w:rFonts w:ascii="仿宋" w:hAnsi="仿宋" w:eastAsia="仿宋"/>
          <w:b w:val="0"/>
          <w:bCs w:val="0"/>
        </w:rPr>
      </w:pPr>
      <w:bookmarkStart w:id="154" w:name="_Toc79163648"/>
      <w:bookmarkStart w:id="155" w:name="_Toc79163898"/>
      <w:bookmarkStart w:id="156"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54"/>
      <w:bookmarkEnd w:id="155"/>
      <w:bookmarkEnd w:id="156"/>
    </w:p>
    <w:p>
      <w:pPr>
        <w:pStyle w:val="4"/>
        <w:rPr>
          <w:rStyle w:val="28"/>
          <w:rFonts w:ascii="仿宋" w:hAnsi="仿宋" w:eastAsia="仿宋"/>
          <w:b w:val="0"/>
          <w:bCs w:val="0"/>
        </w:rPr>
      </w:pPr>
      <w:bookmarkStart w:id="157" w:name="_Toc79163899"/>
      <w:bookmarkStart w:id="158" w:name="_Toc79163649"/>
      <w:r>
        <w:rPr>
          <w:rStyle w:val="28"/>
          <w:rFonts w:hint="eastAsia" w:ascii="仿宋" w:hAns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25</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3EE10C30"/>
    <w:multiLevelType w:val="multilevel"/>
    <w:tmpl w:val="3EE10C3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Q0OWU5NDg1Y2Y1ZTJhZTU5ZjdkZGQ2MTY3ZWRlN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60C4B01"/>
    <w:rsid w:val="0A2032A3"/>
    <w:rsid w:val="0DFC36AD"/>
    <w:rsid w:val="10C055FF"/>
    <w:rsid w:val="118107EC"/>
    <w:rsid w:val="16643A40"/>
    <w:rsid w:val="16BB723D"/>
    <w:rsid w:val="16F83F95"/>
    <w:rsid w:val="17BD5C5B"/>
    <w:rsid w:val="186C2CEB"/>
    <w:rsid w:val="18866995"/>
    <w:rsid w:val="1D155CEE"/>
    <w:rsid w:val="240371BF"/>
    <w:rsid w:val="242157C3"/>
    <w:rsid w:val="24A00DDE"/>
    <w:rsid w:val="29FD04D3"/>
    <w:rsid w:val="2B04612C"/>
    <w:rsid w:val="2DEF294E"/>
    <w:rsid w:val="319F7F4E"/>
    <w:rsid w:val="326B7F22"/>
    <w:rsid w:val="36435A6D"/>
    <w:rsid w:val="3A5F3DB0"/>
    <w:rsid w:val="3E6633AD"/>
    <w:rsid w:val="42FB3958"/>
    <w:rsid w:val="43941D21"/>
    <w:rsid w:val="4C800241"/>
    <w:rsid w:val="4ECE2238"/>
    <w:rsid w:val="51D84E64"/>
    <w:rsid w:val="5CE83C82"/>
    <w:rsid w:val="6C4A05C8"/>
    <w:rsid w:val="723F403F"/>
    <w:rsid w:val="72734D90"/>
    <w:rsid w:val="748051BB"/>
    <w:rsid w:val="77FFDB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6"/>
    <w:qFormat/>
    <w:uiPriority w:val="99"/>
    <w:pPr>
      <w:spacing w:beforeLines="30"/>
    </w:pPr>
    <w:rPr>
      <w:rFonts w:ascii="仿宋_GB2312" w:eastAsia="仿宋_GB2312"/>
      <w:kern w:val="0"/>
      <w:sz w:val="24"/>
      <w:szCs w:val="20"/>
      <w:lang w:val="zh-CN"/>
    </w:rPr>
  </w:style>
  <w:style w:type="paragraph" w:styleId="8">
    <w:name w:val="Body Text Indent"/>
    <w:basedOn w:val="1"/>
    <w:qFormat/>
    <w:uiPriority w:val="0"/>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0">
    <w:name w:val="Body Text First Indent 2"/>
    <w:basedOn w:val="8"/>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character" w:styleId="23">
    <w:name w:val="Strong"/>
    <w:basedOn w:val="22"/>
    <w:qFormat/>
    <w:uiPriority w:val="99"/>
    <w:rPr>
      <w:rFonts w:cs="Times New Roman"/>
      <w:b/>
    </w:rPr>
  </w:style>
  <w:style w:type="character" w:styleId="24">
    <w:name w:val="FollowedHyperlink"/>
    <w:basedOn w:val="22"/>
    <w:semiHidden/>
    <w:unhideWhenUsed/>
    <w:qFormat/>
    <w:uiPriority w:val="99"/>
    <w:rPr>
      <w:color w:val="333333"/>
      <w:u w:val="none"/>
    </w:rPr>
  </w:style>
  <w:style w:type="character" w:styleId="25">
    <w:name w:val="Hyperlink"/>
    <w:basedOn w:val="22"/>
    <w:unhideWhenUsed/>
    <w:qFormat/>
    <w:uiPriority w:val="99"/>
    <w:rPr>
      <w:rFonts w:cs="Times New Roman"/>
      <w:color w:val="0000FF"/>
      <w:u w:val="single"/>
    </w:rPr>
  </w:style>
  <w:style w:type="paragraph" w:customStyle="1" w:styleId="26">
    <w:name w:val="列出段落1"/>
    <w:basedOn w:val="1"/>
    <w:qFormat/>
    <w:uiPriority w:val="34"/>
    <w:pPr>
      <w:ind w:firstLine="420" w:firstLineChars="200"/>
    </w:pPr>
    <w:rPr>
      <w:rFonts w:ascii="Calibri" w:hAnsi="Calibri" w:eastAsia="宋体" w:cs="Times New Roman"/>
    </w:rPr>
  </w:style>
  <w:style w:type="character" w:customStyle="1" w:styleId="27">
    <w:name w:val="标题 1 Char"/>
    <w:basedOn w:val="22"/>
    <w:link w:val="3"/>
    <w:qFormat/>
    <w:locked/>
    <w:uiPriority w:val="9"/>
    <w:rPr>
      <w:rFonts w:ascii="Times New Roman" w:hAnsi="Times New Roman" w:cs="Times New Roman"/>
      <w:b/>
      <w:bCs/>
      <w:kern w:val="44"/>
      <w:sz w:val="44"/>
      <w:szCs w:val="44"/>
    </w:rPr>
  </w:style>
  <w:style w:type="character" w:customStyle="1" w:styleId="28">
    <w:name w:val="标题 2 Char"/>
    <w:basedOn w:val="22"/>
    <w:link w:val="4"/>
    <w:qFormat/>
    <w:locked/>
    <w:uiPriority w:val="9"/>
    <w:rPr>
      <w:rFonts w:ascii="Cambria" w:hAnsi="Cambria" w:eastAsia="宋体" w:cs="Times New Roman"/>
      <w:b/>
      <w:bCs/>
      <w:kern w:val="2"/>
      <w:sz w:val="32"/>
      <w:szCs w:val="32"/>
    </w:rPr>
  </w:style>
  <w:style w:type="character" w:customStyle="1" w:styleId="29">
    <w:name w:val="标题 3 Char"/>
    <w:basedOn w:val="22"/>
    <w:link w:val="5"/>
    <w:qFormat/>
    <w:locked/>
    <w:uiPriority w:val="9"/>
    <w:rPr>
      <w:rFonts w:ascii="Times New Roman" w:hAnsi="Times New Roman" w:cs="Times New Roman"/>
      <w:b/>
      <w:bCs/>
      <w:kern w:val="2"/>
      <w:sz w:val="32"/>
      <w:szCs w:val="32"/>
    </w:rPr>
  </w:style>
  <w:style w:type="character" w:customStyle="1" w:styleId="30">
    <w:name w:val="Body Text Char"/>
    <w:basedOn w:val="22"/>
    <w:semiHidden/>
    <w:qFormat/>
    <w:uiPriority w:val="99"/>
    <w:rPr>
      <w:rFonts w:ascii="Times New Roman" w:hAnsi="Times New Roman" w:cs="Times New Roman"/>
      <w:sz w:val="24"/>
      <w:szCs w:val="24"/>
    </w:rPr>
  </w:style>
  <w:style w:type="character" w:customStyle="1" w:styleId="31">
    <w:name w:val="批注框文本 Char"/>
    <w:basedOn w:val="22"/>
    <w:link w:val="12"/>
    <w:semiHidden/>
    <w:qFormat/>
    <w:locked/>
    <w:uiPriority w:val="99"/>
    <w:rPr>
      <w:rFonts w:ascii="Times New Roman" w:hAnsi="Times New Roman" w:cs="Times New Roman"/>
      <w:kern w:val="2"/>
      <w:sz w:val="18"/>
      <w:szCs w:val="18"/>
    </w:rPr>
  </w:style>
  <w:style w:type="character" w:customStyle="1" w:styleId="32">
    <w:name w:val="Footer Char"/>
    <w:basedOn w:val="22"/>
    <w:semiHidden/>
    <w:qFormat/>
    <w:uiPriority w:val="99"/>
    <w:rPr>
      <w:rFonts w:ascii="Times New Roman" w:hAnsi="Times New Roman" w:cs="Times New Roman"/>
      <w:sz w:val="18"/>
      <w:szCs w:val="18"/>
    </w:rPr>
  </w:style>
  <w:style w:type="character" w:customStyle="1" w:styleId="33">
    <w:name w:val="Header Char"/>
    <w:basedOn w:val="22"/>
    <w:semiHidden/>
    <w:qFormat/>
    <w:uiPriority w:val="99"/>
    <w:rPr>
      <w:rFonts w:ascii="Times New Roman" w:hAnsi="Times New Roman" w:cs="Times New Roman"/>
      <w:sz w:val="18"/>
      <w:szCs w:val="18"/>
    </w:rPr>
  </w:style>
  <w:style w:type="character" w:customStyle="1" w:styleId="34">
    <w:name w:val="页眉 Char"/>
    <w:link w:val="13"/>
    <w:semiHidden/>
    <w:qFormat/>
    <w:locked/>
    <w:uiPriority w:val="99"/>
    <w:rPr>
      <w:sz w:val="18"/>
    </w:rPr>
  </w:style>
  <w:style w:type="character" w:customStyle="1" w:styleId="35">
    <w:name w:val="页脚 Char"/>
    <w:link w:val="2"/>
    <w:qFormat/>
    <w:locked/>
    <w:uiPriority w:val="99"/>
    <w:rPr>
      <w:sz w:val="18"/>
    </w:rPr>
  </w:style>
  <w:style w:type="character" w:customStyle="1" w:styleId="36">
    <w:name w:val="正文文本 Char"/>
    <w:link w:val="7"/>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42">
    <w:name w:val="NormalCharacter"/>
    <w:semiHidden/>
    <w:qFormat/>
    <w:uiPriority w:val="0"/>
    <w:rPr>
      <w:rFonts w:ascii="Calibri" w:hAnsi="Calibri" w:eastAsia="宋体" w:cs="Times New Roman"/>
      <w:kern w:val="2"/>
      <w:sz w:val="21"/>
      <w:szCs w:val="24"/>
      <w:lang w:val="en-US" w:eastAsia="zh-CN" w:bidi="ar-SA"/>
    </w:rPr>
  </w:style>
  <w:style w:type="paragraph" w:styleId="43">
    <w:name w:val="List Paragraph"/>
    <w:basedOn w:val="1"/>
    <w:qFormat/>
    <w:uiPriority w:val="34"/>
    <w:pPr>
      <w:ind w:firstLine="420" w:firstLineChars="200"/>
    </w:pPr>
  </w:style>
  <w:style w:type="paragraph" w:customStyle="1" w:styleId="44">
    <w:name w:val="UserStyle_0"/>
    <w:qFormat/>
    <w:uiPriority w:val="0"/>
    <w:pPr>
      <w:spacing w:line="300" w:lineRule="auto"/>
      <w:textAlignment w:val="baseline"/>
    </w:pPr>
    <w:rPr>
      <w:rFonts w:ascii="Arial" w:hAnsi="Arial" w:eastAsia="宋体" w:cstheme="minorBidi"/>
      <w:sz w:val="21"/>
      <w:szCs w:val="21"/>
      <w:lang w:val="en-US" w:eastAsia="zh-CN" w:bidi="ar-SA"/>
    </w:rPr>
  </w:style>
  <w:style w:type="paragraph" w:customStyle="1" w:styleId="45">
    <w:name w:val="图表目录1"/>
    <w:basedOn w:val="1"/>
    <w:next w:val="1"/>
    <w:qFormat/>
    <w:uiPriority w:val="0"/>
    <w:pPr>
      <w:ind w:left="200" w:leftChars="200" w:hanging="200" w:hangingChars="200"/>
    </w:pPr>
    <w:rPr>
      <w:rFonts w:hint="eastAsia" w:ascii="Calibri" w:hAnsi="Calibri" w:eastAsia="宋体" w:cs="Arial"/>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1292.66</c:v>
                </c:pt>
                <c:pt idx="1">
                  <c:v>671.99</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788.39</c:v>
                </c:pt>
                <c:pt idx="1">
                  <c:v>671.99</c:v>
                </c:pt>
              </c:numCache>
            </c:numRef>
          </c:val>
        </c:ser>
        <c:dLbls>
          <c:showLegendKey val="0"/>
          <c:showVal val="0"/>
          <c:showCatName val="0"/>
          <c:showSerName val="0"/>
          <c:showPercent val="0"/>
          <c:showBubbleSize val="0"/>
        </c:dLbls>
        <c:gapWidth val="219"/>
        <c:overlap val="-27"/>
        <c:axId val="771366718"/>
        <c:axId val="298366382"/>
      </c:barChart>
      <c:catAx>
        <c:axId val="771366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366382"/>
        <c:crosses val="autoZero"/>
        <c:auto val="1"/>
        <c:lblAlgn val="ctr"/>
        <c:lblOffset val="100"/>
        <c:noMultiLvlLbl val="0"/>
      </c:catAx>
      <c:valAx>
        <c:axId val="2983663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3667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一般公共预算财政拨款收入</c:v>
                </c:pt>
              </c:strCache>
            </c:strRef>
          </c:cat>
          <c:val>
            <c:numRef>
              <c:f>Sheet1!$B$2</c:f>
              <c:numCache>
                <c:formatCode>General</c:formatCode>
                <c:ptCount val="1"/>
                <c:pt idx="0">
                  <c:v>325.08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295.18</c:v>
                </c:pt>
                <c:pt idx="1">
                  <c:v>376.81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财政收、支总计变动情况图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1292.66</c:v>
                </c:pt>
                <c:pt idx="1">
                  <c:v>671.99</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788.39</c:v>
                </c:pt>
                <c:pt idx="1">
                  <c:v>671.99</c:v>
                </c:pt>
              </c:numCache>
            </c:numRef>
          </c:val>
        </c:ser>
        <c:dLbls>
          <c:showLegendKey val="0"/>
          <c:showVal val="0"/>
          <c:showCatName val="0"/>
          <c:showSerName val="0"/>
          <c:showPercent val="0"/>
          <c:showBubbleSize val="0"/>
        </c:dLbls>
        <c:gapWidth val="219"/>
        <c:overlap val="-27"/>
        <c:axId val="771366718"/>
        <c:axId val="298366382"/>
      </c:barChart>
      <c:catAx>
        <c:axId val="771366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366382"/>
        <c:crosses val="autoZero"/>
        <c:auto val="1"/>
        <c:lblAlgn val="ctr"/>
        <c:lblOffset val="100"/>
        <c:noMultiLvlLbl val="0"/>
      </c:catAx>
      <c:valAx>
        <c:axId val="2983663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3667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收、支总计变动情况图</a:t>
            </a:r>
          </a:p>
        </c:rich>
      </c:tx>
      <c:layout/>
      <c:overlay val="0"/>
      <c:spPr>
        <a:noFill/>
        <a:ln>
          <a:noFill/>
        </a:ln>
        <a:effectLst/>
      </c:spPr>
    </c:title>
    <c:autoTitleDeleted val="0"/>
    <c:plotArea>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Sheet1!$B$1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788.39</c:v>
                </c:pt>
                <c:pt idx="1">
                  <c:v>671.99</c:v>
                </c:pt>
              </c:numCache>
            </c:numRef>
          </c:val>
        </c:ser>
        <c:dLbls>
          <c:showLegendKey val="0"/>
          <c:showVal val="0"/>
          <c:showCatName val="0"/>
          <c:showSerName val="0"/>
          <c:showPercent val="0"/>
          <c:showBubbleSize val="0"/>
        </c:dLbls>
        <c:gapWidth val="219"/>
        <c:overlap val="-27"/>
        <c:axId val="771366718"/>
        <c:axId val="298366382"/>
      </c:barChart>
      <c:catAx>
        <c:axId val="771366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366382"/>
        <c:crosses val="autoZero"/>
        <c:auto val="1"/>
        <c:lblAlgn val="ctr"/>
        <c:lblOffset val="100"/>
        <c:noMultiLvlLbl val="0"/>
      </c:catAx>
      <c:valAx>
        <c:axId val="2983663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3667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社会保障和就业</c:v>
                </c:pt>
                <c:pt idx="1">
                  <c:v>卫生健康支出</c:v>
                </c:pt>
                <c:pt idx="2">
                  <c:v>资源勘探工业信息</c:v>
                </c:pt>
                <c:pt idx="3">
                  <c:v>商业服务业</c:v>
                </c:pt>
                <c:pt idx="4">
                  <c:v>住房保障支出</c:v>
                </c:pt>
                <c:pt idx="5">
                  <c:v>其他</c:v>
                </c:pt>
              </c:strCache>
            </c:strRef>
          </c:cat>
          <c:val>
            <c:numRef>
              <c:f>Sheet1!$B$2:$B$7</c:f>
              <c:numCache>
                <c:formatCode>General</c:formatCode>
                <c:ptCount val="6"/>
                <c:pt idx="0">
                  <c:v>31.6</c:v>
                </c:pt>
                <c:pt idx="1">
                  <c:v>13.64</c:v>
                </c:pt>
                <c:pt idx="2">
                  <c:v>36.01</c:v>
                </c:pt>
                <c:pt idx="3">
                  <c:v>567.42</c:v>
                </c:pt>
                <c:pt idx="4">
                  <c:v>22.33</c:v>
                </c:pt>
                <c:pt idx="5">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c:v>
                </c:pt>
              </c:strCache>
            </c:strRef>
          </c:cat>
          <c:val>
            <c:numRef>
              <c:f>Sheet1!$B$2:$B$5</c:f>
              <c:numCache>
                <c:formatCode>General</c:formatCode>
                <c:ptCount val="4"/>
                <c:pt idx="0">
                  <c:v>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6"/>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12859</Words>
  <Characters>13576</Characters>
  <Lines>74</Lines>
  <Paragraphs>21</Paragraphs>
  <TotalTime>27</TotalTime>
  <ScaleCrop>false</ScaleCrop>
  <LinksUpToDate>false</LinksUpToDate>
  <CharactersWithSpaces>13694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2023-09-14T10:54:00Z</cp:lastPrinted>
  <dcterms:modified xsi:type="dcterms:W3CDTF">2023-09-14T11:50:23Z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25110C8EB84F45818F7947EB2C7A670D</vt:lpwstr>
  </property>
</Properties>
</file>