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1" w:name="_Toc15378441"/>
      <w:bookmarkStart w:id="2" w:name="_Toc15396475"/>
      <w:bookmarkStart w:id="3" w:name="_Toc15377425"/>
      <w:bookmarkStart w:id="4" w:name="_Toc15396597"/>
      <w:bookmarkStart w:id="5" w:name="_Toc15377193"/>
      <w:r>
        <w:rPr>
          <w:rFonts w:ascii="黑体" w:hAnsi="黑体" w:eastAsia="黑体"/>
          <w:color w:val="000000"/>
          <w:sz w:val="72"/>
          <w:szCs w:val="72"/>
        </w:rPr>
        <w:t>201</w:t>
      </w:r>
      <w:r>
        <w:rPr>
          <w:rFonts w:hint="eastAsia" w:ascii="黑体" w:hAnsi="黑体" w:eastAsia="黑体"/>
          <w:color w:val="000000"/>
          <w:sz w:val="72"/>
          <w:szCs w:val="72"/>
        </w:rPr>
        <w:t>9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</w:pPr>
      <w:bookmarkStart w:id="6" w:name="_Toc15396476"/>
      <w:bookmarkStart w:id="7" w:name="_Toc15396598"/>
      <w:bookmarkStart w:id="8" w:name="_Toc15377426"/>
      <w:bookmarkStart w:id="9" w:name="_Toc15377194"/>
      <w:bookmarkStart w:id="10" w:name="_Toc15378442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四川省阿坝州</w:t>
      </w:r>
      <w:r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  <w:t>壤塘县</w:t>
      </w:r>
    </w:p>
    <w:bookmarkEnd w:id="0"/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</w:pPr>
      <w:bookmarkStart w:id="11" w:name="_Toc15306268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农业畜牧和水务局科教站部门决算</w:t>
      </w:r>
      <w:bookmarkEnd w:id="6"/>
      <w:bookmarkEnd w:id="7"/>
      <w:bookmarkEnd w:id="8"/>
      <w:bookmarkEnd w:id="9"/>
      <w:bookmarkEnd w:id="10"/>
      <w:bookmarkEnd w:id="11"/>
      <w:r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  <w:t>公开</w:t>
      </w:r>
    </w:p>
    <w:p>
      <w:pPr>
        <w:widowControl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autoSpaceDE w:val="0"/>
        <w:autoSpaceDN w:val="0"/>
        <w:adjustRightInd w:val="0"/>
        <w:ind w:firstLine="1276"/>
        <w:jc w:val="left"/>
        <w:rPr>
          <w:rFonts w:eastAsia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firstLine="1276"/>
        <w:jc w:val="left"/>
        <w:rPr>
          <w:rFonts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部门主要负责人审签情况：已审签</w:t>
      </w:r>
      <w:r>
        <w:rPr>
          <w:rFonts w:hint="eastAsia" w:ascii="仿宋_GB2312" w:hAnsi="Calibri" w:eastAsia="仿宋_GB2312" w:cs="仿宋_GB2312"/>
          <w:sz w:val="32"/>
          <w:szCs w:val="32"/>
        </w:rPr>
        <w:t>，同意对外公开</w:t>
      </w:r>
    </w:p>
    <w:p>
      <w:pPr>
        <w:widowControl/>
        <w:jc w:val="center"/>
        <w:rPr>
          <w:rFonts w:ascii="方正小标宋简体" w:hAnsi="宋体" w:eastAsia="方正小标宋简体"/>
          <w:sz w:val="36"/>
          <w:szCs w:val="36"/>
        </w:rPr>
      </w:pPr>
    </w:p>
    <w:p>
      <w:pPr>
        <w:widowControl/>
        <w:ind w:firstLine="3360" w:firstLineChars="700"/>
        <w:jc w:val="both"/>
        <w:rPr>
          <w:rFonts w:ascii="黑体" w:hAnsi="黑体" w:eastAsia="黑体"/>
          <w:color w:val="000000"/>
          <w:sz w:val="48"/>
          <w:szCs w:val="48"/>
        </w:rPr>
      </w:pP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widowControl/>
        <w:jc w:val="center"/>
        <w:rPr>
          <w:rFonts w:ascii="黑体" w:hAnsi="黑体" w:eastAsia="黑体" w:cstheme="minorBidi"/>
          <w:sz w:val="28"/>
          <w:szCs w:val="28"/>
        </w:rPr>
      </w:pPr>
    </w:p>
    <w:p>
      <w:pPr>
        <w:pStyle w:val="11"/>
      </w:pPr>
      <w:r>
        <w:rPr>
          <w:rFonts w:hint="eastAsia"/>
        </w:rPr>
        <w:t>公开时间：2020年</w:t>
      </w:r>
      <w:r>
        <w:rPr>
          <w:rFonts w:hint="eastAsia"/>
          <w:lang w:val="en-US" w:eastAsia="zh-CN"/>
        </w:rPr>
        <w:t xml:space="preserve">  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23 </w:t>
      </w:r>
      <w:r>
        <w:rPr>
          <w:rFonts w:hint="eastAsia"/>
        </w:rPr>
        <w:t>日</w:t>
      </w:r>
    </w:p>
    <w:p/>
    <w:p>
      <w:pPr>
        <w:pStyle w:val="11"/>
        <w:adjustRightInd w:val="0"/>
        <w:snapToGrid w:val="0"/>
        <w:spacing w:before="0" w:line="440" w:lineRule="exact"/>
        <w:jc w:val="left"/>
        <w:rPr>
          <w:rFonts w:hint="default" w:eastAsia="仿宋" w:cstheme="minorBidi"/>
          <w:sz w:val="24"/>
          <w:szCs w:val="24"/>
          <w:lang w:val="en-US" w:eastAsia="zh-CN"/>
        </w:rPr>
      </w:pPr>
      <w:r>
        <w:rPr>
          <w:rFonts w:hint="eastAsia"/>
          <w:sz w:val="24"/>
        </w:rPr>
        <w:t>第一部分</w:t>
      </w:r>
      <w:r>
        <w:rPr>
          <w:sz w:val="24"/>
        </w:rPr>
        <w:t xml:space="preserve"> </w:t>
      </w:r>
      <w:r>
        <w:rPr>
          <w:rFonts w:hint="eastAsia"/>
          <w:sz w:val="24"/>
        </w:rPr>
        <w:t>部门概况</w:t>
      </w:r>
      <w:r>
        <w:rPr>
          <w:rFonts w:hint="eastAsia"/>
          <w:sz w:val="24"/>
          <w:lang w:val="en-US" w:eastAsia="zh-CN"/>
        </w:rPr>
        <w:t>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/>
          <w:sz w:val="24"/>
          <w:lang w:val="en-US" w:eastAsia="zh-CN"/>
        </w:rPr>
      </w:pPr>
      <w:r>
        <w:rPr>
          <w:rFonts w:hint="eastAsia"/>
          <w:sz w:val="24"/>
        </w:rPr>
        <w:t>一、基本职能及主要工作</w:t>
      </w:r>
      <w:r>
        <w:rPr>
          <w:rFonts w:hint="eastAsia"/>
          <w:sz w:val="24"/>
          <w:lang w:val="en-US" w:eastAsia="zh-CN"/>
        </w:rPr>
        <w:t>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二、机构设置</w:t>
      </w:r>
      <w:r>
        <w:rPr>
          <w:rFonts w:hint="eastAsia"/>
          <w:sz w:val="24"/>
          <w:lang w:val="en-US" w:eastAsia="zh-CN"/>
        </w:rPr>
        <w:t>........................................................................................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default" w:eastAsia="仿宋"/>
          <w:sz w:val="24"/>
          <w:szCs w:val="24"/>
          <w:lang w:val="en-US" w:eastAsia="zh-CN"/>
        </w:rPr>
      </w:pPr>
      <w:r>
        <w:rPr>
          <w:rFonts w:hint="eastAsia"/>
          <w:sz w:val="24"/>
        </w:rPr>
        <w:t>第二部分度部门决算情况说明</w:t>
      </w:r>
      <w:r>
        <w:rPr>
          <w:rFonts w:hint="eastAsia"/>
          <w:sz w:val="24"/>
          <w:lang w:val="en-US" w:eastAsia="zh-CN"/>
        </w:rPr>
        <w:t>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一、收入支出决算总体情况说明</w:t>
      </w:r>
      <w:r>
        <w:rPr>
          <w:rFonts w:hint="eastAsia"/>
          <w:sz w:val="24"/>
          <w:lang w:val="en-US" w:eastAsia="zh-CN"/>
        </w:rPr>
        <w:t>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二、收入决算情况说明</w:t>
      </w:r>
      <w:r>
        <w:rPr>
          <w:rFonts w:hint="eastAsia"/>
          <w:sz w:val="24"/>
          <w:lang w:val="en-US" w:eastAsia="zh-CN"/>
        </w:rPr>
        <w:t>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三、支出决算情况说明</w:t>
      </w:r>
      <w:r>
        <w:rPr>
          <w:rFonts w:hint="eastAsia"/>
          <w:sz w:val="24"/>
          <w:lang w:val="en-US" w:eastAsia="zh-CN"/>
        </w:rPr>
        <w:t>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四、财政拨款收入支出决算总体情况说明</w:t>
      </w:r>
      <w:r>
        <w:rPr>
          <w:rFonts w:hint="eastAsia"/>
          <w:sz w:val="24"/>
          <w:lang w:val="en-US" w:eastAsia="zh-CN"/>
        </w:rPr>
        <w:t>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五、一般公共预算财政拨款支出决算情况说明</w:t>
      </w:r>
      <w:r>
        <w:rPr>
          <w:rFonts w:hint="eastAsia"/>
          <w:sz w:val="24"/>
          <w:lang w:val="en-US" w:eastAsia="zh-CN"/>
        </w:rPr>
        <w:t>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六、一般公共预算财政拨款基本支出决算情况说明</w:t>
      </w:r>
      <w:r>
        <w:rPr>
          <w:rFonts w:hint="eastAsia"/>
          <w:sz w:val="24"/>
          <w:lang w:val="en-US" w:eastAsia="zh-CN"/>
        </w:rPr>
        <w:t>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七、</w:t>
      </w:r>
      <w:r>
        <w:rPr>
          <w:sz w:val="24"/>
        </w:rPr>
        <w:t>“</w:t>
      </w:r>
      <w:r>
        <w:rPr>
          <w:rFonts w:hint="eastAsia"/>
          <w:sz w:val="24"/>
        </w:rPr>
        <w:t>三公”经费财政拨款支出决算情况说明</w:t>
      </w:r>
      <w:r>
        <w:rPr>
          <w:rFonts w:hint="eastAsia"/>
          <w:sz w:val="24"/>
          <w:lang w:val="en-US" w:eastAsia="zh-CN"/>
        </w:rPr>
        <w:t>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八、政府性基金预算支出决算情况说明</w:t>
      </w:r>
      <w:r>
        <w:rPr>
          <w:rFonts w:hint="eastAsia"/>
          <w:sz w:val="24"/>
          <w:lang w:val="en-US" w:eastAsia="zh-CN"/>
        </w:rPr>
        <w:t>.............................................</w:t>
      </w:r>
    </w:p>
    <w:p>
      <w:pPr>
        <w:pStyle w:val="12"/>
        <w:adjustRightInd w:val="0"/>
        <w:snapToGrid w:val="0"/>
        <w:spacing w:line="440" w:lineRule="exact"/>
        <w:ind w:leftChars="0"/>
        <w:jc w:val="left"/>
        <w:rPr>
          <w:rFonts w:hint="default" w:ascii="仿宋" w:hAnsi="仿宋" w:eastAsia="宋体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九、</w:t>
      </w:r>
      <w:r>
        <w:rPr>
          <w:sz w:val="24"/>
        </w:rPr>
        <w:t xml:space="preserve"> 国</w:t>
      </w:r>
      <w:r>
        <w:rPr>
          <w:rFonts w:hint="eastAsia"/>
          <w:sz w:val="24"/>
        </w:rPr>
        <w:t>有资本经营预算支出决算情况说明</w:t>
      </w:r>
      <w:r>
        <w:rPr>
          <w:rFonts w:hint="eastAsia"/>
          <w:sz w:val="24"/>
          <w:lang w:val="en-US" w:eastAsia="zh-CN"/>
        </w:rPr>
        <w:t>.......................................</w:t>
      </w:r>
    </w:p>
    <w:p>
      <w:pPr>
        <w:adjustRightInd w:val="0"/>
        <w:snapToGrid w:val="0"/>
        <w:spacing w:line="440" w:lineRule="exact"/>
        <w:ind w:firstLine="480" w:firstLineChars="200"/>
        <w:jc w:val="left"/>
        <w:rPr>
          <w:rFonts w:ascii="仿宋" w:hAnsi="仿宋" w:eastAsia="仿宋" w:cstheme="minorBidi"/>
          <w:sz w:val="24"/>
        </w:rPr>
      </w:pPr>
      <w:r>
        <w:rPr>
          <w:rStyle w:val="16"/>
          <w:rFonts w:hint="eastAsia" w:ascii="仿宋" w:hAnsi="仿宋" w:eastAsia="仿宋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十、</w:t>
      </w:r>
      <w:r>
        <w:rPr>
          <w:rFonts w:hint="eastAsia"/>
          <w:sz w:val="24"/>
        </w:rPr>
        <w:t>其他重要事项的情况说明</w:t>
      </w:r>
      <w:r>
        <w:rPr>
          <w:rFonts w:hint="eastAsia"/>
          <w:sz w:val="24"/>
          <w:lang w:val="en-US" w:eastAsia="zh-CN"/>
        </w:rPr>
        <w:t>............................................................</w:t>
      </w:r>
      <w:r>
        <w:rPr>
          <w:rFonts w:ascii="仿宋" w:hAnsi="仿宋" w:eastAsia="仿宋"/>
          <w:sz w:val="24"/>
        </w:rPr>
        <w:tab/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default" w:cstheme="minorBidi"/>
          <w:sz w:val="24"/>
          <w:szCs w:val="24"/>
          <w:lang w:val="en-US"/>
        </w:rPr>
      </w:pPr>
      <w:r>
        <w:rPr>
          <w:rFonts w:hint="eastAsia"/>
          <w:sz w:val="24"/>
        </w:rPr>
        <w:t>第三部分</w:t>
      </w:r>
      <w:r>
        <w:rPr>
          <w:sz w:val="24"/>
        </w:rPr>
        <w:t xml:space="preserve"> </w:t>
      </w:r>
      <w:r>
        <w:rPr>
          <w:rFonts w:hint="eastAsia"/>
          <w:sz w:val="24"/>
        </w:rPr>
        <w:t>名词解释</w:t>
      </w:r>
      <w:r>
        <w:rPr>
          <w:rFonts w:hint="eastAsia" w:cstheme="minorBidi"/>
          <w:sz w:val="24"/>
          <w:szCs w:val="24"/>
          <w:lang w:val="en-US" w:eastAsia="zh-CN"/>
        </w:rPr>
        <w:t>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  <w:lang w:val="en-US" w:eastAsia="zh-CN"/>
        </w:rPr>
        <w:t>.....................................................................................................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  <w:r>
        <w:rPr>
          <w:rFonts w:hint="eastAsia"/>
          <w:sz w:val="24"/>
          <w:lang w:val="en-US" w:eastAsia="zh-CN"/>
        </w:rPr>
        <w:t>.....................................................................................................</w:t>
      </w:r>
    </w:p>
    <w:p>
      <w:pPr>
        <w:pStyle w:val="11"/>
        <w:adjustRightInd w:val="0"/>
        <w:snapToGrid w:val="0"/>
        <w:spacing w:before="0" w:line="440" w:lineRule="exact"/>
        <w:jc w:val="left"/>
        <w:rPr>
          <w:rFonts w:hint="default" w:eastAsia="仿宋" w:cstheme="minorBidi"/>
          <w:sz w:val="24"/>
          <w:szCs w:val="24"/>
          <w:lang w:val="en-US" w:eastAsia="zh-CN"/>
        </w:rPr>
      </w:pPr>
      <w:r>
        <w:rPr>
          <w:rFonts w:hint="eastAsia"/>
          <w:sz w:val="24"/>
        </w:rPr>
        <w:t>第五部分</w:t>
      </w:r>
      <w:r>
        <w:rPr>
          <w:sz w:val="24"/>
        </w:rPr>
        <w:t xml:space="preserve"> </w:t>
      </w:r>
      <w:r>
        <w:rPr>
          <w:rFonts w:hint="eastAsia"/>
          <w:sz w:val="24"/>
        </w:rPr>
        <w:t>附表</w:t>
      </w:r>
      <w:r>
        <w:rPr>
          <w:rFonts w:hint="eastAsia"/>
          <w:sz w:val="24"/>
          <w:lang w:val="en-US" w:eastAsia="zh-CN"/>
        </w:rPr>
        <w:t>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一、</w:t>
      </w:r>
      <w:r>
        <w:rPr>
          <w:rFonts w:hint="eastAsia"/>
          <w:sz w:val="24"/>
        </w:rPr>
        <w:t>收入支出决算总表</w:t>
      </w:r>
      <w:r>
        <w:rPr>
          <w:rFonts w:hint="eastAsia"/>
          <w:sz w:val="24"/>
          <w:lang w:val="en-US" w:eastAsia="zh-CN"/>
        </w:rPr>
        <w:t>...........................................................................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二、</w:t>
      </w:r>
      <w:r>
        <w:rPr>
          <w:rFonts w:hint="eastAsia"/>
          <w:sz w:val="24"/>
        </w:rPr>
        <w:t>收入</w:t>
      </w:r>
      <w:r>
        <w:rPr>
          <w:rFonts w:hint="eastAsia" w:ascii="仿宋" w:hAnsi="仿宋" w:eastAsia="仿宋"/>
          <w:sz w:val="24"/>
        </w:rPr>
        <w:t>决算</w:t>
      </w:r>
      <w:r>
        <w:rPr>
          <w:rFonts w:hint="eastAsia"/>
          <w:sz w:val="24"/>
        </w:rPr>
        <w:t>表</w:t>
      </w:r>
      <w:r>
        <w:rPr>
          <w:rFonts w:hint="eastAsia"/>
          <w:sz w:val="24"/>
          <w:lang w:val="en-US" w:eastAsia="zh-CN"/>
        </w:rPr>
        <w:t>.......................................................................................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三、</w:t>
      </w:r>
      <w:r>
        <w:rPr>
          <w:rFonts w:hint="eastAsia"/>
          <w:sz w:val="24"/>
        </w:rPr>
        <w:t>支出</w:t>
      </w:r>
      <w:r>
        <w:rPr>
          <w:rFonts w:hint="eastAsia" w:ascii="仿宋" w:hAnsi="仿宋" w:eastAsia="仿宋"/>
          <w:sz w:val="24"/>
        </w:rPr>
        <w:t>决算</w:t>
      </w:r>
      <w:r>
        <w:rPr>
          <w:rFonts w:hint="eastAsia"/>
          <w:sz w:val="24"/>
        </w:rPr>
        <w:t>表</w:t>
      </w:r>
      <w:r>
        <w:rPr>
          <w:rFonts w:hint="eastAsia"/>
          <w:sz w:val="24"/>
          <w:lang w:val="en-US" w:eastAsia="zh-CN"/>
        </w:rPr>
        <w:t>........................................................................................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四、</w:t>
      </w:r>
      <w:r>
        <w:rPr>
          <w:rFonts w:hint="eastAsia"/>
          <w:sz w:val="24"/>
        </w:rPr>
        <w:t>财政拨款收入支出决算总表</w:t>
      </w:r>
      <w:r>
        <w:rPr>
          <w:rFonts w:hint="eastAsia"/>
          <w:sz w:val="24"/>
          <w:lang w:val="en-US" w:eastAsia="zh-CN"/>
        </w:rPr>
        <w:t>................................................................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五、财政拨款支出决算明细表</w:t>
      </w:r>
      <w:r>
        <w:rPr>
          <w:rFonts w:hint="eastAsia" w:ascii="仿宋" w:hAnsi="仿宋" w:eastAsia="仿宋"/>
          <w:sz w:val="24"/>
          <w:lang w:val="en-US" w:eastAsia="zh-CN"/>
        </w:rPr>
        <w:t>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六、</w:t>
      </w:r>
      <w:r>
        <w:rPr>
          <w:rFonts w:hint="eastAsia"/>
          <w:sz w:val="24"/>
        </w:rPr>
        <w:t>一般公共预算财政拨款支出决算表</w:t>
      </w:r>
      <w:r>
        <w:rPr>
          <w:rFonts w:hint="eastAsia"/>
          <w:sz w:val="24"/>
          <w:lang w:val="en-US" w:eastAsia="zh-CN"/>
        </w:rPr>
        <w:t>.........................................................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七、</w:t>
      </w:r>
      <w:r>
        <w:rPr>
          <w:rFonts w:hint="eastAsia"/>
          <w:sz w:val="24"/>
        </w:rPr>
        <w:t>一般公共预算财政拨款支出决算明细表</w:t>
      </w:r>
      <w:r>
        <w:rPr>
          <w:rFonts w:hint="eastAsia"/>
          <w:sz w:val="24"/>
          <w:lang w:val="en-US" w:eastAsia="zh-CN"/>
        </w:rPr>
        <w:t>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八、</w:t>
      </w:r>
      <w:r>
        <w:rPr>
          <w:rFonts w:hint="eastAsia"/>
          <w:sz w:val="24"/>
        </w:rPr>
        <w:t>一般公共预算财政拨款基本支出决算表</w:t>
      </w:r>
      <w:r>
        <w:rPr>
          <w:rFonts w:hint="eastAsia"/>
          <w:sz w:val="24"/>
          <w:lang w:val="en-US" w:eastAsia="zh-CN"/>
        </w:rPr>
        <w:t>........................................................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九、</w:t>
      </w:r>
      <w:r>
        <w:rPr>
          <w:rFonts w:hint="eastAsia"/>
          <w:sz w:val="24"/>
        </w:rPr>
        <w:t>一般公共预算财政拨款项目支出决算表</w:t>
      </w:r>
      <w:r>
        <w:rPr>
          <w:rFonts w:hint="eastAsia"/>
          <w:sz w:val="24"/>
          <w:lang w:val="en-US" w:eastAsia="zh-CN"/>
        </w:rPr>
        <w:t>.................................................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十、</w:t>
      </w:r>
      <w:r>
        <w:rPr>
          <w:rFonts w:hint="eastAsia"/>
          <w:sz w:val="24"/>
        </w:rPr>
        <w:t>一般公共预算财政拨款“三公”经费支出决算表</w:t>
      </w:r>
      <w:r>
        <w:rPr>
          <w:rFonts w:hint="eastAsia"/>
          <w:sz w:val="24"/>
          <w:lang w:val="en-US" w:eastAsia="zh-CN"/>
        </w:rPr>
        <w:t>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十一、</w:t>
      </w:r>
      <w:r>
        <w:rPr>
          <w:rFonts w:hint="eastAsia"/>
          <w:sz w:val="24"/>
        </w:rPr>
        <w:t>政府性基金预算财政拨款收入支出决算表</w:t>
      </w:r>
      <w:r>
        <w:rPr>
          <w:rFonts w:hint="eastAsia"/>
          <w:sz w:val="24"/>
          <w:lang w:val="en-US" w:eastAsia="zh-CN"/>
        </w:rPr>
        <w:t>.........................................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十二、</w:t>
      </w:r>
      <w:r>
        <w:rPr>
          <w:rFonts w:hint="eastAsia"/>
          <w:sz w:val="24"/>
        </w:rPr>
        <w:t>政府性基金预算财政拨款“三公”经费支出决算表</w:t>
      </w:r>
      <w:r>
        <w:rPr>
          <w:rFonts w:hint="eastAsia"/>
          <w:sz w:val="24"/>
          <w:lang w:val="en-US" w:eastAsia="zh-CN"/>
        </w:rPr>
        <w:t>............................</w:t>
      </w:r>
    </w:p>
    <w:p>
      <w:pPr>
        <w:pStyle w:val="12"/>
        <w:adjustRightInd w:val="0"/>
        <w:snapToGrid w:val="0"/>
        <w:spacing w:line="440" w:lineRule="exact"/>
        <w:jc w:val="left"/>
        <w:rPr>
          <w:rFonts w:hint="default" w:ascii="仿宋" w:hAnsi="仿宋" w:eastAsia="宋体" w:cstheme="minorBidi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十三、</w:t>
      </w:r>
      <w:r>
        <w:rPr>
          <w:rFonts w:hint="eastAsia"/>
          <w:sz w:val="24"/>
        </w:rPr>
        <w:t>国有资本经营预算支出决算表</w:t>
      </w:r>
      <w:r>
        <w:rPr>
          <w:rFonts w:hint="eastAsia"/>
          <w:sz w:val="24"/>
          <w:lang w:val="en-US" w:eastAsia="zh-CN"/>
        </w:rPr>
        <w:t>....................................................................</w:t>
      </w:r>
    </w:p>
    <w:p>
      <w:pPr>
        <w:widowControl/>
        <w:spacing w:line="440" w:lineRule="exact"/>
        <w:jc w:val="left"/>
        <w:rPr>
          <w:rFonts w:ascii="仿宋" w:hAnsi="仿宋" w:eastAsia="仿宋"/>
          <w:bCs/>
          <w:kern w:val="44"/>
          <w:sz w:val="24"/>
        </w:rPr>
      </w:pPr>
      <w:bookmarkStart w:id="12" w:name="_Toc15396599"/>
      <w:bookmarkStart w:id="13" w:name="_Toc15377196"/>
      <w:r>
        <w:rPr>
          <w:rFonts w:ascii="仿宋" w:hAnsi="仿宋" w:eastAsia="仿宋"/>
          <w:b/>
          <w:sz w:val="24"/>
        </w:rPr>
        <w:br w:type="page"/>
      </w:r>
    </w:p>
    <w:p>
      <w:pPr>
        <w:pStyle w:val="3"/>
        <w:jc w:val="center"/>
        <w:rPr>
          <w:rStyle w:val="25"/>
          <w:rFonts w:ascii="黑体" w:hAnsi="黑体" w:eastAsia="黑体"/>
          <w:b/>
          <w:bCs w:val="0"/>
        </w:rPr>
      </w:pPr>
      <w:r>
        <w:rPr>
          <w:rFonts w:hint="eastAsia" w:ascii="黑体" w:hAnsi="黑体" w:eastAsia="黑体"/>
          <w:b w:val="0"/>
        </w:rPr>
        <w:t xml:space="preserve">第一部分 </w:t>
      </w:r>
      <w:r>
        <w:rPr>
          <w:rStyle w:val="25"/>
          <w:rFonts w:hint="eastAsia" w:ascii="黑体" w:hAnsi="黑体" w:eastAsia="黑体"/>
          <w:b w:val="0"/>
          <w:bCs w:val="0"/>
        </w:rPr>
        <w:t>部门概况</w:t>
      </w:r>
      <w:bookmarkEnd w:id="12"/>
      <w:bookmarkEnd w:id="13"/>
    </w:p>
    <w:p>
      <w:pPr>
        <w:widowControl/>
        <w:jc w:val="left"/>
        <w:rPr>
          <w:rFonts w:ascii="黑体" w:eastAsia="黑体"/>
          <w:color w:val="000000"/>
          <w:sz w:val="32"/>
          <w:szCs w:val="32"/>
        </w:rPr>
      </w:pPr>
    </w:p>
    <w:p>
      <w:pPr>
        <w:pStyle w:val="4"/>
        <w:rPr>
          <w:rStyle w:val="26"/>
          <w:rFonts w:ascii="仿宋" w:hAnsi="仿宋" w:eastAsia="仿宋"/>
          <w:b w:val="0"/>
          <w:bCs w:val="0"/>
        </w:rPr>
      </w:pPr>
      <w:bookmarkStart w:id="14" w:name="_Toc15377197"/>
      <w:bookmarkStart w:id="15" w:name="_Toc15396600"/>
      <w:r>
        <w:rPr>
          <w:rFonts w:hint="eastAsia" w:ascii="黑体" w:hAnsi="黑体" w:eastAsia="黑体"/>
          <w:b w:val="0"/>
          <w:color w:val="000000"/>
        </w:rPr>
        <w:t>一、基</w:t>
      </w:r>
      <w:r>
        <w:rPr>
          <w:rStyle w:val="26"/>
          <w:rFonts w:hint="eastAsia" w:ascii="黑体" w:hAnsi="黑体" w:eastAsia="黑体"/>
          <w:b w:val="0"/>
          <w:bCs w:val="0"/>
        </w:rPr>
        <w:t>本职能及主要工作</w:t>
      </w:r>
      <w:bookmarkEnd w:id="14"/>
      <w:bookmarkEnd w:id="15"/>
    </w:p>
    <w:p>
      <w:pPr>
        <w:pStyle w:val="6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16" w:name="_Toc15377198"/>
      <w:bookmarkStart w:id="17" w:name="_Toc15378445"/>
      <w:r>
        <w:rPr>
          <w:rFonts w:hint="eastAsia" w:ascii="仿宋" w:hAnsi="仿宋" w:eastAsia="仿宋"/>
          <w:bCs/>
          <w:color w:val="000000"/>
          <w:sz w:val="32"/>
          <w:szCs w:val="32"/>
        </w:rPr>
        <w:t>（一）主要职能。</w:t>
      </w:r>
      <w:bookmarkEnd w:id="16"/>
      <w:bookmarkEnd w:id="17"/>
      <w:bookmarkStart w:id="18" w:name="_Toc15378446"/>
      <w:bookmarkStart w:id="19" w:name="_Toc1537719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pStyle w:val="6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（二）</w:t>
      </w:r>
      <w:r>
        <w:rPr>
          <w:rFonts w:ascii="仿宋" w:hAnsi="仿宋" w:eastAsia="仿宋"/>
          <w:bCs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9年重点工作完成情况。</w:t>
      </w:r>
      <w:bookmarkEnd w:id="18"/>
      <w:bookmarkEnd w:id="19"/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投资1826万元完成壤塘县中壤塘镇则曲河防洪治理工程并通过验收；壤塘县尕古玛沟道治理及生态修复工程项目总投资3701.26万元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投资230万元完成了壤塘县2019年山洪灾害防治项目非工程措施建设任务；投资800万元完成了壤塘县巴莱沟防洪治理工程建设任务；投资982万元实施壤塘县2019年农村安全饮水巩固提升项目，新建自流饮水15处，建设机电井162口、维修37处，建设简井50口。解决3536人饮水问题，其中贫困户52户、256人；</w:t>
      </w:r>
      <w:r>
        <w:rPr>
          <w:rFonts w:hint="eastAsia" w:ascii="仿宋" w:hAnsi="仿宋" w:eastAsia="仿宋" w:cs="仿宋"/>
          <w:sz w:val="32"/>
          <w:szCs w:val="32"/>
        </w:rPr>
        <w:t>投资450万元实施</w:t>
      </w:r>
      <w:r>
        <w:rPr>
          <w:rFonts w:hint="eastAsia" w:ascii="仿宋" w:hAnsi="仿宋" w:eastAsia="仿宋" w:cs="仿宋"/>
          <w:bCs/>
          <w:sz w:val="32"/>
          <w:szCs w:val="32"/>
        </w:rPr>
        <w:t>壤塘县康旭</w:t>
      </w:r>
      <w:r>
        <w:rPr>
          <w:rFonts w:hint="eastAsia" w:ascii="仿宋" w:hAnsi="仿宋" w:eastAsia="仿宋" w:cs="仿宋"/>
          <w:sz w:val="32"/>
          <w:szCs w:val="32"/>
        </w:rPr>
        <w:t>沟一、二期防洪治理工程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推进河湖长制工作。各级河长和生态管护巡河员积极履职，巡查河段600余公里、各级河长巡河400余次、生态管护巡河员巡河500余次、老百姓参与清理河道200余人、清运河道建筑弃土、弃渣、垃圾10余吨、清理水域岸线30余公里、发现问题14处、完成整改问题14处，做到了问题早发现、整改早销号，有效遏制了危害河湖健康的行为。完成水利部暗访督查我县河（湖）长制工作发现反馈的3个问题，省暗访反馈2个问题，已在7月全部完成整改并销号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加强河道规范管理，提高执法力度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加强汛期安全工作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大力开展水法宣传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6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 w:cs="仿宋"/>
          <w:bCs/>
          <w:color w:val="000000"/>
          <w:sz w:val="32"/>
          <w:szCs w:val="32"/>
        </w:rPr>
      </w:pPr>
    </w:p>
    <w:p>
      <w:pPr>
        <w:pStyle w:val="4"/>
        <w:rPr>
          <w:rStyle w:val="26"/>
          <w:b w:val="0"/>
          <w:bCs w:val="0"/>
        </w:rPr>
      </w:pPr>
      <w:bookmarkStart w:id="20" w:name="_Toc15377200"/>
      <w:bookmarkStart w:id="21" w:name="_Toc15396601"/>
      <w:r>
        <w:rPr>
          <w:rFonts w:hint="eastAsia" w:ascii="黑体" w:eastAsia="黑体"/>
          <w:b w:val="0"/>
          <w:color w:val="000000"/>
        </w:rPr>
        <w:t>二、</w:t>
      </w:r>
      <w:r>
        <w:rPr>
          <w:rFonts w:hint="eastAsia" w:ascii="黑体" w:hAnsi="黑体" w:eastAsia="黑体"/>
          <w:b w:val="0"/>
          <w:color w:val="000000"/>
        </w:rPr>
        <w:t>机</w:t>
      </w:r>
      <w:r>
        <w:rPr>
          <w:rStyle w:val="26"/>
          <w:rFonts w:hint="eastAsia" w:ascii="黑体" w:hAnsi="黑体" w:eastAsia="黑体"/>
          <w:b w:val="0"/>
          <w:bCs w:val="0"/>
        </w:rPr>
        <w:t>构设置</w:t>
      </w:r>
      <w:bookmarkEnd w:id="20"/>
      <w:bookmarkEnd w:id="21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22" w:name="_Toc15377204"/>
      <w:bookmarkStart w:id="23" w:name="_Toc1539660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壤塘县农业畜牧和水务局科教站，内设事业股室：水资源股、水利股、质量监督站、水保股、建管股、规计股。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ind w:right="440"/>
        <w:jc w:val="right"/>
        <w:rPr>
          <w:rStyle w:val="25"/>
          <w:rFonts w:ascii="黑体" w:hAnsi="黑体" w:eastAsia="黑体"/>
          <w:b w:val="0"/>
          <w:bCs w:val="0"/>
        </w:rPr>
      </w:pPr>
      <w:r>
        <w:rPr>
          <w:rFonts w:hint="eastAsia" w:ascii="黑体" w:hAnsi="黑体" w:eastAsia="黑体"/>
          <w:b w:val="0"/>
          <w:color w:val="000000"/>
        </w:rPr>
        <w:t>第二部分</w:t>
      </w:r>
      <w:r>
        <w:rPr>
          <w:rFonts w:hint="eastAsia" w:ascii="黑体" w:hAnsi="黑体" w:eastAsia="黑体"/>
          <w:color w:val="000000"/>
        </w:rPr>
        <w:t xml:space="preserve"> </w:t>
      </w:r>
      <w:r>
        <w:rPr>
          <w:rStyle w:val="25"/>
          <w:rFonts w:hint="eastAsia" w:ascii="黑体" w:hAnsi="黑体" w:eastAsia="黑体"/>
          <w:b w:val="0"/>
          <w:bCs w:val="0"/>
        </w:rPr>
        <w:t>2019年度部门决算情况说明</w:t>
      </w:r>
      <w:bookmarkEnd w:id="22"/>
      <w:bookmarkEnd w:id="23"/>
    </w:p>
    <w:p/>
    <w:p>
      <w:pPr>
        <w:pStyle w:val="24"/>
        <w:numPr>
          <w:ilvl w:val="0"/>
          <w:numId w:val="1"/>
        </w:numPr>
        <w:spacing w:line="600" w:lineRule="exact"/>
        <w:ind w:firstLineChars="0"/>
        <w:outlineLvl w:val="1"/>
        <w:rPr>
          <w:rStyle w:val="26"/>
          <w:rFonts w:ascii="黑体" w:hAnsi="黑体" w:eastAsia="黑体"/>
          <w:b w:val="0"/>
        </w:rPr>
      </w:pPr>
      <w:bookmarkStart w:id="24" w:name="_Toc15396603"/>
      <w:bookmarkStart w:id="25" w:name="_Toc15377205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6"/>
          <w:rFonts w:hint="eastAsia" w:ascii="黑体" w:hAnsi="黑体" w:eastAsia="黑体"/>
          <w:b w:val="0"/>
        </w:rPr>
        <w:t>入支出决算总体情况说明</w:t>
      </w:r>
      <w:bookmarkEnd w:id="24"/>
      <w:bookmarkEnd w:id="25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2019年度收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万元。与2018年相比，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9.26万元，增长3.44%；主要变动原因工资变动。2019年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，支出减少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72.53万元，减少20.68%；主要变动原因是工资变动。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：收、支决算总计变动情况图）（柱状图）</w:t>
      </w:r>
    </w:p>
    <w:p>
      <w:pPr>
        <w:spacing w:line="600" w:lineRule="exact"/>
        <w:ind w:firstLine="42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23495</wp:posOffset>
            </wp:positionV>
            <wp:extent cx="4572000" cy="2294890"/>
            <wp:effectExtent l="4445" t="4445" r="14605" b="5715"/>
            <wp:wrapSquare wrapText="bothSides"/>
            <wp:docPr id="106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24"/>
        <w:numPr>
          <w:ilvl w:val="0"/>
          <w:numId w:val="0"/>
        </w:numPr>
        <w:spacing w:line="600" w:lineRule="exact"/>
        <w:ind w:left="640" w:leftChars="0"/>
        <w:outlineLvl w:val="1"/>
        <w:rPr>
          <w:rStyle w:val="26"/>
          <w:rFonts w:ascii="黑体" w:hAnsi="黑体" w:eastAsia="黑体"/>
          <w:b w:val="0"/>
        </w:rPr>
      </w:pPr>
      <w:bookmarkStart w:id="26" w:name="_Toc15396604"/>
      <w:bookmarkStart w:id="27" w:name="_Toc15377206"/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二二、收</w:t>
      </w:r>
      <w:r>
        <w:rPr>
          <w:rStyle w:val="26"/>
          <w:rFonts w:hint="eastAsia" w:ascii="黑体" w:hAnsi="黑体" w:eastAsia="黑体"/>
          <w:b w:val="0"/>
        </w:rPr>
        <w:t>入决算情况说明</w:t>
      </w:r>
      <w:bookmarkEnd w:id="26"/>
      <w:bookmarkEnd w:id="27"/>
    </w:p>
    <w:p>
      <w:pPr>
        <w:spacing w:line="600" w:lineRule="exact"/>
        <w:ind w:firstLine="640" w:firstLineChars="200"/>
        <w:outlineLvl w:val="1"/>
        <w:rPr>
          <w:rFonts w:hint="eastAsia" w:ascii="仿宋_GB2312" w:eastAsia="仿宋"/>
          <w:color w:val="FF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32"/>
        </w:rPr>
        <w:t>年本年收入合计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320" w:firstLineChars="1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（图2：收入决算结构图）（饼状图）</w:t>
      </w:r>
    </w:p>
    <w:p>
      <w:pPr>
        <w:spacing w:line="600" w:lineRule="exact"/>
        <w:ind w:firstLine="320" w:firstLineChars="1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320" w:firstLineChars="1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420" w:firstLineChars="200"/>
        <w:rPr>
          <w:rFonts w:ascii="仿宋_GB2312" w:eastAsia="仿宋_GB2312"/>
          <w:color w:val="FF000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-8519160</wp:posOffset>
            </wp:positionV>
            <wp:extent cx="5069840" cy="2952750"/>
            <wp:effectExtent l="4445" t="4445" r="12065" b="14605"/>
            <wp:wrapSquare wrapText="bothSides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pStyle w:val="24"/>
        <w:numPr>
          <w:ilvl w:val="0"/>
          <w:numId w:val="0"/>
        </w:numPr>
        <w:spacing w:line="600" w:lineRule="exact"/>
        <w:ind w:left="640" w:leftChars="0"/>
        <w:outlineLvl w:val="1"/>
        <w:rPr>
          <w:rStyle w:val="26"/>
          <w:rFonts w:ascii="黑体" w:hAnsi="黑体" w:eastAsia="黑体"/>
          <w:b w:val="0"/>
        </w:rPr>
      </w:pPr>
      <w:bookmarkStart w:id="28" w:name="_Toc15396605"/>
      <w:bookmarkStart w:id="29" w:name="_Toc15377207"/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color w:val="000000"/>
          <w:sz w:val="32"/>
          <w:szCs w:val="32"/>
        </w:rPr>
        <w:t>支</w:t>
      </w:r>
      <w:r>
        <w:rPr>
          <w:rStyle w:val="26"/>
          <w:rFonts w:hint="eastAsia" w:ascii="黑体" w:hAnsi="黑体" w:eastAsia="黑体"/>
          <w:b w:val="0"/>
        </w:rPr>
        <w:t>出决算情况说明</w:t>
      </w:r>
      <w:bookmarkEnd w:id="28"/>
      <w:bookmarkEnd w:id="29"/>
    </w:p>
    <w:p>
      <w:pPr>
        <w:spacing w:line="600" w:lineRule="exact"/>
        <w:ind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32"/>
        </w:rPr>
        <w:t>年本年支出合计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万元，其中：基本支出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（图3：支出决算结构图）（饼状图）</w:t>
      </w:r>
    </w:p>
    <w:p>
      <w:pPr>
        <w:spacing w:line="600" w:lineRule="exact"/>
        <w:ind w:firstLine="420" w:firstLineChars="200"/>
        <w:rPr>
          <w:rFonts w:ascii="仿宋_GB2312" w:eastAsia="仿宋_GB2312"/>
          <w:color w:val="FF000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137795</wp:posOffset>
            </wp:positionV>
            <wp:extent cx="5069840" cy="2581275"/>
            <wp:effectExtent l="4445" t="4445" r="12065" b="5080"/>
            <wp:wrapSquare wrapText="bothSides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pacing w:line="600" w:lineRule="exact"/>
        <w:ind w:firstLine="640" w:firstLineChars="200"/>
        <w:outlineLvl w:val="1"/>
        <w:rPr>
          <w:rStyle w:val="26"/>
          <w:rFonts w:ascii="黑体" w:hAnsi="黑体" w:eastAsia="黑体"/>
          <w:b w:val="0"/>
        </w:rPr>
      </w:pPr>
      <w:bookmarkStart w:id="30" w:name="_Toc15396606"/>
      <w:bookmarkStart w:id="31" w:name="_Toc15377208"/>
      <w:r>
        <w:rPr>
          <w:rFonts w:hint="eastAsia" w:ascii="黑体" w:hAnsi="黑体" w:eastAsia="黑体"/>
          <w:color w:val="000000"/>
          <w:sz w:val="32"/>
          <w:szCs w:val="32"/>
        </w:rPr>
        <w:t>四、财</w:t>
      </w:r>
      <w:r>
        <w:rPr>
          <w:rStyle w:val="26"/>
          <w:rFonts w:hint="eastAsia" w:ascii="黑体" w:hAnsi="黑体" w:eastAsia="黑体"/>
          <w:b w:val="0"/>
        </w:rPr>
        <w:t>政拨款收入支出决算总体情况说明</w:t>
      </w:r>
      <w:bookmarkEnd w:id="30"/>
      <w:bookmarkEnd w:id="31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2019年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财政拨款</w:t>
      </w:r>
      <w:r>
        <w:rPr>
          <w:rFonts w:hint="eastAsia" w:ascii="仿宋" w:hAnsi="仿宋" w:eastAsia="仿宋"/>
          <w:color w:val="000000"/>
          <w:sz w:val="32"/>
          <w:szCs w:val="32"/>
        </w:rPr>
        <w:t>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万元。与2018年相比，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9.26万元，增长3.44%；主要变动原因工资变动。2019年财政拨款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，支出减少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72.53万元，减少20.68%；主要变动原因是工资变动。</w:t>
      </w: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645795</wp:posOffset>
            </wp:positionV>
            <wp:extent cx="4572000" cy="2294890"/>
            <wp:effectExtent l="4445" t="4445" r="14605" b="5715"/>
            <wp:wrapSquare wrapText="bothSides"/>
            <wp:docPr id="2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（图4：财政拨款收、支决算总计变动情况）（柱状图）</w:t>
      </w: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/>
        <w:rPr>
          <w:rFonts w:ascii="仿宋" w:hAnsi="仿宋" w:eastAsia="仿宋"/>
          <w:b/>
          <w:color w:val="00B050"/>
          <w:sz w:val="32"/>
          <w:szCs w:val="32"/>
        </w:rPr>
      </w:pPr>
    </w:p>
    <w:p>
      <w:pPr>
        <w:spacing w:line="600" w:lineRule="exact"/>
        <w:outlineLvl w:val="1"/>
        <w:rPr>
          <w:rFonts w:hint="eastAsia" w:ascii="黑体" w:hAnsi="黑体" w:eastAsia="黑体"/>
          <w:color w:val="000000"/>
          <w:sz w:val="32"/>
          <w:szCs w:val="32"/>
        </w:rPr>
      </w:pPr>
      <w:bookmarkStart w:id="32" w:name="_Toc15396607"/>
      <w:bookmarkStart w:id="33" w:name="_Toc15377209"/>
    </w:p>
    <w:p>
      <w:pPr>
        <w:spacing w:line="600" w:lineRule="exact"/>
        <w:ind w:firstLine="640" w:firstLineChars="200"/>
        <w:outlineLvl w:val="1"/>
        <w:rPr>
          <w:rStyle w:val="26"/>
          <w:rFonts w:ascii="黑体" w:hAnsi="黑体" w:eastAsia="黑体"/>
          <w:b w:val="0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6"/>
          <w:rFonts w:hint="eastAsia" w:ascii="黑体" w:hAnsi="黑体" w:eastAsia="黑体"/>
          <w:b w:val="0"/>
        </w:rPr>
        <w:t>般公共预算财政拨款支出决算情况说明</w:t>
      </w:r>
      <w:bookmarkEnd w:id="32"/>
      <w:bookmarkEnd w:id="33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4" w:name="_Toc15377210"/>
      <w:r>
        <w:rPr>
          <w:rFonts w:hint="eastAsia" w:ascii="仿宋" w:hAnsi="仿宋" w:eastAsia="仿宋"/>
          <w:b/>
          <w:color w:val="000000"/>
          <w:sz w:val="32"/>
          <w:szCs w:val="32"/>
        </w:rPr>
        <w:t>（一）一般公共预算财政拨款支出决算总体情况</w:t>
      </w:r>
      <w:bookmarkEnd w:id="34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9年一般公共预算财政拨款支出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万元，占本年支出合计的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。与</w:t>
      </w: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8年相比，一般公共预算财政拨款减少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72.53</w:t>
      </w:r>
      <w:r>
        <w:rPr>
          <w:rFonts w:hint="eastAsia" w:ascii="仿宋" w:hAnsi="仿宋" w:eastAsia="仿宋"/>
          <w:color w:val="000000"/>
          <w:sz w:val="32"/>
          <w:szCs w:val="32"/>
        </w:rPr>
        <w:t>万元，下降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20.68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。主要变动原因是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工资变动。</w:t>
      </w: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（图5：一般公共预算财政拨款支出决算变动情况）（柱状图）</w:t>
      </w: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-2567305</wp:posOffset>
            </wp:positionV>
            <wp:extent cx="5638165" cy="2890520"/>
            <wp:effectExtent l="4445" t="4445" r="15240" b="19685"/>
            <wp:wrapSquare wrapText="bothSides"/>
            <wp:docPr id="5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5" w:name="_Toc15377211"/>
      <w:r>
        <w:rPr>
          <w:rFonts w:hint="eastAsia" w:ascii="仿宋" w:hAnsi="仿宋" w:eastAsia="仿宋"/>
          <w:b/>
          <w:color w:val="000000"/>
          <w:sz w:val="32"/>
          <w:szCs w:val="32"/>
        </w:rPr>
        <w:t>（二）一般公共预算财政拨款支出决算结构情况</w:t>
      </w:r>
      <w:bookmarkEnd w:id="35"/>
    </w:p>
    <w:p>
      <w:pPr>
        <w:spacing w:line="600" w:lineRule="exact"/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9年一般公共预算财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278.2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43.88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15.77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14.47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5.3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193.96万元，占69.63%；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25.89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9.3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（图6：一般公共预算财政拨款支出决算结构）（饼状图）</w:t>
      </w:r>
    </w:p>
    <w:p>
      <w:pPr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326390</wp:posOffset>
            </wp:positionV>
            <wp:extent cx="5274310" cy="2475230"/>
            <wp:effectExtent l="4445" t="4445" r="17145" b="15875"/>
            <wp:wrapSquare wrapText="bothSides"/>
            <wp:docPr id="6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>
      <w:pPr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6" w:name="_Toc15377212"/>
      <w:r>
        <w:rPr>
          <w:rFonts w:hint="eastAsia" w:ascii="仿宋" w:hAnsi="仿宋" w:eastAsia="仿宋"/>
          <w:b/>
          <w:color w:val="000000"/>
          <w:sz w:val="32"/>
          <w:szCs w:val="32"/>
        </w:rPr>
        <w:t>（三）一般公共预算财政拨款支出决算具体情况</w:t>
      </w:r>
      <w:bookmarkEnd w:id="36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FF0000"/>
          <w:sz w:val="32"/>
          <w:szCs w:val="32"/>
        </w:rPr>
      </w:pPr>
      <w:bookmarkStart w:id="37" w:name="_Toc15377213"/>
      <w:bookmarkStart w:id="38" w:name="_Toc15378460"/>
      <w:bookmarkStart w:id="39" w:name="_Toc15377444"/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2019年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般公共预算支出决算数为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278.2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15"/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</w:t>
      </w: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</w:rPr>
        <w:t>预算</w:t>
      </w: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</w:rPr>
        <w:t>。其中：</w:t>
      </w:r>
      <w:bookmarkEnd w:id="37"/>
      <w:bookmarkEnd w:id="38"/>
      <w:bookmarkEnd w:id="39"/>
    </w:p>
    <w:p>
      <w:pPr>
        <w:numPr>
          <w:ilvl w:val="0"/>
          <w:numId w:val="2"/>
        </w:numPr>
        <w:spacing w:line="600" w:lineRule="exact"/>
        <w:ind w:firstLine="643" w:firstLineChars="200"/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</w:rPr>
        <w:t>社会保障和就业</w:t>
      </w: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支出</w:t>
      </w:r>
      <w:r>
        <w:rPr>
          <w:rStyle w:val="15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 xml:space="preserve"> 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43.88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2"/>
        </w:num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5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卫生健康支出</w:t>
      </w:r>
      <w:r>
        <w:rPr>
          <w:rStyle w:val="15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14.47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2"/>
        </w:num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5"/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农林水支出：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193.96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2"/>
        </w:num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住房保障支出：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25.89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6"/>
        </w:rPr>
      </w:pPr>
      <w:bookmarkStart w:id="40" w:name="_Toc15377214"/>
      <w:bookmarkStart w:id="41" w:name="_Toc15396608"/>
      <w:r>
        <w:rPr>
          <w:rFonts w:hint="eastAsia" w:ascii="黑体" w:eastAsia="黑体"/>
          <w:color w:val="000000"/>
          <w:sz w:val="32"/>
          <w:szCs w:val="32"/>
        </w:rPr>
        <w:t>六</w:t>
      </w:r>
      <w:r>
        <w:rPr>
          <w:rFonts w:hint="eastAsia" w:ascii="黑体" w:eastAsia="黑体"/>
          <w:b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6"/>
          <w:rFonts w:hint="eastAsia" w:ascii="黑体" w:hAnsi="黑体" w:eastAsia="黑体"/>
          <w:b w:val="0"/>
        </w:rPr>
        <w:t>般公共预算财政拨款基本支出决算情况说明</w:t>
      </w:r>
      <w:bookmarkEnd w:id="40"/>
      <w:bookmarkEnd w:id="41"/>
      <w:r>
        <w:rPr>
          <w:rStyle w:val="26"/>
          <w:rFonts w:ascii="黑体" w:hAnsi="黑体" w:eastAsia="黑体"/>
          <w:b w:val="0"/>
        </w:rPr>
        <w:tab/>
      </w:r>
    </w:p>
    <w:p>
      <w:pPr>
        <w:spacing w:line="600" w:lineRule="exact"/>
        <w:ind w:firstLine="645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9年一般公共预算财政拨款基本支出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278.2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</w:t>
      </w:r>
    </w:p>
    <w:p>
      <w:pPr>
        <w:spacing w:line="600" w:lineRule="exact"/>
        <w:ind w:firstLine="645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人员经费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265.31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基本工资、津贴补贴、奖金、绩效工资、机关事业单位基本养老保险缴费、职业年金缴费、其他社会保障缴费、其他工资福利支出、生活补助、医疗费补助、奖励金、住房公积金、其他对个人和家庭的补助支出等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000000"/>
          <w:sz w:val="32"/>
          <w:szCs w:val="32"/>
        </w:rPr>
        <w:t>　　日常公用经费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12.89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万元，主要包括：办公费、印刷费、手续费、水费、电费、邮电费、差旅费、维修（护）费、租赁费、培训费、公务接待费、劳务费、工会经费、公务用车运行维护费、其他商品和服务支出等。</w:t>
      </w:r>
    </w:p>
    <w:p>
      <w:pPr>
        <w:spacing w:line="600" w:lineRule="exact"/>
        <w:ind w:firstLine="640"/>
        <w:outlineLvl w:val="1"/>
        <w:rPr>
          <w:rStyle w:val="26"/>
          <w:rFonts w:ascii="黑体" w:hAnsi="黑体" w:eastAsia="黑体"/>
          <w:b w:val="0"/>
        </w:rPr>
      </w:pPr>
      <w:bookmarkStart w:id="42" w:name="_Toc15396609"/>
      <w:bookmarkStart w:id="43" w:name="_Toc15377215"/>
      <w:r>
        <w:rPr>
          <w:rFonts w:hint="eastAsia" w:ascii="黑体" w:eastAsia="黑体"/>
          <w:color w:val="000000"/>
          <w:sz w:val="32"/>
          <w:szCs w:val="32"/>
        </w:rPr>
        <w:t>七、</w:t>
      </w:r>
      <w:r>
        <w:rPr>
          <w:rStyle w:val="26"/>
          <w:rFonts w:hint="eastAsia" w:ascii="黑体" w:hAnsi="黑体" w:eastAsia="黑体"/>
        </w:rPr>
        <w:t>“</w:t>
      </w:r>
      <w:r>
        <w:rPr>
          <w:rStyle w:val="26"/>
          <w:rFonts w:hint="eastAsia" w:ascii="黑体" w:hAnsi="黑体" w:eastAsia="黑体"/>
          <w:b w:val="0"/>
        </w:rPr>
        <w:t>三公”经费财政拨款支出决算情况说明</w:t>
      </w:r>
      <w:bookmarkEnd w:id="42"/>
      <w:bookmarkEnd w:id="43"/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4" w:name="_Toc15377216"/>
      <w:r>
        <w:rPr>
          <w:rFonts w:hint="eastAsia" w:ascii="仿宋" w:hAnsi="仿宋" w:eastAsia="仿宋"/>
          <w:b/>
          <w:color w:val="000000"/>
          <w:sz w:val="32"/>
          <w:szCs w:val="32"/>
        </w:rPr>
        <w:t>（一）“三公”经费财政拨款支出决算总体情况说明</w:t>
      </w:r>
      <w:bookmarkEnd w:id="44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9年“三公”经费财政拨款支出决算为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2.65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决算数与预算数持平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5" w:name="_Toc15377217"/>
      <w:r>
        <w:rPr>
          <w:rFonts w:hint="eastAsia" w:ascii="仿宋" w:hAnsi="仿宋" w:eastAsia="仿宋"/>
          <w:b/>
          <w:color w:val="000000"/>
          <w:sz w:val="32"/>
          <w:szCs w:val="32"/>
        </w:rPr>
        <w:t>（二）“三公”经费财政拨款支出决算具体情况说明</w:t>
      </w:r>
      <w:bookmarkEnd w:id="45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9年“三公”经费财政拨款支出决算中，因公出国（境）费支出决算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；公务用车购置及运行维护费支出决算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2.5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94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；公务接待费支出决算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。具体情况如下：</w:t>
      </w: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（图7：“三公”经费财政拨款支出结构）（饼状图）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5273040" cy="2137410"/>
            <wp:effectExtent l="4445" t="4445" r="18415" b="10795"/>
            <wp:docPr id="7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b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公务用车购置及运行维护费支出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color w:val="000000"/>
          <w:sz w:val="32"/>
          <w:szCs w:val="32"/>
        </w:rPr>
        <w:t>万元,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公务用车购置及运行维护费支出决算比</w:t>
      </w: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8年增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万元，主要原因是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出差增加。</w:t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公务用车运行维护费支出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color w:val="000000"/>
          <w:sz w:val="32"/>
          <w:szCs w:val="32"/>
        </w:rPr>
        <w:t>万元。主要用于公务用车燃料费、维修费、过路过桥费、保险费等支出。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公务接待费支出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仿宋_GB2312" w:eastAsia="仿宋_GB2312"/>
          <w:color w:val="000000"/>
          <w:sz w:val="32"/>
          <w:szCs w:val="32"/>
        </w:rPr>
        <w:t>万元，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5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5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公务接待费支出决算比</w:t>
      </w: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8年增加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仿宋_GB2312" w:eastAsia="仿宋_GB2312"/>
          <w:color w:val="000000"/>
          <w:sz w:val="32"/>
          <w:szCs w:val="32"/>
        </w:rPr>
        <w:t>万元。主要原因是接待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上级检查工作。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国内公务接待支出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万元，主要用于开展业务活动开支的交通费、住宿费、用餐费等。国内公务接待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批次，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人次（不包括陪同人员），共计支出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仿宋_GB2312" w:eastAsia="仿宋_GB2312"/>
          <w:color w:val="000000"/>
          <w:sz w:val="32"/>
          <w:szCs w:val="32"/>
        </w:rPr>
        <w:t>万元，具体内容包括：接待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上级检查工作，金额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1500元。</w:t>
      </w:r>
    </w:p>
    <w:p>
      <w:pPr>
        <w:spacing w:line="600" w:lineRule="exact"/>
        <w:ind w:firstLine="643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外事接待支出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，外事接待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批次，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人，共计支出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万元，主要用于接待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（具体项目）</w:t>
      </w:r>
      <w:bookmarkStart w:id="46" w:name="_Toc15396610"/>
      <w:bookmarkStart w:id="47" w:name="_Toc15377218"/>
    </w:p>
    <w:p>
      <w:pPr>
        <w:spacing w:line="600" w:lineRule="exact"/>
        <w:ind w:firstLine="640"/>
        <w:outlineLvl w:val="1"/>
        <w:rPr>
          <w:rStyle w:val="26"/>
          <w:rFonts w:ascii="黑体" w:hAnsi="黑体" w:eastAsia="黑体"/>
        </w:rPr>
      </w:pPr>
      <w:r>
        <w:rPr>
          <w:rFonts w:hint="eastAsia" w:ascii="黑体" w:eastAsia="黑体"/>
          <w:color w:val="000000"/>
          <w:sz w:val="32"/>
          <w:szCs w:val="32"/>
        </w:rPr>
        <w:t>八、</w:t>
      </w:r>
      <w:r>
        <w:rPr>
          <w:rStyle w:val="26"/>
          <w:rFonts w:hint="eastAsia" w:ascii="黑体" w:hAnsi="黑体" w:eastAsia="黑体"/>
          <w:b w:val="0"/>
        </w:rPr>
        <w:t>政府性基金预算支出决算情况说明</w:t>
      </w:r>
      <w:bookmarkEnd w:id="46"/>
      <w:bookmarkEnd w:id="47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6"/>
          <w:rFonts w:ascii="黑体" w:hAnsi="黑体" w:eastAsia="黑体"/>
          <w:b w:val="0"/>
        </w:rPr>
      </w:pPr>
      <w:bookmarkStart w:id="48" w:name="_Toc15377219"/>
      <w:bookmarkStart w:id="49" w:name="_Toc15396611"/>
      <w:r>
        <w:rPr>
          <w:rStyle w:val="26"/>
          <w:rFonts w:hint="eastAsia" w:ascii="黑体" w:hAnsi="黑体" w:eastAsia="黑体"/>
          <w:b w:val="0"/>
        </w:rPr>
        <w:t>国有资本经营预算支出决算情况说明</w:t>
      </w:r>
      <w:bookmarkEnd w:id="48"/>
      <w:bookmarkEnd w:id="49"/>
    </w:p>
    <w:p>
      <w:pPr>
        <w:spacing w:line="58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无</w:t>
      </w:r>
    </w:p>
    <w:p>
      <w:pPr>
        <w:spacing w:line="600" w:lineRule="exact"/>
        <w:ind w:firstLine="800" w:firstLineChars="250"/>
        <w:outlineLvl w:val="1"/>
        <w:rPr>
          <w:rStyle w:val="26"/>
          <w:rFonts w:ascii="黑体" w:hAnsi="黑体" w:eastAsia="黑体"/>
        </w:rPr>
      </w:pPr>
      <w:bookmarkStart w:id="50" w:name="_Toc15377221"/>
      <w:bookmarkStart w:id="51" w:name="_Toc15396612"/>
      <w:r>
        <w:rPr>
          <w:rFonts w:hint="eastAsia" w:ascii="黑体" w:hAnsi="黑体" w:eastAsia="黑体"/>
          <w:color w:val="000000"/>
          <w:sz w:val="32"/>
          <w:szCs w:val="32"/>
        </w:rPr>
        <w:t>十</w:t>
      </w:r>
      <w:r>
        <w:rPr>
          <w:rStyle w:val="26"/>
          <w:rFonts w:hint="eastAsia" w:ascii="黑体" w:hAnsi="黑体" w:eastAsia="黑体"/>
        </w:rPr>
        <w:t>、</w:t>
      </w:r>
      <w:r>
        <w:rPr>
          <w:rStyle w:val="26"/>
          <w:rFonts w:hint="eastAsia" w:ascii="黑体" w:hAnsi="黑体" w:eastAsia="黑体"/>
          <w:b w:val="0"/>
        </w:rPr>
        <w:t>其他重要事项的情况说明</w:t>
      </w:r>
      <w:bookmarkEnd w:id="50"/>
      <w:bookmarkEnd w:id="51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000000"/>
          <w:sz w:val="32"/>
          <w:szCs w:val="32"/>
        </w:rPr>
      </w:pPr>
      <w:bookmarkStart w:id="52" w:name="_Toc15377222"/>
      <w:r>
        <w:rPr>
          <w:rFonts w:hint="eastAsia" w:ascii="仿宋" w:hAnsi="仿宋" w:eastAsia="仿宋"/>
          <w:b/>
          <w:color w:val="000000"/>
          <w:sz w:val="32"/>
          <w:szCs w:val="32"/>
        </w:rPr>
        <w:t>（一）机关运行经费支出情况</w:t>
      </w:r>
      <w:bookmarkEnd w:id="52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53" w:name="_Toc15377223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（二）政府采购支出情况</w:t>
      </w:r>
      <w:bookmarkEnd w:id="53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54" w:name="_Toc15377224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（三）国有资产占有使用情况</w:t>
      </w:r>
      <w:bookmarkEnd w:id="54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4"/>
        </w:num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预算绩效管理情况。</w:t>
      </w:r>
    </w:p>
    <w:p>
      <w:pPr>
        <w:pStyle w:val="2"/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>
      <w:pPr>
        <w:spacing w:line="580" w:lineRule="exact"/>
        <w:ind w:left="63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numPr>
          <w:ilvl w:val="0"/>
          <w:numId w:val="5"/>
        </w:numPr>
        <w:spacing w:line="600" w:lineRule="exact"/>
        <w:ind w:firstLine="660" w:firstLineChars="150"/>
        <w:jc w:val="center"/>
        <w:outlineLvl w:val="0"/>
        <w:rPr>
          <w:rStyle w:val="25"/>
          <w:rFonts w:ascii="黑体" w:hAnsi="黑体" w:eastAsia="黑体"/>
          <w:b w:val="0"/>
        </w:rPr>
      </w:pPr>
      <w:bookmarkStart w:id="55" w:name="_Toc15396613"/>
      <w:bookmarkStart w:id="56" w:name="_Toc15377225"/>
      <w:r>
        <w:rPr>
          <w:rFonts w:hint="eastAsia" w:ascii="黑体" w:hAnsi="黑体" w:eastAsia="黑体"/>
          <w:color w:val="000000"/>
          <w:sz w:val="44"/>
          <w:szCs w:val="44"/>
        </w:rPr>
        <w:t>名</w:t>
      </w:r>
      <w:r>
        <w:rPr>
          <w:rStyle w:val="25"/>
          <w:rFonts w:hint="eastAsia" w:ascii="黑体" w:hAnsi="黑体" w:eastAsia="黑体"/>
          <w:b w:val="0"/>
        </w:rPr>
        <w:t>词解释</w:t>
      </w:r>
      <w:bookmarkEnd w:id="55"/>
      <w:bookmarkEnd w:id="56"/>
    </w:p>
    <w:p>
      <w:pPr>
        <w:spacing w:line="600" w:lineRule="exact"/>
        <w:jc w:val="left"/>
        <w:rPr>
          <w:rFonts w:ascii="宋体"/>
          <w:b/>
          <w:color w:val="000000"/>
          <w:sz w:val="44"/>
          <w:szCs w:val="44"/>
        </w:rPr>
      </w:pP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财政拨款收入：指单位从同级财政部门取得的财政预算资金。</w:t>
      </w:r>
    </w:p>
    <w:p>
      <w:pPr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社会保障和就业。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3.卫生健康。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4.农林水。</w:t>
      </w:r>
    </w:p>
    <w:p>
      <w:pPr>
        <w:pStyle w:val="2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住房保障。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 w:cs="黑体"/>
          <w:sz w:val="32"/>
          <w:szCs w:val="32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  <w:bookmarkStart w:id="57" w:name="_Toc15396614"/>
      <w:bookmarkStart w:id="58" w:name="_Toc15377226"/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Style w:val="25"/>
          <w:rFonts w:ascii="黑体" w:hAnsi="黑体" w:eastAsia="黑体"/>
          <w:b w:val="0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5"/>
          <w:rFonts w:hint="eastAsia" w:ascii="黑体" w:hAnsi="黑体" w:eastAsia="黑体"/>
          <w:b w:val="0"/>
        </w:rPr>
        <w:t>四部分 附件</w:t>
      </w:r>
      <w:bookmarkEnd w:id="57"/>
    </w:p>
    <w:p>
      <w:pPr>
        <w:spacing w:line="600" w:lineRule="exact"/>
        <w:jc w:val="left"/>
        <w:outlineLvl w:val="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 w:cs="方正小标宋简体"/>
          <w:sz w:val="36"/>
          <w:szCs w:val="36"/>
        </w:rPr>
      </w:pPr>
      <w:bookmarkStart w:id="59" w:name="_Toc15396616"/>
      <w:r>
        <w:rPr>
          <w:rFonts w:hint="eastAsia" w:ascii="黑体" w:hAnsi="黑体" w:eastAsia="黑体" w:cs="方正小标宋简体"/>
          <w:sz w:val="36"/>
          <w:szCs w:val="36"/>
        </w:rPr>
        <w:t>壤塘县农业畜牧和水务局科教站201</w:t>
      </w:r>
      <w:r>
        <w:rPr>
          <w:rFonts w:hint="eastAsia" w:ascii="黑体" w:hAnsi="黑体" w:eastAsia="黑体" w:cs="方正小标宋简体"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 w:cs="方正小标宋简体"/>
          <w:sz w:val="36"/>
          <w:szCs w:val="36"/>
        </w:rPr>
        <w:t>年部门整体支出绩效评价报告</w:t>
      </w:r>
      <w:bookmarkEnd w:id="59"/>
    </w:p>
    <w:p>
      <w:pPr>
        <w:widowControl/>
        <w:adjustRightInd w:val="0"/>
        <w:snapToGrid w:val="0"/>
        <w:spacing w:line="580" w:lineRule="exact"/>
        <w:ind w:firstLine="48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  <w:lang w:val="zh-CN"/>
        </w:rPr>
        <w:t>部门（单位）概况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（一）机构组成。</w:t>
      </w:r>
    </w:p>
    <w:p>
      <w:pPr>
        <w:ind w:firstLine="640" w:firstLineChars="200"/>
        <w:rPr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壤塘县水务局为一级预算单位(行政单位），内设股室（事业）：水务执法中队、水利水保股、水利工程质量监督站、水利规划与建管股、防汛抗旱中心、河长制办公室。</w:t>
      </w:r>
    </w:p>
    <w:p>
      <w:pPr>
        <w:widowControl/>
        <w:numPr>
          <w:ilvl w:val="0"/>
          <w:numId w:val="6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机构职能。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420" w:firstLineChars="200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widowControl/>
        <w:numPr>
          <w:ilvl w:val="0"/>
          <w:numId w:val="6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人员概况。</w:t>
      </w:r>
    </w:p>
    <w:p>
      <w:pPr>
        <w:numPr>
          <w:ilvl w:val="0"/>
          <w:numId w:val="0"/>
        </w:numPr>
        <w:spacing w:line="580" w:lineRule="exact"/>
        <w:ind w:left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编制26人，年末实有职工26人（事业工勤2人，事业19人，行政5人）。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二、部门财政资金收支情况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201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9</w:t>
      </w:r>
      <w:r>
        <w:rPr>
          <w:rFonts w:eastAsia="仿宋"/>
          <w:color w:val="000000"/>
          <w:sz w:val="32"/>
          <w:szCs w:val="32"/>
        </w:rPr>
        <w:t>年财政拨款收入总计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278.2</w:t>
      </w:r>
      <w:r>
        <w:rPr>
          <w:rFonts w:eastAsia="仿宋"/>
          <w:color w:val="000000"/>
          <w:sz w:val="32"/>
          <w:szCs w:val="32"/>
        </w:rPr>
        <w:t>万元。</w:t>
      </w:r>
      <w:r>
        <w:rPr>
          <w:rFonts w:eastAsia="仿宋"/>
          <w:sz w:val="32"/>
          <w:szCs w:val="32"/>
        </w:rPr>
        <w:t xml:space="preserve"> </w:t>
      </w:r>
    </w:p>
    <w:p>
      <w:pPr>
        <w:widowControl/>
        <w:numPr>
          <w:ilvl w:val="0"/>
          <w:numId w:val="7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部门财政资金支出情况。</w:t>
      </w:r>
    </w:p>
    <w:p>
      <w:pPr>
        <w:spacing w:line="600" w:lineRule="exact"/>
        <w:ind w:firstLine="640"/>
        <w:rPr>
          <w:rFonts w:hint="default" w:eastAsia="宋体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9年财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278.2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43.88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15.77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14.47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5.3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193.96万元，占69.63%；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25.89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9.3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根据201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年度预算编制工作会议精神，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结合单位具体情况及201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年编制中出现的问题专门召开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预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算编制工作会，提出201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年预算编制要求及注意事项：加强综合预算管理，严格执行财经纪律，控制行政运行支出，优化项目支出结构，强化项目支出绩效目标，着力提高预算管理科学化精细化水平，提高预算编制质量执行管理情况</w:t>
      </w:r>
      <w:r>
        <w:rPr>
          <w:rFonts w:eastAsia="仿宋_GB2312"/>
          <w:sz w:val="32"/>
          <w:szCs w:val="32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（二）结果应用情况。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认真组织局机关开展绩效评价自评工作。并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年整体支出开展绩效自评，自评得分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93</w:t>
      </w:r>
      <w:r>
        <w:rPr>
          <w:rFonts w:hint="eastAsia" w:ascii="仿宋_GB2312" w:eastAsia="仿宋_GB2312"/>
          <w:color w:val="000000"/>
          <w:sz w:val="32"/>
          <w:szCs w:val="32"/>
        </w:rPr>
        <w:t>分。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201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color w:val="000000"/>
          <w:sz w:val="32"/>
          <w:szCs w:val="32"/>
        </w:rPr>
        <w:t>年部门整体支出绩效评价得分表</w:t>
      </w:r>
    </w:p>
    <w:tbl>
      <w:tblPr>
        <w:tblStyle w:val="13"/>
        <w:tblW w:w="949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268"/>
        <w:gridCol w:w="3402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部门决策（25分）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目标任务（15分）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相关性（5分）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明确性（5分）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合理性（5分）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预算编制（10分）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测算依据（5分）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目标管理（5分）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综合管理（30分）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专项资金分配时限（2分）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省级财力专项预算分配时限（1分）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中央专款分配合规率（1分）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中期评估（2分）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执行中期评估（2分）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绩效监控（5分）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预算执行进度监控（2分）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绩效目标动态监控（3分）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非税收入执收情况（2分）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非税收入征收情况（1分）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非税收入上缴情况（1分）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资产管理信息化情况（2分）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行政事业单位资产报告情况（2分）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资产管理与预算管理相结合（2分）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内控制度管理（2分）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内部控制度健全完整（2分）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信息公开（6分）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绩效信息公开（2分）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绩效评价开展（2分）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评价结果应用（3分）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部门绩效情况（45分）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履职成效（20分）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可持续发展能力（15分）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重点改革（重点工作）完成情况（5分）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科技（制度、方法、机制等）创新（5分）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人才培养（5分）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协作部门满意度（3分）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管理对象满意度（3分）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社会公众满意度（4分）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numPr>
          <w:ilvl w:val="0"/>
          <w:numId w:val="0"/>
        </w:numPr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（一）评价结论。</w:t>
      </w:r>
    </w:p>
    <w:p>
      <w:pPr>
        <w:spacing w:line="580" w:lineRule="exact"/>
        <w:ind w:firstLine="640" w:firstLineChars="20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单位201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年部门预算支出在预算编制、预算执行、综合管理、整体效益等方面均按要求按规定执行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>
      <w:pPr>
        <w:spacing w:line="580" w:lineRule="exact"/>
        <w:ind w:firstLine="640" w:firstLineChars="20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单位在预算编制上精细化和科学化不够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，相关制度不够健全。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（三）改进建议。</w:t>
      </w:r>
    </w:p>
    <w:p>
      <w:pPr>
        <w:numPr>
          <w:ilvl w:val="0"/>
          <w:numId w:val="0"/>
        </w:numPr>
        <w:spacing w:line="60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细化预算编制工作，认真做好预算的编制；加强各项制度的建立健全；</w:t>
      </w:r>
      <w:r>
        <w:rPr>
          <w:rStyle w:val="15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加大宣传力度，树立绩效管理理念</w:t>
      </w:r>
      <w:r>
        <w:rPr>
          <w:rStyle w:val="15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；</w:t>
      </w:r>
      <w:r>
        <w:rPr>
          <w:rStyle w:val="15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加强学习培训，提升业务能力</w:t>
      </w:r>
      <w:r>
        <w:rPr>
          <w:rStyle w:val="15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both"/>
        <w:outlineLvl w:val="0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</w:p>
    <w:p>
      <w:pPr>
        <w:pStyle w:val="2"/>
        <w:rPr>
          <w:rStyle w:val="25"/>
          <w:rFonts w:ascii="黑体" w:hAnsi="黑体" w:eastAsia="黑体"/>
          <w:b w:val="0"/>
        </w:rPr>
      </w:pPr>
      <w:bookmarkStart w:id="74" w:name="_GoBack"/>
      <w:bookmarkEnd w:id="74"/>
    </w:p>
    <w:p>
      <w:pPr>
        <w:spacing w:line="600" w:lineRule="exact"/>
        <w:jc w:val="center"/>
        <w:outlineLvl w:val="0"/>
        <w:rPr>
          <w:rStyle w:val="25"/>
          <w:rFonts w:ascii="黑体" w:hAnsi="黑体" w:eastAsia="黑体"/>
          <w:b w:val="0"/>
        </w:rPr>
      </w:pPr>
      <w:bookmarkStart w:id="60" w:name="_Toc15396618"/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5"/>
          <w:rFonts w:hint="eastAsia" w:ascii="黑体" w:hAnsi="黑体" w:eastAsia="黑体"/>
          <w:b w:val="0"/>
        </w:rPr>
        <w:t>五部分 附表</w:t>
      </w:r>
      <w:bookmarkEnd w:id="58"/>
      <w:bookmarkEnd w:id="60"/>
    </w:p>
    <w:p>
      <w:pPr>
        <w:spacing w:line="600" w:lineRule="exact"/>
        <w:jc w:val="center"/>
        <w:outlineLvl w:val="0"/>
        <w:rPr>
          <w:rFonts w:ascii="仿宋" w:hAnsi="仿宋" w:eastAsia="仿宋"/>
          <w:b/>
          <w:color w:val="000000"/>
          <w:sz w:val="44"/>
          <w:szCs w:val="44"/>
        </w:rPr>
      </w:pPr>
    </w:p>
    <w:p>
      <w:pPr>
        <w:pStyle w:val="4"/>
        <w:rPr>
          <w:rFonts w:ascii="仿宋" w:hAnsi="仿宋" w:eastAsia="仿宋"/>
          <w:color w:val="000000"/>
        </w:rPr>
      </w:pPr>
      <w:bookmarkStart w:id="61" w:name="_Toc15396619"/>
      <w:r>
        <w:rPr>
          <w:rFonts w:hint="eastAsia" w:ascii="仿宋" w:hAnsi="仿宋" w:eastAsia="仿宋"/>
          <w:b w:val="0"/>
          <w:color w:val="000000"/>
        </w:rPr>
        <w:t>一、收</w:t>
      </w:r>
      <w:r>
        <w:rPr>
          <w:rStyle w:val="26"/>
          <w:rFonts w:hint="eastAsia" w:ascii="仿宋" w:hAnsi="仿宋" w:eastAsia="仿宋"/>
          <w:b w:val="0"/>
          <w:bCs w:val="0"/>
        </w:rPr>
        <w:t>入支出决算总表</w:t>
      </w:r>
      <w:bookmarkEnd w:id="61"/>
    </w:p>
    <w:p>
      <w:pPr>
        <w:pStyle w:val="4"/>
        <w:rPr>
          <w:rFonts w:ascii="仿宋" w:hAnsi="仿宋" w:eastAsia="仿宋"/>
          <w:color w:val="000000"/>
        </w:rPr>
      </w:pPr>
      <w:bookmarkStart w:id="62" w:name="_Toc15396620"/>
      <w:r>
        <w:rPr>
          <w:rFonts w:hint="eastAsia" w:ascii="仿宋" w:hAnsi="仿宋" w:eastAsia="仿宋"/>
          <w:b w:val="0"/>
          <w:color w:val="000000"/>
        </w:rPr>
        <w:t>二、收</w:t>
      </w:r>
      <w:r>
        <w:rPr>
          <w:rStyle w:val="26"/>
          <w:rFonts w:hint="eastAsia" w:ascii="仿宋" w:hAnsi="仿宋" w:eastAsia="仿宋"/>
          <w:b w:val="0"/>
          <w:bCs w:val="0"/>
        </w:rPr>
        <w:t>入决算表</w:t>
      </w:r>
      <w:bookmarkEnd w:id="62"/>
    </w:p>
    <w:p>
      <w:pPr>
        <w:pStyle w:val="4"/>
        <w:rPr>
          <w:rFonts w:ascii="仿宋" w:hAnsi="仿宋" w:eastAsia="仿宋"/>
          <w:color w:val="000000"/>
        </w:rPr>
      </w:pPr>
      <w:bookmarkStart w:id="63" w:name="_Toc15396621"/>
      <w:r>
        <w:rPr>
          <w:rStyle w:val="26"/>
          <w:rFonts w:hint="eastAsia" w:ascii="仿宋" w:hAnsi="仿宋" w:eastAsia="仿宋"/>
          <w:b w:val="0"/>
          <w:bCs w:val="0"/>
        </w:rPr>
        <w:t>三、</w:t>
      </w:r>
      <w:r>
        <w:rPr>
          <w:rFonts w:hint="eastAsia" w:ascii="仿宋" w:hAnsi="仿宋" w:eastAsia="仿宋"/>
          <w:b w:val="0"/>
          <w:color w:val="000000"/>
        </w:rPr>
        <w:t>支</w:t>
      </w:r>
      <w:r>
        <w:rPr>
          <w:rStyle w:val="26"/>
          <w:rFonts w:hint="eastAsia" w:ascii="仿宋" w:hAnsi="仿宋" w:eastAsia="仿宋"/>
          <w:b w:val="0"/>
          <w:bCs w:val="0"/>
        </w:rPr>
        <w:t>出决算表</w:t>
      </w:r>
      <w:bookmarkEnd w:id="63"/>
    </w:p>
    <w:p>
      <w:pPr>
        <w:pStyle w:val="4"/>
        <w:rPr>
          <w:rFonts w:ascii="仿宋" w:hAnsi="仿宋" w:eastAsia="仿宋"/>
          <w:b w:val="0"/>
          <w:color w:val="000000"/>
        </w:rPr>
      </w:pPr>
      <w:bookmarkStart w:id="64" w:name="_Toc15396622"/>
      <w:r>
        <w:rPr>
          <w:rStyle w:val="26"/>
          <w:rFonts w:hint="eastAsia" w:ascii="仿宋" w:hAnsi="仿宋" w:eastAsia="仿宋"/>
          <w:b w:val="0"/>
          <w:bCs w:val="0"/>
        </w:rPr>
        <w:t>四、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6"/>
          <w:rFonts w:hint="eastAsia" w:ascii="仿宋" w:hAnsi="仿宋" w:eastAsia="仿宋"/>
          <w:b w:val="0"/>
          <w:bCs w:val="0"/>
        </w:rPr>
        <w:t>政拨款收入支出决算总表</w:t>
      </w:r>
      <w:bookmarkEnd w:id="64"/>
    </w:p>
    <w:p>
      <w:pPr>
        <w:pStyle w:val="4"/>
        <w:rPr>
          <w:rStyle w:val="26"/>
          <w:rFonts w:ascii="仿宋" w:hAnsi="仿宋" w:eastAsia="仿宋"/>
          <w:b w:val="0"/>
          <w:bCs w:val="0"/>
        </w:rPr>
      </w:pPr>
      <w:bookmarkStart w:id="65" w:name="_Toc15396623"/>
      <w:r>
        <w:rPr>
          <w:rStyle w:val="26"/>
          <w:rFonts w:hint="eastAsia" w:ascii="仿宋" w:hAnsi="仿宋" w:eastAsia="仿宋"/>
          <w:b w:val="0"/>
          <w:bCs w:val="0"/>
        </w:rPr>
        <w:t>五、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6"/>
          <w:rFonts w:hint="eastAsia" w:ascii="仿宋" w:hAnsi="仿宋" w:eastAsia="仿宋"/>
          <w:b w:val="0"/>
          <w:bCs w:val="0"/>
        </w:rPr>
        <w:t>政拨款支出决算明细表</w:t>
      </w:r>
      <w:bookmarkEnd w:id="65"/>
      <w:bookmarkStart w:id="66" w:name="_Toc15396624"/>
    </w:p>
    <w:p>
      <w:pPr>
        <w:pStyle w:val="4"/>
        <w:rPr>
          <w:rFonts w:ascii="仿宋" w:hAnsi="仿宋" w:eastAsia="仿宋"/>
          <w:color w:val="000000"/>
        </w:rPr>
      </w:pPr>
      <w:r>
        <w:rPr>
          <w:rStyle w:val="26"/>
          <w:rFonts w:hint="eastAsia" w:ascii="仿宋" w:hAnsi="仿宋" w:eastAsia="仿宋"/>
          <w:b w:val="0"/>
          <w:bCs w:val="0"/>
        </w:rPr>
        <w:t>六、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般公共预算财政拨款支出决算表</w:t>
      </w:r>
      <w:bookmarkEnd w:id="66"/>
    </w:p>
    <w:p>
      <w:pPr>
        <w:pStyle w:val="4"/>
        <w:rPr>
          <w:rFonts w:ascii="仿宋" w:hAnsi="仿宋" w:eastAsia="仿宋"/>
          <w:color w:val="000000"/>
        </w:rPr>
      </w:pPr>
      <w:bookmarkStart w:id="67" w:name="_Toc15396625"/>
      <w:r>
        <w:rPr>
          <w:rStyle w:val="26"/>
          <w:rFonts w:hint="eastAsia" w:ascii="仿宋" w:hAnsi="仿宋" w:eastAsia="仿宋"/>
          <w:b w:val="0"/>
          <w:bCs w:val="0"/>
        </w:rPr>
        <w:t>七、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般公共预算财政拨款支出决算明细表</w:t>
      </w:r>
      <w:bookmarkEnd w:id="67"/>
    </w:p>
    <w:p>
      <w:pPr>
        <w:pStyle w:val="4"/>
        <w:rPr>
          <w:rFonts w:ascii="仿宋" w:hAnsi="仿宋" w:eastAsia="仿宋"/>
          <w:color w:val="000000"/>
        </w:rPr>
      </w:pPr>
      <w:bookmarkStart w:id="68" w:name="_Toc15396626"/>
      <w:r>
        <w:rPr>
          <w:rStyle w:val="26"/>
          <w:rFonts w:hint="eastAsia" w:ascii="仿宋" w:hAnsi="仿宋" w:eastAsia="仿宋"/>
          <w:b w:val="0"/>
          <w:bCs w:val="0"/>
        </w:rPr>
        <w:t>八、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般公共预算财政拨款基本支出决算表</w:t>
      </w:r>
      <w:bookmarkEnd w:id="68"/>
    </w:p>
    <w:p>
      <w:pPr>
        <w:pStyle w:val="4"/>
        <w:rPr>
          <w:rFonts w:ascii="仿宋" w:hAnsi="仿宋" w:eastAsia="仿宋"/>
          <w:color w:val="000000"/>
        </w:rPr>
      </w:pPr>
      <w:bookmarkStart w:id="69" w:name="_Toc15396627"/>
      <w:r>
        <w:rPr>
          <w:rStyle w:val="26"/>
          <w:rFonts w:hint="eastAsia" w:ascii="仿宋" w:hAnsi="仿宋" w:eastAsia="仿宋"/>
          <w:b w:val="0"/>
          <w:bCs w:val="0"/>
        </w:rPr>
        <w:t>九、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般公共预算财政拨款项目支出决算表</w:t>
      </w:r>
      <w:bookmarkEnd w:id="69"/>
    </w:p>
    <w:p>
      <w:pPr>
        <w:pStyle w:val="4"/>
        <w:rPr>
          <w:rFonts w:ascii="仿宋" w:hAnsi="仿宋" w:eastAsia="仿宋"/>
          <w:color w:val="000000"/>
        </w:rPr>
      </w:pPr>
      <w:bookmarkStart w:id="70" w:name="_Toc15396628"/>
      <w:r>
        <w:rPr>
          <w:rStyle w:val="26"/>
          <w:rFonts w:hint="eastAsia" w:ascii="仿宋" w:hAnsi="仿宋" w:eastAsia="仿宋"/>
          <w:b w:val="0"/>
          <w:bCs w:val="0"/>
        </w:rPr>
        <w:t>十、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般公共预算财政拨款“三公”经费支出决算表</w:t>
      </w:r>
      <w:bookmarkEnd w:id="70"/>
    </w:p>
    <w:p>
      <w:pPr>
        <w:pStyle w:val="4"/>
        <w:rPr>
          <w:rFonts w:ascii="仿宋" w:hAnsi="仿宋" w:eastAsia="仿宋"/>
          <w:color w:val="000000"/>
        </w:rPr>
      </w:pPr>
      <w:bookmarkStart w:id="71" w:name="_Toc15396629"/>
      <w:r>
        <w:rPr>
          <w:rStyle w:val="26"/>
          <w:rFonts w:hint="eastAsia" w:ascii="仿宋" w:hAnsi="仿宋" w:eastAsia="仿宋"/>
          <w:b w:val="0"/>
          <w:bCs w:val="0"/>
        </w:rPr>
        <w:t>十一、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6"/>
          <w:rFonts w:hint="eastAsia" w:ascii="仿宋" w:hAnsi="仿宋" w:eastAsia="仿宋"/>
          <w:b w:val="0"/>
          <w:bCs w:val="0"/>
        </w:rPr>
        <w:t>府性基金预算财政拨款收入支出决算表</w:t>
      </w:r>
      <w:bookmarkEnd w:id="71"/>
    </w:p>
    <w:p>
      <w:pPr>
        <w:pStyle w:val="4"/>
        <w:rPr>
          <w:rFonts w:ascii="仿宋" w:hAnsi="仿宋" w:eastAsia="仿宋"/>
          <w:color w:val="000000"/>
        </w:rPr>
      </w:pPr>
      <w:bookmarkStart w:id="72" w:name="_Toc15396630"/>
      <w:r>
        <w:rPr>
          <w:rStyle w:val="26"/>
          <w:rFonts w:hint="eastAsia" w:ascii="仿宋" w:hAnsi="仿宋" w:eastAsia="仿宋"/>
          <w:b w:val="0"/>
          <w:bCs w:val="0"/>
        </w:rPr>
        <w:t>十二、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6"/>
          <w:rFonts w:hint="eastAsia" w:ascii="仿宋" w:hAnsi="仿宋" w:eastAsia="仿宋"/>
          <w:b w:val="0"/>
          <w:bCs w:val="0"/>
        </w:rPr>
        <w:t>府性基金预算财政拨款“三公”经费支出决算表</w:t>
      </w:r>
      <w:bookmarkEnd w:id="72"/>
    </w:p>
    <w:p>
      <w:pPr>
        <w:pStyle w:val="4"/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bookmarkStart w:id="73" w:name="_Toc15396631"/>
      <w:r>
        <w:rPr>
          <w:rStyle w:val="26"/>
          <w:rFonts w:hint="eastAsia" w:ascii="仿宋" w:hAnsi="仿宋" w:eastAsia="仿宋"/>
          <w:b w:val="0"/>
          <w:bCs w:val="0"/>
        </w:rPr>
        <w:t>十三、</w:t>
      </w:r>
      <w:r>
        <w:rPr>
          <w:rFonts w:hint="eastAsia" w:ascii="仿宋" w:hAnsi="仿宋" w:eastAsia="仿宋"/>
          <w:b w:val="0"/>
          <w:color w:val="000000"/>
        </w:rPr>
        <w:t>国</w:t>
      </w:r>
      <w:r>
        <w:rPr>
          <w:rStyle w:val="26"/>
          <w:rFonts w:hint="eastAsia" w:ascii="仿宋" w:hAnsi="仿宋" w:eastAsia="仿宋"/>
          <w:b w:val="0"/>
          <w:bCs w:val="0"/>
        </w:rPr>
        <w:t>有资本经营预算支出决算表</w:t>
      </w:r>
      <w:bookmarkEnd w:id="73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4781956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71E2F5"/>
    <w:multiLevelType w:val="singleLevel"/>
    <w:tmpl w:val="9971E2F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D5D9C2C"/>
    <w:multiLevelType w:val="singleLevel"/>
    <w:tmpl w:val="BD5D9C2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4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37442503"/>
    <w:multiLevelType w:val="singleLevel"/>
    <w:tmpl w:val="3744250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5B272E73"/>
    <w:multiLevelType w:val="singleLevel"/>
    <w:tmpl w:val="5B272E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1C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35629"/>
    <w:rsid w:val="00260C38"/>
    <w:rsid w:val="002616C0"/>
    <w:rsid w:val="00265372"/>
    <w:rsid w:val="002662AA"/>
    <w:rsid w:val="00280496"/>
    <w:rsid w:val="00294DC9"/>
    <w:rsid w:val="00295495"/>
    <w:rsid w:val="002A31DE"/>
    <w:rsid w:val="002B2613"/>
    <w:rsid w:val="002D19B0"/>
    <w:rsid w:val="002D6D05"/>
    <w:rsid w:val="002F1818"/>
    <w:rsid w:val="002F567B"/>
    <w:rsid w:val="003216A9"/>
    <w:rsid w:val="00335A74"/>
    <w:rsid w:val="0036561B"/>
    <w:rsid w:val="0037013F"/>
    <w:rsid w:val="00380C92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66DA"/>
    <w:rsid w:val="003E1310"/>
    <w:rsid w:val="003E6F55"/>
    <w:rsid w:val="003F6619"/>
    <w:rsid w:val="00406254"/>
    <w:rsid w:val="00416CD4"/>
    <w:rsid w:val="004223DE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E0A2D"/>
    <w:rsid w:val="004E206B"/>
    <w:rsid w:val="004E6DF7"/>
    <w:rsid w:val="004F0FBD"/>
    <w:rsid w:val="004F403E"/>
    <w:rsid w:val="00505A47"/>
    <w:rsid w:val="00512FDA"/>
    <w:rsid w:val="00520DA0"/>
    <w:rsid w:val="00530AFE"/>
    <w:rsid w:val="005664BB"/>
    <w:rsid w:val="00566FFA"/>
    <w:rsid w:val="0057481D"/>
    <w:rsid w:val="00575F0B"/>
    <w:rsid w:val="0058486E"/>
    <w:rsid w:val="00585B33"/>
    <w:rsid w:val="0059014D"/>
    <w:rsid w:val="005B5C64"/>
    <w:rsid w:val="005C6BD0"/>
    <w:rsid w:val="005C6C4C"/>
    <w:rsid w:val="005D1C8B"/>
    <w:rsid w:val="005D468D"/>
    <w:rsid w:val="005D5CED"/>
    <w:rsid w:val="005F1A4C"/>
    <w:rsid w:val="00605688"/>
    <w:rsid w:val="006070AF"/>
    <w:rsid w:val="00607E6C"/>
    <w:rsid w:val="006101B1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F020C"/>
    <w:rsid w:val="007127B7"/>
    <w:rsid w:val="0071798E"/>
    <w:rsid w:val="00727533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E23B0"/>
    <w:rsid w:val="007F1991"/>
    <w:rsid w:val="007F2C2F"/>
    <w:rsid w:val="007F55FC"/>
    <w:rsid w:val="007F5665"/>
    <w:rsid w:val="00800112"/>
    <w:rsid w:val="00813348"/>
    <w:rsid w:val="008253BB"/>
    <w:rsid w:val="00833962"/>
    <w:rsid w:val="0083706E"/>
    <w:rsid w:val="008408F6"/>
    <w:rsid w:val="008423A5"/>
    <w:rsid w:val="00850625"/>
    <w:rsid w:val="00853718"/>
    <w:rsid w:val="00855221"/>
    <w:rsid w:val="00860645"/>
    <w:rsid w:val="00871F71"/>
    <w:rsid w:val="00872FD8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5C98"/>
    <w:rsid w:val="00946945"/>
    <w:rsid w:val="00951248"/>
    <w:rsid w:val="0095152F"/>
    <w:rsid w:val="00954C49"/>
    <w:rsid w:val="00955E37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E98"/>
    <w:rsid w:val="009C37FB"/>
    <w:rsid w:val="009D3447"/>
    <w:rsid w:val="009D4711"/>
    <w:rsid w:val="009F1185"/>
    <w:rsid w:val="009F18CD"/>
    <w:rsid w:val="009F2A13"/>
    <w:rsid w:val="009F7527"/>
    <w:rsid w:val="00A039ED"/>
    <w:rsid w:val="00A04EB0"/>
    <w:rsid w:val="00A13CC1"/>
    <w:rsid w:val="00A16847"/>
    <w:rsid w:val="00A237D8"/>
    <w:rsid w:val="00A268C4"/>
    <w:rsid w:val="00A307CD"/>
    <w:rsid w:val="00A331C8"/>
    <w:rsid w:val="00A35117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0F83"/>
    <w:rsid w:val="00AD5620"/>
    <w:rsid w:val="00AD656B"/>
    <w:rsid w:val="00AD7C1B"/>
    <w:rsid w:val="00AE16BA"/>
    <w:rsid w:val="00AE1EBE"/>
    <w:rsid w:val="00AF37A0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41F1"/>
    <w:rsid w:val="00B944D6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0E69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179F5"/>
    <w:rsid w:val="00D20620"/>
    <w:rsid w:val="00D2207C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CBA"/>
    <w:rsid w:val="00DD73B7"/>
    <w:rsid w:val="00DF28BC"/>
    <w:rsid w:val="00DF34B9"/>
    <w:rsid w:val="00DF7548"/>
    <w:rsid w:val="00E01053"/>
    <w:rsid w:val="00E07ACF"/>
    <w:rsid w:val="00E331A1"/>
    <w:rsid w:val="00E33202"/>
    <w:rsid w:val="00E336A9"/>
    <w:rsid w:val="00E472B1"/>
    <w:rsid w:val="00E50624"/>
    <w:rsid w:val="00E568DF"/>
    <w:rsid w:val="00E64269"/>
    <w:rsid w:val="00E66797"/>
    <w:rsid w:val="00E82267"/>
    <w:rsid w:val="00E853CE"/>
    <w:rsid w:val="00E867B6"/>
    <w:rsid w:val="00E87F08"/>
    <w:rsid w:val="00EA010F"/>
    <w:rsid w:val="00ED1B63"/>
    <w:rsid w:val="00ED3C1F"/>
    <w:rsid w:val="00ED4085"/>
    <w:rsid w:val="00ED420E"/>
    <w:rsid w:val="00ED6FBE"/>
    <w:rsid w:val="00EE2F57"/>
    <w:rsid w:val="00EF4C34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A23E8"/>
    <w:rsid w:val="00FD3CC1"/>
    <w:rsid w:val="00FF1E02"/>
    <w:rsid w:val="00FF30B4"/>
    <w:rsid w:val="041840F4"/>
    <w:rsid w:val="09783895"/>
    <w:rsid w:val="0B9D785C"/>
    <w:rsid w:val="0BA1046D"/>
    <w:rsid w:val="0E396E51"/>
    <w:rsid w:val="10C055FF"/>
    <w:rsid w:val="11552894"/>
    <w:rsid w:val="15A0206A"/>
    <w:rsid w:val="16BB723D"/>
    <w:rsid w:val="1AB95B83"/>
    <w:rsid w:val="1B3B0D5F"/>
    <w:rsid w:val="1B744400"/>
    <w:rsid w:val="1B772232"/>
    <w:rsid w:val="1D0C148D"/>
    <w:rsid w:val="216876E5"/>
    <w:rsid w:val="22F80A0A"/>
    <w:rsid w:val="240371BF"/>
    <w:rsid w:val="2510580D"/>
    <w:rsid w:val="292955A4"/>
    <w:rsid w:val="29CE1E36"/>
    <w:rsid w:val="29D600F4"/>
    <w:rsid w:val="29FD04D3"/>
    <w:rsid w:val="2AAA226C"/>
    <w:rsid w:val="2E014035"/>
    <w:rsid w:val="2E3920F2"/>
    <w:rsid w:val="303F1088"/>
    <w:rsid w:val="318E2D84"/>
    <w:rsid w:val="319F7F4E"/>
    <w:rsid w:val="3574602F"/>
    <w:rsid w:val="3B211799"/>
    <w:rsid w:val="42252E54"/>
    <w:rsid w:val="46AC5D99"/>
    <w:rsid w:val="4C180413"/>
    <w:rsid w:val="4D5121F5"/>
    <w:rsid w:val="4ECE2238"/>
    <w:rsid w:val="51532593"/>
    <w:rsid w:val="547607B0"/>
    <w:rsid w:val="577067A9"/>
    <w:rsid w:val="58C87628"/>
    <w:rsid w:val="59575119"/>
    <w:rsid w:val="5C8728D2"/>
    <w:rsid w:val="5F112DD2"/>
    <w:rsid w:val="5F663956"/>
    <w:rsid w:val="604E2CE9"/>
    <w:rsid w:val="60AB5F0E"/>
    <w:rsid w:val="60EB2611"/>
    <w:rsid w:val="63A73F5B"/>
    <w:rsid w:val="64096FCF"/>
    <w:rsid w:val="66AB5D1B"/>
    <w:rsid w:val="6D941B1B"/>
    <w:rsid w:val="700347AD"/>
    <w:rsid w:val="72734D90"/>
    <w:rsid w:val="748D480D"/>
    <w:rsid w:val="78C13294"/>
    <w:rsid w:val="7A8A7491"/>
    <w:rsid w:val="7ADE427A"/>
    <w:rsid w:val="7C434A70"/>
    <w:rsid w:val="7E26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link w:val="22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7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10">
    <w:name w:val="header"/>
    <w:basedOn w:val="1"/>
    <w:link w:val="1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2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character" w:styleId="15">
    <w:name w:val="Strong"/>
    <w:basedOn w:val="14"/>
    <w:qFormat/>
    <w:uiPriority w:val="99"/>
    <w:rPr>
      <w:b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8">
    <w:name w:val="页眉 字符"/>
    <w:link w:val="10"/>
    <w:semiHidden/>
    <w:qFormat/>
    <w:locked/>
    <w:uiPriority w:val="99"/>
    <w:rPr>
      <w:sz w:val="18"/>
    </w:rPr>
  </w:style>
  <w:style w:type="character" w:customStyle="1" w:styleId="19">
    <w:name w:val="Footer Char"/>
    <w:basedOn w:val="14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0">
    <w:name w:val="页脚 字符"/>
    <w:link w:val="9"/>
    <w:qFormat/>
    <w:locked/>
    <w:uiPriority w:val="99"/>
    <w:rPr>
      <w:sz w:val="18"/>
    </w:rPr>
  </w:style>
  <w:style w:type="character" w:customStyle="1" w:styleId="21">
    <w:name w:val="Body Text Char"/>
    <w:basedOn w:val="14"/>
    <w:semiHidden/>
    <w:qFormat/>
    <w:uiPriority w:val="99"/>
    <w:rPr>
      <w:rFonts w:ascii="Times New Roman" w:hAnsi="Times New Roman"/>
      <w:szCs w:val="24"/>
    </w:rPr>
  </w:style>
  <w:style w:type="character" w:customStyle="1" w:styleId="22">
    <w:name w:val="正文文本 字符"/>
    <w:link w:val="6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标题 1 字符"/>
    <w:basedOn w:val="14"/>
    <w:link w:val="3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6">
    <w:name w:val="标题 2 字符"/>
    <w:basedOn w:val="14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7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8">
    <w:name w:val="批注框文本 字符"/>
    <w:basedOn w:val="14"/>
    <w:link w:val="8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9">
    <w:name w:val="标题 3 字符"/>
    <w:basedOn w:val="14"/>
    <w:link w:val="5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paragraph" w:customStyle="1" w:styleId="30">
    <w:name w:val="TOC Heading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2270;&#24418;\1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lenovo\Desktop\&#22270;&#24418;\2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lenovo\Desktop\&#22270;&#24418;\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2270;&#24418;\1.xls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2270;&#24418;\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lenovo\Desktop\&#22270;&#24418;\6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lenovo\Desktop\&#22270;&#24418;\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36944444444444"/>
          <c:y val="0.209553158705701"/>
          <c:w val="0.894638888888889"/>
          <c:h val="0.72581994276909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583333333333333"/>
                  <c:y val="0.075924295774647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278.2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2018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268.94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278.2</c:v>
                </c:pt>
                <c:pt idx="1">
                  <c:v>278.2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9375"/>
                  <c:y val="0.06602112676056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278.2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2018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350.73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268.94</c:v>
                </c:pt>
                <c:pt idx="1">
                  <c:v>350.73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9414953"/>
        <c:axId val="860540410"/>
      </c:barChart>
      <c:catAx>
        <c:axId val="74941495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0540410"/>
        <c:crosses val="autoZero"/>
        <c:auto val="1"/>
        <c:lblAlgn val="ctr"/>
        <c:lblOffset val="100"/>
        <c:noMultiLvlLbl val="0"/>
      </c:catAx>
      <c:valAx>
        <c:axId val="86054041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4941495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2019年收入合计</a:t>
            </a:r>
            <a:r>
              <a:rPr lang="en-US" altLang="zh-CN"/>
              <a:t>278.2</a:t>
            </a:r>
            <a:r>
              <a:t>万元 </a:t>
            </a:r>
          </a:p>
        </c:rich>
      </c:tx>
      <c:layout>
        <c:manualLayout>
          <c:xMode val="edge"/>
          <c:yMode val="edge"/>
          <c:x val="0.307422288980681"/>
          <c:y val="0.043458781362007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一般公共预算财政拨款收入100%</a:t>
                    </a: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[2.xlsx]Sheet1!$A$6:$B$7</c:f>
              <c:multiLvlStrCache>
                <c:ptCount val="2"/>
                <c:lvl>
                  <c:pt idx="0">
                    <c:v>278.2万元</c:v>
                  </c:pt>
                  <c:pt idx="1">
                    <c:v>278.2万元</c:v>
                  </c:pt>
                </c:lvl>
                <c:lvl>
                  <c:pt idx="0">
                    <c:v>2019年收入合计</c:v>
                  </c:pt>
                  <c:pt idx="1">
                    <c:v>一般公共预算财政拨款收入</c:v>
                  </c:pt>
                </c:lvl>
              </c:multiLvlStrCache>
            </c:multiLvlStrRef>
          </c:cat>
          <c:val>
            <c:numRef>
              <c:f>[2.xlsx]Sheet1!$C$6:$C$7</c:f>
              <c:numCache>
                <c:formatCode>General</c:formatCode>
                <c:ptCount val="2"/>
                <c:pt idx="1" c:formatCode="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2019</a:t>
            </a:r>
            <a:r>
              <a:rPr altLang="en-US"/>
              <a:t>年</a:t>
            </a:r>
            <a:r>
              <a:t>本年支出 </a:t>
            </a:r>
          </a:p>
        </c:rich>
      </c:tx>
      <c:layout>
        <c:manualLayout>
          <c:xMode val="edge"/>
          <c:yMode val="edge"/>
          <c:x val="0.414444444444444"/>
          <c:y val="0.030555555555555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基本支出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96.57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[3.xlsx]Sheet1!$A$6:$B$8</c:f>
              <c:multiLvlStrCache>
                <c:ptCount val="3"/>
                <c:lvl>
                  <c:pt idx="0">
                    <c:v>278.2万元</c:v>
                  </c:pt>
                  <c:pt idx="1">
                    <c:v>278.2万元</c:v>
                  </c:pt>
                </c:lvl>
                <c:lvl>
                  <c:pt idx="0">
                    <c:v>2019年本年支出合计</c:v>
                  </c:pt>
                  <c:pt idx="1">
                    <c:v>基本支出</c:v>
                  </c:pt>
                </c:lvl>
              </c:multiLvlStrCache>
            </c:multiLvlStrRef>
          </c:cat>
          <c:val>
            <c:numRef>
              <c:f>[3.xlsx]Sheet1!$C$6:$C$8</c:f>
              <c:numCache>
                <c:formatCode>General</c:formatCode>
                <c:ptCount val="3"/>
                <c:pt idx="1" c:formatCode="0.0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353519539078156"/>
          <c:y val="0.88314883148831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78611111111111"/>
          <c:y val="0.159736227679162"/>
          <c:w val="0.894638888888889"/>
          <c:h val="0.72581994276909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583333333333333"/>
                  <c:y val="0.075924295774647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278.2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2018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268.94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278.2</c:v>
                </c:pt>
                <c:pt idx="1">
                  <c:v>278.2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9375"/>
                  <c:y val="0.06602112676056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278.2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2018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350.73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268.94</c:v>
                </c:pt>
                <c:pt idx="1">
                  <c:v>350.73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9414953"/>
        <c:axId val="860540410"/>
      </c:barChart>
      <c:catAx>
        <c:axId val="74941495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0540410"/>
        <c:crosses val="autoZero"/>
        <c:auto val="1"/>
        <c:lblAlgn val="ctr"/>
        <c:lblOffset val="100"/>
        <c:noMultiLvlLbl val="0"/>
      </c:catAx>
      <c:valAx>
        <c:axId val="86054041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4941495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一般公共预算财政拨款支出决算变动情况图</a:t>
            </a:r>
          </a:p>
        </c:rich>
      </c:tx>
      <c:layout>
        <c:manualLayout>
          <c:xMode val="edge"/>
          <c:yMode val="edge"/>
          <c:x val="0.287159405191552"/>
          <c:y val="0.03341966646777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2019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278.2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00922722029988466"/>
                  <c:y val="0.0021276595744680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2018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350.73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[5.xlsx]Sheet1!$A$6:$B$8</c:f>
              <c:multiLvlStrCache>
                <c:ptCount val="3"/>
                <c:lvl>
                  <c:pt idx="0">
                    <c:v>278.2万元</c:v>
                  </c:pt>
                  <c:pt idx="1">
                    <c:v>350.73万元</c:v>
                  </c:pt>
                </c:lvl>
                <c:lvl>
                  <c:pt idx="0">
                    <c:v>2019年一般公共预算财政拨款支出</c:v>
                  </c:pt>
                  <c:pt idx="1">
                    <c:v>2018年一般公共预算财政拨款支出</c:v>
                  </c:pt>
                </c:lvl>
              </c:multiLvlStrCache>
            </c:multiLvlStrRef>
          </c:cat>
          <c:val>
            <c:numRef>
              <c:f>[5.xlsx]Sheet1!$C$6:$C$8</c:f>
              <c:numCache>
                <c:formatCode>0%</c:formatCode>
                <c:ptCount val="3"/>
                <c:pt idx="0">
                  <c:v>0.44</c:v>
                </c:pt>
                <c:pt idx="1">
                  <c:v>0.56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770136370"/>
        <c:axId val="837282436"/>
      </c:barChart>
      <c:catAx>
        <c:axId val="77013637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37282436"/>
        <c:crosses val="autoZero"/>
        <c:auto val="1"/>
        <c:lblAlgn val="ctr"/>
        <c:lblOffset val="100"/>
        <c:noMultiLvlLbl val="0"/>
      </c:catAx>
      <c:valAx>
        <c:axId val="8372824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7013637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21597222222222"/>
          <c:y val="0.91550925925925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[6.xlsx]Sheet1!$A$6:$B$11</c:f>
              <c:multiLvlStrCache>
                <c:ptCount val="6"/>
                <c:lvl>
                  <c:pt idx="0" c:formatCode="#,##0.00">
                    <c:v>278.2万元</c:v>
                  </c:pt>
                  <c:pt idx="1">
                    <c:v>43.88万元</c:v>
                  </c:pt>
                  <c:pt idx="2">
                    <c:v>14.47万元</c:v>
                  </c:pt>
                  <c:pt idx="3">
                    <c:v>193.96万元</c:v>
                  </c:pt>
                  <c:pt idx="4">
                    <c:v>25.89万元</c:v>
                  </c:pt>
                </c:lvl>
                <c:lvl>
                  <c:pt idx="0">
                    <c:v>2019年一般公共预算财政拨款支出</c:v>
                  </c:pt>
                  <c:pt idx="1">
                    <c:v>社会保障和就业支出</c:v>
                  </c:pt>
                  <c:pt idx="2">
                    <c:v>卫生健康支出</c:v>
                  </c:pt>
                  <c:pt idx="3">
                    <c:v>农林水支出</c:v>
                  </c:pt>
                  <c:pt idx="4">
                    <c:v>住房保障支出</c:v>
                  </c:pt>
                </c:lvl>
              </c:multiLvlStrCache>
            </c:multiLvlStrRef>
          </c:cat>
          <c:val>
            <c:numRef>
              <c:f>[6.xlsx]Sheet1!$C$6:$C$11</c:f>
              <c:numCache>
                <c:formatCode>General</c:formatCode>
                <c:ptCount val="6"/>
                <c:pt idx="1" c:formatCode="0.00%">
                  <c:v>0.1577</c:v>
                </c:pt>
                <c:pt idx="2" c:formatCode="0.00%">
                  <c:v>0.053</c:v>
                </c:pt>
                <c:pt idx="3" c:formatCode="0.00%">
                  <c:v>0.6963</c:v>
                </c:pt>
                <c:pt idx="4" c:formatCode="0.00%">
                  <c:v>0.093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“</a:t>
            </a:r>
            <a:r>
              <a:rPr altLang="en-US"/>
              <a:t>三公</a:t>
            </a:r>
            <a:r>
              <a:rPr lang="en-US" altLang="zh-CN"/>
              <a:t>”</a:t>
            </a:r>
            <a:r>
              <a:rPr altLang="en-US"/>
              <a:t>经费财政拨款支出结构</a:t>
            </a:r>
            <a:r>
              <a:t> </a:t>
            </a:r>
          </a:p>
        </c:rich>
      </c:tx>
      <c:layout>
        <c:manualLayout>
          <c:xMode val="edge"/>
          <c:yMode val="edge"/>
          <c:x val="0.317226376840495"/>
          <c:y val="0.049005740057400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0334492415561368"/>
                  <c:y val="-0.18841869478511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公务用车运行维护费支出</a:t>
                    </a:r>
                    <a:r>
                      <a:rPr lang="en-US" altLang="zh-CN"/>
                      <a:t>94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公务接待费支出</a:t>
                    </a:r>
                    <a:r>
                      <a:rPr lang="en-US" altLang="zh-CN"/>
                      <a:t>6%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[7.xlsx]Sheet1!$A$6:$B$8</c:f>
              <c:multiLvlStrCache>
                <c:ptCount val="3"/>
                <c:lvl>
                  <c:pt idx="0">
                    <c:v>2.5万元</c:v>
                  </c:pt>
                  <c:pt idx="1">
                    <c:v>0.15万元</c:v>
                  </c:pt>
                </c:lvl>
                <c:lvl>
                  <c:pt idx="0">
                    <c:v>公务用车运行维护费支出决算</c:v>
                  </c:pt>
                  <c:pt idx="1">
                    <c:v>公务接待费支出决算</c:v>
                  </c:pt>
                </c:lvl>
              </c:multiLvlStrCache>
            </c:multiLvlStrRef>
          </c:cat>
          <c:val>
            <c:numRef>
              <c:f>[7.xlsx]Sheet1!$C$6:$C$8</c:f>
              <c:numCache>
                <c:formatCode>0.00%</c:formatCode>
                <c:ptCount val="3"/>
                <c:pt idx="0">
                  <c:v>0.94</c:v>
                </c:pt>
                <c:pt idx="1">
                  <c:v>0.06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21FA5C-FBC4-4E0C-90C9-F7AB8D53FD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四川省财政厅</Company>
  <Pages>24</Pages>
  <Words>1284</Words>
  <Characters>7320</Characters>
  <Lines>61</Lines>
  <Paragraphs>17</Paragraphs>
  <TotalTime>1</TotalTime>
  <ScaleCrop>false</ScaleCrop>
  <LinksUpToDate>false</LinksUpToDate>
  <CharactersWithSpaces>8587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2020-08-04T01:49:00Z</dcterms:created>
  <dc:creator>曹颖</dc:creator>
  <cp:lastModifiedBy>下一页1409802427</cp:lastModifiedBy>
  <cp:lastPrinted>2020-07-23T02:58:00Z</cp:lastPrinted>
  <dcterms:modified xsi:type="dcterms:W3CDTF">2020-10-21T12:14:14Z</dcterms:modified>
  <dc:title>四川省***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