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000000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  <w:bookmarkStart w:id="1" w:name="_Toc15378441"/>
      <w:bookmarkStart w:id="2" w:name="_Toc15396475"/>
      <w:bookmarkStart w:id="3" w:name="_Toc15377193"/>
      <w:bookmarkStart w:id="4" w:name="_Toc15396597"/>
      <w:bookmarkStart w:id="5" w:name="_Toc15377425"/>
      <w:r>
        <w:rPr>
          <w:rFonts w:ascii="黑体" w:hAnsi="黑体" w:eastAsia="黑体"/>
          <w:sz w:val="72"/>
          <w:szCs w:val="72"/>
        </w:rPr>
        <w:t>202</w:t>
      </w:r>
      <w:r>
        <w:rPr>
          <w:rFonts w:hint="eastAsia" w:ascii="黑体" w:hAnsi="黑体" w:eastAsia="黑体"/>
          <w:sz w:val="72"/>
          <w:szCs w:val="72"/>
        </w:rPr>
        <w:t>1年度</w:t>
      </w:r>
      <w:bookmarkEnd w:id="1"/>
      <w:bookmarkEnd w:id="2"/>
      <w:bookmarkEnd w:id="3"/>
      <w:bookmarkEnd w:id="4"/>
      <w:bookmarkEnd w:id="5"/>
    </w:p>
    <w:bookmarkEnd w:id="0"/>
    <w:p>
      <w:pPr>
        <w:jc w:val="center"/>
        <w:rPr>
          <w:rFonts w:hint="eastAsia" w:ascii="方正小标宋简体" w:eastAsia="方正小标宋简体"/>
          <w:sz w:val="72"/>
          <w:szCs w:val="72"/>
          <w:lang w:eastAsia="zh-CN"/>
        </w:rPr>
      </w:pPr>
      <w:bookmarkStart w:id="6" w:name="_Toc15377426"/>
      <w:bookmarkStart w:id="7" w:name="_Toc15396476"/>
      <w:bookmarkStart w:id="8" w:name="_Toc15377194"/>
      <w:bookmarkStart w:id="9" w:name="_Toc15396598"/>
      <w:bookmarkStart w:id="10" w:name="_Toc15378442"/>
      <w:r>
        <w:rPr>
          <w:rFonts w:hint="eastAsia" w:ascii="方正小标宋简体" w:eastAsia="方正小标宋简体"/>
          <w:sz w:val="72"/>
          <w:szCs w:val="72"/>
        </w:rPr>
        <w:t>四川省阿坝州</w:t>
      </w:r>
      <w:bookmarkStart w:id="11" w:name="_Toc15306268"/>
      <w:r>
        <w:rPr>
          <w:rFonts w:hint="eastAsia" w:ascii="方正小标宋简体" w:eastAsia="方正小标宋简体"/>
          <w:sz w:val="72"/>
          <w:szCs w:val="72"/>
        </w:rPr>
        <w:t>壤塘县农业畜牧和水务局科教站部门决算</w:t>
      </w:r>
      <w:bookmarkEnd w:id="6"/>
      <w:bookmarkEnd w:id="7"/>
      <w:bookmarkEnd w:id="8"/>
      <w:bookmarkEnd w:id="9"/>
      <w:bookmarkEnd w:id="10"/>
      <w:bookmarkEnd w:id="11"/>
      <w:r>
        <w:rPr>
          <w:rFonts w:hint="eastAsia" w:ascii="方正小标宋简体" w:eastAsia="方正小标宋简体"/>
          <w:sz w:val="72"/>
          <w:szCs w:val="72"/>
          <w:lang w:eastAsia="zh-CN"/>
        </w:rPr>
        <w:t>公开</w:t>
      </w:r>
    </w:p>
    <w:p>
      <w:pPr>
        <w:widowControl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rPr>
          <w:rFonts w:ascii="方正小标宋简体" w:hAnsi="宋体" w:eastAsia="方正小标宋简体"/>
          <w:sz w:val="36"/>
          <w:szCs w:val="36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left="420" w:left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部门主要负责人审签情况：已审签，同意对外公开</w:t>
      </w:r>
    </w:p>
    <w:p>
      <w:pPr>
        <w:widowControl/>
        <w:jc w:val="center"/>
        <w:rPr>
          <w:rFonts w:ascii="方正小标宋简体" w:hAnsi="宋体" w:eastAsia="方正小标宋简体"/>
          <w:color w:val="000000"/>
          <w:sz w:val="36"/>
          <w:szCs w:val="36"/>
        </w:rPr>
      </w:pPr>
    </w:p>
    <w:p>
      <w:pPr>
        <w:widowControl/>
        <w:jc w:val="center"/>
        <w:rPr>
          <w:rFonts w:ascii="黑体" w:hAnsi="黑体" w:eastAsia="黑体"/>
          <w:color w:val="000000"/>
          <w:sz w:val="48"/>
          <w:szCs w:val="48"/>
        </w:rPr>
      </w:pPr>
      <w:r>
        <w:rPr>
          <w:rFonts w:ascii="方正小标宋简体" w:hAnsi="宋体" w:eastAsia="方正小标宋简体"/>
          <w:sz w:val="36"/>
          <w:szCs w:val="36"/>
        </w:rPr>
        <w:br w:type="page"/>
      </w: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  <w:bookmarkStart w:id="159" w:name="_GoBack"/>
      <w:bookmarkEnd w:id="159"/>
    </w:p>
    <w:p>
      <w:pPr>
        <w:pStyle w:val="14"/>
        <w:jc w:val="center"/>
        <w:rPr>
          <w:rFonts w:hAnsiTheme="minorHAnsi"/>
          <w:b w:val="0"/>
          <w:bCs w:val="0"/>
          <w:sz w:val="24"/>
          <w:szCs w:val="24"/>
        </w:rPr>
      </w:pPr>
      <w:r>
        <w:rPr>
          <w:rFonts w:hint="eastAsia" w:hAnsiTheme="minorHAnsi"/>
          <w:b w:val="0"/>
          <w:bCs w:val="0"/>
          <w:sz w:val="24"/>
          <w:szCs w:val="24"/>
        </w:rPr>
        <w:t xml:space="preserve">公开时间：2022年 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hAnsiTheme="minorHAnsi"/>
          <w:b w:val="0"/>
          <w:bCs w:val="0"/>
          <w:sz w:val="24"/>
          <w:szCs w:val="24"/>
        </w:rPr>
        <w:t>月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18</w:t>
      </w:r>
      <w:r>
        <w:rPr>
          <w:rFonts w:hint="eastAsia" w:hAnsiTheme="minorHAnsi"/>
          <w:b w:val="0"/>
          <w:bCs w:val="0"/>
          <w:sz w:val="24"/>
          <w:szCs w:val="24"/>
        </w:rPr>
        <w:t>日</w:t>
      </w:r>
    </w:p>
    <w:p>
      <w:pPr>
        <w:pStyle w:val="14"/>
        <w:tabs>
          <w:tab w:val="right" w:leader="dot" w:pos="8296"/>
        </w:tabs>
        <w:rPr>
          <w:rFonts w:hint="eastAsia" w:hAnsiTheme="minorHAnsi" w:eastAsiaTheme="minorHAnsi" w:cstheme="minorBidi"/>
          <w:b w:val="0"/>
          <w:bCs w:val="0"/>
          <w:caps w:val="0"/>
          <w:color w:val="000000" w:themeColor="text1"/>
          <w:sz w:val="21"/>
          <w:szCs w:val="22"/>
          <w:highlight w:val="none"/>
          <w:shd w:val="clear" w:color="auto" w:fill="auto"/>
          <w:lang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b w:val="0"/>
          <w:bCs w:val="0"/>
          <w:caps w:val="0"/>
          <w:color w:val="auto"/>
          <w:highlight w:val="none"/>
          <w:shd w:val="clear" w:color="auto" w:fill="auto"/>
        </w:rPr>
        <w:fldChar w:fldCharType="begin"/>
      </w:r>
      <w:r>
        <w:rPr>
          <w:b w:val="0"/>
          <w:bCs w:val="0"/>
          <w:caps w:val="0"/>
          <w:color w:val="auto"/>
          <w:highlight w:val="none"/>
          <w:shd w:val="clear" w:color="auto" w:fill="auto"/>
        </w:rPr>
        <w:instrText xml:space="preserve"> TOC \o \u </w:instrText>
      </w:r>
      <w:r>
        <w:rPr>
          <w:b w:val="0"/>
          <w:bCs w:val="0"/>
          <w:caps w:val="0"/>
          <w:color w:val="auto"/>
          <w:highlight w:val="none"/>
          <w:shd w:val="clear" w:color="auto" w:fill="auto"/>
        </w:rPr>
        <w:fldChar w:fldCharType="separate"/>
      </w:r>
      <w:r>
        <w:rPr>
          <w:rFonts w:ascii="黑体" w:hAnsi="黑体" w:eastAsia="黑体"/>
          <w:b w:val="0"/>
          <w:color w:val="000000" w:themeColor="text1"/>
          <w:highlight w:val="none"/>
          <w:shd w:val="clear" w:color="auto" w:fill="auto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 xml:space="preserve">第一部分 </w:t>
      </w:r>
      <w:r>
        <w:rPr>
          <w:rFonts w:ascii="黑体" w:hAnsi="黑体" w:eastAsia="黑体"/>
          <w:b w:val="0"/>
          <w:bCs w:val="0"/>
          <w:color w:val="000000" w:themeColor="text1"/>
          <w:highlight w:val="none"/>
          <w:shd w:val="clear" w:color="auto" w:fill="auto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部门概况</w:t>
      </w:r>
      <w:r>
        <w:rPr>
          <w:color w:val="000000" w:themeColor="text1"/>
          <w:highlight w:val="none"/>
          <w:shd w:val="clear" w:color="auto" w:fill="auto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ab/>
      </w:r>
      <w:r>
        <w:rPr>
          <w:rFonts w:hint="eastAsia"/>
          <w:b w:val="0"/>
          <w:bCs w:val="0"/>
          <w:color w:val="000000" w:themeColor="text1"/>
          <w:highlight w:val="none"/>
          <w:shd w:val="clear" w:color="auto" w:fill="auto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5</w:t>
      </w:r>
    </w:p>
    <w:p>
      <w:pPr>
        <w:pStyle w:val="17"/>
        <w:tabs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一、基本职能及主要工作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5</w:t>
      </w:r>
    </w:p>
    <w:p>
      <w:pPr>
        <w:pStyle w:val="9"/>
        <w:tabs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bCs/>
          <w:color w:val="auto"/>
          <w:highlight w:val="none"/>
          <w:shd w:val="clear" w:color="auto" w:fill="auto"/>
        </w:rPr>
        <w:t>（一）主要职能。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5</w:t>
      </w:r>
    </w:p>
    <w:p>
      <w:pPr>
        <w:pStyle w:val="9"/>
        <w:tabs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bCs/>
          <w:color w:val="auto"/>
          <w:highlight w:val="none"/>
          <w:shd w:val="clear" w:color="auto" w:fill="auto"/>
        </w:rPr>
        <w:t>（二）202</w:t>
      </w:r>
      <w:r>
        <w:rPr>
          <w:rFonts w:hint="eastAsia" w:ascii="仿宋" w:hAnsi="仿宋" w:eastAsia="仿宋"/>
          <w:bCs/>
          <w:color w:val="auto"/>
          <w:highlight w:val="none"/>
          <w:shd w:val="clear" w:color="auto" w:fill="auto"/>
        </w:rPr>
        <w:t>1</w:t>
      </w:r>
      <w:r>
        <w:rPr>
          <w:rFonts w:ascii="仿宋" w:hAnsi="仿宋" w:eastAsia="仿宋"/>
          <w:bCs/>
          <w:color w:val="auto"/>
          <w:highlight w:val="none"/>
          <w:shd w:val="clear" w:color="auto" w:fill="auto"/>
        </w:rPr>
        <w:t>年重点工作完成情况。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6</w:t>
      </w:r>
    </w:p>
    <w:p>
      <w:pPr>
        <w:pStyle w:val="17"/>
        <w:tabs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eastAsia="黑体"/>
          <w:color w:val="auto"/>
          <w:highlight w:val="none"/>
          <w:shd w:val="clear" w:color="auto" w:fill="auto"/>
        </w:rPr>
        <w:t>二、</w:t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>机构设置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6</w:t>
      </w:r>
    </w:p>
    <w:p>
      <w:pPr>
        <w:pStyle w:val="9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1.</w:t>
      </w:r>
      <w:r>
        <w:rPr>
          <w:rFonts w:hAnsiTheme="minorHAnsi" w:eastAsiaTheme="minorEastAsia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仿宋" w:hAnsi="仿宋" w:eastAsia="仿宋"/>
          <w:color w:val="auto"/>
          <w:highlight w:val="none"/>
          <w:shd w:val="clear" w:color="auto" w:fill="auto"/>
        </w:rPr>
        <w:t>***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6</w:t>
      </w:r>
    </w:p>
    <w:p>
      <w:pPr>
        <w:pStyle w:val="9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2.</w:t>
      </w:r>
      <w:r>
        <w:rPr>
          <w:rFonts w:hAnsiTheme="minorHAnsi" w:eastAsiaTheme="minorEastAsia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仿宋" w:hAnsi="仿宋" w:eastAsia="仿宋"/>
          <w:color w:val="auto"/>
          <w:highlight w:val="none"/>
          <w:shd w:val="clear" w:color="auto" w:fill="auto"/>
        </w:rPr>
        <w:t>***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6</w:t>
      </w:r>
    </w:p>
    <w:p>
      <w:pPr>
        <w:pStyle w:val="9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3.</w:t>
      </w:r>
      <w:r>
        <w:rPr>
          <w:rFonts w:hAnsiTheme="minorHAnsi" w:eastAsiaTheme="minorEastAsia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仿宋" w:hAnsi="仿宋" w:eastAsia="仿宋"/>
          <w:color w:val="auto"/>
          <w:highlight w:val="none"/>
          <w:shd w:val="clear" w:color="auto" w:fill="auto"/>
        </w:rPr>
        <w:t>***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6</w:t>
      </w:r>
    </w:p>
    <w:p>
      <w:pPr>
        <w:pStyle w:val="14"/>
        <w:tabs>
          <w:tab w:val="right" w:leader="dot" w:pos="8296"/>
        </w:tabs>
        <w:rPr>
          <w:rFonts w:hint="eastAsia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b w:val="0"/>
          <w:color w:val="auto"/>
          <w:highlight w:val="none"/>
          <w:shd w:val="clear" w:color="auto" w:fill="auto"/>
        </w:rPr>
        <w:t>第二部分</w:t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 xml:space="preserve"> </w:t>
      </w:r>
      <w:r>
        <w:rPr>
          <w:rFonts w:ascii="黑体" w:hAnsi="黑体" w:eastAsia="黑体"/>
          <w:b w:val="0"/>
          <w:bCs w:val="0"/>
          <w:color w:val="auto"/>
          <w:highlight w:val="none"/>
          <w:shd w:val="clear" w:color="auto" w:fill="auto"/>
        </w:rPr>
        <w:t>202</w:t>
      </w:r>
      <w:r>
        <w:rPr>
          <w:rFonts w:hint="eastAsia" w:ascii="黑体" w:hAnsi="黑体" w:eastAsia="黑体"/>
          <w:b w:val="0"/>
          <w:bCs w:val="0"/>
          <w:color w:val="auto"/>
          <w:highlight w:val="none"/>
          <w:shd w:val="clear" w:color="auto" w:fill="auto"/>
        </w:rPr>
        <w:t>1</w:t>
      </w:r>
      <w:r>
        <w:rPr>
          <w:rFonts w:ascii="黑体" w:hAnsi="黑体" w:eastAsia="黑体"/>
          <w:b w:val="0"/>
          <w:bCs w:val="0"/>
          <w:color w:val="auto"/>
          <w:highlight w:val="none"/>
          <w:shd w:val="clear" w:color="auto" w:fill="auto"/>
        </w:rPr>
        <w:t>年度部门决算情况说明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7</w:t>
      </w:r>
    </w:p>
    <w:p>
      <w:pPr>
        <w:pStyle w:val="17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一、</w:t>
      </w:r>
      <w:r>
        <w:rPr>
          <w:rFonts w:hAnsiTheme="minorHAnsi" w:eastAsiaTheme="minorEastAsia" w:cstheme="minorBidi"/>
          <w:smallCap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>收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入支出决算总体情况说明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7</w:t>
      </w:r>
    </w:p>
    <w:p>
      <w:pPr>
        <w:pStyle w:val="17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二、</w:t>
      </w:r>
      <w:r>
        <w:rPr>
          <w:rFonts w:hAnsiTheme="minorHAnsi" w:eastAsiaTheme="minorEastAsia" w:cstheme="minorBidi"/>
          <w:smallCap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>收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入决算情况说明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7</w:t>
      </w:r>
    </w:p>
    <w:p>
      <w:pPr>
        <w:pStyle w:val="17"/>
        <w:tabs>
          <w:tab w:val="left" w:pos="840"/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三、</w:t>
      </w:r>
      <w:r>
        <w:rPr>
          <w:rFonts w:hAnsiTheme="minorHAnsi" w:eastAsiaTheme="minorEastAsia" w:cstheme="minorBidi"/>
          <w:smallCaps w:val="0"/>
          <w:color w:val="auto"/>
          <w:sz w:val="21"/>
          <w:szCs w:val="22"/>
          <w:highlight w:val="none"/>
          <w:shd w:val="clear" w:color="auto" w:fill="auto"/>
        </w:rPr>
        <w:tab/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>支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8</w:t>
      </w:r>
    </w:p>
    <w:p>
      <w:pPr>
        <w:pStyle w:val="17"/>
        <w:tabs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四、财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政拨款收入支出决算总体情况说明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8</w:t>
      </w:r>
    </w:p>
    <w:p>
      <w:pPr>
        <w:pStyle w:val="17"/>
        <w:tabs>
          <w:tab w:val="right" w:leader="dot" w:pos="8296"/>
        </w:tabs>
        <w:rPr>
          <w:rFonts w:hint="eastAsia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五、</w:t>
      </w:r>
      <w:r>
        <w:rPr>
          <w:rFonts w:ascii="黑体" w:hAnsi="黑体" w:eastAsia="黑体"/>
          <w:b/>
          <w:color w:val="auto"/>
          <w:highlight w:val="none"/>
          <w:shd w:val="clear" w:color="auto" w:fill="auto"/>
        </w:rPr>
        <w:t>一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般公共预算财政拨款支出决算情况说明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9</w:t>
      </w:r>
    </w:p>
    <w:p>
      <w:pPr>
        <w:pStyle w:val="9"/>
        <w:tabs>
          <w:tab w:val="right" w:leader="dot" w:pos="8296"/>
        </w:tabs>
        <w:rPr>
          <w:rFonts w:hint="eastAsia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（一）一般公共预算财政拨款支出决算总体情况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9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（二）一般公共预算财政拨款支出决算结构情况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10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（三）一般公共预算财政拨款支出决算具体情况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eastAsia="黑体"/>
          <w:color w:val="auto"/>
          <w:highlight w:val="none"/>
          <w:shd w:val="clear" w:color="auto" w:fill="auto"/>
        </w:rPr>
        <w:t>六</w:t>
      </w:r>
      <w:r>
        <w:rPr>
          <w:rFonts w:ascii="黑体" w:eastAsia="黑体"/>
          <w:b/>
          <w:color w:val="auto"/>
          <w:highlight w:val="none"/>
          <w:shd w:val="clear" w:color="auto" w:fill="auto"/>
        </w:rPr>
        <w:t>、</w:t>
      </w:r>
      <w:r>
        <w:rPr>
          <w:rFonts w:ascii="黑体" w:hAnsi="黑体" w:eastAsia="黑体"/>
          <w:b/>
          <w:color w:val="auto"/>
          <w:highlight w:val="none"/>
          <w:shd w:val="clear" w:color="auto" w:fill="auto"/>
        </w:rPr>
        <w:t>一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般公共预算财政拨款基本支出决算情况说明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11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eastAsia="黑体"/>
          <w:color w:val="auto"/>
          <w:highlight w:val="none"/>
          <w:shd w:val="clear" w:color="auto" w:fill="auto"/>
        </w:rPr>
        <w:t>七、</w:t>
      </w:r>
      <w:r>
        <w:rPr>
          <w:rFonts w:ascii="黑体" w:hAnsi="黑体" w:eastAsia="黑体"/>
          <w:b/>
          <w:bCs/>
          <w:color w:val="auto"/>
          <w:highlight w:val="none"/>
          <w:shd w:val="clear" w:color="auto" w:fill="auto"/>
        </w:rPr>
        <w:t>“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三公”经费财政拨款支出决算情况说明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11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（一）“三公”经费财政拨款支出决算总体情况说明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11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（二）“三公”经费财政拨款支出决算具体情况说明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11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eastAsia="黑体"/>
          <w:color w:val="auto"/>
          <w:highlight w:val="none"/>
          <w:shd w:val="clear" w:color="auto" w:fill="auto"/>
        </w:rPr>
        <w:t>八、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政府性基金预算支出决算情况说明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12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九、 国有资本经营预算支出决算情况说明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12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十</w:t>
      </w:r>
      <w:r>
        <w:rPr>
          <w:rFonts w:ascii="黑体" w:hAnsi="黑体" w:eastAsia="黑体"/>
          <w:b/>
          <w:bCs/>
          <w:color w:val="auto"/>
          <w:highlight w:val="none"/>
          <w:shd w:val="clear" w:color="auto" w:fill="auto"/>
        </w:rPr>
        <w:t>、</w:t>
      </w:r>
      <w:r>
        <w:rPr>
          <w:rFonts w:ascii="黑体" w:hAnsi="黑体" w:eastAsia="黑体"/>
          <w:bCs/>
          <w:color w:val="auto"/>
          <w:highlight w:val="none"/>
          <w:shd w:val="clear" w:color="auto" w:fill="auto"/>
        </w:rPr>
        <w:t>其他重要事项的情况说明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12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（一）机关运行经费支出情况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12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（二）政府采购支出情况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12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（三）国有资产占有使用情况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13</w:t>
      </w:r>
    </w:p>
    <w:p>
      <w:pPr>
        <w:pStyle w:val="9"/>
        <w:tabs>
          <w:tab w:val="right" w:leader="dot" w:pos="8296"/>
        </w:tabs>
        <w:rPr>
          <w:rFonts w:hint="default" w:hAnsiTheme="minorHAnsi" w:eastAsiaTheme="minorHAnsi" w:cstheme="minorBidi"/>
          <w:i w:val="0"/>
          <w:iC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b/>
          <w:color w:val="auto"/>
          <w:highlight w:val="none"/>
          <w:shd w:val="clear" w:color="auto" w:fill="auto"/>
        </w:rPr>
        <w:t>（四）预算绩效管理情况。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13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/>
          <w:color w:val="auto"/>
          <w:kern w:val="44"/>
          <w:highlight w:val="none"/>
          <w:shd w:val="clear" w:color="auto" w:fill="auto"/>
        </w:rPr>
        <w:t>第三部分</w:t>
      </w:r>
      <w:r>
        <w:rPr>
          <w:rFonts w:ascii="黑体" w:hAnsi="黑体" w:eastAsia="黑体"/>
          <w:color w:val="auto"/>
          <w:highlight w:val="none"/>
          <w:shd w:val="clear" w:color="auto" w:fill="auto"/>
        </w:rPr>
        <w:t xml:space="preserve"> 名</w:t>
      </w:r>
      <w:r>
        <w:rPr>
          <w:rFonts w:ascii="黑体" w:hAnsi="黑体" w:eastAsia="黑体"/>
          <w:color w:val="auto"/>
          <w:kern w:val="44"/>
          <w:highlight w:val="none"/>
          <w:shd w:val="clear" w:color="auto" w:fill="auto"/>
        </w:rPr>
        <w:t>词解释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14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第</w:t>
      </w:r>
      <w:r>
        <w:rPr>
          <w:rFonts w:ascii="黑体" w:hAnsi="黑体" w:eastAsia="黑体"/>
          <w:color w:val="auto"/>
          <w:kern w:val="44"/>
          <w:highlight w:val="none"/>
          <w:shd w:val="clear" w:color="auto" w:fill="auto"/>
        </w:rPr>
        <w:t>四部分 附件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15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 w:cs="黑体"/>
          <w:color w:val="auto"/>
          <w:highlight w:val="none"/>
          <w:shd w:val="clear" w:color="auto" w:fill="auto"/>
        </w:rPr>
        <w:t>附件1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15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方正小标宋简体" w:hAnsi="黑体" w:eastAsia="方正小标宋简体" w:cs="黑体"/>
          <w:color w:val="auto"/>
          <w:highlight w:val="none"/>
          <w:shd w:val="clear" w:color="auto" w:fill="auto"/>
        </w:rPr>
        <w:t>XX部门202</w:t>
      </w:r>
      <w:r>
        <w:rPr>
          <w:rFonts w:hint="eastAsia" w:ascii="方正小标宋简体" w:hAnsi="黑体" w:eastAsia="方正小标宋简体" w:cs="黑体"/>
          <w:color w:val="auto"/>
          <w:highlight w:val="none"/>
          <w:shd w:val="clear" w:color="auto" w:fill="auto"/>
        </w:rPr>
        <w:t>1</w:t>
      </w:r>
      <w:r>
        <w:rPr>
          <w:rFonts w:ascii="方正小标宋简体" w:hAnsi="黑体" w:eastAsia="方正小标宋简体" w:cs="黑体"/>
          <w:color w:val="auto"/>
          <w:highlight w:val="none"/>
          <w:shd w:val="clear" w:color="auto" w:fill="auto"/>
        </w:rPr>
        <w:t>年部门整体支出绩效评价报告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15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 w:cs="黑体"/>
          <w:color w:val="auto"/>
          <w:highlight w:val="none"/>
          <w:shd w:val="clear" w:color="auto" w:fill="auto"/>
        </w:rPr>
        <w:t>附件2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18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方正小标宋简体" w:hAnsi="黑体" w:eastAsia="方正小标宋简体" w:cs="黑体"/>
          <w:color w:val="auto"/>
          <w:highlight w:val="none"/>
          <w:shd w:val="clear" w:color="auto" w:fill="auto"/>
        </w:rPr>
        <w:t>XXX项目202</w:t>
      </w:r>
      <w:r>
        <w:rPr>
          <w:rFonts w:hint="eastAsia" w:ascii="方正小标宋简体" w:hAnsi="黑体" w:eastAsia="方正小标宋简体" w:cs="黑体"/>
          <w:color w:val="auto"/>
          <w:highlight w:val="none"/>
          <w:shd w:val="clear" w:color="auto" w:fill="auto"/>
        </w:rPr>
        <w:t>1</w:t>
      </w:r>
      <w:r>
        <w:rPr>
          <w:rFonts w:ascii="方正小标宋简体" w:hAnsi="黑体" w:eastAsia="方正小标宋简体" w:cs="黑体"/>
          <w:color w:val="auto"/>
          <w:highlight w:val="none"/>
          <w:shd w:val="clear" w:color="auto" w:fill="auto"/>
        </w:rPr>
        <w:t>年绩效评价报告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18</w:t>
      </w:r>
    </w:p>
    <w:p>
      <w:pPr>
        <w:pStyle w:val="14"/>
        <w:tabs>
          <w:tab w:val="right" w:leader="dot" w:pos="8296"/>
        </w:tabs>
        <w:rPr>
          <w:rFonts w:hint="default" w:hAnsiTheme="minorHAnsi" w:eastAsiaTheme="minorHAnsi" w:cstheme="minorBidi"/>
          <w:b w:val="0"/>
          <w:bCs w:val="0"/>
          <w: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黑体" w:hAnsi="黑体" w:eastAsia="黑体"/>
          <w:color w:val="auto"/>
          <w:highlight w:val="none"/>
          <w:shd w:val="clear" w:color="auto" w:fill="auto"/>
        </w:rPr>
        <w:t>第</w:t>
      </w:r>
      <w:r>
        <w:rPr>
          <w:rFonts w:ascii="黑体" w:hAnsi="黑体" w:eastAsia="黑体"/>
          <w:color w:val="auto"/>
          <w:kern w:val="44"/>
          <w:highlight w:val="none"/>
          <w:shd w:val="clear" w:color="auto" w:fill="auto"/>
        </w:rPr>
        <w:t>五部分 附表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一、收入支出决算总表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二、收入决算表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三、支出决算表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四、财政拨款收入支出决算总表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五、财政拨款支出决算明细表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六、一般公共预算财政拨款支出决算表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七、一般公共预算财政拨款支出决算明细表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八、一般公共预算财政拨款基本支出决算表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九、一般公共预算财政拨款项目支出决算表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十、一般公共预算财政拨款“三公”经费支出决算表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十一、政府性基金预算财政拨款收入支出决算表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十二、政府性基金预算财政拨款“三公”经费支出决算表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十三、国有资本经营预算财政拨款</w:t>
      </w:r>
      <w:r>
        <w:rPr>
          <w:rFonts w:hint="eastAsia" w:ascii="仿宋" w:hAnsi="仿宋" w:eastAsia="仿宋"/>
          <w:color w:val="auto"/>
          <w:highlight w:val="none"/>
          <w:shd w:val="clear" w:color="auto" w:fill="auto"/>
        </w:rPr>
        <w:t>收入</w:t>
      </w:r>
      <w:r>
        <w:rPr>
          <w:rFonts w:ascii="仿宋" w:hAnsi="仿宋" w:eastAsia="仿宋"/>
          <w:color w:val="auto"/>
          <w:highlight w:val="none"/>
          <w:shd w:val="clear" w:color="auto" w:fill="auto"/>
        </w:rPr>
        <w:t>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pStyle w:val="17"/>
        <w:tabs>
          <w:tab w:val="right" w:leader="dot" w:pos="8296"/>
        </w:tabs>
        <w:rPr>
          <w:rFonts w:hint="default" w:hAnsiTheme="minorHAnsi" w:eastAsiaTheme="minorHAnsi" w:cstheme="minorBidi"/>
          <w:smallCaps w:val="0"/>
          <w:color w:val="auto"/>
          <w:sz w:val="21"/>
          <w:szCs w:val="22"/>
          <w:highlight w:val="none"/>
          <w:shd w:val="clear" w:color="auto" w:fill="auto"/>
          <w:lang w:val="en-US" w:eastAsia="zh-CN"/>
        </w:rPr>
      </w:pPr>
      <w:r>
        <w:rPr>
          <w:rFonts w:ascii="仿宋" w:hAnsi="仿宋" w:eastAsia="仿宋"/>
          <w:color w:val="auto"/>
          <w:highlight w:val="none"/>
          <w:shd w:val="clear" w:color="auto" w:fill="auto"/>
        </w:rPr>
        <w:t>十四、国有资本经营预算财政拨款支出决算表</w:t>
      </w:r>
      <w:r>
        <w:rPr>
          <w:color w:val="auto"/>
          <w:highlight w:val="none"/>
          <w:shd w:val="clear" w:color="auto" w:fill="auto"/>
        </w:rPr>
        <w:tab/>
      </w:r>
      <w:r>
        <w:rPr>
          <w:rFonts w:hint="eastAsia"/>
          <w:color w:val="auto"/>
          <w:highlight w:val="none"/>
          <w:shd w:val="clear" w:color="auto" w:fill="auto"/>
          <w:lang w:val="en-US" w:eastAsia="zh-CN"/>
        </w:rPr>
        <w:t>20</w:t>
      </w:r>
    </w:p>
    <w:p>
      <w:pPr>
        <w:rPr>
          <w:color w:val="auto"/>
          <w:highlight w:val="none"/>
          <w:shd w:val="clear" w:color="auto" w:fill="auto"/>
        </w:rPr>
      </w:pPr>
      <w:r>
        <w:rPr>
          <w:rFonts w:asciiTheme="minorHAnsi" w:eastAsiaTheme="minorHAnsi"/>
          <w:b/>
          <w:bCs/>
          <w:caps/>
          <w:color w:val="auto"/>
          <w:sz w:val="20"/>
          <w:szCs w:val="20"/>
          <w:highlight w:val="none"/>
          <w:shd w:val="clear" w:color="auto" w:fill="auto"/>
        </w:rPr>
        <w:fldChar w:fldCharType="end"/>
      </w:r>
    </w:p>
    <w:p>
      <w:pPr>
        <w:widowControl/>
        <w:spacing w:line="440" w:lineRule="exact"/>
        <w:jc w:val="left"/>
        <w:rPr>
          <w:rFonts w:ascii="仿宋" w:hAnsi="仿宋" w:eastAsia="仿宋"/>
          <w:bCs/>
          <w:color w:val="auto"/>
          <w:kern w:val="44"/>
          <w:sz w:val="24"/>
          <w:highlight w:val="none"/>
          <w:shd w:val="clear" w:color="auto" w:fill="auto"/>
        </w:rPr>
      </w:pPr>
      <w:bookmarkStart w:id="12" w:name="_Toc15396599"/>
      <w:bookmarkStart w:id="13" w:name="_Toc15377196"/>
      <w:r>
        <w:rPr>
          <w:rFonts w:ascii="仿宋" w:hAnsi="仿宋" w:eastAsia="仿宋"/>
          <w:b/>
          <w:color w:val="auto"/>
          <w:sz w:val="24"/>
          <w:highlight w:val="none"/>
          <w:shd w:val="clear" w:color="auto" w:fill="auto"/>
        </w:rPr>
        <w:br w:type="page"/>
      </w:r>
    </w:p>
    <w:p>
      <w:pPr>
        <w:pStyle w:val="3"/>
        <w:jc w:val="center"/>
        <w:rPr>
          <w:rStyle w:val="23"/>
          <w:rFonts w:ascii="黑体" w:hAnsi="黑体" w:eastAsia="黑体"/>
          <w:b/>
          <w:bCs w:val="0"/>
        </w:rPr>
      </w:pPr>
      <w:bookmarkStart w:id="14" w:name="_Toc79163851"/>
      <w:bookmarkStart w:id="15" w:name="_Toc79163601"/>
      <w:r>
        <w:rPr>
          <w:rFonts w:hint="eastAsia" w:ascii="黑体" w:hAnsi="黑体" w:eastAsia="黑体"/>
          <w:b w:val="0"/>
        </w:rPr>
        <w:t>第一部分</w:t>
      </w:r>
      <w:r>
        <w:rPr>
          <w:rFonts w:ascii="黑体" w:hAnsi="黑体" w:eastAsia="黑体"/>
          <w:b w:val="0"/>
        </w:rPr>
        <w:t xml:space="preserve"> </w:t>
      </w:r>
      <w:r>
        <w:rPr>
          <w:rStyle w:val="23"/>
          <w:rFonts w:hint="eastAsia" w:ascii="黑体" w:hAnsi="黑体" w:eastAsia="黑体"/>
          <w:b w:val="0"/>
          <w:bCs w:val="0"/>
        </w:rPr>
        <w:t>部门概况</w:t>
      </w:r>
      <w:bookmarkEnd w:id="12"/>
      <w:bookmarkEnd w:id="13"/>
      <w:bookmarkEnd w:id="14"/>
      <w:bookmarkEnd w:id="15"/>
    </w:p>
    <w:p>
      <w:pPr>
        <w:widowControl/>
        <w:jc w:val="left"/>
        <w:rPr>
          <w:rFonts w:ascii="黑体" w:eastAsia="黑体"/>
          <w:color w:val="000000"/>
          <w:sz w:val="32"/>
          <w:szCs w:val="32"/>
        </w:rPr>
      </w:pPr>
    </w:p>
    <w:p>
      <w:pPr>
        <w:pStyle w:val="4"/>
        <w:rPr>
          <w:rStyle w:val="24"/>
          <w:rFonts w:ascii="仿宋" w:hAnsi="仿宋" w:eastAsia="仿宋"/>
          <w:b w:val="0"/>
          <w:bCs w:val="0"/>
        </w:rPr>
      </w:pPr>
      <w:bookmarkStart w:id="16" w:name="_Toc15396600"/>
      <w:bookmarkStart w:id="17" w:name="_Toc15377197"/>
      <w:bookmarkStart w:id="18" w:name="_Toc79163852"/>
      <w:bookmarkStart w:id="19" w:name="_Toc79163602"/>
      <w:r>
        <w:rPr>
          <w:rFonts w:hint="eastAsia" w:ascii="黑体" w:hAnsi="黑体" w:eastAsia="黑体"/>
          <w:b w:val="0"/>
          <w:color w:val="000000"/>
        </w:rPr>
        <w:t>一、基</w:t>
      </w:r>
      <w:r>
        <w:rPr>
          <w:rStyle w:val="24"/>
          <w:rFonts w:hint="eastAsia" w:ascii="黑体" w:hAnsi="黑体" w:eastAsia="黑体"/>
          <w:b w:val="0"/>
          <w:bCs w:val="0"/>
        </w:rPr>
        <w:t>本职能及主要工作</w:t>
      </w:r>
      <w:bookmarkEnd w:id="16"/>
      <w:bookmarkEnd w:id="17"/>
      <w:bookmarkEnd w:id="18"/>
      <w:bookmarkEnd w:id="19"/>
    </w:p>
    <w:p>
      <w:pPr>
        <w:pStyle w:val="7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20" w:name="_Toc79163603"/>
      <w:bookmarkStart w:id="21" w:name="_Toc79163853"/>
      <w:bookmarkStart w:id="22" w:name="_Toc15378445"/>
      <w:bookmarkStart w:id="23" w:name="_Toc15377198"/>
      <w:r>
        <w:rPr>
          <w:rFonts w:hint="eastAsia" w:ascii="仿宋" w:hAnsi="仿宋" w:eastAsia="仿宋"/>
          <w:bCs/>
          <w:color w:val="000000"/>
          <w:sz w:val="32"/>
          <w:szCs w:val="32"/>
        </w:rPr>
        <w:t>（一）主要职能。</w:t>
      </w:r>
      <w:bookmarkEnd w:id="20"/>
      <w:bookmarkEnd w:id="2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bookmarkEnd w:id="22"/>
    <w:bookmarkEnd w:id="23"/>
    <w:p>
      <w:pPr>
        <w:pStyle w:val="7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24" w:name="_Toc79163854"/>
      <w:bookmarkStart w:id="25" w:name="_Toc15378446"/>
      <w:bookmarkStart w:id="26" w:name="_Toc79163604"/>
      <w:bookmarkStart w:id="27" w:name="_Toc15377199"/>
      <w:r>
        <w:rPr>
          <w:rFonts w:hint="eastAsia" w:ascii="仿宋" w:hAnsi="仿宋" w:eastAsia="仿宋"/>
          <w:bCs/>
          <w:color w:val="000000"/>
          <w:sz w:val="32"/>
          <w:szCs w:val="32"/>
        </w:rPr>
        <w:t>（二）</w:t>
      </w:r>
      <w:r>
        <w:rPr>
          <w:rFonts w:ascii="仿宋" w:hAnsi="仿宋" w:eastAsia="仿宋"/>
          <w:bCs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1年重点工作完成情况。</w:t>
      </w:r>
      <w:bookmarkEnd w:id="24"/>
      <w:bookmarkEnd w:id="25"/>
      <w:bookmarkEnd w:id="26"/>
      <w:bookmarkEnd w:id="27"/>
    </w:p>
    <w:p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完成了各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重点工作和目标任务，全力推进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水利项目建设、河长制工作落实，狠抓防汛减灾和安全生产，加大水行政执法工作力度，各项工作稳步推进。</w:t>
      </w:r>
    </w:p>
    <w:p>
      <w:pPr>
        <w:pStyle w:val="4"/>
        <w:rPr>
          <w:rStyle w:val="24"/>
          <w:b w:val="0"/>
          <w:bCs w:val="0"/>
        </w:rPr>
      </w:pPr>
      <w:bookmarkStart w:id="28" w:name="_Toc79163855"/>
      <w:bookmarkStart w:id="29" w:name="_Toc79163605"/>
      <w:bookmarkStart w:id="30" w:name="_Toc15396601"/>
      <w:bookmarkStart w:id="31" w:name="_Toc15377200"/>
      <w:r>
        <w:rPr>
          <w:rFonts w:hint="eastAsia" w:ascii="黑体" w:eastAsia="黑体"/>
          <w:b w:val="0"/>
          <w:color w:val="000000"/>
        </w:rPr>
        <w:t>二、</w:t>
      </w:r>
      <w:r>
        <w:rPr>
          <w:rFonts w:hint="eastAsia" w:ascii="黑体" w:hAnsi="黑体" w:eastAsia="黑体"/>
          <w:b w:val="0"/>
          <w:color w:val="000000"/>
        </w:rPr>
        <w:t>机</w:t>
      </w:r>
      <w:r>
        <w:rPr>
          <w:rStyle w:val="24"/>
          <w:rFonts w:hint="eastAsia" w:ascii="黑体" w:hAnsi="黑体" w:eastAsia="黑体"/>
          <w:b w:val="0"/>
          <w:bCs w:val="0"/>
        </w:rPr>
        <w:t>构设置</w:t>
      </w:r>
      <w:bookmarkEnd w:id="28"/>
      <w:bookmarkEnd w:id="29"/>
      <w:bookmarkEnd w:id="30"/>
      <w:bookmarkEnd w:id="31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壤塘县农业畜牧和水务局科教站，内设事业股室：水资源股、水利股、质量监督站、水保股、建管股、规计股。</w:t>
      </w:r>
    </w:p>
    <w:p>
      <w:pPr>
        <w:widowControl/>
        <w:jc w:val="left"/>
        <w:rPr>
          <w:rFonts w:ascii="仿宋" w:hAnsi="仿宋" w:eastAsia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br w:type="page"/>
      </w:r>
    </w:p>
    <w:p>
      <w:pPr>
        <w:pStyle w:val="3"/>
        <w:ind w:right="440"/>
        <w:jc w:val="right"/>
        <w:rPr>
          <w:rStyle w:val="23"/>
          <w:rFonts w:ascii="黑体" w:hAnsi="黑体" w:eastAsia="黑体"/>
          <w:b w:val="0"/>
          <w:bCs w:val="0"/>
        </w:rPr>
      </w:pPr>
      <w:bookmarkStart w:id="32" w:name="_Toc15377204"/>
      <w:bookmarkStart w:id="33" w:name="_Toc79163859"/>
      <w:bookmarkStart w:id="34" w:name="_Toc15396602"/>
      <w:bookmarkStart w:id="35" w:name="_Toc79163609"/>
      <w:r>
        <w:rPr>
          <w:rFonts w:hint="eastAsia" w:ascii="黑体" w:hAnsi="黑体" w:eastAsia="黑体"/>
          <w:b w:val="0"/>
          <w:color w:val="000000"/>
        </w:rPr>
        <w:t>第二部分</w:t>
      </w:r>
      <w:r>
        <w:rPr>
          <w:rFonts w:ascii="黑体" w:hAnsi="黑体" w:eastAsia="黑体"/>
          <w:color w:val="000000"/>
        </w:rPr>
        <w:t xml:space="preserve"> </w:t>
      </w:r>
      <w:r>
        <w:rPr>
          <w:rStyle w:val="23"/>
          <w:rFonts w:ascii="黑体" w:hAnsi="黑体" w:eastAsia="黑体"/>
          <w:b w:val="0"/>
          <w:bCs w:val="0"/>
        </w:rPr>
        <w:t>202</w:t>
      </w:r>
      <w:r>
        <w:rPr>
          <w:rStyle w:val="23"/>
          <w:rFonts w:hint="eastAsia" w:ascii="黑体" w:hAnsi="黑体" w:eastAsia="黑体"/>
          <w:b w:val="0"/>
          <w:bCs w:val="0"/>
        </w:rPr>
        <w:t>1年度部门决算情况说明</w:t>
      </w:r>
      <w:bookmarkEnd w:id="32"/>
      <w:bookmarkEnd w:id="33"/>
      <w:bookmarkEnd w:id="34"/>
      <w:bookmarkEnd w:id="35"/>
    </w:p>
    <w:p/>
    <w:p>
      <w:pPr>
        <w:pStyle w:val="34"/>
        <w:numPr>
          <w:ilvl w:val="0"/>
          <w:numId w:val="1"/>
        </w:numPr>
        <w:spacing w:line="600" w:lineRule="exact"/>
        <w:ind w:firstLineChars="0"/>
        <w:outlineLvl w:val="1"/>
        <w:rPr>
          <w:rStyle w:val="24"/>
          <w:rFonts w:ascii="黑体" w:hAnsi="黑体" w:eastAsia="黑体"/>
          <w:b w:val="0"/>
        </w:rPr>
      </w:pPr>
      <w:bookmarkStart w:id="36" w:name="_Toc15377205"/>
      <w:bookmarkStart w:id="37" w:name="_Toc15396603"/>
      <w:bookmarkStart w:id="38" w:name="_Toc79163860"/>
      <w:bookmarkStart w:id="39" w:name="_Toc79163610"/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4"/>
          <w:rFonts w:hint="eastAsia" w:ascii="黑体" w:hAnsi="黑体" w:eastAsia="黑体"/>
          <w:b w:val="0"/>
        </w:rPr>
        <w:t>入支出决算总体情况说明</w:t>
      </w:r>
      <w:bookmarkEnd w:id="36"/>
      <w:bookmarkEnd w:id="37"/>
      <w:bookmarkEnd w:id="38"/>
      <w:bookmarkEnd w:id="39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年度收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55.35万元，增长22%；主要变动原因工资变动。2021年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55.35万元，增长22%；主要变动原因是工资变动。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：收、支决算总计变动情况图）（柱状图）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ascii="仿宋_GB2312" w:eastAsia="仿宋_GB2312"/>
          <w:color w:val="000000"/>
          <w:sz w:val="32"/>
          <w:szCs w:val="32"/>
        </w:rPr>
      </w:pPr>
      <w:r>
        <w:drawing>
          <wp:inline distT="0" distB="0" distL="114300" distR="114300">
            <wp:extent cx="4572000" cy="2884805"/>
            <wp:effectExtent l="4445" t="4445" r="14605" b="6350"/>
            <wp:docPr id="1072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34"/>
        <w:numPr>
          <w:ilvl w:val="0"/>
          <w:numId w:val="0"/>
        </w:numPr>
        <w:spacing w:line="600" w:lineRule="exact"/>
        <w:ind w:firstLine="640" w:firstLineChars="200"/>
        <w:outlineLvl w:val="1"/>
        <w:rPr>
          <w:rStyle w:val="24"/>
          <w:rFonts w:ascii="黑体" w:hAnsi="黑体" w:eastAsia="黑体"/>
          <w:b w:val="0"/>
        </w:rPr>
      </w:pPr>
      <w:bookmarkStart w:id="40" w:name="_Toc15396604"/>
      <w:bookmarkStart w:id="41" w:name="_Toc15377206"/>
      <w:bookmarkStart w:id="42" w:name="_Toc79163611"/>
      <w:bookmarkStart w:id="43" w:name="_Toc79163861"/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color w:val="000000"/>
          <w:sz w:val="32"/>
          <w:szCs w:val="32"/>
        </w:rPr>
        <w:t>收</w:t>
      </w:r>
      <w:r>
        <w:rPr>
          <w:rStyle w:val="24"/>
          <w:rFonts w:hint="eastAsia" w:ascii="黑体" w:hAnsi="黑体" w:eastAsia="黑体"/>
          <w:b w:val="0"/>
        </w:rPr>
        <w:t>入决算情况说明</w:t>
      </w:r>
      <w:bookmarkEnd w:id="40"/>
      <w:bookmarkEnd w:id="41"/>
      <w:bookmarkEnd w:id="42"/>
      <w:bookmarkEnd w:id="43"/>
    </w:p>
    <w:p>
      <w:pPr>
        <w:spacing w:line="60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年本年收入合计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：收入决算结构图）（饼状图）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</w:p>
    <w:p>
      <w:pPr>
        <w:pStyle w:val="2"/>
        <w:rPr>
          <w:rFonts w:ascii="仿宋_GB2312" w:eastAsia="仿宋_GB2312"/>
          <w:color w:val="FF0000"/>
          <w:sz w:val="32"/>
          <w:szCs w:val="32"/>
        </w:rPr>
      </w:pPr>
    </w:p>
    <w:p>
      <w:pPr>
        <w:pStyle w:val="2"/>
        <w:rPr>
          <w:rFonts w:ascii="仿宋_GB2312" w:eastAsia="仿宋_GB2312"/>
          <w:color w:val="FF0000"/>
          <w:sz w:val="32"/>
          <w:szCs w:val="32"/>
        </w:rPr>
      </w:pPr>
      <w:r>
        <w:drawing>
          <wp:inline distT="0" distB="0" distL="114300" distR="114300">
            <wp:extent cx="4540250" cy="2525395"/>
            <wp:effectExtent l="4445" t="4445" r="8255" b="2286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34"/>
        <w:numPr>
          <w:ilvl w:val="0"/>
          <w:numId w:val="0"/>
        </w:numPr>
        <w:spacing w:line="600" w:lineRule="exact"/>
        <w:ind w:left="640" w:leftChars="0"/>
        <w:outlineLvl w:val="1"/>
        <w:rPr>
          <w:rStyle w:val="24"/>
          <w:rFonts w:ascii="黑体" w:hAnsi="黑体" w:eastAsia="黑体"/>
          <w:b w:val="0"/>
        </w:rPr>
      </w:pPr>
      <w:bookmarkStart w:id="44" w:name="_Toc79163612"/>
      <w:bookmarkStart w:id="45" w:name="_Toc15396605"/>
      <w:bookmarkStart w:id="46" w:name="_Toc15377207"/>
      <w:bookmarkStart w:id="47" w:name="_Toc79163862"/>
      <w:r>
        <w:rPr>
          <w:rFonts w:hint="eastAsia" w:ascii="黑体" w:hAnsi="黑体" w:eastAsia="黑体"/>
          <w:color w:val="000000"/>
          <w:sz w:val="32"/>
          <w:szCs w:val="32"/>
          <w:lang w:eastAsia="zh-CN"/>
        </w:rPr>
        <w:t>三、</w:t>
      </w:r>
      <w:r>
        <w:rPr>
          <w:rFonts w:hint="eastAsia" w:ascii="黑体" w:hAnsi="黑体" w:eastAsia="黑体"/>
          <w:color w:val="000000"/>
          <w:sz w:val="32"/>
          <w:szCs w:val="32"/>
        </w:rPr>
        <w:t>支</w:t>
      </w:r>
      <w:r>
        <w:rPr>
          <w:rStyle w:val="24"/>
          <w:rFonts w:hint="eastAsia" w:ascii="黑体" w:hAnsi="黑体" w:eastAsia="黑体"/>
          <w:b w:val="0"/>
        </w:rPr>
        <w:t>出决算情况说明</w:t>
      </w:r>
      <w:bookmarkEnd w:id="44"/>
      <w:bookmarkEnd w:id="45"/>
      <w:bookmarkEnd w:id="46"/>
      <w:bookmarkEnd w:id="47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  <w:shd w:val="pct10" w:color="auto" w:fill="FFFFFF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年本年支出合计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302.17</w:t>
      </w:r>
      <w:r>
        <w:rPr>
          <w:rFonts w:hint="eastAsia" w:ascii="仿宋_GB2312" w:eastAsia="仿宋_GB2312"/>
          <w:sz w:val="32"/>
          <w:szCs w:val="32"/>
        </w:rPr>
        <w:t>万元，其中：基本支出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302.17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：支出决算结构图）（饼状图）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4499610" cy="2486660"/>
            <wp:effectExtent l="4445" t="4445" r="10795" b="23495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spacing w:line="600" w:lineRule="exact"/>
        <w:ind w:firstLine="640" w:firstLineChars="200"/>
        <w:outlineLvl w:val="1"/>
        <w:rPr>
          <w:rStyle w:val="24"/>
          <w:rFonts w:ascii="黑体" w:hAnsi="黑体" w:eastAsia="黑体"/>
          <w:b w:val="0"/>
        </w:rPr>
      </w:pPr>
      <w:bookmarkStart w:id="48" w:name="_Toc15377208"/>
      <w:bookmarkStart w:id="49" w:name="_Toc79163613"/>
      <w:bookmarkStart w:id="50" w:name="_Toc15396606"/>
      <w:bookmarkStart w:id="51" w:name="_Toc79163863"/>
      <w:r>
        <w:rPr>
          <w:rFonts w:hint="eastAsia" w:ascii="黑体" w:hAnsi="黑体" w:eastAsia="黑体"/>
          <w:color w:val="000000"/>
          <w:sz w:val="32"/>
          <w:szCs w:val="32"/>
        </w:rPr>
        <w:t>四、财</w:t>
      </w:r>
      <w:r>
        <w:rPr>
          <w:rStyle w:val="24"/>
          <w:rFonts w:hint="eastAsia" w:ascii="黑体" w:hAnsi="黑体" w:eastAsia="黑体"/>
          <w:b w:val="0"/>
        </w:rPr>
        <w:t>政拨款收入支出决算总体情况说明</w:t>
      </w:r>
      <w:bookmarkEnd w:id="48"/>
      <w:bookmarkEnd w:id="49"/>
      <w:bookmarkEnd w:id="50"/>
      <w:bookmarkEnd w:id="51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财政拨款</w:t>
      </w:r>
      <w:r>
        <w:rPr>
          <w:rFonts w:hint="eastAsia" w:ascii="仿宋" w:hAnsi="仿宋" w:eastAsia="仿宋"/>
          <w:color w:val="000000"/>
          <w:sz w:val="32"/>
          <w:szCs w:val="32"/>
        </w:rPr>
        <w:t>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55.35万元，增长22%；主要变动原因工资变动。2021年财政拨款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55.35万元，增长22%；主要变动原因是工资变动。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：财政拨款收、支决算总计变动情况）（柱状图）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2"/>
        <w:rPr>
          <w:rFonts w:ascii="仿宋" w:hAnsi="仿宋" w:eastAsia="仿宋"/>
          <w:b/>
          <w:color w:val="00B050"/>
          <w:sz w:val="32"/>
          <w:szCs w:val="32"/>
        </w:rPr>
      </w:pPr>
      <w:r>
        <w:drawing>
          <wp:inline distT="0" distB="0" distL="114300" distR="114300">
            <wp:extent cx="4572000" cy="2376170"/>
            <wp:effectExtent l="4445" t="4445" r="14605" b="19685"/>
            <wp:docPr id="1080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spacing w:line="600" w:lineRule="exact"/>
        <w:ind w:firstLine="640" w:firstLineChars="200"/>
        <w:outlineLvl w:val="1"/>
        <w:rPr>
          <w:rStyle w:val="24"/>
          <w:rFonts w:ascii="黑体" w:hAnsi="黑体" w:eastAsia="黑体"/>
          <w:b w:val="0"/>
        </w:rPr>
      </w:pPr>
      <w:bookmarkStart w:id="52" w:name="_Toc15377209"/>
      <w:bookmarkStart w:id="53" w:name="_Toc15396607"/>
      <w:bookmarkStart w:id="54" w:name="_Toc79163614"/>
      <w:bookmarkStart w:id="55" w:name="_Toc79163864"/>
      <w:r>
        <w:rPr>
          <w:rFonts w:hint="eastAsia" w:ascii="黑体" w:hAnsi="黑体" w:eastAsia="黑体"/>
          <w:color w:val="000000"/>
          <w:sz w:val="32"/>
          <w:szCs w:val="32"/>
        </w:rPr>
        <w:t>五、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4"/>
          <w:rFonts w:hint="eastAsia" w:ascii="黑体" w:hAnsi="黑体" w:eastAsia="黑体"/>
          <w:b w:val="0"/>
        </w:rPr>
        <w:t>般公共预算财政拨款支出决算情况说明</w:t>
      </w:r>
      <w:bookmarkEnd w:id="52"/>
      <w:bookmarkEnd w:id="53"/>
      <w:bookmarkEnd w:id="54"/>
      <w:bookmarkEnd w:id="55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56" w:name="_Toc79163615"/>
      <w:bookmarkStart w:id="57" w:name="_Toc79163865"/>
      <w:bookmarkStart w:id="58" w:name="_Toc15377210"/>
      <w:r>
        <w:rPr>
          <w:rFonts w:hint="eastAsia" w:ascii="仿宋" w:hAnsi="仿宋" w:eastAsia="仿宋"/>
          <w:b/>
          <w:color w:val="000000"/>
          <w:sz w:val="32"/>
          <w:szCs w:val="32"/>
        </w:rPr>
        <w:t>（一）一般公共预算财政拨款支出决算总体情况</w:t>
      </w:r>
      <w:bookmarkEnd w:id="56"/>
      <w:bookmarkEnd w:id="57"/>
      <w:bookmarkEnd w:id="58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年一般公共预算财政拨款支出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万元，占本年支出合计的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年相比，一般公共预算财政拨款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55.35</w:t>
      </w:r>
      <w:r>
        <w:rPr>
          <w:rFonts w:hint="eastAsia" w:ascii="仿宋" w:hAnsi="仿宋" w:eastAsia="仿宋"/>
          <w:color w:val="000000"/>
          <w:sz w:val="32"/>
          <w:szCs w:val="32"/>
        </w:rPr>
        <w:t>万元，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增长22%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。主要变动原因是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工资变动。</w:t>
      </w:r>
    </w:p>
    <w:p>
      <w:pPr>
        <w:spacing w:line="600" w:lineRule="exac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：一般公共预算财政拨款支出决算变动情况）（柱状图）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4617085" cy="2299335"/>
            <wp:effectExtent l="4445" t="4445" r="7620" b="2032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2"/>
        <w:ind w:left="0" w:leftChars="0" w:firstLine="0" w:firstLineChars="0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  <w:highlight w:val="none"/>
        </w:rPr>
      </w:pPr>
      <w:bookmarkStart w:id="59" w:name="_Toc79163866"/>
      <w:bookmarkStart w:id="60" w:name="_Toc15377211"/>
      <w:bookmarkStart w:id="61" w:name="_Toc79163616"/>
      <w:r>
        <w:rPr>
          <w:rFonts w:hint="eastAsia" w:ascii="仿宋" w:hAnsi="仿宋" w:eastAsia="仿宋"/>
          <w:b/>
          <w:color w:val="000000"/>
          <w:sz w:val="32"/>
          <w:szCs w:val="32"/>
          <w:highlight w:val="none"/>
        </w:rPr>
        <w:t>（二）一般公共预算财政拨款支出决算结构情况</w:t>
      </w:r>
      <w:bookmarkEnd w:id="59"/>
      <w:bookmarkEnd w:id="60"/>
      <w:bookmarkEnd w:id="61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  <w:highlight w:val="none"/>
        </w:rPr>
      </w:pPr>
      <w:r>
        <w:rPr>
          <w:rFonts w:ascii="仿宋" w:hAnsi="仿宋" w:eastAsia="仿宋"/>
          <w:color w:val="000000"/>
          <w:sz w:val="32"/>
          <w:szCs w:val="32"/>
          <w:highlight w:val="none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年一般公共预算财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302.17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34.07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15.61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229.02万元，占75%；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23.47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（图</w:t>
      </w:r>
      <w:r>
        <w:rPr>
          <w:rFonts w:ascii="仿宋" w:hAnsi="仿宋" w:eastAsia="仿宋"/>
          <w:color w:val="000000"/>
          <w:sz w:val="32"/>
          <w:szCs w:val="32"/>
          <w:highlight w:val="none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：一般公共预算财政拨款支出决算结构）（饼状图）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000000"/>
          <w:sz w:val="32"/>
          <w:szCs w:val="32"/>
          <w:highlight w:val="yellow"/>
        </w:rPr>
      </w:pPr>
      <w:r>
        <w:drawing>
          <wp:inline distT="0" distB="0" distL="114300" distR="114300">
            <wp:extent cx="4669790" cy="2251710"/>
            <wp:effectExtent l="4445" t="4445" r="12065" b="10795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62" w:name="_Toc79163867"/>
      <w:bookmarkStart w:id="63" w:name="_Toc15377212"/>
      <w:bookmarkStart w:id="64" w:name="_Toc79163617"/>
      <w:r>
        <w:rPr>
          <w:rFonts w:hint="eastAsia" w:ascii="仿宋" w:hAnsi="仿宋" w:eastAsia="仿宋"/>
          <w:b/>
          <w:color w:val="000000"/>
          <w:sz w:val="32"/>
          <w:szCs w:val="32"/>
        </w:rPr>
        <w:t>（三）一般公共预算财政拨款支出决算具体情况</w:t>
      </w:r>
      <w:bookmarkEnd w:id="62"/>
      <w:bookmarkEnd w:id="63"/>
      <w:bookmarkEnd w:id="64"/>
    </w:p>
    <w:p>
      <w:pPr>
        <w:spacing w:line="60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bookmarkStart w:id="65" w:name="_Toc15377213"/>
      <w:bookmarkStart w:id="66" w:name="_Toc15377444"/>
      <w:bookmarkStart w:id="67" w:name="_Toc15378460"/>
      <w:r>
        <w:rPr>
          <w:rFonts w:ascii="仿宋_GB2312" w:eastAsia="仿宋_GB2312"/>
          <w:b/>
          <w:bCs/>
          <w:sz w:val="32"/>
          <w:szCs w:val="32"/>
        </w:rPr>
        <w:t>202</w:t>
      </w:r>
      <w:r>
        <w:rPr>
          <w:rFonts w:hint="eastAsia" w:ascii="仿宋_GB2312" w:eastAsia="仿宋_GB2312"/>
          <w:b/>
          <w:bCs/>
          <w:sz w:val="32"/>
          <w:szCs w:val="32"/>
        </w:rPr>
        <w:t>1年一般公共预算支出决算数为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302.17万元</w:t>
      </w:r>
      <w:r>
        <w:rPr>
          <w:rFonts w:hint="eastAsia" w:ascii="仿宋_GB2312" w:eastAsia="仿宋_GB2312"/>
          <w:b/>
          <w:bCs/>
          <w:sz w:val="32"/>
          <w:szCs w:val="32"/>
        </w:rPr>
        <w:t>，完成预算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100</w:t>
      </w:r>
      <w:r>
        <w:rPr>
          <w:rFonts w:ascii="仿宋_GB2312" w:eastAsia="仿宋_GB2312"/>
          <w:b/>
          <w:bCs/>
          <w:sz w:val="32"/>
          <w:szCs w:val="32"/>
        </w:rPr>
        <w:t>%</w:t>
      </w:r>
      <w:r>
        <w:rPr>
          <w:rFonts w:hint="eastAsia" w:ascii="仿宋_GB2312" w:eastAsia="仿宋_GB2312"/>
          <w:b/>
          <w:bCs/>
          <w:sz w:val="32"/>
          <w:szCs w:val="32"/>
        </w:rPr>
        <w:t>。其中：</w:t>
      </w:r>
      <w:bookmarkEnd w:id="65"/>
      <w:bookmarkEnd w:id="66"/>
      <w:bookmarkEnd w:id="67"/>
    </w:p>
    <w:p>
      <w:pPr>
        <w:numPr>
          <w:ilvl w:val="0"/>
          <w:numId w:val="0"/>
        </w:numPr>
        <w:spacing w:line="600" w:lineRule="exact"/>
        <w:ind w:firstLine="643" w:firstLineChars="200"/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1.</w:t>
      </w:r>
      <w:r>
        <w:rPr>
          <w:rStyle w:val="21"/>
          <w:rFonts w:hint="eastAsia" w:ascii="仿宋" w:hAnsi="仿宋" w:eastAsia="仿宋"/>
          <w:bCs/>
          <w:color w:val="000000"/>
          <w:sz w:val="32"/>
          <w:szCs w:val="32"/>
        </w:rPr>
        <w:t>社会保障和就业</w:t>
      </w:r>
      <w:r>
        <w:rPr>
          <w:rStyle w:val="21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支出</w:t>
      </w: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 xml:space="preserve"> 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34.07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2.</w:t>
      </w:r>
      <w:r>
        <w:rPr>
          <w:rStyle w:val="21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卫生健康支出</w:t>
      </w: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15.61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3.</w:t>
      </w:r>
      <w:r>
        <w:rPr>
          <w:rStyle w:val="21"/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农林水支出：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229.02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21"/>
          <w:rFonts w:ascii="仿宋" w:hAnsi="仿宋" w:eastAsia="仿宋"/>
          <w:bCs/>
          <w:color w:val="000000"/>
          <w:sz w:val="32"/>
          <w:szCs w:val="32"/>
        </w:rPr>
        <w:t>4.</w:t>
      </w:r>
      <w:r>
        <w:rPr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住房保障支出：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23.47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4"/>
        </w:rPr>
      </w:pPr>
      <w:bookmarkStart w:id="68" w:name="_Toc15396608"/>
      <w:bookmarkStart w:id="69" w:name="_Toc15377214"/>
      <w:bookmarkStart w:id="70" w:name="_Toc79163868"/>
      <w:bookmarkStart w:id="71" w:name="_Toc79163618"/>
      <w:r>
        <w:rPr>
          <w:rFonts w:hint="eastAsia" w:ascii="黑体" w:eastAsia="黑体"/>
          <w:color w:val="000000"/>
          <w:sz w:val="32"/>
          <w:szCs w:val="32"/>
        </w:rPr>
        <w:t>六</w:t>
      </w:r>
      <w:r>
        <w:rPr>
          <w:rFonts w:hint="eastAsia" w:ascii="黑体" w:eastAsia="黑体"/>
          <w:b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b/>
          <w:color w:val="000000"/>
          <w:sz w:val="32"/>
          <w:szCs w:val="32"/>
        </w:rPr>
        <w:t>一</w:t>
      </w:r>
      <w:r>
        <w:rPr>
          <w:rStyle w:val="24"/>
          <w:rFonts w:hint="eastAsia" w:ascii="黑体" w:hAnsi="黑体" w:eastAsia="黑体"/>
          <w:b w:val="0"/>
        </w:rPr>
        <w:t>般公共预算财政拨款基本支出决算情况说明</w:t>
      </w:r>
      <w:bookmarkEnd w:id="68"/>
      <w:bookmarkEnd w:id="69"/>
      <w:bookmarkEnd w:id="70"/>
      <w:bookmarkEnd w:id="71"/>
      <w:r>
        <w:rPr>
          <w:rStyle w:val="24"/>
          <w:rFonts w:ascii="黑体" w:hAnsi="黑体" w:eastAsia="黑体"/>
          <w:b w:val="0"/>
        </w:rPr>
        <w:tab/>
      </w:r>
    </w:p>
    <w:p>
      <w:pPr>
        <w:spacing w:line="600" w:lineRule="exact"/>
        <w:ind w:firstLine="645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</w:rPr>
        <w:t>1年一般公共预算财政拨款基本支出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302.17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</w:t>
      </w:r>
    </w:p>
    <w:p>
      <w:pPr>
        <w:spacing w:line="600" w:lineRule="exact"/>
        <w:ind w:firstLine="645"/>
        <w:rPr>
          <w:rFonts w:ascii="仿宋" w:hAnsi="仿宋" w:eastAsia="仿宋"/>
          <w:b/>
          <w:color w:val="FF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人员经费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285.43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基本工资、津贴补贴、奖金、绩效工资、机关事业单位基本养老保险缴费、职业年金缴费、其他社会保障缴费、其他工资福利支出、离休费、退休费、生活补助、医疗费补助、奖励金、住房公积金、其他对个人和家庭的补助支出等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000000"/>
          <w:sz w:val="32"/>
          <w:szCs w:val="32"/>
        </w:rPr>
        <w:t>　　日常公用经费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16.74</w:t>
      </w:r>
      <w:r>
        <w:rPr>
          <w:rFonts w:hint="eastAsia" w:ascii="仿宋" w:hAnsi="仿宋" w:eastAsia="仿宋"/>
          <w:color w:val="000000"/>
          <w:sz w:val="32"/>
          <w:szCs w:val="32"/>
        </w:rPr>
        <w:t>万元，主要包括：办公费、印刷费、手续费、水费、电费、邮电费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</w:rPr>
        <w:t>差旅费、维修（护）费、租赁费、培训费、公务接待费、劳务费、委托业务费、工会经费、公务用车运行维护费、其他商品和服务支出等。</w:t>
      </w:r>
    </w:p>
    <w:p>
      <w:pPr>
        <w:spacing w:line="600" w:lineRule="exact"/>
        <w:ind w:firstLine="640"/>
        <w:outlineLvl w:val="1"/>
        <w:rPr>
          <w:rStyle w:val="24"/>
          <w:rFonts w:ascii="黑体" w:hAnsi="黑体" w:eastAsia="黑体"/>
          <w:b w:val="0"/>
        </w:rPr>
      </w:pPr>
      <w:bookmarkStart w:id="72" w:name="_Toc15396609"/>
      <w:bookmarkStart w:id="73" w:name="_Toc15377215"/>
      <w:bookmarkStart w:id="74" w:name="_Toc79163619"/>
      <w:bookmarkStart w:id="75" w:name="_Toc79163869"/>
      <w:r>
        <w:rPr>
          <w:rFonts w:hint="eastAsia" w:ascii="黑体" w:eastAsia="黑体"/>
          <w:color w:val="000000"/>
          <w:sz w:val="32"/>
          <w:szCs w:val="32"/>
        </w:rPr>
        <w:t>七、</w:t>
      </w:r>
      <w:r>
        <w:rPr>
          <w:rStyle w:val="24"/>
          <w:rFonts w:hint="eastAsia" w:ascii="黑体" w:hAnsi="黑体" w:eastAsia="黑体"/>
        </w:rPr>
        <w:t>“</w:t>
      </w:r>
      <w:r>
        <w:rPr>
          <w:rStyle w:val="24"/>
          <w:rFonts w:hint="eastAsia" w:ascii="黑体" w:hAnsi="黑体" w:eastAsia="黑体"/>
          <w:b w:val="0"/>
        </w:rPr>
        <w:t>三公”经费财政拨款支出决算情况说明</w:t>
      </w:r>
      <w:bookmarkEnd w:id="72"/>
      <w:bookmarkEnd w:id="73"/>
      <w:bookmarkEnd w:id="74"/>
      <w:bookmarkEnd w:id="75"/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76" w:name="_Toc15377216"/>
      <w:bookmarkStart w:id="77" w:name="_Toc79163620"/>
      <w:bookmarkStart w:id="78" w:name="_Toc79163870"/>
      <w:r>
        <w:rPr>
          <w:rFonts w:hint="eastAsia" w:ascii="仿宋" w:hAnsi="仿宋" w:eastAsia="仿宋"/>
          <w:b/>
          <w:color w:val="000000"/>
          <w:sz w:val="32"/>
          <w:szCs w:val="32"/>
        </w:rPr>
        <w:t>（一）“三公”经费财政拨款支出决算总体情况说明</w:t>
      </w:r>
      <w:bookmarkEnd w:id="76"/>
      <w:bookmarkEnd w:id="77"/>
      <w:bookmarkEnd w:id="78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年“三公”经费财政拨款支出决算为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2.97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决算数与预算数持平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79" w:name="_Toc15377217"/>
      <w:bookmarkStart w:id="80" w:name="_Toc79163621"/>
      <w:bookmarkStart w:id="81" w:name="_Toc79163871"/>
      <w:r>
        <w:rPr>
          <w:rFonts w:hint="eastAsia" w:ascii="仿宋" w:hAnsi="仿宋" w:eastAsia="仿宋"/>
          <w:b/>
          <w:color w:val="000000"/>
          <w:sz w:val="32"/>
          <w:szCs w:val="32"/>
        </w:rPr>
        <w:t>（二）“三公”经费财政拨款支出决算具体情况说明</w:t>
      </w:r>
      <w:bookmarkEnd w:id="79"/>
      <w:bookmarkEnd w:id="80"/>
      <w:bookmarkEnd w:id="81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年“三公”经费财政拨款支出决算中，因公出国（境）费支出决算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；公务用车购置及运行维护费支出决算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2.97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；公务接待费支出决算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。具体情况如下：</w:t>
      </w: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7</w:t>
      </w:r>
      <w:r>
        <w:rPr>
          <w:rFonts w:hint="eastAsia" w:ascii="仿宋" w:hAnsi="仿宋" w:eastAsia="仿宋"/>
          <w:color w:val="000000"/>
          <w:sz w:val="32"/>
          <w:szCs w:val="32"/>
        </w:rPr>
        <w:t>：“三公”经费财政拨款支出结构）（饼状图）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4505325" cy="2165350"/>
            <wp:effectExtent l="5080" t="4445" r="4445" b="20955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spacing w:line="600" w:lineRule="exact"/>
        <w:ind w:firstLine="64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公务用车购置及运行维护费支出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2.97</w:t>
      </w:r>
      <w:r>
        <w:rPr>
          <w:rFonts w:hint="eastAsia" w:ascii="仿宋_GB2312" w:eastAsia="仿宋_GB2312"/>
          <w:color w:val="000000"/>
          <w:sz w:val="32"/>
          <w:szCs w:val="32"/>
        </w:rPr>
        <w:t>万元,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21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21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公务用车购置及运行维护费支出决算比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1.48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万元，主要原因是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出差增加。</w:t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公务用车运行维护费支出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2.97</w:t>
      </w:r>
      <w:r>
        <w:rPr>
          <w:rFonts w:hint="eastAsia" w:ascii="仿宋_GB2312" w:eastAsia="仿宋_GB2312"/>
          <w:color w:val="000000"/>
          <w:sz w:val="32"/>
          <w:szCs w:val="32"/>
        </w:rPr>
        <w:t>万元。主要用于公务用车燃料费、维修费、过路过桥费、保险费等支出。</w:t>
      </w:r>
    </w:p>
    <w:p>
      <w:pPr>
        <w:spacing w:line="600" w:lineRule="exact"/>
        <w:ind w:firstLine="640"/>
        <w:outlineLvl w:val="1"/>
        <w:rPr>
          <w:rStyle w:val="24"/>
          <w:rFonts w:ascii="黑体" w:hAnsi="黑体" w:eastAsia="黑体"/>
        </w:rPr>
      </w:pPr>
      <w:bookmarkStart w:id="82" w:name="_Toc79163872"/>
      <w:bookmarkStart w:id="83" w:name="_Toc15396610"/>
      <w:bookmarkStart w:id="84" w:name="_Toc15377218"/>
      <w:bookmarkStart w:id="85" w:name="_Toc79163622"/>
      <w:r>
        <w:rPr>
          <w:rFonts w:hint="eastAsia" w:ascii="黑体" w:eastAsia="黑体"/>
          <w:color w:val="000000"/>
          <w:sz w:val="32"/>
          <w:szCs w:val="32"/>
        </w:rPr>
        <w:t>八、</w:t>
      </w:r>
      <w:r>
        <w:rPr>
          <w:rStyle w:val="24"/>
          <w:rFonts w:hint="eastAsia" w:ascii="黑体" w:hAnsi="黑体" w:eastAsia="黑体"/>
          <w:b w:val="0"/>
        </w:rPr>
        <w:t>政府性基金预算支出决算情况说明</w:t>
      </w:r>
      <w:bookmarkEnd w:id="82"/>
      <w:bookmarkEnd w:id="83"/>
      <w:bookmarkEnd w:id="84"/>
      <w:bookmarkEnd w:id="85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2"/>
        </w:numPr>
        <w:spacing w:line="600" w:lineRule="exact"/>
        <w:ind w:firstLine="640"/>
        <w:outlineLvl w:val="1"/>
        <w:rPr>
          <w:rStyle w:val="24"/>
          <w:rFonts w:ascii="黑体" w:hAnsi="黑体" w:eastAsia="黑体"/>
          <w:b w:val="0"/>
        </w:rPr>
      </w:pPr>
      <w:bookmarkStart w:id="86" w:name="_Toc15377219"/>
      <w:bookmarkStart w:id="87" w:name="_Toc15396611"/>
      <w:bookmarkStart w:id="88" w:name="_Toc79163623"/>
      <w:bookmarkStart w:id="89" w:name="_Toc79163873"/>
      <w:r>
        <w:rPr>
          <w:rStyle w:val="24"/>
          <w:rFonts w:hint="eastAsia" w:ascii="黑体" w:hAnsi="黑体" w:eastAsia="黑体"/>
          <w:b w:val="0"/>
        </w:rPr>
        <w:t>国有资本经营预算支出决算情况说明</w:t>
      </w:r>
      <w:bookmarkEnd w:id="86"/>
      <w:bookmarkEnd w:id="87"/>
      <w:bookmarkEnd w:id="88"/>
      <w:bookmarkEnd w:id="89"/>
    </w:p>
    <w:p>
      <w:pPr>
        <w:pStyle w:val="2"/>
        <w:rPr>
          <w:rFonts w:hint="eastAsia" w:eastAsia="黑体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无</w:t>
      </w:r>
    </w:p>
    <w:p>
      <w:pPr>
        <w:spacing w:line="600" w:lineRule="exact"/>
        <w:ind w:firstLine="640" w:firstLineChars="200"/>
        <w:outlineLvl w:val="1"/>
        <w:rPr>
          <w:rStyle w:val="24"/>
          <w:rFonts w:ascii="黑体" w:hAnsi="黑体" w:eastAsia="黑体"/>
        </w:rPr>
      </w:pPr>
      <w:bookmarkStart w:id="90" w:name="_Toc15396612"/>
      <w:bookmarkStart w:id="91" w:name="_Toc15377221"/>
      <w:bookmarkStart w:id="92" w:name="_Toc79163624"/>
      <w:bookmarkStart w:id="93" w:name="_Toc79163874"/>
      <w:r>
        <w:rPr>
          <w:rFonts w:hint="eastAsia" w:ascii="黑体" w:hAnsi="黑体" w:eastAsia="黑体"/>
          <w:color w:val="000000"/>
          <w:sz w:val="32"/>
          <w:szCs w:val="32"/>
        </w:rPr>
        <w:t>十</w:t>
      </w:r>
      <w:r>
        <w:rPr>
          <w:rStyle w:val="24"/>
          <w:rFonts w:hint="eastAsia" w:ascii="黑体" w:hAnsi="黑体" w:eastAsia="黑体"/>
        </w:rPr>
        <w:t>、</w:t>
      </w:r>
      <w:r>
        <w:rPr>
          <w:rStyle w:val="24"/>
          <w:rFonts w:hint="eastAsia" w:ascii="黑体" w:hAnsi="黑体" w:eastAsia="黑体"/>
          <w:b w:val="0"/>
        </w:rPr>
        <w:t>其他重要事项的情况说明</w:t>
      </w:r>
      <w:bookmarkEnd w:id="90"/>
      <w:bookmarkEnd w:id="91"/>
      <w:bookmarkEnd w:id="92"/>
      <w:bookmarkEnd w:id="93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color w:val="000000"/>
          <w:sz w:val="32"/>
          <w:szCs w:val="32"/>
        </w:rPr>
      </w:pPr>
      <w:bookmarkStart w:id="94" w:name="_Toc15377222"/>
      <w:bookmarkStart w:id="95" w:name="_Toc79163625"/>
      <w:bookmarkStart w:id="96" w:name="_Toc79163875"/>
      <w:r>
        <w:rPr>
          <w:rFonts w:hint="eastAsia" w:ascii="仿宋" w:hAnsi="仿宋" w:eastAsia="仿宋"/>
          <w:b/>
          <w:color w:val="000000"/>
          <w:sz w:val="32"/>
          <w:szCs w:val="32"/>
        </w:rPr>
        <w:t>（一）机关运行经费支出情况</w:t>
      </w:r>
      <w:bookmarkEnd w:id="94"/>
      <w:bookmarkEnd w:id="95"/>
      <w:bookmarkEnd w:id="96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97" w:name="_Toc15377223"/>
      <w:bookmarkStart w:id="98" w:name="_Toc79163626"/>
      <w:bookmarkStart w:id="99" w:name="_Toc79163876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numPr>
          <w:ilvl w:val="0"/>
          <w:numId w:val="3"/>
        </w:num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政府采购支出情况</w:t>
      </w:r>
      <w:bookmarkEnd w:id="97"/>
      <w:bookmarkEnd w:id="98"/>
      <w:bookmarkEnd w:id="99"/>
    </w:p>
    <w:p>
      <w:pPr>
        <w:pStyle w:val="2"/>
        <w:numPr>
          <w:ilvl w:val="0"/>
          <w:numId w:val="0"/>
        </w:numPr>
        <w:ind w:firstLine="640" w:firstLineChars="200"/>
        <w:rPr>
          <w:rFonts w:hint="eastAsia" w:eastAsia="宋体"/>
          <w:lang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 w:bidi="ar-SA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000000"/>
          <w:sz w:val="32"/>
          <w:szCs w:val="32"/>
        </w:rPr>
      </w:pPr>
      <w:bookmarkStart w:id="100" w:name="_Toc79163627"/>
      <w:bookmarkStart w:id="101" w:name="_Toc15377224"/>
      <w:bookmarkStart w:id="102" w:name="_Toc79163877"/>
      <w:r>
        <w:rPr>
          <w:rFonts w:hint="eastAsia" w:ascii="仿宋" w:hAnsi="仿宋" w:eastAsia="仿宋"/>
          <w:b/>
          <w:color w:val="000000"/>
          <w:sz w:val="32"/>
          <w:szCs w:val="32"/>
        </w:rPr>
        <w:t>（三）国有资产占有使用情况</w:t>
      </w:r>
      <w:bookmarkEnd w:id="100"/>
      <w:bookmarkEnd w:id="101"/>
      <w:bookmarkEnd w:id="102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103" w:name="_Toc79163878"/>
      <w:bookmarkStart w:id="104" w:name="_Toc79163628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hint="eastAsia"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（四）预算绩效管理情况。</w:t>
      </w:r>
      <w:bookmarkEnd w:id="103"/>
      <w:bookmarkEnd w:id="104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</w:p>
    <w:p>
      <w:pPr>
        <w:numPr>
          <w:ilvl w:val="0"/>
          <w:numId w:val="4"/>
        </w:numPr>
        <w:spacing w:line="600" w:lineRule="exact"/>
        <w:ind w:firstLine="660" w:firstLineChars="150"/>
        <w:jc w:val="center"/>
        <w:outlineLvl w:val="0"/>
        <w:rPr>
          <w:rStyle w:val="23"/>
          <w:rFonts w:ascii="黑体" w:hAnsi="黑体" w:eastAsia="黑体"/>
          <w:b w:val="0"/>
        </w:rPr>
      </w:pPr>
      <w:bookmarkStart w:id="105" w:name="_Toc79163879"/>
      <w:bookmarkStart w:id="106" w:name="_Toc79163629"/>
      <w:bookmarkStart w:id="107" w:name="_Toc15377225"/>
      <w:bookmarkStart w:id="108" w:name="_Toc15396613"/>
      <w:r>
        <w:rPr>
          <w:rFonts w:hint="eastAsia" w:ascii="黑体" w:hAnsi="黑体" w:eastAsia="黑体"/>
          <w:color w:val="000000"/>
          <w:sz w:val="44"/>
          <w:szCs w:val="44"/>
        </w:rPr>
        <w:t>名</w:t>
      </w:r>
      <w:r>
        <w:rPr>
          <w:rStyle w:val="23"/>
          <w:rFonts w:hint="eastAsia" w:ascii="黑体" w:hAnsi="黑体" w:eastAsia="黑体"/>
          <w:b w:val="0"/>
        </w:rPr>
        <w:t>词解释</w:t>
      </w:r>
      <w:bookmarkEnd w:id="105"/>
      <w:bookmarkEnd w:id="106"/>
      <w:bookmarkEnd w:id="107"/>
      <w:bookmarkEnd w:id="108"/>
    </w:p>
    <w:p>
      <w:pPr>
        <w:spacing w:line="600" w:lineRule="exact"/>
        <w:jc w:val="left"/>
        <w:rPr>
          <w:rFonts w:ascii="宋体"/>
          <w:b/>
          <w:color w:val="000000"/>
          <w:sz w:val="44"/>
          <w:szCs w:val="44"/>
        </w:rPr>
      </w:pPr>
    </w:p>
    <w:p>
      <w:pPr>
        <w:pStyle w:val="3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109" w:name="_Toc15377226"/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财政拨款收入：指单位从同级财政部门取得的财政预算资金。</w:t>
      </w:r>
    </w:p>
    <w:p>
      <w:pPr>
        <w:pStyle w:val="33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社会保障和就业。</w:t>
      </w:r>
    </w:p>
    <w:p>
      <w:pPr>
        <w:pStyle w:val="33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卫生健康。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农林水。</w:t>
      </w:r>
    </w:p>
    <w:p>
      <w:pPr>
        <w:pStyle w:val="33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住房保障。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>
      <w:pPr>
        <w:pStyle w:val="33"/>
        <w:spacing w:line="560" w:lineRule="exact"/>
        <w:ind w:firstLine="640" w:firstLineChars="200"/>
        <w:rPr>
          <w:rFonts w:ascii="仿宋_GB2312" w:eastAsia="仿宋_GB2312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spacing w:line="600" w:lineRule="exact"/>
        <w:jc w:val="both"/>
        <w:outlineLvl w:val="0"/>
        <w:rPr>
          <w:rStyle w:val="23"/>
          <w:rFonts w:ascii="黑体" w:hAnsi="黑体" w:eastAsia="黑体"/>
          <w:b w:val="0"/>
        </w:rPr>
      </w:pPr>
      <w:r>
        <w:rPr>
          <w:rFonts w:ascii="宋体"/>
          <w:b/>
          <w:color w:val="000000"/>
          <w:sz w:val="44"/>
          <w:szCs w:val="44"/>
        </w:rPr>
        <w:br w:type="page"/>
      </w:r>
      <w:bookmarkStart w:id="110" w:name="_Toc15396614"/>
      <w:bookmarkStart w:id="111" w:name="_Toc79163880"/>
      <w:bookmarkStart w:id="112" w:name="_Toc79163630"/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3"/>
          <w:rFonts w:hint="eastAsia" w:ascii="黑体" w:hAnsi="黑体" w:eastAsia="黑体"/>
          <w:b w:val="0"/>
        </w:rPr>
        <w:t>四部分</w:t>
      </w:r>
      <w:r>
        <w:rPr>
          <w:rStyle w:val="23"/>
          <w:rFonts w:ascii="黑体" w:hAnsi="黑体" w:eastAsia="黑体"/>
          <w:b w:val="0"/>
        </w:rPr>
        <w:t xml:space="preserve"> </w:t>
      </w:r>
      <w:r>
        <w:rPr>
          <w:rStyle w:val="23"/>
          <w:rFonts w:hint="eastAsia" w:ascii="黑体" w:hAnsi="黑体" w:eastAsia="黑体"/>
          <w:b w:val="0"/>
        </w:rPr>
        <w:t>附件</w:t>
      </w:r>
      <w:bookmarkEnd w:id="110"/>
      <w:bookmarkEnd w:id="111"/>
      <w:bookmarkEnd w:id="112"/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ascii="方正小标宋简体" w:hAnsi="黑体" w:eastAsia="方正小标宋简体" w:cs="黑体"/>
          <w:sz w:val="44"/>
          <w:szCs w:val="44"/>
        </w:rPr>
      </w:pPr>
      <w:bookmarkStart w:id="113" w:name="_Toc79163882"/>
      <w:bookmarkStart w:id="114" w:name="_Toc79163632"/>
      <w:r>
        <w:rPr>
          <w:rFonts w:hint="eastAsia" w:ascii="方正小标宋简体" w:hAnsi="黑体" w:eastAsia="方正小标宋简体" w:cs="黑体"/>
          <w:sz w:val="44"/>
          <w:szCs w:val="44"/>
        </w:rPr>
        <w:t>壤塘县农业畜牧和水务局科教站</w:t>
      </w:r>
      <w:r>
        <w:rPr>
          <w:rFonts w:ascii="方正小标宋简体" w:hAnsi="黑体" w:eastAsia="方正小标宋简体" w:cs="黑体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1</w:t>
      </w:r>
      <w:r>
        <w:rPr>
          <w:rFonts w:hint="eastAsia" w:ascii="方正小标宋简体" w:hAnsi="黑体" w:eastAsia="方正小标宋简体" w:cs="黑体"/>
          <w:sz w:val="44"/>
          <w:szCs w:val="44"/>
        </w:rPr>
        <w:t>年部门整体支出绩效评价报告</w:t>
      </w:r>
      <w:bookmarkEnd w:id="113"/>
      <w:bookmarkEnd w:id="114"/>
    </w:p>
    <w:p>
      <w:pPr>
        <w:widowControl/>
        <w:adjustRightInd w:val="0"/>
        <w:snapToGrid w:val="0"/>
        <w:spacing w:line="580" w:lineRule="exact"/>
        <w:ind w:firstLine="48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24"/>
          <w:szCs w:val="32"/>
          <w:shd w:val="clear" w:color="auto" w:fill="FFFFFF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一、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  <w:lang w:val="zh-CN"/>
        </w:rPr>
        <w:t>部门（单位）概况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（一）机构组成。</w:t>
      </w:r>
    </w:p>
    <w:p>
      <w:pPr>
        <w:ind w:firstLine="640" w:firstLineChars="200"/>
        <w:rPr>
          <w:lang w:val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壤塘县水务局为一级预算单位(行政单位），内设股室（事业）：水务执法中队、水利水保股、水利工程质量监督站、水利规划与建管股、防汛抗旱中心、河长制办公室。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（二）机构职能。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420" w:firstLineChars="200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pStyle w:val="2"/>
        <w:rPr>
          <w:lang w:val="zh-CN"/>
        </w:rPr>
      </w:pPr>
    </w:p>
    <w:p>
      <w:pPr>
        <w:widowControl/>
        <w:numPr>
          <w:ilvl w:val="0"/>
          <w:numId w:val="3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人员概况。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编制22人，年末实有职工22人（事业工勤2人，事业15人，行政5人）。</w:t>
      </w:r>
    </w:p>
    <w:p>
      <w:pPr>
        <w:pStyle w:val="2"/>
        <w:numPr>
          <w:ilvl w:val="0"/>
          <w:numId w:val="0"/>
        </w:numPr>
        <w:ind w:leftChars="200"/>
        <w:rPr>
          <w:lang w:val="zh-CN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二、部门财政资金收支情况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（一）部门财政资金收入情况。</w:t>
      </w:r>
    </w:p>
    <w:p>
      <w:pPr>
        <w:pStyle w:val="2"/>
        <w:rPr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021</w:t>
      </w:r>
      <w:r>
        <w:rPr>
          <w:rFonts w:eastAsia="仿宋"/>
          <w:color w:val="000000"/>
          <w:sz w:val="32"/>
          <w:szCs w:val="32"/>
        </w:rPr>
        <w:t>年财政拨款收入总计</w:t>
      </w: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302.17</w:t>
      </w:r>
      <w:r>
        <w:rPr>
          <w:rFonts w:eastAsia="仿宋"/>
          <w:color w:val="000000"/>
          <w:sz w:val="32"/>
          <w:szCs w:val="32"/>
        </w:rPr>
        <w:t>万元。</w:t>
      </w:r>
    </w:p>
    <w:p>
      <w:pPr>
        <w:widowControl/>
        <w:numPr>
          <w:ilvl w:val="0"/>
          <w:numId w:val="5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部门财政资金支出情况。</w:t>
      </w:r>
    </w:p>
    <w:p>
      <w:pPr>
        <w:spacing w:line="600" w:lineRule="exact"/>
        <w:ind w:firstLine="630" w:firstLineChars="300"/>
        <w:rPr>
          <w:lang w:val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302.17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34.07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15.61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229.02万元，占75%；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23.47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根据20</w:t>
      </w:r>
      <w:r>
        <w:rPr>
          <w:rFonts w:hint="eastAsia" w:eastAsia="仿宋_GB2312"/>
          <w:sz w:val="32"/>
          <w:szCs w:val="32"/>
          <w:lang w:val="en-US" w:eastAsia="zh-CN"/>
        </w:rPr>
        <w:t>21</w:t>
      </w:r>
      <w:r>
        <w:rPr>
          <w:rFonts w:eastAsia="仿宋_GB2312"/>
          <w:sz w:val="32"/>
          <w:szCs w:val="32"/>
        </w:rPr>
        <w:t>年度预算编制工作会议精神，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结合单位具体情况及20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年编制中出现的问题专门召开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预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算编制工作会，提出2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021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年预算编制要求及注意事项：加强综合预算管理，严格执行财经纪律，控制行政运行支出，优化项目支出结构，强化项目支出绩效目标，着力提高预算管理科学化精细化水平，提高预算编制质量执行管理情况</w:t>
      </w:r>
      <w:r>
        <w:rPr>
          <w:rFonts w:eastAsia="仿宋_GB2312"/>
          <w:sz w:val="32"/>
          <w:szCs w:val="32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（二）结果应用情况。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认真组织局机关开展绩效评价自评工作。并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年整体支出开展绩效自评，自评得分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93</w:t>
      </w:r>
      <w:r>
        <w:rPr>
          <w:rFonts w:hint="eastAsia" w:ascii="仿宋_GB2312" w:eastAsia="仿宋_GB2312"/>
          <w:color w:val="000000"/>
          <w:sz w:val="32"/>
          <w:szCs w:val="32"/>
        </w:rPr>
        <w:t>分。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20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黑体" w:hAnsi="黑体" w:eastAsia="黑体"/>
          <w:color w:val="000000"/>
          <w:sz w:val="32"/>
          <w:szCs w:val="32"/>
        </w:rPr>
        <w:t>年部门整体支出绩效评价得分表</w:t>
      </w:r>
    </w:p>
    <w:tbl>
      <w:tblPr>
        <w:tblStyle w:val="19"/>
        <w:tblW w:w="949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268"/>
        <w:gridCol w:w="3402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部门决策（25分）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目标任务（15分）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相关性（5分）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明确性（5分）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合理性（5分）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预算编制（10分）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测算依据（5分）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目标管理（5分）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综合管理（30分）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专项资金分配时限（2分）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省级财力专项预算分配时限（1分）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中央专款分配合规率（1分）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中期评估（2分）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执行中期评估（2分）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绩效监控（5分）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预算执行进度监控（2分）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绩效目标动态监控（3分）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非税收入执收情况（2分）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非税收入征收情况（1分）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非税收入上缴情况（1分）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资产管理信息化情况（2分）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行政事业单位资产报告情况（2分）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资产管理与预算管理相结合（2分）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内控制度管理（2分）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内部控制度健全完整（2分）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信息公开（6分）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绩效信息公开（2分）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绩效评价开展（2分）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评价结果应用（3分）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部门绩效情况（45分）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履职成效（20分）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可持续发展能力（15分）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重点改革（重点工作）完成情况（5分）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科技（制度、方法、机制等）创新（5分）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人才培养（5分）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协作部门满意度（3分）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管理对象满意度（3分）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社会公众满意度（4分）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numPr>
          <w:ilvl w:val="0"/>
          <w:numId w:val="0"/>
        </w:numPr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（一）评价结论。</w:t>
      </w:r>
    </w:p>
    <w:p>
      <w:pPr>
        <w:spacing w:line="580" w:lineRule="exact"/>
        <w:ind w:firstLine="640" w:firstLineChars="20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单位20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年部门预算支出在预算编制、预算执行、综合管理、整体效益等方面均按要求按规定执行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rPr>
          <w:lang w:val="zh-CN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>
      <w:pPr>
        <w:spacing w:line="580" w:lineRule="exact"/>
        <w:ind w:firstLine="640" w:firstLineChars="200"/>
        <w:rPr>
          <w:rFonts w:hint="eastAsia"/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单位在预算编制上精细化和科学化不够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，相关制度不够健全。</w:t>
      </w:r>
    </w:p>
    <w:p>
      <w:pPr>
        <w:pStyle w:val="2"/>
        <w:rPr>
          <w:lang w:val="zh-CN"/>
        </w:rPr>
      </w:pPr>
    </w:p>
    <w:p>
      <w:pPr>
        <w:widowControl/>
        <w:numPr>
          <w:ilvl w:val="0"/>
          <w:numId w:val="5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改进建议。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细化预算编制工作，认真做好预算的编制；加强各项制度的建立健全；</w:t>
      </w:r>
      <w:r>
        <w:rPr>
          <w:rStyle w:val="21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加大宣传力度，树立绩效管理理念</w:t>
      </w:r>
      <w:r>
        <w:rPr>
          <w:rStyle w:val="21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；</w:t>
      </w:r>
      <w:r>
        <w:rPr>
          <w:rStyle w:val="21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加强学习培训，提升业务能力</w:t>
      </w:r>
      <w:r>
        <w:rPr>
          <w:rStyle w:val="21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0"/>
        </w:numPr>
        <w:ind w:leftChars="200"/>
        <w:rPr>
          <w:lang w:val="zh-CN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  <w:bookmarkStart w:id="115" w:name="_Toc79163885"/>
      <w:bookmarkStart w:id="116" w:name="_Toc79163635"/>
      <w:bookmarkStart w:id="117" w:name="_Toc15396618"/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hAns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Style w:val="23"/>
          <w:rFonts w:ascii="黑体" w:hAnsi="黑体" w:eastAsia="黑体"/>
          <w:b w:val="0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第</w:t>
      </w:r>
      <w:r>
        <w:rPr>
          <w:rStyle w:val="23"/>
          <w:rFonts w:hint="eastAsia" w:ascii="黑体" w:hAnsi="黑体" w:eastAsia="黑体"/>
          <w:b w:val="0"/>
        </w:rPr>
        <w:t>五部分</w:t>
      </w:r>
      <w:r>
        <w:rPr>
          <w:rStyle w:val="23"/>
          <w:rFonts w:ascii="黑体" w:hAnsi="黑体" w:eastAsia="黑体"/>
          <w:b w:val="0"/>
        </w:rPr>
        <w:t xml:space="preserve"> </w:t>
      </w:r>
      <w:r>
        <w:rPr>
          <w:rStyle w:val="23"/>
          <w:rFonts w:hint="eastAsia" w:ascii="黑体" w:hAnsi="黑体" w:eastAsia="黑体"/>
          <w:b w:val="0"/>
        </w:rPr>
        <w:t>附表</w:t>
      </w:r>
      <w:bookmarkEnd w:id="109"/>
      <w:bookmarkEnd w:id="115"/>
      <w:bookmarkEnd w:id="116"/>
      <w:bookmarkEnd w:id="117"/>
    </w:p>
    <w:p>
      <w:pPr>
        <w:pStyle w:val="4"/>
        <w:rPr>
          <w:rFonts w:ascii="仿宋" w:hAnsi="仿宋" w:eastAsia="仿宋"/>
          <w:color w:val="000000"/>
        </w:rPr>
      </w:pPr>
      <w:bookmarkStart w:id="118" w:name="_Toc15396619"/>
      <w:bookmarkStart w:id="119" w:name="_Toc79163636"/>
      <w:bookmarkStart w:id="120" w:name="_Toc79163886"/>
      <w:r>
        <w:rPr>
          <w:rFonts w:hint="eastAsia" w:ascii="仿宋" w:hAnsi="仿宋" w:eastAsia="仿宋"/>
          <w:b w:val="0"/>
          <w:color w:val="000000"/>
        </w:rPr>
        <w:t>一、收</w:t>
      </w:r>
      <w:r>
        <w:rPr>
          <w:rStyle w:val="24"/>
          <w:rFonts w:hint="eastAsia" w:ascii="仿宋" w:hAnsi="仿宋" w:eastAsia="仿宋"/>
          <w:b w:val="0"/>
          <w:bCs w:val="0"/>
        </w:rPr>
        <w:t>入支出决算总表</w:t>
      </w:r>
      <w:bookmarkEnd w:id="118"/>
      <w:bookmarkEnd w:id="119"/>
      <w:bookmarkEnd w:id="120"/>
    </w:p>
    <w:p>
      <w:pPr>
        <w:pStyle w:val="4"/>
        <w:rPr>
          <w:rFonts w:ascii="仿宋" w:hAnsi="仿宋" w:eastAsia="仿宋"/>
          <w:color w:val="000000"/>
        </w:rPr>
      </w:pPr>
      <w:bookmarkStart w:id="121" w:name="_Toc15396620"/>
      <w:bookmarkStart w:id="122" w:name="_Toc79163637"/>
      <w:bookmarkStart w:id="123" w:name="_Toc79163887"/>
      <w:r>
        <w:rPr>
          <w:rFonts w:hint="eastAsia" w:ascii="仿宋" w:hAnsi="仿宋" w:eastAsia="仿宋"/>
          <w:b w:val="0"/>
          <w:color w:val="000000"/>
        </w:rPr>
        <w:t>二、收</w:t>
      </w:r>
      <w:r>
        <w:rPr>
          <w:rStyle w:val="24"/>
          <w:rFonts w:hint="eastAsia" w:ascii="仿宋" w:hAnsi="仿宋" w:eastAsia="仿宋"/>
          <w:b w:val="0"/>
          <w:bCs w:val="0"/>
        </w:rPr>
        <w:t>入决算表</w:t>
      </w:r>
      <w:bookmarkEnd w:id="121"/>
      <w:bookmarkEnd w:id="122"/>
      <w:bookmarkEnd w:id="123"/>
    </w:p>
    <w:p>
      <w:pPr>
        <w:pStyle w:val="4"/>
        <w:rPr>
          <w:rFonts w:ascii="仿宋" w:hAnsi="仿宋" w:eastAsia="仿宋"/>
          <w:color w:val="000000"/>
        </w:rPr>
      </w:pPr>
      <w:bookmarkStart w:id="124" w:name="_Toc15396621"/>
      <w:bookmarkStart w:id="125" w:name="_Toc79163638"/>
      <w:bookmarkStart w:id="126" w:name="_Toc79163888"/>
      <w:r>
        <w:rPr>
          <w:rStyle w:val="24"/>
          <w:rFonts w:hint="eastAsia" w:ascii="仿宋" w:hAnsi="仿宋" w:eastAsia="仿宋"/>
          <w:b w:val="0"/>
          <w:bCs w:val="0"/>
        </w:rPr>
        <w:t>三、</w:t>
      </w:r>
      <w:r>
        <w:rPr>
          <w:rFonts w:hint="eastAsia" w:ascii="仿宋" w:hAnsi="仿宋" w:eastAsia="仿宋"/>
          <w:b w:val="0"/>
          <w:color w:val="000000"/>
        </w:rPr>
        <w:t>支</w:t>
      </w:r>
      <w:r>
        <w:rPr>
          <w:rStyle w:val="24"/>
          <w:rFonts w:hint="eastAsia" w:ascii="仿宋" w:hAnsi="仿宋" w:eastAsia="仿宋"/>
          <w:b w:val="0"/>
          <w:bCs w:val="0"/>
        </w:rPr>
        <w:t>出决算表</w:t>
      </w:r>
      <w:bookmarkEnd w:id="124"/>
      <w:bookmarkEnd w:id="125"/>
      <w:bookmarkEnd w:id="126"/>
    </w:p>
    <w:p>
      <w:pPr>
        <w:pStyle w:val="4"/>
        <w:rPr>
          <w:rFonts w:ascii="仿宋" w:hAnsi="仿宋" w:eastAsia="仿宋"/>
          <w:b w:val="0"/>
          <w:color w:val="000000"/>
        </w:rPr>
      </w:pPr>
      <w:bookmarkStart w:id="127" w:name="_Toc15396622"/>
      <w:bookmarkStart w:id="128" w:name="_Toc79163639"/>
      <w:bookmarkStart w:id="129" w:name="_Toc79163889"/>
      <w:r>
        <w:rPr>
          <w:rStyle w:val="24"/>
          <w:rFonts w:hint="eastAsia" w:ascii="仿宋" w:hAnsi="仿宋" w:eastAsia="仿宋"/>
          <w:b w:val="0"/>
          <w:bCs w:val="0"/>
        </w:rPr>
        <w:t>四、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4"/>
          <w:rFonts w:hint="eastAsia" w:ascii="仿宋" w:hAnsi="仿宋" w:eastAsia="仿宋"/>
          <w:b w:val="0"/>
          <w:bCs w:val="0"/>
        </w:rPr>
        <w:t>政拨款收入支出决算总表</w:t>
      </w:r>
      <w:bookmarkEnd w:id="127"/>
      <w:bookmarkEnd w:id="128"/>
      <w:bookmarkEnd w:id="129"/>
    </w:p>
    <w:p>
      <w:pPr>
        <w:pStyle w:val="4"/>
        <w:rPr>
          <w:rStyle w:val="24"/>
          <w:rFonts w:ascii="仿宋" w:hAnsi="仿宋" w:eastAsia="仿宋"/>
          <w:b w:val="0"/>
          <w:bCs w:val="0"/>
        </w:rPr>
      </w:pPr>
      <w:bookmarkStart w:id="130" w:name="_Toc15396623"/>
      <w:bookmarkStart w:id="131" w:name="_Toc79163640"/>
      <w:bookmarkStart w:id="132" w:name="_Toc79163890"/>
      <w:r>
        <w:rPr>
          <w:rStyle w:val="24"/>
          <w:rFonts w:hint="eastAsia" w:ascii="仿宋" w:hAnsi="仿宋" w:eastAsia="仿宋"/>
          <w:b w:val="0"/>
          <w:bCs w:val="0"/>
        </w:rPr>
        <w:t>五、</w:t>
      </w:r>
      <w:r>
        <w:rPr>
          <w:rFonts w:hint="eastAsia" w:ascii="仿宋" w:hAnsi="仿宋" w:eastAsia="仿宋"/>
          <w:b w:val="0"/>
          <w:color w:val="000000"/>
        </w:rPr>
        <w:t>财</w:t>
      </w:r>
      <w:r>
        <w:rPr>
          <w:rStyle w:val="24"/>
          <w:rFonts w:hint="eastAsia" w:ascii="仿宋" w:hAnsi="仿宋" w:eastAsia="仿宋"/>
          <w:b w:val="0"/>
          <w:bCs w:val="0"/>
        </w:rPr>
        <w:t>政拨款支出决算明细表</w:t>
      </w:r>
      <w:bookmarkEnd w:id="130"/>
      <w:bookmarkEnd w:id="131"/>
      <w:bookmarkEnd w:id="132"/>
      <w:bookmarkStart w:id="133" w:name="_Toc15396624"/>
    </w:p>
    <w:p>
      <w:pPr>
        <w:pStyle w:val="4"/>
        <w:rPr>
          <w:rFonts w:ascii="仿宋" w:hAnsi="仿宋" w:eastAsia="仿宋"/>
          <w:color w:val="000000"/>
        </w:rPr>
      </w:pPr>
      <w:bookmarkStart w:id="134" w:name="_Toc79163641"/>
      <w:bookmarkStart w:id="135" w:name="_Toc79163891"/>
      <w:r>
        <w:rPr>
          <w:rStyle w:val="24"/>
          <w:rFonts w:hint="eastAsia" w:ascii="仿宋" w:hAnsi="仿宋" w:eastAsia="仿宋"/>
          <w:b w:val="0"/>
          <w:bCs w:val="0"/>
        </w:rPr>
        <w:t>六、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4"/>
          <w:rFonts w:hint="eastAsia" w:ascii="仿宋" w:hAnsi="仿宋" w:eastAsia="仿宋"/>
          <w:b w:val="0"/>
          <w:bCs w:val="0"/>
        </w:rPr>
        <w:t>般公共预算财政拨款支出决算表</w:t>
      </w:r>
      <w:bookmarkEnd w:id="133"/>
      <w:bookmarkEnd w:id="134"/>
      <w:bookmarkEnd w:id="135"/>
    </w:p>
    <w:p>
      <w:pPr>
        <w:pStyle w:val="4"/>
        <w:rPr>
          <w:rFonts w:ascii="仿宋" w:hAnsi="仿宋" w:eastAsia="仿宋"/>
          <w:color w:val="000000"/>
        </w:rPr>
      </w:pPr>
      <w:bookmarkStart w:id="136" w:name="_Toc15396625"/>
      <w:bookmarkStart w:id="137" w:name="_Toc79163642"/>
      <w:bookmarkStart w:id="138" w:name="_Toc79163892"/>
      <w:r>
        <w:rPr>
          <w:rStyle w:val="24"/>
          <w:rFonts w:hint="eastAsia" w:ascii="仿宋" w:hAnsi="仿宋" w:eastAsia="仿宋"/>
          <w:b w:val="0"/>
          <w:bCs w:val="0"/>
        </w:rPr>
        <w:t>七、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4"/>
          <w:rFonts w:hint="eastAsia" w:ascii="仿宋" w:hAnsi="仿宋" w:eastAsia="仿宋"/>
          <w:b w:val="0"/>
          <w:bCs w:val="0"/>
        </w:rPr>
        <w:t>般公共预算财政拨款支出决算明细表</w:t>
      </w:r>
      <w:bookmarkEnd w:id="136"/>
      <w:bookmarkEnd w:id="137"/>
      <w:bookmarkEnd w:id="138"/>
    </w:p>
    <w:p>
      <w:pPr>
        <w:pStyle w:val="4"/>
        <w:rPr>
          <w:rFonts w:ascii="仿宋" w:hAnsi="仿宋" w:eastAsia="仿宋"/>
          <w:color w:val="000000"/>
        </w:rPr>
      </w:pPr>
      <w:bookmarkStart w:id="139" w:name="_Toc15396626"/>
      <w:bookmarkStart w:id="140" w:name="_Toc79163643"/>
      <w:bookmarkStart w:id="141" w:name="_Toc79163893"/>
      <w:r>
        <w:rPr>
          <w:rStyle w:val="24"/>
          <w:rFonts w:hint="eastAsia" w:ascii="仿宋" w:hAnsi="仿宋" w:eastAsia="仿宋"/>
          <w:b w:val="0"/>
          <w:bCs w:val="0"/>
        </w:rPr>
        <w:t>八、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4"/>
          <w:rFonts w:hint="eastAsia" w:ascii="仿宋" w:hAnsi="仿宋" w:eastAsia="仿宋"/>
          <w:b w:val="0"/>
          <w:bCs w:val="0"/>
        </w:rPr>
        <w:t>般公共预算财政拨款基本支出决算表</w:t>
      </w:r>
      <w:bookmarkEnd w:id="139"/>
      <w:bookmarkEnd w:id="140"/>
      <w:bookmarkEnd w:id="141"/>
    </w:p>
    <w:p>
      <w:pPr>
        <w:pStyle w:val="4"/>
        <w:rPr>
          <w:rFonts w:ascii="仿宋" w:hAnsi="仿宋" w:eastAsia="仿宋"/>
          <w:color w:val="000000"/>
        </w:rPr>
      </w:pPr>
      <w:bookmarkStart w:id="142" w:name="_Toc15396627"/>
      <w:bookmarkStart w:id="143" w:name="_Toc79163644"/>
      <w:bookmarkStart w:id="144" w:name="_Toc79163894"/>
      <w:r>
        <w:rPr>
          <w:rStyle w:val="24"/>
          <w:rFonts w:hint="eastAsia" w:ascii="仿宋" w:hAnsi="仿宋" w:eastAsia="仿宋"/>
          <w:b w:val="0"/>
          <w:bCs w:val="0"/>
        </w:rPr>
        <w:t>九、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4"/>
          <w:rFonts w:hint="eastAsia" w:ascii="仿宋" w:hAnsi="仿宋" w:eastAsia="仿宋"/>
          <w:b w:val="0"/>
          <w:bCs w:val="0"/>
        </w:rPr>
        <w:t>般公共预算财政拨款项目支出决算表</w:t>
      </w:r>
      <w:bookmarkEnd w:id="142"/>
      <w:bookmarkEnd w:id="143"/>
      <w:bookmarkEnd w:id="144"/>
    </w:p>
    <w:p>
      <w:pPr>
        <w:pStyle w:val="4"/>
        <w:rPr>
          <w:rFonts w:ascii="仿宋" w:hAnsi="仿宋" w:eastAsia="仿宋"/>
          <w:color w:val="000000"/>
        </w:rPr>
      </w:pPr>
      <w:bookmarkStart w:id="145" w:name="_Toc15396628"/>
      <w:bookmarkStart w:id="146" w:name="_Toc79163645"/>
      <w:bookmarkStart w:id="147" w:name="_Toc79163895"/>
      <w:r>
        <w:rPr>
          <w:rStyle w:val="24"/>
          <w:rFonts w:hint="eastAsia" w:ascii="仿宋" w:hAnsi="仿宋" w:eastAsia="仿宋"/>
          <w:b w:val="0"/>
          <w:bCs w:val="0"/>
        </w:rPr>
        <w:t>十、</w:t>
      </w:r>
      <w:r>
        <w:rPr>
          <w:rFonts w:hint="eastAsia" w:ascii="仿宋" w:hAnsi="仿宋" w:eastAsia="仿宋"/>
          <w:b w:val="0"/>
          <w:color w:val="000000"/>
        </w:rPr>
        <w:t>一</w:t>
      </w:r>
      <w:r>
        <w:rPr>
          <w:rStyle w:val="24"/>
          <w:rFonts w:hint="eastAsia" w:ascii="仿宋" w:hAnsi="仿宋" w:eastAsia="仿宋"/>
          <w:b w:val="0"/>
          <w:bCs w:val="0"/>
        </w:rPr>
        <w:t>般公共预算财政拨款“三公”经费支出决算表</w:t>
      </w:r>
      <w:bookmarkEnd w:id="145"/>
      <w:bookmarkEnd w:id="146"/>
      <w:bookmarkEnd w:id="147"/>
    </w:p>
    <w:p>
      <w:pPr>
        <w:pStyle w:val="4"/>
        <w:rPr>
          <w:rFonts w:ascii="仿宋" w:hAnsi="仿宋" w:eastAsia="仿宋"/>
          <w:color w:val="000000"/>
        </w:rPr>
      </w:pPr>
      <w:bookmarkStart w:id="148" w:name="_Toc15396629"/>
      <w:bookmarkStart w:id="149" w:name="_Toc79163646"/>
      <w:bookmarkStart w:id="150" w:name="_Toc79163896"/>
      <w:r>
        <w:rPr>
          <w:rStyle w:val="24"/>
          <w:rFonts w:hint="eastAsia" w:ascii="仿宋" w:hAnsi="仿宋" w:eastAsia="仿宋"/>
          <w:b w:val="0"/>
          <w:bCs w:val="0"/>
        </w:rPr>
        <w:t>十一、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4"/>
          <w:rFonts w:hint="eastAsia" w:ascii="仿宋" w:hAnsi="仿宋" w:eastAsia="仿宋"/>
          <w:b w:val="0"/>
          <w:bCs w:val="0"/>
        </w:rPr>
        <w:t>府性基金预算财政拨款收入支出决算表</w:t>
      </w:r>
      <w:bookmarkEnd w:id="148"/>
      <w:bookmarkEnd w:id="149"/>
      <w:bookmarkEnd w:id="150"/>
    </w:p>
    <w:p>
      <w:pPr>
        <w:pStyle w:val="4"/>
        <w:rPr>
          <w:rFonts w:ascii="仿宋" w:hAnsi="仿宋" w:eastAsia="仿宋"/>
          <w:color w:val="000000"/>
        </w:rPr>
      </w:pPr>
      <w:bookmarkStart w:id="151" w:name="_Toc15396630"/>
      <w:bookmarkStart w:id="152" w:name="_Toc79163647"/>
      <w:bookmarkStart w:id="153" w:name="_Toc79163897"/>
      <w:r>
        <w:rPr>
          <w:rStyle w:val="24"/>
          <w:rFonts w:hint="eastAsia" w:ascii="仿宋" w:hAnsi="仿宋" w:eastAsia="仿宋"/>
          <w:b w:val="0"/>
          <w:bCs w:val="0"/>
        </w:rPr>
        <w:t>十二、</w:t>
      </w:r>
      <w:r>
        <w:rPr>
          <w:rFonts w:hint="eastAsia" w:ascii="仿宋" w:hAnsi="仿宋" w:eastAsia="仿宋"/>
          <w:b w:val="0"/>
          <w:color w:val="000000"/>
        </w:rPr>
        <w:t>政</w:t>
      </w:r>
      <w:r>
        <w:rPr>
          <w:rStyle w:val="24"/>
          <w:rFonts w:hint="eastAsia" w:ascii="仿宋" w:hAnsi="仿宋" w:eastAsia="仿宋"/>
          <w:b w:val="0"/>
          <w:bCs w:val="0"/>
        </w:rPr>
        <w:t>府性基金预算财政拨款“三公”经费支出决算表</w:t>
      </w:r>
      <w:bookmarkEnd w:id="151"/>
      <w:bookmarkEnd w:id="152"/>
      <w:bookmarkEnd w:id="153"/>
    </w:p>
    <w:p>
      <w:pPr>
        <w:pStyle w:val="4"/>
        <w:rPr>
          <w:rStyle w:val="24"/>
          <w:rFonts w:ascii="仿宋" w:hAnsi="仿宋" w:eastAsia="仿宋"/>
          <w:b w:val="0"/>
          <w:bCs w:val="0"/>
        </w:rPr>
      </w:pPr>
      <w:bookmarkStart w:id="154" w:name="_Toc15396631"/>
      <w:bookmarkStart w:id="155" w:name="_Toc79163648"/>
      <w:bookmarkStart w:id="156" w:name="_Toc79163898"/>
      <w:r>
        <w:rPr>
          <w:rStyle w:val="24"/>
          <w:rFonts w:hint="eastAsia" w:ascii="仿宋" w:hAnsi="仿宋" w:eastAsia="仿宋"/>
          <w:b w:val="0"/>
          <w:bCs w:val="0"/>
        </w:rPr>
        <w:t>十三、</w:t>
      </w:r>
      <w:r>
        <w:rPr>
          <w:rFonts w:hint="eastAsia" w:ascii="仿宋" w:hAnsi="仿宋" w:eastAsia="仿宋"/>
          <w:b w:val="0"/>
          <w:color w:val="000000"/>
        </w:rPr>
        <w:t>国</w:t>
      </w:r>
      <w:r>
        <w:rPr>
          <w:rStyle w:val="24"/>
          <w:rFonts w:hint="eastAsia" w:ascii="仿宋" w:hAnsi="仿宋" w:eastAsia="仿宋"/>
          <w:b w:val="0"/>
          <w:bCs w:val="0"/>
        </w:rPr>
        <w:t>有资本经营预算财政拨款支出决算表</w:t>
      </w:r>
      <w:bookmarkEnd w:id="154"/>
      <w:bookmarkEnd w:id="155"/>
      <w:bookmarkEnd w:id="156"/>
    </w:p>
    <w:p>
      <w:pPr>
        <w:pStyle w:val="4"/>
        <w:rPr>
          <w:rStyle w:val="24"/>
          <w:rFonts w:ascii="仿宋" w:hAnsi="仿宋" w:eastAsia="仿宋"/>
          <w:b w:val="0"/>
          <w:bCs w:val="0"/>
        </w:rPr>
      </w:pPr>
      <w:bookmarkStart w:id="157" w:name="_Toc79163649"/>
      <w:bookmarkStart w:id="158" w:name="_Toc79163899"/>
      <w:r>
        <w:rPr>
          <w:rStyle w:val="24"/>
          <w:rFonts w:hint="eastAsia" w:ascii="仿宋" w:hAnsi="仿宋" w:eastAsia="仿宋"/>
          <w:b w:val="0"/>
          <w:bCs w:val="0"/>
        </w:rPr>
        <w:t>十四、国有资本经营预算财政拨款支出决算表</w:t>
      </w:r>
      <w:bookmarkEnd w:id="157"/>
      <w:bookmarkEnd w:id="158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25</w:t>
    </w:r>
    <w:r>
      <w:fldChar w:fldCharType="end"/>
    </w:r>
  </w:p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605B"/>
    <w:multiLevelType w:val="singleLevel"/>
    <w:tmpl w:val="CC9C605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rPr>
        <w:rFonts w:hint="eastAsia" w:cs="Times New Roman"/>
      </w:rPr>
    </w:lvl>
  </w:abstractNum>
  <w:abstractNum w:abstractNumId="2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 w:cs="Times New Roman"/>
      </w:rPr>
    </w:lvl>
  </w:abstractNum>
  <w:abstractNum w:abstractNumId="3">
    <w:nsid w:val="E8BA2BF0"/>
    <w:multiLevelType w:val="singleLevel"/>
    <w:tmpl w:val="E8BA2BF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1C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15301"/>
    <w:rsid w:val="001319E1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26640"/>
    <w:rsid w:val="00235629"/>
    <w:rsid w:val="00256262"/>
    <w:rsid w:val="00260C38"/>
    <w:rsid w:val="002616C0"/>
    <w:rsid w:val="00264FA2"/>
    <w:rsid w:val="00265372"/>
    <w:rsid w:val="002662AA"/>
    <w:rsid w:val="0027224D"/>
    <w:rsid w:val="00280496"/>
    <w:rsid w:val="00294DC9"/>
    <w:rsid w:val="00295495"/>
    <w:rsid w:val="002A31DE"/>
    <w:rsid w:val="002B2613"/>
    <w:rsid w:val="002D6D05"/>
    <w:rsid w:val="002F1818"/>
    <w:rsid w:val="002F567B"/>
    <w:rsid w:val="003216A9"/>
    <w:rsid w:val="00335A74"/>
    <w:rsid w:val="0036561B"/>
    <w:rsid w:val="0037013F"/>
    <w:rsid w:val="00380C92"/>
    <w:rsid w:val="00394E7F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53FE"/>
    <w:rsid w:val="003D66DA"/>
    <w:rsid w:val="003E1310"/>
    <w:rsid w:val="003E6F55"/>
    <w:rsid w:val="003E6FE4"/>
    <w:rsid w:val="00406254"/>
    <w:rsid w:val="004223DE"/>
    <w:rsid w:val="00434489"/>
    <w:rsid w:val="00437085"/>
    <w:rsid w:val="00443880"/>
    <w:rsid w:val="00445607"/>
    <w:rsid w:val="004464F4"/>
    <w:rsid w:val="00471401"/>
    <w:rsid w:val="00473F31"/>
    <w:rsid w:val="00476DF9"/>
    <w:rsid w:val="0048263A"/>
    <w:rsid w:val="00487E5D"/>
    <w:rsid w:val="004A711F"/>
    <w:rsid w:val="004B199D"/>
    <w:rsid w:val="004B4690"/>
    <w:rsid w:val="004D5479"/>
    <w:rsid w:val="004E0A2D"/>
    <w:rsid w:val="004E206B"/>
    <w:rsid w:val="004E6DF7"/>
    <w:rsid w:val="004F0FBD"/>
    <w:rsid w:val="00505A47"/>
    <w:rsid w:val="00512FDA"/>
    <w:rsid w:val="00520DA0"/>
    <w:rsid w:val="005269A7"/>
    <w:rsid w:val="005269D7"/>
    <w:rsid w:val="005664BB"/>
    <w:rsid w:val="00566FFA"/>
    <w:rsid w:val="0057481D"/>
    <w:rsid w:val="0058486E"/>
    <w:rsid w:val="00585B33"/>
    <w:rsid w:val="0059014D"/>
    <w:rsid w:val="005B5C64"/>
    <w:rsid w:val="005C5337"/>
    <w:rsid w:val="005C6BD0"/>
    <w:rsid w:val="005D1C8B"/>
    <w:rsid w:val="005D468D"/>
    <w:rsid w:val="005D5CED"/>
    <w:rsid w:val="005F1A4C"/>
    <w:rsid w:val="00605688"/>
    <w:rsid w:val="006070AF"/>
    <w:rsid w:val="00607E6C"/>
    <w:rsid w:val="006101B1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45F81"/>
    <w:rsid w:val="0065271A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E2684"/>
    <w:rsid w:val="006F020C"/>
    <w:rsid w:val="007127B7"/>
    <w:rsid w:val="0071798E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D4A41"/>
    <w:rsid w:val="007E23B0"/>
    <w:rsid w:val="007E23E5"/>
    <w:rsid w:val="007F1991"/>
    <w:rsid w:val="007F2C2F"/>
    <w:rsid w:val="007F55FC"/>
    <w:rsid w:val="007F5665"/>
    <w:rsid w:val="00800112"/>
    <w:rsid w:val="00813348"/>
    <w:rsid w:val="008253BB"/>
    <w:rsid w:val="0083706E"/>
    <w:rsid w:val="008408F6"/>
    <w:rsid w:val="008423A5"/>
    <w:rsid w:val="00850625"/>
    <w:rsid w:val="00853718"/>
    <w:rsid w:val="00855221"/>
    <w:rsid w:val="00860645"/>
    <w:rsid w:val="008632E0"/>
    <w:rsid w:val="00871F71"/>
    <w:rsid w:val="00872FD8"/>
    <w:rsid w:val="00885AF4"/>
    <w:rsid w:val="00892977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34D8"/>
    <w:rsid w:val="00935C98"/>
    <w:rsid w:val="00946945"/>
    <w:rsid w:val="00951248"/>
    <w:rsid w:val="0095152F"/>
    <w:rsid w:val="00954C49"/>
    <w:rsid w:val="00955E37"/>
    <w:rsid w:val="00962656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A4B"/>
    <w:rsid w:val="009C2E98"/>
    <w:rsid w:val="009D3447"/>
    <w:rsid w:val="009D4711"/>
    <w:rsid w:val="009F1185"/>
    <w:rsid w:val="009F18CD"/>
    <w:rsid w:val="009F2A13"/>
    <w:rsid w:val="009F7527"/>
    <w:rsid w:val="00A04EB0"/>
    <w:rsid w:val="00A13CC1"/>
    <w:rsid w:val="00A16847"/>
    <w:rsid w:val="00A237D8"/>
    <w:rsid w:val="00A268C4"/>
    <w:rsid w:val="00A307CD"/>
    <w:rsid w:val="00A331C8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5620"/>
    <w:rsid w:val="00AD656B"/>
    <w:rsid w:val="00AD7C1B"/>
    <w:rsid w:val="00AE16BA"/>
    <w:rsid w:val="00AE1EBE"/>
    <w:rsid w:val="00B011E4"/>
    <w:rsid w:val="00B03C9D"/>
    <w:rsid w:val="00B060AE"/>
    <w:rsid w:val="00B10517"/>
    <w:rsid w:val="00B14E76"/>
    <w:rsid w:val="00B161B8"/>
    <w:rsid w:val="00B2048C"/>
    <w:rsid w:val="00B20FF3"/>
    <w:rsid w:val="00B310B9"/>
    <w:rsid w:val="00B35F3F"/>
    <w:rsid w:val="00B36CBB"/>
    <w:rsid w:val="00B425E0"/>
    <w:rsid w:val="00B440AA"/>
    <w:rsid w:val="00B44B70"/>
    <w:rsid w:val="00B53C56"/>
    <w:rsid w:val="00B54DB4"/>
    <w:rsid w:val="00B57DAF"/>
    <w:rsid w:val="00B77EA6"/>
    <w:rsid w:val="00B81598"/>
    <w:rsid w:val="00B841F1"/>
    <w:rsid w:val="00B90E4E"/>
    <w:rsid w:val="00B944D6"/>
    <w:rsid w:val="00B965DC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87FD8"/>
    <w:rsid w:val="00C91381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20620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4B0"/>
    <w:rsid w:val="00DC7CBA"/>
    <w:rsid w:val="00DD73B7"/>
    <w:rsid w:val="00DF1C39"/>
    <w:rsid w:val="00DF28BC"/>
    <w:rsid w:val="00DF34B9"/>
    <w:rsid w:val="00E01053"/>
    <w:rsid w:val="00E07ACF"/>
    <w:rsid w:val="00E32CAD"/>
    <w:rsid w:val="00E331A1"/>
    <w:rsid w:val="00E33202"/>
    <w:rsid w:val="00E336A9"/>
    <w:rsid w:val="00E472B1"/>
    <w:rsid w:val="00E50624"/>
    <w:rsid w:val="00E568DF"/>
    <w:rsid w:val="00E64269"/>
    <w:rsid w:val="00E70975"/>
    <w:rsid w:val="00E82267"/>
    <w:rsid w:val="00E853CE"/>
    <w:rsid w:val="00E867B6"/>
    <w:rsid w:val="00EA010F"/>
    <w:rsid w:val="00ED1B63"/>
    <w:rsid w:val="00ED3C1F"/>
    <w:rsid w:val="00ED4085"/>
    <w:rsid w:val="00ED420E"/>
    <w:rsid w:val="00ED6FBE"/>
    <w:rsid w:val="00EE2F57"/>
    <w:rsid w:val="00EF4C34"/>
    <w:rsid w:val="00EF60EF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952C9"/>
    <w:rsid w:val="00FA23E8"/>
    <w:rsid w:val="00FD3CC1"/>
    <w:rsid w:val="00FF1E02"/>
    <w:rsid w:val="00FF30B4"/>
    <w:rsid w:val="0132498F"/>
    <w:rsid w:val="05C83870"/>
    <w:rsid w:val="072B70E5"/>
    <w:rsid w:val="08163469"/>
    <w:rsid w:val="08ED34FF"/>
    <w:rsid w:val="09C075DD"/>
    <w:rsid w:val="0A2032A3"/>
    <w:rsid w:val="0BF80E94"/>
    <w:rsid w:val="0C5842F3"/>
    <w:rsid w:val="0EF7102E"/>
    <w:rsid w:val="0FBF73BF"/>
    <w:rsid w:val="108417C5"/>
    <w:rsid w:val="10904483"/>
    <w:rsid w:val="10C055FF"/>
    <w:rsid w:val="118107EC"/>
    <w:rsid w:val="11AD1711"/>
    <w:rsid w:val="11F925F5"/>
    <w:rsid w:val="135122C8"/>
    <w:rsid w:val="14FB3FA3"/>
    <w:rsid w:val="15481966"/>
    <w:rsid w:val="15DE27F9"/>
    <w:rsid w:val="163E6C86"/>
    <w:rsid w:val="16BB723D"/>
    <w:rsid w:val="189B5A41"/>
    <w:rsid w:val="18F669FA"/>
    <w:rsid w:val="19897C4D"/>
    <w:rsid w:val="1B463BAA"/>
    <w:rsid w:val="1CC857F5"/>
    <w:rsid w:val="1D155CEE"/>
    <w:rsid w:val="1D1C5EB5"/>
    <w:rsid w:val="1E8F0515"/>
    <w:rsid w:val="209A4A9E"/>
    <w:rsid w:val="212F4538"/>
    <w:rsid w:val="215A62A5"/>
    <w:rsid w:val="222F46F4"/>
    <w:rsid w:val="22777EBC"/>
    <w:rsid w:val="22AD2907"/>
    <w:rsid w:val="22BE193A"/>
    <w:rsid w:val="23880EB4"/>
    <w:rsid w:val="23A644C5"/>
    <w:rsid w:val="240371BF"/>
    <w:rsid w:val="24050CD7"/>
    <w:rsid w:val="25330E0E"/>
    <w:rsid w:val="2798097B"/>
    <w:rsid w:val="27F728E4"/>
    <w:rsid w:val="28C3327D"/>
    <w:rsid w:val="29310934"/>
    <w:rsid w:val="29935FB4"/>
    <w:rsid w:val="29964031"/>
    <w:rsid w:val="29FD04D3"/>
    <w:rsid w:val="2AB70D44"/>
    <w:rsid w:val="2AD83D3F"/>
    <w:rsid w:val="2B4E1A0E"/>
    <w:rsid w:val="2B6318E3"/>
    <w:rsid w:val="2BCD66E3"/>
    <w:rsid w:val="2D7933C4"/>
    <w:rsid w:val="2DB001A6"/>
    <w:rsid w:val="2EAD0EE6"/>
    <w:rsid w:val="2EB52774"/>
    <w:rsid w:val="2F6C7D7A"/>
    <w:rsid w:val="319F7F4E"/>
    <w:rsid w:val="326B7F22"/>
    <w:rsid w:val="3340579E"/>
    <w:rsid w:val="334B7D3F"/>
    <w:rsid w:val="3456044C"/>
    <w:rsid w:val="351252D7"/>
    <w:rsid w:val="36482071"/>
    <w:rsid w:val="36885DD2"/>
    <w:rsid w:val="36A17387"/>
    <w:rsid w:val="376241B7"/>
    <w:rsid w:val="3788215A"/>
    <w:rsid w:val="379B5C0D"/>
    <w:rsid w:val="37EC3894"/>
    <w:rsid w:val="39C959B3"/>
    <w:rsid w:val="39DF47D9"/>
    <w:rsid w:val="3A904FEF"/>
    <w:rsid w:val="3C4570F6"/>
    <w:rsid w:val="3CCB65F0"/>
    <w:rsid w:val="3D2576FC"/>
    <w:rsid w:val="402152D0"/>
    <w:rsid w:val="416A1D1A"/>
    <w:rsid w:val="42337CF6"/>
    <w:rsid w:val="42460B44"/>
    <w:rsid w:val="4285088B"/>
    <w:rsid w:val="42C43631"/>
    <w:rsid w:val="42DC28AD"/>
    <w:rsid w:val="42E85159"/>
    <w:rsid w:val="436B7384"/>
    <w:rsid w:val="44C511DE"/>
    <w:rsid w:val="45E3381B"/>
    <w:rsid w:val="467E507B"/>
    <w:rsid w:val="47D177D8"/>
    <w:rsid w:val="4886072F"/>
    <w:rsid w:val="48A03071"/>
    <w:rsid w:val="49DF7347"/>
    <w:rsid w:val="4A9245C2"/>
    <w:rsid w:val="4AE0392C"/>
    <w:rsid w:val="4CA3659D"/>
    <w:rsid w:val="4D211E11"/>
    <w:rsid w:val="4E2C4475"/>
    <w:rsid w:val="4E5A7F54"/>
    <w:rsid w:val="4ECE2238"/>
    <w:rsid w:val="51287E34"/>
    <w:rsid w:val="524268E1"/>
    <w:rsid w:val="531F6D0D"/>
    <w:rsid w:val="538477D4"/>
    <w:rsid w:val="53BD433A"/>
    <w:rsid w:val="53EC3860"/>
    <w:rsid w:val="54FD4C77"/>
    <w:rsid w:val="551C7693"/>
    <w:rsid w:val="557B1FBF"/>
    <w:rsid w:val="559D13E9"/>
    <w:rsid w:val="584D477A"/>
    <w:rsid w:val="5A1D3000"/>
    <w:rsid w:val="5B950507"/>
    <w:rsid w:val="5B9E76F0"/>
    <w:rsid w:val="5BC4388E"/>
    <w:rsid w:val="5D40215E"/>
    <w:rsid w:val="5D7E678E"/>
    <w:rsid w:val="5DB91C87"/>
    <w:rsid w:val="5F6254A6"/>
    <w:rsid w:val="5F886C47"/>
    <w:rsid w:val="604812CF"/>
    <w:rsid w:val="630045B4"/>
    <w:rsid w:val="63FB7ED1"/>
    <w:rsid w:val="64911C17"/>
    <w:rsid w:val="658036A4"/>
    <w:rsid w:val="65F61C30"/>
    <w:rsid w:val="68403713"/>
    <w:rsid w:val="69B64223"/>
    <w:rsid w:val="69DE7F3F"/>
    <w:rsid w:val="6A1754A3"/>
    <w:rsid w:val="6A4A1FAF"/>
    <w:rsid w:val="6ABC1AA3"/>
    <w:rsid w:val="6C4A05C8"/>
    <w:rsid w:val="6DDA07E9"/>
    <w:rsid w:val="6F74175B"/>
    <w:rsid w:val="700B54FD"/>
    <w:rsid w:val="71DB1C4B"/>
    <w:rsid w:val="72272C4D"/>
    <w:rsid w:val="72734D90"/>
    <w:rsid w:val="72D14256"/>
    <w:rsid w:val="7346772F"/>
    <w:rsid w:val="73AB7EB0"/>
    <w:rsid w:val="73C9205D"/>
    <w:rsid w:val="74F551FB"/>
    <w:rsid w:val="754620FC"/>
    <w:rsid w:val="76682C3B"/>
    <w:rsid w:val="777D69E9"/>
    <w:rsid w:val="7957088D"/>
    <w:rsid w:val="79AF295F"/>
    <w:rsid w:val="7B5F77E3"/>
    <w:rsid w:val="7CDF6351"/>
    <w:rsid w:val="7E1A5300"/>
    <w:rsid w:val="7E3114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link w:val="25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toc 7"/>
    <w:basedOn w:val="1"/>
    <w:next w:val="1"/>
    <w:unhideWhenUsed/>
    <w:qFormat/>
    <w:uiPriority w:val="39"/>
    <w:pPr>
      <w:ind w:left="1260"/>
      <w:jc w:val="left"/>
    </w:pPr>
    <w:rPr>
      <w:rFonts w:asciiTheme="minorHAnsi" w:eastAsiaTheme="minorHAnsi"/>
      <w:sz w:val="18"/>
      <w:szCs w:val="18"/>
    </w:rPr>
  </w:style>
  <w:style w:type="paragraph" w:styleId="7">
    <w:name w:val="Body Text"/>
    <w:basedOn w:val="1"/>
    <w:link w:val="32"/>
    <w:qFormat/>
    <w:uiPriority w:val="99"/>
    <w:pPr>
      <w:spacing w:beforeLines="30"/>
    </w:pPr>
    <w:rPr>
      <w:rFonts w:ascii="仿宋_GB2312" w:eastAsia="仿宋_GB2312"/>
      <w:kern w:val="0"/>
      <w:sz w:val="24"/>
      <w:szCs w:val="20"/>
      <w:lang w:val="zh-CN"/>
    </w:rPr>
  </w:style>
  <w:style w:type="paragraph" w:styleId="8">
    <w:name w:val="toc 5"/>
    <w:basedOn w:val="1"/>
    <w:next w:val="1"/>
    <w:unhideWhenUsed/>
    <w:qFormat/>
    <w:uiPriority w:val="39"/>
    <w:pPr>
      <w:ind w:left="840"/>
      <w:jc w:val="left"/>
    </w:pPr>
    <w:rPr>
      <w:rFonts w:asciiTheme="minorHAnsi" w:eastAsiaTheme="minorHAnsi"/>
      <w:sz w:val="18"/>
      <w:szCs w:val="18"/>
    </w:rPr>
  </w:style>
  <w:style w:type="paragraph" w:styleId="9">
    <w:name w:val="toc 3"/>
    <w:basedOn w:val="1"/>
    <w:next w:val="1"/>
    <w:unhideWhenUsed/>
    <w:qFormat/>
    <w:uiPriority w:val="39"/>
    <w:pPr>
      <w:ind w:left="420"/>
      <w:jc w:val="left"/>
    </w:pPr>
    <w:rPr>
      <w:rFonts w:asciiTheme="minorHAnsi" w:eastAsiaTheme="minorHAnsi"/>
      <w:i/>
      <w:iCs/>
      <w:sz w:val="20"/>
      <w:szCs w:val="20"/>
    </w:rPr>
  </w:style>
  <w:style w:type="paragraph" w:styleId="10">
    <w:name w:val="toc 8"/>
    <w:basedOn w:val="1"/>
    <w:next w:val="1"/>
    <w:unhideWhenUsed/>
    <w:qFormat/>
    <w:uiPriority w:val="39"/>
    <w:pPr>
      <w:ind w:left="1470"/>
      <w:jc w:val="left"/>
    </w:pPr>
    <w:rPr>
      <w:rFonts w:asciiTheme="minorHAnsi" w:eastAsiaTheme="minorHAnsi"/>
      <w:sz w:val="18"/>
      <w:szCs w:val="18"/>
    </w:rPr>
  </w:style>
  <w:style w:type="paragraph" w:styleId="11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  <w:lang w:val="zh-CN"/>
    </w:rPr>
  </w:style>
  <w:style w:type="paragraph" w:styleId="13">
    <w:name w:val="header"/>
    <w:basedOn w:val="1"/>
    <w:link w:val="3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  <w:lang w:val="zh-CN"/>
    </w:rPr>
  </w:style>
  <w:style w:type="paragraph" w:styleId="14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15">
    <w:name w:val="toc 4"/>
    <w:basedOn w:val="1"/>
    <w:next w:val="1"/>
    <w:unhideWhenUsed/>
    <w:qFormat/>
    <w:uiPriority w:val="39"/>
    <w:pPr>
      <w:ind w:left="630"/>
      <w:jc w:val="left"/>
    </w:pPr>
    <w:rPr>
      <w:rFonts w:asciiTheme="minorHAnsi" w:eastAsiaTheme="minorHAnsi"/>
      <w:sz w:val="18"/>
      <w:szCs w:val="18"/>
    </w:rPr>
  </w:style>
  <w:style w:type="paragraph" w:styleId="16">
    <w:name w:val="toc 6"/>
    <w:basedOn w:val="1"/>
    <w:next w:val="1"/>
    <w:unhideWhenUsed/>
    <w:qFormat/>
    <w:uiPriority w:val="39"/>
    <w:pPr>
      <w:ind w:left="1050"/>
      <w:jc w:val="left"/>
    </w:pPr>
    <w:rPr>
      <w:rFonts w:asciiTheme="minorHAnsi" w:eastAsiaTheme="minorHAnsi"/>
      <w:sz w:val="18"/>
      <w:szCs w:val="18"/>
    </w:rPr>
  </w:style>
  <w:style w:type="paragraph" w:styleId="17">
    <w:name w:val="toc 2"/>
    <w:basedOn w:val="1"/>
    <w:next w:val="1"/>
    <w:unhideWhenUsed/>
    <w:qFormat/>
    <w:uiPriority w:val="39"/>
    <w:pPr>
      <w:ind w:left="210"/>
      <w:jc w:val="left"/>
    </w:pPr>
    <w:rPr>
      <w:rFonts w:asciiTheme="minorHAnsi" w:eastAsiaTheme="minorHAnsi"/>
      <w:smallCaps/>
      <w:sz w:val="20"/>
      <w:szCs w:val="20"/>
    </w:rPr>
  </w:style>
  <w:style w:type="paragraph" w:styleId="18">
    <w:name w:val="toc 9"/>
    <w:basedOn w:val="1"/>
    <w:next w:val="1"/>
    <w:unhideWhenUsed/>
    <w:qFormat/>
    <w:uiPriority w:val="39"/>
    <w:pPr>
      <w:ind w:left="1680"/>
      <w:jc w:val="left"/>
    </w:pPr>
    <w:rPr>
      <w:rFonts w:asciiTheme="minorHAnsi" w:eastAsiaTheme="minorHAnsi"/>
      <w:sz w:val="18"/>
      <w:szCs w:val="18"/>
    </w:rPr>
  </w:style>
  <w:style w:type="character" w:styleId="21">
    <w:name w:val="Strong"/>
    <w:basedOn w:val="20"/>
    <w:qFormat/>
    <w:uiPriority w:val="99"/>
    <w:rPr>
      <w:rFonts w:cs="Times New Roman"/>
      <w:b/>
    </w:rPr>
  </w:style>
  <w:style w:type="character" w:styleId="22">
    <w:name w:val="Hyperlink"/>
    <w:basedOn w:val="20"/>
    <w:unhideWhenUsed/>
    <w:qFormat/>
    <w:uiPriority w:val="99"/>
    <w:rPr>
      <w:rFonts w:cs="Times New Roman"/>
      <w:color w:val="0000FF"/>
      <w:u w:val="single"/>
    </w:rPr>
  </w:style>
  <w:style w:type="character" w:customStyle="1" w:styleId="23">
    <w:name w:val="标题 1 Char"/>
    <w:basedOn w:val="20"/>
    <w:link w:val="3"/>
    <w:qFormat/>
    <w:locked/>
    <w:uiPriority w:val="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20"/>
    <w:link w:val="4"/>
    <w:qFormat/>
    <w:locked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25">
    <w:name w:val="标题 3 Char"/>
    <w:basedOn w:val="20"/>
    <w:link w:val="5"/>
    <w:qFormat/>
    <w:locked/>
    <w:uiPriority w:val="9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26">
    <w:name w:val="Body Text Char"/>
    <w:basedOn w:val="20"/>
    <w:semiHidden/>
    <w:qFormat/>
    <w:uiPriority w:val="99"/>
    <w:rPr>
      <w:rFonts w:ascii="Times New Roman" w:hAnsi="Times New Roman" w:cs="Times New Roman"/>
      <w:sz w:val="24"/>
      <w:szCs w:val="24"/>
    </w:rPr>
  </w:style>
  <w:style w:type="character" w:customStyle="1" w:styleId="27">
    <w:name w:val="批注框文本 Char"/>
    <w:basedOn w:val="20"/>
    <w:link w:val="11"/>
    <w:semiHidden/>
    <w:qFormat/>
    <w:locked/>
    <w:uiPriority w:val="99"/>
    <w:rPr>
      <w:rFonts w:ascii="Times New Roman" w:hAnsi="Times New Roman" w:cs="Times New Roman"/>
      <w:kern w:val="2"/>
      <w:sz w:val="18"/>
      <w:szCs w:val="18"/>
    </w:rPr>
  </w:style>
  <w:style w:type="character" w:customStyle="1" w:styleId="28">
    <w:name w:val="Footer Char"/>
    <w:basedOn w:val="20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29">
    <w:name w:val="Header Char"/>
    <w:basedOn w:val="20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30">
    <w:name w:val="页眉 Char"/>
    <w:link w:val="13"/>
    <w:semiHidden/>
    <w:qFormat/>
    <w:locked/>
    <w:uiPriority w:val="99"/>
    <w:rPr>
      <w:sz w:val="18"/>
    </w:rPr>
  </w:style>
  <w:style w:type="character" w:customStyle="1" w:styleId="31">
    <w:name w:val="页脚 Char"/>
    <w:link w:val="12"/>
    <w:qFormat/>
    <w:locked/>
    <w:uiPriority w:val="99"/>
    <w:rPr>
      <w:sz w:val="18"/>
    </w:rPr>
  </w:style>
  <w:style w:type="character" w:customStyle="1" w:styleId="32">
    <w:name w:val="正文文本 Char"/>
    <w:link w:val="7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customStyle="1" w:styleId="34">
    <w:name w:val="列表段落1"/>
    <w:basedOn w:val="1"/>
    <w:qFormat/>
    <w:uiPriority w:val="34"/>
    <w:pPr>
      <w:ind w:firstLine="420" w:firstLineChars="200"/>
    </w:pPr>
  </w:style>
  <w:style w:type="paragraph" w:customStyle="1" w:styleId="35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6">
    <w:name w:val="TOC Heading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7">
    <w:name w:val="TOC 标题2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2270;&#24418;\1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2270;&#24418;\2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lenovo\Desktop\&#22270;&#24418;\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enovo\Desktop\&#22270;&#24418;\1.xls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lenovo\Desktop\&#22270;&#24418;\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lenovo\Desktop\&#22270;&#24418;\6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lenovo\Desktop\&#22270;&#24418;\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166666666666667"/>
                  <c:y val="0.0065868535558497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302.17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246.82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302.17</c:v>
                </c:pt>
                <c:pt idx="1">
                  <c:v>246.82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729166666666667"/>
                  <c:y val="-0.016523447309434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2020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302.17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246.82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302.17</c:v>
                </c:pt>
                <c:pt idx="1">
                  <c:v>246.82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090088"/>
        <c:axId val="709011096"/>
      </c:barChart>
      <c:catAx>
        <c:axId val="7909008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09011096"/>
        <c:crosses val="autoZero"/>
        <c:auto val="1"/>
        <c:lblAlgn val="ctr"/>
        <c:lblOffset val="100"/>
        <c:noMultiLvlLbl val="0"/>
      </c:catAx>
      <c:valAx>
        <c:axId val="709011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090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</a:t>
            </a:r>
            <a:r>
              <a:rPr lang="en-US" altLang="zh-CN"/>
              <a:t>21</a:t>
            </a:r>
            <a:r>
              <a:t>年收入合计</a:t>
            </a:r>
            <a:r>
              <a:rPr lang="en-US" altLang="zh-CN"/>
              <a:t>302.17</a:t>
            </a:r>
            <a:r>
              <a:t>万元 </a:t>
            </a:r>
          </a:p>
        </c:rich>
      </c:tx>
      <c:layout>
        <c:manualLayout>
          <c:xMode val="edge"/>
          <c:yMode val="edge"/>
          <c:x val="0.307422288980681"/>
          <c:y val="0.043458781362007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一般公共预算财政拨款收入100%</a:t>
                    </a: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[2.xlsx]Sheet1!$A$6:$B$7</c:f>
              <c:multiLvlStrCache>
                <c:ptCount val="2"/>
                <c:lvl>
                  <c:pt idx="0">
                    <c:v>302.17万元</c:v>
                  </c:pt>
                  <c:pt idx="1">
                    <c:v>302.17万元</c:v>
                  </c:pt>
                </c:lvl>
                <c:lvl>
                  <c:pt idx="0">
                    <c:v>2021年收入合计</c:v>
                  </c:pt>
                  <c:pt idx="1">
                    <c:v>一般公共预算财政拨款收入</c:v>
                  </c:pt>
                </c:lvl>
              </c:multiLvlStrCache>
            </c:multiLvlStrRef>
          </c:cat>
          <c:val>
            <c:numRef>
              <c:f>[2.xlsx]Sheet1!$C$6:$C$7</c:f>
              <c:numCache>
                <c:formatCode>General</c:formatCode>
                <c:ptCount val="2"/>
                <c:pt idx="1" c:formatCode="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2021</a:t>
            </a:r>
            <a:r>
              <a:rPr altLang="en-US"/>
              <a:t>年</a:t>
            </a:r>
            <a:r>
              <a:t>本年支出 </a:t>
            </a:r>
          </a:p>
        </c:rich>
      </c:tx>
      <c:layout>
        <c:manualLayout>
          <c:xMode val="edge"/>
          <c:yMode val="edge"/>
          <c:x val="0.414444444444444"/>
          <c:y val="0.030555555555555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基本支出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96.57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[3.xlsx]Sheet1!$A$6:$B$8</c:f>
              <c:multiLvlStrCache>
                <c:ptCount val="3"/>
                <c:lvl>
                  <c:pt idx="0">
                    <c:v>302.17万元</c:v>
                  </c:pt>
                  <c:pt idx="1">
                    <c:v>302.17万元</c:v>
                  </c:pt>
                </c:lvl>
                <c:lvl>
                  <c:pt idx="0">
                    <c:v>2021年本年支出合计</c:v>
                  </c:pt>
                  <c:pt idx="1">
                    <c:v>基本支出</c:v>
                  </c:pt>
                </c:lvl>
              </c:multiLvlStrCache>
            </c:multiLvlStrRef>
          </c:cat>
          <c:val>
            <c:numRef>
              <c:f>[3.xlsx]Sheet1!$C$6:$C$8</c:f>
              <c:numCache>
                <c:formatCode>General</c:formatCode>
                <c:ptCount val="3"/>
                <c:pt idx="1" c:formatCode="0.0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166666666666667"/>
                  <c:y val="0.0065868535558497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302.17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246.82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302.17</c:v>
                </c:pt>
                <c:pt idx="1">
                  <c:v>246.82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729166666666667"/>
                  <c:y val="-0.016523447309434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2020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302.17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2019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246.82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302.17</c:v>
                </c:pt>
                <c:pt idx="1">
                  <c:v>246.82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2718967"/>
        <c:axId val="608238555"/>
      </c:barChart>
      <c:catAx>
        <c:axId val="19271896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08238555"/>
        <c:crosses val="autoZero"/>
        <c:auto val="1"/>
        <c:lblAlgn val="ctr"/>
        <c:lblOffset val="100"/>
        <c:noMultiLvlLbl val="0"/>
      </c:catAx>
      <c:valAx>
        <c:axId val="6082385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92718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一般公共预算财政拨款支出决算变动情况图</a:t>
            </a:r>
          </a:p>
        </c:rich>
      </c:tx>
      <c:layout>
        <c:manualLayout>
          <c:xMode val="edge"/>
          <c:yMode val="edge"/>
          <c:x val="0.148855927846979"/>
          <c:y val="0.030890349383382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2020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246.82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00922722029988466"/>
                  <c:y val="0.0021276595744680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2021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302.17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[5.xlsx]Sheet1!$A$6:$B$8</c:f>
              <c:multiLvlStrCache>
                <c:ptCount val="3"/>
                <c:lvl>
                  <c:pt idx="0">
                    <c:v>246.82万元</c:v>
                  </c:pt>
                  <c:pt idx="1">
                    <c:v>302.17万元</c:v>
                  </c:pt>
                </c:lvl>
                <c:lvl>
                  <c:pt idx="0">
                    <c:v>2020年一般公共预算财政拨款支出</c:v>
                  </c:pt>
                  <c:pt idx="1">
                    <c:v>2021年一般公共预算财政拨款支出</c:v>
                  </c:pt>
                </c:lvl>
              </c:multiLvlStrCache>
            </c:multiLvlStrRef>
          </c:cat>
          <c:val>
            <c:numRef>
              <c:f>[5.xlsx]Sheet1!$C$6:$C$8</c:f>
              <c:numCache>
                <c:formatCode>0%</c:formatCode>
                <c:ptCount val="3"/>
                <c:pt idx="0">
                  <c:v>0.44</c:v>
                </c:pt>
                <c:pt idx="1">
                  <c:v>0.56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770136370"/>
        <c:axId val="837282436"/>
      </c:barChart>
      <c:catAx>
        <c:axId val="77013637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37282436"/>
        <c:crosses val="autoZero"/>
        <c:auto val="1"/>
        <c:lblAlgn val="ctr"/>
        <c:lblOffset val="100"/>
        <c:noMultiLvlLbl val="0"/>
      </c:catAx>
      <c:valAx>
        <c:axId val="8372824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7013637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139671689025451"/>
          <c:y val="0.84750038164353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[6.xlsx]Sheet1!$A$6:$B$11</c:f>
              <c:multiLvlStrCache>
                <c:ptCount val="6"/>
                <c:lvl>
                  <c:pt idx="0" c:formatCode="#,##0.00">
                    <c:v>302.17万元</c:v>
                  </c:pt>
                  <c:pt idx="1">
                    <c:v>34.07万元</c:v>
                  </c:pt>
                  <c:pt idx="2">
                    <c:v>15.61万元</c:v>
                  </c:pt>
                  <c:pt idx="3">
                    <c:v>229.02万元</c:v>
                  </c:pt>
                  <c:pt idx="4">
                    <c:v>23.47万元</c:v>
                  </c:pt>
                </c:lvl>
                <c:lvl>
                  <c:pt idx="0">
                    <c:v>2021年一般公共预算财政拨款支出</c:v>
                  </c:pt>
                  <c:pt idx="1">
                    <c:v>社会保障和就业支出</c:v>
                  </c:pt>
                  <c:pt idx="2">
                    <c:v>卫生健康支出</c:v>
                  </c:pt>
                  <c:pt idx="3">
                    <c:v>农林水支出</c:v>
                  </c:pt>
                  <c:pt idx="4">
                    <c:v>住房保障支出</c:v>
                  </c:pt>
                </c:lvl>
              </c:multiLvlStrCache>
            </c:multiLvlStrRef>
          </c:cat>
          <c:val>
            <c:numRef>
              <c:f>[6.xlsx]Sheet1!$C$6:$C$11</c:f>
              <c:numCache>
                <c:formatCode>General</c:formatCode>
                <c:ptCount val="6"/>
                <c:pt idx="1" c:formatCode="0%">
                  <c:v>0.11</c:v>
                </c:pt>
                <c:pt idx="2" c:formatCode="0%">
                  <c:v>0.06</c:v>
                </c:pt>
                <c:pt idx="3" c:formatCode="0%">
                  <c:v>0.75</c:v>
                </c:pt>
                <c:pt idx="4" c: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5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“</a:t>
            </a:r>
            <a:r>
              <a:rPr altLang="en-US"/>
              <a:t>三公</a:t>
            </a:r>
            <a:r>
              <a:rPr lang="en-US" altLang="zh-CN"/>
              <a:t>”</a:t>
            </a:r>
            <a:r>
              <a:rPr altLang="en-US"/>
              <a:t>经费财政拨款支出结构</a:t>
            </a:r>
            <a:r>
              <a:t> </a:t>
            </a:r>
          </a:p>
        </c:rich>
      </c:tx>
      <c:layout>
        <c:manualLayout>
          <c:xMode val="edge"/>
          <c:yMode val="edge"/>
          <c:x val="0.317226376840495"/>
          <c:y val="0.049005740057400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explosion val="1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0334492415561368"/>
                  <c:y val="-0.18841869478511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公务用车运行维护费支出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公务接待费支出</a:t>
                    </a:r>
                    <a:r>
                      <a:rPr lang="en-US" altLang="zh-CN"/>
                      <a:t>6%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[7.xlsx]Sheet1!$A$6:$B$8</c:f>
              <c:multiLvlStrCache>
                <c:ptCount val="3"/>
                <c:lvl>
                  <c:pt idx="0">
                    <c:v>2.97万元</c:v>
                  </c:pt>
                </c:lvl>
                <c:lvl>
                  <c:pt idx="0">
                    <c:v>公务用车运行维护费支出决算</c:v>
                  </c:pt>
                </c:lvl>
              </c:multiLvlStrCache>
            </c:multiLvlStrRef>
          </c:cat>
          <c:val>
            <c:numRef>
              <c:f>[7.xlsx]Sheet1!$C$6:$C$8</c:f>
              <c:numCache>
                <c:formatCode>0.00%</c:formatCode>
                <c:ptCount val="3"/>
                <c:pt idx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0A26A-4F96-4E33-A4F8-80E1B883F3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四川省财政厅</Company>
  <Pages>25</Pages>
  <Words>8027</Words>
  <Characters>8608</Characters>
  <Lines>74</Lines>
  <Paragraphs>21</Paragraphs>
  <TotalTime>22</TotalTime>
  <ScaleCrop>false</ScaleCrop>
  <LinksUpToDate>false</LinksUpToDate>
  <CharactersWithSpaces>8693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2021-08-06T09:38:00Z</dcterms:created>
  <dc:creator>曹颖</dc:creator>
  <cp:lastModifiedBy>下一页1409802427</cp:lastModifiedBy>
  <cp:lastPrinted>2021-07-29T03:56:00Z</cp:lastPrinted>
  <dcterms:modified xsi:type="dcterms:W3CDTF">2022-10-17T06:34:16Z</dcterms:modified>
  <dc:title>阿坝州部门决算说明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ICV">
    <vt:lpwstr>165532F4265D4A25AE820377EA87D1AF</vt:lpwstr>
  </property>
</Properties>
</file>